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26168" w14:textId="01EE3742" w:rsidR="002553BA" w:rsidRDefault="002553BA" w:rsidP="006800C7">
      <w:pPr>
        <w:rPr>
          <w:noProof/>
        </w:rPr>
      </w:pPr>
      <w:r w:rsidRPr="002553BA">
        <w:rPr>
          <w:noProof/>
        </w:rPr>
        <w:drawing>
          <wp:anchor distT="0" distB="0" distL="114300" distR="114300" simplePos="0" relativeHeight="251672576" behindDoc="0" locked="0" layoutInCell="1" allowOverlap="1" wp14:anchorId="51FA13E9" wp14:editId="00AC9036">
            <wp:simplePos x="0" y="0"/>
            <wp:positionH relativeFrom="column">
              <wp:posOffset>4381500</wp:posOffset>
            </wp:positionH>
            <wp:positionV relativeFrom="page">
              <wp:posOffset>9728835</wp:posOffset>
            </wp:positionV>
            <wp:extent cx="1652270" cy="532765"/>
            <wp:effectExtent l="0" t="0" r="0" b="635"/>
            <wp:wrapNone/>
            <wp:docPr id="8" name="Picture 8" descr="Queensland Government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ueensland Government Coat of Arm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2270" cy="532765"/>
                    </a:xfrm>
                    <a:prstGeom prst="rect">
                      <a:avLst/>
                    </a:prstGeom>
                  </pic:spPr>
                </pic:pic>
              </a:graphicData>
            </a:graphic>
            <wp14:sizeRelH relativeFrom="margin">
              <wp14:pctWidth>0</wp14:pctWidth>
            </wp14:sizeRelH>
            <wp14:sizeRelV relativeFrom="margin">
              <wp14:pctHeight>0</wp14:pctHeight>
            </wp14:sizeRelV>
          </wp:anchor>
        </w:drawing>
      </w:r>
      <w:r w:rsidRPr="002553BA">
        <w:rPr>
          <w:noProof/>
        </w:rPr>
        <w:drawing>
          <wp:anchor distT="0" distB="0" distL="114300" distR="114300" simplePos="0" relativeHeight="251673600" behindDoc="0" locked="0" layoutInCell="1" allowOverlap="1" wp14:anchorId="3E3C2250" wp14:editId="45CDBBDB">
            <wp:simplePos x="0" y="0"/>
            <wp:positionH relativeFrom="column">
              <wp:posOffset>-295275</wp:posOffset>
            </wp:positionH>
            <wp:positionV relativeFrom="page">
              <wp:posOffset>412750</wp:posOffset>
            </wp:positionV>
            <wp:extent cx="1663065" cy="381000"/>
            <wp:effectExtent l="0" t="0" r="635" b="0"/>
            <wp:wrapNone/>
            <wp:docPr id="3" name="Picture 3" descr="Unite &amp; Recov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ite &amp; Recover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3065" cy="381000"/>
                    </a:xfrm>
                    <a:prstGeom prst="rect">
                      <a:avLst/>
                    </a:prstGeom>
                  </pic:spPr>
                </pic:pic>
              </a:graphicData>
            </a:graphic>
            <wp14:sizeRelH relativeFrom="margin">
              <wp14:pctWidth>0</wp14:pctWidth>
            </wp14:sizeRelH>
            <wp14:sizeRelV relativeFrom="margin">
              <wp14:pctHeight>0</wp14:pctHeight>
            </wp14:sizeRelV>
          </wp:anchor>
        </w:drawing>
      </w:r>
      <w:r w:rsidRPr="002553BA">
        <w:rPr>
          <w:noProof/>
        </w:rPr>
        <w:drawing>
          <wp:anchor distT="0" distB="0" distL="114300" distR="114300" simplePos="0" relativeHeight="251674624" behindDoc="1" locked="0" layoutInCell="1" allowOverlap="1" wp14:anchorId="3FFCDC9D" wp14:editId="29CD58A0">
            <wp:simplePos x="0" y="0"/>
            <wp:positionH relativeFrom="page">
              <wp:posOffset>5080</wp:posOffset>
            </wp:positionH>
            <wp:positionV relativeFrom="page">
              <wp:posOffset>52070</wp:posOffset>
            </wp:positionV>
            <wp:extent cx="7555865" cy="10691495"/>
            <wp:effectExtent l="0" t="0" r="635" b="190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5865" cy="10691495"/>
                    </a:xfrm>
                    <a:prstGeom prst="rect">
                      <a:avLst/>
                    </a:prstGeom>
                  </pic:spPr>
                </pic:pic>
              </a:graphicData>
            </a:graphic>
            <wp14:sizeRelH relativeFrom="margin">
              <wp14:pctWidth>0</wp14:pctWidth>
            </wp14:sizeRelH>
            <wp14:sizeRelV relativeFrom="margin">
              <wp14:pctHeight>0</wp14:pctHeight>
            </wp14:sizeRelV>
          </wp:anchor>
        </w:drawing>
      </w:r>
      <w:r w:rsidRPr="002553BA">
        <w:rPr>
          <w:noProof/>
        </w:rPr>
        <mc:AlternateContent>
          <mc:Choice Requires="wps">
            <w:drawing>
              <wp:anchor distT="0" distB="0" distL="114300" distR="114300" simplePos="0" relativeHeight="251676672" behindDoc="0" locked="0" layoutInCell="1" allowOverlap="1" wp14:anchorId="501F4EA6" wp14:editId="409060CE">
                <wp:simplePos x="0" y="0"/>
                <wp:positionH relativeFrom="column">
                  <wp:posOffset>2137410</wp:posOffset>
                </wp:positionH>
                <wp:positionV relativeFrom="paragraph">
                  <wp:posOffset>-302895</wp:posOffset>
                </wp:positionV>
                <wp:extent cx="3991708" cy="2895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991708" cy="289560"/>
                        </a:xfrm>
                        <a:prstGeom prst="rect">
                          <a:avLst/>
                        </a:prstGeom>
                        <a:noFill/>
                        <a:ln w="6350">
                          <a:noFill/>
                        </a:ln>
                      </wps:spPr>
                      <wps:txbx>
                        <w:txbxContent>
                          <w:p w14:paraId="7D30D5F9" w14:textId="77777777" w:rsidR="002553BA" w:rsidRPr="00611A9B" w:rsidRDefault="002553BA" w:rsidP="00AC050E">
                            <w:pPr>
                              <w:spacing w:before="0" w:line="240" w:lineRule="auto"/>
                              <w:jc w:val="right"/>
                              <w:rPr>
                                <w:rFonts w:ascii="Calibri" w:eastAsia="Times New Roman" w:hAnsi="Calibri" w:cs="Calibri"/>
                                <w:b/>
                                <w:bCs/>
                                <w:color w:val="FFFFFF" w:themeColor="background1"/>
                                <w:sz w:val="22"/>
                                <w:lang w:eastAsia="en-GB"/>
                              </w:rPr>
                            </w:pPr>
                            <w:r w:rsidRPr="00AC050E">
                              <w:rPr>
                                <w:rFonts w:ascii="Calibri" w:eastAsia="Times New Roman" w:hAnsi="Calibri" w:cs="Calibri"/>
                                <w:b/>
                                <w:bCs/>
                                <w:color w:val="FFFFFF" w:themeColor="background1"/>
                                <w:sz w:val="22"/>
                                <w:lang w:eastAsia="en-GB"/>
                              </w:rPr>
                              <w:t xml:space="preserve">Department of Transport </w:t>
                            </w:r>
                            <w:r w:rsidRPr="00611A9B">
                              <w:rPr>
                                <w:rFonts w:ascii="Calibri" w:eastAsia="Times New Roman" w:hAnsi="Calibri" w:cs="Calibri"/>
                                <w:b/>
                                <w:bCs/>
                                <w:color w:val="FFFFFF" w:themeColor="background1"/>
                                <w:sz w:val="22"/>
                                <w:lang w:eastAsia="en-GB"/>
                              </w:rPr>
                              <w:t>and Main Roads</w:t>
                            </w:r>
                          </w:p>
                          <w:p w14:paraId="558D9F3A" w14:textId="77777777" w:rsidR="002553BA" w:rsidRPr="00611A9B" w:rsidRDefault="002553BA" w:rsidP="002553BA">
                            <w:pPr>
                              <w:jc w:val="right"/>
                              <w:rPr>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F4EA6" id="_x0000_t202" coordsize="21600,21600" o:spt="202" path="m,l,21600r21600,l21600,xe">
                <v:stroke joinstyle="miter"/>
                <v:path gradientshapeok="t" o:connecttype="rect"/>
              </v:shapetype>
              <v:shape id="Text Box 7" o:spid="_x0000_s1026" type="#_x0000_t202" style="position:absolute;margin-left:168.3pt;margin-top:-23.85pt;width:314.3pt;height:2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" filled="f" stroked="f" strokeweight=".5pt">
                <v:textbox>
                  <w:txbxContent>
                    <w:p w14:paraId="7D30D5F9" w14:textId="77777777" w:rsidR="002553BA" w:rsidRPr="00611A9B" w:rsidRDefault="002553BA" w:rsidP="00AC050E">
                      <w:pPr>
                        <w:spacing w:before="0" w:line="240" w:lineRule="auto"/>
                        <w:jc w:val="right"/>
                        <w:rPr>
                          <w:rFonts w:ascii="Calibri" w:eastAsia="Times New Roman" w:hAnsi="Calibri" w:cs="Calibri"/>
                          <w:b/>
                          <w:bCs/>
                          <w:color w:val="FFFFFF" w:themeColor="background1"/>
                          <w:sz w:val="22"/>
                          <w:lang w:eastAsia="en-GB"/>
                        </w:rPr>
                      </w:pPr>
                      <w:r w:rsidRPr="00AC050E">
                        <w:rPr>
                          <w:rFonts w:ascii="Calibri" w:eastAsia="Times New Roman" w:hAnsi="Calibri" w:cs="Calibri"/>
                          <w:b/>
                          <w:bCs/>
                          <w:color w:val="FFFFFF" w:themeColor="background1"/>
                          <w:sz w:val="22"/>
                          <w:lang w:eastAsia="en-GB"/>
                        </w:rPr>
                        <w:t xml:space="preserve">Department of Transport </w:t>
                      </w:r>
                      <w:r w:rsidRPr="00611A9B">
                        <w:rPr>
                          <w:rFonts w:ascii="Calibri" w:eastAsia="Times New Roman" w:hAnsi="Calibri" w:cs="Calibri"/>
                          <w:b/>
                          <w:bCs/>
                          <w:color w:val="FFFFFF" w:themeColor="background1"/>
                          <w:sz w:val="22"/>
                          <w:lang w:eastAsia="en-GB"/>
                        </w:rPr>
                        <w:t>and Main Roads</w:t>
                      </w:r>
                    </w:p>
                    <w:p w14:paraId="558D9F3A" w14:textId="77777777" w:rsidR="002553BA" w:rsidRPr="00611A9B" w:rsidRDefault="002553BA" w:rsidP="002553BA">
                      <w:pPr>
                        <w:jc w:val="right"/>
                        <w:rPr>
                          <w:b/>
                          <w:bCs/>
                          <w:color w:val="FFFFFF" w:themeColor="background1"/>
                        </w:rPr>
                      </w:pPr>
                    </w:p>
                  </w:txbxContent>
                </v:textbox>
              </v:shape>
            </w:pict>
          </mc:Fallback>
        </mc:AlternateContent>
      </w:r>
    </w:p>
    <w:p w14:paraId="2AEDE55F" w14:textId="77777777" w:rsidR="002553BA" w:rsidRDefault="002553BA" w:rsidP="006800C7">
      <w:pPr>
        <w:rPr>
          <w:noProof/>
        </w:rPr>
      </w:pPr>
    </w:p>
    <w:p w14:paraId="2934E5B6" w14:textId="77777777" w:rsidR="002553BA" w:rsidRDefault="002553BA" w:rsidP="006800C7">
      <w:pPr>
        <w:rPr>
          <w:noProof/>
        </w:rPr>
      </w:pPr>
    </w:p>
    <w:p w14:paraId="2CF53B56" w14:textId="77777777" w:rsidR="002553BA" w:rsidRDefault="002553BA" w:rsidP="006800C7">
      <w:pPr>
        <w:rPr>
          <w:noProof/>
        </w:rPr>
      </w:pPr>
    </w:p>
    <w:p w14:paraId="225001CA" w14:textId="77777777" w:rsidR="002553BA" w:rsidRDefault="002553BA" w:rsidP="006800C7">
      <w:pPr>
        <w:rPr>
          <w:noProof/>
        </w:rPr>
      </w:pPr>
    </w:p>
    <w:p w14:paraId="1B44694E" w14:textId="73C9C289" w:rsidR="002553BA" w:rsidRDefault="002553BA" w:rsidP="006800C7">
      <w:pPr>
        <w:rPr>
          <w:noProof/>
        </w:rPr>
      </w:pPr>
      <w:r w:rsidRPr="002553BA">
        <w:rPr>
          <w:noProof/>
        </w:rPr>
        <mc:AlternateContent>
          <mc:Choice Requires="wps">
            <w:drawing>
              <wp:anchor distT="0" distB="0" distL="114300" distR="114300" simplePos="0" relativeHeight="251675648" behindDoc="0" locked="0" layoutInCell="1" allowOverlap="1" wp14:anchorId="6F8588EE" wp14:editId="72F83EED">
                <wp:simplePos x="0" y="0"/>
                <wp:positionH relativeFrom="margin">
                  <wp:align>center</wp:align>
                </wp:positionH>
                <wp:positionV relativeFrom="page">
                  <wp:posOffset>3126105</wp:posOffset>
                </wp:positionV>
                <wp:extent cx="2724785" cy="2357755"/>
                <wp:effectExtent l="19050" t="19050" r="37465" b="42545"/>
                <wp:wrapNone/>
                <wp:docPr id="1" name="Text Box 1"/>
                <wp:cNvGraphicFramePr/>
                <a:graphic xmlns:a="http://schemas.openxmlformats.org/drawingml/2006/main">
                  <a:graphicData uri="http://schemas.microsoft.com/office/word/2010/wordprocessingShape">
                    <wps:wsp>
                      <wps:cNvSpPr txBox="1"/>
                      <wps:spPr>
                        <a:xfrm>
                          <a:off x="0" y="0"/>
                          <a:ext cx="2724785" cy="2357755"/>
                        </a:xfrm>
                        <a:prstGeom prst="rect">
                          <a:avLst/>
                        </a:prstGeom>
                        <a:solidFill>
                          <a:schemeClr val="tx1">
                            <a:alpha val="55000"/>
                          </a:schemeClr>
                        </a:solidFill>
                        <a:ln w="60325">
                          <a:solidFill>
                            <a:schemeClr val="bg1"/>
                          </a:solidFill>
                        </a:ln>
                      </wps:spPr>
                      <wps:txbx>
                        <w:txbxContent>
                          <w:p w14:paraId="230E526E" w14:textId="191BFE50" w:rsidR="002553BA" w:rsidRDefault="002553BA" w:rsidP="00D32433">
                            <w:pPr>
                              <w:snapToGrid w:val="0"/>
                              <w:spacing w:before="0" w:line="240" w:lineRule="auto"/>
                              <w:jc w:val="center"/>
                              <w:rPr>
                                <w:rFonts w:ascii="Arial Narrow" w:hAnsi="Arial Narrow"/>
                                <w:b/>
                                <w:bCs/>
                                <w:noProof/>
                                <w:color w:val="FFFFFF" w:themeColor="background1"/>
                                <w:sz w:val="96"/>
                                <w:szCs w:val="96"/>
                              </w:rPr>
                            </w:pPr>
                            <w:r>
                              <w:rPr>
                                <w:rFonts w:ascii="Arial Narrow" w:hAnsi="Arial Narrow"/>
                                <w:b/>
                                <w:bCs/>
                                <w:noProof/>
                                <w:color w:val="FFFFFF" w:themeColor="background1"/>
                                <w:sz w:val="96"/>
                                <w:szCs w:val="96"/>
                              </w:rPr>
                              <w:t>Annual</w:t>
                            </w:r>
                            <w:r>
                              <w:rPr>
                                <w:rFonts w:ascii="Arial Narrow" w:hAnsi="Arial Narrow"/>
                                <w:b/>
                                <w:bCs/>
                                <w:noProof/>
                                <w:color w:val="FFFFFF" w:themeColor="background1"/>
                                <w:sz w:val="96"/>
                                <w:szCs w:val="96"/>
                              </w:rPr>
                              <w:br/>
                              <w:t>Report</w:t>
                            </w:r>
                            <w:r>
                              <w:rPr>
                                <w:rFonts w:ascii="Arial Narrow" w:hAnsi="Arial Narrow"/>
                                <w:b/>
                                <w:bCs/>
                                <w:noProof/>
                                <w:color w:val="FFFFFF" w:themeColor="background1"/>
                                <w:sz w:val="96"/>
                                <w:szCs w:val="96"/>
                              </w:rPr>
                              <w:br/>
                            </w:r>
                            <w:r w:rsidR="00D32433" w:rsidRPr="00D32433">
                              <w:rPr>
                                <w:rFonts w:ascii="Arial Narrow" w:hAnsi="Arial Narrow"/>
                                <w:noProof/>
                                <w:color w:val="FFFFFF" w:themeColor="background1"/>
                                <w:sz w:val="72"/>
                                <w:szCs w:val="72"/>
                              </w:rPr>
                              <w:t>2021-2022</w:t>
                            </w:r>
                          </w:p>
                          <w:p w14:paraId="61F7FE08" w14:textId="01D950E0" w:rsidR="00D32433" w:rsidRDefault="00D32433" w:rsidP="00D32433">
                            <w:pPr>
                              <w:snapToGrid w:val="0"/>
                              <w:spacing w:before="0" w:line="240" w:lineRule="auto"/>
                              <w:jc w:val="center"/>
                              <w:rPr>
                                <w:rFonts w:ascii="Arial Narrow" w:hAnsi="Arial Narrow"/>
                                <w:b/>
                                <w:bCs/>
                                <w:noProof/>
                                <w:color w:val="FFFFFF" w:themeColor="background1"/>
                                <w:sz w:val="96"/>
                                <w:szCs w:val="96"/>
                              </w:rPr>
                            </w:pPr>
                          </w:p>
                          <w:p w14:paraId="09005E4C" w14:textId="6E2E3092" w:rsidR="00D32433" w:rsidRDefault="00D32433" w:rsidP="002553BA">
                            <w:pPr>
                              <w:snapToGrid w:val="0"/>
                              <w:spacing w:line="240" w:lineRule="auto"/>
                              <w:jc w:val="center"/>
                              <w:rPr>
                                <w:rFonts w:ascii="Arial Narrow" w:hAnsi="Arial Narrow"/>
                                <w:b/>
                                <w:bCs/>
                                <w:noProof/>
                                <w:color w:val="FFFFFF" w:themeColor="background1"/>
                                <w:sz w:val="96"/>
                                <w:szCs w:val="96"/>
                              </w:rPr>
                            </w:pPr>
                          </w:p>
                          <w:p w14:paraId="7D0A5340" w14:textId="77777777" w:rsidR="00D32433" w:rsidRPr="002553BA" w:rsidRDefault="00D32433" w:rsidP="002553BA">
                            <w:pPr>
                              <w:snapToGrid w:val="0"/>
                              <w:spacing w:line="240" w:lineRule="auto"/>
                              <w:jc w:val="center"/>
                              <w:rPr>
                                <w:rFonts w:ascii="Arial Narrow" w:hAnsi="Arial Narrow"/>
                                <w:b/>
                                <w:bCs/>
                                <w:noProof/>
                                <w:color w:val="FFFFFF" w:themeColor="background1"/>
                                <w:sz w:val="96"/>
                                <w:szCs w:val="96"/>
                              </w:rPr>
                            </w:pP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588EE" id="Text Box 1" o:spid="_x0000_s1027" type="#_x0000_t202" style="position:absolute;margin-left:0;margin-top:246.15pt;width:214.55pt;height:185.6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" fillcolor="black [3213]" strokecolor="white [3212]" strokeweight="4.75pt">
                <v:fill opacity="35980f"/>
                <v:textbox inset=",5mm">
                  <w:txbxContent>
                    <w:p w14:paraId="230E526E" w14:textId="191BFE50" w:rsidR="002553BA" w:rsidRDefault="002553BA" w:rsidP="00D32433">
                      <w:pPr>
                        <w:snapToGrid w:val="0"/>
                        <w:spacing w:before="0" w:line="240" w:lineRule="auto"/>
                        <w:jc w:val="center"/>
                        <w:rPr>
                          <w:rFonts w:ascii="Arial Narrow" w:hAnsi="Arial Narrow"/>
                          <w:b/>
                          <w:bCs/>
                          <w:noProof/>
                          <w:color w:val="FFFFFF" w:themeColor="background1"/>
                          <w:sz w:val="96"/>
                          <w:szCs w:val="96"/>
                        </w:rPr>
                      </w:pPr>
                      <w:r>
                        <w:rPr>
                          <w:rFonts w:ascii="Arial Narrow" w:hAnsi="Arial Narrow"/>
                          <w:b/>
                          <w:bCs/>
                          <w:noProof/>
                          <w:color w:val="FFFFFF" w:themeColor="background1"/>
                          <w:sz w:val="96"/>
                          <w:szCs w:val="96"/>
                        </w:rPr>
                        <w:t>Annual</w:t>
                      </w:r>
                      <w:r>
                        <w:rPr>
                          <w:rFonts w:ascii="Arial Narrow" w:hAnsi="Arial Narrow"/>
                          <w:b/>
                          <w:bCs/>
                          <w:noProof/>
                          <w:color w:val="FFFFFF" w:themeColor="background1"/>
                          <w:sz w:val="96"/>
                          <w:szCs w:val="96"/>
                        </w:rPr>
                        <w:br/>
                        <w:t>Report</w:t>
                      </w:r>
                      <w:r>
                        <w:rPr>
                          <w:rFonts w:ascii="Arial Narrow" w:hAnsi="Arial Narrow"/>
                          <w:b/>
                          <w:bCs/>
                          <w:noProof/>
                          <w:color w:val="FFFFFF" w:themeColor="background1"/>
                          <w:sz w:val="96"/>
                          <w:szCs w:val="96"/>
                        </w:rPr>
                        <w:br/>
                      </w:r>
                      <w:r w:rsidR="00D32433" w:rsidRPr="00D32433">
                        <w:rPr>
                          <w:rFonts w:ascii="Arial Narrow" w:hAnsi="Arial Narrow"/>
                          <w:noProof/>
                          <w:color w:val="FFFFFF" w:themeColor="background1"/>
                          <w:sz w:val="72"/>
                          <w:szCs w:val="72"/>
                        </w:rPr>
                        <w:t>2021-2022</w:t>
                      </w:r>
                    </w:p>
                    <w:p w14:paraId="61F7FE08" w14:textId="01D950E0" w:rsidR="00D32433" w:rsidRDefault="00D32433" w:rsidP="00D32433">
                      <w:pPr>
                        <w:snapToGrid w:val="0"/>
                        <w:spacing w:before="0" w:line="240" w:lineRule="auto"/>
                        <w:jc w:val="center"/>
                        <w:rPr>
                          <w:rFonts w:ascii="Arial Narrow" w:hAnsi="Arial Narrow"/>
                          <w:b/>
                          <w:bCs/>
                          <w:noProof/>
                          <w:color w:val="FFFFFF" w:themeColor="background1"/>
                          <w:sz w:val="96"/>
                          <w:szCs w:val="96"/>
                        </w:rPr>
                      </w:pPr>
                    </w:p>
                    <w:p w14:paraId="09005E4C" w14:textId="6E2E3092" w:rsidR="00D32433" w:rsidRDefault="00D32433" w:rsidP="002553BA">
                      <w:pPr>
                        <w:snapToGrid w:val="0"/>
                        <w:spacing w:line="240" w:lineRule="auto"/>
                        <w:jc w:val="center"/>
                        <w:rPr>
                          <w:rFonts w:ascii="Arial Narrow" w:hAnsi="Arial Narrow"/>
                          <w:b/>
                          <w:bCs/>
                          <w:noProof/>
                          <w:color w:val="FFFFFF" w:themeColor="background1"/>
                          <w:sz w:val="96"/>
                          <w:szCs w:val="96"/>
                        </w:rPr>
                      </w:pPr>
                    </w:p>
                    <w:p w14:paraId="7D0A5340" w14:textId="77777777" w:rsidR="00D32433" w:rsidRPr="002553BA" w:rsidRDefault="00D32433" w:rsidP="002553BA">
                      <w:pPr>
                        <w:snapToGrid w:val="0"/>
                        <w:spacing w:line="240" w:lineRule="auto"/>
                        <w:jc w:val="center"/>
                        <w:rPr>
                          <w:rFonts w:ascii="Arial Narrow" w:hAnsi="Arial Narrow"/>
                          <w:b/>
                          <w:bCs/>
                          <w:noProof/>
                          <w:color w:val="FFFFFF" w:themeColor="background1"/>
                          <w:sz w:val="96"/>
                          <w:szCs w:val="96"/>
                        </w:rPr>
                      </w:pPr>
                    </w:p>
                  </w:txbxContent>
                </v:textbox>
                <w10:wrap anchorx="margin" anchory="page"/>
              </v:shape>
            </w:pict>
          </mc:Fallback>
        </mc:AlternateContent>
      </w:r>
    </w:p>
    <w:p w14:paraId="5276EAED" w14:textId="3CED39A8" w:rsidR="002553BA" w:rsidRDefault="002553BA" w:rsidP="006800C7">
      <w:pPr>
        <w:rPr>
          <w:noProof/>
        </w:rPr>
      </w:pPr>
    </w:p>
    <w:p w14:paraId="480C9EBE" w14:textId="59BA2643" w:rsidR="002553BA" w:rsidRDefault="002553BA" w:rsidP="006800C7">
      <w:pPr>
        <w:rPr>
          <w:noProof/>
        </w:rPr>
      </w:pPr>
    </w:p>
    <w:p w14:paraId="5E07DDAF" w14:textId="77777777" w:rsidR="002553BA" w:rsidRDefault="002553BA" w:rsidP="006800C7">
      <w:pPr>
        <w:rPr>
          <w:noProof/>
        </w:rPr>
      </w:pPr>
    </w:p>
    <w:p w14:paraId="4AA9DDDA" w14:textId="77777777" w:rsidR="002553BA" w:rsidRDefault="002553BA" w:rsidP="006800C7">
      <w:pPr>
        <w:rPr>
          <w:noProof/>
        </w:rPr>
      </w:pPr>
    </w:p>
    <w:p w14:paraId="272D7D52" w14:textId="77777777" w:rsidR="002553BA" w:rsidRDefault="002553BA" w:rsidP="006800C7">
      <w:pPr>
        <w:rPr>
          <w:noProof/>
        </w:rPr>
      </w:pPr>
    </w:p>
    <w:p w14:paraId="4961CF32" w14:textId="77777777" w:rsidR="002553BA" w:rsidRDefault="002553BA" w:rsidP="006800C7">
      <w:pPr>
        <w:rPr>
          <w:noProof/>
        </w:rPr>
      </w:pPr>
    </w:p>
    <w:p w14:paraId="3A3F4120" w14:textId="77777777" w:rsidR="002553BA" w:rsidRDefault="002553BA" w:rsidP="006800C7">
      <w:pPr>
        <w:rPr>
          <w:noProof/>
        </w:rPr>
      </w:pPr>
    </w:p>
    <w:p w14:paraId="79094ACD" w14:textId="77777777" w:rsidR="002553BA" w:rsidRDefault="002553BA" w:rsidP="006800C7">
      <w:pPr>
        <w:rPr>
          <w:noProof/>
        </w:rPr>
      </w:pPr>
    </w:p>
    <w:p w14:paraId="1014FE4E" w14:textId="77777777" w:rsidR="002553BA" w:rsidRDefault="002553BA" w:rsidP="006800C7">
      <w:pPr>
        <w:rPr>
          <w:noProof/>
        </w:rPr>
      </w:pPr>
    </w:p>
    <w:p w14:paraId="36F17D3F" w14:textId="77777777" w:rsidR="002553BA" w:rsidRDefault="002553BA" w:rsidP="006800C7">
      <w:pPr>
        <w:rPr>
          <w:noProof/>
        </w:rPr>
      </w:pPr>
    </w:p>
    <w:p w14:paraId="72A8A6A7" w14:textId="77777777" w:rsidR="002553BA" w:rsidRDefault="002553BA" w:rsidP="006800C7">
      <w:pPr>
        <w:rPr>
          <w:noProof/>
        </w:rPr>
      </w:pPr>
    </w:p>
    <w:p w14:paraId="7C48A9E1" w14:textId="77777777" w:rsidR="002553BA" w:rsidRDefault="002553BA" w:rsidP="006800C7">
      <w:pPr>
        <w:rPr>
          <w:noProof/>
        </w:rPr>
      </w:pPr>
    </w:p>
    <w:p w14:paraId="3D0AE55E" w14:textId="77777777" w:rsidR="002553BA" w:rsidRDefault="002553BA" w:rsidP="006800C7">
      <w:pPr>
        <w:rPr>
          <w:noProof/>
        </w:rPr>
      </w:pPr>
    </w:p>
    <w:p w14:paraId="46200693" w14:textId="77777777" w:rsidR="002553BA" w:rsidRDefault="002553BA" w:rsidP="006800C7">
      <w:pPr>
        <w:rPr>
          <w:noProof/>
        </w:rPr>
      </w:pPr>
    </w:p>
    <w:p w14:paraId="5269E74E" w14:textId="77777777" w:rsidR="002553BA" w:rsidRDefault="002553BA" w:rsidP="006800C7">
      <w:pPr>
        <w:rPr>
          <w:noProof/>
        </w:rPr>
      </w:pPr>
    </w:p>
    <w:p w14:paraId="57AC142E" w14:textId="77777777" w:rsidR="002553BA" w:rsidRDefault="002553BA" w:rsidP="006800C7">
      <w:pPr>
        <w:rPr>
          <w:noProof/>
        </w:rPr>
      </w:pPr>
    </w:p>
    <w:p w14:paraId="500B2AB7" w14:textId="77777777" w:rsidR="006800C7" w:rsidRPr="006800C7" w:rsidRDefault="006800C7" w:rsidP="006800C7">
      <w:pPr>
        <w:pStyle w:val="Heading1"/>
      </w:pPr>
      <w:r w:rsidRPr="006800C7">
        <w:lastRenderedPageBreak/>
        <w:t xml:space="preserve">Introduction </w:t>
      </w:r>
    </w:p>
    <w:p w14:paraId="6B2734C6" w14:textId="49AC4D9B" w:rsidR="000D593A" w:rsidRPr="006A7454" w:rsidRDefault="000D593A" w:rsidP="000D593A">
      <w:pPr>
        <w:pStyle w:val="Heading3"/>
        <w:rPr>
          <w:rStyle w:val="Strong"/>
        </w:rPr>
      </w:pPr>
      <w:r>
        <w:rPr>
          <w:rStyle w:val="Strong"/>
        </w:rPr>
        <w:t xml:space="preserve">Copyright </w:t>
      </w:r>
    </w:p>
    <w:p w14:paraId="3F0024C2" w14:textId="5F302D3D" w:rsidR="003F22E0" w:rsidRDefault="003F22E0" w:rsidP="003F22E0">
      <w:pPr>
        <w:pStyle w:val="Heading3"/>
        <w:rPr>
          <w:rFonts w:eastAsiaTheme="minorHAnsi" w:cs="Arial"/>
          <w:color w:val="262626" w:themeColor="text1" w:themeTint="D9"/>
          <w:sz w:val="18"/>
          <w:szCs w:val="22"/>
        </w:rPr>
      </w:pPr>
      <w:r w:rsidRPr="003F22E0">
        <w:rPr>
          <w:rFonts w:eastAsiaTheme="minorHAnsi" w:cs="Arial"/>
          <w:color w:val="262626" w:themeColor="text1" w:themeTint="D9"/>
          <w:sz w:val="18"/>
          <w:szCs w:val="22"/>
        </w:rPr>
        <w:t>This publication is protected by the Copyright Act 1968.</w:t>
      </w:r>
      <w:r>
        <w:rPr>
          <w:rFonts w:eastAsiaTheme="minorHAnsi" w:cs="Arial"/>
          <w:color w:val="262626" w:themeColor="text1" w:themeTint="D9"/>
          <w:sz w:val="18"/>
          <w:szCs w:val="22"/>
        </w:rPr>
        <w:br/>
      </w:r>
      <w:r w:rsidRPr="003F22E0">
        <w:rPr>
          <w:rFonts w:eastAsiaTheme="minorHAnsi" w:cs="Arial"/>
          <w:color w:val="262626" w:themeColor="text1" w:themeTint="D9"/>
          <w:sz w:val="18"/>
          <w:szCs w:val="22"/>
        </w:rPr>
        <w:t>© State of Queensland (Department of Transport and Main Roads), 2022</w:t>
      </w:r>
      <w:r>
        <w:rPr>
          <w:rFonts w:eastAsiaTheme="minorHAnsi" w:cs="Arial"/>
          <w:color w:val="262626" w:themeColor="text1" w:themeTint="D9"/>
          <w:sz w:val="18"/>
          <w:szCs w:val="22"/>
        </w:rPr>
        <w:br/>
      </w:r>
      <w:r w:rsidRPr="003F22E0">
        <w:rPr>
          <w:rFonts w:eastAsiaTheme="minorHAnsi" w:cs="Arial"/>
          <w:color w:val="262626" w:themeColor="text1" w:themeTint="D9"/>
          <w:sz w:val="18"/>
          <w:szCs w:val="22"/>
        </w:rPr>
        <w:t>Compiled and published by the Queensland Department of Transport and Main Roads.</w:t>
      </w:r>
    </w:p>
    <w:p w14:paraId="57727E47" w14:textId="2A3B462E" w:rsidR="006800C7" w:rsidRPr="006A7454" w:rsidRDefault="006800C7" w:rsidP="003F22E0">
      <w:pPr>
        <w:pStyle w:val="Heading3"/>
        <w:rPr>
          <w:rStyle w:val="Strong"/>
        </w:rPr>
      </w:pPr>
      <w:r w:rsidRPr="006A7454">
        <w:rPr>
          <w:rStyle w:val="Strong"/>
        </w:rPr>
        <w:t>Licence</w:t>
      </w:r>
    </w:p>
    <w:p w14:paraId="62C38CC0" w14:textId="77777777" w:rsidR="00B72BF1" w:rsidRDefault="00B72BF1" w:rsidP="00B72BF1">
      <w:r>
        <w:t>The material in this work is licensed by the Department of Transport and Main Roads under a Creative Commons Attribution 4.0 International licence (CC BY 4.0), with the exception of:</w:t>
      </w:r>
    </w:p>
    <w:p w14:paraId="02FB8B2E" w14:textId="3EEE26AC" w:rsidR="00B72BF1" w:rsidRDefault="00B72BF1" w:rsidP="00057BD1">
      <w:pPr>
        <w:pStyle w:val="ListBullet"/>
      </w:pPr>
      <w:r>
        <w:t>the Queensland Coat of Arms</w:t>
      </w:r>
    </w:p>
    <w:p w14:paraId="071706A2" w14:textId="0C6666C7" w:rsidR="00B72BF1" w:rsidRDefault="00B72BF1" w:rsidP="00057BD1">
      <w:pPr>
        <w:pStyle w:val="ListBullet"/>
      </w:pPr>
      <w:r>
        <w:t>this department’s logo</w:t>
      </w:r>
    </w:p>
    <w:p w14:paraId="19661AB2" w14:textId="0797B098" w:rsidR="00B72BF1" w:rsidRDefault="00B72BF1" w:rsidP="00057BD1">
      <w:pPr>
        <w:pStyle w:val="ListBullet"/>
      </w:pPr>
      <w:r>
        <w:t>any third party material</w:t>
      </w:r>
    </w:p>
    <w:p w14:paraId="7D1ADEB7" w14:textId="6045EAE6" w:rsidR="00B72BF1" w:rsidRDefault="00B72BF1" w:rsidP="00057BD1">
      <w:pPr>
        <w:pStyle w:val="ListBullet"/>
      </w:pPr>
      <w:r>
        <w:t>any material protected by a trademark, and</w:t>
      </w:r>
    </w:p>
    <w:p w14:paraId="0ADF0F0D" w14:textId="26FD2803" w:rsidR="00B72BF1" w:rsidRDefault="00B72BF1" w:rsidP="00057BD1">
      <w:pPr>
        <w:pStyle w:val="ListBullet"/>
      </w:pPr>
      <w:r>
        <w:t>any images and/or photographs.</w:t>
      </w:r>
    </w:p>
    <w:p w14:paraId="2A512BA2" w14:textId="77777777" w:rsidR="00B72BF1" w:rsidRDefault="00B72BF1" w:rsidP="00B72BF1">
      <w:r>
        <w:t>More information on the CC BY licence is set out as follows:</w:t>
      </w:r>
    </w:p>
    <w:p w14:paraId="0703AB64" w14:textId="78B587FC" w:rsidR="00B72BF1" w:rsidRDefault="00B72BF1" w:rsidP="00057BD1">
      <w:pPr>
        <w:pStyle w:val="ListBullet"/>
      </w:pPr>
      <w:r>
        <w:t>Creative Commons website–https://www.creativecommons.org</w:t>
      </w:r>
    </w:p>
    <w:p w14:paraId="32D2BE05" w14:textId="67EE178F" w:rsidR="00B72BF1" w:rsidRDefault="00B72BF1" w:rsidP="00057BD1">
      <w:pPr>
        <w:pStyle w:val="ListBullet"/>
      </w:pPr>
      <w:r>
        <w:t>Attribution 4.0 international (CC BY 4.0)–https://www.creativecommons.org/ licenses/by/4.0/</w:t>
      </w:r>
    </w:p>
    <w:p w14:paraId="23B8B1E9" w14:textId="77777777" w:rsidR="006800C7" w:rsidRDefault="006800C7" w:rsidP="006800C7"/>
    <w:p w14:paraId="7F8DFA07" w14:textId="77777777" w:rsidR="006800C7" w:rsidRDefault="006800C7" w:rsidP="006800C7">
      <w:r>
        <w:rPr>
          <w:noProof/>
        </w:rPr>
        <w:drawing>
          <wp:anchor distT="0" distB="0" distL="114300" distR="114300" simplePos="0" relativeHeight="251662336" behindDoc="0" locked="0" layoutInCell="1" allowOverlap="1" wp14:anchorId="609FFFC7" wp14:editId="7524544D">
            <wp:simplePos x="0" y="0"/>
            <wp:positionH relativeFrom="margin">
              <wp:align>left</wp:align>
            </wp:positionH>
            <wp:positionV relativeFrom="paragraph">
              <wp:posOffset>73025</wp:posOffset>
            </wp:positionV>
            <wp:extent cx="876300" cy="306705"/>
            <wp:effectExtent l="0" t="0" r="0" b="0"/>
            <wp:wrapThrough wrapText="bothSides">
              <wp:wrapPolygon edited="0">
                <wp:start x="0" y="0"/>
                <wp:lineTo x="0" y="20124"/>
                <wp:lineTo x="21130" y="20124"/>
                <wp:lineTo x="21130" y="0"/>
                <wp:lineTo x="0" y="0"/>
              </wp:wrapPolygon>
            </wp:wrapThrough>
            <wp:docPr id="22" name="Picture 2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C-by.jpg"/>
                    <pic:cNvPicPr/>
                  </pic:nvPicPr>
                  <pic:blipFill>
                    <a:blip r:embed="rId14">
                      <a:extLst>
                        <a:ext uri="{28A0092B-C50C-407E-A947-70E740481C1C}">
                          <a14:useLocalDpi xmlns:a14="http://schemas.microsoft.com/office/drawing/2010/main" val="0"/>
                        </a:ext>
                      </a:extLst>
                    </a:blip>
                    <a:stretch>
                      <a:fillRect/>
                    </a:stretch>
                  </pic:blipFill>
                  <pic:spPr>
                    <a:xfrm>
                      <a:off x="0" y="0"/>
                      <a:ext cx="876300" cy="306705"/>
                    </a:xfrm>
                    <a:prstGeom prst="rect">
                      <a:avLst/>
                    </a:prstGeom>
                  </pic:spPr>
                </pic:pic>
              </a:graphicData>
            </a:graphic>
            <wp14:sizeRelH relativeFrom="page">
              <wp14:pctWidth>0</wp14:pctWidth>
            </wp14:sizeRelH>
            <wp14:sizeRelV relativeFrom="page">
              <wp14:pctHeight>0</wp14:pctHeight>
            </wp14:sizeRelV>
          </wp:anchor>
        </w:drawing>
      </w:r>
    </w:p>
    <w:p w14:paraId="0285436E" w14:textId="77777777" w:rsidR="006800C7" w:rsidRPr="006A7454" w:rsidRDefault="006800C7" w:rsidP="006800C7">
      <w:pPr>
        <w:rPr>
          <w:rStyle w:val="Strong"/>
        </w:rPr>
      </w:pPr>
      <w:r w:rsidRPr="006A7454">
        <w:rPr>
          <w:rStyle w:val="Strong"/>
        </w:rPr>
        <w:t>Attribution</w:t>
      </w:r>
    </w:p>
    <w:p w14:paraId="5B5AAC76" w14:textId="6A5F2A1D" w:rsidR="00BA1B89" w:rsidRDefault="00BA1B89" w:rsidP="00BA1B89">
      <w:r>
        <w:t>The CC BY 4.0 licence is a standard form licence agreement that allows you to copy and redistribute the material in any medium or format, as well as remix, transform, and build upon the material, on the condition that you provide a link to the licence, you indicate if changes were made, and you attribute the material as follows:</w:t>
      </w:r>
    </w:p>
    <w:p w14:paraId="79FFC69A" w14:textId="60400E8C" w:rsidR="00BA1B89" w:rsidRDefault="00BA1B89" w:rsidP="00BA1B89">
      <w:r>
        <w:t>© The State of Queensland (Department of Transport and Main Roads), Annual Report 2021–2022, 2022 is licensed under CC BY 4.0</w:t>
      </w:r>
    </w:p>
    <w:p w14:paraId="2865FD50" w14:textId="74AF28DE" w:rsidR="00BA1B89" w:rsidRDefault="00BA1B89" w:rsidP="00BA1B89">
      <w:r>
        <w:t>Enquiries about the use of any material in this publication can be sent to the department at: copyright@tmr.qov.au</w:t>
      </w:r>
    </w:p>
    <w:p w14:paraId="475F2B34" w14:textId="50547E4A" w:rsidR="006800C7" w:rsidRDefault="00BA1B89" w:rsidP="00BA1B89">
      <w:r>
        <w:t xml:space="preserve">ISSN: 1837-2694 </w:t>
      </w:r>
      <w:r>
        <w:br/>
        <w:t>ISSN: 1837-2708 (pdf)</w:t>
      </w:r>
    </w:p>
    <w:p w14:paraId="29094574" w14:textId="77777777" w:rsidR="006800C7" w:rsidRDefault="006800C7" w:rsidP="006800C7">
      <w:pPr>
        <w:pStyle w:val="ListBullet"/>
        <w:numPr>
          <w:ilvl w:val="0"/>
          <w:numId w:val="0"/>
        </w:numPr>
        <w:ind w:left="288" w:hanging="288"/>
      </w:pPr>
    </w:p>
    <w:p w14:paraId="7CF44D2E" w14:textId="77777777" w:rsidR="006800C7" w:rsidRPr="00004F4B" w:rsidRDefault="006800C7" w:rsidP="006800C7">
      <w:pPr>
        <w:pStyle w:val="Heading2"/>
      </w:pPr>
      <w:r>
        <w:lastRenderedPageBreak/>
        <w:t>Letter of compliance</w:t>
      </w:r>
    </w:p>
    <w:p w14:paraId="4341DAEB" w14:textId="6E53F456" w:rsidR="006800C7" w:rsidRDefault="006800C7" w:rsidP="006800C7">
      <w:r>
        <w:t>21 September 202</w:t>
      </w:r>
      <w:r w:rsidR="00A14BA1">
        <w:t>2</w:t>
      </w:r>
    </w:p>
    <w:p w14:paraId="507830ED" w14:textId="77777777" w:rsidR="006800C7" w:rsidRDefault="006800C7" w:rsidP="006800C7">
      <w:r>
        <w:t>The Honourable Mark Bailey MP</w:t>
      </w:r>
      <w:r>
        <w:br/>
        <w:t>Minister for Transport and Main Roads</w:t>
      </w:r>
      <w:r>
        <w:br/>
        <w:t>1 William Street, Brisbane, Queensland 4000</w:t>
      </w:r>
    </w:p>
    <w:p w14:paraId="2DF9DFD9" w14:textId="77777777" w:rsidR="006800C7" w:rsidRDefault="006800C7" w:rsidP="006800C7">
      <w:r>
        <w:t>Dear Minister</w:t>
      </w:r>
    </w:p>
    <w:p w14:paraId="69EABC8B" w14:textId="77777777" w:rsidR="0058109B" w:rsidRDefault="0058109B" w:rsidP="006800C7">
      <w:r w:rsidRPr="0058109B">
        <w:t>I am pleased to submit for presentation to the Parliament, the Annual Report 2021–22 and financial statements for the Department of Transport and Main Roads.</w:t>
      </w:r>
    </w:p>
    <w:p w14:paraId="25CE4A2F" w14:textId="3C4CD095" w:rsidR="006800C7" w:rsidRDefault="006800C7" w:rsidP="006800C7">
      <w:r>
        <w:t>I certify that this annual report complies with:</w:t>
      </w:r>
    </w:p>
    <w:p w14:paraId="7600A1BF" w14:textId="77777777" w:rsidR="006800C7" w:rsidRPr="00CA708D" w:rsidRDefault="006800C7" w:rsidP="006800C7">
      <w:pPr>
        <w:pStyle w:val="ListBullet"/>
        <w:numPr>
          <w:ilvl w:val="0"/>
          <w:numId w:val="12"/>
        </w:numPr>
        <w:tabs>
          <w:tab w:val="left" w:pos="284"/>
        </w:tabs>
        <w:spacing w:before="120" w:after="0" w:line="260" w:lineRule="exact"/>
        <w:ind w:left="288" w:hanging="288"/>
      </w:pPr>
      <w:r w:rsidRPr="00CA708D">
        <w:t xml:space="preserve">the prescribed requirements of the </w:t>
      </w:r>
      <w:r w:rsidRPr="001D6474">
        <w:rPr>
          <w:rStyle w:val="Emphasis"/>
        </w:rPr>
        <w:t>Financial Accountability Act 2009</w:t>
      </w:r>
      <w:r w:rsidRPr="00CA708D">
        <w:t xml:space="preserve"> and the </w:t>
      </w:r>
      <w:r w:rsidRPr="001D6474">
        <w:rPr>
          <w:rStyle w:val="Emphasis"/>
        </w:rPr>
        <w:t>Financial and Performance Management Standard 2019</w:t>
      </w:r>
      <w:r w:rsidRPr="00CA708D">
        <w:t xml:space="preserve"> </w:t>
      </w:r>
    </w:p>
    <w:p w14:paraId="114A10D4" w14:textId="77777777" w:rsidR="006800C7" w:rsidRDefault="006800C7" w:rsidP="006800C7">
      <w:pPr>
        <w:pStyle w:val="ListBullet"/>
        <w:numPr>
          <w:ilvl w:val="0"/>
          <w:numId w:val="12"/>
        </w:numPr>
        <w:tabs>
          <w:tab w:val="left" w:pos="284"/>
        </w:tabs>
        <w:spacing w:before="120" w:after="0" w:line="260" w:lineRule="exact"/>
        <w:ind w:left="288" w:hanging="288"/>
      </w:pPr>
      <w:r>
        <w:t xml:space="preserve">the detailed requirements set out in the Annual Report requirements for Queensland Government agencies. </w:t>
      </w:r>
    </w:p>
    <w:p w14:paraId="3392739C" w14:textId="77777777" w:rsidR="001308C4" w:rsidRDefault="001308C4" w:rsidP="006800C7">
      <w:pPr>
        <w:rPr>
          <w:color w:val="292829"/>
        </w:rPr>
      </w:pPr>
      <w:r>
        <w:rPr>
          <w:color w:val="292829"/>
          <w:spacing w:val="-4"/>
        </w:rPr>
        <w:t>A checklist outlining the annual report requirements can be found on page 219 of this annual report.</w:t>
      </w:r>
      <w:r>
        <w:rPr>
          <w:color w:val="292829"/>
        </w:rPr>
        <w:t xml:space="preserve"> </w:t>
      </w:r>
    </w:p>
    <w:p w14:paraId="0E2A6680" w14:textId="3AB457A0" w:rsidR="006800C7" w:rsidRDefault="001308C4" w:rsidP="006800C7">
      <w:r>
        <w:rPr>
          <w:color w:val="292829"/>
        </w:rPr>
        <w:t>Yours</w:t>
      </w:r>
      <w:r>
        <w:rPr>
          <w:color w:val="292829"/>
          <w:spacing w:val="-4"/>
        </w:rPr>
        <w:t xml:space="preserve"> </w:t>
      </w:r>
      <w:r>
        <w:rPr>
          <w:color w:val="292829"/>
        </w:rPr>
        <w:t>sincerely</w:t>
      </w:r>
    </w:p>
    <w:p w14:paraId="0BAAF274" w14:textId="77777777" w:rsidR="006800C7" w:rsidRDefault="006800C7" w:rsidP="006800C7"/>
    <w:p w14:paraId="3823F73A" w14:textId="6FC55D80" w:rsidR="006800C7" w:rsidRPr="004947DD" w:rsidRDefault="006800C7" w:rsidP="006800C7">
      <w:pPr>
        <w:rPr>
          <w:rStyle w:val="Emphasis"/>
        </w:rPr>
      </w:pPr>
      <w:r w:rsidRPr="00114E45">
        <w:rPr>
          <w:rStyle w:val="Strong"/>
        </w:rPr>
        <w:t>Neil Scales OBE</w:t>
      </w:r>
      <w:r>
        <w:br/>
        <w:t>Director-General</w:t>
      </w:r>
      <w:r>
        <w:br/>
        <w:t>Department of Transport and Main Roads</w:t>
      </w:r>
      <w:r>
        <w:br/>
      </w:r>
      <w:r w:rsidR="00E83DB2" w:rsidRPr="00E83DB2">
        <w:rPr>
          <w:rStyle w:val="Emphasis"/>
        </w:rPr>
        <w:t>ONC (Eng), HNC (EEng), BSc (Eng), C.Eng (UK), MSc (ContEng&amp;CompSys), DMS, MBA, FIEAust CPEng, EngExec, NER APEC Engineer Int PE (Aus), Hon FLJMU, FIMechE, FIET, FICE, FCIT, FILT, FRSA, FIRTE, FSOE, RPEQ, MAICD, VFF</w:t>
      </w:r>
    </w:p>
    <w:p w14:paraId="56D0308E" w14:textId="77777777" w:rsidR="006800C7" w:rsidRDefault="006800C7" w:rsidP="006800C7">
      <w:pPr>
        <w:pStyle w:val="Heading4"/>
      </w:pPr>
    </w:p>
    <w:p w14:paraId="0BE3922E" w14:textId="3D9825DA" w:rsidR="006800C7" w:rsidRPr="00D25E36" w:rsidRDefault="006800C7" w:rsidP="006800C7">
      <w:pPr>
        <w:pStyle w:val="MoreInformation"/>
      </w:pPr>
      <w:r w:rsidRPr="00D25E36">
        <w:t xml:space="preserve">For more information </w:t>
      </w:r>
      <w:r w:rsidRPr="00D25E36">
        <w:br/>
        <w:t xml:space="preserve">Phone: +61 7 3066 7247 </w:t>
      </w:r>
      <w:r w:rsidRPr="00D25E36">
        <w:br/>
        <w:t xml:space="preserve">Email: annual.report@tmr.qld.gov.au </w:t>
      </w:r>
      <w:r w:rsidRPr="00D25E36">
        <w:br/>
        <w:t xml:space="preserve">Visit: www.tmr.qld.gov.au </w:t>
      </w:r>
      <w:r w:rsidR="005103A7">
        <w:br/>
      </w:r>
      <w:r w:rsidR="00F25CC8" w:rsidRPr="00F25CC8">
        <w:t>https://www.tmr.qld.gov.au/annualreport</w:t>
      </w:r>
    </w:p>
    <w:p w14:paraId="346B92FA" w14:textId="77777777" w:rsidR="006800C7" w:rsidRPr="00004F4B" w:rsidRDefault="006800C7" w:rsidP="006800C7">
      <w:pPr>
        <w:pStyle w:val="MoreInformation"/>
      </w:pPr>
      <w:r w:rsidRPr="00364BAD">
        <w:t xml:space="preserve">You can provide feedback on the annual report at the Queensland Government Get Involved website: </w:t>
      </w:r>
      <w:hyperlink r:id="rId15" w:history="1">
        <w:r w:rsidRPr="00D26986">
          <w:rPr>
            <w:rStyle w:val="Hyperlink"/>
          </w:rPr>
          <w:t>www.qld.gov.au/annualreportfeedback</w:t>
        </w:r>
      </w:hyperlink>
    </w:p>
    <w:p w14:paraId="1DF2575D" w14:textId="77777777" w:rsidR="006800C7" w:rsidRDefault="006800C7" w:rsidP="006800C7">
      <w:pPr>
        <w:pStyle w:val="Heading2"/>
      </w:pPr>
    </w:p>
    <w:p w14:paraId="750E5CC1" w14:textId="77777777" w:rsidR="006800C7" w:rsidRPr="000C1B3F" w:rsidRDefault="006800C7" w:rsidP="006800C7"/>
    <w:p w14:paraId="43094D60" w14:textId="77777777" w:rsidR="006800C7" w:rsidRDefault="006800C7" w:rsidP="006800C7">
      <w:pPr>
        <w:pStyle w:val="Heading2"/>
      </w:pPr>
      <w:r>
        <w:lastRenderedPageBreak/>
        <w:t>About us</w:t>
      </w:r>
    </w:p>
    <w:p w14:paraId="56EA400E" w14:textId="77777777" w:rsidR="006800C7" w:rsidRDefault="006800C7" w:rsidP="006800C7">
      <w:pPr>
        <w:pStyle w:val="Heading4"/>
      </w:pPr>
      <w:r>
        <w:t>Our role</w:t>
      </w:r>
    </w:p>
    <w:p w14:paraId="172CB6FB" w14:textId="1456F18A" w:rsidR="00740D5A" w:rsidRPr="00740D5A" w:rsidRDefault="00740D5A" w:rsidP="000A3AC8">
      <w:r w:rsidRPr="00740D5A">
        <w:t>The Department of Transport and Main Roads (TMR) moves and connects people, places, goods, and services safely, efficiently, and effectively across Queensland.</w:t>
      </w:r>
    </w:p>
    <w:p w14:paraId="29746B4A" w14:textId="77777777" w:rsidR="00740D5A" w:rsidRPr="00740D5A" w:rsidRDefault="00740D5A" w:rsidP="000A3AC8">
      <w:r w:rsidRPr="00740D5A">
        <w:t>TMR is responsible for planning, managing, and delivering a single integrated transport network across road, rail, air, and sea for the state. Through this, TMR is committed to ensuring Queensland’s transport system contributes to people’s quality of life, a vibrant economy and a sustainable environment.</w:t>
      </w:r>
    </w:p>
    <w:p w14:paraId="52A8977C" w14:textId="6B708BFB" w:rsidR="00740D5A" w:rsidRPr="00740D5A" w:rsidRDefault="00740D5A" w:rsidP="000A3AC8">
      <w:r w:rsidRPr="00740D5A">
        <w:t>In 2021–22, TMR administered an operating budget of</w:t>
      </w:r>
      <w:r>
        <w:rPr>
          <w:iCs/>
        </w:rPr>
        <w:t xml:space="preserve"> </w:t>
      </w:r>
      <w:r w:rsidRPr="00740D5A">
        <w:t>$6.930 billion, a capital budget of $3.729 billion and managed assets worth $86.389 billion.</w:t>
      </w:r>
    </w:p>
    <w:p w14:paraId="2842CA11" w14:textId="77777777" w:rsidR="00740D5A" w:rsidRPr="00740D5A" w:rsidRDefault="00740D5A" w:rsidP="000A3AC8">
      <w:r w:rsidRPr="00740D5A">
        <w:t>This funding enables TMR to deliver transport and road infrastructure to connect Queensland and to help ensure the infrastructure built and maintained is efficient, reliable, and safe.</w:t>
      </w:r>
    </w:p>
    <w:p w14:paraId="210CC3CE" w14:textId="31CA039A" w:rsidR="00740D5A" w:rsidRDefault="00740D5A" w:rsidP="000A3AC8">
      <w:pPr>
        <w:rPr>
          <w:iCs/>
        </w:rPr>
      </w:pPr>
      <w:r w:rsidRPr="00740D5A">
        <w:t xml:space="preserve">TMR operates under the </w:t>
      </w:r>
      <w:r w:rsidRPr="000A3AC8">
        <w:rPr>
          <w:rStyle w:val="Emphasis"/>
        </w:rPr>
        <w:t>Administrative Arrangements Order (No.2) 2018</w:t>
      </w:r>
      <w:r w:rsidRPr="00740D5A">
        <w:t xml:space="preserve"> and the </w:t>
      </w:r>
      <w:r w:rsidRPr="000A3AC8">
        <w:rPr>
          <w:rStyle w:val="Emphasis"/>
        </w:rPr>
        <w:t>Public Service Departmental Arrangements Notice (No.4) 2017</w:t>
      </w:r>
      <w:r w:rsidRPr="00740D5A">
        <w:t>. It discharges its statutory obligations under 24 acts, listed in Appendix 1. Progress on achieving these obligations, further information and links to websites</w:t>
      </w:r>
      <w:r>
        <w:rPr>
          <w:iCs/>
        </w:rPr>
        <w:t xml:space="preserve"> </w:t>
      </w:r>
      <w:r w:rsidRPr="00740D5A">
        <w:t>are included throughout the report.</w:t>
      </w:r>
    </w:p>
    <w:p w14:paraId="0CE5DCA3" w14:textId="650F8FCE" w:rsidR="006800C7" w:rsidRPr="00B816FB" w:rsidRDefault="006800C7" w:rsidP="00740D5A">
      <w:pPr>
        <w:pStyle w:val="Heading4"/>
      </w:pPr>
      <w:r>
        <w:t>What the report contains</w:t>
      </w:r>
    </w:p>
    <w:p w14:paraId="18BF6658" w14:textId="350E5766" w:rsidR="00B50F93" w:rsidRDefault="00B50F93" w:rsidP="00B50F93">
      <w:r>
        <w:t>The Department of Transport and Main Roads’ Annual Report 2021–22 describes TMR’s operations for the financial year from 1 July 2021 to 30 June 2022.</w:t>
      </w:r>
    </w:p>
    <w:p w14:paraId="03107786" w14:textId="01C5F08D" w:rsidR="00736146" w:rsidRPr="006A25A8" w:rsidRDefault="00B50F93" w:rsidP="00B50F93">
      <w:r>
        <w:t>The report structure is separated into four main sections that align with our vision, to create a single integrated transport network accessible to everyone. Our progress is enabled by TMR’s organisational structure and delivered by TMR’s people.</w:t>
      </w:r>
    </w:p>
    <w:p w14:paraId="550D30CB" w14:textId="77777777" w:rsidR="006800C7" w:rsidRPr="00743C66" w:rsidRDefault="006800C7" w:rsidP="006800C7">
      <w:pPr>
        <w:pStyle w:val="Heading4"/>
      </w:pPr>
      <w:r w:rsidRPr="00743C66">
        <w:t>Wh</w:t>
      </w:r>
      <w:r>
        <w:t>y</w:t>
      </w:r>
      <w:r w:rsidRPr="00743C66">
        <w:t xml:space="preserve"> </w:t>
      </w:r>
      <w:r>
        <w:t>we have an Annual Report</w:t>
      </w:r>
    </w:p>
    <w:p w14:paraId="30139E7A" w14:textId="72767A69" w:rsidR="0034449E" w:rsidRPr="006A25A8" w:rsidRDefault="008E3DB7" w:rsidP="006800C7">
      <w:r w:rsidRPr="008E3DB7">
        <w:t xml:space="preserve">As well as meeting the statutory requirements set out in the </w:t>
      </w:r>
      <w:r w:rsidRPr="008E3DB7">
        <w:rPr>
          <w:rStyle w:val="Emphasis"/>
        </w:rPr>
        <w:t>Financial Accountability Act 2009</w:t>
      </w:r>
      <w:r w:rsidRPr="008E3DB7">
        <w:t xml:space="preserve"> and the </w:t>
      </w:r>
      <w:r w:rsidRPr="008E3DB7">
        <w:rPr>
          <w:rStyle w:val="Emphasis"/>
        </w:rPr>
        <w:t>Financial and Performance Management Standard 2019</w:t>
      </w:r>
      <w:r w:rsidRPr="008E3DB7">
        <w:t>, the Annual Report aims to inform stakeholders about TMR’s performance and strategic vision for a connected and accessible transport network for Queensland.</w:t>
      </w:r>
    </w:p>
    <w:p w14:paraId="3903D741" w14:textId="77777777" w:rsidR="006800C7" w:rsidRPr="00743C66" w:rsidRDefault="006800C7" w:rsidP="006800C7">
      <w:pPr>
        <w:pStyle w:val="Heading4"/>
      </w:pPr>
      <w:r>
        <w:t>Accessing the</w:t>
      </w:r>
      <w:r w:rsidRPr="00743C66">
        <w:t xml:space="preserve"> Annual Report</w:t>
      </w:r>
    </w:p>
    <w:p w14:paraId="00FC487C" w14:textId="357BDB2F" w:rsidR="00057BD1" w:rsidRDefault="00057BD1" w:rsidP="00057BD1">
      <w:r>
        <w:t>The Annual Report is available on TMR’s website at</w:t>
      </w:r>
      <w:r>
        <w:br/>
      </w:r>
      <w:r w:rsidRPr="00057BD1">
        <w:rPr>
          <w:rStyle w:val="Hyperlink"/>
        </w:rPr>
        <w:t>https://www.tmr.qld.gov.au/annualreport.</w:t>
      </w:r>
    </w:p>
    <w:p w14:paraId="5BC35B52" w14:textId="2760066F" w:rsidR="00057BD1" w:rsidRDefault="00057BD1" w:rsidP="00057BD1">
      <w:r>
        <w:t xml:space="preserve"> Additional annual reporting requirements have been published on the Queensland Government Open Data portal at https://www.qld.gov.au/data on topics including:</w:t>
      </w:r>
    </w:p>
    <w:p w14:paraId="709352B2" w14:textId="1901D89D" w:rsidR="00057BD1" w:rsidRDefault="00057BD1" w:rsidP="00057BD1">
      <w:pPr>
        <w:pStyle w:val="ListBullet"/>
      </w:pPr>
      <w:r>
        <w:t>school transport operator payments</w:t>
      </w:r>
    </w:p>
    <w:p w14:paraId="5ED864CF" w14:textId="7E3AA3FC" w:rsidR="00057BD1" w:rsidRDefault="00057BD1" w:rsidP="00057BD1">
      <w:pPr>
        <w:pStyle w:val="ListBullet"/>
      </w:pPr>
      <w:r>
        <w:t>consultancies</w:t>
      </w:r>
    </w:p>
    <w:p w14:paraId="2EA033A4" w14:textId="0680856F" w:rsidR="00057BD1" w:rsidRDefault="00057BD1" w:rsidP="00057BD1">
      <w:pPr>
        <w:pStyle w:val="ListBullet"/>
      </w:pPr>
      <w:r>
        <w:t>Queensland Language Services Policy.</w:t>
      </w:r>
    </w:p>
    <w:p w14:paraId="6FF450D9" w14:textId="77777777" w:rsidR="00057BD1" w:rsidRDefault="00057BD1" w:rsidP="00057BD1">
      <w:r>
        <w:lastRenderedPageBreak/>
        <w:t>An overseas travel expenditure report for the 2021–22 reporting year was not required due to no overseas travel being undertaken by any officers from the Department of Transport and Main Roads.</w:t>
      </w:r>
    </w:p>
    <w:p w14:paraId="7A01B75B" w14:textId="30EDBAD1" w:rsidR="00BA0697" w:rsidRDefault="00057BD1" w:rsidP="00057BD1">
      <w:r>
        <w:t>The Queensland Government is committed to delivering accessible services for all Queenslanders. Call 13 23 80 for support to access the annual report in a format that is accessible for you.</w:t>
      </w:r>
    </w:p>
    <w:p w14:paraId="005308E3" w14:textId="77777777" w:rsidR="006800C7" w:rsidRPr="00BA7499" w:rsidRDefault="006800C7" w:rsidP="006800C7">
      <w:pPr>
        <w:pStyle w:val="Heading4"/>
      </w:pPr>
      <w:r>
        <w:t xml:space="preserve">Transport and Main Roads Strategic Plan </w:t>
      </w:r>
    </w:p>
    <w:p w14:paraId="660AECBA" w14:textId="753C39B7" w:rsidR="00C313B6" w:rsidRDefault="00C313B6" w:rsidP="00C313B6">
      <w:r>
        <w:t xml:space="preserve">TMR’s </w:t>
      </w:r>
      <w:r w:rsidRPr="003257BF">
        <w:rPr>
          <w:rStyle w:val="Emphasis"/>
        </w:rPr>
        <w:t>Strategic Plan 2019–2023 (revised for 2021–22)</w:t>
      </w:r>
      <w:r>
        <w:t xml:space="preserve"> is a four-year direction-setting document that outlines a strong vision and purpose for the creation of a single integrated transport</w:t>
      </w:r>
      <w:r w:rsidR="007B6B0A">
        <w:t xml:space="preserve"> </w:t>
      </w:r>
      <w:r>
        <w:t>network accessible to everyone. The plan represents the third year of a strategic planning cycle that commenced on 1 July 2019 and was informed by extensive consultation from across TMR and with other Queensland Government agencies.</w:t>
      </w:r>
    </w:p>
    <w:p w14:paraId="4C287868" w14:textId="77777777" w:rsidR="00C313B6" w:rsidRDefault="00C313B6" w:rsidP="00C313B6">
      <w:r>
        <w:t>The strategic plan demonstrates:</w:t>
      </w:r>
    </w:p>
    <w:p w14:paraId="47A009A5" w14:textId="0CB6B151" w:rsidR="00C313B6" w:rsidRDefault="00C313B6" w:rsidP="007B6B0A">
      <w:pPr>
        <w:pStyle w:val="ListBullet"/>
      </w:pPr>
      <w:r>
        <w:t>how TMR contributes to the Queensland Government’s objectives for the community</w:t>
      </w:r>
    </w:p>
    <w:p w14:paraId="619ECCF1" w14:textId="6F3D9E6E" w:rsidR="00C313B6" w:rsidRDefault="00C313B6" w:rsidP="007B6B0A">
      <w:pPr>
        <w:pStyle w:val="ListBullet"/>
      </w:pPr>
      <w:r>
        <w:t>responds to the opportunities and challenges facing TMR, and</w:t>
      </w:r>
    </w:p>
    <w:p w14:paraId="4D057C07" w14:textId="017B70EA" w:rsidR="00C313B6" w:rsidRPr="00B97A87" w:rsidRDefault="00C313B6" w:rsidP="007B6B0A">
      <w:pPr>
        <w:pStyle w:val="ListBullet"/>
      </w:pPr>
      <w:r>
        <w:t>delivers for customers through the five strategic objectives centred around an accessible, safe, responsive, efficient and sustainable transport system.</w:t>
      </w:r>
    </w:p>
    <w:p w14:paraId="52811DB3" w14:textId="77777777" w:rsidR="006800C7" w:rsidRDefault="006800C7" w:rsidP="006800C7">
      <w:pPr>
        <w:pStyle w:val="Heading4"/>
      </w:pPr>
      <w:r>
        <w:t>Business planning</w:t>
      </w:r>
    </w:p>
    <w:p w14:paraId="2AAF7E07" w14:textId="0FD6ED76" w:rsidR="00F17280" w:rsidRDefault="00F17280" w:rsidP="00F17280">
      <w:r>
        <w:t>TMR’s divisional and branch business plans align with TMR’s strategic plan, all positioned to support the delivery of the five strategic objectives. These plans are ‘living documents’ and are reviewed quarterly to ensure TMR remains responsive to performance outcomes, operational risks and opportunities.</w:t>
      </w:r>
    </w:p>
    <w:p w14:paraId="60077A4C" w14:textId="29828A5E" w:rsidR="008172F6" w:rsidRPr="000671EC" w:rsidRDefault="00F17280" w:rsidP="00F17280">
      <w:r>
        <w:t>Business plans have been digitised via the TMR’s web-based reporting portal, BizCentral to maximise value-producing opportunities and to create more accessible, customisable and efficient planning processes. This has resulted in better business outcomes and enhanced internal planning activities. Progress on business initiatives are reported quarterly to the Executive Leadership Team (ELT) and shared across TMR.</w:t>
      </w:r>
    </w:p>
    <w:p w14:paraId="24A8F865" w14:textId="77777777" w:rsidR="006800C7" w:rsidRPr="00A80961" w:rsidRDefault="006800C7" w:rsidP="006800C7">
      <w:pPr>
        <w:spacing w:before="0" w:after="160" w:line="259" w:lineRule="auto"/>
        <w:rPr>
          <w:rFonts w:eastAsiaTheme="majorEastAsia" w:cstheme="majorBidi"/>
          <w:b/>
          <w:color w:val="1F3864" w:themeColor="accent1" w:themeShade="80"/>
          <w:sz w:val="52"/>
          <w:szCs w:val="32"/>
        </w:rPr>
      </w:pPr>
      <w:r>
        <w:br w:type="page"/>
      </w:r>
    </w:p>
    <w:p w14:paraId="014DFE95" w14:textId="77777777" w:rsidR="006800C7" w:rsidRPr="00DC44F0" w:rsidRDefault="006800C7" w:rsidP="006800C7">
      <w:pPr>
        <w:pStyle w:val="Heading2"/>
      </w:pPr>
      <w:r w:rsidRPr="00DC44F0">
        <w:lastRenderedPageBreak/>
        <w:t>Director-General</w:t>
      </w:r>
      <w:r>
        <w:t xml:space="preserve"> </w:t>
      </w:r>
      <w:r w:rsidRPr="00DC44F0">
        <w:t>Message</w:t>
      </w:r>
    </w:p>
    <w:p w14:paraId="12837C1C" w14:textId="5A167CED" w:rsidR="002E5F02" w:rsidRPr="002E5F02" w:rsidRDefault="002E5F02" w:rsidP="002E5F02">
      <w:pPr>
        <w:pStyle w:val="Heading4"/>
        <w:rPr>
          <w:iCs w:val="0"/>
          <w:color w:val="262626" w:themeColor="text1" w:themeTint="D9"/>
          <w:sz w:val="18"/>
        </w:rPr>
      </w:pPr>
      <w:r w:rsidRPr="002E5F02">
        <w:rPr>
          <w:iCs w:val="0"/>
          <w:color w:val="262626" w:themeColor="text1" w:themeTint="D9"/>
          <w:sz w:val="18"/>
        </w:rPr>
        <w:t>Welcome to the 2021–22 Annual Report for the Department of Transport and Main Roads (TMR).</w:t>
      </w:r>
    </w:p>
    <w:p w14:paraId="11BBE2BB" w14:textId="1221C070" w:rsidR="002E5F02" w:rsidRPr="002E5F02" w:rsidRDefault="002E5F02" w:rsidP="002E5F02">
      <w:pPr>
        <w:pStyle w:val="Heading4"/>
        <w:rPr>
          <w:iCs w:val="0"/>
          <w:color w:val="262626" w:themeColor="text1" w:themeTint="D9"/>
          <w:sz w:val="18"/>
        </w:rPr>
      </w:pPr>
      <w:r w:rsidRPr="002E5F02">
        <w:rPr>
          <w:iCs w:val="0"/>
          <w:color w:val="262626" w:themeColor="text1" w:themeTint="D9"/>
          <w:sz w:val="18"/>
        </w:rPr>
        <w:t>While the unprecedented events of the past year have tested our resilience and presented challenges on multiple fronts, I’m proud to say that we’ve strengthened our resolve to deliver a single, integrated transport system accessible to all Queenslanders.</w:t>
      </w:r>
    </w:p>
    <w:p w14:paraId="45548DF6" w14:textId="01451DBC" w:rsidR="002E5F02" w:rsidRPr="002E5F02" w:rsidRDefault="002E5F02" w:rsidP="002E5F02">
      <w:pPr>
        <w:pStyle w:val="Heading4"/>
        <w:rPr>
          <w:iCs w:val="0"/>
          <w:color w:val="262626" w:themeColor="text1" w:themeTint="D9"/>
          <w:sz w:val="18"/>
        </w:rPr>
      </w:pPr>
      <w:r w:rsidRPr="002E5F02">
        <w:rPr>
          <w:iCs w:val="0"/>
          <w:color w:val="262626" w:themeColor="text1" w:themeTint="D9"/>
          <w:sz w:val="18"/>
        </w:rPr>
        <w:t>This year’s Annual Report reflects on the strategic direction, priorities and values that underpin our work and drive our ambitious forward agenda. By embracing innovation, harnessing the latest technology, and working with our industry partners we’ve helped to keep our state moving and connect Queenslanders to the services they need.</w:t>
      </w:r>
    </w:p>
    <w:p w14:paraId="6D7EDF44" w14:textId="0104DCBC" w:rsidR="002E5F02" w:rsidRPr="002E5F02" w:rsidRDefault="002E5F02" w:rsidP="002E5F02">
      <w:pPr>
        <w:pStyle w:val="Heading4"/>
        <w:rPr>
          <w:iCs w:val="0"/>
          <w:color w:val="262626" w:themeColor="text1" w:themeTint="D9"/>
          <w:sz w:val="18"/>
        </w:rPr>
      </w:pPr>
      <w:r w:rsidRPr="002E5F02">
        <w:rPr>
          <w:iCs w:val="0"/>
          <w:color w:val="262626" w:themeColor="text1" w:themeTint="D9"/>
          <w:sz w:val="18"/>
        </w:rPr>
        <w:t>We’ve also maintained a strong focus on safety and delivered on flood recovery throughout the year with key initiatives including border protection for heavy vehicles, assistance to the</w:t>
      </w:r>
      <w:r>
        <w:rPr>
          <w:iCs w:val="0"/>
          <w:color w:val="262626" w:themeColor="text1" w:themeTint="D9"/>
          <w:sz w:val="18"/>
        </w:rPr>
        <w:t xml:space="preserve"> </w:t>
      </w:r>
      <w:r w:rsidRPr="002E5F02">
        <w:rPr>
          <w:iCs w:val="0"/>
          <w:color w:val="262626" w:themeColor="text1" w:themeTint="D9"/>
          <w:sz w:val="18"/>
        </w:rPr>
        <w:t>maritime industry, and coordinating repairs to road and transport networks impacted by extreme flooding. As ever, none of these achievements would be possible without the enduring and continuing commitment of our talented and dedicated people.</w:t>
      </w:r>
    </w:p>
    <w:p w14:paraId="1BF886CD" w14:textId="706D07DE" w:rsidR="006800C7" w:rsidRPr="00432A19" w:rsidRDefault="00C34AB5" w:rsidP="006800C7">
      <w:pPr>
        <w:pStyle w:val="Heading4"/>
      </w:pPr>
      <w:r>
        <w:t xml:space="preserve">Investing in a connected future </w:t>
      </w:r>
    </w:p>
    <w:p w14:paraId="1BA031D3" w14:textId="77777777" w:rsidR="001958E1" w:rsidRDefault="001958E1" w:rsidP="001958E1">
      <w:r>
        <w:t>Population growth, increased network demand, emerging technologies, and pandemic recovery are all factors driving significant investment in Queensland’s infrastructure agenda.</w:t>
      </w:r>
    </w:p>
    <w:p w14:paraId="1302FE63" w14:textId="77777777" w:rsidR="001958E1" w:rsidRDefault="001958E1" w:rsidP="001958E1">
      <w:r>
        <w:t>The Queensland Transport and Roads Investment Program (QTRIP) 2022–23 to 2025–26 (see page 29) provides a $29.7 billion plan that will support 25,200 jobs and deliver major transformation across our network.</w:t>
      </w:r>
    </w:p>
    <w:p w14:paraId="30006BF7" w14:textId="77777777" w:rsidR="001958E1" w:rsidRDefault="001958E1" w:rsidP="001958E1">
      <w:r>
        <w:t>Priority projects being delivered across the state include the Bruce Highway Upgrade Program including Caboolture-Bribie Island Road to Steve Irwin Way upgrade (see page 74), Logan and Gold Coast Faster Rail and Gold Coast Light Rail Stage Three projects (see page 79), Varsity Lakes to Tugun and Daisy Hill to Logan Motorway M1 upgrades (see page 81), Rockhampton Ring Road (see page 59), Cairns Ring Road, Cairns CBD to Smithfield (see page 39), and Cape York Region Package Stage Two (see page 40).</w:t>
      </w:r>
    </w:p>
    <w:p w14:paraId="34C61CB7" w14:textId="77777777" w:rsidR="001958E1" w:rsidRDefault="001958E1" w:rsidP="001958E1">
      <w:r>
        <w:t>The Queensland Train Manufacturing Program was established to meet the increasing demand on rail transport in South East Queensland across the next 10 years (see page 95). The Queensland Government has committed $600 million in QTRIP 2022–23 to 2025–26, which forms part of the $7.1 billion plan to deliver 65 six-car passenger trains manufactured at a purpose-built manufacturing facility at Torbanlea, in the Maryborough region. The program will also deliver a rail facility at Ormeau in the Gold Coast region.</w:t>
      </w:r>
    </w:p>
    <w:p w14:paraId="55C71DE0" w14:textId="3AC1E074" w:rsidR="001958E1" w:rsidRDefault="001958E1" w:rsidP="001958E1">
      <w:r>
        <w:t>The Brisbane 2032 Olympic and Paralympic Games (see page 18) will create enormous opportunities for our state in terms of jobs and innovation. We are undertaking preparatory work that will ensure</w:t>
      </w:r>
      <w:r w:rsidR="001E39BB">
        <w:t xml:space="preserve"> </w:t>
      </w:r>
      <w:r>
        <w:t>we are ideally placed to provide the transport networks and services necessary to support the world’s biggest sporting event.</w:t>
      </w:r>
    </w:p>
    <w:p w14:paraId="521C7B15" w14:textId="5ABDFD39" w:rsidR="00C34AB5" w:rsidRPr="00432A19" w:rsidRDefault="001958E1" w:rsidP="001958E1">
      <w:r>
        <w:t>TMR has also continued to invest in infrastructure and initiatives through the Active Transport Investment Program (see page 33) to enable and encourage more Queenslanders to ride bicycles and walk for transport, recreation, and health.</w:t>
      </w:r>
    </w:p>
    <w:p w14:paraId="23DA6D1A" w14:textId="543580E1" w:rsidR="006800C7" w:rsidRPr="00432A19" w:rsidRDefault="001208A4" w:rsidP="006800C7">
      <w:pPr>
        <w:pStyle w:val="Heading4"/>
      </w:pPr>
      <w:r>
        <w:t>Working in partnership and delivering for our customers</w:t>
      </w:r>
    </w:p>
    <w:p w14:paraId="1B8BE123" w14:textId="77777777" w:rsidR="001D7DD7" w:rsidRDefault="001D7DD7" w:rsidP="001D7DD7">
      <w:r>
        <w:t xml:space="preserve">Our </w:t>
      </w:r>
      <w:r w:rsidRPr="00E8116B">
        <w:rPr>
          <w:rStyle w:val="Emphasis"/>
        </w:rPr>
        <w:t>Strategic Plan 2019–2023</w:t>
      </w:r>
      <w:r>
        <w:t xml:space="preserve"> (see page 12) demonstrates how TMR contributes to the Queensland Government’s objectives for the community and delivers for our customers.</w:t>
      </w:r>
    </w:p>
    <w:p w14:paraId="6048CDD6" w14:textId="77777777" w:rsidR="001D7DD7" w:rsidRDefault="001D7DD7" w:rsidP="001D7DD7"/>
    <w:p w14:paraId="714B74A0" w14:textId="17602203" w:rsidR="001D7DD7" w:rsidRDefault="001D7DD7" w:rsidP="001D7DD7">
      <w:r>
        <w:lastRenderedPageBreak/>
        <w:t>The past year has also seen us work with industry partners to develop, trial and implement innovative and sustainable technologies that can meet the needs, expectations and travel behaviours of our customers into the future. Trials of the Smart Ticketing project (see page 86) continued during 2021–22, with 98.4 per cent positive or neutral customer feedback on the new devices installed on light and heavy rail. On demand responsive transport (DRT) trials in Logan, and the new pilot that has been rolled out on the Gold Coast, have also proven to be popular. We have seen more than 175,000 passenger trips taken since DRT’s inception, prompting an extension to June 2023.</w:t>
      </w:r>
    </w:p>
    <w:p w14:paraId="10FFE60D" w14:textId="5BC13F02" w:rsidR="001D7DD7" w:rsidRDefault="001D7DD7" w:rsidP="001D7DD7">
      <w:r>
        <w:t>We’ve continued to progress the digital transformation of our service delivery to allow customers to transact digitally. Our Robotic Process Automation program (see page 89) has improved response times for customers while freeing up staff to focus on more complex customer enquiries. The introduction of our messaging option</w:t>
      </w:r>
      <w:r w:rsidR="00575606">
        <w:t xml:space="preserve"> </w:t>
      </w:r>
      <w:r>
        <w:t>(see page 90) allows customers to use their mobile devices to converse with customer service staff on their terms. Since its introduction, more than 80,000 conversations have been conducted with customers in the messaging environment.</w:t>
      </w:r>
    </w:p>
    <w:p w14:paraId="7D14AB11" w14:textId="2DB962C3" w:rsidR="001D7DD7" w:rsidRDefault="001D7DD7" w:rsidP="001D7DD7">
      <w:r>
        <w:t xml:space="preserve">Our </w:t>
      </w:r>
      <w:r w:rsidRPr="000A5A03">
        <w:rPr>
          <w:rStyle w:val="Emphasis"/>
        </w:rPr>
        <w:t>Accessibility and Inclusion Plan 2022–2024</w:t>
      </w:r>
      <w:r>
        <w:t xml:space="preserve"> (see page 89) was released in May 2022, outlining the key focus areas and actions we will take to embed accessibility and inclusion in everything we do. We also continued our critical role in reforming the Disability Standards for Accessible Public Transport 2002 (Cth) to ensure they are fit for purpose and meet the current needs of the people who use our services. This was undertaken in partnership with the Australian Government, state and territory jurisdictions, and the disability and transport sectors.</w:t>
      </w:r>
    </w:p>
    <w:p w14:paraId="1C7A0E8A" w14:textId="3EBC3F2A" w:rsidR="001D7DD7" w:rsidRPr="00432A19" w:rsidRDefault="001D7DD7" w:rsidP="006800C7">
      <w:r>
        <w:t xml:space="preserve">Initiatives to promote sustainable transport and reduce greenhouse gas emissions on the transport network were a strong focus for TMR. During the year, we led the development of the </w:t>
      </w:r>
      <w:r w:rsidRPr="007E74C5">
        <w:rPr>
          <w:rStyle w:val="Emphasis"/>
        </w:rPr>
        <w:t>Queensland’s Zero Emission Vehicle Strategy 2022–2032 (</w:t>
      </w:r>
      <w:r>
        <w:t>see page 33) that supports an investment of $55 million to further accelerate electric vehicle uptake across Queensland. We also made a commitment that all new urban buses in South East Queensland will be zero emission buses by 2025 (see page 97), with implementation for regional Queensland to follow between 2025 and 2030.</w:t>
      </w:r>
    </w:p>
    <w:p w14:paraId="0506A982" w14:textId="4B86F603" w:rsidR="006800C7" w:rsidRPr="00432A19" w:rsidRDefault="007E74C5" w:rsidP="006800C7">
      <w:pPr>
        <w:pStyle w:val="Heading4"/>
      </w:pPr>
      <w:r>
        <w:t>Keeping Queenslanders safe</w:t>
      </w:r>
    </w:p>
    <w:p w14:paraId="51FDC827" w14:textId="433A9B32" w:rsidR="007429D4" w:rsidRDefault="007429D4" w:rsidP="007429D4">
      <w:r>
        <w:t>TMR continued to demonstrate a strong commitment to safety through the actions we took to keep Queenslanders safe when moving through our state and using our services. This commitment was seen throughout COVID-19 restrictions and lockdowns, and in helping affected communities to recover from the impacts of extreme flooding (see page 98).</w:t>
      </w:r>
    </w:p>
    <w:p w14:paraId="2C05A937" w14:textId="62AC4A9E" w:rsidR="007429D4" w:rsidRDefault="007429D4" w:rsidP="007429D4">
      <w:r>
        <w:t xml:space="preserve">In April 2022, the </w:t>
      </w:r>
      <w:r w:rsidRPr="007429D4">
        <w:rPr>
          <w:rStyle w:val="Emphasis"/>
        </w:rPr>
        <w:t>Queensland Road Safety Strategy 2022–31</w:t>
      </w:r>
      <w:r>
        <w:t xml:space="preserve"> and </w:t>
      </w:r>
      <w:r w:rsidRPr="007429D4">
        <w:rPr>
          <w:rStyle w:val="Emphasis"/>
        </w:rPr>
        <w:t>Queensland Road Safety Action Plan 2022–24</w:t>
      </w:r>
      <w:r>
        <w:t xml:space="preserve"> were released (see page 98), reaffirming our state’s commitment to zero road trauma by 2050. The strategy takes a new approach to road safety that involves responding to community needs at the local level, building partnerships with new stakeholders, and leveraging new technologies and data to improve road safety outcomes.</w:t>
      </w:r>
    </w:p>
    <w:p w14:paraId="0000FF7E" w14:textId="402D9A78" w:rsidR="007429D4" w:rsidRDefault="007429D4" w:rsidP="007429D4">
      <w:r>
        <w:t>The StreetSmarts road safety initiative delivered a range of activities during 2021–22 to improve road safety in Queensland (see page 100), including the successful ‘All good. All bad’ drink driving campaign and the ‘You lapse, You Lose’ risky driving campaign. In September 2021, tough new drink driving reforms were introduced to improve road safety outcomes on Queensland roads (see page 98).</w:t>
      </w:r>
    </w:p>
    <w:p w14:paraId="24A19673" w14:textId="6CFD1900" w:rsidR="007429D4" w:rsidRDefault="007429D4" w:rsidP="007429D4">
      <w:r>
        <w:t xml:space="preserve">Rail safety remains a major focus (see page 102), with TMR providing rail safety-related policy advice to the Queensland Government, maintaining regulatory oversight of the safe transport of dangerous goods by rail and providing support to accredited tourist and heritage rail operators. We also oversaw the </w:t>
      </w:r>
      <w:r w:rsidRPr="006A4BF4">
        <w:rPr>
          <w:rStyle w:val="Emphasis"/>
        </w:rPr>
        <w:t>Queensland Level Crossing Safety Strategy</w:t>
      </w:r>
      <w:r>
        <w:t>, working in collaboration with stakeholders on current level crossing safety issues in Queensland.</w:t>
      </w:r>
    </w:p>
    <w:p w14:paraId="31F8DEB5" w14:textId="0BBA5DB7" w:rsidR="007429D4" w:rsidRPr="00432A19" w:rsidRDefault="007429D4" w:rsidP="006800C7">
      <w:r>
        <w:t>We also played a vital role in keeping mariners and people who use our waterways safe, with our Maritime Enforcement Team intercepting 3200 vessels as well as enhancing direct engagement with the boating community and keeping Queensland waterways safe</w:t>
      </w:r>
      <w:r w:rsidR="00253279">
        <w:t xml:space="preserve"> </w:t>
      </w:r>
      <w:r>
        <w:t>(see page 104). The War on Wrecks program (see page 104) also achieved a significant milestone in May 2022 with the 1000th vessel to be removed or resolved with owners under the program.</w:t>
      </w:r>
    </w:p>
    <w:p w14:paraId="2CCCE2DF" w14:textId="07A9FDA4" w:rsidR="006800C7" w:rsidRPr="00432A19" w:rsidRDefault="006800C7" w:rsidP="006800C7">
      <w:pPr>
        <w:pStyle w:val="Heading4"/>
      </w:pPr>
      <w:r w:rsidRPr="00432A19">
        <w:lastRenderedPageBreak/>
        <w:t>Working</w:t>
      </w:r>
      <w:r>
        <w:t xml:space="preserve"> </w:t>
      </w:r>
      <w:r w:rsidRPr="00432A19">
        <w:t>with</w:t>
      </w:r>
      <w:r>
        <w:t xml:space="preserve"> </w:t>
      </w:r>
      <w:r w:rsidRPr="00432A19">
        <w:t>First</w:t>
      </w:r>
      <w:r>
        <w:t xml:space="preserve"> </w:t>
      </w:r>
      <w:r w:rsidRPr="00432A19">
        <w:t>Nations</w:t>
      </w:r>
      <w:r w:rsidR="00451F59">
        <w:t>'</w:t>
      </w:r>
      <w:r>
        <w:t xml:space="preserve"> </w:t>
      </w:r>
      <w:r w:rsidRPr="00432A19">
        <w:t>peoples</w:t>
      </w:r>
      <w:r>
        <w:t xml:space="preserve"> </w:t>
      </w:r>
      <w:r w:rsidRPr="00432A19">
        <w:t>and</w:t>
      </w:r>
      <w:r>
        <w:t xml:space="preserve"> </w:t>
      </w:r>
      <w:r w:rsidRPr="00432A19">
        <w:t>communities</w:t>
      </w:r>
    </w:p>
    <w:p w14:paraId="2E5BC8FE" w14:textId="71063A29" w:rsidR="00230B4B" w:rsidRDefault="00230B4B" w:rsidP="00230B4B">
      <w:r>
        <w:t>My department has a long and proud tradition of working in partnership with First Nations’ peoples and engaging with their history, language, culture, and stories. I have been privileged in my role as Director-General to build lasting relationships with many First Nations’ peoples and communities across the state and I am honoured to continue to serve the community of Woorabinda in my role as Government Champion.</w:t>
      </w:r>
    </w:p>
    <w:p w14:paraId="46EE800F" w14:textId="447A4E91" w:rsidR="00451F59" w:rsidRPr="00432A19" w:rsidRDefault="00230B4B" w:rsidP="006800C7">
      <w:r>
        <w:t>TMR continues to work with the Woorabinda community to improve economic and social outcomes and address barriers to effective service delivery in the region (see page 97). This has included working with local people on their response to COVID-19 and continuing works under the Memorandum of Understanding to build the community’s capability in road infrastructure. We established an Indigenous Strategy Unit within TMR to coordinate the work our department is doing to deliver sustainable social, environmental, and economic outcomes for First Nations’ peoples across Queensland.</w:t>
      </w:r>
    </w:p>
    <w:p w14:paraId="347AAD29" w14:textId="30E01D5C" w:rsidR="006800C7" w:rsidRPr="00CA1461" w:rsidRDefault="00230B4B" w:rsidP="006800C7">
      <w:pPr>
        <w:pStyle w:val="Heading4"/>
      </w:pPr>
      <w:r>
        <w:t>Supporting, developing and recognising our people</w:t>
      </w:r>
    </w:p>
    <w:p w14:paraId="36C739B7" w14:textId="3E2DD580" w:rsidR="00A3674B" w:rsidRDefault="00A3674B" w:rsidP="00A3674B">
      <w:r>
        <w:t>The way our TMR family worked together to support each other, our customers, and our communities through recent challenges is a source of great pride for me and for our department. In a year marked by uncertainty and change, we’ve focused on providing an environment of safety, wellbeing and continuous learning where our people feel valued and empowered to do their best work.</w:t>
      </w:r>
    </w:p>
    <w:p w14:paraId="0F54E4D9" w14:textId="77777777" w:rsidR="00A3674B" w:rsidRDefault="00A3674B" w:rsidP="00A3674B">
      <w:r>
        <w:t xml:space="preserve">Guided by our </w:t>
      </w:r>
      <w:r w:rsidRPr="00A3674B">
        <w:rPr>
          <w:rStyle w:val="Emphasis"/>
        </w:rPr>
        <w:t>Cultural Capability Action Plan</w:t>
      </w:r>
      <w:r>
        <w:t>, we’ve furthered our commitment to inclusion and diversity through the celebration of significant First Nations events, such as Reconciliation Week and NAIDOC Week (see page 117). We also maintained a strong focus on promoting gender diversity and equality and becoming an employer of choice for women (see page 117).</w:t>
      </w:r>
    </w:p>
    <w:p w14:paraId="02414AD7" w14:textId="77777777" w:rsidR="00A3674B" w:rsidRDefault="00A3674B" w:rsidP="00A3674B">
      <w:r>
        <w:t>We’ve developed a holistic approach to supporting the health of our people, with initiatives that highlight their physical, psychological, and social wellbeing both in their personal and working lives.</w:t>
      </w:r>
    </w:p>
    <w:p w14:paraId="50E42ABF" w14:textId="2066C3DB" w:rsidR="00A3674B" w:rsidRDefault="00A3674B" w:rsidP="00A3674B">
      <w:r>
        <w:t>We also made great strides in furthering an already strong learning culture across TMR with the launch of a dedicated learning platform (see page 119) that houses a range of learning and development resources, supported by a network of staff advocates who champion initiatives across TMR. An increasing number of our people are also receiving peer support to achieve their goals, develop leadership skills, and create broader networks through our OneTMR and Women in Leadership mentoring programs (see page 120).</w:t>
      </w:r>
    </w:p>
    <w:p w14:paraId="6EBEE0AB" w14:textId="60DA73A9" w:rsidR="00A3674B" w:rsidRDefault="00A3674B" w:rsidP="00A3674B">
      <w:r>
        <w:t>There is no better reward for me than seeing the talents and efforts of TMR staff recognised at both external award ceremonies and through our own internal CUBIE Awards (see page 121). The past year saw our people and teams recognised for a range of achievements including in the Australian Human Resources Institute Awards, Australian Shipping and Maritime Industry Awards, Buy Queensland Buyer Awards, National Infrastructure Award, Community Recovery Ready Reserve Reward and Recognition Awards, and Women in Digital Awards.</w:t>
      </w:r>
    </w:p>
    <w:p w14:paraId="2CE3A479" w14:textId="0DF9626E" w:rsidR="006800C7" w:rsidRDefault="00A3674B" w:rsidP="00A3674B">
      <w:r>
        <w:t>The past year has reinforced many things, including the importance of being agile and adapting to change. I believe the strength and commitment of our people and our willingness to work with the community and our industry partners to harness new ideas and emerging technologies will set us up to deliver into the future, and I look forward to seeing what we can achieve together.</w:t>
      </w:r>
    </w:p>
    <w:p w14:paraId="3341CDEF" w14:textId="7E861799" w:rsidR="00AE688D" w:rsidRDefault="00AE688D" w:rsidP="00A3674B"/>
    <w:p w14:paraId="7944373F" w14:textId="77777777" w:rsidR="00AE688D" w:rsidRDefault="00AE688D" w:rsidP="00A3674B"/>
    <w:p w14:paraId="34298648" w14:textId="77777777" w:rsidR="006800C7" w:rsidRPr="009379F6" w:rsidRDefault="006800C7" w:rsidP="006800C7">
      <w:r w:rsidRPr="007933C2">
        <w:rPr>
          <w:rStyle w:val="Strong"/>
        </w:rPr>
        <w:lastRenderedPageBreak/>
        <w:t>Neil Scales OBE</w:t>
      </w:r>
      <w:r>
        <w:br/>
      </w:r>
      <w:r w:rsidRPr="009379F6">
        <w:t>Director-General</w:t>
      </w:r>
      <w:r>
        <w:br/>
      </w:r>
      <w:r w:rsidRPr="009379F6">
        <w:t>Department of Transport and Main Roads</w:t>
      </w:r>
    </w:p>
    <w:p w14:paraId="09E587EF" w14:textId="4A2872C6" w:rsidR="006800C7" w:rsidRDefault="00D56906" w:rsidP="006800C7">
      <w:pPr>
        <w:rPr>
          <w:rStyle w:val="Emphasis"/>
        </w:rPr>
      </w:pPr>
      <w:r w:rsidRPr="00D56906">
        <w:rPr>
          <w:rStyle w:val="Emphasis"/>
        </w:rPr>
        <w:t>ONC (Eng), HNC (EEng), BSc (Eng), C.Eng (UK), MSc (ContEng&amp;CompSys), DMS, MBA, FIEAust CPEng, EngExec, NER APEC Engineer Int PE (Aus), Hon FLJMU, FIMechE, FIET, FICE, FCIT, FILT, FRSA, FIRTE, FSOE, RPEQ, MAICD, VFF</w:t>
      </w:r>
    </w:p>
    <w:p w14:paraId="0CC7EF79" w14:textId="6D3AAAC1" w:rsidR="00D56906" w:rsidRDefault="00D56906">
      <w:pPr>
        <w:spacing w:before="0" w:after="160" w:line="259" w:lineRule="auto"/>
        <w:rPr>
          <w:rStyle w:val="Emphasis"/>
        </w:rPr>
      </w:pPr>
      <w:r>
        <w:rPr>
          <w:rStyle w:val="Emphasis"/>
        </w:rPr>
        <w:br w:type="page"/>
      </w:r>
    </w:p>
    <w:p w14:paraId="459CA0D5" w14:textId="77777777" w:rsidR="006800C7" w:rsidRDefault="006800C7" w:rsidP="006800C7">
      <w:pPr>
        <w:pStyle w:val="Heading2"/>
      </w:pPr>
      <w:bookmarkStart w:id="0" w:name="_Hlk80281593"/>
      <w:bookmarkEnd w:id="0"/>
      <w:r>
        <w:lastRenderedPageBreak/>
        <w:t>Chief Finance Officer's Report</w:t>
      </w:r>
    </w:p>
    <w:p w14:paraId="24D2F062" w14:textId="77777777" w:rsidR="006800C7" w:rsidRPr="000A22C7" w:rsidRDefault="006800C7" w:rsidP="006800C7">
      <w:pPr>
        <w:pStyle w:val="Heading3"/>
      </w:pPr>
      <w:r w:rsidRPr="000A22C7">
        <w:t xml:space="preserve">Summary </w:t>
      </w:r>
    </w:p>
    <w:p w14:paraId="6F054C58" w14:textId="77777777" w:rsidR="00B95F72" w:rsidRDefault="00B95F72" w:rsidP="00B95F72">
      <w:r>
        <w:t>The department’s financial sustainability plan supports the department’s strategic priorities through maintaining a strong financial framework, investing in priorities, providing revenue assurance, and achieving value for money.</w:t>
      </w:r>
    </w:p>
    <w:p w14:paraId="7FB43E41" w14:textId="33E01DD9" w:rsidR="00B95F72" w:rsidRDefault="00B95F72" w:rsidP="00B95F72">
      <w:r>
        <w:t>The department recorded a small operating deficit (less than 1% of TMR’s spend) of $61 million in 2021–22, which is largely due to the change in accounting treatment for Software as a Service. This is a tremendous result given the impact of COVID-19 on the department’s operating position, with the reduction in fare revenue in South East Queensland and costs relating to increased sanitisation on public transport services, border control measures, and quarantine transportation, of approximately $195 million.</w:t>
      </w:r>
    </w:p>
    <w:p w14:paraId="6AAD9BE9" w14:textId="77777777" w:rsidR="00B95F72" w:rsidRDefault="00B95F72" w:rsidP="00B95F72">
      <w:r>
        <w:t>The department successfully delivered its $4.098 billion capital program ahead of schedule for a fifth year in a row, due to accelerated expenditure on a number of projects, including Bruce Highway Upgrades, Coomera Connector and Townsville Ring Road.</w:t>
      </w:r>
    </w:p>
    <w:p w14:paraId="253AD16A" w14:textId="1FF69771" w:rsidR="00B95F72" w:rsidRDefault="00B95F72" w:rsidP="00B95F72">
      <w:r>
        <w:t>We have seen significant increases in key construction costs during the year relating to fuel, steel and labour arising from market conditions resulting in a 12 per cent increase in the department’s infrastructure assets, with the gross replacement cost exceeding $100 billion for the first time. This has led to an associated increase in depreciation of 9 per cent, with depreciation recorded at $1.038 billion for the year representing 1 per cent of the total cost base.</w:t>
      </w:r>
    </w:p>
    <w:p w14:paraId="4AD73C14" w14:textId="77777777" w:rsidR="00B95F72" w:rsidRDefault="00B95F72" w:rsidP="00B95F72">
      <w:r>
        <w:t xml:space="preserve">In accordance with the requirements of section 77(2)(b) of the </w:t>
      </w:r>
      <w:r w:rsidRPr="00B95F72">
        <w:rPr>
          <w:rStyle w:val="Emphasis"/>
        </w:rPr>
        <w:t>Financial Accountability Act 2009</w:t>
      </w:r>
      <w:r>
        <w:t>, I have provided the Director- General with a statement that the financial internal controls of the department are operating efficiently, effectively and economically in compliance with section 54 of the Financial and Performance Management Standard 2019.</w:t>
      </w:r>
    </w:p>
    <w:p w14:paraId="65F83760" w14:textId="38D70888" w:rsidR="00A13BAF" w:rsidRDefault="00B95F72" w:rsidP="00B95F72">
      <w:r>
        <w:t>This financial summary provides an overview of the department’s financial results for 2021–22. A comprehensive set of financial statements is provided in this report, which includes an analysis of actual expenditure compared to the published budget with explanations of major variances.</w:t>
      </w:r>
    </w:p>
    <w:p w14:paraId="3818E8B1" w14:textId="77777777" w:rsidR="006800C7" w:rsidRDefault="006800C7" w:rsidP="006800C7">
      <w:pPr>
        <w:pStyle w:val="Heading4"/>
      </w:pPr>
      <w:r>
        <w:t xml:space="preserve">Funding sources </w:t>
      </w:r>
    </w:p>
    <w:p w14:paraId="449B3576" w14:textId="5F9CBA0F" w:rsidR="00057035" w:rsidRDefault="00057035" w:rsidP="00057035">
      <w:r>
        <w:t>Funding to meet departmental operational requirements, and for capital investment in the transport network, is received from the Queensland Government, the department’s own sourced revenue, and allocations from the Australian Government. Funding from government comprises departmental services revenue, equity injections, and allocations from the Australian Government for capital and maintenance works on the National Network.</w:t>
      </w:r>
    </w:p>
    <w:p w14:paraId="2CFEC690" w14:textId="115EC0B8" w:rsidR="00057035" w:rsidRDefault="00057035" w:rsidP="00057035">
      <w:r>
        <w:t>Key drivers of the department’s funding include the delivery of capital investment in the roads and transport infrastructure network and in the provision of our key objectives through operational service delivery. In 2021–22, the budgeted revenue for the department was $7.118 billion, and the capital budget was $3.729 billion.</w:t>
      </w:r>
    </w:p>
    <w:p w14:paraId="0DB94F05" w14:textId="77777777" w:rsidR="006800C7" w:rsidRDefault="006800C7" w:rsidP="006800C7">
      <w:pPr>
        <w:pStyle w:val="Heading4"/>
      </w:pPr>
      <w:r>
        <w:t xml:space="preserve">Administered revenue </w:t>
      </w:r>
    </w:p>
    <w:p w14:paraId="23274F17" w14:textId="0AEB5A17" w:rsidR="00AE20A1" w:rsidRPr="00623C3C" w:rsidRDefault="00AE20A1" w:rsidP="006800C7">
      <w:r w:rsidRPr="00AE20A1">
        <w:t>The department administers, but does not control, certain resources on behalf of the Queensland Government. The main source of administered revenue is from user charges and fees from motor vehicle registrations and other regulatory fees.</w:t>
      </w:r>
    </w:p>
    <w:p w14:paraId="76462CC0" w14:textId="77777777" w:rsidR="006800C7" w:rsidRPr="00623C3C" w:rsidRDefault="006800C7" w:rsidP="006800C7">
      <w:pPr>
        <w:pStyle w:val="Heading3"/>
      </w:pPr>
      <w:r w:rsidRPr="00623C3C">
        <w:lastRenderedPageBreak/>
        <w:t>Financial performance</w:t>
      </w:r>
      <w:r w:rsidRPr="000E2BDE">
        <w:t xml:space="preserve"> </w:t>
      </w:r>
    </w:p>
    <w:p w14:paraId="21754791" w14:textId="0E32C6F6" w:rsidR="005A1013" w:rsidRDefault="005A1013" w:rsidP="006800C7">
      <w:r w:rsidRPr="005A1013">
        <w:t>The department recorded an operating deficit of $61.08 million for 2021–22. Table 1 summarises the financial results of the department’s operations for the past five financial years.</w:t>
      </w:r>
    </w:p>
    <w:p w14:paraId="29A9BC90" w14:textId="77777777" w:rsidR="006800C7" w:rsidRDefault="006800C7" w:rsidP="006800C7">
      <w:pPr>
        <w:rPr>
          <w:rStyle w:val="Strong"/>
        </w:rPr>
      </w:pPr>
      <w:r>
        <w:rPr>
          <w:rStyle w:val="Strong"/>
        </w:rPr>
        <w:t>Table 1: Summary of financial results of the department's operations</w:t>
      </w:r>
      <w:r>
        <w:rPr>
          <w:rStyle w:val="Strong"/>
        </w:rPr>
        <w:br/>
      </w:r>
    </w:p>
    <w:tbl>
      <w:tblPr>
        <w:tblStyle w:val="Style1"/>
        <w:tblW w:w="7083" w:type="dxa"/>
        <w:tblLook w:val="04A0" w:firstRow="1" w:lastRow="0" w:firstColumn="1" w:lastColumn="0" w:noHBand="0" w:noVBand="1"/>
      </w:tblPr>
      <w:tblGrid>
        <w:gridCol w:w="2263"/>
        <w:gridCol w:w="1560"/>
        <w:gridCol w:w="1559"/>
        <w:gridCol w:w="1701"/>
      </w:tblGrid>
      <w:tr w:rsidR="006800C7" w:rsidRPr="008B5A09" w14:paraId="2D948749" w14:textId="77777777" w:rsidTr="00F31956">
        <w:trPr>
          <w:cnfStyle w:val="100000000000" w:firstRow="1" w:lastRow="0" w:firstColumn="0" w:lastColumn="0" w:oddVBand="0" w:evenVBand="0" w:oddHBand="0" w:evenHBand="0" w:firstRowFirstColumn="0" w:firstRowLastColumn="0" w:lastRowFirstColumn="0" w:lastRowLastColumn="0"/>
          <w:trHeight w:val="363"/>
        </w:trPr>
        <w:tc>
          <w:tcPr>
            <w:tcW w:w="2263" w:type="dxa"/>
            <w:noWrap/>
            <w:hideMark/>
          </w:tcPr>
          <w:p w14:paraId="6FB3A7DE" w14:textId="77777777" w:rsidR="006800C7" w:rsidRPr="006A25A8" w:rsidRDefault="006800C7" w:rsidP="00F31956">
            <w:r w:rsidRPr="00C62589">
              <w:t>Financial Performance</w:t>
            </w:r>
          </w:p>
        </w:tc>
        <w:tc>
          <w:tcPr>
            <w:tcW w:w="1560" w:type="dxa"/>
            <w:hideMark/>
          </w:tcPr>
          <w:p w14:paraId="5A3BDB65" w14:textId="77777777" w:rsidR="006800C7" w:rsidRPr="006A25A8" w:rsidRDefault="006800C7" w:rsidP="00F31956">
            <w:r w:rsidRPr="00C62589">
              <w:t>Total Income</w:t>
            </w:r>
          </w:p>
        </w:tc>
        <w:tc>
          <w:tcPr>
            <w:tcW w:w="1559" w:type="dxa"/>
            <w:hideMark/>
          </w:tcPr>
          <w:p w14:paraId="455C9353" w14:textId="77777777" w:rsidR="006800C7" w:rsidRPr="006A25A8" w:rsidRDefault="006800C7" w:rsidP="00F31956">
            <w:r w:rsidRPr="00C62589">
              <w:t>Total Expenses</w:t>
            </w:r>
          </w:p>
        </w:tc>
        <w:tc>
          <w:tcPr>
            <w:tcW w:w="1701" w:type="dxa"/>
            <w:hideMark/>
          </w:tcPr>
          <w:p w14:paraId="0B8CA4A2" w14:textId="77777777" w:rsidR="006800C7" w:rsidRPr="006A25A8" w:rsidRDefault="006800C7" w:rsidP="00F31956">
            <w:r w:rsidRPr="00C62589">
              <w:t>Operating result for the year</w:t>
            </w:r>
          </w:p>
        </w:tc>
      </w:tr>
      <w:tr w:rsidR="006800C7" w:rsidRPr="008B5A09" w14:paraId="23F4D791" w14:textId="77777777" w:rsidTr="00F31956">
        <w:trPr>
          <w:trHeight w:val="150"/>
        </w:trPr>
        <w:tc>
          <w:tcPr>
            <w:tcW w:w="2263" w:type="dxa"/>
            <w:noWrap/>
            <w:hideMark/>
          </w:tcPr>
          <w:p w14:paraId="3616CA58" w14:textId="2ED95B90" w:rsidR="006800C7" w:rsidRPr="006A25A8" w:rsidRDefault="006800C7" w:rsidP="00F31956">
            <w:r w:rsidRPr="00C62589">
              <w:t>2020</w:t>
            </w:r>
            <w:r w:rsidR="00467FDC">
              <w:t>1</w:t>
            </w:r>
            <w:r w:rsidRPr="00C62589">
              <w:t>–2</w:t>
            </w:r>
            <w:r w:rsidR="00467FDC">
              <w:t>2</w:t>
            </w:r>
            <w:r w:rsidRPr="00C62589">
              <w:t xml:space="preserve"> ($ </w:t>
            </w:r>
            <w:r w:rsidRPr="006A25A8">
              <w:t>'000)</w:t>
            </w:r>
          </w:p>
        </w:tc>
        <w:tc>
          <w:tcPr>
            <w:tcW w:w="1560" w:type="dxa"/>
            <w:noWrap/>
            <w:hideMark/>
          </w:tcPr>
          <w:p w14:paraId="235D6F1B" w14:textId="78243268" w:rsidR="006800C7" w:rsidRPr="006A25A8" w:rsidRDefault="00467FDC" w:rsidP="00F31956">
            <w:r>
              <w:t>7,133,330</w:t>
            </w:r>
          </w:p>
        </w:tc>
        <w:tc>
          <w:tcPr>
            <w:tcW w:w="1559" w:type="dxa"/>
            <w:noWrap/>
            <w:hideMark/>
          </w:tcPr>
          <w:p w14:paraId="527C302E" w14:textId="0D85DA47" w:rsidR="006800C7" w:rsidRPr="006A25A8" w:rsidRDefault="00467FDC" w:rsidP="00F31956">
            <w:r>
              <w:t>7,194,409</w:t>
            </w:r>
          </w:p>
        </w:tc>
        <w:tc>
          <w:tcPr>
            <w:tcW w:w="1701" w:type="dxa"/>
            <w:noWrap/>
            <w:hideMark/>
          </w:tcPr>
          <w:p w14:paraId="01513898" w14:textId="271734AC" w:rsidR="006800C7" w:rsidRPr="006A25A8" w:rsidRDefault="00467FDC" w:rsidP="00F31956">
            <w:r>
              <w:t>(61,079)</w:t>
            </w:r>
          </w:p>
        </w:tc>
      </w:tr>
      <w:tr w:rsidR="006800C7" w:rsidRPr="008B5A09" w14:paraId="7866B811" w14:textId="77777777" w:rsidTr="00F31956">
        <w:trPr>
          <w:trHeight w:val="150"/>
        </w:trPr>
        <w:tc>
          <w:tcPr>
            <w:tcW w:w="2263" w:type="dxa"/>
            <w:noWrap/>
            <w:hideMark/>
          </w:tcPr>
          <w:p w14:paraId="02FE9FEF" w14:textId="407EE1A6" w:rsidR="006800C7" w:rsidRPr="006A25A8" w:rsidRDefault="006800C7" w:rsidP="00F31956">
            <w:r w:rsidRPr="00C62589">
              <w:t>20</w:t>
            </w:r>
            <w:r w:rsidR="00467FDC">
              <w:t>20</w:t>
            </w:r>
            <w:r w:rsidRPr="00C62589">
              <w:t>–2</w:t>
            </w:r>
            <w:r w:rsidR="00467FDC">
              <w:t>1</w:t>
            </w:r>
            <w:r w:rsidRPr="00C62589">
              <w:t xml:space="preserve"> ($ '000)</w:t>
            </w:r>
          </w:p>
        </w:tc>
        <w:tc>
          <w:tcPr>
            <w:tcW w:w="1560" w:type="dxa"/>
            <w:noWrap/>
            <w:hideMark/>
          </w:tcPr>
          <w:p w14:paraId="7D4A5306" w14:textId="69390D5F" w:rsidR="006800C7" w:rsidRPr="006A25A8" w:rsidRDefault="006800C7" w:rsidP="00F31956">
            <w:r w:rsidRPr="00C62589">
              <w:t>6,</w:t>
            </w:r>
            <w:r w:rsidR="00467FDC">
              <w:t>785,407</w:t>
            </w:r>
          </w:p>
        </w:tc>
        <w:tc>
          <w:tcPr>
            <w:tcW w:w="1559" w:type="dxa"/>
            <w:noWrap/>
            <w:hideMark/>
          </w:tcPr>
          <w:p w14:paraId="27600269" w14:textId="40C7CBD7" w:rsidR="006800C7" w:rsidRPr="006A25A8" w:rsidRDefault="006800C7" w:rsidP="00F31956">
            <w:r w:rsidRPr="00C62589">
              <w:t>6,</w:t>
            </w:r>
            <w:r w:rsidR="00467FDC">
              <w:t>770,731</w:t>
            </w:r>
          </w:p>
        </w:tc>
        <w:tc>
          <w:tcPr>
            <w:tcW w:w="1701" w:type="dxa"/>
            <w:noWrap/>
            <w:hideMark/>
          </w:tcPr>
          <w:p w14:paraId="29493443" w14:textId="2F650814" w:rsidR="006800C7" w:rsidRPr="006A25A8" w:rsidRDefault="00467FDC" w:rsidP="00F31956">
            <w:r>
              <w:t>14,676</w:t>
            </w:r>
          </w:p>
        </w:tc>
      </w:tr>
      <w:tr w:rsidR="006800C7" w:rsidRPr="008B5A09" w14:paraId="42332EE9" w14:textId="77777777" w:rsidTr="00C94CF9">
        <w:trPr>
          <w:trHeight w:val="158"/>
        </w:trPr>
        <w:tc>
          <w:tcPr>
            <w:tcW w:w="2263" w:type="dxa"/>
            <w:noWrap/>
          </w:tcPr>
          <w:p w14:paraId="17B05A31" w14:textId="048FEF6C" w:rsidR="006800C7" w:rsidRPr="006A25A8" w:rsidRDefault="004C6CF7" w:rsidP="00F31956">
            <w:r w:rsidRPr="00C62589">
              <w:t>20</w:t>
            </w:r>
            <w:r>
              <w:t>19</w:t>
            </w:r>
            <w:r w:rsidRPr="00C62589">
              <w:t>–2</w:t>
            </w:r>
            <w:r>
              <w:t>0</w:t>
            </w:r>
            <w:r w:rsidRPr="00C62589">
              <w:t xml:space="preserve"> ($ '000)</w:t>
            </w:r>
          </w:p>
        </w:tc>
        <w:tc>
          <w:tcPr>
            <w:tcW w:w="1560" w:type="dxa"/>
            <w:noWrap/>
          </w:tcPr>
          <w:p w14:paraId="6380C092" w14:textId="15E00AB8" w:rsidR="006800C7" w:rsidRPr="006A25A8" w:rsidRDefault="004C6CF7" w:rsidP="00F31956">
            <w:r>
              <w:t>6,660,146</w:t>
            </w:r>
          </w:p>
        </w:tc>
        <w:tc>
          <w:tcPr>
            <w:tcW w:w="1559" w:type="dxa"/>
            <w:noWrap/>
          </w:tcPr>
          <w:p w14:paraId="5D6898C6" w14:textId="2DFE3F77" w:rsidR="006800C7" w:rsidRPr="006A25A8" w:rsidRDefault="004C6CF7" w:rsidP="00F31956">
            <w:r>
              <w:t>6,431,402</w:t>
            </w:r>
          </w:p>
        </w:tc>
        <w:tc>
          <w:tcPr>
            <w:tcW w:w="1701" w:type="dxa"/>
            <w:noWrap/>
          </w:tcPr>
          <w:p w14:paraId="10B9C7D0" w14:textId="7FC3420A" w:rsidR="006800C7" w:rsidRPr="006A25A8" w:rsidRDefault="004C6CF7" w:rsidP="00F31956">
            <w:r>
              <w:t>228,744</w:t>
            </w:r>
          </w:p>
        </w:tc>
      </w:tr>
      <w:tr w:rsidR="00C94CF9" w:rsidRPr="008B5A09" w14:paraId="385C352F" w14:textId="77777777" w:rsidTr="00C94CF9">
        <w:trPr>
          <w:trHeight w:val="150"/>
        </w:trPr>
        <w:tc>
          <w:tcPr>
            <w:tcW w:w="2263" w:type="dxa"/>
            <w:noWrap/>
          </w:tcPr>
          <w:p w14:paraId="409B6AE6" w14:textId="4C1EF97C" w:rsidR="00C94CF9" w:rsidRPr="006A25A8" w:rsidRDefault="00C94CF9" w:rsidP="00C94CF9">
            <w:r w:rsidRPr="00C62589">
              <w:t>201</w:t>
            </w:r>
            <w:r>
              <w:t>8</w:t>
            </w:r>
            <w:r w:rsidRPr="00C62589">
              <w:t>–19 ($ '000)</w:t>
            </w:r>
          </w:p>
        </w:tc>
        <w:tc>
          <w:tcPr>
            <w:tcW w:w="1560" w:type="dxa"/>
            <w:noWrap/>
          </w:tcPr>
          <w:p w14:paraId="2560D39F" w14:textId="5B55DF2A" w:rsidR="00C94CF9" w:rsidRPr="006A25A8" w:rsidRDefault="00C94CF9" w:rsidP="00C94CF9">
            <w:r w:rsidRPr="00C62589">
              <w:t>6,144,435</w:t>
            </w:r>
          </w:p>
        </w:tc>
        <w:tc>
          <w:tcPr>
            <w:tcW w:w="1559" w:type="dxa"/>
            <w:noWrap/>
          </w:tcPr>
          <w:p w14:paraId="0EA33AFB" w14:textId="085F354A" w:rsidR="00C94CF9" w:rsidRPr="006A25A8" w:rsidRDefault="00C94CF9" w:rsidP="00C94CF9">
            <w:r w:rsidRPr="00C62589">
              <w:t>6,172,880</w:t>
            </w:r>
          </w:p>
        </w:tc>
        <w:tc>
          <w:tcPr>
            <w:tcW w:w="1701" w:type="dxa"/>
            <w:noWrap/>
          </w:tcPr>
          <w:p w14:paraId="271A55D9" w14:textId="478C01FE" w:rsidR="00C94CF9" w:rsidRPr="006A25A8" w:rsidRDefault="00C94CF9" w:rsidP="00C94CF9">
            <w:r w:rsidRPr="00C62589">
              <w:t>(28,445)</w:t>
            </w:r>
          </w:p>
        </w:tc>
      </w:tr>
      <w:tr w:rsidR="00C94CF9" w:rsidRPr="008B5A09" w14:paraId="2480A057" w14:textId="77777777" w:rsidTr="00F31956">
        <w:trPr>
          <w:trHeight w:val="265"/>
        </w:trPr>
        <w:tc>
          <w:tcPr>
            <w:tcW w:w="2263" w:type="dxa"/>
            <w:noWrap/>
            <w:hideMark/>
          </w:tcPr>
          <w:p w14:paraId="44710D43" w14:textId="56777328" w:rsidR="00C94CF9" w:rsidRPr="006A25A8" w:rsidRDefault="00C94CF9" w:rsidP="00C94CF9">
            <w:r w:rsidRPr="00C62589">
              <w:t>2017–18 ($ '000)</w:t>
            </w:r>
          </w:p>
        </w:tc>
        <w:tc>
          <w:tcPr>
            <w:tcW w:w="1560" w:type="dxa"/>
            <w:noWrap/>
            <w:hideMark/>
          </w:tcPr>
          <w:p w14:paraId="40169E3A" w14:textId="1FDBB85B" w:rsidR="00C94CF9" w:rsidRPr="006A25A8" w:rsidRDefault="00C94CF9" w:rsidP="00C94CF9">
            <w:r w:rsidRPr="00C62589">
              <w:t>6,006,492</w:t>
            </w:r>
          </w:p>
        </w:tc>
        <w:tc>
          <w:tcPr>
            <w:tcW w:w="1559" w:type="dxa"/>
            <w:noWrap/>
            <w:hideMark/>
          </w:tcPr>
          <w:p w14:paraId="3EC0FD93" w14:textId="60E8B763" w:rsidR="00C94CF9" w:rsidRPr="006A25A8" w:rsidRDefault="00C94CF9" w:rsidP="00C94CF9">
            <w:r w:rsidRPr="00C62589">
              <w:t>5,799,630</w:t>
            </w:r>
          </w:p>
        </w:tc>
        <w:tc>
          <w:tcPr>
            <w:tcW w:w="1701" w:type="dxa"/>
            <w:noWrap/>
            <w:hideMark/>
          </w:tcPr>
          <w:p w14:paraId="0CCCB677" w14:textId="7F1271FD" w:rsidR="00C94CF9" w:rsidRPr="006A25A8" w:rsidRDefault="00C94CF9" w:rsidP="00C94CF9">
            <w:r w:rsidRPr="00C62589">
              <w:t>206,862</w:t>
            </w:r>
          </w:p>
        </w:tc>
      </w:tr>
    </w:tbl>
    <w:p w14:paraId="7593EA6A" w14:textId="77777777" w:rsidR="006800C7" w:rsidRPr="00623C3C" w:rsidRDefault="006800C7" w:rsidP="006800C7">
      <w:pPr>
        <w:pStyle w:val="Heading4"/>
      </w:pPr>
      <w:r w:rsidRPr="006A25A8">
        <w:rPr>
          <w:rStyle w:val="Strong"/>
          <w:noProof/>
        </w:rPr>
        <w:drawing>
          <wp:inline distT="0" distB="0" distL="0" distR="0" wp14:anchorId="0DC2F41A" wp14:editId="0B1B531A">
            <wp:extent cx="5759450" cy="29000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2900045"/>
                    </a:xfrm>
                    <a:prstGeom prst="rect">
                      <a:avLst/>
                    </a:prstGeom>
                    <a:noFill/>
                    <a:ln>
                      <a:noFill/>
                    </a:ln>
                  </pic:spPr>
                </pic:pic>
              </a:graphicData>
            </a:graphic>
          </wp:inline>
        </w:drawing>
      </w:r>
      <w:r>
        <w:t xml:space="preserve">Income </w:t>
      </w:r>
    </w:p>
    <w:p w14:paraId="21F28F35" w14:textId="179DB26B" w:rsidR="00860C38" w:rsidRPr="00045329" w:rsidRDefault="00860C38" w:rsidP="006800C7">
      <w:r w:rsidRPr="00860C38">
        <w:t>The department’s total income of $7.133 billion included appropriation revenue from the Queensland Government of $5.928 billion, user charges of $703 million, service concession arrangements revenue of $232 million and grants and other contributions of $217 million. In 2021–22 the department’s total income has increased by $348 million. Queensland Government appropriations are the main source of income and account for 83 per cent of total income earned in the reporting period.</w:t>
      </w:r>
    </w:p>
    <w:tbl>
      <w:tblPr>
        <w:tblStyle w:val="Style1"/>
        <w:tblpPr w:leftFromText="180" w:rightFromText="180" w:vertAnchor="text" w:horzAnchor="margin" w:tblpY="157"/>
        <w:tblW w:w="8792" w:type="dxa"/>
        <w:tblLook w:val="04A0" w:firstRow="1" w:lastRow="0" w:firstColumn="1" w:lastColumn="0" w:noHBand="0" w:noVBand="1"/>
      </w:tblPr>
      <w:tblGrid>
        <w:gridCol w:w="3697"/>
        <w:gridCol w:w="2548"/>
        <w:gridCol w:w="2547"/>
      </w:tblGrid>
      <w:tr w:rsidR="006800C7" w:rsidRPr="008B5A09" w14:paraId="3DFB92CB" w14:textId="77777777" w:rsidTr="00F31956">
        <w:trPr>
          <w:cnfStyle w:val="100000000000" w:firstRow="1" w:lastRow="0" w:firstColumn="0" w:lastColumn="0" w:oddVBand="0" w:evenVBand="0" w:oddHBand="0" w:evenHBand="0" w:firstRowFirstColumn="0" w:firstRowLastColumn="0" w:lastRowFirstColumn="0" w:lastRowLastColumn="0"/>
          <w:trHeight w:val="397"/>
        </w:trPr>
        <w:tc>
          <w:tcPr>
            <w:tcW w:w="3697" w:type="dxa"/>
            <w:noWrap/>
            <w:hideMark/>
          </w:tcPr>
          <w:p w14:paraId="59C643E6" w14:textId="77777777" w:rsidR="006800C7" w:rsidRPr="009653E5" w:rsidRDefault="006800C7" w:rsidP="00F31956">
            <w:r>
              <w:t>Income</w:t>
            </w:r>
          </w:p>
        </w:tc>
        <w:tc>
          <w:tcPr>
            <w:tcW w:w="2548" w:type="dxa"/>
            <w:hideMark/>
          </w:tcPr>
          <w:p w14:paraId="2627B91B" w14:textId="77777777" w:rsidR="006800C7" w:rsidRPr="009653E5" w:rsidRDefault="006800C7" w:rsidP="00F31956">
            <w:r>
              <w:t>Income</w:t>
            </w:r>
            <w:r w:rsidRPr="009653E5">
              <w:t>%</w:t>
            </w:r>
          </w:p>
        </w:tc>
        <w:tc>
          <w:tcPr>
            <w:tcW w:w="2547" w:type="dxa"/>
            <w:hideMark/>
          </w:tcPr>
          <w:p w14:paraId="5CF4FF86" w14:textId="77777777" w:rsidR="006800C7" w:rsidRPr="009653E5" w:rsidRDefault="006800C7" w:rsidP="00F31956">
            <w:r>
              <w:t>$'000</w:t>
            </w:r>
          </w:p>
        </w:tc>
      </w:tr>
      <w:tr w:rsidR="006800C7" w:rsidRPr="008B5A09" w14:paraId="4E16AC4B" w14:textId="77777777" w:rsidTr="00F31956">
        <w:trPr>
          <w:trHeight w:val="164"/>
        </w:trPr>
        <w:tc>
          <w:tcPr>
            <w:tcW w:w="3697" w:type="dxa"/>
            <w:noWrap/>
            <w:hideMark/>
          </w:tcPr>
          <w:p w14:paraId="773B4AC9" w14:textId="77777777" w:rsidR="006800C7" w:rsidRPr="009653E5" w:rsidRDefault="006800C7" w:rsidP="00F31956">
            <w:r>
              <w:t>Appropriate revenue</w:t>
            </w:r>
          </w:p>
        </w:tc>
        <w:tc>
          <w:tcPr>
            <w:tcW w:w="2548" w:type="dxa"/>
            <w:noWrap/>
          </w:tcPr>
          <w:p w14:paraId="38B10771" w14:textId="12EE3C8D" w:rsidR="006800C7" w:rsidRPr="009653E5" w:rsidRDefault="001313FA" w:rsidP="00F31956">
            <w:r>
              <w:t>83.10%</w:t>
            </w:r>
          </w:p>
        </w:tc>
        <w:tc>
          <w:tcPr>
            <w:tcW w:w="2547" w:type="dxa"/>
            <w:noWrap/>
          </w:tcPr>
          <w:p w14:paraId="7A774ECB" w14:textId="311A9D9D" w:rsidR="006800C7" w:rsidRPr="009653E5" w:rsidRDefault="006800C7" w:rsidP="00F31956">
            <w:r>
              <w:t>5,</w:t>
            </w:r>
            <w:r w:rsidR="001313FA">
              <w:t>927,541</w:t>
            </w:r>
          </w:p>
        </w:tc>
      </w:tr>
      <w:tr w:rsidR="006800C7" w:rsidRPr="008B5A09" w14:paraId="13D6E9DA" w14:textId="77777777" w:rsidTr="00F31956">
        <w:trPr>
          <w:trHeight w:val="164"/>
        </w:trPr>
        <w:tc>
          <w:tcPr>
            <w:tcW w:w="3697" w:type="dxa"/>
            <w:noWrap/>
            <w:hideMark/>
          </w:tcPr>
          <w:p w14:paraId="56DC9E79" w14:textId="77777777" w:rsidR="006800C7" w:rsidRPr="009653E5" w:rsidRDefault="006800C7" w:rsidP="00F31956">
            <w:r>
              <w:t>User charges and fees</w:t>
            </w:r>
          </w:p>
        </w:tc>
        <w:tc>
          <w:tcPr>
            <w:tcW w:w="2548" w:type="dxa"/>
            <w:noWrap/>
          </w:tcPr>
          <w:p w14:paraId="68B87101" w14:textId="5E93A491" w:rsidR="006800C7" w:rsidRPr="009653E5" w:rsidRDefault="006800C7" w:rsidP="00F31956">
            <w:r>
              <w:t>9.</w:t>
            </w:r>
            <w:r w:rsidR="001313FA">
              <w:t>86%</w:t>
            </w:r>
          </w:p>
        </w:tc>
        <w:tc>
          <w:tcPr>
            <w:tcW w:w="2547" w:type="dxa"/>
            <w:noWrap/>
          </w:tcPr>
          <w:p w14:paraId="06D42688" w14:textId="1DA59F6B" w:rsidR="006800C7" w:rsidRPr="009653E5" w:rsidRDefault="001313FA" w:rsidP="00F31956">
            <w:r>
              <w:t>703,281</w:t>
            </w:r>
          </w:p>
        </w:tc>
      </w:tr>
      <w:tr w:rsidR="006800C7" w:rsidRPr="008B5A09" w14:paraId="2DBAB486" w14:textId="77777777" w:rsidTr="00F31956">
        <w:trPr>
          <w:trHeight w:val="172"/>
        </w:trPr>
        <w:tc>
          <w:tcPr>
            <w:tcW w:w="3697" w:type="dxa"/>
            <w:noWrap/>
            <w:hideMark/>
          </w:tcPr>
          <w:p w14:paraId="36D61DBF" w14:textId="77777777" w:rsidR="006800C7" w:rsidRPr="009653E5" w:rsidRDefault="006800C7" w:rsidP="00F31956">
            <w:r>
              <w:t>Grants and other contributions</w:t>
            </w:r>
          </w:p>
        </w:tc>
        <w:tc>
          <w:tcPr>
            <w:tcW w:w="2548" w:type="dxa"/>
            <w:noWrap/>
          </w:tcPr>
          <w:p w14:paraId="4F400226" w14:textId="3AB14BF9" w:rsidR="006800C7" w:rsidRPr="009653E5" w:rsidRDefault="001313FA" w:rsidP="00F31956">
            <w:r>
              <w:t>3.04%</w:t>
            </w:r>
          </w:p>
        </w:tc>
        <w:tc>
          <w:tcPr>
            <w:tcW w:w="2547" w:type="dxa"/>
            <w:noWrap/>
          </w:tcPr>
          <w:p w14:paraId="659F5CDF" w14:textId="2A649B77" w:rsidR="006800C7" w:rsidRPr="009653E5" w:rsidRDefault="001313FA" w:rsidP="00F31956">
            <w:r>
              <w:t>216,753</w:t>
            </w:r>
          </w:p>
        </w:tc>
      </w:tr>
      <w:tr w:rsidR="006800C7" w:rsidRPr="008B5A09" w14:paraId="4FF55F7F" w14:textId="77777777" w:rsidTr="00F31956">
        <w:trPr>
          <w:trHeight w:val="164"/>
        </w:trPr>
        <w:tc>
          <w:tcPr>
            <w:tcW w:w="3697" w:type="dxa"/>
            <w:noWrap/>
            <w:hideMark/>
          </w:tcPr>
          <w:p w14:paraId="6EAC4687" w14:textId="77777777" w:rsidR="006800C7" w:rsidRPr="009653E5" w:rsidRDefault="006800C7" w:rsidP="00F31956">
            <w:r>
              <w:t xml:space="preserve">Service concession arrangements revenue </w:t>
            </w:r>
          </w:p>
        </w:tc>
        <w:tc>
          <w:tcPr>
            <w:tcW w:w="2548" w:type="dxa"/>
            <w:noWrap/>
          </w:tcPr>
          <w:p w14:paraId="621A9EAE" w14:textId="7EC632CD" w:rsidR="006800C7" w:rsidRPr="009653E5" w:rsidRDefault="006800C7" w:rsidP="00F31956">
            <w:r>
              <w:t>3</w:t>
            </w:r>
            <w:r w:rsidR="001313FA">
              <w:t>3.25%</w:t>
            </w:r>
          </w:p>
        </w:tc>
        <w:tc>
          <w:tcPr>
            <w:tcW w:w="2547" w:type="dxa"/>
            <w:noWrap/>
          </w:tcPr>
          <w:p w14:paraId="324659F2" w14:textId="2D09F3AC" w:rsidR="006800C7" w:rsidRPr="009653E5" w:rsidRDefault="001313FA" w:rsidP="00F31956">
            <w:r>
              <w:t>232,180</w:t>
            </w:r>
          </w:p>
        </w:tc>
      </w:tr>
      <w:tr w:rsidR="006800C7" w:rsidRPr="008B5A09" w14:paraId="520A6F6F" w14:textId="77777777" w:rsidTr="00F31956">
        <w:trPr>
          <w:trHeight w:val="290"/>
        </w:trPr>
        <w:tc>
          <w:tcPr>
            <w:tcW w:w="3697" w:type="dxa"/>
            <w:noWrap/>
            <w:hideMark/>
          </w:tcPr>
          <w:p w14:paraId="135D6906" w14:textId="77777777" w:rsidR="006800C7" w:rsidRPr="009653E5" w:rsidRDefault="006800C7" w:rsidP="00F31956">
            <w:r>
              <w:t xml:space="preserve">Other revenue </w:t>
            </w:r>
          </w:p>
        </w:tc>
        <w:tc>
          <w:tcPr>
            <w:tcW w:w="2548" w:type="dxa"/>
            <w:noWrap/>
          </w:tcPr>
          <w:p w14:paraId="0192D583" w14:textId="675E3EBE" w:rsidR="006800C7" w:rsidRPr="009653E5" w:rsidRDefault="006800C7" w:rsidP="00F31956">
            <w:r>
              <w:t>0.</w:t>
            </w:r>
            <w:r w:rsidR="001313FA">
              <w:t>75%</w:t>
            </w:r>
          </w:p>
        </w:tc>
        <w:tc>
          <w:tcPr>
            <w:tcW w:w="2547" w:type="dxa"/>
            <w:noWrap/>
          </w:tcPr>
          <w:p w14:paraId="7915BD41" w14:textId="27738CE6" w:rsidR="006800C7" w:rsidRPr="009653E5" w:rsidRDefault="001313FA" w:rsidP="00F31956">
            <w:r>
              <w:t>53,575</w:t>
            </w:r>
          </w:p>
        </w:tc>
      </w:tr>
      <w:tr w:rsidR="006800C7" w:rsidRPr="008B5A09" w14:paraId="1AFF14BB" w14:textId="77777777" w:rsidTr="00F31956">
        <w:trPr>
          <w:trHeight w:val="290"/>
        </w:trPr>
        <w:tc>
          <w:tcPr>
            <w:tcW w:w="3697" w:type="dxa"/>
            <w:noWrap/>
          </w:tcPr>
          <w:p w14:paraId="7561CE43" w14:textId="77777777" w:rsidR="006800C7" w:rsidRPr="00C62589" w:rsidRDefault="006800C7" w:rsidP="00F31956">
            <w:r>
              <w:t xml:space="preserve">Total income </w:t>
            </w:r>
          </w:p>
        </w:tc>
        <w:tc>
          <w:tcPr>
            <w:tcW w:w="2548" w:type="dxa"/>
            <w:noWrap/>
          </w:tcPr>
          <w:p w14:paraId="4432D17B" w14:textId="77777777" w:rsidR="006800C7" w:rsidRPr="00C62589" w:rsidRDefault="006800C7" w:rsidP="00F31956"/>
        </w:tc>
        <w:tc>
          <w:tcPr>
            <w:tcW w:w="2547" w:type="dxa"/>
            <w:noWrap/>
          </w:tcPr>
          <w:p w14:paraId="6C9B404F" w14:textId="4A4216C9" w:rsidR="006800C7" w:rsidRPr="00C62589" w:rsidRDefault="001313FA" w:rsidP="00F31956">
            <w:r>
              <w:t>7,133,330</w:t>
            </w:r>
          </w:p>
        </w:tc>
      </w:tr>
    </w:tbl>
    <w:p w14:paraId="46CB117D" w14:textId="77777777" w:rsidR="006800C7" w:rsidRPr="00623C3C" w:rsidRDefault="006800C7" w:rsidP="006800C7">
      <w:pPr>
        <w:pStyle w:val="Heading4"/>
      </w:pPr>
      <w:r>
        <w:lastRenderedPageBreak/>
        <w:t xml:space="preserve">Expenses </w:t>
      </w:r>
    </w:p>
    <w:p w14:paraId="6DAD49BF" w14:textId="31A2C106" w:rsidR="000158F2" w:rsidRDefault="000158F2" w:rsidP="006800C7">
      <w:r w:rsidRPr="000158F2">
        <w:t>Total expenses for the department were $7.194 billion. Supplies and services was our largest category of expenditure, comprising 59 per cent of total expenditure, followed by depreciation and amortisation of assets, grants and subsidies, and employee expenses.</w:t>
      </w:r>
    </w:p>
    <w:p w14:paraId="263D6FBB" w14:textId="667252A8" w:rsidR="000158F2" w:rsidRDefault="00293483" w:rsidP="006800C7">
      <w:r w:rsidRPr="00293483">
        <w:t>Approximately 73 per cent of total supplies and services consists of payments to operators of rail, bus, air and ferry services. Total expenses in 2021–22 has increased by $424 million.</w:t>
      </w:r>
    </w:p>
    <w:tbl>
      <w:tblPr>
        <w:tblStyle w:val="Style1"/>
        <w:tblpPr w:leftFromText="180" w:rightFromText="180" w:vertAnchor="text" w:horzAnchor="margin" w:tblpY="157"/>
        <w:tblW w:w="9063" w:type="dxa"/>
        <w:tblLook w:val="04A0" w:firstRow="1" w:lastRow="0" w:firstColumn="1" w:lastColumn="0" w:noHBand="0" w:noVBand="1"/>
      </w:tblPr>
      <w:tblGrid>
        <w:gridCol w:w="3811"/>
        <w:gridCol w:w="2627"/>
        <w:gridCol w:w="2625"/>
      </w:tblGrid>
      <w:tr w:rsidR="006800C7" w:rsidRPr="008B5A09" w14:paraId="341D9119" w14:textId="77777777" w:rsidTr="00F31956">
        <w:trPr>
          <w:cnfStyle w:val="100000000000" w:firstRow="1" w:lastRow="0" w:firstColumn="0" w:lastColumn="0" w:oddVBand="0" w:evenVBand="0" w:oddHBand="0" w:evenHBand="0" w:firstRowFirstColumn="0" w:firstRowLastColumn="0" w:lastRowFirstColumn="0" w:lastRowLastColumn="0"/>
          <w:trHeight w:val="378"/>
        </w:trPr>
        <w:tc>
          <w:tcPr>
            <w:tcW w:w="3811" w:type="dxa"/>
            <w:noWrap/>
            <w:hideMark/>
          </w:tcPr>
          <w:p w14:paraId="0B8D2D12" w14:textId="77777777" w:rsidR="006800C7" w:rsidRPr="008845A7" w:rsidRDefault="006800C7" w:rsidP="00F31956">
            <w:r>
              <w:t>Expenses</w:t>
            </w:r>
          </w:p>
        </w:tc>
        <w:tc>
          <w:tcPr>
            <w:tcW w:w="2627" w:type="dxa"/>
            <w:hideMark/>
          </w:tcPr>
          <w:p w14:paraId="4206C72F" w14:textId="77777777" w:rsidR="006800C7" w:rsidRPr="008845A7" w:rsidRDefault="006800C7" w:rsidP="00F31956">
            <w:r>
              <w:t>Expenses %</w:t>
            </w:r>
          </w:p>
        </w:tc>
        <w:tc>
          <w:tcPr>
            <w:tcW w:w="2625" w:type="dxa"/>
            <w:hideMark/>
          </w:tcPr>
          <w:p w14:paraId="19142008" w14:textId="77777777" w:rsidR="006800C7" w:rsidRPr="008845A7" w:rsidRDefault="006800C7" w:rsidP="00F31956">
            <w:r>
              <w:t>$</w:t>
            </w:r>
            <w:r w:rsidRPr="008845A7">
              <w:t>'000</w:t>
            </w:r>
          </w:p>
        </w:tc>
      </w:tr>
      <w:tr w:rsidR="006800C7" w:rsidRPr="008B5A09" w14:paraId="6E98C078" w14:textId="77777777" w:rsidTr="00F31956">
        <w:trPr>
          <w:trHeight w:val="156"/>
        </w:trPr>
        <w:tc>
          <w:tcPr>
            <w:tcW w:w="3811" w:type="dxa"/>
            <w:noWrap/>
            <w:hideMark/>
          </w:tcPr>
          <w:p w14:paraId="6D543CC7" w14:textId="77777777" w:rsidR="006800C7" w:rsidRPr="008845A7" w:rsidRDefault="006800C7" w:rsidP="00F31956">
            <w:r>
              <w:t xml:space="preserve">Employee expenses </w:t>
            </w:r>
          </w:p>
        </w:tc>
        <w:tc>
          <w:tcPr>
            <w:tcW w:w="2627" w:type="dxa"/>
            <w:noWrap/>
          </w:tcPr>
          <w:p w14:paraId="53AC902F" w14:textId="1D912EF4" w:rsidR="006800C7" w:rsidRPr="008845A7" w:rsidRDefault="00293483" w:rsidP="00F31956">
            <w:r>
              <w:t>9.04%</w:t>
            </w:r>
          </w:p>
        </w:tc>
        <w:tc>
          <w:tcPr>
            <w:tcW w:w="2625" w:type="dxa"/>
            <w:noWrap/>
          </w:tcPr>
          <w:p w14:paraId="1E243883" w14:textId="50B97366" w:rsidR="006800C7" w:rsidRPr="008845A7" w:rsidRDefault="00821A0A" w:rsidP="00F31956">
            <w:r>
              <w:t>650,326</w:t>
            </w:r>
          </w:p>
        </w:tc>
      </w:tr>
      <w:tr w:rsidR="006800C7" w:rsidRPr="008B5A09" w14:paraId="3E3E9EE9" w14:textId="77777777" w:rsidTr="00F31956">
        <w:trPr>
          <w:trHeight w:val="156"/>
        </w:trPr>
        <w:tc>
          <w:tcPr>
            <w:tcW w:w="3811" w:type="dxa"/>
            <w:noWrap/>
          </w:tcPr>
          <w:p w14:paraId="751CB559" w14:textId="77777777" w:rsidR="006800C7" w:rsidRPr="008845A7" w:rsidRDefault="006800C7" w:rsidP="00F31956">
            <w:r>
              <w:t xml:space="preserve">Supplies and services </w:t>
            </w:r>
          </w:p>
        </w:tc>
        <w:tc>
          <w:tcPr>
            <w:tcW w:w="2627" w:type="dxa"/>
            <w:noWrap/>
          </w:tcPr>
          <w:p w14:paraId="69661DFA" w14:textId="4B3D165F" w:rsidR="006800C7" w:rsidRPr="008845A7" w:rsidRDefault="006800C7" w:rsidP="00F31956">
            <w:r>
              <w:t>59.</w:t>
            </w:r>
            <w:r w:rsidR="00293483">
              <w:t>08</w:t>
            </w:r>
            <w:r>
              <w:t>%</w:t>
            </w:r>
          </w:p>
        </w:tc>
        <w:tc>
          <w:tcPr>
            <w:tcW w:w="2625" w:type="dxa"/>
            <w:noWrap/>
          </w:tcPr>
          <w:p w14:paraId="0D98E966" w14:textId="1A8DD1A7" w:rsidR="006800C7" w:rsidRPr="008845A7" w:rsidRDefault="006800C7" w:rsidP="00F31956">
            <w:r>
              <w:t>4,</w:t>
            </w:r>
            <w:r w:rsidR="00821A0A">
              <w:t>250,502</w:t>
            </w:r>
          </w:p>
        </w:tc>
      </w:tr>
      <w:tr w:rsidR="006800C7" w:rsidRPr="008B5A09" w14:paraId="717674D0" w14:textId="77777777" w:rsidTr="00F31956">
        <w:trPr>
          <w:trHeight w:val="164"/>
        </w:trPr>
        <w:tc>
          <w:tcPr>
            <w:tcW w:w="3811" w:type="dxa"/>
            <w:noWrap/>
          </w:tcPr>
          <w:p w14:paraId="0363149C" w14:textId="77777777" w:rsidR="006800C7" w:rsidRPr="008845A7" w:rsidRDefault="006800C7" w:rsidP="00F31956">
            <w:r>
              <w:t xml:space="preserve">Grants and subsidies </w:t>
            </w:r>
          </w:p>
        </w:tc>
        <w:tc>
          <w:tcPr>
            <w:tcW w:w="2627" w:type="dxa"/>
            <w:noWrap/>
          </w:tcPr>
          <w:p w14:paraId="0B1A4E7C" w14:textId="78011BD6" w:rsidR="006800C7" w:rsidRPr="008845A7" w:rsidRDefault="006800C7" w:rsidP="00F31956">
            <w:r>
              <w:t>1</w:t>
            </w:r>
            <w:r w:rsidR="00293483">
              <w:t>1.29</w:t>
            </w:r>
            <w:r>
              <w:t>%</w:t>
            </w:r>
          </w:p>
        </w:tc>
        <w:tc>
          <w:tcPr>
            <w:tcW w:w="2625" w:type="dxa"/>
            <w:noWrap/>
          </w:tcPr>
          <w:p w14:paraId="0B41AC2A" w14:textId="5A94F24A" w:rsidR="006800C7" w:rsidRPr="008845A7" w:rsidRDefault="00821A0A" w:rsidP="00F31956">
            <w:r>
              <w:t>812,378</w:t>
            </w:r>
          </w:p>
        </w:tc>
      </w:tr>
      <w:tr w:rsidR="006800C7" w:rsidRPr="008B5A09" w14:paraId="259419ED" w14:textId="77777777" w:rsidTr="00F31956">
        <w:trPr>
          <w:trHeight w:val="156"/>
        </w:trPr>
        <w:tc>
          <w:tcPr>
            <w:tcW w:w="3811" w:type="dxa"/>
            <w:noWrap/>
          </w:tcPr>
          <w:p w14:paraId="686C3A2F" w14:textId="77777777" w:rsidR="006800C7" w:rsidRPr="008845A7" w:rsidRDefault="006800C7" w:rsidP="00F31956">
            <w:r>
              <w:t xml:space="preserve">Finance and borrowing costs </w:t>
            </w:r>
          </w:p>
        </w:tc>
        <w:tc>
          <w:tcPr>
            <w:tcW w:w="2627" w:type="dxa"/>
            <w:noWrap/>
          </w:tcPr>
          <w:p w14:paraId="1B010933" w14:textId="0B66AF0B" w:rsidR="006800C7" w:rsidRPr="008845A7" w:rsidRDefault="006800C7" w:rsidP="00F31956">
            <w:r>
              <w:t>1.</w:t>
            </w:r>
            <w:r w:rsidR="00293483">
              <w:t>11</w:t>
            </w:r>
            <w:r>
              <w:t>%</w:t>
            </w:r>
          </w:p>
        </w:tc>
        <w:tc>
          <w:tcPr>
            <w:tcW w:w="2625" w:type="dxa"/>
            <w:noWrap/>
          </w:tcPr>
          <w:p w14:paraId="11CAA121" w14:textId="5622CEA2" w:rsidR="006800C7" w:rsidRPr="008845A7" w:rsidRDefault="0020124A" w:rsidP="00F31956">
            <w:r>
              <w:t>79,971</w:t>
            </w:r>
          </w:p>
        </w:tc>
      </w:tr>
      <w:tr w:rsidR="006800C7" w:rsidRPr="008B5A09" w14:paraId="26E26AC9" w14:textId="77777777" w:rsidTr="00F31956">
        <w:trPr>
          <w:trHeight w:val="276"/>
        </w:trPr>
        <w:tc>
          <w:tcPr>
            <w:tcW w:w="3811" w:type="dxa"/>
            <w:noWrap/>
          </w:tcPr>
          <w:p w14:paraId="3DB34FA5" w14:textId="77777777" w:rsidR="006800C7" w:rsidRPr="008845A7" w:rsidRDefault="006800C7" w:rsidP="00F31956">
            <w:r>
              <w:t xml:space="preserve">Depreciation and amortisation </w:t>
            </w:r>
          </w:p>
        </w:tc>
        <w:tc>
          <w:tcPr>
            <w:tcW w:w="2627" w:type="dxa"/>
            <w:noWrap/>
          </w:tcPr>
          <w:p w14:paraId="23034FC6" w14:textId="244ACC5D" w:rsidR="006800C7" w:rsidRPr="008845A7" w:rsidRDefault="006800C7" w:rsidP="00F31956">
            <w:r>
              <w:t>18.</w:t>
            </w:r>
            <w:r w:rsidR="00293483">
              <w:t>84</w:t>
            </w:r>
            <w:r>
              <w:t>%</w:t>
            </w:r>
          </w:p>
        </w:tc>
        <w:tc>
          <w:tcPr>
            <w:tcW w:w="2625" w:type="dxa"/>
            <w:noWrap/>
          </w:tcPr>
          <w:p w14:paraId="511828CF" w14:textId="0C0DDD02" w:rsidR="006800C7" w:rsidRPr="008845A7" w:rsidRDefault="006800C7" w:rsidP="00F31956">
            <w:r>
              <w:t>1,</w:t>
            </w:r>
            <w:r w:rsidR="0020124A">
              <w:t>355,679</w:t>
            </w:r>
          </w:p>
        </w:tc>
      </w:tr>
      <w:tr w:rsidR="006800C7" w:rsidRPr="008B5A09" w14:paraId="18498450" w14:textId="77777777" w:rsidTr="00F31956">
        <w:trPr>
          <w:trHeight w:val="276"/>
        </w:trPr>
        <w:tc>
          <w:tcPr>
            <w:tcW w:w="3811" w:type="dxa"/>
            <w:noWrap/>
          </w:tcPr>
          <w:p w14:paraId="572775D6" w14:textId="77777777" w:rsidR="006800C7" w:rsidRPr="008845A7" w:rsidRDefault="006800C7" w:rsidP="00F31956">
            <w:r>
              <w:t xml:space="preserve">Other </w:t>
            </w:r>
          </w:p>
        </w:tc>
        <w:tc>
          <w:tcPr>
            <w:tcW w:w="2627" w:type="dxa"/>
            <w:noWrap/>
          </w:tcPr>
          <w:p w14:paraId="1FE08443" w14:textId="640D1CE5" w:rsidR="006800C7" w:rsidRPr="00C62589" w:rsidRDefault="006800C7" w:rsidP="00F31956">
            <w:r>
              <w:t>0.</w:t>
            </w:r>
            <w:r w:rsidR="00821A0A">
              <w:t>64</w:t>
            </w:r>
            <w:r>
              <w:t>%</w:t>
            </w:r>
          </w:p>
        </w:tc>
        <w:tc>
          <w:tcPr>
            <w:tcW w:w="2625" w:type="dxa"/>
            <w:noWrap/>
          </w:tcPr>
          <w:p w14:paraId="033EB8F0" w14:textId="60ADE419" w:rsidR="006800C7" w:rsidRPr="008845A7" w:rsidRDefault="0020124A" w:rsidP="00F31956">
            <w:r>
              <w:t>45,553</w:t>
            </w:r>
          </w:p>
        </w:tc>
      </w:tr>
      <w:tr w:rsidR="006800C7" w:rsidRPr="008B5A09" w14:paraId="726DE01C" w14:textId="77777777" w:rsidTr="00F31956">
        <w:trPr>
          <w:trHeight w:val="276"/>
        </w:trPr>
        <w:tc>
          <w:tcPr>
            <w:tcW w:w="3811" w:type="dxa"/>
            <w:noWrap/>
          </w:tcPr>
          <w:p w14:paraId="5765C296" w14:textId="77777777" w:rsidR="006800C7" w:rsidRDefault="006800C7" w:rsidP="00F31956">
            <w:r>
              <w:t xml:space="preserve">Total expenses </w:t>
            </w:r>
          </w:p>
        </w:tc>
        <w:tc>
          <w:tcPr>
            <w:tcW w:w="2627" w:type="dxa"/>
            <w:noWrap/>
          </w:tcPr>
          <w:p w14:paraId="75E6D6F2" w14:textId="77777777" w:rsidR="006800C7" w:rsidRPr="00C62589" w:rsidRDefault="006800C7" w:rsidP="00F31956"/>
        </w:tc>
        <w:tc>
          <w:tcPr>
            <w:tcW w:w="2625" w:type="dxa"/>
            <w:noWrap/>
          </w:tcPr>
          <w:p w14:paraId="33D0F5AE" w14:textId="05703D33" w:rsidR="006800C7" w:rsidRPr="008845A7" w:rsidRDefault="0020124A" w:rsidP="00F31956">
            <w:r>
              <w:t>7,194,409</w:t>
            </w:r>
          </w:p>
        </w:tc>
      </w:tr>
    </w:tbl>
    <w:p w14:paraId="7C3B9272" w14:textId="77777777" w:rsidR="006800C7" w:rsidRPr="00623C3C" w:rsidRDefault="006800C7" w:rsidP="006800C7">
      <w:pPr>
        <w:pStyle w:val="Heading4"/>
      </w:pPr>
      <w:r w:rsidRPr="00623C3C">
        <w:t xml:space="preserve">Financial </w:t>
      </w:r>
      <w:r>
        <w:t>position</w:t>
      </w:r>
    </w:p>
    <w:p w14:paraId="7D6EA8B9" w14:textId="403B8185" w:rsidR="00287A6E" w:rsidRDefault="00287A6E" w:rsidP="006800C7">
      <w:r w:rsidRPr="00287A6E">
        <w:t>The net assets position reported in the financial statements shows the net worth of the department. At 30 June 2022, this was $90.708 billion. Table 2 summarises the department’s financial position for the past five financial years.</w:t>
      </w:r>
    </w:p>
    <w:p w14:paraId="5F91C436" w14:textId="77777777" w:rsidR="006800C7" w:rsidRDefault="006800C7" w:rsidP="006800C7">
      <w:pPr>
        <w:pStyle w:val="TableofFigures"/>
        <w:rPr>
          <w:rStyle w:val="Strong"/>
        </w:rPr>
      </w:pPr>
      <w:r>
        <w:rPr>
          <w:rStyle w:val="Strong"/>
        </w:rPr>
        <w:t>Table 2: Summary of financial position – Assets and liabilities</w:t>
      </w:r>
      <w:r>
        <w:rPr>
          <w:rStyle w:val="Strong"/>
        </w:rPr>
        <w:br/>
      </w:r>
    </w:p>
    <w:tbl>
      <w:tblPr>
        <w:tblStyle w:val="Style1"/>
        <w:tblW w:w="7594" w:type="dxa"/>
        <w:tblLook w:val="04A0" w:firstRow="1" w:lastRow="0" w:firstColumn="1" w:lastColumn="0" w:noHBand="0" w:noVBand="1"/>
      </w:tblPr>
      <w:tblGrid>
        <w:gridCol w:w="2013"/>
        <w:gridCol w:w="1951"/>
        <w:gridCol w:w="1843"/>
        <w:gridCol w:w="1787"/>
      </w:tblGrid>
      <w:tr w:rsidR="006800C7" w:rsidRPr="008B5A09" w14:paraId="7EBE08DE" w14:textId="77777777" w:rsidTr="00F31956">
        <w:trPr>
          <w:cnfStyle w:val="100000000000" w:firstRow="1" w:lastRow="0" w:firstColumn="0" w:lastColumn="0" w:oddVBand="0" w:evenVBand="0" w:oddHBand="0" w:evenHBand="0" w:firstRowFirstColumn="0" w:firstRowLastColumn="0" w:lastRowFirstColumn="0" w:lastRowLastColumn="0"/>
          <w:trHeight w:val="283"/>
        </w:trPr>
        <w:tc>
          <w:tcPr>
            <w:tcW w:w="2013" w:type="dxa"/>
            <w:noWrap/>
            <w:hideMark/>
          </w:tcPr>
          <w:p w14:paraId="7621478C" w14:textId="77777777" w:rsidR="006800C7" w:rsidRPr="006A25A8" w:rsidRDefault="006800C7" w:rsidP="00F31956">
            <w:r w:rsidRPr="001F00A1">
              <w:t>Financial Position</w:t>
            </w:r>
          </w:p>
        </w:tc>
        <w:tc>
          <w:tcPr>
            <w:tcW w:w="1951" w:type="dxa"/>
            <w:hideMark/>
          </w:tcPr>
          <w:p w14:paraId="75C2B054" w14:textId="77777777" w:rsidR="006800C7" w:rsidRPr="006A25A8" w:rsidRDefault="006800C7" w:rsidP="00F31956">
            <w:r w:rsidRPr="001F00A1">
              <w:t>Total Assets</w:t>
            </w:r>
          </w:p>
        </w:tc>
        <w:tc>
          <w:tcPr>
            <w:tcW w:w="1843" w:type="dxa"/>
            <w:hideMark/>
          </w:tcPr>
          <w:p w14:paraId="48F38B10" w14:textId="77777777" w:rsidR="006800C7" w:rsidRPr="006A25A8" w:rsidRDefault="006800C7" w:rsidP="00F31956">
            <w:r w:rsidRPr="001F00A1">
              <w:t>Total Liabilities</w:t>
            </w:r>
          </w:p>
        </w:tc>
        <w:tc>
          <w:tcPr>
            <w:tcW w:w="1787" w:type="dxa"/>
            <w:noWrap/>
            <w:hideMark/>
          </w:tcPr>
          <w:p w14:paraId="422ACB17" w14:textId="77777777" w:rsidR="006800C7" w:rsidRPr="006A25A8" w:rsidRDefault="006800C7" w:rsidP="00F31956">
            <w:r w:rsidRPr="001F00A1">
              <w:t>Total Equity</w:t>
            </w:r>
          </w:p>
        </w:tc>
      </w:tr>
      <w:tr w:rsidR="006800C7" w:rsidRPr="008B5A09" w14:paraId="506B4079" w14:textId="77777777" w:rsidTr="00F31956">
        <w:trPr>
          <w:trHeight w:val="57"/>
        </w:trPr>
        <w:tc>
          <w:tcPr>
            <w:tcW w:w="2013" w:type="dxa"/>
            <w:noWrap/>
            <w:hideMark/>
          </w:tcPr>
          <w:p w14:paraId="5B6732D8" w14:textId="12CBB5E1" w:rsidR="006800C7" w:rsidRPr="006A25A8" w:rsidRDefault="006800C7" w:rsidP="00F31956">
            <w:r w:rsidRPr="001F00A1">
              <w:t>202</w:t>
            </w:r>
            <w:r w:rsidR="00122D0B">
              <w:t>1</w:t>
            </w:r>
            <w:r w:rsidRPr="001F00A1">
              <w:t>–2</w:t>
            </w:r>
            <w:r w:rsidR="00122D0B">
              <w:t>2</w:t>
            </w:r>
            <w:r w:rsidRPr="001F00A1">
              <w:t xml:space="preserve"> ($ '000)</w:t>
            </w:r>
          </w:p>
        </w:tc>
        <w:tc>
          <w:tcPr>
            <w:tcW w:w="1951" w:type="dxa"/>
            <w:noWrap/>
            <w:hideMark/>
          </w:tcPr>
          <w:p w14:paraId="21166E99" w14:textId="1E328FFA" w:rsidR="006800C7" w:rsidRPr="006A25A8" w:rsidRDefault="00122D0B" w:rsidP="00F31956">
            <w:r>
              <w:t>100,750,641</w:t>
            </w:r>
          </w:p>
        </w:tc>
        <w:tc>
          <w:tcPr>
            <w:tcW w:w="1843" w:type="dxa"/>
            <w:noWrap/>
            <w:hideMark/>
          </w:tcPr>
          <w:p w14:paraId="749DAD29" w14:textId="051C03CC" w:rsidR="006800C7" w:rsidRPr="006A25A8" w:rsidRDefault="006800C7" w:rsidP="00F31956">
            <w:r w:rsidRPr="001F00A1">
              <w:t>10,</w:t>
            </w:r>
            <w:r w:rsidR="00122D0B">
              <w:t>042,913</w:t>
            </w:r>
          </w:p>
        </w:tc>
        <w:tc>
          <w:tcPr>
            <w:tcW w:w="1787" w:type="dxa"/>
            <w:noWrap/>
            <w:hideMark/>
          </w:tcPr>
          <w:p w14:paraId="6008E5F8" w14:textId="44D8D2A5" w:rsidR="006800C7" w:rsidRPr="006A25A8" w:rsidRDefault="00122D0B" w:rsidP="00F31956">
            <w:r>
              <w:t>90,707,728</w:t>
            </w:r>
          </w:p>
        </w:tc>
      </w:tr>
      <w:tr w:rsidR="00354959" w:rsidRPr="008B5A09" w14:paraId="4271B9EF" w14:textId="77777777" w:rsidTr="00354959">
        <w:trPr>
          <w:trHeight w:val="258"/>
        </w:trPr>
        <w:tc>
          <w:tcPr>
            <w:tcW w:w="2013" w:type="dxa"/>
            <w:noWrap/>
          </w:tcPr>
          <w:p w14:paraId="3D953295" w14:textId="61EB7FE9" w:rsidR="00354959" w:rsidRPr="006A25A8" w:rsidRDefault="00354959" w:rsidP="00354959">
            <w:r w:rsidRPr="001F00A1">
              <w:t>2020–21 ($ '000)</w:t>
            </w:r>
          </w:p>
        </w:tc>
        <w:tc>
          <w:tcPr>
            <w:tcW w:w="1951" w:type="dxa"/>
            <w:noWrap/>
          </w:tcPr>
          <w:p w14:paraId="1FC242B1" w14:textId="4EB5DB3D" w:rsidR="00354959" w:rsidRPr="006A25A8" w:rsidRDefault="00354959" w:rsidP="00354959">
            <w:r w:rsidRPr="001F00A1">
              <w:t>87,</w:t>
            </w:r>
            <w:r>
              <w:t>402,208</w:t>
            </w:r>
          </w:p>
        </w:tc>
        <w:tc>
          <w:tcPr>
            <w:tcW w:w="1843" w:type="dxa"/>
            <w:noWrap/>
          </w:tcPr>
          <w:p w14:paraId="7A853B7E" w14:textId="13384657" w:rsidR="00354959" w:rsidRPr="006A25A8" w:rsidRDefault="00354959" w:rsidP="00354959">
            <w:r w:rsidRPr="001F00A1">
              <w:t>10,218,610</w:t>
            </w:r>
          </w:p>
        </w:tc>
        <w:tc>
          <w:tcPr>
            <w:tcW w:w="1787" w:type="dxa"/>
            <w:noWrap/>
          </w:tcPr>
          <w:p w14:paraId="64483DA4" w14:textId="2A776CD1" w:rsidR="00354959" w:rsidRPr="006A25A8" w:rsidRDefault="00354959" w:rsidP="00354959">
            <w:r w:rsidRPr="001F00A1">
              <w:t>77,</w:t>
            </w:r>
            <w:r w:rsidR="00122D0B">
              <w:t>183,598</w:t>
            </w:r>
          </w:p>
        </w:tc>
      </w:tr>
      <w:tr w:rsidR="00354959" w:rsidRPr="008B5A09" w14:paraId="400CABCB" w14:textId="77777777" w:rsidTr="00354959">
        <w:trPr>
          <w:trHeight w:val="258"/>
        </w:trPr>
        <w:tc>
          <w:tcPr>
            <w:tcW w:w="2013" w:type="dxa"/>
            <w:noWrap/>
          </w:tcPr>
          <w:p w14:paraId="1FF6DB3F" w14:textId="094858CF" w:rsidR="00354959" w:rsidRPr="006A25A8" w:rsidRDefault="00354959" w:rsidP="00354959">
            <w:r w:rsidRPr="001F00A1">
              <w:t>2019–20 ($ '000)</w:t>
            </w:r>
          </w:p>
        </w:tc>
        <w:tc>
          <w:tcPr>
            <w:tcW w:w="1951" w:type="dxa"/>
            <w:noWrap/>
          </w:tcPr>
          <w:p w14:paraId="5C45B60F" w14:textId="3783A8A9" w:rsidR="00354959" w:rsidRPr="006A25A8" w:rsidRDefault="00354959" w:rsidP="00354959">
            <w:r w:rsidRPr="001F00A1">
              <w:t>82,417,092</w:t>
            </w:r>
          </w:p>
        </w:tc>
        <w:tc>
          <w:tcPr>
            <w:tcW w:w="1843" w:type="dxa"/>
            <w:noWrap/>
          </w:tcPr>
          <w:p w14:paraId="796643CC" w14:textId="50EA1C5B" w:rsidR="00354959" w:rsidRPr="006A25A8" w:rsidRDefault="00354959" w:rsidP="00354959">
            <w:r w:rsidRPr="001F00A1">
              <w:t>10,413,403</w:t>
            </w:r>
          </w:p>
        </w:tc>
        <w:tc>
          <w:tcPr>
            <w:tcW w:w="1787" w:type="dxa"/>
            <w:noWrap/>
          </w:tcPr>
          <w:p w14:paraId="6343EDF5" w14:textId="404EBB68" w:rsidR="00354959" w:rsidRPr="006A25A8" w:rsidRDefault="00354959" w:rsidP="00354959">
            <w:r w:rsidRPr="001F00A1">
              <w:t>72,003,689</w:t>
            </w:r>
          </w:p>
        </w:tc>
      </w:tr>
      <w:tr w:rsidR="00354959" w:rsidRPr="008B5A09" w14:paraId="19029D9E" w14:textId="77777777" w:rsidTr="00354959">
        <w:trPr>
          <w:trHeight w:val="258"/>
        </w:trPr>
        <w:tc>
          <w:tcPr>
            <w:tcW w:w="2013" w:type="dxa"/>
            <w:noWrap/>
          </w:tcPr>
          <w:p w14:paraId="412751C7" w14:textId="2F9BF45E" w:rsidR="00354959" w:rsidRPr="006A25A8" w:rsidRDefault="00354959" w:rsidP="00354959">
            <w:r w:rsidRPr="001F00A1">
              <w:t>2018–19 ($ '000)</w:t>
            </w:r>
          </w:p>
        </w:tc>
        <w:tc>
          <w:tcPr>
            <w:tcW w:w="1951" w:type="dxa"/>
            <w:noWrap/>
          </w:tcPr>
          <w:p w14:paraId="1C7920A1" w14:textId="0CFA73EC" w:rsidR="00354959" w:rsidRPr="006A25A8" w:rsidRDefault="00354959" w:rsidP="00354959">
            <w:r w:rsidRPr="001F00A1">
              <w:t>67,262,349</w:t>
            </w:r>
          </w:p>
        </w:tc>
        <w:tc>
          <w:tcPr>
            <w:tcW w:w="1843" w:type="dxa"/>
            <w:noWrap/>
          </w:tcPr>
          <w:p w14:paraId="6DE57217" w14:textId="7F3DD9EE" w:rsidR="00354959" w:rsidRPr="006A25A8" w:rsidRDefault="00354959" w:rsidP="00354959">
            <w:r w:rsidRPr="001F00A1">
              <w:t>2,508,073</w:t>
            </w:r>
          </w:p>
        </w:tc>
        <w:tc>
          <w:tcPr>
            <w:tcW w:w="1787" w:type="dxa"/>
            <w:noWrap/>
          </w:tcPr>
          <w:p w14:paraId="1656BFA3" w14:textId="02DE7E52" w:rsidR="00354959" w:rsidRPr="006A25A8" w:rsidRDefault="00354959" w:rsidP="00354959">
            <w:r w:rsidRPr="001F00A1">
              <w:t>64,754,276</w:t>
            </w:r>
          </w:p>
        </w:tc>
      </w:tr>
      <w:tr w:rsidR="00354959" w:rsidRPr="008B5A09" w14:paraId="2AEA497F" w14:textId="77777777" w:rsidTr="00F31956">
        <w:trPr>
          <w:trHeight w:val="266"/>
        </w:trPr>
        <w:tc>
          <w:tcPr>
            <w:tcW w:w="2013" w:type="dxa"/>
            <w:noWrap/>
            <w:hideMark/>
          </w:tcPr>
          <w:p w14:paraId="1465823B" w14:textId="5116E011" w:rsidR="00354959" w:rsidRPr="006A25A8" w:rsidRDefault="00354959" w:rsidP="00354959">
            <w:r w:rsidRPr="001F00A1">
              <w:t>2017–18 ($ '000)</w:t>
            </w:r>
          </w:p>
        </w:tc>
        <w:tc>
          <w:tcPr>
            <w:tcW w:w="1951" w:type="dxa"/>
            <w:noWrap/>
            <w:hideMark/>
          </w:tcPr>
          <w:p w14:paraId="1541BE05" w14:textId="65C668A4" w:rsidR="00354959" w:rsidRPr="006A25A8" w:rsidRDefault="00354959" w:rsidP="00354959">
            <w:r w:rsidRPr="001F00A1">
              <w:t>63,712,233</w:t>
            </w:r>
          </w:p>
        </w:tc>
        <w:tc>
          <w:tcPr>
            <w:tcW w:w="1843" w:type="dxa"/>
            <w:noWrap/>
            <w:hideMark/>
          </w:tcPr>
          <w:p w14:paraId="16237C38" w14:textId="06866117" w:rsidR="00354959" w:rsidRPr="006A25A8" w:rsidRDefault="00354959" w:rsidP="00354959">
            <w:r w:rsidRPr="001F00A1">
              <w:t>2,372,514</w:t>
            </w:r>
          </w:p>
        </w:tc>
        <w:tc>
          <w:tcPr>
            <w:tcW w:w="1787" w:type="dxa"/>
            <w:noWrap/>
            <w:hideMark/>
          </w:tcPr>
          <w:p w14:paraId="6A611EDF" w14:textId="0C257A58" w:rsidR="00354959" w:rsidRPr="006A25A8" w:rsidRDefault="00354959" w:rsidP="00354959">
            <w:r w:rsidRPr="001F00A1">
              <w:t>61,339,719</w:t>
            </w:r>
          </w:p>
        </w:tc>
      </w:tr>
    </w:tbl>
    <w:p w14:paraId="2FFCD656" w14:textId="6324F016" w:rsidR="006800C7" w:rsidRDefault="006800C7" w:rsidP="006800C7"/>
    <w:p w14:paraId="3BE23539" w14:textId="77777777" w:rsidR="00224DCF" w:rsidRDefault="00224DCF" w:rsidP="00224DCF">
      <w:pPr>
        <w:pStyle w:val="Heading2"/>
      </w:pPr>
      <w:r>
        <w:lastRenderedPageBreak/>
        <w:t xml:space="preserve">Queensland Government's objectives for the community </w:t>
      </w:r>
    </w:p>
    <w:p w14:paraId="7020ADC9" w14:textId="7D99AE72" w:rsidR="00224DCF" w:rsidRPr="00A71D66" w:rsidRDefault="00B16FD5" w:rsidP="00224DCF">
      <w:pPr>
        <w:rPr>
          <w:rStyle w:val="SubtleEmphasis"/>
        </w:rPr>
      </w:pPr>
      <w:r w:rsidRPr="00B16FD5">
        <w:t xml:space="preserve">In 2021–22 the Queensland Government’s objectives for the community supported the state’s economic recovery from COVID-19. The objectives were built around the </w:t>
      </w:r>
      <w:r w:rsidR="00224DCF" w:rsidRPr="00A71D66">
        <w:rPr>
          <w:rStyle w:val="SubtleEmphasis"/>
        </w:rPr>
        <w:t>Unite and Recover - Queensland's Economic Recovery Plan.</w:t>
      </w:r>
    </w:p>
    <w:p w14:paraId="549D6E94" w14:textId="77777777" w:rsidR="000F7A38" w:rsidRDefault="000F7A38" w:rsidP="000F7A38">
      <w:r>
        <w:t>TMR continues to deliver significant projects and initiatives that contribute to wider government objectives and remains committed to ensuring Queensland’s transport system contributes to a vibrant economy, a sustainable environment and the growth of regions and industries. TMR continued to connect Queenslanders by delivering clean, high-quality public transport services and building and maintaining efficient, reliable and safe transport infrastructure.</w:t>
      </w:r>
    </w:p>
    <w:p w14:paraId="1C84625A" w14:textId="6468A41C" w:rsidR="000F7A38" w:rsidRPr="004F46BC" w:rsidRDefault="000F7A38" w:rsidP="000F7A38">
      <w:r>
        <w:t>Some of TMR’s achievements in 2021–22 are noted under each government objective.</w:t>
      </w:r>
    </w:p>
    <w:p w14:paraId="75544DA3" w14:textId="77777777" w:rsidR="00224DCF" w:rsidRDefault="00224DCF" w:rsidP="00224DCF">
      <w:pPr>
        <w:pStyle w:val="Heading4"/>
      </w:pPr>
      <w:r w:rsidRPr="00623C3C">
        <w:t>Safeguarding our health</w:t>
      </w:r>
      <w:r w:rsidRPr="009D3EBC">
        <w:t xml:space="preserve"> </w:t>
      </w:r>
    </w:p>
    <w:p w14:paraId="1AEC5986" w14:textId="77777777" w:rsidR="00E31F94" w:rsidRDefault="00E31F94" w:rsidP="00E31F94">
      <w:pPr>
        <w:pStyle w:val="ListBullet"/>
      </w:pPr>
      <w:r>
        <w:t>Continued improving the Queensland active transport network, encouraging more walking and bike riding in consultation with local governments and community groups.</w:t>
      </w:r>
    </w:p>
    <w:p w14:paraId="06782503" w14:textId="78332026" w:rsidR="00E31F94" w:rsidRPr="00A71D66" w:rsidRDefault="00E31F94" w:rsidP="00E31F94">
      <w:pPr>
        <w:pStyle w:val="ListBullet"/>
      </w:pPr>
      <w:r>
        <w:t>From August 2021, TMR worked closely with taxi, rideshare and limousine industry representatives to implement a mandatory Check-In Qld app QR code in personalised transport vehicles. Transport inspectors then undertook regular compliance activity to ensure taxis, rideshare and limousine operators fulfilled the Check-In Qld app QR code requirements while relevant health directions were in place.</w:t>
      </w:r>
    </w:p>
    <w:p w14:paraId="00B6AD54" w14:textId="77777777" w:rsidR="00224DCF" w:rsidRDefault="00224DCF" w:rsidP="00224DCF">
      <w:pPr>
        <w:pStyle w:val="Heading4"/>
      </w:pPr>
      <w:r w:rsidRPr="00623C3C">
        <w:t>Supporting jobs</w:t>
      </w:r>
      <w:r w:rsidRPr="009D3EBC">
        <w:t xml:space="preserve"> </w:t>
      </w:r>
    </w:p>
    <w:p w14:paraId="1701D4B8" w14:textId="21A76484" w:rsidR="00763B65" w:rsidRPr="00763B65" w:rsidRDefault="00763B65" w:rsidP="00763B65">
      <w:pPr>
        <w:pStyle w:val="ListBullet"/>
      </w:pPr>
      <w:r w:rsidRPr="00763B65">
        <w:t xml:space="preserve">Continued to support the revitalisation of Queensland’s coastal shipping industry by overseeing the Maritime Jobs Taskforce and implementing taskforce recommendations in support of the health response to COVID-19, including by encouraging a better balance between foreign and </w:t>
      </w:r>
      <w:r w:rsidR="00EF7545" w:rsidRPr="00763B65">
        <w:t>locally crewed</w:t>
      </w:r>
      <w:r w:rsidRPr="00763B65">
        <w:t xml:space="preserve"> vessels.</w:t>
      </w:r>
    </w:p>
    <w:p w14:paraId="139EF871" w14:textId="3C4A5483" w:rsidR="00763B65" w:rsidRPr="00763B65" w:rsidRDefault="00763B65" w:rsidP="00763B65">
      <w:pPr>
        <w:pStyle w:val="ListBullet"/>
      </w:pPr>
      <w:r w:rsidRPr="00763B65">
        <w:t xml:space="preserve">Developed a draft </w:t>
      </w:r>
      <w:r w:rsidRPr="00AA053C">
        <w:rPr>
          <w:rStyle w:val="Emphasis"/>
        </w:rPr>
        <w:t xml:space="preserve">Minjerribah (North Stradbroke Island) Public Transport Strategy </w:t>
      </w:r>
      <w:r w:rsidRPr="00763B65">
        <w:t>to identify opportunities to improve the public transport network to, from and on Minjerribah. The strategy aims to support tourism, boost access to employment on the mainland and further develop the local economy.</w:t>
      </w:r>
    </w:p>
    <w:p w14:paraId="3170FDB4" w14:textId="77777777" w:rsidR="00224DCF" w:rsidRDefault="00224DCF" w:rsidP="00224DCF">
      <w:pPr>
        <w:pStyle w:val="Heading4"/>
      </w:pPr>
      <w:r w:rsidRPr="00623C3C">
        <w:t>Backing small business</w:t>
      </w:r>
      <w:r w:rsidRPr="009D3EBC">
        <w:t xml:space="preserve"> </w:t>
      </w:r>
    </w:p>
    <w:p w14:paraId="7DC58CDE" w14:textId="77777777" w:rsidR="008F529E" w:rsidRPr="008F529E" w:rsidRDefault="008F529E" w:rsidP="008F529E">
      <w:pPr>
        <w:pStyle w:val="ListBullet"/>
      </w:pPr>
      <w:r w:rsidRPr="008F529E">
        <w:t>Continued to support small business suppliers by applying the DESBT On Time Payment Policy for Small Business. Continued to apply measures implemented at the start COVID-19 where small businesses have been paid with immediate payment terms.</w:t>
      </w:r>
    </w:p>
    <w:p w14:paraId="1EBA0ECC" w14:textId="77777777" w:rsidR="008F529E" w:rsidRPr="008F529E" w:rsidRDefault="008F529E" w:rsidP="008F529E">
      <w:pPr>
        <w:pStyle w:val="ListBullet"/>
      </w:pPr>
      <w:r w:rsidRPr="008F529E">
        <w:t>Oversaw the implementation of programs to improve freight and supply chain efficiency, including through industry consultation as part of the Ministerial Freight Council.</w:t>
      </w:r>
    </w:p>
    <w:p w14:paraId="444F1437" w14:textId="62D65C2F" w:rsidR="008F529E" w:rsidRPr="008F529E" w:rsidRDefault="008F529E" w:rsidP="008F529E">
      <w:pPr>
        <w:pStyle w:val="ListBullet"/>
      </w:pPr>
      <w:r w:rsidRPr="008F529E">
        <w:t>Backed small businesses to reduce overheads and red tape by digitising services.</w:t>
      </w:r>
    </w:p>
    <w:p w14:paraId="644F9BCF" w14:textId="77777777" w:rsidR="00224DCF" w:rsidRDefault="00224DCF" w:rsidP="00224DCF">
      <w:pPr>
        <w:pStyle w:val="Heading4"/>
      </w:pPr>
      <w:r w:rsidRPr="00623C3C">
        <w:t>Making it for Queensland</w:t>
      </w:r>
      <w:r w:rsidRPr="009D3EBC">
        <w:t xml:space="preserve"> </w:t>
      </w:r>
    </w:p>
    <w:p w14:paraId="24CBFE3F" w14:textId="77777777" w:rsidR="00391A32" w:rsidRPr="00391A32" w:rsidRDefault="00391A32" w:rsidP="00391A32">
      <w:pPr>
        <w:pStyle w:val="ListBullet"/>
      </w:pPr>
      <w:r w:rsidRPr="00391A32">
        <w:t>Oversaw the implementation of programs to ensure an effective, efficient and accessible public transport system, as well as the Queensland Accessible Transport Advisory Committee.</w:t>
      </w:r>
    </w:p>
    <w:p w14:paraId="1D6EE9CD" w14:textId="40E56B69" w:rsidR="005179EA" w:rsidRPr="00391A32" w:rsidRDefault="00391A32" w:rsidP="00391A32">
      <w:pPr>
        <w:pStyle w:val="ListBullet"/>
      </w:pPr>
      <w:r w:rsidRPr="00391A32">
        <w:lastRenderedPageBreak/>
        <w:t>Lead stage two of the Transport Network Pricing research program with deliverables including undertaking a review and preliminary analysis of proposed/implemented options pursued by other jurisdictions, and a preliminary assessment around their applicability in Queensland.</w:t>
      </w:r>
    </w:p>
    <w:p w14:paraId="2BF950EF" w14:textId="77777777" w:rsidR="00224DCF" w:rsidRDefault="00224DCF" w:rsidP="00224DCF">
      <w:pPr>
        <w:pStyle w:val="Heading4"/>
      </w:pPr>
      <w:r w:rsidRPr="00623C3C">
        <w:t>Building Queensland</w:t>
      </w:r>
      <w:r w:rsidRPr="009D3EBC">
        <w:t xml:space="preserve"> </w:t>
      </w:r>
    </w:p>
    <w:p w14:paraId="7BF806FB" w14:textId="77777777" w:rsidR="00927CCE" w:rsidRPr="00927CCE" w:rsidRDefault="00927CCE" w:rsidP="00927CCE">
      <w:pPr>
        <w:pStyle w:val="ListBullet"/>
      </w:pPr>
      <w:r w:rsidRPr="00927CCE">
        <w:t>Continued to implement and operate cooperative intelligent transport systems at key locations across Queensland to ready digital and physical infrastructure for the introduction of connected vehicles, expected to be commercially available in Australia from 2025.</w:t>
      </w:r>
    </w:p>
    <w:p w14:paraId="7AFA99C1" w14:textId="7530D114" w:rsidR="00927CCE" w:rsidRPr="00927CCE" w:rsidRDefault="00927CCE" w:rsidP="00927CCE">
      <w:pPr>
        <w:pStyle w:val="ListBullet"/>
      </w:pPr>
      <w:r w:rsidRPr="00927CCE">
        <w:t>Hosted the 2021 QTRIP Industry Briefing, highlighting upcoming construction and maintenance works, and material demand across the state.</w:t>
      </w:r>
    </w:p>
    <w:p w14:paraId="14192762" w14:textId="31BFB06F" w:rsidR="00B128C9" w:rsidRDefault="00224DCF" w:rsidP="00B128C9">
      <w:pPr>
        <w:pStyle w:val="Heading4"/>
      </w:pPr>
      <w:r w:rsidRPr="00623C3C">
        <w:t>Growing our regions</w:t>
      </w:r>
      <w:r w:rsidRPr="009D3EBC">
        <w:t xml:space="preserve"> </w:t>
      </w:r>
    </w:p>
    <w:p w14:paraId="3571F411" w14:textId="2408A95A" w:rsidR="00B128C9" w:rsidRPr="00333AA9" w:rsidRDefault="00B128C9" w:rsidP="00B128C9">
      <w:pPr>
        <w:pStyle w:val="ListBullet"/>
      </w:pPr>
      <w:r>
        <w:t>Awarded new-generation state government regulated or subsidised aviation and long-distance coach contracts to ensure the continuation of services for regional Queenslanders. These contracts mean more affordable air travel and certainty for far north Queensland locals, with a six- year extension of the Local Fare Scheme.</w:t>
      </w:r>
    </w:p>
    <w:p w14:paraId="48BE0F97" w14:textId="77777777" w:rsidR="00224DCF" w:rsidRDefault="00224DCF" w:rsidP="00224DCF">
      <w:pPr>
        <w:pStyle w:val="Heading4"/>
      </w:pPr>
      <w:r w:rsidRPr="00623C3C">
        <w:t>Investing in skills</w:t>
      </w:r>
      <w:r w:rsidRPr="009D3EBC">
        <w:t xml:space="preserve"> </w:t>
      </w:r>
    </w:p>
    <w:p w14:paraId="20A67C40" w14:textId="77777777" w:rsidR="00A141F0" w:rsidRPr="00A141F0" w:rsidRDefault="00A141F0" w:rsidP="00A141F0">
      <w:pPr>
        <w:pStyle w:val="ListBullet"/>
      </w:pPr>
      <w:r w:rsidRPr="00A141F0">
        <w:t>Identified skills shortages in Queensland’s maritime workforce and implemented initiatives through the $21 million Backing Queensland Maritime Jobs commitment to reduce barriers to career progression and support a sustainable local workforce into the future.</w:t>
      </w:r>
    </w:p>
    <w:p w14:paraId="2DF9729A" w14:textId="77777777" w:rsidR="00A141F0" w:rsidRPr="00A141F0" w:rsidRDefault="00A141F0" w:rsidP="00A141F0">
      <w:pPr>
        <w:pStyle w:val="ListBullet"/>
      </w:pPr>
      <w:r w:rsidRPr="00A141F0">
        <w:t>Welcomed a new cohort of 48 graduates in 2022 as part of the OneTMR Graduate Program.</w:t>
      </w:r>
    </w:p>
    <w:p w14:paraId="55AE3F22" w14:textId="77777777" w:rsidR="00A141F0" w:rsidRPr="00A141F0" w:rsidRDefault="00A141F0" w:rsidP="00A141F0">
      <w:pPr>
        <w:pStyle w:val="ListBullet"/>
      </w:pPr>
      <w:r w:rsidRPr="00A141F0">
        <w:t>Increased opportunities to participate in the Aboriginal and Torres Strait Islander traineeship program and welcomed 10 trainees working in each division.</w:t>
      </w:r>
    </w:p>
    <w:p w14:paraId="70AF9F67" w14:textId="18B8D63E" w:rsidR="00A141F0" w:rsidRPr="00A141F0" w:rsidRDefault="00A141F0" w:rsidP="00A141F0">
      <w:pPr>
        <w:pStyle w:val="ListBullet"/>
      </w:pPr>
      <w:r w:rsidRPr="00A141F0">
        <w:t xml:space="preserve">Continued the Women in Leadership Mentoring Program, a key initiative within TMR’s </w:t>
      </w:r>
      <w:r w:rsidRPr="00A141F0">
        <w:rPr>
          <w:rStyle w:val="Emphasis"/>
        </w:rPr>
        <w:t>Gender Equity Plan 2019–21</w:t>
      </w:r>
      <w:r w:rsidRPr="00A141F0">
        <w:t xml:space="preserve"> that supports an increase in women to progress to leadership positions.</w:t>
      </w:r>
    </w:p>
    <w:p w14:paraId="2564587F" w14:textId="77777777" w:rsidR="00224DCF" w:rsidRDefault="00224DCF" w:rsidP="00224DCF">
      <w:pPr>
        <w:pStyle w:val="Heading4"/>
      </w:pPr>
      <w:r w:rsidRPr="00623C3C">
        <w:t>Backing our frontline services</w:t>
      </w:r>
      <w:r w:rsidRPr="009D3EBC">
        <w:t xml:space="preserve"> </w:t>
      </w:r>
    </w:p>
    <w:p w14:paraId="3C5F7A22" w14:textId="77777777" w:rsidR="00706D33" w:rsidRPr="00706D33" w:rsidRDefault="00706D33" w:rsidP="00706D33">
      <w:pPr>
        <w:pStyle w:val="ListBullet"/>
      </w:pPr>
      <w:r w:rsidRPr="00706D33">
        <w:t>Completed personalised transport industry reforms, providing greater choice for passengers and improving safety, accessibility, affordability, and accountability for both passengers and the industry.</w:t>
      </w:r>
    </w:p>
    <w:p w14:paraId="35DD4A09" w14:textId="77777777" w:rsidR="00706D33" w:rsidRPr="00706D33" w:rsidRDefault="00706D33" w:rsidP="00706D33">
      <w:pPr>
        <w:pStyle w:val="ListBullet"/>
      </w:pPr>
      <w:r w:rsidRPr="00706D33">
        <w:t>Implemented measures to increase Queensland’s ready access to coastal shipping and maintain essential transport links.</w:t>
      </w:r>
    </w:p>
    <w:p w14:paraId="2EEB6450" w14:textId="056E1364" w:rsidR="00DD150E" w:rsidRPr="00706D33" w:rsidRDefault="00706D33" w:rsidP="00706D33">
      <w:pPr>
        <w:pStyle w:val="ListBullet"/>
      </w:pPr>
      <w:r w:rsidRPr="00706D33">
        <w:t>Implemented the Digital Licence App trial across Queensland, which gives customers access to licensing and registration services that are convenient, safe, and secure via a mobile device.</w:t>
      </w:r>
    </w:p>
    <w:p w14:paraId="61244EB3" w14:textId="77777777" w:rsidR="00224DCF" w:rsidRPr="00623C3C" w:rsidRDefault="00224DCF" w:rsidP="00224DCF">
      <w:pPr>
        <w:pStyle w:val="Heading4"/>
      </w:pPr>
      <w:r w:rsidRPr="00623C3C">
        <w:t>Protecting the environment</w:t>
      </w:r>
      <w:r w:rsidRPr="009D3EBC">
        <w:t xml:space="preserve"> </w:t>
      </w:r>
    </w:p>
    <w:p w14:paraId="3B1FADCF" w14:textId="77777777" w:rsidR="009E61EF" w:rsidRPr="009E61EF" w:rsidRDefault="009E61EF" w:rsidP="009E61EF">
      <w:pPr>
        <w:pStyle w:val="ListBullet"/>
      </w:pPr>
      <w:r w:rsidRPr="009E61EF">
        <w:t>Launched TMR’s Environmental Sustainability Policy.</w:t>
      </w:r>
    </w:p>
    <w:p w14:paraId="495BA947" w14:textId="77777777" w:rsidR="009E61EF" w:rsidRPr="009E61EF" w:rsidRDefault="009E61EF" w:rsidP="009E61EF">
      <w:pPr>
        <w:pStyle w:val="ListBullet"/>
      </w:pPr>
      <w:r w:rsidRPr="009E61EF">
        <w:t>Continued to deliver the Smart LED Road Lighting project 2017–2026, which will see around 35,000 road lights replaced with more energy efficient technology.</w:t>
      </w:r>
    </w:p>
    <w:p w14:paraId="5C79E2C8" w14:textId="77777777" w:rsidR="009E61EF" w:rsidRPr="009E61EF" w:rsidRDefault="009E61EF" w:rsidP="009E61EF">
      <w:pPr>
        <w:pStyle w:val="ListBullet"/>
      </w:pPr>
      <w:r w:rsidRPr="009E61EF">
        <w:t xml:space="preserve">Continued to investigate opportunities to use recycled materials safely, sustainably, and responsibly in road construction, through the </w:t>
      </w:r>
      <w:r w:rsidRPr="009E61EF">
        <w:rPr>
          <w:rStyle w:val="Emphasis"/>
        </w:rPr>
        <w:t>Waste 2 Resource Strategy</w:t>
      </w:r>
      <w:r w:rsidRPr="009E61EF">
        <w:t xml:space="preserve"> and National Asset Centre of Excellence (NACOE) research program.</w:t>
      </w:r>
    </w:p>
    <w:p w14:paraId="0B43EBDB" w14:textId="755B885C" w:rsidR="009E61EF" w:rsidRPr="009E61EF" w:rsidRDefault="009E61EF" w:rsidP="009E61EF">
      <w:pPr>
        <w:pStyle w:val="ListBullet"/>
      </w:pPr>
      <w:r w:rsidRPr="009E61EF">
        <w:lastRenderedPageBreak/>
        <w:t>Continued to meet commitments set out in the</w:t>
      </w:r>
      <w:r>
        <w:t xml:space="preserve"> </w:t>
      </w:r>
      <w:r w:rsidRPr="00B056CB">
        <w:rPr>
          <w:rStyle w:val="Emphasis"/>
        </w:rPr>
        <w:t>Reef 2050 Long-Term Sustainability Plan</w:t>
      </w:r>
      <w:r w:rsidRPr="009E61EF">
        <w:t xml:space="preserve"> by leading master planning for priority ports at Gladstone, Townsville, Hay Point/Mackay, and Abbot Point.</w:t>
      </w:r>
    </w:p>
    <w:p w14:paraId="47BBD92B" w14:textId="77777777" w:rsidR="009E61EF" w:rsidRPr="009E61EF" w:rsidRDefault="009E61EF" w:rsidP="009E61EF">
      <w:pPr>
        <w:pStyle w:val="ListBullet"/>
      </w:pPr>
      <w:r w:rsidRPr="009E61EF">
        <w:t>Extended the Queensland Electric Super Highway (QESH) from 31 to 55 locations, with 24 new sites announced in June 2021 that are expected to be operational by late-2022. This extension delivers more electric vehicle charging locations in regional Queensland. The QESH patronage is at an all-time high, and most energy for the QESH is sourced through green credits or offsets.</w:t>
      </w:r>
    </w:p>
    <w:p w14:paraId="0C8731B2" w14:textId="77777777" w:rsidR="009E61EF" w:rsidRPr="009E61EF" w:rsidRDefault="009E61EF" w:rsidP="009E61EF">
      <w:pPr>
        <w:pStyle w:val="ListBullet"/>
      </w:pPr>
      <w:r w:rsidRPr="009E61EF">
        <w:t xml:space="preserve">Developed and released the new </w:t>
      </w:r>
      <w:r w:rsidRPr="00B056CB">
        <w:rPr>
          <w:rStyle w:val="Emphasis"/>
        </w:rPr>
        <w:t>Zero Emission Vehicle Strategy</w:t>
      </w:r>
      <w:r w:rsidRPr="009E61EF">
        <w:t xml:space="preserve"> to support the government’s commitment to increase electric vehicle uptake and contribute to zero net emissions by 2050.</w:t>
      </w:r>
    </w:p>
    <w:p w14:paraId="2494F30C" w14:textId="398A42CB" w:rsidR="00706D33" w:rsidRPr="009E61EF" w:rsidRDefault="009E61EF" w:rsidP="009E61EF">
      <w:pPr>
        <w:pStyle w:val="ListBullet"/>
      </w:pPr>
      <w:r w:rsidRPr="009E61EF">
        <w:t>Finalised TMR-wide climate change risk assessment project, to inform the future development of a TMR climate change strategy that will position TMR to respond to the physical and transitional risks posed by climate change.</w:t>
      </w:r>
    </w:p>
    <w:p w14:paraId="64A88958" w14:textId="77777777" w:rsidR="00224DCF" w:rsidRDefault="00224DCF" w:rsidP="00224DCF">
      <w:pPr>
        <w:spacing w:before="0" w:after="160" w:line="259" w:lineRule="auto"/>
        <w:rPr>
          <w:color w:val="595959" w:themeColor="text1" w:themeTint="A6"/>
        </w:rPr>
      </w:pPr>
      <w:r>
        <w:br w:type="page"/>
      </w:r>
    </w:p>
    <w:p w14:paraId="1B1B577B" w14:textId="02F7DB36" w:rsidR="00224DCF" w:rsidRDefault="00224DCF" w:rsidP="006800C7"/>
    <w:p w14:paraId="79A14BB4" w14:textId="77777777" w:rsidR="00224DCF" w:rsidRDefault="00224DCF" w:rsidP="006800C7"/>
    <w:p w14:paraId="11B7717E" w14:textId="77777777" w:rsidR="006800C7" w:rsidRDefault="006800C7" w:rsidP="006800C7">
      <w:pPr>
        <w:spacing w:before="0" w:after="160" w:line="259" w:lineRule="auto"/>
      </w:pPr>
      <w:r w:rsidRPr="00D62514">
        <w:rPr>
          <w:noProof/>
        </w:rPr>
        <w:drawing>
          <wp:inline distT="0" distB="0" distL="0" distR="0" wp14:anchorId="324FD520" wp14:editId="3BB00DCF">
            <wp:extent cx="5759450" cy="6377940"/>
            <wp:effectExtent l="0" t="0" r="0" b="3810"/>
            <wp:docPr id="39" name="Picture 39" descr="TMR Strategic Plan 2019-2023 (revised for 2021-21). &#10;At the centre of the poster is &quot;Creating a single integrated transport network accessible to everyone&quot;. From there a number of lines go across the poster that connect to the five areas (clockwise): accessible, safe, responsive, efficient, sustain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6377940"/>
                    </a:xfrm>
                    <a:prstGeom prst="rect">
                      <a:avLst/>
                    </a:prstGeom>
                    <a:noFill/>
                    <a:ln>
                      <a:noFill/>
                    </a:ln>
                  </pic:spPr>
                </pic:pic>
              </a:graphicData>
            </a:graphic>
          </wp:inline>
        </w:drawing>
      </w:r>
      <w:r>
        <w:br w:type="page"/>
      </w:r>
    </w:p>
    <w:p w14:paraId="4589B6DB" w14:textId="77777777" w:rsidR="006800C7" w:rsidRPr="00950FE3" w:rsidRDefault="006800C7" w:rsidP="006800C7">
      <w:pPr>
        <w:pStyle w:val="Heading2"/>
      </w:pPr>
      <w:r w:rsidRPr="00950FE3">
        <w:lastRenderedPageBreak/>
        <w:t xml:space="preserve">Our vision and purpose </w:t>
      </w:r>
    </w:p>
    <w:p w14:paraId="4F38BF5B" w14:textId="77777777" w:rsidR="006800C7" w:rsidRPr="00950FE3" w:rsidRDefault="006800C7" w:rsidP="006800C7">
      <w:r w:rsidRPr="00950FE3">
        <w:t xml:space="preserve">Creating a single integrated transport network accessible to everyone </w:t>
      </w:r>
    </w:p>
    <w:p w14:paraId="4F11F10E" w14:textId="77777777" w:rsidR="006800C7" w:rsidRDefault="006800C7" w:rsidP="006800C7">
      <w:r w:rsidRPr="00950FE3">
        <w:t>To deliver to our customers, the Department of Transport and Main Roads (TMR) will value and support our workforce as our greatest strength</w:t>
      </w:r>
      <w:r>
        <w:t xml:space="preserve">, and in our decision-making and actions, we will respect, protect and promote human rights. </w:t>
      </w:r>
    </w:p>
    <w:p w14:paraId="7E598E9C" w14:textId="77777777" w:rsidR="006800C7" w:rsidRPr="00950FE3" w:rsidRDefault="006800C7" w:rsidP="006800C7"/>
    <w:tbl>
      <w:tblPr>
        <w:tblStyle w:val="Style1"/>
        <w:tblW w:w="9682" w:type="dxa"/>
        <w:tblLook w:val="04A0" w:firstRow="1" w:lastRow="0" w:firstColumn="1" w:lastColumn="0" w:noHBand="0" w:noVBand="1"/>
      </w:tblPr>
      <w:tblGrid>
        <w:gridCol w:w="1177"/>
        <w:gridCol w:w="1701"/>
        <w:gridCol w:w="2268"/>
        <w:gridCol w:w="2268"/>
        <w:gridCol w:w="2268"/>
      </w:tblGrid>
      <w:tr w:rsidR="006800C7" w:rsidRPr="00C729E1" w14:paraId="55C6E367" w14:textId="77777777" w:rsidTr="00F31956">
        <w:trPr>
          <w:cnfStyle w:val="100000000000" w:firstRow="1" w:lastRow="0" w:firstColumn="0" w:lastColumn="0" w:oddVBand="0" w:evenVBand="0" w:oddHBand="0" w:evenHBand="0" w:firstRowFirstColumn="0" w:firstRowLastColumn="0" w:lastRowFirstColumn="0" w:lastRowLastColumn="0"/>
        </w:trPr>
        <w:tc>
          <w:tcPr>
            <w:tcW w:w="1177" w:type="dxa"/>
          </w:tcPr>
          <w:p w14:paraId="4CC0DF6C" w14:textId="77777777" w:rsidR="006800C7" w:rsidRPr="003C544C" w:rsidRDefault="006800C7" w:rsidP="00F31956"/>
        </w:tc>
        <w:tc>
          <w:tcPr>
            <w:tcW w:w="1701" w:type="dxa"/>
          </w:tcPr>
          <w:p w14:paraId="1E4809AE" w14:textId="77777777" w:rsidR="006800C7" w:rsidRPr="003C544C" w:rsidRDefault="006800C7" w:rsidP="00F31956">
            <w:r w:rsidRPr="003C544C">
              <w:t>Objectives</w:t>
            </w:r>
          </w:p>
        </w:tc>
        <w:tc>
          <w:tcPr>
            <w:tcW w:w="2268" w:type="dxa"/>
          </w:tcPr>
          <w:p w14:paraId="4CA80AB6" w14:textId="77777777" w:rsidR="006800C7" w:rsidRPr="003C544C" w:rsidRDefault="006800C7" w:rsidP="00F31956">
            <w:r w:rsidRPr="003C544C">
              <w:t>Success looks like</w:t>
            </w:r>
          </w:p>
        </w:tc>
        <w:tc>
          <w:tcPr>
            <w:tcW w:w="2268" w:type="dxa"/>
          </w:tcPr>
          <w:p w14:paraId="65AFD24A" w14:textId="77777777" w:rsidR="006800C7" w:rsidRPr="003C544C" w:rsidRDefault="006800C7" w:rsidP="00F31956">
            <w:r w:rsidRPr="003C544C">
              <w:t>Strategies to get there</w:t>
            </w:r>
          </w:p>
        </w:tc>
        <w:tc>
          <w:tcPr>
            <w:tcW w:w="2268" w:type="dxa"/>
          </w:tcPr>
          <w:p w14:paraId="2523497C" w14:textId="77777777" w:rsidR="006800C7" w:rsidRPr="003C544C" w:rsidRDefault="006800C7" w:rsidP="00F31956">
            <w:r w:rsidRPr="003C544C">
              <w:t>Our objectives and strategies contribute to Our Future State: Advancing Queensland's Priorities as follows:</w:t>
            </w:r>
          </w:p>
        </w:tc>
      </w:tr>
      <w:tr w:rsidR="006800C7" w:rsidRPr="00C729E1" w14:paraId="1C889FFF" w14:textId="77777777" w:rsidTr="00F31956">
        <w:tc>
          <w:tcPr>
            <w:tcW w:w="1177" w:type="dxa"/>
          </w:tcPr>
          <w:p w14:paraId="4A0EB997" w14:textId="77777777" w:rsidR="006800C7" w:rsidRPr="003C544C" w:rsidRDefault="006800C7" w:rsidP="00F31956">
            <w:r w:rsidRPr="003C544C">
              <w:t>Accessible</w:t>
            </w:r>
          </w:p>
        </w:tc>
        <w:tc>
          <w:tcPr>
            <w:tcW w:w="1701" w:type="dxa"/>
          </w:tcPr>
          <w:p w14:paraId="31F2A129" w14:textId="77777777" w:rsidR="006800C7" w:rsidRPr="003C544C" w:rsidRDefault="006800C7" w:rsidP="00F31956">
            <w:r w:rsidRPr="003C544C">
              <w:t>Tailored connections for our customers and workforce to create an integrated and inclusive network</w:t>
            </w:r>
          </w:p>
        </w:tc>
        <w:tc>
          <w:tcPr>
            <w:tcW w:w="2268" w:type="dxa"/>
          </w:tcPr>
          <w:p w14:paraId="441D6A6D"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Improved access to the network</w:t>
            </w:r>
          </w:p>
          <w:p w14:paraId="3788AAD8"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Improved customer experience</w:t>
            </w:r>
          </w:p>
          <w:p w14:paraId="110EF2BE"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Improved inclusivity and diversity in the workforce</w:t>
            </w:r>
          </w:p>
        </w:tc>
        <w:tc>
          <w:tcPr>
            <w:tcW w:w="2268" w:type="dxa"/>
          </w:tcPr>
          <w:p w14:paraId="05832770"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Support Queensland communities through inclusive connections</w:t>
            </w:r>
          </w:p>
          <w:p w14:paraId="138CA0F2"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Facilitate solutions to improve accessibility and customer experience</w:t>
            </w:r>
          </w:p>
          <w:p w14:paraId="150732AB"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Build collaborative networks to strengthen knowledge and information flow across TMR</w:t>
            </w:r>
          </w:p>
          <w:p w14:paraId="502F79ED"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Deliver more effective outcomes through a diverse and inclusive workforce</w:t>
            </w:r>
          </w:p>
        </w:tc>
        <w:tc>
          <w:tcPr>
            <w:tcW w:w="2268" w:type="dxa"/>
          </w:tcPr>
          <w:p w14:paraId="48654E97" w14:textId="77777777" w:rsidR="006800C7" w:rsidRDefault="006800C7" w:rsidP="006800C7">
            <w:pPr>
              <w:pStyle w:val="ListBullet"/>
              <w:numPr>
                <w:ilvl w:val="0"/>
                <w:numId w:val="12"/>
              </w:numPr>
              <w:tabs>
                <w:tab w:val="left" w:pos="284"/>
              </w:tabs>
              <w:spacing w:before="120" w:after="0" w:line="260" w:lineRule="exact"/>
              <w:ind w:left="288" w:hanging="288"/>
            </w:pPr>
            <w:r>
              <w:t xml:space="preserve">Safeguarding our health </w:t>
            </w:r>
          </w:p>
          <w:p w14:paraId="7184DA5C" w14:textId="77777777" w:rsidR="006800C7" w:rsidRDefault="006800C7" w:rsidP="006800C7">
            <w:pPr>
              <w:pStyle w:val="ListBullet"/>
              <w:numPr>
                <w:ilvl w:val="0"/>
                <w:numId w:val="12"/>
              </w:numPr>
              <w:tabs>
                <w:tab w:val="left" w:pos="284"/>
              </w:tabs>
              <w:spacing w:before="120" w:after="0" w:line="260" w:lineRule="exact"/>
              <w:ind w:left="288" w:hanging="288"/>
            </w:pPr>
            <w:r>
              <w:t xml:space="preserve">Supporting jobs </w:t>
            </w:r>
          </w:p>
          <w:p w14:paraId="10B9DDA8" w14:textId="77777777" w:rsidR="006800C7" w:rsidRDefault="006800C7" w:rsidP="006800C7">
            <w:pPr>
              <w:pStyle w:val="ListBullet"/>
              <w:numPr>
                <w:ilvl w:val="0"/>
                <w:numId w:val="12"/>
              </w:numPr>
              <w:tabs>
                <w:tab w:val="left" w:pos="284"/>
              </w:tabs>
              <w:spacing w:before="120" w:after="0" w:line="260" w:lineRule="exact"/>
              <w:ind w:left="288" w:hanging="288"/>
            </w:pPr>
            <w:r>
              <w:t xml:space="preserve">Backing small business </w:t>
            </w:r>
          </w:p>
          <w:p w14:paraId="45792E9A" w14:textId="77777777" w:rsidR="006800C7" w:rsidRDefault="006800C7" w:rsidP="006800C7">
            <w:pPr>
              <w:pStyle w:val="ListBullet"/>
              <w:numPr>
                <w:ilvl w:val="0"/>
                <w:numId w:val="12"/>
              </w:numPr>
              <w:tabs>
                <w:tab w:val="left" w:pos="284"/>
              </w:tabs>
              <w:spacing w:before="120" w:after="0" w:line="260" w:lineRule="exact"/>
              <w:ind w:left="288" w:hanging="288"/>
            </w:pPr>
            <w:r>
              <w:t xml:space="preserve">Making it for Queensland </w:t>
            </w:r>
          </w:p>
          <w:p w14:paraId="54FDA91A" w14:textId="77777777" w:rsidR="006800C7" w:rsidRDefault="006800C7" w:rsidP="006800C7">
            <w:pPr>
              <w:pStyle w:val="ListBullet"/>
              <w:numPr>
                <w:ilvl w:val="0"/>
                <w:numId w:val="12"/>
              </w:numPr>
              <w:tabs>
                <w:tab w:val="left" w:pos="284"/>
              </w:tabs>
              <w:spacing w:before="120" w:after="0" w:line="260" w:lineRule="exact"/>
              <w:ind w:left="288" w:hanging="288"/>
            </w:pPr>
            <w:r>
              <w:t xml:space="preserve">Building Queensland </w:t>
            </w:r>
          </w:p>
          <w:p w14:paraId="224D3E83" w14:textId="77777777" w:rsidR="006800C7" w:rsidRDefault="006800C7" w:rsidP="006800C7">
            <w:pPr>
              <w:pStyle w:val="ListBullet"/>
              <w:numPr>
                <w:ilvl w:val="0"/>
                <w:numId w:val="12"/>
              </w:numPr>
              <w:tabs>
                <w:tab w:val="left" w:pos="284"/>
              </w:tabs>
              <w:spacing w:before="120" w:after="0" w:line="260" w:lineRule="exact"/>
              <w:ind w:left="288" w:hanging="288"/>
            </w:pPr>
            <w:r>
              <w:t xml:space="preserve">Growing our regions </w:t>
            </w:r>
          </w:p>
          <w:p w14:paraId="0863E8EE" w14:textId="77777777" w:rsidR="006800C7" w:rsidRDefault="006800C7" w:rsidP="006800C7">
            <w:pPr>
              <w:pStyle w:val="ListBullet"/>
              <w:numPr>
                <w:ilvl w:val="0"/>
                <w:numId w:val="12"/>
              </w:numPr>
              <w:tabs>
                <w:tab w:val="left" w:pos="284"/>
              </w:tabs>
              <w:spacing w:before="120" w:after="0" w:line="260" w:lineRule="exact"/>
              <w:ind w:left="288" w:hanging="288"/>
            </w:pPr>
            <w:r>
              <w:t xml:space="preserve">Investing in skills </w:t>
            </w:r>
          </w:p>
          <w:p w14:paraId="7BEBB4EB" w14:textId="77777777" w:rsidR="006800C7" w:rsidRPr="003C544C" w:rsidRDefault="006800C7" w:rsidP="006800C7">
            <w:pPr>
              <w:pStyle w:val="ListBullet"/>
              <w:numPr>
                <w:ilvl w:val="0"/>
                <w:numId w:val="12"/>
              </w:numPr>
              <w:tabs>
                <w:tab w:val="left" w:pos="284"/>
              </w:tabs>
              <w:spacing w:before="120" w:after="0" w:line="260" w:lineRule="exact"/>
              <w:ind w:left="288" w:hanging="288"/>
            </w:pPr>
            <w:r>
              <w:t xml:space="preserve">Backing our frontline services </w:t>
            </w:r>
          </w:p>
        </w:tc>
      </w:tr>
      <w:tr w:rsidR="006800C7" w:rsidRPr="00C729E1" w14:paraId="07E38475" w14:textId="77777777" w:rsidTr="00F31956">
        <w:tc>
          <w:tcPr>
            <w:tcW w:w="1177" w:type="dxa"/>
          </w:tcPr>
          <w:p w14:paraId="406EC098" w14:textId="77777777" w:rsidR="006800C7" w:rsidRPr="003C544C" w:rsidRDefault="006800C7" w:rsidP="00F31956">
            <w:r w:rsidRPr="003C544C">
              <w:t>Safe</w:t>
            </w:r>
          </w:p>
        </w:tc>
        <w:tc>
          <w:tcPr>
            <w:tcW w:w="1701" w:type="dxa"/>
          </w:tcPr>
          <w:p w14:paraId="73DF6194" w14:textId="77777777" w:rsidR="006800C7" w:rsidRPr="003C544C" w:rsidRDefault="006800C7" w:rsidP="00F31956">
            <w:r w:rsidRPr="003C544C">
              <w:t>Safe and secure customer journeys and TMR workplaces</w:t>
            </w:r>
          </w:p>
        </w:tc>
        <w:tc>
          <w:tcPr>
            <w:tcW w:w="2268" w:type="dxa"/>
          </w:tcPr>
          <w:p w14:paraId="5BAF6D37"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Improved safety and security of the transport network</w:t>
            </w:r>
          </w:p>
          <w:p w14:paraId="73FDB9F5"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Improved safety and wellbeing of our workforce</w:t>
            </w:r>
          </w:p>
          <w:p w14:paraId="67D3EA2E"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Improved safety of our customers on the network</w:t>
            </w:r>
          </w:p>
          <w:p w14:paraId="47CBE26B"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Improved resilience of</w:t>
            </w:r>
            <w:r w:rsidRPr="003C544C">
              <w:t xml:space="preserve"> TMR systems</w:t>
            </w:r>
          </w:p>
        </w:tc>
        <w:tc>
          <w:tcPr>
            <w:tcW w:w="2268" w:type="dxa"/>
          </w:tcPr>
          <w:p w14:paraId="73B9F870"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Enable the safe introduction of new technologies and services onto the network</w:t>
            </w:r>
          </w:p>
          <w:p w14:paraId="407CCB29"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Prioritise safety in all the work we do</w:t>
            </w:r>
          </w:p>
          <w:p w14:paraId="0E8AC215"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Design, operate and maintain a secure, safe, and resilient transport system</w:t>
            </w:r>
          </w:p>
        </w:tc>
        <w:tc>
          <w:tcPr>
            <w:tcW w:w="2268" w:type="dxa"/>
          </w:tcPr>
          <w:p w14:paraId="7C445F77" w14:textId="77777777" w:rsidR="006800C7" w:rsidRDefault="006800C7" w:rsidP="006800C7">
            <w:pPr>
              <w:pStyle w:val="ListBullet"/>
              <w:numPr>
                <w:ilvl w:val="0"/>
                <w:numId w:val="12"/>
              </w:numPr>
              <w:tabs>
                <w:tab w:val="left" w:pos="284"/>
              </w:tabs>
              <w:spacing w:before="120" w:after="0" w:line="260" w:lineRule="exact"/>
              <w:ind w:left="288" w:hanging="288"/>
            </w:pPr>
            <w:r>
              <w:t xml:space="preserve">Safeguarding our health </w:t>
            </w:r>
          </w:p>
          <w:p w14:paraId="660F4F24" w14:textId="77777777" w:rsidR="006800C7" w:rsidRDefault="006800C7" w:rsidP="006800C7">
            <w:pPr>
              <w:pStyle w:val="ListBullet"/>
              <w:numPr>
                <w:ilvl w:val="0"/>
                <w:numId w:val="12"/>
              </w:numPr>
              <w:tabs>
                <w:tab w:val="left" w:pos="284"/>
              </w:tabs>
              <w:spacing w:before="120" w:after="0" w:line="260" w:lineRule="exact"/>
              <w:ind w:left="288" w:hanging="288"/>
            </w:pPr>
            <w:r>
              <w:t xml:space="preserve">Building Queensland </w:t>
            </w:r>
          </w:p>
          <w:p w14:paraId="745BFC1B" w14:textId="77777777" w:rsidR="006800C7" w:rsidRPr="003C544C" w:rsidRDefault="006800C7" w:rsidP="006800C7">
            <w:pPr>
              <w:pStyle w:val="ListBullet"/>
              <w:numPr>
                <w:ilvl w:val="0"/>
                <w:numId w:val="12"/>
              </w:numPr>
              <w:tabs>
                <w:tab w:val="left" w:pos="284"/>
              </w:tabs>
              <w:spacing w:before="120" w:after="0" w:line="260" w:lineRule="exact"/>
              <w:ind w:left="288" w:hanging="288"/>
            </w:pPr>
            <w:r>
              <w:t xml:space="preserve">Backing our frontline services </w:t>
            </w:r>
          </w:p>
        </w:tc>
      </w:tr>
      <w:tr w:rsidR="006800C7" w:rsidRPr="00C729E1" w14:paraId="1808DCB3" w14:textId="77777777" w:rsidTr="00F31956">
        <w:tc>
          <w:tcPr>
            <w:tcW w:w="1177" w:type="dxa"/>
          </w:tcPr>
          <w:p w14:paraId="3E5D3EAB" w14:textId="77777777" w:rsidR="006800C7" w:rsidRPr="003C544C" w:rsidRDefault="006800C7" w:rsidP="00F31956">
            <w:r w:rsidRPr="003C544C">
              <w:t>Responsive</w:t>
            </w:r>
          </w:p>
        </w:tc>
        <w:tc>
          <w:tcPr>
            <w:tcW w:w="1701" w:type="dxa"/>
          </w:tcPr>
          <w:p w14:paraId="1A39E883" w14:textId="77777777" w:rsidR="006800C7" w:rsidRPr="003C544C" w:rsidRDefault="006800C7" w:rsidP="00F31956">
            <w:r w:rsidRPr="003C544C">
              <w:t>Our network, services and workforce respond to current and emerging customer expectations</w:t>
            </w:r>
          </w:p>
        </w:tc>
        <w:tc>
          <w:tcPr>
            <w:tcW w:w="2268" w:type="dxa"/>
          </w:tcPr>
          <w:p w14:paraId="3A999A85"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Improved customer satisfaction</w:t>
            </w:r>
          </w:p>
          <w:p w14:paraId="31C9AB3F"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Improved workforce satisfaction</w:t>
            </w:r>
          </w:p>
          <w:p w14:paraId="20BB5BF1"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Improved digital engagement</w:t>
            </w:r>
          </w:p>
        </w:tc>
        <w:tc>
          <w:tcPr>
            <w:tcW w:w="2268" w:type="dxa"/>
          </w:tcPr>
          <w:p w14:paraId="4EC2EE0A"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 xml:space="preserve">Enable </w:t>
            </w:r>
            <w:r w:rsidRPr="003C544C">
              <w:t>adaptive solutions that respond to emerging transport technologies, customer expectations and government priorities</w:t>
            </w:r>
          </w:p>
          <w:p w14:paraId="2732C608"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Provide easy-to-use services</w:t>
            </w:r>
          </w:p>
          <w:p w14:paraId="61E3F6EC"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 xml:space="preserve">Provide continuous learning opportunities </w:t>
            </w:r>
            <w:r w:rsidRPr="00C729E1">
              <w:lastRenderedPageBreak/>
              <w:t>to support an innovative and future-ready workforce</w:t>
            </w:r>
          </w:p>
        </w:tc>
        <w:tc>
          <w:tcPr>
            <w:tcW w:w="2268" w:type="dxa"/>
          </w:tcPr>
          <w:p w14:paraId="0184A9A9" w14:textId="77777777" w:rsidR="006800C7" w:rsidRDefault="006800C7" w:rsidP="006800C7">
            <w:pPr>
              <w:pStyle w:val="ListBullet"/>
              <w:numPr>
                <w:ilvl w:val="0"/>
                <w:numId w:val="12"/>
              </w:numPr>
              <w:tabs>
                <w:tab w:val="left" w:pos="284"/>
              </w:tabs>
              <w:spacing w:before="120" w:after="0" w:line="260" w:lineRule="exact"/>
              <w:ind w:left="288" w:hanging="288"/>
            </w:pPr>
            <w:r>
              <w:lastRenderedPageBreak/>
              <w:t xml:space="preserve">Safeguarding our health </w:t>
            </w:r>
          </w:p>
          <w:p w14:paraId="596D576A" w14:textId="77777777" w:rsidR="006800C7" w:rsidRDefault="006800C7" w:rsidP="006800C7">
            <w:pPr>
              <w:pStyle w:val="ListBullet"/>
              <w:numPr>
                <w:ilvl w:val="0"/>
                <w:numId w:val="12"/>
              </w:numPr>
              <w:tabs>
                <w:tab w:val="left" w:pos="284"/>
              </w:tabs>
              <w:spacing w:before="120" w:after="0" w:line="260" w:lineRule="exact"/>
              <w:ind w:left="288" w:hanging="288"/>
            </w:pPr>
            <w:r>
              <w:t xml:space="preserve">Supporting jobs </w:t>
            </w:r>
          </w:p>
          <w:p w14:paraId="52BF5EFD" w14:textId="77777777" w:rsidR="006800C7" w:rsidRDefault="006800C7" w:rsidP="006800C7">
            <w:pPr>
              <w:pStyle w:val="ListBullet"/>
              <w:numPr>
                <w:ilvl w:val="0"/>
                <w:numId w:val="12"/>
              </w:numPr>
              <w:tabs>
                <w:tab w:val="left" w:pos="284"/>
              </w:tabs>
              <w:spacing w:before="120" w:after="0" w:line="260" w:lineRule="exact"/>
              <w:ind w:left="288" w:hanging="288"/>
            </w:pPr>
            <w:r>
              <w:t xml:space="preserve">Backing small business </w:t>
            </w:r>
          </w:p>
          <w:p w14:paraId="12AC0148" w14:textId="77777777" w:rsidR="006800C7" w:rsidRDefault="006800C7" w:rsidP="006800C7">
            <w:pPr>
              <w:pStyle w:val="ListBullet"/>
              <w:numPr>
                <w:ilvl w:val="0"/>
                <w:numId w:val="12"/>
              </w:numPr>
              <w:tabs>
                <w:tab w:val="left" w:pos="284"/>
              </w:tabs>
              <w:spacing w:before="120" w:after="0" w:line="260" w:lineRule="exact"/>
              <w:ind w:left="288" w:hanging="288"/>
            </w:pPr>
            <w:r>
              <w:t xml:space="preserve">Making it for Queensland </w:t>
            </w:r>
          </w:p>
          <w:p w14:paraId="6BB9D3D0" w14:textId="77777777" w:rsidR="006800C7" w:rsidRDefault="006800C7" w:rsidP="006800C7">
            <w:pPr>
              <w:pStyle w:val="ListBullet"/>
              <w:numPr>
                <w:ilvl w:val="0"/>
                <w:numId w:val="12"/>
              </w:numPr>
              <w:tabs>
                <w:tab w:val="left" w:pos="284"/>
              </w:tabs>
              <w:spacing w:before="120" w:after="0" w:line="260" w:lineRule="exact"/>
              <w:ind w:left="288" w:hanging="288"/>
            </w:pPr>
            <w:r>
              <w:t xml:space="preserve">Building Queensland </w:t>
            </w:r>
          </w:p>
          <w:p w14:paraId="52FFB64B" w14:textId="77777777" w:rsidR="006800C7" w:rsidRDefault="006800C7" w:rsidP="006800C7">
            <w:pPr>
              <w:pStyle w:val="ListBullet"/>
              <w:numPr>
                <w:ilvl w:val="0"/>
                <w:numId w:val="12"/>
              </w:numPr>
              <w:tabs>
                <w:tab w:val="left" w:pos="284"/>
              </w:tabs>
              <w:spacing w:before="120" w:after="0" w:line="260" w:lineRule="exact"/>
              <w:ind w:left="288" w:hanging="288"/>
            </w:pPr>
            <w:r>
              <w:t xml:space="preserve">Growing our regions </w:t>
            </w:r>
          </w:p>
          <w:p w14:paraId="37012C18" w14:textId="77777777" w:rsidR="006800C7" w:rsidRDefault="006800C7" w:rsidP="006800C7">
            <w:pPr>
              <w:pStyle w:val="ListBullet"/>
              <w:numPr>
                <w:ilvl w:val="0"/>
                <w:numId w:val="12"/>
              </w:numPr>
              <w:tabs>
                <w:tab w:val="left" w:pos="284"/>
              </w:tabs>
              <w:spacing w:before="120" w:after="0" w:line="260" w:lineRule="exact"/>
              <w:ind w:left="288" w:hanging="288"/>
            </w:pPr>
            <w:r>
              <w:t>Investing in skills</w:t>
            </w:r>
          </w:p>
          <w:p w14:paraId="43056E2F" w14:textId="77777777" w:rsidR="006800C7" w:rsidRDefault="006800C7" w:rsidP="006800C7">
            <w:pPr>
              <w:pStyle w:val="ListBullet"/>
              <w:numPr>
                <w:ilvl w:val="0"/>
                <w:numId w:val="12"/>
              </w:numPr>
              <w:tabs>
                <w:tab w:val="left" w:pos="284"/>
              </w:tabs>
              <w:spacing w:before="120" w:after="0" w:line="260" w:lineRule="exact"/>
              <w:ind w:left="288" w:hanging="288"/>
            </w:pPr>
            <w:r>
              <w:t xml:space="preserve">Backing our frontline services </w:t>
            </w:r>
          </w:p>
          <w:p w14:paraId="4260D645" w14:textId="77777777" w:rsidR="006800C7" w:rsidRPr="003C544C" w:rsidRDefault="006800C7" w:rsidP="006800C7">
            <w:pPr>
              <w:pStyle w:val="ListBullet"/>
              <w:numPr>
                <w:ilvl w:val="0"/>
                <w:numId w:val="12"/>
              </w:numPr>
              <w:tabs>
                <w:tab w:val="left" w:pos="284"/>
              </w:tabs>
              <w:spacing w:before="120" w:after="0" w:line="260" w:lineRule="exact"/>
              <w:ind w:left="288" w:hanging="288"/>
            </w:pPr>
            <w:r>
              <w:lastRenderedPageBreak/>
              <w:t xml:space="preserve">Protecting the environment </w:t>
            </w:r>
          </w:p>
        </w:tc>
      </w:tr>
      <w:tr w:rsidR="006800C7" w:rsidRPr="00C729E1" w14:paraId="3941155F" w14:textId="77777777" w:rsidTr="00F31956">
        <w:tc>
          <w:tcPr>
            <w:tcW w:w="1177" w:type="dxa"/>
          </w:tcPr>
          <w:p w14:paraId="27078B62" w14:textId="77777777" w:rsidR="006800C7" w:rsidRPr="003C544C" w:rsidRDefault="006800C7" w:rsidP="00F31956">
            <w:r w:rsidRPr="003C544C">
              <w:lastRenderedPageBreak/>
              <w:t>Efficient</w:t>
            </w:r>
          </w:p>
        </w:tc>
        <w:tc>
          <w:tcPr>
            <w:tcW w:w="1701" w:type="dxa"/>
          </w:tcPr>
          <w:p w14:paraId="677AE599" w14:textId="77777777" w:rsidR="006800C7" w:rsidRPr="003C544C" w:rsidRDefault="006800C7" w:rsidP="00F31956">
            <w:r w:rsidRPr="003C544C">
              <w:t>Partnerships, integration, innovation and technology advance the movement of people and goods</w:t>
            </w:r>
          </w:p>
        </w:tc>
        <w:tc>
          <w:tcPr>
            <w:tcW w:w="2268" w:type="dxa"/>
          </w:tcPr>
          <w:p w14:paraId="70C704DB"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Improved reliability of the transport network</w:t>
            </w:r>
          </w:p>
          <w:p w14:paraId="1E124371"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Value-for-money</w:t>
            </w:r>
          </w:p>
          <w:p w14:paraId="3DB1FF85"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Improved partnerships with industry, government and the community</w:t>
            </w:r>
          </w:p>
        </w:tc>
        <w:tc>
          <w:tcPr>
            <w:tcW w:w="2268" w:type="dxa"/>
          </w:tcPr>
          <w:p w14:paraId="70A4775E"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Effectively utilise assets to deliver the best</w:t>
            </w:r>
            <w:r>
              <w:t xml:space="preserve"> </w:t>
            </w:r>
            <w:r w:rsidRPr="00C729E1">
              <w:t>network outcome</w:t>
            </w:r>
          </w:p>
          <w:p w14:paraId="70843A1F"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Work more effectively with internal and external stakeholders to create benefits for our customers</w:t>
            </w:r>
          </w:p>
          <w:p w14:paraId="1BB6A389"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Ensure best value-for-money approach to delivery</w:t>
            </w:r>
          </w:p>
          <w:p w14:paraId="48AC8461"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Leverage technology, data and information to enhance network and organisational performance</w:t>
            </w:r>
          </w:p>
        </w:tc>
        <w:tc>
          <w:tcPr>
            <w:tcW w:w="2268" w:type="dxa"/>
          </w:tcPr>
          <w:p w14:paraId="1D5F4D44" w14:textId="77777777" w:rsidR="006800C7" w:rsidRDefault="006800C7" w:rsidP="006800C7">
            <w:pPr>
              <w:pStyle w:val="ListBullet"/>
              <w:numPr>
                <w:ilvl w:val="0"/>
                <w:numId w:val="12"/>
              </w:numPr>
              <w:tabs>
                <w:tab w:val="left" w:pos="284"/>
              </w:tabs>
              <w:spacing w:before="120" w:after="0" w:line="260" w:lineRule="exact"/>
              <w:ind w:left="288" w:hanging="288"/>
            </w:pPr>
            <w:r>
              <w:t xml:space="preserve">Supporting jobs </w:t>
            </w:r>
          </w:p>
          <w:p w14:paraId="6C23DCE0" w14:textId="77777777" w:rsidR="006800C7" w:rsidRDefault="006800C7" w:rsidP="006800C7">
            <w:pPr>
              <w:pStyle w:val="ListBullet"/>
              <w:numPr>
                <w:ilvl w:val="0"/>
                <w:numId w:val="12"/>
              </w:numPr>
              <w:tabs>
                <w:tab w:val="left" w:pos="284"/>
              </w:tabs>
              <w:spacing w:before="120" w:after="0" w:line="260" w:lineRule="exact"/>
              <w:ind w:left="288" w:hanging="288"/>
            </w:pPr>
            <w:r>
              <w:t xml:space="preserve">Backing small business </w:t>
            </w:r>
          </w:p>
          <w:p w14:paraId="36DD7FE7" w14:textId="77777777" w:rsidR="006800C7" w:rsidRDefault="006800C7" w:rsidP="006800C7">
            <w:pPr>
              <w:pStyle w:val="ListBullet"/>
              <w:numPr>
                <w:ilvl w:val="0"/>
                <w:numId w:val="12"/>
              </w:numPr>
              <w:tabs>
                <w:tab w:val="left" w:pos="284"/>
              </w:tabs>
              <w:spacing w:before="120" w:after="0" w:line="260" w:lineRule="exact"/>
              <w:ind w:left="288" w:hanging="288"/>
            </w:pPr>
            <w:r>
              <w:t xml:space="preserve">Making it for Queensland </w:t>
            </w:r>
          </w:p>
          <w:p w14:paraId="6A808493" w14:textId="77777777" w:rsidR="006800C7" w:rsidRDefault="006800C7" w:rsidP="006800C7">
            <w:pPr>
              <w:pStyle w:val="ListBullet"/>
              <w:numPr>
                <w:ilvl w:val="0"/>
                <w:numId w:val="12"/>
              </w:numPr>
              <w:tabs>
                <w:tab w:val="left" w:pos="284"/>
              </w:tabs>
              <w:spacing w:before="120" w:after="0" w:line="260" w:lineRule="exact"/>
              <w:ind w:left="288" w:hanging="288"/>
            </w:pPr>
            <w:r>
              <w:t xml:space="preserve">Building Queensland </w:t>
            </w:r>
          </w:p>
          <w:p w14:paraId="5F6AFC6D" w14:textId="77777777" w:rsidR="006800C7" w:rsidRDefault="006800C7" w:rsidP="006800C7">
            <w:pPr>
              <w:pStyle w:val="ListBullet"/>
              <w:numPr>
                <w:ilvl w:val="0"/>
                <w:numId w:val="12"/>
              </w:numPr>
              <w:tabs>
                <w:tab w:val="left" w:pos="284"/>
              </w:tabs>
              <w:spacing w:before="120" w:after="0" w:line="260" w:lineRule="exact"/>
              <w:ind w:left="288" w:hanging="288"/>
            </w:pPr>
            <w:r>
              <w:t xml:space="preserve">Growing our regions </w:t>
            </w:r>
          </w:p>
          <w:p w14:paraId="2662D98F" w14:textId="77777777" w:rsidR="006800C7" w:rsidRPr="003C544C" w:rsidRDefault="006800C7" w:rsidP="006800C7">
            <w:pPr>
              <w:pStyle w:val="ListBullet"/>
              <w:numPr>
                <w:ilvl w:val="0"/>
                <w:numId w:val="12"/>
              </w:numPr>
              <w:tabs>
                <w:tab w:val="left" w:pos="284"/>
              </w:tabs>
              <w:spacing w:before="120" w:after="0" w:line="260" w:lineRule="exact"/>
              <w:ind w:left="288" w:hanging="288"/>
            </w:pPr>
            <w:r>
              <w:t xml:space="preserve">Investing in skills </w:t>
            </w:r>
          </w:p>
        </w:tc>
      </w:tr>
      <w:tr w:rsidR="006800C7" w:rsidRPr="00C729E1" w14:paraId="43986CD4" w14:textId="77777777" w:rsidTr="00F31956">
        <w:tc>
          <w:tcPr>
            <w:tcW w:w="1177" w:type="dxa"/>
          </w:tcPr>
          <w:p w14:paraId="10DDAFDC" w14:textId="77777777" w:rsidR="006800C7" w:rsidRPr="003C544C" w:rsidRDefault="006800C7" w:rsidP="00F31956">
            <w:r w:rsidRPr="003C544C">
              <w:t>Sustainable</w:t>
            </w:r>
          </w:p>
        </w:tc>
        <w:tc>
          <w:tcPr>
            <w:tcW w:w="1701" w:type="dxa"/>
          </w:tcPr>
          <w:p w14:paraId="23B0564D" w14:textId="77777777" w:rsidR="006800C7" w:rsidRPr="003C544C" w:rsidRDefault="006800C7" w:rsidP="00F31956">
            <w:r w:rsidRPr="003C544C">
              <w:t>Planning, investment and delivery outcomes support a more liveable and prosperous Queensland</w:t>
            </w:r>
          </w:p>
        </w:tc>
        <w:tc>
          <w:tcPr>
            <w:tcW w:w="2268" w:type="dxa"/>
          </w:tcPr>
          <w:p w14:paraId="3EEB9779"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Reduced waste, infrastructure and transport emissions</w:t>
            </w:r>
          </w:p>
          <w:p w14:paraId="6F1ECC14"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Increased uptake of active and shared transport modes</w:t>
            </w:r>
          </w:p>
          <w:p w14:paraId="0B881447"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Increased fiscal sustainability of investments and services</w:t>
            </w:r>
          </w:p>
        </w:tc>
        <w:tc>
          <w:tcPr>
            <w:tcW w:w="2268" w:type="dxa"/>
          </w:tcPr>
          <w:p w14:paraId="7E7EA8C1"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Encourage active and shared transport modes</w:t>
            </w:r>
          </w:p>
          <w:p w14:paraId="5C1CE075"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Enhance network resilience to minimise the impacts of climate change and incidents</w:t>
            </w:r>
          </w:p>
          <w:p w14:paraId="5ADBDB84"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Prioritise planning and investment decisions that enhance benefits realisation</w:t>
            </w:r>
          </w:p>
          <w:p w14:paraId="3F815030"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Support low and zero emission transport technologies, modes and materials</w:t>
            </w:r>
          </w:p>
        </w:tc>
        <w:tc>
          <w:tcPr>
            <w:tcW w:w="2268" w:type="dxa"/>
          </w:tcPr>
          <w:p w14:paraId="5EEE173B" w14:textId="77777777" w:rsidR="006800C7" w:rsidRDefault="006800C7" w:rsidP="006800C7">
            <w:pPr>
              <w:pStyle w:val="ListBullet"/>
              <w:numPr>
                <w:ilvl w:val="0"/>
                <w:numId w:val="12"/>
              </w:numPr>
              <w:tabs>
                <w:tab w:val="left" w:pos="284"/>
              </w:tabs>
              <w:spacing w:before="120" w:after="0" w:line="260" w:lineRule="exact"/>
              <w:ind w:left="288" w:hanging="288"/>
            </w:pPr>
            <w:r>
              <w:t xml:space="preserve">Safeguarding our health </w:t>
            </w:r>
          </w:p>
          <w:p w14:paraId="6EFE0B72" w14:textId="77777777" w:rsidR="006800C7" w:rsidRDefault="006800C7" w:rsidP="006800C7">
            <w:pPr>
              <w:pStyle w:val="ListBullet"/>
              <w:numPr>
                <w:ilvl w:val="0"/>
                <w:numId w:val="12"/>
              </w:numPr>
              <w:tabs>
                <w:tab w:val="left" w:pos="284"/>
              </w:tabs>
              <w:spacing w:before="120" w:after="0" w:line="260" w:lineRule="exact"/>
              <w:ind w:left="288" w:hanging="288"/>
            </w:pPr>
            <w:r>
              <w:t xml:space="preserve">Supporting jobs </w:t>
            </w:r>
          </w:p>
          <w:p w14:paraId="230A0C87" w14:textId="77777777" w:rsidR="006800C7" w:rsidRDefault="006800C7" w:rsidP="006800C7">
            <w:pPr>
              <w:pStyle w:val="ListBullet"/>
              <w:numPr>
                <w:ilvl w:val="0"/>
                <w:numId w:val="12"/>
              </w:numPr>
              <w:tabs>
                <w:tab w:val="left" w:pos="284"/>
              </w:tabs>
              <w:spacing w:before="120" w:after="0" w:line="260" w:lineRule="exact"/>
              <w:ind w:left="288" w:hanging="288"/>
            </w:pPr>
            <w:r>
              <w:t>Backing small business</w:t>
            </w:r>
          </w:p>
          <w:p w14:paraId="538F511D" w14:textId="77777777" w:rsidR="006800C7" w:rsidRDefault="006800C7" w:rsidP="006800C7">
            <w:pPr>
              <w:pStyle w:val="ListBullet"/>
              <w:numPr>
                <w:ilvl w:val="0"/>
                <w:numId w:val="12"/>
              </w:numPr>
              <w:tabs>
                <w:tab w:val="left" w:pos="284"/>
              </w:tabs>
              <w:spacing w:before="120" w:after="0" w:line="260" w:lineRule="exact"/>
              <w:ind w:left="288" w:hanging="288"/>
            </w:pPr>
            <w:r>
              <w:t xml:space="preserve">Making it for Queensland </w:t>
            </w:r>
          </w:p>
          <w:p w14:paraId="3C27969C" w14:textId="77777777" w:rsidR="006800C7" w:rsidRDefault="006800C7" w:rsidP="006800C7">
            <w:pPr>
              <w:pStyle w:val="ListBullet"/>
              <w:numPr>
                <w:ilvl w:val="0"/>
                <w:numId w:val="12"/>
              </w:numPr>
              <w:tabs>
                <w:tab w:val="left" w:pos="284"/>
              </w:tabs>
              <w:spacing w:before="120" w:after="0" w:line="260" w:lineRule="exact"/>
              <w:ind w:left="288" w:hanging="288"/>
            </w:pPr>
            <w:r>
              <w:t xml:space="preserve">Building Queensland </w:t>
            </w:r>
          </w:p>
          <w:p w14:paraId="55C9A6AD" w14:textId="77777777" w:rsidR="006800C7" w:rsidRDefault="006800C7" w:rsidP="006800C7">
            <w:pPr>
              <w:pStyle w:val="ListBullet"/>
              <w:numPr>
                <w:ilvl w:val="0"/>
                <w:numId w:val="12"/>
              </w:numPr>
              <w:tabs>
                <w:tab w:val="left" w:pos="284"/>
              </w:tabs>
              <w:spacing w:before="120" w:after="0" w:line="260" w:lineRule="exact"/>
              <w:ind w:left="288" w:hanging="288"/>
            </w:pPr>
            <w:r>
              <w:t xml:space="preserve">Growing our regions </w:t>
            </w:r>
          </w:p>
          <w:p w14:paraId="340C2A0B" w14:textId="77777777" w:rsidR="006800C7" w:rsidRDefault="006800C7" w:rsidP="006800C7">
            <w:pPr>
              <w:pStyle w:val="ListBullet"/>
              <w:numPr>
                <w:ilvl w:val="0"/>
                <w:numId w:val="12"/>
              </w:numPr>
              <w:tabs>
                <w:tab w:val="left" w:pos="284"/>
              </w:tabs>
              <w:spacing w:before="120" w:after="0" w:line="260" w:lineRule="exact"/>
              <w:ind w:left="288" w:hanging="288"/>
            </w:pPr>
            <w:r>
              <w:t xml:space="preserve">Investing in skills </w:t>
            </w:r>
          </w:p>
          <w:p w14:paraId="51B5B0C0" w14:textId="77777777" w:rsidR="006800C7" w:rsidRDefault="006800C7" w:rsidP="006800C7">
            <w:pPr>
              <w:pStyle w:val="ListBullet"/>
              <w:numPr>
                <w:ilvl w:val="0"/>
                <w:numId w:val="12"/>
              </w:numPr>
              <w:tabs>
                <w:tab w:val="left" w:pos="284"/>
              </w:tabs>
              <w:spacing w:before="120" w:after="0" w:line="260" w:lineRule="exact"/>
              <w:ind w:left="288" w:hanging="288"/>
            </w:pPr>
            <w:r>
              <w:t xml:space="preserve">Backing our frontline services </w:t>
            </w:r>
          </w:p>
          <w:p w14:paraId="424A9DE7" w14:textId="77777777" w:rsidR="006800C7" w:rsidRPr="003C544C" w:rsidRDefault="006800C7" w:rsidP="006800C7">
            <w:pPr>
              <w:pStyle w:val="ListBullet"/>
              <w:numPr>
                <w:ilvl w:val="0"/>
                <w:numId w:val="12"/>
              </w:numPr>
              <w:tabs>
                <w:tab w:val="left" w:pos="284"/>
              </w:tabs>
              <w:spacing w:before="120" w:after="0" w:line="260" w:lineRule="exact"/>
              <w:ind w:left="288" w:hanging="288"/>
            </w:pPr>
            <w:r>
              <w:t xml:space="preserve">Protecting the environment </w:t>
            </w:r>
          </w:p>
        </w:tc>
      </w:tr>
    </w:tbl>
    <w:p w14:paraId="4993C68C" w14:textId="77777777" w:rsidR="006800C7" w:rsidRPr="00950FE3" w:rsidRDefault="006800C7" w:rsidP="006800C7">
      <w:pPr>
        <w:pStyle w:val="Heading3"/>
      </w:pPr>
      <w:r w:rsidRPr="00950FE3">
        <w:t>Our opportunities and challenges</w:t>
      </w:r>
    </w:p>
    <w:p w14:paraId="4534D847" w14:textId="77777777" w:rsidR="006800C7" w:rsidRPr="00950FE3" w:rsidRDefault="006800C7" w:rsidP="006800C7">
      <w:r w:rsidRPr="00950FE3">
        <w:t>The following are external factors that form the sources of</w:t>
      </w:r>
      <w:r>
        <w:t xml:space="preserve"> </w:t>
      </w:r>
      <w:r w:rsidRPr="00950FE3">
        <w:t>TMR's strategic opportunities and risks which may impact our ability to achieve our objectives. In such a large and diverse department, it should be noted what is an opportunity to some areas may be a challenge to others.</w:t>
      </w:r>
    </w:p>
    <w:p w14:paraId="1759F975"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950FE3">
        <w:t>Increasing pace of technological and social change</w:t>
      </w:r>
    </w:p>
    <w:p w14:paraId="71C3B2ED"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950FE3">
        <w:t>Disasters and network incidents</w:t>
      </w:r>
    </w:p>
    <w:p w14:paraId="7BB41B7D"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950FE3">
        <w:t>Changing customer and stakeholder expectations</w:t>
      </w:r>
    </w:p>
    <w:p w14:paraId="478F921B"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950FE3">
        <w:t xml:space="preserve">Unplanned economic conditions within a constrained fiscal </w:t>
      </w:r>
      <w:r w:rsidRPr="003C544C">
        <w:t>environment</w:t>
      </w:r>
    </w:p>
    <w:p w14:paraId="69E4EDD9"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950FE3">
        <w:t>Analysis and effective use of the increasing volume of data</w:t>
      </w:r>
    </w:p>
    <w:p w14:paraId="0E858815"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950FE3">
        <w:t>Regulatory frameworks and process limitations</w:t>
      </w:r>
    </w:p>
    <w:p w14:paraId="33C256D6"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950FE3">
        <w:t>Diverse and geographically dispersed population</w:t>
      </w:r>
    </w:p>
    <w:p w14:paraId="418A14FA"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3C544C">
        <w:rPr>
          <w:noProof/>
        </w:rPr>
        <w:drawing>
          <wp:anchor distT="0" distB="0" distL="114300" distR="114300" simplePos="0" relativeHeight="251663360" behindDoc="0" locked="0" layoutInCell="1" allowOverlap="1" wp14:anchorId="6C0E883A" wp14:editId="048D0499">
            <wp:simplePos x="0" y="0"/>
            <wp:positionH relativeFrom="margin">
              <wp:align>left</wp:align>
            </wp:positionH>
            <wp:positionV relativeFrom="paragraph">
              <wp:posOffset>617855</wp:posOffset>
            </wp:positionV>
            <wp:extent cx="2598420" cy="534670"/>
            <wp:effectExtent l="0" t="0" r="0" b="0"/>
            <wp:wrapSquare wrapText="bothSides"/>
            <wp:docPr id="51" name="Picture 51" descr="Five icons, representing Customers first, Unleash potential, Be courageous, Ideas into action, and Empow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8420"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44C">
        <w:t>Changing workforce demands</w:t>
      </w:r>
    </w:p>
    <w:p w14:paraId="69538E5D" w14:textId="77777777" w:rsidR="006800C7" w:rsidRPr="003C544C" w:rsidRDefault="006800C7" w:rsidP="006800C7">
      <w:r w:rsidRPr="00950FE3">
        <w:br w:type="page"/>
      </w:r>
    </w:p>
    <w:p w14:paraId="6B01CA18" w14:textId="77777777" w:rsidR="006800C7" w:rsidRDefault="006800C7" w:rsidP="006800C7">
      <w:pPr>
        <w:pStyle w:val="Heading3"/>
      </w:pPr>
      <w:r>
        <w:lastRenderedPageBreak/>
        <w:t xml:space="preserve">Key priorities and outcomes </w:t>
      </w:r>
    </w:p>
    <w:p w14:paraId="3EB2DCCD" w14:textId="77777777" w:rsidR="006800C7" w:rsidRPr="006340FF" w:rsidRDefault="006800C7" w:rsidP="006800C7">
      <w:r>
        <w:t>B</w:t>
      </w:r>
      <w:r w:rsidRPr="006340FF">
        <w:t xml:space="preserve">elow is a summary of how the department delivers on its </w:t>
      </w:r>
      <w:r>
        <w:t>strategic objectives contributing to the Queensland Government's objectives for the community</w:t>
      </w:r>
      <w:r w:rsidRPr="006340FF">
        <w:t>.</w:t>
      </w:r>
    </w:p>
    <w:p w14:paraId="6ECD7578" w14:textId="0E2490F4" w:rsidR="006800C7" w:rsidRPr="006340FF" w:rsidRDefault="006800C7" w:rsidP="006800C7">
      <w:pPr>
        <w:pStyle w:val="TableofFigures"/>
      </w:pPr>
      <w:r w:rsidRPr="006340FF">
        <w:t xml:space="preserve">Table </w:t>
      </w:r>
      <w:r>
        <w:t>3</w:t>
      </w:r>
      <w:r w:rsidRPr="006340FF">
        <w:t>: Key priorities and outcomes for 20</w:t>
      </w:r>
      <w:r>
        <w:t>2</w:t>
      </w:r>
      <w:r w:rsidR="00543CE1">
        <w:t>1</w:t>
      </w:r>
      <w:r w:rsidRPr="006340FF">
        <w:t>–2</w:t>
      </w:r>
      <w:r w:rsidR="00543CE1">
        <w:t>2</w:t>
      </w:r>
    </w:p>
    <w:tbl>
      <w:tblPr>
        <w:tblStyle w:val="Style1"/>
        <w:tblW w:w="9209" w:type="dxa"/>
        <w:tblLook w:val="04A0" w:firstRow="1" w:lastRow="0" w:firstColumn="1" w:lastColumn="0" w:noHBand="0" w:noVBand="1"/>
      </w:tblPr>
      <w:tblGrid>
        <w:gridCol w:w="1413"/>
        <w:gridCol w:w="4824"/>
        <w:gridCol w:w="1838"/>
        <w:gridCol w:w="1134"/>
      </w:tblGrid>
      <w:tr w:rsidR="009B6095" w:rsidRPr="009B6095" w14:paraId="3998A7AE" w14:textId="77777777" w:rsidTr="009B6095">
        <w:trPr>
          <w:cnfStyle w:val="100000000000" w:firstRow="1" w:lastRow="0" w:firstColumn="0" w:lastColumn="0" w:oddVBand="0" w:evenVBand="0" w:oddHBand="0" w:evenHBand="0" w:firstRowFirstColumn="0" w:firstRowLastColumn="0" w:lastRowFirstColumn="0" w:lastRowLastColumn="0"/>
          <w:trHeight w:val="280"/>
        </w:trPr>
        <w:tc>
          <w:tcPr>
            <w:tcW w:w="1413" w:type="dxa"/>
            <w:noWrap/>
            <w:hideMark/>
          </w:tcPr>
          <w:p w14:paraId="653EAB6F" w14:textId="77777777" w:rsidR="009B6095" w:rsidRPr="009B6095" w:rsidRDefault="009B6095" w:rsidP="000D06BE">
            <w:pPr>
              <w:pStyle w:val="BodyText"/>
              <w:rPr>
                <w:lang w:eastAsia="en-AU"/>
              </w:rPr>
            </w:pPr>
            <w:bookmarkStart w:id="1" w:name="RANGE!A1:D57"/>
            <w:bookmarkStart w:id="2" w:name="RANGE!A1:D50"/>
            <w:bookmarkEnd w:id="1"/>
            <w:r w:rsidRPr="009B6095">
              <w:rPr>
                <w:lang w:eastAsia="en-AU"/>
              </w:rPr>
              <w:t>Strategic objective</w:t>
            </w:r>
            <w:bookmarkEnd w:id="2"/>
          </w:p>
        </w:tc>
        <w:tc>
          <w:tcPr>
            <w:tcW w:w="4824" w:type="dxa"/>
            <w:noWrap/>
            <w:hideMark/>
          </w:tcPr>
          <w:p w14:paraId="30439CBD" w14:textId="77777777" w:rsidR="009B6095" w:rsidRPr="009B6095" w:rsidRDefault="009B6095" w:rsidP="000D06BE">
            <w:pPr>
              <w:pStyle w:val="BodyText"/>
              <w:rPr>
                <w:lang w:eastAsia="en-AU"/>
              </w:rPr>
            </w:pPr>
            <w:r w:rsidRPr="009B6095">
              <w:rPr>
                <w:lang w:eastAsia="en-AU"/>
              </w:rPr>
              <w:t>Key priorities and outcomes</w:t>
            </w:r>
          </w:p>
        </w:tc>
        <w:tc>
          <w:tcPr>
            <w:tcW w:w="1838" w:type="dxa"/>
            <w:noWrap/>
            <w:hideMark/>
          </w:tcPr>
          <w:p w14:paraId="2CE0C937" w14:textId="77777777" w:rsidR="009B6095" w:rsidRPr="009B6095" w:rsidRDefault="009B6095" w:rsidP="000D06BE">
            <w:pPr>
              <w:pStyle w:val="BodyText"/>
              <w:rPr>
                <w:lang w:eastAsia="en-AU"/>
              </w:rPr>
            </w:pPr>
            <w:r w:rsidRPr="009B6095">
              <w:rPr>
                <w:lang w:eastAsia="en-AU"/>
              </w:rPr>
              <w:t>Alignment to Queensland Government's objectives for the community</w:t>
            </w:r>
          </w:p>
        </w:tc>
        <w:tc>
          <w:tcPr>
            <w:tcW w:w="1134" w:type="dxa"/>
            <w:noWrap/>
            <w:hideMark/>
          </w:tcPr>
          <w:p w14:paraId="4694128E" w14:textId="77777777" w:rsidR="009B6095" w:rsidRPr="009B6095" w:rsidRDefault="009B6095" w:rsidP="000D06BE">
            <w:pPr>
              <w:pStyle w:val="BodyText"/>
              <w:rPr>
                <w:lang w:eastAsia="en-AU"/>
              </w:rPr>
            </w:pPr>
            <w:r w:rsidRPr="009B6095">
              <w:rPr>
                <w:lang w:eastAsia="en-AU"/>
              </w:rPr>
              <w:t>Status</w:t>
            </w:r>
          </w:p>
        </w:tc>
      </w:tr>
      <w:tr w:rsidR="00DE583C" w:rsidRPr="009B6095" w14:paraId="5AB3A3AB" w14:textId="77777777" w:rsidTr="009B6095">
        <w:trPr>
          <w:trHeight w:val="280"/>
        </w:trPr>
        <w:tc>
          <w:tcPr>
            <w:tcW w:w="1413" w:type="dxa"/>
            <w:vMerge w:val="restart"/>
            <w:noWrap/>
            <w:hideMark/>
          </w:tcPr>
          <w:p w14:paraId="1F8A89E0" w14:textId="37A444C4" w:rsidR="00DE583C" w:rsidRPr="00DE583C" w:rsidRDefault="00DE583C" w:rsidP="000D06BE">
            <w:pPr>
              <w:pStyle w:val="BodyText"/>
              <w:rPr>
                <w:rStyle w:val="Strong"/>
              </w:rPr>
            </w:pPr>
            <w:r w:rsidRPr="009B6095">
              <w:rPr>
                <w:rStyle w:val="Strong"/>
                <w:lang w:eastAsia="en-AU"/>
              </w:rPr>
              <w:t>Accessible</w:t>
            </w:r>
          </w:p>
          <w:p w14:paraId="30658CBD" w14:textId="20D80EF3" w:rsidR="00DE583C" w:rsidRPr="009B6095" w:rsidRDefault="00DE583C" w:rsidP="000D06BE">
            <w:pPr>
              <w:pStyle w:val="BodyText"/>
              <w:rPr>
                <w:rStyle w:val="Emphasis"/>
                <w:lang w:eastAsia="en-AU"/>
              </w:rPr>
            </w:pPr>
            <w:r w:rsidRPr="009B6095">
              <w:rPr>
                <w:rStyle w:val="Emphasis"/>
                <w:lang w:eastAsia="en-AU"/>
              </w:rPr>
              <w:t>Tailored connections for our customers and workforce to create an integrated and inclusive network</w:t>
            </w:r>
          </w:p>
        </w:tc>
        <w:tc>
          <w:tcPr>
            <w:tcW w:w="4824" w:type="dxa"/>
            <w:noWrap/>
            <w:hideMark/>
          </w:tcPr>
          <w:p w14:paraId="42D4EFEC" w14:textId="77777777" w:rsidR="00DE583C" w:rsidRPr="009B6095" w:rsidRDefault="00DE583C" w:rsidP="000D06BE">
            <w:pPr>
              <w:pStyle w:val="BodyText"/>
              <w:rPr>
                <w:lang w:eastAsia="en-AU"/>
              </w:rPr>
            </w:pPr>
            <w:r w:rsidRPr="009B6095">
              <w:rPr>
                <w:lang w:eastAsia="en-AU"/>
              </w:rPr>
              <w:t>Released the record $29.7 billion QTRIP 2022–23 to 2025–26, a pipeline of transport and road infrastructure investment estimated to support an average of 25,200 direct jobs over the life of the program.</w:t>
            </w:r>
          </w:p>
        </w:tc>
        <w:tc>
          <w:tcPr>
            <w:tcW w:w="1838" w:type="dxa"/>
            <w:noWrap/>
            <w:hideMark/>
          </w:tcPr>
          <w:p w14:paraId="7E051296" w14:textId="77777777" w:rsidR="00DE583C" w:rsidRPr="009B6095" w:rsidRDefault="00DE583C" w:rsidP="000D06BE">
            <w:pPr>
              <w:pStyle w:val="BodyText"/>
              <w:rPr>
                <w:lang w:eastAsia="en-AU"/>
              </w:rPr>
            </w:pPr>
            <w:r w:rsidRPr="009B6095">
              <w:rPr>
                <w:lang w:eastAsia="en-AU"/>
              </w:rPr>
              <w:t>Supporting jobs</w:t>
            </w:r>
          </w:p>
        </w:tc>
        <w:tc>
          <w:tcPr>
            <w:tcW w:w="1134" w:type="dxa"/>
            <w:noWrap/>
            <w:hideMark/>
          </w:tcPr>
          <w:p w14:paraId="23A70D3D" w14:textId="77777777" w:rsidR="00DE583C" w:rsidRPr="009B6095" w:rsidRDefault="00DE583C" w:rsidP="000D06BE">
            <w:pPr>
              <w:pStyle w:val="BodyText"/>
              <w:rPr>
                <w:lang w:eastAsia="en-AU"/>
              </w:rPr>
            </w:pPr>
            <w:r w:rsidRPr="009B6095">
              <w:rPr>
                <w:lang w:eastAsia="en-AU"/>
              </w:rPr>
              <w:t>In progress</w:t>
            </w:r>
          </w:p>
        </w:tc>
      </w:tr>
      <w:tr w:rsidR="00DE583C" w:rsidRPr="009B6095" w14:paraId="3B10F225" w14:textId="77777777" w:rsidTr="00BA0502">
        <w:trPr>
          <w:trHeight w:val="912"/>
        </w:trPr>
        <w:tc>
          <w:tcPr>
            <w:tcW w:w="1413" w:type="dxa"/>
            <w:vMerge/>
            <w:hideMark/>
          </w:tcPr>
          <w:p w14:paraId="389AAE0A" w14:textId="494A63A7" w:rsidR="00DE583C" w:rsidRPr="009B6095" w:rsidRDefault="00DE583C" w:rsidP="000D06BE">
            <w:pPr>
              <w:pStyle w:val="BodyText"/>
              <w:rPr>
                <w:lang w:eastAsia="en-AU"/>
              </w:rPr>
            </w:pPr>
          </w:p>
        </w:tc>
        <w:tc>
          <w:tcPr>
            <w:tcW w:w="4824" w:type="dxa"/>
            <w:noWrap/>
            <w:hideMark/>
          </w:tcPr>
          <w:p w14:paraId="21138416" w14:textId="77777777" w:rsidR="00DE583C" w:rsidRPr="009B6095" w:rsidRDefault="00DE583C" w:rsidP="000D06BE">
            <w:pPr>
              <w:pStyle w:val="BodyText"/>
              <w:rPr>
                <w:lang w:eastAsia="en-AU"/>
              </w:rPr>
            </w:pPr>
            <w:r w:rsidRPr="009B6095">
              <w:rPr>
                <w:lang w:eastAsia="en-AU"/>
              </w:rPr>
              <w:t>Continued planning for future expansion of SEQ’s rail network, including the Ipswich to Springfield Public Transport Corridor and the Varsity Lakes to Gold Coast Airport heavy rail extension.</w:t>
            </w:r>
          </w:p>
        </w:tc>
        <w:tc>
          <w:tcPr>
            <w:tcW w:w="1838" w:type="dxa"/>
            <w:noWrap/>
            <w:hideMark/>
          </w:tcPr>
          <w:p w14:paraId="04BEFA4A" w14:textId="77777777" w:rsidR="00DE583C" w:rsidRPr="009B6095" w:rsidRDefault="00DE583C" w:rsidP="000D06BE">
            <w:pPr>
              <w:pStyle w:val="BodyText"/>
              <w:rPr>
                <w:lang w:eastAsia="en-AU"/>
              </w:rPr>
            </w:pPr>
            <w:r w:rsidRPr="009B6095">
              <w:rPr>
                <w:lang w:eastAsia="en-AU"/>
              </w:rPr>
              <w:t xml:space="preserve">Building Queensland </w:t>
            </w:r>
          </w:p>
        </w:tc>
        <w:tc>
          <w:tcPr>
            <w:tcW w:w="1134" w:type="dxa"/>
            <w:noWrap/>
            <w:hideMark/>
          </w:tcPr>
          <w:p w14:paraId="2D94A880" w14:textId="77777777" w:rsidR="00DE583C" w:rsidRPr="009B6095" w:rsidRDefault="00DE583C" w:rsidP="000D06BE">
            <w:pPr>
              <w:pStyle w:val="BodyText"/>
              <w:rPr>
                <w:lang w:eastAsia="en-AU"/>
              </w:rPr>
            </w:pPr>
            <w:r w:rsidRPr="009B6095">
              <w:rPr>
                <w:lang w:eastAsia="en-AU"/>
              </w:rPr>
              <w:t>In progress</w:t>
            </w:r>
          </w:p>
        </w:tc>
      </w:tr>
      <w:tr w:rsidR="00DE583C" w:rsidRPr="009B6095" w14:paraId="4D4EA640" w14:textId="77777777" w:rsidTr="009B6095">
        <w:trPr>
          <w:trHeight w:val="290"/>
        </w:trPr>
        <w:tc>
          <w:tcPr>
            <w:tcW w:w="1413" w:type="dxa"/>
            <w:vMerge/>
            <w:hideMark/>
          </w:tcPr>
          <w:p w14:paraId="14263F66" w14:textId="77777777" w:rsidR="00DE583C" w:rsidRPr="009B6095" w:rsidRDefault="00DE583C" w:rsidP="000D06BE">
            <w:pPr>
              <w:pStyle w:val="BodyText"/>
              <w:rPr>
                <w:lang w:eastAsia="en-AU"/>
              </w:rPr>
            </w:pPr>
          </w:p>
        </w:tc>
        <w:tc>
          <w:tcPr>
            <w:tcW w:w="4824" w:type="dxa"/>
            <w:hideMark/>
          </w:tcPr>
          <w:p w14:paraId="1A5AEA3F" w14:textId="13149CBC" w:rsidR="00DE583C" w:rsidRPr="009B6095" w:rsidRDefault="00DE583C" w:rsidP="000D06BE">
            <w:pPr>
              <w:pStyle w:val="BodyText"/>
              <w:rPr>
                <w:lang w:eastAsia="en-AU"/>
              </w:rPr>
            </w:pPr>
            <w:r w:rsidRPr="009B6095">
              <w:rPr>
                <w:lang w:eastAsia="en-AU"/>
              </w:rPr>
              <w:t xml:space="preserve">Continued to implement actions contained in the </w:t>
            </w:r>
            <w:r w:rsidRPr="009B6095">
              <w:rPr>
                <w:i/>
                <w:iCs/>
                <w:lang w:eastAsia="en-AU"/>
              </w:rPr>
              <w:t>Disability Action Plan 2018–2022</w:t>
            </w:r>
            <w:r w:rsidRPr="009B6095">
              <w:rPr>
                <w:lang w:eastAsia="en-AU"/>
              </w:rPr>
              <w:t xml:space="preserve"> to improve the accessibility of the passenger transport network for customers with a disability, including $</w:t>
            </w:r>
            <w:r w:rsidR="007C1F52">
              <w:rPr>
                <w:lang w:eastAsia="en-AU"/>
              </w:rPr>
              <w:t>191.5</w:t>
            </w:r>
            <w:r w:rsidRPr="009B6095">
              <w:rPr>
                <w:lang w:eastAsia="en-AU"/>
              </w:rPr>
              <w:t xml:space="preserve"> million allocated to the Passenger Transport Infrastructure Investment Program.</w:t>
            </w:r>
          </w:p>
        </w:tc>
        <w:tc>
          <w:tcPr>
            <w:tcW w:w="1838" w:type="dxa"/>
            <w:noWrap/>
            <w:hideMark/>
          </w:tcPr>
          <w:p w14:paraId="2CD94396" w14:textId="77777777" w:rsidR="00DE583C" w:rsidRPr="009B6095" w:rsidRDefault="00DE583C" w:rsidP="000D06BE">
            <w:pPr>
              <w:pStyle w:val="BodyText"/>
              <w:rPr>
                <w:lang w:eastAsia="en-AU"/>
              </w:rPr>
            </w:pPr>
            <w:r w:rsidRPr="009B6095">
              <w:rPr>
                <w:lang w:eastAsia="en-AU"/>
              </w:rPr>
              <w:t xml:space="preserve">Building Queensland </w:t>
            </w:r>
          </w:p>
        </w:tc>
        <w:tc>
          <w:tcPr>
            <w:tcW w:w="1134" w:type="dxa"/>
            <w:noWrap/>
            <w:hideMark/>
          </w:tcPr>
          <w:p w14:paraId="26029D06" w14:textId="77777777" w:rsidR="00DE583C" w:rsidRPr="009B6095" w:rsidRDefault="00DE583C" w:rsidP="000D06BE">
            <w:pPr>
              <w:pStyle w:val="BodyText"/>
              <w:rPr>
                <w:lang w:eastAsia="en-AU"/>
              </w:rPr>
            </w:pPr>
            <w:r w:rsidRPr="009B6095">
              <w:rPr>
                <w:lang w:eastAsia="en-AU"/>
              </w:rPr>
              <w:t>In progress</w:t>
            </w:r>
          </w:p>
        </w:tc>
      </w:tr>
      <w:tr w:rsidR="00DE583C" w:rsidRPr="009B6095" w14:paraId="77F8760B" w14:textId="77777777" w:rsidTr="009B6095">
        <w:trPr>
          <w:trHeight w:val="280"/>
        </w:trPr>
        <w:tc>
          <w:tcPr>
            <w:tcW w:w="1413" w:type="dxa"/>
            <w:vMerge/>
            <w:hideMark/>
          </w:tcPr>
          <w:p w14:paraId="5D4CD27E" w14:textId="77777777" w:rsidR="00DE583C" w:rsidRPr="009B6095" w:rsidRDefault="00DE583C" w:rsidP="000D06BE">
            <w:pPr>
              <w:pStyle w:val="BodyText"/>
              <w:rPr>
                <w:lang w:eastAsia="en-AU"/>
              </w:rPr>
            </w:pPr>
          </w:p>
        </w:tc>
        <w:tc>
          <w:tcPr>
            <w:tcW w:w="4824" w:type="dxa"/>
            <w:noWrap/>
            <w:hideMark/>
          </w:tcPr>
          <w:p w14:paraId="67342588" w14:textId="77777777" w:rsidR="00DE583C" w:rsidRPr="009B6095" w:rsidRDefault="00DE583C" w:rsidP="000D06BE">
            <w:pPr>
              <w:pStyle w:val="BodyText"/>
              <w:rPr>
                <w:lang w:eastAsia="en-AU"/>
              </w:rPr>
            </w:pPr>
            <w:r w:rsidRPr="009B6095">
              <w:rPr>
                <w:lang w:eastAsia="en-AU"/>
              </w:rPr>
              <w:t>Continued the Women in Leadership Mentoring Program to support TMR’s commitment to increasing women in senior leadership positions (SES/SO).</w:t>
            </w:r>
          </w:p>
        </w:tc>
        <w:tc>
          <w:tcPr>
            <w:tcW w:w="1838" w:type="dxa"/>
            <w:noWrap/>
            <w:hideMark/>
          </w:tcPr>
          <w:p w14:paraId="5690B29D" w14:textId="77777777" w:rsidR="00DE583C" w:rsidRPr="009B6095" w:rsidRDefault="00DE583C" w:rsidP="000D06BE">
            <w:pPr>
              <w:pStyle w:val="BodyText"/>
              <w:rPr>
                <w:lang w:eastAsia="en-AU"/>
              </w:rPr>
            </w:pPr>
            <w:r w:rsidRPr="009B6095">
              <w:rPr>
                <w:lang w:eastAsia="en-AU"/>
              </w:rPr>
              <w:t>Supporting jobs</w:t>
            </w:r>
          </w:p>
        </w:tc>
        <w:tc>
          <w:tcPr>
            <w:tcW w:w="1134" w:type="dxa"/>
            <w:noWrap/>
            <w:hideMark/>
          </w:tcPr>
          <w:p w14:paraId="08211392" w14:textId="77777777" w:rsidR="00DE583C" w:rsidRPr="009B6095" w:rsidRDefault="00DE583C" w:rsidP="000D06BE">
            <w:pPr>
              <w:pStyle w:val="BodyText"/>
              <w:rPr>
                <w:lang w:eastAsia="en-AU"/>
              </w:rPr>
            </w:pPr>
            <w:r w:rsidRPr="009B6095">
              <w:rPr>
                <w:lang w:eastAsia="en-AU"/>
              </w:rPr>
              <w:t>Ongoing</w:t>
            </w:r>
          </w:p>
        </w:tc>
      </w:tr>
      <w:tr w:rsidR="00DE583C" w:rsidRPr="009B6095" w14:paraId="3EF67A3E" w14:textId="77777777" w:rsidTr="009B6095">
        <w:trPr>
          <w:trHeight w:val="280"/>
        </w:trPr>
        <w:tc>
          <w:tcPr>
            <w:tcW w:w="1413" w:type="dxa"/>
            <w:vMerge/>
            <w:noWrap/>
            <w:hideMark/>
          </w:tcPr>
          <w:p w14:paraId="11D57212" w14:textId="77777777" w:rsidR="00DE583C" w:rsidRPr="009B6095" w:rsidRDefault="00DE583C" w:rsidP="000D06BE">
            <w:pPr>
              <w:pStyle w:val="BodyText"/>
              <w:rPr>
                <w:lang w:eastAsia="en-AU"/>
              </w:rPr>
            </w:pPr>
          </w:p>
        </w:tc>
        <w:tc>
          <w:tcPr>
            <w:tcW w:w="4824" w:type="dxa"/>
            <w:noWrap/>
            <w:hideMark/>
          </w:tcPr>
          <w:p w14:paraId="4485C992" w14:textId="77777777" w:rsidR="00DE583C" w:rsidRPr="009B6095" w:rsidRDefault="00DE583C" w:rsidP="000D06BE">
            <w:pPr>
              <w:pStyle w:val="BodyText"/>
              <w:rPr>
                <w:color w:val="auto"/>
                <w:lang w:eastAsia="en-AU"/>
              </w:rPr>
            </w:pPr>
          </w:p>
        </w:tc>
        <w:tc>
          <w:tcPr>
            <w:tcW w:w="1838" w:type="dxa"/>
            <w:noWrap/>
            <w:hideMark/>
          </w:tcPr>
          <w:p w14:paraId="5B92C63F" w14:textId="77777777" w:rsidR="00DE583C" w:rsidRPr="009B6095" w:rsidRDefault="00DE583C" w:rsidP="000D06BE">
            <w:pPr>
              <w:pStyle w:val="BodyText"/>
              <w:rPr>
                <w:color w:val="auto"/>
                <w:lang w:eastAsia="en-AU"/>
              </w:rPr>
            </w:pPr>
          </w:p>
        </w:tc>
        <w:tc>
          <w:tcPr>
            <w:tcW w:w="1134" w:type="dxa"/>
            <w:noWrap/>
            <w:hideMark/>
          </w:tcPr>
          <w:p w14:paraId="28CC416B" w14:textId="77777777" w:rsidR="00DE583C" w:rsidRPr="009B6095" w:rsidRDefault="00DE583C" w:rsidP="000D06BE">
            <w:pPr>
              <w:pStyle w:val="BodyText"/>
              <w:rPr>
                <w:color w:val="auto"/>
                <w:lang w:eastAsia="en-AU"/>
              </w:rPr>
            </w:pPr>
          </w:p>
        </w:tc>
      </w:tr>
      <w:tr w:rsidR="00DE583C" w:rsidRPr="009B6095" w14:paraId="0BE4C47B" w14:textId="77777777" w:rsidTr="009B6095">
        <w:trPr>
          <w:trHeight w:val="280"/>
        </w:trPr>
        <w:tc>
          <w:tcPr>
            <w:tcW w:w="1413" w:type="dxa"/>
            <w:vMerge w:val="restart"/>
            <w:noWrap/>
            <w:hideMark/>
          </w:tcPr>
          <w:p w14:paraId="039E66A6" w14:textId="77777777" w:rsidR="00DE583C" w:rsidRPr="00DE583C" w:rsidRDefault="00DE583C" w:rsidP="000D06BE">
            <w:pPr>
              <w:pStyle w:val="BodyText"/>
              <w:rPr>
                <w:rStyle w:val="Strong"/>
              </w:rPr>
            </w:pPr>
            <w:r w:rsidRPr="009B6095">
              <w:rPr>
                <w:rStyle w:val="Strong"/>
                <w:lang w:eastAsia="en-AU"/>
              </w:rPr>
              <w:t>Safe</w:t>
            </w:r>
          </w:p>
          <w:p w14:paraId="10BC643C" w14:textId="6ED4A4B3" w:rsidR="00DE583C" w:rsidRPr="009B6095" w:rsidRDefault="00DE583C" w:rsidP="000D06BE">
            <w:pPr>
              <w:pStyle w:val="BodyText"/>
              <w:rPr>
                <w:rStyle w:val="Emphasis"/>
                <w:lang w:eastAsia="en-AU"/>
              </w:rPr>
            </w:pPr>
            <w:r w:rsidRPr="009B6095">
              <w:rPr>
                <w:rStyle w:val="Emphasis"/>
                <w:lang w:eastAsia="en-AU"/>
              </w:rPr>
              <w:t>Safe and secure customer journeys and TMR workplaces</w:t>
            </w:r>
          </w:p>
        </w:tc>
        <w:tc>
          <w:tcPr>
            <w:tcW w:w="4824" w:type="dxa"/>
            <w:hideMark/>
          </w:tcPr>
          <w:p w14:paraId="265DFEC1" w14:textId="77777777" w:rsidR="00DE583C" w:rsidRPr="009B6095" w:rsidRDefault="00DE583C" w:rsidP="000D06BE">
            <w:pPr>
              <w:pStyle w:val="BodyText"/>
              <w:rPr>
                <w:lang w:eastAsia="en-AU"/>
              </w:rPr>
            </w:pPr>
            <w:r w:rsidRPr="009B6095">
              <w:rPr>
                <w:lang w:eastAsia="en-AU"/>
              </w:rPr>
              <w:t>Providing safe marine infrastructure, including increasing boat launching capacity on Queensland's waterways to support healthy lifestyles.</w:t>
            </w:r>
          </w:p>
        </w:tc>
        <w:tc>
          <w:tcPr>
            <w:tcW w:w="1838" w:type="dxa"/>
            <w:noWrap/>
            <w:hideMark/>
          </w:tcPr>
          <w:p w14:paraId="7F030B59" w14:textId="77777777" w:rsidR="00DE583C" w:rsidRPr="009B6095" w:rsidRDefault="00DE583C" w:rsidP="000D06BE">
            <w:pPr>
              <w:pStyle w:val="BodyText"/>
              <w:rPr>
                <w:lang w:eastAsia="en-AU"/>
              </w:rPr>
            </w:pPr>
            <w:r w:rsidRPr="009B6095">
              <w:rPr>
                <w:lang w:eastAsia="en-AU"/>
              </w:rPr>
              <w:t>Safeguarding our health</w:t>
            </w:r>
          </w:p>
        </w:tc>
        <w:tc>
          <w:tcPr>
            <w:tcW w:w="1134" w:type="dxa"/>
            <w:hideMark/>
          </w:tcPr>
          <w:p w14:paraId="32D76259" w14:textId="77777777" w:rsidR="00DE583C" w:rsidRPr="009B6095" w:rsidRDefault="00DE583C" w:rsidP="000D06BE">
            <w:pPr>
              <w:pStyle w:val="BodyText"/>
              <w:rPr>
                <w:lang w:eastAsia="en-AU"/>
              </w:rPr>
            </w:pPr>
            <w:r w:rsidRPr="009B6095">
              <w:rPr>
                <w:lang w:eastAsia="en-AU"/>
              </w:rPr>
              <w:t>Ongoing</w:t>
            </w:r>
          </w:p>
        </w:tc>
      </w:tr>
      <w:tr w:rsidR="00DE583C" w:rsidRPr="009B6095" w14:paraId="7C2F92D9" w14:textId="77777777" w:rsidTr="00BA0502">
        <w:trPr>
          <w:trHeight w:val="664"/>
        </w:trPr>
        <w:tc>
          <w:tcPr>
            <w:tcW w:w="1413" w:type="dxa"/>
            <w:vMerge/>
            <w:hideMark/>
          </w:tcPr>
          <w:p w14:paraId="6252557C" w14:textId="14860C90" w:rsidR="00DE583C" w:rsidRPr="009B6095" w:rsidRDefault="00DE583C" w:rsidP="000D06BE">
            <w:pPr>
              <w:pStyle w:val="BodyText"/>
              <w:rPr>
                <w:lang w:eastAsia="en-AU"/>
              </w:rPr>
            </w:pPr>
          </w:p>
        </w:tc>
        <w:tc>
          <w:tcPr>
            <w:tcW w:w="4824" w:type="dxa"/>
            <w:hideMark/>
          </w:tcPr>
          <w:p w14:paraId="0BA655BC" w14:textId="77777777" w:rsidR="00DE583C" w:rsidRPr="009B6095" w:rsidRDefault="00DE583C" w:rsidP="000D06BE">
            <w:pPr>
              <w:pStyle w:val="BodyText"/>
              <w:rPr>
                <w:lang w:eastAsia="en-AU"/>
              </w:rPr>
            </w:pPr>
            <w:r w:rsidRPr="009B6095">
              <w:rPr>
                <w:lang w:eastAsia="en-AU"/>
              </w:rPr>
              <w:t>Working with industry, other participating jurisdictions and the National Transport Commission to progress the Heavy Vehicle National Law Safety and Productivity Program.</w:t>
            </w:r>
          </w:p>
        </w:tc>
        <w:tc>
          <w:tcPr>
            <w:tcW w:w="1838" w:type="dxa"/>
            <w:noWrap/>
            <w:hideMark/>
          </w:tcPr>
          <w:p w14:paraId="0733BF0E" w14:textId="77777777" w:rsidR="00DE583C" w:rsidRPr="009B6095" w:rsidRDefault="00DE583C" w:rsidP="000D06BE">
            <w:pPr>
              <w:pStyle w:val="BodyText"/>
              <w:rPr>
                <w:lang w:eastAsia="en-AU"/>
              </w:rPr>
            </w:pPr>
            <w:r w:rsidRPr="009B6095">
              <w:rPr>
                <w:lang w:eastAsia="en-AU"/>
              </w:rPr>
              <w:t>Safeguarding our health</w:t>
            </w:r>
          </w:p>
        </w:tc>
        <w:tc>
          <w:tcPr>
            <w:tcW w:w="1134" w:type="dxa"/>
            <w:hideMark/>
          </w:tcPr>
          <w:p w14:paraId="67352093" w14:textId="77777777" w:rsidR="00DE583C" w:rsidRPr="009B6095" w:rsidRDefault="00DE583C" w:rsidP="000D06BE">
            <w:pPr>
              <w:pStyle w:val="BodyText"/>
              <w:rPr>
                <w:lang w:eastAsia="en-AU"/>
              </w:rPr>
            </w:pPr>
            <w:r w:rsidRPr="009B6095">
              <w:rPr>
                <w:lang w:eastAsia="en-AU"/>
              </w:rPr>
              <w:t>In progress</w:t>
            </w:r>
          </w:p>
        </w:tc>
      </w:tr>
      <w:tr w:rsidR="00DE583C" w:rsidRPr="009B6095" w14:paraId="478FDE9F" w14:textId="77777777" w:rsidTr="009B6095">
        <w:trPr>
          <w:trHeight w:val="290"/>
        </w:trPr>
        <w:tc>
          <w:tcPr>
            <w:tcW w:w="1413" w:type="dxa"/>
            <w:vMerge/>
            <w:noWrap/>
            <w:hideMark/>
          </w:tcPr>
          <w:p w14:paraId="48217ACE" w14:textId="77777777" w:rsidR="00DE583C" w:rsidRPr="009B6095" w:rsidRDefault="00DE583C" w:rsidP="000D06BE">
            <w:pPr>
              <w:pStyle w:val="BodyText"/>
              <w:rPr>
                <w:lang w:eastAsia="en-AU"/>
              </w:rPr>
            </w:pPr>
          </w:p>
        </w:tc>
        <w:tc>
          <w:tcPr>
            <w:tcW w:w="4824" w:type="dxa"/>
            <w:hideMark/>
          </w:tcPr>
          <w:p w14:paraId="477100EF" w14:textId="77777777" w:rsidR="00DE583C" w:rsidRPr="009B6095" w:rsidRDefault="00DE583C" w:rsidP="000D06BE">
            <w:pPr>
              <w:pStyle w:val="BodyText"/>
              <w:rPr>
                <w:lang w:eastAsia="en-AU"/>
              </w:rPr>
            </w:pPr>
            <w:r w:rsidRPr="009B6095">
              <w:rPr>
                <w:lang w:eastAsia="en-AU"/>
              </w:rPr>
              <w:t xml:space="preserve">Developed a new </w:t>
            </w:r>
            <w:r w:rsidRPr="009B6095">
              <w:rPr>
                <w:i/>
                <w:iCs/>
                <w:lang w:eastAsia="en-AU"/>
              </w:rPr>
              <w:t xml:space="preserve">Queensland Road Safety Strategy and Action Plan </w:t>
            </w:r>
            <w:r w:rsidRPr="009B6095">
              <w:rPr>
                <w:lang w:eastAsia="en-AU"/>
              </w:rPr>
              <w:t xml:space="preserve">(including </w:t>
            </w:r>
            <w:r w:rsidRPr="009B6095">
              <w:rPr>
                <w:i/>
                <w:iCs/>
                <w:lang w:eastAsia="en-AU"/>
              </w:rPr>
              <w:t>Heavy Vehicle Safety Action Plan</w:t>
            </w:r>
            <w:r w:rsidRPr="009B6095">
              <w:rPr>
                <w:lang w:eastAsia="en-AU"/>
              </w:rPr>
              <w:t>)</w:t>
            </w:r>
          </w:p>
        </w:tc>
        <w:tc>
          <w:tcPr>
            <w:tcW w:w="1838" w:type="dxa"/>
            <w:noWrap/>
            <w:hideMark/>
          </w:tcPr>
          <w:p w14:paraId="553DB155" w14:textId="77777777" w:rsidR="00DE583C" w:rsidRPr="009B6095" w:rsidRDefault="00DE583C" w:rsidP="000D06BE">
            <w:pPr>
              <w:pStyle w:val="BodyText"/>
              <w:rPr>
                <w:lang w:eastAsia="en-AU"/>
              </w:rPr>
            </w:pPr>
            <w:r w:rsidRPr="009B6095">
              <w:rPr>
                <w:lang w:eastAsia="en-AU"/>
              </w:rPr>
              <w:t>Safeguarding our health</w:t>
            </w:r>
          </w:p>
        </w:tc>
        <w:tc>
          <w:tcPr>
            <w:tcW w:w="1134" w:type="dxa"/>
            <w:hideMark/>
          </w:tcPr>
          <w:p w14:paraId="3AC8E1EC" w14:textId="77777777" w:rsidR="00DE583C" w:rsidRPr="009B6095" w:rsidRDefault="00DE583C" w:rsidP="000D06BE">
            <w:pPr>
              <w:pStyle w:val="BodyText"/>
              <w:rPr>
                <w:lang w:eastAsia="en-AU"/>
              </w:rPr>
            </w:pPr>
            <w:r w:rsidRPr="009B6095">
              <w:rPr>
                <w:lang w:eastAsia="en-AU"/>
              </w:rPr>
              <w:t>Completed</w:t>
            </w:r>
          </w:p>
        </w:tc>
      </w:tr>
      <w:tr w:rsidR="00DE583C" w:rsidRPr="009B6095" w14:paraId="071FA162" w14:textId="77777777" w:rsidTr="009B6095">
        <w:trPr>
          <w:trHeight w:val="280"/>
        </w:trPr>
        <w:tc>
          <w:tcPr>
            <w:tcW w:w="1413" w:type="dxa"/>
            <w:vMerge/>
            <w:noWrap/>
            <w:hideMark/>
          </w:tcPr>
          <w:p w14:paraId="755C42F7" w14:textId="77777777" w:rsidR="00DE583C" w:rsidRPr="009B6095" w:rsidRDefault="00DE583C" w:rsidP="000D06BE">
            <w:pPr>
              <w:pStyle w:val="BodyText"/>
              <w:rPr>
                <w:lang w:eastAsia="en-AU"/>
              </w:rPr>
            </w:pPr>
          </w:p>
        </w:tc>
        <w:tc>
          <w:tcPr>
            <w:tcW w:w="4824" w:type="dxa"/>
            <w:hideMark/>
          </w:tcPr>
          <w:p w14:paraId="6F81E953" w14:textId="77777777" w:rsidR="00DE583C" w:rsidRPr="009B6095" w:rsidRDefault="00DE583C" w:rsidP="000D06BE">
            <w:pPr>
              <w:pStyle w:val="BodyText"/>
              <w:rPr>
                <w:lang w:eastAsia="en-AU"/>
              </w:rPr>
            </w:pPr>
            <w:r w:rsidRPr="009B6095">
              <w:rPr>
                <w:lang w:eastAsia="en-AU"/>
              </w:rPr>
              <w:t>Developed and delivered a Maritime Enhancement Plan.</w:t>
            </w:r>
          </w:p>
        </w:tc>
        <w:tc>
          <w:tcPr>
            <w:tcW w:w="1838" w:type="dxa"/>
            <w:noWrap/>
            <w:hideMark/>
          </w:tcPr>
          <w:p w14:paraId="65E10F0F" w14:textId="77777777" w:rsidR="00DE583C" w:rsidRPr="009B6095" w:rsidRDefault="00DE583C" w:rsidP="000D06BE">
            <w:pPr>
              <w:pStyle w:val="BodyText"/>
              <w:rPr>
                <w:lang w:eastAsia="en-AU"/>
              </w:rPr>
            </w:pPr>
            <w:r w:rsidRPr="009B6095">
              <w:rPr>
                <w:lang w:eastAsia="en-AU"/>
              </w:rPr>
              <w:t>Safeguarding our health</w:t>
            </w:r>
          </w:p>
        </w:tc>
        <w:tc>
          <w:tcPr>
            <w:tcW w:w="1134" w:type="dxa"/>
            <w:hideMark/>
          </w:tcPr>
          <w:p w14:paraId="060BA0AC" w14:textId="77777777" w:rsidR="00DE583C" w:rsidRPr="009B6095" w:rsidRDefault="00DE583C" w:rsidP="000D06BE">
            <w:pPr>
              <w:pStyle w:val="BodyText"/>
              <w:rPr>
                <w:lang w:eastAsia="en-AU"/>
              </w:rPr>
            </w:pPr>
            <w:r w:rsidRPr="009B6095">
              <w:rPr>
                <w:lang w:eastAsia="en-AU"/>
              </w:rPr>
              <w:t>In progress</w:t>
            </w:r>
          </w:p>
        </w:tc>
      </w:tr>
      <w:tr w:rsidR="00DE583C" w:rsidRPr="009B6095" w14:paraId="456E057C" w14:textId="77777777" w:rsidTr="009B6095">
        <w:trPr>
          <w:trHeight w:val="280"/>
        </w:trPr>
        <w:tc>
          <w:tcPr>
            <w:tcW w:w="1413" w:type="dxa"/>
            <w:vMerge/>
            <w:noWrap/>
            <w:hideMark/>
          </w:tcPr>
          <w:p w14:paraId="637ED73C" w14:textId="77777777" w:rsidR="00DE583C" w:rsidRPr="009B6095" w:rsidRDefault="00DE583C" w:rsidP="000D06BE">
            <w:pPr>
              <w:pStyle w:val="BodyText"/>
              <w:rPr>
                <w:lang w:eastAsia="en-AU"/>
              </w:rPr>
            </w:pPr>
          </w:p>
        </w:tc>
        <w:tc>
          <w:tcPr>
            <w:tcW w:w="4824" w:type="dxa"/>
            <w:hideMark/>
          </w:tcPr>
          <w:p w14:paraId="14140033" w14:textId="77777777" w:rsidR="00DE583C" w:rsidRPr="009B6095" w:rsidRDefault="00DE583C" w:rsidP="000D06BE">
            <w:pPr>
              <w:pStyle w:val="BodyText"/>
              <w:rPr>
                <w:lang w:eastAsia="en-AU"/>
              </w:rPr>
            </w:pPr>
            <w:r w:rsidRPr="009B6095">
              <w:rPr>
                <w:lang w:eastAsia="en-AU"/>
              </w:rPr>
              <w:t>Continued to deliver marine-related education and safety messaging, including campaigns that influenced and increased safe behaviours within the recreational boating community.</w:t>
            </w:r>
          </w:p>
        </w:tc>
        <w:tc>
          <w:tcPr>
            <w:tcW w:w="1838" w:type="dxa"/>
            <w:noWrap/>
            <w:hideMark/>
          </w:tcPr>
          <w:p w14:paraId="5E58717A" w14:textId="77777777" w:rsidR="00DE583C" w:rsidRPr="009B6095" w:rsidRDefault="00DE583C" w:rsidP="000D06BE">
            <w:pPr>
              <w:pStyle w:val="BodyText"/>
              <w:rPr>
                <w:lang w:eastAsia="en-AU"/>
              </w:rPr>
            </w:pPr>
            <w:r w:rsidRPr="009B6095">
              <w:rPr>
                <w:lang w:eastAsia="en-AU"/>
              </w:rPr>
              <w:t>Safeguarding our health</w:t>
            </w:r>
          </w:p>
        </w:tc>
        <w:tc>
          <w:tcPr>
            <w:tcW w:w="1134" w:type="dxa"/>
            <w:hideMark/>
          </w:tcPr>
          <w:p w14:paraId="02064412" w14:textId="77777777" w:rsidR="00DE583C" w:rsidRPr="009B6095" w:rsidRDefault="00DE583C" w:rsidP="000D06BE">
            <w:pPr>
              <w:pStyle w:val="BodyText"/>
              <w:rPr>
                <w:lang w:eastAsia="en-AU"/>
              </w:rPr>
            </w:pPr>
            <w:r w:rsidRPr="009B6095">
              <w:rPr>
                <w:lang w:eastAsia="en-AU"/>
              </w:rPr>
              <w:t>Ongoing</w:t>
            </w:r>
          </w:p>
        </w:tc>
      </w:tr>
      <w:tr w:rsidR="00DE583C" w:rsidRPr="009B6095" w14:paraId="292D8C98" w14:textId="77777777" w:rsidTr="009B6095">
        <w:trPr>
          <w:trHeight w:val="280"/>
        </w:trPr>
        <w:tc>
          <w:tcPr>
            <w:tcW w:w="1413" w:type="dxa"/>
            <w:vMerge/>
            <w:noWrap/>
            <w:hideMark/>
          </w:tcPr>
          <w:p w14:paraId="28D54090" w14:textId="77777777" w:rsidR="00DE583C" w:rsidRPr="009B6095" w:rsidRDefault="00DE583C" w:rsidP="000D06BE">
            <w:pPr>
              <w:pStyle w:val="BodyText"/>
              <w:rPr>
                <w:lang w:eastAsia="en-AU"/>
              </w:rPr>
            </w:pPr>
          </w:p>
        </w:tc>
        <w:tc>
          <w:tcPr>
            <w:tcW w:w="4824" w:type="dxa"/>
            <w:hideMark/>
          </w:tcPr>
          <w:p w14:paraId="181AAEFA" w14:textId="77777777" w:rsidR="00DE583C" w:rsidRPr="009B6095" w:rsidRDefault="00DE583C" w:rsidP="000D06BE">
            <w:pPr>
              <w:pStyle w:val="BodyText"/>
              <w:rPr>
                <w:lang w:eastAsia="en-AU"/>
              </w:rPr>
            </w:pPr>
            <w:r w:rsidRPr="009B6095">
              <w:rPr>
                <w:lang w:eastAsia="en-AU"/>
              </w:rPr>
              <w:t xml:space="preserve">Continued the COVID-19 Transport Services Assistance Program until 30 June 2022, to ensure that identified regional operators were supported through the COVID-19 recovery period. </w:t>
            </w:r>
          </w:p>
        </w:tc>
        <w:tc>
          <w:tcPr>
            <w:tcW w:w="1838" w:type="dxa"/>
            <w:noWrap/>
            <w:hideMark/>
          </w:tcPr>
          <w:p w14:paraId="52B77E6B" w14:textId="77777777" w:rsidR="00DE583C" w:rsidRPr="009B6095" w:rsidRDefault="00DE583C" w:rsidP="000D06BE">
            <w:pPr>
              <w:pStyle w:val="BodyText"/>
              <w:rPr>
                <w:lang w:eastAsia="en-AU"/>
              </w:rPr>
            </w:pPr>
            <w:r w:rsidRPr="009B6095">
              <w:rPr>
                <w:lang w:eastAsia="en-AU"/>
              </w:rPr>
              <w:t>Safeguarding our health</w:t>
            </w:r>
          </w:p>
        </w:tc>
        <w:tc>
          <w:tcPr>
            <w:tcW w:w="1134" w:type="dxa"/>
            <w:hideMark/>
          </w:tcPr>
          <w:p w14:paraId="6479A14A" w14:textId="77777777" w:rsidR="00DE583C" w:rsidRPr="009B6095" w:rsidRDefault="00DE583C" w:rsidP="000D06BE">
            <w:pPr>
              <w:pStyle w:val="BodyText"/>
              <w:rPr>
                <w:lang w:eastAsia="en-AU"/>
              </w:rPr>
            </w:pPr>
            <w:r w:rsidRPr="009B6095">
              <w:rPr>
                <w:lang w:eastAsia="en-AU"/>
              </w:rPr>
              <w:t>Completed</w:t>
            </w:r>
          </w:p>
        </w:tc>
      </w:tr>
      <w:tr w:rsidR="00DE583C" w:rsidRPr="009B6095" w14:paraId="6A5012BA" w14:textId="77777777" w:rsidTr="009B6095">
        <w:trPr>
          <w:trHeight w:val="560"/>
        </w:trPr>
        <w:tc>
          <w:tcPr>
            <w:tcW w:w="1413" w:type="dxa"/>
            <w:vMerge/>
            <w:noWrap/>
            <w:hideMark/>
          </w:tcPr>
          <w:p w14:paraId="53776E99" w14:textId="77777777" w:rsidR="00DE583C" w:rsidRPr="009B6095" w:rsidRDefault="00DE583C" w:rsidP="000D06BE">
            <w:pPr>
              <w:pStyle w:val="BodyText"/>
              <w:rPr>
                <w:lang w:eastAsia="en-AU"/>
              </w:rPr>
            </w:pPr>
          </w:p>
        </w:tc>
        <w:tc>
          <w:tcPr>
            <w:tcW w:w="4824" w:type="dxa"/>
            <w:hideMark/>
          </w:tcPr>
          <w:p w14:paraId="27DAB315" w14:textId="77777777" w:rsidR="00DE583C" w:rsidRPr="009B6095" w:rsidRDefault="00DE583C" w:rsidP="000D06BE">
            <w:pPr>
              <w:pStyle w:val="BodyText"/>
              <w:rPr>
                <w:lang w:eastAsia="en-AU"/>
              </w:rPr>
            </w:pPr>
            <w:r w:rsidRPr="009B6095">
              <w:rPr>
                <w:lang w:eastAsia="en-AU"/>
              </w:rPr>
              <w:t>Answered 749,326 calls from passenger transport customers in the TransLink's Contact Centre with calls answered in 33.11 seconds on average.</w:t>
            </w:r>
          </w:p>
        </w:tc>
        <w:tc>
          <w:tcPr>
            <w:tcW w:w="1838" w:type="dxa"/>
            <w:hideMark/>
          </w:tcPr>
          <w:p w14:paraId="0C14FBC2" w14:textId="77777777" w:rsidR="00DE583C" w:rsidRPr="009B6095" w:rsidRDefault="00DE583C" w:rsidP="000D06BE">
            <w:pPr>
              <w:pStyle w:val="BodyText"/>
              <w:rPr>
                <w:lang w:eastAsia="en-AU"/>
              </w:rPr>
            </w:pPr>
            <w:r w:rsidRPr="009B6095">
              <w:rPr>
                <w:lang w:eastAsia="en-AU"/>
              </w:rPr>
              <w:t>Backing our frontline services</w:t>
            </w:r>
          </w:p>
        </w:tc>
        <w:tc>
          <w:tcPr>
            <w:tcW w:w="1134" w:type="dxa"/>
            <w:hideMark/>
          </w:tcPr>
          <w:p w14:paraId="1C0AEDC3" w14:textId="77777777" w:rsidR="00DE583C" w:rsidRPr="009B6095" w:rsidRDefault="00DE583C" w:rsidP="000D06BE">
            <w:pPr>
              <w:pStyle w:val="BodyText"/>
              <w:rPr>
                <w:lang w:eastAsia="en-AU"/>
              </w:rPr>
            </w:pPr>
            <w:r w:rsidRPr="009B6095">
              <w:rPr>
                <w:lang w:eastAsia="en-AU"/>
              </w:rPr>
              <w:t>Completed</w:t>
            </w:r>
          </w:p>
        </w:tc>
      </w:tr>
      <w:tr w:rsidR="00DE583C" w:rsidRPr="009B6095" w14:paraId="5AE7253F" w14:textId="77777777" w:rsidTr="009B6095">
        <w:trPr>
          <w:trHeight w:val="280"/>
        </w:trPr>
        <w:tc>
          <w:tcPr>
            <w:tcW w:w="1413" w:type="dxa"/>
            <w:vMerge/>
            <w:noWrap/>
            <w:hideMark/>
          </w:tcPr>
          <w:p w14:paraId="1CEB4EF3" w14:textId="77777777" w:rsidR="00DE583C" w:rsidRPr="009B6095" w:rsidRDefault="00DE583C" w:rsidP="000D06BE">
            <w:pPr>
              <w:pStyle w:val="BodyText"/>
              <w:rPr>
                <w:lang w:eastAsia="en-AU"/>
              </w:rPr>
            </w:pPr>
          </w:p>
        </w:tc>
        <w:tc>
          <w:tcPr>
            <w:tcW w:w="4824" w:type="dxa"/>
            <w:noWrap/>
            <w:hideMark/>
          </w:tcPr>
          <w:p w14:paraId="0A4090E7" w14:textId="77777777" w:rsidR="00DE583C" w:rsidRPr="009B6095" w:rsidRDefault="00DE583C" w:rsidP="000D06BE">
            <w:pPr>
              <w:pStyle w:val="BodyText"/>
              <w:rPr>
                <w:color w:val="auto"/>
                <w:lang w:eastAsia="en-AU"/>
              </w:rPr>
            </w:pPr>
          </w:p>
        </w:tc>
        <w:tc>
          <w:tcPr>
            <w:tcW w:w="1838" w:type="dxa"/>
            <w:noWrap/>
            <w:hideMark/>
          </w:tcPr>
          <w:p w14:paraId="6A03B27A" w14:textId="77777777" w:rsidR="00DE583C" w:rsidRPr="009B6095" w:rsidRDefault="00DE583C" w:rsidP="000D06BE">
            <w:pPr>
              <w:pStyle w:val="BodyText"/>
              <w:rPr>
                <w:color w:val="auto"/>
                <w:lang w:eastAsia="en-AU"/>
              </w:rPr>
            </w:pPr>
          </w:p>
        </w:tc>
        <w:tc>
          <w:tcPr>
            <w:tcW w:w="1134" w:type="dxa"/>
            <w:noWrap/>
            <w:hideMark/>
          </w:tcPr>
          <w:p w14:paraId="2AE2D3E1" w14:textId="77777777" w:rsidR="00DE583C" w:rsidRPr="009B6095" w:rsidRDefault="00DE583C" w:rsidP="000D06BE">
            <w:pPr>
              <w:pStyle w:val="BodyText"/>
              <w:rPr>
                <w:color w:val="auto"/>
                <w:lang w:eastAsia="en-AU"/>
              </w:rPr>
            </w:pPr>
          </w:p>
        </w:tc>
      </w:tr>
      <w:tr w:rsidR="00DE583C" w:rsidRPr="009B6095" w14:paraId="52C70233" w14:textId="77777777" w:rsidTr="009B6095">
        <w:trPr>
          <w:trHeight w:val="560"/>
        </w:trPr>
        <w:tc>
          <w:tcPr>
            <w:tcW w:w="1413" w:type="dxa"/>
            <w:vMerge w:val="restart"/>
            <w:noWrap/>
            <w:hideMark/>
          </w:tcPr>
          <w:p w14:paraId="0595A5DF" w14:textId="77777777" w:rsidR="00DE583C" w:rsidRPr="00DE583C" w:rsidRDefault="00DE583C" w:rsidP="000D06BE">
            <w:pPr>
              <w:pStyle w:val="BodyText"/>
              <w:rPr>
                <w:rStyle w:val="Strong"/>
              </w:rPr>
            </w:pPr>
            <w:r w:rsidRPr="009B6095">
              <w:rPr>
                <w:rStyle w:val="Strong"/>
                <w:lang w:eastAsia="en-AU"/>
              </w:rPr>
              <w:t>Responsive</w:t>
            </w:r>
          </w:p>
          <w:p w14:paraId="708CB8CD" w14:textId="5909187A" w:rsidR="00DE583C" w:rsidRPr="009B6095" w:rsidRDefault="00DE583C" w:rsidP="000D06BE">
            <w:pPr>
              <w:pStyle w:val="BodyText"/>
              <w:rPr>
                <w:rStyle w:val="Emphasis"/>
                <w:lang w:eastAsia="en-AU"/>
              </w:rPr>
            </w:pPr>
            <w:r w:rsidRPr="009B6095">
              <w:rPr>
                <w:rStyle w:val="Emphasis"/>
                <w:lang w:eastAsia="en-AU"/>
              </w:rPr>
              <w:t>Our network, services and workforce respond to current and emerging customer expectations</w:t>
            </w:r>
          </w:p>
        </w:tc>
        <w:tc>
          <w:tcPr>
            <w:tcW w:w="4824" w:type="dxa"/>
            <w:hideMark/>
          </w:tcPr>
          <w:p w14:paraId="619A8549" w14:textId="77777777" w:rsidR="00DE583C" w:rsidRPr="009B6095" w:rsidRDefault="00DE583C" w:rsidP="000D06BE">
            <w:pPr>
              <w:pStyle w:val="BodyText"/>
              <w:rPr>
                <w:lang w:eastAsia="en-AU"/>
              </w:rPr>
            </w:pPr>
            <w:r w:rsidRPr="009B6095">
              <w:rPr>
                <w:lang w:eastAsia="en-AU"/>
              </w:rPr>
              <w:t>Continue delivering the Queensland Jobs Generator Transport Infrastructure Package, a joint Australian and Queensland Government $415 million program of construction-ready road upgrade projects, consisting of $265 million in capital upgrade projects (including $158 million for a Regional Economic Enabling Fund, to deliver upgrades to regional roads that support economic and regional growth and sustain local employment) and $150 million in targeted road safety upgrades.</w:t>
            </w:r>
          </w:p>
        </w:tc>
        <w:tc>
          <w:tcPr>
            <w:tcW w:w="1838" w:type="dxa"/>
            <w:hideMark/>
          </w:tcPr>
          <w:p w14:paraId="7FF82240" w14:textId="77777777" w:rsidR="00DE583C" w:rsidRPr="009B6095" w:rsidRDefault="00DE583C" w:rsidP="000D06BE">
            <w:pPr>
              <w:pStyle w:val="BodyText"/>
              <w:rPr>
                <w:lang w:eastAsia="en-AU"/>
              </w:rPr>
            </w:pPr>
            <w:r w:rsidRPr="009B6095">
              <w:rPr>
                <w:lang w:eastAsia="en-AU"/>
              </w:rPr>
              <w:t>Supporting jobs</w:t>
            </w:r>
          </w:p>
        </w:tc>
        <w:tc>
          <w:tcPr>
            <w:tcW w:w="1134" w:type="dxa"/>
            <w:hideMark/>
          </w:tcPr>
          <w:p w14:paraId="6D46DE31" w14:textId="77777777" w:rsidR="00DE583C" w:rsidRPr="009B6095" w:rsidRDefault="00DE583C" w:rsidP="000D06BE">
            <w:pPr>
              <w:pStyle w:val="BodyText"/>
              <w:rPr>
                <w:lang w:eastAsia="en-AU"/>
              </w:rPr>
            </w:pPr>
            <w:r w:rsidRPr="009B6095">
              <w:rPr>
                <w:lang w:eastAsia="en-AU"/>
              </w:rPr>
              <w:t>In progress</w:t>
            </w:r>
          </w:p>
        </w:tc>
      </w:tr>
      <w:tr w:rsidR="00DE583C" w:rsidRPr="009B6095" w14:paraId="64CB520F" w14:textId="77777777" w:rsidTr="00BA0502">
        <w:trPr>
          <w:trHeight w:val="410"/>
        </w:trPr>
        <w:tc>
          <w:tcPr>
            <w:tcW w:w="1413" w:type="dxa"/>
            <w:vMerge/>
            <w:hideMark/>
          </w:tcPr>
          <w:p w14:paraId="37AC36DE" w14:textId="55BCB8D7" w:rsidR="00DE583C" w:rsidRPr="009B6095" w:rsidRDefault="00DE583C" w:rsidP="000D06BE">
            <w:pPr>
              <w:pStyle w:val="BodyText"/>
              <w:rPr>
                <w:lang w:eastAsia="en-AU"/>
              </w:rPr>
            </w:pPr>
          </w:p>
        </w:tc>
        <w:tc>
          <w:tcPr>
            <w:tcW w:w="4824" w:type="dxa"/>
            <w:hideMark/>
          </w:tcPr>
          <w:p w14:paraId="64C1C268" w14:textId="77777777" w:rsidR="00DE583C" w:rsidRPr="009B6095" w:rsidRDefault="00DE583C" w:rsidP="000D06BE">
            <w:pPr>
              <w:pStyle w:val="BodyText"/>
              <w:rPr>
                <w:lang w:eastAsia="en-AU"/>
              </w:rPr>
            </w:pPr>
            <w:r w:rsidRPr="009B6095">
              <w:rPr>
                <w:lang w:eastAsia="en-AU"/>
              </w:rPr>
              <w:t>Continue delivering additional funding of up to (Investment Id xxx) million committed by the Australian Government for road safety improvements between 2020–21 and 2022–23. Improvement works include shoulder sealing, audio tactile line marking, intersection improvements and barriers to prevent road crashes.</w:t>
            </w:r>
          </w:p>
        </w:tc>
        <w:tc>
          <w:tcPr>
            <w:tcW w:w="1838" w:type="dxa"/>
            <w:hideMark/>
          </w:tcPr>
          <w:p w14:paraId="784BEEDD" w14:textId="77777777" w:rsidR="00DE583C" w:rsidRPr="009B6095" w:rsidRDefault="00DE583C" w:rsidP="000D06BE">
            <w:pPr>
              <w:pStyle w:val="BodyText"/>
              <w:rPr>
                <w:lang w:eastAsia="en-AU"/>
              </w:rPr>
            </w:pPr>
            <w:r w:rsidRPr="009B6095">
              <w:rPr>
                <w:lang w:eastAsia="en-AU"/>
              </w:rPr>
              <w:t>Supporting jobs</w:t>
            </w:r>
          </w:p>
        </w:tc>
        <w:tc>
          <w:tcPr>
            <w:tcW w:w="1134" w:type="dxa"/>
            <w:hideMark/>
          </w:tcPr>
          <w:p w14:paraId="14178162" w14:textId="77777777" w:rsidR="00DE583C" w:rsidRPr="009B6095" w:rsidRDefault="00DE583C" w:rsidP="000D06BE">
            <w:pPr>
              <w:pStyle w:val="BodyText"/>
              <w:rPr>
                <w:lang w:eastAsia="en-AU"/>
              </w:rPr>
            </w:pPr>
            <w:r w:rsidRPr="009B6095">
              <w:rPr>
                <w:lang w:eastAsia="en-AU"/>
              </w:rPr>
              <w:t>In progress</w:t>
            </w:r>
          </w:p>
        </w:tc>
      </w:tr>
      <w:tr w:rsidR="00DE583C" w:rsidRPr="009B6095" w14:paraId="720BB123" w14:textId="77777777" w:rsidTr="009B6095">
        <w:trPr>
          <w:trHeight w:val="280"/>
        </w:trPr>
        <w:tc>
          <w:tcPr>
            <w:tcW w:w="1413" w:type="dxa"/>
            <w:vMerge/>
            <w:noWrap/>
            <w:hideMark/>
          </w:tcPr>
          <w:p w14:paraId="6717F1E6" w14:textId="77777777" w:rsidR="00DE583C" w:rsidRPr="009B6095" w:rsidRDefault="00DE583C" w:rsidP="000D06BE">
            <w:pPr>
              <w:pStyle w:val="BodyText"/>
              <w:rPr>
                <w:lang w:eastAsia="en-AU"/>
              </w:rPr>
            </w:pPr>
          </w:p>
        </w:tc>
        <w:tc>
          <w:tcPr>
            <w:tcW w:w="4824" w:type="dxa"/>
            <w:hideMark/>
          </w:tcPr>
          <w:p w14:paraId="1CA7E657" w14:textId="77777777" w:rsidR="00DE583C" w:rsidRPr="009B6095" w:rsidRDefault="00DE583C" w:rsidP="000D06BE">
            <w:pPr>
              <w:pStyle w:val="BodyText"/>
              <w:rPr>
                <w:lang w:eastAsia="en-AU"/>
              </w:rPr>
            </w:pPr>
            <w:r w:rsidRPr="009B6095">
              <w:rPr>
                <w:lang w:eastAsia="en-AU"/>
              </w:rPr>
              <w:t>Delivering the $335.7 million New Generation Rollingstock accessibility upgrades on 75 trains at Maryborough in the Fraser Coast Region.</w:t>
            </w:r>
          </w:p>
        </w:tc>
        <w:tc>
          <w:tcPr>
            <w:tcW w:w="1838" w:type="dxa"/>
            <w:noWrap/>
            <w:hideMark/>
          </w:tcPr>
          <w:p w14:paraId="703C4CA7" w14:textId="77777777" w:rsidR="00DE583C" w:rsidRPr="009B6095" w:rsidRDefault="00DE583C" w:rsidP="000D06BE">
            <w:pPr>
              <w:pStyle w:val="BodyText"/>
              <w:rPr>
                <w:lang w:eastAsia="en-AU"/>
              </w:rPr>
            </w:pPr>
            <w:r w:rsidRPr="009B6095">
              <w:rPr>
                <w:lang w:eastAsia="en-AU"/>
              </w:rPr>
              <w:t>Making it for Queensland</w:t>
            </w:r>
          </w:p>
        </w:tc>
        <w:tc>
          <w:tcPr>
            <w:tcW w:w="1134" w:type="dxa"/>
            <w:hideMark/>
          </w:tcPr>
          <w:p w14:paraId="54559396" w14:textId="77777777" w:rsidR="00DE583C" w:rsidRPr="009B6095" w:rsidRDefault="00DE583C" w:rsidP="000D06BE">
            <w:pPr>
              <w:pStyle w:val="BodyText"/>
              <w:rPr>
                <w:lang w:eastAsia="en-AU"/>
              </w:rPr>
            </w:pPr>
            <w:r w:rsidRPr="009B6095">
              <w:rPr>
                <w:lang w:eastAsia="en-AU"/>
              </w:rPr>
              <w:t>In progress</w:t>
            </w:r>
          </w:p>
        </w:tc>
      </w:tr>
      <w:tr w:rsidR="00DE583C" w:rsidRPr="009B6095" w14:paraId="08D5E3D4" w14:textId="77777777" w:rsidTr="009B6095">
        <w:trPr>
          <w:trHeight w:val="280"/>
        </w:trPr>
        <w:tc>
          <w:tcPr>
            <w:tcW w:w="1413" w:type="dxa"/>
            <w:vMerge/>
            <w:noWrap/>
            <w:hideMark/>
          </w:tcPr>
          <w:p w14:paraId="45978F24" w14:textId="77777777" w:rsidR="00DE583C" w:rsidRPr="009B6095" w:rsidRDefault="00DE583C" w:rsidP="000D06BE">
            <w:pPr>
              <w:pStyle w:val="BodyText"/>
              <w:rPr>
                <w:lang w:eastAsia="en-AU"/>
              </w:rPr>
            </w:pPr>
          </w:p>
        </w:tc>
        <w:tc>
          <w:tcPr>
            <w:tcW w:w="4824" w:type="dxa"/>
            <w:hideMark/>
          </w:tcPr>
          <w:p w14:paraId="625B22A1" w14:textId="77777777" w:rsidR="00DE583C" w:rsidRPr="009B6095" w:rsidRDefault="00DE583C" w:rsidP="000D06BE">
            <w:pPr>
              <w:pStyle w:val="BodyText"/>
              <w:rPr>
                <w:lang w:eastAsia="en-AU"/>
              </w:rPr>
            </w:pPr>
            <w:r w:rsidRPr="009B6095">
              <w:rPr>
                <w:lang w:eastAsia="en-AU"/>
              </w:rPr>
              <w:t>Delivered the Ipswich Connected Vehicle Pilot, which involved retrofitting 355 public participant vehicles with connected vehicle technology that generated safety warnings to alert drivers of potential hazards.</w:t>
            </w:r>
          </w:p>
        </w:tc>
        <w:tc>
          <w:tcPr>
            <w:tcW w:w="1838" w:type="dxa"/>
            <w:noWrap/>
            <w:hideMark/>
          </w:tcPr>
          <w:p w14:paraId="5D4C706D" w14:textId="77777777" w:rsidR="00DE583C" w:rsidRPr="009B6095" w:rsidRDefault="00DE583C" w:rsidP="000D06BE">
            <w:pPr>
              <w:pStyle w:val="BodyText"/>
              <w:rPr>
                <w:lang w:eastAsia="en-AU"/>
              </w:rPr>
            </w:pPr>
            <w:r w:rsidRPr="009B6095">
              <w:rPr>
                <w:lang w:eastAsia="en-AU"/>
              </w:rPr>
              <w:t>Making it for Queensland</w:t>
            </w:r>
          </w:p>
        </w:tc>
        <w:tc>
          <w:tcPr>
            <w:tcW w:w="1134" w:type="dxa"/>
            <w:hideMark/>
          </w:tcPr>
          <w:p w14:paraId="5881DBB0" w14:textId="77777777" w:rsidR="00DE583C" w:rsidRPr="009B6095" w:rsidRDefault="00DE583C" w:rsidP="000D06BE">
            <w:pPr>
              <w:pStyle w:val="BodyText"/>
              <w:rPr>
                <w:lang w:eastAsia="en-AU"/>
              </w:rPr>
            </w:pPr>
            <w:r w:rsidRPr="009B6095">
              <w:rPr>
                <w:lang w:eastAsia="en-AU"/>
              </w:rPr>
              <w:t>Completed</w:t>
            </w:r>
          </w:p>
        </w:tc>
      </w:tr>
      <w:tr w:rsidR="00DE583C" w:rsidRPr="009B6095" w14:paraId="212F5276" w14:textId="77777777" w:rsidTr="009B6095">
        <w:trPr>
          <w:trHeight w:val="280"/>
        </w:trPr>
        <w:tc>
          <w:tcPr>
            <w:tcW w:w="1413" w:type="dxa"/>
            <w:vMerge/>
            <w:noWrap/>
            <w:hideMark/>
          </w:tcPr>
          <w:p w14:paraId="1091FD48" w14:textId="77777777" w:rsidR="00DE583C" w:rsidRPr="009B6095" w:rsidRDefault="00DE583C" w:rsidP="000D06BE">
            <w:pPr>
              <w:pStyle w:val="BodyText"/>
              <w:rPr>
                <w:lang w:eastAsia="en-AU"/>
              </w:rPr>
            </w:pPr>
          </w:p>
        </w:tc>
        <w:tc>
          <w:tcPr>
            <w:tcW w:w="4824" w:type="dxa"/>
            <w:hideMark/>
          </w:tcPr>
          <w:p w14:paraId="4BAE6EA6" w14:textId="77777777" w:rsidR="00DE583C" w:rsidRPr="009B6095" w:rsidRDefault="00DE583C" w:rsidP="000D06BE">
            <w:pPr>
              <w:pStyle w:val="BodyText"/>
              <w:rPr>
                <w:lang w:eastAsia="en-AU"/>
              </w:rPr>
            </w:pPr>
            <w:r w:rsidRPr="009B6095">
              <w:rPr>
                <w:lang w:eastAsia="en-AU"/>
              </w:rPr>
              <w:t>Delivering the Cooperative and Highly Automated Driving pilot to research the potential safety impacts of introducing connected and automated vehicles on Queensland roads.</w:t>
            </w:r>
          </w:p>
        </w:tc>
        <w:tc>
          <w:tcPr>
            <w:tcW w:w="1838" w:type="dxa"/>
            <w:noWrap/>
            <w:hideMark/>
          </w:tcPr>
          <w:p w14:paraId="7DD7B8AF" w14:textId="77777777" w:rsidR="00DE583C" w:rsidRPr="009B6095" w:rsidRDefault="00DE583C" w:rsidP="000D06BE">
            <w:pPr>
              <w:pStyle w:val="BodyText"/>
              <w:rPr>
                <w:lang w:eastAsia="en-AU"/>
              </w:rPr>
            </w:pPr>
            <w:r w:rsidRPr="009B6095">
              <w:rPr>
                <w:lang w:eastAsia="en-AU"/>
              </w:rPr>
              <w:t>Making it for Queensland</w:t>
            </w:r>
          </w:p>
        </w:tc>
        <w:tc>
          <w:tcPr>
            <w:tcW w:w="1134" w:type="dxa"/>
            <w:hideMark/>
          </w:tcPr>
          <w:p w14:paraId="57D4FE5E" w14:textId="77777777" w:rsidR="00DE583C" w:rsidRPr="009B6095" w:rsidRDefault="00DE583C" w:rsidP="000D06BE">
            <w:pPr>
              <w:pStyle w:val="BodyText"/>
              <w:rPr>
                <w:lang w:eastAsia="en-AU"/>
              </w:rPr>
            </w:pPr>
            <w:r w:rsidRPr="009B6095">
              <w:rPr>
                <w:lang w:eastAsia="en-AU"/>
              </w:rPr>
              <w:t>In progress</w:t>
            </w:r>
          </w:p>
        </w:tc>
      </w:tr>
      <w:tr w:rsidR="00DE583C" w:rsidRPr="009B6095" w14:paraId="28780CAD" w14:textId="77777777" w:rsidTr="009B6095">
        <w:trPr>
          <w:trHeight w:val="280"/>
        </w:trPr>
        <w:tc>
          <w:tcPr>
            <w:tcW w:w="1413" w:type="dxa"/>
            <w:vMerge/>
            <w:noWrap/>
            <w:hideMark/>
          </w:tcPr>
          <w:p w14:paraId="2F7B4B71" w14:textId="77777777" w:rsidR="00DE583C" w:rsidRPr="009B6095" w:rsidRDefault="00DE583C" w:rsidP="000D06BE">
            <w:pPr>
              <w:pStyle w:val="BodyText"/>
              <w:rPr>
                <w:lang w:eastAsia="en-AU"/>
              </w:rPr>
            </w:pPr>
          </w:p>
        </w:tc>
        <w:tc>
          <w:tcPr>
            <w:tcW w:w="4824" w:type="dxa"/>
            <w:hideMark/>
          </w:tcPr>
          <w:p w14:paraId="2809E7F9" w14:textId="77777777" w:rsidR="00DE583C" w:rsidRPr="009B6095" w:rsidRDefault="00DE583C" w:rsidP="000D06BE">
            <w:pPr>
              <w:pStyle w:val="BodyText"/>
              <w:rPr>
                <w:lang w:eastAsia="en-AU"/>
              </w:rPr>
            </w:pPr>
            <w:r w:rsidRPr="009B6095">
              <w:rPr>
                <w:lang w:eastAsia="en-AU"/>
              </w:rPr>
              <w:t>Continued to oversee the development and delivery of the Smart Ticketing system in Queensland.</w:t>
            </w:r>
          </w:p>
        </w:tc>
        <w:tc>
          <w:tcPr>
            <w:tcW w:w="1838" w:type="dxa"/>
            <w:noWrap/>
            <w:hideMark/>
          </w:tcPr>
          <w:p w14:paraId="1F14FE98" w14:textId="77777777" w:rsidR="00DE583C" w:rsidRPr="009B6095" w:rsidRDefault="00DE583C" w:rsidP="000D06BE">
            <w:pPr>
              <w:pStyle w:val="BodyText"/>
              <w:rPr>
                <w:lang w:eastAsia="en-AU"/>
              </w:rPr>
            </w:pPr>
            <w:r w:rsidRPr="009B6095">
              <w:rPr>
                <w:lang w:eastAsia="en-AU"/>
              </w:rPr>
              <w:t>Making it for Queensland</w:t>
            </w:r>
          </w:p>
        </w:tc>
        <w:tc>
          <w:tcPr>
            <w:tcW w:w="1134" w:type="dxa"/>
            <w:hideMark/>
          </w:tcPr>
          <w:p w14:paraId="0377DD79" w14:textId="77777777" w:rsidR="00DE583C" w:rsidRPr="009B6095" w:rsidRDefault="00DE583C" w:rsidP="000D06BE">
            <w:pPr>
              <w:pStyle w:val="BodyText"/>
              <w:rPr>
                <w:lang w:eastAsia="en-AU"/>
              </w:rPr>
            </w:pPr>
            <w:r w:rsidRPr="009B6095">
              <w:rPr>
                <w:lang w:eastAsia="en-AU"/>
              </w:rPr>
              <w:t>In progress</w:t>
            </w:r>
          </w:p>
        </w:tc>
      </w:tr>
      <w:tr w:rsidR="00DE583C" w:rsidRPr="009B6095" w14:paraId="62AFB4F0" w14:textId="77777777" w:rsidTr="009B6095">
        <w:trPr>
          <w:trHeight w:val="280"/>
        </w:trPr>
        <w:tc>
          <w:tcPr>
            <w:tcW w:w="1413" w:type="dxa"/>
            <w:vMerge/>
            <w:noWrap/>
            <w:hideMark/>
          </w:tcPr>
          <w:p w14:paraId="208B18A6" w14:textId="77777777" w:rsidR="00DE583C" w:rsidRPr="009B6095" w:rsidRDefault="00DE583C" w:rsidP="000D06BE">
            <w:pPr>
              <w:pStyle w:val="BodyText"/>
              <w:rPr>
                <w:lang w:eastAsia="en-AU"/>
              </w:rPr>
            </w:pPr>
          </w:p>
        </w:tc>
        <w:tc>
          <w:tcPr>
            <w:tcW w:w="4824" w:type="dxa"/>
            <w:hideMark/>
          </w:tcPr>
          <w:p w14:paraId="133D5CF1" w14:textId="77777777" w:rsidR="00DE583C" w:rsidRPr="009B6095" w:rsidRDefault="00DE583C" w:rsidP="000D06BE">
            <w:pPr>
              <w:pStyle w:val="BodyText"/>
              <w:rPr>
                <w:lang w:eastAsia="en-AU"/>
              </w:rPr>
            </w:pPr>
            <w:r w:rsidRPr="009B6095">
              <w:rPr>
                <w:lang w:eastAsia="en-AU"/>
              </w:rPr>
              <w:t>Facilitated the delivery of transport-related projects, including three new Gold Coast train stations, to support patronage growth and improve rail access.</w:t>
            </w:r>
          </w:p>
        </w:tc>
        <w:tc>
          <w:tcPr>
            <w:tcW w:w="1838" w:type="dxa"/>
            <w:noWrap/>
            <w:hideMark/>
          </w:tcPr>
          <w:p w14:paraId="34234BB7" w14:textId="77777777" w:rsidR="00DE583C" w:rsidRPr="009B6095" w:rsidRDefault="00DE583C" w:rsidP="000D06BE">
            <w:pPr>
              <w:pStyle w:val="BodyText"/>
              <w:rPr>
                <w:lang w:eastAsia="en-AU"/>
              </w:rPr>
            </w:pPr>
            <w:r w:rsidRPr="009B6095">
              <w:rPr>
                <w:lang w:eastAsia="en-AU"/>
              </w:rPr>
              <w:t>Making it for Queensland</w:t>
            </w:r>
          </w:p>
        </w:tc>
        <w:tc>
          <w:tcPr>
            <w:tcW w:w="1134" w:type="dxa"/>
            <w:hideMark/>
          </w:tcPr>
          <w:p w14:paraId="491C6DDE" w14:textId="77777777" w:rsidR="00DE583C" w:rsidRPr="009B6095" w:rsidRDefault="00DE583C" w:rsidP="000D06BE">
            <w:pPr>
              <w:pStyle w:val="BodyText"/>
              <w:rPr>
                <w:lang w:eastAsia="en-AU"/>
              </w:rPr>
            </w:pPr>
            <w:r w:rsidRPr="009B6095">
              <w:rPr>
                <w:lang w:eastAsia="en-AU"/>
              </w:rPr>
              <w:t>In progress</w:t>
            </w:r>
          </w:p>
        </w:tc>
      </w:tr>
      <w:tr w:rsidR="00DE583C" w:rsidRPr="009B6095" w14:paraId="1B29BCE9" w14:textId="77777777" w:rsidTr="009B6095">
        <w:trPr>
          <w:trHeight w:val="280"/>
        </w:trPr>
        <w:tc>
          <w:tcPr>
            <w:tcW w:w="1413" w:type="dxa"/>
            <w:vMerge/>
            <w:noWrap/>
            <w:hideMark/>
          </w:tcPr>
          <w:p w14:paraId="09BD4C7C" w14:textId="77777777" w:rsidR="00DE583C" w:rsidRPr="009B6095" w:rsidRDefault="00DE583C" w:rsidP="000D06BE">
            <w:pPr>
              <w:pStyle w:val="BodyText"/>
              <w:rPr>
                <w:lang w:eastAsia="en-AU"/>
              </w:rPr>
            </w:pPr>
          </w:p>
        </w:tc>
        <w:tc>
          <w:tcPr>
            <w:tcW w:w="4824" w:type="dxa"/>
            <w:hideMark/>
          </w:tcPr>
          <w:p w14:paraId="3E2BD6BC" w14:textId="77777777" w:rsidR="00DE583C" w:rsidRPr="009B6095" w:rsidRDefault="00DE583C" w:rsidP="000D06BE">
            <w:pPr>
              <w:pStyle w:val="BodyText"/>
              <w:rPr>
                <w:lang w:eastAsia="en-AU"/>
              </w:rPr>
            </w:pPr>
            <w:r w:rsidRPr="009B6095">
              <w:rPr>
                <w:lang w:eastAsia="en-AU"/>
              </w:rPr>
              <w:t>Continued investment in the Mount Isa to Townsville rail line and worked with the Mount Isa to Townsville Economic Zone group to identify opportunities for future investment in freight, transport and logistics hubs to maximise freight movement efficiency.</w:t>
            </w:r>
          </w:p>
        </w:tc>
        <w:tc>
          <w:tcPr>
            <w:tcW w:w="1838" w:type="dxa"/>
            <w:noWrap/>
            <w:hideMark/>
          </w:tcPr>
          <w:p w14:paraId="32D9D226" w14:textId="77777777" w:rsidR="00DE583C" w:rsidRPr="009B6095" w:rsidRDefault="00DE583C" w:rsidP="000D06BE">
            <w:pPr>
              <w:pStyle w:val="BodyText"/>
              <w:rPr>
                <w:lang w:eastAsia="en-AU"/>
              </w:rPr>
            </w:pPr>
            <w:r w:rsidRPr="009B6095">
              <w:rPr>
                <w:lang w:eastAsia="en-AU"/>
              </w:rPr>
              <w:t>Building Queensland</w:t>
            </w:r>
          </w:p>
        </w:tc>
        <w:tc>
          <w:tcPr>
            <w:tcW w:w="1134" w:type="dxa"/>
            <w:hideMark/>
          </w:tcPr>
          <w:p w14:paraId="695FCC33" w14:textId="77777777" w:rsidR="00DE583C" w:rsidRPr="009B6095" w:rsidRDefault="00DE583C" w:rsidP="000D06BE">
            <w:pPr>
              <w:pStyle w:val="BodyText"/>
              <w:rPr>
                <w:lang w:eastAsia="en-AU"/>
              </w:rPr>
            </w:pPr>
            <w:r w:rsidRPr="009B6095">
              <w:rPr>
                <w:lang w:eastAsia="en-AU"/>
              </w:rPr>
              <w:t>In progress</w:t>
            </w:r>
          </w:p>
        </w:tc>
      </w:tr>
      <w:tr w:rsidR="00DE583C" w:rsidRPr="009B6095" w14:paraId="3A4A41D8" w14:textId="77777777" w:rsidTr="009B6095">
        <w:trPr>
          <w:trHeight w:val="280"/>
        </w:trPr>
        <w:tc>
          <w:tcPr>
            <w:tcW w:w="1413" w:type="dxa"/>
            <w:vMerge/>
            <w:noWrap/>
            <w:hideMark/>
          </w:tcPr>
          <w:p w14:paraId="2B40FE34" w14:textId="77777777" w:rsidR="00DE583C" w:rsidRPr="009B6095" w:rsidRDefault="00DE583C" w:rsidP="000D06BE">
            <w:pPr>
              <w:pStyle w:val="BodyText"/>
              <w:rPr>
                <w:lang w:eastAsia="en-AU"/>
              </w:rPr>
            </w:pPr>
          </w:p>
        </w:tc>
        <w:tc>
          <w:tcPr>
            <w:tcW w:w="4824" w:type="dxa"/>
            <w:hideMark/>
          </w:tcPr>
          <w:p w14:paraId="7764D645" w14:textId="77777777" w:rsidR="00DE583C" w:rsidRPr="009B6095" w:rsidRDefault="00DE583C" w:rsidP="000D06BE">
            <w:pPr>
              <w:pStyle w:val="BodyText"/>
              <w:rPr>
                <w:lang w:eastAsia="en-AU"/>
              </w:rPr>
            </w:pPr>
            <w:r w:rsidRPr="009B6095">
              <w:rPr>
                <w:lang w:eastAsia="en-AU"/>
              </w:rPr>
              <w:t>Delivering a $1 billion pipeline of train building work in Maryborough and strengthening regional supply chains, including Rockhampton.</w:t>
            </w:r>
          </w:p>
        </w:tc>
        <w:tc>
          <w:tcPr>
            <w:tcW w:w="1838" w:type="dxa"/>
            <w:noWrap/>
            <w:hideMark/>
          </w:tcPr>
          <w:p w14:paraId="727D1CE9" w14:textId="77777777" w:rsidR="00DE583C" w:rsidRPr="009B6095" w:rsidRDefault="00DE583C" w:rsidP="000D06BE">
            <w:pPr>
              <w:pStyle w:val="BodyText"/>
              <w:rPr>
                <w:lang w:eastAsia="en-AU"/>
              </w:rPr>
            </w:pPr>
            <w:r w:rsidRPr="009B6095">
              <w:rPr>
                <w:lang w:eastAsia="en-AU"/>
              </w:rPr>
              <w:t>Building Queensland</w:t>
            </w:r>
          </w:p>
        </w:tc>
        <w:tc>
          <w:tcPr>
            <w:tcW w:w="1134" w:type="dxa"/>
            <w:hideMark/>
          </w:tcPr>
          <w:p w14:paraId="44CAFC9F" w14:textId="77777777" w:rsidR="00DE583C" w:rsidRPr="009B6095" w:rsidRDefault="00DE583C" w:rsidP="000D06BE">
            <w:pPr>
              <w:pStyle w:val="BodyText"/>
              <w:rPr>
                <w:lang w:eastAsia="en-AU"/>
              </w:rPr>
            </w:pPr>
            <w:r w:rsidRPr="009B6095">
              <w:rPr>
                <w:lang w:eastAsia="en-AU"/>
              </w:rPr>
              <w:t>In progress</w:t>
            </w:r>
          </w:p>
        </w:tc>
      </w:tr>
      <w:tr w:rsidR="00DE583C" w:rsidRPr="009B6095" w14:paraId="32FD2049" w14:textId="77777777" w:rsidTr="009B6095">
        <w:trPr>
          <w:trHeight w:val="280"/>
        </w:trPr>
        <w:tc>
          <w:tcPr>
            <w:tcW w:w="1413" w:type="dxa"/>
            <w:vMerge/>
            <w:noWrap/>
            <w:hideMark/>
          </w:tcPr>
          <w:p w14:paraId="4DCCCC64" w14:textId="77777777" w:rsidR="00DE583C" w:rsidRPr="009B6095" w:rsidRDefault="00DE583C" w:rsidP="000D06BE">
            <w:pPr>
              <w:pStyle w:val="BodyText"/>
              <w:rPr>
                <w:lang w:eastAsia="en-AU"/>
              </w:rPr>
            </w:pPr>
          </w:p>
        </w:tc>
        <w:tc>
          <w:tcPr>
            <w:tcW w:w="4824" w:type="dxa"/>
            <w:hideMark/>
          </w:tcPr>
          <w:p w14:paraId="44C9F8C3" w14:textId="77777777" w:rsidR="00DE583C" w:rsidRPr="009B6095" w:rsidRDefault="00DE583C" w:rsidP="000D06BE">
            <w:pPr>
              <w:pStyle w:val="BodyText"/>
              <w:rPr>
                <w:lang w:eastAsia="en-AU"/>
              </w:rPr>
            </w:pPr>
            <w:r w:rsidRPr="009B6095">
              <w:rPr>
                <w:lang w:eastAsia="en-AU"/>
              </w:rPr>
              <w:t>Employed 42 First Nation trainees currently engaged in certificate III traineeships across Queensland in RoadTek.</w:t>
            </w:r>
          </w:p>
        </w:tc>
        <w:tc>
          <w:tcPr>
            <w:tcW w:w="1838" w:type="dxa"/>
            <w:noWrap/>
            <w:hideMark/>
          </w:tcPr>
          <w:p w14:paraId="135921EA" w14:textId="77777777" w:rsidR="00DE583C" w:rsidRPr="009B6095" w:rsidRDefault="00DE583C" w:rsidP="000D06BE">
            <w:pPr>
              <w:pStyle w:val="BodyText"/>
              <w:rPr>
                <w:lang w:eastAsia="en-AU"/>
              </w:rPr>
            </w:pPr>
            <w:r w:rsidRPr="009B6095">
              <w:rPr>
                <w:lang w:eastAsia="en-AU"/>
              </w:rPr>
              <w:t>Investing in skills</w:t>
            </w:r>
          </w:p>
        </w:tc>
        <w:tc>
          <w:tcPr>
            <w:tcW w:w="1134" w:type="dxa"/>
            <w:hideMark/>
          </w:tcPr>
          <w:p w14:paraId="5D76D603" w14:textId="77777777" w:rsidR="00DE583C" w:rsidRPr="009B6095" w:rsidRDefault="00DE583C" w:rsidP="000D06BE">
            <w:pPr>
              <w:pStyle w:val="BodyText"/>
              <w:rPr>
                <w:lang w:eastAsia="en-AU"/>
              </w:rPr>
            </w:pPr>
            <w:r w:rsidRPr="009B6095">
              <w:rPr>
                <w:lang w:eastAsia="en-AU"/>
              </w:rPr>
              <w:t>In progress</w:t>
            </w:r>
          </w:p>
        </w:tc>
      </w:tr>
      <w:tr w:rsidR="00DE583C" w:rsidRPr="009B6095" w14:paraId="5B4257AD" w14:textId="77777777" w:rsidTr="009B6095">
        <w:trPr>
          <w:trHeight w:val="280"/>
        </w:trPr>
        <w:tc>
          <w:tcPr>
            <w:tcW w:w="1413" w:type="dxa"/>
            <w:vMerge/>
            <w:noWrap/>
            <w:hideMark/>
          </w:tcPr>
          <w:p w14:paraId="33CC5947" w14:textId="77777777" w:rsidR="00DE583C" w:rsidRPr="009B6095" w:rsidRDefault="00DE583C" w:rsidP="000D06BE">
            <w:pPr>
              <w:pStyle w:val="BodyText"/>
              <w:rPr>
                <w:lang w:eastAsia="en-AU"/>
              </w:rPr>
            </w:pPr>
          </w:p>
        </w:tc>
        <w:tc>
          <w:tcPr>
            <w:tcW w:w="4824" w:type="dxa"/>
            <w:hideMark/>
          </w:tcPr>
          <w:p w14:paraId="4189BA95" w14:textId="1A4ADD60" w:rsidR="00DE583C" w:rsidRPr="009B6095" w:rsidRDefault="007C1F52" w:rsidP="000D06BE">
            <w:pPr>
              <w:pStyle w:val="BodyText"/>
              <w:rPr>
                <w:lang w:eastAsia="en-AU"/>
              </w:rPr>
            </w:pPr>
            <w:r w:rsidRPr="009B6095">
              <w:rPr>
                <w:lang w:eastAsia="en-AU"/>
              </w:rPr>
              <w:t>Undertook</w:t>
            </w:r>
            <w:r w:rsidR="00DE583C" w:rsidRPr="009B6095">
              <w:rPr>
                <w:lang w:eastAsia="en-AU"/>
              </w:rPr>
              <w:t xml:space="preserve"> Recognise, Respond, Refer domestic and family violence training with 6380 employees.</w:t>
            </w:r>
          </w:p>
        </w:tc>
        <w:tc>
          <w:tcPr>
            <w:tcW w:w="1838" w:type="dxa"/>
            <w:noWrap/>
            <w:hideMark/>
          </w:tcPr>
          <w:p w14:paraId="5BC7AC09" w14:textId="77777777" w:rsidR="00DE583C" w:rsidRPr="009B6095" w:rsidRDefault="00DE583C" w:rsidP="000D06BE">
            <w:pPr>
              <w:pStyle w:val="BodyText"/>
              <w:rPr>
                <w:lang w:eastAsia="en-AU"/>
              </w:rPr>
            </w:pPr>
            <w:r w:rsidRPr="009B6095">
              <w:rPr>
                <w:lang w:eastAsia="en-AU"/>
              </w:rPr>
              <w:t>Investing in skills</w:t>
            </w:r>
          </w:p>
        </w:tc>
        <w:tc>
          <w:tcPr>
            <w:tcW w:w="1134" w:type="dxa"/>
            <w:hideMark/>
          </w:tcPr>
          <w:p w14:paraId="161FC12B" w14:textId="77777777" w:rsidR="00DE583C" w:rsidRPr="009B6095" w:rsidRDefault="00DE583C" w:rsidP="000D06BE">
            <w:pPr>
              <w:pStyle w:val="BodyText"/>
              <w:rPr>
                <w:lang w:eastAsia="en-AU"/>
              </w:rPr>
            </w:pPr>
            <w:r w:rsidRPr="009B6095">
              <w:rPr>
                <w:lang w:eastAsia="en-AU"/>
              </w:rPr>
              <w:t>Ongoing</w:t>
            </w:r>
          </w:p>
        </w:tc>
      </w:tr>
      <w:tr w:rsidR="00DE583C" w:rsidRPr="009B6095" w14:paraId="3B46C734" w14:textId="77777777" w:rsidTr="009B6095">
        <w:trPr>
          <w:trHeight w:val="280"/>
        </w:trPr>
        <w:tc>
          <w:tcPr>
            <w:tcW w:w="1413" w:type="dxa"/>
            <w:vMerge/>
            <w:noWrap/>
            <w:hideMark/>
          </w:tcPr>
          <w:p w14:paraId="1B2A6583" w14:textId="77777777" w:rsidR="00DE583C" w:rsidRPr="009B6095" w:rsidRDefault="00DE583C" w:rsidP="000D06BE">
            <w:pPr>
              <w:pStyle w:val="BodyText"/>
              <w:rPr>
                <w:lang w:eastAsia="en-AU"/>
              </w:rPr>
            </w:pPr>
          </w:p>
        </w:tc>
        <w:tc>
          <w:tcPr>
            <w:tcW w:w="4824" w:type="dxa"/>
            <w:hideMark/>
          </w:tcPr>
          <w:p w14:paraId="44850804" w14:textId="77777777" w:rsidR="00DE583C" w:rsidRPr="009B6095" w:rsidRDefault="00DE583C" w:rsidP="000D06BE">
            <w:pPr>
              <w:pStyle w:val="BodyText"/>
              <w:rPr>
                <w:lang w:eastAsia="en-AU"/>
              </w:rPr>
            </w:pPr>
            <w:r w:rsidRPr="009B6095">
              <w:rPr>
                <w:lang w:eastAsia="en-AU"/>
              </w:rPr>
              <w:t>More than 1500 employees completed face-to-face Motivating Action Through Empowerment (MATE) Bystander training.</w:t>
            </w:r>
          </w:p>
        </w:tc>
        <w:tc>
          <w:tcPr>
            <w:tcW w:w="1838" w:type="dxa"/>
            <w:noWrap/>
            <w:hideMark/>
          </w:tcPr>
          <w:p w14:paraId="3E91487C" w14:textId="77777777" w:rsidR="00DE583C" w:rsidRPr="009B6095" w:rsidRDefault="00DE583C" w:rsidP="000D06BE">
            <w:pPr>
              <w:pStyle w:val="BodyText"/>
              <w:rPr>
                <w:lang w:eastAsia="en-AU"/>
              </w:rPr>
            </w:pPr>
            <w:r w:rsidRPr="009B6095">
              <w:rPr>
                <w:lang w:eastAsia="en-AU"/>
              </w:rPr>
              <w:t>Investing in skills</w:t>
            </w:r>
          </w:p>
        </w:tc>
        <w:tc>
          <w:tcPr>
            <w:tcW w:w="1134" w:type="dxa"/>
            <w:hideMark/>
          </w:tcPr>
          <w:p w14:paraId="66969E60" w14:textId="77777777" w:rsidR="00DE583C" w:rsidRPr="009B6095" w:rsidRDefault="00DE583C" w:rsidP="000D06BE">
            <w:pPr>
              <w:pStyle w:val="BodyText"/>
              <w:rPr>
                <w:lang w:eastAsia="en-AU"/>
              </w:rPr>
            </w:pPr>
            <w:r w:rsidRPr="009B6095">
              <w:rPr>
                <w:lang w:eastAsia="en-AU"/>
              </w:rPr>
              <w:t>Ongoing</w:t>
            </w:r>
          </w:p>
        </w:tc>
      </w:tr>
      <w:tr w:rsidR="00DE583C" w:rsidRPr="009B6095" w14:paraId="672A43DB" w14:textId="77777777" w:rsidTr="009B6095">
        <w:trPr>
          <w:trHeight w:val="280"/>
        </w:trPr>
        <w:tc>
          <w:tcPr>
            <w:tcW w:w="1413" w:type="dxa"/>
            <w:vMerge/>
            <w:noWrap/>
            <w:hideMark/>
          </w:tcPr>
          <w:p w14:paraId="2554F92C" w14:textId="77777777" w:rsidR="00DE583C" w:rsidRPr="009B6095" w:rsidRDefault="00DE583C" w:rsidP="000D06BE">
            <w:pPr>
              <w:pStyle w:val="BodyText"/>
              <w:rPr>
                <w:lang w:eastAsia="en-AU"/>
              </w:rPr>
            </w:pPr>
          </w:p>
        </w:tc>
        <w:tc>
          <w:tcPr>
            <w:tcW w:w="4824" w:type="dxa"/>
            <w:hideMark/>
          </w:tcPr>
          <w:p w14:paraId="47E7DA4F" w14:textId="77777777" w:rsidR="00DE583C" w:rsidRPr="009B6095" w:rsidRDefault="00DE583C" w:rsidP="000D06BE">
            <w:pPr>
              <w:pStyle w:val="BodyText"/>
              <w:rPr>
                <w:lang w:eastAsia="en-AU"/>
              </w:rPr>
            </w:pPr>
            <w:r w:rsidRPr="009B6095">
              <w:rPr>
                <w:lang w:eastAsia="en-AU"/>
              </w:rPr>
              <w:t>Seventh Women in Construction Program commenced in February 2022, with 20 participants, the largest cohort to date.</w:t>
            </w:r>
          </w:p>
        </w:tc>
        <w:tc>
          <w:tcPr>
            <w:tcW w:w="1838" w:type="dxa"/>
            <w:noWrap/>
            <w:hideMark/>
          </w:tcPr>
          <w:p w14:paraId="24AEF3EC" w14:textId="77777777" w:rsidR="00DE583C" w:rsidRPr="009B6095" w:rsidRDefault="00DE583C" w:rsidP="000D06BE">
            <w:pPr>
              <w:pStyle w:val="BodyText"/>
              <w:rPr>
                <w:lang w:eastAsia="en-AU"/>
              </w:rPr>
            </w:pPr>
            <w:r w:rsidRPr="009B6095">
              <w:rPr>
                <w:lang w:eastAsia="en-AU"/>
              </w:rPr>
              <w:t>Investing in skills</w:t>
            </w:r>
          </w:p>
        </w:tc>
        <w:tc>
          <w:tcPr>
            <w:tcW w:w="1134" w:type="dxa"/>
            <w:hideMark/>
          </w:tcPr>
          <w:p w14:paraId="66D07BCD" w14:textId="77777777" w:rsidR="00DE583C" w:rsidRPr="009B6095" w:rsidRDefault="00DE583C" w:rsidP="000D06BE">
            <w:pPr>
              <w:pStyle w:val="BodyText"/>
              <w:rPr>
                <w:lang w:eastAsia="en-AU"/>
              </w:rPr>
            </w:pPr>
            <w:r w:rsidRPr="009B6095">
              <w:rPr>
                <w:lang w:eastAsia="en-AU"/>
              </w:rPr>
              <w:t>Ongoing</w:t>
            </w:r>
          </w:p>
        </w:tc>
      </w:tr>
      <w:tr w:rsidR="00DE583C" w:rsidRPr="009B6095" w14:paraId="396BCEA1" w14:textId="77777777" w:rsidTr="009B6095">
        <w:trPr>
          <w:trHeight w:val="280"/>
        </w:trPr>
        <w:tc>
          <w:tcPr>
            <w:tcW w:w="1413" w:type="dxa"/>
            <w:vMerge/>
            <w:noWrap/>
            <w:hideMark/>
          </w:tcPr>
          <w:p w14:paraId="5B7A2756" w14:textId="77777777" w:rsidR="00DE583C" w:rsidRPr="009B6095" w:rsidRDefault="00DE583C" w:rsidP="000D06BE">
            <w:pPr>
              <w:pStyle w:val="BodyText"/>
              <w:rPr>
                <w:lang w:eastAsia="en-AU"/>
              </w:rPr>
            </w:pPr>
          </w:p>
        </w:tc>
        <w:tc>
          <w:tcPr>
            <w:tcW w:w="4824" w:type="dxa"/>
            <w:hideMark/>
          </w:tcPr>
          <w:p w14:paraId="7843F4F7" w14:textId="77777777" w:rsidR="00DE583C" w:rsidRPr="009B6095" w:rsidRDefault="00DE583C" w:rsidP="000D06BE">
            <w:pPr>
              <w:pStyle w:val="BodyText"/>
              <w:rPr>
                <w:lang w:eastAsia="en-AU"/>
              </w:rPr>
            </w:pPr>
            <w:r w:rsidRPr="009B6095">
              <w:rPr>
                <w:lang w:eastAsia="en-AU"/>
              </w:rPr>
              <w:t xml:space="preserve">Welcomed 4 Maritime Safety Queensland (MSQ) trainees based in Cairns, Townsville, Mackay, and Hervey Bay, supporting employment and training opportunities for young Queenslanders.  </w:t>
            </w:r>
          </w:p>
        </w:tc>
        <w:tc>
          <w:tcPr>
            <w:tcW w:w="1838" w:type="dxa"/>
            <w:noWrap/>
            <w:hideMark/>
          </w:tcPr>
          <w:p w14:paraId="6219A90E" w14:textId="77777777" w:rsidR="00DE583C" w:rsidRPr="009B6095" w:rsidRDefault="00DE583C" w:rsidP="000D06BE">
            <w:pPr>
              <w:pStyle w:val="BodyText"/>
              <w:rPr>
                <w:lang w:eastAsia="en-AU"/>
              </w:rPr>
            </w:pPr>
            <w:r w:rsidRPr="009B6095">
              <w:rPr>
                <w:lang w:eastAsia="en-AU"/>
              </w:rPr>
              <w:t>Investing in skills</w:t>
            </w:r>
          </w:p>
        </w:tc>
        <w:tc>
          <w:tcPr>
            <w:tcW w:w="1134" w:type="dxa"/>
            <w:hideMark/>
          </w:tcPr>
          <w:p w14:paraId="0D776BB6" w14:textId="77777777" w:rsidR="00DE583C" w:rsidRPr="009B6095" w:rsidRDefault="00DE583C" w:rsidP="000D06BE">
            <w:pPr>
              <w:pStyle w:val="BodyText"/>
              <w:rPr>
                <w:lang w:eastAsia="en-AU"/>
              </w:rPr>
            </w:pPr>
            <w:r w:rsidRPr="009B6095">
              <w:rPr>
                <w:lang w:eastAsia="en-AU"/>
              </w:rPr>
              <w:t>Ongoing</w:t>
            </w:r>
          </w:p>
        </w:tc>
      </w:tr>
      <w:tr w:rsidR="00DE583C" w:rsidRPr="009B6095" w14:paraId="6B72572A" w14:textId="77777777" w:rsidTr="009B6095">
        <w:trPr>
          <w:trHeight w:val="280"/>
        </w:trPr>
        <w:tc>
          <w:tcPr>
            <w:tcW w:w="1413" w:type="dxa"/>
            <w:vMerge/>
            <w:noWrap/>
            <w:hideMark/>
          </w:tcPr>
          <w:p w14:paraId="77E2C216" w14:textId="77777777" w:rsidR="00DE583C" w:rsidRPr="009B6095" w:rsidRDefault="00DE583C" w:rsidP="000D06BE">
            <w:pPr>
              <w:pStyle w:val="BodyText"/>
              <w:rPr>
                <w:lang w:eastAsia="en-AU"/>
              </w:rPr>
            </w:pPr>
          </w:p>
        </w:tc>
        <w:tc>
          <w:tcPr>
            <w:tcW w:w="4824" w:type="dxa"/>
            <w:hideMark/>
          </w:tcPr>
          <w:p w14:paraId="513CD0C2" w14:textId="77777777" w:rsidR="00DE583C" w:rsidRPr="009B6095" w:rsidRDefault="00DE583C" w:rsidP="000D06BE">
            <w:pPr>
              <w:pStyle w:val="BodyText"/>
              <w:rPr>
                <w:lang w:eastAsia="en-AU"/>
              </w:rPr>
            </w:pPr>
            <w:r w:rsidRPr="009B6095">
              <w:rPr>
                <w:lang w:eastAsia="en-AU"/>
              </w:rPr>
              <w:t>Continued to deliver the Smart Ticketing Program across heavy rail, bus and ferry, providing customers new ways to pay and updated digital channels.</w:t>
            </w:r>
          </w:p>
        </w:tc>
        <w:tc>
          <w:tcPr>
            <w:tcW w:w="1838" w:type="dxa"/>
            <w:noWrap/>
            <w:hideMark/>
          </w:tcPr>
          <w:p w14:paraId="25218B9A" w14:textId="77777777" w:rsidR="00DE583C" w:rsidRPr="009B6095" w:rsidRDefault="00DE583C" w:rsidP="000D06BE">
            <w:pPr>
              <w:pStyle w:val="BodyText"/>
              <w:rPr>
                <w:lang w:eastAsia="en-AU"/>
              </w:rPr>
            </w:pPr>
            <w:r w:rsidRPr="009B6095">
              <w:rPr>
                <w:lang w:eastAsia="en-AU"/>
              </w:rPr>
              <w:t>Backing our frontline services</w:t>
            </w:r>
          </w:p>
        </w:tc>
        <w:tc>
          <w:tcPr>
            <w:tcW w:w="1134" w:type="dxa"/>
            <w:hideMark/>
          </w:tcPr>
          <w:p w14:paraId="12F566B8" w14:textId="77777777" w:rsidR="00DE583C" w:rsidRPr="009B6095" w:rsidRDefault="00DE583C" w:rsidP="000D06BE">
            <w:pPr>
              <w:pStyle w:val="BodyText"/>
              <w:rPr>
                <w:lang w:eastAsia="en-AU"/>
              </w:rPr>
            </w:pPr>
            <w:r w:rsidRPr="009B6095">
              <w:rPr>
                <w:lang w:eastAsia="en-AU"/>
              </w:rPr>
              <w:t>Ongoing</w:t>
            </w:r>
          </w:p>
        </w:tc>
      </w:tr>
      <w:tr w:rsidR="00DE583C" w:rsidRPr="009B6095" w14:paraId="2D0FEB1B" w14:textId="77777777" w:rsidTr="009B6095">
        <w:trPr>
          <w:trHeight w:val="290"/>
        </w:trPr>
        <w:tc>
          <w:tcPr>
            <w:tcW w:w="1413" w:type="dxa"/>
            <w:vMerge/>
            <w:noWrap/>
            <w:hideMark/>
          </w:tcPr>
          <w:p w14:paraId="1C86DA8D" w14:textId="77777777" w:rsidR="00DE583C" w:rsidRPr="009B6095" w:rsidRDefault="00DE583C" w:rsidP="000D06BE">
            <w:pPr>
              <w:pStyle w:val="BodyText"/>
              <w:rPr>
                <w:lang w:eastAsia="en-AU"/>
              </w:rPr>
            </w:pPr>
          </w:p>
        </w:tc>
        <w:tc>
          <w:tcPr>
            <w:tcW w:w="4824" w:type="dxa"/>
            <w:hideMark/>
          </w:tcPr>
          <w:p w14:paraId="7C7B0319" w14:textId="77777777" w:rsidR="00DE583C" w:rsidRPr="009B6095" w:rsidRDefault="00DE583C" w:rsidP="000D06BE">
            <w:pPr>
              <w:pStyle w:val="BodyText"/>
              <w:rPr>
                <w:lang w:eastAsia="en-AU"/>
              </w:rPr>
            </w:pPr>
            <w:r w:rsidRPr="009B6095">
              <w:rPr>
                <w:lang w:eastAsia="en-AU"/>
              </w:rPr>
              <w:t xml:space="preserve">Implemented all 12 </w:t>
            </w:r>
            <w:r w:rsidRPr="009B6095">
              <w:rPr>
                <w:i/>
                <w:iCs/>
                <w:lang w:eastAsia="en-AU"/>
              </w:rPr>
              <w:t>Road Safety Education Blueprint</w:t>
            </w:r>
            <w:r w:rsidRPr="009B6095">
              <w:rPr>
                <w:lang w:eastAsia="en-AU"/>
              </w:rPr>
              <w:t xml:space="preserve"> short-term actions.</w:t>
            </w:r>
          </w:p>
        </w:tc>
        <w:tc>
          <w:tcPr>
            <w:tcW w:w="1838" w:type="dxa"/>
            <w:noWrap/>
            <w:hideMark/>
          </w:tcPr>
          <w:p w14:paraId="1632D8E9" w14:textId="77777777" w:rsidR="00DE583C" w:rsidRPr="009B6095" w:rsidRDefault="00DE583C" w:rsidP="000D06BE">
            <w:pPr>
              <w:pStyle w:val="BodyText"/>
              <w:rPr>
                <w:lang w:eastAsia="en-AU"/>
              </w:rPr>
            </w:pPr>
            <w:r w:rsidRPr="009B6095">
              <w:rPr>
                <w:lang w:eastAsia="en-AU"/>
              </w:rPr>
              <w:t>Backing our frontline services</w:t>
            </w:r>
          </w:p>
        </w:tc>
        <w:tc>
          <w:tcPr>
            <w:tcW w:w="1134" w:type="dxa"/>
            <w:hideMark/>
          </w:tcPr>
          <w:p w14:paraId="37B81BD1" w14:textId="77777777" w:rsidR="00DE583C" w:rsidRPr="009B6095" w:rsidRDefault="00DE583C" w:rsidP="000D06BE">
            <w:pPr>
              <w:pStyle w:val="BodyText"/>
              <w:rPr>
                <w:lang w:eastAsia="en-AU"/>
              </w:rPr>
            </w:pPr>
            <w:r w:rsidRPr="009B6095">
              <w:rPr>
                <w:lang w:eastAsia="en-AU"/>
              </w:rPr>
              <w:t>Completed</w:t>
            </w:r>
          </w:p>
        </w:tc>
      </w:tr>
      <w:tr w:rsidR="00DE583C" w:rsidRPr="009B6095" w14:paraId="6B0A6D02" w14:textId="77777777" w:rsidTr="009B6095">
        <w:trPr>
          <w:trHeight w:val="280"/>
        </w:trPr>
        <w:tc>
          <w:tcPr>
            <w:tcW w:w="1413" w:type="dxa"/>
            <w:vMerge/>
            <w:noWrap/>
            <w:hideMark/>
          </w:tcPr>
          <w:p w14:paraId="56BB3DE7" w14:textId="77777777" w:rsidR="00DE583C" w:rsidRPr="009B6095" w:rsidRDefault="00DE583C" w:rsidP="000D06BE">
            <w:pPr>
              <w:pStyle w:val="BodyText"/>
              <w:rPr>
                <w:lang w:eastAsia="en-AU"/>
              </w:rPr>
            </w:pPr>
          </w:p>
        </w:tc>
        <w:tc>
          <w:tcPr>
            <w:tcW w:w="4824" w:type="dxa"/>
            <w:hideMark/>
          </w:tcPr>
          <w:p w14:paraId="6842B19D" w14:textId="77777777" w:rsidR="00DE583C" w:rsidRPr="009B6095" w:rsidRDefault="00DE583C" w:rsidP="000D06BE">
            <w:pPr>
              <w:pStyle w:val="BodyText"/>
              <w:rPr>
                <w:lang w:eastAsia="en-AU"/>
              </w:rPr>
            </w:pPr>
            <w:r w:rsidRPr="009B6095">
              <w:rPr>
                <w:lang w:eastAsia="en-AU"/>
              </w:rPr>
              <w:t>Supported delivery of frontline services by ensuring all TMR Customer Service Centres remained open. COVID-safe measures were implemented to protect staff and customers.</w:t>
            </w:r>
          </w:p>
        </w:tc>
        <w:tc>
          <w:tcPr>
            <w:tcW w:w="1838" w:type="dxa"/>
            <w:noWrap/>
            <w:hideMark/>
          </w:tcPr>
          <w:p w14:paraId="61A4C70C" w14:textId="77777777" w:rsidR="00DE583C" w:rsidRPr="009B6095" w:rsidRDefault="00DE583C" w:rsidP="000D06BE">
            <w:pPr>
              <w:pStyle w:val="BodyText"/>
              <w:rPr>
                <w:lang w:eastAsia="en-AU"/>
              </w:rPr>
            </w:pPr>
            <w:r w:rsidRPr="009B6095">
              <w:rPr>
                <w:lang w:eastAsia="en-AU"/>
              </w:rPr>
              <w:t>Backing our frontline services</w:t>
            </w:r>
          </w:p>
        </w:tc>
        <w:tc>
          <w:tcPr>
            <w:tcW w:w="1134" w:type="dxa"/>
            <w:hideMark/>
          </w:tcPr>
          <w:p w14:paraId="09751099" w14:textId="77777777" w:rsidR="00DE583C" w:rsidRPr="009B6095" w:rsidRDefault="00DE583C" w:rsidP="000D06BE">
            <w:pPr>
              <w:pStyle w:val="BodyText"/>
              <w:rPr>
                <w:lang w:eastAsia="en-AU"/>
              </w:rPr>
            </w:pPr>
            <w:r w:rsidRPr="009B6095">
              <w:rPr>
                <w:lang w:eastAsia="en-AU"/>
              </w:rPr>
              <w:t>Ongoing</w:t>
            </w:r>
          </w:p>
        </w:tc>
      </w:tr>
      <w:tr w:rsidR="00DE583C" w:rsidRPr="009B6095" w14:paraId="02B346B0" w14:textId="77777777" w:rsidTr="009B6095">
        <w:trPr>
          <w:trHeight w:val="280"/>
        </w:trPr>
        <w:tc>
          <w:tcPr>
            <w:tcW w:w="1413" w:type="dxa"/>
            <w:vMerge/>
            <w:noWrap/>
            <w:hideMark/>
          </w:tcPr>
          <w:p w14:paraId="0A04E51C" w14:textId="77777777" w:rsidR="00DE583C" w:rsidRPr="009B6095" w:rsidRDefault="00DE583C" w:rsidP="000D06BE">
            <w:pPr>
              <w:pStyle w:val="BodyText"/>
              <w:rPr>
                <w:lang w:eastAsia="en-AU"/>
              </w:rPr>
            </w:pPr>
          </w:p>
        </w:tc>
        <w:tc>
          <w:tcPr>
            <w:tcW w:w="4824" w:type="dxa"/>
            <w:hideMark/>
          </w:tcPr>
          <w:p w14:paraId="78D60E8D" w14:textId="77777777" w:rsidR="00DE583C" w:rsidRPr="009B6095" w:rsidRDefault="00DE583C" w:rsidP="000D06BE">
            <w:pPr>
              <w:pStyle w:val="BodyText"/>
              <w:rPr>
                <w:lang w:eastAsia="en-AU"/>
              </w:rPr>
            </w:pPr>
            <w:r w:rsidRPr="009B6095">
              <w:rPr>
                <w:lang w:eastAsia="en-AU"/>
              </w:rPr>
              <w:t>As at 30 June 2022 there were more than 280,000 Prep L enrolments and this includes more than 258,000 successful completions.</w:t>
            </w:r>
          </w:p>
        </w:tc>
        <w:tc>
          <w:tcPr>
            <w:tcW w:w="1838" w:type="dxa"/>
            <w:noWrap/>
            <w:hideMark/>
          </w:tcPr>
          <w:p w14:paraId="46F93DF2" w14:textId="77777777" w:rsidR="00DE583C" w:rsidRPr="009B6095" w:rsidRDefault="00DE583C" w:rsidP="000D06BE">
            <w:pPr>
              <w:pStyle w:val="BodyText"/>
              <w:rPr>
                <w:lang w:eastAsia="en-AU"/>
              </w:rPr>
            </w:pPr>
            <w:r w:rsidRPr="009B6095">
              <w:rPr>
                <w:lang w:eastAsia="en-AU"/>
              </w:rPr>
              <w:t>Backing our frontline services</w:t>
            </w:r>
          </w:p>
        </w:tc>
        <w:tc>
          <w:tcPr>
            <w:tcW w:w="1134" w:type="dxa"/>
            <w:hideMark/>
          </w:tcPr>
          <w:p w14:paraId="62CA372B" w14:textId="77777777" w:rsidR="00DE583C" w:rsidRPr="009B6095" w:rsidRDefault="00DE583C" w:rsidP="000D06BE">
            <w:pPr>
              <w:pStyle w:val="BodyText"/>
              <w:rPr>
                <w:lang w:eastAsia="en-AU"/>
              </w:rPr>
            </w:pPr>
            <w:r w:rsidRPr="009B6095">
              <w:rPr>
                <w:lang w:eastAsia="en-AU"/>
              </w:rPr>
              <w:t>Ongoing</w:t>
            </w:r>
          </w:p>
        </w:tc>
      </w:tr>
      <w:tr w:rsidR="009B6095" w:rsidRPr="009B6095" w14:paraId="353FD80D" w14:textId="77777777" w:rsidTr="009B6095">
        <w:trPr>
          <w:trHeight w:val="280"/>
        </w:trPr>
        <w:tc>
          <w:tcPr>
            <w:tcW w:w="1413" w:type="dxa"/>
            <w:noWrap/>
            <w:hideMark/>
          </w:tcPr>
          <w:p w14:paraId="7E320C42" w14:textId="77777777" w:rsidR="009B6095" w:rsidRPr="009B6095" w:rsidRDefault="009B6095" w:rsidP="000D06BE">
            <w:pPr>
              <w:pStyle w:val="BodyText"/>
              <w:rPr>
                <w:color w:val="auto"/>
                <w:lang w:eastAsia="en-AU"/>
              </w:rPr>
            </w:pPr>
          </w:p>
        </w:tc>
        <w:tc>
          <w:tcPr>
            <w:tcW w:w="4824" w:type="dxa"/>
            <w:noWrap/>
            <w:hideMark/>
          </w:tcPr>
          <w:p w14:paraId="610D4C9E" w14:textId="77777777" w:rsidR="009B6095" w:rsidRPr="009B6095" w:rsidRDefault="009B6095" w:rsidP="000D06BE">
            <w:pPr>
              <w:pStyle w:val="BodyText"/>
              <w:rPr>
                <w:color w:val="auto"/>
                <w:lang w:eastAsia="en-AU"/>
              </w:rPr>
            </w:pPr>
          </w:p>
        </w:tc>
        <w:tc>
          <w:tcPr>
            <w:tcW w:w="1838" w:type="dxa"/>
            <w:noWrap/>
            <w:hideMark/>
          </w:tcPr>
          <w:p w14:paraId="564120FD" w14:textId="77777777" w:rsidR="009B6095" w:rsidRPr="009B6095" w:rsidRDefault="009B6095" w:rsidP="000D06BE">
            <w:pPr>
              <w:pStyle w:val="BodyText"/>
              <w:rPr>
                <w:color w:val="auto"/>
                <w:lang w:eastAsia="en-AU"/>
              </w:rPr>
            </w:pPr>
          </w:p>
        </w:tc>
        <w:tc>
          <w:tcPr>
            <w:tcW w:w="1134" w:type="dxa"/>
            <w:noWrap/>
            <w:hideMark/>
          </w:tcPr>
          <w:p w14:paraId="1B9B70B7" w14:textId="77777777" w:rsidR="009B6095" w:rsidRPr="009B6095" w:rsidRDefault="009B6095" w:rsidP="000D06BE">
            <w:pPr>
              <w:pStyle w:val="BodyText"/>
              <w:rPr>
                <w:color w:val="auto"/>
                <w:lang w:eastAsia="en-AU"/>
              </w:rPr>
            </w:pPr>
          </w:p>
        </w:tc>
      </w:tr>
      <w:tr w:rsidR="00DE583C" w:rsidRPr="009B6095" w14:paraId="0D180A9D" w14:textId="77777777" w:rsidTr="009B6095">
        <w:trPr>
          <w:trHeight w:val="280"/>
        </w:trPr>
        <w:tc>
          <w:tcPr>
            <w:tcW w:w="1413" w:type="dxa"/>
            <w:vMerge w:val="restart"/>
            <w:noWrap/>
            <w:hideMark/>
          </w:tcPr>
          <w:p w14:paraId="3888A795" w14:textId="77777777" w:rsidR="00DE583C" w:rsidRPr="00DE583C" w:rsidRDefault="00DE583C" w:rsidP="000D06BE">
            <w:pPr>
              <w:pStyle w:val="BodyText"/>
              <w:rPr>
                <w:rStyle w:val="Strong"/>
              </w:rPr>
            </w:pPr>
            <w:r w:rsidRPr="009B6095">
              <w:rPr>
                <w:rStyle w:val="Strong"/>
                <w:lang w:eastAsia="en-AU"/>
              </w:rPr>
              <w:t>Efficient</w:t>
            </w:r>
          </w:p>
          <w:p w14:paraId="6D502DB5" w14:textId="6D91BF31" w:rsidR="00DE583C" w:rsidRPr="009B6095" w:rsidRDefault="00DE583C" w:rsidP="000D06BE">
            <w:pPr>
              <w:pStyle w:val="BodyText"/>
              <w:rPr>
                <w:rStyle w:val="Emphasis"/>
                <w:lang w:eastAsia="en-AU"/>
              </w:rPr>
            </w:pPr>
            <w:r w:rsidRPr="009B6095">
              <w:rPr>
                <w:rStyle w:val="Emphasis"/>
                <w:lang w:eastAsia="en-AU"/>
              </w:rPr>
              <w:t>Safe and secure customer journeys and TMR workplaces</w:t>
            </w:r>
          </w:p>
        </w:tc>
        <w:tc>
          <w:tcPr>
            <w:tcW w:w="4824" w:type="dxa"/>
            <w:noWrap/>
            <w:hideMark/>
          </w:tcPr>
          <w:p w14:paraId="37F6616E" w14:textId="77777777" w:rsidR="00DE583C" w:rsidRPr="009B6095" w:rsidRDefault="00DE583C" w:rsidP="000D06BE">
            <w:pPr>
              <w:pStyle w:val="BodyText"/>
              <w:rPr>
                <w:lang w:eastAsia="en-AU"/>
              </w:rPr>
            </w:pPr>
            <w:r w:rsidRPr="009B6095">
              <w:rPr>
                <w:lang w:eastAsia="en-AU"/>
              </w:rPr>
              <w:t>Six-year extension of the Local Fare Scheme, an airfare subsidy program for the Gulf, Cape York, and Torres Strait communities to support access to local health, education and employment services opportunities.</w:t>
            </w:r>
          </w:p>
        </w:tc>
        <w:tc>
          <w:tcPr>
            <w:tcW w:w="1838" w:type="dxa"/>
            <w:hideMark/>
          </w:tcPr>
          <w:p w14:paraId="0204895D" w14:textId="77777777" w:rsidR="00DE583C" w:rsidRPr="009B6095" w:rsidRDefault="00DE583C" w:rsidP="000D06BE">
            <w:pPr>
              <w:pStyle w:val="BodyText"/>
              <w:rPr>
                <w:lang w:eastAsia="en-AU"/>
              </w:rPr>
            </w:pPr>
            <w:r w:rsidRPr="009B6095">
              <w:rPr>
                <w:lang w:eastAsia="en-AU"/>
              </w:rPr>
              <w:t>Backing small business</w:t>
            </w:r>
          </w:p>
        </w:tc>
        <w:tc>
          <w:tcPr>
            <w:tcW w:w="1134" w:type="dxa"/>
            <w:hideMark/>
          </w:tcPr>
          <w:p w14:paraId="03166472" w14:textId="77777777" w:rsidR="00DE583C" w:rsidRPr="009B6095" w:rsidRDefault="00DE583C" w:rsidP="000D06BE">
            <w:pPr>
              <w:pStyle w:val="BodyText"/>
              <w:rPr>
                <w:lang w:eastAsia="en-AU"/>
              </w:rPr>
            </w:pPr>
            <w:r w:rsidRPr="009B6095">
              <w:rPr>
                <w:lang w:eastAsia="en-AU"/>
              </w:rPr>
              <w:t>Ongoing</w:t>
            </w:r>
          </w:p>
        </w:tc>
      </w:tr>
      <w:tr w:rsidR="00DE583C" w:rsidRPr="009B6095" w14:paraId="34C82C2A" w14:textId="77777777" w:rsidTr="009B6095">
        <w:trPr>
          <w:trHeight w:val="840"/>
        </w:trPr>
        <w:tc>
          <w:tcPr>
            <w:tcW w:w="1413" w:type="dxa"/>
            <w:vMerge/>
            <w:hideMark/>
          </w:tcPr>
          <w:p w14:paraId="6E5BDF0D" w14:textId="23809A09" w:rsidR="00DE583C" w:rsidRPr="009B6095" w:rsidRDefault="00DE583C" w:rsidP="000D06BE">
            <w:pPr>
              <w:pStyle w:val="BodyText"/>
              <w:rPr>
                <w:lang w:eastAsia="en-AU"/>
              </w:rPr>
            </w:pPr>
          </w:p>
        </w:tc>
        <w:tc>
          <w:tcPr>
            <w:tcW w:w="4824" w:type="dxa"/>
            <w:noWrap/>
            <w:hideMark/>
          </w:tcPr>
          <w:p w14:paraId="5588ECE0" w14:textId="77777777" w:rsidR="00DE583C" w:rsidRPr="009B6095" w:rsidRDefault="00DE583C" w:rsidP="000D06BE">
            <w:pPr>
              <w:pStyle w:val="BodyText"/>
              <w:rPr>
                <w:lang w:eastAsia="en-AU"/>
              </w:rPr>
            </w:pPr>
            <w:r w:rsidRPr="009B6095">
              <w:rPr>
                <w:lang w:eastAsia="en-AU"/>
              </w:rPr>
              <w:t>Awarded 2534 contracts to Queensland suppliers, injecting $4.1 billion into local economies. This included $2.4 billion to 2792 regional suppliers and $51 million to First Nations businesses.</w:t>
            </w:r>
          </w:p>
        </w:tc>
        <w:tc>
          <w:tcPr>
            <w:tcW w:w="1838" w:type="dxa"/>
            <w:hideMark/>
          </w:tcPr>
          <w:p w14:paraId="00F43E72" w14:textId="77777777" w:rsidR="00DE583C" w:rsidRPr="009B6095" w:rsidRDefault="00DE583C" w:rsidP="000D06BE">
            <w:pPr>
              <w:pStyle w:val="BodyText"/>
              <w:rPr>
                <w:lang w:eastAsia="en-AU"/>
              </w:rPr>
            </w:pPr>
            <w:r w:rsidRPr="009B6095">
              <w:rPr>
                <w:lang w:eastAsia="en-AU"/>
              </w:rPr>
              <w:t>Backing small business</w:t>
            </w:r>
          </w:p>
        </w:tc>
        <w:tc>
          <w:tcPr>
            <w:tcW w:w="1134" w:type="dxa"/>
            <w:hideMark/>
          </w:tcPr>
          <w:p w14:paraId="350C5290" w14:textId="77777777" w:rsidR="00DE583C" w:rsidRPr="009B6095" w:rsidRDefault="00DE583C" w:rsidP="000D06BE">
            <w:pPr>
              <w:pStyle w:val="BodyText"/>
              <w:rPr>
                <w:lang w:eastAsia="en-AU"/>
              </w:rPr>
            </w:pPr>
            <w:r w:rsidRPr="009B6095">
              <w:rPr>
                <w:lang w:eastAsia="en-AU"/>
              </w:rPr>
              <w:t>Ongoing</w:t>
            </w:r>
          </w:p>
        </w:tc>
      </w:tr>
      <w:tr w:rsidR="00DE583C" w:rsidRPr="009B6095" w14:paraId="34678635" w14:textId="77777777" w:rsidTr="009B6095">
        <w:trPr>
          <w:trHeight w:val="280"/>
        </w:trPr>
        <w:tc>
          <w:tcPr>
            <w:tcW w:w="1413" w:type="dxa"/>
            <w:vMerge/>
            <w:noWrap/>
            <w:hideMark/>
          </w:tcPr>
          <w:p w14:paraId="7E532208" w14:textId="77777777" w:rsidR="00DE583C" w:rsidRPr="009B6095" w:rsidRDefault="00DE583C" w:rsidP="000D06BE">
            <w:pPr>
              <w:pStyle w:val="BodyText"/>
              <w:rPr>
                <w:lang w:eastAsia="en-AU"/>
              </w:rPr>
            </w:pPr>
          </w:p>
        </w:tc>
        <w:tc>
          <w:tcPr>
            <w:tcW w:w="4824" w:type="dxa"/>
            <w:noWrap/>
            <w:hideMark/>
          </w:tcPr>
          <w:p w14:paraId="564D7C23" w14:textId="77777777" w:rsidR="00DE583C" w:rsidRPr="009B6095" w:rsidRDefault="00DE583C" w:rsidP="000D06BE">
            <w:pPr>
              <w:pStyle w:val="BodyText"/>
              <w:rPr>
                <w:lang w:eastAsia="en-AU"/>
              </w:rPr>
            </w:pPr>
            <w:r w:rsidRPr="009B6095">
              <w:rPr>
                <w:lang w:eastAsia="en-AU"/>
              </w:rPr>
              <w:t>Working with industry and the National Heavy Vehicle Regulator to develop and review national heavy vehicle notices, to safely improve industry efficiency and reduce the regulatory burden associated with access permits.</w:t>
            </w:r>
          </w:p>
        </w:tc>
        <w:tc>
          <w:tcPr>
            <w:tcW w:w="1838" w:type="dxa"/>
            <w:hideMark/>
          </w:tcPr>
          <w:p w14:paraId="75A02A3F" w14:textId="77777777" w:rsidR="00DE583C" w:rsidRPr="009B6095" w:rsidRDefault="00DE583C" w:rsidP="000D06BE">
            <w:pPr>
              <w:pStyle w:val="BodyText"/>
              <w:rPr>
                <w:lang w:eastAsia="en-AU"/>
              </w:rPr>
            </w:pPr>
            <w:r w:rsidRPr="009B6095">
              <w:rPr>
                <w:lang w:eastAsia="en-AU"/>
              </w:rPr>
              <w:t>Backing small business</w:t>
            </w:r>
          </w:p>
        </w:tc>
        <w:tc>
          <w:tcPr>
            <w:tcW w:w="1134" w:type="dxa"/>
            <w:hideMark/>
          </w:tcPr>
          <w:p w14:paraId="1C81A36E" w14:textId="77777777" w:rsidR="00DE583C" w:rsidRPr="009B6095" w:rsidRDefault="00DE583C" w:rsidP="000D06BE">
            <w:pPr>
              <w:pStyle w:val="BodyText"/>
              <w:rPr>
                <w:lang w:eastAsia="en-AU"/>
              </w:rPr>
            </w:pPr>
            <w:r w:rsidRPr="009B6095">
              <w:rPr>
                <w:lang w:eastAsia="en-AU"/>
              </w:rPr>
              <w:t>In progress</w:t>
            </w:r>
          </w:p>
        </w:tc>
      </w:tr>
      <w:tr w:rsidR="00DE583C" w:rsidRPr="009B6095" w14:paraId="4D415352" w14:textId="77777777" w:rsidTr="009B6095">
        <w:trPr>
          <w:trHeight w:val="280"/>
        </w:trPr>
        <w:tc>
          <w:tcPr>
            <w:tcW w:w="1413" w:type="dxa"/>
            <w:vMerge/>
            <w:noWrap/>
            <w:hideMark/>
          </w:tcPr>
          <w:p w14:paraId="02947187" w14:textId="77777777" w:rsidR="00DE583C" w:rsidRPr="009B6095" w:rsidRDefault="00DE583C" w:rsidP="000D06BE">
            <w:pPr>
              <w:pStyle w:val="BodyText"/>
              <w:rPr>
                <w:lang w:eastAsia="en-AU"/>
              </w:rPr>
            </w:pPr>
          </w:p>
        </w:tc>
        <w:tc>
          <w:tcPr>
            <w:tcW w:w="4824" w:type="dxa"/>
            <w:noWrap/>
            <w:hideMark/>
          </w:tcPr>
          <w:p w14:paraId="13D40C75" w14:textId="77777777" w:rsidR="00DE583C" w:rsidRPr="009B6095" w:rsidRDefault="00DE583C" w:rsidP="000D06BE">
            <w:pPr>
              <w:pStyle w:val="BodyText"/>
              <w:rPr>
                <w:lang w:eastAsia="en-AU"/>
              </w:rPr>
            </w:pPr>
            <w:r w:rsidRPr="009B6095">
              <w:rPr>
                <w:lang w:eastAsia="en-AU"/>
              </w:rPr>
              <w:t>Delivering upgrades to Queensland’s Inland Freight Route to improve safety, resilience, and freight efficiency.</w:t>
            </w:r>
          </w:p>
        </w:tc>
        <w:tc>
          <w:tcPr>
            <w:tcW w:w="1838" w:type="dxa"/>
            <w:hideMark/>
          </w:tcPr>
          <w:p w14:paraId="48EE91C3" w14:textId="77777777" w:rsidR="00DE583C" w:rsidRPr="009B6095" w:rsidRDefault="00DE583C" w:rsidP="000D06BE">
            <w:pPr>
              <w:pStyle w:val="BodyText"/>
              <w:rPr>
                <w:lang w:eastAsia="en-AU"/>
              </w:rPr>
            </w:pPr>
            <w:r w:rsidRPr="009B6095">
              <w:rPr>
                <w:lang w:eastAsia="en-AU"/>
              </w:rPr>
              <w:t>Building Queensland</w:t>
            </w:r>
          </w:p>
        </w:tc>
        <w:tc>
          <w:tcPr>
            <w:tcW w:w="1134" w:type="dxa"/>
            <w:hideMark/>
          </w:tcPr>
          <w:p w14:paraId="035ACB99" w14:textId="77777777" w:rsidR="00DE583C" w:rsidRPr="009B6095" w:rsidRDefault="00DE583C" w:rsidP="000D06BE">
            <w:pPr>
              <w:pStyle w:val="BodyText"/>
              <w:rPr>
                <w:lang w:eastAsia="en-AU"/>
              </w:rPr>
            </w:pPr>
            <w:r w:rsidRPr="009B6095">
              <w:rPr>
                <w:lang w:eastAsia="en-AU"/>
              </w:rPr>
              <w:t>In progress</w:t>
            </w:r>
          </w:p>
        </w:tc>
      </w:tr>
      <w:tr w:rsidR="00DE583C" w:rsidRPr="009B6095" w14:paraId="6ABC3889" w14:textId="77777777" w:rsidTr="009B6095">
        <w:trPr>
          <w:trHeight w:val="280"/>
        </w:trPr>
        <w:tc>
          <w:tcPr>
            <w:tcW w:w="1413" w:type="dxa"/>
            <w:vMerge/>
            <w:noWrap/>
            <w:hideMark/>
          </w:tcPr>
          <w:p w14:paraId="5E26471B" w14:textId="77777777" w:rsidR="00DE583C" w:rsidRPr="009B6095" w:rsidRDefault="00DE583C" w:rsidP="000D06BE">
            <w:pPr>
              <w:pStyle w:val="BodyText"/>
              <w:rPr>
                <w:lang w:eastAsia="en-AU"/>
              </w:rPr>
            </w:pPr>
          </w:p>
        </w:tc>
        <w:tc>
          <w:tcPr>
            <w:tcW w:w="4824" w:type="dxa"/>
            <w:noWrap/>
            <w:hideMark/>
          </w:tcPr>
          <w:p w14:paraId="7D82BA3C" w14:textId="77777777" w:rsidR="00DE583C" w:rsidRPr="009B6095" w:rsidRDefault="00DE583C" w:rsidP="000D06BE">
            <w:pPr>
              <w:pStyle w:val="BodyText"/>
              <w:rPr>
                <w:lang w:eastAsia="en-AU"/>
              </w:rPr>
            </w:pPr>
            <w:r w:rsidRPr="009B6095">
              <w:rPr>
                <w:lang w:eastAsia="en-AU"/>
              </w:rPr>
              <w:t>Ensuring priority transport infrastructure planning considers the requirements associated with hosting the Brisbane 2032 Olympic and Paralympic Games. This includes investing $1 million for Olympic and Paralympic Games modelling and analysis.</w:t>
            </w:r>
          </w:p>
        </w:tc>
        <w:tc>
          <w:tcPr>
            <w:tcW w:w="1838" w:type="dxa"/>
            <w:hideMark/>
          </w:tcPr>
          <w:p w14:paraId="1B2F916D" w14:textId="77777777" w:rsidR="00DE583C" w:rsidRPr="009B6095" w:rsidRDefault="00DE583C" w:rsidP="000D06BE">
            <w:pPr>
              <w:pStyle w:val="BodyText"/>
              <w:rPr>
                <w:lang w:eastAsia="en-AU"/>
              </w:rPr>
            </w:pPr>
            <w:r w:rsidRPr="009B6095">
              <w:rPr>
                <w:lang w:eastAsia="en-AU"/>
              </w:rPr>
              <w:t>Building Queensland</w:t>
            </w:r>
          </w:p>
        </w:tc>
        <w:tc>
          <w:tcPr>
            <w:tcW w:w="1134" w:type="dxa"/>
            <w:hideMark/>
          </w:tcPr>
          <w:p w14:paraId="0AEABF5E" w14:textId="77777777" w:rsidR="00DE583C" w:rsidRPr="009B6095" w:rsidRDefault="00DE583C" w:rsidP="000D06BE">
            <w:pPr>
              <w:pStyle w:val="BodyText"/>
              <w:rPr>
                <w:lang w:eastAsia="en-AU"/>
              </w:rPr>
            </w:pPr>
            <w:r w:rsidRPr="009B6095">
              <w:rPr>
                <w:lang w:eastAsia="en-AU"/>
              </w:rPr>
              <w:t>In progress</w:t>
            </w:r>
          </w:p>
        </w:tc>
      </w:tr>
      <w:tr w:rsidR="00DE583C" w:rsidRPr="009B6095" w14:paraId="4A9D3320" w14:textId="77777777" w:rsidTr="009B6095">
        <w:trPr>
          <w:trHeight w:val="290"/>
        </w:trPr>
        <w:tc>
          <w:tcPr>
            <w:tcW w:w="1413" w:type="dxa"/>
            <w:vMerge/>
            <w:noWrap/>
            <w:hideMark/>
          </w:tcPr>
          <w:p w14:paraId="51D1D33C" w14:textId="77777777" w:rsidR="00DE583C" w:rsidRPr="009B6095" w:rsidRDefault="00DE583C" w:rsidP="000D06BE">
            <w:pPr>
              <w:pStyle w:val="BodyText"/>
              <w:rPr>
                <w:lang w:eastAsia="en-AU"/>
              </w:rPr>
            </w:pPr>
          </w:p>
        </w:tc>
        <w:tc>
          <w:tcPr>
            <w:tcW w:w="4824" w:type="dxa"/>
            <w:noWrap/>
            <w:hideMark/>
          </w:tcPr>
          <w:p w14:paraId="79A17B1C" w14:textId="77777777" w:rsidR="00DE583C" w:rsidRPr="009B6095" w:rsidRDefault="00DE583C" w:rsidP="000D06BE">
            <w:pPr>
              <w:pStyle w:val="BodyText"/>
              <w:rPr>
                <w:lang w:eastAsia="en-AU"/>
              </w:rPr>
            </w:pPr>
            <w:r w:rsidRPr="009B6095">
              <w:rPr>
                <w:lang w:eastAsia="en-AU"/>
              </w:rPr>
              <w:t xml:space="preserve">Continued delivery of the </w:t>
            </w:r>
            <w:r w:rsidRPr="009B6095">
              <w:rPr>
                <w:i/>
                <w:iCs/>
                <w:lang w:eastAsia="en-AU"/>
              </w:rPr>
              <w:t>M1 Action Plan</w:t>
            </w:r>
            <w:r w:rsidRPr="009B6095">
              <w:rPr>
                <w:lang w:eastAsia="en-AU"/>
              </w:rPr>
              <w:t>.</w:t>
            </w:r>
          </w:p>
        </w:tc>
        <w:tc>
          <w:tcPr>
            <w:tcW w:w="1838" w:type="dxa"/>
            <w:hideMark/>
          </w:tcPr>
          <w:p w14:paraId="42FCEAF7" w14:textId="77777777" w:rsidR="00DE583C" w:rsidRPr="009B6095" w:rsidRDefault="00DE583C" w:rsidP="000D06BE">
            <w:pPr>
              <w:pStyle w:val="BodyText"/>
              <w:rPr>
                <w:lang w:eastAsia="en-AU"/>
              </w:rPr>
            </w:pPr>
            <w:r w:rsidRPr="009B6095">
              <w:rPr>
                <w:lang w:eastAsia="en-AU"/>
              </w:rPr>
              <w:t>Building Queensland</w:t>
            </w:r>
          </w:p>
        </w:tc>
        <w:tc>
          <w:tcPr>
            <w:tcW w:w="1134" w:type="dxa"/>
            <w:hideMark/>
          </w:tcPr>
          <w:p w14:paraId="7BCEE111" w14:textId="77777777" w:rsidR="00DE583C" w:rsidRPr="009B6095" w:rsidRDefault="00DE583C" w:rsidP="000D06BE">
            <w:pPr>
              <w:pStyle w:val="BodyText"/>
              <w:rPr>
                <w:lang w:eastAsia="en-AU"/>
              </w:rPr>
            </w:pPr>
            <w:r w:rsidRPr="009B6095">
              <w:rPr>
                <w:lang w:eastAsia="en-AU"/>
              </w:rPr>
              <w:t>In progress</w:t>
            </w:r>
          </w:p>
        </w:tc>
      </w:tr>
      <w:tr w:rsidR="00DE583C" w:rsidRPr="009B6095" w14:paraId="02682F56" w14:textId="77777777" w:rsidTr="009B6095">
        <w:trPr>
          <w:trHeight w:val="280"/>
        </w:trPr>
        <w:tc>
          <w:tcPr>
            <w:tcW w:w="1413" w:type="dxa"/>
            <w:vMerge/>
            <w:noWrap/>
            <w:hideMark/>
          </w:tcPr>
          <w:p w14:paraId="0BBF2679" w14:textId="77777777" w:rsidR="00DE583C" w:rsidRPr="009B6095" w:rsidRDefault="00DE583C" w:rsidP="000D06BE">
            <w:pPr>
              <w:pStyle w:val="BodyText"/>
              <w:rPr>
                <w:lang w:eastAsia="en-AU"/>
              </w:rPr>
            </w:pPr>
          </w:p>
        </w:tc>
        <w:tc>
          <w:tcPr>
            <w:tcW w:w="4824" w:type="dxa"/>
            <w:noWrap/>
            <w:hideMark/>
          </w:tcPr>
          <w:p w14:paraId="3F33AD40" w14:textId="77777777" w:rsidR="00DE583C" w:rsidRPr="009B6095" w:rsidRDefault="00DE583C" w:rsidP="000D06BE">
            <w:pPr>
              <w:pStyle w:val="BodyText"/>
              <w:rPr>
                <w:lang w:eastAsia="en-AU"/>
              </w:rPr>
            </w:pPr>
            <w:r w:rsidRPr="009B6095">
              <w:rPr>
                <w:lang w:eastAsia="en-AU"/>
              </w:rPr>
              <w:t>Delivering the $13 billion Queensland and Australian Government funded program to upgrade the Bruce Highway (2013–14 to 2027–28) as part of QTRIP.</w:t>
            </w:r>
          </w:p>
        </w:tc>
        <w:tc>
          <w:tcPr>
            <w:tcW w:w="1838" w:type="dxa"/>
            <w:noWrap/>
            <w:hideMark/>
          </w:tcPr>
          <w:p w14:paraId="3C8A3A0E" w14:textId="77777777" w:rsidR="00DE583C" w:rsidRPr="009B6095" w:rsidRDefault="00DE583C" w:rsidP="000D06BE">
            <w:pPr>
              <w:pStyle w:val="BodyText"/>
              <w:rPr>
                <w:lang w:eastAsia="en-AU"/>
              </w:rPr>
            </w:pPr>
            <w:r w:rsidRPr="009B6095">
              <w:rPr>
                <w:lang w:eastAsia="en-AU"/>
              </w:rPr>
              <w:t>Growing our Regions</w:t>
            </w:r>
          </w:p>
        </w:tc>
        <w:tc>
          <w:tcPr>
            <w:tcW w:w="1134" w:type="dxa"/>
            <w:hideMark/>
          </w:tcPr>
          <w:p w14:paraId="1DE201B5" w14:textId="77777777" w:rsidR="00DE583C" w:rsidRPr="009B6095" w:rsidRDefault="00DE583C" w:rsidP="000D06BE">
            <w:pPr>
              <w:pStyle w:val="BodyText"/>
              <w:rPr>
                <w:lang w:eastAsia="en-AU"/>
              </w:rPr>
            </w:pPr>
            <w:r w:rsidRPr="009B6095">
              <w:rPr>
                <w:lang w:eastAsia="en-AU"/>
              </w:rPr>
              <w:t>In progress</w:t>
            </w:r>
          </w:p>
        </w:tc>
      </w:tr>
      <w:tr w:rsidR="00DE583C" w:rsidRPr="009B6095" w14:paraId="37FBC92F" w14:textId="77777777" w:rsidTr="009B6095">
        <w:trPr>
          <w:trHeight w:val="280"/>
        </w:trPr>
        <w:tc>
          <w:tcPr>
            <w:tcW w:w="1413" w:type="dxa"/>
            <w:vMerge/>
            <w:noWrap/>
            <w:hideMark/>
          </w:tcPr>
          <w:p w14:paraId="71EC9AA8" w14:textId="77777777" w:rsidR="00DE583C" w:rsidRPr="009B6095" w:rsidRDefault="00DE583C" w:rsidP="000D06BE">
            <w:pPr>
              <w:pStyle w:val="BodyText"/>
              <w:rPr>
                <w:lang w:eastAsia="en-AU"/>
              </w:rPr>
            </w:pPr>
          </w:p>
        </w:tc>
        <w:tc>
          <w:tcPr>
            <w:tcW w:w="4824" w:type="dxa"/>
            <w:noWrap/>
            <w:hideMark/>
          </w:tcPr>
          <w:p w14:paraId="1CF60384" w14:textId="77777777" w:rsidR="00DE583C" w:rsidRPr="009B6095" w:rsidRDefault="00DE583C" w:rsidP="000D06BE">
            <w:pPr>
              <w:pStyle w:val="BodyText"/>
              <w:rPr>
                <w:lang w:eastAsia="en-AU"/>
              </w:rPr>
            </w:pPr>
            <w:r w:rsidRPr="009B6095">
              <w:rPr>
                <w:lang w:eastAsia="en-AU"/>
              </w:rPr>
              <w:t xml:space="preserve">Continued oversight of the Bruce Highway Trust Advisory Council, including the delivery of the Safer Bruce 2030 Action Plan. </w:t>
            </w:r>
          </w:p>
        </w:tc>
        <w:tc>
          <w:tcPr>
            <w:tcW w:w="1838" w:type="dxa"/>
            <w:noWrap/>
            <w:hideMark/>
          </w:tcPr>
          <w:p w14:paraId="24F19953" w14:textId="77777777" w:rsidR="00DE583C" w:rsidRPr="009B6095" w:rsidRDefault="00DE583C" w:rsidP="000D06BE">
            <w:pPr>
              <w:pStyle w:val="BodyText"/>
              <w:rPr>
                <w:lang w:eastAsia="en-AU"/>
              </w:rPr>
            </w:pPr>
            <w:r w:rsidRPr="009B6095">
              <w:rPr>
                <w:lang w:eastAsia="en-AU"/>
              </w:rPr>
              <w:t>Growing our Regions</w:t>
            </w:r>
          </w:p>
        </w:tc>
        <w:tc>
          <w:tcPr>
            <w:tcW w:w="1134" w:type="dxa"/>
            <w:hideMark/>
          </w:tcPr>
          <w:p w14:paraId="6393CBBC" w14:textId="77777777" w:rsidR="00DE583C" w:rsidRPr="009B6095" w:rsidRDefault="00DE583C" w:rsidP="000D06BE">
            <w:pPr>
              <w:pStyle w:val="BodyText"/>
              <w:rPr>
                <w:lang w:eastAsia="en-AU"/>
              </w:rPr>
            </w:pPr>
            <w:r w:rsidRPr="009B6095">
              <w:rPr>
                <w:lang w:eastAsia="en-AU"/>
              </w:rPr>
              <w:t>In progress</w:t>
            </w:r>
          </w:p>
        </w:tc>
      </w:tr>
      <w:tr w:rsidR="00DE583C" w:rsidRPr="009B6095" w14:paraId="3C93476E" w14:textId="77777777" w:rsidTr="009B6095">
        <w:trPr>
          <w:trHeight w:val="280"/>
        </w:trPr>
        <w:tc>
          <w:tcPr>
            <w:tcW w:w="1413" w:type="dxa"/>
            <w:vMerge/>
            <w:noWrap/>
            <w:hideMark/>
          </w:tcPr>
          <w:p w14:paraId="5161DA67" w14:textId="77777777" w:rsidR="00DE583C" w:rsidRPr="009B6095" w:rsidRDefault="00DE583C" w:rsidP="000D06BE">
            <w:pPr>
              <w:pStyle w:val="BodyText"/>
              <w:rPr>
                <w:lang w:eastAsia="en-AU"/>
              </w:rPr>
            </w:pPr>
          </w:p>
        </w:tc>
        <w:tc>
          <w:tcPr>
            <w:tcW w:w="4824" w:type="dxa"/>
            <w:noWrap/>
            <w:hideMark/>
          </w:tcPr>
          <w:p w14:paraId="32048274" w14:textId="77777777" w:rsidR="00DE583C" w:rsidRPr="009B6095" w:rsidRDefault="00DE583C" w:rsidP="000D06BE">
            <w:pPr>
              <w:pStyle w:val="BodyText"/>
              <w:rPr>
                <w:lang w:eastAsia="en-AU"/>
              </w:rPr>
            </w:pPr>
            <w:r w:rsidRPr="009B6095">
              <w:rPr>
                <w:lang w:eastAsia="en-AU"/>
              </w:rPr>
              <w:t>Delivered $400 million towards a $440.25 million program across 42 projects of road upgrades.</w:t>
            </w:r>
          </w:p>
        </w:tc>
        <w:tc>
          <w:tcPr>
            <w:tcW w:w="1838" w:type="dxa"/>
            <w:noWrap/>
            <w:hideMark/>
          </w:tcPr>
          <w:p w14:paraId="720D583B" w14:textId="77777777" w:rsidR="00DE583C" w:rsidRPr="009B6095" w:rsidRDefault="00DE583C" w:rsidP="000D06BE">
            <w:pPr>
              <w:pStyle w:val="BodyText"/>
              <w:rPr>
                <w:lang w:eastAsia="en-AU"/>
              </w:rPr>
            </w:pPr>
            <w:r w:rsidRPr="009B6095">
              <w:rPr>
                <w:lang w:eastAsia="en-AU"/>
              </w:rPr>
              <w:t>Growing our Regions</w:t>
            </w:r>
          </w:p>
        </w:tc>
        <w:tc>
          <w:tcPr>
            <w:tcW w:w="1134" w:type="dxa"/>
            <w:hideMark/>
          </w:tcPr>
          <w:p w14:paraId="04FEC334" w14:textId="77777777" w:rsidR="00DE583C" w:rsidRPr="009B6095" w:rsidRDefault="00DE583C" w:rsidP="000D06BE">
            <w:pPr>
              <w:pStyle w:val="BodyText"/>
              <w:rPr>
                <w:lang w:eastAsia="en-AU"/>
              </w:rPr>
            </w:pPr>
            <w:r w:rsidRPr="009B6095">
              <w:rPr>
                <w:lang w:eastAsia="en-AU"/>
              </w:rPr>
              <w:t>In progress</w:t>
            </w:r>
          </w:p>
        </w:tc>
      </w:tr>
      <w:tr w:rsidR="00DE583C" w:rsidRPr="009B6095" w14:paraId="5C50D278" w14:textId="77777777" w:rsidTr="009B6095">
        <w:trPr>
          <w:trHeight w:val="280"/>
        </w:trPr>
        <w:tc>
          <w:tcPr>
            <w:tcW w:w="1413" w:type="dxa"/>
            <w:vMerge/>
            <w:noWrap/>
            <w:hideMark/>
          </w:tcPr>
          <w:p w14:paraId="792820DF" w14:textId="77777777" w:rsidR="00DE583C" w:rsidRPr="009B6095" w:rsidRDefault="00DE583C" w:rsidP="000D06BE">
            <w:pPr>
              <w:pStyle w:val="BodyText"/>
              <w:rPr>
                <w:lang w:eastAsia="en-AU"/>
              </w:rPr>
            </w:pPr>
          </w:p>
        </w:tc>
        <w:tc>
          <w:tcPr>
            <w:tcW w:w="4824" w:type="dxa"/>
            <w:noWrap/>
            <w:hideMark/>
          </w:tcPr>
          <w:p w14:paraId="13820A05" w14:textId="77777777" w:rsidR="00DE583C" w:rsidRPr="009B6095" w:rsidRDefault="00DE583C" w:rsidP="000D06BE">
            <w:pPr>
              <w:pStyle w:val="BodyText"/>
              <w:rPr>
                <w:lang w:eastAsia="en-AU"/>
              </w:rPr>
            </w:pPr>
            <w:r w:rsidRPr="009B6095">
              <w:rPr>
                <w:lang w:eastAsia="en-AU"/>
              </w:rPr>
              <w:t>Delivering the Maritime Infrastructure Investment Program</w:t>
            </w:r>
          </w:p>
        </w:tc>
        <w:tc>
          <w:tcPr>
            <w:tcW w:w="1838" w:type="dxa"/>
            <w:noWrap/>
            <w:hideMark/>
          </w:tcPr>
          <w:p w14:paraId="7EC710CB" w14:textId="77777777" w:rsidR="00DE583C" w:rsidRPr="009B6095" w:rsidRDefault="00DE583C" w:rsidP="000D06BE">
            <w:pPr>
              <w:pStyle w:val="BodyText"/>
              <w:rPr>
                <w:lang w:eastAsia="en-AU"/>
              </w:rPr>
            </w:pPr>
            <w:r w:rsidRPr="009B6095">
              <w:rPr>
                <w:lang w:eastAsia="en-AU"/>
              </w:rPr>
              <w:t>Growing our Regions</w:t>
            </w:r>
          </w:p>
        </w:tc>
        <w:tc>
          <w:tcPr>
            <w:tcW w:w="1134" w:type="dxa"/>
            <w:hideMark/>
          </w:tcPr>
          <w:p w14:paraId="35DC37AE" w14:textId="77777777" w:rsidR="00DE583C" w:rsidRPr="009B6095" w:rsidRDefault="00DE583C" w:rsidP="000D06BE">
            <w:pPr>
              <w:pStyle w:val="BodyText"/>
              <w:rPr>
                <w:lang w:eastAsia="en-AU"/>
              </w:rPr>
            </w:pPr>
            <w:r w:rsidRPr="009B6095">
              <w:rPr>
                <w:lang w:eastAsia="en-AU"/>
              </w:rPr>
              <w:t>In progress</w:t>
            </w:r>
          </w:p>
        </w:tc>
      </w:tr>
      <w:tr w:rsidR="00DE583C" w:rsidRPr="009B6095" w14:paraId="51770FFD" w14:textId="77777777" w:rsidTr="009B6095">
        <w:trPr>
          <w:trHeight w:val="280"/>
        </w:trPr>
        <w:tc>
          <w:tcPr>
            <w:tcW w:w="1413" w:type="dxa"/>
            <w:vMerge/>
            <w:noWrap/>
            <w:hideMark/>
          </w:tcPr>
          <w:p w14:paraId="23A731A4" w14:textId="77777777" w:rsidR="00DE583C" w:rsidRPr="009B6095" w:rsidRDefault="00DE583C" w:rsidP="000D06BE">
            <w:pPr>
              <w:pStyle w:val="BodyText"/>
              <w:rPr>
                <w:lang w:eastAsia="en-AU"/>
              </w:rPr>
            </w:pPr>
          </w:p>
        </w:tc>
        <w:tc>
          <w:tcPr>
            <w:tcW w:w="4824" w:type="dxa"/>
            <w:noWrap/>
            <w:hideMark/>
          </w:tcPr>
          <w:p w14:paraId="60283791" w14:textId="46DAE938" w:rsidR="00DE583C" w:rsidRPr="009B6095" w:rsidRDefault="00DE583C" w:rsidP="000D06BE">
            <w:pPr>
              <w:pStyle w:val="BodyText"/>
              <w:rPr>
                <w:lang w:eastAsia="en-AU"/>
              </w:rPr>
            </w:pPr>
            <w:r w:rsidRPr="009B6095">
              <w:rPr>
                <w:lang w:eastAsia="en-AU"/>
              </w:rPr>
              <w:t xml:space="preserve">Refining and implementing the </w:t>
            </w:r>
            <w:r w:rsidR="007C1F52" w:rsidRPr="009B6095">
              <w:rPr>
                <w:lang w:eastAsia="en-AU"/>
              </w:rPr>
              <w:t>10-year</w:t>
            </w:r>
            <w:r w:rsidRPr="009B6095">
              <w:rPr>
                <w:lang w:eastAsia="en-AU"/>
              </w:rPr>
              <w:t xml:space="preserve"> pipeline of rail planning and projects for South East Queensland. </w:t>
            </w:r>
          </w:p>
        </w:tc>
        <w:tc>
          <w:tcPr>
            <w:tcW w:w="1838" w:type="dxa"/>
            <w:noWrap/>
            <w:hideMark/>
          </w:tcPr>
          <w:p w14:paraId="01E8B176" w14:textId="77777777" w:rsidR="00DE583C" w:rsidRPr="009B6095" w:rsidRDefault="00DE583C" w:rsidP="000D06BE">
            <w:pPr>
              <w:pStyle w:val="BodyText"/>
              <w:rPr>
                <w:lang w:eastAsia="en-AU"/>
              </w:rPr>
            </w:pPr>
            <w:r w:rsidRPr="009B6095">
              <w:rPr>
                <w:lang w:eastAsia="en-AU"/>
              </w:rPr>
              <w:t>Growing our Regions</w:t>
            </w:r>
          </w:p>
        </w:tc>
        <w:tc>
          <w:tcPr>
            <w:tcW w:w="1134" w:type="dxa"/>
            <w:hideMark/>
          </w:tcPr>
          <w:p w14:paraId="56ECB20A" w14:textId="77777777" w:rsidR="00DE583C" w:rsidRPr="009B6095" w:rsidRDefault="00DE583C" w:rsidP="000D06BE">
            <w:pPr>
              <w:pStyle w:val="BodyText"/>
              <w:rPr>
                <w:lang w:eastAsia="en-AU"/>
              </w:rPr>
            </w:pPr>
            <w:r w:rsidRPr="009B6095">
              <w:rPr>
                <w:lang w:eastAsia="en-AU"/>
              </w:rPr>
              <w:t>In progress</w:t>
            </w:r>
          </w:p>
        </w:tc>
      </w:tr>
      <w:tr w:rsidR="00DE583C" w:rsidRPr="009B6095" w14:paraId="71ECF3AE" w14:textId="77777777" w:rsidTr="009B6095">
        <w:trPr>
          <w:trHeight w:val="280"/>
        </w:trPr>
        <w:tc>
          <w:tcPr>
            <w:tcW w:w="1413" w:type="dxa"/>
            <w:vMerge/>
            <w:noWrap/>
            <w:hideMark/>
          </w:tcPr>
          <w:p w14:paraId="5FAD2C08" w14:textId="77777777" w:rsidR="00DE583C" w:rsidRPr="009B6095" w:rsidRDefault="00DE583C" w:rsidP="000D06BE">
            <w:pPr>
              <w:pStyle w:val="BodyText"/>
              <w:rPr>
                <w:lang w:eastAsia="en-AU"/>
              </w:rPr>
            </w:pPr>
          </w:p>
        </w:tc>
        <w:tc>
          <w:tcPr>
            <w:tcW w:w="4824" w:type="dxa"/>
            <w:noWrap/>
            <w:hideMark/>
          </w:tcPr>
          <w:p w14:paraId="117F27EB" w14:textId="77777777" w:rsidR="00DE583C" w:rsidRPr="009B6095" w:rsidRDefault="00DE583C" w:rsidP="000D06BE">
            <w:pPr>
              <w:pStyle w:val="BodyText"/>
              <w:rPr>
                <w:lang w:eastAsia="en-AU"/>
              </w:rPr>
            </w:pPr>
            <w:r w:rsidRPr="009B6095">
              <w:rPr>
                <w:lang w:eastAsia="en-AU"/>
              </w:rPr>
              <w:t>Undertaking boat harbour master planning for Manly and Scarborough. Early community engagement for both harbours has been completed and will inform the development of Master Plans for each harbour.</w:t>
            </w:r>
          </w:p>
        </w:tc>
        <w:tc>
          <w:tcPr>
            <w:tcW w:w="1838" w:type="dxa"/>
            <w:noWrap/>
            <w:hideMark/>
          </w:tcPr>
          <w:p w14:paraId="562B2342" w14:textId="77777777" w:rsidR="00DE583C" w:rsidRPr="009B6095" w:rsidRDefault="00DE583C" w:rsidP="000D06BE">
            <w:pPr>
              <w:pStyle w:val="BodyText"/>
              <w:rPr>
                <w:lang w:eastAsia="en-AU"/>
              </w:rPr>
            </w:pPr>
            <w:r w:rsidRPr="009B6095">
              <w:rPr>
                <w:lang w:eastAsia="en-AU"/>
              </w:rPr>
              <w:t>Growing our Regions</w:t>
            </w:r>
          </w:p>
        </w:tc>
        <w:tc>
          <w:tcPr>
            <w:tcW w:w="1134" w:type="dxa"/>
            <w:hideMark/>
          </w:tcPr>
          <w:p w14:paraId="4FF4805B" w14:textId="77777777" w:rsidR="00DE583C" w:rsidRPr="009B6095" w:rsidRDefault="00DE583C" w:rsidP="000D06BE">
            <w:pPr>
              <w:pStyle w:val="BodyText"/>
              <w:rPr>
                <w:lang w:eastAsia="en-AU"/>
              </w:rPr>
            </w:pPr>
            <w:r w:rsidRPr="009B6095">
              <w:rPr>
                <w:lang w:eastAsia="en-AU"/>
              </w:rPr>
              <w:t>In progress</w:t>
            </w:r>
          </w:p>
        </w:tc>
      </w:tr>
      <w:tr w:rsidR="009B6095" w:rsidRPr="009B6095" w14:paraId="63FEE862" w14:textId="77777777" w:rsidTr="009B6095">
        <w:trPr>
          <w:trHeight w:val="280"/>
        </w:trPr>
        <w:tc>
          <w:tcPr>
            <w:tcW w:w="1413" w:type="dxa"/>
            <w:noWrap/>
            <w:hideMark/>
          </w:tcPr>
          <w:p w14:paraId="2A4D4523" w14:textId="77777777" w:rsidR="009B6095" w:rsidRPr="009B6095" w:rsidRDefault="009B6095" w:rsidP="000D06BE">
            <w:pPr>
              <w:pStyle w:val="BodyText"/>
              <w:rPr>
                <w:lang w:eastAsia="en-AU"/>
              </w:rPr>
            </w:pPr>
          </w:p>
        </w:tc>
        <w:tc>
          <w:tcPr>
            <w:tcW w:w="4824" w:type="dxa"/>
            <w:noWrap/>
            <w:hideMark/>
          </w:tcPr>
          <w:p w14:paraId="71620AFB" w14:textId="77777777" w:rsidR="009B6095" w:rsidRPr="009B6095" w:rsidRDefault="009B6095" w:rsidP="000D06BE">
            <w:pPr>
              <w:pStyle w:val="BodyText"/>
              <w:rPr>
                <w:color w:val="auto"/>
                <w:lang w:eastAsia="en-AU"/>
              </w:rPr>
            </w:pPr>
          </w:p>
        </w:tc>
        <w:tc>
          <w:tcPr>
            <w:tcW w:w="1838" w:type="dxa"/>
            <w:noWrap/>
            <w:hideMark/>
          </w:tcPr>
          <w:p w14:paraId="594C3306" w14:textId="77777777" w:rsidR="009B6095" w:rsidRPr="009B6095" w:rsidRDefault="009B6095" w:rsidP="000D06BE">
            <w:pPr>
              <w:pStyle w:val="BodyText"/>
              <w:rPr>
                <w:color w:val="auto"/>
                <w:lang w:eastAsia="en-AU"/>
              </w:rPr>
            </w:pPr>
          </w:p>
        </w:tc>
        <w:tc>
          <w:tcPr>
            <w:tcW w:w="1134" w:type="dxa"/>
            <w:noWrap/>
            <w:hideMark/>
          </w:tcPr>
          <w:p w14:paraId="5B4E4020" w14:textId="77777777" w:rsidR="009B6095" w:rsidRPr="009B6095" w:rsidRDefault="009B6095" w:rsidP="000D06BE">
            <w:pPr>
              <w:pStyle w:val="BodyText"/>
              <w:rPr>
                <w:color w:val="auto"/>
                <w:lang w:eastAsia="en-AU"/>
              </w:rPr>
            </w:pPr>
          </w:p>
        </w:tc>
      </w:tr>
      <w:tr w:rsidR="00543CE1" w:rsidRPr="009B6095" w14:paraId="564FF986" w14:textId="77777777" w:rsidTr="009B6095">
        <w:trPr>
          <w:trHeight w:val="280"/>
        </w:trPr>
        <w:tc>
          <w:tcPr>
            <w:tcW w:w="1413" w:type="dxa"/>
            <w:vMerge w:val="restart"/>
            <w:noWrap/>
            <w:hideMark/>
          </w:tcPr>
          <w:p w14:paraId="57A79EFE" w14:textId="77777777" w:rsidR="00543CE1" w:rsidRPr="00543CE1" w:rsidRDefault="00543CE1" w:rsidP="000D06BE">
            <w:pPr>
              <w:pStyle w:val="BodyText"/>
              <w:rPr>
                <w:rStyle w:val="Strong"/>
              </w:rPr>
            </w:pPr>
            <w:r w:rsidRPr="009B6095">
              <w:rPr>
                <w:rStyle w:val="Strong"/>
                <w:lang w:eastAsia="en-AU"/>
              </w:rPr>
              <w:t>Sustainable</w:t>
            </w:r>
          </w:p>
          <w:p w14:paraId="4525F2DC" w14:textId="548B6E28" w:rsidR="00543CE1" w:rsidRPr="009B6095" w:rsidRDefault="00543CE1" w:rsidP="000D06BE">
            <w:pPr>
              <w:pStyle w:val="BodyText"/>
              <w:rPr>
                <w:rStyle w:val="Emphasis"/>
                <w:lang w:eastAsia="en-AU"/>
              </w:rPr>
            </w:pPr>
            <w:r w:rsidRPr="009B6095">
              <w:rPr>
                <w:rStyle w:val="Emphasis"/>
                <w:lang w:eastAsia="en-AU"/>
              </w:rPr>
              <w:t xml:space="preserve">Planning, investment and delivery outcomes support a more liveable and </w:t>
            </w:r>
            <w:r w:rsidRPr="009B6095">
              <w:rPr>
                <w:rStyle w:val="Emphasis"/>
                <w:lang w:eastAsia="en-AU"/>
              </w:rPr>
              <w:lastRenderedPageBreak/>
              <w:t>prosperous Queensland</w:t>
            </w:r>
          </w:p>
        </w:tc>
        <w:tc>
          <w:tcPr>
            <w:tcW w:w="4824" w:type="dxa"/>
            <w:noWrap/>
            <w:hideMark/>
          </w:tcPr>
          <w:p w14:paraId="5BE2B40B" w14:textId="77777777" w:rsidR="00543CE1" w:rsidRPr="009B6095" w:rsidRDefault="00543CE1" w:rsidP="000D06BE">
            <w:pPr>
              <w:pStyle w:val="BodyText"/>
              <w:rPr>
                <w:lang w:eastAsia="en-AU"/>
              </w:rPr>
            </w:pPr>
            <w:r w:rsidRPr="009B6095">
              <w:rPr>
                <w:lang w:eastAsia="en-AU"/>
              </w:rPr>
              <w:lastRenderedPageBreak/>
              <w:t xml:space="preserve">Continued the War on Wrecks program to work with owners to remove derelict vessels and promote responsible boat ownership. The program contributed to 180 fewer derelict vessels in Queensland waterways. </w:t>
            </w:r>
          </w:p>
        </w:tc>
        <w:tc>
          <w:tcPr>
            <w:tcW w:w="1838" w:type="dxa"/>
            <w:noWrap/>
            <w:hideMark/>
          </w:tcPr>
          <w:p w14:paraId="2321E6D6" w14:textId="77777777" w:rsidR="00543CE1" w:rsidRPr="009B6095" w:rsidRDefault="00543CE1" w:rsidP="000D06BE">
            <w:pPr>
              <w:pStyle w:val="BodyText"/>
              <w:rPr>
                <w:lang w:eastAsia="en-AU"/>
              </w:rPr>
            </w:pPr>
            <w:r w:rsidRPr="009B6095">
              <w:rPr>
                <w:lang w:eastAsia="en-AU"/>
              </w:rPr>
              <w:t>Protecting the environment</w:t>
            </w:r>
          </w:p>
        </w:tc>
        <w:tc>
          <w:tcPr>
            <w:tcW w:w="1134" w:type="dxa"/>
            <w:hideMark/>
          </w:tcPr>
          <w:p w14:paraId="66A1553D" w14:textId="77777777" w:rsidR="00543CE1" w:rsidRPr="009B6095" w:rsidRDefault="00543CE1" w:rsidP="000D06BE">
            <w:pPr>
              <w:pStyle w:val="BodyText"/>
              <w:rPr>
                <w:lang w:eastAsia="en-AU"/>
              </w:rPr>
            </w:pPr>
            <w:r w:rsidRPr="009B6095">
              <w:rPr>
                <w:lang w:eastAsia="en-AU"/>
              </w:rPr>
              <w:t>In progress</w:t>
            </w:r>
          </w:p>
        </w:tc>
      </w:tr>
      <w:tr w:rsidR="00543CE1" w:rsidRPr="009B6095" w14:paraId="1C7FACA1" w14:textId="77777777" w:rsidTr="00BA0502">
        <w:trPr>
          <w:trHeight w:val="850"/>
        </w:trPr>
        <w:tc>
          <w:tcPr>
            <w:tcW w:w="1413" w:type="dxa"/>
            <w:vMerge/>
            <w:hideMark/>
          </w:tcPr>
          <w:p w14:paraId="552466E4" w14:textId="4C5FCFFA" w:rsidR="00543CE1" w:rsidRPr="009B6095" w:rsidRDefault="00543CE1" w:rsidP="009B6095">
            <w:pPr>
              <w:spacing w:before="0" w:line="240" w:lineRule="auto"/>
              <w:rPr>
                <w:rFonts w:eastAsia="Times New Roman" w:cs="Times New Roman"/>
                <w:color w:val="000000"/>
                <w:szCs w:val="18"/>
                <w:lang w:eastAsia="en-AU"/>
              </w:rPr>
            </w:pPr>
          </w:p>
        </w:tc>
        <w:tc>
          <w:tcPr>
            <w:tcW w:w="4824" w:type="dxa"/>
            <w:noWrap/>
            <w:hideMark/>
          </w:tcPr>
          <w:p w14:paraId="708C112A" w14:textId="77777777" w:rsidR="00543CE1" w:rsidRPr="009B6095" w:rsidRDefault="00543CE1" w:rsidP="000D06BE">
            <w:pPr>
              <w:pStyle w:val="BodyText"/>
              <w:rPr>
                <w:lang w:eastAsia="en-AU"/>
              </w:rPr>
            </w:pPr>
            <w:r w:rsidRPr="009B6095">
              <w:rPr>
                <w:lang w:eastAsia="en-AU"/>
              </w:rPr>
              <w:t xml:space="preserve">Adding 24 new fast charging locations to the existing 31 locations on the QESH, supported by a $3.83 million investment to further connect Western Queensland to the existing QESH network. </w:t>
            </w:r>
          </w:p>
        </w:tc>
        <w:tc>
          <w:tcPr>
            <w:tcW w:w="1838" w:type="dxa"/>
            <w:noWrap/>
            <w:hideMark/>
          </w:tcPr>
          <w:p w14:paraId="487B7E61" w14:textId="77777777" w:rsidR="00543CE1" w:rsidRPr="009B6095" w:rsidRDefault="00543CE1" w:rsidP="000D06BE">
            <w:pPr>
              <w:pStyle w:val="BodyText"/>
              <w:rPr>
                <w:lang w:eastAsia="en-AU"/>
              </w:rPr>
            </w:pPr>
            <w:r w:rsidRPr="009B6095">
              <w:rPr>
                <w:lang w:eastAsia="en-AU"/>
              </w:rPr>
              <w:t>Protecting the environment</w:t>
            </w:r>
          </w:p>
        </w:tc>
        <w:tc>
          <w:tcPr>
            <w:tcW w:w="1134" w:type="dxa"/>
            <w:hideMark/>
          </w:tcPr>
          <w:p w14:paraId="44AC2E79" w14:textId="77777777" w:rsidR="00543CE1" w:rsidRPr="009B6095" w:rsidRDefault="00543CE1" w:rsidP="000D06BE">
            <w:pPr>
              <w:pStyle w:val="BodyText"/>
              <w:rPr>
                <w:lang w:eastAsia="en-AU"/>
              </w:rPr>
            </w:pPr>
            <w:r w:rsidRPr="009B6095">
              <w:rPr>
                <w:lang w:eastAsia="en-AU"/>
              </w:rPr>
              <w:t>In progress</w:t>
            </w:r>
          </w:p>
        </w:tc>
      </w:tr>
      <w:tr w:rsidR="00543CE1" w:rsidRPr="009B6095" w14:paraId="273D5652" w14:textId="77777777" w:rsidTr="009B6095">
        <w:trPr>
          <w:trHeight w:val="290"/>
        </w:trPr>
        <w:tc>
          <w:tcPr>
            <w:tcW w:w="1413" w:type="dxa"/>
            <w:vMerge/>
            <w:noWrap/>
            <w:hideMark/>
          </w:tcPr>
          <w:p w14:paraId="690E59B4" w14:textId="77777777" w:rsidR="00543CE1" w:rsidRPr="009B6095" w:rsidRDefault="00543CE1" w:rsidP="009B6095">
            <w:pPr>
              <w:spacing w:before="0" w:line="240" w:lineRule="auto"/>
              <w:rPr>
                <w:rFonts w:eastAsia="Times New Roman" w:cs="Times New Roman"/>
                <w:color w:val="000000"/>
                <w:szCs w:val="18"/>
                <w:lang w:eastAsia="en-AU"/>
              </w:rPr>
            </w:pPr>
          </w:p>
        </w:tc>
        <w:tc>
          <w:tcPr>
            <w:tcW w:w="4824" w:type="dxa"/>
            <w:noWrap/>
            <w:hideMark/>
          </w:tcPr>
          <w:p w14:paraId="66943797" w14:textId="77777777" w:rsidR="00543CE1" w:rsidRPr="009B6095" w:rsidRDefault="00543CE1" w:rsidP="000D06BE">
            <w:pPr>
              <w:pStyle w:val="BodyText"/>
              <w:rPr>
                <w:lang w:eastAsia="en-AU"/>
              </w:rPr>
            </w:pPr>
            <w:r w:rsidRPr="009B6095">
              <w:rPr>
                <w:lang w:eastAsia="en-AU"/>
              </w:rPr>
              <w:t xml:space="preserve">Released the new </w:t>
            </w:r>
            <w:r w:rsidRPr="009B6095">
              <w:rPr>
                <w:i/>
                <w:iCs/>
                <w:lang w:eastAsia="en-AU"/>
              </w:rPr>
              <w:t>Zero Emission Vehicle Strategy</w:t>
            </w:r>
            <w:r w:rsidRPr="009B6095">
              <w:rPr>
                <w:lang w:eastAsia="en-AU"/>
              </w:rPr>
              <w:t xml:space="preserve"> to support the government's commitment to zero net emissions by 2050. </w:t>
            </w:r>
          </w:p>
        </w:tc>
        <w:tc>
          <w:tcPr>
            <w:tcW w:w="1838" w:type="dxa"/>
            <w:noWrap/>
            <w:hideMark/>
          </w:tcPr>
          <w:p w14:paraId="5F257698" w14:textId="77777777" w:rsidR="00543CE1" w:rsidRPr="009B6095" w:rsidRDefault="00543CE1" w:rsidP="000D06BE">
            <w:pPr>
              <w:pStyle w:val="BodyText"/>
              <w:rPr>
                <w:lang w:eastAsia="en-AU"/>
              </w:rPr>
            </w:pPr>
            <w:r w:rsidRPr="009B6095">
              <w:rPr>
                <w:lang w:eastAsia="en-AU"/>
              </w:rPr>
              <w:t>Protecting the environment</w:t>
            </w:r>
          </w:p>
        </w:tc>
        <w:tc>
          <w:tcPr>
            <w:tcW w:w="1134" w:type="dxa"/>
            <w:hideMark/>
          </w:tcPr>
          <w:p w14:paraId="3B437DC9" w14:textId="77777777" w:rsidR="00543CE1" w:rsidRPr="009B6095" w:rsidRDefault="00543CE1" w:rsidP="000D06BE">
            <w:pPr>
              <w:pStyle w:val="BodyText"/>
              <w:rPr>
                <w:lang w:eastAsia="en-AU"/>
              </w:rPr>
            </w:pPr>
            <w:r w:rsidRPr="009B6095">
              <w:rPr>
                <w:lang w:eastAsia="en-AU"/>
              </w:rPr>
              <w:t>Completed</w:t>
            </w:r>
          </w:p>
        </w:tc>
      </w:tr>
      <w:tr w:rsidR="00543CE1" w:rsidRPr="009B6095" w14:paraId="055A27DA" w14:textId="77777777" w:rsidTr="009B6095">
        <w:trPr>
          <w:trHeight w:val="280"/>
        </w:trPr>
        <w:tc>
          <w:tcPr>
            <w:tcW w:w="1413" w:type="dxa"/>
            <w:vMerge/>
            <w:noWrap/>
            <w:hideMark/>
          </w:tcPr>
          <w:p w14:paraId="77255A82" w14:textId="77777777" w:rsidR="00543CE1" w:rsidRPr="009B6095" w:rsidRDefault="00543CE1" w:rsidP="009B6095">
            <w:pPr>
              <w:spacing w:before="0" w:line="240" w:lineRule="auto"/>
              <w:rPr>
                <w:rFonts w:eastAsia="Times New Roman" w:cs="Times New Roman"/>
                <w:color w:val="000000"/>
                <w:szCs w:val="18"/>
                <w:lang w:eastAsia="en-AU"/>
              </w:rPr>
            </w:pPr>
          </w:p>
        </w:tc>
        <w:tc>
          <w:tcPr>
            <w:tcW w:w="4824" w:type="dxa"/>
            <w:noWrap/>
            <w:hideMark/>
          </w:tcPr>
          <w:p w14:paraId="6F0E1B72" w14:textId="77777777" w:rsidR="00543CE1" w:rsidRPr="009B6095" w:rsidRDefault="00543CE1" w:rsidP="000D06BE">
            <w:pPr>
              <w:pStyle w:val="BodyText"/>
              <w:rPr>
                <w:lang w:eastAsia="en-AU"/>
              </w:rPr>
            </w:pPr>
            <w:r w:rsidRPr="009B6095">
              <w:rPr>
                <w:lang w:eastAsia="en-AU"/>
              </w:rPr>
              <w:t xml:space="preserve">Finalised the agency-wide Climate Change Risk Assessment project, which informed the TMR climate change strategy which aims to position TMR to be ready to respond to the risks posed by climate change. </w:t>
            </w:r>
          </w:p>
        </w:tc>
        <w:tc>
          <w:tcPr>
            <w:tcW w:w="1838" w:type="dxa"/>
            <w:noWrap/>
            <w:hideMark/>
          </w:tcPr>
          <w:p w14:paraId="0B3FC5C0" w14:textId="77777777" w:rsidR="00543CE1" w:rsidRPr="009B6095" w:rsidRDefault="00543CE1" w:rsidP="000D06BE">
            <w:pPr>
              <w:pStyle w:val="BodyText"/>
              <w:rPr>
                <w:lang w:eastAsia="en-AU"/>
              </w:rPr>
            </w:pPr>
            <w:r w:rsidRPr="009B6095">
              <w:rPr>
                <w:lang w:eastAsia="en-AU"/>
              </w:rPr>
              <w:t>Protecting the environment</w:t>
            </w:r>
          </w:p>
        </w:tc>
        <w:tc>
          <w:tcPr>
            <w:tcW w:w="1134" w:type="dxa"/>
            <w:hideMark/>
          </w:tcPr>
          <w:p w14:paraId="2892086E" w14:textId="77777777" w:rsidR="00543CE1" w:rsidRPr="009B6095" w:rsidRDefault="00543CE1" w:rsidP="000D06BE">
            <w:pPr>
              <w:pStyle w:val="BodyText"/>
              <w:rPr>
                <w:lang w:eastAsia="en-AU"/>
              </w:rPr>
            </w:pPr>
            <w:r w:rsidRPr="009B6095">
              <w:rPr>
                <w:lang w:eastAsia="en-AU"/>
              </w:rPr>
              <w:t>Completed</w:t>
            </w:r>
          </w:p>
        </w:tc>
      </w:tr>
      <w:tr w:rsidR="00543CE1" w:rsidRPr="009B6095" w14:paraId="48952434" w14:textId="77777777" w:rsidTr="009B6095">
        <w:trPr>
          <w:trHeight w:val="290"/>
        </w:trPr>
        <w:tc>
          <w:tcPr>
            <w:tcW w:w="1413" w:type="dxa"/>
            <w:vMerge/>
            <w:noWrap/>
            <w:hideMark/>
          </w:tcPr>
          <w:p w14:paraId="6EB77909" w14:textId="77777777" w:rsidR="00543CE1" w:rsidRPr="009B6095" w:rsidRDefault="00543CE1" w:rsidP="009B6095">
            <w:pPr>
              <w:spacing w:before="0" w:line="240" w:lineRule="auto"/>
              <w:rPr>
                <w:rFonts w:eastAsia="Times New Roman" w:cs="Times New Roman"/>
                <w:color w:val="000000"/>
                <w:szCs w:val="18"/>
                <w:lang w:eastAsia="en-AU"/>
              </w:rPr>
            </w:pPr>
          </w:p>
        </w:tc>
        <w:tc>
          <w:tcPr>
            <w:tcW w:w="4824" w:type="dxa"/>
            <w:noWrap/>
            <w:hideMark/>
          </w:tcPr>
          <w:p w14:paraId="0FAB39DF" w14:textId="77777777" w:rsidR="00543CE1" w:rsidRPr="009B6095" w:rsidRDefault="00543CE1" w:rsidP="000D06BE">
            <w:pPr>
              <w:pStyle w:val="BodyText"/>
              <w:rPr>
                <w:lang w:eastAsia="en-AU"/>
              </w:rPr>
            </w:pPr>
            <w:r w:rsidRPr="009B6095">
              <w:rPr>
                <w:lang w:eastAsia="en-AU"/>
              </w:rPr>
              <w:t xml:space="preserve">Implementing the </w:t>
            </w:r>
            <w:r w:rsidRPr="009B6095">
              <w:rPr>
                <w:i/>
                <w:iCs/>
                <w:lang w:eastAsia="en-AU"/>
              </w:rPr>
              <w:t>RoadTek Resource Efficiency Plan 2030</w:t>
            </w:r>
            <w:r w:rsidRPr="009B6095">
              <w:rPr>
                <w:lang w:eastAsia="en-AU"/>
              </w:rPr>
              <w:t xml:space="preserve"> to align with ecological sustainable development principles.</w:t>
            </w:r>
          </w:p>
        </w:tc>
        <w:tc>
          <w:tcPr>
            <w:tcW w:w="1838" w:type="dxa"/>
            <w:noWrap/>
            <w:hideMark/>
          </w:tcPr>
          <w:p w14:paraId="36D7CD32" w14:textId="77777777" w:rsidR="00543CE1" w:rsidRPr="009B6095" w:rsidRDefault="00543CE1" w:rsidP="000D06BE">
            <w:pPr>
              <w:pStyle w:val="BodyText"/>
              <w:rPr>
                <w:lang w:eastAsia="en-AU"/>
              </w:rPr>
            </w:pPr>
            <w:r w:rsidRPr="009B6095">
              <w:rPr>
                <w:lang w:eastAsia="en-AU"/>
              </w:rPr>
              <w:t>Protecting the environment</w:t>
            </w:r>
          </w:p>
        </w:tc>
        <w:tc>
          <w:tcPr>
            <w:tcW w:w="1134" w:type="dxa"/>
            <w:hideMark/>
          </w:tcPr>
          <w:p w14:paraId="0FE7BEF3" w14:textId="77777777" w:rsidR="00543CE1" w:rsidRPr="009B6095" w:rsidRDefault="00543CE1" w:rsidP="000D06BE">
            <w:pPr>
              <w:pStyle w:val="BodyText"/>
              <w:rPr>
                <w:lang w:eastAsia="en-AU"/>
              </w:rPr>
            </w:pPr>
            <w:r w:rsidRPr="009B6095">
              <w:rPr>
                <w:lang w:eastAsia="en-AU"/>
              </w:rPr>
              <w:t>In progress</w:t>
            </w:r>
          </w:p>
        </w:tc>
      </w:tr>
      <w:tr w:rsidR="00543CE1" w:rsidRPr="009B6095" w14:paraId="16491BDD" w14:textId="77777777" w:rsidTr="009B6095">
        <w:trPr>
          <w:trHeight w:val="280"/>
        </w:trPr>
        <w:tc>
          <w:tcPr>
            <w:tcW w:w="1413" w:type="dxa"/>
            <w:vMerge/>
            <w:noWrap/>
            <w:hideMark/>
          </w:tcPr>
          <w:p w14:paraId="1C9AB403" w14:textId="77777777" w:rsidR="00543CE1" w:rsidRPr="009B6095" w:rsidRDefault="00543CE1" w:rsidP="009B6095">
            <w:pPr>
              <w:spacing w:before="0" w:line="240" w:lineRule="auto"/>
              <w:rPr>
                <w:rFonts w:eastAsia="Times New Roman" w:cs="Times New Roman"/>
                <w:color w:val="000000"/>
                <w:szCs w:val="18"/>
                <w:lang w:eastAsia="en-AU"/>
              </w:rPr>
            </w:pPr>
          </w:p>
        </w:tc>
        <w:tc>
          <w:tcPr>
            <w:tcW w:w="4824" w:type="dxa"/>
            <w:noWrap/>
            <w:hideMark/>
          </w:tcPr>
          <w:p w14:paraId="75F897C0" w14:textId="77777777" w:rsidR="00543CE1" w:rsidRPr="009B6095" w:rsidRDefault="00543CE1" w:rsidP="000D06BE">
            <w:pPr>
              <w:pStyle w:val="BodyText"/>
              <w:rPr>
                <w:lang w:eastAsia="en-AU"/>
              </w:rPr>
            </w:pPr>
            <w:r w:rsidRPr="009B6095">
              <w:rPr>
                <w:lang w:eastAsia="en-AU"/>
              </w:rPr>
              <w:t>Embraced innovation in engineering material to reduce carbon emissions and sediment loss into waterways, including use of recycled and sustainable materials in the construction and maintenance of state-controlled roads.</w:t>
            </w:r>
          </w:p>
        </w:tc>
        <w:tc>
          <w:tcPr>
            <w:tcW w:w="1838" w:type="dxa"/>
            <w:noWrap/>
            <w:hideMark/>
          </w:tcPr>
          <w:p w14:paraId="5CE29796" w14:textId="77777777" w:rsidR="00543CE1" w:rsidRPr="009B6095" w:rsidRDefault="00543CE1" w:rsidP="000D06BE">
            <w:pPr>
              <w:pStyle w:val="BodyText"/>
              <w:rPr>
                <w:lang w:eastAsia="en-AU"/>
              </w:rPr>
            </w:pPr>
            <w:r w:rsidRPr="009B6095">
              <w:rPr>
                <w:lang w:eastAsia="en-AU"/>
              </w:rPr>
              <w:t>Protecting the environment</w:t>
            </w:r>
          </w:p>
        </w:tc>
        <w:tc>
          <w:tcPr>
            <w:tcW w:w="1134" w:type="dxa"/>
            <w:hideMark/>
          </w:tcPr>
          <w:p w14:paraId="7BDE32A0" w14:textId="77777777" w:rsidR="00543CE1" w:rsidRPr="009B6095" w:rsidRDefault="00543CE1" w:rsidP="000D06BE">
            <w:pPr>
              <w:pStyle w:val="BodyText"/>
              <w:rPr>
                <w:lang w:eastAsia="en-AU"/>
              </w:rPr>
            </w:pPr>
            <w:r w:rsidRPr="009B6095">
              <w:rPr>
                <w:lang w:eastAsia="en-AU"/>
              </w:rPr>
              <w:t>In progress</w:t>
            </w:r>
          </w:p>
        </w:tc>
      </w:tr>
      <w:tr w:rsidR="00543CE1" w:rsidRPr="009B6095" w14:paraId="52F66D14" w14:textId="77777777" w:rsidTr="009B6095">
        <w:trPr>
          <w:trHeight w:val="280"/>
        </w:trPr>
        <w:tc>
          <w:tcPr>
            <w:tcW w:w="1413" w:type="dxa"/>
            <w:vMerge/>
            <w:noWrap/>
            <w:hideMark/>
          </w:tcPr>
          <w:p w14:paraId="0DBEAAF4" w14:textId="77777777" w:rsidR="00543CE1" w:rsidRPr="009B6095" w:rsidRDefault="00543CE1" w:rsidP="009B6095">
            <w:pPr>
              <w:spacing w:before="0" w:line="240" w:lineRule="auto"/>
              <w:rPr>
                <w:rFonts w:eastAsia="Times New Roman" w:cs="Times New Roman"/>
                <w:color w:val="000000"/>
                <w:szCs w:val="18"/>
                <w:lang w:eastAsia="en-AU"/>
              </w:rPr>
            </w:pPr>
          </w:p>
        </w:tc>
        <w:tc>
          <w:tcPr>
            <w:tcW w:w="4824" w:type="dxa"/>
            <w:noWrap/>
            <w:hideMark/>
          </w:tcPr>
          <w:p w14:paraId="66B118EC" w14:textId="77777777" w:rsidR="00543CE1" w:rsidRPr="009B6095" w:rsidRDefault="00543CE1" w:rsidP="000D06BE">
            <w:pPr>
              <w:pStyle w:val="BodyText"/>
              <w:rPr>
                <w:lang w:eastAsia="en-AU"/>
              </w:rPr>
            </w:pPr>
            <w:r w:rsidRPr="009B6095">
              <w:rPr>
                <w:lang w:eastAsia="en-AU"/>
              </w:rPr>
              <w:t>Delivered new Bicycle Riding Encouragement Program community grants to help increase the number of people who regularly ride a bike. Fifteen grants were awarded in February 2021 across two streams—grassroots funding and innovation funding. They are currently being implemented.</w:t>
            </w:r>
          </w:p>
        </w:tc>
        <w:tc>
          <w:tcPr>
            <w:tcW w:w="1838" w:type="dxa"/>
            <w:noWrap/>
            <w:hideMark/>
          </w:tcPr>
          <w:p w14:paraId="3315FE1C" w14:textId="77777777" w:rsidR="00543CE1" w:rsidRPr="009B6095" w:rsidRDefault="00543CE1" w:rsidP="000D06BE">
            <w:pPr>
              <w:pStyle w:val="BodyText"/>
              <w:rPr>
                <w:lang w:eastAsia="en-AU"/>
              </w:rPr>
            </w:pPr>
            <w:r w:rsidRPr="009B6095">
              <w:rPr>
                <w:lang w:eastAsia="en-AU"/>
              </w:rPr>
              <w:t>Protecting the environment</w:t>
            </w:r>
          </w:p>
        </w:tc>
        <w:tc>
          <w:tcPr>
            <w:tcW w:w="1134" w:type="dxa"/>
            <w:hideMark/>
          </w:tcPr>
          <w:p w14:paraId="6DC252FC" w14:textId="77777777" w:rsidR="00543CE1" w:rsidRPr="009B6095" w:rsidRDefault="00543CE1" w:rsidP="000D06BE">
            <w:pPr>
              <w:pStyle w:val="BodyText"/>
              <w:rPr>
                <w:lang w:eastAsia="en-AU"/>
              </w:rPr>
            </w:pPr>
            <w:r w:rsidRPr="009B6095">
              <w:rPr>
                <w:lang w:eastAsia="en-AU"/>
              </w:rPr>
              <w:t>Completed</w:t>
            </w:r>
          </w:p>
        </w:tc>
      </w:tr>
      <w:tr w:rsidR="00543CE1" w:rsidRPr="009B6095" w14:paraId="0CAD13EB" w14:textId="77777777" w:rsidTr="009B6095">
        <w:trPr>
          <w:trHeight w:val="290"/>
        </w:trPr>
        <w:tc>
          <w:tcPr>
            <w:tcW w:w="1413" w:type="dxa"/>
            <w:vMerge/>
            <w:noWrap/>
            <w:hideMark/>
          </w:tcPr>
          <w:p w14:paraId="52C388E2" w14:textId="77777777" w:rsidR="00543CE1" w:rsidRPr="009B6095" w:rsidRDefault="00543CE1" w:rsidP="009B6095">
            <w:pPr>
              <w:spacing w:before="0" w:line="240" w:lineRule="auto"/>
              <w:rPr>
                <w:rFonts w:eastAsia="Times New Roman" w:cs="Times New Roman"/>
                <w:color w:val="000000"/>
                <w:szCs w:val="18"/>
                <w:lang w:eastAsia="en-AU"/>
              </w:rPr>
            </w:pPr>
          </w:p>
        </w:tc>
        <w:tc>
          <w:tcPr>
            <w:tcW w:w="4824" w:type="dxa"/>
            <w:noWrap/>
            <w:hideMark/>
          </w:tcPr>
          <w:p w14:paraId="3267202B" w14:textId="77777777" w:rsidR="00543CE1" w:rsidRPr="009B6095" w:rsidRDefault="00543CE1" w:rsidP="000D06BE">
            <w:pPr>
              <w:pStyle w:val="BodyText"/>
              <w:rPr>
                <w:lang w:eastAsia="en-AU"/>
              </w:rPr>
            </w:pPr>
            <w:r w:rsidRPr="009B6095">
              <w:rPr>
                <w:lang w:eastAsia="en-AU"/>
              </w:rPr>
              <w:t xml:space="preserve">Continued implementing the </w:t>
            </w:r>
            <w:r w:rsidRPr="009B6095">
              <w:rPr>
                <w:i/>
                <w:iCs/>
                <w:lang w:eastAsia="en-AU"/>
              </w:rPr>
              <w:t>Queensland Walking Strategy 2019–2029</w:t>
            </w:r>
            <w:r w:rsidRPr="009B6095">
              <w:rPr>
                <w:lang w:eastAsia="en-AU"/>
              </w:rPr>
              <w:t xml:space="preserve"> via completion of the first </w:t>
            </w:r>
            <w:r w:rsidRPr="009B6095">
              <w:rPr>
                <w:i/>
                <w:iCs/>
                <w:lang w:eastAsia="en-AU"/>
              </w:rPr>
              <w:t>Action Plan for Walking 2019–2021</w:t>
            </w:r>
            <w:r w:rsidRPr="009B6095">
              <w:rPr>
                <w:lang w:eastAsia="en-AU"/>
              </w:rPr>
              <w:t xml:space="preserve"> to encourage more walking in Queensland. Released a second action plan for 2022–2024.</w:t>
            </w:r>
          </w:p>
        </w:tc>
        <w:tc>
          <w:tcPr>
            <w:tcW w:w="1838" w:type="dxa"/>
            <w:noWrap/>
            <w:hideMark/>
          </w:tcPr>
          <w:p w14:paraId="3949D1D6" w14:textId="77777777" w:rsidR="00543CE1" w:rsidRPr="009B6095" w:rsidRDefault="00543CE1" w:rsidP="000D06BE">
            <w:pPr>
              <w:pStyle w:val="BodyText"/>
              <w:rPr>
                <w:lang w:eastAsia="en-AU"/>
              </w:rPr>
            </w:pPr>
            <w:r w:rsidRPr="009B6095">
              <w:rPr>
                <w:lang w:eastAsia="en-AU"/>
              </w:rPr>
              <w:t>Protecting the environment</w:t>
            </w:r>
          </w:p>
        </w:tc>
        <w:tc>
          <w:tcPr>
            <w:tcW w:w="1134" w:type="dxa"/>
            <w:hideMark/>
          </w:tcPr>
          <w:p w14:paraId="6003CBC4" w14:textId="77777777" w:rsidR="00543CE1" w:rsidRPr="009B6095" w:rsidRDefault="00543CE1" w:rsidP="000D06BE">
            <w:pPr>
              <w:pStyle w:val="BodyText"/>
              <w:rPr>
                <w:lang w:eastAsia="en-AU"/>
              </w:rPr>
            </w:pPr>
            <w:r w:rsidRPr="009B6095">
              <w:rPr>
                <w:lang w:eastAsia="en-AU"/>
              </w:rPr>
              <w:t>In progress</w:t>
            </w:r>
          </w:p>
        </w:tc>
      </w:tr>
      <w:tr w:rsidR="00543CE1" w:rsidRPr="009B6095" w14:paraId="36B8FB63" w14:textId="77777777" w:rsidTr="009B6095">
        <w:trPr>
          <w:trHeight w:val="290"/>
        </w:trPr>
        <w:tc>
          <w:tcPr>
            <w:tcW w:w="1413" w:type="dxa"/>
            <w:vMerge/>
            <w:noWrap/>
            <w:hideMark/>
          </w:tcPr>
          <w:p w14:paraId="66E1DF8F" w14:textId="77777777" w:rsidR="00543CE1" w:rsidRPr="009B6095" w:rsidRDefault="00543CE1" w:rsidP="009B6095">
            <w:pPr>
              <w:spacing w:before="0" w:line="240" w:lineRule="auto"/>
              <w:rPr>
                <w:rFonts w:eastAsia="Times New Roman" w:cs="Times New Roman"/>
                <w:color w:val="000000"/>
                <w:szCs w:val="18"/>
                <w:lang w:eastAsia="en-AU"/>
              </w:rPr>
            </w:pPr>
          </w:p>
        </w:tc>
        <w:tc>
          <w:tcPr>
            <w:tcW w:w="4824" w:type="dxa"/>
            <w:noWrap/>
            <w:hideMark/>
          </w:tcPr>
          <w:p w14:paraId="024A4BD7" w14:textId="77777777" w:rsidR="00543CE1" w:rsidRPr="009B6095" w:rsidRDefault="00543CE1" w:rsidP="000D06BE">
            <w:pPr>
              <w:pStyle w:val="BodyText"/>
              <w:rPr>
                <w:lang w:eastAsia="en-AU"/>
              </w:rPr>
            </w:pPr>
            <w:r w:rsidRPr="009B6095">
              <w:rPr>
                <w:lang w:eastAsia="en-AU"/>
              </w:rPr>
              <w:t xml:space="preserve">Continued implementation of the </w:t>
            </w:r>
            <w:r w:rsidRPr="009B6095">
              <w:rPr>
                <w:i/>
                <w:iCs/>
                <w:lang w:eastAsia="en-AU"/>
              </w:rPr>
              <w:t>Queensland Cycling Strategy 2017–2027</w:t>
            </w:r>
            <w:r w:rsidRPr="009B6095">
              <w:rPr>
                <w:lang w:eastAsia="en-AU"/>
              </w:rPr>
              <w:t xml:space="preserve"> by completing all actions in the </w:t>
            </w:r>
            <w:r w:rsidRPr="009B6095">
              <w:rPr>
                <w:i/>
                <w:iCs/>
                <w:lang w:eastAsia="en-AU"/>
              </w:rPr>
              <w:t>Queensland Cycling Action Plan 2020–2022</w:t>
            </w:r>
            <w:r w:rsidRPr="009B6095">
              <w:rPr>
                <w:lang w:eastAsia="en-AU"/>
              </w:rPr>
              <w:t>, which aims to encourage more cycling, more often.</w:t>
            </w:r>
          </w:p>
        </w:tc>
        <w:tc>
          <w:tcPr>
            <w:tcW w:w="1838" w:type="dxa"/>
            <w:noWrap/>
            <w:hideMark/>
          </w:tcPr>
          <w:p w14:paraId="774C373E" w14:textId="77777777" w:rsidR="00543CE1" w:rsidRPr="009B6095" w:rsidRDefault="00543CE1" w:rsidP="000D06BE">
            <w:pPr>
              <w:pStyle w:val="BodyText"/>
              <w:rPr>
                <w:lang w:eastAsia="en-AU"/>
              </w:rPr>
            </w:pPr>
            <w:r w:rsidRPr="009B6095">
              <w:rPr>
                <w:lang w:eastAsia="en-AU"/>
              </w:rPr>
              <w:t>Protecting the environment</w:t>
            </w:r>
          </w:p>
        </w:tc>
        <w:tc>
          <w:tcPr>
            <w:tcW w:w="1134" w:type="dxa"/>
            <w:hideMark/>
          </w:tcPr>
          <w:p w14:paraId="41F031F2" w14:textId="77777777" w:rsidR="00543CE1" w:rsidRPr="009B6095" w:rsidRDefault="00543CE1" w:rsidP="000D06BE">
            <w:pPr>
              <w:pStyle w:val="BodyText"/>
              <w:rPr>
                <w:lang w:eastAsia="en-AU"/>
              </w:rPr>
            </w:pPr>
            <w:r w:rsidRPr="009B6095">
              <w:rPr>
                <w:lang w:eastAsia="en-AU"/>
              </w:rPr>
              <w:t>In progress</w:t>
            </w:r>
          </w:p>
        </w:tc>
      </w:tr>
      <w:tr w:rsidR="00543CE1" w:rsidRPr="009B6095" w14:paraId="1A1574CE" w14:textId="77777777" w:rsidTr="009B6095">
        <w:trPr>
          <w:trHeight w:val="280"/>
        </w:trPr>
        <w:tc>
          <w:tcPr>
            <w:tcW w:w="1413" w:type="dxa"/>
            <w:vMerge/>
            <w:noWrap/>
            <w:hideMark/>
          </w:tcPr>
          <w:p w14:paraId="7190E312" w14:textId="77777777" w:rsidR="00543CE1" w:rsidRPr="009B6095" w:rsidRDefault="00543CE1" w:rsidP="009B6095">
            <w:pPr>
              <w:spacing w:before="0" w:line="240" w:lineRule="auto"/>
              <w:rPr>
                <w:rFonts w:eastAsia="Times New Roman" w:cs="Times New Roman"/>
                <w:color w:val="000000"/>
                <w:szCs w:val="18"/>
                <w:lang w:eastAsia="en-AU"/>
              </w:rPr>
            </w:pPr>
          </w:p>
        </w:tc>
        <w:tc>
          <w:tcPr>
            <w:tcW w:w="4824" w:type="dxa"/>
            <w:noWrap/>
            <w:hideMark/>
          </w:tcPr>
          <w:p w14:paraId="5E642F22" w14:textId="77777777" w:rsidR="00543CE1" w:rsidRPr="009B6095" w:rsidRDefault="00543CE1" w:rsidP="000D06BE">
            <w:pPr>
              <w:pStyle w:val="BodyText"/>
              <w:rPr>
                <w:lang w:eastAsia="en-AU"/>
              </w:rPr>
            </w:pPr>
            <w:r w:rsidRPr="009B6095">
              <w:rPr>
                <w:lang w:eastAsia="en-AU"/>
              </w:rPr>
              <w:t>Continued to engage and contract with locally based maritime salvors to remove derelict abandoned and illegally dumped vessels under the War on Wrecks program.</w:t>
            </w:r>
          </w:p>
        </w:tc>
        <w:tc>
          <w:tcPr>
            <w:tcW w:w="1838" w:type="dxa"/>
            <w:noWrap/>
            <w:hideMark/>
          </w:tcPr>
          <w:p w14:paraId="44712675" w14:textId="77777777" w:rsidR="00543CE1" w:rsidRPr="009B6095" w:rsidRDefault="00543CE1" w:rsidP="000D06BE">
            <w:pPr>
              <w:pStyle w:val="BodyText"/>
              <w:rPr>
                <w:lang w:eastAsia="en-AU"/>
              </w:rPr>
            </w:pPr>
            <w:r w:rsidRPr="009B6095">
              <w:rPr>
                <w:lang w:eastAsia="en-AU"/>
              </w:rPr>
              <w:t>Supporting jobs</w:t>
            </w:r>
          </w:p>
        </w:tc>
        <w:tc>
          <w:tcPr>
            <w:tcW w:w="1134" w:type="dxa"/>
            <w:noWrap/>
            <w:hideMark/>
          </w:tcPr>
          <w:p w14:paraId="43DD410D" w14:textId="77777777" w:rsidR="00543CE1" w:rsidRPr="009B6095" w:rsidRDefault="00543CE1" w:rsidP="000D06BE">
            <w:pPr>
              <w:pStyle w:val="BodyText"/>
              <w:rPr>
                <w:lang w:eastAsia="en-AU"/>
              </w:rPr>
            </w:pPr>
            <w:r w:rsidRPr="009B6095">
              <w:rPr>
                <w:lang w:eastAsia="en-AU"/>
              </w:rPr>
              <w:t>In progress</w:t>
            </w:r>
          </w:p>
        </w:tc>
      </w:tr>
    </w:tbl>
    <w:p w14:paraId="350E3E99" w14:textId="553C9036" w:rsidR="006800C7" w:rsidRDefault="000254B0" w:rsidP="006800C7">
      <w:pPr>
        <w:pStyle w:val="Heading2"/>
      </w:pPr>
      <w:r>
        <w:lastRenderedPageBreak/>
        <w:br/>
      </w:r>
      <w:r w:rsidR="006800C7">
        <w:t>Strategic opportunities and challenges</w:t>
      </w:r>
    </w:p>
    <w:p w14:paraId="1CCC3982" w14:textId="7FF020D7" w:rsidR="001B5075" w:rsidRDefault="001B5075" w:rsidP="001B5075">
      <w:bookmarkStart w:id="3" w:name="_Hlk77930191"/>
      <w:r>
        <w:t>Brisbane’s selection as host of the 2032 Olympic and Paralympic Games will present unique opportunities and challenges for South East Queensland’s transport system and for TMR. As Queensland’s population continues to grow, hosting the world’s largest multi- sport event will place additional pressure on our networks, services and systems.</w:t>
      </w:r>
    </w:p>
    <w:p w14:paraId="30ED6D71" w14:textId="61C70245" w:rsidR="001B5075" w:rsidRDefault="001B5075" w:rsidP="001B5075">
      <w:r>
        <w:t>Additionally, advances in technology and commercial models have the potential to transform Queensland’s transport system of the future. These developments will test TMR’s ability to satisfy changing customer expectations and needs.</w:t>
      </w:r>
    </w:p>
    <w:p w14:paraId="68094610" w14:textId="51E5BA94" w:rsidR="006800C7" w:rsidRDefault="001B5075" w:rsidP="006800C7">
      <w:pPr>
        <w:pStyle w:val="Heading4"/>
      </w:pPr>
      <w:r>
        <w:t xml:space="preserve">Brisbane 2032 Olympic and Paralympic Games </w:t>
      </w:r>
    </w:p>
    <w:p w14:paraId="7276DBED" w14:textId="58AB1716" w:rsidR="00782C33" w:rsidRDefault="00782C33" w:rsidP="00782C33">
      <w:r>
        <w:t>Brisbane 2032 presents an opportunity to establish new partnerships across all levels of government and with industry to accelerate delivery of much needed infrastructure to support Queensland’s long-term growth. Through the event, TMR has an opportunity to showcase our world-class transport system to locals and visitors alike.</w:t>
      </w:r>
    </w:p>
    <w:p w14:paraId="54E001FE" w14:textId="77777777" w:rsidR="00782C33" w:rsidRDefault="00782C33" w:rsidP="00782C33">
      <w:r>
        <w:t>The Brisbane 2032 Master Plan has been carefully developed to support Brisbane 2032-time operations through existing and planned community facilities and transport infrastructure. Infrastructure investment will support planned urban growth and deliver strong legacy benefits for the local community and region. The Brisbane 2032 Olympic and Paralympic Games will also provide momentum to accelerate the implementation of innovative technologies to:</w:t>
      </w:r>
    </w:p>
    <w:p w14:paraId="30B94085" w14:textId="6C31848D" w:rsidR="00782C33" w:rsidRDefault="00782C33" w:rsidP="00782C33">
      <w:pPr>
        <w:pStyle w:val="ListBullet"/>
      </w:pPr>
      <w:r>
        <w:t>reduce transport’s carbon footprint by expanding low emissions vehicle fleets and encouraging more sustainable travel behaviour, aligning to Queensland Government’s goal of delivering a climate positive Brisbane 2032 Olympic and Paralympic Games</w:t>
      </w:r>
    </w:p>
    <w:p w14:paraId="4DED0096" w14:textId="003FFC14" w:rsidR="00782C33" w:rsidRDefault="00782C33" w:rsidP="00782C33">
      <w:pPr>
        <w:pStyle w:val="ListBullet"/>
      </w:pPr>
      <w:r>
        <w:t>more efficiently coordinate network operations and incident management response</w:t>
      </w:r>
    </w:p>
    <w:p w14:paraId="56AFCB74" w14:textId="385DE784" w:rsidR="001B5075" w:rsidRPr="00AC4C91" w:rsidRDefault="00782C33" w:rsidP="00782C33">
      <w:pPr>
        <w:pStyle w:val="ListBullet"/>
      </w:pPr>
      <w:r>
        <w:t>provide customers with tailored and accessible real-time travel information.</w:t>
      </w:r>
    </w:p>
    <w:p w14:paraId="3DBFEB59" w14:textId="37A0EAFA" w:rsidR="006800C7" w:rsidRPr="00AC4C91" w:rsidRDefault="00FD0629" w:rsidP="006800C7">
      <w:pPr>
        <w:pStyle w:val="Heading4"/>
      </w:pPr>
      <w:r>
        <w:t>Meeting Queensland's future needs</w:t>
      </w:r>
    </w:p>
    <w:p w14:paraId="2F67B5FB" w14:textId="761B3562" w:rsidR="001E1863" w:rsidRDefault="001E1863" w:rsidP="001E1863">
      <w:r>
        <w:t>By 2050, Queensland’s population is expected to reach 8 million people</w:t>
      </w:r>
      <w:r w:rsidR="00E32BA8">
        <w:rPr>
          <w:rStyle w:val="FootnoteReference"/>
        </w:rPr>
        <w:footnoteReference w:id="1"/>
      </w:r>
      <w:r>
        <w:t>.</w:t>
      </w:r>
    </w:p>
    <w:p w14:paraId="03A55140" w14:textId="38DF5D6C" w:rsidR="001E1863" w:rsidRDefault="001E1863" w:rsidP="001E1863">
      <w:r>
        <w:t xml:space="preserve">Designing a transport network for the future requires extensive forecasting, research and planning to best prioritise investments that ensure Queensland’s long-term transport needs are </w:t>
      </w:r>
      <w:r w:rsidR="007C1F52">
        <w:t>met. Our</w:t>
      </w:r>
      <w:r>
        <w:t xml:space="preserve"> infrastructure needs to connect Queensland’s diverse and geographically dispersed population through integrated transport solutions.</w:t>
      </w:r>
    </w:p>
    <w:p w14:paraId="0CCE8E23" w14:textId="303B7039" w:rsidR="001E1863" w:rsidRDefault="001E1863" w:rsidP="001E1863">
      <w:r>
        <w:t xml:space="preserve">The </w:t>
      </w:r>
      <w:r w:rsidRPr="001E1863">
        <w:rPr>
          <w:rStyle w:val="Emphasis"/>
        </w:rPr>
        <w:t>Queensland Transport Strategy</w:t>
      </w:r>
      <w:r>
        <w:t xml:space="preserve"> details TMR’s 30-year vision on how TMR plans to move people and goods safely and efficiently into the future. The convergence of new communication technology, new sources of energy, and new modes of mobility are altering the way people access services and use different modes of transport. TMR is exploring opportunities to harness these trends to ensure existing roads and transport systems</w:t>
      </w:r>
      <w:r w:rsidR="006F7E8C">
        <w:t xml:space="preserve"> </w:t>
      </w:r>
      <w:r>
        <w:t>meet future requirements, as well as working to create a single integrated transport system that anticipates and responds to changing customer needs.</w:t>
      </w:r>
    </w:p>
    <w:p w14:paraId="1B90DA11" w14:textId="77777777" w:rsidR="001E1863" w:rsidRDefault="001E1863" w:rsidP="001E1863">
      <w:r>
        <w:t xml:space="preserve">Strategic future-focused projects, including the Cooperative and Automated Vehicle Initiative (CAVI) and the exploration of Mobility as a Service (MaaS) consider how new technologies may impact the transport network. These projects have </w:t>
      </w:r>
      <w:r>
        <w:lastRenderedPageBreak/>
        <w:t>progressed to real world trials that are delivered with industry and research sectors, highlighting that a partnership approach is essential when considering new technologies.</w:t>
      </w:r>
    </w:p>
    <w:p w14:paraId="168CE562" w14:textId="071F3313" w:rsidR="001E1863" w:rsidRDefault="001E1863" w:rsidP="001E1863">
      <w:r>
        <w:t>These types of projects can also highlight uncertainties within the transport system that impact TMR’s ability to predict and respond to such changes. TMR is exploring methods to robustly plan for and respond to uncertain and changing conditions. Advances</w:t>
      </w:r>
      <w:r w:rsidR="006F7E8C">
        <w:t xml:space="preserve"> </w:t>
      </w:r>
      <w:r>
        <w:t>in technology can also present new security and cyber threats. TMR ensures services meet high security standards and controls through its information security management system.</w:t>
      </w:r>
    </w:p>
    <w:p w14:paraId="6151E665" w14:textId="1BE3B83B" w:rsidR="001E1863" w:rsidRPr="00AC4C91" w:rsidRDefault="001E1863" w:rsidP="001E1863">
      <w:r>
        <w:t>TMR continues to deliver projects through the four-year forward pipeline of work of QTRIP, while implementing regional transport plans that outline the strategic direction of regional transport systems over the next 15 years.</w:t>
      </w:r>
    </w:p>
    <w:p w14:paraId="433D7ADA" w14:textId="77EC129B" w:rsidR="006800C7" w:rsidRPr="00AC4C91" w:rsidRDefault="006A5184" w:rsidP="006800C7">
      <w:pPr>
        <w:pStyle w:val="Heading4"/>
      </w:pPr>
      <w:r>
        <w:t>Responding to change</w:t>
      </w:r>
    </w:p>
    <w:p w14:paraId="7590108E" w14:textId="77777777" w:rsidR="000A3B23" w:rsidRDefault="000A3B23" w:rsidP="000A3B23">
      <w:r>
        <w:t>The pace of technological, social, and environmental change is increasing, bringing with it the potential to change the way people and goods are connected within transport systems.</w:t>
      </w:r>
    </w:p>
    <w:p w14:paraId="23E7F6A8" w14:textId="77777777" w:rsidR="000A3B23" w:rsidRDefault="000A3B23" w:rsidP="000A3B23">
      <w:r>
        <w:t>TMR’s challenge is to align data-driven evidence with dynamic and changing customer behaviours, while remaining agile to disruptive ideas, events and industries. TMR’s various data sources help to unpack information and trends to shape how it responds in the future, such as conducting complex analysis of road crash and trauma data through the Road Safety Data Bureau.</w:t>
      </w:r>
    </w:p>
    <w:p w14:paraId="151CD92A" w14:textId="77777777" w:rsidR="000A3B23" w:rsidRDefault="000A3B23" w:rsidP="000A3B23">
      <w:r>
        <w:t>TMR also undertook research to assess the impact of COVID-19 on traffic and public transport usage. COVID-19 has seen an acceleration of remote work and study options, disrupting traditional commuter travel patterns. TMR recognises the need to adapt to these new travel patterns and ensure public transport is an attractive and relevant option for customers.</w:t>
      </w:r>
    </w:p>
    <w:p w14:paraId="7A430F42" w14:textId="541D97D3" w:rsidR="000A3B23" w:rsidRDefault="000A3B23" w:rsidP="000A3B23">
      <w:r>
        <w:t>TMR is committed to providing safe, accessible, and integrated transport solutions that meet diversifying customer and stakeholder expectations. It is imperative TMR listens to the voice of the customer to uncover these needs, in alignment with our goal of meeting customer requirements first time, every time.</w:t>
      </w:r>
      <w:r w:rsidR="00C75FF2">
        <w:t xml:space="preserve"> </w:t>
      </w:r>
      <w:r>
        <w:t>Aligning customer needs with new technology has been realised in the Smart Ticketing project, providing customers more choice in how they pay for their public transport journeys.</w:t>
      </w:r>
    </w:p>
    <w:p w14:paraId="02F7B7B8" w14:textId="713A7E8D" w:rsidR="000A3B23" w:rsidRDefault="000A3B23" w:rsidP="000A3B23">
      <w:r>
        <w:t xml:space="preserve"> TMR has harnessed technology to provide better customer services, such as utilising Robotic Process Automation to improve response times for customers. TMR’s digital licence also aims</w:t>
      </w:r>
      <w:r w:rsidR="00C75FF2">
        <w:t xml:space="preserve"> </w:t>
      </w:r>
      <w:r>
        <w:t>to make it easier for Queenslanders to share their personal information when they need to.</w:t>
      </w:r>
    </w:p>
    <w:p w14:paraId="632BA379" w14:textId="35FB89EC" w:rsidR="000A3B23" w:rsidRDefault="000A3B23" w:rsidP="000A3B23">
      <w:r>
        <w:t>These types of projects can highlight uncertainties within the transport system that impact TMR’s ability to predict and respond to such changes. TMR is exploring methods to robustly plan</w:t>
      </w:r>
      <w:r w:rsidR="00435A3B">
        <w:t xml:space="preserve"> </w:t>
      </w:r>
      <w:r>
        <w:t>for and respond to uncertain and changing conditions. With technology comes the increasing need to monitor cyber risks through our security management system and ensure our services meet security standards and principles.</w:t>
      </w:r>
    </w:p>
    <w:p w14:paraId="6210FE47" w14:textId="01B3C357" w:rsidR="006800C7" w:rsidRPr="00AC4C91" w:rsidRDefault="00513A5F" w:rsidP="006800C7">
      <w:pPr>
        <w:pStyle w:val="Heading4"/>
      </w:pPr>
      <w:r>
        <w:t>Environmental resilience</w:t>
      </w:r>
    </w:p>
    <w:p w14:paraId="2B8867F7" w14:textId="7E66EB49" w:rsidR="003F3F95" w:rsidRDefault="003F3F95" w:rsidP="003F3F95">
      <w:r>
        <w:t>Climate change is one of the greatest environmental and economic challenges facing the transport sector and Queensland is already the most at-risk Australian jurisdiction from extreme weather.</w:t>
      </w:r>
    </w:p>
    <w:p w14:paraId="2B092A4D" w14:textId="77777777" w:rsidR="003F3F95" w:rsidRDefault="003F3F95" w:rsidP="003F3F95">
      <w:r>
        <w:t>Extreme weather events are exacerbated by a warming climate. Australia’s average temperature has increased by 1.4 degrees Celsius over the last 100 years. The severity and frequency of extreme weather events due to climate change is also projected to increase. An increase in events can mean significant state costs towards recovery.</w:t>
      </w:r>
    </w:p>
    <w:p w14:paraId="19A88EF6" w14:textId="77777777" w:rsidR="003F3F95" w:rsidRDefault="003F3F95" w:rsidP="003F3F95"/>
    <w:p w14:paraId="61F52488" w14:textId="44617D54" w:rsidR="003F3F95" w:rsidRDefault="003F3F95" w:rsidP="003F3F95">
      <w:r>
        <w:lastRenderedPageBreak/>
        <w:t>Reducing emissions and adapting to climate risks will limit the severity of these impacts. It’s imperative TMR continues to work to improve the sustainability of Queensland’s transport infrastructure and services to deliver more resilient assets.</w:t>
      </w:r>
    </w:p>
    <w:p w14:paraId="14876AD2" w14:textId="77777777" w:rsidR="003F3F95" w:rsidRDefault="003F3F95" w:rsidP="003F3F95">
      <w:r>
        <w:t>TMR is building capability to address climate change risk through initiatives such as:</w:t>
      </w:r>
    </w:p>
    <w:p w14:paraId="2A19C5F8" w14:textId="0E2D3060" w:rsidR="003F3F95" w:rsidRDefault="003F3F95" w:rsidP="003F3F95">
      <w:pPr>
        <w:pStyle w:val="ListBullet"/>
      </w:pPr>
      <w:r>
        <w:t xml:space="preserve">implementing actions to advance the </w:t>
      </w:r>
      <w:r w:rsidRPr="003F3F95">
        <w:rPr>
          <w:rStyle w:val="Emphasis"/>
        </w:rPr>
        <w:t>Zero Emission Vehicle Strategy</w:t>
      </w:r>
    </w:p>
    <w:p w14:paraId="39CC801A" w14:textId="49228538" w:rsidR="003F3F95" w:rsidRDefault="003F3F95" w:rsidP="003F3F95">
      <w:pPr>
        <w:pStyle w:val="ListBullet"/>
      </w:pPr>
      <w:r>
        <w:t xml:space="preserve">delivering a new </w:t>
      </w:r>
      <w:r w:rsidRPr="003F3F95">
        <w:rPr>
          <w:rStyle w:val="Emphasis"/>
        </w:rPr>
        <w:t>Environmental Sustainability Policy</w:t>
      </w:r>
    </w:p>
    <w:p w14:paraId="755B4A72" w14:textId="3AEC1F86" w:rsidR="003F3F95" w:rsidRDefault="003F3F95" w:rsidP="003F3F95">
      <w:pPr>
        <w:pStyle w:val="ListBullet"/>
      </w:pPr>
      <w:r>
        <w:t>finalised an agency-wide climate change risk assessment</w:t>
      </w:r>
    </w:p>
    <w:p w14:paraId="4A43F1EC" w14:textId="113C86C9" w:rsidR="003F3F95" w:rsidRDefault="003F3F95" w:rsidP="003F3F95">
      <w:pPr>
        <w:pStyle w:val="ListBullet"/>
      </w:pPr>
      <w:r>
        <w:t>investigating suitable methodologies to assess climate-change related network vulnerability</w:t>
      </w:r>
    </w:p>
    <w:p w14:paraId="2BA4C3FA" w14:textId="055624EF" w:rsidR="003F3F95" w:rsidRDefault="003F3F95" w:rsidP="003F3F95">
      <w:pPr>
        <w:pStyle w:val="ListBullet"/>
      </w:pPr>
      <w:r>
        <w:t>contributing to the whole-of-government Queensland Climate Ready Program</w:t>
      </w:r>
    </w:p>
    <w:p w14:paraId="6AFF0E1B" w14:textId="55D404A4" w:rsidR="003F3F95" w:rsidRDefault="003F3F95" w:rsidP="003F3F95">
      <w:pPr>
        <w:pStyle w:val="ListBullet"/>
      </w:pPr>
      <w:r>
        <w:t xml:space="preserve">developing a </w:t>
      </w:r>
      <w:r w:rsidRPr="003F3F95">
        <w:rPr>
          <w:rStyle w:val="Emphasis"/>
        </w:rPr>
        <w:t>Movement and Place Policy</w:t>
      </w:r>
      <w:r>
        <w:t xml:space="preserve"> to improve place- based resilience of infrastructure assets and services</w:t>
      </w:r>
    </w:p>
    <w:p w14:paraId="55CD1C2A" w14:textId="6F56B49F" w:rsidR="003F3F95" w:rsidRDefault="003F3F95" w:rsidP="003F3F95">
      <w:pPr>
        <w:pStyle w:val="ListBullet"/>
      </w:pPr>
      <w:r>
        <w:t>trialling use of more zero emission buses across the Translink network</w:t>
      </w:r>
    </w:p>
    <w:p w14:paraId="38BE68ED" w14:textId="28C4D183" w:rsidR="003F3F95" w:rsidRDefault="003F3F95" w:rsidP="003F3F95">
      <w:pPr>
        <w:pStyle w:val="ListBullet"/>
      </w:pPr>
      <w:r>
        <w:t>undertaking a climate change risk assessment for infrastructure projects over $100 million as part of Infrastructure Sustainability Council of Australia certification</w:t>
      </w:r>
    </w:p>
    <w:p w14:paraId="7BCC14A0" w14:textId="082F1391" w:rsidR="003F3F95" w:rsidRDefault="003F3F95" w:rsidP="003F3F95">
      <w:pPr>
        <w:pStyle w:val="ListBullet"/>
      </w:pPr>
      <w:r>
        <w:t>undertaking flood studies for the Bruce Highway and other major transport infrastructure and providing guidelines for flood evacuation route improvements</w:t>
      </w:r>
    </w:p>
    <w:p w14:paraId="64DD161B" w14:textId="6F7238FE" w:rsidR="003F3F95" w:rsidRPr="00AC4C91" w:rsidRDefault="003F3F95" w:rsidP="003F3F95">
      <w:pPr>
        <w:pStyle w:val="ListBullet"/>
      </w:pPr>
      <w:r>
        <w:t>researching and implementing innovative solutions to improve sustainability and build a more resilient road network.</w:t>
      </w:r>
    </w:p>
    <w:p w14:paraId="00042265" w14:textId="60B1F4DC" w:rsidR="006800C7" w:rsidRPr="00AC4C91" w:rsidRDefault="003F3F95" w:rsidP="006800C7">
      <w:pPr>
        <w:pStyle w:val="Heading4"/>
      </w:pPr>
      <w:r>
        <w:t xml:space="preserve">Future of work </w:t>
      </w:r>
    </w:p>
    <w:bookmarkEnd w:id="3"/>
    <w:p w14:paraId="6D584825" w14:textId="2223BEAD" w:rsidR="00C20318" w:rsidRDefault="00C20318" w:rsidP="00C20318">
      <w:r>
        <w:t>Work in the transport sector will face considerable change in the years ahead. Changes will be driven by technological advancement and the pace of innovation, as well as the</w:t>
      </w:r>
      <w:r w:rsidR="004F4F2A">
        <w:t xml:space="preserve"> </w:t>
      </w:r>
      <w:r>
        <w:t>organisation of work, demographic evolution, environmental challenges and globalisation. How TMR’s people deliver solutions for today’s problems could impact what Queensland’s transport network looks in the future.</w:t>
      </w:r>
    </w:p>
    <w:p w14:paraId="6FF6FE61" w14:textId="77777777" w:rsidR="00C20318" w:rsidRDefault="00C20318" w:rsidP="00C20318">
      <w:r>
        <w:t xml:space="preserve">TMR’s </w:t>
      </w:r>
      <w:r w:rsidRPr="004F4F2A">
        <w:rPr>
          <w:rStyle w:val="Emphasis"/>
        </w:rPr>
        <w:t>Strategic Workforce Plan 2020–2024 (revised for 2021– 22)</w:t>
      </w:r>
      <w:r>
        <w:t xml:space="preserve"> strives to build, grow and inspire its workforce to be agile, adaptable, capable, purpose driven, safe, healthy and resilient. Equally, the Accessibility and Inclusion Strategy outlines how TMR will develop the critical capabilities needed to deliver accessible transport services, information, products and infrastructure.</w:t>
      </w:r>
    </w:p>
    <w:p w14:paraId="4D8F0351" w14:textId="77777777" w:rsidR="00C20318" w:rsidRDefault="00C20318" w:rsidP="00C20318">
      <w:r>
        <w:t xml:space="preserve">From a digital capability perspective, TMR’s </w:t>
      </w:r>
      <w:r w:rsidRPr="004F4F2A">
        <w:rPr>
          <w:rStyle w:val="Emphasis"/>
        </w:rPr>
        <w:t>Digital Strategic Plan 2021–2025</w:t>
      </w:r>
      <w:r>
        <w:t xml:space="preserve"> looks to educate our workforce and partners to operate digitally to reduce our ecological footprint and maximise efficient use of digital capabilities.</w:t>
      </w:r>
    </w:p>
    <w:p w14:paraId="591AE6C4" w14:textId="70172F71" w:rsidR="00C20318" w:rsidRDefault="00C20318" w:rsidP="00C20318">
      <w:r>
        <w:t>TMR needs to develop an agile workforce, recognising that the sector will change and that existing transport practices will be disrupted. TMR has already started to evaluate its work,</w:t>
      </w:r>
      <w:r w:rsidR="005929AC">
        <w:t xml:space="preserve"> </w:t>
      </w:r>
      <w:r>
        <w:t>identifying what tasks can be digitised to direct resources to more complex tasks, such as partnering with Australia Post to pilot the digitisation of mailroom functions.</w:t>
      </w:r>
    </w:p>
    <w:p w14:paraId="20B74B41" w14:textId="2D489A52" w:rsidR="003F3F95" w:rsidRDefault="00C20318" w:rsidP="00C20318">
      <w:r>
        <w:t>This strategic direction is complemented by the Learning Strategy by developing an agile and future-ready workforce with the right people and right skills mix to meet its future needs.</w:t>
      </w:r>
    </w:p>
    <w:p w14:paraId="0169F489" w14:textId="0979F95C" w:rsidR="006800C7" w:rsidRDefault="006800C7" w:rsidP="006800C7">
      <w:pPr>
        <w:spacing w:before="0" w:after="160" w:line="259" w:lineRule="auto"/>
      </w:pPr>
    </w:p>
    <w:p w14:paraId="27600262" w14:textId="294839C7" w:rsidR="005929AC" w:rsidRDefault="005929AC" w:rsidP="006800C7">
      <w:pPr>
        <w:spacing w:before="0" w:after="160" w:line="259" w:lineRule="auto"/>
      </w:pPr>
    </w:p>
    <w:p w14:paraId="52DD4868" w14:textId="0E2F91B4" w:rsidR="005929AC" w:rsidRDefault="005929AC" w:rsidP="006800C7">
      <w:pPr>
        <w:spacing w:before="0" w:after="160" w:line="259" w:lineRule="auto"/>
      </w:pPr>
    </w:p>
    <w:p w14:paraId="51F56AA6" w14:textId="77777777" w:rsidR="005929AC" w:rsidRDefault="005929AC" w:rsidP="006800C7">
      <w:pPr>
        <w:spacing w:before="0" w:after="160" w:line="259" w:lineRule="auto"/>
      </w:pPr>
    </w:p>
    <w:p w14:paraId="58D6DD98" w14:textId="75597253" w:rsidR="006800C7" w:rsidRDefault="00636D74" w:rsidP="006800C7">
      <w:pPr>
        <w:pStyle w:val="Heading3"/>
      </w:pPr>
      <w:r>
        <w:lastRenderedPageBreak/>
        <w:t>Looking ahead</w:t>
      </w:r>
    </w:p>
    <w:p w14:paraId="6F8FBEEB" w14:textId="77777777" w:rsidR="00CB7FE4" w:rsidRDefault="00CB7FE4" w:rsidP="00CB7FE4">
      <w:r>
        <w:t>TMR will continue to plan ahead and implement its program of work to ensure TMR continues its commitment towards customer safety on the transport network, investment in major road and transport infrastructure projects, as well as partnerships with local governments to achieve regional transport priorities.</w:t>
      </w:r>
    </w:p>
    <w:p w14:paraId="789C3148" w14:textId="77777777" w:rsidR="00CB7FE4" w:rsidRDefault="00CB7FE4" w:rsidP="00CB7FE4">
      <w:r>
        <w:t>In 2022–23, TMR will continue to:</w:t>
      </w:r>
    </w:p>
    <w:p w14:paraId="1B1B975C" w14:textId="79884E42" w:rsidR="00CB7FE4" w:rsidRDefault="00CB7FE4" w:rsidP="00CB7FE4">
      <w:pPr>
        <w:pStyle w:val="ListBullet"/>
        <w:ind w:left="288" w:hanging="288"/>
      </w:pPr>
      <w:r>
        <w:t xml:space="preserve">progress </w:t>
      </w:r>
      <w:r w:rsidR="00D66BB8">
        <w:t>state-wide</w:t>
      </w:r>
      <w:r>
        <w:t xml:space="preserve"> planning actions identified in the Regional Transport Plans</w:t>
      </w:r>
    </w:p>
    <w:p w14:paraId="0C8A762C" w14:textId="791F2DF2" w:rsidR="00CB7FE4" w:rsidRDefault="00CB7FE4" w:rsidP="00CB7FE4">
      <w:pPr>
        <w:pStyle w:val="ListBullet"/>
        <w:ind w:left="288" w:hanging="288"/>
      </w:pPr>
      <w:r>
        <w:t>enhance passenger and freight rail performance, including working with the Australian Government to maximise the benefits of Inland Rail, and developing a long-term rail network strategy to define the future needs of the rail network in Queensland</w:t>
      </w:r>
    </w:p>
    <w:p w14:paraId="36E42FFB" w14:textId="16A26F62" w:rsidR="00CB7FE4" w:rsidRDefault="00CB7FE4" w:rsidP="00CB7FE4">
      <w:pPr>
        <w:pStyle w:val="ListBullet"/>
        <w:ind w:left="288" w:hanging="288"/>
      </w:pPr>
      <w:r>
        <w:t xml:space="preserve">implement the </w:t>
      </w:r>
      <w:r w:rsidRPr="00480D7F">
        <w:rPr>
          <w:rStyle w:val="Emphasis"/>
        </w:rPr>
        <w:t>Queensland Road Safety Strategy 2022–31</w:t>
      </w:r>
      <w:r>
        <w:t xml:space="preserve"> and supporting </w:t>
      </w:r>
      <w:r w:rsidRPr="00480D7F">
        <w:rPr>
          <w:rStyle w:val="Emphasis"/>
        </w:rPr>
        <w:t>Action Plan 2022–24</w:t>
      </w:r>
      <w:r>
        <w:t>, taking a whole of system approach to reducing road trauma</w:t>
      </w:r>
    </w:p>
    <w:p w14:paraId="6B117A49" w14:textId="7F8AF41D" w:rsidR="00CB7FE4" w:rsidRDefault="00CB7FE4" w:rsidP="00CB7FE4">
      <w:pPr>
        <w:pStyle w:val="ListBullet"/>
        <w:ind w:left="288" w:hanging="288"/>
      </w:pPr>
      <w:r>
        <w:t>deliver Phase 3 of the QESH by adding 24 more electric vehicle fast-charging stations which will extend the QESH into western Queensland and provide 2 ‘border crossing’ locations at Goondiwindi and Stanthorpe (further boosting tourism opportunities between Queensland and New South Wales) and provide appropriate policy and infrastructure to support greater uptake of zero-emission vehicles</w:t>
      </w:r>
    </w:p>
    <w:p w14:paraId="7C377C8B" w14:textId="4D439E85" w:rsidR="00CB7FE4" w:rsidRDefault="00CB7FE4" w:rsidP="001369D9">
      <w:pPr>
        <w:pStyle w:val="ListBullet"/>
        <w:ind w:left="288" w:hanging="288"/>
      </w:pPr>
      <w:r>
        <w:t>deliver connected vehicle infrastructure, which will extend Cooperative Intelligent Transport Systems along</w:t>
      </w:r>
      <w:r w:rsidR="001369D9">
        <w:t xml:space="preserve"> </w:t>
      </w:r>
      <w:r>
        <w:t>1500 kilometres of the Bruce Highway from the Sunshine Coast to Cairns, enabling cloud-based services through Queensland traffic application and private telematic providers</w:t>
      </w:r>
    </w:p>
    <w:p w14:paraId="77B1D322" w14:textId="49FE567F" w:rsidR="00CB7FE4" w:rsidRDefault="00CB7FE4" w:rsidP="00CB7FE4">
      <w:pPr>
        <w:pStyle w:val="ListBullet"/>
        <w:ind w:left="288" w:hanging="288"/>
      </w:pPr>
      <w:r>
        <w:t xml:space="preserve">provide convenient, accessible transport by delivering safe and connected cycling and walking infrastructure finalising the revised </w:t>
      </w:r>
      <w:r w:rsidRPr="00764CE1">
        <w:rPr>
          <w:rStyle w:val="Emphasis"/>
        </w:rPr>
        <w:t>Disability Standard for Accessible Public Transport 2002</w:t>
      </w:r>
      <w:r>
        <w:t xml:space="preserve"> in partnership with the Australian Government</w:t>
      </w:r>
    </w:p>
    <w:p w14:paraId="7BFDBC41" w14:textId="7CBFC689" w:rsidR="00CB7FE4" w:rsidRDefault="00CB7FE4" w:rsidP="00CB7FE4">
      <w:pPr>
        <w:pStyle w:val="ListBullet"/>
        <w:ind w:left="288" w:hanging="288"/>
      </w:pPr>
      <w:r>
        <w:t>roll out the Digital Licence App across Queensland</w:t>
      </w:r>
    </w:p>
    <w:p w14:paraId="502C0206" w14:textId="795682C5" w:rsidR="00CB7FE4" w:rsidRDefault="00CB7FE4" w:rsidP="00CB7FE4">
      <w:pPr>
        <w:pStyle w:val="ListBullet"/>
        <w:ind w:left="288" w:hanging="288"/>
      </w:pPr>
      <w:r>
        <w:t>progress the expansion of the Smart Ticketing system across the South East Queensland Citytrain and bus network, CityCats and Southern Moreton Bay Islands Ferry</w:t>
      </w:r>
    </w:p>
    <w:p w14:paraId="4356761F" w14:textId="6A23FB9B" w:rsidR="00CB7FE4" w:rsidRDefault="00CB7FE4" w:rsidP="00CB7FE4">
      <w:pPr>
        <w:pStyle w:val="ListBullet"/>
        <w:ind w:left="288" w:hanging="288"/>
      </w:pPr>
      <w:r>
        <w:t>explore emerging service models and modes such as on- demand transport with the commencement in March 2022 of a two-year trial in Pacific Pines, Nerang and Highland Park on the Gold Coast and e-mobility where there is a safety and regulatory need</w:t>
      </w:r>
    </w:p>
    <w:p w14:paraId="66FE6A36" w14:textId="7F1C2A4F" w:rsidR="00CB7FE4" w:rsidRDefault="00CB7FE4" w:rsidP="00CB7FE4">
      <w:pPr>
        <w:pStyle w:val="ListBullet"/>
        <w:ind w:left="288" w:hanging="288"/>
      </w:pPr>
      <w:r>
        <w:t>improve transport network security and resilience to the impacts of climate change and disruptions from all hazards by researching and investing in sustainable materials such as the responsible use of recycled materials in road pavements and assessing risk related to natural disasters and climate change impacts</w:t>
      </w:r>
    </w:p>
    <w:p w14:paraId="35A70080" w14:textId="786221BC" w:rsidR="00CB7FE4" w:rsidRDefault="00CB7FE4" w:rsidP="004915B6">
      <w:pPr>
        <w:pStyle w:val="ListBullet"/>
        <w:ind w:left="288" w:hanging="288"/>
      </w:pPr>
      <w:r>
        <w:t>improve connectivity, access, safety and pollution response of maritime services and infrastructure through the Maritime</w:t>
      </w:r>
      <w:r w:rsidR="00F52ADC">
        <w:t xml:space="preserve"> </w:t>
      </w:r>
      <w:r>
        <w:t>Infrastructure and Investment Program; enhance sustainability of the industry through initiatives to revitalise coastal shipping and create maritime jobs in Queensland; and continue the War</w:t>
      </w:r>
      <w:r w:rsidR="00F52ADC">
        <w:t xml:space="preserve"> </w:t>
      </w:r>
      <w:r>
        <w:t>on Wrecks program to remove derelict or abandoned vessels in Queensland’s waterways</w:t>
      </w:r>
    </w:p>
    <w:p w14:paraId="47198601" w14:textId="62CAFAB3" w:rsidR="006800C7" w:rsidRDefault="00CB7FE4" w:rsidP="00CB7FE4">
      <w:pPr>
        <w:pStyle w:val="ListBullet"/>
        <w:numPr>
          <w:ilvl w:val="0"/>
          <w:numId w:val="0"/>
        </w:numPr>
        <w:ind w:left="288" w:hanging="288"/>
      </w:pPr>
      <w:r>
        <w:t>•</w:t>
      </w:r>
      <w:r>
        <w:tab/>
        <w:t>plan the delivery of sustainable transport infrastructure and services to support the Brisbane 2032 Olympic and Paralympic Games and provide an ongoing legacy for the community.</w:t>
      </w:r>
    </w:p>
    <w:p w14:paraId="14DFBFD1" w14:textId="05073AAE" w:rsidR="007775D4" w:rsidRDefault="007775D4" w:rsidP="006800C7">
      <w:pPr>
        <w:pStyle w:val="ListBullet"/>
        <w:numPr>
          <w:ilvl w:val="0"/>
          <w:numId w:val="0"/>
        </w:numPr>
        <w:ind w:left="288" w:hanging="288"/>
      </w:pPr>
    </w:p>
    <w:p w14:paraId="0162D312" w14:textId="4748134F" w:rsidR="007775D4" w:rsidRDefault="007775D4" w:rsidP="006800C7">
      <w:pPr>
        <w:pStyle w:val="ListBullet"/>
        <w:numPr>
          <w:ilvl w:val="0"/>
          <w:numId w:val="0"/>
        </w:numPr>
        <w:ind w:left="288" w:hanging="288"/>
      </w:pPr>
    </w:p>
    <w:p w14:paraId="33199944" w14:textId="7819834B" w:rsidR="007775D4" w:rsidRDefault="007775D4" w:rsidP="006800C7">
      <w:pPr>
        <w:pStyle w:val="ListBullet"/>
        <w:numPr>
          <w:ilvl w:val="0"/>
          <w:numId w:val="0"/>
        </w:numPr>
        <w:ind w:left="288" w:hanging="288"/>
      </w:pPr>
    </w:p>
    <w:p w14:paraId="7E6C8529" w14:textId="6A29CE9B" w:rsidR="007775D4" w:rsidRDefault="007775D4" w:rsidP="006800C7">
      <w:pPr>
        <w:pStyle w:val="ListBullet"/>
        <w:numPr>
          <w:ilvl w:val="0"/>
          <w:numId w:val="0"/>
        </w:numPr>
        <w:ind w:left="288" w:hanging="288"/>
      </w:pPr>
    </w:p>
    <w:p w14:paraId="60E8068B" w14:textId="77777777" w:rsidR="007775D4" w:rsidRDefault="007775D4" w:rsidP="006800C7">
      <w:pPr>
        <w:pStyle w:val="ListBullet"/>
        <w:numPr>
          <w:ilvl w:val="0"/>
          <w:numId w:val="0"/>
        </w:numPr>
        <w:ind w:left="288" w:hanging="288"/>
      </w:pPr>
    </w:p>
    <w:p w14:paraId="41830F51" w14:textId="6C9D59FC" w:rsidR="001F12B5" w:rsidRDefault="001F12B5" w:rsidP="001F12B5">
      <w:pPr>
        <w:pStyle w:val="Heading4"/>
      </w:pPr>
      <w:r>
        <w:lastRenderedPageBreak/>
        <w:t xml:space="preserve">Capital program </w:t>
      </w:r>
    </w:p>
    <w:p w14:paraId="444365B1" w14:textId="77777777" w:rsidR="00855BBB" w:rsidRDefault="00855BBB" w:rsidP="00855BBB">
      <w:r>
        <w:t>A key responsibility of TMR is capital investment and infrastructure delivery. Highlights of TMR’s capital program in 2022–23 include progressing delivery of projects such as:</w:t>
      </w:r>
    </w:p>
    <w:p w14:paraId="68A11123" w14:textId="53742783" w:rsidR="00855BBB" w:rsidRDefault="00855BBB" w:rsidP="00855BBB">
      <w:pPr>
        <w:pStyle w:val="ListBullet"/>
      </w:pPr>
      <w:r>
        <w:t>The Australian and Queensland Governments’ co-funded program to upgrade the Bruce Highway (2013–14 to 2027–28), including projects such as:</w:t>
      </w:r>
    </w:p>
    <w:p w14:paraId="061B63C1" w14:textId="277763A7" w:rsidR="00855BBB" w:rsidRDefault="00855BBB" w:rsidP="00855BBB">
      <w:pPr>
        <w:pStyle w:val="ListBullet"/>
        <w:tabs>
          <w:tab w:val="clear" w:pos="567"/>
          <w:tab w:val="num" w:pos="1134"/>
        </w:tabs>
        <w:ind w:left="1134"/>
      </w:pPr>
      <w:r>
        <w:t>Rockhampton Ring Road</w:t>
      </w:r>
    </w:p>
    <w:p w14:paraId="63CE9623" w14:textId="12F0FF2E" w:rsidR="00855BBB" w:rsidRDefault="00855BBB" w:rsidP="00855BBB">
      <w:pPr>
        <w:pStyle w:val="ListBullet"/>
        <w:tabs>
          <w:tab w:val="clear" w:pos="567"/>
          <w:tab w:val="num" w:pos="1134"/>
        </w:tabs>
        <w:ind w:left="1134"/>
      </w:pPr>
      <w:r>
        <w:t>Cooroy to Curra Section D</w:t>
      </w:r>
    </w:p>
    <w:p w14:paraId="0762B14F" w14:textId="29F1217E" w:rsidR="00855BBB" w:rsidRDefault="00855BBB" w:rsidP="00855BBB">
      <w:pPr>
        <w:pStyle w:val="ListBullet"/>
        <w:tabs>
          <w:tab w:val="clear" w:pos="567"/>
          <w:tab w:val="num" w:pos="1134"/>
        </w:tabs>
        <w:ind w:left="1134"/>
      </w:pPr>
      <w:r>
        <w:t>Caboolture–Bribie Island Road interchange to Steve Irwin Way upgrade</w:t>
      </w:r>
    </w:p>
    <w:p w14:paraId="4D874355" w14:textId="472951A2" w:rsidR="00855BBB" w:rsidRDefault="00855BBB" w:rsidP="00FD3D73">
      <w:pPr>
        <w:pStyle w:val="ListBullet"/>
        <w:tabs>
          <w:tab w:val="clear" w:pos="567"/>
          <w:tab w:val="num" w:pos="1134"/>
        </w:tabs>
        <w:ind w:left="1134"/>
      </w:pPr>
      <w:r>
        <w:t>Cairns Southern Access Corridor (Stage Three)</w:t>
      </w:r>
      <w:r w:rsidR="00FD3D73">
        <w:t xml:space="preserve"> </w:t>
      </w:r>
      <w:r>
        <w:t>Edmonton to Gordonvale</w:t>
      </w:r>
    </w:p>
    <w:p w14:paraId="592EF4E9" w14:textId="487C5E2A" w:rsidR="00855BBB" w:rsidRDefault="00855BBB" w:rsidP="00FD3D73">
      <w:pPr>
        <w:pStyle w:val="ListBullet"/>
        <w:tabs>
          <w:tab w:val="clear" w:pos="567"/>
          <w:tab w:val="num" w:pos="1134"/>
        </w:tabs>
        <w:ind w:left="1134"/>
      </w:pPr>
      <w:r>
        <w:t>Mackay Port Access</w:t>
      </w:r>
    </w:p>
    <w:p w14:paraId="79767119" w14:textId="253E5361" w:rsidR="00855BBB" w:rsidRDefault="00855BBB" w:rsidP="00FD3D73">
      <w:pPr>
        <w:pStyle w:val="ListBullet"/>
        <w:tabs>
          <w:tab w:val="clear" w:pos="567"/>
          <w:tab w:val="num" w:pos="1134"/>
        </w:tabs>
        <w:ind w:left="1134"/>
      </w:pPr>
      <w:r>
        <w:t>Tiaro Bypass</w:t>
      </w:r>
    </w:p>
    <w:p w14:paraId="4FDDBFD8" w14:textId="2D25756A" w:rsidR="00855BBB" w:rsidRDefault="00855BBB" w:rsidP="00FD3D73">
      <w:pPr>
        <w:pStyle w:val="ListBullet"/>
        <w:tabs>
          <w:tab w:val="clear" w:pos="567"/>
          <w:tab w:val="num" w:pos="1134"/>
        </w:tabs>
        <w:ind w:left="1134"/>
      </w:pPr>
      <w:r>
        <w:t>Maroochydore Road and Mons Road interchanges upgrade</w:t>
      </w:r>
    </w:p>
    <w:p w14:paraId="0915B3BD" w14:textId="18A785C6" w:rsidR="00855BBB" w:rsidRDefault="00855BBB" w:rsidP="00FD3D73">
      <w:pPr>
        <w:pStyle w:val="ListBullet"/>
        <w:tabs>
          <w:tab w:val="clear" w:pos="567"/>
          <w:tab w:val="num" w:pos="1134"/>
        </w:tabs>
        <w:ind w:left="1134"/>
      </w:pPr>
      <w:r>
        <w:t>Townsville Ring Road (Stage Five).</w:t>
      </w:r>
    </w:p>
    <w:p w14:paraId="209D0D37" w14:textId="0645239D" w:rsidR="00855BBB" w:rsidRDefault="00855BBB" w:rsidP="00855BBB">
      <w:pPr>
        <w:pStyle w:val="ListBullet"/>
      </w:pPr>
      <w:r>
        <w:t>the Australian and Queensland governments funded upgrades on the M1 Pacific Motorway, including projects such as:</w:t>
      </w:r>
    </w:p>
    <w:p w14:paraId="4410A942" w14:textId="6C837A92" w:rsidR="00855BBB" w:rsidRDefault="00855BBB" w:rsidP="00FD3D73">
      <w:pPr>
        <w:pStyle w:val="ListBullet"/>
        <w:tabs>
          <w:tab w:val="clear" w:pos="567"/>
          <w:tab w:val="num" w:pos="1134"/>
        </w:tabs>
        <w:ind w:left="1134"/>
      </w:pPr>
      <w:r>
        <w:t>Varsity Lakes to Tugun upgrade</w:t>
      </w:r>
    </w:p>
    <w:p w14:paraId="4E3A1E3F" w14:textId="6A361427" w:rsidR="00855BBB" w:rsidRDefault="00855BBB" w:rsidP="00FD3D73">
      <w:pPr>
        <w:pStyle w:val="ListBullet"/>
        <w:tabs>
          <w:tab w:val="clear" w:pos="567"/>
          <w:tab w:val="num" w:pos="1134"/>
        </w:tabs>
        <w:ind w:left="1134"/>
      </w:pPr>
      <w:r>
        <w:t>Eight Mile Plains to Daisy Hill upgrade.</w:t>
      </w:r>
    </w:p>
    <w:p w14:paraId="26A7257D" w14:textId="78F2A90E" w:rsidR="00855BBB" w:rsidRDefault="00855BBB" w:rsidP="00855BBB">
      <w:pPr>
        <w:pStyle w:val="ListBullet"/>
      </w:pPr>
      <w:r>
        <w:t>Coomera Connector (Stage One), Coomera to Nerang (jointly funded by the Australian and Queensland governments on a 50:50 basis)</w:t>
      </w:r>
    </w:p>
    <w:p w14:paraId="7555F4A3" w14:textId="4C80AC7B" w:rsidR="00855BBB" w:rsidRDefault="00855BBB" w:rsidP="00855BBB">
      <w:pPr>
        <w:pStyle w:val="ListBullet"/>
      </w:pPr>
      <w:r>
        <w:t>Brisbane, Logan and Gold Coast Faster Rail (Kuraby to Beenleigh) upgrade Nerang (jointly funded by the Australian and Queensland governments on a 50:50 basis)</w:t>
      </w:r>
    </w:p>
    <w:p w14:paraId="7D97154F" w14:textId="0183F413" w:rsidR="00855BBB" w:rsidRDefault="00855BBB" w:rsidP="00855BBB">
      <w:pPr>
        <w:pStyle w:val="ListBullet"/>
      </w:pPr>
      <w:r>
        <w:t>Gold Coast Light Rail (Stage Three) Broadbeach South to Burleigh Heads (jointly funded by the Australian and Queensland governments and City of Gold Coast)</w:t>
      </w:r>
    </w:p>
    <w:p w14:paraId="281980E5" w14:textId="67673DFA" w:rsidR="00855BBB" w:rsidRDefault="00855BBB" w:rsidP="00855BBB">
      <w:pPr>
        <w:pStyle w:val="ListBullet"/>
      </w:pPr>
      <w:r>
        <w:t>Beerburrum to Nambour Rail Upgrade (Stage One) (jointly funded by the Australian and Queensland governments on an 80:20 basis)</w:t>
      </w:r>
    </w:p>
    <w:p w14:paraId="75729B25" w14:textId="628715FC" w:rsidR="00855BBB" w:rsidRDefault="00855BBB" w:rsidP="00855BBB">
      <w:pPr>
        <w:pStyle w:val="ListBullet"/>
      </w:pPr>
      <w:r>
        <w:t>Queensland Train Manufacturing Program to build and operate 65 trains</w:t>
      </w:r>
    </w:p>
    <w:p w14:paraId="02DA9BFB" w14:textId="4179EC58" w:rsidR="00CB7FE4" w:rsidRDefault="00855BBB" w:rsidP="00855BBB">
      <w:pPr>
        <w:pStyle w:val="ListBullet"/>
      </w:pPr>
      <w:r>
        <w:t>Beams Road (Carseldine and Fitzgibbon) rail level crossing upgrade (jointly funded by the Australian and Queensland Governments and Brisbane City Council).</w:t>
      </w:r>
    </w:p>
    <w:p w14:paraId="5EFD2475" w14:textId="306C7FA3" w:rsidR="001F12B5" w:rsidRDefault="001F12B5" w:rsidP="00B83DD6">
      <w:pPr>
        <w:pStyle w:val="ListBullet"/>
        <w:numPr>
          <w:ilvl w:val="0"/>
          <w:numId w:val="0"/>
        </w:numPr>
      </w:pPr>
    </w:p>
    <w:p w14:paraId="4D694F9B" w14:textId="5C1FBA69" w:rsidR="001F12B5" w:rsidRDefault="001F12B5" w:rsidP="001F12B5"/>
    <w:p w14:paraId="483F2476" w14:textId="77777777" w:rsidR="001F12B5" w:rsidRDefault="001F12B5" w:rsidP="001F12B5"/>
    <w:p w14:paraId="3DA76DD1" w14:textId="77777777" w:rsidR="00CB7FE4" w:rsidRDefault="00CB7FE4" w:rsidP="006800C7">
      <w:pPr>
        <w:pStyle w:val="ListBullet"/>
        <w:numPr>
          <w:ilvl w:val="0"/>
          <w:numId w:val="0"/>
        </w:numPr>
        <w:ind w:left="288" w:hanging="288"/>
      </w:pPr>
    </w:p>
    <w:p w14:paraId="3936BD90" w14:textId="77777777" w:rsidR="006800C7" w:rsidRDefault="006800C7" w:rsidP="006800C7">
      <w:pPr>
        <w:pStyle w:val="ListBullet"/>
        <w:numPr>
          <w:ilvl w:val="0"/>
          <w:numId w:val="0"/>
        </w:numPr>
        <w:ind w:left="288" w:hanging="288"/>
      </w:pPr>
    </w:p>
    <w:p w14:paraId="0413180E" w14:textId="77777777" w:rsidR="006800C7" w:rsidRDefault="006800C7" w:rsidP="006800C7">
      <w:pPr>
        <w:spacing w:before="0" w:after="160" w:line="259" w:lineRule="auto"/>
        <w:rPr>
          <w:color w:val="595959" w:themeColor="text1" w:themeTint="A6"/>
        </w:rPr>
      </w:pPr>
      <w:r>
        <w:br w:type="page"/>
      </w:r>
    </w:p>
    <w:p w14:paraId="6B8E8349" w14:textId="77777777" w:rsidR="006800C7" w:rsidRDefault="006800C7" w:rsidP="006800C7">
      <w:pPr>
        <w:pStyle w:val="Heading1"/>
      </w:pPr>
      <w:r>
        <w:lastRenderedPageBreak/>
        <w:t xml:space="preserve">Fast Facts </w:t>
      </w:r>
    </w:p>
    <w:p w14:paraId="554F7C2F" w14:textId="506EED90" w:rsidR="006800C7" w:rsidRDefault="006800C7" w:rsidP="006800C7">
      <w:pPr>
        <w:pStyle w:val="ListBullet"/>
        <w:numPr>
          <w:ilvl w:val="0"/>
          <w:numId w:val="0"/>
        </w:numPr>
        <w:ind w:left="288" w:hanging="288"/>
      </w:pPr>
      <w:r>
        <w:t>Data as at 30 June 202</w:t>
      </w:r>
      <w:r w:rsidR="00B83DD6">
        <w:t>2</w:t>
      </w:r>
      <w:r>
        <w:t xml:space="preserve"> </w:t>
      </w:r>
    </w:p>
    <w:p w14:paraId="655BE9DE" w14:textId="746EDE8B" w:rsidR="006800C7" w:rsidRDefault="006800C7" w:rsidP="006800C7">
      <w:pPr>
        <w:pStyle w:val="ListBullet"/>
        <w:numPr>
          <w:ilvl w:val="0"/>
          <w:numId w:val="12"/>
        </w:numPr>
        <w:tabs>
          <w:tab w:val="left" w:pos="284"/>
        </w:tabs>
        <w:spacing w:before="120" w:after="0" w:line="260" w:lineRule="exact"/>
        <w:ind w:left="288" w:hanging="288"/>
      </w:pPr>
      <w:r>
        <w:t>$</w:t>
      </w:r>
      <w:r w:rsidR="000B34AD">
        <w:t>6.11</w:t>
      </w:r>
      <w:r>
        <w:t xml:space="preserve"> Billion Total investment in transport infrastructure program</w:t>
      </w:r>
      <w:r>
        <w:rPr>
          <w:rStyle w:val="FootnoteReference"/>
        </w:rPr>
        <w:footnoteReference w:id="2"/>
      </w:r>
      <w:r>
        <w:t xml:space="preserve"> </w:t>
      </w:r>
    </w:p>
    <w:p w14:paraId="1227DED7" w14:textId="2F02541F" w:rsidR="006800C7" w:rsidRDefault="006800C7" w:rsidP="006800C7">
      <w:pPr>
        <w:pStyle w:val="ListBullet"/>
        <w:numPr>
          <w:ilvl w:val="0"/>
          <w:numId w:val="12"/>
        </w:numPr>
        <w:tabs>
          <w:tab w:val="left" w:pos="284"/>
        </w:tabs>
        <w:spacing w:before="120" w:after="0" w:line="260" w:lineRule="exact"/>
        <w:ind w:left="288" w:hanging="288"/>
      </w:pPr>
      <w:r>
        <w:t>$1.</w:t>
      </w:r>
      <w:r w:rsidR="000B34AD">
        <w:t>10</w:t>
      </w:r>
      <w:r>
        <w:t xml:space="preserve"> Billion Maintenance and operation state transport network</w:t>
      </w:r>
    </w:p>
    <w:p w14:paraId="1E9C94E1" w14:textId="02BE35DC" w:rsidR="006800C7" w:rsidRDefault="006800C7" w:rsidP="006800C7">
      <w:pPr>
        <w:pStyle w:val="ListBullet"/>
        <w:numPr>
          <w:ilvl w:val="0"/>
          <w:numId w:val="12"/>
        </w:numPr>
        <w:tabs>
          <w:tab w:val="left" w:pos="284"/>
        </w:tabs>
        <w:spacing w:before="120" w:after="0" w:line="260" w:lineRule="exact"/>
        <w:ind w:left="288" w:hanging="288"/>
      </w:pPr>
      <w:r>
        <w:t>5.</w:t>
      </w:r>
      <w:r w:rsidR="000B34AD">
        <w:t>26</w:t>
      </w:r>
      <w:r>
        <w:t xml:space="preserve"> Million Population of Queensland</w:t>
      </w:r>
      <w:r>
        <w:rPr>
          <w:rStyle w:val="FootnoteReference"/>
        </w:rPr>
        <w:footnoteReference w:id="3"/>
      </w:r>
    </w:p>
    <w:p w14:paraId="78084D1B" w14:textId="162F6E41" w:rsidR="006800C7" w:rsidRDefault="000B34AD" w:rsidP="006800C7">
      <w:pPr>
        <w:pStyle w:val="ListBullet"/>
        <w:numPr>
          <w:ilvl w:val="0"/>
          <w:numId w:val="12"/>
        </w:numPr>
        <w:tabs>
          <w:tab w:val="left" w:pos="284"/>
        </w:tabs>
        <w:spacing w:before="120" w:after="0" w:line="260" w:lineRule="exact"/>
        <w:ind w:left="288" w:hanging="288"/>
      </w:pPr>
      <w:r>
        <w:t>1.42</w:t>
      </w:r>
      <w:r w:rsidR="006800C7">
        <w:t xml:space="preserve">% Population growth from last year </w:t>
      </w:r>
    </w:p>
    <w:p w14:paraId="71830F0C" w14:textId="62744538" w:rsidR="006800C7" w:rsidRDefault="006800C7" w:rsidP="006800C7">
      <w:pPr>
        <w:pStyle w:val="ListBullet"/>
        <w:numPr>
          <w:ilvl w:val="0"/>
          <w:numId w:val="12"/>
        </w:numPr>
        <w:tabs>
          <w:tab w:val="left" w:pos="284"/>
        </w:tabs>
        <w:spacing w:before="120" w:after="0" w:line="260" w:lineRule="exact"/>
        <w:ind w:left="288" w:hanging="288"/>
      </w:pPr>
      <w:r>
        <w:t>$1</w:t>
      </w:r>
      <w:r w:rsidR="000B34AD">
        <w:t>11.1</w:t>
      </w:r>
      <w:r>
        <w:t xml:space="preserve"> Million Expenditure on natural disaster repairs </w:t>
      </w:r>
    </w:p>
    <w:p w14:paraId="4BE54482" w14:textId="76312311" w:rsidR="006800C7" w:rsidRDefault="00F42D36" w:rsidP="006800C7">
      <w:pPr>
        <w:pStyle w:val="ListBullet"/>
        <w:numPr>
          <w:ilvl w:val="0"/>
          <w:numId w:val="12"/>
        </w:numPr>
        <w:tabs>
          <w:tab w:val="left" w:pos="284"/>
        </w:tabs>
        <w:spacing w:before="120" w:after="0" w:line="260" w:lineRule="exact"/>
        <w:ind w:left="288" w:hanging="288"/>
      </w:pPr>
      <w:r>
        <w:t>73.7</w:t>
      </w:r>
      <w:r w:rsidR="006800C7">
        <w:t xml:space="preserve"> Kilometres Of roads reconstructed under Natural Disaster Program 2019–20</w:t>
      </w:r>
    </w:p>
    <w:p w14:paraId="35820086" w14:textId="53F2E29F" w:rsidR="006800C7" w:rsidRDefault="006800C7" w:rsidP="006800C7">
      <w:pPr>
        <w:pStyle w:val="ListBullet"/>
        <w:numPr>
          <w:ilvl w:val="0"/>
          <w:numId w:val="12"/>
        </w:numPr>
        <w:tabs>
          <w:tab w:val="left" w:pos="284"/>
        </w:tabs>
        <w:spacing w:before="120" w:after="0" w:line="260" w:lineRule="exact"/>
        <w:ind w:left="288" w:hanging="288"/>
      </w:pPr>
      <w:r>
        <w:t>33,</w:t>
      </w:r>
      <w:r w:rsidR="00F42D36">
        <w:t>408</w:t>
      </w:r>
      <w:r>
        <w:t xml:space="preserve"> Kilometres State-controlled roads including 4996 kilometres national network </w:t>
      </w:r>
    </w:p>
    <w:p w14:paraId="575AF197" w14:textId="578C1955" w:rsidR="006800C7" w:rsidRDefault="006800C7" w:rsidP="006800C7">
      <w:pPr>
        <w:pStyle w:val="ListBullet"/>
        <w:numPr>
          <w:ilvl w:val="0"/>
          <w:numId w:val="12"/>
        </w:numPr>
        <w:tabs>
          <w:tab w:val="left" w:pos="284"/>
        </w:tabs>
        <w:spacing w:before="120" w:after="0" w:line="260" w:lineRule="exact"/>
        <w:ind w:left="288" w:hanging="288"/>
      </w:pPr>
      <w:r>
        <w:t>31</w:t>
      </w:r>
      <w:r w:rsidR="00F42D36">
        <w:t>53</w:t>
      </w:r>
      <w:r>
        <w:t xml:space="preserve"> Bridges owned and maintained </w:t>
      </w:r>
    </w:p>
    <w:p w14:paraId="56F310AF" w14:textId="2E2D862F" w:rsidR="006800C7" w:rsidRDefault="00F42D36" w:rsidP="006800C7">
      <w:pPr>
        <w:pStyle w:val="ListBullet"/>
        <w:numPr>
          <w:ilvl w:val="0"/>
          <w:numId w:val="12"/>
        </w:numPr>
        <w:tabs>
          <w:tab w:val="left" w:pos="284"/>
        </w:tabs>
        <w:spacing w:before="120" w:after="0" w:line="260" w:lineRule="exact"/>
        <w:ind w:left="288" w:hanging="288"/>
      </w:pPr>
      <w:r>
        <w:t>More than 113.4</w:t>
      </w:r>
      <w:r w:rsidR="006800C7">
        <w:t xml:space="preserve"> Million Passenger trips on bus, rail, ferry and tram were provided to our customers within South East Queensland </w:t>
      </w:r>
    </w:p>
    <w:p w14:paraId="45D3F9D1" w14:textId="37B0D141" w:rsidR="006800C7" w:rsidRDefault="00F42D36" w:rsidP="006800C7">
      <w:pPr>
        <w:pStyle w:val="ListBullet"/>
        <w:numPr>
          <w:ilvl w:val="0"/>
          <w:numId w:val="12"/>
        </w:numPr>
        <w:tabs>
          <w:tab w:val="left" w:pos="284"/>
        </w:tabs>
        <w:spacing w:before="120" w:after="0" w:line="260" w:lineRule="exact"/>
        <w:ind w:left="288" w:hanging="288"/>
      </w:pPr>
      <w:r>
        <w:t>More than 10.61</w:t>
      </w:r>
      <w:r w:rsidR="006800C7">
        <w:t xml:space="preserve"> Million Passenger trips on bus, rail, ferry and air outside South East Queensland </w:t>
      </w:r>
    </w:p>
    <w:p w14:paraId="7023A482" w14:textId="601E1DC2" w:rsidR="006800C7" w:rsidRDefault="006F6C90" w:rsidP="006800C7">
      <w:pPr>
        <w:pStyle w:val="ListBullet"/>
        <w:numPr>
          <w:ilvl w:val="0"/>
          <w:numId w:val="12"/>
        </w:numPr>
        <w:tabs>
          <w:tab w:val="left" w:pos="284"/>
        </w:tabs>
        <w:spacing w:before="120" w:after="0" w:line="260" w:lineRule="exact"/>
        <w:ind w:left="288" w:hanging="288"/>
      </w:pPr>
      <w:r>
        <w:t>310,705</w:t>
      </w:r>
      <w:r w:rsidR="006800C7">
        <w:t xml:space="preserve"> Average number of passenger trips per day on South East Queensland network </w:t>
      </w:r>
    </w:p>
    <w:p w14:paraId="226B0A69" w14:textId="0D00A247" w:rsidR="006800C7" w:rsidRDefault="006F6C90" w:rsidP="006800C7">
      <w:pPr>
        <w:pStyle w:val="ListBullet"/>
        <w:numPr>
          <w:ilvl w:val="0"/>
          <w:numId w:val="12"/>
        </w:numPr>
        <w:tabs>
          <w:tab w:val="left" w:pos="284"/>
        </w:tabs>
        <w:spacing w:before="120" w:after="0" w:line="260" w:lineRule="exact"/>
        <w:ind w:left="288" w:hanging="288"/>
      </w:pPr>
      <w:r>
        <w:t>More than 1.4</w:t>
      </w:r>
      <w:r w:rsidR="006800C7">
        <w:t xml:space="preserve"> Million Passenger trips provided through the Taxi Subsidy Scheme </w:t>
      </w:r>
    </w:p>
    <w:p w14:paraId="7F7B294B" w14:textId="054CDBBD" w:rsidR="006800C7" w:rsidRDefault="006F6C90" w:rsidP="006800C7">
      <w:pPr>
        <w:pStyle w:val="ListBullet"/>
        <w:numPr>
          <w:ilvl w:val="0"/>
          <w:numId w:val="12"/>
        </w:numPr>
        <w:tabs>
          <w:tab w:val="left" w:pos="284"/>
        </w:tabs>
        <w:spacing w:before="120" w:after="0" w:line="260" w:lineRule="exact"/>
        <w:ind w:left="288" w:hanging="288"/>
      </w:pPr>
      <w:r>
        <w:t>More than 283,000</w:t>
      </w:r>
      <w:r w:rsidR="006800C7">
        <w:t xml:space="preserve"> MyTransLink app active monthly users </w:t>
      </w:r>
    </w:p>
    <w:p w14:paraId="32EC2991" w14:textId="5A0BD2A7" w:rsidR="006800C7" w:rsidRDefault="006800C7" w:rsidP="006800C7">
      <w:pPr>
        <w:pStyle w:val="ListBullet"/>
        <w:numPr>
          <w:ilvl w:val="0"/>
          <w:numId w:val="12"/>
        </w:numPr>
        <w:tabs>
          <w:tab w:val="left" w:pos="284"/>
        </w:tabs>
        <w:spacing w:before="120" w:after="0" w:line="260" w:lineRule="exact"/>
        <w:ind w:left="288" w:hanging="288"/>
      </w:pPr>
      <w:r>
        <w:t>2,</w:t>
      </w:r>
      <w:r w:rsidR="006F6C90">
        <w:t>010,561</w:t>
      </w:r>
      <w:r>
        <w:t xml:space="preserve"> </w:t>
      </w:r>
      <w:r w:rsidRPr="005164F1">
        <w:rPr>
          <w:rStyle w:val="Emphasis"/>
        </w:rPr>
        <w:t>go</w:t>
      </w:r>
      <w:r>
        <w:t xml:space="preserve"> cards used in South </w:t>
      </w:r>
    </w:p>
    <w:p w14:paraId="29037B51" w14:textId="5387B323" w:rsidR="006800C7" w:rsidRDefault="006F6C90" w:rsidP="006800C7">
      <w:pPr>
        <w:pStyle w:val="ListBullet"/>
        <w:numPr>
          <w:ilvl w:val="0"/>
          <w:numId w:val="12"/>
        </w:numPr>
        <w:tabs>
          <w:tab w:val="left" w:pos="284"/>
        </w:tabs>
        <w:spacing w:before="120" w:after="0" w:line="260" w:lineRule="exact"/>
        <w:ind w:left="288" w:hanging="288"/>
      </w:pPr>
      <w:r>
        <w:t>52,054</w:t>
      </w:r>
      <w:r w:rsidR="006800C7">
        <w:t xml:space="preserve"> QLD</w:t>
      </w:r>
      <w:r w:rsidR="006800C7" w:rsidRPr="004667E9">
        <w:rPr>
          <w:rStyle w:val="Emphasis"/>
        </w:rPr>
        <w:t>Traffic</w:t>
      </w:r>
      <w:r w:rsidR="006800C7">
        <w:t xml:space="preserve"> Twitter posts </w:t>
      </w:r>
    </w:p>
    <w:p w14:paraId="059E8B86" w14:textId="0CBF8837" w:rsidR="006800C7" w:rsidRDefault="006F6C90" w:rsidP="006800C7">
      <w:pPr>
        <w:pStyle w:val="ListBullet"/>
        <w:numPr>
          <w:ilvl w:val="0"/>
          <w:numId w:val="12"/>
        </w:numPr>
        <w:tabs>
          <w:tab w:val="left" w:pos="284"/>
        </w:tabs>
        <w:spacing w:before="120" w:after="0" w:line="260" w:lineRule="exact"/>
        <w:ind w:left="288" w:hanging="288"/>
      </w:pPr>
      <w:r>
        <w:t>170,665</w:t>
      </w:r>
      <w:r w:rsidR="006800C7">
        <w:t xml:space="preserve"> QLD</w:t>
      </w:r>
      <w:r w:rsidR="006800C7" w:rsidRPr="004667E9">
        <w:rPr>
          <w:rStyle w:val="Emphasis"/>
        </w:rPr>
        <w:t>Traffic</w:t>
      </w:r>
      <w:r w:rsidR="006800C7">
        <w:t xml:space="preserve"> app visits </w:t>
      </w:r>
    </w:p>
    <w:p w14:paraId="2E5B56E4" w14:textId="53BD1393" w:rsidR="006800C7" w:rsidRDefault="006F6C90" w:rsidP="006800C7">
      <w:pPr>
        <w:pStyle w:val="ListBullet"/>
        <w:numPr>
          <w:ilvl w:val="0"/>
          <w:numId w:val="12"/>
        </w:numPr>
        <w:tabs>
          <w:tab w:val="left" w:pos="284"/>
        </w:tabs>
        <w:spacing w:before="120" w:after="0" w:line="260" w:lineRule="exact"/>
        <w:ind w:left="288" w:hanging="288"/>
      </w:pPr>
      <w:r>
        <w:t>6.17</w:t>
      </w:r>
      <w:r w:rsidR="006800C7">
        <w:t xml:space="preserve"> Million QLD</w:t>
      </w:r>
      <w:r w:rsidR="006800C7" w:rsidRPr="004667E9">
        <w:rPr>
          <w:rStyle w:val="Emphasis"/>
        </w:rPr>
        <w:t>Traffic</w:t>
      </w:r>
      <w:r w:rsidR="006800C7">
        <w:t xml:space="preserve"> website visits </w:t>
      </w:r>
    </w:p>
    <w:p w14:paraId="0121400C" w14:textId="6FAB57FB" w:rsidR="006800C7" w:rsidRDefault="006F6C90" w:rsidP="006800C7">
      <w:pPr>
        <w:pStyle w:val="ListBullet"/>
        <w:numPr>
          <w:ilvl w:val="0"/>
          <w:numId w:val="12"/>
        </w:numPr>
        <w:tabs>
          <w:tab w:val="left" w:pos="284"/>
        </w:tabs>
        <w:spacing w:before="120" w:after="0" w:line="260" w:lineRule="exact"/>
        <w:ind w:left="288" w:hanging="288"/>
      </w:pPr>
      <w:r>
        <w:t>17,364</w:t>
      </w:r>
      <w:r w:rsidR="006800C7">
        <w:t xml:space="preserve"> Gold Coast tram daily passengers </w:t>
      </w:r>
    </w:p>
    <w:p w14:paraId="73A2D051" w14:textId="3506A026" w:rsidR="006800C7" w:rsidRDefault="006800C7" w:rsidP="006800C7">
      <w:pPr>
        <w:pStyle w:val="ListBullet"/>
        <w:numPr>
          <w:ilvl w:val="0"/>
          <w:numId w:val="12"/>
        </w:numPr>
        <w:tabs>
          <w:tab w:val="left" w:pos="284"/>
        </w:tabs>
        <w:spacing w:before="120" w:after="0" w:line="260" w:lineRule="exact"/>
        <w:ind w:left="288" w:hanging="288"/>
      </w:pPr>
      <w:r>
        <w:t>$8.</w:t>
      </w:r>
      <w:r w:rsidR="006F6C90">
        <w:t xml:space="preserve">65 </w:t>
      </w:r>
      <w:r>
        <w:t xml:space="preserve">Average subsidy per trip provided through Taxi Subsidy Scheme </w:t>
      </w:r>
    </w:p>
    <w:p w14:paraId="481EA9F7" w14:textId="479CB8E7" w:rsidR="006800C7" w:rsidRDefault="006800C7" w:rsidP="006800C7">
      <w:pPr>
        <w:pStyle w:val="ListBullet"/>
        <w:numPr>
          <w:ilvl w:val="0"/>
          <w:numId w:val="12"/>
        </w:numPr>
        <w:tabs>
          <w:tab w:val="left" w:pos="284"/>
        </w:tabs>
        <w:spacing w:before="120" w:after="0" w:line="260" w:lineRule="exact"/>
        <w:ind w:left="288" w:hanging="288"/>
      </w:pPr>
      <w:r>
        <w:t>4</w:t>
      </w:r>
      <w:r w:rsidR="006F6C90">
        <w:t>75</w:t>
      </w:r>
      <w:r>
        <w:t xml:space="preserve"> Limousine licences </w:t>
      </w:r>
    </w:p>
    <w:p w14:paraId="5B6B3561" w14:textId="1B62FCB4" w:rsidR="006800C7" w:rsidRDefault="006800C7" w:rsidP="006800C7">
      <w:pPr>
        <w:pStyle w:val="ListBullet"/>
        <w:numPr>
          <w:ilvl w:val="0"/>
          <w:numId w:val="12"/>
        </w:numPr>
        <w:tabs>
          <w:tab w:val="left" w:pos="284"/>
        </w:tabs>
        <w:spacing w:before="120" w:after="0" w:line="260" w:lineRule="exact"/>
        <w:ind w:left="288" w:hanging="288"/>
      </w:pPr>
      <w:r>
        <w:t>3,2</w:t>
      </w:r>
      <w:r w:rsidR="00193700">
        <w:t>48</w:t>
      </w:r>
      <w:r>
        <w:t xml:space="preserve"> Taxi Service licence </w:t>
      </w:r>
    </w:p>
    <w:p w14:paraId="3AEBC379" w14:textId="2674AAE4" w:rsidR="006800C7" w:rsidRDefault="006800C7" w:rsidP="006800C7">
      <w:pPr>
        <w:pStyle w:val="ListBullet"/>
        <w:numPr>
          <w:ilvl w:val="0"/>
          <w:numId w:val="12"/>
        </w:numPr>
        <w:tabs>
          <w:tab w:val="left" w:pos="284"/>
        </w:tabs>
        <w:spacing w:before="120" w:after="0" w:line="260" w:lineRule="exact"/>
        <w:ind w:left="288" w:hanging="288"/>
      </w:pPr>
      <w:r>
        <w:t>4</w:t>
      </w:r>
      <w:r w:rsidR="00193700">
        <w:t>55</w:t>
      </w:r>
      <w:r>
        <w:t xml:space="preserve"> Authorised booking entities </w:t>
      </w:r>
    </w:p>
    <w:p w14:paraId="01B6CEC1" w14:textId="571BD928" w:rsidR="006800C7" w:rsidRDefault="006800C7" w:rsidP="006800C7">
      <w:pPr>
        <w:pStyle w:val="ListBullet"/>
        <w:numPr>
          <w:ilvl w:val="0"/>
          <w:numId w:val="12"/>
        </w:numPr>
        <w:tabs>
          <w:tab w:val="left" w:pos="284"/>
        </w:tabs>
        <w:spacing w:before="120" w:after="0" w:line="260" w:lineRule="exact"/>
        <w:ind w:left="288" w:hanging="288"/>
      </w:pPr>
      <w:r>
        <w:t>1</w:t>
      </w:r>
      <w:r w:rsidR="00193700">
        <w:t>4,489</w:t>
      </w:r>
      <w:r>
        <w:t xml:space="preserve"> Booked hire service licences </w:t>
      </w:r>
    </w:p>
    <w:p w14:paraId="5D2674C3" w14:textId="72A15B09" w:rsidR="006800C7" w:rsidRDefault="00193700" w:rsidP="006800C7">
      <w:pPr>
        <w:pStyle w:val="ListBullet"/>
        <w:numPr>
          <w:ilvl w:val="0"/>
          <w:numId w:val="12"/>
        </w:numPr>
        <w:tabs>
          <w:tab w:val="left" w:pos="284"/>
        </w:tabs>
        <w:spacing w:before="120" w:after="0" w:line="260" w:lineRule="exact"/>
        <w:ind w:left="288" w:hanging="288"/>
      </w:pPr>
      <w:r>
        <w:t>53,064</w:t>
      </w:r>
      <w:r w:rsidR="006800C7">
        <w:t xml:space="preserve"> Authorised drivers of public transport </w:t>
      </w:r>
    </w:p>
    <w:p w14:paraId="275A54F4" w14:textId="3D8F3FD5" w:rsidR="006800C7" w:rsidRDefault="006800C7" w:rsidP="006800C7">
      <w:pPr>
        <w:pStyle w:val="ListBullet"/>
        <w:numPr>
          <w:ilvl w:val="0"/>
          <w:numId w:val="12"/>
        </w:numPr>
        <w:tabs>
          <w:tab w:val="left" w:pos="284"/>
        </w:tabs>
        <w:spacing w:before="120" w:after="0" w:line="260" w:lineRule="exact"/>
        <w:ind w:left="288" w:hanging="288"/>
      </w:pPr>
      <w:r>
        <w:t>1,</w:t>
      </w:r>
      <w:r w:rsidR="00193700">
        <w:t>258</w:t>
      </w:r>
      <w:r>
        <w:t xml:space="preserve"> Accredited transport operators </w:t>
      </w:r>
    </w:p>
    <w:p w14:paraId="3B90A406" w14:textId="767A69BC" w:rsidR="00193700" w:rsidRDefault="009C7F97" w:rsidP="006800C7">
      <w:pPr>
        <w:pStyle w:val="ListBullet"/>
        <w:numPr>
          <w:ilvl w:val="0"/>
          <w:numId w:val="12"/>
        </w:numPr>
        <w:tabs>
          <w:tab w:val="left" w:pos="284"/>
        </w:tabs>
        <w:spacing w:before="120" w:after="0" w:line="260" w:lineRule="exact"/>
        <w:ind w:left="288" w:hanging="288"/>
      </w:pPr>
      <w:r>
        <w:t xml:space="preserve">31 Queensland Electric Super Highway Charging Stations </w:t>
      </w:r>
    </w:p>
    <w:p w14:paraId="51373D58" w14:textId="44305AFC" w:rsidR="009C7F97" w:rsidRDefault="009C7F97" w:rsidP="006800C7">
      <w:pPr>
        <w:pStyle w:val="ListBullet"/>
        <w:numPr>
          <w:ilvl w:val="0"/>
          <w:numId w:val="12"/>
        </w:numPr>
        <w:tabs>
          <w:tab w:val="left" w:pos="284"/>
        </w:tabs>
        <w:spacing w:before="120" w:after="0" w:line="260" w:lineRule="exact"/>
        <w:ind w:left="288" w:hanging="288"/>
      </w:pPr>
      <w:r>
        <w:t xml:space="preserve">10,161 Queensland electric vehicle registrations </w:t>
      </w:r>
    </w:p>
    <w:p w14:paraId="41F1CB5A" w14:textId="4BAE94D8" w:rsidR="006800C7" w:rsidRDefault="009C7F97" w:rsidP="006800C7">
      <w:pPr>
        <w:pStyle w:val="ListBullet"/>
        <w:numPr>
          <w:ilvl w:val="0"/>
          <w:numId w:val="12"/>
        </w:numPr>
        <w:tabs>
          <w:tab w:val="left" w:pos="284"/>
        </w:tabs>
        <w:spacing w:before="120" w:after="0" w:line="260" w:lineRule="exact"/>
        <w:ind w:left="288" w:hanging="288"/>
      </w:pPr>
      <w:r>
        <w:t>989,254</w:t>
      </w:r>
      <w:r w:rsidR="006800C7">
        <w:t xml:space="preserve"> Recreational boat licences </w:t>
      </w:r>
    </w:p>
    <w:p w14:paraId="74130413" w14:textId="110CB725" w:rsidR="006800C7" w:rsidRDefault="006800C7" w:rsidP="006800C7">
      <w:pPr>
        <w:pStyle w:val="ListBullet"/>
        <w:numPr>
          <w:ilvl w:val="0"/>
          <w:numId w:val="12"/>
        </w:numPr>
        <w:tabs>
          <w:tab w:val="left" w:pos="284"/>
        </w:tabs>
        <w:spacing w:before="120" w:after="0" w:line="260" w:lineRule="exact"/>
        <w:ind w:left="288" w:hanging="288"/>
      </w:pPr>
      <w:r>
        <w:t>2</w:t>
      </w:r>
      <w:r w:rsidR="009C7F97">
        <w:t>47,242</w:t>
      </w:r>
      <w:r>
        <w:t xml:space="preserve"> Personal watercraft licences </w:t>
      </w:r>
    </w:p>
    <w:p w14:paraId="18903894" w14:textId="25231B78" w:rsidR="006800C7" w:rsidRDefault="006800C7" w:rsidP="006800C7">
      <w:pPr>
        <w:pStyle w:val="ListBullet"/>
        <w:numPr>
          <w:ilvl w:val="0"/>
          <w:numId w:val="12"/>
        </w:numPr>
        <w:tabs>
          <w:tab w:val="left" w:pos="284"/>
        </w:tabs>
        <w:spacing w:before="120" w:after="0" w:line="260" w:lineRule="exact"/>
        <w:ind w:left="288" w:hanging="288"/>
      </w:pPr>
      <w:r>
        <w:t>3.</w:t>
      </w:r>
      <w:r w:rsidR="009C7F97">
        <w:t>97</w:t>
      </w:r>
      <w:r>
        <w:t xml:space="preserve"> Million Driver licences </w:t>
      </w:r>
    </w:p>
    <w:p w14:paraId="6FD739FD" w14:textId="641567A0" w:rsidR="006800C7" w:rsidRDefault="006800C7" w:rsidP="006800C7">
      <w:pPr>
        <w:pStyle w:val="ListBullet"/>
        <w:numPr>
          <w:ilvl w:val="0"/>
          <w:numId w:val="12"/>
        </w:numPr>
        <w:tabs>
          <w:tab w:val="left" w:pos="284"/>
        </w:tabs>
        <w:spacing w:before="120" w:after="0" w:line="260" w:lineRule="exact"/>
        <w:ind w:left="288" w:hanging="288"/>
      </w:pPr>
      <w:r>
        <w:t>239,5</w:t>
      </w:r>
      <w:r w:rsidR="00AC5930">
        <w:t>89</w:t>
      </w:r>
      <w:r>
        <w:t xml:space="preserve"> Recreational boats registered </w:t>
      </w:r>
    </w:p>
    <w:p w14:paraId="2ED88FE7" w14:textId="4147CE39" w:rsidR="006800C7" w:rsidRDefault="006800C7" w:rsidP="006800C7">
      <w:pPr>
        <w:pStyle w:val="ListBullet"/>
        <w:numPr>
          <w:ilvl w:val="0"/>
          <w:numId w:val="12"/>
        </w:numPr>
        <w:tabs>
          <w:tab w:val="left" w:pos="284"/>
        </w:tabs>
        <w:spacing w:before="120" w:after="0" w:line="260" w:lineRule="exact"/>
        <w:ind w:left="288" w:hanging="288"/>
      </w:pPr>
      <w:r>
        <w:t>3</w:t>
      </w:r>
      <w:r w:rsidR="00AC5930">
        <w:t>4,212</w:t>
      </w:r>
      <w:r>
        <w:t xml:space="preserve"> Personal watercrafts registered </w:t>
      </w:r>
    </w:p>
    <w:p w14:paraId="45156776" w14:textId="6DDDC868" w:rsidR="006800C7" w:rsidRDefault="006800C7" w:rsidP="006800C7">
      <w:pPr>
        <w:pStyle w:val="ListBullet"/>
        <w:numPr>
          <w:ilvl w:val="0"/>
          <w:numId w:val="12"/>
        </w:numPr>
        <w:tabs>
          <w:tab w:val="left" w:pos="284"/>
        </w:tabs>
        <w:spacing w:before="120" w:after="0" w:line="260" w:lineRule="exact"/>
        <w:ind w:left="288" w:hanging="288"/>
      </w:pPr>
      <w:r>
        <w:t>5.</w:t>
      </w:r>
      <w:r w:rsidR="00AC5930">
        <w:t>79</w:t>
      </w:r>
      <w:r>
        <w:t xml:space="preserve"> Million Vehicles registered </w:t>
      </w:r>
    </w:p>
    <w:p w14:paraId="612EEBD6" w14:textId="54AE7865" w:rsidR="006800C7" w:rsidRDefault="00AC5930" w:rsidP="006800C7">
      <w:pPr>
        <w:pStyle w:val="ListBullet"/>
        <w:numPr>
          <w:ilvl w:val="0"/>
          <w:numId w:val="12"/>
        </w:numPr>
        <w:tabs>
          <w:tab w:val="left" w:pos="284"/>
        </w:tabs>
        <w:spacing w:before="120" w:after="0" w:line="260" w:lineRule="exact"/>
        <w:ind w:left="288" w:hanging="288"/>
      </w:pPr>
      <w:r>
        <w:t>337.4</w:t>
      </w:r>
      <w:r w:rsidR="006800C7">
        <w:t xml:space="preserve"> Million Tonnes of cargo we helped our industry customers move through our 21 declared ports </w:t>
      </w:r>
    </w:p>
    <w:p w14:paraId="601A6601" w14:textId="30C99ABD" w:rsidR="006800C7" w:rsidRDefault="00AC5930" w:rsidP="006800C7">
      <w:pPr>
        <w:pStyle w:val="ListBullet"/>
        <w:numPr>
          <w:ilvl w:val="0"/>
          <w:numId w:val="12"/>
        </w:numPr>
        <w:tabs>
          <w:tab w:val="left" w:pos="284"/>
        </w:tabs>
        <w:spacing w:before="120" w:after="0" w:line="260" w:lineRule="exact"/>
        <w:ind w:left="288" w:hanging="288"/>
      </w:pPr>
      <w:r>
        <w:t>987.4</w:t>
      </w:r>
      <w:r w:rsidR="006800C7">
        <w:t xml:space="preserve"> Million Tonnes of freight moved on the surface network </w:t>
      </w:r>
    </w:p>
    <w:p w14:paraId="6FC81877" w14:textId="456EDB30" w:rsidR="006800C7" w:rsidRDefault="009D2108" w:rsidP="006800C7">
      <w:pPr>
        <w:pStyle w:val="ListBullet"/>
        <w:numPr>
          <w:ilvl w:val="0"/>
          <w:numId w:val="12"/>
        </w:numPr>
        <w:tabs>
          <w:tab w:val="left" w:pos="284"/>
        </w:tabs>
        <w:spacing w:before="120" w:after="0" w:line="260" w:lineRule="exact"/>
        <w:ind w:left="288" w:hanging="288"/>
      </w:pPr>
      <w:r>
        <w:t>180 Derelict vessels removed from Queensland waterways this year</w:t>
      </w:r>
    </w:p>
    <w:p w14:paraId="6A5F80D8" w14:textId="1FAFFB8E" w:rsidR="006800C7" w:rsidRDefault="006800C7" w:rsidP="006800C7">
      <w:pPr>
        <w:pStyle w:val="ListBullet"/>
        <w:numPr>
          <w:ilvl w:val="0"/>
          <w:numId w:val="12"/>
        </w:numPr>
        <w:tabs>
          <w:tab w:val="left" w:pos="284"/>
        </w:tabs>
        <w:spacing w:before="120" w:after="0" w:line="260" w:lineRule="exact"/>
        <w:ind w:left="288" w:hanging="288"/>
      </w:pPr>
      <w:r>
        <w:t>$1</w:t>
      </w:r>
      <w:r w:rsidR="009D2108">
        <w:t>5.11</w:t>
      </w:r>
      <w:r>
        <w:t xml:space="preserve"> Million Value of recreational boating facilities built this year </w:t>
      </w:r>
    </w:p>
    <w:p w14:paraId="6CDEC2CC" w14:textId="3CF31A55" w:rsidR="006800C7" w:rsidRDefault="009D2108" w:rsidP="006800C7">
      <w:pPr>
        <w:pStyle w:val="ListBullet"/>
        <w:numPr>
          <w:ilvl w:val="0"/>
          <w:numId w:val="12"/>
        </w:numPr>
        <w:tabs>
          <w:tab w:val="left" w:pos="284"/>
        </w:tabs>
        <w:spacing w:before="120" w:after="0" w:line="260" w:lineRule="exact"/>
        <w:ind w:left="288" w:hanging="288"/>
      </w:pPr>
      <w:r>
        <w:t>20,148</w:t>
      </w:r>
      <w:r w:rsidR="006800C7">
        <w:t xml:space="preserve"> Ship movements in Queensland ports </w:t>
      </w:r>
    </w:p>
    <w:p w14:paraId="1B387EBF" w14:textId="2A766C52" w:rsidR="006800C7" w:rsidRDefault="006800C7" w:rsidP="003E3DA9">
      <w:pPr>
        <w:pStyle w:val="ListBullet"/>
        <w:numPr>
          <w:ilvl w:val="0"/>
          <w:numId w:val="12"/>
        </w:numPr>
        <w:tabs>
          <w:tab w:val="left" w:pos="284"/>
        </w:tabs>
        <w:spacing w:before="120" w:after="0" w:line="260" w:lineRule="exact"/>
        <w:ind w:left="288" w:hanging="288"/>
      </w:pPr>
      <w:r>
        <w:t>11,</w:t>
      </w:r>
      <w:r w:rsidR="003E3DA9">
        <w:t>995</w:t>
      </w:r>
      <w:r>
        <w:t xml:space="preserve"> Ship movements in ReefVTS monitored region </w:t>
      </w:r>
    </w:p>
    <w:p w14:paraId="61632945" w14:textId="17BEDFEB" w:rsidR="006800C7" w:rsidRDefault="006800C7" w:rsidP="006800C7">
      <w:pPr>
        <w:pStyle w:val="ListBullet"/>
        <w:numPr>
          <w:ilvl w:val="0"/>
          <w:numId w:val="12"/>
        </w:numPr>
        <w:tabs>
          <w:tab w:val="left" w:pos="284"/>
        </w:tabs>
        <w:spacing w:before="120" w:after="0" w:line="260" w:lineRule="exact"/>
        <w:ind w:left="288" w:hanging="288"/>
      </w:pPr>
      <w:r>
        <w:t>6</w:t>
      </w:r>
      <w:r w:rsidR="003E3DA9">
        <w:t>37</w:t>
      </w:r>
      <w:r>
        <w:t xml:space="preserve"> Kilometres Cycling infrastructure delivered through funding from Active Transport Program</w:t>
      </w:r>
      <w:r>
        <w:rPr>
          <w:rStyle w:val="FootnoteReference"/>
        </w:rPr>
        <w:footnoteReference w:id="4"/>
      </w:r>
    </w:p>
    <w:p w14:paraId="34332BA3" w14:textId="0CB402C3" w:rsidR="006800C7" w:rsidRDefault="006800C7" w:rsidP="006800C7">
      <w:pPr>
        <w:pStyle w:val="ListBullet"/>
        <w:numPr>
          <w:ilvl w:val="0"/>
          <w:numId w:val="12"/>
        </w:numPr>
        <w:tabs>
          <w:tab w:val="left" w:pos="284"/>
        </w:tabs>
        <w:spacing w:before="120" w:after="0" w:line="260" w:lineRule="exact"/>
        <w:ind w:left="288" w:hanging="288"/>
      </w:pPr>
      <w:r>
        <w:t>2</w:t>
      </w:r>
      <w:r w:rsidR="003E3DA9">
        <w:t>3</w:t>
      </w:r>
      <w:r>
        <w:t xml:space="preserve"> Kilometres Of cycling infrastructure built this year </w:t>
      </w:r>
    </w:p>
    <w:p w14:paraId="2A1DD173" w14:textId="4DDD31F0" w:rsidR="006800C7" w:rsidRDefault="006800C7" w:rsidP="006800C7">
      <w:pPr>
        <w:pStyle w:val="ListBullet"/>
        <w:numPr>
          <w:ilvl w:val="0"/>
          <w:numId w:val="12"/>
        </w:numPr>
        <w:tabs>
          <w:tab w:val="left" w:pos="284"/>
        </w:tabs>
        <w:spacing w:before="120" w:after="0" w:line="260" w:lineRule="exact"/>
        <w:ind w:left="288" w:hanging="288"/>
      </w:pPr>
      <w:r>
        <w:t>$</w:t>
      </w:r>
      <w:r w:rsidR="003E3DA9">
        <w:t>37</w:t>
      </w:r>
      <w:r>
        <w:t xml:space="preserve"> Million Investment in cycling this year by the Active Transport Program </w:t>
      </w:r>
    </w:p>
    <w:p w14:paraId="54F8FC52" w14:textId="3CD53115" w:rsidR="006800C7" w:rsidRDefault="003E3DA9" w:rsidP="006800C7">
      <w:pPr>
        <w:pStyle w:val="ListBullet"/>
        <w:numPr>
          <w:ilvl w:val="0"/>
          <w:numId w:val="12"/>
        </w:numPr>
        <w:tabs>
          <w:tab w:val="left" w:pos="284"/>
        </w:tabs>
        <w:spacing w:before="120" w:after="0" w:line="260" w:lineRule="exact"/>
        <w:ind w:left="288" w:hanging="288"/>
      </w:pPr>
      <w:r>
        <w:t>125,806</w:t>
      </w:r>
      <w:r w:rsidR="006800C7">
        <w:t xml:space="preserve"> Written driving tests conducted </w:t>
      </w:r>
    </w:p>
    <w:p w14:paraId="6EF4C3EE" w14:textId="39EB9BB3" w:rsidR="006800C7" w:rsidRDefault="003E3DA9" w:rsidP="006800C7">
      <w:pPr>
        <w:pStyle w:val="ListBullet"/>
        <w:numPr>
          <w:ilvl w:val="0"/>
          <w:numId w:val="12"/>
        </w:numPr>
        <w:tabs>
          <w:tab w:val="left" w:pos="284"/>
        </w:tabs>
        <w:spacing w:before="120" w:after="0" w:line="260" w:lineRule="exact"/>
        <w:ind w:left="288" w:hanging="288"/>
      </w:pPr>
      <w:r>
        <w:lastRenderedPageBreak/>
        <w:t>146,186</w:t>
      </w:r>
      <w:r w:rsidR="006800C7">
        <w:t xml:space="preserve"> Practical driving tests taken </w:t>
      </w:r>
    </w:p>
    <w:p w14:paraId="3F0D821D" w14:textId="5AA7E12D" w:rsidR="006800C7" w:rsidRDefault="006800C7" w:rsidP="006800C7">
      <w:pPr>
        <w:pStyle w:val="ListBullet"/>
        <w:numPr>
          <w:ilvl w:val="0"/>
          <w:numId w:val="12"/>
        </w:numPr>
        <w:tabs>
          <w:tab w:val="left" w:pos="284"/>
        </w:tabs>
        <w:spacing w:before="120" w:after="0" w:line="260" w:lineRule="exact"/>
        <w:ind w:left="288" w:hanging="288"/>
      </w:pPr>
      <w:r>
        <w:t>2</w:t>
      </w:r>
      <w:r w:rsidR="003E3DA9">
        <w:t xml:space="preserve">2,409 </w:t>
      </w:r>
      <w:r>
        <w:t xml:space="preserve">On-road intercepts </w:t>
      </w:r>
    </w:p>
    <w:p w14:paraId="044567BC" w14:textId="77777777" w:rsidR="006800C7" w:rsidRDefault="006800C7" w:rsidP="006800C7">
      <w:pPr>
        <w:pStyle w:val="ListBullet"/>
        <w:numPr>
          <w:ilvl w:val="0"/>
          <w:numId w:val="12"/>
        </w:numPr>
        <w:tabs>
          <w:tab w:val="left" w:pos="284"/>
        </w:tabs>
        <w:spacing w:before="120" w:after="0" w:line="260" w:lineRule="exact"/>
        <w:ind w:left="288" w:hanging="288"/>
      </w:pPr>
      <w:r>
        <w:t xml:space="preserve">34 Number of TMR-led Queensland Government Agency Programs </w:t>
      </w:r>
    </w:p>
    <w:p w14:paraId="0C7E0DBE" w14:textId="3FC35C57" w:rsidR="003E3DA9" w:rsidRDefault="003E3DA9" w:rsidP="003E3DA9">
      <w:pPr>
        <w:pStyle w:val="ListBullet"/>
        <w:numPr>
          <w:ilvl w:val="0"/>
          <w:numId w:val="12"/>
        </w:numPr>
        <w:tabs>
          <w:tab w:val="left" w:pos="284"/>
        </w:tabs>
        <w:spacing w:before="120" w:after="0" w:line="260" w:lineRule="exact"/>
        <w:ind w:left="288" w:hanging="288"/>
      </w:pPr>
      <w:r>
        <w:t>10.</w:t>
      </w:r>
      <w:r w:rsidR="008C17ED">
        <w:t>6</w:t>
      </w:r>
      <w:r>
        <w:t xml:space="preserve"> Years Average length of service </w:t>
      </w:r>
    </w:p>
    <w:p w14:paraId="5AE1E772" w14:textId="3B4171AE" w:rsidR="003E3DA9" w:rsidRDefault="003E3DA9" w:rsidP="003E3DA9">
      <w:pPr>
        <w:pStyle w:val="ListBullet2"/>
        <w:numPr>
          <w:ilvl w:val="0"/>
          <w:numId w:val="13"/>
        </w:numPr>
        <w:tabs>
          <w:tab w:val="clear" w:pos="1134"/>
          <w:tab w:val="left" w:pos="284"/>
        </w:tabs>
        <w:spacing w:before="120" w:after="0" w:line="0" w:lineRule="atLeast"/>
        <w:ind w:left="568" w:hanging="284"/>
      </w:pPr>
      <w:r>
        <w:t>7</w:t>
      </w:r>
      <w:r w:rsidR="008C17ED">
        <w:t>.6</w:t>
      </w:r>
      <w:r>
        <w:t xml:space="preserve"> per cent Temporary </w:t>
      </w:r>
    </w:p>
    <w:p w14:paraId="2778EDD0" w14:textId="23A23677" w:rsidR="003E3DA9" w:rsidRDefault="003E3DA9" w:rsidP="003E3DA9">
      <w:pPr>
        <w:pStyle w:val="ListBullet2"/>
        <w:numPr>
          <w:ilvl w:val="0"/>
          <w:numId w:val="13"/>
        </w:numPr>
        <w:tabs>
          <w:tab w:val="clear" w:pos="1134"/>
          <w:tab w:val="left" w:pos="284"/>
        </w:tabs>
        <w:spacing w:before="120" w:after="0" w:line="0" w:lineRule="atLeast"/>
        <w:ind w:left="568" w:hanging="284"/>
      </w:pPr>
      <w:r>
        <w:t>2</w:t>
      </w:r>
      <w:r w:rsidR="008C17ED">
        <w:t>0.7</w:t>
      </w:r>
      <w:r>
        <w:t xml:space="preserve"> per cent Casual </w:t>
      </w:r>
    </w:p>
    <w:p w14:paraId="6547FF87" w14:textId="5877BA3E" w:rsidR="003E3DA9" w:rsidRDefault="003E3DA9" w:rsidP="003E3DA9">
      <w:pPr>
        <w:pStyle w:val="ListBullet2"/>
        <w:numPr>
          <w:ilvl w:val="0"/>
          <w:numId w:val="13"/>
        </w:numPr>
        <w:tabs>
          <w:tab w:val="clear" w:pos="1134"/>
          <w:tab w:val="left" w:pos="284"/>
        </w:tabs>
        <w:spacing w:before="120" w:after="0" w:line="0" w:lineRule="atLeast"/>
        <w:ind w:left="568" w:hanging="284"/>
      </w:pPr>
      <w:r>
        <w:t>7</w:t>
      </w:r>
      <w:r w:rsidR="008C17ED">
        <w:t>1.7</w:t>
      </w:r>
      <w:r>
        <w:t xml:space="preserve"> per cent Permanent </w:t>
      </w:r>
    </w:p>
    <w:p w14:paraId="1622DC60" w14:textId="77777777" w:rsidR="003E3DA9" w:rsidRDefault="003E3DA9" w:rsidP="003E3DA9">
      <w:pPr>
        <w:pStyle w:val="ListBullet2"/>
        <w:numPr>
          <w:ilvl w:val="0"/>
          <w:numId w:val="13"/>
        </w:numPr>
        <w:tabs>
          <w:tab w:val="clear" w:pos="1134"/>
          <w:tab w:val="left" w:pos="284"/>
        </w:tabs>
        <w:spacing w:before="120" w:after="0" w:line="0" w:lineRule="atLeast"/>
        <w:ind w:left="568" w:hanging="284"/>
      </w:pPr>
      <w:r>
        <w:t xml:space="preserve">84 per cent Non-corporate roles </w:t>
      </w:r>
    </w:p>
    <w:p w14:paraId="526D0BCA" w14:textId="530920F6" w:rsidR="003E3DA9" w:rsidRDefault="003E3DA9" w:rsidP="003E3DA9">
      <w:pPr>
        <w:pStyle w:val="ListBullet2"/>
        <w:numPr>
          <w:ilvl w:val="0"/>
          <w:numId w:val="13"/>
        </w:numPr>
        <w:tabs>
          <w:tab w:val="clear" w:pos="1134"/>
          <w:tab w:val="left" w:pos="284"/>
        </w:tabs>
        <w:spacing w:before="120" w:after="0" w:line="0" w:lineRule="atLeast"/>
        <w:ind w:left="568" w:hanging="284"/>
      </w:pPr>
      <w:r>
        <w:t>7</w:t>
      </w:r>
      <w:r w:rsidR="008C17ED">
        <w:t>405</w:t>
      </w:r>
      <w:r>
        <w:t xml:space="preserve"> Full-time equivalents </w:t>
      </w:r>
    </w:p>
    <w:p w14:paraId="3C6A3813" w14:textId="2C91187F" w:rsidR="003E3DA9" w:rsidRDefault="003E3DA9" w:rsidP="003E3DA9">
      <w:pPr>
        <w:pStyle w:val="ListBullet2"/>
        <w:numPr>
          <w:ilvl w:val="0"/>
          <w:numId w:val="13"/>
        </w:numPr>
        <w:tabs>
          <w:tab w:val="clear" w:pos="1134"/>
          <w:tab w:val="left" w:pos="284"/>
        </w:tabs>
        <w:spacing w:before="120" w:after="0" w:line="0" w:lineRule="atLeast"/>
        <w:ind w:left="568" w:hanging="284"/>
      </w:pPr>
      <w:r>
        <w:t>3</w:t>
      </w:r>
      <w:r w:rsidR="008C17ED">
        <w:t>6</w:t>
      </w:r>
      <w:r>
        <w:t xml:space="preserve"> per cent SES/SO women </w:t>
      </w:r>
    </w:p>
    <w:p w14:paraId="75A93890" w14:textId="2866AD44" w:rsidR="006800C7" w:rsidRDefault="006800C7" w:rsidP="006800C7">
      <w:pPr>
        <w:pStyle w:val="ListBullet"/>
        <w:numPr>
          <w:ilvl w:val="0"/>
          <w:numId w:val="12"/>
        </w:numPr>
        <w:tabs>
          <w:tab w:val="left" w:pos="284"/>
        </w:tabs>
        <w:spacing w:before="120" w:after="0" w:line="260" w:lineRule="exact"/>
        <w:ind w:left="288" w:hanging="288"/>
      </w:pPr>
      <w:r>
        <w:t>3.</w:t>
      </w:r>
      <w:r w:rsidR="008C17ED">
        <w:t>21</w:t>
      </w:r>
      <w:r>
        <w:t xml:space="preserve"> Million Face-to-face services provided to customers across our </w:t>
      </w:r>
      <w:r w:rsidR="008C17ED">
        <w:t>90</w:t>
      </w:r>
      <w:r>
        <w:t xml:space="preserve"> Customer Service Centres </w:t>
      </w:r>
    </w:p>
    <w:p w14:paraId="77EBDF06" w14:textId="22525212" w:rsidR="006800C7" w:rsidRDefault="006800C7" w:rsidP="006800C7">
      <w:pPr>
        <w:pStyle w:val="ListBullet"/>
        <w:numPr>
          <w:ilvl w:val="0"/>
          <w:numId w:val="12"/>
        </w:numPr>
        <w:tabs>
          <w:tab w:val="left" w:pos="284"/>
        </w:tabs>
        <w:spacing w:before="120" w:after="0" w:line="260" w:lineRule="exact"/>
        <w:ind w:left="288" w:hanging="288"/>
      </w:pPr>
      <w:r>
        <w:t>1</w:t>
      </w:r>
      <w:r w:rsidR="008C17ED">
        <w:t>2.87</w:t>
      </w:r>
      <w:r>
        <w:t xml:space="preserve"> Million Customers conducted transactions using online self-service channels </w:t>
      </w:r>
    </w:p>
    <w:p w14:paraId="2ED7ECFB" w14:textId="434C0095" w:rsidR="006800C7" w:rsidRDefault="006800C7" w:rsidP="006800C7">
      <w:pPr>
        <w:pStyle w:val="ListBullet"/>
        <w:numPr>
          <w:ilvl w:val="0"/>
          <w:numId w:val="12"/>
        </w:numPr>
        <w:tabs>
          <w:tab w:val="left" w:pos="284"/>
        </w:tabs>
        <w:spacing w:before="120" w:after="0" w:line="260" w:lineRule="exact"/>
        <w:ind w:left="288" w:hanging="288"/>
      </w:pPr>
      <w:r>
        <w:t>1</w:t>
      </w:r>
      <w:r w:rsidR="008C17ED">
        <w:t>9.03</w:t>
      </w:r>
      <w:r>
        <w:t xml:space="preserve"> Million </w:t>
      </w:r>
      <w:r w:rsidR="008C17ED">
        <w:t>Total c</w:t>
      </w:r>
      <w:r>
        <w:t xml:space="preserve">ustomer interactions for the year </w:t>
      </w:r>
    </w:p>
    <w:p w14:paraId="50D59110" w14:textId="2C2AE8C2" w:rsidR="003E3DA9" w:rsidRDefault="003E3DA9" w:rsidP="003E3DA9">
      <w:pPr>
        <w:pStyle w:val="ListBullet2"/>
        <w:numPr>
          <w:ilvl w:val="0"/>
          <w:numId w:val="0"/>
        </w:numPr>
        <w:tabs>
          <w:tab w:val="left" w:pos="284"/>
        </w:tabs>
        <w:spacing w:before="120" w:after="0" w:line="0" w:lineRule="atLeast"/>
        <w:ind w:left="1134" w:hanging="567"/>
      </w:pPr>
    </w:p>
    <w:p w14:paraId="05301B12" w14:textId="77777777" w:rsidR="003E3DA9" w:rsidRDefault="003E3DA9" w:rsidP="003E3DA9">
      <w:pPr>
        <w:pStyle w:val="ListBullet2"/>
        <w:numPr>
          <w:ilvl w:val="0"/>
          <w:numId w:val="0"/>
        </w:numPr>
        <w:tabs>
          <w:tab w:val="left" w:pos="284"/>
        </w:tabs>
        <w:spacing w:before="120" w:after="0" w:line="0" w:lineRule="atLeast"/>
        <w:ind w:left="1134" w:hanging="567"/>
      </w:pPr>
    </w:p>
    <w:p w14:paraId="20452543" w14:textId="77777777" w:rsidR="003E3DA9" w:rsidRPr="003E3DA9" w:rsidRDefault="003E3DA9" w:rsidP="003E3DA9"/>
    <w:p w14:paraId="7466B624" w14:textId="58109060" w:rsidR="006800C7" w:rsidRPr="006D485E" w:rsidRDefault="006800C7" w:rsidP="006800C7">
      <w:pPr>
        <w:pStyle w:val="Heading1"/>
      </w:pPr>
      <w:r>
        <w:t xml:space="preserve">Responding to </w:t>
      </w:r>
      <w:r w:rsidR="0020190B">
        <w:t xml:space="preserve">change and managing uncertainty </w:t>
      </w:r>
    </w:p>
    <w:p w14:paraId="236686E1" w14:textId="77777777" w:rsidR="006800C7" w:rsidRPr="00E46578" w:rsidRDefault="006800C7" w:rsidP="006800C7">
      <w:pPr>
        <w:pStyle w:val="Heading2"/>
      </w:pPr>
      <w:r>
        <w:t>Overview</w:t>
      </w:r>
    </w:p>
    <w:p w14:paraId="6C4827AA" w14:textId="4FE3E8F3" w:rsidR="00D2288E" w:rsidRDefault="00D2288E" w:rsidP="00D2288E">
      <w:r>
        <w:t>In the past year the emergence of the Omicron variant of COVID-19, a series of extreme weather events, and the flow-on effects from both have tested the resilience of Queenslanders across the state.</w:t>
      </w:r>
    </w:p>
    <w:p w14:paraId="74A16F38" w14:textId="27268B56" w:rsidR="00D2288E" w:rsidRPr="00E46578" w:rsidRDefault="00D2288E" w:rsidP="00D2288E">
      <w:r>
        <w:t>Throughout this period of uncertainty, TMR has continued to work with government and industry partners to protect the safety of Queenslanders and keep essential services running and road and transport infrastructure operational. TMR also worked around the clock to repair vital infrastructure and stepped up to support communities most impacted by extreme weather events.</w:t>
      </w:r>
    </w:p>
    <w:p w14:paraId="0869C18B" w14:textId="70874795" w:rsidR="006800C7" w:rsidRPr="00E46578" w:rsidRDefault="00A933DE" w:rsidP="006800C7">
      <w:pPr>
        <w:pStyle w:val="Heading4"/>
      </w:pPr>
      <w:r>
        <w:t xml:space="preserve">Omicron: adapting to new challenges </w:t>
      </w:r>
    </w:p>
    <w:p w14:paraId="7A4E9D87" w14:textId="784D2C7F" w:rsidR="00E07E52" w:rsidRDefault="00E07E52" w:rsidP="00E07E52">
      <w:r>
        <w:t>The rapid spread of the Omicron variant of COVID-19 led TMR, along with other organisations across government and business, to reconsider operational models that were based on the previous Delta variant.</w:t>
      </w:r>
    </w:p>
    <w:p w14:paraId="7D2FD28D" w14:textId="34FE4B84" w:rsidR="00E07E52" w:rsidRPr="00E46578" w:rsidRDefault="00E07E52" w:rsidP="00E07E52">
      <w:r>
        <w:t>The ability to quickly adapt operations to keep TMR staff, stakeholders, and customers safe during periods of peak infection and lockdowns was crucial. Business continuity plans were activated across the department, with non-frontline office-based staff encouraged to work from home where possible and teams needing to come into a workplace operating on a rotation to minimise physical contact. Increased cleaning regimes were also put in place across workplaces, and staff were supported with flexible working options to enable them to balance family commitments and attend vaccination and other medical appointments.</w:t>
      </w:r>
    </w:p>
    <w:p w14:paraId="68CAD7EC" w14:textId="1063037F" w:rsidR="006800C7" w:rsidRPr="00E46578" w:rsidRDefault="00E07E52" w:rsidP="006800C7">
      <w:pPr>
        <w:pStyle w:val="Heading4"/>
      </w:pPr>
      <w:r>
        <w:t xml:space="preserve">Protecting our customers </w:t>
      </w:r>
    </w:p>
    <w:p w14:paraId="5E256B70" w14:textId="40A1FCEA" w:rsidR="005253A0" w:rsidRDefault="005253A0" w:rsidP="005253A0">
      <w:r>
        <w:t xml:space="preserve">As the Omicron wave began to gather momentum, TMR made the decision to offer only essential services at Customer Service Centres for short periods and at times when the transmission rate was high in local areas, to protect the safety of TMR staff and customers. However, the innovative online enhancements made by TMR’s Customer Services Branch helped </w:t>
      </w:r>
      <w:r>
        <w:lastRenderedPageBreak/>
        <w:t>thousands of customers continue to interact and transact with us online. This helped to reduce the need for customers to visit TMR offices, as well as giving them greater choice and flexibility in accessing the services they needed.</w:t>
      </w:r>
    </w:p>
    <w:p w14:paraId="47B5EA84" w14:textId="385BD954" w:rsidR="005253A0" w:rsidRDefault="005253A0" w:rsidP="006800C7">
      <w:r>
        <w:t>Throughout the Omicron wave, Queensland Rail enacted business continuity measures to adjust weekday services on the South East Queensland rail network. This ensured all lines and stations continued to provide daily services to keep the state moving. Outside of the south east region, TMR worked with the many smaller bus network operators, school transport providers, long-distance coach operators and aviation service providers to monitor for emerging service continuity risks.</w:t>
      </w:r>
    </w:p>
    <w:p w14:paraId="60A4ED3F" w14:textId="6E62418F" w:rsidR="005253A0" w:rsidRPr="00E46578" w:rsidRDefault="005253A0" w:rsidP="005253A0">
      <w:pPr>
        <w:pStyle w:val="Heading4"/>
      </w:pPr>
      <w:r>
        <w:t xml:space="preserve">The importance of communication </w:t>
      </w:r>
    </w:p>
    <w:p w14:paraId="154C2075" w14:textId="2B491278" w:rsidR="000370EC" w:rsidRDefault="000370EC" w:rsidP="000370EC">
      <w:r>
        <w:t>Communication continued to play a vital role in keeping TMR’s workforce connected and informed of the latest developments, health advice and operational changes. The Director-General issued regular department-wide written and video updates and responded to individual questions from staff via a dedicated email channel. The department’s dedicated COVID-19 intranet page was also maintained as a source of information.</w:t>
      </w:r>
    </w:p>
    <w:p w14:paraId="3FC7CD2C" w14:textId="4B051597" w:rsidR="000370EC" w:rsidRDefault="000370EC" w:rsidP="000370EC">
      <w:r>
        <w:t>The Director-General provided regular updates to external stakeholders via a dedicated email newsletter, as well as hosting fortnightly teleconferences with industry partners and stakeholders.</w:t>
      </w:r>
    </w:p>
    <w:p w14:paraId="5DFC09A8" w14:textId="7272DE64" w:rsidR="000370EC" w:rsidRDefault="000370EC" w:rsidP="000370EC">
      <w:r>
        <w:t>Social media continued to be a critical component in keeping the Queensland community informed and educated, and this relationship was never more important than during COVID-19.</w:t>
      </w:r>
    </w:p>
    <w:p w14:paraId="7EADBDFC" w14:textId="290B6A4B" w:rsidR="005253A0" w:rsidRDefault="000370EC" w:rsidP="000370EC">
      <w:r>
        <w:t>Facebook continues to be TMR’s largest and most engaged community, with a 34 per cent increase in followers to 188,572. Twitter and LinkedIn also experienced significant growth, with a 25 per cent increase in followers to 23,329 and 18 per cent to 46,401 respectively. Total followers across all platforms increased by 30 per cent.</w:t>
      </w:r>
    </w:p>
    <w:p w14:paraId="5BF8B90E" w14:textId="0CDBC8A8" w:rsidR="000370EC" w:rsidRPr="00E46578" w:rsidRDefault="000370EC" w:rsidP="000370EC">
      <w:pPr>
        <w:pStyle w:val="Heading4"/>
      </w:pPr>
      <w:r>
        <w:t>Protecting borders</w:t>
      </w:r>
    </w:p>
    <w:p w14:paraId="6C2661BA" w14:textId="02BBF213" w:rsidR="00541347" w:rsidRDefault="00541347" w:rsidP="00541347">
      <w:r>
        <w:t>Prior to the lifting of interstate border restrictions, TMR’s Transport Inspectors and Senior Network Officers worked tirelessly alongside Defence Australia and the Queensland Police Service to protect the state’s borders and keep people safe. These teams worked all hours of the day and night, often in challenging weather conditions, and checked a total of 3.6 million vehicles at state and territory borders.</w:t>
      </w:r>
    </w:p>
    <w:p w14:paraId="2792187A" w14:textId="4545332A" w:rsidR="00541347" w:rsidRDefault="00541347" w:rsidP="00541347">
      <w:r>
        <w:t>To help drivers meet the Queensland Freight Protocol testing requirements, four dedicated freight and logistics driver COVID-19 testing sites were set up at Boondall, the Port of Brisbane, Charlton and Goondiwindi. These sites collectively conducted more than 41 million PCR tests.</w:t>
      </w:r>
    </w:p>
    <w:p w14:paraId="2AC1C0E9" w14:textId="77777777" w:rsidR="00541347" w:rsidRDefault="00541347" w:rsidP="00541347">
      <w:r>
        <w:t>In September 2021, dedicated vaccination hubs were also established at Tugun and Goondiwindi to support the Queensland Freight Protocol requirement for mandatory vaccination. These sites administered a total of 824 vaccinations before ceasing operation in November 2021.</w:t>
      </w:r>
    </w:p>
    <w:p w14:paraId="1FFBB677" w14:textId="7F102C41" w:rsidR="00541347" w:rsidRPr="00E46578" w:rsidRDefault="00541347" w:rsidP="00541347">
      <w:pPr>
        <w:pStyle w:val="Heading4"/>
      </w:pPr>
      <w:r>
        <w:t>Supporting the maritime industry</w:t>
      </w:r>
    </w:p>
    <w:p w14:paraId="3606D982" w14:textId="37F1EA0E" w:rsidR="00E35821" w:rsidRDefault="00E35821" w:rsidP="00E35821">
      <w:r>
        <w:t>TMR, through Maritime Safety Queensland (MSQ), coordinated the state’s maritime response, with guidance from Queensland Health and the State Health Emergency Coordination Centre, in applying directives, protocols, risk assessments, border interventions, quarantine and precautionary measures. The MSQ protocols were also adapted in other states.</w:t>
      </w:r>
    </w:p>
    <w:p w14:paraId="62EC0C41" w14:textId="4F4263C1" w:rsidR="00E35821" w:rsidRDefault="00E35821" w:rsidP="00E35821">
      <w:r>
        <w:t xml:space="preserve">The three key guiding principles for the management of COVID-19 in the Queensland maritime response were the protection of </w:t>
      </w:r>
      <w:r w:rsidR="00006AAC">
        <w:t>seafarers'</w:t>
      </w:r>
      <w:r>
        <w:t xml:space="preserve"> onboard ships and in ports, protection of the community, and maintaining trade and commerce for the state.</w:t>
      </w:r>
    </w:p>
    <w:p w14:paraId="735E0B0F" w14:textId="149F0690" w:rsidR="005253A0" w:rsidRDefault="00E35821" w:rsidP="00E35821">
      <w:r>
        <w:lastRenderedPageBreak/>
        <w:t>From the start of COVID-19 to the end of June 2022, MSQ facilitated nearly 14,000 crew changes across more than 1000 vessels. Nearly 900 medical appointments ashore were also facilitated for quarantine maritime crew. The maritime response will be ongoing as MSQ strives to protect Queenslanders and international seafarers, while also maintaining critical supply chains for economic recovery.</w:t>
      </w:r>
    </w:p>
    <w:p w14:paraId="501EDFA1" w14:textId="6AEE20BF" w:rsidR="00DB58E3" w:rsidRPr="00E46578" w:rsidRDefault="00DB58E3" w:rsidP="00DB58E3">
      <w:pPr>
        <w:pStyle w:val="Heading4"/>
      </w:pPr>
      <w:r>
        <w:t xml:space="preserve">A coordinated response to extreme flooding </w:t>
      </w:r>
    </w:p>
    <w:p w14:paraId="27E85AB8" w14:textId="17ECFB65" w:rsidR="00105987" w:rsidRDefault="00105987" w:rsidP="00105987">
      <w:r w:rsidRPr="00105987">
        <w:t>The floods that swept through broader South East Queensland at the end of February 2022 caused widespread damage and disruption to critical infrastructure and services, as well as devastation to the lives of thousands of Queenslanders.</w:t>
      </w:r>
    </w:p>
    <w:p w14:paraId="2EBAED5E" w14:textId="77777777" w:rsidR="00B80761" w:rsidRDefault="00B80761" w:rsidP="00B80761">
      <w:r>
        <w:t>TMR’s first priority was to work alongside emergency services and other areas of government, in a coordinated way, to assess damage caused by the flooding and ensure people were protected from immediate danger and given the information they needed to make safe travel decisions.</w:t>
      </w:r>
    </w:p>
    <w:p w14:paraId="152933BA" w14:textId="1D898F77" w:rsidR="00B80761" w:rsidRDefault="00B80761" w:rsidP="00B80761">
      <w:r>
        <w:t>TMR’s RoadTek crews worked around the clock, often in hazardous conditions, from Maryborough down to the Gold Coast to assess and repair damage and restore the state’s vital road network. A significant reconstruction program is underway to repair major road damage across 21 local government areas, including numerous landslips, widespread pavement damage and scouring around bridges and culverts.</w:t>
      </w:r>
    </w:p>
    <w:p w14:paraId="16CE6B4E" w14:textId="77777777" w:rsidR="00B80761" w:rsidRDefault="00B80761" w:rsidP="00B80761">
      <w:r>
        <w:t>Translink responded by providing free travel on public transport during a critical post-flood period between 3–6 March 2022, covering Coolangatta to Fraser Coast and across to Toowoomba. Emergency timetables were created for South East Queensland and buses replaced trains where possible. Customer information was also updated in real time through an array of channels, including websites and social media.</w:t>
      </w:r>
    </w:p>
    <w:p w14:paraId="368E176C" w14:textId="77777777" w:rsidR="00B80761" w:rsidRDefault="00B80761" w:rsidP="00B80761">
      <w:r>
        <w:t>Translink also worked with delivery partners to implement diversions or alternative services, where possible, to maintain service continuity and customer safety. They also worked in collaboration with School Bus Service Delivery Partners across Queensland to respond to urgent school closures and amend services to accommodate impacted school routes.</w:t>
      </w:r>
    </w:p>
    <w:p w14:paraId="26F91B8C" w14:textId="77777777" w:rsidR="00B80761" w:rsidRDefault="00B80761" w:rsidP="00B80761">
      <w:r>
        <w:t>TMR’s social media channels continued to be a trusted information source in times of crisis and during several severe weather events throughout the year. Social media reached people in a way traditional messaging could not, with updates shared widely and reaching key target audiences.</w:t>
      </w:r>
    </w:p>
    <w:p w14:paraId="79750E28" w14:textId="1DF9DA8E" w:rsidR="00105987" w:rsidRPr="00105987" w:rsidRDefault="00B80761" w:rsidP="00B80761">
      <w:r>
        <w:t>During extreme weather events, social media communication became an even greater priority. The department published various posts, photos and videos provided by customers and communication staff on the ground, including major roads and highway closures and reopenings, maritime alerts and affected ports and harbours, and disaster assistance packages available for affected communities.</w:t>
      </w:r>
    </w:p>
    <w:p w14:paraId="715ADD3D" w14:textId="3737D450" w:rsidR="00B80761" w:rsidRPr="00E46578" w:rsidRDefault="00B80761" w:rsidP="00B80761">
      <w:pPr>
        <w:pStyle w:val="Heading4"/>
      </w:pPr>
      <w:r>
        <w:t>Working together to restore water access</w:t>
      </w:r>
    </w:p>
    <w:p w14:paraId="33AB76E0" w14:textId="77777777" w:rsidR="00D95AAA" w:rsidRDefault="00D95AAA" w:rsidP="00D95AAA">
      <w:r>
        <w:t>The flood recovery work coordinated by MSQ in the Brisbane River, Moreton Bay and Sunshine and Fraser Coasts received widespread praise for the way agencies, contractors, and the maritime community worked together to respond to waterborne threats.</w:t>
      </w:r>
    </w:p>
    <w:p w14:paraId="6BD6F4CA" w14:textId="0D1C3C7D" w:rsidR="005253A0" w:rsidRDefault="00D95AAA" w:rsidP="00D95AAA">
      <w:r>
        <w:t>MSQ had the lead role in dealing with the many maritime issues including restricting operations and vessel movements in the Port of Brisbane and Brisbane River, managing the identification and removal of debris and obstructions, conducting hydrographic surveys and diver inspections of key public marine infrastructure, and finding and repairing navigation aids affected by the flood. These tasks were progressed with support from the Queensland Water Police, Port of Brisbane Pty Ltd, Royal Australian Navy, Queensland Parks and Wildlife Service, local governments and commercial contractors.</w:t>
      </w:r>
    </w:p>
    <w:p w14:paraId="64503AFE" w14:textId="77777777" w:rsidR="003710FD" w:rsidRDefault="003710FD" w:rsidP="003710FD">
      <w:r>
        <w:lastRenderedPageBreak/>
        <w:t>A key priority was the re-opening of the Port of Brisbane to commercial shipping operations. MSQ’s Regional Harbour Master (Brisbane) adopted a diligent and risk-based safety approach to achieve this objective. The first ship movements of fuel tankers occurred on 3 March 2022 before the port was progressively reopened to other shipping to ensure continuity of supply chains.</w:t>
      </w:r>
    </w:p>
    <w:p w14:paraId="2E257E6F" w14:textId="5399827A" w:rsidR="005253A0" w:rsidRDefault="003710FD" w:rsidP="003710FD">
      <w:r>
        <w:t>During the recovery phase, more than 6700 tonnes of debris was removed from the Brisbane River, areas of Moreton Bay, and beaches as far north as Fraser Island (K’gari). Collection sites for debris recovered from the Brisbane area were established at Murarrie and Hemmant and, where possible, owners were contacted so that salvageable property could be returned. In all, a total of 60 vessels and 40 pontoons were salvaged and 60 displaced navigation aids reinstated.</w:t>
      </w:r>
    </w:p>
    <w:p w14:paraId="247F7ED9" w14:textId="61FBAC2B" w:rsidR="003710FD" w:rsidRPr="00E46578" w:rsidRDefault="003710FD" w:rsidP="003710FD">
      <w:pPr>
        <w:pStyle w:val="Heading4"/>
      </w:pPr>
      <w:r>
        <w:t xml:space="preserve">Planning for the future </w:t>
      </w:r>
    </w:p>
    <w:p w14:paraId="200046DE" w14:textId="5DFD59DA" w:rsidR="008B1CDD" w:rsidRDefault="008B1CDD" w:rsidP="008B1CDD">
      <w:r>
        <w:t>As TMR looks to the future, it is important to acknowledge that COVID-19 remains an ongoing issue in the community, and Queenslanders are also facing the possibility of further extreme weather events that could match or even exceed the scale and impacts of the recent floods.</w:t>
      </w:r>
    </w:p>
    <w:p w14:paraId="5F875C9C" w14:textId="19210B91" w:rsidR="008B1CDD" w:rsidRDefault="008B1CDD" w:rsidP="008B1CDD">
      <w:r>
        <w:t>Radical uncertainty and being flexible and nimble has become part of the new normal, and agility is something that needs to be embraced as part of planning a way forward.</w:t>
      </w:r>
    </w:p>
    <w:p w14:paraId="3DCFD7A6" w14:textId="66F8AE87" w:rsidR="005253A0" w:rsidRDefault="008B1CDD" w:rsidP="008B1CDD">
      <w:r>
        <w:t>TMR’s strategic and business planning processes are key elements for ensuring the department is ready to respond to unexpected challenges in the future, and work is well underway to plan for and progress future-focused programs of work that will equip TMR to continue delivering for customers and communities.</w:t>
      </w:r>
    </w:p>
    <w:p w14:paraId="71322C37" w14:textId="34C0255E" w:rsidR="006800C7" w:rsidRPr="00E46578" w:rsidRDefault="008B1CDD" w:rsidP="006800C7">
      <w:pPr>
        <w:pStyle w:val="Heading3"/>
      </w:pPr>
      <w:r>
        <w:t>Case Study</w:t>
      </w:r>
    </w:p>
    <w:p w14:paraId="2CD72009" w14:textId="289E486E" w:rsidR="006800C7" w:rsidRDefault="008B1CDD" w:rsidP="006800C7">
      <w:pPr>
        <w:pStyle w:val="Heading4"/>
      </w:pPr>
      <w:r>
        <w:t>Maritime flood recovery 2022</w:t>
      </w:r>
    </w:p>
    <w:p w14:paraId="1A5CF3CE" w14:textId="77777777" w:rsidR="006436CC" w:rsidRDefault="006436CC" w:rsidP="006436CC">
      <w:r>
        <w:t>The 2022 floods posed significant maritime issues and challenges in South East Queensland. MSQ had the primary lead role for the maritime component of the whole-of- government response.</w:t>
      </w:r>
    </w:p>
    <w:p w14:paraId="7B01E080" w14:textId="77777777" w:rsidR="006436CC" w:rsidRDefault="006436CC" w:rsidP="006436CC">
      <w:r>
        <w:t>As rains increased across soaked catchments, flood conditions on South East Queensland waterways became treacherous with unusually fast river currents, eddies, and large amounts of debris.</w:t>
      </w:r>
    </w:p>
    <w:p w14:paraId="120E9752" w14:textId="77777777" w:rsidR="006436CC" w:rsidRDefault="006436CC" w:rsidP="006436CC">
      <w:r>
        <w:t>On 26 February 2022, MSQ Brisbane Region’s Incident Management Team went to STAND UP under the direction of the Regional Harbour Master, Brisbane and commenced disaster response operations—collaborating closely with colleagues across TMR, and the Brisbane District Disaster Management Group. Multiple on-water emergencies were dealt with in partnership with other agencies, such as the Queensland Police Service and volunteer marine rescue organisations. Protection of human life was the prime focus, followed by infrastructure and the environment.</w:t>
      </w:r>
    </w:p>
    <w:p w14:paraId="54CFF257" w14:textId="77777777" w:rsidR="006436CC" w:rsidRDefault="006436CC" w:rsidP="006436CC">
      <w:r>
        <w:t>Whilst the Port of Brisbane was severely disrupted throughout the period, key supply chains were maintained with the collaboration of port service providers—such as Marine Pilots and Towage services and port stakeholders including terminal operators and the Port of Brisbane— demonstrating that strong relationships build resilience.</w:t>
      </w:r>
    </w:p>
    <w:p w14:paraId="76238036" w14:textId="55A845F1" w:rsidR="006436CC" w:rsidRDefault="006436CC" w:rsidP="006436CC">
      <w:r>
        <w:t>Enduring partnerships with other disaster management organisations ensured a rapid response, in particular the deployment of the Royal Australian Navy to assist in surveying and hazard identification at key public maritime infrastructure, such as ferry terminals and bridges.</w:t>
      </w:r>
    </w:p>
    <w:p w14:paraId="4AFA9B7E" w14:textId="77777777" w:rsidR="006436CC" w:rsidRDefault="006436CC" w:rsidP="006436CC">
      <w:r>
        <w:t xml:space="preserve">A huge clean-up operation was undertaken by MSQ, and more than 6700 tonnes of debris was collected from the Brisbane River and other key waterways of South East Queensland. These efforts ensured it was safe for use by stakeholders of the </w:t>
      </w:r>
      <w:r>
        <w:lastRenderedPageBreak/>
        <w:t>Port of Brisbane, commercial vessel operators and the recreational boating public in only five weeks from the initial flood event.</w:t>
      </w:r>
    </w:p>
    <w:p w14:paraId="24EBFC07" w14:textId="0B2BFEA1" w:rsidR="006436CC" w:rsidRDefault="006436CC" w:rsidP="006436CC">
      <w:r>
        <w:t>Throughout the period, MSQ overcame many challenges and learnt many lessons for the next event. The rapid response achieved across all maritime areas in a safe and determined manner is testament to TMR’s ongoing investment in emergency management and disaster response training.</w:t>
      </w:r>
    </w:p>
    <w:p w14:paraId="2E5A0C5B" w14:textId="446583A1" w:rsidR="006800C7" w:rsidRDefault="006800C7" w:rsidP="006800C7">
      <w:pPr>
        <w:pStyle w:val="Heading1"/>
      </w:pPr>
    </w:p>
    <w:p w14:paraId="4F98BA7A" w14:textId="77777777" w:rsidR="006800C7" w:rsidRDefault="006800C7" w:rsidP="006800C7">
      <w:pPr>
        <w:spacing w:before="0" w:after="160" w:line="259" w:lineRule="auto"/>
      </w:pPr>
      <w:r>
        <w:br w:type="page"/>
      </w:r>
    </w:p>
    <w:p w14:paraId="3136B5BC" w14:textId="77777777" w:rsidR="006800C7" w:rsidRPr="006B65BF" w:rsidRDefault="006800C7" w:rsidP="006800C7"/>
    <w:p w14:paraId="1AE6B7DA" w14:textId="77777777" w:rsidR="006800C7" w:rsidRPr="00E56B3B" w:rsidRDefault="006800C7" w:rsidP="006800C7">
      <w:pPr>
        <w:pStyle w:val="Heading1"/>
      </w:pPr>
      <w:r>
        <w:t>Integrated Transport Network</w:t>
      </w:r>
    </w:p>
    <w:p w14:paraId="2027F5C5" w14:textId="77777777" w:rsidR="006800C7" w:rsidRDefault="006800C7" w:rsidP="006800C7">
      <w:pPr>
        <w:pStyle w:val="Heading2"/>
      </w:pPr>
      <w:r>
        <w:t xml:space="preserve">Highlights </w:t>
      </w:r>
    </w:p>
    <w:p w14:paraId="011BA603" w14:textId="584A9406" w:rsidR="00F449AB" w:rsidRPr="00F449AB" w:rsidRDefault="00F449AB" w:rsidP="00F449AB">
      <w:pPr>
        <w:pStyle w:val="ListBullet"/>
      </w:pPr>
      <w:r w:rsidRPr="00F449AB">
        <w:t>Continued to progress implementation of Regional Transport Plans across the state.</w:t>
      </w:r>
    </w:p>
    <w:p w14:paraId="1CBC7F82" w14:textId="37EF3353" w:rsidR="00F449AB" w:rsidRPr="00F449AB" w:rsidRDefault="00F449AB" w:rsidP="00F449AB">
      <w:pPr>
        <w:pStyle w:val="ListBullet"/>
      </w:pPr>
      <w:r w:rsidRPr="00F449AB">
        <w:t>Continued to deliver Queensland Transport and Roads Investment Program infrastructure projects, including more than $1.4 billion investment over four years for initiatives critical to reducing road trauma and saving lives.</w:t>
      </w:r>
    </w:p>
    <w:p w14:paraId="06745D79" w14:textId="45ED8397" w:rsidR="00F449AB" w:rsidRPr="00F449AB" w:rsidRDefault="00F449AB" w:rsidP="00F449AB">
      <w:pPr>
        <w:pStyle w:val="ListBullet"/>
      </w:pPr>
      <w:r w:rsidRPr="00F449AB">
        <w:t>Progressed planning for transport infrastructure and services to support the Brisbane 2032 Olympic and Paralympic Games.</w:t>
      </w:r>
    </w:p>
    <w:p w14:paraId="39328F43" w14:textId="39BB66F1" w:rsidR="00F449AB" w:rsidRPr="00F449AB" w:rsidRDefault="00F449AB" w:rsidP="00F449AB">
      <w:pPr>
        <w:pStyle w:val="ListBullet"/>
      </w:pPr>
      <w:r w:rsidRPr="00F449AB">
        <w:t>Expanded the Principal Cycle Network to include Burke, Carpentaria, Cloncurry, Doomadgee, Flinders, McKinlay, Mornington, and Richmond local government areas.</w:t>
      </w:r>
    </w:p>
    <w:p w14:paraId="63AEC42F" w14:textId="052F4AFA" w:rsidR="00F449AB" w:rsidRPr="00F449AB" w:rsidRDefault="00F449AB" w:rsidP="00F449AB">
      <w:pPr>
        <w:pStyle w:val="ListBullet"/>
      </w:pPr>
      <w:r w:rsidRPr="00F449AB">
        <w:t>Continued delivery of new, upgraded, and improved recreational boating facilities and infrastructure through the Marine Infrastructure Fund.</w:t>
      </w:r>
    </w:p>
    <w:p w14:paraId="42A92221" w14:textId="1D81F19D" w:rsidR="00F449AB" w:rsidRPr="00F449AB" w:rsidRDefault="00F449AB" w:rsidP="00F449AB">
      <w:pPr>
        <w:pStyle w:val="ListBullet"/>
      </w:pPr>
      <w:r w:rsidRPr="00F449AB">
        <w:t xml:space="preserve">Launched the </w:t>
      </w:r>
      <w:r w:rsidRPr="00F2556A">
        <w:rPr>
          <w:rStyle w:val="Emphasis"/>
        </w:rPr>
        <w:t>Zero Emission Vehicle Strategy 2022–2032</w:t>
      </w:r>
      <w:r w:rsidRPr="00F449AB">
        <w:t xml:space="preserve"> together with the first </w:t>
      </w:r>
      <w:r w:rsidRPr="00F2556A">
        <w:rPr>
          <w:rStyle w:val="Emphasis"/>
        </w:rPr>
        <w:t>Zero Emission Vehicle Action Plan 2022–2024</w:t>
      </w:r>
      <w:r w:rsidRPr="00F449AB">
        <w:t>.</w:t>
      </w:r>
    </w:p>
    <w:p w14:paraId="6D8F2AC5" w14:textId="45B29D65" w:rsidR="00F449AB" w:rsidRPr="00F449AB" w:rsidRDefault="00F449AB" w:rsidP="00F449AB">
      <w:pPr>
        <w:pStyle w:val="ListBullet"/>
      </w:pPr>
      <w:r w:rsidRPr="00F449AB">
        <w:t>Announced a further $2.75 million investment to deliver an additional 18 new Queensland Electric Super Highway sites.</w:t>
      </w:r>
    </w:p>
    <w:p w14:paraId="2868BF27" w14:textId="57D6CD30" w:rsidR="00F449AB" w:rsidRPr="00F449AB" w:rsidRDefault="00F449AB" w:rsidP="00F449AB">
      <w:pPr>
        <w:pStyle w:val="ListBullet"/>
      </w:pPr>
      <w:r w:rsidRPr="00F449AB">
        <w:t>Continued to provide seven government subsidised regulated air routes for regional Queensland, providing valuable access to air travel for rural and remote customers.</w:t>
      </w:r>
    </w:p>
    <w:p w14:paraId="46EF4620" w14:textId="5AEC1193" w:rsidR="00F449AB" w:rsidRPr="00F449AB" w:rsidRDefault="00F449AB" w:rsidP="00F449AB">
      <w:pPr>
        <w:pStyle w:val="ListBullet"/>
      </w:pPr>
      <w:r w:rsidRPr="00F449AB">
        <w:t xml:space="preserve">Completed stage three of the Queensland Government’s reform program </w:t>
      </w:r>
      <w:r w:rsidRPr="00FE3313">
        <w:rPr>
          <w:rStyle w:val="Emphasis"/>
        </w:rPr>
        <w:t>Queensland’s Personalised Transport Horizon – Five Year Strategic Plan for Personalised Transport Services 2016–21</w:t>
      </w:r>
      <w:r w:rsidRPr="00F449AB">
        <w:t xml:space="preserve">. </w:t>
      </w:r>
    </w:p>
    <w:p w14:paraId="64620321" w14:textId="7FA68B56" w:rsidR="00F449AB" w:rsidRPr="00F449AB" w:rsidRDefault="00F449AB" w:rsidP="00F449AB">
      <w:pPr>
        <w:pStyle w:val="ListBullet"/>
      </w:pPr>
      <w:r w:rsidRPr="00F449AB">
        <w:t>Continued to invest in improving and extending networks for walking and riding bikes through the Active Transport Investment Program.</w:t>
      </w:r>
    </w:p>
    <w:p w14:paraId="1F1EEA19" w14:textId="304B8DB5" w:rsidR="00F449AB" w:rsidRPr="00F449AB" w:rsidRDefault="00F449AB" w:rsidP="00F449AB">
      <w:pPr>
        <w:pStyle w:val="ListBullet"/>
      </w:pPr>
      <w:r w:rsidRPr="00F449AB">
        <w:t>Continued planning, design and building of park ‘n’ ride facilities to connect people with public transport.</w:t>
      </w:r>
    </w:p>
    <w:p w14:paraId="00078426" w14:textId="4DCA5A3A" w:rsidR="00F449AB" w:rsidRPr="00F449AB" w:rsidRDefault="00F449AB" w:rsidP="00F449AB">
      <w:pPr>
        <w:pStyle w:val="ListBullet"/>
      </w:pPr>
      <w:r w:rsidRPr="00F449AB">
        <w:t>Continued delivery of the $13 billion Bruce Highway Upgrade Program, with 432 projects completed.</w:t>
      </w:r>
    </w:p>
    <w:p w14:paraId="3B6548B9" w14:textId="419DF628" w:rsidR="00F449AB" w:rsidRPr="00F449AB" w:rsidRDefault="00F449AB" w:rsidP="00F449AB">
      <w:pPr>
        <w:pStyle w:val="ListBullet"/>
      </w:pPr>
      <w:r w:rsidRPr="00F449AB">
        <w:t>Continued work on the Cape York Region Package Stage Two program to upgrade priority transport infrastructure and roads on the Cape York Peninsula.</w:t>
      </w:r>
    </w:p>
    <w:p w14:paraId="37A3AD69" w14:textId="67ADEE74" w:rsidR="00F449AB" w:rsidRPr="00F449AB" w:rsidRDefault="00F449AB" w:rsidP="00F449AB">
      <w:pPr>
        <w:pStyle w:val="ListBullet"/>
      </w:pPr>
      <w:r w:rsidRPr="00F449AB">
        <w:t>Completed Butcher Creek bridge replacement on the Burke Developmental Road (Cloncurry–Normanton).</w:t>
      </w:r>
    </w:p>
    <w:p w14:paraId="1D407235" w14:textId="56D37DB9" w:rsidR="00F449AB" w:rsidRPr="00F449AB" w:rsidRDefault="00F449AB" w:rsidP="00F449AB">
      <w:pPr>
        <w:pStyle w:val="ListBullet"/>
      </w:pPr>
      <w:r w:rsidRPr="00F449AB">
        <w:t>Completed construction of the Haughton River Floodplain upgrade on the Bruce Highway, between Horseshoe Lagoon and Palm Creek.</w:t>
      </w:r>
    </w:p>
    <w:p w14:paraId="4C6A25A8" w14:textId="13E63AE5" w:rsidR="00F449AB" w:rsidRPr="00F449AB" w:rsidRDefault="00F449AB" w:rsidP="00F449AB">
      <w:pPr>
        <w:pStyle w:val="ListBullet"/>
      </w:pPr>
      <w:r w:rsidRPr="00F449AB">
        <w:t>Commenced construction of the Walkerston Bypass on the Peak Downs Highway.</w:t>
      </w:r>
    </w:p>
    <w:p w14:paraId="1F338609" w14:textId="53A218B7" w:rsidR="00F449AB" w:rsidRPr="00F449AB" w:rsidRDefault="00F449AB" w:rsidP="00F449AB">
      <w:pPr>
        <w:pStyle w:val="ListBullet"/>
      </w:pPr>
      <w:r w:rsidRPr="00F449AB">
        <w:t>Completed construction of new bridge at Tchanning Creek on Roma–Condamine Road.</w:t>
      </w:r>
    </w:p>
    <w:p w14:paraId="16A9BF3E" w14:textId="3368BDF4" w:rsidR="00F449AB" w:rsidRPr="00F449AB" w:rsidRDefault="00F449AB" w:rsidP="00F449AB">
      <w:pPr>
        <w:pStyle w:val="ListBullet"/>
      </w:pPr>
      <w:r w:rsidRPr="00F449AB">
        <w:t>Continued South West Regional Economic Enabling Fund works, including completion of projects on the Carnarvon Highway and Roma–Condamine Road.</w:t>
      </w:r>
    </w:p>
    <w:p w14:paraId="091A7B4D" w14:textId="04077935" w:rsidR="00F449AB" w:rsidRPr="00F449AB" w:rsidRDefault="00F449AB" w:rsidP="00F449AB">
      <w:pPr>
        <w:pStyle w:val="ListBullet"/>
      </w:pPr>
      <w:r w:rsidRPr="00F449AB">
        <w:t>Completed Stage One of the new Springfield Central train station multi-storey park ‘n’ ride facility.</w:t>
      </w:r>
    </w:p>
    <w:p w14:paraId="01834538" w14:textId="30729A32" w:rsidR="00F449AB" w:rsidRDefault="00F449AB" w:rsidP="00F449AB">
      <w:pPr>
        <w:pStyle w:val="ListBullet"/>
      </w:pPr>
      <w:r w:rsidRPr="00F449AB">
        <w:t>Continued construction on Gold Coast Light Rail Stage Three between Broadbeach South and Burleigh Heads</w:t>
      </w:r>
    </w:p>
    <w:p w14:paraId="379240DD" w14:textId="77777777" w:rsidR="00141CA0" w:rsidRPr="00F449AB" w:rsidRDefault="00141CA0" w:rsidP="00141CA0"/>
    <w:p w14:paraId="665A7853" w14:textId="77777777" w:rsidR="006800C7" w:rsidRDefault="006800C7" w:rsidP="006800C7">
      <w:pPr>
        <w:pStyle w:val="Heading2"/>
      </w:pPr>
      <w:r>
        <w:lastRenderedPageBreak/>
        <w:t>Planning best value investments for our future transport needs</w:t>
      </w:r>
    </w:p>
    <w:p w14:paraId="37C6F5B3" w14:textId="77777777" w:rsidR="006800C7" w:rsidRDefault="006800C7" w:rsidP="006800C7">
      <w:pPr>
        <w:pStyle w:val="Heading4"/>
      </w:pPr>
      <w:r>
        <w:t>Queensland Transport Strategy</w:t>
      </w:r>
    </w:p>
    <w:p w14:paraId="187092A1" w14:textId="77777777" w:rsidR="00F8682E" w:rsidRDefault="00F8682E" w:rsidP="00F8682E">
      <w:r>
        <w:t>Designing a transport network for the future, requires the continuing development and implementation of long and medium-term strategies and integrated plans to maximise Queensland’s long-term economic growth and prosperity.</w:t>
      </w:r>
    </w:p>
    <w:p w14:paraId="291C9DE3" w14:textId="663628F1" w:rsidR="00F8682E" w:rsidRDefault="00F8682E" w:rsidP="00F8682E">
      <w:r w:rsidRPr="00AC7922">
        <w:rPr>
          <w:rStyle w:val="Emphasis"/>
        </w:rPr>
        <w:t>The Queensland Trans</w:t>
      </w:r>
      <w:r w:rsidR="00AC7922" w:rsidRPr="00AC7922">
        <w:rPr>
          <w:rStyle w:val="Emphasis"/>
        </w:rPr>
        <w:t>p</w:t>
      </w:r>
      <w:r w:rsidRPr="00AC7922">
        <w:rPr>
          <w:rStyle w:val="Emphasis"/>
        </w:rPr>
        <w:t xml:space="preserve">ort Strategy </w:t>
      </w:r>
      <w:r>
        <w:t>provides a 30-year vision, harnessing emerging transport trends to continue to move people and products safely and efficiently into the future. It puts customers first and articulates TMR’s plan for maximising the benefits of future transport opportunities for all Queenslanders.</w:t>
      </w:r>
    </w:p>
    <w:p w14:paraId="49E1D65F" w14:textId="77777777" w:rsidR="00F8682E" w:rsidRDefault="00F8682E" w:rsidP="00F8682E">
      <w:r>
        <w:t>There are five customer focused outcomes:</w:t>
      </w:r>
    </w:p>
    <w:p w14:paraId="77E9CA3B" w14:textId="40DEB4F1" w:rsidR="00F8682E" w:rsidRDefault="00F8682E" w:rsidP="00AC7922">
      <w:pPr>
        <w:pStyle w:val="ListBullet"/>
      </w:pPr>
      <w:r>
        <w:t>Accessible, convenient transport</w:t>
      </w:r>
    </w:p>
    <w:p w14:paraId="5F0043D3" w14:textId="650CEB7C" w:rsidR="00F8682E" w:rsidRDefault="00F8682E" w:rsidP="00AC7922">
      <w:pPr>
        <w:pStyle w:val="ListBullet"/>
      </w:pPr>
      <w:r>
        <w:t>Safe journeys for all</w:t>
      </w:r>
    </w:p>
    <w:p w14:paraId="2836E260" w14:textId="55AE0DD8" w:rsidR="00F8682E" w:rsidRDefault="00F8682E" w:rsidP="00AC7922">
      <w:pPr>
        <w:pStyle w:val="ListBullet"/>
      </w:pPr>
      <w:r>
        <w:t>Seamless, personalised journeys</w:t>
      </w:r>
    </w:p>
    <w:p w14:paraId="5C9745DB" w14:textId="2898BB10" w:rsidR="00F8682E" w:rsidRDefault="00F8682E" w:rsidP="00AC7922">
      <w:pPr>
        <w:pStyle w:val="ListBullet"/>
      </w:pPr>
      <w:r>
        <w:t>Efficient, reliable and productive transport for people and goods</w:t>
      </w:r>
    </w:p>
    <w:p w14:paraId="1D52AC29" w14:textId="60602CB2" w:rsidR="00F8682E" w:rsidRDefault="00F8682E" w:rsidP="00F8682E">
      <w:pPr>
        <w:pStyle w:val="ListBullet"/>
      </w:pPr>
      <w:r>
        <w:t>Sustainable, resilient and liveable communities.</w:t>
      </w:r>
    </w:p>
    <w:p w14:paraId="07A3678E" w14:textId="77777777" w:rsidR="00F8682E" w:rsidRDefault="00F8682E" w:rsidP="00F8682E">
      <w:r>
        <w:t>The strategy continues to provide the long-term vision for the transformation of the state’s transport system to respond to customer preferences, global trends, and emerging technology.</w:t>
      </w:r>
    </w:p>
    <w:p w14:paraId="256811B5" w14:textId="77777777" w:rsidR="006800C7" w:rsidRDefault="006800C7" w:rsidP="006800C7">
      <w:pPr>
        <w:pStyle w:val="Heading4"/>
      </w:pPr>
      <w:r>
        <w:t>Regional Transport Plans</w:t>
      </w:r>
    </w:p>
    <w:p w14:paraId="1167657A" w14:textId="57335F98" w:rsidR="00112915" w:rsidRDefault="00112915" w:rsidP="00112915">
      <w:r>
        <w:t xml:space="preserve">Queensland’s suite of </w:t>
      </w:r>
      <w:r w:rsidRPr="00112915">
        <w:rPr>
          <w:rStyle w:val="Emphasis"/>
        </w:rPr>
        <w:t>Regional Transport Plans</w:t>
      </w:r>
      <w:r>
        <w:t xml:space="preserve"> (RTPs) defines the priorities for developing Queensland’s transport system. It outlines the planning actions that will guide future investment over a 15-year horizon, in a way that supports regional goals for the community, economy, and environment.</w:t>
      </w:r>
    </w:p>
    <w:p w14:paraId="6BF4A2AE" w14:textId="3BE35851" w:rsidR="00112915" w:rsidRDefault="00112915" w:rsidP="00112915">
      <w:r>
        <w:t xml:space="preserve">The RTPs consider all modes of transport, regional, demographic and industry changes, local government land use and transport planning. They respond to relevant regional plans and have informed the </w:t>
      </w:r>
      <w:r w:rsidRPr="00E06327">
        <w:rPr>
          <w:rStyle w:val="Emphasis"/>
        </w:rPr>
        <w:t>State Infrastructure Strategy</w:t>
      </w:r>
      <w:r>
        <w:t>. The RTPs cover the entire state and supports TMR’s vision of ‘creating a single integrated transport network accessible to everyone’.</w:t>
      </w:r>
    </w:p>
    <w:p w14:paraId="122A71E3" w14:textId="2311E672" w:rsidR="00112915" w:rsidRDefault="00112915" w:rsidP="00112915">
      <w:pPr>
        <w:rPr>
          <w:rStyle w:val="Hyperlink"/>
        </w:rPr>
      </w:pPr>
      <w:r>
        <w:t>TMR continues to progress implementation of all RTPs across the state. Plans for Mackay Isaac Whitsunday, North West, Central West, South West, Far North, Northern, Fitzroy, Wide Bay Burnett, Darling Downs and South East Queensland are available on TMR’s website.</w:t>
      </w:r>
    </w:p>
    <w:p w14:paraId="2C4CE02F" w14:textId="77777777" w:rsidR="006800C7" w:rsidRPr="00573D9C" w:rsidRDefault="006800C7" w:rsidP="006800C7">
      <w:pPr>
        <w:pStyle w:val="MoreInformation"/>
      </w:pPr>
      <w:r w:rsidRPr="00573D9C">
        <w:t xml:space="preserve">For more information </w:t>
      </w:r>
      <w:r w:rsidRPr="00573D9C">
        <w:br/>
      </w:r>
      <w:hyperlink r:id="rId19" w:history="1">
        <w:r w:rsidRPr="00E31D8F">
          <w:rPr>
            <w:rStyle w:val="Hyperlink"/>
          </w:rPr>
          <w:t>www.tmr.qld.gov.au/About-us/Corporate-information/Publications/Regional-Transport-Plans</w:t>
        </w:r>
      </w:hyperlink>
      <w:r>
        <w:t xml:space="preserve"> </w:t>
      </w:r>
    </w:p>
    <w:p w14:paraId="1C413122" w14:textId="61CEE4E2" w:rsidR="006800C7" w:rsidRPr="006D1E33" w:rsidRDefault="00FC7587" w:rsidP="006800C7">
      <w:pPr>
        <w:pStyle w:val="Heading4"/>
      </w:pPr>
      <w:r>
        <w:t>Queensland Transport and Roads Investment Program (QTRIP)</w:t>
      </w:r>
    </w:p>
    <w:p w14:paraId="58881C6C" w14:textId="798DCC21" w:rsidR="00372A34" w:rsidRDefault="00372A34" w:rsidP="00372A34">
      <w:bookmarkStart w:id="4" w:name="_Hlk75417067"/>
      <w:r>
        <w:t>TMR’s focus remains on the continued delivery of QTRIP. The four-year rolling program provides a pipeline of transport and</w:t>
      </w:r>
      <w:r w:rsidR="00E976F2">
        <w:t xml:space="preserve"> </w:t>
      </w:r>
      <w:r>
        <w:t>road infrastructure projects to support accessible, sustainable and efficient connections across the state’s transport network.</w:t>
      </w:r>
    </w:p>
    <w:p w14:paraId="78B7342C" w14:textId="77777777" w:rsidR="00372A34" w:rsidRDefault="00372A34" w:rsidP="00372A34"/>
    <w:p w14:paraId="27596D21" w14:textId="77777777" w:rsidR="00372A34" w:rsidRDefault="00372A34" w:rsidP="00372A34">
      <w:r>
        <w:lastRenderedPageBreak/>
        <w:t>Ongoing investment outlined in QTRIP progresses the connection of people, places, goods, and services safely and efficiently across Queensland.</w:t>
      </w:r>
    </w:p>
    <w:p w14:paraId="2CBC4941" w14:textId="77777777" w:rsidR="00372A34" w:rsidRDefault="00372A34" w:rsidP="00372A34">
      <w:r>
        <w:t>QTRIP 2022–23 to 2025–26 highlights include:</w:t>
      </w:r>
    </w:p>
    <w:p w14:paraId="65240390" w14:textId="7956D597" w:rsidR="00372A34" w:rsidRDefault="00372A34" w:rsidP="00E976F2">
      <w:pPr>
        <w:pStyle w:val="ListBullet"/>
        <w:tabs>
          <w:tab w:val="left" w:pos="284"/>
        </w:tabs>
        <w:spacing w:before="120"/>
      </w:pPr>
      <w:r>
        <w:t>More than $1.4 billion invested over four years towards dedicated and targeted initiatives critical to reducing road trauma and saving lives, including an additional funding boost under the Road Safety Program in partnership with</w:t>
      </w:r>
      <w:r w:rsidR="00E976F2">
        <w:t xml:space="preserve"> </w:t>
      </w:r>
      <w:r>
        <w:t>the Australian Government.</w:t>
      </w:r>
    </w:p>
    <w:p w14:paraId="31A98920" w14:textId="0D35011D" w:rsidR="00372A34" w:rsidRDefault="00372A34" w:rsidP="00372A34">
      <w:pPr>
        <w:pStyle w:val="ListBullet"/>
        <w:tabs>
          <w:tab w:val="left" w:pos="284"/>
        </w:tabs>
        <w:spacing w:before="120"/>
      </w:pPr>
      <w:r>
        <w:t>Continuing to work in partnership with the Australian Government on key projects across the state such as:</w:t>
      </w:r>
    </w:p>
    <w:p w14:paraId="4FFE53FC" w14:textId="362DD79A" w:rsidR="00372A34" w:rsidRDefault="00372A34" w:rsidP="00E976F2">
      <w:pPr>
        <w:pStyle w:val="ListBullet"/>
        <w:tabs>
          <w:tab w:val="clear" w:pos="567"/>
          <w:tab w:val="left" w:pos="284"/>
          <w:tab w:val="num" w:pos="851"/>
        </w:tabs>
        <w:spacing w:before="120"/>
        <w:ind w:left="851"/>
      </w:pPr>
      <w:r>
        <w:t>$2.598 billion Logan and Gold Coast Faster Rail (Kuraby to Beenleigh) upgrade</w:t>
      </w:r>
    </w:p>
    <w:p w14:paraId="0074E81D" w14:textId="02E690B7" w:rsidR="00372A34" w:rsidRDefault="00372A34" w:rsidP="00E976F2">
      <w:pPr>
        <w:pStyle w:val="ListBullet"/>
        <w:tabs>
          <w:tab w:val="clear" w:pos="567"/>
          <w:tab w:val="left" w:pos="284"/>
          <w:tab w:val="num" w:pos="851"/>
        </w:tabs>
        <w:spacing w:before="120"/>
        <w:ind w:left="851"/>
      </w:pPr>
      <w:r>
        <w:t>$2.163 billion Coomera Connector (Stage One),</w:t>
      </w:r>
      <w:r w:rsidR="00E976F2">
        <w:t xml:space="preserve"> </w:t>
      </w:r>
      <w:r>
        <w:t>Coomera to Nerang</w:t>
      </w:r>
    </w:p>
    <w:p w14:paraId="1FF94B2C" w14:textId="5D3A15BA" w:rsidR="00372A34" w:rsidRDefault="00372A34" w:rsidP="00E976F2">
      <w:pPr>
        <w:pStyle w:val="ListBullet"/>
        <w:tabs>
          <w:tab w:val="clear" w:pos="567"/>
          <w:tab w:val="left" w:pos="284"/>
          <w:tab w:val="num" w:pos="851"/>
        </w:tabs>
        <w:spacing w:before="120"/>
        <w:ind w:left="851"/>
      </w:pPr>
      <w:r>
        <w:t>$1.065 billion Rockhampton Ring Road</w:t>
      </w:r>
    </w:p>
    <w:p w14:paraId="39C59806" w14:textId="4730B502" w:rsidR="00372A34" w:rsidRDefault="00372A34" w:rsidP="00E976F2">
      <w:pPr>
        <w:pStyle w:val="ListBullet"/>
        <w:tabs>
          <w:tab w:val="clear" w:pos="567"/>
          <w:tab w:val="left" w:pos="284"/>
          <w:tab w:val="num" w:pos="851"/>
        </w:tabs>
        <w:spacing w:before="120"/>
        <w:ind w:left="851"/>
      </w:pPr>
      <w:r>
        <w:t>$1 billion Pacific Motorway Varsity Lakes to Tugun upgrade</w:t>
      </w:r>
    </w:p>
    <w:p w14:paraId="6C65F6A1" w14:textId="4AE7BAC4" w:rsidR="00372A34" w:rsidRDefault="00372A34" w:rsidP="00E976F2">
      <w:pPr>
        <w:pStyle w:val="ListBullet"/>
        <w:tabs>
          <w:tab w:val="clear" w:pos="567"/>
          <w:tab w:val="left" w:pos="284"/>
          <w:tab w:val="num" w:pos="851"/>
        </w:tabs>
        <w:spacing w:before="120"/>
        <w:ind w:left="851"/>
      </w:pPr>
      <w:r>
        <w:t>$1 billion Cooroy to Curra Section D</w:t>
      </w:r>
    </w:p>
    <w:p w14:paraId="1EB37BEC" w14:textId="698B463E" w:rsidR="00372A34" w:rsidRDefault="00372A34" w:rsidP="00E976F2">
      <w:pPr>
        <w:pStyle w:val="ListBullet"/>
        <w:tabs>
          <w:tab w:val="clear" w:pos="567"/>
          <w:tab w:val="left" w:pos="284"/>
          <w:tab w:val="num" w:pos="851"/>
        </w:tabs>
        <w:spacing w:before="120"/>
        <w:ind w:left="851"/>
      </w:pPr>
      <w:r>
        <w:t>$481 million Bruce Highway, Cairns Southern Access Corridor (Stage Three), Edmonton to Gordonvale</w:t>
      </w:r>
    </w:p>
    <w:p w14:paraId="1934499E" w14:textId="77777777" w:rsidR="00E976F2" w:rsidRDefault="00372A34" w:rsidP="00E976F2">
      <w:pPr>
        <w:pStyle w:val="ListBullet"/>
        <w:tabs>
          <w:tab w:val="clear" w:pos="567"/>
          <w:tab w:val="left" w:pos="284"/>
          <w:tab w:val="num" w:pos="851"/>
        </w:tabs>
        <w:spacing w:before="120"/>
        <w:ind w:left="851"/>
      </w:pPr>
      <w:r>
        <w:t>$280 million investment over four years under the Roads and Transport Alliance for the Transport Infrastructure Development Scheme</w:t>
      </w:r>
    </w:p>
    <w:p w14:paraId="643488DB" w14:textId="38F7E5B6" w:rsidR="00372A34" w:rsidRDefault="00372A34" w:rsidP="00E976F2">
      <w:pPr>
        <w:pStyle w:val="ListBullet"/>
        <w:tabs>
          <w:tab w:val="clear" w:pos="567"/>
          <w:tab w:val="left" w:pos="284"/>
          <w:tab w:val="num" w:pos="851"/>
        </w:tabs>
        <w:spacing w:before="120"/>
        <w:ind w:left="851"/>
      </w:pPr>
      <w:r>
        <w:t>$268.8 million for bike riding, walking, and active transport infrastructure such as cycleways, shared paths, green bridges, and rail trails.</w:t>
      </w:r>
    </w:p>
    <w:p w14:paraId="33BA0357" w14:textId="1604F9DD" w:rsidR="00372A34" w:rsidRDefault="00372A34" w:rsidP="00372A34">
      <w:pPr>
        <w:pStyle w:val="ListBullet"/>
        <w:numPr>
          <w:ilvl w:val="0"/>
          <w:numId w:val="0"/>
        </w:numPr>
        <w:tabs>
          <w:tab w:val="left" w:pos="284"/>
        </w:tabs>
        <w:spacing w:before="120" w:after="0" w:line="260" w:lineRule="exact"/>
        <w:ind w:left="567" w:hanging="567"/>
      </w:pPr>
    </w:p>
    <w:p w14:paraId="262A8484" w14:textId="3152BEC5" w:rsidR="00E976F2" w:rsidRPr="00573D9C" w:rsidRDefault="00E976F2" w:rsidP="00E976F2">
      <w:pPr>
        <w:pStyle w:val="MoreInformation"/>
      </w:pPr>
      <w:r w:rsidRPr="00573D9C">
        <w:t xml:space="preserve">For more information </w:t>
      </w:r>
      <w:r w:rsidRPr="00573D9C">
        <w:br/>
      </w:r>
      <w:hyperlink r:id="rId20" w:history="1">
        <w:r w:rsidR="00352DD6" w:rsidRPr="00352DD6">
          <w:rPr>
            <w:rStyle w:val="Hyperlink"/>
          </w:rPr>
          <w:t>https://www.tmr.qld.gov.au/QTRIPonline</w:t>
        </w:r>
      </w:hyperlink>
    </w:p>
    <w:bookmarkEnd w:id="4"/>
    <w:p w14:paraId="70C990F5" w14:textId="01EA6150" w:rsidR="006800C7" w:rsidRDefault="00352DD6" w:rsidP="006800C7">
      <w:pPr>
        <w:pStyle w:val="Heading4"/>
      </w:pPr>
      <w:r>
        <w:t xml:space="preserve">Transport infrastructure Asset Management Policy </w:t>
      </w:r>
    </w:p>
    <w:p w14:paraId="5E09F582" w14:textId="29564BF6" w:rsidR="00D051A1" w:rsidRDefault="00D051A1" w:rsidP="00D051A1">
      <w:r>
        <w:t xml:space="preserve">TMR reviewed and republished its </w:t>
      </w:r>
      <w:r w:rsidRPr="00D051A1">
        <w:rPr>
          <w:rStyle w:val="Emphasis"/>
        </w:rPr>
        <w:t>Transport Infrastructure Asset Management Policy during 2021–22</w:t>
      </w:r>
      <w:r>
        <w:t>.</w:t>
      </w:r>
    </w:p>
    <w:p w14:paraId="12E92887" w14:textId="3F1C7756" w:rsidR="00D051A1" w:rsidRDefault="00D051A1" w:rsidP="00D051A1">
      <w:r>
        <w:t>TMR has a strategic role in leading a safe and accessible transport network that contributes to our economic development and enhances the quality of life for all Queenslanders. Long-term sustainable asset management is essential to fulfilling this role and delivering cost-effective transport infrastructure services.</w:t>
      </w:r>
    </w:p>
    <w:p w14:paraId="66B397B1" w14:textId="77777777" w:rsidR="008912A5" w:rsidRDefault="008912A5" w:rsidP="008912A5">
      <w:r>
        <w:t>TMR will manage state transport infrastructure assets sustainably by:</w:t>
      </w:r>
    </w:p>
    <w:p w14:paraId="12CF4F73" w14:textId="715CF8FA" w:rsidR="008912A5" w:rsidRDefault="008912A5" w:rsidP="008912A5">
      <w:pPr>
        <w:pStyle w:val="ListBullet"/>
      </w:pPr>
      <w:r>
        <w:t>implementing international best practice benchmarks for asset management</w:t>
      </w:r>
    </w:p>
    <w:p w14:paraId="3627A2B4" w14:textId="23C83186" w:rsidR="008912A5" w:rsidRDefault="008912A5" w:rsidP="008912A5">
      <w:pPr>
        <w:pStyle w:val="ListBullet"/>
      </w:pPr>
      <w:r>
        <w:t>delivering a ‘fix it first’ approach</w:t>
      </w:r>
    </w:p>
    <w:p w14:paraId="2999A883" w14:textId="47A50A17" w:rsidR="008912A5" w:rsidRDefault="008912A5" w:rsidP="008912A5">
      <w:pPr>
        <w:pStyle w:val="ListBullet"/>
      </w:pPr>
      <w:r>
        <w:t>ensuring that whole-of-life costs are considered in infrastructure investment options assessment</w:t>
      </w:r>
    </w:p>
    <w:p w14:paraId="64173837" w14:textId="578923DD" w:rsidR="00D051A1" w:rsidRDefault="008912A5" w:rsidP="006800C7">
      <w:pPr>
        <w:pStyle w:val="ListBullet"/>
      </w:pPr>
      <w:r>
        <w:t>providing fit-for-purpose transport solutions.</w:t>
      </w:r>
    </w:p>
    <w:p w14:paraId="55AA15FC" w14:textId="7F6AAB2F" w:rsidR="008912A5" w:rsidRPr="00573D9C" w:rsidRDefault="008912A5" w:rsidP="008912A5">
      <w:pPr>
        <w:pStyle w:val="MoreInformation"/>
      </w:pPr>
      <w:r w:rsidRPr="00573D9C">
        <w:t xml:space="preserve">For more information </w:t>
      </w:r>
      <w:r w:rsidRPr="00573D9C">
        <w:br/>
      </w:r>
      <w:hyperlink r:id="rId21" w:history="1">
        <w:r w:rsidR="0086573F" w:rsidRPr="0086573F">
          <w:rPr>
            <w:rStyle w:val="Hyperlink"/>
          </w:rPr>
          <w:t>https://www.tmr.qld.gov.au/business-industry/Technical-standards-publications/Transport-Infrastructure-Asset-Management-Policy</w:t>
        </w:r>
      </w:hyperlink>
    </w:p>
    <w:p w14:paraId="4DC27C1E" w14:textId="5341C3AF" w:rsidR="006800C7" w:rsidRDefault="0086573F" w:rsidP="006800C7">
      <w:pPr>
        <w:pStyle w:val="Heading4"/>
      </w:pPr>
      <w:r>
        <w:t>Brisbane 2032</w:t>
      </w:r>
    </w:p>
    <w:p w14:paraId="56782BEA" w14:textId="7CF697F4" w:rsidR="00B60716" w:rsidRPr="00B60716" w:rsidRDefault="00B60716" w:rsidP="00B60716">
      <w:r w:rsidRPr="00B60716">
        <w:t>Since the Brisbane 2032 Olympic and Paralympic Games were awarded in July 2021, TMR has been progressing planning</w:t>
      </w:r>
      <w:r>
        <w:rPr>
          <w:iCs/>
        </w:rPr>
        <w:t xml:space="preserve"> </w:t>
      </w:r>
      <w:r w:rsidRPr="00B60716">
        <w:t>for transport infrastructure and services to support Brisbane 2032 and contributing to the development of governance and coordination frameworks for the event, including:</w:t>
      </w:r>
    </w:p>
    <w:p w14:paraId="5B398CD8" w14:textId="4D8C475C" w:rsidR="00B60716" w:rsidRPr="00B60716" w:rsidRDefault="00B60716" w:rsidP="007949B7">
      <w:pPr>
        <w:pStyle w:val="ListBullet"/>
      </w:pPr>
      <w:r w:rsidRPr="00B60716">
        <w:lastRenderedPageBreak/>
        <w:t>identification of network and service upgrades to support the Brisbane 2032 transport operations</w:t>
      </w:r>
    </w:p>
    <w:p w14:paraId="49DD1655" w14:textId="571FB402" w:rsidR="00B60716" w:rsidRPr="00B60716" w:rsidRDefault="00B60716" w:rsidP="007949B7">
      <w:pPr>
        <w:pStyle w:val="ListBullet"/>
      </w:pPr>
      <w:r w:rsidRPr="00B60716">
        <w:t>business case planning for transport infrastructure</w:t>
      </w:r>
    </w:p>
    <w:p w14:paraId="41AE88E1" w14:textId="7EB769F2" w:rsidR="00B60716" w:rsidRPr="00B60716" w:rsidRDefault="00B60716" w:rsidP="007949B7">
      <w:pPr>
        <w:pStyle w:val="ListBullet"/>
      </w:pPr>
      <w:r w:rsidRPr="00B60716">
        <w:t>technical transport input into planning for competition venues</w:t>
      </w:r>
    </w:p>
    <w:p w14:paraId="08A7E6E1" w14:textId="0B83DF68" w:rsidR="00B60716" w:rsidRDefault="00B60716" w:rsidP="007949B7">
      <w:pPr>
        <w:pStyle w:val="ListBullet"/>
      </w:pPr>
      <w:r w:rsidRPr="00B60716">
        <w:t>ongoing development of transport models to forecast 2032 travel demand and network performance.</w:t>
      </w:r>
    </w:p>
    <w:p w14:paraId="3EA3A963" w14:textId="06825F4C" w:rsidR="00725BF0" w:rsidRDefault="00481FDD" w:rsidP="00725BF0">
      <w:pPr>
        <w:pStyle w:val="Heading4"/>
      </w:pPr>
      <w:r>
        <w:t xml:space="preserve">Southern Sunshine Coast Public Transport Strategy </w:t>
      </w:r>
    </w:p>
    <w:p w14:paraId="43690BC9" w14:textId="2D0099B8" w:rsidR="00444A45" w:rsidRPr="00444A45" w:rsidRDefault="00444A45" w:rsidP="006D0ECA">
      <w:r w:rsidRPr="00444A45">
        <w:t xml:space="preserve">The draft </w:t>
      </w:r>
      <w:r w:rsidRPr="006D0ECA">
        <w:rPr>
          <w:rStyle w:val="Emphasis"/>
        </w:rPr>
        <w:t>Southern Sunshine Coast Public Transport Strategy</w:t>
      </w:r>
      <w:r w:rsidRPr="00444A45">
        <w:t xml:space="preserve"> (strategy) was developed with input from Sunshine Coast Council and sets out a vision for a public transport system on the Sunshine Coast.</w:t>
      </w:r>
    </w:p>
    <w:p w14:paraId="2FF60379" w14:textId="77777777" w:rsidR="00444A45" w:rsidRPr="00444A45" w:rsidRDefault="00444A45" w:rsidP="006D0ECA">
      <w:r w:rsidRPr="00444A45">
        <w:t>The strategy identifies a future public transport network that is connected, safe, accessible, and reliable. Three major corridors were identified:</w:t>
      </w:r>
    </w:p>
    <w:p w14:paraId="0BF0108D" w14:textId="11FBC9D8" w:rsidR="00444A45" w:rsidRPr="00444A45" w:rsidRDefault="00444A45" w:rsidP="006D0ECA">
      <w:pPr>
        <w:pStyle w:val="ListBullet"/>
      </w:pPr>
      <w:r w:rsidRPr="00444A45">
        <w:t>coastal corridor between Caloundra and Maroochydore</w:t>
      </w:r>
    </w:p>
    <w:p w14:paraId="13B7B1AA" w14:textId="24C46CBC" w:rsidR="00444A45" w:rsidRPr="00444A45" w:rsidRDefault="00444A45" w:rsidP="006D0ECA">
      <w:pPr>
        <w:pStyle w:val="ListBullet"/>
      </w:pPr>
      <w:r w:rsidRPr="00444A45">
        <w:t>central corridor between Beerwah and Maroochydore</w:t>
      </w:r>
    </w:p>
    <w:p w14:paraId="4BBF9380" w14:textId="01C45914" w:rsidR="00444A45" w:rsidRPr="00444A45" w:rsidRDefault="00444A45" w:rsidP="006D0ECA">
      <w:pPr>
        <w:pStyle w:val="ListBullet"/>
      </w:pPr>
      <w:r w:rsidRPr="00444A45">
        <w:t>western (North Coast Line) corridor between Beerwah and Nambour.</w:t>
      </w:r>
    </w:p>
    <w:p w14:paraId="4F1754AC" w14:textId="1DB874D1" w:rsidR="00444A45" w:rsidRPr="00444A45" w:rsidRDefault="00444A45" w:rsidP="006D0ECA">
      <w:r w:rsidRPr="00444A45">
        <w:t>The strategy also identifies several supporting network connections that link major corridors with key destinations and urban catchments across the southern Sunshine Coast.</w:t>
      </w:r>
    </w:p>
    <w:p w14:paraId="4D181989" w14:textId="64D5AFFB" w:rsidR="00444A45" w:rsidRDefault="00444A45" w:rsidP="006D0ECA">
      <w:pPr>
        <w:rPr>
          <w:iCs/>
        </w:rPr>
      </w:pPr>
      <w:r w:rsidRPr="00444A45">
        <w:t>Providing the strategic network context, the strategy will inform and provide a plan for future stages of the public transport network’s development, including for the Brisbane 2032 Olympic and Paralympic Games.</w:t>
      </w:r>
    </w:p>
    <w:p w14:paraId="74CD152F" w14:textId="18688B57" w:rsidR="006D0ECA" w:rsidRPr="006D0ECA" w:rsidRDefault="006D0ECA" w:rsidP="006D0ECA">
      <w:r w:rsidRPr="006D0ECA">
        <w:t>The community feedback received will play an integral role in shaping the final strategy, with a view to publishing the final version in late 2022.</w:t>
      </w:r>
    </w:p>
    <w:p w14:paraId="26D55C47" w14:textId="4C6F035E" w:rsidR="006C0441" w:rsidRPr="00573D9C" w:rsidRDefault="006C0441" w:rsidP="006C0441">
      <w:pPr>
        <w:pStyle w:val="MoreInformation"/>
      </w:pPr>
      <w:r w:rsidRPr="00573D9C">
        <w:t xml:space="preserve">For more information </w:t>
      </w:r>
      <w:r w:rsidRPr="00573D9C">
        <w:br/>
      </w:r>
      <w:hyperlink r:id="rId22" w:history="1">
        <w:r w:rsidR="00616EC8" w:rsidRPr="00616EC8">
          <w:rPr>
            <w:rStyle w:val="Hyperlink"/>
          </w:rPr>
          <w:t>https://www.tmr.qld.gov.au/projects/Draft-Southern-Sunshine-Coast-Public-Transport-Strategy</w:t>
        </w:r>
      </w:hyperlink>
    </w:p>
    <w:p w14:paraId="49627FA1" w14:textId="32B6F317" w:rsidR="00616EC8" w:rsidRDefault="00616EC8" w:rsidP="00616EC8">
      <w:pPr>
        <w:pStyle w:val="Heading4"/>
      </w:pPr>
      <w:r>
        <w:t xml:space="preserve">Principal Cycle Network expansion and Priority Route Maps </w:t>
      </w:r>
    </w:p>
    <w:p w14:paraId="01E3C62C" w14:textId="4D723B00" w:rsidR="00690EEB" w:rsidRDefault="00690EEB" w:rsidP="00690EEB">
      <w:r>
        <w:t>The Principal Cycle Network (PCN) supports and guides the planning, design, and delivery of more cycling infrastructure in more places.</w:t>
      </w:r>
    </w:p>
    <w:p w14:paraId="2E317B01" w14:textId="27F301EA" w:rsidR="00690EEB" w:rsidRDefault="00690EEB" w:rsidP="00690EEB">
      <w:r>
        <w:t>In 2021–22, TMR expanded the PCN to include Burke, Carpentaria, Cloncurry, Doomadgee, Flinders, McKinlay, Mornington and Richmond local government areas. It now covers more locations than ever, with 99.5 per cent of Queensland’s population living in a local government area with a PCN Plan.</w:t>
      </w:r>
    </w:p>
    <w:p w14:paraId="6AA08BBA" w14:textId="5CBBA533" w:rsidR="00690EEB" w:rsidRDefault="00690EEB" w:rsidP="00690EEB">
      <w:r>
        <w:t>Alongside the PCN expansion, TMR also published updated Priority Route Maps identifying the delivery priority assigned to principal cycle routes in each local government area. The</w:t>
      </w:r>
      <w:r w:rsidR="008450F6">
        <w:t xml:space="preserve"> </w:t>
      </w:r>
      <w:r>
        <w:t>updated maps will assist TMR and local governments to prioritise investment for bike riding infrastructure projects.</w:t>
      </w:r>
    </w:p>
    <w:p w14:paraId="4C013C50" w14:textId="7909BA4E" w:rsidR="00690EEB" w:rsidRPr="006D0ECA" w:rsidRDefault="00690EEB" w:rsidP="00690EEB">
      <w:r>
        <w:t>TMR worked closely with local governments to develop the PCN plans and Priority Route Maps to guide the delivery of a safe, direct, and connected cycle network across Queensland.</w:t>
      </w:r>
    </w:p>
    <w:p w14:paraId="09A82C6B" w14:textId="45242194" w:rsidR="00616EC8" w:rsidRPr="00573D9C" w:rsidRDefault="00616EC8" w:rsidP="00616EC8">
      <w:pPr>
        <w:pStyle w:val="MoreInformation"/>
      </w:pPr>
      <w:r w:rsidRPr="00573D9C">
        <w:lastRenderedPageBreak/>
        <w:t xml:space="preserve">For more information </w:t>
      </w:r>
      <w:r w:rsidRPr="00573D9C">
        <w:br/>
      </w:r>
      <w:hyperlink r:id="rId23" w:history="1">
        <w:r w:rsidR="00F9486A" w:rsidRPr="00F9486A">
          <w:rPr>
            <w:rStyle w:val="Hyperlink"/>
          </w:rPr>
          <w:t>https://www.tmr.qld.gov.au/Travel-and-transport/Cycling/Principal-cycle-network</w:t>
        </w:r>
      </w:hyperlink>
    </w:p>
    <w:p w14:paraId="3EF2E8D5" w14:textId="2C50EECD" w:rsidR="006800C7" w:rsidRDefault="006800C7" w:rsidP="006800C7">
      <w:pPr>
        <w:pStyle w:val="Heading4"/>
      </w:pPr>
      <w:r>
        <w:t>Marine Infrastructure Investment Program</w:t>
      </w:r>
    </w:p>
    <w:p w14:paraId="1CDC2A4D" w14:textId="77777777" w:rsidR="001D7F55" w:rsidRPr="001D7F55" w:rsidRDefault="001D7F55" w:rsidP="001D7F55">
      <w:r w:rsidRPr="001D7F55">
        <w:t>The Marine Infrastructure Investment Program provides safe, reliable, and efficient recreational boating infrastructure that optimises access to and access on the water for both trailer boats and deep-draught vessels. New and upgraded boating facilities are funded through the Marine Infrastructure Fund, the capital portion of this program.</w:t>
      </w:r>
    </w:p>
    <w:p w14:paraId="167A2936" w14:textId="77777777" w:rsidR="001D7F55" w:rsidRPr="001D7F55" w:rsidRDefault="001D7F55" w:rsidP="001D7F55">
      <w:r w:rsidRPr="001D7F55">
        <w:t>In 2021–22 a number of strategies to improve program management commenced, including:</w:t>
      </w:r>
    </w:p>
    <w:p w14:paraId="678BAF0B" w14:textId="55595585" w:rsidR="001D7F55" w:rsidRPr="001D7F55" w:rsidRDefault="001D7F55" w:rsidP="001D7F55">
      <w:pPr>
        <w:pStyle w:val="ListBullet"/>
      </w:pPr>
      <w:r w:rsidRPr="001D7F55">
        <w:t>identified business and process improvements to improve maritime asset management</w:t>
      </w:r>
    </w:p>
    <w:p w14:paraId="74C71C33" w14:textId="36596C27" w:rsidR="001D7F55" w:rsidRPr="001D7F55" w:rsidRDefault="001D7F55" w:rsidP="001D7F55">
      <w:pPr>
        <w:pStyle w:val="ListBullet"/>
      </w:pPr>
      <w:r w:rsidRPr="001D7F55">
        <w:t>audit and health checks of procurement processes</w:t>
      </w:r>
    </w:p>
    <w:p w14:paraId="1591BD40" w14:textId="7927B792" w:rsidR="001D7F55" w:rsidRPr="001D7F55" w:rsidRDefault="001D7F55" w:rsidP="001D7F55">
      <w:pPr>
        <w:pStyle w:val="ListBullet"/>
      </w:pPr>
      <w:r w:rsidRPr="001D7F55">
        <w:t>improvements to how information is captured and presented to inform investment decision-making</w:t>
      </w:r>
    </w:p>
    <w:p w14:paraId="1316094F" w14:textId="20A23A90" w:rsidR="001D7F55" w:rsidRPr="001D7F55" w:rsidRDefault="001D7F55" w:rsidP="001D7F55">
      <w:pPr>
        <w:pStyle w:val="ListBullet"/>
      </w:pPr>
      <w:r w:rsidRPr="001D7F55">
        <w:t>transition to 3PCM – data structure, system changes approved and progressed, licences and training completed</w:t>
      </w:r>
    </w:p>
    <w:p w14:paraId="4F6FD2FF" w14:textId="3BDB1832" w:rsidR="001D7F55" w:rsidRPr="001D7F55" w:rsidRDefault="001D7F55" w:rsidP="001D7F55">
      <w:pPr>
        <w:pStyle w:val="ListBullet"/>
      </w:pPr>
      <w:r w:rsidRPr="001D7F55">
        <w:t>risk management practices established and integrated with maritime infrastructure, procurement, and safety risks</w:t>
      </w:r>
    </w:p>
    <w:p w14:paraId="0FFE5C6D" w14:textId="1DBD6DDB" w:rsidR="001D7F55" w:rsidRPr="001D7F55" w:rsidRDefault="001D7F55" w:rsidP="001D7F55">
      <w:pPr>
        <w:pStyle w:val="ListBullet"/>
      </w:pPr>
      <w:r w:rsidRPr="001D7F55">
        <w:t>sustainability essentials tool applied to the Far North Queensland Beacon Replacement Program</w:t>
      </w:r>
    </w:p>
    <w:p w14:paraId="75452A9C" w14:textId="47433A7F" w:rsidR="00F9486A" w:rsidRDefault="001D7F55" w:rsidP="001D7F55">
      <w:pPr>
        <w:pStyle w:val="ListBullet"/>
      </w:pPr>
      <w:r w:rsidRPr="001D7F55">
        <w:t>progressed a program management approach to a broader set of maritime assets and infrastructure investments.</w:t>
      </w:r>
    </w:p>
    <w:p w14:paraId="32DE07B0" w14:textId="77777777" w:rsidR="006800C7" w:rsidRPr="0086414C" w:rsidRDefault="006800C7" w:rsidP="006800C7">
      <w:pPr>
        <w:pStyle w:val="Heading4"/>
      </w:pPr>
      <w:r>
        <w:t>Marine Infrastructure Fund</w:t>
      </w:r>
    </w:p>
    <w:p w14:paraId="6948C48B" w14:textId="0140A221" w:rsidR="0088732C" w:rsidRDefault="0088732C" w:rsidP="0088732C">
      <w:r>
        <w:t>The Marine Infrastructure Fund provides new, upgraded, and improved recreational boating facilities and infrastructure throughout the state.</w:t>
      </w:r>
    </w:p>
    <w:p w14:paraId="27A8ECE7" w14:textId="77777777" w:rsidR="0088732C" w:rsidRDefault="0088732C" w:rsidP="0088732C">
      <w:r>
        <w:t>Recreational boating infrastructure project highlights during 2021–22 included:</w:t>
      </w:r>
    </w:p>
    <w:p w14:paraId="16951CAF" w14:textId="2213B640" w:rsidR="0088732C" w:rsidRDefault="0088732C" w:rsidP="0088732C">
      <w:pPr>
        <w:pStyle w:val="ListBullet"/>
      </w:pPr>
      <w:r>
        <w:t>commencement of on-site works for a new boat ramp at Yorkeys Knob on the north side of Cairns</w:t>
      </w:r>
    </w:p>
    <w:p w14:paraId="717A12FA" w14:textId="59DA8BE4" w:rsidR="0088732C" w:rsidRDefault="0088732C" w:rsidP="0088732C">
      <w:pPr>
        <w:pStyle w:val="ListBullet"/>
      </w:pPr>
      <w:r>
        <w:t>completion of an upgraded all-tide boat launching facility at Newell Beach near Port Douglas</w:t>
      </w:r>
    </w:p>
    <w:p w14:paraId="733703DE" w14:textId="429E2D8D" w:rsidR="0088732C" w:rsidRDefault="0088732C" w:rsidP="0088732C">
      <w:pPr>
        <w:pStyle w:val="ListBullet"/>
      </w:pPr>
      <w:r>
        <w:t>completion of dredging works at Cabbage Tree Creek state boat harbour at Shorncliffe, Brisbane</w:t>
      </w:r>
    </w:p>
    <w:p w14:paraId="209C5004" w14:textId="29DFFDD0" w:rsidR="0088732C" w:rsidRDefault="0088732C" w:rsidP="0088732C">
      <w:pPr>
        <w:pStyle w:val="ListBullet"/>
      </w:pPr>
      <w:r>
        <w:t>completion of an all-tide access channel at Molongle Creek, in the southern Burdekin area</w:t>
      </w:r>
    </w:p>
    <w:p w14:paraId="27B66061" w14:textId="040BBC44" w:rsidR="0088732C" w:rsidRDefault="0088732C" w:rsidP="0088732C">
      <w:pPr>
        <w:pStyle w:val="ListBullet"/>
      </w:pPr>
      <w:r>
        <w:t>progression of design and approvals to reconfigure and improve recreational boating facilities in Rosslyn Bay boat harbour</w:t>
      </w:r>
    </w:p>
    <w:p w14:paraId="77671BF8" w14:textId="74E2D380" w:rsidR="003F0299" w:rsidRDefault="0088732C" w:rsidP="0088732C">
      <w:pPr>
        <w:pStyle w:val="ListBullet"/>
      </w:pPr>
      <w:r>
        <w:t>commencement of on-site works for a new boat launching facility at Inkerman Creek, near Port Alma.</w:t>
      </w:r>
    </w:p>
    <w:p w14:paraId="2B570CC8" w14:textId="61BA4EB7" w:rsidR="006800C7" w:rsidRPr="0086414C" w:rsidRDefault="00521189" w:rsidP="006800C7">
      <w:pPr>
        <w:pStyle w:val="Heading4"/>
      </w:pPr>
      <w:r>
        <w:t xml:space="preserve">Climate change and resilience </w:t>
      </w:r>
    </w:p>
    <w:p w14:paraId="01D82B73" w14:textId="33FC7411" w:rsidR="00427908" w:rsidRDefault="00427908" w:rsidP="00427908">
      <w:bookmarkStart w:id="5" w:name="_Hlk72486401"/>
      <w:r>
        <w:t>TMR is preparing for a changed climate to ensure the transport system is resilient to the effects and impacts of this change.</w:t>
      </w:r>
    </w:p>
    <w:p w14:paraId="054B0C67" w14:textId="735D85C7" w:rsidR="00427908" w:rsidRDefault="00427908" w:rsidP="00427908">
      <w:r>
        <w:t>Extreme weather events have always been a part of Queensland life, but the warming climate is making these events more severe causing greater disruption to the transport system and Queenslanders’ ability to travel.</w:t>
      </w:r>
    </w:p>
    <w:p w14:paraId="28160804" w14:textId="68C12115" w:rsidR="00427908" w:rsidRDefault="00427908" w:rsidP="00427908">
      <w:r>
        <w:t>Considering climate risk across TMR’s infrastructure, service, and operational decisions will ensure that TMR is planning for and managing for the greater risks that climate change brings.</w:t>
      </w:r>
    </w:p>
    <w:p w14:paraId="218C3194" w14:textId="5E24A731" w:rsidR="00427908" w:rsidRDefault="00427908" w:rsidP="00427908">
      <w:r>
        <w:t>To improve TMR’s overall climate change risk approach, TMR has implemented a new environment enterprise operating risk and completed an agency-wide climate change risk assessment and management project.</w:t>
      </w:r>
    </w:p>
    <w:p w14:paraId="73B52E82" w14:textId="4C3AA6CE" w:rsidR="00427908" w:rsidRDefault="00427908" w:rsidP="006800C7">
      <w:r>
        <w:lastRenderedPageBreak/>
        <w:t>TMR will continue to build on these initiatives and embed climate risk consideration across the business.</w:t>
      </w:r>
    </w:p>
    <w:bookmarkEnd w:id="5"/>
    <w:p w14:paraId="6221B54A" w14:textId="201B775C" w:rsidR="006800C7" w:rsidRDefault="00512FD4" w:rsidP="006800C7">
      <w:pPr>
        <w:pStyle w:val="Heading4"/>
      </w:pPr>
      <w:r>
        <w:t xml:space="preserve">Advancing Zero Net Emissions for Transport Roadmap </w:t>
      </w:r>
    </w:p>
    <w:p w14:paraId="55EC15D9" w14:textId="7FA902A1" w:rsidR="00D222A0" w:rsidRDefault="00D222A0" w:rsidP="00D222A0">
      <w:r>
        <w:t xml:space="preserve">TMR is developing a Zero Net Emission for Transport Roadmap (Transport Roadmap). The Transport Roadmap is one of the Queensland Government’s sectoral roadmaps supporting the delivery of the </w:t>
      </w:r>
      <w:r w:rsidRPr="00D222A0">
        <w:rPr>
          <w:rStyle w:val="Emphasis"/>
        </w:rPr>
        <w:t>Queensland Climate Action Plan</w:t>
      </w:r>
      <w:r>
        <w:t xml:space="preserve"> and targets to reduce emissions.</w:t>
      </w:r>
    </w:p>
    <w:p w14:paraId="247BAF43" w14:textId="70F0F8A5" w:rsidR="00D222A0" w:rsidRDefault="00D222A0" w:rsidP="00D222A0">
      <w:r>
        <w:t>The Transport Roadmap will take a holistic approach to reducing greenhouse gas emissions and will target all modes and infrastructure. The Transport Roadmap will focus on reducing emissions by supporting customers to make different transport choices, facilitating shorter journeys, shifting to more efficient modes and improving the technologies that power the transport system.</w:t>
      </w:r>
    </w:p>
    <w:p w14:paraId="4AEBCB4E" w14:textId="4524B4A2" w:rsidR="00512FD4" w:rsidRDefault="00D222A0" w:rsidP="006800C7">
      <w:r>
        <w:t>It aims to ensure greater uptake of sustainable and low carbon infrastructure, support the climate positive Brisbane 2032 Olympic and Paralympic Games, and create lasting benefits to the climate and community.</w:t>
      </w:r>
    </w:p>
    <w:p w14:paraId="1BB817C8" w14:textId="2F2B035A" w:rsidR="006800C7" w:rsidRDefault="00A13F22" w:rsidP="006800C7">
      <w:pPr>
        <w:pStyle w:val="Heading4"/>
      </w:pPr>
      <w:r>
        <w:t xml:space="preserve">Zero Emission Vehicle strategy and action plan </w:t>
      </w:r>
    </w:p>
    <w:p w14:paraId="24DDB1DF" w14:textId="77777777" w:rsidR="00AD31C0" w:rsidRDefault="00AD31C0" w:rsidP="00AD31C0">
      <w:r>
        <w:t xml:space="preserve">On 16 March 2022, TMR launched the </w:t>
      </w:r>
      <w:r w:rsidRPr="00AD31C0">
        <w:rPr>
          <w:rStyle w:val="Emphasis"/>
        </w:rPr>
        <w:t>Zero Emission Vehicle Strategy 2022–2032</w:t>
      </w:r>
      <w:r>
        <w:t xml:space="preserve"> (ZEV Strategy) together with the first </w:t>
      </w:r>
      <w:r w:rsidRPr="00AD31C0">
        <w:rPr>
          <w:rStyle w:val="Emphasis"/>
        </w:rPr>
        <w:t>Zero Emission Vehicle Action Plan 2022–2024</w:t>
      </w:r>
      <w:r>
        <w:t>.</w:t>
      </w:r>
    </w:p>
    <w:p w14:paraId="031F48E9" w14:textId="77777777" w:rsidR="00AD31C0" w:rsidRDefault="00AD31C0" w:rsidP="00AD31C0">
      <w:r>
        <w:t>TMR led the development of the ZEV Strategy, in partnership with the Department of Energy and Public Works.</w:t>
      </w:r>
    </w:p>
    <w:p w14:paraId="4F363432" w14:textId="08889342" w:rsidR="00AD31C0" w:rsidRDefault="00AD31C0" w:rsidP="00AD31C0">
      <w:r>
        <w:t>The ZEV Strategy was informed through input from 4700 Queenslanders, as well as direct engagement with over 100 stakeholders from state and local government, transport and energy industries, and the environment and sustainability sectors.</w:t>
      </w:r>
    </w:p>
    <w:p w14:paraId="62FFF79D" w14:textId="79F7D293" w:rsidR="00A13F22" w:rsidRDefault="00AD31C0" w:rsidP="00AD31C0">
      <w:r>
        <w:t>The ZEV Strategy sees an investment of $55 million to further accelerate electric vehicle uptake across Queensland. Major funded actions include rebates towards purchases of eligible electric vehicles and funding for the rollout of additional electric vehicle charging infrastructure.</w:t>
      </w:r>
    </w:p>
    <w:p w14:paraId="26CD1BF0" w14:textId="17F7FA92" w:rsidR="006800C7" w:rsidRDefault="006800C7" w:rsidP="006800C7">
      <w:pPr>
        <w:pStyle w:val="MoreInformation"/>
      </w:pPr>
      <w:r>
        <w:t>For more information</w:t>
      </w:r>
      <w:r>
        <w:br/>
      </w:r>
      <w:hyperlink r:id="rId24" w:history="1">
        <w:r w:rsidR="00DB3E09" w:rsidRPr="00DB3E09">
          <w:rPr>
            <w:rStyle w:val="Hyperlink"/>
          </w:rPr>
          <w:t>https://www.qld.gov.au/transport/projects/electricvehicles/zero-emission-strategy</w:t>
        </w:r>
      </w:hyperlink>
    </w:p>
    <w:p w14:paraId="25B57F5C" w14:textId="1567A40A" w:rsidR="006800C7" w:rsidRDefault="00F84F7F" w:rsidP="006800C7">
      <w:pPr>
        <w:pStyle w:val="Heading4"/>
      </w:pPr>
      <w:r>
        <w:t>Queensland Electric Super Highway phase 3</w:t>
      </w:r>
    </w:p>
    <w:p w14:paraId="43EBE6C7" w14:textId="695DC832" w:rsidR="00476ED1" w:rsidRDefault="00476ED1" w:rsidP="00476ED1">
      <w:r>
        <w:t xml:space="preserve">In June 2021, the Queensland Government announced a further $2.75 million investment to deliver an additional 18 new QESH sites, to complement </w:t>
      </w:r>
      <w:r w:rsidRPr="00476ED1">
        <w:rPr>
          <w:rStyle w:val="Emphasis"/>
        </w:rPr>
        <w:t>the Queensland Zero Emission Vehicle Strategy 2022–2032</w:t>
      </w:r>
      <w:r>
        <w:t>.</w:t>
      </w:r>
    </w:p>
    <w:p w14:paraId="669016FA" w14:textId="40F95EEE" w:rsidR="00476ED1" w:rsidRDefault="00476ED1" w:rsidP="00476ED1">
      <w:r>
        <w:t xml:space="preserve">Phase 3 locations of the QESH lengthen the already extensive QESH network to include several new regional sites. QESH patronage is at an </w:t>
      </w:r>
      <w:r w:rsidR="00F102CE">
        <w:t>all-time</w:t>
      </w:r>
      <w:r>
        <w:t xml:space="preserve"> high and continues to contribute to emission reductions through its use.</w:t>
      </w:r>
    </w:p>
    <w:p w14:paraId="4A44262C" w14:textId="2DBA3769" w:rsidR="00476ED1" w:rsidRDefault="00476ED1" w:rsidP="00476ED1">
      <w:r>
        <w:t>TMR recognises the importance of ensuring an appropriate charging network is available to support greater zero emission vehicle (ZEV) uptake.</w:t>
      </w:r>
    </w:p>
    <w:p w14:paraId="3A4D82B0" w14:textId="337941D9" w:rsidR="00F84F7F" w:rsidRDefault="00476ED1" w:rsidP="00476ED1">
      <w:r>
        <w:t>The QESH has served as a catalyst for the private sector, local governments, and other parties to provide additional charging infrastructure for ZEV users in Queensland.</w:t>
      </w:r>
    </w:p>
    <w:p w14:paraId="48147235" w14:textId="77777777" w:rsidR="00F84F7F" w:rsidRDefault="00F84F7F" w:rsidP="006800C7"/>
    <w:p w14:paraId="539F319D" w14:textId="4A23DC6E" w:rsidR="005832A0" w:rsidRPr="005832A0" w:rsidRDefault="006800C7" w:rsidP="006800C7">
      <w:pPr>
        <w:pStyle w:val="MoreInformation"/>
        <w:rPr>
          <w:color w:val="404040" w:themeColor="text1" w:themeTint="BF"/>
          <w:u w:val="single"/>
        </w:rPr>
      </w:pPr>
      <w:r>
        <w:lastRenderedPageBreak/>
        <w:t>For more information</w:t>
      </w:r>
      <w:r>
        <w:br/>
      </w:r>
      <w:hyperlink r:id="rId25" w:history="1">
        <w:r w:rsidR="005832A0" w:rsidRPr="005832A0">
          <w:rPr>
            <w:rStyle w:val="Hyperlink"/>
          </w:rPr>
          <w:t>https://www.qld.gov.au/transport/projects/electricvehicles/super-highway</w:t>
        </w:r>
      </w:hyperlink>
    </w:p>
    <w:p w14:paraId="1632A45E" w14:textId="6171F476" w:rsidR="006800C7" w:rsidRDefault="005832A0" w:rsidP="006800C7">
      <w:pPr>
        <w:pStyle w:val="Heading4"/>
      </w:pPr>
      <w:r>
        <w:t xml:space="preserve">Queensland Rail </w:t>
      </w:r>
    </w:p>
    <w:p w14:paraId="3EF2D3F8" w14:textId="0C455AD0" w:rsidR="0089585D" w:rsidRDefault="0089585D" w:rsidP="0089585D">
      <w:r>
        <w:t>TMR continued to invest in passenger rail services and rail infrastructure and assets across the state through the Rail Transport Service Contract with Queensland Rail.</w:t>
      </w:r>
    </w:p>
    <w:p w14:paraId="06FD52DB" w14:textId="398F5B68" w:rsidR="0089585D" w:rsidRDefault="0089585D" w:rsidP="0089585D">
      <w:r>
        <w:t>In 2021–22, Queensland Rail delivered 376,375 weekly Citytrain services in South East Queensland, which included the continuation of the additional 105 peak shoulder services introduced in response to COVID-19 to support social distancing requirements.</w:t>
      </w:r>
    </w:p>
    <w:p w14:paraId="6C4383C2" w14:textId="56B6D6C1" w:rsidR="0089585D" w:rsidRDefault="004319E5" w:rsidP="0089585D">
      <w:r>
        <w:t xml:space="preserve">After suspension of some Traveltrain services due to covid related absences, </w:t>
      </w:r>
      <w:r w:rsidR="0089585D">
        <w:t>Traveltrain services were reinstated in regional Queensland, with previous timetables and maximum seating capacity limits restored.</w:t>
      </w:r>
    </w:p>
    <w:p w14:paraId="4CCEB5A7" w14:textId="79AE1B02" w:rsidR="0089585D" w:rsidRDefault="0089585D" w:rsidP="0089585D">
      <w:r>
        <w:t>TMR continued to work with Queensland Rail to deliver key rail infrastructure improvements across the network. This included the completion of park ‘n’ rides at Lawnton, Geebung, Darra, Varsity Lakes, Virginia, Springfield Central and Salisbury Stage One, and Station accessibility upgrades at Dakabin and East Ipswich. Work to progress Lindum and Salisbury Stages Two and Three park ‘n’ rides and accessibility upgrades at Auchenflower, South Bank, Albion, Buranda and Cannon Hill stations is underway.</w:t>
      </w:r>
    </w:p>
    <w:p w14:paraId="3E59C94C" w14:textId="311B9884" w:rsidR="0089585D" w:rsidRDefault="0089585D" w:rsidP="0089585D">
      <w:r>
        <w:t>Delivery of the North Coast Line Capacity Improvement Project is continuing. This project will increase rail freight capacity on the North Coast Line, which is an important part of the National Land Transport Network in Queensland.</w:t>
      </w:r>
    </w:p>
    <w:p w14:paraId="7938967B" w14:textId="4ECBC7D5" w:rsidR="0089585D" w:rsidRDefault="0089585D" w:rsidP="00EC5BB4">
      <w:pPr>
        <w:pStyle w:val="MoreInformation"/>
      </w:pPr>
      <w:r>
        <w:t>For more information</w:t>
      </w:r>
      <w:r>
        <w:br/>
      </w:r>
      <w:hyperlink r:id="rId26" w:history="1">
        <w:r w:rsidR="0057333A" w:rsidRPr="0057333A">
          <w:rPr>
            <w:rStyle w:val="Hyperlink"/>
          </w:rPr>
          <w:t>https://www.tmr.qld.gov.au/business-industry/Transport-sectors/Rail-services-and-infrastructure</w:t>
        </w:r>
      </w:hyperlink>
    </w:p>
    <w:p w14:paraId="228FED78" w14:textId="7C3782CA" w:rsidR="006800C7" w:rsidRDefault="005660F9" w:rsidP="006800C7">
      <w:pPr>
        <w:pStyle w:val="Heading4"/>
      </w:pPr>
      <w:r>
        <w:t>Cattle rail services</w:t>
      </w:r>
    </w:p>
    <w:p w14:paraId="4E33448C" w14:textId="0C5A90B5" w:rsidR="00AA497F" w:rsidRDefault="00AA497F" w:rsidP="00AA497F">
      <w:r>
        <w:t xml:space="preserve">TMR completed a procurement process for </w:t>
      </w:r>
      <w:r w:rsidR="00F102CE">
        <w:t>state-wide</w:t>
      </w:r>
      <w:r>
        <w:t xml:space="preserve"> cattle rail services and executed a Central and South Transport Services Contract and a North Transport Services Contract with Watco East West for a period of seven years from 2022.</w:t>
      </w:r>
    </w:p>
    <w:p w14:paraId="77DC8701" w14:textId="064FD444" w:rsidR="00AA497F" w:rsidRDefault="00AA497F" w:rsidP="00AA497F">
      <w:r>
        <w:t>These contracts replace the Livestock Transport Services Contract with Aurizon and the South West Transport Services Contract with Watco East West, which expired on 31 December 2021.</w:t>
      </w:r>
    </w:p>
    <w:p w14:paraId="0C8AECED" w14:textId="2FAA102D" w:rsidR="00AA497F" w:rsidRDefault="00AA497F" w:rsidP="006800C7">
      <w:r>
        <w:t>Rail services predominantly transport cattle from regional hubs across the state to processing facilities along Queensland’s eastern coastline. Subsidised cattle rail services support regional employment and economic development and mitigate the transport demands on the road network.</w:t>
      </w:r>
    </w:p>
    <w:p w14:paraId="6C49F975" w14:textId="71CA4F41" w:rsidR="00A640B3" w:rsidRPr="00A640B3" w:rsidRDefault="006800C7" w:rsidP="00A640B3">
      <w:pPr>
        <w:pStyle w:val="MoreInformation"/>
        <w:rPr>
          <w:rStyle w:val="Hyperlink"/>
          <w:color w:val="272727" w:themeColor="text1" w:themeTint="D8"/>
          <w:u w:val="none"/>
        </w:rPr>
      </w:pPr>
      <w:r>
        <w:t>For more information</w:t>
      </w:r>
      <w:r w:rsidR="00A640B3">
        <w:br/>
      </w:r>
      <w:hyperlink r:id="rId27" w:history="1">
        <w:r w:rsidR="00A640B3" w:rsidRPr="00A640B3">
          <w:rPr>
            <w:rStyle w:val="Hyperlink"/>
          </w:rPr>
          <w:t>https://www.tmr.qld.gov.au/business-industry/Transport-sectors/Rail-services-and-infrastructure/Rail-Transport-Contracts-and-Agreements</w:t>
        </w:r>
      </w:hyperlink>
    </w:p>
    <w:p w14:paraId="23C7A683" w14:textId="25E1DFFE" w:rsidR="00A640B3" w:rsidRDefault="00A640B3" w:rsidP="00A640B3">
      <w:pPr>
        <w:pStyle w:val="Heading4"/>
      </w:pPr>
      <w:r>
        <w:t>Regional air services</w:t>
      </w:r>
    </w:p>
    <w:p w14:paraId="1FA55B1C" w14:textId="77777777" w:rsidR="005E777B" w:rsidRDefault="005E777B" w:rsidP="005E777B">
      <w:r>
        <w:t>TMR continued to provide seven government subsidised regulated air routes in Queensland through air service contracts. The regulated air service contracts set service levels, maximum airfare prices, aircraft size, and on-time performance standards along regulated routes to guarantee an appropriate level of service is provided to regional Queensland at an affordable price.</w:t>
      </w:r>
    </w:p>
    <w:p w14:paraId="46FC36F0" w14:textId="77777777" w:rsidR="005E777B" w:rsidRDefault="005E777B" w:rsidP="005E777B">
      <w:r>
        <w:t>An extensive, competitive open tender process was held during 2021 and new contracts were effective from 1 January 2022. Seven service contracts were awarded for a five-year period with the option for two further one-year extension periods.</w:t>
      </w:r>
    </w:p>
    <w:p w14:paraId="75E4E381" w14:textId="77777777" w:rsidR="005E777B" w:rsidRDefault="005E777B" w:rsidP="005E777B">
      <w:r>
        <w:lastRenderedPageBreak/>
        <w:t>Operators and timetables for these routes remain unchanged, with the exception of the Central One route which connects Roma and Charleville to Brisbane. This route is now serviced by Regional Express Airlines (Rex), with increased frequency offering a greater choice of flight times provided by the operation of smaller aircraft.</w:t>
      </w:r>
    </w:p>
    <w:p w14:paraId="2715276B" w14:textId="296F144F" w:rsidR="005E777B" w:rsidRDefault="005E777B" w:rsidP="005E777B">
      <w:r>
        <w:t>In 2021–22, 119,622 passengers travelled on Queensland Government regulated air services providing valuable access to air travel for rural and remote customers.</w:t>
      </w:r>
    </w:p>
    <w:p w14:paraId="335500B9" w14:textId="2C3F56C8" w:rsidR="00A640B3" w:rsidRPr="00A640B3" w:rsidRDefault="00A640B3" w:rsidP="00A640B3">
      <w:pPr>
        <w:pStyle w:val="MoreInformation"/>
        <w:rPr>
          <w:rStyle w:val="Hyperlink"/>
          <w:color w:val="272727" w:themeColor="text1" w:themeTint="D8"/>
          <w:u w:val="none"/>
        </w:rPr>
      </w:pPr>
      <w:r>
        <w:t>For more information</w:t>
      </w:r>
      <w:r>
        <w:br/>
      </w:r>
      <w:hyperlink r:id="rId28" w:history="1">
        <w:r w:rsidR="003B558B" w:rsidRPr="003B558B">
          <w:rPr>
            <w:rStyle w:val="Hyperlink"/>
          </w:rPr>
          <w:t>https://www.tmr.qld.gov.au/regionalconnect</w:t>
        </w:r>
      </w:hyperlink>
    </w:p>
    <w:p w14:paraId="47290027" w14:textId="099CA05F" w:rsidR="003B558B" w:rsidRDefault="005874EE" w:rsidP="003B558B">
      <w:pPr>
        <w:pStyle w:val="Heading4"/>
      </w:pPr>
      <w:r>
        <w:t>Personalised Transport Horizon</w:t>
      </w:r>
    </w:p>
    <w:p w14:paraId="66D1FF12" w14:textId="5D9608F1" w:rsidR="007F1606" w:rsidRDefault="007F1606" w:rsidP="007F1606">
      <w:r>
        <w:t xml:space="preserve">Stage three of the Queensland Government’s reform program </w:t>
      </w:r>
      <w:r w:rsidRPr="00D2129B">
        <w:rPr>
          <w:rStyle w:val="Emphasis"/>
        </w:rPr>
        <w:t>Queensland’s Personalised Transport Horizon – Five Year Strategic Plan for Personalised Transport Services 2016–21</w:t>
      </w:r>
      <w:r>
        <w:t>, has been completed.</w:t>
      </w:r>
    </w:p>
    <w:p w14:paraId="4933AE48" w14:textId="7A737E3E" w:rsidR="007F1606" w:rsidRDefault="007F1606" w:rsidP="007F1606">
      <w:r>
        <w:t>This stage involved the ongoing monitoring and evaluation of the industry reforms, and achieved the objectives of enabling a modern, safe, affordable, and accountable personalised transport industry for all Queenslanders.</w:t>
      </w:r>
    </w:p>
    <w:p w14:paraId="5EB1DF3D" w14:textId="77777777" w:rsidR="007F1606" w:rsidRDefault="007F1606" w:rsidP="007F1606">
      <w:r>
        <w:t>In 2021–22, TMR:</w:t>
      </w:r>
    </w:p>
    <w:p w14:paraId="68CE1441" w14:textId="0D9F06CA" w:rsidR="007F1606" w:rsidRDefault="007F1606" w:rsidP="00245EB0">
      <w:pPr>
        <w:pStyle w:val="ListBullet"/>
      </w:pPr>
      <w:r>
        <w:t>delivered significant benefits in safety, choice and flexibility and provided to the industry a sound foundation to respond to new challenges arising from COVID-19</w:t>
      </w:r>
    </w:p>
    <w:p w14:paraId="44EBED6F" w14:textId="6E6D9162" w:rsidR="007F1606" w:rsidRDefault="007F1606" w:rsidP="00245EB0">
      <w:pPr>
        <w:pStyle w:val="ListBullet"/>
      </w:pPr>
      <w:r>
        <w:t>published the stage three monitoring and evaluation report</w:t>
      </w:r>
    </w:p>
    <w:p w14:paraId="2A00A3C7" w14:textId="5650E7B4" w:rsidR="007F1606" w:rsidRDefault="007F1606" w:rsidP="00245EB0">
      <w:pPr>
        <w:pStyle w:val="ListBullet"/>
      </w:pPr>
      <w:r>
        <w:t>implemented a mediation service for complainants seeking resolution of issues in the personalised transport industry</w:t>
      </w:r>
    </w:p>
    <w:p w14:paraId="476650F7" w14:textId="3D4B53F3" w:rsidR="003B558B" w:rsidRDefault="007F1606" w:rsidP="00245EB0">
      <w:pPr>
        <w:pStyle w:val="ListBullet"/>
        <w:rPr>
          <w:rStyle w:val="Hyperlink"/>
        </w:rPr>
      </w:pPr>
      <w:r>
        <w:t>engaged with industry and customers about service challenges through the annual personalised transport industry survey.</w:t>
      </w:r>
    </w:p>
    <w:p w14:paraId="232F055B" w14:textId="4480F567" w:rsidR="00245EB0" w:rsidRPr="00244A77" w:rsidRDefault="00245EB0" w:rsidP="00245EB0">
      <w:pPr>
        <w:pStyle w:val="MoreInformation"/>
        <w:rPr>
          <w:rStyle w:val="Hyperlink"/>
        </w:rPr>
      </w:pPr>
      <w:r>
        <w:t>For more information</w:t>
      </w:r>
      <w:r>
        <w:br/>
      </w:r>
      <w:hyperlink r:id="rId29" w:history="1">
        <w:r w:rsidR="00244A77" w:rsidRPr="00244A77">
          <w:rPr>
            <w:rStyle w:val="Hyperlink"/>
          </w:rPr>
          <w:t>https://www.tmr.qld.gov.au/business-industry/Taxi-and-limousine/Queenslands-Personalised-Transport-Horizon</w:t>
        </w:r>
      </w:hyperlink>
    </w:p>
    <w:p w14:paraId="376F99FC" w14:textId="77777777" w:rsidR="00244A77" w:rsidRDefault="00244A77" w:rsidP="00244A77">
      <w:pPr>
        <w:pStyle w:val="Heading4"/>
      </w:pPr>
      <w:r>
        <w:t>Personalised Transport Horizon</w:t>
      </w:r>
    </w:p>
    <w:p w14:paraId="72D9B671" w14:textId="5D1A0683" w:rsidR="00DE0336" w:rsidRDefault="00DE0336" w:rsidP="00DE0336">
      <w:r>
        <w:t>The Inland Rail is a 1700-kilometre freight rail line that will connect Melbourne and Brisbane. The project is being constructed by the Australian Rail Track Corporation (ARTC) on behalf of the Australian Government.</w:t>
      </w:r>
    </w:p>
    <w:p w14:paraId="2538F8A6" w14:textId="77777777" w:rsidR="00DE0336" w:rsidRDefault="00DE0336" w:rsidP="00DE0336">
      <w:r>
        <w:t>TMR is working collaboratively with ARTC on:</w:t>
      </w:r>
    </w:p>
    <w:p w14:paraId="15A7CBDA" w14:textId="2AD7D124" w:rsidR="00DE0336" w:rsidRDefault="00DE0336" w:rsidP="001C37F0">
      <w:pPr>
        <w:pStyle w:val="ListBullet"/>
      </w:pPr>
      <w:r>
        <w:t>environmental planning</w:t>
      </w:r>
    </w:p>
    <w:p w14:paraId="614431FA" w14:textId="0A0D32DA" w:rsidR="00DE0336" w:rsidRDefault="00DE0336" w:rsidP="001C37F0">
      <w:pPr>
        <w:pStyle w:val="ListBullet"/>
      </w:pPr>
      <w:r>
        <w:t>independent flood panel</w:t>
      </w:r>
    </w:p>
    <w:p w14:paraId="103E1E1D" w14:textId="29FDFC13" w:rsidR="00DE0336" w:rsidRDefault="00DE0336" w:rsidP="001C37F0">
      <w:pPr>
        <w:pStyle w:val="ListBullet"/>
      </w:pPr>
      <w:r>
        <w:t>future proofing the corridor</w:t>
      </w:r>
    </w:p>
    <w:p w14:paraId="3A15ED4B" w14:textId="43D9AF88" w:rsidR="00DE0336" w:rsidRDefault="00DE0336" w:rsidP="001C37F0">
      <w:pPr>
        <w:pStyle w:val="ListBullet"/>
      </w:pPr>
      <w:r>
        <w:t>statutory approvals</w:t>
      </w:r>
    </w:p>
    <w:p w14:paraId="763D16E8" w14:textId="7227B722" w:rsidR="00DE0336" w:rsidRDefault="00DE0336" w:rsidP="001C37F0">
      <w:pPr>
        <w:pStyle w:val="ListBullet"/>
      </w:pPr>
      <w:r>
        <w:t>maximising benefits to businesses and communities</w:t>
      </w:r>
    </w:p>
    <w:p w14:paraId="6A5E9108" w14:textId="54443A92" w:rsidR="00DE0336" w:rsidRDefault="00DE0336" w:rsidP="00DE0336">
      <w:pPr>
        <w:pStyle w:val="ListBullet"/>
      </w:pPr>
      <w:r>
        <w:t>land acquisition.</w:t>
      </w:r>
    </w:p>
    <w:p w14:paraId="0DD39276" w14:textId="31BB44F5" w:rsidR="00DE0336" w:rsidRDefault="00DE0336" w:rsidP="00DE0336">
      <w:r>
        <w:t>TMR has partnered with the Australian Government’s Department of Infrastructure, Transport, Regional Development,</w:t>
      </w:r>
      <w:r w:rsidR="001C37F0">
        <w:t xml:space="preserve"> </w:t>
      </w:r>
      <w:r>
        <w:t>Communications and the Arts in leading investigations and the development of business cases for key projects within the Bilateral Agreement Rail Studies program.</w:t>
      </w:r>
    </w:p>
    <w:p w14:paraId="08A67138" w14:textId="77777777" w:rsidR="00DE0336" w:rsidRDefault="00DE0336" w:rsidP="00DE0336">
      <w:r>
        <w:lastRenderedPageBreak/>
        <w:t>These projects include:</w:t>
      </w:r>
    </w:p>
    <w:p w14:paraId="7452153B" w14:textId="5D91E941" w:rsidR="00DE0336" w:rsidRDefault="00DE0336" w:rsidP="001C37F0">
      <w:pPr>
        <w:pStyle w:val="ListBullet"/>
      </w:pPr>
      <w:r>
        <w:t>Port of Brisbane dedicated freight connection</w:t>
      </w:r>
    </w:p>
    <w:p w14:paraId="0C0578DD" w14:textId="5909497F" w:rsidR="00DE0336" w:rsidRDefault="00DE0336" w:rsidP="001C37F0">
      <w:pPr>
        <w:pStyle w:val="ListBullet"/>
      </w:pPr>
      <w:r>
        <w:t>South East Queensland Inland Rail intermodal terminal</w:t>
      </w:r>
    </w:p>
    <w:p w14:paraId="48FA76A6" w14:textId="6A9E9F06" w:rsidR="00DE0336" w:rsidRDefault="00DE0336" w:rsidP="001C37F0">
      <w:pPr>
        <w:pStyle w:val="ListBullet"/>
      </w:pPr>
      <w:r>
        <w:t>passenger rail projects for the Salisbury to Beaudesert and the Toowoomba to Brisbane corridors</w:t>
      </w:r>
    </w:p>
    <w:p w14:paraId="68C8AFAD" w14:textId="72ACE119" w:rsidR="00DE0336" w:rsidRDefault="00DE0336" w:rsidP="001C37F0">
      <w:pPr>
        <w:pStyle w:val="ListBullet"/>
      </w:pPr>
      <w:r>
        <w:t>Toowoomba to Gladstone business case.</w:t>
      </w:r>
    </w:p>
    <w:p w14:paraId="3E08B133" w14:textId="77777777" w:rsidR="00DE0336" w:rsidRDefault="00DE0336" w:rsidP="00DE0336">
      <w:pPr>
        <w:pStyle w:val="ListBullet"/>
        <w:numPr>
          <w:ilvl w:val="0"/>
          <w:numId w:val="0"/>
        </w:numPr>
        <w:ind w:left="567" w:hanging="567"/>
        <w:rPr>
          <w:rStyle w:val="Hyperlink"/>
        </w:rPr>
      </w:pPr>
    </w:p>
    <w:p w14:paraId="0B81F9A6" w14:textId="62C40022" w:rsidR="00244A77" w:rsidRPr="00244A77" w:rsidRDefault="00244A77" w:rsidP="00244A77">
      <w:pPr>
        <w:pStyle w:val="MoreInformation"/>
        <w:rPr>
          <w:rStyle w:val="Hyperlink"/>
        </w:rPr>
      </w:pPr>
      <w:r>
        <w:t>For more information</w:t>
      </w:r>
      <w:r>
        <w:br/>
      </w:r>
      <w:hyperlink r:id="rId30" w:history="1">
        <w:r w:rsidR="00471A3E" w:rsidRPr="00471A3E">
          <w:rPr>
            <w:rStyle w:val="Hyperlink"/>
          </w:rPr>
          <w:t>https://www.tmr.qld.gov.au/projects/inland-rail</w:t>
        </w:r>
      </w:hyperlink>
    </w:p>
    <w:p w14:paraId="51386425" w14:textId="50DE1AB4" w:rsidR="00471A3E" w:rsidRDefault="00471A3E" w:rsidP="00471A3E">
      <w:pPr>
        <w:pStyle w:val="Heading4"/>
      </w:pPr>
      <w:r>
        <w:t xml:space="preserve">Active transport infrastructure </w:t>
      </w:r>
    </w:p>
    <w:p w14:paraId="62D54A37" w14:textId="77777777" w:rsidR="008E7F72" w:rsidRDefault="008E7F72" w:rsidP="008E7F72">
      <w:r>
        <w:t>Through the Active Transport Investment Program, TMR continued to invest in improving and extending networks for walking and riding bikes.</w:t>
      </w:r>
    </w:p>
    <w:p w14:paraId="2B8CFB2B" w14:textId="77777777" w:rsidR="008E7F72" w:rsidRDefault="008E7F72" w:rsidP="008E7F72">
      <w:r>
        <w:t>In 2021–22, TMR completed the following infrastructure projects:</w:t>
      </w:r>
    </w:p>
    <w:p w14:paraId="5A8C7CA2" w14:textId="6160BCDD" w:rsidR="008E7F72" w:rsidRDefault="008E7F72" w:rsidP="008E7F72">
      <w:pPr>
        <w:pStyle w:val="ListBullet"/>
      </w:pPr>
      <w:r>
        <w:t>design and construction of the Pioneer River North Bank stage one shared path by Mackay Regional Council with a TMR grant of $1.6 million</w:t>
      </w:r>
    </w:p>
    <w:p w14:paraId="5A962ECA" w14:textId="725145EA" w:rsidR="008E7F72" w:rsidRDefault="008E7F72" w:rsidP="008E7F72">
      <w:pPr>
        <w:pStyle w:val="ListBullet"/>
      </w:pPr>
      <w:r>
        <w:t>design and construction of the Dunne Road, Yorkeys Knob to Smithfield, shared path by Cairns Regional Council with a TMR grant of $1 million</w:t>
      </w:r>
    </w:p>
    <w:p w14:paraId="4E8DD05A" w14:textId="55FF09B4" w:rsidR="008E7F72" w:rsidRDefault="008E7F72" w:rsidP="008E7F72">
      <w:pPr>
        <w:pStyle w:val="ListBullet"/>
      </w:pPr>
      <w:r>
        <w:t>design and construction of the Hilton Terrace shared path by Noosa Shire Council with a TMR grant of $110,000</w:t>
      </w:r>
    </w:p>
    <w:p w14:paraId="317EE5C9" w14:textId="69C7C9D3" w:rsidR="008E7F72" w:rsidRDefault="008E7F72" w:rsidP="008E7F72">
      <w:pPr>
        <w:pStyle w:val="ListBullet"/>
      </w:pPr>
      <w:r>
        <w:t>design and construction of stage one of the William Street (Kilcoy) cycle separate facilities by Somerset Regional Council with a TMR grant of $230,000</w:t>
      </w:r>
    </w:p>
    <w:p w14:paraId="67AC82A9" w14:textId="1C193141" w:rsidR="00471A3E" w:rsidRDefault="008E7F72" w:rsidP="008E7F72">
      <w:pPr>
        <w:pStyle w:val="ListBullet"/>
      </w:pPr>
      <w:r>
        <w:t>construction of the Bermuda Street shared path from Lake Orr to Heron overpass by Gold Coast City Council with a TMR grant of $210,000.</w:t>
      </w:r>
    </w:p>
    <w:p w14:paraId="601D84D4" w14:textId="77777777" w:rsidR="00471A3E" w:rsidRDefault="00471A3E" w:rsidP="00471A3E">
      <w:pPr>
        <w:pStyle w:val="ListBullet"/>
        <w:numPr>
          <w:ilvl w:val="0"/>
          <w:numId w:val="0"/>
        </w:numPr>
        <w:ind w:left="567" w:hanging="567"/>
        <w:rPr>
          <w:rStyle w:val="Hyperlink"/>
        </w:rPr>
      </w:pPr>
    </w:p>
    <w:p w14:paraId="677DA762" w14:textId="60C110EA" w:rsidR="00471A3E" w:rsidRPr="00244A77" w:rsidRDefault="00471A3E" w:rsidP="00471A3E">
      <w:pPr>
        <w:pStyle w:val="MoreInformation"/>
        <w:rPr>
          <w:rStyle w:val="Hyperlink"/>
        </w:rPr>
      </w:pPr>
      <w:r>
        <w:t>For more information</w:t>
      </w:r>
      <w:r>
        <w:br/>
      </w:r>
      <w:hyperlink r:id="rId31" w:history="1">
        <w:r w:rsidR="00214886" w:rsidRPr="00214886">
          <w:rPr>
            <w:rStyle w:val="Hyperlink"/>
          </w:rPr>
          <w:t>https://www.tmr.qld.gov.au/Travel-and-transport/Cycling/Cycling-investment-in-Queensland</w:t>
        </w:r>
      </w:hyperlink>
    </w:p>
    <w:p w14:paraId="4E44CAF3" w14:textId="77777777" w:rsidR="00214886" w:rsidRPr="00E46578" w:rsidRDefault="00214886" w:rsidP="00214886">
      <w:pPr>
        <w:pStyle w:val="Heading3"/>
      </w:pPr>
      <w:r>
        <w:t>Case Study</w:t>
      </w:r>
    </w:p>
    <w:p w14:paraId="402AA61E" w14:textId="27C66DF0" w:rsidR="00214886" w:rsidRDefault="00214886" w:rsidP="00214886">
      <w:pPr>
        <w:pStyle w:val="Heading4"/>
      </w:pPr>
      <w:r>
        <w:t>Zero Emission Vehicle (ZEV) Strategy</w:t>
      </w:r>
    </w:p>
    <w:p w14:paraId="33D13E33" w14:textId="6404DD35" w:rsidR="00926ED6" w:rsidRDefault="00926ED6" w:rsidP="00926ED6">
      <w:r>
        <w:t>The energy and transport sectors are the two largest carbon dioxide emitters in Queensland. Action in these sectors is critical to protect the environment and contribute to Queensland’s economic growth.</w:t>
      </w:r>
    </w:p>
    <w:p w14:paraId="7D4C0CC1" w14:textId="77777777" w:rsidR="00926ED6" w:rsidRDefault="00926ED6" w:rsidP="00926ED6">
      <w:r>
        <w:t xml:space="preserve">Queensland’s </w:t>
      </w:r>
      <w:r w:rsidRPr="00926ED6">
        <w:rPr>
          <w:rStyle w:val="Emphasis"/>
        </w:rPr>
        <w:t>Zero Emission Vehicle Strategy 2022–32</w:t>
      </w:r>
      <w:r>
        <w:t xml:space="preserve">, (ZEV Strategy) and its associated </w:t>
      </w:r>
      <w:r w:rsidRPr="00926ED6">
        <w:rPr>
          <w:rStyle w:val="Emphasis"/>
        </w:rPr>
        <w:t>Action Plan (2022–2024)</w:t>
      </w:r>
      <w:r>
        <w:t>, were released in March 2022. They set a path for a cleaner, greener transport future while ensuring our energy system can support the transition to ZEVs.</w:t>
      </w:r>
    </w:p>
    <w:p w14:paraId="69924D55" w14:textId="77777777" w:rsidR="00926ED6" w:rsidRDefault="00926ED6" w:rsidP="00926ED6">
      <w:r>
        <w:t>The ZEV Strategy is an important contribution towards Queensland’s commitment to zero net emissions by 2050 and includes a $55 million investment package to support ZEV uptake. TMR is administering a $45 million ZEV Rebate Scheme to provide 15,000 rebates of $3000 for eligible electric vehicles (EV).</w:t>
      </w:r>
    </w:p>
    <w:p w14:paraId="1EF597E4" w14:textId="232DF454" w:rsidR="00926ED6" w:rsidRDefault="00926ED6" w:rsidP="00926ED6">
      <w:r>
        <w:lastRenderedPageBreak/>
        <w:t>TMR is also leading a $10 million EV Charging Infrastructure Co-fund Scheme to provide more public EV fast-charging options for Queenslanders and tourists. The Scheme will further accelerate private investment in EV infrastructure in Queensland—in partnership with local government and private industry—and will complement the existing Queensland Electric Super Highway network.</w:t>
      </w:r>
    </w:p>
    <w:p w14:paraId="29538428" w14:textId="4ED0BE8C" w:rsidR="003B558B" w:rsidRDefault="00926ED6" w:rsidP="00926ED6">
      <w:pPr>
        <w:rPr>
          <w:rStyle w:val="Hyperlink"/>
        </w:rPr>
      </w:pPr>
      <w:r>
        <w:t>Implementation of these key initiatives, alongside others being pursued by Queensland government agencies, will ensure a coordinated effort to reduce emissions and deliver less air pollution, quieter neighbourhoods and better health outcomes for our community, wildlife, and the environment.</w:t>
      </w:r>
    </w:p>
    <w:p w14:paraId="0D915565" w14:textId="77777777" w:rsidR="00EC5BB4" w:rsidRDefault="00EC5BB4" w:rsidP="00EC5BB4">
      <w:pPr>
        <w:rPr>
          <w:rStyle w:val="Hyperlink"/>
        </w:rPr>
      </w:pPr>
    </w:p>
    <w:p w14:paraId="38071AE7" w14:textId="77777777" w:rsidR="006800C7" w:rsidRDefault="006800C7" w:rsidP="006800C7">
      <w:pPr>
        <w:pStyle w:val="Heading2"/>
      </w:pPr>
      <w:r>
        <w:t>Investing in passenger transport</w:t>
      </w:r>
    </w:p>
    <w:p w14:paraId="039FE078" w14:textId="77777777" w:rsidR="006800C7" w:rsidRDefault="006800C7" w:rsidP="006800C7">
      <w:pPr>
        <w:pStyle w:val="Heading4"/>
      </w:pPr>
      <w:r>
        <w:t>Passenger Transport Infrastructure Investment Program</w:t>
      </w:r>
    </w:p>
    <w:p w14:paraId="490371B6" w14:textId="77777777" w:rsidR="001B17F8" w:rsidRDefault="001B17F8" w:rsidP="001B17F8">
      <w:bookmarkStart w:id="6" w:name="_Hlk73095982"/>
      <w:r>
        <w:t>The Passenger Transport Infrastructure Investment Program enables a more accessible, efficient, and integrated network that offers better value to customers and makes passenger transport a more attractive option for everyone.</w:t>
      </w:r>
    </w:p>
    <w:p w14:paraId="242E301B" w14:textId="77777777" w:rsidR="001B17F8" w:rsidRDefault="001B17F8" w:rsidP="001B17F8">
      <w:r>
        <w:t>Key achievements during 2021–22 included:</w:t>
      </w:r>
    </w:p>
    <w:p w14:paraId="1AF83F3F" w14:textId="1CD57D80" w:rsidR="001B17F8" w:rsidRDefault="001B17F8" w:rsidP="001B17F8">
      <w:pPr>
        <w:pStyle w:val="ListBullet"/>
        <w:tabs>
          <w:tab w:val="left" w:pos="284"/>
        </w:tabs>
        <w:spacing w:before="120"/>
      </w:pPr>
      <w:r>
        <w:t>made significant progress of the Northern Transitway and Eastern Transitway (Stage One) construction</w:t>
      </w:r>
    </w:p>
    <w:p w14:paraId="409F19A5" w14:textId="30A5CC63" w:rsidR="001B17F8" w:rsidRDefault="001B17F8" w:rsidP="001B17F8">
      <w:pPr>
        <w:pStyle w:val="ListBullet"/>
        <w:tabs>
          <w:tab w:val="left" w:pos="284"/>
        </w:tabs>
        <w:spacing w:before="120"/>
      </w:pPr>
      <w:r>
        <w:t>commenced construction of the Southern Moreton Bay Islands passenger ferry terminals upgrades in partnership with Redland City Council</w:t>
      </w:r>
    </w:p>
    <w:p w14:paraId="32A7ACE7" w14:textId="5D90346C" w:rsidR="001B17F8" w:rsidRDefault="001B17F8" w:rsidP="001B17F8">
      <w:pPr>
        <w:pStyle w:val="ListBullet"/>
        <w:tabs>
          <w:tab w:val="left" w:pos="284"/>
        </w:tabs>
        <w:spacing w:before="120"/>
      </w:pPr>
      <w:r>
        <w:t>commenced new bus station construction on Takalvan Street, Bundaberg outside Stockland shopping centre</w:t>
      </w:r>
    </w:p>
    <w:p w14:paraId="65A0EB37" w14:textId="7CF63EEA" w:rsidR="001B17F8" w:rsidRDefault="001B17F8" w:rsidP="001B17F8">
      <w:pPr>
        <w:pStyle w:val="ListBullet"/>
        <w:tabs>
          <w:tab w:val="left" w:pos="284"/>
        </w:tabs>
        <w:spacing w:before="120"/>
      </w:pPr>
      <w:r>
        <w:t>awarded a new bus station construction contract for Mangrove Road, Mackay beside the Caneland Central shopping centre</w:t>
      </w:r>
    </w:p>
    <w:p w14:paraId="696C79E4" w14:textId="49E00ABB" w:rsidR="001B17F8" w:rsidRDefault="001B17F8" w:rsidP="001B17F8">
      <w:pPr>
        <w:pStyle w:val="ListBullet"/>
        <w:tabs>
          <w:tab w:val="left" w:pos="284"/>
        </w:tabs>
        <w:spacing w:before="120"/>
      </w:pPr>
      <w:r>
        <w:t>commenced planning to support accessibility upgrades at the Upper Mount Gravatt bus station</w:t>
      </w:r>
    </w:p>
    <w:p w14:paraId="018D02AA" w14:textId="6A9DA11F" w:rsidR="001B17F8" w:rsidRDefault="001B17F8" w:rsidP="001B17F8">
      <w:pPr>
        <w:pStyle w:val="ListBullet"/>
        <w:tabs>
          <w:tab w:val="left" w:pos="284"/>
        </w:tabs>
        <w:spacing w:before="120"/>
      </w:pPr>
      <w:r>
        <w:t>completed and opened a major upgrade of the Morayfield bus station in October 2021</w:t>
      </w:r>
    </w:p>
    <w:p w14:paraId="19ABD747" w14:textId="42A62C6A" w:rsidR="001B17F8" w:rsidRDefault="001B17F8" w:rsidP="001B17F8">
      <w:pPr>
        <w:pStyle w:val="ListBullet"/>
        <w:tabs>
          <w:tab w:val="left" w:pos="284"/>
        </w:tabs>
        <w:spacing w:before="120"/>
      </w:pPr>
      <w:r>
        <w:t>progressed design for new bus facilities including Cannon Hill, Chermside (northbound platform), Indooroopilly, Robina, South Bank, and Strathpine</w:t>
      </w:r>
    </w:p>
    <w:p w14:paraId="13A94358" w14:textId="77777777" w:rsidR="004C3D3C" w:rsidRDefault="001B17F8" w:rsidP="004C3D3C">
      <w:pPr>
        <w:pStyle w:val="ListBullet"/>
        <w:tabs>
          <w:tab w:val="left" w:pos="284"/>
        </w:tabs>
        <w:spacing w:before="120"/>
      </w:pPr>
      <w:r>
        <w:t>completed construction of additional bus stops across South East Queensland to support new services and make it easier for customers to access public transport</w:t>
      </w:r>
    </w:p>
    <w:p w14:paraId="28A08CE8" w14:textId="6A77DEBF" w:rsidR="005147FF" w:rsidRDefault="001B17F8" w:rsidP="004C3D3C">
      <w:pPr>
        <w:pStyle w:val="ListBullet"/>
        <w:tabs>
          <w:tab w:val="left" w:pos="284"/>
        </w:tabs>
        <w:spacing w:before="120"/>
      </w:pPr>
      <w:r>
        <w:t>provided funding to local governments through the $20 million four-year Bus Stop Shelter Program to deliver new shelters and improve customer experience.</w:t>
      </w:r>
    </w:p>
    <w:p w14:paraId="3485BA9D" w14:textId="77777777" w:rsidR="006800C7" w:rsidRDefault="006800C7" w:rsidP="006800C7">
      <w:pPr>
        <w:pStyle w:val="Heading4"/>
      </w:pPr>
      <w:bookmarkStart w:id="7" w:name="_Hlk72419786"/>
      <w:bookmarkEnd w:id="6"/>
      <w:r>
        <w:t>Park 'n' ride program overview</w:t>
      </w:r>
    </w:p>
    <w:bookmarkEnd w:id="7"/>
    <w:p w14:paraId="1B021B41" w14:textId="280B27E7" w:rsidR="00CB6D23" w:rsidRDefault="00CB6D23" w:rsidP="00CB6D23">
      <w:r>
        <w:t>Park ‘n’ ride facilities are an important part of the South East Queensland public transport network, enabling people to connect with public transport to access jobs, education, and other essential services in their communities.</w:t>
      </w:r>
    </w:p>
    <w:p w14:paraId="310627D6" w14:textId="18BD2AD2" w:rsidR="00CB6D23" w:rsidRDefault="00CB6D23" w:rsidP="00CB6D23">
      <w:r>
        <w:t>Over the next four years, more than 2400 new park ‘n’ ride spaces will be built as part of the $172 million park ‘n’ ride upgrade program, which includes $46 million from the Australian Government.</w:t>
      </w:r>
    </w:p>
    <w:p w14:paraId="2EE9FF5C" w14:textId="54330619" w:rsidR="004C3D3C" w:rsidRDefault="00CB6D23" w:rsidP="00CB6D23">
      <w:r>
        <w:t>These investments will add to the 32,600 plus spaces already available to customers across the network and will play a key part in helping to ease congestion on our road networks as the region continues to grow.</w:t>
      </w:r>
    </w:p>
    <w:p w14:paraId="3DD30274" w14:textId="77777777" w:rsidR="004C3D3C" w:rsidRDefault="004C3D3C" w:rsidP="006800C7"/>
    <w:p w14:paraId="19C7224A" w14:textId="67009A4E" w:rsidR="006800C7" w:rsidRPr="00F93C83" w:rsidRDefault="006800C7" w:rsidP="006800C7">
      <w:r>
        <w:lastRenderedPageBreak/>
        <w:t xml:space="preserve">Key achievements </w:t>
      </w:r>
      <w:r w:rsidR="00CB6D23">
        <w:t xml:space="preserve">during 2021–22 </w:t>
      </w:r>
      <w:r>
        <w:t>included:</w:t>
      </w:r>
    </w:p>
    <w:p w14:paraId="0BD4174D" w14:textId="3A975715" w:rsidR="00F015A9" w:rsidRDefault="00F015A9" w:rsidP="00F015A9">
      <w:pPr>
        <w:pStyle w:val="ListBullet"/>
        <w:tabs>
          <w:tab w:val="left" w:pos="284"/>
        </w:tabs>
        <w:spacing w:before="120"/>
      </w:pPr>
      <w:r>
        <w:t>additional park ‘n’ ride spaces opened at Greenbank RSL (600), Carseldine (Stage One) (200), and Springfield Central (1100 across the precinct)</w:t>
      </w:r>
    </w:p>
    <w:p w14:paraId="628E8D48" w14:textId="34F840D3" w:rsidR="00F015A9" w:rsidRDefault="00F015A9" w:rsidP="00F015A9">
      <w:pPr>
        <w:pStyle w:val="ListBullet"/>
        <w:tabs>
          <w:tab w:val="left" w:pos="284"/>
        </w:tabs>
        <w:spacing w:before="120"/>
      </w:pPr>
      <w:r>
        <w:t xml:space="preserve">commenced construction of park ‘n’ ride expansions at Coomera, Ferny Grove (as part of the broader </w:t>
      </w:r>
      <w:r w:rsidR="00F66F2B">
        <w:t>transit-oriented</w:t>
      </w:r>
      <w:r>
        <w:t xml:space="preserve"> development), and Mango Hill train stations</w:t>
      </w:r>
    </w:p>
    <w:p w14:paraId="2FBD9C38" w14:textId="70DD8EDA" w:rsidR="00F015A9" w:rsidRDefault="00F015A9" w:rsidP="00F015A9">
      <w:pPr>
        <w:pStyle w:val="ListBullet"/>
        <w:tabs>
          <w:tab w:val="left" w:pos="284"/>
        </w:tabs>
        <w:spacing w:before="120"/>
      </w:pPr>
      <w:r>
        <w:t>continued design activities at several locations including Gaythorne, Carseldine (Stage Two), Lindum (southern car park) and Salisbury train stations (Stage Two and Stage Three)</w:t>
      </w:r>
    </w:p>
    <w:p w14:paraId="280CA2E8" w14:textId="4BEB9B9E" w:rsidR="004C3D3C" w:rsidRDefault="00F015A9" w:rsidP="00F75645">
      <w:pPr>
        <w:pStyle w:val="ListBullet"/>
        <w:tabs>
          <w:tab w:val="left" w:pos="284"/>
        </w:tabs>
        <w:spacing w:before="120"/>
      </w:pPr>
      <w:r>
        <w:t>progressed detailed planning at key park ‘n’ rides across South East Queensland including Altandi, Birkdale, and Bald Hills train stations, and Queen Street (Southport) light rail station.</w:t>
      </w:r>
    </w:p>
    <w:p w14:paraId="041B6043" w14:textId="7EC96A9C" w:rsidR="00F75645" w:rsidRDefault="006800C7" w:rsidP="006800C7">
      <w:pPr>
        <w:pStyle w:val="MoreInformation"/>
      </w:pPr>
      <w:r>
        <w:t>For more information</w:t>
      </w:r>
      <w:r>
        <w:br/>
      </w:r>
      <w:hyperlink r:id="rId32" w:history="1">
        <w:r w:rsidR="00F75645" w:rsidRPr="00F75645">
          <w:rPr>
            <w:rStyle w:val="Hyperlink"/>
          </w:rPr>
          <w:t>https://www.translink.com.au/about-translink/projects-and-initiatives/map</w:t>
        </w:r>
      </w:hyperlink>
    </w:p>
    <w:p w14:paraId="0C499266" w14:textId="70C486A3" w:rsidR="006800C7" w:rsidRDefault="00F75645" w:rsidP="006800C7">
      <w:pPr>
        <w:pStyle w:val="Heading4"/>
      </w:pPr>
      <w:r>
        <w:t xml:space="preserve">Revenue protection </w:t>
      </w:r>
    </w:p>
    <w:p w14:paraId="49F0E4DF" w14:textId="072F11C6" w:rsidR="00D57A85" w:rsidRDefault="00D57A85" w:rsidP="00D57A85">
      <w:r>
        <w:t>Fare evasion across South East Queensland’s public transport network costs Queenslanders approximately $31 million per year. Translink’s revenue protection team continued to implement recommendations from the 2019 youth fare evasion roundtables including the deployment of ‘prevention, detection, and enforcement’ strategies.</w:t>
      </w:r>
    </w:p>
    <w:p w14:paraId="5A93FFFD" w14:textId="736AF30D" w:rsidR="00D57A85" w:rsidRDefault="00D57A85" w:rsidP="00D57A85">
      <w:r>
        <w:t>Translink has dedicated significant resources, including officers from the revenue protection team, to assist the COVID-19 response by undertaking border control duties and managing the passenger transport network to keep our customers and staff safe.</w:t>
      </w:r>
    </w:p>
    <w:p w14:paraId="08C1CCA9" w14:textId="77777777" w:rsidR="00D57A85" w:rsidRDefault="00D57A85" w:rsidP="00D57A85">
      <w:r>
        <w:t>A longer-term revenue protection strategy is currently being finalised and will outline activities to reduce fare evasion. In collaboration with transport service providers Translink are investigating new initiatives to improve revenue protection, safety and security across the public transport network.</w:t>
      </w:r>
    </w:p>
    <w:p w14:paraId="3BCA01F0" w14:textId="0CD10136" w:rsidR="006800C7" w:rsidRPr="00BB761C" w:rsidRDefault="006800C7" w:rsidP="00D57A85">
      <w:r>
        <w:t>Key achievements</w:t>
      </w:r>
      <w:r w:rsidRPr="00BB761C">
        <w:t xml:space="preserve"> </w:t>
      </w:r>
      <w:r w:rsidR="00D57A85">
        <w:t xml:space="preserve">during 2021–22 </w:t>
      </w:r>
      <w:r w:rsidRPr="00BB761C">
        <w:t>include</w:t>
      </w:r>
      <w:r>
        <w:t>d</w:t>
      </w:r>
      <w:r w:rsidRPr="00BB761C">
        <w:t>:</w:t>
      </w:r>
    </w:p>
    <w:p w14:paraId="69691859" w14:textId="2E1E63B7" w:rsidR="004834AE" w:rsidRPr="004834AE" w:rsidRDefault="004834AE" w:rsidP="004834AE">
      <w:pPr>
        <w:pStyle w:val="ListBullet"/>
      </w:pPr>
      <w:r w:rsidRPr="004834AE">
        <w:t>participated in youth justice conferences as part of the prevention and education strategy</w:t>
      </w:r>
    </w:p>
    <w:p w14:paraId="7FD7FBE0" w14:textId="24829693" w:rsidR="004834AE" w:rsidRPr="004834AE" w:rsidRDefault="004834AE" w:rsidP="004834AE">
      <w:pPr>
        <w:pStyle w:val="ListBullet"/>
      </w:pPr>
      <w:r w:rsidRPr="004834AE">
        <w:t>provided a simplified student concessional product and online parent guide</w:t>
      </w:r>
    </w:p>
    <w:p w14:paraId="1BE6AFA5" w14:textId="1C9F568D" w:rsidR="004834AE" w:rsidRPr="004834AE" w:rsidRDefault="004834AE" w:rsidP="004834AE">
      <w:pPr>
        <w:pStyle w:val="ListBullet"/>
      </w:pPr>
      <w:r w:rsidRPr="004834AE">
        <w:t>revamped the Step-Up Program through the delivery of a new education-based training package to connect with youth</w:t>
      </w:r>
    </w:p>
    <w:p w14:paraId="7BED1CBD" w14:textId="414E7107" w:rsidR="004834AE" w:rsidRPr="004834AE" w:rsidRDefault="004834AE" w:rsidP="004834AE">
      <w:pPr>
        <w:pStyle w:val="ListBullet"/>
      </w:pPr>
      <w:r w:rsidRPr="004834AE">
        <w:t>targeted operations at the top 20 locations with reported high rates of fare evasion in progress</w:t>
      </w:r>
    </w:p>
    <w:p w14:paraId="527469A8" w14:textId="7DDCCD71" w:rsidR="004834AE" w:rsidRPr="004834AE" w:rsidRDefault="004834AE" w:rsidP="004834AE">
      <w:pPr>
        <w:pStyle w:val="ListBullet"/>
      </w:pPr>
      <w:r w:rsidRPr="004834AE">
        <w:t>implemented new Revenue Protection Dashboards with integrated datasets to improve the effectiveness of enforcement and officer deployment</w:t>
      </w:r>
    </w:p>
    <w:p w14:paraId="57063A8E" w14:textId="30CFC439" w:rsidR="004834AE" w:rsidRPr="004834AE" w:rsidRDefault="004834AE" w:rsidP="004834AE">
      <w:pPr>
        <w:pStyle w:val="ListBullet"/>
      </w:pPr>
      <w:r w:rsidRPr="004834AE">
        <w:t>implemented Network Officers (formerly known as customer service officers) on Westside and Park Ridge bus services</w:t>
      </w:r>
    </w:p>
    <w:p w14:paraId="25014256" w14:textId="0D63D4C6" w:rsidR="004834AE" w:rsidRPr="004834AE" w:rsidRDefault="004834AE" w:rsidP="004834AE">
      <w:pPr>
        <w:pStyle w:val="ListBullet"/>
      </w:pPr>
      <w:r w:rsidRPr="004834AE">
        <w:t>implemented Network Officers in regional urban areas including in Cairns and Townsville</w:t>
      </w:r>
    </w:p>
    <w:p w14:paraId="3C5AB489" w14:textId="26D3BAB4" w:rsidR="004834AE" w:rsidRPr="004834AE" w:rsidRDefault="004834AE" w:rsidP="004834AE">
      <w:pPr>
        <w:pStyle w:val="ListBullet"/>
      </w:pPr>
      <w:r w:rsidRPr="004834AE">
        <w:t>carried out an annual network-wide study into fare compliance to survey the amount of revenue loss per year</w:t>
      </w:r>
    </w:p>
    <w:p w14:paraId="7ECCB6B2" w14:textId="73B38282" w:rsidR="004834AE" w:rsidRPr="004834AE" w:rsidRDefault="004834AE" w:rsidP="004834AE">
      <w:pPr>
        <w:pStyle w:val="ListBullet"/>
      </w:pPr>
      <w:r w:rsidRPr="004834AE">
        <w:t>expanded the Gold Coast area of operations to include two Senior Network Officer teams for better network coverage</w:t>
      </w:r>
    </w:p>
    <w:p w14:paraId="390FC9CE" w14:textId="24EBF093" w:rsidR="00D57A85" w:rsidRPr="004834AE" w:rsidRDefault="004834AE" w:rsidP="004834AE">
      <w:pPr>
        <w:pStyle w:val="ListBullet"/>
      </w:pPr>
      <w:r w:rsidRPr="004834AE">
        <w:t>introduced an audit, risk and training team to monitor and report on revenue protection activities to ensure effective management of fare compliance.</w:t>
      </w:r>
    </w:p>
    <w:p w14:paraId="2790B01F" w14:textId="77777777" w:rsidR="00D57A85" w:rsidRPr="007F6979" w:rsidRDefault="00D57A85" w:rsidP="00D57A85">
      <w:pPr>
        <w:pStyle w:val="ListBullet"/>
        <w:numPr>
          <w:ilvl w:val="0"/>
          <w:numId w:val="0"/>
        </w:numPr>
        <w:tabs>
          <w:tab w:val="left" w:pos="284"/>
        </w:tabs>
        <w:spacing w:before="120" w:after="0" w:line="260" w:lineRule="exact"/>
        <w:ind w:left="567" w:hanging="567"/>
      </w:pPr>
    </w:p>
    <w:p w14:paraId="21503B60" w14:textId="41A049FE" w:rsidR="006800C7" w:rsidRDefault="000E7459" w:rsidP="006800C7">
      <w:pPr>
        <w:pStyle w:val="Heading2"/>
      </w:pPr>
      <w:r>
        <w:lastRenderedPageBreak/>
        <w:t>Active Transport Investment Program</w:t>
      </w:r>
    </w:p>
    <w:p w14:paraId="1FD3B864" w14:textId="77777777" w:rsidR="00A54CDA" w:rsidRDefault="00A54CDA" w:rsidP="00A54CDA">
      <w:r>
        <w:t>TMR continued to invest in infrastructure and initiatives through the Active Transport Investment Program to enable and encourage more Queenslanders to ride bicycles and walk for transport, recreation, and health.</w:t>
      </w:r>
    </w:p>
    <w:p w14:paraId="18559059" w14:textId="77777777" w:rsidR="00A54CDA" w:rsidRDefault="00A54CDA" w:rsidP="00A54CDA">
      <w:r>
        <w:t>Key investments and achievements during 2021–22 included:</w:t>
      </w:r>
    </w:p>
    <w:p w14:paraId="258F6CC4" w14:textId="6A328354" w:rsidR="00A54CDA" w:rsidRPr="00A54CDA" w:rsidRDefault="00A54CDA" w:rsidP="00A54CDA">
      <w:pPr>
        <w:pStyle w:val="ListBullet"/>
      </w:pPr>
      <w:r w:rsidRPr="00A54CDA">
        <w:t>construction of the Barr Creek cycle bridge by Cairns Regional Council with a TMR grant of $1.94 million</w:t>
      </w:r>
    </w:p>
    <w:p w14:paraId="0A4C6B28" w14:textId="240D1796" w:rsidR="00A54CDA" w:rsidRPr="00A54CDA" w:rsidRDefault="00A54CDA" w:rsidP="00A54CDA">
      <w:pPr>
        <w:pStyle w:val="ListBullet"/>
      </w:pPr>
      <w:r w:rsidRPr="00A54CDA">
        <w:t>construction of the Junction Creek cycleway bridge by Douglas Shire Council with a TMR grant of $800,000</w:t>
      </w:r>
    </w:p>
    <w:p w14:paraId="30B789BD" w14:textId="522E3527" w:rsidR="00A54CDA" w:rsidRPr="00A54CDA" w:rsidRDefault="00A54CDA" w:rsidP="00A54CDA">
      <w:pPr>
        <w:pStyle w:val="ListBullet"/>
      </w:pPr>
      <w:r w:rsidRPr="00A54CDA">
        <w:t>construction of the Main Street to Patrick Street shared path in Lowood by Somerset Regional Council with a TMR grant of $350,000</w:t>
      </w:r>
    </w:p>
    <w:p w14:paraId="0C2BF7F2" w14:textId="64CF0F5B" w:rsidR="00A54CDA" w:rsidRPr="00A54CDA" w:rsidRDefault="00A54CDA" w:rsidP="00A54CDA">
      <w:pPr>
        <w:pStyle w:val="ListBullet"/>
      </w:pPr>
      <w:r w:rsidRPr="00A54CDA">
        <w:t>continued implementation of the Queensland Walking Strategy 2019–29 to encourage more walking in Queensland</w:t>
      </w:r>
    </w:p>
    <w:p w14:paraId="0DD3C20E" w14:textId="195A6B07" w:rsidR="00A54CDA" w:rsidRPr="00A54CDA" w:rsidRDefault="00A54CDA" w:rsidP="00A54CDA">
      <w:pPr>
        <w:pStyle w:val="ListBullet"/>
      </w:pPr>
      <w:r w:rsidRPr="00A54CDA">
        <w:t>advanced delivery of the Queensland Cycling Action Plan 2020–22, with 14 of the 66 actions completed and the remainder underway or ongoing</w:t>
      </w:r>
    </w:p>
    <w:p w14:paraId="5C5474BE" w14:textId="498351B3" w:rsidR="00AE4031" w:rsidRPr="00A54CDA" w:rsidRDefault="00A54CDA" w:rsidP="00A54CDA">
      <w:pPr>
        <w:pStyle w:val="ListBullet"/>
      </w:pPr>
      <w:r w:rsidRPr="00A54CDA">
        <w:t>supported 13 innovative, community-driven projects to increase the number of people riding bikes through new Bike Riding Encouragement Program community grants.</w:t>
      </w:r>
    </w:p>
    <w:p w14:paraId="6E67F971" w14:textId="0F6D49CA" w:rsidR="00AE4031" w:rsidRPr="004158B3" w:rsidRDefault="00DC2516" w:rsidP="00F55D2F">
      <w:pPr>
        <w:pStyle w:val="MoreInformation"/>
      </w:pPr>
      <w:r>
        <w:t>For more information</w:t>
      </w:r>
      <w:r>
        <w:br/>
      </w:r>
      <w:hyperlink r:id="rId33" w:history="1">
        <w:r w:rsidR="00F55D2F" w:rsidRPr="00F55D2F">
          <w:rPr>
            <w:rStyle w:val="Hyperlink"/>
          </w:rPr>
          <w:t>https://www.tmr.qld.gov.au/Travel-and-transport/Cycling/Cycling-investment-in-Queensland</w:t>
        </w:r>
      </w:hyperlink>
    </w:p>
    <w:p w14:paraId="78B15B53" w14:textId="77777777" w:rsidR="006800C7" w:rsidRDefault="006800C7" w:rsidP="00A637E0">
      <w:pPr>
        <w:pStyle w:val="Heading4"/>
      </w:pPr>
      <w:r>
        <w:t xml:space="preserve">Brisbane Valley Rail Trail Strategic Plan </w:t>
      </w:r>
    </w:p>
    <w:p w14:paraId="252FFC41" w14:textId="5ED4B570" w:rsidR="00F07918" w:rsidRDefault="00F07918" w:rsidP="00F07918">
      <w:r>
        <w:t>The Brisbane Valley Rail Trail (BVRT) is an off-road adventure trail that follows the disused Brisbane Valley rail corridor from Wulkuraka, west of Ipswich, to Yarraman, west of Kilcoy. At 161 kilometres, the BVRT is Australia’s longest rail trail.</w:t>
      </w:r>
    </w:p>
    <w:p w14:paraId="3CED0914" w14:textId="77777777" w:rsidR="00F07918" w:rsidRDefault="00F07918" w:rsidP="00F07918">
      <w:r>
        <w:t xml:space="preserve">The </w:t>
      </w:r>
      <w:r w:rsidRPr="00F07918">
        <w:rPr>
          <w:rStyle w:val="Emphasis"/>
        </w:rPr>
        <w:t>Brisbane Valley Rail Trail Strategic Plan</w:t>
      </w:r>
      <w:r>
        <w:t xml:space="preserve"> provides direction to stakeholders through identifying infrastructure upgrades, streamlined governance, enhanced promotion and marketing, and focusing on greater economic development in the Brisbane Valley region.</w:t>
      </w:r>
    </w:p>
    <w:p w14:paraId="39704AF0" w14:textId="77777777" w:rsidR="001E5978" w:rsidRDefault="00F07918" w:rsidP="00F07918">
      <w:r>
        <w:t>The BVRT continues to experience significant increases in trail users across all of the trail counters located in Moore, Muirlea,</w:t>
      </w:r>
      <w:r w:rsidR="001E5978">
        <w:t xml:space="preserve"> </w:t>
      </w:r>
      <w:r>
        <w:t>Toogoolawah, Fernvale and Esk. Fernvale in particular recorded over 50,000 trail users in 2021 and Esk recorded the highest growth with an increase of 32 per cent in trail users over the year 2020–2021.</w:t>
      </w:r>
    </w:p>
    <w:p w14:paraId="015A89F8" w14:textId="06A248C5" w:rsidR="006800C7" w:rsidRDefault="006800C7" w:rsidP="00F07918">
      <w:r>
        <w:t>Key achievements</w:t>
      </w:r>
      <w:r w:rsidR="001E5978" w:rsidRPr="001E5978">
        <w:t xml:space="preserve"> </w:t>
      </w:r>
      <w:r w:rsidR="001E5978">
        <w:t xml:space="preserve">during 2021–22 </w:t>
      </w:r>
      <w:r>
        <w:t xml:space="preserve">included: </w:t>
      </w:r>
    </w:p>
    <w:p w14:paraId="6C27FB9B" w14:textId="73545003" w:rsidR="00C75B63" w:rsidRPr="00C75B63" w:rsidRDefault="00C75B63" w:rsidP="00C75B63">
      <w:pPr>
        <w:pStyle w:val="ListBullet"/>
        <w:rPr>
          <w:rStyle w:val="Hyperlink"/>
          <w:color w:val="262626" w:themeColor="text1" w:themeTint="D9"/>
          <w:u w:val="none"/>
        </w:rPr>
      </w:pPr>
      <w:r w:rsidRPr="00C75B63">
        <w:rPr>
          <w:rStyle w:val="Hyperlink"/>
          <w:color w:val="262626" w:themeColor="text1" w:themeTint="D9"/>
          <w:u w:val="none"/>
        </w:rPr>
        <w:t>convened ten governance committee meetings</w:t>
      </w:r>
    </w:p>
    <w:p w14:paraId="54EC5B59" w14:textId="6B4B2AB6" w:rsidR="00C75B63" w:rsidRPr="00C75B63" w:rsidRDefault="00C75B63" w:rsidP="00C75B63">
      <w:pPr>
        <w:pStyle w:val="ListBullet"/>
        <w:rPr>
          <w:rStyle w:val="Hyperlink"/>
          <w:color w:val="262626" w:themeColor="text1" w:themeTint="D9"/>
          <w:u w:val="none"/>
        </w:rPr>
      </w:pPr>
      <w:r w:rsidRPr="00C75B63">
        <w:rPr>
          <w:rStyle w:val="Hyperlink"/>
          <w:color w:val="262626" w:themeColor="text1" w:themeTint="D9"/>
          <w:u w:val="none"/>
        </w:rPr>
        <w:t>rehabilitated Coal Creek bridge, north of Esk</w:t>
      </w:r>
    </w:p>
    <w:p w14:paraId="0A7950DC" w14:textId="04586CA6" w:rsidR="00C75B63" w:rsidRPr="00C75B63" w:rsidRDefault="00C75B63" w:rsidP="00C75B63">
      <w:pPr>
        <w:pStyle w:val="ListBullet"/>
        <w:rPr>
          <w:rStyle w:val="Hyperlink"/>
          <w:color w:val="262626" w:themeColor="text1" w:themeTint="D9"/>
          <w:u w:val="none"/>
        </w:rPr>
      </w:pPr>
      <w:r w:rsidRPr="00C75B63">
        <w:rPr>
          <w:rStyle w:val="Hyperlink"/>
          <w:color w:val="262626" w:themeColor="text1" w:themeTint="D9"/>
          <w:u w:val="none"/>
        </w:rPr>
        <w:t>delivered social media campaigns to more than 1.5 million users</w:t>
      </w:r>
    </w:p>
    <w:p w14:paraId="4EC2A533" w14:textId="4E95B6CE" w:rsidR="00C75B63" w:rsidRPr="00C75B63" w:rsidRDefault="00C75B63" w:rsidP="00C75B63">
      <w:pPr>
        <w:pStyle w:val="ListBullet"/>
        <w:rPr>
          <w:rStyle w:val="Hyperlink"/>
          <w:color w:val="262626" w:themeColor="text1" w:themeTint="D9"/>
          <w:u w:val="none"/>
        </w:rPr>
      </w:pPr>
      <w:r w:rsidRPr="00C75B63">
        <w:rPr>
          <w:rStyle w:val="Hyperlink"/>
          <w:color w:val="262626" w:themeColor="text1" w:themeTint="D9"/>
          <w:u w:val="none"/>
        </w:rPr>
        <w:t>planned and commenced construction of a trailhead construction at Wulkuraka.</w:t>
      </w:r>
    </w:p>
    <w:p w14:paraId="76B230E2" w14:textId="36325A5C" w:rsidR="006800C7" w:rsidRDefault="006800C7" w:rsidP="006800C7">
      <w:pPr>
        <w:pStyle w:val="MoreInformation"/>
        <w:rPr>
          <w:rStyle w:val="Hyperlink"/>
        </w:rPr>
      </w:pPr>
      <w:r>
        <w:t>For more information</w:t>
      </w:r>
      <w:r>
        <w:br/>
      </w:r>
      <w:hyperlink r:id="rId34" w:history="1">
        <w:r w:rsidRPr="00B64E82">
          <w:rPr>
            <w:rStyle w:val="Hyperlink"/>
          </w:rPr>
          <w:t>tmr.qld.gov.au/BVRT</w:t>
        </w:r>
      </w:hyperlink>
      <w:r>
        <w:rPr>
          <w:rStyle w:val="Hyperlink"/>
        </w:rPr>
        <w:t xml:space="preserve"> </w:t>
      </w:r>
    </w:p>
    <w:p w14:paraId="12AA5D12" w14:textId="2D7E31C6" w:rsidR="00DD7B4C" w:rsidRDefault="00DD7B4C" w:rsidP="00DD7B4C">
      <w:pPr>
        <w:pStyle w:val="Heading4"/>
      </w:pPr>
      <w:r>
        <w:t xml:space="preserve">Walking action plan </w:t>
      </w:r>
    </w:p>
    <w:p w14:paraId="2FB3C15F" w14:textId="77777777" w:rsidR="00A637E0" w:rsidRDefault="00A637E0" w:rsidP="00A637E0">
      <w:r>
        <w:t xml:space="preserve">In 2021–22 TMR finalised the first </w:t>
      </w:r>
      <w:r w:rsidRPr="00A637E0">
        <w:rPr>
          <w:rStyle w:val="Emphasis"/>
        </w:rPr>
        <w:t>Action Plan for Walking 2019– 21</w:t>
      </w:r>
      <w:r>
        <w:t xml:space="preserve"> and released the new </w:t>
      </w:r>
      <w:r w:rsidRPr="00A637E0">
        <w:rPr>
          <w:rStyle w:val="Emphasis"/>
        </w:rPr>
        <w:t>Action Plan for Walking 2022–24</w:t>
      </w:r>
      <w:r>
        <w:t>.</w:t>
      </w:r>
    </w:p>
    <w:p w14:paraId="1E0E37B3" w14:textId="77777777" w:rsidR="00A637E0" w:rsidRDefault="00A637E0" w:rsidP="00A637E0"/>
    <w:p w14:paraId="227B8DDE" w14:textId="77777777" w:rsidR="00A637E0" w:rsidRDefault="00A637E0" w:rsidP="00A637E0">
      <w:r>
        <w:t>The new action plan sets out 35 actions for Queensland Government departments and agencies to help make walking an easy choice for the community.</w:t>
      </w:r>
    </w:p>
    <w:p w14:paraId="78FE4E31" w14:textId="77777777" w:rsidR="00A637E0" w:rsidRDefault="00A637E0" w:rsidP="00A637E0">
      <w:r>
        <w:t>Key achievements from the first action plan include:</w:t>
      </w:r>
    </w:p>
    <w:p w14:paraId="4F0AB81E" w14:textId="4FADA595" w:rsidR="00A637E0" w:rsidRDefault="00A637E0" w:rsidP="00A637E0">
      <w:pPr>
        <w:pStyle w:val="ListBullet"/>
        <w:tabs>
          <w:tab w:val="left" w:pos="284"/>
        </w:tabs>
        <w:spacing w:before="120"/>
      </w:pPr>
      <w:r>
        <w:t>published Walking Network Planning Guidance to support local governments and TMR plan and prioritise projects around key destinations like schools, public transport stations, and shops</w:t>
      </w:r>
    </w:p>
    <w:p w14:paraId="69463CB9" w14:textId="104719CF" w:rsidR="00A637E0" w:rsidRDefault="00A637E0" w:rsidP="00A637E0">
      <w:pPr>
        <w:pStyle w:val="ListBullet"/>
        <w:tabs>
          <w:tab w:val="left" w:pos="284"/>
        </w:tabs>
        <w:spacing w:before="120"/>
      </w:pPr>
      <w:r>
        <w:t>launched Walking Local Government Grants to kickstart walking planning across the state</w:t>
      </w:r>
    </w:p>
    <w:p w14:paraId="54117755" w14:textId="0D2D5021" w:rsidR="00A637E0" w:rsidRDefault="00A637E0" w:rsidP="00A637E0">
      <w:pPr>
        <w:pStyle w:val="ListBullet"/>
        <w:tabs>
          <w:tab w:val="left" w:pos="284"/>
        </w:tabs>
        <w:spacing w:before="120"/>
      </w:pPr>
      <w:r>
        <w:t>launched a Walking Infrastructure Masterclass to increase capability among planners, engineers, and transport professionals to create attractive, comfortable, safe, accessible, and convenient walking environments.</w:t>
      </w:r>
    </w:p>
    <w:p w14:paraId="76A5040C" w14:textId="02D4C1E2" w:rsidR="00C44CAF" w:rsidRDefault="00A637E0" w:rsidP="00A637E0">
      <w:pPr>
        <w:pStyle w:val="MoreInformation"/>
      </w:pPr>
      <w:r>
        <w:t>For more information</w:t>
      </w:r>
      <w:r>
        <w:br/>
      </w:r>
      <w:hyperlink r:id="rId35" w:history="1">
        <w:r w:rsidR="008617C0" w:rsidRPr="008617C0">
          <w:rPr>
            <w:rStyle w:val="Hyperlink"/>
          </w:rPr>
          <w:t>https://www.tmr.qld.gov.au/Travel-and-transport/Pedestrians-and-walking/Queensland-Walking-Strategy/Action-Plan-for-Walking</w:t>
        </w:r>
      </w:hyperlink>
    </w:p>
    <w:p w14:paraId="3C5DFE1E" w14:textId="77777777" w:rsidR="00C44CAF" w:rsidRPr="00E46578" w:rsidRDefault="00C44CAF" w:rsidP="00C44CAF">
      <w:pPr>
        <w:pStyle w:val="Heading3"/>
      </w:pPr>
      <w:r>
        <w:t>Case Study</w:t>
      </w:r>
    </w:p>
    <w:p w14:paraId="7CEA98E4" w14:textId="7DC45D82" w:rsidR="00C44CAF" w:rsidRDefault="00C44CAF" w:rsidP="00C44CAF">
      <w:pPr>
        <w:pStyle w:val="Heading4"/>
      </w:pPr>
      <w:r>
        <w:t>Brisbane Valley Rail Trail becomes booming tourism asset</w:t>
      </w:r>
    </w:p>
    <w:p w14:paraId="1BBFF41E" w14:textId="77777777" w:rsidR="002F2C55" w:rsidRDefault="002F2C55" w:rsidP="002F2C55">
      <w:r>
        <w:t>The Brisbane Valley railway line ceased operation in 1993, as goods traffic declined and it became too costly to maintain. The railway corridor is 161 kilometres in length, running through four separate council areas and adjoining many private properties including farming and business operations.</w:t>
      </w:r>
    </w:p>
    <w:p w14:paraId="0D6132DE" w14:textId="5A84ED28" w:rsidR="002F2C55" w:rsidRDefault="002F2C55" w:rsidP="002F2C55">
      <w:r>
        <w:t>The Brisbane Valley Rail Trail (BVRT) was a complex project to reconstruct and maintain as a recreational rail trail. The successful conversion occurred in sections between 2003 and 2018. Each section required resurfacing, bridge reconstruction or rehabilitation, consultation and mediation for adjoining property encroachment, and management agreements for maintenance with council and community groups.</w:t>
      </w:r>
    </w:p>
    <w:p w14:paraId="5CE92D27" w14:textId="48D5A814" w:rsidR="002F2C55" w:rsidRDefault="002F2C55" w:rsidP="002F2C55">
      <w:r>
        <w:t>The BVRT is a world-class tourism asset and a potential major drawcard for national and international visitors. There has been a substantial increase in tourists to the region, which has brought welcome relief to small business operators and the rural community that has been hit hard by drought, bushfires, and COVID-19.</w:t>
      </w:r>
    </w:p>
    <w:p w14:paraId="2B6424A4" w14:textId="3ED3EA43" w:rsidR="002F2C55" w:rsidRDefault="002F2C55" w:rsidP="002F2C55">
      <w:r>
        <w:t>The BVRT will continue to provide for regional communities through increased employment and economic development opportunities. The project’s success is also inspiring enthusiastic council and community groups throughout Queensland to seek advice for opening new rail trails—for example, the recently opened Boyne to Burnett Inland Rail Trail.</w:t>
      </w:r>
    </w:p>
    <w:p w14:paraId="62CED2EC" w14:textId="77777777" w:rsidR="002D355C" w:rsidRPr="00901AC4" w:rsidRDefault="002D355C" w:rsidP="002F2C55">
      <w:pPr>
        <w:rPr>
          <w:rStyle w:val="Hyperlink"/>
          <w:color w:val="262626" w:themeColor="text1" w:themeTint="D9"/>
          <w:u w:val="none"/>
        </w:rPr>
      </w:pPr>
    </w:p>
    <w:p w14:paraId="2D0A3FF5" w14:textId="77777777" w:rsidR="006800C7" w:rsidRDefault="006800C7" w:rsidP="006800C7">
      <w:pPr>
        <w:pStyle w:val="Heading2"/>
      </w:pPr>
      <w:r>
        <w:t xml:space="preserve">Marine Infrastructure </w:t>
      </w:r>
    </w:p>
    <w:p w14:paraId="7D4477E3" w14:textId="67922D19" w:rsidR="006800C7" w:rsidRDefault="00623FD5" w:rsidP="006800C7">
      <w:pPr>
        <w:pStyle w:val="Heading4"/>
      </w:pPr>
      <w:r>
        <w:t xml:space="preserve">Cabbage Tree Creek dredging </w:t>
      </w:r>
    </w:p>
    <w:p w14:paraId="2DF31D81" w14:textId="54D5D55A" w:rsidR="006007B8" w:rsidRDefault="006007B8" w:rsidP="006007B8">
      <w:r>
        <w:t>The Cabbage Tree Creek state boat harbour is located approximately 30 kilometres north of Brisbane. TMR commenced maintenance dredging works to the entrance channel of the harbour in February 2022 and completed the works mid-2022.</w:t>
      </w:r>
    </w:p>
    <w:p w14:paraId="6EAF94CE" w14:textId="6AD1BAFC" w:rsidR="006007B8" w:rsidRDefault="006007B8" w:rsidP="006007B8">
      <w:r>
        <w:t>The dredging campaign provided significant improvements to the channel depth, which was further impacted by the flood event that occurred in South East Queensland in early-2022.</w:t>
      </w:r>
    </w:p>
    <w:p w14:paraId="22881FCB" w14:textId="529A3B00" w:rsidR="00623FD5" w:rsidRDefault="006007B8" w:rsidP="006800C7">
      <w:r>
        <w:lastRenderedPageBreak/>
        <w:t>Sediment and water quality monitoring was undertaken prior to and during the dredging to avoid any environmental impacts. The material was placed at the approved Mud Island dredging material placement area.</w:t>
      </w:r>
    </w:p>
    <w:p w14:paraId="0989383A" w14:textId="7016E458" w:rsidR="006800C7" w:rsidRDefault="006800C7" w:rsidP="006800C7">
      <w:pPr>
        <w:pStyle w:val="Heading4"/>
      </w:pPr>
      <w:r>
        <w:t>Molongle Creek dredg</w:t>
      </w:r>
      <w:r w:rsidR="008823BD">
        <w:t xml:space="preserve">ing </w:t>
      </w:r>
    </w:p>
    <w:p w14:paraId="3BA2ABC0" w14:textId="77777777" w:rsidR="00643638" w:rsidRDefault="00643638" w:rsidP="00643638">
      <w:r>
        <w:t>The Queensland Government invested in the $9 million dredging project to provide all-tide access at Molongle Creek located approximately 60 kilometres south of the Burdekin Shire.</w:t>
      </w:r>
    </w:p>
    <w:p w14:paraId="26D098A9" w14:textId="2D2C8FCD" w:rsidR="00643638" w:rsidRDefault="00643638" w:rsidP="00643638">
      <w:r>
        <w:t>The project was delivered in two stages. Stage one involved the construction of a 42-hectare dredge material disposal and rehandling facility and was completed in March 2021.</w:t>
      </w:r>
    </w:p>
    <w:p w14:paraId="7F6E9C58" w14:textId="00D602E1" w:rsidR="00643638" w:rsidRDefault="00643638" w:rsidP="00643638">
      <w:r>
        <w:t>Stage two of the project commenced mid-2021 and involved capital dredging works that removed more than 100,000 cubic metres of sediment.</w:t>
      </w:r>
    </w:p>
    <w:p w14:paraId="49331318" w14:textId="5544BD38" w:rsidR="00643638" w:rsidRPr="00B22282" w:rsidRDefault="00643638" w:rsidP="006800C7">
      <w:r>
        <w:t>The works were completed mid-2022 under strict Australian Government and Queensland Government environmental approvals. The new channel has been widened to 12 metres and deepened to provide all-tide access out to Cape Upstart and offshore waters.</w:t>
      </w:r>
    </w:p>
    <w:p w14:paraId="21489813" w14:textId="7F2A0572" w:rsidR="006800C7" w:rsidRDefault="002A1888" w:rsidP="006800C7">
      <w:pPr>
        <w:pStyle w:val="Heading4"/>
      </w:pPr>
      <w:r>
        <w:t xml:space="preserve">Upgrade to the Newell Beach boat launching facility </w:t>
      </w:r>
    </w:p>
    <w:p w14:paraId="17227E44" w14:textId="71B168A3" w:rsidR="0033296C" w:rsidRDefault="0033296C" w:rsidP="0033296C">
      <w:r>
        <w:t>The Newell Beach boat launching facility is located approximately 20 kilometres north of Port Douglas.</w:t>
      </w:r>
    </w:p>
    <w:p w14:paraId="7AEA3D4B" w14:textId="5E7C7EFB" w:rsidR="0033296C" w:rsidRDefault="0033296C" w:rsidP="0033296C">
      <w:r>
        <w:t>The project was committed to by the Queensland Government in 2017 with extensive planning, design, community consultation, and approvals undertaken to allow the onsite works to commence.</w:t>
      </w:r>
    </w:p>
    <w:p w14:paraId="005496DF" w14:textId="6408235F" w:rsidR="0033296C" w:rsidRDefault="0033296C" w:rsidP="0033296C">
      <w:r>
        <w:t>Scope of works included dredging, construction of a rock wall, boat ramp upgrade, installation of a fixed walkway, and a fishing platform at the existing boat ramp site at Rankin Street, Newell Beach.</w:t>
      </w:r>
    </w:p>
    <w:p w14:paraId="0DBF3725" w14:textId="3A978F69" w:rsidR="0033296C" w:rsidRPr="00FD4373" w:rsidRDefault="0033296C" w:rsidP="006800C7">
      <w:r>
        <w:t>The upgrade works were completed in May 2022 and provide all-tide access. The fixed walkway is best suited to the site conditions at Newell Beach, primarily for wave exposure reasons and to withstand severe weather events.</w:t>
      </w:r>
    </w:p>
    <w:p w14:paraId="5DF20778" w14:textId="77777777" w:rsidR="006800C7" w:rsidRDefault="006800C7" w:rsidP="006800C7">
      <w:pPr>
        <w:pStyle w:val="Heading4"/>
      </w:pPr>
      <w:r>
        <w:t>State boat harbours</w:t>
      </w:r>
    </w:p>
    <w:p w14:paraId="22FA42AB" w14:textId="54DF24B0" w:rsidR="00400244" w:rsidRDefault="00400244" w:rsidP="00400244">
      <w:r>
        <w:t>TMR owns and manages eight state boat harbours located at Manly, Cabbage Tree Creek (Shorncliffe), Scarborough, Mooloolaba, Snapper Creek (Tin Can Bay), Urangan (Hervey Bay), Rosslyn Bay (Yeppoon), Bowen, and Nelly Bay ferry terminal (Magnetic Island).</w:t>
      </w:r>
    </w:p>
    <w:p w14:paraId="217402EB" w14:textId="77777777" w:rsidR="00400244" w:rsidRDefault="00400244" w:rsidP="00400244">
      <w:r>
        <w:t>These assets form part of TMR’s maritime network and promote recreational and commercial boating businesses and activities, by providing a location for the maritime industry to grow and thrive.</w:t>
      </w:r>
    </w:p>
    <w:p w14:paraId="0167D8EB" w14:textId="77777777" w:rsidR="00400244" w:rsidRDefault="00400244" w:rsidP="00400244">
      <w:r>
        <w:t>The harbours provide public marine facilities for the community, such as boat ramps, pontoons, amenities, kayak washdown bays, and car-trailer unit parking.</w:t>
      </w:r>
    </w:p>
    <w:p w14:paraId="07855729" w14:textId="77777777" w:rsidR="00400244" w:rsidRDefault="00400244" w:rsidP="00400244">
      <w:r>
        <w:t>These public facilities are managed sustainably through a proactive maintenance schedule to ensure the facilities are fit for purpose, safe, compliant, and continue to meet the demands of the boating public.</w:t>
      </w:r>
    </w:p>
    <w:p w14:paraId="474B13FB" w14:textId="77777777" w:rsidR="0033296C" w:rsidRPr="00012E55" w:rsidRDefault="0033296C" w:rsidP="006800C7"/>
    <w:p w14:paraId="6F37F49D" w14:textId="77777777" w:rsidR="006800C7" w:rsidRDefault="006800C7" w:rsidP="006800C7">
      <w:pPr>
        <w:pStyle w:val="Heading2"/>
      </w:pPr>
      <w:r>
        <w:lastRenderedPageBreak/>
        <w:t>Major projects</w:t>
      </w:r>
    </w:p>
    <w:p w14:paraId="50B0294A" w14:textId="77777777" w:rsidR="006800C7" w:rsidRDefault="006800C7" w:rsidP="006800C7">
      <w:pPr>
        <w:pStyle w:val="Heading4"/>
      </w:pPr>
      <w:r>
        <w:t>Bruce Highway Upgrade Program</w:t>
      </w:r>
    </w:p>
    <w:p w14:paraId="5EBB7AB3" w14:textId="48EA2D1E" w:rsidR="001777E5" w:rsidRDefault="001777E5" w:rsidP="001777E5">
      <w:r>
        <w:t>The Australian and Queensland governments are committed to delivering a $13 billion Bruce Highway Upgrade Program over 15 years (2013–14 to 2027–28) based on an 80:20 funding arrangement.</w:t>
      </w:r>
    </w:p>
    <w:p w14:paraId="595F108C" w14:textId="77777777" w:rsidR="001777E5" w:rsidRDefault="001777E5" w:rsidP="001777E5">
      <w:r>
        <w:t>The program began in 2013 to improve safety, flood resilience and capacity on the Bruce Highway between Brisbane and Cairns. The program is now in its ninth year and 2021–22 highlights included:</w:t>
      </w:r>
    </w:p>
    <w:p w14:paraId="2F0ABDCD" w14:textId="3993D1B8" w:rsidR="001777E5" w:rsidRDefault="001777E5" w:rsidP="001777E5">
      <w:pPr>
        <w:pStyle w:val="ListBullet"/>
        <w:tabs>
          <w:tab w:val="left" w:pos="284"/>
        </w:tabs>
        <w:spacing w:before="120"/>
      </w:pPr>
      <w:r>
        <w:t>completing 432 projects</w:t>
      </w:r>
    </w:p>
    <w:p w14:paraId="4A202D60" w14:textId="40036BAF" w:rsidR="001777E5" w:rsidRDefault="001777E5" w:rsidP="001777E5">
      <w:pPr>
        <w:pStyle w:val="ListBullet"/>
        <w:tabs>
          <w:tab w:val="left" w:pos="284"/>
        </w:tabs>
        <w:spacing w:before="120"/>
      </w:pPr>
      <w:r>
        <w:t>completing six flood improvements</w:t>
      </w:r>
    </w:p>
    <w:p w14:paraId="4F7995CA" w14:textId="624A6420" w:rsidR="001777E5" w:rsidRDefault="001777E5" w:rsidP="001777E5">
      <w:pPr>
        <w:pStyle w:val="ListBullet"/>
        <w:tabs>
          <w:tab w:val="left" w:pos="284"/>
        </w:tabs>
        <w:spacing w:before="120"/>
      </w:pPr>
      <w:r>
        <w:t>delivering 86 projects in the design phase or under construction (53 construction, 33 design)</w:t>
      </w:r>
    </w:p>
    <w:p w14:paraId="06743F07" w14:textId="489A5E58" w:rsidR="001777E5" w:rsidRDefault="001777E5" w:rsidP="001777E5">
      <w:pPr>
        <w:pStyle w:val="ListBullet"/>
        <w:tabs>
          <w:tab w:val="left" w:pos="284"/>
        </w:tabs>
        <w:spacing w:before="120"/>
      </w:pPr>
      <w:r>
        <w:t>developing 33 projects in planning phase.</w:t>
      </w:r>
    </w:p>
    <w:p w14:paraId="34A29E73" w14:textId="77777777" w:rsidR="001777E5" w:rsidRDefault="001777E5" w:rsidP="001777E5">
      <w:r>
        <w:t>Key highlights included:</w:t>
      </w:r>
    </w:p>
    <w:p w14:paraId="5DA57060" w14:textId="7C841FED" w:rsidR="001777E5" w:rsidRDefault="001777E5" w:rsidP="001777E5">
      <w:pPr>
        <w:pStyle w:val="ListBullet"/>
        <w:tabs>
          <w:tab w:val="left" w:pos="284"/>
        </w:tabs>
        <w:spacing w:before="120"/>
      </w:pPr>
      <w:r>
        <w:t>installing 213 kilometres wide centre line treatment (in addition to 667 kilometres of wide centre line treatment delivered</w:t>
      </w:r>
      <w:r w:rsidR="009E5CC4">
        <w:t xml:space="preserve"> </w:t>
      </w:r>
      <w:r>
        <w:t>on the Bruce Highway under other funding programs)</w:t>
      </w:r>
    </w:p>
    <w:p w14:paraId="2ED50178" w14:textId="2CBFB3A4" w:rsidR="001777E5" w:rsidRDefault="001777E5" w:rsidP="001777E5">
      <w:pPr>
        <w:pStyle w:val="ListBullet"/>
        <w:tabs>
          <w:tab w:val="left" w:pos="284"/>
        </w:tabs>
        <w:spacing w:before="120"/>
      </w:pPr>
      <w:r>
        <w:t>installing 165 protracted right-hand turns</w:t>
      </w:r>
    </w:p>
    <w:p w14:paraId="3CA63654" w14:textId="3940E491" w:rsidR="001777E5" w:rsidRDefault="001777E5" w:rsidP="001777E5">
      <w:pPr>
        <w:pStyle w:val="ListBullet"/>
        <w:tabs>
          <w:tab w:val="left" w:pos="284"/>
        </w:tabs>
        <w:spacing w:before="120"/>
      </w:pPr>
      <w:r>
        <w:t>installing 32 signalised intersections</w:t>
      </w:r>
    </w:p>
    <w:p w14:paraId="4F7F1745" w14:textId="0E76FE14" w:rsidR="001777E5" w:rsidRDefault="001777E5" w:rsidP="001777E5">
      <w:pPr>
        <w:pStyle w:val="ListBullet"/>
        <w:tabs>
          <w:tab w:val="left" w:pos="284"/>
        </w:tabs>
        <w:spacing w:before="120"/>
      </w:pPr>
      <w:r>
        <w:t>installing 372 kilometres of roadside barriers</w:t>
      </w:r>
    </w:p>
    <w:p w14:paraId="58E1471B" w14:textId="77777777" w:rsidR="001777E5" w:rsidRDefault="001777E5" w:rsidP="001777E5">
      <w:pPr>
        <w:pStyle w:val="ListBullet"/>
        <w:tabs>
          <w:tab w:val="left" w:pos="284"/>
        </w:tabs>
        <w:spacing w:before="120"/>
      </w:pPr>
      <w:r>
        <w:t>installing 88 overtaking lanes</w:t>
      </w:r>
    </w:p>
    <w:p w14:paraId="09EBB265" w14:textId="4D55350E" w:rsidR="006800C7" w:rsidRDefault="001777E5" w:rsidP="001777E5">
      <w:pPr>
        <w:pStyle w:val="ListBullet"/>
        <w:tabs>
          <w:tab w:val="left" w:pos="284"/>
        </w:tabs>
        <w:spacing w:before="120"/>
      </w:pPr>
      <w:r>
        <w:t>duplicating 39.2 kilometres of highway.</w:t>
      </w:r>
    </w:p>
    <w:p w14:paraId="04A50EA1" w14:textId="4B2EE4DE" w:rsidR="001777E5" w:rsidRDefault="001777E5" w:rsidP="001777E5">
      <w:pPr>
        <w:pStyle w:val="ListBullet"/>
        <w:numPr>
          <w:ilvl w:val="0"/>
          <w:numId w:val="0"/>
        </w:numPr>
        <w:tabs>
          <w:tab w:val="left" w:pos="284"/>
        </w:tabs>
        <w:spacing w:before="120" w:after="0" w:line="260" w:lineRule="exact"/>
        <w:ind w:left="567" w:hanging="567"/>
      </w:pPr>
    </w:p>
    <w:p w14:paraId="37CB9B23" w14:textId="53B0FD92" w:rsidR="001777E5" w:rsidRDefault="001777E5" w:rsidP="001777E5">
      <w:pPr>
        <w:pStyle w:val="MoreInformation"/>
      </w:pPr>
      <w:r>
        <w:t>For more information</w:t>
      </w:r>
      <w:r>
        <w:br/>
      </w:r>
      <w:hyperlink r:id="rId36" w:history="1">
        <w:r w:rsidR="00105F91" w:rsidRPr="00105F91">
          <w:rPr>
            <w:rStyle w:val="Hyperlink"/>
          </w:rPr>
          <w:t>https://www.tmr.qld.gov.au/projects/programs/bruce-highway-upgrade-program</w:t>
        </w:r>
      </w:hyperlink>
    </w:p>
    <w:p w14:paraId="32278ACF" w14:textId="00007348" w:rsidR="006800C7" w:rsidRPr="00C72D24" w:rsidRDefault="00441CA2" w:rsidP="006800C7">
      <w:pPr>
        <w:pStyle w:val="Heading4"/>
      </w:pPr>
      <w:r>
        <w:t>Queensland Transport and Roads Investment Program industry briefing 2021</w:t>
      </w:r>
    </w:p>
    <w:p w14:paraId="5C3061E5" w14:textId="77777777" w:rsidR="006F235E" w:rsidRDefault="006F235E" w:rsidP="006F235E">
      <w:r>
        <w:t>In August 2021, TMR hosted the QTRIP industry briefing event. The event was delivered in a hybrid format of in-person and virtual attendees due to COVID-19 impacts.</w:t>
      </w:r>
    </w:p>
    <w:p w14:paraId="47286662" w14:textId="77777777" w:rsidR="006F235E" w:rsidRDefault="006F235E" w:rsidP="006F235E">
      <w:r>
        <w:t>The event provided industry with:</w:t>
      </w:r>
    </w:p>
    <w:p w14:paraId="73EC8F6C" w14:textId="52AEC354" w:rsidR="006F235E" w:rsidRDefault="006F235E" w:rsidP="006F235E">
      <w:pPr>
        <w:pStyle w:val="ListBullet"/>
      </w:pPr>
      <w:r>
        <w:t>an overview of QTRIP 2020–21 to 2023–24</w:t>
      </w:r>
    </w:p>
    <w:p w14:paraId="5547098F" w14:textId="2BACD720" w:rsidR="006F235E" w:rsidRDefault="006F235E" w:rsidP="006F235E">
      <w:pPr>
        <w:pStyle w:val="ListBullet"/>
      </w:pPr>
      <w:r>
        <w:t>a greater understanding of current initiatives</w:t>
      </w:r>
    </w:p>
    <w:p w14:paraId="21469F5F" w14:textId="5931180C" w:rsidR="006F235E" w:rsidRDefault="006F235E" w:rsidP="006F235E">
      <w:pPr>
        <w:pStyle w:val="ListBullet"/>
      </w:pPr>
      <w:r>
        <w:t>upcoming Transport System Planning Program, and</w:t>
      </w:r>
    </w:p>
    <w:p w14:paraId="2D5CD2FC" w14:textId="4934E8DF" w:rsidR="006F235E" w:rsidRDefault="006F235E" w:rsidP="006F235E">
      <w:pPr>
        <w:pStyle w:val="ListBullet"/>
      </w:pPr>
      <w:r>
        <w:t>updates to strategic procurement practices.</w:t>
      </w:r>
    </w:p>
    <w:p w14:paraId="4EF77DD5" w14:textId="77777777" w:rsidR="006F235E" w:rsidRDefault="006F235E" w:rsidP="006F235E">
      <w:r>
        <w:t>Region-specific presentations showcased significant projects and packages of work to be released to industry during 2021–22, the likely budgets available and the timing of the work entering the market, as well as indicative material and resource demands.</w:t>
      </w:r>
    </w:p>
    <w:p w14:paraId="07A32920" w14:textId="77777777" w:rsidR="006F235E" w:rsidRDefault="006F235E" w:rsidP="006F235E">
      <w:r>
        <w:t>This annual briefing ensures industry partners remain confident in TMR’s ability to continuously deliver a planned program of work, despite continued challenges and uncertainty being experienced across all industries.</w:t>
      </w:r>
    </w:p>
    <w:p w14:paraId="196D74D0" w14:textId="77777777" w:rsidR="006F235E" w:rsidRDefault="006F235E" w:rsidP="006F235E"/>
    <w:p w14:paraId="1DEB91FD" w14:textId="17270E48" w:rsidR="006F235E" w:rsidRDefault="006F235E" w:rsidP="006F235E">
      <w:r>
        <w:lastRenderedPageBreak/>
        <w:t>Positive feedback received from attendees demonstrated TMR’s commitment to strengthening partnerships and improving the way TMR does business.</w:t>
      </w:r>
    </w:p>
    <w:p w14:paraId="017ECC54" w14:textId="61831FD9" w:rsidR="006800C7" w:rsidRPr="00555047" w:rsidRDefault="006800C7" w:rsidP="006800C7">
      <w:pPr>
        <w:pStyle w:val="MoreInformation"/>
      </w:pPr>
      <w:r>
        <w:t xml:space="preserve">For more information </w:t>
      </w:r>
      <w:r>
        <w:br/>
      </w:r>
      <w:hyperlink r:id="rId37" w:history="1">
        <w:r w:rsidR="00181B22" w:rsidRPr="00181B22">
          <w:rPr>
            <w:rStyle w:val="Hyperlink"/>
          </w:rPr>
          <w:t>https://www.tmr.qld.gov.au/About-us/Corporate-information/Publications/Queensland-Transport-and-Roads-Investment-Program/ QTRIP-industry-briefings</w:t>
        </w:r>
      </w:hyperlink>
    </w:p>
    <w:p w14:paraId="6635D833" w14:textId="77777777" w:rsidR="006800C7" w:rsidRDefault="006800C7" w:rsidP="006800C7">
      <w:pPr>
        <w:pStyle w:val="Heading3"/>
      </w:pPr>
      <w:r>
        <w:t>Far North</w:t>
      </w:r>
    </w:p>
    <w:tbl>
      <w:tblPr>
        <w:tblStyle w:val="TMRAnnualReport2"/>
        <w:tblW w:w="8926" w:type="dxa"/>
        <w:tblLook w:val="04A0" w:firstRow="1" w:lastRow="0" w:firstColumn="1" w:lastColumn="0" w:noHBand="0" w:noVBand="1"/>
      </w:tblPr>
      <w:tblGrid>
        <w:gridCol w:w="1980"/>
        <w:gridCol w:w="1701"/>
        <w:gridCol w:w="1984"/>
        <w:gridCol w:w="1701"/>
        <w:gridCol w:w="1560"/>
      </w:tblGrid>
      <w:tr w:rsidR="006800C7" w:rsidRPr="008B5A09" w14:paraId="7085851E" w14:textId="77777777" w:rsidTr="00F31956">
        <w:trPr>
          <w:trHeight w:val="150"/>
        </w:trPr>
        <w:tc>
          <w:tcPr>
            <w:tcW w:w="1980" w:type="dxa"/>
            <w:noWrap/>
            <w:hideMark/>
          </w:tcPr>
          <w:p w14:paraId="3AB41A55" w14:textId="77777777" w:rsidR="006800C7" w:rsidRPr="004D5B03" w:rsidRDefault="006800C7" w:rsidP="00F31956">
            <w:pPr>
              <w:rPr>
                <w:b/>
                <w:bCs/>
              </w:rPr>
            </w:pPr>
            <w:r w:rsidRPr="005658BE">
              <w:rPr>
                <w:rStyle w:val="Strong"/>
              </w:rPr>
              <w:t xml:space="preserve">3155 kilometres </w:t>
            </w:r>
            <w:r>
              <w:rPr>
                <w:rStyle w:val="Strong"/>
              </w:rPr>
              <w:br/>
            </w:r>
            <w:r>
              <w:t>State-controlled</w:t>
            </w:r>
            <w:r>
              <w:br/>
              <w:t xml:space="preserve"> road</w:t>
            </w:r>
            <w:r>
              <w:rPr>
                <w:rStyle w:val="FootnoteReference"/>
              </w:rPr>
              <w:footnoteReference w:id="5"/>
            </w:r>
          </w:p>
        </w:tc>
        <w:tc>
          <w:tcPr>
            <w:tcW w:w="1701" w:type="dxa"/>
            <w:noWrap/>
            <w:hideMark/>
          </w:tcPr>
          <w:p w14:paraId="2A6307BF" w14:textId="77777777" w:rsidR="006800C7" w:rsidRPr="004D5B03" w:rsidRDefault="006800C7" w:rsidP="00F31956">
            <w:pPr>
              <w:rPr>
                <w:b/>
                <w:bCs/>
              </w:rPr>
            </w:pPr>
            <w:r w:rsidRPr="005658BE">
              <w:rPr>
                <w:rStyle w:val="Strong"/>
              </w:rPr>
              <w:t xml:space="preserve">232 kilometres </w:t>
            </w:r>
            <w:r>
              <w:t>National Land Transport Network</w:t>
            </w:r>
            <w:r>
              <w:rPr>
                <w:rStyle w:val="FootnoteReference"/>
              </w:rPr>
              <w:footnoteReference w:id="6"/>
            </w:r>
            <w:r>
              <w:t xml:space="preserve"> </w:t>
            </w:r>
          </w:p>
        </w:tc>
        <w:tc>
          <w:tcPr>
            <w:tcW w:w="1984" w:type="dxa"/>
            <w:noWrap/>
            <w:hideMark/>
          </w:tcPr>
          <w:p w14:paraId="342CEE33" w14:textId="055D83E0" w:rsidR="006800C7" w:rsidRPr="004D5B03" w:rsidRDefault="00EC45F3" w:rsidP="00F31956">
            <w:pPr>
              <w:rPr>
                <w:b/>
                <w:bCs/>
              </w:rPr>
            </w:pPr>
            <w:r>
              <w:rPr>
                <w:rStyle w:val="Strong"/>
              </w:rPr>
              <w:t>4422</w:t>
            </w:r>
            <w:r w:rsidR="006800C7" w:rsidRPr="005658BE">
              <w:rPr>
                <w:rStyle w:val="Strong"/>
              </w:rPr>
              <w:t xml:space="preserve"> </w:t>
            </w:r>
            <w:r w:rsidR="006800C7">
              <w:rPr>
                <w:rStyle w:val="Strong"/>
              </w:rPr>
              <w:br/>
            </w:r>
            <w:r w:rsidR="006800C7">
              <w:t xml:space="preserve">Vehicle and machinery registrations </w:t>
            </w:r>
          </w:p>
        </w:tc>
        <w:tc>
          <w:tcPr>
            <w:tcW w:w="1701" w:type="dxa"/>
            <w:noWrap/>
            <w:hideMark/>
          </w:tcPr>
          <w:p w14:paraId="3ABADCC4" w14:textId="548D9F02" w:rsidR="006800C7" w:rsidRPr="004D5B03" w:rsidRDefault="006800C7" w:rsidP="00F31956">
            <w:pPr>
              <w:rPr>
                <w:b/>
                <w:bCs/>
              </w:rPr>
            </w:pPr>
            <w:r w:rsidRPr="00B33E3B">
              <w:rPr>
                <w:rStyle w:val="Strong"/>
              </w:rPr>
              <w:t>9</w:t>
            </w:r>
            <w:r w:rsidR="00EC45F3">
              <w:rPr>
                <w:rStyle w:val="Strong"/>
              </w:rPr>
              <w:t>8</w:t>
            </w:r>
            <w:r w:rsidRPr="00B33E3B">
              <w:rPr>
                <w:rStyle w:val="Strong"/>
              </w:rPr>
              <w:t xml:space="preserve"> </w:t>
            </w:r>
            <w:r>
              <w:rPr>
                <w:rStyle w:val="Strong"/>
              </w:rPr>
              <w:br/>
            </w:r>
            <w:r>
              <w:t xml:space="preserve">Boating infrastructures </w:t>
            </w:r>
          </w:p>
        </w:tc>
        <w:tc>
          <w:tcPr>
            <w:tcW w:w="1560" w:type="dxa"/>
          </w:tcPr>
          <w:p w14:paraId="2DB4148F" w14:textId="74813896" w:rsidR="006800C7" w:rsidRPr="004D5B03" w:rsidRDefault="00EC45F3" w:rsidP="00F31956">
            <w:pPr>
              <w:rPr>
                <w:b/>
                <w:bCs/>
              </w:rPr>
            </w:pPr>
            <w:r>
              <w:rPr>
                <w:rStyle w:val="Strong"/>
              </w:rPr>
              <w:t>1</w:t>
            </w:r>
            <w:r w:rsidR="006800C7" w:rsidRPr="00B33E3B">
              <w:rPr>
                <w:rStyle w:val="Strong"/>
              </w:rPr>
              <w:t xml:space="preserve">2 </w:t>
            </w:r>
            <w:r w:rsidR="006800C7">
              <w:rPr>
                <w:rStyle w:val="Strong"/>
              </w:rPr>
              <w:br/>
            </w:r>
            <w:r w:rsidR="006800C7">
              <w:t>Community safety events held</w:t>
            </w:r>
          </w:p>
        </w:tc>
      </w:tr>
      <w:tr w:rsidR="006800C7" w:rsidRPr="008B5A09" w14:paraId="7ECDD897" w14:textId="77777777" w:rsidTr="00F31956">
        <w:trPr>
          <w:trHeight w:val="265"/>
        </w:trPr>
        <w:tc>
          <w:tcPr>
            <w:tcW w:w="1980" w:type="dxa"/>
            <w:noWrap/>
          </w:tcPr>
          <w:p w14:paraId="4D50C190" w14:textId="376E7E02" w:rsidR="006800C7" w:rsidRPr="000E0E1F" w:rsidRDefault="00EC45F3" w:rsidP="00F31956">
            <w:r>
              <w:rPr>
                <w:rStyle w:val="Strong"/>
              </w:rPr>
              <w:t>324,676</w:t>
            </w:r>
            <w:r w:rsidR="006800C7">
              <w:rPr>
                <w:rStyle w:val="Strong"/>
              </w:rPr>
              <w:br/>
            </w:r>
            <w:r w:rsidR="006800C7">
              <w:t xml:space="preserve">Vehicle and machinery inspections completed </w:t>
            </w:r>
          </w:p>
        </w:tc>
        <w:tc>
          <w:tcPr>
            <w:tcW w:w="1701" w:type="dxa"/>
            <w:noWrap/>
          </w:tcPr>
          <w:p w14:paraId="2E1EA048" w14:textId="77777777" w:rsidR="006800C7" w:rsidRPr="000E0E1F" w:rsidRDefault="006800C7" w:rsidP="00F31956">
            <w:r w:rsidRPr="004D5B03">
              <w:rPr>
                <w:rStyle w:val="Strong"/>
              </w:rPr>
              <w:t>324</w:t>
            </w:r>
            <w:r>
              <w:br/>
              <w:t>Bridges</w:t>
            </w:r>
            <w:r>
              <w:rPr>
                <w:rStyle w:val="FootnoteReference"/>
              </w:rPr>
              <w:footnoteReference w:id="7"/>
            </w:r>
            <w:r>
              <w:t xml:space="preserve"> </w:t>
            </w:r>
          </w:p>
        </w:tc>
        <w:tc>
          <w:tcPr>
            <w:tcW w:w="1984" w:type="dxa"/>
            <w:noWrap/>
          </w:tcPr>
          <w:p w14:paraId="67F7C45E" w14:textId="3A65CF3C" w:rsidR="006800C7" w:rsidRPr="000E0E1F" w:rsidRDefault="00EF710C" w:rsidP="00F31956">
            <w:r>
              <w:rPr>
                <w:rStyle w:val="Strong"/>
              </w:rPr>
              <w:t>9,638</w:t>
            </w:r>
            <w:r w:rsidR="006800C7">
              <w:br/>
              <w:t xml:space="preserve">Driver licence tests conducted  </w:t>
            </w:r>
          </w:p>
        </w:tc>
        <w:tc>
          <w:tcPr>
            <w:tcW w:w="1701" w:type="dxa"/>
            <w:noWrap/>
          </w:tcPr>
          <w:p w14:paraId="27353EAA" w14:textId="0DAE4687" w:rsidR="006800C7" w:rsidRPr="000E0E1F" w:rsidRDefault="006800C7" w:rsidP="00F31956">
            <w:r w:rsidRPr="00652161">
              <w:rPr>
                <w:rStyle w:val="Strong"/>
              </w:rPr>
              <w:t>2</w:t>
            </w:r>
            <w:r w:rsidR="00EF710C">
              <w:rPr>
                <w:rStyle w:val="Strong"/>
              </w:rPr>
              <w:t>10,803</w:t>
            </w:r>
            <w:r>
              <w:br/>
              <w:t xml:space="preserve">Customer face-to-face interaction </w:t>
            </w:r>
          </w:p>
        </w:tc>
        <w:tc>
          <w:tcPr>
            <w:tcW w:w="1560" w:type="dxa"/>
          </w:tcPr>
          <w:p w14:paraId="40B1C48B" w14:textId="7305B917" w:rsidR="006800C7" w:rsidRPr="00C62589" w:rsidRDefault="006800C7" w:rsidP="00F31956">
            <w:r w:rsidRPr="00652161">
              <w:rPr>
                <w:rStyle w:val="Strong"/>
              </w:rPr>
              <w:t>1</w:t>
            </w:r>
            <w:r w:rsidR="00EF710C">
              <w:rPr>
                <w:rStyle w:val="Strong"/>
              </w:rPr>
              <w:t>37</w:t>
            </w:r>
            <w:r>
              <w:br/>
              <w:t xml:space="preserve">Priority enabled intersections </w:t>
            </w:r>
          </w:p>
        </w:tc>
      </w:tr>
      <w:tr w:rsidR="006800C7" w:rsidRPr="008B5A09" w14:paraId="50854258" w14:textId="77777777" w:rsidTr="00F31956">
        <w:trPr>
          <w:trHeight w:val="265"/>
        </w:trPr>
        <w:tc>
          <w:tcPr>
            <w:tcW w:w="1980" w:type="dxa"/>
            <w:noWrap/>
          </w:tcPr>
          <w:p w14:paraId="39FB1FBA" w14:textId="77777777" w:rsidR="006800C7" w:rsidRPr="0063646C" w:rsidRDefault="006800C7" w:rsidP="00F31956">
            <w:pPr>
              <w:rPr>
                <w:rStyle w:val="Strong"/>
              </w:rPr>
            </w:pPr>
            <w:r>
              <w:t>Area covered</w:t>
            </w:r>
            <w:r>
              <w:br/>
            </w:r>
            <w:r w:rsidRPr="0063646C">
              <w:rPr>
                <w:rStyle w:val="Strong"/>
              </w:rPr>
              <w:t>272,216 square kilometres</w:t>
            </w:r>
            <w:r>
              <w:t xml:space="preserve"> </w:t>
            </w:r>
          </w:p>
        </w:tc>
        <w:tc>
          <w:tcPr>
            <w:tcW w:w="1701" w:type="dxa"/>
            <w:noWrap/>
          </w:tcPr>
          <w:p w14:paraId="71FCFA9C" w14:textId="0D07F7E8" w:rsidR="006800C7" w:rsidRPr="0063646C" w:rsidRDefault="006800C7" w:rsidP="00F31956">
            <w:pPr>
              <w:rPr>
                <w:rStyle w:val="Strong"/>
              </w:rPr>
            </w:pPr>
            <w:r>
              <w:t xml:space="preserve">Population of </w:t>
            </w:r>
            <w:r w:rsidRPr="0063646C">
              <w:rPr>
                <w:rStyle w:val="Strong"/>
              </w:rPr>
              <w:t xml:space="preserve">Queensland </w:t>
            </w:r>
            <w:r w:rsidRPr="0063646C">
              <w:rPr>
                <w:rStyle w:val="Strong"/>
              </w:rPr>
              <w:br/>
              <w:t>5.</w:t>
            </w:r>
            <w:r w:rsidR="00EF710C">
              <w:rPr>
                <w:rStyle w:val="Strong"/>
              </w:rPr>
              <w:t>56</w:t>
            </w:r>
            <w:r w:rsidRPr="0063646C">
              <w:rPr>
                <w:rStyle w:val="Strong"/>
              </w:rPr>
              <w:t>%</w:t>
            </w:r>
            <w:r w:rsidRPr="0063646C">
              <w:t xml:space="preserve"> </w:t>
            </w:r>
          </w:p>
        </w:tc>
        <w:tc>
          <w:tcPr>
            <w:tcW w:w="1984" w:type="dxa"/>
            <w:noWrap/>
          </w:tcPr>
          <w:p w14:paraId="11271CEC" w14:textId="77777777" w:rsidR="006800C7" w:rsidRDefault="006800C7" w:rsidP="00F31956"/>
        </w:tc>
        <w:tc>
          <w:tcPr>
            <w:tcW w:w="1701" w:type="dxa"/>
            <w:noWrap/>
          </w:tcPr>
          <w:p w14:paraId="248D5317" w14:textId="77777777" w:rsidR="006800C7" w:rsidRPr="000E0E1F" w:rsidRDefault="006800C7" w:rsidP="00F31956"/>
        </w:tc>
        <w:tc>
          <w:tcPr>
            <w:tcW w:w="1560" w:type="dxa"/>
          </w:tcPr>
          <w:p w14:paraId="5CB96C86" w14:textId="77777777" w:rsidR="006800C7" w:rsidRPr="00C62589" w:rsidRDefault="006800C7" w:rsidP="00F31956"/>
        </w:tc>
      </w:tr>
    </w:tbl>
    <w:p w14:paraId="234F18DD" w14:textId="77777777" w:rsidR="006800C7" w:rsidRPr="00856689" w:rsidRDefault="006800C7" w:rsidP="006800C7"/>
    <w:p w14:paraId="2C79A988" w14:textId="77777777" w:rsidR="006800C7" w:rsidRDefault="006800C7" w:rsidP="006800C7">
      <w:pPr>
        <w:pStyle w:val="Heading4"/>
      </w:pPr>
      <w:r>
        <w:t xml:space="preserve">Highlights </w:t>
      </w:r>
    </w:p>
    <w:p w14:paraId="1723058A" w14:textId="782FE5ED" w:rsidR="00B05EC2" w:rsidRPr="00B05EC2" w:rsidRDefault="00B05EC2" w:rsidP="00B05EC2">
      <w:pPr>
        <w:pStyle w:val="ListBullet"/>
      </w:pPr>
      <w:r w:rsidRPr="00B05EC2">
        <w:t>Continued work on the Cape York Region Package Stage Two program to upgrade priority land transport infrastructure and roads on the Cape York Peninsula.</w:t>
      </w:r>
    </w:p>
    <w:p w14:paraId="359837B4" w14:textId="4588CADF" w:rsidR="00B05EC2" w:rsidRPr="00B05EC2" w:rsidRDefault="00B05EC2" w:rsidP="00B05EC2">
      <w:pPr>
        <w:pStyle w:val="ListBullet"/>
      </w:pPr>
      <w:r w:rsidRPr="00B05EC2">
        <w:t>Completed construction of the Yarrabah Jetty.</w:t>
      </w:r>
    </w:p>
    <w:p w14:paraId="2B9DD38D" w14:textId="269993FA" w:rsidR="00B05EC2" w:rsidRPr="00B05EC2" w:rsidRDefault="00B05EC2" w:rsidP="00B05EC2">
      <w:pPr>
        <w:pStyle w:val="ListBullet"/>
      </w:pPr>
      <w:r w:rsidRPr="00B05EC2">
        <w:t>Continued duplication of the Bruce Highway, Cairns Southern Access Corridor (Stage Three) Edmonton to Gordonvale project.</w:t>
      </w:r>
    </w:p>
    <w:p w14:paraId="60C995EC" w14:textId="514341BF" w:rsidR="00B05EC2" w:rsidRPr="00B05EC2" w:rsidRDefault="00B05EC2" w:rsidP="00B05EC2">
      <w:pPr>
        <w:pStyle w:val="ListBullet"/>
      </w:pPr>
      <w:r w:rsidRPr="00B05EC2">
        <w:t>Progressed master planning for the Cairns Ring Road (Cairns CBD to Smithfield) project.</w:t>
      </w:r>
    </w:p>
    <w:p w14:paraId="1DD6B6A1" w14:textId="778C9F0F" w:rsidR="00B05EC2" w:rsidRPr="00B05EC2" w:rsidRDefault="00B05EC2" w:rsidP="00B05EC2">
      <w:pPr>
        <w:pStyle w:val="ListBullet"/>
      </w:pPr>
      <w:r w:rsidRPr="00B05EC2">
        <w:t>Progressed detailed design for the Cairns Western Arterial Road, Redlynch Connector Road to Captain Cook Highway, duplication project.</w:t>
      </w:r>
    </w:p>
    <w:p w14:paraId="6FE20ECC" w14:textId="6ACD76CF" w:rsidR="006800C7" w:rsidRDefault="009661DD" w:rsidP="006800C7">
      <w:pPr>
        <w:pStyle w:val="Heading4"/>
      </w:pPr>
      <w:r>
        <w:t xml:space="preserve">Bruce Highway, Cairns Southern Access Corridor (Stage Three), Edmonton to Gordonvale project </w:t>
      </w:r>
    </w:p>
    <w:p w14:paraId="15980A4A" w14:textId="135B4861" w:rsidR="00145808" w:rsidRDefault="00145808" w:rsidP="00145808">
      <w:r>
        <w:t>The $481 million Edmonton to Gordonvale project is the largest transport infrastructure project in Far North Queensland.</w:t>
      </w:r>
    </w:p>
    <w:p w14:paraId="262923D3" w14:textId="30DD2A3D" w:rsidR="00145808" w:rsidRDefault="00145808" w:rsidP="00145808">
      <w:r>
        <w:t>TMR is progressing construction of a 10.5 kilometre upgrade and duplication of the Bruce Highway between Edmonton and Gordonvale to improve safety on this section of highway by widening it to four lanes.</w:t>
      </w:r>
    </w:p>
    <w:p w14:paraId="13502ED2" w14:textId="77777777" w:rsidR="00145808" w:rsidRDefault="00145808" w:rsidP="00145808">
      <w:r>
        <w:t>This complex project includes a 4.5 kilometre realignment and upgrade of the Queensland Rail North Coast line, more than</w:t>
      </w:r>
    </w:p>
    <w:p w14:paraId="376223CA" w14:textId="53854E12" w:rsidR="00145808" w:rsidRDefault="00145808" w:rsidP="00145808">
      <w:r>
        <w:lastRenderedPageBreak/>
        <w:t>10 kilometres of new service roads, new road and rail bridges, a pedestrian overpass, a road overpass, a dedicated high-speed off-road cycleway, and relocation of cane rail.</w:t>
      </w:r>
    </w:p>
    <w:p w14:paraId="6AFF343E" w14:textId="3572E103" w:rsidR="00145808" w:rsidRDefault="00145808" w:rsidP="00145808">
      <w:r>
        <w:t>Public submissions were invited to name project infrastructure, with 10 names announced in February 2022, five in the Yidinji dialect, reflecting the area’s rich history and First Nations culture.</w:t>
      </w:r>
    </w:p>
    <w:p w14:paraId="63137B15" w14:textId="5B841A7E" w:rsidR="00145808" w:rsidRDefault="00145808" w:rsidP="00145808">
      <w:r>
        <w:t>The project is jointly funded by the Australian and Queensland governments on an 80:20 basis and is expected to be completed by mid-2023, weather permitting.</w:t>
      </w:r>
    </w:p>
    <w:p w14:paraId="45F368F1" w14:textId="392A967F" w:rsidR="00145808" w:rsidRDefault="0033178E" w:rsidP="006B226A">
      <w:pPr>
        <w:pStyle w:val="MoreInformation"/>
      </w:pPr>
      <w:r>
        <w:t xml:space="preserve">For more information </w:t>
      </w:r>
      <w:r>
        <w:br/>
      </w:r>
      <w:hyperlink r:id="rId38" w:history="1">
        <w:r w:rsidR="006B226A" w:rsidRPr="006B226A">
          <w:rPr>
            <w:rStyle w:val="Hyperlink"/>
          </w:rPr>
          <w:t>https://www.tmr.qld.gov.au/projects/Bruce-Highway-Cairns-Southern-Access-Corridor-Stage-3-Edmonton-to-Gordonvale</w:t>
        </w:r>
      </w:hyperlink>
    </w:p>
    <w:p w14:paraId="283B3AE2" w14:textId="049D061C" w:rsidR="006800C7" w:rsidRPr="00D40AE4" w:rsidRDefault="006B226A" w:rsidP="006800C7">
      <w:pPr>
        <w:pStyle w:val="Heading4"/>
      </w:pPr>
      <w:r>
        <w:t xml:space="preserve">Cairns Ring Road (Cairns CBD to Smithfield) </w:t>
      </w:r>
    </w:p>
    <w:p w14:paraId="343C0DAD" w14:textId="112C687B" w:rsidR="001E4FEC" w:rsidRDefault="001E4FEC" w:rsidP="001E4FEC">
      <w:r>
        <w:t>The $359 million Cairns Ring Road project will reduce travel times, improve safety, and increase capacity on the Captain Cook Highway between the Cairns CBD in the south and Smithfield in the north.</w:t>
      </w:r>
    </w:p>
    <w:p w14:paraId="429A548E" w14:textId="6C7E730A" w:rsidR="001E4FEC" w:rsidRDefault="001E4FEC" w:rsidP="001E4FEC">
      <w:r>
        <w:t>The project builds on the success of the Smithfield Bypass and Cairns Western Arterial Road, Harley Street intersection upgrades.</w:t>
      </w:r>
    </w:p>
    <w:p w14:paraId="6BDBB7D3" w14:textId="7AC857E4" w:rsidR="001E4FEC" w:rsidRDefault="001E4FEC" w:rsidP="001E4FEC">
      <w:r>
        <w:t>Master planning for the project is underway and expected to be completed in mid to late-2023. A program of construction timeframes will be developed once the staging options are identified.</w:t>
      </w:r>
    </w:p>
    <w:p w14:paraId="03DA2D55" w14:textId="76889754" w:rsidR="001E4FEC" w:rsidRDefault="001E4FEC" w:rsidP="001E4FEC">
      <w:r>
        <w:t>Upgrades will include road widening, intersection upgrades, intelligent transport systems, and improvements for active and public transport.</w:t>
      </w:r>
    </w:p>
    <w:p w14:paraId="77832A0B" w14:textId="6409D185" w:rsidR="006B226A" w:rsidRDefault="001E4FEC" w:rsidP="001E4FEC">
      <w:r>
        <w:t>The project is jointly funded by the Australian and Queensland governments on an 80:20 basis.</w:t>
      </w:r>
    </w:p>
    <w:p w14:paraId="274FCD2E" w14:textId="360352FE" w:rsidR="00754405" w:rsidRDefault="00754405" w:rsidP="00754405">
      <w:pPr>
        <w:pStyle w:val="MoreInformation"/>
      </w:pPr>
      <w:r>
        <w:t xml:space="preserve">For more information </w:t>
      </w:r>
      <w:r>
        <w:br/>
      </w:r>
      <w:hyperlink r:id="rId39" w:history="1">
        <w:r w:rsidR="00346861" w:rsidRPr="00346861">
          <w:rPr>
            <w:rStyle w:val="Hyperlink"/>
          </w:rPr>
          <w:t>https://www.tmr.qld.gov.au/projects/cairns-ring-road-cairns-cbd-to-smithfield</w:t>
        </w:r>
      </w:hyperlink>
    </w:p>
    <w:p w14:paraId="4C9068B2" w14:textId="77777777" w:rsidR="00802C1A" w:rsidRPr="00E46578" w:rsidRDefault="00802C1A" w:rsidP="00802C1A">
      <w:pPr>
        <w:pStyle w:val="Heading3"/>
      </w:pPr>
      <w:r>
        <w:t>Case Study</w:t>
      </w:r>
    </w:p>
    <w:p w14:paraId="5B0D5000" w14:textId="65B417D8" w:rsidR="00802C1A" w:rsidRDefault="007837F8" w:rsidP="00802C1A">
      <w:pPr>
        <w:pStyle w:val="Heading4"/>
      </w:pPr>
      <w:r>
        <w:t xml:space="preserve">Milestones reached in far north's largest road and rail project </w:t>
      </w:r>
    </w:p>
    <w:p w14:paraId="01FEA680" w14:textId="77777777" w:rsidR="00C830AC" w:rsidRDefault="00C830AC" w:rsidP="00C830AC">
      <w:r>
        <w:t>Stage Three of the Cairns Southern Access Corridor upgrade on the Bruce Highway in Far North District has passed significant milestones.</w:t>
      </w:r>
    </w:p>
    <w:p w14:paraId="21463ED0" w14:textId="77777777" w:rsidR="00C830AC" w:rsidRDefault="00C830AC" w:rsidP="00C830AC">
      <w:r>
        <w:t>In collaboration with key industry stakeholders, MSF Sugar, cane growers, landowners, and cane farming contractors, the cane rail infrastructure included construction of six new cane rail sidings, reconstruction of key cane rail links between the southern network at Gordonvale and northern network at Redlynch, and two new cane rail signals.</w:t>
      </w:r>
    </w:p>
    <w:p w14:paraId="1EE481E4" w14:textId="77777777" w:rsidR="00C830AC" w:rsidRDefault="00C830AC" w:rsidP="00C830AC">
      <w:r>
        <w:t>With all cane rail works required to be completed by June 2021, wet weather delayed works commencing until late January 2021 and wet weather in April and May again delayed works. Fortnightly meetings held between TMR, HSA Group and MSF Sugar assisted in planning and rescheduling works over the reduced construction period.</w:t>
      </w:r>
    </w:p>
    <w:p w14:paraId="1EFFF328" w14:textId="3F57C784" w:rsidR="006B226A" w:rsidRDefault="00C830AC" w:rsidP="00C830AC">
      <w:r>
        <w:t>Regular one-on-one meetings with cane growers, landowners and harvest contractors were also held to coordinate works and through close consultation with all stakeholders the cane harvest season commenced on time.</w:t>
      </w:r>
    </w:p>
    <w:p w14:paraId="3685E492" w14:textId="03067BED" w:rsidR="006800C7" w:rsidRPr="00ED09C4" w:rsidRDefault="00C830AC" w:rsidP="006800C7">
      <w:pPr>
        <w:pStyle w:val="Heading4"/>
      </w:pPr>
      <w:r>
        <w:lastRenderedPageBreak/>
        <w:t xml:space="preserve">Cairns Western Arterial Road, Redlynch Connector Road to Captain Cook Highway, duplication </w:t>
      </w:r>
    </w:p>
    <w:p w14:paraId="0261BA28" w14:textId="70DD70CA" w:rsidR="006E361D" w:rsidRDefault="006E361D" w:rsidP="006E361D">
      <w:r>
        <w:t>TMR is progressing detailed design for the $300 million Cairns Western Arterial Road, Redlynch Connector Road to Captain Cook Highway, duplication project.</w:t>
      </w:r>
    </w:p>
    <w:p w14:paraId="00066CCA" w14:textId="0DAD94E0" w:rsidR="006E361D" w:rsidRDefault="006E361D" w:rsidP="006E361D">
      <w:r>
        <w:t>Construction will occur in three stages with Stage One (Lake Placid Road to Captain Cook Highway) commencing in mid-2023, weather permitting. Construction schedules for Stage Two (Redlynch Connector Road to Harley Street) and Stage Three (Harley Street to Lake Placid Road) will be determined after detailed design is complete.</w:t>
      </w:r>
    </w:p>
    <w:p w14:paraId="2E868E72" w14:textId="5C0AC940" w:rsidR="006E361D" w:rsidRDefault="006E361D" w:rsidP="006E361D">
      <w:r>
        <w:t>The project will duplicate the rail overpass at Redlynch and the Kamerunga Bridge over the Barron River. It will also duplicate the remaining single lane sections of Cairns Western Arterial Road—between Redlynch Connector Road and the Captain Cook Highway—to a four-lane dual carriageway.</w:t>
      </w:r>
    </w:p>
    <w:p w14:paraId="6670A032" w14:textId="6B3C919A" w:rsidR="00C830AC" w:rsidRDefault="006E361D" w:rsidP="006800C7">
      <w:r>
        <w:t>The project is jointly funded by the Australian and Queensland governments on an 80:20 basis.</w:t>
      </w:r>
    </w:p>
    <w:p w14:paraId="60E03DD3" w14:textId="0028A2E7" w:rsidR="006800C7" w:rsidRPr="00577EB7" w:rsidRDefault="002B294F" w:rsidP="002B294F">
      <w:pPr>
        <w:pStyle w:val="Heading4"/>
      </w:pPr>
      <w:r>
        <w:t xml:space="preserve">Cape York </w:t>
      </w:r>
      <w:r w:rsidR="005138FC">
        <w:t xml:space="preserve">Region Package Stage Two </w:t>
      </w:r>
    </w:p>
    <w:p w14:paraId="13D8214E" w14:textId="36ABA109" w:rsidR="008D773A" w:rsidRDefault="008D773A" w:rsidP="008D773A">
      <w:r>
        <w:t>Cape York Region Package Stage Two is a $237.5 million program of works to upgrade priority land transport infrastructure and roads on the Cape York Peninsula between 2019–20 and 2023–24.</w:t>
      </w:r>
    </w:p>
    <w:p w14:paraId="56D9F0F3" w14:textId="16520F60" w:rsidR="008D773A" w:rsidRDefault="008D773A" w:rsidP="008D773A">
      <w:r>
        <w:t>The Kennedy to Rocky Creek project reached practical completion in August 2021, sealing about 11.2 kilometres of the Peninsula Developmental Road north of Laura.</w:t>
      </w:r>
    </w:p>
    <w:p w14:paraId="721D62EC" w14:textId="6EFFD306" w:rsidR="008D773A" w:rsidRDefault="008D773A" w:rsidP="008D773A">
      <w:r>
        <w:t>Two projects to extend the seal on the Aurukun Access Road were completed in December 2021, sealing about 14 kilometres of crucial primary access for the remote community of Aurukun.</w:t>
      </w:r>
    </w:p>
    <w:p w14:paraId="117B40C3" w14:textId="24FCD20F" w:rsidR="008D773A" w:rsidRDefault="008D773A" w:rsidP="008D773A">
      <w:r>
        <w:t>TMR also progressed the delivery of the Musgrave to Red Blanket (Part A), Archer River Crossing Southern Approach and Merluna to York Downs (Part B) projects.</w:t>
      </w:r>
    </w:p>
    <w:p w14:paraId="290DC05C" w14:textId="2EF2D997" w:rsidR="008D773A" w:rsidRDefault="008D773A" w:rsidP="008D773A">
      <w:r>
        <w:t>In April 2022, TMR awarded a contract for construction of a new bridge over Archer River, which will significantly improve safety and flood immunity for road users and the local community.</w:t>
      </w:r>
    </w:p>
    <w:p w14:paraId="2713EB4A" w14:textId="531B50B2" w:rsidR="008844CA" w:rsidRPr="001E224C" w:rsidRDefault="008D773A" w:rsidP="006800C7">
      <w:r>
        <w:t>The CYRP Stage Two project is jointly funded by the Australian and Queensland governments on an 80:20 basis and is programmed for completion in mid-2024.</w:t>
      </w:r>
    </w:p>
    <w:p w14:paraId="731ACAED" w14:textId="61146048" w:rsidR="008D773A" w:rsidRPr="00251D23" w:rsidRDefault="006800C7" w:rsidP="006800C7">
      <w:pPr>
        <w:pStyle w:val="MoreInformation"/>
        <w:rPr>
          <w:color w:val="404040" w:themeColor="text1" w:themeTint="BF"/>
          <w:u w:val="single"/>
        </w:rPr>
      </w:pPr>
      <w:r>
        <w:lastRenderedPageBreak/>
        <w:t>For more information</w:t>
      </w:r>
      <w:r>
        <w:br/>
      </w:r>
      <w:hyperlink r:id="rId40" w:history="1">
        <w:r w:rsidR="00251D23" w:rsidRPr="00251D23">
          <w:rPr>
            <w:rStyle w:val="Hyperlink"/>
          </w:rPr>
          <w:t>https://www.tmr.qld.gov.au/projects/cape-york-region-package-stage-2</w:t>
        </w:r>
      </w:hyperlink>
    </w:p>
    <w:p w14:paraId="6896319A" w14:textId="77777777" w:rsidR="00251D23" w:rsidRPr="00E46578" w:rsidRDefault="00251D23" w:rsidP="00251D23">
      <w:pPr>
        <w:pStyle w:val="Heading3"/>
      </w:pPr>
      <w:r>
        <w:t>Case Study</w:t>
      </w:r>
    </w:p>
    <w:p w14:paraId="64F9CD4A" w14:textId="592E571F" w:rsidR="00251D23" w:rsidRDefault="00251D23" w:rsidP="00251D23">
      <w:pPr>
        <w:pStyle w:val="Heading4"/>
      </w:pPr>
      <w:r>
        <w:t xml:space="preserve">Yarrabah local artist's work brings local jetty to life </w:t>
      </w:r>
    </w:p>
    <w:p w14:paraId="035EE4DE" w14:textId="77777777" w:rsidR="00BA4993" w:rsidRPr="00BA4993" w:rsidRDefault="00BA4993" w:rsidP="00BA4993">
      <w:pPr>
        <w:pStyle w:val="Heading4"/>
        <w:rPr>
          <w:iCs w:val="0"/>
          <w:color w:val="262626" w:themeColor="text1" w:themeTint="D9"/>
          <w:sz w:val="18"/>
        </w:rPr>
      </w:pPr>
      <w:r w:rsidRPr="00BA4993">
        <w:rPr>
          <w:iCs w:val="0"/>
          <w:color w:val="262626" w:themeColor="text1" w:themeTint="D9"/>
          <w:sz w:val="18"/>
        </w:rPr>
        <w:t>In early-2022, crews applied the finishing touches to the new Yarrabah jetty and associated land-based infrastructure in the Aboriginal community of Yarrabah, south of Cairns in Far North Queensland.</w:t>
      </w:r>
    </w:p>
    <w:p w14:paraId="6A7ECD9F" w14:textId="77777777" w:rsidR="00BA4993" w:rsidRPr="00BA4993" w:rsidRDefault="00BA4993" w:rsidP="00BA4993">
      <w:pPr>
        <w:pStyle w:val="Heading4"/>
        <w:rPr>
          <w:iCs w:val="0"/>
          <w:color w:val="262626" w:themeColor="text1" w:themeTint="D9"/>
          <w:sz w:val="18"/>
        </w:rPr>
      </w:pPr>
      <w:r w:rsidRPr="00BA4993">
        <w:rPr>
          <w:iCs w:val="0"/>
          <w:color w:val="262626" w:themeColor="text1" w:themeTint="D9"/>
          <w:sz w:val="18"/>
        </w:rPr>
        <w:t>Since the project’s initiation, TMR identified the need for close engagement with the people of Yarrabah to ensure the project delivered infrastructure that met the needs of the community. To achieve this, TMR sought opportunities to make the project unique to Yarrabah and its culture.</w:t>
      </w:r>
    </w:p>
    <w:p w14:paraId="1976B7D1" w14:textId="2DBBEDBF" w:rsidR="00BA4993" w:rsidRPr="00BA4993" w:rsidRDefault="00BA4993" w:rsidP="00BA4993">
      <w:pPr>
        <w:pStyle w:val="Heading4"/>
        <w:rPr>
          <w:iCs w:val="0"/>
          <w:color w:val="262626" w:themeColor="text1" w:themeTint="D9"/>
          <w:sz w:val="18"/>
        </w:rPr>
      </w:pPr>
      <w:r w:rsidRPr="00BA4993">
        <w:rPr>
          <w:iCs w:val="0"/>
          <w:color w:val="262626" w:themeColor="text1" w:themeTint="D9"/>
          <w:sz w:val="18"/>
        </w:rPr>
        <w:t>The local fauna of Yarrabah is an important part of the identity of the local Gunggandji Traditional Owners. To recognise this, the project team engaged a Gunggandji artist to develop original artworks depicting culturally significant fauna. The artworks have been permanently stencilled into the jetty’s concrete deck to provide a unique aesthetic</w:t>
      </w:r>
      <w:r>
        <w:rPr>
          <w:iCs w:val="0"/>
          <w:color w:val="262626" w:themeColor="text1" w:themeTint="D9"/>
          <w:sz w:val="18"/>
        </w:rPr>
        <w:t xml:space="preserve"> </w:t>
      </w:r>
      <w:r w:rsidRPr="00BA4993">
        <w:rPr>
          <w:iCs w:val="0"/>
          <w:color w:val="262626" w:themeColor="text1" w:themeTint="D9"/>
          <w:sz w:val="18"/>
        </w:rPr>
        <w:t>and visual connection to Gunggandji totems. The original artworks were also incorporated into project signage, which included stories featuring the totems and their cultural significance to the Gunggandji people.</w:t>
      </w:r>
    </w:p>
    <w:p w14:paraId="06EA60F4" w14:textId="39804B0F" w:rsidR="00251D23" w:rsidRDefault="00BA4993" w:rsidP="006800C7">
      <w:pPr>
        <w:pStyle w:val="Heading4"/>
      </w:pPr>
      <w:r w:rsidRPr="00BA4993">
        <w:rPr>
          <w:iCs w:val="0"/>
          <w:color w:val="262626" w:themeColor="text1" w:themeTint="D9"/>
          <w:sz w:val="18"/>
        </w:rPr>
        <w:t>By recognising the Gunggandji Traditional Owners’ special connection to country and incorporating that sense</w:t>
      </w:r>
      <w:r>
        <w:rPr>
          <w:iCs w:val="0"/>
          <w:color w:val="262626" w:themeColor="text1" w:themeTint="D9"/>
          <w:sz w:val="18"/>
        </w:rPr>
        <w:t xml:space="preserve"> </w:t>
      </w:r>
      <w:r w:rsidRPr="00BA4993">
        <w:rPr>
          <w:iCs w:val="0"/>
          <w:color w:val="262626" w:themeColor="text1" w:themeTint="D9"/>
          <w:sz w:val="18"/>
        </w:rPr>
        <w:t>of connection into the jetty design, a ‘fit for purpose’ infrastructure solution was delivered and strengthened the department’s relationship with the local community.</w:t>
      </w:r>
    </w:p>
    <w:p w14:paraId="10509F05" w14:textId="7E9A7794" w:rsidR="006800C7" w:rsidRPr="00DE50CC" w:rsidRDefault="006800C7" w:rsidP="006800C7">
      <w:pPr>
        <w:pStyle w:val="Heading4"/>
      </w:pPr>
      <w:r>
        <w:t>Local Fare Scheme</w:t>
      </w:r>
    </w:p>
    <w:p w14:paraId="7B47647A" w14:textId="0C18975F" w:rsidR="00AE3AB4" w:rsidRDefault="00AE3AB4" w:rsidP="00AE3AB4">
      <w:r>
        <w:t>The Local Fare Scheme (LFS) is an airfare subsidy program that has been in place since 2015. The LFS is aimed at improving social connectivity and access to essential services for residents in remote parts of Far North Queensland. The scheme is administered in collaboration with participating airlines and in partnership with local councils throughout Cape York, the Torres Strait and selected location in the Gulf of Carpentaria.</w:t>
      </w:r>
    </w:p>
    <w:p w14:paraId="7CE684EB" w14:textId="77777777" w:rsidR="00AE3AB4" w:rsidRDefault="00AE3AB4" w:rsidP="00AE3AB4">
      <w:r>
        <w:t>From 1 July 2022 the LFS has been revised to provide additional benefits for customers after consultation with key stakeholders. The scheme has also been extended for 6 years until 30 June 2028, providing much needed certainty for the people who gain benefit from the scheme.</w:t>
      </w:r>
    </w:p>
    <w:p w14:paraId="32861B17" w14:textId="77777777" w:rsidR="00AE3AB4" w:rsidRDefault="00AE3AB4" w:rsidP="00AE3AB4">
      <w:r>
        <w:t>The updated scheme features the following benefits:</w:t>
      </w:r>
    </w:p>
    <w:p w14:paraId="5DCA1499" w14:textId="41733246" w:rsidR="00AE3AB4" w:rsidRDefault="00AE3AB4" w:rsidP="00AE3AB4">
      <w:pPr>
        <w:pStyle w:val="ListBullet"/>
      </w:pPr>
      <w:r>
        <w:t>One-way fares can now be booked, allowing much greater flexibility for travel and payment with up to $200 discount per one-way flight.</w:t>
      </w:r>
    </w:p>
    <w:p w14:paraId="2C852A38" w14:textId="27DABA1A" w:rsidR="00AE3AB4" w:rsidRDefault="00AE3AB4" w:rsidP="00AE3AB4">
      <w:pPr>
        <w:pStyle w:val="ListBullet"/>
      </w:pPr>
      <w:r>
        <w:t>Passengers can now travel throughout the LFS region allowing travel to all locations within the scheme which is particularly beneficial to eligible residents in remote locations.</w:t>
      </w:r>
    </w:p>
    <w:p w14:paraId="0BB16AC2" w14:textId="74ACDC32" w:rsidR="00AE3AB4" w:rsidRDefault="00AE3AB4" w:rsidP="00AE3AB4">
      <w:pPr>
        <w:pStyle w:val="ListBullet"/>
      </w:pPr>
      <w:r>
        <w:t>A reduced eligibility period has been introduced which means people only need to be residents in the LFS region for 12 months instead of three years in order to be eligible for the scheme benefits (with the exception of Weipa which remains at three years).</w:t>
      </w:r>
    </w:p>
    <w:p w14:paraId="305941BC" w14:textId="56C7D389" w:rsidR="00AE3AB4" w:rsidRDefault="00AE3AB4" w:rsidP="00AE3AB4">
      <w:pPr>
        <w:pStyle w:val="ListBullet"/>
      </w:pPr>
      <w:r>
        <w:t>Eligible residents can now take their eligibility paperwork with them and continue accessing the scheme when moving from one community to another.</w:t>
      </w:r>
    </w:p>
    <w:p w14:paraId="6B3B980B" w14:textId="05B4480A" w:rsidR="00AE3AB4" w:rsidRDefault="00AE3AB4" w:rsidP="00AE3AB4">
      <w:pPr>
        <w:pStyle w:val="ListBullet"/>
      </w:pPr>
      <w:r>
        <w:t>Bookings will now be able to be made online or by phone.</w:t>
      </w:r>
    </w:p>
    <w:p w14:paraId="6844DA86" w14:textId="77777777" w:rsidR="00AE3AB4" w:rsidRDefault="00AE3AB4" w:rsidP="00AE3AB4"/>
    <w:p w14:paraId="7017E470" w14:textId="6DDB4EC3" w:rsidR="00AE3AB4" w:rsidRDefault="00AE3AB4" w:rsidP="00AE3AB4">
      <w:r>
        <w:lastRenderedPageBreak/>
        <w:t>The changes introduced from 1 July 2022 will greatly benefit the users of scheme by providing greater flexibility in travel and payment options and reduced restrictions and administration.</w:t>
      </w:r>
      <w:r w:rsidR="0099781B">
        <w:t xml:space="preserve"> </w:t>
      </w:r>
      <w:r>
        <w:t>The residents of the most remote communities in the outer Torres Strait Islands will gain a positive benefit from the changes, being able to access subsidised fares on flights connecting through to Cairns for the first time.</w:t>
      </w:r>
    </w:p>
    <w:p w14:paraId="23A3FE8B" w14:textId="18764D86" w:rsidR="00AE3AB4" w:rsidRDefault="00AE3AB4" w:rsidP="00AE3AB4">
      <w:r>
        <w:t>The Scheme will continue to provide assistance to residents of the Mount Isa Renal unit and the Lena Passi Women’s shelter with subsidised trips to their home communities and, in collaboration with the Cairns Police, will provide assistance to residents wishing to return to their home communities from Cairns.</w:t>
      </w:r>
    </w:p>
    <w:p w14:paraId="04D18BAC" w14:textId="33AA030A" w:rsidR="00AE3AB4" w:rsidRDefault="00AE3AB4" w:rsidP="00AE3AB4">
      <w:r>
        <w:t>Approximately 23,500 LFS trips were booked in 2021–22, an increase on the prior year of about 12 per cent.</w:t>
      </w:r>
    </w:p>
    <w:p w14:paraId="30CD0CF3" w14:textId="75E7E840" w:rsidR="00AE3AB4" w:rsidRPr="007066E0" w:rsidRDefault="00AE3AB4" w:rsidP="00AE3AB4">
      <w:r>
        <w:t>While the 2021–22 numbers are still approximately 18 per cent below the pre-COVID numbers of the 2018–19 year, bookings continue to increase and a substantial increase in travel is forecast in the 2022–23 year as people take advantage of the more relaxed travel and eligibility conditions introduced on 1 July 2022.</w:t>
      </w:r>
    </w:p>
    <w:p w14:paraId="3EF4A5DB" w14:textId="1C18C20B" w:rsidR="006C64E2" w:rsidRDefault="006800C7" w:rsidP="006800C7">
      <w:pPr>
        <w:pStyle w:val="MoreInformation"/>
      </w:pPr>
      <w:r>
        <w:t>For more information</w:t>
      </w:r>
      <w:r>
        <w:br/>
      </w:r>
      <w:hyperlink r:id="rId41" w:history="1">
        <w:r w:rsidR="006C64E2" w:rsidRPr="006C64E2">
          <w:rPr>
            <w:rStyle w:val="Hyperlink"/>
          </w:rPr>
          <w:t>https://www.tmr.qld.gov.au/Travel-and-transport/Local-Fare-Scheme-Far-North-Queensland.aspx</w:t>
        </w:r>
      </w:hyperlink>
    </w:p>
    <w:p w14:paraId="17524FFC" w14:textId="0F31FABF" w:rsidR="006800C7" w:rsidRPr="00C058F0" w:rsidRDefault="009E6A2C" w:rsidP="006800C7">
      <w:pPr>
        <w:pStyle w:val="Heading4"/>
      </w:pPr>
      <w:r>
        <w:t xml:space="preserve">Yarrabah Jetty </w:t>
      </w:r>
    </w:p>
    <w:p w14:paraId="7F82AB4D" w14:textId="77777777" w:rsidR="00D17BCB" w:rsidRDefault="00D17BCB" w:rsidP="00D17BCB">
      <w:r>
        <w:t>Construction of the 165-metre-long Yarrabah Jetty was completed in April 2022.</w:t>
      </w:r>
    </w:p>
    <w:p w14:paraId="44987AEB" w14:textId="77777777" w:rsidR="00D17BCB" w:rsidRDefault="00D17BCB" w:rsidP="00D17BCB">
      <w:r>
        <w:t>The new jetty infrastructure provides the Yarrabah community with improved access to marine activities and includes a floating pontoon to maximise accessibility during varying tides in Mission Bay.</w:t>
      </w:r>
    </w:p>
    <w:p w14:paraId="0F3D1E6D" w14:textId="77777777" w:rsidR="00D17BCB" w:rsidRDefault="00D17BCB" w:rsidP="00D17BCB">
      <w:r>
        <w:t>TMR in consultation with Yarrabah Aboriginal Shire Council and the local community successfully implemented strategies to provide the community with economic and job opportunities during planning and construction.</w:t>
      </w:r>
    </w:p>
    <w:p w14:paraId="36C4EFC0" w14:textId="77777777" w:rsidR="00D17BCB" w:rsidRDefault="00D17BCB" w:rsidP="00D17BCB">
      <w:r>
        <w:t>Initiatives included employment and local business opportunities, in sea and land monitoring, equipment hire, and the inclusion of locally produced art installations.</w:t>
      </w:r>
    </w:p>
    <w:p w14:paraId="14BAB9B0" w14:textId="3C2E5C69" w:rsidR="009E6A2C" w:rsidRDefault="00D17BCB" w:rsidP="00D17BCB">
      <w:r>
        <w:t>The project was fully funded by the Queensland Government.</w:t>
      </w:r>
    </w:p>
    <w:p w14:paraId="52EEB3DA" w14:textId="5181D3F0" w:rsidR="00D17BCB" w:rsidRDefault="00D17BCB" w:rsidP="00D17BCB">
      <w:pPr>
        <w:pStyle w:val="MoreInformation"/>
      </w:pPr>
      <w:r>
        <w:t>For more information</w:t>
      </w:r>
      <w:r>
        <w:br/>
      </w:r>
      <w:hyperlink r:id="rId42" w:history="1">
        <w:r w:rsidR="00C546C8" w:rsidRPr="00C546C8">
          <w:rPr>
            <w:rStyle w:val="Hyperlink"/>
          </w:rPr>
          <w:t>https://www.tmr.qld.gov.au/projects/yarrabah-jetty-design-and-construct</w:t>
        </w:r>
      </w:hyperlink>
    </w:p>
    <w:p w14:paraId="631166C0" w14:textId="77777777" w:rsidR="006800C7" w:rsidRDefault="006800C7" w:rsidP="006800C7">
      <w:pPr>
        <w:pStyle w:val="Heading3"/>
      </w:pPr>
      <w:r>
        <w:t xml:space="preserve">North West </w:t>
      </w:r>
    </w:p>
    <w:tbl>
      <w:tblPr>
        <w:tblStyle w:val="TMRAnnualReport2"/>
        <w:tblW w:w="8926" w:type="dxa"/>
        <w:tblLook w:val="04A0" w:firstRow="1" w:lastRow="0" w:firstColumn="1" w:lastColumn="0" w:noHBand="0" w:noVBand="1"/>
      </w:tblPr>
      <w:tblGrid>
        <w:gridCol w:w="1980"/>
        <w:gridCol w:w="1701"/>
        <w:gridCol w:w="1984"/>
        <w:gridCol w:w="1701"/>
        <w:gridCol w:w="1560"/>
      </w:tblGrid>
      <w:tr w:rsidR="006800C7" w:rsidRPr="008B5A09" w14:paraId="165F7300" w14:textId="77777777" w:rsidTr="00F31956">
        <w:trPr>
          <w:trHeight w:val="150"/>
        </w:trPr>
        <w:tc>
          <w:tcPr>
            <w:tcW w:w="1980" w:type="dxa"/>
            <w:noWrap/>
            <w:hideMark/>
          </w:tcPr>
          <w:p w14:paraId="2D9FBF0C" w14:textId="77777777" w:rsidR="006800C7" w:rsidRPr="00B2323E" w:rsidRDefault="006800C7" w:rsidP="00F31956">
            <w:r>
              <w:rPr>
                <w:rStyle w:val="Strong"/>
              </w:rPr>
              <w:t>3576</w:t>
            </w:r>
            <w:r w:rsidRPr="00B2323E">
              <w:rPr>
                <w:rStyle w:val="Strong"/>
              </w:rPr>
              <w:t xml:space="preserve"> kilometres </w:t>
            </w:r>
            <w:r w:rsidRPr="00B2323E">
              <w:rPr>
                <w:rStyle w:val="Strong"/>
              </w:rPr>
              <w:br/>
            </w:r>
            <w:r w:rsidRPr="00B2323E">
              <w:t>State-controlled</w:t>
            </w:r>
            <w:r w:rsidRPr="00B2323E">
              <w:br/>
              <w:t xml:space="preserve"> road</w:t>
            </w:r>
            <w:r w:rsidRPr="00B2323E">
              <w:rPr>
                <w:rStyle w:val="FootnoteReference"/>
              </w:rPr>
              <w:footnoteReference w:id="8"/>
            </w:r>
          </w:p>
        </w:tc>
        <w:tc>
          <w:tcPr>
            <w:tcW w:w="1701" w:type="dxa"/>
            <w:noWrap/>
            <w:hideMark/>
          </w:tcPr>
          <w:p w14:paraId="64710D64" w14:textId="77777777" w:rsidR="006800C7" w:rsidRPr="00B2323E" w:rsidRDefault="006800C7" w:rsidP="00F31956">
            <w:r>
              <w:rPr>
                <w:rStyle w:val="Strong"/>
              </w:rPr>
              <w:t>1024</w:t>
            </w:r>
            <w:r w:rsidRPr="005658BE">
              <w:rPr>
                <w:rStyle w:val="Strong"/>
              </w:rPr>
              <w:t xml:space="preserve"> kilometres </w:t>
            </w:r>
            <w:r w:rsidRPr="00B2323E">
              <w:t>National Land Transport Network</w:t>
            </w:r>
            <w:r w:rsidRPr="00B2323E">
              <w:rPr>
                <w:rStyle w:val="FootnoteReference"/>
              </w:rPr>
              <w:footnoteReference w:id="9"/>
            </w:r>
            <w:r w:rsidRPr="00B2323E">
              <w:t xml:space="preserve"> </w:t>
            </w:r>
          </w:p>
        </w:tc>
        <w:tc>
          <w:tcPr>
            <w:tcW w:w="1984" w:type="dxa"/>
            <w:noWrap/>
            <w:hideMark/>
          </w:tcPr>
          <w:p w14:paraId="601BB3F5" w14:textId="3A18B792" w:rsidR="006800C7" w:rsidRPr="00B2323E" w:rsidRDefault="00D647B8" w:rsidP="00F31956">
            <w:r>
              <w:rPr>
                <w:rStyle w:val="Strong"/>
              </w:rPr>
              <w:t>1674</w:t>
            </w:r>
            <w:r w:rsidR="006800C7" w:rsidRPr="005658BE">
              <w:rPr>
                <w:rStyle w:val="Strong"/>
              </w:rPr>
              <w:t xml:space="preserve"> </w:t>
            </w:r>
            <w:r w:rsidR="006800C7" w:rsidRPr="00B2323E">
              <w:rPr>
                <w:rStyle w:val="Strong"/>
              </w:rPr>
              <w:br/>
            </w:r>
            <w:r w:rsidR="006800C7" w:rsidRPr="00B2323E">
              <w:t xml:space="preserve">Vehicle and machinery registrations </w:t>
            </w:r>
          </w:p>
        </w:tc>
        <w:tc>
          <w:tcPr>
            <w:tcW w:w="1701" w:type="dxa"/>
            <w:noWrap/>
            <w:hideMark/>
          </w:tcPr>
          <w:p w14:paraId="21D396CC" w14:textId="77777777" w:rsidR="006800C7" w:rsidRPr="00B2323E" w:rsidRDefault="006800C7" w:rsidP="00F31956">
            <w:r>
              <w:rPr>
                <w:rStyle w:val="Strong"/>
              </w:rPr>
              <w:t>4</w:t>
            </w:r>
            <w:r w:rsidRPr="00B33E3B">
              <w:rPr>
                <w:rStyle w:val="Strong"/>
              </w:rPr>
              <w:t xml:space="preserve"> </w:t>
            </w:r>
            <w:r w:rsidRPr="00B2323E">
              <w:rPr>
                <w:rStyle w:val="Strong"/>
              </w:rPr>
              <w:br/>
            </w:r>
            <w:r w:rsidRPr="00B2323E">
              <w:t xml:space="preserve">Boating infrastructures </w:t>
            </w:r>
          </w:p>
        </w:tc>
        <w:tc>
          <w:tcPr>
            <w:tcW w:w="1560" w:type="dxa"/>
          </w:tcPr>
          <w:p w14:paraId="4D4CCCF3" w14:textId="03E7EA8B" w:rsidR="006800C7" w:rsidRPr="00B2323E" w:rsidRDefault="00D647B8" w:rsidP="00F31956">
            <w:r>
              <w:rPr>
                <w:rStyle w:val="Strong"/>
              </w:rPr>
              <w:t>3</w:t>
            </w:r>
            <w:r w:rsidR="006800C7" w:rsidRPr="00B2323E">
              <w:rPr>
                <w:rStyle w:val="Strong"/>
              </w:rPr>
              <w:br/>
            </w:r>
            <w:r w:rsidR="006800C7" w:rsidRPr="00B2323E">
              <w:t>Community safety events held</w:t>
            </w:r>
          </w:p>
        </w:tc>
      </w:tr>
      <w:tr w:rsidR="006800C7" w:rsidRPr="008B5A09" w14:paraId="593EF219" w14:textId="77777777" w:rsidTr="00F31956">
        <w:trPr>
          <w:trHeight w:val="265"/>
        </w:trPr>
        <w:tc>
          <w:tcPr>
            <w:tcW w:w="1980" w:type="dxa"/>
            <w:noWrap/>
          </w:tcPr>
          <w:p w14:paraId="66CB8FFA" w14:textId="76534447" w:rsidR="006800C7" w:rsidRPr="00B2323E" w:rsidRDefault="00D647B8" w:rsidP="00F31956">
            <w:r>
              <w:rPr>
                <w:rStyle w:val="Strong"/>
              </w:rPr>
              <w:t>37,761</w:t>
            </w:r>
            <w:r w:rsidR="006800C7" w:rsidRPr="00B2323E">
              <w:rPr>
                <w:rStyle w:val="Strong"/>
              </w:rPr>
              <w:br/>
            </w:r>
            <w:r w:rsidR="006800C7" w:rsidRPr="00B2323E">
              <w:t xml:space="preserve">Vehicle and machinery inspections completed </w:t>
            </w:r>
          </w:p>
        </w:tc>
        <w:tc>
          <w:tcPr>
            <w:tcW w:w="1701" w:type="dxa"/>
            <w:noWrap/>
          </w:tcPr>
          <w:p w14:paraId="2A5F66E1" w14:textId="77777777" w:rsidR="006800C7" w:rsidRPr="00B2323E" w:rsidRDefault="006800C7" w:rsidP="00F31956">
            <w:r>
              <w:rPr>
                <w:rStyle w:val="Strong"/>
              </w:rPr>
              <w:t>87</w:t>
            </w:r>
            <w:r w:rsidRPr="00B2323E">
              <w:br/>
              <w:t>Bridges</w:t>
            </w:r>
            <w:r w:rsidRPr="00B2323E">
              <w:rPr>
                <w:rStyle w:val="FootnoteReference"/>
              </w:rPr>
              <w:footnoteReference w:id="10"/>
            </w:r>
            <w:r w:rsidRPr="00B2323E">
              <w:t xml:space="preserve"> </w:t>
            </w:r>
          </w:p>
        </w:tc>
        <w:tc>
          <w:tcPr>
            <w:tcW w:w="1984" w:type="dxa"/>
            <w:noWrap/>
          </w:tcPr>
          <w:p w14:paraId="28FA7F49" w14:textId="4CBCF740" w:rsidR="006800C7" w:rsidRPr="00B2323E" w:rsidRDefault="006800C7" w:rsidP="00F31956">
            <w:r>
              <w:rPr>
                <w:rStyle w:val="Strong"/>
              </w:rPr>
              <w:t>1</w:t>
            </w:r>
            <w:r w:rsidR="00D647B8">
              <w:rPr>
                <w:rStyle w:val="Strong"/>
              </w:rPr>
              <w:t>241</w:t>
            </w:r>
            <w:r w:rsidRPr="00B2323E">
              <w:br/>
              <w:t xml:space="preserve">Driver licence tests conducted  </w:t>
            </w:r>
          </w:p>
        </w:tc>
        <w:tc>
          <w:tcPr>
            <w:tcW w:w="1701" w:type="dxa"/>
            <w:noWrap/>
          </w:tcPr>
          <w:p w14:paraId="2CF1DA2E" w14:textId="420AD952" w:rsidR="006800C7" w:rsidRPr="00B2323E" w:rsidRDefault="00D647B8" w:rsidP="00F31956">
            <w:r>
              <w:rPr>
                <w:rStyle w:val="Strong"/>
              </w:rPr>
              <w:t>29,495</w:t>
            </w:r>
            <w:r w:rsidR="006800C7" w:rsidRPr="00B2323E">
              <w:br/>
              <w:t xml:space="preserve">Customer face-to-face interaction </w:t>
            </w:r>
          </w:p>
        </w:tc>
        <w:tc>
          <w:tcPr>
            <w:tcW w:w="1560" w:type="dxa"/>
          </w:tcPr>
          <w:p w14:paraId="554BD533" w14:textId="1C5E9E8C" w:rsidR="006800C7" w:rsidRPr="00B2323E" w:rsidRDefault="004B0B0E" w:rsidP="00F31956">
            <w:r>
              <w:t>12</w:t>
            </w:r>
            <w:r w:rsidR="006800C7" w:rsidRPr="00B2323E">
              <w:br/>
              <w:t xml:space="preserve">Priority enabled intersections </w:t>
            </w:r>
          </w:p>
        </w:tc>
      </w:tr>
      <w:tr w:rsidR="006800C7" w:rsidRPr="008B5A09" w14:paraId="204A6AFF" w14:textId="77777777" w:rsidTr="00F31956">
        <w:trPr>
          <w:trHeight w:val="265"/>
        </w:trPr>
        <w:tc>
          <w:tcPr>
            <w:tcW w:w="1980" w:type="dxa"/>
            <w:noWrap/>
          </w:tcPr>
          <w:p w14:paraId="5EDA8A7D" w14:textId="77777777" w:rsidR="006800C7" w:rsidRPr="00B2323E" w:rsidRDefault="006800C7" w:rsidP="00F31956">
            <w:pPr>
              <w:rPr>
                <w:rStyle w:val="Strong"/>
              </w:rPr>
            </w:pPr>
            <w:r>
              <w:lastRenderedPageBreak/>
              <w:t>Area covered</w:t>
            </w:r>
            <w:r>
              <w:br/>
            </w:r>
            <w:r>
              <w:rPr>
                <w:rStyle w:val="Strong"/>
              </w:rPr>
              <w:t>307,082</w:t>
            </w:r>
            <w:r w:rsidRPr="00B2323E">
              <w:rPr>
                <w:rStyle w:val="Strong"/>
              </w:rPr>
              <w:t xml:space="preserve"> square kilometres</w:t>
            </w:r>
            <w:r w:rsidRPr="00B2323E">
              <w:t xml:space="preserve"> </w:t>
            </w:r>
          </w:p>
        </w:tc>
        <w:tc>
          <w:tcPr>
            <w:tcW w:w="1701" w:type="dxa"/>
            <w:noWrap/>
          </w:tcPr>
          <w:p w14:paraId="00FFBC59" w14:textId="067E0293" w:rsidR="006800C7" w:rsidRPr="00B2323E" w:rsidRDefault="006800C7" w:rsidP="00F31956">
            <w:pPr>
              <w:rPr>
                <w:rStyle w:val="Strong"/>
              </w:rPr>
            </w:pPr>
            <w:r>
              <w:t xml:space="preserve">Population of </w:t>
            </w:r>
            <w:r w:rsidRPr="00B2323E">
              <w:rPr>
                <w:rStyle w:val="Strong"/>
              </w:rPr>
              <w:t xml:space="preserve">Queensland </w:t>
            </w:r>
            <w:r w:rsidRPr="00B2323E">
              <w:rPr>
                <w:rStyle w:val="Strong"/>
              </w:rPr>
              <w:br/>
            </w:r>
            <w:r>
              <w:rPr>
                <w:rStyle w:val="Strong"/>
              </w:rPr>
              <w:t>0.</w:t>
            </w:r>
            <w:r w:rsidR="004B0B0E">
              <w:rPr>
                <w:rStyle w:val="Strong"/>
              </w:rPr>
              <w:t>60</w:t>
            </w:r>
            <w:r w:rsidRPr="00B2323E">
              <w:rPr>
                <w:rStyle w:val="Strong"/>
              </w:rPr>
              <w:t>%</w:t>
            </w:r>
            <w:r w:rsidRPr="00B2323E">
              <w:t xml:space="preserve"> </w:t>
            </w:r>
          </w:p>
        </w:tc>
        <w:tc>
          <w:tcPr>
            <w:tcW w:w="1984" w:type="dxa"/>
            <w:noWrap/>
          </w:tcPr>
          <w:p w14:paraId="6DE95B20" w14:textId="77777777" w:rsidR="006800C7" w:rsidRDefault="006800C7" w:rsidP="00F31956"/>
        </w:tc>
        <w:tc>
          <w:tcPr>
            <w:tcW w:w="1701" w:type="dxa"/>
            <w:noWrap/>
          </w:tcPr>
          <w:p w14:paraId="2C59CEB1" w14:textId="77777777" w:rsidR="006800C7" w:rsidRPr="000E0E1F" w:rsidRDefault="006800C7" w:rsidP="00F31956"/>
        </w:tc>
        <w:tc>
          <w:tcPr>
            <w:tcW w:w="1560" w:type="dxa"/>
          </w:tcPr>
          <w:p w14:paraId="0C5B2941" w14:textId="77777777" w:rsidR="006800C7" w:rsidRPr="00C62589" w:rsidRDefault="006800C7" w:rsidP="00F31956"/>
        </w:tc>
      </w:tr>
    </w:tbl>
    <w:p w14:paraId="61F77DF2" w14:textId="77777777" w:rsidR="006800C7" w:rsidRDefault="006800C7" w:rsidP="006800C7">
      <w:pPr>
        <w:pStyle w:val="Heading4"/>
      </w:pPr>
    </w:p>
    <w:p w14:paraId="6EA7876D" w14:textId="77777777" w:rsidR="006800C7" w:rsidRDefault="006800C7" w:rsidP="006800C7">
      <w:pPr>
        <w:pStyle w:val="Heading4"/>
      </w:pPr>
      <w:r>
        <w:t xml:space="preserve">Highlights </w:t>
      </w:r>
    </w:p>
    <w:p w14:paraId="093C7C11" w14:textId="76E8AE02" w:rsidR="0023594D" w:rsidRPr="0023594D" w:rsidRDefault="0023594D" w:rsidP="0023594D">
      <w:pPr>
        <w:pStyle w:val="ListBullet"/>
      </w:pPr>
      <w:r w:rsidRPr="0023594D">
        <w:t>Completed Butcher Creek bridge replacement on the Burke Developmental Road (Cloncurry–Normanton).</w:t>
      </w:r>
    </w:p>
    <w:p w14:paraId="70703BFD" w14:textId="5B99C27D" w:rsidR="0023594D" w:rsidRPr="0023594D" w:rsidRDefault="0023594D" w:rsidP="0023594D">
      <w:pPr>
        <w:pStyle w:val="ListBullet"/>
      </w:pPr>
      <w:r w:rsidRPr="0023594D">
        <w:t>Completed sealing to Phosphate Hill turn-off on the Cloncurry–Dajarra Road and widened existing priority narrow sealed sections.</w:t>
      </w:r>
    </w:p>
    <w:p w14:paraId="1CBA525F" w14:textId="586C44B3" w:rsidR="0023594D" w:rsidRPr="0023594D" w:rsidRDefault="0023594D" w:rsidP="0023594D">
      <w:pPr>
        <w:pStyle w:val="ListBullet"/>
      </w:pPr>
      <w:r w:rsidRPr="0023594D">
        <w:t>Completed progressive sealing of the Burke Developmental Road (Normanton–Dimbulah).</w:t>
      </w:r>
    </w:p>
    <w:p w14:paraId="40D3935B" w14:textId="409D4F1D" w:rsidR="0023594D" w:rsidRPr="0023594D" w:rsidRDefault="0023594D" w:rsidP="0023594D">
      <w:pPr>
        <w:pStyle w:val="ListBullet"/>
      </w:pPr>
      <w:r w:rsidRPr="0023594D">
        <w:t>Continued progressive sealing 48 kilometres of priority sections of the Kennedy Developmental Road</w:t>
      </w:r>
      <w:r>
        <w:t xml:space="preserve"> </w:t>
      </w:r>
      <w:r w:rsidRPr="0023594D">
        <w:t>(The Lynd–Hughenden).</w:t>
      </w:r>
    </w:p>
    <w:p w14:paraId="32032825" w14:textId="4BD07A3D" w:rsidR="003253FC" w:rsidRPr="0023594D" w:rsidRDefault="0023594D" w:rsidP="0023594D">
      <w:pPr>
        <w:pStyle w:val="ListBullet"/>
      </w:pPr>
      <w:r w:rsidRPr="0023594D">
        <w:t>Completed safety upgrades on the Barkly Highway (Cloncurry–Mount Isa).</w:t>
      </w:r>
    </w:p>
    <w:p w14:paraId="55B72187" w14:textId="1FEB9C83" w:rsidR="006800C7" w:rsidRPr="00BC49F1" w:rsidRDefault="0023594D" w:rsidP="006800C7">
      <w:pPr>
        <w:pStyle w:val="Heading4"/>
      </w:pPr>
      <w:r>
        <w:t xml:space="preserve">The Cloncurry-Dajarra Road, widen and seal priority </w:t>
      </w:r>
      <w:r w:rsidR="005A4B49">
        <w:t>sections and progressive sealing</w:t>
      </w:r>
    </w:p>
    <w:p w14:paraId="690BA8BB" w14:textId="6FE58819" w:rsidR="009B7492" w:rsidRDefault="009B7492" w:rsidP="009B7492">
      <w:r>
        <w:t>Three projects were completed along Cloncurry–Dajarra Road.</w:t>
      </w:r>
    </w:p>
    <w:p w14:paraId="7B9C36F0" w14:textId="04574C4A" w:rsidR="009B7492" w:rsidRDefault="009B7492" w:rsidP="009B7492">
      <w:r>
        <w:t>This road functions as a key inter-regional route and is a vital transport link for the movement of cattle, mining, and products like fuel and freight.</w:t>
      </w:r>
    </w:p>
    <w:p w14:paraId="32F48B80" w14:textId="77777777" w:rsidR="009B7492" w:rsidRDefault="009B7492" w:rsidP="009B7492">
      <w:r>
        <w:t>The completion of the program also supports local communities, and industries and provides a more reliable and efficient route with improved access to vital services, increasing economic growth and employment opportunities.</w:t>
      </w:r>
    </w:p>
    <w:p w14:paraId="6A988025" w14:textId="77777777" w:rsidR="009B7492" w:rsidRDefault="009B7492" w:rsidP="009B7492">
      <w:r>
        <w:t>Improvement works included:</w:t>
      </w:r>
    </w:p>
    <w:p w14:paraId="7778F2B1" w14:textId="0C8F5002" w:rsidR="009B7492" w:rsidRDefault="009B7492" w:rsidP="009B7492">
      <w:pPr>
        <w:pStyle w:val="ListBullet"/>
      </w:pPr>
      <w:r>
        <w:t>widening of 13 kilometres of existing narrow sealed sections to two lanes</w:t>
      </w:r>
    </w:p>
    <w:p w14:paraId="760355AD" w14:textId="383DE2BC" w:rsidR="009B7492" w:rsidRDefault="009B7492" w:rsidP="009B7492">
      <w:pPr>
        <w:pStyle w:val="ListBullet"/>
      </w:pPr>
      <w:r>
        <w:t>progressively sealing an additional 11.96 kilometres of unsealed sections</w:t>
      </w:r>
    </w:p>
    <w:p w14:paraId="4760EA3F" w14:textId="0F2BEDD3" w:rsidR="009B7492" w:rsidRDefault="009B7492" w:rsidP="009B7492">
      <w:pPr>
        <w:pStyle w:val="ListBullet"/>
      </w:pPr>
      <w:r>
        <w:t>re-alignment of the Sandy Creek floodway located around 76 kilometres south of the intersection with the Barkly Highway.</w:t>
      </w:r>
    </w:p>
    <w:p w14:paraId="2B5BBAE8" w14:textId="6C07575D" w:rsidR="005A4B49" w:rsidRDefault="009B7492" w:rsidP="009B7492">
      <w:r>
        <w:t>The works will complete the sealing and widening from the intersection of the Barkly Highway through to the intersection of the Phosphate Hill Mine.</w:t>
      </w:r>
    </w:p>
    <w:p w14:paraId="7138FEA4" w14:textId="3244DE48" w:rsidR="009B7492" w:rsidRDefault="009B7492" w:rsidP="009B7492">
      <w:pPr>
        <w:pStyle w:val="MoreInformation"/>
      </w:pPr>
      <w:r>
        <w:t>For more information</w:t>
      </w:r>
      <w:r>
        <w:br/>
      </w:r>
      <w:hyperlink r:id="rId43" w:history="1">
        <w:r w:rsidR="005C0E3F" w:rsidRPr="005C0E3F">
          <w:rPr>
            <w:rStyle w:val="Hyperlink"/>
          </w:rPr>
          <w:t>https://www.tmr.qld.gov.au/projects/cloncurry-dajarra-road-improvement-works</w:t>
        </w:r>
      </w:hyperlink>
    </w:p>
    <w:p w14:paraId="7AC12FE3" w14:textId="1BA63F84" w:rsidR="006800C7" w:rsidRPr="00BC49F1" w:rsidRDefault="005C0E3F" w:rsidP="006800C7">
      <w:pPr>
        <w:pStyle w:val="Heading4"/>
      </w:pPr>
      <w:r>
        <w:t xml:space="preserve">Barkly Highway safety upgrade </w:t>
      </w:r>
    </w:p>
    <w:p w14:paraId="55DFD05C" w14:textId="2BCF87C9" w:rsidR="000A09EB" w:rsidRDefault="000A09EB" w:rsidP="000A09EB">
      <w:r>
        <w:t>TMR completed an innovative and cost-effective road safety project on the Barkly Highway, 11 kilometres east of Mount Isa, as part of the High-Risk Roads initiative in late December 2021.</w:t>
      </w:r>
    </w:p>
    <w:p w14:paraId="43206D6A" w14:textId="574DE262" w:rsidR="000A09EB" w:rsidRDefault="000A09EB" w:rsidP="000A09EB">
      <w:r>
        <w:t>The works included widening a 4 kilometre section of the Barkly Highway and improving safety.</w:t>
      </w:r>
    </w:p>
    <w:p w14:paraId="30A8E5C6" w14:textId="7A0D2976" w:rsidR="000A09EB" w:rsidRDefault="000A09EB" w:rsidP="000A09EB">
      <w:r>
        <w:lastRenderedPageBreak/>
        <w:t>These upgrades will ensure key freight roads efficiently connect agricultural and mining regions to ports, airports, and other transport hubs, keeping the economy moving by improving travel and freight reliability.</w:t>
      </w:r>
    </w:p>
    <w:p w14:paraId="06054369" w14:textId="277462D4" w:rsidR="000A09EB" w:rsidRDefault="000A09EB" w:rsidP="000A09EB">
      <w:r>
        <w:t>The project was fully funded by the Queensland Government through its Targeted Road Safety Program.</w:t>
      </w:r>
    </w:p>
    <w:p w14:paraId="67E63ADB" w14:textId="12F7D396" w:rsidR="000A09EB" w:rsidRPr="005C4861" w:rsidRDefault="000A09EB" w:rsidP="000A09EB">
      <w:r>
        <w:t>The state funded High Risk Roads initiative is designed to address key safety concerns on the state-controlled road network identified for the whole of a road segment or link.</w:t>
      </w:r>
    </w:p>
    <w:p w14:paraId="4B9B9A24" w14:textId="26C75E40" w:rsidR="006800C7" w:rsidRPr="00BC49F1" w:rsidRDefault="007D2FE4" w:rsidP="006800C7">
      <w:pPr>
        <w:pStyle w:val="Heading4"/>
      </w:pPr>
      <w:r>
        <w:t>Kennedy Development Road progressive sealing</w:t>
      </w:r>
    </w:p>
    <w:p w14:paraId="40F200E4" w14:textId="013C1211" w:rsidR="00205278" w:rsidRDefault="00205278" w:rsidP="00205278">
      <w:r>
        <w:t>Approximately 48 kilometres of the Kennedy Developmental Road is being progressively sealed between The Lynd and Hughenden as part of the Roads of Strategic Importance Program.</w:t>
      </w:r>
    </w:p>
    <w:p w14:paraId="1F18F349" w14:textId="77777777" w:rsidR="00205278" w:rsidRDefault="00205278" w:rsidP="00205278">
      <w:r>
        <w:t>TMR is working with both Etheridge Shire and Flinders Shire Councils to complete the $50 million progressive sealing and widening project. This will improve rural and regional liveability by improving access for essential services and delivering significant benefits for the community.</w:t>
      </w:r>
    </w:p>
    <w:p w14:paraId="1BB07F81" w14:textId="2F08B2DC" w:rsidR="00205278" w:rsidRDefault="00205278" w:rsidP="00205278">
      <w:r>
        <w:t>The upgrades will also improve road safety by providing an eight-metre-wide route that caters for heavy freight loads and has improved flood immunity.</w:t>
      </w:r>
    </w:p>
    <w:p w14:paraId="05BEBDB3" w14:textId="77777777" w:rsidR="00205278" w:rsidRDefault="00205278" w:rsidP="00205278">
      <w:r>
        <w:t>Once completed, only 10 kilometres of road will remain unsealed along the Kennedy Developmental Road between The Lynd and Hughenden.</w:t>
      </w:r>
    </w:p>
    <w:p w14:paraId="15806746" w14:textId="2F18491D" w:rsidR="00571AB3" w:rsidRDefault="00205278" w:rsidP="00205278">
      <w:r>
        <w:t>The project is jointly funded by the Australian and Queensland governments on an 80:20 basis. Construction is scheduled to be completed by December 2023, weather permitting.</w:t>
      </w:r>
    </w:p>
    <w:p w14:paraId="1882DC8A" w14:textId="6BD4E51F" w:rsidR="00205278" w:rsidRDefault="00205278" w:rsidP="00205278">
      <w:pPr>
        <w:pStyle w:val="MoreInformation"/>
      </w:pPr>
      <w:r>
        <w:t>For more information</w:t>
      </w:r>
      <w:r>
        <w:br/>
      </w:r>
      <w:hyperlink r:id="rId44" w:history="1">
        <w:r w:rsidR="007642AC" w:rsidRPr="007642AC">
          <w:rPr>
            <w:rStyle w:val="Hyperlink"/>
          </w:rPr>
          <w:t>https://www.tmr.qld.gov.au/projects/kennedy-developmental-road-the-lynd-to-hughenden-upgrade</w:t>
        </w:r>
      </w:hyperlink>
    </w:p>
    <w:p w14:paraId="24F2905C" w14:textId="5499F4FB" w:rsidR="006800C7" w:rsidRPr="00BC49F1" w:rsidRDefault="00874976" w:rsidP="006800C7">
      <w:pPr>
        <w:pStyle w:val="Heading4"/>
      </w:pPr>
      <w:r>
        <w:t>Burke Development Road pave and seal project</w:t>
      </w:r>
    </w:p>
    <w:p w14:paraId="39960BEF" w14:textId="2B7EC45C" w:rsidR="009C2045" w:rsidRDefault="009C2045" w:rsidP="00D05F53">
      <w:pPr>
        <w:spacing w:line="240" w:lineRule="auto"/>
      </w:pPr>
      <w:r>
        <w:t>The Burke Developmental Road pave and seal project was completed in June 2022.</w:t>
      </w:r>
    </w:p>
    <w:p w14:paraId="4C54AFF5" w14:textId="77777777" w:rsidR="009C2045" w:rsidRDefault="009C2045" w:rsidP="00D05F53">
      <w:pPr>
        <w:spacing w:line="240" w:lineRule="auto"/>
      </w:pPr>
      <w:r>
        <w:t>Between Normanton and Dimbulah, 24 kilometres of road sealing works were delivered by the Carpentaria Shire Council, linking the communities of the gulf region to north and north west Queensland.</w:t>
      </w:r>
    </w:p>
    <w:p w14:paraId="67EF2590" w14:textId="77777777" w:rsidR="009C2045" w:rsidRDefault="009C2045" w:rsidP="009C2045">
      <w:r>
        <w:t>Key achievements in 2021–22 included:</w:t>
      </w:r>
    </w:p>
    <w:p w14:paraId="5C81042A" w14:textId="5D3B44AA" w:rsidR="009C2045" w:rsidRDefault="009C2045" w:rsidP="009C2045">
      <w:pPr>
        <w:pStyle w:val="ListBullet"/>
      </w:pPr>
      <w:r>
        <w:t>a sealed road surface of 8 metre width</w:t>
      </w:r>
    </w:p>
    <w:p w14:paraId="5C89ACF4" w14:textId="58973055" w:rsidR="009C2045" w:rsidRDefault="009C2045" w:rsidP="009C2045">
      <w:pPr>
        <w:pStyle w:val="ListBullet"/>
      </w:pPr>
      <w:r>
        <w:t>improved reliability and efficiency of freight movements</w:t>
      </w:r>
    </w:p>
    <w:p w14:paraId="28BCE37C" w14:textId="34016A69" w:rsidR="009C2045" w:rsidRDefault="009C2045" w:rsidP="009C2045">
      <w:pPr>
        <w:pStyle w:val="ListBullet"/>
      </w:pPr>
      <w:r>
        <w:t>improved safety conditions for all road users.</w:t>
      </w:r>
    </w:p>
    <w:p w14:paraId="716FD387" w14:textId="77777777" w:rsidR="009C2045" w:rsidRDefault="009C2045" w:rsidP="009C2045">
      <w:r>
        <w:t>The Burke Developmental Road is a link for the gulf communities, providing access to essential services and supplies from major regional centres located in eastern Queensland, as well as providing connections to the broader national road network such as the Barkly and Flinders highways.</w:t>
      </w:r>
    </w:p>
    <w:p w14:paraId="6A12C6D2" w14:textId="77777777" w:rsidR="009C2045" w:rsidRDefault="009C2045" w:rsidP="009C2045"/>
    <w:p w14:paraId="1972D1FC" w14:textId="6D624BF7" w:rsidR="009C2045" w:rsidRDefault="009C2045" w:rsidP="009C2045">
      <w:r>
        <w:lastRenderedPageBreak/>
        <w:t>The project is jointly funded by the Australian and Queensland governments on an 80:20 basis as part of the Australian Government Shovel Ready Infrastructure Investment Program.</w:t>
      </w:r>
    </w:p>
    <w:p w14:paraId="3ECAF0B4" w14:textId="0F794CE4" w:rsidR="00A453E5" w:rsidRDefault="00A453E5" w:rsidP="0035319F">
      <w:pPr>
        <w:pStyle w:val="MoreInformation"/>
      </w:pPr>
      <w:r>
        <w:t>For more information</w:t>
      </w:r>
      <w:r>
        <w:br/>
      </w:r>
      <w:hyperlink r:id="rId45" w:history="1">
        <w:r w:rsidR="0035319F" w:rsidRPr="0035319F">
          <w:rPr>
            <w:rStyle w:val="Hyperlink"/>
          </w:rPr>
          <w:t>https://www.tmr.qld.gov.au/projects/burke-developmental-road-normanton-dimbulah-pave-and-seal</w:t>
        </w:r>
      </w:hyperlink>
    </w:p>
    <w:p w14:paraId="773C764A" w14:textId="4CD7CC19" w:rsidR="006800C7" w:rsidRDefault="0035319F" w:rsidP="006800C7">
      <w:pPr>
        <w:pStyle w:val="Heading4"/>
      </w:pPr>
      <w:r>
        <w:t xml:space="preserve">Butcher Creek Bridge replacement </w:t>
      </w:r>
    </w:p>
    <w:p w14:paraId="69F5EF34" w14:textId="77777777" w:rsidR="003D36D7" w:rsidRDefault="003D36D7" w:rsidP="003D36D7">
      <w:r>
        <w:t>The Butcher Creek Bridge replacement project on the Burke Developmental Road between Cloncurry and Normanton was completed in late-December 2021.</w:t>
      </w:r>
    </w:p>
    <w:p w14:paraId="1C9C4CC6" w14:textId="77777777" w:rsidR="003D36D7" w:rsidRDefault="003D36D7" w:rsidP="003D36D7">
      <w:r>
        <w:t>The two-lane bridge supports local traffic by improving safety, flood immunity, and traffic flow on the Burke Developmental Road. Works also included the realignment of Burke Developmental Road to connect the new bridge to the existing road network.</w:t>
      </w:r>
    </w:p>
    <w:p w14:paraId="5251D7BF" w14:textId="77777777" w:rsidR="003D36D7" w:rsidRDefault="003D36D7" w:rsidP="003D36D7">
      <w:r>
        <w:t>The bridge replacement has also improved freight efficiencies, while recognising the importance of road infrastructure to support the agricultural, mining, tourism, and freight industries.</w:t>
      </w:r>
    </w:p>
    <w:p w14:paraId="5EBA2C7A" w14:textId="1875429B" w:rsidR="003D36D7" w:rsidRDefault="003D36D7" w:rsidP="003D36D7">
      <w:r>
        <w:t xml:space="preserve">The project was fully funded by the Queensland Government through its </w:t>
      </w:r>
      <w:r w:rsidRPr="003D36D7">
        <w:rPr>
          <w:rStyle w:val="Emphasis"/>
        </w:rPr>
        <w:t>Economic Recovery Strategy: Unite and Recover for Queensland Jobs</w:t>
      </w:r>
      <w:r>
        <w:t>.</w:t>
      </w:r>
    </w:p>
    <w:p w14:paraId="1C2DF390" w14:textId="2AF0D549" w:rsidR="003D36D7" w:rsidRDefault="003D36D7" w:rsidP="003D36D7">
      <w:pPr>
        <w:pStyle w:val="MoreInformation"/>
      </w:pPr>
      <w:r>
        <w:t>For more information</w:t>
      </w:r>
      <w:r>
        <w:br/>
      </w:r>
      <w:hyperlink r:id="rId46" w:history="1">
        <w:r w:rsidR="00F96EE9" w:rsidRPr="00F96EE9">
          <w:rPr>
            <w:rStyle w:val="Hyperlink"/>
          </w:rPr>
          <w:t>https://www.tmr.qld.gov.au/projects/burke-developmental-road-cloncurry-normanton-butcher-creek-replace-bridge</w:t>
        </w:r>
      </w:hyperlink>
    </w:p>
    <w:p w14:paraId="5DB6C936" w14:textId="77777777" w:rsidR="006800C7" w:rsidRDefault="006800C7" w:rsidP="006800C7">
      <w:pPr>
        <w:pStyle w:val="Heading3"/>
      </w:pPr>
      <w:r>
        <w:t>Northern</w:t>
      </w:r>
    </w:p>
    <w:tbl>
      <w:tblPr>
        <w:tblStyle w:val="TMRAnnualReport2"/>
        <w:tblW w:w="8926" w:type="dxa"/>
        <w:tblLook w:val="04A0" w:firstRow="1" w:lastRow="0" w:firstColumn="1" w:lastColumn="0" w:noHBand="0" w:noVBand="1"/>
      </w:tblPr>
      <w:tblGrid>
        <w:gridCol w:w="1980"/>
        <w:gridCol w:w="1701"/>
        <w:gridCol w:w="1984"/>
        <w:gridCol w:w="1701"/>
        <w:gridCol w:w="1560"/>
      </w:tblGrid>
      <w:tr w:rsidR="006800C7" w:rsidRPr="008B5A09" w14:paraId="748E702B" w14:textId="77777777" w:rsidTr="00F31956">
        <w:trPr>
          <w:trHeight w:val="150"/>
        </w:trPr>
        <w:tc>
          <w:tcPr>
            <w:tcW w:w="1980" w:type="dxa"/>
            <w:noWrap/>
            <w:hideMark/>
          </w:tcPr>
          <w:p w14:paraId="485211CE" w14:textId="77777777" w:rsidR="006800C7" w:rsidRPr="00EC65A9" w:rsidRDefault="006800C7" w:rsidP="00F31956">
            <w:r>
              <w:rPr>
                <w:rStyle w:val="Strong"/>
              </w:rPr>
              <w:t>1666</w:t>
            </w:r>
            <w:r w:rsidRPr="00EC65A9">
              <w:rPr>
                <w:rStyle w:val="Strong"/>
              </w:rPr>
              <w:t xml:space="preserve"> kilometres </w:t>
            </w:r>
            <w:r w:rsidRPr="00EC65A9">
              <w:rPr>
                <w:rStyle w:val="Strong"/>
              </w:rPr>
              <w:br/>
            </w:r>
            <w:r w:rsidRPr="00EC65A9">
              <w:t>State-controlled</w:t>
            </w:r>
            <w:r w:rsidRPr="00EC65A9">
              <w:br/>
              <w:t xml:space="preserve"> road</w:t>
            </w:r>
            <w:r w:rsidRPr="00EC65A9">
              <w:rPr>
                <w:rStyle w:val="FootnoteReference"/>
              </w:rPr>
              <w:footnoteReference w:id="11"/>
            </w:r>
          </w:p>
        </w:tc>
        <w:tc>
          <w:tcPr>
            <w:tcW w:w="1701" w:type="dxa"/>
            <w:noWrap/>
            <w:hideMark/>
          </w:tcPr>
          <w:p w14:paraId="0F81E8FA" w14:textId="77777777" w:rsidR="006800C7" w:rsidRPr="00EC65A9" w:rsidRDefault="006800C7" w:rsidP="00F31956">
            <w:r>
              <w:rPr>
                <w:rStyle w:val="Strong"/>
              </w:rPr>
              <w:t>521</w:t>
            </w:r>
            <w:r w:rsidRPr="005658BE">
              <w:rPr>
                <w:rStyle w:val="Strong"/>
              </w:rPr>
              <w:t xml:space="preserve"> kilometres </w:t>
            </w:r>
            <w:r w:rsidRPr="00EC65A9">
              <w:t>National Land Transport Network</w:t>
            </w:r>
            <w:r w:rsidRPr="00EC65A9">
              <w:rPr>
                <w:rStyle w:val="FootnoteReference"/>
              </w:rPr>
              <w:footnoteReference w:id="12"/>
            </w:r>
            <w:r w:rsidRPr="00EC65A9">
              <w:t xml:space="preserve"> </w:t>
            </w:r>
          </w:p>
        </w:tc>
        <w:tc>
          <w:tcPr>
            <w:tcW w:w="1984" w:type="dxa"/>
            <w:noWrap/>
            <w:hideMark/>
          </w:tcPr>
          <w:p w14:paraId="05D369D5" w14:textId="2ECEAFE1" w:rsidR="006800C7" w:rsidRPr="00EC65A9" w:rsidRDefault="00E12B8E" w:rsidP="00F31956">
            <w:r>
              <w:rPr>
                <w:rStyle w:val="Strong"/>
              </w:rPr>
              <w:t>4092</w:t>
            </w:r>
            <w:r w:rsidR="006800C7" w:rsidRPr="005658BE">
              <w:rPr>
                <w:rStyle w:val="Strong"/>
              </w:rPr>
              <w:t xml:space="preserve"> </w:t>
            </w:r>
            <w:r w:rsidR="006800C7" w:rsidRPr="00EC65A9">
              <w:rPr>
                <w:rStyle w:val="Strong"/>
              </w:rPr>
              <w:br/>
            </w:r>
            <w:r w:rsidR="006800C7" w:rsidRPr="00EC65A9">
              <w:t xml:space="preserve">Vehicle and machinery registrations </w:t>
            </w:r>
          </w:p>
        </w:tc>
        <w:tc>
          <w:tcPr>
            <w:tcW w:w="1701" w:type="dxa"/>
            <w:noWrap/>
            <w:hideMark/>
          </w:tcPr>
          <w:p w14:paraId="1A8FCDE6" w14:textId="4CDA55C4" w:rsidR="006800C7" w:rsidRPr="00EC65A9" w:rsidRDefault="006800C7" w:rsidP="00F31956">
            <w:r>
              <w:rPr>
                <w:rStyle w:val="Strong"/>
              </w:rPr>
              <w:t>5</w:t>
            </w:r>
            <w:r w:rsidR="00E12B8E">
              <w:rPr>
                <w:rStyle w:val="Strong"/>
              </w:rPr>
              <w:t>6</w:t>
            </w:r>
            <w:r w:rsidRPr="00EC65A9">
              <w:rPr>
                <w:rStyle w:val="Strong"/>
              </w:rPr>
              <w:br/>
            </w:r>
            <w:r w:rsidRPr="00EC65A9">
              <w:t xml:space="preserve">Boating infrastructures </w:t>
            </w:r>
          </w:p>
        </w:tc>
        <w:tc>
          <w:tcPr>
            <w:tcW w:w="1560" w:type="dxa"/>
          </w:tcPr>
          <w:p w14:paraId="19DAA8E7" w14:textId="02F8930A" w:rsidR="006800C7" w:rsidRPr="00EC65A9" w:rsidRDefault="00E12B8E" w:rsidP="00F31956">
            <w:r>
              <w:rPr>
                <w:rStyle w:val="Strong"/>
              </w:rPr>
              <w:t>7</w:t>
            </w:r>
            <w:r w:rsidR="006800C7" w:rsidRPr="00B33E3B">
              <w:rPr>
                <w:rStyle w:val="Strong"/>
              </w:rPr>
              <w:t xml:space="preserve"> </w:t>
            </w:r>
            <w:r w:rsidR="006800C7" w:rsidRPr="00EC65A9">
              <w:rPr>
                <w:rStyle w:val="Strong"/>
              </w:rPr>
              <w:br/>
            </w:r>
            <w:r w:rsidR="006800C7" w:rsidRPr="00EC65A9">
              <w:t>Community safety events held</w:t>
            </w:r>
          </w:p>
        </w:tc>
      </w:tr>
      <w:tr w:rsidR="006800C7" w:rsidRPr="008B5A09" w14:paraId="59BAB0CD" w14:textId="77777777" w:rsidTr="00F31956">
        <w:trPr>
          <w:trHeight w:val="265"/>
        </w:trPr>
        <w:tc>
          <w:tcPr>
            <w:tcW w:w="1980" w:type="dxa"/>
            <w:noWrap/>
          </w:tcPr>
          <w:p w14:paraId="1772220D" w14:textId="78858A0C" w:rsidR="006800C7" w:rsidRPr="00EC65A9" w:rsidRDefault="00E12B8E" w:rsidP="00F31956">
            <w:r>
              <w:rPr>
                <w:rStyle w:val="Strong"/>
              </w:rPr>
              <w:t>277,366</w:t>
            </w:r>
            <w:r w:rsidR="006800C7" w:rsidRPr="00B33E3B">
              <w:rPr>
                <w:rStyle w:val="Strong"/>
              </w:rPr>
              <w:t xml:space="preserve"> </w:t>
            </w:r>
            <w:r w:rsidR="006800C7" w:rsidRPr="00EC65A9">
              <w:rPr>
                <w:rStyle w:val="Strong"/>
              </w:rPr>
              <w:br/>
            </w:r>
            <w:r w:rsidR="006800C7" w:rsidRPr="00EC65A9">
              <w:t xml:space="preserve">Vehicle and machinery inspections completed </w:t>
            </w:r>
          </w:p>
        </w:tc>
        <w:tc>
          <w:tcPr>
            <w:tcW w:w="1701" w:type="dxa"/>
            <w:noWrap/>
          </w:tcPr>
          <w:p w14:paraId="10910D17" w14:textId="4F100170" w:rsidR="006800C7" w:rsidRPr="00EC65A9" w:rsidRDefault="006800C7" w:rsidP="00F31956">
            <w:r>
              <w:rPr>
                <w:rStyle w:val="Strong"/>
              </w:rPr>
              <w:t>22</w:t>
            </w:r>
            <w:r w:rsidR="00E12B8E">
              <w:rPr>
                <w:rStyle w:val="Strong"/>
              </w:rPr>
              <w:t>2</w:t>
            </w:r>
            <w:r w:rsidRPr="00EC65A9">
              <w:br/>
              <w:t>Bridges</w:t>
            </w:r>
            <w:r w:rsidRPr="00EC65A9">
              <w:rPr>
                <w:rStyle w:val="FootnoteReference"/>
              </w:rPr>
              <w:footnoteReference w:id="13"/>
            </w:r>
            <w:r w:rsidRPr="00EC65A9">
              <w:t xml:space="preserve"> </w:t>
            </w:r>
          </w:p>
        </w:tc>
        <w:tc>
          <w:tcPr>
            <w:tcW w:w="1984" w:type="dxa"/>
            <w:noWrap/>
          </w:tcPr>
          <w:p w14:paraId="27AFDFF5" w14:textId="504E13DD" w:rsidR="006800C7" w:rsidRPr="00EC65A9" w:rsidRDefault="00E12B8E" w:rsidP="00F31956">
            <w:r>
              <w:rPr>
                <w:rStyle w:val="Strong"/>
              </w:rPr>
              <w:t>7133</w:t>
            </w:r>
            <w:r w:rsidR="006800C7" w:rsidRPr="00EC65A9">
              <w:br/>
              <w:t xml:space="preserve">Driver licence tests conducted  </w:t>
            </w:r>
          </w:p>
        </w:tc>
        <w:tc>
          <w:tcPr>
            <w:tcW w:w="1701" w:type="dxa"/>
            <w:noWrap/>
          </w:tcPr>
          <w:p w14:paraId="212F811D" w14:textId="48230B84" w:rsidR="006800C7" w:rsidRPr="00EC65A9" w:rsidRDefault="00E12B8E" w:rsidP="00F31956">
            <w:r>
              <w:rPr>
                <w:rStyle w:val="Strong"/>
              </w:rPr>
              <w:t>167,594</w:t>
            </w:r>
            <w:r w:rsidR="006800C7" w:rsidRPr="00EC65A9">
              <w:br/>
              <w:t xml:space="preserve">Customer face-to-face interaction </w:t>
            </w:r>
          </w:p>
        </w:tc>
        <w:tc>
          <w:tcPr>
            <w:tcW w:w="1560" w:type="dxa"/>
          </w:tcPr>
          <w:p w14:paraId="3678F779" w14:textId="47FDCA38" w:rsidR="006800C7" w:rsidRPr="00EC65A9" w:rsidRDefault="006800C7" w:rsidP="00F31956">
            <w:r>
              <w:rPr>
                <w:rStyle w:val="Strong"/>
              </w:rPr>
              <w:t>1</w:t>
            </w:r>
            <w:r w:rsidR="00E12B8E">
              <w:rPr>
                <w:rStyle w:val="Strong"/>
              </w:rPr>
              <w:t>64</w:t>
            </w:r>
            <w:r w:rsidRPr="00EC65A9">
              <w:br/>
              <w:t xml:space="preserve">Priority enabled intersections </w:t>
            </w:r>
          </w:p>
        </w:tc>
      </w:tr>
      <w:tr w:rsidR="006800C7" w:rsidRPr="008B5A09" w14:paraId="351495D0" w14:textId="77777777" w:rsidTr="00F31956">
        <w:trPr>
          <w:trHeight w:val="265"/>
        </w:trPr>
        <w:tc>
          <w:tcPr>
            <w:tcW w:w="1980" w:type="dxa"/>
            <w:noWrap/>
          </w:tcPr>
          <w:p w14:paraId="6A1D8C20" w14:textId="77777777" w:rsidR="006800C7" w:rsidRPr="00EC65A9" w:rsidRDefault="006800C7" w:rsidP="00F31956">
            <w:pPr>
              <w:rPr>
                <w:rStyle w:val="Strong"/>
              </w:rPr>
            </w:pPr>
            <w:r>
              <w:t>Area covered</w:t>
            </w:r>
            <w:r>
              <w:br/>
            </w:r>
            <w:r>
              <w:rPr>
                <w:rStyle w:val="Strong"/>
              </w:rPr>
              <w:t>80,036</w:t>
            </w:r>
            <w:r w:rsidRPr="00EC65A9">
              <w:rPr>
                <w:rStyle w:val="Strong"/>
              </w:rPr>
              <w:t xml:space="preserve"> square kilometres</w:t>
            </w:r>
            <w:r w:rsidRPr="00EC65A9">
              <w:t xml:space="preserve"> </w:t>
            </w:r>
          </w:p>
        </w:tc>
        <w:tc>
          <w:tcPr>
            <w:tcW w:w="1701" w:type="dxa"/>
            <w:noWrap/>
          </w:tcPr>
          <w:p w14:paraId="0A9597CC" w14:textId="3478F055" w:rsidR="006800C7" w:rsidRPr="00EC65A9" w:rsidRDefault="006800C7" w:rsidP="00F31956">
            <w:pPr>
              <w:rPr>
                <w:rStyle w:val="Strong"/>
              </w:rPr>
            </w:pPr>
            <w:r>
              <w:t xml:space="preserve">Population of </w:t>
            </w:r>
            <w:r w:rsidRPr="00EC65A9">
              <w:rPr>
                <w:rStyle w:val="Strong"/>
              </w:rPr>
              <w:t xml:space="preserve">Queensland </w:t>
            </w:r>
            <w:r w:rsidRPr="00EC65A9">
              <w:rPr>
                <w:rStyle w:val="Strong"/>
              </w:rPr>
              <w:br/>
            </w:r>
            <w:r>
              <w:rPr>
                <w:rStyle w:val="Strong"/>
              </w:rPr>
              <w:t>4.</w:t>
            </w:r>
            <w:r w:rsidR="00E12B8E">
              <w:rPr>
                <w:rStyle w:val="Strong"/>
              </w:rPr>
              <w:t>5</w:t>
            </w:r>
            <w:r>
              <w:rPr>
                <w:rStyle w:val="Strong"/>
              </w:rPr>
              <w:t>5</w:t>
            </w:r>
            <w:r w:rsidRPr="00EC65A9">
              <w:rPr>
                <w:rStyle w:val="Strong"/>
              </w:rPr>
              <w:t>%</w:t>
            </w:r>
            <w:r w:rsidRPr="00EC65A9">
              <w:t xml:space="preserve"> </w:t>
            </w:r>
          </w:p>
        </w:tc>
        <w:tc>
          <w:tcPr>
            <w:tcW w:w="1984" w:type="dxa"/>
            <w:noWrap/>
          </w:tcPr>
          <w:p w14:paraId="27ED1D5D" w14:textId="77777777" w:rsidR="006800C7" w:rsidRDefault="006800C7" w:rsidP="00F31956"/>
        </w:tc>
        <w:tc>
          <w:tcPr>
            <w:tcW w:w="1701" w:type="dxa"/>
            <w:noWrap/>
          </w:tcPr>
          <w:p w14:paraId="4E8C51B9" w14:textId="77777777" w:rsidR="006800C7" w:rsidRPr="000E0E1F" w:rsidRDefault="006800C7" w:rsidP="00F31956"/>
        </w:tc>
        <w:tc>
          <w:tcPr>
            <w:tcW w:w="1560" w:type="dxa"/>
          </w:tcPr>
          <w:p w14:paraId="78281758" w14:textId="77777777" w:rsidR="006800C7" w:rsidRPr="00C62589" w:rsidRDefault="006800C7" w:rsidP="00F31956"/>
        </w:tc>
      </w:tr>
    </w:tbl>
    <w:p w14:paraId="71C4165D" w14:textId="77777777" w:rsidR="006800C7" w:rsidRPr="00EC65A9" w:rsidRDefault="006800C7" w:rsidP="006800C7"/>
    <w:p w14:paraId="0A9AEAC5" w14:textId="77777777" w:rsidR="006800C7" w:rsidRDefault="006800C7" w:rsidP="006800C7">
      <w:pPr>
        <w:pStyle w:val="Heading4"/>
      </w:pPr>
      <w:r>
        <w:t xml:space="preserve">Highlights </w:t>
      </w:r>
    </w:p>
    <w:p w14:paraId="545A0534" w14:textId="1E483506" w:rsidR="00EE765A" w:rsidRPr="00EE765A" w:rsidRDefault="00EE765A" w:rsidP="00EE765A">
      <w:pPr>
        <w:pStyle w:val="ListBullet"/>
      </w:pPr>
      <w:r w:rsidRPr="00EE765A">
        <w:t>Completed construction of the Haughton River Floodplain upgrade on the Bruce Highway, between Horseshoe Lagoon and Palm Creek.</w:t>
      </w:r>
    </w:p>
    <w:p w14:paraId="1C867B6D" w14:textId="141DD687" w:rsidR="00EE765A" w:rsidRPr="00EE765A" w:rsidRDefault="00EE765A" w:rsidP="00EE765A">
      <w:pPr>
        <w:pStyle w:val="ListBullet"/>
      </w:pPr>
      <w:r w:rsidRPr="00EE765A">
        <w:lastRenderedPageBreak/>
        <w:t>Commenced pavement widening on Gregory Developmental Road (Charters Towers–The Lynd), between Marble Creek and Christmas Creek and Airport Drive and Lucky Springs Road.</w:t>
      </w:r>
    </w:p>
    <w:p w14:paraId="6E39CEC6" w14:textId="54D0A7C2" w:rsidR="00EE765A" w:rsidRPr="00EE765A" w:rsidRDefault="00EE765A" w:rsidP="00EE765A">
      <w:pPr>
        <w:pStyle w:val="ListBullet"/>
      </w:pPr>
      <w:r w:rsidRPr="00EE765A">
        <w:t>Continued construction of the Townsville Ring Road (Stage Five) project to duplicate the existing Ring Road, between Vickers Bridge and Shaw Road.</w:t>
      </w:r>
    </w:p>
    <w:p w14:paraId="3ABE7B64" w14:textId="6D1DFFBE" w:rsidR="00EE765A" w:rsidRPr="00EE765A" w:rsidRDefault="00EE765A" w:rsidP="00EE765A">
      <w:pPr>
        <w:pStyle w:val="ListBullet"/>
      </w:pPr>
      <w:r w:rsidRPr="00EE765A">
        <w:t>Commenced culvert upgrade on Gregory Developmental Road (Charters Towers–The Lynd) Porphyry Road (Greenvale).</w:t>
      </w:r>
    </w:p>
    <w:p w14:paraId="38906FBD" w14:textId="33D88FA6" w:rsidR="00EE765A" w:rsidRPr="00EE765A" w:rsidRDefault="00EE765A" w:rsidP="00EE765A">
      <w:pPr>
        <w:pStyle w:val="ListBullet"/>
      </w:pPr>
      <w:r w:rsidRPr="00EE765A">
        <w:t>Completed construction of the Bruce Highway (Townsville–Ingham) Hechts Road to Easter Creek safety upgrades at Bambaroo.</w:t>
      </w:r>
    </w:p>
    <w:p w14:paraId="2A95E1C4" w14:textId="577FE750" w:rsidR="00EE765A" w:rsidRPr="00EE765A" w:rsidRDefault="00EE765A" w:rsidP="00EE765A">
      <w:pPr>
        <w:pStyle w:val="ListBullet"/>
      </w:pPr>
      <w:r w:rsidRPr="00EE765A">
        <w:t>Continued construction of the Townsville Northern Access Intersections upgrade project on the Bruce Highway, between Veales Road and Pope Road.</w:t>
      </w:r>
    </w:p>
    <w:p w14:paraId="7D394912" w14:textId="60F71AF5" w:rsidR="006800C7" w:rsidRPr="0026316F" w:rsidRDefault="006800C7" w:rsidP="006800C7">
      <w:pPr>
        <w:pStyle w:val="Heading4"/>
      </w:pPr>
      <w:r>
        <w:t xml:space="preserve">Townsville Ring Road (Stage </w:t>
      </w:r>
      <w:r w:rsidR="00C15472">
        <w:t>Five)</w:t>
      </w:r>
    </w:p>
    <w:p w14:paraId="7BB9B4CD" w14:textId="3D78F221" w:rsidR="00265D56" w:rsidRDefault="00265D56" w:rsidP="00265D56">
      <w:r>
        <w:t>Construction continued on the Townsville Ring Road (Stage Five) project to deliver improved road safety, efficiency, and travel time reliability for freight and passenger vehicles on the Bruce Highway in Townsville.</w:t>
      </w:r>
    </w:p>
    <w:p w14:paraId="7E8CF2BD" w14:textId="4147E6F4" w:rsidR="00265D56" w:rsidRDefault="00265D56" w:rsidP="00265D56">
      <w:r>
        <w:t>The project includes duplication of a six-kilometre section of the Townsville Ring Road, between Vickers Bridge and Shaw Road and construction of a new interchange at Beck Drive, improving access to and from the growing Upper Ross area.</w:t>
      </w:r>
    </w:p>
    <w:p w14:paraId="004925B7" w14:textId="77777777" w:rsidR="00265D56" w:rsidRDefault="00265D56" w:rsidP="00265D56">
      <w:r>
        <w:t>Works completed during 2021–22 included:</w:t>
      </w:r>
    </w:p>
    <w:p w14:paraId="11388412" w14:textId="3EF9DBEC" w:rsidR="00265D56" w:rsidRDefault="00265D56" w:rsidP="00265D56">
      <w:pPr>
        <w:pStyle w:val="ListBullet"/>
      </w:pPr>
      <w:r>
        <w:t>major earthworks</w:t>
      </w:r>
    </w:p>
    <w:p w14:paraId="402F6EEC" w14:textId="6EFAE61C" w:rsidR="00265D56" w:rsidRDefault="00265D56" w:rsidP="00265D56">
      <w:pPr>
        <w:pStyle w:val="ListBullet"/>
      </w:pPr>
      <w:r>
        <w:t>service relocations</w:t>
      </w:r>
    </w:p>
    <w:p w14:paraId="76BF2768" w14:textId="753FC3E1" w:rsidR="00265D56" w:rsidRDefault="00265D56" w:rsidP="00265D56">
      <w:pPr>
        <w:pStyle w:val="ListBullet"/>
      </w:pPr>
      <w:r>
        <w:t>drainage upgrades</w:t>
      </w:r>
    </w:p>
    <w:p w14:paraId="1E57C4BB" w14:textId="08776F71" w:rsidR="00265D56" w:rsidRDefault="00265D56" w:rsidP="00265D56">
      <w:pPr>
        <w:pStyle w:val="ListBullet"/>
      </w:pPr>
      <w:r>
        <w:t>structural works across the project site</w:t>
      </w:r>
    </w:p>
    <w:p w14:paraId="28230ED4" w14:textId="01648E4B" w:rsidR="00265D56" w:rsidRDefault="00265D56" w:rsidP="00265D56">
      <w:pPr>
        <w:pStyle w:val="ListBullet"/>
      </w:pPr>
      <w:r>
        <w:t>installation of all bridge piles</w:t>
      </w:r>
    </w:p>
    <w:p w14:paraId="63FCAD23" w14:textId="469AA083" w:rsidR="00265D56" w:rsidRDefault="00265D56" w:rsidP="00265D56">
      <w:pPr>
        <w:pStyle w:val="ListBullet"/>
      </w:pPr>
      <w:r>
        <w:t>installation of deck units for the project’s four major structures— bridges over the Bohle and Little Bohle rivers, and overpasses at Beck Drive and Hervey Range Developmental Road.</w:t>
      </w:r>
    </w:p>
    <w:p w14:paraId="40D4A116" w14:textId="77777777" w:rsidR="00265D56" w:rsidRDefault="00265D56" w:rsidP="00265D56">
      <w:r>
        <w:t>In the foundations of the project’s two bridges and two overpasses, 192 pre-cast reinforced concrete piles were used, measuring up to 28 metres in length and weighing up to 18 tonnes each.</w:t>
      </w:r>
    </w:p>
    <w:p w14:paraId="295C3139" w14:textId="38349725" w:rsidR="00134EDD" w:rsidRDefault="00265D56" w:rsidP="00265D56">
      <w:r>
        <w:t>he $230 million project is jointly funded by the Australian and Queensland governments on an 80:20 basis.</w:t>
      </w:r>
    </w:p>
    <w:p w14:paraId="3FF13263" w14:textId="741481F4" w:rsidR="00265D56" w:rsidRDefault="00265D56" w:rsidP="00265D56">
      <w:pPr>
        <w:pStyle w:val="MoreInformation"/>
      </w:pPr>
      <w:r>
        <w:t>For more information</w:t>
      </w:r>
      <w:r>
        <w:br/>
      </w:r>
      <w:hyperlink r:id="rId47" w:history="1">
        <w:r w:rsidR="00B6465E" w:rsidRPr="00B6465E">
          <w:rPr>
            <w:rStyle w:val="Hyperlink"/>
          </w:rPr>
          <w:t>https://www.tmr.qld.gov.au/projects/townsville-ring-road-stage-5</w:t>
        </w:r>
      </w:hyperlink>
    </w:p>
    <w:p w14:paraId="2D115685" w14:textId="4A9775E4" w:rsidR="006800C7" w:rsidRPr="0026316F" w:rsidRDefault="00B6465E" w:rsidP="006800C7">
      <w:pPr>
        <w:pStyle w:val="Heading4"/>
      </w:pPr>
      <w:r>
        <w:t>Haughton River Floodplain Upgrade</w:t>
      </w:r>
    </w:p>
    <w:p w14:paraId="5AEB3E17" w14:textId="77777777" w:rsidR="00A05916" w:rsidRDefault="00A05916" w:rsidP="00A05916">
      <w:r>
        <w:t>During 2021–22, TMR opened more than 13.7 kilometres of new Bruce Highway to traffic between Ayr and Townsville, as part of the Haughton River Floodplain Upgrade project.</w:t>
      </w:r>
    </w:p>
    <w:p w14:paraId="0DB9E4A1" w14:textId="77777777" w:rsidR="00A05916" w:rsidRDefault="00A05916" w:rsidP="00A05916">
      <w:r>
        <w:t>Between August and October 2021, traffic commenced travelling on:</w:t>
      </w:r>
    </w:p>
    <w:p w14:paraId="2F84BA06" w14:textId="787A6EB2" w:rsidR="00A05916" w:rsidRDefault="00A05916" w:rsidP="00A05916">
      <w:pPr>
        <w:pStyle w:val="ListBullet"/>
      </w:pPr>
      <w:r>
        <w:t>new wider and higher bridges over Horseshoe Lagoon, the Haughton River, and Pink Lily Lagoon.</w:t>
      </w:r>
    </w:p>
    <w:p w14:paraId="11E1413D" w14:textId="001C9FC3" w:rsidR="00A05916" w:rsidRDefault="00A05916" w:rsidP="00A05916">
      <w:pPr>
        <w:pStyle w:val="ListBullet"/>
      </w:pPr>
      <w:r>
        <w:t>new highway overpasses of cane rail lines at Upper Haughton/ Hodel Road and Shirbourne Road</w:t>
      </w:r>
    </w:p>
    <w:p w14:paraId="09907876" w14:textId="0B62BD29" w:rsidR="00A05916" w:rsidRDefault="00A05916" w:rsidP="00A05916">
      <w:pPr>
        <w:pStyle w:val="ListBullet"/>
      </w:pPr>
      <w:r>
        <w:t>two new bridges over previously flood-prone pavement at Healeys Lagoon and Ironbark Creek (the Reed Beds).</w:t>
      </w:r>
    </w:p>
    <w:p w14:paraId="2B009048" w14:textId="77777777" w:rsidR="00A05916" w:rsidRDefault="00A05916" w:rsidP="00A05916">
      <w:r>
        <w:lastRenderedPageBreak/>
        <w:t>The project also included reconfiguration and safety improvements of nine local intersections onto the new Bruce Highway.</w:t>
      </w:r>
    </w:p>
    <w:p w14:paraId="0E1C0498" w14:textId="77777777" w:rsidR="00A05916" w:rsidRDefault="00A05916" w:rsidP="00A05916">
      <w:r>
        <w:t>The project reached practical completion in June 2022. Ancillary works as part of the project will be ongoing until August 2022, weather permitting.</w:t>
      </w:r>
    </w:p>
    <w:p w14:paraId="4B0A0D67" w14:textId="7B84240A" w:rsidR="00A05916" w:rsidRDefault="00A05916" w:rsidP="00A05916">
      <w:r>
        <w:t>The project was jointly funded by the Australian and Queensland governments on an 80:20 basis.</w:t>
      </w:r>
    </w:p>
    <w:p w14:paraId="3362509C" w14:textId="13E89FFD" w:rsidR="00A05916" w:rsidRDefault="00967234" w:rsidP="003F308D">
      <w:pPr>
        <w:pStyle w:val="MoreInformation"/>
      </w:pPr>
      <w:r>
        <w:t>For more information</w:t>
      </w:r>
      <w:r>
        <w:br/>
      </w:r>
      <w:hyperlink r:id="rId48" w:history="1">
        <w:r w:rsidR="003F308D" w:rsidRPr="003F308D">
          <w:rPr>
            <w:rStyle w:val="Hyperlink"/>
          </w:rPr>
          <w:t>https://www.tmr.qld.gov.au/projects/bruce-highway-haughton-river-floodplain-upgrade-construct-bridges-and-approaches</w:t>
        </w:r>
      </w:hyperlink>
    </w:p>
    <w:p w14:paraId="7148B1E4" w14:textId="2DABA7CC" w:rsidR="006800C7" w:rsidRPr="0026316F" w:rsidRDefault="003F308D" w:rsidP="006800C7">
      <w:pPr>
        <w:pStyle w:val="Heading4"/>
      </w:pPr>
      <w:r>
        <w:t xml:space="preserve">Gregory Development Road package of works </w:t>
      </w:r>
    </w:p>
    <w:p w14:paraId="6FDD1383" w14:textId="77777777" w:rsidR="00AE7425" w:rsidRDefault="00AE7425" w:rsidP="00AE7425">
      <w:r>
        <w:t>In July 2021, TMR commenced a program of work to strengthen pavement and widen narrow sections of Gregory Developmental Road, between Charters Towers and The Lynd.</w:t>
      </w:r>
    </w:p>
    <w:p w14:paraId="0F427D1B" w14:textId="77777777" w:rsidR="00AE7425" w:rsidRDefault="00AE7425" w:rsidP="00AE7425">
      <w:r>
        <w:t>The three projects include:</w:t>
      </w:r>
    </w:p>
    <w:p w14:paraId="04C639AC" w14:textId="07680267" w:rsidR="00AE7425" w:rsidRDefault="00AE7425" w:rsidP="00AE7425">
      <w:pPr>
        <w:pStyle w:val="ListBullet"/>
      </w:pPr>
      <w:r>
        <w:t>pavement widening and strengthening between Marble Creek and Christmas Creek</w:t>
      </w:r>
    </w:p>
    <w:p w14:paraId="439F2C30" w14:textId="3B2F3C80" w:rsidR="00AE7425" w:rsidRDefault="00AE7425" w:rsidP="00AE7425">
      <w:pPr>
        <w:pStyle w:val="ListBullet"/>
      </w:pPr>
      <w:r>
        <w:t>pavement widening and strengthening between Airport Drive and Redbank Creek</w:t>
      </w:r>
    </w:p>
    <w:p w14:paraId="4C6F09D3" w14:textId="50C7F0DD" w:rsidR="00AE7425" w:rsidRDefault="00AE7425" w:rsidP="00AE7425">
      <w:pPr>
        <w:pStyle w:val="ListBullet"/>
      </w:pPr>
      <w:r>
        <w:t>upgrade of a major culvert under Gregory Developmental Road near Porphyry Road, Greenvale.</w:t>
      </w:r>
    </w:p>
    <w:p w14:paraId="47B3BEE7" w14:textId="77777777" w:rsidR="00AE7425" w:rsidRDefault="00AE7425" w:rsidP="00AE7425">
      <w:r>
        <w:t>The pavement widening projects will improve safety and efficiency for all road users, particularly the large proportion of heavy vehicles that travel the inland route.</w:t>
      </w:r>
    </w:p>
    <w:p w14:paraId="55AF7EE1" w14:textId="77777777" w:rsidR="00AE7425" w:rsidRDefault="00AE7425" w:rsidP="00AE7425">
      <w:r>
        <w:t>The culvert under Gregory Developmental Road, at Porphyry Road, will also be upgraded to improve drainage and flood resilience.</w:t>
      </w:r>
    </w:p>
    <w:p w14:paraId="16556EB8" w14:textId="4054B88E" w:rsidR="003F308D" w:rsidRDefault="00AE7425" w:rsidP="00AE7425">
      <w:r>
        <w:t>All three projects are due to be completed in late-2023, weather and construction conditions permitting, with a total investment of $45.5 million jointly funded by the Australian and Queensland governments on an 80:20 basis.</w:t>
      </w:r>
    </w:p>
    <w:p w14:paraId="07CEA2A3" w14:textId="34C872A5" w:rsidR="00AE7425" w:rsidRDefault="00AE7425" w:rsidP="00AE7425">
      <w:pPr>
        <w:pStyle w:val="MoreInformation"/>
      </w:pPr>
      <w:r>
        <w:t>For more information</w:t>
      </w:r>
      <w:r>
        <w:br/>
      </w:r>
      <w:hyperlink r:id="rId49" w:history="1">
        <w:r w:rsidR="00E957FD" w:rsidRPr="00E957FD">
          <w:rPr>
            <w:rStyle w:val="Hyperlink"/>
          </w:rPr>
          <w:t>https://www.tmr.qld.gov.au/projects/gregory-developmental-road-charters-towers-lynd-package-of-works</w:t>
        </w:r>
      </w:hyperlink>
    </w:p>
    <w:p w14:paraId="5630FCD4" w14:textId="4844053A" w:rsidR="006800C7" w:rsidRPr="0026316F" w:rsidRDefault="00E957FD" w:rsidP="006800C7">
      <w:pPr>
        <w:pStyle w:val="Heading4"/>
      </w:pPr>
      <w:r>
        <w:t xml:space="preserve">Townsville Northern Access Intersections upgrade </w:t>
      </w:r>
    </w:p>
    <w:p w14:paraId="553B1B92" w14:textId="53A43221" w:rsidR="00224AAB" w:rsidRDefault="00224AAB" w:rsidP="00224AAB">
      <w:r>
        <w:t>Construction on the Townsville Northern Access Intersections upgrade project continued in 2021–22, to improve safety, efficiency, and travel time reliability for the 14,000 freight and passenger vehicles that travel along this section of the Bruce Highway.</w:t>
      </w:r>
    </w:p>
    <w:p w14:paraId="538B39B8" w14:textId="7152EA72" w:rsidR="00224AAB" w:rsidRDefault="00224AAB" w:rsidP="00224AAB">
      <w:r>
        <w:t>Crews started constructing the second bridge over Black River in July 2021 with piling works completed by the end of July. These works included 18, 1.5-metre-wide steel piles, varying in length from seven to 17 metres, driven into the riverbed.</w:t>
      </w:r>
    </w:p>
    <w:p w14:paraId="601DD570" w14:textId="13E79783" w:rsidR="00224AAB" w:rsidRDefault="00224AAB" w:rsidP="00224AAB">
      <w:r>
        <w:t>By November 2021, crews completed work on the bridge substructure (piers and headstocks) and placement of all girders.</w:t>
      </w:r>
    </w:p>
    <w:p w14:paraId="7392016D" w14:textId="77777777" w:rsidR="00224AAB" w:rsidRDefault="00224AAB" w:rsidP="00224AAB">
      <w:r>
        <w:t>Construction on the concrete deck, bridge barriers, backfilling abutments and highway approaches is progressing, and the bridge is expected to be completed and opened to traffic in October 2022.</w:t>
      </w:r>
    </w:p>
    <w:p w14:paraId="434DA756" w14:textId="77777777" w:rsidR="00224AAB" w:rsidRDefault="00224AAB" w:rsidP="00224AAB"/>
    <w:p w14:paraId="0ABABF4E" w14:textId="2774FA13" w:rsidR="00224AAB" w:rsidRDefault="00224AAB" w:rsidP="00224AAB">
      <w:r>
        <w:lastRenderedPageBreak/>
        <w:t>Drainage, earthworks, and excavation works also progressed on three new service roads as well as the new southbound lanes on the Bruce Highway, between Veales Road and Pope Road.</w:t>
      </w:r>
    </w:p>
    <w:p w14:paraId="5E4BAC02" w14:textId="767F0D39" w:rsidR="00224AAB" w:rsidRDefault="00224AAB" w:rsidP="00224AAB">
      <w:r>
        <w:t>The project is due to be completed in early-2023, weather and construction conditions permitting.</w:t>
      </w:r>
    </w:p>
    <w:p w14:paraId="3A8DDF08" w14:textId="1812BAD8" w:rsidR="00224AAB" w:rsidRDefault="00224AAB" w:rsidP="00224AAB">
      <w:r>
        <w:t>The $99.8 million project is jointly funded by the Australian and Queensland governments on an 80:20 basis.</w:t>
      </w:r>
    </w:p>
    <w:p w14:paraId="7530C611" w14:textId="453A19AD" w:rsidR="00C421E1" w:rsidRPr="00C23A72" w:rsidRDefault="00C421E1" w:rsidP="00D57B76">
      <w:pPr>
        <w:pStyle w:val="MoreInformation"/>
      </w:pPr>
      <w:r>
        <w:t>For more information</w:t>
      </w:r>
      <w:r>
        <w:br/>
      </w:r>
      <w:hyperlink r:id="rId50" w:history="1">
        <w:r w:rsidR="0089075A" w:rsidRPr="0089075A">
          <w:rPr>
            <w:rStyle w:val="Hyperlink"/>
          </w:rPr>
          <w:t>https://www.tmr.qld.gov.au/projects/townsville-northern-access-intersections-upgrade-bruce-highway-veales-road-to-pope-road</w:t>
        </w:r>
      </w:hyperlink>
    </w:p>
    <w:p w14:paraId="4DC60657" w14:textId="778980CE" w:rsidR="006800C7" w:rsidRPr="0026316F" w:rsidRDefault="0089075A" w:rsidP="006800C7">
      <w:pPr>
        <w:pStyle w:val="Heading4"/>
      </w:pPr>
      <w:r>
        <w:t>Bruce Highway (Townsville-Ingham) Hechts Road to Easter Creek Safety upgrade</w:t>
      </w:r>
    </w:p>
    <w:p w14:paraId="019AA7E5" w14:textId="77777777" w:rsidR="00590277" w:rsidRDefault="00590277" w:rsidP="00590277">
      <w:r>
        <w:t>In December 2021, TMR completed construction on the Bruce Highway (Townsville–Ingham) Hechts Road to Easter Creek safety upgrades at Bambaroo.</w:t>
      </w:r>
    </w:p>
    <w:p w14:paraId="7FE9B503" w14:textId="2A5906B8" w:rsidR="00590277" w:rsidRDefault="00590277" w:rsidP="00590277">
      <w:r>
        <w:t>The project saw the delivery of 7.3 kilometres of pavement widening and wide centre line treatment, and safety improvements at four Bruce Highway intersections.</w:t>
      </w:r>
    </w:p>
    <w:p w14:paraId="082BF759" w14:textId="562238A1" w:rsidR="00590277" w:rsidRDefault="00590277" w:rsidP="00590277">
      <w:r>
        <w:t>In addition, a 450-metre service road was constructed parallel to the Bruce Highway to safely manage access to several properties and new north and southbound overtaking lanes were constructed on a separate carriageway.</w:t>
      </w:r>
    </w:p>
    <w:p w14:paraId="732EF906" w14:textId="168EB5FF" w:rsidR="00590277" w:rsidRDefault="00590277" w:rsidP="00590277">
      <w:r>
        <w:t>The project has improved safety and efficiency for motorists travelling between Townsville and Ingham, through a wider, safer Bruce Highway with improved visibility and access, better overtaking opportunities, and a reduced risk of head on collisions.</w:t>
      </w:r>
    </w:p>
    <w:p w14:paraId="376AA3B0" w14:textId="6C1446D9" w:rsidR="0089075A" w:rsidRDefault="00590277" w:rsidP="00590277">
      <w:r>
        <w:t>These projects were jointly funded by the Australian and Queensland governments on an 80:20 basis through the Bruce Highway Upgrade Program.</w:t>
      </w:r>
    </w:p>
    <w:p w14:paraId="2627C600" w14:textId="3C9F4EC8" w:rsidR="0089075A" w:rsidRDefault="00567B07" w:rsidP="00D57B76">
      <w:pPr>
        <w:pStyle w:val="MoreInformation"/>
      </w:pPr>
      <w:r>
        <w:t>For more information</w:t>
      </w:r>
      <w:r>
        <w:br/>
      </w:r>
      <w:hyperlink r:id="rId51" w:history="1">
        <w:r w:rsidR="00D57B76" w:rsidRPr="00D57B76">
          <w:rPr>
            <w:rStyle w:val="Hyperlink"/>
          </w:rPr>
          <w:t>https://www.tmr.qld.gov.au/projects/bruce-highway-townsville-ingham-hechts-road-to-easter-creek-safety-upgrade-project</w:t>
        </w:r>
      </w:hyperlink>
    </w:p>
    <w:p w14:paraId="2C21B334" w14:textId="77777777" w:rsidR="006800C7" w:rsidRDefault="006800C7" w:rsidP="006800C7">
      <w:pPr>
        <w:pStyle w:val="Heading3"/>
      </w:pPr>
      <w:r>
        <w:t>Mackay/Whitsunday</w:t>
      </w:r>
    </w:p>
    <w:tbl>
      <w:tblPr>
        <w:tblStyle w:val="TMRAnnualReport2"/>
        <w:tblW w:w="8926" w:type="dxa"/>
        <w:tblLook w:val="04A0" w:firstRow="1" w:lastRow="0" w:firstColumn="1" w:lastColumn="0" w:noHBand="0" w:noVBand="1"/>
      </w:tblPr>
      <w:tblGrid>
        <w:gridCol w:w="1980"/>
        <w:gridCol w:w="1701"/>
        <w:gridCol w:w="1984"/>
        <w:gridCol w:w="1701"/>
        <w:gridCol w:w="1560"/>
      </w:tblGrid>
      <w:tr w:rsidR="006800C7" w:rsidRPr="008B5A09" w14:paraId="43F2B9DA" w14:textId="77777777" w:rsidTr="00F31956">
        <w:trPr>
          <w:trHeight w:val="150"/>
        </w:trPr>
        <w:tc>
          <w:tcPr>
            <w:tcW w:w="1980" w:type="dxa"/>
            <w:noWrap/>
            <w:hideMark/>
          </w:tcPr>
          <w:p w14:paraId="23E4A18B" w14:textId="77777777" w:rsidR="006800C7" w:rsidRPr="00783CF0" w:rsidRDefault="006800C7" w:rsidP="00F31956">
            <w:r>
              <w:rPr>
                <w:rStyle w:val="Strong"/>
              </w:rPr>
              <w:t>2682</w:t>
            </w:r>
            <w:r w:rsidRPr="00783CF0">
              <w:rPr>
                <w:rStyle w:val="Strong"/>
              </w:rPr>
              <w:t xml:space="preserve"> kilometres </w:t>
            </w:r>
            <w:r w:rsidRPr="00783CF0">
              <w:rPr>
                <w:rStyle w:val="Strong"/>
              </w:rPr>
              <w:br/>
            </w:r>
            <w:r w:rsidRPr="00783CF0">
              <w:t>State-controlled</w:t>
            </w:r>
            <w:r w:rsidRPr="00783CF0">
              <w:br/>
              <w:t xml:space="preserve"> road</w:t>
            </w:r>
            <w:r w:rsidRPr="00783CF0">
              <w:rPr>
                <w:rStyle w:val="FootnoteReference"/>
              </w:rPr>
              <w:footnoteReference w:id="14"/>
            </w:r>
          </w:p>
        </w:tc>
        <w:tc>
          <w:tcPr>
            <w:tcW w:w="1701" w:type="dxa"/>
            <w:noWrap/>
            <w:hideMark/>
          </w:tcPr>
          <w:p w14:paraId="15160832" w14:textId="77777777" w:rsidR="006800C7" w:rsidRPr="00783CF0" w:rsidRDefault="006800C7" w:rsidP="00F31956">
            <w:r>
              <w:rPr>
                <w:rStyle w:val="Strong"/>
              </w:rPr>
              <w:t>451</w:t>
            </w:r>
            <w:r w:rsidRPr="005658BE">
              <w:rPr>
                <w:rStyle w:val="Strong"/>
              </w:rPr>
              <w:t xml:space="preserve"> kilometres </w:t>
            </w:r>
            <w:r w:rsidRPr="00783CF0">
              <w:t>National Land Transport Network</w:t>
            </w:r>
            <w:r w:rsidRPr="00783CF0">
              <w:rPr>
                <w:rStyle w:val="FootnoteReference"/>
              </w:rPr>
              <w:footnoteReference w:id="15"/>
            </w:r>
            <w:r w:rsidRPr="00783CF0">
              <w:t xml:space="preserve"> </w:t>
            </w:r>
          </w:p>
        </w:tc>
        <w:tc>
          <w:tcPr>
            <w:tcW w:w="1984" w:type="dxa"/>
            <w:noWrap/>
            <w:hideMark/>
          </w:tcPr>
          <w:p w14:paraId="09453092" w14:textId="27BF4EC1" w:rsidR="006800C7" w:rsidRPr="00783CF0" w:rsidRDefault="00D57B76" w:rsidP="00F31956">
            <w:r>
              <w:rPr>
                <w:rStyle w:val="Strong"/>
              </w:rPr>
              <w:t>4730</w:t>
            </w:r>
            <w:r w:rsidR="006800C7" w:rsidRPr="005658BE">
              <w:rPr>
                <w:rStyle w:val="Strong"/>
              </w:rPr>
              <w:t xml:space="preserve"> </w:t>
            </w:r>
            <w:r w:rsidR="006800C7" w:rsidRPr="00783CF0">
              <w:rPr>
                <w:rStyle w:val="Strong"/>
              </w:rPr>
              <w:br/>
            </w:r>
            <w:r w:rsidR="006800C7" w:rsidRPr="00783CF0">
              <w:t xml:space="preserve">Vehicle and machinery registrations </w:t>
            </w:r>
          </w:p>
        </w:tc>
        <w:tc>
          <w:tcPr>
            <w:tcW w:w="1701" w:type="dxa"/>
            <w:noWrap/>
            <w:hideMark/>
          </w:tcPr>
          <w:p w14:paraId="3E6512AD" w14:textId="573709D5" w:rsidR="006800C7" w:rsidRPr="00783CF0" w:rsidRDefault="00D57B76" w:rsidP="00F31956">
            <w:r>
              <w:rPr>
                <w:rStyle w:val="Strong"/>
              </w:rPr>
              <w:t>51</w:t>
            </w:r>
            <w:r w:rsidR="006800C7" w:rsidRPr="00B33E3B">
              <w:rPr>
                <w:rStyle w:val="Strong"/>
              </w:rPr>
              <w:t xml:space="preserve"> </w:t>
            </w:r>
            <w:r w:rsidR="006800C7" w:rsidRPr="00783CF0">
              <w:rPr>
                <w:rStyle w:val="Strong"/>
              </w:rPr>
              <w:br/>
            </w:r>
            <w:r w:rsidR="006800C7" w:rsidRPr="00783CF0">
              <w:t xml:space="preserve">Boating infrastructures </w:t>
            </w:r>
          </w:p>
        </w:tc>
        <w:tc>
          <w:tcPr>
            <w:tcW w:w="1560" w:type="dxa"/>
          </w:tcPr>
          <w:p w14:paraId="468A552F" w14:textId="3B3D6AC3" w:rsidR="006800C7" w:rsidRPr="00783CF0" w:rsidRDefault="00D57B76" w:rsidP="00F31956">
            <w:r>
              <w:rPr>
                <w:rStyle w:val="Strong"/>
              </w:rPr>
              <w:t>7</w:t>
            </w:r>
            <w:r w:rsidR="006800C7" w:rsidRPr="00B33E3B">
              <w:rPr>
                <w:rStyle w:val="Strong"/>
              </w:rPr>
              <w:t xml:space="preserve"> </w:t>
            </w:r>
            <w:r w:rsidR="006800C7" w:rsidRPr="00783CF0">
              <w:rPr>
                <w:rStyle w:val="Strong"/>
              </w:rPr>
              <w:br/>
            </w:r>
            <w:r w:rsidR="006800C7" w:rsidRPr="00783CF0">
              <w:t>Community safety events held</w:t>
            </w:r>
          </w:p>
        </w:tc>
      </w:tr>
      <w:tr w:rsidR="006800C7" w:rsidRPr="008B5A09" w14:paraId="71DBA33A" w14:textId="77777777" w:rsidTr="00F31956">
        <w:trPr>
          <w:trHeight w:val="265"/>
        </w:trPr>
        <w:tc>
          <w:tcPr>
            <w:tcW w:w="1980" w:type="dxa"/>
            <w:noWrap/>
          </w:tcPr>
          <w:p w14:paraId="51D0A880" w14:textId="5CC33755" w:rsidR="006800C7" w:rsidRPr="00783CF0" w:rsidRDefault="00236411" w:rsidP="00F31956">
            <w:r>
              <w:rPr>
                <w:rStyle w:val="Strong"/>
              </w:rPr>
              <w:t>243,277</w:t>
            </w:r>
            <w:r w:rsidR="006800C7" w:rsidRPr="00783CF0">
              <w:rPr>
                <w:rStyle w:val="Strong"/>
              </w:rPr>
              <w:br/>
            </w:r>
            <w:r w:rsidR="006800C7" w:rsidRPr="00783CF0">
              <w:t xml:space="preserve">Vehicle and machinery inspections completed </w:t>
            </w:r>
          </w:p>
        </w:tc>
        <w:tc>
          <w:tcPr>
            <w:tcW w:w="1701" w:type="dxa"/>
            <w:noWrap/>
          </w:tcPr>
          <w:p w14:paraId="4CDD1B34" w14:textId="77777777" w:rsidR="006800C7" w:rsidRPr="00783CF0" w:rsidRDefault="006800C7" w:rsidP="00F31956">
            <w:r>
              <w:rPr>
                <w:rStyle w:val="Strong"/>
              </w:rPr>
              <w:t>310</w:t>
            </w:r>
            <w:r w:rsidRPr="00783CF0">
              <w:br/>
              <w:t>Bridges</w:t>
            </w:r>
            <w:r w:rsidRPr="00783CF0">
              <w:rPr>
                <w:rStyle w:val="FootnoteReference"/>
              </w:rPr>
              <w:footnoteReference w:id="16"/>
            </w:r>
            <w:r w:rsidRPr="00783CF0">
              <w:t xml:space="preserve"> </w:t>
            </w:r>
          </w:p>
        </w:tc>
        <w:tc>
          <w:tcPr>
            <w:tcW w:w="1984" w:type="dxa"/>
            <w:noWrap/>
          </w:tcPr>
          <w:p w14:paraId="59697886" w14:textId="0D09629B" w:rsidR="006800C7" w:rsidRPr="00783CF0" w:rsidRDefault="00236411" w:rsidP="00F31956">
            <w:r>
              <w:rPr>
                <w:rStyle w:val="Strong"/>
              </w:rPr>
              <w:t>4701</w:t>
            </w:r>
            <w:r w:rsidR="006800C7" w:rsidRPr="00783CF0">
              <w:br/>
              <w:t xml:space="preserve">Driver licence tests conducted  </w:t>
            </w:r>
          </w:p>
        </w:tc>
        <w:tc>
          <w:tcPr>
            <w:tcW w:w="1701" w:type="dxa"/>
            <w:noWrap/>
          </w:tcPr>
          <w:p w14:paraId="3E419654" w14:textId="3536723C" w:rsidR="006800C7" w:rsidRPr="00783CF0" w:rsidRDefault="006800C7" w:rsidP="00F31956">
            <w:r>
              <w:rPr>
                <w:rStyle w:val="Strong"/>
              </w:rPr>
              <w:t>1</w:t>
            </w:r>
            <w:r w:rsidR="00236411">
              <w:rPr>
                <w:rStyle w:val="Strong"/>
              </w:rPr>
              <w:t>29,624</w:t>
            </w:r>
            <w:r w:rsidRPr="00783CF0">
              <w:br/>
              <w:t xml:space="preserve">Customer face-to-face interaction </w:t>
            </w:r>
          </w:p>
        </w:tc>
        <w:tc>
          <w:tcPr>
            <w:tcW w:w="1560" w:type="dxa"/>
          </w:tcPr>
          <w:p w14:paraId="7530F2B3" w14:textId="33F1298A" w:rsidR="006800C7" w:rsidRPr="00783CF0" w:rsidRDefault="006800C7" w:rsidP="00F31956">
            <w:r>
              <w:rPr>
                <w:rStyle w:val="Strong"/>
              </w:rPr>
              <w:t>5</w:t>
            </w:r>
            <w:r w:rsidR="00236411">
              <w:rPr>
                <w:rStyle w:val="Strong"/>
              </w:rPr>
              <w:t>6</w:t>
            </w:r>
            <w:r w:rsidRPr="00783CF0">
              <w:br/>
              <w:t xml:space="preserve">Priority enabled intersections </w:t>
            </w:r>
          </w:p>
        </w:tc>
      </w:tr>
      <w:tr w:rsidR="006800C7" w:rsidRPr="008B5A09" w14:paraId="5932B4A6" w14:textId="77777777" w:rsidTr="00F31956">
        <w:trPr>
          <w:trHeight w:val="265"/>
        </w:trPr>
        <w:tc>
          <w:tcPr>
            <w:tcW w:w="1980" w:type="dxa"/>
            <w:noWrap/>
          </w:tcPr>
          <w:p w14:paraId="1211DEFC" w14:textId="77777777" w:rsidR="006800C7" w:rsidRPr="00783CF0" w:rsidRDefault="006800C7" w:rsidP="00F31956">
            <w:pPr>
              <w:rPr>
                <w:rStyle w:val="Strong"/>
              </w:rPr>
            </w:pPr>
            <w:r>
              <w:lastRenderedPageBreak/>
              <w:t>Area covered</w:t>
            </w:r>
            <w:r>
              <w:br/>
            </w:r>
            <w:r>
              <w:rPr>
                <w:rStyle w:val="Strong"/>
              </w:rPr>
              <w:t>90,140</w:t>
            </w:r>
            <w:r w:rsidRPr="00783CF0">
              <w:rPr>
                <w:rStyle w:val="Strong"/>
              </w:rPr>
              <w:t xml:space="preserve"> square kilometres</w:t>
            </w:r>
            <w:r w:rsidRPr="00783CF0">
              <w:t xml:space="preserve"> </w:t>
            </w:r>
          </w:p>
        </w:tc>
        <w:tc>
          <w:tcPr>
            <w:tcW w:w="1701" w:type="dxa"/>
            <w:noWrap/>
          </w:tcPr>
          <w:p w14:paraId="52A42736" w14:textId="42A92AEF" w:rsidR="006800C7" w:rsidRPr="00783CF0" w:rsidRDefault="006800C7" w:rsidP="00F31956">
            <w:pPr>
              <w:rPr>
                <w:rStyle w:val="Strong"/>
              </w:rPr>
            </w:pPr>
            <w:r>
              <w:t xml:space="preserve">Population of </w:t>
            </w:r>
            <w:r w:rsidRPr="00783CF0">
              <w:rPr>
                <w:rStyle w:val="Strong"/>
              </w:rPr>
              <w:t xml:space="preserve">Queensland </w:t>
            </w:r>
            <w:r w:rsidRPr="00783CF0">
              <w:rPr>
                <w:rStyle w:val="Strong"/>
              </w:rPr>
              <w:br/>
            </w:r>
            <w:r>
              <w:rPr>
                <w:rStyle w:val="Strong"/>
              </w:rPr>
              <w:t>3.</w:t>
            </w:r>
            <w:r w:rsidR="00236411">
              <w:rPr>
                <w:rStyle w:val="Strong"/>
              </w:rPr>
              <w:t>51</w:t>
            </w:r>
            <w:r w:rsidRPr="00783CF0">
              <w:rPr>
                <w:rStyle w:val="Strong"/>
              </w:rPr>
              <w:t>%</w:t>
            </w:r>
            <w:r w:rsidRPr="00783CF0">
              <w:t xml:space="preserve"> </w:t>
            </w:r>
          </w:p>
        </w:tc>
        <w:tc>
          <w:tcPr>
            <w:tcW w:w="1984" w:type="dxa"/>
            <w:noWrap/>
          </w:tcPr>
          <w:p w14:paraId="7E812F42" w14:textId="77777777" w:rsidR="006800C7" w:rsidRDefault="006800C7" w:rsidP="00F31956"/>
        </w:tc>
        <w:tc>
          <w:tcPr>
            <w:tcW w:w="1701" w:type="dxa"/>
            <w:noWrap/>
          </w:tcPr>
          <w:p w14:paraId="3CFF05B7" w14:textId="77777777" w:rsidR="006800C7" w:rsidRPr="000E0E1F" w:rsidRDefault="006800C7" w:rsidP="00F31956"/>
        </w:tc>
        <w:tc>
          <w:tcPr>
            <w:tcW w:w="1560" w:type="dxa"/>
          </w:tcPr>
          <w:p w14:paraId="1E8B185F" w14:textId="77777777" w:rsidR="006800C7" w:rsidRPr="00C62589" w:rsidRDefault="006800C7" w:rsidP="00F31956"/>
        </w:tc>
      </w:tr>
    </w:tbl>
    <w:p w14:paraId="094930BB" w14:textId="77777777" w:rsidR="006800C7" w:rsidRPr="00783CF0" w:rsidRDefault="006800C7" w:rsidP="006800C7"/>
    <w:p w14:paraId="57DF230A" w14:textId="77777777" w:rsidR="006800C7" w:rsidRDefault="006800C7" w:rsidP="006800C7">
      <w:pPr>
        <w:pStyle w:val="Heading4"/>
      </w:pPr>
      <w:r>
        <w:t xml:space="preserve">Highlights </w:t>
      </w:r>
    </w:p>
    <w:p w14:paraId="5A1CD8C4" w14:textId="6079A594" w:rsidR="00734F31" w:rsidRPr="00734F31" w:rsidRDefault="00734F31" w:rsidP="00734F31">
      <w:pPr>
        <w:pStyle w:val="ListBullet"/>
      </w:pPr>
      <w:r w:rsidRPr="00734F31">
        <w:t>Completed paving and sealing of sections of the Bowen Developmental Road between Deception Creek and Bulgonunna Creek.</w:t>
      </w:r>
    </w:p>
    <w:p w14:paraId="1FB4AB0D" w14:textId="319065E5" w:rsidR="00734F31" w:rsidRPr="00734F31" w:rsidRDefault="00734F31" w:rsidP="00734F31">
      <w:pPr>
        <w:pStyle w:val="ListBullet"/>
      </w:pPr>
      <w:r w:rsidRPr="00734F31">
        <w:t>Commenced construction of the Walkerston Bypass on the Peak Downs Highway.</w:t>
      </w:r>
    </w:p>
    <w:p w14:paraId="7112CF03" w14:textId="5C3AF3CD" w:rsidR="00734F31" w:rsidRPr="00734F31" w:rsidRDefault="00734F31" w:rsidP="00734F31">
      <w:pPr>
        <w:pStyle w:val="ListBullet"/>
      </w:pPr>
      <w:r w:rsidRPr="00734F31">
        <w:t>Completed safety improvements on the Peak Downs Highway between Eton and Mackay.</w:t>
      </w:r>
    </w:p>
    <w:p w14:paraId="799C9641" w14:textId="312152FD" w:rsidR="00734F31" w:rsidRPr="00734F31" w:rsidRDefault="00734F31" w:rsidP="00734F31">
      <w:pPr>
        <w:pStyle w:val="ListBullet"/>
      </w:pPr>
      <w:r w:rsidRPr="00734F31">
        <w:t>Commenced safety improvements on the Bruce Highway, between Ten Mile Creek and Yeates Creek.</w:t>
      </w:r>
    </w:p>
    <w:p w14:paraId="7317F986" w14:textId="5F5F9A82" w:rsidR="00734F31" w:rsidRPr="00734F31" w:rsidRDefault="00734F31" w:rsidP="00734F31">
      <w:pPr>
        <w:pStyle w:val="ListBullet"/>
      </w:pPr>
      <w:r w:rsidRPr="00734F31">
        <w:t>Completed widening formation, rehabilitation and safety upgrades along the Bruce Highway (The Leap–Careys Creek).</w:t>
      </w:r>
    </w:p>
    <w:p w14:paraId="06518F8F" w14:textId="78B22D66" w:rsidR="006800C7" w:rsidRPr="00F46E88" w:rsidRDefault="00DA2739" w:rsidP="006800C7">
      <w:pPr>
        <w:pStyle w:val="Heading4"/>
      </w:pPr>
      <w:r>
        <w:t>Walkerson Bypass</w:t>
      </w:r>
    </w:p>
    <w:p w14:paraId="639CFD50" w14:textId="77777777" w:rsidR="00EB70C4" w:rsidRDefault="00EB70C4" w:rsidP="00EB70C4">
      <w:r>
        <w:t>Construction commenced in May 2022 on the Walkerston Bypass project to deliver a new two-lane rural highway to connect the Peak Downs Highway west of Walkerston to the Mackay Ring Road near Paget.</w:t>
      </w:r>
    </w:p>
    <w:p w14:paraId="03554EF9" w14:textId="7AF89FD3" w:rsidR="00EB70C4" w:rsidRDefault="00EB70C4" w:rsidP="00EB70C4">
      <w:r>
        <w:t>The bypass will become the designated heavy vehicle route for B-double and other multicombination vehicles between the Bruce and Peak Downs highways.</w:t>
      </w:r>
    </w:p>
    <w:p w14:paraId="334138CB" w14:textId="77777777" w:rsidR="00EB70C4" w:rsidRDefault="00EB70C4" w:rsidP="00EB70C4">
      <w:r>
        <w:t>The Walkerston Bypass will increase safety on the existing route through Walkerston by reducing heavy vehicle traffic, minimising interactions between trucks and local traffic.</w:t>
      </w:r>
    </w:p>
    <w:p w14:paraId="10B7EB69" w14:textId="77777777" w:rsidR="00EB70C4" w:rsidRDefault="00EB70C4" w:rsidP="00EB70C4">
      <w:r>
        <w:t>The new route will offer a safer and more efficient link for the mining industry in the northern Bowen Basin to Mackay and in particular, the industrial area of Paget.</w:t>
      </w:r>
    </w:p>
    <w:p w14:paraId="0A402511" w14:textId="42CA4658" w:rsidR="00DA2739" w:rsidRDefault="00EB70C4" w:rsidP="00EB70C4">
      <w:r>
        <w:t>The $186.6 million project is jointly funded by the Australian and Queensland governments on an 80:20 basis.</w:t>
      </w:r>
    </w:p>
    <w:p w14:paraId="6621CDEC" w14:textId="36028F6C" w:rsidR="00EB70C4" w:rsidRDefault="00EB70C4" w:rsidP="00EB70C4">
      <w:pPr>
        <w:pStyle w:val="MoreInformation"/>
      </w:pPr>
      <w:r>
        <w:t>For more information</w:t>
      </w:r>
      <w:r>
        <w:br/>
      </w:r>
      <w:hyperlink r:id="rId52" w:history="1">
        <w:r w:rsidR="004A0073" w:rsidRPr="004A0073">
          <w:rPr>
            <w:rStyle w:val="Hyperlink"/>
          </w:rPr>
          <w:t>https://www.tmr.qld.gov.au/projects/walkerston-bypass</w:t>
        </w:r>
      </w:hyperlink>
    </w:p>
    <w:p w14:paraId="38E2229C" w14:textId="36A94D1A" w:rsidR="006800C7" w:rsidRPr="0026316F" w:rsidRDefault="004A0073" w:rsidP="006800C7">
      <w:pPr>
        <w:pStyle w:val="Heading4"/>
      </w:pPr>
      <w:r>
        <w:t>Bruce Highway safety upgrades between Proserpine and Bowen</w:t>
      </w:r>
    </w:p>
    <w:p w14:paraId="5B43E891" w14:textId="77777777" w:rsidR="00AB41DA" w:rsidRDefault="00AB41DA" w:rsidP="00AB41DA">
      <w:r>
        <w:t>In August 2021, safety improvement works started on the Bruce Highway between Proserpine and Bowen.</w:t>
      </w:r>
    </w:p>
    <w:p w14:paraId="7B4D051B" w14:textId="77777777" w:rsidR="00AB41DA" w:rsidRDefault="00AB41DA" w:rsidP="00AB41DA">
      <w:r>
        <w:t>This section of the Bruce Highway is a key route that connects Mackay to Airlie Beach and the Whitsundays. It provides critical linkages for freight movements between inland production areas and 11 coastal ports and major regional centres.</w:t>
      </w:r>
    </w:p>
    <w:p w14:paraId="0A94AFD0" w14:textId="77777777" w:rsidR="00AB41DA" w:rsidRDefault="00AB41DA" w:rsidP="00AB41DA">
      <w:r>
        <w:t>The works include removal of roadside hazards, the installation of wide centre lines and audio tactile line marking as well as channelised right-turn treatments and pavement rehabilitation.</w:t>
      </w:r>
    </w:p>
    <w:p w14:paraId="4DBFAD8A" w14:textId="7413AFC2" w:rsidR="00AB41DA" w:rsidRDefault="00AB41DA" w:rsidP="00AB41DA">
      <w:r>
        <w:t>When completed in 2023, the project will improve safety by providing road users with additional separation between</w:t>
      </w:r>
      <w:r w:rsidR="008C6F23">
        <w:t xml:space="preserve"> </w:t>
      </w:r>
      <w:r>
        <w:t>oncoming vehicles, as well as warning road users they are about to leave the road and providing a more forgiving roadside.</w:t>
      </w:r>
    </w:p>
    <w:p w14:paraId="6E26004C" w14:textId="4D71532F" w:rsidR="00AB41DA" w:rsidRDefault="00AB41DA" w:rsidP="00AB41DA">
      <w:r>
        <w:lastRenderedPageBreak/>
        <w:t>The $44.1 million project is jointly funded by the Australian and Queensland governments on an 80:20 basis.</w:t>
      </w:r>
    </w:p>
    <w:p w14:paraId="29BD0FD3" w14:textId="47257ABB" w:rsidR="008C6F23" w:rsidRDefault="008C6F23" w:rsidP="008C6F23">
      <w:pPr>
        <w:pStyle w:val="MoreInformation"/>
      </w:pPr>
      <w:r>
        <w:t>For more information</w:t>
      </w:r>
      <w:r>
        <w:br/>
      </w:r>
      <w:hyperlink r:id="rId53" w:history="1">
        <w:r w:rsidR="00B87473" w:rsidRPr="00B87473">
          <w:rPr>
            <w:rStyle w:val="Hyperlink"/>
          </w:rPr>
          <w:t>https://www.tmr.qld.gov.au/projects/bruce-highway-proserpine-bowen-ten-mile-creek-to-yeates-creek-improve-safety</w:t>
        </w:r>
      </w:hyperlink>
    </w:p>
    <w:p w14:paraId="3D165279" w14:textId="4B6DF132" w:rsidR="006800C7" w:rsidRPr="0026316F" w:rsidRDefault="00B87473" w:rsidP="006800C7">
      <w:pPr>
        <w:pStyle w:val="Heading4"/>
      </w:pPr>
      <w:r>
        <w:t xml:space="preserve">Bowen Developmental Road sealing </w:t>
      </w:r>
      <w:r w:rsidR="003911AD">
        <w:t>project</w:t>
      </w:r>
    </w:p>
    <w:p w14:paraId="12323C6D" w14:textId="181F9B1F" w:rsidR="00EF633F" w:rsidRDefault="00EF633F" w:rsidP="00EF633F">
      <w:r>
        <w:t>Sealing works were completed in December 2021 to sections of Bowen Developmental Road, (between Deception Creek and Bulgonunna Creek), replacing ageing and damaged culvert structures, and upgrading signage.</w:t>
      </w:r>
    </w:p>
    <w:p w14:paraId="675E8F31" w14:textId="29C9FC76" w:rsidR="00EF633F" w:rsidRDefault="00EF633F" w:rsidP="00EF633F">
      <w:r>
        <w:t>The project delivered improvements in safety and travel times and has increased the overall reliability of the road during wet weather. These works also ensure the road can support increasing traffic volumes.</w:t>
      </w:r>
    </w:p>
    <w:p w14:paraId="204C774C" w14:textId="66EBF4C0" w:rsidR="00EF633F" w:rsidRDefault="00EF633F" w:rsidP="00EF633F">
      <w:r>
        <w:t>Bowen Developmental Road forms the arterial link between the Queensland coast and the northern Bowen Basin, as well as linking the northern and central Bowen Basin coal mines and towns.</w:t>
      </w:r>
    </w:p>
    <w:p w14:paraId="38B9B1A5" w14:textId="379A85BE" w:rsidR="00420E43" w:rsidRPr="00B37504" w:rsidRDefault="00EF633F" w:rsidP="006800C7">
      <w:r>
        <w:t>The project was fully funded by the Queensland Government as part of the road stimulus package.</w:t>
      </w:r>
    </w:p>
    <w:p w14:paraId="2D388086" w14:textId="1634B65A" w:rsidR="006800C7" w:rsidRPr="0026316F" w:rsidRDefault="00EF633F" w:rsidP="006800C7">
      <w:pPr>
        <w:pStyle w:val="Heading4"/>
      </w:pPr>
      <w:r>
        <w:t xml:space="preserve">Peak Downs Highway road safety improvements </w:t>
      </w:r>
    </w:p>
    <w:p w14:paraId="14001DE5" w14:textId="77777777" w:rsidR="00FB20A6" w:rsidRDefault="00FB20A6" w:rsidP="00FB20A6">
      <w:r>
        <w:t>Works were completed on the Peak Downs Highway between Eton and Mackay in November 2021 to improve the highway’s safety and efficiency.</w:t>
      </w:r>
    </w:p>
    <w:p w14:paraId="63878ECA" w14:textId="77777777" w:rsidR="00FB20A6" w:rsidRDefault="00FB20A6" w:rsidP="00FB20A6">
      <w:r>
        <w:t>Project works included:</w:t>
      </w:r>
    </w:p>
    <w:p w14:paraId="627DC8DA" w14:textId="7463E2AF" w:rsidR="00FB20A6" w:rsidRDefault="00FB20A6" w:rsidP="00FB20A6">
      <w:pPr>
        <w:pStyle w:val="ListBullet"/>
      </w:pPr>
      <w:r>
        <w:t>widening sections of the existing Peak Downs Highway</w:t>
      </w:r>
    </w:p>
    <w:p w14:paraId="0E8F3B80" w14:textId="05CE3195" w:rsidR="00FB20A6" w:rsidRDefault="00FB20A6" w:rsidP="00FB20A6">
      <w:pPr>
        <w:pStyle w:val="ListBullet"/>
      </w:pPr>
      <w:r>
        <w:t>upgrading intersections</w:t>
      </w:r>
    </w:p>
    <w:p w14:paraId="624B62D6" w14:textId="030463F5" w:rsidR="00FB20A6" w:rsidRDefault="00FB20A6" w:rsidP="00FB20A6">
      <w:pPr>
        <w:pStyle w:val="ListBullet"/>
      </w:pPr>
      <w:r>
        <w:t>addressing roadside hazards to improve safety for all road users.</w:t>
      </w:r>
    </w:p>
    <w:p w14:paraId="1B391044" w14:textId="2B2A9290" w:rsidR="00FB20A6" w:rsidRDefault="00FB20A6" w:rsidP="00FB20A6">
      <w:r>
        <w:t>The Peak Downs Highway is the principal freight corridor supplying the coal mines of northern Bowen Basin. The route carries significant volumes of freight, including oversize and over- mass vehicles moving large mining equipment.</w:t>
      </w:r>
    </w:p>
    <w:p w14:paraId="7731B347" w14:textId="77777777" w:rsidR="00FB20A6" w:rsidRDefault="00FB20A6" w:rsidP="00FB20A6">
      <w:r>
        <w:t>In addition, the highway also carries local and commuter traffic, including drive-in, drive-out mine workers from Mackay, Moranbah and Emerald.</w:t>
      </w:r>
    </w:p>
    <w:p w14:paraId="34817346" w14:textId="48B7A770" w:rsidR="00EF633F" w:rsidRDefault="00FB20A6" w:rsidP="00FB20A6">
      <w:r>
        <w:t>The project was jointly funded by the Australian and Queensland governments on an 80:20 basis.</w:t>
      </w:r>
    </w:p>
    <w:p w14:paraId="7DC77F9F" w14:textId="6719402F" w:rsidR="00EF633F" w:rsidRPr="00BD0990" w:rsidRDefault="00FB20A6" w:rsidP="00420E43">
      <w:pPr>
        <w:pStyle w:val="MoreInformation"/>
      </w:pPr>
      <w:r>
        <w:t>For more information</w:t>
      </w:r>
      <w:r>
        <w:br/>
      </w:r>
      <w:hyperlink r:id="rId54" w:history="1">
        <w:r w:rsidR="00420E43" w:rsidRPr="00420E43">
          <w:rPr>
            <w:rStyle w:val="Hyperlink"/>
          </w:rPr>
          <w:t>https://www.tmr.qld.gov.au/projects/peak-downs-highway-nebo-mackay-eton-to-mackay-targeted-road-safety-improvements</w:t>
        </w:r>
      </w:hyperlink>
    </w:p>
    <w:p w14:paraId="1932E503" w14:textId="066CC7AC" w:rsidR="006800C7" w:rsidRPr="0026316F" w:rsidRDefault="00420E43" w:rsidP="006800C7">
      <w:pPr>
        <w:pStyle w:val="Heading4"/>
      </w:pPr>
      <w:r>
        <w:t>Bruce Highway safety package (The Leap to Careys Creek)</w:t>
      </w:r>
    </w:p>
    <w:p w14:paraId="0C0710BF" w14:textId="374AB800" w:rsidR="00DD35C8" w:rsidRDefault="00DD35C8" w:rsidP="00DD35C8">
      <w:r>
        <w:t>The Bruce Highway Safety Package (The Leap to Careys Creek) was completed in December 2021 as part of the Bruce Highway Upgrade Program to improve safety, flood resilience, and capacity along the Bruce Highway.</w:t>
      </w:r>
    </w:p>
    <w:p w14:paraId="3647AC79" w14:textId="1DEE0481" w:rsidR="00DD35C8" w:rsidRDefault="00DD35C8" w:rsidP="00DD35C8">
      <w:r>
        <w:t>More than 30 kilometres of the Bruce Highway north of Mackay received targeted safety upgrades as part of the package.</w:t>
      </w:r>
    </w:p>
    <w:p w14:paraId="680B0025" w14:textId="007C294A" w:rsidR="00DD35C8" w:rsidRDefault="00DD35C8" w:rsidP="00DD35C8">
      <w:r>
        <w:lastRenderedPageBreak/>
        <w:t>Works included upgrading nine intersections along the Bruce Highway with the installation of protected turn lanes and improved lighting.</w:t>
      </w:r>
    </w:p>
    <w:p w14:paraId="7F721E44" w14:textId="264EB5E3" w:rsidR="00DD35C8" w:rsidRDefault="00DD35C8" w:rsidP="00DD35C8">
      <w:r>
        <w:t>Sections of the Bruce Highway were also widened to accommodate wide centre lines, with safety barriers installed, and an existing overtaking lane extended.</w:t>
      </w:r>
    </w:p>
    <w:p w14:paraId="184D3F14" w14:textId="39576356" w:rsidR="00DD35C8" w:rsidRDefault="00DD35C8" w:rsidP="00DD35C8">
      <w:r>
        <w:t>Town entry treatments were applied at The Leap and Kuttabul, reducing the likelihood of road users speeding through these rural towns.</w:t>
      </w:r>
    </w:p>
    <w:p w14:paraId="1064E38B" w14:textId="6679B330" w:rsidR="00420E43" w:rsidRDefault="00DD35C8" w:rsidP="00DD35C8">
      <w:r>
        <w:t>This package of projects was jointly funded by the Australian and Queensland governments on an 80:20 basis.</w:t>
      </w:r>
    </w:p>
    <w:p w14:paraId="26A7DA1B" w14:textId="7A9F7239" w:rsidR="00420E43" w:rsidRPr="00886845" w:rsidRDefault="00DD35C8" w:rsidP="00691766">
      <w:pPr>
        <w:pStyle w:val="MoreInformation"/>
      </w:pPr>
      <w:r>
        <w:t>For more information</w:t>
      </w:r>
      <w:r>
        <w:br/>
      </w:r>
      <w:hyperlink r:id="rId55" w:history="1">
        <w:r w:rsidR="00691766" w:rsidRPr="00691766">
          <w:rPr>
            <w:rStyle w:val="Hyperlink"/>
          </w:rPr>
          <w:t>https://www.tmr.qld.gov.au/projects/bruce-highway-mackay-to-proserpine-bruce-highway-safety-package-leap-to-careys-creek?homepage-rotator</w:t>
        </w:r>
      </w:hyperlink>
    </w:p>
    <w:p w14:paraId="2E521DE5" w14:textId="77777777" w:rsidR="006800C7" w:rsidRDefault="006800C7" w:rsidP="006800C7">
      <w:pPr>
        <w:pStyle w:val="Heading3"/>
      </w:pPr>
      <w:r>
        <w:t>Central West</w:t>
      </w:r>
    </w:p>
    <w:tbl>
      <w:tblPr>
        <w:tblStyle w:val="TMRAnnualReport2"/>
        <w:tblW w:w="8926" w:type="dxa"/>
        <w:tblLook w:val="04A0" w:firstRow="1" w:lastRow="0" w:firstColumn="1" w:lastColumn="0" w:noHBand="0" w:noVBand="1"/>
      </w:tblPr>
      <w:tblGrid>
        <w:gridCol w:w="1980"/>
        <w:gridCol w:w="1701"/>
        <w:gridCol w:w="1984"/>
        <w:gridCol w:w="1701"/>
        <w:gridCol w:w="1560"/>
      </w:tblGrid>
      <w:tr w:rsidR="006800C7" w:rsidRPr="008B5A09" w14:paraId="429380C1" w14:textId="77777777" w:rsidTr="00F31956">
        <w:trPr>
          <w:trHeight w:val="150"/>
        </w:trPr>
        <w:tc>
          <w:tcPr>
            <w:tcW w:w="1980" w:type="dxa"/>
            <w:noWrap/>
            <w:hideMark/>
          </w:tcPr>
          <w:p w14:paraId="1F51A532" w14:textId="77777777" w:rsidR="006800C7" w:rsidRPr="00B85E01" w:rsidRDefault="006800C7" w:rsidP="00F31956">
            <w:r>
              <w:rPr>
                <w:rStyle w:val="Strong"/>
              </w:rPr>
              <w:t>4378</w:t>
            </w:r>
            <w:r w:rsidRPr="00B85E01">
              <w:rPr>
                <w:rStyle w:val="Strong"/>
              </w:rPr>
              <w:t xml:space="preserve"> kilometres </w:t>
            </w:r>
            <w:r w:rsidRPr="00B85E01">
              <w:rPr>
                <w:rStyle w:val="Strong"/>
              </w:rPr>
              <w:br/>
            </w:r>
            <w:r w:rsidRPr="00B85E01">
              <w:t>State-controlled</w:t>
            </w:r>
            <w:r w:rsidRPr="00B85E01">
              <w:br/>
              <w:t xml:space="preserve"> road</w:t>
            </w:r>
            <w:r w:rsidRPr="00B85E01">
              <w:rPr>
                <w:rStyle w:val="FootnoteReference"/>
              </w:rPr>
              <w:footnoteReference w:id="17"/>
            </w:r>
          </w:p>
        </w:tc>
        <w:tc>
          <w:tcPr>
            <w:tcW w:w="1701" w:type="dxa"/>
            <w:noWrap/>
            <w:hideMark/>
          </w:tcPr>
          <w:p w14:paraId="1A3B4230" w14:textId="77777777" w:rsidR="006800C7" w:rsidRPr="00B85E01" w:rsidRDefault="006800C7" w:rsidP="00F31956">
            <w:r>
              <w:rPr>
                <w:rStyle w:val="Strong"/>
              </w:rPr>
              <w:t>693</w:t>
            </w:r>
            <w:r w:rsidRPr="005658BE">
              <w:rPr>
                <w:rStyle w:val="Strong"/>
              </w:rPr>
              <w:t xml:space="preserve"> kilometres </w:t>
            </w:r>
            <w:r w:rsidRPr="00B85E01">
              <w:t>National Land Transport Network</w:t>
            </w:r>
            <w:r w:rsidRPr="00B85E01">
              <w:rPr>
                <w:rStyle w:val="FootnoteReference"/>
              </w:rPr>
              <w:footnoteReference w:id="18"/>
            </w:r>
            <w:r w:rsidRPr="00B85E01">
              <w:t xml:space="preserve"> </w:t>
            </w:r>
          </w:p>
        </w:tc>
        <w:tc>
          <w:tcPr>
            <w:tcW w:w="1984" w:type="dxa"/>
            <w:noWrap/>
            <w:hideMark/>
          </w:tcPr>
          <w:p w14:paraId="6E66E8CD" w14:textId="49A903D7" w:rsidR="006800C7" w:rsidRPr="00B85E01" w:rsidRDefault="00D34F70" w:rsidP="00F31956">
            <w:r>
              <w:rPr>
                <w:rStyle w:val="Strong"/>
              </w:rPr>
              <w:t>1146</w:t>
            </w:r>
            <w:r w:rsidR="006800C7" w:rsidRPr="005658BE">
              <w:rPr>
                <w:rStyle w:val="Strong"/>
              </w:rPr>
              <w:t xml:space="preserve"> </w:t>
            </w:r>
            <w:r w:rsidR="006800C7" w:rsidRPr="00B85E01">
              <w:rPr>
                <w:rStyle w:val="Strong"/>
              </w:rPr>
              <w:br/>
            </w:r>
            <w:r w:rsidR="006800C7" w:rsidRPr="00B85E01">
              <w:t xml:space="preserve">Vehicle and machinery registrations </w:t>
            </w:r>
          </w:p>
        </w:tc>
        <w:tc>
          <w:tcPr>
            <w:tcW w:w="1701" w:type="dxa"/>
            <w:noWrap/>
            <w:hideMark/>
          </w:tcPr>
          <w:p w14:paraId="7CFDF79B" w14:textId="77777777" w:rsidR="006800C7" w:rsidRPr="00B85E01" w:rsidRDefault="006800C7" w:rsidP="00F31956">
            <w:r>
              <w:rPr>
                <w:rStyle w:val="Strong"/>
              </w:rPr>
              <w:t>1</w:t>
            </w:r>
            <w:r w:rsidRPr="00B85E01">
              <w:rPr>
                <w:rStyle w:val="Strong"/>
              </w:rPr>
              <w:br/>
            </w:r>
            <w:r w:rsidRPr="00B85E01">
              <w:t xml:space="preserve">Boating infrastructures </w:t>
            </w:r>
          </w:p>
        </w:tc>
        <w:tc>
          <w:tcPr>
            <w:tcW w:w="1560" w:type="dxa"/>
          </w:tcPr>
          <w:p w14:paraId="3610EE52" w14:textId="2942A788" w:rsidR="006800C7" w:rsidRPr="00B85E01" w:rsidRDefault="00D34F70" w:rsidP="00F31956">
            <w:r>
              <w:rPr>
                <w:rStyle w:val="Strong"/>
              </w:rPr>
              <w:t>8</w:t>
            </w:r>
            <w:r w:rsidR="006800C7" w:rsidRPr="00B85E01">
              <w:rPr>
                <w:rStyle w:val="Strong"/>
              </w:rPr>
              <w:br/>
            </w:r>
            <w:r w:rsidR="006800C7" w:rsidRPr="00B85E01">
              <w:t>Community safety events held</w:t>
            </w:r>
          </w:p>
        </w:tc>
      </w:tr>
      <w:tr w:rsidR="006800C7" w:rsidRPr="008B5A09" w14:paraId="16CBA5B1" w14:textId="77777777" w:rsidTr="00F31956">
        <w:trPr>
          <w:trHeight w:val="265"/>
        </w:trPr>
        <w:tc>
          <w:tcPr>
            <w:tcW w:w="1980" w:type="dxa"/>
            <w:noWrap/>
          </w:tcPr>
          <w:p w14:paraId="2FBF3219" w14:textId="27AE6EFA" w:rsidR="006800C7" w:rsidRPr="00B85E01" w:rsidRDefault="00D34F70" w:rsidP="00F31956">
            <w:r>
              <w:rPr>
                <w:rStyle w:val="Strong"/>
              </w:rPr>
              <w:t>20,244</w:t>
            </w:r>
            <w:r w:rsidR="006800C7" w:rsidRPr="00B85E01">
              <w:rPr>
                <w:rStyle w:val="Strong"/>
              </w:rPr>
              <w:br/>
            </w:r>
            <w:r w:rsidR="006800C7" w:rsidRPr="00B85E01">
              <w:t xml:space="preserve">Vehicle and machinery inspections completed </w:t>
            </w:r>
          </w:p>
        </w:tc>
        <w:tc>
          <w:tcPr>
            <w:tcW w:w="1701" w:type="dxa"/>
            <w:noWrap/>
          </w:tcPr>
          <w:p w14:paraId="54F1B595" w14:textId="72D13196" w:rsidR="006800C7" w:rsidRPr="00B85E01" w:rsidRDefault="006800C7" w:rsidP="00F31956">
            <w:r>
              <w:rPr>
                <w:rStyle w:val="Strong"/>
              </w:rPr>
              <w:t>7</w:t>
            </w:r>
            <w:r w:rsidR="00D34F70">
              <w:rPr>
                <w:rStyle w:val="Strong"/>
              </w:rPr>
              <w:t>7</w:t>
            </w:r>
            <w:r w:rsidRPr="00B85E01">
              <w:br/>
              <w:t>Bridges</w:t>
            </w:r>
            <w:r w:rsidRPr="00B85E01">
              <w:rPr>
                <w:rStyle w:val="FootnoteReference"/>
              </w:rPr>
              <w:footnoteReference w:id="19"/>
            </w:r>
            <w:r w:rsidRPr="00B85E01">
              <w:t xml:space="preserve"> </w:t>
            </w:r>
          </w:p>
        </w:tc>
        <w:tc>
          <w:tcPr>
            <w:tcW w:w="1984" w:type="dxa"/>
            <w:noWrap/>
          </w:tcPr>
          <w:p w14:paraId="57D0006D" w14:textId="2974376F" w:rsidR="006800C7" w:rsidRPr="00B85E01" w:rsidRDefault="006800C7" w:rsidP="00F31956">
            <w:r>
              <w:rPr>
                <w:rStyle w:val="Strong"/>
              </w:rPr>
              <w:t>3</w:t>
            </w:r>
            <w:r w:rsidR="00D34F70">
              <w:rPr>
                <w:rStyle w:val="Strong"/>
              </w:rPr>
              <w:t>31</w:t>
            </w:r>
            <w:r w:rsidRPr="00B85E01">
              <w:br/>
              <w:t xml:space="preserve">Driver licence tests conducted  </w:t>
            </w:r>
          </w:p>
        </w:tc>
        <w:tc>
          <w:tcPr>
            <w:tcW w:w="1701" w:type="dxa"/>
            <w:noWrap/>
          </w:tcPr>
          <w:p w14:paraId="61AD33A2" w14:textId="35258DC9" w:rsidR="006800C7" w:rsidRPr="00B85E01" w:rsidRDefault="006800C7" w:rsidP="00F31956">
            <w:r>
              <w:rPr>
                <w:rStyle w:val="Strong"/>
              </w:rPr>
              <w:t>10,80</w:t>
            </w:r>
            <w:r w:rsidR="00D34F70">
              <w:rPr>
                <w:rStyle w:val="Strong"/>
              </w:rPr>
              <w:t>3</w:t>
            </w:r>
            <w:r w:rsidRPr="00B85E01">
              <w:br/>
              <w:t xml:space="preserve">Customer face-to-face interaction </w:t>
            </w:r>
          </w:p>
        </w:tc>
        <w:tc>
          <w:tcPr>
            <w:tcW w:w="1560" w:type="dxa"/>
          </w:tcPr>
          <w:p w14:paraId="4CA2A61E" w14:textId="02006D28" w:rsidR="006800C7" w:rsidRPr="00B85E01" w:rsidRDefault="00D34F70" w:rsidP="00F31956">
            <w:r>
              <w:t>7</w:t>
            </w:r>
            <w:r w:rsidR="006800C7" w:rsidRPr="00B85E01">
              <w:br/>
              <w:t xml:space="preserve">Priority enabled intersections </w:t>
            </w:r>
          </w:p>
        </w:tc>
      </w:tr>
      <w:tr w:rsidR="006800C7" w:rsidRPr="008B5A09" w14:paraId="5E413E69" w14:textId="77777777" w:rsidTr="00F31956">
        <w:trPr>
          <w:trHeight w:val="265"/>
        </w:trPr>
        <w:tc>
          <w:tcPr>
            <w:tcW w:w="1980" w:type="dxa"/>
            <w:noWrap/>
          </w:tcPr>
          <w:p w14:paraId="1DA03425" w14:textId="34908A59" w:rsidR="006800C7" w:rsidRPr="00B85E01" w:rsidRDefault="006800C7" w:rsidP="00F31956">
            <w:pPr>
              <w:rPr>
                <w:rStyle w:val="Strong"/>
              </w:rPr>
            </w:pPr>
            <w:r>
              <w:t>Area covered</w:t>
            </w:r>
            <w:r>
              <w:br/>
            </w:r>
            <w:r>
              <w:rPr>
                <w:rStyle w:val="Strong"/>
              </w:rPr>
              <w:t>395,7</w:t>
            </w:r>
            <w:r w:rsidR="00D34F70">
              <w:rPr>
                <w:rStyle w:val="Strong"/>
              </w:rPr>
              <w:t>65</w:t>
            </w:r>
            <w:r w:rsidRPr="00B85E01">
              <w:rPr>
                <w:rStyle w:val="Strong"/>
              </w:rPr>
              <w:t xml:space="preserve"> square kilometres</w:t>
            </w:r>
            <w:r w:rsidRPr="00B85E01">
              <w:t xml:space="preserve"> </w:t>
            </w:r>
          </w:p>
        </w:tc>
        <w:tc>
          <w:tcPr>
            <w:tcW w:w="1701" w:type="dxa"/>
            <w:noWrap/>
          </w:tcPr>
          <w:p w14:paraId="25FD35CD" w14:textId="77777777" w:rsidR="006800C7" w:rsidRPr="00B85E01" w:rsidRDefault="006800C7" w:rsidP="00F31956">
            <w:pPr>
              <w:rPr>
                <w:rStyle w:val="Strong"/>
              </w:rPr>
            </w:pPr>
            <w:r>
              <w:t xml:space="preserve">Population of </w:t>
            </w:r>
            <w:r w:rsidRPr="00B85E01">
              <w:rPr>
                <w:rStyle w:val="Strong"/>
              </w:rPr>
              <w:t xml:space="preserve">Queensland </w:t>
            </w:r>
            <w:r w:rsidRPr="00B85E01">
              <w:rPr>
                <w:rStyle w:val="Strong"/>
              </w:rPr>
              <w:br/>
            </w:r>
            <w:r>
              <w:rPr>
                <w:rStyle w:val="Strong"/>
              </w:rPr>
              <w:t>0.20</w:t>
            </w:r>
            <w:r w:rsidRPr="00B85E01">
              <w:rPr>
                <w:rStyle w:val="Strong"/>
              </w:rPr>
              <w:t>%</w:t>
            </w:r>
            <w:r w:rsidRPr="00B85E01">
              <w:t xml:space="preserve"> </w:t>
            </w:r>
          </w:p>
        </w:tc>
        <w:tc>
          <w:tcPr>
            <w:tcW w:w="1984" w:type="dxa"/>
            <w:noWrap/>
          </w:tcPr>
          <w:p w14:paraId="7E05C273" w14:textId="77777777" w:rsidR="006800C7" w:rsidRDefault="006800C7" w:rsidP="00F31956"/>
        </w:tc>
        <w:tc>
          <w:tcPr>
            <w:tcW w:w="1701" w:type="dxa"/>
            <w:noWrap/>
          </w:tcPr>
          <w:p w14:paraId="3E01B2D5" w14:textId="77777777" w:rsidR="006800C7" w:rsidRPr="000E0E1F" w:rsidRDefault="006800C7" w:rsidP="00F31956"/>
        </w:tc>
        <w:tc>
          <w:tcPr>
            <w:tcW w:w="1560" w:type="dxa"/>
          </w:tcPr>
          <w:p w14:paraId="6236755C" w14:textId="77777777" w:rsidR="006800C7" w:rsidRPr="00C62589" w:rsidRDefault="006800C7" w:rsidP="00F31956"/>
        </w:tc>
      </w:tr>
    </w:tbl>
    <w:p w14:paraId="2A3A9556" w14:textId="77777777" w:rsidR="00666681" w:rsidRDefault="00666681" w:rsidP="00666681"/>
    <w:p w14:paraId="080422E1" w14:textId="32D4D6A0" w:rsidR="006800C7" w:rsidRDefault="006800C7" w:rsidP="006800C7">
      <w:pPr>
        <w:pStyle w:val="Heading4"/>
      </w:pPr>
      <w:r>
        <w:t xml:space="preserve">Highlights </w:t>
      </w:r>
    </w:p>
    <w:p w14:paraId="5915DB5F" w14:textId="41894D55" w:rsidR="00410039" w:rsidRPr="00410039" w:rsidRDefault="00410039" w:rsidP="00410039">
      <w:pPr>
        <w:pStyle w:val="ListBullet"/>
      </w:pPr>
      <w:r w:rsidRPr="00410039">
        <w:t>Completed paving and sealing of Blackall–Jericho Road.</w:t>
      </w:r>
    </w:p>
    <w:p w14:paraId="368DA953" w14:textId="0735C24F" w:rsidR="00410039" w:rsidRPr="00410039" w:rsidRDefault="00410039" w:rsidP="00410039">
      <w:pPr>
        <w:pStyle w:val="ListBullet"/>
      </w:pPr>
      <w:r w:rsidRPr="00410039">
        <w:t>Completed Birdsville Developmental Road paving and sealing between Morney and Birdsville.</w:t>
      </w:r>
    </w:p>
    <w:p w14:paraId="73A59883" w14:textId="310B2B73" w:rsidR="00410039" w:rsidRPr="00410039" w:rsidRDefault="00410039" w:rsidP="00410039">
      <w:pPr>
        <w:pStyle w:val="ListBullet"/>
      </w:pPr>
      <w:r w:rsidRPr="00410039">
        <w:t>Completed paving and sealing sections of the Eyre Developmental Road (Bedourie–Birdsville).</w:t>
      </w:r>
    </w:p>
    <w:p w14:paraId="32D8BEBF" w14:textId="3F46FF01" w:rsidR="00410039" w:rsidRPr="00410039" w:rsidRDefault="00410039" w:rsidP="00410039">
      <w:pPr>
        <w:pStyle w:val="ListBullet"/>
      </w:pPr>
      <w:r w:rsidRPr="00410039">
        <w:t>Continued pavement widening of the Capricorn Highway (Emerald–Alpha).</w:t>
      </w:r>
    </w:p>
    <w:p w14:paraId="57A0F711" w14:textId="37E886E4" w:rsidR="00410039" w:rsidRPr="00410039" w:rsidRDefault="00410039" w:rsidP="00410039">
      <w:pPr>
        <w:pStyle w:val="ListBullet"/>
      </w:pPr>
      <w:r w:rsidRPr="00410039">
        <w:t>Completed and continued pavement rehabilitation works on Barcaldine–Aramac Road.</w:t>
      </w:r>
    </w:p>
    <w:p w14:paraId="60579210" w14:textId="241E1624" w:rsidR="006800C7" w:rsidRPr="0026316F" w:rsidRDefault="00410039" w:rsidP="006800C7">
      <w:pPr>
        <w:pStyle w:val="Heading4"/>
      </w:pPr>
      <w:r>
        <w:t>Eyre Developmental Road sealing</w:t>
      </w:r>
    </w:p>
    <w:p w14:paraId="74B86562" w14:textId="77777777" w:rsidR="00F75470" w:rsidRDefault="00F75470" w:rsidP="00F75470">
      <w:r>
        <w:t>Sealing of more than 20 kilometres of the Eyre Developmental Road between Bedourie and Birdsville was completed in May 2022.</w:t>
      </w:r>
    </w:p>
    <w:p w14:paraId="307028E6" w14:textId="77777777" w:rsidR="00F75470" w:rsidRDefault="00F75470" w:rsidP="00F75470">
      <w:r>
        <w:lastRenderedPageBreak/>
        <w:t>Extending the sealed sections on this road has ensured regional communities are better connected.</w:t>
      </w:r>
    </w:p>
    <w:p w14:paraId="2B439365" w14:textId="77777777" w:rsidR="00F75470" w:rsidRDefault="00F75470" w:rsidP="00F75470">
      <w:r>
        <w:t>The project has delivered important improvements in safety, reliability, and travel times for:</w:t>
      </w:r>
    </w:p>
    <w:p w14:paraId="5A7A5FB5" w14:textId="4BC4E5AE" w:rsidR="00F75470" w:rsidRDefault="00F75470" w:rsidP="00F75470">
      <w:pPr>
        <w:pStyle w:val="ListBullet"/>
      </w:pPr>
      <w:r>
        <w:t>drive tourists exploring outback Queensland</w:t>
      </w:r>
    </w:p>
    <w:p w14:paraId="2DD9023C" w14:textId="7730CCC0" w:rsidR="00F75470" w:rsidRDefault="00F75470" w:rsidP="00F75470">
      <w:pPr>
        <w:pStyle w:val="ListBullet"/>
      </w:pPr>
      <w:r>
        <w:t>freight and agricultural industries that use this central link to access markets in major centres across Australia.</w:t>
      </w:r>
    </w:p>
    <w:p w14:paraId="5F4060E9" w14:textId="6C3562D4" w:rsidR="00F75470" w:rsidRDefault="00F75470" w:rsidP="00F75470">
      <w:r>
        <w:t>Sealing of a further 9 kilometre section, about 17 kilometres north of Birdsville commenced in June 2021 and is expected to be completed in late-2022.</w:t>
      </w:r>
    </w:p>
    <w:p w14:paraId="7D38BF7C" w14:textId="43D2A5AF" w:rsidR="00410039" w:rsidRDefault="00F75470" w:rsidP="00F75470">
      <w:r>
        <w:t>These projects were jointly funded by the Australian and Queensland governments.</w:t>
      </w:r>
    </w:p>
    <w:p w14:paraId="5B2D98CB" w14:textId="21EDFE8F" w:rsidR="00410039" w:rsidRPr="001F3B65" w:rsidRDefault="000002D5" w:rsidP="001F3B65">
      <w:pPr>
        <w:pStyle w:val="MoreInformation"/>
      </w:pPr>
      <w:r>
        <w:t>For more information</w:t>
      </w:r>
      <w:r>
        <w:br/>
      </w:r>
      <w:hyperlink r:id="rId56" w:history="1">
        <w:r w:rsidR="001F3B65" w:rsidRPr="001F3B65">
          <w:rPr>
            <w:rStyle w:val="Hyperlink"/>
          </w:rPr>
          <w:t>https://www.tmr.qld.gov.au/projects/eyre-developmental-road-bedourie-birdsville-section-1-pave-and-seal</w:t>
        </w:r>
      </w:hyperlink>
    </w:p>
    <w:p w14:paraId="0EF87C3D" w14:textId="50B6465E" w:rsidR="006800C7" w:rsidRPr="0026316F" w:rsidRDefault="001F3B65" w:rsidP="006800C7">
      <w:pPr>
        <w:pStyle w:val="Heading4"/>
      </w:pPr>
      <w:r>
        <w:t xml:space="preserve">Capricorn Highway widening </w:t>
      </w:r>
    </w:p>
    <w:p w14:paraId="2A32FDF0" w14:textId="1D1D5B69" w:rsidR="00995A81" w:rsidRDefault="00995A81" w:rsidP="00995A81">
      <w:r>
        <w:t>Targeted sections of the Capricorn Highway, between Emerald and Alpha, are being widened to improve the safety and efficiency of this key connector.</w:t>
      </w:r>
    </w:p>
    <w:p w14:paraId="4417766C" w14:textId="2CACDCFA" w:rsidR="00995A81" w:rsidRDefault="00995A81" w:rsidP="00995A81">
      <w:r>
        <w:t>Works are progressing east of Alpha to widen high priority sections of the highway to a width of nine metres. Several culverts are also being replaced or extended to increase the resilience of the highway after wet weather.</w:t>
      </w:r>
    </w:p>
    <w:p w14:paraId="17505779" w14:textId="7B2F08D4" w:rsidR="00995A81" w:rsidRDefault="00995A81" w:rsidP="00995A81">
      <w:r>
        <w:t>As the principal east-west freight corridor linking the Bruce Highway with the Landsborough Highway, this upgrade ensures the Capricorn Highway keeps pace with increasing traffic volumes and better supports heavy vehicle movements for the freight, agricultural, and resource industries.</w:t>
      </w:r>
    </w:p>
    <w:p w14:paraId="0F440F40" w14:textId="3CC5C760" w:rsidR="00995A81" w:rsidRDefault="00995A81" w:rsidP="00995A81">
      <w:r>
        <w:t>Communities such as Alpha, Jericho and Barcaldine who use the highway to access essential services in major centres, including Rockhampton, will also benefit from this project.</w:t>
      </w:r>
    </w:p>
    <w:p w14:paraId="661880BC" w14:textId="4109CA8A" w:rsidR="001F3B65" w:rsidRDefault="00995A81" w:rsidP="00995A81">
      <w:r>
        <w:t>The $9.7 million project, fully funded by the Queensland Government, is expected to be completed late-2022 weather permitting.</w:t>
      </w:r>
    </w:p>
    <w:p w14:paraId="01401639" w14:textId="33048A44" w:rsidR="00995A81" w:rsidRPr="001F3B65" w:rsidRDefault="00995A81" w:rsidP="00995A81">
      <w:pPr>
        <w:pStyle w:val="MoreInformation"/>
      </w:pPr>
      <w:r>
        <w:t>For more information</w:t>
      </w:r>
      <w:r>
        <w:br/>
      </w:r>
      <w:hyperlink r:id="rId57" w:history="1">
        <w:r w:rsidR="00031AD2" w:rsidRPr="00031AD2">
          <w:rPr>
            <w:rStyle w:val="Hyperlink"/>
          </w:rPr>
          <w:t>https://www.tmr.qld.gov.au/projects/capricorn-highway-emerald-alpha-widen-pavement</w:t>
        </w:r>
      </w:hyperlink>
    </w:p>
    <w:p w14:paraId="725DAD85" w14:textId="4C5B26F6" w:rsidR="00D3190A" w:rsidRPr="00D3190A" w:rsidRDefault="00D3190A" w:rsidP="00D3190A">
      <w:r w:rsidRPr="00D3190A">
        <w:rPr>
          <w:iCs/>
          <w:color w:val="auto"/>
          <w:sz w:val="26"/>
        </w:rPr>
        <w:t>Blackall–Jericho Road, pave and seal project</w:t>
      </w:r>
    </w:p>
    <w:p w14:paraId="4DAA7BFB" w14:textId="60001517" w:rsidR="00C82508" w:rsidRDefault="00C82508" w:rsidP="00C82508">
      <w:r>
        <w:t>Works to fully seal Blackall–Jericho Road were completed by March 2022.</w:t>
      </w:r>
    </w:p>
    <w:p w14:paraId="1701427E" w14:textId="2086C6F3" w:rsidR="00C82508" w:rsidRDefault="00C82508" w:rsidP="00C82508">
      <w:r>
        <w:t>The completion of the projects have provided surrounding communities with safer, all-weather access along this road for the first time, improving service delivery to health and education services.</w:t>
      </w:r>
    </w:p>
    <w:p w14:paraId="6283CEFD" w14:textId="65BDA3C3" w:rsidR="00C82508" w:rsidRDefault="00C82508" w:rsidP="00C82508">
      <w:r>
        <w:t>Recognised as a strategic link, Blackall–Jericho Road joins with the Landsborough and Capricorn highways and plays an important role in enabling commercial diversification.</w:t>
      </w:r>
    </w:p>
    <w:p w14:paraId="75A8A330" w14:textId="77777777" w:rsidR="00C82508" w:rsidRDefault="00C82508" w:rsidP="00C82508">
      <w:r>
        <w:t>The now fully sealed 120 kilometre road will positively contribute to the local economy well into the future and support liveable and prosperous communities.</w:t>
      </w:r>
    </w:p>
    <w:p w14:paraId="1B39C28F" w14:textId="61895C20" w:rsidR="00E1391A" w:rsidRDefault="00C82508" w:rsidP="00C82508">
      <w:r>
        <w:lastRenderedPageBreak/>
        <w:t>The project was jointly funded by the Australian and Queensland governments.</w:t>
      </w:r>
    </w:p>
    <w:p w14:paraId="5A83AD2A" w14:textId="5B2CCEE1" w:rsidR="00C82508" w:rsidRPr="001F3B65" w:rsidRDefault="00C82508" w:rsidP="00C82508">
      <w:pPr>
        <w:pStyle w:val="MoreInformation"/>
      </w:pPr>
      <w:r>
        <w:t>For more information</w:t>
      </w:r>
      <w:r>
        <w:br/>
      </w:r>
      <w:hyperlink r:id="rId58" w:history="1">
        <w:r w:rsidR="00C37436" w:rsidRPr="00C37436">
          <w:rPr>
            <w:rStyle w:val="Hyperlink"/>
          </w:rPr>
          <w:t>https://www.tmr.qld.gov.au/projects/blackall-jericho-road-pave-and-seal</w:t>
        </w:r>
      </w:hyperlink>
    </w:p>
    <w:p w14:paraId="0CC07D62" w14:textId="162CBF2F" w:rsidR="00435DE2" w:rsidRPr="00435DE2" w:rsidRDefault="00435DE2" w:rsidP="00435DE2">
      <w:r w:rsidRPr="00435DE2">
        <w:rPr>
          <w:iCs/>
          <w:color w:val="auto"/>
          <w:sz w:val="26"/>
        </w:rPr>
        <w:t>Barcaldine–Aramac Road widening</w:t>
      </w:r>
    </w:p>
    <w:p w14:paraId="5461F04C" w14:textId="56D5C6AD" w:rsidR="009D58B5" w:rsidRDefault="009D58B5" w:rsidP="009D58B5">
      <w:r>
        <w:t>Over 26 kilometres of Barcaldine–Aramac Road is being widened to improve traffic conditions on this key route between the two towns.</w:t>
      </w:r>
    </w:p>
    <w:p w14:paraId="2D3D4D5D" w14:textId="3E45BDEE" w:rsidR="009D58B5" w:rsidRDefault="009D58B5" w:rsidP="009D58B5">
      <w:r>
        <w:t>The upgrade is being delivered through five separate projects, with three completed in 2021. The remaining two projects will be delivered in 2022, weather permitting. When completed, over 70 per cent of the entire road will be widened providing significant safety improvements.</w:t>
      </w:r>
    </w:p>
    <w:p w14:paraId="23CDA1F5" w14:textId="77777777" w:rsidR="009D58B5" w:rsidRDefault="009D58B5" w:rsidP="009D58B5">
      <w:r>
        <w:t>Barcaldine–Aramac Road has the highest non-highway traffic volumes in the Central West region. It also provides a key connection to the Flinders Highway, enabling access to Townsville and beyond, and is an important link for the agricultural and tourism industries.</w:t>
      </w:r>
    </w:p>
    <w:p w14:paraId="6086242B" w14:textId="3D733892" w:rsidR="009D58B5" w:rsidRDefault="009D58B5" w:rsidP="009D58B5">
      <w:r>
        <w:t>In addition to improving safety, the upgrade is reducing travel times and increasing reliability for all road users.</w:t>
      </w:r>
    </w:p>
    <w:p w14:paraId="53296D45" w14:textId="084E0877" w:rsidR="00435DE2" w:rsidRDefault="009D58B5" w:rsidP="009D58B5">
      <w:r>
        <w:t>The package of projects, is jointly funded by the Australian and Queensland governments.</w:t>
      </w:r>
    </w:p>
    <w:p w14:paraId="6F91B8E5" w14:textId="684092F0" w:rsidR="00636AF1" w:rsidRPr="001F3B65" w:rsidRDefault="00636AF1" w:rsidP="00636AF1">
      <w:pPr>
        <w:pStyle w:val="MoreInformation"/>
      </w:pPr>
      <w:r>
        <w:t>For more information</w:t>
      </w:r>
      <w:r>
        <w:br/>
      </w:r>
      <w:hyperlink r:id="rId59" w:history="1">
        <w:r w:rsidR="00762DC8" w:rsidRPr="00762DC8">
          <w:rPr>
            <w:rStyle w:val="Hyperlink"/>
          </w:rPr>
          <w:t>https://www.tmr.qld.gov.au/projects/barcaldine-aramac-road-rehabilitate-and-widen</w:t>
        </w:r>
      </w:hyperlink>
    </w:p>
    <w:p w14:paraId="126A1F86" w14:textId="0DCD5F86" w:rsidR="006800C7" w:rsidRPr="0026316F" w:rsidRDefault="00762DC8" w:rsidP="006800C7">
      <w:pPr>
        <w:pStyle w:val="Heading4"/>
      </w:pPr>
      <w:r>
        <w:t>Birdsville Developmental Road sealing</w:t>
      </w:r>
    </w:p>
    <w:p w14:paraId="758282AD" w14:textId="169BBF9F" w:rsidR="000A7362" w:rsidRDefault="000A7362" w:rsidP="000A7362">
      <w:r>
        <w:t>Five kilometres of sealing works along the Birdsville Developmental Road, between Birdsville and Morney near Windorah was completed in November 2021.</w:t>
      </w:r>
    </w:p>
    <w:p w14:paraId="6D45B14A" w14:textId="0A671A41" w:rsidR="000A7362" w:rsidRDefault="000A7362" w:rsidP="000A7362">
      <w:r>
        <w:t>The road provides access to some of the furthest corners of outback Queensland. It has experienced a significant increase in traffic during popular events such as the Birdsville Races and Birdsville Big Red Bash. It also links Birdsville and Windorah with markets in major centres across Australia.</w:t>
      </w:r>
    </w:p>
    <w:p w14:paraId="54C1F030" w14:textId="5EEBEC3D" w:rsidR="000A7362" w:rsidRDefault="000A7362" w:rsidP="000A7362">
      <w:r>
        <w:t>Important improvements in safety and productivity, while reducing travel times and enhancing wet weather access, have also been delivered.</w:t>
      </w:r>
    </w:p>
    <w:p w14:paraId="2D26006E" w14:textId="2F2836B5" w:rsidR="00762DC8" w:rsidRDefault="000A7362" w:rsidP="000A7362">
      <w:r>
        <w:t>The project was jointly funded by the Australian and Queensland governments under the Regional Economic Enabling Fund.</w:t>
      </w:r>
    </w:p>
    <w:p w14:paraId="50082DFD" w14:textId="136E15BA" w:rsidR="00762DC8" w:rsidRDefault="000A7362" w:rsidP="000928FA">
      <w:pPr>
        <w:pStyle w:val="MoreInformation"/>
      </w:pPr>
      <w:r>
        <w:t>For more information</w:t>
      </w:r>
      <w:r>
        <w:br/>
      </w:r>
      <w:hyperlink r:id="rId60" w:history="1">
        <w:r w:rsidR="000928FA" w:rsidRPr="000928FA">
          <w:rPr>
            <w:rStyle w:val="Hyperlink"/>
          </w:rPr>
          <w:t>https://www.tmr.qld.gov.au/projects/birdsville-developmental-road-morney-birdsville-pave-and-seal</w:t>
        </w:r>
      </w:hyperlink>
    </w:p>
    <w:p w14:paraId="0D5F2DB0" w14:textId="77777777" w:rsidR="006800C7" w:rsidRDefault="006800C7" w:rsidP="006800C7">
      <w:pPr>
        <w:pStyle w:val="Heading3"/>
      </w:pPr>
      <w:r>
        <w:t>Fitzroy</w:t>
      </w:r>
    </w:p>
    <w:tbl>
      <w:tblPr>
        <w:tblStyle w:val="TMRAnnualReport2"/>
        <w:tblW w:w="8926" w:type="dxa"/>
        <w:tblLook w:val="04A0" w:firstRow="1" w:lastRow="0" w:firstColumn="1" w:lastColumn="0" w:noHBand="0" w:noVBand="1"/>
      </w:tblPr>
      <w:tblGrid>
        <w:gridCol w:w="1980"/>
        <w:gridCol w:w="1701"/>
        <w:gridCol w:w="1984"/>
        <w:gridCol w:w="1701"/>
        <w:gridCol w:w="1560"/>
      </w:tblGrid>
      <w:tr w:rsidR="006800C7" w:rsidRPr="008B5A09" w14:paraId="37C51057" w14:textId="77777777" w:rsidTr="00F31956">
        <w:trPr>
          <w:trHeight w:val="150"/>
        </w:trPr>
        <w:tc>
          <w:tcPr>
            <w:tcW w:w="1980" w:type="dxa"/>
            <w:noWrap/>
            <w:hideMark/>
          </w:tcPr>
          <w:p w14:paraId="17687DE0" w14:textId="796A0CAF" w:rsidR="006800C7" w:rsidRPr="006504A2" w:rsidRDefault="006800C7" w:rsidP="00F31956">
            <w:r w:rsidRPr="005658BE">
              <w:rPr>
                <w:rStyle w:val="Strong"/>
              </w:rPr>
              <w:t>3</w:t>
            </w:r>
            <w:r>
              <w:rPr>
                <w:rStyle w:val="Strong"/>
              </w:rPr>
              <w:t>53</w:t>
            </w:r>
            <w:r w:rsidR="0086189C">
              <w:rPr>
                <w:rStyle w:val="Strong"/>
              </w:rPr>
              <w:t>1</w:t>
            </w:r>
            <w:r w:rsidRPr="006504A2">
              <w:rPr>
                <w:rStyle w:val="Strong"/>
              </w:rPr>
              <w:t xml:space="preserve"> kilometres </w:t>
            </w:r>
            <w:r w:rsidRPr="006504A2">
              <w:rPr>
                <w:rStyle w:val="Strong"/>
              </w:rPr>
              <w:br/>
            </w:r>
            <w:r w:rsidRPr="006504A2">
              <w:t>State-controlled</w:t>
            </w:r>
            <w:r w:rsidRPr="006504A2">
              <w:br/>
              <w:t xml:space="preserve"> road</w:t>
            </w:r>
            <w:r w:rsidRPr="006504A2">
              <w:rPr>
                <w:rStyle w:val="FootnoteReference"/>
              </w:rPr>
              <w:footnoteReference w:id="20"/>
            </w:r>
          </w:p>
        </w:tc>
        <w:tc>
          <w:tcPr>
            <w:tcW w:w="1701" w:type="dxa"/>
            <w:noWrap/>
            <w:hideMark/>
          </w:tcPr>
          <w:p w14:paraId="1EB1B20D" w14:textId="77777777" w:rsidR="006800C7" w:rsidRPr="006504A2" w:rsidRDefault="006800C7" w:rsidP="00F31956">
            <w:r>
              <w:rPr>
                <w:rStyle w:val="Strong"/>
              </w:rPr>
              <w:t>399</w:t>
            </w:r>
            <w:r w:rsidRPr="005658BE">
              <w:rPr>
                <w:rStyle w:val="Strong"/>
              </w:rPr>
              <w:t xml:space="preserve"> kilometres </w:t>
            </w:r>
            <w:r w:rsidRPr="006504A2">
              <w:t xml:space="preserve">National Land </w:t>
            </w:r>
            <w:r w:rsidRPr="006504A2">
              <w:lastRenderedPageBreak/>
              <w:t>Transport Network</w:t>
            </w:r>
            <w:r w:rsidRPr="006504A2">
              <w:rPr>
                <w:rStyle w:val="FootnoteReference"/>
              </w:rPr>
              <w:footnoteReference w:id="21"/>
            </w:r>
            <w:r w:rsidRPr="006504A2">
              <w:t xml:space="preserve"> </w:t>
            </w:r>
          </w:p>
        </w:tc>
        <w:tc>
          <w:tcPr>
            <w:tcW w:w="1984" w:type="dxa"/>
            <w:noWrap/>
            <w:hideMark/>
          </w:tcPr>
          <w:p w14:paraId="22084EA1" w14:textId="7EB586DB" w:rsidR="006800C7" w:rsidRPr="006504A2" w:rsidRDefault="0086189C" w:rsidP="00F31956">
            <w:r>
              <w:rPr>
                <w:rStyle w:val="Strong"/>
              </w:rPr>
              <w:lastRenderedPageBreak/>
              <w:t>6669</w:t>
            </w:r>
            <w:r w:rsidR="006800C7" w:rsidRPr="005658BE">
              <w:rPr>
                <w:rStyle w:val="Strong"/>
              </w:rPr>
              <w:t xml:space="preserve"> </w:t>
            </w:r>
            <w:r w:rsidR="006800C7" w:rsidRPr="006504A2">
              <w:rPr>
                <w:rStyle w:val="Strong"/>
              </w:rPr>
              <w:br/>
            </w:r>
            <w:r w:rsidR="006800C7" w:rsidRPr="006504A2">
              <w:t xml:space="preserve">Vehicle and machinery registrations </w:t>
            </w:r>
          </w:p>
        </w:tc>
        <w:tc>
          <w:tcPr>
            <w:tcW w:w="1701" w:type="dxa"/>
            <w:noWrap/>
            <w:hideMark/>
          </w:tcPr>
          <w:p w14:paraId="33BD28EB" w14:textId="77777777" w:rsidR="006800C7" w:rsidRPr="006504A2" w:rsidRDefault="006800C7" w:rsidP="00F31956">
            <w:r>
              <w:rPr>
                <w:rStyle w:val="Strong"/>
              </w:rPr>
              <w:t>55</w:t>
            </w:r>
            <w:r w:rsidRPr="00B33E3B">
              <w:rPr>
                <w:rStyle w:val="Strong"/>
              </w:rPr>
              <w:t xml:space="preserve"> </w:t>
            </w:r>
            <w:r w:rsidRPr="006504A2">
              <w:rPr>
                <w:rStyle w:val="Strong"/>
              </w:rPr>
              <w:br/>
            </w:r>
            <w:r w:rsidRPr="006504A2">
              <w:t xml:space="preserve">Boating infrastructures </w:t>
            </w:r>
          </w:p>
        </w:tc>
        <w:tc>
          <w:tcPr>
            <w:tcW w:w="1560" w:type="dxa"/>
          </w:tcPr>
          <w:p w14:paraId="7AD77C36" w14:textId="7961F0C0" w:rsidR="006800C7" w:rsidRPr="006504A2" w:rsidRDefault="0086189C" w:rsidP="00F31956">
            <w:r>
              <w:rPr>
                <w:rStyle w:val="Strong"/>
              </w:rPr>
              <w:t>13</w:t>
            </w:r>
            <w:r w:rsidR="006800C7" w:rsidRPr="006504A2">
              <w:rPr>
                <w:rStyle w:val="Strong"/>
              </w:rPr>
              <w:br/>
            </w:r>
            <w:r w:rsidR="006800C7" w:rsidRPr="006504A2">
              <w:t>Community safety events held</w:t>
            </w:r>
          </w:p>
        </w:tc>
      </w:tr>
      <w:tr w:rsidR="006800C7" w:rsidRPr="008B5A09" w14:paraId="74E1AC64" w14:textId="77777777" w:rsidTr="00F31956">
        <w:trPr>
          <w:trHeight w:val="265"/>
        </w:trPr>
        <w:tc>
          <w:tcPr>
            <w:tcW w:w="1980" w:type="dxa"/>
            <w:noWrap/>
          </w:tcPr>
          <w:p w14:paraId="1E10A2AA" w14:textId="34FE0F30" w:rsidR="006800C7" w:rsidRPr="006504A2" w:rsidRDefault="0086189C" w:rsidP="00F31956">
            <w:r>
              <w:rPr>
                <w:rStyle w:val="Strong"/>
              </w:rPr>
              <w:t>298,246</w:t>
            </w:r>
            <w:r w:rsidR="006800C7" w:rsidRPr="006504A2">
              <w:rPr>
                <w:rStyle w:val="Strong"/>
              </w:rPr>
              <w:br/>
            </w:r>
            <w:r w:rsidR="006800C7" w:rsidRPr="006504A2">
              <w:t xml:space="preserve">Vehicle and machinery inspections completed </w:t>
            </w:r>
          </w:p>
        </w:tc>
        <w:tc>
          <w:tcPr>
            <w:tcW w:w="1701" w:type="dxa"/>
            <w:noWrap/>
          </w:tcPr>
          <w:p w14:paraId="7F3D0B0D" w14:textId="6E5ABA57" w:rsidR="006800C7" w:rsidRPr="006504A2" w:rsidRDefault="006800C7" w:rsidP="00F31956">
            <w:r>
              <w:rPr>
                <w:rStyle w:val="Strong"/>
              </w:rPr>
              <w:t>3</w:t>
            </w:r>
            <w:r w:rsidR="0086189C">
              <w:rPr>
                <w:rStyle w:val="Strong"/>
              </w:rPr>
              <w:t>12</w:t>
            </w:r>
            <w:r w:rsidRPr="006504A2">
              <w:br/>
              <w:t>Bridges</w:t>
            </w:r>
            <w:r w:rsidRPr="006504A2">
              <w:rPr>
                <w:rStyle w:val="FootnoteReference"/>
              </w:rPr>
              <w:footnoteReference w:id="22"/>
            </w:r>
            <w:r w:rsidRPr="006504A2">
              <w:t xml:space="preserve"> </w:t>
            </w:r>
          </w:p>
        </w:tc>
        <w:tc>
          <w:tcPr>
            <w:tcW w:w="1984" w:type="dxa"/>
            <w:noWrap/>
          </w:tcPr>
          <w:p w14:paraId="63DDF3DF" w14:textId="7D5404D6" w:rsidR="006800C7" w:rsidRPr="006504A2" w:rsidRDefault="0086189C" w:rsidP="00F31956">
            <w:r>
              <w:t>6331</w:t>
            </w:r>
            <w:r w:rsidR="006800C7" w:rsidRPr="006504A2">
              <w:br/>
              <w:t xml:space="preserve">Driver licence tests conducted  </w:t>
            </w:r>
          </w:p>
        </w:tc>
        <w:tc>
          <w:tcPr>
            <w:tcW w:w="1701" w:type="dxa"/>
            <w:noWrap/>
          </w:tcPr>
          <w:p w14:paraId="54E19F7B" w14:textId="7BEE09D9" w:rsidR="006800C7" w:rsidRPr="006504A2" w:rsidRDefault="0086189C" w:rsidP="00F31956">
            <w:r>
              <w:rPr>
                <w:rStyle w:val="Strong"/>
              </w:rPr>
              <w:t>190,910</w:t>
            </w:r>
            <w:r w:rsidR="006800C7" w:rsidRPr="006504A2">
              <w:br/>
              <w:t xml:space="preserve">Customer face-to-face interaction </w:t>
            </w:r>
          </w:p>
        </w:tc>
        <w:tc>
          <w:tcPr>
            <w:tcW w:w="1560" w:type="dxa"/>
          </w:tcPr>
          <w:p w14:paraId="6EB019FB" w14:textId="774E8FC2" w:rsidR="006800C7" w:rsidRPr="006504A2" w:rsidRDefault="006800C7" w:rsidP="00F31956">
            <w:r>
              <w:rPr>
                <w:rStyle w:val="Strong"/>
              </w:rPr>
              <w:t>1</w:t>
            </w:r>
            <w:r w:rsidR="0086189C">
              <w:rPr>
                <w:rStyle w:val="Strong"/>
              </w:rPr>
              <w:t>05</w:t>
            </w:r>
            <w:r w:rsidRPr="006504A2">
              <w:br/>
              <w:t xml:space="preserve">Priority enabled intersections </w:t>
            </w:r>
          </w:p>
        </w:tc>
      </w:tr>
      <w:tr w:rsidR="006800C7" w:rsidRPr="008B5A09" w14:paraId="60C7F1D5" w14:textId="77777777" w:rsidTr="00F31956">
        <w:trPr>
          <w:trHeight w:val="265"/>
        </w:trPr>
        <w:tc>
          <w:tcPr>
            <w:tcW w:w="1980" w:type="dxa"/>
            <w:noWrap/>
          </w:tcPr>
          <w:p w14:paraId="109F5C10" w14:textId="77777777" w:rsidR="006800C7" w:rsidRPr="006504A2" w:rsidRDefault="006800C7" w:rsidP="00F31956">
            <w:pPr>
              <w:rPr>
                <w:rStyle w:val="Strong"/>
              </w:rPr>
            </w:pPr>
            <w:r>
              <w:t>Area covered</w:t>
            </w:r>
            <w:r>
              <w:br/>
            </w:r>
            <w:r>
              <w:rPr>
                <w:rStyle w:val="Strong"/>
              </w:rPr>
              <w:t>117,588</w:t>
            </w:r>
            <w:r w:rsidRPr="006504A2">
              <w:rPr>
                <w:rStyle w:val="Strong"/>
              </w:rPr>
              <w:t xml:space="preserve"> square kilometres</w:t>
            </w:r>
            <w:r w:rsidRPr="006504A2">
              <w:t xml:space="preserve"> </w:t>
            </w:r>
          </w:p>
        </w:tc>
        <w:tc>
          <w:tcPr>
            <w:tcW w:w="1701" w:type="dxa"/>
            <w:noWrap/>
          </w:tcPr>
          <w:p w14:paraId="4C9B7C4C" w14:textId="11CD7F08" w:rsidR="006800C7" w:rsidRPr="006504A2" w:rsidRDefault="006800C7" w:rsidP="00F31956">
            <w:pPr>
              <w:rPr>
                <w:rStyle w:val="Strong"/>
              </w:rPr>
            </w:pPr>
            <w:r>
              <w:t xml:space="preserve">Population of </w:t>
            </w:r>
            <w:r w:rsidRPr="006504A2">
              <w:rPr>
                <w:rStyle w:val="Strong"/>
              </w:rPr>
              <w:t xml:space="preserve">Queensland </w:t>
            </w:r>
            <w:r w:rsidRPr="006504A2">
              <w:rPr>
                <w:rStyle w:val="Strong"/>
              </w:rPr>
              <w:br/>
            </w:r>
            <w:r>
              <w:rPr>
                <w:rStyle w:val="Strong"/>
              </w:rPr>
              <w:t>4.4</w:t>
            </w:r>
            <w:r w:rsidR="0086189C">
              <w:rPr>
                <w:rStyle w:val="Strong"/>
              </w:rPr>
              <w:t>3</w:t>
            </w:r>
            <w:r w:rsidRPr="006504A2">
              <w:rPr>
                <w:rStyle w:val="Strong"/>
              </w:rPr>
              <w:t>%</w:t>
            </w:r>
            <w:r w:rsidRPr="006504A2">
              <w:t xml:space="preserve"> </w:t>
            </w:r>
          </w:p>
        </w:tc>
        <w:tc>
          <w:tcPr>
            <w:tcW w:w="1984" w:type="dxa"/>
            <w:noWrap/>
          </w:tcPr>
          <w:p w14:paraId="03FC4914" w14:textId="77777777" w:rsidR="006800C7" w:rsidRDefault="006800C7" w:rsidP="00F31956"/>
        </w:tc>
        <w:tc>
          <w:tcPr>
            <w:tcW w:w="1701" w:type="dxa"/>
            <w:noWrap/>
          </w:tcPr>
          <w:p w14:paraId="008C331A" w14:textId="77777777" w:rsidR="006800C7" w:rsidRPr="000E0E1F" w:rsidRDefault="006800C7" w:rsidP="00F31956"/>
        </w:tc>
        <w:tc>
          <w:tcPr>
            <w:tcW w:w="1560" w:type="dxa"/>
          </w:tcPr>
          <w:p w14:paraId="1D910DB7" w14:textId="77777777" w:rsidR="006800C7" w:rsidRPr="00C62589" w:rsidRDefault="006800C7" w:rsidP="00F31956"/>
        </w:tc>
      </w:tr>
    </w:tbl>
    <w:p w14:paraId="24C14595" w14:textId="77777777" w:rsidR="00AB6C0C" w:rsidRDefault="00AB6C0C" w:rsidP="00AB6C0C"/>
    <w:p w14:paraId="7195613D" w14:textId="4E5B6F15" w:rsidR="006800C7" w:rsidRDefault="006800C7" w:rsidP="006800C7">
      <w:pPr>
        <w:pStyle w:val="Heading4"/>
      </w:pPr>
      <w:r>
        <w:t xml:space="preserve">Highlights </w:t>
      </w:r>
    </w:p>
    <w:p w14:paraId="2B353106" w14:textId="11C3E975" w:rsidR="00FC4995" w:rsidRPr="00FC4995" w:rsidRDefault="00FC4995" w:rsidP="00FC4995">
      <w:pPr>
        <w:pStyle w:val="ListBullet"/>
      </w:pPr>
      <w:r w:rsidRPr="00FC4995">
        <w:t>Completed duplication, from two to four lanes, of the Bruce Highway Rockhampton Northern Access between Rockhampton–Yeppoon Road and Parkhurst.</w:t>
      </w:r>
    </w:p>
    <w:p w14:paraId="32A68587" w14:textId="62338769" w:rsidR="00FC4995" w:rsidRPr="00FC4995" w:rsidRDefault="00FC4995" w:rsidP="00FC4995">
      <w:pPr>
        <w:pStyle w:val="ListBullet"/>
      </w:pPr>
      <w:r w:rsidRPr="00FC4995">
        <w:t>Continued upgrading intersections along Gavial–Gracemere Road (Lawrie Street) and widening to four lanes.</w:t>
      </w:r>
    </w:p>
    <w:p w14:paraId="395D576C" w14:textId="121D4659" w:rsidR="00FC4995" w:rsidRPr="00FC4995" w:rsidRDefault="00FC4995" w:rsidP="00FC4995">
      <w:pPr>
        <w:pStyle w:val="ListBullet"/>
      </w:pPr>
      <w:r w:rsidRPr="00FC4995">
        <w:t>Completed duplication of the Capricorn Highway, from two to four lanes, between Rockhampton and Gracemere.</w:t>
      </w:r>
    </w:p>
    <w:p w14:paraId="4CEF99BC" w14:textId="644A27B5" w:rsidR="00FC4995" w:rsidRPr="00FC4995" w:rsidRDefault="00FC4995" w:rsidP="00FC4995">
      <w:pPr>
        <w:pStyle w:val="ListBullet"/>
      </w:pPr>
      <w:r w:rsidRPr="00FC4995">
        <w:t>Commenced detailed design Rockhampton–Yeppoon Road, Yeppoon Road upgrade project.</w:t>
      </w:r>
    </w:p>
    <w:p w14:paraId="2AA05A2C" w14:textId="03346CC0" w:rsidR="00FC4995" w:rsidRPr="00FC4995" w:rsidRDefault="00FC4995" w:rsidP="00FC4995">
      <w:pPr>
        <w:pStyle w:val="ListBullet"/>
      </w:pPr>
      <w:r w:rsidRPr="00FC4995">
        <w:t>Completed detailed design of the Rockhampton Ring Road project.</w:t>
      </w:r>
    </w:p>
    <w:p w14:paraId="481824F9" w14:textId="516ABF9E" w:rsidR="006B52A4" w:rsidRPr="006B52A4" w:rsidRDefault="006B52A4" w:rsidP="006B52A4">
      <w:r w:rsidRPr="006B52A4">
        <w:rPr>
          <w:iCs/>
          <w:color w:val="auto"/>
          <w:sz w:val="26"/>
        </w:rPr>
        <w:t>Capricorn Highway upgrade, Rockhampton–Gracemere</w:t>
      </w:r>
    </w:p>
    <w:p w14:paraId="1044E043" w14:textId="77777777" w:rsidR="00AA7A48" w:rsidRDefault="00AA7A48" w:rsidP="00AA7A48">
      <w:r>
        <w:t>The Capricorn Highway upgrade between Rockhampton and Gracemere was completed in July 2021, improving connections for motorists, while also increasing safety on this section of the regional road network.</w:t>
      </w:r>
    </w:p>
    <w:p w14:paraId="3D5C2037" w14:textId="77777777" w:rsidR="00AA7A48" w:rsidRDefault="00AA7A48" w:rsidP="00AA7A48">
      <w:r>
        <w:t>The project has delivered the following features:</w:t>
      </w:r>
    </w:p>
    <w:p w14:paraId="124CA876" w14:textId="5E5037B4" w:rsidR="00AA7A48" w:rsidRDefault="00AA7A48" w:rsidP="00AA7A48">
      <w:pPr>
        <w:pStyle w:val="ListBullet"/>
      </w:pPr>
      <w:r>
        <w:t>four-lane separated highway from Rockhampton to Gracemere with a new eastbound carriageway</w:t>
      </w:r>
    </w:p>
    <w:p w14:paraId="21E77F7A" w14:textId="34A88EBD" w:rsidR="00AA7A48" w:rsidRDefault="00AA7A48" w:rsidP="00AA7A48">
      <w:pPr>
        <w:pStyle w:val="ListBullet"/>
      </w:pPr>
      <w:r>
        <w:t>intersection upgrades including dedicated turn lanes, improved sight distance, new line-marking and lighting</w:t>
      </w:r>
    </w:p>
    <w:p w14:paraId="49121F2C" w14:textId="4FB68696" w:rsidR="00AA7A48" w:rsidRDefault="00AA7A48" w:rsidP="00AA7A48">
      <w:pPr>
        <w:pStyle w:val="ListBullet"/>
      </w:pPr>
      <w:r>
        <w:t>new active transport infrastructure including on-road cycling facilities and a new westbound cyclist bridge at Scrubby Creek</w:t>
      </w:r>
    </w:p>
    <w:p w14:paraId="5742A922" w14:textId="085EF4A3" w:rsidR="00AA7A48" w:rsidRDefault="00AA7A48" w:rsidP="00AA7A48">
      <w:pPr>
        <w:pStyle w:val="ListBullet"/>
      </w:pPr>
      <w:r>
        <w:t>new two-lane eastbound bridge at Scrubby Creek</w:t>
      </w:r>
    </w:p>
    <w:p w14:paraId="335F6880" w14:textId="269DC81A" w:rsidR="00AA7A48" w:rsidRDefault="00AA7A48" w:rsidP="00AA7A48">
      <w:pPr>
        <w:pStyle w:val="ListBullet"/>
      </w:pPr>
      <w:r>
        <w:t>signalised intersection at Fairy Bower Road and Old Gracemere Road</w:t>
      </w:r>
    </w:p>
    <w:p w14:paraId="6E38C699" w14:textId="7261D514" w:rsidR="00AA7A48" w:rsidRDefault="00AA7A48" w:rsidP="00AA7A48">
      <w:pPr>
        <w:pStyle w:val="ListBullet"/>
      </w:pPr>
      <w:r>
        <w:t>local road improvements on Nelson Street, Farmers Lane and Stanley Road to maintain local access</w:t>
      </w:r>
    </w:p>
    <w:p w14:paraId="1327BC18" w14:textId="41362BA8" w:rsidR="00AA7A48" w:rsidRDefault="00AA7A48" w:rsidP="00AA7A48">
      <w:pPr>
        <w:pStyle w:val="ListBullet"/>
      </w:pPr>
      <w:r>
        <w:t>service protection work for underground utilities including gas and water.</w:t>
      </w:r>
    </w:p>
    <w:p w14:paraId="7F018AF0" w14:textId="77777777" w:rsidR="00AA7A48" w:rsidRDefault="00AA7A48" w:rsidP="00AA7A48">
      <w:r>
        <w:t>In addition, the upgrade has increased capacity of the commuter route that services over 18,000 vehicles per day, reducing travel times, particularly during peak hour.</w:t>
      </w:r>
    </w:p>
    <w:p w14:paraId="05EAF470" w14:textId="0F2E7F88" w:rsidR="009271F8" w:rsidRDefault="00AA7A48" w:rsidP="00AA7A48">
      <w:r>
        <w:t>This project was jointly funded by the Australian and Queensland governments on an 80:20 basis.</w:t>
      </w:r>
    </w:p>
    <w:p w14:paraId="7A4DD0C2" w14:textId="68CEC29F" w:rsidR="009271F8" w:rsidRPr="001F37BF" w:rsidRDefault="00544027" w:rsidP="003C0126">
      <w:pPr>
        <w:pStyle w:val="MoreInformation"/>
      </w:pPr>
      <w:r>
        <w:lastRenderedPageBreak/>
        <w:t>For more information</w:t>
      </w:r>
      <w:r>
        <w:br/>
      </w:r>
      <w:hyperlink r:id="rId61" w:history="1">
        <w:r w:rsidR="003C0126" w:rsidRPr="003C0126">
          <w:rPr>
            <w:rStyle w:val="Hyperlink"/>
          </w:rPr>
          <w:t>https://www.tmr.qld.gov.au/projects/capricorn-highway-rockhampton-to-gracemere-duplication</w:t>
        </w:r>
      </w:hyperlink>
    </w:p>
    <w:p w14:paraId="1E50C863" w14:textId="167DCAE3" w:rsidR="006800C7" w:rsidRPr="0026316F" w:rsidRDefault="003C0126" w:rsidP="006800C7">
      <w:pPr>
        <w:pStyle w:val="Heading4"/>
      </w:pPr>
      <w:r>
        <w:t>Rockhampton Ring Road</w:t>
      </w:r>
    </w:p>
    <w:p w14:paraId="73A33293" w14:textId="55A906AA" w:rsidR="00740C27" w:rsidRDefault="00740C27" w:rsidP="00740C27">
      <w:r>
        <w:t>The Rockhampton Ring Road is a major infrastructure project in the central Queensland region that will improve road safety and support the region’s economy, by improving freight efficiency, flood resilience, and job opportunities.</w:t>
      </w:r>
    </w:p>
    <w:p w14:paraId="3DE2C544" w14:textId="76A9E86C" w:rsidR="00740C27" w:rsidRDefault="00740C27" w:rsidP="00740C27">
      <w:r>
        <w:t>The project’s detailed design commenced in September 2020 and was completed in March 2022. On site construction is expected to start in 2023, with completion in late-2026.</w:t>
      </w:r>
    </w:p>
    <w:p w14:paraId="5C96885D" w14:textId="0BA0F639" w:rsidR="00740C27" w:rsidRDefault="00740C27" w:rsidP="00740C27">
      <w:r>
        <w:t>A new 14.7 kilometre ring road will be delivered linking the Bruce Highway through Rockhampton. It will extend from the Capricorn Highway (Nelson Street) in the south to the Bruce Highway, Rockhampton–Yeppoon Road intersection in the north and will include a new crossing of the Fitzroy River between Pink Lily and Kawana.</w:t>
      </w:r>
    </w:p>
    <w:p w14:paraId="1BCE15E8" w14:textId="15FA3F30" w:rsidR="003C0126" w:rsidRDefault="00740C27" w:rsidP="00740C27">
      <w:r>
        <w:t>The $1.065 billion project is jointly funded by the Australian and Queensland governments on an 80:20 basis.</w:t>
      </w:r>
    </w:p>
    <w:p w14:paraId="1A4C2542" w14:textId="5CE4EEDC" w:rsidR="00740C27" w:rsidRPr="001F37BF" w:rsidRDefault="00740C27" w:rsidP="000163DC">
      <w:pPr>
        <w:pStyle w:val="MoreInformation"/>
      </w:pPr>
      <w:r>
        <w:t>For more information</w:t>
      </w:r>
      <w:r>
        <w:br/>
      </w:r>
      <w:hyperlink r:id="rId62" w:history="1">
        <w:r w:rsidR="004977D6" w:rsidRPr="004977D6">
          <w:rPr>
            <w:rStyle w:val="Hyperlink"/>
          </w:rPr>
          <w:t>https://www.tmr.qld.gov.au/projects/Rockhampton-Ring-Road</w:t>
        </w:r>
      </w:hyperlink>
    </w:p>
    <w:p w14:paraId="695CD261" w14:textId="5DC3DDE3" w:rsidR="000163DC" w:rsidRPr="000163DC" w:rsidRDefault="000163DC" w:rsidP="000163DC">
      <w:r w:rsidRPr="000163DC">
        <w:rPr>
          <w:iCs/>
          <w:color w:val="auto"/>
          <w:sz w:val="26"/>
        </w:rPr>
        <w:t>Rockhampton–Yeppoon Road, Yeppoon Road upgrade</w:t>
      </w:r>
    </w:p>
    <w:p w14:paraId="6CD90B2B" w14:textId="4C418FF0" w:rsidR="00E75257" w:rsidRDefault="00E75257" w:rsidP="00E75257">
      <w:r>
        <w:t>The Rockhampton–Yeppoon Road, Yeppoon Road upgrade project will be delivered as part of the Australian and Queensland governments’ 10-year Roads of Strategic Importance (ROSI) corridor investment.</w:t>
      </w:r>
    </w:p>
    <w:p w14:paraId="5D8E6129" w14:textId="77777777" w:rsidR="00E75257" w:rsidRDefault="00E75257" w:rsidP="00E75257">
      <w:r>
        <w:t>The ROSI initiative aims to ensure key freight roads efficiently connect agricultural regions and ports, airports and other transport hubs, and provide better access for tourism, mining, and other sectors.</w:t>
      </w:r>
    </w:p>
    <w:p w14:paraId="7F42A11F" w14:textId="5814F2F8" w:rsidR="00E75257" w:rsidRDefault="00E75257" w:rsidP="00E75257">
      <w:r>
        <w:t>The Australian and Queensland governments have committed $80 million on an 80:20 basis to duplicate around 5.6 kilometres of Rockhampton–Yeppoon Road between Iron Pot and Hedlow Creek.</w:t>
      </w:r>
    </w:p>
    <w:p w14:paraId="49446BA3" w14:textId="1ACF2D8A" w:rsidR="00E75257" w:rsidRDefault="00E75257" w:rsidP="00E75257">
      <w:r>
        <w:t>The project also includes upgrades to three intersections on Rockhampton–Yeppoon Road at Artillery Road, Dairy Inn Road, Iron Pot Road, and Cabbage Tree Creek Road.</w:t>
      </w:r>
    </w:p>
    <w:p w14:paraId="4C91DDCA" w14:textId="1912DA28" w:rsidR="000163DC" w:rsidRDefault="00E75257" w:rsidP="00E75257">
      <w:r>
        <w:t>Detailed design started in February 2021 and construction is expected to commence in early-2023, weather permitting.</w:t>
      </w:r>
    </w:p>
    <w:p w14:paraId="0347EDE7" w14:textId="0CFA5B5D" w:rsidR="00E75257" w:rsidRDefault="00B25437" w:rsidP="00C5071D">
      <w:pPr>
        <w:pStyle w:val="MoreInformation"/>
      </w:pPr>
      <w:r>
        <w:t>For more information</w:t>
      </w:r>
      <w:r>
        <w:br/>
      </w:r>
      <w:hyperlink r:id="rId63" w:history="1">
        <w:r w:rsidR="00C5071D" w:rsidRPr="00C5071D">
          <w:rPr>
            <w:rStyle w:val="Hyperlink"/>
          </w:rPr>
          <w:t>https://www.tmr.qld.gov.au/projects/yeppoon-road-upgrade-project</w:t>
        </w:r>
      </w:hyperlink>
    </w:p>
    <w:p w14:paraId="61AF1202" w14:textId="77777777" w:rsidR="00C5071D" w:rsidRPr="00E46578" w:rsidRDefault="00C5071D" w:rsidP="00C5071D">
      <w:pPr>
        <w:pStyle w:val="Heading3"/>
      </w:pPr>
      <w:r>
        <w:t>Case Study</w:t>
      </w:r>
    </w:p>
    <w:p w14:paraId="73348706" w14:textId="6ED17BBB" w:rsidR="00367325" w:rsidRDefault="00DD7C5A" w:rsidP="00367325">
      <w:r w:rsidRPr="00DD7C5A">
        <w:rPr>
          <w:iCs/>
          <w:color w:val="auto"/>
          <w:sz w:val="26"/>
        </w:rPr>
        <w:t>Capricorn Highway upgrade – Rockhampton to Gracemere Duplication</w:t>
      </w:r>
      <w:r w:rsidR="00AB6C0C">
        <w:rPr>
          <w:iCs/>
          <w:color w:val="auto"/>
          <w:sz w:val="26"/>
        </w:rPr>
        <w:br/>
      </w:r>
      <w:r w:rsidR="00367325">
        <w:t>With almost 18,000 vehicles per day on the commuter route connecting the communities of Gracemere and Rockhampton, increasing capacity of the highway, reducing travel times and improving safety were priorities for this project.</w:t>
      </w:r>
    </w:p>
    <w:p w14:paraId="412CD895" w14:textId="77777777" w:rsidR="00367325" w:rsidRDefault="00367325" w:rsidP="00367325">
      <w:r>
        <w:t>The upgrade provided a four-lane separated highway between Rockhampton and Gracemere, enhancing the capacity of the Capricorn Highway and improving connections between these communities while also increasing safety on this section of the regional road network.</w:t>
      </w:r>
    </w:p>
    <w:p w14:paraId="707D9914" w14:textId="77777777" w:rsidR="00367325" w:rsidRDefault="00367325" w:rsidP="00367325">
      <w:r>
        <w:lastRenderedPageBreak/>
        <w:t>The completed project also delivered key intersection upgrades at Fairy Bower Road and Old Gracemere Road and at McLaughlin Street. Active transport infrastructure was included as part of the project to upgrade bike riding infrastructure on the Principal Cycle Network.</w:t>
      </w:r>
    </w:p>
    <w:p w14:paraId="4E8650FF" w14:textId="364EF5C3" w:rsidR="00C5071D" w:rsidRDefault="00367325" w:rsidP="006800C7">
      <w:r>
        <w:t>Completing the upgrade to the Capricorn Highway has increased capacity and reduced travel times, particularly during the morning and afternoons peak. The installation of traffic signals at the Fairy Bower Road and Old Gracemere Road intersection has enhanced safety through improving sight distance and removing uncontrolled traffic movements.</w:t>
      </w:r>
    </w:p>
    <w:p w14:paraId="03878CDA" w14:textId="1C0D2118" w:rsidR="0071463E" w:rsidRPr="0071463E" w:rsidRDefault="0071463E" w:rsidP="0071463E">
      <w:r w:rsidRPr="0071463E">
        <w:rPr>
          <w:iCs/>
          <w:color w:val="auto"/>
          <w:sz w:val="26"/>
        </w:rPr>
        <w:t>Gavial–Gracemere Road (Lawrie Street), widen four lanes and upgrade intersections</w:t>
      </w:r>
    </w:p>
    <w:p w14:paraId="11A88998" w14:textId="38F0E171" w:rsidR="00AB6D8A" w:rsidRDefault="00AB6D8A" w:rsidP="00AB6D8A">
      <w:r>
        <w:t>Construction commenced in September 2021 to upgrade Lawrie Street from two to four lanes, between McLaughlin Street intersection with the Capricorn Highway to John Street and Russell Street in Gracemere.</w:t>
      </w:r>
    </w:p>
    <w:p w14:paraId="3BA82C75" w14:textId="77777777" w:rsidR="00AB6D8A" w:rsidRDefault="00AB6D8A" w:rsidP="00AB6D8A">
      <w:r>
        <w:t>The project will reduce congestion by providing additional capacity to cater for current and future growth in Gracemere, and will provide a safer experience for drivers, pedestrians, and bike riders.</w:t>
      </w:r>
    </w:p>
    <w:p w14:paraId="3DBE6709" w14:textId="77777777" w:rsidR="00AB6D8A" w:rsidRDefault="00AB6D8A" w:rsidP="00AB6D8A">
      <w:r>
        <w:t>Key features being delivered include:</w:t>
      </w:r>
    </w:p>
    <w:p w14:paraId="4C8398A3" w14:textId="183A0C73" w:rsidR="00AB6D8A" w:rsidRDefault="00AB6D8A" w:rsidP="00AB6D8A">
      <w:pPr>
        <w:pStyle w:val="ListBullet"/>
      </w:pPr>
      <w:r>
        <w:t>a new bridge adjacent to the existing rail overpass</w:t>
      </w:r>
    </w:p>
    <w:p w14:paraId="6F839348" w14:textId="39E2D9AB" w:rsidR="00AB6D8A" w:rsidRDefault="00AB6D8A" w:rsidP="00AB6D8A">
      <w:pPr>
        <w:pStyle w:val="ListBullet"/>
      </w:pPr>
      <w:r>
        <w:t>signalised intersections</w:t>
      </w:r>
    </w:p>
    <w:p w14:paraId="25B62AD7" w14:textId="7F3CEA06" w:rsidR="00AB6D8A" w:rsidRDefault="00AB6D8A" w:rsidP="00AB6D8A">
      <w:pPr>
        <w:pStyle w:val="ListBullet"/>
      </w:pPr>
      <w:r>
        <w:t>upgraded pedestrian and bike riding facilities.</w:t>
      </w:r>
    </w:p>
    <w:p w14:paraId="1A083DA0" w14:textId="77777777" w:rsidR="00AB6D8A" w:rsidRDefault="00AB6D8A" w:rsidP="00AB6D8A">
      <w:r>
        <w:t>The upgrade will integrate with the Capricorn Highway Duplication project (completed in July 2021) to improve network efficiency on the commuter route between Gracemere and Rockhampton.</w:t>
      </w:r>
    </w:p>
    <w:p w14:paraId="70C56DB4" w14:textId="77777777" w:rsidR="00AB6D8A" w:rsidRDefault="00AB6D8A" w:rsidP="00AB6D8A">
      <w:r>
        <w:t>Construction is due for completion in February 2023, weather permitting.</w:t>
      </w:r>
    </w:p>
    <w:p w14:paraId="27E657C0" w14:textId="610E7A51" w:rsidR="00AB6D8A" w:rsidRDefault="00AB6D8A" w:rsidP="00AB6D8A">
      <w:r>
        <w:t>The $35 million project is fully funded by the Queensland Government.</w:t>
      </w:r>
    </w:p>
    <w:p w14:paraId="71CF0614" w14:textId="04AB83FE" w:rsidR="00AB6D8A" w:rsidRDefault="009002F3" w:rsidP="001C608F">
      <w:pPr>
        <w:pStyle w:val="MoreInformation"/>
      </w:pPr>
      <w:r>
        <w:t>For more information</w:t>
      </w:r>
      <w:r>
        <w:br/>
      </w:r>
      <w:hyperlink r:id="rId64" w:history="1">
        <w:r w:rsidR="001C608F" w:rsidRPr="001C608F">
          <w:rPr>
            <w:rStyle w:val="Hyperlink"/>
          </w:rPr>
          <w:t>https://www.tmr.qld.gov.au/projects/gavial-gracemere-road-lawrie-street-widen-to-four-lanes-and-upgrade-intersections</w:t>
        </w:r>
      </w:hyperlink>
    </w:p>
    <w:p w14:paraId="1E1F7D1B" w14:textId="11DE7428" w:rsidR="006800C7" w:rsidRPr="0026316F" w:rsidRDefault="001C608F" w:rsidP="006800C7">
      <w:pPr>
        <w:pStyle w:val="Heading4"/>
      </w:pPr>
      <w:r>
        <w:t>Rockhampton Northern Access Upgrade and Bruce Highway safety package at Terranova Drive</w:t>
      </w:r>
    </w:p>
    <w:p w14:paraId="1A7E9993" w14:textId="1BBCCB87" w:rsidR="00334E70" w:rsidRDefault="00334E70" w:rsidP="00334E70">
      <w:r>
        <w:t>The Rockhampton Northern Access Upgrade, in conjunction with the Bruce Highway safety package at Terranova Drive was completed in August 2021.</w:t>
      </w:r>
    </w:p>
    <w:p w14:paraId="05D66B28" w14:textId="77777777" w:rsidR="00334E70" w:rsidRDefault="00334E70" w:rsidP="00334E70">
      <w:r>
        <w:t>By combining these two projects, 4.9 kilometres of highway was duplicated through the northern suburbs of Parkhurst linking to existing overtaking lanes at Glenlee.</w:t>
      </w:r>
    </w:p>
    <w:p w14:paraId="0DD98D57" w14:textId="77777777" w:rsidR="00334E70" w:rsidRDefault="00334E70" w:rsidP="00334E70">
      <w:r>
        <w:t>Key features delivered during 2021–22 included:</w:t>
      </w:r>
    </w:p>
    <w:p w14:paraId="6E0FF1BC" w14:textId="79124723" w:rsidR="00334E70" w:rsidRDefault="00334E70" w:rsidP="00334E70">
      <w:pPr>
        <w:pStyle w:val="ListBullet"/>
      </w:pPr>
      <w:r>
        <w:t>on-road bike riding facilities</w:t>
      </w:r>
    </w:p>
    <w:p w14:paraId="74B99CCC" w14:textId="2DBAC342" w:rsidR="00334E70" w:rsidRDefault="00334E70" w:rsidP="00334E70">
      <w:pPr>
        <w:pStyle w:val="ListBullet"/>
      </w:pPr>
      <w:r>
        <w:t>off-road dual pedestrian and bike riding facilities</w:t>
      </w:r>
    </w:p>
    <w:p w14:paraId="0FC146B5" w14:textId="142EC01E" w:rsidR="00334E70" w:rsidRDefault="00334E70" w:rsidP="00334E70">
      <w:pPr>
        <w:pStyle w:val="ListBullet"/>
      </w:pPr>
      <w:r>
        <w:t>new structures</w:t>
      </w:r>
    </w:p>
    <w:p w14:paraId="04C24654" w14:textId="19D962F2" w:rsidR="00334E70" w:rsidRDefault="00334E70" w:rsidP="00334E70">
      <w:pPr>
        <w:pStyle w:val="ListBullet"/>
      </w:pPr>
      <w:r>
        <w:t>two new service roads</w:t>
      </w:r>
    </w:p>
    <w:p w14:paraId="2C10BD50" w14:textId="2B465095" w:rsidR="00334E70" w:rsidRDefault="00334E70" w:rsidP="00334E70">
      <w:pPr>
        <w:pStyle w:val="ListBullet"/>
      </w:pPr>
      <w:r>
        <w:lastRenderedPageBreak/>
        <w:t>various intersection upgrades</w:t>
      </w:r>
    </w:p>
    <w:p w14:paraId="193B73C4" w14:textId="4181F510" w:rsidR="00334E70" w:rsidRDefault="00334E70" w:rsidP="00334E70">
      <w:pPr>
        <w:pStyle w:val="ListBullet"/>
      </w:pPr>
      <w:r>
        <w:t>local road realignment.</w:t>
      </w:r>
    </w:p>
    <w:p w14:paraId="3AC381F5" w14:textId="77777777" w:rsidR="00334E70" w:rsidRDefault="00334E70" w:rsidP="00334E70">
      <w:r>
        <w:t>The four-lane section of highway has increased the capacity of the Bruce Highway, improved connectivity, reduced travel times, and improved the overall safety on this section of the central Queensland road network.</w:t>
      </w:r>
    </w:p>
    <w:p w14:paraId="6B87ADC5" w14:textId="10F56183" w:rsidR="001C608F" w:rsidRDefault="00334E70" w:rsidP="00334E70">
      <w:r>
        <w:t>The project was jointly funded by the Australian and Queensland governments on an 80:20 basis.</w:t>
      </w:r>
    </w:p>
    <w:p w14:paraId="0447E2DF" w14:textId="38A7A651" w:rsidR="00334E70" w:rsidRDefault="00334E70" w:rsidP="00334E70">
      <w:pPr>
        <w:pStyle w:val="MoreInformation"/>
      </w:pPr>
      <w:r>
        <w:t>For more information</w:t>
      </w:r>
      <w:r>
        <w:br/>
      </w:r>
      <w:hyperlink r:id="rId65" w:history="1">
        <w:r w:rsidR="00BD35A9" w:rsidRPr="00BD35A9">
          <w:rPr>
            <w:rStyle w:val="Hyperlink"/>
          </w:rPr>
          <w:t>https://www.tmr.qld.gov.au/projects/rockhampton-northern-access-upgrade</w:t>
        </w:r>
      </w:hyperlink>
    </w:p>
    <w:p w14:paraId="485B5780" w14:textId="77777777" w:rsidR="006800C7" w:rsidRDefault="006800C7" w:rsidP="006800C7">
      <w:pPr>
        <w:pStyle w:val="Heading3"/>
      </w:pPr>
      <w:r>
        <w:t>Wide Bay/Burnett</w:t>
      </w:r>
    </w:p>
    <w:tbl>
      <w:tblPr>
        <w:tblStyle w:val="TMRAnnualReport2"/>
        <w:tblW w:w="8926" w:type="dxa"/>
        <w:tblLook w:val="04A0" w:firstRow="1" w:lastRow="0" w:firstColumn="1" w:lastColumn="0" w:noHBand="0" w:noVBand="1"/>
      </w:tblPr>
      <w:tblGrid>
        <w:gridCol w:w="1980"/>
        <w:gridCol w:w="1701"/>
        <w:gridCol w:w="1984"/>
        <w:gridCol w:w="1701"/>
        <w:gridCol w:w="1560"/>
      </w:tblGrid>
      <w:tr w:rsidR="006800C7" w:rsidRPr="008B5A09" w14:paraId="703CB64A" w14:textId="77777777" w:rsidTr="00F31956">
        <w:trPr>
          <w:trHeight w:val="150"/>
        </w:trPr>
        <w:tc>
          <w:tcPr>
            <w:tcW w:w="1980" w:type="dxa"/>
            <w:noWrap/>
            <w:hideMark/>
          </w:tcPr>
          <w:p w14:paraId="7338ABBA" w14:textId="77777777" w:rsidR="006800C7" w:rsidRPr="00EA0B3A" w:rsidRDefault="006800C7" w:rsidP="00F31956">
            <w:r>
              <w:rPr>
                <w:rStyle w:val="Strong"/>
              </w:rPr>
              <w:t>2970</w:t>
            </w:r>
            <w:r w:rsidRPr="00EA0B3A">
              <w:rPr>
                <w:rStyle w:val="Strong"/>
              </w:rPr>
              <w:t xml:space="preserve"> kilometres </w:t>
            </w:r>
            <w:r w:rsidRPr="00EA0B3A">
              <w:rPr>
                <w:rStyle w:val="Strong"/>
              </w:rPr>
              <w:br/>
            </w:r>
            <w:r w:rsidRPr="00EA0B3A">
              <w:t>State-controlled</w:t>
            </w:r>
            <w:r w:rsidRPr="00EA0B3A">
              <w:br/>
              <w:t xml:space="preserve"> road</w:t>
            </w:r>
            <w:r w:rsidRPr="00EA0B3A">
              <w:rPr>
                <w:rStyle w:val="FootnoteReference"/>
              </w:rPr>
              <w:footnoteReference w:id="23"/>
            </w:r>
          </w:p>
        </w:tc>
        <w:tc>
          <w:tcPr>
            <w:tcW w:w="1701" w:type="dxa"/>
            <w:noWrap/>
            <w:hideMark/>
          </w:tcPr>
          <w:p w14:paraId="602103CB" w14:textId="77777777" w:rsidR="006800C7" w:rsidRPr="00EA0B3A" w:rsidRDefault="006800C7" w:rsidP="00F31956">
            <w:r>
              <w:rPr>
                <w:rStyle w:val="Strong"/>
              </w:rPr>
              <w:t xml:space="preserve">271 </w:t>
            </w:r>
            <w:r w:rsidRPr="005658BE">
              <w:rPr>
                <w:rStyle w:val="Strong"/>
              </w:rPr>
              <w:t xml:space="preserve">kilometres </w:t>
            </w:r>
            <w:r w:rsidRPr="00EA0B3A">
              <w:t>National Land Transport Network</w:t>
            </w:r>
            <w:r w:rsidRPr="00EA0B3A">
              <w:rPr>
                <w:rStyle w:val="FootnoteReference"/>
              </w:rPr>
              <w:footnoteReference w:id="24"/>
            </w:r>
            <w:r w:rsidRPr="00EA0B3A">
              <w:t xml:space="preserve"> </w:t>
            </w:r>
          </w:p>
        </w:tc>
        <w:tc>
          <w:tcPr>
            <w:tcW w:w="1984" w:type="dxa"/>
            <w:noWrap/>
            <w:hideMark/>
          </w:tcPr>
          <w:p w14:paraId="6D9B5B16" w14:textId="05CF9B28" w:rsidR="006800C7" w:rsidRPr="00EA0B3A" w:rsidRDefault="00E419B8" w:rsidP="00F31956">
            <w:r>
              <w:rPr>
                <w:rStyle w:val="Strong"/>
              </w:rPr>
              <w:t>4691</w:t>
            </w:r>
            <w:r w:rsidR="006800C7" w:rsidRPr="005658BE">
              <w:rPr>
                <w:rStyle w:val="Strong"/>
              </w:rPr>
              <w:t xml:space="preserve"> </w:t>
            </w:r>
            <w:r w:rsidR="006800C7" w:rsidRPr="00EA0B3A">
              <w:rPr>
                <w:rStyle w:val="Strong"/>
              </w:rPr>
              <w:br/>
            </w:r>
            <w:r w:rsidR="006800C7" w:rsidRPr="00EA0B3A">
              <w:t xml:space="preserve">Vehicle and machinery registrations </w:t>
            </w:r>
          </w:p>
        </w:tc>
        <w:tc>
          <w:tcPr>
            <w:tcW w:w="1701" w:type="dxa"/>
            <w:noWrap/>
            <w:hideMark/>
          </w:tcPr>
          <w:p w14:paraId="7C023ABF" w14:textId="77777777" w:rsidR="006800C7" w:rsidRPr="00EA0B3A" w:rsidRDefault="006800C7" w:rsidP="00F31956">
            <w:r>
              <w:rPr>
                <w:rStyle w:val="Strong"/>
              </w:rPr>
              <w:t>72</w:t>
            </w:r>
            <w:r w:rsidRPr="00B33E3B">
              <w:rPr>
                <w:rStyle w:val="Strong"/>
              </w:rPr>
              <w:t xml:space="preserve"> </w:t>
            </w:r>
            <w:r w:rsidRPr="00EA0B3A">
              <w:rPr>
                <w:rStyle w:val="Strong"/>
              </w:rPr>
              <w:br/>
            </w:r>
            <w:r w:rsidRPr="00EA0B3A">
              <w:t xml:space="preserve">Boating infrastructures </w:t>
            </w:r>
          </w:p>
        </w:tc>
        <w:tc>
          <w:tcPr>
            <w:tcW w:w="1560" w:type="dxa"/>
          </w:tcPr>
          <w:p w14:paraId="7C94B6FB" w14:textId="35DF69ED" w:rsidR="006800C7" w:rsidRPr="00EA0B3A" w:rsidRDefault="00E419B8" w:rsidP="00F31956">
            <w:r>
              <w:rPr>
                <w:rStyle w:val="Strong"/>
              </w:rPr>
              <w:t>29</w:t>
            </w:r>
            <w:r w:rsidR="006800C7" w:rsidRPr="00EA0B3A">
              <w:rPr>
                <w:rStyle w:val="Strong"/>
              </w:rPr>
              <w:br/>
            </w:r>
            <w:r w:rsidR="006800C7" w:rsidRPr="00EA0B3A">
              <w:t>Community safety events held</w:t>
            </w:r>
          </w:p>
        </w:tc>
      </w:tr>
      <w:tr w:rsidR="006800C7" w:rsidRPr="008B5A09" w14:paraId="55F4D4AF" w14:textId="77777777" w:rsidTr="00F31956">
        <w:trPr>
          <w:trHeight w:val="265"/>
        </w:trPr>
        <w:tc>
          <w:tcPr>
            <w:tcW w:w="1980" w:type="dxa"/>
            <w:noWrap/>
          </w:tcPr>
          <w:p w14:paraId="642A1F81" w14:textId="1DA4EC53" w:rsidR="006800C7" w:rsidRPr="00EA0B3A" w:rsidRDefault="00E419B8" w:rsidP="00F31956">
            <w:r>
              <w:rPr>
                <w:rStyle w:val="Strong"/>
              </w:rPr>
              <w:t>430,440</w:t>
            </w:r>
            <w:r w:rsidR="006800C7" w:rsidRPr="00EA0B3A">
              <w:rPr>
                <w:rStyle w:val="Strong"/>
              </w:rPr>
              <w:br/>
            </w:r>
            <w:r w:rsidR="006800C7" w:rsidRPr="00EA0B3A">
              <w:t xml:space="preserve">Vehicle and machinery inspections completed </w:t>
            </w:r>
          </w:p>
        </w:tc>
        <w:tc>
          <w:tcPr>
            <w:tcW w:w="1701" w:type="dxa"/>
            <w:noWrap/>
          </w:tcPr>
          <w:p w14:paraId="3F0783FC" w14:textId="4C17EAD0" w:rsidR="006800C7" w:rsidRPr="00EA0B3A" w:rsidRDefault="006800C7" w:rsidP="00F31956">
            <w:r>
              <w:rPr>
                <w:rStyle w:val="Strong"/>
              </w:rPr>
              <w:t>29</w:t>
            </w:r>
            <w:r w:rsidR="00E419B8">
              <w:rPr>
                <w:rStyle w:val="Strong"/>
              </w:rPr>
              <w:t>5</w:t>
            </w:r>
            <w:r w:rsidRPr="00EA0B3A">
              <w:br/>
              <w:t>Bridges</w:t>
            </w:r>
            <w:r w:rsidRPr="00EA0B3A">
              <w:rPr>
                <w:rStyle w:val="FootnoteReference"/>
              </w:rPr>
              <w:footnoteReference w:id="25"/>
            </w:r>
            <w:r w:rsidRPr="00EA0B3A">
              <w:t xml:space="preserve"> </w:t>
            </w:r>
          </w:p>
        </w:tc>
        <w:tc>
          <w:tcPr>
            <w:tcW w:w="1984" w:type="dxa"/>
            <w:noWrap/>
          </w:tcPr>
          <w:p w14:paraId="1E5F3882" w14:textId="56B6C6CA" w:rsidR="006800C7" w:rsidRPr="00EA0B3A" w:rsidRDefault="00E419B8" w:rsidP="00F31956">
            <w:r>
              <w:rPr>
                <w:rStyle w:val="Strong"/>
              </w:rPr>
              <w:t>7392</w:t>
            </w:r>
            <w:r w:rsidR="006800C7" w:rsidRPr="00EA0B3A">
              <w:br/>
              <w:t xml:space="preserve">Driver licence tests conducted  </w:t>
            </w:r>
          </w:p>
        </w:tc>
        <w:tc>
          <w:tcPr>
            <w:tcW w:w="1701" w:type="dxa"/>
            <w:noWrap/>
          </w:tcPr>
          <w:p w14:paraId="4607A486" w14:textId="4522831A" w:rsidR="006800C7" w:rsidRPr="00EA0B3A" w:rsidRDefault="00E419B8" w:rsidP="00F31956">
            <w:r>
              <w:rPr>
                <w:rStyle w:val="Strong"/>
              </w:rPr>
              <w:t>268,592</w:t>
            </w:r>
            <w:r w:rsidR="006800C7" w:rsidRPr="00EA0B3A">
              <w:br/>
              <w:t xml:space="preserve">Customer face-to-face interaction </w:t>
            </w:r>
          </w:p>
        </w:tc>
        <w:tc>
          <w:tcPr>
            <w:tcW w:w="1560" w:type="dxa"/>
          </w:tcPr>
          <w:p w14:paraId="2E3F8598" w14:textId="566174B9" w:rsidR="006800C7" w:rsidRPr="00EA0B3A" w:rsidRDefault="006800C7" w:rsidP="00F31956">
            <w:r w:rsidRPr="00652161">
              <w:rPr>
                <w:rStyle w:val="Strong"/>
              </w:rPr>
              <w:t>1</w:t>
            </w:r>
            <w:r w:rsidR="00E419B8">
              <w:rPr>
                <w:rStyle w:val="Strong"/>
              </w:rPr>
              <w:t>30</w:t>
            </w:r>
            <w:r w:rsidRPr="00EA0B3A">
              <w:br/>
              <w:t xml:space="preserve">Priority enabled intersections </w:t>
            </w:r>
          </w:p>
        </w:tc>
      </w:tr>
      <w:tr w:rsidR="006800C7" w:rsidRPr="008B5A09" w14:paraId="536F9F2A" w14:textId="77777777" w:rsidTr="00F31956">
        <w:trPr>
          <w:trHeight w:val="265"/>
        </w:trPr>
        <w:tc>
          <w:tcPr>
            <w:tcW w:w="1980" w:type="dxa"/>
            <w:noWrap/>
          </w:tcPr>
          <w:p w14:paraId="2C902DD1" w14:textId="77777777" w:rsidR="006800C7" w:rsidRPr="00EA0B3A" w:rsidRDefault="006800C7" w:rsidP="00F31956">
            <w:pPr>
              <w:rPr>
                <w:rStyle w:val="Strong"/>
              </w:rPr>
            </w:pPr>
            <w:r>
              <w:t>Area covered</w:t>
            </w:r>
            <w:r>
              <w:br/>
            </w:r>
            <w:r>
              <w:rPr>
                <w:rStyle w:val="Strong"/>
              </w:rPr>
              <w:t>48,503</w:t>
            </w:r>
            <w:r w:rsidRPr="00EA0B3A">
              <w:rPr>
                <w:rStyle w:val="Strong"/>
              </w:rPr>
              <w:t xml:space="preserve"> square kilometres</w:t>
            </w:r>
            <w:r w:rsidRPr="00EA0B3A">
              <w:t xml:space="preserve"> </w:t>
            </w:r>
          </w:p>
        </w:tc>
        <w:tc>
          <w:tcPr>
            <w:tcW w:w="1701" w:type="dxa"/>
            <w:noWrap/>
          </w:tcPr>
          <w:p w14:paraId="323A8883" w14:textId="1634E706" w:rsidR="006800C7" w:rsidRPr="00EA0B3A" w:rsidRDefault="006800C7" w:rsidP="00F31956">
            <w:pPr>
              <w:rPr>
                <w:rStyle w:val="Strong"/>
              </w:rPr>
            </w:pPr>
            <w:r>
              <w:t xml:space="preserve">Population of </w:t>
            </w:r>
            <w:r w:rsidRPr="00EA0B3A">
              <w:rPr>
                <w:rStyle w:val="Strong"/>
              </w:rPr>
              <w:t xml:space="preserve">Queensland </w:t>
            </w:r>
            <w:r w:rsidRPr="00EA0B3A">
              <w:rPr>
                <w:rStyle w:val="Strong"/>
              </w:rPr>
              <w:br/>
            </w:r>
            <w:r>
              <w:rPr>
                <w:rStyle w:val="Strong"/>
              </w:rPr>
              <w:t>5.</w:t>
            </w:r>
            <w:r w:rsidR="00E419B8">
              <w:rPr>
                <w:rStyle w:val="Strong"/>
              </w:rPr>
              <w:t>96</w:t>
            </w:r>
            <w:r w:rsidRPr="00EA0B3A">
              <w:rPr>
                <w:rStyle w:val="Strong"/>
              </w:rPr>
              <w:t>%</w:t>
            </w:r>
            <w:r w:rsidRPr="00EA0B3A">
              <w:t xml:space="preserve"> </w:t>
            </w:r>
          </w:p>
        </w:tc>
        <w:tc>
          <w:tcPr>
            <w:tcW w:w="1984" w:type="dxa"/>
            <w:noWrap/>
          </w:tcPr>
          <w:p w14:paraId="0A93DE6A" w14:textId="77777777" w:rsidR="006800C7" w:rsidRDefault="006800C7" w:rsidP="00F31956"/>
        </w:tc>
        <w:tc>
          <w:tcPr>
            <w:tcW w:w="1701" w:type="dxa"/>
            <w:noWrap/>
          </w:tcPr>
          <w:p w14:paraId="65C82D4C" w14:textId="77777777" w:rsidR="006800C7" w:rsidRPr="000E0E1F" w:rsidRDefault="006800C7" w:rsidP="00F31956"/>
        </w:tc>
        <w:tc>
          <w:tcPr>
            <w:tcW w:w="1560" w:type="dxa"/>
          </w:tcPr>
          <w:p w14:paraId="4B7E9D91" w14:textId="77777777" w:rsidR="006800C7" w:rsidRPr="00C62589" w:rsidRDefault="006800C7" w:rsidP="00F31956"/>
        </w:tc>
      </w:tr>
    </w:tbl>
    <w:p w14:paraId="7C39DFC7" w14:textId="77777777" w:rsidR="006800C7" w:rsidRPr="00EA0B3A" w:rsidRDefault="006800C7" w:rsidP="006800C7"/>
    <w:p w14:paraId="534AC71C" w14:textId="77777777" w:rsidR="006800C7" w:rsidRDefault="006800C7" w:rsidP="006800C7">
      <w:pPr>
        <w:pStyle w:val="Heading4"/>
      </w:pPr>
      <w:r>
        <w:t xml:space="preserve">Highlights </w:t>
      </w:r>
    </w:p>
    <w:p w14:paraId="2AD1A83D" w14:textId="5CE2BD3E" w:rsidR="0007229C" w:rsidRPr="0007229C" w:rsidRDefault="0007229C" w:rsidP="0007229C">
      <w:pPr>
        <w:pStyle w:val="ListBullet"/>
      </w:pPr>
      <w:r w:rsidRPr="0007229C">
        <w:t>Completed Bruce Highway and Wide Bay Highway intersection upgrade, north of Gympie.</w:t>
      </w:r>
    </w:p>
    <w:p w14:paraId="483000E7" w14:textId="154ED4F5" w:rsidR="0007229C" w:rsidRPr="0007229C" w:rsidRDefault="0007229C" w:rsidP="0007229C">
      <w:pPr>
        <w:pStyle w:val="ListBullet"/>
      </w:pPr>
      <w:r w:rsidRPr="0007229C">
        <w:t>Continued construction of new bridge over Saltwater Creek and Deadmans Gully north of Maryborough, and associated flood immunity upgrades.</w:t>
      </w:r>
    </w:p>
    <w:p w14:paraId="749F8877" w14:textId="6A45CCB8" w:rsidR="0007229C" w:rsidRPr="0007229C" w:rsidRDefault="0007229C" w:rsidP="0007229C">
      <w:pPr>
        <w:pStyle w:val="ListBullet"/>
      </w:pPr>
      <w:r w:rsidRPr="0007229C">
        <w:t>Continued final stage construction of the Bruce Highway (Cooroy–Curra) (Section D) upgrade between Woondum and Curra.</w:t>
      </w:r>
    </w:p>
    <w:p w14:paraId="27432250" w14:textId="278AA93A" w:rsidR="0007229C" w:rsidRPr="0007229C" w:rsidRDefault="0007229C" w:rsidP="0007229C">
      <w:pPr>
        <w:pStyle w:val="ListBullet"/>
      </w:pPr>
      <w:r w:rsidRPr="0007229C">
        <w:t>Completed draft design for the Tiaro Bypass on the Bruce Highway.</w:t>
      </w:r>
    </w:p>
    <w:p w14:paraId="5CE0A53E" w14:textId="22E0F4D3" w:rsidR="0007229C" w:rsidRPr="0007229C" w:rsidRDefault="0007229C" w:rsidP="0007229C">
      <w:pPr>
        <w:pStyle w:val="ListBullet"/>
      </w:pPr>
      <w:r w:rsidRPr="0007229C">
        <w:t>Continued construction of John Peterson Bridge on the Mundubbera–Durong Road at Derri Derra.</w:t>
      </w:r>
    </w:p>
    <w:p w14:paraId="609926EB" w14:textId="160CEAF3" w:rsidR="004F778C" w:rsidRPr="004F778C" w:rsidRDefault="004F778C" w:rsidP="004F778C">
      <w:r w:rsidRPr="004F778C">
        <w:rPr>
          <w:iCs/>
          <w:color w:val="auto"/>
          <w:sz w:val="26"/>
        </w:rPr>
        <w:t>Bruce Highway (Maryborough–Gin Gin) Saltwater Creek and Deadmans Gully, flood immunity upgrade</w:t>
      </w:r>
    </w:p>
    <w:p w14:paraId="71EA85F0" w14:textId="20AEDC9E" w:rsidR="00FC0946" w:rsidRDefault="00FC0946" w:rsidP="00FC0946">
      <w:r>
        <w:t>Construction is underway to improve flood immunity along an 11 kilometre section of the Bruce Highway, between Maryborough and Torbanlea.</w:t>
      </w:r>
    </w:p>
    <w:p w14:paraId="0CF7C34A" w14:textId="781C9B67" w:rsidR="00FC0946" w:rsidRDefault="00FC0946" w:rsidP="00FC0946">
      <w:r>
        <w:lastRenderedPageBreak/>
        <w:t>The upgrade project involves constructing two new high-level bridges on a new alignment, west of the existing highway. These will replace the Saltwater Creek and Deadmans Gully crossings, as well as upgrading four floodways between Maryborough and Torbanlea.</w:t>
      </w:r>
    </w:p>
    <w:p w14:paraId="10514293" w14:textId="157CC8ED" w:rsidR="00FC0946" w:rsidRDefault="00FC0946" w:rsidP="00FC0946">
      <w:r>
        <w:t>During construction, large scallop-like shells from the early cretaceous period were discovered and are thought to be more than 110 million years old. The fossils were able to be safely removed from site and delivered to the Queensland Museum, where they will be prepared for exhibition.</w:t>
      </w:r>
    </w:p>
    <w:p w14:paraId="2825E1FA" w14:textId="7E438F33" w:rsidR="00FC0946" w:rsidRDefault="00FC0946" w:rsidP="00FC0946">
      <w:r>
        <w:t>Work is expected to be completed by late-2022, weather and construction conditions permitting.</w:t>
      </w:r>
    </w:p>
    <w:p w14:paraId="3C0C8A0A" w14:textId="505AE9EB" w:rsidR="00FC0946" w:rsidRDefault="00FC0946" w:rsidP="00FC0946">
      <w:r>
        <w:t>The $103 million project is jointly funded by the Australian and Queensland governments on an 80:20 basis.</w:t>
      </w:r>
    </w:p>
    <w:p w14:paraId="6F035A17" w14:textId="0600C522" w:rsidR="00FC0946" w:rsidRDefault="00D21606" w:rsidP="00245720">
      <w:pPr>
        <w:pStyle w:val="MoreInformation"/>
      </w:pPr>
      <w:r>
        <w:t>For more information</w:t>
      </w:r>
      <w:r>
        <w:br/>
      </w:r>
      <w:hyperlink r:id="rId66" w:history="1">
        <w:r w:rsidR="00245720" w:rsidRPr="00245720">
          <w:rPr>
            <w:rStyle w:val="Hyperlink"/>
          </w:rPr>
          <w:t>https://www.tmr.qld.gov.au/projects/bruce-highway-maryborough-gin-gin-saltwater-creek-and-deadmans-gully-flood-immunity-upgrades</w:t>
        </w:r>
      </w:hyperlink>
    </w:p>
    <w:p w14:paraId="7DBE0ED9" w14:textId="7272ADE3" w:rsidR="006800C7" w:rsidRPr="0026316F" w:rsidRDefault="00A737C5" w:rsidP="006800C7">
      <w:pPr>
        <w:pStyle w:val="Heading4"/>
      </w:pPr>
      <w:r>
        <w:t>Bruce Highway and Wide Bay Highway intersection upgrade</w:t>
      </w:r>
    </w:p>
    <w:p w14:paraId="6E5FC0A6" w14:textId="6E3B6092" w:rsidR="0044799F" w:rsidRDefault="0044799F" w:rsidP="0044799F">
      <w:r>
        <w:t>In November 2021, TMR completed construction of the Bruce Highway and Wide Bay Highway intersection upgrade, north of Gympie.</w:t>
      </w:r>
    </w:p>
    <w:p w14:paraId="6A6E895A" w14:textId="77777777" w:rsidR="0044799F" w:rsidRDefault="0044799F" w:rsidP="0044799F">
      <w:r>
        <w:t>The works involved constructing a single-lane roundabout and approaches at the intersection to address safety and capacity issues.</w:t>
      </w:r>
    </w:p>
    <w:p w14:paraId="43367C79" w14:textId="4E002765" w:rsidR="0044799F" w:rsidRDefault="0044799F" w:rsidP="0044799F">
      <w:r>
        <w:t>An approach speed limit of 60 kilometres has been implemented along with other appropriate speed reduction treatments to maintain safety and ensure compliance.</w:t>
      </w:r>
    </w:p>
    <w:p w14:paraId="0EEE5238" w14:textId="5A80DF56" w:rsidR="0044799F" w:rsidRDefault="0044799F" w:rsidP="0044799F">
      <w:r>
        <w:t>Works also included roadside improvements along the Bruce Highway between Meadows Lane and the Wide Bay Highway, and an upgrade of the Spring Valley Road intersection.</w:t>
      </w:r>
    </w:p>
    <w:p w14:paraId="392E8E46" w14:textId="67D4F200" w:rsidR="00DE4985" w:rsidRDefault="0044799F" w:rsidP="0044799F">
      <w:r>
        <w:t>The project was jointly funded by the Australian and Queensland governments on an 80:20 basis.</w:t>
      </w:r>
    </w:p>
    <w:p w14:paraId="106D94E5" w14:textId="08B7CBC0" w:rsidR="0044799F" w:rsidRDefault="0044799F" w:rsidP="0044799F">
      <w:pPr>
        <w:pStyle w:val="MoreInformation"/>
      </w:pPr>
      <w:r>
        <w:t>For more information</w:t>
      </w:r>
      <w:r>
        <w:br/>
      </w:r>
      <w:hyperlink r:id="rId67" w:history="1">
        <w:r w:rsidR="002555A2" w:rsidRPr="002555A2">
          <w:rPr>
            <w:rStyle w:val="Hyperlink"/>
          </w:rPr>
          <w:t>https://www.tmr.qld.gov.au/projects/bruce-highway-wide-bay-highway-intersection-upgrade</w:t>
        </w:r>
      </w:hyperlink>
    </w:p>
    <w:p w14:paraId="27F3F8F1" w14:textId="105319F5" w:rsidR="00E00C1A" w:rsidRPr="00E00C1A" w:rsidRDefault="00E00C1A" w:rsidP="00E00C1A">
      <w:r w:rsidRPr="00E00C1A">
        <w:rPr>
          <w:iCs/>
          <w:color w:val="auto"/>
          <w:sz w:val="26"/>
        </w:rPr>
        <w:t>Bruce Highway Upgrade–Cooroy to Curra, Section D</w:t>
      </w:r>
    </w:p>
    <w:p w14:paraId="00EAFF97" w14:textId="77777777" w:rsidR="00F14353" w:rsidRDefault="00F14353" w:rsidP="00F14353">
      <w:r>
        <w:t>Major construction is underway on the Bruce Highway upgrade– Cooroy to Curra, Section D project that includes a 26 kilometre four-lane bypass of Gympie.</w:t>
      </w:r>
    </w:p>
    <w:p w14:paraId="2F097416" w14:textId="77777777" w:rsidR="00F14353" w:rsidRDefault="00F14353" w:rsidP="00F14353">
      <w:r>
        <w:t>Section D will address safety, flood immunity, and capacity issues on the Bruce Highway through Gympie. When completed, it will provide motorists with a free-flowing, high-speed, four-lane highway between Woondum and Curra.</w:t>
      </w:r>
    </w:p>
    <w:p w14:paraId="47764622" w14:textId="3E956CC9" w:rsidR="00F14353" w:rsidRDefault="00F14353" w:rsidP="00F14353">
      <w:r>
        <w:t>There will be three major interchanges and 42 bridges at23 locations along the bypass. Around six million cubic metres of earth will be moved from cuts and used as fill to raise the Gympie bypass, increasing flood immunity on the Bruce Highway. Section D is due for completion mid-2024, weather permitting.</w:t>
      </w:r>
    </w:p>
    <w:p w14:paraId="482EEAA8" w14:textId="708190A4" w:rsidR="00EE6895" w:rsidRDefault="00F14353" w:rsidP="00F14353">
      <w:r>
        <w:t>The $1 billion project is jointly funded by the Australian and Queensland governments on an 80:20 basis.</w:t>
      </w:r>
    </w:p>
    <w:p w14:paraId="3596D04D" w14:textId="2ACF1F61" w:rsidR="00F14353" w:rsidRDefault="00F14353" w:rsidP="003E7156">
      <w:pPr>
        <w:pStyle w:val="MoreInformation"/>
      </w:pPr>
      <w:r>
        <w:lastRenderedPageBreak/>
        <w:t>For more information</w:t>
      </w:r>
      <w:r>
        <w:br/>
      </w:r>
      <w:hyperlink r:id="rId68" w:history="1">
        <w:r w:rsidR="007C7237" w:rsidRPr="007C7237">
          <w:rPr>
            <w:rStyle w:val="Hyperlink"/>
          </w:rPr>
          <w:t>https://www.tmr.qld.gov.au/projects/bruce-highway-cooroy-to-curra/bruce-highway-cooroy-to-curra-section-d</w:t>
        </w:r>
      </w:hyperlink>
    </w:p>
    <w:p w14:paraId="29F52614" w14:textId="2B5C7759" w:rsidR="00A2427C" w:rsidRPr="00A2427C" w:rsidRDefault="00A2427C" w:rsidP="00A2427C">
      <w:r w:rsidRPr="00A2427C">
        <w:rPr>
          <w:iCs/>
          <w:color w:val="auto"/>
          <w:sz w:val="26"/>
        </w:rPr>
        <w:t>Munduberra–Durong Road, John Peterson Bridge upgrade</w:t>
      </w:r>
    </w:p>
    <w:p w14:paraId="1C8E0B7F" w14:textId="7E4C367B" w:rsidR="00B466E2" w:rsidRDefault="00B466E2" w:rsidP="00B466E2">
      <w:r>
        <w:t>In January 2022, TMR commenced work to replace the single-lane John Peterson Bridge with a higher, safer, wider structure, on an improved alignment.</w:t>
      </w:r>
    </w:p>
    <w:p w14:paraId="2E1DBC27" w14:textId="60DDB885" w:rsidR="00B466E2" w:rsidRDefault="00B466E2" w:rsidP="00B466E2">
      <w:r>
        <w:t>The replacement eight-span concrete bridge will be located about 500 metres north-west of the existing bridge on a straighter and safer alignment, shortening the route by about 700 metres.</w:t>
      </w:r>
    </w:p>
    <w:p w14:paraId="207A51AA" w14:textId="5F84C8A0" w:rsidR="00B466E2" w:rsidRDefault="00B466E2" w:rsidP="00B466E2">
      <w:r>
        <w:t>Once completed, the new bridge will be two lanes and built to withstand a one-in-100-year flood event. The posted speed limit on the new bridge will be increased to 100 kilometres per hour.</w:t>
      </w:r>
    </w:p>
    <w:p w14:paraId="62D71AAB" w14:textId="3FFFE57D" w:rsidR="00B466E2" w:rsidRDefault="00B466E2" w:rsidP="00B466E2">
      <w:r>
        <w:t>The road shoulders on the Mundubbera–Durong Road approaches to Hawkwood Road and Beeron Road will also be widened to improve safety for vehicles turning at these intersections.</w:t>
      </w:r>
    </w:p>
    <w:p w14:paraId="7E26877A" w14:textId="5713B6F6" w:rsidR="00A14B2D" w:rsidRDefault="00B466E2" w:rsidP="00B466E2">
      <w:r>
        <w:t>The $25 million project is jointly funded by the Australian and Queensland governments on an 80:20 basis.</w:t>
      </w:r>
    </w:p>
    <w:p w14:paraId="2A5EF14E" w14:textId="269AA818" w:rsidR="00B466E2" w:rsidRDefault="00B466E2" w:rsidP="00BE5AD4">
      <w:pPr>
        <w:pStyle w:val="MoreInformation"/>
      </w:pPr>
      <w:r>
        <w:t>For more information</w:t>
      </w:r>
      <w:r>
        <w:br/>
      </w:r>
      <w:hyperlink r:id="rId69" w:history="1">
        <w:r w:rsidR="00BE5AD4" w:rsidRPr="00BE5AD4">
          <w:rPr>
            <w:rStyle w:val="Hyperlink"/>
          </w:rPr>
          <w:t>https://www.tmr.qld.gov.au/projects/mundubbera-durong-road-john-peterson-bridge-boyne-river-replace-bridge</w:t>
        </w:r>
      </w:hyperlink>
    </w:p>
    <w:p w14:paraId="444BB8E4" w14:textId="75BF52EF" w:rsidR="006800C7" w:rsidRPr="0026316F" w:rsidRDefault="00BE5AD4" w:rsidP="006800C7">
      <w:pPr>
        <w:pStyle w:val="Heading4"/>
      </w:pPr>
      <w:r>
        <w:t>Tiaro bypass</w:t>
      </w:r>
    </w:p>
    <w:p w14:paraId="4982982B" w14:textId="25F02DE3" w:rsidR="00FC706C" w:rsidRDefault="00FC706C" w:rsidP="00FC706C">
      <w:r>
        <w:t>Planning is underway for a four-lane bypass of Tiaro that will increase flood immunity, safety, and efficiency of the Bruce Highway and future-proof the road to cater for growing traffic volumes.</w:t>
      </w:r>
    </w:p>
    <w:p w14:paraId="59BBE3C0" w14:textId="31FB987C" w:rsidR="00FC706C" w:rsidRDefault="00FC706C" w:rsidP="00FC706C">
      <w:r>
        <w:t>The draft concept design for the new Tiaro bypass was distributed to the public in December 2021.</w:t>
      </w:r>
    </w:p>
    <w:p w14:paraId="3225EBEE" w14:textId="775CCDEB" w:rsidR="00FC706C" w:rsidRDefault="00FC706C" w:rsidP="00FC706C">
      <w:r>
        <w:t>Key features of the draft concept design included nine kilometres of four-lane highway with a concrete centre median which separates opposing traffic lanes, and two grade-separated interchanges (one north and one south of Tiaro).</w:t>
      </w:r>
    </w:p>
    <w:p w14:paraId="60364DEE" w14:textId="0C7493AF" w:rsidR="00FC706C" w:rsidRDefault="00FC706C" w:rsidP="00FC706C">
      <w:r>
        <w:t>The project will improve road safety, traffic efficiency and flood immunity with the bypass designed for a one-in-100-year flood event.</w:t>
      </w:r>
    </w:p>
    <w:p w14:paraId="47919931" w14:textId="1FAC504D" w:rsidR="00FC706C" w:rsidRDefault="00FC706C" w:rsidP="00FC706C">
      <w:r>
        <w:t>TMR and Fraser Coast Regional Council have formed the Tiaro Community Working Group to provide input into the bypass project, and to develop a community plan for Tiaro.</w:t>
      </w:r>
    </w:p>
    <w:p w14:paraId="466C1A3C" w14:textId="6901BBA0" w:rsidR="00FC706C" w:rsidRDefault="00FC706C" w:rsidP="00FC706C">
      <w:r>
        <w:t>Consultation and investigations for the project are continuing, with detailed design commencing in late-2022.</w:t>
      </w:r>
    </w:p>
    <w:p w14:paraId="5F08BFBC" w14:textId="553A7992" w:rsidR="00BE5AD4" w:rsidRDefault="00FC706C" w:rsidP="00FC706C">
      <w:r>
        <w:t>The $336 million project is jointly funded by the Australian and Queensland governments on an 80:20 basis.</w:t>
      </w:r>
    </w:p>
    <w:p w14:paraId="6C0E3CF0" w14:textId="6CEE8FFD" w:rsidR="00FC706C" w:rsidRDefault="00FC706C" w:rsidP="00FC706C">
      <w:pPr>
        <w:pStyle w:val="MoreInformation"/>
      </w:pPr>
      <w:r>
        <w:lastRenderedPageBreak/>
        <w:t>For more information</w:t>
      </w:r>
      <w:r>
        <w:br/>
      </w:r>
      <w:hyperlink r:id="rId70" w:history="1">
        <w:r w:rsidR="000650EB" w:rsidRPr="000650EB">
          <w:rPr>
            <w:rStyle w:val="Hyperlink"/>
          </w:rPr>
          <w:t>https://www.tmr.qld.gov.au/projects/bruce-highway-gympie-maryborough-tiaro-bypass-construct-four-lane-bypass</w:t>
        </w:r>
      </w:hyperlink>
    </w:p>
    <w:p w14:paraId="378C6BD3" w14:textId="77777777" w:rsidR="006800C7" w:rsidRDefault="006800C7" w:rsidP="006800C7">
      <w:pPr>
        <w:pStyle w:val="Heading3"/>
      </w:pPr>
      <w:r>
        <w:t>Darling Downs</w:t>
      </w:r>
    </w:p>
    <w:tbl>
      <w:tblPr>
        <w:tblStyle w:val="TMRAnnualReport2"/>
        <w:tblW w:w="8926" w:type="dxa"/>
        <w:tblLook w:val="04A0" w:firstRow="1" w:lastRow="0" w:firstColumn="1" w:lastColumn="0" w:noHBand="0" w:noVBand="1"/>
      </w:tblPr>
      <w:tblGrid>
        <w:gridCol w:w="1980"/>
        <w:gridCol w:w="1701"/>
        <w:gridCol w:w="1984"/>
        <w:gridCol w:w="1701"/>
        <w:gridCol w:w="1560"/>
      </w:tblGrid>
      <w:tr w:rsidR="006800C7" w:rsidRPr="008B5A09" w14:paraId="50478DF9" w14:textId="77777777" w:rsidTr="00F31956">
        <w:trPr>
          <w:trHeight w:val="150"/>
        </w:trPr>
        <w:tc>
          <w:tcPr>
            <w:tcW w:w="1980" w:type="dxa"/>
            <w:noWrap/>
            <w:hideMark/>
          </w:tcPr>
          <w:p w14:paraId="21115B3D" w14:textId="77777777" w:rsidR="006800C7" w:rsidRPr="00C83CD5" w:rsidRDefault="006800C7" w:rsidP="00F31956">
            <w:r>
              <w:rPr>
                <w:rStyle w:val="Strong"/>
              </w:rPr>
              <w:t>4533</w:t>
            </w:r>
            <w:r w:rsidRPr="00C83CD5">
              <w:rPr>
                <w:rStyle w:val="Strong"/>
              </w:rPr>
              <w:t xml:space="preserve"> kilometres </w:t>
            </w:r>
            <w:r w:rsidRPr="00C83CD5">
              <w:rPr>
                <w:rStyle w:val="Strong"/>
              </w:rPr>
              <w:br/>
            </w:r>
            <w:r w:rsidRPr="00C83CD5">
              <w:t>State-controlled</w:t>
            </w:r>
            <w:r w:rsidRPr="00C83CD5">
              <w:br/>
              <w:t xml:space="preserve"> road</w:t>
            </w:r>
            <w:r w:rsidRPr="00C83CD5">
              <w:rPr>
                <w:rStyle w:val="FootnoteReference"/>
              </w:rPr>
              <w:footnoteReference w:id="26"/>
            </w:r>
          </w:p>
        </w:tc>
        <w:tc>
          <w:tcPr>
            <w:tcW w:w="1701" w:type="dxa"/>
            <w:noWrap/>
            <w:hideMark/>
          </w:tcPr>
          <w:p w14:paraId="31E607FB" w14:textId="77777777" w:rsidR="006800C7" w:rsidRPr="00C83CD5" w:rsidRDefault="006800C7" w:rsidP="00F31956">
            <w:r>
              <w:rPr>
                <w:rStyle w:val="Strong"/>
              </w:rPr>
              <w:t>644</w:t>
            </w:r>
            <w:r w:rsidRPr="005658BE">
              <w:rPr>
                <w:rStyle w:val="Strong"/>
              </w:rPr>
              <w:t xml:space="preserve"> kilometres </w:t>
            </w:r>
            <w:r w:rsidRPr="00C83CD5">
              <w:t>National Land Transport Network</w:t>
            </w:r>
            <w:r w:rsidRPr="00C83CD5">
              <w:rPr>
                <w:rStyle w:val="FootnoteReference"/>
              </w:rPr>
              <w:footnoteReference w:id="27"/>
            </w:r>
            <w:r w:rsidRPr="00C83CD5">
              <w:t xml:space="preserve"> </w:t>
            </w:r>
          </w:p>
        </w:tc>
        <w:tc>
          <w:tcPr>
            <w:tcW w:w="1984" w:type="dxa"/>
            <w:noWrap/>
            <w:hideMark/>
          </w:tcPr>
          <w:p w14:paraId="60CCF356" w14:textId="00C7AF62" w:rsidR="006800C7" w:rsidRPr="00C83CD5" w:rsidRDefault="00F56B7D" w:rsidP="00F31956">
            <w:r>
              <w:rPr>
                <w:rStyle w:val="Strong"/>
              </w:rPr>
              <w:t>9074</w:t>
            </w:r>
            <w:r w:rsidR="006800C7" w:rsidRPr="005658BE">
              <w:rPr>
                <w:rStyle w:val="Strong"/>
              </w:rPr>
              <w:t xml:space="preserve"> </w:t>
            </w:r>
            <w:r w:rsidR="006800C7" w:rsidRPr="00C83CD5">
              <w:rPr>
                <w:rStyle w:val="Strong"/>
              </w:rPr>
              <w:br/>
            </w:r>
            <w:r w:rsidR="006800C7" w:rsidRPr="00C83CD5">
              <w:t xml:space="preserve">Vehicle and machinery registrations </w:t>
            </w:r>
          </w:p>
        </w:tc>
        <w:tc>
          <w:tcPr>
            <w:tcW w:w="1701" w:type="dxa"/>
            <w:noWrap/>
            <w:hideMark/>
          </w:tcPr>
          <w:p w14:paraId="31A00B33" w14:textId="77777777" w:rsidR="006800C7" w:rsidRPr="00C83CD5" w:rsidRDefault="006800C7" w:rsidP="00F31956">
            <w:r>
              <w:rPr>
                <w:rStyle w:val="Strong"/>
              </w:rPr>
              <w:t>7</w:t>
            </w:r>
            <w:r w:rsidRPr="00B33E3B">
              <w:rPr>
                <w:rStyle w:val="Strong"/>
              </w:rPr>
              <w:t xml:space="preserve"> </w:t>
            </w:r>
            <w:r w:rsidRPr="00C83CD5">
              <w:rPr>
                <w:rStyle w:val="Strong"/>
              </w:rPr>
              <w:br/>
            </w:r>
            <w:r w:rsidRPr="00C83CD5">
              <w:t xml:space="preserve">Boating infrastructures </w:t>
            </w:r>
          </w:p>
        </w:tc>
        <w:tc>
          <w:tcPr>
            <w:tcW w:w="1560" w:type="dxa"/>
          </w:tcPr>
          <w:p w14:paraId="63DA7F03" w14:textId="564BFBF8" w:rsidR="006800C7" w:rsidRPr="00C83CD5" w:rsidRDefault="00F56B7D" w:rsidP="00F31956">
            <w:r>
              <w:rPr>
                <w:rStyle w:val="Strong"/>
              </w:rPr>
              <w:t>0</w:t>
            </w:r>
            <w:r w:rsidR="006800C7" w:rsidRPr="00C83CD5">
              <w:rPr>
                <w:rStyle w:val="Strong"/>
              </w:rPr>
              <w:br/>
            </w:r>
            <w:r w:rsidR="006800C7" w:rsidRPr="00C83CD5">
              <w:t>Community safety events held</w:t>
            </w:r>
          </w:p>
        </w:tc>
      </w:tr>
      <w:tr w:rsidR="006800C7" w:rsidRPr="008B5A09" w14:paraId="299D20A4" w14:textId="77777777" w:rsidTr="00F31956">
        <w:trPr>
          <w:trHeight w:val="265"/>
        </w:trPr>
        <w:tc>
          <w:tcPr>
            <w:tcW w:w="1980" w:type="dxa"/>
            <w:noWrap/>
          </w:tcPr>
          <w:p w14:paraId="641E7B45" w14:textId="3C25B817" w:rsidR="006800C7" w:rsidRPr="00C83CD5" w:rsidRDefault="00F56B7D" w:rsidP="00F31956">
            <w:r>
              <w:rPr>
                <w:rStyle w:val="Strong"/>
              </w:rPr>
              <w:t>348,685</w:t>
            </w:r>
            <w:r w:rsidR="006800C7" w:rsidRPr="00C83CD5">
              <w:rPr>
                <w:rStyle w:val="Strong"/>
              </w:rPr>
              <w:br/>
            </w:r>
            <w:r w:rsidR="006800C7" w:rsidRPr="00C83CD5">
              <w:t xml:space="preserve">Vehicle and machinery inspections completed </w:t>
            </w:r>
          </w:p>
        </w:tc>
        <w:tc>
          <w:tcPr>
            <w:tcW w:w="1701" w:type="dxa"/>
            <w:noWrap/>
          </w:tcPr>
          <w:p w14:paraId="006C02E7" w14:textId="358F715F" w:rsidR="006800C7" w:rsidRPr="00C83CD5" w:rsidRDefault="006800C7" w:rsidP="00F31956">
            <w:r>
              <w:rPr>
                <w:rStyle w:val="Strong"/>
              </w:rPr>
              <w:t>22</w:t>
            </w:r>
            <w:r w:rsidR="00F56B7D">
              <w:rPr>
                <w:rStyle w:val="Strong"/>
              </w:rPr>
              <w:t>5</w:t>
            </w:r>
            <w:r w:rsidRPr="00C83CD5">
              <w:br/>
              <w:t>Bridges</w:t>
            </w:r>
            <w:r w:rsidRPr="00C83CD5">
              <w:rPr>
                <w:rStyle w:val="FootnoteReference"/>
              </w:rPr>
              <w:footnoteReference w:id="28"/>
            </w:r>
            <w:r w:rsidRPr="00C83CD5">
              <w:t xml:space="preserve"> </w:t>
            </w:r>
          </w:p>
        </w:tc>
        <w:tc>
          <w:tcPr>
            <w:tcW w:w="1984" w:type="dxa"/>
            <w:noWrap/>
          </w:tcPr>
          <w:p w14:paraId="4AB7FC8F" w14:textId="22FF2B58" w:rsidR="006800C7" w:rsidRPr="00C83CD5" w:rsidRDefault="00F56B7D" w:rsidP="00F31956">
            <w:r>
              <w:rPr>
                <w:rStyle w:val="Strong"/>
              </w:rPr>
              <w:t>8679</w:t>
            </w:r>
            <w:r w:rsidR="006800C7" w:rsidRPr="00C83CD5">
              <w:br/>
              <w:t xml:space="preserve">Driver licence tests conducted  </w:t>
            </w:r>
          </w:p>
        </w:tc>
        <w:tc>
          <w:tcPr>
            <w:tcW w:w="1701" w:type="dxa"/>
            <w:noWrap/>
          </w:tcPr>
          <w:p w14:paraId="0F60CCF9" w14:textId="449789E4" w:rsidR="006800C7" w:rsidRPr="00C83CD5" w:rsidRDefault="00F56B7D" w:rsidP="00F31956">
            <w:r>
              <w:rPr>
                <w:rStyle w:val="Strong"/>
              </w:rPr>
              <w:t>266,347</w:t>
            </w:r>
            <w:r w:rsidR="006800C7" w:rsidRPr="00C83CD5">
              <w:br/>
              <w:t xml:space="preserve">Customer face-to-face interaction </w:t>
            </w:r>
          </w:p>
        </w:tc>
        <w:tc>
          <w:tcPr>
            <w:tcW w:w="1560" w:type="dxa"/>
          </w:tcPr>
          <w:p w14:paraId="0FA4354A" w14:textId="1BE13D6B" w:rsidR="006800C7" w:rsidRPr="00C83CD5" w:rsidRDefault="006800C7" w:rsidP="00F31956">
            <w:r>
              <w:rPr>
                <w:rStyle w:val="Strong"/>
              </w:rPr>
              <w:t>1</w:t>
            </w:r>
            <w:r w:rsidR="00F56B7D">
              <w:rPr>
                <w:rStyle w:val="Strong"/>
              </w:rPr>
              <w:t>40</w:t>
            </w:r>
            <w:r w:rsidRPr="00C83CD5">
              <w:br/>
              <w:t xml:space="preserve">Priority enabled intersections </w:t>
            </w:r>
          </w:p>
        </w:tc>
      </w:tr>
      <w:tr w:rsidR="006800C7" w:rsidRPr="008B5A09" w14:paraId="17351019" w14:textId="77777777" w:rsidTr="00F31956">
        <w:trPr>
          <w:trHeight w:val="265"/>
        </w:trPr>
        <w:tc>
          <w:tcPr>
            <w:tcW w:w="1980" w:type="dxa"/>
            <w:noWrap/>
          </w:tcPr>
          <w:p w14:paraId="0BF9F55E" w14:textId="39FF260B" w:rsidR="006800C7" w:rsidRPr="00C83CD5" w:rsidRDefault="006800C7" w:rsidP="00F31956">
            <w:pPr>
              <w:rPr>
                <w:rStyle w:val="Strong"/>
              </w:rPr>
            </w:pPr>
            <w:r>
              <w:t>Area covered</w:t>
            </w:r>
            <w:r>
              <w:br/>
            </w:r>
            <w:r>
              <w:rPr>
                <w:rStyle w:val="Strong"/>
              </w:rPr>
              <w:t>79,5</w:t>
            </w:r>
            <w:r w:rsidR="00F56B7D">
              <w:rPr>
                <w:rStyle w:val="Strong"/>
              </w:rPr>
              <w:t>21</w:t>
            </w:r>
            <w:r w:rsidRPr="00C83CD5">
              <w:rPr>
                <w:rStyle w:val="Strong"/>
              </w:rPr>
              <w:t xml:space="preserve"> square kilometres</w:t>
            </w:r>
            <w:r w:rsidRPr="00C83CD5">
              <w:t xml:space="preserve"> </w:t>
            </w:r>
          </w:p>
        </w:tc>
        <w:tc>
          <w:tcPr>
            <w:tcW w:w="1701" w:type="dxa"/>
            <w:noWrap/>
          </w:tcPr>
          <w:p w14:paraId="0F46DD0F" w14:textId="77777777" w:rsidR="006800C7" w:rsidRPr="00C83CD5" w:rsidRDefault="006800C7" w:rsidP="00F31956">
            <w:pPr>
              <w:rPr>
                <w:rStyle w:val="Strong"/>
              </w:rPr>
            </w:pPr>
            <w:r>
              <w:t xml:space="preserve">Population of </w:t>
            </w:r>
            <w:r w:rsidRPr="00C83CD5">
              <w:rPr>
                <w:rStyle w:val="Strong"/>
              </w:rPr>
              <w:t xml:space="preserve">Queensland </w:t>
            </w:r>
            <w:r w:rsidRPr="00C83CD5">
              <w:rPr>
                <w:rStyle w:val="Strong"/>
              </w:rPr>
              <w:br/>
              <w:t>5</w:t>
            </w:r>
            <w:r>
              <w:rPr>
                <w:rStyle w:val="Strong"/>
              </w:rPr>
              <w:t>.72</w:t>
            </w:r>
            <w:r w:rsidRPr="00C83CD5">
              <w:rPr>
                <w:rStyle w:val="Strong"/>
              </w:rPr>
              <w:t>%</w:t>
            </w:r>
            <w:r w:rsidRPr="00C83CD5">
              <w:t xml:space="preserve"> </w:t>
            </w:r>
          </w:p>
        </w:tc>
        <w:tc>
          <w:tcPr>
            <w:tcW w:w="1984" w:type="dxa"/>
            <w:noWrap/>
          </w:tcPr>
          <w:p w14:paraId="2C9B4DFC" w14:textId="77777777" w:rsidR="006800C7" w:rsidRDefault="006800C7" w:rsidP="00F31956"/>
        </w:tc>
        <w:tc>
          <w:tcPr>
            <w:tcW w:w="1701" w:type="dxa"/>
            <w:noWrap/>
          </w:tcPr>
          <w:p w14:paraId="5D0B859A" w14:textId="77777777" w:rsidR="006800C7" w:rsidRPr="000E0E1F" w:rsidRDefault="006800C7" w:rsidP="00F31956"/>
        </w:tc>
        <w:tc>
          <w:tcPr>
            <w:tcW w:w="1560" w:type="dxa"/>
          </w:tcPr>
          <w:p w14:paraId="1E11429C" w14:textId="77777777" w:rsidR="006800C7" w:rsidRPr="00C62589" w:rsidRDefault="006800C7" w:rsidP="00F31956"/>
        </w:tc>
      </w:tr>
    </w:tbl>
    <w:p w14:paraId="29C19B43" w14:textId="77777777" w:rsidR="003E7156" w:rsidRDefault="003E7156" w:rsidP="003E7156"/>
    <w:p w14:paraId="69B7561D" w14:textId="66F395AA" w:rsidR="006800C7" w:rsidRDefault="006800C7" w:rsidP="006800C7">
      <w:pPr>
        <w:pStyle w:val="Heading4"/>
      </w:pPr>
      <w:r>
        <w:t xml:space="preserve">Highlights </w:t>
      </w:r>
    </w:p>
    <w:p w14:paraId="319B5DC5" w14:textId="7BFE1202" w:rsidR="00DA0344" w:rsidRPr="00DA0344" w:rsidRDefault="00DA0344" w:rsidP="00DA0344">
      <w:pPr>
        <w:pStyle w:val="ListBullet"/>
      </w:pPr>
      <w:r w:rsidRPr="00DA0344">
        <w:t>Continued upgrade of Eight Mile intersection on Cunningham and New England highways.</w:t>
      </w:r>
    </w:p>
    <w:p w14:paraId="30692D80" w14:textId="446F3612" w:rsidR="00DA0344" w:rsidRPr="00DA0344" w:rsidRDefault="00DA0344" w:rsidP="00DA0344">
      <w:pPr>
        <w:pStyle w:val="ListBullet"/>
      </w:pPr>
      <w:r w:rsidRPr="00DA0344">
        <w:t>Completed construction of new bridge at Tchanning Creek on Roma–Condamine Road.</w:t>
      </w:r>
    </w:p>
    <w:p w14:paraId="437FA85E" w14:textId="5D2ECEA0" w:rsidR="00DA0344" w:rsidRPr="00DA0344" w:rsidRDefault="00DA0344" w:rsidP="00DA0344">
      <w:pPr>
        <w:pStyle w:val="ListBullet"/>
      </w:pPr>
      <w:r w:rsidRPr="00DA0344">
        <w:t>Continued construction to replace bridge at Rocky Creek on Murphys Creek Road, Postmans Ridge.</w:t>
      </w:r>
    </w:p>
    <w:p w14:paraId="4900F0F0" w14:textId="0B397251" w:rsidR="006800C7" w:rsidRPr="0026316F" w:rsidRDefault="00DA0344" w:rsidP="006800C7">
      <w:pPr>
        <w:pStyle w:val="Heading4"/>
      </w:pPr>
      <w:r>
        <w:t>Tchanning Creek bridge replacement</w:t>
      </w:r>
    </w:p>
    <w:p w14:paraId="4F356B23" w14:textId="382BB931" w:rsidR="000E1649" w:rsidRDefault="000E1649" w:rsidP="000E1649">
      <w:r>
        <w:t>Construction of a new bridge at Tchanning Creek on Roma– Condamine Road was completed in November 2021.</w:t>
      </w:r>
    </w:p>
    <w:p w14:paraId="14ED2301" w14:textId="4BDA5BB8" w:rsidR="000E1649" w:rsidRDefault="000E1649" w:rsidP="000E1649">
      <w:r>
        <w:t>The new concrete two-lane bridge has delivered significant improvements to safety, having removed narrow points and improved road approaches that has improved traffic flow on Roma–Condamine Road.</w:t>
      </w:r>
    </w:p>
    <w:p w14:paraId="766E4A41" w14:textId="4D0DBCE2" w:rsidR="000E1649" w:rsidRDefault="000E1649" w:rsidP="000E1649">
      <w:r>
        <w:t>The bridge is significantly higher than the older wooden bridge built in 1938 and provides improved flood immunity to Roma– Condamine Road.</w:t>
      </w:r>
    </w:p>
    <w:p w14:paraId="7246A034" w14:textId="2A0EA018" w:rsidR="000E1649" w:rsidRDefault="000E1649" w:rsidP="000E1649">
      <w:r>
        <w:t>Shortly after it was completed, the new bridge was submerged in the record floods in December 2021. However, due to its sturdy construction it was not damaged.</w:t>
      </w:r>
    </w:p>
    <w:p w14:paraId="5CCACB96" w14:textId="0E207D5B" w:rsidR="00DA0344" w:rsidRDefault="000E1649" w:rsidP="000E1649">
      <w:r>
        <w:t>The project was fully funded by the Queensland Government through the State Road Network Upgrade Investment Program.</w:t>
      </w:r>
    </w:p>
    <w:p w14:paraId="0C701C94" w14:textId="56A7BE83" w:rsidR="000E1649" w:rsidRDefault="000E1649" w:rsidP="000E1649">
      <w:pPr>
        <w:pStyle w:val="MoreInformation"/>
      </w:pPr>
      <w:r>
        <w:lastRenderedPageBreak/>
        <w:t>For more information</w:t>
      </w:r>
      <w:r>
        <w:br/>
      </w:r>
      <w:hyperlink r:id="rId71" w:history="1">
        <w:r w:rsidR="007005AE" w:rsidRPr="007005AE">
          <w:rPr>
            <w:rStyle w:val="Hyperlink"/>
          </w:rPr>
          <w:t>https://www.tmr.qld.gov.au/projects/roma-condamine-road-tchanning-creek-replace-timber-bridge</w:t>
        </w:r>
      </w:hyperlink>
    </w:p>
    <w:p w14:paraId="6358B568" w14:textId="715B8F4D" w:rsidR="006800C7" w:rsidRPr="00115CAD" w:rsidRDefault="00104964" w:rsidP="006800C7">
      <w:pPr>
        <w:pStyle w:val="Heading4"/>
      </w:pPr>
      <w:r>
        <w:t xml:space="preserve">Eight Mile intersection upgrade </w:t>
      </w:r>
    </w:p>
    <w:p w14:paraId="409C1216" w14:textId="77777777" w:rsidR="00525D56" w:rsidRDefault="00525D56" w:rsidP="00525D56">
      <w:r>
        <w:t>Construction at the Cunningham and New England highways intersection, locally known as the Eight Mile intersection, is expected to be completed in August 2022.</w:t>
      </w:r>
    </w:p>
    <w:p w14:paraId="35F7E017" w14:textId="77777777" w:rsidR="00525D56" w:rsidRDefault="00525D56" w:rsidP="00525D56">
      <w:r>
        <w:t>The project will deliver a grade-separated option at the Eight Mile intersection, including:</w:t>
      </w:r>
    </w:p>
    <w:p w14:paraId="015C91AD" w14:textId="79DA79A2" w:rsidR="00525D56" w:rsidRDefault="00525D56" w:rsidP="00525D56">
      <w:pPr>
        <w:pStyle w:val="ListBullet"/>
      </w:pPr>
      <w:r>
        <w:t>construction of a new overpass for traffic on the New England Highway travelling from Toowoomba to Warwick</w:t>
      </w:r>
    </w:p>
    <w:p w14:paraId="574D399E" w14:textId="406A76A4" w:rsidR="00525D56" w:rsidRDefault="00525D56" w:rsidP="00525D56">
      <w:pPr>
        <w:pStyle w:val="ListBullet"/>
      </w:pPr>
      <w:r>
        <w:t>construction of new roadway to allow for approaches to the overpass and a new Toowoomba to Ipswich exit/merge lane</w:t>
      </w:r>
    </w:p>
    <w:p w14:paraId="48A83CD6" w14:textId="3B534828" w:rsidR="00525D56" w:rsidRDefault="00525D56" w:rsidP="00525D56">
      <w:pPr>
        <w:pStyle w:val="ListBullet"/>
      </w:pPr>
      <w:r>
        <w:t>construction of two culvert structures to assist with site drainage</w:t>
      </w:r>
    </w:p>
    <w:p w14:paraId="7932CC42" w14:textId="0649E5C8" w:rsidR="00525D56" w:rsidRDefault="00525D56" w:rsidP="00525D56">
      <w:pPr>
        <w:pStyle w:val="ListBullet"/>
      </w:pPr>
      <w:r>
        <w:t>installation of new lighting and improvements to existing using LED luminaires</w:t>
      </w:r>
    </w:p>
    <w:p w14:paraId="2CD2FD1C" w14:textId="2838D2A3" w:rsidR="00525D56" w:rsidRDefault="00525D56" w:rsidP="00525D56">
      <w:pPr>
        <w:pStyle w:val="ListBullet"/>
      </w:pPr>
      <w:r>
        <w:t>installation of a new traffic monitoring camera.</w:t>
      </w:r>
    </w:p>
    <w:p w14:paraId="2DB27137" w14:textId="77777777" w:rsidR="00525D56" w:rsidRDefault="00525D56" w:rsidP="00525D56">
      <w:r>
        <w:t>The upgrade will improve traffic safety and efficiency at the major rural intersection between Brisbane, Warwick and Toowoomba.</w:t>
      </w:r>
    </w:p>
    <w:p w14:paraId="45330E55" w14:textId="01401889" w:rsidR="00104964" w:rsidRDefault="00525D56" w:rsidP="00525D56">
      <w:r>
        <w:t>The $25 million project is jointly funded by the Australian and Queensland governments on an 80:20 basis as part of the National Land Transport Network upgrade program.</w:t>
      </w:r>
    </w:p>
    <w:p w14:paraId="4D133833" w14:textId="5C37BD26" w:rsidR="00525D56" w:rsidRDefault="00525D56" w:rsidP="00525D56">
      <w:pPr>
        <w:pStyle w:val="MoreInformation"/>
      </w:pPr>
      <w:r>
        <w:t>For more information</w:t>
      </w:r>
      <w:r>
        <w:br/>
      </w:r>
      <w:hyperlink r:id="rId72" w:history="1">
        <w:r w:rsidR="00107282" w:rsidRPr="00107282">
          <w:rPr>
            <w:rStyle w:val="Hyperlink"/>
          </w:rPr>
          <w:t>https://www.tmr.qld.gov.au/projects/cunningham-highway-ipswich-warwick-eight-mile-intersection-upgrade</w:t>
        </w:r>
      </w:hyperlink>
    </w:p>
    <w:p w14:paraId="1255A142" w14:textId="53428AEE" w:rsidR="006800C7" w:rsidRDefault="00107282" w:rsidP="006800C7">
      <w:pPr>
        <w:pStyle w:val="Heading4"/>
      </w:pPr>
      <w:r>
        <w:t>Rocky Creek bridge upgrade</w:t>
      </w:r>
    </w:p>
    <w:p w14:paraId="6A7AED01" w14:textId="609FF28D" w:rsidR="00700DA1" w:rsidRDefault="00700DA1" w:rsidP="00700DA1">
      <w:r>
        <w:t>Construction to replace the bridge over Rocky Creek on Murphys Creek Road at Postmans Ridge is expected to be completed in November 2022, weather permitting.</w:t>
      </w:r>
    </w:p>
    <w:p w14:paraId="101BDA16" w14:textId="6D41FC2A" w:rsidR="00700DA1" w:rsidRDefault="00700DA1" w:rsidP="00700DA1">
      <w:r>
        <w:t>The new concrete bridge has two lanes with improved alignment and sight distances on the approaches, which will increase safety and efficiency on Murphys Creek Road. The new bridge is also higher to reduce the time that Murphys Creek Road is closed at Rocky Creek due to flooding.</w:t>
      </w:r>
    </w:p>
    <w:p w14:paraId="2B0BC09B" w14:textId="3F24FDD0" w:rsidR="00700DA1" w:rsidRDefault="00700DA1" w:rsidP="00700DA1">
      <w:r>
        <w:t>Historic sandstone that lined the original bridge, built in 1928 has been installed at Postmans Ridge Hall on Murphys Creek Road to keep these significant artefacts in the community.</w:t>
      </w:r>
    </w:p>
    <w:p w14:paraId="479F5ACB" w14:textId="7CE8B772" w:rsidR="00107282" w:rsidRDefault="00700DA1" w:rsidP="00700DA1">
      <w:r>
        <w:t>The $11 million project is fully funded by the Queensland Government through the State Road Network Upgrade Program.</w:t>
      </w:r>
    </w:p>
    <w:p w14:paraId="68EDC902" w14:textId="38DF6E47" w:rsidR="00700DA1" w:rsidRDefault="00700DA1" w:rsidP="00700DA1">
      <w:pPr>
        <w:pStyle w:val="MoreInformation"/>
      </w:pPr>
      <w:r>
        <w:t>For more information</w:t>
      </w:r>
      <w:r>
        <w:br/>
      </w:r>
      <w:hyperlink r:id="rId73" w:history="1">
        <w:r w:rsidR="005B4120" w:rsidRPr="005B4120">
          <w:rPr>
            <w:rStyle w:val="Hyperlink"/>
          </w:rPr>
          <w:t>https://www.tmr.qld.gov.au/projects/murphys-creek-road-rocky-creek-bridge-replace-bridge</w:t>
        </w:r>
      </w:hyperlink>
    </w:p>
    <w:p w14:paraId="4CE9CC72" w14:textId="77777777" w:rsidR="005B4120" w:rsidRPr="00E46578" w:rsidRDefault="005B4120" w:rsidP="005B4120">
      <w:pPr>
        <w:pStyle w:val="Heading3"/>
      </w:pPr>
      <w:r>
        <w:t>Case Study</w:t>
      </w:r>
    </w:p>
    <w:p w14:paraId="27823D74" w14:textId="284EC926" w:rsidR="007D77EB" w:rsidRPr="00DD7C5A" w:rsidRDefault="007D77EB" w:rsidP="005B4120">
      <w:r w:rsidRPr="007D77EB">
        <w:rPr>
          <w:iCs/>
          <w:color w:val="auto"/>
          <w:sz w:val="26"/>
        </w:rPr>
        <w:t>Gatton–Helidon Road, Lockyer Creek bridge strengthening</w:t>
      </w:r>
    </w:p>
    <w:p w14:paraId="4C4038C5" w14:textId="77777777" w:rsidR="0028720A" w:rsidRDefault="0028720A" w:rsidP="0028720A">
      <w:r>
        <w:lastRenderedPageBreak/>
        <w:t>Strengthening and rehabilitation works at the Lockyer Creek bridge on Gatton–Helidon Road were completed in September 2021.</w:t>
      </w:r>
    </w:p>
    <w:p w14:paraId="55C8E6A6" w14:textId="29A88B68" w:rsidR="0028720A" w:rsidRDefault="0028720A" w:rsidP="0028720A">
      <w:r>
        <w:t>The bridge has supported local agricultural industries in the Lockyer Valley since it was built in 1966. Strengthening involved installing an external tensioning system to the bridge’s headstocks and girders. The bridge was repainted to protect it from the elements and various parts repaired or replaced.</w:t>
      </w:r>
    </w:p>
    <w:p w14:paraId="17454407" w14:textId="77777777" w:rsidR="0028720A" w:rsidRDefault="0028720A" w:rsidP="0028720A">
      <w:r>
        <w:t>Prior to construction, four species of micro-bats were discovered under the bridge, roosting in the expansion joints or using the old mud bottle nests abandoned by fairy martin birds. The micro-bats were carefully removed from the bridge before construction started. Wildlife boxes were installed under the bridge after completion to encourage them to return, which proved successful.</w:t>
      </w:r>
    </w:p>
    <w:p w14:paraId="6EDC9953" w14:textId="574F6C3A" w:rsidR="00107282" w:rsidRDefault="0028720A" w:rsidP="0028720A">
      <w:r>
        <w:t>The works have increased the structural capacity of Lockyer Creek bridge to maintain its suitability for type 1 road trains to ensure freight efficiency on Gatton-Helidon Road. This work will reduce the need for maintenance and associated traffic disruptions in the future.</w:t>
      </w:r>
    </w:p>
    <w:p w14:paraId="5963FCD0" w14:textId="51AC79CF" w:rsidR="0028720A" w:rsidRDefault="0028720A" w:rsidP="0028720A">
      <w:pPr>
        <w:pStyle w:val="MoreInformation"/>
      </w:pPr>
      <w:r>
        <w:t>For more information</w:t>
      </w:r>
      <w:r>
        <w:br/>
      </w:r>
      <w:hyperlink r:id="rId74" w:history="1">
        <w:r w:rsidR="007D3441" w:rsidRPr="007D3441">
          <w:rPr>
            <w:rStyle w:val="Hyperlink"/>
          </w:rPr>
          <w:t>https://www.tmr.qld.gov.au/projects/gatton-helidon-road-lockyer-creek-bridge-strengthen-bridge</w:t>
        </w:r>
      </w:hyperlink>
    </w:p>
    <w:p w14:paraId="045CF840" w14:textId="77777777" w:rsidR="006800C7" w:rsidRDefault="006800C7" w:rsidP="006800C7">
      <w:pPr>
        <w:pStyle w:val="Heading3"/>
      </w:pPr>
      <w:r>
        <w:t xml:space="preserve">South West </w:t>
      </w:r>
    </w:p>
    <w:tbl>
      <w:tblPr>
        <w:tblStyle w:val="TMRAnnualReport2"/>
        <w:tblW w:w="8926" w:type="dxa"/>
        <w:tblLook w:val="04A0" w:firstRow="1" w:lastRow="0" w:firstColumn="1" w:lastColumn="0" w:noHBand="0" w:noVBand="1"/>
      </w:tblPr>
      <w:tblGrid>
        <w:gridCol w:w="1980"/>
        <w:gridCol w:w="1701"/>
        <w:gridCol w:w="1984"/>
        <w:gridCol w:w="1701"/>
        <w:gridCol w:w="1560"/>
      </w:tblGrid>
      <w:tr w:rsidR="006800C7" w:rsidRPr="008B5A09" w14:paraId="74B2FC78" w14:textId="77777777" w:rsidTr="00F31956">
        <w:trPr>
          <w:trHeight w:val="150"/>
        </w:trPr>
        <w:tc>
          <w:tcPr>
            <w:tcW w:w="1980" w:type="dxa"/>
            <w:noWrap/>
            <w:hideMark/>
          </w:tcPr>
          <w:p w14:paraId="7DAC5ED3" w14:textId="3A8C594E" w:rsidR="006800C7" w:rsidRPr="00691D21" w:rsidRDefault="006800C7" w:rsidP="00F31956">
            <w:r>
              <w:rPr>
                <w:rStyle w:val="Strong"/>
              </w:rPr>
              <w:t>39</w:t>
            </w:r>
            <w:r w:rsidR="00B07489">
              <w:rPr>
                <w:rStyle w:val="Strong"/>
              </w:rPr>
              <w:t>72</w:t>
            </w:r>
            <w:r w:rsidRPr="00691D21">
              <w:rPr>
                <w:rStyle w:val="Strong"/>
              </w:rPr>
              <w:t xml:space="preserve"> kilometres </w:t>
            </w:r>
            <w:r w:rsidRPr="00691D21">
              <w:rPr>
                <w:rStyle w:val="Strong"/>
              </w:rPr>
              <w:br/>
            </w:r>
            <w:r w:rsidRPr="00691D21">
              <w:t>State-controlled</w:t>
            </w:r>
            <w:r w:rsidRPr="00691D21">
              <w:br/>
              <w:t xml:space="preserve"> road</w:t>
            </w:r>
            <w:r w:rsidRPr="00691D21">
              <w:rPr>
                <w:rStyle w:val="FootnoteReference"/>
              </w:rPr>
              <w:footnoteReference w:id="29"/>
            </w:r>
          </w:p>
        </w:tc>
        <w:tc>
          <w:tcPr>
            <w:tcW w:w="1701" w:type="dxa"/>
            <w:noWrap/>
            <w:hideMark/>
          </w:tcPr>
          <w:p w14:paraId="58BED1F7" w14:textId="77777777" w:rsidR="006800C7" w:rsidRPr="00691D21" w:rsidRDefault="006800C7" w:rsidP="00F31956">
            <w:r>
              <w:rPr>
                <w:rStyle w:val="Strong"/>
              </w:rPr>
              <w:t>418</w:t>
            </w:r>
            <w:r w:rsidRPr="005658BE">
              <w:rPr>
                <w:rStyle w:val="Strong"/>
              </w:rPr>
              <w:t xml:space="preserve"> kilometres </w:t>
            </w:r>
            <w:r w:rsidRPr="00691D21">
              <w:t>National Land Transport Network</w:t>
            </w:r>
            <w:r w:rsidRPr="00691D21">
              <w:rPr>
                <w:rStyle w:val="FootnoteReference"/>
              </w:rPr>
              <w:footnoteReference w:id="30"/>
            </w:r>
            <w:r w:rsidRPr="00691D21">
              <w:t xml:space="preserve"> </w:t>
            </w:r>
          </w:p>
        </w:tc>
        <w:tc>
          <w:tcPr>
            <w:tcW w:w="1984" w:type="dxa"/>
            <w:noWrap/>
            <w:hideMark/>
          </w:tcPr>
          <w:p w14:paraId="2B89E0C0" w14:textId="28129F03" w:rsidR="006800C7" w:rsidRPr="00691D21" w:rsidRDefault="00B07489" w:rsidP="00F31956">
            <w:r>
              <w:rPr>
                <w:rStyle w:val="Strong"/>
              </w:rPr>
              <w:t>2133</w:t>
            </w:r>
            <w:r w:rsidR="006800C7" w:rsidRPr="005658BE">
              <w:rPr>
                <w:rStyle w:val="Strong"/>
              </w:rPr>
              <w:t xml:space="preserve"> </w:t>
            </w:r>
            <w:r w:rsidR="006800C7" w:rsidRPr="00691D21">
              <w:rPr>
                <w:rStyle w:val="Strong"/>
              </w:rPr>
              <w:br/>
            </w:r>
            <w:r w:rsidR="006800C7" w:rsidRPr="00691D21">
              <w:t xml:space="preserve">Vehicle and machinery registrations </w:t>
            </w:r>
          </w:p>
        </w:tc>
        <w:tc>
          <w:tcPr>
            <w:tcW w:w="1701" w:type="dxa"/>
            <w:noWrap/>
            <w:hideMark/>
          </w:tcPr>
          <w:p w14:paraId="637FEE6E" w14:textId="77777777" w:rsidR="006800C7" w:rsidRPr="00691D21" w:rsidRDefault="006800C7" w:rsidP="00F31956">
            <w:r w:rsidRPr="00B33E3B">
              <w:rPr>
                <w:rStyle w:val="Strong"/>
              </w:rPr>
              <w:t xml:space="preserve">9 </w:t>
            </w:r>
            <w:r w:rsidRPr="00691D21">
              <w:rPr>
                <w:rStyle w:val="Strong"/>
              </w:rPr>
              <w:br/>
            </w:r>
            <w:r w:rsidRPr="00691D21">
              <w:t xml:space="preserve">Boating infrastructures </w:t>
            </w:r>
          </w:p>
        </w:tc>
        <w:tc>
          <w:tcPr>
            <w:tcW w:w="1560" w:type="dxa"/>
          </w:tcPr>
          <w:p w14:paraId="3DEAD325" w14:textId="6693EDA1" w:rsidR="006800C7" w:rsidRPr="00691D21" w:rsidRDefault="00B07489" w:rsidP="00F31956">
            <w:r>
              <w:rPr>
                <w:rStyle w:val="Strong"/>
              </w:rPr>
              <w:t>9</w:t>
            </w:r>
            <w:r w:rsidR="006800C7" w:rsidRPr="00B33E3B">
              <w:rPr>
                <w:rStyle w:val="Strong"/>
              </w:rPr>
              <w:t xml:space="preserve"> </w:t>
            </w:r>
            <w:r w:rsidR="006800C7" w:rsidRPr="00691D21">
              <w:rPr>
                <w:rStyle w:val="Strong"/>
              </w:rPr>
              <w:br/>
            </w:r>
            <w:r w:rsidR="006800C7" w:rsidRPr="00691D21">
              <w:t>Community safety events held</w:t>
            </w:r>
          </w:p>
        </w:tc>
      </w:tr>
      <w:tr w:rsidR="006800C7" w:rsidRPr="008B5A09" w14:paraId="6138320E" w14:textId="77777777" w:rsidTr="00F31956">
        <w:trPr>
          <w:trHeight w:val="265"/>
        </w:trPr>
        <w:tc>
          <w:tcPr>
            <w:tcW w:w="1980" w:type="dxa"/>
            <w:noWrap/>
          </w:tcPr>
          <w:p w14:paraId="118C731E" w14:textId="5DD78C0A" w:rsidR="006800C7" w:rsidRPr="00691D21" w:rsidRDefault="00B07489" w:rsidP="00F31956">
            <w:r>
              <w:rPr>
                <w:rStyle w:val="Strong"/>
              </w:rPr>
              <w:t>43,462</w:t>
            </w:r>
            <w:r w:rsidR="006800C7" w:rsidRPr="00691D21">
              <w:rPr>
                <w:rStyle w:val="Strong"/>
              </w:rPr>
              <w:br/>
            </w:r>
            <w:r w:rsidR="006800C7" w:rsidRPr="00691D21">
              <w:t xml:space="preserve">Vehicle and machinery inspections completed </w:t>
            </w:r>
          </w:p>
        </w:tc>
        <w:tc>
          <w:tcPr>
            <w:tcW w:w="1701" w:type="dxa"/>
            <w:noWrap/>
          </w:tcPr>
          <w:p w14:paraId="5429128D" w14:textId="553B3398" w:rsidR="006800C7" w:rsidRPr="00691D21" w:rsidRDefault="006800C7" w:rsidP="00F31956">
            <w:r>
              <w:rPr>
                <w:rStyle w:val="Strong"/>
              </w:rPr>
              <w:t>8</w:t>
            </w:r>
            <w:r w:rsidR="00B07489">
              <w:rPr>
                <w:rStyle w:val="Strong"/>
              </w:rPr>
              <w:t>3</w:t>
            </w:r>
            <w:r w:rsidRPr="00691D21">
              <w:br/>
              <w:t>Bridges</w:t>
            </w:r>
            <w:r w:rsidRPr="00691D21">
              <w:rPr>
                <w:rStyle w:val="FootnoteReference"/>
              </w:rPr>
              <w:footnoteReference w:id="31"/>
            </w:r>
            <w:r w:rsidRPr="00691D21">
              <w:t xml:space="preserve"> </w:t>
            </w:r>
          </w:p>
        </w:tc>
        <w:tc>
          <w:tcPr>
            <w:tcW w:w="1984" w:type="dxa"/>
            <w:noWrap/>
          </w:tcPr>
          <w:p w14:paraId="46B97E18" w14:textId="4796695A" w:rsidR="006800C7" w:rsidRPr="00691D21" w:rsidRDefault="00B07489" w:rsidP="00F31956">
            <w:r>
              <w:rPr>
                <w:rStyle w:val="Strong"/>
              </w:rPr>
              <w:t>732</w:t>
            </w:r>
            <w:r w:rsidR="006800C7" w:rsidRPr="00691D21">
              <w:br/>
              <w:t xml:space="preserve">Driver licence tests conducted  </w:t>
            </w:r>
          </w:p>
        </w:tc>
        <w:tc>
          <w:tcPr>
            <w:tcW w:w="1701" w:type="dxa"/>
            <w:noWrap/>
          </w:tcPr>
          <w:p w14:paraId="55273483" w14:textId="3E0CFDA0" w:rsidR="006800C7" w:rsidRPr="00691D21" w:rsidRDefault="006800C7" w:rsidP="00F31956">
            <w:r>
              <w:rPr>
                <w:rStyle w:val="Strong"/>
              </w:rPr>
              <w:t>2</w:t>
            </w:r>
            <w:r w:rsidR="00B07489">
              <w:rPr>
                <w:rStyle w:val="Strong"/>
              </w:rPr>
              <w:t>3,340</w:t>
            </w:r>
            <w:r w:rsidRPr="00691D21">
              <w:br/>
              <w:t xml:space="preserve">Customer face-to-face interaction </w:t>
            </w:r>
          </w:p>
        </w:tc>
        <w:tc>
          <w:tcPr>
            <w:tcW w:w="1560" w:type="dxa"/>
          </w:tcPr>
          <w:p w14:paraId="5C165E9A" w14:textId="77777777" w:rsidR="006800C7" w:rsidRPr="00691D21" w:rsidRDefault="006800C7" w:rsidP="00F31956">
            <w:r>
              <w:rPr>
                <w:rStyle w:val="Strong"/>
              </w:rPr>
              <w:t>1</w:t>
            </w:r>
            <w:r w:rsidRPr="00691D21">
              <w:br/>
              <w:t xml:space="preserve">Priority enabled intersections </w:t>
            </w:r>
          </w:p>
        </w:tc>
      </w:tr>
      <w:tr w:rsidR="006800C7" w:rsidRPr="008B5A09" w14:paraId="6A8F6525" w14:textId="77777777" w:rsidTr="00F31956">
        <w:trPr>
          <w:trHeight w:val="265"/>
        </w:trPr>
        <w:tc>
          <w:tcPr>
            <w:tcW w:w="1980" w:type="dxa"/>
            <w:noWrap/>
          </w:tcPr>
          <w:p w14:paraId="43E52372" w14:textId="6B2C9438" w:rsidR="006800C7" w:rsidRPr="00691D21" w:rsidRDefault="006800C7" w:rsidP="00F31956">
            <w:pPr>
              <w:rPr>
                <w:rStyle w:val="Strong"/>
              </w:rPr>
            </w:pPr>
            <w:r>
              <w:t>Area covered</w:t>
            </w:r>
            <w:r>
              <w:br/>
            </w:r>
            <w:r>
              <w:rPr>
                <w:rStyle w:val="Strong"/>
              </w:rPr>
              <w:t>319,2</w:t>
            </w:r>
            <w:r w:rsidR="00B07489">
              <w:rPr>
                <w:rStyle w:val="Strong"/>
              </w:rPr>
              <w:t>75</w:t>
            </w:r>
            <w:r w:rsidRPr="00691D21">
              <w:rPr>
                <w:rStyle w:val="Strong"/>
              </w:rPr>
              <w:t xml:space="preserve"> square kilometres</w:t>
            </w:r>
            <w:r w:rsidRPr="00691D21">
              <w:t xml:space="preserve"> </w:t>
            </w:r>
          </w:p>
        </w:tc>
        <w:tc>
          <w:tcPr>
            <w:tcW w:w="1701" w:type="dxa"/>
            <w:noWrap/>
          </w:tcPr>
          <w:p w14:paraId="488D9685" w14:textId="1A25D30F" w:rsidR="006800C7" w:rsidRPr="00691D21" w:rsidRDefault="006800C7" w:rsidP="00F31956">
            <w:pPr>
              <w:rPr>
                <w:rStyle w:val="Strong"/>
              </w:rPr>
            </w:pPr>
            <w:r>
              <w:t xml:space="preserve">Population of </w:t>
            </w:r>
            <w:r w:rsidRPr="00691D21">
              <w:rPr>
                <w:rStyle w:val="Strong"/>
              </w:rPr>
              <w:t xml:space="preserve">Queensland </w:t>
            </w:r>
            <w:r w:rsidRPr="00691D21">
              <w:rPr>
                <w:rStyle w:val="Strong"/>
              </w:rPr>
              <w:br/>
            </w:r>
            <w:r>
              <w:rPr>
                <w:rStyle w:val="Strong"/>
              </w:rPr>
              <w:t>0.4</w:t>
            </w:r>
            <w:r w:rsidR="00B07489">
              <w:rPr>
                <w:rStyle w:val="Strong"/>
              </w:rPr>
              <w:t>6</w:t>
            </w:r>
            <w:r w:rsidRPr="00691D21">
              <w:rPr>
                <w:rStyle w:val="Strong"/>
              </w:rPr>
              <w:t>%</w:t>
            </w:r>
            <w:r w:rsidRPr="00691D21">
              <w:t xml:space="preserve"> </w:t>
            </w:r>
          </w:p>
        </w:tc>
        <w:tc>
          <w:tcPr>
            <w:tcW w:w="1984" w:type="dxa"/>
            <w:noWrap/>
          </w:tcPr>
          <w:p w14:paraId="7AD43871" w14:textId="77777777" w:rsidR="006800C7" w:rsidRDefault="006800C7" w:rsidP="00F31956"/>
        </w:tc>
        <w:tc>
          <w:tcPr>
            <w:tcW w:w="1701" w:type="dxa"/>
            <w:noWrap/>
          </w:tcPr>
          <w:p w14:paraId="3A8635DF" w14:textId="77777777" w:rsidR="006800C7" w:rsidRPr="000E0E1F" w:rsidRDefault="006800C7" w:rsidP="00F31956"/>
        </w:tc>
        <w:tc>
          <w:tcPr>
            <w:tcW w:w="1560" w:type="dxa"/>
          </w:tcPr>
          <w:p w14:paraId="49CD785D" w14:textId="77777777" w:rsidR="006800C7" w:rsidRPr="00C62589" w:rsidRDefault="006800C7" w:rsidP="00F31956"/>
        </w:tc>
      </w:tr>
    </w:tbl>
    <w:p w14:paraId="1A2822B9" w14:textId="77777777" w:rsidR="006800C7" w:rsidRPr="00691D21" w:rsidRDefault="006800C7" w:rsidP="006800C7"/>
    <w:p w14:paraId="10C8C45D" w14:textId="77777777" w:rsidR="006800C7" w:rsidRDefault="006800C7" w:rsidP="006800C7">
      <w:pPr>
        <w:pStyle w:val="Heading4"/>
      </w:pPr>
      <w:r>
        <w:t xml:space="preserve">Highlights </w:t>
      </w:r>
    </w:p>
    <w:p w14:paraId="6EE5A221" w14:textId="69128863" w:rsidR="00995ED5" w:rsidRPr="00995ED5" w:rsidRDefault="00995ED5" w:rsidP="00995ED5">
      <w:pPr>
        <w:pStyle w:val="ListBullet"/>
      </w:pPr>
      <w:r w:rsidRPr="00995ED5">
        <w:t>Continued South West Regional Economic Enabling Fund works, including completion of projects on the Carnarvon Highway and Roma–Condamine Road.</w:t>
      </w:r>
    </w:p>
    <w:p w14:paraId="7A89C9F1" w14:textId="3B33B171" w:rsidR="00995ED5" w:rsidRPr="00995ED5" w:rsidRDefault="00995ED5" w:rsidP="00995ED5">
      <w:pPr>
        <w:pStyle w:val="ListBullet"/>
      </w:pPr>
      <w:r w:rsidRPr="00995ED5">
        <w:t>Completed Carnarvon Highway steel culvert replacement project.</w:t>
      </w:r>
    </w:p>
    <w:p w14:paraId="1315096E" w14:textId="138C4DAB" w:rsidR="00995ED5" w:rsidRPr="00995ED5" w:rsidRDefault="00995ED5" w:rsidP="00995ED5">
      <w:pPr>
        <w:pStyle w:val="ListBullet"/>
      </w:pPr>
      <w:r w:rsidRPr="00995ED5">
        <w:t>Continued delivery of the Roads of Strategic Importance initiative, including completion of the Carnarvon Highway (Roma–Injune) intersection project with Lalors Lane upgrade.</w:t>
      </w:r>
    </w:p>
    <w:p w14:paraId="07841941" w14:textId="0BC79FB6" w:rsidR="00995ED5" w:rsidRPr="00995ED5" w:rsidRDefault="00995ED5" w:rsidP="00995ED5">
      <w:pPr>
        <w:pStyle w:val="ListBullet"/>
      </w:pPr>
      <w:r w:rsidRPr="00995ED5">
        <w:t>Continued delivery of the South West Road Safety Program including town entry treatments, improved delineation, culvert replacements and guardrail replacements.</w:t>
      </w:r>
    </w:p>
    <w:p w14:paraId="557CD8CD" w14:textId="21A1C2ED" w:rsidR="006800C7" w:rsidRPr="0026316F" w:rsidRDefault="00A10BF7" w:rsidP="006800C7">
      <w:pPr>
        <w:pStyle w:val="Heading4"/>
      </w:pPr>
      <w:r>
        <w:lastRenderedPageBreak/>
        <w:t>Roads of Strategic Importance projects</w:t>
      </w:r>
    </w:p>
    <w:p w14:paraId="4513E9F4" w14:textId="71F57329" w:rsidR="002D75E1" w:rsidRDefault="002D75E1" w:rsidP="002D75E1">
      <w:r>
        <w:t>The Roads of Strategic Importance (ROSI) initiative has delivered targeted upgrades to the Carnarvon Highway and surrounding South West roads, enhancing productivity and efficiency on key freight routes.</w:t>
      </w:r>
    </w:p>
    <w:p w14:paraId="17A3DCCD" w14:textId="6A64763E" w:rsidR="002D75E1" w:rsidRDefault="002D75E1" w:rsidP="002D75E1">
      <w:r>
        <w:t>Improvements delivered through the ROSI include connecting agricultural regions and ports and other transport hubs and better access for tourism, mining, and other industries.</w:t>
      </w:r>
    </w:p>
    <w:p w14:paraId="045A516F" w14:textId="77777777" w:rsidR="002D75E1" w:rsidRDefault="002D75E1" w:rsidP="002D75E1">
      <w:r>
        <w:t>An example of a ROSI project is the Carnarvon Highway (Roma– Injune) intersection with Lalors Lane upgrade along with other safety works at Orange Hill. The project involved:</w:t>
      </w:r>
    </w:p>
    <w:p w14:paraId="17F2C234" w14:textId="311DCBC3" w:rsidR="002D75E1" w:rsidRDefault="002D75E1" w:rsidP="002D75E1">
      <w:pPr>
        <w:pStyle w:val="ListBullet"/>
      </w:pPr>
      <w:r>
        <w:t>pavement widening</w:t>
      </w:r>
    </w:p>
    <w:p w14:paraId="5711052E" w14:textId="3AA705AC" w:rsidR="002D75E1" w:rsidRDefault="002D75E1" w:rsidP="002D75E1">
      <w:pPr>
        <w:pStyle w:val="ListBullet"/>
      </w:pPr>
      <w:r>
        <w:t>intersection improvements</w:t>
      </w:r>
    </w:p>
    <w:p w14:paraId="430089B5" w14:textId="476554FA" w:rsidR="002D75E1" w:rsidRDefault="002D75E1" w:rsidP="002D75E1">
      <w:pPr>
        <w:pStyle w:val="ListBullet"/>
      </w:pPr>
      <w:r>
        <w:t>installation of school bus pullover bays</w:t>
      </w:r>
    </w:p>
    <w:p w14:paraId="1CFF181D" w14:textId="7C05DE67" w:rsidR="002D75E1" w:rsidRDefault="002D75E1" w:rsidP="002D75E1">
      <w:pPr>
        <w:pStyle w:val="ListBullet"/>
      </w:pPr>
      <w:r>
        <w:t>improved signage.</w:t>
      </w:r>
    </w:p>
    <w:p w14:paraId="014CC18B" w14:textId="77777777" w:rsidR="002D75E1" w:rsidRDefault="002D75E1" w:rsidP="002D75E1">
      <w:r>
        <w:t>The project was completed in December 2021, jointly funded by the Australian and Queensland governments on an 80:20 basis, under the Roads of Strategic Importance initiative.</w:t>
      </w:r>
    </w:p>
    <w:p w14:paraId="6D3DC3A0" w14:textId="400955CD" w:rsidR="006800C7" w:rsidRPr="0026316F" w:rsidRDefault="007443C9" w:rsidP="006800C7">
      <w:pPr>
        <w:pStyle w:val="Heading4"/>
      </w:pPr>
      <w:r>
        <w:t>Carnarvon Highway steel culvert replacement</w:t>
      </w:r>
    </w:p>
    <w:p w14:paraId="77B59073" w14:textId="77777777" w:rsidR="00750B5B" w:rsidRDefault="00750B5B" w:rsidP="00750B5B">
      <w:r>
        <w:t>The Carnarvon Highway steel culvert replacement project was completed in February 2022, as part of the Queensland Government’s $400 million road stimulus package to fast-track projects during the COVID-19 economic recovery.</w:t>
      </w:r>
    </w:p>
    <w:p w14:paraId="69248112" w14:textId="77777777" w:rsidR="00750B5B" w:rsidRDefault="00750B5B" w:rsidP="00750B5B">
      <w:r>
        <w:t>Works involved replacing the existing steel culvert, just east of the Surat township, with a reinforced concrete culvert. The new culvert will improve safety, network efficiency and contribute to the economy and regional growth.</w:t>
      </w:r>
    </w:p>
    <w:p w14:paraId="7ED41B61" w14:textId="77777777" w:rsidR="00750B5B" w:rsidRDefault="00750B5B" w:rsidP="00750B5B">
      <w:r>
        <w:t>While on site, the highway was widened to improve safety for motorists and erosion control mats were installed to help establish vegetation and reduce erosion during flooding events.</w:t>
      </w:r>
    </w:p>
    <w:p w14:paraId="25E2AB3B" w14:textId="2A2B6135" w:rsidR="007443C9" w:rsidRDefault="00750B5B" w:rsidP="00750B5B">
      <w:r>
        <w:t>The project was fully funded by the Queensland Government.</w:t>
      </w:r>
    </w:p>
    <w:p w14:paraId="42E2F824" w14:textId="77777777" w:rsidR="006800C7" w:rsidRPr="0026316F" w:rsidRDefault="006800C7" w:rsidP="006800C7">
      <w:pPr>
        <w:pStyle w:val="Heading4"/>
      </w:pPr>
      <w:r>
        <w:t>Roads of Strategic Importance</w:t>
      </w:r>
    </w:p>
    <w:p w14:paraId="14694BCA" w14:textId="7BD452E3" w:rsidR="004D562D" w:rsidRDefault="004D562D" w:rsidP="004D562D">
      <w:r>
        <w:t>The Regional Economic Enabling Fund is a package of works funded by the Australian and Queensland governments delivering targeted upgrades to many roads across regional Queensland in response to COVID-19.</w:t>
      </w:r>
    </w:p>
    <w:p w14:paraId="268D384F" w14:textId="77777777" w:rsidR="004D562D" w:rsidRDefault="004D562D" w:rsidP="004D562D">
      <w:r>
        <w:t>In the South West, Regional Economic Enabling Fund projects completed in 2021–22 included widening:</w:t>
      </w:r>
    </w:p>
    <w:p w14:paraId="12B603D2" w14:textId="1E9975C1" w:rsidR="004D562D" w:rsidRDefault="004D562D" w:rsidP="004D562D">
      <w:pPr>
        <w:pStyle w:val="ListBullet"/>
      </w:pPr>
      <w:r>
        <w:t>priority sections of Diamantina Developmental Road (Charleville–Quilpie) within the Quilpie Shire Council area</w:t>
      </w:r>
    </w:p>
    <w:p w14:paraId="6BBD4FF3" w14:textId="44526BAC" w:rsidR="004D562D" w:rsidRDefault="004D562D" w:rsidP="004D562D">
      <w:pPr>
        <w:pStyle w:val="ListBullet"/>
      </w:pPr>
      <w:r>
        <w:t>priority sections of Diamantina Developmental Road (Charleville–Quilpie) within the Murweh Shire Council area</w:t>
      </w:r>
    </w:p>
    <w:p w14:paraId="58B1141D" w14:textId="08487FB0" w:rsidR="004D562D" w:rsidRDefault="004D562D" w:rsidP="004D562D">
      <w:pPr>
        <w:pStyle w:val="ListBullet"/>
      </w:pPr>
      <w:r>
        <w:t>priority sections of Bulloo Developmental Road (Cunnamulla– Thargomindah)</w:t>
      </w:r>
    </w:p>
    <w:p w14:paraId="1C5D79AC" w14:textId="0AC149DA" w:rsidR="004D562D" w:rsidRDefault="004D562D" w:rsidP="004D562D">
      <w:pPr>
        <w:pStyle w:val="ListBullet"/>
      </w:pPr>
      <w:r>
        <w:t>and strengthening various sections of Roma–Condamine Road</w:t>
      </w:r>
    </w:p>
    <w:p w14:paraId="49118CDB" w14:textId="5034C690" w:rsidR="004D562D" w:rsidRDefault="004D562D" w:rsidP="004D562D">
      <w:pPr>
        <w:pStyle w:val="ListBullet"/>
      </w:pPr>
      <w:r>
        <w:t>priority sections of the Carnarvon Highway (Mungindi–St George)</w:t>
      </w:r>
    </w:p>
    <w:p w14:paraId="411B4D5A" w14:textId="3F015942" w:rsidR="00750B5B" w:rsidRDefault="004D562D" w:rsidP="004D562D">
      <w:pPr>
        <w:pStyle w:val="ListBullet"/>
      </w:pPr>
      <w:r>
        <w:t>replacing a culvert on the Carnarvon Highway (Roma–Injune).</w:t>
      </w:r>
    </w:p>
    <w:p w14:paraId="4559CFD1" w14:textId="563E8C27" w:rsidR="006800C7" w:rsidRPr="0026316F" w:rsidRDefault="006800C7" w:rsidP="006800C7">
      <w:pPr>
        <w:pStyle w:val="Heading4"/>
      </w:pPr>
      <w:r>
        <w:lastRenderedPageBreak/>
        <w:t xml:space="preserve">South West </w:t>
      </w:r>
      <w:r w:rsidR="004D3E54">
        <w:t>Road Safety Program</w:t>
      </w:r>
    </w:p>
    <w:p w14:paraId="105D1388" w14:textId="77777777" w:rsidR="0042387C" w:rsidRDefault="0042387C" w:rsidP="0042387C">
      <w:r>
        <w:t>In South West Queensland, a program of projects supporting road safety treatments on state-controlled roads is underway.</w:t>
      </w:r>
    </w:p>
    <w:p w14:paraId="1F289D8A" w14:textId="77777777" w:rsidR="0042387C" w:rsidRDefault="0042387C" w:rsidP="0042387C">
      <w:r>
        <w:t>Jointly funded by the Australian and Queensland governments, the program is providing greater protection for road users through the installation of:</w:t>
      </w:r>
    </w:p>
    <w:p w14:paraId="74307937" w14:textId="15BB8113" w:rsidR="0042387C" w:rsidRDefault="0042387C" w:rsidP="0042387C">
      <w:pPr>
        <w:pStyle w:val="ListBullet"/>
      </w:pPr>
      <w:r>
        <w:t>town entry treatments</w:t>
      </w:r>
    </w:p>
    <w:p w14:paraId="02A73B21" w14:textId="7B9CC44E" w:rsidR="0042387C" w:rsidRDefault="0042387C" w:rsidP="0042387C">
      <w:pPr>
        <w:pStyle w:val="ListBullet"/>
      </w:pPr>
      <w:r>
        <w:t>improved delineation</w:t>
      </w:r>
    </w:p>
    <w:p w14:paraId="6494161C" w14:textId="21F26BAD" w:rsidR="0042387C" w:rsidRDefault="0042387C" w:rsidP="0042387C">
      <w:pPr>
        <w:pStyle w:val="ListBullet"/>
      </w:pPr>
      <w:r>
        <w:t>culvert replacements</w:t>
      </w:r>
    </w:p>
    <w:p w14:paraId="20212810" w14:textId="2E9746E1" w:rsidR="0042387C" w:rsidRDefault="0042387C" w:rsidP="0042387C">
      <w:pPr>
        <w:pStyle w:val="ListBullet"/>
      </w:pPr>
      <w:r>
        <w:t>guardrail replacements.</w:t>
      </w:r>
    </w:p>
    <w:p w14:paraId="330AA9E8" w14:textId="77777777" w:rsidR="0042387C" w:rsidRDefault="0042387C" w:rsidP="0042387C">
      <w:r>
        <w:t>Road safety projects delivered in 2021–22 included:</w:t>
      </w:r>
    </w:p>
    <w:p w14:paraId="3B24F6AF" w14:textId="5F5B8137" w:rsidR="0042387C" w:rsidRDefault="0042387C" w:rsidP="0042387C">
      <w:pPr>
        <w:pStyle w:val="ListBullet"/>
      </w:pPr>
      <w:r>
        <w:t>intersection upgrade at the intersection of the Warrego and Carnarvon highways</w:t>
      </w:r>
    </w:p>
    <w:p w14:paraId="14186368" w14:textId="4285493C" w:rsidR="0042387C" w:rsidRDefault="0042387C" w:rsidP="0042387C">
      <w:pPr>
        <w:pStyle w:val="ListBullet"/>
      </w:pPr>
      <w:r>
        <w:t>intersection upgrade and culvert replacement at the Carnarvon Highway (Roma–Injune) and Miscamble Street intersection</w:t>
      </w:r>
    </w:p>
    <w:p w14:paraId="06AA395E" w14:textId="458D0D4A" w:rsidR="0042387C" w:rsidRDefault="0042387C" w:rsidP="0042387C">
      <w:pPr>
        <w:pStyle w:val="ListBullet"/>
      </w:pPr>
      <w:r>
        <w:t>culvert replacement works on the Diamantina Developmental Road (Charleville–Quilpie)</w:t>
      </w:r>
    </w:p>
    <w:p w14:paraId="4B67818C" w14:textId="6F4F0CD8" w:rsidR="0042387C" w:rsidRDefault="0042387C" w:rsidP="0042387C">
      <w:pPr>
        <w:pStyle w:val="ListBullet"/>
      </w:pPr>
      <w:r>
        <w:t>line marking and guardrail installation on the Carnarvon Highway (Mungindi–St George)</w:t>
      </w:r>
    </w:p>
    <w:p w14:paraId="5CE1ACC0" w14:textId="6BCCE6DE" w:rsidR="0042387C" w:rsidRDefault="0042387C" w:rsidP="0042387C">
      <w:pPr>
        <w:pStyle w:val="ListBullet"/>
      </w:pPr>
      <w:r>
        <w:t>culvert replacements on the Carnarvon Highway (Roma–Injune)</w:t>
      </w:r>
    </w:p>
    <w:p w14:paraId="58AD3A3C" w14:textId="592DD01F" w:rsidR="0042387C" w:rsidRDefault="0042387C" w:rsidP="0042387C">
      <w:pPr>
        <w:pStyle w:val="ListBullet"/>
      </w:pPr>
      <w:r>
        <w:t>town entry treatments installation in Injune, Muckadilla, Amby, Mungallala and Morven</w:t>
      </w:r>
    </w:p>
    <w:p w14:paraId="089FECA3" w14:textId="1246B92E" w:rsidR="0042387C" w:rsidRDefault="0042387C" w:rsidP="0042387C">
      <w:pPr>
        <w:pStyle w:val="ListBullet"/>
      </w:pPr>
      <w:r>
        <w:t>culvert replacements on Bulloo Developmental Road (Cunnamulla–Thargomindah)</w:t>
      </w:r>
    </w:p>
    <w:p w14:paraId="1EF1AB70" w14:textId="5369A547" w:rsidR="004D562D" w:rsidRPr="005D65DF" w:rsidRDefault="0042387C" w:rsidP="006800C7">
      <w:pPr>
        <w:pStyle w:val="ListBullet"/>
      </w:pPr>
      <w:r>
        <w:t>safety treatments on the Warrego Highway (Miles–Roma) at Blyth Creek.</w:t>
      </w:r>
    </w:p>
    <w:p w14:paraId="2D740260" w14:textId="77777777" w:rsidR="006800C7" w:rsidRDefault="006800C7" w:rsidP="006800C7">
      <w:pPr>
        <w:pStyle w:val="Heading3"/>
      </w:pPr>
      <w:r>
        <w:t>North Coast</w:t>
      </w:r>
    </w:p>
    <w:tbl>
      <w:tblPr>
        <w:tblStyle w:val="TMRAnnualReport2"/>
        <w:tblW w:w="8926" w:type="dxa"/>
        <w:tblLook w:val="04A0" w:firstRow="1" w:lastRow="0" w:firstColumn="1" w:lastColumn="0" w:noHBand="0" w:noVBand="1"/>
      </w:tblPr>
      <w:tblGrid>
        <w:gridCol w:w="1980"/>
        <w:gridCol w:w="1701"/>
        <w:gridCol w:w="1984"/>
        <w:gridCol w:w="1701"/>
        <w:gridCol w:w="1560"/>
      </w:tblGrid>
      <w:tr w:rsidR="006800C7" w:rsidRPr="008B5A09" w14:paraId="6DAC1E5C" w14:textId="77777777" w:rsidTr="00F31956">
        <w:trPr>
          <w:trHeight w:val="150"/>
        </w:trPr>
        <w:tc>
          <w:tcPr>
            <w:tcW w:w="1980" w:type="dxa"/>
            <w:noWrap/>
            <w:hideMark/>
          </w:tcPr>
          <w:p w14:paraId="568BDEBC" w14:textId="77777777" w:rsidR="006800C7" w:rsidRPr="00EB4272" w:rsidRDefault="006800C7" w:rsidP="00F31956">
            <w:r>
              <w:rPr>
                <w:rStyle w:val="Strong"/>
              </w:rPr>
              <w:t>1372</w:t>
            </w:r>
            <w:r w:rsidRPr="00EB4272">
              <w:rPr>
                <w:rStyle w:val="Strong"/>
              </w:rPr>
              <w:t xml:space="preserve"> kilometres </w:t>
            </w:r>
            <w:r w:rsidRPr="00EB4272">
              <w:rPr>
                <w:rStyle w:val="Strong"/>
              </w:rPr>
              <w:br/>
            </w:r>
            <w:r w:rsidRPr="00EB4272">
              <w:t>State-controlled</w:t>
            </w:r>
            <w:r w:rsidRPr="00EB4272">
              <w:br/>
              <w:t xml:space="preserve"> road</w:t>
            </w:r>
            <w:r w:rsidRPr="00EB4272">
              <w:rPr>
                <w:rStyle w:val="FootnoteReference"/>
              </w:rPr>
              <w:footnoteReference w:id="32"/>
            </w:r>
          </w:p>
        </w:tc>
        <w:tc>
          <w:tcPr>
            <w:tcW w:w="1701" w:type="dxa"/>
            <w:noWrap/>
            <w:hideMark/>
          </w:tcPr>
          <w:p w14:paraId="4EECC589" w14:textId="77777777" w:rsidR="006800C7" w:rsidRPr="00EB4272" w:rsidRDefault="006800C7" w:rsidP="00F31956">
            <w:r>
              <w:rPr>
                <w:rStyle w:val="Strong"/>
              </w:rPr>
              <w:t>129</w:t>
            </w:r>
            <w:r w:rsidRPr="005658BE">
              <w:rPr>
                <w:rStyle w:val="Strong"/>
              </w:rPr>
              <w:t xml:space="preserve"> kilometres </w:t>
            </w:r>
            <w:r w:rsidRPr="00EB4272">
              <w:t>National Land Transport Network</w:t>
            </w:r>
            <w:r w:rsidRPr="00EB4272">
              <w:rPr>
                <w:rStyle w:val="FootnoteReference"/>
              </w:rPr>
              <w:footnoteReference w:id="33"/>
            </w:r>
            <w:r w:rsidRPr="00EB4272">
              <w:t xml:space="preserve"> </w:t>
            </w:r>
          </w:p>
        </w:tc>
        <w:tc>
          <w:tcPr>
            <w:tcW w:w="1984" w:type="dxa"/>
            <w:noWrap/>
            <w:hideMark/>
          </w:tcPr>
          <w:p w14:paraId="6C63008B" w14:textId="0F6CF31B" w:rsidR="006800C7" w:rsidRPr="00EB4272" w:rsidRDefault="0042387C" w:rsidP="00F31956">
            <w:r>
              <w:rPr>
                <w:rStyle w:val="Strong"/>
              </w:rPr>
              <w:t>5889</w:t>
            </w:r>
            <w:r w:rsidR="006800C7" w:rsidRPr="005658BE">
              <w:rPr>
                <w:rStyle w:val="Strong"/>
              </w:rPr>
              <w:t xml:space="preserve"> </w:t>
            </w:r>
            <w:r w:rsidR="006800C7" w:rsidRPr="00EB4272">
              <w:rPr>
                <w:rStyle w:val="Strong"/>
              </w:rPr>
              <w:br/>
            </w:r>
            <w:r w:rsidR="006800C7" w:rsidRPr="00EB4272">
              <w:t xml:space="preserve">Vehicle and machinery registrations </w:t>
            </w:r>
          </w:p>
        </w:tc>
        <w:tc>
          <w:tcPr>
            <w:tcW w:w="1701" w:type="dxa"/>
            <w:noWrap/>
            <w:hideMark/>
          </w:tcPr>
          <w:p w14:paraId="2D18C44A" w14:textId="77777777" w:rsidR="006800C7" w:rsidRPr="00EB4272" w:rsidRDefault="006800C7" w:rsidP="00F31956">
            <w:r>
              <w:rPr>
                <w:rStyle w:val="Strong"/>
              </w:rPr>
              <w:t>68</w:t>
            </w:r>
            <w:r w:rsidRPr="00B33E3B">
              <w:rPr>
                <w:rStyle w:val="Strong"/>
              </w:rPr>
              <w:t xml:space="preserve"> </w:t>
            </w:r>
            <w:r w:rsidRPr="00EB4272">
              <w:rPr>
                <w:rStyle w:val="Strong"/>
              </w:rPr>
              <w:br/>
            </w:r>
            <w:r w:rsidRPr="00EB4272">
              <w:t xml:space="preserve">Boating infrastructures </w:t>
            </w:r>
          </w:p>
        </w:tc>
        <w:tc>
          <w:tcPr>
            <w:tcW w:w="1560" w:type="dxa"/>
          </w:tcPr>
          <w:p w14:paraId="2A2F2506" w14:textId="61DE466E" w:rsidR="006800C7" w:rsidRPr="00EB4272" w:rsidRDefault="0042387C" w:rsidP="00F31956">
            <w:r>
              <w:rPr>
                <w:rStyle w:val="Strong"/>
              </w:rPr>
              <w:t>43</w:t>
            </w:r>
            <w:r w:rsidR="006800C7" w:rsidRPr="00EB4272">
              <w:rPr>
                <w:rStyle w:val="Strong"/>
              </w:rPr>
              <w:br/>
            </w:r>
            <w:r w:rsidR="006800C7" w:rsidRPr="00EB4272">
              <w:t>Community safety events held</w:t>
            </w:r>
          </w:p>
        </w:tc>
      </w:tr>
      <w:tr w:rsidR="006800C7" w:rsidRPr="008B5A09" w14:paraId="7E186C9B" w14:textId="77777777" w:rsidTr="00F31956">
        <w:trPr>
          <w:trHeight w:val="265"/>
        </w:trPr>
        <w:tc>
          <w:tcPr>
            <w:tcW w:w="1980" w:type="dxa"/>
            <w:noWrap/>
          </w:tcPr>
          <w:p w14:paraId="7F159EB0" w14:textId="19B12689" w:rsidR="006800C7" w:rsidRPr="00EB4272" w:rsidRDefault="0042387C" w:rsidP="00F31956">
            <w:r>
              <w:rPr>
                <w:rStyle w:val="Strong"/>
              </w:rPr>
              <w:t>1,012,148</w:t>
            </w:r>
            <w:r w:rsidR="006800C7" w:rsidRPr="00B33E3B">
              <w:rPr>
                <w:rStyle w:val="Strong"/>
              </w:rPr>
              <w:t xml:space="preserve"> </w:t>
            </w:r>
            <w:r w:rsidR="006800C7" w:rsidRPr="00EB4272">
              <w:rPr>
                <w:rStyle w:val="Strong"/>
              </w:rPr>
              <w:br/>
            </w:r>
            <w:r w:rsidR="006800C7" w:rsidRPr="00EB4272">
              <w:t xml:space="preserve">Vehicle and machinery inspections completed </w:t>
            </w:r>
          </w:p>
        </w:tc>
        <w:tc>
          <w:tcPr>
            <w:tcW w:w="1701" w:type="dxa"/>
            <w:noWrap/>
          </w:tcPr>
          <w:p w14:paraId="7B75BC19" w14:textId="34BBFFCD" w:rsidR="006800C7" w:rsidRPr="00EB4272" w:rsidRDefault="006800C7" w:rsidP="00F31956">
            <w:r>
              <w:rPr>
                <w:rStyle w:val="Strong"/>
              </w:rPr>
              <w:t>41</w:t>
            </w:r>
            <w:r w:rsidR="0042387C">
              <w:rPr>
                <w:rStyle w:val="Strong"/>
              </w:rPr>
              <w:t>8</w:t>
            </w:r>
            <w:r w:rsidRPr="00EB4272">
              <w:br/>
              <w:t>Bridges</w:t>
            </w:r>
            <w:r w:rsidRPr="00EB4272">
              <w:rPr>
                <w:rStyle w:val="FootnoteReference"/>
              </w:rPr>
              <w:footnoteReference w:id="34"/>
            </w:r>
            <w:r w:rsidRPr="00EB4272">
              <w:t xml:space="preserve"> </w:t>
            </w:r>
          </w:p>
        </w:tc>
        <w:tc>
          <w:tcPr>
            <w:tcW w:w="1984" w:type="dxa"/>
            <w:noWrap/>
          </w:tcPr>
          <w:p w14:paraId="6EBDF627" w14:textId="53AA98EA" w:rsidR="006800C7" w:rsidRPr="00EB4272" w:rsidRDefault="0042387C" w:rsidP="00F31956">
            <w:r>
              <w:rPr>
                <w:rStyle w:val="Strong"/>
              </w:rPr>
              <w:t>21,354</w:t>
            </w:r>
            <w:r w:rsidR="006800C7" w:rsidRPr="00EB4272">
              <w:br/>
              <w:t xml:space="preserve">Driver licence tests conducted  </w:t>
            </w:r>
          </w:p>
        </w:tc>
        <w:tc>
          <w:tcPr>
            <w:tcW w:w="1701" w:type="dxa"/>
            <w:noWrap/>
          </w:tcPr>
          <w:p w14:paraId="089925BD" w14:textId="52B4DDBF" w:rsidR="006800C7" w:rsidRPr="00EB4272" w:rsidRDefault="0042387C" w:rsidP="00F31956">
            <w:r>
              <w:rPr>
                <w:rStyle w:val="Strong"/>
              </w:rPr>
              <w:t>486,573</w:t>
            </w:r>
            <w:r w:rsidR="006800C7" w:rsidRPr="00EB4272">
              <w:br/>
              <w:t xml:space="preserve">Customer face-to-face interaction </w:t>
            </w:r>
          </w:p>
        </w:tc>
        <w:tc>
          <w:tcPr>
            <w:tcW w:w="1560" w:type="dxa"/>
          </w:tcPr>
          <w:p w14:paraId="764988F7" w14:textId="6D5452BF" w:rsidR="006800C7" w:rsidRPr="00EB4272" w:rsidRDefault="0042387C" w:rsidP="00F31956">
            <w:r w:rsidRPr="0042387C">
              <w:rPr>
                <w:rStyle w:val="Strong"/>
              </w:rPr>
              <w:t>524</w:t>
            </w:r>
            <w:r w:rsidR="006800C7" w:rsidRPr="00EB4272">
              <w:br/>
              <w:t xml:space="preserve">Priority enabled intersections </w:t>
            </w:r>
          </w:p>
        </w:tc>
      </w:tr>
      <w:tr w:rsidR="006800C7" w:rsidRPr="008B5A09" w14:paraId="11FB2F47" w14:textId="77777777" w:rsidTr="00F31956">
        <w:trPr>
          <w:trHeight w:val="265"/>
        </w:trPr>
        <w:tc>
          <w:tcPr>
            <w:tcW w:w="1980" w:type="dxa"/>
            <w:noWrap/>
          </w:tcPr>
          <w:p w14:paraId="0A0B6056" w14:textId="77777777" w:rsidR="006800C7" w:rsidRPr="00EB4272" w:rsidRDefault="006800C7" w:rsidP="00F31956">
            <w:pPr>
              <w:rPr>
                <w:rStyle w:val="Strong"/>
              </w:rPr>
            </w:pPr>
            <w:r>
              <w:t>Area covered</w:t>
            </w:r>
            <w:r>
              <w:br/>
            </w:r>
            <w:r>
              <w:rPr>
                <w:rStyle w:val="Strong"/>
              </w:rPr>
              <w:t>10,539</w:t>
            </w:r>
            <w:r w:rsidRPr="00EB4272">
              <w:rPr>
                <w:rStyle w:val="Strong"/>
              </w:rPr>
              <w:t xml:space="preserve"> square kilometres</w:t>
            </w:r>
            <w:r w:rsidRPr="00EB4272">
              <w:t xml:space="preserve"> </w:t>
            </w:r>
          </w:p>
        </w:tc>
        <w:tc>
          <w:tcPr>
            <w:tcW w:w="1701" w:type="dxa"/>
            <w:noWrap/>
          </w:tcPr>
          <w:p w14:paraId="717B779D" w14:textId="6957B719" w:rsidR="006800C7" w:rsidRPr="00EB4272" w:rsidRDefault="006800C7" w:rsidP="00F31956">
            <w:pPr>
              <w:rPr>
                <w:rStyle w:val="Strong"/>
              </w:rPr>
            </w:pPr>
            <w:r>
              <w:t xml:space="preserve">Population of </w:t>
            </w:r>
            <w:r w:rsidRPr="00EB4272">
              <w:rPr>
                <w:rStyle w:val="Strong"/>
              </w:rPr>
              <w:t xml:space="preserve">Queensland </w:t>
            </w:r>
            <w:r w:rsidRPr="00EB4272">
              <w:rPr>
                <w:rStyle w:val="Strong"/>
              </w:rPr>
              <w:br/>
            </w:r>
            <w:r>
              <w:rPr>
                <w:rStyle w:val="Strong"/>
              </w:rPr>
              <w:t>17.</w:t>
            </w:r>
            <w:r w:rsidR="0042387C">
              <w:rPr>
                <w:rStyle w:val="Strong"/>
              </w:rPr>
              <w:t>50</w:t>
            </w:r>
            <w:r w:rsidRPr="00EB4272">
              <w:rPr>
                <w:rStyle w:val="Strong"/>
              </w:rPr>
              <w:t>%</w:t>
            </w:r>
            <w:r w:rsidRPr="00EB4272">
              <w:t xml:space="preserve"> </w:t>
            </w:r>
          </w:p>
        </w:tc>
        <w:tc>
          <w:tcPr>
            <w:tcW w:w="1984" w:type="dxa"/>
            <w:noWrap/>
          </w:tcPr>
          <w:p w14:paraId="28A8C0F7" w14:textId="77777777" w:rsidR="006800C7" w:rsidRDefault="006800C7" w:rsidP="00F31956"/>
        </w:tc>
        <w:tc>
          <w:tcPr>
            <w:tcW w:w="1701" w:type="dxa"/>
            <w:noWrap/>
          </w:tcPr>
          <w:p w14:paraId="6CFF922E" w14:textId="77777777" w:rsidR="006800C7" w:rsidRPr="000E0E1F" w:rsidRDefault="006800C7" w:rsidP="00F31956"/>
        </w:tc>
        <w:tc>
          <w:tcPr>
            <w:tcW w:w="1560" w:type="dxa"/>
          </w:tcPr>
          <w:p w14:paraId="2397CF5F" w14:textId="77777777" w:rsidR="006800C7" w:rsidRPr="00C62589" w:rsidRDefault="006800C7" w:rsidP="00F31956"/>
        </w:tc>
      </w:tr>
    </w:tbl>
    <w:p w14:paraId="32E27D96" w14:textId="77777777" w:rsidR="003E7156" w:rsidRDefault="003E7156" w:rsidP="003E7156"/>
    <w:p w14:paraId="6C51805F" w14:textId="036E2087" w:rsidR="006800C7" w:rsidRDefault="006800C7" w:rsidP="006800C7">
      <w:pPr>
        <w:pStyle w:val="Heading4"/>
      </w:pPr>
      <w:r>
        <w:lastRenderedPageBreak/>
        <w:t xml:space="preserve">Highlights </w:t>
      </w:r>
    </w:p>
    <w:p w14:paraId="5A36687B" w14:textId="13CE1A7C" w:rsidR="00225657" w:rsidRPr="00225657" w:rsidRDefault="00225657" w:rsidP="00225657">
      <w:pPr>
        <w:pStyle w:val="ListBullet"/>
      </w:pPr>
      <w:r w:rsidRPr="00225657">
        <w:t>Continued widening of Bruce Highway from four to six lanes between Caboolture–Bribie Island Road and Steve Irwin Way (Exit 163).</w:t>
      </w:r>
    </w:p>
    <w:p w14:paraId="7453158A" w14:textId="35CDDCE1" w:rsidR="00225657" w:rsidRPr="00225657" w:rsidRDefault="00225657" w:rsidP="00225657">
      <w:pPr>
        <w:pStyle w:val="ListBullet"/>
      </w:pPr>
      <w:r w:rsidRPr="00225657">
        <w:t>Completed Bruce Highway widening between Caloundra Road and the Sunshine Motorway and upgrading of interchanges at Caloundra Road and Sunshine Motorway.</w:t>
      </w:r>
    </w:p>
    <w:p w14:paraId="326E4DB0" w14:textId="412E991F" w:rsidR="00225657" w:rsidRPr="00225657" w:rsidRDefault="00225657" w:rsidP="00225657">
      <w:pPr>
        <w:pStyle w:val="ListBullet"/>
      </w:pPr>
      <w:r w:rsidRPr="00225657">
        <w:t>Continued upgrade of the North Coast Line between Beerburrum train station and Nambour train station.</w:t>
      </w:r>
    </w:p>
    <w:p w14:paraId="396C6051" w14:textId="43EDE555" w:rsidR="0042387C" w:rsidRPr="00225657" w:rsidRDefault="00225657" w:rsidP="00225657">
      <w:pPr>
        <w:pStyle w:val="ListBullet"/>
      </w:pPr>
      <w:r w:rsidRPr="00225657">
        <w:t>Completed upgrade of Petrie intersection on Redcliffe Road (Anzac Avenue).</w:t>
      </w:r>
    </w:p>
    <w:p w14:paraId="535FB749" w14:textId="4FFEB8AC" w:rsidR="006800C7" w:rsidRPr="0026316F" w:rsidRDefault="00934596" w:rsidP="006800C7">
      <w:pPr>
        <w:pStyle w:val="Heading4"/>
      </w:pPr>
      <w:r>
        <w:t>Caloundra Read to Sunshine Motorway upgrade</w:t>
      </w:r>
    </w:p>
    <w:p w14:paraId="19F68665" w14:textId="7A48BEA6" w:rsidR="002507C3" w:rsidRDefault="002507C3" w:rsidP="002507C3">
      <w:r>
        <w:t>Major construction on the Bruce Highway upgrade–Caloundra Road to Sunshine Motorway project was officially commissioned on 28 September 2021.</w:t>
      </w:r>
    </w:p>
    <w:p w14:paraId="776DA961" w14:textId="2D16E9C2" w:rsidR="002507C3" w:rsidRDefault="002507C3" w:rsidP="002507C3">
      <w:r>
        <w:t>The Bruce Highway was upgraded to six lanes, between Caloundra Road and the Sunshine Motorway. This included major upgrades to both interchanges and a new two-way service road for local traffic, allowing the Bruce Highway to function as a high-speed, high-volume corridor.</w:t>
      </w:r>
    </w:p>
    <w:p w14:paraId="5B7BA06C" w14:textId="51147021" w:rsidR="002507C3" w:rsidRDefault="002507C3" w:rsidP="002507C3">
      <w:r>
        <w:t>In an Australian first, a Diverging Diamond Interchange was built at Caloundra Road. This innovative design minimised the project footprint (requiring fewer bridges and roads) while tackling congestion, increasing capacity, improving safety, and providing active transport connections.</w:t>
      </w:r>
    </w:p>
    <w:p w14:paraId="3D64AC9A" w14:textId="757D2190" w:rsidR="002507C3" w:rsidRDefault="002507C3" w:rsidP="002507C3">
      <w:r>
        <w:t>The upgrade has provided vital infrastructure that will support future growth in the Sunshine Coast region.</w:t>
      </w:r>
    </w:p>
    <w:p w14:paraId="5A3E5747" w14:textId="77777777" w:rsidR="002507C3" w:rsidRDefault="002507C3" w:rsidP="002507C3">
      <w:r>
        <w:t>The project was jointly funded by the Australian and Queensland governments on an 80:20 basis.</w:t>
      </w:r>
    </w:p>
    <w:p w14:paraId="24A715A3" w14:textId="6E9FE084" w:rsidR="002507C3" w:rsidRDefault="002507C3" w:rsidP="0065680D">
      <w:pPr>
        <w:pStyle w:val="MoreInformation"/>
      </w:pPr>
      <w:r>
        <w:t>For more information</w:t>
      </w:r>
      <w:r>
        <w:br/>
      </w:r>
      <w:hyperlink r:id="rId75" w:history="1">
        <w:r w:rsidR="0065680D" w:rsidRPr="0065680D">
          <w:rPr>
            <w:rStyle w:val="Hyperlink"/>
          </w:rPr>
          <w:t>https://www.tmr.qld.gov.au/projects/bruce-highway-caloundra-road-to-sunshine-motorway</w:t>
        </w:r>
      </w:hyperlink>
    </w:p>
    <w:p w14:paraId="6AD084E4" w14:textId="3D0B34E6" w:rsidR="00DC1C4F" w:rsidRPr="00DC1C4F" w:rsidRDefault="00DC1C4F" w:rsidP="00DC1C4F">
      <w:r w:rsidRPr="00DC1C4F">
        <w:rPr>
          <w:iCs/>
          <w:color w:val="auto"/>
          <w:sz w:val="26"/>
        </w:rPr>
        <w:t>Sunshine Motorway–Mooloolah River interchange upgrade</w:t>
      </w:r>
    </w:p>
    <w:p w14:paraId="4F36254A" w14:textId="77777777" w:rsidR="0057670D" w:rsidRDefault="0057670D" w:rsidP="0057670D">
      <w:r>
        <w:t>Design work is underway to upgrade the Sunshine Motorway– Mooloolah River interchange at Mountain Creek.</w:t>
      </w:r>
    </w:p>
    <w:p w14:paraId="6B416DB5" w14:textId="77777777" w:rsidR="0057670D" w:rsidRDefault="0057670D" w:rsidP="0057670D">
      <w:r>
        <w:t>The upgrade will deliver:</w:t>
      </w:r>
    </w:p>
    <w:p w14:paraId="481AB330" w14:textId="0FECFC8B" w:rsidR="0057670D" w:rsidRDefault="0057670D" w:rsidP="0057670D">
      <w:pPr>
        <w:pStyle w:val="ListBullet"/>
      </w:pPr>
      <w:r>
        <w:t>a safe, efficient, and effective transport network to meet the current and future needs of the Sunshine Coast region</w:t>
      </w:r>
    </w:p>
    <w:p w14:paraId="49FF8C66" w14:textId="408FC167" w:rsidR="0057670D" w:rsidRDefault="0057670D" w:rsidP="0057670D">
      <w:pPr>
        <w:pStyle w:val="ListBullet"/>
      </w:pPr>
      <w:r>
        <w:t>improved access and active transport connectivity for local communities in the Birtinya, Mountain Creek and Mooloolaba areas.</w:t>
      </w:r>
    </w:p>
    <w:p w14:paraId="57E7BAB6" w14:textId="45802A35" w:rsidR="0057670D" w:rsidRDefault="0057670D" w:rsidP="0057670D">
      <w:r>
        <w:t>Stage one of the project includes a new road overpass to provide a more direct and efficient connection from Nicklin Way to Brisbane Road at Mooloolaba and a new local road connection between Karawatha Drive at Mountain Creek and Brisbane Road at Mooloolaba.</w:t>
      </w:r>
    </w:p>
    <w:p w14:paraId="4B8DE217" w14:textId="7853BB38" w:rsidR="0057670D" w:rsidRDefault="0057670D" w:rsidP="0057670D">
      <w:r>
        <w:t>Design is expected to be completed in 2023 with construction to follow, weather permitting.</w:t>
      </w:r>
    </w:p>
    <w:p w14:paraId="4268B993" w14:textId="1D2771E3" w:rsidR="00DC1C4F" w:rsidRDefault="0057670D" w:rsidP="0057670D">
      <w:r>
        <w:t>Stage one of the $320 million project is jointly funded by the Australian and Queensland governments on a 50:50 basis.</w:t>
      </w:r>
    </w:p>
    <w:p w14:paraId="03E9F461" w14:textId="5D74EAE0" w:rsidR="00C17392" w:rsidRDefault="0057670D" w:rsidP="00C17392">
      <w:pPr>
        <w:pStyle w:val="MoreInformation"/>
      </w:pPr>
      <w:r>
        <w:lastRenderedPageBreak/>
        <w:t>For more information</w:t>
      </w:r>
      <w:r>
        <w:br/>
      </w:r>
      <w:hyperlink r:id="rId76" w:history="1">
        <w:r w:rsidR="00C17392" w:rsidRPr="00C17392">
          <w:rPr>
            <w:rStyle w:val="Hyperlink"/>
          </w:rPr>
          <w:t>https://www.tmr.qld.gov.au/projects/sunshine-motorway-mooloolah-river-interchange-upgrade-stage-1</w:t>
        </w:r>
      </w:hyperlink>
    </w:p>
    <w:p w14:paraId="034A3BF0" w14:textId="6A79DB51" w:rsidR="006800C7" w:rsidRPr="0026316F" w:rsidRDefault="00C17392" w:rsidP="006800C7">
      <w:pPr>
        <w:pStyle w:val="Heading4"/>
      </w:pPr>
      <w:r>
        <w:t>Beerburrum to Nambour rail upgrade</w:t>
      </w:r>
    </w:p>
    <w:p w14:paraId="71E648F0" w14:textId="75C58031" w:rsidR="00852BA6" w:rsidRDefault="00852BA6" w:rsidP="00852BA6">
      <w:r>
        <w:t>The Beerburrum to Nambour rail upgrade project covers about 40 kilometres of the North Coast Line. It will provide additional track capacity and reliability, creating travel time savings and increased passenger and freight services to the growing Sunshine Coast region.</w:t>
      </w:r>
    </w:p>
    <w:p w14:paraId="6960B2D4" w14:textId="77777777" w:rsidR="00852BA6" w:rsidRDefault="00852BA6" w:rsidP="00852BA6">
      <w:r>
        <w:t>The upgrade will be completed in stages to deliver community benefits while investigating funding for future stages.</w:t>
      </w:r>
    </w:p>
    <w:p w14:paraId="3DB9658D" w14:textId="77777777" w:rsidR="00852BA6" w:rsidRDefault="00852BA6" w:rsidP="00852BA6">
      <w:r>
        <w:t>Stage one of the project will deliver:</w:t>
      </w:r>
    </w:p>
    <w:p w14:paraId="0C79B9B4" w14:textId="3CAE0026" w:rsidR="00852BA6" w:rsidRDefault="00852BA6" w:rsidP="00852BA6">
      <w:pPr>
        <w:pStyle w:val="ListBullet"/>
      </w:pPr>
      <w:r>
        <w:t>three new bridges</w:t>
      </w:r>
    </w:p>
    <w:p w14:paraId="34D5DBF3" w14:textId="4933CC5E" w:rsidR="00852BA6" w:rsidRDefault="00852BA6" w:rsidP="00852BA6">
      <w:pPr>
        <w:pStyle w:val="ListBullet"/>
      </w:pPr>
      <w:r>
        <w:t>expand three park ‘n’ ride facilities</w:t>
      </w:r>
    </w:p>
    <w:p w14:paraId="0B63BD8A" w14:textId="5EE4F8C5" w:rsidR="00852BA6" w:rsidRDefault="00852BA6" w:rsidP="00852BA6">
      <w:pPr>
        <w:pStyle w:val="ListBullet"/>
      </w:pPr>
      <w:r>
        <w:t>duplicate the section of rail track between Beerburrum and Beerwah</w:t>
      </w:r>
    </w:p>
    <w:p w14:paraId="043D54EC" w14:textId="2A2C785C" w:rsidR="00852BA6" w:rsidRDefault="00852BA6" w:rsidP="00852BA6">
      <w:pPr>
        <w:pStyle w:val="ListBullet"/>
      </w:pPr>
      <w:r>
        <w:t>new bus interchange on the eastern side of Landsborough station.</w:t>
      </w:r>
    </w:p>
    <w:p w14:paraId="649271EB" w14:textId="37A19722" w:rsidR="00852BA6" w:rsidRDefault="00852BA6" w:rsidP="00852BA6">
      <w:r>
        <w:t>Early works are underway, with the project expected to be completed in late-2025, weather and construction conditions permitting.</w:t>
      </w:r>
    </w:p>
    <w:p w14:paraId="271100C4" w14:textId="0358D9B2" w:rsidR="00C17392" w:rsidRDefault="00852BA6" w:rsidP="00852BA6">
      <w:r>
        <w:t>Stage one of the $550.8 million project is jointly funded by the Australian and Queensland governments.</w:t>
      </w:r>
    </w:p>
    <w:p w14:paraId="02A43704" w14:textId="329DC44D" w:rsidR="00852BA6" w:rsidRDefault="00852BA6" w:rsidP="000D4CC4">
      <w:pPr>
        <w:pStyle w:val="MoreInformation"/>
      </w:pPr>
      <w:r>
        <w:t>For more information</w:t>
      </w:r>
      <w:r>
        <w:br/>
      </w:r>
      <w:hyperlink r:id="rId77" w:history="1">
        <w:r w:rsidR="000D4CC4" w:rsidRPr="000D4CC4">
          <w:rPr>
            <w:rStyle w:val="Hyperlink"/>
          </w:rPr>
          <w:t>https://www.tmr.qld.gov.au/projects/beerburrum-to-nambour-rail-upgrade-stage-1</w:t>
        </w:r>
      </w:hyperlink>
    </w:p>
    <w:p w14:paraId="0055C469" w14:textId="77777777" w:rsidR="000D4CC4" w:rsidRPr="00E46578" w:rsidRDefault="000D4CC4" w:rsidP="000D4CC4">
      <w:pPr>
        <w:pStyle w:val="Heading3"/>
      </w:pPr>
      <w:r>
        <w:t>Case Study</w:t>
      </w:r>
    </w:p>
    <w:p w14:paraId="755CAD48" w14:textId="7617AD15" w:rsidR="000D4CC4" w:rsidRPr="00DD7C5A" w:rsidRDefault="000D4CC4" w:rsidP="000D4CC4">
      <w:r>
        <w:rPr>
          <w:iCs/>
          <w:color w:val="auto"/>
          <w:sz w:val="26"/>
        </w:rPr>
        <w:t>Australia's first diverging diamond interchange</w:t>
      </w:r>
    </w:p>
    <w:p w14:paraId="613BA5F4" w14:textId="77777777" w:rsidR="00C945DE" w:rsidRDefault="00C945DE" w:rsidP="00C945DE">
      <w:r>
        <w:t>Setting new standards of interchange design for road safety, the Bruce Highway Upgrade—Caloundra Road to Sunshine Motorway (CR2SM) was a highway improvement project to provide safer and smoother journeys for road users through the creation of additional highway lanes and extensive local road upgrades.</w:t>
      </w:r>
    </w:p>
    <w:p w14:paraId="485A6200" w14:textId="77777777" w:rsidR="00C945DE" w:rsidRDefault="00C945DE" w:rsidP="00C945DE">
      <w:r>
        <w:t>The crowning jewel of the upgrade was Australia’s first diverging diamond interchange (DDI) that required highly complex construction sequencing, temporary works and traffic management.</w:t>
      </w:r>
    </w:p>
    <w:p w14:paraId="7C032BEF" w14:textId="21B4CF03" w:rsidR="00C945DE" w:rsidRDefault="00C945DE" w:rsidP="00C945DE">
      <w:r>
        <w:t>The DDI’s innovative design reduced the project footprint by 29 hectares (35 hectares to six hectares) in a highly ecologically sensitive national park and minimised the impact to threatened species (birdwing butterfly vine, koalas and frogs). Furthermore, creating the first operational DDI in Australia was a significant accomplishment on many fronts including engineering ingenuity, and traffic and community benefits.</w:t>
      </w:r>
    </w:p>
    <w:p w14:paraId="42BA3169" w14:textId="20B95EA5" w:rsidR="00852BA6" w:rsidRDefault="00C945DE" w:rsidP="00C945DE">
      <w:r>
        <w:t>The lessons learnt from this innovation have also had significant downstream benefits—being shared within TMR and with industry partners and being used in two further DDIs being delivered on the Gold Coast’s M1 Pacific Motorway (Exit 87) and the Gympie Road and Strathpine Road interchange upgrade at Bald Hills.</w:t>
      </w:r>
    </w:p>
    <w:p w14:paraId="2C0CE4FE" w14:textId="33CE687B" w:rsidR="006800C7" w:rsidRPr="00A73B2D" w:rsidRDefault="00B120F6" w:rsidP="006800C7">
      <w:pPr>
        <w:pStyle w:val="Heading4"/>
      </w:pPr>
      <w:r>
        <w:lastRenderedPageBreak/>
        <w:t>Petrie intersection upgrade</w:t>
      </w:r>
    </w:p>
    <w:p w14:paraId="73C9301E" w14:textId="7780F436" w:rsidR="00737C5C" w:rsidRDefault="00737C5C" w:rsidP="00737C5C">
      <w:r>
        <w:t>Construction was completed in March 2022 at the Redcliffe Road (Anzac Avenue), Gympie Road and Dayboro Road intersection at Petrie, replacing the roundabout with a signalised T-intersection.</w:t>
      </w:r>
    </w:p>
    <w:p w14:paraId="48A441AD" w14:textId="4B838391" w:rsidR="00737C5C" w:rsidRDefault="00737C5C" w:rsidP="00737C5C">
      <w:r>
        <w:t>The upgrade improved traffic-flow, reduced travel time, and improved safety by removing the congested roundabout and installing a signalised T-intersection with wider road approaches to provide additional turning lanes.</w:t>
      </w:r>
    </w:p>
    <w:p w14:paraId="04675631" w14:textId="17C5372C" w:rsidR="00737C5C" w:rsidRDefault="00737C5C" w:rsidP="00737C5C">
      <w:r>
        <w:t>The intersection carries more than 28,000 vehicles a day, including heavy freight vehicles and the roundabout was a major bottleneck in peak traffic periods. The new signals prioritise heavy traffic, easing congestion by clearing the intersection quicker during peak periods.</w:t>
      </w:r>
    </w:p>
    <w:p w14:paraId="0B62538C" w14:textId="77777777" w:rsidR="00737C5C" w:rsidRDefault="00737C5C" w:rsidP="00737C5C">
      <w:r>
        <w:t>Along with traffic flow improvements the new intersection has improved safety for motorists, bike riders and pedestrians alike with safer turns at the new signals, on-road bike lanes and improved crossing facilities.</w:t>
      </w:r>
    </w:p>
    <w:p w14:paraId="3EDDFAB1" w14:textId="562BC8BF" w:rsidR="00B120F6" w:rsidRDefault="00737C5C" w:rsidP="00737C5C">
      <w:r>
        <w:t>The project was fully funded by the Queensland Government.</w:t>
      </w:r>
    </w:p>
    <w:p w14:paraId="670B0AD9" w14:textId="20EFE5BD" w:rsidR="00737C5C" w:rsidRDefault="00737C5C" w:rsidP="00737C5C">
      <w:pPr>
        <w:pStyle w:val="MoreInformation"/>
      </w:pPr>
      <w:r>
        <w:t>For more information</w:t>
      </w:r>
      <w:r>
        <w:br/>
      </w:r>
      <w:hyperlink r:id="rId78" w:history="1">
        <w:r w:rsidR="00945D5C" w:rsidRPr="00945D5C">
          <w:rPr>
            <w:rStyle w:val="Hyperlink"/>
          </w:rPr>
          <w:t>https://www.tmr.qld.gov.au/projects/redcliffe-road-anzac-avenue-gympie-road-and-dayboro-road-petrie-improve-intersection</w:t>
        </w:r>
      </w:hyperlink>
    </w:p>
    <w:p w14:paraId="489B9EF9" w14:textId="0FD766C3" w:rsidR="003663EA" w:rsidRPr="003663EA" w:rsidRDefault="003663EA" w:rsidP="003663EA">
      <w:pPr>
        <w:pStyle w:val="Heading4"/>
      </w:pPr>
      <w:r w:rsidRPr="003663EA">
        <w:t>Caboolture–Bribie Island Road to Steve Irwin Way upgrade</w:t>
      </w:r>
    </w:p>
    <w:p w14:paraId="4A1C3C38" w14:textId="77777777" w:rsidR="0032349F" w:rsidRDefault="0032349F" w:rsidP="0032349F">
      <w:r>
        <w:t>Major construction is underway to upgrade the Bruce Highway between Caboolture–Bribie Island Road and the southern end of Steve Irwin Way at Exit 163.</w:t>
      </w:r>
    </w:p>
    <w:p w14:paraId="66ACF0C7" w14:textId="77777777" w:rsidR="0032349F" w:rsidRDefault="0032349F" w:rsidP="0032349F">
      <w:r>
        <w:t>The upgrade will increase highway capacity to reduce travel times, congestion and improve safety, reliability and flood immunity.</w:t>
      </w:r>
    </w:p>
    <w:p w14:paraId="139DEAF9" w14:textId="77777777" w:rsidR="0032349F" w:rsidRDefault="0032349F" w:rsidP="0032349F">
      <w:r>
        <w:t>Delivery of the project includes:</w:t>
      </w:r>
    </w:p>
    <w:p w14:paraId="2C4BFC6B" w14:textId="3401D465" w:rsidR="0032349F" w:rsidRDefault="0032349F" w:rsidP="0032349F">
      <w:pPr>
        <w:pStyle w:val="ListBullet"/>
      </w:pPr>
      <w:r>
        <w:t>upgrading around 11 kilometres of the Bruce Highway from a four-lane to six-lane divided carriageway</w:t>
      </w:r>
    </w:p>
    <w:p w14:paraId="7A1F63EB" w14:textId="76091A30" w:rsidR="0032349F" w:rsidRDefault="0032349F" w:rsidP="0032349F">
      <w:pPr>
        <w:pStyle w:val="ListBullet"/>
      </w:pPr>
      <w:r>
        <w:t>replacing 10 bridges to improve flood immunity at Lagoon, King Johns, Six Mile, Unnamed and Beerburrum Creeks</w:t>
      </w:r>
    </w:p>
    <w:p w14:paraId="2149206A" w14:textId="5D809650" w:rsidR="0032349F" w:rsidRDefault="0032349F" w:rsidP="0032349F">
      <w:pPr>
        <w:pStyle w:val="ListBullet"/>
      </w:pPr>
      <w:r>
        <w:t>smart technologies including ramp signals, variable speed limit and message signs, vehicle detection systems and CCTV cameras.</w:t>
      </w:r>
    </w:p>
    <w:p w14:paraId="346337B3" w14:textId="77777777" w:rsidR="0032349F" w:rsidRDefault="0032349F" w:rsidP="0032349F">
      <w:r>
        <w:t>The project is expected to be completed in late-2023, weather and construction conditions permitting.</w:t>
      </w:r>
    </w:p>
    <w:p w14:paraId="6767FBEC" w14:textId="448A1960" w:rsidR="00945D5C" w:rsidRDefault="0032349F" w:rsidP="0032349F">
      <w:r>
        <w:t>The $662.5 million project is jointly funded by the Australian and Queensland governments on an 80:20 basis.</w:t>
      </w:r>
    </w:p>
    <w:p w14:paraId="7E07D0FD" w14:textId="71FBE610" w:rsidR="00E0660C" w:rsidRDefault="00E0660C" w:rsidP="00E0660C">
      <w:pPr>
        <w:pStyle w:val="MoreInformation"/>
      </w:pPr>
      <w:r>
        <w:lastRenderedPageBreak/>
        <w:t>For more information</w:t>
      </w:r>
      <w:r>
        <w:br/>
      </w:r>
      <w:hyperlink r:id="rId79" w:history="1">
        <w:r w:rsidR="00680694" w:rsidRPr="00680694">
          <w:rPr>
            <w:rStyle w:val="Hyperlink"/>
          </w:rPr>
          <w:t>https://www.tmr.qld.gov.au/projects/bruce-highway-brisbane-gympie-caboolture-bribie-island-road-to-steve-irwin-way-upgrade</w:t>
        </w:r>
      </w:hyperlink>
    </w:p>
    <w:p w14:paraId="37932A76" w14:textId="77777777" w:rsidR="006800C7" w:rsidRDefault="006800C7" w:rsidP="006800C7">
      <w:pPr>
        <w:pStyle w:val="Heading3"/>
      </w:pPr>
      <w:r>
        <w:t>Metropolitan</w:t>
      </w:r>
    </w:p>
    <w:tbl>
      <w:tblPr>
        <w:tblStyle w:val="TMRAnnualReport2"/>
        <w:tblW w:w="8926" w:type="dxa"/>
        <w:tblLook w:val="04A0" w:firstRow="1" w:lastRow="0" w:firstColumn="1" w:lastColumn="0" w:noHBand="0" w:noVBand="1"/>
      </w:tblPr>
      <w:tblGrid>
        <w:gridCol w:w="1980"/>
        <w:gridCol w:w="1701"/>
        <w:gridCol w:w="1984"/>
        <w:gridCol w:w="1701"/>
        <w:gridCol w:w="1560"/>
      </w:tblGrid>
      <w:tr w:rsidR="006800C7" w:rsidRPr="008B5A09" w14:paraId="1BBEB63A" w14:textId="77777777" w:rsidTr="00F31956">
        <w:trPr>
          <w:trHeight w:val="150"/>
        </w:trPr>
        <w:tc>
          <w:tcPr>
            <w:tcW w:w="1980" w:type="dxa"/>
            <w:noWrap/>
            <w:hideMark/>
          </w:tcPr>
          <w:p w14:paraId="23D0CA2F" w14:textId="77777777" w:rsidR="006800C7" w:rsidRPr="00D64D94" w:rsidRDefault="006800C7" w:rsidP="00F31956">
            <w:r>
              <w:rPr>
                <w:rStyle w:val="Strong"/>
              </w:rPr>
              <w:t>527</w:t>
            </w:r>
            <w:r w:rsidRPr="00D64D94">
              <w:rPr>
                <w:rStyle w:val="Strong"/>
              </w:rPr>
              <w:t xml:space="preserve"> kilometres </w:t>
            </w:r>
            <w:r w:rsidRPr="00D64D94">
              <w:rPr>
                <w:rStyle w:val="Strong"/>
              </w:rPr>
              <w:br/>
            </w:r>
            <w:r w:rsidRPr="00D64D94">
              <w:t>State-controlled</w:t>
            </w:r>
            <w:r w:rsidRPr="00D64D94">
              <w:br/>
              <w:t xml:space="preserve"> road</w:t>
            </w:r>
            <w:r w:rsidRPr="00D64D94">
              <w:rPr>
                <w:rStyle w:val="FootnoteReference"/>
              </w:rPr>
              <w:footnoteReference w:id="35"/>
            </w:r>
          </w:p>
        </w:tc>
        <w:tc>
          <w:tcPr>
            <w:tcW w:w="1701" w:type="dxa"/>
            <w:noWrap/>
            <w:hideMark/>
          </w:tcPr>
          <w:p w14:paraId="1BE93455" w14:textId="77777777" w:rsidR="006800C7" w:rsidRPr="00D64D94" w:rsidRDefault="006800C7" w:rsidP="00F31956">
            <w:r>
              <w:rPr>
                <w:rStyle w:val="Strong"/>
              </w:rPr>
              <w:t>90</w:t>
            </w:r>
            <w:r w:rsidRPr="005658BE">
              <w:rPr>
                <w:rStyle w:val="Strong"/>
              </w:rPr>
              <w:t xml:space="preserve"> kilometres </w:t>
            </w:r>
            <w:r w:rsidRPr="00D64D94">
              <w:t>National Land Transport Network</w:t>
            </w:r>
            <w:r w:rsidRPr="00D64D94">
              <w:rPr>
                <w:rStyle w:val="FootnoteReference"/>
              </w:rPr>
              <w:footnoteReference w:id="36"/>
            </w:r>
            <w:r w:rsidRPr="00D64D94">
              <w:t xml:space="preserve"> </w:t>
            </w:r>
          </w:p>
        </w:tc>
        <w:tc>
          <w:tcPr>
            <w:tcW w:w="1984" w:type="dxa"/>
            <w:noWrap/>
            <w:hideMark/>
          </w:tcPr>
          <w:p w14:paraId="5C8970C0" w14:textId="5E5138B4" w:rsidR="006800C7" w:rsidRPr="00D64D94" w:rsidRDefault="001455DE" w:rsidP="00F31956">
            <w:r>
              <w:rPr>
                <w:rStyle w:val="Strong"/>
              </w:rPr>
              <w:t>17,050</w:t>
            </w:r>
            <w:r w:rsidR="006800C7" w:rsidRPr="00D64D94">
              <w:rPr>
                <w:rStyle w:val="Strong"/>
              </w:rPr>
              <w:br/>
            </w:r>
            <w:r w:rsidR="006800C7" w:rsidRPr="00D64D94">
              <w:t xml:space="preserve">Vehicle and machinery registrations </w:t>
            </w:r>
          </w:p>
        </w:tc>
        <w:tc>
          <w:tcPr>
            <w:tcW w:w="1701" w:type="dxa"/>
            <w:noWrap/>
            <w:hideMark/>
          </w:tcPr>
          <w:p w14:paraId="1FB767B8" w14:textId="0CCA6315" w:rsidR="006800C7" w:rsidRPr="00D64D94" w:rsidRDefault="001455DE" w:rsidP="00F31956">
            <w:r>
              <w:rPr>
                <w:rStyle w:val="Strong"/>
              </w:rPr>
              <w:t>74</w:t>
            </w:r>
            <w:r w:rsidR="006800C7" w:rsidRPr="00D64D94">
              <w:rPr>
                <w:rStyle w:val="Strong"/>
              </w:rPr>
              <w:br/>
            </w:r>
            <w:r w:rsidR="006800C7" w:rsidRPr="00D64D94">
              <w:t xml:space="preserve">Boating infrastructures </w:t>
            </w:r>
          </w:p>
        </w:tc>
        <w:tc>
          <w:tcPr>
            <w:tcW w:w="1560" w:type="dxa"/>
          </w:tcPr>
          <w:p w14:paraId="5A12BBE2" w14:textId="71E91F50" w:rsidR="006800C7" w:rsidRPr="00D64D94" w:rsidRDefault="001455DE" w:rsidP="00F31956">
            <w:r>
              <w:rPr>
                <w:rStyle w:val="Strong"/>
              </w:rPr>
              <w:t>37</w:t>
            </w:r>
            <w:r w:rsidR="006800C7" w:rsidRPr="00D64D94">
              <w:rPr>
                <w:rStyle w:val="Strong"/>
              </w:rPr>
              <w:br/>
            </w:r>
            <w:r w:rsidR="006800C7" w:rsidRPr="00D64D94">
              <w:t>Community safety events held</w:t>
            </w:r>
          </w:p>
        </w:tc>
      </w:tr>
      <w:tr w:rsidR="006800C7" w:rsidRPr="008B5A09" w14:paraId="2B920DCB" w14:textId="77777777" w:rsidTr="00F31956">
        <w:trPr>
          <w:trHeight w:val="265"/>
        </w:trPr>
        <w:tc>
          <w:tcPr>
            <w:tcW w:w="1980" w:type="dxa"/>
            <w:noWrap/>
          </w:tcPr>
          <w:p w14:paraId="7E61A2D6" w14:textId="3E6BBF09" w:rsidR="006800C7" w:rsidRPr="00D64D94" w:rsidRDefault="001455DE" w:rsidP="00F31956">
            <w:r>
              <w:rPr>
                <w:rStyle w:val="Strong"/>
              </w:rPr>
              <w:t>1,634,260</w:t>
            </w:r>
            <w:r w:rsidR="006800C7" w:rsidRPr="00D64D94">
              <w:rPr>
                <w:rStyle w:val="Strong"/>
              </w:rPr>
              <w:br/>
            </w:r>
            <w:r w:rsidR="006800C7" w:rsidRPr="00D64D94">
              <w:t xml:space="preserve">Vehicle and machinery inspections completed </w:t>
            </w:r>
          </w:p>
        </w:tc>
        <w:tc>
          <w:tcPr>
            <w:tcW w:w="1701" w:type="dxa"/>
            <w:noWrap/>
          </w:tcPr>
          <w:p w14:paraId="02B0EECC" w14:textId="3C64CD56" w:rsidR="006800C7" w:rsidRPr="00D64D94" w:rsidRDefault="006800C7" w:rsidP="00F31956">
            <w:r>
              <w:rPr>
                <w:rStyle w:val="Strong"/>
              </w:rPr>
              <w:t>46</w:t>
            </w:r>
            <w:r w:rsidR="001455DE">
              <w:rPr>
                <w:rStyle w:val="Strong"/>
              </w:rPr>
              <w:t>4</w:t>
            </w:r>
            <w:r w:rsidRPr="00D64D94">
              <w:br/>
              <w:t>Bridges</w:t>
            </w:r>
            <w:r w:rsidRPr="00D64D94">
              <w:rPr>
                <w:rStyle w:val="FootnoteReference"/>
              </w:rPr>
              <w:footnoteReference w:id="37"/>
            </w:r>
            <w:r w:rsidRPr="00D64D94">
              <w:t xml:space="preserve"> </w:t>
            </w:r>
          </w:p>
        </w:tc>
        <w:tc>
          <w:tcPr>
            <w:tcW w:w="1984" w:type="dxa"/>
            <w:noWrap/>
          </w:tcPr>
          <w:p w14:paraId="58C5AFBF" w14:textId="0099C838" w:rsidR="006800C7" w:rsidRPr="00D64D94" w:rsidRDefault="001455DE" w:rsidP="00F31956">
            <w:r>
              <w:rPr>
                <w:rStyle w:val="Strong"/>
              </w:rPr>
              <w:t>38,462</w:t>
            </w:r>
            <w:r w:rsidR="006800C7" w:rsidRPr="00D64D94">
              <w:br/>
              <w:t xml:space="preserve">Driver licence tests conducted  </w:t>
            </w:r>
          </w:p>
        </w:tc>
        <w:tc>
          <w:tcPr>
            <w:tcW w:w="1701" w:type="dxa"/>
            <w:noWrap/>
          </w:tcPr>
          <w:p w14:paraId="32F40F9A" w14:textId="54BFD0D9" w:rsidR="006800C7" w:rsidRPr="00D64D94" w:rsidRDefault="001455DE" w:rsidP="00F31956">
            <w:r>
              <w:rPr>
                <w:rStyle w:val="Strong"/>
              </w:rPr>
              <w:t>782,701</w:t>
            </w:r>
            <w:r w:rsidR="006800C7" w:rsidRPr="00D64D94">
              <w:br/>
              <w:t xml:space="preserve">Customer face-to-face interaction </w:t>
            </w:r>
          </w:p>
        </w:tc>
        <w:tc>
          <w:tcPr>
            <w:tcW w:w="1560" w:type="dxa"/>
          </w:tcPr>
          <w:p w14:paraId="58074FED" w14:textId="0FB437A8" w:rsidR="006800C7" w:rsidRPr="00D64D94" w:rsidRDefault="006800C7" w:rsidP="00F31956">
            <w:r>
              <w:rPr>
                <w:rStyle w:val="Strong"/>
              </w:rPr>
              <w:t>52</w:t>
            </w:r>
            <w:r w:rsidR="001455DE">
              <w:rPr>
                <w:rStyle w:val="Strong"/>
              </w:rPr>
              <w:t>9</w:t>
            </w:r>
            <w:r w:rsidRPr="00D64D94">
              <w:br/>
              <w:t xml:space="preserve">Priority enabled intersections </w:t>
            </w:r>
          </w:p>
        </w:tc>
      </w:tr>
      <w:tr w:rsidR="006800C7" w:rsidRPr="008B5A09" w14:paraId="76250923" w14:textId="77777777" w:rsidTr="00F31956">
        <w:trPr>
          <w:trHeight w:val="265"/>
        </w:trPr>
        <w:tc>
          <w:tcPr>
            <w:tcW w:w="1980" w:type="dxa"/>
            <w:noWrap/>
          </w:tcPr>
          <w:p w14:paraId="1D27DE4B" w14:textId="4207B3F6" w:rsidR="006800C7" w:rsidRPr="00D64D94" w:rsidRDefault="006800C7" w:rsidP="00F31956">
            <w:pPr>
              <w:rPr>
                <w:rStyle w:val="Strong"/>
              </w:rPr>
            </w:pPr>
            <w:r>
              <w:t>Area covered</w:t>
            </w:r>
            <w:r>
              <w:br/>
            </w:r>
            <w:r>
              <w:rPr>
                <w:rStyle w:val="Strong"/>
              </w:rPr>
              <w:t>29</w:t>
            </w:r>
            <w:r w:rsidR="001455DE">
              <w:rPr>
                <w:rStyle w:val="Strong"/>
              </w:rPr>
              <w:t>74</w:t>
            </w:r>
            <w:r w:rsidRPr="00D64D94">
              <w:rPr>
                <w:rStyle w:val="Strong"/>
              </w:rPr>
              <w:t xml:space="preserve"> square kilometres</w:t>
            </w:r>
            <w:r w:rsidRPr="00D64D94">
              <w:t xml:space="preserve"> </w:t>
            </w:r>
          </w:p>
        </w:tc>
        <w:tc>
          <w:tcPr>
            <w:tcW w:w="1701" w:type="dxa"/>
            <w:noWrap/>
          </w:tcPr>
          <w:p w14:paraId="1D87A9E8" w14:textId="6AE527A1" w:rsidR="006800C7" w:rsidRPr="00D64D94" w:rsidRDefault="006800C7" w:rsidP="00F31956">
            <w:pPr>
              <w:rPr>
                <w:rStyle w:val="Strong"/>
              </w:rPr>
            </w:pPr>
            <w:r>
              <w:t xml:space="preserve">Population of </w:t>
            </w:r>
            <w:r w:rsidRPr="00D64D94">
              <w:rPr>
                <w:rStyle w:val="Strong"/>
              </w:rPr>
              <w:t xml:space="preserve">Queensland </w:t>
            </w:r>
            <w:r w:rsidRPr="00D64D94">
              <w:rPr>
                <w:rStyle w:val="Strong"/>
              </w:rPr>
              <w:br/>
            </w:r>
            <w:r>
              <w:rPr>
                <w:rStyle w:val="Strong"/>
              </w:rPr>
              <w:t>3</w:t>
            </w:r>
            <w:r w:rsidR="001455DE">
              <w:rPr>
                <w:rStyle w:val="Strong"/>
              </w:rPr>
              <w:t>1</w:t>
            </w:r>
            <w:r>
              <w:rPr>
                <w:rStyle w:val="Strong"/>
              </w:rPr>
              <w:t>.</w:t>
            </w:r>
            <w:r w:rsidR="001455DE">
              <w:rPr>
                <w:rStyle w:val="Strong"/>
              </w:rPr>
              <w:t>8</w:t>
            </w:r>
            <w:r>
              <w:rPr>
                <w:rStyle w:val="Strong"/>
              </w:rPr>
              <w:t>0</w:t>
            </w:r>
            <w:r w:rsidRPr="00D64D94">
              <w:rPr>
                <w:rStyle w:val="Strong"/>
              </w:rPr>
              <w:t>%</w:t>
            </w:r>
            <w:r w:rsidRPr="00D64D94">
              <w:t xml:space="preserve"> </w:t>
            </w:r>
          </w:p>
        </w:tc>
        <w:tc>
          <w:tcPr>
            <w:tcW w:w="1984" w:type="dxa"/>
            <w:noWrap/>
          </w:tcPr>
          <w:p w14:paraId="788DE7C5" w14:textId="77777777" w:rsidR="006800C7" w:rsidRDefault="006800C7" w:rsidP="00F31956"/>
        </w:tc>
        <w:tc>
          <w:tcPr>
            <w:tcW w:w="1701" w:type="dxa"/>
            <w:noWrap/>
          </w:tcPr>
          <w:p w14:paraId="77015D22" w14:textId="77777777" w:rsidR="006800C7" w:rsidRPr="000E0E1F" w:rsidRDefault="006800C7" w:rsidP="00F31956"/>
        </w:tc>
        <w:tc>
          <w:tcPr>
            <w:tcW w:w="1560" w:type="dxa"/>
          </w:tcPr>
          <w:p w14:paraId="0A5EE933" w14:textId="77777777" w:rsidR="006800C7" w:rsidRPr="00C62589" w:rsidRDefault="006800C7" w:rsidP="00F31956"/>
        </w:tc>
      </w:tr>
    </w:tbl>
    <w:p w14:paraId="05DC8C17" w14:textId="77777777" w:rsidR="006800C7" w:rsidRPr="00D64D94" w:rsidRDefault="006800C7" w:rsidP="006800C7"/>
    <w:p w14:paraId="78F6F1F1" w14:textId="77777777" w:rsidR="006800C7" w:rsidRDefault="006800C7" w:rsidP="006800C7">
      <w:pPr>
        <w:pStyle w:val="Heading4"/>
      </w:pPr>
      <w:r>
        <w:t xml:space="preserve">Highlights </w:t>
      </w:r>
    </w:p>
    <w:p w14:paraId="1EFFDDA2" w14:textId="55328C4E" w:rsidR="00FD01E4" w:rsidRPr="00FD01E4" w:rsidRDefault="00FD01E4" w:rsidP="00FD01E4">
      <w:pPr>
        <w:pStyle w:val="ListBullet"/>
      </w:pPr>
      <w:r w:rsidRPr="00FD01E4">
        <w:t>Completed upgrade of Gympie Road and Strathpine Road Interchange.</w:t>
      </w:r>
    </w:p>
    <w:p w14:paraId="58E66318" w14:textId="43B904AC" w:rsidR="00FD01E4" w:rsidRPr="00FD01E4" w:rsidRDefault="00FD01E4" w:rsidP="00FD01E4">
      <w:pPr>
        <w:pStyle w:val="ListBullet"/>
      </w:pPr>
      <w:r w:rsidRPr="00FD01E4">
        <w:t>Continued construction of O’Keefe Street velobridge.</w:t>
      </w:r>
    </w:p>
    <w:p w14:paraId="1974885B" w14:textId="73B7CA38" w:rsidR="00FD01E4" w:rsidRPr="00FD01E4" w:rsidRDefault="00FD01E4" w:rsidP="00FD01E4">
      <w:pPr>
        <w:pStyle w:val="ListBullet"/>
      </w:pPr>
      <w:r w:rsidRPr="00FD01E4">
        <w:t>Commenced upgrade of Cleveland–Redland Bay Road between Anita Street and Magnolia Parade.</w:t>
      </w:r>
    </w:p>
    <w:p w14:paraId="269FCF78" w14:textId="5E1DD267" w:rsidR="00FD01E4" w:rsidRPr="00FD01E4" w:rsidRDefault="00FD01E4" w:rsidP="00FD01E4">
      <w:pPr>
        <w:pStyle w:val="ListBullet"/>
      </w:pPr>
      <w:r w:rsidRPr="00FD01E4">
        <w:t>Completed community consultation on the Logan and Gold Coast Faster Rail project.</w:t>
      </w:r>
    </w:p>
    <w:p w14:paraId="5BE70236" w14:textId="3E4B20CA" w:rsidR="00FD01E4" w:rsidRPr="00FD01E4" w:rsidRDefault="00FD01E4" w:rsidP="00FD01E4">
      <w:pPr>
        <w:pStyle w:val="ListBullet"/>
      </w:pPr>
      <w:r w:rsidRPr="00FD01E4">
        <w:t>Completed Captain Cook Bridge maintenance works.</w:t>
      </w:r>
    </w:p>
    <w:p w14:paraId="484CC6BB" w14:textId="2B96DAE9" w:rsidR="00FD01E4" w:rsidRPr="00FD01E4" w:rsidRDefault="00FD01E4" w:rsidP="00FD01E4">
      <w:pPr>
        <w:pStyle w:val="ListBullet"/>
      </w:pPr>
      <w:r w:rsidRPr="00FD01E4">
        <w:t>Launched new smartphone app ODIN PASS as part of a 12-month Mobility as a Service research trial.</w:t>
      </w:r>
    </w:p>
    <w:p w14:paraId="4470CA1A" w14:textId="4C5D199D" w:rsidR="00FD01E4" w:rsidRPr="00FD01E4" w:rsidRDefault="00FD01E4" w:rsidP="00FD01E4">
      <w:pPr>
        <w:pStyle w:val="ListBullet"/>
      </w:pPr>
      <w:r w:rsidRPr="00FD01E4">
        <w:t>Completed Stage One of the new Springfield Central train station multi-storey park ‘n’ ride facility.</w:t>
      </w:r>
    </w:p>
    <w:p w14:paraId="2C4357D8" w14:textId="34C2C917" w:rsidR="001455DE" w:rsidRPr="00FD01E4" w:rsidRDefault="00FD01E4" w:rsidP="00FD01E4">
      <w:pPr>
        <w:pStyle w:val="ListBullet"/>
      </w:pPr>
      <w:r w:rsidRPr="00FD01E4">
        <w:t>Completed planning of Beams Road rail level crossing removal at Carseldine and Fitzgibbon.</w:t>
      </w:r>
    </w:p>
    <w:p w14:paraId="5D5BCAE2" w14:textId="409C24E8" w:rsidR="006800C7" w:rsidRDefault="000861EA" w:rsidP="006800C7">
      <w:pPr>
        <w:pStyle w:val="Heading4"/>
      </w:pPr>
      <w:r>
        <w:t>Beams Road rail level crossing removal</w:t>
      </w:r>
    </w:p>
    <w:p w14:paraId="6BE6F0A3" w14:textId="77777777" w:rsidR="00A17CBE" w:rsidRDefault="00A17CBE" w:rsidP="00A17CBE">
      <w:r>
        <w:t>Planning for the new $209.3 million Beams Road overpass project was completed in December 2021, with TMR partnering with Brisbane City Council and Queensland Rail to finalise the business case.</w:t>
      </w:r>
    </w:p>
    <w:p w14:paraId="4DB38033" w14:textId="0420299F" w:rsidR="00A17CBE" w:rsidRDefault="00A17CBE" w:rsidP="00A17CBE">
      <w:r>
        <w:t>Beams Road is an important road for communities in northern Brisbane and experiences significant congestion at the rail level crossing in Carseldine, particularly during peak periods. Removing the rail level crossing on Beams Road will reduce congestion and improve safety and accessibility.</w:t>
      </w:r>
    </w:p>
    <w:p w14:paraId="06482FF3" w14:textId="6955FCC6" w:rsidR="00A17CBE" w:rsidRDefault="00A17CBE" w:rsidP="00A17CBE">
      <w:r>
        <w:t>In March 2022, the detailed design phase commenced after community input was sought on the concept design identified in the business case.</w:t>
      </w:r>
    </w:p>
    <w:p w14:paraId="26585945" w14:textId="1434BCCC" w:rsidR="000861EA" w:rsidRPr="00BB4170" w:rsidRDefault="00A17CBE" w:rsidP="006800C7">
      <w:r>
        <w:lastRenderedPageBreak/>
        <w:t>All three levels of government have jointly committed funding to the overpass project. Construction is subject to further approvals.</w:t>
      </w:r>
    </w:p>
    <w:p w14:paraId="12DA7B5A" w14:textId="4D7F488E" w:rsidR="006800C7" w:rsidRDefault="006800C7" w:rsidP="006800C7">
      <w:pPr>
        <w:pStyle w:val="MoreInformation"/>
      </w:pPr>
      <w:r>
        <w:t>For more information</w:t>
      </w:r>
      <w:r>
        <w:br/>
      </w:r>
      <w:hyperlink r:id="rId80" w:history="1">
        <w:r w:rsidR="00A61390" w:rsidRPr="00A61390">
          <w:rPr>
            <w:rStyle w:val="Hyperlink"/>
          </w:rPr>
          <w:t>https://www.tmr.qld.gov.au/projects/beams-road-carseldine-and-fitzgibbon-rail-level-crossing-funding-commitment</w:t>
        </w:r>
      </w:hyperlink>
    </w:p>
    <w:p w14:paraId="62BADBF3" w14:textId="200E3513" w:rsidR="006800C7" w:rsidRDefault="006217E4" w:rsidP="006800C7">
      <w:pPr>
        <w:pStyle w:val="Heading4"/>
      </w:pPr>
      <w:r>
        <w:t>Veloway 1 O'Keefe Street velobridge</w:t>
      </w:r>
    </w:p>
    <w:p w14:paraId="0B14E6FD" w14:textId="47417856" w:rsidR="006D2BF6" w:rsidRDefault="006D2BF6" w:rsidP="006D2BF6">
      <w:r>
        <w:t>The O’Keefe Street Velobridge is the next stage to be delivered on the Veloway 1 (V1).</w:t>
      </w:r>
    </w:p>
    <w:p w14:paraId="3BEE3A99" w14:textId="77777777" w:rsidR="006D2BF6" w:rsidRDefault="006D2BF6" w:rsidP="006D2BF6">
      <w:r>
        <w:t>The V1 is a critical, high-quality bike riding facility that provides a dedicated bike path adjacent to the Pacific Motorway from Lower River Terrace, South Brisbane to Underwood.</w:t>
      </w:r>
    </w:p>
    <w:p w14:paraId="798FAC68" w14:textId="6C2BEBB2" w:rsidR="006D2BF6" w:rsidRDefault="006D2BF6" w:rsidP="006D2BF6">
      <w:r>
        <w:t>The V1 already attracts more than 1600 bike riders daily, an increase from around 1000 per day in 2011. This is expected to grow even more as new sections of the V1 are opened.</w:t>
      </w:r>
    </w:p>
    <w:p w14:paraId="08A55782" w14:textId="18EF48AB" w:rsidR="006D2BF6" w:rsidRDefault="006D2BF6" w:rsidP="006D2BF6">
      <w:r>
        <w:t>Construction of the O’Keefe Street Velobridge will allow bike riders to stay on the V1, instead of crossing at Carl Street and the lights both east and west of the Pacific Motorway on O’Keefe Street.</w:t>
      </w:r>
    </w:p>
    <w:p w14:paraId="7F7F7E28" w14:textId="2758072E" w:rsidR="006D2BF6" w:rsidRDefault="006D2BF6" w:rsidP="006D2BF6">
      <w:r>
        <w:t>The velobridge will benefit bike riders and motorists by reducing pauses in traffic flow that currently occur when bike riders cross these streets.</w:t>
      </w:r>
    </w:p>
    <w:p w14:paraId="7E25A603" w14:textId="7812E385" w:rsidR="006D2BF6" w:rsidRDefault="006D2BF6" w:rsidP="006D2BF6">
      <w:r>
        <w:t>Early works commenced in June 2022 with main construction works to start in late-2022.</w:t>
      </w:r>
    </w:p>
    <w:p w14:paraId="4F378D5B" w14:textId="055EB36F" w:rsidR="006217E4" w:rsidRDefault="006D2BF6" w:rsidP="006D2BF6">
      <w:r>
        <w:t>The $22.03 million project is fully funded by the Queensland Government through its Active Transport Investment Program.</w:t>
      </w:r>
    </w:p>
    <w:p w14:paraId="4AA24D97" w14:textId="67E16A34" w:rsidR="006217E4" w:rsidRDefault="00D94309" w:rsidP="00C868B6">
      <w:pPr>
        <w:pStyle w:val="MoreInformation"/>
      </w:pPr>
      <w:r>
        <w:t>For more information</w:t>
      </w:r>
      <w:r>
        <w:br/>
      </w:r>
      <w:hyperlink r:id="rId81" w:history="1">
        <w:r w:rsidR="00C868B6" w:rsidRPr="00C868B6">
          <w:rPr>
            <w:rStyle w:val="Hyperlink"/>
          </w:rPr>
          <w:t>https://www.tmr.qld.gov.au/projects/Veloway-1-Pacific-Motorway</w:t>
        </w:r>
      </w:hyperlink>
    </w:p>
    <w:p w14:paraId="32FBA3C3" w14:textId="5B507929" w:rsidR="006800C7" w:rsidRDefault="00C868B6" w:rsidP="006800C7">
      <w:pPr>
        <w:pStyle w:val="Heading4"/>
      </w:pPr>
      <w:r>
        <w:t>ODIN PASS: A Mobility as a Service (MaaS) trial at UQ</w:t>
      </w:r>
    </w:p>
    <w:p w14:paraId="224F028D" w14:textId="77777777" w:rsidR="000422CA" w:rsidRDefault="000422CA" w:rsidP="000422CA">
      <w:r>
        <w:t>TMR launched the new smartphone app, ODIN PASS, in July 2021 as part of a 12-month MaaS research trial, one of the largest real- world MaaS trials undertaken in Australia.</w:t>
      </w:r>
    </w:p>
    <w:p w14:paraId="3F43D100" w14:textId="77777777" w:rsidR="000422CA" w:rsidRDefault="000422CA" w:rsidP="000422CA">
      <w:r>
        <w:t>The ODIN PASS app enables participants to plan, book and pay for a range of multi-modal services including Translink public transport, taxis, car-share, e-scooters and e-bikes.</w:t>
      </w:r>
    </w:p>
    <w:p w14:paraId="03355C4F" w14:textId="77777777" w:rsidR="000422CA" w:rsidRDefault="000422CA" w:rsidP="000422CA">
      <w:r>
        <w:t>In partnership with The University of Queensland (UQ), TMR is co- leading the delivery of this trial as part of an iMOVE Cooperative Research Centre program.</w:t>
      </w:r>
    </w:p>
    <w:p w14:paraId="23D81EB5" w14:textId="77777777" w:rsidR="000422CA" w:rsidRDefault="000422CA" w:rsidP="000422CA">
      <w:r>
        <w:t>Exclusive to UQ staff and students, participants can subscribe to monthly transport plans and bundles moving away from the traditional pay-as-you-go business model.</w:t>
      </w:r>
    </w:p>
    <w:p w14:paraId="7944409E" w14:textId="77777777" w:rsidR="000422CA" w:rsidRDefault="000422CA" w:rsidP="000422CA">
      <w:r>
        <w:t>This project is being used to assess whether a sustainable business model for MaaS exists and to understand consumer preferences towards different transport modes.</w:t>
      </w:r>
    </w:p>
    <w:p w14:paraId="4A6FDA45" w14:textId="77777777" w:rsidR="000422CA" w:rsidRDefault="000422CA" w:rsidP="000422CA">
      <w:r>
        <w:t>Trial achievements during 2021–22 included:</w:t>
      </w:r>
    </w:p>
    <w:p w14:paraId="4015600F" w14:textId="508B1B32" w:rsidR="000422CA" w:rsidRDefault="000422CA" w:rsidP="000422CA">
      <w:pPr>
        <w:pStyle w:val="ListBullet"/>
      </w:pPr>
      <w:r>
        <w:lastRenderedPageBreak/>
        <w:t>more than 4,600 mobility bundles purchased by over 1,900 unique users</w:t>
      </w:r>
    </w:p>
    <w:p w14:paraId="0F12F4DF" w14:textId="0F62781A" w:rsidR="000422CA" w:rsidRDefault="000422CA" w:rsidP="000422CA">
      <w:pPr>
        <w:pStyle w:val="ListBullet"/>
      </w:pPr>
      <w:r>
        <w:t>over 2,500 active participants using the app</w:t>
      </w:r>
    </w:p>
    <w:p w14:paraId="1397C199" w14:textId="378CC9F0" w:rsidR="00C868B6" w:rsidRDefault="000422CA" w:rsidP="000422CA">
      <w:pPr>
        <w:pStyle w:val="ListBullet"/>
      </w:pPr>
      <w:r>
        <w:t>on average 50 new users are purchasing a bundle each week.</w:t>
      </w:r>
    </w:p>
    <w:p w14:paraId="44BCAF18" w14:textId="5D2A19E1" w:rsidR="00B06E1E" w:rsidRPr="00B06E1E" w:rsidRDefault="00B06E1E" w:rsidP="00B06E1E">
      <w:r w:rsidRPr="00B06E1E">
        <w:rPr>
          <w:iCs/>
          <w:color w:val="auto"/>
          <w:sz w:val="26"/>
        </w:rPr>
        <w:t>Cleveland–Redland Bay Road upgrades</w:t>
      </w:r>
    </w:p>
    <w:p w14:paraId="5683100D" w14:textId="77777777" w:rsidR="00FE3572" w:rsidRDefault="00FE3572" w:rsidP="00FE3572">
      <w:r>
        <w:t>TMR is undertaking a program of work to upgrade Cleveland– Redland Bay Road.</w:t>
      </w:r>
    </w:p>
    <w:p w14:paraId="7D0B9FEE" w14:textId="77777777" w:rsidR="00FE3572" w:rsidRDefault="00FE3572" w:rsidP="00FE3572">
      <w:r>
        <w:t>Projects undertaken during 2021–22 included:</w:t>
      </w:r>
    </w:p>
    <w:p w14:paraId="42036C2A" w14:textId="67EC7BFD" w:rsidR="00FE3572" w:rsidRDefault="00FE3572" w:rsidP="00FE3572">
      <w:pPr>
        <w:pStyle w:val="ListBullet"/>
      </w:pPr>
      <w:r>
        <w:t>completion of the Anita Street intersection upgrade, with traffic signals operational in July 2021</w:t>
      </w:r>
    </w:p>
    <w:p w14:paraId="18596718" w14:textId="7D6EFA3C" w:rsidR="00FE3572" w:rsidRDefault="00FE3572" w:rsidP="00FE3572">
      <w:pPr>
        <w:pStyle w:val="ListBullet"/>
      </w:pPr>
      <w:r>
        <w:t>commencement of early works to enable public utility relocation works for the Anita Street to Magnolia Parade duplication project</w:t>
      </w:r>
    </w:p>
    <w:p w14:paraId="38D4C369" w14:textId="1207B6D7" w:rsidR="00FE3572" w:rsidRDefault="00FE3572" w:rsidP="00FE3572">
      <w:pPr>
        <w:pStyle w:val="ListBullet"/>
      </w:pPr>
      <w:r>
        <w:t>planning for the Boundary Road roundabout and Cleveland– Redland Bay Road (Anita Street to Giles Road) corridor</w:t>
      </w:r>
    </w:p>
    <w:p w14:paraId="555955C1" w14:textId="4B7A0B81" w:rsidR="00FE3572" w:rsidRDefault="00FE3572" w:rsidP="00FE3572">
      <w:pPr>
        <w:pStyle w:val="ListBullet"/>
      </w:pPr>
      <w:r>
        <w:t>delivered safety improvement works at various intersections including Serpentine Creek Road.</w:t>
      </w:r>
    </w:p>
    <w:p w14:paraId="40A491DE" w14:textId="5F3BB94F" w:rsidR="000422CA" w:rsidRDefault="00FE3572" w:rsidP="00FE3572">
      <w:r>
        <w:t>The program of works is fully funded by the Queensland Government.</w:t>
      </w:r>
    </w:p>
    <w:p w14:paraId="360E2F5F" w14:textId="26B0A26B" w:rsidR="009755D7" w:rsidRDefault="009755D7" w:rsidP="009755D7">
      <w:pPr>
        <w:pStyle w:val="MoreInformation"/>
      </w:pPr>
      <w:r>
        <w:t>For more information</w:t>
      </w:r>
      <w:r>
        <w:br/>
      </w:r>
      <w:hyperlink r:id="rId82" w:history="1">
        <w:r w:rsidR="00942404" w:rsidRPr="00942404">
          <w:rPr>
            <w:rStyle w:val="Hyperlink"/>
          </w:rPr>
          <w:t>https://www.tmr.qld.gov.au/projects/cleveland-redland-bay-road-upgrade</w:t>
        </w:r>
      </w:hyperlink>
    </w:p>
    <w:p w14:paraId="6172C505" w14:textId="7D29E943" w:rsidR="006800C7" w:rsidRDefault="0017144F" w:rsidP="006800C7">
      <w:pPr>
        <w:pStyle w:val="Heading4"/>
      </w:pPr>
      <w:r>
        <w:t>Captain Cook Bridge maintenance works</w:t>
      </w:r>
    </w:p>
    <w:p w14:paraId="2ADE3D46" w14:textId="230E6B79" w:rsidR="00EA579A" w:rsidRDefault="00EA579A" w:rsidP="00EA579A">
      <w:r>
        <w:t>The Captain Cook Bridge is a critical link in Brisbane’s state- controlled road network servicing up to 140,000 vehicles a day.</w:t>
      </w:r>
    </w:p>
    <w:p w14:paraId="26E6158B" w14:textId="7E9E679F" w:rsidR="00EA579A" w:rsidRDefault="00EA579A" w:rsidP="00EA579A">
      <w:r>
        <w:t>Complex maintenance works to improve the long-term integrity of this iconic structure were completed in December 2021.</w:t>
      </w:r>
    </w:p>
    <w:p w14:paraId="0726A0E1" w14:textId="63B7C056" w:rsidR="00EA579A" w:rsidRDefault="00EA579A" w:rsidP="00EA579A">
      <w:r>
        <w:t>Works included an early works contract facilitating safe access around the structure, installing two temporary work platforms at three locations, replacing six bearings (three per bridge) requiring two bridge closures (one northbound and one southbound), and works to strengthen eight halving joints.</w:t>
      </w:r>
    </w:p>
    <w:p w14:paraId="5EAC8125" w14:textId="2A8B4A56" w:rsidR="00EA579A" w:rsidRDefault="00EA579A" w:rsidP="00EA579A">
      <w:r>
        <w:t>The project required integrated capability across TMR in design, construction, and traffic management. It provided opportunities for technical staff to increase their skills using international best practice materials and processes, which also provided value for money.</w:t>
      </w:r>
    </w:p>
    <w:p w14:paraId="5F232159" w14:textId="1AE34FC5" w:rsidR="00942404" w:rsidRDefault="00EA579A" w:rsidP="00EA579A">
      <w:r>
        <w:t>TMR worked with several key stakeholders to deliver these complex works including Brisbane City Council, Queens Wharf Brisbane, Transurban, Queensland Fire and Emergency Services, Queensland Ambulance Service, and the Queensland Police Service.</w:t>
      </w:r>
    </w:p>
    <w:p w14:paraId="0CCC5E1B" w14:textId="0D5CCCD7" w:rsidR="00EA579A" w:rsidRDefault="00EA579A" w:rsidP="00EA579A">
      <w:pPr>
        <w:pStyle w:val="MoreInformation"/>
      </w:pPr>
      <w:r>
        <w:t>For more information</w:t>
      </w:r>
      <w:r>
        <w:br/>
      </w:r>
      <w:hyperlink r:id="rId83" w:history="1">
        <w:r w:rsidR="00DB6915" w:rsidRPr="00DB6915">
          <w:rPr>
            <w:rStyle w:val="Hyperlink"/>
          </w:rPr>
          <w:t>https://www.tmr.qld.gov.au/projects/captain-cook-bridge-maintenance-works</w:t>
        </w:r>
      </w:hyperlink>
    </w:p>
    <w:p w14:paraId="0C200A7D" w14:textId="4E345EBA" w:rsidR="006800C7" w:rsidRDefault="00DB6915" w:rsidP="006800C7">
      <w:pPr>
        <w:pStyle w:val="Heading4"/>
      </w:pPr>
      <w:r>
        <w:t>Springfield Central station park 'n' ride</w:t>
      </w:r>
    </w:p>
    <w:p w14:paraId="14156AB2" w14:textId="77777777" w:rsidR="00F3047E" w:rsidRDefault="00F3047E" w:rsidP="00F3047E">
      <w:r>
        <w:t>The Springfield Central station park ‘n’ ride opened in April 2022, increasing commuter parking capacity to cater for the growing Springfield area.</w:t>
      </w:r>
    </w:p>
    <w:p w14:paraId="14AAE451" w14:textId="77777777" w:rsidR="00F3047E" w:rsidRDefault="00F3047E" w:rsidP="00F3047E"/>
    <w:p w14:paraId="3180DC56" w14:textId="4069272C" w:rsidR="00F3047E" w:rsidRDefault="00F3047E" w:rsidP="00F3047E">
      <w:r>
        <w:t>Located between the Springfield–Greenbank Arterial, Centenary Motorway and the Springfield–Greenbank Arterial off-ramp, the new multi-storey park ‘n’ ride has increased the total parking capacity at the station precinct to around 1100 car parks and provided improved access to public transport services for commuters.</w:t>
      </w:r>
    </w:p>
    <w:p w14:paraId="37918F88" w14:textId="77777777" w:rsidR="00F3047E" w:rsidRDefault="00F3047E" w:rsidP="00F3047E">
      <w:r>
        <w:t>The design of the new facility delivers significant features and benefits including:</w:t>
      </w:r>
    </w:p>
    <w:p w14:paraId="663C2866" w14:textId="21F2959A" w:rsidR="00F3047E" w:rsidRDefault="00F3047E" w:rsidP="00F3047E">
      <w:pPr>
        <w:pStyle w:val="ListBullet"/>
      </w:pPr>
      <w:r>
        <w:t>increased pedestrian safety and amenity</w:t>
      </w:r>
    </w:p>
    <w:p w14:paraId="2CE6C2A6" w14:textId="336E6E44" w:rsidR="00F3047E" w:rsidRDefault="00F3047E" w:rsidP="00F3047E">
      <w:pPr>
        <w:pStyle w:val="ListBullet"/>
      </w:pPr>
      <w:r>
        <w:t>easy vehicle access into and around the car park</w:t>
      </w:r>
    </w:p>
    <w:p w14:paraId="2BC61BDE" w14:textId="5817AF7A" w:rsidR="00F3047E" w:rsidRDefault="00F3047E" w:rsidP="00F3047E">
      <w:pPr>
        <w:pStyle w:val="ListBullet"/>
      </w:pPr>
      <w:r>
        <w:t>an overall design that complements the surrounding area.</w:t>
      </w:r>
    </w:p>
    <w:p w14:paraId="186FCA5A" w14:textId="77777777" w:rsidR="00F3047E" w:rsidRDefault="00F3047E" w:rsidP="00F3047E">
      <w:r>
        <w:t>Commuters also have 24-hour access, elevators, additional accessible parking spaces close to the station and improved security through CCTV and lighting.</w:t>
      </w:r>
    </w:p>
    <w:p w14:paraId="4368BDC8" w14:textId="13B2A6A1" w:rsidR="00DB6915" w:rsidRDefault="00F3047E" w:rsidP="00F3047E">
      <w:r>
        <w:t>The project was fully funded by the Queensland Government.</w:t>
      </w:r>
    </w:p>
    <w:p w14:paraId="7605FAB2" w14:textId="3600B7B5" w:rsidR="00F3047E" w:rsidRDefault="00F3047E" w:rsidP="00F3047E">
      <w:pPr>
        <w:pStyle w:val="MoreInformation"/>
      </w:pPr>
      <w:r>
        <w:t>For more information</w:t>
      </w:r>
      <w:r>
        <w:br/>
      </w:r>
      <w:hyperlink r:id="rId84" w:history="1">
        <w:r w:rsidR="003C5BAB" w:rsidRPr="003C5BAB">
          <w:rPr>
            <w:rStyle w:val="Hyperlink"/>
          </w:rPr>
          <w:t>https://www.tmr.qld.gov.au/projects/springfield-central-station-sir-llew-edwards-drive-park-n-ride</w:t>
        </w:r>
      </w:hyperlink>
    </w:p>
    <w:p w14:paraId="36D64271" w14:textId="77777777" w:rsidR="0095684A" w:rsidRPr="00E46578" w:rsidRDefault="0095684A" w:rsidP="0095684A">
      <w:pPr>
        <w:pStyle w:val="Heading3"/>
      </w:pPr>
      <w:r>
        <w:t>Case Study</w:t>
      </w:r>
    </w:p>
    <w:p w14:paraId="54BFAC09" w14:textId="323EAE1E" w:rsidR="0095684A" w:rsidRPr="00DD7C5A" w:rsidRDefault="0095684A" w:rsidP="0095684A">
      <w:r>
        <w:rPr>
          <w:iCs/>
          <w:color w:val="auto"/>
          <w:sz w:val="26"/>
        </w:rPr>
        <w:t>Springfield's new park 'n' ride is out of this world</w:t>
      </w:r>
    </w:p>
    <w:p w14:paraId="119FF03C" w14:textId="77777777" w:rsidR="00F76DBF" w:rsidRDefault="00F76DBF" w:rsidP="00F76DBF">
      <w:r>
        <w:t>The Springfield Central station park ‘n’ ride project is a critical piece of urban infrastructure and part of an integrated transport network for the people of the Greater Springfield Area.</w:t>
      </w:r>
    </w:p>
    <w:p w14:paraId="3FCFF401" w14:textId="77777777" w:rsidR="00F76DBF" w:rsidRDefault="00F76DBF" w:rsidP="00F76DBF">
      <w:r>
        <w:t>The project was required to cater for the growing Springfield area while providing improved safety and security for customers using the park ‘n’ ride and train station.</w:t>
      </w:r>
    </w:p>
    <w:p w14:paraId="27D0ABC6" w14:textId="77777777" w:rsidR="00F76DBF" w:rsidRDefault="00F76DBF" w:rsidP="00F76DBF">
      <w:r>
        <w:t>One of the largest of its kind in Queensland, the new Springfield Central offers five levels of free parking to local commuters, nearly doubling previous spaces available. It has a sustainable and innovative design features such as recycled aluminium in the building façade and the ability to accommodate another parking level in the future if required.</w:t>
      </w:r>
    </w:p>
    <w:p w14:paraId="17189A66" w14:textId="0B5A8381" w:rsidR="00DB6915" w:rsidRDefault="00F76DBF" w:rsidP="00F76DBF">
      <w:r>
        <w:t>The park ‘n’ ride is an integrated community asset. It not only fulfils its primary objective of providing commuter parking to increase the uptake of public transport and reduce peak hour congestion, but also supports multiple precincts outside of peak commute times and on weekends during sporting events.</w:t>
      </w:r>
    </w:p>
    <w:p w14:paraId="313FB31F" w14:textId="2AA348A8" w:rsidR="006800C7" w:rsidRDefault="00F76DBF" w:rsidP="006800C7">
      <w:pPr>
        <w:pStyle w:val="Heading4"/>
      </w:pPr>
      <w:r>
        <w:t xml:space="preserve">Gympie Road and Strathpine Road Interchange Upgrade </w:t>
      </w:r>
    </w:p>
    <w:p w14:paraId="74B45C20" w14:textId="29369958" w:rsidR="00E32019" w:rsidRDefault="00E32019" w:rsidP="00E32019">
      <w:r>
        <w:t>Changes to traffic configuration at Attley Street and Strathpine Road, Bald Hills, was completed in March 2022 as part of the Gympie Road and Strathpine Road Interchange Upgrade.</w:t>
      </w:r>
    </w:p>
    <w:p w14:paraId="0105E082" w14:textId="09291650" w:rsidR="00E32019" w:rsidRDefault="00E32019" w:rsidP="00E32019">
      <w:r>
        <w:t>The Attley Street intersection upgrade included new traffic signals and pedestrian crossings to complement existing traffic signals at Bald Hills Road and Strathpine Road.</w:t>
      </w:r>
    </w:p>
    <w:p w14:paraId="030DA585" w14:textId="733499CA" w:rsidR="00E32019" w:rsidRDefault="00E32019" w:rsidP="00E32019">
      <w:r>
        <w:lastRenderedPageBreak/>
        <w:t>The upgrade supports the effective operation of the nearby diverging diamond interchange upgrade project, expected to be completed by mid-2023, weather permitting.</w:t>
      </w:r>
    </w:p>
    <w:p w14:paraId="63C92C85" w14:textId="0CB5A867" w:rsidR="00E32019" w:rsidRDefault="00E32019" w:rsidP="00E32019">
      <w:r>
        <w:t>The upgrade of the interchange to a diverging diamond interchange eliminates the need for right-turning traffic to give way to opposing traffic, decreasing the number of traffic signals required.</w:t>
      </w:r>
    </w:p>
    <w:p w14:paraId="0782540B" w14:textId="2C4D0378" w:rsidR="00E32019" w:rsidRDefault="00E32019" w:rsidP="00E32019">
      <w:r>
        <w:t>It will be the first interchange of this type in Brisbane and the third diverging diamond interchange in Queensland.</w:t>
      </w:r>
    </w:p>
    <w:p w14:paraId="095BE09E" w14:textId="2DDECC9D" w:rsidR="00F76DBF" w:rsidRDefault="00E32019" w:rsidP="00E32019">
      <w:r>
        <w:t>The project is jointly funded by the Australian and Queensland governments on a 50:50 basis through the Urban Congestion Fund.</w:t>
      </w:r>
    </w:p>
    <w:p w14:paraId="2ADA868A" w14:textId="702AD230" w:rsidR="00F76DBF" w:rsidRDefault="00542B84" w:rsidP="00B226C1">
      <w:pPr>
        <w:pStyle w:val="MoreInformation"/>
      </w:pPr>
      <w:r>
        <w:t>For more information</w:t>
      </w:r>
      <w:r>
        <w:br/>
      </w:r>
      <w:hyperlink r:id="rId85" w:history="1">
        <w:r w:rsidR="00B226C1" w:rsidRPr="00B226C1">
          <w:rPr>
            <w:rStyle w:val="Hyperlink"/>
          </w:rPr>
          <w:t>https://www.tmr.qld.gov.au/projects/gympie-arterial-road-and-strathpine-road-bald-hills-improve-intersection</w:t>
        </w:r>
      </w:hyperlink>
    </w:p>
    <w:p w14:paraId="072C3F2A" w14:textId="7FF8C151" w:rsidR="006800C7" w:rsidRDefault="003E73EE" w:rsidP="006800C7">
      <w:pPr>
        <w:pStyle w:val="Heading4"/>
      </w:pPr>
      <w:r>
        <w:t>Logan and Gold Coast Faster Rail</w:t>
      </w:r>
    </w:p>
    <w:p w14:paraId="4BC95B30" w14:textId="77777777" w:rsidR="00D22476" w:rsidRDefault="00D22476" w:rsidP="00D22476">
      <w:r>
        <w:t>The Logan and Gold Coast Faster Rail project will increase capacity and improve reliability for rail services between Brisbane, Logan and the Gold Coast in both directions.</w:t>
      </w:r>
    </w:p>
    <w:p w14:paraId="06BC2C30" w14:textId="77777777" w:rsidR="00D22476" w:rsidRDefault="00D22476" w:rsidP="00D22476">
      <w:r>
        <w:t>The project will deliver:</w:t>
      </w:r>
    </w:p>
    <w:p w14:paraId="7BF7E88D" w14:textId="7CC6BAE0" w:rsidR="00D22476" w:rsidRDefault="00D22476" w:rsidP="00D22476">
      <w:pPr>
        <w:pStyle w:val="ListBullet"/>
      </w:pPr>
      <w:r>
        <w:t xml:space="preserve">double </w:t>
      </w:r>
      <w:r w:rsidR="00D82C3F">
        <w:t>track</w:t>
      </w:r>
      <w:r>
        <w:t xml:space="preserve"> capacity of the Gold Coast Rail Line</w:t>
      </w:r>
      <w:r w:rsidR="00D82C3F">
        <w:t xml:space="preserve"> between Kuraby and Beenleigh</w:t>
      </w:r>
    </w:p>
    <w:p w14:paraId="70A1757C" w14:textId="25230CA5" w:rsidR="00D22476" w:rsidRDefault="00D22476" w:rsidP="00D22476">
      <w:pPr>
        <w:pStyle w:val="ListBullet"/>
      </w:pPr>
      <w:r>
        <w:t>approximately 20km of new tracks and rail systems between Kuraby Station and Beenleigh Station, increasing the corridor from two tracks to four tracks</w:t>
      </w:r>
    </w:p>
    <w:p w14:paraId="7D251772" w14:textId="07E11EE2" w:rsidR="00D22476" w:rsidRDefault="00D22476" w:rsidP="00D22476">
      <w:pPr>
        <w:pStyle w:val="ListBullet"/>
      </w:pPr>
      <w:r>
        <w:t>new train signalling technology between Salisbury and Varsity Lakes</w:t>
      </w:r>
    </w:p>
    <w:p w14:paraId="130164EE" w14:textId="2B126813" w:rsidR="00D22476" w:rsidRDefault="00D22476" w:rsidP="00D22476">
      <w:pPr>
        <w:pStyle w:val="ListBullet"/>
      </w:pPr>
      <w:r>
        <w:t>nine station upgrades to improve accessibility, safety, and amenity for local commuters, including:</w:t>
      </w:r>
    </w:p>
    <w:p w14:paraId="3789C352" w14:textId="42FDAE49" w:rsidR="00D22476" w:rsidRDefault="00D22476" w:rsidP="00D22476">
      <w:pPr>
        <w:pStyle w:val="ListBullet"/>
        <w:tabs>
          <w:tab w:val="clear" w:pos="567"/>
          <w:tab w:val="num" w:pos="1134"/>
        </w:tabs>
        <w:ind w:left="1134"/>
      </w:pPr>
      <w:r>
        <w:t>a new station at Trinder Park relocated to the straightened section of track to improve train speeds and connectivity to the rail network</w:t>
      </w:r>
    </w:p>
    <w:p w14:paraId="3B16F7DB" w14:textId="2D14357A" w:rsidR="00D22476" w:rsidRDefault="00D22476" w:rsidP="00D22476">
      <w:pPr>
        <w:pStyle w:val="ListBullet"/>
        <w:tabs>
          <w:tab w:val="clear" w:pos="567"/>
          <w:tab w:val="num" w:pos="1134"/>
        </w:tabs>
        <w:ind w:left="1134"/>
      </w:pPr>
      <w:r>
        <w:t>a new station at Loganlea (delivered through the Loganlea Station Relocation project) to provide better connections to health, education and community services</w:t>
      </w:r>
    </w:p>
    <w:p w14:paraId="7B2F68F1" w14:textId="6EDD3408" w:rsidR="00D22476" w:rsidRDefault="00D22476" w:rsidP="00D22476">
      <w:pPr>
        <w:pStyle w:val="ListBullet"/>
      </w:pPr>
      <w:r>
        <w:t>five level crossing removals at Kuraby, Woodridge, Bethania, Holmview and Beenleigh</w:t>
      </w:r>
    </w:p>
    <w:p w14:paraId="64D9E454" w14:textId="2E2E8957" w:rsidR="00D22476" w:rsidRDefault="00D22476" w:rsidP="00D22476">
      <w:pPr>
        <w:pStyle w:val="ListBullet"/>
      </w:pPr>
      <w:r>
        <w:t>park ‘n’ ride upgrades, including a new multi-storey park ‘n’ ride at Beenleigh Station with an integrated bus interchange</w:t>
      </w:r>
    </w:p>
    <w:p w14:paraId="1619513F" w14:textId="1C793688" w:rsidR="00D22476" w:rsidRDefault="00D22476" w:rsidP="00D22476">
      <w:pPr>
        <w:pStyle w:val="ListBullet"/>
      </w:pPr>
      <w:r>
        <w:t>dedicated active transport facilities and paths along the corridor.</w:t>
      </w:r>
    </w:p>
    <w:p w14:paraId="35568C85" w14:textId="284A1A4D" w:rsidR="00D22476" w:rsidRDefault="00D22476" w:rsidP="00D22476">
      <w:r>
        <w:t>Community consultation on the Logan and Gold Coast Faster Rail project was undertaken in September and October 2021. Key insights gained from consultation are being used to refine the project design.</w:t>
      </w:r>
    </w:p>
    <w:p w14:paraId="0D8E969C" w14:textId="54598C41" w:rsidR="003E73EE" w:rsidRDefault="00D22476" w:rsidP="00D22476">
      <w:r>
        <w:t>The $2.598 billion project is jointly funded by the Australian and Queensland governments on a 50:50 basis.</w:t>
      </w:r>
    </w:p>
    <w:p w14:paraId="10BB776B" w14:textId="3DC16D22" w:rsidR="00D22476" w:rsidRDefault="00D22476" w:rsidP="00D22476">
      <w:pPr>
        <w:pStyle w:val="MoreInformation"/>
      </w:pPr>
      <w:r>
        <w:t>For more information</w:t>
      </w:r>
      <w:r>
        <w:br/>
      </w:r>
      <w:hyperlink r:id="rId86" w:history="1">
        <w:r w:rsidR="001B714C" w:rsidRPr="001B714C">
          <w:rPr>
            <w:rStyle w:val="Hyperlink"/>
          </w:rPr>
          <w:t>https://www.tmr.qld.gov.au/projects/logan-and-gold-coast-faster-rail</w:t>
        </w:r>
      </w:hyperlink>
    </w:p>
    <w:p w14:paraId="23393981" w14:textId="77777777" w:rsidR="001B714C" w:rsidRPr="00E46578" w:rsidRDefault="001B714C" w:rsidP="001B714C">
      <w:pPr>
        <w:pStyle w:val="Heading3"/>
      </w:pPr>
      <w:r>
        <w:t>Case Study</w:t>
      </w:r>
    </w:p>
    <w:p w14:paraId="655FDFE1" w14:textId="0753966F" w:rsidR="001B714C" w:rsidRPr="00DD7C5A" w:rsidRDefault="000F409E" w:rsidP="001B714C">
      <w:r>
        <w:rPr>
          <w:iCs/>
          <w:color w:val="auto"/>
          <w:sz w:val="26"/>
        </w:rPr>
        <w:t>Captain Cook Bridge Rehabilitation Project</w:t>
      </w:r>
    </w:p>
    <w:p w14:paraId="045AEFD6" w14:textId="77777777" w:rsidR="00D627DD" w:rsidRDefault="00D627DD" w:rsidP="00D627DD">
      <w:r>
        <w:lastRenderedPageBreak/>
        <w:t>The Captain Cook Bridge (CCB) is Brisbane’s busiest bridge. With more than 1,000,000 vehicles crossing weekly, it is a vital piece of infrastructure connecting South East Queensland.</w:t>
      </w:r>
    </w:p>
    <w:p w14:paraId="2FAF9D8A" w14:textId="77777777" w:rsidR="00D627DD" w:rsidRDefault="00D627DD" w:rsidP="00D627DD">
      <w:r>
        <w:t>Since opening in 1972, loading on the structure has increased, carrying 50 per cent more load than what it was originally designed for.</w:t>
      </w:r>
    </w:p>
    <w:p w14:paraId="7F3B84D4" w14:textId="77777777" w:rsidR="00D627DD" w:rsidRDefault="00D627DD" w:rsidP="00D627DD">
      <w:r>
        <w:t>The CCB Rehabilitation Project applied world-leading technological advances in design solutions, materials, and construction methods to replace distressed bearings and strengthen the halving joints across the bridge.</w:t>
      </w:r>
    </w:p>
    <w:p w14:paraId="2963C715" w14:textId="77777777" w:rsidR="00D627DD" w:rsidRDefault="00D627DD" w:rsidP="00D627DD">
      <w:r>
        <w:t>The project included:</w:t>
      </w:r>
    </w:p>
    <w:p w14:paraId="73D93316" w14:textId="19978C30" w:rsidR="00D627DD" w:rsidRDefault="00D627DD" w:rsidP="00D627DD">
      <w:pPr>
        <w:pStyle w:val="ListBullet"/>
      </w:pPr>
      <w:r>
        <w:t>the latest advances in parametric design and spatial technologies</w:t>
      </w:r>
    </w:p>
    <w:p w14:paraId="6E89D79D" w14:textId="56ED7C66" w:rsidR="00D627DD" w:rsidRDefault="00D627DD" w:rsidP="00D627DD">
      <w:pPr>
        <w:pStyle w:val="ListBullet"/>
      </w:pPr>
      <w:r>
        <w:t>adopting the first use of ultra-high tensile strength post-tensioning systems to strengthen an existing bridge in Australia</w:t>
      </w:r>
    </w:p>
    <w:p w14:paraId="39218F5B" w14:textId="3B8F8C31" w:rsidR="00D627DD" w:rsidRDefault="00D627DD" w:rsidP="00D627DD">
      <w:pPr>
        <w:pStyle w:val="ListBullet"/>
      </w:pPr>
      <w:r>
        <w:t>developing sustainable, low shrinkage, early age strength super workable concrete mixes</w:t>
      </w:r>
    </w:p>
    <w:p w14:paraId="5785707F" w14:textId="1FB8C1F2" w:rsidR="00D627DD" w:rsidRDefault="00D627DD" w:rsidP="00D627DD">
      <w:pPr>
        <w:pStyle w:val="ListBullet"/>
      </w:pPr>
      <w:r>
        <w:t>strengthening of the 48 halving joints across the structure.</w:t>
      </w:r>
    </w:p>
    <w:p w14:paraId="35399B31" w14:textId="77777777" w:rsidR="00D627DD" w:rsidRDefault="00D627DD" w:rsidP="00D627DD">
      <w:r>
        <w:t>In line with a commitment to continual process improvement, a ‘lean’ construction approach was adopted to optimise construction and establish the most efficient process to strengthen the 48 halving joints.</w:t>
      </w:r>
    </w:p>
    <w:p w14:paraId="7E038595" w14:textId="77777777" w:rsidR="00D627DD" w:rsidRDefault="00D627DD" w:rsidP="00D627DD">
      <w:r>
        <w:t>The project’s innovative approaches challenged normal business practices and developed tailored solutions that minimised traffic disruptions, reduced environmental impacts, exceeded safety standards, and has extended the useable life of this iconic bridge.</w:t>
      </w:r>
    </w:p>
    <w:p w14:paraId="68289CB6" w14:textId="77777777" w:rsidR="00D627DD" w:rsidRDefault="00D627DD" w:rsidP="00D627DD">
      <w:r>
        <w:t>The rehabilitation of Brisbane’s CCB has delivered a safer and more sustainable asset that can meet Brisbane’s evolving transport needs well into the future, ensuring the community and economy can continue to grow and thrive.</w:t>
      </w:r>
    </w:p>
    <w:p w14:paraId="391D91B2" w14:textId="77777777" w:rsidR="006800C7" w:rsidRDefault="006800C7" w:rsidP="006800C7">
      <w:pPr>
        <w:pStyle w:val="Heading3"/>
      </w:pPr>
      <w:r>
        <w:t>South Coast</w:t>
      </w:r>
    </w:p>
    <w:tbl>
      <w:tblPr>
        <w:tblStyle w:val="TMRAnnualReport2"/>
        <w:tblW w:w="8926" w:type="dxa"/>
        <w:tblLook w:val="04A0" w:firstRow="1" w:lastRow="0" w:firstColumn="1" w:lastColumn="0" w:noHBand="0" w:noVBand="1"/>
      </w:tblPr>
      <w:tblGrid>
        <w:gridCol w:w="1980"/>
        <w:gridCol w:w="1701"/>
        <w:gridCol w:w="1984"/>
        <w:gridCol w:w="1701"/>
        <w:gridCol w:w="1560"/>
      </w:tblGrid>
      <w:tr w:rsidR="006800C7" w:rsidRPr="008B5A09" w14:paraId="56DD51A8" w14:textId="77777777" w:rsidTr="00F31956">
        <w:trPr>
          <w:trHeight w:val="150"/>
        </w:trPr>
        <w:tc>
          <w:tcPr>
            <w:tcW w:w="1980" w:type="dxa"/>
            <w:noWrap/>
            <w:hideMark/>
          </w:tcPr>
          <w:p w14:paraId="3E6B1DB3" w14:textId="77777777" w:rsidR="006800C7" w:rsidRPr="00BC1931" w:rsidRDefault="006800C7" w:rsidP="00F31956">
            <w:r>
              <w:rPr>
                <w:rStyle w:val="Strong"/>
              </w:rPr>
              <w:t>1048</w:t>
            </w:r>
            <w:r w:rsidRPr="00BC1931">
              <w:rPr>
                <w:rStyle w:val="Strong"/>
              </w:rPr>
              <w:t xml:space="preserve"> kilometres </w:t>
            </w:r>
            <w:r w:rsidRPr="00BC1931">
              <w:rPr>
                <w:rStyle w:val="Strong"/>
              </w:rPr>
              <w:br/>
            </w:r>
            <w:r w:rsidRPr="00BC1931">
              <w:t>State-controlled</w:t>
            </w:r>
            <w:r w:rsidRPr="00BC1931">
              <w:br/>
              <w:t xml:space="preserve"> road</w:t>
            </w:r>
            <w:r w:rsidRPr="00BC1931">
              <w:rPr>
                <w:rStyle w:val="FootnoteReference"/>
              </w:rPr>
              <w:footnoteReference w:id="38"/>
            </w:r>
          </w:p>
        </w:tc>
        <w:tc>
          <w:tcPr>
            <w:tcW w:w="1701" w:type="dxa"/>
            <w:noWrap/>
            <w:hideMark/>
          </w:tcPr>
          <w:p w14:paraId="2E5F332C" w14:textId="77777777" w:rsidR="006800C7" w:rsidRPr="00BC1931" w:rsidRDefault="006800C7" w:rsidP="00F31956">
            <w:r>
              <w:rPr>
                <w:rStyle w:val="Strong"/>
              </w:rPr>
              <w:t>179</w:t>
            </w:r>
            <w:r w:rsidRPr="005658BE">
              <w:rPr>
                <w:rStyle w:val="Strong"/>
              </w:rPr>
              <w:t xml:space="preserve"> kilometres </w:t>
            </w:r>
            <w:r w:rsidRPr="00BC1931">
              <w:t>National Land Transport Network</w:t>
            </w:r>
            <w:r w:rsidRPr="00BC1931">
              <w:rPr>
                <w:rStyle w:val="FootnoteReference"/>
              </w:rPr>
              <w:footnoteReference w:id="39"/>
            </w:r>
            <w:r w:rsidRPr="00BC1931">
              <w:t xml:space="preserve"> </w:t>
            </w:r>
          </w:p>
        </w:tc>
        <w:tc>
          <w:tcPr>
            <w:tcW w:w="1984" w:type="dxa"/>
            <w:noWrap/>
            <w:hideMark/>
          </w:tcPr>
          <w:p w14:paraId="153ADBFB" w14:textId="37719968" w:rsidR="006800C7" w:rsidRPr="00BC1931" w:rsidRDefault="00D627DD" w:rsidP="00F31956">
            <w:r>
              <w:rPr>
                <w:rStyle w:val="Strong"/>
              </w:rPr>
              <w:t>7285</w:t>
            </w:r>
            <w:r w:rsidR="006800C7" w:rsidRPr="005658BE">
              <w:rPr>
                <w:rStyle w:val="Strong"/>
              </w:rPr>
              <w:t xml:space="preserve"> </w:t>
            </w:r>
            <w:r w:rsidR="006800C7" w:rsidRPr="00BC1931">
              <w:rPr>
                <w:rStyle w:val="Strong"/>
              </w:rPr>
              <w:br/>
            </w:r>
            <w:r w:rsidR="006800C7" w:rsidRPr="00BC1931">
              <w:t xml:space="preserve">Vehicle and machinery registrations </w:t>
            </w:r>
          </w:p>
        </w:tc>
        <w:tc>
          <w:tcPr>
            <w:tcW w:w="1701" w:type="dxa"/>
            <w:noWrap/>
            <w:hideMark/>
          </w:tcPr>
          <w:p w14:paraId="0E15DA1E" w14:textId="77777777" w:rsidR="006800C7" w:rsidRPr="00BC1931" w:rsidRDefault="006800C7" w:rsidP="00F31956">
            <w:r>
              <w:rPr>
                <w:rStyle w:val="Strong"/>
              </w:rPr>
              <w:t>8</w:t>
            </w:r>
            <w:r w:rsidRPr="00B33E3B">
              <w:rPr>
                <w:rStyle w:val="Strong"/>
              </w:rPr>
              <w:t xml:space="preserve"> </w:t>
            </w:r>
            <w:r w:rsidRPr="00BC1931">
              <w:rPr>
                <w:rStyle w:val="Strong"/>
              </w:rPr>
              <w:br/>
            </w:r>
            <w:r w:rsidRPr="00BC1931">
              <w:t xml:space="preserve">Boating infrastructures </w:t>
            </w:r>
          </w:p>
        </w:tc>
        <w:tc>
          <w:tcPr>
            <w:tcW w:w="1560" w:type="dxa"/>
          </w:tcPr>
          <w:p w14:paraId="775D71A2" w14:textId="3B49CBBA" w:rsidR="006800C7" w:rsidRPr="00BC1931" w:rsidRDefault="006800C7" w:rsidP="00F31956">
            <w:r>
              <w:rPr>
                <w:rStyle w:val="Strong"/>
              </w:rPr>
              <w:t>2</w:t>
            </w:r>
            <w:r w:rsidR="00D627DD">
              <w:rPr>
                <w:rStyle w:val="Strong"/>
              </w:rPr>
              <w:t>7</w:t>
            </w:r>
            <w:r w:rsidRPr="00B33E3B">
              <w:rPr>
                <w:rStyle w:val="Strong"/>
              </w:rPr>
              <w:t xml:space="preserve"> </w:t>
            </w:r>
            <w:r w:rsidRPr="00BC1931">
              <w:rPr>
                <w:rStyle w:val="Strong"/>
              </w:rPr>
              <w:br/>
            </w:r>
            <w:r w:rsidRPr="00BC1931">
              <w:t>Community safety events held</w:t>
            </w:r>
          </w:p>
        </w:tc>
      </w:tr>
      <w:tr w:rsidR="006800C7" w:rsidRPr="008B5A09" w14:paraId="34CFDB94" w14:textId="77777777" w:rsidTr="00F31956">
        <w:trPr>
          <w:trHeight w:val="265"/>
        </w:trPr>
        <w:tc>
          <w:tcPr>
            <w:tcW w:w="1980" w:type="dxa"/>
            <w:noWrap/>
          </w:tcPr>
          <w:p w14:paraId="039272FA" w14:textId="534026FD" w:rsidR="006800C7" w:rsidRPr="00BC1931" w:rsidRDefault="00D627DD" w:rsidP="00F31956">
            <w:r>
              <w:rPr>
                <w:rStyle w:val="Strong"/>
              </w:rPr>
              <w:t>1,080,903</w:t>
            </w:r>
            <w:r w:rsidR="006800C7" w:rsidRPr="00BC1931">
              <w:rPr>
                <w:rStyle w:val="Strong"/>
              </w:rPr>
              <w:br/>
            </w:r>
            <w:r w:rsidR="006800C7" w:rsidRPr="00BC1931">
              <w:t xml:space="preserve">Vehicle and machinery inspections completed </w:t>
            </w:r>
          </w:p>
        </w:tc>
        <w:tc>
          <w:tcPr>
            <w:tcW w:w="1701" w:type="dxa"/>
            <w:noWrap/>
          </w:tcPr>
          <w:p w14:paraId="2451853D" w14:textId="3597770F" w:rsidR="006800C7" w:rsidRPr="00BC1931" w:rsidRDefault="006800C7" w:rsidP="00F31956">
            <w:r>
              <w:rPr>
                <w:rStyle w:val="Strong"/>
              </w:rPr>
              <w:t>3</w:t>
            </w:r>
            <w:r w:rsidR="00D627DD">
              <w:rPr>
                <w:rStyle w:val="Strong"/>
              </w:rPr>
              <w:t>153</w:t>
            </w:r>
            <w:r w:rsidRPr="00BC1931">
              <w:br/>
              <w:t>Bridges</w:t>
            </w:r>
            <w:r w:rsidRPr="00BC1931">
              <w:rPr>
                <w:rStyle w:val="FootnoteReference"/>
              </w:rPr>
              <w:footnoteReference w:id="40"/>
            </w:r>
            <w:r w:rsidRPr="00BC1931">
              <w:t xml:space="preserve"> </w:t>
            </w:r>
          </w:p>
        </w:tc>
        <w:tc>
          <w:tcPr>
            <w:tcW w:w="1984" w:type="dxa"/>
            <w:noWrap/>
          </w:tcPr>
          <w:p w14:paraId="66713346" w14:textId="79492A03" w:rsidR="006800C7" w:rsidRPr="00BC1931" w:rsidRDefault="00D627DD" w:rsidP="00F31956">
            <w:r>
              <w:rPr>
                <w:rStyle w:val="Strong"/>
              </w:rPr>
              <w:t>40,192</w:t>
            </w:r>
            <w:r w:rsidR="006800C7" w:rsidRPr="00BC1931">
              <w:br/>
              <w:t xml:space="preserve">Driver licence tests conducted  </w:t>
            </w:r>
          </w:p>
        </w:tc>
        <w:tc>
          <w:tcPr>
            <w:tcW w:w="1701" w:type="dxa"/>
            <w:noWrap/>
          </w:tcPr>
          <w:p w14:paraId="1FC8F486" w14:textId="0A18C3B9" w:rsidR="006800C7" w:rsidRPr="00BC1931" w:rsidRDefault="006800C7" w:rsidP="00F31956">
            <w:r>
              <w:rPr>
                <w:rStyle w:val="Strong"/>
              </w:rPr>
              <w:t>6</w:t>
            </w:r>
            <w:r w:rsidR="00D627DD">
              <w:rPr>
                <w:rStyle w:val="Strong"/>
              </w:rPr>
              <w:t>40,556</w:t>
            </w:r>
            <w:r w:rsidRPr="00BC1931">
              <w:br/>
              <w:t xml:space="preserve">Customer face-to-face interaction </w:t>
            </w:r>
          </w:p>
        </w:tc>
        <w:tc>
          <w:tcPr>
            <w:tcW w:w="1560" w:type="dxa"/>
          </w:tcPr>
          <w:p w14:paraId="7B598853" w14:textId="6E1E0F7D" w:rsidR="006800C7" w:rsidRPr="00BC1931" w:rsidRDefault="006800C7" w:rsidP="00F31956">
            <w:r>
              <w:rPr>
                <w:rStyle w:val="Strong"/>
              </w:rPr>
              <w:t>6</w:t>
            </w:r>
            <w:r w:rsidR="00D627DD">
              <w:rPr>
                <w:rStyle w:val="Strong"/>
              </w:rPr>
              <w:t>91</w:t>
            </w:r>
            <w:r w:rsidRPr="00BC1931">
              <w:br/>
              <w:t xml:space="preserve">Priority enabled intersections </w:t>
            </w:r>
          </w:p>
        </w:tc>
      </w:tr>
      <w:tr w:rsidR="006800C7" w:rsidRPr="008B5A09" w14:paraId="4ABF4F7A" w14:textId="77777777" w:rsidTr="00F31956">
        <w:trPr>
          <w:trHeight w:val="265"/>
        </w:trPr>
        <w:tc>
          <w:tcPr>
            <w:tcW w:w="1980" w:type="dxa"/>
            <w:noWrap/>
          </w:tcPr>
          <w:p w14:paraId="25278752" w14:textId="0E01B82F" w:rsidR="006800C7" w:rsidRPr="00BC1931" w:rsidRDefault="006800C7" w:rsidP="00F31956">
            <w:pPr>
              <w:rPr>
                <w:rStyle w:val="Strong"/>
              </w:rPr>
            </w:pPr>
            <w:r>
              <w:t>Area covered</w:t>
            </w:r>
            <w:r>
              <w:br/>
            </w:r>
            <w:r>
              <w:rPr>
                <w:rStyle w:val="Strong"/>
              </w:rPr>
              <w:t>65</w:t>
            </w:r>
            <w:r w:rsidR="00D627DD">
              <w:rPr>
                <w:rStyle w:val="Strong"/>
              </w:rPr>
              <w:t>35</w:t>
            </w:r>
            <w:r w:rsidRPr="00BC1931">
              <w:rPr>
                <w:rStyle w:val="Strong"/>
              </w:rPr>
              <w:t xml:space="preserve"> square kilometres</w:t>
            </w:r>
            <w:r w:rsidRPr="00BC1931">
              <w:t xml:space="preserve"> </w:t>
            </w:r>
          </w:p>
        </w:tc>
        <w:tc>
          <w:tcPr>
            <w:tcW w:w="1701" w:type="dxa"/>
            <w:noWrap/>
          </w:tcPr>
          <w:p w14:paraId="787F245C" w14:textId="2BF95C2B" w:rsidR="006800C7" w:rsidRPr="00BC1931" w:rsidRDefault="006800C7" w:rsidP="00F31956">
            <w:pPr>
              <w:rPr>
                <w:rStyle w:val="Strong"/>
              </w:rPr>
            </w:pPr>
            <w:r>
              <w:t xml:space="preserve">Population of </w:t>
            </w:r>
            <w:r w:rsidRPr="00BC1931">
              <w:rPr>
                <w:rStyle w:val="Strong"/>
              </w:rPr>
              <w:t xml:space="preserve">Queensland </w:t>
            </w:r>
            <w:r w:rsidRPr="00BC1931">
              <w:rPr>
                <w:rStyle w:val="Strong"/>
              </w:rPr>
              <w:br/>
            </w:r>
            <w:r>
              <w:rPr>
                <w:rStyle w:val="Strong"/>
              </w:rPr>
              <w:t>19.</w:t>
            </w:r>
            <w:r w:rsidR="00D627DD">
              <w:rPr>
                <w:rStyle w:val="Strong"/>
              </w:rPr>
              <w:t>70</w:t>
            </w:r>
            <w:r w:rsidRPr="00BC1931">
              <w:rPr>
                <w:rStyle w:val="Strong"/>
              </w:rPr>
              <w:t>%</w:t>
            </w:r>
            <w:r w:rsidRPr="00BC1931">
              <w:t xml:space="preserve"> </w:t>
            </w:r>
          </w:p>
        </w:tc>
        <w:tc>
          <w:tcPr>
            <w:tcW w:w="1984" w:type="dxa"/>
            <w:noWrap/>
          </w:tcPr>
          <w:p w14:paraId="40A2D9E1" w14:textId="77777777" w:rsidR="006800C7" w:rsidRDefault="006800C7" w:rsidP="00F31956"/>
        </w:tc>
        <w:tc>
          <w:tcPr>
            <w:tcW w:w="1701" w:type="dxa"/>
            <w:noWrap/>
          </w:tcPr>
          <w:p w14:paraId="428D5B57" w14:textId="77777777" w:rsidR="006800C7" w:rsidRPr="000E0E1F" w:rsidRDefault="006800C7" w:rsidP="00F31956"/>
        </w:tc>
        <w:tc>
          <w:tcPr>
            <w:tcW w:w="1560" w:type="dxa"/>
          </w:tcPr>
          <w:p w14:paraId="43F5E0D6" w14:textId="77777777" w:rsidR="006800C7" w:rsidRPr="00C62589" w:rsidRDefault="006800C7" w:rsidP="00F31956"/>
        </w:tc>
      </w:tr>
    </w:tbl>
    <w:p w14:paraId="73B7F083" w14:textId="77777777" w:rsidR="00337660" w:rsidRDefault="00337660" w:rsidP="00337660"/>
    <w:p w14:paraId="2858DE14" w14:textId="00EBDE33" w:rsidR="006800C7" w:rsidRDefault="006800C7" w:rsidP="006800C7">
      <w:pPr>
        <w:pStyle w:val="Heading4"/>
      </w:pPr>
      <w:r>
        <w:lastRenderedPageBreak/>
        <w:t xml:space="preserve">Highlights </w:t>
      </w:r>
    </w:p>
    <w:p w14:paraId="48EBC289" w14:textId="64CE2052" w:rsidR="001E5E05" w:rsidRPr="001E5E05" w:rsidRDefault="001E5E05" w:rsidP="001E5E05">
      <w:pPr>
        <w:pStyle w:val="ListBullet"/>
      </w:pPr>
      <w:r w:rsidRPr="001E5E05">
        <w:t>Continued multiple construction stages for Pacific Motorway M1 upgrade program between Brisbane and the Gold Coast.</w:t>
      </w:r>
    </w:p>
    <w:p w14:paraId="1792D2C5" w14:textId="63A7955F" w:rsidR="001E5E05" w:rsidRPr="001E5E05" w:rsidRDefault="001E5E05" w:rsidP="001E5E05">
      <w:pPr>
        <w:pStyle w:val="ListBullet"/>
      </w:pPr>
      <w:r w:rsidRPr="001E5E05">
        <w:t>Continued pre-construction of the Coomera Connector Stage One from Coomera to Nerang.</w:t>
      </w:r>
    </w:p>
    <w:p w14:paraId="76AC909A" w14:textId="1EF7C4C5" w:rsidR="001E5E05" w:rsidRPr="001E5E05" w:rsidRDefault="001E5E05" w:rsidP="001E5E05">
      <w:pPr>
        <w:pStyle w:val="ListBullet"/>
      </w:pPr>
      <w:r w:rsidRPr="001E5E05">
        <w:t>Continued construction on Gold Coast Light Rail Stage Three between Broadbeach South and Burleigh Heads.</w:t>
      </w:r>
    </w:p>
    <w:p w14:paraId="55345742" w14:textId="397949BE" w:rsidR="001E5E05" w:rsidRPr="001E5E05" w:rsidRDefault="001E5E05" w:rsidP="001E5E05">
      <w:pPr>
        <w:pStyle w:val="ListBullet"/>
      </w:pPr>
      <w:r w:rsidRPr="001E5E05">
        <w:t>Completed design for the Cunninghams Gap Reconstruction Project.</w:t>
      </w:r>
    </w:p>
    <w:p w14:paraId="47EF927A" w14:textId="3B7F41D9" w:rsidR="001E5E05" w:rsidRPr="001E5E05" w:rsidRDefault="001E5E05" w:rsidP="001E5E05">
      <w:pPr>
        <w:pStyle w:val="ListBullet"/>
      </w:pPr>
      <w:r w:rsidRPr="001E5E05">
        <w:t>Continued construction for four-lane upgrade of Mount Lindesay Highway between Stoney Camp Road and Chambers Flat Road at Munruben.</w:t>
      </w:r>
    </w:p>
    <w:p w14:paraId="1CCD927E" w14:textId="683F35D6" w:rsidR="006800C7" w:rsidRPr="0026316F" w:rsidRDefault="00C65C6E" w:rsidP="006800C7">
      <w:pPr>
        <w:pStyle w:val="Heading4"/>
      </w:pPr>
      <w:r>
        <w:t xml:space="preserve">Coomera Connector (Stage One) </w:t>
      </w:r>
    </w:p>
    <w:p w14:paraId="68E197A1" w14:textId="77777777" w:rsidR="00FB0CB4" w:rsidRDefault="00FB0CB4" w:rsidP="00FB0CB4">
      <w:r>
        <w:t>The Coomera Connector is a north-south road corridor between Loganholme and Nerang east of the Pacific Motorway (M1). Stage One, from Coomera to Nerang, is the priority section identified to meet traffic demands on the M1 and population growth in the northern Gold Coast.</w:t>
      </w:r>
    </w:p>
    <w:p w14:paraId="3182E031" w14:textId="77777777" w:rsidR="00FB0CB4" w:rsidRDefault="00FB0CB4" w:rsidP="00FB0CB4">
      <w:r>
        <w:t>Stage One will be delivered in three packages. Stage One North (Coomera to Helensvale) main construction is expected to start from late-2022, following Australian Government financial and environmental approvals.</w:t>
      </w:r>
    </w:p>
    <w:p w14:paraId="109B09FA" w14:textId="77777777" w:rsidR="00FB0CB4" w:rsidRDefault="00FB0CB4" w:rsidP="00FB0CB4">
      <w:r>
        <w:t>Stage One Central (Helensvale to Smith Street Motorway, Molendinar) design and construction contract is anticipated to be awarded late-2022.</w:t>
      </w:r>
    </w:p>
    <w:p w14:paraId="259340C8" w14:textId="77777777" w:rsidR="00FB0CB4" w:rsidRDefault="00FB0CB4" w:rsidP="00FB0CB4">
      <w:r>
        <w:t>Stage One South (Smith Street Motorway, Molendinar to Nerang) design underway from late-2022 and construction expected to start in late-2023.</w:t>
      </w:r>
    </w:p>
    <w:p w14:paraId="4A52F3D8" w14:textId="77777777" w:rsidR="00FB0CB4" w:rsidRDefault="00FB0CB4" w:rsidP="00FB0CB4">
      <w:r>
        <w:t>Coomera Connector (Stage One) is expected to open to traffic progressively from late-2024.</w:t>
      </w:r>
    </w:p>
    <w:p w14:paraId="3867F024" w14:textId="36C52FA0" w:rsidR="00C65C6E" w:rsidRDefault="00FB0CB4" w:rsidP="00FB0CB4">
      <w:r>
        <w:t>The $2.163 billion project is jointly funded by the Australian and Queensland governments on a 50:50 basis.</w:t>
      </w:r>
    </w:p>
    <w:p w14:paraId="45C0F02E" w14:textId="316BDB74" w:rsidR="00FB0CB4" w:rsidRDefault="00FB0CB4" w:rsidP="00DE0D47">
      <w:pPr>
        <w:pStyle w:val="MoreInformation"/>
      </w:pPr>
      <w:r>
        <w:t>For more information</w:t>
      </w:r>
      <w:r>
        <w:br/>
      </w:r>
      <w:hyperlink r:id="rId87" w:history="1">
        <w:r w:rsidR="00DE0D47" w:rsidRPr="00DE0D47">
          <w:rPr>
            <w:rStyle w:val="Hyperlink"/>
          </w:rPr>
          <w:t>https://www.tmr.qld.gov.au/projects/coomera-connector-stage-1</w:t>
        </w:r>
      </w:hyperlink>
    </w:p>
    <w:p w14:paraId="6538FB6A" w14:textId="06852B01" w:rsidR="006800C7" w:rsidRDefault="00DE0D47" w:rsidP="006800C7">
      <w:pPr>
        <w:pStyle w:val="Heading4"/>
      </w:pPr>
      <w:r>
        <w:t>Pacific Motorway M1 upgrade program</w:t>
      </w:r>
    </w:p>
    <w:p w14:paraId="56494F38" w14:textId="77777777" w:rsidR="00915FFB" w:rsidRDefault="00915FFB" w:rsidP="00915FFB">
      <w:r>
        <w:t>The Pacific Motorway M1, between Brisbane and the Gold Coast, is being upgraded and widened in a series of stages jointly funded by the Australian and Queensland governments.</w:t>
      </w:r>
    </w:p>
    <w:p w14:paraId="6C95FF11" w14:textId="77777777" w:rsidR="00915FFB" w:rsidRDefault="00915FFB" w:rsidP="00915FFB">
      <w:r>
        <w:t>The M1 between Eight Mile Plains and Daisy Hill is currently under construction including additional lanes, extension of the South</w:t>
      </w:r>
    </w:p>
    <w:p w14:paraId="51671DB2" w14:textId="77777777" w:rsidR="00915FFB" w:rsidRDefault="00915FFB" w:rsidP="00915FFB">
      <w:r>
        <w:t>East Busway to Springwood, a new bus station and park ‘n’ ride at Rochedale and extension of the Veloway 1 cycleway.</w:t>
      </w:r>
    </w:p>
    <w:p w14:paraId="034B9EB6" w14:textId="77777777" w:rsidR="00915FFB" w:rsidRDefault="00915FFB" w:rsidP="00915FFB">
      <w:r>
        <w:t>Planning of the Daisy Hill to Logan Motorway section of the M1 upgrade is underway.</w:t>
      </w:r>
    </w:p>
    <w:p w14:paraId="354D88C1" w14:textId="77777777" w:rsidR="00915FFB" w:rsidRDefault="00915FFB" w:rsidP="00915FFB">
      <w:r>
        <w:t>Works are also underway to upgrade the Exit 41 interchange at Yatala South, the Exit 45 interchange at Ormeau, and works will soon commence on the upgrade of the Exit 49 interchange at Pimpama.</w:t>
      </w:r>
    </w:p>
    <w:p w14:paraId="44C996CE" w14:textId="3A1A53E7" w:rsidR="00DE0D47" w:rsidRDefault="00915FFB" w:rsidP="00915FFB">
      <w:r>
        <w:lastRenderedPageBreak/>
        <w:t>Construction continues on all three packages of the M1 upgrade from Varsity Lakes to Tugun including construction of additional lanes. Significant progress has been made including the opening of the Gold Coast’s first diverging diamond interchange at Burleigh Exit 87 in April 2022.</w:t>
      </w:r>
    </w:p>
    <w:p w14:paraId="3167B3AB" w14:textId="6AFE4AF7" w:rsidR="00915FFB" w:rsidRDefault="00915FFB" w:rsidP="00915FFB">
      <w:pPr>
        <w:pStyle w:val="MoreInformation"/>
      </w:pPr>
      <w:r>
        <w:t>For more information</w:t>
      </w:r>
      <w:r>
        <w:br/>
      </w:r>
      <w:hyperlink r:id="rId88" w:history="1">
        <w:r w:rsidR="006E444A" w:rsidRPr="006E444A">
          <w:rPr>
            <w:rStyle w:val="Hyperlink"/>
          </w:rPr>
          <w:t>https://www.tmr.qld.gov.au/projects/programs/pacific-motorway-m1-upgrade-program</w:t>
        </w:r>
      </w:hyperlink>
    </w:p>
    <w:p w14:paraId="239B31A7" w14:textId="58C4DD3E" w:rsidR="006800C7" w:rsidRDefault="006E444A" w:rsidP="006800C7">
      <w:pPr>
        <w:pStyle w:val="Heading4"/>
      </w:pPr>
      <w:r>
        <w:t>Gold Coast Light Rail</w:t>
      </w:r>
    </w:p>
    <w:p w14:paraId="23C4D862" w14:textId="18F0CE2D" w:rsidR="00D43D67" w:rsidRDefault="00D43D67" w:rsidP="00D43D67">
      <w:r>
        <w:t>The $1.219 billion Gold Coast Light Rail Stage Three will extend the current rail system a further 6.7 kilometres, from Broadbeach to Burleigh Heads.</w:t>
      </w:r>
    </w:p>
    <w:p w14:paraId="1A77695D" w14:textId="367C6831" w:rsidR="00D43D67" w:rsidRDefault="00D43D67" w:rsidP="00D43D67">
      <w:r>
        <w:t>Stage Three is jointly funded by all three levels of government, with. major construction underway. Following testing and commissioning, the system is expected to be operational in 2025.</w:t>
      </w:r>
    </w:p>
    <w:p w14:paraId="3302588F" w14:textId="6B8663CB" w:rsidR="00D43D67" w:rsidRDefault="00D43D67" w:rsidP="00D43D67">
      <w:r>
        <w:t>Planning for Stage Four of the light rail is progressing with the Gold Coast Highway (Burleigh Heads to Tugun) Multi-modal Corridor Study identifying the Gold Coast Highway as the preferred route for a 13 kilometre extension linking Burleigh Heads to Coolangatta via the Gold Coast Airport.</w:t>
      </w:r>
    </w:p>
    <w:p w14:paraId="7C6280C7" w14:textId="6E090D24" w:rsidR="00D43D67" w:rsidRDefault="00D43D67" w:rsidP="00D43D67">
      <w:r>
        <w:t>The Gold Coast Highway (Tugun to Coolangatta) Multi-modal Corridor Study was completed in June 2022, building on the work completed for the Burleigh Heads to Tugun section.</w:t>
      </w:r>
    </w:p>
    <w:p w14:paraId="1DBF2151" w14:textId="69F3424F" w:rsidR="006E444A" w:rsidRDefault="00D43D67" w:rsidP="00D43D67">
      <w:r>
        <w:t>A preliminary business case for Gold Coast Light Rail Stage Four is now underway, jointly funded by the Queensland Government and City of Gold Coast.</w:t>
      </w:r>
    </w:p>
    <w:p w14:paraId="346494FF" w14:textId="2F983EF0" w:rsidR="00864CD5" w:rsidRDefault="00D43D67" w:rsidP="00D43D67">
      <w:pPr>
        <w:pStyle w:val="MoreInformation"/>
      </w:pPr>
      <w:r>
        <w:t>For more information</w:t>
      </w:r>
      <w:r>
        <w:br/>
      </w:r>
      <w:hyperlink r:id="rId89" w:history="1">
        <w:r w:rsidR="00864CD5" w:rsidRPr="00864CD5">
          <w:rPr>
            <w:rStyle w:val="Hyperlink"/>
          </w:rPr>
          <w:t>https://www.tmr.qld.gov.au/projects/gold-coast-light-rail</w:t>
        </w:r>
      </w:hyperlink>
      <w:r w:rsidR="00864CD5">
        <w:br/>
      </w:r>
      <w:hyperlink r:id="rId90" w:history="1">
        <w:r w:rsidR="00AA58CC" w:rsidRPr="00AA58CC">
          <w:rPr>
            <w:rStyle w:val="Hyperlink"/>
          </w:rPr>
          <w:t>https://www.tmr.qld.gov.au/projects/gold-coast-light-rail-stage-4</w:t>
        </w:r>
      </w:hyperlink>
    </w:p>
    <w:p w14:paraId="4EC7CBF4" w14:textId="71483D77" w:rsidR="006800C7" w:rsidRDefault="00A75835" w:rsidP="006800C7">
      <w:pPr>
        <w:pStyle w:val="Heading4"/>
      </w:pPr>
      <w:r>
        <w:t>Mount Lindesay Highway Program</w:t>
      </w:r>
    </w:p>
    <w:p w14:paraId="45597002" w14:textId="77777777" w:rsidR="005A79BC" w:rsidRDefault="005A79BC" w:rsidP="005A79BC">
      <w:r>
        <w:t>The Mount Lindesay Highway upgrades continued during 2021–22 to improve safety and efficiency on one of Queensland’s busiest highways.</w:t>
      </w:r>
    </w:p>
    <w:p w14:paraId="6C906028" w14:textId="6F15CF9D" w:rsidR="005A79BC" w:rsidRDefault="005A79BC" w:rsidP="005A79BC">
      <w:r>
        <w:t>Design has progressed for the Johanna Street to South Street upgrade, which will duplicate the highway from two to four lanes, improve safety, and create new active transport connections around Jimboomba. Community consultation was undertaken in 2021, with results being considered during the design process.</w:t>
      </w:r>
    </w:p>
    <w:p w14:paraId="3363EDA2" w14:textId="45F6005F" w:rsidR="005A79BC" w:rsidRDefault="005A79BC" w:rsidP="005A79BC">
      <w:r>
        <w:t>Safety improvements are underway at key locations between Jimboomba and Beaudesert and will provide motorists with a safer, more reliable journey.</w:t>
      </w:r>
    </w:p>
    <w:p w14:paraId="6BE097D5" w14:textId="2E4D22D2" w:rsidR="005A79BC" w:rsidRDefault="005A79BC" w:rsidP="005A79BC">
      <w:r>
        <w:t>Early planning is underway for future highway upgrades between Chambers Flat Road and Camp Cable Road. Lane duplication, environmental protections, and safety improvements are key benefits being considered for future upgrades.</w:t>
      </w:r>
    </w:p>
    <w:p w14:paraId="4EC2967B" w14:textId="603D9546" w:rsidR="00A75835" w:rsidRDefault="005A79BC" w:rsidP="005A79BC">
      <w:r>
        <w:t>These important highway upgrades form part of the strategic 10-year Mount Lindesay Highway Program.</w:t>
      </w:r>
    </w:p>
    <w:p w14:paraId="431FB85C" w14:textId="192BE851" w:rsidR="005A79BC" w:rsidRDefault="005A79BC" w:rsidP="005A79BC">
      <w:pPr>
        <w:pStyle w:val="MoreInformation"/>
      </w:pPr>
      <w:r>
        <w:lastRenderedPageBreak/>
        <w:t>For more information</w:t>
      </w:r>
      <w:r>
        <w:br/>
      </w:r>
      <w:hyperlink r:id="rId91" w:history="1">
        <w:r w:rsidR="00481460" w:rsidRPr="00481460">
          <w:rPr>
            <w:rStyle w:val="Hyperlink"/>
          </w:rPr>
          <w:t>https://www.tmr.qld.gov.au/projects/programs/mount-lindesay-highway-upgrade-program</w:t>
        </w:r>
      </w:hyperlink>
    </w:p>
    <w:p w14:paraId="11B2E5F1" w14:textId="4DEC6955" w:rsidR="006800C7" w:rsidRDefault="00481460" w:rsidP="006800C7">
      <w:pPr>
        <w:pStyle w:val="Heading4"/>
      </w:pPr>
      <w:r>
        <w:t>Cunninghams Gap Reconstruction Project</w:t>
      </w:r>
    </w:p>
    <w:p w14:paraId="46BBA9E0" w14:textId="3F2E35D6" w:rsidR="007C4F6D" w:rsidRDefault="007C4F6D" w:rsidP="007C4F6D">
      <w:r>
        <w:t>Bushfires in late-2019 caused significant slope damage at Cunninghams Gap. Reduced speed limits and temporary steel safety barriers were installed for the safety of motorists until permanent slope protection works can be completed.</w:t>
      </w:r>
    </w:p>
    <w:p w14:paraId="08D437F8" w14:textId="23390DCC" w:rsidR="007C4F6D" w:rsidRDefault="007C4F6D" w:rsidP="007C4F6D">
      <w:r>
        <w:t>The reconstruction project involves restoring lanes on the eastern side to their original pre-bushfire functionality and the installation of new protective rockfall barriers with catch fencing to maintain safety for motorists.</w:t>
      </w:r>
    </w:p>
    <w:p w14:paraId="08565E8F" w14:textId="51BDCBBA" w:rsidR="007C4F6D" w:rsidRDefault="007C4F6D" w:rsidP="007C4F6D">
      <w:r>
        <w:t>In late-2021, TMR engaged with the local community, heavy vehicle industry, emergency services and other road users to identify and minimise possible impacts during reconstruction.</w:t>
      </w:r>
    </w:p>
    <w:p w14:paraId="77FDF982" w14:textId="739590A9" w:rsidR="007C4F6D" w:rsidRDefault="007C4F6D" w:rsidP="007C4F6D">
      <w:r>
        <w:t>Following detailed design, Construction is due to commence in late-2022.</w:t>
      </w:r>
    </w:p>
    <w:p w14:paraId="4674FD31" w14:textId="0C0B9568" w:rsidR="007C4F6D" w:rsidRDefault="007C4F6D" w:rsidP="007C4F6D">
      <w:r>
        <w:t>Initial works will involve removal of loose debris and stabilisation of high-risk rock faces above Cunninghams Gap to reduce the risk of rockfalls.</w:t>
      </w:r>
    </w:p>
    <w:p w14:paraId="752C50CD" w14:textId="2642CA4B" w:rsidR="00481460" w:rsidRDefault="007C4F6D" w:rsidP="007C4F6D">
      <w:r>
        <w:t xml:space="preserve">The $84.3 million project is jointly funded by the Australian and Queensland governments on </w:t>
      </w:r>
      <w:r w:rsidR="002107B4">
        <w:t>a</w:t>
      </w:r>
      <w:r>
        <w:t xml:space="preserve"> 75:25 basis. Assistance will be provided through the jointly funded Commonwealth-State Disaster Recovery Funding Arrangements.</w:t>
      </w:r>
    </w:p>
    <w:p w14:paraId="3660A746" w14:textId="016309C8" w:rsidR="007C4F6D" w:rsidRDefault="007C4F6D" w:rsidP="007C4F6D">
      <w:pPr>
        <w:pStyle w:val="MoreInformation"/>
      </w:pPr>
      <w:r>
        <w:t>For more information</w:t>
      </w:r>
      <w:r>
        <w:br/>
      </w:r>
      <w:hyperlink r:id="rId92" w:history="1">
        <w:r w:rsidR="00BD2072" w:rsidRPr="00BD2072">
          <w:rPr>
            <w:rStyle w:val="Hyperlink"/>
          </w:rPr>
          <w:t>https://www.tmr.qld.gov.au/projects/cunningham-highway-ipswich-warwick-2020-disaster-recovery-funding-arrangements-reconstruction-works</w:t>
        </w:r>
      </w:hyperlink>
    </w:p>
    <w:p w14:paraId="3F10033E" w14:textId="77777777" w:rsidR="00BD2072" w:rsidRPr="00E46578" w:rsidRDefault="00BD2072" w:rsidP="00BD2072">
      <w:pPr>
        <w:pStyle w:val="Heading3"/>
      </w:pPr>
      <w:r>
        <w:t>Case Study</w:t>
      </w:r>
    </w:p>
    <w:p w14:paraId="64592EFF" w14:textId="6ECCFBE3" w:rsidR="00BD2072" w:rsidRPr="00DD7C5A" w:rsidRDefault="00AB28C8" w:rsidP="00BD2072">
      <w:r>
        <w:rPr>
          <w:iCs/>
          <w:color w:val="auto"/>
          <w:sz w:val="26"/>
        </w:rPr>
        <w:t>Big move for local osprey shows commitment to local wildlife</w:t>
      </w:r>
    </w:p>
    <w:p w14:paraId="549EAD0B" w14:textId="77777777" w:rsidR="00955F27" w:rsidRDefault="00955F27" w:rsidP="00955F27">
      <w:r>
        <w:t>In January 2022, TMR relocated a large osprey nest from the top of a dying hoop pine on Currumbin Creek Road to a new home 30 metres away.</w:t>
      </w:r>
    </w:p>
    <w:p w14:paraId="66615B15" w14:textId="77777777" w:rsidR="00955F27" w:rsidRDefault="00955F27" w:rsidP="00955F27">
      <w:r>
        <w:t>The department had been monitoring the 90-year-old hoop pine since 2008 and in December 2021 a certified arborist assessed it as being structurally unsound and needing removal. The nest needed to be relocated as soon as possible as there were signs of advanced wood decay and wood borer infestation, leading to concerns the tree may fall across the road.</w:t>
      </w:r>
    </w:p>
    <w:p w14:paraId="3FF01789" w14:textId="77777777" w:rsidR="00955F27" w:rsidRDefault="00955F27" w:rsidP="00955F27">
      <w:r>
        <w:t>Plans were drawn up to safely move the residing osprey nest to a new home and, working with the Department of Environment and Science, approvals were obtained to remove the tree and relocate the nest.</w:t>
      </w:r>
    </w:p>
    <w:p w14:paraId="78C3B39D" w14:textId="77777777" w:rsidR="00955F27" w:rsidRDefault="00955F27" w:rsidP="00955F27">
      <w:r>
        <w:t>Contractors worked from a 23-metre-high platform. Using lifting swings and a special net, the two-metre-wide nest was moved by crane to a healthy hoop pine further down the road.</w:t>
      </w:r>
    </w:p>
    <w:p w14:paraId="5B5F072F" w14:textId="06CE8DDE" w:rsidR="00481460" w:rsidRDefault="00955F27" w:rsidP="00955F27">
      <w:r>
        <w:t>Great effort and care was demonstrated by all involved, resulting in a win-win for road safety and local wildlife with the osprey seen returning to their newly relocated nest. The dying hoop pine was safely cut down and removed as part of the operation.</w:t>
      </w:r>
    </w:p>
    <w:p w14:paraId="635BE939" w14:textId="77777777" w:rsidR="006800C7" w:rsidRDefault="006800C7" w:rsidP="006800C7">
      <w:pPr>
        <w:spacing w:before="0" w:after="160" w:line="259" w:lineRule="auto"/>
        <w:rPr>
          <w:rFonts w:eastAsiaTheme="majorEastAsia" w:cstheme="majorBidi"/>
          <w:b/>
          <w:color w:val="1F3864" w:themeColor="accent1" w:themeShade="80"/>
          <w:sz w:val="52"/>
          <w:szCs w:val="32"/>
        </w:rPr>
      </w:pPr>
      <w:r>
        <w:br w:type="page"/>
      </w:r>
    </w:p>
    <w:p w14:paraId="580F0A85" w14:textId="77777777" w:rsidR="006800C7" w:rsidRDefault="006800C7" w:rsidP="006800C7">
      <w:pPr>
        <w:pStyle w:val="Heading1"/>
      </w:pPr>
      <w:r>
        <w:lastRenderedPageBreak/>
        <w:t xml:space="preserve">Accessible to everyone </w:t>
      </w:r>
    </w:p>
    <w:p w14:paraId="54137B50" w14:textId="77777777" w:rsidR="006800C7" w:rsidRPr="006A25A8" w:rsidRDefault="006800C7" w:rsidP="006800C7">
      <w:pPr>
        <w:pStyle w:val="Heading2"/>
      </w:pPr>
      <w:r>
        <w:t xml:space="preserve">Highlights </w:t>
      </w:r>
    </w:p>
    <w:p w14:paraId="11061E09" w14:textId="3043FD48" w:rsidR="002A34F5" w:rsidRPr="002A34F5" w:rsidRDefault="002A34F5" w:rsidP="002A34F5">
      <w:pPr>
        <w:pStyle w:val="ListBullet"/>
      </w:pPr>
      <w:r w:rsidRPr="002A34F5">
        <w:t>TMR re-accredited as a ‘Certified Customer Service Organisation’ by the Customer Service Institute of Australia.</w:t>
      </w:r>
    </w:p>
    <w:p w14:paraId="32BAFFEF" w14:textId="4EF50682" w:rsidR="002A34F5" w:rsidRPr="002A34F5" w:rsidRDefault="002A34F5" w:rsidP="002A34F5">
      <w:pPr>
        <w:pStyle w:val="ListBullet"/>
      </w:pPr>
      <w:r w:rsidRPr="002A34F5">
        <w:t>Continued with Smart Ticketing project tests and trials, with 98.4 per cent positive or neutral customer feedback on the new devices installed on light and heavy rail.</w:t>
      </w:r>
    </w:p>
    <w:p w14:paraId="57BDF498" w14:textId="2C21C98E" w:rsidR="002A34F5" w:rsidRPr="002A34F5" w:rsidRDefault="002A34F5" w:rsidP="000B17E4">
      <w:pPr>
        <w:pStyle w:val="ListBullet"/>
      </w:pPr>
      <w:r w:rsidRPr="002A34F5">
        <w:t>Launched trials of on-demand transport on the Gold Coast which provides flexible, booked and shared transport</w:t>
      </w:r>
      <w:r w:rsidR="000B17E4">
        <w:t xml:space="preserve"> </w:t>
      </w:r>
      <w:r w:rsidRPr="002A34F5">
        <w:t>for people looking to travel around the same time within defined areas.</w:t>
      </w:r>
    </w:p>
    <w:p w14:paraId="2D5D5505" w14:textId="1B694FAC" w:rsidR="002A34F5" w:rsidRPr="002A34F5" w:rsidRDefault="002A34F5" w:rsidP="002A34F5">
      <w:pPr>
        <w:pStyle w:val="ListBullet"/>
      </w:pPr>
      <w:r w:rsidRPr="002A34F5">
        <w:t>Continued the School Transport Assistance Scheme working with 479 delivery partners, providing more than 1472 school routes using approximately 1838 buses.</w:t>
      </w:r>
    </w:p>
    <w:p w14:paraId="70936692" w14:textId="662BF3A1" w:rsidR="002A34F5" w:rsidRPr="002A34F5" w:rsidRDefault="002A34F5" w:rsidP="002A34F5">
      <w:pPr>
        <w:pStyle w:val="ListBullet"/>
      </w:pPr>
      <w:r w:rsidRPr="002A34F5">
        <w:t xml:space="preserve">Continued to implement actions contained in the </w:t>
      </w:r>
      <w:r w:rsidRPr="002A34F5">
        <w:rPr>
          <w:rStyle w:val="Emphasis"/>
        </w:rPr>
        <w:t>Disability Action Plan 2018–2022</w:t>
      </w:r>
      <w:r w:rsidRPr="002A34F5">
        <w:t xml:space="preserve"> to improve accessibility of the passenger transport network.</w:t>
      </w:r>
    </w:p>
    <w:p w14:paraId="61D2F35C" w14:textId="67ABE430" w:rsidR="002A34F5" w:rsidRPr="002A34F5" w:rsidRDefault="002A34F5" w:rsidP="002A34F5">
      <w:pPr>
        <w:pStyle w:val="ListBullet"/>
      </w:pPr>
      <w:r w:rsidRPr="002A34F5">
        <w:t>Progressed the development of a digital licence for Queenslanders, with the pilot to expand to Townsville in late-2022 followed by a state-wide rollout in 2023.</w:t>
      </w:r>
    </w:p>
    <w:p w14:paraId="74CF083B" w14:textId="588447D6" w:rsidR="002A34F5" w:rsidRPr="002A34F5" w:rsidRDefault="002A34F5" w:rsidP="002A34F5">
      <w:pPr>
        <w:pStyle w:val="ListBullet"/>
      </w:pPr>
      <w:r w:rsidRPr="002A34F5">
        <w:t xml:space="preserve">Continued delivery </w:t>
      </w:r>
      <w:r w:rsidRPr="000B17E4">
        <w:rPr>
          <w:rStyle w:val="Emphasis"/>
        </w:rPr>
        <w:t>of Queensland Freight Action Plan 2020–2022</w:t>
      </w:r>
      <w:r w:rsidRPr="002A34F5">
        <w:t xml:space="preserve"> that includes over $600 million</w:t>
      </w:r>
    </w:p>
    <w:p w14:paraId="457BAA48" w14:textId="77777777" w:rsidR="002A34F5" w:rsidRPr="002A34F5" w:rsidRDefault="002A34F5" w:rsidP="002A34F5">
      <w:pPr>
        <w:pStyle w:val="ListBullet"/>
      </w:pPr>
      <w:r w:rsidRPr="002A34F5">
        <w:t>in infrastructure.</w:t>
      </w:r>
    </w:p>
    <w:p w14:paraId="344066E5" w14:textId="4A0CDC3A" w:rsidR="002A34F5" w:rsidRPr="002A34F5" w:rsidRDefault="002A34F5" w:rsidP="002A34F5">
      <w:pPr>
        <w:pStyle w:val="ListBullet"/>
      </w:pPr>
      <w:r w:rsidRPr="002A34F5">
        <w:t>Installed Intelligent Transport Systems technologies at heavy vehicle rest areas as part of the Bruce Highway heavy vehicle rest area trial, with positive feedback from users.</w:t>
      </w:r>
    </w:p>
    <w:p w14:paraId="25B837C2" w14:textId="6BB0128E" w:rsidR="002A34F5" w:rsidRPr="002A34F5" w:rsidRDefault="002A34F5" w:rsidP="002A34F5">
      <w:pPr>
        <w:pStyle w:val="ListBullet"/>
      </w:pPr>
      <w:r w:rsidRPr="002A34F5">
        <w:t>Continued to modernise Queensland’s fleet of wheelchair accessible taxis as part of the $21 million Wheelchair Accessible Taxi Grant Scheme.</w:t>
      </w:r>
    </w:p>
    <w:p w14:paraId="57DF3403" w14:textId="564A475F" w:rsidR="002A34F5" w:rsidRPr="002A34F5" w:rsidRDefault="002A34F5" w:rsidP="009B35ED">
      <w:pPr>
        <w:pStyle w:val="ListBullet"/>
      </w:pPr>
      <w:r w:rsidRPr="002A34F5">
        <w:t xml:space="preserve"> Shortlisted applicants for the supply of trains and construction of the facilities, to deliver 65 six-car passenger trains as part of the $7.1 billion investment in the Queensland Train Manufacturing Program.</w:t>
      </w:r>
    </w:p>
    <w:p w14:paraId="28DB4550" w14:textId="08A46EDD" w:rsidR="002A34F5" w:rsidRPr="002A34F5" w:rsidRDefault="002A34F5" w:rsidP="002A34F5">
      <w:pPr>
        <w:pStyle w:val="ListBullet"/>
      </w:pPr>
      <w:r w:rsidRPr="002A34F5">
        <w:t xml:space="preserve">Released an </w:t>
      </w:r>
      <w:r w:rsidRPr="000B17E4">
        <w:rPr>
          <w:rStyle w:val="Emphasis"/>
        </w:rPr>
        <w:t>Environmental Sustainability Policy</w:t>
      </w:r>
      <w:r w:rsidRPr="002A34F5">
        <w:t>, encouraging innovative solutions to minimise the environmental footprint and embed environmental sustainability in TMR’s work.</w:t>
      </w:r>
    </w:p>
    <w:p w14:paraId="0F703001" w14:textId="3DD18745" w:rsidR="002A34F5" w:rsidRPr="002A34F5" w:rsidRDefault="002A34F5" w:rsidP="000B17E4">
      <w:pPr>
        <w:pStyle w:val="ListBullet"/>
      </w:pPr>
      <w:r w:rsidRPr="002A34F5">
        <w:t>Approved bus operators for more battery electric buses to be rolled out across the Translink network, as part of</w:t>
      </w:r>
      <w:r w:rsidR="000B17E4">
        <w:t xml:space="preserve"> </w:t>
      </w:r>
      <w:r w:rsidRPr="002A34F5">
        <w:t>TMR’s commitment that all new urban buses in South East Queensland will be zero emission from 2025.</w:t>
      </w:r>
    </w:p>
    <w:p w14:paraId="5DEE5779" w14:textId="0363B4B6" w:rsidR="002A34F5" w:rsidRPr="002A34F5" w:rsidRDefault="002A34F5" w:rsidP="002A34F5">
      <w:pPr>
        <w:pStyle w:val="ListBullet"/>
      </w:pPr>
      <w:r w:rsidRPr="002A34F5">
        <w:t xml:space="preserve">Concluded the </w:t>
      </w:r>
      <w:r w:rsidRPr="00981367">
        <w:rPr>
          <w:rStyle w:val="Emphasis"/>
        </w:rPr>
        <w:t>Safer Roads, Safer Queensland: Queensland’s Road Safety Strategy</w:t>
      </w:r>
      <w:r w:rsidRPr="002A34F5">
        <w:t xml:space="preserve"> 2015–21, which delivered more than 130 initiatives including significant behaviour change initiatives and over $1.22 billion invested into safety infrastructure.</w:t>
      </w:r>
    </w:p>
    <w:p w14:paraId="1B9EB73E" w14:textId="76757CCA" w:rsidR="002A34F5" w:rsidRPr="002A34F5" w:rsidRDefault="002A34F5" w:rsidP="002A34F5">
      <w:pPr>
        <w:pStyle w:val="ListBullet"/>
      </w:pPr>
      <w:r w:rsidRPr="002A34F5">
        <w:t>Made school children safer with flashing school zone signs installed at 1190 school zones since 2012, and an additional 100 school zones scheduled to have signs installed during 2022–23.</w:t>
      </w:r>
    </w:p>
    <w:p w14:paraId="32E889C9" w14:textId="250CA578" w:rsidR="002A34F5" w:rsidRPr="002A34F5" w:rsidRDefault="002A34F5" w:rsidP="002A34F5">
      <w:pPr>
        <w:pStyle w:val="ListBullet"/>
      </w:pPr>
      <w:r w:rsidRPr="002A34F5">
        <w:t>Delivered StreetSmarts road safety campaigns and activities during 2021–22 to improve road safety in Queensland, including the successful ‘All good. All bad’ campaign providing critical drink driving reminders throughout summer.</w:t>
      </w:r>
    </w:p>
    <w:p w14:paraId="6FA02076" w14:textId="10264814" w:rsidR="002A34F5" w:rsidRPr="002A34F5" w:rsidRDefault="002A34F5" w:rsidP="002A34F5">
      <w:pPr>
        <w:pStyle w:val="ListBullet"/>
      </w:pPr>
      <w:r w:rsidRPr="002A34F5">
        <w:t>The Maritime Enforcement Team completed 3200 vessel intercepts in 2021–22, enhancing direct engagement with the boating community and keeping Queensland waterways safe.</w:t>
      </w:r>
    </w:p>
    <w:p w14:paraId="0CD75FD5" w14:textId="77777777" w:rsidR="006800C7" w:rsidRDefault="006800C7" w:rsidP="006800C7">
      <w:pPr>
        <w:pStyle w:val="Heading2"/>
      </w:pPr>
      <w:r w:rsidRPr="00541321">
        <w:t>Shaping</w:t>
      </w:r>
      <w:r>
        <w:t xml:space="preserve"> </w:t>
      </w:r>
      <w:r w:rsidRPr="00541321">
        <w:t>our</w:t>
      </w:r>
      <w:r>
        <w:t xml:space="preserve"> </w:t>
      </w:r>
      <w:r w:rsidRPr="00541321">
        <w:t>products</w:t>
      </w:r>
      <w:r>
        <w:t xml:space="preserve"> </w:t>
      </w:r>
      <w:r w:rsidRPr="00541321">
        <w:t>and</w:t>
      </w:r>
      <w:r>
        <w:t xml:space="preserve"> </w:t>
      </w:r>
      <w:r w:rsidRPr="00541321">
        <w:t>services</w:t>
      </w:r>
      <w:r>
        <w:t xml:space="preserve"> </w:t>
      </w:r>
      <w:r w:rsidRPr="00541321">
        <w:t>with</w:t>
      </w:r>
      <w:r>
        <w:t xml:space="preserve"> </w:t>
      </w:r>
      <w:r w:rsidRPr="00541321">
        <w:t>a</w:t>
      </w:r>
      <w:r>
        <w:t xml:space="preserve"> </w:t>
      </w:r>
      <w:r w:rsidRPr="00541321">
        <w:t>customer</w:t>
      </w:r>
      <w:r>
        <w:t xml:space="preserve"> </w:t>
      </w:r>
      <w:r w:rsidRPr="00541321">
        <w:t>focus</w:t>
      </w:r>
    </w:p>
    <w:p w14:paraId="3D842899" w14:textId="77777777" w:rsidR="006800C7" w:rsidRDefault="006800C7" w:rsidP="006800C7">
      <w:pPr>
        <w:pStyle w:val="Heading4"/>
      </w:pPr>
      <w:r>
        <w:t xml:space="preserve">Certified Customer Service Organisation </w:t>
      </w:r>
    </w:p>
    <w:p w14:paraId="093865B2" w14:textId="77777777" w:rsidR="00252270" w:rsidRDefault="00252270" w:rsidP="00252270">
      <w:r>
        <w:t xml:space="preserve">TMR was reaccredited as a ‘Certified Customer Service Organisation’ against the </w:t>
      </w:r>
      <w:r w:rsidRPr="00252270">
        <w:rPr>
          <w:rStyle w:val="Emphasis"/>
        </w:rPr>
        <w:t>Customer Service Institute of Australia’s</w:t>
      </w:r>
      <w:r>
        <w:t xml:space="preserve"> (CSIA) </w:t>
      </w:r>
      <w:r w:rsidRPr="00252270">
        <w:rPr>
          <w:rStyle w:val="Emphasis"/>
        </w:rPr>
        <w:t>International Customer Service Standard 2020–2025</w:t>
      </w:r>
      <w:r>
        <w:t xml:space="preserve"> (ICSS) in March 2022.</w:t>
      </w:r>
    </w:p>
    <w:p w14:paraId="53A21722" w14:textId="77777777" w:rsidR="00252270" w:rsidRDefault="00252270" w:rsidP="00252270"/>
    <w:p w14:paraId="1A98AD65" w14:textId="3598FB2A" w:rsidR="00252270" w:rsidRDefault="00252270" w:rsidP="00252270">
      <w:r>
        <w:t>ICSS accreditation confirms that TMR’s systems and processes are aligned, and that they support a ‘Customers First’ culture, and excellence in customer service and experience.</w:t>
      </w:r>
    </w:p>
    <w:p w14:paraId="115CD25F" w14:textId="0C213EBB" w:rsidR="00DA205F" w:rsidRDefault="00252270" w:rsidP="00252270">
      <w:r>
        <w:t>In TMR’s March 2022 ICSS assessment, the CSIA noted that TMR’s accreditation results are among the best achieved by any organisation assessed against the ICSS.</w:t>
      </w:r>
    </w:p>
    <w:p w14:paraId="188A2F21" w14:textId="77777777" w:rsidR="006800C7" w:rsidRDefault="006800C7" w:rsidP="006800C7">
      <w:pPr>
        <w:pStyle w:val="Heading4"/>
      </w:pPr>
      <w:r>
        <w:t>Connecting with Queenslanders through Transport Talk</w:t>
      </w:r>
    </w:p>
    <w:p w14:paraId="3BC37B84" w14:textId="77777777" w:rsidR="003D606D" w:rsidRDefault="003D606D" w:rsidP="003D606D">
      <w:r>
        <w:t>Transport Talk is TMR’s online customer community that enables customers to share their thoughts, ideas and insights on transport-related topics that help shape the direction of Queensland’s transport future.</w:t>
      </w:r>
    </w:p>
    <w:p w14:paraId="4FA6BF65" w14:textId="77777777" w:rsidR="003D606D" w:rsidRDefault="003D606D" w:rsidP="003D606D">
      <w:r>
        <w:t>In 2021–22, more than 6300 Transport Talk members from across Queensland, have engaged in over 18,300 interactions and shared their views on a range of transport related issues including:</w:t>
      </w:r>
    </w:p>
    <w:p w14:paraId="4B095C75" w14:textId="34D76904" w:rsidR="003D606D" w:rsidRDefault="003D606D" w:rsidP="003D606D">
      <w:pPr>
        <w:pStyle w:val="ListBullet"/>
      </w:pPr>
      <w:r>
        <w:t>accessibility and inclusion on the transport network</w:t>
      </w:r>
    </w:p>
    <w:p w14:paraId="412CDB61" w14:textId="4B59FF6B" w:rsidR="003D606D" w:rsidRDefault="003D606D" w:rsidP="003D606D">
      <w:pPr>
        <w:pStyle w:val="ListBullet"/>
      </w:pPr>
      <w:r>
        <w:t>customer experiences when interacting with TMR via digital channels</w:t>
      </w:r>
    </w:p>
    <w:p w14:paraId="70E90123" w14:textId="18B9F8D4" w:rsidR="003D606D" w:rsidRDefault="003D606D" w:rsidP="003D606D">
      <w:pPr>
        <w:pStyle w:val="ListBullet"/>
      </w:pPr>
      <w:r>
        <w:t>customer satisfaction with on-demand transport services</w:t>
      </w:r>
    </w:p>
    <w:p w14:paraId="35DD80F2" w14:textId="53F92F03" w:rsidR="003D606D" w:rsidRDefault="003D606D" w:rsidP="003D606D">
      <w:pPr>
        <w:pStyle w:val="ListBullet"/>
      </w:pPr>
      <w:r>
        <w:t>customer perceptions of electric vehicles</w:t>
      </w:r>
    </w:p>
    <w:p w14:paraId="0DA886AE" w14:textId="5FBCFE19" w:rsidR="003D606D" w:rsidRDefault="003D606D" w:rsidP="003D606D">
      <w:pPr>
        <w:pStyle w:val="ListBullet"/>
      </w:pPr>
      <w:r>
        <w:t>investment priorities for the Bruce Highway.</w:t>
      </w:r>
    </w:p>
    <w:p w14:paraId="3784C799" w14:textId="56F78015" w:rsidR="003D606D" w:rsidRPr="0040517B" w:rsidRDefault="003D606D" w:rsidP="003D606D">
      <w:r>
        <w:t>The Transport Talk community continues to help TMR to understand and respond to customer needs and expectations, now and well into the future.</w:t>
      </w:r>
    </w:p>
    <w:p w14:paraId="053764DF" w14:textId="77777777" w:rsidR="006800C7" w:rsidRPr="0040517B" w:rsidRDefault="006800C7" w:rsidP="006800C7">
      <w:pPr>
        <w:pStyle w:val="MoreInformation"/>
      </w:pPr>
      <w:r>
        <w:t>For more information</w:t>
      </w:r>
      <w:r>
        <w:br/>
      </w:r>
      <w:hyperlink r:id="rId93" w:history="1">
        <w:r w:rsidRPr="00A523CA">
          <w:rPr>
            <w:rStyle w:val="Hyperlink"/>
          </w:rPr>
          <w:t>www.tmr.qld.gov.au/transportTalk</w:t>
        </w:r>
      </w:hyperlink>
    </w:p>
    <w:p w14:paraId="39257470" w14:textId="77777777" w:rsidR="006800C7" w:rsidRPr="00A61891" w:rsidRDefault="006800C7" w:rsidP="006800C7">
      <w:pPr>
        <w:pStyle w:val="Heading4"/>
      </w:pPr>
      <w:r>
        <w:t>QLD</w:t>
      </w:r>
      <w:r w:rsidRPr="00DC5C2E">
        <w:rPr>
          <w:rStyle w:val="Emphasis"/>
        </w:rPr>
        <w:t>Traffic</w:t>
      </w:r>
      <w:r>
        <w:t xml:space="preserve"> evolves to meet customer needs</w:t>
      </w:r>
    </w:p>
    <w:p w14:paraId="2E210102" w14:textId="17D9D356" w:rsidR="004F0BDC" w:rsidRDefault="004F0BDC" w:rsidP="004F0BDC">
      <w:r>
        <w:t>Further improvements to the QLD</w:t>
      </w:r>
      <w:r w:rsidRPr="004F0BDC">
        <w:rPr>
          <w:rStyle w:val="Emphasis"/>
        </w:rPr>
        <w:t xml:space="preserve">Traffic </w:t>
      </w:r>
      <w:r>
        <w:t>suite of services were undertaken during 2021–22 to provide travellers in Queensland with up-to-date traffic and road condition information, allowing informed journey decisions.</w:t>
      </w:r>
    </w:p>
    <w:p w14:paraId="43306871" w14:textId="77777777" w:rsidR="004F0BDC" w:rsidRDefault="004F0BDC" w:rsidP="004F0BDC">
      <w:r>
        <w:t>QLD</w:t>
      </w:r>
      <w:r w:rsidRPr="005E5253">
        <w:rPr>
          <w:rStyle w:val="Emphasis"/>
        </w:rPr>
        <w:t>Traffic</w:t>
      </w:r>
      <w:r>
        <w:t>’s suite of services include:</w:t>
      </w:r>
    </w:p>
    <w:p w14:paraId="3323922A" w14:textId="09C25F07" w:rsidR="004F0BDC" w:rsidRDefault="004F0BDC" w:rsidP="004F0BDC">
      <w:pPr>
        <w:pStyle w:val="ListBullet"/>
      </w:pPr>
      <w:r>
        <w:t>QLD</w:t>
      </w:r>
      <w:r w:rsidRPr="005E5253">
        <w:rPr>
          <w:rStyle w:val="Emphasis"/>
        </w:rPr>
        <w:t>Traffic</w:t>
      </w:r>
      <w:r>
        <w:t xml:space="preserve"> website</w:t>
      </w:r>
    </w:p>
    <w:p w14:paraId="76AB2A4C" w14:textId="06798F67" w:rsidR="004F0BDC" w:rsidRDefault="004F0BDC" w:rsidP="004F0BDC">
      <w:pPr>
        <w:pStyle w:val="ListBullet"/>
      </w:pPr>
      <w:r>
        <w:t>iPhone and Android smartphone applications</w:t>
      </w:r>
    </w:p>
    <w:p w14:paraId="1F82AC08" w14:textId="27524588" w:rsidR="004F0BDC" w:rsidRDefault="004F0BDC" w:rsidP="004F0BDC">
      <w:pPr>
        <w:pStyle w:val="ListBullet"/>
      </w:pPr>
      <w:r>
        <w:t>13 19 40 phone service</w:t>
      </w:r>
    </w:p>
    <w:p w14:paraId="730E83A6" w14:textId="7C7E8396" w:rsidR="004F0BDC" w:rsidRDefault="004F0BDC" w:rsidP="004F0BDC">
      <w:pPr>
        <w:pStyle w:val="ListBullet"/>
      </w:pPr>
      <w:r>
        <w:t>open data feeds.</w:t>
      </w:r>
    </w:p>
    <w:p w14:paraId="0EDD61DB" w14:textId="77777777" w:rsidR="004F0BDC" w:rsidRDefault="004F0BDC" w:rsidP="004F0BDC">
      <w:r>
        <w:t>Key improvements delivered during 2021–22 included:</w:t>
      </w:r>
    </w:p>
    <w:p w14:paraId="5DFFCD6C" w14:textId="1B3D3D74" w:rsidR="004F0BDC" w:rsidRDefault="004F0BDC" w:rsidP="005E5253">
      <w:pPr>
        <w:pStyle w:val="ListBullet"/>
      </w:pPr>
      <w:r>
        <w:t>publishing images associated with events, flooded roads, and congestion</w:t>
      </w:r>
    </w:p>
    <w:p w14:paraId="39789149" w14:textId="0A844B99" w:rsidR="004F0BDC" w:rsidRDefault="004F0BDC" w:rsidP="005E5253">
      <w:pPr>
        <w:pStyle w:val="ListBullet"/>
      </w:pPr>
      <w:r>
        <w:t>a trial to expand traffic camera functionality to include publicly available flood cameras onto the QLDTraffic website</w:t>
      </w:r>
    </w:p>
    <w:p w14:paraId="616A6A52" w14:textId="22249CA2" w:rsidR="004F0BDC" w:rsidRDefault="004F0BDC" w:rsidP="005E5253">
      <w:pPr>
        <w:pStyle w:val="ListBullet"/>
      </w:pPr>
      <w:r>
        <w:t>road lookup functionality to show road ownership.</w:t>
      </w:r>
    </w:p>
    <w:p w14:paraId="4A7DAC99" w14:textId="77777777" w:rsidR="004F0BDC" w:rsidRDefault="004F0BDC" w:rsidP="004F0BDC"/>
    <w:p w14:paraId="52533722" w14:textId="77777777" w:rsidR="004F0BDC" w:rsidRDefault="004F0BDC" w:rsidP="004F0BDC">
      <w:r>
        <w:lastRenderedPageBreak/>
        <w:t>The services continued to see significant use throughout 2021–22. Increases during wet weather events show the QLDTraffic application downloaded over 100,000 times, the QLDTraffic website accessed nearly four million times, and more than 135,000 phones calls received by the 13 19 40 phone service.</w:t>
      </w:r>
    </w:p>
    <w:p w14:paraId="7C09FE69" w14:textId="3F5EC04F" w:rsidR="0099656D" w:rsidRPr="00555908" w:rsidRDefault="004F0BDC" w:rsidP="006800C7">
      <w:r>
        <w:t>The QLDTraffic service has published more than 32,900 tweets. The engagement garnered through QLDTraffic twitter is consistently high, indicating that this is a valuable service for many Queenslanders.</w:t>
      </w:r>
    </w:p>
    <w:p w14:paraId="020F8C09" w14:textId="7202FFCF" w:rsidR="006800C7" w:rsidRDefault="006800C7" w:rsidP="006800C7">
      <w:pPr>
        <w:pStyle w:val="Heading4"/>
      </w:pPr>
      <w:r w:rsidRPr="00541321">
        <w:t>School</w:t>
      </w:r>
      <w:r>
        <w:t xml:space="preserve"> </w:t>
      </w:r>
      <w:r w:rsidRPr="00541321">
        <w:t>Bus</w:t>
      </w:r>
      <w:r>
        <w:t xml:space="preserve"> </w:t>
      </w:r>
      <w:r w:rsidRPr="00541321">
        <w:t>Upgrade</w:t>
      </w:r>
      <w:r>
        <w:t xml:space="preserve"> </w:t>
      </w:r>
      <w:r w:rsidR="006B2BF1">
        <w:t>Scheme</w:t>
      </w:r>
    </w:p>
    <w:p w14:paraId="2D4B5237" w14:textId="0B2A07BB" w:rsidR="009213EB" w:rsidRDefault="009213EB" w:rsidP="009213EB">
      <w:r>
        <w:t>In 2021–22, TMR contributed $11.58 million to the purchase of 32 school buses and two seatbelt upgrades through the School Bus Upgrade Scheme (SchoolBUS).</w:t>
      </w:r>
    </w:p>
    <w:p w14:paraId="74D3D070" w14:textId="3D9DE352" w:rsidR="006B2BF1" w:rsidRDefault="009213EB" w:rsidP="009213EB">
      <w:r>
        <w:t>SchoolBUS provided capital funding to assist contracted school bus operators to replace their fleet with buses that meet the latest safety standards. This ensured increased safety for Queensland students travelling to and from school on contracted services.</w:t>
      </w:r>
    </w:p>
    <w:p w14:paraId="3AA76172" w14:textId="1ACFF9F2" w:rsidR="00546C25" w:rsidRPr="00546C25" w:rsidRDefault="006800C7" w:rsidP="006800C7">
      <w:pPr>
        <w:pStyle w:val="MoreInformation"/>
        <w:rPr>
          <w:color w:val="404040" w:themeColor="text1" w:themeTint="BF"/>
          <w:u w:val="single"/>
        </w:rPr>
      </w:pPr>
      <w:r>
        <w:t>For more information</w:t>
      </w:r>
      <w:r>
        <w:br/>
      </w:r>
      <w:hyperlink r:id="rId94" w:history="1">
        <w:r w:rsidR="00546C25" w:rsidRPr="00546C25">
          <w:rPr>
            <w:rStyle w:val="Hyperlink"/>
          </w:rPr>
          <w:t>https://www.tmr.qld.gov.au/Travel-and-transport/School-transport/Assistance-schemes/School-Bus-Upgrade-Scheme.aspx</w:t>
        </w:r>
      </w:hyperlink>
    </w:p>
    <w:p w14:paraId="2575F6C3" w14:textId="77777777" w:rsidR="006800C7" w:rsidRDefault="006800C7" w:rsidP="006800C7">
      <w:pPr>
        <w:pStyle w:val="Heading4"/>
      </w:pPr>
      <w:r w:rsidRPr="00952FDA">
        <w:t>Taxi</w:t>
      </w:r>
      <w:r>
        <w:t xml:space="preserve"> </w:t>
      </w:r>
      <w:r w:rsidRPr="00952FDA">
        <w:t>Subsidy</w:t>
      </w:r>
      <w:r>
        <w:t xml:space="preserve"> </w:t>
      </w:r>
      <w:r w:rsidRPr="00952FDA">
        <w:t>Scheme</w:t>
      </w:r>
    </w:p>
    <w:p w14:paraId="5DCBFC3B" w14:textId="76E16A28" w:rsidR="00894071" w:rsidRDefault="00894071" w:rsidP="00894071">
      <w:r>
        <w:t>The Taxi Subsidy Scheme (TSS) is an initiative designed to provide an affordable and accessible transport option for people with severe disability, and includes a subsidy paid by the Queensland Government of half the total taxi fare, up to a maximum of $25 per trip, and access to subsidised taxi travel in other Australian states and territories.</w:t>
      </w:r>
    </w:p>
    <w:p w14:paraId="75984403" w14:textId="77777777" w:rsidR="00894071" w:rsidRDefault="00894071" w:rsidP="00894071">
      <w:r>
        <w:t>In 2021–22, the scheme assisted 52,179 Queenslanders to access more affordable taxi travel. During 2021–22, 1,492,150 subsidised taxi trips were taken by TSS members, with subsidies of more than $12.90 million (ex GST) paid. As at 30 June 2022, TMR paid an average subsidy of $8.64 (ex GST) per trip.</w:t>
      </w:r>
    </w:p>
    <w:p w14:paraId="586D8605" w14:textId="6D762C76" w:rsidR="00894071" w:rsidRDefault="00894071" w:rsidP="00894071">
      <w:r>
        <w:t>The Queensland Government also allocated $7.3 million to the lift payments incentive for drivers of Wheelchair Accessible Taxis (WAT) to prioritise services to members identified as requiring a wheelchair to travel. This lift payment incentive is paid in addition to the TSS payment. 386,729 trips attracted the lift payment incentive to WAT drivers.</w:t>
      </w:r>
    </w:p>
    <w:p w14:paraId="23E6484A" w14:textId="77777777" w:rsidR="006800C7" w:rsidRDefault="006800C7" w:rsidP="006800C7">
      <w:pPr>
        <w:pStyle w:val="MoreInformation"/>
      </w:pPr>
      <w:r>
        <w:t>For more information</w:t>
      </w:r>
      <w:r>
        <w:br/>
      </w:r>
      <w:hyperlink r:id="rId95" w:history="1">
        <w:r w:rsidRPr="00A75EDD">
          <w:rPr>
            <w:rStyle w:val="Hyperlink"/>
          </w:rPr>
          <w:t>https://www.qld.gov.au/disability/out-and-about/subsidies-concessions-passes/taxi-subsidy</w:t>
        </w:r>
      </w:hyperlink>
    </w:p>
    <w:p w14:paraId="5470156D" w14:textId="77777777" w:rsidR="006800C7" w:rsidRPr="00CC4C1F" w:rsidRDefault="006800C7" w:rsidP="006800C7">
      <w:pPr>
        <w:pStyle w:val="Heading4"/>
      </w:pPr>
      <w:r w:rsidRPr="00CC4C1F">
        <w:t>Smart Ticketing</w:t>
      </w:r>
    </w:p>
    <w:p w14:paraId="4BCA3281" w14:textId="64573C40" w:rsidR="00CD06A9" w:rsidRDefault="00CD06A9" w:rsidP="00CD06A9">
      <w:r>
        <w:t>Smart Ticketing project tests and trials continued to be progressed during 2021–22. The project is responding to customer needs, by providing more choice in how TMR’s customers plan and pay for their public transport journeys. In addition to go card and cash, customers will be able to pay using their contactless Visa, Mastercard and American Express debit and credit cards, smartphone, smart watch or smart device.</w:t>
      </w:r>
    </w:p>
    <w:p w14:paraId="525ACE71" w14:textId="77777777" w:rsidR="00CD06A9" w:rsidRDefault="00CD06A9" w:rsidP="00CD06A9">
      <w:r>
        <w:t>Customers will also have access to more reliable travel information via an integrated ticketing and journey planning app. Customer insights are actively being used to inform the project with a focus on being accessible and inclusive.</w:t>
      </w:r>
    </w:p>
    <w:p w14:paraId="00AEAFD4" w14:textId="77777777" w:rsidR="00CD06A9" w:rsidRDefault="00CD06A9" w:rsidP="00CD06A9"/>
    <w:p w14:paraId="489C0546" w14:textId="77777777" w:rsidR="00CD06A9" w:rsidRDefault="00CD06A9" w:rsidP="00CD06A9">
      <w:r>
        <w:lastRenderedPageBreak/>
        <w:t>With one of the fastest and highest uptakes of open loop contactless payment systems globally, Smart Ticketing project achievements in 2021–22 included:</w:t>
      </w:r>
    </w:p>
    <w:p w14:paraId="24831D2F" w14:textId="67019EE8" w:rsidR="00CD06A9" w:rsidRPr="0033505B" w:rsidRDefault="00CD06A9" w:rsidP="0033505B">
      <w:pPr>
        <w:pStyle w:val="ListBullet"/>
      </w:pPr>
      <w:r w:rsidRPr="0033505B">
        <w:t>more than 1.16 million Smart Ticketing trips on the Gold Coast Light Rail (G:link) made by customers using Visa, Mastercard and American Express contactless payment methods since new ways to pay were launched in December 2020</w:t>
      </w:r>
    </w:p>
    <w:p w14:paraId="55034F57" w14:textId="28737472" w:rsidR="00CD06A9" w:rsidRPr="0033505B" w:rsidRDefault="00CD06A9" w:rsidP="0033505B">
      <w:pPr>
        <w:pStyle w:val="ListBullet"/>
      </w:pPr>
      <w:r w:rsidRPr="0033505B">
        <w:t>nearly 23,000 Smart Ticketing trips made by customers on the first heavy rail trial of Smart Ticketing on the Ferny Grove train line since it launched in early-June 2022</w:t>
      </w:r>
    </w:p>
    <w:p w14:paraId="7B07B071" w14:textId="6FD78C02" w:rsidR="00CD06A9" w:rsidRPr="0033505B" w:rsidRDefault="00CD06A9" w:rsidP="0033505B">
      <w:pPr>
        <w:pStyle w:val="ListBullet"/>
      </w:pPr>
      <w:r w:rsidRPr="0033505B">
        <w:t>positive customer feedback from 98.4 per cent of the 21,500 customers surveyed on their experience of using Smart Ticketing on the Ferny Grove train line trial</w:t>
      </w:r>
    </w:p>
    <w:p w14:paraId="52FF8FD3" w14:textId="4F1F819F" w:rsidR="000266C6" w:rsidRPr="0033505B" w:rsidRDefault="00CD06A9" w:rsidP="0033505B">
      <w:pPr>
        <w:pStyle w:val="ListBullet"/>
      </w:pPr>
      <w:r w:rsidRPr="0033505B">
        <w:t>successful installation of more than 230 Smart Ticketing gates across our 19 gated stations in South East Queensland continues in preparation for the first heavy rail trial of Smart Ticketing payment methods on the Ferny Grove line.</w:t>
      </w:r>
    </w:p>
    <w:p w14:paraId="68AFE1A3" w14:textId="77777777" w:rsidR="006800C7" w:rsidRDefault="006800C7" w:rsidP="006800C7">
      <w:pPr>
        <w:pStyle w:val="MoreInformation"/>
      </w:pPr>
      <w:r>
        <w:t>For more information</w:t>
      </w:r>
      <w:r>
        <w:br/>
      </w:r>
      <w:hyperlink r:id="rId96" w:history="1">
        <w:r w:rsidRPr="00E23009">
          <w:rPr>
            <w:rStyle w:val="Hyperlink"/>
          </w:rPr>
          <w:t>https://translink.com.au/about-translink/projects-and-initiatives/smartticketing</w:t>
        </w:r>
      </w:hyperlink>
      <w:r>
        <w:t xml:space="preserve"> </w:t>
      </w:r>
    </w:p>
    <w:p w14:paraId="3B843903" w14:textId="77777777" w:rsidR="0033505B" w:rsidRPr="00E46578" w:rsidRDefault="0033505B" w:rsidP="0033505B">
      <w:pPr>
        <w:pStyle w:val="Heading3"/>
      </w:pPr>
      <w:r>
        <w:t>Case Study</w:t>
      </w:r>
    </w:p>
    <w:p w14:paraId="5A8BF6B0" w14:textId="514BE796" w:rsidR="0033505B" w:rsidRPr="00DD7C5A" w:rsidRDefault="0033505B" w:rsidP="0033505B">
      <w:r>
        <w:rPr>
          <w:iCs/>
          <w:color w:val="auto"/>
          <w:sz w:val="26"/>
        </w:rPr>
        <w:t>Digital Service Design Office</w:t>
      </w:r>
    </w:p>
    <w:p w14:paraId="7CCD07F3" w14:textId="77777777" w:rsidR="00573238" w:rsidRDefault="00573238" w:rsidP="00573238">
      <w:r>
        <w:t>Service Design is a human-centered design approach that equally values customer experience and the business process. TMR has established a Digital Service Design Office (DSDO) to establish enterprise capabilities and provide a strong foundation for future digital service delivery.</w:t>
      </w:r>
    </w:p>
    <w:p w14:paraId="60B6FCF9" w14:textId="77777777" w:rsidR="00573238" w:rsidRDefault="00573238" w:rsidP="00573238">
      <w:r>
        <w:t>The DSDO offers business areas and projects strategic guidance, enterprise design resources, mentoring and delivery partnership to support digital service design capability uplift and maturity at TMR.</w:t>
      </w:r>
    </w:p>
    <w:p w14:paraId="6713B47F" w14:textId="77777777" w:rsidR="00573238" w:rsidRDefault="00573238" w:rsidP="00573238">
      <w:r>
        <w:t>Recent achievements include:</w:t>
      </w:r>
    </w:p>
    <w:p w14:paraId="7A005662" w14:textId="3644870F" w:rsidR="00573238" w:rsidRDefault="00573238" w:rsidP="00573238">
      <w:pPr>
        <w:pStyle w:val="ListBullet"/>
      </w:pPr>
      <w:r>
        <w:t>exploring the customer experience of application and approval for the Taxi Subsidy Scheme, which identified customer experience improvements and reduced waste administering the scheme</w:t>
      </w:r>
    </w:p>
    <w:p w14:paraId="79FEDD2B" w14:textId="18250F2E" w:rsidR="00573238" w:rsidRDefault="00573238" w:rsidP="00573238">
      <w:pPr>
        <w:pStyle w:val="ListBullet"/>
      </w:pPr>
      <w:r>
        <w:t>investigating customer pain points and potential future states for the Written Off Vehicle Scheme, as well as identifying key safety objectives and processes to resolve these</w:t>
      </w:r>
    </w:p>
    <w:p w14:paraId="4177A64B" w14:textId="5E946396" w:rsidR="00573238" w:rsidRDefault="00573238" w:rsidP="00573238">
      <w:pPr>
        <w:pStyle w:val="ListBullet"/>
      </w:pPr>
      <w:r>
        <w:t>identifying a range of improvements to make paying fines online simpler and more accessible for customers through user experience testing and prototyping alternative solutions with the Queensland Disability Network</w:t>
      </w:r>
    </w:p>
    <w:p w14:paraId="263365D6" w14:textId="65A8E363" w:rsidR="00573238" w:rsidRDefault="00573238" w:rsidP="00573238">
      <w:pPr>
        <w:pStyle w:val="ListBullet"/>
      </w:pPr>
      <w:r>
        <w:t>developing and releasing of the first version of TMR’s Digital Design Playbook, the first of the DSDO’s enterprise design resource suite that makes digital service design repeatable and scalable</w:t>
      </w:r>
    </w:p>
    <w:p w14:paraId="5DB8C7C4" w14:textId="73F73E5C" w:rsidR="0033505B" w:rsidRDefault="00573238" w:rsidP="00573238">
      <w:pPr>
        <w:pStyle w:val="ListBullet"/>
      </w:pPr>
      <w:r>
        <w:t>collaborating with other Queensland Government agencies and Australian jurisdictions to leverage the Digital Design Playbook to help deliver benefits to their customers.</w:t>
      </w:r>
    </w:p>
    <w:p w14:paraId="3E700C10" w14:textId="4A917F35" w:rsidR="006800C7" w:rsidRPr="009C2473" w:rsidRDefault="00841D0F" w:rsidP="006800C7">
      <w:pPr>
        <w:pStyle w:val="Heading4"/>
      </w:pPr>
      <w:r>
        <w:t xml:space="preserve">On demand transport </w:t>
      </w:r>
    </w:p>
    <w:p w14:paraId="2AEA0428" w14:textId="77777777" w:rsidR="00BB408F" w:rsidRDefault="00BB408F" w:rsidP="00BB408F">
      <w:r>
        <w:t>As the transport environment continues to evolve, TMR continues to look for new mobility options which can support the delivery of a single integrated transport system which is accessible to everyone.</w:t>
      </w:r>
    </w:p>
    <w:p w14:paraId="6EAE2C13" w14:textId="77777777" w:rsidR="00BB408F" w:rsidRDefault="00BB408F" w:rsidP="00BB408F">
      <w:r>
        <w:t>In March 2022, TMR launched trials of on demand transport on the Gold Coast at Nerang, Highland Park and Pacific Pines.</w:t>
      </w:r>
    </w:p>
    <w:p w14:paraId="2ADDC1ED" w14:textId="77777777" w:rsidR="00BB408F" w:rsidRDefault="00BB408F" w:rsidP="00BB408F"/>
    <w:p w14:paraId="0413C9F0" w14:textId="1ED0B155" w:rsidR="00BB408F" w:rsidRDefault="00BB408F" w:rsidP="00BB408F">
      <w:r>
        <w:t>On demand transport provides flexible, booked and shared transport for people who are looking to travel at around the same time within defined operating areas.</w:t>
      </w:r>
    </w:p>
    <w:p w14:paraId="0636B31D" w14:textId="77777777" w:rsidR="00BB408F" w:rsidRDefault="00BB408F" w:rsidP="00BB408F">
      <w:r>
        <w:t>The Gold Coast trial services operate flexibly to provide greater public transport coverage, increase access to services and effectively connect people to key destinations within their communities.</w:t>
      </w:r>
    </w:p>
    <w:p w14:paraId="3EC5CBA4" w14:textId="7B82187A" w:rsidR="00841D0F" w:rsidRDefault="00BB408F" w:rsidP="00BB408F">
      <w:r>
        <w:t>The trial of demand responsive transport in Logan continues with more than 175,000 passenger trips taken since its inception in 2017–18. The trial has been extended to 30 June 2023 while the new integrated Via technology platform for on demand transport is piloted on the Gold Coast and Hervey Bay. The technology platform will be considered for a number of on demand services, after successful trial completion.</w:t>
      </w:r>
    </w:p>
    <w:p w14:paraId="7D6D3432" w14:textId="718F2551" w:rsidR="00553151" w:rsidRDefault="006800C7" w:rsidP="006800C7">
      <w:pPr>
        <w:pStyle w:val="MoreInformation"/>
      </w:pPr>
      <w:r>
        <w:t xml:space="preserve">For more information </w:t>
      </w:r>
      <w:r>
        <w:br/>
      </w:r>
      <w:hyperlink r:id="rId97" w:history="1">
        <w:r w:rsidR="00553151" w:rsidRPr="00553151">
          <w:rPr>
            <w:rStyle w:val="Hyperlink"/>
          </w:rPr>
          <w:t>https://www.translink.com.au/travel-with-us/on-demand</w:t>
        </w:r>
      </w:hyperlink>
    </w:p>
    <w:p w14:paraId="6548BA52" w14:textId="0E5A037E" w:rsidR="006800C7" w:rsidRDefault="00553151" w:rsidP="006800C7">
      <w:pPr>
        <w:pStyle w:val="Heading4"/>
      </w:pPr>
      <w:r>
        <w:t xml:space="preserve">Concessional fares for disadvantaged community members </w:t>
      </w:r>
    </w:p>
    <w:p w14:paraId="4071223E" w14:textId="2DC8A922" w:rsidR="00E96BD1" w:rsidRDefault="00E96BD1" w:rsidP="00E96BD1">
      <w:r>
        <w:t>TMR continued to provide concessional fares on rail, ferry, bus, and light rail services to ensure mobility and access across Queensland for those in the community who are disadvantaged.</w:t>
      </w:r>
    </w:p>
    <w:p w14:paraId="123D2728" w14:textId="4F3B6BC8" w:rsidR="00BB408F" w:rsidRDefault="00E96BD1" w:rsidP="00E96BD1">
      <w:r>
        <w:t>In 2021–22, $283.10 million was provided in concessions and assistance to pensioners and seniors, veterans, students, people with a disability and their carers, job seekers, and asylum seekers to make public transport more affordable. Assistance ranges from public transport concessions, ticketing products, and subsidised transport schemes.</w:t>
      </w:r>
    </w:p>
    <w:p w14:paraId="4584C906" w14:textId="6ADB7277" w:rsidR="00E96BD1" w:rsidRDefault="00E96BD1" w:rsidP="00E96BD1">
      <w:pPr>
        <w:pStyle w:val="MoreInformation"/>
      </w:pPr>
      <w:r>
        <w:t xml:space="preserve">For more information </w:t>
      </w:r>
      <w:r>
        <w:br/>
      </w:r>
      <w:hyperlink r:id="rId98" w:history="1">
        <w:r w:rsidR="00CD38AC" w:rsidRPr="00CD38AC">
          <w:rPr>
            <w:rStyle w:val="Hyperlink"/>
          </w:rPr>
          <w:t>https://www.translink.com.au/tickets-and-fares/concessions</w:t>
        </w:r>
      </w:hyperlink>
    </w:p>
    <w:p w14:paraId="5CE84AEF" w14:textId="33591FE9" w:rsidR="006800C7" w:rsidRDefault="00CD38AC" w:rsidP="006800C7">
      <w:pPr>
        <w:pStyle w:val="Heading4"/>
      </w:pPr>
      <w:r>
        <w:t xml:space="preserve">School Transport Assistance Scheme </w:t>
      </w:r>
    </w:p>
    <w:p w14:paraId="56E59EB6" w14:textId="1E038E62" w:rsidR="006F232A" w:rsidRDefault="006F232A" w:rsidP="006F232A">
      <w:r>
        <w:t>The School Transport Assistance Scheme (STAS) helps eligible students travel to and from school on rail, bus, ferry, and tram services. In 2021–22, approximately $183 million of funding assisted about 130,000 recipients, making it one of the largest state government schemes.</w:t>
      </w:r>
    </w:p>
    <w:p w14:paraId="11B7DDE0" w14:textId="2EB6EF85" w:rsidR="006F232A" w:rsidRDefault="006F232A" w:rsidP="006F232A">
      <w:r>
        <w:t>The scheme can cover all or part of a student’s transport costs between home and school, with the focus of assisting those students who do not have a school in their local area, students living in isolated areas of the state, and for low-income families.</w:t>
      </w:r>
    </w:p>
    <w:p w14:paraId="7EA4EB3E" w14:textId="45F5A969" w:rsidR="00CD38AC" w:rsidRDefault="006F232A" w:rsidP="006F232A">
      <w:r>
        <w:t>The department works with 479 delivery partners, providing more than 1472 school routes using approximately 1838 buses. Throughout 2021–22, TMR worked to achieve a simpler, more customer focused STAS through targeted amendments including the reduction of red tape for service providers by removing the requirement for a signed copy of the Recipient Created Tax Invoice to be returned, and the introduction of special assistance for families impacted by natural disasters.</w:t>
      </w:r>
    </w:p>
    <w:p w14:paraId="146A4F42" w14:textId="1EEB7137" w:rsidR="006F232A" w:rsidRDefault="006F232A" w:rsidP="006F232A">
      <w:pPr>
        <w:pStyle w:val="MoreInformation"/>
      </w:pPr>
      <w:r>
        <w:t xml:space="preserve">For more information </w:t>
      </w:r>
      <w:r>
        <w:br/>
      </w:r>
      <w:hyperlink r:id="rId99" w:history="1">
        <w:r w:rsidR="00025016" w:rsidRPr="00025016">
          <w:rPr>
            <w:rStyle w:val="Hyperlink"/>
          </w:rPr>
          <w:t>https://www.qld.gov.au/transport/public/school/school-transport-assistance</w:t>
        </w:r>
      </w:hyperlink>
    </w:p>
    <w:p w14:paraId="7721099D" w14:textId="4C93FEB4" w:rsidR="006800C7" w:rsidRDefault="00593332" w:rsidP="006800C7">
      <w:pPr>
        <w:pStyle w:val="Heading4"/>
      </w:pPr>
      <w:r>
        <w:t xml:space="preserve">School transport operator payments </w:t>
      </w:r>
      <w:r w:rsidR="006800C7">
        <w:t xml:space="preserve"> </w:t>
      </w:r>
    </w:p>
    <w:p w14:paraId="32C2A5CA" w14:textId="77777777" w:rsidR="00F13D2F" w:rsidRDefault="00F13D2F" w:rsidP="00F13D2F">
      <w:r>
        <w:t>TMR provided funding assistance to 430 private operators to deliver school transport services in regional Queensland. Payments for these services in 2021–22 totalled $157.8 million (GST exclusive).</w:t>
      </w:r>
    </w:p>
    <w:p w14:paraId="705F001C" w14:textId="77777777" w:rsidR="00F13D2F" w:rsidRDefault="00F13D2F" w:rsidP="00F13D2F"/>
    <w:p w14:paraId="07942830" w14:textId="77777777" w:rsidR="00F13D2F" w:rsidRDefault="00F13D2F" w:rsidP="00F13D2F">
      <w:r>
        <w:t>South East Queensland school transport services are paid as part of integrated urban and school transport service contracts and included in payments listed in Appendix 5.</w:t>
      </w:r>
    </w:p>
    <w:p w14:paraId="129B98FE" w14:textId="528DBA6C" w:rsidR="00F13D2F" w:rsidRDefault="006B34F0" w:rsidP="00F13D2F">
      <w:pPr>
        <w:pStyle w:val="MoreInformation"/>
      </w:pPr>
      <w:r w:rsidRPr="006B34F0">
        <w:t>A full list of school transport operators in regional Queensland and payments is available on the Queensland Government Open Data Portal</w:t>
      </w:r>
      <w:r w:rsidR="00F13D2F">
        <w:br/>
      </w:r>
      <w:hyperlink r:id="rId100" w:history="1">
        <w:r w:rsidR="00925115" w:rsidRPr="00925115">
          <w:rPr>
            <w:rStyle w:val="Hyperlink"/>
          </w:rPr>
          <w:t>https://www.data.qld.gov.au</w:t>
        </w:r>
      </w:hyperlink>
    </w:p>
    <w:p w14:paraId="2600029B" w14:textId="77777777" w:rsidR="0049305E" w:rsidRPr="00E46578" w:rsidRDefault="0049305E" w:rsidP="0049305E">
      <w:pPr>
        <w:pStyle w:val="Heading3"/>
      </w:pPr>
      <w:r>
        <w:t>Case Study</w:t>
      </w:r>
    </w:p>
    <w:p w14:paraId="6970ABFA" w14:textId="31146E1A" w:rsidR="0049305E" w:rsidRPr="00DD7C5A" w:rsidRDefault="0049305E" w:rsidP="0049305E">
      <w:r>
        <w:rPr>
          <w:iCs/>
          <w:color w:val="auto"/>
          <w:sz w:val="26"/>
        </w:rPr>
        <w:t xml:space="preserve">Fairer fares and zones for regional public transport users </w:t>
      </w:r>
    </w:p>
    <w:p w14:paraId="28683895" w14:textId="3DF68AB3" w:rsidR="001B5575" w:rsidRDefault="001B5575" w:rsidP="001B5575">
      <w:r>
        <w:t>The Regional Refresh Program is rolling out changes to 16 regional urban bus networks across Queensland to deliver fairer, more consistent zones and fares, and improved customer service options for regional public transport users.</w:t>
      </w:r>
    </w:p>
    <w:p w14:paraId="2112E0F1" w14:textId="0C3ED9B4" w:rsidR="001B5575" w:rsidRDefault="001B5575" w:rsidP="001B5575">
      <w:r>
        <w:t>The program will see standardised fares and zones implemented across regional areas and the transition of all remaining qconnect branded networks to the Translink service model, to prepare for the future rollout of Smart Ticketing payment options across the whole of Queensland.</w:t>
      </w:r>
    </w:p>
    <w:p w14:paraId="6C4C4DA6" w14:textId="77777777" w:rsidR="001B5575" w:rsidRDefault="001B5575" w:rsidP="001B5575">
      <w:r>
        <w:t>Under the new fare and zone structures, fares for the majority of adult and concession trips will remain the same or decrease slightly. Customers will also have access to new Translink customer channels, including the Translink website and journey planner, the MyTranslink app, and the Translink contact centre.</w:t>
      </w:r>
    </w:p>
    <w:p w14:paraId="20934D58" w14:textId="6648C140" w:rsidR="0049305E" w:rsidRDefault="001B5575" w:rsidP="006800C7">
      <w:r>
        <w:t>To prepare for the changes, in early-2022 the project team commenced a significant program of engagement with local bus delivery partners, local government agencies, and elected State representatives. This will ensure the changes meet the needs of local communities ahead of full implementation in 2022–23.</w:t>
      </w:r>
    </w:p>
    <w:p w14:paraId="4F42E2F0" w14:textId="390644AF" w:rsidR="006800C7" w:rsidRDefault="007933E7" w:rsidP="006800C7">
      <w:pPr>
        <w:pStyle w:val="Heading4"/>
      </w:pPr>
      <w:r>
        <w:t xml:space="preserve">Disability Action Plan </w:t>
      </w:r>
    </w:p>
    <w:p w14:paraId="060276A3" w14:textId="6D56D3E9" w:rsidR="0059036F" w:rsidRDefault="0059036F" w:rsidP="0059036F">
      <w:r>
        <w:t xml:space="preserve">TMR continued to implement actions contained in the </w:t>
      </w:r>
      <w:r w:rsidRPr="00780BD8">
        <w:rPr>
          <w:rStyle w:val="Emphasis"/>
        </w:rPr>
        <w:t>Disability Action Plan 2018–2022</w:t>
      </w:r>
      <w:r>
        <w:t xml:space="preserve"> to improve the accessibility of the passenger transport network for customers with a disability.</w:t>
      </w:r>
    </w:p>
    <w:p w14:paraId="278DEDAF" w14:textId="77777777" w:rsidR="0059036F" w:rsidRDefault="0059036F" w:rsidP="0059036F">
      <w:r>
        <w:t>Key updates during 2021–22 included:</w:t>
      </w:r>
    </w:p>
    <w:p w14:paraId="0AE41B55" w14:textId="40F6A749" w:rsidR="0059036F" w:rsidRDefault="0059036F" w:rsidP="00780BD8">
      <w:pPr>
        <w:pStyle w:val="ListBullet"/>
      </w:pPr>
      <w:r>
        <w:t>$191.5 million (including $80 million Federal contribution for Brisbane Metro) allocated to the Passenger Transport</w:t>
      </w:r>
      <w:r w:rsidR="00E51DF6">
        <w:t xml:space="preserve"> </w:t>
      </w:r>
      <w:r>
        <w:t>Infrastructure Investment Program for upgrading existing and new accessible public transport infrastructure</w:t>
      </w:r>
    </w:p>
    <w:p w14:paraId="6BF94DAA" w14:textId="2A2481F1" w:rsidR="0059036F" w:rsidRDefault="0059036F" w:rsidP="00780BD8">
      <w:pPr>
        <w:pStyle w:val="ListBullet"/>
      </w:pPr>
      <w:r>
        <w:t xml:space="preserve">responded to the Commonwealth’s Consultation Regulation Impact Statement regarding proposed stage one reforms to the </w:t>
      </w:r>
      <w:r w:rsidRPr="00780BD8">
        <w:rPr>
          <w:rStyle w:val="Emphasis"/>
        </w:rPr>
        <w:t>Disability Standards for Accessible Public Transport 2002</w:t>
      </w:r>
    </w:p>
    <w:p w14:paraId="0CC035BB" w14:textId="04F805BC" w:rsidR="007933E7" w:rsidRDefault="0059036F" w:rsidP="00780BD8">
      <w:pPr>
        <w:pStyle w:val="ListBullet"/>
      </w:pPr>
      <w:r>
        <w:t>held five accessibility reference group meetings which included representatives from government, industry and disability advocacy groups, including out-of-session engagement on key projects.</w:t>
      </w:r>
    </w:p>
    <w:p w14:paraId="3D6AE6EA" w14:textId="0CAFF63A" w:rsidR="007933E7" w:rsidRDefault="00E51DF6" w:rsidP="00D82DC1">
      <w:pPr>
        <w:pStyle w:val="MoreInformation"/>
      </w:pPr>
      <w:r>
        <w:t xml:space="preserve">For more information </w:t>
      </w:r>
      <w:r>
        <w:br/>
      </w:r>
      <w:hyperlink r:id="rId101" w:history="1">
        <w:r w:rsidR="00D82DC1" w:rsidRPr="00D82DC1">
          <w:rPr>
            <w:rStyle w:val="Hyperlink"/>
          </w:rPr>
          <w:t>https://www.tmr.qld.gov.au/Travel-and-transport/Disability-access-and-mobility/Disability-Action-Plan</w:t>
        </w:r>
      </w:hyperlink>
    </w:p>
    <w:p w14:paraId="5B1FD4EF" w14:textId="3A14D438" w:rsidR="006800C7" w:rsidRDefault="00D82DC1" w:rsidP="006800C7">
      <w:pPr>
        <w:pStyle w:val="Heading4"/>
      </w:pPr>
      <w:r>
        <w:t xml:space="preserve">Passenger Transport Accessible Infrastructure Program </w:t>
      </w:r>
    </w:p>
    <w:p w14:paraId="2BC8543D" w14:textId="77777777" w:rsidR="00D2199C" w:rsidRDefault="00D2199C" w:rsidP="00D2199C">
      <w:r>
        <w:t xml:space="preserve">The Passenger Transport Accessible Infrastructure grants program provides funding assistance to local governments upgrading their existing passenger transport facilities to comply with the </w:t>
      </w:r>
      <w:r w:rsidRPr="00D2199C">
        <w:rPr>
          <w:rStyle w:val="Emphasis"/>
        </w:rPr>
        <w:t>Disability Discrimination Act 1992</w:t>
      </w:r>
      <w:r>
        <w:t xml:space="preserve"> (Cth).</w:t>
      </w:r>
    </w:p>
    <w:p w14:paraId="3F54799C" w14:textId="77777777" w:rsidR="00D2199C" w:rsidRDefault="00D2199C" w:rsidP="00D2199C">
      <w:r>
        <w:lastRenderedPageBreak/>
        <w:t>These funding contributions allow local governments to:</w:t>
      </w:r>
    </w:p>
    <w:p w14:paraId="26CA1A28" w14:textId="40DD823B" w:rsidR="00D2199C" w:rsidRDefault="00D2199C" w:rsidP="00D2199C">
      <w:pPr>
        <w:pStyle w:val="ListBullet"/>
      </w:pPr>
      <w:r>
        <w:t>enhance safety and accessibility of the transport network for everyone</w:t>
      </w:r>
    </w:p>
    <w:p w14:paraId="4D00AEE4" w14:textId="2134964F" w:rsidR="00D2199C" w:rsidRDefault="00D2199C" w:rsidP="00D2199C">
      <w:pPr>
        <w:pStyle w:val="ListBullet"/>
      </w:pPr>
      <w:r>
        <w:t xml:space="preserve">modernise passenger transport facilities to comply with the </w:t>
      </w:r>
      <w:r w:rsidRPr="00D2199C">
        <w:rPr>
          <w:rStyle w:val="Emphasis"/>
        </w:rPr>
        <w:t>Disability Discrimination Act</w:t>
      </w:r>
    </w:p>
    <w:p w14:paraId="2E42375F" w14:textId="67C92946" w:rsidR="00D2199C" w:rsidRDefault="00D2199C" w:rsidP="00D2199C">
      <w:pPr>
        <w:pStyle w:val="ListBullet"/>
      </w:pPr>
      <w:r>
        <w:t>apply consistent design standards across the passenger transport network.</w:t>
      </w:r>
    </w:p>
    <w:p w14:paraId="193BFD12" w14:textId="291A4F33" w:rsidR="00D2199C" w:rsidRDefault="00D2199C" w:rsidP="00D2199C">
      <w:r>
        <w:t>In 2021–22, funding assistance was provided to 16 local governments across Queensland to support more than 250 bus stop upgrades to meet accessibility standards. In addition, funding assistance was also provided towards upgrading long-distance coach stops in regional and remote areas.</w:t>
      </w:r>
    </w:p>
    <w:p w14:paraId="3DCCEE8B" w14:textId="2D68596E" w:rsidR="00D82DC1" w:rsidRDefault="00D2199C" w:rsidP="00D2199C">
      <w:r>
        <w:t>The success of these programs is built on the partnership approach with local governments, and other state government agencies, working together to deliver a single integrated transport network accessible to everyone.</w:t>
      </w:r>
    </w:p>
    <w:p w14:paraId="585C9935" w14:textId="7BA3C945" w:rsidR="00D82DC1" w:rsidRDefault="00D2199C" w:rsidP="003813F6">
      <w:pPr>
        <w:pStyle w:val="MoreInformation"/>
      </w:pPr>
      <w:r>
        <w:t xml:space="preserve">For more information </w:t>
      </w:r>
      <w:r>
        <w:br/>
      </w:r>
      <w:hyperlink r:id="rId102" w:history="1">
        <w:r w:rsidR="003813F6" w:rsidRPr="003813F6">
          <w:rPr>
            <w:rStyle w:val="Hyperlink"/>
          </w:rPr>
          <w:t>https://www.tmr.qld.gov.au/Travel-and-transport/Public-transport/ Public-transport-infrastructure-grants</w:t>
        </w:r>
      </w:hyperlink>
    </w:p>
    <w:p w14:paraId="225FB220" w14:textId="04D996E7" w:rsidR="006800C7" w:rsidRDefault="003813F6" w:rsidP="006800C7">
      <w:pPr>
        <w:pStyle w:val="Heading4"/>
      </w:pPr>
      <w:r>
        <w:t>Modernisation of the Disability Standards for Ac</w:t>
      </w:r>
      <w:r w:rsidR="00BF78EA">
        <w:t>cessible Public Transport 2002</w:t>
      </w:r>
    </w:p>
    <w:p w14:paraId="7A83F169" w14:textId="4111BDFD" w:rsidR="00A11C96" w:rsidRDefault="00A11C96" w:rsidP="00A11C96">
      <w:r>
        <w:t xml:space="preserve">TMR has continued its critical role in the reform of the </w:t>
      </w:r>
      <w:r w:rsidRPr="00A11C96">
        <w:rPr>
          <w:rStyle w:val="Emphasis"/>
        </w:rPr>
        <w:t>Disability Standards for Accessible Public Transport 2002</w:t>
      </w:r>
      <w:r>
        <w:t xml:space="preserve"> (Cth) (Transport Standards), in partnership with the Department of Infrastructure, Transport, Regional Development and Communications.</w:t>
      </w:r>
    </w:p>
    <w:p w14:paraId="226AA7E8" w14:textId="63F42082" w:rsidR="00A11C96" w:rsidRDefault="00A11C96" w:rsidP="00A11C96">
      <w:r>
        <w:t>As both the Chair and Secretariat for the National Accessible Transport Taskforce, entrusted with leading the reform process, TMR has worked with taskforce members throughout Stage Two of the reform to ensure the Transport Standards remain efficient and effective, are fit for purpose, and meet the current needs of Australian society.</w:t>
      </w:r>
    </w:p>
    <w:p w14:paraId="681F2456" w14:textId="6FFFE275" w:rsidR="00A11C96" w:rsidRDefault="00A11C96" w:rsidP="00A11C96">
      <w:r>
        <w:t>TMR led the delivery of 39 of the 54 areas of reform for Stage Two, collaborating with working group members from the Australian Government, states and territory jurisdictions, the disability sector, transport sector, and subject matter experts.</w:t>
      </w:r>
    </w:p>
    <w:p w14:paraId="45C52D6B" w14:textId="0DC1F666" w:rsidR="003813F6" w:rsidRDefault="00A11C96" w:rsidP="00A11C96">
      <w:r>
        <w:t>The Consultation Regulation Impact Statement for Stage Two was released in March 2022.</w:t>
      </w:r>
    </w:p>
    <w:p w14:paraId="2CFAA6D1" w14:textId="3C0A276E" w:rsidR="006800C7" w:rsidRDefault="006800C7" w:rsidP="006800C7">
      <w:pPr>
        <w:pStyle w:val="MoreInformation"/>
      </w:pPr>
      <w:r>
        <w:t>For more information</w:t>
      </w:r>
      <w:r>
        <w:br/>
      </w:r>
      <w:hyperlink r:id="rId103" w:history="1">
        <w:r w:rsidR="00E16495" w:rsidRPr="00E16495">
          <w:rPr>
            <w:rStyle w:val="Hyperlink"/>
          </w:rPr>
          <w:t>https://www.infrastructure.gov.au/infrastructure-transport-vehicles/transport-accessibility/reform-disability-standards-accessible-public-transport-2002-transport-standards</w:t>
        </w:r>
      </w:hyperlink>
    </w:p>
    <w:p w14:paraId="6A353A80" w14:textId="77777777" w:rsidR="00995F3E" w:rsidRPr="00E46578" w:rsidRDefault="00995F3E" w:rsidP="00995F3E">
      <w:pPr>
        <w:pStyle w:val="Heading3"/>
      </w:pPr>
      <w:r>
        <w:t>Case Study</w:t>
      </w:r>
    </w:p>
    <w:p w14:paraId="56D06B53" w14:textId="77777777" w:rsidR="000A3B5E" w:rsidRDefault="00995F3E" w:rsidP="000A3B5E">
      <w:pPr>
        <w:rPr>
          <w:iCs/>
          <w:color w:val="auto"/>
          <w:sz w:val="26"/>
        </w:rPr>
      </w:pPr>
      <w:r>
        <w:rPr>
          <w:iCs/>
          <w:color w:val="auto"/>
          <w:sz w:val="26"/>
        </w:rPr>
        <w:t>Co-designing a TMR Easy Read style</w:t>
      </w:r>
    </w:p>
    <w:p w14:paraId="5DCBF395" w14:textId="77777777" w:rsidR="000A3B5E" w:rsidRDefault="000A3B5E" w:rsidP="000A3B5E">
      <w:r w:rsidRPr="000A3B5E">
        <w:t>Working with customers who live with diverse cognitive and intellectual abilities, TMR ran a pilot in 2021-22 to co-design a more inclusive way to present information and create easier-to-read documents.</w:t>
      </w:r>
    </w:p>
    <w:p w14:paraId="008B859E" w14:textId="77777777" w:rsidR="000A3B5E" w:rsidRDefault="000A3B5E" w:rsidP="000A3B5E">
      <w:r w:rsidRPr="000A3B5E">
        <w:t>The pilot explored complex documents with a range of customers and investigated the use of Easy Read as an option. Easy Read is an accessible and alternative style of communication that uses images, simple language, and white space to convey information. However, there are no global Easy Read standards.</w:t>
      </w:r>
    </w:p>
    <w:p w14:paraId="35EF3CD8" w14:textId="182C8F8B" w:rsidR="000A3B5E" w:rsidRPr="000A3B5E" w:rsidRDefault="000A3B5E" w:rsidP="000A3B5E">
      <w:r w:rsidRPr="000A3B5E">
        <w:t xml:space="preserve">Throughout the pilot, 48 prototype pages were created, more than 1500 findings emerged, and a specific TMR Easy Read style was co-designed. The new style significantly increased customer comprehension of information and provided them with </w:t>
      </w:r>
      <w:r w:rsidRPr="000A3B5E">
        <w:lastRenderedPageBreak/>
        <w:t>a greater sense of independence and trust in the department. Customers were quoted saying: ‘It’s easy, it explains everything clearly’, ‘It’s not overwhelming’ and ‘I’m not getting a headache.’</w:t>
      </w:r>
    </w:p>
    <w:p w14:paraId="0BD49CBD" w14:textId="20BC429A" w:rsidR="000A3B5E" w:rsidRPr="000A3B5E" w:rsidRDefault="000A3B5E" w:rsidP="000A3B5E">
      <w:pPr>
        <w:pStyle w:val="Heading4"/>
        <w:rPr>
          <w:iCs w:val="0"/>
          <w:color w:val="262626" w:themeColor="text1" w:themeTint="D9"/>
          <w:sz w:val="18"/>
        </w:rPr>
      </w:pPr>
      <w:r w:rsidRPr="000A3B5E">
        <w:rPr>
          <w:iCs w:val="0"/>
          <w:color w:val="262626" w:themeColor="text1" w:themeTint="D9"/>
          <w:sz w:val="18"/>
        </w:rPr>
        <w:t>Easy Read versions have been developed for a range of departmental communications including the TMR Complaints Management Policy and other factsheets. They are especially helpful for customers with low literacy, intellectual disabilities, and who are time poor or use English as a second language.</w:t>
      </w:r>
    </w:p>
    <w:p w14:paraId="2C88B2C1" w14:textId="50F557DA" w:rsidR="000A3B5E" w:rsidRDefault="000A3B5E" w:rsidP="000A3B5E">
      <w:pPr>
        <w:pStyle w:val="MoreInformation"/>
      </w:pPr>
      <w:r>
        <w:t>For more information</w:t>
      </w:r>
      <w:r>
        <w:br/>
      </w:r>
      <w:hyperlink r:id="rId104" w:history="1">
        <w:r w:rsidR="009414EA" w:rsidRPr="009414EA">
          <w:rPr>
            <w:rStyle w:val="Hyperlink"/>
          </w:rPr>
          <w:t>https://www.tmr.qld.gov.au/About-us/Contact-us/Compliments-and-complaints/Easy-to-read-complaints-policy</w:t>
        </w:r>
      </w:hyperlink>
    </w:p>
    <w:p w14:paraId="26DE787E" w14:textId="7B097B93" w:rsidR="006800C7" w:rsidRDefault="00A71EF5" w:rsidP="006800C7">
      <w:pPr>
        <w:pStyle w:val="Heading4"/>
      </w:pPr>
      <w:r>
        <w:t xml:space="preserve">New Customer Service Centre in Bundamba </w:t>
      </w:r>
    </w:p>
    <w:p w14:paraId="458FF390" w14:textId="0DAC4612" w:rsidR="00344602" w:rsidRDefault="00344602" w:rsidP="00344602">
      <w:r>
        <w:t>A lease was signed in early-2022 for a new Department of Transport and Main Roads Customer Service Centre in Bundamba.</w:t>
      </w:r>
    </w:p>
    <w:p w14:paraId="473549BB" w14:textId="6A5F9F93" w:rsidR="00344602" w:rsidRDefault="00344602" w:rsidP="00344602">
      <w:r>
        <w:t>The new centre located at 28 Brisbane Road, will offer a full range of services including licensing, registration and other services to the community.</w:t>
      </w:r>
    </w:p>
    <w:p w14:paraId="43A77145" w14:textId="628C3868" w:rsidR="00344602" w:rsidRDefault="00344602" w:rsidP="00344602">
      <w:r>
        <w:t>The new location has been chosen to provide expanded and improved services for the region, following the closure of the Redbank Select Service Centre in December 2020.</w:t>
      </w:r>
    </w:p>
    <w:p w14:paraId="09B14301" w14:textId="77777777" w:rsidR="00344602" w:rsidRDefault="00344602" w:rsidP="00344602">
      <w:r>
        <w:t>This new location will provide a safe and accessible facility that prioritises safety, functionality and accessibility for staff and the community.</w:t>
      </w:r>
    </w:p>
    <w:p w14:paraId="6B1E0A45" w14:textId="70643628" w:rsidR="00A71EF5" w:rsidRDefault="00344602" w:rsidP="00344602">
      <w:r>
        <w:t>The new centre is expected to open in late-2022, weather permitting.</w:t>
      </w:r>
    </w:p>
    <w:p w14:paraId="38F7A576" w14:textId="17FB2653" w:rsidR="006800C7" w:rsidRDefault="00344602" w:rsidP="006800C7">
      <w:pPr>
        <w:pStyle w:val="Heading4"/>
      </w:pPr>
      <w:r>
        <w:t xml:space="preserve">Move Together campaign </w:t>
      </w:r>
    </w:p>
    <w:p w14:paraId="276506D0" w14:textId="791A612D" w:rsidR="00557DF8" w:rsidRDefault="00557DF8" w:rsidP="00557DF8">
      <w:r>
        <w:t>In June 2022, TMR launched the Move Together social media campaign aimed at encouraging respectful and inclusive behaviour on public transport.</w:t>
      </w:r>
    </w:p>
    <w:p w14:paraId="7F0DF9CE" w14:textId="734505E5" w:rsidR="00557DF8" w:rsidRDefault="00557DF8" w:rsidP="00557DF8">
      <w:r>
        <w:t>Move Together was developed from an identified need to improve the behaviour and attitudes of public transport users towards vulnerable passengers. This is the first phase of a three-year campaign that will drive social change through a strong call to action about the practical things that can be implemented to improve the public transport experience for everyone.</w:t>
      </w:r>
    </w:p>
    <w:p w14:paraId="5D9BEB51" w14:textId="563548B9" w:rsidR="00344602" w:rsidRDefault="00557DF8" w:rsidP="00557DF8">
      <w:r>
        <w:t>This campaign is a critical initiative for TMR and is an action from the TMR Accessibility and Inclusion Strategy that was launched in 2020. It is another step in the journey to achieving TMR’s vision of creating a single integrated transport network accessible to everyone.</w:t>
      </w:r>
    </w:p>
    <w:p w14:paraId="6C00760A" w14:textId="20797219" w:rsidR="006800C7" w:rsidRPr="002F092B" w:rsidRDefault="006800C7" w:rsidP="006800C7">
      <w:pPr>
        <w:pStyle w:val="MoreInformation"/>
      </w:pPr>
      <w:r w:rsidRPr="002F092B">
        <w:t>For more information</w:t>
      </w:r>
      <w:r w:rsidRPr="002F092B">
        <w:br/>
      </w:r>
      <w:hyperlink r:id="rId105" w:history="1">
        <w:r w:rsidR="0090502F" w:rsidRPr="0090502F">
          <w:rPr>
            <w:rStyle w:val="Hyperlink"/>
          </w:rPr>
          <w:t>https://www.translink.com.au/travel-with-us/accessibility/move-together</w:t>
        </w:r>
      </w:hyperlink>
    </w:p>
    <w:p w14:paraId="68BD4C00" w14:textId="47B65855" w:rsidR="006800C7" w:rsidRPr="00D404E2" w:rsidRDefault="0090502F" w:rsidP="006800C7">
      <w:pPr>
        <w:pStyle w:val="Heading4"/>
      </w:pPr>
      <w:r>
        <w:t>Translink brand modernisation</w:t>
      </w:r>
    </w:p>
    <w:p w14:paraId="2485E315" w14:textId="77777777" w:rsidR="009F031C" w:rsidRDefault="009F031C" w:rsidP="009F031C">
      <w:r>
        <w:t>After more than 15 years in the market, TMR updated the Translink consumer brand to a more modern, consistent, and user-friendly representation of the evolving services we are delivering, now and into the future.</w:t>
      </w:r>
    </w:p>
    <w:p w14:paraId="3F6572CC" w14:textId="77777777" w:rsidR="009F031C" w:rsidRDefault="009F031C" w:rsidP="009F031C"/>
    <w:p w14:paraId="2502E474" w14:textId="30690AF2" w:rsidR="009F031C" w:rsidRDefault="009F031C" w:rsidP="009F031C">
      <w:r>
        <w:lastRenderedPageBreak/>
        <w:t>The modernised brand was first applied to the Translink website and digital channels in March 2022 and will be progressively rolled out across the public transport network over time.</w:t>
      </w:r>
    </w:p>
    <w:p w14:paraId="7B02F201" w14:textId="77777777" w:rsidR="009F031C" w:rsidRDefault="009F031C" w:rsidP="009F031C">
      <w:r>
        <w:t>The new brand features an updated logo, new fonts, and a bold, more accessible colour palette, using pink and navy as the primary brand colours. Meeting visibility and accessibility requirements was a key focus of the new branding.</w:t>
      </w:r>
    </w:p>
    <w:p w14:paraId="11F3B02E" w14:textId="3B0B1596" w:rsidR="0090502F" w:rsidRDefault="009F031C" w:rsidP="009F031C">
      <w:r>
        <w:t>TMR is taking a practical, low-cost approach to the rollout, by only updating branding when it makes sense to do so, either in line with new projects or through existing maintenance programs.</w:t>
      </w:r>
    </w:p>
    <w:p w14:paraId="442605C0" w14:textId="77777777" w:rsidR="009F031C" w:rsidRPr="00E46578" w:rsidRDefault="009F031C" w:rsidP="009F031C">
      <w:pPr>
        <w:pStyle w:val="Heading3"/>
      </w:pPr>
      <w:r>
        <w:t>Case Study</w:t>
      </w:r>
    </w:p>
    <w:p w14:paraId="01B7655B" w14:textId="6B783496" w:rsidR="009F031C" w:rsidRDefault="009F031C" w:rsidP="009F031C">
      <w:pPr>
        <w:rPr>
          <w:iCs/>
          <w:color w:val="auto"/>
          <w:sz w:val="26"/>
        </w:rPr>
      </w:pPr>
      <w:r>
        <w:rPr>
          <w:iCs/>
          <w:color w:val="auto"/>
          <w:sz w:val="26"/>
        </w:rPr>
        <w:t>Gold Coast on demand transport trial</w:t>
      </w:r>
    </w:p>
    <w:p w14:paraId="2007103A" w14:textId="44B135DA" w:rsidR="00971C91" w:rsidRDefault="00971C91" w:rsidP="00971C91">
      <w:r>
        <w:t>Operating seven days a week, on demand transport is a flexible, shared option for customers to connect with essential services in the local area and the wider Translink public transport network.</w:t>
      </w:r>
    </w:p>
    <w:p w14:paraId="703695AF" w14:textId="167472D0" w:rsidR="00971C91" w:rsidRDefault="00971C91" w:rsidP="00971C91">
      <w:r>
        <w:t>In March 2022, a new two-year on demand transport trial was launched in two areas of the Gold Coast, Pacific Pines and Nerang, Highland Park. More than 4000 Translink On Demand app downloads were recorded and around 11,000 trips taken across the two areas as at 30 June 2022.</w:t>
      </w:r>
    </w:p>
    <w:p w14:paraId="79195F0B" w14:textId="77777777" w:rsidR="00971C91" w:rsidRDefault="00971C91" w:rsidP="00971C91">
      <w:r>
        <w:t>Using a go card, customers simply touch on and off when they board and leave an on-demand service. Customers can pre-book and manage their trips from their smartphone using our new Translink On Demand app or by calling the Translink call centre.</w:t>
      </w:r>
    </w:p>
    <w:p w14:paraId="5D602E97" w14:textId="77777777" w:rsidR="00971C91" w:rsidRDefault="00971C91" w:rsidP="00971C91">
      <w:r>
        <w:t>On demand transport improves public transport coverage for northern Gold Coast residents in locations where regular public transport services are not available or possible.</w:t>
      </w:r>
    </w:p>
    <w:p w14:paraId="5BED46A4" w14:textId="7A89634C" w:rsidR="009F031C" w:rsidRDefault="00971C91" w:rsidP="006800C7">
      <w:r>
        <w:t>Community feedback has been positive for on demand transport with convenience a standout feature.</w:t>
      </w:r>
    </w:p>
    <w:p w14:paraId="1C196FCF" w14:textId="16E32321" w:rsidR="009F031C" w:rsidRDefault="009F031C" w:rsidP="006800C7"/>
    <w:p w14:paraId="0A83363D" w14:textId="77777777" w:rsidR="006800C7" w:rsidRDefault="006800C7" w:rsidP="006800C7">
      <w:pPr>
        <w:pStyle w:val="Heading2"/>
      </w:pPr>
      <w:r>
        <w:t>Digitising customer interactions</w:t>
      </w:r>
    </w:p>
    <w:p w14:paraId="66C477BB" w14:textId="73DB878B" w:rsidR="006800C7" w:rsidRDefault="00FA5365" w:rsidP="006800C7">
      <w:pPr>
        <w:pStyle w:val="Heading4"/>
      </w:pPr>
      <w:r>
        <w:t>Digital transformation</w:t>
      </w:r>
    </w:p>
    <w:p w14:paraId="45FBCD7E" w14:textId="77777777" w:rsidR="00D8749A" w:rsidRDefault="00D8749A" w:rsidP="00D8749A">
      <w:r>
        <w:t>TMR has continued to progress digital transformation of service delivery in 2021–22. Customers increasingly prefer to complete their transactions digitally, with use of TMR online services growing year on year. Further enhancements to online services have significantly improved the customer experience which has contributed to this growth. These included:</w:t>
      </w:r>
    </w:p>
    <w:p w14:paraId="68072A6C" w14:textId="0F53E5A0" w:rsidR="00D8749A" w:rsidRDefault="00D8749A" w:rsidP="00D8749A">
      <w:pPr>
        <w:pStyle w:val="ListBullet"/>
      </w:pPr>
      <w:r>
        <w:t>easier change of address across more online services</w:t>
      </w:r>
    </w:p>
    <w:p w14:paraId="75F34E4B" w14:textId="3C653382" w:rsidR="00D8749A" w:rsidRDefault="00D8749A" w:rsidP="00D8749A">
      <w:pPr>
        <w:pStyle w:val="ListBullet"/>
      </w:pPr>
      <w:r>
        <w:t>extended choice to receive transaction documents by email</w:t>
      </w:r>
    </w:p>
    <w:p w14:paraId="120F8404" w14:textId="6EE4C83D" w:rsidR="00D8749A" w:rsidRDefault="00D8749A" w:rsidP="00D8749A">
      <w:pPr>
        <w:pStyle w:val="ListBullet"/>
      </w:pPr>
      <w:r>
        <w:t>simplified language and instructions across many online services</w:t>
      </w:r>
    </w:p>
    <w:p w14:paraId="78484F2A" w14:textId="685D306E" w:rsidR="00D8749A" w:rsidRDefault="00D8749A" w:rsidP="00D8749A">
      <w:pPr>
        <w:pStyle w:val="ListBullet"/>
      </w:pPr>
      <w:r>
        <w:t>updated and improved online service look and feel</w:t>
      </w:r>
    </w:p>
    <w:p w14:paraId="0911E391" w14:textId="60509582" w:rsidR="00D8749A" w:rsidRDefault="00D8749A" w:rsidP="00D8749A">
      <w:pPr>
        <w:pStyle w:val="ListBullet"/>
      </w:pPr>
      <w:r>
        <w:t>expanded messaging services to support customers needing help while transacting online.</w:t>
      </w:r>
    </w:p>
    <w:p w14:paraId="411DF6C6" w14:textId="77777777" w:rsidR="00D8749A" w:rsidRDefault="00D8749A" w:rsidP="00D8749A">
      <w:r>
        <w:lastRenderedPageBreak/>
        <w:t>TMR has also expanded its Robotic Process Automation (RPA) program in 2021–22. RPA has been implemented for 12 more business processes which has delivered infringement processing efficiencies, completing customer refunds, processing disability parking permits and medical condition reporting. RPA has improved response times for customers and freed staff to focus on more complex customer enquiries.</w:t>
      </w:r>
    </w:p>
    <w:p w14:paraId="13988191" w14:textId="77777777" w:rsidR="00D8749A" w:rsidRDefault="00D8749A" w:rsidP="00D8749A">
      <w:r>
        <w:t>Processes for staff working in the field are also undergoing digital transformation. TMR Transport Inspectors perform a manual, paper-based, process for capturing and recording information obtained during Approved Inspection Station audit activities.</w:t>
      </w:r>
    </w:p>
    <w:p w14:paraId="3E0944A7" w14:textId="33391D22" w:rsidR="000D72B2" w:rsidRPr="005A3D7F" w:rsidRDefault="00D8749A" w:rsidP="006800C7">
      <w:r>
        <w:t>To improve these processes, a new digital auditing tool will be implemented in September 2022 to deliver a more streamlined compliance auditing process through workflow redesign and automation of manual processes.</w:t>
      </w:r>
    </w:p>
    <w:p w14:paraId="19847C1B" w14:textId="0E80B142" w:rsidR="006800C7" w:rsidRPr="00857669" w:rsidRDefault="00460ADB" w:rsidP="006800C7">
      <w:pPr>
        <w:pStyle w:val="Heading4"/>
      </w:pPr>
      <w:r>
        <w:t xml:space="preserve">Messaging service for customers </w:t>
      </w:r>
    </w:p>
    <w:p w14:paraId="5F9949BE" w14:textId="3A76F4CF" w:rsidR="00656CED" w:rsidRDefault="00656CED" w:rsidP="00656CED">
      <w:r>
        <w:t>Following a successful pilot in February 2021, TMR’s customer service staff implemented messaging as an ongoing offering to TMR customers.</w:t>
      </w:r>
    </w:p>
    <w:p w14:paraId="4EB2B2E7" w14:textId="384E2C1D" w:rsidR="00656CED" w:rsidRDefault="00656CED" w:rsidP="00656CED">
      <w:r>
        <w:t>Messaging allows customers to use their mobiles and other electronic devices to have a conversation with customer service staff on their terms, avoiding waiting on the telephone or attending a customer service centre. By utilising an SMS-style of conversation, customers can go about their day and be notified when TMR has further information for them.</w:t>
      </w:r>
    </w:p>
    <w:p w14:paraId="70E8EFC1" w14:textId="6AEDA721" w:rsidR="00656CED" w:rsidRDefault="00656CED" w:rsidP="00656CED">
      <w:r>
        <w:t>As we look toward the future, TMR is implementing bots and other automated tools to help our customers on their online journey. This will work toward improving website interactions and reducing wait times for customers who need assistance.</w:t>
      </w:r>
    </w:p>
    <w:p w14:paraId="0AE0AC31" w14:textId="3342B534" w:rsidR="00460ADB" w:rsidRDefault="00656CED" w:rsidP="00656CED">
      <w:r>
        <w:t>From the implementation of messaging in May 2021 until March 2022, over 80,000 conversations have been conducted with customers in the messaging environment.</w:t>
      </w:r>
    </w:p>
    <w:p w14:paraId="0A920AA1" w14:textId="6BBF697E" w:rsidR="006800C7" w:rsidRDefault="006A424A" w:rsidP="006800C7">
      <w:pPr>
        <w:pStyle w:val="Heading4"/>
      </w:pPr>
      <w:r>
        <w:t xml:space="preserve">Online buoy mooring management system trial </w:t>
      </w:r>
    </w:p>
    <w:p w14:paraId="57B65696" w14:textId="77777777" w:rsidR="00A048D4" w:rsidRDefault="00A048D4" w:rsidP="00A048D4">
      <w:r>
        <w:t>Following last year’s online buoy mooring payment trial, TMR has successfully implemented online payments for all buoy moorings throughout the state.</w:t>
      </w:r>
    </w:p>
    <w:p w14:paraId="617BA5C2" w14:textId="79EDA8FB" w:rsidR="00A048D4" w:rsidRDefault="00A048D4" w:rsidP="00A048D4">
      <w:r>
        <w:t>This initiative has been well received by customers with a 73 per cent take-up state-wide. The change replaces the need for customers to physically attend a TMR customer service centre.</w:t>
      </w:r>
    </w:p>
    <w:p w14:paraId="59AC5604" w14:textId="5F92F9A3" w:rsidR="006A424A" w:rsidRDefault="00A048D4" w:rsidP="00A048D4">
      <w:r>
        <w:t>As the change has been so well received and successful, TMR is now rolling out similar options for other customer transactions.</w:t>
      </w:r>
    </w:p>
    <w:p w14:paraId="18CB056B" w14:textId="21D635D3" w:rsidR="006800C7" w:rsidRPr="00635410" w:rsidRDefault="00A048D4" w:rsidP="006800C7">
      <w:pPr>
        <w:pStyle w:val="Heading4"/>
      </w:pPr>
      <w:r>
        <w:t xml:space="preserve">MyTranslink app </w:t>
      </w:r>
    </w:p>
    <w:p w14:paraId="07036903" w14:textId="299C4669" w:rsidR="00A048D4" w:rsidRDefault="002C7960" w:rsidP="006800C7">
      <w:r w:rsidRPr="002C7960">
        <w:t>The MyTranslink app was rebranded in March 2022 as part of the broader Translink brand modernisation project to update Translink’s corporate identity. Throughout 2021–22, an average of 142,000 customers use the app each week.</w:t>
      </w:r>
    </w:p>
    <w:p w14:paraId="4603AF6F" w14:textId="2F4CF37A" w:rsidR="002C7960" w:rsidRPr="002F092B" w:rsidRDefault="002C7960" w:rsidP="002C7960">
      <w:pPr>
        <w:pStyle w:val="MoreInformation"/>
      </w:pPr>
      <w:r w:rsidRPr="002F092B">
        <w:lastRenderedPageBreak/>
        <w:t>For more information</w:t>
      </w:r>
      <w:r w:rsidRPr="002F092B">
        <w:br/>
      </w:r>
      <w:hyperlink r:id="rId106" w:history="1">
        <w:r w:rsidR="004E36A4" w:rsidRPr="004E36A4">
          <w:rPr>
            <w:rStyle w:val="Hyperlink"/>
          </w:rPr>
          <w:t>https://www.translink.com.au/mytranslink</w:t>
        </w:r>
      </w:hyperlink>
    </w:p>
    <w:p w14:paraId="5594AA52" w14:textId="7471956D" w:rsidR="006800C7" w:rsidRDefault="008B381F" w:rsidP="006800C7">
      <w:pPr>
        <w:pStyle w:val="Heading4"/>
      </w:pPr>
      <w:r>
        <w:t xml:space="preserve">Digital Licence App </w:t>
      </w:r>
    </w:p>
    <w:p w14:paraId="5B908D06" w14:textId="6B2FC191" w:rsidR="003649B5" w:rsidRDefault="003649B5" w:rsidP="003649B5">
      <w:r>
        <w:t>The digital licence app is a Queensland Government initiative that allows customers to access their licence and other government issued credentials through a mobile device. The digital licence will make it easier and safer for Queenslanders to share their information and control how much information they share with others.</w:t>
      </w:r>
    </w:p>
    <w:p w14:paraId="497A429C" w14:textId="28E6151D" w:rsidR="003649B5" w:rsidRDefault="003649B5" w:rsidP="003649B5">
      <w:r>
        <w:t>In 2020, TMR piloted digital licences on the Fraser Coast, receiving a 94 per cent customer satisfaction rating. The pilot is being expanded to Townsville in late-2022 with a state-wide rollout to follow in 2023.</w:t>
      </w:r>
    </w:p>
    <w:p w14:paraId="3EC394B5" w14:textId="725A2B84" w:rsidR="008B381F" w:rsidRDefault="003649B5" w:rsidP="003649B5">
      <w:r>
        <w:t>The digital licence will not be mandatory. A physical version of the licence will continue to be issued for the foreseeable future.</w:t>
      </w:r>
    </w:p>
    <w:p w14:paraId="2FF118CF" w14:textId="4B03C161" w:rsidR="003649B5" w:rsidRPr="002F092B" w:rsidRDefault="003649B5" w:rsidP="003649B5">
      <w:pPr>
        <w:pStyle w:val="MoreInformation"/>
      </w:pPr>
      <w:r w:rsidRPr="002F092B">
        <w:t>For more information</w:t>
      </w:r>
      <w:r w:rsidRPr="002F092B">
        <w:br/>
      </w:r>
      <w:hyperlink r:id="rId107" w:history="1">
        <w:r w:rsidR="007E69CB" w:rsidRPr="007E69CB">
          <w:rPr>
            <w:rStyle w:val="Hyperlink"/>
          </w:rPr>
          <w:t>https://www.tmr.qld.gov.au/About-us/News-and-media/Digital-Licence-App-media-assets</w:t>
        </w:r>
      </w:hyperlink>
    </w:p>
    <w:p w14:paraId="40363608" w14:textId="0D3498F6" w:rsidR="006800C7" w:rsidRDefault="007E69CB" w:rsidP="006800C7">
      <w:pPr>
        <w:pStyle w:val="Heading4"/>
      </w:pPr>
      <w:r>
        <w:t>NaviLens</w:t>
      </w:r>
    </w:p>
    <w:p w14:paraId="5F571A04" w14:textId="6154FF7A" w:rsidR="00E66D57" w:rsidRDefault="00E66D57" w:rsidP="00E66D57">
      <w:r>
        <w:t>Translink’s Digital Futures Program has recently completed an exciting Australian-first Proof of Concept of a publicly available solution called NaviLens.</w:t>
      </w:r>
    </w:p>
    <w:p w14:paraId="7DD8DD75" w14:textId="4F825A50" w:rsidR="00E66D57" w:rsidRDefault="00E66D57" w:rsidP="00E66D57">
      <w:r>
        <w:t>Via an app, the NaviLens solution allows customers to scan colourful machine-readable codes on their phone to access real- time information, wayfinding and audible experiences for people with visual impairment.</w:t>
      </w:r>
    </w:p>
    <w:p w14:paraId="4A9041EB" w14:textId="16CFC862" w:rsidR="00E66D57" w:rsidRDefault="00E66D57" w:rsidP="00E66D57">
      <w:r>
        <w:t>The NaviLens codes which were installed in King George Square Station in March 2022, can be scanned from up to 20 metres away and within a fraction of a second can provide extremely accurate positioning and distance information.</w:t>
      </w:r>
    </w:p>
    <w:p w14:paraId="27AD46AA" w14:textId="6FC4C00C" w:rsidR="00E66D57" w:rsidRDefault="00E66D57" w:rsidP="00E66D57">
      <w:r>
        <w:t>Key customer stakeholder groups such as Vision Australia and Guide Dogs Queensland participated in testing the solution at King George Square Station and feedback was very positive.</w:t>
      </w:r>
    </w:p>
    <w:p w14:paraId="314963B4" w14:textId="3D7C9F81" w:rsidR="007E69CB" w:rsidRDefault="00E66D57" w:rsidP="00E66D57">
      <w:r>
        <w:t>The learnings gathered from the trial will help to inform any potential future applications for the solution.</w:t>
      </w:r>
    </w:p>
    <w:p w14:paraId="541B169B" w14:textId="48E7719E" w:rsidR="006800C7" w:rsidRDefault="00E66D57" w:rsidP="006800C7">
      <w:pPr>
        <w:pStyle w:val="Heading4"/>
      </w:pPr>
      <w:r>
        <w:t>Realigning TMR with the new national datum</w:t>
      </w:r>
    </w:p>
    <w:p w14:paraId="1CAF76BB" w14:textId="21C4F94C" w:rsidR="00F44919" w:rsidRDefault="00F44919" w:rsidP="00F44919">
      <w:r>
        <w:t>Since 2018, TMR has been preparing for a full transition of geospatial data and systems to Australia’s new national datum— Geocentric Datum of Australia 2020.</w:t>
      </w:r>
    </w:p>
    <w:p w14:paraId="2297D6C5" w14:textId="6BE9EE82" w:rsidR="00F44919" w:rsidRDefault="00F44919" w:rsidP="00F44919">
      <w:r>
        <w:t>Datum is the base information that Australian coordinates are derived from. This information is used widely across TMR.</w:t>
      </w:r>
    </w:p>
    <w:p w14:paraId="36170701" w14:textId="77777777" w:rsidR="00F44919" w:rsidRDefault="00F44919" w:rsidP="00F44919">
      <w:r>
        <w:t>In late-2020, TMR’s Geocentric Datum of Australia 2020 Transformation commenced migrating systems and data to better align with global satellite positioning systems.</w:t>
      </w:r>
    </w:p>
    <w:p w14:paraId="2C74771F" w14:textId="77777777" w:rsidR="00F44919" w:rsidRDefault="00F44919" w:rsidP="00F44919">
      <w:r>
        <w:t>During 2021–22 TMR’s current geospatial and survey systems and data were successfully migrated to the new datum ensuring seamless transfer and use of spatial data to plan, construct, and maintain Queensland’s transport network.</w:t>
      </w:r>
    </w:p>
    <w:p w14:paraId="0B0ABE3A" w14:textId="77777777" w:rsidR="00F44919" w:rsidRDefault="00F44919" w:rsidP="00F44919"/>
    <w:p w14:paraId="11FCD6AF" w14:textId="36306201" w:rsidR="00E66D57" w:rsidRDefault="00F44919" w:rsidP="00F44919">
      <w:r>
        <w:lastRenderedPageBreak/>
        <w:t>Technical training and support have been provided to ensure that capability exists broadly across TMR and the civil construction industry.</w:t>
      </w:r>
    </w:p>
    <w:p w14:paraId="4DDF44D3" w14:textId="77777777" w:rsidR="00F44919" w:rsidRPr="00E46578" w:rsidRDefault="00F44919" w:rsidP="00F44919">
      <w:pPr>
        <w:pStyle w:val="Heading3"/>
      </w:pPr>
      <w:r>
        <w:t>Case Study</w:t>
      </w:r>
    </w:p>
    <w:p w14:paraId="09603C61" w14:textId="14CD16A5" w:rsidR="00F44919" w:rsidRDefault="00F44919" w:rsidP="00F44919">
      <w:pPr>
        <w:rPr>
          <w:iCs/>
          <w:color w:val="auto"/>
          <w:sz w:val="26"/>
        </w:rPr>
      </w:pPr>
      <w:r>
        <w:rPr>
          <w:iCs/>
          <w:color w:val="auto"/>
          <w:sz w:val="26"/>
        </w:rPr>
        <w:t>Smart Ticketing on track with new rail travel trial</w:t>
      </w:r>
    </w:p>
    <w:p w14:paraId="5AA21273" w14:textId="77777777" w:rsidR="0041635E" w:rsidRDefault="0041635E" w:rsidP="0041635E">
      <w:r>
        <w:t>Customers participating in the first Smart Ticketing trial on Queensland Rail’s network have embraced the new ways to plan and pay for public transport in South East Queensland.</w:t>
      </w:r>
    </w:p>
    <w:p w14:paraId="2E2CBA5E" w14:textId="03F4AB36" w:rsidR="0041635E" w:rsidRDefault="0041635E" w:rsidP="0041635E">
      <w:r>
        <w:t>Launched on the Ferny Grove line on 6 June 2022, more than 98.4 per cent of the 21,500 Smart Ticketing customers surveyed during the month of June provided positive feedback.</w:t>
      </w:r>
    </w:p>
    <w:p w14:paraId="04F6825E" w14:textId="77777777" w:rsidR="0041635E" w:rsidRDefault="0041635E" w:rsidP="0041635E">
      <w:r>
        <w:t>Customers welcomed the new ways to pay with Visa, Mastercard and American Express and described new pink Smart Ticketing equipment as easy to use and identify during transit. Developed by Gilimbaa artist, Elisa Jane Carmichael (Quandamooka)</w:t>
      </w:r>
    </w:p>
    <w:p w14:paraId="7FF3F7EF" w14:textId="77777777" w:rsidR="0041635E" w:rsidRDefault="0041635E" w:rsidP="0041635E">
      <w:r>
        <w:t>‘The Connecting Thread’ artwork design on the equipment symbolises and reflects the unique landscape of Queensland, exploring rainforest, bush, freshwater, saltwater, desert and the pathways that connect country and people.</w:t>
      </w:r>
    </w:p>
    <w:p w14:paraId="32C9048F" w14:textId="4D7B76F9" w:rsidR="00E66D57" w:rsidRDefault="0041635E" w:rsidP="0041635E">
      <w:r>
        <w:t>Nearly 23,000 Smart Ticketing trips were made by customers on the Ferny Grove line trial to 30 June 2022. The Ferny Grove trial comes on the back of the successful Smart Ticketing trial on the Gold Coast Light Rail (G:link) in December 2020, which recorded more than 1.16 million Smart Ticketing trips to 30 June 2022.</w:t>
      </w:r>
    </w:p>
    <w:p w14:paraId="3323E552" w14:textId="77777777" w:rsidR="00E66D57" w:rsidRPr="000671EC" w:rsidRDefault="00E66D57" w:rsidP="006800C7"/>
    <w:p w14:paraId="72737309" w14:textId="77777777" w:rsidR="006800C7" w:rsidRDefault="006800C7" w:rsidP="006800C7">
      <w:pPr>
        <w:pStyle w:val="Heading2"/>
      </w:pPr>
      <w:r>
        <w:t xml:space="preserve">Engaging with Industry </w:t>
      </w:r>
    </w:p>
    <w:p w14:paraId="521124D1" w14:textId="74CDBCD2" w:rsidR="006800C7" w:rsidRDefault="0041635E" w:rsidP="006800C7">
      <w:pPr>
        <w:pStyle w:val="Heading4"/>
      </w:pPr>
      <w:r>
        <w:t xml:space="preserve">National Services Transition to the National Heavy Vehicle Regulator </w:t>
      </w:r>
    </w:p>
    <w:p w14:paraId="3918D146" w14:textId="45D66852" w:rsidR="009137A0" w:rsidRDefault="009137A0" w:rsidP="009137A0">
      <w:r>
        <w:t>The National Services Transition is an operational reform program being undertaken by TMR and the National Heavy Vehicle Regulator. It will investigate a potential transition of TMR’s heavy vehicle regulatory services, such as on-road heavy vehicle compliance, to the National Heavy Vehicle Regulator for direct delivery.</w:t>
      </w:r>
    </w:p>
    <w:p w14:paraId="08214FD0" w14:textId="77777777" w:rsidR="009137A0" w:rsidRDefault="009137A0" w:rsidP="009137A0">
      <w:r>
        <w:t>In July 2021, the Minister for Transport and Main Roads announced Queensland’s involvement in the National Services Transition Program, which aims to provide consistent and streamlined regulation of heavy vehicles across participating Australian jurisdictions. Queensland is the last participating jurisdiction to investigate a transition of services to the National Heavy Vehicle Regulator.</w:t>
      </w:r>
    </w:p>
    <w:p w14:paraId="40B7321B" w14:textId="00FF88D4" w:rsidR="0041635E" w:rsidRDefault="009137A0" w:rsidP="009137A0">
      <w:r>
        <w:t>TMR is undertaking a detailed due diligence process to ensure a strong understanding of existing service delivery arrangements that will inform the draft National Heavy Vehicle Regulator Concept of Operations. This collaborative process will guide how future heavy vehicle regulation will be conducted in Queensland.</w:t>
      </w:r>
    </w:p>
    <w:p w14:paraId="241CC0EA" w14:textId="22CDECDF" w:rsidR="006800C7" w:rsidRDefault="006800C7" w:rsidP="006800C7">
      <w:pPr>
        <w:pStyle w:val="Heading4"/>
      </w:pPr>
      <w:r>
        <w:t>Heavy Vehicle N</w:t>
      </w:r>
      <w:r w:rsidR="009137A0">
        <w:t>ational Notice development</w:t>
      </w:r>
    </w:p>
    <w:p w14:paraId="43F4F20F" w14:textId="77777777" w:rsidR="006A796E" w:rsidRDefault="006A796E" w:rsidP="006A796E">
      <w:r>
        <w:t>TMR has continued to work closely with the National Heavy Vehicle Regulator and Queensland industry to develop National Notices.</w:t>
      </w:r>
    </w:p>
    <w:p w14:paraId="6D517F09" w14:textId="77777777" w:rsidR="006A796E" w:rsidRDefault="006A796E" w:rsidP="006A796E">
      <w:r>
        <w:lastRenderedPageBreak/>
        <w:t>These notices provide an alternative means of efficiently providing heavy vehicle access to Queensland’s road network, without the requirement for a permit.</w:t>
      </w:r>
    </w:p>
    <w:p w14:paraId="64FA63C8" w14:textId="4EC15CEE" w:rsidR="009137A0" w:rsidRDefault="006A796E" w:rsidP="006A796E">
      <w:r>
        <w:t>During 2021–22, a new Notice for Special Purpose Vehicles, such as heavy mobile cranes, weighing up to 40 tonnes, was developed and other National Notices have been enhanced to ensure practicality for industry stakeholders.</w:t>
      </w:r>
    </w:p>
    <w:p w14:paraId="4593DB40" w14:textId="77777777" w:rsidR="006800C7" w:rsidRDefault="006800C7" w:rsidP="006800C7">
      <w:pPr>
        <w:pStyle w:val="Heading4"/>
      </w:pPr>
      <w:r>
        <w:t xml:space="preserve">Industry relationships </w:t>
      </w:r>
    </w:p>
    <w:p w14:paraId="3197C467" w14:textId="7355FC11" w:rsidR="00437F82" w:rsidRDefault="00437F82" w:rsidP="00437F82">
      <w:r>
        <w:t>In 2021–22, TMR worked closely with industry groups to develop new and updated specifications and technical notes to assist industry in delivering effectively for all Queenslanders.</w:t>
      </w:r>
    </w:p>
    <w:p w14:paraId="26567CA9" w14:textId="77777777" w:rsidR="00437F82" w:rsidRDefault="00437F82" w:rsidP="00437F82">
      <w:r>
        <w:t>TMR continued to engage with and consult, different stakeholders on an ongoing basis. These include but are not limited to:</w:t>
      </w:r>
    </w:p>
    <w:p w14:paraId="5EF91FAE" w14:textId="4BBC1720" w:rsidR="00437F82" w:rsidRDefault="00437F82" w:rsidP="00437F82">
      <w:pPr>
        <w:pStyle w:val="ListBullet"/>
      </w:pPr>
      <w:r>
        <w:t>AustRoads</w:t>
      </w:r>
    </w:p>
    <w:p w14:paraId="16415092" w14:textId="096CE0E7" w:rsidR="00437F82" w:rsidRDefault="00437F82" w:rsidP="00437F82">
      <w:pPr>
        <w:pStyle w:val="ListBullet"/>
      </w:pPr>
      <w:r>
        <w:t>Australasian Railway Association</w:t>
      </w:r>
    </w:p>
    <w:p w14:paraId="62BCBC44" w14:textId="66C43D2B" w:rsidR="00437F82" w:rsidRDefault="00437F82" w:rsidP="00437F82">
      <w:pPr>
        <w:pStyle w:val="ListBullet"/>
      </w:pPr>
      <w:r>
        <w:t>Queensland Bus Industry Council</w:t>
      </w:r>
    </w:p>
    <w:p w14:paraId="7D8F64A0" w14:textId="62DB3EFA" w:rsidR="00437F82" w:rsidRDefault="00437F82" w:rsidP="00437F82">
      <w:pPr>
        <w:pStyle w:val="ListBullet"/>
      </w:pPr>
      <w:r>
        <w:t>Public Transport Association Australia New Zealand</w:t>
      </w:r>
    </w:p>
    <w:p w14:paraId="01144BDC" w14:textId="33562AA0" w:rsidR="00437F82" w:rsidRDefault="00437F82" w:rsidP="00437F82">
      <w:pPr>
        <w:pStyle w:val="ListBullet"/>
      </w:pPr>
      <w:r>
        <w:t>Australian Flexible Pavement Association</w:t>
      </w:r>
    </w:p>
    <w:p w14:paraId="02AEE29C" w14:textId="2EBEAB3A" w:rsidR="00437F82" w:rsidRDefault="00437F82" w:rsidP="00437F82">
      <w:pPr>
        <w:pStyle w:val="ListBullet"/>
      </w:pPr>
      <w:r>
        <w:t>Cement and Concrete Aggregates Australia</w:t>
      </w:r>
    </w:p>
    <w:p w14:paraId="0A382A2E" w14:textId="2D5330C8" w:rsidR="00437F82" w:rsidRDefault="00437F82" w:rsidP="00437F82">
      <w:pPr>
        <w:pStyle w:val="ListBullet"/>
      </w:pPr>
      <w:r>
        <w:t>Civil Contractors Federation</w:t>
      </w:r>
    </w:p>
    <w:p w14:paraId="27B6EBD5" w14:textId="22399ABD" w:rsidR="00437F82" w:rsidRDefault="00437F82" w:rsidP="00437F82">
      <w:pPr>
        <w:pStyle w:val="ListBullet"/>
      </w:pPr>
      <w:r>
        <w:t>Waste Recycling Industry Association of Queensland</w:t>
      </w:r>
    </w:p>
    <w:p w14:paraId="2F820FA9" w14:textId="5DA652EB" w:rsidR="00437F82" w:rsidRDefault="00437F82" w:rsidP="00437F82">
      <w:pPr>
        <w:pStyle w:val="ListBullet"/>
      </w:pPr>
      <w:r>
        <w:t>Consult Australia</w:t>
      </w:r>
    </w:p>
    <w:p w14:paraId="2B9F997E" w14:textId="1F176DF2" w:rsidR="00437F82" w:rsidRDefault="00437F82" w:rsidP="00437F82">
      <w:pPr>
        <w:pStyle w:val="ListBullet"/>
      </w:pPr>
      <w:r>
        <w:t>Queensland Major Contactors Association</w:t>
      </w:r>
    </w:p>
    <w:p w14:paraId="24D03B1C" w14:textId="4AB1C3E0" w:rsidR="00437F82" w:rsidRDefault="00437F82" w:rsidP="00437F82">
      <w:pPr>
        <w:pStyle w:val="ListBullet"/>
      </w:pPr>
      <w:r>
        <w:t>RACQ</w:t>
      </w:r>
    </w:p>
    <w:p w14:paraId="63786DD2" w14:textId="40067683" w:rsidR="00437F82" w:rsidRDefault="00437F82" w:rsidP="00437F82">
      <w:pPr>
        <w:pStyle w:val="ListBullet"/>
      </w:pPr>
      <w:r>
        <w:t>ITS Australia</w:t>
      </w:r>
    </w:p>
    <w:p w14:paraId="1E1A0A87" w14:textId="5CE0DCAF" w:rsidR="00437F82" w:rsidRDefault="00437F82" w:rsidP="00437F82">
      <w:pPr>
        <w:pStyle w:val="ListBullet"/>
      </w:pPr>
      <w:r>
        <w:t>Roads Australia</w:t>
      </w:r>
    </w:p>
    <w:p w14:paraId="68128C78" w14:textId="585E5413" w:rsidR="00437F82" w:rsidRDefault="00437F82" w:rsidP="00437F82">
      <w:pPr>
        <w:pStyle w:val="ListBullet"/>
      </w:pPr>
      <w:r>
        <w:t>AustStab</w:t>
      </w:r>
    </w:p>
    <w:p w14:paraId="2AA3D6F9" w14:textId="78B88D89" w:rsidR="00437F82" w:rsidRDefault="00437F82" w:rsidP="00437F82">
      <w:pPr>
        <w:pStyle w:val="ListBullet"/>
      </w:pPr>
      <w:r>
        <w:t>Engineers Australia</w:t>
      </w:r>
    </w:p>
    <w:p w14:paraId="6A7AE034" w14:textId="292287F8" w:rsidR="00437F82" w:rsidRDefault="00437F82" w:rsidP="00437F82">
      <w:pPr>
        <w:pStyle w:val="ListBullet"/>
      </w:pPr>
      <w:r>
        <w:t>Australian New Car Assessment Program</w:t>
      </w:r>
    </w:p>
    <w:p w14:paraId="06F80B41" w14:textId="77647F19" w:rsidR="00437F82" w:rsidRDefault="00437F82" w:rsidP="00437F82">
      <w:pPr>
        <w:pStyle w:val="ListBullet"/>
      </w:pPr>
      <w:r>
        <w:t>Queensland Trucking Association and Livestock Carriers</w:t>
      </w:r>
    </w:p>
    <w:p w14:paraId="74D4605A" w14:textId="1A0A20AF" w:rsidR="00437F82" w:rsidRDefault="00437F82" w:rsidP="00437F82">
      <w:pPr>
        <w:pStyle w:val="ListBullet"/>
      </w:pPr>
      <w:r>
        <w:t>Institute of Public Works Engineers Australia</w:t>
      </w:r>
    </w:p>
    <w:p w14:paraId="12814F30" w14:textId="0E0A79D5" w:rsidR="00437F82" w:rsidRDefault="00437F82" w:rsidP="00437F82">
      <w:pPr>
        <w:pStyle w:val="ListBullet"/>
      </w:pPr>
      <w:r>
        <w:t>Infrastructure Association of Queensland.</w:t>
      </w:r>
    </w:p>
    <w:p w14:paraId="58409978" w14:textId="074BE7D1" w:rsidR="00437F82" w:rsidRDefault="00437F82" w:rsidP="00437F82">
      <w:r>
        <w:t>TMR worked closely with Queensland industry partners at a national level via Austroads. The collective is comprised of Australian and New Zealand transport agencies which represent all levels of government.</w:t>
      </w:r>
    </w:p>
    <w:p w14:paraId="2B17BBF2" w14:textId="0FDD03C5" w:rsidR="00437F82" w:rsidRDefault="00437F82" w:rsidP="00437F82">
      <w:r>
        <w:t>Through the National Asset Centre of Excellence, an initiative by TMR and the Australian Roads Research Board, a range of new collaborative research activities are in progress.</w:t>
      </w:r>
    </w:p>
    <w:p w14:paraId="70738C1B" w14:textId="48920A0E" w:rsidR="006A796E" w:rsidRDefault="00437F82" w:rsidP="00437F82">
      <w:r>
        <w:t>The Transport Infrastructure Collaboration Taskforce, a joint forum between the department and the civil transport industry, was established in 2021 to drive greater collaboration in procurement and delivery to address key industry challenges. The Taskforce delivered two key outputs in 2021–22, the TMR-Infrastructure Industry Engagement Charter and the Collaborative Procurement and Delivery Model Concept Paper.</w:t>
      </w:r>
    </w:p>
    <w:p w14:paraId="557CEFC0" w14:textId="2A743E59" w:rsidR="006800C7" w:rsidRDefault="002578E6" w:rsidP="006800C7">
      <w:pPr>
        <w:pStyle w:val="Heading4"/>
      </w:pPr>
      <w:r>
        <w:lastRenderedPageBreak/>
        <w:t xml:space="preserve">Queensland Freight Action Plan </w:t>
      </w:r>
    </w:p>
    <w:p w14:paraId="0C175A61" w14:textId="77777777" w:rsidR="00085F8F" w:rsidRDefault="00085F8F" w:rsidP="00085F8F">
      <w:r>
        <w:t xml:space="preserve">The </w:t>
      </w:r>
      <w:r w:rsidRPr="00085F8F">
        <w:rPr>
          <w:rStyle w:val="Emphasis"/>
        </w:rPr>
        <w:t>Queensland Freight Action Plan</w:t>
      </w:r>
      <w:r>
        <w:t xml:space="preserve"> is a rolling two-year plan which actively supports and informs a range of national, state, regional and local government plans.</w:t>
      </w:r>
    </w:p>
    <w:p w14:paraId="4A31E007" w14:textId="48DC2816" w:rsidR="00085F8F" w:rsidRDefault="00085F8F" w:rsidP="00085F8F">
      <w:r>
        <w:t xml:space="preserve">This ensures a clear line of sight, and alignment with Our Future State - Advancing Queensland’s Priorities, TMR’s strategic plan, the </w:t>
      </w:r>
      <w:r w:rsidRPr="008F5DBA">
        <w:rPr>
          <w:rStyle w:val="Emphasis"/>
        </w:rPr>
        <w:t>Queensland Freight Strategy—Advancing Freight in Queensland, National Freight and Supply Chain Strategy and National Action Plan.</w:t>
      </w:r>
    </w:p>
    <w:p w14:paraId="31E09A44" w14:textId="77777777" w:rsidR="00085F8F" w:rsidRDefault="00085F8F" w:rsidP="00085F8F">
      <w:r>
        <w:t>It supports Queensland’s freight system as a key enabler for the vital components of our economy, including production, distribution and trade.</w:t>
      </w:r>
    </w:p>
    <w:p w14:paraId="3FB96A26" w14:textId="77777777" w:rsidR="00085F8F" w:rsidRDefault="00085F8F" w:rsidP="00085F8F">
      <w:r>
        <w:t>Through collaboration with industry, it provides the opportunity for businesses to be efficient, keep shelves stocked, deliver online shopping, access construction materials on site when needed and for household waste to be collected every week.</w:t>
      </w:r>
    </w:p>
    <w:p w14:paraId="353D2EE3" w14:textId="77777777" w:rsidR="00085F8F" w:rsidRDefault="00085F8F" w:rsidP="00085F8F">
      <w:r>
        <w:t xml:space="preserve">The </w:t>
      </w:r>
      <w:r w:rsidRPr="008F5DBA">
        <w:rPr>
          <w:rStyle w:val="Emphasis"/>
        </w:rPr>
        <w:t>Queensland Freight Action Plan</w:t>
      </w:r>
      <w:r>
        <w:t xml:space="preserve"> is consistent with </w:t>
      </w:r>
      <w:r w:rsidRPr="008F5DBA">
        <w:rPr>
          <w:rStyle w:val="Emphasis"/>
        </w:rPr>
        <w:t>the Queensland Freight Strategy—Advancing Freight</w:t>
      </w:r>
      <w:r>
        <w:t xml:space="preserve"> in Queensland’s shared commitments and critical enablers including:</w:t>
      </w:r>
    </w:p>
    <w:p w14:paraId="073C920F" w14:textId="208B806D" w:rsidR="00085F8F" w:rsidRDefault="00085F8F" w:rsidP="00085F8F">
      <w:pPr>
        <w:pStyle w:val="ListBullet"/>
      </w:pPr>
      <w:r>
        <w:t>build effective partnerships</w:t>
      </w:r>
    </w:p>
    <w:p w14:paraId="39BC09E3" w14:textId="5088FD99" w:rsidR="00085F8F" w:rsidRDefault="00085F8F" w:rsidP="00085F8F">
      <w:pPr>
        <w:pStyle w:val="ListBullet"/>
      </w:pPr>
      <w:r>
        <w:t>unlock economic opportunity</w:t>
      </w:r>
    </w:p>
    <w:p w14:paraId="7DD42B65" w14:textId="68514D27" w:rsidR="00085F8F" w:rsidRDefault="00085F8F" w:rsidP="00085F8F">
      <w:pPr>
        <w:pStyle w:val="ListBullet"/>
      </w:pPr>
      <w:r>
        <w:t>smarter connectivity and access</w:t>
      </w:r>
    </w:p>
    <w:p w14:paraId="4F91AB0A" w14:textId="1CF72398" w:rsidR="00085F8F" w:rsidRDefault="00085F8F" w:rsidP="00085F8F">
      <w:pPr>
        <w:pStyle w:val="ListBullet"/>
      </w:pPr>
      <w:r>
        <w:t>resilient freight system</w:t>
      </w:r>
    </w:p>
    <w:p w14:paraId="225B8776" w14:textId="0ADD2D48" w:rsidR="00085F8F" w:rsidRDefault="00085F8F" w:rsidP="00085F8F">
      <w:pPr>
        <w:pStyle w:val="ListBullet"/>
      </w:pPr>
      <w:r>
        <w:t>safer freight movements</w:t>
      </w:r>
    </w:p>
    <w:p w14:paraId="2C6871C4" w14:textId="51CF9109" w:rsidR="00085F8F" w:rsidRDefault="00085F8F" w:rsidP="00085F8F">
      <w:pPr>
        <w:pStyle w:val="ListBullet"/>
      </w:pPr>
      <w:r>
        <w:t>quality freight data</w:t>
      </w:r>
    </w:p>
    <w:p w14:paraId="138D6B7F" w14:textId="33DFC333" w:rsidR="00BE52C2" w:rsidRDefault="00085F8F" w:rsidP="00085F8F">
      <w:pPr>
        <w:pStyle w:val="ListBullet"/>
      </w:pPr>
      <w:r>
        <w:t>skilled workforce.</w:t>
      </w:r>
    </w:p>
    <w:p w14:paraId="553E87ED" w14:textId="3C4559D7" w:rsidR="008D2B32" w:rsidRPr="002F092B" w:rsidRDefault="008D2B32" w:rsidP="008D2B32">
      <w:pPr>
        <w:pStyle w:val="MoreInformation"/>
      </w:pPr>
      <w:r w:rsidRPr="002F092B">
        <w:t>For more information</w:t>
      </w:r>
      <w:r w:rsidRPr="002F092B">
        <w:br/>
      </w:r>
      <w:hyperlink r:id="rId108" w:history="1">
        <w:r w:rsidR="00EA001C" w:rsidRPr="00EA001C">
          <w:rPr>
            <w:rStyle w:val="Hyperlink"/>
          </w:rPr>
          <w:t>https://www.tmr.qld.gov.au/business-industry/Transport-sectors/Freight/Queensland-freight-strategy-advancing-freight</w:t>
        </w:r>
      </w:hyperlink>
    </w:p>
    <w:p w14:paraId="2F351ECB" w14:textId="7077331C" w:rsidR="006800C7" w:rsidRDefault="00F537D5" w:rsidP="006800C7">
      <w:pPr>
        <w:pStyle w:val="Heading4"/>
      </w:pPr>
      <w:r>
        <w:t xml:space="preserve">Heavy vehicle rest area trial </w:t>
      </w:r>
    </w:p>
    <w:p w14:paraId="1843E054" w14:textId="08539D63" w:rsidR="00A579DC" w:rsidRDefault="00A579DC" w:rsidP="00A579DC">
      <w:r>
        <w:t>The Bruce Highway heavy vehicle rest area trial began in 2020 to provide heavy vehicle drivers with real-time information about the availability of rest areas.</w:t>
      </w:r>
    </w:p>
    <w:p w14:paraId="7D117062" w14:textId="083BCF4C" w:rsidR="00A579DC" w:rsidRDefault="00A579DC" w:rsidP="00A579DC">
      <w:r>
        <w:t xml:space="preserve">The availability of this information has enabled drivers to better plan their journeys and rest breaks. The trial was in response to the </w:t>
      </w:r>
      <w:r w:rsidRPr="00A579DC">
        <w:rPr>
          <w:rStyle w:val="Emphasis"/>
        </w:rPr>
        <w:t>Heavy Vehicle Safety Action Plan 2019–21</w:t>
      </w:r>
      <w:r>
        <w:t>.</w:t>
      </w:r>
    </w:p>
    <w:p w14:paraId="2111595D" w14:textId="77777777" w:rsidR="00A579DC" w:rsidRDefault="00A579DC" w:rsidP="00A579DC">
      <w:r>
        <w:t>Intelligent Transport Systems technologies were installed at heavy vehicle rest areas along the Bruce Highway during 2021–22 at:</w:t>
      </w:r>
    </w:p>
    <w:p w14:paraId="319DFEB5" w14:textId="02C25296" w:rsidR="00A579DC" w:rsidRDefault="00A579DC" w:rsidP="00A579DC">
      <w:pPr>
        <w:pStyle w:val="ListBullet"/>
      </w:pPr>
      <w:r>
        <w:t>Ogmore</w:t>
      </w:r>
    </w:p>
    <w:p w14:paraId="154128E5" w14:textId="7C56D2B3" w:rsidR="00A579DC" w:rsidRDefault="00A579DC" w:rsidP="00A579DC">
      <w:pPr>
        <w:pStyle w:val="ListBullet"/>
      </w:pPr>
      <w:r>
        <w:t>Gin Gin</w:t>
      </w:r>
    </w:p>
    <w:p w14:paraId="7FCA8313" w14:textId="47E37FE4" w:rsidR="00A579DC" w:rsidRDefault="00A579DC" w:rsidP="00A579DC">
      <w:pPr>
        <w:pStyle w:val="ListBullet"/>
      </w:pPr>
      <w:r>
        <w:t>Miriam Vale</w:t>
      </w:r>
    </w:p>
    <w:p w14:paraId="17135E59" w14:textId="1AA81A27" w:rsidR="00A579DC" w:rsidRDefault="00A579DC" w:rsidP="00A579DC">
      <w:pPr>
        <w:pStyle w:val="ListBullet"/>
      </w:pPr>
      <w:r>
        <w:t>Waverly Creek</w:t>
      </w:r>
    </w:p>
    <w:p w14:paraId="5D174C47" w14:textId="22DA5BC9" w:rsidR="00A579DC" w:rsidRDefault="00A579DC" w:rsidP="00A579DC">
      <w:pPr>
        <w:pStyle w:val="ListBullet"/>
      </w:pPr>
      <w:r>
        <w:t>Christmas Creek</w:t>
      </w:r>
    </w:p>
    <w:p w14:paraId="61D638BA" w14:textId="4E913EC1" w:rsidR="00A579DC" w:rsidRDefault="00A579DC" w:rsidP="00A579DC">
      <w:pPr>
        <w:pStyle w:val="ListBullet"/>
      </w:pPr>
      <w:r>
        <w:t>Helens Hill</w:t>
      </w:r>
    </w:p>
    <w:p w14:paraId="724B17DA" w14:textId="597720CB" w:rsidR="00A579DC" w:rsidRDefault="00A579DC" w:rsidP="00A579DC">
      <w:pPr>
        <w:pStyle w:val="ListBullet"/>
      </w:pPr>
      <w:r>
        <w:t>Warrego Highway</w:t>
      </w:r>
    </w:p>
    <w:p w14:paraId="45DEEFB2" w14:textId="7A77982C" w:rsidR="00A579DC" w:rsidRDefault="00A579DC" w:rsidP="00A579DC">
      <w:pPr>
        <w:pStyle w:val="ListBullet"/>
      </w:pPr>
      <w:r>
        <w:t>Gregory Developmental Road</w:t>
      </w:r>
    </w:p>
    <w:p w14:paraId="149E4FEA" w14:textId="36678199" w:rsidR="00A579DC" w:rsidRDefault="00A579DC" w:rsidP="00A579DC">
      <w:pPr>
        <w:pStyle w:val="ListBullet"/>
      </w:pPr>
      <w:r>
        <w:lastRenderedPageBreak/>
        <w:t>Landsborough Highway</w:t>
      </w:r>
    </w:p>
    <w:p w14:paraId="186C8C17" w14:textId="24A0D202" w:rsidR="00A579DC" w:rsidRDefault="00A579DC" w:rsidP="00A579DC">
      <w:pPr>
        <w:pStyle w:val="ListBullet"/>
      </w:pPr>
      <w:r>
        <w:t>Flinders Highway.</w:t>
      </w:r>
    </w:p>
    <w:p w14:paraId="17471E28" w14:textId="77777777" w:rsidR="00A579DC" w:rsidRDefault="00A579DC" w:rsidP="00A579DC">
      <w:r>
        <w:t>The rest area upgrades during 2021–22 include:</w:t>
      </w:r>
    </w:p>
    <w:p w14:paraId="1E5CA92B" w14:textId="0C930292" w:rsidR="00A579DC" w:rsidRDefault="00A579DC" w:rsidP="00A579DC">
      <w:pPr>
        <w:pStyle w:val="ListBullet"/>
      </w:pPr>
      <w:r>
        <w:t xml:space="preserve">advanced information roadside warning signs approximately 10 kilometres ahead of the rest area to provide </w:t>
      </w:r>
      <w:r w:rsidR="0080664D">
        <w:t>in</w:t>
      </w:r>
      <w:r>
        <w:t>formation on parking availability in real-time</w:t>
      </w:r>
    </w:p>
    <w:p w14:paraId="63D298C8" w14:textId="758F49EF" w:rsidR="00A579DC" w:rsidRDefault="00A579DC" w:rsidP="00A579DC">
      <w:pPr>
        <w:pStyle w:val="ListBullet"/>
      </w:pPr>
      <w:r>
        <w:t>solar powered lighting and solar and wind power</w:t>
      </w:r>
    </w:p>
    <w:p w14:paraId="213C1969" w14:textId="45FED5D8" w:rsidR="00A579DC" w:rsidRDefault="00A579DC" w:rsidP="00A579DC">
      <w:pPr>
        <w:pStyle w:val="ListBullet"/>
      </w:pPr>
      <w:r>
        <w:t>Closed-Circuit Television Cameras (CCTV)</w:t>
      </w:r>
    </w:p>
    <w:p w14:paraId="19A78213" w14:textId="31607D93" w:rsidR="00A579DC" w:rsidRDefault="00A579DC" w:rsidP="00A579DC">
      <w:pPr>
        <w:pStyle w:val="ListBullet"/>
      </w:pPr>
      <w:r>
        <w:t>automatic number plate recognition cameras to increase safety and security for drivers at the rest area.</w:t>
      </w:r>
    </w:p>
    <w:p w14:paraId="414A36F2" w14:textId="0F8C006F" w:rsidR="006800C7" w:rsidRDefault="00A579DC" w:rsidP="00A579DC">
      <w:r>
        <w:t>Feedback from the trial has been positive, with more drivers using the heavy vehicle rest stops.</w:t>
      </w:r>
    </w:p>
    <w:p w14:paraId="0132B2B0" w14:textId="77777777" w:rsidR="00F537D5" w:rsidRDefault="00F537D5" w:rsidP="00F537D5">
      <w:pPr>
        <w:pStyle w:val="Heading4"/>
      </w:pPr>
      <w:r>
        <w:t>Temporary traffic management harmonisation</w:t>
      </w:r>
    </w:p>
    <w:p w14:paraId="6C76C3FA" w14:textId="73889FFF" w:rsidR="005B7920" w:rsidRDefault="005B7920" w:rsidP="005B7920">
      <w:r>
        <w:t>In 2021–22, TMR remained committed to ensuring the safety of road users and workers at road work sites across Queensland. TMR harmonised the Manual of Uniform Traffic Control Devices and temporary traffic management standards in Queensland with nationally recognised best practices of Australian Standard 1742.3 (2019) and Austroads Guide to Temporary Traffic Management.</w:t>
      </w:r>
    </w:p>
    <w:p w14:paraId="4AB0F70D" w14:textId="1900BFA4" w:rsidR="005B7920" w:rsidRDefault="005B7920" w:rsidP="005B7920">
      <w:r>
        <w:t>The new standards improve protection for workers when they are performing construction and maintenance work on our roads and ensures the network remains accessible to all road users who need to travel through road work sites.</w:t>
      </w:r>
    </w:p>
    <w:p w14:paraId="37FD3B21" w14:textId="607CD096" w:rsidR="005B7920" w:rsidRDefault="005B7920" w:rsidP="005B7920">
      <w:r>
        <w:t>TMR is also working with a national reference group to establish the Austroads Innovative Temporary Traffic Management Device and Solution Assessment which will assess innovative devices and solutions for use in temporary traffic management environments on public roads in Australia and New Zealand.</w:t>
      </w:r>
    </w:p>
    <w:p w14:paraId="0DF5A8EA" w14:textId="08D23477" w:rsidR="00F537D5" w:rsidRDefault="005B7920" w:rsidP="005B7920">
      <w:r>
        <w:t>TMR continues to engage with industry to improve compliance with these standards and to identify innovative practices that improve safety outcomes.</w:t>
      </w:r>
    </w:p>
    <w:p w14:paraId="1CD9511A" w14:textId="77777777" w:rsidR="00F537D5" w:rsidRPr="00493FC3" w:rsidRDefault="00F537D5" w:rsidP="006800C7"/>
    <w:p w14:paraId="572AC7E4" w14:textId="77777777" w:rsidR="006800C7" w:rsidRDefault="006800C7" w:rsidP="006800C7">
      <w:pPr>
        <w:pStyle w:val="Heading2"/>
      </w:pPr>
      <w:r w:rsidRPr="001037F8">
        <w:t>Delivering with partners</w:t>
      </w:r>
    </w:p>
    <w:p w14:paraId="1F4357D6" w14:textId="77777777" w:rsidR="006800C7" w:rsidRDefault="006800C7" w:rsidP="006800C7">
      <w:pPr>
        <w:pStyle w:val="Heading4"/>
      </w:pPr>
      <w:r>
        <w:t>Wheelchair Accessible Taxi Grant Scheme</w:t>
      </w:r>
    </w:p>
    <w:p w14:paraId="671C7D9F" w14:textId="043FFAD7" w:rsidR="009B3EB3" w:rsidRDefault="009B3EB3" w:rsidP="009B3EB3">
      <w:r>
        <w:t>Now in its third year, the four-year Wheelchair Accessible Taxi Funding program continues to modernise Queensland’s fleet of wheelchair accessible taxis.</w:t>
      </w:r>
    </w:p>
    <w:p w14:paraId="2B1674BF" w14:textId="4B085D61" w:rsidR="009B3EB3" w:rsidRDefault="009B3EB3" w:rsidP="009B3EB3">
      <w:r>
        <w:t>The $21 million program supports the taxi industry by providing accessible transport options for people with reduced mobility.</w:t>
      </w:r>
    </w:p>
    <w:p w14:paraId="134803EE" w14:textId="56F99B1C" w:rsidR="009B3EB3" w:rsidRDefault="009B3EB3" w:rsidP="009B3EB3">
      <w:r>
        <w:t>Funding was provided for new wheelchair accessible taxis to replace ageing vehicles or those written off by an accredited insurance provider, such as unrepairable or too costly, to repair.</w:t>
      </w:r>
    </w:p>
    <w:p w14:paraId="34C207D1" w14:textId="45206E20" w:rsidR="009B3EB3" w:rsidRDefault="009B3EB3" w:rsidP="009B3EB3">
      <w:r>
        <w:t>The program also offers funding for replacing a conventional taxi with a wheelchair accessible taxi in some areas. Eligible taxi operators can apply for 50 per cent funding (a maximum of</w:t>
      </w:r>
      <w:r w:rsidR="006E03AC">
        <w:t xml:space="preserve"> </w:t>
      </w:r>
      <w:r>
        <w:t>$45,000) towards the purchase of a new vehicle.</w:t>
      </w:r>
    </w:p>
    <w:p w14:paraId="254B2326" w14:textId="6BF23C31" w:rsidR="009B3EB3" w:rsidRDefault="009B3EB3" w:rsidP="009B3EB3">
      <w:r>
        <w:lastRenderedPageBreak/>
        <w:t>The scheme is administered by the Queensland Rural and Industry Development Authority. A total of 118 applications were received from across Queensland in 2021–22 of which, 105 were approved. In total, since inception, 275 applications have been received, 234 approved and 187 fulfilled and vehicles operating.</w:t>
      </w:r>
    </w:p>
    <w:p w14:paraId="1E2A8832" w14:textId="77777777" w:rsidR="006800C7" w:rsidRDefault="006800C7" w:rsidP="006800C7">
      <w:pPr>
        <w:pStyle w:val="MoreInformation"/>
      </w:pPr>
      <w:r>
        <w:t>For more information</w:t>
      </w:r>
      <w:r>
        <w:br/>
      </w:r>
      <w:hyperlink r:id="rId109" w:history="1">
        <w:r w:rsidRPr="00724887">
          <w:rPr>
            <w:rStyle w:val="Hyperlink"/>
          </w:rPr>
          <w:t>https://www.tmr.qld.gov.au/business-industry/Taxi-and-limousine/Industry-information/Taxi/Wheelchair-accessible-taxis</w:t>
        </w:r>
      </w:hyperlink>
      <w:r>
        <w:t xml:space="preserve"> </w:t>
      </w:r>
    </w:p>
    <w:p w14:paraId="60B79943" w14:textId="77777777" w:rsidR="006800C7" w:rsidRDefault="006800C7" w:rsidP="006800C7">
      <w:pPr>
        <w:pStyle w:val="Heading4"/>
      </w:pPr>
      <w:r w:rsidRPr="004A5FCE">
        <w:t xml:space="preserve">Bus </w:t>
      </w:r>
      <w:r>
        <w:t>d</w:t>
      </w:r>
      <w:r w:rsidRPr="004A5FCE">
        <w:t xml:space="preserve">river </w:t>
      </w:r>
      <w:r>
        <w:t>s</w:t>
      </w:r>
      <w:r w:rsidRPr="004A5FCE">
        <w:t xml:space="preserve">afety </w:t>
      </w:r>
      <w:r>
        <w:t>initiatives</w:t>
      </w:r>
    </w:p>
    <w:p w14:paraId="369B88CA" w14:textId="05AC93AA" w:rsidR="00017FD1" w:rsidRDefault="00017FD1" w:rsidP="00017FD1">
      <w:r>
        <w:t>Following the completion of the Queensland Bus Driver Safety Scheme in 2020, TMR has continued to work with the bus industry to ensure improved safety measures such as driver barriers are incorporated in the renewal of the fleet in coming years.</w:t>
      </w:r>
    </w:p>
    <w:p w14:paraId="083EF128" w14:textId="36F949FB" w:rsidR="00017FD1" w:rsidRDefault="00017FD1" w:rsidP="00017FD1">
      <w:r>
        <w:t>An independent review of bus driver barriers by PricewaterhouseCoopers identified future approaches for bus driver barriers. In March 2022, the Minister for Transport and Main Roads announced that driver barriers would be mandatory in all new urban service vehicle purchases from 1 July 2022.</w:t>
      </w:r>
    </w:p>
    <w:p w14:paraId="71B632F1" w14:textId="77777777" w:rsidR="00017FD1" w:rsidRDefault="00017FD1" w:rsidP="00017FD1">
      <w:r>
        <w:t>Delivery partners have the flexibility to choose the barrier that best suits their operating environment, based on a risk assessment of their operating environment, consultation with their workforce and vehicle models in their fleet.</w:t>
      </w:r>
    </w:p>
    <w:p w14:paraId="5CA5E71F" w14:textId="51E2C51B" w:rsidR="00017FD1" w:rsidRDefault="00017FD1" w:rsidP="00017FD1">
      <w:r>
        <w:t>TMR is working with delivery partners to implement this approach, which also includes a focus on supporting measures such as de- escalation training.</w:t>
      </w:r>
    </w:p>
    <w:p w14:paraId="1DD964B0" w14:textId="2D5FFFBD" w:rsidR="00017FD1" w:rsidRDefault="00017FD1" w:rsidP="00017FD1">
      <w:r>
        <w:t>In partnership with the Queensland Bus Industry Council (QBIC) and Griffith University, TMR launched the Minimising Passenger Hostility de-escalation training program in June 2021 to assist drivers in managing customer aggression.</w:t>
      </w:r>
    </w:p>
    <w:p w14:paraId="4FBB1E25" w14:textId="1A8751FC" w:rsidR="00017FD1" w:rsidRDefault="00017FD1" w:rsidP="00017FD1">
      <w:r>
        <w:t>This resource is available to all urban service drivers via the QBIC website and has received positive feedback. Between June 2021 and April 2022, 352 drivers from 43 different organisations across Queensland have accessed the training.</w:t>
      </w:r>
    </w:p>
    <w:p w14:paraId="58805039" w14:textId="77777777" w:rsidR="00017FD1" w:rsidRDefault="00017FD1" w:rsidP="00017FD1">
      <w:r>
        <w:t>Bus driver safety also continued to be supported during 2021–22 through:</w:t>
      </w:r>
    </w:p>
    <w:p w14:paraId="4D92924B" w14:textId="26407306" w:rsidR="00017FD1" w:rsidRDefault="00017FD1" w:rsidP="00A96FB8">
      <w:pPr>
        <w:pStyle w:val="ListBullet"/>
      </w:pPr>
      <w:r>
        <w:t>deploying Translink Senior Network Officers in areas where incidents are occurring</w:t>
      </w:r>
    </w:p>
    <w:p w14:paraId="0B031D31" w14:textId="606486A6" w:rsidR="00017FD1" w:rsidRDefault="00017FD1" w:rsidP="00A96FB8">
      <w:pPr>
        <w:pStyle w:val="ListBullet"/>
      </w:pPr>
      <w:r>
        <w:t>delivering partner-led enforcement using Network Officers (formerly known as customer service officers) including in Townsville and Cairns</w:t>
      </w:r>
    </w:p>
    <w:p w14:paraId="1183A164" w14:textId="7149A498" w:rsidR="00017FD1" w:rsidRDefault="00017FD1" w:rsidP="00A96FB8">
      <w:pPr>
        <w:pStyle w:val="ListBullet"/>
      </w:pPr>
      <w:r>
        <w:t>implementing a smart ticketing system that will limit the driver’s role in cash handling across Queensland.</w:t>
      </w:r>
    </w:p>
    <w:p w14:paraId="4102F23D" w14:textId="20B7C67D" w:rsidR="006E03AC" w:rsidRDefault="00017FD1" w:rsidP="00017FD1">
      <w:r>
        <w:t>TMR continued to engage with industry and other key stakeholders on bus safety issues and best practice initiatives to keep bus travel safe for everyone.</w:t>
      </w:r>
    </w:p>
    <w:p w14:paraId="0960423A" w14:textId="77777777" w:rsidR="006800C7" w:rsidRDefault="006800C7" w:rsidP="006800C7">
      <w:pPr>
        <w:pStyle w:val="MoreInformation"/>
      </w:pPr>
      <w:r>
        <w:lastRenderedPageBreak/>
        <w:t>For more information</w:t>
      </w:r>
      <w:r>
        <w:br/>
      </w:r>
      <w:r w:rsidRPr="004A5FCE">
        <w:rPr>
          <w:rStyle w:val="Hyperlink"/>
        </w:rPr>
        <w:t>www.translink.com.au/about-translink/projects-and-initiatives/bus</w:t>
      </w:r>
      <w:r>
        <w:rPr>
          <w:rStyle w:val="Hyperlink"/>
        </w:rPr>
        <w:t>-</w:t>
      </w:r>
      <w:r w:rsidRPr="004A5FCE">
        <w:rPr>
          <w:rStyle w:val="Hyperlink"/>
        </w:rPr>
        <w:t>driver-safety-review</w:t>
      </w:r>
    </w:p>
    <w:p w14:paraId="38CE1A07" w14:textId="77777777" w:rsidR="0018314C" w:rsidRDefault="0018314C" w:rsidP="0018314C">
      <w:pPr>
        <w:pStyle w:val="Heading4"/>
      </w:pPr>
      <w:r>
        <w:t>Queensland Bus Driver of the Year Awards</w:t>
      </w:r>
    </w:p>
    <w:p w14:paraId="713DA313" w14:textId="77777777" w:rsidR="007252BF" w:rsidRPr="007252BF" w:rsidRDefault="007252BF" w:rsidP="007252BF">
      <w:pPr>
        <w:pStyle w:val="Heading4"/>
        <w:rPr>
          <w:iCs w:val="0"/>
          <w:color w:val="262626" w:themeColor="text1" w:themeTint="D9"/>
          <w:sz w:val="18"/>
        </w:rPr>
      </w:pPr>
      <w:r w:rsidRPr="007252BF">
        <w:rPr>
          <w:iCs w:val="0"/>
          <w:color w:val="262626" w:themeColor="text1" w:themeTint="D9"/>
          <w:sz w:val="18"/>
        </w:rPr>
        <w:t>The winners for the 2021 Bus Driver of the Year Awards were announced at the Queensland Bus Industry Council’s annual conference in April 2022.</w:t>
      </w:r>
    </w:p>
    <w:p w14:paraId="64A60DB4" w14:textId="77777777" w:rsidR="007252BF" w:rsidRPr="007252BF" w:rsidRDefault="007252BF" w:rsidP="007252BF">
      <w:pPr>
        <w:pStyle w:val="Heading4"/>
        <w:rPr>
          <w:iCs w:val="0"/>
          <w:color w:val="262626" w:themeColor="text1" w:themeTint="D9"/>
          <w:sz w:val="18"/>
        </w:rPr>
      </w:pPr>
      <w:r w:rsidRPr="007252BF">
        <w:rPr>
          <w:iCs w:val="0"/>
          <w:color w:val="262626" w:themeColor="text1" w:themeTint="D9"/>
          <w:sz w:val="18"/>
        </w:rPr>
        <w:t>The winners of each category were:</w:t>
      </w:r>
    </w:p>
    <w:p w14:paraId="5168B1B1" w14:textId="77777777" w:rsidR="007252BF" w:rsidRPr="007252BF" w:rsidRDefault="007252BF" w:rsidP="007252BF">
      <w:pPr>
        <w:pStyle w:val="Heading4"/>
        <w:rPr>
          <w:iCs w:val="0"/>
          <w:color w:val="262626" w:themeColor="text1" w:themeTint="D9"/>
          <w:sz w:val="18"/>
        </w:rPr>
      </w:pPr>
      <w:r w:rsidRPr="007252BF">
        <w:rPr>
          <w:iCs w:val="0"/>
          <w:color w:val="262626" w:themeColor="text1" w:themeTint="D9"/>
          <w:sz w:val="18"/>
        </w:rPr>
        <w:t>South East Queensland Bus Driver of the Year</w:t>
      </w:r>
    </w:p>
    <w:p w14:paraId="3875C471" w14:textId="52109071" w:rsidR="007252BF" w:rsidRPr="007252BF" w:rsidRDefault="007252BF" w:rsidP="007252BF">
      <w:pPr>
        <w:pStyle w:val="ListBullet"/>
      </w:pPr>
      <w:r w:rsidRPr="007252BF">
        <w:t>Kate Addley (Transdev, Capalaba)</w:t>
      </w:r>
    </w:p>
    <w:p w14:paraId="18FE0788" w14:textId="77777777" w:rsidR="007252BF" w:rsidRPr="007252BF" w:rsidRDefault="007252BF" w:rsidP="007252BF">
      <w:pPr>
        <w:pStyle w:val="Heading4"/>
        <w:rPr>
          <w:iCs w:val="0"/>
          <w:color w:val="262626" w:themeColor="text1" w:themeTint="D9"/>
          <w:sz w:val="18"/>
        </w:rPr>
      </w:pPr>
      <w:r w:rsidRPr="007252BF">
        <w:rPr>
          <w:iCs w:val="0"/>
          <w:color w:val="262626" w:themeColor="text1" w:themeTint="D9"/>
          <w:sz w:val="18"/>
        </w:rPr>
        <w:t>Regional Queensland Bus Driver of the Year</w:t>
      </w:r>
    </w:p>
    <w:p w14:paraId="6473B622" w14:textId="7DF586F9" w:rsidR="007252BF" w:rsidRPr="007252BF" w:rsidRDefault="007252BF" w:rsidP="007252BF">
      <w:pPr>
        <w:pStyle w:val="ListBullet"/>
      </w:pPr>
      <w:r w:rsidRPr="007252BF">
        <w:t>Jaswinder (Jessie) Singh (Bus Queensland, Toowoomba)</w:t>
      </w:r>
    </w:p>
    <w:p w14:paraId="461F2C5D" w14:textId="77777777" w:rsidR="007252BF" w:rsidRPr="007252BF" w:rsidRDefault="007252BF" w:rsidP="007252BF">
      <w:pPr>
        <w:pStyle w:val="Heading4"/>
        <w:rPr>
          <w:iCs w:val="0"/>
          <w:color w:val="262626" w:themeColor="text1" w:themeTint="D9"/>
          <w:sz w:val="18"/>
        </w:rPr>
      </w:pPr>
      <w:r w:rsidRPr="007252BF">
        <w:rPr>
          <w:iCs w:val="0"/>
          <w:color w:val="262626" w:themeColor="text1" w:themeTint="D9"/>
          <w:sz w:val="18"/>
        </w:rPr>
        <w:t>School Services Bus Driver of the Year</w:t>
      </w:r>
    </w:p>
    <w:p w14:paraId="34F5C8D9" w14:textId="19041F81" w:rsidR="007252BF" w:rsidRPr="007252BF" w:rsidRDefault="007252BF" w:rsidP="007252BF">
      <w:pPr>
        <w:pStyle w:val="ListBullet"/>
      </w:pPr>
      <w:r w:rsidRPr="007252BF">
        <w:t>John Maddy (CDC, Sunshine Coast)</w:t>
      </w:r>
    </w:p>
    <w:p w14:paraId="74F79A11" w14:textId="227BF878" w:rsidR="0018314C" w:rsidRDefault="007252BF" w:rsidP="007252BF">
      <w:pPr>
        <w:pStyle w:val="Heading4"/>
      </w:pPr>
      <w:r w:rsidRPr="007252BF">
        <w:rPr>
          <w:iCs w:val="0"/>
          <w:color w:val="262626" w:themeColor="text1" w:themeTint="D9"/>
          <w:sz w:val="18"/>
        </w:rPr>
        <w:t>More than 1200 nominations were received for the 2021 awards. The awards celebrated drivers who went above and beyond to deliver excellent customer service and recognised all Queensland bus drivers for the critical role they played in keeping Queenslanders connected to work, study, essential services and each other during COVID-19.</w:t>
      </w:r>
    </w:p>
    <w:p w14:paraId="557D5CE9" w14:textId="2D858A5A" w:rsidR="007252BF" w:rsidRDefault="007252BF" w:rsidP="007252BF">
      <w:pPr>
        <w:pStyle w:val="MoreInformation"/>
      </w:pPr>
      <w:r>
        <w:t>For more information</w:t>
      </w:r>
      <w:r>
        <w:br/>
      </w:r>
      <w:hyperlink r:id="rId110" w:history="1">
        <w:r w:rsidR="001812BE" w:rsidRPr="001812BE">
          <w:rPr>
            <w:rStyle w:val="Hyperlink"/>
          </w:rPr>
          <w:t>https://www.translink.com.au/news-and-media/competitions-and-offers/bus-driver-awards</w:t>
        </w:r>
      </w:hyperlink>
    </w:p>
    <w:p w14:paraId="4CD96C2F" w14:textId="59DE7A2E" w:rsidR="006800C7" w:rsidRDefault="006800C7" w:rsidP="006800C7">
      <w:pPr>
        <w:pStyle w:val="Heading4"/>
      </w:pPr>
      <w:r>
        <w:t>Regional Roads and Transport Groups</w:t>
      </w:r>
    </w:p>
    <w:p w14:paraId="5A6E7EF1" w14:textId="77777777" w:rsidR="004F127C" w:rsidRDefault="004F127C" w:rsidP="004F127C">
      <w:bookmarkStart w:id="8" w:name="_Hlk72827264"/>
      <w:r>
        <w:t>The Roads and Transport Alliance (Alliance) is a partnership between TMR and Queensland local governments, represented by the Local Government Association of Queensland.</w:t>
      </w:r>
    </w:p>
    <w:p w14:paraId="5A10CC10" w14:textId="14367D4E" w:rsidR="004F127C" w:rsidRDefault="004F127C" w:rsidP="004F127C">
      <w:r>
        <w:t>Central to the Alliance are 17 Regional Roads and Transport Groups (RRTG), representing 67 local governments across Queensland, including seven First Nations local governments.</w:t>
      </w:r>
    </w:p>
    <w:p w14:paraId="06B311E0" w14:textId="77777777" w:rsidR="004F127C" w:rsidRDefault="004F127C" w:rsidP="004F127C">
      <w:r>
        <w:t>RRTGs are the primary decision-making bodies that determine regionally prioritised improvements to their communities’ transport infrastructure utilising Transport Infrastructure Development Scheme (TIDS) funding.</w:t>
      </w:r>
    </w:p>
    <w:p w14:paraId="7F1F7F84" w14:textId="77777777" w:rsidR="004F127C" w:rsidRDefault="004F127C" w:rsidP="004F127C">
      <w:r>
        <w:t>In 2021–22, 235 projects were delivered, with joint investment of more than $120 million in local roads, safer school drop-off areas, and active transport infrastructure.</w:t>
      </w:r>
    </w:p>
    <w:p w14:paraId="766BFA4A" w14:textId="77777777" w:rsidR="004F127C" w:rsidRDefault="004F127C" w:rsidP="004F127C">
      <w:r>
        <w:t>Projects that used TIDS funding during 2021–22 included:</w:t>
      </w:r>
    </w:p>
    <w:p w14:paraId="276DD528" w14:textId="7EFE2491" w:rsidR="004F127C" w:rsidRPr="004F127C" w:rsidRDefault="004F127C" w:rsidP="004F127C">
      <w:pPr>
        <w:pStyle w:val="ListBullet"/>
      </w:pPr>
      <w:r w:rsidRPr="004F127C">
        <w:t>Far North Queensland RRTG, Mareeba Shire Council: Bower Road, widen and seal; $500,000</w:t>
      </w:r>
    </w:p>
    <w:p w14:paraId="3B972524" w14:textId="4D86E1F1" w:rsidR="004F127C" w:rsidRPr="004F127C" w:rsidRDefault="004F127C" w:rsidP="004F127C">
      <w:pPr>
        <w:pStyle w:val="ListBullet"/>
      </w:pPr>
      <w:r w:rsidRPr="004F127C">
        <w:t>Outback RRTG, Boulia Shire Council: Boulia - Tobermorey Road (Donohue Highway), pave and seal; $1.047 million</w:t>
      </w:r>
    </w:p>
    <w:p w14:paraId="206F263F" w14:textId="087A3285" w:rsidR="004F127C" w:rsidRDefault="004F127C" w:rsidP="0066599D">
      <w:pPr>
        <w:pStyle w:val="ListBullet"/>
      </w:pPr>
      <w:r w:rsidRPr="004F127C">
        <w:lastRenderedPageBreak/>
        <w:t>Scenic Valleys RRTG, Ipswich City Council: Springfield Greenback Arterial, Springfield Parkway to Eden Station Drive, duplicate two to four lanes; $705,446.</w:t>
      </w:r>
    </w:p>
    <w:bookmarkEnd w:id="8"/>
    <w:p w14:paraId="303F81C3" w14:textId="57BEA676" w:rsidR="006800C7" w:rsidRDefault="006800C7" w:rsidP="006800C7">
      <w:pPr>
        <w:pStyle w:val="MoreInformation"/>
        <w:rPr>
          <w:rStyle w:val="Hyperlink"/>
        </w:rPr>
      </w:pPr>
      <w:r>
        <w:t xml:space="preserve">For more information </w:t>
      </w:r>
      <w:r>
        <w:br/>
      </w:r>
      <w:hyperlink r:id="rId111" w:history="1">
        <w:r w:rsidRPr="004C4747">
          <w:rPr>
            <w:rStyle w:val="Hyperlink"/>
          </w:rPr>
          <w:t>https://www.tmr.qld.gov.au/rrtg</w:t>
        </w:r>
      </w:hyperlink>
    </w:p>
    <w:p w14:paraId="725A7752" w14:textId="280FF4E1" w:rsidR="00BB2223" w:rsidRDefault="00BB2223" w:rsidP="00BB2223">
      <w:pPr>
        <w:pStyle w:val="Heading4"/>
      </w:pPr>
      <w:bookmarkStart w:id="9" w:name="_Hlk73366615"/>
      <w:r>
        <w:t>TMR's first digitised mailroom</w:t>
      </w:r>
    </w:p>
    <w:p w14:paraId="6CA11CBE" w14:textId="77777777" w:rsidR="003A7CD9" w:rsidRDefault="003A7CD9" w:rsidP="003A7CD9">
      <w:r>
        <w:t>TMR continues to face a changing work environment, requiring the management of customer population growth and face-to-face demand through digital migration increases whilst continuing to deliver an efficient, quality service to customers and stakeholders.</w:t>
      </w:r>
    </w:p>
    <w:p w14:paraId="3E6D54AB" w14:textId="77777777" w:rsidR="003A7CD9" w:rsidRDefault="003A7CD9" w:rsidP="003A7CD9">
      <w:r>
        <w:t>In May 2021, TMR partnered with Australia Post to pilot the digitisation of mailroom functions. The objective of this pilot was to streamline and digitise select functions of TMR’s mailroom that were conducted in-house.</w:t>
      </w:r>
    </w:p>
    <w:p w14:paraId="0355E922" w14:textId="77777777" w:rsidR="003A7CD9" w:rsidRDefault="003A7CD9" w:rsidP="003A7CD9">
      <w:r>
        <w:t>Benefits to TMR since the implementation of the Digitised Mailroom in November 2021 have included:</w:t>
      </w:r>
    </w:p>
    <w:p w14:paraId="11DD7BFF" w14:textId="2613DF72" w:rsidR="003A7CD9" w:rsidRDefault="003A7CD9" w:rsidP="003A7CD9">
      <w:pPr>
        <w:pStyle w:val="ListBullet"/>
      </w:pPr>
      <w:r>
        <w:t>reducing touch points and cost of the previous inbound mail process</w:t>
      </w:r>
    </w:p>
    <w:p w14:paraId="78EA936A" w14:textId="31B3C974" w:rsidR="003A7CD9" w:rsidRDefault="003A7CD9" w:rsidP="003A7CD9">
      <w:pPr>
        <w:pStyle w:val="ListBullet"/>
      </w:pPr>
      <w:r>
        <w:t>ensuring business continuity that supports a purpose-driven, capable and agile workforce</w:t>
      </w:r>
    </w:p>
    <w:p w14:paraId="5A264909" w14:textId="26EB97FC" w:rsidR="003A7CD9" w:rsidRDefault="003A7CD9" w:rsidP="003A7CD9">
      <w:pPr>
        <w:pStyle w:val="ListBullet"/>
      </w:pPr>
      <w:r>
        <w:t>more efficient utilisation of TMR’s available workforce capacity state-wide and redirection of resources.</w:t>
      </w:r>
    </w:p>
    <w:p w14:paraId="596AD42C" w14:textId="0EA5D180" w:rsidR="00BB2223" w:rsidRPr="00BB2223" w:rsidRDefault="003A7CD9" w:rsidP="003A7CD9">
      <w:r>
        <w:t>TMR is committed to exploring significant opportunities for robotic process automation to drive further efficiencies of the digitised mailroom and achieve enhanced customer experience.</w:t>
      </w:r>
    </w:p>
    <w:p w14:paraId="0F61DF46" w14:textId="6F85AB37" w:rsidR="006800C7" w:rsidRDefault="006800C7" w:rsidP="006800C7">
      <w:pPr>
        <w:pStyle w:val="Heading4"/>
      </w:pPr>
      <w:r>
        <w:t>Transport Academic Partnership</w:t>
      </w:r>
    </w:p>
    <w:bookmarkEnd w:id="9"/>
    <w:p w14:paraId="69DBFDC6" w14:textId="492B7F20" w:rsidR="007A1EE8" w:rsidRDefault="007A1EE8" w:rsidP="007A1EE8">
      <w:r>
        <w:t>The Transport Academic Partnership 2020–25 is a $3.7 million agreement between TMR, Motor Accident Insurance Commission, Queensland University of Technology, Griffith University, and The University of Queensland.</w:t>
      </w:r>
    </w:p>
    <w:p w14:paraId="37A377C3" w14:textId="77777777" w:rsidR="007A1EE8" w:rsidRDefault="007A1EE8" w:rsidP="007A1EE8">
      <w:r>
        <w:t>The partnership continues to facilitate innovative transport research and development and builds mutual capability across government, industry, and academic sectors. The partnership supports the mutual delivery of an annual work program of projects across various transport topics.</w:t>
      </w:r>
    </w:p>
    <w:p w14:paraId="15363DB9" w14:textId="77777777" w:rsidR="007A1EE8" w:rsidRDefault="007A1EE8" w:rsidP="007A1EE8">
      <w:r>
        <w:t>Research projects during 2021–22 included:</w:t>
      </w:r>
    </w:p>
    <w:p w14:paraId="5CEA996E" w14:textId="23BD43AC" w:rsidR="007A1EE8" w:rsidRDefault="007A1EE8" w:rsidP="007A1EE8">
      <w:pPr>
        <w:pStyle w:val="ListBullet"/>
      </w:pPr>
      <w:r>
        <w:t>improved fatigue management in the rideshare industry</w:t>
      </w:r>
    </w:p>
    <w:p w14:paraId="2F0CE5C8" w14:textId="758E3AE6" w:rsidR="007A1EE8" w:rsidRDefault="007A1EE8" w:rsidP="007A1EE8">
      <w:pPr>
        <w:pStyle w:val="ListBullet"/>
      </w:pPr>
      <w:r>
        <w:t>accessible designs for automated passenger transport vehicles</w:t>
      </w:r>
    </w:p>
    <w:p w14:paraId="1CD7F4D0" w14:textId="17FA86F9" w:rsidR="007A1EE8" w:rsidRDefault="007A1EE8" w:rsidP="007A1EE8">
      <w:pPr>
        <w:pStyle w:val="ListBullet"/>
      </w:pPr>
      <w:r>
        <w:t>opportunities for MaaS in regional Queensland</w:t>
      </w:r>
    </w:p>
    <w:p w14:paraId="23D78A29" w14:textId="2ABCB784" w:rsidR="007A1EE8" w:rsidRDefault="007A1EE8" w:rsidP="007A1EE8">
      <w:pPr>
        <w:pStyle w:val="ListBullet"/>
      </w:pPr>
      <w:r>
        <w:t>enhanced use of TMR’s digital video data</w:t>
      </w:r>
    </w:p>
    <w:p w14:paraId="1EDBFC05" w14:textId="362D0C33" w:rsidR="007A1EE8" w:rsidRDefault="007A1EE8" w:rsidP="007A1EE8">
      <w:pPr>
        <w:pStyle w:val="ListBullet"/>
      </w:pPr>
      <w:r>
        <w:t>sustainable disposal of derelict ships</w:t>
      </w:r>
    </w:p>
    <w:p w14:paraId="78601D56" w14:textId="39CA7D52" w:rsidR="007A1EE8" w:rsidRDefault="007A1EE8" w:rsidP="007A1EE8">
      <w:pPr>
        <w:pStyle w:val="ListBullet"/>
      </w:pPr>
      <w:r>
        <w:t>future options for fuelling of electric buses.</w:t>
      </w:r>
    </w:p>
    <w:p w14:paraId="4E1706CA" w14:textId="64EF3BFD" w:rsidR="007A1EE8" w:rsidRDefault="007A1EE8" w:rsidP="007A1EE8">
      <w:r>
        <w:t>The agreement also facilitates an internal procurement strategy to ensure eligible research and development projects can be delivered quickly and efficiently. The established partnerships provide prompt and innovative benefits for all parties.</w:t>
      </w:r>
    </w:p>
    <w:p w14:paraId="28CA41AB" w14:textId="77777777" w:rsidR="007A1EE8" w:rsidRPr="00B7287A" w:rsidRDefault="007A1EE8" w:rsidP="006800C7"/>
    <w:p w14:paraId="1690CC01" w14:textId="7F42BE41" w:rsidR="006800C7" w:rsidRDefault="006800C7" w:rsidP="006800C7">
      <w:pPr>
        <w:pStyle w:val="MoreInformation"/>
      </w:pPr>
      <w:r>
        <w:lastRenderedPageBreak/>
        <w:t xml:space="preserve">For more information </w:t>
      </w:r>
      <w:r>
        <w:br/>
      </w:r>
      <w:hyperlink r:id="rId112" w:history="1">
        <w:r w:rsidR="00F838D8" w:rsidRPr="00F838D8">
          <w:rPr>
            <w:rStyle w:val="Hyperlink"/>
          </w:rPr>
          <w:t>http://www.tmr.qld.gov.au/Community-and-environment/Research- and-education/Transport-Academic-Partnership</w:t>
        </w:r>
      </w:hyperlink>
    </w:p>
    <w:p w14:paraId="51024506" w14:textId="12EE3B63" w:rsidR="007809D7" w:rsidRPr="00507D11" w:rsidRDefault="00EC2DCF" w:rsidP="007809D7">
      <w:pPr>
        <w:pStyle w:val="Heading4"/>
      </w:pPr>
      <w:r>
        <w:t>Electrical licence partnership</w:t>
      </w:r>
    </w:p>
    <w:p w14:paraId="1425B6D2" w14:textId="77777777" w:rsidR="00757549" w:rsidRPr="00757549" w:rsidRDefault="00757549" w:rsidP="00757549">
      <w:pPr>
        <w:pStyle w:val="Heading4"/>
        <w:rPr>
          <w:iCs w:val="0"/>
          <w:color w:val="262626" w:themeColor="text1" w:themeTint="D9"/>
          <w:sz w:val="18"/>
        </w:rPr>
      </w:pPr>
      <w:r w:rsidRPr="00757549">
        <w:rPr>
          <w:iCs w:val="0"/>
          <w:color w:val="262626" w:themeColor="text1" w:themeTint="D9"/>
          <w:sz w:val="18"/>
        </w:rPr>
        <w:t>The Electrical Safety Office (ESO) within the Office of Industrial Relations (OIR) has partnered with TMR to improve ESO licensing processes. TMR will work closely with OIR to deliver this initiative to mitigate the risk of fraudulent electrical licence use.</w:t>
      </w:r>
    </w:p>
    <w:p w14:paraId="7D29E382" w14:textId="77CCA405" w:rsidR="00757549" w:rsidRPr="00757549" w:rsidRDefault="00757549" w:rsidP="00757549">
      <w:pPr>
        <w:pStyle w:val="Heading4"/>
        <w:rPr>
          <w:iCs w:val="0"/>
          <w:color w:val="262626" w:themeColor="text1" w:themeTint="D9"/>
          <w:sz w:val="18"/>
        </w:rPr>
      </w:pPr>
      <w:r w:rsidRPr="00757549">
        <w:rPr>
          <w:iCs w:val="0"/>
          <w:color w:val="262626" w:themeColor="text1" w:themeTint="D9"/>
          <w:sz w:val="18"/>
        </w:rPr>
        <w:t>Since 2016, TMR has delivered the High-Risk Work Licence on behalf of OIR and this initiative is an extension of the positive partnership built between these two agencies.</w:t>
      </w:r>
    </w:p>
    <w:p w14:paraId="561F494C" w14:textId="2F2EC568" w:rsidR="00757549" w:rsidRPr="00757549" w:rsidRDefault="00757549" w:rsidP="00757549">
      <w:pPr>
        <w:pStyle w:val="Heading4"/>
        <w:rPr>
          <w:iCs w:val="0"/>
          <w:color w:val="262626" w:themeColor="text1" w:themeTint="D9"/>
          <w:sz w:val="18"/>
        </w:rPr>
      </w:pPr>
      <w:r w:rsidRPr="00757549">
        <w:rPr>
          <w:iCs w:val="0"/>
          <w:color w:val="262626" w:themeColor="text1" w:themeTint="D9"/>
          <w:sz w:val="18"/>
        </w:rPr>
        <w:t>OIR seeks to lever</w:t>
      </w:r>
      <w:r>
        <w:rPr>
          <w:iCs w:val="0"/>
          <w:color w:val="262626" w:themeColor="text1" w:themeTint="D9"/>
          <w:sz w:val="18"/>
        </w:rPr>
        <w:t>a</w:t>
      </w:r>
      <w:r w:rsidRPr="00757549">
        <w:rPr>
          <w:iCs w:val="0"/>
          <w:color w:val="262626" w:themeColor="text1" w:themeTint="D9"/>
          <w:sz w:val="18"/>
        </w:rPr>
        <w:t>ge TMR’s capabilities to streamline application processes, strengthen identity verification, and leverage TMR’s counter network and card production services.</w:t>
      </w:r>
    </w:p>
    <w:p w14:paraId="094BB9FC" w14:textId="77777777" w:rsidR="00757549" w:rsidRPr="00757549" w:rsidRDefault="00757549" w:rsidP="00757549">
      <w:pPr>
        <w:pStyle w:val="Heading4"/>
        <w:rPr>
          <w:iCs w:val="0"/>
          <w:color w:val="262626" w:themeColor="text1" w:themeTint="D9"/>
          <w:sz w:val="18"/>
        </w:rPr>
      </w:pPr>
      <w:r w:rsidRPr="00757549">
        <w:rPr>
          <w:iCs w:val="0"/>
          <w:color w:val="262626" w:themeColor="text1" w:themeTint="D9"/>
          <w:sz w:val="18"/>
        </w:rPr>
        <w:t>Like the Working with Children (Blue Card) project delivered on behalf of the Department of Justice and Attorney-General and the Worker Screening Clearance Cards delivered on behalf of the</w:t>
      </w:r>
    </w:p>
    <w:p w14:paraId="57F6DCB3" w14:textId="109BFD28" w:rsidR="007809D7" w:rsidRDefault="00757549" w:rsidP="006800C7">
      <w:pPr>
        <w:pStyle w:val="Heading4"/>
      </w:pPr>
      <w:r w:rsidRPr="00757549">
        <w:rPr>
          <w:iCs w:val="0"/>
          <w:color w:val="262626" w:themeColor="text1" w:themeTint="D9"/>
          <w:sz w:val="18"/>
        </w:rPr>
        <w:t>Department of Seniors, Disability Services and Aboriginal and Torres Strait Islander Partnerships, this initiative is another opportunity to deliver making services more accessible to Queenslanders.</w:t>
      </w:r>
    </w:p>
    <w:p w14:paraId="393AAC0D" w14:textId="5A9E9BA9" w:rsidR="00DF46E1" w:rsidRPr="00507D11" w:rsidRDefault="00DF46E1" w:rsidP="00DF46E1">
      <w:pPr>
        <w:pStyle w:val="Heading4"/>
      </w:pPr>
      <w:r>
        <w:t xml:space="preserve">Queensland Train Manufacturing Program </w:t>
      </w:r>
    </w:p>
    <w:p w14:paraId="5875884D" w14:textId="77777777" w:rsidR="00C8223E" w:rsidRPr="00C8223E" w:rsidRDefault="00C8223E" w:rsidP="00C8223E">
      <w:pPr>
        <w:pStyle w:val="Heading4"/>
        <w:rPr>
          <w:iCs w:val="0"/>
          <w:color w:val="262626" w:themeColor="text1" w:themeTint="D9"/>
          <w:sz w:val="18"/>
        </w:rPr>
      </w:pPr>
      <w:r w:rsidRPr="00C8223E">
        <w:rPr>
          <w:iCs w:val="0"/>
          <w:color w:val="262626" w:themeColor="text1" w:themeTint="D9"/>
          <w:sz w:val="18"/>
        </w:rPr>
        <w:t>The Queensland Train Manufacturing Program (QTMP) was established to meet the increasing demand on rail transport in South East Queensland over the next 10 years.</w:t>
      </w:r>
    </w:p>
    <w:p w14:paraId="476ECDF0" w14:textId="77777777" w:rsidR="00C8223E" w:rsidRPr="00C8223E" w:rsidRDefault="00C8223E" w:rsidP="00C8223E">
      <w:pPr>
        <w:pStyle w:val="Heading4"/>
        <w:rPr>
          <w:iCs w:val="0"/>
          <w:color w:val="262626" w:themeColor="text1" w:themeTint="D9"/>
          <w:sz w:val="18"/>
        </w:rPr>
      </w:pPr>
      <w:r w:rsidRPr="00C8223E">
        <w:rPr>
          <w:iCs w:val="0"/>
          <w:color w:val="262626" w:themeColor="text1" w:themeTint="D9"/>
          <w:sz w:val="18"/>
        </w:rPr>
        <w:t>TMR committed $7.1 billion to deliver 65 six-car passenger trains manufactured at a purpose-built manufacturing facility at Torbanlea, in the Maryborough region and a train stabling and maintenance facility at Ormeau.</w:t>
      </w:r>
    </w:p>
    <w:p w14:paraId="5B02919C" w14:textId="4A9FB06C" w:rsidR="00C8223E" w:rsidRPr="00C8223E" w:rsidRDefault="00C8223E" w:rsidP="00C8223E">
      <w:pPr>
        <w:pStyle w:val="Heading4"/>
        <w:rPr>
          <w:iCs w:val="0"/>
          <w:color w:val="262626" w:themeColor="text1" w:themeTint="D9"/>
          <w:sz w:val="18"/>
        </w:rPr>
      </w:pPr>
      <w:r w:rsidRPr="00C8223E">
        <w:rPr>
          <w:iCs w:val="0"/>
          <w:color w:val="262626" w:themeColor="text1" w:themeTint="D9"/>
          <w:sz w:val="18"/>
        </w:rPr>
        <w:t>An expression of interest phase for the supply of trains and construction of the facilities was completed with the</w:t>
      </w:r>
      <w:r>
        <w:rPr>
          <w:iCs w:val="0"/>
          <w:color w:val="262626" w:themeColor="text1" w:themeTint="D9"/>
          <w:sz w:val="18"/>
        </w:rPr>
        <w:t xml:space="preserve"> </w:t>
      </w:r>
      <w:r w:rsidRPr="00C8223E">
        <w:rPr>
          <w:iCs w:val="0"/>
          <w:color w:val="262626" w:themeColor="text1" w:themeTint="D9"/>
          <w:sz w:val="18"/>
        </w:rPr>
        <w:t>announcement of three shortlisted applicants in June 2021. The shortlisted applicants entered the request for proposal phase in November 2021, which closed in mid-2022, with a successful applicant planned to be announced late-2022.</w:t>
      </w:r>
    </w:p>
    <w:p w14:paraId="7D8AF638" w14:textId="0E602E8D" w:rsidR="00C8223E" w:rsidRPr="00C8223E" w:rsidRDefault="00C8223E" w:rsidP="00C8223E">
      <w:pPr>
        <w:pStyle w:val="Heading4"/>
        <w:rPr>
          <w:iCs w:val="0"/>
          <w:color w:val="262626" w:themeColor="text1" w:themeTint="D9"/>
          <w:sz w:val="18"/>
        </w:rPr>
      </w:pPr>
      <w:r w:rsidRPr="00C8223E">
        <w:rPr>
          <w:iCs w:val="0"/>
          <w:color w:val="262626" w:themeColor="text1" w:themeTint="D9"/>
          <w:sz w:val="18"/>
        </w:rPr>
        <w:t>TMR conducted multi-criteria assessments to identify suitable sites for the manufacturing and rail facility. The Torbanlea site was gazetted in December 2021. A land acquisition process has commenced for the preferred site in the Gold Coast region for the rail facility. The successful applicant is expected to commence</w:t>
      </w:r>
      <w:r w:rsidR="001F386F">
        <w:rPr>
          <w:iCs w:val="0"/>
          <w:color w:val="262626" w:themeColor="text1" w:themeTint="D9"/>
          <w:sz w:val="18"/>
        </w:rPr>
        <w:t xml:space="preserve"> </w:t>
      </w:r>
      <w:r w:rsidRPr="00C8223E">
        <w:rPr>
          <w:iCs w:val="0"/>
          <w:color w:val="262626" w:themeColor="text1" w:themeTint="D9"/>
          <w:sz w:val="18"/>
        </w:rPr>
        <w:t>construction of the facilities from early-2023, with the first tranche of trains delivered from 2025.</w:t>
      </w:r>
    </w:p>
    <w:p w14:paraId="4FB24679" w14:textId="77777777" w:rsidR="00C8223E" w:rsidRPr="00C8223E" w:rsidRDefault="00C8223E" w:rsidP="00C8223E">
      <w:pPr>
        <w:pStyle w:val="Heading4"/>
        <w:rPr>
          <w:iCs w:val="0"/>
          <w:color w:val="262626" w:themeColor="text1" w:themeTint="D9"/>
          <w:sz w:val="18"/>
        </w:rPr>
      </w:pPr>
      <w:r w:rsidRPr="00C8223E">
        <w:rPr>
          <w:iCs w:val="0"/>
          <w:color w:val="262626" w:themeColor="text1" w:themeTint="D9"/>
          <w:sz w:val="18"/>
        </w:rPr>
        <w:t>The QTMP will deliver a pipeline of work over the next decade that will support skills development and training as well as hundreds of construction and manufacturing jobs in Maryborough and regional Queensland.</w:t>
      </w:r>
    </w:p>
    <w:p w14:paraId="7C55063F" w14:textId="77777777" w:rsidR="00C8223E" w:rsidRPr="00C8223E" w:rsidRDefault="00C8223E" w:rsidP="00C8223E">
      <w:pPr>
        <w:pStyle w:val="Heading4"/>
        <w:rPr>
          <w:iCs w:val="0"/>
          <w:color w:val="262626" w:themeColor="text1" w:themeTint="D9"/>
          <w:sz w:val="18"/>
        </w:rPr>
      </w:pPr>
      <w:r w:rsidRPr="00C8223E">
        <w:rPr>
          <w:iCs w:val="0"/>
          <w:color w:val="262626" w:themeColor="text1" w:themeTint="D9"/>
          <w:sz w:val="18"/>
        </w:rPr>
        <w:t>In forming design requirements for the new fleet, TMR incorporated all recommendations from the New Generation Commission of Inquiry and is working closely with Commissioner Michael Forde and the Queensland Accessible Transport Advisory Council.</w:t>
      </w:r>
    </w:p>
    <w:p w14:paraId="50B1D614" w14:textId="26F052BA" w:rsidR="007809D7" w:rsidRDefault="00C8223E" w:rsidP="00C8223E">
      <w:pPr>
        <w:pStyle w:val="Heading4"/>
      </w:pPr>
      <w:r w:rsidRPr="00C8223E">
        <w:rPr>
          <w:iCs w:val="0"/>
          <w:color w:val="262626" w:themeColor="text1" w:themeTint="D9"/>
          <w:sz w:val="18"/>
        </w:rPr>
        <w:t>TMR undertook early and comprehensive engagement with the disability sector to co-design the new trains and ensure a fully compliant fleet that is accessible and functional for all passengers.</w:t>
      </w:r>
    </w:p>
    <w:p w14:paraId="207E72D7" w14:textId="2559B007" w:rsidR="001F386F" w:rsidRDefault="001F386F" w:rsidP="001F386F">
      <w:pPr>
        <w:pStyle w:val="MoreInformation"/>
      </w:pPr>
      <w:r>
        <w:t xml:space="preserve">For more information </w:t>
      </w:r>
      <w:r>
        <w:br/>
      </w:r>
      <w:hyperlink r:id="rId113" w:history="1">
        <w:r w:rsidR="0071042C" w:rsidRPr="0071042C">
          <w:rPr>
            <w:rStyle w:val="Hyperlink"/>
          </w:rPr>
          <w:t>https://www.tmr.qld.gov.au/projects/Queensland-Train-Manufacturing-Program-QTMP</w:t>
        </w:r>
      </w:hyperlink>
    </w:p>
    <w:p w14:paraId="4BEF0559" w14:textId="506CF3CD" w:rsidR="006800C7" w:rsidRPr="00507D11" w:rsidRDefault="006800C7" w:rsidP="006800C7">
      <w:pPr>
        <w:pStyle w:val="Heading4"/>
      </w:pPr>
      <w:r w:rsidRPr="008E721B">
        <w:t>New Generation Rollingstock</w:t>
      </w:r>
    </w:p>
    <w:p w14:paraId="725D3D37" w14:textId="1A794B96" w:rsidR="002F095F" w:rsidRDefault="002F095F" w:rsidP="002F095F">
      <w:r>
        <w:lastRenderedPageBreak/>
        <w:t>The New Generation Rollingstock (NGR) fleet has provided reliable public transport for South East Queensland since it was introduced in 2017, delivering more than 476,000 passenger services. The fleet consistently achieves more than 99 per cent availability for day-to-day passenger services.</w:t>
      </w:r>
    </w:p>
    <w:p w14:paraId="39AE10E5" w14:textId="3B65795A" w:rsidR="002F095F" w:rsidRDefault="002F095F" w:rsidP="002F095F">
      <w:r>
        <w:t>NGR trains have played an important part in delivering public transport throughout COVID-19, allowing the standard timetable services to continue throughout the year. TMR has provided additional cleaning and sanitisation on public transport, including on the NGR fleet.</w:t>
      </w:r>
    </w:p>
    <w:p w14:paraId="33A35AE5" w14:textId="712D1A08" w:rsidR="002F095F" w:rsidRDefault="002F095F" w:rsidP="002F095F">
      <w:r>
        <w:t>Work is underway to modify the NGR fleet to allow them to travel on the Cross River Rail infrastructure. These modifications include installation of onboard hardware for European Train Control System Level 2, Automatic Train Operation and Platform Screen Doors.</w:t>
      </w:r>
    </w:p>
    <w:p w14:paraId="1CE2CF65" w14:textId="77777777" w:rsidR="002F095F" w:rsidRDefault="002F095F" w:rsidP="002F095F">
      <w:r>
        <w:t>The $335.7 million NGR accessibility upgrade program is proceeding, with the 23rd NGR train currently undergoing upgrades.</w:t>
      </w:r>
    </w:p>
    <w:p w14:paraId="443B251E" w14:textId="77777777" w:rsidR="002F095F" w:rsidRDefault="002F095F" w:rsidP="002F095F">
      <w:r>
        <w:t>Accessibility upgrades include:</w:t>
      </w:r>
    </w:p>
    <w:p w14:paraId="2C0BB80E" w14:textId="38F64AA4" w:rsidR="002F095F" w:rsidRDefault="002F095F" w:rsidP="00253003">
      <w:pPr>
        <w:pStyle w:val="ListBullet"/>
      </w:pPr>
      <w:r>
        <w:t>a second accessible toilet module on every NGR train</w:t>
      </w:r>
    </w:p>
    <w:p w14:paraId="58A0C7DA" w14:textId="47EE842D" w:rsidR="002F095F" w:rsidRDefault="002F095F" w:rsidP="00253003">
      <w:pPr>
        <w:pStyle w:val="ListBullet"/>
      </w:pPr>
      <w:r>
        <w:t>10 per cent increase in circulation space inside the toilet modules</w:t>
      </w:r>
    </w:p>
    <w:p w14:paraId="2B1FDD13" w14:textId="66428D34" w:rsidR="002F095F" w:rsidRDefault="002F095F" w:rsidP="00253003">
      <w:pPr>
        <w:pStyle w:val="ListBullet"/>
      </w:pPr>
      <w:r>
        <w:t>improved sink design</w:t>
      </w:r>
    </w:p>
    <w:p w14:paraId="0070E471" w14:textId="255C5270" w:rsidR="002F095F" w:rsidRDefault="002F095F" w:rsidP="00253003">
      <w:pPr>
        <w:pStyle w:val="ListBullet"/>
      </w:pPr>
      <w:r>
        <w:t>more grab/handrails</w:t>
      </w:r>
    </w:p>
    <w:p w14:paraId="05F881EB" w14:textId="04E380A5" w:rsidR="002F095F" w:rsidRDefault="002F095F" w:rsidP="00253003">
      <w:pPr>
        <w:pStyle w:val="ListBullet"/>
      </w:pPr>
      <w:r>
        <w:t>priority seats increased from 24 to 88 per train.</w:t>
      </w:r>
    </w:p>
    <w:p w14:paraId="00F332C0" w14:textId="6AA6384B" w:rsidR="002F095F" w:rsidRDefault="00253003" w:rsidP="002F095F">
      <w:r>
        <w:t>T</w:t>
      </w:r>
      <w:r w:rsidR="002F095F">
        <w:t>he fleet upgrade is being delivered at the Downer facility in Maryborough. The design of the upgrades came after intensive consultation with a project working group from the disability sector, using an innovative co-design process.</w:t>
      </w:r>
    </w:p>
    <w:p w14:paraId="4708BC82" w14:textId="3C10D1A0" w:rsidR="0071042C" w:rsidRDefault="002F095F" w:rsidP="002F095F">
      <w:r>
        <w:t>The accessibility upgraded NGR fleet are scheduled to be back in service by 2024. TMR will continue to engage with the disability sector throughout the upgrade process.</w:t>
      </w:r>
    </w:p>
    <w:p w14:paraId="5A1A5B56" w14:textId="77777777" w:rsidR="006800C7" w:rsidRDefault="006800C7" w:rsidP="006800C7">
      <w:pPr>
        <w:pStyle w:val="MoreInformation"/>
      </w:pPr>
      <w:r>
        <w:t>For more information</w:t>
      </w:r>
      <w:r>
        <w:br/>
      </w:r>
      <w:hyperlink r:id="rId114" w:history="1">
        <w:r w:rsidRPr="00724887">
          <w:rPr>
            <w:rStyle w:val="Hyperlink"/>
          </w:rPr>
          <w:t>https://www.tmr.qld.gov.au/projects/New-Generation-Rollingstock</w:t>
        </w:r>
      </w:hyperlink>
      <w:r>
        <w:t xml:space="preserve"> </w:t>
      </w:r>
    </w:p>
    <w:p w14:paraId="63E566D2" w14:textId="77777777" w:rsidR="006800C7" w:rsidRDefault="006800C7" w:rsidP="006800C7">
      <w:pPr>
        <w:pStyle w:val="Heading4"/>
      </w:pPr>
      <w:r w:rsidRPr="00D71C03">
        <w:t xml:space="preserve">European Train Control System </w:t>
      </w:r>
    </w:p>
    <w:p w14:paraId="2E8E04B7" w14:textId="58EAE467" w:rsidR="00B73D8E" w:rsidRDefault="00B73D8E" w:rsidP="00B73D8E">
      <w:r>
        <w:t>A project to introduce European Train Control System (ETCS) signalling technology is underway to significantly improve safety and support more efficient services. The state is investing $717.3 million in the ETCS project for Cross River Rail to make the rail network work smarter and build future capacity for more services.</w:t>
      </w:r>
    </w:p>
    <w:p w14:paraId="1957A677" w14:textId="77777777" w:rsidR="00B73D8E" w:rsidRDefault="00B73D8E" w:rsidP="00B73D8E">
      <w:r>
        <w:t>Benefits of ETCS technology include increased safety, capacity, efficiency, and reliability for the inner-city rail network. It is also necessary for the safe operation of Cross River Rail’s twin tunnels.</w:t>
      </w:r>
    </w:p>
    <w:p w14:paraId="768EC43A" w14:textId="0870B57D" w:rsidR="00B73D8E" w:rsidRDefault="00B73D8E" w:rsidP="00B73D8E">
      <w:r>
        <w:t>Queensland Rail trains will be upgraded with the ETCS. This involves the delivery and integration of new trackside equipment, data radio systems, a rail traffic management system, and onboard train equipment. The technology includes axle sensors that detect the train’s speed and new touchscreens in the driver’s cabin.</w:t>
      </w:r>
    </w:p>
    <w:p w14:paraId="5E0AE978" w14:textId="77777777" w:rsidR="00B73D8E" w:rsidRDefault="00B73D8E" w:rsidP="00B73D8E"/>
    <w:p w14:paraId="63AB78EF" w14:textId="77777777" w:rsidR="00B73D8E" w:rsidRDefault="00B73D8E" w:rsidP="00B73D8E">
      <w:r>
        <w:lastRenderedPageBreak/>
        <w:t>The fitment of ETCS onboard equipment on passenger trains is ongoing and in February 2022 a Queensland Rail passenger train successfully operated in an ETCS Level 2 mode on the purpose-built test track at the Redbank fitment facility. Level 2 mode is continuous supervision of train movement with constant communication via GSM-R (Global System for Mobile Communications—Railway) between the train and trackside. This significant milestone demonstrates the successful integration of the infrastructure and technology used to make the system work in a test environment.</w:t>
      </w:r>
    </w:p>
    <w:p w14:paraId="172C5B37" w14:textId="77777777" w:rsidR="00B73D8E" w:rsidRDefault="00B73D8E" w:rsidP="00B73D8E">
      <w:r>
        <w:t>A key focus during 2021–22 was the works to commission the Shorncliffe Pilot Line which runs from Boondall to Shorncliffe. The Shorncliffe Pilot Line will enable a number of integration testing and readiness activities to support the Cross River Rail tunnel opening.</w:t>
      </w:r>
    </w:p>
    <w:p w14:paraId="666518F0" w14:textId="77777777" w:rsidR="00B73D8E" w:rsidRDefault="00B73D8E" w:rsidP="00B73D8E">
      <w:r>
        <w:t>On 22 December 2021, TMR entered into the ETCS Program Alliance Agreement with Hitachi Rail along with Queensland Rail and the Cross River Rail Delivery Authority. This collaborative contracting model helps bring all parties closer together in delivering ETCS on the network.</w:t>
      </w:r>
    </w:p>
    <w:p w14:paraId="2D1829FF" w14:textId="77777777" w:rsidR="00B73D8E" w:rsidRDefault="00B73D8E" w:rsidP="00B73D8E">
      <w:r>
        <w:t>Some key achievements during 2021–22 to support progress on the Shorncliffe Pilot Line were as follows:</w:t>
      </w:r>
    </w:p>
    <w:p w14:paraId="130FF70D" w14:textId="7FB8ECA8" w:rsidR="00B73D8E" w:rsidRDefault="00B73D8E" w:rsidP="00415FAF">
      <w:pPr>
        <w:pStyle w:val="ListBullet"/>
      </w:pPr>
      <w:r>
        <w:t xml:space="preserve">the successful completion of end-to-end integration of the functions required for the Shorncliffe Pilot Line in the test </w:t>
      </w:r>
      <w:r w:rsidR="00415FAF">
        <w:t>l</w:t>
      </w:r>
      <w:r>
        <w:t>ab</w:t>
      </w:r>
    </w:p>
    <w:p w14:paraId="66857846" w14:textId="04A7F934" w:rsidR="00B73D8E" w:rsidRDefault="00B73D8E" w:rsidP="00415FAF">
      <w:pPr>
        <w:pStyle w:val="ListBullet"/>
      </w:pPr>
      <w:r>
        <w:t>the Rail Management Centre was fitted and powered with the new control system.</w:t>
      </w:r>
    </w:p>
    <w:p w14:paraId="3D97C456" w14:textId="75908A9B" w:rsidR="00253003" w:rsidRDefault="00B73D8E" w:rsidP="00B73D8E">
      <w:r>
        <w:t>The first radio mast and supporting signalling infrastructure was installed at Sandgate to enable dynamic testing to occur on the Shorncliffe line in July 2022.</w:t>
      </w:r>
    </w:p>
    <w:p w14:paraId="452246DB" w14:textId="77777777" w:rsidR="00465791" w:rsidRDefault="00465791" w:rsidP="00B73D8E"/>
    <w:p w14:paraId="401FD21E" w14:textId="77777777" w:rsidR="006800C7" w:rsidRDefault="006800C7" w:rsidP="006800C7">
      <w:pPr>
        <w:pStyle w:val="Heading2"/>
      </w:pPr>
      <w:r>
        <w:t>Preserving our history and heritage</w:t>
      </w:r>
    </w:p>
    <w:p w14:paraId="1FCC9494" w14:textId="670D35F4" w:rsidR="006800C7" w:rsidRDefault="00465791" w:rsidP="006800C7">
      <w:pPr>
        <w:pStyle w:val="Heading4"/>
      </w:pPr>
      <w:bookmarkStart w:id="10" w:name="_Hlk76041312"/>
      <w:r>
        <w:t>Environmental sustainability</w:t>
      </w:r>
    </w:p>
    <w:p w14:paraId="7DD2D369" w14:textId="46E04002" w:rsidR="00845429" w:rsidRDefault="00845429" w:rsidP="00845429">
      <w:r>
        <w:t xml:space="preserve">Aiming to be an industry leader in environmental sustainability, TMR released its </w:t>
      </w:r>
      <w:r w:rsidRPr="008031B9">
        <w:rPr>
          <w:rStyle w:val="Emphasis"/>
        </w:rPr>
        <w:t>Environmental Sustainability Policy</w:t>
      </w:r>
      <w:r>
        <w:t xml:space="preserve"> during 2021–22. The main objective of the policy is to protect the environment by moving beyond compliance and encouraging innovative solutions to minimise the environmental footprint and embed environmental sustainability in its work.</w:t>
      </w:r>
    </w:p>
    <w:p w14:paraId="128DE404" w14:textId="7F74D17A" w:rsidR="00845429" w:rsidRDefault="00845429" w:rsidP="00845429">
      <w:r>
        <w:t>Key to the policy’s success will be collaboration with stakeholders in its implementation.</w:t>
      </w:r>
    </w:p>
    <w:p w14:paraId="68711FA7" w14:textId="77777777" w:rsidR="00845429" w:rsidRDefault="00845429" w:rsidP="00845429">
      <w:r>
        <w:t xml:space="preserve">TMR has also developed a </w:t>
      </w:r>
      <w:r w:rsidRPr="00E85DE8">
        <w:rPr>
          <w:rStyle w:val="Emphasis"/>
        </w:rPr>
        <w:t>Waste 2 Resource Strategy</w:t>
      </w:r>
      <w:r>
        <w:t xml:space="preserve"> outlining how it will achieve its vision to become a zero-waste organisation and transport industry leader through circular economy practices.</w:t>
      </w:r>
    </w:p>
    <w:p w14:paraId="56D83E55" w14:textId="474115AD" w:rsidR="00845429" w:rsidRDefault="00845429" w:rsidP="00845429">
      <w:r>
        <w:t xml:space="preserve">The </w:t>
      </w:r>
      <w:r w:rsidR="00A65CA9">
        <w:t>strategy</w:t>
      </w:r>
      <w:r>
        <w:t xml:space="preserve"> encourages the use of recycled materials and sets principles for their use, such as:</w:t>
      </w:r>
    </w:p>
    <w:p w14:paraId="40DC159A" w14:textId="6FAF9616" w:rsidR="00845429" w:rsidRPr="00A65CA9" w:rsidRDefault="00845429" w:rsidP="00A65CA9">
      <w:pPr>
        <w:pStyle w:val="ListBullet"/>
      </w:pPr>
      <w:r w:rsidRPr="00A65CA9">
        <w:t>the end result provides as good, if not better, performance than conventional materials</w:t>
      </w:r>
    </w:p>
    <w:p w14:paraId="56357CCD" w14:textId="616CD16E" w:rsidR="00845429" w:rsidRPr="00A65CA9" w:rsidRDefault="00845429" w:rsidP="00A65CA9">
      <w:pPr>
        <w:pStyle w:val="ListBullet"/>
      </w:pPr>
      <w:r w:rsidRPr="00A65CA9">
        <w:t>they do not harm the environment, the community or workers</w:t>
      </w:r>
    </w:p>
    <w:p w14:paraId="5D01A5BA" w14:textId="14CF5165" w:rsidR="00845429" w:rsidRPr="00A65CA9" w:rsidRDefault="00845429" w:rsidP="00A65CA9">
      <w:pPr>
        <w:pStyle w:val="ListBullet"/>
      </w:pPr>
      <w:r w:rsidRPr="00A65CA9">
        <w:t>they do not cause long-term operational issues</w:t>
      </w:r>
    </w:p>
    <w:p w14:paraId="081A4AAB" w14:textId="6CE61F01" w:rsidR="00465791" w:rsidRPr="00A65CA9" w:rsidRDefault="00845429" w:rsidP="00A65CA9">
      <w:pPr>
        <w:pStyle w:val="ListBullet"/>
      </w:pPr>
      <w:r w:rsidRPr="00A65CA9">
        <w:t>they are ‘re-recyclable’.</w:t>
      </w:r>
    </w:p>
    <w:p w14:paraId="5599A59E" w14:textId="3BFFDB5B" w:rsidR="00BB0C55" w:rsidRDefault="00A65CA9" w:rsidP="00A65CA9">
      <w:pPr>
        <w:pStyle w:val="MoreInformation"/>
      </w:pPr>
      <w:r>
        <w:lastRenderedPageBreak/>
        <w:t>For more information</w:t>
      </w:r>
      <w:r>
        <w:br/>
      </w:r>
      <w:hyperlink r:id="rId115" w:history="1">
        <w:r w:rsidR="00BB0C55" w:rsidRPr="00BB0C55">
          <w:rPr>
            <w:rStyle w:val="Hyperlink"/>
          </w:rPr>
          <w:t>https://www.tmr.qld.gov.au/Community-and-environment/ Environmental-management/Environmental-sustainability-policy</w:t>
        </w:r>
      </w:hyperlink>
      <w:r w:rsidR="008031B9">
        <w:br/>
      </w:r>
      <w:hyperlink r:id="rId116" w:history="1">
        <w:r w:rsidR="008031B9" w:rsidRPr="008031B9">
          <w:rPr>
            <w:rStyle w:val="Hyperlink"/>
          </w:rPr>
          <w:t>https://www.tmr.qld.gov.au/business-industry/Technical-standards-publications/Project-waste-reporting</w:t>
        </w:r>
      </w:hyperlink>
    </w:p>
    <w:p w14:paraId="5759C464" w14:textId="6CB8F916" w:rsidR="008031B9" w:rsidRDefault="008031B9" w:rsidP="008031B9">
      <w:pPr>
        <w:pStyle w:val="Heading4"/>
      </w:pPr>
      <w:r>
        <w:t>Sustainability and recycled materials</w:t>
      </w:r>
    </w:p>
    <w:p w14:paraId="04E8BF8E" w14:textId="77777777" w:rsidR="006B74A1" w:rsidRDefault="006B74A1" w:rsidP="006B74A1">
      <w:r>
        <w:t xml:space="preserve">TMR is committed to supporting the Queensland Government’s </w:t>
      </w:r>
      <w:r w:rsidRPr="006B74A1">
        <w:rPr>
          <w:rStyle w:val="Emphasis"/>
        </w:rPr>
        <w:t>Waste Management and Resource Recovery Strategy</w:t>
      </w:r>
      <w:r>
        <w:t xml:space="preserve"> as outlined in TMR’s </w:t>
      </w:r>
      <w:r w:rsidRPr="006B74A1">
        <w:rPr>
          <w:rStyle w:val="Emphasis"/>
        </w:rPr>
        <w:t>Waste 2 Resource Strategy</w:t>
      </w:r>
      <w:r>
        <w:t>, using recycled materials in the construction and maintenance of the state-controlled road network.</w:t>
      </w:r>
    </w:p>
    <w:p w14:paraId="70096434" w14:textId="77777777" w:rsidR="006B74A1" w:rsidRDefault="006B74A1" w:rsidP="006B74A1">
      <w:r>
        <w:t>In 2021–22, key achievements included:</w:t>
      </w:r>
    </w:p>
    <w:p w14:paraId="335612E1" w14:textId="5C852E78" w:rsidR="006B74A1" w:rsidRPr="006B74A1" w:rsidRDefault="006B74A1" w:rsidP="006B74A1">
      <w:pPr>
        <w:pStyle w:val="ListBullet"/>
      </w:pPr>
      <w:r w:rsidRPr="006B74A1">
        <w:t>continuing to use recycled tyres (crumb rubber) in sprayed seal surfacings</w:t>
      </w:r>
    </w:p>
    <w:p w14:paraId="081F2279" w14:textId="566F8537" w:rsidR="006B74A1" w:rsidRPr="006B74A1" w:rsidRDefault="006B74A1" w:rsidP="006B74A1">
      <w:pPr>
        <w:pStyle w:val="ListBullet"/>
      </w:pPr>
      <w:r w:rsidRPr="006B74A1">
        <w:t>undertaking additional trials using recycled tyres (crumb rubber) in asphalt (following on from the trials done in 2020–21)</w:t>
      </w:r>
    </w:p>
    <w:p w14:paraId="2D7A428A" w14:textId="00C6948D" w:rsidR="006B74A1" w:rsidRPr="006B74A1" w:rsidRDefault="006B74A1" w:rsidP="006B74A1">
      <w:pPr>
        <w:pStyle w:val="ListBullet"/>
      </w:pPr>
      <w:r w:rsidRPr="006B74A1">
        <w:t>continuing research into the potential to expand the responsible use of (selected) recycled waste materials in roads</w:t>
      </w:r>
    </w:p>
    <w:p w14:paraId="46578605" w14:textId="1FE113A6" w:rsidR="006B74A1" w:rsidRPr="006B74A1" w:rsidRDefault="006B74A1" w:rsidP="006B74A1">
      <w:pPr>
        <w:pStyle w:val="ListBullet"/>
      </w:pPr>
      <w:r w:rsidRPr="006B74A1">
        <w:t>continuing research into the potential to responsibly use recycled waste plastics (e.g., for road furniture for example, bollards, posts or retaining walls)</w:t>
      </w:r>
    </w:p>
    <w:p w14:paraId="653C1E2B" w14:textId="6FCBC980" w:rsidR="00A65CA9" w:rsidRPr="006B74A1" w:rsidRDefault="006B74A1" w:rsidP="006B74A1">
      <w:pPr>
        <w:pStyle w:val="ListBullet"/>
      </w:pPr>
      <w:r w:rsidRPr="006B74A1">
        <w:t>continuing to use insitu stabilisation (in-place recycling) techniques by pulverising the road and mixing various stabilising agents (including cement, bitumen, fly ash and slag) to strengthen and rejuvenate pavement.</w:t>
      </w:r>
    </w:p>
    <w:bookmarkEnd w:id="10"/>
    <w:p w14:paraId="2C38495A" w14:textId="77777777" w:rsidR="006800C7" w:rsidRDefault="006800C7" w:rsidP="006800C7">
      <w:pPr>
        <w:pStyle w:val="Heading4"/>
      </w:pPr>
      <w:r>
        <w:t>Minimising impacts on native fauna</w:t>
      </w:r>
    </w:p>
    <w:p w14:paraId="4FA8B185" w14:textId="77777777" w:rsidR="00C52A38" w:rsidRDefault="00C52A38" w:rsidP="00C52A38">
      <w:r>
        <w:t>TMR continued to implement initiatives during the construction and operation of transport infrastructure to minimise impacts on native fauna and to ensure compliance under state and federal legislation.</w:t>
      </w:r>
    </w:p>
    <w:p w14:paraId="7AAE5B79" w14:textId="77777777" w:rsidR="00C52A38" w:rsidRDefault="00C52A38" w:rsidP="00C52A38">
      <w:r>
        <w:t>In 2021–22, a range of projects were delivered in addition to business-as-usual activities, such as the installation of fauna infrastructure on projects.</w:t>
      </w:r>
    </w:p>
    <w:p w14:paraId="0DF82EEA" w14:textId="77777777" w:rsidR="00C52A38" w:rsidRDefault="00C52A38" w:rsidP="00C52A38">
      <w:r>
        <w:t>Key achievements during 2021–22 included:</w:t>
      </w:r>
    </w:p>
    <w:p w14:paraId="052C8786" w14:textId="3ACB5743" w:rsidR="00C52A38" w:rsidRPr="00C52A38" w:rsidRDefault="00C52A38" w:rsidP="00C52A38">
      <w:pPr>
        <w:pStyle w:val="ListBullet"/>
      </w:pPr>
      <w:r w:rsidRPr="00C52A38">
        <w:t>inspection and, where required, repair over 19 kilometres of koala exclusion fencing as part of a 4 year $5 million maintenance and rectification program for koala exclusion fencing in North Coast Region</w:t>
      </w:r>
    </w:p>
    <w:p w14:paraId="1857E238" w14:textId="07F9D216" w:rsidR="00C52A38" w:rsidRPr="00C52A38" w:rsidRDefault="00C52A38" w:rsidP="00C52A38">
      <w:pPr>
        <w:pStyle w:val="ListBullet"/>
      </w:pPr>
      <w:r w:rsidRPr="00C52A38">
        <w:t>vegetation remediation under bridges over Big Maria Creek and North Hull Creek in Far North District to provide for Southern Cassowary Movement</w:t>
      </w:r>
    </w:p>
    <w:p w14:paraId="7E8E3D35" w14:textId="33E0D0C5" w:rsidR="00C52A38" w:rsidRPr="00C52A38" w:rsidRDefault="00C52A38" w:rsidP="00C52A38">
      <w:pPr>
        <w:pStyle w:val="ListBullet"/>
      </w:pPr>
      <w:r w:rsidRPr="00C52A38">
        <w:t>delivery of six kilometres of koala exclusion fencing, three arboreal fauna crossing poles, 44 nest boxes and multiple dedicated aquatic and terrestrial crossing structures on the Mount Lindesay Highway project in South Coast Region</w:t>
      </w:r>
    </w:p>
    <w:p w14:paraId="31CF034E" w14:textId="29A28F76" w:rsidR="00C52A38" w:rsidRPr="00C52A38" w:rsidRDefault="00C52A38" w:rsidP="00C52A38">
      <w:pPr>
        <w:pStyle w:val="ListBullet"/>
      </w:pPr>
      <w:r w:rsidRPr="00C52A38">
        <w:t>targeted social media campaign to reduce southern cassowary vehicle collisions in Far North Queensland</w:t>
      </w:r>
    </w:p>
    <w:p w14:paraId="6DBE9449" w14:textId="61D2C9DD" w:rsidR="00C52A38" w:rsidRPr="00C52A38" w:rsidRDefault="00C52A38" w:rsidP="00C52A38">
      <w:pPr>
        <w:pStyle w:val="ListBullet"/>
      </w:pPr>
      <w:r w:rsidRPr="00C52A38">
        <w:t>displaying koala awareness messaging on departmental variable message signs for drivers during the koala breeding seasons to reduce koala vehicle collisions in South East Queensland.</w:t>
      </w:r>
    </w:p>
    <w:p w14:paraId="25A86659" w14:textId="5047082A" w:rsidR="00C52A38" w:rsidRDefault="00C52A38" w:rsidP="00C52A38">
      <w:r>
        <w:t>TMR also initiated the commencement of updates to the Fauna Sensitive Road Design Manual to ensure the manual continues to provide best practice guidance on how to deliver transport infrastructure that better accommodates the needs of native fauna.</w:t>
      </w:r>
    </w:p>
    <w:p w14:paraId="0FF53346" w14:textId="2425471C" w:rsidR="00C52A38" w:rsidRDefault="00C52A38" w:rsidP="00C52A38">
      <w:pPr>
        <w:pStyle w:val="MoreInformation"/>
      </w:pPr>
      <w:r>
        <w:lastRenderedPageBreak/>
        <w:t>For more information</w:t>
      </w:r>
      <w:r>
        <w:br/>
      </w:r>
      <w:hyperlink r:id="rId117" w:history="1">
        <w:r w:rsidR="000A5994" w:rsidRPr="000A5994">
          <w:rPr>
            <w:rStyle w:val="Hyperlink"/>
          </w:rPr>
          <w:t>https://www.tmr.qld.gov.au/Community-and-environment/Environmental-management/Land/Fauna-management</w:t>
        </w:r>
      </w:hyperlink>
    </w:p>
    <w:p w14:paraId="5234C019" w14:textId="573FA344" w:rsidR="006800C7" w:rsidRDefault="000A5994" w:rsidP="006800C7">
      <w:pPr>
        <w:pStyle w:val="Heading4"/>
      </w:pPr>
      <w:r>
        <w:t>Zero emission buses</w:t>
      </w:r>
    </w:p>
    <w:p w14:paraId="1C495506" w14:textId="77777777" w:rsidR="00877868" w:rsidRDefault="00877868" w:rsidP="00877868">
      <w:r>
        <w:t xml:space="preserve">As set out in the </w:t>
      </w:r>
      <w:r w:rsidRPr="00232784">
        <w:rPr>
          <w:rStyle w:val="Emphasis"/>
        </w:rPr>
        <w:t>Zero Emission Vehicle Strategy</w:t>
      </w:r>
      <w:r>
        <w:t>, TMR has made a commitment that from 2025 all new urban buses in SEQ will be zero emission buses, and for regional Queensland, implementation will begin between 2025–2030.</w:t>
      </w:r>
    </w:p>
    <w:p w14:paraId="37CDF474" w14:textId="77777777" w:rsidR="00877868" w:rsidRDefault="00877868" w:rsidP="00877868">
      <w:r>
        <w:t>Since July 2021, TMR has given approval to the following bus operators for more battery electric buses to be rolled out across the Translink network during 2022:</w:t>
      </w:r>
    </w:p>
    <w:p w14:paraId="7327E3F3" w14:textId="47C15FF9" w:rsidR="00877868" w:rsidRDefault="00877868" w:rsidP="00877868">
      <w:pPr>
        <w:pStyle w:val="ListBullet"/>
      </w:pPr>
      <w:r>
        <w:t>Sunbus Sunshine Coast introduced five Yutong electric buses across its routes on the Sunshine Coast</w:t>
      </w:r>
    </w:p>
    <w:p w14:paraId="5C60CB00" w14:textId="67EEC084" w:rsidR="00877868" w:rsidRDefault="00877868" w:rsidP="00877868">
      <w:pPr>
        <w:pStyle w:val="ListBullet"/>
      </w:pPr>
      <w:r>
        <w:t>Marlin Coast Sunbus will introduce five Yutong buses on its network in Cairns operating from the new Portsmith depot</w:t>
      </w:r>
    </w:p>
    <w:p w14:paraId="0858A43B" w14:textId="6CE6D17E" w:rsidR="00877868" w:rsidRDefault="00877868" w:rsidP="00877868">
      <w:pPr>
        <w:pStyle w:val="ListBullet"/>
      </w:pPr>
      <w:r>
        <w:t>Clarks Logan City will introduce ten BusTech ZDI electric buses across the Logan network. These buses will be charged using Tritium chargers, locally built in Queensland with 100 per cent renewable energy accredited by GreenPower</w:t>
      </w:r>
    </w:p>
    <w:p w14:paraId="4BA12E1F" w14:textId="07445AB6" w:rsidR="00877868" w:rsidRDefault="00877868" w:rsidP="00877868">
      <w:pPr>
        <w:pStyle w:val="ListBullet"/>
      </w:pPr>
      <w:r>
        <w:t>Surfside Buslines will introduce ten BYD/Volgren buses on the 777-airport route from its newly built dedicated electric bus depot at Currumbin</w:t>
      </w:r>
    </w:p>
    <w:p w14:paraId="01732811" w14:textId="36CD4E23" w:rsidR="00877868" w:rsidRDefault="00877868" w:rsidP="00877868">
      <w:pPr>
        <w:pStyle w:val="ListBullet"/>
      </w:pPr>
      <w:r>
        <w:t>Hornibrook Buslines will introduce 16 ZDI electric buses onto its network in northern Brisbane. These buses will operate from its zero-emission depot at North Lakes which will charge the buses using 100 per cent renewable energy accredited by GreenPower</w:t>
      </w:r>
    </w:p>
    <w:p w14:paraId="39D4CE9F" w14:textId="68F972B1" w:rsidR="00877868" w:rsidRDefault="00877868" w:rsidP="00877868">
      <w:pPr>
        <w:pStyle w:val="ListBullet"/>
      </w:pPr>
      <w:r>
        <w:t>Translink will introduce its own two Volvo/Volgren buses onto the Spring Hill loop service in late-2022.</w:t>
      </w:r>
    </w:p>
    <w:p w14:paraId="1D791D4B" w14:textId="77777777" w:rsidR="00877868" w:rsidRDefault="00877868" w:rsidP="00877868">
      <w:r>
        <w:t>Logan Coaches continue to operate its BYD/Gemilang battery electric buses delivering Translink’s first zero emission bus route to the community at Yarrabiliba.</w:t>
      </w:r>
    </w:p>
    <w:p w14:paraId="344305A0" w14:textId="77777777" w:rsidR="00877868" w:rsidRDefault="00877868" w:rsidP="00877868">
      <w:r>
        <w:t>Transdev Queensland lead the way with its pathfinding BYD/ Volgren battery electric bus, known as Aurora 3, which operates across Redland Bay.</w:t>
      </w:r>
    </w:p>
    <w:p w14:paraId="2E3FBD60" w14:textId="77777777" w:rsidR="00877868" w:rsidRDefault="00877868" w:rsidP="00877868">
      <w:r>
        <w:t>Both Logan Coaches and Transdev are providing critical learnings to enable a successful transition ahead of the 2025 commitment.</w:t>
      </w:r>
    </w:p>
    <w:p w14:paraId="61FB5D50" w14:textId="6498C598" w:rsidR="006800C7" w:rsidRDefault="00434866" w:rsidP="006800C7">
      <w:pPr>
        <w:pStyle w:val="Heading4"/>
      </w:pPr>
      <w:r>
        <w:t xml:space="preserve">Woorabinda community </w:t>
      </w:r>
    </w:p>
    <w:p w14:paraId="51539AA5" w14:textId="11664FAA" w:rsidR="008567F1" w:rsidRDefault="008567F1" w:rsidP="008567F1">
      <w:r>
        <w:t>The Director-General has continued in his role as Government Champion for Woorabinda marking the eighth year of TMR working with the community.</w:t>
      </w:r>
    </w:p>
    <w:p w14:paraId="0F608123" w14:textId="77777777" w:rsidR="008567F1" w:rsidRDefault="008567F1" w:rsidP="008567F1">
      <w:r>
        <w:t>While quarterly visits were impacted by the effects of COVID-19 and weather events, TMR continued to work with the Mayor and Chief Executive Officer to progress the community’s agenda during 2021–22 including:</w:t>
      </w:r>
    </w:p>
    <w:p w14:paraId="0446E35A" w14:textId="154273FA" w:rsidR="008567F1" w:rsidRDefault="008567F1" w:rsidP="008567F1">
      <w:pPr>
        <w:pStyle w:val="ListBullet"/>
      </w:pPr>
      <w:r>
        <w:t>working with the community on its response to COVID-19</w:t>
      </w:r>
    </w:p>
    <w:p w14:paraId="2E8C99AF" w14:textId="7B840392" w:rsidR="008567F1" w:rsidRDefault="008567F1" w:rsidP="008567F1">
      <w:pPr>
        <w:pStyle w:val="ListBullet"/>
      </w:pPr>
      <w:r>
        <w:t>continuing works under the Memorandum of Understanding, designed to build the community’s capability in road infrastructure</w:t>
      </w:r>
    </w:p>
    <w:p w14:paraId="62F0ABEF" w14:textId="52613022" w:rsidR="008567F1" w:rsidRDefault="008567F1" w:rsidP="008567F1">
      <w:pPr>
        <w:pStyle w:val="ListBullet"/>
      </w:pPr>
      <w:r>
        <w:t>working with council to:</w:t>
      </w:r>
    </w:p>
    <w:p w14:paraId="4600D61A" w14:textId="57B9F530" w:rsidR="008567F1" w:rsidRDefault="008567F1" w:rsidP="008567F1">
      <w:pPr>
        <w:pStyle w:val="ListBullet"/>
        <w:tabs>
          <w:tab w:val="clear" w:pos="567"/>
          <w:tab w:val="num" w:pos="1134"/>
        </w:tabs>
        <w:ind w:left="1134"/>
      </w:pPr>
      <w:r>
        <w:t>plan access in and around a new housing subdivision</w:t>
      </w:r>
    </w:p>
    <w:p w14:paraId="29227AF7" w14:textId="64F462A6" w:rsidR="008567F1" w:rsidRDefault="008567F1" w:rsidP="008567F1">
      <w:pPr>
        <w:pStyle w:val="ListBullet"/>
        <w:tabs>
          <w:tab w:val="clear" w:pos="567"/>
          <w:tab w:val="num" w:pos="1134"/>
        </w:tabs>
        <w:ind w:left="1134"/>
      </w:pPr>
      <w:r>
        <w:t>plan and install road safety treatments around schools</w:t>
      </w:r>
    </w:p>
    <w:p w14:paraId="2457FD95" w14:textId="60335A63" w:rsidR="008567F1" w:rsidRDefault="008567F1" w:rsidP="008567F1">
      <w:pPr>
        <w:pStyle w:val="ListBullet"/>
        <w:tabs>
          <w:tab w:val="clear" w:pos="567"/>
          <w:tab w:val="num" w:pos="1134"/>
        </w:tabs>
        <w:ind w:left="1134"/>
      </w:pPr>
      <w:r>
        <w:lastRenderedPageBreak/>
        <w:t>secure funding to replace the town’s water supply reservoir.</w:t>
      </w:r>
    </w:p>
    <w:p w14:paraId="0BC19D1F" w14:textId="5EA7FFBD" w:rsidR="00877868" w:rsidRDefault="008567F1" w:rsidP="008567F1">
      <w:r>
        <w:t>TMR will continue to work to achieve improved economic and social outcomes, and address barriers to effective service delivery in the region.</w:t>
      </w:r>
    </w:p>
    <w:p w14:paraId="66B07F9C" w14:textId="20D402AA" w:rsidR="006800C7" w:rsidRDefault="008567F1" w:rsidP="006800C7">
      <w:pPr>
        <w:pStyle w:val="Heading4"/>
      </w:pPr>
      <w:r>
        <w:t>Creating sustainable outcomes for First Nations Queenslanders</w:t>
      </w:r>
    </w:p>
    <w:p w14:paraId="43B704AF" w14:textId="77777777" w:rsidR="00232784" w:rsidRDefault="00232784" w:rsidP="00232784">
      <w:r>
        <w:t>During 2021–22 TMR’s commitment to working with First Nation Queenslanders was taken to new heights, with the establishment of the Indigenous Strategy Team. The team’s initial focus is to co- design a strategy which creates sustainable economic outcomes for Aboriginal peoples and Torres Strait Islander peoples.</w:t>
      </w:r>
    </w:p>
    <w:p w14:paraId="07039EFF" w14:textId="77777777" w:rsidR="00232784" w:rsidRDefault="00232784" w:rsidP="00232784">
      <w:r>
        <w:t>TMR will have a roadmap to increasing and sustaining procurement spend with Aboriginal and Torres Strait Islander businesses, maturing the cultural capability of the workforce, strengthening the Indigenous Employee Network, creating culturally inclusive spaces for the customers and employees, and identifying opportunities to celebrate First Nations cultures within TMR’s service delivery.</w:t>
      </w:r>
    </w:p>
    <w:p w14:paraId="2A4812DE" w14:textId="1D2A9ECB" w:rsidR="008567F1" w:rsidRDefault="00232784" w:rsidP="00232784">
      <w:r>
        <w:t xml:space="preserve">The strategy is building on existing partnerships with the Woorabinda and Cape York communities, and directly aligns with the Australian Government’s commitment to Closing the Gap, the </w:t>
      </w:r>
      <w:r w:rsidRPr="00232784">
        <w:rPr>
          <w:rStyle w:val="Emphasis"/>
        </w:rPr>
        <w:t>Queensland Government’s Reconciliation Action Plan 2018– 2021</w:t>
      </w:r>
      <w:r>
        <w:t>, and 2032 Brisbane.</w:t>
      </w:r>
    </w:p>
    <w:p w14:paraId="30CC4FAE" w14:textId="43DCCBF7" w:rsidR="006800C7" w:rsidRDefault="004C3073" w:rsidP="006800C7">
      <w:pPr>
        <w:pStyle w:val="Heading4"/>
      </w:pPr>
      <w:r>
        <w:t xml:space="preserve">Reconnecting the community after natural disasters </w:t>
      </w:r>
    </w:p>
    <w:p w14:paraId="108F48DB" w14:textId="77777777" w:rsidR="00854185" w:rsidRDefault="00854185" w:rsidP="00854185">
      <w:r>
        <w:t>In 2021–22, TMR spent $111.09 million repairing state roads following natural disasters, including:</w:t>
      </w:r>
    </w:p>
    <w:p w14:paraId="63EAA41E" w14:textId="60A5770A" w:rsidR="00854185" w:rsidRDefault="00854185" w:rsidP="00854185">
      <w:pPr>
        <w:pStyle w:val="ListBullet"/>
      </w:pPr>
      <w:r>
        <w:t>reconstructing 73.7 kilometres of road pavement</w:t>
      </w:r>
    </w:p>
    <w:p w14:paraId="3BA6F355" w14:textId="692D6E04" w:rsidR="00854185" w:rsidRDefault="00854185" w:rsidP="00854185">
      <w:pPr>
        <w:pStyle w:val="ListBullet"/>
      </w:pPr>
      <w:r>
        <w:t>repairing 322 earthworks and batter locations</w:t>
      </w:r>
    </w:p>
    <w:p w14:paraId="0ED1D4F4" w14:textId="20F0BCC5" w:rsidR="00854185" w:rsidRDefault="00854185" w:rsidP="00854185">
      <w:pPr>
        <w:pStyle w:val="ListBullet"/>
      </w:pPr>
      <w:r>
        <w:t>repairing 55 structures (including bridges and culverts)</w:t>
      </w:r>
    </w:p>
    <w:p w14:paraId="22E35CA6" w14:textId="1E08F65D" w:rsidR="00854185" w:rsidRDefault="00854185" w:rsidP="00854185">
      <w:pPr>
        <w:pStyle w:val="ListBullet"/>
      </w:pPr>
      <w:r>
        <w:t>clearing 319 silt and debris locations.</w:t>
      </w:r>
    </w:p>
    <w:p w14:paraId="7245A878" w14:textId="77777777" w:rsidR="00854185" w:rsidRDefault="00854185" w:rsidP="00854185">
      <w:r>
        <w:t>A significant reconstruction program is underway after extensive severe flooding across South East Queensland in late-February and March 2022. This will repair major road damage across 22 local government areas, including numerous landslips, widespread pavement damage and scouring around bridges and culverts.</w:t>
      </w:r>
    </w:p>
    <w:p w14:paraId="08CCC473" w14:textId="77777777" w:rsidR="00854185" w:rsidRDefault="00854185" w:rsidP="00854185">
      <w:r>
        <w:t>TMR completed design for slope stabilisation works to repair bushfire damage at Cunninghams Gap, with construction to start in September 2022.</w:t>
      </w:r>
    </w:p>
    <w:p w14:paraId="36F8D126" w14:textId="77777777" w:rsidR="00854185" w:rsidRDefault="00854185" w:rsidP="00854185">
      <w:r>
        <w:t>Heavy rainfall in the Gold Coast hinterland in December 2020 caused a significant landslip on Tamborine Mountain Road, which is due to reopen in August 2022 following repairs.</w:t>
      </w:r>
    </w:p>
    <w:p w14:paraId="587F5911" w14:textId="7C3E62D5" w:rsidR="004C3073" w:rsidRDefault="00854185" w:rsidP="00854185">
      <w:r>
        <w:t>Assistance for these projects will be provided through the jointly funded Commonwealth-State Disaster Recovery Funding Arrangements.</w:t>
      </w:r>
    </w:p>
    <w:p w14:paraId="2258588B" w14:textId="67C511BC" w:rsidR="004C3073" w:rsidRDefault="00854185" w:rsidP="00C72CE0">
      <w:pPr>
        <w:pStyle w:val="MoreInformation"/>
      </w:pPr>
      <w:r>
        <w:t>For more information</w:t>
      </w:r>
      <w:r>
        <w:br/>
      </w:r>
      <w:hyperlink r:id="rId118" w:history="1">
        <w:r w:rsidR="00C72CE0" w:rsidRPr="00C72CE0">
          <w:rPr>
            <w:rStyle w:val="Hyperlink"/>
          </w:rPr>
          <w:t>https://www.tmr.qld.gov.au/projects/programs/natural-disaster- program</w:t>
        </w:r>
      </w:hyperlink>
    </w:p>
    <w:p w14:paraId="4A06F663" w14:textId="77777777" w:rsidR="004C3073" w:rsidRPr="004274CE" w:rsidRDefault="004C3073" w:rsidP="006800C7"/>
    <w:p w14:paraId="27A11871" w14:textId="77777777" w:rsidR="006800C7" w:rsidRDefault="006800C7" w:rsidP="006800C7">
      <w:pPr>
        <w:pStyle w:val="Heading2"/>
      </w:pPr>
      <w:r>
        <w:lastRenderedPageBreak/>
        <w:t xml:space="preserve">Road safety </w:t>
      </w:r>
    </w:p>
    <w:p w14:paraId="6A337C51" w14:textId="17FD02C0" w:rsidR="006800C7" w:rsidRPr="008151EB" w:rsidRDefault="00810D26" w:rsidP="006800C7">
      <w:pPr>
        <w:pStyle w:val="Heading4"/>
      </w:pPr>
      <w:r>
        <w:t xml:space="preserve">Queensland Road Safety Strategy and Action Plan </w:t>
      </w:r>
    </w:p>
    <w:p w14:paraId="6729F9F2" w14:textId="71E484B1" w:rsidR="00D91798" w:rsidRDefault="00D91798" w:rsidP="00D91798">
      <w:r>
        <w:t xml:space="preserve">The </w:t>
      </w:r>
      <w:r w:rsidRPr="00D91798">
        <w:rPr>
          <w:rStyle w:val="Emphasis"/>
        </w:rPr>
        <w:t>Safer Roads, Safer Queensland: Queensland’s Road Safety Strategy 2015–21</w:t>
      </w:r>
      <w:r>
        <w:t xml:space="preserve">, concluded at the end of 2021 alongside the </w:t>
      </w:r>
      <w:r w:rsidRPr="00D91798">
        <w:rPr>
          <w:rStyle w:val="Emphasis"/>
        </w:rPr>
        <w:t>Queensland Road Safety Action Plan 2020–21</w:t>
      </w:r>
      <w:r>
        <w:t>, the third and final action plan under the strategy.</w:t>
      </w:r>
    </w:p>
    <w:p w14:paraId="5066ABC7" w14:textId="77777777" w:rsidR="00D91798" w:rsidRDefault="00D91798" w:rsidP="00D91798">
      <w:r>
        <w:t>More than 130 initiatives were delivered during this seven- year period, including delivery of significant behaviour change initiatives, and over $1.71 billion invested into safety infrastructure through the Targeted Road Safety Program.</w:t>
      </w:r>
    </w:p>
    <w:p w14:paraId="0DD8DC98" w14:textId="77777777" w:rsidR="00D91798" w:rsidRDefault="00D91798" w:rsidP="00D91798">
      <w:r>
        <w:t xml:space="preserve">Highlights from the final year of the </w:t>
      </w:r>
      <w:r w:rsidRPr="00D91798">
        <w:rPr>
          <w:rStyle w:val="Emphasis"/>
        </w:rPr>
        <w:t>Queensland Road Safety Action Plan 2020–21</w:t>
      </w:r>
      <w:r>
        <w:t xml:space="preserve"> included:</w:t>
      </w:r>
    </w:p>
    <w:p w14:paraId="53936AE4" w14:textId="714B7A8C" w:rsidR="00D91798" w:rsidRDefault="00D91798" w:rsidP="00D91798">
      <w:pPr>
        <w:pStyle w:val="ListBullet"/>
      </w:pPr>
      <w:r>
        <w:t>delivery of a world-leading camera enforcement program that detects drivers using their mobile phones illegally or not wearing a seatbelt</w:t>
      </w:r>
    </w:p>
    <w:p w14:paraId="59788518" w14:textId="30A002F1" w:rsidR="00D91798" w:rsidRDefault="00D91798" w:rsidP="00D91798">
      <w:pPr>
        <w:pStyle w:val="ListBullet"/>
      </w:pPr>
      <w:r>
        <w:t>new education programs for drink drivers</w:t>
      </w:r>
    </w:p>
    <w:p w14:paraId="7F96C281" w14:textId="0E7A11B1" w:rsidR="00D91798" w:rsidRDefault="00D91798" w:rsidP="00D91798">
      <w:pPr>
        <w:pStyle w:val="ListBullet"/>
      </w:pPr>
      <w:r>
        <w:t>reforms to the Alcohol Ignition Interlock Program.</w:t>
      </w:r>
    </w:p>
    <w:p w14:paraId="7C6BE0AE" w14:textId="77777777" w:rsidR="00D91798" w:rsidRDefault="00D91798" w:rsidP="00D91798">
      <w:r>
        <w:t xml:space="preserve">In April 2022, the </w:t>
      </w:r>
      <w:r w:rsidRPr="00D91798">
        <w:rPr>
          <w:rStyle w:val="Emphasis"/>
        </w:rPr>
        <w:t>Queensland Road Safety Strategy 2022–31</w:t>
      </w:r>
      <w:r>
        <w:t xml:space="preserve"> and </w:t>
      </w:r>
      <w:r w:rsidRPr="00D91798">
        <w:rPr>
          <w:rStyle w:val="Emphasis"/>
        </w:rPr>
        <w:t>Queensland Road Safety Action Plan 2022–24</w:t>
      </w:r>
      <w:r>
        <w:t xml:space="preserve"> were released, reaffirming Queensland’s commitment to zero road trauma by 2050.</w:t>
      </w:r>
    </w:p>
    <w:p w14:paraId="41588A96" w14:textId="37ACB86E" w:rsidR="00810D26" w:rsidRDefault="00D91798" w:rsidP="00D91798">
      <w:r>
        <w:t>The strategy takes a new approach to road safety that involves responding to community needs at the local level, building partnerships with new stakeholders, and leveraging new technologies and data sets to improve road safety outcomes.</w:t>
      </w:r>
    </w:p>
    <w:p w14:paraId="43D49D8A" w14:textId="706E6653" w:rsidR="00D97258" w:rsidRPr="00D97258" w:rsidRDefault="00D97258" w:rsidP="00D97258">
      <w:pPr>
        <w:pStyle w:val="Heading4"/>
      </w:pPr>
      <w:r w:rsidRPr="00D97258">
        <w:t>Remade transport regulations</w:t>
      </w:r>
    </w:p>
    <w:p w14:paraId="1A4FCD6C" w14:textId="32F3B751" w:rsidR="007C71A6" w:rsidRDefault="007C71A6" w:rsidP="007C71A6">
      <w:r>
        <w:t>During 2021, TMR undertook the rewrite of three significant regulations—Driver Licensing, Vehicle Registration and the Vehicle Standards and Safety regulations.</w:t>
      </w:r>
    </w:p>
    <w:p w14:paraId="56467E23" w14:textId="02886561" w:rsidR="00810D26" w:rsidRDefault="007C71A6" w:rsidP="007C71A6">
      <w:r>
        <w:t>In combination, these regulations govern significant aspects of the Queensland road network. The new regulations were made by Governor in Council, and commenced on 1 September 2021.</w:t>
      </w:r>
    </w:p>
    <w:p w14:paraId="6768F354" w14:textId="57672884" w:rsidR="006800C7" w:rsidRDefault="006800C7" w:rsidP="006800C7">
      <w:pPr>
        <w:pStyle w:val="Heading4"/>
      </w:pPr>
      <w:r>
        <w:t>Community Road Safety Grants</w:t>
      </w:r>
      <w:r w:rsidR="007C71A6">
        <w:t xml:space="preserve"> Scheme</w:t>
      </w:r>
    </w:p>
    <w:p w14:paraId="63EB0105" w14:textId="5ABB5B53" w:rsidR="00312BE8" w:rsidRDefault="00312BE8" w:rsidP="00312BE8">
      <w:bookmarkStart w:id="11" w:name="_Hlk73108104"/>
      <w:r>
        <w:t>In 2021–22, the Community Road Safety Grants scheme awarded $23,440,181 over four and a half years to 18 community organisations for the delivery of Learner Driver Mentor and Road Safety Education Programs across Queensland.</w:t>
      </w:r>
    </w:p>
    <w:p w14:paraId="29DEB0BC" w14:textId="77777777" w:rsidR="00312BE8" w:rsidRDefault="00312BE8" w:rsidP="00312BE8">
      <w:r>
        <w:t>Learner Driver Mentor Programs provide disadvantaged people with the opportunity to complete the supervised driving requirements of Queensland’s graduated licensing system through organising and managing the support of a volunteer mentor network and vehicles.</w:t>
      </w:r>
    </w:p>
    <w:p w14:paraId="2491D1D3" w14:textId="77777777" w:rsidR="00312BE8" w:rsidRDefault="00312BE8" w:rsidP="00312BE8">
      <w:r>
        <w:t>Road Safety Education Programs aim to equip children, adolescents and young people with the attitudes, skills and knowledge they need to become safer road users.</w:t>
      </w:r>
    </w:p>
    <w:p w14:paraId="5D8E8AB9" w14:textId="77777777" w:rsidR="00312BE8" w:rsidRDefault="00312BE8" w:rsidP="00312BE8">
      <w:r>
        <w:t>Since 2013, the Community Road Safety Grants scheme has awarded more than $45 million to 536 community-based road safety education initiatives.</w:t>
      </w:r>
    </w:p>
    <w:p w14:paraId="406CD32B" w14:textId="77777777" w:rsidR="00312BE8" w:rsidRDefault="00312BE8" w:rsidP="00312BE8">
      <w:r>
        <w:t>Examples of grants awarded during 2021–22 included:</w:t>
      </w:r>
    </w:p>
    <w:p w14:paraId="29EDEB0B" w14:textId="34E8EC13" w:rsidR="00312BE8" w:rsidRDefault="00312BE8" w:rsidP="00D35A49">
      <w:pPr>
        <w:pStyle w:val="ListBullet"/>
      </w:pPr>
      <w:r>
        <w:lastRenderedPageBreak/>
        <w:t>Queensland Police-Citizens Youth Welfare Association (PCYC) awarded $4.5 million to deliver a Learner Driver Mentor Program to 11 locations across Queensland</w:t>
      </w:r>
    </w:p>
    <w:p w14:paraId="275ED758" w14:textId="55EB28C9" w:rsidR="00312BE8" w:rsidRDefault="00312BE8" w:rsidP="00D35A49">
      <w:pPr>
        <w:pStyle w:val="ListBullet"/>
      </w:pPr>
      <w:r>
        <w:t>the Royal Automobile Club of Queensland Limited (RACQ) awarded $3.15 million to deliver five in-school road safety education programs influencing student behaviour to adopt life-saving road safety strategies</w:t>
      </w:r>
    </w:p>
    <w:p w14:paraId="7C781658" w14:textId="466DB674" w:rsidR="00312BE8" w:rsidRDefault="00312BE8" w:rsidP="00D35A49">
      <w:pPr>
        <w:pStyle w:val="ListBullet"/>
      </w:pPr>
      <w:r>
        <w:t>Road Safety Education Limited awarded $2.925 million to deliver the RYDA program targeting secondary school students through a series of practical workshops that aim to change the way young people think about road safety</w:t>
      </w:r>
    </w:p>
    <w:p w14:paraId="25FE23D5" w14:textId="32FAD469" w:rsidR="00312BE8" w:rsidRDefault="00312BE8" w:rsidP="00D35A49">
      <w:pPr>
        <w:pStyle w:val="ListBullet"/>
      </w:pPr>
      <w:r>
        <w:t xml:space="preserve">$670,500 to You Belong Australia Ltd to deliver a Learner Driver Mentor Program for people from culturally and </w:t>
      </w:r>
      <w:r w:rsidR="00315481">
        <w:t>linguistically</w:t>
      </w:r>
      <w:r>
        <w:t xml:space="preserve"> diverse backgrounds located within the Toowoomba region</w:t>
      </w:r>
    </w:p>
    <w:p w14:paraId="6E3B84DF" w14:textId="2C037ED5" w:rsidR="007C71A6" w:rsidRDefault="00312BE8" w:rsidP="00D35A49">
      <w:pPr>
        <w:pStyle w:val="ListBullet"/>
      </w:pPr>
      <w:r>
        <w:t>Central Queensland Indigenous Development Limited awarded</w:t>
      </w:r>
      <w:r w:rsidR="00D35A49">
        <w:t xml:space="preserve"> </w:t>
      </w:r>
      <w:r>
        <w:t>$292,500 to deliver a Learner Driver Mentor Program to the community of Woorabinda.</w:t>
      </w:r>
    </w:p>
    <w:p w14:paraId="4A507226" w14:textId="332E2DFC" w:rsidR="006800C7" w:rsidRDefault="006800C7" w:rsidP="006800C7">
      <w:pPr>
        <w:pStyle w:val="MoreInformation"/>
      </w:pPr>
      <w:r>
        <w:t>For more information</w:t>
      </w:r>
      <w:r>
        <w:br/>
      </w:r>
      <w:hyperlink r:id="rId119" w:history="1">
        <w:r w:rsidR="00437658" w:rsidRPr="00437658">
          <w:rPr>
            <w:rStyle w:val="Hyperlink"/>
          </w:rPr>
          <w:t>https://www.qld.gov.au/transport/safety/road-safety/community-road-safety-grants</w:t>
        </w:r>
      </w:hyperlink>
    </w:p>
    <w:bookmarkEnd w:id="11"/>
    <w:p w14:paraId="0B37EB02" w14:textId="6B79D730" w:rsidR="006800C7" w:rsidRDefault="00437658" w:rsidP="006800C7">
      <w:pPr>
        <w:pStyle w:val="Heading4"/>
      </w:pPr>
      <w:r>
        <w:t>Targeted Road Safety Program</w:t>
      </w:r>
    </w:p>
    <w:p w14:paraId="39233C98" w14:textId="77777777" w:rsidR="006707F3" w:rsidRDefault="006707F3" w:rsidP="006707F3">
      <w:r>
        <w:t>The Targeted Road Safety Program delivers cost-effective, high- benefit infrastructure safety treatments on the state-controlled and local government road networks, to treat locations with a significant crash history or other identified safety problems.</w:t>
      </w:r>
    </w:p>
    <w:p w14:paraId="17D85EF9" w14:textId="77777777" w:rsidR="006707F3" w:rsidRDefault="006707F3" w:rsidP="006707F3">
      <w:r>
        <w:t>The Program has 13 sub-programs, including:</w:t>
      </w:r>
    </w:p>
    <w:p w14:paraId="62C0426F" w14:textId="519C554B" w:rsidR="006707F3" w:rsidRDefault="006707F3" w:rsidP="006707F3">
      <w:pPr>
        <w:pStyle w:val="ListBullet"/>
      </w:pPr>
      <w:r>
        <w:t>high risk roads</w:t>
      </w:r>
    </w:p>
    <w:p w14:paraId="04C17D36" w14:textId="70556EAE" w:rsidR="006707F3" w:rsidRDefault="006707F3" w:rsidP="006707F3">
      <w:pPr>
        <w:pStyle w:val="ListBullet"/>
      </w:pPr>
      <w:r>
        <w:t>safer roads sooner</w:t>
      </w:r>
    </w:p>
    <w:p w14:paraId="0DED2EC7" w14:textId="17BE2F0F" w:rsidR="006707F3" w:rsidRDefault="006707F3" w:rsidP="006707F3">
      <w:pPr>
        <w:pStyle w:val="ListBullet"/>
      </w:pPr>
      <w:r>
        <w:t>black spot program</w:t>
      </w:r>
    </w:p>
    <w:p w14:paraId="5F283792" w14:textId="44BE5036" w:rsidR="006707F3" w:rsidRDefault="006707F3" w:rsidP="006707F3">
      <w:pPr>
        <w:pStyle w:val="ListBullet"/>
      </w:pPr>
      <w:r>
        <w:t>mass actions</w:t>
      </w:r>
    </w:p>
    <w:p w14:paraId="24E8CD7C" w14:textId="3705824C" w:rsidR="006707F3" w:rsidRDefault="006707F3" w:rsidP="006707F3">
      <w:pPr>
        <w:pStyle w:val="ListBullet"/>
      </w:pPr>
      <w:r>
        <w:t>route actions</w:t>
      </w:r>
    </w:p>
    <w:p w14:paraId="6755C317" w14:textId="5DE296F9" w:rsidR="006707F3" w:rsidRDefault="006707F3" w:rsidP="006707F3">
      <w:pPr>
        <w:pStyle w:val="ListBullet"/>
      </w:pPr>
      <w:r>
        <w:t>vulnerable users.</w:t>
      </w:r>
    </w:p>
    <w:p w14:paraId="602A40DD" w14:textId="77777777" w:rsidR="006707F3" w:rsidRDefault="006707F3" w:rsidP="006707F3">
      <w:r>
        <w:t>As at 30 June 2022, the Targeted Road Safety Program delivered a record $494.9 million in safety treatments across Queensland during 2021–22. It is primarily funded from the Camera Detected Offence Program (CDOP) and the Australian Government Road Safety Program and significantly improves safety on the state’s road network.</w:t>
      </w:r>
    </w:p>
    <w:p w14:paraId="441FE5D6" w14:textId="77777777" w:rsidR="006707F3" w:rsidRDefault="006707F3" w:rsidP="006707F3">
      <w:r>
        <w:t>One of the major projects delivered in 2021–22 was $14 million to install or replace rest areas on main highways across the State, including the Capricorn, Landsborough, Cunningham, Warrego, Moonie, Leichhardt, Gore and Bruce highways.</w:t>
      </w:r>
    </w:p>
    <w:p w14:paraId="563648F1" w14:textId="06F14EA5" w:rsidR="00437658" w:rsidRDefault="006707F3" w:rsidP="006707F3">
      <w:r>
        <w:t>Other major projects included $8 million to pave and seal at Monto– Mount Perry Road (Mail Bag Creek to Kerwee Road); $7.49 million for Town Entry Treatments in Far North Queensland; $6.79 million upgrade of Carnarvon Highway and Warrego Highway intersection; $6.01 million for pavement strengthening and widening on the Landsborough Highway (Winton–Kyuna); and, $6.59 million to improve cycleway facilities on the Bruce Highway (Benaraby–Rockhampton).</w:t>
      </w:r>
    </w:p>
    <w:p w14:paraId="24D8731B" w14:textId="0C25A16D" w:rsidR="006800C7" w:rsidRDefault="0094563E" w:rsidP="006800C7">
      <w:pPr>
        <w:pStyle w:val="Heading4"/>
      </w:pPr>
      <w:r>
        <w:t>School Transport Infrastructure Program</w:t>
      </w:r>
    </w:p>
    <w:p w14:paraId="15D4AE53" w14:textId="6A7CE271" w:rsidR="00AD4D3C" w:rsidRDefault="00AD4D3C" w:rsidP="00AD4D3C">
      <w:r>
        <w:t>Since it began in 2018–19, the $20 million School Transport Infrastructure Program (STIP) has improved the safety and operation of schools through enhanced school transport infrastructure.</w:t>
      </w:r>
    </w:p>
    <w:p w14:paraId="2BCB260E" w14:textId="3E822D5F" w:rsidR="00AD4D3C" w:rsidRDefault="00AD4D3C" w:rsidP="00AD4D3C">
      <w:r>
        <w:t>The STIP aims to improve safety and provide long-term solutions for one of the Queensland’s most vulnerable road user group, school children.</w:t>
      </w:r>
    </w:p>
    <w:p w14:paraId="2B7FAD4C" w14:textId="77777777" w:rsidR="00AD4D3C" w:rsidRDefault="00AD4D3C" w:rsidP="00AD4D3C">
      <w:r>
        <w:lastRenderedPageBreak/>
        <w:t>94 projects have been approved for funding in the past four years, with STIP funding infrastructure projects including school drop off and pick up zones, car parks, footpaths, wombat crossings, traffic islands and signs.</w:t>
      </w:r>
    </w:p>
    <w:p w14:paraId="0454A09B" w14:textId="03ABBCD7" w:rsidR="00AD4D3C" w:rsidRDefault="00AD4D3C" w:rsidP="00AD4D3C">
      <w:r>
        <w:t>As at 30 June 2022, 89 of these projects have been delivered.</w:t>
      </w:r>
    </w:p>
    <w:p w14:paraId="0DC3C083" w14:textId="34E8A671" w:rsidR="00AD4D3C" w:rsidRDefault="00AD4D3C" w:rsidP="00AD4D3C">
      <w:r>
        <w:t>The STIP complements the Transport Infrastructure Development Scheme which provides funding to local governments for transport related initiatives which support state government objectives.</w:t>
      </w:r>
    </w:p>
    <w:p w14:paraId="296DF7B5" w14:textId="29BD22EE" w:rsidR="0094563E" w:rsidRDefault="00AD4D3C" w:rsidP="00AD4D3C">
      <w:r>
        <w:t>It also complements other ongoing initiatives to improve safety in and around Queensland schools, including the Flashing School Zone Sign Program, the School Crossing Supervisor Scheme and the Community Road Safety Grants Program.</w:t>
      </w:r>
    </w:p>
    <w:p w14:paraId="004B92E5" w14:textId="73F18CE0" w:rsidR="006800C7" w:rsidRDefault="00AD4D3C" w:rsidP="006800C7">
      <w:pPr>
        <w:pStyle w:val="Heading4"/>
      </w:pPr>
      <w:r>
        <w:t>Flashing school zone signs</w:t>
      </w:r>
    </w:p>
    <w:p w14:paraId="71315023" w14:textId="0D5A49F7" w:rsidR="00532DB3" w:rsidRDefault="00532DB3" w:rsidP="00532DB3">
      <w:r>
        <w:t>School children across Queensland are safer with flashing school zone signs installed at 1190 school zones since the program began in 2012.</w:t>
      </w:r>
    </w:p>
    <w:p w14:paraId="0BDC36CB" w14:textId="77777777" w:rsidR="00532DB3" w:rsidRDefault="00532DB3" w:rsidP="00532DB3">
      <w:r>
        <w:t>Funded by the Camera Detected Offence Program, flashing school zone signs have been installed at sites across the state, including:</w:t>
      </w:r>
    </w:p>
    <w:p w14:paraId="1A2EC8C3" w14:textId="697582DD" w:rsidR="00532DB3" w:rsidRDefault="00532DB3" w:rsidP="00532DB3">
      <w:pPr>
        <w:pStyle w:val="ListBullet"/>
        <w:tabs>
          <w:tab w:val="left" w:pos="284"/>
        </w:tabs>
        <w:spacing w:before="120"/>
      </w:pPr>
      <w:r>
        <w:t>Rockhampton Grammar School</w:t>
      </w:r>
    </w:p>
    <w:p w14:paraId="0FD8B177" w14:textId="5E4CB3B2" w:rsidR="00532DB3" w:rsidRDefault="00532DB3" w:rsidP="00532DB3">
      <w:pPr>
        <w:pStyle w:val="ListBullet"/>
        <w:tabs>
          <w:tab w:val="left" w:pos="284"/>
        </w:tabs>
        <w:spacing w:before="120"/>
      </w:pPr>
      <w:r>
        <w:t>Warwick West State School</w:t>
      </w:r>
    </w:p>
    <w:p w14:paraId="071CE6CB" w14:textId="365E244D" w:rsidR="00532DB3" w:rsidRDefault="00532DB3" w:rsidP="00532DB3">
      <w:pPr>
        <w:pStyle w:val="ListBullet"/>
        <w:tabs>
          <w:tab w:val="left" w:pos="284"/>
        </w:tabs>
        <w:spacing w:before="120"/>
      </w:pPr>
      <w:r>
        <w:t>B</w:t>
      </w:r>
      <w:r w:rsidR="00BB505C">
        <w:t>o</w:t>
      </w:r>
      <w:r>
        <w:t>wen State High School</w:t>
      </w:r>
    </w:p>
    <w:p w14:paraId="7ACEB4F0" w14:textId="1C4CB9D1" w:rsidR="00532DB3" w:rsidRDefault="00532DB3" w:rsidP="00532DB3">
      <w:pPr>
        <w:pStyle w:val="ListBullet"/>
        <w:tabs>
          <w:tab w:val="left" w:pos="284"/>
        </w:tabs>
        <w:spacing w:before="120"/>
      </w:pPr>
      <w:r>
        <w:t>MacKillop Catholic Primary School, Mackay</w:t>
      </w:r>
    </w:p>
    <w:p w14:paraId="10D93E72" w14:textId="6784C942" w:rsidR="00532DB3" w:rsidRDefault="00532DB3" w:rsidP="00BB505C">
      <w:pPr>
        <w:pStyle w:val="ListBullet"/>
        <w:tabs>
          <w:tab w:val="left" w:pos="284"/>
        </w:tabs>
        <w:spacing w:before="120"/>
      </w:pPr>
      <w:r>
        <w:t>a number of sites in South East Queensland.</w:t>
      </w:r>
    </w:p>
    <w:p w14:paraId="0C1B6D6F" w14:textId="793D4A77" w:rsidR="00532DB3" w:rsidRDefault="00532DB3" w:rsidP="00BB505C">
      <w:r>
        <w:t>An additional 100 school zones are scheduled to have signs installed during 2022–23.</w:t>
      </w:r>
    </w:p>
    <w:p w14:paraId="29AF1D07" w14:textId="77777777" w:rsidR="00236739" w:rsidRPr="00E46578" w:rsidRDefault="00236739" w:rsidP="00236739">
      <w:pPr>
        <w:pStyle w:val="Heading3"/>
      </w:pPr>
      <w:r>
        <w:t>Case Study</w:t>
      </w:r>
    </w:p>
    <w:p w14:paraId="3DF954EF" w14:textId="5F4A2380" w:rsidR="00236739" w:rsidRDefault="00236739" w:rsidP="00236739">
      <w:pPr>
        <w:rPr>
          <w:iCs/>
          <w:color w:val="auto"/>
          <w:sz w:val="26"/>
        </w:rPr>
      </w:pPr>
      <w:r>
        <w:rPr>
          <w:iCs/>
          <w:color w:val="auto"/>
          <w:sz w:val="26"/>
        </w:rPr>
        <w:t xml:space="preserve">Drink driving reform </w:t>
      </w:r>
    </w:p>
    <w:p w14:paraId="5DD4160F" w14:textId="14E2A340" w:rsidR="00754680" w:rsidRDefault="00754680" w:rsidP="00754680">
      <w:r>
        <w:t>Drink driving is a ‘Fatal Five’ driving behaviour and is responsible for more than 20 per cent of the lives lost each year on Queensland roads. Besides the human costs, death and serious injuries involving drink drivers cost the Queensland community an average of $741 million each year.</w:t>
      </w:r>
    </w:p>
    <w:p w14:paraId="2C5F1D5C" w14:textId="77777777" w:rsidR="00754680" w:rsidRDefault="00754680" w:rsidP="00754680">
      <w:r>
        <w:t>September 2021 saw the roll out of the most significant package of drink driving reforms since the introduction of random breath testing. These reforms incorporated two key elements: an expansion of the existing Alcohol Ignition Interlock Program (Interlock Program), and the introduction of education programs to support people to separate drinking from driving.</w:t>
      </w:r>
    </w:p>
    <w:p w14:paraId="57F61914" w14:textId="77777777" w:rsidR="00754680" w:rsidRDefault="00754680" w:rsidP="00754680">
      <w:r>
        <w:t>In the Interlock Program, participants must have an alcohol ignition interlock fitted to any vehicle(s) they drive. Before they can be re-licensed, first-time drink drivers must complete a short online education program. Repeat drink drivers must complete a more comprehensive face-to-face education program as a condition of completing the Interlock Program.</w:t>
      </w:r>
    </w:p>
    <w:p w14:paraId="172CF91F" w14:textId="77777777" w:rsidR="00754680" w:rsidRDefault="00754680" w:rsidP="00754680">
      <w:r>
        <w:t>The education programs compliment the Interlock Program, which is now performance-based. This means a drink driver cannot remove the interlock until they have demonstrated they have separated their drinking from driving.</w:t>
      </w:r>
    </w:p>
    <w:p w14:paraId="35FABEFD" w14:textId="335DE078" w:rsidR="00532DB3" w:rsidRDefault="00754680" w:rsidP="00754680">
      <w:r>
        <w:lastRenderedPageBreak/>
        <w:t>Within the first year, more than 5000 people have completed the short online education program, with 99 per cent reporting that they believe they are unlikely to drink and drive again.</w:t>
      </w:r>
    </w:p>
    <w:p w14:paraId="3BFF843D" w14:textId="0FA4B212" w:rsidR="006800C7" w:rsidRDefault="006800C7" w:rsidP="006800C7">
      <w:pPr>
        <w:pStyle w:val="Heading4"/>
      </w:pPr>
      <w:r>
        <w:t xml:space="preserve">Road Safety </w:t>
      </w:r>
      <w:r w:rsidR="00754680">
        <w:t>Data Bureau</w:t>
      </w:r>
    </w:p>
    <w:p w14:paraId="6C470CBE" w14:textId="49608683" w:rsidR="0083687D" w:rsidRDefault="0083687D" w:rsidP="0083687D">
      <w:r>
        <w:t>To better understand the social and economic costs of road trauma in Queensland, the Road Safety Data Bureau was established in 2019 to conduct complex analysis of road crash and trauma data from various government agencies.</w:t>
      </w:r>
    </w:p>
    <w:p w14:paraId="0ABB7B19" w14:textId="31C7DE03" w:rsidR="0083687D" w:rsidRDefault="0083687D" w:rsidP="0083687D">
      <w:r>
        <w:t>The team includes representatives from TMR, the Queensland Police Service, Queensland’s Motor Accident Insurance Commission and Queensland Health’s Jamieson Trauma Institute.</w:t>
      </w:r>
    </w:p>
    <w:p w14:paraId="556E350A" w14:textId="77777777" w:rsidR="0083687D" w:rsidRDefault="0083687D" w:rsidP="0083687D">
      <w:r>
        <w:t>The Bureau’s purpose is to consolidate, integrate and analyse road crash-related data from all member agencies. The results will inform whole-of-government decision making and approaches to road safety policy and programs.</w:t>
      </w:r>
    </w:p>
    <w:p w14:paraId="7FF59AFE" w14:textId="77777777" w:rsidR="0083687D" w:rsidRDefault="0083687D" w:rsidP="0083687D">
      <w:r>
        <w:t>Major research projects undertaken in 2021–22 included:</w:t>
      </w:r>
    </w:p>
    <w:p w14:paraId="0C4804BA" w14:textId="73418CD2" w:rsidR="0083687D" w:rsidRDefault="0083687D" w:rsidP="0083687D">
      <w:pPr>
        <w:pStyle w:val="ListBullet"/>
      </w:pPr>
      <w:r w:rsidRPr="0083687D">
        <w:rPr>
          <w:rStyle w:val="Emphasis"/>
        </w:rPr>
        <w:t>Queensland Road Safety Strategy</w:t>
      </w:r>
      <w:r>
        <w:t xml:space="preserve"> Modelling—this project aimed to develop a Queensland road crash profile as well as a model of expected future road trauma trends to help inform the design of the next Queensland Road Safety Strategy and Action Plan</w:t>
      </w:r>
    </w:p>
    <w:p w14:paraId="189A5652" w14:textId="66FC24C8" w:rsidR="00754680" w:rsidRDefault="0083687D" w:rsidP="0083687D">
      <w:pPr>
        <w:pStyle w:val="ListBullet"/>
      </w:pPr>
      <w:r>
        <w:t>‘Out-of-scope’ fatal road crashes and fatalities—this project aimed to understand the extent, nature, and circumstances of out-of- scope fatal crashes and fatalities, as well as to identify the breadth and nature of information available to all relevant agencies on out-of-scope fatalities to better inform road safety initiatives.</w:t>
      </w:r>
    </w:p>
    <w:p w14:paraId="361FD5ED" w14:textId="22D051F9" w:rsidR="004A04F6" w:rsidRDefault="004A04F6" w:rsidP="004A04F6">
      <w:pPr>
        <w:pStyle w:val="Heading4"/>
      </w:pPr>
      <w:r>
        <w:t xml:space="preserve">Takata Airbag Compulsory Recall Process </w:t>
      </w:r>
    </w:p>
    <w:p w14:paraId="3E6CA6BA" w14:textId="212C12A9" w:rsidR="001C6206" w:rsidRDefault="001C6206" w:rsidP="001C6206">
      <w:r>
        <w:t>TMR worked with the Australian Competition and Consumer Commission, government agencies, and the automotive industry to assist in removing faulty Takata airbags from Queensland roads. This included taking action against the registration of vehicles subject to the compulsory Takata recall.</w:t>
      </w:r>
    </w:p>
    <w:p w14:paraId="160E09BF" w14:textId="69450652" w:rsidR="00754680" w:rsidRDefault="001C6206" w:rsidP="001C6206">
      <w:r>
        <w:t>After a series of escalating actions focused initially on higher-risk vehicles, TMR removed these dangerous vehicles from the road network. Approximately 800,000 Queensland vehicles were originally subject to the compulsory recall. Ultimately, TMR cancelled the registration of over 2,500 of these vehicles, whose owners failed to respond to multiple requests to have the airbags replaced.</w:t>
      </w:r>
    </w:p>
    <w:p w14:paraId="6E8F1156" w14:textId="77777777" w:rsidR="006800C7" w:rsidRDefault="006800C7" w:rsidP="006800C7">
      <w:pPr>
        <w:pStyle w:val="Heading4"/>
      </w:pPr>
      <w:r>
        <w:t xml:space="preserve">Queensland Road Safety Week </w:t>
      </w:r>
    </w:p>
    <w:p w14:paraId="2F3DE3D7" w14:textId="6CF689BF" w:rsidR="00A80777" w:rsidRDefault="00A80777" w:rsidP="00A80777">
      <w:r>
        <w:t>The seventh celebration of Queensland Road Safety Week was held from 16 to 20 August 2021 and encouraged Queenslanders to ‘Sign up for road safety’.</w:t>
      </w:r>
    </w:p>
    <w:p w14:paraId="4E5333F5" w14:textId="1BD9262B" w:rsidR="00A80777" w:rsidRDefault="00A80777" w:rsidP="00A80777">
      <w:r>
        <w:t>Participants were able to show their support by creating a sign featuring their road safety message and sharing it via the StreetSmarts website or social media channels. This online activation was introduced in 2020 in response to public health guidelines restricting the ability to hold public events.</w:t>
      </w:r>
    </w:p>
    <w:p w14:paraId="53D5A51E" w14:textId="77777777" w:rsidR="00A80777" w:rsidRDefault="00A80777" w:rsidP="00A80777">
      <w:r>
        <w:t>Participants were particularly active via social media, utilising the campaign hashtag of #QRSW2021. A range of resources were available on the Queensland Road Safety Week website to support participation efforts, and the promotional campaign performed well across all digital channels.</w:t>
      </w:r>
    </w:p>
    <w:p w14:paraId="061068C5" w14:textId="2E6B8E6F" w:rsidR="004A04F6" w:rsidRDefault="00A80777" w:rsidP="00A80777">
      <w:r>
        <w:lastRenderedPageBreak/>
        <w:t>The Queensland Police Service provided invaluable support across social media and also produced a video series to support the week.</w:t>
      </w:r>
    </w:p>
    <w:p w14:paraId="098CC891" w14:textId="2D1DAFAE" w:rsidR="006800C7" w:rsidRDefault="00A80777" w:rsidP="006800C7">
      <w:pPr>
        <w:pStyle w:val="Heading4"/>
      </w:pPr>
      <w:r>
        <w:t xml:space="preserve">StreetSmarts road safety campaigns </w:t>
      </w:r>
    </w:p>
    <w:p w14:paraId="1D73EE46" w14:textId="77777777" w:rsidR="00A44EAA" w:rsidRDefault="00A44EAA" w:rsidP="00A44EAA">
      <w:r>
        <w:t>The StreetSmarts road safety initiative delivered campaigns and activities during 2021–22 to improve road safety in Queensland.</w:t>
      </w:r>
    </w:p>
    <w:p w14:paraId="2C808391" w14:textId="77777777" w:rsidR="00A44EAA" w:rsidRDefault="00A44EAA" w:rsidP="00A44EAA">
      <w:r>
        <w:t>The successful ‘All good. All bad’ campaign provided critical drink driving reminders throughout summer (December–January 2022), and the ‘You lapse, You Lose’ risky driving campaign ran during Easter (April–May 2022).</w:t>
      </w:r>
    </w:p>
    <w:p w14:paraId="59441EB3" w14:textId="77777777" w:rsidR="00A44EAA" w:rsidRDefault="00A44EAA" w:rsidP="00A44EAA">
      <w:r>
        <w:t>‘Crash test’ (seatbelts) ran in regional Queensland in July, and motorcyclists were targeted in the ‘Ride Craft’ campaign (September–November 2021).</w:t>
      </w:r>
    </w:p>
    <w:p w14:paraId="22EE7037" w14:textId="77777777" w:rsidR="00A44EAA" w:rsidRDefault="00A44EAA" w:rsidP="00A44EAA">
      <w:r>
        <w:t>StreetSmarts also supported a significant campaign program about road safety reforms during 2021–22 including:</w:t>
      </w:r>
    </w:p>
    <w:p w14:paraId="3053A282" w14:textId="39C5C11D" w:rsidR="00A44EAA" w:rsidRDefault="00A44EAA" w:rsidP="00A44EAA">
      <w:pPr>
        <w:pStyle w:val="ListBullet"/>
      </w:pPr>
      <w:r>
        <w:t>the introduction of seatbelt and mobile phone enforcement cameras: ‘Is it worth it?’ (June–November 2021)</w:t>
      </w:r>
    </w:p>
    <w:p w14:paraId="138E155E" w14:textId="58EF62E4" w:rsidR="00A44EAA" w:rsidRDefault="00A44EAA" w:rsidP="00A44EAA">
      <w:pPr>
        <w:pStyle w:val="ListBullet"/>
      </w:pPr>
      <w:r>
        <w:t>‘Drink Driving Reforms – Alcohol Ignition Interlock’ campaign (September–October 2021)</w:t>
      </w:r>
    </w:p>
    <w:p w14:paraId="5B8E2DB9" w14:textId="20A6F605" w:rsidR="00A44EAA" w:rsidRDefault="00A44EAA" w:rsidP="00A44EAA">
      <w:pPr>
        <w:pStyle w:val="ListBullet"/>
      </w:pPr>
      <w:r>
        <w:t>new penalties for speeding, not wearing a seatbelt and running red lights ‘Anywhere, Anytime’. (Phase 1 May– June 2022)</w:t>
      </w:r>
    </w:p>
    <w:p w14:paraId="787CF961" w14:textId="77777777" w:rsidR="00A44EAA" w:rsidRDefault="00A44EAA" w:rsidP="00A44EAA">
      <w:r>
        <w:t>With over 165,000 followers, StreetSmarts ‘always on’ social media channels (Facebook, Instagram, Snapchat and Twitter) delivered relevant, timely and targeted road safety messaging reaching around one million individuals monthly.</w:t>
      </w:r>
    </w:p>
    <w:p w14:paraId="678A3C77" w14:textId="334F709C" w:rsidR="006800C7" w:rsidRDefault="00A44EAA" w:rsidP="006800C7">
      <w:pPr>
        <w:pStyle w:val="Heading4"/>
      </w:pPr>
      <w:r>
        <w:t xml:space="preserve">Drink driving reforms </w:t>
      </w:r>
    </w:p>
    <w:p w14:paraId="27C55BE6" w14:textId="634D4F02" w:rsidR="00F54556" w:rsidRDefault="00F54556" w:rsidP="00F54556">
      <w:r>
        <w:t>On 10 September 2021, TMR introduced tough new drink driving reforms, to improve road safety outcomes on Queensland roads.</w:t>
      </w:r>
    </w:p>
    <w:p w14:paraId="53B53D07" w14:textId="5CDE3605" w:rsidR="00F54556" w:rsidRDefault="00F54556" w:rsidP="00F54556">
      <w:r>
        <w:t>The reforms include a focus on education and how to separate drinking from driving. Two new education programs were introduced, an online course for anyone convicted of a drink driving offence and a face-to-face comprehensive program for repeat offenders.</w:t>
      </w:r>
    </w:p>
    <w:p w14:paraId="0AB307FE" w14:textId="41FB5E0C" w:rsidR="00F54556" w:rsidRDefault="00F54556" w:rsidP="00F54556">
      <w:r>
        <w:t>The Alcohol Ignition Interlock Program was enhanced to be a performance-based program to further educate participants before completing the program. It has also been expanded to include all mid-range and above offenders, as well as all repeat drink driving offenders. If a TMR customer chooses not to participate in the program, they will not be eligible for a driver’s licence for five years.</w:t>
      </w:r>
    </w:p>
    <w:p w14:paraId="5F7FB361" w14:textId="500BBBA6" w:rsidR="00A44EAA" w:rsidRDefault="00F54556" w:rsidP="00F54556">
      <w:r>
        <w:t>A new online portal was delivered on 25 March 2022, designed to help participants to track their progress while on the program support behaviour change, while also enhancing online capability to submit applications.</w:t>
      </w:r>
    </w:p>
    <w:p w14:paraId="1B473E4A" w14:textId="1F8B50A9" w:rsidR="003B32E8" w:rsidRDefault="00F54556" w:rsidP="00F54556">
      <w:pPr>
        <w:pStyle w:val="MoreInformation"/>
      </w:pPr>
      <w:r>
        <w:lastRenderedPageBreak/>
        <w:t>For more information</w:t>
      </w:r>
      <w:r>
        <w:br/>
      </w:r>
      <w:hyperlink r:id="rId120" w:history="1">
        <w:r w:rsidR="003B32E8" w:rsidRPr="00C437E3">
          <w:rPr>
            <w:rStyle w:val="Hyperlink"/>
          </w:rPr>
          <w:t>https://www.qld.gov.au/transport/safety/road-safety/drink-driving/drink-driving-education-programs</w:t>
        </w:r>
      </w:hyperlink>
      <w:r w:rsidR="00D867F1">
        <w:br/>
      </w:r>
      <w:hyperlink r:id="rId121" w:history="1">
        <w:r w:rsidR="003B32E8" w:rsidRPr="003B32E8">
          <w:rPr>
            <w:rStyle w:val="Hyperlink"/>
          </w:rPr>
          <w:t>https://www.qld.gov.au/transport/safety/road-safety/drink-driving/interlocks</w:t>
        </w:r>
      </w:hyperlink>
      <w:r w:rsidR="003B32E8">
        <w:br/>
      </w:r>
      <w:hyperlink r:id="rId122" w:history="1">
        <w:r w:rsidR="00471F33" w:rsidRPr="00471F33">
          <w:rPr>
            <w:rStyle w:val="Hyperlink"/>
          </w:rPr>
          <w:t>https://www.qld.gov.au/transport/safety/road-safety/drink-driving/plan-drive-survive-hub</w:t>
        </w:r>
      </w:hyperlink>
    </w:p>
    <w:p w14:paraId="19475526" w14:textId="4B7DDA65" w:rsidR="006800C7" w:rsidRDefault="00471F33" w:rsidP="006800C7">
      <w:pPr>
        <w:pStyle w:val="Heading4"/>
      </w:pPr>
      <w:r>
        <w:t xml:space="preserve">Mobile phone distraction and seatbelts </w:t>
      </w:r>
    </w:p>
    <w:p w14:paraId="534CC26C" w14:textId="16C3C727" w:rsidR="00290A76" w:rsidRDefault="00290A76" w:rsidP="00290A76">
      <w:r>
        <w:t>Illegal phone use and non-seatbelt wearing contribute significantly to the number of lives lost and serious injuries on Queensland roads each year.</w:t>
      </w:r>
    </w:p>
    <w:p w14:paraId="12FA9264" w14:textId="6C4BB254" w:rsidR="00290A76" w:rsidRDefault="00290A76" w:rsidP="00290A76">
      <w:r>
        <w:t>In partnership with the Queensland Police Service, TMR commenced the roll out of new camera technology to detect illegal mobile phone use while driving in July 2021. In an Australian-first, this technology also detects front seat occupants who fail to wear a properly fitted seatbelt.</w:t>
      </w:r>
    </w:p>
    <w:p w14:paraId="6275E89C" w14:textId="55F53770" w:rsidR="00290A76" w:rsidRDefault="00290A76" w:rsidP="00290A76">
      <w:r>
        <w:t>Fixed and portable cameras were introduced in urban and regional areas across Queensland enabling those committing these dangerous behaviours to be caught anywhere, anytime.</w:t>
      </w:r>
    </w:p>
    <w:p w14:paraId="4E0247C2" w14:textId="6A7AF970" w:rsidR="00290A76" w:rsidRDefault="00290A76" w:rsidP="00290A76">
      <w:r>
        <w:t>TMR also strengthened road rules relating to mobile phone use on 26 July 2021. A driver must not have a mobile phone in their hand or resting on any part of their body, including their lap, while driving—regardless of whether the phone is on or in use. Previously the rule only applied to drivers holding the mobile phone in their hand.</w:t>
      </w:r>
    </w:p>
    <w:p w14:paraId="6C14D204" w14:textId="4887B105" w:rsidR="00471F33" w:rsidRDefault="00290A76" w:rsidP="00290A76">
      <w:r>
        <w:t>From 26 July to 30 October 2021, a three-month warning letter period for camera-detected offences was applied to encourage drivers to change their behaviour. Penalties for camera-detected mobile and seatbelt offences commenced on 1 November 2021.</w:t>
      </w:r>
    </w:p>
    <w:p w14:paraId="38C5ECE3" w14:textId="72AD6E25" w:rsidR="006800C7" w:rsidRPr="00F43DB1" w:rsidRDefault="006436AE" w:rsidP="006800C7">
      <w:pPr>
        <w:pStyle w:val="Heading4"/>
      </w:pPr>
      <w:r>
        <w:t xml:space="preserve">Programmed Vehicle Inspection Reforms </w:t>
      </w:r>
    </w:p>
    <w:p w14:paraId="28EC1BDA" w14:textId="77777777" w:rsidR="006F4007" w:rsidRDefault="006F4007" w:rsidP="006F4007">
      <w:r>
        <w:t>A Programmed Vehicle Inspection is a mandatory vehicle safety inspection conducted at scheduled periods for certain higher risk vehicles. Following the personalised transport reforms in 2017, vehicles such as taxis, booked hire vehicles and limousines, were transitioned from six monthly inspections to annual inspections.</w:t>
      </w:r>
    </w:p>
    <w:p w14:paraId="4D504C5F" w14:textId="77777777" w:rsidR="006F4007" w:rsidRDefault="006F4007" w:rsidP="006F4007">
      <w:r>
        <w:t>As part of the Programmed Vehicle Inspection Reform project, TMR introduced further changes to how Programmed Vehicle Inspections are managed in Queensland.</w:t>
      </w:r>
    </w:p>
    <w:p w14:paraId="09D9FF1C" w14:textId="29711777" w:rsidR="00290A76" w:rsidRDefault="006F4007" w:rsidP="006F4007">
      <w:r>
        <w:t>The changes provided greater consistency in relation to inspection requirements for the balance of the passenger transport fleet, addressed practical challenges for vehicles owners undertaking inspections in remote Queensland and standardised the categorisation of light and heavy trailers to be consistent with other jurisdictions.</w:t>
      </w:r>
    </w:p>
    <w:p w14:paraId="2F585466" w14:textId="09B3283A" w:rsidR="006800C7" w:rsidRPr="00F43DB1" w:rsidRDefault="00FB2A5D" w:rsidP="006800C7">
      <w:pPr>
        <w:pStyle w:val="Heading4"/>
      </w:pPr>
      <w:r>
        <w:t xml:space="preserve">Rest Area Upgrade project </w:t>
      </w:r>
    </w:p>
    <w:p w14:paraId="5F6C7A8E" w14:textId="2A75D593" w:rsidR="00E079CA" w:rsidRDefault="00E079CA" w:rsidP="00E079CA">
      <w:r>
        <w:t>TMR manages more than 1100 roadside amenities on the Queensland state-controlled road network. These amenities are established primarily to meet the needs of long-distance travellers and are aimed at reducing fatigue-related crashes while enhancing the travel experience.</w:t>
      </w:r>
    </w:p>
    <w:p w14:paraId="13A3605D" w14:textId="355F8CA8" w:rsidR="00E079CA" w:rsidRDefault="00E079CA" w:rsidP="00E079CA">
      <w:r>
        <w:t>The jointly funded Road Safety Program has so far committed $34.85 million to the Rest Area Upgrade Project to provide new and upgrades to existing roadside amenities, to encourage drivers to stop and rest, which may reduce fatigue-related crashes.</w:t>
      </w:r>
    </w:p>
    <w:p w14:paraId="7DB47DA3" w14:textId="77777777" w:rsidR="00E079CA" w:rsidRDefault="00E079CA" w:rsidP="00E079CA">
      <w:r>
        <w:lastRenderedPageBreak/>
        <w:t>Although the scope varies from site to site, generally major construction activities include upgrades to toilet facilities, accessibility for all road users, shade shelters, table and picnic facilities, solar lighting, and pavement rehabilitation and all- weather spray seal access.</w:t>
      </w:r>
    </w:p>
    <w:p w14:paraId="3CD40DC1" w14:textId="77777777" w:rsidR="00E079CA" w:rsidRDefault="00E079CA" w:rsidP="00E079CA">
      <w:r>
        <w:t>The Rest Area Upgrade Project has so far completed upgrades at 90 locations across Queensland, with another 13 locations of tranche three works across South Coast, Wide Bay and Mackay/Whitsunday Districts scheduled for completion before 30 September 2022</w:t>
      </w:r>
    </w:p>
    <w:p w14:paraId="305E0D67" w14:textId="77777777" w:rsidR="00633E3B" w:rsidRPr="00E46578" w:rsidRDefault="00633E3B" w:rsidP="00633E3B">
      <w:pPr>
        <w:pStyle w:val="Heading3"/>
      </w:pPr>
      <w:r>
        <w:t>Case Study</w:t>
      </w:r>
    </w:p>
    <w:p w14:paraId="2335087A" w14:textId="44316DF6" w:rsidR="00633E3B" w:rsidRDefault="00633E3B" w:rsidP="00633E3B">
      <w:pPr>
        <w:rPr>
          <w:iCs/>
          <w:color w:val="auto"/>
          <w:sz w:val="26"/>
        </w:rPr>
      </w:pPr>
      <w:r>
        <w:rPr>
          <w:iCs/>
          <w:color w:val="auto"/>
          <w:sz w:val="26"/>
        </w:rPr>
        <w:t>Mobile phone and seatbelt and cameras</w:t>
      </w:r>
    </w:p>
    <w:p w14:paraId="57357BE5" w14:textId="77777777" w:rsidR="005D79AD" w:rsidRDefault="005D79AD" w:rsidP="005D79AD">
      <w:r>
        <w:t>Mobile phone and seatbelt cameras have been operating since December 2021 throughout Queensland to improve road safety. Distracted driving is a major cause of road crashes and contributes to almost 20% of serious injuries on Queensland roads, with use of a mobile phone while driving just as dangerous as drink driving. Not wearing a seatbelt contributed to almost one quarter of all fatalities between 2016 and 2021 on Queensland roads.</w:t>
      </w:r>
    </w:p>
    <w:p w14:paraId="39DEDFE0" w14:textId="77777777" w:rsidR="005D79AD" w:rsidRDefault="005D79AD" w:rsidP="005D79AD">
      <w:r>
        <w:t>The introduction of the cameras is to help reduce the occurrence of mobile phone and seatbelt offences and their associated injuries and fatalities.</w:t>
      </w:r>
    </w:p>
    <w:p w14:paraId="363F6C7E" w14:textId="293A3F20" w:rsidR="005D79AD" w:rsidRDefault="005D79AD" w:rsidP="005D79AD">
      <w:r>
        <w:t xml:space="preserve">Although 141,812 infringements have been issued since the program started, the average overall detections of mobile phone offences has reduced, indicating positive changes in driver </w:t>
      </w:r>
      <w:r w:rsidR="00731FB8">
        <w:t>behaviours</w:t>
      </w:r>
      <w:r>
        <w:t>.</w:t>
      </w:r>
    </w:p>
    <w:p w14:paraId="27B62D93" w14:textId="0C3EA7B1" w:rsidR="005D79AD" w:rsidRDefault="005D79AD" w:rsidP="005D79AD">
      <w:r>
        <w:t>Between December 2021 and March 2022, an average of 22,360 detections of probable distracted driving were received per month. Between April and July 2022, this had reduced to an average of 18,035 detections. The same number of cameras were operating during these time periods.</w:t>
      </w:r>
    </w:p>
    <w:p w14:paraId="588CED0E" w14:textId="12FF2604" w:rsidR="00FB2A5D" w:rsidRDefault="005D79AD" w:rsidP="005D79AD">
      <w:r>
        <w:t>The funds from camera detected offences are reinvested in road safety initiatives and education programs.</w:t>
      </w:r>
    </w:p>
    <w:p w14:paraId="0E50B542" w14:textId="63E6EA56" w:rsidR="005D79AD" w:rsidRDefault="005D79AD" w:rsidP="005D79AD">
      <w:pPr>
        <w:pStyle w:val="MoreInformation"/>
      </w:pPr>
      <w:r>
        <w:t>For more information</w:t>
      </w:r>
      <w:r>
        <w:br/>
      </w:r>
      <w:hyperlink r:id="rId123" w:history="1">
        <w:r w:rsidR="004E1D28" w:rsidRPr="004E1D28">
          <w:rPr>
            <w:rStyle w:val="Hyperlink"/>
          </w:rPr>
          <w:t>https://www.tmr.qld.gov.au/Safety/Road-safety/Camera-Detected-Offence-Program</w:t>
        </w:r>
      </w:hyperlink>
    </w:p>
    <w:p w14:paraId="78B1AD2F" w14:textId="77777777" w:rsidR="00A36672" w:rsidRDefault="00A36672" w:rsidP="00A36672"/>
    <w:p w14:paraId="6A636C28" w14:textId="74B2569D" w:rsidR="004E1D28" w:rsidRDefault="004E1D28" w:rsidP="004E1D28">
      <w:pPr>
        <w:pStyle w:val="Heading2"/>
      </w:pPr>
      <w:r>
        <w:t xml:space="preserve">Rail Safety </w:t>
      </w:r>
    </w:p>
    <w:p w14:paraId="078C8260" w14:textId="26B108D9" w:rsidR="003E4CD5" w:rsidRDefault="003E4CD5" w:rsidP="003E4CD5">
      <w:r>
        <w:t>TMR enhances rail safety outcomes in Queensland through initiatives that complement the activities of the Office of the National Rail Safety Regulator (ONRSR).</w:t>
      </w:r>
    </w:p>
    <w:p w14:paraId="206A5F67" w14:textId="4DD27802" w:rsidR="003E4CD5" w:rsidRDefault="003E4CD5" w:rsidP="003E4CD5">
      <w:r>
        <w:t xml:space="preserve">TMR continues to maintain the </w:t>
      </w:r>
      <w:r w:rsidRPr="003E4CD5">
        <w:rPr>
          <w:rStyle w:val="Emphasis"/>
        </w:rPr>
        <w:t>Rail Safety National Law (Qld) Act 2017</w:t>
      </w:r>
      <w:r>
        <w:t xml:space="preserve"> in consultation with ONRSR and other stakeholders, ensuring that Queensland’s interests are reflected in any legislative amendments.</w:t>
      </w:r>
    </w:p>
    <w:p w14:paraId="02FA9BBD" w14:textId="01E3E724" w:rsidR="003E4CD5" w:rsidRDefault="003E4CD5" w:rsidP="003E4CD5">
      <w:r>
        <w:t>TMR provides rail safety-related policy advice to the Queensland Government, maintains regulatory oversight of the safe transport of dangerous goods by rail and provides support to accredited tourist and heritage rail operators.</w:t>
      </w:r>
    </w:p>
    <w:p w14:paraId="122C5914" w14:textId="3378AC0E" w:rsidR="003E4CD5" w:rsidRDefault="003E4CD5" w:rsidP="003E4CD5">
      <w:r>
        <w:t xml:space="preserve">TMR leads the Queensland Level Crossing Safety Group in overseeing the </w:t>
      </w:r>
      <w:r w:rsidRPr="00D9658C">
        <w:rPr>
          <w:rStyle w:val="Emphasis"/>
        </w:rPr>
        <w:t>Queensland Level Crossing Safety Strategy</w:t>
      </w:r>
      <w:r>
        <w:t>, which brings together relevant stakeholders to work collaboratively on current level crossing safety issues in Queensland.</w:t>
      </w:r>
    </w:p>
    <w:p w14:paraId="30119BB4" w14:textId="3AE3E05B" w:rsidR="003E4CD5" w:rsidRDefault="003E4CD5" w:rsidP="003E4CD5">
      <w:r>
        <w:lastRenderedPageBreak/>
        <w:t>The Director-General continues in his role as a board member of the Australasian Centre for Rail Innovation and TMR is an active member of the National Level Crossing Safety Committee.</w:t>
      </w:r>
    </w:p>
    <w:p w14:paraId="1076433E" w14:textId="37B34D32" w:rsidR="00FB2A5D" w:rsidRDefault="003E4CD5" w:rsidP="003E4CD5">
      <w:r>
        <w:t>During 2021–22, TMR engaged with stakeholders and worked with ONRSR on its proposal to mandate in-cab audio and visual safety recording equipment for all mainline and freight locomotives. The benefits of installing this equipment includes</w:t>
      </w:r>
      <w:r w:rsidR="00D9658C">
        <w:t xml:space="preserve"> </w:t>
      </w:r>
      <w:r>
        <w:t>assisting accident/incident investigations and to improve safety.</w:t>
      </w:r>
    </w:p>
    <w:p w14:paraId="74A53E6B" w14:textId="77777777" w:rsidR="00BE6916" w:rsidRDefault="00BE6916" w:rsidP="003E4CD5"/>
    <w:p w14:paraId="0F9377CF" w14:textId="77777777" w:rsidR="006800C7" w:rsidRDefault="006800C7" w:rsidP="006800C7">
      <w:pPr>
        <w:pStyle w:val="Heading2"/>
      </w:pPr>
      <w:r>
        <w:t xml:space="preserve">Marine safety </w:t>
      </w:r>
    </w:p>
    <w:p w14:paraId="2767F639" w14:textId="532668B5" w:rsidR="006800C7" w:rsidRDefault="000E46A9" w:rsidP="006800C7">
      <w:pPr>
        <w:pStyle w:val="Heading4"/>
      </w:pPr>
      <w:r>
        <w:t xml:space="preserve">Marine fatalities and marine injuries </w:t>
      </w:r>
    </w:p>
    <w:p w14:paraId="021ABCAF" w14:textId="15AD6E45" w:rsidR="00613F78" w:rsidRDefault="00613F78" w:rsidP="00613F78">
      <w:bookmarkStart w:id="12" w:name="_Hlk73690411"/>
      <w:r>
        <w:t>In 2021–22, reported marine incidents in Queensland included 13 fatalities and 38 serious injuries. The number of reported marine incidents involving at least one Queensland Regulated Ship (QRS) has substantially decreased from 397 to 346 and the number of fatalities has fallen as the result of a reduction in the number of persons overboard incidents resulting in a fatality.</w:t>
      </w:r>
    </w:p>
    <w:p w14:paraId="69919DB8" w14:textId="368C8FA5" w:rsidR="00613F78" w:rsidRDefault="00613F78" w:rsidP="00613F78">
      <w:r>
        <w:t>Figure 3 below indicates the number of people who have died during the last ten financial years in a reported marine incident that involved at least one QRS (post-2013) or one recreational ship (pre-2013).</w:t>
      </w:r>
    </w:p>
    <w:p w14:paraId="40251286" w14:textId="125C8CB0" w:rsidR="001830AD" w:rsidRDefault="00613F78" w:rsidP="00613F78">
      <w:r>
        <w:t>These people have been classified as masters or passengers of boats, the masters or passengers of personal watercraft (PWC), swimmers which includes divers, snorkelers, and water skiers, which includes anyone being towed by a vessel of any kind.</w:t>
      </w:r>
    </w:p>
    <w:p w14:paraId="70B3CE10" w14:textId="77777777" w:rsidR="003904AC" w:rsidRDefault="006800C7" w:rsidP="003904AC">
      <w:pPr>
        <w:pStyle w:val="Subtitle"/>
      </w:pPr>
      <w:r w:rsidRPr="006A25A8">
        <w:rPr>
          <w:rStyle w:val="Strong"/>
          <w:noProof/>
        </w:rPr>
        <w:drawing>
          <wp:anchor distT="0" distB="0" distL="114300" distR="114300" simplePos="0" relativeHeight="251659264" behindDoc="0" locked="0" layoutInCell="1" allowOverlap="1" wp14:anchorId="30F607DF" wp14:editId="07B1482F">
            <wp:simplePos x="0" y="0"/>
            <wp:positionH relativeFrom="margin">
              <wp:posOffset>4445</wp:posOffset>
            </wp:positionH>
            <wp:positionV relativeFrom="paragraph">
              <wp:posOffset>594995</wp:posOffset>
            </wp:positionV>
            <wp:extent cx="5788660" cy="1776095"/>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5788660" cy="1776095"/>
                    </a:xfrm>
                    <a:prstGeom prst="rect">
                      <a:avLst/>
                    </a:prstGeom>
                    <a:noFill/>
                  </pic:spPr>
                </pic:pic>
              </a:graphicData>
            </a:graphic>
            <wp14:sizeRelH relativeFrom="margin">
              <wp14:pctWidth>0</wp14:pctWidth>
            </wp14:sizeRelH>
            <wp14:sizeRelV relativeFrom="margin">
              <wp14:pctHeight>0</wp14:pctHeight>
            </wp14:sizeRelV>
          </wp:anchor>
        </w:drawing>
      </w:r>
      <w:r>
        <w:rPr>
          <w:rStyle w:val="Strong"/>
        </w:rPr>
        <w:t>Figure 3: Marine fatalities (in Queensland)</w:t>
      </w:r>
      <w:r>
        <w:rPr>
          <w:rStyle w:val="Strong"/>
        </w:rPr>
        <w:br/>
      </w:r>
      <w:r>
        <w:rPr>
          <w:rStyle w:val="Strong"/>
        </w:rPr>
        <w:br/>
      </w:r>
      <w:r w:rsidR="003904AC">
        <w:t>Figure 4 indicates the number of people who have been admitted to a hospital during the last ten financial years for the treatment of injuries sustained in a reported marine incident that involved at least one QRS.</w:t>
      </w:r>
    </w:p>
    <w:p w14:paraId="3CF522EA" w14:textId="77777777" w:rsidR="003904AC" w:rsidRDefault="003904AC" w:rsidP="003904AC">
      <w:pPr>
        <w:pStyle w:val="Subtitle"/>
      </w:pPr>
    </w:p>
    <w:p w14:paraId="59C6A8FD" w14:textId="23494274" w:rsidR="006800C7" w:rsidRDefault="003904AC" w:rsidP="003904AC">
      <w:pPr>
        <w:pStyle w:val="Subtitle"/>
      </w:pPr>
      <w:r>
        <w:t>These people have been classified as the masters or passengers of boats, the masters and passengers of PWC, swimmers, which includes divers, snorkels, and water skiers which includes anyone being towed by a vessel of any kind.</w:t>
      </w:r>
    </w:p>
    <w:p w14:paraId="354DCCE0" w14:textId="3AEF82C9" w:rsidR="006800C7" w:rsidRDefault="006800C7" w:rsidP="006800C7">
      <w:pPr>
        <w:rPr>
          <w:rStyle w:val="Strong"/>
        </w:rPr>
      </w:pPr>
      <w:r w:rsidRPr="00C96BF0">
        <w:rPr>
          <w:rStyle w:val="Strong"/>
        </w:rPr>
        <w:t xml:space="preserve">Figure </w:t>
      </w:r>
      <w:r>
        <w:rPr>
          <w:rStyle w:val="Strong"/>
        </w:rPr>
        <w:t>4</w:t>
      </w:r>
      <w:r w:rsidRPr="00C96BF0">
        <w:rPr>
          <w:rStyle w:val="Strong"/>
        </w:rPr>
        <w:t>: Serious injuries from maritime incidents (in Queensland)</w:t>
      </w:r>
      <w:r>
        <w:rPr>
          <w:rStyle w:val="Strong"/>
        </w:rPr>
        <w:br/>
      </w:r>
    </w:p>
    <w:p w14:paraId="04B9747C" w14:textId="117925AD" w:rsidR="006800C7" w:rsidRDefault="00680D00" w:rsidP="006800C7">
      <w:pPr>
        <w:pStyle w:val="Subtitle"/>
      </w:pPr>
      <w:r w:rsidRPr="006A25A8">
        <w:rPr>
          <w:rStyle w:val="Strong"/>
          <w:noProof/>
        </w:rPr>
        <w:lastRenderedPageBreak/>
        <w:drawing>
          <wp:anchor distT="0" distB="0" distL="114300" distR="114300" simplePos="0" relativeHeight="251660288" behindDoc="0" locked="0" layoutInCell="1" allowOverlap="1" wp14:anchorId="255F5BE5" wp14:editId="02AC2750">
            <wp:simplePos x="0" y="0"/>
            <wp:positionH relativeFrom="margin">
              <wp:posOffset>4445</wp:posOffset>
            </wp:positionH>
            <wp:positionV relativeFrom="paragraph">
              <wp:posOffset>824230</wp:posOffset>
            </wp:positionV>
            <wp:extent cx="5485130" cy="2112645"/>
            <wp:effectExtent l="0" t="0" r="127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5" cstate="print">
                      <a:extLst>
                        <a:ext uri="{28A0092B-C50C-407E-A947-70E740481C1C}">
                          <a14:useLocalDpi xmlns:a14="http://schemas.microsoft.com/office/drawing/2010/main" val="0"/>
                        </a:ext>
                      </a:extLst>
                    </a:blip>
                    <a:stretch>
                      <a:fillRect/>
                    </a:stretch>
                  </pic:blipFill>
                  <pic:spPr bwMode="auto">
                    <a:xfrm>
                      <a:off x="0" y="0"/>
                      <a:ext cx="5485130" cy="2112645"/>
                    </a:xfrm>
                    <a:prstGeom prst="rect">
                      <a:avLst/>
                    </a:prstGeom>
                    <a:noFill/>
                  </pic:spPr>
                </pic:pic>
              </a:graphicData>
            </a:graphic>
            <wp14:sizeRelH relativeFrom="margin">
              <wp14:pctWidth>0</wp14:pctWidth>
            </wp14:sizeRelH>
            <wp14:sizeRelV relativeFrom="margin">
              <wp14:pctHeight>0</wp14:pctHeight>
            </wp14:sizeRelV>
          </wp:anchor>
        </w:drawing>
      </w:r>
      <w:r w:rsidR="006800C7">
        <w:t>Figure 4 indicates the number of people admitted to a hospital during the last ten financial years for the treatment of injuries sustained in a reported marine incident that involved at least one QRS. These individuals have been classified as the masters or passengers of boats, the masters and passengers of PWC, swimmers which includes divers, snorkels, and water skiers which includes anyone being towed by a vessel of any kind.</w:t>
      </w:r>
    </w:p>
    <w:bookmarkEnd w:id="12"/>
    <w:p w14:paraId="4898E964" w14:textId="19B224E1" w:rsidR="006800C7" w:rsidRDefault="00CF5009" w:rsidP="006800C7">
      <w:pPr>
        <w:pStyle w:val="Heading4"/>
      </w:pPr>
      <w:r>
        <w:t>War on Wrecks</w:t>
      </w:r>
    </w:p>
    <w:p w14:paraId="074CD786" w14:textId="16322F6C" w:rsidR="00EE63D1" w:rsidRDefault="00EE63D1" w:rsidP="00EE63D1">
      <w:r>
        <w:t>Along with a commitment of $20 million in 2018, a War on Wrecks Taskforce was established to address the issue of derelict and abandoned vessels in Queensland waterways.</w:t>
      </w:r>
    </w:p>
    <w:p w14:paraId="30FDBB40" w14:textId="6D6F1EDF" w:rsidR="00EE63D1" w:rsidRDefault="00EE63D1" w:rsidP="00EE63D1">
      <w:r>
        <w:t>The Taskforce undertook community consultation and made recommendations in 2019 which collectively seek to develop a culture of responsible boat ownership to reduce derelict vessels into the future.</w:t>
      </w:r>
    </w:p>
    <w:p w14:paraId="14305BF5" w14:textId="501B6736" w:rsidR="00EE63D1" w:rsidRDefault="00EE63D1" w:rsidP="00EE63D1">
      <w:r>
        <w:t>Given the broad range of maritime matters the recommendations address, licensing, vessel registration and identification have been prioritised.</w:t>
      </w:r>
    </w:p>
    <w:p w14:paraId="43291E8A" w14:textId="7C7AE9D3" w:rsidR="00EE63D1" w:rsidRDefault="00EE63D1" w:rsidP="00EE63D1">
      <w:r>
        <w:t>During 2021–22, TMR and partner agencies removed 100 derelict vessels across Queensland. There were an additional 36 derelict vessels removed by their owners or by other means and a further 44 that are no longer present which includes those made seaworthy by the owner.</w:t>
      </w:r>
    </w:p>
    <w:p w14:paraId="66A2749B" w14:textId="4F6AE1FC" w:rsidR="00EE63D1" w:rsidRDefault="00EE63D1" w:rsidP="00EE63D1">
      <w:r>
        <w:t>Since the War on Wrecks program was established in 2018 owners have repaired or resolved 422 boats. Cumulatively, as of 30 June 2022 there are 1026 fewer derelicts in Queensland waters then when the program commenced.</w:t>
      </w:r>
    </w:p>
    <w:p w14:paraId="011985FB" w14:textId="01603DEC" w:rsidR="00EE63D1" w:rsidRDefault="00EE63D1" w:rsidP="00EE63D1">
      <w:r>
        <w:t>TMR will continue to support the Taskforce in its work to monitor derelict removals, implement the recommendations and engage with the community on ways to enhance safety on Queensland’s waterways.</w:t>
      </w:r>
    </w:p>
    <w:p w14:paraId="1B135F25" w14:textId="5432F031" w:rsidR="006800C7" w:rsidRDefault="000255FB" w:rsidP="006800C7">
      <w:pPr>
        <w:pStyle w:val="Heading4"/>
      </w:pPr>
      <w:bookmarkStart w:id="13" w:name="_Hlk73361119"/>
      <w:r>
        <w:t xml:space="preserve">Boatsafe program compliance </w:t>
      </w:r>
    </w:p>
    <w:p w14:paraId="195A8321" w14:textId="77777777" w:rsidR="00BA07B6" w:rsidRDefault="00BA07B6" w:rsidP="00BA07B6">
      <w:r>
        <w:t>BoatSafe provides competency-based training and assessment for the licensing of recreational ship and personal watercraft masters.</w:t>
      </w:r>
    </w:p>
    <w:p w14:paraId="07F86575" w14:textId="77777777" w:rsidR="00BA07B6" w:rsidRDefault="00BA07B6" w:rsidP="00BA07B6">
      <w:r>
        <w:t>During 2021–22, MSQ undertook more than 100 compliance observation audits to monitor BoatSafe Training Organisations and/or BoatSafe Training Providers as part of the program’s compliance activities.</w:t>
      </w:r>
    </w:p>
    <w:p w14:paraId="12060B3B" w14:textId="351751D0" w:rsidR="00BA07B6" w:rsidRDefault="00BA07B6" w:rsidP="00BA07B6">
      <w:r>
        <w:lastRenderedPageBreak/>
        <w:t>A focus on the practical delivery of the BoatSafe program has provided an opportunity for accredited trainers to review how they structure and deliver the prescribed competency training. This has resulted in trainers connecting to more considered parallels to real-world recreational boating practices, such as voyage planning.</w:t>
      </w:r>
    </w:p>
    <w:p w14:paraId="751A8FCC" w14:textId="77777777" w:rsidR="00BA07B6" w:rsidRDefault="00BA07B6" w:rsidP="00BA07B6">
      <w:r>
        <w:t>The number of students trained under the BoatSafe program has remained steady in 2021–22, whilst the number of accredited trainers has reduced by 40 trainers throughout the state in this period. This has resulted in a more sustainable training platform for BoatSafe training organisations and BoatSafe training providers. Current trainers have seen a growth in their small businesses and several trainers in the position to expand or purchase new training ships and equipment.</w:t>
      </w:r>
    </w:p>
    <w:p w14:paraId="3A81E4A3" w14:textId="3022DE84" w:rsidR="000255FB" w:rsidRDefault="00BA07B6" w:rsidP="00BA07B6">
      <w:r>
        <w:t>MSQ continues to develop a cooperative and collaborative approach to compliance to drive continual improvement and marine safety with industry.</w:t>
      </w:r>
    </w:p>
    <w:bookmarkEnd w:id="13"/>
    <w:p w14:paraId="7654A2F3" w14:textId="5C3A9277" w:rsidR="006800C7" w:rsidRDefault="00BA07B6" w:rsidP="006800C7">
      <w:pPr>
        <w:pStyle w:val="Heading4"/>
      </w:pPr>
      <w:r>
        <w:t xml:space="preserve">Smartship expansion </w:t>
      </w:r>
    </w:p>
    <w:p w14:paraId="311F6BDD" w14:textId="1641E519" w:rsidR="00BD7085" w:rsidRDefault="00BD7085" w:rsidP="00BD7085">
      <w:pPr>
        <w:pStyle w:val="BodyText"/>
      </w:pPr>
      <w:bookmarkStart w:id="14" w:name="_Hlk73607985"/>
      <w:r>
        <w:t>Smartship Australia plays an important role assisting with port developments and training marine pilots, ship officers and tug masters to safely move ships.</w:t>
      </w:r>
    </w:p>
    <w:p w14:paraId="1D79CD63" w14:textId="77777777" w:rsidR="00BD7085" w:rsidRDefault="00BD7085" w:rsidP="00BD7085">
      <w:pPr>
        <w:pStyle w:val="BodyText"/>
      </w:pPr>
      <w:r>
        <w:t>Training for ports and their ships draws on the extensive mariner experience of instructors and Smartship’s technical support to create and deliver a customised, high fidelity simulation and challenging training experience.</w:t>
      </w:r>
    </w:p>
    <w:p w14:paraId="64C9091B" w14:textId="77777777" w:rsidR="00BD7085" w:rsidRDefault="00BD7085" w:rsidP="00BD7085">
      <w:pPr>
        <w:pStyle w:val="BodyText"/>
      </w:pPr>
      <w:r>
        <w:t>Projects during 2021–22 included:</w:t>
      </w:r>
    </w:p>
    <w:p w14:paraId="0F6F4F37" w14:textId="20242A82" w:rsidR="00BD7085" w:rsidRDefault="00BD7085" w:rsidP="00BD7085">
      <w:pPr>
        <w:pStyle w:val="ListBullet"/>
      </w:pPr>
      <w:r>
        <w:t>expansion of training facilities to now cover over 1500 m2 including a new flagship lecture facility, a second tug simulator and space for new services (e.g., Vessel Traffic Services)</w:t>
      </w:r>
    </w:p>
    <w:p w14:paraId="3C3EB4DE" w14:textId="0280B627" w:rsidR="00BD7085" w:rsidRDefault="00BD7085" w:rsidP="00BD7085">
      <w:pPr>
        <w:pStyle w:val="ListBullet"/>
      </w:pPr>
      <w:r>
        <w:t>tug simulator ultra-high resolution display array upgrade and refit of computer hardware thus improving the fidelity, visual interface and the customer experience</w:t>
      </w:r>
    </w:p>
    <w:p w14:paraId="4CAD71DA" w14:textId="7866F6D2" w:rsidR="00BD7085" w:rsidRDefault="00BD7085" w:rsidP="00BD7085">
      <w:pPr>
        <w:pStyle w:val="ListBullet"/>
      </w:pPr>
      <w:r>
        <w:t>state-of-the-art audio-visual system for the new lecture facility with seamless integration with multiple media sources.</w:t>
      </w:r>
    </w:p>
    <w:p w14:paraId="4E99764A" w14:textId="77777777" w:rsidR="00BD7085" w:rsidRDefault="00BD7085" w:rsidP="00BD7085">
      <w:pPr>
        <w:pStyle w:val="BodyText"/>
      </w:pPr>
      <w:r>
        <w:t>Smartship continues to collaborate with pilotage providers to design and develop effective training to meet their needs within its simulated environment.</w:t>
      </w:r>
    </w:p>
    <w:p w14:paraId="10215DD6" w14:textId="77777777" w:rsidR="00BD7085" w:rsidRDefault="00BD7085" w:rsidP="00BD7085">
      <w:pPr>
        <w:pStyle w:val="BodyText"/>
      </w:pPr>
      <w:r>
        <w:t>It is also through these partnerships that Smartship has built up an extensive library of ports (over 80) and one of the world’s largest catalogue of ship models (close to 200).</w:t>
      </w:r>
    </w:p>
    <w:p w14:paraId="499EE99F" w14:textId="10F380E8" w:rsidR="00BD7085" w:rsidRDefault="00BD7085" w:rsidP="00BD7085">
      <w:pPr>
        <w:pStyle w:val="BodyText"/>
      </w:pPr>
      <w:r>
        <w:t>In 2021–22, Smartship’s distance training services have been further developed and new services added to ensure that customers have access to online training that meets their needs. An example of this is the blended Electronic Chart Display Information Systems course launched in October 2021. This course now has a mix of theory delivered via online tutorials and three face-to-face practical sessions in-house.</w:t>
      </w:r>
    </w:p>
    <w:p w14:paraId="6EF0083B" w14:textId="6075C98A" w:rsidR="00BA07B6" w:rsidRDefault="00BD7085" w:rsidP="00BD7085">
      <w:pPr>
        <w:pStyle w:val="BodyText"/>
      </w:pPr>
      <w:r>
        <w:t>In addition, Smartship has continued to support Tug Master training and contingency skills development and is working closely with tug companies to expand the training available to Tug Masters.</w:t>
      </w:r>
    </w:p>
    <w:bookmarkEnd w:id="14"/>
    <w:p w14:paraId="3CC5F7EE" w14:textId="2C7CC304" w:rsidR="006800C7" w:rsidRDefault="008C3B72" w:rsidP="006800C7">
      <w:pPr>
        <w:pStyle w:val="Heading4"/>
      </w:pPr>
      <w:r>
        <w:t xml:space="preserve">Maritime Enforcement Team </w:t>
      </w:r>
    </w:p>
    <w:p w14:paraId="2827CE23" w14:textId="6715AE88" w:rsidR="00F60743" w:rsidRDefault="00F60743" w:rsidP="00F60743">
      <w:r>
        <w:t>The Maritime Enforcement Team (MET) undertakes enhanced compliance and education activities on Queensland’s Waterways.</w:t>
      </w:r>
    </w:p>
    <w:p w14:paraId="393D360E" w14:textId="7F645060" w:rsidR="00F60743" w:rsidRDefault="00F60743" w:rsidP="00F60743">
      <w:r>
        <w:lastRenderedPageBreak/>
        <w:t>In 2021–22, MET completed 3200 vessel intercepts enhancing direct engagement with the boating community and keeping Queensland waterways safe. From July 2021 to January 2022, MET undertook the majority of MSQ’s border patrols on the Gold Coast and engaged extensively with recreational boaties and PWC operators to highlight water safety.</w:t>
      </w:r>
    </w:p>
    <w:p w14:paraId="1F59A404" w14:textId="7C4F992A" w:rsidR="008C3B72" w:rsidRDefault="00F60743" w:rsidP="00F60743">
      <w:r>
        <w:t>MET coordinated targeted safety campaigns with MSQ compliance partners, Queensland Police Service, SEQ Water, Queensland Parks and Wildlife, Queensland Water Police and Queensland Boating and Fishing Patrol during 2021–22.</w:t>
      </w:r>
    </w:p>
    <w:p w14:paraId="6406AD14" w14:textId="0F99297E" w:rsidR="006800C7" w:rsidRDefault="00F60743" w:rsidP="006800C7">
      <w:pPr>
        <w:pStyle w:val="Heading4"/>
      </w:pPr>
      <w:r>
        <w:t>Exercise CABIN</w:t>
      </w:r>
    </w:p>
    <w:p w14:paraId="4E26C334" w14:textId="1307CD76" w:rsidR="003E6AF3" w:rsidRDefault="003E6AF3" w:rsidP="003E6AF3">
      <w:r>
        <w:t xml:space="preserve">Under Australia’s </w:t>
      </w:r>
      <w:r w:rsidRPr="003E6AF3">
        <w:rPr>
          <w:rStyle w:val="Emphasis"/>
        </w:rPr>
        <w:t xml:space="preserve">National Plan for Maritime Environmental Emergencies </w:t>
      </w:r>
      <w:r>
        <w:t>(National Plan), TMR is required to conduct regular exercises to test Queensland’s response capability for a maritime environmental emergency. In 2022, the state ship-sourced marine pollution response exercise was held in Gladstone.</w:t>
      </w:r>
    </w:p>
    <w:p w14:paraId="7ACDD670" w14:textId="63E2C2C4" w:rsidR="003E6AF3" w:rsidRDefault="003E6AF3" w:rsidP="003E6AF3">
      <w:r>
        <w:t>MSQ hosted the exercise from 21–23 June 2022. The exercise, named ‘CABIN’ involved an oil spill response in the vicinity of the Gladstone Harbour.</w:t>
      </w:r>
    </w:p>
    <w:p w14:paraId="6AC4E7BF" w14:textId="61CE3F74" w:rsidR="003E6AF3" w:rsidRDefault="003E6AF3" w:rsidP="003E6AF3">
      <w:r>
        <w:t>The exercise was multi-agency and multi-jurisdictional, with engagement and ongoing consultation underway with traditional owners, as well as relevant Australian and Queensland government departments.</w:t>
      </w:r>
    </w:p>
    <w:p w14:paraId="3040545D" w14:textId="1677499C" w:rsidR="003E6AF3" w:rsidRDefault="003E6AF3" w:rsidP="003E6AF3">
      <w:r>
        <w:t xml:space="preserve">The exercise was aimed at testing the operational management of a response under the National Plan and the Queensland </w:t>
      </w:r>
      <w:r w:rsidRPr="003E6AF3">
        <w:rPr>
          <w:rStyle w:val="Emphasis"/>
        </w:rPr>
        <w:t>Coastal Contingency Action Plan</w:t>
      </w:r>
      <w:r>
        <w:t xml:space="preserve"> and their integration with Queensland’s disaster management arrangements in the Gladstone region.</w:t>
      </w:r>
    </w:p>
    <w:p w14:paraId="116AC864" w14:textId="2EF140F6" w:rsidR="00F60743" w:rsidRDefault="003E6AF3" w:rsidP="003E6AF3">
      <w:pPr>
        <w:rPr>
          <w:rStyle w:val="IntenseReference"/>
        </w:rPr>
      </w:pPr>
      <w:r>
        <w:t>Exercise ‘CABIN’ also involved a training component as a refresher on emergency management principles and a comprehensive user acceptance testing for a new incident tracking database.</w:t>
      </w:r>
    </w:p>
    <w:p w14:paraId="6D181C8A" w14:textId="02F6E2EB" w:rsidR="006800C7" w:rsidRDefault="00F80D5A" w:rsidP="006800C7">
      <w:pPr>
        <w:pStyle w:val="Heading4"/>
      </w:pPr>
      <w:r>
        <w:t xml:space="preserve">Safety messaging </w:t>
      </w:r>
    </w:p>
    <w:p w14:paraId="022D4628" w14:textId="77777777" w:rsidR="0073161B" w:rsidRDefault="0073161B" w:rsidP="0073161B">
      <w:r>
        <w:t>MSQ has undertaken a planned program of campaigns during 2021–22 to deliver risk-based safety messaging to a Queensland- wide audience.</w:t>
      </w:r>
    </w:p>
    <w:p w14:paraId="15A2C5B4" w14:textId="77777777" w:rsidR="0073161B" w:rsidRDefault="0073161B" w:rsidP="0073161B">
      <w:r>
        <w:t>In October 2021, MSQ participated in National Safe Boating Week with all other state marine safety organisations. The theme was Safety Equipment. In early-2022, MSQ’s ‘Fatal Five’ safety messaging was launched aligning the fatal five road safety messages with matching marine risks.</w:t>
      </w:r>
    </w:p>
    <w:p w14:paraId="7FC4BAA9" w14:textId="77777777" w:rsidR="0073161B" w:rsidRDefault="0073161B" w:rsidP="0073161B">
      <w:r>
        <w:t>Another focus during 2021–22 has been publishing critical marine safety messaging during cyclone and flooding events that have affected waterways in Queensland on TMR’s social media platforms.</w:t>
      </w:r>
    </w:p>
    <w:p w14:paraId="795F8005" w14:textId="7DDC284F" w:rsidR="00F80D5A" w:rsidRDefault="0073161B" w:rsidP="0073161B">
      <w:r>
        <w:t>MSQ work with other state water safety organisations such as Queensland Police Service (Water Police), Department of Agriculture and Fisheries, inland waterways managers, and marine rescue groups to ensure the boating public are aware of how to stay safe on the seas and inland waterways.</w:t>
      </w:r>
    </w:p>
    <w:p w14:paraId="3CF02BF2" w14:textId="77777777" w:rsidR="006800C7" w:rsidRDefault="006800C7" w:rsidP="006800C7">
      <w:pPr>
        <w:pStyle w:val="Heading4"/>
      </w:pPr>
      <w:bookmarkStart w:id="15" w:name="_Hlk73354516"/>
      <w:r>
        <w:t xml:space="preserve">Trainee Marine Officers </w:t>
      </w:r>
    </w:p>
    <w:bookmarkEnd w:id="15"/>
    <w:p w14:paraId="5803A714" w14:textId="6DEB9A80" w:rsidR="00F239D7" w:rsidRDefault="00F239D7" w:rsidP="00F239D7">
      <w:r>
        <w:t>In April 2021, TMR welcomed four MSQ trainees to be based in Cairns, Townsville, Mackay and Hervey Bay.</w:t>
      </w:r>
    </w:p>
    <w:p w14:paraId="1F2DA107" w14:textId="77777777" w:rsidR="00F239D7" w:rsidRDefault="00F239D7" w:rsidP="00F239D7">
      <w:r>
        <w:t>The Marine Officer traineeship program offers opportunities for young Queenslanders to immerse themselves in the maritime industry. The trainees have completed all practical components of their Coxswains Certificate of Competency qualification, with the final theory training and examinations delivered in May 2022.</w:t>
      </w:r>
    </w:p>
    <w:p w14:paraId="4869DEDE" w14:textId="31E47722" w:rsidR="00F239D7" w:rsidRDefault="00F239D7" w:rsidP="00F239D7">
      <w:r>
        <w:lastRenderedPageBreak/>
        <w:t>In addition to the vessel qualifications, trainees have acquired forklift licences, working at heights and marine pollution response qualifications. These formal qualifications combine with practical skills acquired in all facets of MSQ marine operations.</w:t>
      </w:r>
    </w:p>
    <w:p w14:paraId="2019C6C4" w14:textId="2097D666" w:rsidR="0073161B" w:rsidRDefault="00F239D7" w:rsidP="00F239D7">
      <w:r>
        <w:t>Whilst the next stage is up to the trainees and their individual aspirations, experience suggests the marine industry remains keen to embrace the graduates with employment opportunities across coastal Queensland’s waterways.</w:t>
      </w:r>
    </w:p>
    <w:p w14:paraId="253923C6" w14:textId="77777777" w:rsidR="00F239D7" w:rsidRPr="00E46578" w:rsidRDefault="00F239D7" w:rsidP="00F239D7">
      <w:pPr>
        <w:pStyle w:val="Heading3"/>
      </w:pPr>
      <w:r>
        <w:t>Case Study</w:t>
      </w:r>
    </w:p>
    <w:p w14:paraId="1C1E3820" w14:textId="0C8771B4" w:rsidR="00F239D7" w:rsidRDefault="00F239D7" w:rsidP="00F239D7">
      <w:pPr>
        <w:rPr>
          <w:iCs/>
          <w:color w:val="auto"/>
          <w:sz w:val="26"/>
        </w:rPr>
      </w:pPr>
      <w:r>
        <w:rPr>
          <w:iCs/>
          <w:color w:val="auto"/>
          <w:sz w:val="26"/>
        </w:rPr>
        <w:t xml:space="preserve">Channel beacon replacements build resilience through innovation </w:t>
      </w:r>
    </w:p>
    <w:p w14:paraId="3BBE6D39" w14:textId="77777777" w:rsidR="007B7CB5" w:rsidRDefault="007B7CB5" w:rsidP="007B7CB5">
      <w:r>
        <w:t>The Cairns and Weipa channel beacons in far north Queensland are critical to the safety of large ships that handle a variety of commodities including bulk exports, general cargo and fuel, as well as cruise ships, supply barges to remote communities, tourist vessels, and recreational boaties.</w:t>
      </w:r>
    </w:p>
    <w:p w14:paraId="1370E5CC" w14:textId="77777777" w:rsidR="007B7CB5" w:rsidRDefault="007B7CB5" w:rsidP="007B7CB5">
      <w:r>
        <w:t>MSQ’s investment to replace beacons—12 in the Cairns channel and 18 in the channels to Weipa—will improve the quality and serviceability of the navigation beacons.</w:t>
      </w:r>
    </w:p>
    <w:p w14:paraId="6D2C7E86" w14:textId="77777777" w:rsidR="007B7CB5" w:rsidRDefault="007B7CB5" w:rsidP="007B7CB5">
      <w:r>
        <w:t>MSQ’s local staff and its engineering expertise, combined with that of local waterway users, informed the improved design and infrastructure components for the beacons. Taking the approach of replacing the beacons under one contract resulted in better value than the usual approach to have individual contracts for each port.</w:t>
      </w:r>
    </w:p>
    <w:p w14:paraId="5EFEDC74" w14:textId="77777777" w:rsidR="007B7CB5" w:rsidRDefault="007B7CB5" w:rsidP="007B7CB5">
      <w:r>
        <w:t>MSQ also partnered with the Infrastructure Sustainability Council to pilot the IS Essentials toolkit and drive sustainable design and delivery methods. As a result, the channel beacons off Cairns and Weipa will have more resilient stainless-steel ladders and sustainable solar marine lanterns with technical advancements to extend the life and reduce maintenance times and risks for MSQ’s service teams.</w:t>
      </w:r>
    </w:p>
    <w:p w14:paraId="55680825" w14:textId="725C3F0E" w:rsidR="0073161B" w:rsidRDefault="007B7CB5" w:rsidP="007B7CB5">
      <w:r>
        <w:t>Upon completion in 2022, the project’s innovations will reduce maintenance times and costs, provide a more reliable and safe service to vessel Masters, and minimise risks of damage to Barrier Reef and Gulf of Carpentaria environments and the critical port infrastructure that supports the economy of Far North Queensland.</w:t>
      </w:r>
    </w:p>
    <w:p w14:paraId="23837D38" w14:textId="77777777" w:rsidR="0073161B" w:rsidRPr="00ED140C" w:rsidRDefault="0073161B" w:rsidP="006800C7"/>
    <w:p w14:paraId="4F7EA739" w14:textId="77777777" w:rsidR="006800C7" w:rsidRDefault="006800C7" w:rsidP="006800C7">
      <w:pPr>
        <w:pStyle w:val="Heading2"/>
      </w:pPr>
      <w:r>
        <w:t>Designing solutions that create value</w:t>
      </w:r>
    </w:p>
    <w:p w14:paraId="48E20B46" w14:textId="51218259" w:rsidR="006800C7" w:rsidRDefault="007A14AA" w:rsidP="006800C7">
      <w:pPr>
        <w:pStyle w:val="Heading4"/>
      </w:pPr>
      <w:r>
        <w:t xml:space="preserve">Light Emitting Diode (LED) lighting replacement project </w:t>
      </w:r>
    </w:p>
    <w:p w14:paraId="5E3EEA90" w14:textId="77777777" w:rsidR="00404D5A" w:rsidRDefault="00404D5A" w:rsidP="00404D5A">
      <w:r>
        <w:t>In 2021–22, TMR replaced 3000 obsolete road lights with high performing LED luminaires and Smart Light Control units.</w:t>
      </w:r>
    </w:p>
    <w:p w14:paraId="1BB9F236" w14:textId="77777777" w:rsidR="00404D5A" w:rsidRDefault="00404D5A" w:rsidP="00404D5A">
      <w:r>
        <w:t>More than 35,000 road lights were identified for replacement on state-controlled roads and over 17,000 have been installed since delivery commenced in 2017.</w:t>
      </w:r>
    </w:p>
    <w:p w14:paraId="26266054" w14:textId="77777777" w:rsidR="00404D5A" w:rsidRDefault="00404D5A" w:rsidP="00404D5A">
      <w:r>
        <w:t>Combining LED road lighting with smart light technology has delivered the following benefits:</w:t>
      </w:r>
    </w:p>
    <w:p w14:paraId="294A324F" w14:textId="46C5B241" w:rsidR="00404D5A" w:rsidRDefault="00404D5A" w:rsidP="00404D5A">
      <w:pPr>
        <w:pStyle w:val="ListBullet"/>
      </w:pPr>
      <w:r>
        <w:t>greatly improved lighting quality</w:t>
      </w:r>
    </w:p>
    <w:p w14:paraId="1E78D898" w14:textId="21F51E94" w:rsidR="00404D5A" w:rsidRDefault="00404D5A" w:rsidP="00404D5A">
      <w:pPr>
        <w:pStyle w:val="ListBullet"/>
      </w:pPr>
      <w:r>
        <w:t>reduced energy consumption by up to 45 per cent</w:t>
      </w:r>
    </w:p>
    <w:p w14:paraId="1D19F52B" w14:textId="2B994F75" w:rsidR="00404D5A" w:rsidRDefault="00404D5A" w:rsidP="00404D5A">
      <w:pPr>
        <w:pStyle w:val="ListBullet"/>
      </w:pPr>
      <w:r>
        <w:t>reduced operating and maintenance costs</w:t>
      </w:r>
    </w:p>
    <w:p w14:paraId="07DF4412" w14:textId="51989734" w:rsidR="00404D5A" w:rsidRDefault="00404D5A" w:rsidP="00404D5A">
      <w:pPr>
        <w:pStyle w:val="ListBullet"/>
      </w:pPr>
      <w:r>
        <w:lastRenderedPageBreak/>
        <w:t>longer lifecycle</w:t>
      </w:r>
    </w:p>
    <w:p w14:paraId="1B432B07" w14:textId="63AE9614" w:rsidR="00404D5A" w:rsidRDefault="00404D5A" w:rsidP="00404D5A">
      <w:pPr>
        <w:pStyle w:val="ListBullet"/>
      </w:pPr>
      <w:r>
        <w:t>improved road safety and environmental conditions</w:t>
      </w:r>
    </w:p>
    <w:p w14:paraId="7AD65FC4" w14:textId="5E2AC959" w:rsidR="00404D5A" w:rsidRDefault="00404D5A" w:rsidP="00404D5A">
      <w:pPr>
        <w:pStyle w:val="ListBullet"/>
      </w:pPr>
      <w:r>
        <w:t>improved asset management processes</w:t>
      </w:r>
    </w:p>
    <w:p w14:paraId="0D24D333" w14:textId="561DAEDA" w:rsidR="00404D5A" w:rsidRDefault="00404D5A" w:rsidP="00404D5A">
      <w:pPr>
        <w:pStyle w:val="ListBullet"/>
      </w:pPr>
      <w:r>
        <w:t>enabled intelligent controls and performance monitoring capability.</w:t>
      </w:r>
    </w:p>
    <w:p w14:paraId="46FB4E78" w14:textId="7D5927F0" w:rsidR="00404D5A" w:rsidRDefault="00404D5A" w:rsidP="00404D5A">
      <w:r>
        <w:t>In collaboration with the Endeavour Foundation, TMR has recycled 95 per cent of legacy luminaires. As of 30 June 2022, over 90 tonnes of scrap metal were saved from ending up in landfill.</w:t>
      </w:r>
    </w:p>
    <w:p w14:paraId="4764301C" w14:textId="005EE148" w:rsidR="007A14AA" w:rsidRDefault="00404D5A" w:rsidP="00404D5A">
      <w:r>
        <w:t>The project is ahead of schedule to deliver the remaining Smart LED road lighting by 2026.</w:t>
      </w:r>
    </w:p>
    <w:p w14:paraId="72D45FF6" w14:textId="77777777" w:rsidR="006800C7" w:rsidRDefault="006800C7" w:rsidP="006800C7">
      <w:pPr>
        <w:pStyle w:val="Heading4"/>
      </w:pPr>
      <w:r>
        <w:t xml:space="preserve">Ipswich Connected Vehicle Pilot </w:t>
      </w:r>
    </w:p>
    <w:p w14:paraId="15B22223" w14:textId="00F9E40A" w:rsidR="007D1892" w:rsidRDefault="007D1892" w:rsidP="007D1892">
      <w:r>
        <w:t>The Ipswich Connected Vehicle Pilot (ICVP), that ran over 12 months, concluded in September 2021. Cooperative equipment was retrofitted into 355 public participant vehicles enabling them to interact with 29 instrumented traffic lights and a central cloud service covering 300 square kilometres of Ipswich.</w:t>
      </w:r>
    </w:p>
    <w:p w14:paraId="0821FB72" w14:textId="77777777" w:rsidR="007D1892" w:rsidRDefault="007D1892" w:rsidP="007D1892">
      <w:r>
        <w:t>The pilot was used to generate driver safety warning for red lights, pedestrians crossing, road works, hazards, and back of queues on motorways—supplemented by the provision of speed limits. A simulator was also used to examine vehicle-to-vehicle warnings for emergency braking and slow vehicles.</w:t>
      </w:r>
    </w:p>
    <w:p w14:paraId="44660E84" w14:textId="6367F52E" w:rsidR="007D1892" w:rsidRDefault="007D1892" w:rsidP="007D1892">
      <w:r>
        <w:t>The participant’s speed data was analysed with and without warnings indicating a 20 per cent reduction in crashes. Participants also reported a positive rating of 7 to 9 out of 10</w:t>
      </w:r>
    </w:p>
    <w:p w14:paraId="4A42AFA0" w14:textId="1A47BB2B" w:rsidR="00404D5A" w:rsidRDefault="007D1892" w:rsidP="007D1892">
      <w:r>
        <w:t>The ICVP was delivered by TMR, in partnership with the Motor Accident Insurance Commission, Telstra, Queensland University of Technology, iMOVE Australia, Ipswich City Council and the Commonwealth Department of Infrastructure, Transport, Regional Development and Communications.</w:t>
      </w:r>
    </w:p>
    <w:p w14:paraId="6469622E" w14:textId="296C6999" w:rsidR="007D1892" w:rsidRDefault="007D1892" w:rsidP="007D1892">
      <w:pPr>
        <w:pStyle w:val="MoreInformation"/>
      </w:pPr>
      <w:r>
        <w:t>For more information</w:t>
      </w:r>
      <w:r>
        <w:br/>
      </w:r>
      <w:hyperlink r:id="rId126" w:history="1">
        <w:r w:rsidR="00EF4CE7" w:rsidRPr="00EF4CE7">
          <w:rPr>
            <w:rStyle w:val="Hyperlink"/>
          </w:rPr>
          <w:t>https://www.qld.gov.au/transport/projects/cavi/ipswich-connected-vehicle-pilot</w:t>
        </w:r>
      </w:hyperlink>
    </w:p>
    <w:p w14:paraId="379C8154" w14:textId="0CCBDF23" w:rsidR="00EF4CE7" w:rsidRDefault="00EF4CE7" w:rsidP="00EF4CE7">
      <w:pPr>
        <w:pStyle w:val="Heading4"/>
      </w:pPr>
      <w:r>
        <w:t>Audio tactile line marking program</w:t>
      </w:r>
    </w:p>
    <w:p w14:paraId="7FDAD102" w14:textId="2627C9EE" w:rsidR="001141A9" w:rsidRDefault="001141A9" w:rsidP="001141A9">
      <w:r>
        <w:t>In 2021–22, TMR completed Stage one of the statewide audio tactile line marking project. Over 1000 kilometres of audio tactile line marking was installed along the edge and centre line of rural state-controlled roads.</w:t>
      </w:r>
    </w:p>
    <w:p w14:paraId="458DBB09" w14:textId="3064C15B" w:rsidR="001141A9" w:rsidRDefault="001141A9" w:rsidP="001141A9">
      <w:r>
        <w:t>Audio tactile line marking is a proven road safety treatment that is effective in reducing the risk of run-off-road and head-on crashes, particularly where driver fatigue and/or inattention are contributing factors.</w:t>
      </w:r>
    </w:p>
    <w:p w14:paraId="510DE7BA" w14:textId="3D2BD373" w:rsidR="001141A9" w:rsidRDefault="001141A9" w:rsidP="001141A9">
      <w:r>
        <w:t>Stage two works commenced early-2022 and included audio tactile line marking on prioritised roads in Cairns, Mackay, Central Queensland, Wide Bay and North Queensland which have a history of fatigue related crashes.</w:t>
      </w:r>
    </w:p>
    <w:p w14:paraId="079E587C" w14:textId="1D7FBC2A" w:rsidR="00404D5A" w:rsidRDefault="001141A9" w:rsidP="001141A9">
      <w:r>
        <w:t>The project is jointly funded by the Australian and Queensland governments as part of the $415 million Road Stimulus Package. The program aims to deliver road safety improvements across Queensland and to provide an immediate boost to the economy and local jobs.</w:t>
      </w:r>
    </w:p>
    <w:p w14:paraId="7652B32F" w14:textId="77777777" w:rsidR="006800C7" w:rsidRDefault="006800C7" w:rsidP="006800C7">
      <w:pPr>
        <w:pStyle w:val="Heading4"/>
      </w:pPr>
      <w:r>
        <w:t>Cooperative and Highly Automated Driving Pilot</w:t>
      </w:r>
    </w:p>
    <w:p w14:paraId="753E58B5" w14:textId="77777777" w:rsidR="00E96C93" w:rsidRDefault="00E96C93" w:rsidP="00E96C93">
      <w:r>
        <w:t>The Cooperative and Highly Automated Driving pilot successfully delivered two regional demonstrations of its Cooperative and Automated Vehicle (CAV), ‘ZOE2’; during 2021–22.</w:t>
      </w:r>
    </w:p>
    <w:p w14:paraId="73DE1CC0" w14:textId="77777777" w:rsidR="00E96C93" w:rsidRDefault="00E96C93" w:rsidP="00E96C93"/>
    <w:p w14:paraId="18877220" w14:textId="6D70E9E2" w:rsidR="00E96C93" w:rsidRDefault="00E96C93" w:rsidP="00E96C93">
      <w:r>
        <w:t>From 27 to 29 August 2021, 1000 attendees at the Gold Coast Show visited the ‘ZOE2’ display to learn about Australia’s most advanced CAV. The team spread awareness regarding levels of automation and automated vehicle capabilities. It also included research into public perceptions led by, project partner, Queensland University of Technology (QUT).</w:t>
      </w:r>
    </w:p>
    <w:p w14:paraId="1F32026E" w14:textId="77777777" w:rsidR="00E96C93" w:rsidRDefault="00E96C93" w:rsidP="00E96C93">
      <w:r>
        <w:t>Then from 6 to 10 June 2022 the team ran a public dynamic demonstration in Bundaberg where they showcased several Australian first CAV scenarios to 18 participants.</w:t>
      </w:r>
    </w:p>
    <w:p w14:paraId="3433CF7B" w14:textId="0ECAC569" w:rsidR="00E96C93" w:rsidRDefault="00E96C93" w:rsidP="00E96C93">
      <w:r>
        <w:t xml:space="preserve">‘ZOE2’ navigated 4.5 kilometres in automated mode through suburban streets, adapting speed through 2 school zones, </w:t>
      </w:r>
      <w:r w:rsidR="007529F7">
        <w:t>manoeuvring</w:t>
      </w:r>
      <w:r>
        <w:t xml:space="preserve"> through more than 20 intersections, and picking up participants with a driverless summon where no human was in the driver’s seat of the vehicle.</w:t>
      </w:r>
    </w:p>
    <w:p w14:paraId="3D786769" w14:textId="42AB7BE6" w:rsidR="00CC0AE0" w:rsidRDefault="00E96C93" w:rsidP="00E96C93">
      <w:r>
        <w:t>The project is co-funded by the Motor Accident Insurance Commission and is being delivered with the support of QUT, iMOVE Australia and other pilot partners.</w:t>
      </w:r>
    </w:p>
    <w:p w14:paraId="67AA92E8" w14:textId="57494FDD" w:rsidR="006800C7" w:rsidRDefault="00E96C93" w:rsidP="006800C7">
      <w:pPr>
        <w:pStyle w:val="Heading4"/>
      </w:pPr>
      <w:r>
        <w:t>Managing structures with virtual Weigh-in-Motion data</w:t>
      </w:r>
    </w:p>
    <w:p w14:paraId="3F9F2B3A" w14:textId="77777777" w:rsidR="009376FD" w:rsidRDefault="009376FD" w:rsidP="009376FD">
      <w:r>
        <w:t>Virtual Weigh-in-Motion (vWiM) leverages existing heavy vehicle data collection systems, to enhance value, data quality, coverage, and evidence-based decisions.</w:t>
      </w:r>
    </w:p>
    <w:p w14:paraId="31F14D67" w14:textId="77777777" w:rsidR="009376FD" w:rsidRDefault="009376FD" w:rsidP="009376FD">
      <w:r>
        <w:t>The concept of vWiM was developed during research by the National Asset Centre of Excellence, an initiative by TMR and the Australian Roads Research Board.</w:t>
      </w:r>
    </w:p>
    <w:p w14:paraId="73515460" w14:textId="77777777" w:rsidR="009376FD" w:rsidRDefault="009376FD" w:rsidP="009376FD">
      <w:r>
        <w:t>vWiM is supporting improved bridge management decisions by increasing the effective coverage and quality of heavy vehicle data across Queensland.</w:t>
      </w:r>
    </w:p>
    <w:p w14:paraId="43AE1D61" w14:textId="77777777" w:rsidR="009376FD" w:rsidRDefault="009376FD" w:rsidP="009376FD">
      <w:r>
        <w:t>vWiM has been applied to bridges on the Bruce Highway, Peak Downs Highway, and Kennedy Highway to quantify how bridges respond to heavy vehicles accessing the network to enhance the sustainability of the bridge network.</w:t>
      </w:r>
    </w:p>
    <w:p w14:paraId="5F69BE7E" w14:textId="3CCE1CC4" w:rsidR="00E96C93" w:rsidRDefault="009376FD" w:rsidP="009376FD">
      <w:r>
        <w:t>A program of continual improvement is integrating vWiM into bridge and access management decision-making while supporting road and user safety and compliance management.</w:t>
      </w:r>
    </w:p>
    <w:p w14:paraId="4A3260D9" w14:textId="77777777" w:rsidR="00530089" w:rsidRDefault="00530089" w:rsidP="009376FD"/>
    <w:p w14:paraId="196E0795" w14:textId="77777777" w:rsidR="006800C7" w:rsidRDefault="006800C7" w:rsidP="006800C7">
      <w:pPr>
        <w:pStyle w:val="Heading2"/>
      </w:pPr>
      <w:r>
        <w:t>Reduce the impact of network disruption</w:t>
      </w:r>
    </w:p>
    <w:p w14:paraId="2D259BD3" w14:textId="77777777" w:rsidR="006800C7" w:rsidRDefault="006800C7" w:rsidP="006800C7">
      <w:pPr>
        <w:pStyle w:val="Heading4"/>
      </w:pPr>
      <w:r>
        <w:t>Queensland Disaster Management Arrangements</w:t>
      </w:r>
    </w:p>
    <w:p w14:paraId="5E543C9C" w14:textId="34BED09F" w:rsidR="00F36F08" w:rsidRDefault="00F36F08" w:rsidP="00F36F08">
      <w:r>
        <w:t xml:space="preserve">The </w:t>
      </w:r>
      <w:r w:rsidRPr="00F36F08">
        <w:rPr>
          <w:rStyle w:val="Emphasis"/>
        </w:rPr>
        <w:t>Disaster Management Act (2003)</w:t>
      </w:r>
      <w:r>
        <w:t xml:space="preserve"> forms the legislative basis for the Queensland Disaster Management Arrangements (QDMA).</w:t>
      </w:r>
    </w:p>
    <w:p w14:paraId="5BC4E7BA" w14:textId="0581B8C8" w:rsidR="00F36F08" w:rsidRDefault="00F36F08" w:rsidP="00F36F08">
      <w:r>
        <w:t>These arrangements recognise partnerships between government, non-government organisations, industry, and the community working collaboratively to ensure the effective coordination of planning, services information, and resources necessary for a comprehensive disaster management approach. TMR provides functional support regarding transport systems and is the hazard specific lead agency for ship sourced pollution events.</w:t>
      </w:r>
    </w:p>
    <w:p w14:paraId="4B930A05" w14:textId="5FD92C86" w:rsidR="00F36F08" w:rsidRDefault="00F36F08" w:rsidP="00F36F08">
      <w:r>
        <w:lastRenderedPageBreak/>
        <w:t>The Director-General leads TMR’s recovery and reconstruction of roads and transport networks for disaster affected communities and provides strategic oversight for implementation and delivery of resilience initiatives. The Director-General is a member of the State Disaster Coordination Group, Queensland Disaster Management Committee, the Leadership Board Recovery Sub-Committee, and is Chair of the Roads and Transport Functional Recovery Group.</w:t>
      </w:r>
    </w:p>
    <w:p w14:paraId="62F44432" w14:textId="77777777" w:rsidR="00F36F08" w:rsidRDefault="00F36F08" w:rsidP="00F36F08">
      <w:r>
        <w:t>The QDMA also underpin TMR’s approach to disruptive event management. Annual programs such as the Preseason Program and Business Continuity Management Program are aligned with QDMA principles and support TMR in reducing the impact of network disruption.</w:t>
      </w:r>
    </w:p>
    <w:p w14:paraId="3D559351" w14:textId="0F1F5F2B" w:rsidR="00F36F08" w:rsidRDefault="00F36F08" w:rsidP="00F36F08">
      <w:r>
        <w:t>TMR’s business continuity management program has been in place since 2010. The program includes a broad range of collaborative initiatives including a community of practice, annual discussion-based exercise initiatives and promotion of business continuity awareness activities. The outcomes from these initiatives are reported in a consistent manner and an annual review is undertaken for continuity of business processes across all business areas of TMR.</w:t>
      </w:r>
    </w:p>
    <w:p w14:paraId="2A5982EC" w14:textId="77777777" w:rsidR="00F36F08" w:rsidRDefault="00F36F08" w:rsidP="00F36F08">
      <w:r>
        <w:t>The 2021–22 severe weather season saw numerous and ongoing responses to COVID-19 and multiple disruptive events including Central, Southern and Western Queensland rainfall and flooding December 2021, Ex-Tropical Cyclone Seth in January 2022, and South East Queensland Rainfall and Flooding February–March 2022.</w:t>
      </w:r>
    </w:p>
    <w:p w14:paraId="73AAED42" w14:textId="77777777" w:rsidR="00F36F08" w:rsidRDefault="00F36F08" w:rsidP="00F36F08">
      <w:r>
        <w:t>Events saw district and regional staff consistently provide direct management of impacts in support of the state led response through the State Disaster Coordination Centre.</w:t>
      </w:r>
    </w:p>
    <w:p w14:paraId="2AC05E2F" w14:textId="77777777" w:rsidR="00F36F08" w:rsidRDefault="00F36F08" w:rsidP="00F36F08">
      <w:r>
        <w:t>TMR supported numerous COVID-19 programs via committees and working, response and recovery groups with government and industry partners and facilitated the delivery of COVID-19 specialist worker, essential worker, transport plans, and critically essential worker applications.</w:t>
      </w:r>
    </w:p>
    <w:p w14:paraId="3A4533AA" w14:textId="135A7059" w:rsidR="00636B44" w:rsidRDefault="00F36F08" w:rsidP="00F36F08">
      <w:r>
        <w:t>Preparations for the severe weather season are supported by TMR’s annual preseason program, the purpose of which is to encourage</w:t>
      </w:r>
      <w:r w:rsidR="008264CA">
        <w:t xml:space="preserve"> </w:t>
      </w:r>
      <w:r>
        <w:t>a sustainable and consistent departmental approach to disruptive event management and in doing so, support staff in understanding their roles and responsibilities as outlined under the QDMA.</w:t>
      </w:r>
    </w:p>
    <w:p w14:paraId="574DFE88" w14:textId="77777777" w:rsidR="006800C7" w:rsidRDefault="006800C7" w:rsidP="006800C7">
      <w:pPr>
        <w:pStyle w:val="Heading4"/>
      </w:pPr>
      <w:r>
        <w:t xml:space="preserve">Queensland Transport Security Program and Queenslander Counter-Terrorism Strategy </w:t>
      </w:r>
    </w:p>
    <w:p w14:paraId="06CC96BC" w14:textId="77777777" w:rsidR="00791096" w:rsidRDefault="00791096" w:rsidP="00791096">
      <w:r>
        <w:t xml:space="preserve">Under the Council of Australian Governments </w:t>
      </w:r>
      <w:r w:rsidRPr="00791096">
        <w:rPr>
          <w:rStyle w:val="Emphasis"/>
        </w:rPr>
        <w:t>Intergovernmental Agreement on Surface Transport Security 2005</w:t>
      </w:r>
      <w:r>
        <w:t>, Transport Ministers are accountable for delivering transport security outcomes, which includes the threat of terrorism.</w:t>
      </w:r>
    </w:p>
    <w:p w14:paraId="5540E951" w14:textId="77777777" w:rsidR="00791096" w:rsidRDefault="00791096" w:rsidP="00791096">
      <w:r>
        <w:t>TMR works in partnership with the Queensland Police Service, the surface transport industry, and local, state, and Australian governments’ partners to help prepare for, prevent, respond to, and recover from significant security incidents.</w:t>
      </w:r>
    </w:p>
    <w:p w14:paraId="5D1F0C14" w14:textId="77777777" w:rsidR="00791096" w:rsidRDefault="00791096" w:rsidP="00791096">
      <w:r>
        <w:t xml:space="preserve">Operating under the guidance of the </w:t>
      </w:r>
      <w:r w:rsidRPr="00791096">
        <w:rPr>
          <w:rStyle w:val="Emphasis"/>
        </w:rPr>
        <w:t>National Surface Transport Security Strategy, Australia’s Strategy for the Protection of Crowded Places from Terrorism, the National Counter-Terrorism Plan and the Queensland Counter-Terrorism Strategy, Protecting Critical Infrastructure and Systems of National Security Regulatory Reforms</w:t>
      </w:r>
      <w:r>
        <w:t>, the Transport Security Program includes:</w:t>
      </w:r>
    </w:p>
    <w:p w14:paraId="0B1F467E" w14:textId="13A99CED" w:rsidR="00791096" w:rsidRPr="00791096" w:rsidRDefault="00791096" w:rsidP="00791096">
      <w:pPr>
        <w:pStyle w:val="ListBullet"/>
      </w:pPr>
      <w:r w:rsidRPr="00791096">
        <w:t>national and state surface transport counter-terrorism policy coordination</w:t>
      </w:r>
    </w:p>
    <w:p w14:paraId="49E0007A" w14:textId="320E1A38" w:rsidR="00791096" w:rsidRPr="00791096" w:rsidRDefault="00791096" w:rsidP="00791096">
      <w:pPr>
        <w:pStyle w:val="ListBullet"/>
      </w:pPr>
      <w:r w:rsidRPr="00791096">
        <w:t>regulation and security of Queensland’s Security-Identified Surface Transport Operations</w:t>
      </w:r>
    </w:p>
    <w:p w14:paraId="317F24B5" w14:textId="3452579C" w:rsidR="00791096" w:rsidRPr="00791096" w:rsidRDefault="00791096" w:rsidP="00791096">
      <w:pPr>
        <w:pStyle w:val="ListBullet"/>
      </w:pPr>
      <w:r w:rsidRPr="00791096">
        <w:t>facilitation of Queensland’s Transport Precinct Security Program</w:t>
      </w:r>
    </w:p>
    <w:p w14:paraId="75B00C2B" w14:textId="1FD8137D" w:rsidR="00791096" w:rsidRPr="00791096" w:rsidRDefault="00791096" w:rsidP="00791096">
      <w:pPr>
        <w:pStyle w:val="ListBullet"/>
      </w:pPr>
      <w:r w:rsidRPr="00791096">
        <w:t>support to State Major Event Security Planning and police operations</w:t>
      </w:r>
    </w:p>
    <w:p w14:paraId="7DCFB458" w14:textId="5595A060" w:rsidR="00791096" w:rsidRPr="00791096" w:rsidRDefault="00791096" w:rsidP="00791096">
      <w:pPr>
        <w:pStyle w:val="ListBullet"/>
      </w:pPr>
      <w:r w:rsidRPr="00791096">
        <w:t>facilitation of intelligence and information sharing events for transport and transport hub operators</w:t>
      </w:r>
    </w:p>
    <w:p w14:paraId="5827862E" w14:textId="090864B9" w:rsidR="008264CA" w:rsidRPr="00791096" w:rsidRDefault="00791096" w:rsidP="00791096">
      <w:pPr>
        <w:pStyle w:val="ListBullet"/>
      </w:pPr>
      <w:r w:rsidRPr="00791096">
        <w:t>critical infrastructure protection.</w:t>
      </w:r>
    </w:p>
    <w:p w14:paraId="40F03051" w14:textId="3D4F386E" w:rsidR="00791096" w:rsidRDefault="00592D36" w:rsidP="00791096">
      <w:pPr>
        <w:pStyle w:val="Heading4"/>
      </w:pPr>
      <w:r>
        <w:lastRenderedPageBreak/>
        <w:t xml:space="preserve">Roadway Flood Data Exchange </w:t>
      </w:r>
    </w:p>
    <w:p w14:paraId="148109BE" w14:textId="77777777" w:rsidR="008222DB" w:rsidRDefault="008222DB" w:rsidP="008222DB">
      <w:r>
        <w:t>Disseminating information about the condition of TMR’s road network is essential for the public to navigate Queensland roads.</w:t>
      </w:r>
    </w:p>
    <w:p w14:paraId="29612F5F" w14:textId="77777777" w:rsidR="008222DB" w:rsidRDefault="008222DB" w:rsidP="008222DB">
      <w:r>
        <w:t>TMR has worked collaboratively with the Bureau of Meteorology (BoM) during 2021–22 to establish the TMR - Bureau of Meteorology Roadway Flood Data Exchange.</w:t>
      </w:r>
    </w:p>
    <w:p w14:paraId="46251FA7" w14:textId="77777777" w:rsidR="008222DB" w:rsidRDefault="008222DB" w:rsidP="008222DB">
      <w:r>
        <w:t>The exchange includes roadway flood level data collected from TMR owned ITS Roadway Flood Monitoring Sites being sent to BoM and TMR receiving selected relevant flood data from the very extensive range of BoM Queensland-wide existing field flood monitoring stations.</w:t>
      </w:r>
    </w:p>
    <w:p w14:paraId="7DE2CDFF" w14:textId="34479719" w:rsidR="00791096" w:rsidRDefault="008222DB" w:rsidP="008222DB">
      <w:r>
        <w:t>The implementation of this system-to-system interface for exchanging the flood monitoring data between both agencies aims to improve the availability and coverage of data for both agencies and optimises the investment in new monitoring assets.</w:t>
      </w:r>
    </w:p>
    <w:p w14:paraId="66D0B8C7" w14:textId="77777777" w:rsidR="006800C7" w:rsidRDefault="006800C7" w:rsidP="006800C7">
      <w:pPr>
        <w:pStyle w:val="Heading4"/>
      </w:pPr>
      <w:r>
        <w:t xml:space="preserve">ICT Asset Disaster Recovery Plan </w:t>
      </w:r>
    </w:p>
    <w:p w14:paraId="0DA6F73E" w14:textId="77777777" w:rsidR="00756F0C" w:rsidRDefault="00756F0C" w:rsidP="00756F0C">
      <w:r>
        <w:t>ICT Asset Disaster Recovery Plan continues to play a vital role in ensuring TMR maintains resilient with highly available ICT systems that support frontline employees and ensure essential services are provided to the community.</w:t>
      </w:r>
    </w:p>
    <w:p w14:paraId="7B50A53F" w14:textId="77777777" w:rsidR="00756F0C" w:rsidRDefault="00756F0C" w:rsidP="00756F0C">
      <w:r>
        <w:t>In 2021–22, TMR continued to place a key focus on the capability of vital systems ensuring support for business continuity. This was driven by the following factors:</w:t>
      </w:r>
    </w:p>
    <w:p w14:paraId="5FE05AAB" w14:textId="74E2746E" w:rsidR="00756F0C" w:rsidRDefault="00756F0C" w:rsidP="00756F0C">
      <w:pPr>
        <w:pStyle w:val="ListBullet"/>
      </w:pPr>
      <w:r>
        <w:t>continued response to COVID-19</w:t>
      </w:r>
    </w:p>
    <w:p w14:paraId="3D034AD5" w14:textId="5582C9F0" w:rsidR="00756F0C" w:rsidRDefault="00756F0C" w:rsidP="00756F0C">
      <w:pPr>
        <w:pStyle w:val="ListBullet"/>
      </w:pPr>
      <w:r>
        <w:t>natural disasters</w:t>
      </w:r>
    </w:p>
    <w:p w14:paraId="425A98C2" w14:textId="63634208" w:rsidR="00756F0C" w:rsidRDefault="00756F0C" w:rsidP="00756F0C">
      <w:pPr>
        <w:pStyle w:val="ListBullet"/>
      </w:pPr>
      <w:r>
        <w:t>increased demand for online engagement by TMR’s customers</w:t>
      </w:r>
    </w:p>
    <w:p w14:paraId="28A319FA" w14:textId="186EC89D" w:rsidR="00756F0C" w:rsidRDefault="00756F0C" w:rsidP="00756F0C">
      <w:pPr>
        <w:pStyle w:val="ListBullet"/>
      </w:pPr>
      <w:r>
        <w:t>large scale remote working arrangements support.</w:t>
      </w:r>
    </w:p>
    <w:p w14:paraId="14285AF3" w14:textId="77777777" w:rsidR="00756F0C" w:rsidRDefault="00756F0C" w:rsidP="00756F0C">
      <w:pPr>
        <w:spacing w:before="0" w:after="160" w:line="259" w:lineRule="auto"/>
      </w:pPr>
      <w:r>
        <w:t>Key achievements during 2021–22 included:</w:t>
      </w:r>
    </w:p>
    <w:p w14:paraId="6B35C88F" w14:textId="51B0F48E" w:rsidR="00756F0C" w:rsidRDefault="00756F0C" w:rsidP="00530089">
      <w:pPr>
        <w:pStyle w:val="ListBullet"/>
      </w:pPr>
      <w:r>
        <w:t>transitioned regional network services to whole-of-government managed service arrangements</w:t>
      </w:r>
    </w:p>
    <w:p w14:paraId="095BFD34" w14:textId="5E978479" w:rsidR="00756F0C" w:rsidRDefault="00756F0C" w:rsidP="00530089">
      <w:pPr>
        <w:pStyle w:val="ListBullet"/>
      </w:pPr>
      <w:r>
        <w:t>refreshed remote desktop and connectivity solutions</w:t>
      </w:r>
    </w:p>
    <w:p w14:paraId="290D730F" w14:textId="2D38A9DA" w:rsidR="00756F0C" w:rsidRDefault="00756F0C" w:rsidP="00530089">
      <w:pPr>
        <w:pStyle w:val="ListBullet"/>
      </w:pPr>
      <w:r>
        <w:t>established Cloud Business Office to drive the transition to contemporary and resilient online services</w:t>
      </w:r>
    </w:p>
    <w:p w14:paraId="653947A7" w14:textId="77777777" w:rsidR="00530089" w:rsidRDefault="00756F0C" w:rsidP="00530089">
      <w:pPr>
        <w:pStyle w:val="ListBullet"/>
      </w:pPr>
      <w:r>
        <w:t>continued investment in TMR’s information security management system, including security tools, processes, and the risk management framework.</w:t>
      </w:r>
    </w:p>
    <w:p w14:paraId="0F5C786D" w14:textId="77777777" w:rsidR="00530089" w:rsidRPr="00E46578" w:rsidRDefault="00530089" w:rsidP="00530089">
      <w:pPr>
        <w:pStyle w:val="Heading3"/>
      </w:pPr>
      <w:r>
        <w:t>Case Study</w:t>
      </w:r>
    </w:p>
    <w:p w14:paraId="6984B501" w14:textId="3E1D4BA4" w:rsidR="00530089" w:rsidRDefault="00530089" w:rsidP="00530089">
      <w:pPr>
        <w:rPr>
          <w:iCs/>
          <w:color w:val="auto"/>
          <w:sz w:val="26"/>
        </w:rPr>
      </w:pPr>
      <w:r>
        <w:rPr>
          <w:iCs/>
          <w:color w:val="auto"/>
          <w:sz w:val="26"/>
        </w:rPr>
        <w:t>TMR and Bureau of Meteorology strategic relationship</w:t>
      </w:r>
    </w:p>
    <w:p w14:paraId="5F825738" w14:textId="40DEBFE0" w:rsidR="004D707B" w:rsidRDefault="004D707B" w:rsidP="004D707B">
      <w:r>
        <w:t>Since 2018, TMR has held a strategic relationship with the Bureau of Meteorology (the Bureau) to support planning and response to weather events. Over the past year, this relationship has been crucial to the department’s response to multiple weather events that have impacted the state.</w:t>
      </w:r>
    </w:p>
    <w:p w14:paraId="2658D5AA" w14:textId="77777777" w:rsidR="004D707B" w:rsidRDefault="004D707B" w:rsidP="004D707B">
      <w:r>
        <w:t>Each year, the Bureau supports the department in pre- season engagement activities. This preparation was put to the test when high intensity rainfall events commenced in the Central and Southern Queensland regions in November 2021. Wide Bay/Burnett region was subsequently impacted in January 2022.</w:t>
      </w:r>
    </w:p>
    <w:p w14:paraId="390997D3" w14:textId="77777777" w:rsidR="004D707B" w:rsidRDefault="004D707B" w:rsidP="004D707B">
      <w:r>
        <w:lastRenderedPageBreak/>
        <w:t>In February–March 2022, multi-day rainfall records were broken across southeast Queensland, resulting in riverine flooding. The intense and sustained rainfall, coupled with saturated soils in catchments, caused major flooding across many catchments in South East Queensland.</w:t>
      </w:r>
    </w:p>
    <w:p w14:paraId="401254EA" w14:textId="77777777" w:rsidR="004D707B" w:rsidRDefault="004D707B" w:rsidP="004D707B">
      <w:r>
        <w:t>These events impacted the whole transport network—road, rail and maritime. The department made critical safety decisions to close roads, cease public transport services and suspend maritime operations. This impacted communities and the broader Queensland economy.</w:t>
      </w:r>
    </w:p>
    <w:p w14:paraId="1A5077FE" w14:textId="77777777" w:rsidR="004D707B" w:rsidRDefault="004D707B" w:rsidP="004D707B">
      <w:r>
        <w:t>The department relied on the intelligence and support from the Bureau to ensure that planning and response decisions were considered and efficient. Detailed forecast information from the Bureau informed TMR’s approach, delivering improved outcomes for stakeholders and customers.</w:t>
      </w:r>
    </w:p>
    <w:p w14:paraId="621B4B91" w14:textId="38F7A68D" w:rsidR="006800C7" w:rsidRDefault="006800C7" w:rsidP="00530089">
      <w:pPr>
        <w:pStyle w:val="ListBullet"/>
        <w:numPr>
          <w:ilvl w:val="0"/>
          <w:numId w:val="0"/>
        </w:numPr>
        <w:ind w:left="567" w:hanging="567"/>
      </w:pPr>
      <w:r>
        <w:br w:type="page"/>
      </w:r>
    </w:p>
    <w:p w14:paraId="4C2EEA98" w14:textId="77777777" w:rsidR="006800C7" w:rsidRDefault="006800C7" w:rsidP="006800C7">
      <w:pPr>
        <w:pStyle w:val="Heading1"/>
      </w:pPr>
      <w:bookmarkStart w:id="16" w:name="_Hlk76977659"/>
      <w:r>
        <w:lastRenderedPageBreak/>
        <w:t xml:space="preserve">Our People </w:t>
      </w:r>
    </w:p>
    <w:p w14:paraId="3EEAAFCC" w14:textId="77777777" w:rsidR="006800C7" w:rsidRDefault="006800C7" w:rsidP="006800C7">
      <w:pPr>
        <w:pStyle w:val="Heading2"/>
      </w:pPr>
      <w:r>
        <w:t xml:space="preserve">Highlights  </w:t>
      </w:r>
      <w:bookmarkEnd w:id="16"/>
    </w:p>
    <w:p w14:paraId="69854502" w14:textId="77777777" w:rsidR="00B644DD" w:rsidRPr="00B644DD" w:rsidRDefault="00B644DD" w:rsidP="00B644DD">
      <w:pPr>
        <w:pStyle w:val="ListBullet"/>
      </w:pPr>
      <w:r w:rsidRPr="00B644DD">
        <w:t>Eighth annual CUBIES Awards.</w:t>
      </w:r>
    </w:p>
    <w:p w14:paraId="38B55A42" w14:textId="77777777" w:rsidR="00B644DD" w:rsidRPr="00B644DD" w:rsidRDefault="00B644DD" w:rsidP="00B644DD">
      <w:pPr>
        <w:pStyle w:val="ListBullet"/>
      </w:pPr>
      <w:r w:rsidRPr="00B644DD">
        <w:t>Australia Day Achievement Awards. White Ribbon Day Event.</w:t>
      </w:r>
    </w:p>
    <w:p w14:paraId="20546B79" w14:textId="77777777" w:rsidR="00B644DD" w:rsidRPr="00B644DD" w:rsidRDefault="00B644DD" w:rsidP="00B644DD">
      <w:pPr>
        <w:pStyle w:val="ListBullet"/>
      </w:pPr>
      <w:r w:rsidRPr="00B644DD">
        <w:t>Queensland Women’s Week Event.</w:t>
      </w:r>
    </w:p>
    <w:p w14:paraId="61ABBE19" w14:textId="77777777" w:rsidR="00B644DD" w:rsidRPr="00B644DD" w:rsidRDefault="00B644DD" w:rsidP="00B644DD">
      <w:pPr>
        <w:pStyle w:val="ListBullet"/>
      </w:pPr>
      <w:r w:rsidRPr="00B644DD">
        <w:t>Third year of TMR Wonder Woman program.</w:t>
      </w:r>
    </w:p>
    <w:p w14:paraId="14A8A751" w14:textId="77777777" w:rsidR="00B644DD" w:rsidRPr="00B644DD" w:rsidRDefault="00B644DD" w:rsidP="00B644DD">
      <w:pPr>
        <w:pStyle w:val="ListBullet"/>
      </w:pPr>
      <w:r w:rsidRPr="00B644DD">
        <w:t xml:space="preserve">Revised the </w:t>
      </w:r>
      <w:r w:rsidRPr="0002702A">
        <w:rPr>
          <w:rStyle w:val="Emphasis"/>
        </w:rPr>
        <w:t>TMR Strategic Workforce Plan 2020–2024 for 2021–22</w:t>
      </w:r>
      <w:r w:rsidRPr="00B644DD">
        <w:t>.</w:t>
      </w:r>
    </w:p>
    <w:p w14:paraId="252786EC" w14:textId="77777777" w:rsidR="00B644DD" w:rsidRPr="00B644DD" w:rsidRDefault="00B644DD" w:rsidP="00B644DD">
      <w:pPr>
        <w:pStyle w:val="ListBullet"/>
      </w:pPr>
      <w:r w:rsidRPr="00B644DD">
        <w:t>Celebrated NAIDOC week 2021 and National Reconciliation Week 2022.</w:t>
      </w:r>
    </w:p>
    <w:p w14:paraId="786FE3EC" w14:textId="77777777" w:rsidR="00B644DD" w:rsidRPr="00B644DD" w:rsidRDefault="00B644DD" w:rsidP="00B644DD">
      <w:pPr>
        <w:pStyle w:val="ListBullet"/>
      </w:pPr>
      <w:r w:rsidRPr="00B644DD">
        <w:t>Took part in the Push Up Challenge, raising $7874.20 in donations.</w:t>
      </w:r>
    </w:p>
    <w:p w14:paraId="2FCD3AB3" w14:textId="50A82517" w:rsidR="00B644DD" w:rsidRPr="00B644DD" w:rsidRDefault="00B644DD" w:rsidP="0002702A">
      <w:pPr>
        <w:pStyle w:val="ListBullet"/>
      </w:pPr>
      <w:r w:rsidRPr="00B644DD">
        <w:t>Took part in Darkness to Daylight 2022, raising over</w:t>
      </w:r>
      <w:r w:rsidR="0002702A">
        <w:t xml:space="preserve"> </w:t>
      </w:r>
      <w:r w:rsidRPr="00B644DD">
        <w:t>$16,911 in donations.</w:t>
      </w:r>
    </w:p>
    <w:p w14:paraId="6F51AB15" w14:textId="77777777" w:rsidR="00B644DD" w:rsidRPr="00B644DD" w:rsidRDefault="00B644DD" w:rsidP="00B644DD">
      <w:pPr>
        <w:pStyle w:val="ListBullet"/>
      </w:pPr>
      <w:r w:rsidRPr="00B644DD">
        <w:t>Partnered with WorkHaven to implement a Fresh Start for Me online coaching program to support victims of domestic and family violence.</w:t>
      </w:r>
    </w:p>
    <w:p w14:paraId="2B1D3E77" w14:textId="77777777" w:rsidR="00B644DD" w:rsidRPr="00B644DD" w:rsidRDefault="00B644DD" w:rsidP="00B644DD">
      <w:pPr>
        <w:pStyle w:val="ListBullet"/>
      </w:pPr>
      <w:r w:rsidRPr="00B644DD">
        <w:t>Continued to roll out the Griffith University MATE Bystander prevention program, with over 1500 employees completing face-to-face or online training to raise awareness of domestic and family violence.</w:t>
      </w:r>
    </w:p>
    <w:p w14:paraId="1BF21C32" w14:textId="77777777" w:rsidR="00B644DD" w:rsidRPr="00B644DD" w:rsidRDefault="00B644DD" w:rsidP="00B644DD">
      <w:pPr>
        <w:pStyle w:val="ListBullet"/>
      </w:pPr>
      <w:r w:rsidRPr="00B644DD">
        <w:t>Launched the new Positive Performance Management Program, to support mangers to build a culture that supports communication, development, and wellbeing, through positive performance conversations.</w:t>
      </w:r>
    </w:p>
    <w:p w14:paraId="32307026" w14:textId="77777777" w:rsidR="00B644DD" w:rsidRPr="00B644DD" w:rsidRDefault="00B644DD" w:rsidP="00B644DD">
      <w:pPr>
        <w:pStyle w:val="ListBullet"/>
      </w:pPr>
      <w:r w:rsidRPr="00B644DD">
        <w:t>Delivered the OneTMR and Women in Leadership TMR mentoring programs.</w:t>
      </w:r>
    </w:p>
    <w:p w14:paraId="074B2E4F" w14:textId="77777777" w:rsidR="00B644DD" w:rsidRPr="00B644DD" w:rsidRDefault="00B644DD" w:rsidP="00B644DD">
      <w:pPr>
        <w:pStyle w:val="ListBullet"/>
      </w:pPr>
      <w:r w:rsidRPr="00B644DD">
        <w:t>Welcomed 48 new graduates in 2022 as part of TMR’s graduate program. This intake brings TMR’s graduate program total to 93 across 20 disciplines.</w:t>
      </w:r>
    </w:p>
    <w:p w14:paraId="6A3C51A2" w14:textId="77777777" w:rsidR="00B644DD" w:rsidRPr="00B644DD" w:rsidRDefault="00B644DD" w:rsidP="00B644DD">
      <w:pPr>
        <w:pStyle w:val="ListBullet"/>
      </w:pPr>
      <w:r w:rsidRPr="00B644DD">
        <w:t>Launched the new employer brand video (</w:t>
      </w:r>
      <w:r w:rsidRPr="007A25B2">
        <w:rPr>
          <w:rStyle w:val="Emphasis"/>
        </w:rPr>
        <w:t>TMR: an experience like no other</w:t>
      </w:r>
      <w:r w:rsidRPr="00B644DD">
        <w:t>).</w:t>
      </w:r>
    </w:p>
    <w:p w14:paraId="271491E3" w14:textId="77777777" w:rsidR="00B644DD" w:rsidRPr="00B644DD" w:rsidRDefault="00B644DD" w:rsidP="00B644DD">
      <w:pPr>
        <w:pStyle w:val="ListBullet"/>
      </w:pPr>
      <w:r w:rsidRPr="00B644DD">
        <w:t>Commenced development of the Fitness for Duty: Drugs and Alcohol Policy Statement and Procedure.</w:t>
      </w:r>
    </w:p>
    <w:p w14:paraId="5B2D89BB" w14:textId="77777777" w:rsidR="00B644DD" w:rsidRPr="00B644DD" w:rsidRDefault="00B644DD" w:rsidP="00B644DD">
      <w:pPr>
        <w:pStyle w:val="ListBullet"/>
      </w:pPr>
      <w:r w:rsidRPr="00B644DD">
        <w:t>Progressing the Service Delivery Model safety functions and services in consultation with members and their divisions.</w:t>
      </w:r>
    </w:p>
    <w:p w14:paraId="66CD8A17" w14:textId="6FE780C1" w:rsidR="00B644DD" w:rsidRDefault="00B644DD" w:rsidP="00B644DD">
      <w:pPr>
        <w:pStyle w:val="ListBullet"/>
      </w:pPr>
      <w:r w:rsidRPr="00B644DD">
        <w:t>Reviewed and endorsed the TSafe Safety Charter.</w:t>
      </w:r>
    </w:p>
    <w:p w14:paraId="1F43626D" w14:textId="7723C23E" w:rsidR="0002702A" w:rsidRDefault="0002702A" w:rsidP="0002702A">
      <w:pPr>
        <w:pStyle w:val="ListBullet"/>
        <w:numPr>
          <w:ilvl w:val="0"/>
          <w:numId w:val="0"/>
        </w:numPr>
        <w:ind w:left="567" w:hanging="567"/>
      </w:pPr>
    </w:p>
    <w:p w14:paraId="31DFABC7" w14:textId="77777777" w:rsidR="0002702A" w:rsidRPr="00B644DD" w:rsidRDefault="0002702A" w:rsidP="0002702A">
      <w:pPr>
        <w:pStyle w:val="ListBullet"/>
        <w:numPr>
          <w:ilvl w:val="0"/>
          <w:numId w:val="0"/>
        </w:numPr>
        <w:ind w:left="567" w:hanging="567"/>
      </w:pPr>
    </w:p>
    <w:p w14:paraId="5F60A29F" w14:textId="3139EAC0" w:rsidR="006800C7" w:rsidRDefault="00DE7ABE" w:rsidP="00DE7ABE">
      <w:pPr>
        <w:pStyle w:val="Heading2"/>
      </w:pPr>
      <w:r>
        <w:t>Getting the best from our people to deliver for Queensland</w:t>
      </w:r>
    </w:p>
    <w:p w14:paraId="79E237F3" w14:textId="77777777" w:rsidR="005854C5" w:rsidRDefault="005854C5" w:rsidP="005854C5">
      <w:r>
        <w:t>Human resources were put in the spotlight for many organisations in 2021–22. The unknowns related to COVID-19, combined with new hybrid work models and uptake of flexible work options, has meant TMR being even more strategic about its work program.</w:t>
      </w:r>
    </w:p>
    <w:p w14:paraId="0E6EC3CC" w14:textId="77777777" w:rsidR="005854C5" w:rsidRDefault="005854C5" w:rsidP="005854C5">
      <w:r>
        <w:t>We recognise that our workforce is our most valued resource, as they are key in helping us deliver projects to the community and the Queensland Government’s priorities.</w:t>
      </w:r>
    </w:p>
    <w:p w14:paraId="007A1BFA" w14:textId="77777777" w:rsidR="005854C5" w:rsidRDefault="005854C5" w:rsidP="005854C5">
      <w:r>
        <w:t>The multi-faceted approach to supporting TMR’s workforce over the past year has required a lot of forethought, with a particular emphasis on upskilling our human resource network and supporting the new ways we work.</w:t>
      </w:r>
    </w:p>
    <w:p w14:paraId="16E346BD" w14:textId="77777777" w:rsidR="005854C5" w:rsidRDefault="005854C5" w:rsidP="005854C5">
      <w:r>
        <w:t>The safety of our people has been paramount, and considerable work has been done to ensure staff continue to be healthy, safe, and well in their workplaces. Supporting our frontline roles both through the pandemic and flooding has meant that we were able to continue providing vital services to the Queensland community.</w:t>
      </w:r>
    </w:p>
    <w:p w14:paraId="0C8759B1" w14:textId="77777777" w:rsidR="005854C5" w:rsidRDefault="005854C5" w:rsidP="005854C5">
      <w:r>
        <w:lastRenderedPageBreak/>
        <w:t>One of the key indicators of employee sentiment is the annual Working for Queensland survey which, despite the global challenges, showed improvements across the board.</w:t>
      </w:r>
    </w:p>
    <w:p w14:paraId="771BFFF8" w14:textId="77777777" w:rsidR="005854C5" w:rsidRDefault="005854C5" w:rsidP="005854C5">
      <w:r>
        <w:t>Results indicated that TMR’s COVID-19 response paired with an increased focus on employee wellbeing were key drivers in these improved results. Moving forward, the focus will be on continuing to improve workload and work/life balance, wellbeing, learning and development, as well as performance.</w:t>
      </w:r>
    </w:p>
    <w:p w14:paraId="5C537664" w14:textId="77777777" w:rsidR="005854C5" w:rsidRDefault="005854C5" w:rsidP="005854C5">
      <w:r>
        <w:t>Given the many unique global challenges we are currently facing, the focus on employee wellbeing and maintaining a safe, capable, and adaptable workforce has never been more warranted.</w:t>
      </w:r>
    </w:p>
    <w:p w14:paraId="08F1C913" w14:textId="77777777" w:rsidR="005854C5" w:rsidRDefault="005854C5" w:rsidP="005854C5">
      <w:r>
        <w:t xml:space="preserve">Because of this, we revised the </w:t>
      </w:r>
      <w:r w:rsidRPr="0001438F">
        <w:rPr>
          <w:rStyle w:val="Emphasis"/>
        </w:rPr>
        <w:t>TMR Strategic Workforce Plan 2020–2024</w:t>
      </w:r>
      <w:r>
        <w:t xml:space="preserve"> which sets out the roadmap to meet our vision for a healthy, purpose-driven, capable and mobile workforce.</w:t>
      </w:r>
    </w:p>
    <w:p w14:paraId="3F712922" w14:textId="77777777" w:rsidR="005854C5" w:rsidRDefault="005854C5" w:rsidP="005854C5">
      <w:r>
        <w:t>An employer brand campaign with the tagline ‘</w:t>
      </w:r>
      <w:r w:rsidRPr="0001438F">
        <w:rPr>
          <w:rStyle w:val="Emphasis"/>
        </w:rPr>
        <w:t>TMR: an experience like no other’</w:t>
      </w:r>
      <w:r>
        <w:t xml:space="preserve"> was used to seek, attract and retain talent. The campaign was developed to reflect what every employee experiences when working for TMR—be it onsite, remote, or hybrid.</w:t>
      </w:r>
    </w:p>
    <w:p w14:paraId="09506AC2" w14:textId="77777777" w:rsidR="005854C5" w:rsidRDefault="005854C5" w:rsidP="005854C5">
      <w:r>
        <w:t xml:space="preserve">We continued our OneTMR graduate program, which saw our total graduates reach 93 across 20 disciplines. This program offers technical and professional capability development to ensure TMR is continuing to support the growth of future leaders. This program is supported by TMR’s </w:t>
      </w:r>
      <w:r w:rsidRPr="001D4690">
        <w:rPr>
          <w:rStyle w:val="Emphasis"/>
        </w:rPr>
        <w:t>Learning Strategy</w:t>
      </w:r>
      <w:r>
        <w:t xml:space="preserve"> that promotes a culture of lifelong learning and encourages our people to take the lead in their professional development and become future-skills ready.</w:t>
      </w:r>
    </w:p>
    <w:p w14:paraId="4F7F8369" w14:textId="4BB4B0FD" w:rsidR="005854C5" w:rsidRDefault="005854C5" w:rsidP="005854C5">
      <w:r>
        <w:t>Another focus area was diversity and inclusion programs, such as the annual Queensland Women’s Week event held in March 2022 which included the announcement of the third cohort of TMR’s Wonder Women. Women in leadership roles in TMR increased to 36 per cent.</w:t>
      </w:r>
    </w:p>
    <w:p w14:paraId="7E9310B3" w14:textId="6C50C39F" w:rsidR="005854C5" w:rsidRDefault="005854C5" w:rsidP="005854C5">
      <w:r>
        <w:t xml:space="preserve"> TMR also supports employees through the </w:t>
      </w:r>
      <w:r w:rsidRPr="001D4690">
        <w:rPr>
          <w:rStyle w:val="Emphasis"/>
        </w:rPr>
        <w:t>LGBTIQ+ Plan 2021- 2023</w:t>
      </w:r>
      <w:r>
        <w:t xml:space="preserve"> and the OneTMR Pride Network, which works closely with Pride in Diversity to provide awareness, education and support to employees.</w:t>
      </w:r>
    </w:p>
    <w:p w14:paraId="439D3D68" w14:textId="77777777" w:rsidR="005854C5" w:rsidRDefault="005854C5" w:rsidP="005854C5">
      <w:r>
        <w:t>COVID-19 has increased the rates of domestic and family violence, which is why TMR continues to roll-out the Griffith University MATE Bystander prevention program. As at 30 June 2022, the program has been attended by more than 1500 employees through either face-to-face or online training.</w:t>
      </w:r>
    </w:p>
    <w:p w14:paraId="5F05FFB0" w14:textId="77777777" w:rsidR="005854C5" w:rsidRDefault="005854C5" w:rsidP="005854C5">
      <w:r>
        <w:t>A holistic focus on wellbeing will remain a key priority going forward. Employee wellbeing is embedded in all TMR practices and processes, and we continue to embrace initiatives to ensure every employee is supported and represented.</w:t>
      </w:r>
    </w:p>
    <w:p w14:paraId="5E25D8AC" w14:textId="1022E88F" w:rsidR="005854C5" w:rsidRDefault="005854C5" w:rsidP="005854C5">
      <w:r>
        <w:t>Initiatives include the Indigenous Employee Assistance Program, domestic and family violence prevention training,</w:t>
      </w:r>
      <w:r w:rsidR="000D6F17">
        <w:t xml:space="preserve"> </w:t>
      </w:r>
      <w:r>
        <w:t>‘Be Your Best You’ campaign, pride network, suicide prevention training for managers and supervisors, and Women in Leadership mentoring program.</w:t>
      </w:r>
    </w:p>
    <w:p w14:paraId="14D82739" w14:textId="38C7F18C" w:rsidR="005854C5" w:rsidRDefault="005854C5" w:rsidP="005854C5">
      <w:r>
        <w:t>Our people are our greatest asset, and TMR will continue to do all it can to foster a healthy workforce to maintain the highest quality of delivery for our customers.</w:t>
      </w:r>
    </w:p>
    <w:p w14:paraId="24BA7F29" w14:textId="77777777" w:rsidR="005854C5" w:rsidRPr="00D072E5" w:rsidRDefault="005854C5" w:rsidP="006800C7"/>
    <w:p w14:paraId="200011D3" w14:textId="77777777" w:rsidR="006800C7" w:rsidRPr="00141FE2" w:rsidRDefault="006800C7" w:rsidP="006800C7">
      <w:pPr>
        <w:pStyle w:val="Heading2"/>
      </w:pPr>
      <w:r w:rsidRPr="00141FE2">
        <w:lastRenderedPageBreak/>
        <w:t>Establishing</w:t>
      </w:r>
      <w:r>
        <w:t xml:space="preserve"> </w:t>
      </w:r>
      <w:r w:rsidRPr="00141FE2">
        <w:t>an</w:t>
      </w:r>
      <w:r>
        <w:t xml:space="preserve"> </w:t>
      </w:r>
      <w:r w:rsidRPr="00141FE2">
        <w:t>agile</w:t>
      </w:r>
      <w:r>
        <w:t xml:space="preserve"> </w:t>
      </w:r>
      <w:r w:rsidRPr="00141FE2">
        <w:t>and</w:t>
      </w:r>
      <w:r>
        <w:t xml:space="preserve"> </w:t>
      </w:r>
      <w:r w:rsidRPr="00141FE2">
        <w:t>future</w:t>
      </w:r>
      <w:r>
        <w:t xml:space="preserve"> </w:t>
      </w:r>
      <w:r w:rsidRPr="00141FE2">
        <w:t>ready</w:t>
      </w:r>
      <w:r>
        <w:t xml:space="preserve"> </w:t>
      </w:r>
      <w:r w:rsidRPr="00141FE2">
        <w:t>workforce</w:t>
      </w:r>
    </w:p>
    <w:p w14:paraId="3DB88220" w14:textId="77777777" w:rsidR="006800C7" w:rsidRPr="00141FE2" w:rsidRDefault="006800C7" w:rsidP="006800C7">
      <w:pPr>
        <w:pStyle w:val="Heading4"/>
      </w:pPr>
      <w:r w:rsidRPr="00141FE2">
        <w:t>Workforce</w:t>
      </w:r>
      <w:r>
        <w:t xml:space="preserve"> </w:t>
      </w:r>
      <w:r w:rsidRPr="00141FE2">
        <w:t>profile</w:t>
      </w:r>
      <w:r>
        <w:t xml:space="preserve"> </w:t>
      </w:r>
    </w:p>
    <w:p w14:paraId="3E8D9A9B" w14:textId="38067561" w:rsidR="0012022C" w:rsidRPr="003771FC" w:rsidRDefault="0012022C" w:rsidP="006800C7">
      <w:r w:rsidRPr="0012022C">
        <w:t>As at 17 June 2022, there were 7405 full-time equivalent (FTE) (see page 79) employees within TMR, representing an increase of 23 on last year’s total FTEs. Our workforce composition is complex and includes 79 occupational groups spread across trade, professional, technical and administrative disciplines throughout Queensland.</w:t>
      </w:r>
    </w:p>
    <w:p w14:paraId="3B2B4669" w14:textId="04463270" w:rsidR="006800C7" w:rsidRDefault="006800C7" w:rsidP="006800C7">
      <w:pPr>
        <w:pStyle w:val="TableofFigures"/>
      </w:pPr>
      <w:r>
        <w:t>Table 4: Workforce statistics as at 1</w:t>
      </w:r>
      <w:r w:rsidR="00BB2CC4">
        <w:t>7</w:t>
      </w:r>
      <w:r>
        <w:t xml:space="preserve"> June 202</w:t>
      </w:r>
      <w:r w:rsidR="005F702B">
        <w:t>2</w:t>
      </w:r>
    </w:p>
    <w:tbl>
      <w:tblPr>
        <w:tblStyle w:val="Style1"/>
        <w:tblW w:w="9070" w:type="dxa"/>
        <w:tblLook w:val="04A0" w:firstRow="1" w:lastRow="0" w:firstColumn="1" w:lastColumn="0" w:noHBand="0" w:noVBand="1"/>
      </w:tblPr>
      <w:tblGrid>
        <w:gridCol w:w="2835"/>
        <w:gridCol w:w="713"/>
        <w:gridCol w:w="708"/>
        <w:gridCol w:w="709"/>
        <w:gridCol w:w="709"/>
        <w:gridCol w:w="685"/>
        <w:gridCol w:w="672"/>
        <w:gridCol w:w="672"/>
        <w:gridCol w:w="672"/>
        <w:gridCol w:w="695"/>
      </w:tblGrid>
      <w:tr w:rsidR="00BB2CC4" w:rsidRPr="008B5A09" w14:paraId="28162852" w14:textId="77777777" w:rsidTr="00BB2CC4">
        <w:trPr>
          <w:cnfStyle w:val="100000000000" w:firstRow="1" w:lastRow="0" w:firstColumn="0" w:lastColumn="0" w:oddVBand="0" w:evenVBand="0" w:oddHBand="0" w:evenHBand="0" w:firstRowFirstColumn="0" w:firstRowLastColumn="0" w:lastRowFirstColumn="0" w:lastRowLastColumn="0"/>
          <w:trHeight w:val="363"/>
        </w:trPr>
        <w:tc>
          <w:tcPr>
            <w:tcW w:w="2835" w:type="dxa"/>
            <w:noWrap/>
          </w:tcPr>
          <w:p w14:paraId="0639075C" w14:textId="77777777" w:rsidR="00BB2CC4" w:rsidRPr="008C7D70" w:rsidRDefault="00BB2CC4" w:rsidP="00F31956"/>
        </w:tc>
        <w:tc>
          <w:tcPr>
            <w:tcW w:w="713" w:type="dxa"/>
          </w:tcPr>
          <w:p w14:paraId="5EFD3BDE" w14:textId="34A4CCF7" w:rsidR="00BB2CC4" w:rsidRDefault="00BB2CC4" w:rsidP="00F31956">
            <w:r>
              <w:t>2021–22</w:t>
            </w:r>
          </w:p>
        </w:tc>
        <w:tc>
          <w:tcPr>
            <w:tcW w:w="708" w:type="dxa"/>
          </w:tcPr>
          <w:p w14:paraId="54DC0666" w14:textId="4818157D" w:rsidR="00BB2CC4" w:rsidRPr="008C7D70" w:rsidRDefault="00BB2CC4" w:rsidP="00F31956">
            <w:r>
              <w:t>2020–21</w:t>
            </w:r>
          </w:p>
        </w:tc>
        <w:tc>
          <w:tcPr>
            <w:tcW w:w="709" w:type="dxa"/>
          </w:tcPr>
          <w:p w14:paraId="17EE56D1" w14:textId="77777777" w:rsidR="00BB2CC4" w:rsidRPr="008C7D70" w:rsidRDefault="00BB2CC4" w:rsidP="00F31956">
            <w:r>
              <w:t>2019–20</w:t>
            </w:r>
          </w:p>
        </w:tc>
        <w:tc>
          <w:tcPr>
            <w:tcW w:w="709" w:type="dxa"/>
          </w:tcPr>
          <w:p w14:paraId="2D8548A6" w14:textId="77777777" w:rsidR="00BB2CC4" w:rsidRPr="008C7D70" w:rsidRDefault="00BB2CC4" w:rsidP="00F31956">
            <w:r>
              <w:t>2018–19</w:t>
            </w:r>
          </w:p>
        </w:tc>
        <w:tc>
          <w:tcPr>
            <w:tcW w:w="685" w:type="dxa"/>
          </w:tcPr>
          <w:p w14:paraId="6D40CF09" w14:textId="77777777" w:rsidR="00BB2CC4" w:rsidRPr="00C62589" w:rsidRDefault="00BB2CC4" w:rsidP="00F31956">
            <w:r>
              <w:t>2017–18</w:t>
            </w:r>
          </w:p>
        </w:tc>
        <w:tc>
          <w:tcPr>
            <w:tcW w:w="672" w:type="dxa"/>
          </w:tcPr>
          <w:p w14:paraId="6A537817" w14:textId="77777777" w:rsidR="00BB2CC4" w:rsidRPr="00C62589" w:rsidRDefault="00BB2CC4" w:rsidP="00F31956">
            <w:r>
              <w:t>2016–17</w:t>
            </w:r>
          </w:p>
        </w:tc>
        <w:tc>
          <w:tcPr>
            <w:tcW w:w="672" w:type="dxa"/>
          </w:tcPr>
          <w:p w14:paraId="1F32F2E2" w14:textId="77777777" w:rsidR="00BB2CC4" w:rsidRPr="00C62589" w:rsidRDefault="00BB2CC4" w:rsidP="00F31956">
            <w:r>
              <w:t>2015–16</w:t>
            </w:r>
          </w:p>
        </w:tc>
        <w:tc>
          <w:tcPr>
            <w:tcW w:w="672" w:type="dxa"/>
          </w:tcPr>
          <w:p w14:paraId="009C8A7E" w14:textId="77777777" w:rsidR="00BB2CC4" w:rsidRPr="00C62589" w:rsidRDefault="00BB2CC4" w:rsidP="00F31956">
            <w:r>
              <w:t>2014–15</w:t>
            </w:r>
          </w:p>
        </w:tc>
        <w:tc>
          <w:tcPr>
            <w:tcW w:w="695" w:type="dxa"/>
          </w:tcPr>
          <w:p w14:paraId="1079B4B4" w14:textId="77777777" w:rsidR="00BB2CC4" w:rsidRPr="00C62589" w:rsidRDefault="00BB2CC4" w:rsidP="00F31956">
            <w:r>
              <w:t>2013–14</w:t>
            </w:r>
          </w:p>
        </w:tc>
      </w:tr>
      <w:tr w:rsidR="00BB2CC4" w:rsidRPr="008B5A09" w14:paraId="0FBE8B9F" w14:textId="77777777" w:rsidTr="00BB2CC4">
        <w:trPr>
          <w:trHeight w:val="150"/>
        </w:trPr>
        <w:tc>
          <w:tcPr>
            <w:tcW w:w="2835" w:type="dxa"/>
            <w:noWrap/>
          </w:tcPr>
          <w:p w14:paraId="7515A957" w14:textId="77777777" w:rsidR="00BB2CC4" w:rsidRPr="008C7D70" w:rsidRDefault="00BB2CC4" w:rsidP="00F31956">
            <w:r>
              <w:t xml:space="preserve">Full-time equivalent employees* </w:t>
            </w:r>
          </w:p>
        </w:tc>
        <w:tc>
          <w:tcPr>
            <w:tcW w:w="713" w:type="dxa"/>
          </w:tcPr>
          <w:p w14:paraId="6700719F" w14:textId="6C5FBC13" w:rsidR="00BB2CC4" w:rsidRDefault="00DE7C85" w:rsidP="00F31956">
            <w:r>
              <w:t>7405</w:t>
            </w:r>
          </w:p>
        </w:tc>
        <w:tc>
          <w:tcPr>
            <w:tcW w:w="708" w:type="dxa"/>
            <w:noWrap/>
          </w:tcPr>
          <w:p w14:paraId="5B0E651A" w14:textId="319CCA0F" w:rsidR="00BB2CC4" w:rsidRPr="008C7D70" w:rsidRDefault="00BB2CC4" w:rsidP="00F31956">
            <w:r>
              <w:t>7382</w:t>
            </w:r>
          </w:p>
        </w:tc>
        <w:tc>
          <w:tcPr>
            <w:tcW w:w="709" w:type="dxa"/>
            <w:noWrap/>
          </w:tcPr>
          <w:p w14:paraId="52498DA8" w14:textId="77777777" w:rsidR="00BB2CC4" w:rsidRPr="008C7D70" w:rsidRDefault="00BB2CC4" w:rsidP="00F31956">
            <w:r>
              <w:t>7333</w:t>
            </w:r>
          </w:p>
        </w:tc>
        <w:tc>
          <w:tcPr>
            <w:tcW w:w="709" w:type="dxa"/>
            <w:noWrap/>
          </w:tcPr>
          <w:p w14:paraId="6ACC3F7E" w14:textId="77777777" w:rsidR="00BB2CC4" w:rsidRPr="008C7D70" w:rsidRDefault="00BB2CC4" w:rsidP="00F31956">
            <w:r>
              <w:t>7199</w:t>
            </w:r>
          </w:p>
        </w:tc>
        <w:tc>
          <w:tcPr>
            <w:tcW w:w="685" w:type="dxa"/>
          </w:tcPr>
          <w:p w14:paraId="38ACC055" w14:textId="77777777" w:rsidR="00BB2CC4" w:rsidRPr="00C62589" w:rsidRDefault="00BB2CC4" w:rsidP="00F31956">
            <w:r>
              <w:t>7180</w:t>
            </w:r>
          </w:p>
        </w:tc>
        <w:tc>
          <w:tcPr>
            <w:tcW w:w="672" w:type="dxa"/>
          </w:tcPr>
          <w:p w14:paraId="565B4496" w14:textId="77777777" w:rsidR="00BB2CC4" w:rsidRPr="00C62589" w:rsidRDefault="00BB2CC4" w:rsidP="00F31956">
            <w:r>
              <w:t>7192</w:t>
            </w:r>
          </w:p>
        </w:tc>
        <w:tc>
          <w:tcPr>
            <w:tcW w:w="672" w:type="dxa"/>
          </w:tcPr>
          <w:p w14:paraId="066301D1" w14:textId="77777777" w:rsidR="00BB2CC4" w:rsidRPr="00C62589" w:rsidRDefault="00BB2CC4" w:rsidP="00F31956">
            <w:r>
              <w:t>7032</w:t>
            </w:r>
          </w:p>
        </w:tc>
        <w:tc>
          <w:tcPr>
            <w:tcW w:w="672" w:type="dxa"/>
          </w:tcPr>
          <w:p w14:paraId="1F4961CE" w14:textId="77777777" w:rsidR="00BB2CC4" w:rsidRPr="00C62589" w:rsidRDefault="00BB2CC4" w:rsidP="00F31956">
            <w:r>
              <w:t>6891</w:t>
            </w:r>
          </w:p>
        </w:tc>
        <w:tc>
          <w:tcPr>
            <w:tcW w:w="695" w:type="dxa"/>
          </w:tcPr>
          <w:p w14:paraId="5D39DC1F" w14:textId="77777777" w:rsidR="00BB2CC4" w:rsidRPr="00C62589" w:rsidRDefault="00BB2CC4" w:rsidP="00F31956">
            <w:r>
              <w:t>6857</w:t>
            </w:r>
          </w:p>
        </w:tc>
      </w:tr>
      <w:tr w:rsidR="00BB2CC4" w:rsidRPr="008B5A09" w14:paraId="6A9077F6" w14:textId="77777777" w:rsidTr="00BB2CC4">
        <w:trPr>
          <w:trHeight w:val="150"/>
        </w:trPr>
        <w:tc>
          <w:tcPr>
            <w:tcW w:w="2835" w:type="dxa"/>
            <w:noWrap/>
          </w:tcPr>
          <w:p w14:paraId="1BFF1DFE" w14:textId="77777777" w:rsidR="00BB2CC4" w:rsidRPr="008C7D70" w:rsidRDefault="00BB2CC4" w:rsidP="00F31956">
            <w:r>
              <w:t xml:space="preserve">Employee headcount </w:t>
            </w:r>
          </w:p>
        </w:tc>
        <w:tc>
          <w:tcPr>
            <w:tcW w:w="713" w:type="dxa"/>
          </w:tcPr>
          <w:p w14:paraId="10873597" w14:textId="3148E6BA" w:rsidR="00BB2CC4" w:rsidRDefault="00DE7C85" w:rsidP="00F31956">
            <w:r>
              <w:t>9474</w:t>
            </w:r>
          </w:p>
        </w:tc>
        <w:tc>
          <w:tcPr>
            <w:tcW w:w="708" w:type="dxa"/>
            <w:noWrap/>
          </w:tcPr>
          <w:p w14:paraId="252E5AD6" w14:textId="260B09E4" w:rsidR="00BB2CC4" w:rsidRPr="008C7D70" w:rsidRDefault="00BB2CC4" w:rsidP="00F31956">
            <w:r>
              <w:t>9460</w:t>
            </w:r>
          </w:p>
        </w:tc>
        <w:tc>
          <w:tcPr>
            <w:tcW w:w="709" w:type="dxa"/>
            <w:noWrap/>
          </w:tcPr>
          <w:p w14:paraId="7E5F9B1B" w14:textId="77777777" w:rsidR="00BB2CC4" w:rsidRPr="008C7D70" w:rsidRDefault="00BB2CC4" w:rsidP="00F31956">
            <w:r>
              <w:t>9446</w:t>
            </w:r>
          </w:p>
        </w:tc>
        <w:tc>
          <w:tcPr>
            <w:tcW w:w="709" w:type="dxa"/>
            <w:noWrap/>
          </w:tcPr>
          <w:p w14:paraId="34CE5312" w14:textId="77777777" w:rsidR="00BB2CC4" w:rsidRPr="008C7D70" w:rsidRDefault="00BB2CC4" w:rsidP="00F31956">
            <w:r>
              <w:t>9186</w:t>
            </w:r>
          </w:p>
        </w:tc>
        <w:tc>
          <w:tcPr>
            <w:tcW w:w="685" w:type="dxa"/>
          </w:tcPr>
          <w:p w14:paraId="6A55A18B" w14:textId="77777777" w:rsidR="00BB2CC4" w:rsidRPr="00C62589" w:rsidRDefault="00BB2CC4" w:rsidP="00F31956">
            <w:r>
              <w:t>9181</w:t>
            </w:r>
          </w:p>
        </w:tc>
        <w:tc>
          <w:tcPr>
            <w:tcW w:w="672" w:type="dxa"/>
          </w:tcPr>
          <w:p w14:paraId="722340B0" w14:textId="77777777" w:rsidR="00BB2CC4" w:rsidRPr="00C62589" w:rsidRDefault="00BB2CC4" w:rsidP="00F31956">
            <w:r>
              <w:t>9112</w:t>
            </w:r>
          </w:p>
        </w:tc>
        <w:tc>
          <w:tcPr>
            <w:tcW w:w="672" w:type="dxa"/>
          </w:tcPr>
          <w:p w14:paraId="4D758F0E" w14:textId="77777777" w:rsidR="00BB2CC4" w:rsidRPr="00C62589" w:rsidRDefault="00BB2CC4" w:rsidP="00F31956">
            <w:r>
              <w:t>7788</w:t>
            </w:r>
          </w:p>
        </w:tc>
        <w:tc>
          <w:tcPr>
            <w:tcW w:w="672" w:type="dxa"/>
          </w:tcPr>
          <w:p w14:paraId="31FDF450" w14:textId="77777777" w:rsidR="00BB2CC4" w:rsidRPr="00C62589" w:rsidRDefault="00BB2CC4" w:rsidP="00F31956">
            <w:r>
              <w:t>8737</w:t>
            </w:r>
          </w:p>
        </w:tc>
        <w:tc>
          <w:tcPr>
            <w:tcW w:w="695" w:type="dxa"/>
          </w:tcPr>
          <w:p w14:paraId="76926DF0" w14:textId="77777777" w:rsidR="00BB2CC4" w:rsidRPr="00C62589" w:rsidRDefault="00BB2CC4" w:rsidP="00F31956">
            <w:r>
              <w:t>8721</w:t>
            </w:r>
          </w:p>
        </w:tc>
      </w:tr>
      <w:tr w:rsidR="00BB2CC4" w:rsidRPr="008B5A09" w14:paraId="432C5338" w14:textId="77777777" w:rsidTr="00BB2CC4">
        <w:trPr>
          <w:trHeight w:val="158"/>
        </w:trPr>
        <w:tc>
          <w:tcPr>
            <w:tcW w:w="2835" w:type="dxa"/>
            <w:noWrap/>
          </w:tcPr>
          <w:p w14:paraId="4357083C" w14:textId="77777777" w:rsidR="00BB2CC4" w:rsidRPr="008C7D70" w:rsidRDefault="00BB2CC4" w:rsidP="00F31956">
            <w:r>
              <w:t xml:space="preserve">Permanent </w:t>
            </w:r>
          </w:p>
        </w:tc>
        <w:tc>
          <w:tcPr>
            <w:tcW w:w="713" w:type="dxa"/>
          </w:tcPr>
          <w:p w14:paraId="2FE9C96A" w14:textId="34B66707" w:rsidR="00BB2CC4" w:rsidRDefault="00DE7C85" w:rsidP="00F31956">
            <w:r>
              <w:t>71.7%</w:t>
            </w:r>
          </w:p>
        </w:tc>
        <w:tc>
          <w:tcPr>
            <w:tcW w:w="708" w:type="dxa"/>
            <w:noWrap/>
          </w:tcPr>
          <w:p w14:paraId="7CE3C6E7" w14:textId="226C4D9A" w:rsidR="00BB2CC4" w:rsidRPr="008C7D70" w:rsidRDefault="00BB2CC4" w:rsidP="00F31956">
            <w:r>
              <w:t>72%</w:t>
            </w:r>
          </w:p>
        </w:tc>
        <w:tc>
          <w:tcPr>
            <w:tcW w:w="709" w:type="dxa"/>
            <w:noWrap/>
          </w:tcPr>
          <w:p w14:paraId="49527558" w14:textId="77777777" w:rsidR="00BB2CC4" w:rsidRPr="008C7D70" w:rsidRDefault="00BB2CC4" w:rsidP="00F31956">
            <w:r>
              <w:t>70%</w:t>
            </w:r>
          </w:p>
        </w:tc>
        <w:tc>
          <w:tcPr>
            <w:tcW w:w="709" w:type="dxa"/>
            <w:noWrap/>
          </w:tcPr>
          <w:p w14:paraId="7B6C7A52" w14:textId="77777777" w:rsidR="00BB2CC4" w:rsidRPr="008C7D70" w:rsidRDefault="00BB2CC4" w:rsidP="00F31956">
            <w:r>
              <w:t>70%</w:t>
            </w:r>
          </w:p>
        </w:tc>
        <w:tc>
          <w:tcPr>
            <w:tcW w:w="685" w:type="dxa"/>
          </w:tcPr>
          <w:p w14:paraId="0B9D9554" w14:textId="77777777" w:rsidR="00BB2CC4" w:rsidRPr="00C62589" w:rsidRDefault="00BB2CC4" w:rsidP="00F31956">
            <w:r>
              <w:t>70%</w:t>
            </w:r>
          </w:p>
        </w:tc>
        <w:tc>
          <w:tcPr>
            <w:tcW w:w="672" w:type="dxa"/>
          </w:tcPr>
          <w:p w14:paraId="37765C9B" w14:textId="77777777" w:rsidR="00BB2CC4" w:rsidRPr="00C62589" w:rsidRDefault="00BB2CC4" w:rsidP="00F31956">
            <w:r>
              <w:t>70%</w:t>
            </w:r>
          </w:p>
        </w:tc>
        <w:tc>
          <w:tcPr>
            <w:tcW w:w="672" w:type="dxa"/>
          </w:tcPr>
          <w:p w14:paraId="52CB7CC6" w14:textId="77777777" w:rsidR="00BB2CC4" w:rsidRPr="00C62589" w:rsidRDefault="00BB2CC4" w:rsidP="00F31956">
            <w:r>
              <w:t>71%</w:t>
            </w:r>
          </w:p>
        </w:tc>
        <w:tc>
          <w:tcPr>
            <w:tcW w:w="672" w:type="dxa"/>
          </w:tcPr>
          <w:p w14:paraId="637EA94B" w14:textId="77777777" w:rsidR="00BB2CC4" w:rsidRPr="00C62589" w:rsidRDefault="00BB2CC4" w:rsidP="00F31956">
            <w:r>
              <w:t>73%</w:t>
            </w:r>
          </w:p>
        </w:tc>
        <w:tc>
          <w:tcPr>
            <w:tcW w:w="695" w:type="dxa"/>
          </w:tcPr>
          <w:p w14:paraId="0D319BA2" w14:textId="77777777" w:rsidR="00BB2CC4" w:rsidRPr="00C62589" w:rsidRDefault="00BB2CC4" w:rsidP="00F31956">
            <w:r>
              <w:t>73%</w:t>
            </w:r>
          </w:p>
        </w:tc>
      </w:tr>
      <w:tr w:rsidR="00BB2CC4" w:rsidRPr="008B5A09" w14:paraId="3FC1FF1A" w14:textId="77777777" w:rsidTr="00BB2CC4">
        <w:trPr>
          <w:trHeight w:val="150"/>
        </w:trPr>
        <w:tc>
          <w:tcPr>
            <w:tcW w:w="2835" w:type="dxa"/>
            <w:noWrap/>
          </w:tcPr>
          <w:p w14:paraId="16815C1F" w14:textId="77777777" w:rsidR="00BB2CC4" w:rsidRPr="008C7D70" w:rsidRDefault="00BB2CC4" w:rsidP="00F31956">
            <w:r>
              <w:t xml:space="preserve">Temporary </w:t>
            </w:r>
          </w:p>
        </w:tc>
        <w:tc>
          <w:tcPr>
            <w:tcW w:w="713" w:type="dxa"/>
          </w:tcPr>
          <w:p w14:paraId="497ACF26" w14:textId="7F7B2B5C" w:rsidR="00BB2CC4" w:rsidRDefault="00DE7C85" w:rsidP="00F31956">
            <w:r>
              <w:t>7.6%</w:t>
            </w:r>
          </w:p>
        </w:tc>
        <w:tc>
          <w:tcPr>
            <w:tcW w:w="708" w:type="dxa"/>
            <w:noWrap/>
          </w:tcPr>
          <w:p w14:paraId="7BB7BD64" w14:textId="18DBF60B" w:rsidR="00BB2CC4" w:rsidRPr="008C7D70" w:rsidRDefault="00BB2CC4" w:rsidP="00F31956">
            <w:r>
              <w:t>7%</w:t>
            </w:r>
          </w:p>
        </w:tc>
        <w:tc>
          <w:tcPr>
            <w:tcW w:w="709" w:type="dxa"/>
            <w:noWrap/>
          </w:tcPr>
          <w:p w14:paraId="52E9A501" w14:textId="77777777" w:rsidR="00BB2CC4" w:rsidRPr="008C7D70" w:rsidRDefault="00BB2CC4" w:rsidP="00F31956">
            <w:r>
              <w:t>8%</w:t>
            </w:r>
          </w:p>
        </w:tc>
        <w:tc>
          <w:tcPr>
            <w:tcW w:w="709" w:type="dxa"/>
            <w:noWrap/>
          </w:tcPr>
          <w:p w14:paraId="686C04FB" w14:textId="77777777" w:rsidR="00BB2CC4" w:rsidRPr="008C7D70" w:rsidRDefault="00BB2CC4" w:rsidP="00F31956">
            <w:r>
              <w:t>7%</w:t>
            </w:r>
          </w:p>
        </w:tc>
        <w:tc>
          <w:tcPr>
            <w:tcW w:w="685" w:type="dxa"/>
          </w:tcPr>
          <w:p w14:paraId="1308076C" w14:textId="77777777" w:rsidR="00BB2CC4" w:rsidRPr="00C62589" w:rsidRDefault="00BB2CC4" w:rsidP="00F31956">
            <w:r>
              <w:t>8%</w:t>
            </w:r>
          </w:p>
        </w:tc>
        <w:tc>
          <w:tcPr>
            <w:tcW w:w="672" w:type="dxa"/>
          </w:tcPr>
          <w:p w14:paraId="361185D7" w14:textId="77777777" w:rsidR="00BB2CC4" w:rsidRPr="00C62589" w:rsidRDefault="00BB2CC4" w:rsidP="00F31956">
            <w:r>
              <w:t>8%</w:t>
            </w:r>
          </w:p>
        </w:tc>
        <w:tc>
          <w:tcPr>
            <w:tcW w:w="672" w:type="dxa"/>
          </w:tcPr>
          <w:p w14:paraId="59484725" w14:textId="77777777" w:rsidR="00BB2CC4" w:rsidRPr="00C62589" w:rsidRDefault="00BB2CC4" w:rsidP="00F31956">
            <w:r>
              <w:t>7%</w:t>
            </w:r>
          </w:p>
        </w:tc>
        <w:tc>
          <w:tcPr>
            <w:tcW w:w="672" w:type="dxa"/>
          </w:tcPr>
          <w:p w14:paraId="44DE3F91" w14:textId="77777777" w:rsidR="00BB2CC4" w:rsidRPr="00C62589" w:rsidRDefault="00BB2CC4" w:rsidP="00F31956">
            <w:r>
              <w:t>5%</w:t>
            </w:r>
          </w:p>
        </w:tc>
        <w:tc>
          <w:tcPr>
            <w:tcW w:w="695" w:type="dxa"/>
          </w:tcPr>
          <w:p w14:paraId="1D397173" w14:textId="77777777" w:rsidR="00BB2CC4" w:rsidRPr="00C62589" w:rsidRDefault="00BB2CC4" w:rsidP="00F31956">
            <w:r>
              <w:t>4%</w:t>
            </w:r>
          </w:p>
        </w:tc>
      </w:tr>
      <w:tr w:rsidR="00BB2CC4" w:rsidRPr="008B5A09" w14:paraId="14D4AD90" w14:textId="77777777" w:rsidTr="00BB2CC4">
        <w:trPr>
          <w:trHeight w:val="265"/>
        </w:trPr>
        <w:tc>
          <w:tcPr>
            <w:tcW w:w="2835" w:type="dxa"/>
            <w:noWrap/>
          </w:tcPr>
          <w:p w14:paraId="10645660" w14:textId="77777777" w:rsidR="00BB2CC4" w:rsidRPr="008C7D70" w:rsidRDefault="00BB2CC4" w:rsidP="00F31956">
            <w:r>
              <w:t xml:space="preserve">Casual </w:t>
            </w:r>
          </w:p>
        </w:tc>
        <w:tc>
          <w:tcPr>
            <w:tcW w:w="713" w:type="dxa"/>
          </w:tcPr>
          <w:p w14:paraId="2F7FA016" w14:textId="7A0DCA3F" w:rsidR="00BB2CC4" w:rsidRDefault="00DE7C85" w:rsidP="00F31956">
            <w:r>
              <w:t>20.7%</w:t>
            </w:r>
          </w:p>
        </w:tc>
        <w:tc>
          <w:tcPr>
            <w:tcW w:w="708" w:type="dxa"/>
            <w:noWrap/>
          </w:tcPr>
          <w:p w14:paraId="745250C0" w14:textId="1BD7590A" w:rsidR="00BB2CC4" w:rsidRPr="008C7D70" w:rsidRDefault="00BB2CC4" w:rsidP="00F31956">
            <w:r>
              <w:t>21%</w:t>
            </w:r>
          </w:p>
        </w:tc>
        <w:tc>
          <w:tcPr>
            <w:tcW w:w="709" w:type="dxa"/>
            <w:noWrap/>
          </w:tcPr>
          <w:p w14:paraId="14F0D894" w14:textId="77777777" w:rsidR="00BB2CC4" w:rsidRPr="008C7D70" w:rsidRDefault="00BB2CC4" w:rsidP="00F31956">
            <w:r>
              <w:t>22%</w:t>
            </w:r>
          </w:p>
        </w:tc>
        <w:tc>
          <w:tcPr>
            <w:tcW w:w="709" w:type="dxa"/>
            <w:noWrap/>
          </w:tcPr>
          <w:p w14:paraId="76B15EEF" w14:textId="77777777" w:rsidR="00BB2CC4" w:rsidRPr="008C7D70" w:rsidRDefault="00BB2CC4" w:rsidP="00F31956">
            <w:r>
              <w:t>22%</w:t>
            </w:r>
          </w:p>
        </w:tc>
        <w:tc>
          <w:tcPr>
            <w:tcW w:w="685" w:type="dxa"/>
          </w:tcPr>
          <w:p w14:paraId="0D93E75F" w14:textId="77777777" w:rsidR="00BB2CC4" w:rsidRPr="00C62589" w:rsidRDefault="00BB2CC4" w:rsidP="00F31956">
            <w:r>
              <w:t>22%</w:t>
            </w:r>
          </w:p>
        </w:tc>
        <w:tc>
          <w:tcPr>
            <w:tcW w:w="672" w:type="dxa"/>
          </w:tcPr>
          <w:p w14:paraId="7E1FD464" w14:textId="77777777" w:rsidR="00BB2CC4" w:rsidRPr="00C62589" w:rsidRDefault="00BB2CC4" w:rsidP="00F31956">
            <w:r>
              <w:t>22%</w:t>
            </w:r>
          </w:p>
        </w:tc>
        <w:tc>
          <w:tcPr>
            <w:tcW w:w="672" w:type="dxa"/>
          </w:tcPr>
          <w:p w14:paraId="2623F8F7" w14:textId="77777777" w:rsidR="00BB2CC4" w:rsidRPr="00C62589" w:rsidRDefault="00BB2CC4" w:rsidP="00F31956">
            <w:r>
              <w:t>22%</w:t>
            </w:r>
          </w:p>
        </w:tc>
        <w:tc>
          <w:tcPr>
            <w:tcW w:w="672" w:type="dxa"/>
          </w:tcPr>
          <w:p w14:paraId="4D12E04A" w14:textId="77777777" w:rsidR="00BB2CC4" w:rsidRPr="00C62589" w:rsidRDefault="00BB2CC4" w:rsidP="00F31956">
            <w:r>
              <w:t>22%</w:t>
            </w:r>
          </w:p>
        </w:tc>
        <w:tc>
          <w:tcPr>
            <w:tcW w:w="695" w:type="dxa"/>
          </w:tcPr>
          <w:p w14:paraId="68335870" w14:textId="77777777" w:rsidR="00BB2CC4" w:rsidRPr="00C62589" w:rsidRDefault="00BB2CC4" w:rsidP="00F31956">
            <w:r>
              <w:t>23%</w:t>
            </w:r>
          </w:p>
        </w:tc>
      </w:tr>
      <w:tr w:rsidR="00BB2CC4" w:rsidRPr="008B5A09" w14:paraId="6356A004" w14:textId="77777777" w:rsidTr="00BB2CC4">
        <w:trPr>
          <w:trHeight w:val="265"/>
        </w:trPr>
        <w:tc>
          <w:tcPr>
            <w:tcW w:w="2835" w:type="dxa"/>
            <w:noWrap/>
          </w:tcPr>
          <w:p w14:paraId="3E131DDE" w14:textId="77777777" w:rsidR="00BB2CC4" w:rsidRDefault="00BB2CC4" w:rsidP="00F31956">
            <w:r>
              <w:t xml:space="preserve">Permanent employee separation rate </w:t>
            </w:r>
          </w:p>
        </w:tc>
        <w:tc>
          <w:tcPr>
            <w:tcW w:w="713" w:type="dxa"/>
          </w:tcPr>
          <w:p w14:paraId="31C2E7A3" w14:textId="5DC7C1E6" w:rsidR="00BB2CC4" w:rsidRDefault="00A62380" w:rsidP="00F31956">
            <w:r>
              <w:t>7.90%</w:t>
            </w:r>
          </w:p>
        </w:tc>
        <w:tc>
          <w:tcPr>
            <w:tcW w:w="708" w:type="dxa"/>
            <w:noWrap/>
          </w:tcPr>
          <w:p w14:paraId="7E6D9C18" w14:textId="04790509" w:rsidR="00BB2CC4" w:rsidRPr="008C7D70" w:rsidRDefault="00BB2CC4" w:rsidP="00F31956">
            <w:r>
              <w:t>5.4%</w:t>
            </w:r>
          </w:p>
        </w:tc>
        <w:tc>
          <w:tcPr>
            <w:tcW w:w="709" w:type="dxa"/>
            <w:noWrap/>
          </w:tcPr>
          <w:p w14:paraId="4E0A4BBD" w14:textId="77777777" w:rsidR="00BB2CC4" w:rsidRPr="008C7D70" w:rsidRDefault="00BB2CC4" w:rsidP="00F31956">
            <w:r>
              <w:t>5.6%</w:t>
            </w:r>
          </w:p>
        </w:tc>
        <w:tc>
          <w:tcPr>
            <w:tcW w:w="709" w:type="dxa"/>
            <w:noWrap/>
          </w:tcPr>
          <w:p w14:paraId="7C0877C9" w14:textId="77777777" w:rsidR="00BB2CC4" w:rsidRPr="008C7D70" w:rsidRDefault="00BB2CC4" w:rsidP="00F31956">
            <w:r>
              <w:t>6.1%</w:t>
            </w:r>
          </w:p>
        </w:tc>
        <w:tc>
          <w:tcPr>
            <w:tcW w:w="685" w:type="dxa"/>
          </w:tcPr>
          <w:p w14:paraId="6BE849F6" w14:textId="77777777" w:rsidR="00BB2CC4" w:rsidRPr="00C62589" w:rsidRDefault="00BB2CC4" w:rsidP="00F31956">
            <w:r>
              <w:t>6%</w:t>
            </w:r>
          </w:p>
        </w:tc>
        <w:tc>
          <w:tcPr>
            <w:tcW w:w="672" w:type="dxa"/>
          </w:tcPr>
          <w:p w14:paraId="496A4A98" w14:textId="77777777" w:rsidR="00BB2CC4" w:rsidRPr="00C62589" w:rsidRDefault="00BB2CC4" w:rsidP="00F31956">
            <w:r>
              <w:t>5%</w:t>
            </w:r>
          </w:p>
        </w:tc>
        <w:tc>
          <w:tcPr>
            <w:tcW w:w="672" w:type="dxa"/>
          </w:tcPr>
          <w:p w14:paraId="0DBC762C" w14:textId="77777777" w:rsidR="00BB2CC4" w:rsidRPr="00C62589" w:rsidRDefault="00BB2CC4" w:rsidP="00F31956">
            <w:r>
              <w:t>5.5%</w:t>
            </w:r>
          </w:p>
        </w:tc>
        <w:tc>
          <w:tcPr>
            <w:tcW w:w="672" w:type="dxa"/>
          </w:tcPr>
          <w:p w14:paraId="120E3E5E" w14:textId="77777777" w:rsidR="00BB2CC4" w:rsidRPr="00C62589" w:rsidRDefault="00BB2CC4" w:rsidP="00F31956">
            <w:r>
              <w:t>5%</w:t>
            </w:r>
          </w:p>
        </w:tc>
        <w:tc>
          <w:tcPr>
            <w:tcW w:w="695" w:type="dxa"/>
          </w:tcPr>
          <w:p w14:paraId="477B6175" w14:textId="77777777" w:rsidR="00BB2CC4" w:rsidRPr="00C62589" w:rsidRDefault="00BB2CC4" w:rsidP="00F31956">
            <w:r>
              <w:t>8%</w:t>
            </w:r>
          </w:p>
        </w:tc>
      </w:tr>
      <w:tr w:rsidR="00BB2CC4" w:rsidRPr="008B5A09" w14:paraId="27BFB8E1" w14:textId="77777777" w:rsidTr="00BB2CC4">
        <w:trPr>
          <w:trHeight w:val="265"/>
        </w:trPr>
        <w:tc>
          <w:tcPr>
            <w:tcW w:w="2835" w:type="dxa"/>
            <w:noWrap/>
          </w:tcPr>
          <w:p w14:paraId="0D45A37B" w14:textId="77777777" w:rsidR="00BB2CC4" w:rsidRDefault="00BB2CC4" w:rsidP="00F31956">
            <w:r>
              <w:t xml:space="preserve">Non-corporate roles </w:t>
            </w:r>
          </w:p>
        </w:tc>
        <w:tc>
          <w:tcPr>
            <w:tcW w:w="713" w:type="dxa"/>
          </w:tcPr>
          <w:p w14:paraId="11F23D58" w14:textId="27CD07AB" w:rsidR="00BB2CC4" w:rsidRDefault="00A62380" w:rsidP="00F31956">
            <w:r>
              <w:t>84%</w:t>
            </w:r>
          </w:p>
        </w:tc>
        <w:tc>
          <w:tcPr>
            <w:tcW w:w="708" w:type="dxa"/>
            <w:noWrap/>
          </w:tcPr>
          <w:p w14:paraId="439D59FC" w14:textId="77FF2318" w:rsidR="00BB2CC4" w:rsidRPr="008C7D70" w:rsidRDefault="00BB2CC4" w:rsidP="00F31956">
            <w:r>
              <w:t>84%</w:t>
            </w:r>
          </w:p>
        </w:tc>
        <w:tc>
          <w:tcPr>
            <w:tcW w:w="709" w:type="dxa"/>
            <w:noWrap/>
          </w:tcPr>
          <w:p w14:paraId="0691EA26" w14:textId="77777777" w:rsidR="00BB2CC4" w:rsidRPr="008C7D70" w:rsidRDefault="00BB2CC4" w:rsidP="00F31956">
            <w:r>
              <w:t>82%</w:t>
            </w:r>
          </w:p>
        </w:tc>
        <w:tc>
          <w:tcPr>
            <w:tcW w:w="709" w:type="dxa"/>
            <w:noWrap/>
          </w:tcPr>
          <w:p w14:paraId="26D05FDD" w14:textId="77777777" w:rsidR="00BB2CC4" w:rsidRPr="008C7D70" w:rsidRDefault="00BB2CC4" w:rsidP="00F31956">
            <w:r>
              <w:t>82%</w:t>
            </w:r>
          </w:p>
        </w:tc>
        <w:tc>
          <w:tcPr>
            <w:tcW w:w="685" w:type="dxa"/>
          </w:tcPr>
          <w:p w14:paraId="22FA73A2" w14:textId="77777777" w:rsidR="00BB2CC4" w:rsidRPr="00C62589" w:rsidRDefault="00BB2CC4" w:rsidP="00F31956">
            <w:r>
              <w:t>82%</w:t>
            </w:r>
          </w:p>
        </w:tc>
        <w:tc>
          <w:tcPr>
            <w:tcW w:w="672" w:type="dxa"/>
          </w:tcPr>
          <w:p w14:paraId="7D32D93A" w14:textId="77777777" w:rsidR="00BB2CC4" w:rsidRPr="00C62589" w:rsidRDefault="00BB2CC4" w:rsidP="00F31956">
            <w:r>
              <w:t>82%</w:t>
            </w:r>
          </w:p>
        </w:tc>
        <w:tc>
          <w:tcPr>
            <w:tcW w:w="672" w:type="dxa"/>
          </w:tcPr>
          <w:p w14:paraId="22C47BEF" w14:textId="77777777" w:rsidR="00BB2CC4" w:rsidRPr="00C62589" w:rsidRDefault="00BB2CC4" w:rsidP="00F31956">
            <w:r>
              <w:t>82%</w:t>
            </w:r>
          </w:p>
        </w:tc>
        <w:tc>
          <w:tcPr>
            <w:tcW w:w="672" w:type="dxa"/>
          </w:tcPr>
          <w:p w14:paraId="66D34F05" w14:textId="77777777" w:rsidR="00BB2CC4" w:rsidRPr="00C62589" w:rsidRDefault="00BB2CC4" w:rsidP="00F31956">
            <w:r>
              <w:t>81%</w:t>
            </w:r>
          </w:p>
        </w:tc>
        <w:tc>
          <w:tcPr>
            <w:tcW w:w="695" w:type="dxa"/>
          </w:tcPr>
          <w:p w14:paraId="538B72CB" w14:textId="77777777" w:rsidR="00BB2CC4" w:rsidRPr="00C62589" w:rsidRDefault="00BB2CC4" w:rsidP="00F31956">
            <w:r>
              <w:t>81%</w:t>
            </w:r>
          </w:p>
        </w:tc>
      </w:tr>
      <w:tr w:rsidR="00BB2CC4" w:rsidRPr="008B5A09" w14:paraId="2BDC4629" w14:textId="77777777" w:rsidTr="00BB2CC4">
        <w:trPr>
          <w:trHeight w:val="265"/>
        </w:trPr>
        <w:tc>
          <w:tcPr>
            <w:tcW w:w="2835" w:type="dxa"/>
            <w:noWrap/>
          </w:tcPr>
          <w:p w14:paraId="01244F22" w14:textId="77777777" w:rsidR="00BB2CC4" w:rsidRDefault="00BB2CC4" w:rsidP="00F31956">
            <w:r>
              <w:t xml:space="preserve">Average age </w:t>
            </w:r>
          </w:p>
        </w:tc>
        <w:tc>
          <w:tcPr>
            <w:tcW w:w="713" w:type="dxa"/>
          </w:tcPr>
          <w:p w14:paraId="704B2F0F" w14:textId="0E1F71AF" w:rsidR="00BB2CC4" w:rsidRDefault="005F702B" w:rsidP="00F31956">
            <w:r>
              <w:t>48.8</w:t>
            </w:r>
          </w:p>
        </w:tc>
        <w:tc>
          <w:tcPr>
            <w:tcW w:w="708" w:type="dxa"/>
            <w:noWrap/>
          </w:tcPr>
          <w:p w14:paraId="68FC7216" w14:textId="2A35E2D1" w:rsidR="00BB2CC4" w:rsidRPr="008C7D70" w:rsidRDefault="00BB2CC4" w:rsidP="00F31956">
            <w:r>
              <w:t>48.5</w:t>
            </w:r>
          </w:p>
        </w:tc>
        <w:tc>
          <w:tcPr>
            <w:tcW w:w="709" w:type="dxa"/>
            <w:noWrap/>
          </w:tcPr>
          <w:p w14:paraId="37B1B2AD" w14:textId="77777777" w:rsidR="00BB2CC4" w:rsidRPr="008C7D70" w:rsidRDefault="00BB2CC4" w:rsidP="00F31956">
            <w:r>
              <w:t>48.3</w:t>
            </w:r>
          </w:p>
        </w:tc>
        <w:tc>
          <w:tcPr>
            <w:tcW w:w="709" w:type="dxa"/>
            <w:noWrap/>
          </w:tcPr>
          <w:p w14:paraId="37205F61" w14:textId="77777777" w:rsidR="00BB2CC4" w:rsidRPr="008C7D70" w:rsidRDefault="00BB2CC4" w:rsidP="00F31956">
            <w:r>
              <w:t>48.1</w:t>
            </w:r>
          </w:p>
        </w:tc>
        <w:tc>
          <w:tcPr>
            <w:tcW w:w="685" w:type="dxa"/>
          </w:tcPr>
          <w:p w14:paraId="6FF7DF7B" w14:textId="77777777" w:rsidR="00BB2CC4" w:rsidRPr="00C62589" w:rsidRDefault="00BB2CC4" w:rsidP="00F31956">
            <w:r>
              <w:t>47.6</w:t>
            </w:r>
          </w:p>
        </w:tc>
        <w:tc>
          <w:tcPr>
            <w:tcW w:w="672" w:type="dxa"/>
          </w:tcPr>
          <w:p w14:paraId="13456A52" w14:textId="77777777" w:rsidR="00BB2CC4" w:rsidRPr="00C62589" w:rsidRDefault="00BB2CC4" w:rsidP="00F31956">
            <w:r>
              <w:t>47.1</w:t>
            </w:r>
          </w:p>
        </w:tc>
        <w:tc>
          <w:tcPr>
            <w:tcW w:w="672" w:type="dxa"/>
          </w:tcPr>
          <w:p w14:paraId="690C9059" w14:textId="77777777" w:rsidR="00BB2CC4" w:rsidRPr="00C62589" w:rsidRDefault="00BB2CC4" w:rsidP="00F31956">
            <w:r>
              <w:t>46.2</w:t>
            </w:r>
          </w:p>
        </w:tc>
        <w:tc>
          <w:tcPr>
            <w:tcW w:w="672" w:type="dxa"/>
          </w:tcPr>
          <w:p w14:paraId="220A87E4" w14:textId="77777777" w:rsidR="00BB2CC4" w:rsidRPr="00C62589" w:rsidRDefault="00BB2CC4" w:rsidP="00F31956">
            <w:r>
              <w:t>45.8</w:t>
            </w:r>
          </w:p>
        </w:tc>
        <w:tc>
          <w:tcPr>
            <w:tcW w:w="695" w:type="dxa"/>
          </w:tcPr>
          <w:p w14:paraId="090BFC57" w14:textId="77777777" w:rsidR="00BB2CC4" w:rsidRPr="00C62589" w:rsidRDefault="00BB2CC4" w:rsidP="00F31956">
            <w:r>
              <w:t>45.1</w:t>
            </w:r>
          </w:p>
        </w:tc>
      </w:tr>
      <w:tr w:rsidR="00BB2CC4" w:rsidRPr="008B5A09" w14:paraId="54E3EA7E" w14:textId="77777777" w:rsidTr="00BB2CC4">
        <w:trPr>
          <w:trHeight w:val="265"/>
        </w:trPr>
        <w:tc>
          <w:tcPr>
            <w:tcW w:w="2835" w:type="dxa"/>
            <w:noWrap/>
          </w:tcPr>
          <w:p w14:paraId="3C7C6158" w14:textId="77777777" w:rsidR="00BB2CC4" w:rsidRDefault="00BB2CC4" w:rsidP="00F31956">
            <w:r>
              <w:t>Manager to employee ratio</w:t>
            </w:r>
          </w:p>
        </w:tc>
        <w:tc>
          <w:tcPr>
            <w:tcW w:w="713" w:type="dxa"/>
          </w:tcPr>
          <w:p w14:paraId="2741A0F3" w14:textId="6177CB38" w:rsidR="00BB2CC4" w:rsidRDefault="005F702B" w:rsidP="00F31956">
            <w:r>
              <w:t>1:6:3</w:t>
            </w:r>
          </w:p>
        </w:tc>
        <w:tc>
          <w:tcPr>
            <w:tcW w:w="708" w:type="dxa"/>
            <w:noWrap/>
          </w:tcPr>
          <w:p w14:paraId="0AAF4DA1" w14:textId="1F62AADD" w:rsidR="00BB2CC4" w:rsidRPr="008C7D70" w:rsidRDefault="00BB2CC4" w:rsidP="00F31956">
            <w:r>
              <w:t>1:6.8</w:t>
            </w:r>
          </w:p>
        </w:tc>
        <w:tc>
          <w:tcPr>
            <w:tcW w:w="709" w:type="dxa"/>
            <w:noWrap/>
          </w:tcPr>
          <w:p w14:paraId="0241D91B" w14:textId="77777777" w:rsidR="00BB2CC4" w:rsidRPr="008C7D70" w:rsidRDefault="00BB2CC4" w:rsidP="00F31956">
            <w:r>
              <w:t>1:7.2</w:t>
            </w:r>
          </w:p>
        </w:tc>
        <w:tc>
          <w:tcPr>
            <w:tcW w:w="709" w:type="dxa"/>
            <w:noWrap/>
          </w:tcPr>
          <w:p w14:paraId="33329C74" w14:textId="77777777" w:rsidR="00BB2CC4" w:rsidRPr="008C7D70" w:rsidRDefault="00BB2CC4" w:rsidP="00F31956">
            <w:r>
              <w:t>1:7.3</w:t>
            </w:r>
          </w:p>
        </w:tc>
        <w:tc>
          <w:tcPr>
            <w:tcW w:w="685" w:type="dxa"/>
          </w:tcPr>
          <w:p w14:paraId="37A8D819" w14:textId="77777777" w:rsidR="00BB2CC4" w:rsidRPr="00C62589" w:rsidRDefault="00BB2CC4" w:rsidP="00F31956">
            <w:r>
              <w:t>1:7.2</w:t>
            </w:r>
          </w:p>
        </w:tc>
        <w:tc>
          <w:tcPr>
            <w:tcW w:w="672" w:type="dxa"/>
          </w:tcPr>
          <w:p w14:paraId="63770C46" w14:textId="77777777" w:rsidR="00BB2CC4" w:rsidRPr="00C62589" w:rsidRDefault="00BB2CC4" w:rsidP="00F31956">
            <w:r>
              <w:t>1:7.5</w:t>
            </w:r>
          </w:p>
        </w:tc>
        <w:tc>
          <w:tcPr>
            <w:tcW w:w="672" w:type="dxa"/>
          </w:tcPr>
          <w:p w14:paraId="691EC76C" w14:textId="77777777" w:rsidR="00BB2CC4" w:rsidRPr="00C62589" w:rsidRDefault="00BB2CC4" w:rsidP="00F31956">
            <w:r>
              <w:t>1:7.9</w:t>
            </w:r>
          </w:p>
        </w:tc>
        <w:tc>
          <w:tcPr>
            <w:tcW w:w="672" w:type="dxa"/>
          </w:tcPr>
          <w:p w14:paraId="5CD56CF3" w14:textId="77777777" w:rsidR="00BB2CC4" w:rsidRPr="00C62589" w:rsidRDefault="00BB2CC4" w:rsidP="00F31956">
            <w:r>
              <w:t>1:8.2</w:t>
            </w:r>
          </w:p>
        </w:tc>
        <w:tc>
          <w:tcPr>
            <w:tcW w:w="695" w:type="dxa"/>
          </w:tcPr>
          <w:p w14:paraId="02C183A4" w14:textId="77777777" w:rsidR="00BB2CC4" w:rsidRPr="00C62589" w:rsidRDefault="00BB2CC4" w:rsidP="00F31956">
            <w:r>
              <w:t>1:10.8</w:t>
            </w:r>
          </w:p>
        </w:tc>
      </w:tr>
      <w:tr w:rsidR="00BB2CC4" w:rsidRPr="008B5A09" w14:paraId="76E3F387" w14:textId="77777777" w:rsidTr="00BB2CC4">
        <w:trPr>
          <w:trHeight w:val="265"/>
        </w:trPr>
        <w:tc>
          <w:tcPr>
            <w:tcW w:w="2835" w:type="dxa"/>
            <w:noWrap/>
          </w:tcPr>
          <w:p w14:paraId="46A7BB4B" w14:textId="77777777" w:rsidR="00BB2CC4" w:rsidRDefault="00BB2CC4" w:rsidP="00F31956">
            <w:r>
              <w:t>SES/SO eligible to retire**</w:t>
            </w:r>
          </w:p>
        </w:tc>
        <w:tc>
          <w:tcPr>
            <w:tcW w:w="713" w:type="dxa"/>
          </w:tcPr>
          <w:p w14:paraId="3FC576D7" w14:textId="49301552" w:rsidR="00BB2CC4" w:rsidRDefault="005F702B" w:rsidP="00F31956">
            <w:r>
              <w:t>16%</w:t>
            </w:r>
          </w:p>
        </w:tc>
        <w:tc>
          <w:tcPr>
            <w:tcW w:w="708" w:type="dxa"/>
            <w:noWrap/>
          </w:tcPr>
          <w:p w14:paraId="2BC8FCB8" w14:textId="08159A19" w:rsidR="00BB2CC4" w:rsidRPr="008C7D70" w:rsidRDefault="00BB2CC4" w:rsidP="00F31956">
            <w:r>
              <w:t>20%</w:t>
            </w:r>
          </w:p>
        </w:tc>
        <w:tc>
          <w:tcPr>
            <w:tcW w:w="709" w:type="dxa"/>
            <w:noWrap/>
          </w:tcPr>
          <w:p w14:paraId="5893FBD4" w14:textId="77777777" w:rsidR="00BB2CC4" w:rsidRPr="008C7D70" w:rsidRDefault="00BB2CC4" w:rsidP="00F31956">
            <w:r>
              <w:t>29%</w:t>
            </w:r>
          </w:p>
        </w:tc>
        <w:tc>
          <w:tcPr>
            <w:tcW w:w="709" w:type="dxa"/>
            <w:noWrap/>
          </w:tcPr>
          <w:p w14:paraId="4030DDD1" w14:textId="77777777" w:rsidR="00BB2CC4" w:rsidRPr="008C7D70" w:rsidRDefault="00BB2CC4" w:rsidP="00F31956">
            <w:r>
              <w:t>29%</w:t>
            </w:r>
          </w:p>
        </w:tc>
        <w:tc>
          <w:tcPr>
            <w:tcW w:w="685" w:type="dxa"/>
          </w:tcPr>
          <w:p w14:paraId="2DBA60AF" w14:textId="77777777" w:rsidR="00BB2CC4" w:rsidRPr="00C62589" w:rsidRDefault="00BB2CC4" w:rsidP="00F31956">
            <w:r>
              <w:t>25%</w:t>
            </w:r>
          </w:p>
        </w:tc>
        <w:tc>
          <w:tcPr>
            <w:tcW w:w="672" w:type="dxa"/>
          </w:tcPr>
          <w:p w14:paraId="621BF788" w14:textId="77777777" w:rsidR="00BB2CC4" w:rsidRPr="00C62589" w:rsidRDefault="00BB2CC4" w:rsidP="00F31956">
            <w:r>
              <w:t>22%</w:t>
            </w:r>
          </w:p>
        </w:tc>
        <w:tc>
          <w:tcPr>
            <w:tcW w:w="672" w:type="dxa"/>
          </w:tcPr>
          <w:p w14:paraId="65F41411" w14:textId="77777777" w:rsidR="00BB2CC4" w:rsidRPr="00C62589" w:rsidRDefault="00BB2CC4" w:rsidP="00F31956">
            <w:r>
              <w:t>22%</w:t>
            </w:r>
          </w:p>
        </w:tc>
        <w:tc>
          <w:tcPr>
            <w:tcW w:w="672" w:type="dxa"/>
          </w:tcPr>
          <w:p w14:paraId="5FB2AD16" w14:textId="77777777" w:rsidR="00BB2CC4" w:rsidRPr="00C62589" w:rsidRDefault="00BB2CC4" w:rsidP="00F31956">
            <w:r>
              <w:t>23%</w:t>
            </w:r>
          </w:p>
        </w:tc>
        <w:tc>
          <w:tcPr>
            <w:tcW w:w="695" w:type="dxa"/>
          </w:tcPr>
          <w:p w14:paraId="64A707D2" w14:textId="77777777" w:rsidR="00BB2CC4" w:rsidRPr="00C62589" w:rsidRDefault="00BB2CC4" w:rsidP="00F31956">
            <w:r>
              <w:t>23%</w:t>
            </w:r>
          </w:p>
        </w:tc>
      </w:tr>
      <w:tr w:rsidR="00BB2CC4" w:rsidRPr="008B5A09" w14:paraId="42DE8786" w14:textId="77777777" w:rsidTr="00BB2CC4">
        <w:trPr>
          <w:trHeight w:val="265"/>
        </w:trPr>
        <w:tc>
          <w:tcPr>
            <w:tcW w:w="2835" w:type="dxa"/>
            <w:noWrap/>
          </w:tcPr>
          <w:p w14:paraId="5B97B275" w14:textId="77777777" w:rsidR="00BB2CC4" w:rsidRDefault="00BB2CC4" w:rsidP="00F31956">
            <w:r>
              <w:t>Located outside SEQ</w:t>
            </w:r>
          </w:p>
        </w:tc>
        <w:tc>
          <w:tcPr>
            <w:tcW w:w="713" w:type="dxa"/>
          </w:tcPr>
          <w:p w14:paraId="1549B108" w14:textId="311290E7" w:rsidR="00BB2CC4" w:rsidRDefault="005F702B" w:rsidP="00F31956">
            <w:r>
              <w:t>30%</w:t>
            </w:r>
          </w:p>
        </w:tc>
        <w:tc>
          <w:tcPr>
            <w:tcW w:w="708" w:type="dxa"/>
            <w:noWrap/>
          </w:tcPr>
          <w:p w14:paraId="65A61E53" w14:textId="389A5F60" w:rsidR="00BB2CC4" w:rsidRPr="008C7D70" w:rsidRDefault="00BB2CC4" w:rsidP="00F31956">
            <w:r>
              <w:t>31%</w:t>
            </w:r>
          </w:p>
        </w:tc>
        <w:tc>
          <w:tcPr>
            <w:tcW w:w="709" w:type="dxa"/>
            <w:noWrap/>
          </w:tcPr>
          <w:p w14:paraId="30E63E9B" w14:textId="77777777" w:rsidR="00BB2CC4" w:rsidRPr="008C7D70" w:rsidRDefault="00BB2CC4" w:rsidP="00F31956">
            <w:r>
              <w:t>31%</w:t>
            </w:r>
          </w:p>
        </w:tc>
        <w:tc>
          <w:tcPr>
            <w:tcW w:w="709" w:type="dxa"/>
            <w:noWrap/>
          </w:tcPr>
          <w:p w14:paraId="0BFC7BBB" w14:textId="77777777" w:rsidR="00BB2CC4" w:rsidRPr="008C7D70" w:rsidRDefault="00BB2CC4" w:rsidP="00F31956">
            <w:r>
              <w:t>32%</w:t>
            </w:r>
          </w:p>
        </w:tc>
        <w:tc>
          <w:tcPr>
            <w:tcW w:w="685" w:type="dxa"/>
          </w:tcPr>
          <w:p w14:paraId="702369FB" w14:textId="77777777" w:rsidR="00BB2CC4" w:rsidRPr="00C62589" w:rsidRDefault="00BB2CC4" w:rsidP="00F31956">
            <w:r>
              <w:t>32%</w:t>
            </w:r>
          </w:p>
        </w:tc>
        <w:tc>
          <w:tcPr>
            <w:tcW w:w="672" w:type="dxa"/>
          </w:tcPr>
          <w:p w14:paraId="19A5B31A" w14:textId="77777777" w:rsidR="00BB2CC4" w:rsidRPr="00C62589" w:rsidRDefault="00BB2CC4" w:rsidP="00F31956">
            <w:r>
              <w:t>36%</w:t>
            </w:r>
          </w:p>
        </w:tc>
        <w:tc>
          <w:tcPr>
            <w:tcW w:w="672" w:type="dxa"/>
          </w:tcPr>
          <w:p w14:paraId="04D4BC19" w14:textId="77777777" w:rsidR="00BB2CC4" w:rsidRPr="00C62589" w:rsidRDefault="00BB2CC4" w:rsidP="00F31956">
            <w:r>
              <w:t>36%</w:t>
            </w:r>
          </w:p>
        </w:tc>
        <w:tc>
          <w:tcPr>
            <w:tcW w:w="672" w:type="dxa"/>
          </w:tcPr>
          <w:p w14:paraId="7040C1C7" w14:textId="77777777" w:rsidR="00BB2CC4" w:rsidRPr="00C62589" w:rsidRDefault="00BB2CC4" w:rsidP="00F31956">
            <w:r>
              <w:t>37%</w:t>
            </w:r>
          </w:p>
        </w:tc>
        <w:tc>
          <w:tcPr>
            <w:tcW w:w="695" w:type="dxa"/>
          </w:tcPr>
          <w:p w14:paraId="7F56E00E" w14:textId="77777777" w:rsidR="00BB2CC4" w:rsidRPr="00C62589" w:rsidRDefault="00BB2CC4" w:rsidP="00F31956">
            <w:r>
              <w:t>38%</w:t>
            </w:r>
          </w:p>
        </w:tc>
      </w:tr>
      <w:tr w:rsidR="00BB2CC4" w:rsidRPr="008B5A09" w14:paraId="1CEC23D5" w14:textId="77777777" w:rsidTr="00BB2CC4">
        <w:trPr>
          <w:trHeight w:val="265"/>
        </w:trPr>
        <w:tc>
          <w:tcPr>
            <w:tcW w:w="2835" w:type="dxa"/>
            <w:noWrap/>
          </w:tcPr>
          <w:p w14:paraId="6E02050E" w14:textId="77777777" w:rsidR="00BB2CC4" w:rsidRDefault="00BB2CC4" w:rsidP="00F31956">
            <w:r>
              <w:t xml:space="preserve">Average retirement age </w:t>
            </w:r>
          </w:p>
        </w:tc>
        <w:tc>
          <w:tcPr>
            <w:tcW w:w="713" w:type="dxa"/>
          </w:tcPr>
          <w:p w14:paraId="14E78FC8" w14:textId="562F6487" w:rsidR="00BB2CC4" w:rsidRDefault="005F702B" w:rsidP="00F31956">
            <w:r>
              <w:t>63.9</w:t>
            </w:r>
          </w:p>
        </w:tc>
        <w:tc>
          <w:tcPr>
            <w:tcW w:w="708" w:type="dxa"/>
            <w:noWrap/>
          </w:tcPr>
          <w:p w14:paraId="5E88E112" w14:textId="6FCC8A6E" w:rsidR="00BB2CC4" w:rsidRPr="008C7D70" w:rsidRDefault="00BB2CC4" w:rsidP="00F31956">
            <w:r>
              <w:t>64.5</w:t>
            </w:r>
          </w:p>
        </w:tc>
        <w:tc>
          <w:tcPr>
            <w:tcW w:w="709" w:type="dxa"/>
            <w:noWrap/>
          </w:tcPr>
          <w:p w14:paraId="442F5A76" w14:textId="77777777" w:rsidR="00BB2CC4" w:rsidRPr="008C7D70" w:rsidRDefault="00BB2CC4" w:rsidP="00F31956">
            <w:r>
              <w:t>64.2</w:t>
            </w:r>
          </w:p>
        </w:tc>
        <w:tc>
          <w:tcPr>
            <w:tcW w:w="709" w:type="dxa"/>
            <w:noWrap/>
          </w:tcPr>
          <w:p w14:paraId="67AE426C" w14:textId="77777777" w:rsidR="00BB2CC4" w:rsidRPr="008C7D70" w:rsidRDefault="00BB2CC4" w:rsidP="00F31956">
            <w:r>
              <w:t>63.9</w:t>
            </w:r>
          </w:p>
        </w:tc>
        <w:tc>
          <w:tcPr>
            <w:tcW w:w="685" w:type="dxa"/>
          </w:tcPr>
          <w:p w14:paraId="2337161B" w14:textId="77777777" w:rsidR="00BB2CC4" w:rsidRPr="00C62589" w:rsidRDefault="00BB2CC4" w:rsidP="00F31956">
            <w:r>
              <w:t>64.3</w:t>
            </w:r>
          </w:p>
        </w:tc>
        <w:tc>
          <w:tcPr>
            <w:tcW w:w="672" w:type="dxa"/>
          </w:tcPr>
          <w:p w14:paraId="1357E0BA" w14:textId="77777777" w:rsidR="00BB2CC4" w:rsidRPr="00C62589" w:rsidRDefault="00BB2CC4" w:rsidP="00F31956">
            <w:r>
              <w:t>62.9</w:t>
            </w:r>
          </w:p>
        </w:tc>
        <w:tc>
          <w:tcPr>
            <w:tcW w:w="672" w:type="dxa"/>
          </w:tcPr>
          <w:p w14:paraId="2D550E06" w14:textId="77777777" w:rsidR="00BB2CC4" w:rsidRPr="00C62589" w:rsidRDefault="00BB2CC4" w:rsidP="00F31956">
            <w:r>
              <w:t>63.8</w:t>
            </w:r>
          </w:p>
        </w:tc>
        <w:tc>
          <w:tcPr>
            <w:tcW w:w="672" w:type="dxa"/>
          </w:tcPr>
          <w:p w14:paraId="3307B67A" w14:textId="77777777" w:rsidR="00BB2CC4" w:rsidRPr="00C62589" w:rsidRDefault="00BB2CC4" w:rsidP="00F31956">
            <w:r>
              <w:t>63.1</w:t>
            </w:r>
          </w:p>
        </w:tc>
        <w:tc>
          <w:tcPr>
            <w:tcW w:w="695" w:type="dxa"/>
          </w:tcPr>
          <w:p w14:paraId="49F025EF" w14:textId="77777777" w:rsidR="00BB2CC4" w:rsidRPr="00C62589" w:rsidRDefault="00BB2CC4" w:rsidP="00F31956">
            <w:r>
              <w:t>62.7</w:t>
            </w:r>
          </w:p>
        </w:tc>
      </w:tr>
      <w:tr w:rsidR="00BB2CC4" w:rsidRPr="008B5A09" w14:paraId="7B89E73B" w14:textId="77777777" w:rsidTr="00BB2CC4">
        <w:trPr>
          <w:trHeight w:val="265"/>
        </w:trPr>
        <w:tc>
          <w:tcPr>
            <w:tcW w:w="2835" w:type="dxa"/>
            <w:noWrap/>
          </w:tcPr>
          <w:p w14:paraId="2A276C56" w14:textId="77777777" w:rsidR="00BB2CC4" w:rsidRDefault="00BB2CC4" w:rsidP="00F31956">
            <w:r>
              <w:t xml:space="preserve">Average length of service </w:t>
            </w:r>
          </w:p>
        </w:tc>
        <w:tc>
          <w:tcPr>
            <w:tcW w:w="713" w:type="dxa"/>
          </w:tcPr>
          <w:p w14:paraId="36FA1E58" w14:textId="312736D9" w:rsidR="00BB2CC4" w:rsidRDefault="005F702B" w:rsidP="00F31956">
            <w:r>
              <w:t>10.58</w:t>
            </w:r>
          </w:p>
        </w:tc>
        <w:tc>
          <w:tcPr>
            <w:tcW w:w="708" w:type="dxa"/>
            <w:noWrap/>
          </w:tcPr>
          <w:p w14:paraId="4573DD6F" w14:textId="7BEC6560" w:rsidR="00BB2CC4" w:rsidRPr="008C7D70" w:rsidRDefault="00BB2CC4" w:rsidP="00F31956">
            <w:r>
              <w:t>10.58</w:t>
            </w:r>
          </w:p>
        </w:tc>
        <w:tc>
          <w:tcPr>
            <w:tcW w:w="709" w:type="dxa"/>
            <w:noWrap/>
          </w:tcPr>
          <w:p w14:paraId="0902BC07" w14:textId="77777777" w:rsidR="00BB2CC4" w:rsidRPr="008C7D70" w:rsidRDefault="00BB2CC4" w:rsidP="00F31956">
            <w:r>
              <w:t>10.29</w:t>
            </w:r>
          </w:p>
        </w:tc>
        <w:tc>
          <w:tcPr>
            <w:tcW w:w="709" w:type="dxa"/>
            <w:noWrap/>
          </w:tcPr>
          <w:p w14:paraId="48F3FDB5" w14:textId="77777777" w:rsidR="00BB2CC4" w:rsidRPr="008C7D70" w:rsidRDefault="00BB2CC4" w:rsidP="00F31956">
            <w:r>
              <w:t>10.26</w:t>
            </w:r>
          </w:p>
        </w:tc>
        <w:tc>
          <w:tcPr>
            <w:tcW w:w="685" w:type="dxa"/>
          </w:tcPr>
          <w:p w14:paraId="5358E630" w14:textId="77777777" w:rsidR="00BB2CC4" w:rsidRPr="00C62589" w:rsidRDefault="00BB2CC4" w:rsidP="00F31956">
            <w:r>
              <w:t>10.08</w:t>
            </w:r>
          </w:p>
        </w:tc>
        <w:tc>
          <w:tcPr>
            <w:tcW w:w="672" w:type="dxa"/>
          </w:tcPr>
          <w:p w14:paraId="1483ACB0" w14:textId="77777777" w:rsidR="00BB2CC4" w:rsidRPr="00C62589" w:rsidRDefault="00BB2CC4" w:rsidP="00F31956">
            <w:r>
              <w:t>9.84</w:t>
            </w:r>
          </w:p>
        </w:tc>
        <w:tc>
          <w:tcPr>
            <w:tcW w:w="672" w:type="dxa"/>
          </w:tcPr>
          <w:p w14:paraId="1A8488F9" w14:textId="77777777" w:rsidR="00BB2CC4" w:rsidRPr="00C62589" w:rsidRDefault="00BB2CC4" w:rsidP="00F31956">
            <w:r>
              <w:t>n/a</w:t>
            </w:r>
          </w:p>
        </w:tc>
        <w:tc>
          <w:tcPr>
            <w:tcW w:w="672" w:type="dxa"/>
          </w:tcPr>
          <w:p w14:paraId="6987724D" w14:textId="77777777" w:rsidR="00BB2CC4" w:rsidRPr="00C62589" w:rsidRDefault="00BB2CC4" w:rsidP="00F31956">
            <w:r>
              <w:t>n/a</w:t>
            </w:r>
          </w:p>
        </w:tc>
        <w:tc>
          <w:tcPr>
            <w:tcW w:w="695" w:type="dxa"/>
          </w:tcPr>
          <w:p w14:paraId="0C38D682" w14:textId="77777777" w:rsidR="00BB2CC4" w:rsidRPr="00C62589" w:rsidRDefault="00BB2CC4" w:rsidP="00F31956">
            <w:r>
              <w:t>n/a</w:t>
            </w:r>
          </w:p>
        </w:tc>
      </w:tr>
      <w:tr w:rsidR="00BB2CC4" w:rsidRPr="008B5A09" w14:paraId="608C6DF0" w14:textId="77777777" w:rsidTr="00BB2CC4">
        <w:trPr>
          <w:trHeight w:val="265"/>
        </w:trPr>
        <w:tc>
          <w:tcPr>
            <w:tcW w:w="2835" w:type="dxa"/>
            <w:noWrap/>
          </w:tcPr>
          <w:p w14:paraId="7478B080" w14:textId="77777777" w:rsidR="00BB2CC4" w:rsidRDefault="00BB2CC4" w:rsidP="00F31956">
            <w:r>
              <w:t>Occupational groups</w:t>
            </w:r>
          </w:p>
        </w:tc>
        <w:tc>
          <w:tcPr>
            <w:tcW w:w="713" w:type="dxa"/>
          </w:tcPr>
          <w:p w14:paraId="19260095" w14:textId="0A938BCA" w:rsidR="00BB2CC4" w:rsidRDefault="005F702B" w:rsidP="00F31956">
            <w:r>
              <w:t>79</w:t>
            </w:r>
          </w:p>
        </w:tc>
        <w:tc>
          <w:tcPr>
            <w:tcW w:w="708" w:type="dxa"/>
            <w:noWrap/>
          </w:tcPr>
          <w:p w14:paraId="55181842" w14:textId="09122BC6" w:rsidR="00BB2CC4" w:rsidRPr="008C7D70" w:rsidRDefault="00BB2CC4" w:rsidP="00F31956">
            <w:r>
              <w:t>79</w:t>
            </w:r>
          </w:p>
        </w:tc>
        <w:tc>
          <w:tcPr>
            <w:tcW w:w="709" w:type="dxa"/>
            <w:noWrap/>
          </w:tcPr>
          <w:p w14:paraId="18677C43" w14:textId="77777777" w:rsidR="00BB2CC4" w:rsidRPr="008C7D70" w:rsidRDefault="00BB2CC4" w:rsidP="00F31956">
            <w:r>
              <w:t>79</w:t>
            </w:r>
          </w:p>
        </w:tc>
        <w:tc>
          <w:tcPr>
            <w:tcW w:w="709" w:type="dxa"/>
            <w:noWrap/>
          </w:tcPr>
          <w:p w14:paraId="5516D97A" w14:textId="77777777" w:rsidR="00BB2CC4" w:rsidRPr="008C7D70" w:rsidRDefault="00BB2CC4" w:rsidP="00F31956">
            <w:r>
              <w:t>79</w:t>
            </w:r>
          </w:p>
        </w:tc>
        <w:tc>
          <w:tcPr>
            <w:tcW w:w="685" w:type="dxa"/>
          </w:tcPr>
          <w:p w14:paraId="68A1ED91" w14:textId="77777777" w:rsidR="00BB2CC4" w:rsidRPr="00C62589" w:rsidRDefault="00BB2CC4" w:rsidP="00F31956">
            <w:r>
              <w:t>79</w:t>
            </w:r>
          </w:p>
        </w:tc>
        <w:tc>
          <w:tcPr>
            <w:tcW w:w="672" w:type="dxa"/>
          </w:tcPr>
          <w:p w14:paraId="2723C21F" w14:textId="77777777" w:rsidR="00BB2CC4" w:rsidRPr="00C62589" w:rsidRDefault="00BB2CC4" w:rsidP="00F31956">
            <w:r>
              <w:t>80</w:t>
            </w:r>
          </w:p>
        </w:tc>
        <w:tc>
          <w:tcPr>
            <w:tcW w:w="672" w:type="dxa"/>
          </w:tcPr>
          <w:p w14:paraId="21DAEF10" w14:textId="77777777" w:rsidR="00BB2CC4" w:rsidRPr="00C62589" w:rsidRDefault="00BB2CC4" w:rsidP="00F31956">
            <w:r>
              <w:t>79</w:t>
            </w:r>
          </w:p>
        </w:tc>
        <w:tc>
          <w:tcPr>
            <w:tcW w:w="672" w:type="dxa"/>
          </w:tcPr>
          <w:p w14:paraId="6711FD72" w14:textId="77777777" w:rsidR="00BB2CC4" w:rsidRPr="00C62589" w:rsidRDefault="00BB2CC4" w:rsidP="00F31956">
            <w:r>
              <w:t>80</w:t>
            </w:r>
          </w:p>
        </w:tc>
        <w:tc>
          <w:tcPr>
            <w:tcW w:w="695" w:type="dxa"/>
          </w:tcPr>
          <w:p w14:paraId="3834E6F1" w14:textId="77777777" w:rsidR="00BB2CC4" w:rsidRPr="00C62589" w:rsidRDefault="00BB2CC4" w:rsidP="00F31956">
            <w:r>
              <w:t>80</w:t>
            </w:r>
          </w:p>
        </w:tc>
      </w:tr>
      <w:tr w:rsidR="00BB2CC4" w:rsidRPr="008B5A09" w14:paraId="1A7C19EF" w14:textId="77777777" w:rsidTr="00BB2CC4">
        <w:trPr>
          <w:trHeight w:val="265"/>
        </w:trPr>
        <w:tc>
          <w:tcPr>
            <w:tcW w:w="2835" w:type="dxa"/>
            <w:noWrap/>
          </w:tcPr>
          <w:p w14:paraId="0662677C" w14:textId="77777777" w:rsidR="00BB2CC4" w:rsidRDefault="00BB2CC4" w:rsidP="00F31956">
            <w:r>
              <w:t xml:space="preserve">Permanent Retention Rate </w:t>
            </w:r>
          </w:p>
        </w:tc>
        <w:tc>
          <w:tcPr>
            <w:tcW w:w="713" w:type="dxa"/>
          </w:tcPr>
          <w:p w14:paraId="72ED3F61" w14:textId="4C9517D6" w:rsidR="00BB2CC4" w:rsidRDefault="005F702B" w:rsidP="00F31956">
            <w:r>
              <w:t>92.6%</w:t>
            </w:r>
          </w:p>
        </w:tc>
        <w:tc>
          <w:tcPr>
            <w:tcW w:w="708" w:type="dxa"/>
            <w:noWrap/>
          </w:tcPr>
          <w:p w14:paraId="0828A49E" w14:textId="72098982" w:rsidR="00BB2CC4" w:rsidRPr="008C7D70" w:rsidRDefault="00BB2CC4" w:rsidP="00F31956">
            <w:r>
              <w:t>94.9%</w:t>
            </w:r>
          </w:p>
        </w:tc>
        <w:tc>
          <w:tcPr>
            <w:tcW w:w="709" w:type="dxa"/>
            <w:noWrap/>
          </w:tcPr>
          <w:p w14:paraId="1A3FE717" w14:textId="77777777" w:rsidR="00BB2CC4" w:rsidRPr="008C7D70" w:rsidRDefault="00BB2CC4" w:rsidP="00F31956">
            <w:r>
              <w:t>94.7%</w:t>
            </w:r>
          </w:p>
        </w:tc>
        <w:tc>
          <w:tcPr>
            <w:tcW w:w="709" w:type="dxa"/>
            <w:noWrap/>
          </w:tcPr>
          <w:p w14:paraId="20911ED8" w14:textId="77777777" w:rsidR="00BB2CC4" w:rsidRPr="008C7D70" w:rsidRDefault="00BB2CC4" w:rsidP="00F31956">
            <w:r>
              <w:t>94.1%</w:t>
            </w:r>
          </w:p>
        </w:tc>
        <w:tc>
          <w:tcPr>
            <w:tcW w:w="685" w:type="dxa"/>
          </w:tcPr>
          <w:p w14:paraId="7A5914DD" w14:textId="77777777" w:rsidR="00BB2CC4" w:rsidRPr="00C62589" w:rsidRDefault="00BB2CC4" w:rsidP="00F31956">
            <w:r>
              <w:t>94.4%</w:t>
            </w:r>
          </w:p>
        </w:tc>
        <w:tc>
          <w:tcPr>
            <w:tcW w:w="672" w:type="dxa"/>
          </w:tcPr>
          <w:p w14:paraId="46825EAB" w14:textId="77777777" w:rsidR="00BB2CC4" w:rsidRPr="00C62589" w:rsidRDefault="00BB2CC4" w:rsidP="00F31956"/>
        </w:tc>
        <w:tc>
          <w:tcPr>
            <w:tcW w:w="672" w:type="dxa"/>
          </w:tcPr>
          <w:p w14:paraId="12768DAE" w14:textId="77777777" w:rsidR="00BB2CC4" w:rsidRPr="00C62589" w:rsidRDefault="00BB2CC4" w:rsidP="00F31956"/>
        </w:tc>
        <w:tc>
          <w:tcPr>
            <w:tcW w:w="672" w:type="dxa"/>
          </w:tcPr>
          <w:p w14:paraId="69261198" w14:textId="77777777" w:rsidR="00BB2CC4" w:rsidRPr="00C62589" w:rsidRDefault="00BB2CC4" w:rsidP="00F31956"/>
        </w:tc>
        <w:tc>
          <w:tcPr>
            <w:tcW w:w="695" w:type="dxa"/>
          </w:tcPr>
          <w:p w14:paraId="747DD5B3" w14:textId="77777777" w:rsidR="00BB2CC4" w:rsidRPr="00C62589" w:rsidRDefault="00BB2CC4" w:rsidP="00F31956"/>
        </w:tc>
      </w:tr>
    </w:tbl>
    <w:p w14:paraId="25FB9A80" w14:textId="77777777" w:rsidR="006800C7" w:rsidRPr="008C7D70" w:rsidRDefault="006800C7" w:rsidP="006800C7"/>
    <w:p w14:paraId="4062EE93" w14:textId="77777777" w:rsidR="006800C7" w:rsidRDefault="006800C7" w:rsidP="006800C7">
      <w:pPr>
        <w:pStyle w:val="Subtitle"/>
      </w:pPr>
    </w:p>
    <w:p w14:paraId="1B9715EE" w14:textId="0E310280" w:rsidR="00F000AA" w:rsidRDefault="001D2DBE" w:rsidP="001D2DBE">
      <w:pPr>
        <w:rPr>
          <w:rFonts w:eastAsiaTheme="minorEastAsia" w:cstheme="minorBidi"/>
          <w:i/>
          <w:color w:val="595959" w:themeColor="text1" w:themeTint="A6"/>
          <w:sz w:val="16"/>
        </w:rPr>
      </w:pPr>
      <w:r w:rsidRPr="001D2DBE">
        <w:rPr>
          <w:rFonts w:eastAsiaTheme="minorEastAsia" w:cstheme="minorBidi"/>
          <w:i/>
          <w:color w:val="595959" w:themeColor="text1" w:themeTint="A6"/>
          <w:sz w:val="16"/>
        </w:rPr>
        <w:lastRenderedPageBreak/>
        <w:t>Data source: TMR SAP Business Warehouse.</w:t>
      </w:r>
      <w:r>
        <w:rPr>
          <w:rFonts w:eastAsiaTheme="minorEastAsia" w:cstheme="minorBidi"/>
          <w:i/>
          <w:color w:val="595959" w:themeColor="text1" w:themeTint="A6"/>
          <w:sz w:val="16"/>
        </w:rPr>
        <w:br/>
      </w:r>
      <w:r w:rsidRPr="001D2DBE">
        <w:rPr>
          <w:rFonts w:eastAsiaTheme="minorEastAsia" w:cstheme="minorBidi"/>
          <w:i/>
          <w:color w:val="595959" w:themeColor="text1" w:themeTint="A6"/>
          <w:sz w:val="16"/>
        </w:rPr>
        <w:t>Note: Unless noted percentages have been rounded to the nearest whole number. Permanent, Temporary, Casual, Average age, Average retirement age, Average length of Service and permanent retention rate rounded to first decimal place.</w:t>
      </w:r>
      <w:r>
        <w:rPr>
          <w:rFonts w:eastAsiaTheme="minorEastAsia" w:cstheme="minorBidi"/>
          <w:i/>
          <w:color w:val="595959" w:themeColor="text1" w:themeTint="A6"/>
          <w:sz w:val="16"/>
        </w:rPr>
        <w:br/>
      </w:r>
      <w:r w:rsidRPr="001D2DBE">
        <w:rPr>
          <w:rFonts w:eastAsiaTheme="minorEastAsia" w:cstheme="minorBidi"/>
          <w:i/>
          <w:color w:val="595959" w:themeColor="text1" w:themeTint="A6"/>
          <w:sz w:val="16"/>
        </w:rPr>
        <w:t>*From 1 July 2019 the methodology for calculating the number of public sector full-time equivalent (FTE) workers was amended. The Review into Queensland Public Sector Workforce Stage One – Reporting, undertaken by Professor Peter Coaldrake recommended a shift in methodology from calculating the number of public sector workers by their substantive appointment, to calculating the number of public sector workers by where they are actually paid.</w:t>
      </w:r>
      <w:r>
        <w:rPr>
          <w:rFonts w:eastAsiaTheme="minorEastAsia" w:cstheme="minorBidi"/>
          <w:i/>
          <w:color w:val="595959" w:themeColor="text1" w:themeTint="A6"/>
          <w:sz w:val="16"/>
        </w:rPr>
        <w:br/>
      </w:r>
      <w:r w:rsidRPr="001D2DBE">
        <w:rPr>
          <w:rFonts w:eastAsiaTheme="minorEastAsia" w:cstheme="minorBidi"/>
          <w:i/>
          <w:color w:val="595959" w:themeColor="text1" w:themeTint="A6"/>
          <w:sz w:val="16"/>
        </w:rPr>
        <w:t>** SES/SO employee’s birth date and the preservation age has been interrogated to provide the most accurate information on retirement date. FTE data for fortnight ending 17 June 2022.</w:t>
      </w:r>
    </w:p>
    <w:p w14:paraId="7602C223" w14:textId="5630563F" w:rsidR="001C7681" w:rsidRDefault="001C7681" w:rsidP="001C7681">
      <w:pPr>
        <w:rPr>
          <w:rStyle w:val="Strong"/>
        </w:rPr>
      </w:pPr>
      <w:r>
        <w:rPr>
          <w:rStyle w:val="Strong"/>
        </w:rPr>
        <w:t xml:space="preserve">Table 5: </w:t>
      </w:r>
      <w:r w:rsidR="00FF5D45">
        <w:rPr>
          <w:rStyle w:val="Strong"/>
        </w:rPr>
        <w:t>Workforce Profile Data as at 17 June 2022</w:t>
      </w:r>
    </w:p>
    <w:tbl>
      <w:tblPr>
        <w:tblStyle w:val="Style1"/>
        <w:tblW w:w="9070" w:type="dxa"/>
        <w:tblLook w:val="04A0" w:firstRow="1" w:lastRow="0" w:firstColumn="1" w:lastColumn="0" w:noHBand="0" w:noVBand="1"/>
      </w:tblPr>
      <w:tblGrid>
        <w:gridCol w:w="732"/>
        <w:gridCol w:w="1258"/>
        <w:gridCol w:w="860"/>
        <w:gridCol w:w="1540"/>
        <w:gridCol w:w="927"/>
        <w:gridCol w:w="1268"/>
        <w:gridCol w:w="1351"/>
        <w:gridCol w:w="1134"/>
      </w:tblGrid>
      <w:tr w:rsidR="000F50F0" w:rsidRPr="004E3D24" w14:paraId="6470D2A7" w14:textId="77777777" w:rsidTr="000F50F0">
        <w:trPr>
          <w:cnfStyle w:val="100000000000" w:firstRow="1" w:lastRow="0" w:firstColumn="0" w:lastColumn="0" w:oddVBand="0" w:evenVBand="0" w:oddHBand="0" w:evenHBand="0" w:firstRowFirstColumn="0" w:firstRowLastColumn="0" w:lastRowFirstColumn="0" w:lastRowLastColumn="0"/>
          <w:trHeight w:val="285"/>
        </w:trPr>
        <w:tc>
          <w:tcPr>
            <w:tcW w:w="718" w:type="dxa"/>
            <w:hideMark/>
          </w:tcPr>
          <w:p w14:paraId="4B38DDA6" w14:textId="77777777" w:rsidR="004E3D24" w:rsidRPr="004E3D24" w:rsidRDefault="004E3D24" w:rsidP="004E3D24">
            <w:pPr>
              <w:spacing w:before="0" w:line="240" w:lineRule="auto"/>
              <w:rPr>
                <w:rFonts w:eastAsia="Times New Roman" w:cs="Times New Roman"/>
                <w:color w:val="auto"/>
                <w:sz w:val="20"/>
                <w:szCs w:val="24"/>
                <w:lang w:eastAsia="en-AU"/>
              </w:rPr>
            </w:pPr>
          </w:p>
        </w:tc>
        <w:tc>
          <w:tcPr>
            <w:tcW w:w="1228" w:type="dxa"/>
            <w:hideMark/>
          </w:tcPr>
          <w:p w14:paraId="5F9C15F4" w14:textId="77777777" w:rsidR="004E3D24" w:rsidRPr="004E3D24" w:rsidRDefault="004E3D24" w:rsidP="004E3D24">
            <w:pPr>
              <w:spacing w:before="0" w:line="240" w:lineRule="auto"/>
              <w:rPr>
                <w:rFonts w:eastAsia="Times New Roman" w:cs="Times New Roman"/>
                <w:color w:val="auto"/>
                <w:sz w:val="20"/>
                <w:szCs w:val="20"/>
                <w:lang w:eastAsia="en-AU"/>
              </w:rPr>
            </w:pPr>
          </w:p>
        </w:tc>
        <w:tc>
          <w:tcPr>
            <w:tcW w:w="6016" w:type="dxa"/>
            <w:gridSpan w:val="5"/>
            <w:hideMark/>
          </w:tcPr>
          <w:p w14:paraId="02030AA9" w14:textId="77777777" w:rsidR="004E3D24" w:rsidRPr="004E3D24" w:rsidRDefault="004E3D24" w:rsidP="004E3D24">
            <w:pPr>
              <w:spacing w:before="0" w:line="240" w:lineRule="auto"/>
              <w:jc w:val="center"/>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Diversity Groups</w:t>
            </w:r>
          </w:p>
        </w:tc>
        <w:tc>
          <w:tcPr>
            <w:tcW w:w="1108" w:type="dxa"/>
            <w:hideMark/>
          </w:tcPr>
          <w:p w14:paraId="49BCA0C7" w14:textId="77777777" w:rsidR="004E3D24" w:rsidRPr="004E3D24" w:rsidRDefault="004E3D24" w:rsidP="004E3D24">
            <w:pPr>
              <w:spacing w:before="0" w:line="240" w:lineRule="auto"/>
              <w:jc w:val="center"/>
              <w:rPr>
                <w:rFonts w:ascii="Arial" w:eastAsia="Times New Roman" w:hAnsi="Arial"/>
                <w:color w:val="auto"/>
                <w:sz w:val="20"/>
                <w:szCs w:val="20"/>
                <w:lang w:eastAsia="en-AU"/>
              </w:rPr>
            </w:pPr>
          </w:p>
        </w:tc>
      </w:tr>
      <w:tr w:rsidR="00F91E15" w:rsidRPr="004E3D24" w14:paraId="21DB68CB" w14:textId="77777777" w:rsidTr="000F50F0">
        <w:trPr>
          <w:trHeight w:val="3755"/>
        </w:trPr>
        <w:tc>
          <w:tcPr>
            <w:tcW w:w="718" w:type="dxa"/>
            <w:hideMark/>
          </w:tcPr>
          <w:p w14:paraId="574E31C6" w14:textId="77777777" w:rsidR="004E3D24" w:rsidRPr="004E3D24" w:rsidRDefault="004E3D24" w:rsidP="004E3D24">
            <w:pPr>
              <w:spacing w:before="0" w:line="240" w:lineRule="auto"/>
              <w:jc w:val="center"/>
              <w:rPr>
                <w:rFonts w:eastAsia="Times New Roman" w:cs="Times New Roman"/>
                <w:color w:val="auto"/>
                <w:sz w:val="20"/>
                <w:szCs w:val="20"/>
                <w:lang w:eastAsia="en-AU"/>
              </w:rPr>
            </w:pPr>
          </w:p>
        </w:tc>
        <w:tc>
          <w:tcPr>
            <w:tcW w:w="1228" w:type="dxa"/>
            <w:hideMark/>
          </w:tcPr>
          <w:p w14:paraId="6DD8625A" w14:textId="77777777" w:rsidR="004E3D24" w:rsidRPr="004E3D24" w:rsidRDefault="004E3D24" w:rsidP="004E3D24">
            <w:pPr>
              <w:spacing w:before="0" w:line="240" w:lineRule="auto"/>
              <w:rPr>
                <w:rFonts w:eastAsia="Times New Roman" w:cs="Times New Roman"/>
                <w:color w:val="auto"/>
                <w:sz w:val="20"/>
                <w:szCs w:val="20"/>
                <w:lang w:eastAsia="en-AU"/>
              </w:rPr>
            </w:pPr>
          </w:p>
        </w:tc>
        <w:tc>
          <w:tcPr>
            <w:tcW w:w="910" w:type="dxa"/>
            <w:hideMark/>
          </w:tcPr>
          <w:p w14:paraId="21420657" w14:textId="77777777" w:rsidR="004E3D24" w:rsidRPr="004E3D24" w:rsidRDefault="004E3D24" w:rsidP="004E3D24">
            <w:pPr>
              <w:spacing w:before="0" w:line="240" w:lineRule="auto"/>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Women</w:t>
            </w:r>
          </w:p>
        </w:tc>
        <w:tc>
          <w:tcPr>
            <w:tcW w:w="1644" w:type="dxa"/>
            <w:hideMark/>
          </w:tcPr>
          <w:p w14:paraId="7CFA03F4" w14:textId="77777777" w:rsidR="004E3D24" w:rsidRPr="004E3D24" w:rsidRDefault="004E3D24" w:rsidP="004E3D24">
            <w:pPr>
              <w:spacing w:before="0" w:line="240" w:lineRule="auto"/>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Aboriginal Peoples and Torres Strait Islander Peoples</w:t>
            </w:r>
          </w:p>
        </w:tc>
        <w:tc>
          <w:tcPr>
            <w:tcW w:w="907" w:type="dxa"/>
            <w:hideMark/>
          </w:tcPr>
          <w:p w14:paraId="1E76AB5E" w14:textId="77777777" w:rsidR="004E3D24" w:rsidRPr="004E3D24" w:rsidRDefault="004E3D24" w:rsidP="004E3D24">
            <w:pPr>
              <w:spacing w:before="0" w:line="240" w:lineRule="auto"/>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People with disability</w:t>
            </w:r>
          </w:p>
        </w:tc>
        <w:tc>
          <w:tcPr>
            <w:tcW w:w="1237" w:type="dxa"/>
            <w:hideMark/>
          </w:tcPr>
          <w:p w14:paraId="4998F536" w14:textId="77777777" w:rsidR="004E3D24" w:rsidRPr="004E3D24" w:rsidRDefault="004E3D24" w:rsidP="004E3D24">
            <w:pPr>
              <w:spacing w:before="0" w:line="240" w:lineRule="auto"/>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 xml:space="preserve">Culturally and Linguistically Diverse - Born overseas </w:t>
            </w:r>
          </w:p>
        </w:tc>
        <w:tc>
          <w:tcPr>
            <w:tcW w:w="1318" w:type="dxa"/>
            <w:hideMark/>
          </w:tcPr>
          <w:p w14:paraId="0C03FE13" w14:textId="77777777" w:rsidR="004E3D24" w:rsidRPr="004E3D24" w:rsidRDefault="004E3D24" w:rsidP="004E3D24">
            <w:pPr>
              <w:spacing w:before="0" w:line="240" w:lineRule="auto"/>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Culturally and Linguistically Diverse - Speak a language at home other than English (including Aboriginal and Torres Strait Islander languages or Australian South Sea Islander languages)***</w:t>
            </w:r>
          </w:p>
        </w:tc>
        <w:tc>
          <w:tcPr>
            <w:tcW w:w="1108" w:type="dxa"/>
            <w:hideMark/>
          </w:tcPr>
          <w:p w14:paraId="1036D022" w14:textId="77777777" w:rsidR="004E3D24" w:rsidRPr="004E3D24" w:rsidRDefault="004E3D24" w:rsidP="004E3D24">
            <w:pPr>
              <w:spacing w:before="0" w:line="240" w:lineRule="auto"/>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 xml:space="preserve">Women in Leadership Roles </w:t>
            </w:r>
            <w:r w:rsidRPr="004E3D24">
              <w:rPr>
                <w:rFonts w:ascii="Arial" w:eastAsia="Times New Roman" w:hAnsi="Arial"/>
                <w:color w:val="auto"/>
                <w:sz w:val="20"/>
                <w:szCs w:val="20"/>
                <w:vertAlign w:val="superscript"/>
                <w:lang w:eastAsia="en-AU"/>
              </w:rPr>
              <w:t>2</w:t>
            </w:r>
          </w:p>
        </w:tc>
      </w:tr>
      <w:tr w:rsidR="00834804" w:rsidRPr="004E3D24" w14:paraId="2B8EB9E6" w14:textId="77777777" w:rsidTr="000F50F0">
        <w:trPr>
          <w:trHeight w:val="285"/>
        </w:trPr>
        <w:tc>
          <w:tcPr>
            <w:tcW w:w="718" w:type="dxa"/>
            <w:vMerge w:val="restart"/>
            <w:noWrap/>
            <w:hideMark/>
          </w:tcPr>
          <w:p w14:paraId="794FEF50" w14:textId="77777777" w:rsidR="004E3D24" w:rsidRPr="004E3D24" w:rsidRDefault="004E3D24" w:rsidP="004E3D24">
            <w:pPr>
              <w:spacing w:before="0" w:line="240" w:lineRule="auto"/>
              <w:jc w:val="center"/>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2021–22</w:t>
            </w:r>
          </w:p>
        </w:tc>
        <w:tc>
          <w:tcPr>
            <w:tcW w:w="1228" w:type="dxa"/>
            <w:noWrap/>
            <w:hideMark/>
          </w:tcPr>
          <w:p w14:paraId="0A9CB96A" w14:textId="77777777" w:rsidR="004E3D24" w:rsidRPr="004E3D24" w:rsidRDefault="004E3D24" w:rsidP="004E3D24">
            <w:pPr>
              <w:spacing w:before="0" w:line="240" w:lineRule="auto"/>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Headcount**</w:t>
            </w:r>
          </w:p>
        </w:tc>
        <w:tc>
          <w:tcPr>
            <w:tcW w:w="910" w:type="dxa"/>
            <w:noWrap/>
            <w:hideMark/>
          </w:tcPr>
          <w:p w14:paraId="3981D9F8"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4982</w:t>
            </w:r>
          </w:p>
        </w:tc>
        <w:tc>
          <w:tcPr>
            <w:tcW w:w="1644" w:type="dxa"/>
            <w:noWrap/>
            <w:hideMark/>
          </w:tcPr>
          <w:p w14:paraId="4593DD5B"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153</w:t>
            </w:r>
          </w:p>
        </w:tc>
        <w:tc>
          <w:tcPr>
            <w:tcW w:w="907" w:type="dxa"/>
            <w:noWrap/>
            <w:hideMark/>
          </w:tcPr>
          <w:p w14:paraId="549FB2DD"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416</w:t>
            </w:r>
          </w:p>
        </w:tc>
        <w:tc>
          <w:tcPr>
            <w:tcW w:w="1237" w:type="dxa"/>
            <w:noWrap/>
            <w:hideMark/>
          </w:tcPr>
          <w:p w14:paraId="0D9DBB14"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213</w:t>
            </w:r>
          </w:p>
        </w:tc>
        <w:tc>
          <w:tcPr>
            <w:tcW w:w="1318" w:type="dxa"/>
            <w:noWrap/>
            <w:hideMark/>
          </w:tcPr>
          <w:p w14:paraId="771EAC3A"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251</w:t>
            </w:r>
          </w:p>
        </w:tc>
        <w:tc>
          <w:tcPr>
            <w:tcW w:w="1108" w:type="dxa"/>
            <w:noWrap/>
            <w:hideMark/>
          </w:tcPr>
          <w:p w14:paraId="6EC23596"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131</w:t>
            </w:r>
          </w:p>
        </w:tc>
      </w:tr>
      <w:tr w:rsidR="00834804" w:rsidRPr="004E3D24" w14:paraId="7E814267" w14:textId="77777777" w:rsidTr="000F50F0">
        <w:trPr>
          <w:trHeight w:val="285"/>
        </w:trPr>
        <w:tc>
          <w:tcPr>
            <w:tcW w:w="718" w:type="dxa"/>
            <w:vMerge/>
            <w:hideMark/>
          </w:tcPr>
          <w:p w14:paraId="1D7E7084" w14:textId="77777777" w:rsidR="004E3D24" w:rsidRPr="004E3D24" w:rsidRDefault="004E3D24" w:rsidP="004E3D24">
            <w:pPr>
              <w:spacing w:before="0" w:line="240" w:lineRule="auto"/>
              <w:rPr>
                <w:rFonts w:ascii="Arial" w:eastAsia="Times New Roman" w:hAnsi="Arial"/>
                <w:color w:val="auto"/>
                <w:sz w:val="20"/>
                <w:szCs w:val="20"/>
                <w:lang w:eastAsia="en-AU"/>
              </w:rPr>
            </w:pPr>
          </w:p>
        </w:tc>
        <w:tc>
          <w:tcPr>
            <w:tcW w:w="1228" w:type="dxa"/>
            <w:noWrap/>
            <w:hideMark/>
          </w:tcPr>
          <w:p w14:paraId="16AF4821" w14:textId="77777777" w:rsidR="004E3D24" w:rsidRPr="004E3D24" w:rsidRDefault="004E3D24" w:rsidP="004E3D24">
            <w:pPr>
              <w:spacing w:before="0" w:line="240" w:lineRule="auto"/>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 of TMR</w:t>
            </w:r>
          </w:p>
        </w:tc>
        <w:tc>
          <w:tcPr>
            <w:tcW w:w="910" w:type="dxa"/>
            <w:noWrap/>
            <w:hideMark/>
          </w:tcPr>
          <w:p w14:paraId="5D6EDB19"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53%</w:t>
            </w:r>
          </w:p>
        </w:tc>
        <w:tc>
          <w:tcPr>
            <w:tcW w:w="1644" w:type="dxa"/>
            <w:noWrap/>
            <w:hideMark/>
          </w:tcPr>
          <w:p w14:paraId="00D8485F"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1.60%</w:t>
            </w:r>
          </w:p>
        </w:tc>
        <w:tc>
          <w:tcPr>
            <w:tcW w:w="907" w:type="dxa"/>
            <w:noWrap/>
            <w:hideMark/>
          </w:tcPr>
          <w:p w14:paraId="045D0269"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4.40%</w:t>
            </w:r>
          </w:p>
        </w:tc>
        <w:tc>
          <w:tcPr>
            <w:tcW w:w="1237" w:type="dxa"/>
            <w:noWrap/>
            <w:hideMark/>
          </w:tcPr>
          <w:p w14:paraId="7F323BD3"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2.20%</w:t>
            </w:r>
          </w:p>
        </w:tc>
        <w:tc>
          <w:tcPr>
            <w:tcW w:w="1318" w:type="dxa"/>
            <w:noWrap/>
            <w:hideMark/>
          </w:tcPr>
          <w:p w14:paraId="452E1681"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2.60%</w:t>
            </w:r>
          </w:p>
        </w:tc>
        <w:tc>
          <w:tcPr>
            <w:tcW w:w="1108" w:type="dxa"/>
            <w:noWrap/>
            <w:hideMark/>
          </w:tcPr>
          <w:p w14:paraId="14222F67"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36%</w:t>
            </w:r>
          </w:p>
        </w:tc>
      </w:tr>
      <w:tr w:rsidR="00F91E15" w:rsidRPr="004E3D24" w14:paraId="143EADE3" w14:textId="77777777" w:rsidTr="000F50F0">
        <w:trPr>
          <w:trHeight w:val="285"/>
        </w:trPr>
        <w:tc>
          <w:tcPr>
            <w:tcW w:w="718" w:type="dxa"/>
            <w:vMerge w:val="restart"/>
            <w:noWrap/>
            <w:hideMark/>
          </w:tcPr>
          <w:p w14:paraId="3FDD6E44" w14:textId="77777777" w:rsidR="004E3D24" w:rsidRPr="004E3D24" w:rsidRDefault="004E3D24" w:rsidP="004E3D24">
            <w:pPr>
              <w:spacing w:before="0" w:line="240" w:lineRule="auto"/>
              <w:jc w:val="center"/>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2020–21</w:t>
            </w:r>
          </w:p>
        </w:tc>
        <w:tc>
          <w:tcPr>
            <w:tcW w:w="1228" w:type="dxa"/>
            <w:noWrap/>
            <w:hideMark/>
          </w:tcPr>
          <w:p w14:paraId="2CDC027E" w14:textId="77777777" w:rsidR="004E3D24" w:rsidRPr="004E3D24" w:rsidRDefault="004E3D24" w:rsidP="004E3D24">
            <w:pPr>
              <w:spacing w:before="0" w:line="240" w:lineRule="auto"/>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Headcount**</w:t>
            </w:r>
          </w:p>
        </w:tc>
        <w:tc>
          <w:tcPr>
            <w:tcW w:w="910" w:type="dxa"/>
            <w:noWrap/>
            <w:hideMark/>
          </w:tcPr>
          <w:p w14:paraId="0F5862CF"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5018</w:t>
            </w:r>
          </w:p>
        </w:tc>
        <w:tc>
          <w:tcPr>
            <w:tcW w:w="1644" w:type="dxa"/>
            <w:noWrap/>
            <w:hideMark/>
          </w:tcPr>
          <w:p w14:paraId="4CD35A2B"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146</w:t>
            </w:r>
          </w:p>
        </w:tc>
        <w:tc>
          <w:tcPr>
            <w:tcW w:w="907" w:type="dxa"/>
            <w:noWrap/>
            <w:hideMark/>
          </w:tcPr>
          <w:p w14:paraId="6336FB96"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440</w:t>
            </w:r>
          </w:p>
        </w:tc>
        <w:tc>
          <w:tcPr>
            <w:tcW w:w="1237" w:type="dxa"/>
            <w:hideMark/>
          </w:tcPr>
          <w:p w14:paraId="4F5E8CC6"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p>
        </w:tc>
        <w:tc>
          <w:tcPr>
            <w:tcW w:w="1318" w:type="dxa"/>
            <w:noWrap/>
            <w:hideMark/>
          </w:tcPr>
          <w:p w14:paraId="794B5541"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698</w:t>
            </w:r>
          </w:p>
        </w:tc>
        <w:tc>
          <w:tcPr>
            <w:tcW w:w="1108" w:type="dxa"/>
            <w:noWrap/>
            <w:hideMark/>
          </w:tcPr>
          <w:p w14:paraId="5A1289D6"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116</w:t>
            </w:r>
          </w:p>
        </w:tc>
      </w:tr>
      <w:tr w:rsidR="00F91E15" w:rsidRPr="004E3D24" w14:paraId="71D14463" w14:textId="77777777" w:rsidTr="000F50F0">
        <w:trPr>
          <w:trHeight w:val="285"/>
        </w:trPr>
        <w:tc>
          <w:tcPr>
            <w:tcW w:w="718" w:type="dxa"/>
            <w:vMerge/>
            <w:hideMark/>
          </w:tcPr>
          <w:p w14:paraId="43A19A75" w14:textId="77777777" w:rsidR="004E3D24" w:rsidRPr="004E3D24" w:rsidRDefault="004E3D24" w:rsidP="004E3D24">
            <w:pPr>
              <w:spacing w:before="0" w:line="240" w:lineRule="auto"/>
              <w:rPr>
                <w:rFonts w:ascii="Arial" w:eastAsia="Times New Roman" w:hAnsi="Arial"/>
                <w:color w:val="auto"/>
                <w:sz w:val="20"/>
                <w:szCs w:val="20"/>
                <w:lang w:eastAsia="en-AU"/>
              </w:rPr>
            </w:pPr>
          </w:p>
        </w:tc>
        <w:tc>
          <w:tcPr>
            <w:tcW w:w="1228" w:type="dxa"/>
            <w:noWrap/>
            <w:hideMark/>
          </w:tcPr>
          <w:p w14:paraId="29AF4ECD" w14:textId="77777777" w:rsidR="004E3D24" w:rsidRPr="004E3D24" w:rsidRDefault="004E3D24" w:rsidP="004E3D24">
            <w:pPr>
              <w:spacing w:before="0" w:line="240" w:lineRule="auto"/>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 of TMR</w:t>
            </w:r>
          </w:p>
        </w:tc>
        <w:tc>
          <w:tcPr>
            <w:tcW w:w="910" w:type="dxa"/>
            <w:noWrap/>
            <w:hideMark/>
          </w:tcPr>
          <w:p w14:paraId="456ECF36"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53.04%</w:t>
            </w:r>
          </w:p>
        </w:tc>
        <w:tc>
          <w:tcPr>
            <w:tcW w:w="1644" w:type="dxa"/>
            <w:noWrap/>
            <w:hideMark/>
          </w:tcPr>
          <w:p w14:paraId="4710220F"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1.54%</w:t>
            </w:r>
          </w:p>
        </w:tc>
        <w:tc>
          <w:tcPr>
            <w:tcW w:w="907" w:type="dxa"/>
            <w:noWrap/>
            <w:hideMark/>
          </w:tcPr>
          <w:p w14:paraId="50F77250"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4.65%</w:t>
            </w:r>
          </w:p>
        </w:tc>
        <w:tc>
          <w:tcPr>
            <w:tcW w:w="1237" w:type="dxa"/>
            <w:hideMark/>
          </w:tcPr>
          <w:p w14:paraId="3FE9513C"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p>
        </w:tc>
        <w:tc>
          <w:tcPr>
            <w:tcW w:w="1318" w:type="dxa"/>
            <w:noWrap/>
            <w:hideMark/>
          </w:tcPr>
          <w:p w14:paraId="74DE5365"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7.38%</w:t>
            </w:r>
          </w:p>
        </w:tc>
        <w:tc>
          <w:tcPr>
            <w:tcW w:w="1108" w:type="dxa"/>
            <w:noWrap/>
            <w:hideMark/>
          </w:tcPr>
          <w:p w14:paraId="1032396A" w14:textId="77777777" w:rsidR="004E3D24" w:rsidRPr="004E3D24" w:rsidRDefault="004E3D24" w:rsidP="004E3D24">
            <w:pPr>
              <w:spacing w:before="0" w:line="240" w:lineRule="auto"/>
              <w:jc w:val="right"/>
              <w:rPr>
                <w:rFonts w:ascii="Arial" w:eastAsia="Times New Roman" w:hAnsi="Arial"/>
                <w:color w:val="auto"/>
                <w:sz w:val="16"/>
                <w:szCs w:val="16"/>
                <w:lang w:eastAsia="en-AU"/>
              </w:rPr>
            </w:pPr>
            <w:r w:rsidRPr="004E3D24">
              <w:rPr>
                <w:rFonts w:ascii="Arial" w:eastAsia="Times New Roman" w:hAnsi="Arial"/>
                <w:color w:val="auto"/>
                <w:sz w:val="16"/>
                <w:szCs w:val="16"/>
                <w:lang w:eastAsia="en-AU"/>
              </w:rPr>
              <w:t>34%</w:t>
            </w:r>
          </w:p>
        </w:tc>
      </w:tr>
      <w:tr w:rsidR="00F91E15" w:rsidRPr="004E3D24" w14:paraId="5A3AA1BB" w14:textId="77777777" w:rsidTr="000F50F0">
        <w:trPr>
          <w:trHeight w:val="285"/>
        </w:trPr>
        <w:tc>
          <w:tcPr>
            <w:tcW w:w="718" w:type="dxa"/>
            <w:vMerge w:val="restart"/>
            <w:noWrap/>
            <w:hideMark/>
          </w:tcPr>
          <w:p w14:paraId="0439829A" w14:textId="77777777" w:rsidR="004E3D24" w:rsidRPr="004E3D24" w:rsidRDefault="004E3D24" w:rsidP="004E3D24">
            <w:pPr>
              <w:spacing w:before="0" w:line="240" w:lineRule="auto"/>
              <w:jc w:val="center"/>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2019–20</w:t>
            </w:r>
          </w:p>
        </w:tc>
        <w:tc>
          <w:tcPr>
            <w:tcW w:w="1228" w:type="dxa"/>
            <w:noWrap/>
            <w:hideMark/>
          </w:tcPr>
          <w:p w14:paraId="2D541282" w14:textId="77777777" w:rsidR="004E3D24" w:rsidRPr="004E3D24" w:rsidRDefault="004E3D24" w:rsidP="004E3D24">
            <w:pPr>
              <w:spacing w:before="0" w:line="240" w:lineRule="auto"/>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Headcount**</w:t>
            </w:r>
          </w:p>
        </w:tc>
        <w:tc>
          <w:tcPr>
            <w:tcW w:w="910" w:type="dxa"/>
            <w:noWrap/>
            <w:hideMark/>
          </w:tcPr>
          <w:p w14:paraId="0D56C06C"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4993</w:t>
            </w:r>
          </w:p>
        </w:tc>
        <w:tc>
          <w:tcPr>
            <w:tcW w:w="1644" w:type="dxa"/>
            <w:noWrap/>
            <w:hideMark/>
          </w:tcPr>
          <w:p w14:paraId="5420B5BE"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131</w:t>
            </w:r>
          </w:p>
        </w:tc>
        <w:tc>
          <w:tcPr>
            <w:tcW w:w="907" w:type="dxa"/>
            <w:noWrap/>
            <w:hideMark/>
          </w:tcPr>
          <w:p w14:paraId="05E910F2"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470</w:t>
            </w:r>
          </w:p>
        </w:tc>
        <w:tc>
          <w:tcPr>
            <w:tcW w:w="1237" w:type="dxa"/>
            <w:hideMark/>
          </w:tcPr>
          <w:p w14:paraId="593BBC00"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p>
        </w:tc>
        <w:tc>
          <w:tcPr>
            <w:tcW w:w="1318" w:type="dxa"/>
            <w:noWrap/>
            <w:hideMark/>
          </w:tcPr>
          <w:p w14:paraId="63A82CA8"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674</w:t>
            </w:r>
          </w:p>
        </w:tc>
        <w:tc>
          <w:tcPr>
            <w:tcW w:w="1108" w:type="dxa"/>
            <w:noWrap/>
            <w:hideMark/>
          </w:tcPr>
          <w:p w14:paraId="45C60F02"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106</w:t>
            </w:r>
          </w:p>
        </w:tc>
      </w:tr>
      <w:tr w:rsidR="00F91E15" w:rsidRPr="004E3D24" w14:paraId="38074C14" w14:textId="77777777" w:rsidTr="000F50F0">
        <w:trPr>
          <w:trHeight w:val="285"/>
        </w:trPr>
        <w:tc>
          <w:tcPr>
            <w:tcW w:w="718" w:type="dxa"/>
            <w:vMerge/>
            <w:hideMark/>
          </w:tcPr>
          <w:p w14:paraId="165B7341" w14:textId="77777777" w:rsidR="004E3D24" w:rsidRPr="004E3D24" w:rsidRDefault="004E3D24" w:rsidP="004E3D24">
            <w:pPr>
              <w:spacing w:before="0" w:line="240" w:lineRule="auto"/>
              <w:rPr>
                <w:rFonts w:ascii="Arial" w:eastAsia="Times New Roman" w:hAnsi="Arial"/>
                <w:color w:val="auto"/>
                <w:sz w:val="20"/>
                <w:szCs w:val="20"/>
                <w:lang w:eastAsia="en-AU"/>
              </w:rPr>
            </w:pPr>
          </w:p>
        </w:tc>
        <w:tc>
          <w:tcPr>
            <w:tcW w:w="1228" w:type="dxa"/>
            <w:noWrap/>
            <w:hideMark/>
          </w:tcPr>
          <w:p w14:paraId="4D6142CE" w14:textId="77777777" w:rsidR="004E3D24" w:rsidRPr="004E3D24" w:rsidRDefault="004E3D24" w:rsidP="004E3D24">
            <w:pPr>
              <w:spacing w:before="0" w:line="240" w:lineRule="auto"/>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 of TMR</w:t>
            </w:r>
          </w:p>
        </w:tc>
        <w:tc>
          <w:tcPr>
            <w:tcW w:w="910" w:type="dxa"/>
            <w:noWrap/>
            <w:hideMark/>
          </w:tcPr>
          <w:p w14:paraId="274CA989"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53%</w:t>
            </w:r>
          </w:p>
        </w:tc>
        <w:tc>
          <w:tcPr>
            <w:tcW w:w="1644" w:type="dxa"/>
            <w:noWrap/>
            <w:hideMark/>
          </w:tcPr>
          <w:p w14:paraId="4310B84C"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1%</w:t>
            </w:r>
          </w:p>
        </w:tc>
        <w:tc>
          <w:tcPr>
            <w:tcW w:w="907" w:type="dxa"/>
            <w:noWrap/>
            <w:hideMark/>
          </w:tcPr>
          <w:p w14:paraId="737B190B"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5%</w:t>
            </w:r>
          </w:p>
        </w:tc>
        <w:tc>
          <w:tcPr>
            <w:tcW w:w="1237" w:type="dxa"/>
            <w:hideMark/>
          </w:tcPr>
          <w:p w14:paraId="547CA83E"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p>
        </w:tc>
        <w:tc>
          <w:tcPr>
            <w:tcW w:w="1318" w:type="dxa"/>
            <w:noWrap/>
            <w:hideMark/>
          </w:tcPr>
          <w:p w14:paraId="4D4F2611"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7%</w:t>
            </w:r>
          </w:p>
        </w:tc>
        <w:tc>
          <w:tcPr>
            <w:tcW w:w="1108" w:type="dxa"/>
            <w:noWrap/>
            <w:hideMark/>
          </w:tcPr>
          <w:p w14:paraId="70744851" w14:textId="77777777" w:rsidR="004E3D24" w:rsidRPr="004E3D24" w:rsidRDefault="004E3D24" w:rsidP="004E3D24">
            <w:pPr>
              <w:spacing w:before="0" w:line="240" w:lineRule="auto"/>
              <w:jc w:val="right"/>
              <w:rPr>
                <w:rFonts w:ascii="Arial" w:eastAsia="Times New Roman" w:hAnsi="Arial"/>
                <w:color w:val="auto"/>
                <w:sz w:val="16"/>
                <w:szCs w:val="16"/>
                <w:lang w:eastAsia="en-AU"/>
              </w:rPr>
            </w:pPr>
            <w:r w:rsidRPr="004E3D24">
              <w:rPr>
                <w:rFonts w:ascii="Arial" w:eastAsia="Times New Roman" w:hAnsi="Arial"/>
                <w:color w:val="auto"/>
                <w:sz w:val="16"/>
                <w:szCs w:val="16"/>
                <w:lang w:eastAsia="en-AU"/>
              </w:rPr>
              <w:t>32%</w:t>
            </w:r>
          </w:p>
        </w:tc>
      </w:tr>
      <w:tr w:rsidR="00F91E15" w:rsidRPr="004E3D24" w14:paraId="1FC48AF1" w14:textId="77777777" w:rsidTr="000F50F0">
        <w:trPr>
          <w:trHeight w:val="285"/>
        </w:trPr>
        <w:tc>
          <w:tcPr>
            <w:tcW w:w="718" w:type="dxa"/>
            <w:vMerge w:val="restart"/>
            <w:noWrap/>
            <w:hideMark/>
          </w:tcPr>
          <w:p w14:paraId="0AFE7076" w14:textId="77777777" w:rsidR="004E3D24" w:rsidRPr="004E3D24" w:rsidRDefault="004E3D24" w:rsidP="004E3D24">
            <w:pPr>
              <w:spacing w:before="0" w:line="240" w:lineRule="auto"/>
              <w:jc w:val="center"/>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2018–19</w:t>
            </w:r>
          </w:p>
        </w:tc>
        <w:tc>
          <w:tcPr>
            <w:tcW w:w="1228" w:type="dxa"/>
            <w:noWrap/>
            <w:hideMark/>
          </w:tcPr>
          <w:p w14:paraId="5E2D267F" w14:textId="77777777" w:rsidR="004E3D24" w:rsidRPr="004E3D24" w:rsidRDefault="004E3D24" w:rsidP="004E3D24">
            <w:pPr>
              <w:spacing w:before="0" w:line="240" w:lineRule="auto"/>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Headcount**</w:t>
            </w:r>
          </w:p>
        </w:tc>
        <w:tc>
          <w:tcPr>
            <w:tcW w:w="910" w:type="dxa"/>
            <w:noWrap/>
            <w:hideMark/>
          </w:tcPr>
          <w:p w14:paraId="052AC8DB"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4892</w:t>
            </w:r>
          </w:p>
        </w:tc>
        <w:tc>
          <w:tcPr>
            <w:tcW w:w="1644" w:type="dxa"/>
            <w:noWrap/>
            <w:hideMark/>
          </w:tcPr>
          <w:p w14:paraId="5568308E"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132</w:t>
            </w:r>
          </w:p>
        </w:tc>
        <w:tc>
          <w:tcPr>
            <w:tcW w:w="907" w:type="dxa"/>
            <w:noWrap/>
            <w:hideMark/>
          </w:tcPr>
          <w:p w14:paraId="191B9DDE"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480</w:t>
            </w:r>
          </w:p>
        </w:tc>
        <w:tc>
          <w:tcPr>
            <w:tcW w:w="1237" w:type="dxa"/>
            <w:hideMark/>
          </w:tcPr>
          <w:p w14:paraId="5383FECD"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p>
        </w:tc>
        <w:tc>
          <w:tcPr>
            <w:tcW w:w="1318" w:type="dxa"/>
            <w:noWrap/>
            <w:hideMark/>
          </w:tcPr>
          <w:p w14:paraId="09D2DE4F"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600</w:t>
            </w:r>
          </w:p>
        </w:tc>
        <w:tc>
          <w:tcPr>
            <w:tcW w:w="1108" w:type="dxa"/>
            <w:noWrap/>
            <w:hideMark/>
          </w:tcPr>
          <w:p w14:paraId="79A73C63"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97</w:t>
            </w:r>
          </w:p>
        </w:tc>
      </w:tr>
      <w:tr w:rsidR="00F91E15" w:rsidRPr="004E3D24" w14:paraId="48B75618" w14:textId="77777777" w:rsidTr="000F50F0">
        <w:trPr>
          <w:trHeight w:val="285"/>
        </w:trPr>
        <w:tc>
          <w:tcPr>
            <w:tcW w:w="718" w:type="dxa"/>
            <w:vMerge/>
            <w:hideMark/>
          </w:tcPr>
          <w:p w14:paraId="52130575" w14:textId="77777777" w:rsidR="004E3D24" w:rsidRPr="004E3D24" w:rsidRDefault="004E3D24" w:rsidP="004E3D24">
            <w:pPr>
              <w:spacing w:before="0" w:line="240" w:lineRule="auto"/>
              <w:rPr>
                <w:rFonts w:ascii="Arial" w:eastAsia="Times New Roman" w:hAnsi="Arial"/>
                <w:color w:val="auto"/>
                <w:sz w:val="20"/>
                <w:szCs w:val="20"/>
                <w:lang w:eastAsia="en-AU"/>
              </w:rPr>
            </w:pPr>
          </w:p>
        </w:tc>
        <w:tc>
          <w:tcPr>
            <w:tcW w:w="1228" w:type="dxa"/>
            <w:noWrap/>
            <w:hideMark/>
          </w:tcPr>
          <w:p w14:paraId="3EC54567" w14:textId="77777777" w:rsidR="004E3D24" w:rsidRPr="004E3D24" w:rsidRDefault="004E3D24" w:rsidP="004E3D24">
            <w:pPr>
              <w:spacing w:before="0" w:line="240" w:lineRule="auto"/>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 of TMR</w:t>
            </w:r>
          </w:p>
        </w:tc>
        <w:tc>
          <w:tcPr>
            <w:tcW w:w="910" w:type="dxa"/>
            <w:noWrap/>
            <w:hideMark/>
          </w:tcPr>
          <w:p w14:paraId="31044979"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53%</w:t>
            </w:r>
          </w:p>
        </w:tc>
        <w:tc>
          <w:tcPr>
            <w:tcW w:w="1644" w:type="dxa"/>
            <w:noWrap/>
            <w:hideMark/>
          </w:tcPr>
          <w:p w14:paraId="0C83849F"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1%</w:t>
            </w:r>
          </w:p>
        </w:tc>
        <w:tc>
          <w:tcPr>
            <w:tcW w:w="907" w:type="dxa"/>
            <w:noWrap/>
            <w:hideMark/>
          </w:tcPr>
          <w:p w14:paraId="2C837D30"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5%</w:t>
            </w:r>
          </w:p>
        </w:tc>
        <w:tc>
          <w:tcPr>
            <w:tcW w:w="1237" w:type="dxa"/>
            <w:hideMark/>
          </w:tcPr>
          <w:p w14:paraId="4B666178"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p>
        </w:tc>
        <w:tc>
          <w:tcPr>
            <w:tcW w:w="1318" w:type="dxa"/>
            <w:noWrap/>
            <w:hideMark/>
          </w:tcPr>
          <w:p w14:paraId="31B619ED"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7%</w:t>
            </w:r>
          </w:p>
        </w:tc>
        <w:tc>
          <w:tcPr>
            <w:tcW w:w="1108" w:type="dxa"/>
            <w:noWrap/>
            <w:hideMark/>
          </w:tcPr>
          <w:p w14:paraId="320D7111"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30%</w:t>
            </w:r>
          </w:p>
        </w:tc>
      </w:tr>
      <w:tr w:rsidR="00F91E15" w:rsidRPr="004E3D24" w14:paraId="21D07DD4" w14:textId="77777777" w:rsidTr="000F50F0">
        <w:trPr>
          <w:trHeight w:val="285"/>
        </w:trPr>
        <w:tc>
          <w:tcPr>
            <w:tcW w:w="718" w:type="dxa"/>
            <w:vMerge w:val="restart"/>
            <w:noWrap/>
            <w:hideMark/>
          </w:tcPr>
          <w:p w14:paraId="3C6EA40C" w14:textId="77777777" w:rsidR="004E3D24" w:rsidRPr="004E3D24" w:rsidRDefault="004E3D24" w:rsidP="004E3D24">
            <w:pPr>
              <w:spacing w:before="0" w:line="240" w:lineRule="auto"/>
              <w:jc w:val="center"/>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2017–18</w:t>
            </w:r>
          </w:p>
        </w:tc>
        <w:tc>
          <w:tcPr>
            <w:tcW w:w="1228" w:type="dxa"/>
            <w:noWrap/>
            <w:hideMark/>
          </w:tcPr>
          <w:p w14:paraId="7B982537" w14:textId="77777777" w:rsidR="004E3D24" w:rsidRPr="004E3D24" w:rsidRDefault="004E3D24" w:rsidP="004E3D24">
            <w:pPr>
              <w:spacing w:before="0" w:line="240" w:lineRule="auto"/>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Headcount**</w:t>
            </w:r>
          </w:p>
        </w:tc>
        <w:tc>
          <w:tcPr>
            <w:tcW w:w="910" w:type="dxa"/>
            <w:noWrap/>
            <w:hideMark/>
          </w:tcPr>
          <w:p w14:paraId="16D8AC6A"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4885</w:t>
            </w:r>
          </w:p>
        </w:tc>
        <w:tc>
          <w:tcPr>
            <w:tcW w:w="1644" w:type="dxa"/>
            <w:noWrap/>
            <w:hideMark/>
          </w:tcPr>
          <w:p w14:paraId="115B14AF"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122</w:t>
            </w:r>
          </w:p>
        </w:tc>
        <w:tc>
          <w:tcPr>
            <w:tcW w:w="907" w:type="dxa"/>
            <w:noWrap/>
            <w:hideMark/>
          </w:tcPr>
          <w:p w14:paraId="6E353D8F"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543</w:t>
            </w:r>
          </w:p>
        </w:tc>
        <w:tc>
          <w:tcPr>
            <w:tcW w:w="1237" w:type="dxa"/>
            <w:hideMark/>
          </w:tcPr>
          <w:p w14:paraId="0B879BCD"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p>
        </w:tc>
        <w:tc>
          <w:tcPr>
            <w:tcW w:w="1318" w:type="dxa"/>
            <w:noWrap/>
            <w:hideMark/>
          </w:tcPr>
          <w:p w14:paraId="6C70BCE5"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596</w:t>
            </w:r>
          </w:p>
        </w:tc>
        <w:tc>
          <w:tcPr>
            <w:tcW w:w="1108" w:type="dxa"/>
            <w:noWrap/>
            <w:hideMark/>
          </w:tcPr>
          <w:p w14:paraId="3C0B8A96"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104</w:t>
            </w:r>
          </w:p>
        </w:tc>
      </w:tr>
      <w:tr w:rsidR="00F91E15" w:rsidRPr="004E3D24" w14:paraId="3B6D73B9" w14:textId="77777777" w:rsidTr="000F50F0">
        <w:trPr>
          <w:trHeight w:val="285"/>
        </w:trPr>
        <w:tc>
          <w:tcPr>
            <w:tcW w:w="718" w:type="dxa"/>
            <w:vMerge/>
            <w:hideMark/>
          </w:tcPr>
          <w:p w14:paraId="5677DF9E" w14:textId="77777777" w:rsidR="004E3D24" w:rsidRPr="004E3D24" w:rsidRDefault="004E3D24" w:rsidP="004E3D24">
            <w:pPr>
              <w:spacing w:before="0" w:line="240" w:lineRule="auto"/>
              <w:rPr>
                <w:rFonts w:ascii="Arial" w:eastAsia="Times New Roman" w:hAnsi="Arial"/>
                <w:color w:val="auto"/>
                <w:sz w:val="20"/>
                <w:szCs w:val="20"/>
                <w:lang w:eastAsia="en-AU"/>
              </w:rPr>
            </w:pPr>
          </w:p>
        </w:tc>
        <w:tc>
          <w:tcPr>
            <w:tcW w:w="1228" w:type="dxa"/>
            <w:noWrap/>
            <w:hideMark/>
          </w:tcPr>
          <w:p w14:paraId="4FCA93AE" w14:textId="77777777" w:rsidR="004E3D24" w:rsidRPr="004E3D24" w:rsidRDefault="004E3D24" w:rsidP="004E3D24">
            <w:pPr>
              <w:spacing w:before="0" w:line="240" w:lineRule="auto"/>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 of TMR</w:t>
            </w:r>
          </w:p>
        </w:tc>
        <w:tc>
          <w:tcPr>
            <w:tcW w:w="910" w:type="dxa"/>
            <w:noWrap/>
            <w:hideMark/>
          </w:tcPr>
          <w:p w14:paraId="2990478A"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53%</w:t>
            </w:r>
          </w:p>
        </w:tc>
        <w:tc>
          <w:tcPr>
            <w:tcW w:w="1644" w:type="dxa"/>
            <w:noWrap/>
            <w:hideMark/>
          </w:tcPr>
          <w:p w14:paraId="1F153DFF"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1%</w:t>
            </w:r>
          </w:p>
        </w:tc>
        <w:tc>
          <w:tcPr>
            <w:tcW w:w="907" w:type="dxa"/>
            <w:noWrap/>
            <w:hideMark/>
          </w:tcPr>
          <w:p w14:paraId="0CF81058"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6%</w:t>
            </w:r>
          </w:p>
        </w:tc>
        <w:tc>
          <w:tcPr>
            <w:tcW w:w="1237" w:type="dxa"/>
            <w:hideMark/>
          </w:tcPr>
          <w:p w14:paraId="2397B5FE"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p>
        </w:tc>
        <w:tc>
          <w:tcPr>
            <w:tcW w:w="1318" w:type="dxa"/>
            <w:noWrap/>
            <w:hideMark/>
          </w:tcPr>
          <w:p w14:paraId="0E2DA9B1"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6%</w:t>
            </w:r>
          </w:p>
        </w:tc>
        <w:tc>
          <w:tcPr>
            <w:tcW w:w="1108" w:type="dxa"/>
            <w:noWrap/>
            <w:hideMark/>
          </w:tcPr>
          <w:p w14:paraId="08D3ABAB" w14:textId="77777777" w:rsidR="004E3D24" w:rsidRPr="004E3D24" w:rsidRDefault="004E3D24" w:rsidP="004E3D24">
            <w:pPr>
              <w:spacing w:before="0" w:line="240" w:lineRule="auto"/>
              <w:jc w:val="right"/>
              <w:rPr>
                <w:rFonts w:ascii="Arial" w:eastAsia="Times New Roman" w:hAnsi="Arial"/>
                <w:color w:val="auto"/>
                <w:sz w:val="20"/>
                <w:szCs w:val="20"/>
                <w:lang w:eastAsia="en-AU"/>
              </w:rPr>
            </w:pPr>
            <w:r w:rsidRPr="004E3D24">
              <w:rPr>
                <w:rFonts w:ascii="Arial" w:eastAsia="Times New Roman" w:hAnsi="Arial"/>
                <w:color w:val="auto"/>
                <w:sz w:val="20"/>
                <w:szCs w:val="20"/>
                <w:lang w:eastAsia="en-AU"/>
              </w:rPr>
              <w:t>32%</w:t>
            </w:r>
          </w:p>
        </w:tc>
      </w:tr>
    </w:tbl>
    <w:p w14:paraId="093998B8" w14:textId="01A48D1F" w:rsidR="00F000AA" w:rsidRDefault="00F000AA" w:rsidP="00F000AA"/>
    <w:tbl>
      <w:tblPr>
        <w:tblStyle w:val="Style1"/>
        <w:tblW w:w="5180" w:type="dxa"/>
        <w:tblLook w:val="04A0" w:firstRow="1" w:lastRow="0" w:firstColumn="1" w:lastColumn="0" w:noHBand="0" w:noVBand="1"/>
      </w:tblPr>
      <w:tblGrid>
        <w:gridCol w:w="960"/>
        <w:gridCol w:w="1340"/>
        <w:gridCol w:w="960"/>
        <w:gridCol w:w="960"/>
        <w:gridCol w:w="960"/>
      </w:tblGrid>
      <w:tr w:rsidR="000F50F0" w:rsidRPr="000F50F0" w14:paraId="12A54B72" w14:textId="77777777" w:rsidTr="009754B5">
        <w:trPr>
          <w:cnfStyle w:val="100000000000" w:firstRow="1" w:lastRow="0" w:firstColumn="0" w:lastColumn="0" w:oddVBand="0" w:evenVBand="0" w:oddHBand="0" w:evenHBand="0" w:firstRowFirstColumn="0" w:firstRowLastColumn="0" w:lastRowFirstColumn="0" w:lastRowLastColumn="0"/>
          <w:trHeight w:val="290"/>
        </w:trPr>
        <w:tc>
          <w:tcPr>
            <w:tcW w:w="960" w:type="dxa"/>
            <w:noWrap/>
            <w:hideMark/>
          </w:tcPr>
          <w:p w14:paraId="4BC22A28" w14:textId="77777777" w:rsidR="000F50F0" w:rsidRPr="000F50F0" w:rsidRDefault="000F50F0" w:rsidP="000F50F0">
            <w:pPr>
              <w:spacing w:before="0" w:line="240" w:lineRule="auto"/>
              <w:rPr>
                <w:rFonts w:eastAsia="Times New Roman" w:cs="Times New Roman"/>
                <w:color w:val="auto"/>
                <w:sz w:val="20"/>
                <w:szCs w:val="24"/>
                <w:lang w:eastAsia="en-AU"/>
              </w:rPr>
            </w:pPr>
          </w:p>
        </w:tc>
        <w:tc>
          <w:tcPr>
            <w:tcW w:w="1340" w:type="dxa"/>
            <w:noWrap/>
            <w:hideMark/>
          </w:tcPr>
          <w:p w14:paraId="72D819D8" w14:textId="77777777" w:rsidR="000F50F0" w:rsidRPr="000F50F0" w:rsidRDefault="000F50F0" w:rsidP="000F50F0">
            <w:pPr>
              <w:spacing w:before="0" w:line="240" w:lineRule="auto"/>
              <w:rPr>
                <w:rFonts w:eastAsia="Times New Roman" w:cs="Times New Roman"/>
                <w:color w:val="auto"/>
                <w:sz w:val="20"/>
                <w:szCs w:val="20"/>
                <w:lang w:eastAsia="en-AU"/>
              </w:rPr>
            </w:pPr>
          </w:p>
        </w:tc>
        <w:tc>
          <w:tcPr>
            <w:tcW w:w="2880" w:type="dxa"/>
            <w:gridSpan w:val="3"/>
            <w:noWrap/>
            <w:hideMark/>
          </w:tcPr>
          <w:p w14:paraId="67646C8D" w14:textId="77777777" w:rsidR="000F50F0" w:rsidRPr="000F50F0" w:rsidRDefault="000F50F0" w:rsidP="000F50F0">
            <w:pPr>
              <w:spacing w:before="0" w:line="240" w:lineRule="auto"/>
              <w:jc w:val="center"/>
              <w:rPr>
                <w:rFonts w:ascii="Calibri" w:eastAsia="Times New Roman" w:hAnsi="Calibri" w:cs="Calibri"/>
                <w:color w:val="000000"/>
                <w:sz w:val="22"/>
                <w:lang w:eastAsia="en-AU"/>
              </w:rPr>
            </w:pPr>
            <w:r w:rsidRPr="000F50F0">
              <w:rPr>
                <w:rFonts w:ascii="Calibri" w:eastAsia="Times New Roman" w:hAnsi="Calibri" w:cs="Calibri"/>
                <w:color w:val="000000"/>
                <w:sz w:val="22"/>
                <w:lang w:eastAsia="en-AU"/>
              </w:rPr>
              <w:t>Gender</w:t>
            </w:r>
          </w:p>
        </w:tc>
      </w:tr>
      <w:tr w:rsidR="000F50F0" w:rsidRPr="000F50F0" w14:paraId="5F810B1E" w14:textId="77777777" w:rsidTr="009754B5">
        <w:trPr>
          <w:trHeight w:val="520"/>
        </w:trPr>
        <w:tc>
          <w:tcPr>
            <w:tcW w:w="960" w:type="dxa"/>
            <w:noWrap/>
            <w:hideMark/>
          </w:tcPr>
          <w:p w14:paraId="6A4C0F4E" w14:textId="77777777" w:rsidR="000F50F0" w:rsidRPr="000F50F0" w:rsidRDefault="000F50F0" w:rsidP="000F50F0">
            <w:pPr>
              <w:spacing w:before="0" w:line="240" w:lineRule="auto"/>
              <w:jc w:val="center"/>
              <w:rPr>
                <w:rFonts w:ascii="Calibri" w:eastAsia="Times New Roman" w:hAnsi="Calibri" w:cs="Calibri"/>
                <w:color w:val="000000"/>
                <w:sz w:val="22"/>
                <w:lang w:eastAsia="en-AU"/>
              </w:rPr>
            </w:pPr>
          </w:p>
        </w:tc>
        <w:tc>
          <w:tcPr>
            <w:tcW w:w="1340" w:type="dxa"/>
            <w:noWrap/>
            <w:hideMark/>
          </w:tcPr>
          <w:p w14:paraId="02F41AB3" w14:textId="77777777" w:rsidR="000F50F0" w:rsidRPr="000F50F0" w:rsidRDefault="000F50F0" w:rsidP="000F50F0">
            <w:pPr>
              <w:spacing w:before="0" w:line="240" w:lineRule="auto"/>
              <w:rPr>
                <w:rFonts w:eastAsia="Times New Roman" w:cs="Times New Roman"/>
                <w:color w:val="auto"/>
                <w:sz w:val="20"/>
                <w:szCs w:val="20"/>
                <w:lang w:eastAsia="en-AU"/>
              </w:rPr>
            </w:pPr>
          </w:p>
        </w:tc>
        <w:tc>
          <w:tcPr>
            <w:tcW w:w="960" w:type="dxa"/>
            <w:hideMark/>
          </w:tcPr>
          <w:p w14:paraId="69B10610" w14:textId="77777777" w:rsidR="000F50F0" w:rsidRPr="000F50F0" w:rsidRDefault="000F50F0" w:rsidP="000F50F0">
            <w:pPr>
              <w:spacing w:before="0" w:line="240" w:lineRule="auto"/>
              <w:rPr>
                <w:rFonts w:ascii="Arial" w:eastAsia="Times New Roman" w:hAnsi="Arial"/>
                <w:color w:val="auto"/>
                <w:sz w:val="20"/>
                <w:szCs w:val="20"/>
                <w:lang w:eastAsia="en-AU"/>
              </w:rPr>
            </w:pPr>
            <w:r w:rsidRPr="000F50F0">
              <w:rPr>
                <w:rFonts w:ascii="Arial" w:eastAsia="Times New Roman" w:hAnsi="Arial"/>
                <w:color w:val="auto"/>
                <w:sz w:val="20"/>
                <w:szCs w:val="20"/>
                <w:lang w:eastAsia="en-AU"/>
              </w:rPr>
              <w:t>Woman</w:t>
            </w:r>
          </w:p>
        </w:tc>
        <w:tc>
          <w:tcPr>
            <w:tcW w:w="960" w:type="dxa"/>
            <w:hideMark/>
          </w:tcPr>
          <w:p w14:paraId="47428721" w14:textId="77777777" w:rsidR="000F50F0" w:rsidRPr="000F50F0" w:rsidRDefault="000F50F0" w:rsidP="000F50F0">
            <w:pPr>
              <w:spacing w:before="0" w:line="240" w:lineRule="auto"/>
              <w:rPr>
                <w:rFonts w:ascii="Arial" w:eastAsia="Times New Roman" w:hAnsi="Arial"/>
                <w:color w:val="auto"/>
                <w:sz w:val="20"/>
                <w:szCs w:val="20"/>
                <w:lang w:eastAsia="en-AU"/>
              </w:rPr>
            </w:pPr>
            <w:r w:rsidRPr="000F50F0">
              <w:rPr>
                <w:rFonts w:ascii="Arial" w:eastAsia="Times New Roman" w:hAnsi="Arial"/>
                <w:color w:val="auto"/>
                <w:sz w:val="20"/>
                <w:szCs w:val="20"/>
                <w:lang w:eastAsia="en-AU"/>
              </w:rPr>
              <w:t>Man</w:t>
            </w:r>
          </w:p>
        </w:tc>
        <w:tc>
          <w:tcPr>
            <w:tcW w:w="960" w:type="dxa"/>
            <w:hideMark/>
          </w:tcPr>
          <w:p w14:paraId="5E46DC5F" w14:textId="77777777" w:rsidR="000F50F0" w:rsidRPr="000F50F0" w:rsidRDefault="000F50F0" w:rsidP="000F50F0">
            <w:pPr>
              <w:spacing w:before="0" w:line="240" w:lineRule="auto"/>
              <w:rPr>
                <w:rFonts w:ascii="Arial" w:eastAsia="Times New Roman" w:hAnsi="Arial"/>
                <w:color w:val="auto"/>
                <w:sz w:val="20"/>
                <w:szCs w:val="20"/>
                <w:lang w:eastAsia="en-AU"/>
              </w:rPr>
            </w:pPr>
            <w:r w:rsidRPr="000F50F0">
              <w:rPr>
                <w:rFonts w:ascii="Arial" w:eastAsia="Times New Roman" w:hAnsi="Arial"/>
                <w:color w:val="auto"/>
                <w:sz w:val="20"/>
                <w:szCs w:val="20"/>
                <w:lang w:eastAsia="en-AU"/>
              </w:rPr>
              <w:t>Non-binary</w:t>
            </w:r>
          </w:p>
        </w:tc>
      </w:tr>
      <w:tr w:rsidR="000F50F0" w:rsidRPr="000F50F0" w14:paraId="77723F8D" w14:textId="77777777" w:rsidTr="009754B5">
        <w:trPr>
          <w:trHeight w:val="290"/>
        </w:trPr>
        <w:tc>
          <w:tcPr>
            <w:tcW w:w="960" w:type="dxa"/>
            <w:vMerge w:val="restart"/>
            <w:noWrap/>
            <w:hideMark/>
          </w:tcPr>
          <w:p w14:paraId="7494593C" w14:textId="77777777" w:rsidR="000F50F0" w:rsidRPr="000F50F0" w:rsidRDefault="000F50F0" w:rsidP="000F50F0">
            <w:pPr>
              <w:spacing w:before="0" w:line="240" w:lineRule="auto"/>
              <w:jc w:val="center"/>
              <w:rPr>
                <w:rFonts w:ascii="Arial" w:eastAsia="Times New Roman" w:hAnsi="Arial"/>
                <w:color w:val="auto"/>
                <w:sz w:val="20"/>
                <w:szCs w:val="20"/>
                <w:lang w:eastAsia="en-AU"/>
              </w:rPr>
            </w:pPr>
            <w:r w:rsidRPr="000F50F0">
              <w:rPr>
                <w:rFonts w:ascii="Arial" w:eastAsia="Times New Roman" w:hAnsi="Arial"/>
                <w:color w:val="auto"/>
                <w:sz w:val="20"/>
                <w:szCs w:val="20"/>
                <w:lang w:eastAsia="en-AU"/>
              </w:rPr>
              <w:t>2021–22</w:t>
            </w:r>
          </w:p>
        </w:tc>
        <w:tc>
          <w:tcPr>
            <w:tcW w:w="1340" w:type="dxa"/>
            <w:noWrap/>
            <w:hideMark/>
          </w:tcPr>
          <w:p w14:paraId="7A303CBE" w14:textId="77777777" w:rsidR="000F50F0" w:rsidRPr="000F50F0" w:rsidRDefault="000F50F0" w:rsidP="000F50F0">
            <w:pPr>
              <w:spacing w:before="0" w:line="240" w:lineRule="auto"/>
              <w:rPr>
                <w:rFonts w:ascii="Arial" w:eastAsia="Times New Roman" w:hAnsi="Arial"/>
                <w:color w:val="auto"/>
                <w:sz w:val="20"/>
                <w:szCs w:val="20"/>
                <w:lang w:eastAsia="en-AU"/>
              </w:rPr>
            </w:pPr>
            <w:r w:rsidRPr="000F50F0">
              <w:rPr>
                <w:rFonts w:ascii="Arial" w:eastAsia="Times New Roman" w:hAnsi="Arial"/>
                <w:color w:val="auto"/>
                <w:sz w:val="20"/>
                <w:szCs w:val="20"/>
                <w:lang w:eastAsia="en-AU"/>
              </w:rPr>
              <w:t>Headcount**</w:t>
            </w:r>
          </w:p>
        </w:tc>
        <w:tc>
          <w:tcPr>
            <w:tcW w:w="960" w:type="dxa"/>
            <w:noWrap/>
            <w:hideMark/>
          </w:tcPr>
          <w:p w14:paraId="27973F3C" w14:textId="77777777" w:rsidR="000F50F0" w:rsidRPr="000F50F0" w:rsidRDefault="000F50F0" w:rsidP="000F50F0">
            <w:pPr>
              <w:spacing w:before="0" w:line="240" w:lineRule="auto"/>
              <w:jc w:val="right"/>
              <w:rPr>
                <w:rFonts w:ascii="Arial" w:eastAsia="Times New Roman" w:hAnsi="Arial"/>
                <w:color w:val="auto"/>
                <w:sz w:val="20"/>
                <w:szCs w:val="20"/>
                <w:lang w:eastAsia="en-AU"/>
              </w:rPr>
            </w:pPr>
            <w:r w:rsidRPr="000F50F0">
              <w:rPr>
                <w:rFonts w:ascii="Arial" w:eastAsia="Times New Roman" w:hAnsi="Arial"/>
                <w:color w:val="auto"/>
                <w:sz w:val="20"/>
                <w:szCs w:val="20"/>
                <w:lang w:eastAsia="en-AU"/>
              </w:rPr>
              <w:t>4982</w:t>
            </w:r>
          </w:p>
        </w:tc>
        <w:tc>
          <w:tcPr>
            <w:tcW w:w="960" w:type="dxa"/>
            <w:noWrap/>
            <w:hideMark/>
          </w:tcPr>
          <w:p w14:paraId="70619E29" w14:textId="77777777" w:rsidR="000F50F0" w:rsidRPr="000F50F0" w:rsidRDefault="000F50F0" w:rsidP="000F50F0">
            <w:pPr>
              <w:spacing w:before="0" w:line="240" w:lineRule="auto"/>
              <w:jc w:val="right"/>
              <w:rPr>
                <w:rFonts w:ascii="Arial" w:eastAsia="Times New Roman" w:hAnsi="Arial"/>
                <w:color w:val="auto"/>
                <w:sz w:val="20"/>
                <w:szCs w:val="20"/>
                <w:lang w:eastAsia="en-AU"/>
              </w:rPr>
            </w:pPr>
            <w:r w:rsidRPr="000F50F0">
              <w:rPr>
                <w:rFonts w:ascii="Arial" w:eastAsia="Times New Roman" w:hAnsi="Arial"/>
                <w:color w:val="auto"/>
                <w:sz w:val="20"/>
                <w:szCs w:val="20"/>
                <w:lang w:eastAsia="en-AU"/>
              </w:rPr>
              <w:t>4491</w:t>
            </w:r>
          </w:p>
        </w:tc>
        <w:tc>
          <w:tcPr>
            <w:tcW w:w="960" w:type="dxa"/>
            <w:noWrap/>
            <w:hideMark/>
          </w:tcPr>
          <w:p w14:paraId="6BFD8207" w14:textId="77777777" w:rsidR="000F50F0" w:rsidRPr="000F50F0" w:rsidRDefault="000F50F0" w:rsidP="000F50F0">
            <w:pPr>
              <w:spacing w:before="0" w:line="240" w:lineRule="auto"/>
              <w:rPr>
                <w:rFonts w:ascii="Arial" w:eastAsia="Times New Roman" w:hAnsi="Arial"/>
                <w:color w:val="auto"/>
                <w:sz w:val="20"/>
                <w:szCs w:val="20"/>
                <w:lang w:eastAsia="en-AU"/>
              </w:rPr>
            </w:pPr>
            <w:r w:rsidRPr="000F50F0">
              <w:rPr>
                <w:rFonts w:ascii="Arial" w:eastAsia="Times New Roman" w:hAnsi="Arial"/>
                <w:color w:val="auto"/>
                <w:sz w:val="20"/>
                <w:szCs w:val="20"/>
                <w:lang w:eastAsia="en-AU"/>
              </w:rPr>
              <w:t>&lt;5</w:t>
            </w:r>
          </w:p>
        </w:tc>
      </w:tr>
      <w:tr w:rsidR="000F50F0" w:rsidRPr="000F50F0" w14:paraId="4F3D7C8C" w14:textId="77777777" w:rsidTr="009754B5">
        <w:trPr>
          <w:trHeight w:val="290"/>
        </w:trPr>
        <w:tc>
          <w:tcPr>
            <w:tcW w:w="960" w:type="dxa"/>
            <w:vMerge/>
            <w:hideMark/>
          </w:tcPr>
          <w:p w14:paraId="74FCEB8C" w14:textId="77777777" w:rsidR="000F50F0" w:rsidRPr="000F50F0" w:rsidRDefault="000F50F0" w:rsidP="000F50F0">
            <w:pPr>
              <w:spacing w:before="0" w:line="240" w:lineRule="auto"/>
              <w:rPr>
                <w:rFonts w:ascii="Arial" w:eastAsia="Times New Roman" w:hAnsi="Arial"/>
                <w:color w:val="auto"/>
                <w:sz w:val="20"/>
                <w:szCs w:val="20"/>
                <w:lang w:eastAsia="en-AU"/>
              </w:rPr>
            </w:pPr>
          </w:p>
        </w:tc>
        <w:tc>
          <w:tcPr>
            <w:tcW w:w="1340" w:type="dxa"/>
            <w:noWrap/>
            <w:hideMark/>
          </w:tcPr>
          <w:p w14:paraId="25E54648" w14:textId="77777777" w:rsidR="000F50F0" w:rsidRPr="000F50F0" w:rsidRDefault="000F50F0" w:rsidP="000F50F0">
            <w:pPr>
              <w:spacing w:before="0" w:line="240" w:lineRule="auto"/>
              <w:rPr>
                <w:rFonts w:ascii="Arial" w:eastAsia="Times New Roman" w:hAnsi="Arial"/>
                <w:color w:val="auto"/>
                <w:sz w:val="20"/>
                <w:szCs w:val="20"/>
                <w:lang w:eastAsia="en-AU"/>
              </w:rPr>
            </w:pPr>
            <w:r w:rsidRPr="000F50F0">
              <w:rPr>
                <w:rFonts w:ascii="Arial" w:eastAsia="Times New Roman" w:hAnsi="Arial"/>
                <w:color w:val="auto"/>
                <w:sz w:val="20"/>
                <w:szCs w:val="20"/>
                <w:lang w:eastAsia="en-AU"/>
              </w:rPr>
              <w:t>% of TMR</w:t>
            </w:r>
          </w:p>
        </w:tc>
        <w:tc>
          <w:tcPr>
            <w:tcW w:w="960" w:type="dxa"/>
            <w:noWrap/>
            <w:hideMark/>
          </w:tcPr>
          <w:p w14:paraId="67C60BB3" w14:textId="77777777" w:rsidR="000F50F0" w:rsidRPr="000F50F0" w:rsidRDefault="000F50F0" w:rsidP="000F50F0">
            <w:pPr>
              <w:spacing w:before="0" w:line="240" w:lineRule="auto"/>
              <w:jc w:val="right"/>
              <w:rPr>
                <w:rFonts w:ascii="Arial" w:eastAsia="Times New Roman" w:hAnsi="Arial"/>
                <w:color w:val="auto"/>
                <w:sz w:val="20"/>
                <w:szCs w:val="20"/>
                <w:lang w:eastAsia="en-AU"/>
              </w:rPr>
            </w:pPr>
            <w:r w:rsidRPr="000F50F0">
              <w:rPr>
                <w:rFonts w:ascii="Arial" w:eastAsia="Times New Roman" w:hAnsi="Arial"/>
                <w:color w:val="auto"/>
                <w:sz w:val="20"/>
                <w:szCs w:val="20"/>
                <w:lang w:eastAsia="en-AU"/>
              </w:rPr>
              <w:t>53%</w:t>
            </w:r>
          </w:p>
        </w:tc>
        <w:tc>
          <w:tcPr>
            <w:tcW w:w="960" w:type="dxa"/>
            <w:noWrap/>
            <w:hideMark/>
          </w:tcPr>
          <w:p w14:paraId="33BBC02C" w14:textId="77777777" w:rsidR="000F50F0" w:rsidRPr="000F50F0" w:rsidRDefault="000F50F0" w:rsidP="000F50F0">
            <w:pPr>
              <w:spacing w:before="0" w:line="240" w:lineRule="auto"/>
              <w:jc w:val="right"/>
              <w:rPr>
                <w:rFonts w:ascii="Arial" w:eastAsia="Times New Roman" w:hAnsi="Arial"/>
                <w:color w:val="auto"/>
                <w:sz w:val="20"/>
                <w:szCs w:val="20"/>
                <w:lang w:eastAsia="en-AU"/>
              </w:rPr>
            </w:pPr>
            <w:r w:rsidRPr="000F50F0">
              <w:rPr>
                <w:rFonts w:ascii="Arial" w:eastAsia="Times New Roman" w:hAnsi="Arial"/>
                <w:color w:val="auto"/>
                <w:sz w:val="20"/>
                <w:szCs w:val="20"/>
                <w:lang w:eastAsia="en-AU"/>
              </w:rPr>
              <w:t>47%</w:t>
            </w:r>
          </w:p>
        </w:tc>
        <w:tc>
          <w:tcPr>
            <w:tcW w:w="960" w:type="dxa"/>
            <w:noWrap/>
            <w:hideMark/>
          </w:tcPr>
          <w:p w14:paraId="44C83246" w14:textId="77777777" w:rsidR="000F50F0" w:rsidRPr="000F50F0" w:rsidRDefault="000F50F0" w:rsidP="000F50F0">
            <w:pPr>
              <w:spacing w:before="0" w:line="240" w:lineRule="auto"/>
              <w:jc w:val="right"/>
              <w:rPr>
                <w:rFonts w:ascii="Arial" w:eastAsia="Times New Roman" w:hAnsi="Arial"/>
                <w:color w:val="auto"/>
                <w:sz w:val="20"/>
                <w:szCs w:val="20"/>
                <w:lang w:eastAsia="en-AU"/>
              </w:rPr>
            </w:pPr>
            <w:r w:rsidRPr="000F50F0">
              <w:rPr>
                <w:rFonts w:ascii="Arial" w:eastAsia="Times New Roman" w:hAnsi="Arial"/>
                <w:color w:val="auto"/>
                <w:sz w:val="20"/>
                <w:szCs w:val="20"/>
                <w:lang w:eastAsia="en-AU"/>
              </w:rPr>
              <w:t>0.01%</w:t>
            </w:r>
          </w:p>
        </w:tc>
      </w:tr>
    </w:tbl>
    <w:p w14:paraId="20C697EC" w14:textId="221CF11F" w:rsidR="00F000AA" w:rsidRPr="00DE28FC" w:rsidRDefault="00626F97" w:rsidP="00626F97">
      <w:pPr>
        <w:rPr>
          <w:rFonts w:eastAsiaTheme="minorEastAsia" w:cstheme="minorBidi"/>
          <w:i/>
          <w:color w:val="595959" w:themeColor="text1" w:themeTint="A6"/>
          <w:sz w:val="16"/>
        </w:rPr>
      </w:pPr>
      <w:r w:rsidRPr="00626F97">
        <w:rPr>
          <w:rFonts w:eastAsiaTheme="minorEastAsia" w:cstheme="minorBidi"/>
          <w:i/>
          <w:color w:val="595959" w:themeColor="text1" w:themeTint="A6"/>
          <w:sz w:val="16"/>
        </w:rPr>
        <w:lastRenderedPageBreak/>
        <w:t>Data Source: TMR SAP Business Warehouse</w:t>
      </w:r>
      <w:r>
        <w:rPr>
          <w:rFonts w:eastAsiaTheme="minorEastAsia" w:cstheme="minorBidi"/>
          <w:i/>
          <w:color w:val="595959" w:themeColor="text1" w:themeTint="A6"/>
          <w:sz w:val="16"/>
        </w:rPr>
        <w:br/>
      </w:r>
      <w:r w:rsidRPr="00626F97">
        <w:rPr>
          <w:rFonts w:eastAsiaTheme="minorEastAsia" w:cstheme="minorBidi"/>
          <w:i/>
          <w:color w:val="595959" w:themeColor="text1" w:themeTint="A6"/>
          <w:sz w:val="16"/>
        </w:rPr>
        <w:t>1 To ensure privacy, in tables where there are less than 5 respondents in a category, specific numbers should be replaced by &lt;5.</w:t>
      </w:r>
      <w:r>
        <w:rPr>
          <w:rFonts w:eastAsiaTheme="minorEastAsia" w:cstheme="minorBidi"/>
          <w:i/>
          <w:color w:val="595959" w:themeColor="text1" w:themeTint="A6"/>
          <w:sz w:val="16"/>
        </w:rPr>
        <w:br/>
      </w:r>
      <w:r w:rsidRPr="00626F97">
        <w:rPr>
          <w:rFonts w:eastAsiaTheme="minorEastAsia" w:cstheme="minorBidi"/>
          <w:i/>
          <w:color w:val="595959" w:themeColor="text1" w:themeTint="A6"/>
          <w:sz w:val="16"/>
        </w:rPr>
        <w:t>2 Women in Leadership Roles are considered those positions that are Senior Officer and equivalent and above.</w:t>
      </w:r>
      <w:r>
        <w:rPr>
          <w:rFonts w:eastAsiaTheme="minorEastAsia" w:cstheme="minorBidi"/>
          <w:i/>
          <w:color w:val="595959" w:themeColor="text1" w:themeTint="A6"/>
          <w:sz w:val="16"/>
        </w:rPr>
        <w:br/>
      </w:r>
      <w:r w:rsidRPr="00626F97">
        <w:rPr>
          <w:rFonts w:eastAsiaTheme="minorEastAsia" w:cstheme="minorBidi"/>
          <w:i/>
          <w:color w:val="595959" w:themeColor="text1" w:themeTint="A6"/>
          <w:sz w:val="16"/>
        </w:rPr>
        <w:t>** Headcount is the actual number of employees at a point in time.</w:t>
      </w:r>
      <w:r w:rsidR="00DE28FC">
        <w:rPr>
          <w:rFonts w:eastAsiaTheme="minorEastAsia" w:cstheme="minorBidi"/>
          <w:i/>
          <w:color w:val="595959" w:themeColor="text1" w:themeTint="A6"/>
          <w:sz w:val="16"/>
        </w:rPr>
        <w:br/>
      </w:r>
      <w:r w:rsidRPr="00626F97">
        <w:rPr>
          <w:rFonts w:eastAsiaTheme="minorEastAsia" w:cstheme="minorBidi"/>
          <w:i/>
          <w:color w:val="595959" w:themeColor="text1" w:themeTint="A6"/>
          <w:sz w:val="16"/>
        </w:rPr>
        <w:t>*** The data decrease for Culturally and Linguistically Diverse—Speak a language at home other than English (including Aboriginal and Torres Strait Islander languages or Australian South Sea Islander languages) can be attributed to the Public Service Commission providing new questions to more accurately capture CALD information when the EEO census was reviewed.</w:t>
      </w:r>
    </w:p>
    <w:p w14:paraId="4F97E777" w14:textId="3FEDD09D" w:rsidR="006800C7" w:rsidRDefault="006800C7" w:rsidP="001D2DBE">
      <w:pPr>
        <w:rPr>
          <w:rStyle w:val="Strong"/>
        </w:rPr>
      </w:pPr>
      <w:r>
        <w:rPr>
          <w:rStyle w:val="Strong"/>
        </w:rPr>
        <w:t xml:space="preserve">Table </w:t>
      </w:r>
      <w:r w:rsidR="00DE28FC">
        <w:rPr>
          <w:rStyle w:val="Strong"/>
        </w:rPr>
        <w:t>6</w:t>
      </w:r>
      <w:r>
        <w:rPr>
          <w:rStyle w:val="Strong"/>
        </w:rPr>
        <w:t>: Comparative Workforce data as at 1</w:t>
      </w:r>
      <w:r w:rsidR="00DE28FC">
        <w:rPr>
          <w:rStyle w:val="Strong"/>
        </w:rPr>
        <w:t>7</w:t>
      </w:r>
      <w:r>
        <w:rPr>
          <w:rStyle w:val="Strong"/>
        </w:rPr>
        <w:t xml:space="preserve"> June 2021</w:t>
      </w:r>
    </w:p>
    <w:p w14:paraId="11979BCC" w14:textId="77777777" w:rsidR="006800C7" w:rsidRPr="00CD18D8" w:rsidRDefault="006800C7" w:rsidP="006800C7">
      <w:r>
        <w:rPr>
          <w:rStyle w:val="Strong"/>
        </w:rPr>
        <w:t>Headcount</w:t>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p>
    <w:tbl>
      <w:tblPr>
        <w:tblStyle w:val="Style1"/>
        <w:tblW w:w="9070" w:type="dxa"/>
        <w:tblLook w:val="04A0" w:firstRow="1" w:lastRow="0" w:firstColumn="1" w:lastColumn="0" w:noHBand="0" w:noVBand="1"/>
      </w:tblPr>
      <w:tblGrid>
        <w:gridCol w:w="1128"/>
        <w:gridCol w:w="1140"/>
        <w:gridCol w:w="1134"/>
        <w:gridCol w:w="937"/>
        <w:gridCol w:w="764"/>
        <w:gridCol w:w="426"/>
        <w:gridCol w:w="1072"/>
        <w:gridCol w:w="936"/>
        <w:gridCol w:w="937"/>
        <w:gridCol w:w="596"/>
      </w:tblGrid>
      <w:tr w:rsidR="006800C7" w:rsidRPr="008B5A09" w14:paraId="496EB9B0" w14:textId="77777777" w:rsidTr="00F31956">
        <w:trPr>
          <w:cnfStyle w:val="100000000000" w:firstRow="1" w:lastRow="0" w:firstColumn="0" w:lastColumn="0" w:oddVBand="0" w:evenVBand="0" w:oddHBand="0" w:evenHBand="0" w:firstRowFirstColumn="0" w:firstRowLastColumn="0" w:lastRowFirstColumn="0" w:lastRowLastColumn="0"/>
          <w:trHeight w:val="150"/>
        </w:trPr>
        <w:tc>
          <w:tcPr>
            <w:tcW w:w="1128" w:type="dxa"/>
            <w:noWrap/>
            <w:hideMark/>
          </w:tcPr>
          <w:p w14:paraId="0040933E" w14:textId="77777777" w:rsidR="006800C7" w:rsidRPr="00BB413F" w:rsidRDefault="006800C7" w:rsidP="00F31956">
            <w:r>
              <w:t xml:space="preserve"> </w:t>
            </w:r>
          </w:p>
        </w:tc>
        <w:tc>
          <w:tcPr>
            <w:tcW w:w="3975" w:type="dxa"/>
            <w:gridSpan w:val="4"/>
            <w:noWrap/>
          </w:tcPr>
          <w:p w14:paraId="485D527E" w14:textId="77777777" w:rsidR="006800C7" w:rsidRPr="00C62589" w:rsidRDefault="006800C7" w:rsidP="00F31956">
            <w:r>
              <w:t>Headcount</w:t>
            </w:r>
          </w:p>
        </w:tc>
        <w:tc>
          <w:tcPr>
            <w:tcW w:w="426" w:type="dxa"/>
          </w:tcPr>
          <w:p w14:paraId="3F32829E" w14:textId="77777777" w:rsidR="006800C7" w:rsidRPr="00C62589" w:rsidRDefault="006800C7" w:rsidP="00F31956"/>
        </w:tc>
        <w:tc>
          <w:tcPr>
            <w:tcW w:w="3541" w:type="dxa"/>
            <w:gridSpan w:val="4"/>
          </w:tcPr>
          <w:p w14:paraId="0FC9BD45" w14:textId="77777777" w:rsidR="006800C7" w:rsidRPr="00C62589" w:rsidRDefault="006800C7" w:rsidP="00F31956">
            <w:r>
              <w:t>Full Time Equivalent (FTE)</w:t>
            </w:r>
          </w:p>
        </w:tc>
      </w:tr>
      <w:tr w:rsidR="006800C7" w:rsidRPr="008B5A09" w14:paraId="6033F374" w14:textId="77777777" w:rsidTr="00F31956">
        <w:trPr>
          <w:trHeight w:val="158"/>
        </w:trPr>
        <w:tc>
          <w:tcPr>
            <w:tcW w:w="1128" w:type="dxa"/>
            <w:noWrap/>
            <w:hideMark/>
          </w:tcPr>
          <w:p w14:paraId="37D66290" w14:textId="77777777" w:rsidR="006800C7" w:rsidRPr="00BB413F" w:rsidRDefault="006800C7" w:rsidP="00F31956">
            <w:r>
              <w:t>Gender</w:t>
            </w:r>
          </w:p>
        </w:tc>
        <w:tc>
          <w:tcPr>
            <w:tcW w:w="1140" w:type="dxa"/>
            <w:noWrap/>
            <w:hideMark/>
          </w:tcPr>
          <w:p w14:paraId="36900F0C" w14:textId="77777777" w:rsidR="006800C7" w:rsidRPr="00BB413F" w:rsidRDefault="006800C7" w:rsidP="00F31956">
            <w:r>
              <w:t>FULL TIME</w:t>
            </w:r>
          </w:p>
        </w:tc>
        <w:tc>
          <w:tcPr>
            <w:tcW w:w="1134" w:type="dxa"/>
            <w:noWrap/>
            <w:hideMark/>
          </w:tcPr>
          <w:p w14:paraId="4F9E05F1" w14:textId="77777777" w:rsidR="006800C7" w:rsidRPr="00BB413F" w:rsidRDefault="006800C7" w:rsidP="00F31956">
            <w:r>
              <w:t>PART TIME</w:t>
            </w:r>
          </w:p>
        </w:tc>
        <w:tc>
          <w:tcPr>
            <w:tcW w:w="937" w:type="dxa"/>
            <w:noWrap/>
            <w:hideMark/>
          </w:tcPr>
          <w:p w14:paraId="7C56CC6F" w14:textId="77777777" w:rsidR="006800C7" w:rsidRPr="00BB413F" w:rsidRDefault="006800C7" w:rsidP="00F31956">
            <w:r>
              <w:t>CASUAL</w:t>
            </w:r>
          </w:p>
        </w:tc>
        <w:tc>
          <w:tcPr>
            <w:tcW w:w="764" w:type="dxa"/>
          </w:tcPr>
          <w:p w14:paraId="28EDAF05" w14:textId="77777777" w:rsidR="006800C7" w:rsidRPr="00C62589" w:rsidRDefault="006800C7" w:rsidP="00F31956">
            <w:r>
              <w:t>Total</w:t>
            </w:r>
          </w:p>
        </w:tc>
        <w:tc>
          <w:tcPr>
            <w:tcW w:w="426" w:type="dxa"/>
          </w:tcPr>
          <w:p w14:paraId="41600D7C" w14:textId="77777777" w:rsidR="006800C7" w:rsidRPr="00C62589" w:rsidRDefault="006800C7" w:rsidP="00F31956"/>
        </w:tc>
        <w:tc>
          <w:tcPr>
            <w:tcW w:w="1072" w:type="dxa"/>
          </w:tcPr>
          <w:p w14:paraId="1CF23081" w14:textId="77777777" w:rsidR="006800C7" w:rsidRPr="00C62589" w:rsidRDefault="006800C7" w:rsidP="00F31956">
            <w:r>
              <w:t>FULL TIME</w:t>
            </w:r>
          </w:p>
        </w:tc>
        <w:tc>
          <w:tcPr>
            <w:tcW w:w="936" w:type="dxa"/>
          </w:tcPr>
          <w:p w14:paraId="123B9244" w14:textId="77777777" w:rsidR="006800C7" w:rsidRPr="00C62589" w:rsidRDefault="006800C7" w:rsidP="00F31956">
            <w:r>
              <w:t>PART TIME</w:t>
            </w:r>
          </w:p>
        </w:tc>
        <w:tc>
          <w:tcPr>
            <w:tcW w:w="937" w:type="dxa"/>
          </w:tcPr>
          <w:p w14:paraId="12670689" w14:textId="77777777" w:rsidR="006800C7" w:rsidRPr="00C62589" w:rsidRDefault="006800C7" w:rsidP="00F31956">
            <w:r>
              <w:t>CASUAL</w:t>
            </w:r>
          </w:p>
        </w:tc>
        <w:tc>
          <w:tcPr>
            <w:tcW w:w="596" w:type="dxa"/>
          </w:tcPr>
          <w:p w14:paraId="1572625B" w14:textId="77777777" w:rsidR="006800C7" w:rsidRPr="00C62589" w:rsidRDefault="006800C7" w:rsidP="00F31956">
            <w:r>
              <w:t>Total</w:t>
            </w:r>
          </w:p>
        </w:tc>
      </w:tr>
      <w:tr w:rsidR="006800C7" w:rsidRPr="008B5A09" w14:paraId="73FAD5D5" w14:textId="77777777" w:rsidTr="00F31956">
        <w:trPr>
          <w:trHeight w:val="265"/>
        </w:trPr>
        <w:tc>
          <w:tcPr>
            <w:tcW w:w="1128" w:type="dxa"/>
            <w:noWrap/>
          </w:tcPr>
          <w:p w14:paraId="440FA466" w14:textId="77777777" w:rsidR="006800C7" w:rsidRPr="00BB413F" w:rsidRDefault="006800C7" w:rsidP="00F31956">
            <w:r>
              <w:t>Female</w:t>
            </w:r>
          </w:p>
        </w:tc>
        <w:tc>
          <w:tcPr>
            <w:tcW w:w="1140" w:type="dxa"/>
            <w:noWrap/>
          </w:tcPr>
          <w:p w14:paraId="2722AF2E" w14:textId="5549AD18" w:rsidR="006800C7" w:rsidRPr="00BB413F" w:rsidRDefault="00570700" w:rsidP="00F31956">
            <w:r>
              <w:t>2730</w:t>
            </w:r>
          </w:p>
        </w:tc>
        <w:tc>
          <w:tcPr>
            <w:tcW w:w="1134" w:type="dxa"/>
            <w:noWrap/>
          </w:tcPr>
          <w:p w14:paraId="78A72E2E" w14:textId="77777777" w:rsidR="006800C7" w:rsidRPr="00BB413F" w:rsidRDefault="006800C7" w:rsidP="00F31956">
            <w:r>
              <w:t>814</w:t>
            </w:r>
          </w:p>
        </w:tc>
        <w:tc>
          <w:tcPr>
            <w:tcW w:w="937" w:type="dxa"/>
            <w:noWrap/>
          </w:tcPr>
          <w:p w14:paraId="40A39CF0" w14:textId="3616D20B" w:rsidR="006800C7" w:rsidRPr="00BB413F" w:rsidRDefault="006800C7" w:rsidP="00F31956">
            <w:r>
              <w:t>1</w:t>
            </w:r>
            <w:r w:rsidR="00570700">
              <w:t>438</w:t>
            </w:r>
          </w:p>
        </w:tc>
        <w:tc>
          <w:tcPr>
            <w:tcW w:w="764" w:type="dxa"/>
          </w:tcPr>
          <w:p w14:paraId="5FC87156" w14:textId="7BDC6627" w:rsidR="006800C7" w:rsidRPr="00C62589" w:rsidRDefault="00570700" w:rsidP="00F31956">
            <w:r>
              <w:t>4982</w:t>
            </w:r>
          </w:p>
        </w:tc>
        <w:tc>
          <w:tcPr>
            <w:tcW w:w="426" w:type="dxa"/>
          </w:tcPr>
          <w:p w14:paraId="27B0DB64" w14:textId="77777777" w:rsidR="006800C7" w:rsidRPr="00C62589" w:rsidRDefault="006800C7" w:rsidP="00F31956"/>
        </w:tc>
        <w:tc>
          <w:tcPr>
            <w:tcW w:w="1072" w:type="dxa"/>
          </w:tcPr>
          <w:p w14:paraId="46DD5B6D" w14:textId="097E6392" w:rsidR="006800C7" w:rsidRPr="00C62589" w:rsidRDefault="006800C7" w:rsidP="00F31956">
            <w:r>
              <w:t>26</w:t>
            </w:r>
            <w:r w:rsidR="00570700">
              <w:t>66</w:t>
            </w:r>
          </w:p>
        </w:tc>
        <w:tc>
          <w:tcPr>
            <w:tcW w:w="936" w:type="dxa"/>
          </w:tcPr>
          <w:p w14:paraId="3509451B" w14:textId="20A65EF8" w:rsidR="006800C7" w:rsidRPr="00C62589" w:rsidRDefault="006800C7" w:rsidP="00F31956">
            <w:r>
              <w:t>5</w:t>
            </w:r>
            <w:r w:rsidR="00570700">
              <w:t>58</w:t>
            </w:r>
          </w:p>
        </w:tc>
        <w:tc>
          <w:tcPr>
            <w:tcW w:w="937" w:type="dxa"/>
          </w:tcPr>
          <w:p w14:paraId="3FACF4DA" w14:textId="3D12DE78" w:rsidR="006800C7" w:rsidRPr="00C62589" w:rsidRDefault="006800C7" w:rsidP="00F31956">
            <w:r>
              <w:t>2</w:t>
            </w:r>
            <w:r w:rsidR="00570700">
              <w:t>14</w:t>
            </w:r>
          </w:p>
        </w:tc>
        <w:tc>
          <w:tcPr>
            <w:tcW w:w="596" w:type="dxa"/>
          </w:tcPr>
          <w:p w14:paraId="693A1314" w14:textId="705BFF96" w:rsidR="006800C7" w:rsidRPr="00C62589" w:rsidRDefault="006800C7" w:rsidP="00F31956">
            <w:r>
              <w:t>34</w:t>
            </w:r>
            <w:r w:rsidR="00570700">
              <w:t>38</w:t>
            </w:r>
          </w:p>
        </w:tc>
      </w:tr>
      <w:tr w:rsidR="006800C7" w:rsidRPr="008B5A09" w14:paraId="5666BC43" w14:textId="77777777" w:rsidTr="00F31956">
        <w:trPr>
          <w:trHeight w:val="265"/>
        </w:trPr>
        <w:tc>
          <w:tcPr>
            <w:tcW w:w="1128" w:type="dxa"/>
            <w:noWrap/>
          </w:tcPr>
          <w:p w14:paraId="78EA37F9" w14:textId="77777777" w:rsidR="006800C7" w:rsidRPr="00C62589" w:rsidRDefault="006800C7" w:rsidP="00F31956">
            <w:r>
              <w:t>Male</w:t>
            </w:r>
          </w:p>
        </w:tc>
        <w:tc>
          <w:tcPr>
            <w:tcW w:w="1140" w:type="dxa"/>
            <w:noWrap/>
          </w:tcPr>
          <w:p w14:paraId="4C72455D" w14:textId="65947A4A" w:rsidR="006800C7" w:rsidRPr="00C62589" w:rsidRDefault="006800C7" w:rsidP="00F31956">
            <w:r>
              <w:t>38</w:t>
            </w:r>
            <w:r w:rsidR="00570700">
              <w:t>75</w:t>
            </w:r>
          </w:p>
        </w:tc>
        <w:tc>
          <w:tcPr>
            <w:tcW w:w="1134" w:type="dxa"/>
            <w:noWrap/>
          </w:tcPr>
          <w:p w14:paraId="56DBEF01" w14:textId="68D545B6" w:rsidR="006800C7" w:rsidRPr="00C62589" w:rsidRDefault="006800C7" w:rsidP="00F31956">
            <w:r>
              <w:t>9</w:t>
            </w:r>
            <w:r w:rsidR="00570700">
              <w:t>3</w:t>
            </w:r>
          </w:p>
        </w:tc>
        <w:tc>
          <w:tcPr>
            <w:tcW w:w="937" w:type="dxa"/>
            <w:noWrap/>
          </w:tcPr>
          <w:p w14:paraId="4E6CDA9F" w14:textId="36F092BA" w:rsidR="006800C7" w:rsidRPr="00C62589" w:rsidRDefault="006800C7" w:rsidP="00F31956">
            <w:r>
              <w:t>5</w:t>
            </w:r>
            <w:r w:rsidR="00570700">
              <w:t>23</w:t>
            </w:r>
          </w:p>
        </w:tc>
        <w:tc>
          <w:tcPr>
            <w:tcW w:w="764" w:type="dxa"/>
          </w:tcPr>
          <w:p w14:paraId="410BD6C2" w14:textId="7F0F3F94" w:rsidR="006800C7" w:rsidRPr="00C62589" w:rsidRDefault="006800C7" w:rsidP="00F31956">
            <w:r>
              <w:t>44</w:t>
            </w:r>
            <w:r w:rsidR="00570700">
              <w:t>91</w:t>
            </w:r>
          </w:p>
        </w:tc>
        <w:tc>
          <w:tcPr>
            <w:tcW w:w="426" w:type="dxa"/>
          </w:tcPr>
          <w:p w14:paraId="7E3AB7E0" w14:textId="77777777" w:rsidR="006800C7" w:rsidRPr="00C62589" w:rsidRDefault="006800C7" w:rsidP="00F31956"/>
        </w:tc>
        <w:tc>
          <w:tcPr>
            <w:tcW w:w="1072" w:type="dxa"/>
          </w:tcPr>
          <w:p w14:paraId="2DACFFB1" w14:textId="7D7F8CB8" w:rsidR="006800C7" w:rsidRPr="00C62589" w:rsidRDefault="006800C7" w:rsidP="00F31956">
            <w:r>
              <w:t>38</w:t>
            </w:r>
            <w:r w:rsidR="00570700">
              <w:t>14</w:t>
            </w:r>
          </w:p>
        </w:tc>
        <w:tc>
          <w:tcPr>
            <w:tcW w:w="936" w:type="dxa"/>
          </w:tcPr>
          <w:p w14:paraId="60D9F1C1" w14:textId="2666CDCD" w:rsidR="006800C7" w:rsidRPr="00C62589" w:rsidRDefault="006800C7" w:rsidP="00F31956">
            <w:r>
              <w:t>6</w:t>
            </w:r>
            <w:r w:rsidR="00570700">
              <w:t>5</w:t>
            </w:r>
          </w:p>
        </w:tc>
        <w:tc>
          <w:tcPr>
            <w:tcW w:w="937" w:type="dxa"/>
          </w:tcPr>
          <w:p w14:paraId="241C6BC1" w14:textId="77777777" w:rsidR="006800C7" w:rsidRPr="00C62589" w:rsidRDefault="006800C7" w:rsidP="00F31956">
            <w:r>
              <w:t>87</w:t>
            </w:r>
          </w:p>
        </w:tc>
        <w:tc>
          <w:tcPr>
            <w:tcW w:w="596" w:type="dxa"/>
          </w:tcPr>
          <w:p w14:paraId="715EA181" w14:textId="7D421BC6" w:rsidR="006800C7" w:rsidRPr="00C62589" w:rsidRDefault="006800C7" w:rsidP="00F31956">
            <w:r>
              <w:t>39</w:t>
            </w:r>
            <w:r w:rsidR="00570700">
              <w:t>66</w:t>
            </w:r>
          </w:p>
        </w:tc>
      </w:tr>
      <w:tr w:rsidR="00570700" w:rsidRPr="008B5A09" w14:paraId="79A578BD" w14:textId="77777777" w:rsidTr="00F31956">
        <w:trPr>
          <w:trHeight w:val="265"/>
        </w:trPr>
        <w:tc>
          <w:tcPr>
            <w:tcW w:w="1128" w:type="dxa"/>
            <w:noWrap/>
          </w:tcPr>
          <w:p w14:paraId="577E85A8" w14:textId="30CCB4B4" w:rsidR="00570700" w:rsidRDefault="00570700" w:rsidP="00F31956">
            <w:r>
              <w:t>Non-Binary</w:t>
            </w:r>
          </w:p>
        </w:tc>
        <w:tc>
          <w:tcPr>
            <w:tcW w:w="1140" w:type="dxa"/>
            <w:noWrap/>
          </w:tcPr>
          <w:p w14:paraId="2BDA61FD" w14:textId="383D2027" w:rsidR="00570700" w:rsidRDefault="00570700" w:rsidP="00F31956">
            <w:r>
              <w:t>1</w:t>
            </w:r>
          </w:p>
        </w:tc>
        <w:tc>
          <w:tcPr>
            <w:tcW w:w="1134" w:type="dxa"/>
            <w:noWrap/>
          </w:tcPr>
          <w:p w14:paraId="73EDE639" w14:textId="1C074BF1" w:rsidR="00570700" w:rsidRDefault="00570700" w:rsidP="00F31956">
            <w:r>
              <w:t>0</w:t>
            </w:r>
          </w:p>
        </w:tc>
        <w:tc>
          <w:tcPr>
            <w:tcW w:w="937" w:type="dxa"/>
            <w:noWrap/>
          </w:tcPr>
          <w:p w14:paraId="08A60535" w14:textId="5EF912DF" w:rsidR="00570700" w:rsidRDefault="00570700" w:rsidP="00F31956">
            <w:r>
              <w:t>0</w:t>
            </w:r>
          </w:p>
        </w:tc>
        <w:tc>
          <w:tcPr>
            <w:tcW w:w="764" w:type="dxa"/>
          </w:tcPr>
          <w:p w14:paraId="64227654" w14:textId="1455E94E" w:rsidR="00570700" w:rsidRDefault="00570700" w:rsidP="00F31956">
            <w:r>
              <w:t>1</w:t>
            </w:r>
          </w:p>
        </w:tc>
        <w:tc>
          <w:tcPr>
            <w:tcW w:w="426" w:type="dxa"/>
          </w:tcPr>
          <w:p w14:paraId="19225793" w14:textId="77777777" w:rsidR="00570700" w:rsidRPr="00C62589" w:rsidRDefault="00570700" w:rsidP="00F31956"/>
        </w:tc>
        <w:tc>
          <w:tcPr>
            <w:tcW w:w="1072" w:type="dxa"/>
          </w:tcPr>
          <w:p w14:paraId="55865AD3" w14:textId="3EE40537" w:rsidR="00570700" w:rsidRDefault="00570700" w:rsidP="00F31956">
            <w:r>
              <w:t>1</w:t>
            </w:r>
          </w:p>
        </w:tc>
        <w:tc>
          <w:tcPr>
            <w:tcW w:w="936" w:type="dxa"/>
          </w:tcPr>
          <w:p w14:paraId="1E5721E1" w14:textId="4CA8EB71" w:rsidR="00570700" w:rsidRDefault="00570700" w:rsidP="00F31956">
            <w:r>
              <w:t>0</w:t>
            </w:r>
          </w:p>
        </w:tc>
        <w:tc>
          <w:tcPr>
            <w:tcW w:w="937" w:type="dxa"/>
          </w:tcPr>
          <w:p w14:paraId="0FBB6452" w14:textId="075D2D70" w:rsidR="00570700" w:rsidRDefault="00570700" w:rsidP="00F31956">
            <w:r>
              <w:t>0</w:t>
            </w:r>
          </w:p>
        </w:tc>
        <w:tc>
          <w:tcPr>
            <w:tcW w:w="596" w:type="dxa"/>
          </w:tcPr>
          <w:p w14:paraId="23045E61" w14:textId="1CA4DDEF" w:rsidR="00570700" w:rsidRDefault="00570700" w:rsidP="00F31956">
            <w:r>
              <w:t>1</w:t>
            </w:r>
          </w:p>
        </w:tc>
      </w:tr>
      <w:tr w:rsidR="006800C7" w:rsidRPr="008B5A09" w14:paraId="7A0F83AF" w14:textId="77777777" w:rsidTr="00F31956">
        <w:trPr>
          <w:trHeight w:val="265"/>
        </w:trPr>
        <w:tc>
          <w:tcPr>
            <w:tcW w:w="1128" w:type="dxa"/>
            <w:noWrap/>
          </w:tcPr>
          <w:p w14:paraId="3E512D7B" w14:textId="77777777" w:rsidR="006800C7" w:rsidRDefault="006800C7" w:rsidP="00F31956">
            <w:r>
              <w:t>Grand Total</w:t>
            </w:r>
          </w:p>
        </w:tc>
        <w:tc>
          <w:tcPr>
            <w:tcW w:w="1140" w:type="dxa"/>
            <w:noWrap/>
          </w:tcPr>
          <w:p w14:paraId="4B4AAB0A" w14:textId="067269E8" w:rsidR="006800C7" w:rsidRPr="00C62589" w:rsidRDefault="006800C7" w:rsidP="00F31956">
            <w:r>
              <w:t>6</w:t>
            </w:r>
            <w:r w:rsidR="00570700">
              <w:t>606</w:t>
            </w:r>
          </w:p>
        </w:tc>
        <w:tc>
          <w:tcPr>
            <w:tcW w:w="1134" w:type="dxa"/>
            <w:noWrap/>
          </w:tcPr>
          <w:p w14:paraId="0A9072EE" w14:textId="63046BD3" w:rsidR="006800C7" w:rsidRPr="00C62589" w:rsidRDefault="006800C7" w:rsidP="00F31956">
            <w:r>
              <w:t>90</w:t>
            </w:r>
            <w:r w:rsidR="00570700">
              <w:t>7</w:t>
            </w:r>
          </w:p>
        </w:tc>
        <w:tc>
          <w:tcPr>
            <w:tcW w:w="937" w:type="dxa"/>
            <w:noWrap/>
          </w:tcPr>
          <w:p w14:paraId="6295D532" w14:textId="691821AA" w:rsidR="006800C7" w:rsidRPr="00C62589" w:rsidRDefault="00570700" w:rsidP="00F31956">
            <w:r>
              <w:t>1961</w:t>
            </w:r>
          </w:p>
        </w:tc>
        <w:tc>
          <w:tcPr>
            <w:tcW w:w="764" w:type="dxa"/>
          </w:tcPr>
          <w:p w14:paraId="2920DCF8" w14:textId="4A3422C1" w:rsidR="006800C7" w:rsidRPr="00C62589" w:rsidRDefault="006800C7" w:rsidP="00F31956">
            <w:r>
              <w:t>94</w:t>
            </w:r>
            <w:r w:rsidR="00570700">
              <w:t>74</w:t>
            </w:r>
          </w:p>
        </w:tc>
        <w:tc>
          <w:tcPr>
            <w:tcW w:w="426" w:type="dxa"/>
          </w:tcPr>
          <w:p w14:paraId="6CC9EEF5" w14:textId="77777777" w:rsidR="006800C7" w:rsidRPr="00C62589" w:rsidRDefault="006800C7" w:rsidP="00F31956"/>
        </w:tc>
        <w:tc>
          <w:tcPr>
            <w:tcW w:w="1072" w:type="dxa"/>
          </w:tcPr>
          <w:p w14:paraId="19E1172E" w14:textId="3A128858" w:rsidR="006800C7" w:rsidRPr="00C62589" w:rsidRDefault="006800C7" w:rsidP="00F31956">
            <w:r>
              <w:t>64</w:t>
            </w:r>
            <w:r w:rsidR="00570700">
              <w:t>81</w:t>
            </w:r>
          </w:p>
        </w:tc>
        <w:tc>
          <w:tcPr>
            <w:tcW w:w="936" w:type="dxa"/>
          </w:tcPr>
          <w:p w14:paraId="6B430205" w14:textId="43DE133E" w:rsidR="006800C7" w:rsidRPr="00C62589" w:rsidRDefault="006800C7" w:rsidP="00F31956">
            <w:r>
              <w:t>6</w:t>
            </w:r>
            <w:r w:rsidR="00570700">
              <w:t>23</w:t>
            </w:r>
          </w:p>
        </w:tc>
        <w:tc>
          <w:tcPr>
            <w:tcW w:w="937" w:type="dxa"/>
          </w:tcPr>
          <w:p w14:paraId="04B17082" w14:textId="56CEC824" w:rsidR="006800C7" w:rsidRPr="00C62589" w:rsidRDefault="006800C7" w:rsidP="00F31956">
            <w:r>
              <w:t>3</w:t>
            </w:r>
            <w:r w:rsidR="00570700">
              <w:t>01</w:t>
            </w:r>
          </w:p>
        </w:tc>
        <w:tc>
          <w:tcPr>
            <w:tcW w:w="596" w:type="dxa"/>
          </w:tcPr>
          <w:p w14:paraId="2635D3EA" w14:textId="0087398D" w:rsidR="006800C7" w:rsidRPr="00C62589" w:rsidRDefault="006800C7" w:rsidP="00F31956">
            <w:r>
              <w:t>7</w:t>
            </w:r>
            <w:r w:rsidR="00570700">
              <w:t>405</w:t>
            </w:r>
          </w:p>
        </w:tc>
      </w:tr>
    </w:tbl>
    <w:p w14:paraId="403BBBF2" w14:textId="77777777" w:rsidR="006800C7" w:rsidRDefault="006800C7" w:rsidP="006800C7">
      <w:pPr>
        <w:pStyle w:val="Heading4"/>
      </w:pPr>
    </w:p>
    <w:tbl>
      <w:tblPr>
        <w:tblStyle w:val="Style1"/>
        <w:tblW w:w="9070" w:type="dxa"/>
        <w:tblLook w:val="04A0" w:firstRow="1" w:lastRow="0" w:firstColumn="1" w:lastColumn="0" w:noHBand="0" w:noVBand="1"/>
      </w:tblPr>
      <w:tblGrid>
        <w:gridCol w:w="1276"/>
        <w:gridCol w:w="992"/>
        <w:gridCol w:w="993"/>
        <w:gridCol w:w="937"/>
        <w:gridCol w:w="844"/>
        <w:gridCol w:w="540"/>
        <w:gridCol w:w="797"/>
        <w:gridCol w:w="992"/>
        <w:gridCol w:w="993"/>
        <w:gridCol w:w="706"/>
      </w:tblGrid>
      <w:tr w:rsidR="006800C7" w:rsidRPr="008B5A09" w14:paraId="17E4909E" w14:textId="77777777" w:rsidTr="00F31956">
        <w:trPr>
          <w:cnfStyle w:val="100000000000" w:firstRow="1" w:lastRow="0" w:firstColumn="0" w:lastColumn="0" w:oddVBand="0" w:evenVBand="0" w:oddHBand="0" w:evenHBand="0" w:firstRowFirstColumn="0" w:firstRowLastColumn="0" w:lastRowFirstColumn="0" w:lastRowLastColumn="0"/>
          <w:trHeight w:val="150"/>
        </w:trPr>
        <w:tc>
          <w:tcPr>
            <w:tcW w:w="1276" w:type="dxa"/>
            <w:noWrap/>
            <w:hideMark/>
          </w:tcPr>
          <w:p w14:paraId="4EA617FE" w14:textId="77777777" w:rsidR="006800C7" w:rsidRPr="00BB413F" w:rsidRDefault="006800C7" w:rsidP="00F31956"/>
        </w:tc>
        <w:tc>
          <w:tcPr>
            <w:tcW w:w="3766" w:type="dxa"/>
            <w:gridSpan w:val="4"/>
            <w:noWrap/>
          </w:tcPr>
          <w:p w14:paraId="54F34663" w14:textId="77777777" w:rsidR="006800C7" w:rsidRPr="001027F3" w:rsidRDefault="006800C7" w:rsidP="00F31956"/>
        </w:tc>
        <w:tc>
          <w:tcPr>
            <w:tcW w:w="540" w:type="dxa"/>
          </w:tcPr>
          <w:p w14:paraId="13E01903" w14:textId="77777777" w:rsidR="006800C7" w:rsidRPr="00C62589" w:rsidRDefault="006800C7" w:rsidP="00F31956"/>
        </w:tc>
        <w:tc>
          <w:tcPr>
            <w:tcW w:w="3488" w:type="dxa"/>
            <w:gridSpan w:val="4"/>
          </w:tcPr>
          <w:p w14:paraId="172C41CA" w14:textId="77777777" w:rsidR="006800C7" w:rsidRPr="001027F3" w:rsidRDefault="006800C7" w:rsidP="00F31956"/>
        </w:tc>
      </w:tr>
      <w:tr w:rsidR="006800C7" w:rsidRPr="008B5A09" w14:paraId="05EEBDD5" w14:textId="77777777" w:rsidTr="00F31956">
        <w:trPr>
          <w:trHeight w:val="158"/>
        </w:trPr>
        <w:tc>
          <w:tcPr>
            <w:tcW w:w="1276" w:type="dxa"/>
            <w:noWrap/>
            <w:hideMark/>
          </w:tcPr>
          <w:p w14:paraId="368CB3A6" w14:textId="77777777" w:rsidR="006800C7" w:rsidRPr="001027F3" w:rsidRDefault="006800C7" w:rsidP="00F31956">
            <w:r>
              <w:t>Age</w:t>
            </w:r>
          </w:p>
        </w:tc>
        <w:tc>
          <w:tcPr>
            <w:tcW w:w="992" w:type="dxa"/>
            <w:noWrap/>
            <w:hideMark/>
          </w:tcPr>
          <w:p w14:paraId="4ED4AE43" w14:textId="77777777" w:rsidR="006800C7" w:rsidRPr="001027F3" w:rsidRDefault="006800C7" w:rsidP="00F31956">
            <w:r>
              <w:t>FULL TIME</w:t>
            </w:r>
          </w:p>
        </w:tc>
        <w:tc>
          <w:tcPr>
            <w:tcW w:w="993" w:type="dxa"/>
            <w:noWrap/>
            <w:hideMark/>
          </w:tcPr>
          <w:p w14:paraId="502E1AB4" w14:textId="77777777" w:rsidR="006800C7" w:rsidRPr="001027F3" w:rsidRDefault="006800C7" w:rsidP="00F31956">
            <w:r>
              <w:t>PART TIME</w:t>
            </w:r>
          </w:p>
        </w:tc>
        <w:tc>
          <w:tcPr>
            <w:tcW w:w="937" w:type="dxa"/>
            <w:noWrap/>
            <w:hideMark/>
          </w:tcPr>
          <w:p w14:paraId="13C3477B" w14:textId="77777777" w:rsidR="006800C7" w:rsidRPr="001027F3" w:rsidRDefault="006800C7" w:rsidP="00F31956">
            <w:r>
              <w:t>CASUAL</w:t>
            </w:r>
          </w:p>
        </w:tc>
        <w:tc>
          <w:tcPr>
            <w:tcW w:w="844" w:type="dxa"/>
          </w:tcPr>
          <w:p w14:paraId="4599F63A" w14:textId="77777777" w:rsidR="006800C7" w:rsidRPr="001027F3" w:rsidRDefault="006800C7" w:rsidP="00F31956">
            <w:r>
              <w:t>Total</w:t>
            </w:r>
          </w:p>
        </w:tc>
        <w:tc>
          <w:tcPr>
            <w:tcW w:w="540" w:type="dxa"/>
          </w:tcPr>
          <w:p w14:paraId="3E87DFEB" w14:textId="77777777" w:rsidR="006800C7" w:rsidRPr="00C62589" w:rsidRDefault="006800C7" w:rsidP="00F31956"/>
        </w:tc>
        <w:tc>
          <w:tcPr>
            <w:tcW w:w="797" w:type="dxa"/>
          </w:tcPr>
          <w:p w14:paraId="7DA613D5" w14:textId="77777777" w:rsidR="006800C7" w:rsidRPr="001027F3" w:rsidRDefault="006800C7" w:rsidP="00F31956">
            <w:r>
              <w:t>FULL TIME</w:t>
            </w:r>
          </w:p>
        </w:tc>
        <w:tc>
          <w:tcPr>
            <w:tcW w:w="992" w:type="dxa"/>
          </w:tcPr>
          <w:p w14:paraId="6753CDEF" w14:textId="77777777" w:rsidR="006800C7" w:rsidRPr="001027F3" w:rsidRDefault="006800C7" w:rsidP="00F31956">
            <w:r>
              <w:t>PART TIME</w:t>
            </w:r>
          </w:p>
        </w:tc>
        <w:tc>
          <w:tcPr>
            <w:tcW w:w="993" w:type="dxa"/>
          </w:tcPr>
          <w:p w14:paraId="151037E6" w14:textId="77777777" w:rsidR="006800C7" w:rsidRPr="001027F3" w:rsidRDefault="006800C7" w:rsidP="00F31956">
            <w:r>
              <w:t>C</w:t>
            </w:r>
            <w:r w:rsidRPr="001027F3">
              <w:t>ASUAL</w:t>
            </w:r>
          </w:p>
        </w:tc>
        <w:tc>
          <w:tcPr>
            <w:tcW w:w="706" w:type="dxa"/>
          </w:tcPr>
          <w:p w14:paraId="2A3D1F83" w14:textId="77777777" w:rsidR="006800C7" w:rsidRPr="001027F3" w:rsidRDefault="006800C7" w:rsidP="00F31956">
            <w:r>
              <w:t>To</w:t>
            </w:r>
            <w:r w:rsidRPr="001027F3">
              <w:t>tal</w:t>
            </w:r>
          </w:p>
        </w:tc>
      </w:tr>
      <w:tr w:rsidR="006800C7" w:rsidRPr="008B5A09" w14:paraId="696E92F5" w14:textId="77777777" w:rsidTr="00F31956">
        <w:trPr>
          <w:trHeight w:val="265"/>
        </w:trPr>
        <w:tc>
          <w:tcPr>
            <w:tcW w:w="1276" w:type="dxa"/>
            <w:noWrap/>
          </w:tcPr>
          <w:p w14:paraId="32F554AB" w14:textId="77777777" w:rsidR="006800C7" w:rsidRPr="001027F3" w:rsidRDefault="006800C7" w:rsidP="00F31956">
            <w:r>
              <w:t>&lt; 25 years</w:t>
            </w:r>
          </w:p>
        </w:tc>
        <w:tc>
          <w:tcPr>
            <w:tcW w:w="992" w:type="dxa"/>
            <w:noWrap/>
          </w:tcPr>
          <w:p w14:paraId="08BDF81F" w14:textId="30FBA285" w:rsidR="006800C7" w:rsidRPr="001027F3" w:rsidRDefault="006800C7" w:rsidP="00F31956">
            <w:r>
              <w:t>19</w:t>
            </w:r>
            <w:r w:rsidR="008C7B21">
              <w:t>7</w:t>
            </w:r>
          </w:p>
        </w:tc>
        <w:tc>
          <w:tcPr>
            <w:tcW w:w="993" w:type="dxa"/>
            <w:noWrap/>
          </w:tcPr>
          <w:p w14:paraId="7AE46220" w14:textId="1252CB95" w:rsidR="006800C7" w:rsidRPr="001027F3" w:rsidRDefault="008C7B21" w:rsidP="00F31956">
            <w:r>
              <w:t>22</w:t>
            </w:r>
          </w:p>
        </w:tc>
        <w:tc>
          <w:tcPr>
            <w:tcW w:w="937" w:type="dxa"/>
            <w:noWrap/>
          </w:tcPr>
          <w:p w14:paraId="26954D8D" w14:textId="1693EEFD" w:rsidR="006800C7" w:rsidRPr="001027F3" w:rsidRDefault="008C7B21" w:rsidP="00F31956">
            <w:r>
              <w:t>55</w:t>
            </w:r>
          </w:p>
        </w:tc>
        <w:tc>
          <w:tcPr>
            <w:tcW w:w="844" w:type="dxa"/>
          </w:tcPr>
          <w:p w14:paraId="48CCF1AA" w14:textId="06ADA058" w:rsidR="006800C7" w:rsidRPr="001027F3" w:rsidRDefault="006800C7" w:rsidP="00F31956">
            <w:r>
              <w:t>27</w:t>
            </w:r>
            <w:r w:rsidR="008C7B21">
              <w:t>4</w:t>
            </w:r>
          </w:p>
        </w:tc>
        <w:tc>
          <w:tcPr>
            <w:tcW w:w="540" w:type="dxa"/>
          </w:tcPr>
          <w:p w14:paraId="795FDF9F" w14:textId="77777777" w:rsidR="006800C7" w:rsidRPr="00C62589" w:rsidRDefault="006800C7" w:rsidP="00F31956"/>
        </w:tc>
        <w:tc>
          <w:tcPr>
            <w:tcW w:w="797" w:type="dxa"/>
          </w:tcPr>
          <w:p w14:paraId="6E12C0EF" w14:textId="15F81D21" w:rsidR="006800C7" w:rsidRPr="001027F3" w:rsidRDefault="006800C7" w:rsidP="00F31956">
            <w:r>
              <w:t>19</w:t>
            </w:r>
            <w:r w:rsidR="008C7B21">
              <w:t>4</w:t>
            </w:r>
          </w:p>
        </w:tc>
        <w:tc>
          <w:tcPr>
            <w:tcW w:w="992" w:type="dxa"/>
          </w:tcPr>
          <w:p w14:paraId="6080797F" w14:textId="1DEA2C2A" w:rsidR="006800C7" w:rsidRPr="001027F3" w:rsidRDefault="006800C7" w:rsidP="00F31956">
            <w:r>
              <w:t>1</w:t>
            </w:r>
            <w:r w:rsidR="008C7B21">
              <w:t>3</w:t>
            </w:r>
          </w:p>
        </w:tc>
        <w:tc>
          <w:tcPr>
            <w:tcW w:w="993" w:type="dxa"/>
          </w:tcPr>
          <w:p w14:paraId="3BC1F3E6" w14:textId="79ED23FF" w:rsidR="006800C7" w:rsidRPr="001027F3" w:rsidRDefault="006800C7" w:rsidP="00F31956">
            <w:r>
              <w:t>1</w:t>
            </w:r>
            <w:r w:rsidR="008C7B21">
              <w:t>2</w:t>
            </w:r>
          </w:p>
        </w:tc>
        <w:tc>
          <w:tcPr>
            <w:tcW w:w="706" w:type="dxa"/>
          </w:tcPr>
          <w:p w14:paraId="1AB69493" w14:textId="7EBF8649" w:rsidR="006800C7" w:rsidRPr="001027F3" w:rsidRDefault="006800C7" w:rsidP="00F31956">
            <w:r>
              <w:t>21</w:t>
            </w:r>
            <w:r w:rsidR="008C7B21">
              <w:t>9</w:t>
            </w:r>
          </w:p>
        </w:tc>
      </w:tr>
      <w:tr w:rsidR="006800C7" w:rsidRPr="008B5A09" w14:paraId="2F2273B6" w14:textId="77777777" w:rsidTr="00F31956">
        <w:trPr>
          <w:trHeight w:val="265"/>
        </w:trPr>
        <w:tc>
          <w:tcPr>
            <w:tcW w:w="1276" w:type="dxa"/>
            <w:noWrap/>
          </w:tcPr>
          <w:p w14:paraId="5208ACC0" w14:textId="77777777" w:rsidR="006800C7" w:rsidRPr="001027F3" w:rsidRDefault="006800C7" w:rsidP="00F31956">
            <w:r>
              <w:t xml:space="preserve">25–34 Years </w:t>
            </w:r>
          </w:p>
        </w:tc>
        <w:tc>
          <w:tcPr>
            <w:tcW w:w="992" w:type="dxa"/>
            <w:noWrap/>
          </w:tcPr>
          <w:p w14:paraId="31D8233C" w14:textId="51F3440D" w:rsidR="006800C7" w:rsidRPr="001027F3" w:rsidRDefault="006800C7" w:rsidP="00F31956">
            <w:r>
              <w:t>10</w:t>
            </w:r>
            <w:r w:rsidR="008C7B21">
              <w:t>53</w:t>
            </w:r>
          </w:p>
        </w:tc>
        <w:tc>
          <w:tcPr>
            <w:tcW w:w="993" w:type="dxa"/>
            <w:noWrap/>
          </w:tcPr>
          <w:p w14:paraId="4BCC7456" w14:textId="5088B444" w:rsidR="006800C7" w:rsidRPr="001027F3" w:rsidRDefault="006800C7" w:rsidP="00F31956">
            <w:r>
              <w:t>12</w:t>
            </w:r>
            <w:r w:rsidR="008C7B21">
              <w:t>8</w:t>
            </w:r>
          </w:p>
        </w:tc>
        <w:tc>
          <w:tcPr>
            <w:tcW w:w="937" w:type="dxa"/>
            <w:noWrap/>
          </w:tcPr>
          <w:p w14:paraId="7D97E247" w14:textId="5E6EF697" w:rsidR="006800C7" w:rsidRPr="001027F3" w:rsidRDefault="006800C7" w:rsidP="00F31956">
            <w:r>
              <w:t>1</w:t>
            </w:r>
            <w:r w:rsidR="008C7B21">
              <w:t>01</w:t>
            </w:r>
          </w:p>
        </w:tc>
        <w:tc>
          <w:tcPr>
            <w:tcW w:w="844" w:type="dxa"/>
          </w:tcPr>
          <w:p w14:paraId="46D0B23B" w14:textId="5600B50B" w:rsidR="006800C7" w:rsidRPr="001027F3" w:rsidRDefault="006800C7" w:rsidP="00F31956">
            <w:r>
              <w:t>128</w:t>
            </w:r>
            <w:r w:rsidR="008C7B21">
              <w:t>2</w:t>
            </w:r>
          </w:p>
        </w:tc>
        <w:tc>
          <w:tcPr>
            <w:tcW w:w="540" w:type="dxa"/>
          </w:tcPr>
          <w:p w14:paraId="4F5265C3" w14:textId="77777777" w:rsidR="006800C7" w:rsidRPr="00C62589" w:rsidRDefault="006800C7" w:rsidP="00F31956"/>
        </w:tc>
        <w:tc>
          <w:tcPr>
            <w:tcW w:w="797" w:type="dxa"/>
          </w:tcPr>
          <w:p w14:paraId="2716CBFF" w14:textId="2505A69A" w:rsidR="006800C7" w:rsidRPr="001027F3" w:rsidRDefault="006800C7" w:rsidP="00F31956">
            <w:r>
              <w:t>10</w:t>
            </w:r>
            <w:r w:rsidR="008C7B21">
              <w:t>23</w:t>
            </w:r>
          </w:p>
        </w:tc>
        <w:tc>
          <w:tcPr>
            <w:tcW w:w="992" w:type="dxa"/>
          </w:tcPr>
          <w:p w14:paraId="309CCD87" w14:textId="604443A4" w:rsidR="006800C7" w:rsidRPr="001027F3" w:rsidRDefault="006800C7" w:rsidP="00F31956">
            <w:r>
              <w:t>8</w:t>
            </w:r>
            <w:r w:rsidR="008C7B21">
              <w:t>3</w:t>
            </w:r>
          </w:p>
        </w:tc>
        <w:tc>
          <w:tcPr>
            <w:tcW w:w="993" w:type="dxa"/>
          </w:tcPr>
          <w:p w14:paraId="0A85905C" w14:textId="5B3D4219" w:rsidR="006800C7" w:rsidRPr="001027F3" w:rsidRDefault="008C7B21" w:rsidP="00F31956">
            <w:r>
              <w:t>27</w:t>
            </w:r>
          </w:p>
        </w:tc>
        <w:tc>
          <w:tcPr>
            <w:tcW w:w="706" w:type="dxa"/>
          </w:tcPr>
          <w:p w14:paraId="40FFC482" w14:textId="32F2FFE9" w:rsidR="006800C7" w:rsidRPr="001027F3" w:rsidRDefault="006800C7" w:rsidP="00F31956">
            <w:r>
              <w:t>11</w:t>
            </w:r>
            <w:r w:rsidR="008C7B21">
              <w:t>33</w:t>
            </w:r>
          </w:p>
        </w:tc>
      </w:tr>
      <w:tr w:rsidR="006800C7" w:rsidRPr="008B5A09" w14:paraId="683B0E62" w14:textId="77777777" w:rsidTr="00F31956">
        <w:trPr>
          <w:trHeight w:val="265"/>
        </w:trPr>
        <w:tc>
          <w:tcPr>
            <w:tcW w:w="1276" w:type="dxa"/>
            <w:noWrap/>
          </w:tcPr>
          <w:p w14:paraId="57BDE7B4" w14:textId="4095B854" w:rsidR="006800C7" w:rsidRPr="0024738D" w:rsidRDefault="006800C7" w:rsidP="00F31956">
            <w:pPr>
              <w:rPr>
                <w:b/>
                <w:bCs/>
              </w:rPr>
            </w:pPr>
            <w:r>
              <w:t>3</w:t>
            </w:r>
            <w:r w:rsidR="00C70E23">
              <w:t>5</w:t>
            </w:r>
            <w:r>
              <w:t xml:space="preserve">–44 Years </w:t>
            </w:r>
          </w:p>
        </w:tc>
        <w:tc>
          <w:tcPr>
            <w:tcW w:w="992" w:type="dxa"/>
            <w:noWrap/>
          </w:tcPr>
          <w:p w14:paraId="2B6ED562" w14:textId="4AC583C9" w:rsidR="006800C7" w:rsidRPr="001027F3" w:rsidRDefault="006800C7" w:rsidP="00F31956">
            <w:r>
              <w:t>1</w:t>
            </w:r>
            <w:r w:rsidR="008C7B21">
              <w:t>705</w:t>
            </w:r>
          </w:p>
        </w:tc>
        <w:tc>
          <w:tcPr>
            <w:tcW w:w="993" w:type="dxa"/>
            <w:noWrap/>
          </w:tcPr>
          <w:p w14:paraId="55FCE725" w14:textId="18F9EFCE" w:rsidR="006800C7" w:rsidRPr="001027F3" w:rsidRDefault="006800C7" w:rsidP="00F31956">
            <w:r>
              <w:t>3</w:t>
            </w:r>
            <w:r w:rsidR="008C7B21">
              <w:t>38</w:t>
            </w:r>
          </w:p>
        </w:tc>
        <w:tc>
          <w:tcPr>
            <w:tcW w:w="937" w:type="dxa"/>
            <w:noWrap/>
          </w:tcPr>
          <w:p w14:paraId="623C4869" w14:textId="45BC176F" w:rsidR="006800C7" w:rsidRPr="001027F3" w:rsidRDefault="008C7B21" w:rsidP="00F31956">
            <w:r>
              <w:t>199</w:t>
            </w:r>
          </w:p>
        </w:tc>
        <w:tc>
          <w:tcPr>
            <w:tcW w:w="844" w:type="dxa"/>
          </w:tcPr>
          <w:p w14:paraId="3DB2D968" w14:textId="06C42C08" w:rsidR="006800C7" w:rsidRPr="001027F3" w:rsidRDefault="006800C7" w:rsidP="00F31956">
            <w:r>
              <w:t>22</w:t>
            </w:r>
            <w:r w:rsidR="008C7B21">
              <w:t>42</w:t>
            </w:r>
          </w:p>
        </w:tc>
        <w:tc>
          <w:tcPr>
            <w:tcW w:w="540" w:type="dxa"/>
          </w:tcPr>
          <w:p w14:paraId="114B4EE3" w14:textId="77777777" w:rsidR="006800C7" w:rsidRPr="00C62589" w:rsidRDefault="006800C7" w:rsidP="00F31956"/>
        </w:tc>
        <w:tc>
          <w:tcPr>
            <w:tcW w:w="797" w:type="dxa"/>
          </w:tcPr>
          <w:p w14:paraId="111E27B8" w14:textId="0AD76503" w:rsidR="006800C7" w:rsidRPr="001027F3" w:rsidRDefault="006800C7" w:rsidP="00F31956">
            <w:r>
              <w:t>16</w:t>
            </w:r>
            <w:r w:rsidR="008C7B21">
              <w:t>71</w:t>
            </w:r>
          </w:p>
        </w:tc>
        <w:tc>
          <w:tcPr>
            <w:tcW w:w="992" w:type="dxa"/>
          </w:tcPr>
          <w:p w14:paraId="4CE67BBC" w14:textId="06042398" w:rsidR="006800C7" w:rsidRPr="001027F3" w:rsidRDefault="006800C7" w:rsidP="00F31956">
            <w:r>
              <w:t>2</w:t>
            </w:r>
            <w:r w:rsidR="008C7B21">
              <w:t>38</w:t>
            </w:r>
          </w:p>
        </w:tc>
        <w:tc>
          <w:tcPr>
            <w:tcW w:w="993" w:type="dxa"/>
          </w:tcPr>
          <w:p w14:paraId="4125B67C" w14:textId="1E09B92D" w:rsidR="006800C7" w:rsidRPr="001027F3" w:rsidRDefault="006800C7" w:rsidP="00F31956">
            <w:r>
              <w:t>3</w:t>
            </w:r>
            <w:r w:rsidR="008C7B21">
              <w:t>2</w:t>
            </w:r>
          </w:p>
        </w:tc>
        <w:tc>
          <w:tcPr>
            <w:tcW w:w="706" w:type="dxa"/>
          </w:tcPr>
          <w:p w14:paraId="5ED68F0F" w14:textId="20FFBE62" w:rsidR="006800C7" w:rsidRPr="001027F3" w:rsidRDefault="006800C7" w:rsidP="00F31956">
            <w:r>
              <w:t>194</w:t>
            </w:r>
            <w:r w:rsidR="008C7B21">
              <w:t>2</w:t>
            </w:r>
          </w:p>
        </w:tc>
      </w:tr>
      <w:tr w:rsidR="006800C7" w:rsidRPr="008B5A09" w14:paraId="6BED1D15" w14:textId="77777777" w:rsidTr="00F31956">
        <w:trPr>
          <w:trHeight w:val="265"/>
        </w:trPr>
        <w:tc>
          <w:tcPr>
            <w:tcW w:w="1276" w:type="dxa"/>
            <w:noWrap/>
          </w:tcPr>
          <w:p w14:paraId="3CA3C0EF" w14:textId="4071BBD3" w:rsidR="006800C7" w:rsidRDefault="006800C7" w:rsidP="00F31956">
            <w:r>
              <w:t>4</w:t>
            </w:r>
            <w:r w:rsidR="00C70E23">
              <w:t>5</w:t>
            </w:r>
            <w:r>
              <w:t xml:space="preserve">–54 Years </w:t>
            </w:r>
          </w:p>
        </w:tc>
        <w:tc>
          <w:tcPr>
            <w:tcW w:w="992" w:type="dxa"/>
            <w:noWrap/>
          </w:tcPr>
          <w:p w14:paraId="712D69E9" w14:textId="2408EC56" w:rsidR="006800C7" w:rsidRPr="001027F3" w:rsidRDefault="006800C7" w:rsidP="00F31956">
            <w:r>
              <w:t>19</w:t>
            </w:r>
            <w:r w:rsidR="00C70E23">
              <w:t>14</w:t>
            </w:r>
          </w:p>
        </w:tc>
        <w:tc>
          <w:tcPr>
            <w:tcW w:w="993" w:type="dxa"/>
            <w:noWrap/>
          </w:tcPr>
          <w:p w14:paraId="76450EB8" w14:textId="1333D1D3" w:rsidR="006800C7" w:rsidRPr="001027F3" w:rsidRDefault="00C70E23" w:rsidP="00F31956">
            <w:r>
              <w:t>198</w:t>
            </w:r>
          </w:p>
        </w:tc>
        <w:tc>
          <w:tcPr>
            <w:tcW w:w="937" w:type="dxa"/>
            <w:noWrap/>
          </w:tcPr>
          <w:p w14:paraId="5252AB71" w14:textId="546FC5C5" w:rsidR="006800C7" w:rsidRPr="001027F3" w:rsidRDefault="006800C7" w:rsidP="00F31956">
            <w:r>
              <w:t>3</w:t>
            </w:r>
            <w:r w:rsidR="00C70E23">
              <w:t>45</w:t>
            </w:r>
          </w:p>
        </w:tc>
        <w:tc>
          <w:tcPr>
            <w:tcW w:w="844" w:type="dxa"/>
          </w:tcPr>
          <w:p w14:paraId="4887FEF8" w14:textId="0176821F" w:rsidR="006800C7" w:rsidRPr="001027F3" w:rsidRDefault="006800C7" w:rsidP="00F31956">
            <w:r>
              <w:t>2</w:t>
            </w:r>
            <w:r w:rsidR="00C70E23">
              <w:t>457</w:t>
            </w:r>
          </w:p>
        </w:tc>
        <w:tc>
          <w:tcPr>
            <w:tcW w:w="540" w:type="dxa"/>
          </w:tcPr>
          <w:p w14:paraId="244D3FAB" w14:textId="77777777" w:rsidR="006800C7" w:rsidRPr="00C62589" w:rsidRDefault="006800C7" w:rsidP="00F31956"/>
        </w:tc>
        <w:tc>
          <w:tcPr>
            <w:tcW w:w="797" w:type="dxa"/>
          </w:tcPr>
          <w:p w14:paraId="42905937" w14:textId="61765A7F" w:rsidR="006800C7" w:rsidRPr="001027F3" w:rsidRDefault="006800C7" w:rsidP="00F31956">
            <w:r>
              <w:t>1</w:t>
            </w:r>
            <w:r w:rsidR="00C70E23">
              <w:t>892</w:t>
            </w:r>
          </w:p>
        </w:tc>
        <w:tc>
          <w:tcPr>
            <w:tcW w:w="992" w:type="dxa"/>
          </w:tcPr>
          <w:p w14:paraId="36BB6182" w14:textId="3F99B7D3" w:rsidR="006800C7" w:rsidRPr="001027F3" w:rsidRDefault="006800C7" w:rsidP="00F31956">
            <w:r>
              <w:t>14</w:t>
            </w:r>
            <w:r w:rsidR="00C70E23">
              <w:t>2</w:t>
            </w:r>
          </w:p>
        </w:tc>
        <w:tc>
          <w:tcPr>
            <w:tcW w:w="993" w:type="dxa"/>
          </w:tcPr>
          <w:p w14:paraId="4D98797D" w14:textId="26885F55" w:rsidR="006800C7" w:rsidRPr="001027F3" w:rsidRDefault="00C70E23" w:rsidP="00F31956">
            <w:r>
              <w:t>56</w:t>
            </w:r>
          </w:p>
        </w:tc>
        <w:tc>
          <w:tcPr>
            <w:tcW w:w="706" w:type="dxa"/>
          </w:tcPr>
          <w:p w14:paraId="6D799244" w14:textId="4725058B" w:rsidR="006800C7" w:rsidRPr="001027F3" w:rsidRDefault="006800C7" w:rsidP="00F31956">
            <w:r>
              <w:t>2</w:t>
            </w:r>
            <w:r w:rsidR="00C70E23">
              <w:t>089</w:t>
            </w:r>
          </w:p>
        </w:tc>
      </w:tr>
      <w:tr w:rsidR="006800C7" w:rsidRPr="008B5A09" w14:paraId="0D6BBB22" w14:textId="77777777" w:rsidTr="00F31956">
        <w:trPr>
          <w:trHeight w:val="265"/>
        </w:trPr>
        <w:tc>
          <w:tcPr>
            <w:tcW w:w="1276" w:type="dxa"/>
            <w:noWrap/>
          </w:tcPr>
          <w:p w14:paraId="02819B81" w14:textId="2ACDEECC" w:rsidR="006800C7" w:rsidRDefault="006800C7" w:rsidP="00F31956">
            <w:r>
              <w:t>5</w:t>
            </w:r>
            <w:r w:rsidR="00C70E23">
              <w:t>5</w:t>
            </w:r>
            <w:r>
              <w:t xml:space="preserve">–64 Years </w:t>
            </w:r>
          </w:p>
        </w:tc>
        <w:tc>
          <w:tcPr>
            <w:tcW w:w="992" w:type="dxa"/>
            <w:noWrap/>
          </w:tcPr>
          <w:p w14:paraId="4137547E" w14:textId="28270110" w:rsidR="006800C7" w:rsidRPr="001027F3" w:rsidRDefault="006800C7" w:rsidP="00F31956">
            <w:r>
              <w:t>1</w:t>
            </w:r>
            <w:r w:rsidR="00C70E23">
              <w:t>480</w:t>
            </w:r>
          </w:p>
        </w:tc>
        <w:tc>
          <w:tcPr>
            <w:tcW w:w="993" w:type="dxa"/>
            <w:noWrap/>
          </w:tcPr>
          <w:p w14:paraId="02B13B33" w14:textId="06868A0E" w:rsidR="006800C7" w:rsidRPr="001027F3" w:rsidRDefault="006800C7" w:rsidP="00F31956">
            <w:r>
              <w:t>1</w:t>
            </w:r>
            <w:r w:rsidR="00C70E23">
              <w:t>80</w:t>
            </w:r>
          </w:p>
        </w:tc>
        <w:tc>
          <w:tcPr>
            <w:tcW w:w="937" w:type="dxa"/>
            <w:noWrap/>
          </w:tcPr>
          <w:p w14:paraId="6438BA57" w14:textId="758113EE" w:rsidR="006800C7" w:rsidRPr="001027F3" w:rsidRDefault="006800C7" w:rsidP="00F31956">
            <w:r>
              <w:t>5</w:t>
            </w:r>
            <w:r w:rsidR="00C70E23">
              <w:t>08</w:t>
            </w:r>
          </w:p>
        </w:tc>
        <w:tc>
          <w:tcPr>
            <w:tcW w:w="844" w:type="dxa"/>
          </w:tcPr>
          <w:p w14:paraId="6F5178E4" w14:textId="251C956D" w:rsidR="006800C7" w:rsidRPr="001027F3" w:rsidRDefault="006800C7" w:rsidP="00F31956">
            <w:r>
              <w:t>21</w:t>
            </w:r>
            <w:r w:rsidR="00C70E23">
              <w:t>68</w:t>
            </w:r>
          </w:p>
        </w:tc>
        <w:tc>
          <w:tcPr>
            <w:tcW w:w="540" w:type="dxa"/>
          </w:tcPr>
          <w:p w14:paraId="2397B924" w14:textId="77777777" w:rsidR="006800C7" w:rsidRPr="00C62589" w:rsidRDefault="006800C7" w:rsidP="00F31956"/>
        </w:tc>
        <w:tc>
          <w:tcPr>
            <w:tcW w:w="797" w:type="dxa"/>
          </w:tcPr>
          <w:p w14:paraId="0EA66CBA" w14:textId="2C906203" w:rsidR="006800C7" w:rsidRPr="001027F3" w:rsidRDefault="006800C7" w:rsidP="00F31956">
            <w:r>
              <w:t>14</w:t>
            </w:r>
            <w:r w:rsidR="00C70E23">
              <w:t>50</w:t>
            </w:r>
          </w:p>
        </w:tc>
        <w:tc>
          <w:tcPr>
            <w:tcW w:w="992" w:type="dxa"/>
          </w:tcPr>
          <w:p w14:paraId="21A5DC76" w14:textId="5346CC21" w:rsidR="006800C7" w:rsidRPr="001027F3" w:rsidRDefault="006800C7" w:rsidP="00F31956">
            <w:r>
              <w:t>1</w:t>
            </w:r>
            <w:r w:rsidR="00C70E23">
              <w:t>21</w:t>
            </w:r>
          </w:p>
        </w:tc>
        <w:tc>
          <w:tcPr>
            <w:tcW w:w="993" w:type="dxa"/>
          </w:tcPr>
          <w:p w14:paraId="730759E1" w14:textId="6EE38E1A" w:rsidR="006800C7" w:rsidRPr="001027F3" w:rsidRDefault="006800C7" w:rsidP="00F31956">
            <w:r>
              <w:t>7</w:t>
            </w:r>
            <w:r w:rsidR="00C70E23">
              <w:t>4</w:t>
            </w:r>
          </w:p>
        </w:tc>
        <w:tc>
          <w:tcPr>
            <w:tcW w:w="706" w:type="dxa"/>
          </w:tcPr>
          <w:p w14:paraId="7C1003B9" w14:textId="48349724" w:rsidR="006800C7" w:rsidRPr="001027F3" w:rsidRDefault="006800C7" w:rsidP="00F31956">
            <w:r>
              <w:t>16</w:t>
            </w:r>
            <w:r w:rsidR="00C70E23">
              <w:t>44</w:t>
            </w:r>
          </w:p>
        </w:tc>
      </w:tr>
      <w:tr w:rsidR="006800C7" w:rsidRPr="008B5A09" w14:paraId="465AE83D" w14:textId="77777777" w:rsidTr="00F31956">
        <w:trPr>
          <w:trHeight w:val="265"/>
        </w:trPr>
        <w:tc>
          <w:tcPr>
            <w:tcW w:w="1276" w:type="dxa"/>
            <w:noWrap/>
          </w:tcPr>
          <w:p w14:paraId="78F6C29E" w14:textId="77777777" w:rsidR="006800C7" w:rsidRDefault="006800C7" w:rsidP="00F31956">
            <w:r>
              <w:t>&gt; 65 Years</w:t>
            </w:r>
          </w:p>
        </w:tc>
        <w:tc>
          <w:tcPr>
            <w:tcW w:w="992" w:type="dxa"/>
            <w:noWrap/>
          </w:tcPr>
          <w:p w14:paraId="2D951B3D" w14:textId="504679B5" w:rsidR="006800C7" w:rsidRPr="001027F3" w:rsidRDefault="006800C7" w:rsidP="00F31956">
            <w:r>
              <w:t>2</w:t>
            </w:r>
            <w:r w:rsidR="00C70E23">
              <w:t>57</w:t>
            </w:r>
          </w:p>
        </w:tc>
        <w:tc>
          <w:tcPr>
            <w:tcW w:w="993" w:type="dxa"/>
            <w:noWrap/>
          </w:tcPr>
          <w:p w14:paraId="4C42C61B" w14:textId="77777777" w:rsidR="006800C7" w:rsidRPr="001027F3" w:rsidRDefault="006800C7" w:rsidP="00F31956">
            <w:r>
              <w:t>41</w:t>
            </w:r>
          </w:p>
        </w:tc>
        <w:tc>
          <w:tcPr>
            <w:tcW w:w="937" w:type="dxa"/>
            <w:noWrap/>
          </w:tcPr>
          <w:p w14:paraId="38B6D692" w14:textId="04B0C5C5" w:rsidR="006800C7" w:rsidRPr="001027F3" w:rsidRDefault="006800C7" w:rsidP="00F31956">
            <w:r>
              <w:t>7</w:t>
            </w:r>
            <w:r w:rsidR="00C70E23">
              <w:t>53</w:t>
            </w:r>
          </w:p>
        </w:tc>
        <w:tc>
          <w:tcPr>
            <w:tcW w:w="844" w:type="dxa"/>
          </w:tcPr>
          <w:p w14:paraId="595273EE" w14:textId="2E2A0DCF" w:rsidR="006800C7" w:rsidRPr="001027F3" w:rsidRDefault="00C70E23" w:rsidP="00F31956">
            <w:r>
              <w:t>1051</w:t>
            </w:r>
          </w:p>
        </w:tc>
        <w:tc>
          <w:tcPr>
            <w:tcW w:w="540" w:type="dxa"/>
          </w:tcPr>
          <w:p w14:paraId="4B3669F2" w14:textId="77777777" w:rsidR="006800C7" w:rsidRPr="00C62589" w:rsidRDefault="006800C7" w:rsidP="00F31956"/>
        </w:tc>
        <w:tc>
          <w:tcPr>
            <w:tcW w:w="797" w:type="dxa"/>
          </w:tcPr>
          <w:p w14:paraId="018B45C1" w14:textId="406AE5EB" w:rsidR="006800C7" w:rsidRPr="001027F3" w:rsidRDefault="006800C7" w:rsidP="00F31956">
            <w:r>
              <w:t>2</w:t>
            </w:r>
            <w:r w:rsidR="00C70E23">
              <w:t>51</w:t>
            </w:r>
          </w:p>
        </w:tc>
        <w:tc>
          <w:tcPr>
            <w:tcW w:w="992" w:type="dxa"/>
          </w:tcPr>
          <w:p w14:paraId="56FFB29C" w14:textId="77777777" w:rsidR="006800C7" w:rsidRPr="001027F3" w:rsidRDefault="006800C7" w:rsidP="00F31956">
            <w:r>
              <w:t>26</w:t>
            </w:r>
          </w:p>
        </w:tc>
        <w:tc>
          <w:tcPr>
            <w:tcW w:w="993" w:type="dxa"/>
          </w:tcPr>
          <w:p w14:paraId="2A73FF0A" w14:textId="10F9947F" w:rsidR="006800C7" w:rsidRPr="001027F3" w:rsidRDefault="00C70E23" w:rsidP="00F31956">
            <w:r>
              <w:t>101</w:t>
            </w:r>
          </w:p>
        </w:tc>
        <w:tc>
          <w:tcPr>
            <w:tcW w:w="706" w:type="dxa"/>
          </w:tcPr>
          <w:p w14:paraId="3F0BE4F2" w14:textId="0E8382F1" w:rsidR="006800C7" w:rsidRPr="001027F3" w:rsidRDefault="006800C7" w:rsidP="00F31956">
            <w:r>
              <w:t>3</w:t>
            </w:r>
            <w:r w:rsidR="00C70E23">
              <w:t>78</w:t>
            </w:r>
          </w:p>
        </w:tc>
      </w:tr>
      <w:tr w:rsidR="006800C7" w:rsidRPr="008B5A09" w14:paraId="27BBF01B" w14:textId="77777777" w:rsidTr="00F31956">
        <w:trPr>
          <w:trHeight w:val="265"/>
        </w:trPr>
        <w:tc>
          <w:tcPr>
            <w:tcW w:w="1276" w:type="dxa"/>
            <w:noWrap/>
          </w:tcPr>
          <w:p w14:paraId="288C3B36" w14:textId="77777777" w:rsidR="006800C7" w:rsidRDefault="006800C7" w:rsidP="00F31956">
            <w:r>
              <w:t>Grand Total</w:t>
            </w:r>
          </w:p>
        </w:tc>
        <w:tc>
          <w:tcPr>
            <w:tcW w:w="992" w:type="dxa"/>
            <w:noWrap/>
          </w:tcPr>
          <w:p w14:paraId="26C8524C" w14:textId="47A73C99" w:rsidR="006800C7" w:rsidRPr="001027F3" w:rsidRDefault="006800C7" w:rsidP="00F31956">
            <w:r>
              <w:t>6</w:t>
            </w:r>
            <w:r w:rsidR="00C70E23">
              <w:t>606</w:t>
            </w:r>
          </w:p>
        </w:tc>
        <w:tc>
          <w:tcPr>
            <w:tcW w:w="993" w:type="dxa"/>
            <w:noWrap/>
          </w:tcPr>
          <w:p w14:paraId="6E09F29E" w14:textId="4600D3BB" w:rsidR="006800C7" w:rsidRPr="001027F3" w:rsidRDefault="006800C7" w:rsidP="00F31956">
            <w:r>
              <w:t>90</w:t>
            </w:r>
            <w:r w:rsidR="00C70E23">
              <w:t>7</w:t>
            </w:r>
          </w:p>
        </w:tc>
        <w:tc>
          <w:tcPr>
            <w:tcW w:w="937" w:type="dxa"/>
            <w:noWrap/>
          </w:tcPr>
          <w:p w14:paraId="0EAD7C68" w14:textId="7B84CE75" w:rsidR="006800C7" w:rsidRPr="001027F3" w:rsidRDefault="00C70E23" w:rsidP="00F31956">
            <w:r>
              <w:t>1961</w:t>
            </w:r>
          </w:p>
        </w:tc>
        <w:tc>
          <w:tcPr>
            <w:tcW w:w="844" w:type="dxa"/>
          </w:tcPr>
          <w:p w14:paraId="308A4F90" w14:textId="415100B7" w:rsidR="006800C7" w:rsidRPr="001027F3" w:rsidRDefault="006800C7" w:rsidP="00F31956">
            <w:r>
              <w:t>94</w:t>
            </w:r>
            <w:r w:rsidR="00C70E23">
              <w:t>74</w:t>
            </w:r>
          </w:p>
        </w:tc>
        <w:tc>
          <w:tcPr>
            <w:tcW w:w="540" w:type="dxa"/>
          </w:tcPr>
          <w:p w14:paraId="451B207A" w14:textId="77777777" w:rsidR="006800C7" w:rsidRPr="00C62589" w:rsidRDefault="006800C7" w:rsidP="00F31956"/>
        </w:tc>
        <w:tc>
          <w:tcPr>
            <w:tcW w:w="797" w:type="dxa"/>
          </w:tcPr>
          <w:p w14:paraId="3CB9C801" w14:textId="5C90A0A3" w:rsidR="006800C7" w:rsidRPr="001027F3" w:rsidRDefault="006800C7" w:rsidP="00F31956">
            <w:r>
              <w:t>64</w:t>
            </w:r>
            <w:r w:rsidR="00C70E23">
              <w:t>81</w:t>
            </w:r>
          </w:p>
        </w:tc>
        <w:tc>
          <w:tcPr>
            <w:tcW w:w="992" w:type="dxa"/>
          </w:tcPr>
          <w:p w14:paraId="3E3AA67B" w14:textId="4FDCC335" w:rsidR="006800C7" w:rsidRPr="001027F3" w:rsidRDefault="006800C7" w:rsidP="00F31956">
            <w:r>
              <w:t>6</w:t>
            </w:r>
            <w:r w:rsidR="00C70E23">
              <w:t>23</w:t>
            </w:r>
          </w:p>
        </w:tc>
        <w:tc>
          <w:tcPr>
            <w:tcW w:w="993" w:type="dxa"/>
          </w:tcPr>
          <w:p w14:paraId="6B118789" w14:textId="0676291E" w:rsidR="006800C7" w:rsidRPr="001027F3" w:rsidRDefault="006800C7" w:rsidP="00F31956">
            <w:r>
              <w:t>3</w:t>
            </w:r>
            <w:r w:rsidR="00365884">
              <w:t>01</w:t>
            </w:r>
          </w:p>
        </w:tc>
        <w:tc>
          <w:tcPr>
            <w:tcW w:w="706" w:type="dxa"/>
          </w:tcPr>
          <w:p w14:paraId="1A897E38" w14:textId="3DD1B985" w:rsidR="006800C7" w:rsidRPr="001027F3" w:rsidRDefault="006800C7" w:rsidP="00F31956">
            <w:r>
              <w:t>7</w:t>
            </w:r>
            <w:r w:rsidR="00365884">
              <w:t>405</w:t>
            </w:r>
          </w:p>
        </w:tc>
      </w:tr>
    </w:tbl>
    <w:p w14:paraId="6FF6F367" w14:textId="77777777" w:rsidR="006800C7" w:rsidRDefault="006800C7" w:rsidP="006800C7">
      <w:pPr>
        <w:pStyle w:val="Heading4"/>
      </w:pPr>
    </w:p>
    <w:tbl>
      <w:tblPr>
        <w:tblStyle w:val="Style1"/>
        <w:tblW w:w="9070" w:type="dxa"/>
        <w:tblLook w:val="04A0" w:firstRow="1" w:lastRow="0" w:firstColumn="1" w:lastColumn="0" w:noHBand="0" w:noVBand="1"/>
      </w:tblPr>
      <w:tblGrid>
        <w:gridCol w:w="1276"/>
        <w:gridCol w:w="992"/>
        <w:gridCol w:w="993"/>
        <w:gridCol w:w="937"/>
        <w:gridCol w:w="844"/>
        <w:gridCol w:w="540"/>
        <w:gridCol w:w="797"/>
        <w:gridCol w:w="992"/>
        <w:gridCol w:w="993"/>
        <w:gridCol w:w="706"/>
      </w:tblGrid>
      <w:tr w:rsidR="006800C7" w:rsidRPr="008B5A09" w14:paraId="08DA318A" w14:textId="77777777" w:rsidTr="00F31956">
        <w:trPr>
          <w:cnfStyle w:val="100000000000" w:firstRow="1" w:lastRow="0" w:firstColumn="0" w:lastColumn="0" w:oddVBand="0" w:evenVBand="0" w:oddHBand="0" w:evenHBand="0" w:firstRowFirstColumn="0" w:firstRowLastColumn="0" w:lastRowFirstColumn="0" w:lastRowLastColumn="0"/>
          <w:trHeight w:val="150"/>
        </w:trPr>
        <w:tc>
          <w:tcPr>
            <w:tcW w:w="1276" w:type="dxa"/>
            <w:noWrap/>
            <w:hideMark/>
          </w:tcPr>
          <w:p w14:paraId="6FE4AE13" w14:textId="77777777" w:rsidR="006800C7" w:rsidRPr="00BB413F" w:rsidRDefault="006800C7" w:rsidP="00F31956"/>
        </w:tc>
        <w:tc>
          <w:tcPr>
            <w:tcW w:w="3766" w:type="dxa"/>
            <w:gridSpan w:val="4"/>
            <w:noWrap/>
          </w:tcPr>
          <w:p w14:paraId="32F71241" w14:textId="77777777" w:rsidR="006800C7" w:rsidRPr="001027F3" w:rsidRDefault="006800C7" w:rsidP="00F31956"/>
        </w:tc>
        <w:tc>
          <w:tcPr>
            <w:tcW w:w="540" w:type="dxa"/>
          </w:tcPr>
          <w:p w14:paraId="4B840B20" w14:textId="77777777" w:rsidR="006800C7" w:rsidRPr="00C62589" w:rsidRDefault="006800C7" w:rsidP="00F31956"/>
        </w:tc>
        <w:tc>
          <w:tcPr>
            <w:tcW w:w="3488" w:type="dxa"/>
            <w:gridSpan w:val="4"/>
          </w:tcPr>
          <w:p w14:paraId="23AB975B" w14:textId="77777777" w:rsidR="006800C7" w:rsidRPr="001027F3" w:rsidRDefault="006800C7" w:rsidP="00F31956"/>
        </w:tc>
      </w:tr>
      <w:tr w:rsidR="006800C7" w:rsidRPr="008B5A09" w14:paraId="3F23497A" w14:textId="77777777" w:rsidTr="00F31956">
        <w:trPr>
          <w:trHeight w:val="158"/>
        </w:trPr>
        <w:tc>
          <w:tcPr>
            <w:tcW w:w="1276" w:type="dxa"/>
            <w:noWrap/>
            <w:hideMark/>
          </w:tcPr>
          <w:p w14:paraId="35AB2671" w14:textId="77777777" w:rsidR="006800C7" w:rsidRPr="00341A52" w:rsidRDefault="006800C7" w:rsidP="00F31956">
            <w:r>
              <w:t xml:space="preserve">Equivalent Salary Level </w:t>
            </w:r>
          </w:p>
        </w:tc>
        <w:tc>
          <w:tcPr>
            <w:tcW w:w="992" w:type="dxa"/>
            <w:noWrap/>
            <w:hideMark/>
          </w:tcPr>
          <w:p w14:paraId="01EE9672" w14:textId="77777777" w:rsidR="006800C7" w:rsidRPr="00341A52" w:rsidRDefault="006800C7" w:rsidP="00F31956">
            <w:r>
              <w:t>FULL TIME</w:t>
            </w:r>
          </w:p>
        </w:tc>
        <w:tc>
          <w:tcPr>
            <w:tcW w:w="993" w:type="dxa"/>
            <w:noWrap/>
            <w:hideMark/>
          </w:tcPr>
          <w:p w14:paraId="390E3B47" w14:textId="77777777" w:rsidR="006800C7" w:rsidRPr="00341A52" w:rsidRDefault="006800C7" w:rsidP="00F31956">
            <w:r>
              <w:t>PA</w:t>
            </w:r>
            <w:r w:rsidRPr="00341A52">
              <w:t>RT TIME</w:t>
            </w:r>
          </w:p>
        </w:tc>
        <w:tc>
          <w:tcPr>
            <w:tcW w:w="937" w:type="dxa"/>
            <w:noWrap/>
            <w:hideMark/>
          </w:tcPr>
          <w:p w14:paraId="7204DE8C" w14:textId="77777777" w:rsidR="006800C7" w:rsidRPr="00341A52" w:rsidRDefault="006800C7" w:rsidP="00F31956">
            <w:r>
              <w:t>CASUAL</w:t>
            </w:r>
          </w:p>
        </w:tc>
        <w:tc>
          <w:tcPr>
            <w:tcW w:w="844" w:type="dxa"/>
          </w:tcPr>
          <w:p w14:paraId="3FDA83D7" w14:textId="77777777" w:rsidR="006800C7" w:rsidRPr="00341A52" w:rsidRDefault="006800C7" w:rsidP="00F31956">
            <w:r>
              <w:t>Total</w:t>
            </w:r>
          </w:p>
        </w:tc>
        <w:tc>
          <w:tcPr>
            <w:tcW w:w="540" w:type="dxa"/>
          </w:tcPr>
          <w:p w14:paraId="3D00A6FF" w14:textId="77777777" w:rsidR="006800C7" w:rsidRPr="00C62589" w:rsidRDefault="006800C7" w:rsidP="00F31956"/>
        </w:tc>
        <w:tc>
          <w:tcPr>
            <w:tcW w:w="797" w:type="dxa"/>
          </w:tcPr>
          <w:p w14:paraId="5D1360F2" w14:textId="77777777" w:rsidR="006800C7" w:rsidRPr="00341A52" w:rsidRDefault="006800C7" w:rsidP="00F31956">
            <w:r>
              <w:t>FULL TIME</w:t>
            </w:r>
          </w:p>
        </w:tc>
        <w:tc>
          <w:tcPr>
            <w:tcW w:w="992" w:type="dxa"/>
          </w:tcPr>
          <w:p w14:paraId="4B7B1BB9" w14:textId="77777777" w:rsidR="006800C7" w:rsidRPr="00341A52" w:rsidRDefault="006800C7" w:rsidP="00F31956">
            <w:r>
              <w:t>PART TIME</w:t>
            </w:r>
          </w:p>
        </w:tc>
        <w:tc>
          <w:tcPr>
            <w:tcW w:w="993" w:type="dxa"/>
          </w:tcPr>
          <w:p w14:paraId="4CE3730E" w14:textId="77777777" w:rsidR="006800C7" w:rsidRPr="00341A52" w:rsidRDefault="006800C7" w:rsidP="00F31956">
            <w:r>
              <w:t>C</w:t>
            </w:r>
            <w:r w:rsidRPr="00341A52">
              <w:t>ASUAL</w:t>
            </w:r>
          </w:p>
        </w:tc>
        <w:tc>
          <w:tcPr>
            <w:tcW w:w="706" w:type="dxa"/>
          </w:tcPr>
          <w:p w14:paraId="4CC1BAAC" w14:textId="77777777" w:rsidR="006800C7" w:rsidRPr="00341A52" w:rsidRDefault="006800C7" w:rsidP="00F31956">
            <w:r>
              <w:t>To</w:t>
            </w:r>
            <w:r w:rsidRPr="00341A52">
              <w:t>tal</w:t>
            </w:r>
          </w:p>
        </w:tc>
      </w:tr>
      <w:tr w:rsidR="006800C7" w:rsidRPr="008B5A09" w14:paraId="304E7962" w14:textId="77777777" w:rsidTr="00F31956">
        <w:trPr>
          <w:trHeight w:val="265"/>
        </w:trPr>
        <w:tc>
          <w:tcPr>
            <w:tcW w:w="1276" w:type="dxa"/>
            <w:noWrap/>
          </w:tcPr>
          <w:p w14:paraId="47C6A3DD" w14:textId="77777777" w:rsidR="006800C7" w:rsidRPr="00341A52" w:rsidRDefault="006800C7" w:rsidP="00F31956">
            <w:r>
              <w:t>AO1</w:t>
            </w:r>
          </w:p>
        </w:tc>
        <w:tc>
          <w:tcPr>
            <w:tcW w:w="992" w:type="dxa"/>
            <w:noWrap/>
          </w:tcPr>
          <w:p w14:paraId="2A892742" w14:textId="1D738734" w:rsidR="006800C7" w:rsidRPr="00341A52" w:rsidRDefault="006800C7" w:rsidP="00F31956">
            <w:r>
              <w:t>1</w:t>
            </w:r>
            <w:r w:rsidR="00365884">
              <w:t>2</w:t>
            </w:r>
          </w:p>
        </w:tc>
        <w:tc>
          <w:tcPr>
            <w:tcW w:w="993" w:type="dxa"/>
            <w:noWrap/>
          </w:tcPr>
          <w:p w14:paraId="6AB3DDE0" w14:textId="77777777" w:rsidR="006800C7" w:rsidRPr="00341A52" w:rsidRDefault="006800C7" w:rsidP="00F31956">
            <w:r>
              <w:t>3</w:t>
            </w:r>
          </w:p>
        </w:tc>
        <w:tc>
          <w:tcPr>
            <w:tcW w:w="937" w:type="dxa"/>
            <w:noWrap/>
          </w:tcPr>
          <w:p w14:paraId="1153BE7B" w14:textId="216C9821" w:rsidR="006800C7" w:rsidRPr="00341A52" w:rsidRDefault="00365884" w:rsidP="00F31956">
            <w:r>
              <w:t>0</w:t>
            </w:r>
          </w:p>
        </w:tc>
        <w:tc>
          <w:tcPr>
            <w:tcW w:w="844" w:type="dxa"/>
          </w:tcPr>
          <w:p w14:paraId="54BF41EF" w14:textId="66213A9E" w:rsidR="006800C7" w:rsidRPr="00341A52" w:rsidRDefault="006800C7" w:rsidP="00F31956">
            <w:r>
              <w:t>1</w:t>
            </w:r>
            <w:r w:rsidR="00365884">
              <w:t>5</w:t>
            </w:r>
          </w:p>
        </w:tc>
        <w:tc>
          <w:tcPr>
            <w:tcW w:w="540" w:type="dxa"/>
          </w:tcPr>
          <w:p w14:paraId="48515214" w14:textId="77777777" w:rsidR="006800C7" w:rsidRPr="00C62589" w:rsidRDefault="006800C7" w:rsidP="00F31956"/>
        </w:tc>
        <w:tc>
          <w:tcPr>
            <w:tcW w:w="797" w:type="dxa"/>
          </w:tcPr>
          <w:p w14:paraId="72C6A473" w14:textId="65809A76" w:rsidR="006800C7" w:rsidRPr="00341A52" w:rsidRDefault="006800C7" w:rsidP="00F31956">
            <w:r>
              <w:t>1</w:t>
            </w:r>
            <w:r w:rsidR="00365884">
              <w:t>2</w:t>
            </w:r>
          </w:p>
        </w:tc>
        <w:tc>
          <w:tcPr>
            <w:tcW w:w="992" w:type="dxa"/>
          </w:tcPr>
          <w:p w14:paraId="499FD227" w14:textId="77777777" w:rsidR="006800C7" w:rsidRPr="00341A52" w:rsidRDefault="006800C7" w:rsidP="00F31956">
            <w:r>
              <w:t>1</w:t>
            </w:r>
          </w:p>
        </w:tc>
        <w:tc>
          <w:tcPr>
            <w:tcW w:w="993" w:type="dxa"/>
          </w:tcPr>
          <w:p w14:paraId="134DFE1C" w14:textId="77777777" w:rsidR="006800C7" w:rsidRPr="00341A52" w:rsidRDefault="006800C7" w:rsidP="00F31956">
            <w:r>
              <w:t>0</w:t>
            </w:r>
          </w:p>
        </w:tc>
        <w:tc>
          <w:tcPr>
            <w:tcW w:w="706" w:type="dxa"/>
          </w:tcPr>
          <w:p w14:paraId="321A26C7" w14:textId="0BC60DA1" w:rsidR="006800C7" w:rsidRPr="00341A52" w:rsidRDefault="006800C7" w:rsidP="00F31956">
            <w:r>
              <w:t>1</w:t>
            </w:r>
            <w:r w:rsidR="00365884">
              <w:t>3</w:t>
            </w:r>
          </w:p>
        </w:tc>
      </w:tr>
      <w:tr w:rsidR="006800C7" w:rsidRPr="008B5A09" w14:paraId="3D3D3318" w14:textId="77777777" w:rsidTr="00F31956">
        <w:trPr>
          <w:trHeight w:val="265"/>
        </w:trPr>
        <w:tc>
          <w:tcPr>
            <w:tcW w:w="1276" w:type="dxa"/>
            <w:noWrap/>
          </w:tcPr>
          <w:p w14:paraId="4D937D51" w14:textId="77777777" w:rsidR="006800C7" w:rsidRPr="00341A52" w:rsidRDefault="006800C7" w:rsidP="00F31956">
            <w:r>
              <w:t>AO2</w:t>
            </w:r>
          </w:p>
        </w:tc>
        <w:tc>
          <w:tcPr>
            <w:tcW w:w="992" w:type="dxa"/>
            <w:noWrap/>
          </w:tcPr>
          <w:p w14:paraId="2E3B68AA" w14:textId="58BE90EB" w:rsidR="006800C7" w:rsidRPr="00341A52" w:rsidRDefault="006800C7" w:rsidP="00F31956">
            <w:r>
              <w:t>6</w:t>
            </w:r>
            <w:r w:rsidR="00A1664E">
              <w:t>84</w:t>
            </w:r>
          </w:p>
        </w:tc>
        <w:tc>
          <w:tcPr>
            <w:tcW w:w="993" w:type="dxa"/>
            <w:noWrap/>
          </w:tcPr>
          <w:p w14:paraId="382B0C3D" w14:textId="6BFD466A" w:rsidR="006800C7" w:rsidRPr="00341A52" w:rsidRDefault="006800C7" w:rsidP="00F31956">
            <w:r>
              <w:t>5</w:t>
            </w:r>
            <w:r w:rsidR="00A1664E">
              <w:t>7</w:t>
            </w:r>
          </w:p>
        </w:tc>
        <w:tc>
          <w:tcPr>
            <w:tcW w:w="937" w:type="dxa"/>
            <w:noWrap/>
          </w:tcPr>
          <w:p w14:paraId="668148C3" w14:textId="456C38F6" w:rsidR="006800C7" w:rsidRPr="00341A52" w:rsidRDefault="006800C7" w:rsidP="00F31956">
            <w:r>
              <w:t>19</w:t>
            </w:r>
            <w:r w:rsidR="00A1664E">
              <w:t>00</w:t>
            </w:r>
          </w:p>
        </w:tc>
        <w:tc>
          <w:tcPr>
            <w:tcW w:w="844" w:type="dxa"/>
          </w:tcPr>
          <w:p w14:paraId="08D1616C" w14:textId="1E9CF2E2" w:rsidR="006800C7" w:rsidRPr="00341A52" w:rsidRDefault="006800C7" w:rsidP="00F31956">
            <w:r>
              <w:t>26</w:t>
            </w:r>
            <w:r w:rsidR="00A1664E">
              <w:t>41</w:t>
            </w:r>
          </w:p>
        </w:tc>
        <w:tc>
          <w:tcPr>
            <w:tcW w:w="540" w:type="dxa"/>
          </w:tcPr>
          <w:p w14:paraId="63931405" w14:textId="77777777" w:rsidR="006800C7" w:rsidRPr="00C62589" w:rsidRDefault="006800C7" w:rsidP="00F31956"/>
        </w:tc>
        <w:tc>
          <w:tcPr>
            <w:tcW w:w="797" w:type="dxa"/>
          </w:tcPr>
          <w:p w14:paraId="1C73EEF7" w14:textId="25579686" w:rsidR="006800C7" w:rsidRPr="00341A52" w:rsidRDefault="006800C7" w:rsidP="00F31956">
            <w:r>
              <w:t>6</w:t>
            </w:r>
            <w:r w:rsidR="00A1664E">
              <w:t>73</w:t>
            </w:r>
          </w:p>
        </w:tc>
        <w:tc>
          <w:tcPr>
            <w:tcW w:w="992" w:type="dxa"/>
          </w:tcPr>
          <w:p w14:paraId="26A349D5" w14:textId="3E7B0129" w:rsidR="006800C7" w:rsidRPr="00341A52" w:rsidRDefault="006800C7" w:rsidP="00F31956">
            <w:r>
              <w:t>3</w:t>
            </w:r>
            <w:r w:rsidR="00A1664E">
              <w:t>5</w:t>
            </w:r>
          </w:p>
        </w:tc>
        <w:tc>
          <w:tcPr>
            <w:tcW w:w="993" w:type="dxa"/>
          </w:tcPr>
          <w:p w14:paraId="61542A86" w14:textId="7ADBA3DF" w:rsidR="006800C7" w:rsidRPr="00341A52" w:rsidRDefault="006800C7" w:rsidP="00F31956">
            <w:r>
              <w:t>2</w:t>
            </w:r>
            <w:r w:rsidR="00A1664E">
              <w:t>64</w:t>
            </w:r>
          </w:p>
        </w:tc>
        <w:tc>
          <w:tcPr>
            <w:tcW w:w="706" w:type="dxa"/>
          </w:tcPr>
          <w:p w14:paraId="74F02EB8" w14:textId="1385C07F" w:rsidR="006800C7" w:rsidRPr="00341A52" w:rsidRDefault="006800C7" w:rsidP="00F31956">
            <w:r>
              <w:t>9</w:t>
            </w:r>
            <w:r w:rsidR="00A1664E">
              <w:t>72</w:t>
            </w:r>
          </w:p>
        </w:tc>
      </w:tr>
      <w:tr w:rsidR="006800C7" w:rsidRPr="008B5A09" w14:paraId="2178F4A4" w14:textId="77777777" w:rsidTr="00F31956">
        <w:trPr>
          <w:trHeight w:val="265"/>
        </w:trPr>
        <w:tc>
          <w:tcPr>
            <w:tcW w:w="1276" w:type="dxa"/>
            <w:noWrap/>
          </w:tcPr>
          <w:p w14:paraId="6FDDE912" w14:textId="77777777" w:rsidR="006800C7" w:rsidRPr="00341A52" w:rsidRDefault="006800C7" w:rsidP="00F31956">
            <w:r>
              <w:t>AO3</w:t>
            </w:r>
          </w:p>
        </w:tc>
        <w:tc>
          <w:tcPr>
            <w:tcW w:w="992" w:type="dxa"/>
            <w:noWrap/>
          </w:tcPr>
          <w:p w14:paraId="2F435113" w14:textId="274CEA00" w:rsidR="006800C7" w:rsidRPr="00341A52" w:rsidRDefault="006800C7" w:rsidP="00F31956">
            <w:r>
              <w:t>12</w:t>
            </w:r>
            <w:r w:rsidR="00A1664E">
              <w:t>52</w:t>
            </w:r>
          </w:p>
        </w:tc>
        <w:tc>
          <w:tcPr>
            <w:tcW w:w="993" w:type="dxa"/>
            <w:noWrap/>
          </w:tcPr>
          <w:p w14:paraId="448A115B" w14:textId="45698EF2" w:rsidR="006800C7" w:rsidRPr="00341A52" w:rsidRDefault="006800C7" w:rsidP="00F31956">
            <w:r>
              <w:t>4</w:t>
            </w:r>
            <w:r w:rsidR="00A1664E">
              <w:t>37</w:t>
            </w:r>
          </w:p>
        </w:tc>
        <w:tc>
          <w:tcPr>
            <w:tcW w:w="937" w:type="dxa"/>
            <w:noWrap/>
          </w:tcPr>
          <w:p w14:paraId="7FC8A686" w14:textId="27BAB121" w:rsidR="006800C7" w:rsidRPr="00341A52" w:rsidRDefault="006800C7" w:rsidP="00F31956">
            <w:r>
              <w:t>3</w:t>
            </w:r>
            <w:r w:rsidR="00A1664E">
              <w:t>9</w:t>
            </w:r>
          </w:p>
        </w:tc>
        <w:tc>
          <w:tcPr>
            <w:tcW w:w="844" w:type="dxa"/>
          </w:tcPr>
          <w:p w14:paraId="4FA9540C" w14:textId="29DB74DE" w:rsidR="006800C7" w:rsidRPr="00341A52" w:rsidRDefault="006800C7" w:rsidP="00F31956">
            <w:r>
              <w:t>17</w:t>
            </w:r>
            <w:r w:rsidR="00A1664E">
              <w:t>28</w:t>
            </w:r>
          </w:p>
        </w:tc>
        <w:tc>
          <w:tcPr>
            <w:tcW w:w="540" w:type="dxa"/>
          </w:tcPr>
          <w:p w14:paraId="2E0A2375" w14:textId="77777777" w:rsidR="006800C7" w:rsidRPr="00C62589" w:rsidRDefault="006800C7" w:rsidP="00F31956"/>
        </w:tc>
        <w:tc>
          <w:tcPr>
            <w:tcW w:w="797" w:type="dxa"/>
          </w:tcPr>
          <w:p w14:paraId="55FF03D6" w14:textId="0A857407" w:rsidR="006800C7" w:rsidRPr="00341A52" w:rsidRDefault="006800C7" w:rsidP="00F31956">
            <w:r>
              <w:t>12</w:t>
            </w:r>
            <w:r w:rsidR="00A1664E">
              <w:t>25</w:t>
            </w:r>
          </w:p>
        </w:tc>
        <w:tc>
          <w:tcPr>
            <w:tcW w:w="992" w:type="dxa"/>
          </w:tcPr>
          <w:p w14:paraId="33431BC2" w14:textId="4B82D0EA" w:rsidR="006800C7" w:rsidRPr="00341A52" w:rsidRDefault="00A1664E" w:rsidP="00F31956">
            <w:r>
              <w:t>29</w:t>
            </w:r>
            <w:r w:rsidR="00B34132">
              <w:t>1</w:t>
            </w:r>
          </w:p>
        </w:tc>
        <w:tc>
          <w:tcPr>
            <w:tcW w:w="993" w:type="dxa"/>
          </w:tcPr>
          <w:p w14:paraId="308CB459" w14:textId="286DE7C9" w:rsidR="006800C7" w:rsidRPr="00341A52" w:rsidRDefault="006800C7" w:rsidP="00F31956">
            <w:r>
              <w:t>1</w:t>
            </w:r>
            <w:r w:rsidR="00B34132">
              <w:t>9</w:t>
            </w:r>
          </w:p>
        </w:tc>
        <w:tc>
          <w:tcPr>
            <w:tcW w:w="706" w:type="dxa"/>
          </w:tcPr>
          <w:p w14:paraId="20EF9021" w14:textId="2F8060A9" w:rsidR="006800C7" w:rsidRPr="00341A52" w:rsidRDefault="006800C7" w:rsidP="00F31956">
            <w:r>
              <w:t>1</w:t>
            </w:r>
            <w:r w:rsidR="00B34132">
              <w:t>536</w:t>
            </w:r>
          </w:p>
        </w:tc>
      </w:tr>
      <w:tr w:rsidR="006800C7" w:rsidRPr="008B5A09" w14:paraId="5A0F7435" w14:textId="77777777" w:rsidTr="00F31956">
        <w:trPr>
          <w:trHeight w:val="265"/>
        </w:trPr>
        <w:tc>
          <w:tcPr>
            <w:tcW w:w="1276" w:type="dxa"/>
            <w:noWrap/>
          </w:tcPr>
          <w:p w14:paraId="384E0953" w14:textId="77777777" w:rsidR="006800C7" w:rsidRPr="002F154A" w:rsidRDefault="006800C7" w:rsidP="00F31956">
            <w:r>
              <w:t>AO4</w:t>
            </w:r>
          </w:p>
        </w:tc>
        <w:tc>
          <w:tcPr>
            <w:tcW w:w="992" w:type="dxa"/>
            <w:noWrap/>
          </w:tcPr>
          <w:p w14:paraId="24C89583" w14:textId="6BDAE99A" w:rsidR="006800C7" w:rsidRPr="002F154A" w:rsidRDefault="006800C7" w:rsidP="00F31956">
            <w:r>
              <w:t>9</w:t>
            </w:r>
            <w:r w:rsidR="00B34132">
              <w:t>60</w:t>
            </w:r>
          </w:p>
        </w:tc>
        <w:tc>
          <w:tcPr>
            <w:tcW w:w="993" w:type="dxa"/>
            <w:noWrap/>
          </w:tcPr>
          <w:p w14:paraId="3E1C8CB2" w14:textId="23267A2D" w:rsidR="006800C7" w:rsidRPr="002F154A" w:rsidRDefault="00B34132" w:rsidP="00F31956">
            <w:r>
              <w:t>75</w:t>
            </w:r>
          </w:p>
        </w:tc>
        <w:tc>
          <w:tcPr>
            <w:tcW w:w="937" w:type="dxa"/>
            <w:noWrap/>
          </w:tcPr>
          <w:p w14:paraId="684E54CA" w14:textId="77777777" w:rsidR="006800C7" w:rsidRPr="002F154A" w:rsidRDefault="006800C7" w:rsidP="00F31956">
            <w:r>
              <w:t>0</w:t>
            </w:r>
          </w:p>
        </w:tc>
        <w:tc>
          <w:tcPr>
            <w:tcW w:w="844" w:type="dxa"/>
          </w:tcPr>
          <w:p w14:paraId="2017B834" w14:textId="6050B960" w:rsidR="006800C7" w:rsidRPr="002F154A" w:rsidRDefault="006800C7" w:rsidP="00F31956">
            <w:r>
              <w:t>10</w:t>
            </w:r>
            <w:r w:rsidR="00B34132">
              <w:t>35</w:t>
            </w:r>
          </w:p>
        </w:tc>
        <w:tc>
          <w:tcPr>
            <w:tcW w:w="540" w:type="dxa"/>
          </w:tcPr>
          <w:p w14:paraId="49026F2B" w14:textId="77777777" w:rsidR="006800C7" w:rsidRPr="00C62589" w:rsidRDefault="006800C7" w:rsidP="00F31956"/>
        </w:tc>
        <w:tc>
          <w:tcPr>
            <w:tcW w:w="797" w:type="dxa"/>
          </w:tcPr>
          <w:p w14:paraId="7D6F9B03" w14:textId="3CED7FA4" w:rsidR="006800C7" w:rsidRPr="002F154A" w:rsidRDefault="006800C7" w:rsidP="00F31956">
            <w:r>
              <w:t>9</w:t>
            </w:r>
            <w:r w:rsidR="00B34132">
              <w:t>45</w:t>
            </w:r>
          </w:p>
        </w:tc>
        <w:tc>
          <w:tcPr>
            <w:tcW w:w="992" w:type="dxa"/>
          </w:tcPr>
          <w:p w14:paraId="3D9AAC7D" w14:textId="7316B670" w:rsidR="006800C7" w:rsidRPr="002F154A" w:rsidRDefault="006800C7" w:rsidP="00F31956">
            <w:r>
              <w:t>5</w:t>
            </w:r>
            <w:r w:rsidR="00B34132">
              <w:t>3</w:t>
            </w:r>
          </w:p>
        </w:tc>
        <w:tc>
          <w:tcPr>
            <w:tcW w:w="993" w:type="dxa"/>
          </w:tcPr>
          <w:p w14:paraId="71D80E8D" w14:textId="77777777" w:rsidR="006800C7" w:rsidRPr="002F154A" w:rsidRDefault="006800C7" w:rsidP="00F31956">
            <w:r>
              <w:t>0</w:t>
            </w:r>
          </w:p>
        </w:tc>
        <w:tc>
          <w:tcPr>
            <w:tcW w:w="706" w:type="dxa"/>
          </w:tcPr>
          <w:p w14:paraId="08B31A95" w14:textId="5A973AF7" w:rsidR="006800C7" w:rsidRPr="002F154A" w:rsidRDefault="006800C7" w:rsidP="00F31956">
            <w:r>
              <w:t>9</w:t>
            </w:r>
            <w:r w:rsidR="00B34132">
              <w:t>98</w:t>
            </w:r>
          </w:p>
        </w:tc>
      </w:tr>
      <w:tr w:rsidR="0059740A" w:rsidRPr="008B5A09" w14:paraId="639958E8" w14:textId="77777777" w:rsidTr="00F31956">
        <w:trPr>
          <w:trHeight w:val="265"/>
        </w:trPr>
        <w:tc>
          <w:tcPr>
            <w:tcW w:w="1276" w:type="dxa"/>
            <w:noWrap/>
          </w:tcPr>
          <w:p w14:paraId="1DEA0A4B" w14:textId="77777777" w:rsidR="0059740A" w:rsidRPr="00341A52" w:rsidRDefault="0059740A" w:rsidP="0059740A">
            <w:r>
              <w:t>AO5</w:t>
            </w:r>
          </w:p>
        </w:tc>
        <w:tc>
          <w:tcPr>
            <w:tcW w:w="992" w:type="dxa"/>
            <w:noWrap/>
          </w:tcPr>
          <w:p w14:paraId="3699AE72" w14:textId="654A059D" w:rsidR="0059740A" w:rsidRPr="00341A52" w:rsidRDefault="0059740A" w:rsidP="0059740A">
            <w:r w:rsidRPr="004371B6">
              <w:t>924</w:t>
            </w:r>
          </w:p>
        </w:tc>
        <w:tc>
          <w:tcPr>
            <w:tcW w:w="993" w:type="dxa"/>
            <w:noWrap/>
          </w:tcPr>
          <w:p w14:paraId="40C62507" w14:textId="47993758" w:rsidR="0059740A" w:rsidRPr="00341A52" w:rsidRDefault="0059740A" w:rsidP="0059740A">
            <w:r w:rsidRPr="004371B6">
              <w:t>94</w:t>
            </w:r>
          </w:p>
        </w:tc>
        <w:tc>
          <w:tcPr>
            <w:tcW w:w="937" w:type="dxa"/>
            <w:noWrap/>
          </w:tcPr>
          <w:p w14:paraId="0C8760AD" w14:textId="31930BB4" w:rsidR="0059740A" w:rsidRPr="00341A52" w:rsidRDefault="0059740A" w:rsidP="0059740A">
            <w:r w:rsidRPr="004371B6">
              <w:t>0</w:t>
            </w:r>
          </w:p>
        </w:tc>
        <w:tc>
          <w:tcPr>
            <w:tcW w:w="844" w:type="dxa"/>
          </w:tcPr>
          <w:p w14:paraId="40948C3D" w14:textId="13048C83" w:rsidR="0059740A" w:rsidRPr="00341A52" w:rsidRDefault="0059740A" w:rsidP="0059740A">
            <w:r w:rsidRPr="004371B6">
              <w:t>1018</w:t>
            </w:r>
          </w:p>
        </w:tc>
        <w:tc>
          <w:tcPr>
            <w:tcW w:w="540" w:type="dxa"/>
          </w:tcPr>
          <w:p w14:paraId="1DD4CD44" w14:textId="77777777" w:rsidR="0059740A" w:rsidRPr="00C62589" w:rsidRDefault="0059740A" w:rsidP="0059740A"/>
        </w:tc>
        <w:tc>
          <w:tcPr>
            <w:tcW w:w="797" w:type="dxa"/>
          </w:tcPr>
          <w:p w14:paraId="07D359A9" w14:textId="58066AEE" w:rsidR="0059740A" w:rsidRPr="00341A52" w:rsidRDefault="0059740A" w:rsidP="0059740A">
            <w:r w:rsidRPr="00C8093D">
              <w:t>902</w:t>
            </w:r>
          </w:p>
        </w:tc>
        <w:tc>
          <w:tcPr>
            <w:tcW w:w="992" w:type="dxa"/>
          </w:tcPr>
          <w:p w14:paraId="52236576" w14:textId="2078B42E" w:rsidR="0059740A" w:rsidRPr="00341A52" w:rsidRDefault="0059740A" w:rsidP="0059740A">
            <w:r w:rsidRPr="00C8093D">
              <w:t>65</w:t>
            </w:r>
          </w:p>
        </w:tc>
        <w:tc>
          <w:tcPr>
            <w:tcW w:w="993" w:type="dxa"/>
          </w:tcPr>
          <w:p w14:paraId="32F83B22" w14:textId="425184C3" w:rsidR="0059740A" w:rsidRPr="00341A52" w:rsidRDefault="0059740A" w:rsidP="0059740A">
            <w:r w:rsidRPr="00C8093D">
              <w:t>0</w:t>
            </w:r>
          </w:p>
        </w:tc>
        <w:tc>
          <w:tcPr>
            <w:tcW w:w="706" w:type="dxa"/>
          </w:tcPr>
          <w:p w14:paraId="780143F7" w14:textId="76D4B8C2" w:rsidR="0059740A" w:rsidRPr="00341A52" w:rsidRDefault="0059740A" w:rsidP="0059740A">
            <w:r w:rsidRPr="00C8093D">
              <w:t>968</w:t>
            </w:r>
          </w:p>
        </w:tc>
      </w:tr>
      <w:tr w:rsidR="004367C1" w:rsidRPr="008B5A09" w14:paraId="59885132" w14:textId="77777777" w:rsidTr="00F31956">
        <w:trPr>
          <w:trHeight w:val="265"/>
        </w:trPr>
        <w:tc>
          <w:tcPr>
            <w:tcW w:w="1276" w:type="dxa"/>
            <w:noWrap/>
          </w:tcPr>
          <w:p w14:paraId="0CF4B7FE" w14:textId="77777777" w:rsidR="004367C1" w:rsidRPr="00341A52" w:rsidRDefault="004367C1" w:rsidP="004367C1">
            <w:r>
              <w:t>AO6</w:t>
            </w:r>
          </w:p>
        </w:tc>
        <w:tc>
          <w:tcPr>
            <w:tcW w:w="992" w:type="dxa"/>
            <w:noWrap/>
          </w:tcPr>
          <w:p w14:paraId="23433A7B" w14:textId="288C295C" w:rsidR="004367C1" w:rsidRPr="00341A52" w:rsidRDefault="004367C1" w:rsidP="004367C1">
            <w:r w:rsidRPr="00DA394B">
              <w:t>876</w:t>
            </w:r>
          </w:p>
        </w:tc>
        <w:tc>
          <w:tcPr>
            <w:tcW w:w="993" w:type="dxa"/>
            <w:noWrap/>
          </w:tcPr>
          <w:p w14:paraId="652744CB" w14:textId="4EF107E4" w:rsidR="004367C1" w:rsidRPr="00341A52" w:rsidRDefault="004367C1" w:rsidP="004367C1">
            <w:r w:rsidRPr="00DA394B">
              <w:t>103</w:t>
            </w:r>
          </w:p>
        </w:tc>
        <w:tc>
          <w:tcPr>
            <w:tcW w:w="937" w:type="dxa"/>
            <w:noWrap/>
          </w:tcPr>
          <w:p w14:paraId="2E86FDDB" w14:textId="1D72D6D4" w:rsidR="004367C1" w:rsidRPr="00341A52" w:rsidRDefault="004367C1" w:rsidP="004367C1">
            <w:r w:rsidRPr="00DA394B">
              <w:t>12</w:t>
            </w:r>
          </w:p>
        </w:tc>
        <w:tc>
          <w:tcPr>
            <w:tcW w:w="844" w:type="dxa"/>
          </w:tcPr>
          <w:p w14:paraId="0BC599CC" w14:textId="277877D7" w:rsidR="004367C1" w:rsidRPr="00341A52" w:rsidRDefault="004367C1" w:rsidP="004367C1">
            <w:r w:rsidRPr="00DA394B">
              <w:t>991</w:t>
            </w:r>
          </w:p>
        </w:tc>
        <w:tc>
          <w:tcPr>
            <w:tcW w:w="540" w:type="dxa"/>
          </w:tcPr>
          <w:p w14:paraId="36A9D56A" w14:textId="77777777" w:rsidR="004367C1" w:rsidRPr="00C62589" w:rsidRDefault="004367C1" w:rsidP="004367C1"/>
        </w:tc>
        <w:tc>
          <w:tcPr>
            <w:tcW w:w="797" w:type="dxa"/>
          </w:tcPr>
          <w:p w14:paraId="2C6D2717" w14:textId="536053FF" w:rsidR="004367C1" w:rsidRPr="00341A52" w:rsidRDefault="004367C1" w:rsidP="004367C1">
            <w:r w:rsidRPr="00191F52">
              <w:t>859</w:t>
            </w:r>
          </w:p>
        </w:tc>
        <w:tc>
          <w:tcPr>
            <w:tcW w:w="992" w:type="dxa"/>
          </w:tcPr>
          <w:p w14:paraId="72816030" w14:textId="11FCB49B" w:rsidR="004367C1" w:rsidRPr="00341A52" w:rsidRDefault="004367C1" w:rsidP="004367C1">
            <w:r w:rsidRPr="00191F52">
              <w:t>76</w:t>
            </w:r>
          </w:p>
        </w:tc>
        <w:tc>
          <w:tcPr>
            <w:tcW w:w="993" w:type="dxa"/>
          </w:tcPr>
          <w:p w14:paraId="68541289" w14:textId="4C879197" w:rsidR="004367C1" w:rsidRPr="00341A52" w:rsidRDefault="004367C1" w:rsidP="004367C1">
            <w:r w:rsidRPr="00191F52">
              <w:t>10</w:t>
            </w:r>
          </w:p>
        </w:tc>
        <w:tc>
          <w:tcPr>
            <w:tcW w:w="706" w:type="dxa"/>
          </w:tcPr>
          <w:p w14:paraId="7C5810C5" w14:textId="18B2B1AC" w:rsidR="004367C1" w:rsidRPr="00341A52" w:rsidRDefault="004367C1" w:rsidP="004367C1">
            <w:r w:rsidRPr="00191F52">
              <w:t>944</w:t>
            </w:r>
          </w:p>
        </w:tc>
      </w:tr>
      <w:tr w:rsidR="00D36AEC" w:rsidRPr="008B5A09" w14:paraId="6853986C" w14:textId="77777777" w:rsidTr="00F31956">
        <w:trPr>
          <w:trHeight w:val="265"/>
        </w:trPr>
        <w:tc>
          <w:tcPr>
            <w:tcW w:w="1276" w:type="dxa"/>
            <w:noWrap/>
          </w:tcPr>
          <w:p w14:paraId="5D9FE047" w14:textId="77777777" w:rsidR="00D36AEC" w:rsidRPr="00341A52" w:rsidRDefault="00D36AEC" w:rsidP="00D36AEC">
            <w:r>
              <w:t>AO7</w:t>
            </w:r>
          </w:p>
        </w:tc>
        <w:tc>
          <w:tcPr>
            <w:tcW w:w="992" w:type="dxa"/>
            <w:noWrap/>
          </w:tcPr>
          <w:p w14:paraId="596BD9F6" w14:textId="74CFCF25" w:rsidR="00D36AEC" w:rsidRPr="00341A52" w:rsidRDefault="00D36AEC" w:rsidP="00D36AEC">
            <w:r w:rsidRPr="00A213E7">
              <w:t>913</w:t>
            </w:r>
          </w:p>
        </w:tc>
        <w:tc>
          <w:tcPr>
            <w:tcW w:w="993" w:type="dxa"/>
            <w:noWrap/>
          </w:tcPr>
          <w:p w14:paraId="199587DD" w14:textId="4421E177" w:rsidR="00D36AEC" w:rsidRPr="00341A52" w:rsidRDefault="00D36AEC" w:rsidP="00D36AEC">
            <w:r w:rsidRPr="00A213E7">
              <w:t>81</w:t>
            </w:r>
          </w:p>
        </w:tc>
        <w:tc>
          <w:tcPr>
            <w:tcW w:w="937" w:type="dxa"/>
            <w:noWrap/>
          </w:tcPr>
          <w:p w14:paraId="1889E66E" w14:textId="657B0DF9" w:rsidR="00D36AEC" w:rsidRPr="00341A52" w:rsidRDefault="00D36AEC" w:rsidP="00D36AEC">
            <w:r w:rsidRPr="00A213E7">
              <w:t>10</w:t>
            </w:r>
          </w:p>
        </w:tc>
        <w:tc>
          <w:tcPr>
            <w:tcW w:w="844" w:type="dxa"/>
          </w:tcPr>
          <w:p w14:paraId="7D59C5D3" w14:textId="2C9A948B" w:rsidR="00D36AEC" w:rsidRPr="00341A52" w:rsidRDefault="00D36AEC" w:rsidP="00D36AEC">
            <w:r w:rsidRPr="00A213E7">
              <w:t>1004</w:t>
            </w:r>
          </w:p>
        </w:tc>
        <w:tc>
          <w:tcPr>
            <w:tcW w:w="540" w:type="dxa"/>
          </w:tcPr>
          <w:p w14:paraId="780734DF" w14:textId="77777777" w:rsidR="00D36AEC" w:rsidRPr="00C62589" w:rsidRDefault="00D36AEC" w:rsidP="00D36AEC"/>
        </w:tc>
        <w:tc>
          <w:tcPr>
            <w:tcW w:w="797" w:type="dxa"/>
          </w:tcPr>
          <w:p w14:paraId="47844DB7" w14:textId="4718AAC8" w:rsidR="00D36AEC" w:rsidRPr="00341A52" w:rsidRDefault="00D36AEC" w:rsidP="00D36AEC">
            <w:r w:rsidRPr="00C479D8">
              <w:t>896</w:t>
            </w:r>
          </w:p>
        </w:tc>
        <w:tc>
          <w:tcPr>
            <w:tcW w:w="992" w:type="dxa"/>
          </w:tcPr>
          <w:p w14:paraId="39A64551" w14:textId="352681E0" w:rsidR="00D36AEC" w:rsidRPr="00341A52" w:rsidRDefault="00D36AEC" w:rsidP="00D36AEC">
            <w:r w:rsidRPr="00C479D8">
              <w:t>60</w:t>
            </w:r>
          </w:p>
        </w:tc>
        <w:tc>
          <w:tcPr>
            <w:tcW w:w="993" w:type="dxa"/>
          </w:tcPr>
          <w:p w14:paraId="3ABDF41E" w14:textId="451005E1" w:rsidR="00D36AEC" w:rsidRPr="00341A52" w:rsidRDefault="00D36AEC" w:rsidP="00D36AEC">
            <w:r w:rsidRPr="00C479D8">
              <w:t>8</w:t>
            </w:r>
          </w:p>
        </w:tc>
        <w:tc>
          <w:tcPr>
            <w:tcW w:w="706" w:type="dxa"/>
          </w:tcPr>
          <w:p w14:paraId="244AE583" w14:textId="2BB9265F" w:rsidR="00D36AEC" w:rsidRPr="00341A52" w:rsidRDefault="00D36AEC" w:rsidP="00D36AEC">
            <w:r w:rsidRPr="00C479D8">
              <w:t>963</w:t>
            </w:r>
          </w:p>
        </w:tc>
      </w:tr>
      <w:tr w:rsidR="002303D5" w:rsidRPr="008B5A09" w14:paraId="6C005968" w14:textId="77777777" w:rsidTr="00F31956">
        <w:trPr>
          <w:trHeight w:val="265"/>
        </w:trPr>
        <w:tc>
          <w:tcPr>
            <w:tcW w:w="1276" w:type="dxa"/>
            <w:noWrap/>
          </w:tcPr>
          <w:p w14:paraId="6A0B4C29" w14:textId="77777777" w:rsidR="002303D5" w:rsidRDefault="002303D5" w:rsidP="002303D5">
            <w:r>
              <w:t>AO8</w:t>
            </w:r>
          </w:p>
        </w:tc>
        <w:tc>
          <w:tcPr>
            <w:tcW w:w="992" w:type="dxa"/>
            <w:noWrap/>
          </w:tcPr>
          <w:p w14:paraId="4E75B46F" w14:textId="682A8814" w:rsidR="002303D5" w:rsidRPr="00341A52" w:rsidRDefault="002303D5" w:rsidP="002303D5">
            <w:r w:rsidRPr="00B94373">
              <w:t>625</w:t>
            </w:r>
          </w:p>
        </w:tc>
        <w:tc>
          <w:tcPr>
            <w:tcW w:w="993" w:type="dxa"/>
            <w:noWrap/>
          </w:tcPr>
          <w:p w14:paraId="1497E39D" w14:textId="76F9FF3F" w:rsidR="002303D5" w:rsidRPr="00341A52" w:rsidRDefault="002303D5" w:rsidP="002303D5">
            <w:r w:rsidRPr="00B94373">
              <w:t>48</w:t>
            </w:r>
          </w:p>
        </w:tc>
        <w:tc>
          <w:tcPr>
            <w:tcW w:w="937" w:type="dxa"/>
            <w:noWrap/>
          </w:tcPr>
          <w:p w14:paraId="2203B6FC" w14:textId="02531613" w:rsidR="002303D5" w:rsidRPr="00341A52" w:rsidRDefault="002303D5" w:rsidP="002303D5">
            <w:r w:rsidRPr="00B94373">
              <w:t>0</w:t>
            </w:r>
          </w:p>
        </w:tc>
        <w:tc>
          <w:tcPr>
            <w:tcW w:w="844" w:type="dxa"/>
          </w:tcPr>
          <w:p w14:paraId="038F96D3" w14:textId="51B60BEA" w:rsidR="002303D5" w:rsidRPr="00341A52" w:rsidRDefault="002303D5" w:rsidP="002303D5">
            <w:r w:rsidRPr="00B94373">
              <w:t>673</w:t>
            </w:r>
          </w:p>
        </w:tc>
        <w:tc>
          <w:tcPr>
            <w:tcW w:w="540" w:type="dxa"/>
          </w:tcPr>
          <w:p w14:paraId="3699D5C0" w14:textId="77777777" w:rsidR="002303D5" w:rsidRPr="00C62589" w:rsidRDefault="002303D5" w:rsidP="002303D5"/>
        </w:tc>
        <w:tc>
          <w:tcPr>
            <w:tcW w:w="797" w:type="dxa"/>
          </w:tcPr>
          <w:p w14:paraId="46A9E9F6" w14:textId="5FFBE6D2" w:rsidR="002303D5" w:rsidRPr="00341A52" w:rsidRDefault="002303D5" w:rsidP="002303D5">
            <w:r w:rsidRPr="00550E5F">
              <w:t>615</w:t>
            </w:r>
          </w:p>
        </w:tc>
        <w:tc>
          <w:tcPr>
            <w:tcW w:w="992" w:type="dxa"/>
          </w:tcPr>
          <w:p w14:paraId="7F815995" w14:textId="010C3FB6" w:rsidR="002303D5" w:rsidRPr="00341A52" w:rsidRDefault="002303D5" w:rsidP="002303D5">
            <w:r w:rsidRPr="00550E5F">
              <w:t>36</w:t>
            </w:r>
          </w:p>
        </w:tc>
        <w:tc>
          <w:tcPr>
            <w:tcW w:w="993" w:type="dxa"/>
          </w:tcPr>
          <w:p w14:paraId="20569374" w14:textId="46777C9D" w:rsidR="002303D5" w:rsidRPr="00341A52" w:rsidRDefault="002303D5" w:rsidP="002303D5">
            <w:r w:rsidRPr="00550E5F">
              <w:t>0</w:t>
            </w:r>
          </w:p>
        </w:tc>
        <w:tc>
          <w:tcPr>
            <w:tcW w:w="706" w:type="dxa"/>
          </w:tcPr>
          <w:p w14:paraId="34639964" w14:textId="6E6023C2" w:rsidR="002303D5" w:rsidRPr="00341A52" w:rsidRDefault="002303D5" w:rsidP="002303D5">
            <w:r w:rsidRPr="00550E5F">
              <w:t>650</w:t>
            </w:r>
          </w:p>
        </w:tc>
      </w:tr>
      <w:tr w:rsidR="00C97B59" w:rsidRPr="008B5A09" w14:paraId="6D6E15D9" w14:textId="77777777" w:rsidTr="00F31956">
        <w:trPr>
          <w:trHeight w:val="265"/>
        </w:trPr>
        <w:tc>
          <w:tcPr>
            <w:tcW w:w="1276" w:type="dxa"/>
            <w:noWrap/>
          </w:tcPr>
          <w:p w14:paraId="6472E0F1" w14:textId="77777777" w:rsidR="00C97B59" w:rsidRDefault="00C97B59" w:rsidP="00C97B59">
            <w:r>
              <w:t>SO</w:t>
            </w:r>
          </w:p>
        </w:tc>
        <w:tc>
          <w:tcPr>
            <w:tcW w:w="992" w:type="dxa"/>
            <w:noWrap/>
          </w:tcPr>
          <w:p w14:paraId="262C68A0" w14:textId="54A73851" w:rsidR="00C97B59" w:rsidRPr="00341A52" w:rsidRDefault="00C97B59" w:rsidP="00C97B59">
            <w:r w:rsidRPr="00C948B9">
              <w:t>249</w:t>
            </w:r>
          </w:p>
        </w:tc>
        <w:tc>
          <w:tcPr>
            <w:tcW w:w="993" w:type="dxa"/>
            <w:noWrap/>
          </w:tcPr>
          <w:p w14:paraId="10B68B42" w14:textId="5B02F2E5" w:rsidR="00C97B59" w:rsidRPr="00341A52" w:rsidRDefault="00C97B59" w:rsidP="00C97B59">
            <w:r w:rsidRPr="00C948B9">
              <w:t>7</w:t>
            </w:r>
          </w:p>
        </w:tc>
        <w:tc>
          <w:tcPr>
            <w:tcW w:w="937" w:type="dxa"/>
            <w:noWrap/>
          </w:tcPr>
          <w:p w14:paraId="4609213E" w14:textId="2ADA6D99" w:rsidR="00C97B59" w:rsidRPr="00341A52" w:rsidRDefault="00C97B59" w:rsidP="00C97B59">
            <w:r w:rsidRPr="00C948B9">
              <w:t>0</w:t>
            </w:r>
          </w:p>
        </w:tc>
        <w:tc>
          <w:tcPr>
            <w:tcW w:w="844" w:type="dxa"/>
          </w:tcPr>
          <w:p w14:paraId="674D1F30" w14:textId="7F99782E" w:rsidR="00C97B59" w:rsidRPr="00341A52" w:rsidRDefault="00C97B59" w:rsidP="00C97B59">
            <w:r w:rsidRPr="00C948B9">
              <w:t>256</w:t>
            </w:r>
          </w:p>
        </w:tc>
        <w:tc>
          <w:tcPr>
            <w:tcW w:w="540" w:type="dxa"/>
          </w:tcPr>
          <w:p w14:paraId="14B26236" w14:textId="77777777" w:rsidR="00C97B59" w:rsidRPr="00C62589" w:rsidRDefault="00C97B59" w:rsidP="00C97B59"/>
        </w:tc>
        <w:tc>
          <w:tcPr>
            <w:tcW w:w="797" w:type="dxa"/>
          </w:tcPr>
          <w:p w14:paraId="1A6E6911" w14:textId="3DDE2A12" w:rsidR="00C97B59" w:rsidRPr="00341A52" w:rsidRDefault="00C97B59" w:rsidP="00C97B59">
            <w:r w:rsidRPr="0044116C">
              <w:t>245</w:t>
            </w:r>
          </w:p>
        </w:tc>
        <w:tc>
          <w:tcPr>
            <w:tcW w:w="992" w:type="dxa"/>
          </w:tcPr>
          <w:p w14:paraId="18C1748A" w14:textId="2B08E749" w:rsidR="00C97B59" w:rsidRPr="00341A52" w:rsidRDefault="00C97B59" w:rsidP="00C97B59">
            <w:r w:rsidRPr="0044116C">
              <w:t>5</w:t>
            </w:r>
          </w:p>
        </w:tc>
        <w:tc>
          <w:tcPr>
            <w:tcW w:w="993" w:type="dxa"/>
          </w:tcPr>
          <w:p w14:paraId="50A090EC" w14:textId="2DCDD86B" w:rsidR="00C97B59" w:rsidRPr="00341A52" w:rsidRDefault="00C97B59" w:rsidP="00C97B59">
            <w:r w:rsidRPr="0044116C">
              <w:t>0</w:t>
            </w:r>
          </w:p>
        </w:tc>
        <w:tc>
          <w:tcPr>
            <w:tcW w:w="706" w:type="dxa"/>
          </w:tcPr>
          <w:p w14:paraId="3AE48FD1" w14:textId="527D09FE" w:rsidR="00C97B59" w:rsidRPr="00341A52" w:rsidRDefault="00C97B59" w:rsidP="00C97B59">
            <w:r w:rsidRPr="0044116C">
              <w:t>251</w:t>
            </w:r>
          </w:p>
        </w:tc>
      </w:tr>
      <w:tr w:rsidR="00F83B0A" w:rsidRPr="008B5A09" w14:paraId="7E2D3B49" w14:textId="77777777" w:rsidTr="00F31956">
        <w:trPr>
          <w:trHeight w:val="265"/>
        </w:trPr>
        <w:tc>
          <w:tcPr>
            <w:tcW w:w="1276" w:type="dxa"/>
            <w:noWrap/>
          </w:tcPr>
          <w:p w14:paraId="33490644" w14:textId="77777777" w:rsidR="00F83B0A" w:rsidRDefault="00F83B0A" w:rsidP="00F83B0A">
            <w:r>
              <w:t>SES</w:t>
            </w:r>
          </w:p>
        </w:tc>
        <w:tc>
          <w:tcPr>
            <w:tcW w:w="992" w:type="dxa"/>
            <w:noWrap/>
          </w:tcPr>
          <w:p w14:paraId="13822FDA" w14:textId="62CAD7A3" w:rsidR="00F83B0A" w:rsidRPr="00341A52" w:rsidRDefault="00F83B0A" w:rsidP="00F83B0A">
            <w:r w:rsidRPr="001B1B75">
              <w:t>111</w:t>
            </w:r>
          </w:p>
        </w:tc>
        <w:tc>
          <w:tcPr>
            <w:tcW w:w="993" w:type="dxa"/>
            <w:noWrap/>
          </w:tcPr>
          <w:p w14:paraId="04728D2C" w14:textId="405748C0" w:rsidR="00F83B0A" w:rsidRPr="00341A52" w:rsidRDefault="00F83B0A" w:rsidP="00F83B0A">
            <w:r w:rsidRPr="001B1B75">
              <w:t>2</w:t>
            </w:r>
          </w:p>
        </w:tc>
        <w:tc>
          <w:tcPr>
            <w:tcW w:w="937" w:type="dxa"/>
            <w:noWrap/>
          </w:tcPr>
          <w:p w14:paraId="399E95B2" w14:textId="546073F5" w:rsidR="00F83B0A" w:rsidRPr="00341A52" w:rsidRDefault="00F83B0A" w:rsidP="00F83B0A">
            <w:r w:rsidRPr="001B1B75">
              <w:t>0</w:t>
            </w:r>
          </w:p>
        </w:tc>
        <w:tc>
          <w:tcPr>
            <w:tcW w:w="844" w:type="dxa"/>
          </w:tcPr>
          <w:p w14:paraId="13E196CC" w14:textId="1969488F" w:rsidR="00F83B0A" w:rsidRPr="00341A52" w:rsidRDefault="00F83B0A" w:rsidP="00F83B0A">
            <w:r w:rsidRPr="001B1B75">
              <w:t>113</w:t>
            </w:r>
          </w:p>
        </w:tc>
        <w:tc>
          <w:tcPr>
            <w:tcW w:w="540" w:type="dxa"/>
          </w:tcPr>
          <w:p w14:paraId="5062CE60" w14:textId="77777777" w:rsidR="00F83B0A" w:rsidRPr="00C62589" w:rsidRDefault="00F83B0A" w:rsidP="00F83B0A"/>
        </w:tc>
        <w:tc>
          <w:tcPr>
            <w:tcW w:w="797" w:type="dxa"/>
          </w:tcPr>
          <w:p w14:paraId="7994108A" w14:textId="75841868" w:rsidR="00F83B0A" w:rsidRPr="00341A52" w:rsidRDefault="00F83B0A" w:rsidP="00F83B0A">
            <w:r w:rsidRPr="0065197A">
              <w:t>110</w:t>
            </w:r>
          </w:p>
        </w:tc>
        <w:tc>
          <w:tcPr>
            <w:tcW w:w="992" w:type="dxa"/>
          </w:tcPr>
          <w:p w14:paraId="404B6BE7" w14:textId="633044BD" w:rsidR="00F83B0A" w:rsidRPr="00341A52" w:rsidRDefault="00F83B0A" w:rsidP="00F83B0A">
            <w:r w:rsidRPr="0065197A">
              <w:t>1</w:t>
            </w:r>
          </w:p>
        </w:tc>
        <w:tc>
          <w:tcPr>
            <w:tcW w:w="993" w:type="dxa"/>
          </w:tcPr>
          <w:p w14:paraId="28775ACE" w14:textId="5A174239" w:rsidR="00F83B0A" w:rsidRPr="00341A52" w:rsidRDefault="00F83B0A" w:rsidP="00F83B0A">
            <w:r w:rsidRPr="0065197A">
              <w:t>0</w:t>
            </w:r>
          </w:p>
        </w:tc>
        <w:tc>
          <w:tcPr>
            <w:tcW w:w="706" w:type="dxa"/>
          </w:tcPr>
          <w:p w14:paraId="05E35B2B" w14:textId="47CCAF3A" w:rsidR="00F83B0A" w:rsidRPr="00341A52" w:rsidRDefault="00F83B0A" w:rsidP="00F83B0A">
            <w:r w:rsidRPr="0065197A">
              <w:t>111</w:t>
            </w:r>
          </w:p>
        </w:tc>
      </w:tr>
      <w:tr w:rsidR="00903205" w:rsidRPr="008B5A09" w14:paraId="1F03D760" w14:textId="77777777" w:rsidTr="00F31956">
        <w:trPr>
          <w:trHeight w:val="265"/>
        </w:trPr>
        <w:tc>
          <w:tcPr>
            <w:tcW w:w="1276" w:type="dxa"/>
            <w:noWrap/>
          </w:tcPr>
          <w:p w14:paraId="28486857" w14:textId="77777777" w:rsidR="00903205" w:rsidRDefault="00903205" w:rsidP="00903205">
            <w:r>
              <w:t xml:space="preserve">Grand Total </w:t>
            </w:r>
          </w:p>
        </w:tc>
        <w:tc>
          <w:tcPr>
            <w:tcW w:w="992" w:type="dxa"/>
            <w:noWrap/>
          </w:tcPr>
          <w:p w14:paraId="7CD79F27" w14:textId="33D6C458" w:rsidR="00903205" w:rsidRPr="00341A52" w:rsidRDefault="00903205" w:rsidP="00903205">
            <w:r w:rsidRPr="00761CDE">
              <w:t>6606</w:t>
            </w:r>
          </w:p>
        </w:tc>
        <w:tc>
          <w:tcPr>
            <w:tcW w:w="993" w:type="dxa"/>
            <w:noWrap/>
          </w:tcPr>
          <w:p w14:paraId="77019B4B" w14:textId="4BA4C9E7" w:rsidR="00903205" w:rsidRPr="00341A52" w:rsidRDefault="00903205" w:rsidP="00903205">
            <w:r w:rsidRPr="00761CDE">
              <w:t>907</w:t>
            </w:r>
          </w:p>
        </w:tc>
        <w:tc>
          <w:tcPr>
            <w:tcW w:w="937" w:type="dxa"/>
            <w:noWrap/>
          </w:tcPr>
          <w:p w14:paraId="13AF7D77" w14:textId="0A4656BF" w:rsidR="00903205" w:rsidRPr="00341A52" w:rsidRDefault="00903205" w:rsidP="00903205">
            <w:r w:rsidRPr="00761CDE">
              <w:t>1961</w:t>
            </w:r>
          </w:p>
        </w:tc>
        <w:tc>
          <w:tcPr>
            <w:tcW w:w="844" w:type="dxa"/>
          </w:tcPr>
          <w:p w14:paraId="4E6D0364" w14:textId="46C3410C" w:rsidR="00903205" w:rsidRPr="00341A52" w:rsidRDefault="00903205" w:rsidP="00903205">
            <w:r w:rsidRPr="00761CDE">
              <w:t>9474</w:t>
            </w:r>
          </w:p>
        </w:tc>
        <w:tc>
          <w:tcPr>
            <w:tcW w:w="540" w:type="dxa"/>
          </w:tcPr>
          <w:p w14:paraId="4727DFE8" w14:textId="77777777" w:rsidR="00903205" w:rsidRPr="00C62589" w:rsidRDefault="00903205" w:rsidP="00903205"/>
        </w:tc>
        <w:tc>
          <w:tcPr>
            <w:tcW w:w="797" w:type="dxa"/>
          </w:tcPr>
          <w:p w14:paraId="5FC5932F" w14:textId="110F3E89" w:rsidR="00903205" w:rsidRPr="00341A52" w:rsidRDefault="00903205" w:rsidP="00903205">
            <w:r w:rsidRPr="00133FB6">
              <w:t>6481</w:t>
            </w:r>
          </w:p>
        </w:tc>
        <w:tc>
          <w:tcPr>
            <w:tcW w:w="992" w:type="dxa"/>
          </w:tcPr>
          <w:p w14:paraId="39AC4BFD" w14:textId="4D6EB6A2" w:rsidR="00903205" w:rsidRPr="00341A52" w:rsidRDefault="00903205" w:rsidP="00903205">
            <w:r w:rsidRPr="00133FB6">
              <w:t>623</w:t>
            </w:r>
          </w:p>
        </w:tc>
        <w:tc>
          <w:tcPr>
            <w:tcW w:w="993" w:type="dxa"/>
          </w:tcPr>
          <w:p w14:paraId="21EC018D" w14:textId="4FFED7D2" w:rsidR="00903205" w:rsidRPr="00341A52" w:rsidRDefault="00903205" w:rsidP="00903205">
            <w:r w:rsidRPr="00133FB6">
              <w:t>301</w:t>
            </w:r>
          </w:p>
        </w:tc>
        <w:tc>
          <w:tcPr>
            <w:tcW w:w="706" w:type="dxa"/>
          </w:tcPr>
          <w:p w14:paraId="7604537D" w14:textId="6CE128DF" w:rsidR="00903205" w:rsidRPr="00341A52" w:rsidRDefault="00903205" w:rsidP="00903205">
            <w:r w:rsidRPr="00133FB6">
              <w:t>7405</w:t>
            </w:r>
          </w:p>
        </w:tc>
      </w:tr>
    </w:tbl>
    <w:p w14:paraId="716A462E" w14:textId="77777777" w:rsidR="006800C7" w:rsidRPr="00341A52" w:rsidRDefault="006800C7" w:rsidP="006800C7"/>
    <w:tbl>
      <w:tblPr>
        <w:tblStyle w:val="Style1"/>
        <w:tblW w:w="9070" w:type="dxa"/>
        <w:tblLook w:val="04A0" w:firstRow="1" w:lastRow="0" w:firstColumn="1" w:lastColumn="0" w:noHBand="0" w:noVBand="1"/>
      </w:tblPr>
      <w:tblGrid>
        <w:gridCol w:w="1276"/>
        <w:gridCol w:w="992"/>
        <w:gridCol w:w="993"/>
        <w:gridCol w:w="937"/>
        <w:gridCol w:w="844"/>
        <w:gridCol w:w="540"/>
        <w:gridCol w:w="797"/>
        <w:gridCol w:w="992"/>
        <w:gridCol w:w="993"/>
        <w:gridCol w:w="706"/>
      </w:tblGrid>
      <w:tr w:rsidR="006800C7" w:rsidRPr="008B5A09" w14:paraId="5D226564" w14:textId="77777777" w:rsidTr="00F31956">
        <w:trPr>
          <w:cnfStyle w:val="100000000000" w:firstRow="1" w:lastRow="0" w:firstColumn="0" w:lastColumn="0" w:oddVBand="0" w:evenVBand="0" w:oddHBand="0" w:evenHBand="0" w:firstRowFirstColumn="0" w:firstRowLastColumn="0" w:lastRowFirstColumn="0" w:lastRowLastColumn="0"/>
          <w:trHeight w:val="150"/>
        </w:trPr>
        <w:tc>
          <w:tcPr>
            <w:tcW w:w="1276" w:type="dxa"/>
            <w:noWrap/>
            <w:hideMark/>
          </w:tcPr>
          <w:p w14:paraId="1513376B" w14:textId="77777777" w:rsidR="006800C7" w:rsidRPr="00BB413F" w:rsidRDefault="006800C7" w:rsidP="00F31956"/>
        </w:tc>
        <w:tc>
          <w:tcPr>
            <w:tcW w:w="3766" w:type="dxa"/>
            <w:gridSpan w:val="4"/>
            <w:noWrap/>
          </w:tcPr>
          <w:p w14:paraId="1D41BC25" w14:textId="77777777" w:rsidR="006800C7" w:rsidRPr="001027F3" w:rsidRDefault="006800C7" w:rsidP="00F31956"/>
        </w:tc>
        <w:tc>
          <w:tcPr>
            <w:tcW w:w="540" w:type="dxa"/>
          </w:tcPr>
          <w:p w14:paraId="7DDB9AB9" w14:textId="77777777" w:rsidR="006800C7" w:rsidRPr="00C62589" w:rsidRDefault="006800C7" w:rsidP="00F31956"/>
        </w:tc>
        <w:tc>
          <w:tcPr>
            <w:tcW w:w="3488" w:type="dxa"/>
            <w:gridSpan w:val="4"/>
          </w:tcPr>
          <w:p w14:paraId="6CCBAFC1" w14:textId="77777777" w:rsidR="006800C7" w:rsidRPr="001027F3" w:rsidRDefault="006800C7" w:rsidP="00F31956"/>
        </w:tc>
      </w:tr>
      <w:tr w:rsidR="006800C7" w:rsidRPr="008B5A09" w14:paraId="1813CB37" w14:textId="77777777" w:rsidTr="00F31956">
        <w:trPr>
          <w:trHeight w:val="158"/>
        </w:trPr>
        <w:tc>
          <w:tcPr>
            <w:tcW w:w="1276" w:type="dxa"/>
            <w:noWrap/>
            <w:hideMark/>
          </w:tcPr>
          <w:p w14:paraId="0B9884EC" w14:textId="77777777" w:rsidR="006800C7" w:rsidRPr="00A419A8" w:rsidRDefault="006800C7" w:rsidP="00F31956">
            <w:r>
              <w:t>Comparison</w:t>
            </w:r>
            <w:r w:rsidRPr="00A419A8">
              <w:t xml:space="preserve"> </w:t>
            </w:r>
          </w:p>
        </w:tc>
        <w:tc>
          <w:tcPr>
            <w:tcW w:w="992" w:type="dxa"/>
            <w:noWrap/>
          </w:tcPr>
          <w:p w14:paraId="7530122B" w14:textId="77777777" w:rsidR="006800C7" w:rsidRPr="00A419A8" w:rsidRDefault="006800C7" w:rsidP="00F31956"/>
        </w:tc>
        <w:tc>
          <w:tcPr>
            <w:tcW w:w="993" w:type="dxa"/>
            <w:noWrap/>
          </w:tcPr>
          <w:p w14:paraId="503603EA" w14:textId="77777777" w:rsidR="006800C7" w:rsidRPr="00A419A8" w:rsidRDefault="006800C7" w:rsidP="00F31956"/>
        </w:tc>
        <w:tc>
          <w:tcPr>
            <w:tcW w:w="937" w:type="dxa"/>
            <w:noWrap/>
          </w:tcPr>
          <w:p w14:paraId="4341116F" w14:textId="77777777" w:rsidR="006800C7" w:rsidRPr="00A419A8" w:rsidRDefault="006800C7" w:rsidP="00F31956"/>
        </w:tc>
        <w:tc>
          <w:tcPr>
            <w:tcW w:w="844" w:type="dxa"/>
          </w:tcPr>
          <w:p w14:paraId="3246989B" w14:textId="77777777" w:rsidR="006800C7" w:rsidRPr="00A419A8" w:rsidRDefault="006800C7" w:rsidP="00F31956"/>
        </w:tc>
        <w:tc>
          <w:tcPr>
            <w:tcW w:w="540" w:type="dxa"/>
          </w:tcPr>
          <w:p w14:paraId="59593E82" w14:textId="77777777" w:rsidR="006800C7" w:rsidRPr="00C62589" w:rsidRDefault="006800C7" w:rsidP="00F31956"/>
        </w:tc>
        <w:tc>
          <w:tcPr>
            <w:tcW w:w="797" w:type="dxa"/>
          </w:tcPr>
          <w:p w14:paraId="4FBFF703" w14:textId="77777777" w:rsidR="006800C7" w:rsidRPr="00A419A8" w:rsidRDefault="006800C7" w:rsidP="00F31956"/>
        </w:tc>
        <w:tc>
          <w:tcPr>
            <w:tcW w:w="992" w:type="dxa"/>
          </w:tcPr>
          <w:p w14:paraId="12741C9D" w14:textId="77777777" w:rsidR="006800C7" w:rsidRPr="00A419A8" w:rsidRDefault="006800C7" w:rsidP="00F31956"/>
        </w:tc>
        <w:tc>
          <w:tcPr>
            <w:tcW w:w="993" w:type="dxa"/>
          </w:tcPr>
          <w:p w14:paraId="0B7A6371" w14:textId="77777777" w:rsidR="006800C7" w:rsidRPr="00A419A8" w:rsidRDefault="006800C7" w:rsidP="00F31956"/>
        </w:tc>
        <w:tc>
          <w:tcPr>
            <w:tcW w:w="706" w:type="dxa"/>
          </w:tcPr>
          <w:p w14:paraId="7145A690" w14:textId="77777777" w:rsidR="006800C7" w:rsidRPr="00A419A8" w:rsidRDefault="006800C7" w:rsidP="00F31956"/>
        </w:tc>
      </w:tr>
      <w:tr w:rsidR="00260F2F" w:rsidRPr="008B5A09" w14:paraId="5D6A3986" w14:textId="77777777" w:rsidTr="00F31956">
        <w:trPr>
          <w:trHeight w:val="265"/>
        </w:trPr>
        <w:tc>
          <w:tcPr>
            <w:tcW w:w="1276" w:type="dxa"/>
            <w:noWrap/>
          </w:tcPr>
          <w:p w14:paraId="5CDFA96F" w14:textId="02AB7BB2" w:rsidR="00260F2F" w:rsidRDefault="00260F2F" w:rsidP="00260F2F">
            <w:r>
              <w:t>Jun-22</w:t>
            </w:r>
          </w:p>
        </w:tc>
        <w:tc>
          <w:tcPr>
            <w:tcW w:w="992" w:type="dxa"/>
            <w:noWrap/>
          </w:tcPr>
          <w:p w14:paraId="0B73FE04" w14:textId="476036E6" w:rsidR="00260F2F" w:rsidRDefault="00260F2F" w:rsidP="00260F2F">
            <w:r w:rsidRPr="00B07685">
              <w:t>6606</w:t>
            </w:r>
          </w:p>
        </w:tc>
        <w:tc>
          <w:tcPr>
            <w:tcW w:w="993" w:type="dxa"/>
            <w:noWrap/>
          </w:tcPr>
          <w:p w14:paraId="7BE48823" w14:textId="5126DDB6" w:rsidR="00260F2F" w:rsidRDefault="00260F2F" w:rsidP="00260F2F">
            <w:r w:rsidRPr="00B07685">
              <w:t>907</w:t>
            </w:r>
          </w:p>
        </w:tc>
        <w:tc>
          <w:tcPr>
            <w:tcW w:w="937" w:type="dxa"/>
            <w:noWrap/>
          </w:tcPr>
          <w:p w14:paraId="094798C2" w14:textId="5B1465E2" w:rsidR="00260F2F" w:rsidRDefault="00260F2F" w:rsidP="00260F2F">
            <w:r w:rsidRPr="00B07685">
              <w:t>1961</w:t>
            </w:r>
          </w:p>
        </w:tc>
        <w:tc>
          <w:tcPr>
            <w:tcW w:w="844" w:type="dxa"/>
          </w:tcPr>
          <w:p w14:paraId="1ABC0FA3" w14:textId="389575FB" w:rsidR="00260F2F" w:rsidRDefault="00260F2F" w:rsidP="00260F2F">
            <w:r w:rsidRPr="00B07685">
              <w:t>9474</w:t>
            </w:r>
          </w:p>
        </w:tc>
        <w:tc>
          <w:tcPr>
            <w:tcW w:w="540" w:type="dxa"/>
          </w:tcPr>
          <w:p w14:paraId="3BB0ACCB" w14:textId="77777777" w:rsidR="00260F2F" w:rsidRPr="00C62589" w:rsidRDefault="00260F2F" w:rsidP="00260F2F"/>
        </w:tc>
        <w:tc>
          <w:tcPr>
            <w:tcW w:w="797" w:type="dxa"/>
          </w:tcPr>
          <w:p w14:paraId="03E1B3A7" w14:textId="051686D6" w:rsidR="00260F2F" w:rsidRDefault="00260F2F" w:rsidP="00260F2F">
            <w:r w:rsidRPr="009D3C5B">
              <w:t>6481</w:t>
            </w:r>
          </w:p>
        </w:tc>
        <w:tc>
          <w:tcPr>
            <w:tcW w:w="992" w:type="dxa"/>
          </w:tcPr>
          <w:p w14:paraId="04B5C139" w14:textId="4C3F83BD" w:rsidR="00260F2F" w:rsidRDefault="00260F2F" w:rsidP="00260F2F">
            <w:r w:rsidRPr="009D3C5B">
              <w:t>623</w:t>
            </w:r>
          </w:p>
        </w:tc>
        <w:tc>
          <w:tcPr>
            <w:tcW w:w="993" w:type="dxa"/>
          </w:tcPr>
          <w:p w14:paraId="4BC259FC" w14:textId="3BADD080" w:rsidR="00260F2F" w:rsidRDefault="00260F2F" w:rsidP="00260F2F">
            <w:r w:rsidRPr="009D3C5B">
              <w:t>301</w:t>
            </w:r>
          </w:p>
        </w:tc>
        <w:tc>
          <w:tcPr>
            <w:tcW w:w="706" w:type="dxa"/>
          </w:tcPr>
          <w:p w14:paraId="7A02EDD0" w14:textId="162490C6" w:rsidR="00260F2F" w:rsidRDefault="00260F2F" w:rsidP="00260F2F">
            <w:r w:rsidRPr="009D3C5B">
              <w:t>7405</w:t>
            </w:r>
          </w:p>
        </w:tc>
      </w:tr>
      <w:tr w:rsidR="00260F2F" w:rsidRPr="008B5A09" w14:paraId="7CA172A0" w14:textId="77777777" w:rsidTr="00F31956">
        <w:trPr>
          <w:trHeight w:val="265"/>
        </w:trPr>
        <w:tc>
          <w:tcPr>
            <w:tcW w:w="1276" w:type="dxa"/>
            <w:noWrap/>
          </w:tcPr>
          <w:p w14:paraId="4A67BBD8" w14:textId="77777777" w:rsidR="00260F2F" w:rsidRPr="00A419A8" w:rsidRDefault="00260F2F" w:rsidP="00260F2F">
            <w:r>
              <w:t>Jun-21</w:t>
            </w:r>
          </w:p>
        </w:tc>
        <w:tc>
          <w:tcPr>
            <w:tcW w:w="992" w:type="dxa"/>
            <w:noWrap/>
          </w:tcPr>
          <w:p w14:paraId="089E3686" w14:textId="0648D813" w:rsidR="00260F2F" w:rsidRPr="00A419A8" w:rsidRDefault="00260F2F" w:rsidP="00260F2F">
            <w:r w:rsidRPr="00B07685">
              <w:t>6531</w:t>
            </w:r>
          </w:p>
        </w:tc>
        <w:tc>
          <w:tcPr>
            <w:tcW w:w="993" w:type="dxa"/>
            <w:noWrap/>
          </w:tcPr>
          <w:p w14:paraId="389E591E" w14:textId="1F7A54A9" w:rsidR="00260F2F" w:rsidRPr="00A419A8" w:rsidRDefault="00260F2F" w:rsidP="00260F2F">
            <w:r w:rsidRPr="00B07685">
              <w:t>909</w:t>
            </w:r>
          </w:p>
        </w:tc>
        <w:tc>
          <w:tcPr>
            <w:tcW w:w="937" w:type="dxa"/>
            <w:noWrap/>
          </w:tcPr>
          <w:p w14:paraId="2DCDB4B5" w14:textId="50FDB2A8" w:rsidR="00260F2F" w:rsidRPr="00A419A8" w:rsidRDefault="00260F2F" w:rsidP="00260F2F">
            <w:r w:rsidRPr="00B07685">
              <w:t>2020</w:t>
            </w:r>
          </w:p>
        </w:tc>
        <w:tc>
          <w:tcPr>
            <w:tcW w:w="844" w:type="dxa"/>
          </w:tcPr>
          <w:p w14:paraId="479A514E" w14:textId="4E7A4CD0" w:rsidR="00260F2F" w:rsidRPr="00A419A8" w:rsidRDefault="00260F2F" w:rsidP="00260F2F">
            <w:r w:rsidRPr="00B07685">
              <w:t>9460</w:t>
            </w:r>
          </w:p>
        </w:tc>
        <w:tc>
          <w:tcPr>
            <w:tcW w:w="540" w:type="dxa"/>
          </w:tcPr>
          <w:p w14:paraId="062DF71B" w14:textId="77777777" w:rsidR="00260F2F" w:rsidRPr="00C62589" w:rsidRDefault="00260F2F" w:rsidP="00260F2F"/>
        </w:tc>
        <w:tc>
          <w:tcPr>
            <w:tcW w:w="797" w:type="dxa"/>
          </w:tcPr>
          <w:p w14:paraId="2C6D6B26" w14:textId="17299D3A" w:rsidR="00260F2F" w:rsidRPr="00A419A8" w:rsidRDefault="00260F2F" w:rsidP="00260F2F">
            <w:r w:rsidRPr="009D3C5B">
              <w:t>6431</w:t>
            </w:r>
          </w:p>
        </w:tc>
        <w:tc>
          <w:tcPr>
            <w:tcW w:w="992" w:type="dxa"/>
          </w:tcPr>
          <w:p w14:paraId="7CB46E50" w14:textId="2E6AB675" w:rsidR="00260F2F" w:rsidRPr="00A419A8" w:rsidRDefault="00260F2F" w:rsidP="00260F2F">
            <w:r w:rsidRPr="009D3C5B">
              <w:t>630</w:t>
            </w:r>
          </w:p>
        </w:tc>
        <w:tc>
          <w:tcPr>
            <w:tcW w:w="993" w:type="dxa"/>
          </w:tcPr>
          <w:p w14:paraId="30F8E747" w14:textId="7B2FC923" w:rsidR="00260F2F" w:rsidRPr="00A419A8" w:rsidRDefault="00260F2F" w:rsidP="00260F2F">
            <w:r w:rsidRPr="009D3C5B">
              <w:t>321</w:t>
            </w:r>
          </w:p>
        </w:tc>
        <w:tc>
          <w:tcPr>
            <w:tcW w:w="706" w:type="dxa"/>
          </w:tcPr>
          <w:p w14:paraId="57CD5E24" w14:textId="1E3051A3" w:rsidR="00260F2F" w:rsidRPr="00A419A8" w:rsidRDefault="00260F2F" w:rsidP="00260F2F">
            <w:r w:rsidRPr="009D3C5B">
              <w:t>7382</w:t>
            </w:r>
          </w:p>
        </w:tc>
      </w:tr>
      <w:tr w:rsidR="00260F2F" w:rsidRPr="008B5A09" w14:paraId="3AA79798" w14:textId="77777777" w:rsidTr="00F31956">
        <w:trPr>
          <w:trHeight w:val="265"/>
        </w:trPr>
        <w:tc>
          <w:tcPr>
            <w:tcW w:w="1276" w:type="dxa"/>
            <w:noWrap/>
          </w:tcPr>
          <w:p w14:paraId="58B76560" w14:textId="77777777" w:rsidR="00260F2F" w:rsidRPr="00A419A8" w:rsidRDefault="00260F2F" w:rsidP="00260F2F">
            <w:r>
              <w:t>Jun-20</w:t>
            </w:r>
          </w:p>
        </w:tc>
        <w:tc>
          <w:tcPr>
            <w:tcW w:w="992" w:type="dxa"/>
            <w:noWrap/>
          </w:tcPr>
          <w:p w14:paraId="0EB8FA75" w14:textId="1F8697C1" w:rsidR="00260F2F" w:rsidRPr="00A419A8" w:rsidRDefault="00260F2F" w:rsidP="00260F2F">
            <w:r w:rsidRPr="00B07685">
              <w:t>6487</w:t>
            </w:r>
          </w:p>
        </w:tc>
        <w:tc>
          <w:tcPr>
            <w:tcW w:w="993" w:type="dxa"/>
            <w:noWrap/>
          </w:tcPr>
          <w:p w14:paraId="696D012A" w14:textId="722E348B" w:rsidR="00260F2F" w:rsidRPr="00A419A8" w:rsidRDefault="00260F2F" w:rsidP="00260F2F">
            <w:r w:rsidRPr="00B07685">
              <w:t>844</w:t>
            </w:r>
          </w:p>
        </w:tc>
        <w:tc>
          <w:tcPr>
            <w:tcW w:w="937" w:type="dxa"/>
            <w:noWrap/>
          </w:tcPr>
          <w:p w14:paraId="15D29DF9" w14:textId="0B5AD3C7" w:rsidR="00260F2F" w:rsidRPr="00A419A8" w:rsidRDefault="00260F2F" w:rsidP="00260F2F">
            <w:r w:rsidRPr="00B07685">
              <w:t>2115</w:t>
            </w:r>
          </w:p>
        </w:tc>
        <w:tc>
          <w:tcPr>
            <w:tcW w:w="844" w:type="dxa"/>
          </w:tcPr>
          <w:p w14:paraId="4C031AA5" w14:textId="31C42CF5" w:rsidR="00260F2F" w:rsidRPr="00A419A8" w:rsidRDefault="00260F2F" w:rsidP="00260F2F">
            <w:r w:rsidRPr="00B07685">
              <w:t>9446</w:t>
            </w:r>
          </w:p>
        </w:tc>
        <w:tc>
          <w:tcPr>
            <w:tcW w:w="540" w:type="dxa"/>
          </w:tcPr>
          <w:p w14:paraId="2E2206D5" w14:textId="77777777" w:rsidR="00260F2F" w:rsidRPr="00C62589" w:rsidRDefault="00260F2F" w:rsidP="00260F2F"/>
        </w:tc>
        <w:tc>
          <w:tcPr>
            <w:tcW w:w="797" w:type="dxa"/>
          </w:tcPr>
          <w:p w14:paraId="6A6CD984" w14:textId="49EF87A9" w:rsidR="00260F2F" w:rsidRPr="00A419A8" w:rsidRDefault="00260F2F" w:rsidP="00260F2F">
            <w:r w:rsidRPr="009D3C5B">
              <w:t>6404</w:t>
            </w:r>
          </w:p>
        </w:tc>
        <w:tc>
          <w:tcPr>
            <w:tcW w:w="992" w:type="dxa"/>
          </w:tcPr>
          <w:p w14:paraId="6CE1895F" w14:textId="40D3D6A8" w:rsidR="00260F2F" w:rsidRPr="00A419A8" w:rsidRDefault="00260F2F" w:rsidP="00260F2F">
            <w:r w:rsidRPr="009D3C5B">
              <w:t>583</w:t>
            </w:r>
          </w:p>
        </w:tc>
        <w:tc>
          <w:tcPr>
            <w:tcW w:w="993" w:type="dxa"/>
          </w:tcPr>
          <w:p w14:paraId="235FFB59" w14:textId="1255EF22" w:rsidR="00260F2F" w:rsidRPr="00A419A8" w:rsidRDefault="00260F2F" w:rsidP="00260F2F">
            <w:r w:rsidRPr="009D3C5B">
              <w:t>346</w:t>
            </w:r>
          </w:p>
        </w:tc>
        <w:tc>
          <w:tcPr>
            <w:tcW w:w="706" w:type="dxa"/>
          </w:tcPr>
          <w:p w14:paraId="343A464C" w14:textId="40B60E64" w:rsidR="00260F2F" w:rsidRPr="00A419A8" w:rsidRDefault="00260F2F" w:rsidP="00260F2F">
            <w:r w:rsidRPr="009D3C5B">
              <w:t>7333</w:t>
            </w:r>
          </w:p>
        </w:tc>
      </w:tr>
    </w:tbl>
    <w:p w14:paraId="4A6F6EB8" w14:textId="77777777" w:rsidR="006800C7" w:rsidRPr="00141FE2" w:rsidRDefault="006800C7" w:rsidP="006800C7">
      <w:pPr>
        <w:pStyle w:val="Heading4"/>
      </w:pPr>
      <w:r w:rsidRPr="00141FE2">
        <w:t>Strategic</w:t>
      </w:r>
      <w:r>
        <w:t xml:space="preserve"> </w:t>
      </w:r>
      <w:r w:rsidRPr="00141FE2">
        <w:t>workforce</w:t>
      </w:r>
      <w:r>
        <w:t xml:space="preserve"> </w:t>
      </w:r>
      <w:r w:rsidRPr="00141FE2">
        <w:t>planning</w:t>
      </w:r>
    </w:p>
    <w:p w14:paraId="68AFCCE1" w14:textId="77777777" w:rsidR="00232431" w:rsidRDefault="00232431" w:rsidP="00232431">
      <w:r>
        <w:t>TMR is people-focused and strives to build, grow, and inspire its workforce to be agile, adaptable, capable, purpose-driven, safe, healthy, and resilient.</w:t>
      </w:r>
    </w:p>
    <w:p w14:paraId="3B53C34F" w14:textId="77777777" w:rsidR="00232431" w:rsidRDefault="00232431" w:rsidP="00232431"/>
    <w:p w14:paraId="02DE0E60" w14:textId="41D5AFAD" w:rsidR="00232431" w:rsidRDefault="00232431" w:rsidP="00232431">
      <w:r>
        <w:t>This includes, investing in and building capability, mobilising staff to areas of need, and ensuring people are safe at work and supported to lead healthy lives.</w:t>
      </w:r>
    </w:p>
    <w:p w14:paraId="1BDA1A4C" w14:textId="77777777" w:rsidR="00232431" w:rsidRDefault="00232431" w:rsidP="00232431">
      <w:r w:rsidRPr="000117BD">
        <w:rPr>
          <w:rStyle w:val="Emphasis"/>
        </w:rPr>
        <w:t>TMR’s Strategic Workforce Plan 2020–2024 (revised for 2021–22)</w:t>
      </w:r>
      <w:r>
        <w:t xml:space="preserve"> sets out the roadmap to meet purpose-driven, capable, mobile and healthy workforce priorities. Roadmap priority projects include:</w:t>
      </w:r>
    </w:p>
    <w:p w14:paraId="192F898A" w14:textId="1864E57A" w:rsidR="00232431" w:rsidRDefault="00232431" w:rsidP="00232431">
      <w:pPr>
        <w:pStyle w:val="ListBullet"/>
      </w:pPr>
      <w:r>
        <w:t>Learning Strategy</w:t>
      </w:r>
    </w:p>
    <w:p w14:paraId="4FBC38E4" w14:textId="0DB822A1" w:rsidR="00232431" w:rsidRDefault="00232431" w:rsidP="00232431">
      <w:pPr>
        <w:pStyle w:val="ListBullet"/>
      </w:pPr>
      <w:r>
        <w:t>positive performance engagement</w:t>
      </w:r>
    </w:p>
    <w:p w14:paraId="02DF60CB" w14:textId="05969721" w:rsidR="00232431" w:rsidRDefault="00232431" w:rsidP="00232431">
      <w:pPr>
        <w:pStyle w:val="ListBullet"/>
      </w:pPr>
      <w:r>
        <w:t>talent mobility</w:t>
      </w:r>
    </w:p>
    <w:p w14:paraId="4E90F6AE" w14:textId="23E9DCE4" w:rsidR="00232431" w:rsidRDefault="00232431" w:rsidP="00232431">
      <w:pPr>
        <w:pStyle w:val="ListBullet"/>
      </w:pPr>
      <w:r>
        <w:t>future of work</w:t>
      </w:r>
    </w:p>
    <w:p w14:paraId="2A544E20" w14:textId="6EF75A2D" w:rsidR="00232431" w:rsidRDefault="00232431" w:rsidP="00232431">
      <w:pPr>
        <w:pStyle w:val="ListBullet"/>
      </w:pPr>
      <w:r>
        <w:t>transforming safety.</w:t>
      </w:r>
    </w:p>
    <w:p w14:paraId="410BBB6A" w14:textId="77777777" w:rsidR="006800C7" w:rsidRPr="00141FE2" w:rsidRDefault="006800C7" w:rsidP="006800C7">
      <w:pPr>
        <w:pStyle w:val="Heading4"/>
      </w:pPr>
      <w:r w:rsidRPr="00141FE2">
        <w:t>Cloud</w:t>
      </w:r>
      <w:r>
        <w:t xml:space="preserve"> </w:t>
      </w:r>
      <w:r w:rsidRPr="00141FE2">
        <w:t>Enablement</w:t>
      </w:r>
    </w:p>
    <w:p w14:paraId="4F9432A5" w14:textId="61E51BE5" w:rsidR="0063226A" w:rsidRDefault="0063226A" w:rsidP="0063226A">
      <w:r>
        <w:t xml:space="preserve">In 2021–22, TMR continued to invest in cloud platforms, forming a strong hybrid cloud strategy underpinned by the whole-of-government </w:t>
      </w:r>
      <w:r w:rsidRPr="000117BD">
        <w:rPr>
          <w:rStyle w:val="Emphasis"/>
        </w:rPr>
        <w:t>Cloud Computing Strategy</w:t>
      </w:r>
      <w:r>
        <w:t>.</w:t>
      </w:r>
    </w:p>
    <w:p w14:paraId="1D6AFF09" w14:textId="1979F383" w:rsidR="0063226A" w:rsidRDefault="0063226A" w:rsidP="0063226A">
      <w:r>
        <w:t>New cloud-based solutions have increased by 30 per cent in 2021–22, with TMR continuing to adopt a cloud first approach for new services and progressing the transition of on-premises data centre workload to the cloud within Australia. This transition has been commenced through the Department’s hugely successful Cloud Horizon project. The project is expected to be complete by October 2023.</w:t>
      </w:r>
    </w:p>
    <w:p w14:paraId="3B60CAFB" w14:textId="2CC6BF1B" w:rsidR="002E2230" w:rsidRDefault="0063226A" w:rsidP="0063226A">
      <w:r>
        <w:t>Adoption of cloud-based services enables enhanced agility, resiliency, security, and cost transparency to deliver digital online solutions for Queenslanders and line of business solutions for TMR business units.</w:t>
      </w:r>
    </w:p>
    <w:p w14:paraId="1A9D2738" w14:textId="77777777" w:rsidR="006800C7" w:rsidRPr="00141FE2" w:rsidRDefault="006800C7" w:rsidP="006800C7">
      <w:pPr>
        <w:pStyle w:val="Heading4"/>
      </w:pPr>
      <w:r w:rsidRPr="00141FE2">
        <w:t>Digital</w:t>
      </w:r>
      <w:r>
        <w:t xml:space="preserve"> </w:t>
      </w:r>
      <w:r w:rsidRPr="00141FE2">
        <w:t>capability</w:t>
      </w:r>
      <w:r>
        <w:t xml:space="preserve"> </w:t>
      </w:r>
      <w:r w:rsidRPr="00141FE2">
        <w:t>uplift</w:t>
      </w:r>
      <w:r>
        <w:t xml:space="preserve"> </w:t>
      </w:r>
    </w:p>
    <w:p w14:paraId="504119C9" w14:textId="77777777" w:rsidR="00483BA5" w:rsidRDefault="00483BA5" w:rsidP="00483BA5">
      <w:r>
        <w:t>To assist in building an agile and future-ready workforce in TMR, the Digital Capability (DC) Explorer Learning Pathway was developed in 2021–22.</w:t>
      </w:r>
    </w:p>
    <w:p w14:paraId="140EC3E4" w14:textId="77777777" w:rsidR="00483BA5" w:rsidRDefault="00483BA5" w:rsidP="00483BA5">
      <w:r>
        <w:t>DC Explorer is a guided learning pathway consisting of 10 eLearning courses and monthly learning circles. The learning pathway enables staff to learn about a range of future-focused topics, including:</w:t>
      </w:r>
    </w:p>
    <w:p w14:paraId="157DB7B4" w14:textId="55708342" w:rsidR="00483BA5" w:rsidRDefault="00483BA5" w:rsidP="00483BA5">
      <w:pPr>
        <w:pStyle w:val="ListBullet"/>
      </w:pPr>
      <w:r>
        <w:t>agile ways of working</w:t>
      </w:r>
    </w:p>
    <w:p w14:paraId="12FD3EDF" w14:textId="360C01C7" w:rsidR="00483BA5" w:rsidRDefault="00483BA5" w:rsidP="00483BA5">
      <w:pPr>
        <w:pStyle w:val="ListBullet"/>
      </w:pPr>
      <w:r>
        <w:t>data and analytics</w:t>
      </w:r>
    </w:p>
    <w:p w14:paraId="1861B99F" w14:textId="5B2744CE" w:rsidR="00483BA5" w:rsidRDefault="00483BA5" w:rsidP="00483BA5">
      <w:pPr>
        <w:pStyle w:val="ListBullet"/>
      </w:pPr>
      <w:r>
        <w:t>digital collaboration</w:t>
      </w:r>
    </w:p>
    <w:p w14:paraId="781ABC9C" w14:textId="4543B948" w:rsidR="00483BA5" w:rsidRDefault="00483BA5" w:rsidP="00483BA5">
      <w:pPr>
        <w:pStyle w:val="ListBullet"/>
      </w:pPr>
      <w:r>
        <w:t>digital leadership.</w:t>
      </w:r>
    </w:p>
    <w:p w14:paraId="29AE734C" w14:textId="78D4E9F9" w:rsidR="00483BA5" w:rsidRDefault="00483BA5" w:rsidP="00483BA5">
      <w:r>
        <w:t>As a lifelong learning organisation, TMR is committed to connecting employees to continuous learning opportunities to support employee engagement and overall wellbeing.</w:t>
      </w:r>
    </w:p>
    <w:p w14:paraId="0ABC1242" w14:textId="248A01AE" w:rsidR="0063226A" w:rsidRDefault="00483BA5" w:rsidP="00483BA5">
      <w:r>
        <w:t xml:space="preserve">Digital and data is one of the priority capabilities identified in the </w:t>
      </w:r>
      <w:r w:rsidRPr="00483BA5">
        <w:rPr>
          <w:rStyle w:val="Emphasis"/>
        </w:rPr>
        <w:t>TMR Learning Strategy</w:t>
      </w:r>
      <w:r>
        <w:t>.</w:t>
      </w:r>
    </w:p>
    <w:p w14:paraId="61243183" w14:textId="4F0F1CD6" w:rsidR="006800C7" w:rsidRPr="00141FE2" w:rsidRDefault="006800C7" w:rsidP="006800C7">
      <w:pPr>
        <w:pStyle w:val="Heading4"/>
      </w:pPr>
      <w:r w:rsidRPr="00141FE2">
        <w:lastRenderedPageBreak/>
        <w:t>Industrial</w:t>
      </w:r>
      <w:r>
        <w:t xml:space="preserve"> r</w:t>
      </w:r>
      <w:r w:rsidRPr="00141FE2">
        <w:t>elations</w:t>
      </w:r>
    </w:p>
    <w:p w14:paraId="4C34312E" w14:textId="156043FB" w:rsidR="003F0587" w:rsidRDefault="003F0587" w:rsidP="003F0587">
      <w:r>
        <w:t xml:space="preserve">During 2021–22, TMR continued to experience a range of complex case management issues, as supervisors and managers continued to meet their obligations under the </w:t>
      </w:r>
      <w:r w:rsidRPr="003F0587">
        <w:rPr>
          <w:rStyle w:val="Emphasis"/>
        </w:rPr>
        <w:t>Public Service Act 2008</w:t>
      </w:r>
      <w:r>
        <w:t xml:space="preserve"> and the positive performance management directive, to proactively manage employee performance.</w:t>
      </w:r>
    </w:p>
    <w:p w14:paraId="4A871EF5" w14:textId="77777777" w:rsidR="003F0587" w:rsidRDefault="003F0587" w:rsidP="003F0587">
      <w:r>
        <w:t>TMR’s human resources practitioners continued to support senior leaders by providing multidisciplinary analysis on complex matters and strategic advice and guidance on early intervention strategies to mitigate such cases from escalating to investigation and potential disciplinary processes.</w:t>
      </w:r>
    </w:p>
    <w:p w14:paraId="7DDC78DF" w14:textId="77777777" w:rsidR="003F0587" w:rsidRDefault="003F0587" w:rsidP="003F0587">
      <w:r>
        <w:t>TMR continued to advance its practices with respect to the management of appeals made to the Queensland Industrial Relations Commission and continued to collaborate internally and with its union partners to manage TMR’s industrial instruments.</w:t>
      </w:r>
    </w:p>
    <w:p w14:paraId="03112929" w14:textId="3DA92712" w:rsidR="003F0587" w:rsidRDefault="003F0587" w:rsidP="003F0587">
      <w:r>
        <w:t xml:space="preserve">There was an increase in the number of appeals made to the Queensland Industrial Relations Commission. The increase can be attributed to amendments made to the </w:t>
      </w:r>
      <w:r w:rsidRPr="003F0587">
        <w:rPr>
          <w:rStyle w:val="Emphasis"/>
        </w:rPr>
        <w:t>Public Service Act 2008</w:t>
      </w:r>
      <w:r>
        <w:t xml:space="preserve"> and related directives. TMR has focused on enhanced its internal practices regarding the management of appeals to address this rise.</w:t>
      </w:r>
    </w:p>
    <w:p w14:paraId="5FED0717" w14:textId="67CD36AB" w:rsidR="00483BA5" w:rsidRDefault="003F0587" w:rsidP="003F0587">
      <w:r>
        <w:t>TMR also continued to foster strong relationships with other Queensland Government departments, the Public Service Commission, and the Office of Industrial Relations to support whole-of-government policies and directives being met.</w:t>
      </w:r>
    </w:p>
    <w:p w14:paraId="35F561FA" w14:textId="77777777" w:rsidR="006800C7" w:rsidRPr="00141FE2" w:rsidRDefault="006800C7" w:rsidP="006800C7">
      <w:pPr>
        <w:pStyle w:val="Heading4"/>
      </w:pPr>
      <w:r w:rsidRPr="00141FE2">
        <w:t>Redundancy</w:t>
      </w:r>
      <w:r>
        <w:t xml:space="preserve"> </w:t>
      </w:r>
      <w:r w:rsidRPr="00141FE2">
        <w:t>and</w:t>
      </w:r>
      <w:r>
        <w:t xml:space="preserve"> </w:t>
      </w:r>
      <w:r w:rsidRPr="00141FE2">
        <w:t>retrenchment</w:t>
      </w:r>
      <w:r>
        <w:t xml:space="preserve"> </w:t>
      </w:r>
    </w:p>
    <w:p w14:paraId="40BEB337" w14:textId="6F1C1D5C" w:rsidR="00F3332F" w:rsidRDefault="009A529E" w:rsidP="006800C7">
      <w:r w:rsidRPr="009A529E">
        <w:t>No redundancy, early retirement or retrenchment packages were paid during the 2021–22 financial period.</w:t>
      </w:r>
    </w:p>
    <w:p w14:paraId="249F418B" w14:textId="77777777" w:rsidR="0054122D" w:rsidRPr="00141FE2" w:rsidRDefault="0054122D" w:rsidP="006800C7"/>
    <w:p w14:paraId="5800F02C" w14:textId="77777777" w:rsidR="006800C7" w:rsidRDefault="006800C7" w:rsidP="006800C7">
      <w:pPr>
        <w:pStyle w:val="Heading2"/>
      </w:pPr>
      <w:r>
        <w:t>Digital uplift in our information processes</w:t>
      </w:r>
    </w:p>
    <w:p w14:paraId="370AA2E0" w14:textId="1EBB8FCA" w:rsidR="006800C7" w:rsidRDefault="006800C7" w:rsidP="006800C7">
      <w:pPr>
        <w:pStyle w:val="Heading4"/>
      </w:pPr>
      <w:r>
        <w:t>I</w:t>
      </w:r>
      <w:r w:rsidR="005C0247">
        <w:t>nformation and Communication Technology</w:t>
      </w:r>
      <w:r>
        <w:t xml:space="preserve"> resources strategic planning </w:t>
      </w:r>
    </w:p>
    <w:p w14:paraId="20975359" w14:textId="1B69FBE3" w:rsidR="003119E1" w:rsidRDefault="003119E1" w:rsidP="003119E1">
      <w:r>
        <w:t>An Information and Communications Technology (ICT) asset register is used to uphold a consistent and evidenced- based approach for managing ICT assets and planning. In conjunction with the ICT portfolio of work, it provides details on current and planned activities that impact the ICT resources of the organisation, and the effectiveness and efficiency of those resources in supporting the delivery of departmental services.</w:t>
      </w:r>
    </w:p>
    <w:p w14:paraId="68653F1E" w14:textId="77777777" w:rsidR="003119E1" w:rsidRDefault="003119E1" w:rsidP="003119E1">
      <w:r>
        <w:t>TMR’s ICT asset register records functional, financial, and lifecycle information about the application, technology, and information assets that TMR has investment authority over.</w:t>
      </w:r>
    </w:p>
    <w:p w14:paraId="3E4AB385" w14:textId="5AFE10DE" w:rsidR="003119E1" w:rsidRDefault="003119E1" w:rsidP="003119E1">
      <w:r>
        <w:t>The register supports business capability planning and ICT portfolio investment analysis at TMR and whole-of-government level. Additionally, it is the enterprise source of information for the Queensland Government Customer and Digital Group ICT Resources reporting which contributes to improving whole-of- government ICT policies and custodianship.</w:t>
      </w:r>
    </w:p>
    <w:p w14:paraId="3BE57E97" w14:textId="6CF5202B" w:rsidR="001D6260" w:rsidRDefault="003119E1" w:rsidP="003119E1">
      <w:r>
        <w:t>TMR has robust planning processes supported by an ICT Portfolio Management Framework. The ICT Portfolio of Work is determined by the Information and Systems Committee using a portfolio definition cycle to set the direction of the ICT portfolio over a planning horizon of three years aligned to TMR’s strategic plan.</w:t>
      </w:r>
    </w:p>
    <w:p w14:paraId="1FCA1821" w14:textId="77777777" w:rsidR="006800C7" w:rsidRPr="00031B98" w:rsidRDefault="006800C7" w:rsidP="006800C7">
      <w:pPr>
        <w:pStyle w:val="Heading4"/>
      </w:pPr>
      <w:r w:rsidRPr="00031B98">
        <w:lastRenderedPageBreak/>
        <w:t>Accelerating TMR's modern digital workplace</w:t>
      </w:r>
    </w:p>
    <w:p w14:paraId="00872BD2" w14:textId="1C89278F" w:rsidR="004A33A0" w:rsidRDefault="004A33A0" w:rsidP="004A33A0">
      <w:r>
        <w:t>TMR continued to evolve as a digital workplace and consolidate capabilities during 2021–22.</w:t>
      </w:r>
    </w:p>
    <w:p w14:paraId="53942612" w14:textId="4F1743E7" w:rsidR="004A33A0" w:rsidRDefault="004A33A0" w:rsidP="004A33A0">
      <w:r>
        <w:t>A program of work to modernise TMR’s virtual desktop experience introduced a replacement for virtual corporate desktop, Windows 365, improving the remote working experience for staff and gaining efficiencies and IT platform cost savings.</w:t>
      </w:r>
    </w:p>
    <w:p w14:paraId="1BA921B8" w14:textId="32559E57" w:rsidR="004A33A0" w:rsidRDefault="004A33A0" w:rsidP="004A33A0">
      <w:r>
        <w:t>In preparation for the migration to Microsoft Teams voice capability, 118 meeting rooms at TMR sites state-wide were upgraded allowing for greater collaboration and remote working experience.</w:t>
      </w:r>
    </w:p>
    <w:p w14:paraId="0F5415AF" w14:textId="427F4784" w:rsidR="006800C7" w:rsidRDefault="004A33A0" w:rsidP="004A33A0">
      <w:r>
        <w:t>The IT support functions have also been updating processes to improve support to the digital workforce. Continuous support process automation has advanced during 2021–22 as well as an IT Service Centre upgrade to a cloud contact centre solution.</w:t>
      </w:r>
    </w:p>
    <w:p w14:paraId="71EC2BE8" w14:textId="3259DDBD" w:rsidR="004A33A0" w:rsidRPr="00031B98" w:rsidRDefault="00A25680" w:rsidP="004A33A0">
      <w:pPr>
        <w:pStyle w:val="Heading4"/>
      </w:pPr>
      <w:r>
        <w:t xml:space="preserve">Source to Pay project </w:t>
      </w:r>
    </w:p>
    <w:p w14:paraId="27558F69" w14:textId="639157F9" w:rsidR="00D2667A" w:rsidRDefault="00D2667A" w:rsidP="00D2667A">
      <w:r>
        <w:t>SAP Ariba, a new online payment and procurement platform was launched in 2021–22, enabling a more contemporary, streamlined, and customer-focused way of procuring goods and services. Wave one went live in April 2022, with future waves planned in 2023 and beyond.</w:t>
      </w:r>
    </w:p>
    <w:p w14:paraId="45D30C06" w14:textId="3E4F44F9" w:rsidR="00D2667A" w:rsidRDefault="00D2667A" w:rsidP="00D2667A">
      <w:r>
        <w:t>The technology streamlines procurement and payment approval processes, that are compliant by design, and will provide staff more flexibility and support to perform their day-to-day roles. Processes will be quicker and simpler allowing for rapid purchasing and approval ‘on the go’ resulting in less red tape, while ensuring accountability and transparency in purchasing.</w:t>
      </w:r>
    </w:p>
    <w:p w14:paraId="0DE956D7" w14:textId="7EF03866" w:rsidR="00D2667A" w:rsidRDefault="00D2667A" w:rsidP="00D2667A">
      <w:r>
        <w:t>The implementation will also improve how TMR collaborates with suppliers and enable improvement to payment turn-around times in support of small business.</w:t>
      </w:r>
    </w:p>
    <w:p w14:paraId="4B564F56" w14:textId="4BB52B3B" w:rsidR="004A33A0" w:rsidRDefault="00D2667A" w:rsidP="00D2667A">
      <w:r>
        <w:t>The SAP Ariba rollout is a significant step in TMR’s digital transformation journey, transitioning away from manual procurement processes and focus resources on frontline service delivery.</w:t>
      </w:r>
    </w:p>
    <w:p w14:paraId="1D06927C" w14:textId="30B443D4" w:rsidR="00D2667A" w:rsidRPr="00031B98" w:rsidRDefault="00D2667A" w:rsidP="00D2667A">
      <w:pPr>
        <w:pStyle w:val="Heading4"/>
      </w:pPr>
      <w:r>
        <w:t>Transport Information, Policy and Procedures System</w:t>
      </w:r>
    </w:p>
    <w:p w14:paraId="4CAC640E" w14:textId="7FBFB68E" w:rsidR="00551632" w:rsidRDefault="00551632" w:rsidP="00551632">
      <w:r>
        <w:t>In August 2021, TMR delivered and implemented the Transport Information, Policy and Procedures System (TIPPS).</w:t>
      </w:r>
    </w:p>
    <w:p w14:paraId="0C874E16" w14:textId="77777777" w:rsidR="00551632" w:rsidRDefault="00551632" w:rsidP="00551632">
      <w:r>
        <w:t>The system is a modern enterprise knowledge management solution that integrates diverse information used by frontline staff and is scalable for future requirements. Key drivers for this initiative included:</w:t>
      </w:r>
    </w:p>
    <w:p w14:paraId="3DCB4775" w14:textId="303D4EFD" w:rsidR="00551632" w:rsidRDefault="00551632" w:rsidP="00551632">
      <w:pPr>
        <w:pStyle w:val="ListBullet"/>
      </w:pPr>
      <w:r>
        <w:t>enabling staff to easily access information needed to address customer enquiries efficiently</w:t>
      </w:r>
    </w:p>
    <w:p w14:paraId="07ACE68B" w14:textId="4F2C771F" w:rsidR="00551632" w:rsidRDefault="00551632" w:rsidP="00551632">
      <w:pPr>
        <w:pStyle w:val="ListBullet"/>
      </w:pPr>
      <w:r>
        <w:t>improving the Customer Service Centre experience for customers by enabling faster, more accurate advice and assistance.</w:t>
      </w:r>
    </w:p>
    <w:p w14:paraId="0F151108" w14:textId="77777777" w:rsidR="00551632" w:rsidRDefault="00551632" w:rsidP="00551632">
      <w:r>
        <w:t>Through implementing the TIPPS solution, TMR stands to realise the following benefits:</w:t>
      </w:r>
    </w:p>
    <w:p w14:paraId="363B0BAA" w14:textId="382D0498" w:rsidR="00551632" w:rsidRDefault="00551632" w:rsidP="00551632">
      <w:pPr>
        <w:pStyle w:val="ListBullet"/>
      </w:pPr>
      <w:r>
        <w:t>easy access to information needed to deliver enhanced customer service</w:t>
      </w:r>
    </w:p>
    <w:p w14:paraId="123B5599" w14:textId="143591FF" w:rsidR="00551632" w:rsidRDefault="00551632" w:rsidP="00551632">
      <w:pPr>
        <w:pStyle w:val="ListBullet"/>
      </w:pPr>
      <w:r>
        <w:t>enhanced information visibility and collaboration</w:t>
      </w:r>
    </w:p>
    <w:p w14:paraId="094F8416" w14:textId="23B8AD19" w:rsidR="00551632" w:rsidRDefault="00551632" w:rsidP="00551632">
      <w:pPr>
        <w:pStyle w:val="ListBullet"/>
      </w:pPr>
      <w:r>
        <w:t>improved workflow and efficiency through digitisation</w:t>
      </w:r>
    </w:p>
    <w:p w14:paraId="4A8AE7A1" w14:textId="5ADCBACC" w:rsidR="00551632" w:rsidRDefault="00551632" w:rsidP="00551632">
      <w:pPr>
        <w:pStyle w:val="ListBullet"/>
      </w:pPr>
      <w:r>
        <w:t>information that is accessible anywhere, any time and on any device</w:t>
      </w:r>
    </w:p>
    <w:p w14:paraId="4DE4E8B3" w14:textId="7FD2156D" w:rsidR="00551632" w:rsidRDefault="00551632" w:rsidP="00551632">
      <w:pPr>
        <w:pStyle w:val="ListBullet"/>
      </w:pPr>
      <w:r>
        <w:t>access to analytics to support strategic decision making.</w:t>
      </w:r>
    </w:p>
    <w:p w14:paraId="5789CB53" w14:textId="77777777" w:rsidR="000D2CA1" w:rsidRPr="00E46578" w:rsidRDefault="000D2CA1" w:rsidP="000D2CA1">
      <w:pPr>
        <w:pStyle w:val="Heading3"/>
      </w:pPr>
      <w:r>
        <w:lastRenderedPageBreak/>
        <w:t>Case Study</w:t>
      </w:r>
    </w:p>
    <w:p w14:paraId="5C4A0757" w14:textId="68616C6E" w:rsidR="000D2CA1" w:rsidRDefault="00FA7BCA" w:rsidP="000D2CA1">
      <w:pPr>
        <w:rPr>
          <w:iCs/>
          <w:color w:val="auto"/>
          <w:sz w:val="26"/>
        </w:rPr>
      </w:pPr>
      <w:r>
        <w:rPr>
          <w:iCs/>
          <w:color w:val="auto"/>
          <w:sz w:val="26"/>
        </w:rPr>
        <w:t>Source 2 Pay project</w:t>
      </w:r>
    </w:p>
    <w:p w14:paraId="76B96DF5" w14:textId="315D1A98" w:rsidR="0078094E" w:rsidRDefault="0078094E" w:rsidP="0078094E">
      <w:r>
        <w:t>TMR commenced delivery of the Source 2 Pay project in March 2021. The project is transforming the way the department has traditionally procured goods and services, using cloud-based technology to improve the experience for our people, suppliers and customers.</w:t>
      </w:r>
    </w:p>
    <w:p w14:paraId="4DD96D84" w14:textId="20E6BBB5" w:rsidR="0078094E" w:rsidRDefault="0078094E" w:rsidP="0078094E">
      <w:r>
        <w:t>Sitting within the Finance and Procurement Branch, the project team is taking an agile delivery approach in</w:t>
      </w:r>
      <w:r w:rsidR="00471B7B">
        <w:t xml:space="preserve"> </w:t>
      </w:r>
      <w:r>
        <w:t>conjunction with the technology provider, SAP. The team is largely made up of TMR staff on loan from their substantive business units, an approach that has greatly assisted with the development of TMR’s business requirements while also providing rewarding capability uplift. opportunities.</w:t>
      </w:r>
    </w:p>
    <w:p w14:paraId="294B3087" w14:textId="77777777" w:rsidR="0078094E" w:rsidRDefault="0078094E" w:rsidP="0078094E">
      <w:r>
        <w:t>Team members are also collaborating across other TMR projects to share lessons and develop communities of practice in specific disciplines such as change management and data analysis.</w:t>
      </w:r>
    </w:p>
    <w:p w14:paraId="44918123" w14:textId="77777777" w:rsidR="0078094E" w:rsidRDefault="0078094E" w:rsidP="0078094E">
      <w:r>
        <w:t>The project was shortlisted for the 2022 SAP Best Run award, along with two other significant interstate projects.</w:t>
      </w:r>
    </w:p>
    <w:p w14:paraId="1D13EA3E" w14:textId="77777777" w:rsidR="0078094E" w:rsidRDefault="0078094E" w:rsidP="0078094E">
      <w:r>
        <w:t>The project will deliver digitation of manual procurement and accounts payable processes and functions currently undertaken by staff, based on an incremental wave plan over the next five years. Processes will be quicker and simpler allowing for rapid purchasing and approval ‘on the go’ resulting in less red tape.</w:t>
      </w:r>
    </w:p>
    <w:p w14:paraId="0BB694DF" w14:textId="200E0DCA" w:rsidR="00D2667A" w:rsidRDefault="0078094E" w:rsidP="0078094E">
      <w:r>
        <w:t>Source 2 Pay is also working closely with the Queensland Audit Office and TMR’s Internal Audit team to ensure the Source 2 Pay solution meets the rigorous security and control requirements expected within a government setting.</w:t>
      </w:r>
    </w:p>
    <w:p w14:paraId="1730E3A8" w14:textId="77777777" w:rsidR="00021788" w:rsidRPr="00031B98" w:rsidRDefault="00021788" w:rsidP="006800C7"/>
    <w:p w14:paraId="27D08D4D" w14:textId="77777777" w:rsidR="006800C7" w:rsidRPr="00F4797A" w:rsidRDefault="006800C7" w:rsidP="006800C7">
      <w:pPr>
        <w:pStyle w:val="Heading2"/>
      </w:pPr>
      <w:r>
        <w:t>Creating a diverse and inclusive workforce</w:t>
      </w:r>
    </w:p>
    <w:p w14:paraId="06C99BB1" w14:textId="2D02B28E" w:rsidR="006800C7" w:rsidRPr="00041570" w:rsidRDefault="006800C7" w:rsidP="006800C7">
      <w:pPr>
        <w:pStyle w:val="Heading4"/>
      </w:pPr>
      <w:r w:rsidRPr="00041570">
        <w:t xml:space="preserve">Cultural Capability Action Plan </w:t>
      </w:r>
    </w:p>
    <w:p w14:paraId="4D624DD6" w14:textId="6E4E2BE5" w:rsidR="009A11E7" w:rsidRDefault="009A11E7" w:rsidP="009A11E7">
      <w:r>
        <w:t>TMR has continued to make progress in raising the cultural awareness of employees through the celebration of significant First Nations events, such as Reconciliation Week and NAIDOC Week.</w:t>
      </w:r>
    </w:p>
    <w:p w14:paraId="6D3E5B39" w14:textId="299CCDCC" w:rsidR="009A11E7" w:rsidRDefault="009A11E7" w:rsidP="009A11E7">
      <w:r>
        <w:t>In July 2021, COVID-19 restrictions impacted NAIDOC Week for the second time, resulting in the Musgrave Park Family Fun Day to be cancelled. To commemorate NAIDOC week, employees were able to participate in NAIDOC events in Cairns and Bundaberg. First Nations employees also shared elements of their traditional language through video.</w:t>
      </w:r>
    </w:p>
    <w:p w14:paraId="79935E06" w14:textId="20EBB25E" w:rsidR="009A11E7" w:rsidRDefault="009A11E7" w:rsidP="009A11E7">
      <w:r>
        <w:t xml:space="preserve">TMR’s Aboriginal and Torres Strait Islander Traineeship Program currently has 10 dedicated trainees </w:t>
      </w:r>
      <w:r w:rsidR="00427A0F">
        <w:t>state-wide</w:t>
      </w:r>
      <w:r>
        <w:t>. The program offers a Certificate III in business, regular education sessions and monthly learning circles for the participants. Supervisors also receive face-to-face and online cultural capability development.</w:t>
      </w:r>
    </w:p>
    <w:p w14:paraId="5E8FC994" w14:textId="29E71326" w:rsidR="009A11E7" w:rsidRDefault="009A11E7" w:rsidP="009A11E7">
      <w:r>
        <w:t>During National Reconciliation Week (27 May 2022–3 June 2022), TMR employees were asked to ‘Be Brave. Make Change’ for the benefit of all Australians.</w:t>
      </w:r>
    </w:p>
    <w:p w14:paraId="4D350915" w14:textId="77777777" w:rsidR="009A11E7" w:rsidRDefault="009A11E7" w:rsidP="009A11E7">
      <w:r>
        <w:t>To mark the week, Indigenous business owner, Mundanara Bayles from BlackCard took part in a video chat with the TMR Indigenous Employee Network and an event was held on 2 June with singer, songwriter and artist Uncle Robert ‘Rocko’ Langton.</w:t>
      </w:r>
    </w:p>
    <w:p w14:paraId="02D6B5DB" w14:textId="1FEE7348" w:rsidR="00471B7B" w:rsidRDefault="009A11E7" w:rsidP="006800C7">
      <w:r>
        <w:lastRenderedPageBreak/>
        <w:t xml:space="preserve">TMR has also commenced reviewing its </w:t>
      </w:r>
      <w:r w:rsidRPr="00C64E8E">
        <w:rPr>
          <w:rStyle w:val="Emphasis"/>
        </w:rPr>
        <w:t>Cultural Capability Action Plan</w:t>
      </w:r>
      <w:r>
        <w:t xml:space="preserve"> to provide a strengthened commitment to improving our cultural capability.</w:t>
      </w:r>
    </w:p>
    <w:p w14:paraId="679E25B7" w14:textId="77777777" w:rsidR="006800C7" w:rsidRDefault="006800C7" w:rsidP="006800C7">
      <w:pPr>
        <w:pStyle w:val="Heading4"/>
      </w:pPr>
      <w:r>
        <w:t>Indigenous Employee Network</w:t>
      </w:r>
    </w:p>
    <w:p w14:paraId="2488DEFA" w14:textId="3AF6C3AB" w:rsidR="006F657C" w:rsidRDefault="006F657C" w:rsidP="006F657C">
      <w:r>
        <w:t>TMR’s Indigenous Employee Network was formed in 2015. The network supports First Nations employees and looks to grow the knowledge and capability of TMR, to deliver a culturally inclusive service to Queensland communities.</w:t>
      </w:r>
    </w:p>
    <w:p w14:paraId="503C737D" w14:textId="6BDE054B" w:rsidR="006F657C" w:rsidRDefault="006F657C" w:rsidP="006F657C">
      <w:r>
        <w:t>The network boasts 63 members from across Queensland who meet quarterly in an online forum, to keep informed of activities taking place and provide feedback on policies impacting First Nations people.</w:t>
      </w:r>
    </w:p>
    <w:p w14:paraId="16AB4B27" w14:textId="58882B47" w:rsidR="006F657C" w:rsidRDefault="006F657C" w:rsidP="006F657C">
      <w:r>
        <w:t>The annual forum in November provides an opportunity for the IEN to meet face-to-face and to connect with each other culturally and socially. The Director-General is also invited to provide an update and listen to any concerns from members.</w:t>
      </w:r>
    </w:p>
    <w:p w14:paraId="023F3F00" w14:textId="48A24807" w:rsidR="0000393A" w:rsidRDefault="006F657C" w:rsidP="00DD40AC">
      <w:r>
        <w:t xml:space="preserve">In 2021, members provided valuable input on the Queensland Government’s </w:t>
      </w:r>
      <w:r w:rsidRPr="008942C3">
        <w:rPr>
          <w:rStyle w:val="Emphasis"/>
        </w:rPr>
        <w:t>Reconciliation Action Plan</w:t>
      </w:r>
      <w:r>
        <w:t xml:space="preserve"> Evaluation Review and the Cross River Rail Delivery Authority’s </w:t>
      </w:r>
      <w:r w:rsidRPr="008942C3">
        <w:rPr>
          <w:rStyle w:val="Emphasis"/>
        </w:rPr>
        <w:t>Reconciliation Action Plan</w:t>
      </w:r>
      <w:r>
        <w:t xml:space="preserve"> launch.</w:t>
      </w:r>
    </w:p>
    <w:p w14:paraId="29ECC000" w14:textId="606243C5" w:rsidR="006800C7" w:rsidRPr="00F4797A" w:rsidRDefault="00FC4C02" w:rsidP="006800C7">
      <w:pPr>
        <w:pStyle w:val="Heading4"/>
      </w:pPr>
      <w:r>
        <w:t xml:space="preserve">Gender diversity and equality </w:t>
      </w:r>
    </w:p>
    <w:p w14:paraId="17CB72C4" w14:textId="035882AD" w:rsidR="00FA46F8" w:rsidRDefault="00FA46F8" w:rsidP="00FA46F8">
      <w:r>
        <w:t>TMR continues to ensure that we have a gender diverse workforce and workplaces that are inclusive for all.</w:t>
      </w:r>
    </w:p>
    <w:p w14:paraId="29BF7CD7" w14:textId="0D403390" w:rsidR="00FA46F8" w:rsidRDefault="00FA46F8" w:rsidP="00FA46F8">
      <w:r>
        <w:t>The annual Queensland Women’s Week event was held in March 2022. Keynote speaker, Dr Kellie Nuttall, Partner, Artificial Intelligence Lead at Deloitte, delivered an inspiring speech in line with the theme of ‘Keep Making Noise’, about her career in the Transport Industry and her passion for how Artificial Intelligence makes our lives easier.</w:t>
      </w:r>
    </w:p>
    <w:p w14:paraId="512F0A4C" w14:textId="6BD8482E" w:rsidR="00FA46F8" w:rsidRDefault="00FA46F8" w:rsidP="00FA46F8">
      <w:r>
        <w:t>At the event, the third cohort of TMR’s Wonder Women was announced, showcasing our diverse and talented women who inspire others and lead positive change. TMR’s Wonder Women program is made up of visible role models who are actively involved in gender equity initiatives and lead change across TMR.</w:t>
      </w:r>
    </w:p>
    <w:p w14:paraId="7BFFFCCA" w14:textId="0D56FBC0" w:rsidR="00FA46F8" w:rsidRDefault="00FA46F8" w:rsidP="00FA46F8">
      <w:r>
        <w:t>The number of women in leadership roles in TMR increased from 33.7 per cent in Quarter one of 2021 to 36 per cent in Quarter one of 2022. TMR will continue to make progress in the area of participation and leadership for women in the workplace through the Women in Leadership mentoring program.</w:t>
      </w:r>
    </w:p>
    <w:p w14:paraId="5AE1BAEF" w14:textId="2691C48D" w:rsidR="00FC4C02" w:rsidRDefault="00FA46F8" w:rsidP="00FA46F8">
      <w:r>
        <w:t xml:space="preserve">TMR also supports gender diverse employees through the </w:t>
      </w:r>
      <w:r w:rsidRPr="00FA46F8">
        <w:rPr>
          <w:rStyle w:val="Emphasis"/>
        </w:rPr>
        <w:t>LGBTIQ+ Plan 2021-2023</w:t>
      </w:r>
      <w:r>
        <w:t>. The OneTMR Pride Network has grown from three members to 40 members since 2021 and works closely with Pride in Diversity to provide awareness, education and support to employees.</w:t>
      </w:r>
    </w:p>
    <w:p w14:paraId="71ABB022" w14:textId="0C9FBBA8" w:rsidR="006800C7" w:rsidRPr="00F4797A" w:rsidRDefault="00D119E3" w:rsidP="006800C7">
      <w:pPr>
        <w:pStyle w:val="Heading4"/>
      </w:pPr>
      <w:r>
        <w:t xml:space="preserve">Women in Engineering program </w:t>
      </w:r>
    </w:p>
    <w:p w14:paraId="46DDE779" w14:textId="77777777" w:rsidR="00B309BB" w:rsidRDefault="00B309BB" w:rsidP="00B309BB">
      <w:r>
        <w:t>The Women in Engineering program aims to attract, support, retain, and celebrate women in engineering by focusing on:</w:t>
      </w:r>
    </w:p>
    <w:p w14:paraId="4A05F089" w14:textId="53D76B2D" w:rsidR="00B309BB" w:rsidRDefault="00B309BB" w:rsidP="00B309BB">
      <w:pPr>
        <w:pStyle w:val="ListBullet"/>
      </w:pPr>
      <w:r>
        <w:t>early awareness – providing an opportunity for primary and secondary school students to engage with science, technology, engineering, and mathematics (STEM) through relevant activities</w:t>
      </w:r>
    </w:p>
    <w:p w14:paraId="60E9A0F8" w14:textId="0E822B7D" w:rsidR="00B309BB" w:rsidRDefault="00B309BB" w:rsidP="00B309BB">
      <w:pPr>
        <w:pStyle w:val="ListBullet"/>
      </w:pPr>
      <w:r>
        <w:t>continued engagement – supporting female high school and university students to consider or continue studies in engineering and STEM</w:t>
      </w:r>
    </w:p>
    <w:p w14:paraId="7DD124D4" w14:textId="35DD2CBD" w:rsidR="00B309BB" w:rsidRDefault="00B309BB" w:rsidP="00B309BB">
      <w:pPr>
        <w:pStyle w:val="ListBullet"/>
      </w:pPr>
      <w:r>
        <w:t>professional support and development – retaining, promoting, and celebrating females in the engineering profession.</w:t>
      </w:r>
    </w:p>
    <w:p w14:paraId="5B7ED7F1" w14:textId="77777777" w:rsidR="00B309BB" w:rsidRDefault="00B309BB" w:rsidP="00B309BB">
      <w:r>
        <w:t>TMR supported initiatives during 2021–22 included:</w:t>
      </w:r>
    </w:p>
    <w:p w14:paraId="2C2F2D5E" w14:textId="3D4D28A0" w:rsidR="00B309BB" w:rsidRDefault="00B309BB" w:rsidP="00B309BB">
      <w:pPr>
        <w:pStyle w:val="ListBullet"/>
      </w:pPr>
      <w:r>
        <w:lastRenderedPageBreak/>
        <w:t>awarded four bursaries of $1000 each to female undergraduate students supported by the National Council of Women of Queensland</w:t>
      </w:r>
    </w:p>
    <w:p w14:paraId="40A2A1AF" w14:textId="4B58B5F2" w:rsidR="00D119E3" w:rsidRDefault="00B309BB" w:rsidP="006800C7">
      <w:pPr>
        <w:pStyle w:val="ListBullet"/>
      </w:pPr>
      <w:r>
        <w:t>sponsored two school STEM initiatives through the Engineering Link Group, the Engineering Link Project workshops and the Spaghetti Bridge Competition. Almost 375 students participated across the two initiatives.</w:t>
      </w:r>
    </w:p>
    <w:p w14:paraId="58BF284C" w14:textId="5141D303" w:rsidR="006800C7" w:rsidRPr="00F4797A" w:rsidRDefault="00B309BB" w:rsidP="006800C7">
      <w:pPr>
        <w:pStyle w:val="Heading4"/>
      </w:pPr>
      <w:r>
        <w:t>Women in Maritime</w:t>
      </w:r>
    </w:p>
    <w:p w14:paraId="5ADE94AD" w14:textId="0887776B" w:rsidR="00F56260" w:rsidRDefault="00F56260" w:rsidP="00F56260">
      <w:r>
        <w:t>In 2021–22, the Women in Maritime committee continued to seek opportunities to encourage and promote the role of women in maritime.</w:t>
      </w:r>
    </w:p>
    <w:p w14:paraId="533121E4" w14:textId="7743B340" w:rsidR="00F56260" w:rsidRDefault="00F56260" w:rsidP="00F56260">
      <w:r>
        <w:t>In November 2021 the Committee sponsored MSQ’s first Women in Maritime One Day Equipment Familiarisation Day (ODEF) at the Airlie Beach Marine Operations Base.</w:t>
      </w:r>
    </w:p>
    <w:p w14:paraId="4BBF99F0" w14:textId="2B02EB4B" w:rsidR="00F56260" w:rsidRDefault="00F56260" w:rsidP="00F56260">
      <w:r>
        <w:t>Women from across MSQ, RoadTek, the Great Barrier Reef Marine Park Authority and the Queensland Parks and Wildlife Service came together to learn how to operate pollution response equipment such as boom, skimmers, holding tanks and generators. Participants also learnt how to clean down and store equipment after use.</w:t>
      </w:r>
    </w:p>
    <w:p w14:paraId="5FA8F781" w14:textId="10816821" w:rsidR="00B309BB" w:rsidRDefault="00F56260" w:rsidP="00F56260">
      <w:r>
        <w:t>A second ODEF event is being planned due to the success of the committee’s first event.</w:t>
      </w:r>
    </w:p>
    <w:p w14:paraId="2D601689" w14:textId="43B7BAEC" w:rsidR="006800C7" w:rsidRPr="00F4797A" w:rsidRDefault="003C27A5" w:rsidP="006800C7">
      <w:pPr>
        <w:pStyle w:val="Heading4"/>
      </w:pPr>
      <w:r>
        <w:t xml:space="preserve">RoadTek Respect Action Plan </w:t>
      </w:r>
    </w:p>
    <w:p w14:paraId="382073E3" w14:textId="5E58A007" w:rsidR="003A2B12" w:rsidRDefault="003A2B12" w:rsidP="003A2B12">
      <w:r>
        <w:t>During 2021–22, TMR continued its commitment to safe, inclusive, and respectful workplaces through the development of the RoadTek Respect Action Plan.</w:t>
      </w:r>
    </w:p>
    <w:p w14:paraId="500A91AC" w14:textId="77777777" w:rsidR="003A2B12" w:rsidRDefault="003A2B12" w:rsidP="003A2B12">
      <w:r>
        <w:t>RoadTek is taking active steps to prevent and respond to disrespectful conduct in the workplace by promoting a culture that supports:</w:t>
      </w:r>
    </w:p>
    <w:p w14:paraId="408354E4" w14:textId="611E6DFA" w:rsidR="003A2B12" w:rsidRDefault="003A2B12" w:rsidP="003A2B12">
      <w:pPr>
        <w:pStyle w:val="ListBullet"/>
      </w:pPr>
      <w:r>
        <w:t>respectful relationships</w:t>
      </w:r>
    </w:p>
    <w:p w14:paraId="095C8DC4" w14:textId="03EB0D8C" w:rsidR="003A2B12" w:rsidRDefault="003A2B12" w:rsidP="003A2B12">
      <w:pPr>
        <w:pStyle w:val="ListBullet"/>
      </w:pPr>
      <w:r>
        <w:t>challenges gender stereotypes</w:t>
      </w:r>
    </w:p>
    <w:p w14:paraId="19AB3AB4" w14:textId="4EAFFC00" w:rsidR="003A2B12" w:rsidRDefault="003A2B12" w:rsidP="003A2B12">
      <w:pPr>
        <w:pStyle w:val="ListBullet"/>
      </w:pPr>
      <w:r>
        <w:t>enhances staff’s capability to recognise and respond to unacceptable behaviour.</w:t>
      </w:r>
    </w:p>
    <w:p w14:paraId="58F7CCBA" w14:textId="77777777" w:rsidR="003A2B12" w:rsidRDefault="003A2B12" w:rsidP="003A2B12">
      <w:r>
        <w:t>To support this, work commenced on several initiatives during 2021–22 including:</w:t>
      </w:r>
    </w:p>
    <w:p w14:paraId="3575E465" w14:textId="0F6684DE" w:rsidR="003A2B12" w:rsidRDefault="003A2B12" w:rsidP="003A2B12">
      <w:pPr>
        <w:pStyle w:val="ListBullet"/>
      </w:pPr>
      <w:r>
        <w:t>face-to-face MATE Bystander training for all employees</w:t>
      </w:r>
    </w:p>
    <w:p w14:paraId="06C7D4F4" w14:textId="12A2C0FD" w:rsidR="003A2B12" w:rsidRDefault="003A2B12" w:rsidP="003A2B12">
      <w:pPr>
        <w:pStyle w:val="ListBullet"/>
      </w:pPr>
      <w:r>
        <w:t>investigated how we can improve safety at RoadTek camps and depot accommodation</w:t>
      </w:r>
    </w:p>
    <w:p w14:paraId="3B415B73" w14:textId="082A7E17" w:rsidR="003A2B12" w:rsidRDefault="003A2B12" w:rsidP="003A2B12">
      <w:pPr>
        <w:pStyle w:val="ListBullet"/>
      </w:pPr>
      <w:r>
        <w:t>established a Women in RoadTek working group</w:t>
      </w:r>
    </w:p>
    <w:p w14:paraId="555E1734" w14:textId="20D6D173" w:rsidR="003A2B12" w:rsidRDefault="003A2B12" w:rsidP="003A2B12">
      <w:pPr>
        <w:pStyle w:val="ListBullet"/>
      </w:pPr>
      <w:r>
        <w:t>revised the RoadTek Work Ready Induction materials</w:t>
      </w:r>
    </w:p>
    <w:p w14:paraId="15AD0A39" w14:textId="376FEF63" w:rsidR="003A2B12" w:rsidRDefault="003A2B12" w:rsidP="003A2B12">
      <w:pPr>
        <w:pStyle w:val="ListBullet"/>
      </w:pPr>
      <w:r>
        <w:t>setup specialist support services for employees who experience sexual harassment and/or assault.</w:t>
      </w:r>
    </w:p>
    <w:p w14:paraId="557D4E64" w14:textId="77777777" w:rsidR="003A2B12" w:rsidRDefault="003A2B12" w:rsidP="003A2B12">
      <w:r>
        <w:t>RoadTek will continue to encourage workers to be active participants in creating and maintaining safe and respectful workplaces and communities.</w:t>
      </w:r>
    </w:p>
    <w:p w14:paraId="4633893E" w14:textId="4047C220" w:rsidR="006800C7" w:rsidRDefault="006800C7" w:rsidP="006800C7">
      <w:pPr>
        <w:pStyle w:val="Heading4"/>
      </w:pPr>
      <w:r>
        <w:t xml:space="preserve">Women in </w:t>
      </w:r>
      <w:r w:rsidR="00934C38">
        <w:t xml:space="preserve">construction program </w:t>
      </w:r>
    </w:p>
    <w:p w14:paraId="6BA004BE" w14:textId="57EA6ACC" w:rsidR="00B552B2" w:rsidRDefault="00B552B2" w:rsidP="00B552B2">
      <w:r>
        <w:t>RoadTek welcomed its seventh women in construction program cohort of 20 staff in February 2022. The program provides women from across Queensland with an entryway into the construction industry.</w:t>
      </w:r>
    </w:p>
    <w:p w14:paraId="3CFC268D" w14:textId="3724A838" w:rsidR="00B552B2" w:rsidRDefault="00B552B2" w:rsidP="00B552B2">
      <w:r>
        <w:lastRenderedPageBreak/>
        <w:t>Participants undertook a mix of theoretical and practical training to gain qualification in six units of a Certificate III in civil construction. This unique blend of classroom and operational training ensures the cohort are equipped for a long-term career in the civil construction industry.</w:t>
      </w:r>
    </w:p>
    <w:p w14:paraId="46FC395E" w14:textId="305FB7AE" w:rsidR="00934C38" w:rsidRDefault="00B552B2" w:rsidP="00B552B2">
      <w:r>
        <w:t>The success of the program is evidenced by the increase in female construction workers in RoadTek’s workforce from two per cent in 2017 to currently over five per cent.</w:t>
      </w:r>
    </w:p>
    <w:p w14:paraId="71030157" w14:textId="77777777" w:rsidR="006800C7" w:rsidRPr="00F4797A" w:rsidRDefault="006800C7" w:rsidP="006800C7">
      <w:pPr>
        <w:pStyle w:val="Heading4"/>
      </w:pPr>
      <w:r>
        <w:t>Prevention of domestic and family violence</w:t>
      </w:r>
    </w:p>
    <w:p w14:paraId="74CFE954" w14:textId="1620BD4A" w:rsidR="00DD22E0" w:rsidRDefault="00DD22E0" w:rsidP="00DD22E0">
      <w:r>
        <w:t>In 2021–22, TMR continued to champion domestic and family violence (DFV) awareness and prevention.</w:t>
      </w:r>
    </w:p>
    <w:p w14:paraId="4C14DDF0" w14:textId="5F300779" w:rsidR="00DD22E0" w:rsidRDefault="00DD22E0" w:rsidP="00DD22E0">
      <w:r>
        <w:t>The Griffith University MATE Bystander prevention program continued to be rolled out with over 1500 employees completing face to face or online training. The program empowers people to take action when they witness problematic behaviours in the workplace, home or community.</w:t>
      </w:r>
    </w:p>
    <w:p w14:paraId="579310F6" w14:textId="77777777" w:rsidR="00DD22E0" w:rsidRDefault="00DD22E0" w:rsidP="00DD22E0">
      <w:r>
        <w:t>TMR raised awareness regarding DFV within TMR by supporting the following events during 2021–22:</w:t>
      </w:r>
    </w:p>
    <w:p w14:paraId="3FFE7FDD" w14:textId="7C2713E7" w:rsidR="00DD22E0" w:rsidRDefault="00DD22E0" w:rsidP="00DD22E0">
      <w:pPr>
        <w:pStyle w:val="ListBullet"/>
      </w:pPr>
      <w:r>
        <w:t>sponsorship of Challenge DV’s Darkness to Daylight 2022</w:t>
      </w:r>
    </w:p>
    <w:p w14:paraId="217C1A9A" w14:textId="0E869C6D" w:rsidR="00DD22E0" w:rsidRDefault="00DD22E0" w:rsidP="00DD22E0">
      <w:pPr>
        <w:pStyle w:val="ListBullet"/>
      </w:pPr>
      <w:r>
        <w:t>road to respect event</w:t>
      </w:r>
    </w:p>
    <w:p w14:paraId="31154D34" w14:textId="00E135E4" w:rsidR="00DD22E0" w:rsidRDefault="00DD22E0" w:rsidP="00DD22E0">
      <w:pPr>
        <w:pStyle w:val="ListBullet"/>
      </w:pPr>
      <w:r>
        <w:t>event on the Brisbane River arranged by TMR which saw 50 jet skis form the shape of a White Ribbon and raised $5000 for White Ribbon Australia.</w:t>
      </w:r>
    </w:p>
    <w:p w14:paraId="03FD5057" w14:textId="688AE633" w:rsidR="00B552B2" w:rsidRDefault="00DD22E0" w:rsidP="00DD22E0">
      <w:pPr>
        <w:pStyle w:val="ListBullet"/>
      </w:pPr>
      <w:r>
        <w:t>TMR also partnered with WorkHaven to implement a Fresh Start for Me online coaching program to assist employees who are impacted by domestic and family violence to build a life beyond DFV.</w:t>
      </w:r>
    </w:p>
    <w:p w14:paraId="4F32F719" w14:textId="6CFE9FB4" w:rsidR="00B552B2" w:rsidRPr="00F4797A" w:rsidRDefault="00DD22E0" w:rsidP="00B552B2">
      <w:pPr>
        <w:pStyle w:val="Heading4"/>
      </w:pPr>
      <w:r>
        <w:t xml:space="preserve">Women in Project Management program </w:t>
      </w:r>
    </w:p>
    <w:p w14:paraId="236A4FF9" w14:textId="77777777" w:rsidR="001B4A14" w:rsidRDefault="001B4A14" w:rsidP="001B4A14">
      <w:r>
        <w:t>Following the successful delivery of the Women in Construction program, the inaugural Women in Project Management program was launched in 2022.</w:t>
      </w:r>
    </w:p>
    <w:p w14:paraId="270E442D" w14:textId="77777777" w:rsidR="001B4A14" w:rsidRDefault="001B4A14" w:rsidP="001B4A14">
      <w:r>
        <w:t>The program aims to attract and engage more female project managers to the civil construction industry.</w:t>
      </w:r>
    </w:p>
    <w:p w14:paraId="451322AD" w14:textId="77777777" w:rsidR="001B4A14" w:rsidRDefault="001B4A14" w:rsidP="001B4A14">
      <w:r>
        <w:t>Participants have been engaged from a variety of industry backgrounds and have had the opportunity to build on their current skill sets, receiving on the job training while working with existing project managers.</w:t>
      </w:r>
    </w:p>
    <w:p w14:paraId="710C10C6" w14:textId="77777777" w:rsidR="001B4A14" w:rsidRDefault="001B4A14" w:rsidP="001B4A14">
      <w:r>
        <w:t>Working at both site and office locations, duties involve project managing the delivery of assigned civil activities including:</w:t>
      </w:r>
    </w:p>
    <w:p w14:paraId="76EC7769" w14:textId="22B3D236" w:rsidR="001B4A14" w:rsidRDefault="001B4A14" w:rsidP="001B4A14">
      <w:pPr>
        <w:pStyle w:val="ListBullet"/>
      </w:pPr>
      <w:r>
        <w:t>construction</w:t>
      </w:r>
    </w:p>
    <w:p w14:paraId="68ADDE2B" w14:textId="3A47255F" w:rsidR="001B4A14" w:rsidRDefault="001B4A14" w:rsidP="001B4A14">
      <w:pPr>
        <w:pStyle w:val="ListBullet"/>
      </w:pPr>
      <w:r>
        <w:t>maintenance</w:t>
      </w:r>
    </w:p>
    <w:p w14:paraId="71310E88" w14:textId="58F880AE" w:rsidR="001B4A14" w:rsidRDefault="001B4A14" w:rsidP="001B4A14">
      <w:pPr>
        <w:pStyle w:val="ListBullet"/>
      </w:pPr>
      <w:r>
        <w:t>rehabilitation</w:t>
      </w:r>
    </w:p>
    <w:p w14:paraId="02075B5D" w14:textId="14B1F2B8" w:rsidR="001B4A14" w:rsidRDefault="001B4A14" w:rsidP="001B4A14">
      <w:pPr>
        <w:pStyle w:val="ListBullet"/>
      </w:pPr>
      <w:r>
        <w:t>preconstruction</w:t>
      </w:r>
    </w:p>
    <w:p w14:paraId="6F48BE3F" w14:textId="2398E7C5" w:rsidR="001B4A14" w:rsidRDefault="001B4A14" w:rsidP="001B4A14">
      <w:pPr>
        <w:pStyle w:val="ListBullet"/>
      </w:pPr>
      <w:r>
        <w:t>electrical</w:t>
      </w:r>
    </w:p>
    <w:p w14:paraId="54B77152" w14:textId="6E67B52A" w:rsidR="001B4A14" w:rsidRDefault="001B4A14" w:rsidP="001B4A14">
      <w:pPr>
        <w:pStyle w:val="ListBullet"/>
      </w:pPr>
      <w:r>
        <w:t>business projects.</w:t>
      </w:r>
    </w:p>
    <w:p w14:paraId="07EEDDD4" w14:textId="1C834011" w:rsidR="00B552B2" w:rsidRDefault="001B4A14" w:rsidP="001B4A14">
      <w:r>
        <w:t>The first program cohort will graduate in 2023.</w:t>
      </w:r>
    </w:p>
    <w:p w14:paraId="60FCDA38" w14:textId="77777777" w:rsidR="00B552B2" w:rsidRPr="00EC3D8E" w:rsidRDefault="00B552B2" w:rsidP="006800C7">
      <w:pPr>
        <w:rPr>
          <w:rStyle w:val="IntenseReference"/>
        </w:rPr>
      </w:pPr>
    </w:p>
    <w:p w14:paraId="665CE34E" w14:textId="77777777" w:rsidR="006800C7" w:rsidRDefault="006800C7" w:rsidP="006800C7">
      <w:pPr>
        <w:pStyle w:val="Heading2"/>
      </w:pPr>
      <w:r>
        <w:lastRenderedPageBreak/>
        <w:t>Attracting talented people</w:t>
      </w:r>
    </w:p>
    <w:p w14:paraId="1489102A" w14:textId="77777777" w:rsidR="006800C7" w:rsidRDefault="006800C7" w:rsidP="006800C7">
      <w:pPr>
        <w:pStyle w:val="Heading4"/>
      </w:pPr>
      <w:r>
        <w:t>OneTMR Graduate Program</w:t>
      </w:r>
    </w:p>
    <w:p w14:paraId="6D10950F" w14:textId="10ABAE47" w:rsidR="00583873" w:rsidRDefault="00583873" w:rsidP="00583873">
      <w:r>
        <w:t>In February 2022, TMR onboarded 48 new graduates in roles, across the state. The additional intake of graduates increased the program total to 93 graduates across 20 disciplines.</w:t>
      </w:r>
    </w:p>
    <w:p w14:paraId="3C4F4C97" w14:textId="7BCA36F9" w:rsidR="00583873" w:rsidRDefault="00583873" w:rsidP="00583873">
      <w:r>
        <w:t>Over 50 per cent of TMR graduates are in technical streams, building an ongoing pipeline of capabilities in these critical roles.</w:t>
      </w:r>
    </w:p>
    <w:p w14:paraId="493A13EC" w14:textId="77777777" w:rsidR="00583873" w:rsidRDefault="00583873" w:rsidP="00583873">
      <w:r>
        <w:t xml:space="preserve">Alongside technical development, professional capability development for these 93 graduates is aligned to TMR’s </w:t>
      </w:r>
      <w:r w:rsidRPr="005F6112">
        <w:rPr>
          <w:rStyle w:val="Emphasis"/>
        </w:rPr>
        <w:t>Strategic Workforce Plan 2021–2024</w:t>
      </w:r>
      <w:r>
        <w:t xml:space="preserve"> and the attributes of future TMR employees. This will ensure TMR has a pipeline of employees who hold capabilities to become TMR’s future leaders.</w:t>
      </w:r>
    </w:p>
    <w:p w14:paraId="541B211F" w14:textId="77777777" w:rsidR="00583873" w:rsidRDefault="00583873" w:rsidP="00583873">
      <w:r>
        <w:t>TMR is an inclusive organisation that supports staff to bring different perspectives, beliefs, ideas and cultures to the workplace. Of the 48 new graduate roles:</w:t>
      </w:r>
    </w:p>
    <w:p w14:paraId="2FD27AAE" w14:textId="685DAAF7" w:rsidR="00583873" w:rsidRDefault="00583873" w:rsidP="00583873">
      <w:pPr>
        <w:pStyle w:val="ListBullet"/>
      </w:pPr>
      <w:r>
        <w:t>30 per cent identified as people from a non-English speaking background</w:t>
      </w:r>
    </w:p>
    <w:p w14:paraId="38B92593" w14:textId="54AF6C74" w:rsidR="00583873" w:rsidRDefault="00583873" w:rsidP="00583873">
      <w:pPr>
        <w:pStyle w:val="ListBullet"/>
      </w:pPr>
      <w:r>
        <w:t>4 per cent identified as disabled</w:t>
      </w:r>
    </w:p>
    <w:p w14:paraId="79020441" w14:textId="0A8F3A02" w:rsidR="00583873" w:rsidRDefault="00583873" w:rsidP="00583873">
      <w:pPr>
        <w:pStyle w:val="ListBullet"/>
      </w:pPr>
      <w:r>
        <w:t>24 per cent identified as female.</w:t>
      </w:r>
    </w:p>
    <w:p w14:paraId="5BCAA566" w14:textId="5D6A19E9" w:rsidR="00D91815" w:rsidRDefault="00583873" w:rsidP="00583873">
      <w:r>
        <w:t xml:space="preserve">The OneTMR Graduate Program, as part of the Queensland Government sector programs was among the </w:t>
      </w:r>
      <w:r w:rsidRPr="005F6112">
        <w:rPr>
          <w:rStyle w:val="Emphasis"/>
        </w:rPr>
        <w:t>Financial Review’s</w:t>
      </w:r>
      <w:r>
        <w:t xml:space="preserve"> top 100 graduate programs for 2022.</w:t>
      </w:r>
    </w:p>
    <w:p w14:paraId="6D7B1208" w14:textId="4EC19D42" w:rsidR="006800C7" w:rsidRDefault="006800C7" w:rsidP="006800C7">
      <w:pPr>
        <w:pStyle w:val="MoreInformation"/>
      </w:pPr>
      <w:r w:rsidRPr="00644F02">
        <w:t>For more information</w:t>
      </w:r>
      <w:r>
        <w:br/>
      </w:r>
      <w:hyperlink r:id="rId127" w:history="1">
        <w:r w:rsidR="00663169" w:rsidRPr="00663169">
          <w:rPr>
            <w:rStyle w:val="Hyperlink"/>
          </w:rPr>
          <w:t>https://www.tmr.qld.gov.au/About-us/Employment-and-careers/Entry-Pathways-Program/Graduate-program</w:t>
        </w:r>
      </w:hyperlink>
    </w:p>
    <w:p w14:paraId="256FA13D" w14:textId="6AE717FB" w:rsidR="006800C7" w:rsidRDefault="00663169" w:rsidP="006800C7">
      <w:pPr>
        <w:pStyle w:val="Heading4"/>
      </w:pPr>
      <w:r>
        <w:t xml:space="preserve">Learning Strategy </w:t>
      </w:r>
    </w:p>
    <w:p w14:paraId="467F6E9F" w14:textId="77777777" w:rsidR="00C42B87" w:rsidRDefault="00C42B87" w:rsidP="00C42B87">
      <w:r>
        <w:t xml:space="preserve">TMR’s </w:t>
      </w:r>
      <w:r w:rsidRPr="00C42B87">
        <w:rPr>
          <w:rStyle w:val="Emphasis"/>
        </w:rPr>
        <w:t>Learning Strategy 2021–2024</w:t>
      </w:r>
      <w:r>
        <w:t xml:space="preserve"> supports a purpose-driven, capable, and mobile workforce. It promotes a culture of lifelong learning and encourages TMR’s people to take the lead in their professional development and become future-skills ready</w:t>
      </w:r>
    </w:p>
    <w:p w14:paraId="690C20C1" w14:textId="77777777" w:rsidR="00C42B87" w:rsidRDefault="00C42B87" w:rsidP="00C42B87">
      <w:r>
        <w:t>Under the strategy, the TMR Development Library was launched as our dedicated learning platform, housing 17 resources. The six priority capability areas are co-designed with the relevant lead specialists and include:</w:t>
      </w:r>
    </w:p>
    <w:p w14:paraId="1151764A" w14:textId="2A63E69B" w:rsidR="00C42B87" w:rsidRDefault="00C42B87" w:rsidP="00C42B87">
      <w:pPr>
        <w:pStyle w:val="ListBullet"/>
      </w:pPr>
      <w:r>
        <w:t>digital and data</w:t>
      </w:r>
    </w:p>
    <w:p w14:paraId="7D33B71E" w14:textId="7585DBEC" w:rsidR="00C42B87" w:rsidRDefault="00C42B87" w:rsidP="00C42B87">
      <w:pPr>
        <w:pStyle w:val="ListBullet"/>
      </w:pPr>
      <w:r>
        <w:t>portfolio, program, and project management</w:t>
      </w:r>
    </w:p>
    <w:p w14:paraId="4404E99E" w14:textId="259DD8DA" w:rsidR="00C42B87" w:rsidRDefault="00C42B87" w:rsidP="00C42B87">
      <w:pPr>
        <w:pStyle w:val="ListBullet"/>
      </w:pPr>
      <w:r>
        <w:t>safety and wellbeing</w:t>
      </w:r>
    </w:p>
    <w:p w14:paraId="0B8325A6" w14:textId="741586F3" w:rsidR="00C42B87" w:rsidRDefault="00C42B87" w:rsidP="00C42B87">
      <w:pPr>
        <w:pStyle w:val="ListBullet"/>
      </w:pPr>
      <w:r>
        <w:t>leadership and management</w:t>
      </w:r>
    </w:p>
    <w:p w14:paraId="4147FD37" w14:textId="535E271E" w:rsidR="00C42B87" w:rsidRDefault="00C42B87" w:rsidP="00C42B87">
      <w:pPr>
        <w:pStyle w:val="ListBullet"/>
      </w:pPr>
      <w:r>
        <w:t>general business skills</w:t>
      </w:r>
    </w:p>
    <w:p w14:paraId="01C9EB65" w14:textId="17121ABF" w:rsidR="00C42B87" w:rsidRDefault="00C42B87" w:rsidP="00C42B87">
      <w:pPr>
        <w:pStyle w:val="ListBullet"/>
      </w:pPr>
      <w:r>
        <w:t>occupational technical competencies.</w:t>
      </w:r>
    </w:p>
    <w:p w14:paraId="640DEF07" w14:textId="77777777" w:rsidR="00C42B87" w:rsidRDefault="00C42B87" w:rsidP="00C42B87">
      <w:r>
        <w:t>The TMR Learning Network, comprised of representatives across HR and operational business areas, continue to champion initiatives across TMR.</w:t>
      </w:r>
    </w:p>
    <w:p w14:paraId="2B9554E9" w14:textId="77777777" w:rsidR="00C42B87" w:rsidRDefault="00C42B87" w:rsidP="00C42B87">
      <w:r>
        <w:lastRenderedPageBreak/>
        <w:t>The 2021 Working for Queensland survey results reflect the strategy’s success, with improvements in all learning and development areas compared to 2020, and up by 16 points on the public sector average for commitment to developing employees.</w:t>
      </w:r>
    </w:p>
    <w:p w14:paraId="3BE017CE" w14:textId="31A73ED4" w:rsidR="00663169" w:rsidRDefault="00C42B87" w:rsidP="00C42B87">
      <w:r>
        <w:t>Since its launch in February 2021, TMR’s LinkedIn Learning membership has been well received and as of 30 June 2022, 41 per cent employees have activated their accounts.</w:t>
      </w:r>
    </w:p>
    <w:p w14:paraId="1EC2B468" w14:textId="280B9B44" w:rsidR="006800C7" w:rsidRDefault="00380538" w:rsidP="006800C7">
      <w:pPr>
        <w:pStyle w:val="Heading4"/>
      </w:pPr>
      <w:r>
        <w:t>Leadership development</w:t>
      </w:r>
    </w:p>
    <w:p w14:paraId="3E99D6E2" w14:textId="77777777" w:rsidR="004943F5" w:rsidRDefault="004943F5" w:rsidP="004943F5">
      <w:r>
        <w:t xml:space="preserve">Developing TMR’s leadership and management capability is a key priority of the </w:t>
      </w:r>
      <w:r w:rsidRPr="004943F5">
        <w:rPr>
          <w:rStyle w:val="Emphasis"/>
        </w:rPr>
        <w:t>Learning Strategy 2021–2024</w:t>
      </w:r>
      <w:r>
        <w:t>.</w:t>
      </w:r>
    </w:p>
    <w:p w14:paraId="4C292698" w14:textId="5AF7509C" w:rsidR="004943F5" w:rsidRDefault="004943F5" w:rsidP="004943F5">
      <w:r>
        <w:t>Building this important competency in TMR’s leaders is critical to prepare them for managing complex situations, recruiting the</w:t>
      </w:r>
      <w:r w:rsidR="0049024C">
        <w:t xml:space="preserve"> </w:t>
      </w:r>
      <w:r>
        <w:t>right people and supporting the performance of their employees.</w:t>
      </w:r>
    </w:p>
    <w:p w14:paraId="4B8D9E3A" w14:textId="77777777" w:rsidR="004943F5" w:rsidRDefault="004943F5" w:rsidP="004943F5">
      <w:r>
        <w:t>TMR continued to invest in leadership and management capability by offering different development pathways during 2021–22 including:</w:t>
      </w:r>
    </w:p>
    <w:p w14:paraId="12FC049E" w14:textId="7CAB3255" w:rsidR="004943F5" w:rsidRDefault="004943F5" w:rsidP="0049024C">
      <w:pPr>
        <w:pStyle w:val="ListBullet"/>
      </w:pPr>
      <w:r>
        <w:t>manager information sessions on fundamental activities such as positive performance, learning, flexible working and early intervention</w:t>
      </w:r>
    </w:p>
    <w:p w14:paraId="6949EA4D" w14:textId="572580E5" w:rsidR="004943F5" w:rsidRDefault="004943F5" w:rsidP="0049024C">
      <w:pPr>
        <w:pStyle w:val="ListBullet"/>
      </w:pPr>
      <w:r>
        <w:t>12 places in the Performance conversation workshop delivered by Australian Institute of Management (plus in- house program for 22 staff)</w:t>
      </w:r>
    </w:p>
    <w:p w14:paraId="53AE820F" w14:textId="1A83A10D" w:rsidR="004943F5" w:rsidRDefault="004943F5" w:rsidP="0049024C">
      <w:pPr>
        <w:pStyle w:val="ListBullet"/>
      </w:pPr>
      <w:r>
        <w:t>62 participants in Good Decision training conducted by the Queensland Ombudsman’s Office.</w:t>
      </w:r>
    </w:p>
    <w:p w14:paraId="68C05D7A" w14:textId="3C0478E5" w:rsidR="004943F5" w:rsidRDefault="004943F5" w:rsidP="0049024C">
      <w:pPr>
        <w:pStyle w:val="ListBullet"/>
      </w:pPr>
      <w:r>
        <w:t>Four scholarships for Public Sector Management Program, delivered by QUT</w:t>
      </w:r>
    </w:p>
    <w:p w14:paraId="36CEFDF8" w14:textId="7061F36E" w:rsidR="004943F5" w:rsidRDefault="004943F5" w:rsidP="0049024C">
      <w:pPr>
        <w:pStyle w:val="ListBullet"/>
      </w:pPr>
      <w:r>
        <w:t>Inhouse blended learning program for middle management, Passport2Leadership, for 60 managers</w:t>
      </w:r>
    </w:p>
    <w:p w14:paraId="3DF1D51B" w14:textId="48646624" w:rsidR="004943F5" w:rsidRDefault="004943F5" w:rsidP="0049024C">
      <w:pPr>
        <w:pStyle w:val="ListBullet"/>
      </w:pPr>
      <w:r>
        <w:t xml:space="preserve">Five participants for the Australia and New Zealand School of Government (ANZSOG) Executive Master of </w:t>
      </w:r>
      <w:r w:rsidR="0049024C">
        <w:t>P</w:t>
      </w:r>
      <w:r>
        <w:t>ublic Administration</w:t>
      </w:r>
    </w:p>
    <w:p w14:paraId="018947A0" w14:textId="17CE27CB" w:rsidR="004943F5" w:rsidRDefault="004943F5" w:rsidP="0049024C">
      <w:pPr>
        <w:pStyle w:val="ListBullet"/>
      </w:pPr>
      <w:r>
        <w:t>60 participants in Public Service Commission’s leadership assessment tool LEAD4QLD, bringing our total participation to 517</w:t>
      </w:r>
    </w:p>
    <w:p w14:paraId="0A8D7E4D" w14:textId="5C12A91D" w:rsidR="004943F5" w:rsidRDefault="004943F5" w:rsidP="0049024C">
      <w:pPr>
        <w:pStyle w:val="ListBullet"/>
      </w:pPr>
      <w:r>
        <w:t>32 participants on the People Matters: Performance Conversations training.</w:t>
      </w:r>
    </w:p>
    <w:p w14:paraId="7132F3C9" w14:textId="7D9DD689" w:rsidR="004943F5" w:rsidRDefault="008D478D" w:rsidP="0049024C">
      <w:pPr>
        <w:pStyle w:val="ListBullet"/>
      </w:pPr>
      <w:r>
        <w:t>2</w:t>
      </w:r>
      <w:r w:rsidR="004943F5">
        <w:t>01 participants in ANZSOG Masterclasses</w:t>
      </w:r>
    </w:p>
    <w:p w14:paraId="4ABF6AFB" w14:textId="32E9D196" w:rsidR="004943F5" w:rsidRDefault="004943F5" w:rsidP="0049024C">
      <w:pPr>
        <w:pStyle w:val="ListBullet"/>
      </w:pPr>
      <w:r>
        <w:t>13 participants in ANZSOG Learning groups</w:t>
      </w:r>
    </w:p>
    <w:p w14:paraId="2C77F248" w14:textId="3ABF88C7" w:rsidR="004943F5" w:rsidRDefault="004943F5" w:rsidP="0049024C">
      <w:pPr>
        <w:pStyle w:val="ListBullet"/>
      </w:pPr>
      <w:r>
        <w:t>Launched the new Positive Performance Management Program currently 41 participants.</w:t>
      </w:r>
    </w:p>
    <w:p w14:paraId="7799466C" w14:textId="77777777" w:rsidR="004943F5" w:rsidRDefault="004943F5" w:rsidP="004943F5">
      <w:r>
        <w:t>Formal training as well as coaching, mentoring, job shadowing, networking, individual research and on-the-job learning opportunities, and relieving in senior roles was also offered to eligible employees.</w:t>
      </w:r>
    </w:p>
    <w:p w14:paraId="0EF7A2DC" w14:textId="12AC4F8A" w:rsidR="00380538" w:rsidRDefault="004943F5" w:rsidP="004943F5">
      <w:r>
        <w:t>TMR’s leadership and management capability was reviewed in May 2022, in consultation with Senior Leadership and OneHR leadership teams. The review outcomes are informing a roadmap that will support current and emerging leaders with a range of scalable and blended learning opportunities.</w:t>
      </w:r>
    </w:p>
    <w:p w14:paraId="58B7517E" w14:textId="098C85DB" w:rsidR="006800C7" w:rsidRDefault="00514B44" w:rsidP="006800C7">
      <w:pPr>
        <w:pStyle w:val="Heading4"/>
      </w:pPr>
      <w:r>
        <w:t xml:space="preserve">Mentoring in TMR </w:t>
      </w:r>
    </w:p>
    <w:p w14:paraId="37088FDA" w14:textId="2364627E" w:rsidR="00514B44" w:rsidRPr="00514B44" w:rsidRDefault="00514B44" w:rsidP="006800C7">
      <w:pPr>
        <w:rPr>
          <w:rStyle w:val="Strong"/>
        </w:rPr>
      </w:pPr>
      <w:r>
        <w:rPr>
          <w:rStyle w:val="Strong"/>
        </w:rPr>
        <w:t xml:space="preserve">Women </w:t>
      </w:r>
      <w:r w:rsidR="0047199A">
        <w:rPr>
          <w:rStyle w:val="Strong"/>
        </w:rPr>
        <w:t xml:space="preserve">in Leadership Mentoring program </w:t>
      </w:r>
    </w:p>
    <w:p w14:paraId="421752E1" w14:textId="77777777" w:rsidR="00482DED" w:rsidRDefault="00482DED" w:rsidP="00482DED">
      <w:r>
        <w:t>The Women in Leadership Mentoring Program is now in its eighth year and is a key initiative within TMR’s Gender Equity Plan.</w:t>
      </w:r>
    </w:p>
    <w:p w14:paraId="2E3F1082" w14:textId="77777777" w:rsidR="00482DED" w:rsidRDefault="00482DED" w:rsidP="00482DED">
      <w:r>
        <w:lastRenderedPageBreak/>
        <w:t>The mentoring programs continue to support TMR’s commitment to increasing women in senior leadership positions (SES/SO). The program provides participants with support to achieve their goals and offers an exciting opportunity to further develop leadership skills and create broader networks.</w:t>
      </w:r>
    </w:p>
    <w:p w14:paraId="6FB7A515" w14:textId="0F10A240" w:rsidR="00514B44" w:rsidRDefault="00482DED" w:rsidP="00482DED">
      <w:r>
        <w:t>In 2022, the program matched 31 pairs with participation from across TMR’s divisions. The program runs from June to December and launches with virtual workshops in early-June with a mid- program reflection planned for September, followed by an end-of- program webinar in December 2022.</w:t>
      </w:r>
    </w:p>
    <w:p w14:paraId="38F4C44E" w14:textId="6273E415" w:rsidR="00514B44" w:rsidRPr="00CB5122" w:rsidRDefault="00CB5122" w:rsidP="006800C7">
      <w:pPr>
        <w:rPr>
          <w:rStyle w:val="Strong"/>
        </w:rPr>
      </w:pPr>
      <w:r>
        <w:rPr>
          <w:rStyle w:val="Strong"/>
        </w:rPr>
        <w:t xml:space="preserve">OneTMR Mentoring Program </w:t>
      </w:r>
    </w:p>
    <w:p w14:paraId="051E3882" w14:textId="77777777" w:rsidR="00414A32" w:rsidRDefault="00414A32" w:rsidP="00414A32">
      <w:r>
        <w:t>The OneTMR Mentoring Program is now in its ninth year and assists employees with accessing guidance and support from experienced peers. The program drives the creation of new networks and collaborative partnerships, breaking down workplace barriers to make OneTMR a reality.</w:t>
      </w:r>
    </w:p>
    <w:p w14:paraId="41D704F3" w14:textId="59C40D4B" w:rsidR="00514B44" w:rsidRDefault="00414A32" w:rsidP="00414A32">
      <w:r>
        <w:t>The 2022 mentoring program runs from June to December, with virtual workshops in early-June with a mid-program reflection planned for September, followed by an end of program webinar in early-December 2022. There are 34 matched pairs for the 2022 mentoring program.</w:t>
      </w:r>
    </w:p>
    <w:p w14:paraId="41D7E583" w14:textId="7F6B07F5" w:rsidR="006800C7" w:rsidRDefault="00414A32" w:rsidP="006800C7">
      <w:pPr>
        <w:pStyle w:val="Heading4"/>
      </w:pPr>
      <w:r>
        <w:t xml:space="preserve">Employer brand released </w:t>
      </w:r>
    </w:p>
    <w:p w14:paraId="543E95C4" w14:textId="27C58BCA" w:rsidR="00741AF3" w:rsidRDefault="00741AF3" w:rsidP="00741AF3">
      <w:r>
        <w:t xml:space="preserve">In November 2021, TMR launched a new employer brand, a 90 second video showcase, </w:t>
      </w:r>
      <w:r w:rsidRPr="00793738">
        <w:rPr>
          <w:rStyle w:val="Emphasis"/>
        </w:rPr>
        <w:t>TMR: an experience like no other</w:t>
      </w:r>
      <w:r>
        <w:t>. The new employer brand was developed as part of TMR’s talent mobility project.</w:t>
      </w:r>
    </w:p>
    <w:p w14:paraId="00046DD4" w14:textId="77777777" w:rsidR="00741AF3" w:rsidRDefault="00741AF3" w:rsidP="00741AF3">
      <w:r>
        <w:t>Global environments have transformed significantly, and expectations of employees continue to change TMR has also evolved since 2017 when the former Brand ‘Drive the Journey’ was released. As a result of these factors, a new employee value proposition was needed to demonstrate to potential employees what it is like to work at TMR.</w:t>
      </w:r>
    </w:p>
    <w:p w14:paraId="44F60787" w14:textId="77777777" w:rsidR="00741AF3" w:rsidRDefault="00741AF3" w:rsidP="00741AF3">
      <w:r>
        <w:t>The themes for TMR’s new employer brand are:</w:t>
      </w:r>
    </w:p>
    <w:p w14:paraId="2D8B91A6" w14:textId="26242D1D" w:rsidR="00741AF3" w:rsidRDefault="00741AF3" w:rsidP="00793738">
      <w:pPr>
        <w:pStyle w:val="ListBullet"/>
      </w:pPr>
      <w:r>
        <w:t>Be the difference - with responsibility for projects that make a difference to people and communities of Queensland</w:t>
      </w:r>
    </w:p>
    <w:p w14:paraId="5E5F5935" w14:textId="37D9D9E2" w:rsidR="00741AF3" w:rsidRDefault="00741AF3" w:rsidP="00793738">
      <w:pPr>
        <w:pStyle w:val="ListBullet"/>
      </w:pPr>
      <w:r>
        <w:t>Be challenged - with development opportunities to fast-track your career and build transferable skills for the future</w:t>
      </w:r>
    </w:p>
    <w:p w14:paraId="0AEE202C" w14:textId="02069A8B" w:rsidR="00741AF3" w:rsidRDefault="00741AF3" w:rsidP="00793738">
      <w:pPr>
        <w:pStyle w:val="ListBullet"/>
      </w:pPr>
      <w:r>
        <w:t>Be rewarded - with competitive pay, conditions and benefits</w:t>
      </w:r>
    </w:p>
    <w:p w14:paraId="6C54EA42" w14:textId="4E0BAE77" w:rsidR="00741AF3" w:rsidRDefault="00741AF3" w:rsidP="00793738">
      <w:pPr>
        <w:pStyle w:val="ListBullet"/>
      </w:pPr>
      <w:r>
        <w:t>Be balanced - with access to contemporary work practices and flexible work arrangements</w:t>
      </w:r>
    </w:p>
    <w:p w14:paraId="375A412A" w14:textId="3E0F9B59" w:rsidR="00414A32" w:rsidRDefault="00741AF3" w:rsidP="00793738">
      <w:pPr>
        <w:pStyle w:val="ListBullet"/>
      </w:pPr>
      <w:r>
        <w:t>Be you - with an organisation committed to diversity and inclusion.</w:t>
      </w:r>
    </w:p>
    <w:p w14:paraId="18667B52" w14:textId="0A017B62" w:rsidR="004669C8" w:rsidRDefault="004669C8" w:rsidP="004669C8">
      <w:pPr>
        <w:pStyle w:val="MoreInformation"/>
      </w:pPr>
      <w:r w:rsidRPr="00644F02">
        <w:t>For more information</w:t>
      </w:r>
      <w:r>
        <w:br/>
      </w:r>
      <w:hyperlink r:id="rId128" w:history="1">
        <w:r w:rsidR="00AA42B5" w:rsidRPr="00AA42B5">
          <w:rPr>
            <w:rStyle w:val="Hyperlink"/>
          </w:rPr>
          <w:t>https://www.tmr.qld.gov.au/About-us/Employment-and-careers/TMR-an-experience-like-no-other</w:t>
        </w:r>
      </w:hyperlink>
    </w:p>
    <w:p w14:paraId="10657A3D" w14:textId="77777777" w:rsidR="00AA42B5" w:rsidRPr="00E46578" w:rsidRDefault="00AA42B5" w:rsidP="00AA42B5">
      <w:pPr>
        <w:pStyle w:val="Heading3"/>
      </w:pPr>
      <w:r>
        <w:t>Case Study</w:t>
      </w:r>
    </w:p>
    <w:p w14:paraId="200F2D3C" w14:textId="566200F7" w:rsidR="00AA42B5" w:rsidRDefault="00AA42B5" w:rsidP="00AA42B5">
      <w:pPr>
        <w:rPr>
          <w:iCs/>
          <w:color w:val="auto"/>
          <w:sz w:val="26"/>
        </w:rPr>
      </w:pPr>
      <w:r>
        <w:rPr>
          <w:iCs/>
          <w:color w:val="auto"/>
          <w:sz w:val="26"/>
        </w:rPr>
        <w:t xml:space="preserve">TMR Graduate Development Program realignment </w:t>
      </w:r>
    </w:p>
    <w:p w14:paraId="36385A51" w14:textId="0D34D690" w:rsidR="008F0ED4" w:rsidRDefault="008F0ED4" w:rsidP="008F0ED4">
      <w:r>
        <w:t>In October 2021, a team came together to realign the TMR Graduate Development Program, acting on feedback from stakeholders to streamline the process and responding to changes in conditions in the radically different post- COVID-19 employment market.</w:t>
      </w:r>
    </w:p>
    <w:p w14:paraId="2AEDB5DC" w14:textId="77777777" w:rsidR="008F0ED4" w:rsidRDefault="008F0ED4" w:rsidP="008F0ED4">
      <w:r>
        <w:t>In a TMR first, 71 graduate roles were advertised to ensure TMR can achieve its vision to create a single integrated transport system accessible to everyone.</w:t>
      </w:r>
    </w:p>
    <w:p w14:paraId="7C6689FE" w14:textId="77777777" w:rsidR="008F0ED4" w:rsidRDefault="008F0ED4" w:rsidP="008F0ED4">
      <w:r>
        <w:lastRenderedPageBreak/>
        <w:t>To respond to challenges such as talent shortages, increased competition in the graduate marketplace and difficulty in attracting regional candidates, TMR was able to:</w:t>
      </w:r>
    </w:p>
    <w:p w14:paraId="04C8C3A6" w14:textId="1949750C" w:rsidR="008F0ED4" w:rsidRDefault="008F0ED4" w:rsidP="008F0ED4">
      <w:pPr>
        <w:pStyle w:val="ListBullet"/>
      </w:pPr>
      <w:r>
        <w:t>offer permanent roles to new graduates to ensure quality talent stays within TMR</w:t>
      </w:r>
    </w:p>
    <w:p w14:paraId="250659D9" w14:textId="75EF3C6E" w:rsidR="008F0ED4" w:rsidRDefault="008F0ED4" w:rsidP="008F0ED4">
      <w:pPr>
        <w:pStyle w:val="ListBullet"/>
      </w:pPr>
      <w:r>
        <w:t>accelerate recruitment processes to enter the graduate market six months earlier than previously to reach graduates at the peak recruitment period</w:t>
      </w:r>
    </w:p>
    <w:p w14:paraId="7FB1A98D" w14:textId="5116E7CB" w:rsidR="008F0ED4" w:rsidRDefault="008F0ED4" w:rsidP="008F0ED4">
      <w:pPr>
        <w:pStyle w:val="ListBullet"/>
      </w:pPr>
      <w:r>
        <w:t>streamline recruitment and selection processes based on best practice and stakeholder feedback</w:t>
      </w:r>
    </w:p>
    <w:p w14:paraId="5DC2909D" w14:textId="7E7F3AC7" w:rsidR="008F0ED4" w:rsidRDefault="008F0ED4" w:rsidP="008F0ED4">
      <w:pPr>
        <w:pStyle w:val="ListBullet"/>
      </w:pPr>
      <w:r>
        <w:t>boost recruitment campaigns using graduate ambassadors and best practice marketing.</w:t>
      </w:r>
    </w:p>
    <w:p w14:paraId="074E0AE3" w14:textId="360A1737" w:rsidR="00414A32" w:rsidRDefault="008F0ED4" w:rsidP="008F0ED4">
      <w:r>
        <w:t>These program improvements have ensured that TMR is best placed in the graduate market and can attract and recruit high performing individuals.</w:t>
      </w:r>
    </w:p>
    <w:p w14:paraId="3C296855" w14:textId="77777777" w:rsidR="00BA7B4E" w:rsidRDefault="00BA7B4E" w:rsidP="008F0ED4"/>
    <w:p w14:paraId="3FD63D22" w14:textId="4F74F29B" w:rsidR="006800C7" w:rsidRPr="00800FCA" w:rsidRDefault="00FC6926" w:rsidP="006800C7">
      <w:pPr>
        <w:pStyle w:val="Heading2"/>
      </w:pPr>
      <w:r>
        <w:t xml:space="preserve">Building a Strong Culture </w:t>
      </w:r>
    </w:p>
    <w:p w14:paraId="31EE3971" w14:textId="77777777" w:rsidR="006800C7" w:rsidRPr="00800FCA" w:rsidRDefault="006800C7" w:rsidP="006800C7">
      <w:pPr>
        <w:pStyle w:val="Heading4"/>
      </w:pPr>
      <w:r w:rsidRPr="00800FCA">
        <w:t>Working for Queensland survey</w:t>
      </w:r>
      <w:r w:rsidRPr="007C300B">
        <w:t xml:space="preserve"> </w:t>
      </w:r>
    </w:p>
    <w:p w14:paraId="33AA5FB2" w14:textId="77777777" w:rsidR="00705646" w:rsidRDefault="00705646" w:rsidP="00705646">
      <w:r>
        <w:t>The Working for Queensland (WfQ) survey provides an opportunity for TMR to help shape the future of the Queensland Public Service, while improving employees’ work experience.</w:t>
      </w:r>
    </w:p>
    <w:p w14:paraId="1097FEEC" w14:textId="77777777" w:rsidR="00705646" w:rsidRDefault="00705646" w:rsidP="00705646">
      <w:r>
        <w:t>Survey results inform focus on enhancing employee engagement and building a positive workplace culture, strategy development and resource investment.</w:t>
      </w:r>
    </w:p>
    <w:p w14:paraId="5C74F53B" w14:textId="77777777" w:rsidR="00705646" w:rsidRDefault="00705646" w:rsidP="00705646">
      <w:r>
        <w:t>Despite ongoing challenges during 2021, the WfQ survey results showed improvements across key areas including:</w:t>
      </w:r>
    </w:p>
    <w:p w14:paraId="0DF0B499" w14:textId="705F048F" w:rsidR="00705646" w:rsidRDefault="00705646" w:rsidP="00705646">
      <w:pPr>
        <w:pStyle w:val="ListBullet"/>
      </w:pPr>
      <w:r>
        <w:t>learning and development</w:t>
      </w:r>
    </w:p>
    <w:p w14:paraId="664D1517" w14:textId="6D127F89" w:rsidR="00705646" w:rsidRDefault="00705646" w:rsidP="00705646">
      <w:pPr>
        <w:pStyle w:val="ListBullet"/>
      </w:pPr>
      <w:r>
        <w:t>performance and development</w:t>
      </w:r>
    </w:p>
    <w:p w14:paraId="362F0672" w14:textId="7849371A" w:rsidR="00705646" w:rsidRDefault="00705646" w:rsidP="00705646">
      <w:pPr>
        <w:pStyle w:val="ListBullet"/>
      </w:pPr>
      <w:r>
        <w:t>organisational leadership.</w:t>
      </w:r>
    </w:p>
    <w:p w14:paraId="45171D41" w14:textId="77777777" w:rsidR="00705646" w:rsidRDefault="00705646" w:rsidP="00705646">
      <w:r>
        <w:t>Ongoing communications by ELT regarding the COVID-19 response and an increased focus on employee wellbeing have been identified by employees as key drivers in these improved results.</w:t>
      </w:r>
    </w:p>
    <w:p w14:paraId="3E1281E9" w14:textId="77777777" w:rsidR="00705646" w:rsidRDefault="00705646" w:rsidP="00705646">
      <w:r>
        <w:t>During 2021–2022, TMR has continued with the four focus areas including:</w:t>
      </w:r>
    </w:p>
    <w:p w14:paraId="670E95DE" w14:textId="0B9D026C" w:rsidR="00705646" w:rsidRDefault="00705646" w:rsidP="00705646">
      <w:pPr>
        <w:pStyle w:val="ListBullet"/>
      </w:pPr>
      <w:r>
        <w:t>workload and work/life balance</w:t>
      </w:r>
    </w:p>
    <w:p w14:paraId="359857C4" w14:textId="448588B4" w:rsidR="00705646" w:rsidRDefault="00705646" w:rsidP="00705646">
      <w:pPr>
        <w:pStyle w:val="ListBullet"/>
      </w:pPr>
      <w:r>
        <w:t>wellbeing</w:t>
      </w:r>
    </w:p>
    <w:p w14:paraId="306BC62F" w14:textId="3C869373" w:rsidR="00705646" w:rsidRDefault="00705646" w:rsidP="00705646">
      <w:pPr>
        <w:pStyle w:val="ListBullet"/>
      </w:pPr>
      <w:r>
        <w:t>learning and development</w:t>
      </w:r>
    </w:p>
    <w:p w14:paraId="319EB398" w14:textId="7A12C30D" w:rsidR="00705646" w:rsidRDefault="00705646" w:rsidP="00705646">
      <w:pPr>
        <w:pStyle w:val="ListBullet"/>
      </w:pPr>
      <w:r>
        <w:t>performance and development.</w:t>
      </w:r>
    </w:p>
    <w:p w14:paraId="6625F068" w14:textId="6CDC024D" w:rsidR="00FC6926" w:rsidRDefault="00705646" w:rsidP="00705646">
      <w:r>
        <w:t>Survey results continued to assist TMR in identifying local opportunities to improve employee engagement.</w:t>
      </w:r>
    </w:p>
    <w:p w14:paraId="658167A3" w14:textId="777CE2D1" w:rsidR="00705646" w:rsidRPr="00800FCA" w:rsidRDefault="00705646" w:rsidP="00705646">
      <w:pPr>
        <w:pStyle w:val="Heading4"/>
      </w:pPr>
      <w:r>
        <w:lastRenderedPageBreak/>
        <w:t>Values and culture network</w:t>
      </w:r>
    </w:p>
    <w:p w14:paraId="2E8C9B3A" w14:textId="77777777" w:rsidR="0075625A" w:rsidRDefault="0075625A" w:rsidP="0075625A">
      <w:r>
        <w:t>TMR’s Values and Culture Network, with over 30 permanent volunteer members, actively promotes the Queensland public sector values and fosters a OneTMR culture. The network meets quarterly to discuss areas of focus which, during 2021–22 included:</w:t>
      </w:r>
    </w:p>
    <w:p w14:paraId="632BCB39" w14:textId="5C648643" w:rsidR="0075625A" w:rsidRDefault="0075625A" w:rsidP="0075625A">
      <w:pPr>
        <w:pStyle w:val="ListBullet"/>
      </w:pPr>
      <w:r>
        <w:t>continuing to build relationships in regional and remote areas</w:t>
      </w:r>
    </w:p>
    <w:p w14:paraId="22202AAB" w14:textId="18BDCAD8" w:rsidR="0075625A" w:rsidRDefault="0075625A" w:rsidP="0075625A">
      <w:pPr>
        <w:pStyle w:val="ListBullet"/>
      </w:pPr>
      <w:r>
        <w:t>championing values and culture across key department initiatives, such as People 4 People Week, R U OK Day, Fly the Flag Day for Mates in Construction and the 10,000 Step Challenge</w:t>
      </w:r>
    </w:p>
    <w:p w14:paraId="37236D75" w14:textId="6F32BA71" w:rsidR="00705646" w:rsidRDefault="0075625A" w:rsidP="0075625A">
      <w:pPr>
        <w:pStyle w:val="ListBullet"/>
      </w:pPr>
      <w:r>
        <w:t>hosting a WfQ focus group. The event received positive feedback including 100 per cent of respondents reporting initiatives having an impact, particularly positive performance management information sessions and the launch of the Learning Strategy 2021–2024. Nearly 100 per cent of respondents indicated the WfQ highlights reflected their local experience.</w:t>
      </w:r>
    </w:p>
    <w:p w14:paraId="761FDE1A" w14:textId="77777777" w:rsidR="006800C7" w:rsidRPr="00800FCA" w:rsidRDefault="006800C7" w:rsidP="006800C7">
      <w:pPr>
        <w:pStyle w:val="Heading4"/>
      </w:pPr>
      <w:r w:rsidRPr="00800FCA">
        <w:t>CUBIE Awards 2020</w:t>
      </w:r>
      <w:r w:rsidRPr="007C300B">
        <w:t xml:space="preserve"> </w:t>
      </w:r>
    </w:p>
    <w:p w14:paraId="6621478F" w14:textId="77777777" w:rsidR="00FD3545" w:rsidRDefault="00FD3545" w:rsidP="00FD3545">
      <w:r>
        <w:t>In November 2021, the annual CUBIE Awards were held for the eighth year. The awards are aligned to the Queensland Public Sector values and candidates are nominated by their peers and managers based on their commitment to these values.</w:t>
      </w:r>
    </w:p>
    <w:p w14:paraId="25C324EC" w14:textId="77777777" w:rsidR="00FD3545" w:rsidRDefault="00FD3545" w:rsidP="00FD3545">
      <w:r>
        <w:t>Winners are awarded in eight categories including:</w:t>
      </w:r>
    </w:p>
    <w:p w14:paraId="4A6C41C2" w14:textId="1AE1DF9B" w:rsidR="00FD3545" w:rsidRDefault="00FD3545" w:rsidP="00FD3545">
      <w:pPr>
        <w:pStyle w:val="ListBullet"/>
      </w:pPr>
      <w:r>
        <w:t>customers first</w:t>
      </w:r>
    </w:p>
    <w:p w14:paraId="36238904" w14:textId="0A4FE179" w:rsidR="00FD3545" w:rsidRDefault="00FD3545" w:rsidP="00FD3545">
      <w:pPr>
        <w:pStyle w:val="ListBullet"/>
      </w:pPr>
      <w:r>
        <w:t>unleash potential</w:t>
      </w:r>
    </w:p>
    <w:p w14:paraId="0C4C3A9E" w14:textId="77A7164E" w:rsidR="00FD3545" w:rsidRDefault="00FD3545" w:rsidP="00FD3545">
      <w:pPr>
        <w:pStyle w:val="ListBullet"/>
      </w:pPr>
      <w:r>
        <w:t>be courageous</w:t>
      </w:r>
    </w:p>
    <w:p w14:paraId="637182E8" w14:textId="55B5E9B9" w:rsidR="00FD3545" w:rsidRDefault="00FD3545" w:rsidP="00FD3545">
      <w:pPr>
        <w:pStyle w:val="ListBullet"/>
      </w:pPr>
      <w:r>
        <w:t>ideas into action</w:t>
      </w:r>
    </w:p>
    <w:p w14:paraId="14B7F160" w14:textId="6EE1513E" w:rsidR="00FD3545" w:rsidRDefault="00FD3545" w:rsidP="00FD3545">
      <w:pPr>
        <w:pStyle w:val="ListBullet"/>
      </w:pPr>
      <w:r>
        <w:t>empower people</w:t>
      </w:r>
    </w:p>
    <w:p w14:paraId="6FB3A359" w14:textId="18074B7D" w:rsidR="00FD3545" w:rsidRDefault="00FD3545" w:rsidP="00FD3545">
      <w:pPr>
        <w:pStyle w:val="ListBullet"/>
      </w:pPr>
      <w:r>
        <w:t>OneTMR Individual</w:t>
      </w:r>
    </w:p>
    <w:p w14:paraId="598E855E" w14:textId="5879276F" w:rsidR="00FD3545" w:rsidRDefault="00FD3545" w:rsidP="00FD3545">
      <w:pPr>
        <w:pStyle w:val="ListBullet"/>
      </w:pPr>
      <w:r>
        <w:t>OneTMR Team</w:t>
      </w:r>
    </w:p>
    <w:p w14:paraId="4B9F40B0" w14:textId="572D0727" w:rsidR="00FD3545" w:rsidRDefault="00FD3545" w:rsidP="00FD3545">
      <w:pPr>
        <w:pStyle w:val="ListBullet"/>
      </w:pPr>
      <w:r>
        <w:t>Director-General’s all-rounder.</w:t>
      </w:r>
    </w:p>
    <w:p w14:paraId="37817C1A" w14:textId="77777777" w:rsidR="00FD3545" w:rsidRDefault="00FD3545" w:rsidP="00FD3545">
      <w:r>
        <w:t>A total of 1415 submissions were received, with nominations shortlisted by TMR’s 17 branches before progressing to the Values and Culture Network panel and then to the final judging panel convened by the Director-General. The 2021 CUBIE awards ceremony was held in Brisbane and livestreamed to employees across Queensland.</w:t>
      </w:r>
    </w:p>
    <w:p w14:paraId="1D1D93FC" w14:textId="1A64E7BC" w:rsidR="0075625A" w:rsidRDefault="00FD3545" w:rsidP="00FD3545">
      <w:r>
        <w:t>People for People (P4P) Week is an annual event in TMR, where teams come together to recognise local CUBIE winners. 2021–22 celebrated 20 years since the first ‘People for People’ celebration occurred at the former Department of Transport.</w:t>
      </w:r>
    </w:p>
    <w:p w14:paraId="7806ED99" w14:textId="4BC9AADC" w:rsidR="006800C7" w:rsidRPr="004F2CD9" w:rsidRDefault="006800C7" w:rsidP="006800C7">
      <w:r>
        <w:rPr>
          <w:rStyle w:val="Strong"/>
        </w:rPr>
        <w:t xml:space="preserve">Table 7: Winners for the </w:t>
      </w:r>
      <w:r w:rsidR="00FA121D">
        <w:rPr>
          <w:rStyle w:val="Strong"/>
        </w:rPr>
        <w:t>2021</w:t>
      </w:r>
      <w:r>
        <w:rPr>
          <w:rStyle w:val="Strong"/>
        </w:rPr>
        <w:t xml:space="preserve"> C</w:t>
      </w:r>
      <w:r w:rsidR="000C4309">
        <w:rPr>
          <w:rStyle w:val="Strong"/>
        </w:rPr>
        <w:t>UBIE</w:t>
      </w:r>
      <w:r>
        <w:rPr>
          <w:rStyle w:val="Strong"/>
        </w:rPr>
        <w:t xml:space="preserve"> awards </w:t>
      </w:r>
      <w:r>
        <w:rPr>
          <w:rStyle w:val="Strong"/>
        </w:rPr>
        <w:br/>
      </w:r>
      <w:r>
        <w:rPr>
          <w:rStyle w:val="Strong"/>
        </w:rPr>
        <w:br/>
      </w:r>
    </w:p>
    <w:tbl>
      <w:tblPr>
        <w:tblStyle w:val="Style1"/>
        <w:tblW w:w="0" w:type="auto"/>
        <w:tblLook w:val="04A0" w:firstRow="1" w:lastRow="0" w:firstColumn="1" w:lastColumn="0" w:noHBand="0" w:noVBand="1"/>
      </w:tblPr>
      <w:tblGrid>
        <w:gridCol w:w="3020"/>
        <w:gridCol w:w="3021"/>
        <w:gridCol w:w="3021"/>
      </w:tblGrid>
      <w:tr w:rsidR="006800C7" w14:paraId="2F30B08F" w14:textId="77777777" w:rsidTr="00F31956">
        <w:trPr>
          <w:cnfStyle w:val="100000000000" w:firstRow="1" w:lastRow="0" w:firstColumn="0" w:lastColumn="0" w:oddVBand="0" w:evenVBand="0" w:oddHBand="0" w:evenHBand="0" w:firstRowFirstColumn="0" w:firstRowLastColumn="0" w:lastRowFirstColumn="0" w:lastRowLastColumn="0"/>
        </w:trPr>
        <w:tc>
          <w:tcPr>
            <w:tcW w:w="3020" w:type="dxa"/>
          </w:tcPr>
          <w:p w14:paraId="3CD5EF8F" w14:textId="77777777" w:rsidR="006800C7" w:rsidRPr="00EC3D8E" w:rsidRDefault="006800C7" w:rsidP="00F31956">
            <w:pPr>
              <w:pStyle w:val="BodyText"/>
            </w:pPr>
            <w:r>
              <w:t>Category</w:t>
            </w:r>
          </w:p>
        </w:tc>
        <w:tc>
          <w:tcPr>
            <w:tcW w:w="3021" w:type="dxa"/>
          </w:tcPr>
          <w:p w14:paraId="765406DB" w14:textId="77777777" w:rsidR="006800C7" w:rsidRPr="00EC3D8E" w:rsidRDefault="006800C7" w:rsidP="00F31956">
            <w:pPr>
              <w:pStyle w:val="BodyText"/>
            </w:pPr>
            <w:r>
              <w:t>Winner</w:t>
            </w:r>
          </w:p>
        </w:tc>
        <w:tc>
          <w:tcPr>
            <w:tcW w:w="3021" w:type="dxa"/>
          </w:tcPr>
          <w:p w14:paraId="1097EB75" w14:textId="77777777" w:rsidR="006800C7" w:rsidRPr="00EC3D8E" w:rsidRDefault="006800C7" w:rsidP="00F31956">
            <w:pPr>
              <w:pStyle w:val="BodyText"/>
            </w:pPr>
            <w:r>
              <w:t>Highly Commended</w:t>
            </w:r>
          </w:p>
        </w:tc>
      </w:tr>
      <w:tr w:rsidR="006800C7" w14:paraId="0F32FCC3" w14:textId="77777777" w:rsidTr="00F31956">
        <w:tc>
          <w:tcPr>
            <w:tcW w:w="3020" w:type="dxa"/>
          </w:tcPr>
          <w:p w14:paraId="79F23B9B" w14:textId="77777777" w:rsidR="006800C7" w:rsidRPr="00EC3D8E" w:rsidRDefault="006800C7" w:rsidP="00F31956">
            <w:pPr>
              <w:pStyle w:val="BodyText"/>
            </w:pPr>
            <w:r>
              <w:t xml:space="preserve">Customer First </w:t>
            </w:r>
          </w:p>
        </w:tc>
        <w:tc>
          <w:tcPr>
            <w:tcW w:w="3021" w:type="dxa"/>
          </w:tcPr>
          <w:p w14:paraId="5CE5AB75" w14:textId="415DA624" w:rsidR="006800C7" w:rsidRPr="00EC3D8E" w:rsidRDefault="006C2A92" w:rsidP="00F31956">
            <w:pPr>
              <w:pStyle w:val="BodyText"/>
            </w:pPr>
            <w:r w:rsidRPr="006C2A92">
              <w:t>Robyn Cahill, Translink, Passenger Transport Integration</w:t>
            </w:r>
          </w:p>
        </w:tc>
        <w:tc>
          <w:tcPr>
            <w:tcW w:w="3021" w:type="dxa"/>
          </w:tcPr>
          <w:p w14:paraId="71EF94F9" w14:textId="2D7FCEC7" w:rsidR="006800C7" w:rsidRPr="00EC3D8E" w:rsidRDefault="00C46255" w:rsidP="00F31956">
            <w:pPr>
              <w:pStyle w:val="BodyText"/>
            </w:pPr>
            <w:r w:rsidRPr="00C46255">
              <w:t>Annabel Kolkka, Infrastructure Management and Delivery, Program Delivery and Operations</w:t>
            </w:r>
          </w:p>
        </w:tc>
      </w:tr>
      <w:tr w:rsidR="006800C7" w14:paraId="158BCCF7" w14:textId="77777777" w:rsidTr="00F31956">
        <w:tc>
          <w:tcPr>
            <w:tcW w:w="3020" w:type="dxa"/>
          </w:tcPr>
          <w:p w14:paraId="32177253" w14:textId="77777777" w:rsidR="006800C7" w:rsidRPr="00EC3D8E" w:rsidRDefault="006800C7" w:rsidP="00F31956">
            <w:pPr>
              <w:pStyle w:val="BodyText"/>
            </w:pPr>
            <w:r>
              <w:lastRenderedPageBreak/>
              <w:t>Unleash Potential</w:t>
            </w:r>
          </w:p>
        </w:tc>
        <w:tc>
          <w:tcPr>
            <w:tcW w:w="3021" w:type="dxa"/>
          </w:tcPr>
          <w:p w14:paraId="48899772" w14:textId="2144DCFD" w:rsidR="006800C7" w:rsidRPr="00EC3D8E" w:rsidRDefault="005A66EC" w:rsidP="00F31956">
            <w:pPr>
              <w:pStyle w:val="BodyText"/>
            </w:pPr>
            <w:r w:rsidRPr="005A66EC">
              <w:t>Jennifer Mashiter, Customer Services, Safety and Regulation, Land Transport Safety and Regulation</w:t>
            </w:r>
          </w:p>
        </w:tc>
        <w:tc>
          <w:tcPr>
            <w:tcW w:w="3021" w:type="dxa"/>
          </w:tcPr>
          <w:p w14:paraId="6183BA37" w14:textId="303DF112" w:rsidR="006800C7" w:rsidRDefault="005A66EC" w:rsidP="00F31956">
            <w:pPr>
              <w:pStyle w:val="BodyText"/>
            </w:pPr>
            <w:r w:rsidRPr="005A66EC">
              <w:t>Matthew Layne, Customer Services, Safety and Regulation, Customer Services Branch</w:t>
            </w:r>
          </w:p>
        </w:tc>
      </w:tr>
      <w:tr w:rsidR="006800C7" w14:paraId="6C5CC0AD" w14:textId="77777777" w:rsidTr="00F31956">
        <w:tc>
          <w:tcPr>
            <w:tcW w:w="3020" w:type="dxa"/>
          </w:tcPr>
          <w:p w14:paraId="4272F78A" w14:textId="77777777" w:rsidR="006800C7" w:rsidRPr="00EC3D8E" w:rsidRDefault="006800C7" w:rsidP="00F31956">
            <w:pPr>
              <w:pStyle w:val="BodyText"/>
            </w:pPr>
            <w:r>
              <w:t xml:space="preserve">Be courageous </w:t>
            </w:r>
          </w:p>
        </w:tc>
        <w:tc>
          <w:tcPr>
            <w:tcW w:w="3021" w:type="dxa"/>
          </w:tcPr>
          <w:p w14:paraId="4F8F4631" w14:textId="303FB686" w:rsidR="006800C7" w:rsidRPr="00EC3D8E" w:rsidRDefault="00D97BAF" w:rsidP="00F31956">
            <w:pPr>
              <w:pStyle w:val="BodyText"/>
            </w:pPr>
            <w:r w:rsidRPr="00D97BAF">
              <w:t>Tess Raby, Corporate, Human Resources Branch Davina Jones, Translink, Office of the Deputy Director-General</w:t>
            </w:r>
          </w:p>
        </w:tc>
        <w:tc>
          <w:tcPr>
            <w:tcW w:w="3021" w:type="dxa"/>
          </w:tcPr>
          <w:p w14:paraId="4684B691" w14:textId="5356146F" w:rsidR="006800C7" w:rsidRPr="00EC3D8E" w:rsidRDefault="006800C7" w:rsidP="00F31956">
            <w:pPr>
              <w:pStyle w:val="BodyText"/>
            </w:pPr>
          </w:p>
        </w:tc>
      </w:tr>
      <w:tr w:rsidR="006800C7" w14:paraId="295A9319" w14:textId="77777777" w:rsidTr="00F31956">
        <w:tc>
          <w:tcPr>
            <w:tcW w:w="3020" w:type="dxa"/>
          </w:tcPr>
          <w:p w14:paraId="3D588B2F" w14:textId="77777777" w:rsidR="006800C7" w:rsidRPr="00EC3D8E" w:rsidRDefault="006800C7" w:rsidP="00F31956">
            <w:pPr>
              <w:pStyle w:val="BodyText"/>
            </w:pPr>
            <w:r>
              <w:t>Ideas into Action</w:t>
            </w:r>
          </w:p>
        </w:tc>
        <w:tc>
          <w:tcPr>
            <w:tcW w:w="3021" w:type="dxa"/>
          </w:tcPr>
          <w:p w14:paraId="08E057EE" w14:textId="7220CA39" w:rsidR="006800C7" w:rsidRPr="00EC3D8E" w:rsidRDefault="00D97BAF" w:rsidP="00F31956">
            <w:pPr>
              <w:pStyle w:val="BodyText"/>
            </w:pPr>
            <w:r w:rsidRPr="00D97BAF">
              <w:t>Emma Davie, Customer Services, Safety and Regulation, Customer Services Branch</w:t>
            </w:r>
          </w:p>
        </w:tc>
        <w:tc>
          <w:tcPr>
            <w:tcW w:w="3021" w:type="dxa"/>
          </w:tcPr>
          <w:p w14:paraId="2199EE60" w14:textId="1A37D4BE" w:rsidR="006800C7" w:rsidRPr="00EC3D8E" w:rsidRDefault="006A7836" w:rsidP="00F31956">
            <w:pPr>
              <w:pStyle w:val="BodyText"/>
            </w:pPr>
            <w:r w:rsidRPr="006A7836">
              <w:t>Nerissa Bartlett, Policy, Planning and Investment, Transport Strategy and Planning</w:t>
            </w:r>
          </w:p>
        </w:tc>
      </w:tr>
      <w:tr w:rsidR="006800C7" w14:paraId="4E84D162" w14:textId="77777777" w:rsidTr="00F31956">
        <w:tc>
          <w:tcPr>
            <w:tcW w:w="3020" w:type="dxa"/>
          </w:tcPr>
          <w:p w14:paraId="12C9DEBB" w14:textId="77777777" w:rsidR="006800C7" w:rsidRPr="00EC3D8E" w:rsidRDefault="006800C7" w:rsidP="00F31956">
            <w:pPr>
              <w:pStyle w:val="BodyText"/>
            </w:pPr>
            <w:r>
              <w:t>Empower people</w:t>
            </w:r>
          </w:p>
        </w:tc>
        <w:tc>
          <w:tcPr>
            <w:tcW w:w="3021" w:type="dxa"/>
          </w:tcPr>
          <w:p w14:paraId="65726BB2" w14:textId="77F92D06" w:rsidR="006800C7" w:rsidRPr="00EC3D8E" w:rsidRDefault="006A7836" w:rsidP="00F31956">
            <w:pPr>
              <w:pStyle w:val="BodyText"/>
            </w:pPr>
            <w:r w:rsidRPr="006A7836">
              <w:t>Craig Reimers, Translink, Passenger Transport Integration</w:t>
            </w:r>
          </w:p>
        </w:tc>
        <w:tc>
          <w:tcPr>
            <w:tcW w:w="3021" w:type="dxa"/>
          </w:tcPr>
          <w:p w14:paraId="719A7B9B" w14:textId="23FEE8E3" w:rsidR="006800C7" w:rsidRDefault="008770A6" w:rsidP="00F31956">
            <w:pPr>
              <w:pStyle w:val="BodyText"/>
            </w:pPr>
            <w:r w:rsidRPr="008770A6">
              <w:t>Michael Dove, Corporate, Finance and Procurement Siobhan McCarville, Policy, Planning and Investment, Transport Strategy and Planning</w:t>
            </w:r>
          </w:p>
        </w:tc>
      </w:tr>
      <w:tr w:rsidR="006800C7" w14:paraId="1BA81309" w14:textId="77777777" w:rsidTr="00F31956">
        <w:tc>
          <w:tcPr>
            <w:tcW w:w="3020" w:type="dxa"/>
          </w:tcPr>
          <w:p w14:paraId="586181FA" w14:textId="77777777" w:rsidR="006800C7" w:rsidRPr="00EC3D8E" w:rsidRDefault="006800C7" w:rsidP="00F31956">
            <w:pPr>
              <w:pStyle w:val="BodyText"/>
            </w:pPr>
            <w:r>
              <w:t>OneTMR Individual</w:t>
            </w:r>
          </w:p>
        </w:tc>
        <w:tc>
          <w:tcPr>
            <w:tcW w:w="3021" w:type="dxa"/>
          </w:tcPr>
          <w:p w14:paraId="2FC44ACF" w14:textId="4D6340A7" w:rsidR="006800C7" w:rsidRPr="00EC3D8E" w:rsidRDefault="008770A6" w:rsidP="00F31956">
            <w:pPr>
              <w:pStyle w:val="BodyText"/>
            </w:pPr>
            <w:r w:rsidRPr="008770A6">
              <w:t>Jo Dolan, Infrastructure Management and Delivery, RoadTek</w:t>
            </w:r>
          </w:p>
        </w:tc>
        <w:tc>
          <w:tcPr>
            <w:tcW w:w="3021" w:type="dxa"/>
          </w:tcPr>
          <w:p w14:paraId="1876ABC3" w14:textId="52DBF270" w:rsidR="006800C7" w:rsidRPr="00EC3D8E" w:rsidRDefault="00D20814" w:rsidP="00F31956">
            <w:pPr>
              <w:pStyle w:val="BodyText"/>
            </w:pPr>
            <w:r w:rsidRPr="00D20814">
              <w:t>Mathew Yong, Policy, Planning and Investment, Transport Policy Branch Anne Moffat, Office of the Director-General</w:t>
            </w:r>
          </w:p>
        </w:tc>
      </w:tr>
      <w:tr w:rsidR="006800C7" w14:paraId="2669C9D6" w14:textId="77777777" w:rsidTr="00F31956">
        <w:tc>
          <w:tcPr>
            <w:tcW w:w="3020" w:type="dxa"/>
          </w:tcPr>
          <w:p w14:paraId="19EF06C8" w14:textId="77777777" w:rsidR="006800C7" w:rsidRPr="00EC3D8E" w:rsidRDefault="006800C7" w:rsidP="00F31956">
            <w:pPr>
              <w:pStyle w:val="BodyText"/>
            </w:pPr>
            <w:r>
              <w:t>O</w:t>
            </w:r>
            <w:r w:rsidRPr="00EC3D8E">
              <w:t xml:space="preserve">neTMR Team </w:t>
            </w:r>
          </w:p>
        </w:tc>
        <w:tc>
          <w:tcPr>
            <w:tcW w:w="3021" w:type="dxa"/>
          </w:tcPr>
          <w:p w14:paraId="01E3D737" w14:textId="24DE972F" w:rsidR="006800C7" w:rsidRPr="00EC3D8E" w:rsidRDefault="00D20814" w:rsidP="00F31956">
            <w:pPr>
              <w:pStyle w:val="BodyText"/>
            </w:pPr>
            <w:r w:rsidRPr="00D20814">
              <w:t>Border Closures Team</w:t>
            </w:r>
          </w:p>
        </w:tc>
        <w:tc>
          <w:tcPr>
            <w:tcW w:w="3021" w:type="dxa"/>
          </w:tcPr>
          <w:p w14:paraId="1CC40112" w14:textId="1B380F1C" w:rsidR="006800C7" w:rsidRDefault="00D20814" w:rsidP="00F31956">
            <w:pPr>
              <w:pStyle w:val="BodyText"/>
            </w:pPr>
            <w:r w:rsidRPr="00D20814">
              <w:t>Responsible Boat Ownership Team Strategic Futures Community of Practice</w:t>
            </w:r>
          </w:p>
        </w:tc>
      </w:tr>
      <w:tr w:rsidR="006800C7" w14:paraId="1C53DDCB" w14:textId="77777777" w:rsidTr="00F31956">
        <w:tc>
          <w:tcPr>
            <w:tcW w:w="3020" w:type="dxa"/>
          </w:tcPr>
          <w:p w14:paraId="4370ED5C" w14:textId="2203C163" w:rsidR="006800C7" w:rsidRPr="00EC3D8E" w:rsidRDefault="006800C7" w:rsidP="00F31956">
            <w:pPr>
              <w:pStyle w:val="BodyText"/>
            </w:pPr>
            <w:r>
              <w:t>D</w:t>
            </w:r>
            <w:r w:rsidR="00177F7D">
              <w:t>irector-General's</w:t>
            </w:r>
            <w:r>
              <w:t xml:space="preserve"> All Rounder</w:t>
            </w:r>
          </w:p>
        </w:tc>
        <w:tc>
          <w:tcPr>
            <w:tcW w:w="3021" w:type="dxa"/>
          </w:tcPr>
          <w:p w14:paraId="5E4EBB5C" w14:textId="68CFA371" w:rsidR="006800C7" w:rsidRPr="00EC3D8E" w:rsidRDefault="00177F7D" w:rsidP="00F31956">
            <w:pPr>
              <w:pStyle w:val="BodyText"/>
            </w:pPr>
            <w:r w:rsidRPr="00177F7D">
              <w:t>Brydie Bodnar Corporate, Internal Audit</w:t>
            </w:r>
          </w:p>
        </w:tc>
        <w:tc>
          <w:tcPr>
            <w:tcW w:w="3021" w:type="dxa"/>
          </w:tcPr>
          <w:p w14:paraId="0D76A991" w14:textId="77777777" w:rsidR="006800C7" w:rsidRDefault="006800C7" w:rsidP="00F31956">
            <w:pPr>
              <w:pStyle w:val="BodyText"/>
            </w:pPr>
          </w:p>
        </w:tc>
      </w:tr>
    </w:tbl>
    <w:p w14:paraId="5660638A" w14:textId="77777777" w:rsidR="00177F7D" w:rsidRPr="00800FCA" w:rsidRDefault="00177F7D" w:rsidP="00177F7D">
      <w:pPr>
        <w:pStyle w:val="Heading4"/>
      </w:pPr>
      <w:r w:rsidRPr="00800FCA">
        <w:t>Daily Cargo News</w:t>
      </w:r>
    </w:p>
    <w:p w14:paraId="02858CDD" w14:textId="77777777" w:rsidR="00F75A4A" w:rsidRDefault="005407D9" w:rsidP="005407D9">
      <w:r>
        <w:t xml:space="preserve">Captain Jennifer Tumbers was awarded the Maritime Services Award at the Daily Cargo News (DCN) 2021 Australian Shipping and Maritime Industry Awards, held in Sydney in February 2022. </w:t>
      </w:r>
    </w:p>
    <w:p w14:paraId="01163F09" w14:textId="21E03B37" w:rsidR="005407D9" w:rsidRDefault="005407D9" w:rsidP="005407D9">
      <w:r>
        <w:t>Captain Tumbers won the award for exceptional achievements to</w:t>
      </w:r>
      <w:r w:rsidR="00F75A4A">
        <w:t xml:space="preserve"> </w:t>
      </w:r>
      <w:r>
        <w:t>the Australian maritime industry which included:</w:t>
      </w:r>
    </w:p>
    <w:p w14:paraId="4C42CCDA" w14:textId="1D01A7D2" w:rsidR="005407D9" w:rsidRDefault="005407D9" w:rsidP="00F75A4A">
      <w:pPr>
        <w:pStyle w:val="ListBullet"/>
      </w:pPr>
      <w:r>
        <w:t>amalgamated five MSQ regions taking responsibility for all</w:t>
      </w:r>
      <w:r w:rsidR="00F75A4A">
        <w:t xml:space="preserve"> </w:t>
      </w:r>
      <w:r>
        <w:t>navigation aids for recreational and trade shipping</w:t>
      </w:r>
    </w:p>
    <w:p w14:paraId="39B9B7BD" w14:textId="22E6A695" w:rsidR="005407D9" w:rsidRDefault="005407D9" w:rsidP="00F75A4A">
      <w:pPr>
        <w:pStyle w:val="ListBullet"/>
      </w:pPr>
      <w:r>
        <w:t>ensured all Queensland waterways are kept safe and clean</w:t>
      </w:r>
    </w:p>
    <w:p w14:paraId="0C85F6D1" w14:textId="7D2915DC" w:rsidR="005407D9" w:rsidRDefault="005407D9" w:rsidP="00F75A4A">
      <w:pPr>
        <w:pStyle w:val="ListBullet"/>
      </w:pPr>
      <w:r>
        <w:t>established a permanent on-water compliance Maritime</w:t>
      </w:r>
      <w:r w:rsidR="00F75A4A">
        <w:t xml:space="preserve"> </w:t>
      </w:r>
      <w:r>
        <w:t>Enforcement Team in MSQ</w:t>
      </w:r>
    </w:p>
    <w:p w14:paraId="16D6B232" w14:textId="74314F3C" w:rsidR="00177F7D" w:rsidRDefault="005407D9" w:rsidP="00362468">
      <w:pPr>
        <w:pStyle w:val="ListBullet"/>
      </w:pPr>
      <w:r>
        <w:lastRenderedPageBreak/>
        <w:t>maintained an overview of all State Boat Harbours to ensure</w:t>
      </w:r>
      <w:r w:rsidR="00F75A4A">
        <w:t xml:space="preserve"> </w:t>
      </w:r>
      <w:r>
        <w:t>mariners have mooring and marina facilities that provide</w:t>
      </w:r>
      <w:r w:rsidR="00F75A4A">
        <w:t xml:space="preserve"> </w:t>
      </w:r>
      <w:r>
        <w:t>requisite safe havens.</w:t>
      </w:r>
    </w:p>
    <w:p w14:paraId="2F168F22" w14:textId="4EADEFB9" w:rsidR="00F75A4A" w:rsidRPr="00800FCA" w:rsidRDefault="000D6D0D" w:rsidP="00F75A4A">
      <w:pPr>
        <w:pStyle w:val="Heading4"/>
      </w:pPr>
      <w:r>
        <w:t xml:space="preserve">Community recovery awards </w:t>
      </w:r>
    </w:p>
    <w:p w14:paraId="303E2B4E" w14:textId="14FD9D18" w:rsidR="006A04E3" w:rsidRDefault="006A04E3" w:rsidP="006A04E3">
      <w:r>
        <w:t>Each year TMR employees volunteer to become part of a group of public service volunteers working away from their regular roles to assist with disaster recovery, called the Ready Reserves.</w:t>
      </w:r>
    </w:p>
    <w:p w14:paraId="732253DA" w14:textId="63BCD05C" w:rsidR="006A04E3" w:rsidRDefault="006A04E3" w:rsidP="006A04E3">
      <w:r>
        <w:t>Through their participation in community recovery, they make a real difference to supporting vulnerable people and communities of Queensland when its needed most.</w:t>
      </w:r>
    </w:p>
    <w:p w14:paraId="6C6F0374" w14:textId="377671FC" w:rsidR="006A04E3" w:rsidRDefault="006A04E3" w:rsidP="006A04E3">
      <w:r>
        <w:t>The Ready Reserve Reward and Recognition Awards ceremony was presented in Brisbane in December 2021.</w:t>
      </w:r>
    </w:p>
    <w:p w14:paraId="79E4597F" w14:textId="77777777" w:rsidR="006A04E3" w:rsidRDefault="006A04E3" w:rsidP="006A04E3">
      <w:r>
        <w:t>The awards ceremony provided an opportunity to recognise and thank the Ready Reserves for their efforts, promote cross- government collaboration and to highlight Ready Reserve members who have made an exceptional difference in one or more of the following recovery efforts:</w:t>
      </w:r>
    </w:p>
    <w:p w14:paraId="484A4DC1" w14:textId="4DB6B870" w:rsidR="006A04E3" w:rsidRDefault="006A04E3" w:rsidP="006A04E3">
      <w:pPr>
        <w:pStyle w:val="ListBullet"/>
      </w:pPr>
      <w:r>
        <w:t>Southern and Eastern Queensland bushfires in late-2019</w:t>
      </w:r>
    </w:p>
    <w:p w14:paraId="6595BF40" w14:textId="0B879281" w:rsidR="006A04E3" w:rsidRDefault="006A04E3" w:rsidP="006A04E3">
      <w:pPr>
        <w:pStyle w:val="ListBullet"/>
      </w:pPr>
      <w:r>
        <w:t>Camp Hill tragedy in February 2020</w:t>
      </w:r>
    </w:p>
    <w:p w14:paraId="3CD6E7CC" w14:textId="4B9B0915" w:rsidR="006A04E3" w:rsidRDefault="006A04E3" w:rsidP="006A04E3">
      <w:pPr>
        <w:pStyle w:val="ListBullet"/>
      </w:pPr>
      <w:r>
        <w:t>Grosvenor Coal Mine explosion in May 2020</w:t>
      </w:r>
    </w:p>
    <w:p w14:paraId="1B874604" w14:textId="5C6EDB80" w:rsidR="006A04E3" w:rsidRDefault="006A04E3" w:rsidP="006A04E3">
      <w:pPr>
        <w:pStyle w:val="ListBullet"/>
      </w:pPr>
      <w:r>
        <w:t>South East Queensland Hailstorms in October 2020</w:t>
      </w:r>
    </w:p>
    <w:p w14:paraId="2F95D72E" w14:textId="0A37CD28" w:rsidR="006A04E3" w:rsidRDefault="006A04E3" w:rsidP="006A04E3">
      <w:pPr>
        <w:pStyle w:val="ListBullet"/>
      </w:pPr>
      <w:r>
        <w:t>COVID-19 response, including educating and participating in the roll out of the COVID-19 vaccine</w:t>
      </w:r>
    </w:p>
    <w:p w14:paraId="226CBD61" w14:textId="616FC8C7" w:rsidR="006A04E3" w:rsidRDefault="006A04E3" w:rsidP="006A04E3">
      <w:pPr>
        <w:pStyle w:val="ListBullet"/>
      </w:pPr>
      <w:r>
        <w:t>Central, Southern and Western Queensland rainfall and flooding events</w:t>
      </w:r>
    </w:p>
    <w:p w14:paraId="40A9F885" w14:textId="111010CD" w:rsidR="006A04E3" w:rsidRDefault="006A04E3" w:rsidP="006A04E3">
      <w:pPr>
        <w:pStyle w:val="ListBullet"/>
      </w:pPr>
      <w:r>
        <w:t>South East Queensland Rainfall and Flooding event.</w:t>
      </w:r>
    </w:p>
    <w:p w14:paraId="78198F10" w14:textId="1F64D71E" w:rsidR="00F75A4A" w:rsidRDefault="006A04E3" w:rsidP="006A04E3">
      <w:r>
        <w:t>A total of eight TMR employees were nominated this year.</w:t>
      </w:r>
    </w:p>
    <w:p w14:paraId="5DB5E5FA" w14:textId="3BB7B78A" w:rsidR="000D6D0D" w:rsidRPr="006A04E3" w:rsidRDefault="006A04E3" w:rsidP="006800C7">
      <w:pPr>
        <w:rPr>
          <w:rStyle w:val="Strong"/>
        </w:rPr>
      </w:pPr>
      <w:r>
        <w:rPr>
          <w:rStyle w:val="Strong"/>
        </w:rPr>
        <w:t xml:space="preserve">Quiet Achievers Award </w:t>
      </w:r>
    </w:p>
    <w:p w14:paraId="4DD8EFF6" w14:textId="59E7A11A" w:rsidR="00612BB1" w:rsidRDefault="00612BB1" w:rsidP="00612BB1">
      <w:r w:rsidRPr="00612BB1">
        <w:rPr>
          <w:rStyle w:val="Emphasis"/>
        </w:rPr>
        <w:t>Winner</w:t>
      </w:r>
      <w:r>
        <w:t>: David Wone, Bentley Park Customer Services Centre, Customer Services Branch</w:t>
      </w:r>
    </w:p>
    <w:p w14:paraId="75B60931" w14:textId="5C9EB6E8" w:rsidR="00612BB1" w:rsidRDefault="00612BB1" w:rsidP="00612BB1">
      <w:r w:rsidRPr="00612BB1">
        <w:rPr>
          <w:rStyle w:val="Emphasis"/>
        </w:rPr>
        <w:t>Finalist</w:t>
      </w:r>
      <w:r>
        <w:t>: Owen Sadler, Portfolio Management Office, Policy, Planning and Investment</w:t>
      </w:r>
    </w:p>
    <w:p w14:paraId="7B63FFF1" w14:textId="46CE7DC5" w:rsidR="00612BB1" w:rsidRDefault="00612BB1" w:rsidP="00612BB1">
      <w:r w:rsidRPr="00612BB1">
        <w:rPr>
          <w:rStyle w:val="Emphasis"/>
        </w:rPr>
        <w:t>Nominated</w:t>
      </w:r>
      <w:r>
        <w:t>: Veronica Krahe, Darling Downs Program Support, Program Delivery and Operations</w:t>
      </w:r>
    </w:p>
    <w:p w14:paraId="465EB3CA" w14:textId="77777777" w:rsidR="00612BB1" w:rsidRPr="00612BB1" w:rsidRDefault="00612BB1" w:rsidP="00612BB1">
      <w:pPr>
        <w:rPr>
          <w:rStyle w:val="Strong"/>
        </w:rPr>
      </w:pPr>
      <w:r w:rsidRPr="00612BB1">
        <w:rPr>
          <w:rStyle w:val="Strong"/>
        </w:rPr>
        <w:t>Exceptional Services Award</w:t>
      </w:r>
    </w:p>
    <w:p w14:paraId="19F79211" w14:textId="7680A373" w:rsidR="00612BB1" w:rsidRDefault="00612BB1" w:rsidP="00612BB1">
      <w:r w:rsidRPr="00612BB1">
        <w:rPr>
          <w:rStyle w:val="Emphasis"/>
        </w:rPr>
        <w:t>Finalist</w:t>
      </w:r>
      <w:r>
        <w:t>: Chris Oldham, Corridor Management and Protection, Transport Strategy and Planning</w:t>
      </w:r>
    </w:p>
    <w:p w14:paraId="4FC468D5" w14:textId="519633DE" w:rsidR="00612BB1" w:rsidRDefault="00612BB1" w:rsidP="00612BB1">
      <w:r w:rsidRPr="00C20BC8">
        <w:rPr>
          <w:rStyle w:val="Emphasis"/>
        </w:rPr>
        <w:t>Nominated</w:t>
      </w:r>
      <w:r>
        <w:t>: Brett Collard, Service Operations, Information Technology Branch</w:t>
      </w:r>
    </w:p>
    <w:p w14:paraId="3CF69B9B" w14:textId="77777777" w:rsidR="00612BB1" w:rsidRPr="00C20BC8" w:rsidRDefault="00612BB1" w:rsidP="00612BB1">
      <w:pPr>
        <w:rPr>
          <w:rStyle w:val="Strong"/>
        </w:rPr>
      </w:pPr>
      <w:r w:rsidRPr="00C20BC8">
        <w:rPr>
          <w:rStyle w:val="Strong"/>
        </w:rPr>
        <w:t>Team Excellence Award</w:t>
      </w:r>
    </w:p>
    <w:p w14:paraId="634330D9" w14:textId="77FF0625" w:rsidR="00612BB1" w:rsidRDefault="00612BB1" w:rsidP="00612BB1">
      <w:r w:rsidRPr="00C20BC8">
        <w:rPr>
          <w:rStyle w:val="Emphasis"/>
        </w:rPr>
        <w:t>Winner</w:t>
      </w:r>
      <w:r>
        <w:t>: Stephen Brooks, Service Operations, Information Technology Branch (Stephen was part of a multi-agency team for the Woodgate Hub)</w:t>
      </w:r>
    </w:p>
    <w:p w14:paraId="1410A844" w14:textId="51D68101" w:rsidR="00612BB1" w:rsidRDefault="00612BB1" w:rsidP="00612BB1">
      <w:r w:rsidRPr="00C20BC8">
        <w:rPr>
          <w:rStyle w:val="Emphasis"/>
        </w:rPr>
        <w:lastRenderedPageBreak/>
        <w:t>Nominated:</w:t>
      </w:r>
      <w:r>
        <w:t xml:space="preserve"> Catherine Novak, Technical Services, Engineering and Technology Branch and Kim Price, Property Acquisitions and Disposals, Portfolio Investment and Programming Branch.</w:t>
      </w:r>
    </w:p>
    <w:p w14:paraId="5E13FFE2" w14:textId="77777777" w:rsidR="00612BB1" w:rsidRPr="00C20BC8" w:rsidRDefault="00612BB1" w:rsidP="00612BB1">
      <w:pPr>
        <w:rPr>
          <w:rStyle w:val="Strong"/>
        </w:rPr>
      </w:pPr>
      <w:r w:rsidRPr="00C20BC8">
        <w:rPr>
          <w:rStyle w:val="Strong"/>
        </w:rPr>
        <w:t>10 years’ service</w:t>
      </w:r>
    </w:p>
    <w:p w14:paraId="2413E157" w14:textId="404C705F" w:rsidR="006A04E3" w:rsidRDefault="00612BB1" w:rsidP="00612BB1">
      <w:r>
        <w:t>Adam Robertson, Corridor Management and Protection, Transport Strategy and Planning, and Tamarrah Hellings, Smart Ticketing Project, Passenger Transport Strategy and Technology Branch were also recognised for their 10 years of service to the Ready Reserves.</w:t>
      </w:r>
    </w:p>
    <w:p w14:paraId="3F1F4E95" w14:textId="77777777" w:rsidR="00F75A4A" w:rsidRDefault="00F75A4A" w:rsidP="006800C7"/>
    <w:p w14:paraId="3A47F091" w14:textId="77777777" w:rsidR="006800C7" w:rsidRPr="00800FCA" w:rsidRDefault="006800C7" w:rsidP="006800C7">
      <w:pPr>
        <w:pStyle w:val="Heading2"/>
      </w:pPr>
      <w:r>
        <w:t xml:space="preserve">Health and Wellbeing </w:t>
      </w:r>
    </w:p>
    <w:p w14:paraId="74E4C0C4" w14:textId="77777777" w:rsidR="006800C7" w:rsidRDefault="006800C7" w:rsidP="006800C7">
      <w:pPr>
        <w:pStyle w:val="Heading4"/>
      </w:pPr>
      <w:r>
        <w:t xml:space="preserve">Wellness programs </w:t>
      </w:r>
    </w:p>
    <w:p w14:paraId="65D64C7C" w14:textId="2EBADE84" w:rsidR="001C6060" w:rsidRDefault="001C6060" w:rsidP="001C6060">
      <w:r>
        <w:t>TMR has developed a holistic approach to wellbeing that aligns to the Queensland Government Be Healthy, Be Safe, Be Well Frameworks’ five pillars of wellbeing including physical, psychological, social, financial, and work.</w:t>
      </w:r>
    </w:p>
    <w:p w14:paraId="03FD0215" w14:textId="5106435F" w:rsidR="001C6060" w:rsidRDefault="001C6060" w:rsidP="001C6060">
      <w:r>
        <w:t>‘Managing mental ill-health in the workplace’ training for managers and ‘Mental Health Awareness’ training for employees and ‘Resilience at Work’ for teams continued during 2021–22. As at 30 June 2022, 2097 employees have completed this training, since 2020. This training aims to develop mental health capabilities and increase the confidence of managers and employees to discuss mental health issues.</w:t>
      </w:r>
    </w:p>
    <w:p w14:paraId="1C459667" w14:textId="77777777" w:rsidR="001C6060" w:rsidRDefault="001C6060" w:rsidP="001C6060">
      <w:r>
        <w:t>The ‘Be Your Best You’ challenge, launched in 2021, encouraged employees to address an area of their wellbeing in alignment with six building blocks—get healthy, show kindness, connect more, keep learning, take notice, and embrace nature.</w:t>
      </w:r>
    </w:p>
    <w:p w14:paraId="224F2F44" w14:textId="58CA3B31" w:rsidR="001C6060" w:rsidRDefault="001C6060" w:rsidP="001C6060">
      <w:r>
        <w:t>One of the highlights of the challenge was a Question and Answer talk between Health and Wellbeing Champion Amanda Yeates and Kurek Ashley (renowned success coach) about managing mental health and building resilience.</w:t>
      </w:r>
    </w:p>
    <w:p w14:paraId="52D4FC0C" w14:textId="77777777" w:rsidR="001C6060" w:rsidRDefault="001C6060" w:rsidP="001C6060">
      <w:r>
        <w:t>TMR continued its focus on wellbeing at work, offering employees in high-stress environments with support including:</w:t>
      </w:r>
    </w:p>
    <w:p w14:paraId="4FD648FA" w14:textId="7A2124DC" w:rsidR="001C6060" w:rsidRDefault="001C6060" w:rsidP="001C6060">
      <w:pPr>
        <w:pStyle w:val="ListBullet"/>
      </w:pPr>
      <w:r>
        <w:t>proactive wellness check-ins</w:t>
      </w:r>
    </w:p>
    <w:p w14:paraId="6ABA78E2" w14:textId="03426F6A" w:rsidR="001C6060" w:rsidRDefault="001C6060" w:rsidP="001C6060">
      <w:pPr>
        <w:pStyle w:val="ListBullet"/>
      </w:pPr>
      <w:r>
        <w:t>embedded flexible work practices</w:t>
      </w:r>
    </w:p>
    <w:p w14:paraId="0EBC5CAF" w14:textId="20DCE58F" w:rsidR="001C6060" w:rsidRDefault="001C6060" w:rsidP="001C6060">
      <w:pPr>
        <w:pStyle w:val="ListBullet"/>
      </w:pPr>
      <w:r>
        <w:t>conducted welfare checks</w:t>
      </w:r>
    </w:p>
    <w:p w14:paraId="6B3C4C3C" w14:textId="448275ED" w:rsidR="001C6060" w:rsidRDefault="001C6060" w:rsidP="001C6060">
      <w:pPr>
        <w:pStyle w:val="ListBullet"/>
      </w:pPr>
      <w:r>
        <w:t>delivered self-care webinars to employees on:</w:t>
      </w:r>
    </w:p>
    <w:p w14:paraId="03458F83" w14:textId="0E8AB86F" w:rsidR="001C6060" w:rsidRDefault="001C6060" w:rsidP="001C6060">
      <w:pPr>
        <w:pStyle w:val="ListBullet"/>
        <w:tabs>
          <w:tab w:val="clear" w:pos="567"/>
          <w:tab w:val="num" w:pos="1134"/>
        </w:tabs>
        <w:ind w:left="1134"/>
      </w:pPr>
      <w:r>
        <w:t>building mental fitness and self-care</w:t>
      </w:r>
    </w:p>
    <w:p w14:paraId="1E9F55DB" w14:textId="6BD7E748" w:rsidR="001C6060" w:rsidRDefault="001C6060" w:rsidP="001C6060">
      <w:pPr>
        <w:pStyle w:val="ListBullet"/>
        <w:tabs>
          <w:tab w:val="clear" w:pos="567"/>
          <w:tab w:val="num" w:pos="1134"/>
        </w:tabs>
        <w:ind w:left="1134"/>
      </w:pPr>
      <w:r>
        <w:t>managing vicarious trauma and compassion fatigue</w:t>
      </w:r>
    </w:p>
    <w:p w14:paraId="61AD6E0D" w14:textId="628301EE" w:rsidR="001C6060" w:rsidRDefault="001C6060" w:rsidP="001C6060">
      <w:pPr>
        <w:pStyle w:val="ListBullet"/>
        <w:tabs>
          <w:tab w:val="clear" w:pos="567"/>
          <w:tab w:val="num" w:pos="1134"/>
        </w:tabs>
        <w:ind w:left="1134"/>
      </w:pPr>
      <w:r>
        <w:t>having an ‘r u ok?’ conversation</w:t>
      </w:r>
    </w:p>
    <w:p w14:paraId="5563E21B" w14:textId="01FF9516" w:rsidR="001C6060" w:rsidRDefault="001C6060" w:rsidP="001C6060">
      <w:pPr>
        <w:pStyle w:val="ListBullet"/>
        <w:tabs>
          <w:tab w:val="clear" w:pos="567"/>
          <w:tab w:val="num" w:pos="1134"/>
        </w:tabs>
        <w:ind w:left="1134"/>
      </w:pPr>
      <w:r>
        <w:t>burnout, fatigue and self-care.</w:t>
      </w:r>
    </w:p>
    <w:p w14:paraId="73E60989" w14:textId="3A47F1DE" w:rsidR="001C6060" w:rsidRDefault="001C6060" w:rsidP="001C6060">
      <w:pPr>
        <w:pStyle w:val="ListBullet"/>
      </w:pPr>
      <w:r>
        <w:t>delivered webinars to managers to support their teams during COVID-19 and other significant events, such as the South East Queensland floods in February 2022:</w:t>
      </w:r>
    </w:p>
    <w:p w14:paraId="5B08C3E7" w14:textId="01AC6CDD" w:rsidR="001C6060" w:rsidRDefault="001C6060" w:rsidP="001C6060">
      <w:pPr>
        <w:pStyle w:val="ListBullet"/>
        <w:tabs>
          <w:tab w:val="clear" w:pos="567"/>
          <w:tab w:val="num" w:pos="1134"/>
        </w:tabs>
        <w:ind w:left="1134"/>
      </w:pPr>
      <w:r>
        <w:t>supporting teams through a crisis</w:t>
      </w:r>
    </w:p>
    <w:p w14:paraId="7A506DED" w14:textId="75D55BD3" w:rsidR="001C6060" w:rsidRDefault="001C6060" w:rsidP="001C6060">
      <w:pPr>
        <w:pStyle w:val="ListBullet"/>
        <w:tabs>
          <w:tab w:val="clear" w:pos="567"/>
          <w:tab w:val="num" w:pos="1134"/>
        </w:tabs>
        <w:ind w:left="1134"/>
      </w:pPr>
      <w:r>
        <w:t>leading teams to effectively transition back to the workplace</w:t>
      </w:r>
    </w:p>
    <w:p w14:paraId="7A960458" w14:textId="064B6A97" w:rsidR="001C6060" w:rsidRDefault="001C6060" w:rsidP="001C6060">
      <w:pPr>
        <w:pStyle w:val="ListBullet"/>
        <w:tabs>
          <w:tab w:val="clear" w:pos="567"/>
          <w:tab w:val="num" w:pos="1134"/>
        </w:tabs>
        <w:ind w:left="1134"/>
      </w:pPr>
      <w:r>
        <w:t>building skills to have effective change conversations</w:t>
      </w:r>
    </w:p>
    <w:p w14:paraId="5534698E" w14:textId="0ECC0764" w:rsidR="001C6060" w:rsidRDefault="001C6060" w:rsidP="001C6060">
      <w:pPr>
        <w:pStyle w:val="ListBullet"/>
        <w:tabs>
          <w:tab w:val="clear" w:pos="567"/>
          <w:tab w:val="num" w:pos="1134"/>
        </w:tabs>
        <w:ind w:left="1134"/>
      </w:pPr>
      <w:r>
        <w:t>developing resilient leadership.</w:t>
      </w:r>
    </w:p>
    <w:p w14:paraId="23B26891" w14:textId="56C2563C" w:rsidR="003335A4" w:rsidRDefault="001C6060" w:rsidP="001C6060">
      <w:r>
        <w:lastRenderedPageBreak/>
        <w:t>TMR will continue to build a culture where employee wellbeing is embedded in all TMR practices and processes.</w:t>
      </w:r>
    </w:p>
    <w:p w14:paraId="6D77379C" w14:textId="77777777" w:rsidR="006800C7" w:rsidRDefault="006800C7" w:rsidP="006800C7">
      <w:pPr>
        <w:pStyle w:val="Heading4"/>
      </w:pPr>
      <w:r>
        <w:t xml:space="preserve">Injury management </w:t>
      </w:r>
    </w:p>
    <w:p w14:paraId="4D693276" w14:textId="5B9DBAE0" w:rsidR="00CA2EDC" w:rsidRDefault="00CA2EDC" w:rsidP="00CA2EDC">
      <w:r>
        <w:t xml:space="preserve">Through the </w:t>
      </w:r>
      <w:r w:rsidRPr="00CA2EDC">
        <w:rPr>
          <w:rStyle w:val="Emphasis"/>
        </w:rPr>
        <w:t>Workplace Rehabilitation Policy</w:t>
      </w:r>
      <w:r>
        <w:t xml:space="preserve"> and centralised management of rehabilitation and workers’ compensation claims, TMR remained committed to ensuring that rehabilitation and return to work services are provided in keeping with injury management best practice.</w:t>
      </w:r>
    </w:p>
    <w:p w14:paraId="57C1C97C" w14:textId="77777777" w:rsidR="00CA2EDC" w:rsidRDefault="00CA2EDC" w:rsidP="00CA2EDC">
      <w:r>
        <w:t>TMR recognises that workplace rehabilitation assists in the recovery process and helps restore the employee’s normal function sooner. In the event of an injury or illness, regardless of whether it is work-related, TMR is committed to assisting employees to achieve a safe return to work in a way that will facilitate their best possible recovery, this is achieved by:</w:t>
      </w:r>
    </w:p>
    <w:p w14:paraId="405B741C" w14:textId="7CFAAB16" w:rsidR="00CA2EDC" w:rsidRPr="00CA2EDC" w:rsidRDefault="00CA2EDC" w:rsidP="00CA2EDC">
      <w:pPr>
        <w:pStyle w:val="ListBullet"/>
      </w:pPr>
      <w:r w:rsidRPr="00CA2EDC">
        <w:t>accommodating a gradual return to work, with a focus on suitable duties in accordance with medical advice</w:t>
      </w:r>
    </w:p>
    <w:p w14:paraId="0F823CC1" w14:textId="21516F2C" w:rsidR="00CA2EDC" w:rsidRPr="00CA2EDC" w:rsidRDefault="00CA2EDC" w:rsidP="00CA2EDC">
      <w:pPr>
        <w:pStyle w:val="ListBullet"/>
      </w:pPr>
      <w:r w:rsidRPr="00CA2EDC">
        <w:t>building a positive culture around injury management and providing suitable duties to assist in employees’ recovery</w:t>
      </w:r>
    </w:p>
    <w:p w14:paraId="0AB8A9AE" w14:textId="695C2D0F" w:rsidR="004C1511" w:rsidRPr="00CA2EDC" w:rsidRDefault="00CA2EDC" w:rsidP="00CA2EDC">
      <w:pPr>
        <w:pStyle w:val="ListBullet"/>
      </w:pPr>
      <w:r w:rsidRPr="00CA2EDC">
        <w:t>working closely with WorkCover Queensland and QSuper to ensure proactive case management.</w:t>
      </w:r>
    </w:p>
    <w:p w14:paraId="1279788F" w14:textId="4ADA4405" w:rsidR="004C1511" w:rsidRDefault="004C1511" w:rsidP="004C1511">
      <w:pPr>
        <w:pStyle w:val="ListBullet"/>
        <w:numPr>
          <w:ilvl w:val="0"/>
          <w:numId w:val="0"/>
        </w:numPr>
        <w:tabs>
          <w:tab w:val="left" w:pos="284"/>
        </w:tabs>
        <w:spacing w:before="120" w:after="0" w:line="260" w:lineRule="exact"/>
        <w:ind w:left="567" w:hanging="567"/>
      </w:pPr>
    </w:p>
    <w:p w14:paraId="443E2141" w14:textId="77777777" w:rsidR="006800C7" w:rsidRPr="00185E03" w:rsidRDefault="006800C7" w:rsidP="006800C7">
      <w:pPr>
        <w:pStyle w:val="TableofFigures"/>
      </w:pPr>
      <w:bookmarkStart w:id="17" w:name="_Hlk42004013"/>
      <w:r w:rsidRPr="00185E03">
        <w:t xml:space="preserve">Figure </w:t>
      </w:r>
      <w:r>
        <w:t>8:</w:t>
      </w:r>
      <w:r w:rsidRPr="00185E03">
        <w:t xml:space="preserve"> Comparison of workers’ compensation claims lodged over a five-year period </w:t>
      </w:r>
    </w:p>
    <w:tbl>
      <w:tblPr>
        <w:tblStyle w:val="Style1"/>
        <w:tblW w:w="0" w:type="auto"/>
        <w:tblLook w:val="04A0" w:firstRow="1" w:lastRow="0" w:firstColumn="1" w:lastColumn="0" w:noHBand="0" w:noVBand="1"/>
      </w:tblPr>
      <w:tblGrid>
        <w:gridCol w:w="1510"/>
        <w:gridCol w:w="1510"/>
        <w:gridCol w:w="1510"/>
        <w:gridCol w:w="1510"/>
        <w:gridCol w:w="1511"/>
        <w:gridCol w:w="1511"/>
      </w:tblGrid>
      <w:tr w:rsidR="00CA2EDC" w:rsidRPr="00011E45" w14:paraId="6D3B6482" w14:textId="77777777" w:rsidTr="00F31956">
        <w:trPr>
          <w:cnfStyle w:val="100000000000" w:firstRow="1" w:lastRow="0" w:firstColumn="0" w:lastColumn="0" w:oddVBand="0" w:evenVBand="0" w:oddHBand="0" w:evenHBand="0" w:firstRowFirstColumn="0" w:firstRowLastColumn="0" w:lastRowFirstColumn="0" w:lastRowLastColumn="0"/>
        </w:trPr>
        <w:tc>
          <w:tcPr>
            <w:tcW w:w="1510" w:type="dxa"/>
          </w:tcPr>
          <w:p w14:paraId="1E8E8372" w14:textId="77777777" w:rsidR="00CA2EDC" w:rsidRPr="00280D62" w:rsidRDefault="00CA2EDC" w:rsidP="00CA2EDC">
            <w:bookmarkStart w:id="18" w:name="_Hlk42004020"/>
            <w:bookmarkEnd w:id="17"/>
          </w:p>
        </w:tc>
        <w:tc>
          <w:tcPr>
            <w:tcW w:w="1510" w:type="dxa"/>
          </w:tcPr>
          <w:p w14:paraId="5C55752B" w14:textId="6C34E3DE" w:rsidR="00CA2EDC" w:rsidRPr="00EC3D8E" w:rsidRDefault="00CA2EDC" w:rsidP="00CA2EDC">
            <w:r w:rsidRPr="00280D62">
              <w:t>202</w:t>
            </w:r>
            <w:r>
              <w:t>1</w:t>
            </w:r>
            <w:r w:rsidRPr="00EC3D8E">
              <w:t>–2</w:t>
            </w:r>
            <w:r>
              <w:t>2</w:t>
            </w:r>
          </w:p>
        </w:tc>
        <w:tc>
          <w:tcPr>
            <w:tcW w:w="1510" w:type="dxa"/>
          </w:tcPr>
          <w:p w14:paraId="557CDAC5" w14:textId="4F8C42BE" w:rsidR="00CA2EDC" w:rsidRPr="00EC3D8E" w:rsidRDefault="00CA2EDC" w:rsidP="00CA2EDC">
            <w:r w:rsidRPr="00391E3C">
              <w:t>2020–21</w:t>
            </w:r>
          </w:p>
        </w:tc>
        <w:tc>
          <w:tcPr>
            <w:tcW w:w="1510" w:type="dxa"/>
          </w:tcPr>
          <w:p w14:paraId="31E1A3D7" w14:textId="09A89CAE" w:rsidR="00CA2EDC" w:rsidRPr="00EC3D8E" w:rsidRDefault="00CA2EDC" w:rsidP="00CA2EDC">
            <w:r w:rsidRPr="00D131D1">
              <w:t>2019–20</w:t>
            </w:r>
          </w:p>
        </w:tc>
        <w:tc>
          <w:tcPr>
            <w:tcW w:w="1511" w:type="dxa"/>
          </w:tcPr>
          <w:p w14:paraId="385734A4" w14:textId="3FD6D737" w:rsidR="00CA2EDC" w:rsidRPr="00EC3D8E" w:rsidRDefault="00CA2EDC" w:rsidP="00CA2EDC">
            <w:r w:rsidRPr="001534F1">
              <w:t>2018–19</w:t>
            </w:r>
          </w:p>
        </w:tc>
        <w:tc>
          <w:tcPr>
            <w:tcW w:w="1511" w:type="dxa"/>
          </w:tcPr>
          <w:p w14:paraId="048B40A3" w14:textId="24B836A8" w:rsidR="00CA2EDC" w:rsidRPr="00EC3D8E" w:rsidRDefault="00CA2EDC" w:rsidP="00CA2EDC">
            <w:r w:rsidRPr="00EE7EF8">
              <w:t>2017–18</w:t>
            </w:r>
          </w:p>
        </w:tc>
      </w:tr>
      <w:tr w:rsidR="00CA2EDC" w14:paraId="2C75C6A3" w14:textId="77777777" w:rsidTr="00F31956">
        <w:tc>
          <w:tcPr>
            <w:tcW w:w="1510" w:type="dxa"/>
          </w:tcPr>
          <w:p w14:paraId="1A8BD161" w14:textId="77777777" w:rsidR="00CA2EDC" w:rsidRPr="00EC3D8E" w:rsidRDefault="00CA2EDC" w:rsidP="00CA2EDC">
            <w:r w:rsidRPr="00280D62">
              <w:t>Claims</w:t>
            </w:r>
          </w:p>
        </w:tc>
        <w:tc>
          <w:tcPr>
            <w:tcW w:w="1510" w:type="dxa"/>
          </w:tcPr>
          <w:p w14:paraId="00EC3D59" w14:textId="06FB1BD0" w:rsidR="00CA2EDC" w:rsidRPr="00EC3D8E" w:rsidRDefault="00CA2EDC" w:rsidP="00CA2EDC">
            <w:r w:rsidRPr="00280D62">
              <w:t>2</w:t>
            </w:r>
            <w:r>
              <w:t>10</w:t>
            </w:r>
          </w:p>
        </w:tc>
        <w:tc>
          <w:tcPr>
            <w:tcW w:w="1510" w:type="dxa"/>
          </w:tcPr>
          <w:p w14:paraId="01FA4146" w14:textId="5C0582A5" w:rsidR="00CA2EDC" w:rsidRPr="00EC3D8E" w:rsidRDefault="00CA2EDC" w:rsidP="00CA2EDC">
            <w:r w:rsidRPr="00391E3C">
              <w:t>241</w:t>
            </w:r>
          </w:p>
        </w:tc>
        <w:tc>
          <w:tcPr>
            <w:tcW w:w="1510" w:type="dxa"/>
          </w:tcPr>
          <w:p w14:paraId="78A6C7E9" w14:textId="31239999" w:rsidR="00CA2EDC" w:rsidRPr="00EC3D8E" w:rsidRDefault="00CA2EDC" w:rsidP="00CA2EDC">
            <w:r w:rsidRPr="00D131D1">
              <w:t>280</w:t>
            </w:r>
          </w:p>
        </w:tc>
        <w:tc>
          <w:tcPr>
            <w:tcW w:w="1511" w:type="dxa"/>
          </w:tcPr>
          <w:p w14:paraId="315024CD" w14:textId="39A388B6" w:rsidR="00CA2EDC" w:rsidRPr="00EC3D8E" w:rsidRDefault="00CA2EDC" w:rsidP="00CA2EDC">
            <w:r w:rsidRPr="001534F1">
              <w:t>301</w:t>
            </w:r>
          </w:p>
        </w:tc>
        <w:tc>
          <w:tcPr>
            <w:tcW w:w="1511" w:type="dxa"/>
          </w:tcPr>
          <w:p w14:paraId="6AA08E08" w14:textId="4A159582" w:rsidR="00CA2EDC" w:rsidRPr="00EC3D8E" w:rsidRDefault="00CA2EDC" w:rsidP="00CA2EDC">
            <w:r w:rsidRPr="00EE7EF8">
              <w:t>317</w:t>
            </w:r>
          </w:p>
        </w:tc>
      </w:tr>
    </w:tbl>
    <w:bookmarkEnd w:id="18"/>
    <w:p w14:paraId="2C03C2B2" w14:textId="28F4FA0B" w:rsidR="004915B3" w:rsidRPr="004915B3" w:rsidRDefault="004915B3" w:rsidP="004915B3">
      <w:r w:rsidRPr="004915B3">
        <w:rPr>
          <w:rFonts w:eastAsiaTheme="minorEastAsia" w:cstheme="minorBidi"/>
          <w:i/>
          <w:color w:val="595959" w:themeColor="text1" w:themeTint="A6"/>
          <w:sz w:val="16"/>
        </w:rPr>
        <w:t>Data source: WorkCover Queensland – Online services for employers.</w:t>
      </w:r>
      <w:r>
        <w:rPr>
          <w:rFonts w:eastAsiaTheme="minorEastAsia" w:cstheme="minorBidi"/>
          <w:i/>
          <w:color w:val="595959" w:themeColor="text1" w:themeTint="A6"/>
          <w:sz w:val="16"/>
        </w:rPr>
        <w:br/>
      </w:r>
      <w:r w:rsidRPr="004915B3">
        <w:rPr>
          <w:rFonts w:eastAsiaTheme="minorEastAsia" w:cstheme="minorBidi"/>
          <w:i/>
          <w:color w:val="595959" w:themeColor="text1" w:themeTint="A6"/>
          <w:sz w:val="16"/>
        </w:rPr>
        <w:t>Note: Figures are subject to revision as more information becomes available.</w:t>
      </w:r>
      <w:r>
        <w:rPr>
          <w:rFonts w:eastAsiaTheme="minorEastAsia" w:cstheme="minorBidi"/>
          <w:i/>
          <w:color w:val="595959" w:themeColor="text1" w:themeTint="A6"/>
          <w:sz w:val="16"/>
        </w:rPr>
        <w:br/>
      </w:r>
      <w:r w:rsidRPr="004915B3">
        <w:rPr>
          <w:rFonts w:eastAsiaTheme="minorEastAsia" w:cstheme="minorBidi"/>
          <w:i/>
          <w:color w:val="595959" w:themeColor="text1" w:themeTint="A6"/>
          <w:sz w:val="16"/>
        </w:rPr>
        <w:t>*Based on data from July 2021 to June 2022 extrapolated for 2021–22 FY</w:t>
      </w:r>
    </w:p>
    <w:p w14:paraId="5ED5B274" w14:textId="77777777" w:rsidR="006800C7" w:rsidRPr="00185E03" w:rsidRDefault="006800C7" w:rsidP="006800C7">
      <w:pPr>
        <w:pStyle w:val="TableofFigures"/>
      </w:pPr>
      <w:r w:rsidRPr="00185E03">
        <w:t xml:space="preserve">Figure </w:t>
      </w:r>
      <w:r>
        <w:t>9:</w:t>
      </w:r>
      <w:r w:rsidRPr="00185E03">
        <w:t xml:space="preserve"> Comparison of final return to work percentages </w:t>
      </w:r>
    </w:p>
    <w:tbl>
      <w:tblPr>
        <w:tblStyle w:val="Style1"/>
        <w:tblW w:w="0" w:type="auto"/>
        <w:tblLook w:val="04A0" w:firstRow="1" w:lastRow="0" w:firstColumn="1" w:lastColumn="0" w:noHBand="0" w:noVBand="1"/>
      </w:tblPr>
      <w:tblGrid>
        <w:gridCol w:w="1510"/>
        <w:gridCol w:w="1510"/>
        <w:gridCol w:w="1510"/>
        <w:gridCol w:w="1510"/>
        <w:gridCol w:w="1511"/>
        <w:gridCol w:w="1511"/>
      </w:tblGrid>
      <w:tr w:rsidR="004915B3" w:rsidRPr="002653EF" w14:paraId="45D9E231" w14:textId="77777777" w:rsidTr="00F31956">
        <w:trPr>
          <w:cnfStyle w:val="100000000000" w:firstRow="1" w:lastRow="0" w:firstColumn="0" w:lastColumn="0" w:oddVBand="0" w:evenVBand="0" w:oddHBand="0" w:evenHBand="0" w:firstRowFirstColumn="0" w:firstRowLastColumn="0" w:lastRowFirstColumn="0" w:lastRowLastColumn="0"/>
        </w:trPr>
        <w:tc>
          <w:tcPr>
            <w:tcW w:w="1510" w:type="dxa"/>
          </w:tcPr>
          <w:p w14:paraId="472BFF61" w14:textId="77777777" w:rsidR="004915B3" w:rsidRPr="00480E52" w:rsidRDefault="004915B3" w:rsidP="004915B3"/>
        </w:tc>
        <w:tc>
          <w:tcPr>
            <w:tcW w:w="1510" w:type="dxa"/>
          </w:tcPr>
          <w:p w14:paraId="7DF11403" w14:textId="4CC138C1" w:rsidR="004915B3" w:rsidRPr="00EC3D8E" w:rsidRDefault="004915B3" w:rsidP="004915B3">
            <w:r w:rsidRPr="00480E52">
              <w:t>202</w:t>
            </w:r>
            <w:r>
              <w:t>1</w:t>
            </w:r>
            <w:r w:rsidRPr="00EC3D8E">
              <w:t>–2</w:t>
            </w:r>
            <w:r>
              <w:t>2</w:t>
            </w:r>
          </w:p>
        </w:tc>
        <w:tc>
          <w:tcPr>
            <w:tcW w:w="1510" w:type="dxa"/>
          </w:tcPr>
          <w:p w14:paraId="2499A6E3" w14:textId="30F0F616" w:rsidR="004915B3" w:rsidRPr="00EC3D8E" w:rsidRDefault="004915B3" w:rsidP="004915B3">
            <w:r w:rsidRPr="002C055D">
              <w:t>2020–21</w:t>
            </w:r>
          </w:p>
        </w:tc>
        <w:tc>
          <w:tcPr>
            <w:tcW w:w="1510" w:type="dxa"/>
          </w:tcPr>
          <w:p w14:paraId="35A4063E" w14:textId="7F1B662E" w:rsidR="004915B3" w:rsidRPr="00EC3D8E" w:rsidRDefault="004915B3" w:rsidP="004915B3">
            <w:r w:rsidRPr="00E50472">
              <w:t>2019–20</w:t>
            </w:r>
          </w:p>
        </w:tc>
        <w:tc>
          <w:tcPr>
            <w:tcW w:w="1511" w:type="dxa"/>
          </w:tcPr>
          <w:p w14:paraId="70903FB4" w14:textId="516AE200" w:rsidR="004915B3" w:rsidRPr="00EC3D8E" w:rsidRDefault="004915B3" w:rsidP="004915B3">
            <w:r w:rsidRPr="00AF24C7">
              <w:t>2018–19</w:t>
            </w:r>
          </w:p>
        </w:tc>
        <w:tc>
          <w:tcPr>
            <w:tcW w:w="1511" w:type="dxa"/>
          </w:tcPr>
          <w:p w14:paraId="68E8CBA8" w14:textId="753BC610" w:rsidR="004915B3" w:rsidRPr="00EC3D8E" w:rsidRDefault="004915B3" w:rsidP="004915B3">
            <w:r w:rsidRPr="005C2004">
              <w:t>2019–18</w:t>
            </w:r>
          </w:p>
        </w:tc>
      </w:tr>
      <w:tr w:rsidR="004915B3" w14:paraId="44828EB5" w14:textId="77777777" w:rsidTr="00F31956">
        <w:tc>
          <w:tcPr>
            <w:tcW w:w="1510" w:type="dxa"/>
          </w:tcPr>
          <w:p w14:paraId="52C75CCC" w14:textId="77777777" w:rsidR="004915B3" w:rsidRPr="00EC3D8E" w:rsidRDefault="004915B3" w:rsidP="004915B3">
            <w:r w:rsidRPr="00480E52">
              <w:t>Final FTW</w:t>
            </w:r>
          </w:p>
        </w:tc>
        <w:tc>
          <w:tcPr>
            <w:tcW w:w="1510" w:type="dxa"/>
          </w:tcPr>
          <w:p w14:paraId="453FE6A2" w14:textId="2C6FC57A" w:rsidR="004915B3" w:rsidRPr="00EC3D8E" w:rsidRDefault="004915B3" w:rsidP="004915B3">
            <w:r w:rsidRPr="00480E52">
              <w:t>9</w:t>
            </w:r>
            <w:r>
              <w:t>4.00</w:t>
            </w:r>
            <w:r w:rsidRPr="00480E52">
              <w:t>%</w:t>
            </w:r>
          </w:p>
        </w:tc>
        <w:tc>
          <w:tcPr>
            <w:tcW w:w="1510" w:type="dxa"/>
          </w:tcPr>
          <w:p w14:paraId="3F7FBD9A" w14:textId="31885D5D" w:rsidR="004915B3" w:rsidRPr="00EC3D8E" w:rsidRDefault="004915B3" w:rsidP="004915B3">
            <w:r w:rsidRPr="002C055D">
              <w:t>95.25%</w:t>
            </w:r>
          </w:p>
        </w:tc>
        <w:tc>
          <w:tcPr>
            <w:tcW w:w="1510" w:type="dxa"/>
          </w:tcPr>
          <w:p w14:paraId="2299943D" w14:textId="0837D422" w:rsidR="004915B3" w:rsidRPr="00EC3D8E" w:rsidRDefault="004915B3" w:rsidP="004915B3">
            <w:r w:rsidRPr="00E50472">
              <w:t>99.00%</w:t>
            </w:r>
          </w:p>
        </w:tc>
        <w:tc>
          <w:tcPr>
            <w:tcW w:w="1511" w:type="dxa"/>
          </w:tcPr>
          <w:p w14:paraId="78D8B316" w14:textId="49A29E7C" w:rsidR="004915B3" w:rsidRPr="00EC3D8E" w:rsidRDefault="004915B3" w:rsidP="004915B3">
            <w:r w:rsidRPr="00AF24C7">
              <w:t>96.00%</w:t>
            </w:r>
          </w:p>
        </w:tc>
        <w:tc>
          <w:tcPr>
            <w:tcW w:w="1511" w:type="dxa"/>
          </w:tcPr>
          <w:p w14:paraId="2C5B4569" w14:textId="1E8FDE84" w:rsidR="004915B3" w:rsidRPr="00EC3D8E" w:rsidRDefault="004915B3" w:rsidP="004915B3">
            <w:r w:rsidRPr="005C2004">
              <w:t>99.00%</w:t>
            </w:r>
          </w:p>
        </w:tc>
      </w:tr>
    </w:tbl>
    <w:p w14:paraId="73C709EC" w14:textId="2B7FC129" w:rsidR="004915B3" w:rsidRDefault="00177378" w:rsidP="00177378">
      <w:r w:rsidRPr="00177378">
        <w:rPr>
          <w:rFonts w:eastAsiaTheme="minorEastAsia" w:cstheme="minorBidi"/>
          <w:i/>
          <w:color w:val="595959" w:themeColor="text1" w:themeTint="A6"/>
          <w:sz w:val="16"/>
        </w:rPr>
        <w:t>Data source: WorkCover Queensland – Online services for employers.</w:t>
      </w:r>
      <w:r>
        <w:rPr>
          <w:rFonts w:eastAsiaTheme="minorEastAsia" w:cstheme="minorBidi"/>
          <w:i/>
          <w:color w:val="595959" w:themeColor="text1" w:themeTint="A6"/>
          <w:sz w:val="16"/>
        </w:rPr>
        <w:br/>
      </w:r>
      <w:r w:rsidRPr="00177378">
        <w:rPr>
          <w:rFonts w:eastAsiaTheme="minorEastAsia" w:cstheme="minorBidi"/>
          <w:i/>
          <w:color w:val="595959" w:themeColor="text1" w:themeTint="A6"/>
          <w:sz w:val="16"/>
        </w:rPr>
        <w:t>Note: Figures are subject to revision as more information becomes available.</w:t>
      </w:r>
    </w:p>
    <w:p w14:paraId="52A61CD5" w14:textId="77777777" w:rsidR="004915B3" w:rsidRPr="004915B3" w:rsidRDefault="004915B3" w:rsidP="004915B3"/>
    <w:p w14:paraId="044DDCD4" w14:textId="77777777" w:rsidR="006800C7" w:rsidRDefault="006800C7" w:rsidP="006800C7">
      <w:pPr>
        <w:pStyle w:val="Heading2"/>
      </w:pPr>
      <w:r>
        <w:t>Safety for our employees</w:t>
      </w:r>
    </w:p>
    <w:p w14:paraId="3A1D72E1" w14:textId="77777777" w:rsidR="006800C7" w:rsidRDefault="006800C7" w:rsidP="006800C7">
      <w:pPr>
        <w:pStyle w:val="Heading4"/>
      </w:pPr>
      <w:r>
        <w:t>Safety performance</w:t>
      </w:r>
    </w:p>
    <w:p w14:paraId="4482921A" w14:textId="7CDC7D7B" w:rsidR="00593763" w:rsidRDefault="00593763" w:rsidP="00593763">
      <w:r>
        <w:t>Reporting on Workplace Health and Safety demonstrates how safety is managed and where improvements are needed. Whole-of-department and division safety performance reports are developed quarterly based on safety activities undertaken across TMR and reported workplace incidents and injuries.</w:t>
      </w:r>
    </w:p>
    <w:p w14:paraId="73D8AE43" w14:textId="23DFF7B6" w:rsidR="00593763" w:rsidRDefault="00593763" w:rsidP="00593763">
      <w:r>
        <w:t xml:space="preserve">In 2021–22, TMR recorded a total of 2274 incidents, which is a decrease from the 2409 incidents reported for the previous financial year. The majority of these incidents related to reported customer aggression (277, an increase from 204 the </w:t>
      </w:r>
      <w:r>
        <w:lastRenderedPageBreak/>
        <w:t>previous financial year). Through consultation it was established client aggression incidents were being previously under reported. In response TMR has established a digital solution for front-line workers to increase accessibility to report incidents, leading to an increase in reporting maturity which is reflective in our increase in reporting figures.</w:t>
      </w:r>
    </w:p>
    <w:p w14:paraId="19545721" w14:textId="1FE20A50" w:rsidR="00593763" w:rsidRDefault="00593763" w:rsidP="00593763">
      <w:r>
        <w:t>For 2021–22, TMR recorded 65 lost time injuries, which is more than the 52 recorded during the last financial year. There was also an increase in the number of working days lost (1381) compared to last financial year (1090). This indicates it took workers longer to recover and to return to the workplace safely.</w:t>
      </w:r>
    </w:p>
    <w:p w14:paraId="539F5E36" w14:textId="77777777" w:rsidR="00593763" w:rsidRDefault="00593763" w:rsidP="00593763">
      <w:r>
        <w:t>The comprehensive Transforming Safety Program continued to be implemented during 2021–22 to raise maturity across safety and transition to risk-based proactive workplace safety management.</w:t>
      </w:r>
    </w:p>
    <w:p w14:paraId="23EE1390" w14:textId="77777777" w:rsidR="00593763" w:rsidRDefault="00593763" w:rsidP="00593763">
      <w:pPr>
        <w:spacing w:before="0" w:after="160" w:line="259" w:lineRule="auto"/>
      </w:pPr>
    </w:p>
    <w:p w14:paraId="275E565C" w14:textId="77777777" w:rsidR="006800C7" w:rsidRDefault="006800C7" w:rsidP="006800C7">
      <w:pPr>
        <w:spacing w:before="0" w:after="160" w:line="259" w:lineRule="auto"/>
      </w:pPr>
      <w:r>
        <w:br w:type="page"/>
      </w:r>
    </w:p>
    <w:p w14:paraId="6923BEB7" w14:textId="77777777" w:rsidR="006800C7" w:rsidRPr="003242F2" w:rsidRDefault="006800C7" w:rsidP="006800C7"/>
    <w:p w14:paraId="1B5874A2" w14:textId="77777777" w:rsidR="006800C7" w:rsidRDefault="006800C7" w:rsidP="006800C7">
      <w:pPr>
        <w:pStyle w:val="Heading1"/>
      </w:pPr>
      <w:r>
        <w:t xml:space="preserve">Our Organisation </w:t>
      </w:r>
    </w:p>
    <w:p w14:paraId="2B7F31E3" w14:textId="77777777" w:rsidR="006800C7" w:rsidRPr="003242F2" w:rsidRDefault="006800C7" w:rsidP="006800C7">
      <w:pPr>
        <w:pStyle w:val="Heading2"/>
      </w:pPr>
      <w:r>
        <w:t xml:space="preserve">Highlights </w:t>
      </w:r>
    </w:p>
    <w:p w14:paraId="72A129F9" w14:textId="77777777" w:rsidR="00996404" w:rsidRPr="00996404" w:rsidRDefault="00996404" w:rsidP="00996404">
      <w:pPr>
        <w:pStyle w:val="ListBullet"/>
      </w:pPr>
      <w:r w:rsidRPr="00996404">
        <w:t>Reviewed the impacts of COVID-19 and broader talent challenges on the TMR workforce.</w:t>
      </w:r>
    </w:p>
    <w:p w14:paraId="2BD42B78" w14:textId="77777777" w:rsidR="00996404" w:rsidRPr="00996404" w:rsidRDefault="00996404" w:rsidP="00996404">
      <w:pPr>
        <w:pStyle w:val="ListBullet"/>
      </w:pPr>
      <w:r w:rsidRPr="00996404">
        <w:t>Developed and implemented a new mandatory online course to provide employees with a comprehensive awareness of information privacy and how it applies to day-to-day responsibilities.</w:t>
      </w:r>
    </w:p>
    <w:p w14:paraId="059477BC" w14:textId="77777777" w:rsidR="00996404" w:rsidRPr="00996404" w:rsidRDefault="00996404" w:rsidP="00996404">
      <w:pPr>
        <w:pStyle w:val="ListBullet"/>
      </w:pPr>
      <w:r w:rsidRPr="00996404">
        <w:t>Awarded 2534 contracts to Queensland suppliers through strategic procurement activities, that injected $4.1 billion directly to local economies including $2.4 billion to 2792 regional suppliers and $51 million directly to First Nations businesses.</w:t>
      </w:r>
    </w:p>
    <w:p w14:paraId="2BC2124F" w14:textId="77777777" w:rsidR="00996404" w:rsidRPr="00996404" w:rsidRDefault="00996404" w:rsidP="00996404">
      <w:pPr>
        <w:pStyle w:val="ListBullet"/>
      </w:pPr>
      <w:r w:rsidRPr="00996404">
        <w:t xml:space="preserve">Developed the </w:t>
      </w:r>
      <w:r w:rsidRPr="00996404">
        <w:rPr>
          <w:rStyle w:val="Emphasis"/>
        </w:rPr>
        <w:t>TMR Fleet Strategy 2022–2027</w:t>
      </w:r>
      <w:r w:rsidRPr="00996404">
        <w:t xml:space="preserve"> to ensure TMR’s fleet of vehicles meets business requirements, accessibility needs, and are environmentally friendly.</w:t>
      </w:r>
    </w:p>
    <w:p w14:paraId="4F451E37" w14:textId="77777777" w:rsidR="00996404" w:rsidRPr="00996404" w:rsidRDefault="00996404" w:rsidP="00996404">
      <w:pPr>
        <w:pStyle w:val="ListBullet"/>
      </w:pPr>
      <w:r w:rsidRPr="00996404">
        <w:t>Completed 35 internal audit reports, covering assurance and improving effectiveness of controls, systems, project management, operations, and risk management.</w:t>
      </w:r>
    </w:p>
    <w:p w14:paraId="29A502B1" w14:textId="77777777" w:rsidR="00996404" w:rsidRPr="00996404" w:rsidRDefault="00996404" w:rsidP="00996404">
      <w:pPr>
        <w:pStyle w:val="ListBullet"/>
      </w:pPr>
      <w:r w:rsidRPr="00996404">
        <w:t>Managed 19 human rights complaints, reflecting on outcomes to improve the TMR’s decision-making processes.</w:t>
      </w:r>
    </w:p>
    <w:p w14:paraId="3A650A8E" w14:textId="77777777" w:rsidR="00996404" w:rsidRPr="00996404" w:rsidRDefault="00996404" w:rsidP="00996404">
      <w:pPr>
        <w:pStyle w:val="ListBullet"/>
      </w:pPr>
      <w:r w:rsidRPr="00996404">
        <w:t>Assisted with Parliamentary inquiries into vehicle safety, standards and technology (including engine immobiliser technology) and two infrastructure projects.</w:t>
      </w:r>
    </w:p>
    <w:p w14:paraId="21654406" w14:textId="5152C3A6" w:rsidR="00CF06E0" w:rsidRPr="00996404" w:rsidRDefault="00996404" w:rsidP="00996404">
      <w:pPr>
        <w:pStyle w:val="ListBullet"/>
      </w:pPr>
      <w:r w:rsidRPr="00996404">
        <w:t xml:space="preserve">Updated the </w:t>
      </w:r>
      <w:r w:rsidRPr="00996404">
        <w:rPr>
          <w:rStyle w:val="Emphasis"/>
        </w:rPr>
        <w:t>Risk Management Framework</w:t>
      </w:r>
      <w:r w:rsidRPr="00996404">
        <w:t xml:space="preserve"> and revised the Risk Appetite Statement to consider levels of acceptance and tolerance in pursuit of TMR’s strategic and operational objectives.</w:t>
      </w:r>
    </w:p>
    <w:p w14:paraId="34E57BC6" w14:textId="77777777" w:rsidR="006800C7" w:rsidRDefault="006800C7" w:rsidP="006800C7">
      <w:pPr>
        <w:spacing w:before="0" w:after="160" w:line="259" w:lineRule="auto"/>
      </w:pPr>
      <w:r>
        <w:br w:type="page"/>
      </w:r>
    </w:p>
    <w:p w14:paraId="62CA35E4" w14:textId="77777777" w:rsidR="006800C7" w:rsidRDefault="006800C7" w:rsidP="006800C7">
      <w:r w:rsidRPr="0039009C">
        <w:rPr>
          <w:noProof/>
        </w:rPr>
        <w:lastRenderedPageBreak/>
        <w:drawing>
          <wp:anchor distT="0" distB="0" distL="114300" distR="114300" simplePos="0" relativeHeight="251655680" behindDoc="0" locked="0" layoutInCell="1" allowOverlap="1" wp14:anchorId="2B7E2B87" wp14:editId="74830F80">
            <wp:simplePos x="0" y="0"/>
            <wp:positionH relativeFrom="column">
              <wp:posOffset>166370</wp:posOffset>
            </wp:positionH>
            <wp:positionV relativeFrom="paragraph">
              <wp:posOffset>4445</wp:posOffset>
            </wp:positionV>
            <wp:extent cx="5993130" cy="8477250"/>
            <wp:effectExtent l="0" t="0" r="7620" b="0"/>
            <wp:wrapSquare wrapText="bothSides"/>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129" cstate="print">
                      <a:extLst>
                        <a:ext uri="{28A0092B-C50C-407E-A947-70E740481C1C}">
                          <a14:useLocalDpi xmlns:a14="http://schemas.microsoft.com/office/drawing/2010/main" val="0"/>
                        </a:ext>
                      </a:extLst>
                    </a:blip>
                    <a:stretch>
                      <a:fillRect/>
                    </a:stretch>
                  </pic:blipFill>
                  <pic:spPr bwMode="auto">
                    <a:xfrm>
                      <a:off x="0" y="0"/>
                      <a:ext cx="5993130" cy="847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1DE7E" w14:textId="77777777" w:rsidR="006800C7" w:rsidRDefault="006800C7" w:rsidP="006800C7">
      <w:pPr>
        <w:pStyle w:val="ListParagraph"/>
      </w:pPr>
      <w:r w:rsidRPr="00E778C2">
        <w:rPr>
          <w:rStyle w:val="Strong"/>
        </w:rPr>
        <w:lastRenderedPageBreak/>
        <w:t xml:space="preserve">Transport and Main Roads </w:t>
      </w:r>
      <w:r w:rsidRPr="00E778C2">
        <w:rPr>
          <w:rStyle w:val="Strong"/>
        </w:rPr>
        <w:br/>
      </w:r>
      <w:r>
        <w:t xml:space="preserve">Neil Scales </w:t>
      </w:r>
    </w:p>
    <w:p w14:paraId="79315C11"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E778C2">
        <w:rPr>
          <w:rStyle w:val="Strong"/>
        </w:rPr>
        <w:t xml:space="preserve">Chief Operations Officer </w:t>
      </w:r>
      <w:r w:rsidRPr="00E778C2">
        <w:rPr>
          <w:rStyle w:val="Strong"/>
        </w:rPr>
        <w:br/>
      </w:r>
      <w:r>
        <w:t xml:space="preserve">Anne Moffat </w:t>
      </w:r>
    </w:p>
    <w:p w14:paraId="75A5DF46"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32068A">
        <w:rPr>
          <w:rStyle w:val="Strong"/>
        </w:rPr>
        <w:t xml:space="preserve">Policy, Planning and Investment </w:t>
      </w:r>
      <w:r w:rsidRPr="0032068A">
        <w:rPr>
          <w:rStyle w:val="Strong"/>
        </w:rPr>
        <w:br/>
      </w:r>
      <w:r>
        <w:t xml:space="preserve">Julie Mitchell </w:t>
      </w:r>
    </w:p>
    <w:p w14:paraId="77737E3B"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32068A">
        <w:rPr>
          <w:rStyle w:val="Strong"/>
        </w:rPr>
        <w:t>Infrastructure Management and Delivery</w:t>
      </w:r>
      <w:r>
        <w:t xml:space="preserve"> </w:t>
      </w:r>
      <w:r>
        <w:br/>
        <w:t xml:space="preserve">Amanda Yeates </w:t>
      </w:r>
    </w:p>
    <w:p w14:paraId="24BE9CBD" w14:textId="59E14A6C" w:rsidR="006800C7" w:rsidRDefault="006800C7" w:rsidP="006800C7">
      <w:pPr>
        <w:pStyle w:val="ListBullet2"/>
        <w:numPr>
          <w:ilvl w:val="0"/>
          <w:numId w:val="13"/>
        </w:numPr>
        <w:tabs>
          <w:tab w:val="clear" w:pos="1134"/>
          <w:tab w:val="left" w:pos="284"/>
        </w:tabs>
        <w:spacing w:before="120" w:after="0" w:line="0" w:lineRule="atLeast"/>
        <w:ind w:left="568" w:hanging="284"/>
      </w:pPr>
      <w:r w:rsidRPr="0032068A">
        <w:rPr>
          <w:rStyle w:val="Strong"/>
        </w:rPr>
        <w:t>Customer Services, Safety and Regulation</w:t>
      </w:r>
      <w:r>
        <w:t xml:space="preserve"> </w:t>
      </w:r>
      <w:r>
        <w:br/>
        <w:t xml:space="preserve">Mike Stapleton </w:t>
      </w:r>
      <w:r w:rsidR="003221B9">
        <w:t xml:space="preserve">(January 2016– September 2021) </w:t>
      </w:r>
      <w:r w:rsidR="003221B9">
        <w:br/>
        <w:t>Geoff Magoffin (Acting from September 2021)</w:t>
      </w:r>
    </w:p>
    <w:p w14:paraId="3F8FC984" w14:textId="4E1B95DA" w:rsidR="006800C7" w:rsidRDefault="006800C7" w:rsidP="006800C7">
      <w:pPr>
        <w:pStyle w:val="ListBullet2"/>
        <w:numPr>
          <w:ilvl w:val="0"/>
          <w:numId w:val="13"/>
        </w:numPr>
        <w:tabs>
          <w:tab w:val="clear" w:pos="1134"/>
          <w:tab w:val="left" w:pos="284"/>
        </w:tabs>
        <w:spacing w:before="120" w:after="0" w:line="0" w:lineRule="atLeast"/>
        <w:ind w:left="568" w:hanging="284"/>
      </w:pPr>
      <w:r w:rsidRPr="0032068A">
        <w:rPr>
          <w:rStyle w:val="Strong"/>
        </w:rPr>
        <w:t>TransLink</w:t>
      </w:r>
      <w:r>
        <w:br/>
      </w:r>
      <w:r w:rsidR="003221B9">
        <w:t>Sally Stannard</w:t>
      </w:r>
      <w:r>
        <w:t xml:space="preserve"> (</w:t>
      </w:r>
      <w:r w:rsidR="003221B9">
        <w:t>July 2021</w:t>
      </w:r>
      <w:r>
        <w:t xml:space="preserve"> – </w:t>
      </w:r>
      <w:r w:rsidR="003221B9">
        <w:t>December</w:t>
      </w:r>
      <w:r>
        <w:t xml:space="preserve"> 2021)</w:t>
      </w:r>
      <w:r>
        <w:br/>
        <w:t xml:space="preserve">Sally Stannard </w:t>
      </w:r>
    </w:p>
    <w:p w14:paraId="0A32920A"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32068A">
        <w:rPr>
          <w:rStyle w:val="Strong"/>
        </w:rPr>
        <w:t xml:space="preserve">Corporate </w:t>
      </w:r>
      <w:r>
        <w:br/>
        <w:t xml:space="preserve">Tracy O'Bryan </w:t>
      </w:r>
    </w:p>
    <w:p w14:paraId="51194F3E" w14:textId="77777777" w:rsidR="006800C7" w:rsidRDefault="006800C7" w:rsidP="006800C7">
      <w:pPr>
        <w:pStyle w:val="ListBullet"/>
        <w:numPr>
          <w:ilvl w:val="0"/>
          <w:numId w:val="0"/>
        </w:numPr>
      </w:pPr>
    </w:p>
    <w:p w14:paraId="5301CD8C" w14:textId="77777777" w:rsidR="006800C7" w:rsidRDefault="006800C7" w:rsidP="006800C7">
      <w:pPr>
        <w:pStyle w:val="Heading3"/>
      </w:pPr>
      <w:r>
        <w:t>Neil Scales OBE</w:t>
      </w:r>
    </w:p>
    <w:p w14:paraId="07374D67" w14:textId="77777777" w:rsidR="006800C7" w:rsidRPr="008E36F1" w:rsidRDefault="006800C7" w:rsidP="006800C7">
      <w:pPr>
        <w:pStyle w:val="Heading4"/>
      </w:pPr>
      <w:r w:rsidRPr="008E36F1">
        <w:t>Director-General (Transport and Main Roads)</w:t>
      </w:r>
    </w:p>
    <w:p w14:paraId="41BE6EED" w14:textId="6579C71A" w:rsidR="007F0F71" w:rsidRPr="007F0F71" w:rsidRDefault="007F0F71" w:rsidP="007F0F71">
      <w:r w:rsidRPr="007F0F71">
        <w:rPr>
          <w:rFonts w:eastAsiaTheme="minorEastAsia" w:cstheme="minorBidi"/>
          <w:i/>
          <w:color w:val="595959" w:themeColor="text1" w:themeTint="A6"/>
          <w:sz w:val="16"/>
        </w:rPr>
        <w:t>ONC (Eng), HNC (EEng), BSc (Eng), C.Eng (UK), MSc (ContEng&amp;CompSys), DMS, MBA, FIEAust CPEng, EngExec, NER APEC Engineer Int PE (Aus), Hon FLJMU, FIMechE, FIET, FICE, FCIT, FILT, FRSA, FIRTE, FSOE, RPEQ, MAICD, VFF</w:t>
      </w:r>
    </w:p>
    <w:p w14:paraId="73EE04D8" w14:textId="3B207EE1" w:rsidR="00261F91" w:rsidRPr="00261F91" w:rsidRDefault="00261F91" w:rsidP="00261F91">
      <w:pPr>
        <w:pStyle w:val="ListBullet"/>
      </w:pPr>
      <w:r w:rsidRPr="00261F91">
        <w:t>Appointed as Director-General January 2013</w:t>
      </w:r>
    </w:p>
    <w:p w14:paraId="0D3CB8AD" w14:textId="4FD79D8A" w:rsidR="00261F91" w:rsidRPr="00261F91" w:rsidRDefault="00261F91" w:rsidP="00261F91">
      <w:pPr>
        <w:pStyle w:val="ListBullet"/>
      </w:pPr>
      <w:r w:rsidRPr="00261F91">
        <w:t>Champion for Accessibility</w:t>
      </w:r>
    </w:p>
    <w:p w14:paraId="6D856F08" w14:textId="75DF0C9F" w:rsidR="00261F91" w:rsidRPr="00261F91" w:rsidRDefault="00261F91" w:rsidP="00261F91">
      <w:pPr>
        <w:pStyle w:val="ListBullet"/>
      </w:pPr>
      <w:r w:rsidRPr="00261F91">
        <w:t>Champion for Domestic and Family Violence Awareness</w:t>
      </w:r>
    </w:p>
    <w:p w14:paraId="330169DD" w14:textId="19EF7358" w:rsidR="00261F91" w:rsidRPr="00261F91" w:rsidRDefault="00261F91" w:rsidP="00261F91">
      <w:pPr>
        <w:pStyle w:val="ListBullet"/>
      </w:pPr>
      <w:r w:rsidRPr="00261F91">
        <w:t>Champion for Privacy</w:t>
      </w:r>
    </w:p>
    <w:p w14:paraId="584702C0" w14:textId="3E3C3C48" w:rsidR="00261F91" w:rsidRPr="00261F91" w:rsidRDefault="00261F91" w:rsidP="00261F91">
      <w:pPr>
        <w:pStyle w:val="ListBullet"/>
      </w:pPr>
      <w:r w:rsidRPr="00261F91">
        <w:t>Champion for Safety</w:t>
      </w:r>
    </w:p>
    <w:p w14:paraId="40AA0519" w14:textId="109AA3E7" w:rsidR="00261F91" w:rsidRPr="00261F91" w:rsidRDefault="00261F91" w:rsidP="00261F91">
      <w:pPr>
        <w:pStyle w:val="ListBullet"/>
      </w:pPr>
      <w:r w:rsidRPr="00261F91">
        <w:t>Government Champion for Woorabinda</w:t>
      </w:r>
    </w:p>
    <w:p w14:paraId="119D93AB" w14:textId="35B1778F" w:rsidR="009D6929" w:rsidRDefault="009D6929" w:rsidP="009D6929">
      <w:r>
        <w:t xml:space="preserve">Under the </w:t>
      </w:r>
      <w:r w:rsidRPr="009D6929">
        <w:rPr>
          <w:rStyle w:val="Emphasis"/>
        </w:rPr>
        <w:t>Financial Accountability Act 2009</w:t>
      </w:r>
      <w:r>
        <w:t>, the Director-General is accountable to the Minister for Transport and Main Roads and the Premier of Queensland for the efficient, effective and financially responsible performance of the Department of Transport and Main Roads. He leads the department with an operating budget of almost $10 billion, capital budget of $3.7 billion and managed assets worth $86 billion.</w:t>
      </w:r>
    </w:p>
    <w:p w14:paraId="68535E50" w14:textId="77777777" w:rsidR="006800C7" w:rsidRDefault="006800C7" w:rsidP="006800C7">
      <w:r w:rsidRPr="00CC3EC7">
        <w:t>Former positions:</w:t>
      </w:r>
    </w:p>
    <w:p w14:paraId="615604C4" w14:textId="77777777" w:rsidR="006800C7" w:rsidRDefault="006800C7" w:rsidP="006800C7">
      <w:pPr>
        <w:pStyle w:val="ListBullet"/>
        <w:numPr>
          <w:ilvl w:val="0"/>
          <w:numId w:val="12"/>
        </w:numPr>
        <w:tabs>
          <w:tab w:val="left" w:pos="284"/>
        </w:tabs>
        <w:spacing w:before="120" w:after="0" w:line="260" w:lineRule="exact"/>
        <w:ind w:left="288" w:hanging="288"/>
      </w:pPr>
      <w:r w:rsidRPr="00CC3EC7">
        <w:t>Chief Executive Officer, TransLink Transit Authority</w:t>
      </w:r>
    </w:p>
    <w:p w14:paraId="3C01CE03" w14:textId="77777777" w:rsidR="006800C7" w:rsidRDefault="006800C7" w:rsidP="006800C7">
      <w:pPr>
        <w:pStyle w:val="ListBullet"/>
        <w:numPr>
          <w:ilvl w:val="0"/>
          <w:numId w:val="12"/>
        </w:numPr>
        <w:tabs>
          <w:tab w:val="left" w:pos="284"/>
        </w:tabs>
        <w:spacing w:before="120" w:after="0" w:line="260" w:lineRule="exact"/>
        <w:ind w:left="288" w:hanging="288"/>
      </w:pPr>
      <w:r w:rsidRPr="00CC3EC7">
        <w:t>Chief Executive and Director-General, Merseytravel,</w:t>
      </w:r>
      <w:r>
        <w:t xml:space="preserve"> </w:t>
      </w:r>
      <w:r w:rsidRPr="00CC3EC7">
        <w:t>United Kingdom</w:t>
      </w:r>
    </w:p>
    <w:p w14:paraId="18FE683F" w14:textId="216C4C2C" w:rsidR="00A7300E" w:rsidRDefault="00A7300E" w:rsidP="006800C7">
      <w:r w:rsidRPr="00A7300E">
        <w:t>Along with over 40 years’ experience in the transport industry, Neil received the Order of the British Empire for services to public transport in 2005 and in 2011 was awarded an honorary Fellowship from Liverpool John Moores University for his services to the region. Neil is a Vincent Fairfax Fellow after successfully completing a course in Ethical Leadership. In 2021, Neil was awarded the Roads Australia John Shaw Medal in recognition of his outstanding contribution to roads in Australia.</w:t>
      </w:r>
    </w:p>
    <w:p w14:paraId="0B218968" w14:textId="77777777" w:rsidR="006800C7" w:rsidRDefault="006800C7" w:rsidP="006800C7">
      <w:pPr>
        <w:pStyle w:val="ListParagraph"/>
      </w:pPr>
      <w:r w:rsidRPr="00F25458">
        <w:rPr>
          <w:rStyle w:val="Strong"/>
        </w:rPr>
        <w:t>Chief Operations Officer</w:t>
      </w:r>
      <w:r w:rsidRPr="00FF75B2">
        <w:t xml:space="preserve"> </w:t>
      </w:r>
      <w:r w:rsidRPr="00FF75B2">
        <w:br/>
        <w:t xml:space="preserve">Anne Moffat </w:t>
      </w:r>
    </w:p>
    <w:p w14:paraId="20A10E09"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F25458">
        <w:rPr>
          <w:rStyle w:val="Strong"/>
        </w:rPr>
        <w:t>Accessible Transport Network</w:t>
      </w:r>
      <w:r>
        <w:br/>
        <w:t xml:space="preserve">Kevin Cocks </w:t>
      </w:r>
    </w:p>
    <w:p w14:paraId="5DA42C09"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F25458">
        <w:rPr>
          <w:rStyle w:val="Strong"/>
        </w:rPr>
        <w:lastRenderedPageBreak/>
        <w:t>Mobility as a Service</w:t>
      </w:r>
      <w:r>
        <w:t xml:space="preserve"> </w:t>
      </w:r>
      <w:r>
        <w:br/>
        <w:t>Ishra Baksh</w:t>
      </w:r>
    </w:p>
    <w:p w14:paraId="7E3A3B05" w14:textId="77777777" w:rsidR="006800C7" w:rsidRPr="00FF75B2" w:rsidRDefault="006800C7" w:rsidP="006800C7">
      <w:pPr>
        <w:pStyle w:val="ListBullet2"/>
        <w:numPr>
          <w:ilvl w:val="0"/>
          <w:numId w:val="13"/>
        </w:numPr>
        <w:tabs>
          <w:tab w:val="clear" w:pos="1134"/>
          <w:tab w:val="left" w:pos="284"/>
        </w:tabs>
        <w:spacing w:before="120" w:after="0" w:line="0" w:lineRule="atLeast"/>
        <w:ind w:left="568" w:hanging="284"/>
      </w:pPr>
      <w:r w:rsidRPr="00F25458">
        <w:rPr>
          <w:rStyle w:val="Strong"/>
        </w:rPr>
        <w:t>Transport Network Security and Resilience</w:t>
      </w:r>
      <w:r>
        <w:br/>
        <w:t xml:space="preserve">Don Bletchly  </w:t>
      </w:r>
    </w:p>
    <w:p w14:paraId="1AF72249" w14:textId="77777777" w:rsidR="006800C7" w:rsidRPr="00C3522E" w:rsidRDefault="006800C7" w:rsidP="006800C7"/>
    <w:p w14:paraId="15EAFA8D" w14:textId="77777777" w:rsidR="006800C7" w:rsidRDefault="006800C7" w:rsidP="006800C7">
      <w:pPr>
        <w:pStyle w:val="Heading3"/>
      </w:pPr>
      <w:r>
        <w:t>Anne Moffatt</w:t>
      </w:r>
    </w:p>
    <w:p w14:paraId="729AB741" w14:textId="77777777" w:rsidR="006800C7" w:rsidRDefault="006800C7" w:rsidP="006800C7">
      <w:pPr>
        <w:pStyle w:val="Heading4"/>
      </w:pPr>
      <w:r>
        <w:t>Chief Operations Officer</w:t>
      </w:r>
    </w:p>
    <w:p w14:paraId="6575C5C9" w14:textId="0190607C" w:rsidR="00666EFF" w:rsidRPr="00666EFF" w:rsidRDefault="00666EFF" w:rsidP="00666EFF">
      <w:r w:rsidRPr="00666EFF">
        <w:rPr>
          <w:rFonts w:eastAsiaTheme="minorEastAsia" w:cstheme="minorBidi"/>
          <w:i/>
          <w:color w:val="595959" w:themeColor="text1" w:themeTint="A6"/>
          <w:sz w:val="16"/>
        </w:rPr>
        <w:t>BBus, FSBCQ, MAICD</w:t>
      </w:r>
    </w:p>
    <w:p w14:paraId="0FAA0055" w14:textId="77777777" w:rsidR="006800C7" w:rsidRDefault="006800C7" w:rsidP="006800C7">
      <w:pPr>
        <w:pStyle w:val="ListBullet"/>
        <w:numPr>
          <w:ilvl w:val="0"/>
          <w:numId w:val="12"/>
        </w:numPr>
        <w:tabs>
          <w:tab w:val="left" w:pos="284"/>
        </w:tabs>
        <w:spacing w:before="120" w:after="0" w:line="260" w:lineRule="exact"/>
        <w:ind w:left="288" w:hanging="288"/>
      </w:pPr>
      <w:r w:rsidRPr="00CC1C20">
        <w:t>Appointed as Chief Operations Officer in</w:t>
      </w:r>
      <w:r>
        <w:t xml:space="preserve"> </w:t>
      </w:r>
      <w:r w:rsidRPr="00CC1C20">
        <w:t>December 2018</w:t>
      </w:r>
    </w:p>
    <w:p w14:paraId="07DB71C8" w14:textId="77777777" w:rsidR="006800C7" w:rsidRDefault="006800C7" w:rsidP="006800C7">
      <w:pPr>
        <w:pStyle w:val="ListBullet"/>
        <w:numPr>
          <w:ilvl w:val="0"/>
          <w:numId w:val="12"/>
        </w:numPr>
        <w:tabs>
          <w:tab w:val="left" w:pos="284"/>
        </w:tabs>
        <w:spacing w:before="120" w:after="0" w:line="260" w:lineRule="exact"/>
        <w:ind w:left="288" w:hanging="288"/>
      </w:pPr>
      <w:r w:rsidRPr="00CC1C20">
        <w:t>Gender Equity Champion</w:t>
      </w:r>
    </w:p>
    <w:p w14:paraId="31300439" w14:textId="4B01C63C" w:rsidR="00F759D7" w:rsidRDefault="00F759D7" w:rsidP="006800C7">
      <w:r w:rsidRPr="00F759D7">
        <w:t>Anne supports the Director-General with the day-to-day operations of the department allowing the Director-General to focus on strategy, the government’s objectives, and key stakeholder relationships.</w:t>
      </w:r>
    </w:p>
    <w:p w14:paraId="4D31CF3F" w14:textId="77777777" w:rsidR="006800C7" w:rsidRDefault="006800C7" w:rsidP="006800C7">
      <w:r w:rsidRPr="004461C0">
        <w:t>Former positions:</w:t>
      </w:r>
    </w:p>
    <w:p w14:paraId="0AE8793C" w14:textId="77777777" w:rsidR="006800C7" w:rsidRDefault="006800C7" w:rsidP="006800C7">
      <w:pPr>
        <w:pStyle w:val="ListBullet"/>
        <w:numPr>
          <w:ilvl w:val="0"/>
          <w:numId w:val="12"/>
        </w:numPr>
        <w:tabs>
          <w:tab w:val="left" w:pos="284"/>
        </w:tabs>
        <w:spacing w:before="120" w:after="0" w:line="260" w:lineRule="exact"/>
        <w:ind w:left="288" w:hanging="288"/>
      </w:pPr>
      <w:r w:rsidRPr="004461C0">
        <w:t>Project Director South East Queensland Asset Management (Infrastructure Management and Delivery)</w:t>
      </w:r>
    </w:p>
    <w:p w14:paraId="137FA201" w14:textId="77777777" w:rsidR="006800C7" w:rsidRDefault="006800C7" w:rsidP="006800C7">
      <w:pPr>
        <w:pStyle w:val="ListBullet"/>
        <w:numPr>
          <w:ilvl w:val="0"/>
          <w:numId w:val="12"/>
        </w:numPr>
        <w:tabs>
          <w:tab w:val="left" w:pos="284"/>
        </w:tabs>
        <w:spacing w:before="120" w:after="0" w:line="260" w:lineRule="exact"/>
        <w:ind w:left="288" w:hanging="288"/>
      </w:pPr>
      <w:r w:rsidRPr="004461C0">
        <w:t>Executive Director, State Services (Department of the Premier and Cabinet</w:t>
      </w:r>
      <w:r>
        <w:t>)</w:t>
      </w:r>
    </w:p>
    <w:p w14:paraId="2276C47A" w14:textId="77777777" w:rsidR="006800C7" w:rsidRDefault="006800C7" w:rsidP="006800C7">
      <w:pPr>
        <w:pStyle w:val="ListBullet"/>
        <w:numPr>
          <w:ilvl w:val="0"/>
          <w:numId w:val="12"/>
        </w:numPr>
        <w:tabs>
          <w:tab w:val="left" w:pos="284"/>
        </w:tabs>
        <w:spacing w:before="120" w:after="0" w:line="260" w:lineRule="exact"/>
        <w:ind w:left="288" w:hanging="288"/>
      </w:pPr>
      <w:r w:rsidRPr="004461C0">
        <w:t>Executive Director (Planning Management, Planning</w:t>
      </w:r>
      <w:r>
        <w:t xml:space="preserve"> </w:t>
      </w:r>
      <w:r w:rsidRPr="004461C0">
        <w:t>and Investment)</w:t>
      </w:r>
    </w:p>
    <w:p w14:paraId="415C3411" w14:textId="77777777" w:rsidR="006800C7" w:rsidRDefault="006800C7" w:rsidP="006800C7">
      <w:pPr>
        <w:pStyle w:val="ListBullet"/>
        <w:numPr>
          <w:ilvl w:val="0"/>
          <w:numId w:val="12"/>
        </w:numPr>
        <w:tabs>
          <w:tab w:val="left" w:pos="284"/>
        </w:tabs>
        <w:spacing w:before="120" w:after="0" w:line="260" w:lineRule="exact"/>
        <w:ind w:left="288" w:hanging="288"/>
      </w:pPr>
      <w:r w:rsidRPr="004461C0">
        <w:t>Executive Director, Strategy and Policy (Passenger Transport)</w:t>
      </w:r>
    </w:p>
    <w:p w14:paraId="69325C0C" w14:textId="1C56C816" w:rsidR="00874A3B" w:rsidRDefault="00874A3B" w:rsidP="006800C7">
      <w:r w:rsidRPr="00874A3B">
        <w:t>Anne has more than 20 years’ experience across both state and local government in Queensland. She has held a number of senior roles across the infrastructure programming and delivery areas, as well as urban and regional planning. She has delivered a number of large policy and engagement projects, plus reform agendas.</w:t>
      </w:r>
    </w:p>
    <w:p w14:paraId="696143D0" w14:textId="77777777" w:rsidR="006800C7" w:rsidRDefault="006800C7" w:rsidP="006800C7">
      <w:pPr>
        <w:pStyle w:val="ListParagraph"/>
      </w:pPr>
      <w:r w:rsidRPr="00F25458">
        <w:rPr>
          <w:rStyle w:val="Strong"/>
        </w:rPr>
        <w:t>Policy, Planning and Investment</w:t>
      </w:r>
      <w:r>
        <w:t xml:space="preserve"> </w:t>
      </w:r>
      <w:r>
        <w:br/>
        <w:t xml:space="preserve">Julie Mitchell </w:t>
      </w:r>
    </w:p>
    <w:p w14:paraId="53736624"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F25458">
        <w:rPr>
          <w:rStyle w:val="Strong"/>
        </w:rPr>
        <w:t>Customer Experience</w:t>
      </w:r>
      <w:r>
        <w:t xml:space="preserve"> </w:t>
      </w:r>
      <w:r>
        <w:br/>
        <w:t>Julie Salsbury</w:t>
      </w:r>
    </w:p>
    <w:p w14:paraId="0D225C48"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F25458">
        <w:rPr>
          <w:rStyle w:val="Strong"/>
        </w:rPr>
        <w:t>Transport Strategy and Planning</w:t>
      </w:r>
      <w:r>
        <w:t xml:space="preserve"> </w:t>
      </w:r>
      <w:r>
        <w:br/>
        <w:t xml:space="preserve">Joshua Hannan </w:t>
      </w:r>
    </w:p>
    <w:p w14:paraId="7A3AEA87"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F25458">
        <w:rPr>
          <w:rStyle w:val="Strong"/>
        </w:rPr>
        <w:t>Portfolio Investment and Programming</w:t>
      </w:r>
      <w:r>
        <w:t xml:space="preserve"> </w:t>
      </w:r>
      <w:r>
        <w:br/>
        <w:t xml:space="preserve">Tony Philp </w:t>
      </w:r>
    </w:p>
    <w:p w14:paraId="21341A20" w14:textId="7CBDF077" w:rsidR="00510AA3" w:rsidRDefault="006800C7" w:rsidP="00510AA3">
      <w:pPr>
        <w:pStyle w:val="ListBullet2"/>
        <w:numPr>
          <w:ilvl w:val="0"/>
          <w:numId w:val="13"/>
        </w:numPr>
        <w:tabs>
          <w:tab w:val="clear" w:pos="1134"/>
          <w:tab w:val="left" w:pos="284"/>
        </w:tabs>
        <w:spacing w:before="120" w:after="0" w:line="0" w:lineRule="atLeast"/>
        <w:ind w:left="568" w:hanging="284"/>
      </w:pPr>
      <w:r w:rsidRPr="00F25458">
        <w:rPr>
          <w:rStyle w:val="Strong"/>
        </w:rPr>
        <w:t>Transport Policy</w:t>
      </w:r>
      <w:r>
        <w:t xml:space="preserve"> </w:t>
      </w:r>
      <w:r>
        <w:br/>
        <w:t>Lucinda Hoffman</w:t>
      </w:r>
    </w:p>
    <w:p w14:paraId="1A2A6431" w14:textId="77777777" w:rsidR="00510AA3" w:rsidRPr="00392BF5" w:rsidRDefault="00510AA3" w:rsidP="00510AA3"/>
    <w:p w14:paraId="71BD8DE7" w14:textId="77777777" w:rsidR="006800C7" w:rsidRDefault="006800C7" w:rsidP="006800C7">
      <w:pPr>
        <w:pStyle w:val="Heading3"/>
      </w:pPr>
      <w:r>
        <w:t>Julie Mitchell</w:t>
      </w:r>
    </w:p>
    <w:p w14:paraId="0FF9DDF1" w14:textId="77777777" w:rsidR="006800C7" w:rsidRDefault="006800C7" w:rsidP="006800C7">
      <w:pPr>
        <w:pStyle w:val="Heading4"/>
      </w:pPr>
      <w:r>
        <w:t>Deputy Director-General (Policy, Planning and Investment)</w:t>
      </w:r>
    </w:p>
    <w:p w14:paraId="7FC42650" w14:textId="77777777" w:rsidR="006800C7" w:rsidRDefault="006800C7" w:rsidP="006800C7">
      <w:pPr>
        <w:pStyle w:val="Subtitle"/>
      </w:pPr>
      <w:r w:rsidRPr="009A4EB5">
        <w:t>BE, MBA, MEnvMan, FIEAust, RPEQ, GAICD</w:t>
      </w:r>
      <w:r>
        <w:t>, PSM</w:t>
      </w:r>
    </w:p>
    <w:p w14:paraId="6F59F9BE" w14:textId="4536B53B" w:rsidR="00A847FF" w:rsidRPr="00A847FF" w:rsidRDefault="00A847FF" w:rsidP="00A847FF">
      <w:pPr>
        <w:pStyle w:val="ListBullet"/>
      </w:pPr>
      <w:r w:rsidRPr="00A847FF">
        <w:t>Appointed as Deputy Director-General (Policy, Planning and Investment) March 2018</w:t>
      </w:r>
    </w:p>
    <w:p w14:paraId="69CED1C0" w14:textId="6ECB7082" w:rsidR="00A847FF" w:rsidRPr="00A847FF" w:rsidRDefault="00A847FF" w:rsidP="00A847FF">
      <w:pPr>
        <w:pStyle w:val="ListBullet"/>
      </w:pPr>
      <w:r w:rsidRPr="00A847FF">
        <w:t>Champion for Innovation and Digital Capability</w:t>
      </w:r>
    </w:p>
    <w:p w14:paraId="3E51A9F6" w14:textId="04527245" w:rsidR="00A847FF" w:rsidRPr="00A847FF" w:rsidRDefault="00A847FF" w:rsidP="00A847FF">
      <w:pPr>
        <w:pStyle w:val="ListBullet"/>
      </w:pPr>
      <w:r w:rsidRPr="00A847FF">
        <w:t>Registered Professional Engineer, Fellow of Engineers Australia</w:t>
      </w:r>
    </w:p>
    <w:p w14:paraId="203062DA" w14:textId="304ED9BF" w:rsidR="00A847FF" w:rsidRPr="00A847FF" w:rsidRDefault="00A847FF" w:rsidP="00A847FF">
      <w:pPr>
        <w:pStyle w:val="ListBullet"/>
      </w:pPr>
      <w:r w:rsidRPr="00A847FF">
        <w:lastRenderedPageBreak/>
        <w:t>Public Service Medal Recipient 2018</w:t>
      </w:r>
    </w:p>
    <w:p w14:paraId="5176A69F" w14:textId="6DD50B54" w:rsidR="00BD4137" w:rsidRDefault="00BD4137" w:rsidP="00BD4137">
      <w:r>
        <w:t>Julie sets the future direction of the transport system in Queensland. She defines and shapes the long-term vision, key strategies, policies and plans for TMR’s integrated transport network. Julie drives the planning, economic and sustainability policy solutions that support the safe and efficient movement of people and goods, while driving value and a positive customer experience for the community.</w:t>
      </w:r>
    </w:p>
    <w:p w14:paraId="544518D0" w14:textId="27D479D5" w:rsidR="00BD4137" w:rsidRDefault="00BD4137" w:rsidP="00BD4137">
      <w:r>
        <w:t>She ensures the investment across road, rail and public transport, active transport, and freight networks is balanced as part of a single integrated transport network.</w:t>
      </w:r>
    </w:p>
    <w:p w14:paraId="10AC3013" w14:textId="205FD41F" w:rsidR="006800C7" w:rsidRDefault="00BD4137" w:rsidP="006800C7">
      <w:r>
        <w:t>Julie is a highly respected leader with over 30 years’ civil engineering experience which covers a broad range of transport related engineering and leadership roles including Chief Engineer for eight years.</w:t>
      </w:r>
    </w:p>
    <w:p w14:paraId="38BD1242" w14:textId="77777777" w:rsidR="006800C7" w:rsidRDefault="006800C7" w:rsidP="006800C7">
      <w:pPr>
        <w:pStyle w:val="ListParagraph"/>
      </w:pPr>
      <w:r w:rsidRPr="00AE0876">
        <w:rPr>
          <w:rStyle w:val="Strong"/>
        </w:rPr>
        <w:t>Infrastructure Management and Delivery</w:t>
      </w:r>
      <w:r>
        <w:t xml:space="preserve"> </w:t>
      </w:r>
      <w:r>
        <w:br/>
        <w:t xml:space="preserve">Amanda Yeates </w:t>
      </w:r>
    </w:p>
    <w:p w14:paraId="48724126"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1C06EB">
        <w:rPr>
          <w:rStyle w:val="Strong"/>
        </w:rPr>
        <w:t>Engineering and Technology</w:t>
      </w:r>
      <w:r>
        <w:t xml:space="preserve"> </w:t>
      </w:r>
      <w:r>
        <w:br/>
        <w:t xml:space="preserve">Dennis Walsh </w:t>
      </w:r>
    </w:p>
    <w:p w14:paraId="623A1A1B" w14:textId="54328894" w:rsidR="006800C7" w:rsidRDefault="006800C7" w:rsidP="006800C7">
      <w:pPr>
        <w:pStyle w:val="ListBullet2"/>
        <w:numPr>
          <w:ilvl w:val="0"/>
          <w:numId w:val="13"/>
        </w:numPr>
        <w:tabs>
          <w:tab w:val="clear" w:pos="1134"/>
          <w:tab w:val="left" w:pos="284"/>
        </w:tabs>
        <w:spacing w:before="120" w:after="0" w:line="0" w:lineRule="atLeast"/>
        <w:ind w:left="568" w:hanging="284"/>
      </w:pPr>
      <w:r w:rsidRPr="001C06EB">
        <w:rPr>
          <w:rStyle w:val="Strong"/>
        </w:rPr>
        <w:t>Program Delivery and Operations</w:t>
      </w:r>
      <w:r>
        <w:t xml:space="preserve"> </w:t>
      </w:r>
      <w:r>
        <w:br/>
      </w:r>
      <w:r w:rsidR="00BD4137">
        <w:t>Ann Maree Knox</w:t>
      </w:r>
      <w:r>
        <w:t xml:space="preserve"> </w:t>
      </w:r>
    </w:p>
    <w:p w14:paraId="6A086CB3" w14:textId="4E8908CB" w:rsidR="006800C7" w:rsidRDefault="006800C7" w:rsidP="006800C7">
      <w:pPr>
        <w:pStyle w:val="ListBullet2"/>
        <w:numPr>
          <w:ilvl w:val="0"/>
          <w:numId w:val="13"/>
        </w:numPr>
        <w:tabs>
          <w:tab w:val="clear" w:pos="1134"/>
          <w:tab w:val="left" w:pos="284"/>
        </w:tabs>
        <w:spacing w:before="120" w:after="0" w:line="0" w:lineRule="atLeast"/>
        <w:ind w:left="568" w:hanging="284"/>
      </w:pPr>
      <w:r w:rsidRPr="001C06EB">
        <w:rPr>
          <w:rStyle w:val="Strong"/>
        </w:rPr>
        <w:t>RoadTek</w:t>
      </w:r>
      <w:r>
        <w:t xml:space="preserve"> </w:t>
      </w:r>
      <w:r>
        <w:br/>
      </w:r>
      <w:r w:rsidR="00BD4137">
        <w:t>Kym Murphy</w:t>
      </w:r>
    </w:p>
    <w:p w14:paraId="5B0547CC" w14:textId="77777777" w:rsidR="00510AA3" w:rsidRDefault="00510AA3" w:rsidP="00510AA3"/>
    <w:p w14:paraId="603F08A2" w14:textId="175961AF" w:rsidR="006800C7" w:rsidRDefault="006800C7" w:rsidP="006800C7">
      <w:pPr>
        <w:pStyle w:val="Heading3"/>
      </w:pPr>
      <w:r>
        <w:t>Amanda Yeates</w:t>
      </w:r>
    </w:p>
    <w:p w14:paraId="6D3B277C" w14:textId="77777777" w:rsidR="006800C7" w:rsidRDefault="006800C7" w:rsidP="006800C7">
      <w:pPr>
        <w:pStyle w:val="Heading4"/>
      </w:pPr>
      <w:r>
        <w:t>Deputy Director-General (Infrastructure Management and Delivery)</w:t>
      </w:r>
    </w:p>
    <w:p w14:paraId="1166AAD3" w14:textId="77777777" w:rsidR="006800C7" w:rsidRPr="000A2D3B" w:rsidRDefault="006800C7" w:rsidP="006800C7">
      <w:pPr>
        <w:pStyle w:val="Subtitle"/>
      </w:pPr>
      <w:r w:rsidRPr="000A2D3B">
        <w:t>BE (Civil), RPEQ, FIEAust, CPEng, EngExec, NER, APEC Engineer, IntPE(Aus), MAICD</w:t>
      </w:r>
      <w:r w:rsidRPr="0007732D">
        <w:t xml:space="preserve"> </w:t>
      </w:r>
    </w:p>
    <w:p w14:paraId="2AB40DFC" w14:textId="77777777" w:rsidR="006800C7" w:rsidRDefault="006800C7" w:rsidP="006800C7">
      <w:pPr>
        <w:pStyle w:val="ListBullet"/>
        <w:numPr>
          <w:ilvl w:val="0"/>
          <w:numId w:val="12"/>
        </w:numPr>
        <w:tabs>
          <w:tab w:val="left" w:pos="284"/>
        </w:tabs>
        <w:spacing w:before="120" w:after="0" w:line="260" w:lineRule="exact"/>
        <w:ind w:left="288" w:hanging="288"/>
      </w:pPr>
      <w:r w:rsidRPr="00D525CC">
        <w:t>Appointed Deputy Director-General July 2018</w:t>
      </w:r>
    </w:p>
    <w:p w14:paraId="58895243" w14:textId="77777777" w:rsidR="006800C7" w:rsidRDefault="006800C7" w:rsidP="006800C7">
      <w:pPr>
        <w:pStyle w:val="ListBullet"/>
        <w:numPr>
          <w:ilvl w:val="0"/>
          <w:numId w:val="12"/>
        </w:numPr>
        <w:tabs>
          <w:tab w:val="left" w:pos="284"/>
        </w:tabs>
        <w:spacing w:before="120" w:after="0" w:line="260" w:lineRule="exact"/>
        <w:ind w:left="288" w:hanging="288"/>
      </w:pPr>
      <w:r w:rsidRPr="00D525CC">
        <w:t>Registered Professional Engineer, Fellow of</w:t>
      </w:r>
      <w:r>
        <w:t xml:space="preserve"> </w:t>
      </w:r>
      <w:r w:rsidRPr="00D525CC">
        <w:t>Engineers Australia</w:t>
      </w:r>
    </w:p>
    <w:p w14:paraId="2725CCC0" w14:textId="77777777" w:rsidR="006800C7" w:rsidRDefault="006800C7" w:rsidP="006800C7">
      <w:pPr>
        <w:pStyle w:val="ListBullet"/>
        <w:numPr>
          <w:ilvl w:val="0"/>
          <w:numId w:val="12"/>
        </w:numPr>
        <w:tabs>
          <w:tab w:val="left" w:pos="284"/>
        </w:tabs>
        <w:spacing w:before="120" w:after="0" w:line="260" w:lineRule="exact"/>
        <w:ind w:left="288" w:hanging="288"/>
      </w:pPr>
      <w:r w:rsidRPr="00D525CC">
        <w:t>Champion for Health, Safety and Wellbeing</w:t>
      </w:r>
    </w:p>
    <w:p w14:paraId="3E999212" w14:textId="487DC62D" w:rsidR="00027FFA" w:rsidRDefault="00027FFA" w:rsidP="006800C7">
      <w:r w:rsidRPr="00027FFA">
        <w:t>Amanda oversees the delivery of the integrated program of infrastructure projects and the maintenance and operation of the state-controlled road network. This includes delivery of the majority of the department’s $29.7 billion program of works over four years (QTRIP 2022–23 to 2025–26).</w:t>
      </w:r>
    </w:p>
    <w:p w14:paraId="7E8D0861" w14:textId="77777777" w:rsidR="006800C7" w:rsidRDefault="006800C7" w:rsidP="006800C7">
      <w:r w:rsidRPr="00D525CC">
        <w:t>Former positions:</w:t>
      </w:r>
    </w:p>
    <w:p w14:paraId="0387654E" w14:textId="77777777" w:rsidR="006800C7" w:rsidRDefault="006800C7" w:rsidP="006800C7">
      <w:pPr>
        <w:pStyle w:val="ListBullet"/>
        <w:numPr>
          <w:ilvl w:val="0"/>
          <w:numId w:val="12"/>
        </w:numPr>
        <w:tabs>
          <w:tab w:val="left" w:pos="284"/>
        </w:tabs>
        <w:spacing w:before="120" w:after="0" w:line="260" w:lineRule="exact"/>
        <w:ind w:left="288" w:hanging="288"/>
      </w:pPr>
      <w:r w:rsidRPr="00D525CC">
        <w:t>General Manager (Program Delivery and Operations)</w:t>
      </w:r>
    </w:p>
    <w:p w14:paraId="7C4622BF" w14:textId="77777777" w:rsidR="006800C7" w:rsidRDefault="006800C7" w:rsidP="006800C7">
      <w:pPr>
        <w:pStyle w:val="ListBullet"/>
        <w:numPr>
          <w:ilvl w:val="0"/>
          <w:numId w:val="12"/>
        </w:numPr>
        <w:tabs>
          <w:tab w:val="left" w:pos="284"/>
        </w:tabs>
        <w:spacing w:before="120" w:after="0" w:line="260" w:lineRule="exact"/>
        <w:ind w:left="288" w:hanging="288"/>
      </w:pPr>
      <w:r w:rsidRPr="00D525CC">
        <w:t>General Manager (Integrated Transport Planning)</w:t>
      </w:r>
    </w:p>
    <w:p w14:paraId="29AFE92E" w14:textId="77777777" w:rsidR="006800C7" w:rsidRDefault="006800C7" w:rsidP="006800C7">
      <w:pPr>
        <w:pStyle w:val="ListBullet"/>
        <w:numPr>
          <w:ilvl w:val="0"/>
          <w:numId w:val="12"/>
        </w:numPr>
        <w:tabs>
          <w:tab w:val="left" w:pos="284"/>
        </w:tabs>
        <w:spacing w:before="120" w:after="0" w:line="260" w:lineRule="exact"/>
        <w:ind w:left="288" w:hanging="288"/>
      </w:pPr>
      <w:r w:rsidRPr="00D525CC">
        <w:t>Regional Director (North Coast and Wide Bay Burnett)</w:t>
      </w:r>
    </w:p>
    <w:p w14:paraId="5C9163D9" w14:textId="77777777" w:rsidR="006800C7" w:rsidRDefault="006800C7" w:rsidP="006800C7">
      <w:pPr>
        <w:pStyle w:val="ListBullet"/>
        <w:numPr>
          <w:ilvl w:val="0"/>
          <w:numId w:val="12"/>
        </w:numPr>
        <w:tabs>
          <w:tab w:val="left" w:pos="284"/>
        </w:tabs>
        <w:spacing w:before="120" w:after="0" w:line="260" w:lineRule="exact"/>
        <w:ind w:left="288" w:hanging="288"/>
      </w:pPr>
      <w:r w:rsidRPr="00D525CC">
        <w:t>Deputy Regional Director (Metropolitan Region)</w:t>
      </w:r>
    </w:p>
    <w:p w14:paraId="50B06960" w14:textId="77777777" w:rsidR="006800C7" w:rsidRDefault="006800C7" w:rsidP="006800C7">
      <w:r w:rsidRPr="00D525CC">
        <w:t>With over 20 years’ civil engineering experience, Amanda sets and leads the strategic direction for best practice infrastructure management and delivery and the department’s role in driving economic vibrancy and shaping local communities.</w:t>
      </w:r>
    </w:p>
    <w:p w14:paraId="1AC77725" w14:textId="77777777" w:rsidR="006800C7" w:rsidRDefault="006800C7" w:rsidP="006800C7">
      <w:pPr>
        <w:pStyle w:val="ListParagraph"/>
      </w:pPr>
      <w:r w:rsidRPr="00722D11">
        <w:rPr>
          <w:rStyle w:val="Strong"/>
        </w:rPr>
        <w:t>Customer Service, Safety and Regulation</w:t>
      </w:r>
      <w:r>
        <w:t xml:space="preserve"> </w:t>
      </w:r>
      <w:r>
        <w:br/>
        <w:t xml:space="preserve">Mike Stapleton </w:t>
      </w:r>
    </w:p>
    <w:p w14:paraId="7132962A"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722D11">
        <w:rPr>
          <w:rStyle w:val="Strong"/>
        </w:rPr>
        <w:lastRenderedPageBreak/>
        <w:t>Customer Services</w:t>
      </w:r>
      <w:r>
        <w:t xml:space="preserve"> </w:t>
      </w:r>
      <w:r>
        <w:br/>
        <w:t xml:space="preserve">Geoff Magoffin </w:t>
      </w:r>
    </w:p>
    <w:p w14:paraId="3CB7AD4A"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722D11">
        <w:rPr>
          <w:rStyle w:val="Strong"/>
        </w:rPr>
        <w:t>Land Transport Safety and Regulation</w:t>
      </w:r>
      <w:r>
        <w:t xml:space="preserve"> </w:t>
      </w:r>
      <w:r>
        <w:br/>
        <w:t xml:space="preserve">Andrew Mahon </w:t>
      </w:r>
    </w:p>
    <w:p w14:paraId="6D7FB63D" w14:textId="757226CB" w:rsidR="006800C7" w:rsidRDefault="006800C7" w:rsidP="006800C7">
      <w:pPr>
        <w:pStyle w:val="ListBullet2"/>
        <w:numPr>
          <w:ilvl w:val="0"/>
          <w:numId w:val="13"/>
        </w:numPr>
        <w:tabs>
          <w:tab w:val="clear" w:pos="1134"/>
          <w:tab w:val="left" w:pos="284"/>
        </w:tabs>
        <w:spacing w:before="120" w:after="0" w:line="0" w:lineRule="atLeast"/>
        <w:ind w:left="568" w:hanging="284"/>
      </w:pPr>
      <w:r w:rsidRPr="00722D11">
        <w:rPr>
          <w:rStyle w:val="Strong"/>
        </w:rPr>
        <w:t>Maritime Safety Queensland</w:t>
      </w:r>
      <w:r>
        <w:t xml:space="preserve"> </w:t>
      </w:r>
      <w:r>
        <w:br/>
      </w:r>
      <w:r w:rsidR="00305475">
        <w:t>Kell Dillon</w:t>
      </w:r>
      <w:r>
        <w:t xml:space="preserve"> </w:t>
      </w:r>
    </w:p>
    <w:p w14:paraId="40D360AD" w14:textId="77777777" w:rsidR="00510AA3" w:rsidRDefault="00510AA3" w:rsidP="00510AA3"/>
    <w:p w14:paraId="459AF8B5" w14:textId="74A0330D" w:rsidR="006800C7" w:rsidRDefault="006800C7" w:rsidP="006800C7">
      <w:pPr>
        <w:pStyle w:val="Heading3"/>
      </w:pPr>
      <w:r>
        <w:t>Mike Stapleton</w:t>
      </w:r>
    </w:p>
    <w:p w14:paraId="6543FF3C" w14:textId="77777777" w:rsidR="006800C7" w:rsidRDefault="006800C7" w:rsidP="006800C7">
      <w:pPr>
        <w:pStyle w:val="Heading4"/>
      </w:pPr>
      <w:r>
        <w:t>Deputy Director-General (Customer Services, Safety and Regulation)</w:t>
      </w:r>
    </w:p>
    <w:p w14:paraId="7CA38592" w14:textId="77777777" w:rsidR="006800C7" w:rsidRPr="000A2D3B" w:rsidRDefault="006800C7" w:rsidP="006800C7">
      <w:pPr>
        <w:pStyle w:val="Subtitle"/>
      </w:pPr>
      <w:r w:rsidRPr="000A2D3B">
        <w:t>BBus, MPA, MANCAP, MNRSS, MAustroads, MQLCSG</w:t>
      </w:r>
    </w:p>
    <w:p w14:paraId="5F3B67BF" w14:textId="2630C50F" w:rsidR="00EC57F3" w:rsidRPr="00EC57F3" w:rsidRDefault="00EC57F3" w:rsidP="00EC57F3">
      <w:pPr>
        <w:pStyle w:val="ListBullet"/>
      </w:pPr>
      <w:r w:rsidRPr="00EC57F3">
        <w:t>Appointed as Deputy Director-General (Customer Services, Safety and Regulation) January 2016 to</w:t>
      </w:r>
      <w:r>
        <w:t xml:space="preserve"> </w:t>
      </w:r>
      <w:r w:rsidRPr="00EC57F3">
        <w:t>17 September 2021</w:t>
      </w:r>
    </w:p>
    <w:p w14:paraId="002DBD2D" w14:textId="23D243E8" w:rsidR="00EC57F3" w:rsidRPr="00EC57F3" w:rsidRDefault="00EC57F3" w:rsidP="00EC57F3">
      <w:pPr>
        <w:pStyle w:val="ListBullet"/>
      </w:pPr>
      <w:r w:rsidRPr="00EC57F3">
        <w:t>Champion for Inclusion and Diversity</w:t>
      </w:r>
    </w:p>
    <w:p w14:paraId="54547FB6" w14:textId="2EBC1A5F" w:rsidR="00CD141F" w:rsidRDefault="00CD141F" w:rsidP="006800C7">
      <w:r w:rsidRPr="00CD141F">
        <w:t>Mike oversaw the delivery of safety, regulatory and transactional transport services for the department. This division is critical to TMR’s current and future transport system, managing the State’s regulation, marine, road safety and frontline services for Queenslanders.</w:t>
      </w:r>
    </w:p>
    <w:p w14:paraId="5DBDD6CB" w14:textId="77777777" w:rsidR="006800C7" w:rsidRDefault="006800C7" w:rsidP="006800C7">
      <w:r w:rsidRPr="00237178">
        <w:t>Former positions:</w:t>
      </w:r>
    </w:p>
    <w:p w14:paraId="56E619FD" w14:textId="77777777" w:rsidR="006800C7" w:rsidRDefault="006800C7" w:rsidP="006800C7">
      <w:pPr>
        <w:pStyle w:val="ListBullet"/>
        <w:numPr>
          <w:ilvl w:val="0"/>
          <w:numId w:val="12"/>
        </w:numPr>
        <w:tabs>
          <w:tab w:val="left" w:pos="284"/>
        </w:tabs>
        <w:spacing w:before="120" w:after="0" w:line="260" w:lineRule="exact"/>
        <w:ind w:left="288" w:hanging="288"/>
      </w:pPr>
      <w:r w:rsidRPr="00237178">
        <w:t>Deputy Director-General (Infrastructure Management</w:t>
      </w:r>
      <w:r>
        <w:t xml:space="preserve"> </w:t>
      </w:r>
      <w:r w:rsidRPr="00237178">
        <w:t>and Delivery)</w:t>
      </w:r>
    </w:p>
    <w:p w14:paraId="547FDC7F" w14:textId="77777777" w:rsidR="006800C7" w:rsidRDefault="006800C7" w:rsidP="006800C7">
      <w:pPr>
        <w:pStyle w:val="ListBullet"/>
        <w:numPr>
          <w:ilvl w:val="0"/>
          <w:numId w:val="12"/>
        </w:numPr>
        <w:tabs>
          <w:tab w:val="left" w:pos="284"/>
        </w:tabs>
        <w:spacing w:before="120" w:after="0" w:line="260" w:lineRule="exact"/>
        <w:ind w:left="288" w:hanging="288"/>
      </w:pPr>
      <w:r w:rsidRPr="00237178">
        <w:t>General Manager (Land Transport Safety)</w:t>
      </w:r>
    </w:p>
    <w:p w14:paraId="147CB3E2" w14:textId="108800E9" w:rsidR="00F479EC" w:rsidRDefault="00A7476F" w:rsidP="00A7476F">
      <w:r>
        <w:t>Mike worked in the state public transport sector in finance, general management, and transport safety roles for more than 20 years, delivering key road safety initiatives including graduated licensing, alcohol interlocks and immediate suspension for reoffending drink drivers, and the expansion of the Camera Detected Offence Program.</w:t>
      </w:r>
    </w:p>
    <w:p w14:paraId="182A515D" w14:textId="4C97919B" w:rsidR="00F479EC" w:rsidRDefault="00F479EC" w:rsidP="006800C7"/>
    <w:p w14:paraId="406D5622" w14:textId="625410CF" w:rsidR="00A7476F" w:rsidRDefault="00A7476F" w:rsidP="00A7476F">
      <w:pPr>
        <w:pStyle w:val="Heading3"/>
      </w:pPr>
      <w:r>
        <w:t>Geoff Magoffin</w:t>
      </w:r>
    </w:p>
    <w:p w14:paraId="3D8E1D3C" w14:textId="3B19809A" w:rsidR="00A7476F" w:rsidRDefault="00A7476F" w:rsidP="00A7476F">
      <w:pPr>
        <w:pStyle w:val="Heading4"/>
      </w:pPr>
      <w:r>
        <w:t>A/Deputy Director-General (Customer Services, Safety and Regulation)</w:t>
      </w:r>
    </w:p>
    <w:p w14:paraId="75D1CDC4" w14:textId="72E40A52" w:rsidR="00585747" w:rsidRPr="00585747" w:rsidRDefault="00585747" w:rsidP="00585747">
      <w:r w:rsidRPr="00585747">
        <w:rPr>
          <w:rFonts w:eastAsiaTheme="minorEastAsia" w:cstheme="minorBidi"/>
          <w:i/>
          <w:color w:val="595959" w:themeColor="text1" w:themeTint="A6"/>
          <w:sz w:val="16"/>
        </w:rPr>
        <w:t>MBA, GradDipBusAdmin, GradCertMgt, GAICD</w:t>
      </w:r>
    </w:p>
    <w:p w14:paraId="1204EA03" w14:textId="77777777" w:rsidR="00A7476F" w:rsidRPr="00EC57F3" w:rsidRDefault="00A7476F" w:rsidP="00A7476F">
      <w:pPr>
        <w:pStyle w:val="ListBullet"/>
      </w:pPr>
      <w:r w:rsidRPr="00EC57F3">
        <w:t>Appointed as Deputy Director-General (Customer Services, Safety and Regulation) January 2016 to</w:t>
      </w:r>
      <w:r>
        <w:t xml:space="preserve"> </w:t>
      </w:r>
      <w:r w:rsidRPr="00EC57F3">
        <w:t>17 September 2021</w:t>
      </w:r>
    </w:p>
    <w:p w14:paraId="61923141" w14:textId="77777777" w:rsidR="00A7476F" w:rsidRPr="00EC57F3" w:rsidRDefault="00A7476F" w:rsidP="00A7476F">
      <w:pPr>
        <w:pStyle w:val="ListBullet"/>
      </w:pPr>
      <w:r w:rsidRPr="00EC57F3">
        <w:t>Champion for Inclusion and Diversity</w:t>
      </w:r>
    </w:p>
    <w:p w14:paraId="6F70635B" w14:textId="4991A195" w:rsidR="00806081" w:rsidRDefault="00806081" w:rsidP="00A7476F">
      <w:r w:rsidRPr="00806081">
        <w:t>Geoff oversees the delivery of safety, regulatory and transactional transport services for the department. This division is critical to TMR’s current and future transport system, managing the State’s regulation, marine, road safety and frontline services for Queenslanders.</w:t>
      </w:r>
    </w:p>
    <w:p w14:paraId="6AA06F09" w14:textId="77777777" w:rsidR="00A7476F" w:rsidRDefault="00A7476F" w:rsidP="00A7476F">
      <w:r w:rsidRPr="00237178">
        <w:t>Former positions:</w:t>
      </w:r>
    </w:p>
    <w:p w14:paraId="0A7B5AE2" w14:textId="0E269225" w:rsidR="00A7476F" w:rsidRDefault="00A7476F" w:rsidP="00A7476F">
      <w:pPr>
        <w:pStyle w:val="ListBullet"/>
        <w:numPr>
          <w:ilvl w:val="0"/>
          <w:numId w:val="12"/>
        </w:numPr>
        <w:tabs>
          <w:tab w:val="left" w:pos="284"/>
        </w:tabs>
        <w:spacing w:before="120" w:after="0" w:line="260" w:lineRule="exact"/>
        <w:ind w:left="288" w:hanging="288"/>
      </w:pPr>
      <w:r w:rsidRPr="00237178">
        <w:lastRenderedPageBreak/>
        <w:t>General Manager (</w:t>
      </w:r>
      <w:r w:rsidR="00806081">
        <w:t xml:space="preserve">Customer Services) </w:t>
      </w:r>
    </w:p>
    <w:p w14:paraId="0DA39006" w14:textId="70FE04AD" w:rsidR="00F479EC" w:rsidRDefault="006E77B4" w:rsidP="006800C7">
      <w:r w:rsidRPr="006E77B4">
        <w:t>For over 30 years, Geoff has held leadership positions within the customer service industry, initially as a Stock and Station Agent with Elders, before starting a banking career with QIDC (now Suncorp) in 1991. Geoff’s banking career spanned 20 years, primarily in senior agribusiness management roles in Suncorp, before taking up a senior executive position with Rural Bank as the State Manager for New South Wales, Queensland and the Northern Territory.</w:t>
      </w:r>
    </w:p>
    <w:p w14:paraId="123C2A29" w14:textId="4C9B0FC1" w:rsidR="006800C7" w:rsidRDefault="006800C7" w:rsidP="006800C7">
      <w:pPr>
        <w:pStyle w:val="ListParagraph"/>
      </w:pPr>
      <w:r w:rsidRPr="007834AF">
        <w:rPr>
          <w:rStyle w:val="Strong"/>
        </w:rPr>
        <w:t>TransLink</w:t>
      </w:r>
      <w:r>
        <w:br/>
      </w:r>
      <w:r w:rsidR="006E77B4">
        <w:t>Sally Stannard</w:t>
      </w:r>
      <w:r>
        <w:t xml:space="preserve"> </w:t>
      </w:r>
    </w:p>
    <w:p w14:paraId="292A217D"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145D87">
        <w:rPr>
          <w:rStyle w:val="Strong"/>
        </w:rPr>
        <w:t>Strategic Rail</w:t>
      </w:r>
      <w:r>
        <w:t xml:space="preserve"> </w:t>
      </w:r>
      <w:r>
        <w:br/>
        <w:t>Jane Brander</w:t>
      </w:r>
    </w:p>
    <w:p w14:paraId="505393E6"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B311FC">
        <w:rPr>
          <w:rStyle w:val="Strong"/>
        </w:rPr>
        <w:t>Passenger Transport Strategy and Technology</w:t>
      </w:r>
      <w:r>
        <w:t xml:space="preserve"> </w:t>
      </w:r>
      <w:r>
        <w:br/>
        <w:t>Martin Bradshaw</w:t>
      </w:r>
    </w:p>
    <w:p w14:paraId="315DB014"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FA5B5F">
        <w:rPr>
          <w:rStyle w:val="Strong"/>
        </w:rPr>
        <w:t>Passenger Transport Services</w:t>
      </w:r>
      <w:r>
        <w:t xml:space="preserve"> </w:t>
      </w:r>
      <w:r>
        <w:br/>
        <w:t xml:space="preserve">Graham Davis </w:t>
      </w:r>
    </w:p>
    <w:p w14:paraId="7238BAB7"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FA5B5F">
        <w:rPr>
          <w:rStyle w:val="Strong"/>
        </w:rPr>
        <w:t>Passenger Rollingstock and Signalling</w:t>
      </w:r>
      <w:r>
        <w:br/>
        <w:t xml:space="preserve">Tim Dighton </w:t>
      </w:r>
    </w:p>
    <w:p w14:paraId="055FFB51"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FA5B5F">
        <w:rPr>
          <w:rStyle w:val="Strong"/>
        </w:rPr>
        <w:t>Passenger Transport Integration</w:t>
      </w:r>
      <w:r>
        <w:t xml:space="preserve"> </w:t>
      </w:r>
      <w:r>
        <w:br/>
        <w:t xml:space="preserve">Peter Milward </w:t>
      </w:r>
    </w:p>
    <w:p w14:paraId="79677CAE" w14:textId="77777777" w:rsidR="00510AA3" w:rsidRDefault="00510AA3" w:rsidP="00510AA3"/>
    <w:p w14:paraId="4E38F737" w14:textId="5C06513D" w:rsidR="006800C7" w:rsidRDefault="006E77B4" w:rsidP="006800C7">
      <w:pPr>
        <w:pStyle w:val="Heading3"/>
      </w:pPr>
      <w:r>
        <w:t>Sally Stannard</w:t>
      </w:r>
    </w:p>
    <w:p w14:paraId="7A70D9EF" w14:textId="77777777" w:rsidR="006800C7" w:rsidRPr="000C5703" w:rsidRDefault="006800C7" w:rsidP="006800C7">
      <w:pPr>
        <w:pStyle w:val="Heading4"/>
      </w:pPr>
      <w:r w:rsidRPr="000C5703">
        <w:t>Deputy Director-General (TransLink)</w:t>
      </w:r>
    </w:p>
    <w:p w14:paraId="5665A7AD" w14:textId="7638AF82" w:rsidR="006800C7" w:rsidRDefault="00DE13DE" w:rsidP="006800C7">
      <w:pPr>
        <w:pStyle w:val="Subtitle"/>
      </w:pPr>
      <w:r w:rsidRPr="00DE13DE">
        <w:t>BE/BA Hons, Dip Eng Prac, GAICD</w:t>
      </w:r>
    </w:p>
    <w:p w14:paraId="3CE42779" w14:textId="19FA02EF" w:rsidR="0046129B" w:rsidRPr="0046129B" w:rsidRDefault="0046129B" w:rsidP="0046129B">
      <w:pPr>
        <w:pStyle w:val="ListBullet"/>
      </w:pPr>
      <w:r w:rsidRPr="0046129B">
        <w:t>Appointed as Deputy Director-General (Translink) 11 December 2021</w:t>
      </w:r>
    </w:p>
    <w:p w14:paraId="2DB2E2B6" w14:textId="293ABD6F" w:rsidR="0046129B" w:rsidRPr="0046129B" w:rsidRDefault="0046129B" w:rsidP="0046129B">
      <w:pPr>
        <w:pStyle w:val="ListBullet"/>
      </w:pPr>
      <w:r w:rsidRPr="0046129B">
        <w:t>Champion for Active Transport</w:t>
      </w:r>
    </w:p>
    <w:p w14:paraId="0F43DE38" w14:textId="2D373637" w:rsidR="00852750" w:rsidRDefault="00852750" w:rsidP="00852750">
      <w:r>
        <w:t>Sally leads the delivery of customer-focused passenger transport services across Queensland including policy, planning, ticketing, contract management and customer services.</w:t>
      </w:r>
    </w:p>
    <w:p w14:paraId="1A8C277D" w14:textId="5D55B36E" w:rsidR="00852750" w:rsidRDefault="00852750" w:rsidP="00852750">
      <w:r>
        <w:t>Translink Division is responsible for the integrated rail, bus, ferry and tram network in South East Queensland and long-distance rail, bus and aviation services in regional, rural and remote Queensland, in addition to school transport, personalised transport and on demand services.</w:t>
      </w:r>
    </w:p>
    <w:p w14:paraId="6477B53B" w14:textId="77777777" w:rsidR="006800C7" w:rsidRDefault="006800C7" w:rsidP="006800C7">
      <w:r w:rsidRPr="000C5703">
        <w:t>Former positions</w:t>
      </w:r>
      <w:r>
        <w:t>:</w:t>
      </w:r>
    </w:p>
    <w:p w14:paraId="65893CFD" w14:textId="569A5290" w:rsidR="00DE697B" w:rsidRPr="00DE697B" w:rsidRDefault="00DE697B" w:rsidP="00DE697B">
      <w:pPr>
        <w:pStyle w:val="ListBullet"/>
      </w:pPr>
      <w:r w:rsidRPr="00DE697B">
        <w:t>Acting Deputy Director-General (Translink)</w:t>
      </w:r>
    </w:p>
    <w:p w14:paraId="5CF59717" w14:textId="2DD6AAC4" w:rsidR="00DE697B" w:rsidRPr="00DE697B" w:rsidRDefault="00DE697B" w:rsidP="00DE697B">
      <w:pPr>
        <w:pStyle w:val="ListBullet"/>
      </w:pPr>
      <w:r w:rsidRPr="00DE697B">
        <w:t>Executive Director (Service Planning and Infrastructure)</w:t>
      </w:r>
    </w:p>
    <w:p w14:paraId="533287D5" w14:textId="09790E3F" w:rsidR="00DE697B" w:rsidRPr="00DE697B" w:rsidRDefault="00DE697B" w:rsidP="00DE697B">
      <w:pPr>
        <w:pStyle w:val="ListBullet"/>
      </w:pPr>
      <w:r w:rsidRPr="00DE697B">
        <w:t>Director (Strategy and Planning)</w:t>
      </w:r>
    </w:p>
    <w:p w14:paraId="3E793BC1" w14:textId="5BB977EE" w:rsidR="007C0D52" w:rsidRDefault="007C0D52" w:rsidP="006800C7">
      <w:r w:rsidRPr="007C0D52">
        <w:t>Sally is a public transport professional with almost twenty years’ experience in both public and private sectors. Since April 2022 she has been Vice Chair of the Public Transport Association Australia New Zealand. She is passionate about public transport and developing sustainable communities.</w:t>
      </w:r>
    </w:p>
    <w:p w14:paraId="605A7B64" w14:textId="77777777" w:rsidR="006800C7" w:rsidRDefault="006800C7" w:rsidP="006800C7"/>
    <w:p w14:paraId="3D3D52E4" w14:textId="77777777" w:rsidR="006800C7" w:rsidRDefault="006800C7" w:rsidP="006800C7">
      <w:pPr>
        <w:pStyle w:val="ListParagraph"/>
      </w:pPr>
      <w:r w:rsidRPr="00FE515C">
        <w:rPr>
          <w:rStyle w:val="Strong"/>
        </w:rPr>
        <w:lastRenderedPageBreak/>
        <w:t xml:space="preserve">Corporate </w:t>
      </w:r>
      <w:r>
        <w:br/>
        <w:t xml:space="preserve">Tracy O'Bryan </w:t>
      </w:r>
    </w:p>
    <w:p w14:paraId="74A1C36D"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FE515C">
        <w:rPr>
          <w:rStyle w:val="Strong"/>
        </w:rPr>
        <w:t>Chief Finance Officer</w:t>
      </w:r>
      <w:r>
        <w:t xml:space="preserve"> </w:t>
      </w:r>
      <w:r>
        <w:br/>
        <w:t xml:space="preserve">Nick Shaw </w:t>
      </w:r>
    </w:p>
    <w:p w14:paraId="7CD31B30"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FE515C">
        <w:rPr>
          <w:rStyle w:val="Strong"/>
        </w:rPr>
        <w:t>Human Resources</w:t>
      </w:r>
      <w:r>
        <w:t xml:space="preserve"> </w:t>
      </w:r>
      <w:r>
        <w:br/>
        <w:t>Alarna Lane-Mullins</w:t>
      </w:r>
    </w:p>
    <w:p w14:paraId="49C70489"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FE515C">
        <w:rPr>
          <w:rStyle w:val="Strong"/>
        </w:rPr>
        <w:t>Information Technology</w:t>
      </w:r>
      <w:r>
        <w:t xml:space="preserve"> </w:t>
      </w:r>
      <w:r>
        <w:br/>
        <w:t xml:space="preserve">Sandra Slater </w:t>
      </w:r>
    </w:p>
    <w:p w14:paraId="7305DE99" w14:textId="1EEAB400" w:rsidR="006800C7" w:rsidRDefault="006800C7" w:rsidP="006800C7">
      <w:pPr>
        <w:pStyle w:val="ListBullet2"/>
        <w:numPr>
          <w:ilvl w:val="0"/>
          <w:numId w:val="13"/>
        </w:numPr>
        <w:tabs>
          <w:tab w:val="clear" w:pos="1134"/>
          <w:tab w:val="left" w:pos="284"/>
        </w:tabs>
        <w:spacing w:before="120" w:after="0" w:line="0" w:lineRule="atLeast"/>
        <w:ind w:left="568" w:hanging="284"/>
      </w:pPr>
      <w:r w:rsidRPr="00FE515C">
        <w:rPr>
          <w:rStyle w:val="Strong"/>
        </w:rPr>
        <w:t xml:space="preserve">Governance </w:t>
      </w:r>
      <w:r>
        <w:br/>
      </w:r>
      <w:r w:rsidR="007C0D52">
        <w:t>Brydie Bodnar</w:t>
      </w:r>
    </w:p>
    <w:p w14:paraId="433983D3" w14:textId="1FF8235E" w:rsidR="006800C7" w:rsidRPr="00C36625" w:rsidRDefault="006800C7" w:rsidP="006800C7">
      <w:pPr>
        <w:pStyle w:val="ListBullet2"/>
        <w:numPr>
          <w:ilvl w:val="0"/>
          <w:numId w:val="13"/>
        </w:numPr>
        <w:tabs>
          <w:tab w:val="clear" w:pos="1134"/>
          <w:tab w:val="left" w:pos="284"/>
        </w:tabs>
        <w:spacing w:before="120" w:after="0" w:line="0" w:lineRule="atLeast"/>
        <w:ind w:left="568" w:hanging="284"/>
      </w:pPr>
      <w:r w:rsidRPr="00FE515C">
        <w:rPr>
          <w:rStyle w:val="Strong"/>
        </w:rPr>
        <w:t>Internal Audit</w:t>
      </w:r>
      <w:r>
        <w:t xml:space="preserve"> </w:t>
      </w:r>
      <w:r>
        <w:br/>
      </w:r>
      <w:r w:rsidR="007C0D52">
        <w:t xml:space="preserve">Samara Dowling </w:t>
      </w:r>
      <w:r>
        <w:t xml:space="preserve"> </w:t>
      </w:r>
    </w:p>
    <w:p w14:paraId="7FF02E37" w14:textId="77777777" w:rsidR="00510AA3" w:rsidRDefault="00510AA3" w:rsidP="00510AA3"/>
    <w:p w14:paraId="10831364" w14:textId="12271227" w:rsidR="006800C7" w:rsidRDefault="006800C7" w:rsidP="006800C7">
      <w:pPr>
        <w:pStyle w:val="Heading3"/>
      </w:pPr>
      <w:r>
        <w:t>Tracy O'Bryan</w:t>
      </w:r>
    </w:p>
    <w:p w14:paraId="0F8B9FB9" w14:textId="77777777" w:rsidR="006800C7" w:rsidRDefault="006800C7" w:rsidP="006800C7">
      <w:pPr>
        <w:pStyle w:val="Heading4"/>
      </w:pPr>
      <w:r>
        <w:t>Deputy Director-General (Corporate)</w:t>
      </w:r>
    </w:p>
    <w:p w14:paraId="7A7B3F1D" w14:textId="77777777" w:rsidR="006800C7" w:rsidRPr="000A2D3B" w:rsidRDefault="006800C7" w:rsidP="006800C7">
      <w:pPr>
        <w:pStyle w:val="Subtitle"/>
      </w:pPr>
      <w:r w:rsidRPr="000A2D3B">
        <w:t>LLB, LLM, EMPA (ANZSOG), ANZSOG Alumni Advisory Council</w:t>
      </w:r>
      <w:r>
        <w:t xml:space="preserve"> Member</w:t>
      </w:r>
      <w:r w:rsidRPr="000A2D3B">
        <w:t>, GAICD, Solicitor of Supreme Court of Queensland and High Court of Australia.</w:t>
      </w:r>
    </w:p>
    <w:p w14:paraId="6531439A" w14:textId="77777777" w:rsidR="006800C7" w:rsidRDefault="006800C7" w:rsidP="006800C7">
      <w:pPr>
        <w:pStyle w:val="ListBullet"/>
        <w:numPr>
          <w:ilvl w:val="0"/>
          <w:numId w:val="12"/>
        </w:numPr>
        <w:tabs>
          <w:tab w:val="left" w:pos="284"/>
        </w:tabs>
        <w:spacing w:before="120" w:after="0" w:line="260" w:lineRule="exact"/>
        <w:ind w:left="288" w:hanging="288"/>
      </w:pPr>
      <w:r w:rsidRPr="00B7573F">
        <w:t>Appointed Deputy Director-General May 2017</w:t>
      </w:r>
    </w:p>
    <w:p w14:paraId="2DFB65C1" w14:textId="77777777" w:rsidR="006800C7" w:rsidRDefault="006800C7" w:rsidP="006800C7">
      <w:pPr>
        <w:pStyle w:val="ListBullet"/>
        <w:numPr>
          <w:ilvl w:val="0"/>
          <w:numId w:val="12"/>
        </w:numPr>
        <w:tabs>
          <w:tab w:val="left" w:pos="284"/>
        </w:tabs>
        <w:spacing w:before="120" w:after="0" w:line="260" w:lineRule="exact"/>
        <w:ind w:left="288" w:hanging="288"/>
      </w:pPr>
      <w:r w:rsidRPr="00B7573F">
        <w:t>Customer Champion</w:t>
      </w:r>
    </w:p>
    <w:p w14:paraId="6EB3588D" w14:textId="1FC76739" w:rsidR="00FA0A77" w:rsidRDefault="004019E1" w:rsidP="006800C7">
      <w:r w:rsidRPr="004019E1">
        <w:t>Tracy leads the department’s corporate services, including governance (encompassing cabinet and legislation, legal, media and communications, Right to Information, risk and information management), finance and procurement, ICT, human resources and internal audit to enable TMR to achieve its business objectives.</w:t>
      </w:r>
    </w:p>
    <w:p w14:paraId="39E2F395" w14:textId="77777777" w:rsidR="006800C7" w:rsidRDefault="006800C7" w:rsidP="006800C7">
      <w:r w:rsidRPr="00B7573F">
        <w:t>Former positions:</w:t>
      </w:r>
    </w:p>
    <w:p w14:paraId="52A774BE" w14:textId="77777777" w:rsidR="006800C7" w:rsidRDefault="006800C7" w:rsidP="006800C7">
      <w:pPr>
        <w:pStyle w:val="ListBullet"/>
        <w:numPr>
          <w:ilvl w:val="0"/>
          <w:numId w:val="12"/>
        </w:numPr>
        <w:tabs>
          <w:tab w:val="left" w:pos="284"/>
        </w:tabs>
        <w:spacing w:before="120" w:after="0" w:line="260" w:lineRule="exact"/>
        <w:ind w:left="288" w:hanging="288"/>
      </w:pPr>
      <w:r w:rsidRPr="00B7573F">
        <w:t>Executive Director (Department of National Parks, Sport</w:t>
      </w:r>
      <w:r>
        <w:t xml:space="preserve"> </w:t>
      </w:r>
      <w:r w:rsidRPr="00B7573F">
        <w:t>and Racing)</w:t>
      </w:r>
    </w:p>
    <w:p w14:paraId="7D368026" w14:textId="77777777" w:rsidR="006800C7" w:rsidRDefault="006800C7" w:rsidP="006800C7">
      <w:pPr>
        <w:pStyle w:val="ListBullet"/>
        <w:numPr>
          <w:ilvl w:val="0"/>
          <w:numId w:val="12"/>
        </w:numPr>
        <w:tabs>
          <w:tab w:val="left" w:pos="284"/>
        </w:tabs>
        <w:spacing w:before="120" w:after="0" w:line="260" w:lineRule="exact"/>
        <w:ind w:left="288" w:hanging="288"/>
      </w:pPr>
      <w:r w:rsidRPr="00B7573F">
        <w:t>Acting Deputy Director-General, Corporate (Department of Environment and Heritage Protection)</w:t>
      </w:r>
    </w:p>
    <w:p w14:paraId="7F6B2E90" w14:textId="77777777" w:rsidR="00901F3C" w:rsidRDefault="00901F3C" w:rsidP="00901F3C">
      <w:r>
        <w:t>Tracy has over 20 years’ experience in the Queensland public sector in the fields of law, policy, governance, major projects and program design and delivery, and stakeholder engagement.</w:t>
      </w:r>
    </w:p>
    <w:p w14:paraId="332C64C3" w14:textId="165560AC" w:rsidR="00901F3C" w:rsidRPr="00292AD8" w:rsidRDefault="00901F3C" w:rsidP="00901F3C">
      <w:r>
        <w:t>She has also led major reform and commissions of inquiry for government and worked in a number of Queensland Government departments including the Department of the Premier and Cabinet. Tracy has also won ministerial awards and been nominated for a Premier’s Excellence Award.</w:t>
      </w:r>
    </w:p>
    <w:p w14:paraId="455753FC" w14:textId="77777777" w:rsidR="006800C7" w:rsidRDefault="006800C7" w:rsidP="006800C7">
      <w:pPr>
        <w:pStyle w:val="Heading4"/>
      </w:pPr>
      <w:r>
        <w:t>Key organisational changes</w:t>
      </w:r>
    </w:p>
    <w:p w14:paraId="3293A7F5" w14:textId="77777777" w:rsidR="00B52403" w:rsidRDefault="00B52403" w:rsidP="00B52403">
      <w:r>
        <w:t>The following structural changes occurred within TMR during the 2021–22 period:</w:t>
      </w:r>
    </w:p>
    <w:p w14:paraId="659F3B77" w14:textId="69E0FA87" w:rsidR="00B52403" w:rsidRPr="00B52403" w:rsidRDefault="00B52403" w:rsidP="00B52403">
      <w:pPr>
        <w:pStyle w:val="ListBullet"/>
      </w:pPr>
      <w:r w:rsidRPr="00B52403">
        <w:t>July 2022: Translink Division created a Rail Program Management Office and Rail Planning and Operations unit to align with Strategic Rail’s program of work.</w:t>
      </w:r>
    </w:p>
    <w:p w14:paraId="28B93FCA" w14:textId="21528767" w:rsidR="00B52403" w:rsidRPr="00B52403" w:rsidRDefault="00B52403" w:rsidP="00B52403">
      <w:pPr>
        <w:pStyle w:val="ListBullet"/>
      </w:pPr>
      <w:r w:rsidRPr="00B52403">
        <w:t>January 2022: Transition of the Digital Licence Program team from Customer Services, Safety and Regulation Division to Translink Division.</w:t>
      </w:r>
    </w:p>
    <w:p w14:paraId="456FAE3C" w14:textId="744060F6" w:rsidR="00901F3C" w:rsidRPr="00B52403" w:rsidRDefault="00B52403" w:rsidP="00B52403">
      <w:pPr>
        <w:pStyle w:val="ListBullet"/>
      </w:pPr>
      <w:r w:rsidRPr="00B52403">
        <w:t>January 2022: Land Transport Safety and Regulation Branch created the Mobile Phone and Seatbelt section.</w:t>
      </w:r>
    </w:p>
    <w:p w14:paraId="77FEF096" w14:textId="64D4B015" w:rsidR="00901F3C" w:rsidRDefault="00901F3C" w:rsidP="00901F3C">
      <w:pPr>
        <w:pStyle w:val="ListBullet"/>
        <w:numPr>
          <w:ilvl w:val="0"/>
          <w:numId w:val="0"/>
        </w:numPr>
        <w:tabs>
          <w:tab w:val="left" w:pos="284"/>
        </w:tabs>
        <w:spacing w:before="120" w:after="0" w:line="260" w:lineRule="exact"/>
        <w:ind w:left="567" w:hanging="567"/>
      </w:pPr>
    </w:p>
    <w:p w14:paraId="4E73F310" w14:textId="51409A0F" w:rsidR="00B52403" w:rsidRDefault="00B52403" w:rsidP="00901F3C">
      <w:pPr>
        <w:pStyle w:val="ListBullet"/>
        <w:numPr>
          <w:ilvl w:val="0"/>
          <w:numId w:val="0"/>
        </w:numPr>
        <w:tabs>
          <w:tab w:val="left" w:pos="284"/>
        </w:tabs>
        <w:spacing w:before="120" w:after="0" w:line="260" w:lineRule="exact"/>
        <w:ind w:left="567" w:hanging="567"/>
      </w:pPr>
    </w:p>
    <w:p w14:paraId="366304D8" w14:textId="0FBDB2AE" w:rsidR="00B52403" w:rsidRDefault="00B52403" w:rsidP="00901F3C">
      <w:pPr>
        <w:pStyle w:val="ListBullet"/>
        <w:numPr>
          <w:ilvl w:val="0"/>
          <w:numId w:val="0"/>
        </w:numPr>
        <w:tabs>
          <w:tab w:val="left" w:pos="284"/>
        </w:tabs>
        <w:spacing w:before="120" w:after="0" w:line="260" w:lineRule="exact"/>
        <w:ind w:left="567" w:hanging="567"/>
      </w:pPr>
    </w:p>
    <w:p w14:paraId="7B7C7960" w14:textId="66663C14" w:rsidR="00B52403" w:rsidRPr="00033471" w:rsidRDefault="00B52403" w:rsidP="00B52403">
      <w:pPr>
        <w:pStyle w:val="Heading2"/>
      </w:pPr>
      <w:r>
        <w:lastRenderedPageBreak/>
        <w:t xml:space="preserve">Governance Committees </w:t>
      </w:r>
    </w:p>
    <w:p w14:paraId="70BB0718" w14:textId="77777777" w:rsidR="006800C7" w:rsidRPr="006E2364" w:rsidRDefault="006800C7" w:rsidP="006800C7">
      <w:pPr>
        <w:pStyle w:val="Heading3"/>
        <w:rPr>
          <w:b/>
          <w:bCs/>
        </w:rPr>
      </w:pPr>
      <w:r w:rsidRPr="006E2364">
        <w:rPr>
          <w:b/>
          <w:bCs/>
        </w:rPr>
        <w:t xml:space="preserve">Audit and Risk Committee </w:t>
      </w:r>
    </w:p>
    <w:p w14:paraId="6C019803" w14:textId="0F8DBCEF" w:rsidR="00C57001" w:rsidRDefault="00C57001" w:rsidP="00C57001">
      <w:r>
        <w:t>The Audit and Risk Committee (ARC) plays a key advisory role in TMR, ensuring TMR’s risk systems and governance processes are effective.</w:t>
      </w:r>
    </w:p>
    <w:p w14:paraId="4BD3A40D" w14:textId="4D637004" w:rsidR="00C57001" w:rsidRDefault="00C57001" w:rsidP="00C57001">
      <w:r>
        <w:t>The committee performs an independent assurance role, monitoring the effectiveness of TMR’s risk management, internal control framework and compliance with legislative and regulatory requirements.</w:t>
      </w:r>
    </w:p>
    <w:p w14:paraId="11496356" w14:textId="77777777" w:rsidR="00C57001" w:rsidRDefault="00C57001" w:rsidP="00C57001">
      <w:r>
        <w:t>Internal ARC members are appointed based on their skills and experience, and not based on their position in TMR. They are nominated by the Director-General and assist the Director-General in oversight of:</w:t>
      </w:r>
    </w:p>
    <w:p w14:paraId="4774A133" w14:textId="31F1CE9B" w:rsidR="00C57001" w:rsidRDefault="00C57001" w:rsidP="00C57001">
      <w:pPr>
        <w:pStyle w:val="ListBullet"/>
      </w:pPr>
      <w:r>
        <w:t>integrity of TMR’s financial statements and supporting internal controls</w:t>
      </w:r>
    </w:p>
    <w:p w14:paraId="6058FBE4" w14:textId="3D1CC7C0" w:rsidR="00C57001" w:rsidRDefault="00C57001" w:rsidP="00C57001">
      <w:pPr>
        <w:pStyle w:val="ListBullet"/>
      </w:pPr>
      <w:r>
        <w:t>compliance with legislative and regulatory requirements, including TMR’s ethical standards and policies</w:t>
      </w:r>
    </w:p>
    <w:p w14:paraId="50C435EA" w14:textId="7319509C" w:rsidR="00C57001" w:rsidRDefault="00C57001" w:rsidP="00C57001">
      <w:pPr>
        <w:pStyle w:val="ListBullet"/>
      </w:pPr>
      <w:r>
        <w:t>risk management, performance management, integrity oversight, misconduct prevention, the internal control environment and key supporting systems</w:t>
      </w:r>
    </w:p>
    <w:p w14:paraId="0F8849B7" w14:textId="77777777" w:rsidR="00C57001" w:rsidRDefault="00C57001" w:rsidP="00C57001">
      <w:pPr>
        <w:pStyle w:val="ListBullet"/>
      </w:pPr>
      <w:r>
        <w:t xml:space="preserve">performance of the internal and external audit functions. </w:t>
      </w:r>
      <w:r>
        <w:br/>
      </w:r>
    </w:p>
    <w:p w14:paraId="125534EB" w14:textId="2C533796" w:rsidR="00C57001" w:rsidRDefault="00C57001" w:rsidP="00C57001">
      <w:r w:rsidRPr="00C57001">
        <w:t>As at 30 June 2022, the committee membership consisted of:</w:t>
      </w:r>
    </w:p>
    <w:p w14:paraId="69DBC5DA" w14:textId="77777777" w:rsidR="00C57001" w:rsidRPr="00DF6E78" w:rsidRDefault="00C57001" w:rsidP="00C57001">
      <w:pPr>
        <w:rPr>
          <w:rStyle w:val="Strong"/>
        </w:rPr>
      </w:pPr>
      <w:r w:rsidRPr="00DF6E78">
        <w:rPr>
          <w:rStyle w:val="Strong"/>
        </w:rPr>
        <w:t>Chair</w:t>
      </w:r>
    </w:p>
    <w:p w14:paraId="2F423C06" w14:textId="430110AE" w:rsidR="00C57001" w:rsidRPr="00CE6064" w:rsidRDefault="00C57001" w:rsidP="00407844">
      <w:pPr>
        <w:pStyle w:val="ListBullet"/>
        <w:rPr>
          <w:rStyle w:val="Emphasis"/>
        </w:rPr>
      </w:pPr>
      <w:r>
        <w:t xml:space="preserve">Julie-Anne Schafer </w:t>
      </w:r>
      <w:r w:rsidRPr="00CE6064">
        <w:rPr>
          <w:rStyle w:val="Emphasis"/>
        </w:rPr>
        <w:t>LLB (Honours) FAICD</w:t>
      </w:r>
    </w:p>
    <w:p w14:paraId="1B058760" w14:textId="77777777" w:rsidR="00C57001" w:rsidRPr="00F52ADF" w:rsidRDefault="00C57001" w:rsidP="00C57001">
      <w:pPr>
        <w:rPr>
          <w:rStyle w:val="Strong"/>
        </w:rPr>
      </w:pPr>
      <w:r w:rsidRPr="00F52ADF">
        <w:rPr>
          <w:rStyle w:val="Strong"/>
        </w:rPr>
        <w:t>External Members</w:t>
      </w:r>
    </w:p>
    <w:p w14:paraId="3E273582" w14:textId="114BECD3" w:rsidR="00C57001" w:rsidRDefault="00C57001" w:rsidP="00407844">
      <w:pPr>
        <w:pStyle w:val="ListBullet"/>
      </w:pPr>
      <w:r>
        <w:t xml:space="preserve">Ian Webb </w:t>
      </w:r>
      <w:r w:rsidRPr="00F52ADF">
        <w:rPr>
          <w:rStyle w:val="Emphasis"/>
        </w:rPr>
        <w:t>BA (Honours), Post Graduate development program, AGSM</w:t>
      </w:r>
    </w:p>
    <w:p w14:paraId="013C8895" w14:textId="44B6F395" w:rsidR="00C57001" w:rsidRPr="00F52ADF" w:rsidRDefault="00C57001" w:rsidP="00407844">
      <w:pPr>
        <w:pStyle w:val="ListBullet"/>
        <w:rPr>
          <w:rStyle w:val="Emphasis"/>
        </w:rPr>
      </w:pPr>
      <w:r>
        <w:t xml:space="preserve">Abigail Cheadle </w:t>
      </w:r>
      <w:r w:rsidRPr="00F52ADF">
        <w:rPr>
          <w:rStyle w:val="Emphasis"/>
        </w:rPr>
        <w:t>BBus, CA</w:t>
      </w:r>
    </w:p>
    <w:p w14:paraId="4B5D78E7" w14:textId="77777777" w:rsidR="00C57001" w:rsidRPr="00F52ADF" w:rsidRDefault="00C57001" w:rsidP="00C57001">
      <w:pPr>
        <w:rPr>
          <w:rStyle w:val="Strong"/>
        </w:rPr>
      </w:pPr>
      <w:r w:rsidRPr="00F52ADF">
        <w:rPr>
          <w:rStyle w:val="Strong"/>
        </w:rPr>
        <w:t>Internal Members</w:t>
      </w:r>
    </w:p>
    <w:p w14:paraId="5BF418EF" w14:textId="015A03C7" w:rsidR="00C57001" w:rsidRDefault="00C57001" w:rsidP="00407844">
      <w:pPr>
        <w:pStyle w:val="ListBullet"/>
      </w:pPr>
      <w:r>
        <w:t>Tracy O’Bryan (see page 131)</w:t>
      </w:r>
    </w:p>
    <w:p w14:paraId="3E6D7745" w14:textId="0C128E2A" w:rsidR="00C57001" w:rsidRDefault="00C57001" w:rsidP="00407844">
      <w:pPr>
        <w:pStyle w:val="ListBullet"/>
      </w:pPr>
      <w:r>
        <w:t>Michelle Connolly, Executive Director (Policy, Planning, and Investment),</w:t>
      </w:r>
      <w:r w:rsidRPr="00407844">
        <w:rPr>
          <w:rStyle w:val="Emphasis"/>
        </w:rPr>
        <w:t xml:space="preserve"> BSocSc</w:t>
      </w:r>
    </w:p>
    <w:p w14:paraId="088561DE" w14:textId="33754AF8" w:rsidR="00C57001" w:rsidRPr="00FC1029" w:rsidRDefault="00C57001" w:rsidP="00407844">
      <w:pPr>
        <w:pStyle w:val="ListBullet"/>
        <w:rPr>
          <w:rStyle w:val="Emphasis"/>
        </w:rPr>
      </w:pPr>
      <w:r>
        <w:t xml:space="preserve">William Lansbury, General Manager (Indigenous Strategy) </w:t>
      </w:r>
      <w:r w:rsidRPr="00FC1029">
        <w:rPr>
          <w:rStyle w:val="Emphasis"/>
        </w:rPr>
        <w:t xml:space="preserve">FIEAust, MAICD, RPEQ, EMPA, </w:t>
      </w:r>
      <w:r w:rsidR="007B1F4A" w:rsidRPr="00FC1029">
        <w:rPr>
          <w:rStyle w:val="Emphasis"/>
        </w:rPr>
        <w:t>MTech (</w:t>
      </w:r>
      <w:r w:rsidRPr="00FC1029">
        <w:rPr>
          <w:rStyle w:val="Emphasis"/>
        </w:rPr>
        <w:t xml:space="preserve">Pavements), </w:t>
      </w:r>
      <w:r w:rsidR="007B1F4A" w:rsidRPr="00FC1029">
        <w:rPr>
          <w:rStyle w:val="Emphasis"/>
        </w:rPr>
        <w:t>BTech (</w:t>
      </w:r>
      <w:r w:rsidRPr="00FC1029">
        <w:rPr>
          <w:rStyle w:val="Emphasis"/>
        </w:rPr>
        <w:t xml:space="preserve">Civil), </w:t>
      </w:r>
      <w:proofErr w:type="spellStart"/>
      <w:r w:rsidRPr="00FC1029">
        <w:rPr>
          <w:rStyle w:val="Emphasis"/>
        </w:rPr>
        <w:t>AdvDipPM</w:t>
      </w:r>
      <w:proofErr w:type="spellEnd"/>
      <w:r w:rsidRPr="00FC1029">
        <w:rPr>
          <w:rStyle w:val="Emphasis"/>
        </w:rPr>
        <w:t>, JP(Qual)</w:t>
      </w:r>
    </w:p>
    <w:p w14:paraId="00084649" w14:textId="1598864F" w:rsidR="00C57001" w:rsidRDefault="00C57001" w:rsidP="00407844">
      <w:pPr>
        <w:pStyle w:val="ListBullet"/>
      </w:pPr>
      <w:r>
        <w:t xml:space="preserve">Andrew Mahon, General Manager (Land Transport Safety and Regulation) </w:t>
      </w:r>
      <w:r w:rsidR="00F74636" w:rsidRPr="00FC1029">
        <w:rPr>
          <w:rStyle w:val="Emphasis"/>
        </w:rPr>
        <w:t>Bach (</w:t>
      </w:r>
      <w:r w:rsidRPr="00FC1029">
        <w:rPr>
          <w:rStyle w:val="Emphasis"/>
        </w:rPr>
        <w:t xml:space="preserve">Justice), GAICD, </w:t>
      </w:r>
      <w:proofErr w:type="spellStart"/>
      <w:r w:rsidR="00F74636" w:rsidRPr="00FC1029">
        <w:rPr>
          <w:rStyle w:val="Emphasis"/>
        </w:rPr>
        <w:t>GCert</w:t>
      </w:r>
      <w:proofErr w:type="spellEnd"/>
      <w:r w:rsidR="00F74636" w:rsidRPr="00FC1029">
        <w:rPr>
          <w:rStyle w:val="Emphasis"/>
        </w:rPr>
        <w:t xml:space="preserve"> (</w:t>
      </w:r>
      <w:r w:rsidRPr="00FC1029">
        <w:rPr>
          <w:rStyle w:val="Emphasis"/>
        </w:rPr>
        <w:t>PA</w:t>
      </w:r>
      <w:r>
        <w:t>)</w:t>
      </w:r>
    </w:p>
    <w:p w14:paraId="587D20AE" w14:textId="1B3E7188" w:rsidR="00C57001" w:rsidRPr="00FC1029" w:rsidRDefault="00C57001" w:rsidP="00407844">
      <w:pPr>
        <w:pStyle w:val="ListBullet"/>
        <w:rPr>
          <w:rStyle w:val="Emphasis"/>
        </w:rPr>
      </w:pPr>
      <w:r>
        <w:t xml:space="preserve">Graham Davis, General Manager (Passenger Transport Services) </w:t>
      </w:r>
      <w:r w:rsidRPr="00FC1029">
        <w:rPr>
          <w:rStyle w:val="Emphasis"/>
        </w:rPr>
        <w:t>GAICD, FCIL.</w:t>
      </w:r>
    </w:p>
    <w:p w14:paraId="7C7B114B" w14:textId="77777777" w:rsidR="00C57001" w:rsidRDefault="00C57001" w:rsidP="00C57001">
      <w:r>
        <w:t>During 2021–22 the committee reviewed its charter and updated roles and responsibilities to align with the oversight and coordination of assurance activities under TMR’s internal control framework. The committee continued a review of:</w:t>
      </w:r>
    </w:p>
    <w:p w14:paraId="18535DCA" w14:textId="34B06437" w:rsidR="00C57001" w:rsidRDefault="00C57001" w:rsidP="00FC1029">
      <w:pPr>
        <w:pStyle w:val="ListBullet"/>
      </w:pPr>
      <w:r>
        <w:t>the integrity of TMR’s financial statements and supporting internal controls</w:t>
      </w:r>
    </w:p>
    <w:p w14:paraId="5141C574" w14:textId="43AF95B5" w:rsidR="00C57001" w:rsidRDefault="00C57001" w:rsidP="00FC1029">
      <w:pPr>
        <w:pStyle w:val="ListBullet"/>
      </w:pPr>
      <w:r>
        <w:t>compliance with legislative and regulatory requirements, including TMR’s ethical standards and polices</w:t>
      </w:r>
    </w:p>
    <w:p w14:paraId="6340E062" w14:textId="1BFCC2A0" w:rsidR="00C57001" w:rsidRDefault="00C57001" w:rsidP="00FC1029">
      <w:pPr>
        <w:pStyle w:val="ListBullet"/>
      </w:pPr>
      <w:r>
        <w:lastRenderedPageBreak/>
        <w:t>processes for risk management, performance management, integrity oversight, misconduct prevention, the internal control environment, and key supporting systems</w:t>
      </w:r>
    </w:p>
    <w:p w14:paraId="028CEEA2" w14:textId="12337D0E" w:rsidR="00C57001" w:rsidRDefault="00C57001" w:rsidP="00C57001">
      <w:pPr>
        <w:pStyle w:val="ListBullet"/>
      </w:pPr>
      <w:r>
        <w:t>performance of the internal and external audit functions.</w:t>
      </w:r>
    </w:p>
    <w:p w14:paraId="74598C43" w14:textId="73AB7904" w:rsidR="00B52403" w:rsidRDefault="00C57001" w:rsidP="00C57001">
      <w:r>
        <w:t>ARC met six times in 2021–22 and had due regard to Queensland Treasury’s Audit Committee Guidelines. All costs associated with external members fees as at 30 June 2022 totalled $52,914 (including GST).</w:t>
      </w:r>
    </w:p>
    <w:p w14:paraId="6CAF40F3" w14:textId="77777777" w:rsidR="006800C7" w:rsidRPr="00C72D24" w:rsidRDefault="006800C7" w:rsidP="006800C7">
      <w:pPr>
        <w:pStyle w:val="Heading4"/>
      </w:pPr>
      <w:r>
        <w:t xml:space="preserve">Finance and Procurement Committee </w:t>
      </w:r>
    </w:p>
    <w:p w14:paraId="13904F60" w14:textId="206788CB" w:rsidR="00E372D9" w:rsidRDefault="00E372D9" w:rsidP="00E372D9">
      <w:r>
        <w:t>The Finance and Procurement Committee monitors financial and procurement performance across TMR to ensure all entities operate within departmental budget parameters as specified by the government, and that the procurement function operates effectively to achieve value for money.</w:t>
      </w:r>
    </w:p>
    <w:p w14:paraId="51187064" w14:textId="3A1AFE6C" w:rsidR="00E372D9" w:rsidRDefault="00E372D9" w:rsidP="00E372D9">
      <w:r>
        <w:t xml:space="preserve">A key role of the committee is to ensure TMR’s resources are directed towards delivering on the government’s </w:t>
      </w:r>
      <w:r w:rsidRPr="00D44D5D">
        <w:rPr>
          <w:rStyle w:val="Emphasis"/>
        </w:rPr>
        <w:t>Unite and Recover - Queensland’s Economic Recovery Plan</w:t>
      </w:r>
      <w:r>
        <w:t xml:space="preserve"> through Building Queensland; Growing our Regions; and Backing our frontline services through responsible fiscal management.</w:t>
      </w:r>
    </w:p>
    <w:p w14:paraId="319C9A06" w14:textId="77777777" w:rsidR="00E372D9" w:rsidRDefault="00E372D9" w:rsidP="00E372D9">
      <w:r>
        <w:t xml:space="preserve">The committee also ensures that the Transport and Infrastructure Services Category spend is aligned with </w:t>
      </w:r>
      <w:r w:rsidRPr="00D44D5D">
        <w:rPr>
          <w:rStyle w:val="Emphasis"/>
        </w:rPr>
        <w:t>the Queensland Procurement Policy</w:t>
      </w:r>
      <w:r>
        <w:t>, which is aimed at prioritising Queensland business by focusing on local, economic and employment opportunities.</w:t>
      </w:r>
    </w:p>
    <w:p w14:paraId="1A7D782D" w14:textId="623028A5" w:rsidR="00E372D9" w:rsidRDefault="00E372D9" w:rsidP="00D44D5D">
      <w:r>
        <w:t>The finance and procurement functions operate in a centre-led model with the business operations carried out locally in line with the standards, policies and procedures established in the centre.</w:t>
      </w:r>
    </w:p>
    <w:p w14:paraId="5A7815A9" w14:textId="77777777" w:rsidR="00E372D9" w:rsidRDefault="00E372D9" w:rsidP="00D44D5D">
      <w:r>
        <w:t>The key role of the committee is to:</w:t>
      </w:r>
    </w:p>
    <w:p w14:paraId="4BE3E0E4" w14:textId="5E78D8E5" w:rsidR="00E372D9" w:rsidRPr="00D44D5D" w:rsidRDefault="00E372D9" w:rsidP="00D44D5D">
      <w:pPr>
        <w:pStyle w:val="ListBullet"/>
      </w:pPr>
      <w:r w:rsidRPr="00D44D5D">
        <w:t xml:space="preserve">ensure all financial resources are allocated consistently with approved strategic direction, priorities, and ongoing </w:t>
      </w:r>
      <w:r w:rsidR="00D44D5D">
        <w:t>c</w:t>
      </w:r>
      <w:r w:rsidRPr="00D44D5D">
        <w:t>ommitments</w:t>
      </w:r>
    </w:p>
    <w:p w14:paraId="00376545" w14:textId="1A8FA6C2" w:rsidR="00E372D9" w:rsidRPr="00D44D5D" w:rsidRDefault="00D44D5D" w:rsidP="00D44D5D">
      <w:pPr>
        <w:pStyle w:val="ListBullet"/>
      </w:pPr>
      <w:r>
        <w:t>i</w:t>
      </w:r>
      <w:r w:rsidR="00E372D9" w:rsidRPr="00D44D5D">
        <w:t>dentify reform initiatives and associated savings</w:t>
      </w:r>
    </w:p>
    <w:p w14:paraId="6834C4C2" w14:textId="730C7A1B" w:rsidR="00E372D9" w:rsidRPr="00D44D5D" w:rsidRDefault="00E372D9" w:rsidP="00D44D5D">
      <w:pPr>
        <w:pStyle w:val="ListBullet"/>
      </w:pPr>
      <w:r w:rsidRPr="00D44D5D">
        <w:t>realise savings in line with government savings targets</w:t>
      </w:r>
    </w:p>
    <w:p w14:paraId="4B6D2543" w14:textId="079F9987" w:rsidR="00E372D9" w:rsidRPr="00D44D5D" w:rsidRDefault="00E372D9" w:rsidP="00D44D5D">
      <w:pPr>
        <w:pStyle w:val="ListBullet"/>
      </w:pPr>
      <w:r w:rsidRPr="00D44D5D">
        <w:t>ensure cost control and longer-term funding sustainability</w:t>
      </w:r>
    </w:p>
    <w:p w14:paraId="353B5AF3" w14:textId="5380D687" w:rsidR="00E372D9" w:rsidRPr="00D44D5D" w:rsidRDefault="00E372D9" w:rsidP="00D44D5D">
      <w:pPr>
        <w:pStyle w:val="ListBullet"/>
      </w:pPr>
      <w:r w:rsidRPr="00D44D5D">
        <w:t>approve procurement strategic direction, priorities, and ongoing commitments</w:t>
      </w:r>
    </w:p>
    <w:p w14:paraId="411CED6D" w14:textId="37765818" w:rsidR="00E372D9" w:rsidRPr="00D44D5D" w:rsidRDefault="00E372D9" w:rsidP="00D44D5D">
      <w:pPr>
        <w:pStyle w:val="ListBullet"/>
      </w:pPr>
      <w:r w:rsidRPr="00D44D5D">
        <w:t>provide strategic oversight of the procurement policy environment</w:t>
      </w:r>
    </w:p>
    <w:p w14:paraId="0DCD3D93" w14:textId="7191FCA6" w:rsidR="00E372D9" w:rsidRPr="00D44D5D" w:rsidRDefault="00E372D9" w:rsidP="00D44D5D">
      <w:pPr>
        <w:pStyle w:val="ListBullet"/>
      </w:pPr>
      <w:r w:rsidRPr="00D44D5D">
        <w:t>monitor functional performance and category benefits realisation.</w:t>
      </w:r>
    </w:p>
    <w:p w14:paraId="15BFF51D" w14:textId="77777777" w:rsidR="00E372D9" w:rsidRDefault="00E372D9" w:rsidP="00D44D5D">
      <w:r w:rsidRPr="00D44D5D">
        <w:rPr>
          <w:rStyle w:val="Strong"/>
        </w:rPr>
        <w:t>Chair</w:t>
      </w:r>
      <w:r>
        <w:t>: Deputy Director-General (Corporate)</w:t>
      </w:r>
    </w:p>
    <w:p w14:paraId="002B22AB" w14:textId="77777777" w:rsidR="00E372D9" w:rsidRPr="00D44D5D" w:rsidRDefault="00E372D9" w:rsidP="00D44D5D">
      <w:pPr>
        <w:rPr>
          <w:rStyle w:val="Strong"/>
        </w:rPr>
      </w:pPr>
      <w:r w:rsidRPr="00D44D5D">
        <w:rPr>
          <w:rStyle w:val="Strong"/>
        </w:rPr>
        <w:t>Members:</w:t>
      </w:r>
    </w:p>
    <w:p w14:paraId="11DDB864" w14:textId="098BC188" w:rsidR="00E372D9" w:rsidRDefault="00E372D9" w:rsidP="00E372D9">
      <w:pPr>
        <w:pStyle w:val="ListBullet"/>
        <w:tabs>
          <w:tab w:val="left" w:pos="284"/>
        </w:tabs>
        <w:spacing w:before="120"/>
      </w:pPr>
      <w:r>
        <w:t>Director-General</w:t>
      </w:r>
    </w:p>
    <w:p w14:paraId="01F785A3" w14:textId="085FF3ED" w:rsidR="00E372D9" w:rsidRDefault="00E372D9" w:rsidP="00E372D9">
      <w:pPr>
        <w:pStyle w:val="ListBullet"/>
        <w:tabs>
          <w:tab w:val="left" w:pos="284"/>
        </w:tabs>
        <w:spacing w:before="120"/>
      </w:pPr>
      <w:r>
        <w:t>Deputy Director-General (Translink)</w:t>
      </w:r>
    </w:p>
    <w:p w14:paraId="0FCE6DA1" w14:textId="5BCCB0B8" w:rsidR="00E372D9" w:rsidRDefault="00E372D9" w:rsidP="00E372D9">
      <w:pPr>
        <w:pStyle w:val="ListBullet"/>
        <w:tabs>
          <w:tab w:val="left" w:pos="284"/>
        </w:tabs>
        <w:spacing w:before="120"/>
      </w:pPr>
      <w:r>
        <w:t>A/Deputy Director-General (Customer Services, Safety and Regulation)</w:t>
      </w:r>
    </w:p>
    <w:p w14:paraId="7D5073FD" w14:textId="7AE352FA" w:rsidR="00E372D9" w:rsidRDefault="00E372D9" w:rsidP="00E372D9">
      <w:pPr>
        <w:pStyle w:val="ListBullet"/>
        <w:tabs>
          <w:tab w:val="left" w:pos="284"/>
        </w:tabs>
        <w:spacing w:before="120"/>
      </w:pPr>
      <w:r>
        <w:t>Deputy Director-General (Infrastructure Management and Delivery)</w:t>
      </w:r>
    </w:p>
    <w:p w14:paraId="127EA449" w14:textId="74DF19DB" w:rsidR="00E372D9" w:rsidRDefault="00E372D9" w:rsidP="00E372D9">
      <w:pPr>
        <w:pStyle w:val="ListBullet"/>
        <w:tabs>
          <w:tab w:val="left" w:pos="284"/>
        </w:tabs>
        <w:spacing w:before="120"/>
      </w:pPr>
      <w:r>
        <w:t>Deputy Director-General (Policy, Planning and Investment)</w:t>
      </w:r>
    </w:p>
    <w:p w14:paraId="1F713573" w14:textId="67469AA7" w:rsidR="00E372D9" w:rsidRDefault="00E372D9" w:rsidP="00E372D9">
      <w:pPr>
        <w:pStyle w:val="ListBullet"/>
        <w:tabs>
          <w:tab w:val="left" w:pos="284"/>
        </w:tabs>
        <w:spacing w:before="120"/>
      </w:pPr>
      <w:r>
        <w:t>Chief Operations Officer</w:t>
      </w:r>
    </w:p>
    <w:p w14:paraId="551C47B4" w14:textId="385F7C0E" w:rsidR="00E372D9" w:rsidRDefault="00E372D9" w:rsidP="00E372D9">
      <w:pPr>
        <w:pStyle w:val="ListBullet"/>
        <w:tabs>
          <w:tab w:val="left" w:pos="284"/>
        </w:tabs>
        <w:spacing w:before="120"/>
      </w:pPr>
      <w:r>
        <w:t>Chief Finance Officer.</w:t>
      </w:r>
    </w:p>
    <w:p w14:paraId="38F7B6CF" w14:textId="77777777" w:rsidR="00E372D9" w:rsidRDefault="00E372D9" w:rsidP="00D44D5D">
      <w:r>
        <w:lastRenderedPageBreak/>
        <w:t>The committee met 10 times during 2021–22 and:</w:t>
      </w:r>
    </w:p>
    <w:p w14:paraId="122CE4B1" w14:textId="6DB27465" w:rsidR="00E372D9" w:rsidRPr="00C636C2" w:rsidRDefault="00E372D9" w:rsidP="00C636C2">
      <w:pPr>
        <w:pStyle w:val="ListBullet"/>
      </w:pPr>
      <w:r w:rsidRPr="00C636C2">
        <w:t>oversaw the 2021–22 budget development ensuring the overall budget aligned to agreed business plans to contribute towards creating a single integrated transport network accessible to everyone</w:t>
      </w:r>
    </w:p>
    <w:p w14:paraId="5F4E0455" w14:textId="0D6E39F1" w:rsidR="00E372D9" w:rsidRPr="00C636C2" w:rsidRDefault="00E372D9" w:rsidP="00C636C2">
      <w:pPr>
        <w:pStyle w:val="ListBullet"/>
      </w:pPr>
      <w:r w:rsidRPr="00C636C2">
        <w:t>monitored TMR’s financial position and workforce, ensuring that cost pressures, trends and future opportunities are well understood</w:t>
      </w:r>
    </w:p>
    <w:p w14:paraId="4F092D42" w14:textId="2C169BBC" w:rsidR="00E372D9" w:rsidRPr="00C636C2" w:rsidRDefault="00E372D9" w:rsidP="00C636C2">
      <w:pPr>
        <w:pStyle w:val="ListBullet"/>
      </w:pPr>
      <w:r w:rsidRPr="00C636C2">
        <w:t>reviewed TMR’s key financial related risks and took necessary action to mitigate these risks where required</w:t>
      </w:r>
    </w:p>
    <w:p w14:paraId="3CEC7EF0" w14:textId="4DEC842C" w:rsidR="00E372D9" w:rsidRPr="00C636C2" w:rsidRDefault="00E372D9" w:rsidP="00F75F74">
      <w:pPr>
        <w:pStyle w:val="ListBullet"/>
      </w:pPr>
      <w:r w:rsidRPr="00C636C2">
        <w:t>monitored progress in implementing TMR’s</w:t>
      </w:r>
      <w:r w:rsidR="00C636C2">
        <w:t xml:space="preserve"> </w:t>
      </w:r>
      <w:r w:rsidRPr="00C636C2">
        <w:rPr>
          <w:rStyle w:val="Emphasis"/>
        </w:rPr>
        <w:t>Financial Sustainability Plan</w:t>
      </w:r>
    </w:p>
    <w:p w14:paraId="0DAFD42B" w14:textId="1C77C8F9" w:rsidR="00976E9B" w:rsidRPr="00C636C2" w:rsidRDefault="00E372D9" w:rsidP="007F412B">
      <w:pPr>
        <w:pStyle w:val="ListBullet"/>
        <w:rPr>
          <w:rStyle w:val="Emphasis"/>
        </w:rPr>
      </w:pPr>
      <w:r w:rsidRPr="00C636C2">
        <w:t>oversaw the continued implementation of the</w:t>
      </w:r>
      <w:r w:rsidR="00C636C2">
        <w:t xml:space="preserve"> </w:t>
      </w:r>
      <w:r w:rsidRPr="00C636C2">
        <w:rPr>
          <w:rStyle w:val="Emphasis"/>
        </w:rPr>
        <w:t>Queensland Procurement Policy.</w:t>
      </w:r>
    </w:p>
    <w:p w14:paraId="03BF3969" w14:textId="77777777" w:rsidR="00C636C2" w:rsidRPr="00C72D24" w:rsidRDefault="00C636C2" w:rsidP="00C636C2">
      <w:pPr>
        <w:pStyle w:val="Heading4"/>
      </w:pPr>
      <w:r>
        <w:t xml:space="preserve">Information and Systems Committee </w:t>
      </w:r>
    </w:p>
    <w:p w14:paraId="729C7B46" w14:textId="357FDD9A" w:rsidR="00040F27" w:rsidRDefault="00040F27" w:rsidP="00040F27">
      <w:r>
        <w:t>The Information and Systems Committee (ISC) is the peak ICT governance board for all business-led ICT and ICT-enabled investments.</w:t>
      </w:r>
    </w:p>
    <w:p w14:paraId="29416124" w14:textId="398944B8" w:rsidR="00040F27" w:rsidRDefault="00040F27" w:rsidP="00040F27">
      <w:r>
        <w:t>The committee helps ensure TMR achieves maximum value for investments. The ISC also acts as the information security governance body, establishing the information security strategy and ensuring information security objectives are achieved.</w:t>
      </w:r>
    </w:p>
    <w:p w14:paraId="4C387626" w14:textId="77777777" w:rsidR="00040F27" w:rsidRDefault="00040F27" w:rsidP="00040F27">
      <w:r>
        <w:t>The Chair is rotated annually at the start of each calendar year between the Deputy Director-General (Customer Services, Safety and Regulation) and Deputy Director-General, (Translink) and meets monthly.</w:t>
      </w:r>
    </w:p>
    <w:p w14:paraId="2D196201" w14:textId="77777777" w:rsidR="00040F27" w:rsidRPr="00040F27" w:rsidRDefault="00040F27" w:rsidP="00040F27">
      <w:pPr>
        <w:rPr>
          <w:rStyle w:val="Strong"/>
        </w:rPr>
      </w:pPr>
      <w:r w:rsidRPr="00040F27">
        <w:rPr>
          <w:rStyle w:val="Strong"/>
        </w:rPr>
        <w:t>Members:</w:t>
      </w:r>
    </w:p>
    <w:p w14:paraId="41D17DCE" w14:textId="3815340B" w:rsidR="00040F27" w:rsidRPr="00040F27" w:rsidRDefault="00040F27" w:rsidP="00040F27">
      <w:pPr>
        <w:pStyle w:val="ListBullet"/>
      </w:pPr>
      <w:r w:rsidRPr="00040F27">
        <w:t>Director-General</w:t>
      </w:r>
    </w:p>
    <w:p w14:paraId="1CD41F94" w14:textId="0E44493C" w:rsidR="00040F27" w:rsidRPr="00040F27" w:rsidRDefault="00040F27" w:rsidP="00040F27">
      <w:pPr>
        <w:pStyle w:val="ListBullet"/>
      </w:pPr>
      <w:r w:rsidRPr="00040F27">
        <w:t>Deputy Director-General (Corporate)</w:t>
      </w:r>
    </w:p>
    <w:p w14:paraId="10CC3F25" w14:textId="3E08F561" w:rsidR="00040F27" w:rsidRPr="00040F27" w:rsidRDefault="00040F27" w:rsidP="00040F27">
      <w:pPr>
        <w:pStyle w:val="ListBullet"/>
      </w:pPr>
      <w:r w:rsidRPr="00040F27">
        <w:t>Deputy Director-General (Translink)</w:t>
      </w:r>
    </w:p>
    <w:p w14:paraId="069F21C5" w14:textId="20DAADBC" w:rsidR="00040F27" w:rsidRPr="00040F27" w:rsidRDefault="00040F27" w:rsidP="00040F27">
      <w:pPr>
        <w:pStyle w:val="ListBullet"/>
      </w:pPr>
      <w:r w:rsidRPr="00040F27">
        <w:t>Deputy Director-General (Customer Services, Safety and Regulation)</w:t>
      </w:r>
    </w:p>
    <w:p w14:paraId="21DF464E" w14:textId="5C3D41F1" w:rsidR="00040F27" w:rsidRPr="00040F27" w:rsidRDefault="00040F27" w:rsidP="00040F27">
      <w:pPr>
        <w:pStyle w:val="ListBullet"/>
      </w:pPr>
      <w:r w:rsidRPr="00040F27">
        <w:t>Deputy Director-General (Infrastructure Management and Delivery)</w:t>
      </w:r>
    </w:p>
    <w:p w14:paraId="0D98D99C" w14:textId="687034AC" w:rsidR="00040F27" w:rsidRPr="00040F27" w:rsidRDefault="00040F27" w:rsidP="00040F27">
      <w:pPr>
        <w:pStyle w:val="ListBullet"/>
      </w:pPr>
      <w:r w:rsidRPr="00040F27">
        <w:t>Deputy Director-General (Policy, Planning and Investment)</w:t>
      </w:r>
    </w:p>
    <w:p w14:paraId="3BE0DCC9" w14:textId="598E9118" w:rsidR="00040F27" w:rsidRPr="00040F27" w:rsidRDefault="00040F27" w:rsidP="00040F27">
      <w:pPr>
        <w:pStyle w:val="ListBullet"/>
      </w:pPr>
      <w:r w:rsidRPr="00040F27">
        <w:t>Chief Operations Officer</w:t>
      </w:r>
    </w:p>
    <w:p w14:paraId="3C82DDD1" w14:textId="24C7A2CF" w:rsidR="00040F27" w:rsidRPr="00040F27" w:rsidRDefault="00040F27" w:rsidP="00040F27">
      <w:pPr>
        <w:pStyle w:val="ListBullet"/>
      </w:pPr>
      <w:r w:rsidRPr="00040F27">
        <w:t>Chief Information Officer</w:t>
      </w:r>
    </w:p>
    <w:p w14:paraId="038469C1" w14:textId="1BECA347" w:rsidR="00040F27" w:rsidRPr="00040F27" w:rsidRDefault="00040F27" w:rsidP="00040F27">
      <w:pPr>
        <w:pStyle w:val="ListBullet"/>
      </w:pPr>
      <w:r w:rsidRPr="00040F27">
        <w:t>Chief Finance Officer.</w:t>
      </w:r>
    </w:p>
    <w:p w14:paraId="09D9C7E4" w14:textId="77777777" w:rsidR="00040F27" w:rsidRDefault="00040F27" w:rsidP="00040F27">
      <w:r>
        <w:t>The committee met 13 times during 2021–22 and:</w:t>
      </w:r>
    </w:p>
    <w:p w14:paraId="02D620D7" w14:textId="27E97B61" w:rsidR="00040F27" w:rsidRPr="00040F27" w:rsidRDefault="00040F27" w:rsidP="00040F27">
      <w:pPr>
        <w:pStyle w:val="ListBullet"/>
      </w:pPr>
      <w:r w:rsidRPr="00040F27">
        <w:t>continued to strengthen ICT delivery through improved governance, practices, methods and tools</w:t>
      </w:r>
    </w:p>
    <w:p w14:paraId="6BB6959F" w14:textId="7B351037" w:rsidR="00040F27" w:rsidRPr="00040F27" w:rsidRDefault="00040F27" w:rsidP="00040F27">
      <w:pPr>
        <w:pStyle w:val="ListBullet"/>
      </w:pPr>
      <w:r w:rsidRPr="00040F27">
        <w:t xml:space="preserve">maintained a three-year rolling program of work, ensuring ICT investments aligned to departmental and government priorities and supported the </w:t>
      </w:r>
      <w:r w:rsidRPr="00040F27">
        <w:rPr>
          <w:rStyle w:val="Emphasis"/>
        </w:rPr>
        <w:t>Queensland Government Savings and Debt Plan</w:t>
      </w:r>
    </w:p>
    <w:p w14:paraId="5696D379" w14:textId="73E32286" w:rsidR="00040F27" w:rsidRPr="00040F27" w:rsidRDefault="00040F27" w:rsidP="00040F27">
      <w:pPr>
        <w:pStyle w:val="ListBullet"/>
      </w:pPr>
      <w:r w:rsidRPr="00040F27">
        <w:t>embedded benefits management and assurance recommendation management processes across the portfolio</w:t>
      </w:r>
    </w:p>
    <w:p w14:paraId="6A7C1148" w14:textId="68811DF5" w:rsidR="00C636C2" w:rsidRPr="00040F27" w:rsidRDefault="00040F27" w:rsidP="00040F27">
      <w:pPr>
        <w:pStyle w:val="ListBullet"/>
      </w:pPr>
      <w:r w:rsidRPr="00040F27">
        <w:t>oversaw of the performance of critical department ICT systems.</w:t>
      </w:r>
    </w:p>
    <w:p w14:paraId="0A5FD2B7" w14:textId="77777777" w:rsidR="00C636C2" w:rsidRDefault="00C636C2" w:rsidP="00C636C2">
      <w:pPr>
        <w:pStyle w:val="Heading4"/>
      </w:pPr>
      <w:r w:rsidRPr="00C72D24">
        <w:t xml:space="preserve">RoadTek Performance Committee </w:t>
      </w:r>
    </w:p>
    <w:p w14:paraId="6A9D54F0" w14:textId="77777777" w:rsidR="004501C8" w:rsidRDefault="004501C8" w:rsidP="004501C8">
      <w:r>
        <w:t>The RoadTek Performance Committee provides strategic guidance and assessment, while reviewing RoadTek’s annual performance contract, strategic and business plans, and performance indicators.</w:t>
      </w:r>
    </w:p>
    <w:p w14:paraId="30D06344" w14:textId="77777777" w:rsidR="004501C8" w:rsidRDefault="004501C8" w:rsidP="004501C8">
      <w:r w:rsidRPr="004501C8">
        <w:rPr>
          <w:rStyle w:val="Strong"/>
        </w:rPr>
        <w:lastRenderedPageBreak/>
        <w:t>Chair:</w:t>
      </w:r>
      <w:r>
        <w:t xml:space="preserve"> Director-General</w:t>
      </w:r>
    </w:p>
    <w:p w14:paraId="457CE6A5" w14:textId="77777777" w:rsidR="004501C8" w:rsidRPr="004501C8" w:rsidRDefault="004501C8" w:rsidP="004501C8">
      <w:pPr>
        <w:rPr>
          <w:rStyle w:val="Strong"/>
        </w:rPr>
      </w:pPr>
      <w:r w:rsidRPr="004501C8">
        <w:rPr>
          <w:rStyle w:val="Strong"/>
        </w:rPr>
        <w:t>Members:</w:t>
      </w:r>
    </w:p>
    <w:p w14:paraId="63A91198" w14:textId="55059D7A" w:rsidR="004501C8" w:rsidRPr="004501C8" w:rsidRDefault="004501C8" w:rsidP="004501C8">
      <w:pPr>
        <w:pStyle w:val="ListBullet"/>
      </w:pPr>
      <w:r w:rsidRPr="004501C8">
        <w:t>Deputy Director-General (Corporate)</w:t>
      </w:r>
    </w:p>
    <w:p w14:paraId="6814E343" w14:textId="1CA3025F" w:rsidR="004501C8" w:rsidRPr="004501C8" w:rsidRDefault="004501C8" w:rsidP="004501C8">
      <w:pPr>
        <w:pStyle w:val="ListBullet"/>
      </w:pPr>
      <w:r w:rsidRPr="004501C8">
        <w:t>Deputy Director-General (Translink)</w:t>
      </w:r>
    </w:p>
    <w:p w14:paraId="045F6287" w14:textId="49811754" w:rsidR="004501C8" w:rsidRPr="004501C8" w:rsidRDefault="004501C8" w:rsidP="004501C8">
      <w:pPr>
        <w:pStyle w:val="ListBullet"/>
      </w:pPr>
      <w:r w:rsidRPr="004501C8">
        <w:t>Deputy Director-General (Customer Services, Safety and Regulation)</w:t>
      </w:r>
    </w:p>
    <w:p w14:paraId="5A5378B5" w14:textId="65B32639" w:rsidR="004501C8" w:rsidRPr="004501C8" w:rsidRDefault="004501C8" w:rsidP="004501C8">
      <w:pPr>
        <w:pStyle w:val="ListBullet"/>
      </w:pPr>
      <w:r w:rsidRPr="004501C8">
        <w:t>Deputy Director-General (Infrastructure Management and Delivery)</w:t>
      </w:r>
    </w:p>
    <w:p w14:paraId="4F4AA347" w14:textId="177B5F41" w:rsidR="004501C8" w:rsidRPr="004501C8" w:rsidRDefault="004501C8" w:rsidP="004501C8">
      <w:pPr>
        <w:pStyle w:val="ListBullet"/>
      </w:pPr>
      <w:r w:rsidRPr="004501C8">
        <w:t>Deputy Director-General (Policy, Planning and Investment)</w:t>
      </w:r>
    </w:p>
    <w:p w14:paraId="7D66A75E" w14:textId="30BDFCD5" w:rsidR="004501C8" w:rsidRPr="004501C8" w:rsidRDefault="004501C8" w:rsidP="004501C8">
      <w:pPr>
        <w:pStyle w:val="ListBullet"/>
      </w:pPr>
      <w:r w:rsidRPr="004501C8">
        <w:t>Chief Operations Officer</w:t>
      </w:r>
    </w:p>
    <w:p w14:paraId="662FB369" w14:textId="2C6E9BC6" w:rsidR="004501C8" w:rsidRPr="004501C8" w:rsidRDefault="004501C8" w:rsidP="004501C8">
      <w:pPr>
        <w:pStyle w:val="ListBullet"/>
      </w:pPr>
      <w:r w:rsidRPr="004501C8">
        <w:t>Chief Finance Officer</w:t>
      </w:r>
    </w:p>
    <w:p w14:paraId="4F02C37F" w14:textId="79791D0C" w:rsidR="004501C8" w:rsidRPr="004501C8" w:rsidRDefault="004501C8" w:rsidP="004501C8">
      <w:pPr>
        <w:pStyle w:val="ListBullet"/>
      </w:pPr>
      <w:r w:rsidRPr="004501C8">
        <w:t>General Manager (RoadTek).</w:t>
      </w:r>
    </w:p>
    <w:p w14:paraId="3812BEBF" w14:textId="77777777" w:rsidR="004501C8" w:rsidRDefault="004501C8" w:rsidP="004501C8">
      <w:r>
        <w:t>Key achievements of the committee during 2021–22:</w:t>
      </w:r>
    </w:p>
    <w:p w14:paraId="422C7689" w14:textId="0C5FE8B0" w:rsidR="004501C8" w:rsidRPr="004501C8" w:rsidRDefault="004501C8" w:rsidP="004501C8">
      <w:pPr>
        <w:pStyle w:val="ListBullet"/>
      </w:pPr>
      <w:r w:rsidRPr="004501C8">
        <w:t>monitored RoadTek’s performance against the Service Delivery Statement measures and forecast end of year results</w:t>
      </w:r>
    </w:p>
    <w:p w14:paraId="3ECC34BF" w14:textId="63485C95" w:rsidR="004501C8" w:rsidRPr="004501C8" w:rsidRDefault="004501C8" w:rsidP="004501C8">
      <w:pPr>
        <w:pStyle w:val="ListBullet"/>
      </w:pPr>
      <w:r w:rsidRPr="004501C8">
        <w:t>developed and implemented the RoadTek Respect Action Plan</w:t>
      </w:r>
    </w:p>
    <w:p w14:paraId="3B104819" w14:textId="3651CF03" w:rsidR="004501C8" w:rsidRPr="004501C8" w:rsidRDefault="004501C8" w:rsidP="004501C8">
      <w:pPr>
        <w:pStyle w:val="ListBullet"/>
      </w:pPr>
      <w:r w:rsidRPr="004501C8">
        <w:t>reflected on RoadTek’s work to date in safety and agreed to escalate reporting on serious claims frequency rates</w:t>
      </w:r>
    </w:p>
    <w:p w14:paraId="7AAAB035" w14:textId="6513C25D" w:rsidR="004501C8" w:rsidRPr="004501C8" w:rsidRDefault="004501C8" w:rsidP="004501C8">
      <w:pPr>
        <w:pStyle w:val="ListBullet"/>
      </w:pPr>
      <w:r w:rsidRPr="004501C8">
        <w:t>renewed RoadTek’s aspirational targets for environmental performance</w:t>
      </w:r>
    </w:p>
    <w:p w14:paraId="0136EC40" w14:textId="2255B60D" w:rsidR="004501C8" w:rsidRPr="004501C8" w:rsidRDefault="004501C8" w:rsidP="004501C8">
      <w:pPr>
        <w:pStyle w:val="ListBullet"/>
      </w:pPr>
      <w:r w:rsidRPr="004501C8">
        <w:t>recognised the success of various entry pathway programs such as the Women in Construction program</w:t>
      </w:r>
    </w:p>
    <w:p w14:paraId="72B1A9FF" w14:textId="276BF3E2" w:rsidR="00040F27" w:rsidRPr="004501C8" w:rsidRDefault="004501C8" w:rsidP="004501C8">
      <w:pPr>
        <w:pStyle w:val="ListBullet"/>
      </w:pPr>
      <w:r w:rsidRPr="004501C8">
        <w:t>reviewed the Transport and Main Roads Commercialisation Framework.</w:t>
      </w:r>
    </w:p>
    <w:p w14:paraId="180562DC" w14:textId="77777777" w:rsidR="006800C7" w:rsidRPr="00C72D24" w:rsidRDefault="006800C7" w:rsidP="006800C7">
      <w:pPr>
        <w:pStyle w:val="Heading4"/>
      </w:pPr>
      <w:r>
        <w:t>TMR Safety Board (TSafe)</w:t>
      </w:r>
    </w:p>
    <w:p w14:paraId="70849840" w14:textId="77777777" w:rsidR="006C2B72" w:rsidRDefault="006C2B72" w:rsidP="006C2B72">
      <w:r>
        <w:t>TMR’s Safety Board (TSafe) is a governance board of the ELT and meets bi-monthly. It is responsible for setting and enabling clear strategic direction and priorities that will build and maintain an effective safety culture and systems across TMR, and includes:</w:t>
      </w:r>
    </w:p>
    <w:p w14:paraId="29D1C018" w14:textId="15736673" w:rsidR="006C2B72" w:rsidRPr="006C2B72" w:rsidRDefault="006C2B72" w:rsidP="006C2B72">
      <w:pPr>
        <w:pStyle w:val="ListBullet"/>
      </w:pPr>
      <w:r w:rsidRPr="006C2B72">
        <w:t>monitoring of our safety risk profile and our strategic response</w:t>
      </w:r>
    </w:p>
    <w:p w14:paraId="6EC32179" w14:textId="0B760B7C" w:rsidR="006C2B72" w:rsidRPr="006C2B72" w:rsidRDefault="006C2B72" w:rsidP="006C2B72">
      <w:pPr>
        <w:pStyle w:val="ListBullet"/>
      </w:pPr>
      <w:r w:rsidRPr="006C2B72">
        <w:t>sharing of safety information and lessons learnt across TMR</w:t>
      </w:r>
    </w:p>
    <w:p w14:paraId="4EE8071B" w14:textId="7703F9F1" w:rsidR="006C2B72" w:rsidRPr="006C2B72" w:rsidRDefault="006C2B72" w:rsidP="006C2B72">
      <w:pPr>
        <w:pStyle w:val="ListBullet"/>
      </w:pPr>
      <w:r w:rsidRPr="006C2B72">
        <w:t>building our safety capability across TMR</w:t>
      </w:r>
    </w:p>
    <w:p w14:paraId="3665833B" w14:textId="6BA50611" w:rsidR="006C2B72" w:rsidRPr="006C2B72" w:rsidRDefault="006C2B72" w:rsidP="006C2B72">
      <w:pPr>
        <w:pStyle w:val="ListBullet"/>
      </w:pPr>
      <w:r w:rsidRPr="006C2B72">
        <w:t>ensuring the successful delivery of the safety management system</w:t>
      </w:r>
    </w:p>
    <w:p w14:paraId="6F6841E7" w14:textId="0EFC95DB" w:rsidR="006C2B72" w:rsidRPr="006C2B72" w:rsidRDefault="006C2B72" w:rsidP="006C2B72">
      <w:pPr>
        <w:pStyle w:val="ListBullet"/>
      </w:pPr>
      <w:r w:rsidRPr="006C2B72">
        <w:t>enabling strong safety performance, including the achievement of safety objectives</w:t>
      </w:r>
    </w:p>
    <w:p w14:paraId="0DB52219" w14:textId="26511150" w:rsidR="006C2B72" w:rsidRPr="006C2B72" w:rsidRDefault="006C2B72" w:rsidP="006C2B72">
      <w:pPr>
        <w:pStyle w:val="ListBullet"/>
      </w:pPr>
      <w:r w:rsidRPr="006C2B72">
        <w:t>ensuring safety priorities are communicated and workers are consulted on the potential impact of safety in their workplace</w:t>
      </w:r>
    </w:p>
    <w:p w14:paraId="78E9D133" w14:textId="3F29FDBD" w:rsidR="006C2B72" w:rsidRPr="006C2B72" w:rsidRDefault="006C2B72" w:rsidP="006C2B72">
      <w:pPr>
        <w:pStyle w:val="ListBullet"/>
      </w:pPr>
      <w:r w:rsidRPr="006C2B72">
        <w:t>promoting safety programs and initiatives.</w:t>
      </w:r>
    </w:p>
    <w:p w14:paraId="3D0B939A" w14:textId="719CB2D0" w:rsidR="006C2B72" w:rsidRPr="006C2B72" w:rsidRDefault="006C2B72" w:rsidP="006C2B72">
      <w:pPr>
        <w:pStyle w:val="ListBullet"/>
      </w:pPr>
      <w:r w:rsidRPr="006C2B72">
        <w:t>providing a forum where members can mature their understanding of risk and responsibility</w:t>
      </w:r>
    </w:p>
    <w:p w14:paraId="002A6160" w14:textId="3A686D9C" w:rsidR="006C2B72" w:rsidRPr="006C2B72" w:rsidRDefault="006C2B72" w:rsidP="006C2B72">
      <w:pPr>
        <w:pStyle w:val="ListBullet"/>
      </w:pPr>
      <w:r w:rsidRPr="006C2B72">
        <w:t xml:space="preserve">complying with the </w:t>
      </w:r>
      <w:r w:rsidRPr="00B7550D">
        <w:rPr>
          <w:rStyle w:val="Emphasis"/>
        </w:rPr>
        <w:t>Work Health and Safety Act 2011</w:t>
      </w:r>
      <w:r w:rsidRPr="006C2B72">
        <w:t xml:space="preserve"> (the Act), associated regulations, codes of practice and advisory standards.</w:t>
      </w:r>
    </w:p>
    <w:p w14:paraId="74E65EF6" w14:textId="77777777" w:rsidR="006C2B72" w:rsidRDefault="006C2B72" w:rsidP="006C2B72">
      <w:r w:rsidRPr="006C2B72">
        <w:rPr>
          <w:rStyle w:val="Strong"/>
        </w:rPr>
        <w:t>Chair</w:t>
      </w:r>
      <w:r>
        <w:t>: Director-General</w:t>
      </w:r>
    </w:p>
    <w:p w14:paraId="44D60153" w14:textId="77777777" w:rsidR="006C2B72" w:rsidRPr="006C2B72" w:rsidRDefault="006C2B72" w:rsidP="006C2B72">
      <w:pPr>
        <w:rPr>
          <w:rStyle w:val="Strong"/>
        </w:rPr>
      </w:pPr>
      <w:r w:rsidRPr="006C2B72">
        <w:rPr>
          <w:rStyle w:val="Strong"/>
        </w:rPr>
        <w:t>Members:</w:t>
      </w:r>
    </w:p>
    <w:p w14:paraId="60FD9C0D" w14:textId="1C28DF1F" w:rsidR="006C2B72" w:rsidRPr="006C2B72" w:rsidRDefault="006C2B72" w:rsidP="006C2B72">
      <w:pPr>
        <w:pStyle w:val="ListBullet"/>
      </w:pPr>
      <w:r w:rsidRPr="006C2B72">
        <w:t>Chief People and Culture Officer - Deputy Chair</w:t>
      </w:r>
    </w:p>
    <w:p w14:paraId="7C5882D3" w14:textId="30B86B5F" w:rsidR="006C2B72" w:rsidRPr="006C2B72" w:rsidRDefault="006C2B72" w:rsidP="006C2B72">
      <w:pPr>
        <w:pStyle w:val="ListBullet"/>
      </w:pPr>
      <w:r w:rsidRPr="006C2B72">
        <w:t>Deputy Director-General (Corporate)</w:t>
      </w:r>
    </w:p>
    <w:p w14:paraId="6A9FCC44" w14:textId="34D27CF3" w:rsidR="006C2B72" w:rsidRPr="006C2B72" w:rsidRDefault="006C2B72" w:rsidP="006C2B72">
      <w:pPr>
        <w:pStyle w:val="ListBullet"/>
      </w:pPr>
      <w:r w:rsidRPr="006C2B72">
        <w:lastRenderedPageBreak/>
        <w:t>Deputy Director-General (Policy, Planning and Investment)</w:t>
      </w:r>
    </w:p>
    <w:p w14:paraId="0F6C3109" w14:textId="2AA87112" w:rsidR="006C2B72" w:rsidRPr="006C2B72" w:rsidRDefault="006C2B72" w:rsidP="006C2B72">
      <w:pPr>
        <w:pStyle w:val="ListBullet"/>
      </w:pPr>
      <w:r w:rsidRPr="006C2B72">
        <w:t>Deputy Director-General (Infrastructure Management and Delivery)</w:t>
      </w:r>
    </w:p>
    <w:p w14:paraId="44A1E210" w14:textId="2DE426DD" w:rsidR="006C2B72" w:rsidRPr="006C2B72" w:rsidRDefault="006C2B72" w:rsidP="006C2B72">
      <w:pPr>
        <w:pStyle w:val="ListBullet"/>
      </w:pPr>
      <w:r>
        <w:t>D</w:t>
      </w:r>
      <w:r w:rsidRPr="006C2B72">
        <w:t>eputy Director-General (Customer Service, Safety and Regulation)</w:t>
      </w:r>
    </w:p>
    <w:p w14:paraId="116A57B5" w14:textId="7678BD0B" w:rsidR="006C2B72" w:rsidRPr="006C2B72" w:rsidRDefault="006C2B72" w:rsidP="006C2B72">
      <w:pPr>
        <w:pStyle w:val="ListBullet"/>
      </w:pPr>
      <w:r>
        <w:t>D</w:t>
      </w:r>
      <w:r w:rsidRPr="006C2B72">
        <w:t>eputy Director-General (Translink)</w:t>
      </w:r>
    </w:p>
    <w:p w14:paraId="37B370B4" w14:textId="4512E3DC" w:rsidR="006C2B72" w:rsidRPr="006C2B72" w:rsidRDefault="006C2B72" w:rsidP="006C2B72">
      <w:pPr>
        <w:pStyle w:val="ListBullet"/>
      </w:pPr>
      <w:r w:rsidRPr="006C2B72">
        <w:t>Chief Operations Officer.</w:t>
      </w:r>
    </w:p>
    <w:p w14:paraId="79F77AD6" w14:textId="77777777" w:rsidR="006C2B72" w:rsidRDefault="006C2B72" w:rsidP="006C2B72">
      <w:r>
        <w:t>Key achievements during 2021–22:</w:t>
      </w:r>
    </w:p>
    <w:p w14:paraId="26304E98" w14:textId="546539CF" w:rsidR="006C2B72" w:rsidRPr="006C2B72" w:rsidRDefault="006C2B72" w:rsidP="006C2B72">
      <w:pPr>
        <w:pStyle w:val="ListBullet"/>
      </w:pPr>
      <w:r w:rsidRPr="006C2B72">
        <w:t>progressed the Service Delivery Model safety functions and services in consultation with members and their divisions.</w:t>
      </w:r>
    </w:p>
    <w:p w14:paraId="2643D198" w14:textId="055BE19B" w:rsidR="006C2B72" w:rsidRPr="006C2B72" w:rsidRDefault="006C2B72" w:rsidP="006C2B72">
      <w:pPr>
        <w:pStyle w:val="ListBullet"/>
      </w:pPr>
      <w:r w:rsidRPr="006C2B72">
        <w:t>developed the draft TMR Drug and Alcohol policy and procedure in consultation with numerous stakeholders,</w:t>
      </w:r>
    </w:p>
    <w:p w14:paraId="12CC8CC9" w14:textId="3D8EECC0" w:rsidR="006C2B72" w:rsidRPr="006C2B72" w:rsidRDefault="006C2B72" w:rsidP="006C2B72">
      <w:pPr>
        <w:pStyle w:val="ListBullet"/>
      </w:pPr>
      <w:r w:rsidRPr="006C2B72">
        <w:t xml:space="preserve">developed a new reporting framework with contemporary safety measures that drive </w:t>
      </w:r>
      <w:r w:rsidR="00BB3CBA" w:rsidRPr="006C2B72">
        <w:t>behavioural</w:t>
      </w:r>
      <w:r w:rsidRPr="006C2B72">
        <w:t xml:space="preserve"> change</w:t>
      </w:r>
    </w:p>
    <w:p w14:paraId="7042083E" w14:textId="17290E2C" w:rsidR="004501C8" w:rsidRPr="006C2B72" w:rsidRDefault="006C2B72" w:rsidP="006C2B72">
      <w:pPr>
        <w:pStyle w:val="ListBullet"/>
      </w:pPr>
      <w:r w:rsidRPr="006C2B72">
        <w:t>oversaw TMR’s safety response to COVID-19.</w:t>
      </w:r>
    </w:p>
    <w:p w14:paraId="0C324159" w14:textId="43B80496" w:rsidR="006800C7" w:rsidRPr="00C72D24" w:rsidRDefault="006C2B72" w:rsidP="006800C7">
      <w:pPr>
        <w:pStyle w:val="Heading4"/>
      </w:pPr>
      <w:r>
        <w:t xml:space="preserve">TMR People and Capability Board </w:t>
      </w:r>
    </w:p>
    <w:p w14:paraId="66127955" w14:textId="39151888" w:rsidR="00B7550D" w:rsidRDefault="00B7550D" w:rsidP="00B7550D">
      <w:r>
        <w:t>The TMR People and Capability Board (TPaC) provides governance to the ELT and the Chief People and Culture Officer on the attraction, development, engagement and wellbeing of TMR’s workforce.</w:t>
      </w:r>
    </w:p>
    <w:p w14:paraId="6DC5A710" w14:textId="77777777" w:rsidR="00B7550D" w:rsidRDefault="00B7550D" w:rsidP="00B7550D">
      <w:r>
        <w:t xml:space="preserve">In 2021, TPaC approved the </w:t>
      </w:r>
      <w:r w:rsidRPr="00B7550D">
        <w:rPr>
          <w:rStyle w:val="Emphasis"/>
        </w:rPr>
        <w:t>TMR Strategic Workforce Plan 2020–2024 (revised for 2021–2022)</w:t>
      </w:r>
      <w:r>
        <w:t xml:space="preserve"> and continues to drive and monitor our workforce capability, culture and wellbeing objectives, that will foster TMR as an employer of choice.</w:t>
      </w:r>
    </w:p>
    <w:p w14:paraId="52A71450" w14:textId="77777777" w:rsidR="00B7550D" w:rsidRDefault="00B7550D" w:rsidP="00B7550D">
      <w:r w:rsidRPr="0069143E">
        <w:rPr>
          <w:rStyle w:val="Strong"/>
        </w:rPr>
        <w:t>Chair:</w:t>
      </w:r>
      <w:r>
        <w:t xml:space="preserve"> Director-General</w:t>
      </w:r>
    </w:p>
    <w:p w14:paraId="6EC31282" w14:textId="77777777" w:rsidR="00B7550D" w:rsidRPr="0069143E" w:rsidRDefault="00B7550D" w:rsidP="00B7550D">
      <w:pPr>
        <w:rPr>
          <w:rStyle w:val="Strong"/>
        </w:rPr>
      </w:pPr>
      <w:r w:rsidRPr="0069143E">
        <w:rPr>
          <w:rStyle w:val="Strong"/>
        </w:rPr>
        <w:t>Members:</w:t>
      </w:r>
    </w:p>
    <w:p w14:paraId="4CA9F013" w14:textId="1C12A523" w:rsidR="00B7550D" w:rsidRPr="00B7550D" w:rsidRDefault="00B7550D" w:rsidP="00B7550D">
      <w:pPr>
        <w:pStyle w:val="ListBullet"/>
      </w:pPr>
      <w:r w:rsidRPr="00B7550D">
        <w:t>Deputy Director-General (Corporate) - Deputy Chair</w:t>
      </w:r>
    </w:p>
    <w:p w14:paraId="2E6BE3A4" w14:textId="05A30D56" w:rsidR="00B7550D" w:rsidRPr="00B7550D" w:rsidRDefault="00B7550D" w:rsidP="00B7550D">
      <w:pPr>
        <w:pStyle w:val="ListBullet"/>
      </w:pPr>
      <w:r w:rsidRPr="00B7550D">
        <w:t>Deputy Director-General (Customer Services, Safety and Regulation)</w:t>
      </w:r>
    </w:p>
    <w:p w14:paraId="7C08E324" w14:textId="40DA5191" w:rsidR="00B7550D" w:rsidRPr="00B7550D" w:rsidRDefault="00B7550D" w:rsidP="00B7550D">
      <w:pPr>
        <w:pStyle w:val="ListBullet"/>
      </w:pPr>
      <w:r w:rsidRPr="00B7550D">
        <w:t>Deputy Director-General (Infrastructure Management and Delivery)</w:t>
      </w:r>
    </w:p>
    <w:p w14:paraId="7BFED0BD" w14:textId="2123F386" w:rsidR="00B7550D" w:rsidRPr="00B7550D" w:rsidRDefault="00B7550D" w:rsidP="00B7550D">
      <w:pPr>
        <w:pStyle w:val="ListBullet"/>
      </w:pPr>
      <w:r w:rsidRPr="00B7550D">
        <w:t>Deputy Director-General (Policy, Planning and Investment)</w:t>
      </w:r>
    </w:p>
    <w:p w14:paraId="799ADBD1" w14:textId="32A7E80C" w:rsidR="00B7550D" w:rsidRPr="00B7550D" w:rsidRDefault="00B7550D" w:rsidP="00B7550D">
      <w:pPr>
        <w:pStyle w:val="ListBullet"/>
      </w:pPr>
      <w:r w:rsidRPr="00B7550D">
        <w:t>Deputy Director-General (Translink)</w:t>
      </w:r>
    </w:p>
    <w:p w14:paraId="44EFD630" w14:textId="6CE091F6" w:rsidR="00B7550D" w:rsidRPr="00B7550D" w:rsidRDefault="00B7550D" w:rsidP="00B7550D">
      <w:pPr>
        <w:pStyle w:val="ListBullet"/>
      </w:pPr>
      <w:r w:rsidRPr="00B7550D">
        <w:t>Chief Operations Officer</w:t>
      </w:r>
    </w:p>
    <w:p w14:paraId="3FF8D39E" w14:textId="55BDFF34" w:rsidR="00B7550D" w:rsidRPr="00B7550D" w:rsidRDefault="00B7550D" w:rsidP="00B7550D">
      <w:pPr>
        <w:pStyle w:val="ListBullet"/>
      </w:pPr>
      <w:r w:rsidRPr="00B7550D">
        <w:t>Chief People and Culture Officer.</w:t>
      </w:r>
    </w:p>
    <w:p w14:paraId="47DB289E" w14:textId="77777777" w:rsidR="00B7550D" w:rsidRDefault="00B7550D" w:rsidP="00B7550D">
      <w:r>
        <w:t>Key achievements during 2021–22:</w:t>
      </w:r>
    </w:p>
    <w:p w14:paraId="3DB21588" w14:textId="5CC687B4" w:rsidR="00B7550D" w:rsidRPr="00B7550D" w:rsidRDefault="00B7550D" w:rsidP="00B7550D">
      <w:pPr>
        <w:pStyle w:val="ListBullet"/>
      </w:pPr>
      <w:r w:rsidRPr="00B7550D">
        <w:t>explored the an internal talent mobility platform</w:t>
      </w:r>
    </w:p>
    <w:p w14:paraId="73F0DDF7" w14:textId="0824A42C" w:rsidR="00B7550D" w:rsidRPr="00B7550D" w:rsidRDefault="00B7550D" w:rsidP="00B7550D">
      <w:pPr>
        <w:pStyle w:val="ListBullet"/>
      </w:pPr>
      <w:r w:rsidRPr="00B7550D">
        <w:t>provided guest speaker led discussions on multi-generational workforce, where the TMR Talent Mobility Platform was approved to progress</w:t>
      </w:r>
    </w:p>
    <w:p w14:paraId="7A804B95" w14:textId="1DF8AE13" w:rsidR="00B7550D" w:rsidRPr="00B7550D" w:rsidRDefault="00B7550D" w:rsidP="00B7550D">
      <w:pPr>
        <w:pStyle w:val="ListBullet"/>
      </w:pPr>
      <w:r w:rsidRPr="00B7550D">
        <w:t>reviewed the impacts of COVID-19 and broader talent challenges on the TMR workforce.</w:t>
      </w:r>
    </w:p>
    <w:p w14:paraId="26E080E7" w14:textId="3225D611" w:rsidR="00B7550D" w:rsidRPr="00B7550D" w:rsidRDefault="00B7550D" w:rsidP="00B7550D">
      <w:pPr>
        <w:pStyle w:val="ListBullet"/>
      </w:pPr>
      <w:r w:rsidRPr="00B7550D">
        <w:t>oversaw TMR’s three enterprise bargaining agreements approach for 2022–23</w:t>
      </w:r>
    </w:p>
    <w:p w14:paraId="46B21A61" w14:textId="7B6FC691" w:rsidR="00B7550D" w:rsidRPr="00B7550D" w:rsidRDefault="00B7550D" w:rsidP="0069143E">
      <w:pPr>
        <w:pStyle w:val="ListBullet"/>
      </w:pPr>
      <w:r w:rsidRPr="00B7550D">
        <w:t>oversaw TMR’s Mental Health and Wellbeing of our employees, including current strategies and programs</w:t>
      </w:r>
      <w:r w:rsidR="0069143E">
        <w:t xml:space="preserve"> </w:t>
      </w:r>
      <w:r w:rsidRPr="00B7550D">
        <w:t>and future priorities</w:t>
      </w:r>
    </w:p>
    <w:p w14:paraId="39D8BF67" w14:textId="45F44D1B" w:rsidR="006C2B72" w:rsidRPr="00B7550D" w:rsidRDefault="00B7550D" w:rsidP="00B7550D">
      <w:pPr>
        <w:pStyle w:val="ListBullet"/>
      </w:pPr>
      <w:r w:rsidRPr="00B7550D">
        <w:t>oversaw TMR’s workforce performance data.</w:t>
      </w:r>
    </w:p>
    <w:p w14:paraId="3F5E8CFA" w14:textId="77777777" w:rsidR="006E2364" w:rsidRDefault="006E2364" w:rsidP="006E2364">
      <w:bookmarkStart w:id="19" w:name="_Hlk76977631"/>
    </w:p>
    <w:p w14:paraId="2891FC1F" w14:textId="7F88D4F4" w:rsidR="006800C7" w:rsidRPr="006E2364" w:rsidRDefault="006800C7" w:rsidP="006800C7">
      <w:pPr>
        <w:pStyle w:val="Heading3"/>
        <w:rPr>
          <w:b/>
          <w:bCs/>
        </w:rPr>
      </w:pPr>
      <w:r w:rsidRPr="006E2364">
        <w:rPr>
          <w:b/>
          <w:bCs/>
        </w:rPr>
        <w:lastRenderedPageBreak/>
        <w:t>Robust management standards</w:t>
      </w:r>
      <w:bookmarkEnd w:id="19"/>
    </w:p>
    <w:p w14:paraId="0381F035" w14:textId="77777777" w:rsidR="006800C7" w:rsidRDefault="006800C7" w:rsidP="006800C7">
      <w:pPr>
        <w:pStyle w:val="Heading4"/>
      </w:pPr>
      <w:r>
        <w:t xml:space="preserve">Information management </w:t>
      </w:r>
    </w:p>
    <w:p w14:paraId="61A23C2A" w14:textId="3C7026AF" w:rsidR="00320582" w:rsidRDefault="00320582" w:rsidP="00320582">
      <w:r>
        <w:t xml:space="preserve">Good information management is instrumental in delivering better services to TMR’s customers and the community, empowering TMR staff to achieve efficiencies, meet requests and make better decisions, and while meeting right to information, security, and privacy obligations under the </w:t>
      </w:r>
      <w:r w:rsidRPr="00320582">
        <w:rPr>
          <w:rStyle w:val="Emphasis"/>
        </w:rPr>
        <w:t>Public Records Act 2002</w:t>
      </w:r>
      <w:r>
        <w:t>.</w:t>
      </w:r>
    </w:p>
    <w:p w14:paraId="7E2CBB5A" w14:textId="2B645B77" w:rsidR="00320582" w:rsidRDefault="00320582" w:rsidP="00320582">
      <w:r>
        <w:t xml:space="preserve">TMR has embarked on a five-year roadmap to raise the bar on its Information Management digital solutions and contemporary ways of working. Driven by the new </w:t>
      </w:r>
      <w:r w:rsidRPr="00320582">
        <w:rPr>
          <w:rStyle w:val="Emphasis"/>
        </w:rPr>
        <w:t>Information Management Strategy 2021–2026</w:t>
      </w:r>
      <w:r>
        <w:t>, TMR has invested in an enterprise-wide Information Management Program.</w:t>
      </w:r>
    </w:p>
    <w:p w14:paraId="5948E21F" w14:textId="1608BCAF" w:rsidR="0069143E" w:rsidRPr="00EA2096" w:rsidRDefault="00320582" w:rsidP="006F340F">
      <w:r>
        <w:t>The program will involve a holistic approach, transforming not only our systems and processes, including moving our records management platform to the cloud, but also driving a cultural and workplace capability shift. It will bring TMR in line with industry best practice and build on the previous 2020–22 strategy that introduced governance-by-design and a paper-lite culture.</w:t>
      </w:r>
    </w:p>
    <w:p w14:paraId="47A3FCF4" w14:textId="77777777" w:rsidR="006800C7" w:rsidRDefault="006800C7" w:rsidP="006800C7">
      <w:pPr>
        <w:pStyle w:val="Heading4"/>
      </w:pPr>
      <w:r>
        <w:t xml:space="preserve">Information privacy </w:t>
      </w:r>
    </w:p>
    <w:p w14:paraId="578425E6" w14:textId="7E5365AD" w:rsidR="0060467B" w:rsidRDefault="0060467B" w:rsidP="0060467B">
      <w:r>
        <w:t xml:space="preserve">TMR is committed to protecting the personal information it holds in accordance with its obligations under </w:t>
      </w:r>
      <w:r w:rsidRPr="0060467B">
        <w:rPr>
          <w:rStyle w:val="Emphasis"/>
        </w:rPr>
        <w:t>the Information Privacy Act 2009</w:t>
      </w:r>
      <w:r>
        <w:t xml:space="preserve"> (IP Act). The IP Act regulates how personal information is collected, stored, used and disclosed by all Queensland Government agencies and their contracted service providers.</w:t>
      </w:r>
    </w:p>
    <w:p w14:paraId="03AEBA15" w14:textId="77777777" w:rsidR="0060467B" w:rsidRDefault="0060467B" w:rsidP="0060467B">
      <w:r>
        <w:t>TMR remains committed to continually improving its guidelines, policies and procedures to support the effective management of personal information, to meet community expectations and compliance obligations.</w:t>
      </w:r>
    </w:p>
    <w:p w14:paraId="7162D54F" w14:textId="77777777" w:rsidR="0060467B" w:rsidRDefault="0060467B" w:rsidP="0060467B">
      <w:r>
        <w:t>TMR developed and implemented a new mandatory online information privacy course in 2021–22. The course provides employees with a comprehensive awareness of information privacy and how the information privacy principles apply to an employee’s day-to-day responsibilities.</w:t>
      </w:r>
    </w:p>
    <w:p w14:paraId="099A4446" w14:textId="77777777" w:rsidR="0060467B" w:rsidRDefault="0060467B" w:rsidP="0060467B">
      <w:r>
        <w:t xml:space="preserve">TMR’s </w:t>
      </w:r>
      <w:r w:rsidRPr="0060467B">
        <w:rPr>
          <w:rStyle w:val="Emphasis"/>
        </w:rPr>
        <w:t>Information Privacy Plan</w:t>
      </w:r>
      <w:r>
        <w:t xml:space="preserve"> demonstrates to members of the public how TMR meets its obligations under the IP Act. This plan provides a guideline for employees and contractors of TMR who deal with personal information in relation to the functions and activities of TMR and illustrates TMR’s commitment to respecting the privacy rights of employees and members of the public.</w:t>
      </w:r>
    </w:p>
    <w:p w14:paraId="10990CBB" w14:textId="77777777" w:rsidR="0060467B" w:rsidRDefault="0060467B" w:rsidP="0060467B">
      <w:r>
        <w:t>As TMR is increasingly turning to emerging technologies to carry out functions, inform policy and deliver services. To ensure compliance with the Information Privacy Principles, TMR actively conducts Privacy Impact Assessments to factor in privacy when planning and delivering projects and programs that involve the management of personal information.</w:t>
      </w:r>
    </w:p>
    <w:p w14:paraId="3ADFFBE0" w14:textId="7CBAC1F4" w:rsidR="000F08C8" w:rsidRDefault="0060467B" w:rsidP="0060467B">
      <w:r>
        <w:t>As TMR’s dedicated Privacy Champion, the Director-General continues to provide and support mandatory awareness campaigns and resources to TMR staff to assist in promoting a culture that respects the personal information of staff and customers.</w:t>
      </w:r>
    </w:p>
    <w:p w14:paraId="6802A5FC" w14:textId="77777777" w:rsidR="006800C7" w:rsidRPr="00EA2096" w:rsidRDefault="006800C7" w:rsidP="006800C7">
      <w:pPr>
        <w:pStyle w:val="MoreInformation"/>
      </w:pPr>
      <w:r w:rsidRPr="00EA2096">
        <w:t>For more information</w:t>
      </w:r>
      <w:r w:rsidRPr="00EA2096">
        <w:br/>
      </w:r>
      <w:hyperlink r:id="rId130" w:history="1">
        <w:r>
          <w:rPr>
            <w:rStyle w:val="Hyperlink"/>
          </w:rPr>
          <w:t>https://www.tmr.qld.gov.au/Help/Privacy</w:t>
        </w:r>
      </w:hyperlink>
    </w:p>
    <w:p w14:paraId="48A6B3C6" w14:textId="200CAA5B" w:rsidR="006800C7" w:rsidRDefault="006800C7" w:rsidP="006800C7">
      <w:pPr>
        <w:pStyle w:val="Heading4"/>
      </w:pPr>
      <w:r>
        <w:t xml:space="preserve">Information </w:t>
      </w:r>
      <w:r w:rsidR="00A23BE9">
        <w:t>S</w:t>
      </w:r>
      <w:r>
        <w:t xml:space="preserve">ecurity </w:t>
      </w:r>
      <w:r w:rsidR="00A23BE9">
        <w:t>M</w:t>
      </w:r>
      <w:r>
        <w:t xml:space="preserve">anagement </w:t>
      </w:r>
      <w:r w:rsidR="00A23BE9">
        <w:t>S</w:t>
      </w:r>
      <w:r>
        <w:t xml:space="preserve">ystem </w:t>
      </w:r>
    </w:p>
    <w:p w14:paraId="3A11AAE3" w14:textId="12E0E773" w:rsidR="00A23BE9" w:rsidRDefault="00A23BE9" w:rsidP="00A23BE9">
      <w:r>
        <w:t>TMR is heavily reliant on digital technologies, devices, applications and business systems to deliver a range of core and critical services to our customers.</w:t>
      </w:r>
    </w:p>
    <w:p w14:paraId="6617FD2A" w14:textId="56E6BBDC" w:rsidR="00A23BE9" w:rsidRDefault="00A23BE9" w:rsidP="00A23BE9">
      <w:r>
        <w:lastRenderedPageBreak/>
        <w:t xml:space="preserve">To ensure TMR’s information, application, technology and critical infrastructure assets are appropriately protected, TMR complies with the requirements of the Queensland Government </w:t>
      </w:r>
      <w:r w:rsidRPr="00A23BE9">
        <w:rPr>
          <w:rStyle w:val="Emphasis"/>
        </w:rPr>
        <w:t>Information Security Policy (IS18:2018).</w:t>
      </w:r>
    </w:p>
    <w:p w14:paraId="6D46828A" w14:textId="06D1B0B6" w:rsidR="00A23BE9" w:rsidRDefault="00A23BE9" w:rsidP="00A23BE9">
      <w:r>
        <w:t>In accordance with IS18:2018, TMR has an Information Security Management System (ISMS) in place which forms the basis of the governance, processes, and controls necessary to ensure risks to TMR’s systems and information are understood and effectively managed.</w:t>
      </w:r>
    </w:p>
    <w:p w14:paraId="450AE4E3" w14:textId="77777777" w:rsidR="00A23BE9" w:rsidRDefault="00A23BE9" w:rsidP="00A23BE9">
      <w:r>
        <w:t>Over the last three years, TMR has made significant progress with maturing the ISMS and continues to improve TMR’s security posture through:</w:t>
      </w:r>
    </w:p>
    <w:p w14:paraId="4DFBC2F0" w14:textId="0FE3CE55" w:rsidR="00A23BE9" w:rsidRPr="00A23BE9" w:rsidRDefault="00A23BE9" w:rsidP="00A23BE9">
      <w:pPr>
        <w:pStyle w:val="ListBullet"/>
      </w:pPr>
      <w:r>
        <w:t>o</w:t>
      </w:r>
      <w:r w:rsidRPr="00A23BE9">
        <w:t>ngoing cyber security education and awareness campaigns supported by mandatory annual training for all staff</w:t>
      </w:r>
    </w:p>
    <w:p w14:paraId="4E724F4C" w14:textId="7CAAED93" w:rsidR="00A23BE9" w:rsidRPr="00A23BE9" w:rsidRDefault="00A23BE9" w:rsidP="00A23BE9">
      <w:pPr>
        <w:pStyle w:val="ListBullet"/>
      </w:pPr>
      <w:r w:rsidRPr="00A23BE9">
        <w:t>effective governance responsible for the implementation of strategy, policy, standards and processes</w:t>
      </w:r>
    </w:p>
    <w:p w14:paraId="79DC3422" w14:textId="32F6DEAB" w:rsidR="00A23BE9" w:rsidRDefault="00A23BE9" w:rsidP="00A23BE9">
      <w:pPr>
        <w:pStyle w:val="ListBullet"/>
      </w:pPr>
      <w:r w:rsidRPr="00A23BE9">
        <w:t>actively reporting, monitoring, mitigating and ongoing management of information security and cyber risks.</w:t>
      </w:r>
    </w:p>
    <w:p w14:paraId="4655935F" w14:textId="66731EDE" w:rsidR="006F340F" w:rsidRDefault="00A23BE9" w:rsidP="00A23BE9">
      <w:r>
        <w:t>During the mandatory annual Information Security reporting process, the Director-General attested to the appropriateness of the information security risk management within TMR to the Queensland Government Chief Information Security Officer, noting that appropriate assurance activities have been undertaken to inform this opinion and TMR’s information security risk position.</w:t>
      </w:r>
    </w:p>
    <w:p w14:paraId="2E18B894" w14:textId="228EEC73" w:rsidR="00A23BE9" w:rsidRDefault="00A23BE9" w:rsidP="00A23BE9">
      <w:pPr>
        <w:pStyle w:val="Heading3"/>
      </w:pPr>
      <w:r>
        <w:t xml:space="preserve">Suppliers and procurement </w:t>
      </w:r>
    </w:p>
    <w:p w14:paraId="1B0DCF29" w14:textId="7452177E" w:rsidR="00576647" w:rsidRDefault="00576647" w:rsidP="00576647">
      <w:r>
        <w:t>TMR is committed to delivering social, environmental and economic outcomes through strategic procurement activities to support Queensland industries and suppliers through TMR’s $8.7 billion procurement program.</w:t>
      </w:r>
    </w:p>
    <w:p w14:paraId="7BD10A51" w14:textId="77777777" w:rsidR="00576647" w:rsidRDefault="00576647" w:rsidP="00576647">
      <w:r>
        <w:t xml:space="preserve">Putting Queenslanders first, TMR leverages the </w:t>
      </w:r>
      <w:r w:rsidRPr="00576647">
        <w:rPr>
          <w:rStyle w:val="Emphasis"/>
        </w:rPr>
        <w:t>Queensland Procurement Policy</w:t>
      </w:r>
      <w:r>
        <w:t xml:space="preserve"> to incorporate a range of local, social, and innovative procurement objectives that create opportunities for local, regional and Queensland suppliers.</w:t>
      </w:r>
    </w:p>
    <w:p w14:paraId="1D85CEFF" w14:textId="77777777" w:rsidR="00576647" w:rsidRDefault="00576647" w:rsidP="00576647">
      <w:r>
        <w:t>Since 2016, TMR has awarded 90.4 per cent of contracts to Queensland suppliers. In 2021–22, TMR awarded 2534 contracts to Queensland suppliers that injected $4.1 billion directly into local economies. This included $2.4 billion to 2792 regional suppliers and $51 million directly to Aboriginal and Torres Strait Islander businesses.</w:t>
      </w:r>
    </w:p>
    <w:p w14:paraId="0F429C78" w14:textId="097973CD" w:rsidR="006F340F" w:rsidRDefault="006F340F" w:rsidP="006F340F">
      <w:pPr>
        <w:pStyle w:val="ListBullet"/>
        <w:numPr>
          <w:ilvl w:val="0"/>
          <w:numId w:val="0"/>
        </w:numPr>
        <w:tabs>
          <w:tab w:val="left" w:pos="284"/>
        </w:tabs>
        <w:spacing w:before="120" w:after="0" w:line="260" w:lineRule="exact"/>
        <w:ind w:left="567" w:hanging="567"/>
      </w:pPr>
    </w:p>
    <w:p w14:paraId="3445914E" w14:textId="3108D546" w:rsidR="00DC2BB9" w:rsidRDefault="00576647" w:rsidP="00DC2BB9">
      <w:pPr>
        <w:pStyle w:val="TableofFigures"/>
      </w:pPr>
      <w:r w:rsidRPr="00185E03">
        <w:t xml:space="preserve">Figure </w:t>
      </w:r>
      <w:r w:rsidR="00DC2BB9" w:rsidRPr="00DC2BB9">
        <w:t>10: TMR addressable spend with Aboriginal and Torres Strait Islander (ATSI), Regional and Queensland Vendors by financial year</w:t>
      </w:r>
    </w:p>
    <w:tbl>
      <w:tblPr>
        <w:tblStyle w:val="Style1"/>
        <w:tblW w:w="0" w:type="auto"/>
        <w:tblLook w:val="04A0" w:firstRow="1" w:lastRow="0" w:firstColumn="1" w:lastColumn="0" w:noHBand="0" w:noVBand="1"/>
      </w:tblPr>
      <w:tblGrid>
        <w:gridCol w:w="1721"/>
        <w:gridCol w:w="1341"/>
        <w:gridCol w:w="1341"/>
        <w:gridCol w:w="1386"/>
      </w:tblGrid>
      <w:tr w:rsidR="002804FD" w:rsidRPr="007B3132" w14:paraId="2996E562" w14:textId="77777777" w:rsidTr="002804FD">
        <w:trPr>
          <w:cnfStyle w:val="100000000000" w:firstRow="1" w:lastRow="0" w:firstColumn="0" w:lastColumn="0" w:oddVBand="0" w:evenVBand="0" w:oddHBand="0" w:evenHBand="0" w:firstRowFirstColumn="0" w:firstRowLastColumn="0" w:lastRowFirstColumn="0" w:lastRowLastColumn="0"/>
        </w:trPr>
        <w:tc>
          <w:tcPr>
            <w:tcW w:w="0" w:type="auto"/>
          </w:tcPr>
          <w:p w14:paraId="58EB89B6" w14:textId="77777777" w:rsidR="002804FD" w:rsidRPr="007B3132" w:rsidRDefault="002804FD" w:rsidP="00E607DA"/>
        </w:tc>
        <w:tc>
          <w:tcPr>
            <w:tcW w:w="0" w:type="auto"/>
            <w:hideMark/>
          </w:tcPr>
          <w:p w14:paraId="5F0EFFEE" w14:textId="77777777" w:rsidR="002804FD" w:rsidRPr="007B3132" w:rsidRDefault="002804FD" w:rsidP="00E607DA">
            <w:r w:rsidRPr="007B3132">
              <w:t>2019–20</w:t>
            </w:r>
          </w:p>
        </w:tc>
        <w:tc>
          <w:tcPr>
            <w:tcW w:w="0" w:type="auto"/>
            <w:hideMark/>
          </w:tcPr>
          <w:p w14:paraId="5D7D2E1E" w14:textId="77777777" w:rsidR="002804FD" w:rsidRPr="007B3132" w:rsidRDefault="002804FD" w:rsidP="00E607DA">
            <w:r w:rsidRPr="007B3132">
              <w:t>2020–21</w:t>
            </w:r>
          </w:p>
        </w:tc>
        <w:tc>
          <w:tcPr>
            <w:tcW w:w="0" w:type="auto"/>
            <w:hideMark/>
          </w:tcPr>
          <w:p w14:paraId="265F1AE1" w14:textId="77777777" w:rsidR="002804FD" w:rsidRPr="007B3132" w:rsidRDefault="002804FD" w:rsidP="00E607DA">
            <w:r w:rsidRPr="007B3132">
              <w:t>2021–22</w:t>
            </w:r>
          </w:p>
        </w:tc>
      </w:tr>
      <w:tr w:rsidR="002804FD" w:rsidRPr="007B3132" w14:paraId="4E6A8198" w14:textId="77777777" w:rsidTr="002804FD">
        <w:tc>
          <w:tcPr>
            <w:tcW w:w="0" w:type="auto"/>
            <w:hideMark/>
          </w:tcPr>
          <w:p w14:paraId="1CEAAA8F" w14:textId="77777777" w:rsidR="002804FD" w:rsidRPr="007B3132" w:rsidRDefault="002804FD" w:rsidP="00E607DA">
            <w:r w:rsidRPr="007B3132">
              <w:t>ATSI</w:t>
            </w:r>
          </w:p>
        </w:tc>
        <w:tc>
          <w:tcPr>
            <w:tcW w:w="0" w:type="auto"/>
            <w:hideMark/>
          </w:tcPr>
          <w:p w14:paraId="719DEE23" w14:textId="77777777" w:rsidR="002804FD" w:rsidRPr="007B3132" w:rsidRDefault="002804FD" w:rsidP="00E607DA">
            <w:r w:rsidRPr="007B3132">
              <w:t>$33,574,379</w:t>
            </w:r>
          </w:p>
        </w:tc>
        <w:tc>
          <w:tcPr>
            <w:tcW w:w="0" w:type="auto"/>
            <w:hideMark/>
          </w:tcPr>
          <w:p w14:paraId="52C5ABC6" w14:textId="77777777" w:rsidR="002804FD" w:rsidRPr="007B3132" w:rsidRDefault="002804FD" w:rsidP="00E607DA">
            <w:r w:rsidRPr="007B3132">
              <w:t>$32,257,234</w:t>
            </w:r>
          </w:p>
        </w:tc>
        <w:tc>
          <w:tcPr>
            <w:tcW w:w="0" w:type="auto"/>
            <w:hideMark/>
          </w:tcPr>
          <w:p w14:paraId="045BBCE6" w14:textId="77777777" w:rsidR="002804FD" w:rsidRPr="007B3132" w:rsidRDefault="002804FD" w:rsidP="00E607DA">
            <w:r w:rsidRPr="007B3132">
              <w:t>$51,402,940 </w:t>
            </w:r>
          </w:p>
        </w:tc>
      </w:tr>
      <w:tr w:rsidR="002804FD" w:rsidRPr="007B3132" w14:paraId="7518E137" w14:textId="77777777" w:rsidTr="002804FD">
        <w:tc>
          <w:tcPr>
            <w:tcW w:w="0" w:type="auto"/>
            <w:hideMark/>
          </w:tcPr>
          <w:p w14:paraId="66FA8D57" w14:textId="77777777" w:rsidR="002804FD" w:rsidRPr="007B3132" w:rsidRDefault="002804FD" w:rsidP="00E607DA">
            <w:r w:rsidRPr="007B3132">
              <w:t>Regional</w:t>
            </w:r>
          </w:p>
        </w:tc>
        <w:tc>
          <w:tcPr>
            <w:tcW w:w="0" w:type="auto"/>
            <w:hideMark/>
          </w:tcPr>
          <w:p w14:paraId="350D3CBD" w14:textId="77777777" w:rsidR="002804FD" w:rsidRPr="007B3132" w:rsidRDefault="002804FD" w:rsidP="00E607DA">
            <w:r w:rsidRPr="007B3132">
              <w:t>$1,818,628,488</w:t>
            </w:r>
          </w:p>
        </w:tc>
        <w:tc>
          <w:tcPr>
            <w:tcW w:w="0" w:type="auto"/>
            <w:hideMark/>
          </w:tcPr>
          <w:p w14:paraId="57DFFB58" w14:textId="77777777" w:rsidR="002804FD" w:rsidRPr="007B3132" w:rsidRDefault="002804FD" w:rsidP="00E607DA">
            <w:r w:rsidRPr="007B3132">
              <w:t>$2,121,476,520</w:t>
            </w:r>
          </w:p>
        </w:tc>
        <w:tc>
          <w:tcPr>
            <w:tcW w:w="0" w:type="auto"/>
            <w:hideMark/>
          </w:tcPr>
          <w:p w14:paraId="46BA5342" w14:textId="77777777" w:rsidR="002804FD" w:rsidRPr="007B3132" w:rsidRDefault="002804FD" w:rsidP="00E607DA">
            <w:r w:rsidRPr="007B3132">
              <w:t>$2,367,306,824 </w:t>
            </w:r>
          </w:p>
        </w:tc>
      </w:tr>
      <w:tr w:rsidR="002804FD" w:rsidRPr="007B3132" w14:paraId="17EB5B64" w14:textId="77777777" w:rsidTr="002804FD">
        <w:tc>
          <w:tcPr>
            <w:tcW w:w="0" w:type="auto"/>
            <w:hideMark/>
          </w:tcPr>
          <w:p w14:paraId="5684FDCE" w14:textId="77777777" w:rsidR="002804FD" w:rsidRPr="007B3132" w:rsidRDefault="002804FD" w:rsidP="00E607DA">
            <w:r w:rsidRPr="007B3132">
              <w:t>Qld</w:t>
            </w:r>
          </w:p>
        </w:tc>
        <w:tc>
          <w:tcPr>
            <w:tcW w:w="0" w:type="auto"/>
            <w:hideMark/>
          </w:tcPr>
          <w:p w14:paraId="4709A75F" w14:textId="77777777" w:rsidR="002804FD" w:rsidRPr="007B3132" w:rsidRDefault="002804FD" w:rsidP="00E607DA">
            <w:r w:rsidRPr="007B3132">
              <w:t>$6,154,066,846</w:t>
            </w:r>
          </w:p>
        </w:tc>
        <w:tc>
          <w:tcPr>
            <w:tcW w:w="0" w:type="auto"/>
            <w:hideMark/>
          </w:tcPr>
          <w:p w14:paraId="5866B1B1" w14:textId="77777777" w:rsidR="002804FD" w:rsidRPr="007B3132" w:rsidRDefault="002804FD" w:rsidP="00E607DA">
            <w:r w:rsidRPr="007B3132">
              <w:t>$7,122,693,376</w:t>
            </w:r>
          </w:p>
        </w:tc>
        <w:tc>
          <w:tcPr>
            <w:tcW w:w="0" w:type="auto"/>
            <w:hideMark/>
          </w:tcPr>
          <w:p w14:paraId="76BBA665" w14:textId="77777777" w:rsidR="002804FD" w:rsidRPr="007B3132" w:rsidRDefault="002804FD" w:rsidP="00E607DA">
            <w:r w:rsidRPr="007B3132">
              <w:t>$7,786,082,694 </w:t>
            </w:r>
          </w:p>
        </w:tc>
      </w:tr>
      <w:tr w:rsidR="002804FD" w:rsidRPr="007B3132" w14:paraId="1F3CB9DE" w14:textId="77777777" w:rsidTr="002804FD">
        <w:tc>
          <w:tcPr>
            <w:tcW w:w="0" w:type="auto"/>
            <w:hideMark/>
          </w:tcPr>
          <w:p w14:paraId="3B1DD7FB" w14:textId="77777777" w:rsidR="002804FD" w:rsidRPr="007B3132" w:rsidRDefault="002804FD" w:rsidP="00E607DA">
            <w:r w:rsidRPr="007B3132">
              <w:t>Total Spend</w:t>
            </w:r>
          </w:p>
        </w:tc>
        <w:tc>
          <w:tcPr>
            <w:tcW w:w="0" w:type="auto"/>
            <w:hideMark/>
          </w:tcPr>
          <w:p w14:paraId="02F38B0F" w14:textId="77777777" w:rsidR="002804FD" w:rsidRPr="007B3132" w:rsidRDefault="002804FD" w:rsidP="00E607DA">
            <w:r w:rsidRPr="007B3132">
              <w:t>$7,176,219,465</w:t>
            </w:r>
          </w:p>
        </w:tc>
        <w:tc>
          <w:tcPr>
            <w:tcW w:w="0" w:type="auto"/>
            <w:hideMark/>
          </w:tcPr>
          <w:p w14:paraId="542A6DE1" w14:textId="77777777" w:rsidR="002804FD" w:rsidRPr="007B3132" w:rsidRDefault="002804FD" w:rsidP="00E607DA">
            <w:r w:rsidRPr="007B3132">
              <w:t>$7,571,206,324</w:t>
            </w:r>
          </w:p>
        </w:tc>
        <w:tc>
          <w:tcPr>
            <w:tcW w:w="0" w:type="auto"/>
            <w:hideMark/>
          </w:tcPr>
          <w:p w14:paraId="7AC629C1" w14:textId="77777777" w:rsidR="002804FD" w:rsidRPr="007B3132" w:rsidRDefault="002804FD" w:rsidP="00E607DA">
            <w:r w:rsidRPr="007B3132">
              <w:t>$8,745,468,369 </w:t>
            </w:r>
          </w:p>
        </w:tc>
      </w:tr>
      <w:tr w:rsidR="002804FD" w:rsidRPr="007B3132" w14:paraId="2D35EDCC" w14:textId="77777777" w:rsidTr="002804FD">
        <w:tc>
          <w:tcPr>
            <w:tcW w:w="0" w:type="auto"/>
            <w:hideMark/>
          </w:tcPr>
          <w:p w14:paraId="77B32AB9" w14:textId="77777777" w:rsidR="002804FD" w:rsidRPr="007B3132" w:rsidRDefault="002804FD" w:rsidP="00E607DA">
            <w:r w:rsidRPr="007B3132">
              <w:t>Regional spend as %</w:t>
            </w:r>
          </w:p>
        </w:tc>
        <w:tc>
          <w:tcPr>
            <w:tcW w:w="0" w:type="auto"/>
            <w:hideMark/>
          </w:tcPr>
          <w:p w14:paraId="2F7AFA70" w14:textId="77777777" w:rsidR="002804FD" w:rsidRPr="007B3132" w:rsidRDefault="002804FD" w:rsidP="00E607DA">
            <w:r w:rsidRPr="007B3132">
              <w:t>25.34%</w:t>
            </w:r>
          </w:p>
        </w:tc>
        <w:tc>
          <w:tcPr>
            <w:tcW w:w="0" w:type="auto"/>
            <w:hideMark/>
          </w:tcPr>
          <w:p w14:paraId="1BE65EA6" w14:textId="77777777" w:rsidR="002804FD" w:rsidRPr="007B3132" w:rsidRDefault="002804FD" w:rsidP="00E607DA">
            <w:r w:rsidRPr="007B3132">
              <w:t>28.02%</w:t>
            </w:r>
          </w:p>
        </w:tc>
        <w:tc>
          <w:tcPr>
            <w:tcW w:w="0" w:type="auto"/>
            <w:hideMark/>
          </w:tcPr>
          <w:p w14:paraId="6FC9D67A" w14:textId="77777777" w:rsidR="002804FD" w:rsidRPr="007B3132" w:rsidRDefault="002804FD" w:rsidP="00E607DA">
            <w:r w:rsidRPr="007B3132">
              <w:t>27.07% </w:t>
            </w:r>
          </w:p>
        </w:tc>
      </w:tr>
    </w:tbl>
    <w:p w14:paraId="4F2DCEF6" w14:textId="10161D1E" w:rsidR="0061663D" w:rsidRPr="0061663D" w:rsidRDefault="0061663D" w:rsidP="0061663D">
      <w:pPr>
        <w:pStyle w:val="Subtitle"/>
      </w:pPr>
      <w:r w:rsidRPr="0061663D">
        <w:lastRenderedPageBreak/>
        <w:t>Data source: Aboriginal and Torres Strait Islander vendor list supplied by the Department of Seniors, Disability Services and Aborigina</w:t>
      </w:r>
      <w:r>
        <w:t xml:space="preserve">l </w:t>
      </w:r>
      <w:r w:rsidRPr="0061663D">
        <w:t>and Torres Strait Islander Partnerships.</w:t>
      </w:r>
      <w:r>
        <w:br/>
      </w:r>
      <w:r w:rsidRPr="0061663D">
        <w:t>Regional and Queensland vendors identified by applying SAP Vendor Master Data.</w:t>
      </w:r>
    </w:p>
    <w:p w14:paraId="135C2889" w14:textId="2B6993CD" w:rsidR="006F340F" w:rsidRDefault="0061663D" w:rsidP="0061663D">
      <w:pPr>
        <w:pStyle w:val="Subtitle"/>
      </w:pPr>
      <w:r w:rsidRPr="0061663D">
        <w:t>Spend data sourced from TMR Spend Cube.</w:t>
      </w:r>
    </w:p>
    <w:p w14:paraId="7CE775DC" w14:textId="56A18629" w:rsidR="006F340F" w:rsidRDefault="006F340F" w:rsidP="0061663D">
      <w:pPr>
        <w:pStyle w:val="Subtitle"/>
      </w:pPr>
    </w:p>
    <w:p w14:paraId="4F989EF0" w14:textId="77777777" w:rsidR="00576647" w:rsidRPr="00EA2096" w:rsidRDefault="00576647" w:rsidP="006F340F">
      <w:pPr>
        <w:pStyle w:val="ListBullet"/>
        <w:numPr>
          <w:ilvl w:val="0"/>
          <w:numId w:val="0"/>
        </w:numPr>
        <w:tabs>
          <w:tab w:val="left" w:pos="284"/>
        </w:tabs>
        <w:spacing w:before="120" w:after="0" w:line="260" w:lineRule="exact"/>
        <w:ind w:left="567" w:hanging="567"/>
      </w:pPr>
    </w:p>
    <w:p w14:paraId="14E4C970" w14:textId="77777777" w:rsidR="006800C7" w:rsidRPr="000F7EF4" w:rsidRDefault="006800C7" w:rsidP="006800C7">
      <w:pPr>
        <w:pStyle w:val="Heading3"/>
        <w:rPr>
          <w:b/>
          <w:bCs/>
        </w:rPr>
      </w:pPr>
      <w:r w:rsidRPr="000F7EF4">
        <w:rPr>
          <w:b/>
          <w:bCs/>
        </w:rPr>
        <w:t xml:space="preserve">Internal accountability </w:t>
      </w:r>
    </w:p>
    <w:p w14:paraId="28107D0B" w14:textId="0CAED645" w:rsidR="006800C7" w:rsidRDefault="0061663D" w:rsidP="006800C7">
      <w:pPr>
        <w:pStyle w:val="Heading4"/>
      </w:pPr>
      <w:r>
        <w:t xml:space="preserve">Performance management and monitoring </w:t>
      </w:r>
    </w:p>
    <w:p w14:paraId="697D67E9" w14:textId="47534F32" w:rsidR="00A14907" w:rsidRDefault="00A14907" w:rsidP="00A14907">
      <w:r>
        <w:t>TMR monitors performance against service standards in the Service Delivery Statements (SDS) (see Appendix 3) and progress of strategic initiatives through quarterly performance reports to the ELT.</w:t>
      </w:r>
    </w:p>
    <w:p w14:paraId="55BBE694" w14:textId="2760ED9B" w:rsidR="00A14907" w:rsidRDefault="00A14907" w:rsidP="00A14907">
      <w:r>
        <w:t>The internal quarterly performance reports inform strategic decisions, drive improvements and allow course correction or re- evaluation of objectives to ensure value is continually delivered to our customers, stakeholders and the community.</w:t>
      </w:r>
    </w:p>
    <w:p w14:paraId="4DC16708" w14:textId="49FACA3D" w:rsidR="00A14907" w:rsidRDefault="00A14907" w:rsidP="00A14907">
      <w:r>
        <w:t xml:space="preserve">These reports also fulfil the requirements of the Queensland Government’s </w:t>
      </w:r>
      <w:r w:rsidRPr="00A14907">
        <w:rPr>
          <w:rStyle w:val="Emphasis"/>
        </w:rPr>
        <w:t>Financial and Performance Management Standard 2019 and Financial Accountability Act 2009</w:t>
      </w:r>
      <w:r>
        <w:t>.</w:t>
      </w:r>
    </w:p>
    <w:p w14:paraId="59C3C0FC" w14:textId="0F9A798C" w:rsidR="0061663D" w:rsidRDefault="00A14907" w:rsidP="00A14907">
      <w:r>
        <w:t>TMR’s commitment to continuous improvement is affirmed through the Planning and Performance Network, representatives from each division/branch, who connect regularly to strengthen planning and performance capability and to champion a performance culture across TMR.</w:t>
      </w:r>
    </w:p>
    <w:p w14:paraId="377762C5" w14:textId="31848353" w:rsidR="006800C7" w:rsidRPr="009D15EB" w:rsidRDefault="00F028D2" w:rsidP="006800C7">
      <w:pPr>
        <w:pStyle w:val="Heading4"/>
      </w:pPr>
      <w:r>
        <w:t>TMR Fleet Strategy 2022</w:t>
      </w:r>
      <w:r w:rsidRPr="009D15EB">
        <w:t>–</w:t>
      </w:r>
      <w:r>
        <w:t>2027</w:t>
      </w:r>
    </w:p>
    <w:p w14:paraId="7B6A5F70" w14:textId="77777777" w:rsidR="00EA48CC" w:rsidRDefault="00EA48CC" w:rsidP="00EA48CC">
      <w:r>
        <w:t>TMR is one of the Queensland Government’s largest owners of corporate fleet, with over 1000 passenger vehicles in over 100 locations across the state.</w:t>
      </w:r>
    </w:p>
    <w:p w14:paraId="313E313B" w14:textId="77777777" w:rsidR="00EA48CC" w:rsidRDefault="00EA48CC" w:rsidP="00EA48CC">
      <w:r>
        <w:t xml:space="preserve">Recent changes in fleet management such as increasing the uptake of low emission vehicles, implementation of electronic logbooks and associated introduction of safety reporting, with a focus on improving driver behaviour, has provided an opportunity for TMR to develop the </w:t>
      </w:r>
      <w:r w:rsidRPr="00EA48CC">
        <w:rPr>
          <w:rStyle w:val="Emphasis"/>
        </w:rPr>
        <w:t>TMR Fleet Strategy 2022–2027</w:t>
      </w:r>
      <w:r>
        <w:t>.</w:t>
      </w:r>
    </w:p>
    <w:p w14:paraId="39F36E04" w14:textId="77777777" w:rsidR="00EA48CC" w:rsidRDefault="00EA48CC" w:rsidP="00EA48CC">
      <w:r>
        <w:t>The strategy seeks to:</w:t>
      </w:r>
    </w:p>
    <w:p w14:paraId="4AD0512A" w14:textId="77978ED5" w:rsidR="00EA48CC" w:rsidRDefault="00EA48CC" w:rsidP="00EA48CC">
      <w:pPr>
        <w:pStyle w:val="ListBullet"/>
      </w:pPr>
      <w:r>
        <w:t>establish an optimum configuration of fleet vehicles incorporating business requirements, accessibility and environmentally friendly vehicles</w:t>
      </w:r>
    </w:p>
    <w:p w14:paraId="34C69D90" w14:textId="5F2E39D7" w:rsidR="00EA48CC" w:rsidRDefault="00EA48CC" w:rsidP="00EA48CC">
      <w:pPr>
        <w:pStyle w:val="ListBullet"/>
      </w:pPr>
      <w:r>
        <w:t>lead by example in sustainable fleet management</w:t>
      </w:r>
    </w:p>
    <w:p w14:paraId="455600C6" w14:textId="4998D5F2" w:rsidR="00EA48CC" w:rsidRDefault="00EA48CC" w:rsidP="00EA48CC">
      <w:pPr>
        <w:pStyle w:val="ListBullet"/>
      </w:pPr>
      <w:r>
        <w:t>support and enable safe driver behaviour.</w:t>
      </w:r>
    </w:p>
    <w:p w14:paraId="2CC68928" w14:textId="25043DDC" w:rsidR="00F028D2" w:rsidRDefault="00EA48CC" w:rsidP="006800C7">
      <w:r>
        <w:t>The strategy outlines key measures of success including fleet utilisation, benchmarking of fleet costs, the level of safety incidents and an increase in the uptake of zero emission vehicles in the fleet.</w:t>
      </w:r>
    </w:p>
    <w:p w14:paraId="408885C8" w14:textId="16E96D02" w:rsidR="006800C7" w:rsidRDefault="00EA48CC" w:rsidP="006800C7">
      <w:pPr>
        <w:pStyle w:val="Heading4"/>
      </w:pPr>
      <w:r>
        <w:t xml:space="preserve">Data and Business Analytics Strategy </w:t>
      </w:r>
    </w:p>
    <w:p w14:paraId="6B0848D1" w14:textId="136DE2B7" w:rsidR="00DC7AE2" w:rsidRDefault="00DC7AE2" w:rsidP="00DC7AE2">
      <w:r>
        <w:t xml:space="preserve">TMR’s </w:t>
      </w:r>
      <w:r w:rsidRPr="00DC7AE2">
        <w:rPr>
          <w:rStyle w:val="Emphasis"/>
        </w:rPr>
        <w:t>Data and Business Analytics Strategy</w:t>
      </w:r>
      <w:r>
        <w:t xml:space="preserve"> details the approach to becoming an insight driven organisation, utilising the rapidly expanding availability of data to develop new and improved customer services, improve service delivery and better connect Queenslanders through our transport network.</w:t>
      </w:r>
    </w:p>
    <w:p w14:paraId="37DE71BD" w14:textId="77777777" w:rsidR="00DC7AE2" w:rsidRDefault="00DC7AE2" w:rsidP="00DC7AE2">
      <w:r>
        <w:lastRenderedPageBreak/>
        <w:t>Underpinned by the Transport Data Exchange (TDx), a strategic data analytics framework, TMR continued to implement cloud- based analytics solutions to solve complex business and customer challenges.</w:t>
      </w:r>
    </w:p>
    <w:p w14:paraId="6BBE2438" w14:textId="77777777" w:rsidR="00DC7AE2" w:rsidRDefault="00DC7AE2" w:rsidP="00DC7AE2">
      <w:r>
        <w:t>Examples included:</w:t>
      </w:r>
    </w:p>
    <w:p w14:paraId="788059E6" w14:textId="6CD299EC" w:rsidR="00DC7AE2" w:rsidRDefault="00DC7AE2" w:rsidP="00DC7AE2">
      <w:pPr>
        <w:pStyle w:val="ListBullet"/>
      </w:pPr>
      <w:r>
        <w:t>multiple self-service finance dashboards, which automate financial reporting and enable reuse of data pipelines and on demand access to data</w:t>
      </w:r>
    </w:p>
    <w:p w14:paraId="6F05B993" w14:textId="3C27BB36" w:rsidR="00DC7AE2" w:rsidRDefault="00DC7AE2" w:rsidP="00DC7AE2">
      <w:pPr>
        <w:pStyle w:val="ListBullet"/>
      </w:pPr>
      <w:r>
        <w:t>the implementation of a technical solution which enables ‘write back’ functionality on identified reports, automating previously manual, complex and time-consuming processes through interactive dashboards</w:t>
      </w:r>
    </w:p>
    <w:p w14:paraId="49AD2155" w14:textId="2302D734" w:rsidR="00DC7AE2" w:rsidRDefault="00DC7AE2" w:rsidP="00DC7AE2">
      <w:pPr>
        <w:pStyle w:val="ListBullet"/>
      </w:pPr>
      <w:r>
        <w:t>a tested and documented TDx funding model which supports more efficient distribution and monitoring of costs for cloud- based data and analytics solutions.</w:t>
      </w:r>
    </w:p>
    <w:p w14:paraId="2C59DB23" w14:textId="724C39D5" w:rsidR="0028313F" w:rsidRPr="00EA2096" w:rsidRDefault="0028313F" w:rsidP="0028313F">
      <w:pPr>
        <w:pStyle w:val="MoreInformation"/>
      </w:pPr>
      <w:r w:rsidRPr="00EA2096">
        <w:t>For more information</w:t>
      </w:r>
      <w:r w:rsidRPr="00EA2096">
        <w:br/>
      </w:r>
      <w:hyperlink r:id="rId131" w:history="1">
        <w:r w:rsidRPr="0028313F">
          <w:rPr>
            <w:rStyle w:val="Hyperlink"/>
          </w:rPr>
          <w:t>https://www.tmr.qld.gov.au/-/media/aboutus/corpinfo/Publications/data-and-business-analytics-strategy-2017-2022.pdf?la=en</w:t>
        </w:r>
      </w:hyperlink>
    </w:p>
    <w:p w14:paraId="6DE0ED18" w14:textId="4B3342A8" w:rsidR="006800C7" w:rsidRDefault="002737E4" w:rsidP="006800C7">
      <w:pPr>
        <w:pStyle w:val="Heading4"/>
      </w:pPr>
      <w:r>
        <w:t xml:space="preserve">Complaints management </w:t>
      </w:r>
    </w:p>
    <w:p w14:paraId="2E64E692" w14:textId="77777777" w:rsidR="007C1C32" w:rsidRDefault="007C1C32" w:rsidP="007C1C32">
      <w:r>
        <w:t>TMR recognises that feedback from customers is central to providing Queenslanders with responsive government services. TMR is committed to learning from customer feedback to innovate and enhance services, improve decision-making, and increase government accountability.</w:t>
      </w:r>
    </w:p>
    <w:p w14:paraId="1EB767BB" w14:textId="3301D267" w:rsidR="007C1C32" w:rsidRDefault="007C1C32" w:rsidP="007C1C32">
      <w:r>
        <w:t xml:space="preserve">TMR’s complaints management system complies with the </w:t>
      </w:r>
      <w:r w:rsidRPr="007C1C32">
        <w:rPr>
          <w:rStyle w:val="Emphasis"/>
        </w:rPr>
        <w:t>Public Service Act 2008</w:t>
      </w:r>
      <w:r>
        <w:t xml:space="preserve"> (Section 219A), is compatible with the </w:t>
      </w:r>
      <w:r w:rsidRPr="007C1C32">
        <w:rPr>
          <w:rStyle w:val="Emphasis"/>
        </w:rPr>
        <w:t>Human Rights Act 2019 and</w:t>
      </w:r>
      <w:r>
        <w:t xml:space="preserve"> meets the guiding principles of the Australian/New Zealand Standard AS 10002:2022 Guidelines for complaint management in organizations.</w:t>
      </w:r>
    </w:p>
    <w:p w14:paraId="7DD682E2" w14:textId="7D13289A" w:rsidR="00EA48CC" w:rsidRDefault="007C1C32" w:rsidP="007C1C32">
      <w:r>
        <w:t xml:space="preserve">Between 1 July 2021 to 30 June 2022, TMR reported 28,674 customer complaints, including 30 human rights complaints, 13 of which were deemed to be a breach of the </w:t>
      </w:r>
      <w:r w:rsidRPr="007C1C32">
        <w:rPr>
          <w:rStyle w:val="Emphasis"/>
        </w:rPr>
        <w:t>Human Rights Act 2019</w:t>
      </w:r>
      <w:r>
        <w:t>. The 28,673 complaints managed in the 2021–22 financial year predominantly related to the dissatisfaction of services delivered by customer service staff and delivery partners, including the service delivery and performance of services on the network.</w:t>
      </w:r>
    </w:p>
    <w:p w14:paraId="0893D44C" w14:textId="0EB229AC" w:rsidR="007C1C32" w:rsidRDefault="007C1C32" w:rsidP="007C1C32">
      <w:pPr>
        <w:pStyle w:val="TableofFigures"/>
      </w:pPr>
      <w:r w:rsidRPr="00185E03">
        <w:t xml:space="preserve">Figure </w:t>
      </w:r>
      <w:r w:rsidRPr="00DC2BB9">
        <w:t>1</w:t>
      </w:r>
      <w:r>
        <w:t>1</w:t>
      </w:r>
      <w:r w:rsidRPr="00DC2BB9">
        <w:t xml:space="preserve">: </w:t>
      </w:r>
      <w:r>
        <w:t>Complaints received</w:t>
      </w:r>
      <w:r w:rsidR="00914F51">
        <w:t xml:space="preserve"> </w:t>
      </w:r>
    </w:p>
    <w:tbl>
      <w:tblPr>
        <w:tblStyle w:val="Style1"/>
        <w:tblW w:w="9029" w:type="dxa"/>
        <w:tblLook w:val="04A0" w:firstRow="1" w:lastRow="0" w:firstColumn="1" w:lastColumn="0" w:noHBand="0" w:noVBand="1"/>
      </w:tblPr>
      <w:tblGrid>
        <w:gridCol w:w="717"/>
        <w:gridCol w:w="1258"/>
        <w:gridCol w:w="7054"/>
      </w:tblGrid>
      <w:tr w:rsidR="00E640DB" w:rsidRPr="003105E4" w14:paraId="11E29B27" w14:textId="77777777" w:rsidTr="00E640DB">
        <w:trPr>
          <w:cnfStyle w:val="100000000000" w:firstRow="1" w:lastRow="0" w:firstColumn="0" w:lastColumn="0" w:oddVBand="0" w:evenVBand="0" w:oddHBand="0" w:evenHBand="0" w:firstRowFirstColumn="0" w:firstRowLastColumn="0" w:lastRowFirstColumn="0" w:lastRowLastColumn="0"/>
          <w:trHeight w:val="647"/>
        </w:trPr>
        <w:tc>
          <w:tcPr>
            <w:tcW w:w="717" w:type="dxa"/>
            <w:hideMark/>
          </w:tcPr>
          <w:p w14:paraId="5EA8BCAC" w14:textId="77777777" w:rsidR="00E640DB" w:rsidRPr="003105E4" w:rsidRDefault="00E640DB" w:rsidP="00E607DA">
            <w:r w:rsidRPr="002B3B05">
              <w:t>Year</w:t>
            </w:r>
          </w:p>
        </w:tc>
        <w:tc>
          <w:tcPr>
            <w:tcW w:w="1258" w:type="dxa"/>
            <w:hideMark/>
          </w:tcPr>
          <w:p w14:paraId="0A5B038E" w14:textId="77777777" w:rsidR="00E640DB" w:rsidRPr="003105E4" w:rsidRDefault="00E640DB" w:rsidP="00E607DA">
            <w:r w:rsidRPr="002B3B05">
              <w:t>Customer Complaints Volume</w:t>
            </w:r>
          </w:p>
        </w:tc>
        <w:tc>
          <w:tcPr>
            <w:tcW w:w="7054" w:type="dxa"/>
            <w:hideMark/>
          </w:tcPr>
          <w:p w14:paraId="60A415BB" w14:textId="77777777" w:rsidR="00E640DB" w:rsidRPr="003105E4" w:rsidRDefault="00E640DB" w:rsidP="00E607DA">
            <w:r w:rsidRPr="002B3B05">
              <w:t>Customer Interactions Volume</w:t>
            </w:r>
            <w:r w:rsidRPr="003105E4">
              <w:t xml:space="preserve"> </w:t>
            </w:r>
          </w:p>
        </w:tc>
      </w:tr>
      <w:tr w:rsidR="00E640DB" w:rsidRPr="003105E4" w14:paraId="04F73C3D" w14:textId="77777777" w:rsidTr="00E640DB">
        <w:trPr>
          <w:trHeight w:val="647"/>
        </w:trPr>
        <w:tc>
          <w:tcPr>
            <w:tcW w:w="717" w:type="dxa"/>
            <w:hideMark/>
          </w:tcPr>
          <w:p w14:paraId="3D66D014" w14:textId="77777777" w:rsidR="00E640DB" w:rsidRPr="003105E4" w:rsidRDefault="00E640DB" w:rsidP="00E607DA">
            <w:r w:rsidRPr="002B3B05">
              <w:t>2017–18</w:t>
            </w:r>
          </w:p>
        </w:tc>
        <w:tc>
          <w:tcPr>
            <w:tcW w:w="1258" w:type="dxa"/>
            <w:hideMark/>
          </w:tcPr>
          <w:p w14:paraId="2C496FDA" w14:textId="77777777" w:rsidR="00E640DB" w:rsidRPr="003105E4" w:rsidRDefault="00E640DB" w:rsidP="00E607DA">
            <w:r w:rsidRPr="002B3B05">
              <w:t>45,820</w:t>
            </w:r>
          </w:p>
        </w:tc>
        <w:tc>
          <w:tcPr>
            <w:tcW w:w="7054" w:type="dxa"/>
            <w:hideMark/>
          </w:tcPr>
          <w:p w14:paraId="1854B6D8" w14:textId="77777777" w:rsidR="00E640DB" w:rsidRPr="003105E4" w:rsidRDefault="00E640DB" w:rsidP="00E607DA">
            <w:r w:rsidRPr="002B3B05">
              <w:t>12</w:t>
            </w:r>
            <w:r>
              <w:t>,</w:t>
            </w:r>
            <w:r w:rsidRPr="002B3B05">
              <w:t>600</w:t>
            </w:r>
            <w:r>
              <w:t>,</w:t>
            </w:r>
            <w:r w:rsidRPr="002B3B05">
              <w:t>000</w:t>
            </w:r>
          </w:p>
        </w:tc>
      </w:tr>
      <w:tr w:rsidR="00E640DB" w:rsidRPr="003105E4" w14:paraId="08B6C9CA" w14:textId="77777777" w:rsidTr="00E640DB">
        <w:trPr>
          <w:trHeight w:val="647"/>
        </w:trPr>
        <w:tc>
          <w:tcPr>
            <w:tcW w:w="717" w:type="dxa"/>
            <w:hideMark/>
          </w:tcPr>
          <w:p w14:paraId="1BCE9361" w14:textId="77777777" w:rsidR="00E640DB" w:rsidRPr="003105E4" w:rsidRDefault="00E640DB" w:rsidP="00E607DA">
            <w:r w:rsidRPr="002B3B05">
              <w:t>2018–19</w:t>
            </w:r>
          </w:p>
        </w:tc>
        <w:tc>
          <w:tcPr>
            <w:tcW w:w="1258" w:type="dxa"/>
            <w:hideMark/>
          </w:tcPr>
          <w:p w14:paraId="5EF8B1F3" w14:textId="77777777" w:rsidR="00E640DB" w:rsidRPr="003105E4" w:rsidRDefault="00E640DB" w:rsidP="00E607DA">
            <w:r w:rsidRPr="002B3B05">
              <w:t>45,057</w:t>
            </w:r>
          </w:p>
        </w:tc>
        <w:tc>
          <w:tcPr>
            <w:tcW w:w="7054" w:type="dxa"/>
            <w:hideMark/>
          </w:tcPr>
          <w:p w14:paraId="05CF9C96" w14:textId="77777777" w:rsidR="00E640DB" w:rsidRPr="003105E4" w:rsidRDefault="00E640DB" w:rsidP="00E607DA">
            <w:r w:rsidRPr="002B3B05">
              <w:t>16</w:t>
            </w:r>
            <w:r>
              <w:t>,</w:t>
            </w:r>
            <w:r w:rsidRPr="002B3B05">
              <w:t>000</w:t>
            </w:r>
            <w:r>
              <w:t>,</w:t>
            </w:r>
            <w:r w:rsidRPr="002B3B05">
              <w:t>000</w:t>
            </w:r>
          </w:p>
        </w:tc>
      </w:tr>
      <w:tr w:rsidR="00E640DB" w:rsidRPr="003105E4" w14:paraId="32995277" w14:textId="77777777" w:rsidTr="00E640DB">
        <w:trPr>
          <w:trHeight w:val="647"/>
        </w:trPr>
        <w:tc>
          <w:tcPr>
            <w:tcW w:w="717" w:type="dxa"/>
            <w:hideMark/>
          </w:tcPr>
          <w:p w14:paraId="6767ECB3" w14:textId="77777777" w:rsidR="00E640DB" w:rsidRPr="003105E4" w:rsidRDefault="00E640DB" w:rsidP="00E607DA">
            <w:r w:rsidRPr="002B3B05">
              <w:t>2019–20</w:t>
            </w:r>
          </w:p>
        </w:tc>
        <w:tc>
          <w:tcPr>
            <w:tcW w:w="1258" w:type="dxa"/>
            <w:hideMark/>
          </w:tcPr>
          <w:p w14:paraId="18F07036" w14:textId="77777777" w:rsidR="00E640DB" w:rsidRPr="003105E4" w:rsidRDefault="00E640DB" w:rsidP="00E607DA">
            <w:r w:rsidRPr="002B3B05">
              <w:t>35,159</w:t>
            </w:r>
          </w:p>
        </w:tc>
        <w:tc>
          <w:tcPr>
            <w:tcW w:w="7054" w:type="dxa"/>
            <w:hideMark/>
          </w:tcPr>
          <w:p w14:paraId="5B0D91A5" w14:textId="77777777" w:rsidR="00E640DB" w:rsidRPr="003105E4" w:rsidRDefault="00E640DB" w:rsidP="00E607DA">
            <w:r w:rsidRPr="002B3B05">
              <w:t>16</w:t>
            </w:r>
            <w:r>
              <w:t>,</w:t>
            </w:r>
            <w:r w:rsidRPr="002B3B05">
              <w:t>800</w:t>
            </w:r>
            <w:r>
              <w:t>,</w:t>
            </w:r>
            <w:r w:rsidRPr="002B3B05">
              <w:t>000</w:t>
            </w:r>
          </w:p>
        </w:tc>
      </w:tr>
      <w:tr w:rsidR="00E640DB" w:rsidRPr="003105E4" w14:paraId="71C9350F" w14:textId="77777777" w:rsidTr="00E640DB">
        <w:trPr>
          <w:trHeight w:val="647"/>
        </w:trPr>
        <w:tc>
          <w:tcPr>
            <w:tcW w:w="717" w:type="dxa"/>
            <w:hideMark/>
          </w:tcPr>
          <w:p w14:paraId="3EFD6BCF" w14:textId="77777777" w:rsidR="00E640DB" w:rsidRPr="003105E4" w:rsidRDefault="00E640DB" w:rsidP="00E607DA">
            <w:r w:rsidRPr="002B3B05">
              <w:t>2020–21</w:t>
            </w:r>
          </w:p>
        </w:tc>
        <w:tc>
          <w:tcPr>
            <w:tcW w:w="1258" w:type="dxa"/>
            <w:hideMark/>
          </w:tcPr>
          <w:p w14:paraId="1B1DB01B" w14:textId="77777777" w:rsidR="00E640DB" w:rsidRPr="003105E4" w:rsidRDefault="00E640DB" w:rsidP="00E607DA">
            <w:r w:rsidRPr="002B3B05">
              <w:t>18,850</w:t>
            </w:r>
          </w:p>
        </w:tc>
        <w:tc>
          <w:tcPr>
            <w:tcW w:w="7054" w:type="dxa"/>
            <w:hideMark/>
          </w:tcPr>
          <w:p w14:paraId="5CF9AF5C" w14:textId="77777777" w:rsidR="00E640DB" w:rsidRPr="003105E4" w:rsidRDefault="00E640DB" w:rsidP="00E607DA">
            <w:r w:rsidRPr="002B3B05">
              <w:t>14</w:t>
            </w:r>
            <w:r>
              <w:t>,</w:t>
            </w:r>
            <w:r w:rsidRPr="002B3B05">
              <w:t>500</w:t>
            </w:r>
            <w:r>
              <w:t>,</w:t>
            </w:r>
            <w:r w:rsidRPr="002B3B05">
              <w:t>000</w:t>
            </w:r>
          </w:p>
        </w:tc>
      </w:tr>
      <w:tr w:rsidR="00E640DB" w:rsidRPr="003105E4" w14:paraId="1ECDEE47" w14:textId="77777777" w:rsidTr="00E640DB">
        <w:trPr>
          <w:trHeight w:val="647"/>
        </w:trPr>
        <w:tc>
          <w:tcPr>
            <w:tcW w:w="717" w:type="dxa"/>
            <w:hideMark/>
          </w:tcPr>
          <w:p w14:paraId="4F057C15" w14:textId="77777777" w:rsidR="00E640DB" w:rsidRPr="003105E4" w:rsidRDefault="00E640DB" w:rsidP="00E607DA">
            <w:r w:rsidRPr="002B3B05">
              <w:lastRenderedPageBreak/>
              <w:t>202</w:t>
            </w:r>
            <w:r w:rsidRPr="003105E4">
              <w:t>1–22</w:t>
            </w:r>
          </w:p>
        </w:tc>
        <w:tc>
          <w:tcPr>
            <w:tcW w:w="1258" w:type="dxa"/>
            <w:hideMark/>
          </w:tcPr>
          <w:p w14:paraId="20760061" w14:textId="77777777" w:rsidR="00E640DB" w:rsidRPr="003105E4" w:rsidRDefault="00E640DB" w:rsidP="00E607DA">
            <w:r>
              <w:t>28,674</w:t>
            </w:r>
          </w:p>
        </w:tc>
        <w:tc>
          <w:tcPr>
            <w:tcW w:w="7054" w:type="dxa"/>
            <w:hideMark/>
          </w:tcPr>
          <w:p w14:paraId="69F95F67" w14:textId="77777777" w:rsidR="00E640DB" w:rsidRPr="003105E4" w:rsidRDefault="00E640DB" w:rsidP="00E607DA">
            <w:r>
              <w:t>19,000,000</w:t>
            </w:r>
          </w:p>
        </w:tc>
      </w:tr>
    </w:tbl>
    <w:p w14:paraId="18260959" w14:textId="08B44A6E" w:rsidR="00EA48CC" w:rsidRDefault="00770957" w:rsidP="006800C7">
      <w:r w:rsidRPr="00770957">
        <w:rPr>
          <w:rFonts w:eastAsiaTheme="minorEastAsia" w:cstheme="minorBidi"/>
          <w:i/>
          <w:color w:val="595959" w:themeColor="text1" w:themeTint="A6"/>
          <w:sz w:val="16"/>
        </w:rPr>
        <w:t>Data source: TMR Complaints Management System</w:t>
      </w:r>
    </w:p>
    <w:p w14:paraId="715399D6" w14:textId="40822B6B" w:rsidR="00770957" w:rsidRPr="00EA2096" w:rsidRDefault="00770957" w:rsidP="00770957">
      <w:pPr>
        <w:pStyle w:val="MoreInformation"/>
      </w:pPr>
      <w:r w:rsidRPr="00EA2096">
        <w:t>For more information</w:t>
      </w:r>
      <w:r w:rsidRPr="00EA2096">
        <w:br/>
      </w:r>
      <w:hyperlink r:id="rId132" w:history="1">
        <w:r w:rsidR="008F0F88" w:rsidRPr="008F0F88">
          <w:rPr>
            <w:rStyle w:val="Hyperlink"/>
          </w:rPr>
          <w:t>https://www.tmr.qld.gov.au/About-us/Contact-us/Compliments-and-complaints/Easy-to-read-complaints-policy</w:t>
        </w:r>
      </w:hyperlink>
    </w:p>
    <w:p w14:paraId="0D7766A0" w14:textId="0652E485" w:rsidR="006800C7" w:rsidRDefault="00D9358C" w:rsidP="006800C7">
      <w:pPr>
        <w:pStyle w:val="Heading4"/>
      </w:pPr>
      <w:r>
        <w:t xml:space="preserve">Internal Audit </w:t>
      </w:r>
    </w:p>
    <w:p w14:paraId="7EE015F1" w14:textId="77777777" w:rsidR="00843AA5" w:rsidRDefault="00843AA5" w:rsidP="00843AA5">
      <w:r>
        <w:t>Internal Audit is a key component of TMR’s corporate governance. The function operates under a charter aligned with the Institute of Internal Auditors’ international standards and approved by TMR’s Director-General.</w:t>
      </w:r>
    </w:p>
    <w:p w14:paraId="7E67A7CA" w14:textId="77777777" w:rsidR="00843AA5" w:rsidRDefault="00843AA5" w:rsidP="00843AA5">
      <w:r>
        <w:t>The Chief Auditor is directly accountable to the Director-General for leading an effective and efficient internal audit function and for ensuring the internal audit activity is risk based and adds value to TMR.</w:t>
      </w:r>
    </w:p>
    <w:p w14:paraId="469DE708" w14:textId="77777777" w:rsidR="00843AA5" w:rsidRDefault="00843AA5" w:rsidP="00843AA5">
      <w:r>
        <w:t>This includes the implementation of risk-based strategic and annual internal audit plans, and coordinating internal audit activities with the external auditors, Queensland Audit Office (QAO), to best achieve appropriate objectives for TMR.</w:t>
      </w:r>
    </w:p>
    <w:p w14:paraId="60FEE9AC" w14:textId="77777777" w:rsidR="00843AA5" w:rsidRDefault="00843AA5" w:rsidP="00843AA5">
      <w:r>
        <w:t>The Chief Auditor reports regularly to the Audit and Risk Committee (see page 132), which is responsible for reviewing the work of the internal audit function. The relationship with the committee is based on Queensland Treasury’s Audit Committee Guidelines.</w:t>
      </w:r>
    </w:p>
    <w:p w14:paraId="2E575BE1" w14:textId="77777777" w:rsidR="00843AA5" w:rsidRDefault="00843AA5" w:rsidP="00843AA5">
      <w:r>
        <w:t>The Internal Audit team has a central role in improving operational processes and financial practices by:</w:t>
      </w:r>
    </w:p>
    <w:p w14:paraId="686C8BE5" w14:textId="76FB4FBF" w:rsidR="00843AA5" w:rsidRDefault="00843AA5" w:rsidP="00843AA5">
      <w:pPr>
        <w:pStyle w:val="ListBullet"/>
      </w:pPr>
      <w:r>
        <w:t>assessing the effectiveness and efficiency of TMR financial and operating systems, reporting processes and activities</w:t>
      </w:r>
    </w:p>
    <w:p w14:paraId="273FC322" w14:textId="0B01EDE2" w:rsidR="00843AA5" w:rsidRDefault="00843AA5" w:rsidP="00843AA5">
      <w:pPr>
        <w:pStyle w:val="ListBullet"/>
      </w:pPr>
      <w:r>
        <w:t>identifying operational deficiencies and non-compliance with legislation or prescribed requirements</w:t>
      </w:r>
    </w:p>
    <w:p w14:paraId="542DBB41" w14:textId="45FBF95D" w:rsidR="00843AA5" w:rsidRDefault="00843AA5" w:rsidP="00843AA5">
      <w:pPr>
        <w:pStyle w:val="ListBullet"/>
      </w:pPr>
      <w:r>
        <w:t>assisting in risk management and identifying deficiencies in the risk and internal control environments</w:t>
      </w:r>
    </w:p>
    <w:p w14:paraId="79758686" w14:textId="34986BC2" w:rsidR="00843AA5" w:rsidRDefault="00843AA5" w:rsidP="00843AA5">
      <w:pPr>
        <w:pStyle w:val="ListBullet"/>
      </w:pPr>
      <w:r>
        <w:t>bringing a broad range of issues to management’s attention, including performance, efficiency, and economy</w:t>
      </w:r>
    </w:p>
    <w:p w14:paraId="2CB6C1AF" w14:textId="580FAABA" w:rsidR="00843AA5" w:rsidRDefault="00843AA5" w:rsidP="00843AA5">
      <w:pPr>
        <w:pStyle w:val="ListBullet"/>
      </w:pPr>
      <w:r>
        <w:t>monitoring whether agreed remedial actions are undertaken.</w:t>
      </w:r>
    </w:p>
    <w:p w14:paraId="7A312BEA" w14:textId="77777777" w:rsidR="00843AA5" w:rsidRDefault="00843AA5" w:rsidP="00843AA5">
      <w:r>
        <w:t>Key achievements during 2021–22 included:</w:t>
      </w:r>
    </w:p>
    <w:p w14:paraId="4B6EABF0" w14:textId="7F51503E" w:rsidR="00843AA5" w:rsidRDefault="00843AA5" w:rsidP="00F34539">
      <w:pPr>
        <w:pStyle w:val="ListBullet"/>
      </w:pPr>
      <w:r>
        <w:t>developed and delivered an annual plan of internal audits approved by the Director-General and completed 35 internal audit reports, covering assurance and improving effectiveness of controls, systems, project management, operations and risk management</w:t>
      </w:r>
    </w:p>
    <w:p w14:paraId="6FC700CF" w14:textId="7158F58D" w:rsidR="00843AA5" w:rsidRDefault="00843AA5" w:rsidP="00F34539">
      <w:pPr>
        <w:pStyle w:val="ListBullet"/>
      </w:pPr>
      <w:r>
        <w:t>engaged an independent external professional to review the operations of the Internal Audit branch. The reviewer was the Institute of Internal Auditors itself and the branch received the highest achievable score of ‘complies’ and ‘optimised’</w:t>
      </w:r>
    </w:p>
    <w:p w14:paraId="4076F13F" w14:textId="7D538AA7" w:rsidR="00843AA5" w:rsidRDefault="00843AA5" w:rsidP="00F34539">
      <w:pPr>
        <w:pStyle w:val="ListBullet"/>
      </w:pPr>
      <w:r>
        <w:t>engaged with the Audit and Risk Committee about proposed internal audit plans and their alignment to the risks of TMR</w:t>
      </w:r>
    </w:p>
    <w:p w14:paraId="2E11D508" w14:textId="25D1CAF8" w:rsidR="00843AA5" w:rsidRDefault="00843AA5" w:rsidP="00F34539">
      <w:pPr>
        <w:pStyle w:val="ListBullet"/>
      </w:pPr>
      <w:r>
        <w:t>provided advice and assistance on key projects and initiatives</w:t>
      </w:r>
    </w:p>
    <w:p w14:paraId="7D2650E5" w14:textId="2EC7A01D" w:rsidR="00843AA5" w:rsidRDefault="00843AA5" w:rsidP="00F34539">
      <w:pPr>
        <w:pStyle w:val="ListBullet"/>
      </w:pPr>
      <w:r>
        <w:t>monitored and reported on the implementation of agreed recommendations</w:t>
      </w:r>
    </w:p>
    <w:p w14:paraId="0C175387" w14:textId="79EDBB2E" w:rsidR="00D9358C" w:rsidRDefault="00843AA5" w:rsidP="00F34539">
      <w:pPr>
        <w:pStyle w:val="ListBullet"/>
      </w:pPr>
      <w:r>
        <w:t>maintained an effective working relationship with the QAO.</w:t>
      </w:r>
    </w:p>
    <w:p w14:paraId="7ACD5CF3" w14:textId="77777777" w:rsidR="00D9358C" w:rsidRPr="009D15EB" w:rsidRDefault="00D9358C" w:rsidP="006800C7"/>
    <w:p w14:paraId="22954732" w14:textId="77777777" w:rsidR="006800C7" w:rsidRPr="009421E7" w:rsidRDefault="006800C7" w:rsidP="006800C7">
      <w:pPr>
        <w:pStyle w:val="Heading3"/>
        <w:rPr>
          <w:b/>
          <w:bCs/>
        </w:rPr>
      </w:pPr>
      <w:r w:rsidRPr="009421E7">
        <w:rPr>
          <w:b/>
          <w:bCs/>
        </w:rPr>
        <w:lastRenderedPageBreak/>
        <w:t xml:space="preserve">External accountability </w:t>
      </w:r>
    </w:p>
    <w:p w14:paraId="4A82C1A8" w14:textId="77777777" w:rsidR="006800C7" w:rsidRPr="00BD28AE" w:rsidRDefault="006800C7" w:rsidP="006800C7">
      <w:pPr>
        <w:pStyle w:val="Heading4"/>
      </w:pPr>
      <w:r w:rsidRPr="00BD28AE">
        <w:t xml:space="preserve">Integrity Commissioner </w:t>
      </w:r>
    </w:p>
    <w:p w14:paraId="37D7DB1F" w14:textId="5F52C7E1" w:rsidR="0009798C" w:rsidRDefault="0009798C" w:rsidP="0009798C">
      <w:r>
        <w:t xml:space="preserve">In accordance with the provisions of the </w:t>
      </w:r>
      <w:r w:rsidRPr="0009798C">
        <w:rPr>
          <w:rStyle w:val="Emphasis"/>
        </w:rPr>
        <w:t>Integrity Act 2009</w:t>
      </w:r>
      <w:r>
        <w:t>, TMR maintains a lobbyist contact register, and, upon request reports lobbyist contact with TMR employees to the Integrity Commissioner—a statutory officer holder and officer of the Queensland Parliament.</w:t>
      </w:r>
    </w:p>
    <w:p w14:paraId="20846EBE" w14:textId="5FDDFFDA" w:rsidR="0009798C" w:rsidRDefault="0009798C" w:rsidP="0009798C">
      <w:r>
        <w:t>In order to encourage integrity principles within the workplace, TMR provides advice, training and awareness to staff and manages conduct matters pertaining to conflicts of interest.</w:t>
      </w:r>
    </w:p>
    <w:p w14:paraId="11ABD686" w14:textId="139945DE" w:rsidR="00FF469C" w:rsidRDefault="0009798C" w:rsidP="0009798C">
      <w:r>
        <w:t>TMR’s on-line and mandatory ethical awareness training is available to all staff with 86 per cent having completed the training. The remainder of officers are currently attending to the training and afforded one month to complete same. Further, 972 staff have attended a dedicated face to face ethical awareness training during 2021–22.</w:t>
      </w:r>
    </w:p>
    <w:p w14:paraId="5B14FFB4" w14:textId="77777777" w:rsidR="006800C7" w:rsidRDefault="006800C7" w:rsidP="006800C7">
      <w:pPr>
        <w:pStyle w:val="Heading4"/>
      </w:pPr>
      <w:r>
        <w:t>Auditor-General reports</w:t>
      </w:r>
    </w:p>
    <w:p w14:paraId="3B9467D5" w14:textId="77777777" w:rsidR="001C5A41" w:rsidRDefault="001C5A41" w:rsidP="001C5A41">
      <w:r>
        <w:t>TMR is subject to regular scrutiny from external oversight bodies. In addition to the audit of TMR’s financial statements, during 2021–22 the Auditor-General conducted audits where recommendations were either specifically:</w:t>
      </w:r>
    </w:p>
    <w:p w14:paraId="47603A09" w14:textId="5A4FDBB7" w:rsidR="001C5A41" w:rsidRPr="001C5A41" w:rsidRDefault="001C5A41" w:rsidP="001C5A41">
      <w:pPr>
        <w:pStyle w:val="ListBullet"/>
      </w:pPr>
      <w:r w:rsidRPr="001C5A41">
        <w:t>addressed to TMR</w:t>
      </w:r>
    </w:p>
    <w:p w14:paraId="519F3513" w14:textId="3926B26E" w:rsidR="001C5A41" w:rsidRPr="001C5A41" w:rsidRDefault="001C5A41" w:rsidP="001C5A41">
      <w:pPr>
        <w:pStyle w:val="ListBullet"/>
      </w:pPr>
      <w:r w:rsidRPr="001C5A41">
        <w:t>were for all agencies to consider</w:t>
      </w:r>
    </w:p>
    <w:p w14:paraId="63C3F085" w14:textId="0EAD481B" w:rsidR="001C5A41" w:rsidRPr="001C5A41" w:rsidRDefault="001C5A41" w:rsidP="001C5A41">
      <w:pPr>
        <w:pStyle w:val="ListBullet"/>
      </w:pPr>
      <w:r w:rsidRPr="001C5A41">
        <w:t>included learnings potentially applicable to TMR.</w:t>
      </w:r>
    </w:p>
    <w:p w14:paraId="6EEEF741" w14:textId="77777777" w:rsidR="001C5A41" w:rsidRDefault="001C5A41" w:rsidP="001C5A41">
      <w:r>
        <w:t>These areas included:</w:t>
      </w:r>
    </w:p>
    <w:p w14:paraId="609069C1" w14:textId="17949A84" w:rsidR="001C5A41" w:rsidRPr="001C5A41" w:rsidRDefault="001C5A41" w:rsidP="001C5A41">
      <w:pPr>
        <w:pStyle w:val="ListBullet"/>
      </w:pPr>
      <w:r w:rsidRPr="001C5A41">
        <w:t>Report 4: 2021–22 2021 Status of Auditor-General’s recommendations</w:t>
      </w:r>
    </w:p>
    <w:p w14:paraId="1F35F5BF" w14:textId="67D88324" w:rsidR="001C5A41" w:rsidRPr="001C5A41" w:rsidRDefault="001C5A41" w:rsidP="001C5A41">
      <w:pPr>
        <w:pStyle w:val="ListBullet"/>
      </w:pPr>
      <w:r w:rsidRPr="001C5A41">
        <w:t>Report 10: 2021–22 Transport 2021</w:t>
      </w:r>
    </w:p>
    <w:p w14:paraId="742151B0" w14:textId="453BC439" w:rsidR="001C5A41" w:rsidRPr="001C5A41" w:rsidRDefault="001C5A41" w:rsidP="001C5A41">
      <w:pPr>
        <w:pStyle w:val="ListBullet"/>
      </w:pPr>
      <w:r w:rsidRPr="001C5A41">
        <w:t>Report 11: 2021–22 Establishing the Queensland Future Fund</w:t>
      </w:r>
    </w:p>
    <w:p w14:paraId="3D47BAB5" w14:textId="5745FA2F" w:rsidR="001C5A41" w:rsidRPr="001C5A41" w:rsidRDefault="001C5A41" w:rsidP="001C5A41">
      <w:pPr>
        <w:pStyle w:val="ListBullet"/>
      </w:pPr>
      <w:r w:rsidRPr="001C5A41">
        <w:t>Report 13: 2021–22 State finances 2021</w:t>
      </w:r>
    </w:p>
    <w:p w14:paraId="03D28FA5" w14:textId="1D09A68F" w:rsidR="001C5A41" w:rsidRPr="001C5A41" w:rsidRDefault="001C5A41" w:rsidP="001C5A41">
      <w:pPr>
        <w:pStyle w:val="ListBullet"/>
      </w:pPr>
      <w:r w:rsidRPr="001C5A41">
        <w:t>Report 14: 2021–22 State entities 2021</w:t>
      </w:r>
    </w:p>
    <w:p w14:paraId="3FDD50E8" w14:textId="4F33E721" w:rsidR="001C5A41" w:rsidRPr="001C5A41" w:rsidRDefault="001C5A41" w:rsidP="001C5A41">
      <w:pPr>
        <w:pStyle w:val="ListBullet"/>
      </w:pPr>
      <w:r w:rsidRPr="001C5A41">
        <w:t>Report 17: 2021–22 Appointing and renewing government boards</w:t>
      </w:r>
    </w:p>
    <w:p w14:paraId="75CE54F3" w14:textId="6F94EEBC" w:rsidR="00362142" w:rsidRPr="001C5A41" w:rsidRDefault="001C5A41" w:rsidP="001C5A41">
      <w:pPr>
        <w:pStyle w:val="ListBullet"/>
      </w:pPr>
      <w:r w:rsidRPr="001C5A41">
        <w:t>Report 18: 2021–22 Enhancing government procurement.</w:t>
      </w:r>
    </w:p>
    <w:p w14:paraId="3E2882CC" w14:textId="77777777" w:rsidR="006800C7" w:rsidRPr="00216159" w:rsidRDefault="006800C7" w:rsidP="006800C7">
      <w:pPr>
        <w:pStyle w:val="MoreInformation"/>
      </w:pPr>
      <w:r w:rsidRPr="00216159">
        <w:t>For</w:t>
      </w:r>
      <w:r>
        <w:t xml:space="preserve"> </w:t>
      </w:r>
      <w:r w:rsidRPr="00216159">
        <w:t>more</w:t>
      </w:r>
      <w:r>
        <w:t xml:space="preserve"> </w:t>
      </w:r>
      <w:r w:rsidRPr="00216159">
        <w:t>information</w:t>
      </w:r>
      <w:r>
        <w:t xml:space="preserve">  </w:t>
      </w:r>
      <w:r w:rsidRPr="00216159">
        <w:br/>
      </w:r>
      <w:hyperlink r:id="rId133" w:history="1">
        <w:r w:rsidRPr="002C6424">
          <w:rPr>
            <w:rStyle w:val="Hyperlink"/>
          </w:rPr>
          <w:t>www.qao.qld.gov.au</w:t>
        </w:r>
      </w:hyperlink>
      <w:r>
        <w:rPr>
          <w:rStyle w:val="Hyperlink"/>
        </w:rPr>
        <w:t xml:space="preserve"> </w:t>
      </w:r>
    </w:p>
    <w:p w14:paraId="332EA9B2" w14:textId="77777777" w:rsidR="006800C7" w:rsidRDefault="006800C7" w:rsidP="006800C7">
      <w:pPr>
        <w:pStyle w:val="Heading4"/>
      </w:pPr>
      <w:r>
        <w:t>Protecting the public interest: Queensland Ombudsman</w:t>
      </w:r>
    </w:p>
    <w:p w14:paraId="13171961" w14:textId="03FA561D" w:rsidR="003C392B" w:rsidRDefault="003C392B" w:rsidP="003C392B">
      <w:r>
        <w:t>During 2021–22 TMR responded to 26 Ombudsman matters referred to the Director-General for administrative review or investigation. 26 of these matters were concluded following TMR review, with nil matters remaining active.</w:t>
      </w:r>
    </w:p>
    <w:p w14:paraId="335B4AD2" w14:textId="526FB410" w:rsidR="003C392B" w:rsidRDefault="003C392B" w:rsidP="003C392B">
      <w:r>
        <w:t>TMR works closely with the Queensland Ombudsman to enhance agency decision-making and administrative practices. The outcomes of investigations or reviews can identify significant opportunities for organisational improvement. TMR readily implements appropriate recommendations based on Queensland Ombudsman advice to advance the shared commitment to continuous improvement in public administration.</w:t>
      </w:r>
    </w:p>
    <w:p w14:paraId="535EE2A6" w14:textId="50523939" w:rsidR="001C5A41" w:rsidRDefault="003C392B" w:rsidP="003C392B">
      <w:r>
        <w:lastRenderedPageBreak/>
        <w:t>Furthermore, TMR’s Senior Leadership Team recently attended dedicated ‘Good Decisions Training’ conducted by the Queensland Ombudsman where important ethical dilemmas and ethical insights were shared to maintain and enhance the importance of ethical decision making in public administration.</w:t>
      </w:r>
    </w:p>
    <w:p w14:paraId="79789F88" w14:textId="77777777" w:rsidR="006800C7" w:rsidRDefault="006800C7" w:rsidP="006800C7">
      <w:pPr>
        <w:pStyle w:val="Heading4"/>
      </w:pPr>
      <w:r>
        <w:t>Transparency and the right to information</w:t>
      </w:r>
    </w:p>
    <w:p w14:paraId="14F209DC" w14:textId="77777777" w:rsidR="00612493" w:rsidRDefault="00612493" w:rsidP="00612493">
      <w:r>
        <w:t xml:space="preserve">TMR remains committed to providing open and transparent access to information about our services and activities. This is achieved through the proactive release of information and compliance with our statutory obligations under the Right to </w:t>
      </w:r>
      <w:r w:rsidRPr="00612493">
        <w:rPr>
          <w:rStyle w:val="Emphasis"/>
        </w:rPr>
        <w:t>Information Act 2009</w:t>
      </w:r>
      <w:r>
        <w:t xml:space="preserve"> (RTI Act) and the </w:t>
      </w:r>
      <w:r w:rsidRPr="00612493">
        <w:rPr>
          <w:rStyle w:val="Emphasis"/>
        </w:rPr>
        <w:t>Information Privacy Act 2009</w:t>
      </w:r>
      <w:r>
        <w:t xml:space="preserve"> (IP Act).</w:t>
      </w:r>
    </w:p>
    <w:p w14:paraId="1B3F10AE" w14:textId="14DDA543" w:rsidR="00612493" w:rsidRDefault="00612493" w:rsidP="00612493">
      <w:r>
        <w:t>TMR’s website contains many publications describing our business operations, however people may still wish to lodge a formal application for access to information under either the RTI or IP Act.</w:t>
      </w:r>
    </w:p>
    <w:p w14:paraId="1C8D3444" w14:textId="6829C70B" w:rsidR="00612493" w:rsidRDefault="00612493" w:rsidP="00612493">
      <w:r>
        <w:t>Applications for documents that do not contain an applicant’s personal information are processed under the RTI Act, while requests for documents containing an applicant’s personal information are processed under the IP Act.</w:t>
      </w:r>
    </w:p>
    <w:p w14:paraId="536965BD" w14:textId="75F76B09" w:rsidR="00612493" w:rsidRDefault="00612493" w:rsidP="00612493">
      <w:r>
        <w:t xml:space="preserve">Details on how to make an application under the RTI or IP Act is available on our website: </w:t>
      </w:r>
      <w:r w:rsidRPr="00612493">
        <w:rPr>
          <w:rStyle w:val="Hyperlink"/>
        </w:rPr>
        <w:t>www.tmr.qld.gov.au/About-us/Right-to-Information.</w:t>
      </w:r>
    </w:p>
    <w:p w14:paraId="3D924D50" w14:textId="40091276" w:rsidR="00612493" w:rsidRDefault="00612493" w:rsidP="00612493">
      <w:r>
        <w:t>As TMR is responsible for overseeing Queensland’s transport network, information concerning vehicle registrations, domestic commercial vessels, incidents captured on CCTV footage and major projects (including passenger transport and roadworks) is commonly requested from TMR.</w:t>
      </w:r>
    </w:p>
    <w:p w14:paraId="6D63889C" w14:textId="667338D1" w:rsidR="00612493" w:rsidRDefault="00612493" w:rsidP="00612493">
      <w:r>
        <w:t>During 2021–22, TMR received 761 applications under the RTI and IP Acts, with 682 applications being completed in this period. The remaining applications will be finalised in 2022–23 in accordance with legislative requirements</w:t>
      </w:r>
    </w:p>
    <w:p w14:paraId="33E689B5" w14:textId="1E7CB864" w:rsidR="003C392B" w:rsidRDefault="00612493" w:rsidP="00612493">
      <w:r>
        <w:t>Details about applications received under the RTI Act are published on TMR’s disclosure log which is also available on TMR’s website.</w:t>
      </w:r>
    </w:p>
    <w:p w14:paraId="5B060C4A" w14:textId="5F69B94D" w:rsidR="006800C7" w:rsidRPr="00216159" w:rsidRDefault="006800C7" w:rsidP="006800C7">
      <w:pPr>
        <w:pStyle w:val="MoreInformation"/>
      </w:pPr>
      <w:r w:rsidRPr="00216159">
        <w:t>For</w:t>
      </w:r>
      <w:r>
        <w:t xml:space="preserve"> </w:t>
      </w:r>
      <w:r w:rsidRPr="00216159">
        <w:t>more</w:t>
      </w:r>
      <w:r>
        <w:t xml:space="preserve"> </w:t>
      </w:r>
      <w:r w:rsidRPr="00216159">
        <w:t>information</w:t>
      </w:r>
      <w:r>
        <w:t xml:space="preserve">  </w:t>
      </w:r>
      <w:r w:rsidRPr="00216159">
        <w:br/>
      </w:r>
      <w:hyperlink r:id="rId134" w:history="1">
        <w:r w:rsidR="00C85C24" w:rsidRPr="00C85C24">
          <w:rPr>
            <w:rStyle w:val="Hyperlink"/>
          </w:rPr>
          <w:t>https://www.tmr.qld.gov.au/About-us/Right-to-Information/Disclosure-log</w:t>
        </w:r>
      </w:hyperlink>
    </w:p>
    <w:p w14:paraId="121253EB" w14:textId="77777777" w:rsidR="006800C7" w:rsidRDefault="006800C7" w:rsidP="006800C7">
      <w:pPr>
        <w:pStyle w:val="Heading4"/>
      </w:pPr>
      <w:r>
        <w:t xml:space="preserve">Human Rights Act </w:t>
      </w:r>
    </w:p>
    <w:p w14:paraId="4BA1719F" w14:textId="723E2FA8" w:rsidR="00E50BBE" w:rsidRDefault="00E50BBE" w:rsidP="00E50BBE">
      <w:r>
        <w:t>TMR is committed to ensuring we act and make decisions compatible with the Human Rights Act 2019 (the Act). TMR undertook a full review of the legislation we administer and updated vital policies, including our external customer Complaints Management and Managing Employee Complaints Policies.</w:t>
      </w:r>
    </w:p>
    <w:p w14:paraId="539590E3" w14:textId="552B403B" w:rsidR="00E50BBE" w:rsidRDefault="00E50BBE" w:rsidP="00E50BBE">
      <w:r>
        <w:t>Between 1 July 2021 and 30 June 2022, TMR managed 40 human rights complaints consisting of 30 customer and 10 employee complaints. Of the 40 complaints, 16 were substantiated based on actions or decisions deemed incompatible with the Act. The complaints provided TMR with an opportunity to reflect and improve our</w:t>
      </w:r>
      <w:r w:rsidR="006704F8">
        <w:t xml:space="preserve"> </w:t>
      </w:r>
      <w:r>
        <w:t>decision-making processes.</w:t>
      </w:r>
    </w:p>
    <w:p w14:paraId="6AF3E1F7" w14:textId="259914C0" w:rsidR="00E50BBE" w:rsidRDefault="00E50BBE" w:rsidP="00E50BBE">
      <w:r>
        <w:t>To ensure we embed respect for human rights in our culture and build workforce capability, TMR delivered an initial multi-channel awareness and education campaign incorporating a dedicated Human Rights Act Sharepoint site, animations and case studies based on real customer complaints. TMR published and maintains a library of new case studies to build understanding and improve decision-making across TMR.</w:t>
      </w:r>
    </w:p>
    <w:p w14:paraId="4A24F383" w14:textId="5B01CD69" w:rsidR="00E50BBE" w:rsidRDefault="00E50BBE" w:rsidP="00E50BBE">
      <w:r>
        <w:t>As at 30 June 2022, 8807 staff had completed the mandatory online Human Rights Act 2019 training course and 305 staff have participated in human rights complaints training workshops.</w:t>
      </w:r>
    </w:p>
    <w:p w14:paraId="11DDFB6C" w14:textId="6A4A0333" w:rsidR="00E50BBE" w:rsidRDefault="00E50BBE" w:rsidP="00E50BBE">
      <w:r>
        <w:lastRenderedPageBreak/>
        <w:t>TMR has played an important role protecting Queenslanders during COVID-19 and will act and make decisions that support the government’s human rights obligations.</w:t>
      </w:r>
    </w:p>
    <w:p w14:paraId="6F3B08B9" w14:textId="03BE3E50" w:rsidR="00E50BBE" w:rsidRDefault="00E50BBE" w:rsidP="00E50BBE">
      <w:r>
        <w:t>Following the direction from the Chief Health Officer for Queenslanders to undertake social distancing and restrict movement, departmental services were reviewed and adapted to protect the right to life, under section 16 of the Act.</w:t>
      </w:r>
    </w:p>
    <w:p w14:paraId="64C4C04E" w14:textId="3A3B734C" w:rsidR="00E50BBE" w:rsidRDefault="00E50BBE" w:rsidP="00E50BBE">
      <w:r>
        <w:t xml:space="preserve">For example, TMR delivered the </w:t>
      </w:r>
      <w:r w:rsidRPr="006704F8">
        <w:rPr>
          <w:rStyle w:val="Emphasis"/>
        </w:rPr>
        <w:t>Transport Legislation (COVID-19 Emergency Response) Regulation 2020</w:t>
      </w:r>
      <w:r>
        <w:t xml:space="preserve"> which allowed drivers aged 75 and over to either extend their current medical certificate for up to six months, or in some cases, provide an exemption to enable certain customers to drive without holding a valid medical certificate during the COVID-19 emergency period.</w:t>
      </w:r>
    </w:p>
    <w:p w14:paraId="6B124D18" w14:textId="77777777" w:rsidR="00E50BBE" w:rsidRDefault="00E50BBE" w:rsidP="00E50BBE">
      <w:r>
        <w:t xml:space="preserve">To ensure essential workers had access to safe, accessible and reliable public transport services, a </w:t>
      </w:r>
      <w:r w:rsidRPr="003965EB">
        <w:rPr>
          <w:rStyle w:val="Emphasis"/>
        </w:rPr>
        <w:t>COVID-Safe Public Transport Plan</w:t>
      </w:r>
      <w:r>
        <w:t xml:space="preserve"> was developed and implemented. The plan ensured full services of bus, train, ferry and tram transport continued to operate as scheduled during travel restrictions and incorporated additional cleaning and social distancing requirements.</w:t>
      </w:r>
    </w:p>
    <w:p w14:paraId="38248CFA" w14:textId="77777777" w:rsidR="00E50BBE" w:rsidRPr="003965EB" w:rsidRDefault="00E50BBE" w:rsidP="00E50BBE">
      <w:pPr>
        <w:rPr>
          <w:rStyle w:val="Strong"/>
        </w:rPr>
      </w:pPr>
      <w:r w:rsidRPr="003965EB">
        <w:rPr>
          <w:rStyle w:val="Strong"/>
        </w:rPr>
        <w:t>COVID-19 front door bus entry restrictions</w:t>
      </w:r>
    </w:p>
    <w:p w14:paraId="6B0231B7" w14:textId="7491DAA5" w:rsidR="00E50BBE" w:rsidRDefault="00E50BBE" w:rsidP="00E50BBE">
      <w:r>
        <w:t xml:space="preserve">As a result of COVID-19, TMR implemented a </w:t>
      </w:r>
      <w:r w:rsidRPr="003965EB">
        <w:rPr>
          <w:rStyle w:val="Emphasis"/>
        </w:rPr>
        <w:t>COVID-safe Public Transport Plan</w:t>
      </w:r>
      <w:r>
        <w:t>. The plan was published on Translink’s website and communicated to third-party service providers. The plan, implemented at the service provider’s discretion, introduced new safety measures including boarding buses from the rear door where possible.</w:t>
      </w:r>
      <w:r w:rsidR="003965EB">
        <w:t xml:space="preserve"> </w:t>
      </w:r>
      <w:r>
        <w:t>Customers who required assistance boarded via the front door.</w:t>
      </w:r>
    </w:p>
    <w:p w14:paraId="38E70AC4" w14:textId="12205CC2" w:rsidR="00E50BBE" w:rsidRDefault="00E50BBE" w:rsidP="00E50BBE">
      <w:r>
        <w:t>An elderly customer, who possessed a letter of authority from a service provider to enter bus services using the front doors, reported that bus drivers sighting the authority repeatedly denied access to board bus services through the front doors. The customer complained to TMR, citing discrimination and public humiliation. The customer reported nearly falling several</w:t>
      </w:r>
      <w:r w:rsidR="003965EB">
        <w:t xml:space="preserve"> </w:t>
      </w:r>
      <w:r>
        <w:t>times while boarding a bus from the rear door as the reason for needing to board services using the front doors.</w:t>
      </w:r>
    </w:p>
    <w:p w14:paraId="743F3FAE" w14:textId="68F1D263" w:rsidR="00E50BBE" w:rsidRDefault="00E50BBE" w:rsidP="00E50BBE">
      <w:r>
        <w:t xml:space="preserve">TMR identified the customer’s right to recognition and equality before the law and protection from torture and cruel, inhuman or degrading treatment was impacted. An investigation concluded that the driver failed to follow internal processes, and in doing so, their actions contributed to the customer feeling degraded and humiliated. While entry restrictions were implemented on bus services to adhere to social distancing requirements, the limitation was assessed as incompatible under the </w:t>
      </w:r>
      <w:r w:rsidRPr="003965EB">
        <w:rPr>
          <w:rStyle w:val="Emphasis"/>
        </w:rPr>
        <w:t>Human Rights Act 2019</w:t>
      </w:r>
      <w:r>
        <w:t>.</w:t>
      </w:r>
    </w:p>
    <w:p w14:paraId="397AFD9B" w14:textId="77777777" w:rsidR="00E50BBE" w:rsidRDefault="00E50BBE" w:rsidP="00E50BBE">
      <w:r>
        <w:t>The investigation offered TMR an opportunity to review third-party provider practices and for providers to implement a system of daily reminders for drivers of their responsibilities.</w:t>
      </w:r>
    </w:p>
    <w:p w14:paraId="1385B96A" w14:textId="3E6005D7" w:rsidR="00C85C24" w:rsidRDefault="00E50BBE" w:rsidP="00E50BBE">
      <w:r>
        <w:t>TMR uses learnings from any complaints to inform future practice.</w:t>
      </w:r>
    </w:p>
    <w:p w14:paraId="58BB50A5" w14:textId="77777777" w:rsidR="006800C7" w:rsidRDefault="006800C7" w:rsidP="006800C7">
      <w:pPr>
        <w:pStyle w:val="Heading4"/>
      </w:pPr>
      <w:r>
        <w:t>Open data</w:t>
      </w:r>
    </w:p>
    <w:p w14:paraId="5B8224EF" w14:textId="776D098A" w:rsidR="006414B1" w:rsidRDefault="006414B1" w:rsidP="006414B1">
      <w:r>
        <w:t>TMR is one of the largest contributors to the Queensland Government’s open data portal, with a collection of 256 published datasets in 2021–22, down from 279 in 2020–21.</w:t>
      </w:r>
    </w:p>
    <w:p w14:paraId="037E1BA2" w14:textId="1CF2992F" w:rsidR="006414B1" w:rsidRDefault="006414B1" w:rsidP="006414B1">
      <w:r>
        <w:t>This change represents a growth in maturity, with 23 separate datasets able to be combined into one dataset, enabling easier access and use for data consumers.</w:t>
      </w:r>
    </w:p>
    <w:p w14:paraId="132B5CE9" w14:textId="17F6D4DE" w:rsidR="003965EB" w:rsidRDefault="006414B1" w:rsidP="006414B1">
      <w:r>
        <w:t>Datasets empower Queenslanders to make informed decisions about how and when they travel and enable business partners and industry to help deliver better traffic and transport services for the community.</w:t>
      </w:r>
    </w:p>
    <w:p w14:paraId="34C4534A" w14:textId="77777777" w:rsidR="006800C7" w:rsidRPr="0083794D" w:rsidRDefault="006800C7" w:rsidP="006800C7">
      <w:pPr>
        <w:pStyle w:val="MoreInformation"/>
      </w:pPr>
      <w:r w:rsidRPr="0083794D">
        <w:lastRenderedPageBreak/>
        <w:t>For</w:t>
      </w:r>
      <w:r>
        <w:t xml:space="preserve"> </w:t>
      </w:r>
      <w:r w:rsidRPr="0083794D">
        <w:t>more</w:t>
      </w:r>
      <w:r>
        <w:t xml:space="preserve"> </w:t>
      </w:r>
      <w:r w:rsidRPr="0083794D">
        <w:t>information</w:t>
      </w:r>
      <w:r>
        <w:t xml:space="preserve">  </w:t>
      </w:r>
      <w:r w:rsidRPr="0083794D">
        <w:br/>
      </w:r>
      <w:hyperlink r:id="rId135" w:history="1">
        <w:r w:rsidRPr="009B39FF">
          <w:rPr>
            <w:rStyle w:val="Hyperlink"/>
          </w:rPr>
          <w:t>http://www.data.qld.gov.au/dataset?organization=transport-and-main-roads</w:t>
        </w:r>
      </w:hyperlink>
      <w:r>
        <w:t xml:space="preserve">    </w:t>
      </w:r>
    </w:p>
    <w:p w14:paraId="6ABC0DFB" w14:textId="77777777" w:rsidR="006800C7" w:rsidRDefault="006800C7" w:rsidP="006800C7">
      <w:pPr>
        <w:pStyle w:val="Heading4"/>
      </w:pPr>
      <w:r>
        <w:t xml:space="preserve">Coronial inquests and recommendations </w:t>
      </w:r>
    </w:p>
    <w:p w14:paraId="5181E5B6" w14:textId="7E528879" w:rsidR="000D7F0C" w:rsidRDefault="000D7F0C" w:rsidP="000D7F0C">
      <w:r>
        <w:t>Under the whole-of-government coronial reporting arrangements, Ministers are required to inform the Attorney-General within six months of coronial findings being handed down as to whether the recommendations are supported. Ministers must also provide progress updates every six months until the recommendation is implemented.</w:t>
      </w:r>
    </w:p>
    <w:p w14:paraId="2F720166" w14:textId="7B324EE5" w:rsidR="000D7F0C" w:rsidRDefault="000D7F0C" w:rsidP="000D7F0C">
      <w:r>
        <w:t>Where recommendations are directed to more than one department, the government is required to produce a single, coordinated response to the recommendation. These responses are published on the coroner’s website by the Department of Justice and Attorney-General.</w:t>
      </w:r>
    </w:p>
    <w:p w14:paraId="49B95CA0" w14:textId="2672CDDA" w:rsidR="000D7F0C" w:rsidRDefault="000D7F0C" w:rsidP="000D7F0C">
      <w:r>
        <w:t>TMR’s response for the period January to June 2022 is required to be provided to the Attorney-General by 30 September 2022.</w:t>
      </w:r>
    </w:p>
    <w:p w14:paraId="7DD8EB6F" w14:textId="67233BEA" w:rsidR="006414B1" w:rsidRDefault="000D7F0C" w:rsidP="000D7F0C">
      <w:r>
        <w:t>One new recommendation was directed toward TMR 2021–22. TMR’s report for the period January to June 2022 will provide an update on 17 recommendations in total.</w:t>
      </w:r>
    </w:p>
    <w:p w14:paraId="23B9CD84" w14:textId="77777777" w:rsidR="006800C7" w:rsidRDefault="006800C7" w:rsidP="006800C7">
      <w:pPr>
        <w:pStyle w:val="Heading4"/>
      </w:pPr>
      <w:r>
        <w:t>Crime and Corruption Commission</w:t>
      </w:r>
    </w:p>
    <w:p w14:paraId="3E23ECB3" w14:textId="5E72014A" w:rsidR="00EB5672" w:rsidRDefault="00EB5672" w:rsidP="00EB5672">
      <w:r>
        <w:t>The Crime and Corruption Commission (CCC) is a statutory oversight body accountable to the Parliamentary Crime and Corruption Committee. Set up to combat and reduce the incidence of major crime and corruption in the public sector, its functions and powers are set out in the Crime and Corruption Act 2001.</w:t>
      </w:r>
    </w:p>
    <w:p w14:paraId="4161895F" w14:textId="7A3C7B4A" w:rsidR="00EB5672" w:rsidRDefault="00EB5672" w:rsidP="00EB5672">
      <w:r>
        <w:t xml:space="preserve">Pursuant to the </w:t>
      </w:r>
      <w:r w:rsidRPr="00EB5672">
        <w:rPr>
          <w:rStyle w:val="Emphasis"/>
        </w:rPr>
        <w:t>Crime and Corruption Act 2001</w:t>
      </w:r>
      <w:r>
        <w:t>, the Director- General has a statutory obligation to notify the CCC when there is a reasonable suspicion of corrupt conduct. TMR maintains a robust investigative capacity to ensure the expectations of the CCC and the Director-General are effectively discharged consistent with the CCC publication ‘Corruption in Focus’.</w:t>
      </w:r>
    </w:p>
    <w:p w14:paraId="058D8FCB" w14:textId="5B8BCA1B" w:rsidR="00EB5672" w:rsidRDefault="00EB5672" w:rsidP="00EB5672">
      <w:r>
        <w:t xml:space="preserve">The Director-General has statutory obligations within the </w:t>
      </w:r>
      <w:r w:rsidRPr="00EB5672">
        <w:rPr>
          <w:rStyle w:val="Emphasis"/>
        </w:rPr>
        <w:t>Crime and Corruption Act 2001</w:t>
      </w:r>
      <w:r>
        <w:t xml:space="preserve"> to thoroughly investigate allegations of suspected corrupt conduct, ensure any person involved in a corruption investigation is afforded natural justice and provide timely outcome advice to the complainant.</w:t>
      </w:r>
    </w:p>
    <w:p w14:paraId="6D5765CD" w14:textId="4D376452" w:rsidR="00EB5672" w:rsidRDefault="00EB5672" w:rsidP="00EB5672">
      <w:r>
        <w:t>TMR maintains dedicated policies for dealing with suspected corrupt conduct and serious misconduct to ensure investigations are open and honest.</w:t>
      </w:r>
    </w:p>
    <w:p w14:paraId="1CB56047" w14:textId="4CE96D32" w:rsidR="000D7F0C" w:rsidRDefault="00EB5672" w:rsidP="00EB5672">
      <w:r>
        <w:t>TMR has zero tolerance to suspected corrupt conduct. In addition to reacting to any allegation of wrongdoing by investigation, TMR provides employees with mandatory ethical awareness training, both on-line and in face-to-face presentations to foster a strong corruption prevention focus</w:t>
      </w:r>
    </w:p>
    <w:p w14:paraId="4BC1C3B9" w14:textId="77777777" w:rsidR="006800C7" w:rsidRDefault="006800C7" w:rsidP="006800C7">
      <w:pPr>
        <w:pStyle w:val="Heading4"/>
      </w:pPr>
      <w:r>
        <w:t>Parliamentary Committees</w:t>
      </w:r>
    </w:p>
    <w:p w14:paraId="1922940B" w14:textId="78C3824C" w:rsidR="001955FE" w:rsidRDefault="001955FE" w:rsidP="001955FE">
      <w:r>
        <w:t>Parliamentary committees are responsible for the review of legislation, investigating specific issues, reporting to the Queensland Parliament and can have continuing roles to monitor and review public sector organisations or keep areas of the law or other activities under review.</w:t>
      </w:r>
    </w:p>
    <w:p w14:paraId="5E961CCC" w14:textId="77777777" w:rsidR="001955FE" w:rsidRDefault="001955FE" w:rsidP="001955FE">
      <w:r>
        <w:t>The committee which relates to TMR’s portfolio is the Transport and Resources Committee.</w:t>
      </w:r>
    </w:p>
    <w:p w14:paraId="3FDB9DCB" w14:textId="77777777" w:rsidR="001955FE" w:rsidRDefault="001955FE" w:rsidP="001955FE">
      <w:r>
        <w:t>The committee is responsible for:</w:t>
      </w:r>
    </w:p>
    <w:p w14:paraId="4F2E8523" w14:textId="2386C293" w:rsidR="001955FE" w:rsidRPr="001955FE" w:rsidRDefault="001955FE" w:rsidP="001955FE">
      <w:pPr>
        <w:pStyle w:val="ListBullet"/>
      </w:pPr>
      <w:r w:rsidRPr="001955FE">
        <w:lastRenderedPageBreak/>
        <w:t>examining bills and subordinate legislation to consider the policy to be enacted and the application of the fundamental legislative principles set out in section 4</w:t>
      </w:r>
      <w:r>
        <w:t xml:space="preserve"> </w:t>
      </w:r>
      <w:r w:rsidRPr="001955FE">
        <w:t xml:space="preserve">of the </w:t>
      </w:r>
      <w:r w:rsidRPr="001955FE">
        <w:rPr>
          <w:rStyle w:val="Emphasis"/>
        </w:rPr>
        <w:t>Legislative Standards Act 1992</w:t>
      </w:r>
      <w:r w:rsidRPr="001955FE">
        <w:t xml:space="preserve">, and compatibility with the </w:t>
      </w:r>
      <w:r w:rsidRPr="001955FE">
        <w:rPr>
          <w:rStyle w:val="Emphasis"/>
        </w:rPr>
        <w:t>Human Rights Act 2019</w:t>
      </w:r>
    </w:p>
    <w:p w14:paraId="46B67B29" w14:textId="43A35188" w:rsidR="001955FE" w:rsidRPr="001955FE" w:rsidRDefault="001955FE" w:rsidP="001955FE">
      <w:pPr>
        <w:pStyle w:val="ListBullet"/>
      </w:pPr>
      <w:r w:rsidRPr="001955FE">
        <w:t>examining the budget estimates of TMR</w:t>
      </w:r>
    </w:p>
    <w:p w14:paraId="619FBFDD" w14:textId="036519E1" w:rsidR="001955FE" w:rsidRPr="001955FE" w:rsidRDefault="001955FE" w:rsidP="001955FE">
      <w:pPr>
        <w:pStyle w:val="ListBullet"/>
      </w:pPr>
      <w:r w:rsidRPr="001955FE">
        <w:t>assessing public accounts in its portfolio area regarding integrity, economy, efficiency, and effectiveness of financial management, and</w:t>
      </w:r>
    </w:p>
    <w:p w14:paraId="694BDB06" w14:textId="546D06DB" w:rsidR="001955FE" w:rsidRDefault="001955FE" w:rsidP="001955FE">
      <w:pPr>
        <w:pStyle w:val="ListBullet"/>
      </w:pPr>
      <w:r w:rsidRPr="001955FE">
        <w:t>assessing the public works of each department regarding the suitability of the works for the purpose.</w:t>
      </w:r>
    </w:p>
    <w:p w14:paraId="0C23607C" w14:textId="4C6A51B1" w:rsidR="001955FE" w:rsidRDefault="001955FE" w:rsidP="001955FE">
      <w:r>
        <w:t>The committee may initiate an inquiry into any matter it considers appropriate within its portfolio area.</w:t>
      </w:r>
    </w:p>
    <w:p w14:paraId="44391B69" w14:textId="77777777" w:rsidR="001955FE" w:rsidRDefault="001955FE" w:rsidP="001955FE">
      <w:r>
        <w:t>During 2021–22, the committee either commenced or completed the following Parliamentary inquiries relating to TMR’s portfolio:</w:t>
      </w:r>
    </w:p>
    <w:p w14:paraId="5DDD64FB" w14:textId="3D90481F" w:rsidR="001955FE" w:rsidRPr="001955FE" w:rsidRDefault="001955FE" w:rsidP="001955FE">
      <w:pPr>
        <w:pStyle w:val="ListBullet"/>
      </w:pPr>
      <w:r w:rsidRPr="001955FE">
        <w:t>inquiry into vehicle safety, standards and technology, including engine immobiliser technology</w:t>
      </w:r>
    </w:p>
    <w:p w14:paraId="1177E939" w14:textId="1AB3D945" w:rsidR="001955FE" w:rsidRPr="001955FE" w:rsidRDefault="001955FE" w:rsidP="001955FE">
      <w:pPr>
        <w:pStyle w:val="ListBullet"/>
      </w:pPr>
      <w:r w:rsidRPr="001955FE">
        <w:t>inquiry into Peninsula Developmental Road (Laura to Weipa) Project</w:t>
      </w:r>
    </w:p>
    <w:p w14:paraId="505FA66F" w14:textId="04A5BAD1" w:rsidR="00222046" w:rsidRPr="001955FE" w:rsidRDefault="001955FE" w:rsidP="001955FE">
      <w:pPr>
        <w:pStyle w:val="ListBullet"/>
      </w:pPr>
      <w:r w:rsidRPr="001955FE">
        <w:t>inquiry into Sumners Road Interchange Upgrade Project.</w:t>
      </w:r>
    </w:p>
    <w:p w14:paraId="07BF2D0A" w14:textId="77777777" w:rsidR="006800C7" w:rsidRDefault="006800C7" w:rsidP="006800C7">
      <w:pPr>
        <w:pStyle w:val="Heading3"/>
      </w:pPr>
      <w:r>
        <w:t xml:space="preserve">Risk Management </w:t>
      </w:r>
    </w:p>
    <w:p w14:paraId="70EC8E45" w14:textId="6C45E219" w:rsidR="003E2310" w:rsidRDefault="003E2310" w:rsidP="003E2310">
      <w:r>
        <w:t xml:space="preserve">Risk management is an essential component of managerial responsibility and accountability to achieve TMR’s vision and purpose, as outlined in TMR’s Strategic Plan. TMR’s risk management approach is in accordance with the obligations outlined in the </w:t>
      </w:r>
      <w:r w:rsidRPr="003E2310">
        <w:rPr>
          <w:rStyle w:val="Emphasis"/>
        </w:rPr>
        <w:t>Financial Accountability Act 2009</w:t>
      </w:r>
      <w:r>
        <w:t xml:space="preserve"> and the </w:t>
      </w:r>
      <w:r w:rsidRPr="003E2310">
        <w:rPr>
          <w:rStyle w:val="Emphasis"/>
        </w:rPr>
        <w:t>Financial and Performance Management Standard 2019</w:t>
      </w:r>
      <w:r>
        <w:t>.</w:t>
      </w:r>
    </w:p>
    <w:p w14:paraId="2AA2BB17" w14:textId="55E6E802" w:rsidR="003E2310" w:rsidRDefault="003E2310" w:rsidP="003E2310">
      <w:r>
        <w:t>TMR’s risk management framework, which is based on the international standard ISO 31000:2018, ensures that risk management is integrated with all management responsibilities, such as strategic and operational planning, decision making processes, the management of fraud and corruption as well as workplace health and safety.</w:t>
      </w:r>
    </w:p>
    <w:p w14:paraId="7BB77A61" w14:textId="461FC921" w:rsidR="003E2310" w:rsidRDefault="003E2310" w:rsidP="003E2310">
      <w:r>
        <w:t>Risk-based decision making aligns with our risk appetite to support the achievement of strategic plan objectives, challenges and opportunities. Operational planning is undertaken annually across TMR to identify risks that may impact business objectives.</w:t>
      </w:r>
    </w:p>
    <w:p w14:paraId="27D4B864" w14:textId="013CC751" w:rsidR="003E2310" w:rsidRDefault="003E2310" w:rsidP="003E2310">
      <w:r>
        <w:t>Given the diverse and evolving nature of TMR’s business environment, significant risks are reviewed regularly by ELT. Governance committees such as the Fraud Risk Oversight Group provide additional assurance, while the Audit and Risk Committee provides independent oversight responsibilities and advice.</w:t>
      </w:r>
    </w:p>
    <w:p w14:paraId="2B21CF39" w14:textId="040064A1" w:rsidR="003E2310" w:rsidRDefault="003E2310" w:rsidP="003E2310">
      <w:r>
        <w:t>Strategic, enterprise operating, portfolio, divisional and branch risks are reviewed on a quarterly basis. These risks are captured in the TMR Risk Management System which allows for better visibility and accountability.</w:t>
      </w:r>
    </w:p>
    <w:p w14:paraId="61DE95E2" w14:textId="1C690E99" w:rsidR="003E2310" w:rsidRDefault="003E2310" w:rsidP="003E2310">
      <w:r>
        <w:t>TMR’s recent focus has been on the development of a wide range of interactive risk management dashboards to provide more in-depth comparative analysis and insights to support decision making.</w:t>
      </w:r>
    </w:p>
    <w:p w14:paraId="3328FBEF" w14:textId="77777777" w:rsidR="003E2310" w:rsidRDefault="003E2310" w:rsidP="003E2310">
      <w:r>
        <w:t>COVID-19 exposed TMR to new risks in areas such as health and safety, supply chain dependency and business continuity. Our robust risk management processes and procedures enabled greater collaboration across multiple functions to effectively address these risks and adapt to a ‘new normal’.</w:t>
      </w:r>
    </w:p>
    <w:p w14:paraId="4655CAD4" w14:textId="77777777" w:rsidR="003E2310" w:rsidRDefault="003E2310" w:rsidP="003E2310">
      <w:r>
        <w:t>Key achievements during 2021–22 included:</w:t>
      </w:r>
    </w:p>
    <w:p w14:paraId="6452FA09" w14:textId="108A8E32" w:rsidR="003E2310" w:rsidRDefault="003E2310" w:rsidP="00A973B3">
      <w:pPr>
        <w:pStyle w:val="ListBullet"/>
      </w:pPr>
      <w:r>
        <w:lastRenderedPageBreak/>
        <w:t>ELT continued to focus on consolidating its strategic risk management practices through a commitment to regular strategic risk review workshops</w:t>
      </w:r>
    </w:p>
    <w:p w14:paraId="5E4F0EFF" w14:textId="28B183A7" w:rsidR="003E2310" w:rsidRDefault="003E2310" w:rsidP="00A973B3">
      <w:pPr>
        <w:pStyle w:val="ListBullet"/>
      </w:pPr>
      <w:r>
        <w:t>TMR’s Risk Management Framework was updated and endorsed by the ELT. The framework establishes the foundation for the formal adoption of integrated risk management practices into activities and functions throughout TMR</w:t>
      </w:r>
    </w:p>
    <w:p w14:paraId="19FF43C6" w14:textId="500F4363" w:rsidR="003E2310" w:rsidRDefault="003E2310" w:rsidP="00A973B3">
      <w:pPr>
        <w:pStyle w:val="ListBullet"/>
      </w:pPr>
      <w:r>
        <w:t>TMR’s Risk Appetite Statement was revised and endorsed by the ELT to consider levels of acceptance and tolerance in pursuit of TMR’s strategic and operational objectives</w:t>
      </w:r>
    </w:p>
    <w:p w14:paraId="1EED4E77" w14:textId="2FF703DE" w:rsidR="001955FE" w:rsidRDefault="003E2310" w:rsidP="00A973B3">
      <w:pPr>
        <w:pStyle w:val="ListBullet"/>
      </w:pPr>
      <w:r>
        <w:t>enhanced risk dashboard reporting providing for interactive graphical and statistical risk information.</w:t>
      </w:r>
    </w:p>
    <w:p w14:paraId="2A7CF5BF" w14:textId="16EC6A92" w:rsidR="001955FE" w:rsidRDefault="001955FE" w:rsidP="006800C7"/>
    <w:p w14:paraId="06C10FC6" w14:textId="3786E344" w:rsidR="001955FE" w:rsidRDefault="001955FE" w:rsidP="006800C7"/>
    <w:p w14:paraId="4CC9745B" w14:textId="678199ED" w:rsidR="001955FE" w:rsidRDefault="001955FE" w:rsidP="006800C7"/>
    <w:p w14:paraId="71FB1540" w14:textId="486B37A1" w:rsidR="001955FE" w:rsidRDefault="001955FE">
      <w:pPr>
        <w:spacing w:before="0" w:after="160" w:line="259" w:lineRule="auto"/>
      </w:pPr>
      <w:r>
        <w:br w:type="page"/>
      </w:r>
    </w:p>
    <w:p w14:paraId="033AD839" w14:textId="3DA21DFD" w:rsidR="00AE4DAF" w:rsidRDefault="00F91E15" w:rsidP="002C6053">
      <w:pPr>
        <w:pStyle w:val="Heading1"/>
      </w:pPr>
      <w:r>
        <w:lastRenderedPageBreak/>
        <w:t>Department of Transport and Main Roads Financial Statements as at 30 June 2022</w:t>
      </w:r>
    </w:p>
    <w:p w14:paraId="3CD02D8F" w14:textId="19667340" w:rsidR="00AE4DAF" w:rsidRDefault="00AE4DAF" w:rsidP="002C6053">
      <w:pPr>
        <w:pStyle w:val="Heading1"/>
      </w:pPr>
    </w:p>
    <w:tbl>
      <w:tblPr>
        <w:tblW w:w="9638" w:type="dxa"/>
        <w:tblCellMar>
          <w:left w:w="0" w:type="dxa"/>
        </w:tblCellMar>
        <w:tblLook w:val="04A0" w:firstRow="1" w:lastRow="0" w:firstColumn="1" w:lastColumn="0" w:noHBand="0" w:noVBand="1"/>
      </w:tblPr>
      <w:tblGrid>
        <w:gridCol w:w="229"/>
        <w:gridCol w:w="1006"/>
        <w:gridCol w:w="1450"/>
        <w:gridCol w:w="436"/>
        <w:gridCol w:w="2058"/>
        <w:gridCol w:w="1026"/>
        <w:gridCol w:w="230"/>
        <w:gridCol w:w="1514"/>
        <w:gridCol w:w="231"/>
        <w:gridCol w:w="942"/>
        <w:gridCol w:w="568"/>
      </w:tblGrid>
      <w:tr w:rsidR="00FF0FCE" w:rsidRPr="008C5DE9" w14:paraId="66394FE1" w14:textId="77777777" w:rsidTr="00EE4927">
        <w:trPr>
          <w:gridAfter w:val="1"/>
          <w:wAfter w:w="568" w:type="dxa"/>
          <w:trHeight w:val="270"/>
        </w:trPr>
        <w:tc>
          <w:tcPr>
            <w:tcW w:w="1227" w:type="dxa"/>
            <w:gridSpan w:val="2"/>
            <w:tcBorders>
              <w:top w:val="nil"/>
              <w:left w:val="nil"/>
              <w:bottom w:val="nil"/>
              <w:right w:val="nil"/>
            </w:tcBorders>
            <w:shd w:val="clear" w:color="auto" w:fill="auto"/>
            <w:noWrap/>
            <w:vAlign w:val="center"/>
            <w:hideMark/>
          </w:tcPr>
          <w:p w14:paraId="1EA5BDF6" w14:textId="77777777" w:rsidR="00FF0FCE" w:rsidRPr="008C5DE9" w:rsidRDefault="00FF0FCE" w:rsidP="00E607DA">
            <w:pPr>
              <w:rPr>
                <w:rFonts w:ascii="Meta Pro" w:eastAsia="Times New Roman" w:hAnsi="Meta Pro"/>
                <w:b/>
                <w:bCs/>
                <w:color w:val="000000"/>
                <w:lang w:eastAsia="en-AU"/>
              </w:rPr>
            </w:pPr>
            <w:r w:rsidRPr="008C5DE9">
              <w:rPr>
                <w:rFonts w:ascii="Meta Pro" w:eastAsia="Times New Roman" w:hAnsi="Meta Pro"/>
                <w:b/>
                <w:bCs/>
                <w:color w:val="000000"/>
                <w:lang w:eastAsia="en-AU"/>
              </w:rPr>
              <w:t>CONTENTS</w:t>
            </w:r>
          </w:p>
        </w:tc>
        <w:tc>
          <w:tcPr>
            <w:tcW w:w="1442" w:type="dxa"/>
            <w:tcBorders>
              <w:top w:val="nil"/>
              <w:left w:val="nil"/>
              <w:bottom w:val="nil"/>
              <w:right w:val="nil"/>
            </w:tcBorders>
            <w:shd w:val="clear" w:color="auto" w:fill="auto"/>
            <w:noWrap/>
            <w:vAlign w:val="center"/>
            <w:hideMark/>
          </w:tcPr>
          <w:p w14:paraId="57754083" w14:textId="77777777" w:rsidR="00FF0FCE" w:rsidRPr="008C5DE9" w:rsidRDefault="00FF0FCE" w:rsidP="00E607DA">
            <w:pPr>
              <w:rPr>
                <w:rFonts w:ascii="Meta Pro" w:eastAsia="Times New Roman" w:hAnsi="Meta Pro"/>
                <w:b/>
                <w:bCs/>
                <w:color w:val="000000"/>
                <w:lang w:eastAsia="en-AU"/>
              </w:rPr>
            </w:pPr>
          </w:p>
        </w:tc>
        <w:tc>
          <w:tcPr>
            <w:tcW w:w="428" w:type="dxa"/>
            <w:tcBorders>
              <w:top w:val="nil"/>
              <w:left w:val="nil"/>
              <w:bottom w:val="nil"/>
              <w:right w:val="nil"/>
            </w:tcBorders>
            <w:shd w:val="clear" w:color="auto" w:fill="auto"/>
            <w:noWrap/>
            <w:vAlign w:val="center"/>
            <w:hideMark/>
          </w:tcPr>
          <w:p w14:paraId="4838B9A1" w14:textId="77777777" w:rsidR="00FF0FCE" w:rsidRPr="008C5DE9" w:rsidRDefault="00FF0FCE" w:rsidP="00E607DA">
            <w:pPr>
              <w:rPr>
                <w:rFonts w:eastAsia="Times New Roman" w:cs="Times New Roman"/>
                <w:sz w:val="20"/>
                <w:szCs w:val="20"/>
                <w:lang w:eastAsia="en-AU"/>
              </w:rPr>
            </w:pPr>
          </w:p>
        </w:tc>
        <w:tc>
          <w:tcPr>
            <w:tcW w:w="4808" w:type="dxa"/>
            <w:gridSpan w:val="4"/>
            <w:tcBorders>
              <w:top w:val="nil"/>
              <w:left w:val="nil"/>
              <w:bottom w:val="nil"/>
              <w:right w:val="nil"/>
            </w:tcBorders>
            <w:shd w:val="clear" w:color="auto" w:fill="auto"/>
            <w:noWrap/>
            <w:vAlign w:val="center"/>
            <w:hideMark/>
          </w:tcPr>
          <w:p w14:paraId="43363FBD" w14:textId="77777777" w:rsidR="00FF0FCE" w:rsidRPr="008C5DE9" w:rsidRDefault="00FF0FCE" w:rsidP="00E607DA">
            <w:pPr>
              <w:rPr>
                <w:rFonts w:eastAsia="Times New Roman" w:cs="Times New Roman"/>
                <w:sz w:val="20"/>
                <w:szCs w:val="20"/>
                <w:lang w:eastAsia="en-AU"/>
              </w:rPr>
            </w:pPr>
          </w:p>
        </w:tc>
        <w:tc>
          <w:tcPr>
            <w:tcW w:w="1165" w:type="dxa"/>
            <w:gridSpan w:val="2"/>
            <w:tcBorders>
              <w:top w:val="nil"/>
              <w:left w:val="nil"/>
              <w:bottom w:val="nil"/>
              <w:right w:val="nil"/>
            </w:tcBorders>
            <w:shd w:val="clear" w:color="auto" w:fill="auto"/>
            <w:noWrap/>
            <w:vAlign w:val="center"/>
            <w:hideMark/>
          </w:tcPr>
          <w:p w14:paraId="1337FEDE" w14:textId="77777777" w:rsidR="00FF0FCE" w:rsidRPr="008C5DE9" w:rsidRDefault="00FF0FCE" w:rsidP="00E607DA">
            <w:pPr>
              <w:jc w:val="center"/>
              <w:rPr>
                <w:rFonts w:ascii="Meta Pro" w:eastAsia="Times New Roman" w:hAnsi="Meta Pro"/>
                <w:b/>
                <w:bCs/>
                <w:color w:val="000000"/>
                <w:lang w:eastAsia="en-AU"/>
              </w:rPr>
            </w:pPr>
            <w:r w:rsidRPr="008C5DE9">
              <w:rPr>
                <w:rFonts w:ascii="Meta Pro" w:eastAsia="Times New Roman" w:hAnsi="Meta Pro"/>
                <w:b/>
                <w:bCs/>
                <w:color w:val="000000"/>
                <w:lang w:eastAsia="en-AU"/>
              </w:rPr>
              <w:t>PAGE NO.</w:t>
            </w:r>
          </w:p>
        </w:tc>
      </w:tr>
      <w:tr w:rsidR="00FF0FCE" w:rsidRPr="008C5DE9" w14:paraId="510067DE" w14:textId="77777777" w:rsidTr="00EE4927">
        <w:trPr>
          <w:gridAfter w:val="1"/>
          <w:wAfter w:w="568" w:type="dxa"/>
          <w:trHeight w:val="165"/>
        </w:trPr>
        <w:tc>
          <w:tcPr>
            <w:tcW w:w="1227" w:type="dxa"/>
            <w:gridSpan w:val="2"/>
            <w:tcBorders>
              <w:top w:val="nil"/>
              <w:left w:val="nil"/>
              <w:bottom w:val="nil"/>
              <w:right w:val="nil"/>
            </w:tcBorders>
            <w:shd w:val="clear" w:color="auto" w:fill="auto"/>
            <w:noWrap/>
            <w:vAlign w:val="center"/>
            <w:hideMark/>
          </w:tcPr>
          <w:p w14:paraId="3FBA64A6" w14:textId="77777777" w:rsidR="00FF0FCE" w:rsidRPr="008C5DE9" w:rsidRDefault="00FF0FCE" w:rsidP="00E607DA">
            <w:pPr>
              <w:jc w:val="center"/>
              <w:rPr>
                <w:rFonts w:ascii="Meta Pro" w:eastAsia="Times New Roman" w:hAnsi="Meta Pro"/>
                <w:b/>
                <w:bCs/>
                <w:color w:val="000000"/>
                <w:lang w:eastAsia="en-AU"/>
              </w:rPr>
            </w:pPr>
          </w:p>
        </w:tc>
        <w:tc>
          <w:tcPr>
            <w:tcW w:w="1442" w:type="dxa"/>
            <w:tcBorders>
              <w:top w:val="nil"/>
              <w:left w:val="nil"/>
              <w:bottom w:val="nil"/>
              <w:right w:val="nil"/>
            </w:tcBorders>
            <w:shd w:val="clear" w:color="auto" w:fill="auto"/>
            <w:noWrap/>
            <w:vAlign w:val="center"/>
            <w:hideMark/>
          </w:tcPr>
          <w:p w14:paraId="6CB3FC15" w14:textId="77777777" w:rsidR="00FF0FCE" w:rsidRPr="008C5DE9" w:rsidRDefault="00FF0FCE" w:rsidP="00E607DA">
            <w:pPr>
              <w:rPr>
                <w:rFonts w:eastAsia="Times New Roman" w:cs="Times New Roman"/>
                <w:sz w:val="20"/>
                <w:szCs w:val="20"/>
                <w:lang w:eastAsia="en-AU"/>
              </w:rPr>
            </w:pPr>
          </w:p>
        </w:tc>
        <w:tc>
          <w:tcPr>
            <w:tcW w:w="428" w:type="dxa"/>
            <w:tcBorders>
              <w:top w:val="nil"/>
              <w:left w:val="nil"/>
              <w:bottom w:val="nil"/>
              <w:right w:val="nil"/>
            </w:tcBorders>
            <w:shd w:val="clear" w:color="auto" w:fill="auto"/>
            <w:noWrap/>
            <w:vAlign w:val="center"/>
            <w:hideMark/>
          </w:tcPr>
          <w:p w14:paraId="4FDAB248" w14:textId="77777777" w:rsidR="00FF0FCE" w:rsidRPr="008C5DE9" w:rsidRDefault="00FF0FCE" w:rsidP="00E607DA">
            <w:pPr>
              <w:rPr>
                <w:rFonts w:eastAsia="Times New Roman" w:cs="Times New Roman"/>
                <w:sz w:val="20"/>
                <w:szCs w:val="20"/>
                <w:lang w:eastAsia="en-AU"/>
              </w:rPr>
            </w:pPr>
          </w:p>
        </w:tc>
        <w:tc>
          <w:tcPr>
            <w:tcW w:w="4808" w:type="dxa"/>
            <w:gridSpan w:val="4"/>
            <w:tcBorders>
              <w:top w:val="nil"/>
              <w:left w:val="nil"/>
              <w:bottom w:val="nil"/>
              <w:right w:val="nil"/>
            </w:tcBorders>
            <w:shd w:val="clear" w:color="auto" w:fill="auto"/>
            <w:noWrap/>
            <w:vAlign w:val="center"/>
            <w:hideMark/>
          </w:tcPr>
          <w:p w14:paraId="13F6495A" w14:textId="77777777" w:rsidR="00FF0FCE" w:rsidRPr="008C5DE9" w:rsidRDefault="00FF0FCE" w:rsidP="00E607DA">
            <w:pPr>
              <w:rPr>
                <w:rFonts w:eastAsia="Times New Roman" w:cs="Times New Roman"/>
                <w:sz w:val="20"/>
                <w:szCs w:val="20"/>
                <w:lang w:eastAsia="en-AU"/>
              </w:rPr>
            </w:pPr>
          </w:p>
        </w:tc>
        <w:tc>
          <w:tcPr>
            <w:tcW w:w="1165" w:type="dxa"/>
            <w:gridSpan w:val="2"/>
            <w:tcBorders>
              <w:top w:val="nil"/>
              <w:left w:val="nil"/>
              <w:bottom w:val="nil"/>
              <w:right w:val="nil"/>
            </w:tcBorders>
            <w:shd w:val="clear" w:color="auto" w:fill="auto"/>
            <w:noWrap/>
            <w:vAlign w:val="center"/>
            <w:hideMark/>
          </w:tcPr>
          <w:p w14:paraId="6A68C953" w14:textId="77777777" w:rsidR="00FF0FCE" w:rsidRPr="008C5DE9" w:rsidRDefault="00FF0FCE" w:rsidP="00E607DA">
            <w:pPr>
              <w:rPr>
                <w:rFonts w:eastAsia="Times New Roman" w:cs="Times New Roman"/>
                <w:sz w:val="20"/>
                <w:szCs w:val="20"/>
                <w:lang w:eastAsia="en-AU"/>
              </w:rPr>
            </w:pPr>
          </w:p>
        </w:tc>
      </w:tr>
      <w:tr w:rsidR="00FF0FCE" w:rsidRPr="008C5DE9" w14:paraId="28B44C93" w14:textId="77777777" w:rsidTr="00EE4927">
        <w:trPr>
          <w:gridAfter w:val="1"/>
          <w:wAfter w:w="568" w:type="dxa"/>
          <w:trHeight w:val="23"/>
        </w:trPr>
        <w:tc>
          <w:tcPr>
            <w:tcW w:w="1227" w:type="dxa"/>
            <w:gridSpan w:val="2"/>
            <w:vMerge w:val="restart"/>
            <w:tcBorders>
              <w:top w:val="nil"/>
              <w:left w:val="nil"/>
              <w:bottom w:val="nil"/>
              <w:right w:val="nil"/>
            </w:tcBorders>
            <w:shd w:val="clear" w:color="auto" w:fill="auto"/>
            <w:hideMark/>
          </w:tcPr>
          <w:p w14:paraId="179D8D03" w14:textId="77777777" w:rsidR="00FF0FCE" w:rsidRPr="008C5DE9" w:rsidRDefault="00FF0FCE" w:rsidP="00E607DA">
            <w:pPr>
              <w:rPr>
                <w:rFonts w:ascii="Meta Pro" w:eastAsia="Times New Roman" w:hAnsi="Meta Pro"/>
                <w:b/>
                <w:bCs/>
                <w:color w:val="000000"/>
                <w:szCs w:val="18"/>
                <w:lang w:eastAsia="en-AU"/>
              </w:rPr>
            </w:pPr>
            <w:r w:rsidRPr="008C5DE9">
              <w:rPr>
                <w:rFonts w:ascii="Meta Pro" w:eastAsia="Times New Roman" w:hAnsi="Meta Pro"/>
                <w:b/>
                <w:bCs/>
                <w:color w:val="000000"/>
                <w:szCs w:val="18"/>
                <w:lang w:eastAsia="en-AU"/>
              </w:rPr>
              <w:t>Financial Statements</w:t>
            </w:r>
          </w:p>
        </w:tc>
        <w:tc>
          <w:tcPr>
            <w:tcW w:w="6678" w:type="dxa"/>
            <w:gridSpan w:val="6"/>
            <w:tcBorders>
              <w:top w:val="nil"/>
              <w:left w:val="nil"/>
              <w:bottom w:val="nil"/>
              <w:right w:val="nil"/>
            </w:tcBorders>
            <w:shd w:val="clear" w:color="auto" w:fill="auto"/>
            <w:noWrap/>
            <w:vAlign w:val="center"/>
            <w:hideMark/>
          </w:tcPr>
          <w:p w14:paraId="12376C02"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Statement of comprehensive income</w:t>
            </w:r>
          </w:p>
        </w:tc>
        <w:tc>
          <w:tcPr>
            <w:tcW w:w="1165" w:type="dxa"/>
            <w:gridSpan w:val="2"/>
            <w:tcBorders>
              <w:top w:val="nil"/>
              <w:left w:val="nil"/>
              <w:bottom w:val="nil"/>
              <w:right w:val="nil"/>
            </w:tcBorders>
            <w:shd w:val="clear" w:color="auto" w:fill="auto"/>
            <w:noWrap/>
            <w:vAlign w:val="center"/>
            <w:hideMark/>
          </w:tcPr>
          <w:p w14:paraId="733739E0" w14:textId="77777777" w:rsidR="00FF0FCE" w:rsidRPr="008C5DE9" w:rsidRDefault="00FF0FCE" w:rsidP="00E607DA">
            <w:pPr>
              <w:jc w:val="center"/>
              <w:rPr>
                <w:rFonts w:ascii="Meta Pro" w:eastAsia="Times New Roman" w:hAnsi="Meta Pro"/>
                <w:color w:val="000000"/>
                <w:szCs w:val="18"/>
                <w:lang w:eastAsia="en-AU"/>
              </w:rPr>
            </w:pPr>
            <w:r w:rsidRPr="008C5DE9">
              <w:rPr>
                <w:rFonts w:ascii="Meta Pro" w:eastAsia="Times New Roman" w:hAnsi="Meta Pro"/>
                <w:color w:val="000000"/>
                <w:szCs w:val="18"/>
                <w:lang w:eastAsia="en-AU"/>
              </w:rPr>
              <w:t>1</w:t>
            </w:r>
            <w:r>
              <w:rPr>
                <w:rFonts w:ascii="Meta Pro" w:eastAsia="Times New Roman" w:hAnsi="Meta Pro"/>
                <w:color w:val="000000"/>
                <w:szCs w:val="18"/>
                <w:lang w:eastAsia="en-AU"/>
              </w:rPr>
              <w:t>44</w:t>
            </w:r>
          </w:p>
        </w:tc>
      </w:tr>
      <w:tr w:rsidR="00FF0FCE" w:rsidRPr="008C5DE9" w14:paraId="75F7173F" w14:textId="77777777" w:rsidTr="00EE4927">
        <w:trPr>
          <w:gridAfter w:val="1"/>
          <w:wAfter w:w="568" w:type="dxa"/>
          <w:trHeight w:val="23"/>
        </w:trPr>
        <w:tc>
          <w:tcPr>
            <w:tcW w:w="1227" w:type="dxa"/>
            <w:gridSpan w:val="2"/>
            <w:vMerge/>
            <w:tcBorders>
              <w:top w:val="nil"/>
              <w:left w:val="nil"/>
              <w:bottom w:val="nil"/>
              <w:right w:val="nil"/>
            </w:tcBorders>
            <w:vAlign w:val="center"/>
            <w:hideMark/>
          </w:tcPr>
          <w:p w14:paraId="27EA632B" w14:textId="77777777" w:rsidR="00FF0FCE" w:rsidRPr="008C5DE9" w:rsidRDefault="00FF0FCE" w:rsidP="00E607DA">
            <w:pPr>
              <w:rPr>
                <w:rFonts w:ascii="Meta Pro" w:eastAsia="Times New Roman" w:hAnsi="Meta Pro"/>
                <w:b/>
                <w:bCs/>
                <w:color w:val="000000"/>
                <w:szCs w:val="18"/>
                <w:lang w:eastAsia="en-AU"/>
              </w:rPr>
            </w:pPr>
          </w:p>
        </w:tc>
        <w:tc>
          <w:tcPr>
            <w:tcW w:w="6678" w:type="dxa"/>
            <w:gridSpan w:val="6"/>
            <w:tcBorders>
              <w:top w:val="nil"/>
              <w:left w:val="nil"/>
              <w:bottom w:val="nil"/>
              <w:right w:val="nil"/>
            </w:tcBorders>
            <w:shd w:val="clear" w:color="auto" w:fill="auto"/>
            <w:noWrap/>
            <w:vAlign w:val="center"/>
            <w:hideMark/>
          </w:tcPr>
          <w:p w14:paraId="65EB3233"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Statement of financial position</w:t>
            </w:r>
          </w:p>
        </w:tc>
        <w:tc>
          <w:tcPr>
            <w:tcW w:w="1165" w:type="dxa"/>
            <w:gridSpan w:val="2"/>
            <w:tcBorders>
              <w:top w:val="nil"/>
              <w:left w:val="nil"/>
              <w:bottom w:val="nil"/>
              <w:right w:val="nil"/>
            </w:tcBorders>
            <w:shd w:val="clear" w:color="auto" w:fill="auto"/>
            <w:noWrap/>
            <w:vAlign w:val="center"/>
            <w:hideMark/>
          </w:tcPr>
          <w:p w14:paraId="0AF1B69B" w14:textId="77777777" w:rsidR="00FF0FCE" w:rsidRPr="008C5DE9" w:rsidRDefault="00FF0FCE" w:rsidP="00E607DA">
            <w:pPr>
              <w:jc w:val="center"/>
              <w:rPr>
                <w:rFonts w:ascii="Meta Pro" w:eastAsia="Times New Roman" w:hAnsi="Meta Pro"/>
                <w:color w:val="000000"/>
                <w:szCs w:val="18"/>
                <w:lang w:eastAsia="en-AU"/>
              </w:rPr>
            </w:pPr>
            <w:r>
              <w:rPr>
                <w:rFonts w:ascii="Meta Pro" w:eastAsia="Times New Roman" w:hAnsi="Meta Pro"/>
                <w:color w:val="000000"/>
                <w:szCs w:val="18"/>
                <w:lang w:eastAsia="en-AU"/>
              </w:rPr>
              <w:t>145</w:t>
            </w:r>
          </w:p>
        </w:tc>
      </w:tr>
      <w:tr w:rsidR="00FF0FCE" w:rsidRPr="008C5DE9" w14:paraId="6EC9EE4A"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center"/>
            <w:hideMark/>
          </w:tcPr>
          <w:p w14:paraId="2343BBE8" w14:textId="77777777" w:rsidR="00FF0FCE" w:rsidRPr="008C5DE9" w:rsidRDefault="00FF0FCE" w:rsidP="00E607DA">
            <w:pPr>
              <w:jc w:val="center"/>
              <w:rPr>
                <w:rFonts w:ascii="Meta Pro" w:eastAsia="Times New Roman" w:hAnsi="Meta Pro"/>
                <w:color w:val="000000"/>
                <w:szCs w:val="18"/>
                <w:lang w:eastAsia="en-AU"/>
              </w:rPr>
            </w:pPr>
          </w:p>
        </w:tc>
        <w:tc>
          <w:tcPr>
            <w:tcW w:w="6678" w:type="dxa"/>
            <w:gridSpan w:val="6"/>
            <w:tcBorders>
              <w:top w:val="nil"/>
              <w:left w:val="nil"/>
              <w:bottom w:val="nil"/>
              <w:right w:val="nil"/>
            </w:tcBorders>
            <w:shd w:val="clear" w:color="auto" w:fill="auto"/>
            <w:noWrap/>
            <w:vAlign w:val="center"/>
            <w:hideMark/>
          </w:tcPr>
          <w:p w14:paraId="788C7C09"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Statement of comprehensive income by major departmental services</w:t>
            </w:r>
          </w:p>
        </w:tc>
        <w:tc>
          <w:tcPr>
            <w:tcW w:w="1165" w:type="dxa"/>
            <w:gridSpan w:val="2"/>
            <w:tcBorders>
              <w:top w:val="nil"/>
              <w:left w:val="nil"/>
              <w:bottom w:val="nil"/>
              <w:right w:val="nil"/>
            </w:tcBorders>
            <w:shd w:val="clear" w:color="auto" w:fill="auto"/>
            <w:noWrap/>
            <w:vAlign w:val="center"/>
            <w:hideMark/>
          </w:tcPr>
          <w:p w14:paraId="407F4D6C" w14:textId="77777777" w:rsidR="00FF0FCE" w:rsidRPr="008C5DE9" w:rsidRDefault="00FF0FCE" w:rsidP="00E607DA">
            <w:pPr>
              <w:jc w:val="center"/>
              <w:rPr>
                <w:rFonts w:ascii="Meta Pro" w:eastAsia="Times New Roman" w:hAnsi="Meta Pro"/>
                <w:color w:val="000000"/>
                <w:szCs w:val="18"/>
                <w:lang w:eastAsia="en-AU"/>
              </w:rPr>
            </w:pPr>
            <w:r>
              <w:rPr>
                <w:rFonts w:ascii="Meta Pro" w:eastAsia="Times New Roman" w:hAnsi="Meta Pro"/>
                <w:color w:val="000000"/>
                <w:szCs w:val="18"/>
                <w:lang w:eastAsia="en-AU"/>
              </w:rPr>
              <w:t>146</w:t>
            </w:r>
          </w:p>
        </w:tc>
      </w:tr>
      <w:tr w:rsidR="00FF0FCE" w:rsidRPr="008C5DE9" w14:paraId="74A45F93"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center"/>
            <w:hideMark/>
          </w:tcPr>
          <w:p w14:paraId="53C786B7" w14:textId="77777777" w:rsidR="00FF0FCE" w:rsidRPr="008C5DE9" w:rsidRDefault="00FF0FCE" w:rsidP="00E607DA">
            <w:pPr>
              <w:jc w:val="center"/>
              <w:rPr>
                <w:rFonts w:ascii="Meta Pro" w:eastAsia="Times New Roman" w:hAnsi="Meta Pro"/>
                <w:color w:val="000000"/>
                <w:szCs w:val="18"/>
                <w:lang w:eastAsia="en-AU"/>
              </w:rPr>
            </w:pPr>
          </w:p>
        </w:tc>
        <w:tc>
          <w:tcPr>
            <w:tcW w:w="6678" w:type="dxa"/>
            <w:gridSpan w:val="6"/>
            <w:tcBorders>
              <w:top w:val="nil"/>
              <w:left w:val="nil"/>
              <w:bottom w:val="nil"/>
              <w:right w:val="nil"/>
            </w:tcBorders>
            <w:shd w:val="clear" w:color="auto" w:fill="auto"/>
            <w:noWrap/>
            <w:vAlign w:val="center"/>
            <w:hideMark/>
          </w:tcPr>
          <w:p w14:paraId="288801CF"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Statement of assets and liabilities by major departmental services</w:t>
            </w:r>
          </w:p>
        </w:tc>
        <w:tc>
          <w:tcPr>
            <w:tcW w:w="1165" w:type="dxa"/>
            <w:gridSpan w:val="2"/>
            <w:tcBorders>
              <w:top w:val="nil"/>
              <w:left w:val="nil"/>
              <w:bottom w:val="nil"/>
              <w:right w:val="nil"/>
            </w:tcBorders>
            <w:shd w:val="clear" w:color="auto" w:fill="auto"/>
            <w:noWrap/>
            <w:vAlign w:val="center"/>
            <w:hideMark/>
          </w:tcPr>
          <w:p w14:paraId="04BA2830" w14:textId="77777777" w:rsidR="00FF0FCE" w:rsidRPr="008C5DE9" w:rsidRDefault="00FF0FCE" w:rsidP="00E607DA">
            <w:pPr>
              <w:jc w:val="center"/>
              <w:rPr>
                <w:rFonts w:ascii="Meta Pro" w:eastAsia="Times New Roman" w:hAnsi="Meta Pro"/>
                <w:color w:val="000000"/>
                <w:szCs w:val="18"/>
                <w:lang w:eastAsia="en-AU"/>
              </w:rPr>
            </w:pPr>
            <w:r>
              <w:rPr>
                <w:rFonts w:ascii="Meta Pro" w:eastAsia="Times New Roman" w:hAnsi="Meta Pro"/>
                <w:color w:val="000000"/>
                <w:szCs w:val="18"/>
                <w:lang w:eastAsia="en-AU"/>
              </w:rPr>
              <w:t>148</w:t>
            </w:r>
          </w:p>
        </w:tc>
      </w:tr>
      <w:tr w:rsidR="00FF0FCE" w:rsidRPr="008C5DE9" w14:paraId="68CDA034"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center"/>
            <w:hideMark/>
          </w:tcPr>
          <w:p w14:paraId="60F375B3" w14:textId="77777777" w:rsidR="00FF0FCE" w:rsidRPr="008C5DE9" w:rsidRDefault="00FF0FCE" w:rsidP="00E607DA">
            <w:pPr>
              <w:jc w:val="center"/>
              <w:rPr>
                <w:rFonts w:ascii="Meta Pro" w:eastAsia="Times New Roman" w:hAnsi="Meta Pro"/>
                <w:color w:val="000000"/>
                <w:szCs w:val="18"/>
                <w:lang w:eastAsia="en-AU"/>
              </w:rPr>
            </w:pPr>
          </w:p>
        </w:tc>
        <w:tc>
          <w:tcPr>
            <w:tcW w:w="6678" w:type="dxa"/>
            <w:gridSpan w:val="6"/>
            <w:tcBorders>
              <w:top w:val="nil"/>
              <w:left w:val="nil"/>
              <w:bottom w:val="nil"/>
              <w:right w:val="nil"/>
            </w:tcBorders>
            <w:shd w:val="clear" w:color="auto" w:fill="auto"/>
            <w:noWrap/>
            <w:vAlign w:val="center"/>
            <w:hideMark/>
          </w:tcPr>
          <w:p w14:paraId="76F7320F"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Statement of changes in equity</w:t>
            </w:r>
          </w:p>
        </w:tc>
        <w:tc>
          <w:tcPr>
            <w:tcW w:w="1165" w:type="dxa"/>
            <w:gridSpan w:val="2"/>
            <w:tcBorders>
              <w:top w:val="nil"/>
              <w:left w:val="nil"/>
              <w:bottom w:val="nil"/>
              <w:right w:val="nil"/>
            </w:tcBorders>
            <w:shd w:val="clear" w:color="auto" w:fill="auto"/>
            <w:noWrap/>
            <w:vAlign w:val="center"/>
            <w:hideMark/>
          </w:tcPr>
          <w:p w14:paraId="04486815" w14:textId="77777777" w:rsidR="00FF0FCE" w:rsidRPr="008C5DE9" w:rsidRDefault="00FF0FCE" w:rsidP="00E607DA">
            <w:pPr>
              <w:jc w:val="center"/>
              <w:rPr>
                <w:rFonts w:ascii="Meta Pro" w:eastAsia="Times New Roman" w:hAnsi="Meta Pro"/>
                <w:color w:val="000000"/>
                <w:szCs w:val="18"/>
                <w:lang w:eastAsia="en-AU"/>
              </w:rPr>
            </w:pPr>
            <w:r>
              <w:rPr>
                <w:rFonts w:ascii="Meta Pro" w:eastAsia="Times New Roman" w:hAnsi="Meta Pro"/>
                <w:color w:val="000000"/>
                <w:szCs w:val="18"/>
                <w:lang w:eastAsia="en-AU"/>
              </w:rPr>
              <w:t>150</w:t>
            </w:r>
          </w:p>
        </w:tc>
      </w:tr>
      <w:tr w:rsidR="00FF0FCE" w:rsidRPr="008C5DE9" w14:paraId="555C9A50"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center"/>
            <w:hideMark/>
          </w:tcPr>
          <w:p w14:paraId="3387DC09" w14:textId="77777777" w:rsidR="00FF0FCE" w:rsidRPr="008C5DE9" w:rsidRDefault="00FF0FCE" w:rsidP="00E607DA">
            <w:pPr>
              <w:jc w:val="center"/>
              <w:rPr>
                <w:rFonts w:ascii="Meta Pro" w:eastAsia="Times New Roman" w:hAnsi="Meta Pro"/>
                <w:color w:val="000000"/>
                <w:szCs w:val="18"/>
                <w:lang w:eastAsia="en-AU"/>
              </w:rPr>
            </w:pPr>
          </w:p>
        </w:tc>
        <w:tc>
          <w:tcPr>
            <w:tcW w:w="6678" w:type="dxa"/>
            <w:gridSpan w:val="6"/>
            <w:tcBorders>
              <w:top w:val="nil"/>
              <w:left w:val="nil"/>
              <w:bottom w:val="nil"/>
              <w:right w:val="nil"/>
            </w:tcBorders>
            <w:shd w:val="clear" w:color="auto" w:fill="auto"/>
            <w:noWrap/>
            <w:vAlign w:val="center"/>
            <w:hideMark/>
          </w:tcPr>
          <w:p w14:paraId="7E110362"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Statement of cash flows</w:t>
            </w:r>
          </w:p>
        </w:tc>
        <w:tc>
          <w:tcPr>
            <w:tcW w:w="1165" w:type="dxa"/>
            <w:gridSpan w:val="2"/>
            <w:tcBorders>
              <w:top w:val="nil"/>
              <w:left w:val="nil"/>
              <w:bottom w:val="nil"/>
              <w:right w:val="nil"/>
            </w:tcBorders>
            <w:shd w:val="clear" w:color="auto" w:fill="auto"/>
            <w:noWrap/>
            <w:vAlign w:val="center"/>
            <w:hideMark/>
          </w:tcPr>
          <w:p w14:paraId="6DBBB6B1" w14:textId="77777777" w:rsidR="00FF0FCE" w:rsidRPr="008C5DE9" w:rsidRDefault="00FF0FCE" w:rsidP="00E607DA">
            <w:pPr>
              <w:jc w:val="center"/>
              <w:rPr>
                <w:rFonts w:ascii="Meta Pro" w:eastAsia="Times New Roman" w:hAnsi="Meta Pro"/>
                <w:color w:val="000000"/>
                <w:szCs w:val="18"/>
                <w:lang w:eastAsia="en-AU"/>
              </w:rPr>
            </w:pPr>
            <w:r>
              <w:rPr>
                <w:rFonts w:ascii="Meta Pro" w:eastAsia="Times New Roman" w:hAnsi="Meta Pro"/>
                <w:color w:val="000000"/>
                <w:szCs w:val="18"/>
                <w:lang w:eastAsia="en-AU"/>
              </w:rPr>
              <w:t>151</w:t>
            </w:r>
          </w:p>
        </w:tc>
      </w:tr>
      <w:tr w:rsidR="00FF0FCE" w:rsidRPr="008C5DE9" w14:paraId="7DA0691B"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center"/>
            <w:hideMark/>
          </w:tcPr>
          <w:p w14:paraId="5C98CC32" w14:textId="77777777" w:rsidR="00FF0FCE" w:rsidRPr="008C5DE9" w:rsidRDefault="00FF0FCE" w:rsidP="00E607DA">
            <w:pPr>
              <w:jc w:val="center"/>
              <w:rPr>
                <w:rFonts w:ascii="Meta Pro" w:eastAsia="Times New Roman" w:hAnsi="Meta Pro"/>
                <w:color w:val="000000"/>
                <w:szCs w:val="18"/>
                <w:lang w:eastAsia="en-AU"/>
              </w:rPr>
            </w:pPr>
          </w:p>
        </w:tc>
        <w:tc>
          <w:tcPr>
            <w:tcW w:w="6678" w:type="dxa"/>
            <w:gridSpan w:val="6"/>
            <w:tcBorders>
              <w:top w:val="nil"/>
              <w:left w:val="nil"/>
              <w:bottom w:val="single" w:sz="4" w:space="0" w:color="auto"/>
              <w:right w:val="nil"/>
            </w:tcBorders>
            <w:shd w:val="clear" w:color="auto" w:fill="auto"/>
            <w:noWrap/>
            <w:vAlign w:val="center"/>
            <w:hideMark/>
          </w:tcPr>
          <w:p w14:paraId="6CDE91E6"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Notes to the Statement of cash flows</w:t>
            </w:r>
          </w:p>
        </w:tc>
        <w:tc>
          <w:tcPr>
            <w:tcW w:w="1165" w:type="dxa"/>
            <w:gridSpan w:val="2"/>
            <w:tcBorders>
              <w:top w:val="nil"/>
              <w:left w:val="nil"/>
              <w:bottom w:val="nil"/>
              <w:right w:val="nil"/>
            </w:tcBorders>
            <w:shd w:val="clear" w:color="auto" w:fill="auto"/>
            <w:noWrap/>
            <w:vAlign w:val="center"/>
            <w:hideMark/>
          </w:tcPr>
          <w:p w14:paraId="3190086F" w14:textId="77777777" w:rsidR="00FF0FCE" w:rsidRPr="008C5DE9" w:rsidRDefault="00FF0FCE" w:rsidP="00E607DA">
            <w:pPr>
              <w:jc w:val="center"/>
              <w:rPr>
                <w:rFonts w:ascii="Meta Pro" w:eastAsia="Times New Roman" w:hAnsi="Meta Pro"/>
                <w:color w:val="000000"/>
                <w:szCs w:val="18"/>
                <w:lang w:eastAsia="en-AU"/>
              </w:rPr>
            </w:pPr>
            <w:r>
              <w:rPr>
                <w:rFonts w:ascii="Meta Pro" w:eastAsia="Times New Roman" w:hAnsi="Meta Pro"/>
                <w:color w:val="000000"/>
                <w:szCs w:val="18"/>
                <w:lang w:eastAsia="en-AU"/>
              </w:rPr>
              <w:t>152</w:t>
            </w:r>
          </w:p>
        </w:tc>
      </w:tr>
      <w:tr w:rsidR="00FF0FCE" w:rsidRPr="008C5DE9" w14:paraId="7F0D5A7C" w14:textId="77777777" w:rsidTr="00EE4927">
        <w:trPr>
          <w:gridAfter w:val="1"/>
          <w:wAfter w:w="568" w:type="dxa"/>
          <w:trHeight w:val="23"/>
        </w:trPr>
        <w:tc>
          <w:tcPr>
            <w:tcW w:w="1227" w:type="dxa"/>
            <w:gridSpan w:val="2"/>
            <w:tcBorders>
              <w:top w:val="single" w:sz="4" w:space="0" w:color="auto"/>
              <w:left w:val="nil"/>
              <w:bottom w:val="nil"/>
              <w:right w:val="nil"/>
            </w:tcBorders>
            <w:shd w:val="clear" w:color="auto" w:fill="auto"/>
            <w:hideMark/>
          </w:tcPr>
          <w:p w14:paraId="0DED2866" w14:textId="77777777" w:rsidR="00FF0FCE" w:rsidRPr="008C5DE9" w:rsidRDefault="00FF0FCE" w:rsidP="00E607DA">
            <w:pPr>
              <w:rPr>
                <w:rFonts w:ascii="Meta Pro" w:eastAsia="Times New Roman" w:hAnsi="Meta Pro"/>
                <w:b/>
                <w:bCs/>
                <w:color w:val="000000"/>
                <w:szCs w:val="18"/>
                <w:lang w:eastAsia="en-AU"/>
              </w:rPr>
            </w:pPr>
            <w:r w:rsidRPr="008C5DE9">
              <w:rPr>
                <w:rFonts w:ascii="Meta Pro" w:eastAsia="Times New Roman" w:hAnsi="Meta Pro"/>
                <w:b/>
                <w:bCs/>
                <w:color w:val="000000"/>
                <w:szCs w:val="18"/>
                <w:lang w:eastAsia="en-AU"/>
              </w:rPr>
              <w:t>Notes to the</w:t>
            </w:r>
            <w:r w:rsidRPr="008C5DE9">
              <w:rPr>
                <w:rFonts w:ascii="Meta Pro" w:eastAsia="Times New Roman" w:hAnsi="Meta Pro"/>
                <w:b/>
                <w:bCs/>
                <w:color w:val="000000"/>
                <w:szCs w:val="18"/>
                <w:lang w:eastAsia="en-AU"/>
              </w:rPr>
              <w:br/>
              <w:t>Financial</w:t>
            </w:r>
            <w:r w:rsidRPr="008C5DE9">
              <w:rPr>
                <w:rFonts w:ascii="Meta Pro" w:eastAsia="Times New Roman" w:hAnsi="Meta Pro"/>
                <w:b/>
                <w:bCs/>
                <w:color w:val="000000"/>
                <w:szCs w:val="18"/>
                <w:lang w:eastAsia="en-AU"/>
              </w:rPr>
              <w:br/>
              <w:t>Statements</w:t>
            </w:r>
          </w:p>
        </w:tc>
        <w:tc>
          <w:tcPr>
            <w:tcW w:w="1442" w:type="dxa"/>
            <w:tcBorders>
              <w:top w:val="nil"/>
              <w:left w:val="nil"/>
              <w:bottom w:val="single" w:sz="4" w:space="0" w:color="auto"/>
              <w:right w:val="nil"/>
            </w:tcBorders>
            <w:shd w:val="clear" w:color="auto" w:fill="auto"/>
            <w:hideMark/>
          </w:tcPr>
          <w:p w14:paraId="5E3380A2"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How we Operate - Our Departmental Objectives and Activities</w:t>
            </w:r>
          </w:p>
        </w:tc>
        <w:tc>
          <w:tcPr>
            <w:tcW w:w="428" w:type="dxa"/>
            <w:tcBorders>
              <w:top w:val="nil"/>
              <w:left w:val="nil"/>
              <w:bottom w:val="nil"/>
              <w:right w:val="nil"/>
            </w:tcBorders>
            <w:shd w:val="clear" w:color="auto" w:fill="auto"/>
            <w:hideMark/>
          </w:tcPr>
          <w:p w14:paraId="78DAADCD" w14:textId="77777777" w:rsidR="00FF0FCE" w:rsidRPr="008C5DE9" w:rsidRDefault="00FF0FCE" w:rsidP="00E607DA">
            <w:pPr>
              <w:jc w:val="right"/>
              <w:rPr>
                <w:rFonts w:ascii="Meta Pro" w:eastAsia="Times New Roman" w:hAnsi="Meta Pro"/>
                <w:color w:val="000000"/>
                <w:szCs w:val="18"/>
                <w:lang w:eastAsia="en-AU"/>
              </w:rPr>
            </w:pPr>
            <w:r w:rsidRPr="008C5DE9">
              <w:rPr>
                <w:rFonts w:ascii="Meta Pro" w:eastAsia="Times New Roman" w:hAnsi="Meta Pro"/>
                <w:color w:val="000000"/>
                <w:szCs w:val="18"/>
                <w:lang w:eastAsia="en-AU"/>
              </w:rPr>
              <w:t>1</w:t>
            </w:r>
          </w:p>
        </w:tc>
        <w:tc>
          <w:tcPr>
            <w:tcW w:w="4808" w:type="dxa"/>
            <w:gridSpan w:val="4"/>
            <w:tcBorders>
              <w:top w:val="nil"/>
              <w:left w:val="nil"/>
              <w:bottom w:val="nil"/>
              <w:right w:val="nil"/>
            </w:tcBorders>
            <w:shd w:val="clear" w:color="auto" w:fill="auto"/>
            <w:hideMark/>
          </w:tcPr>
          <w:p w14:paraId="784A8156"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Accounting policies and basis for financial statements</w:t>
            </w:r>
            <w:r w:rsidRPr="008C5DE9">
              <w:rPr>
                <w:rFonts w:ascii="Meta Pro" w:eastAsia="Times New Roman" w:hAnsi="Meta Pro"/>
                <w:color w:val="000000"/>
                <w:szCs w:val="18"/>
                <w:lang w:eastAsia="en-AU"/>
              </w:rPr>
              <w:br/>
              <w:t>preparation</w:t>
            </w:r>
          </w:p>
        </w:tc>
        <w:tc>
          <w:tcPr>
            <w:tcW w:w="1165" w:type="dxa"/>
            <w:gridSpan w:val="2"/>
            <w:tcBorders>
              <w:top w:val="single" w:sz="4" w:space="0" w:color="auto"/>
              <w:left w:val="nil"/>
              <w:bottom w:val="nil"/>
              <w:right w:val="nil"/>
            </w:tcBorders>
            <w:shd w:val="clear" w:color="auto" w:fill="auto"/>
            <w:noWrap/>
            <w:hideMark/>
          </w:tcPr>
          <w:p w14:paraId="5D50C7C9" w14:textId="77777777" w:rsidR="00FF0FCE" w:rsidRPr="008C5DE9" w:rsidRDefault="00FF0FCE" w:rsidP="00E607DA">
            <w:pPr>
              <w:jc w:val="center"/>
              <w:rPr>
                <w:rFonts w:ascii="Meta Pro" w:eastAsia="Times New Roman" w:hAnsi="Meta Pro"/>
                <w:color w:val="000000"/>
                <w:szCs w:val="18"/>
                <w:lang w:eastAsia="en-AU"/>
              </w:rPr>
            </w:pPr>
            <w:r>
              <w:rPr>
                <w:rFonts w:ascii="Meta Pro" w:eastAsia="Times New Roman" w:hAnsi="Meta Pro"/>
                <w:color w:val="000000"/>
                <w:szCs w:val="18"/>
                <w:lang w:eastAsia="en-AU"/>
              </w:rPr>
              <w:t>153</w:t>
            </w:r>
          </w:p>
        </w:tc>
      </w:tr>
      <w:tr w:rsidR="00FF0FCE" w:rsidRPr="008C5DE9" w14:paraId="1EA4456D" w14:textId="77777777" w:rsidTr="00EE4927">
        <w:trPr>
          <w:gridAfter w:val="1"/>
          <w:wAfter w:w="568" w:type="dxa"/>
          <w:trHeight w:val="23"/>
        </w:trPr>
        <w:tc>
          <w:tcPr>
            <w:tcW w:w="1227" w:type="dxa"/>
            <w:gridSpan w:val="2"/>
            <w:tcBorders>
              <w:top w:val="nil"/>
              <w:left w:val="nil"/>
              <w:bottom w:val="nil"/>
              <w:right w:val="nil"/>
            </w:tcBorders>
            <w:shd w:val="clear" w:color="auto" w:fill="auto"/>
            <w:vAlign w:val="center"/>
            <w:hideMark/>
          </w:tcPr>
          <w:p w14:paraId="3E55398A" w14:textId="77777777" w:rsidR="00FF0FCE" w:rsidRPr="008C5DE9" w:rsidRDefault="00FF0FCE" w:rsidP="00E607DA">
            <w:pPr>
              <w:jc w:val="center"/>
              <w:rPr>
                <w:rFonts w:ascii="Meta Pro" w:eastAsia="Times New Roman" w:hAnsi="Meta Pro"/>
                <w:color w:val="000000"/>
                <w:szCs w:val="18"/>
                <w:lang w:eastAsia="en-AU"/>
              </w:rPr>
            </w:pPr>
          </w:p>
        </w:tc>
        <w:tc>
          <w:tcPr>
            <w:tcW w:w="1442" w:type="dxa"/>
            <w:vMerge w:val="restart"/>
            <w:tcBorders>
              <w:top w:val="nil"/>
              <w:left w:val="nil"/>
              <w:bottom w:val="nil"/>
              <w:right w:val="nil"/>
            </w:tcBorders>
            <w:shd w:val="clear" w:color="auto" w:fill="auto"/>
            <w:hideMark/>
          </w:tcPr>
          <w:p w14:paraId="668D2B96"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Notes about our Financial Performance</w:t>
            </w:r>
          </w:p>
        </w:tc>
        <w:tc>
          <w:tcPr>
            <w:tcW w:w="5236" w:type="dxa"/>
            <w:gridSpan w:val="5"/>
            <w:tcBorders>
              <w:top w:val="single" w:sz="4" w:space="0" w:color="auto"/>
              <w:left w:val="nil"/>
              <w:bottom w:val="nil"/>
              <w:right w:val="nil"/>
            </w:tcBorders>
            <w:shd w:val="clear" w:color="auto" w:fill="auto"/>
            <w:noWrap/>
            <w:hideMark/>
          </w:tcPr>
          <w:p w14:paraId="50CE0C22"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Income</w:t>
            </w:r>
          </w:p>
        </w:tc>
        <w:tc>
          <w:tcPr>
            <w:tcW w:w="1165" w:type="dxa"/>
            <w:gridSpan w:val="2"/>
            <w:tcBorders>
              <w:top w:val="single" w:sz="4" w:space="0" w:color="auto"/>
              <w:left w:val="nil"/>
              <w:bottom w:val="nil"/>
              <w:right w:val="nil"/>
            </w:tcBorders>
            <w:shd w:val="clear" w:color="auto" w:fill="auto"/>
            <w:noWrap/>
            <w:vAlign w:val="center"/>
            <w:hideMark/>
          </w:tcPr>
          <w:p w14:paraId="0BB44ABF" w14:textId="77777777" w:rsidR="00FF0FCE" w:rsidRPr="008C5DE9" w:rsidRDefault="00FF0FCE" w:rsidP="00E607DA">
            <w:pPr>
              <w:jc w:val="center"/>
              <w:rPr>
                <w:rFonts w:ascii="Meta Pro" w:eastAsia="Times New Roman" w:hAnsi="Meta Pro"/>
                <w:color w:val="000000"/>
                <w:szCs w:val="18"/>
                <w:lang w:eastAsia="en-AU"/>
              </w:rPr>
            </w:pPr>
            <w:r w:rsidRPr="008C5DE9">
              <w:rPr>
                <w:rFonts w:ascii="Meta Pro" w:eastAsia="Times New Roman" w:hAnsi="Meta Pro"/>
                <w:color w:val="000000"/>
                <w:szCs w:val="18"/>
                <w:lang w:eastAsia="en-AU"/>
              </w:rPr>
              <w:t> </w:t>
            </w:r>
          </w:p>
        </w:tc>
      </w:tr>
      <w:tr w:rsidR="00FF0FCE" w:rsidRPr="008C5DE9" w14:paraId="688AA3F6" w14:textId="77777777" w:rsidTr="00EE4927">
        <w:trPr>
          <w:gridAfter w:val="1"/>
          <w:wAfter w:w="568" w:type="dxa"/>
          <w:trHeight w:val="23"/>
        </w:trPr>
        <w:tc>
          <w:tcPr>
            <w:tcW w:w="1227" w:type="dxa"/>
            <w:gridSpan w:val="2"/>
            <w:tcBorders>
              <w:top w:val="nil"/>
              <w:left w:val="nil"/>
              <w:bottom w:val="nil"/>
              <w:right w:val="nil"/>
            </w:tcBorders>
            <w:shd w:val="clear" w:color="auto" w:fill="auto"/>
            <w:vAlign w:val="center"/>
            <w:hideMark/>
          </w:tcPr>
          <w:p w14:paraId="1F081761" w14:textId="77777777" w:rsidR="00FF0FCE" w:rsidRPr="008C5DE9" w:rsidRDefault="00FF0FCE" w:rsidP="00E607DA">
            <w:pPr>
              <w:jc w:val="center"/>
              <w:rPr>
                <w:rFonts w:ascii="Meta Pro" w:eastAsia="Times New Roman" w:hAnsi="Meta Pro"/>
                <w:color w:val="000000"/>
                <w:szCs w:val="18"/>
                <w:lang w:eastAsia="en-AU"/>
              </w:rPr>
            </w:pPr>
          </w:p>
        </w:tc>
        <w:tc>
          <w:tcPr>
            <w:tcW w:w="1442" w:type="dxa"/>
            <w:vMerge/>
            <w:tcBorders>
              <w:top w:val="nil"/>
              <w:left w:val="nil"/>
              <w:bottom w:val="nil"/>
              <w:right w:val="nil"/>
            </w:tcBorders>
            <w:vAlign w:val="center"/>
            <w:hideMark/>
          </w:tcPr>
          <w:p w14:paraId="1475A13C" w14:textId="77777777" w:rsidR="00FF0FCE" w:rsidRPr="008C5DE9" w:rsidRDefault="00FF0FCE" w:rsidP="00E607DA">
            <w:pPr>
              <w:rPr>
                <w:rFonts w:ascii="Meta Pro" w:eastAsia="Times New Roman" w:hAnsi="Meta Pro"/>
                <w:color w:val="000000"/>
                <w:szCs w:val="18"/>
                <w:lang w:eastAsia="en-AU"/>
              </w:rPr>
            </w:pPr>
          </w:p>
        </w:tc>
        <w:tc>
          <w:tcPr>
            <w:tcW w:w="428" w:type="dxa"/>
            <w:tcBorders>
              <w:top w:val="nil"/>
              <w:left w:val="nil"/>
              <w:bottom w:val="nil"/>
              <w:right w:val="nil"/>
            </w:tcBorders>
            <w:shd w:val="clear" w:color="auto" w:fill="auto"/>
            <w:noWrap/>
            <w:vAlign w:val="center"/>
            <w:hideMark/>
          </w:tcPr>
          <w:p w14:paraId="7FB728B9" w14:textId="77777777" w:rsidR="00FF0FCE" w:rsidRPr="008C5DE9" w:rsidRDefault="00FF0FCE" w:rsidP="00E607DA">
            <w:pPr>
              <w:jc w:val="right"/>
              <w:rPr>
                <w:rFonts w:ascii="Meta Pro" w:eastAsia="Times New Roman" w:hAnsi="Meta Pro"/>
                <w:color w:val="000000"/>
                <w:szCs w:val="18"/>
                <w:lang w:eastAsia="en-AU"/>
              </w:rPr>
            </w:pPr>
            <w:r w:rsidRPr="008C5DE9">
              <w:rPr>
                <w:rFonts w:ascii="Meta Pro" w:eastAsia="Times New Roman" w:hAnsi="Meta Pro"/>
                <w:color w:val="000000"/>
                <w:szCs w:val="18"/>
                <w:lang w:eastAsia="en-AU"/>
              </w:rPr>
              <w:t>2</w:t>
            </w:r>
          </w:p>
        </w:tc>
        <w:tc>
          <w:tcPr>
            <w:tcW w:w="4808" w:type="dxa"/>
            <w:gridSpan w:val="4"/>
            <w:tcBorders>
              <w:top w:val="nil"/>
              <w:left w:val="nil"/>
              <w:bottom w:val="nil"/>
              <w:right w:val="nil"/>
            </w:tcBorders>
            <w:shd w:val="clear" w:color="auto" w:fill="auto"/>
            <w:noWrap/>
            <w:vAlign w:val="center"/>
            <w:hideMark/>
          </w:tcPr>
          <w:p w14:paraId="30A24EAC"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Appropriations</w:t>
            </w:r>
          </w:p>
        </w:tc>
        <w:tc>
          <w:tcPr>
            <w:tcW w:w="1165" w:type="dxa"/>
            <w:gridSpan w:val="2"/>
            <w:tcBorders>
              <w:top w:val="nil"/>
              <w:left w:val="nil"/>
              <w:bottom w:val="nil"/>
              <w:right w:val="nil"/>
            </w:tcBorders>
            <w:shd w:val="clear" w:color="auto" w:fill="auto"/>
            <w:noWrap/>
            <w:vAlign w:val="center"/>
            <w:hideMark/>
          </w:tcPr>
          <w:p w14:paraId="5DB0F3ED" w14:textId="77777777" w:rsidR="00FF0FCE" w:rsidRPr="008C5DE9" w:rsidRDefault="00FF0FCE" w:rsidP="00E607DA">
            <w:pPr>
              <w:jc w:val="center"/>
              <w:rPr>
                <w:rFonts w:ascii="Meta Pro" w:eastAsia="Times New Roman" w:hAnsi="Meta Pro"/>
                <w:color w:val="000000"/>
                <w:szCs w:val="18"/>
                <w:lang w:eastAsia="en-AU"/>
              </w:rPr>
            </w:pPr>
            <w:r>
              <w:rPr>
                <w:rFonts w:ascii="Meta Pro" w:eastAsia="Times New Roman" w:hAnsi="Meta Pro"/>
                <w:color w:val="000000"/>
                <w:szCs w:val="18"/>
                <w:lang w:eastAsia="en-AU"/>
              </w:rPr>
              <w:t>156</w:t>
            </w:r>
          </w:p>
        </w:tc>
      </w:tr>
      <w:tr w:rsidR="00FF0FCE" w:rsidRPr="008C5DE9" w14:paraId="2648CB92"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center"/>
            <w:hideMark/>
          </w:tcPr>
          <w:p w14:paraId="29C0FE8B" w14:textId="77777777" w:rsidR="00FF0FCE" w:rsidRPr="008C5DE9" w:rsidRDefault="00FF0FCE" w:rsidP="00E607DA">
            <w:pPr>
              <w:jc w:val="center"/>
              <w:rPr>
                <w:rFonts w:ascii="Meta Pro" w:eastAsia="Times New Roman" w:hAnsi="Meta Pro"/>
                <w:color w:val="000000"/>
                <w:szCs w:val="18"/>
                <w:lang w:eastAsia="en-AU"/>
              </w:rPr>
            </w:pPr>
          </w:p>
        </w:tc>
        <w:tc>
          <w:tcPr>
            <w:tcW w:w="1442" w:type="dxa"/>
            <w:vMerge/>
            <w:tcBorders>
              <w:top w:val="nil"/>
              <w:left w:val="nil"/>
              <w:bottom w:val="nil"/>
              <w:right w:val="nil"/>
            </w:tcBorders>
            <w:vAlign w:val="center"/>
            <w:hideMark/>
          </w:tcPr>
          <w:p w14:paraId="6BF1DCBB" w14:textId="77777777" w:rsidR="00FF0FCE" w:rsidRPr="008C5DE9" w:rsidRDefault="00FF0FCE" w:rsidP="00E607DA">
            <w:pPr>
              <w:rPr>
                <w:rFonts w:ascii="Meta Pro" w:eastAsia="Times New Roman" w:hAnsi="Meta Pro"/>
                <w:color w:val="000000"/>
                <w:szCs w:val="18"/>
                <w:lang w:eastAsia="en-AU"/>
              </w:rPr>
            </w:pPr>
          </w:p>
        </w:tc>
        <w:tc>
          <w:tcPr>
            <w:tcW w:w="428" w:type="dxa"/>
            <w:tcBorders>
              <w:top w:val="nil"/>
              <w:left w:val="nil"/>
              <w:bottom w:val="nil"/>
              <w:right w:val="nil"/>
            </w:tcBorders>
            <w:shd w:val="clear" w:color="auto" w:fill="auto"/>
            <w:noWrap/>
            <w:vAlign w:val="center"/>
            <w:hideMark/>
          </w:tcPr>
          <w:p w14:paraId="38ADE1A7" w14:textId="77777777" w:rsidR="00FF0FCE" w:rsidRPr="008C5DE9" w:rsidRDefault="00FF0FCE" w:rsidP="00E607DA">
            <w:pPr>
              <w:jc w:val="right"/>
              <w:rPr>
                <w:rFonts w:ascii="Meta Pro" w:eastAsia="Times New Roman" w:hAnsi="Meta Pro"/>
                <w:color w:val="000000"/>
                <w:szCs w:val="18"/>
                <w:lang w:eastAsia="en-AU"/>
              </w:rPr>
            </w:pPr>
            <w:r w:rsidRPr="008C5DE9">
              <w:rPr>
                <w:rFonts w:ascii="Meta Pro" w:eastAsia="Times New Roman" w:hAnsi="Meta Pro"/>
                <w:color w:val="000000"/>
                <w:szCs w:val="18"/>
                <w:lang w:eastAsia="en-AU"/>
              </w:rPr>
              <w:t>3</w:t>
            </w:r>
          </w:p>
        </w:tc>
        <w:tc>
          <w:tcPr>
            <w:tcW w:w="4808" w:type="dxa"/>
            <w:gridSpan w:val="4"/>
            <w:tcBorders>
              <w:top w:val="nil"/>
              <w:left w:val="nil"/>
              <w:bottom w:val="nil"/>
              <w:right w:val="nil"/>
            </w:tcBorders>
            <w:shd w:val="clear" w:color="auto" w:fill="auto"/>
            <w:noWrap/>
            <w:vAlign w:val="center"/>
            <w:hideMark/>
          </w:tcPr>
          <w:p w14:paraId="01B696EB"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User charges and fees</w:t>
            </w:r>
          </w:p>
        </w:tc>
        <w:tc>
          <w:tcPr>
            <w:tcW w:w="1165" w:type="dxa"/>
            <w:gridSpan w:val="2"/>
            <w:tcBorders>
              <w:top w:val="nil"/>
              <w:left w:val="nil"/>
              <w:bottom w:val="nil"/>
              <w:right w:val="nil"/>
            </w:tcBorders>
            <w:shd w:val="clear" w:color="auto" w:fill="auto"/>
            <w:noWrap/>
            <w:vAlign w:val="center"/>
            <w:hideMark/>
          </w:tcPr>
          <w:p w14:paraId="54C86147" w14:textId="77777777" w:rsidR="00FF0FCE" w:rsidRPr="008C5DE9" w:rsidRDefault="00FF0FCE" w:rsidP="00E607DA">
            <w:pPr>
              <w:jc w:val="center"/>
              <w:rPr>
                <w:rFonts w:ascii="Meta Pro" w:eastAsia="Times New Roman" w:hAnsi="Meta Pro"/>
                <w:color w:val="000000"/>
                <w:szCs w:val="18"/>
                <w:lang w:eastAsia="en-AU"/>
              </w:rPr>
            </w:pPr>
            <w:r w:rsidRPr="008C5DE9">
              <w:rPr>
                <w:rFonts w:ascii="Meta Pro" w:eastAsia="Times New Roman" w:hAnsi="Meta Pro"/>
                <w:color w:val="000000"/>
                <w:szCs w:val="18"/>
                <w:lang w:eastAsia="en-AU"/>
              </w:rPr>
              <w:t>1</w:t>
            </w:r>
            <w:r>
              <w:rPr>
                <w:rFonts w:ascii="Meta Pro" w:eastAsia="Times New Roman" w:hAnsi="Meta Pro"/>
                <w:color w:val="000000"/>
                <w:szCs w:val="18"/>
                <w:lang w:eastAsia="en-AU"/>
              </w:rPr>
              <w:t>56</w:t>
            </w:r>
          </w:p>
        </w:tc>
      </w:tr>
      <w:tr w:rsidR="00FF0FCE" w:rsidRPr="008C5DE9" w14:paraId="09AEC141"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center"/>
            <w:hideMark/>
          </w:tcPr>
          <w:p w14:paraId="51B6644C" w14:textId="77777777" w:rsidR="00FF0FCE" w:rsidRPr="008C5DE9" w:rsidRDefault="00FF0FCE" w:rsidP="00E607DA">
            <w:pPr>
              <w:jc w:val="center"/>
              <w:rPr>
                <w:rFonts w:ascii="Meta Pro" w:eastAsia="Times New Roman" w:hAnsi="Meta Pro"/>
                <w:color w:val="000000"/>
                <w:szCs w:val="18"/>
                <w:lang w:eastAsia="en-AU"/>
              </w:rPr>
            </w:pPr>
          </w:p>
        </w:tc>
        <w:tc>
          <w:tcPr>
            <w:tcW w:w="1442" w:type="dxa"/>
            <w:vMerge/>
            <w:tcBorders>
              <w:top w:val="nil"/>
              <w:left w:val="nil"/>
              <w:bottom w:val="nil"/>
              <w:right w:val="nil"/>
            </w:tcBorders>
            <w:vAlign w:val="center"/>
            <w:hideMark/>
          </w:tcPr>
          <w:p w14:paraId="5D32A3A8" w14:textId="77777777" w:rsidR="00FF0FCE" w:rsidRPr="008C5DE9" w:rsidRDefault="00FF0FCE" w:rsidP="00E607DA">
            <w:pPr>
              <w:rPr>
                <w:rFonts w:ascii="Meta Pro" w:eastAsia="Times New Roman" w:hAnsi="Meta Pro"/>
                <w:color w:val="000000"/>
                <w:szCs w:val="18"/>
                <w:lang w:eastAsia="en-AU"/>
              </w:rPr>
            </w:pPr>
          </w:p>
        </w:tc>
        <w:tc>
          <w:tcPr>
            <w:tcW w:w="428" w:type="dxa"/>
            <w:tcBorders>
              <w:top w:val="nil"/>
              <w:left w:val="nil"/>
              <w:bottom w:val="nil"/>
              <w:right w:val="nil"/>
            </w:tcBorders>
            <w:shd w:val="clear" w:color="auto" w:fill="auto"/>
            <w:noWrap/>
            <w:vAlign w:val="center"/>
            <w:hideMark/>
          </w:tcPr>
          <w:p w14:paraId="7ABD3B05" w14:textId="77777777" w:rsidR="00FF0FCE" w:rsidRPr="008C5DE9" w:rsidRDefault="00FF0FCE" w:rsidP="00E607DA">
            <w:pPr>
              <w:jc w:val="right"/>
              <w:rPr>
                <w:rFonts w:ascii="Meta Pro" w:eastAsia="Times New Roman" w:hAnsi="Meta Pro"/>
                <w:color w:val="000000"/>
                <w:szCs w:val="18"/>
                <w:lang w:eastAsia="en-AU"/>
              </w:rPr>
            </w:pPr>
            <w:r w:rsidRPr="008C5DE9">
              <w:rPr>
                <w:rFonts w:ascii="Meta Pro" w:eastAsia="Times New Roman" w:hAnsi="Meta Pro"/>
                <w:color w:val="000000"/>
                <w:szCs w:val="18"/>
                <w:lang w:eastAsia="en-AU"/>
              </w:rPr>
              <w:t>4</w:t>
            </w:r>
          </w:p>
        </w:tc>
        <w:tc>
          <w:tcPr>
            <w:tcW w:w="4808" w:type="dxa"/>
            <w:gridSpan w:val="4"/>
            <w:tcBorders>
              <w:top w:val="nil"/>
              <w:left w:val="nil"/>
              <w:bottom w:val="nil"/>
              <w:right w:val="nil"/>
            </w:tcBorders>
            <w:shd w:val="clear" w:color="auto" w:fill="auto"/>
            <w:noWrap/>
            <w:vAlign w:val="center"/>
            <w:hideMark/>
          </w:tcPr>
          <w:p w14:paraId="488E2A99"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Grants and other contributions</w:t>
            </w:r>
          </w:p>
        </w:tc>
        <w:tc>
          <w:tcPr>
            <w:tcW w:w="1165" w:type="dxa"/>
            <w:gridSpan w:val="2"/>
            <w:tcBorders>
              <w:top w:val="nil"/>
              <w:left w:val="nil"/>
              <w:bottom w:val="nil"/>
              <w:right w:val="nil"/>
            </w:tcBorders>
            <w:shd w:val="clear" w:color="auto" w:fill="auto"/>
            <w:noWrap/>
            <w:vAlign w:val="center"/>
            <w:hideMark/>
          </w:tcPr>
          <w:p w14:paraId="11050C1F" w14:textId="77777777" w:rsidR="00FF0FCE" w:rsidRPr="008C5DE9" w:rsidRDefault="00FF0FCE" w:rsidP="00E607DA">
            <w:pPr>
              <w:jc w:val="center"/>
              <w:rPr>
                <w:rFonts w:ascii="Meta Pro" w:eastAsia="Times New Roman" w:hAnsi="Meta Pro"/>
                <w:color w:val="000000"/>
                <w:szCs w:val="18"/>
                <w:lang w:eastAsia="en-AU"/>
              </w:rPr>
            </w:pPr>
            <w:r w:rsidRPr="008C5DE9">
              <w:rPr>
                <w:rFonts w:ascii="Meta Pro" w:eastAsia="Times New Roman" w:hAnsi="Meta Pro"/>
                <w:color w:val="000000"/>
                <w:szCs w:val="18"/>
                <w:lang w:eastAsia="en-AU"/>
              </w:rPr>
              <w:t>1</w:t>
            </w:r>
            <w:r>
              <w:rPr>
                <w:rFonts w:ascii="Meta Pro" w:eastAsia="Times New Roman" w:hAnsi="Meta Pro"/>
                <w:color w:val="000000"/>
                <w:szCs w:val="18"/>
                <w:lang w:eastAsia="en-AU"/>
              </w:rPr>
              <w:t>57</w:t>
            </w:r>
          </w:p>
        </w:tc>
      </w:tr>
      <w:tr w:rsidR="00FF0FCE" w:rsidRPr="008C5DE9" w14:paraId="30FFB981"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center"/>
            <w:hideMark/>
          </w:tcPr>
          <w:p w14:paraId="103892BD" w14:textId="77777777" w:rsidR="00FF0FCE" w:rsidRPr="008C5DE9" w:rsidRDefault="00FF0FCE" w:rsidP="00E607DA">
            <w:pPr>
              <w:jc w:val="center"/>
              <w:rPr>
                <w:rFonts w:ascii="Meta Pro" w:eastAsia="Times New Roman" w:hAnsi="Meta Pro"/>
                <w:color w:val="000000"/>
                <w:szCs w:val="18"/>
                <w:lang w:eastAsia="en-AU"/>
              </w:rPr>
            </w:pPr>
          </w:p>
        </w:tc>
        <w:tc>
          <w:tcPr>
            <w:tcW w:w="1442" w:type="dxa"/>
            <w:tcBorders>
              <w:top w:val="nil"/>
              <w:left w:val="nil"/>
              <w:bottom w:val="nil"/>
              <w:right w:val="nil"/>
            </w:tcBorders>
            <w:shd w:val="clear" w:color="auto" w:fill="auto"/>
            <w:vAlign w:val="center"/>
            <w:hideMark/>
          </w:tcPr>
          <w:p w14:paraId="65621202" w14:textId="77777777" w:rsidR="00FF0FCE" w:rsidRPr="008C5DE9" w:rsidRDefault="00FF0FCE" w:rsidP="00E607DA">
            <w:pPr>
              <w:rPr>
                <w:rFonts w:eastAsia="Times New Roman" w:cs="Times New Roman"/>
                <w:sz w:val="20"/>
                <w:szCs w:val="20"/>
                <w:lang w:eastAsia="en-AU"/>
              </w:rPr>
            </w:pPr>
          </w:p>
        </w:tc>
        <w:tc>
          <w:tcPr>
            <w:tcW w:w="5236" w:type="dxa"/>
            <w:gridSpan w:val="5"/>
            <w:tcBorders>
              <w:top w:val="nil"/>
              <w:left w:val="nil"/>
              <w:bottom w:val="nil"/>
              <w:right w:val="nil"/>
            </w:tcBorders>
            <w:shd w:val="clear" w:color="auto" w:fill="auto"/>
            <w:noWrap/>
            <w:hideMark/>
          </w:tcPr>
          <w:p w14:paraId="7E59BD26" w14:textId="77777777" w:rsidR="00FF0FCE" w:rsidRPr="008C5DE9" w:rsidRDefault="00FF0FCE" w:rsidP="00E607DA">
            <w:pPr>
              <w:rPr>
                <w:rFonts w:ascii="Meta Pro" w:eastAsia="Times New Roman" w:hAnsi="Meta Pro"/>
                <w:szCs w:val="18"/>
                <w:lang w:eastAsia="en-AU"/>
              </w:rPr>
            </w:pPr>
            <w:r w:rsidRPr="008C5DE9">
              <w:rPr>
                <w:rFonts w:ascii="Meta Pro" w:eastAsia="Times New Roman" w:hAnsi="Meta Pro"/>
                <w:szCs w:val="18"/>
                <w:lang w:eastAsia="en-AU"/>
              </w:rPr>
              <w:t>Expenses</w:t>
            </w:r>
          </w:p>
        </w:tc>
        <w:tc>
          <w:tcPr>
            <w:tcW w:w="1165" w:type="dxa"/>
            <w:gridSpan w:val="2"/>
            <w:tcBorders>
              <w:top w:val="nil"/>
              <w:left w:val="nil"/>
              <w:bottom w:val="nil"/>
              <w:right w:val="nil"/>
            </w:tcBorders>
            <w:shd w:val="clear" w:color="auto" w:fill="auto"/>
            <w:noWrap/>
            <w:vAlign w:val="center"/>
            <w:hideMark/>
          </w:tcPr>
          <w:p w14:paraId="53BA669F" w14:textId="77777777" w:rsidR="00FF0FCE" w:rsidRPr="008C5DE9" w:rsidRDefault="00FF0FCE" w:rsidP="00E607DA">
            <w:pPr>
              <w:rPr>
                <w:rFonts w:ascii="Meta Pro" w:eastAsia="Times New Roman" w:hAnsi="Meta Pro"/>
                <w:szCs w:val="18"/>
                <w:lang w:eastAsia="en-AU"/>
              </w:rPr>
            </w:pPr>
          </w:p>
        </w:tc>
      </w:tr>
      <w:tr w:rsidR="00FF0FCE" w:rsidRPr="008C5DE9" w14:paraId="75F6761B"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center"/>
            <w:hideMark/>
          </w:tcPr>
          <w:p w14:paraId="5D7C583D" w14:textId="77777777" w:rsidR="00FF0FCE" w:rsidRPr="008C5DE9" w:rsidRDefault="00FF0FCE" w:rsidP="00E607DA">
            <w:pPr>
              <w:jc w:val="center"/>
              <w:rPr>
                <w:rFonts w:eastAsia="Times New Roman" w:cs="Times New Roman"/>
                <w:sz w:val="20"/>
                <w:szCs w:val="20"/>
                <w:lang w:eastAsia="en-AU"/>
              </w:rPr>
            </w:pPr>
          </w:p>
        </w:tc>
        <w:tc>
          <w:tcPr>
            <w:tcW w:w="1442" w:type="dxa"/>
            <w:tcBorders>
              <w:top w:val="nil"/>
              <w:left w:val="nil"/>
              <w:bottom w:val="nil"/>
              <w:right w:val="nil"/>
            </w:tcBorders>
            <w:shd w:val="clear" w:color="auto" w:fill="auto"/>
            <w:noWrap/>
            <w:vAlign w:val="center"/>
            <w:hideMark/>
          </w:tcPr>
          <w:p w14:paraId="0651F5DA" w14:textId="77777777" w:rsidR="00FF0FCE" w:rsidRPr="008C5DE9" w:rsidRDefault="00FF0FCE" w:rsidP="00E607DA">
            <w:pPr>
              <w:rPr>
                <w:rFonts w:eastAsia="Times New Roman" w:cs="Times New Roman"/>
                <w:sz w:val="20"/>
                <w:szCs w:val="20"/>
                <w:lang w:eastAsia="en-AU"/>
              </w:rPr>
            </w:pPr>
          </w:p>
        </w:tc>
        <w:tc>
          <w:tcPr>
            <w:tcW w:w="428" w:type="dxa"/>
            <w:tcBorders>
              <w:top w:val="nil"/>
              <w:left w:val="nil"/>
              <w:bottom w:val="nil"/>
              <w:right w:val="nil"/>
            </w:tcBorders>
            <w:shd w:val="clear" w:color="auto" w:fill="auto"/>
            <w:noWrap/>
            <w:vAlign w:val="center"/>
            <w:hideMark/>
          </w:tcPr>
          <w:p w14:paraId="11516FEF" w14:textId="77777777" w:rsidR="00FF0FCE" w:rsidRPr="008C5DE9" w:rsidRDefault="00FF0FCE" w:rsidP="00E607DA">
            <w:pPr>
              <w:jc w:val="right"/>
              <w:rPr>
                <w:rFonts w:ascii="Meta Pro" w:eastAsia="Times New Roman" w:hAnsi="Meta Pro"/>
                <w:color w:val="000000"/>
                <w:szCs w:val="18"/>
                <w:lang w:eastAsia="en-AU"/>
              </w:rPr>
            </w:pPr>
            <w:r w:rsidRPr="008C5DE9">
              <w:rPr>
                <w:rFonts w:ascii="Meta Pro" w:eastAsia="Times New Roman" w:hAnsi="Meta Pro"/>
                <w:color w:val="000000"/>
                <w:szCs w:val="18"/>
                <w:lang w:eastAsia="en-AU"/>
              </w:rPr>
              <w:t>5</w:t>
            </w:r>
          </w:p>
        </w:tc>
        <w:tc>
          <w:tcPr>
            <w:tcW w:w="4808" w:type="dxa"/>
            <w:gridSpan w:val="4"/>
            <w:tcBorders>
              <w:top w:val="nil"/>
              <w:left w:val="nil"/>
              <w:bottom w:val="nil"/>
              <w:right w:val="nil"/>
            </w:tcBorders>
            <w:shd w:val="clear" w:color="auto" w:fill="auto"/>
            <w:noWrap/>
            <w:vAlign w:val="center"/>
            <w:hideMark/>
          </w:tcPr>
          <w:p w14:paraId="7C3FDF17"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Employee expenses</w:t>
            </w:r>
          </w:p>
        </w:tc>
        <w:tc>
          <w:tcPr>
            <w:tcW w:w="1165" w:type="dxa"/>
            <w:gridSpan w:val="2"/>
            <w:tcBorders>
              <w:top w:val="nil"/>
              <w:left w:val="nil"/>
              <w:bottom w:val="nil"/>
              <w:right w:val="nil"/>
            </w:tcBorders>
            <w:shd w:val="clear" w:color="auto" w:fill="auto"/>
            <w:noWrap/>
            <w:vAlign w:val="center"/>
            <w:hideMark/>
          </w:tcPr>
          <w:p w14:paraId="395E6932" w14:textId="77777777" w:rsidR="00FF0FCE" w:rsidRPr="008C5DE9" w:rsidRDefault="00FF0FCE" w:rsidP="00E607DA">
            <w:pPr>
              <w:jc w:val="center"/>
              <w:rPr>
                <w:rFonts w:ascii="Meta Pro" w:eastAsia="Times New Roman" w:hAnsi="Meta Pro"/>
                <w:color w:val="000000"/>
                <w:szCs w:val="18"/>
                <w:lang w:eastAsia="en-AU"/>
              </w:rPr>
            </w:pPr>
            <w:r w:rsidRPr="008C5DE9">
              <w:rPr>
                <w:rFonts w:ascii="Meta Pro" w:eastAsia="Times New Roman" w:hAnsi="Meta Pro"/>
                <w:color w:val="000000"/>
                <w:szCs w:val="18"/>
                <w:lang w:eastAsia="en-AU"/>
              </w:rPr>
              <w:t>1</w:t>
            </w:r>
            <w:r>
              <w:rPr>
                <w:rFonts w:ascii="Meta Pro" w:eastAsia="Times New Roman" w:hAnsi="Meta Pro"/>
                <w:color w:val="000000"/>
                <w:szCs w:val="18"/>
                <w:lang w:eastAsia="en-AU"/>
              </w:rPr>
              <w:t>57</w:t>
            </w:r>
          </w:p>
        </w:tc>
      </w:tr>
      <w:tr w:rsidR="00FF0FCE" w:rsidRPr="008C5DE9" w14:paraId="05C7ADE0"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center"/>
            <w:hideMark/>
          </w:tcPr>
          <w:p w14:paraId="0B1DECF0" w14:textId="77777777" w:rsidR="00FF0FCE" w:rsidRPr="008C5DE9" w:rsidRDefault="00FF0FCE" w:rsidP="00E607DA">
            <w:pPr>
              <w:jc w:val="center"/>
              <w:rPr>
                <w:rFonts w:ascii="Meta Pro" w:eastAsia="Times New Roman" w:hAnsi="Meta Pro"/>
                <w:color w:val="000000"/>
                <w:szCs w:val="18"/>
                <w:lang w:eastAsia="en-AU"/>
              </w:rPr>
            </w:pPr>
          </w:p>
        </w:tc>
        <w:tc>
          <w:tcPr>
            <w:tcW w:w="1442" w:type="dxa"/>
            <w:tcBorders>
              <w:top w:val="nil"/>
              <w:left w:val="nil"/>
              <w:bottom w:val="nil"/>
              <w:right w:val="nil"/>
            </w:tcBorders>
            <w:shd w:val="clear" w:color="auto" w:fill="auto"/>
            <w:noWrap/>
            <w:vAlign w:val="center"/>
            <w:hideMark/>
          </w:tcPr>
          <w:p w14:paraId="161761DF" w14:textId="77777777" w:rsidR="00FF0FCE" w:rsidRPr="008C5DE9" w:rsidRDefault="00FF0FCE" w:rsidP="00E607DA">
            <w:pPr>
              <w:rPr>
                <w:rFonts w:eastAsia="Times New Roman" w:cs="Times New Roman"/>
                <w:sz w:val="20"/>
                <w:szCs w:val="20"/>
                <w:lang w:eastAsia="en-AU"/>
              </w:rPr>
            </w:pPr>
          </w:p>
        </w:tc>
        <w:tc>
          <w:tcPr>
            <w:tcW w:w="428" w:type="dxa"/>
            <w:tcBorders>
              <w:top w:val="nil"/>
              <w:left w:val="nil"/>
              <w:bottom w:val="nil"/>
              <w:right w:val="nil"/>
            </w:tcBorders>
            <w:shd w:val="clear" w:color="auto" w:fill="auto"/>
            <w:noWrap/>
            <w:vAlign w:val="center"/>
            <w:hideMark/>
          </w:tcPr>
          <w:p w14:paraId="1A1261B6" w14:textId="77777777" w:rsidR="00FF0FCE" w:rsidRPr="008C5DE9" w:rsidRDefault="00FF0FCE" w:rsidP="00E607DA">
            <w:pPr>
              <w:jc w:val="right"/>
              <w:rPr>
                <w:rFonts w:ascii="Meta Pro" w:eastAsia="Times New Roman" w:hAnsi="Meta Pro"/>
                <w:color w:val="000000"/>
                <w:szCs w:val="18"/>
                <w:lang w:eastAsia="en-AU"/>
              </w:rPr>
            </w:pPr>
            <w:r w:rsidRPr="008C5DE9">
              <w:rPr>
                <w:rFonts w:ascii="Meta Pro" w:eastAsia="Times New Roman" w:hAnsi="Meta Pro"/>
                <w:color w:val="000000"/>
                <w:szCs w:val="18"/>
                <w:lang w:eastAsia="en-AU"/>
              </w:rPr>
              <w:t>6</w:t>
            </w:r>
          </w:p>
        </w:tc>
        <w:tc>
          <w:tcPr>
            <w:tcW w:w="4808" w:type="dxa"/>
            <w:gridSpan w:val="4"/>
            <w:tcBorders>
              <w:top w:val="nil"/>
              <w:left w:val="nil"/>
              <w:bottom w:val="nil"/>
              <w:right w:val="nil"/>
            </w:tcBorders>
            <w:shd w:val="clear" w:color="auto" w:fill="auto"/>
            <w:noWrap/>
            <w:vAlign w:val="center"/>
            <w:hideMark/>
          </w:tcPr>
          <w:p w14:paraId="4E3B3159"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Key management personnel and remuneration expenses</w:t>
            </w:r>
          </w:p>
        </w:tc>
        <w:tc>
          <w:tcPr>
            <w:tcW w:w="1165" w:type="dxa"/>
            <w:gridSpan w:val="2"/>
            <w:tcBorders>
              <w:top w:val="nil"/>
              <w:left w:val="nil"/>
              <w:bottom w:val="nil"/>
              <w:right w:val="nil"/>
            </w:tcBorders>
            <w:shd w:val="clear" w:color="auto" w:fill="auto"/>
            <w:noWrap/>
            <w:vAlign w:val="center"/>
            <w:hideMark/>
          </w:tcPr>
          <w:p w14:paraId="4FE0FFF1" w14:textId="77777777" w:rsidR="00FF0FCE" w:rsidRPr="008C5DE9" w:rsidRDefault="00FF0FCE" w:rsidP="00E607DA">
            <w:pPr>
              <w:jc w:val="center"/>
              <w:rPr>
                <w:rFonts w:ascii="Meta Pro" w:eastAsia="Times New Roman" w:hAnsi="Meta Pro"/>
                <w:color w:val="000000"/>
                <w:szCs w:val="18"/>
                <w:lang w:eastAsia="en-AU"/>
              </w:rPr>
            </w:pPr>
            <w:r w:rsidRPr="008C5DE9">
              <w:rPr>
                <w:rFonts w:ascii="Meta Pro" w:eastAsia="Times New Roman" w:hAnsi="Meta Pro"/>
                <w:color w:val="000000"/>
                <w:szCs w:val="18"/>
                <w:lang w:eastAsia="en-AU"/>
              </w:rPr>
              <w:t>15</w:t>
            </w:r>
            <w:r>
              <w:rPr>
                <w:rFonts w:ascii="Meta Pro" w:eastAsia="Times New Roman" w:hAnsi="Meta Pro"/>
                <w:color w:val="000000"/>
                <w:szCs w:val="18"/>
                <w:lang w:eastAsia="en-AU"/>
              </w:rPr>
              <w:t>8</w:t>
            </w:r>
          </w:p>
        </w:tc>
      </w:tr>
      <w:tr w:rsidR="00FF0FCE" w:rsidRPr="008C5DE9" w14:paraId="50C9842B"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center"/>
            <w:hideMark/>
          </w:tcPr>
          <w:p w14:paraId="58661E60" w14:textId="77777777" w:rsidR="00FF0FCE" w:rsidRPr="008C5DE9" w:rsidRDefault="00FF0FCE" w:rsidP="00E607DA">
            <w:pPr>
              <w:jc w:val="center"/>
              <w:rPr>
                <w:rFonts w:ascii="Meta Pro" w:eastAsia="Times New Roman" w:hAnsi="Meta Pro"/>
                <w:color w:val="000000"/>
                <w:szCs w:val="18"/>
                <w:lang w:eastAsia="en-AU"/>
              </w:rPr>
            </w:pPr>
          </w:p>
        </w:tc>
        <w:tc>
          <w:tcPr>
            <w:tcW w:w="1442" w:type="dxa"/>
            <w:tcBorders>
              <w:top w:val="nil"/>
              <w:left w:val="nil"/>
              <w:bottom w:val="nil"/>
              <w:right w:val="nil"/>
            </w:tcBorders>
            <w:shd w:val="clear" w:color="auto" w:fill="auto"/>
            <w:noWrap/>
            <w:vAlign w:val="center"/>
            <w:hideMark/>
          </w:tcPr>
          <w:p w14:paraId="60A824F6" w14:textId="77777777" w:rsidR="00FF0FCE" w:rsidRPr="008C5DE9" w:rsidRDefault="00FF0FCE" w:rsidP="00E607DA">
            <w:pPr>
              <w:rPr>
                <w:rFonts w:eastAsia="Times New Roman" w:cs="Times New Roman"/>
                <w:sz w:val="20"/>
                <w:szCs w:val="20"/>
                <w:lang w:eastAsia="en-AU"/>
              </w:rPr>
            </w:pPr>
          </w:p>
        </w:tc>
        <w:tc>
          <w:tcPr>
            <w:tcW w:w="428" w:type="dxa"/>
            <w:tcBorders>
              <w:top w:val="nil"/>
              <w:left w:val="nil"/>
              <w:bottom w:val="nil"/>
              <w:right w:val="nil"/>
            </w:tcBorders>
            <w:shd w:val="clear" w:color="auto" w:fill="auto"/>
            <w:noWrap/>
            <w:vAlign w:val="center"/>
            <w:hideMark/>
          </w:tcPr>
          <w:p w14:paraId="2D9ED446" w14:textId="77777777" w:rsidR="00FF0FCE" w:rsidRPr="008C5DE9" w:rsidRDefault="00FF0FCE" w:rsidP="00E607DA">
            <w:pPr>
              <w:jc w:val="right"/>
              <w:rPr>
                <w:rFonts w:ascii="Meta Pro" w:eastAsia="Times New Roman" w:hAnsi="Meta Pro"/>
                <w:color w:val="000000"/>
                <w:szCs w:val="18"/>
                <w:lang w:eastAsia="en-AU"/>
              </w:rPr>
            </w:pPr>
            <w:r w:rsidRPr="008C5DE9">
              <w:rPr>
                <w:rFonts w:ascii="Meta Pro" w:eastAsia="Times New Roman" w:hAnsi="Meta Pro"/>
                <w:color w:val="000000"/>
                <w:szCs w:val="18"/>
                <w:lang w:eastAsia="en-AU"/>
              </w:rPr>
              <w:t>7</w:t>
            </w:r>
          </w:p>
        </w:tc>
        <w:tc>
          <w:tcPr>
            <w:tcW w:w="4808" w:type="dxa"/>
            <w:gridSpan w:val="4"/>
            <w:tcBorders>
              <w:top w:val="nil"/>
              <w:left w:val="nil"/>
              <w:bottom w:val="nil"/>
              <w:right w:val="nil"/>
            </w:tcBorders>
            <w:shd w:val="clear" w:color="auto" w:fill="auto"/>
            <w:noWrap/>
            <w:vAlign w:val="center"/>
            <w:hideMark/>
          </w:tcPr>
          <w:p w14:paraId="41425247"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Supplies and services</w:t>
            </w:r>
          </w:p>
        </w:tc>
        <w:tc>
          <w:tcPr>
            <w:tcW w:w="1165" w:type="dxa"/>
            <w:gridSpan w:val="2"/>
            <w:tcBorders>
              <w:top w:val="nil"/>
              <w:left w:val="nil"/>
              <w:bottom w:val="nil"/>
              <w:right w:val="nil"/>
            </w:tcBorders>
            <w:shd w:val="clear" w:color="auto" w:fill="auto"/>
            <w:noWrap/>
            <w:vAlign w:val="center"/>
            <w:hideMark/>
          </w:tcPr>
          <w:p w14:paraId="285B4742" w14:textId="77777777" w:rsidR="00FF0FCE" w:rsidRPr="008C5DE9" w:rsidRDefault="00FF0FCE" w:rsidP="00E607DA">
            <w:pPr>
              <w:jc w:val="center"/>
              <w:rPr>
                <w:rFonts w:ascii="Meta Pro" w:eastAsia="Times New Roman" w:hAnsi="Meta Pro"/>
                <w:color w:val="000000"/>
                <w:szCs w:val="18"/>
                <w:lang w:eastAsia="en-AU"/>
              </w:rPr>
            </w:pPr>
            <w:r w:rsidRPr="008C5DE9">
              <w:rPr>
                <w:rFonts w:ascii="Meta Pro" w:eastAsia="Times New Roman" w:hAnsi="Meta Pro"/>
                <w:color w:val="000000"/>
                <w:szCs w:val="18"/>
                <w:lang w:eastAsia="en-AU"/>
              </w:rPr>
              <w:t>1</w:t>
            </w:r>
            <w:r>
              <w:rPr>
                <w:rFonts w:ascii="Meta Pro" w:eastAsia="Times New Roman" w:hAnsi="Meta Pro"/>
                <w:color w:val="000000"/>
                <w:szCs w:val="18"/>
                <w:lang w:eastAsia="en-AU"/>
              </w:rPr>
              <w:t>59</w:t>
            </w:r>
          </w:p>
        </w:tc>
      </w:tr>
      <w:tr w:rsidR="00FF0FCE" w:rsidRPr="008C5DE9" w14:paraId="23AC2361"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center"/>
            <w:hideMark/>
          </w:tcPr>
          <w:p w14:paraId="5DE0539D" w14:textId="77777777" w:rsidR="00FF0FCE" w:rsidRPr="008C5DE9" w:rsidRDefault="00FF0FCE" w:rsidP="00E607DA">
            <w:pPr>
              <w:jc w:val="center"/>
              <w:rPr>
                <w:rFonts w:ascii="Meta Pro" w:eastAsia="Times New Roman" w:hAnsi="Meta Pro"/>
                <w:color w:val="000000"/>
                <w:szCs w:val="18"/>
                <w:lang w:eastAsia="en-AU"/>
              </w:rPr>
            </w:pPr>
          </w:p>
        </w:tc>
        <w:tc>
          <w:tcPr>
            <w:tcW w:w="1442" w:type="dxa"/>
            <w:tcBorders>
              <w:top w:val="nil"/>
              <w:left w:val="nil"/>
              <w:bottom w:val="nil"/>
              <w:right w:val="nil"/>
            </w:tcBorders>
            <w:shd w:val="clear" w:color="auto" w:fill="auto"/>
            <w:noWrap/>
            <w:vAlign w:val="center"/>
            <w:hideMark/>
          </w:tcPr>
          <w:p w14:paraId="01F4A0C1" w14:textId="77777777" w:rsidR="00FF0FCE" w:rsidRPr="008C5DE9" w:rsidRDefault="00FF0FCE" w:rsidP="00E607DA">
            <w:pPr>
              <w:rPr>
                <w:rFonts w:eastAsia="Times New Roman" w:cs="Times New Roman"/>
                <w:sz w:val="20"/>
                <w:szCs w:val="20"/>
                <w:lang w:eastAsia="en-AU"/>
              </w:rPr>
            </w:pPr>
          </w:p>
        </w:tc>
        <w:tc>
          <w:tcPr>
            <w:tcW w:w="428" w:type="dxa"/>
            <w:tcBorders>
              <w:top w:val="nil"/>
              <w:left w:val="nil"/>
              <w:bottom w:val="nil"/>
              <w:right w:val="nil"/>
            </w:tcBorders>
            <w:shd w:val="clear" w:color="auto" w:fill="auto"/>
            <w:noWrap/>
            <w:vAlign w:val="center"/>
            <w:hideMark/>
          </w:tcPr>
          <w:p w14:paraId="20C7C31D" w14:textId="77777777" w:rsidR="00FF0FCE" w:rsidRPr="008C5DE9" w:rsidRDefault="00FF0FCE" w:rsidP="00E607DA">
            <w:pPr>
              <w:jc w:val="right"/>
              <w:rPr>
                <w:rFonts w:ascii="Meta Pro" w:eastAsia="Times New Roman" w:hAnsi="Meta Pro"/>
                <w:color w:val="000000"/>
                <w:szCs w:val="18"/>
                <w:lang w:eastAsia="en-AU"/>
              </w:rPr>
            </w:pPr>
            <w:r w:rsidRPr="008C5DE9">
              <w:rPr>
                <w:rFonts w:ascii="Meta Pro" w:eastAsia="Times New Roman" w:hAnsi="Meta Pro"/>
                <w:color w:val="000000"/>
                <w:szCs w:val="18"/>
                <w:lang w:eastAsia="en-AU"/>
              </w:rPr>
              <w:t>8</w:t>
            </w:r>
          </w:p>
        </w:tc>
        <w:tc>
          <w:tcPr>
            <w:tcW w:w="4808" w:type="dxa"/>
            <w:gridSpan w:val="4"/>
            <w:tcBorders>
              <w:top w:val="nil"/>
              <w:left w:val="nil"/>
              <w:bottom w:val="nil"/>
              <w:right w:val="nil"/>
            </w:tcBorders>
            <w:shd w:val="clear" w:color="auto" w:fill="auto"/>
            <w:noWrap/>
            <w:vAlign w:val="center"/>
            <w:hideMark/>
          </w:tcPr>
          <w:p w14:paraId="2A94EF74"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Grants and subsidies</w:t>
            </w:r>
          </w:p>
        </w:tc>
        <w:tc>
          <w:tcPr>
            <w:tcW w:w="1165" w:type="dxa"/>
            <w:gridSpan w:val="2"/>
            <w:tcBorders>
              <w:top w:val="nil"/>
              <w:left w:val="nil"/>
              <w:bottom w:val="nil"/>
              <w:right w:val="nil"/>
            </w:tcBorders>
            <w:shd w:val="clear" w:color="auto" w:fill="auto"/>
            <w:noWrap/>
            <w:vAlign w:val="center"/>
            <w:hideMark/>
          </w:tcPr>
          <w:p w14:paraId="2EB2FD4C" w14:textId="77777777" w:rsidR="00FF0FCE" w:rsidRPr="008C5DE9" w:rsidRDefault="00FF0FCE" w:rsidP="00E607DA">
            <w:pPr>
              <w:jc w:val="center"/>
              <w:rPr>
                <w:rFonts w:ascii="Meta Pro" w:eastAsia="Times New Roman" w:hAnsi="Meta Pro"/>
                <w:color w:val="000000"/>
                <w:szCs w:val="18"/>
                <w:lang w:eastAsia="en-AU"/>
              </w:rPr>
            </w:pPr>
            <w:r w:rsidRPr="008C5DE9">
              <w:rPr>
                <w:rFonts w:ascii="Meta Pro" w:eastAsia="Times New Roman" w:hAnsi="Meta Pro"/>
                <w:color w:val="000000"/>
                <w:szCs w:val="18"/>
                <w:lang w:eastAsia="en-AU"/>
              </w:rPr>
              <w:t>1</w:t>
            </w:r>
            <w:r>
              <w:rPr>
                <w:rFonts w:ascii="Meta Pro" w:eastAsia="Times New Roman" w:hAnsi="Meta Pro"/>
                <w:color w:val="000000"/>
                <w:szCs w:val="18"/>
                <w:lang w:eastAsia="en-AU"/>
              </w:rPr>
              <w:t>60</w:t>
            </w:r>
          </w:p>
        </w:tc>
      </w:tr>
      <w:tr w:rsidR="00FF0FCE" w:rsidRPr="008C5DE9" w14:paraId="6E4C7324"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center"/>
            <w:hideMark/>
          </w:tcPr>
          <w:p w14:paraId="1DD600C1" w14:textId="77777777" w:rsidR="00FF0FCE" w:rsidRPr="008C5DE9" w:rsidRDefault="00FF0FCE" w:rsidP="00E607DA">
            <w:pPr>
              <w:jc w:val="center"/>
              <w:rPr>
                <w:rFonts w:ascii="Meta Pro" w:eastAsia="Times New Roman" w:hAnsi="Meta Pro"/>
                <w:color w:val="000000"/>
                <w:szCs w:val="18"/>
                <w:lang w:eastAsia="en-AU"/>
              </w:rPr>
            </w:pPr>
          </w:p>
        </w:tc>
        <w:tc>
          <w:tcPr>
            <w:tcW w:w="1442" w:type="dxa"/>
            <w:tcBorders>
              <w:top w:val="nil"/>
              <w:left w:val="nil"/>
              <w:bottom w:val="nil"/>
              <w:right w:val="nil"/>
            </w:tcBorders>
            <w:shd w:val="clear" w:color="auto" w:fill="auto"/>
            <w:noWrap/>
            <w:vAlign w:val="center"/>
            <w:hideMark/>
          </w:tcPr>
          <w:p w14:paraId="35E7AEA7" w14:textId="77777777" w:rsidR="00FF0FCE" w:rsidRPr="008C5DE9" w:rsidRDefault="00FF0FCE" w:rsidP="00E607DA">
            <w:pPr>
              <w:rPr>
                <w:rFonts w:eastAsia="Times New Roman" w:cs="Times New Roman"/>
                <w:sz w:val="20"/>
                <w:szCs w:val="20"/>
                <w:lang w:eastAsia="en-AU"/>
              </w:rPr>
            </w:pPr>
          </w:p>
        </w:tc>
        <w:tc>
          <w:tcPr>
            <w:tcW w:w="428" w:type="dxa"/>
            <w:tcBorders>
              <w:top w:val="nil"/>
              <w:left w:val="nil"/>
              <w:bottom w:val="nil"/>
              <w:right w:val="nil"/>
            </w:tcBorders>
            <w:shd w:val="clear" w:color="auto" w:fill="auto"/>
            <w:noWrap/>
            <w:vAlign w:val="center"/>
            <w:hideMark/>
          </w:tcPr>
          <w:p w14:paraId="1423FB89" w14:textId="77777777" w:rsidR="00FF0FCE" w:rsidRPr="008C5DE9" w:rsidRDefault="00FF0FCE" w:rsidP="00E607DA">
            <w:pPr>
              <w:jc w:val="right"/>
              <w:rPr>
                <w:rFonts w:ascii="Meta Pro" w:eastAsia="Times New Roman" w:hAnsi="Meta Pro"/>
                <w:color w:val="000000"/>
                <w:szCs w:val="18"/>
                <w:lang w:eastAsia="en-AU"/>
              </w:rPr>
            </w:pPr>
            <w:r w:rsidRPr="008C5DE9">
              <w:rPr>
                <w:rFonts w:ascii="Meta Pro" w:eastAsia="Times New Roman" w:hAnsi="Meta Pro"/>
                <w:color w:val="000000"/>
                <w:szCs w:val="18"/>
                <w:lang w:eastAsia="en-AU"/>
              </w:rPr>
              <w:t>9</w:t>
            </w:r>
          </w:p>
        </w:tc>
        <w:tc>
          <w:tcPr>
            <w:tcW w:w="4808" w:type="dxa"/>
            <w:gridSpan w:val="4"/>
            <w:tcBorders>
              <w:top w:val="nil"/>
              <w:left w:val="nil"/>
              <w:bottom w:val="nil"/>
              <w:right w:val="nil"/>
            </w:tcBorders>
            <w:shd w:val="clear" w:color="auto" w:fill="auto"/>
            <w:noWrap/>
            <w:vAlign w:val="center"/>
            <w:hideMark/>
          </w:tcPr>
          <w:p w14:paraId="43757975"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 xml:space="preserve">Finance and borrowing costs </w:t>
            </w:r>
          </w:p>
        </w:tc>
        <w:tc>
          <w:tcPr>
            <w:tcW w:w="1165" w:type="dxa"/>
            <w:gridSpan w:val="2"/>
            <w:tcBorders>
              <w:top w:val="nil"/>
              <w:left w:val="nil"/>
              <w:bottom w:val="nil"/>
              <w:right w:val="nil"/>
            </w:tcBorders>
            <w:shd w:val="clear" w:color="auto" w:fill="auto"/>
            <w:noWrap/>
            <w:vAlign w:val="center"/>
            <w:hideMark/>
          </w:tcPr>
          <w:p w14:paraId="0CC14A4F" w14:textId="77777777" w:rsidR="00FF0FCE" w:rsidRPr="008C5DE9" w:rsidRDefault="00FF0FCE" w:rsidP="00E607DA">
            <w:pPr>
              <w:jc w:val="center"/>
              <w:rPr>
                <w:rFonts w:ascii="Meta Pro" w:eastAsia="Times New Roman" w:hAnsi="Meta Pro"/>
                <w:color w:val="000000"/>
                <w:szCs w:val="18"/>
                <w:lang w:eastAsia="en-AU"/>
              </w:rPr>
            </w:pPr>
            <w:r w:rsidRPr="008C5DE9">
              <w:rPr>
                <w:rFonts w:ascii="Meta Pro" w:eastAsia="Times New Roman" w:hAnsi="Meta Pro"/>
                <w:color w:val="000000"/>
                <w:szCs w:val="18"/>
                <w:lang w:eastAsia="en-AU"/>
              </w:rPr>
              <w:t>1</w:t>
            </w:r>
            <w:r>
              <w:rPr>
                <w:rFonts w:ascii="Meta Pro" w:eastAsia="Times New Roman" w:hAnsi="Meta Pro"/>
                <w:color w:val="000000"/>
                <w:szCs w:val="18"/>
                <w:lang w:eastAsia="en-AU"/>
              </w:rPr>
              <w:t>60</w:t>
            </w:r>
          </w:p>
        </w:tc>
      </w:tr>
      <w:tr w:rsidR="00FF0FCE" w:rsidRPr="008C5DE9" w14:paraId="592C46AB"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center"/>
            <w:hideMark/>
          </w:tcPr>
          <w:p w14:paraId="05EA1FFF" w14:textId="77777777" w:rsidR="00FF0FCE" w:rsidRPr="008C5DE9" w:rsidRDefault="00FF0FCE" w:rsidP="00E607DA">
            <w:pPr>
              <w:jc w:val="center"/>
              <w:rPr>
                <w:rFonts w:ascii="Meta Pro" w:eastAsia="Times New Roman" w:hAnsi="Meta Pro"/>
                <w:color w:val="000000"/>
                <w:szCs w:val="18"/>
                <w:lang w:eastAsia="en-AU"/>
              </w:rPr>
            </w:pPr>
          </w:p>
        </w:tc>
        <w:tc>
          <w:tcPr>
            <w:tcW w:w="1442" w:type="dxa"/>
            <w:tcBorders>
              <w:top w:val="nil"/>
              <w:left w:val="nil"/>
              <w:bottom w:val="nil"/>
              <w:right w:val="nil"/>
            </w:tcBorders>
            <w:shd w:val="clear" w:color="auto" w:fill="auto"/>
            <w:noWrap/>
            <w:vAlign w:val="center"/>
            <w:hideMark/>
          </w:tcPr>
          <w:p w14:paraId="01DA2D1E" w14:textId="77777777" w:rsidR="00FF0FCE" w:rsidRPr="008C5DE9" w:rsidRDefault="00FF0FCE" w:rsidP="00E607DA">
            <w:pPr>
              <w:rPr>
                <w:rFonts w:eastAsia="Times New Roman" w:cs="Times New Roman"/>
                <w:sz w:val="20"/>
                <w:szCs w:val="20"/>
                <w:lang w:eastAsia="en-AU"/>
              </w:rPr>
            </w:pPr>
          </w:p>
        </w:tc>
        <w:tc>
          <w:tcPr>
            <w:tcW w:w="428" w:type="dxa"/>
            <w:tcBorders>
              <w:top w:val="nil"/>
              <w:left w:val="nil"/>
              <w:bottom w:val="nil"/>
              <w:right w:val="nil"/>
            </w:tcBorders>
            <w:shd w:val="clear" w:color="auto" w:fill="auto"/>
            <w:noWrap/>
            <w:vAlign w:val="center"/>
            <w:hideMark/>
          </w:tcPr>
          <w:p w14:paraId="2A018335" w14:textId="77777777" w:rsidR="00FF0FCE" w:rsidRPr="008C5DE9" w:rsidRDefault="00FF0FCE" w:rsidP="00E607DA">
            <w:pPr>
              <w:jc w:val="right"/>
              <w:rPr>
                <w:rFonts w:ascii="Meta Pro" w:eastAsia="Times New Roman" w:hAnsi="Meta Pro"/>
                <w:color w:val="000000"/>
                <w:szCs w:val="18"/>
                <w:lang w:eastAsia="en-AU"/>
              </w:rPr>
            </w:pPr>
            <w:r w:rsidRPr="008C5DE9">
              <w:rPr>
                <w:rFonts w:ascii="Meta Pro" w:eastAsia="Times New Roman" w:hAnsi="Meta Pro"/>
                <w:color w:val="000000"/>
                <w:szCs w:val="18"/>
                <w:lang w:eastAsia="en-AU"/>
              </w:rPr>
              <w:t>10</w:t>
            </w:r>
          </w:p>
        </w:tc>
        <w:tc>
          <w:tcPr>
            <w:tcW w:w="4808" w:type="dxa"/>
            <w:gridSpan w:val="4"/>
            <w:tcBorders>
              <w:top w:val="nil"/>
              <w:left w:val="nil"/>
              <w:bottom w:val="nil"/>
              <w:right w:val="nil"/>
            </w:tcBorders>
            <w:shd w:val="clear" w:color="auto" w:fill="auto"/>
            <w:noWrap/>
            <w:vAlign w:val="center"/>
            <w:hideMark/>
          </w:tcPr>
          <w:p w14:paraId="171361A6"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Depreciation and amortisation</w:t>
            </w:r>
          </w:p>
        </w:tc>
        <w:tc>
          <w:tcPr>
            <w:tcW w:w="1165" w:type="dxa"/>
            <w:gridSpan w:val="2"/>
            <w:tcBorders>
              <w:top w:val="nil"/>
              <w:left w:val="nil"/>
              <w:bottom w:val="nil"/>
              <w:right w:val="nil"/>
            </w:tcBorders>
            <w:shd w:val="clear" w:color="auto" w:fill="auto"/>
            <w:noWrap/>
            <w:vAlign w:val="center"/>
            <w:hideMark/>
          </w:tcPr>
          <w:p w14:paraId="5D95DC2B" w14:textId="77777777" w:rsidR="00FF0FCE" w:rsidRPr="008C5DE9" w:rsidRDefault="00FF0FCE" w:rsidP="00E607DA">
            <w:pPr>
              <w:jc w:val="center"/>
              <w:rPr>
                <w:rFonts w:ascii="Meta Pro" w:eastAsia="Times New Roman" w:hAnsi="Meta Pro"/>
                <w:color w:val="000000"/>
                <w:szCs w:val="18"/>
                <w:lang w:eastAsia="en-AU"/>
              </w:rPr>
            </w:pPr>
            <w:r w:rsidRPr="008C5DE9">
              <w:rPr>
                <w:rFonts w:ascii="Meta Pro" w:eastAsia="Times New Roman" w:hAnsi="Meta Pro"/>
                <w:color w:val="000000"/>
                <w:szCs w:val="18"/>
                <w:lang w:eastAsia="en-AU"/>
              </w:rPr>
              <w:t>1</w:t>
            </w:r>
            <w:r>
              <w:rPr>
                <w:rFonts w:ascii="Meta Pro" w:eastAsia="Times New Roman" w:hAnsi="Meta Pro"/>
                <w:color w:val="000000"/>
                <w:szCs w:val="18"/>
                <w:lang w:eastAsia="en-AU"/>
              </w:rPr>
              <w:t>60</w:t>
            </w:r>
          </w:p>
        </w:tc>
      </w:tr>
      <w:tr w:rsidR="00FF0FCE" w:rsidRPr="008C5DE9" w14:paraId="3FFC71DE"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center"/>
            <w:hideMark/>
          </w:tcPr>
          <w:p w14:paraId="12A0014A" w14:textId="77777777" w:rsidR="00FF0FCE" w:rsidRPr="008C5DE9" w:rsidRDefault="00FF0FCE" w:rsidP="00E607DA">
            <w:pPr>
              <w:jc w:val="center"/>
              <w:rPr>
                <w:rFonts w:ascii="Meta Pro" w:eastAsia="Times New Roman" w:hAnsi="Meta Pro"/>
                <w:color w:val="000000"/>
                <w:szCs w:val="18"/>
                <w:lang w:eastAsia="en-AU"/>
              </w:rPr>
            </w:pPr>
          </w:p>
        </w:tc>
        <w:tc>
          <w:tcPr>
            <w:tcW w:w="1442" w:type="dxa"/>
            <w:tcBorders>
              <w:top w:val="nil"/>
              <w:left w:val="nil"/>
              <w:bottom w:val="single" w:sz="4" w:space="0" w:color="auto"/>
              <w:right w:val="nil"/>
            </w:tcBorders>
            <w:shd w:val="clear" w:color="auto" w:fill="auto"/>
            <w:noWrap/>
            <w:vAlign w:val="center"/>
            <w:hideMark/>
          </w:tcPr>
          <w:p w14:paraId="1F5E2E54"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 </w:t>
            </w:r>
          </w:p>
        </w:tc>
        <w:tc>
          <w:tcPr>
            <w:tcW w:w="428" w:type="dxa"/>
            <w:tcBorders>
              <w:top w:val="nil"/>
              <w:left w:val="nil"/>
              <w:bottom w:val="nil"/>
              <w:right w:val="nil"/>
            </w:tcBorders>
            <w:shd w:val="clear" w:color="auto" w:fill="auto"/>
            <w:noWrap/>
            <w:vAlign w:val="center"/>
            <w:hideMark/>
          </w:tcPr>
          <w:p w14:paraId="7B241A10" w14:textId="77777777" w:rsidR="00FF0FCE" w:rsidRPr="008C5DE9" w:rsidRDefault="00FF0FCE" w:rsidP="00E607DA">
            <w:pPr>
              <w:jc w:val="right"/>
              <w:rPr>
                <w:rFonts w:ascii="Meta Pro" w:eastAsia="Times New Roman" w:hAnsi="Meta Pro"/>
                <w:color w:val="000000"/>
                <w:szCs w:val="18"/>
                <w:lang w:eastAsia="en-AU"/>
              </w:rPr>
            </w:pPr>
            <w:r w:rsidRPr="008C5DE9">
              <w:rPr>
                <w:rFonts w:ascii="Meta Pro" w:eastAsia="Times New Roman" w:hAnsi="Meta Pro"/>
                <w:color w:val="000000"/>
                <w:szCs w:val="18"/>
                <w:lang w:eastAsia="en-AU"/>
              </w:rPr>
              <w:t>11</w:t>
            </w:r>
          </w:p>
        </w:tc>
        <w:tc>
          <w:tcPr>
            <w:tcW w:w="4808" w:type="dxa"/>
            <w:gridSpan w:val="4"/>
            <w:tcBorders>
              <w:top w:val="nil"/>
              <w:left w:val="nil"/>
              <w:bottom w:val="nil"/>
              <w:right w:val="nil"/>
            </w:tcBorders>
            <w:shd w:val="clear" w:color="auto" w:fill="auto"/>
            <w:noWrap/>
            <w:vAlign w:val="center"/>
            <w:hideMark/>
          </w:tcPr>
          <w:p w14:paraId="3308D7F1"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Other expenses</w:t>
            </w:r>
          </w:p>
        </w:tc>
        <w:tc>
          <w:tcPr>
            <w:tcW w:w="1165" w:type="dxa"/>
            <w:gridSpan w:val="2"/>
            <w:tcBorders>
              <w:top w:val="nil"/>
              <w:left w:val="nil"/>
              <w:bottom w:val="nil"/>
              <w:right w:val="nil"/>
            </w:tcBorders>
            <w:shd w:val="clear" w:color="auto" w:fill="auto"/>
            <w:noWrap/>
            <w:vAlign w:val="center"/>
            <w:hideMark/>
          </w:tcPr>
          <w:p w14:paraId="75510367" w14:textId="77777777" w:rsidR="00FF0FCE" w:rsidRPr="008C5DE9" w:rsidRDefault="00FF0FCE" w:rsidP="00E607DA">
            <w:pPr>
              <w:jc w:val="center"/>
              <w:rPr>
                <w:rFonts w:ascii="Meta Pro" w:eastAsia="Times New Roman" w:hAnsi="Meta Pro"/>
                <w:color w:val="000000"/>
                <w:szCs w:val="18"/>
                <w:lang w:eastAsia="en-AU"/>
              </w:rPr>
            </w:pPr>
            <w:r w:rsidRPr="008C5DE9">
              <w:rPr>
                <w:rFonts w:ascii="Meta Pro" w:eastAsia="Times New Roman" w:hAnsi="Meta Pro"/>
                <w:color w:val="000000"/>
                <w:szCs w:val="18"/>
                <w:lang w:eastAsia="en-AU"/>
              </w:rPr>
              <w:t>1</w:t>
            </w:r>
            <w:r>
              <w:rPr>
                <w:rFonts w:ascii="Meta Pro" w:eastAsia="Times New Roman" w:hAnsi="Meta Pro"/>
                <w:color w:val="000000"/>
                <w:szCs w:val="18"/>
                <w:lang w:eastAsia="en-AU"/>
              </w:rPr>
              <w:t>61</w:t>
            </w:r>
          </w:p>
        </w:tc>
      </w:tr>
      <w:tr w:rsidR="00FF0FCE" w:rsidRPr="008C5DE9" w14:paraId="20D0F8CE"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center"/>
            <w:hideMark/>
          </w:tcPr>
          <w:p w14:paraId="52A91768" w14:textId="77777777" w:rsidR="00FF0FCE" w:rsidRPr="008C5DE9" w:rsidRDefault="00FF0FCE" w:rsidP="00E607DA">
            <w:pPr>
              <w:jc w:val="center"/>
              <w:rPr>
                <w:rFonts w:ascii="Meta Pro" w:eastAsia="Times New Roman" w:hAnsi="Meta Pro"/>
                <w:color w:val="000000"/>
                <w:szCs w:val="18"/>
                <w:lang w:eastAsia="en-AU"/>
              </w:rPr>
            </w:pPr>
          </w:p>
        </w:tc>
        <w:tc>
          <w:tcPr>
            <w:tcW w:w="1442" w:type="dxa"/>
            <w:vMerge w:val="restart"/>
            <w:tcBorders>
              <w:top w:val="nil"/>
              <w:left w:val="nil"/>
              <w:bottom w:val="nil"/>
              <w:right w:val="nil"/>
            </w:tcBorders>
            <w:shd w:val="clear" w:color="auto" w:fill="auto"/>
            <w:hideMark/>
          </w:tcPr>
          <w:p w14:paraId="3BF3CEBE"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Notes about our Financial Position</w:t>
            </w:r>
          </w:p>
        </w:tc>
        <w:tc>
          <w:tcPr>
            <w:tcW w:w="428" w:type="dxa"/>
            <w:tcBorders>
              <w:top w:val="single" w:sz="4" w:space="0" w:color="auto"/>
              <w:left w:val="nil"/>
              <w:bottom w:val="nil"/>
              <w:right w:val="nil"/>
            </w:tcBorders>
            <w:shd w:val="clear" w:color="auto" w:fill="auto"/>
            <w:noWrap/>
            <w:vAlign w:val="center"/>
            <w:hideMark/>
          </w:tcPr>
          <w:p w14:paraId="134F2053" w14:textId="77777777" w:rsidR="00FF0FCE" w:rsidRPr="008C5DE9" w:rsidRDefault="00FF0FCE" w:rsidP="00E607DA">
            <w:pPr>
              <w:jc w:val="right"/>
              <w:rPr>
                <w:rFonts w:ascii="Meta Pro" w:eastAsia="Times New Roman" w:hAnsi="Meta Pro"/>
                <w:color w:val="000000"/>
                <w:szCs w:val="18"/>
                <w:lang w:eastAsia="en-AU"/>
              </w:rPr>
            </w:pPr>
            <w:r w:rsidRPr="008C5DE9">
              <w:rPr>
                <w:rFonts w:ascii="Meta Pro" w:eastAsia="Times New Roman" w:hAnsi="Meta Pro"/>
                <w:color w:val="000000"/>
                <w:szCs w:val="18"/>
                <w:lang w:eastAsia="en-AU"/>
              </w:rPr>
              <w:t>12</w:t>
            </w:r>
          </w:p>
        </w:tc>
        <w:tc>
          <w:tcPr>
            <w:tcW w:w="4808" w:type="dxa"/>
            <w:gridSpan w:val="4"/>
            <w:tcBorders>
              <w:top w:val="single" w:sz="4" w:space="0" w:color="auto"/>
              <w:left w:val="nil"/>
              <w:bottom w:val="nil"/>
              <w:right w:val="nil"/>
            </w:tcBorders>
            <w:shd w:val="clear" w:color="auto" w:fill="auto"/>
            <w:noWrap/>
            <w:vAlign w:val="center"/>
            <w:hideMark/>
          </w:tcPr>
          <w:p w14:paraId="5D97C6B3"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Receivables</w:t>
            </w:r>
          </w:p>
        </w:tc>
        <w:tc>
          <w:tcPr>
            <w:tcW w:w="1165" w:type="dxa"/>
            <w:gridSpan w:val="2"/>
            <w:tcBorders>
              <w:top w:val="single" w:sz="4" w:space="0" w:color="auto"/>
              <w:left w:val="nil"/>
              <w:bottom w:val="nil"/>
              <w:right w:val="nil"/>
            </w:tcBorders>
            <w:shd w:val="clear" w:color="auto" w:fill="auto"/>
            <w:noWrap/>
            <w:vAlign w:val="center"/>
            <w:hideMark/>
          </w:tcPr>
          <w:p w14:paraId="22AEA3DC" w14:textId="77777777" w:rsidR="00FF0FCE" w:rsidRPr="008C5DE9" w:rsidRDefault="00FF0FCE" w:rsidP="00E607DA">
            <w:pPr>
              <w:jc w:val="center"/>
              <w:rPr>
                <w:rFonts w:ascii="Meta Pro" w:eastAsia="Times New Roman" w:hAnsi="Meta Pro"/>
                <w:color w:val="000000"/>
                <w:szCs w:val="18"/>
                <w:lang w:eastAsia="en-AU"/>
              </w:rPr>
            </w:pPr>
            <w:r w:rsidRPr="008C5DE9">
              <w:rPr>
                <w:rFonts w:ascii="Meta Pro" w:eastAsia="Times New Roman" w:hAnsi="Meta Pro"/>
                <w:color w:val="000000"/>
                <w:szCs w:val="18"/>
                <w:lang w:eastAsia="en-AU"/>
              </w:rPr>
              <w:t>1</w:t>
            </w:r>
            <w:r>
              <w:rPr>
                <w:rFonts w:ascii="Meta Pro" w:eastAsia="Times New Roman" w:hAnsi="Meta Pro"/>
                <w:color w:val="000000"/>
                <w:szCs w:val="18"/>
                <w:lang w:eastAsia="en-AU"/>
              </w:rPr>
              <w:t>62</w:t>
            </w:r>
          </w:p>
        </w:tc>
      </w:tr>
      <w:tr w:rsidR="00FF0FCE" w:rsidRPr="008C5DE9" w14:paraId="40667264"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center"/>
            <w:hideMark/>
          </w:tcPr>
          <w:p w14:paraId="0BE5AE10" w14:textId="77777777" w:rsidR="00FF0FCE" w:rsidRPr="008C5DE9" w:rsidRDefault="00FF0FCE" w:rsidP="00E607DA">
            <w:pPr>
              <w:jc w:val="center"/>
              <w:rPr>
                <w:rFonts w:ascii="Meta Pro" w:eastAsia="Times New Roman" w:hAnsi="Meta Pro"/>
                <w:color w:val="000000"/>
                <w:szCs w:val="18"/>
                <w:lang w:eastAsia="en-AU"/>
              </w:rPr>
            </w:pPr>
          </w:p>
        </w:tc>
        <w:tc>
          <w:tcPr>
            <w:tcW w:w="1442" w:type="dxa"/>
            <w:vMerge/>
            <w:tcBorders>
              <w:top w:val="nil"/>
              <w:left w:val="nil"/>
              <w:bottom w:val="nil"/>
              <w:right w:val="nil"/>
            </w:tcBorders>
            <w:vAlign w:val="center"/>
            <w:hideMark/>
          </w:tcPr>
          <w:p w14:paraId="05534A46" w14:textId="77777777" w:rsidR="00FF0FCE" w:rsidRPr="008C5DE9" w:rsidRDefault="00FF0FCE" w:rsidP="00E607DA">
            <w:pPr>
              <w:rPr>
                <w:rFonts w:ascii="Meta Pro" w:eastAsia="Times New Roman" w:hAnsi="Meta Pro"/>
                <w:color w:val="000000"/>
                <w:szCs w:val="18"/>
                <w:lang w:eastAsia="en-AU"/>
              </w:rPr>
            </w:pPr>
          </w:p>
        </w:tc>
        <w:tc>
          <w:tcPr>
            <w:tcW w:w="428" w:type="dxa"/>
            <w:tcBorders>
              <w:top w:val="nil"/>
              <w:left w:val="nil"/>
              <w:bottom w:val="nil"/>
              <w:right w:val="nil"/>
            </w:tcBorders>
            <w:shd w:val="clear" w:color="auto" w:fill="auto"/>
            <w:noWrap/>
            <w:vAlign w:val="center"/>
            <w:hideMark/>
          </w:tcPr>
          <w:p w14:paraId="67550438" w14:textId="77777777" w:rsidR="00FF0FCE" w:rsidRPr="008C5DE9" w:rsidRDefault="00FF0FCE" w:rsidP="00E607DA">
            <w:pPr>
              <w:jc w:val="right"/>
              <w:rPr>
                <w:rFonts w:ascii="Meta Pro" w:eastAsia="Times New Roman" w:hAnsi="Meta Pro"/>
                <w:color w:val="000000"/>
                <w:szCs w:val="18"/>
                <w:lang w:eastAsia="en-AU"/>
              </w:rPr>
            </w:pPr>
            <w:r w:rsidRPr="008C5DE9">
              <w:rPr>
                <w:rFonts w:ascii="Meta Pro" w:eastAsia="Times New Roman" w:hAnsi="Meta Pro"/>
                <w:color w:val="000000"/>
                <w:szCs w:val="18"/>
                <w:lang w:eastAsia="en-AU"/>
              </w:rPr>
              <w:t>13</w:t>
            </w:r>
          </w:p>
        </w:tc>
        <w:tc>
          <w:tcPr>
            <w:tcW w:w="4808" w:type="dxa"/>
            <w:gridSpan w:val="4"/>
            <w:tcBorders>
              <w:top w:val="nil"/>
              <w:left w:val="nil"/>
              <w:bottom w:val="nil"/>
              <w:right w:val="nil"/>
            </w:tcBorders>
            <w:shd w:val="clear" w:color="auto" w:fill="auto"/>
            <w:noWrap/>
            <w:vAlign w:val="center"/>
            <w:hideMark/>
          </w:tcPr>
          <w:p w14:paraId="438FB94D"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Prepayments</w:t>
            </w:r>
          </w:p>
        </w:tc>
        <w:tc>
          <w:tcPr>
            <w:tcW w:w="1165" w:type="dxa"/>
            <w:gridSpan w:val="2"/>
            <w:tcBorders>
              <w:top w:val="nil"/>
              <w:left w:val="nil"/>
              <w:bottom w:val="nil"/>
              <w:right w:val="nil"/>
            </w:tcBorders>
            <w:shd w:val="clear" w:color="auto" w:fill="auto"/>
            <w:noWrap/>
            <w:vAlign w:val="center"/>
            <w:hideMark/>
          </w:tcPr>
          <w:p w14:paraId="7BC49A75" w14:textId="77777777" w:rsidR="00FF0FCE" w:rsidRPr="008C5DE9" w:rsidRDefault="00FF0FCE" w:rsidP="00E607DA">
            <w:pPr>
              <w:jc w:val="center"/>
              <w:rPr>
                <w:rFonts w:ascii="Meta Pro" w:eastAsia="Times New Roman" w:hAnsi="Meta Pro"/>
                <w:color w:val="000000"/>
                <w:szCs w:val="18"/>
                <w:lang w:eastAsia="en-AU"/>
              </w:rPr>
            </w:pPr>
            <w:r>
              <w:rPr>
                <w:rFonts w:ascii="Meta Pro" w:eastAsia="Times New Roman" w:hAnsi="Meta Pro"/>
                <w:color w:val="000000"/>
                <w:szCs w:val="18"/>
                <w:lang w:eastAsia="en-AU"/>
              </w:rPr>
              <w:t>163</w:t>
            </w:r>
          </w:p>
        </w:tc>
      </w:tr>
      <w:tr w:rsidR="00FF0FCE" w:rsidRPr="008C5DE9" w14:paraId="5791C2C7"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center"/>
            <w:hideMark/>
          </w:tcPr>
          <w:p w14:paraId="353F31C8" w14:textId="77777777" w:rsidR="00FF0FCE" w:rsidRPr="008C5DE9" w:rsidRDefault="00FF0FCE" w:rsidP="00E607DA">
            <w:pPr>
              <w:jc w:val="center"/>
              <w:rPr>
                <w:rFonts w:ascii="Meta Pro" w:eastAsia="Times New Roman" w:hAnsi="Meta Pro"/>
                <w:color w:val="000000"/>
                <w:szCs w:val="18"/>
                <w:lang w:eastAsia="en-AU"/>
              </w:rPr>
            </w:pPr>
          </w:p>
        </w:tc>
        <w:tc>
          <w:tcPr>
            <w:tcW w:w="1442" w:type="dxa"/>
            <w:vMerge/>
            <w:tcBorders>
              <w:top w:val="nil"/>
              <w:left w:val="nil"/>
              <w:bottom w:val="nil"/>
              <w:right w:val="nil"/>
            </w:tcBorders>
            <w:vAlign w:val="center"/>
            <w:hideMark/>
          </w:tcPr>
          <w:p w14:paraId="54659C1F" w14:textId="77777777" w:rsidR="00FF0FCE" w:rsidRPr="008C5DE9" w:rsidRDefault="00FF0FCE" w:rsidP="00E607DA">
            <w:pPr>
              <w:rPr>
                <w:rFonts w:ascii="Meta Pro" w:eastAsia="Times New Roman" w:hAnsi="Meta Pro"/>
                <w:color w:val="000000"/>
                <w:szCs w:val="18"/>
                <w:lang w:eastAsia="en-AU"/>
              </w:rPr>
            </w:pPr>
          </w:p>
        </w:tc>
        <w:tc>
          <w:tcPr>
            <w:tcW w:w="428" w:type="dxa"/>
            <w:tcBorders>
              <w:top w:val="nil"/>
              <w:left w:val="nil"/>
              <w:bottom w:val="nil"/>
              <w:right w:val="nil"/>
            </w:tcBorders>
            <w:shd w:val="clear" w:color="auto" w:fill="auto"/>
            <w:noWrap/>
            <w:vAlign w:val="center"/>
            <w:hideMark/>
          </w:tcPr>
          <w:p w14:paraId="592342A1" w14:textId="77777777" w:rsidR="00FF0FCE" w:rsidRPr="008C5DE9" w:rsidRDefault="00FF0FCE" w:rsidP="00E607DA">
            <w:pPr>
              <w:jc w:val="right"/>
              <w:rPr>
                <w:rFonts w:ascii="Meta Pro" w:eastAsia="Times New Roman" w:hAnsi="Meta Pro"/>
                <w:color w:val="000000"/>
                <w:szCs w:val="18"/>
                <w:lang w:eastAsia="en-AU"/>
              </w:rPr>
            </w:pPr>
            <w:r w:rsidRPr="008C5DE9">
              <w:rPr>
                <w:rFonts w:ascii="Meta Pro" w:eastAsia="Times New Roman" w:hAnsi="Meta Pro"/>
                <w:color w:val="000000"/>
                <w:szCs w:val="18"/>
                <w:lang w:eastAsia="en-AU"/>
              </w:rPr>
              <w:t>14</w:t>
            </w:r>
          </w:p>
        </w:tc>
        <w:tc>
          <w:tcPr>
            <w:tcW w:w="4808" w:type="dxa"/>
            <w:gridSpan w:val="4"/>
            <w:tcBorders>
              <w:top w:val="nil"/>
              <w:left w:val="nil"/>
              <w:bottom w:val="nil"/>
              <w:right w:val="nil"/>
            </w:tcBorders>
            <w:shd w:val="clear" w:color="auto" w:fill="auto"/>
            <w:noWrap/>
            <w:vAlign w:val="center"/>
            <w:hideMark/>
          </w:tcPr>
          <w:p w14:paraId="38BFED82"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Intangible assets</w:t>
            </w:r>
          </w:p>
        </w:tc>
        <w:tc>
          <w:tcPr>
            <w:tcW w:w="1165" w:type="dxa"/>
            <w:gridSpan w:val="2"/>
            <w:tcBorders>
              <w:top w:val="nil"/>
              <w:left w:val="nil"/>
              <w:bottom w:val="nil"/>
              <w:right w:val="nil"/>
            </w:tcBorders>
            <w:shd w:val="clear" w:color="auto" w:fill="auto"/>
            <w:noWrap/>
            <w:vAlign w:val="center"/>
            <w:hideMark/>
          </w:tcPr>
          <w:p w14:paraId="360777F5" w14:textId="77777777" w:rsidR="00FF0FCE" w:rsidRPr="008C5DE9" w:rsidRDefault="00FF0FCE" w:rsidP="00E607DA">
            <w:pPr>
              <w:jc w:val="center"/>
              <w:rPr>
                <w:rFonts w:ascii="Meta Pro" w:eastAsia="Times New Roman" w:hAnsi="Meta Pro"/>
                <w:color w:val="000000"/>
                <w:szCs w:val="18"/>
                <w:lang w:eastAsia="en-AU"/>
              </w:rPr>
            </w:pPr>
            <w:r>
              <w:rPr>
                <w:rFonts w:ascii="Meta Pro" w:eastAsia="Times New Roman" w:hAnsi="Meta Pro"/>
                <w:color w:val="000000"/>
                <w:szCs w:val="18"/>
                <w:lang w:eastAsia="en-AU"/>
              </w:rPr>
              <w:t>163</w:t>
            </w:r>
          </w:p>
        </w:tc>
      </w:tr>
      <w:tr w:rsidR="00FF0FCE" w:rsidRPr="008C5DE9" w14:paraId="09189DA7"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center"/>
            <w:hideMark/>
          </w:tcPr>
          <w:p w14:paraId="0DEA1ECB" w14:textId="77777777" w:rsidR="00FF0FCE" w:rsidRPr="008C5DE9" w:rsidRDefault="00FF0FCE" w:rsidP="00E607DA">
            <w:pPr>
              <w:jc w:val="center"/>
              <w:rPr>
                <w:rFonts w:ascii="Meta Pro" w:eastAsia="Times New Roman" w:hAnsi="Meta Pro"/>
                <w:color w:val="000000"/>
                <w:szCs w:val="18"/>
                <w:lang w:eastAsia="en-AU"/>
              </w:rPr>
            </w:pPr>
          </w:p>
        </w:tc>
        <w:tc>
          <w:tcPr>
            <w:tcW w:w="1442" w:type="dxa"/>
            <w:vMerge/>
            <w:tcBorders>
              <w:top w:val="nil"/>
              <w:left w:val="nil"/>
              <w:bottom w:val="nil"/>
              <w:right w:val="nil"/>
            </w:tcBorders>
            <w:vAlign w:val="center"/>
            <w:hideMark/>
          </w:tcPr>
          <w:p w14:paraId="69AC04B2" w14:textId="77777777" w:rsidR="00FF0FCE" w:rsidRPr="008C5DE9" w:rsidRDefault="00FF0FCE" w:rsidP="00E607DA">
            <w:pPr>
              <w:rPr>
                <w:rFonts w:ascii="Meta Pro" w:eastAsia="Times New Roman" w:hAnsi="Meta Pro"/>
                <w:color w:val="000000"/>
                <w:szCs w:val="18"/>
                <w:lang w:eastAsia="en-AU"/>
              </w:rPr>
            </w:pPr>
          </w:p>
        </w:tc>
        <w:tc>
          <w:tcPr>
            <w:tcW w:w="428" w:type="dxa"/>
            <w:tcBorders>
              <w:top w:val="nil"/>
              <w:left w:val="nil"/>
              <w:bottom w:val="nil"/>
              <w:right w:val="nil"/>
            </w:tcBorders>
            <w:shd w:val="clear" w:color="auto" w:fill="auto"/>
            <w:noWrap/>
            <w:vAlign w:val="center"/>
            <w:hideMark/>
          </w:tcPr>
          <w:p w14:paraId="073D0E4A" w14:textId="77777777" w:rsidR="00FF0FCE" w:rsidRPr="008C5DE9" w:rsidRDefault="00FF0FCE" w:rsidP="00E607DA">
            <w:pPr>
              <w:jc w:val="right"/>
              <w:rPr>
                <w:rFonts w:ascii="Meta Pro" w:eastAsia="Times New Roman" w:hAnsi="Meta Pro"/>
                <w:color w:val="000000"/>
                <w:szCs w:val="18"/>
                <w:lang w:eastAsia="en-AU"/>
              </w:rPr>
            </w:pPr>
            <w:r w:rsidRPr="008C5DE9">
              <w:rPr>
                <w:rFonts w:ascii="Meta Pro" w:eastAsia="Times New Roman" w:hAnsi="Meta Pro"/>
                <w:color w:val="000000"/>
                <w:szCs w:val="18"/>
                <w:lang w:eastAsia="en-AU"/>
              </w:rPr>
              <w:t>15</w:t>
            </w:r>
          </w:p>
        </w:tc>
        <w:tc>
          <w:tcPr>
            <w:tcW w:w="4808" w:type="dxa"/>
            <w:gridSpan w:val="4"/>
            <w:tcBorders>
              <w:top w:val="nil"/>
              <w:left w:val="nil"/>
              <w:bottom w:val="nil"/>
              <w:right w:val="nil"/>
            </w:tcBorders>
            <w:shd w:val="clear" w:color="auto" w:fill="auto"/>
            <w:vAlign w:val="center"/>
            <w:hideMark/>
          </w:tcPr>
          <w:p w14:paraId="4C59D665"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Property, plant and equipment</w:t>
            </w:r>
          </w:p>
        </w:tc>
        <w:tc>
          <w:tcPr>
            <w:tcW w:w="1165" w:type="dxa"/>
            <w:gridSpan w:val="2"/>
            <w:tcBorders>
              <w:top w:val="nil"/>
              <w:left w:val="nil"/>
              <w:bottom w:val="nil"/>
              <w:right w:val="nil"/>
            </w:tcBorders>
            <w:shd w:val="clear" w:color="auto" w:fill="auto"/>
            <w:noWrap/>
            <w:vAlign w:val="center"/>
            <w:hideMark/>
          </w:tcPr>
          <w:p w14:paraId="2D82AC4C" w14:textId="77777777" w:rsidR="00FF0FCE" w:rsidRPr="008C5DE9" w:rsidRDefault="00FF0FCE" w:rsidP="00E607DA">
            <w:pPr>
              <w:jc w:val="center"/>
              <w:rPr>
                <w:rFonts w:ascii="Meta Pro" w:eastAsia="Times New Roman" w:hAnsi="Meta Pro"/>
                <w:color w:val="000000"/>
                <w:szCs w:val="18"/>
                <w:lang w:eastAsia="en-AU"/>
              </w:rPr>
            </w:pPr>
            <w:r>
              <w:rPr>
                <w:rFonts w:ascii="Meta Pro" w:eastAsia="Times New Roman" w:hAnsi="Meta Pro"/>
                <w:color w:val="000000"/>
                <w:szCs w:val="18"/>
                <w:lang w:eastAsia="en-AU"/>
              </w:rPr>
              <w:t>165</w:t>
            </w:r>
          </w:p>
        </w:tc>
      </w:tr>
      <w:tr w:rsidR="00FF0FCE" w:rsidRPr="008C5DE9" w14:paraId="43971B2C"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center"/>
            <w:hideMark/>
          </w:tcPr>
          <w:p w14:paraId="1064D26F" w14:textId="77777777" w:rsidR="00FF0FCE" w:rsidRPr="008C5DE9" w:rsidRDefault="00FF0FCE" w:rsidP="00E607DA">
            <w:pPr>
              <w:jc w:val="center"/>
              <w:rPr>
                <w:rFonts w:ascii="Meta Pro" w:eastAsia="Times New Roman" w:hAnsi="Meta Pro"/>
                <w:color w:val="000000"/>
                <w:szCs w:val="18"/>
                <w:lang w:eastAsia="en-AU"/>
              </w:rPr>
            </w:pPr>
          </w:p>
        </w:tc>
        <w:tc>
          <w:tcPr>
            <w:tcW w:w="1442" w:type="dxa"/>
            <w:tcBorders>
              <w:top w:val="nil"/>
              <w:left w:val="nil"/>
              <w:bottom w:val="nil"/>
              <w:right w:val="nil"/>
            </w:tcBorders>
            <w:shd w:val="clear" w:color="auto" w:fill="auto"/>
            <w:noWrap/>
            <w:vAlign w:val="center"/>
            <w:hideMark/>
          </w:tcPr>
          <w:p w14:paraId="06E999BC" w14:textId="77777777" w:rsidR="00FF0FCE" w:rsidRPr="008C5DE9" w:rsidRDefault="00FF0FCE" w:rsidP="00E607DA">
            <w:pPr>
              <w:rPr>
                <w:rFonts w:eastAsia="Times New Roman" w:cs="Times New Roman"/>
                <w:sz w:val="20"/>
                <w:szCs w:val="20"/>
                <w:lang w:eastAsia="en-AU"/>
              </w:rPr>
            </w:pPr>
          </w:p>
        </w:tc>
        <w:tc>
          <w:tcPr>
            <w:tcW w:w="428" w:type="dxa"/>
            <w:tcBorders>
              <w:top w:val="nil"/>
              <w:left w:val="nil"/>
              <w:bottom w:val="nil"/>
              <w:right w:val="nil"/>
            </w:tcBorders>
            <w:shd w:val="clear" w:color="auto" w:fill="auto"/>
            <w:noWrap/>
            <w:vAlign w:val="center"/>
            <w:hideMark/>
          </w:tcPr>
          <w:p w14:paraId="4ABB779F" w14:textId="77777777" w:rsidR="00FF0FCE" w:rsidRPr="008C5DE9" w:rsidRDefault="00FF0FCE" w:rsidP="00E607DA">
            <w:pPr>
              <w:jc w:val="right"/>
              <w:rPr>
                <w:rFonts w:ascii="Meta Pro" w:eastAsia="Times New Roman" w:hAnsi="Meta Pro"/>
                <w:color w:val="000000"/>
                <w:szCs w:val="18"/>
                <w:lang w:eastAsia="en-AU"/>
              </w:rPr>
            </w:pPr>
            <w:r w:rsidRPr="008C5DE9">
              <w:rPr>
                <w:rFonts w:ascii="Meta Pro" w:eastAsia="Times New Roman" w:hAnsi="Meta Pro"/>
                <w:color w:val="000000"/>
                <w:szCs w:val="18"/>
                <w:lang w:eastAsia="en-AU"/>
              </w:rPr>
              <w:t>16</w:t>
            </w:r>
          </w:p>
        </w:tc>
        <w:tc>
          <w:tcPr>
            <w:tcW w:w="4808" w:type="dxa"/>
            <w:gridSpan w:val="4"/>
            <w:tcBorders>
              <w:top w:val="nil"/>
              <w:left w:val="nil"/>
              <w:bottom w:val="nil"/>
              <w:right w:val="nil"/>
            </w:tcBorders>
            <w:shd w:val="clear" w:color="auto" w:fill="auto"/>
            <w:noWrap/>
            <w:vAlign w:val="center"/>
            <w:hideMark/>
          </w:tcPr>
          <w:p w14:paraId="14E8DCB1"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Public private partnerships</w:t>
            </w:r>
          </w:p>
        </w:tc>
        <w:tc>
          <w:tcPr>
            <w:tcW w:w="1165" w:type="dxa"/>
            <w:gridSpan w:val="2"/>
            <w:tcBorders>
              <w:top w:val="nil"/>
              <w:left w:val="nil"/>
              <w:bottom w:val="nil"/>
              <w:right w:val="nil"/>
            </w:tcBorders>
            <w:shd w:val="clear" w:color="auto" w:fill="auto"/>
            <w:noWrap/>
            <w:vAlign w:val="center"/>
            <w:hideMark/>
          </w:tcPr>
          <w:p w14:paraId="4467222E" w14:textId="77777777" w:rsidR="00FF0FCE" w:rsidRPr="008C5DE9" w:rsidRDefault="00FF0FCE" w:rsidP="00E607DA">
            <w:pPr>
              <w:jc w:val="center"/>
              <w:rPr>
                <w:rFonts w:ascii="Meta Pro" w:eastAsia="Times New Roman" w:hAnsi="Meta Pro"/>
                <w:color w:val="000000"/>
                <w:szCs w:val="18"/>
                <w:lang w:eastAsia="en-AU"/>
              </w:rPr>
            </w:pPr>
            <w:r>
              <w:rPr>
                <w:rFonts w:ascii="Meta Pro" w:eastAsia="Times New Roman" w:hAnsi="Meta Pro"/>
                <w:color w:val="000000"/>
                <w:szCs w:val="18"/>
                <w:lang w:eastAsia="en-AU"/>
              </w:rPr>
              <w:t>171</w:t>
            </w:r>
          </w:p>
        </w:tc>
      </w:tr>
      <w:tr w:rsidR="00FF0FCE" w:rsidRPr="008C5DE9" w14:paraId="7AA40329"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center"/>
            <w:hideMark/>
          </w:tcPr>
          <w:p w14:paraId="16FA465F" w14:textId="77777777" w:rsidR="00FF0FCE" w:rsidRPr="008C5DE9" w:rsidRDefault="00FF0FCE" w:rsidP="00E607DA">
            <w:pPr>
              <w:jc w:val="center"/>
              <w:rPr>
                <w:rFonts w:ascii="Meta Pro" w:eastAsia="Times New Roman" w:hAnsi="Meta Pro"/>
                <w:color w:val="000000"/>
                <w:szCs w:val="18"/>
                <w:lang w:eastAsia="en-AU"/>
              </w:rPr>
            </w:pPr>
          </w:p>
        </w:tc>
        <w:tc>
          <w:tcPr>
            <w:tcW w:w="1442" w:type="dxa"/>
            <w:tcBorders>
              <w:top w:val="nil"/>
              <w:left w:val="nil"/>
              <w:bottom w:val="nil"/>
              <w:right w:val="nil"/>
            </w:tcBorders>
            <w:shd w:val="clear" w:color="auto" w:fill="auto"/>
            <w:noWrap/>
            <w:vAlign w:val="center"/>
            <w:hideMark/>
          </w:tcPr>
          <w:p w14:paraId="1A6A66C2" w14:textId="77777777" w:rsidR="00FF0FCE" w:rsidRPr="008C5DE9" w:rsidRDefault="00FF0FCE" w:rsidP="00E607DA">
            <w:pPr>
              <w:rPr>
                <w:rFonts w:eastAsia="Times New Roman" w:cs="Times New Roman"/>
                <w:sz w:val="20"/>
                <w:szCs w:val="20"/>
                <w:lang w:eastAsia="en-AU"/>
              </w:rPr>
            </w:pPr>
          </w:p>
        </w:tc>
        <w:tc>
          <w:tcPr>
            <w:tcW w:w="428" w:type="dxa"/>
            <w:tcBorders>
              <w:top w:val="nil"/>
              <w:left w:val="nil"/>
              <w:bottom w:val="nil"/>
              <w:right w:val="nil"/>
            </w:tcBorders>
            <w:shd w:val="clear" w:color="auto" w:fill="auto"/>
            <w:noWrap/>
            <w:vAlign w:val="center"/>
            <w:hideMark/>
          </w:tcPr>
          <w:p w14:paraId="7EF4D573" w14:textId="77777777" w:rsidR="00FF0FCE" w:rsidRPr="008C5DE9" w:rsidRDefault="00FF0FCE" w:rsidP="00E607DA">
            <w:pPr>
              <w:jc w:val="right"/>
              <w:rPr>
                <w:rFonts w:ascii="Meta Pro" w:eastAsia="Times New Roman" w:hAnsi="Meta Pro"/>
                <w:color w:val="000000"/>
                <w:szCs w:val="18"/>
                <w:lang w:eastAsia="en-AU"/>
              </w:rPr>
            </w:pPr>
            <w:r w:rsidRPr="008C5DE9">
              <w:rPr>
                <w:rFonts w:ascii="Meta Pro" w:eastAsia="Times New Roman" w:hAnsi="Meta Pro"/>
                <w:color w:val="000000"/>
                <w:szCs w:val="18"/>
                <w:lang w:eastAsia="en-AU"/>
              </w:rPr>
              <w:t>17</w:t>
            </w:r>
          </w:p>
        </w:tc>
        <w:tc>
          <w:tcPr>
            <w:tcW w:w="4808" w:type="dxa"/>
            <w:gridSpan w:val="4"/>
            <w:tcBorders>
              <w:top w:val="nil"/>
              <w:left w:val="nil"/>
              <w:bottom w:val="nil"/>
              <w:right w:val="nil"/>
            </w:tcBorders>
            <w:shd w:val="clear" w:color="auto" w:fill="auto"/>
            <w:noWrap/>
            <w:vAlign w:val="center"/>
            <w:hideMark/>
          </w:tcPr>
          <w:p w14:paraId="11AD86BB"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Payables</w:t>
            </w:r>
          </w:p>
        </w:tc>
        <w:tc>
          <w:tcPr>
            <w:tcW w:w="1165" w:type="dxa"/>
            <w:gridSpan w:val="2"/>
            <w:tcBorders>
              <w:top w:val="nil"/>
              <w:left w:val="nil"/>
              <w:bottom w:val="nil"/>
              <w:right w:val="nil"/>
            </w:tcBorders>
            <w:shd w:val="clear" w:color="auto" w:fill="auto"/>
            <w:noWrap/>
            <w:vAlign w:val="center"/>
            <w:hideMark/>
          </w:tcPr>
          <w:p w14:paraId="4916616A" w14:textId="77777777" w:rsidR="00FF0FCE" w:rsidRPr="008C5DE9" w:rsidRDefault="00FF0FCE" w:rsidP="00E607DA">
            <w:pPr>
              <w:jc w:val="center"/>
              <w:rPr>
                <w:rFonts w:ascii="Meta Pro" w:eastAsia="Times New Roman" w:hAnsi="Meta Pro"/>
                <w:color w:val="000000"/>
                <w:szCs w:val="18"/>
                <w:lang w:eastAsia="en-AU"/>
              </w:rPr>
            </w:pPr>
            <w:r>
              <w:rPr>
                <w:rFonts w:ascii="Meta Pro" w:eastAsia="Times New Roman" w:hAnsi="Meta Pro"/>
                <w:color w:val="000000"/>
                <w:szCs w:val="18"/>
                <w:lang w:eastAsia="en-AU"/>
              </w:rPr>
              <w:t>177</w:t>
            </w:r>
          </w:p>
        </w:tc>
      </w:tr>
      <w:tr w:rsidR="00FF0FCE" w:rsidRPr="008C5DE9" w14:paraId="420026D0"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center"/>
            <w:hideMark/>
          </w:tcPr>
          <w:p w14:paraId="011A2C11" w14:textId="77777777" w:rsidR="00FF0FCE" w:rsidRPr="008C5DE9" w:rsidRDefault="00FF0FCE" w:rsidP="00E607DA">
            <w:pPr>
              <w:jc w:val="center"/>
              <w:rPr>
                <w:rFonts w:ascii="Meta Pro" w:eastAsia="Times New Roman" w:hAnsi="Meta Pro"/>
                <w:color w:val="000000"/>
                <w:szCs w:val="18"/>
                <w:lang w:eastAsia="en-AU"/>
              </w:rPr>
            </w:pPr>
          </w:p>
        </w:tc>
        <w:tc>
          <w:tcPr>
            <w:tcW w:w="1442" w:type="dxa"/>
            <w:tcBorders>
              <w:top w:val="nil"/>
              <w:left w:val="nil"/>
              <w:bottom w:val="nil"/>
              <w:right w:val="nil"/>
            </w:tcBorders>
            <w:shd w:val="clear" w:color="auto" w:fill="auto"/>
            <w:noWrap/>
            <w:vAlign w:val="center"/>
            <w:hideMark/>
          </w:tcPr>
          <w:p w14:paraId="64193881" w14:textId="77777777" w:rsidR="00FF0FCE" w:rsidRPr="008C5DE9" w:rsidRDefault="00FF0FCE" w:rsidP="00E607DA">
            <w:pPr>
              <w:rPr>
                <w:rFonts w:eastAsia="Times New Roman" w:cs="Times New Roman"/>
                <w:sz w:val="20"/>
                <w:szCs w:val="20"/>
                <w:lang w:eastAsia="en-AU"/>
              </w:rPr>
            </w:pPr>
          </w:p>
        </w:tc>
        <w:tc>
          <w:tcPr>
            <w:tcW w:w="428" w:type="dxa"/>
            <w:tcBorders>
              <w:top w:val="nil"/>
              <w:left w:val="nil"/>
              <w:bottom w:val="nil"/>
              <w:right w:val="nil"/>
            </w:tcBorders>
            <w:shd w:val="clear" w:color="auto" w:fill="auto"/>
            <w:noWrap/>
            <w:vAlign w:val="center"/>
            <w:hideMark/>
          </w:tcPr>
          <w:p w14:paraId="36998CC6" w14:textId="77777777" w:rsidR="00FF0FCE" w:rsidRPr="008C5DE9" w:rsidRDefault="00FF0FCE" w:rsidP="00E607DA">
            <w:pPr>
              <w:jc w:val="right"/>
              <w:rPr>
                <w:rFonts w:ascii="Meta Pro" w:eastAsia="Times New Roman" w:hAnsi="Meta Pro"/>
                <w:color w:val="000000"/>
                <w:szCs w:val="18"/>
                <w:lang w:eastAsia="en-AU"/>
              </w:rPr>
            </w:pPr>
            <w:r w:rsidRPr="008C5DE9">
              <w:rPr>
                <w:rFonts w:ascii="Meta Pro" w:eastAsia="Times New Roman" w:hAnsi="Meta Pro"/>
                <w:color w:val="000000"/>
                <w:szCs w:val="18"/>
                <w:lang w:eastAsia="en-AU"/>
              </w:rPr>
              <w:t>18</w:t>
            </w:r>
          </w:p>
        </w:tc>
        <w:tc>
          <w:tcPr>
            <w:tcW w:w="4808" w:type="dxa"/>
            <w:gridSpan w:val="4"/>
            <w:tcBorders>
              <w:top w:val="nil"/>
              <w:left w:val="nil"/>
              <w:bottom w:val="nil"/>
              <w:right w:val="nil"/>
            </w:tcBorders>
            <w:shd w:val="clear" w:color="auto" w:fill="auto"/>
            <w:noWrap/>
            <w:vAlign w:val="center"/>
            <w:hideMark/>
          </w:tcPr>
          <w:p w14:paraId="3BBA5A0D"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Borrowings</w:t>
            </w:r>
          </w:p>
        </w:tc>
        <w:tc>
          <w:tcPr>
            <w:tcW w:w="1165" w:type="dxa"/>
            <w:gridSpan w:val="2"/>
            <w:tcBorders>
              <w:top w:val="nil"/>
              <w:left w:val="nil"/>
              <w:bottom w:val="nil"/>
              <w:right w:val="nil"/>
            </w:tcBorders>
            <w:shd w:val="clear" w:color="auto" w:fill="auto"/>
            <w:noWrap/>
            <w:vAlign w:val="center"/>
            <w:hideMark/>
          </w:tcPr>
          <w:p w14:paraId="771D818E" w14:textId="77777777" w:rsidR="00FF0FCE" w:rsidRPr="008C5DE9" w:rsidRDefault="00FF0FCE" w:rsidP="00E607DA">
            <w:pPr>
              <w:jc w:val="center"/>
              <w:rPr>
                <w:rFonts w:ascii="Meta Pro" w:eastAsia="Times New Roman" w:hAnsi="Meta Pro"/>
                <w:color w:val="000000"/>
                <w:szCs w:val="18"/>
                <w:lang w:eastAsia="en-AU"/>
              </w:rPr>
            </w:pPr>
            <w:r>
              <w:rPr>
                <w:rFonts w:ascii="Meta Pro" w:eastAsia="Times New Roman" w:hAnsi="Meta Pro"/>
                <w:color w:val="000000"/>
                <w:szCs w:val="18"/>
                <w:lang w:eastAsia="en-AU"/>
              </w:rPr>
              <w:t>178</w:t>
            </w:r>
          </w:p>
        </w:tc>
      </w:tr>
      <w:tr w:rsidR="00FF0FCE" w:rsidRPr="008C5DE9" w14:paraId="5CA989F4"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center"/>
            <w:hideMark/>
          </w:tcPr>
          <w:p w14:paraId="1ADDC7B7" w14:textId="77777777" w:rsidR="00FF0FCE" w:rsidRPr="008C5DE9" w:rsidRDefault="00FF0FCE" w:rsidP="00E607DA">
            <w:pPr>
              <w:jc w:val="center"/>
              <w:rPr>
                <w:rFonts w:ascii="Meta Pro" w:eastAsia="Times New Roman" w:hAnsi="Meta Pro"/>
                <w:color w:val="000000"/>
                <w:szCs w:val="18"/>
                <w:lang w:eastAsia="en-AU"/>
              </w:rPr>
            </w:pPr>
          </w:p>
        </w:tc>
        <w:tc>
          <w:tcPr>
            <w:tcW w:w="1442" w:type="dxa"/>
            <w:tcBorders>
              <w:top w:val="nil"/>
              <w:left w:val="nil"/>
              <w:bottom w:val="nil"/>
              <w:right w:val="nil"/>
            </w:tcBorders>
            <w:shd w:val="clear" w:color="auto" w:fill="auto"/>
            <w:noWrap/>
            <w:vAlign w:val="center"/>
            <w:hideMark/>
          </w:tcPr>
          <w:p w14:paraId="49437C44" w14:textId="77777777" w:rsidR="00FF0FCE" w:rsidRPr="008C5DE9" w:rsidRDefault="00FF0FCE" w:rsidP="00E607DA">
            <w:pPr>
              <w:rPr>
                <w:rFonts w:eastAsia="Times New Roman" w:cs="Times New Roman"/>
                <w:sz w:val="20"/>
                <w:szCs w:val="20"/>
                <w:lang w:eastAsia="en-AU"/>
              </w:rPr>
            </w:pPr>
          </w:p>
        </w:tc>
        <w:tc>
          <w:tcPr>
            <w:tcW w:w="428" w:type="dxa"/>
            <w:tcBorders>
              <w:top w:val="nil"/>
              <w:left w:val="nil"/>
              <w:bottom w:val="nil"/>
              <w:right w:val="nil"/>
            </w:tcBorders>
            <w:shd w:val="clear" w:color="auto" w:fill="auto"/>
            <w:noWrap/>
            <w:vAlign w:val="center"/>
            <w:hideMark/>
          </w:tcPr>
          <w:p w14:paraId="3D030CCD" w14:textId="77777777" w:rsidR="00FF0FCE" w:rsidRPr="008C5DE9" w:rsidRDefault="00FF0FCE" w:rsidP="00E607DA">
            <w:pPr>
              <w:jc w:val="right"/>
              <w:rPr>
                <w:rFonts w:ascii="Meta Pro" w:eastAsia="Times New Roman" w:hAnsi="Meta Pro"/>
                <w:color w:val="000000"/>
                <w:szCs w:val="18"/>
                <w:lang w:eastAsia="en-AU"/>
              </w:rPr>
            </w:pPr>
            <w:r w:rsidRPr="008C5DE9">
              <w:rPr>
                <w:rFonts w:ascii="Meta Pro" w:eastAsia="Times New Roman" w:hAnsi="Meta Pro"/>
                <w:color w:val="000000"/>
                <w:szCs w:val="18"/>
                <w:lang w:eastAsia="en-AU"/>
              </w:rPr>
              <w:t>19</w:t>
            </w:r>
          </w:p>
        </w:tc>
        <w:tc>
          <w:tcPr>
            <w:tcW w:w="4808" w:type="dxa"/>
            <w:gridSpan w:val="4"/>
            <w:tcBorders>
              <w:top w:val="nil"/>
              <w:left w:val="nil"/>
              <w:bottom w:val="nil"/>
              <w:right w:val="nil"/>
            </w:tcBorders>
            <w:shd w:val="clear" w:color="auto" w:fill="auto"/>
            <w:noWrap/>
            <w:vAlign w:val="center"/>
            <w:hideMark/>
          </w:tcPr>
          <w:p w14:paraId="390EF4FB"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Provisions</w:t>
            </w:r>
          </w:p>
        </w:tc>
        <w:tc>
          <w:tcPr>
            <w:tcW w:w="1165" w:type="dxa"/>
            <w:gridSpan w:val="2"/>
            <w:tcBorders>
              <w:top w:val="nil"/>
              <w:left w:val="nil"/>
              <w:bottom w:val="nil"/>
              <w:right w:val="nil"/>
            </w:tcBorders>
            <w:shd w:val="clear" w:color="auto" w:fill="auto"/>
            <w:noWrap/>
            <w:vAlign w:val="center"/>
            <w:hideMark/>
          </w:tcPr>
          <w:p w14:paraId="0DD9193A" w14:textId="77777777" w:rsidR="00FF0FCE" w:rsidRPr="008C5DE9" w:rsidRDefault="00FF0FCE" w:rsidP="00E607DA">
            <w:pPr>
              <w:jc w:val="center"/>
              <w:rPr>
                <w:rFonts w:ascii="Meta Pro" w:eastAsia="Times New Roman" w:hAnsi="Meta Pro"/>
                <w:color w:val="000000"/>
                <w:szCs w:val="18"/>
                <w:lang w:eastAsia="en-AU"/>
              </w:rPr>
            </w:pPr>
            <w:r>
              <w:rPr>
                <w:rFonts w:ascii="Meta Pro" w:eastAsia="Times New Roman" w:hAnsi="Meta Pro"/>
                <w:color w:val="000000"/>
                <w:szCs w:val="18"/>
                <w:lang w:eastAsia="en-AU"/>
              </w:rPr>
              <w:t>178</w:t>
            </w:r>
          </w:p>
        </w:tc>
      </w:tr>
      <w:tr w:rsidR="00FF0FCE" w:rsidRPr="008C5DE9" w14:paraId="59E472A2"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center"/>
            <w:hideMark/>
          </w:tcPr>
          <w:p w14:paraId="6F1E4535" w14:textId="77777777" w:rsidR="00FF0FCE" w:rsidRPr="008C5DE9" w:rsidRDefault="00FF0FCE" w:rsidP="00E607DA">
            <w:pPr>
              <w:jc w:val="center"/>
              <w:rPr>
                <w:rFonts w:ascii="Meta Pro" w:eastAsia="Times New Roman" w:hAnsi="Meta Pro"/>
                <w:color w:val="000000"/>
                <w:szCs w:val="18"/>
                <w:lang w:eastAsia="en-AU"/>
              </w:rPr>
            </w:pPr>
          </w:p>
        </w:tc>
        <w:tc>
          <w:tcPr>
            <w:tcW w:w="1442" w:type="dxa"/>
            <w:tcBorders>
              <w:top w:val="nil"/>
              <w:left w:val="nil"/>
              <w:bottom w:val="nil"/>
              <w:right w:val="nil"/>
            </w:tcBorders>
            <w:shd w:val="clear" w:color="auto" w:fill="auto"/>
            <w:noWrap/>
            <w:vAlign w:val="center"/>
            <w:hideMark/>
          </w:tcPr>
          <w:p w14:paraId="7751EDD9" w14:textId="77777777" w:rsidR="00FF0FCE" w:rsidRPr="008C5DE9" w:rsidRDefault="00FF0FCE" w:rsidP="00E607DA">
            <w:pPr>
              <w:rPr>
                <w:rFonts w:eastAsia="Times New Roman" w:cs="Times New Roman"/>
                <w:sz w:val="20"/>
                <w:szCs w:val="20"/>
                <w:lang w:eastAsia="en-AU"/>
              </w:rPr>
            </w:pPr>
          </w:p>
        </w:tc>
        <w:tc>
          <w:tcPr>
            <w:tcW w:w="428" w:type="dxa"/>
            <w:tcBorders>
              <w:top w:val="nil"/>
              <w:left w:val="nil"/>
              <w:bottom w:val="nil"/>
              <w:right w:val="nil"/>
            </w:tcBorders>
            <w:shd w:val="clear" w:color="auto" w:fill="auto"/>
            <w:noWrap/>
            <w:vAlign w:val="center"/>
            <w:hideMark/>
          </w:tcPr>
          <w:p w14:paraId="1D1E97BE" w14:textId="77777777" w:rsidR="00FF0FCE" w:rsidRPr="008C5DE9" w:rsidRDefault="00FF0FCE" w:rsidP="00E607DA">
            <w:pPr>
              <w:jc w:val="right"/>
              <w:rPr>
                <w:rFonts w:ascii="Meta Pro" w:eastAsia="Times New Roman" w:hAnsi="Meta Pro"/>
                <w:color w:val="000000"/>
                <w:szCs w:val="18"/>
                <w:lang w:eastAsia="en-AU"/>
              </w:rPr>
            </w:pPr>
            <w:r w:rsidRPr="008C5DE9">
              <w:rPr>
                <w:rFonts w:ascii="Meta Pro" w:eastAsia="Times New Roman" w:hAnsi="Meta Pro"/>
                <w:color w:val="000000"/>
                <w:szCs w:val="18"/>
                <w:lang w:eastAsia="en-AU"/>
              </w:rPr>
              <w:t>20</w:t>
            </w:r>
          </w:p>
        </w:tc>
        <w:tc>
          <w:tcPr>
            <w:tcW w:w="4808" w:type="dxa"/>
            <w:gridSpan w:val="4"/>
            <w:tcBorders>
              <w:top w:val="nil"/>
              <w:left w:val="nil"/>
              <w:bottom w:val="nil"/>
              <w:right w:val="nil"/>
            </w:tcBorders>
            <w:shd w:val="clear" w:color="auto" w:fill="auto"/>
            <w:noWrap/>
            <w:vAlign w:val="center"/>
            <w:hideMark/>
          </w:tcPr>
          <w:p w14:paraId="39B01BE1"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Accrued employee benefits</w:t>
            </w:r>
          </w:p>
        </w:tc>
        <w:tc>
          <w:tcPr>
            <w:tcW w:w="1165" w:type="dxa"/>
            <w:gridSpan w:val="2"/>
            <w:tcBorders>
              <w:top w:val="nil"/>
              <w:left w:val="nil"/>
              <w:bottom w:val="nil"/>
              <w:right w:val="nil"/>
            </w:tcBorders>
            <w:shd w:val="clear" w:color="auto" w:fill="auto"/>
            <w:noWrap/>
            <w:vAlign w:val="center"/>
            <w:hideMark/>
          </w:tcPr>
          <w:p w14:paraId="342A67FF" w14:textId="77777777" w:rsidR="00FF0FCE" w:rsidRPr="008C5DE9" w:rsidRDefault="00FF0FCE" w:rsidP="00E607DA">
            <w:pPr>
              <w:jc w:val="center"/>
              <w:rPr>
                <w:rFonts w:ascii="Meta Pro" w:eastAsia="Times New Roman" w:hAnsi="Meta Pro"/>
                <w:color w:val="000000"/>
                <w:szCs w:val="18"/>
                <w:lang w:eastAsia="en-AU"/>
              </w:rPr>
            </w:pPr>
            <w:r>
              <w:rPr>
                <w:rFonts w:ascii="Meta Pro" w:eastAsia="Times New Roman" w:hAnsi="Meta Pro"/>
                <w:color w:val="000000"/>
                <w:szCs w:val="18"/>
                <w:lang w:eastAsia="en-AU"/>
              </w:rPr>
              <w:t>179</w:t>
            </w:r>
          </w:p>
        </w:tc>
      </w:tr>
      <w:tr w:rsidR="00FF0FCE" w:rsidRPr="008C5DE9" w14:paraId="3A47A4EF"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bottom"/>
            <w:hideMark/>
          </w:tcPr>
          <w:p w14:paraId="2C0E9841" w14:textId="77777777" w:rsidR="00FF0FCE" w:rsidRPr="008C5DE9" w:rsidRDefault="00FF0FCE" w:rsidP="00E607DA">
            <w:pPr>
              <w:jc w:val="center"/>
              <w:rPr>
                <w:rFonts w:ascii="Meta Pro" w:eastAsia="Times New Roman" w:hAnsi="Meta Pro"/>
                <w:color w:val="000000"/>
                <w:szCs w:val="18"/>
                <w:lang w:eastAsia="en-AU"/>
              </w:rPr>
            </w:pPr>
          </w:p>
        </w:tc>
        <w:tc>
          <w:tcPr>
            <w:tcW w:w="1442" w:type="dxa"/>
            <w:tcBorders>
              <w:top w:val="nil"/>
              <w:left w:val="nil"/>
              <w:bottom w:val="nil"/>
              <w:right w:val="nil"/>
            </w:tcBorders>
            <w:shd w:val="clear" w:color="auto" w:fill="auto"/>
            <w:noWrap/>
            <w:vAlign w:val="bottom"/>
            <w:hideMark/>
          </w:tcPr>
          <w:p w14:paraId="46F3C291" w14:textId="77777777" w:rsidR="00FF0FCE" w:rsidRPr="008C5DE9" w:rsidRDefault="00FF0FCE" w:rsidP="00E607DA">
            <w:pPr>
              <w:rPr>
                <w:rFonts w:eastAsia="Times New Roman" w:cs="Times New Roman"/>
                <w:sz w:val="20"/>
                <w:szCs w:val="20"/>
                <w:lang w:eastAsia="en-AU"/>
              </w:rPr>
            </w:pPr>
          </w:p>
        </w:tc>
        <w:tc>
          <w:tcPr>
            <w:tcW w:w="428" w:type="dxa"/>
            <w:tcBorders>
              <w:top w:val="nil"/>
              <w:left w:val="nil"/>
              <w:bottom w:val="single" w:sz="4" w:space="0" w:color="auto"/>
              <w:right w:val="nil"/>
            </w:tcBorders>
            <w:shd w:val="clear" w:color="auto" w:fill="auto"/>
            <w:noWrap/>
            <w:vAlign w:val="center"/>
            <w:hideMark/>
          </w:tcPr>
          <w:p w14:paraId="107BFD0F" w14:textId="77777777" w:rsidR="00FF0FCE" w:rsidRPr="008C5DE9" w:rsidRDefault="00FF0FCE" w:rsidP="00E607DA">
            <w:pPr>
              <w:jc w:val="right"/>
              <w:rPr>
                <w:rFonts w:ascii="Meta Pro" w:eastAsia="Times New Roman" w:hAnsi="Meta Pro"/>
                <w:color w:val="000000"/>
                <w:szCs w:val="18"/>
                <w:lang w:eastAsia="en-AU"/>
              </w:rPr>
            </w:pPr>
            <w:r w:rsidRPr="008C5DE9">
              <w:rPr>
                <w:rFonts w:ascii="Meta Pro" w:eastAsia="Times New Roman" w:hAnsi="Meta Pro"/>
                <w:color w:val="000000"/>
                <w:szCs w:val="18"/>
                <w:lang w:eastAsia="en-AU"/>
              </w:rPr>
              <w:t>21</w:t>
            </w:r>
          </w:p>
        </w:tc>
        <w:tc>
          <w:tcPr>
            <w:tcW w:w="4808" w:type="dxa"/>
            <w:gridSpan w:val="4"/>
            <w:tcBorders>
              <w:top w:val="nil"/>
              <w:left w:val="nil"/>
              <w:bottom w:val="nil"/>
              <w:right w:val="nil"/>
            </w:tcBorders>
            <w:shd w:val="clear" w:color="auto" w:fill="auto"/>
            <w:noWrap/>
            <w:vAlign w:val="center"/>
            <w:hideMark/>
          </w:tcPr>
          <w:p w14:paraId="7FA7EDC1"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Other liabilities</w:t>
            </w:r>
          </w:p>
        </w:tc>
        <w:tc>
          <w:tcPr>
            <w:tcW w:w="1165" w:type="dxa"/>
            <w:gridSpan w:val="2"/>
            <w:tcBorders>
              <w:top w:val="nil"/>
              <w:left w:val="nil"/>
              <w:bottom w:val="nil"/>
              <w:right w:val="nil"/>
            </w:tcBorders>
            <w:shd w:val="clear" w:color="auto" w:fill="auto"/>
            <w:noWrap/>
            <w:vAlign w:val="center"/>
            <w:hideMark/>
          </w:tcPr>
          <w:p w14:paraId="685905FD" w14:textId="77777777" w:rsidR="00FF0FCE" w:rsidRPr="008C5DE9" w:rsidRDefault="00FF0FCE" w:rsidP="00E607DA">
            <w:pPr>
              <w:jc w:val="center"/>
              <w:rPr>
                <w:rFonts w:ascii="Meta Pro" w:eastAsia="Times New Roman" w:hAnsi="Meta Pro"/>
                <w:color w:val="000000"/>
                <w:szCs w:val="18"/>
                <w:lang w:eastAsia="en-AU"/>
              </w:rPr>
            </w:pPr>
            <w:r>
              <w:rPr>
                <w:rFonts w:ascii="Meta Pro" w:eastAsia="Times New Roman" w:hAnsi="Meta Pro"/>
                <w:color w:val="000000"/>
                <w:szCs w:val="18"/>
                <w:lang w:eastAsia="en-AU"/>
              </w:rPr>
              <w:t>180</w:t>
            </w:r>
          </w:p>
        </w:tc>
      </w:tr>
      <w:tr w:rsidR="00FF0FCE" w:rsidRPr="008C5DE9" w14:paraId="26EEB05C"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center"/>
            <w:hideMark/>
          </w:tcPr>
          <w:p w14:paraId="698F3F7C" w14:textId="77777777" w:rsidR="00FF0FCE" w:rsidRPr="008C5DE9" w:rsidRDefault="00FF0FCE" w:rsidP="00E607DA">
            <w:pPr>
              <w:jc w:val="center"/>
              <w:rPr>
                <w:rFonts w:ascii="Meta Pro" w:eastAsia="Times New Roman" w:hAnsi="Meta Pro"/>
                <w:color w:val="000000"/>
                <w:szCs w:val="18"/>
                <w:lang w:eastAsia="en-AU"/>
              </w:rPr>
            </w:pPr>
          </w:p>
        </w:tc>
        <w:tc>
          <w:tcPr>
            <w:tcW w:w="1442" w:type="dxa"/>
            <w:vMerge w:val="restart"/>
            <w:tcBorders>
              <w:top w:val="single" w:sz="4" w:space="0" w:color="auto"/>
              <w:left w:val="nil"/>
              <w:bottom w:val="nil"/>
              <w:right w:val="nil"/>
            </w:tcBorders>
            <w:shd w:val="clear" w:color="auto" w:fill="auto"/>
            <w:hideMark/>
          </w:tcPr>
          <w:p w14:paraId="37837002"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Other Information</w:t>
            </w:r>
          </w:p>
        </w:tc>
        <w:tc>
          <w:tcPr>
            <w:tcW w:w="428" w:type="dxa"/>
            <w:tcBorders>
              <w:top w:val="nil"/>
              <w:left w:val="nil"/>
              <w:bottom w:val="nil"/>
              <w:right w:val="nil"/>
            </w:tcBorders>
            <w:shd w:val="clear" w:color="auto" w:fill="auto"/>
            <w:noWrap/>
            <w:vAlign w:val="center"/>
            <w:hideMark/>
          </w:tcPr>
          <w:p w14:paraId="486CCF26" w14:textId="77777777" w:rsidR="00FF0FCE" w:rsidRPr="008C5DE9" w:rsidRDefault="00FF0FCE" w:rsidP="00E607DA">
            <w:pPr>
              <w:jc w:val="right"/>
              <w:rPr>
                <w:rFonts w:ascii="Meta Pro" w:eastAsia="Times New Roman" w:hAnsi="Meta Pro"/>
                <w:color w:val="000000"/>
                <w:szCs w:val="18"/>
                <w:lang w:eastAsia="en-AU"/>
              </w:rPr>
            </w:pPr>
            <w:r w:rsidRPr="008C5DE9">
              <w:rPr>
                <w:rFonts w:ascii="Meta Pro" w:eastAsia="Times New Roman" w:hAnsi="Meta Pro"/>
                <w:color w:val="000000"/>
                <w:szCs w:val="18"/>
                <w:lang w:eastAsia="en-AU"/>
              </w:rPr>
              <w:t>22</w:t>
            </w:r>
          </w:p>
        </w:tc>
        <w:tc>
          <w:tcPr>
            <w:tcW w:w="4808" w:type="dxa"/>
            <w:gridSpan w:val="4"/>
            <w:tcBorders>
              <w:top w:val="single" w:sz="4" w:space="0" w:color="auto"/>
              <w:left w:val="nil"/>
              <w:bottom w:val="nil"/>
              <w:right w:val="nil"/>
            </w:tcBorders>
            <w:shd w:val="clear" w:color="auto" w:fill="auto"/>
            <w:noWrap/>
            <w:vAlign w:val="center"/>
            <w:hideMark/>
          </w:tcPr>
          <w:p w14:paraId="1153B727"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Income tax equivalents</w:t>
            </w:r>
          </w:p>
        </w:tc>
        <w:tc>
          <w:tcPr>
            <w:tcW w:w="1165" w:type="dxa"/>
            <w:gridSpan w:val="2"/>
            <w:tcBorders>
              <w:top w:val="single" w:sz="4" w:space="0" w:color="auto"/>
              <w:left w:val="nil"/>
              <w:bottom w:val="nil"/>
              <w:right w:val="nil"/>
            </w:tcBorders>
            <w:shd w:val="clear" w:color="auto" w:fill="auto"/>
            <w:noWrap/>
            <w:vAlign w:val="center"/>
            <w:hideMark/>
          </w:tcPr>
          <w:p w14:paraId="53A61E8C" w14:textId="77777777" w:rsidR="00FF0FCE" w:rsidRPr="008C5DE9" w:rsidRDefault="00FF0FCE" w:rsidP="00E607DA">
            <w:pPr>
              <w:jc w:val="center"/>
              <w:rPr>
                <w:rFonts w:ascii="Meta Pro" w:eastAsia="Times New Roman" w:hAnsi="Meta Pro"/>
                <w:color w:val="000000"/>
                <w:szCs w:val="18"/>
                <w:lang w:eastAsia="en-AU"/>
              </w:rPr>
            </w:pPr>
            <w:r>
              <w:rPr>
                <w:rFonts w:ascii="Meta Pro" w:eastAsia="Times New Roman" w:hAnsi="Meta Pro"/>
                <w:color w:val="000000"/>
                <w:szCs w:val="18"/>
                <w:lang w:eastAsia="en-AU"/>
              </w:rPr>
              <w:t>181</w:t>
            </w:r>
          </w:p>
        </w:tc>
      </w:tr>
      <w:tr w:rsidR="00FF0FCE" w:rsidRPr="008C5DE9" w14:paraId="1730F232"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center"/>
            <w:hideMark/>
          </w:tcPr>
          <w:p w14:paraId="2DF0888C" w14:textId="77777777" w:rsidR="00FF0FCE" w:rsidRPr="008C5DE9" w:rsidRDefault="00FF0FCE" w:rsidP="00E607DA">
            <w:pPr>
              <w:jc w:val="center"/>
              <w:rPr>
                <w:rFonts w:ascii="Meta Pro" w:eastAsia="Times New Roman" w:hAnsi="Meta Pro"/>
                <w:color w:val="000000"/>
                <w:szCs w:val="18"/>
                <w:lang w:eastAsia="en-AU"/>
              </w:rPr>
            </w:pPr>
          </w:p>
        </w:tc>
        <w:tc>
          <w:tcPr>
            <w:tcW w:w="1442" w:type="dxa"/>
            <w:vMerge/>
            <w:tcBorders>
              <w:top w:val="single" w:sz="4" w:space="0" w:color="auto"/>
              <w:left w:val="nil"/>
              <w:bottom w:val="nil"/>
              <w:right w:val="nil"/>
            </w:tcBorders>
            <w:vAlign w:val="center"/>
            <w:hideMark/>
          </w:tcPr>
          <w:p w14:paraId="7FB33580" w14:textId="77777777" w:rsidR="00FF0FCE" w:rsidRPr="008C5DE9" w:rsidRDefault="00FF0FCE" w:rsidP="00E607DA">
            <w:pPr>
              <w:rPr>
                <w:rFonts w:ascii="Meta Pro" w:eastAsia="Times New Roman" w:hAnsi="Meta Pro"/>
                <w:color w:val="000000"/>
                <w:szCs w:val="18"/>
                <w:lang w:eastAsia="en-AU"/>
              </w:rPr>
            </w:pPr>
          </w:p>
        </w:tc>
        <w:tc>
          <w:tcPr>
            <w:tcW w:w="428" w:type="dxa"/>
            <w:tcBorders>
              <w:top w:val="nil"/>
              <w:left w:val="nil"/>
              <w:bottom w:val="nil"/>
              <w:right w:val="nil"/>
            </w:tcBorders>
            <w:shd w:val="clear" w:color="auto" w:fill="auto"/>
            <w:noWrap/>
            <w:vAlign w:val="center"/>
            <w:hideMark/>
          </w:tcPr>
          <w:p w14:paraId="19187D1E" w14:textId="77777777" w:rsidR="00FF0FCE" w:rsidRPr="008C5DE9" w:rsidRDefault="00FF0FCE" w:rsidP="00E607DA">
            <w:pPr>
              <w:jc w:val="right"/>
              <w:rPr>
                <w:rFonts w:ascii="Meta Pro" w:eastAsia="Times New Roman" w:hAnsi="Meta Pro"/>
                <w:color w:val="000000"/>
                <w:szCs w:val="18"/>
                <w:lang w:eastAsia="en-AU"/>
              </w:rPr>
            </w:pPr>
            <w:r w:rsidRPr="008C5DE9">
              <w:rPr>
                <w:rFonts w:ascii="Meta Pro" w:eastAsia="Times New Roman" w:hAnsi="Meta Pro"/>
                <w:color w:val="000000"/>
                <w:szCs w:val="18"/>
                <w:lang w:eastAsia="en-AU"/>
              </w:rPr>
              <w:t>23</w:t>
            </w:r>
          </w:p>
        </w:tc>
        <w:tc>
          <w:tcPr>
            <w:tcW w:w="4808" w:type="dxa"/>
            <w:gridSpan w:val="4"/>
            <w:tcBorders>
              <w:top w:val="nil"/>
              <w:left w:val="nil"/>
              <w:bottom w:val="nil"/>
              <w:right w:val="nil"/>
            </w:tcBorders>
            <w:shd w:val="clear" w:color="auto" w:fill="auto"/>
            <w:noWrap/>
            <w:vAlign w:val="center"/>
            <w:hideMark/>
          </w:tcPr>
          <w:p w14:paraId="5B84A710"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Commitments for expenditure</w:t>
            </w:r>
          </w:p>
        </w:tc>
        <w:tc>
          <w:tcPr>
            <w:tcW w:w="1165" w:type="dxa"/>
            <w:gridSpan w:val="2"/>
            <w:tcBorders>
              <w:top w:val="nil"/>
              <w:left w:val="nil"/>
              <w:bottom w:val="nil"/>
              <w:right w:val="nil"/>
            </w:tcBorders>
            <w:shd w:val="clear" w:color="auto" w:fill="auto"/>
            <w:noWrap/>
            <w:vAlign w:val="center"/>
            <w:hideMark/>
          </w:tcPr>
          <w:p w14:paraId="0B09EF60" w14:textId="77777777" w:rsidR="00FF0FCE" w:rsidRPr="008C5DE9" w:rsidRDefault="00FF0FCE" w:rsidP="00E607DA">
            <w:pPr>
              <w:jc w:val="center"/>
              <w:rPr>
                <w:rFonts w:ascii="Meta Pro" w:eastAsia="Times New Roman" w:hAnsi="Meta Pro"/>
                <w:color w:val="000000"/>
                <w:szCs w:val="18"/>
                <w:lang w:eastAsia="en-AU"/>
              </w:rPr>
            </w:pPr>
            <w:r>
              <w:rPr>
                <w:rFonts w:ascii="Meta Pro" w:eastAsia="Times New Roman" w:hAnsi="Meta Pro"/>
                <w:color w:val="000000"/>
                <w:szCs w:val="18"/>
                <w:lang w:eastAsia="en-AU"/>
              </w:rPr>
              <w:t>182</w:t>
            </w:r>
          </w:p>
        </w:tc>
      </w:tr>
      <w:tr w:rsidR="00FF0FCE" w:rsidRPr="008C5DE9" w14:paraId="5C858442"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center"/>
            <w:hideMark/>
          </w:tcPr>
          <w:p w14:paraId="4BC8241B" w14:textId="77777777" w:rsidR="00FF0FCE" w:rsidRPr="008C5DE9" w:rsidRDefault="00FF0FCE" w:rsidP="00E607DA">
            <w:pPr>
              <w:jc w:val="center"/>
              <w:rPr>
                <w:rFonts w:ascii="Meta Pro" w:eastAsia="Times New Roman" w:hAnsi="Meta Pro"/>
                <w:color w:val="000000"/>
                <w:szCs w:val="18"/>
                <w:lang w:eastAsia="en-AU"/>
              </w:rPr>
            </w:pPr>
          </w:p>
        </w:tc>
        <w:tc>
          <w:tcPr>
            <w:tcW w:w="1442" w:type="dxa"/>
            <w:vMerge/>
            <w:tcBorders>
              <w:top w:val="single" w:sz="4" w:space="0" w:color="auto"/>
              <w:left w:val="nil"/>
              <w:bottom w:val="nil"/>
              <w:right w:val="nil"/>
            </w:tcBorders>
            <w:vAlign w:val="center"/>
            <w:hideMark/>
          </w:tcPr>
          <w:p w14:paraId="581E05A3" w14:textId="77777777" w:rsidR="00FF0FCE" w:rsidRPr="008C5DE9" w:rsidRDefault="00FF0FCE" w:rsidP="00E607DA">
            <w:pPr>
              <w:rPr>
                <w:rFonts w:ascii="Meta Pro" w:eastAsia="Times New Roman" w:hAnsi="Meta Pro"/>
                <w:color w:val="000000"/>
                <w:szCs w:val="18"/>
                <w:lang w:eastAsia="en-AU"/>
              </w:rPr>
            </w:pPr>
          </w:p>
        </w:tc>
        <w:tc>
          <w:tcPr>
            <w:tcW w:w="428" w:type="dxa"/>
            <w:tcBorders>
              <w:top w:val="nil"/>
              <w:left w:val="nil"/>
              <w:bottom w:val="nil"/>
              <w:right w:val="nil"/>
            </w:tcBorders>
            <w:shd w:val="clear" w:color="auto" w:fill="auto"/>
            <w:noWrap/>
            <w:vAlign w:val="center"/>
            <w:hideMark/>
          </w:tcPr>
          <w:p w14:paraId="12CB124A" w14:textId="77777777" w:rsidR="00FF0FCE" w:rsidRPr="008C5DE9" w:rsidRDefault="00FF0FCE" w:rsidP="00E607DA">
            <w:pPr>
              <w:jc w:val="right"/>
              <w:rPr>
                <w:rFonts w:ascii="Meta Pro" w:eastAsia="Times New Roman" w:hAnsi="Meta Pro"/>
                <w:color w:val="000000"/>
                <w:szCs w:val="18"/>
                <w:lang w:eastAsia="en-AU"/>
              </w:rPr>
            </w:pPr>
            <w:r w:rsidRPr="008C5DE9">
              <w:rPr>
                <w:rFonts w:ascii="Meta Pro" w:eastAsia="Times New Roman" w:hAnsi="Meta Pro"/>
                <w:color w:val="000000"/>
                <w:szCs w:val="18"/>
                <w:lang w:eastAsia="en-AU"/>
              </w:rPr>
              <w:t>24</w:t>
            </w:r>
          </w:p>
        </w:tc>
        <w:tc>
          <w:tcPr>
            <w:tcW w:w="4808" w:type="dxa"/>
            <w:gridSpan w:val="4"/>
            <w:tcBorders>
              <w:top w:val="nil"/>
              <w:left w:val="nil"/>
              <w:bottom w:val="nil"/>
              <w:right w:val="nil"/>
            </w:tcBorders>
            <w:shd w:val="clear" w:color="auto" w:fill="auto"/>
            <w:noWrap/>
            <w:vAlign w:val="center"/>
            <w:hideMark/>
          </w:tcPr>
          <w:p w14:paraId="13894CB8"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Contingencies</w:t>
            </w:r>
          </w:p>
        </w:tc>
        <w:tc>
          <w:tcPr>
            <w:tcW w:w="1165" w:type="dxa"/>
            <w:gridSpan w:val="2"/>
            <w:tcBorders>
              <w:top w:val="nil"/>
              <w:left w:val="nil"/>
              <w:bottom w:val="nil"/>
              <w:right w:val="nil"/>
            </w:tcBorders>
            <w:shd w:val="clear" w:color="auto" w:fill="auto"/>
            <w:noWrap/>
            <w:vAlign w:val="center"/>
            <w:hideMark/>
          </w:tcPr>
          <w:p w14:paraId="1550EC4A" w14:textId="77777777" w:rsidR="00FF0FCE" w:rsidRPr="008C5DE9" w:rsidRDefault="00FF0FCE" w:rsidP="00E607DA">
            <w:pPr>
              <w:jc w:val="center"/>
              <w:rPr>
                <w:rFonts w:ascii="Meta Pro" w:eastAsia="Times New Roman" w:hAnsi="Meta Pro"/>
                <w:color w:val="000000"/>
                <w:szCs w:val="18"/>
                <w:lang w:eastAsia="en-AU"/>
              </w:rPr>
            </w:pPr>
            <w:r>
              <w:rPr>
                <w:rFonts w:ascii="Meta Pro" w:eastAsia="Times New Roman" w:hAnsi="Meta Pro"/>
                <w:color w:val="000000"/>
                <w:szCs w:val="18"/>
                <w:lang w:eastAsia="en-AU"/>
              </w:rPr>
              <w:t>182</w:t>
            </w:r>
          </w:p>
        </w:tc>
      </w:tr>
      <w:tr w:rsidR="00FF0FCE" w:rsidRPr="008C5DE9" w14:paraId="598EE2E7"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center"/>
            <w:hideMark/>
          </w:tcPr>
          <w:p w14:paraId="092FCCB8" w14:textId="77777777" w:rsidR="00FF0FCE" w:rsidRPr="008C5DE9" w:rsidRDefault="00FF0FCE" w:rsidP="00E607DA">
            <w:pPr>
              <w:jc w:val="center"/>
              <w:rPr>
                <w:rFonts w:ascii="Meta Pro" w:eastAsia="Times New Roman" w:hAnsi="Meta Pro"/>
                <w:color w:val="000000"/>
                <w:szCs w:val="18"/>
                <w:lang w:eastAsia="en-AU"/>
              </w:rPr>
            </w:pPr>
          </w:p>
        </w:tc>
        <w:tc>
          <w:tcPr>
            <w:tcW w:w="1442" w:type="dxa"/>
            <w:vMerge/>
            <w:tcBorders>
              <w:top w:val="single" w:sz="4" w:space="0" w:color="auto"/>
              <w:left w:val="nil"/>
              <w:bottom w:val="nil"/>
              <w:right w:val="nil"/>
            </w:tcBorders>
            <w:vAlign w:val="center"/>
            <w:hideMark/>
          </w:tcPr>
          <w:p w14:paraId="09CD622C" w14:textId="77777777" w:rsidR="00FF0FCE" w:rsidRPr="008C5DE9" w:rsidRDefault="00FF0FCE" w:rsidP="00E607DA">
            <w:pPr>
              <w:rPr>
                <w:rFonts w:ascii="Meta Pro" w:eastAsia="Times New Roman" w:hAnsi="Meta Pro"/>
                <w:color w:val="000000"/>
                <w:szCs w:val="18"/>
                <w:lang w:eastAsia="en-AU"/>
              </w:rPr>
            </w:pPr>
          </w:p>
        </w:tc>
        <w:tc>
          <w:tcPr>
            <w:tcW w:w="428" w:type="dxa"/>
            <w:tcBorders>
              <w:top w:val="nil"/>
              <w:left w:val="nil"/>
              <w:bottom w:val="nil"/>
              <w:right w:val="nil"/>
            </w:tcBorders>
            <w:shd w:val="clear" w:color="auto" w:fill="auto"/>
            <w:noWrap/>
            <w:vAlign w:val="center"/>
            <w:hideMark/>
          </w:tcPr>
          <w:p w14:paraId="273BF5B9" w14:textId="77777777" w:rsidR="00FF0FCE" w:rsidRPr="008C5DE9" w:rsidRDefault="00FF0FCE" w:rsidP="00E607DA">
            <w:pPr>
              <w:jc w:val="right"/>
              <w:rPr>
                <w:rFonts w:ascii="Meta Pro" w:eastAsia="Times New Roman" w:hAnsi="Meta Pro"/>
                <w:color w:val="000000"/>
                <w:szCs w:val="18"/>
                <w:lang w:eastAsia="en-AU"/>
              </w:rPr>
            </w:pPr>
            <w:r w:rsidRPr="008C5DE9">
              <w:rPr>
                <w:rFonts w:ascii="Meta Pro" w:eastAsia="Times New Roman" w:hAnsi="Meta Pro"/>
                <w:color w:val="000000"/>
                <w:szCs w:val="18"/>
                <w:lang w:eastAsia="en-AU"/>
              </w:rPr>
              <w:t>25</w:t>
            </w:r>
          </w:p>
        </w:tc>
        <w:tc>
          <w:tcPr>
            <w:tcW w:w="4808" w:type="dxa"/>
            <w:gridSpan w:val="4"/>
            <w:tcBorders>
              <w:top w:val="nil"/>
              <w:left w:val="nil"/>
              <w:bottom w:val="nil"/>
              <w:right w:val="nil"/>
            </w:tcBorders>
            <w:shd w:val="clear" w:color="auto" w:fill="auto"/>
            <w:noWrap/>
            <w:vAlign w:val="center"/>
            <w:hideMark/>
          </w:tcPr>
          <w:p w14:paraId="424E757A"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Investment in subsidiary</w:t>
            </w:r>
          </w:p>
        </w:tc>
        <w:tc>
          <w:tcPr>
            <w:tcW w:w="1165" w:type="dxa"/>
            <w:gridSpan w:val="2"/>
            <w:tcBorders>
              <w:top w:val="nil"/>
              <w:left w:val="nil"/>
              <w:bottom w:val="nil"/>
              <w:right w:val="nil"/>
            </w:tcBorders>
            <w:shd w:val="clear" w:color="auto" w:fill="auto"/>
            <w:noWrap/>
            <w:vAlign w:val="center"/>
            <w:hideMark/>
          </w:tcPr>
          <w:p w14:paraId="56FD96CC" w14:textId="77777777" w:rsidR="00FF0FCE" w:rsidRPr="008C5DE9" w:rsidRDefault="00FF0FCE" w:rsidP="00E607DA">
            <w:pPr>
              <w:jc w:val="center"/>
              <w:rPr>
                <w:rFonts w:ascii="Meta Pro" w:eastAsia="Times New Roman" w:hAnsi="Meta Pro"/>
                <w:color w:val="000000"/>
                <w:szCs w:val="18"/>
                <w:lang w:eastAsia="en-AU"/>
              </w:rPr>
            </w:pPr>
            <w:r>
              <w:rPr>
                <w:rFonts w:ascii="Meta Pro" w:eastAsia="Times New Roman" w:hAnsi="Meta Pro"/>
                <w:color w:val="000000"/>
                <w:szCs w:val="18"/>
                <w:lang w:eastAsia="en-AU"/>
              </w:rPr>
              <w:t>182</w:t>
            </w:r>
          </w:p>
        </w:tc>
      </w:tr>
      <w:tr w:rsidR="00FF0FCE" w:rsidRPr="008C5DE9" w14:paraId="630A963D"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center"/>
            <w:hideMark/>
          </w:tcPr>
          <w:p w14:paraId="59A3AD1B" w14:textId="77777777" w:rsidR="00FF0FCE" w:rsidRPr="008C5DE9" w:rsidRDefault="00FF0FCE" w:rsidP="00E607DA">
            <w:pPr>
              <w:jc w:val="center"/>
              <w:rPr>
                <w:rFonts w:ascii="Meta Pro" w:eastAsia="Times New Roman" w:hAnsi="Meta Pro"/>
                <w:color w:val="000000"/>
                <w:szCs w:val="18"/>
                <w:lang w:eastAsia="en-AU"/>
              </w:rPr>
            </w:pPr>
          </w:p>
        </w:tc>
        <w:tc>
          <w:tcPr>
            <w:tcW w:w="1442" w:type="dxa"/>
            <w:tcBorders>
              <w:top w:val="nil"/>
              <w:left w:val="nil"/>
              <w:bottom w:val="nil"/>
              <w:right w:val="nil"/>
            </w:tcBorders>
            <w:shd w:val="clear" w:color="auto" w:fill="auto"/>
            <w:noWrap/>
            <w:vAlign w:val="center"/>
            <w:hideMark/>
          </w:tcPr>
          <w:p w14:paraId="7734C1F1" w14:textId="77777777" w:rsidR="00FF0FCE" w:rsidRPr="008C5DE9" w:rsidRDefault="00FF0FCE" w:rsidP="00E607DA">
            <w:pPr>
              <w:rPr>
                <w:rFonts w:eastAsia="Times New Roman" w:cs="Times New Roman"/>
                <w:sz w:val="20"/>
                <w:szCs w:val="20"/>
                <w:lang w:eastAsia="en-AU"/>
              </w:rPr>
            </w:pPr>
          </w:p>
        </w:tc>
        <w:tc>
          <w:tcPr>
            <w:tcW w:w="428" w:type="dxa"/>
            <w:tcBorders>
              <w:top w:val="nil"/>
              <w:left w:val="nil"/>
              <w:bottom w:val="nil"/>
              <w:right w:val="nil"/>
            </w:tcBorders>
            <w:shd w:val="clear" w:color="auto" w:fill="auto"/>
            <w:noWrap/>
            <w:vAlign w:val="center"/>
            <w:hideMark/>
          </w:tcPr>
          <w:p w14:paraId="3E013249" w14:textId="77777777" w:rsidR="00FF0FCE" w:rsidRPr="008C5DE9" w:rsidRDefault="00FF0FCE" w:rsidP="00E607DA">
            <w:pPr>
              <w:jc w:val="right"/>
              <w:rPr>
                <w:rFonts w:ascii="Meta Pro" w:eastAsia="Times New Roman" w:hAnsi="Meta Pro"/>
                <w:color w:val="000000"/>
                <w:szCs w:val="18"/>
                <w:lang w:eastAsia="en-AU"/>
              </w:rPr>
            </w:pPr>
            <w:r w:rsidRPr="008C5DE9">
              <w:rPr>
                <w:rFonts w:ascii="Meta Pro" w:eastAsia="Times New Roman" w:hAnsi="Meta Pro"/>
                <w:color w:val="000000"/>
                <w:szCs w:val="18"/>
                <w:lang w:eastAsia="en-AU"/>
              </w:rPr>
              <w:t>26</w:t>
            </w:r>
          </w:p>
        </w:tc>
        <w:tc>
          <w:tcPr>
            <w:tcW w:w="4808" w:type="dxa"/>
            <w:gridSpan w:val="4"/>
            <w:tcBorders>
              <w:top w:val="nil"/>
              <w:left w:val="nil"/>
              <w:bottom w:val="nil"/>
              <w:right w:val="nil"/>
            </w:tcBorders>
            <w:shd w:val="clear" w:color="auto" w:fill="auto"/>
            <w:noWrap/>
            <w:vAlign w:val="center"/>
            <w:hideMark/>
          </w:tcPr>
          <w:p w14:paraId="4EF2FE8C"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 xml:space="preserve">Financial instruments </w:t>
            </w:r>
          </w:p>
        </w:tc>
        <w:tc>
          <w:tcPr>
            <w:tcW w:w="1165" w:type="dxa"/>
            <w:gridSpan w:val="2"/>
            <w:tcBorders>
              <w:top w:val="nil"/>
              <w:left w:val="nil"/>
              <w:bottom w:val="nil"/>
              <w:right w:val="nil"/>
            </w:tcBorders>
            <w:shd w:val="clear" w:color="auto" w:fill="auto"/>
            <w:noWrap/>
            <w:vAlign w:val="center"/>
            <w:hideMark/>
          </w:tcPr>
          <w:p w14:paraId="5B1C2D81" w14:textId="77777777" w:rsidR="00FF0FCE" w:rsidRPr="008C5DE9" w:rsidRDefault="00FF0FCE" w:rsidP="00E607DA">
            <w:pPr>
              <w:jc w:val="center"/>
              <w:rPr>
                <w:rFonts w:ascii="Meta Pro" w:eastAsia="Times New Roman" w:hAnsi="Meta Pro"/>
                <w:color w:val="000000"/>
                <w:szCs w:val="18"/>
                <w:lang w:eastAsia="en-AU"/>
              </w:rPr>
            </w:pPr>
            <w:r>
              <w:rPr>
                <w:rFonts w:ascii="Meta Pro" w:eastAsia="Times New Roman" w:hAnsi="Meta Pro"/>
                <w:color w:val="000000"/>
                <w:szCs w:val="18"/>
                <w:lang w:eastAsia="en-AU"/>
              </w:rPr>
              <w:t>183</w:t>
            </w:r>
          </w:p>
        </w:tc>
      </w:tr>
      <w:tr w:rsidR="00FF0FCE" w:rsidRPr="008C5DE9" w14:paraId="1C5A26CA"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center"/>
            <w:hideMark/>
          </w:tcPr>
          <w:p w14:paraId="28327CFA" w14:textId="77777777" w:rsidR="00FF0FCE" w:rsidRPr="008C5DE9" w:rsidRDefault="00FF0FCE" w:rsidP="00E607DA">
            <w:pPr>
              <w:jc w:val="center"/>
              <w:rPr>
                <w:rFonts w:ascii="Meta Pro" w:eastAsia="Times New Roman" w:hAnsi="Meta Pro"/>
                <w:color w:val="000000"/>
                <w:szCs w:val="18"/>
                <w:lang w:eastAsia="en-AU"/>
              </w:rPr>
            </w:pPr>
          </w:p>
        </w:tc>
        <w:tc>
          <w:tcPr>
            <w:tcW w:w="1442" w:type="dxa"/>
            <w:tcBorders>
              <w:top w:val="nil"/>
              <w:left w:val="nil"/>
              <w:bottom w:val="nil"/>
              <w:right w:val="nil"/>
            </w:tcBorders>
            <w:shd w:val="clear" w:color="auto" w:fill="auto"/>
            <w:noWrap/>
            <w:vAlign w:val="center"/>
            <w:hideMark/>
          </w:tcPr>
          <w:p w14:paraId="33F13BFE" w14:textId="77777777" w:rsidR="00FF0FCE" w:rsidRPr="008C5DE9" w:rsidRDefault="00FF0FCE" w:rsidP="00E607DA">
            <w:pPr>
              <w:rPr>
                <w:rFonts w:eastAsia="Times New Roman" w:cs="Times New Roman"/>
                <w:sz w:val="20"/>
                <w:szCs w:val="20"/>
                <w:lang w:eastAsia="en-AU"/>
              </w:rPr>
            </w:pPr>
          </w:p>
        </w:tc>
        <w:tc>
          <w:tcPr>
            <w:tcW w:w="428" w:type="dxa"/>
            <w:tcBorders>
              <w:top w:val="nil"/>
              <w:left w:val="nil"/>
              <w:bottom w:val="nil"/>
              <w:right w:val="nil"/>
            </w:tcBorders>
            <w:shd w:val="clear" w:color="auto" w:fill="auto"/>
            <w:noWrap/>
            <w:vAlign w:val="center"/>
            <w:hideMark/>
          </w:tcPr>
          <w:p w14:paraId="48974974" w14:textId="77777777" w:rsidR="00FF0FCE" w:rsidRPr="008C5DE9" w:rsidRDefault="00FF0FCE" w:rsidP="00E607DA">
            <w:pPr>
              <w:jc w:val="right"/>
              <w:rPr>
                <w:rFonts w:ascii="Meta Pro" w:eastAsia="Times New Roman" w:hAnsi="Meta Pro"/>
                <w:color w:val="000000"/>
                <w:szCs w:val="18"/>
                <w:lang w:eastAsia="en-AU"/>
              </w:rPr>
            </w:pPr>
            <w:r w:rsidRPr="008C5DE9">
              <w:rPr>
                <w:rFonts w:ascii="Meta Pro" w:eastAsia="Times New Roman" w:hAnsi="Meta Pro"/>
                <w:color w:val="000000"/>
                <w:szCs w:val="18"/>
                <w:lang w:eastAsia="en-AU"/>
              </w:rPr>
              <w:t>27</w:t>
            </w:r>
          </w:p>
        </w:tc>
        <w:tc>
          <w:tcPr>
            <w:tcW w:w="4808" w:type="dxa"/>
            <w:gridSpan w:val="4"/>
            <w:tcBorders>
              <w:top w:val="nil"/>
              <w:left w:val="nil"/>
              <w:bottom w:val="nil"/>
              <w:right w:val="nil"/>
            </w:tcBorders>
            <w:shd w:val="clear" w:color="auto" w:fill="auto"/>
            <w:noWrap/>
            <w:vAlign w:val="center"/>
            <w:hideMark/>
          </w:tcPr>
          <w:p w14:paraId="6EE9BA3C"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Schedule of administered items</w:t>
            </w:r>
          </w:p>
        </w:tc>
        <w:tc>
          <w:tcPr>
            <w:tcW w:w="1165" w:type="dxa"/>
            <w:gridSpan w:val="2"/>
            <w:tcBorders>
              <w:top w:val="nil"/>
              <w:left w:val="nil"/>
              <w:bottom w:val="nil"/>
              <w:right w:val="nil"/>
            </w:tcBorders>
            <w:shd w:val="clear" w:color="auto" w:fill="auto"/>
            <w:noWrap/>
            <w:vAlign w:val="center"/>
            <w:hideMark/>
          </w:tcPr>
          <w:p w14:paraId="179A7A7F" w14:textId="77777777" w:rsidR="00FF0FCE" w:rsidRPr="008C5DE9" w:rsidRDefault="00FF0FCE" w:rsidP="00E607DA">
            <w:pPr>
              <w:jc w:val="center"/>
              <w:rPr>
                <w:rFonts w:ascii="Meta Pro" w:eastAsia="Times New Roman" w:hAnsi="Meta Pro"/>
                <w:color w:val="000000"/>
                <w:szCs w:val="18"/>
                <w:lang w:eastAsia="en-AU"/>
              </w:rPr>
            </w:pPr>
            <w:r>
              <w:rPr>
                <w:rFonts w:ascii="Meta Pro" w:eastAsia="Times New Roman" w:hAnsi="Meta Pro"/>
                <w:color w:val="000000"/>
                <w:szCs w:val="18"/>
                <w:lang w:eastAsia="en-AU"/>
              </w:rPr>
              <w:t>185</w:t>
            </w:r>
          </w:p>
        </w:tc>
      </w:tr>
      <w:tr w:rsidR="00FF0FCE" w:rsidRPr="008C5DE9" w14:paraId="557B20A0"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center"/>
            <w:hideMark/>
          </w:tcPr>
          <w:p w14:paraId="498EE641" w14:textId="77777777" w:rsidR="00FF0FCE" w:rsidRPr="008C5DE9" w:rsidRDefault="00FF0FCE" w:rsidP="00E607DA">
            <w:pPr>
              <w:jc w:val="center"/>
              <w:rPr>
                <w:rFonts w:ascii="Meta Pro" w:eastAsia="Times New Roman" w:hAnsi="Meta Pro"/>
                <w:color w:val="000000"/>
                <w:szCs w:val="18"/>
                <w:lang w:eastAsia="en-AU"/>
              </w:rPr>
            </w:pPr>
          </w:p>
        </w:tc>
        <w:tc>
          <w:tcPr>
            <w:tcW w:w="1442" w:type="dxa"/>
            <w:tcBorders>
              <w:top w:val="nil"/>
              <w:left w:val="nil"/>
              <w:bottom w:val="nil"/>
              <w:right w:val="nil"/>
            </w:tcBorders>
            <w:shd w:val="clear" w:color="auto" w:fill="auto"/>
            <w:noWrap/>
            <w:vAlign w:val="center"/>
            <w:hideMark/>
          </w:tcPr>
          <w:p w14:paraId="0A242169" w14:textId="77777777" w:rsidR="00FF0FCE" w:rsidRPr="008C5DE9" w:rsidRDefault="00FF0FCE" w:rsidP="00E607DA">
            <w:pPr>
              <w:rPr>
                <w:rFonts w:eastAsia="Times New Roman" w:cs="Times New Roman"/>
                <w:sz w:val="20"/>
                <w:szCs w:val="20"/>
                <w:lang w:eastAsia="en-AU"/>
              </w:rPr>
            </w:pPr>
          </w:p>
        </w:tc>
        <w:tc>
          <w:tcPr>
            <w:tcW w:w="428" w:type="dxa"/>
            <w:tcBorders>
              <w:top w:val="nil"/>
              <w:left w:val="nil"/>
              <w:bottom w:val="nil"/>
              <w:right w:val="nil"/>
            </w:tcBorders>
            <w:shd w:val="clear" w:color="auto" w:fill="auto"/>
            <w:noWrap/>
            <w:vAlign w:val="center"/>
            <w:hideMark/>
          </w:tcPr>
          <w:p w14:paraId="27226BCC" w14:textId="77777777" w:rsidR="00FF0FCE" w:rsidRPr="008C5DE9" w:rsidRDefault="00FF0FCE" w:rsidP="00E607DA">
            <w:pPr>
              <w:jc w:val="right"/>
              <w:rPr>
                <w:rFonts w:ascii="Meta Pro" w:eastAsia="Times New Roman" w:hAnsi="Meta Pro"/>
                <w:color w:val="000000"/>
                <w:szCs w:val="18"/>
                <w:lang w:eastAsia="en-AU"/>
              </w:rPr>
            </w:pPr>
            <w:r w:rsidRPr="008C5DE9">
              <w:rPr>
                <w:rFonts w:ascii="Meta Pro" w:eastAsia="Times New Roman" w:hAnsi="Meta Pro"/>
                <w:color w:val="000000"/>
                <w:szCs w:val="18"/>
                <w:lang w:eastAsia="en-AU"/>
              </w:rPr>
              <w:t>28</w:t>
            </w:r>
          </w:p>
        </w:tc>
        <w:tc>
          <w:tcPr>
            <w:tcW w:w="4808" w:type="dxa"/>
            <w:gridSpan w:val="4"/>
            <w:tcBorders>
              <w:top w:val="nil"/>
              <w:left w:val="nil"/>
              <w:bottom w:val="nil"/>
              <w:right w:val="nil"/>
            </w:tcBorders>
            <w:shd w:val="clear" w:color="auto" w:fill="auto"/>
            <w:noWrap/>
            <w:vAlign w:val="center"/>
            <w:hideMark/>
          </w:tcPr>
          <w:p w14:paraId="6E8E42DB"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Administered appropriations</w:t>
            </w:r>
          </w:p>
        </w:tc>
        <w:tc>
          <w:tcPr>
            <w:tcW w:w="1165" w:type="dxa"/>
            <w:gridSpan w:val="2"/>
            <w:tcBorders>
              <w:top w:val="nil"/>
              <w:left w:val="nil"/>
              <w:bottom w:val="nil"/>
              <w:right w:val="nil"/>
            </w:tcBorders>
            <w:shd w:val="clear" w:color="auto" w:fill="auto"/>
            <w:noWrap/>
            <w:vAlign w:val="center"/>
            <w:hideMark/>
          </w:tcPr>
          <w:p w14:paraId="62A7ABEA" w14:textId="77777777" w:rsidR="00FF0FCE" w:rsidRPr="008C5DE9" w:rsidRDefault="00FF0FCE" w:rsidP="00E607DA">
            <w:pPr>
              <w:jc w:val="center"/>
              <w:rPr>
                <w:rFonts w:ascii="Meta Pro" w:eastAsia="Times New Roman" w:hAnsi="Meta Pro"/>
                <w:color w:val="000000"/>
                <w:szCs w:val="18"/>
                <w:lang w:eastAsia="en-AU"/>
              </w:rPr>
            </w:pPr>
            <w:r>
              <w:rPr>
                <w:rFonts w:ascii="Meta Pro" w:eastAsia="Times New Roman" w:hAnsi="Meta Pro"/>
                <w:color w:val="000000"/>
                <w:szCs w:val="18"/>
                <w:lang w:eastAsia="en-AU"/>
              </w:rPr>
              <w:t>186</w:t>
            </w:r>
          </w:p>
        </w:tc>
      </w:tr>
      <w:tr w:rsidR="00FF0FCE" w:rsidRPr="008C5DE9" w14:paraId="3284CD99"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center"/>
            <w:hideMark/>
          </w:tcPr>
          <w:p w14:paraId="6F9F7430" w14:textId="77777777" w:rsidR="00FF0FCE" w:rsidRPr="008C5DE9" w:rsidRDefault="00FF0FCE" w:rsidP="00E607DA">
            <w:pPr>
              <w:jc w:val="center"/>
              <w:rPr>
                <w:rFonts w:ascii="Meta Pro" w:eastAsia="Times New Roman" w:hAnsi="Meta Pro"/>
                <w:color w:val="000000"/>
                <w:szCs w:val="18"/>
                <w:lang w:eastAsia="en-AU"/>
              </w:rPr>
            </w:pPr>
          </w:p>
        </w:tc>
        <w:tc>
          <w:tcPr>
            <w:tcW w:w="1442" w:type="dxa"/>
            <w:tcBorders>
              <w:top w:val="nil"/>
              <w:left w:val="nil"/>
              <w:bottom w:val="nil"/>
              <w:right w:val="nil"/>
            </w:tcBorders>
            <w:shd w:val="clear" w:color="auto" w:fill="auto"/>
            <w:noWrap/>
            <w:vAlign w:val="center"/>
            <w:hideMark/>
          </w:tcPr>
          <w:p w14:paraId="53393C03" w14:textId="77777777" w:rsidR="00FF0FCE" w:rsidRPr="008C5DE9" w:rsidRDefault="00FF0FCE" w:rsidP="00E607DA">
            <w:pPr>
              <w:rPr>
                <w:rFonts w:eastAsia="Times New Roman" w:cs="Times New Roman"/>
                <w:sz w:val="20"/>
                <w:szCs w:val="20"/>
                <w:lang w:eastAsia="en-AU"/>
              </w:rPr>
            </w:pPr>
          </w:p>
        </w:tc>
        <w:tc>
          <w:tcPr>
            <w:tcW w:w="428" w:type="dxa"/>
            <w:tcBorders>
              <w:top w:val="nil"/>
              <w:left w:val="nil"/>
              <w:bottom w:val="nil"/>
              <w:right w:val="nil"/>
            </w:tcBorders>
            <w:shd w:val="clear" w:color="auto" w:fill="auto"/>
            <w:noWrap/>
            <w:vAlign w:val="center"/>
            <w:hideMark/>
          </w:tcPr>
          <w:p w14:paraId="55C0328E" w14:textId="77777777" w:rsidR="00FF0FCE" w:rsidRPr="008C5DE9" w:rsidRDefault="00FF0FCE" w:rsidP="00E607DA">
            <w:pPr>
              <w:jc w:val="right"/>
              <w:rPr>
                <w:rFonts w:ascii="Meta Pro" w:eastAsia="Times New Roman" w:hAnsi="Meta Pro"/>
                <w:color w:val="000000"/>
                <w:szCs w:val="18"/>
                <w:lang w:eastAsia="en-AU"/>
              </w:rPr>
            </w:pPr>
            <w:r w:rsidRPr="008C5DE9">
              <w:rPr>
                <w:rFonts w:ascii="Meta Pro" w:eastAsia="Times New Roman" w:hAnsi="Meta Pro"/>
                <w:color w:val="000000"/>
                <w:szCs w:val="18"/>
                <w:lang w:eastAsia="en-AU"/>
              </w:rPr>
              <w:t>29</w:t>
            </w:r>
          </w:p>
        </w:tc>
        <w:tc>
          <w:tcPr>
            <w:tcW w:w="4808" w:type="dxa"/>
            <w:gridSpan w:val="4"/>
            <w:tcBorders>
              <w:top w:val="nil"/>
              <w:left w:val="nil"/>
              <w:bottom w:val="nil"/>
              <w:right w:val="nil"/>
            </w:tcBorders>
            <w:shd w:val="clear" w:color="auto" w:fill="auto"/>
            <w:noWrap/>
            <w:vAlign w:val="center"/>
            <w:hideMark/>
          </w:tcPr>
          <w:p w14:paraId="496047E7"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Budgetary reporting</w:t>
            </w:r>
          </w:p>
        </w:tc>
        <w:tc>
          <w:tcPr>
            <w:tcW w:w="1165" w:type="dxa"/>
            <w:gridSpan w:val="2"/>
            <w:tcBorders>
              <w:top w:val="nil"/>
              <w:left w:val="nil"/>
              <w:bottom w:val="nil"/>
              <w:right w:val="nil"/>
            </w:tcBorders>
            <w:shd w:val="clear" w:color="auto" w:fill="auto"/>
            <w:noWrap/>
            <w:vAlign w:val="center"/>
            <w:hideMark/>
          </w:tcPr>
          <w:p w14:paraId="0DB34C5A" w14:textId="77777777" w:rsidR="00FF0FCE" w:rsidRPr="008C5DE9" w:rsidRDefault="00FF0FCE" w:rsidP="00E607DA">
            <w:pPr>
              <w:jc w:val="center"/>
              <w:rPr>
                <w:rFonts w:ascii="Meta Pro" w:eastAsia="Times New Roman" w:hAnsi="Meta Pro"/>
                <w:color w:val="000000"/>
                <w:szCs w:val="18"/>
                <w:lang w:eastAsia="en-AU"/>
              </w:rPr>
            </w:pPr>
            <w:r>
              <w:rPr>
                <w:rFonts w:ascii="Meta Pro" w:eastAsia="Times New Roman" w:hAnsi="Meta Pro"/>
                <w:color w:val="000000"/>
                <w:szCs w:val="18"/>
                <w:lang w:eastAsia="en-AU"/>
              </w:rPr>
              <w:t>187</w:t>
            </w:r>
          </w:p>
        </w:tc>
      </w:tr>
      <w:tr w:rsidR="00FF0FCE" w:rsidRPr="008C5DE9" w14:paraId="345B655E" w14:textId="77777777" w:rsidTr="00EE4927">
        <w:trPr>
          <w:gridAfter w:val="1"/>
          <w:wAfter w:w="568" w:type="dxa"/>
          <w:trHeight w:val="23"/>
        </w:trPr>
        <w:tc>
          <w:tcPr>
            <w:tcW w:w="1227" w:type="dxa"/>
            <w:gridSpan w:val="2"/>
            <w:tcBorders>
              <w:top w:val="nil"/>
              <w:left w:val="nil"/>
              <w:bottom w:val="single" w:sz="4" w:space="0" w:color="auto"/>
              <w:right w:val="nil"/>
            </w:tcBorders>
            <w:shd w:val="clear" w:color="auto" w:fill="auto"/>
            <w:noWrap/>
            <w:vAlign w:val="center"/>
            <w:hideMark/>
          </w:tcPr>
          <w:p w14:paraId="2BD02333"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lastRenderedPageBreak/>
              <w:t> </w:t>
            </w:r>
          </w:p>
        </w:tc>
        <w:tc>
          <w:tcPr>
            <w:tcW w:w="1442" w:type="dxa"/>
            <w:tcBorders>
              <w:top w:val="nil"/>
              <w:left w:val="nil"/>
              <w:bottom w:val="single" w:sz="4" w:space="0" w:color="auto"/>
              <w:right w:val="nil"/>
            </w:tcBorders>
            <w:shd w:val="clear" w:color="auto" w:fill="auto"/>
            <w:noWrap/>
            <w:vAlign w:val="center"/>
            <w:hideMark/>
          </w:tcPr>
          <w:p w14:paraId="6AE33357"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 </w:t>
            </w:r>
          </w:p>
        </w:tc>
        <w:tc>
          <w:tcPr>
            <w:tcW w:w="428" w:type="dxa"/>
            <w:tcBorders>
              <w:top w:val="nil"/>
              <w:left w:val="nil"/>
              <w:bottom w:val="nil"/>
              <w:right w:val="nil"/>
            </w:tcBorders>
            <w:shd w:val="clear" w:color="auto" w:fill="auto"/>
            <w:noWrap/>
            <w:vAlign w:val="center"/>
            <w:hideMark/>
          </w:tcPr>
          <w:p w14:paraId="29358C50" w14:textId="77777777" w:rsidR="00FF0FCE" w:rsidRPr="008C5DE9" w:rsidRDefault="00FF0FCE" w:rsidP="00E607DA">
            <w:pPr>
              <w:jc w:val="right"/>
              <w:rPr>
                <w:rFonts w:ascii="Meta Pro" w:eastAsia="Times New Roman" w:hAnsi="Meta Pro"/>
                <w:color w:val="000000"/>
                <w:szCs w:val="18"/>
                <w:lang w:eastAsia="en-AU"/>
              </w:rPr>
            </w:pPr>
            <w:r w:rsidRPr="008C5DE9">
              <w:rPr>
                <w:rFonts w:ascii="Meta Pro" w:eastAsia="Times New Roman" w:hAnsi="Meta Pro"/>
                <w:color w:val="000000"/>
                <w:szCs w:val="18"/>
                <w:lang w:eastAsia="en-AU"/>
              </w:rPr>
              <w:t>30</w:t>
            </w:r>
          </w:p>
        </w:tc>
        <w:tc>
          <w:tcPr>
            <w:tcW w:w="4808" w:type="dxa"/>
            <w:gridSpan w:val="4"/>
            <w:tcBorders>
              <w:top w:val="nil"/>
              <w:left w:val="nil"/>
              <w:bottom w:val="nil"/>
              <w:right w:val="nil"/>
            </w:tcBorders>
            <w:shd w:val="clear" w:color="auto" w:fill="auto"/>
            <w:noWrap/>
            <w:vAlign w:val="center"/>
            <w:hideMark/>
          </w:tcPr>
          <w:p w14:paraId="0654AEB6"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Events after the balance date</w:t>
            </w:r>
          </w:p>
        </w:tc>
        <w:tc>
          <w:tcPr>
            <w:tcW w:w="1165" w:type="dxa"/>
            <w:gridSpan w:val="2"/>
            <w:tcBorders>
              <w:top w:val="nil"/>
              <w:left w:val="nil"/>
              <w:bottom w:val="single" w:sz="4" w:space="0" w:color="auto"/>
              <w:right w:val="nil"/>
            </w:tcBorders>
            <w:shd w:val="clear" w:color="auto" w:fill="auto"/>
            <w:noWrap/>
            <w:vAlign w:val="center"/>
            <w:hideMark/>
          </w:tcPr>
          <w:p w14:paraId="79BF20D4" w14:textId="77777777" w:rsidR="00FF0FCE" w:rsidRPr="008C5DE9" w:rsidRDefault="00FF0FCE" w:rsidP="00E607DA">
            <w:pPr>
              <w:jc w:val="center"/>
              <w:rPr>
                <w:rFonts w:ascii="Meta Pro" w:eastAsia="Times New Roman" w:hAnsi="Meta Pro"/>
                <w:color w:val="000000"/>
                <w:szCs w:val="18"/>
                <w:lang w:eastAsia="en-AU"/>
              </w:rPr>
            </w:pPr>
            <w:r>
              <w:rPr>
                <w:rFonts w:ascii="Meta Pro" w:eastAsia="Times New Roman" w:hAnsi="Meta Pro"/>
                <w:color w:val="000000"/>
                <w:szCs w:val="18"/>
                <w:lang w:eastAsia="en-AU"/>
              </w:rPr>
              <w:t>192</w:t>
            </w:r>
          </w:p>
        </w:tc>
      </w:tr>
      <w:tr w:rsidR="00FF0FCE" w:rsidRPr="008C5DE9" w14:paraId="0FCB2709" w14:textId="77777777" w:rsidTr="00EE4927">
        <w:trPr>
          <w:gridAfter w:val="1"/>
          <w:wAfter w:w="568" w:type="dxa"/>
          <w:trHeight w:val="23"/>
        </w:trPr>
        <w:tc>
          <w:tcPr>
            <w:tcW w:w="1227" w:type="dxa"/>
            <w:gridSpan w:val="2"/>
            <w:tcBorders>
              <w:top w:val="nil"/>
              <w:left w:val="nil"/>
              <w:bottom w:val="nil"/>
              <w:right w:val="nil"/>
            </w:tcBorders>
            <w:shd w:val="clear" w:color="auto" w:fill="auto"/>
            <w:noWrap/>
            <w:hideMark/>
          </w:tcPr>
          <w:p w14:paraId="314CA6D5" w14:textId="77777777" w:rsidR="00FF0FCE" w:rsidRPr="008C5DE9" w:rsidRDefault="00FF0FCE" w:rsidP="00E607DA">
            <w:pPr>
              <w:rPr>
                <w:rFonts w:ascii="Meta Pro" w:eastAsia="Times New Roman" w:hAnsi="Meta Pro"/>
                <w:b/>
                <w:bCs/>
                <w:color w:val="000000"/>
                <w:szCs w:val="18"/>
                <w:lang w:eastAsia="en-AU"/>
              </w:rPr>
            </w:pPr>
            <w:r w:rsidRPr="008C5DE9">
              <w:rPr>
                <w:rFonts w:ascii="Meta Pro" w:eastAsia="Times New Roman" w:hAnsi="Meta Pro"/>
                <w:b/>
                <w:bCs/>
                <w:color w:val="000000"/>
                <w:szCs w:val="18"/>
                <w:lang w:eastAsia="en-AU"/>
              </w:rPr>
              <w:t>Certification</w:t>
            </w:r>
          </w:p>
        </w:tc>
        <w:tc>
          <w:tcPr>
            <w:tcW w:w="1442" w:type="dxa"/>
            <w:tcBorders>
              <w:top w:val="nil"/>
              <w:left w:val="nil"/>
              <w:bottom w:val="nil"/>
              <w:right w:val="nil"/>
            </w:tcBorders>
            <w:shd w:val="clear" w:color="auto" w:fill="auto"/>
            <w:noWrap/>
            <w:vAlign w:val="center"/>
            <w:hideMark/>
          </w:tcPr>
          <w:p w14:paraId="64A9117E" w14:textId="77777777" w:rsidR="00FF0FCE" w:rsidRPr="008C5DE9" w:rsidRDefault="00FF0FCE" w:rsidP="00E607DA">
            <w:pPr>
              <w:rPr>
                <w:rFonts w:ascii="Meta Pro" w:eastAsia="Times New Roman" w:hAnsi="Meta Pro"/>
                <w:b/>
                <w:bCs/>
                <w:color w:val="000000"/>
                <w:szCs w:val="18"/>
                <w:lang w:eastAsia="en-AU"/>
              </w:rPr>
            </w:pPr>
          </w:p>
        </w:tc>
        <w:tc>
          <w:tcPr>
            <w:tcW w:w="5236" w:type="dxa"/>
            <w:gridSpan w:val="5"/>
            <w:tcBorders>
              <w:top w:val="single" w:sz="4" w:space="0" w:color="auto"/>
              <w:left w:val="nil"/>
              <w:bottom w:val="nil"/>
              <w:right w:val="nil"/>
            </w:tcBorders>
            <w:shd w:val="clear" w:color="auto" w:fill="auto"/>
            <w:hideMark/>
          </w:tcPr>
          <w:p w14:paraId="4510FFFD"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Management Certificate of the Department of Transport</w:t>
            </w:r>
          </w:p>
        </w:tc>
        <w:tc>
          <w:tcPr>
            <w:tcW w:w="1165" w:type="dxa"/>
            <w:gridSpan w:val="2"/>
            <w:tcBorders>
              <w:top w:val="nil"/>
              <w:left w:val="nil"/>
              <w:bottom w:val="nil"/>
              <w:right w:val="nil"/>
            </w:tcBorders>
            <w:shd w:val="clear" w:color="auto" w:fill="auto"/>
            <w:noWrap/>
            <w:vAlign w:val="center"/>
            <w:hideMark/>
          </w:tcPr>
          <w:p w14:paraId="3839785C" w14:textId="77777777" w:rsidR="00FF0FCE" w:rsidRPr="008C5DE9" w:rsidRDefault="00FF0FCE" w:rsidP="00E607DA">
            <w:pPr>
              <w:jc w:val="center"/>
              <w:rPr>
                <w:rFonts w:ascii="Meta Pro" w:eastAsia="Times New Roman" w:hAnsi="Meta Pro"/>
                <w:color w:val="000000"/>
                <w:szCs w:val="18"/>
                <w:lang w:eastAsia="en-AU"/>
              </w:rPr>
            </w:pPr>
            <w:r>
              <w:rPr>
                <w:rFonts w:ascii="Meta Pro" w:eastAsia="Times New Roman" w:hAnsi="Meta Pro"/>
                <w:color w:val="000000"/>
                <w:szCs w:val="18"/>
                <w:lang w:eastAsia="en-AU"/>
              </w:rPr>
              <w:t>193</w:t>
            </w:r>
          </w:p>
        </w:tc>
      </w:tr>
      <w:tr w:rsidR="00FF0FCE" w:rsidRPr="008C5DE9" w14:paraId="18FFBF22" w14:textId="77777777" w:rsidTr="00EE4927">
        <w:trPr>
          <w:gridAfter w:val="1"/>
          <w:wAfter w:w="568" w:type="dxa"/>
          <w:trHeight w:val="23"/>
        </w:trPr>
        <w:tc>
          <w:tcPr>
            <w:tcW w:w="1227" w:type="dxa"/>
            <w:gridSpan w:val="2"/>
            <w:tcBorders>
              <w:top w:val="nil"/>
              <w:left w:val="nil"/>
              <w:bottom w:val="nil"/>
              <w:right w:val="nil"/>
            </w:tcBorders>
            <w:shd w:val="clear" w:color="auto" w:fill="auto"/>
            <w:noWrap/>
            <w:hideMark/>
          </w:tcPr>
          <w:p w14:paraId="7FA52DED" w14:textId="77777777" w:rsidR="00FF0FCE" w:rsidRPr="008C5DE9" w:rsidRDefault="00FF0FCE" w:rsidP="00E607DA">
            <w:pPr>
              <w:jc w:val="center"/>
              <w:rPr>
                <w:rFonts w:ascii="Meta Pro" w:eastAsia="Times New Roman" w:hAnsi="Meta Pro"/>
                <w:color w:val="000000"/>
                <w:szCs w:val="18"/>
                <w:lang w:eastAsia="en-AU"/>
              </w:rPr>
            </w:pPr>
          </w:p>
        </w:tc>
        <w:tc>
          <w:tcPr>
            <w:tcW w:w="1442" w:type="dxa"/>
            <w:tcBorders>
              <w:top w:val="nil"/>
              <w:left w:val="nil"/>
              <w:bottom w:val="nil"/>
              <w:right w:val="nil"/>
            </w:tcBorders>
            <w:shd w:val="clear" w:color="auto" w:fill="auto"/>
            <w:noWrap/>
            <w:vAlign w:val="center"/>
            <w:hideMark/>
          </w:tcPr>
          <w:p w14:paraId="7EDFDCFF" w14:textId="77777777" w:rsidR="00FF0FCE" w:rsidRPr="008C5DE9" w:rsidRDefault="00FF0FCE" w:rsidP="00E607DA">
            <w:pPr>
              <w:rPr>
                <w:rFonts w:eastAsia="Times New Roman" w:cs="Times New Roman"/>
                <w:sz w:val="20"/>
                <w:szCs w:val="20"/>
                <w:lang w:eastAsia="en-AU"/>
              </w:rPr>
            </w:pPr>
          </w:p>
        </w:tc>
        <w:tc>
          <w:tcPr>
            <w:tcW w:w="5236" w:type="dxa"/>
            <w:gridSpan w:val="5"/>
            <w:tcBorders>
              <w:top w:val="nil"/>
              <w:left w:val="nil"/>
              <w:bottom w:val="nil"/>
              <w:right w:val="nil"/>
            </w:tcBorders>
            <w:shd w:val="clear" w:color="auto" w:fill="auto"/>
            <w:hideMark/>
          </w:tcPr>
          <w:p w14:paraId="6D2E253C"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and Main Roads</w:t>
            </w:r>
          </w:p>
        </w:tc>
        <w:tc>
          <w:tcPr>
            <w:tcW w:w="1165" w:type="dxa"/>
            <w:gridSpan w:val="2"/>
            <w:tcBorders>
              <w:top w:val="nil"/>
              <w:left w:val="nil"/>
              <w:bottom w:val="nil"/>
              <w:right w:val="nil"/>
            </w:tcBorders>
            <w:shd w:val="clear" w:color="auto" w:fill="auto"/>
            <w:noWrap/>
            <w:vAlign w:val="center"/>
            <w:hideMark/>
          </w:tcPr>
          <w:p w14:paraId="1E575FB7" w14:textId="77777777" w:rsidR="00FF0FCE" w:rsidRPr="008C5DE9" w:rsidRDefault="00FF0FCE" w:rsidP="00E607DA">
            <w:pPr>
              <w:rPr>
                <w:rFonts w:ascii="Meta Pro" w:eastAsia="Times New Roman" w:hAnsi="Meta Pro"/>
                <w:color w:val="000000"/>
                <w:szCs w:val="18"/>
                <w:lang w:eastAsia="en-AU"/>
              </w:rPr>
            </w:pPr>
          </w:p>
        </w:tc>
      </w:tr>
      <w:tr w:rsidR="00FF0FCE" w:rsidRPr="008C5DE9" w14:paraId="0B6A02A5" w14:textId="77777777" w:rsidTr="00EE4927">
        <w:trPr>
          <w:gridAfter w:val="1"/>
          <w:wAfter w:w="568" w:type="dxa"/>
          <w:trHeight w:val="23"/>
        </w:trPr>
        <w:tc>
          <w:tcPr>
            <w:tcW w:w="1227" w:type="dxa"/>
            <w:gridSpan w:val="2"/>
            <w:tcBorders>
              <w:top w:val="nil"/>
              <w:left w:val="nil"/>
              <w:bottom w:val="nil"/>
              <w:right w:val="nil"/>
            </w:tcBorders>
            <w:shd w:val="clear" w:color="auto" w:fill="auto"/>
            <w:noWrap/>
            <w:vAlign w:val="center"/>
            <w:hideMark/>
          </w:tcPr>
          <w:p w14:paraId="2654320D" w14:textId="77777777" w:rsidR="00FF0FCE" w:rsidRPr="008C5DE9" w:rsidRDefault="00FF0FCE" w:rsidP="00E607DA">
            <w:pPr>
              <w:jc w:val="center"/>
              <w:rPr>
                <w:rFonts w:eastAsia="Times New Roman" w:cs="Times New Roman"/>
                <w:sz w:val="20"/>
                <w:szCs w:val="20"/>
                <w:lang w:eastAsia="en-AU"/>
              </w:rPr>
            </w:pPr>
          </w:p>
        </w:tc>
        <w:tc>
          <w:tcPr>
            <w:tcW w:w="1442" w:type="dxa"/>
            <w:tcBorders>
              <w:top w:val="nil"/>
              <w:left w:val="nil"/>
              <w:bottom w:val="nil"/>
              <w:right w:val="nil"/>
            </w:tcBorders>
            <w:shd w:val="clear" w:color="auto" w:fill="auto"/>
            <w:noWrap/>
            <w:vAlign w:val="center"/>
            <w:hideMark/>
          </w:tcPr>
          <w:p w14:paraId="0710E721" w14:textId="77777777" w:rsidR="00FF0FCE" w:rsidRPr="008C5DE9" w:rsidRDefault="00FF0FCE" w:rsidP="00E607DA">
            <w:pPr>
              <w:rPr>
                <w:rFonts w:eastAsia="Times New Roman" w:cs="Times New Roman"/>
                <w:sz w:val="20"/>
                <w:szCs w:val="20"/>
                <w:lang w:eastAsia="en-AU"/>
              </w:rPr>
            </w:pPr>
          </w:p>
        </w:tc>
        <w:tc>
          <w:tcPr>
            <w:tcW w:w="5236" w:type="dxa"/>
            <w:gridSpan w:val="5"/>
            <w:tcBorders>
              <w:top w:val="nil"/>
              <w:left w:val="nil"/>
              <w:bottom w:val="single" w:sz="4" w:space="0" w:color="auto"/>
              <w:right w:val="nil"/>
            </w:tcBorders>
            <w:shd w:val="clear" w:color="auto" w:fill="auto"/>
            <w:hideMark/>
          </w:tcPr>
          <w:p w14:paraId="2E7F9EA0" w14:textId="77777777" w:rsidR="00FF0FCE" w:rsidRPr="008C5DE9" w:rsidRDefault="00FF0FCE" w:rsidP="00E607DA">
            <w:pPr>
              <w:rPr>
                <w:rFonts w:ascii="Meta Pro" w:eastAsia="Times New Roman" w:hAnsi="Meta Pro"/>
                <w:color w:val="000000"/>
                <w:szCs w:val="18"/>
                <w:lang w:eastAsia="en-AU"/>
              </w:rPr>
            </w:pPr>
            <w:r w:rsidRPr="008C5DE9">
              <w:rPr>
                <w:rFonts w:ascii="Meta Pro" w:eastAsia="Times New Roman" w:hAnsi="Meta Pro"/>
                <w:color w:val="000000"/>
                <w:szCs w:val="18"/>
                <w:lang w:eastAsia="en-AU"/>
              </w:rPr>
              <w:t>Independent Auditor's Report</w:t>
            </w:r>
          </w:p>
        </w:tc>
        <w:tc>
          <w:tcPr>
            <w:tcW w:w="1165" w:type="dxa"/>
            <w:gridSpan w:val="2"/>
            <w:tcBorders>
              <w:top w:val="nil"/>
              <w:left w:val="nil"/>
              <w:bottom w:val="single" w:sz="4" w:space="0" w:color="auto"/>
              <w:right w:val="nil"/>
            </w:tcBorders>
            <w:shd w:val="clear" w:color="auto" w:fill="auto"/>
            <w:noWrap/>
            <w:vAlign w:val="center"/>
            <w:hideMark/>
          </w:tcPr>
          <w:p w14:paraId="70F53E75" w14:textId="77777777" w:rsidR="00FF0FCE" w:rsidRPr="008C5DE9" w:rsidRDefault="00FF0FCE" w:rsidP="00E607DA">
            <w:pPr>
              <w:jc w:val="center"/>
              <w:rPr>
                <w:rFonts w:ascii="Meta Pro" w:eastAsia="Times New Roman" w:hAnsi="Meta Pro"/>
                <w:color w:val="000000"/>
                <w:szCs w:val="18"/>
                <w:lang w:eastAsia="en-AU"/>
              </w:rPr>
            </w:pPr>
            <w:r>
              <w:rPr>
                <w:rFonts w:ascii="Meta Pro" w:eastAsia="Times New Roman" w:hAnsi="Meta Pro"/>
                <w:color w:val="000000"/>
                <w:szCs w:val="18"/>
                <w:lang w:eastAsia="en-AU"/>
              </w:rPr>
              <w:t>194</w:t>
            </w:r>
          </w:p>
        </w:tc>
      </w:tr>
      <w:tr w:rsidR="00EE4927" w:rsidRPr="00092B22" w14:paraId="39C37C18" w14:textId="77777777" w:rsidTr="00EE4927">
        <w:trPr>
          <w:trHeight w:val="23"/>
        </w:trPr>
        <w:tc>
          <w:tcPr>
            <w:tcW w:w="5163" w:type="dxa"/>
            <w:gridSpan w:val="5"/>
            <w:tcBorders>
              <w:top w:val="nil"/>
              <w:left w:val="nil"/>
              <w:bottom w:val="nil"/>
              <w:right w:val="nil"/>
            </w:tcBorders>
            <w:shd w:val="clear" w:color="auto" w:fill="auto"/>
            <w:noWrap/>
            <w:vAlign w:val="center"/>
            <w:hideMark/>
          </w:tcPr>
          <w:p w14:paraId="107D2892" w14:textId="77777777" w:rsidR="00EE4927" w:rsidRPr="00092B22" w:rsidRDefault="00EE4927" w:rsidP="00E607DA">
            <w:pPr>
              <w:rPr>
                <w:rFonts w:ascii="Meta Pro" w:eastAsia="Times New Roman" w:hAnsi="Meta Pro"/>
                <w:b/>
                <w:bCs/>
                <w:color w:val="000000"/>
                <w:lang w:eastAsia="en-AU"/>
              </w:rPr>
            </w:pPr>
            <w:r w:rsidRPr="00092B22">
              <w:rPr>
                <w:rFonts w:ascii="Meta Pro" w:eastAsia="Times New Roman" w:hAnsi="Meta Pro"/>
                <w:b/>
                <w:bCs/>
                <w:color w:val="000000"/>
                <w:lang w:eastAsia="en-AU"/>
              </w:rPr>
              <w:t>OPERATING RESULT</w:t>
            </w:r>
          </w:p>
        </w:tc>
        <w:tc>
          <w:tcPr>
            <w:tcW w:w="1018" w:type="dxa"/>
            <w:tcBorders>
              <w:top w:val="nil"/>
              <w:left w:val="nil"/>
              <w:bottom w:val="nil"/>
              <w:right w:val="nil"/>
            </w:tcBorders>
            <w:shd w:val="clear" w:color="auto" w:fill="auto"/>
            <w:noWrap/>
            <w:vAlign w:val="center"/>
            <w:hideMark/>
          </w:tcPr>
          <w:p w14:paraId="2C8A2CA0" w14:textId="77777777" w:rsidR="00EE4927" w:rsidRPr="00092B22" w:rsidRDefault="00EE4927" w:rsidP="00E607DA">
            <w:pPr>
              <w:jc w:val="center"/>
              <w:rPr>
                <w:rFonts w:ascii="Meta Pro" w:eastAsia="Times New Roman" w:hAnsi="Meta Pro"/>
                <w:b/>
                <w:bCs/>
                <w:color w:val="000000"/>
                <w:lang w:eastAsia="en-AU"/>
              </w:rPr>
            </w:pPr>
            <w:r w:rsidRPr="00092B22">
              <w:rPr>
                <w:rFonts w:ascii="Meta Pro" w:eastAsia="Times New Roman" w:hAnsi="Meta Pro"/>
                <w:b/>
                <w:bCs/>
                <w:color w:val="000000"/>
                <w:lang w:eastAsia="en-AU"/>
              </w:rPr>
              <w:t>Note</w:t>
            </w:r>
          </w:p>
        </w:tc>
        <w:tc>
          <w:tcPr>
            <w:tcW w:w="222" w:type="dxa"/>
            <w:tcBorders>
              <w:top w:val="nil"/>
              <w:left w:val="nil"/>
              <w:bottom w:val="nil"/>
              <w:right w:val="nil"/>
            </w:tcBorders>
            <w:shd w:val="clear" w:color="auto" w:fill="auto"/>
            <w:noWrap/>
            <w:vAlign w:val="center"/>
            <w:hideMark/>
          </w:tcPr>
          <w:p w14:paraId="4BDEC9D2" w14:textId="77777777" w:rsidR="00EE4927" w:rsidRPr="00092B22" w:rsidRDefault="00EE4927" w:rsidP="00E607DA">
            <w:pPr>
              <w:jc w:val="center"/>
              <w:rPr>
                <w:rFonts w:ascii="Meta Pro" w:eastAsia="Times New Roman" w:hAnsi="Meta Pro"/>
                <w:b/>
                <w:bCs/>
                <w:color w:val="000000"/>
                <w:lang w:eastAsia="en-AU"/>
              </w:rPr>
            </w:pPr>
          </w:p>
        </w:tc>
        <w:tc>
          <w:tcPr>
            <w:tcW w:w="1506" w:type="dxa"/>
            <w:tcBorders>
              <w:top w:val="nil"/>
              <w:left w:val="nil"/>
              <w:bottom w:val="nil"/>
              <w:right w:val="nil"/>
            </w:tcBorders>
            <w:shd w:val="clear" w:color="auto" w:fill="auto"/>
            <w:noWrap/>
            <w:vAlign w:val="center"/>
            <w:hideMark/>
          </w:tcPr>
          <w:p w14:paraId="3CF15302" w14:textId="77777777" w:rsidR="00EE4927" w:rsidRPr="00092B22" w:rsidRDefault="00EE4927" w:rsidP="00E607DA">
            <w:pPr>
              <w:jc w:val="center"/>
              <w:rPr>
                <w:rFonts w:ascii="Meta Pro" w:eastAsia="Times New Roman" w:hAnsi="Meta Pro"/>
                <w:b/>
                <w:bCs/>
                <w:lang w:eastAsia="en-AU"/>
              </w:rPr>
            </w:pPr>
            <w:bookmarkStart w:id="20" w:name="RANGE!F5"/>
            <w:r w:rsidRPr="00092B22">
              <w:rPr>
                <w:rFonts w:ascii="Meta Pro" w:eastAsia="Times New Roman" w:hAnsi="Meta Pro"/>
                <w:b/>
                <w:bCs/>
                <w:lang w:eastAsia="en-AU"/>
              </w:rPr>
              <w:t>2022</w:t>
            </w:r>
            <w:bookmarkEnd w:id="20"/>
          </w:p>
        </w:tc>
        <w:tc>
          <w:tcPr>
            <w:tcW w:w="223" w:type="dxa"/>
            <w:tcBorders>
              <w:top w:val="nil"/>
              <w:left w:val="nil"/>
              <w:bottom w:val="nil"/>
              <w:right w:val="nil"/>
            </w:tcBorders>
            <w:shd w:val="clear" w:color="auto" w:fill="auto"/>
            <w:noWrap/>
            <w:vAlign w:val="center"/>
            <w:hideMark/>
          </w:tcPr>
          <w:p w14:paraId="110A45C7" w14:textId="77777777" w:rsidR="00EE4927" w:rsidRPr="00092B22" w:rsidRDefault="00EE4927" w:rsidP="00E607DA">
            <w:pPr>
              <w:jc w:val="center"/>
              <w:rPr>
                <w:rFonts w:ascii="Meta Pro" w:eastAsia="Times New Roman" w:hAnsi="Meta Pro"/>
                <w:b/>
                <w:bCs/>
                <w:lang w:eastAsia="en-AU"/>
              </w:rPr>
            </w:pPr>
          </w:p>
        </w:tc>
        <w:tc>
          <w:tcPr>
            <w:tcW w:w="1506" w:type="dxa"/>
            <w:gridSpan w:val="2"/>
            <w:tcBorders>
              <w:top w:val="nil"/>
              <w:left w:val="nil"/>
              <w:bottom w:val="nil"/>
              <w:right w:val="nil"/>
            </w:tcBorders>
            <w:shd w:val="clear" w:color="auto" w:fill="auto"/>
            <w:noWrap/>
            <w:vAlign w:val="center"/>
            <w:hideMark/>
          </w:tcPr>
          <w:p w14:paraId="522392CC" w14:textId="77777777" w:rsidR="00EE4927" w:rsidRPr="00092B22" w:rsidRDefault="00EE4927" w:rsidP="00E607DA">
            <w:pPr>
              <w:jc w:val="center"/>
              <w:rPr>
                <w:rFonts w:ascii="Meta Pro" w:eastAsia="Times New Roman" w:hAnsi="Meta Pro"/>
                <w:b/>
                <w:bCs/>
                <w:lang w:eastAsia="en-AU"/>
              </w:rPr>
            </w:pPr>
            <w:bookmarkStart w:id="21" w:name="RANGE!H5"/>
            <w:r w:rsidRPr="00092B22">
              <w:rPr>
                <w:rFonts w:ascii="Meta Pro" w:eastAsia="Times New Roman" w:hAnsi="Meta Pro"/>
                <w:b/>
                <w:bCs/>
                <w:lang w:eastAsia="en-AU"/>
              </w:rPr>
              <w:t>2021</w:t>
            </w:r>
            <w:bookmarkEnd w:id="21"/>
          </w:p>
        </w:tc>
      </w:tr>
      <w:tr w:rsidR="00EE4927" w:rsidRPr="00092B22" w14:paraId="69BC759D" w14:textId="77777777" w:rsidTr="00EE4927">
        <w:trPr>
          <w:trHeight w:val="23"/>
        </w:trPr>
        <w:tc>
          <w:tcPr>
            <w:tcW w:w="221" w:type="dxa"/>
            <w:tcBorders>
              <w:top w:val="nil"/>
              <w:left w:val="nil"/>
              <w:bottom w:val="nil"/>
              <w:right w:val="nil"/>
            </w:tcBorders>
            <w:shd w:val="clear" w:color="auto" w:fill="auto"/>
            <w:noWrap/>
            <w:vAlign w:val="center"/>
            <w:hideMark/>
          </w:tcPr>
          <w:p w14:paraId="1B7C7259" w14:textId="77777777" w:rsidR="00EE4927" w:rsidRPr="00092B22" w:rsidRDefault="00EE4927" w:rsidP="00E607DA">
            <w:pPr>
              <w:jc w:val="center"/>
              <w:rPr>
                <w:rFonts w:ascii="Meta Pro" w:eastAsia="Times New Roman" w:hAnsi="Meta Pro"/>
                <w:b/>
                <w:bCs/>
                <w:lang w:eastAsia="en-AU"/>
              </w:rPr>
            </w:pPr>
          </w:p>
        </w:tc>
        <w:tc>
          <w:tcPr>
            <w:tcW w:w="4942" w:type="dxa"/>
            <w:gridSpan w:val="4"/>
            <w:tcBorders>
              <w:top w:val="nil"/>
              <w:left w:val="nil"/>
              <w:bottom w:val="nil"/>
              <w:right w:val="nil"/>
            </w:tcBorders>
            <w:shd w:val="clear" w:color="auto" w:fill="auto"/>
            <w:noWrap/>
            <w:vAlign w:val="center"/>
            <w:hideMark/>
          </w:tcPr>
          <w:p w14:paraId="103B7AB4" w14:textId="77777777" w:rsidR="00EE4927" w:rsidRPr="00092B22" w:rsidRDefault="00EE4927" w:rsidP="00E607DA">
            <w:pPr>
              <w:rPr>
                <w:rFonts w:ascii="Meta Pro" w:eastAsia="Times New Roman" w:hAnsi="Meta Pro" w:cs="Times New Roman"/>
                <w:sz w:val="20"/>
                <w:szCs w:val="20"/>
                <w:lang w:eastAsia="en-AU"/>
              </w:rPr>
            </w:pPr>
          </w:p>
        </w:tc>
        <w:tc>
          <w:tcPr>
            <w:tcW w:w="1018" w:type="dxa"/>
            <w:tcBorders>
              <w:top w:val="nil"/>
              <w:left w:val="nil"/>
              <w:bottom w:val="nil"/>
              <w:right w:val="nil"/>
            </w:tcBorders>
            <w:shd w:val="clear" w:color="auto" w:fill="auto"/>
            <w:noWrap/>
            <w:vAlign w:val="center"/>
            <w:hideMark/>
          </w:tcPr>
          <w:p w14:paraId="54DF11F9" w14:textId="77777777" w:rsidR="00EE4927" w:rsidRPr="00092B22" w:rsidRDefault="00EE4927" w:rsidP="00E607DA">
            <w:pPr>
              <w:rPr>
                <w:rFonts w:ascii="Meta Pro" w:eastAsia="Times New Roman" w:hAnsi="Meta Pro" w:cs="Times New Roman"/>
                <w:sz w:val="20"/>
                <w:szCs w:val="20"/>
                <w:lang w:eastAsia="en-AU"/>
              </w:rPr>
            </w:pPr>
          </w:p>
        </w:tc>
        <w:tc>
          <w:tcPr>
            <w:tcW w:w="222" w:type="dxa"/>
            <w:tcBorders>
              <w:top w:val="nil"/>
              <w:left w:val="nil"/>
              <w:bottom w:val="nil"/>
              <w:right w:val="nil"/>
            </w:tcBorders>
            <w:shd w:val="clear" w:color="auto" w:fill="auto"/>
            <w:noWrap/>
            <w:vAlign w:val="center"/>
            <w:hideMark/>
          </w:tcPr>
          <w:p w14:paraId="0CC15B58" w14:textId="77777777" w:rsidR="00EE4927" w:rsidRPr="00092B22" w:rsidRDefault="00EE4927" w:rsidP="00E607DA">
            <w:pPr>
              <w:jc w:val="center"/>
              <w:rPr>
                <w:rFonts w:ascii="Meta Pro" w:eastAsia="Times New Roman" w:hAnsi="Meta Pro" w:cs="Times New Roman"/>
                <w:sz w:val="20"/>
                <w:szCs w:val="20"/>
                <w:lang w:eastAsia="en-AU"/>
              </w:rPr>
            </w:pPr>
          </w:p>
        </w:tc>
        <w:tc>
          <w:tcPr>
            <w:tcW w:w="1506" w:type="dxa"/>
            <w:tcBorders>
              <w:top w:val="nil"/>
              <w:left w:val="nil"/>
              <w:bottom w:val="nil"/>
              <w:right w:val="nil"/>
            </w:tcBorders>
            <w:shd w:val="clear" w:color="auto" w:fill="auto"/>
            <w:noWrap/>
            <w:vAlign w:val="center"/>
            <w:hideMark/>
          </w:tcPr>
          <w:p w14:paraId="70DA094C" w14:textId="77777777" w:rsidR="00EE4927" w:rsidRPr="00092B22" w:rsidRDefault="00EE4927" w:rsidP="00E607DA">
            <w:pPr>
              <w:jc w:val="center"/>
              <w:rPr>
                <w:rFonts w:ascii="Meta Pro" w:eastAsia="Times New Roman" w:hAnsi="Meta Pro"/>
                <w:b/>
                <w:bCs/>
                <w:color w:val="000000"/>
                <w:lang w:eastAsia="en-AU"/>
              </w:rPr>
            </w:pPr>
            <w:r w:rsidRPr="00092B22">
              <w:rPr>
                <w:rFonts w:ascii="Meta Pro" w:eastAsia="Times New Roman" w:hAnsi="Meta Pro"/>
                <w:b/>
                <w:bCs/>
                <w:color w:val="000000"/>
                <w:lang w:eastAsia="en-AU"/>
              </w:rPr>
              <w:t>$'000</w:t>
            </w:r>
          </w:p>
        </w:tc>
        <w:tc>
          <w:tcPr>
            <w:tcW w:w="223" w:type="dxa"/>
            <w:tcBorders>
              <w:top w:val="nil"/>
              <w:left w:val="nil"/>
              <w:bottom w:val="nil"/>
              <w:right w:val="nil"/>
            </w:tcBorders>
            <w:shd w:val="clear" w:color="auto" w:fill="auto"/>
            <w:noWrap/>
            <w:vAlign w:val="center"/>
            <w:hideMark/>
          </w:tcPr>
          <w:p w14:paraId="77A389A3" w14:textId="77777777" w:rsidR="00EE4927" w:rsidRPr="00092B22" w:rsidRDefault="00EE4927" w:rsidP="00E607DA">
            <w:pPr>
              <w:jc w:val="center"/>
              <w:rPr>
                <w:rFonts w:ascii="Meta Pro" w:eastAsia="Times New Roman" w:hAnsi="Meta Pro"/>
                <w:b/>
                <w:bCs/>
                <w:color w:val="000000"/>
                <w:lang w:eastAsia="en-AU"/>
              </w:rPr>
            </w:pPr>
          </w:p>
        </w:tc>
        <w:tc>
          <w:tcPr>
            <w:tcW w:w="1506" w:type="dxa"/>
            <w:gridSpan w:val="2"/>
            <w:tcBorders>
              <w:top w:val="nil"/>
              <w:left w:val="nil"/>
              <w:bottom w:val="nil"/>
              <w:right w:val="nil"/>
            </w:tcBorders>
            <w:shd w:val="clear" w:color="auto" w:fill="auto"/>
            <w:noWrap/>
            <w:vAlign w:val="center"/>
            <w:hideMark/>
          </w:tcPr>
          <w:p w14:paraId="57E43B1C" w14:textId="77777777" w:rsidR="00EE4927" w:rsidRPr="00092B22" w:rsidRDefault="00EE4927" w:rsidP="00E607DA">
            <w:pPr>
              <w:jc w:val="center"/>
              <w:rPr>
                <w:rFonts w:ascii="Meta Pro" w:eastAsia="Times New Roman" w:hAnsi="Meta Pro"/>
                <w:b/>
                <w:bCs/>
                <w:color w:val="000000"/>
                <w:lang w:eastAsia="en-AU"/>
              </w:rPr>
            </w:pPr>
            <w:r w:rsidRPr="00092B22">
              <w:rPr>
                <w:rFonts w:ascii="Meta Pro" w:eastAsia="Times New Roman" w:hAnsi="Meta Pro"/>
                <w:b/>
                <w:bCs/>
                <w:color w:val="000000"/>
                <w:lang w:eastAsia="en-AU"/>
              </w:rPr>
              <w:t>$'000</w:t>
            </w:r>
          </w:p>
        </w:tc>
      </w:tr>
      <w:tr w:rsidR="00EE4927" w:rsidRPr="00092B22" w14:paraId="1714668F" w14:textId="77777777" w:rsidTr="00EE4927">
        <w:trPr>
          <w:trHeight w:val="23"/>
        </w:trPr>
        <w:tc>
          <w:tcPr>
            <w:tcW w:w="5163" w:type="dxa"/>
            <w:gridSpan w:val="5"/>
            <w:tcBorders>
              <w:top w:val="nil"/>
              <w:left w:val="nil"/>
              <w:bottom w:val="nil"/>
              <w:right w:val="nil"/>
            </w:tcBorders>
            <w:shd w:val="clear" w:color="auto" w:fill="auto"/>
            <w:noWrap/>
            <w:vAlign w:val="center"/>
            <w:hideMark/>
          </w:tcPr>
          <w:p w14:paraId="7DF8FD12" w14:textId="77777777" w:rsidR="00EE4927" w:rsidRPr="00092B22" w:rsidRDefault="00EE4927" w:rsidP="00E607DA">
            <w:pP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Income</w:t>
            </w:r>
          </w:p>
        </w:tc>
        <w:tc>
          <w:tcPr>
            <w:tcW w:w="1018" w:type="dxa"/>
            <w:tcBorders>
              <w:top w:val="nil"/>
              <w:left w:val="nil"/>
              <w:bottom w:val="nil"/>
              <w:right w:val="nil"/>
            </w:tcBorders>
            <w:shd w:val="clear" w:color="auto" w:fill="auto"/>
            <w:noWrap/>
            <w:vAlign w:val="center"/>
            <w:hideMark/>
          </w:tcPr>
          <w:p w14:paraId="5411911A" w14:textId="77777777" w:rsidR="00EE4927" w:rsidRPr="00092B22" w:rsidRDefault="00EE4927" w:rsidP="00E607DA">
            <w:pPr>
              <w:rPr>
                <w:rFonts w:ascii="Meta Pro" w:eastAsia="Times New Roman" w:hAnsi="Meta Pro"/>
                <w:b/>
                <w:bCs/>
                <w:color w:val="000000"/>
                <w:szCs w:val="18"/>
                <w:lang w:eastAsia="en-AU"/>
              </w:rPr>
            </w:pPr>
          </w:p>
        </w:tc>
        <w:tc>
          <w:tcPr>
            <w:tcW w:w="222" w:type="dxa"/>
            <w:tcBorders>
              <w:top w:val="nil"/>
              <w:left w:val="nil"/>
              <w:bottom w:val="nil"/>
              <w:right w:val="nil"/>
            </w:tcBorders>
            <w:shd w:val="clear" w:color="auto" w:fill="auto"/>
            <w:noWrap/>
            <w:vAlign w:val="center"/>
            <w:hideMark/>
          </w:tcPr>
          <w:p w14:paraId="40F86C22" w14:textId="77777777" w:rsidR="00EE4927" w:rsidRPr="00092B22" w:rsidRDefault="00EE4927" w:rsidP="00E607DA">
            <w:pPr>
              <w:jc w:val="center"/>
              <w:rPr>
                <w:rFonts w:ascii="Meta Pro" w:eastAsia="Times New Roman" w:hAnsi="Meta Pro" w:cs="Times New Roman"/>
                <w:sz w:val="20"/>
                <w:szCs w:val="20"/>
                <w:lang w:eastAsia="en-AU"/>
              </w:rPr>
            </w:pPr>
          </w:p>
        </w:tc>
        <w:tc>
          <w:tcPr>
            <w:tcW w:w="1506" w:type="dxa"/>
            <w:tcBorders>
              <w:top w:val="nil"/>
              <w:left w:val="nil"/>
              <w:bottom w:val="nil"/>
              <w:right w:val="nil"/>
            </w:tcBorders>
            <w:shd w:val="clear" w:color="auto" w:fill="auto"/>
            <w:noWrap/>
            <w:vAlign w:val="center"/>
            <w:hideMark/>
          </w:tcPr>
          <w:p w14:paraId="15593E74" w14:textId="77777777" w:rsidR="00EE4927" w:rsidRPr="00092B22" w:rsidRDefault="00EE4927" w:rsidP="00E607DA">
            <w:pPr>
              <w:rPr>
                <w:rFonts w:ascii="Meta Pro" w:eastAsia="Times New Roman" w:hAnsi="Meta Pro" w:cs="Times New Roman"/>
                <w:sz w:val="20"/>
                <w:szCs w:val="20"/>
                <w:lang w:eastAsia="en-AU"/>
              </w:rPr>
            </w:pPr>
          </w:p>
        </w:tc>
        <w:tc>
          <w:tcPr>
            <w:tcW w:w="223" w:type="dxa"/>
            <w:tcBorders>
              <w:top w:val="nil"/>
              <w:left w:val="nil"/>
              <w:bottom w:val="nil"/>
              <w:right w:val="nil"/>
            </w:tcBorders>
            <w:shd w:val="clear" w:color="auto" w:fill="auto"/>
            <w:noWrap/>
            <w:vAlign w:val="center"/>
            <w:hideMark/>
          </w:tcPr>
          <w:p w14:paraId="1BBDA369" w14:textId="77777777" w:rsidR="00EE4927" w:rsidRPr="00092B22" w:rsidRDefault="00EE4927" w:rsidP="00E607DA">
            <w:pPr>
              <w:rPr>
                <w:rFonts w:ascii="Meta Pro" w:eastAsia="Times New Roman" w:hAnsi="Meta Pro" w:cs="Times New Roman"/>
                <w:sz w:val="20"/>
                <w:szCs w:val="20"/>
                <w:lang w:eastAsia="en-AU"/>
              </w:rPr>
            </w:pPr>
          </w:p>
        </w:tc>
        <w:tc>
          <w:tcPr>
            <w:tcW w:w="1506" w:type="dxa"/>
            <w:gridSpan w:val="2"/>
            <w:tcBorders>
              <w:top w:val="nil"/>
              <w:left w:val="nil"/>
              <w:bottom w:val="nil"/>
              <w:right w:val="nil"/>
            </w:tcBorders>
            <w:shd w:val="clear" w:color="auto" w:fill="auto"/>
            <w:noWrap/>
            <w:vAlign w:val="center"/>
            <w:hideMark/>
          </w:tcPr>
          <w:p w14:paraId="5532C09F" w14:textId="77777777" w:rsidR="00EE4927" w:rsidRPr="00092B22" w:rsidRDefault="00EE4927" w:rsidP="00E607DA">
            <w:pPr>
              <w:rPr>
                <w:rFonts w:ascii="Meta Pro" w:eastAsia="Times New Roman" w:hAnsi="Meta Pro" w:cs="Times New Roman"/>
                <w:sz w:val="20"/>
                <w:szCs w:val="20"/>
                <w:lang w:eastAsia="en-AU"/>
              </w:rPr>
            </w:pPr>
          </w:p>
        </w:tc>
      </w:tr>
      <w:tr w:rsidR="00EE4927" w:rsidRPr="00092B22" w14:paraId="7CCB416D" w14:textId="77777777" w:rsidTr="00EE4927">
        <w:trPr>
          <w:trHeight w:val="23"/>
        </w:trPr>
        <w:tc>
          <w:tcPr>
            <w:tcW w:w="221" w:type="dxa"/>
            <w:tcBorders>
              <w:top w:val="nil"/>
              <w:left w:val="nil"/>
              <w:bottom w:val="nil"/>
              <w:right w:val="nil"/>
            </w:tcBorders>
            <w:shd w:val="clear" w:color="auto" w:fill="auto"/>
            <w:noWrap/>
            <w:vAlign w:val="center"/>
            <w:hideMark/>
          </w:tcPr>
          <w:p w14:paraId="04AF4AC7" w14:textId="77777777" w:rsidR="00EE4927" w:rsidRPr="00092B22" w:rsidRDefault="00EE4927" w:rsidP="00E607DA">
            <w:pPr>
              <w:rPr>
                <w:rFonts w:ascii="Meta Pro" w:eastAsia="Times New Roman" w:hAnsi="Meta Pro" w:cs="Times New Roman"/>
                <w:sz w:val="20"/>
                <w:szCs w:val="20"/>
                <w:lang w:eastAsia="en-AU"/>
              </w:rPr>
            </w:pPr>
          </w:p>
        </w:tc>
        <w:tc>
          <w:tcPr>
            <w:tcW w:w="4942" w:type="dxa"/>
            <w:gridSpan w:val="4"/>
            <w:tcBorders>
              <w:top w:val="nil"/>
              <w:left w:val="nil"/>
              <w:bottom w:val="nil"/>
              <w:right w:val="nil"/>
            </w:tcBorders>
            <w:shd w:val="clear" w:color="auto" w:fill="auto"/>
            <w:noWrap/>
            <w:vAlign w:val="center"/>
            <w:hideMark/>
          </w:tcPr>
          <w:p w14:paraId="53D46B11" w14:textId="77777777" w:rsidR="00EE4927" w:rsidRPr="00092B22" w:rsidRDefault="00EE4927"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Appropriation revenue</w:t>
            </w:r>
          </w:p>
        </w:tc>
        <w:tc>
          <w:tcPr>
            <w:tcW w:w="1018" w:type="dxa"/>
            <w:tcBorders>
              <w:top w:val="nil"/>
              <w:left w:val="nil"/>
              <w:bottom w:val="nil"/>
              <w:right w:val="nil"/>
            </w:tcBorders>
            <w:shd w:val="clear" w:color="auto" w:fill="auto"/>
            <w:noWrap/>
            <w:vAlign w:val="center"/>
            <w:hideMark/>
          </w:tcPr>
          <w:p w14:paraId="171C3C8D" w14:textId="77777777" w:rsidR="00EE4927" w:rsidRPr="00092B22" w:rsidRDefault="00EE4927"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2</w:t>
            </w:r>
          </w:p>
        </w:tc>
        <w:tc>
          <w:tcPr>
            <w:tcW w:w="222" w:type="dxa"/>
            <w:tcBorders>
              <w:top w:val="nil"/>
              <w:left w:val="nil"/>
              <w:bottom w:val="nil"/>
              <w:right w:val="nil"/>
            </w:tcBorders>
            <w:shd w:val="clear" w:color="auto" w:fill="auto"/>
            <w:noWrap/>
            <w:vAlign w:val="center"/>
            <w:hideMark/>
          </w:tcPr>
          <w:p w14:paraId="314BAABD" w14:textId="77777777" w:rsidR="00EE4927" w:rsidRPr="00092B22" w:rsidRDefault="00EE4927" w:rsidP="00E607DA">
            <w:pPr>
              <w:jc w:val="center"/>
              <w:rPr>
                <w:rFonts w:ascii="Meta Pro" w:eastAsia="Times New Roman" w:hAnsi="Meta Pro"/>
                <w:color w:val="000000"/>
                <w:szCs w:val="18"/>
                <w:lang w:eastAsia="en-AU"/>
              </w:rPr>
            </w:pPr>
          </w:p>
        </w:tc>
        <w:tc>
          <w:tcPr>
            <w:tcW w:w="1506" w:type="dxa"/>
            <w:tcBorders>
              <w:top w:val="nil"/>
              <w:left w:val="nil"/>
              <w:bottom w:val="nil"/>
              <w:right w:val="nil"/>
            </w:tcBorders>
            <w:shd w:val="clear" w:color="000000" w:fill="C9E3B4"/>
            <w:noWrap/>
            <w:vAlign w:val="center"/>
            <w:hideMark/>
          </w:tcPr>
          <w:p w14:paraId="3EE1F35F"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5,927,541 </w:t>
            </w:r>
          </w:p>
        </w:tc>
        <w:tc>
          <w:tcPr>
            <w:tcW w:w="223" w:type="dxa"/>
            <w:tcBorders>
              <w:top w:val="nil"/>
              <w:left w:val="nil"/>
              <w:bottom w:val="nil"/>
              <w:right w:val="nil"/>
            </w:tcBorders>
            <w:shd w:val="clear" w:color="auto" w:fill="auto"/>
            <w:noWrap/>
            <w:vAlign w:val="center"/>
            <w:hideMark/>
          </w:tcPr>
          <w:p w14:paraId="7D424DC3" w14:textId="77777777" w:rsidR="00EE4927" w:rsidRPr="00092B22" w:rsidRDefault="00EE4927" w:rsidP="00E607DA">
            <w:pPr>
              <w:jc w:val="right"/>
              <w:rPr>
                <w:rFonts w:ascii="Meta Pro" w:eastAsia="Times New Roman" w:hAnsi="Meta Pro"/>
                <w:color w:val="000000"/>
                <w:szCs w:val="18"/>
                <w:lang w:eastAsia="en-AU"/>
              </w:rPr>
            </w:pPr>
          </w:p>
        </w:tc>
        <w:tc>
          <w:tcPr>
            <w:tcW w:w="1506" w:type="dxa"/>
            <w:gridSpan w:val="2"/>
            <w:tcBorders>
              <w:top w:val="nil"/>
              <w:left w:val="nil"/>
              <w:bottom w:val="nil"/>
              <w:right w:val="nil"/>
            </w:tcBorders>
            <w:shd w:val="clear" w:color="auto" w:fill="auto"/>
            <w:noWrap/>
            <w:vAlign w:val="center"/>
            <w:hideMark/>
          </w:tcPr>
          <w:p w14:paraId="73AE3244"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5,713,024 </w:t>
            </w:r>
          </w:p>
        </w:tc>
      </w:tr>
      <w:tr w:rsidR="00EE4927" w:rsidRPr="00092B22" w14:paraId="1F5A3A5A" w14:textId="77777777" w:rsidTr="00EE4927">
        <w:trPr>
          <w:trHeight w:val="23"/>
        </w:trPr>
        <w:tc>
          <w:tcPr>
            <w:tcW w:w="221" w:type="dxa"/>
            <w:tcBorders>
              <w:top w:val="nil"/>
              <w:left w:val="nil"/>
              <w:bottom w:val="nil"/>
              <w:right w:val="nil"/>
            </w:tcBorders>
            <w:shd w:val="clear" w:color="auto" w:fill="auto"/>
            <w:noWrap/>
            <w:vAlign w:val="center"/>
            <w:hideMark/>
          </w:tcPr>
          <w:p w14:paraId="1C99F400" w14:textId="77777777" w:rsidR="00EE4927" w:rsidRPr="00092B22" w:rsidRDefault="00EE4927" w:rsidP="00E607DA">
            <w:pPr>
              <w:jc w:val="right"/>
              <w:rPr>
                <w:rFonts w:ascii="Meta Pro" w:eastAsia="Times New Roman" w:hAnsi="Meta Pro"/>
                <w:color w:val="000000"/>
                <w:szCs w:val="18"/>
                <w:lang w:eastAsia="en-AU"/>
              </w:rPr>
            </w:pPr>
          </w:p>
        </w:tc>
        <w:tc>
          <w:tcPr>
            <w:tcW w:w="4942" w:type="dxa"/>
            <w:gridSpan w:val="4"/>
            <w:tcBorders>
              <w:top w:val="nil"/>
              <w:left w:val="nil"/>
              <w:bottom w:val="nil"/>
              <w:right w:val="nil"/>
            </w:tcBorders>
            <w:shd w:val="clear" w:color="auto" w:fill="auto"/>
            <w:noWrap/>
            <w:vAlign w:val="center"/>
            <w:hideMark/>
          </w:tcPr>
          <w:p w14:paraId="59327226" w14:textId="77777777" w:rsidR="00EE4927" w:rsidRPr="00092B22" w:rsidRDefault="00EE4927"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User charges and fees</w:t>
            </w:r>
          </w:p>
        </w:tc>
        <w:tc>
          <w:tcPr>
            <w:tcW w:w="1018" w:type="dxa"/>
            <w:tcBorders>
              <w:top w:val="nil"/>
              <w:left w:val="nil"/>
              <w:bottom w:val="nil"/>
              <w:right w:val="nil"/>
            </w:tcBorders>
            <w:shd w:val="clear" w:color="auto" w:fill="auto"/>
            <w:noWrap/>
            <w:vAlign w:val="center"/>
            <w:hideMark/>
          </w:tcPr>
          <w:p w14:paraId="7F5206F3" w14:textId="77777777" w:rsidR="00EE4927" w:rsidRPr="00092B22" w:rsidRDefault="00EE4927"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3</w:t>
            </w:r>
          </w:p>
        </w:tc>
        <w:tc>
          <w:tcPr>
            <w:tcW w:w="222" w:type="dxa"/>
            <w:tcBorders>
              <w:top w:val="nil"/>
              <w:left w:val="nil"/>
              <w:bottom w:val="nil"/>
              <w:right w:val="nil"/>
            </w:tcBorders>
            <w:shd w:val="clear" w:color="auto" w:fill="auto"/>
            <w:noWrap/>
            <w:vAlign w:val="center"/>
            <w:hideMark/>
          </w:tcPr>
          <w:p w14:paraId="08E18EBE" w14:textId="77777777" w:rsidR="00EE4927" w:rsidRPr="00092B22" w:rsidRDefault="00EE4927" w:rsidP="00E607DA">
            <w:pPr>
              <w:jc w:val="center"/>
              <w:rPr>
                <w:rFonts w:ascii="Meta Pro" w:eastAsia="Times New Roman" w:hAnsi="Meta Pro"/>
                <w:color w:val="000000"/>
                <w:szCs w:val="18"/>
                <w:lang w:eastAsia="en-AU"/>
              </w:rPr>
            </w:pPr>
          </w:p>
        </w:tc>
        <w:tc>
          <w:tcPr>
            <w:tcW w:w="1506" w:type="dxa"/>
            <w:tcBorders>
              <w:top w:val="nil"/>
              <w:left w:val="nil"/>
              <w:bottom w:val="nil"/>
              <w:right w:val="nil"/>
            </w:tcBorders>
            <w:shd w:val="clear" w:color="000000" w:fill="C9E3B4"/>
            <w:noWrap/>
            <w:vAlign w:val="center"/>
            <w:hideMark/>
          </w:tcPr>
          <w:p w14:paraId="502DC93E"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703,281 </w:t>
            </w:r>
          </w:p>
        </w:tc>
        <w:tc>
          <w:tcPr>
            <w:tcW w:w="223" w:type="dxa"/>
            <w:tcBorders>
              <w:top w:val="nil"/>
              <w:left w:val="nil"/>
              <w:bottom w:val="nil"/>
              <w:right w:val="nil"/>
            </w:tcBorders>
            <w:shd w:val="clear" w:color="auto" w:fill="auto"/>
            <w:noWrap/>
            <w:vAlign w:val="center"/>
            <w:hideMark/>
          </w:tcPr>
          <w:p w14:paraId="078E2E89" w14:textId="77777777" w:rsidR="00EE4927" w:rsidRPr="00092B22" w:rsidRDefault="00EE4927" w:rsidP="00E607DA">
            <w:pPr>
              <w:jc w:val="right"/>
              <w:rPr>
                <w:rFonts w:ascii="Meta Pro" w:eastAsia="Times New Roman" w:hAnsi="Meta Pro"/>
                <w:color w:val="000000"/>
                <w:szCs w:val="18"/>
                <w:lang w:eastAsia="en-AU"/>
              </w:rPr>
            </w:pPr>
          </w:p>
        </w:tc>
        <w:tc>
          <w:tcPr>
            <w:tcW w:w="1506" w:type="dxa"/>
            <w:gridSpan w:val="2"/>
            <w:tcBorders>
              <w:top w:val="nil"/>
              <w:left w:val="nil"/>
              <w:bottom w:val="nil"/>
              <w:right w:val="nil"/>
            </w:tcBorders>
            <w:shd w:val="clear" w:color="auto" w:fill="auto"/>
            <w:noWrap/>
            <w:vAlign w:val="center"/>
            <w:hideMark/>
          </w:tcPr>
          <w:p w14:paraId="749BFD88"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615,524 </w:t>
            </w:r>
          </w:p>
        </w:tc>
      </w:tr>
      <w:tr w:rsidR="00EE4927" w:rsidRPr="00092B22" w14:paraId="1863E041" w14:textId="77777777" w:rsidTr="00EE4927">
        <w:trPr>
          <w:trHeight w:val="23"/>
        </w:trPr>
        <w:tc>
          <w:tcPr>
            <w:tcW w:w="221" w:type="dxa"/>
            <w:tcBorders>
              <w:top w:val="nil"/>
              <w:left w:val="nil"/>
              <w:bottom w:val="nil"/>
              <w:right w:val="nil"/>
            </w:tcBorders>
            <w:shd w:val="clear" w:color="auto" w:fill="auto"/>
            <w:noWrap/>
            <w:vAlign w:val="center"/>
            <w:hideMark/>
          </w:tcPr>
          <w:p w14:paraId="637D508E" w14:textId="77777777" w:rsidR="00EE4927" w:rsidRPr="00092B22" w:rsidRDefault="00EE4927" w:rsidP="00E607DA">
            <w:pPr>
              <w:jc w:val="right"/>
              <w:rPr>
                <w:rFonts w:ascii="Meta Pro" w:eastAsia="Times New Roman" w:hAnsi="Meta Pro"/>
                <w:color w:val="000000"/>
                <w:szCs w:val="18"/>
                <w:lang w:eastAsia="en-AU"/>
              </w:rPr>
            </w:pPr>
          </w:p>
        </w:tc>
        <w:tc>
          <w:tcPr>
            <w:tcW w:w="4942" w:type="dxa"/>
            <w:gridSpan w:val="4"/>
            <w:tcBorders>
              <w:top w:val="nil"/>
              <w:left w:val="nil"/>
              <w:bottom w:val="nil"/>
              <w:right w:val="nil"/>
            </w:tcBorders>
            <w:shd w:val="clear" w:color="auto" w:fill="auto"/>
            <w:noWrap/>
            <w:vAlign w:val="center"/>
            <w:hideMark/>
          </w:tcPr>
          <w:p w14:paraId="59884AD3" w14:textId="77777777" w:rsidR="00EE4927" w:rsidRPr="00092B22" w:rsidRDefault="00EE4927"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Grants and other contributions</w:t>
            </w:r>
          </w:p>
        </w:tc>
        <w:tc>
          <w:tcPr>
            <w:tcW w:w="1018" w:type="dxa"/>
            <w:tcBorders>
              <w:top w:val="nil"/>
              <w:left w:val="nil"/>
              <w:bottom w:val="nil"/>
              <w:right w:val="nil"/>
            </w:tcBorders>
            <w:shd w:val="clear" w:color="auto" w:fill="auto"/>
            <w:noWrap/>
            <w:vAlign w:val="center"/>
            <w:hideMark/>
          </w:tcPr>
          <w:p w14:paraId="5CAB686D" w14:textId="77777777" w:rsidR="00EE4927" w:rsidRPr="00092B22" w:rsidRDefault="00EE4927"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4</w:t>
            </w:r>
          </w:p>
        </w:tc>
        <w:tc>
          <w:tcPr>
            <w:tcW w:w="222" w:type="dxa"/>
            <w:tcBorders>
              <w:top w:val="nil"/>
              <w:left w:val="nil"/>
              <w:bottom w:val="nil"/>
              <w:right w:val="nil"/>
            </w:tcBorders>
            <w:shd w:val="clear" w:color="auto" w:fill="auto"/>
            <w:noWrap/>
            <w:vAlign w:val="center"/>
            <w:hideMark/>
          </w:tcPr>
          <w:p w14:paraId="36D20D64" w14:textId="77777777" w:rsidR="00EE4927" w:rsidRPr="00092B22" w:rsidRDefault="00EE4927" w:rsidP="00E607DA">
            <w:pPr>
              <w:jc w:val="center"/>
              <w:rPr>
                <w:rFonts w:ascii="Meta Pro" w:eastAsia="Times New Roman" w:hAnsi="Meta Pro"/>
                <w:color w:val="000000"/>
                <w:szCs w:val="18"/>
                <w:lang w:eastAsia="en-AU"/>
              </w:rPr>
            </w:pPr>
          </w:p>
        </w:tc>
        <w:tc>
          <w:tcPr>
            <w:tcW w:w="1506" w:type="dxa"/>
            <w:tcBorders>
              <w:top w:val="nil"/>
              <w:left w:val="nil"/>
              <w:bottom w:val="nil"/>
              <w:right w:val="nil"/>
            </w:tcBorders>
            <w:shd w:val="clear" w:color="000000" w:fill="C9E3B4"/>
            <w:noWrap/>
            <w:vAlign w:val="center"/>
            <w:hideMark/>
          </w:tcPr>
          <w:p w14:paraId="33588F78"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216,753 </w:t>
            </w:r>
          </w:p>
        </w:tc>
        <w:tc>
          <w:tcPr>
            <w:tcW w:w="223" w:type="dxa"/>
            <w:tcBorders>
              <w:top w:val="nil"/>
              <w:left w:val="nil"/>
              <w:bottom w:val="nil"/>
              <w:right w:val="nil"/>
            </w:tcBorders>
            <w:shd w:val="clear" w:color="auto" w:fill="auto"/>
            <w:noWrap/>
            <w:vAlign w:val="center"/>
            <w:hideMark/>
          </w:tcPr>
          <w:p w14:paraId="6784B5C6" w14:textId="77777777" w:rsidR="00EE4927" w:rsidRPr="00092B22" w:rsidRDefault="00EE4927" w:rsidP="00E607DA">
            <w:pPr>
              <w:jc w:val="right"/>
              <w:rPr>
                <w:rFonts w:ascii="Meta Pro" w:eastAsia="Times New Roman" w:hAnsi="Meta Pro"/>
                <w:color w:val="000000"/>
                <w:szCs w:val="18"/>
                <w:lang w:eastAsia="en-AU"/>
              </w:rPr>
            </w:pPr>
          </w:p>
        </w:tc>
        <w:tc>
          <w:tcPr>
            <w:tcW w:w="1506" w:type="dxa"/>
            <w:gridSpan w:val="2"/>
            <w:tcBorders>
              <w:top w:val="nil"/>
              <w:left w:val="nil"/>
              <w:bottom w:val="nil"/>
              <w:right w:val="nil"/>
            </w:tcBorders>
            <w:shd w:val="clear" w:color="auto" w:fill="auto"/>
            <w:noWrap/>
            <w:vAlign w:val="center"/>
            <w:hideMark/>
          </w:tcPr>
          <w:p w14:paraId="693E5C32"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187,184 </w:t>
            </w:r>
          </w:p>
        </w:tc>
      </w:tr>
      <w:tr w:rsidR="00EE4927" w:rsidRPr="00092B22" w14:paraId="16514AEA" w14:textId="77777777" w:rsidTr="00EE4927">
        <w:trPr>
          <w:trHeight w:val="23"/>
        </w:trPr>
        <w:tc>
          <w:tcPr>
            <w:tcW w:w="221" w:type="dxa"/>
            <w:tcBorders>
              <w:top w:val="nil"/>
              <w:left w:val="nil"/>
              <w:bottom w:val="nil"/>
              <w:right w:val="nil"/>
            </w:tcBorders>
            <w:shd w:val="clear" w:color="auto" w:fill="auto"/>
            <w:noWrap/>
            <w:vAlign w:val="center"/>
            <w:hideMark/>
          </w:tcPr>
          <w:p w14:paraId="4A9EDB47" w14:textId="77777777" w:rsidR="00EE4927" w:rsidRPr="00092B22" w:rsidRDefault="00EE4927" w:rsidP="00E607DA">
            <w:pPr>
              <w:jc w:val="right"/>
              <w:rPr>
                <w:rFonts w:ascii="Meta Pro" w:eastAsia="Times New Roman" w:hAnsi="Meta Pro"/>
                <w:color w:val="000000"/>
                <w:szCs w:val="18"/>
                <w:lang w:eastAsia="en-AU"/>
              </w:rPr>
            </w:pPr>
          </w:p>
        </w:tc>
        <w:tc>
          <w:tcPr>
            <w:tcW w:w="4942" w:type="dxa"/>
            <w:gridSpan w:val="4"/>
            <w:tcBorders>
              <w:top w:val="nil"/>
              <w:left w:val="nil"/>
              <w:bottom w:val="nil"/>
              <w:right w:val="nil"/>
            </w:tcBorders>
            <w:shd w:val="clear" w:color="auto" w:fill="auto"/>
            <w:noWrap/>
            <w:vAlign w:val="center"/>
            <w:hideMark/>
          </w:tcPr>
          <w:p w14:paraId="4B4F1F70" w14:textId="77777777" w:rsidR="00EE4927" w:rsidRPr="00092B22" w:rsidRDefault="00EE4927"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Service concession arrangements revenue</w:t>
            </w:r>
          </w:p>
        </w:tc>
        <w:tc>
          <w:tcPr>
            <w:tcW w:w="1018" w:type="dxa"/>
            <w:tcBorders>
              <w:top w:val="nil"/>
              <w:left w:val="nil"/>
              <w:bottom w:val="nil"/>
              <w:right w:val="nil"/>
            </w:tcBorders>
            <w:shd w:val="clear" w:color="auto" w:fill="auto"/>
            <w:noWrap/>
            <w:vAlign w:val="center"/>
            <w:hideMark/>
          </w:tcPr>
          <w:p w14:paraId="3575F410" w14:textId="77777777" w:rsidR="00EE4927" w:rsidRPr="00092B22" w:rsidRDefault="00EE4927"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16</w:t>
            </w:r>
          </w:p>
        </w:tc>
        <w:tc>
          <w:tcPr>
            <w:tcW w:w="222" w:type="dxa"/>
            <w:tcBorders>
              <w:top w:val="nil"/>
              <w:left w:val="nil"/>
              <w:bottom w:val="nil"/>
              <w:right w:val="nil"/>
            </w:tcBorders>
            <w:shd w:val="clear" w:color="auto" w:fill="auto"/>
            <w:noWrap/>
            <w:vAlign w:val="center"/>
            <w:hideMark/>
          </w:tcPr>
          <w:p w14:paraId="0920E4A1" w14:textId="77777777" w:rsidR="00EE4927" w:rsidRPr="00092B22" w:rsidRDefault="00EE4927" w:rsidP="00E607DA">
            <w:pPr>
              <w:jc w:val="center"/>
              <w:rPr>
                <w:rFonts w:ascii="Meta Pro" w:eastAsia="Times New Roman" w:hAnsi="Meta Pro"/>
                <w:color w:val="000000"/>
                <w:szCs w:val="18"/>
                <w:lang w:eastAsia="en-AU"/>
              </w:rPr>
            </w:pPr>
          </w:p>
        </w:tc>
        <w:tc>
          <w:tcPr>
            <w:tcW w:w="1506" w:type="dxa"/>
            <w:tcBorders>
              <w:top w:val="nil"/>
              <w:left w:val="nil"/>
              <w:bottom w:val="nil"/>
              <w:right w:val="nil"/>
            </w:tcBorders>
            <w:shd w:val="clear" w:color="000000" w:fill="C9E3B4"/>
            <w:noWrap/>
            <w:vAlign w:val="center"/>
            <w:hideMark/>
          </w:tcPr>
          <w:p w14:paraId="4DEFADA8"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232,180 </w:t>
            </w:r>
          </w:p>
        </w:tc>
        <w:tc>
          <w:tcPr>
            <w:tcW w:w="223" w:type="dxa"/>
            <w:tcBorders>
              <w:top w:val="nil"/>
              <w:left w:val="nil"/>
              <w:bottom w:val="nil"/>
              <w:right w:val="nil"/>
            </w:tcBorders>
            <w:shd w:val="clear" w:color="auto" w:fill="auto"/>
            <w:noWrap/>
            <w:vAlign w:val="center"/>
            <w:hideMark/>
          </w:tcPr>
          <w:p w14:paraId="7EE5F692" w14:textId="77777777" w:rsidR="00EE4927" w:rsidRPr="00092B22" w:rsidRDefault="00EE4927" w:rsidP="00E607DA">
            <w:pPr>
              <w:jc w:val="right"/>
              <w:rPr>
                <w:rFonts w:ascii="Meta Pro" w:eastAsia="Times New Roman" w:hAnsi="Meta Pro"/>
                <w:color w:val="000000"/>
                <w:szCs w:val="18"/>
                <w:lang w:eastAsia="en-AU"/>
              </w:rPr>
            </w:pPr>
          </w:p>
        </w:tc>
        <w:tc>
          <w:tcPr>
            <w:tcW w:w="1506" w:type="dxa"/>
            <w:gridSpan w:val="2"/>
            <w:tcBorders>
              <w:top w:val="nil"/>
              <w:left w:val="nil"/>
              <w:bottom w:val="nil"/>
              <w:right w:val="nil"/>
            </w:tcBorders>
            <w:shd w:val="clear" w:color="auto" w:fill="auto"/>
            <w:noWrap/>
            <w:vAlign w:val="center"/>
            <w:hideMark/>
          </w:tcPr>
          <w:p w14:paraId="5731387F"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232,180 </w:t>
            </w:r>
          </w:p>
        </w:tc>
      </w:tr>
      <w:tr w:rsidR="00EE4927" w:rsidRPr="00092B22" w14:paraId="6FFAE8D4" w14:textId="77777777" w:rsidTr="00EE4927">
        <w:trPr>
          <w:trHeight w:val="23"/>
        </w:trPr>
        <w:tc>
          <w:tcPr>
            <w:tcW w:w="221" w:type="dxa"/>
            <w:tcBorders>
              <w:top w:val="nil"/>
              <w:left w:val="nil"/>
              <w:bottom w:val="single" w:sz="4" w:space="0" w:color="auto"/>
              <w:right w:val="nil"/>
            </w:tcBorders>
            <w:shd w:val="clear" w:color="auto" w:fill="auto"/>
            <w:noWrap/>
            <w:vAlign w:val="center"/>
            <w:hideMark/>
          </w:tcPr>
          <w:p w14:paraId="47B3A044" w14:textId="77777777" w:rsidR="00EE4927" w:rsidRPr="00092B22" w:rsidRDefault="00EE4927"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4942" w:type="dxa"/>
            <w:gridSpan w:val="4"/>
            <w:tcBorders>
              <w:top w:val="nil"/>
              <w:left w:val="nil"/>
              <w:bottom w:val="single" w:sz="4" w:space="0" w:color="auto"/>
              <w:right w:val="nil"/>
            </w:tcBorders>
            <w:shd w:val="clear" w:color="auto" w:fill="auto"/>
            <w:noWrap/>
            <w:vAlign w:val="center"/>
            <w:hideMark/>
          </w:tcPr>
          <w:p w14:paraId="51181F74" w14:textId="77777777" w:rsidR="00EE4927" w:rsidRPr="00092B22" w:rsidRDefault="00EE4927"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Other revenue</w:t>
            </w:r>
          </w:p>
        </w:tc>
        <w:tc>
          <w:tcPr>
            <w:tcW w:w="1018" w:type="dxa"/>
            <w:tcBorders>
              <w:top w:val="nil"/>
              <w:left w:val="nil"/>
              <w:bottom w:val="single" w:sz="4" w:space="0" w:color="auto"/>
              <w:right w:val="nil"/>
            </w:tcBorders>
            <w:shd w:val="clear" w:color="auto" w:fill="auto"/>
            <w:noWrap/>
            <w:vAlign w:val="center"/>
            <w:hideMark/>
          </w:tcPr>
          <w:p w14:paraId="257B7B4F" w14:textId="77777777" w:rsidR="00EE4927" w:rsidRPr="00092B22" w:rsidRDefault="00EE4927"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22" w:type="dxa"/>
            <w:tcBorders>
              <w:top w:val="nil"/>
              <w:left w:val="nil"/>
              <w:bottom w:val="single" w:sz="4" w:space="0" w:color="auto"/>
              <w:right w:val="nil"/>
            </w:tcBorders>
            <w:shd w:val="clear" w:color="auto" w:fill="auto"/>
            <w:noWrap/>
            <w:vAlign w:val="center"/>
            <w:hideMark/>
          </w:tcPr>
          <w:p w14:paraId="0D365B32" w14:textId="77777777" w:rsidR="00EE4927" w:rsidRPr="00092B22" w:rsidRDefault="00EE4927"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1506" w:type="dxa"/>
            <w:tcBorders>
              <w:top w:val="nil"/>
              <w:left w:val="nil"/>
              <w:bottom w:val="single" w:sz="4" w:space="0" w:color="auto"/>
              <w:right w:val="nil"/>
            </w:tcBorders>
            <w:shd w:val="clear" w:color="000000" w:fill="C9E3B4"/>
            <w:noWrap/>
            <w:vAlign w:val="center"/>
            <w:hideMark/>
          </w:tcPr>
          <w:p w14:paraId="79554A4D"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50,448 </w:t>
            </w:r>
          </w:p>
        </w:tc>
        <w:tc>
          <w:tcPr>
            <w:tcW w:w="223" w:type="dxa"/>
            <w:tcBorders>
              <w:top w:val="nil"/>
              <w:left w:val="nil"/>
              <w:bottom w:val="single" w:sz="4" w:space="0" w:color="auto"/>
              <w:right w:val="nil"/>
            </w:tcBorders>
            <w:shd w:val="clear" w:color="auto" w:fill="auto"/>
            <w:noWrap/>
            <w:vAlign w:val="center"/>
            <w:hideMark/>
          </w:tcPr>
          <w:p w14:paraId="58107491"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1506" w:type="dxa"/>
            <w:gridSpan w:val="2"/>
            <w:tcBorders>
              <w:top w:val="nil"/>
              <w:left w:val="nil"/>
              <w:bottom w:val="single" w:sz="4" w:space="0" w:color="auto"/>
              <w:right w:val="nil"/>
            </w:tcBorders>
            <w:shd w:val="clear" w:color="auto" w:fill="auto"/>
            <w:noWrap/>
            <w:vAlign w:val="center"/>
            <w:hideMark/>
          </w:tcPr>
          <w:p w14:paraId="0A54BD9D"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33,422 </w:t>
            </w:r>
          </w:p>
        </w:tc>
      </w:tr>
      <w:tr w:rsidR="00EE4927" w:rsidRPr="00092B22" w14:paraId="3D2DDD9D" w14:textId="77777777" w:rsidTr="00EE4927">
        <w:trPr>
          <w:trHeight w:val="23"/>
        </w:trPr>
        <w:tc>
          <w:tcPr>
            <w:tcW w:w="221" w:type="dxa"/>
            <w:tcBorders>
              <w:top w:val="nil"/>
              <w:left w:val="nil"/>
              <w:bottom w:val="nil"/>
              <w:right w:val="nil"/>
            </w:tcBorders>
            <w:shd w:val="clear" w:color="auto" w:fill="auto"/>
            <w:noWrap/>
            <w:vAlign w:val="center"/>
            <w:hideMark/>
          </w:tcPr>
          <w:p w14:paraId="07C30115" w14:textId="77777777" w:rsidR="00EE4927" w:rsidRPr="00092B22" w:rsidRDefault="00EE4927" w:rsidP="00E607DA">
            <w:pPr>
              <w:jc w:val="right"/>
              <w:rPr>
                <w:rFonts w:ascii="Meta Pro" w:eastAsia="Times New Roman" w:hAnsi="Meta Pro"/>
                <w:color w:val="000000"/>
                <w:szCs w:val="18"/>
                <w:lang w:eastAsia="en-AU"/>
              </w:rPr>
            </w:pPr>
          </w:p>
        </w:tc>
        <w:tc>
          <w:tcPr>
            <w:tcW w:w="4942" w:type="dxa"/>
            <w:gridSpan w:val="4"/>
            <w:tcBorders>
              <w:top w:val="nil"/>
              <w:left w:val="nil"/>
              <w:bottom w:val="nil"/>
              <w:right w:val="nil"/>
            </w:tcBorders>
            <w:shd w:val="clear" w:color="auto" w:fill="auto"/>
            <w:noWrap/>
            <w:vAlign w:val="center"/>
            <w:hideMark/>
          </w:tcPr>
          <w:p w14:paraId="5F0D440A" w14:textId="77777777" w:rsidR="00EE4927" w:rsidRPr="00092B22" w:rsidRDefault="00EE4927" w:rsidP="00E607DA">
            <w:pP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Total revenue</w:t>
            </w:r>
          </w:p>
        </w:tc>
        <w:tc>
          <w:tcPr>
            <w:tcW w:w="1018" w:type="dxa"/>
            <w:tcBorders>
              <w:top w:val="single" w:sz="4" w:space="0" w:color="auto"/>
              <w:left w:val="nil"/>
              <w:bottom w:val="nil"/>
              <w:right w:val="nil"/>
            </w:tcBorders>
            <w:shd w:val="clear" w:color="auto" w:fill="auto"/>
            <w:noWrap/>
            <w:vAlign w:val="center"/>
            <w:hideMark/>
          </w:tcPr>
          <w:p w14:paraId="1AF8236E" w14:textId="77777777" w:rsidR="00EE4927" w:rsidRPr="00092B22" w:rsidRDefault="00EE4927"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22" w:type="dxa"/>
            <w:tcBorders>
              <w:top w:val="nil"/>
              <w:left w:val="nil"/>
              <w:bottom w:val="nil"/>
              <w:right w:val="nil"/>
            </w:tcBorders>
            <w:shd w:val="clear" w:color="auto" w:fill="auto"/>
            <w:noWrap/>
            <w:vAlign w:val="center"/>
            <w:hideMark/>
          </w:tcPr>
          <w:p w14:paraId="3C73E6BD" w14:textId="77777777" w:rsidR="00EE4927" w:rsidRPr="00092B22" w:rsidRDefault="00EE4927" w:rsidP="00E607DA">
            <w:pPr>
              <w:jc w:val="center"/>
              <w:rPr>
                <w:rFonts w:ascii="Meta Pro" w:eastAsia="Times New Roman" w:hAnsi="Meta Pro"/>
                <w:color w:val="000000"/>
                <w:szCs w:val="18"/>
                <w:lang w:eastAsia="en-AU"/>
              </w:rPr>
            </w:pPr>
          </w:p>
        </w:tc>
        <w:tc>
          <w:tcPr>
            <w:tcW w:w="1506" w:type="dxa"/>
            <w:tcBorders>
              <w:top w:val="nil"/>
              <w:left w:val="nil"/>
              <w:bottom w:val="nil"/>
              <w:right w:val="nil"/>
            </w:tcBorders>
            <w:shd w:val="clear" w:color="000000" w:fill="C9E3B4"/>
            <w:noWrap/>
            <w:vAlign w:val="center"/>
            <w:hideMark/>
          </w:tcPr>
          <w:p w14:paraId="4567A7D8" w14:textId="77777777" w:rsidR="00EE4927" w:rsidRPr="00092B22" w:rsidRDefault="00EE4927"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xml:space="preserve">7,130,203 </w:t>
            </w:r>
          </w:p>
        </w:tc>
        <w:tc>
          <w:tcPr>
            <w:tcW w:w="223" w:type="dxa"/>
            <w:tcBorders>
              <w:top w:val="nil"/>
              <w:left w:val="nil"/>
              <w:bottom w:val="nil"/>
              <w:right w:val="nil"/>
            </w:tcBorders>
            <w:shd w:val="clear" w:color="auto" w:fill="auto"/>
            <w:noWrap/>
            <w:vAlign w:val="center"/>
            <w:hideMark/>
          </w:tcPr>
          <w:p w14:paraId="349ED260" w14:textId="77777777" w:rsidR="00EE4927" w:rsidRPr="00092B22" w:rsidRDefault="00EE4927" w:rsidP="00E607DA">
            <w:pPr>
              <w:jc w:val="right"/>
              <w:rPr>
                <w:rFonts w:ascii="Meta Pro" w:eastAsia="Times New Roman" w:hAnsi="Meta Pro"/>
                <w:b/>
                <w:bCs/>
                <w:color w:val="000000"/>
                <w:szCs w:val="18"/>
                <w:lang w:eastAsia="en-AU"/>
              </w:rPr>
            </w:pPr>
          </w:p>
        </w:tc>
        <w:tc>
          <w:tcPr>
            <w:tcW w:w="1506" w:type="dxa"/>
            <w:gridSpan w:val="2"/>
            <w:tcBorders>
              <w:top w:val="nil"/>
              <w:left w:val="nil"/>
              <w:bottom w:val="nil"/>
              <w:right w:val="nil"/>
            </w:tcBorders>
            <w:shd w:val="clear" w:color="auto" w:fill="auto"/>
            <w:noWrap/>
            <w:vAlign w:val="center"/>
            <w:hideMark/>
          </w:tcPr>
          <w:p w14:paraId="4BF97C99" w14:textId="77777777" w:rsidR="00EE4927" w:rsidRPr="00092B22" w:rsidRDefault="00EE4927"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xml:space="preserve">6,781,334 </w:t>
            </w:r>
          </w:p>
        </w:tc>
      </w:tr>
      <w:tr w:rsidR="00EE4927" w:rsidRPr="00092B22" w14:paraId="1825EFDB" w14:textId="77777777" w:rsidTr="00EE4927">
        <w:trPr>
          <w:trHeight w:val="23"/>
        </w:trPr>
        <w:tc>
          <w:tcPr>
            <w:tcW w:w="221" w:type="dxa"/>
            <w:tcBorders>
              <w:top w:val="nil"/>
              <w:left w:val="nil"/>
              <w:bottom w:val="nil"/>
              <w:right w:val="nil"/>
            </w:tcBorders>
            <w:shd w:val="clear" w:color="auto" w:fill="auto"/>
            <w:noWrap/>
            <w:vAlign w:val="center"/>
            <w:hideMark/>
          </w:tcPr>
          <w:p w14:paraId="239B9652" w14:textId="77777777" w:rsidR="00EE4927" w:rsidRPr="00092B22" w:rsidRDefault="00EE4927" w:rsidP="00E607DA">
            <w:pPr>
              <w:jc w:val="right"/>
              <w:rPr>
                <w:rFonts w:ascii="Meta Pro" w:eastAsia="Times New Roman" w:hAnsi="Meta Pro"/>
                <w:b/>
                <w:bCs/>
                <w:color w:val="000000"/>
                <w:szCs w:val="18"/>
                <w:lang w:eastAsia="en-AU"/>
              </w:rPr>
            </w:pPr>
          </w:p>
        </w:tc>
        <w:tc>
          <w:tcPr>
            <w:tcW w:w="4942" w:type="dxa"/>
            <w:gridSpan w:val="4"/>
            <w:tcBorders>
              <w:top w:val="nil"/>
              <w:left w:val="nil"/>
              <w:bottom w:val="nil"/>
              <w:right w:val="nil"/>
            </w:tcBorders>
            <w:shd w:val="clear" w:color="auto" w:fill="auto"/>
            <w:noWrap/>
            <w:vAlign w:val="center"/>
            <w:hideMark/>
          </w:tcPr>
          <w:p w14:paraId="22E289CE" w14:textId="77777777" w:rsidR="00EE4927" w:rsidRPr="00092B22" w:rsidRDefault="00EE4927" w:rsidP="00E607DA">
            <w:pPr>
              <w:rPr>
                <w:rFonts w:ascii="Meta Pro" w:eastAsia="Times New Roman" w:hAnsi="Meta Pro" w:cs="Times New Roman"/>
                <w:sz w:val="20"/>
                <w:szCs w:val="20"/>
                <w:lang w:eastAsia="en-AU"/>
              </w:rPr>
            </w:pPr>
          </w:p>
        </w:tc>
        <w:tc>
          <w:tcPr>
            <w:tcW w:w="1018" w:type="dxa"/>
            <w:tcBorders>
              <w:top w:val="nil"/>
              <w:left w:val="nil"/>
              <w:bottom w:val="nil"/>
              <w:right w:val="nil"/>
            </w:tcBorders>
            <w:shd w:val="clear" w:color="auto" w:fill="auto"/>
            <w:noWrap/>
            <w:vAlign w:val="center"/>
            <w:hideMark/>
          </w:tcPr>
          <w:p w14:paraId="67CD5849" w14:textId="77777777" w:rsidR="00EE4927" w:rsidRPr="00092B22" w:rsidRDefault="00EE4927" w:rsidP="00E607DA">
            <w:pPr>
              <w:rPr>
                <w:rFonts w:ascii="Meta Pro" w:eastAsia="Times New Roman" w:hAnsi="Meta Pro" w:cs="Times New Roman"/>
                <w:sz w:val="20"/>
                <w:szCs w:val="20"/>
                <w:lang w:eastAsia="en-AU"/>
              </w:rPr>
            </w:pPr>
          </w:p>
        </w:tc>
        <w:tc>
          <w:tcPr>
            <w:tcW w:w="222" w:type="dxa"/>
            <w:tcBorders>
              <w:top w:val="nil"/>
              <w:left w:val="nil"/>
              <w:bottom w:val="nil"/>
              <w:right w:val="nil"/>
            </w:tcBorders>
            <w:shd w:val="clear" w:color="auto" w:fill="auto"/>
            <w:noWrap/>
            <w:vAlign w:val="center"/>
            <w:hideMark/>
          </w:tcPr>
          <w:p w14:paraId="4BC0C80D" w14:textId="77777777" w:rsidR="00EE4927" w:rsidRPr="00092B22" w:rsidRDefault="00EE4927" w:rsidP="00E607DA">
            <w:pPr>
              <w:jc w:val="center"/>
              <w:rPr>
                <w:rFonts w:ascii="Meta Pro" w:eastAsia="Times New Roman" w:hAnsi="Meta Pro" w:cs="Times New Roman"/>
                <w:sz w:val="20"/>
                <w:szCs w:val="20"/>
                <w:lang w:eastAsia="en-AU"/>
              </w:rPr>
            </w:pPr>
          </w:p>
        </w:tc>
        <w:tc>
          <w:tcPr>
            <w:tcW w:w="1506" w:type="dxa"/>
            <w:tcBorders>
              <w:top w:val="nil"/>
              <w:left w:val="nil"/>
              <w:bottom w:val="nil"/>
              <w:right w:val="nil"/>
            </w:tcBorders>
            <w:shd w:val="clear" w:color="000000" w:fill="C9E3B4"/>
            <w:noWrap/>
            <w:vAlign w:val="center"/>
            <w:hideMark/>
          </w:tcPr>
          <w:p w14:paraId="3DC78B44"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23" w:type="dxa"/>
            <w:tcBorders>
              <w:top w:val="nil"/>
              <w:left w:val="nil"/>
              <w:bottom w:val="nil"/>
              <w:right w:val="nil"/>
            </w:tcBorders>
            <w:shd w:val="clear" w:color="auto" w:fill="auto"/>
            <w:noWrap/>
            <w:vAlign w:val="center"/>
            <w:hideMark/>
          </w:tcPr>
          <w:p w14:paraId="2B3682CD" w14:textId="77777777" w:rsidR="00EE4927" w:rsidRPr="00092B22" w:rsidRDefault="00EE4927" w:rsidP="00E607DA">
            <w:pPr>
              <w:jc w:val="right"/>
              <w:rPr>
                <w:rFonts w:ascii="Meta Pro" w:eastAsia="Times New Roman" w:hAnsi="Meta Pro"/>
                <w:color w:val="000000"/>
                <w:szCs w:val="18"/>
                <w:lang w:eastAsia="en-AU"/>
              </w:rPr>
            </w:pPr>
          </w:p>
        </w:tc>
        <w:tc>
          <w:tcPr>
            <w:tcW w:w="1506" w:type="dxa"/>
            <w:gridSpan w:val="2"/>
            <w:tcBorders>
              <w:top w:val="nil"/>
              <w:left w:val="nil"/>
              <w:bottom w:val="nil"/>
              <w:right w:val="nil"/>
            </w:tcBorders>
            <w:shd w:val="clear" w:color="auto" w:fill="auto"/>
            <w:noWrap/>
            <w:vAlign w:val="center"/>
            <w:hideMark/>
          </w:tcPr>
          <w:p w14:paraId="6544B6CE" w14:textId="77777777" w:rsidR="00EE4927" w:rsidRPr="00092B22" w:rsidRDefault="00EE4927" w:rsidP="00E607DA">
            <w:pPr>
              <w:jc w:val="right"/>
              <w:rPr>
                <w:rFonts w:ascii="Meta Pro" w:eastAsia="Times New Roman" w:hAnsi="Meta Pro" w:cs="Times New Roman"/>
                <w:sz w:val="20"/>
                <w:szCs w:val="20"/>
                <w:lang w:eastAsia="en-AU"/>
              </w:rPr>
            </w:pPr>
          </w:p>
        </w:tc>
      </w:tr>
      <w:tr w:rsidR="00EE4927" w:rsidRPr="00092B22" w14:paraId="3ADCE895" w14:textId="77777777" w:rsidTr="00EE4927">
        <w:trPr>
          <w:trHeight w:val="23"/>
        </w:trPr>
        <w:tc>
          <w:tcPr>
            <w:tcW w:w="221" w:type="dxa"/>
            <w:tcBorders>
              <w:top w:val="nil"/>
              <w:left w:val="nil"/>
              <w:bottom w:val="single" w:sz="4" w:space="0" w:color="auto"/>
              <w:right w:val="nil"/>
            </w:tcBorders>
            <w:shd w:val="clear" w:color="auto" w:fill="auto"/>
            <w:noWrap/>
            <w:vAlign w:val="center"/>
            <w:hideMark/>
          </w:tcPr>
          <w:p w14:paraId="026F5112" w14:textId="77777777" w:rsidR="00EE4927" w:rsidRPr="00092B22" w:rsidRDefault="00EE4927"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4942" w:type="dxa"/>
            <w:gridSpan w:val="4"/>
            <w:tcBorders>
              <w:top w:val="nil"/>
              <w:left w:val="nil"/>
              <w:bottom w:val="single" w:sz="4" w:space="0" w:color="auto"/>
              <w:right w:val="nil"/>
            </w:tcBorders>
            <w:shd w:val="clear" w:color="auto" w:fill="auto"/>
            <w:noWrap/>
            <w:vAlign w:val="center"/>
            <w:hideMark/>
          </w:tcPr>
          <w:p w14:paraId="0385CEF9" w14:textId="77777777" w:rsidR="00EE4927" w:rsidRPr="00092B22" w:rsidRDefault="00EE4927"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Gains on disposal of assets</w:t>
            </w:r>
          </w:p>
        </w:tc>
        <w:tc>
          <w:tcPr>
            <w:tcW w:w="1018" w:type="dxa"/>
            <w:tcBorders>
              <w:top w:val="nil"/>
              <w:left w:val="nil"/>
              <w:bottom w:val="single" w:sz="4" w:space="0" w:color="auto"/>
              <w:right w:val="nil"/>
            </w:tcBorders>
            <w:shd w:val="clear" w:color="auto" w:fill="auto"/>
            <w:noWrap/>
            <w:vAlign w:val="center"/>
            <w:hideMark/>
          </w:tcPr>
          <w:p w14:paraId="3F61D91C" w14:textId="77777777" w:rsidR="00EE4927" w:rsidRPr="00092B22" w:rsidRDefault="00EE4927"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22" w:type="dxa"/>
            <w:tcBorders>
              <w:top w:val="nil"/>
              <w:left w:val="nil"/>
              <w:bottom w:val="single" w:sz="4" w:space="0" w:color="auto"/>
              <w:right w:val="nil"/>
            </w:tcBorders>
            <w:shd w:val="clear" w:color="auto" w:fill="auto"/>
            <w:noWrap/>
            <w:vAlign w:val="center"/>
            <w:hideMark/>
          </w:tcPr>
          <w:p w14:paraId="27D2EFEA" w14:textId="77777777" w:rsidR="00EE4927" w:rsidRPr="00092B22" w:rsidRDefault="00EE4927"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1506" w:type="dxa"/>
            <w:tcBorders>
              <w:top w:val="nil"/>
              <w:left w:val="nil"/>
              <w:bottom w:val="single" w:sz="4" w:space="0" w:color="auto"/>
              <w:right w:val="nil"/>
            </w:tcBorders>
            <w:shd w:val="clear" w:color="000000" w:fill="C9E3B4"/>
            <w:noWrap/>
            <w:vAlign w:val="center"/>
            <w:hideMark/>
          </w:tcPr>
          <w:p w14:paraId="624AAC03"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3,127 </w:t>
            </w:r>
          </w:p>
        </w:tc>
        <w:tc>
          <w:tcPr>
            <w:tcW w:w="223" w:type="dxa"/>
            <w:tcBorders>
              <w:top w:val="nil"/>
              <w:left w:val="nil"/>
              <w:bottom w:val="single" w:sz="4" w:space="0" w:color="auto"/>
              <w:right w:val="nil"/>
            </w:tcBorders>
            <w:shd w:val="clear" w:color="auto" w:fill="auto"/>
            <w:noWrap/>
            <w:vAlign w:val="center"/>
            <w:hideMark/>
          </w:tcPr>
          <w:p w14:paraId="65B5DE48"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1506" w:type="dxa"/>
            <w:gridSpan w:val="2"/>
            <w:tcBorders>
              <w:top w:val="nil"/>
              <w:left w:val="nil"/>
              <w:bottom w:val="single" w:sz="4" w:space="0" w:color="auto"/>
              <w:right w:val="nil"/>
            </w:tcBorders>
            <w:shd w:val="clear" w:color="auto" w:fill="auto"/>
            <w:noWrap/>
            <w:vAlign w:val="center"/>
            <w:hideMark/>
          </w:tcPr>
          <w:p w14:paraId="0D1D5F47"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4,073 </w:t>
            </w:r>
          </w:p>
        </w:tc>
      </w:tr>
      <w:tr w:rsidR="00EE4927" w:rsidRPr="00092B22" w14:paraId="3566B534" w14:textId="77777777" w:rsidTr="00EE4927">
        <w:trPr>
          <w:trHeight w:val="23"/>
        </w:trPr>
        <w:tc>
          <w:tcPr>
            <w:tcW w:w="221" w:type="dxa"/>
            <w:tcBorders>
              <w:top w:val="nil"/>
              <w:left w:val="nil"/>
              <w:bottom w:val="nil"/>
              <w:right w:val="nil"/>
            </w:tcBorders>
            <w:shd w:val="clear" w:color="auto" w:fill="auto"/>
            <w:noWrap/>
            <w:vAlign w:val="center"/>
            <w:hideMark/>
          </w:tcPr>
          <w:p w14:paraId="47D36209" w14:textId="77777777" w:rsidR="00EE4927" w:rsidRPr="00092B22" w:rsidRDefault="00EE4927" w:rsidP="00E607DA">
            <w:pPr>
              <w:jc w:val="right"/>
              <w:rPr>
                <w:rFonts w:ascii="Meta Pro" w:eastAsia="Times New Roman" w:hAnsi="Meta Pro"/>
                <w:color w:val="000000"/>
                <w:szCs w:val="18"/>
                <w:lang w:eastAsia="en-AU"/>
              </w:rPr>
            </w:pPr>
          </w:p>
        </w:tc>
        <w:tc>
          <w:tcPr>
            <w:tcW w:w="4942" w:type="dxa"/>
            <w:gridSpan w:val="4"/>
            <w:tcBorders>
              <w:top w:val="nil"/>
              <w:left w:val="nil"/>
              <w:bottom w:val="nil"/>
              <w:right w:val="nil"/>
            </w:tcBorders>
            <w:shd w:val="clear" w:color="auto" w:fill="auto"/>
            <w:noWrap/>
            <w:vAlign w:val="center"/>
            <w:hideMark/>
          </w:tcPr>
          <w:p w14:paraId="1364DF2B" w14:textId="77777777" w:rsidR="00EE4927" w:rsidRPr="00092B22" w:rsidRDefault="00EE4927" w:rsidP="00E607DA">
            <w:pP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Total income</w:t>
            </w:r>
          </w:p>
        </w:tc>
        <w:tc>
          <w:tcPr>
            <w:tcW w:w="1018" w:type="dxa"/>
            <w:tcBorders>
              <w:top w:val="single" w:sz="4" w:space="0" w:color="auto"/>
              <w:left w:val="nil"/>
              <w:bottom w:val="nil"/>
              <w:right w:val="nil"/>
            </w:tcBorders>
            <w:shd w:val="clear" w:color="auto" w:fill="auto"/>
            <w:noWrap/>
            <w:vAlign w:val="center"/>
            <w:hideMark/>
          </w:tcPr>
          <w:p w14:paraId="1FD23DAE" w14:textId="77777777" w:rsidR="00EE4927" w:rsidRPr="00092B22" w:rsidRDefault="00EE4927"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22" w:type="dxa"/>
            <w:tcBorders>
              <w:top w:val="nil"/>
              <w:left w:val="nil"/>
              <w:bottom w:val="nil"/>
              <w:right w:val="nil"/>
            </w:tcBorders>
            <w:shd w:val="clear" w:color="auto" w:fill="auto"/>
            <w:noWrap/>
            <w:vAlign w:val="center"/>
            <w:hideMark/>
          </w:tcPr>
          <w:p w14:paraId="5F94F382" w14:textId="77777777" w:rsidR="00EE4927" w:rsidRPr="00092B22" w:rsidRDefault="00EE4927" w:rsidP="00E607DA">
            <w:pPr>
              <w:jc w:val="center"/>
              <w:rPr>
                <w:rFonts w:ascii="Meta Pro" w:eastAsia="Times New Roman" w:hAnsi="Meta Pro"/>
                <w:color w:val="000000"/>
                <w:szCs w:val="18"/>
                <w:lang w:eastAsia="en-AU"/>
              </w:rPr>
            </w:pPr>
          </w:p>
        </w:tc>
        <w:tc>
          <w:tcPr>
            <w:tcW w:w="1506" w:type="dxa"/>
            <w:tcBorders>
              <w:top w:val="nil"/>
              <w:left w:val="nil"/>
              <w:bottom w:val="nil"/>
              <w:right w:val="nil"/>
            </w:tcBorders>
            <w:shd w:val="clear" w:color="000000" w:fill="C9E3B4"/>
            <w:noWrap/>
            <w:vAlign w:val="center"/>
            <w:hideMark/>
          </w:tcPr>
          <w:p w14:paraId="704E9E03" w14:textId="77777777" w:rsidR="00EE4927" w:rsidRPr="00092B22" w:rsidRDefault="00EE4927"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xml:space="preserve">7,133,330 </w:t>
            </w:r>
          </w:p>
        </w:tc>
        <w:tc>
          <w:tcPr>
            <w:tcW w:w="223" w:type="dxa"/>
            <w:tcBorders>
              <w:top w:val="nil"/>
              <w:left w:val="nil"/>
              <w:bottom w:val="nil"/>
              <w:right w:val="nil"/>
            </w:tcBorders>
            <w:shd w:val="clear" w:color="auto" w:fill="auto"/>
            <w:noWrap/>
            <w:vAlign w:val="center"/>
            <w:hideMark/>
          </w:tcPr>
          <w:p w14:paraId="1310C67D" w14:textId="77777777" w:rsidR="00EE4927" w:rsidRPr="00092B22" w:rsidRDefault="00EE4927" w:rsidP="00E607DA">
            <w:pPr>
              <w:jc w:val="right"/>
              <w:rPr>
                <w:rFonts w:ascii="Meta Pro" w:eastAsia="Times New Roman" w:hAnsi="Meta Pro"/>
                <w:b/>
                <w:bCs/>
                <w:color w:val="000000"/>
                <w:szCs w:val="18"/>
                <w:lang w:eastAsia="en-AU"/>
              </w:rPr>
            </w:pPr>
          </w:p>
        </w:tc>
        <w:tc>
          <w:tcPr>
            <w:tcW w:w="1506" w:type="dxa"/>
            <w:gridSpan w:val="2"/>
            <w:tcBorders>
              <w:top w:val="nil"/>
              <w:left w:val="nil"/>
              <w:bottom w:val="nil"/>
              <w:right w:val="nil"/>
            </w:tcBorders>
            <w:shd w:val="clear" w:color="auto" w:fill="auto"/>
            <w:noWrap/>
            <w:vAlign w:val="center"/>
            <w:hideMark/>
          </w:tcPr>
          <w:p w14:paraId="059B6462" w14:textId="77777777" w:rsidR="00EE4927" w:rsidRPr="00092B22" w:rsidRDefault="00EE4927"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xml:space="preserve">6,785,407 </w:t>
            </w:r>
          </w:p>
        </w:tc>
      </w:tr>
      <w:tr w:rsidR="00EE4927" w:rsidRPr="00092B22" w14:paraId="5EFE570E" w14:textId="77777777" w:rsidTr="00EE4927">
        <w:trPr>
          <w:trHeight w:val="23"/>
        </w:trPr>
        <w:tc>
          <w:tcPr>
            <w:tcW w:w="221" w:type="dxa"/>
            <w:tcBorders>
              <w:top w:val="nil"/>
              <w:left w:val="nil"/>
              <w:bottom w:val="nil"/>
              <w:right w:val="nil"/>
            </w:tcBorders>
            <w:shd w:val="clear" w:color="auto" w:fill="auto"/>
            <w:noWrap/>
            <w:vAlign w:val="center"/>
            <w:hideMark/>
          </w:tcPr>
          <w:p w14:paraId="40426F2C" w14:textId="77777777" w:rsidR="00EE4927" w:rsidRPr="00092B22" w:rsidRDefault="00EE4927" w:rsidP="00E607DA">
            <w:pPr>
              <w:jc w:val="right"/>
              <w:rPr>
                <w:rFonts w:ascii="Meta Pro" w:eastAsia="Times New Roman" w:hAnsi="Meta Pro"/>
                <w:b/>
                <w:bCs/>
                <w:color w:val="000000"/>
                <w:szCs w:val="18"/>
                <w:lang w:eastAsia="en-AU"/>
              </w:rPr>
            </w:pPr>
          </w:p>
        </w:tc>
        <w:tc>
          <w:tcPr>
            <w:tcW w:w="4942" w:type="dxa"/>
            <w:gridSpan w:val="4"/>
            <w:tcBorders>
              <w:top w:val="nil"/>
              <w:left w:val="nil"/>
              <w:bottom w:val="nil"/>
              <w:right w:val="nil"/>
            </w:tcBorders>
            <w:shd w:val="clear" w:color="auto" w:fill="auto"/>
            <w:noWrap/>
            <w:vAlign w:val="center"/>
            <w:hideMark/>
          </w:tcPr>
          <w:p w14:paraId="4FAFB84F" w14:textId="77777777" w:rsidR="00EE4927" w:rsidRPr="00092B22" w:rsidRDefault="00EE4927" w:rsidP="00E607DA">
            <w:pPr>
              <w:rPr>
                <w:rFonts w:ascii="Meta Pro" w:eastAsia="Times New Roman" w:hAnsi="Meta Pro" w:cs="Times New Roman"/>
                <w:sz w:val="20"/>
                <w:szCs w:val="20"/>
                <w:lang w:eastAsia="en-AU"/>
              </w:rPr>
            </w:pPr>
          </w:p>
        </w:tc>
        <w:tc>
          <w:tcPr>
            <w:tcW w:w="1018" w:type="dxa"/>
            <w:tcBorders>
              <w:top w:val="nil"/>
              <w:left w:val="nil"/>
              <w:bottom w:val="nil"/>
              <w:right w:val="nil"/>
            </w:tcBorders>
            <w:shd w:val="clear" w:color="auto" w:fill="auto"/>
            <w:noWrap/>
            <w:vAlign w:val="center"/>
            <w:hideMark/>
          </w:tcPr>
          <w:p w14:paraId="233E99EC" w14:textId="77777777" w:rsidR="00EE4927" w:rsidRPr="00092B22" w:rsidRDefault="00EE4927" w:rsidP="00E607DA">
            <w:pPr>
              <w:rPr>
                <w:rFonts w:ascii="Meta Pro" w:eastAsia="Times New Roman" w:hAnsi="Meta Pro" w:cs="Times New Roman"/>
                <w:sz w:val="20"/>
                <w:szCs w:val="20"/>
                <w:lang w:eastAsia="en-AU"/>
              </w:rPr>
            </w:pPr>
          </w:p>
        </w:tc>
        <w:tc>
          <w:tcPr>
            <w:tcW w:w="222" w:type="dxa"/>
            <w:tcBorders>
              <w:top w:val="nil"/>
              <w:left w:val="nil"/>
              <w:bottom w:val="nil"/>
              <w:right w:val="nil"/>
            </w:tcBorders>
            <w:shd w:val="clear" w:color="auto" w:fill="auto"/>
            <w:noWrap/>
            <w:vAlign w:val="center"/>
            <w:hideMark/>
          </w:tcPr>
          <w:p w14:paraId="33A3C9CD" w14:textId="77777777" w:rsidR="00EE4927" w:rsidRPr="00092B22" w:rsidRDefault="00EE4927" w:rsidP="00E607DA">
            <w:pPr>
              <w:jc w:val="center"/>
              <w:rPr>
                <w:rFonts w:ascii="Meta Pro" w:eastAsia="Times New Roman" w:hAnsi="Meta Pro" w:cs="Times New Roman"/>
                <w:sz w:val="20"/>
                <w:szCs w:val="20"/>
                <w:lang w:eastAsia="en-AU"/>
              </w:rPr>
            </w:pPr>
          </w:p>
        </w:tc>
        <w:tc>
          <w:tcPr>
            <w:tcW w:w="1506" w:type="dxa"/>
            <w:tcBorders>
              <w:top w:val="nil"/>
              <w:left w:val="nil"/>
              <w:bottom w:val="nil"/>
              <w:right w:val="nil"/>
            </w:tcBorders>
            <w:shd w:val="clear" w:color="000000" w:fill="C9E3B4"/>
            <w:noWrap/>
            <w:vAlign w:val="center"/>
            <w:hideMark/>
          </w:tcPr>
          <w:p w14:paraId="2D8199DC"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23" w:type="dxa"/>
            <w:tcBorders>
              <w:top w:val="nil"/>
              <w:left w:val="nil"/>
              <w:bottom w:val="nil"/>
              <w:right w:val="nil"/>
            </w:tcBorders>
            <w:shd w:val="clear" w:color="auto" w:fill="auto"/>
            <w:noWrap/>
            <w:vAlign w:val="center"/>
            <w:hideMark/>
          </w:tcPr>
          <w:p w14:paraId="5FF86556" w14:textId="77777777" w:rsidR="00EE4927" w:rsidRPr="00092B22" w:rsidRDefault="00EE4927" w:rsidP="00E607DA">
            <w:pPr>
              <w:jc w:val="right"/>
              <w:rPr>
                <w:rFonts w:ascii="Meta Pro" w:eastAsia="Times New Roman" w:hAnsi="Meta Pro"/>
                <w:color w:val="000000"/>
                <w:szCs w:val="18"/>
                <w:lang w:eastAsia="en-AU"/>
              </w:rPr>
            </w:pPr>
          </w:p>
        </w:tc>
        <w:tc>
          <w:tcPr>
            <w:tcW w:w="1506" w:type="dxa"/>
            <w:gridSpan w:val="2"/>
            <w:tcBorders>
              <w:top w:val="nil"/>
              <w:left w:val="nil"/>
              <w:bottom w:val="nil"/>
              <w:right w:val="nil"/>
            </w:tcBorders>
            <w:shd w:val="clear" w:color="auto" w:fill="auto"/>
            <w:noWrap/>
            <w:vAlign w:val="center"/>
            <w:hideMark/>
          </w:tcPr>
          <w:p w14:paraId="57547AF8" w14:textId="77777777" w:rsidR="00EE4927" w:rsidRPr="00092B22" w:rsidRDefault="00EE4927" w:rsidP="00E607DA">
            <w:pPr>
              <w:jc w:val="right"/>
              <w:rPr>
                <w:rFonts w:ascii="Meta Pro" w:eastAsia="Times New Roman" w:hAnsi="Meta Pro" w:cs="Times New Roman"/>
                <w:sz w:val="20"/>
                <w:szCs w:val="20"/>
                <w:lang w:eastAsia="en-AU"/>
              </w:rPr>
            </w:pPr>
          </w:p>
        </w:tc>
      </w:tr>
      <w:tr w:rsidR="00EE4927" w:rsidRPr="00092B22" w14:paraId="49096D23" w14:textId="77777777" w:rsidTr="00EE4927">
        <w:trPr>
          <w:trHeight w:val="23"/>
        </w:trPr>
        <w:tc>
          <w:tcPr>
            <w:tcW w:w="5163" w:type="dxa"/>
            <w:gridSpan w:val="5"/>
            <w:tcBorders>
              <w:top w:val="nil"/>
              <w:left w:val="nil"/>
              <w:bottom w:val="nil"/>
              <w:right w:val="nil"/>
            </w:tcBorders>
            <w:shd w:val="clear" w:color="auto" w:fill="auto"/>
            <w:noWrap/>
            <w:vAlign w:val="center"/>
            <w:hideMark/>
          </w:tcPr>
          <w:p w14:paraId="5E5EA18E" w14:textId="77777777" w:rsidR="00EE4927" w:rsidRPr="00092B22" w:rsidRDefault="00EE4927" w:rsidP="00E607DA">
            <w:pP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Expenses</w:t>
            </w:r>
          </w:p>
        </w:tc>
        <w:tc>
          <w:tcPr>
            <w:tcW w:w="1018" w:type="dxa"/>
            <w:tcBorders>
              <w:top w:val="nil"/>
              <w:left w:val="nil"/>
              <w:bottom w:val="nil"/>
              <w:right w:val="nil"/>
            </w:tcBorders>
            <w:shd w:val="clear" w:color="auto" w:fill="auto"/>
            <w:noWrap/>
            <w:vAlign w:val="center"/>
            <w:hideMark/>
          </w:tcPr>
          <w:p w14:paraId="6F68ACE2" w14:textId="77777777" w:rsidR="00EE4927" w:rsidRPr="00092B22" w:rsidRDefault="00EE4927" w:rsidP="00E607DA">
            <w:pPr>
              <w:rPr>
                <w:rFonts w:ascii="Meta Pro" w:eastAsia="Times New Roman" w:hAnsi="Meta Pro"/>
                <w:b/>
                <w:bCs/>
                <w:color w:val="000000"/>
                <w:szCs w:val="18"/>
                <w:lang w:eastAsia="en-AU"/>
              </w:rPr>
            </w:pPr>
          </w:p>
        </w:tc>
        <w:tc>
          <w:tcPr>
            <w:tcW w:w="222" w:type="dxa"/>
            <w:tcBorders>
              <w:top w:val="nil"/>
              <w:left w:val="nil"/>
              <w:bottom w:val="nil"/>
              <w:right w:val="nil"/>
            </w:tcBorders>
            <w:shd w:val="clear" w:color="auto" w:fill="auto"/>
            <w:noWrap/>
            <w:vAlign w:val="center"/>
            <w:hideMark/>
          </w:tcPr>
          <w:p w14:paraId="1DBD5450" w14:textId="77777777" w:rsidR="00EE4927" w:rsidRPr="00092B22" w:rsidRDefault="00EE4927" w:rsidP="00E607DA">
            <w:pPr>
              <w:jc w:val="center"/>
              <w:rPr>
                <w:rFonts w:ascii="Meta Pro" w:eastAsia="Times New Roman" w:hAnsi="Meta Pro" w:cs="Times New Roman"/>
                <w:sz w:val="20"/>
                <w:szCs w:val="20"/>
                <w:lang w:eastAsia="en-AU"/>
              </w:rPr>
            </w:pPr>
          </w:p>
        </w:tc>
        <w:tc>
          <w:tcPr>
            <w:tcW w:w="1506" w:type="dxa"/>
            <w:tcBorders>
              <w:top w:val="nil"/>
              <w:left w:val="nil"/>
              <w:bottom w:val="nil"/>
              <w:right w:val="nil"/>
            </w:tcBorders>
            <w:shd w:val="clear" w:color="000000" w:fill="C9E3B4"/>
            <w:noWrap/>
            <w:vAlign w:val="center"/>
            <w:hideMark/>
          </w:tcPr>
          <w:p w14:paraId="03583E6F"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23" w:type="dxa"/>
            <w:tcBorders>
              <w:top w:val="nil"/>
              <w:left w:val="nil"/>
              <w:bottom w:val="nil"/>
              <w:right w:val="nil"/>
            </w:tcBorders>
            <w:shd w:val="clear" w:color="auto" w:fill="auto"/>
            <w:noWrap/>
            <w:vAlign w:val="center"/>
            <w:hideMark/>
          </w:tcPr>
          <w:p w14:paraId="6B5FD2BB" w14:textId="77777777" w:rsidR="00EE4927" w:rsidRPr="00092B22" w:rsidRDefault="00EE4927" w:rsidP="00E607DA">
            <w:pPr>
              <w:jc w:val="right"/>
              <w:rPr>
                <w:rFonts w:ascii="Meta Pro" w:eastAsia="Times New Roman" w:hAnsi="Meta Pro"/>
                <w:color w:val="000000"/>
                <w:szCs w:val="18"/>
                <w:lang w:eastAsia="en-AU"/>
              </w:rPr>
            </w:pPr>
          </w:p>
        </w:tc>
        <w:tc>
          <w:tcPr>
            <w:tcW w:w="1506" w:type="dxa"/>
            <w:gridSpan w:val="2"/>
            <w:tcBorders>
              <w:top w:val="nil"/>
              <w:left w:val="nil"/>
              <w:bottom w:val="nil"/>
              <w:right w:val="nil"/>
            </w:tcBorders>
            <w:shd w:val="clear" w:color="auto" w:fill="auto"/>
            <w:noWrap/>
            <w:vAlign w:val="center"/>
            <w:hideMark/>
          </w:tcPr>
          <w:p w14:paraId="562448CB" w14:textId="77777777" w:rsidR="00EE4927" w:rsidRPr="00092B22" w:rsidRDefault="00EE4927" w:rsidP="00E607DA">
            <w:pPr>
              <w:jc w:val="right"/>
              <w:rPr>
                <w:rFonts w:ascii="Meta Pro" w:eastAsia="Times New Roman" w:hAnsi="Meta Pro" w:cs="Times New Roman"/>
                <w:sz w:val="20"/>
                <w:szCs w:val="20"/>
                <w:lang w:eastAsia="en-AU"/>
              </w:rPr>
            </w:pPr>
          </w:p>
        </w:tc>
      </w:tr>
      <w:tr w:rsidR="00EE4927" w:rsidRPr="00092B22" w14:paraId="0267DCFA" w14:textId="77777777" w:rsidTr="00EE4927">
        <w:trPr>
          <w:trHeight w:val="23"/>
        </w:trPr>
        <w:tc>
          <w:tcPr>
            <w:tcW w:w="221" w:type="dxa"/>
            <w:tcBorders>
              <w:top w:val="nil"/>
              <w:left w:val="nil"/>
              <w:bottom w:val="nil"/>
              <w:right w:val="nil"/>
            </w:tcBorders>
            <w:shd w:val="clear" w:color="auto" w:fill="auto"/>
            <w:noWrap/>
            <w:vAlign w:val="center"/>
            <w:hideMark/>
          </w:tcPr>
          <w:p w14:paraId="09ACA5F2" w14:textId="77777777" w:rsidR="00EE4927" w:rsidRPr="00092B22" w:rsidRDefault="00EE4927" w:rsidP="00E607DA">
            <w:pPr>
              <w:jc w:val="right"/>
              <w:rPr>
                <w:rFonts w:ascii="Meta Pro" w:eastAsia="Times New Roman" w:hAnsi="Meta Pro" w:cs="Times New Roman"/>
                <w:sz w:val="20"/>
                <w:szCs w:val="20"/>
                <w:lang w:eastAsia="en-AU"/>
              </w:rPr>
            </w:pPr>
          </w:p>
        </w:tc>
        <w:tc>
          <w:tcPr>
            <w:tcW w:w="4942" w:type="dxa"/>
            <w:gridSpan w:val="4"/>
            <w:tcBorders>
              <w:top w:val="nil"/>
              <w:left w:val="nil"/>
              <w:bottom w:val="nil"/>
              <w:right w:val="nil"/>
            </w:tcBorders>
            <w:shd w:val="clear" w:color="auto" w:fill="auto"/>
            <w:noWrap/>
            <w:vAlign w:val="center"/>
            <w:hideMark/>
          </w:tcPr>
          <w:p w14:paraId="3F66DA4E" w14:textId="77777777" w:rsidR="00EE4927" w:rsidRPr="00092B22" w:rsidRDefault="00EE4927"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Employee expenses</w:t>
            </w:r>
          </w:p>
        </w:tc>
        <w:tc>
          <w:tcPr>
            <w:tcW w:w="1018" w:type="dxa"/>
            <w:tcBorders>
              <w:top w:val="nil"/>
              <w:left w:val="nil"/>
              <w:bottom w:val="nil"/>
              <w:right w:val="nil"/>
            </w:tcBorders>
            <w:shd w:val="clear" w:color="auto" w:fill="auto"/>
            <w:noWrap/>
            <w:vAlign w:val="center"/>
            <w:hideMark/>
          </w:tcPr>
          <w:p w14:paraId="67D1AE50" w14:textId="77777777" w:rsidR="00EE4927" w:rsidRPr="00092B22" w:rsidRDefault="00EE4927"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5</w:t>
            </w:r>
          </w:p>
        </w:tc>
        <w:tc>
          <w:tcPr>
            <w:tcW w:w="222" w:type="dxa"/>
            <w:tcBorders>
              <w:top w:val="nil"/>
              <w:left w:val="nil"/>
              <w:bottom w:val="nil"/>
              <w:right w:val="nil"/>
            </w:tcBorders>
            <w:shd w:val="clear" w:color="auto" w:fill="auto"/>
            <w:noWrap/>
            <w:vAlign w:val="center"/>
            <w:hideMark/>
          </w:tcPr>
          <w:p w14:paraId="721913F1" w14:textId="77777777" w:rsidR="00EE4927" w:rsidRPr="00092B22" w:rsidRDefault="00EE4927" w:rsidP="00E607DA">
            <w:pPr>
              <w:jc w:val="center"/>
              <w:rPr>
                <w:rFonts w:ascii="Meta Pro" w:eastAsia="Times New Roman" w:hAnsi="Meta Pro"/>
                <w:color w:val="000000"/>
                <w:szCs w:val="18"/>
                <w:lang w:eastAsia="en-AU"/>
              </w:rPr>
            </w:pPr>
          </w:p>
        </w:tc>
        <w:tc>
          <w:tcPr>
            <w:tcW w:w="1506" w:type="dxa"/>
            <w:tcBorders>
              <w:top w:val="nil"/>
              <w:left w:val="nil"/>
              <w:bottom w:val="nil"/>
              <w:right w:val="nil"/>
            </w:tcBorders>
            <w:shd w:val="clear" w:color="000000" w:fill="C9E3B4"/>
            <w:noWrap/>
            <w:vAlign w:val="center"/>
            <w:hideMark/>
          </w:tcPr>
          <w:p w14:paraId="471EFF6F"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650,326 </w:t>
            </w:r>
          </w:p>
        </w:tc>
        <w:tc>
          <w:tcPr>
            <w:tcW w:w="223" w:type="dxa"/>
            <w:tcBorders>
              <w:top w:val="nil"/>
              <w:left w:val="nil"/>
              <w:bottom w:val="nil"/>
              <w:right w:val="nil"/>
            </w:tcBorders>
            <w:shd w:val="clear" w:color="auto" w:fill="auto"/>
            <w:noWrap/>
            <w:vAlign w:val="center"/>
            <w:hideMark/>
          </w:tcPr>
          <w:p w14:paraId="0B3A1AF9" w14:textId="77777777" w:rsidR="00EE4927" w:rsidRPr="00092B22" w:rsidRDefault="00EE4927" w:rsidP="00E607DA">
            <w:pPr>
              <w:jc w:val="right"/>
              <w:rPr>
                <w:rFonts w:ascii="Meta Pro" w:eastAsia="Times New Roman" w:hAnsi="Meta Pro"/>
                <w:color w:val="000000"/>
                <w:szCs w:val="18"/>
                <w:lang w:eastAsia="en-AU"/>
              </w:rPr>
            </w:pPr>
          </w:p>
        </w:tc>
        <w:tc>
          <w:tcPr>
            <w:tcW w:w="1506" w:type="dxa"/>
            <w:gridSpan w:val="2"/>
            <w:tcBorders>
              <w:top w:val="nil"/>
              <w:left w:val="nil"/>
              <w:bottom w:val="nil"/>
              <w:right w:val="nil"/>
            </w:tcBorders>
            <w:shd w:val="clear" w:color="auto" w:fill="auto"/>
            <w:noWrap/>
            <w:vAlign w:val="center"/>
            <w:hideMark/>
          </w:tcPr>
          <w:p w14:paraId="4F29672C"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603,083 </w:t>
            </w:r>
          </w:p>
        </w:tc>
      </w:tr>
      <w:tr w:rsidR="00EE4927" w:rsidRPr="00092B22" w14:paraId="6965B4FF" w14:textId="77777777" w:rsidTr="00EE4927">
        <w:trPr>
          <w:trHeight w:val="23"/>
        </w:trPr>
        <w:tc>
          <w:tcPr>
            <w:tcW w:w="221" w:type="dxa"/>
            <w:tcBorders>
              <w:top w:val="nil"/>
              <w:left w:val="nil"/>
              <w:bottom w:val="nil"/>
              <w:right w:val="nil"/>
            </w:tcBorders>
            <w:shd w:val="clear" w:color="auto" w:fill="auto"/>
            <w:noWrap/>
            <w:vAlign w:val="center"/>
            <w:hideMark/>
          </w:tcPr>
          <w:p w14:paraId="65951C10" w14:textId="77777777" w:rsidR="00EE4927" w:rsidRPr="00092B22" w:rsidRDefault="00EE4927" w:rsidP="00E607DA">
            <w:pPr>
              <w:jc w:val="right"/>
              <w:rPr>
                <w:rFonts w:ascii="Meta Pro" w:eastAsia="Times New Roman" w:hAnsi="Meta Pro"/>
                <w:color w:val="000000"/>
                <w:szCs w:val="18"/>
                <w:lang w:eastAsia="en-AU"/>
              </w:rPr>
            </w:pPr>
          </w:p>
        </w:tc>
        <w:tc>
          <w:tcPr>
            <w:tcW w:w="4942" w:type="dxa"/>
            <w:gridSpan w:val="4"/>
            <w:tcBorders>
              <w:top w:val="nil"/>
              <w:left w:val="nil"/>
              <w:bottom w:val="nil"/>
              <w:right w:val="nil"/>
            </w:tcBorders>
            <w:shd w:val="clear" w:color="auto" w:fill="auto"/>
            <w:noWrap/>
            <w:vAlign w:val="center"/>
            <w:hideMark/>
          </w:tcPr>
          <w:p w14:paraId="24628954" w14:textId="77777777" w:rsidR="00EE4927" w:rsidRPr="00092B22" w:rsidRDefault="00EE4927"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Supplies and services</w:t>
            </w:r>
          </w:p>
        </w:tc>
        <w:tc>
          <w:tcPr>
            <w:tcW w:w="1018" w:type="dxa"/>
            <w:tcBorders>
              <w:top w:val="nil"/>
              <w:left w:val="nil"/>
              <w:bottom w:val="nil"/>
              <w:right w:val="nil"/>
            </w:tcBorders>
            <w:shd w:val="clear" w:color="auto" w:fill="auto"/>
            <w:noWrap/>
            <w:vAlign w:val="center"/>
            <w:hideMark/>
          </w:tcPr>
          <w:p w14:paraId="733B1B20" w14:textId="77777777" w:rsidR="00EE4927" w:rsidRPr="00092B22" w:rsidRDefault="00EE4927"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7</w:t>
            </w:r>
          </w:p>
        </w:tc>
        <w:tc>
          <w:tcPr>
            <w:tcW w:w="222" w:type="dxa"/>
            <w:tcBorders>
              <w:top w:val="nil"/>
              <w:left w:val="nil"/>
              <w:bottom w:val="nil"/>
              <w:right w:val="nil"/>
            </w:tcBorders>
            <w:shd w:val="clear" w:color="auto" w:fill="auto"/>
            <w:noWrap/>
            <w:vAlign w:val="center"/>
            <w:hideMark/>
          </w:tcPr>
          <w:p w14:paraId="3D8CA2FF" w14:textId="77777777" w:rsidR="00EE4927" w:rsidRPr="00092B22" w:rsidRDefault="00EE4927" w:rsidP="00E607DA">
            <w:pPr>
              <w:jc w:val="center"/>
              <w:rPr>
                <w:rFonts w:ascii="Meta Pro" w:eastAsia="Times New Roman" w:hAnsi="Meta Pro"/>
                <w:color w:val="000000"/>
                <w:szCs w:val="18"/>
                <w:lang w:eastAsia="en-AU"/>
              </w:rPr>
            </w:pPr>
          </w:p>
        </w:tc>
        <w:tc>
          <w:tcPr>
            <w:tcW w:w="1506" w:type="dxa"/>
            <w:tcBorders>
              <w:top w:val="nil"/>
              <w:left w:val="nil"/>
              <w:bottom w:val="nil"/>
              <w:right w:val="nil"/>
            </w:tcBorders>
            <w:shd w:val="clear" w:color="000000" w:fill="C9E3B4"/>
            <w:noWrap/>
            <w:vAlign w:val="center"/>
            <w:hideMark/>
          </w:tcPr>
          <w:p w14:paraId="5755DA97"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4,250,502 </w:t>
            </w:r>
          </w:p>
        </w:tc>
        <w:tc>
          <w:tcPr>
            <w:tcW w:w="223" w:type="dxa"/>
            <w:tcBorders>
              <w:top w:val="nil"/>
              <w:left w:val="nil"/>
              <w:bottom w:val="nil"/>
              <w:right w:val="nil"/>
            </w:tcBorders>
            <w:shd w:val="clear" w:color="auto" w:fill="auto"/>
            <w:noWrap/>
            <w:vAlign w:val="center"/>
            <w:hideMark/>
          </w:tcPr>
          <w:p w14:paraId="13AFB76A" w14:textId="77777777" w:rsidR="00EE4927" w:rsidRPr="00092B22" w:rsidRDefault="00EE4927" w:rsidP="00E607DA">
            <w:pPr>
              <w:jc w:val="right"/>
              <w:rPr>
                <w:rFonts w:ascii="Meta Pro" w:eastAsia="Times New Roman" w:hAnsi="Meta Pro"/>
                <w:color w:val="000000"/>
                <w:szCs w:val="18"/>
                <w:lang w:eastAsia="en-AU"/>
              </w:rPr>
            </w:pPr>
          </w:p>
        </w:tc>
        <w:tc>
          <w:tcPr>
            <w:tcW w:w="1506" w:type="dxa"/>
            <w:gridSpan w:val="2"/>
            <w:tcBorders>
              <w:top w:val="nil"/>
              <w:left w:val="nil"/>
              <w:bottom w:val="nil"/>
              <w:right w:val="nil"/>
            </w:tcBorders>
            <w:shd w:val="clear" w:color="auto" w:fill="auto"/>
            <w:noWrap/>
            <w:vAlign w:val="center"/>
            <w:hideMark/>
          </w:tcPr>
          <w:p w14:paraId="571C07D7"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4,038,765 </w:t>
            </w:r>
          </w:p>
        </w:tc>
      </w:tr>
      <w:tr w:rsidR="00EE4927" w:rsidRPr="00092B22" w14:paraId="6EC95388" w14:textId="77777777" w:rsidTr="00EE4927">
        <w:trPr>
          <w:trHeight w:val="23"/>
        </w:trPr>
        <w:tc>
          <w:tcPr>
            <w:tcW w:w="221" w:type="dxa"/>
            <w:tcBorders>
              <w:top w:val="nil"/>
              <w:left w:val="nil"/>
              <w:bottom w:val="nil"/>
              <w:right w:val="nil"/>
            </w:tcBorders>
            <w:shd w:val="clear" w:color="auto" w:fill="auto"/>
            <w:noWrap/>
            <w:vAlign w:val="center"/>
            <w:hideMark/>
          </w:tcPr>
          <w:p w14:paraId="7DDD7812" w14:textId="77777777" w:rsidR="00EE4927" w:rsidRPr="00092B22" w:rsidRDefault="00EE4927" w:rsidP="00E607DA">
            <w:pPr>
              <w:jc w:val="right"/>
              <w:rPr>
                <w:rFonts w:ascii="Meta Pro" w:eastAsia="Times New Roman" w:hAnsi="Meta Pro"/>
                <w:color w:val="000000"/>
                <w:szCs w:val="18"/>
                <w:lang w:eastAsia="en-AU"/>
              </w:rPr>
            </w:pPr>
          </w:p>
        </w:tc>
        <w:tc>
          <w:tcPr>
            <w:tcW w:w="4942" w:type="dxa"/>
            <w:gridSpan w:val="4"/>
            <w:tcBorders>
              <w:top w:val="nil"/>
              <w:left w:val="nil"/>
              <w:bottom w:val="nil"/>
              <w:right w:val="nil"/>
            </w:tcBorders>
            <w:shd w:val="clear" w:color="auto" w:fill="auto"/>
            <w:noWrap/>
            <w:vAlign w:val="center"/>
            <w:hideMark/>
          </w:tcPr>
          <w:p w14:paraId="345437C9" w14:textId="77777777" w:rsidR="00EE4927" w:rsidRPr="00092B22" w:rsidRDefault="00EE4927"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Grants and subsidies </w:t>
            </w:r>
          </w:p>
        </w:tc>
        <w:tc>
          <w:tcPr>
            <w:tcW w:w="1018" w:type="dxa"/>
            <w:tcBorders>
              <w:top w:val="nil"/>
              <w:left w:val="nil"/>
              <w:bottom w:val="nil"/>
              <w:right w:val="nil"/>
            </w:tcBorders>
            <w:shd w:val="clear" w:color="auto" w:fill="auto"/>
            <w:noWrap/>
            <w:vAlign w:val="center"/>
            <w:hideMark/>
          </w:tcPr>
          <w:p w14:paraId="1DECED91" w14:textId="77777777" w:rsidR="00EE4927" w:rsidRPr="00092B22" w:rsidRDefault="00EE4927"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8</w:t>
            </w:r>
          </w:p>
        </w:tc>
        <w:tc>
          <w:tcPr>
            <w:tcW w:w="222" w:type="dxa"/>
            <w:tcBorders>
              <w:top w:val="nil"/>
              <w:left w:val="nil"/>
              <w:bottom w:val="nil"/>
              <w:right w:val="nil"/>
            </w:tcBorders>
            <w:shd w:val="clear" w:color="auto" w:fill="auto"/>
            <w:noWrap/>
            <w:vAlign w:val="center"/>
            <w:hideMark/>
          </w:tcPr>
          <w:p w14:paraId="25629B76" w14:textId="77777777" w:rsidR="00EE4927" w:rsidRPr="00092B22" w:rsidRDefault="00EE4927" w:rsidP="00E607DA">
            <w:pPr>
              <w:jc w:val="center"/>
              <w:rPr>
                <w:rFonts w:ascii="Meta Pro" w:eastAsia="Times New Roman" w:hAnsi="Meta Pro"/>
                <w:color w:val="000000"/>
                <w:szCs w:val="18"/>
                <w:lang w:eastAsia="en-AU"/>
              </w:rPr>
            </w:pPr>
          </w:p>
        </w:tc>
        <w:tc>
          <w:tcPr>
            <w:tcW w:w="1506" w:type="dxa"/>
            <w:tcBorders>
              <w:top w:val="nil"/>
              <w:left w:val="nil"/>
              <w:bottom w:val="nil"/>
              <w:right w:val="nil"/>
            </w:tcBorders>
            <w:shd w:val="clear" w:color="000000" w:fill="C9E3B4"/>
            <w:noWrap/>
            <w:vAlign w:val="center"/>
            <w:hideMark/>
          </w:tcPr>
          <w:p w14:paraId="52F2B1CB"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812,378 </w:t>
            </w:r>
          </w:p>
        </w:tc>
        <w:tc>
          <w:tcPr>
            <w:tcW w:w="223" w:type="dxa"/>
            <w:tcBorders>
              <w:top w:val="nil"/>
              <w:left w:val="nil"/>
              <w:bottom w:val="nil"/>
              <w:right w:val="nil"/>
            </w:tcBorders>
            <w:shd w:val="clear" w:color="auto" w:fill="auto"/>
            <w:noWrap/>
            <w:vAlign w:val="center"/>
            <w:hideMark/>
          </w:tcPr>
          <w:p w14:paraId="439B8DDD" w14:textId="77777777" w:rsidR="00EE4927" w:rsidRPr="00092B22" w:rsidRDefault="00EE4927" w:rsidP="00E607DA">
            <w:pPr>
              <w:jc w:val="right"/>
              <w:rPr>
                <w:rFonts w:ascii="Meta Pro" w:eastAsia="Times New Roman" w:hAnsi="Meta Pro"/>
                <w:color w:val="000000"/>
                <w:szCs w:val="18"/>
                <w:lang w:eastAsia="en-AU"/>
              </w:rPr>
            </w:pPr>
          </w:p>
        </w:tc>
        <w:tc>
          <w:tcPr>
            <w:tcW w:w="1506" w:type="dxa"/>
            <w:gridSpan w:val="2"/>
            <w:tcBorders>
              <w:top w:val="nil"/>
              <w:left w:val="nil"/>
              <w:bottom w:val="nil"/>
              <w:right w:val="nil"/>
            </w:tcBorders>
            <w:shd w:val="clear" w:color="auto" w:fill="auto"/>
            <w:noWrap/>
            <w:vAlign w:val="center"/>
            <w:hideMark/>
          </w:tcPr>
          <w:p w14:paraId="419E3E50"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695,471 </w:t>
            </w:r>
          </w:p>
        </w:tc>
      </w:tr>
      <w:tr w:rsidR="00EE4927" w:rsidRPr="00092B22" w14:paraId="5DD07157" w14:textId="77777777" w:rsidTr="00EE4927">
        <w:trPr>
          <w:trHeight w:val="23"/>
        </w:trPr>
        <w:tc>
          <w:tcPr>
            <w:tcW w:w="221" w:type="dxa"/>
            <w:tcBorders>
              <w:top w:val="nil"/>
              <w:left w:val="nil"/>
              <w:bottom w:val="nil"/>
              <w:right w:val="nil"/>
            </w:tcBorders>
            <w:shd w:val="clear" w:color="auto" w:fill="auto"/>
            <w:noWrap/>
            <w:vAlign w:val="center"/>
            <w:hideMark/>
          </w:tcPr>
          <w:p w14:paraId="3C968BC2" w14:textId="77777777" w:rsidR="00EE4927" w:rsidRPr="00092B22" w:rsidRDefault="00EE4927" w:rsidP="00E607DA">
            <w:pPr>
              <w:jc w:val="right"/>
              <w:rPr>
                <w:rFonts w:ascii="Meta Pro" w:eastAsia="Times New Roman" w:hAnsi="Meta Pro"/>
                <w:color w:val="000000"/>
                <w:szCs w:val="18"/>
                <w:lang w:eastAsia="en-AU"/>
              </w:rPr>
            </w:pPr>
          </w:p>
        </w:tc>
        <w:tc>
          <w:tcPr>
            <w:tcW w:w="4942" w:type="dxa"/>
            <w:gridSpan w:val="4"/>
            <w:tcBorders>
              <w:top w:val="nil"/>
              <w:left w:val="nil"/>
              <w:bottom w:val="nil"/>
              <w:right w:val="nil"/>
            </w:tcBorders>
            <w:shd w:val="clear" w:color="auto" w:fill="auto"/>
            <w:noWrap/>
            <w:vAlign w:val="center"/>
            <w:hideMark/>
          </w:tcPr>
          <w:p w14:paraId="767C54FC" w14:textId="77777777" w:rsidR="00EE4927" w:rsidRPr="00092B22" w:rsidRDefault="00EE4927"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Finance and borrowing costs</w:t>
            </w:r>
          </w:p>
        </w:tc>
        <w:tc>
          <w:tcPr>
            <w:tcW w:w="1018" w:type="dxa"/>
            <w:tcBorders>
              <w:top w:val="nil"/>
              <w:left w:val="nil"/>
              <w:bottom w:val="nil"/>
              <w:right w:val="nil"/>
            </w:tcBorders>
            <w:shd w:val="clear" w:color="auto" w:fill="auto"/>
            <w:noWrap/>
            <w:vAlign w:val="center"/>
            <w:hideMark/>
          </w:tcPr>
          <w:p w14:paraId="1AD53AA4" w14:textId="77777777" w:rsidR="00EE4927" w:rsidRPr="00092B22" w:rsidRDefault="00EE4927"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9</w:t>
            </w:r>
          </w:p>
        </w:tc>
        <w:tc>
          <w:tcPr>
            <w:tcW w:w="222" w:type="dxa"/>
            <w:tcBorders>
              <w:top w:val="nil"/>
              <w:left w:val="nil"/>
              <w:bottom w:val="nil"/>
              <w:right w:val="nil"/>
            </w:tcBorders>
            <w:shd w:val="clear" w:color="auto" w:fill="auto"/>
            <w:noWrap/>
            <w:vAlign w:val="center"/>
            <w:hideMark/>
          </w:tcPr>
          <w:p w14:paraId="0137590F" w14:textId="77777777" w:rsidR="00EE4927" w:rsidRPr="00092B22" w:rsidRDefault="00EE4927" w:rsidP="00E607DA">
            <w:pPr>
              <w:jc w:val="center"/>
              <w:rPr>
                <w:rFonts w:ascii="Meta Pro" w:eastAsia="Times New Roman" w:hAnsi="Meta Pro"/>
                <w:color w:val="000000"/>
                <w:szCs w:val="18"/>
                <w:lang w:eastAsia="en-AU"/>
              </w:rPr>
            </w:pPr>
          </w:p>
        </w:tc>
        <w:tc>
          <w:tcPr>
            <w:tcW w:w="1506" w:type="dxa"/>
            <w:tcBorders>
              <w:top w:val="nil"/>
              <w:left w:val="nil"/>
              <w:bottom w:val="nil"/>
              <w:right w:val="nil"/>
            </w:tcBorders>
            <w:shd w:val="clear" w:color="000000" w:fill="C9E3B4"/>
            <w:noWrap/>
            <w:vAlign w:val="center"/>
            <w:hideMark/>
          </w:tcPr>
          <w:p w14:paraId="43603FC2"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79,971 </w:t>
            </w:r>
          </w:p>
        </w:tc>
        <w:tc>
          <w:tcPr>
            <w:tcW w:w="223" w:type="dxa"/>
            <w:tcBorders>
              <w:top w:val="nil"/>
              <w:left w:val="nil"/>
              <w:bottom w:val="nil"/>
              <w:right w:val="nil"/>
            </w:tcBorders>
            <w:shd w:val="clear" w:color="auto" w:fill="auto"/>
            <w:noWrap/>
            <w:vAlign w:val="center"/>
            <w:hideMark/>
          </w:tcPr>
          <w:p w14:paraId="5E7ACEDE" w14:textId="77777777" w:rsidR="00EE4927" w:rsidRPr="00092B22" w:rsidRDefault="00EE4927" w:rsidP="00E607DA">
            <w:pPr>
              <w:jc w:val="right"/>
              <w:rPr>
                <w:rFonts w:ascii="Meta Pro" w:eastAsia="Times New Roman" w:hAnsi="Meta Pro"/>
                <w:color w:val="000000"/>
                <w:szCs w:val="18"/>
                <w:lang w:eastAsia="en-AU"/>
              </w:rPr>
            </w:pPr>
          </w:p>
        </w:tc>
        <w:tc>
          <w:tcPr>
            <w:tcW w:w="1506" w:type="dxa"/>
            <w:gridSpan w:val="2"/>
            <w:tcBorders>
              <w:top w:val="nil"/>
              <w:left w:val="nil"/>
              <w:bottom w:val="nil"/>
              <w:right w:val="nil"/>
            </w:tcBorders>
            <w:shd w:val="clear" w:color="auto" w:fill="auto"/>
            <w:noWrap/>
            <w:vAlign w:val="center"/>
            <w:hideMark/>
          </w:tcPr>
          <w:p w14:paraId="285EF457"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117,878 </w:t>
            </w:r>
          </w:p>
        </w:tc>
      </w:tr>
      <w:tr w:rsidR="00EE4927" w:rsidRPr="00092B22" w14:paraId="32131481" w14:textId="77777777" w:rsidTr="00EE4927">
        <w:trPr>
          <w:trHeight w:val="23"/>
        </w:trPr>
        <w:tc>
          <w:tcPr>
            <w:tcW w:w="221" w:type="dxa"/>
            <w:tcBorders>
              <w:top w:val="nil"/>
              <w:left w:val="nil"/>
              <w:bottom w:val="nil"/>
              <w:right w:val="nil"/>
            </w:tcBorders>
            <w:shd w:val="clear" w:color="auto" w:fill="auto"/>
            <w:noWrap/>
            <w:vAlign w:val="center"/>
            <w:hideMark/>
          </w:tcPr>
          <w:p w14:paraId="2098F83D" w14:textId="77777777" w:rsidR="00EE4927" w:rsidRPr="00092B22" w:rsidRDefault="00EE4927" w:rsidP="00E607DA">
            <w:pPr>
              <w:jc w:val="right"/>
              <w:rPr>
                <w:rFonts w:ascii="Meta Pro" w:eastAsia="Times New Roman" w:hAnsi="Meta Pro"/>
                <w:color w:val="000000"/>
                <w:szCs w:val="18"/>
                <w:lang w:eastAsia="en-AU"/>
              </w:rPr>
            </w:pPr>
          </w:p>
        </w:tc>
        <w:tc>
          <w:tcPr>
            <w:tcW w:w="4942" w:type="dxa"/>
            <w:gridSpan w:val="4"/>
            <w:tcBorders>
              <w:top w:val="nil"/>
              <w:left w:val="nil"/>
              <w:bottom w:val="nil"/>
              <w:right w:val="nil"/>
            </w:tcBorders>
            <w:shd w:val="clear" w:color="auto" w:fill="auto"/>
            <w:noWrap/>
            <w:vAlign w:val="center"/>
            <w:hideMark/>
          </w:tcPr>
          <w:p w14:paraId="277809A3" w14:textId="77777777" w:rsidR="00EE4927" w:rsidRPr="00092B22" w:rsidRDefault="00EE4927"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Impairment losses</w:t>
            </w:r>
          </w:p>
        </w:tc>
        <w:tc>
          <w:tcPr>
            <w:tcW w:w="1018" w:type="dxa"/>
            <w:tcBorders>
              <w:top w:val="nil"/>
              <w:left w:val="nil"/>
              <w:bottom w:val="nil"/>
              <w:right w:val="nil"/>
            </w:tcBorders>
            <w:shd w:val="clear" w:color="auto" w:fill="auto"/>
            <w:noWrap/>
            <w:vAlign w:val="center"/>
            <w:hideMark/>
          </w:tcPr>
          <w:p w14:paraId="43168503" w14:textId="77777777" w:rsidR="00EE4927" w:rsidRPr="00092B22" w:rsidRDefault="00EE4927"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12</w:t>
            </w:r>
          </w:p>
        </w:tc>
        <w:tc>
          <w:tcPr>
            <w:tcW w:w="222" w:type="dxa"/>
            <w:tcBorders>
              <w:top w:val="nil"/>
              <w:left w:val="nil"/>
              <w:bottom w:val="nil"/>
              <w:right w:val="nil"/>
            </w:tcBorders>
            <w:shd w:val="clear" w:color="auto" w:fill="auto"/>
            <w:noWrap/>
            <w:vAlign w:val="center"/>
            <w:hideMark/>
          </w:tcPr>
          <w:p w14:paraId="51F992EA" w14:textId="77777777" w:rsidR="00EE4927" w:rsidRPr="00092B22" w:rsidRDefault="00EE4927" w:rsidP="00E607DA">
            <w:pPr>
              <w:jc w:val="center"/>
              <w:rPr>
                <w:rFonts w:ascii="Meta Pro" w:eastAsia="Times New Roman" w:hAnsi="Meta Pro"/>
                <w:color w:val="000000"/>
                <w:szCs w:val="18"/>
                <w:lang w:eastAsia="en-AU"/>
              </w:rPr>
            </w:pPr>
          </w:p>
        </w:tc>
        <w:tc>
          <w:tcPr>
            <w:tcW w:w="1506" w:type="dxa"/>
            <w:tcBorders>
              <w:top w:val="nil"/>
              <w:left w:val="nil"/>
              <w:bottom w:val="nil"/>
              <w:right w:val="nil"/>
            </w:tcBorders>
            <w:shd w:val="clear" w:color="000000" w:fill="C9E3B4"/>
            <w:noWrap/>
            <w:vAlign w:val="center"/>
            <w:hideMark/>
          </w:tcPr>
          <w:p w14:paraId="6E85F824"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1,162 </w:t>
            </w:r>
          </w:p>
        </w:tc>
        <w:tc>
          <w:tcPr>
            <w:tcW w:w="223" w:type="dxa"/>
            <w:tcBorders>
              <w:top w:val="nil"/>
              <w:left w:val="nil"/>
              <w:bottom w:val="nil"/>
              <w:right w:val="nil"/>
            </w:tcBorders>
            <w:shd w:val="clear" w:color="auto" w:fill="auto"/>
            <w:noWrap/>
            <w:vAlign w:val="center"/>
            <w:hideMark/>
          </w:tcPr>
          <w:p w14:paraId="248D74D1" w14:textId="77777777" w:rsidR="00EE4927" w:rsidRPr="00092B22" w:rsidRDefault="00EE4927" w:rsidP="00E607DA">
            <w:pPr>
              <w:jc w:val="right"/>
              <w:rPr>
                <w:rFonts w:ascii="Meta Pro" w:eastAsia="Times New Roman" w:hAnsi="Meta Pro"/>
                <w:color w:val="000000"/>
                <w:szCs w:val="18"/>
                <w:lang w:eastAsia="en-AU"/>
              </w:rPr>
            </w:pPr>
          </w:p>
        </w:tc>
        <w:tc>
          <w:tcPr>
            <w:tcW w:w="1506" w:type="dxa"/>
            <w:gridSpan w:val="2"/>
            <w:tcBorders>
              <w:top w:val="nil"/>
              <w:left w:val="nil"/>
              <w:bottom w:val="nil"/>
              <w:right w:val="nil"/>
            </w:tcBorders>
            <w:shd w:val="clear" w:color="auto" w:fill="auto"/>
            <w:noWrap/>
            <w:vAlign w:val="center"/>
            <w:hideMark/>
          </w:tcPr>
          <w:p w14:paraId="61C73397"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2,375 </w:t>
            </w:r>
          </w:p>
        </w:tc>
      </w:tr>
      <w:tr w:rsidR="00EE4927" w:rsidRPr="00092B22" w14:paraId="7D64549F" w14:textId="77777777" w:rsidTr="00EE4927">
        <w:trPr>
          <w:trHeight w:val="23"/>
        </w:trPr>
        <w:tc>
          <w:tcPr>
            <w:tcW w:w="221" w:type="dxa"/>
            <w:tcBorders>
              <w:top w:val="nil"/>
              <w:left w:val="nil"/>
              <w:bottom w:val="nil"/>
              <w:right w:val="nil"/>
            </w:tcBorders>
            <w:shd w:val="clear" w:color="auto" w:fill="auto"/>
            <w:noWrap/>
            <w:vAlign w:val="center"/>
            <w:hideMark/>
          </w:tcPr>
          <w:p w14:paraId="21065AE1" w14:textId="77777777" w:rsidR="00EE4927" w:rsidRPr="00092B22" w:rsidRDefault="00EE4927" w:rsidP="00E607DA">
            <w:pPr>
              <w:jc w:val="right"/>
              <w:rPr>
                <w:rFonts w:ascii="Meta Pro" w:eastAsia="Times New Roman" w:hAnsi="Meta Pro"/>
                <w:color w:val="000000"/>
                <w:szCs w:val="18"/>
                <w:lang w:eastAsia="en-AU"/>
              </w:rPr>
            </w:pPr>
          </w:p>
        </w:tc>
        <w:tc>
          <w:tcPr>
            <w:tcW w:w="4942" w:type="dxa"/>
            <w:gridSpan w:val="4"/>
            <w:tcBorders>
              <w:top w:val="nil"/>
              <w:left w:val="nil"/>
              <w:bottom w:val="nil"/>
              <w:right w:val="nil"/>
            </w:tcBorders>
            <w:shd w:val="clear" w:color="auto" w:fill="auto"/>
            <w:noWrap/>
            <w:vAlign w:val="center"/>
            <w:hideMark/>
          </w:tcPr>
          <w:p w14:paraId="0BD91E31" w14:textId="77777777" w:rsidR="00EE4927" w:rsidRPr="00092B22" w:rsidRDefault="00EE4927"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Depreciation and amortisation</w:t>
            </w:r>
          </w:p>
        </w:tc>
        <w:tc>
          <w:tcPr>
            <w:tcW w:w="1018" w:type="dxa"/>
            <w:tcBorders>
              <w:top w:val="nil"/>
              <w:left w:val="nil"/>
              <w:bottom w:val="nil"/>
              <w:right w:val="nil"/>
            </w:tcBorders>
            <w:shd w:val="clear" w:color="auto" w:fill="auto"/>
            <w:noWrap/>
            <w:vAlign w:val="center"/>
            <w:hideMark/>
          </w:tcPr>
          <w:p w14:paraId="2367F6F9" w14:textId="77777777" w:rsidR="00EE4927" w:rsidRPr="00092B22" w:rsidRDefault="00EE4927"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10</w:t>
            </w:r>
          </w:p>
        </w:tc>
        <w:tc>
          <w:tcPr>
            <w:tcW w:w="222" w:type="dxa"/>
            <w:tcBorders>
              <w:top w:val="nil"/>
              <w:left w:val="nil"/>
              <w:bottom w:val="nil"/>
              <w:right w:val="nil"/>
            </w:tcBorders>
            <w:shd w:val="clear" w:color="auto" w:fill="auto"/>
            <w:noWrap/>
            <w:vAlign w:val="center"/>
            <w:hideMark/>
          </w:tcPr>
          <w:p w14:paraId="667A78A2" w14:textId="77777777" w:rsidR="00EE4927" w:rsidRPr="00092B22" w:rsidRDefault="00EE4927" w:rsidP="00E607DA">
            <w:pPr>
              <w:jc w:val="center"/>
              <w:rPr>
                <w:rFonts w:ascii="Meta Pro" w:eastAsia="Times New Roman" w:hAnsi="Meta Pro"/>
                <w:color w:val="000000"/>
                <w:szCs w:val="18"/>
                <w:lang w:eastAsia="en-AU"/>
              </w:rPr>
            </w:pPr>
          </w:p>
        </w:tc>
        <w:tc>
          <w:tcPr>
            <w:tcW w:w="1506" w:type="dxa"/>
            <w:tcBorders>
              <w:top w:val="nil"/>
              <w:left w:val="nil"/>
              <w:bottom w:val="nil"/>
              <w:right w:val="nil"/>
            </w:tcBorders>
            <w:shd w:val="clear" w:color="000000" w:fill="C9E3B4"/>
            <w:noWrap/>
            <w:vAlign w:val="center"/>
            <w:hideMark/>
          </w:tcPr>
          <w:p w14:paraId="0372D850"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1,355,679 </w:t>
            </w:r>
          </w:p>
        </w:tc>
        <w:tc>
          <w:tcPr>
            <w:tcW w:w="223" w:type="dxa"/>
            <w:tcBorders>
              <w:top w:val="nil"/>
              <w:left w:val="nil"/>
              <w:bottom w:val="nil"/>
              <w:right w:val="nil"/>
            </w:tcBorders>
            <w:shd w:val="clear" w:color="auto" w:fill="auto"/>
            <w:noWrap/>
            <w:vAlign w:val="center"/>
            <w:hideMark/>
          </w:tcPr>
          <w:p w14:paraId="67E13965" w14:textId="77777777" w:rsidR="00EE4927" w:rsidRPr="00092B22" w:rsidRDefault="00EE4927" w:rsidP="00E607DA">
            <w:pPr>
              <w:jc w:val="right"/>
              <w:rPr>
                <w:rFonts w:ascii="Meta Pro" w:eastAsia="Times New Roman" w:hAnsi="Meta Pro"/>
                <w:color w:val="000000"/>
                <w:szCs w:val="18"/>
                <w:lang w:eastAsia="en-AU"/>
              </w:rPr>
            </w:pPr>
          </w:p>
        </w:tc>
        <w:tc>
          <w:tcPr>
            <w:tcW w:w="1506" w:type="dxa"/>
            <w:gridSpan w:val="2"/>
            <w:tcBorders>
              <w:top w:val="nil"/>
              <w:left w:val="nil"/>
              <w:bottom w:val="nil"/>
              <w:right w:val="nil"/>
            </w:tcBorders>
            <w:shd w:val="clear" w:color="auto" w:fill="auto"/>
            <w:noWrap/>
            <w:vAlign w:val="center"/>
            <w:hideMark/>
          </w:tcPr>
          <w:p w14:paraId="4663CAB5"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1,265,135 </w:t>
            </w:r>
          </w:p>
        </w:tc>
      </w:tr>
      <w:tr w:rsidR="00EE4927" w:rsidRPr="00092B22" w14:paraId="589DE3F9" w14:textId="77777777" w:rsidTr="00EE4927">
        <w:trPr>
          <w:trHeight w:val="23"/>
        </w:trPr>
        <w:tc>
          <w:tcPr>
            <w:tcW w:w="221" w:type="dxa"/>
            <w:tcBorders>
              <w:top w:val="nil"/>
              <w:left w:val="nil"/>
              <w:bottom w:val="single" w:sz="4" w:space="0" w:color="auto"/>
              <w:right w:val="nil"/>
            </w:tcBorders>
            <w:shd w:val="clear" w:color="auto" w:fill="auto"/>
            <w:noWrap/>
            <w:vAlign w:val="center"/>
            <w:hideMark/>
          </w:tcPr>
          <w:p w14:paraId="0D0F53EC" w14:textId="77777777" w:rsidR="00EE4927" w:rsidRPr="00092B22" w:rsidRDefault="00EE4927"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4942" w:type="dxa"/>
            <w:gridSpan w:val="4"/>
            <w:tcBorders>
              <w:top w:val="nil"/>
              <w:left w:val="nil"/>
              <w:bottom w:val="single" w:sz="4" w:space="0" w:color="auto"/>
              <w:right w:val="nil"/>
            </w:tcBorders>
            <w:shd w:val="clear" w:color="auto" w:fill="auto"/>
            <w:noWrap/>
            <w:vAlign w:val="center"/>
            <w:hideMark/>
          </w:tcPr>
          <w:p w14:paraId="20133777" w14:textId="77777777" w:rsidR="00EE4927" w:rsidRPr="00092B22" w:rsidRDefault="00EE4927"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Other expenses</w:t>
            </w:r>
          </w:p>
        </w:tc>
        <w:tc>
          <w:tcPr>
            <w:tcW w:w="1018" w:type="dxa"/>
            <w:tcBorders>
              <w:top w:val="nil"/>
              <w:left w:val="nil"/>
              <w:bottom w:val="single" w:sz="4" w:space="0" w:color="auto"/>
              <w:right w:val="nil"/>
            </w:tcBorders>
            <w:shd w:val="clear" w:color="auto" w:fill="auto"/>
            <w:noWrap/>
            <w:vAlign w:val="center"/>
            <w:hideMark/>
          </w:tcPr>
          <w:p w14:paraId="1C438296" w14:textId="77777777" w:rsidR="00EE4927" w:rsidRPr="00092B22" w:rsidRDefault="00EE4927"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11</w:t>
            </w:r>
          </w:p>
        </w:tc>
        <w:tc>
          <w:tcPr>
            <w:tcW w:w="222" w:type="dxa"/>
            <w:tcBorders>
              <w:top w:val="nil"/>
              <w:left w:val="nil"/>
              <w:bottom w:val="single" w:sz="4" w:space="0" w:color="auto"/>
              <w:right w:val="nil"/>
            </w:tcBorders>
            <w:shd w:val="clear" w:color="auto" w:fill="auto"/>
            <w:noWrap/>
            <w:vAlign w:val="center"/>
            <w:hideMark/>
          </w:tcPr>
          <w:p w14:paraId="64F56A5D" w14:textId="77777777" w:rsidR="00EE4927" w:rsidRPr="00092B22" w:rsidRDefault="00EE4927"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1506" w:type="dxa"/>
            <w:tcBorders>
              <w:top w:val="nil"/>
              <w:left w:val="nil"/>
              <w:bottom w:val="single" w:sz="4" w:space="0" w:color="auto"/>
              <w:right w:val="nil"/>
            </w:tcBorders>
            <w:shd w:val="clear" w:color="000000" w:fill="C9E3B4"/>
            <w:noWrap/>
            <w:vAlign w:val="center"/>
            <w:hideMark/>
          </w:tcPr>
          <w:p w14:paraId="35FE62A1"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28,131 </w:t>
            </w:r>
          </w:p>
        </w:tc>
        <w:tc>
          <w:tcPr>
            <w:tcW w:w="223" w:type="dxa"/>
            <w:tcBorders>
              <w:top w:val="nil"/>
              <w:left w:val="nil"/>
              <w:bottom w:val="single" w:sz="4" w:space="0" w:color="auto"/>
              <w:right w:val="nil"/>
            </w:tcBorders>
            <w:shd w:val="clear" w:color="auto" w:fill="auto"/>
            <w:noWrap/>
            <w:vAlign w:val="center"/>
            <w:hideMark/>
          </w:tcPr>
          <w:p w14:paraId="7B1A8317"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1506" w:type="dxa"/>
            <w:gridSpan w:val="2"/>
            <w:tcBorders>
              <w:top w:val="nil"/>
              <w:left w:val="nil"/>
              <w:bottom w:val="single" w:sz="4" w:space="0" w:color="auto"/>
              <w:right w:val="nil"/>
            </w:tcBorders>
            <w:shd w:val="clear" w:color="auto" w:fill="auto"/>
            <w:noWrap/>
            <w:vAlign w:val="center"/>
            <w:hideMark/>
          </w:tcPr>
          <w:p w14:paraId="432409EF"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40,094 </w:t>
            </w:r>
          </w:p>
        </w:tc>
      </w:tr>
      <w:tr w:rsidR="00EE4927" w:rsidRPr="00092B22" w14:paraId="7E603614" w14:textId="77777777" w:rsidTr="00EE4927">
        <w:trPr>
          <w:trHeight w:val="23"/>
        </w:trPr>
        <w:tc>
          <w:tcPr>
            <w:tcW w:w="221" w:type="dxa"/>
            <w:tcBorders>
              <w:top w:val="nil"/>
              <w:left w:val="nil"/>
              <w:bottom w:val="nil"/>
              <w:right w:val="nil"/>
            </w:tcBorders>
            <w:shd w:val="clear" w:color="auto" w:fill="auto"/>
            <w:noWrap/>
            <w:vAlign w:val="center"/>
            <w:hideMark/>
          </w:tcPr>
          <w:p w14:paraId="3C3FB29B" w14:textId="77777777" w:rsidR="00EE4927" w:rsidRPr="00092B22" w:rsidRDefault="00EE4927" w:rsidP="00E607DA">
            <w:pPr>
              <w:jc w:val="right"/>
              <w:rPr>
                <w:rFonts w:ascii="Meta Pro" w:eastAsia="Times New Roman" w:hAnsi="Meta Pro"/>
                <w:color w:val="000000"/>
                <w:szCs w:val="18"/>
                <w:lang w:eastAsia="en-AU"/>
              </w:rPr>
            </w:pPr>
          </w:p>
        </w:tc>
        <w:tc>
          <w:tcPr>
            <w:tcW w:w="4942" w:type="dxa"/>
            <w:gridSpan w:val="4"/>
            <w:tcBorders>
              <w:top w:val="nil"/>
              <w:left w:val="nil"/>
              <w:bottom w:val="nil"/>
              <w:right w:val="nil"/>
            </w:tcBorders>
            <w:shd w:val="clear" w:color="auto" w:fill="auto"/>
            <w:noWrap/>
            <w:vAlign w:val="center"/>
            <w:hideMark/>
          </w:tcPr>
          <w:p w14:paraId="72B3B467" w14:textId="77777777" w:rsidR="00EE4927" w:rsidRPr="00092B22" w:rsidRDefault="00EE4927" w:rsidP="00E607DA">
            <w:pP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Total expenses</w:t>
            </w:r>
          </w:p>
        </w:tc>
        <w:tc>
          <w:tcPr>
            <w:tcW w:w="1018" w:type="dxa"/>
            <w:tcBorders>
              <w:top w:val="single" w:sz="4" w:space="0" w:color="auto"/>
              <w:left w:val="nil"/>
              <w:bottom w:val="nil"/>
              <w:right w:val="nil"/>
            </w:tcBorders>
            <w:shd w:val="clear" w:color="auto" w:fill="auto"/>
            <w:noWrap/>
            <w:vAlign w:val="center"/>
            <w:hideMark/>
          </w:tcPr>
          <w:p w14:paraId="731CDA49" w14:textId="77777777" w:rsidR="00EE4927" w:rsidRPr="00092B22" w:rsidRDefault="00EE4927"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22" w:type="dxa"/>
            <w:tcBorders>
              <w:top w:val="nil"/>
              <w:left w:val="nil"/>
              <w:bottom w:val="nil"/>
              <w:right w:val="nil"/>
            </w:tcBorders>
            <w:shd w:val="clear" w:color="auto" w:fill="auto"/>
            <w:noWrap/>
            <w:vAlign w:val="center"/>
            <w:hideMark/>
          </w:tcPr>
          <w:p w14:paraId="34EF20ED" w14:textId="77777777" w:rsidR="00EE4927" w:rsidRPr="00092B22" w:rsidRDefault="00EE4927" w:rsidP="00E607DA">
            <w:pPr>
              <w:jc w:val="center"/>
              <w:rPr>
                <w:rFonts w:ascii="Meta Pro" w:eastAsia="Times New Roman" w:hAnsi="Meta Pro"/>
                <w:color w:val="000000"/>
                <w:szCs w:val="18"/>
                <w:lang w:eastAsia="en-AU"/>
              </w:rPr>
            </w:pPr>
          </w:p>
        </w:tc>
        <w:tc>
          <w:tcPr>
            <w:tcW w:w="1506" w:type="dxa"/>
            <w:tcBorders>
              <w:top w:val="nil"/>
              <w:left w:val="nil"/>
              <w:bottom w:val="nil"/>
              <w:right w:val="nil"/>
            </w:tcBorders>
            <w:shd w:val="clear" w:color="000000" w:fill="C9E3B4"/>
            <w:noWrap/>
            <w:vAlign w:val="center"/>
            <w:hideMark/>
          </w:tcPr>
          <w:p w14:paraId="54CEE80F" w14:textId="77777777" w:rsidR="00EE4927" w:rsidRPr="00092B22" w:rsidRDefault="00EE4927"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xml:space="preserve">7,178,149 </w:t>
            </w:r>
          </w:p>
        </w:tc>
        <w:tc>
          <w:tcPr>
            <w:tcW w:w="223" w:type="dxa"/>
            <w:tcBorders>
              <w:top w:val="nil"/>
              <w:left w:val="nil"/>
              <w:bottom w:val="nil"/>
              <w:right w:val="nil"/>
            </w:tcBorders>
            <w:shd w:val="clear" w:color="auto" w:fill="auto"/>
            <w:noWrap/>
            <w:vAlign w:val="center"/>
            <w:hideMark/>
          </w:tcPr>
          <w:p w14:paraId="20A957A0" w14:textId="77777777" w:rsidR="00EE4927" w:rsidRPr="00092B22" w:rsidRDefault="00EE4927" w:rsidP="00E607DA">
            <w:pPr>
              <w:jc w:val="right"/>
              <w:rPr>
                <w:rFonts w:ascii="Meta Pro" w:eastAsia="Times New Roman" w:hAnsi="Meta Pro"/>
                <w:b/>
                <w:bCs/>
                <w:color w:val="000000"/>
                <w:szCs w:val="18"/>
                <w:lang w:eastAsia="en-AU"/>
              </w:rPr>
            </w:pPr>
          </w:p>
        </w:tc>
        <w:tc>
          <w:tcPr>
            <w:tcW w:w="1506" w:type="dxa"/>
            <w:gridSpan w:val="2"/>
            <w:tcBorders>
              <w:top w:val="nil"/>
              <w:left w:val="nil"/>
              <w:bottom w:val="nil"/>
              <w:right w:val="nil"/>
            </w:tcBorders>
            <w:shd w:val="clear" w:color="auto" w:fill="auto"/>
            <w:noWrap/>
            <w:vAlign w:val="center"/>
            <w:hideMark/>
          </w:tcPr>
          <w:p w14:paraId="1B93563E" w14:textId="77777777" w:rsidR="00EE4927" w:rsidRPr="00092B22" w:rsidRDefault="00EE4927"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xml:space="preserve">6,762,801 </w:t>
            </w:r>
          </w:p>
        </w:tc>
      </w:tr>
      <w:tr w:rsidR="00EE4927" w:rsidRPr="00092B22" w14:paraId="70E6A6D3" w14:textId="77777777" w:rsidTr="00EE4927">
        <w:trPr>
          <w:trHeight w:val="23"/>
        </w:trPr>
        <w:tc>
          <w:tcPr>
            <w:tcW w:w="221" w:type="dxa"/>
            <w:tcBorders>
              <w:top w:val="nil"/>
              <w:left w:val="nil"/>
              <w:bottom w:val="nil"/>
              <w:right w:val="nil"/>
            </w:tcBorders>
            <w:shd w:val="clear" w:color="auto" w:fill="auto"/>
            <w:noWrap/>
            <w:vAlign w:val="center"/>
            <w:hideMark/>
          </w:tcPr>
          <w:p w14:paraId="4C0787E3" w14:textId="77777777" w:rsidR="00EE4927" w:rsidRPr="00092B22" w:rsidRDefault="00EE4927" w:rsidP="00E607DA">
            <w:pPr>
              <w:jc w:val="right"/>
              <w:rPr>
                <w:rFonts w:ascii="Meta Pro" w:eastAsia="Times New Roman" w:hAnsi="Meta Pro"/>
                <w:b/>
                <w:bCs/>
                <w:color w:val="000000"/>
                <w:szCs w:val="18"/>
                <w:lang w:eastAsia="en-AU"/>
              </w:rPr>
            </w:pPr>
          </w:p>
        </w:tc>
        <w:tc>
          <w:tcPr>
            <w:tcW w:w="4942" w:type="dxa"/>
            <w:gridSpan w:val="4"/>
            <w:tcBorders>
              <w:top w:val="nil"/>
              <w:left w:val="nil"/>
              <w:bottom w:val="nil"/>
              <w:right w:val="nil"/>
            </w:tcBorders>
            <w:shd w:val="clear" w:color="auto" w:fill="auto"/>
            <w:noWrap/>
            <w:vAlign w:val="center"/>
            <w:hideMark/>
          </w:tcPr>
          <w:p w14:paraId="57F4FB96" w14:textId="77777777" w:rsidR="00EE4927" w:rsidRPr="00092B22" w:rsidRDefault="00EE4927" w:rsidP="00E607DA">
            <w:pPr>
              <w:rPr>
                <w:rFonts w:ascii="Meta Pro" w:eastAsia="Times New Roman" w:hAnsi="Meta Pro" w:cs="Times New Roman"/>
                <w:sz w:val="20"/>
                <w:szCs w:val="20"/>
                <w:lang w:eastAsia="en-AU"/>
              </w:rPr>
            </w:pPr>
          </w:p>
        </w:tc>
        <w:tc>
          <w:tcPr>
            <w:tcW w:w="1018" w:type="dxa"/>
            <w:tcBorders>
              <w:top w:val="nil"/>
              <w:left w:val="nil"/>
              <w:bottom w:val="nil"/>
              <w:right w:val="nil"/>
            </w:tcBorders>
            <w:shd w:val="clear" w:color="auto" w:fill="auto"/>
            <w:noWrap/>
            <w:vAlign w:val="center"/>
            <w:hideMark/>
          </w:tcPr>
          <w:p w14:paraId="6C648773" w14:textId="77777777" w:rsidR="00EE4927" w:rsidRPr="00092B22" w:rsidRDefault="00EE4927" w:rsidP="00E607DA">
            <w:pPr>
              <w:rPr>
                <w:rFonts w:ascii="Meta Pro" w:eastAsia="Times New Roman" w:hAnsi="Meta Pro" w:cs="Times New Roman"/>
                <w:sz w:val="20"/>
                <w:szCs w:val="20"/>
                <w:lang w:eastAsia="en-AU"/>
              </w:rPr>
            </w:pPr>
          </w:p>
        </w:tc>
        <w:tc>
          <w:tcPr>
            <w:tcW w:w="222" w:type="dxa"/>
            <w:tcBorders>
              <w:top w:val="nil"/>
              <w:left w:val="nil"/>
              <w:bottom w:val="nil"/>
              <w:right w:val="nil"/>
            </w:tcBorders>
            <w:shd w:val="clear" w:color="auto" w:fill="auto"/>
            <w:noWrap/>
            <w:vAlign w:val="center"/>
            <w:hideMark/>
          </w:tcPr>
          <w:p w14:paraId="67AD3E70" w14:textId="77777777" w:rsidR="00EE4927" w:rsidRPr="00092B22" w:rsidRDefault="00EE4927" w:rsidP="00E607DA">
            <w:pPr>
              <w:jc w:val="center"/>
              <w:rPr>
                <w:rFonts w:ascii="Meta Pro" w:eastAsia="Times New Roman" w:hAnsi="Meta Pro" w:cs="Times New Roman"/>
                <w:sz w:val="20"/>
                <w:szCs w:val="20"/>
                <w:lang w:eastAsia="en-AU"/>
              </w:rPr>
            </w:pPr>
          </w:p>
        </w:tc>
        <w:tc>
          <w:tcPr>
            <w:tcW w:w="1506" w:type="dxa"/>
            <w:tcBorders>
              <w:top w:val="nil"/>
              <w:left w:val="nil"/>
              <w:bottom w:val="nil"/>
              <w:right w:val="nil"/>
            </w:tcBorders>
            <w:shd w:val="clear" w:color="000000" w:fill="C9E3B4"/>
            <w:noWrap/>
            <w:vAlign w:val="center"/>
            <w:hideMark/>
          </w:tcPr>
          <w:p w14:paraId="7C412BAC"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23" w:type="dxa"/>
            <w:tcBorders>
              <w:top w:val="nil"/>
              <w:left w:val="nil"/>
              <w:bottom w:val="nil"/>
              <w:right w:val="nil"/>
            </w:tcBorders>
            <w:shd w:val="clear" w:color="auto" w:fill="auto"/>
            <w:noWrap/>
            <w:vAlign w:val="center"/>
            <w:hideMark/>
          </w:tcPr>
          <w:p w14:paraId="6B354F48" w14:textId="77777777" w:rsidR="00EE4927" w:rsidRPr="00092B22" w:rsidRDefault="00EE4927" w:rsidP="00E607DA">
            <w:pPr>
              <w:jc w:val="right"/>
              <w:rPr>
                <w:rFonts w:ascii="Meta Pro" w:eastAsia="Times New Roman" w:hAnsi="Meta Pro"/>
                <w:color w:val="000000"/>
                <w:szCs w:val="18"/>
                <w:lang w:eastAsia="en-AU"/>
              </w:rPr>
            </w:pPr>
          </w:p>
        </w:tc>
        <w:tc>
          <w:tcPr>
            <w:tcW w:w="1506" w:type="dxa"/>
            <w:gridSpan w:val="2"/>
            <w:tcBorders>
              <w:top w:val="nil"/>
              <w:left w:val="nil"/>
              <w:bottom w:val="nil"/>
              <w:right w:val="nil"/>
            </w:tcBorders>
            <w:shd w:val="clear" w:color="auto" w:fill="auto"/>
            <w:noWrap/>
            <w:vAlign w:val="center"/>
            <w:hideMark/>
          </w:tcPr>
          <w:p w14:paraId="772F6946" w14:textId="77777777" w:rsidR="00EE4927" w:rsidRPr="00092B22" w:rsidRDefault="00EE4927" w:rsidP="00E607DA">
            <w:pPr>
              <w:jc w:val="right"/>
              <w:rPr>
                <w:rFonts w:ascii="Meta Pro" w:eastAsia="Times New Roman" w:hAnsi="Meta Pro" w:cs="Times New Roman"/>
                <w:sz w:val="20"/>
                <w:szCs w:val="20"/>
                <w:lang w:eastAsia="en-AU"/>
              </w:rPr>
            </w:pPr>
          </w:p>
        </w:tc>
      </w:tr>
      <w:tr w:rsidR="00EE4927" w:rsidRPr="00092B22" w14:paraId="3AF45973" w14:textId="77777777" w:rsidTr="00EE4927">
        <w:trPr>
          <w:trHeight w:val="23"/>
        </w:trPr>
        <w:tc>
          <w:tcPr>
            <w:tcW w:w="5163" w:type="dxa"/>
            <w:gridSpan w:val="5"/>
            <w:tcBorders>
              <w:top w:val="nil"/>
              <w:left w:val="nil"/>
              <w:bottom w:val="nil"/>
              <w:right w:val="nil"/>
            </w:tcBorders>
            <w:shd w:val="clear" w:color="auto" w:fill="auto"/>
            <w:noWrap/>
            <w:vAlign w:val="center"/>
            <w:hideMark/>
          </w:tcPr>
          <w:p w14:paraId="5B9AEB5B" w14:textId="77777777" w:rsidR="00EE4927" w:rsidRPr="00092B22" w:rsidRDefault="00EE4927" w:rsidP="00E607DA">
            <w:pP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Operating result before income tax equivalent expense</w:t>
            </w:r>
          </w:p>
        </w:tc>
        <w:tc>
          <w:tcPr>
            <w:tcW w:w="1018" w:type="dxa"/>
            <w:tcBorders>
              <w:top w:val="nil"/>
              <w:left w:val="nil"/>
              <w:bottom w:val="nil"/>
              <w:right w:val="nil"/>
            </w:tcBorders>
            <w:shd w:val="clear" w:color="auto" w:fill="auto"/>
            <w:noWrap/>
            <w:vAlign w:val="center"/>
            <w:hideMark/>
          </w:tcPr>
          <w:p w14:paraId="6143E1E4" w14:textId="77777777" w:rsidR="00EE4927" w:rsidRPr="00092B22" w:rsidRDefault="00EE4927" w:rsidP="00E607DA">
            <w:pPr>
              <w:rPr>
                <w:rFonts w:ascii="Meta Pro" w:eastAsia="Times New Roman" w:hAnsi="Meta Pro"/>
                <w:b/>
                <w:bCs/>
                <w:color w:val="000000"/>
                <w:szCs w:val="18"/>
                <w:lang w:eastAsia="en-AU"/>
              </w:rPr>
            </w:pPr>
          </w:p>
        </w:tc>
        <w:tc>
          <w:tcPr>
            <w:tcW w:w="222" w:type="dxa"/>
            <w:tcBorders>
              <w:top w:val="nil"/>
              <w:left w:val="nil"/>
              <w:bottom w:val="nil"/>
              <w:right w:val="nil"/>
            </w:tcBorders>
            <w:shd w:val="clear" w:color="auto" w:fill="auto"/>
            <w:noWrap/>
            <w:vAlign w:val="center"/>
            <w:hideMark/>
          </w:tcPr>
          <w:p w14:paraId="043DCDE2" w14:textId="77777777" w:rsidR="00EE4927" w:rsidRPr="00092B22" w:rsidRDefault="00EE4927" w:rsidP="00E607DA">
            <w:pPr>
              <w:jc w:val="center"/>
              <w:rPr>
                <w:rFonts w:ascii="Meta Pro" w:eastAsia="Times New Roman" w:hAnsi="Meta Pro" w:cs="Times New Roman"/>
                <w:sz w:val="20"/>
                <w:szCs w:val="20"/>
                <w:lang w:eastAsia="en-AU"/>
              </w:rPr>
            </w:pPr>
          </w:p>
        </w:tc>
        <w:tc>
          <w:tcPr>
            <w:tcW w:w="1506" w:type="dxa"/>
            <w:tcBorders>
              <w:top w:val="nil"/>
              <w:left w:val="nil"/>
              <w:bottom w:val="nil"/>
              <w:right w:val="nil"/>
            </w:tcBorders>
            <w:shd w:val="clear" w:color="000000" w:fill="C9E3B4"/>
            <w:noWrap/>
            <w:vAlign w:val="center"/>
            <w:hideMark/>
          </w:tcPr>
          <w:p w14:paraId="521019B6" w14:textId="77777777" w:rsidR="00EE4927" w:rsidRPr="00092B22" w:rsidRDefault="00EE4927"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(44,819)</w:t>
            </w:r>
          </w:p>
        </w:tc>
        <w:tc>
          <w:tcPr>
            <w:tcW w:w="223" w:type="dxa"/>
            <w:tcBorders>
              <w:top w:val="nil"/>
              <w:left w:val="nil"/>
              <w:bottom w:val="nil"/>
              <w:right w:val="nil"/>
            </w:tcBorders>
            <w:shd w:val="clear" w:color="auto" w:fill="auto"/>
            <w:noWrap/>
            <w:vAlign w:val="center"/>
            <w:hideMark/>
          </w:tcPr>
          <w:p w14:paraId="4EB74750" w14:textId="77777777" w:rsidR="00EE4927" w:rsidRPr="00092B22" w:rsidRDefault="00EE4927" w:rsidP="00E607DA">
            <w:pPr>
              <w:jc w:val="right"/>
              <w:rPr>
                <w:rFonts w:ascii="Meta Pro" w:eastAsia="Times New Roman" w:hAnsi="Meta Pro"/>
                <w:b/>
                <w:bCs/>
                <w:color w:val="000000"/>
                <w:szCs w:val="18"/>
                <w:lang w:eastAsia="en-AU"/>
              </w:rPr>
            </w:pPr>
          </w:p>
        </w:tc>
        <w:tc>
          <w:tcPr>
            <w:tcW w:w="1506" w:type="dxa"/>
            <w:gridSpan w:val="2"/>
            <w:tcBorders>
              <w:top w:val="nil"/>
              <w:left w:val="nil"/>
              <w:bottom w:val="nil"/>
              <w:right w:val="nil"/>
            </w:tcBorders>
            <w:shd w:val="clear" w:color="auto" w:fill="auto"/>
            <w:noWrap/>
            <w:vAlign w:val="center"/>
            <w:hideMark/>
          </w:tcPr>
          <w:p w14:paraId="6837ACFD" w14:textId="77777777" w:rsidR="00EE4927" w:rsidRPr="00092B22" w:rsidRDefault="00EE4927"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xml:space="preserve">22,606 </w:t>
            </w:r>
          </w:p>
        </w:tc>
      </w:tr>
      <w:tr w:rsidR="00EE4927" w:rsidRPr="00092B22" w14:paraId="1A2CEF3B" w14:textId="77777777" w:rsidTr="00EE4927">
        <w:trPr>
          <w:trHeight w:val="23"/>
        </w:trPr>
        <w:tc>
          <w:tcPr>
            <w:tcW w:w="221" w:type="dxa"/>
            <w:tcBorders>
              <w:top w:val="nil"/>
              <w:left w:val="nil"/>
              <w:bottom w:val="single" w:sz="4" w:space="0" w:color="auto"/>
              <w:right w:val="nil"/>
            </w:tcBorders>
            <w:shd w:val="clear" w:color="auto" w:fill="auto"/>
            <w:noWrap/>
            <w:vAlign w:val="center"/>
            <w:hideMark/>
          </w:tcPr>
          <w:p w14:paraId="4B186E10" w14:textId="77777777" w:rsidR="00EE4927" w:rsidRPr="00092B22" w:rsidRDefault="00EE4927"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4942" w:type="dxa"/>
            <w:gridSpan w:val="4"/>
            <w:tcBorders>
              <w:top w:val="nil"/>
              <w:left w:val="nil"/>
              <w:bottom w:val="single" w:sz="4" w:space="0" w:color="auto"/>
              <w:right w:val="nil"/>
            </w:tcBorders>
            <w:shd w:val="clear" w:color="auto" w:fill="auto"/>
            <w:noWrap/>
            <w:vAlign w:val="center"/>
            <w:hideMark/>
          </w:tcPr>
          <w:p w14:paraId="03433B20" w14:textId="77777777" w:rsidR="00EE4927" w:rsidRPr="00092B22" w:rsidRDefault="00EE4927"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Income tax equivalent expense</w:t>
            </w:r>
          </w:p>
        </w:tc>
        <w:tc>
          <w:tcPr>
            <w:tcW w:w="1018" w:type="dxa"/>
            <w:tcBorders>
              <w:top w:val="nil"/>
              <w:left w:val="nil"/>
              <w:bottom w:val="single" w:sz="4" w:space="0" w:color="auto"/>
              <w:right w:val="nil"/>
            </w:tcBorders>
            <w:shd w:val="clear" w:color="auto" w:fill="auto"/>
            <w:noWrap/>
            <w:vAlign w:val="center"/>
            <w:hideMark/>
          </w:tcPr>
          <w:p w14:paraId="453FEFE6" w14:textId="77777777" w:rsidR="00EE4927" w:rsidRPr="00092B22" w:rsidRDefault="00EE4927"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22</w:t>
            </w:r>
          </w:p>
        </w:tc>
        <w:tc>
          <w:tcPr>
            <w:tcW w:w="222" w:type="dxa"/>
            <w:tcBorders>
              <w:top w:val="nil"/>
              <w:left w:val="nil"/>
              <w:bottom w:val="single" w:sz="4" w:space="0" w:color="auto"/>
              <w:right w:val="nil"/>
            </w:tcBorders>
            <w:shd w:val="clear" w:color="auto" w:fill="auto"/>
            <w:noWrap/>
            <w:vAlign w:val="center"/>
            <w:hideMark/>
          </w:tcPr>
          <w:p w14:paraId="40E32A04" w14:textId="77777777" w:rsidR="00EE4927" w:rsidRPr="00092B22" w:rsidRDefault="00EE4927"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1506" w:type="dxa"/>
            <w:tcBorders>
              <w:top w:val="nil"/>
              <w:left w:val="nil"/>
              <w:bottom w:val="single" w:sz="4" w:space="0" w:color="auto"/>
              <w:right w:val="nil"/>
            </w:tcBorders>
            <w:shd w:val="clear" w:color="000000" w:fill="C9E3B4"/>
            <w:noWrap/>
            <w:vAlign w:val="center"/>
            <w:hideMark/>
          </w:tcPr>
          <w:p w14:paraId="65CFB5AA"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16,260 </w:t>
            </w:r>
          </w:p>
        </w:tc>
        <w:tc>
          <w:tcPr>
            <w:tcW w:w="223" w:type="dxa"/>
            <w:tcBorders>
              <w:top w:val="nil"/>
              <w:left w:val="nil"/>
              <w:bottom w:val="single" w:sz="4" w:space="0" w:color="auto"/>
              <w:right w:val="nil"/>
            </w:tcBorders>
            <w:shd w:val="clear" w:color="auto" w:fill="auto"/>
            <w:noWrap/>
            <w:vAlign w:val="center"/>
            <w:hideMark/>
          </w:tcPr>
          <w:p w14:paraId="6C792F45"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1506" w:type="dxa"/>
            <w:gridSpan w:val="2"/>
            <w:tcBorders>
              <w:top w:val="nil"/>
              <w:left w:val="nil"/>
              <w:bottom w:val="single" w:sz="4" w:space="0" w:color="auto"/>
              <w:right w:val="nil"/>
            </w:tcBorders>
            <w:shd w:val="clear" w:color="auto" w:fill="auto"/>
            <w:noWrap/>
            <w:vAlign w:val="center"/>
            <w:hideMark/>
          </w:tcPr>
          <w:p w14:paraId="00175538"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7,930 </w:t>
            </w:r>
          </w:p>
        </w:tc>
      </w:tr>
      <w:tr w:rsidR="00EE4927" w:rsidRPr="00092B22" w14:paraId="52862FB0" w14:textId="77777777" w:rsidTr="00EE4927">
        <w:trPr>
          <w:trHeight w:val="23"/>
        </w:trPr>
        <w:tc>
          <w:tcPr>
            <w:tcW w:w="221" w:type="dxa"/>
            <w:tcBorders>
              <w:top w:val="nil"/>
              <w:left w:val="nil"/>
              <w:bottom w:val="nil"/>
              <w:right w:val="nil"/>
            </w:tcBorders>
            <w:shd w:val="clear" w:color="auto" w:fill="auto"/>
            <w:noWrap/>
            <w:vAlign w:val="center"/>
            <w:hideMark/>
          </w:tcPr>
          <w:p w14:paraId="48E27284" w14:textId="77777777" w:rsidR="00EE4927" w:rsidRPr="00092B22" w:rsidRDefault="00EE4927" w:rsidP="00E607DA">
            <w:pPr>
              <w:jc w:val="right"/>
              <w:rPr>
                <w:rFonts w:ascii="Meta Pro" w:eastAsia="Times New Roman" w:hAnsi="Meta Pro"/>
                <w:color w:val="000000"/>
                <w:szCs w:val="18"/>
                <w:lang w:eastAsia="en-AU"/>
              </w:rPr>
            </w:pPr>
          </w:p>
        </w:tc>
        <w:tc>
          <w:tcPr>
            <w:tcW w:w="4942" w:type="dxa"/>
            <w:gridSpan w:val="4"/>
            <w:tcBorders>
              <w:top w:val="nil"/>
              <w:left w:val="nil"/>
              <w:bottom w:val="nil"/>
              <w:right w:val="nil"/>
            </w:tcBorders>
            <w:shd w:val="clear" w:color="auto" w:fill="auto"/>
            <w:vAlign w:val="center"/>
            <w:hideMark/>
          </w:tcPr>
          <w:p w14:paraId="32500F69" w14:textId="77777777" w:rsidR="00EE4927" w:rsidRPr="00092B22" w:rsidRDefault="00EE4927" w:rsidP="00E607DA">
            <w:pPr>
              <w:rPr>
                <w:rFonts w:ascii="Meta Pro" w:eastAsia="Times New Roman" w:hAnsi="Meta Pro" w:cs="Times New Roman"/>
                <w:sz w:val="20"/>
                <w:szCs w:val="20"/>
                <w:lang w:eastAsia="en-AU"/>
              </w:rPr>
            </w:pPr>
          </w:p>
        </w:tc>
        <w:tc>
          <w:tcPr>
            <w:tcW w:w="1018" w:type="dxa"/>
            <w:tcBorders>
              <w:top w:val="single" w:sz="4" w:space="0" w:color="auto"/>
              <w:left w:val="nil"/>
              <w:bottom w:val="nil"/>
              <w:right w:val="nil"/>
            </w:tcBorders>
            <w:shd w:val="clear" w:color="auto" w:fill="auto"/>
            <w:noWrap/>
            <w:vAlign w:val="center"/>
            <w:hideMark/>
          </w:tcPr>
          <w:p w14:paraId="446BEE29" w14:textId="77777777" w:rsidR="00EE4927" w:rsidRPr="00092B22" w:rsidRDefault="00EE4927"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22" w:type="dxa"/>
            <w:tcBorders>
              <w:top w:val="nil"/>
              <w:left w:val="nil"/>
              <w:bottom w:val="nil"/>
              <w:right w:val="nil"/>
            </w:tcBorders>
            <w:shd w:val="clear" w:color="auto" w:fill="auto"/>
            <w:noWrap/>
            <w:vAlign w:val="center"/>
            <w:hideMark/>
          </w:tcPr>
          <w:p w14:paraId="7B9C6B84" w14:textId="77777777" w:rsidR="00EE4927" w:rsidRPr="00092B22" w:rsidRDefault="00EE4927" w:rsidP="00E607DA">
            <w:pPr>
              <w:jc w:val="center"/>
              <w:rPr>
                <w:rFonts w:ascii="Meta Pro" w:eastAsia="Times New Roman" w:hAnsi="Meta Pro"/>
                <w:color w:val="000000"/>
                <w:szCs w:val="18"/>
                <w:lang w:eastAsia="en-AU"/>
              </w:rPr>
            </w:pPr>
          </w:p>
        </w:tc>
        <w:tc>
          <w:tcPr>
            <w:tcW w:w="1506" w:type="dxa"/>
            <w:tcBorders>
              <w:top w:val="nil"/>
              <w:left w:val="nil"/>
              <w:bottom w:val="nil"/>
              <w:right w:val="nil"/>
            </w:tcBorders>
            <w:shd w:val="clear" w:color="000000" w:fill="C9E3B4"/>
            <w:noWrap/>
            <w:vAlign w:val="center"/>
            <w:hideMark/>
          </w:tcPr>
          <w:p w14:paraId="3AD591E0" w14:textId="77777777" w:rsidR="00EE4927" w:rsidRPr="00092B22" w:rsidRDefault="00EE4927"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w:t>
            </w:r>
          </w:p>
        </w:tc>
        <w:tc>
          <w:tcPr>
            <w:tcW w:w="223" w:type="dxa"/>
            <w:tcBorders>
              <w:top w:val="nil"/>
              <w:left w:val="nil"/>
              <w:bottom w:val="nil"/>
              <w:right w:val="nil"/>
            </w:tcBorders>
            <w:shd w:val="clear" w:color="auto" w:fill="auto"/>
            <w:noWrap/>
            <w:vAlign w:val="center"/>
            <w:hideMark/>
          </w:tcPr>
          <w:p w14:paraId="2E4A2002" w14:textId="77777777" w:rsidR="00EE4927" w:rsidRPr="00092B22" w:rsidRDefault="00EE4927" w:rsidP="00E607DA">
            <w:pPr>
              <w:jc w:val="right"/>
              <w:rPr>
                <w:rFonts w:ascii="Meta Pro" w:eastAsia="Times New Roman" w:hAnsi="Meta Pro"/>
                <w:b/>
                <w:bCs/>
                <w:color w:val="000000"/>
                <w:szCs w:val="18"/>
                <w:lang w:eastAsia="en-AU"/>
              </w:rPr>
            </w:pPr>
          </w:p>
        </w:tc>
        <w:tc>
          <w:tcPr>
            <w:tcW w:w="1506" w:type="dxa"/>
            <w:gridSpan w:val="2"/>
            <w:tcBorders>
              <w:top w:val="nil"/>
              <w:left w:val="nil"/>
              <w:bottom w:val="nil"/>
              <w:right w:val="nil"/>
            </w:tcBorders>
            <w:shd w:val="clear" w:color="auto" w:fill="auto"/>
            <w:noWrap/>
            <w:vAlign w:val="center"/>
            <w:hideMark/>
          </w:tcPr>
          <w:p w14:paraId="6CBABA33" w14:textId="77777777" w:rsidR="00EE4927" w:rsidRPr="00092B22" w:rsidRDefault="00EE4927" w:rsidP="00E607DA">
            <w:pPr>
              <w:jc w:val="right"/>
              <w:rPr>
                <w:rFonts w:ascii="Meta Pro" w:eastAsia="Times New Roman" w:hAnsi="Meta Pro" w:cs="Times New Roman"/>
                <w:sz w:val="20"/>
                <w:szCs w:val="20"/>
                <w:lang w:eastAsia="en-AU"/>
              </w:rPr>
            </w:pPr>
          </w:p>
        </w:tc>
      </w:tr>
      <w:tr w:rsidR="00EE4927" w:rsidRPr="00092B22" w14:paraId="3E45903A" w14:textId="77777777" w:rsidTr="00EE4927">
        <w:trPr>
          <w:trHeight w:val="23"/>
        </w:trPr>
        <w:tc>
          <w:tcPr>
            <w:tcW w:w="5163" w:type="dxa"/>
            <w:gridSpan w:val="5"/>
            <w:tcBorders>
              <w:top w:val="nil"/>
              <w:left w:val="nil"/>
              <w:bottom w:val="single" w:sz="4" w:space="0" w:color="auto"/>
              <w:right w:val="nil"/>
            </w:tcBorders>
            <w:shd w:val="clear" w:color="auto" w:fill="auto"/>
            <w:noWrap/>
            <w:vAlign w:val="center"/>
            <w:hideMark/>
          </w:tcPr>
          <w:p w14:paraId="00E041D7" w14:textId="77777777" w:rsidR="00EE4927" w:rsidRPr="00092B22" w:rsidRDefault="00EE4927" w:rsidP="00E607DA">
            <w:pP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OPERATING RESULT FOR THE YEAR</w:t>
            </w:r>
          </w:p>
        </w:tc>
        <w:tc>
          <w:tcPr>
            <w:tcW w:w="1018" w:type="dxa"/>
            <w:tcBorders>
              <w:top w:val="nil"/>
              <w:left w:val="nil"/>
              <w:bottom w:val="single" w:sz="4" w:space="0" w:color="auto"/>
              <w:right w:val="nil"/>
            </w:tcBorders>
            <w:shd w:val="clear" w:color="auto" w:fill="auto"/>
            <w:noWrap/>
            <w:vAlign w:val="center"/>
            <w:hideMark/>
          </w:tcPr>
          <w:p w14:paraId="364A92D9" w14:textId="77777777" w:rsidR="00EE4927" w:rsidRPr="00092B22" w:rsidRDefault="00EE4927" w:rsidP="00E607DA">
            <w:pPr>
              <w:jc w:val="cente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w:t>
            </w:r>
          </w:p>
        </w:tc>
        <w:tc>
          <w:tcPr>
            <w:tcW w:w="222" w:type="dxa"/>
            <w:tcBorders>
              <w:top w:val="nil"/>
              <w:left w:val="nil"/>
              <w:bottom w:val="single" w:sz="4" w:space="0" w:color="auto"/>
              <w:right w:val="nil"/>
            </w:tcBorders>
            <w:shd w:val="clear" w:color="auto" w:fill="auto"/>
            <w:noWrap/>
            <w:vAlign w:val="center"/>
            <w:hideMark/>
          </w:tcPr>
          <w:p w14:paraId="65F05C15" w14:textId="77777777" w:rsidR="00EE4927" w:rsidRPr="00092B22" w:rsidRDefault="00EE4927" w:rsidP="00E607DA">
            <w:pP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w:t>
            </w:r>
          </w:p>
        </w:tc>
        <w:tc>
          <w:tcPr>
            <w:tcW w:w="1506" w:type="dxa"/>
            <w:tcBorders>
              <w:top w:val="nil"/>
              <w:left w:val="nil"/>
              <w:bottom w:val="single" w:sz="4" w:space="0" w:color="auto"/>
              <w:right w:val="nil"/>
            </w:tcBorders>
            <w:shd w:val="clear" w:color="000000" w:fill="C9E3B4"/>
            <w:noWrap/>
            <w:vAlign w:val="center"/>
            <w:hideMark/>
          </w:tcPr>
          <w:p w14:paraId="51098159" w14:textId="77777777" w:rsidR="00EE4927" w:rsidRPr="00092B22" w:rsidRDefault="00EE4927"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(61,079)</w:t>
            </w:r>
          </w:p>
        </w:tc>
        <w:tc>
          <w:tcPr>
            <w:tcW w:w="223" w:type="dxa"/>
            <w:tcBorders>
              <w:top w:val="nil"/>
              <w:left w:val="nil"/>
              <w:bottom w:val="single" w:sz="4" w:space="0" w:color="auto"/>
              <w:right w:val="nil"/>
            </w:tcBorders>
            <w:shd w:val="clear" w:color="auto" w:fill="auto"/>
            <w:noWrap/>
            <w:vAlign w:val="center"/>
            <w:hideMark/>
          </w:tcPr>
          <w:p w14:paraId="74B40680" w14:textId="77777777" w:rsidR="00EE4927" w:rsidRPr="00092B22" w:rsidRDefault="00EE4927"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w:t>
            </w:r>
          </w:p>
        </w:tc>
        <w:tc>
          <w:tcPr>
            <w:tcW w:w="1506" w:type="dxa"/>
            <w:gridSpan w:val="2"/>
            <w:tcBorders>
              <w:top w:val="nil"/>
              <w:left w:val="nil"/>
              <w:bottom w:val="single" w:sz="4" w:space="0" w:color="auto"/>
              <w:right w:val="nil"/>
            </w:tcBorders>
            <w:shd w:val="clear" w:color="auto" w:fill="auto"/>
            <w:noWrap/>
            <w:vAlign w:val="center"/>
            <w:hideMark/>
          </w:tcPr>
          <w:p w14:paraId="396A4E2B" w14:textId="77777777" w:rsidR="00EE4927" w:rsidRPr="00092B22" w:rsidRDefault="00EE4927"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xml:space="preserve">14,676 </w:t>
            </w:r>
          </w:p>
        </w:tc>
      </w:tr>
      <w:tr w:rsidR="00EE4927" w:rsidRPr="00092B22" w14:paraId="62C8514D" w14:textId="77777777" w:rsidTr="00EE4927">
        <w:trPr>
          <w:trHeight w:val="23"/>
        </w:trPr>
        <w:tc>
          <w:tcPr>
            <w:tcW w:w="221" w:type="dxa"/>
            <w:tcBorders>
              <w:top w:val="nil"/>
              <w:left w:val="nil"/>
              <w:bottom w:val="nil"/>
              <w:right w:val="nil"/>
            </w:tcBorders>
            <w:shd w:val="clear" w:color="auto" w:fill="auto"/>
            <w:noWrap/>
            <w:vAlign w:val="center"/>
            <w:hideMark/>
          </w:tcPr>
          <w:p w14:paraId="0DBADB4A" w14:textId="77777777" w:rsidR="00EE4927" w:rsidRPr="00092B22" w:rsidRDefault="00EE4927" w:rsidP="00E607DA">
            <w:pPr>
              <w:jc w:val="right"/>
              <w:rPr>
                <w:rFonts w:ascii="Meta Pro" w:eastAsia="Times New Roman" w:hAnsi="Meta Pro"/>
                <w:b/>
                <w:bCs/>
                <w:color w:val="000000"/>
                <w:szCs w:val="18"/>
                <w:lang w:eastAsia="en-AU"/>
              </w:rPr>
            </w:pPr>
          </w:p>
        </w:tc>
        <w:tc>
          <w:tcPr>
            <w:tcW w:w="4942" w:type="dxa"/>
            <w:gridSpan w:val="4"/>
            <w:tcBorders>
              <w:top w:val="nil"/>
              <w:left w:val="nil"/>
              <w:bottom w:val="nil"/>
              <w:right w:val="nil"/>
            </w:tcBorders>
            <w:shd w:val="clear" w:color="auto" w:fill="auto"/>
            <w:noWrap/>
            <w:vAlign w:val="center"/>
            <w:hideMark/>
          </w:tcPr>
          <w:p w14:paraId="547B4DAB" w14:textId="77777777" w:rsidR="00EE4927" w:rsidRPr="00092B22" w:rsidRDefault="00EE4927" w:rsidP="00E607DA">
            <w:pPr>
              <w:rPr>
                <w:rFonts w:ascii="Meta Pro" w:eastAsia="Times New Roman" w:hAnsi="Meta Pro" w:cs="Times New Roman"/>
                <w:sz w:val="20"/>
                <w:szCs w:val="20"/>
                <w:lang w:eastAsia="en-AU"/>
              </w:rPr>
            </w:pPr>
          </w:p>
        </w:tc>
        <w:tc>
          <w:tcPr>
            <w:tcW w:w="1018" w:type="dxa"/>
            <w:tcBorders>
              <w:top w:val="single" w:sz="4" w:space="0" w:color="auto"/>
              <w:left w:val="nil"/>
              <w:bottom w:val="nil"/>
              <w:right w:val="nil"/>
            </w:tcBorders>
            <w:shd w:val="clear" w:color="auto" w:fill="auto"/>
            <w:noWrap/>
            <w:vAlign w:val="center"/>
            <w:hideMark/>
          </w:tcPr>
          <w:p w14:paraId="195F8445" w14:textId="77777777" w:rsidR="00EE4927" w:rsidRPr="00092B22" w:rsidRDefault="00EE4927" w:rsidP="00E607DA">
            <w:pPr>
              <w:jc w:val="cente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w:t>
            </w:r>
          </w:p>
        </w:tc>
        <w:tc>
          <w:tcPr>
            <w:tcW w:w="222" w:type="dxa"/>
            <w:tcBorders>
              <w:top w:val="nil"/>
              <w:left w:val="nil"/>
              <w:bottom w:val="nil"/>
              <w:right w:val="nil"/>
            </w:tcBorders>
            <w:shd w:val="clear" w:color="auto" w:fill="auto"/>
            <w:noWrap/>
            <w:vAlign w:val="center"/>
            <w:hideMark/>
          </w:tcPr>
          <w:p w14:paraId="00621B2B" w14:textId="77777777" w:rsidR="00EE4927" w:rsidRPr="00092B22" w:rsidRDefault="00EE4927" w:rsidP="00E607DA">
            <w:pPr>
              <w:jc w:val="center"/>
              <w:rPr>
                <w:rFonts w:ascii="Meta Pro" w:eastAsia="Times New Roman" w:hAnsi="Meta Pro"/>
                <w:b/>
                <w:bCs/>
                <w:color w:val="000000"/>
                <w:szCs w:val="18"/>
                <w:lang w:eastAsia="en-AU"/>
              </w:rPr>
            </w:pPr>
          </w:p>
        </w:tc>
        <w:tc>
          <w:tcPr>
            <w:tcW w:w="1506" w:type="dxa"/>
            <w:tcBorders>
              <w:top w:val="nil"/>
              <w:left w:val="nil"/>
              <w:bottom w:val="nil"/>
              <w:right w:val="nil"/>
            </w:tcBorders>
            <w:shd w:val="clear" w:color="000000" w:fill="C9E3B4"/>
            <w:noWrap/>
            <w:vAlign w:val="center"/>
            <w:hideMark/>
          </w:tcPr>
          <w:p w14:paraId="4EB8FAC4" w14:textId="77777777" w:rsidR="00EE4927" w:rsidRPr="00092B22" w:rsidRDefault="00EE4927"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w:t>
            </w:r>
          </w:p>
        </w:tc>
        <w:tc>
          <w:tcPr>
            <w:tcW w:w="223" w:type="dxa"/>
            <w:tcBorders>
              <w:top w:val="nil"/>
              <w:left w:val="nil"/>
              <w:bottom w:val="nil"/>
              <w:right w:val="nil"/>
            </w:tcBorders>
            <w:shd w:val="clear" w:color="auto" w:fill="auto"/>
            <w:noWrap/>
            <w:vAlign w:val="center"/>
            <w:hideMark/>
          </w:tcPr>
          <w:p w14:paraId="2979093F" w14:textId="77777777" w:rsidR="00EE4927" w:rsidRPr="00092B22" w:rsidRDefault="00EE4927" w:rsidP="00E607DA">
            <w:pPr>
              <w:jc w:val="right"/>
              <w:rPr>
                <w:rFonts w:ascii="Meta Pro" w:eastAsia="Times New Roman" w:hAnsi="Meta Pro"/>
                <w:b/>
                <w:bCs/>
                <w:color w:val="000000"/>
                <w:szCs w:val="18"/>
                <w:lang w:eastAsia="en-AU"/>
              </w:rPr>
            </w:pPr>
          </w:p>
        </w:tc>
        <w:tc>
          <w:tcPr>
            <w:tcW w:w="1506" w:type="dxa"/>
            <w:gridSpan w:val="2"/>
            <w:tcBorders>
              <w:top w:val="nil"/>
              <w:left w:val="nil"/>
              <w:bottom w:val="nil"/>
              <w:right w:val="nil"/>
            </w:tcBorders>
            <w:shd w:val="clear" w:color="auto" w:fill="auto"/>
            <w:noWrap/>
            <w:vAlign w:val="center"/>
            <w:hideMark/>
          </w:tcPr>
          <w:p w14:paraId="23648829" w14:textId="77777777" w:rsidR="00EE4927" w:rsidRPr="00092B22" w:rsidRDefault="00EE4927" w:rsidP="00E607DA">
            <w:pPr>
              <w:jc w:val="right"/>
              <w:rPr>
                <w:rFonts w:ascii="Meta Pro" w:eastAsia="Times New Roman" w:hAnsi="Meta Pro" w:cs="Times New Roman"/>
                <w:sz w:val="20"/>
                <w:szCs w:val="20"/>
                <w:lang w:eastAsia="en-AU"/>
              </w:rPr>
            </w:pPr>
          </w:p>
        </w:tc>
      </w:tr>
      <w:tr w:rsidR="00EE4927" w:rsidRPr="00092B22" w14:paraId="7596F537" w14:textId="77777777" w:rsidTr="00EE4927">
        <w:trPr>
          <w:trHeight w:val="23"/>
        </w:trPr>
        <w:tc>
          <w:tcPr>
            <w:tcW w:w="221" w:type="dxa"/>
            <w:tcBorders>
              <w:top w:val="nil"/>
              <w:left w:val="nil"/>
              <w:bottom w:val="nil"/>
              <w:right w:val="nil"/>
            </w:tcBorders>
            <w:shd w:val="clear" w:color="auto" w:fill="auto"/>
            <w:noWrap/>
            <w:vAlign w:val="center"/>
            <w:hideMark/>
          </w:tcPr>
          <w:p w14:paraId="39E3F0F5" w14:textId="77777777" w:rsidR="00EE4927" w:rsidRPr="00092B22" w:rsidRDefault="00EE4927" w:rsidP="00E607DA">
            <w:pPr>
              <w:jc w:val="right"/>
              <w:rPr>
                <w:rFonts w:ascii="Meta Pro" w:eastAsia="Times New Roman" w:hAnsi="Meta Pro" w:cs="Times New Roman"/>
                <w:sz w:val="20"/>
                <w:szCs w:val="20"/>
                <w:lang w:eastAsia="en-AU"/>
              </w:rPr>
            </w:pPr>
          </w:p>
        </w:tc>
        <w:tc>
          <w:tcPr>
            <w:tcW w:w="4942" w:type="dxa"/>
            <w:gridSpan w:val="4"/>
            <w:tcBorders>
              <w:top w:val="nil"/>
              <w:left w:val="nil"/>
              <w:bottom w:val="nil"/>
              <w:right w:val="nil"/>
            </w:tcBorders>
            <w:shd w:val="clear" w:color="auto" w:fill="auto"/>
            <w:noWrap/>
            <w:vAlign w:val="center"/>
            <w:hideMark/>
          </w:tcPr>
          <w:p w14:paraId="789FB5C0" w14:textId="77777777" w:rsidR="00EE4927" w:rsidRPr="00092B22" w:rsidRDefault="00EE4927" w:rsidP="00E607DA">
            <w:pPr>
              <w:rPr>
                <w:rFonts w:ascii="Meta Pro" w:eastAsia="Times New Roman" w:hAnsi="Meta Pro" w:cs="Times New Roman"/>
                <w:sz w:val="20"/>
                <w:szCs w:val="20"/>
                <w:lang w:eastAsia="en-AU"/>
              </w:rPr>
            </w:pPr>
          </w:p>
        </w:tc>
        <w:tc>
          <w:tcPr>
            <w:tcW w:w="1018" w:type="dxa"/>
            <w:tcBorders>
              <w:top w:val="nil"/>
              <w:left w:val="nil"/>
              <w:bottom w:val="nil"/>
              <w:right w:val="nil"/>
            </w:tcBorders>
            <w:shd w:val="clear" w:color="auto" w:fill="auto"/>
            <w:noWrap/>
            <w:vAlign w:val="center"/>
            <w:hideMark/>
          </w:tcPr>
          <w:p w14:paraId="220C8348" w14:textId="77777777" w:rsidR="00EE4927" w:rsidRPr="00092B22" w:rsidRDefault="00EE4927" w:rsidP="00E607DA">
            <w:pPr>
              <w:rPr>
                <w:rFonts w:ascii="Meta Pro" w:eastAsia="Times New Roman" w:hAnsi="Meta Pro" w:cs="Times New Roman"/>
                <w:sz w:val="20"/>
                <w:szCs w:val="20"/>
                <w:lang w:eastAsia="en-AU"/>
              </w:rPr>
            </w:pPr>
          </w:p>
        </w:tc>
        <w:tc>
          <w:tcPr>
            <w:tcW w:w="222" w:type="dxa"/>
            <w:tcBorders>
              <w:top w:val="nil"/>
              <w:left w:val="nil"/>
              <w:bottom w:val="nil"/>
              <w:right w:val="nil"/>
            </w:tcBorders>
            <w:shd w:val="clear" w:color="auto" w:fill="auto"/>
            <w:noWrap/>
            <w:vAlign w:val="center"/>
            <w:hideMark/>
          </w:tcPr>
          <w:p w14:paraId="551536CC" w14:textId="77777777" w:rsidR="00EE4927" w:rsidRPr="00092B22" w:rsidRDefault="00EE4927" w:rsidP="00E607DA">
            <w:pPr>
              <w:jc w:val="center"/>
              <w:rPr>
                <w:rFonts w:ascii="Meta Pro" w:eastAsia="Times New Roman" w:hAnsi="Meta Pro" w:cs="Times New Roman"/>
                <w:sz w:val="20"/>
                <w:szCs w:val="20"/>
                <w:lang w:eastAsia="en-AU"/>
              </w:rPr>
            </w:pPr>
          </w:p>
        </w:tc>
        <w:tc>
          <w:tcPr>
            <w:tcW w:w="1506" w:type="dxa"/>
            <w:tcBorders>
              <w:top w:val="nil"/>
              <w:left w:val="nil"/>
              <w:bottom w:val="nil"/>
              <w:right w:val="nil"/>
            </w:tcBorders>
            <w:shd w:val="clear" w:color="000000" w:fill="C9E3B4"/>
            <w:noWrap/>
            <w:vAlign w:val="center"/>
            <w:hideMark/>
          </w:tcPr>
          <w:p w14:paraId="29E4218D"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23" w:type="dxa"/>
            <w:tcBorders>
              <w:top w:val="nil"/>
              <w:left w:val="nil"/>
              <w:bottom w:val="nil"/>
              <w:right w:val="nil"/>
            </w:tcBorders>
            <w:shd w:val="clear" w:color="auto" w:fill="auto"/>
            <w:noWrap/>
            <w:vAlign w:val="center"/>
            <w:hideMark/>
          </w:tcPr>
          <w:p w14:paraId="2FE7F836" w14:textId="77777777" w:rsidR="00EE4927" w:rsidRPr="00092B22" w:rsidRDefault="00EE4927" w:rsidP="00E607DA">
            <w:pPr>
              <w:jc w:val="right"/>
              <w:rPr>
                <w:rFonts w:ascii="Meta Pro" w:eastAsia="Times New Roman" w:hAnsi="Meta Pro"/>
                <w:color w:val="000000"/>
                <w:szCs w:val="18"/>
                <w:lang w:eastAsia="en-AU"/>
              </w:rPr>
            </w:pPr>
          </w:p>
        </w:tc>
        <w:tc>
          <w:tcPr>
            <w:tcW w:w="1506" w:type="dxa"/>
            <w:gridSpan w:val="2"/>
            <w:tcBorders>
              <w:top w:val="nil"/>
              <w:left w:val="nil"/>
              <w:bottom w:val="nil"/>
              <w:right w:val="nil"/>
            </w:tcBorders>
            <w:shd w:val="clear" w:color="auto" w:fill="auto"/>
            <w:noWrap/>
            <w:vAlign w:val="center"/>
            <w:hideMark/>
          </w:tcPr>
          <w:p w14:paraId="712A0F39" w14:textId="77777777" w:rsidR="00EE4927" w:rsidRPr="00092B22" w:rsidRDefault="00EE4927" w:rsidP="00E607DA">
            <w:pPr>
              <w:jc w:val="right"/>
              <w:rPr>
                <w:rFonts w:ascii="Meta Pro" w:eastAsia="Times New Roman" w:hAnsi="Meta Pro" w:cs="Times New Roman"/>
                <w:sz w:val="20"/>
                <w:szCs w:val="20"/>
                <w:lang w:eastAsia="en-AU"/>
              </w:rPr>
            </w:pPr>
          </w:p>
        </w:tc>
      </w:tr>
      <w:tr w:rsidR="00EE4927" w:rsidRPr="00092B22" w14:paraId="1D8E9081" w14:textId="77777777" w:rsidTr="00EE4927">
        <w:trPr>
          <w:trHeight w:val="23"/>
        </w:trPr>
        <w:tc>
          <w:tcPr>
            <w:tcW w:w="5163" w:type="dxa"/>
            <w:gridSpan w:val="5"/>
            <w:tcBorders>
              <w:top w:val="nil"/>
              <w:left w:val="nil"/>
              <w:bottom w:val="nil"/>
              <w:right w:val="nil"/>
            </w:tcBorders>
            <w:shd w:val="clear" w:color="auto" w:fill="auto"/>
            <w:noWrap/>
            <w:vAlign w:val="center"/>
            <w:hideMark/>
          </w:tcPr>
          <w:p w14:paraId="3B4A3465" w14:textId="77777777" w:rsidR="00EE4927" w:rsidRPr="00092B22" w:rsidRDefault="00EE4927" w:rsidP="00E607DA">
            <w:pP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Items not reclassified to operating result</w:t>
            </w:r>
          </w:p>
        </w:tc>
        <w:tc>
          <w:tcPr>
            <w:tcW w:w="1018" w:type="dxa"/>
            <w:tcBorders>
              <w:top w:val="nil"/>
              <w:left w:val="nil"/>
              <w:bottom w:val="nil"/>
              <w:right w:val="nil"/>
            </w:tcBorders>
            <w:shd w:val="clear" w:color="auto" w:fill="auto"/>
            <w:noWrap/>
            <w:vAlign w:val="center"/>
            <w:hideMark/>
          </w:tcPr>
          <w:p w14:paraId="28C8D272" w14:textId="77777777" w:rsidR="00EE4927" w:rsidRPr="00092B22" w:rsidRDefault="00EE4927" w:rsidP="00E607DA">
            <w:pPr>
              <w:rPr>
                <w:rFonts w:ascii="Meta Pro" w:eastAsia="Times New Roman" w:hAnsi="Meta Pro"/>
                <w:b/>
                <w:bCs/>
                <w:color w:val="000000"/>
                <w:szCs w:val="18"/>
                <w:lang w:eastAsia="en-AU"/>
              </w:rPr>
            </w:pPr>
          </w:p>
        </w:tc>
        <w:tc>
          <w:tcPr>
            <w:tcW w:w="222" w:type="dxa"/>
            <w:tcBorders>
              <w:top w:val="nil"/>
              <w:left w:val="nil"/>
              <w:bottom w:val="nil"/>
              <w:right w:val="nil"/>
            </w:tcBorders>
            <w:shd w:val="clear" w:color="auto" w:fill="auto"/>
            <w:noWrap/>
            <w:vAlign w:val="center"/>
            <w:hideMark/>
          </w:tcPr>
          <w:p w14:paraId="3B3E2B64" w14:textId="77777777" w:rsidR="00EE4927" w:rsidRPr="00092B22" w:rsidRDefault="00EE4927" w:rsidP="00E607DA">
            <w:pPr>
              <w:jc w:val="center"/>
              <w:rPr>
                <w:rFonts w:ascii="Meta Pro" w:eastAsia="Times New Roman" w:hAnsi="Meta Pro" w:cs="Times New Roman"/>
                <w:sz w:val="20"/>
                <w:szCs w:val="20"/>
                <w:lang w:eastAsia="en-AU"/>
              </w:rPr>
            </w:pPr>
          </w:p>
        </w:tc>
        <w:tc>
          <w:tcPr>
            <w:tcW w:w="1506" w:type="dxa"/>
            <w:tcBorders>
              <w:top w:val="nil"/>
              <w:left w:val="nil"/>
              <w:bottom w:val="nil"/>
              <w:right w:val="nil"/>
            </w:tcBorders>
            <w:shd w:val="clear" w:color="000000" w:fill="C9E3B4"/>
            <w:noWrap/>
            <w:vAlign w:val="center"/>
            <w:hideMark/>
          </w:tcPr>
          <w:p w14:paraId="5B137C36"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23" w:type="dxa"/>
            <w:tcBorders>
              <w:top w:val="nil"/>
              <w:left w:val="nil"/>
              <w:bottom w:val="nil"/>
              <w:right w:val="nil"/>
            </w:tcBorders>
            <w:shd w:val="clear" w:color="auto" w:fill="auto"/>
            <w:noWrap/>
            <w:vAlign w:val="center"/>
            <w:hideMark/>
          </w:tcPr>
          <w:p w14:paraId="1590F824" w14:textId="77777777" w:rsidR="00EE4927" w:rsidRPr="00092B22" w:rsidRDefault="00EE4927" w:rsidP="00E607DA">
            <w:pPr>
              <w:jc w:val="right"/>
              <w:rPr>
                <w:rFonts w:ascii="Meta Pro" w:eastAsia="Times New Roman" w:hAnsi="Meta Pro"/>
                <w:color w:val="000000"/>
                <w:szCs w:val="18"/>
                <w:lang w:eastAsia="en-AU"/>
              </w:rPr>
            </w:pPr>
          </w:p>
        </w:tc>
        <w:tc>
          <w:tcPr>
            <w:tcW w:w="1506" w:type="dxa"/>
            <w:gridSpan w:val="2"/>
            <w:tcBorders>
              <w:top w:val="nil"/>
              <w:left w:val="nil"/>
              <w:bottom w:val="nil"/>
              <w:right w:val="nil"/>
            </w:tcBorders>
            <w:shd w:val="clear" w:color="auto" w:fill="auto"/>
            <w:noWrap/>
            <w:vAlign w:val="center"/>
            <w:hideMark/>
          </w:tcPr>
          <w:p w14:paraId="758C2C5B" w14:textId="77777777" w:rsidR="00EE4927" w:rsidRPr="00092B22" w:rsidRDefault="00EE4927" w:rsidP="00E607DA">
            <w:pPr>
              <w:jc w:val="right"/>
              <w:rPr>
                <w:rFonts w:ascii="Meta Pro" w:eastAsia="Times New Roman" w:hAnsi="Meta Pro" w:cs="Times New Roman"/>
                <w:sz w:val="20"/>
                <w:szCs w:val="20"/>
                <w:lang w:eastAsia="en-AU"/>
              </w:rPr>
            </w:pPr>
          </w:p>
        </w:tc>
      </w:tr>
      <w:tr w:rsidR="00EE4927" w:rsidRPr="00092B22" w14:paraId="5D9F5152" w14:textId="77777777" w:rsidTr="00EE4927">
        <w:trPr>
          <w:trHeight w:val="23"/>
        </w:trPr>
        <w:tc>
          <w:tcPr>
            <w:tcW w:w="221" w:type="dxa"/>
            <w:tcBorders>
              <w:top w:val="nil"/>
              <w:left w:val="nil"/>
              <w:bottom w:val="single" w:sz="4" w:space="0" w:color="auto"/>
              <w:right w:val="nil"/>
            </w:tcBorders>
            <w:shd w:val="clear" w:color="auto" w:fill="auto"/>
            <w:noWrap/>
            <w:vAlign w:val="center"/>
            <w:hideMark/>
          </w:tcPr>
          <w:p w14:paraId="014A58A5" w14:textId="77777777" w:rsidR="00EE4927" w:rsidRPr="00092B22" w:rsidRDefault="00EE4927"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4942" w:type="dxa"/>
            <w:gridSpan w:val="4"/>
            <w:tcBorders>
              <w:top w:val="nil"/>
              <w:left w:val="nil"/>
              <w:bottom w:val="single" w:sz="4" w:space="0" w:color="auto"/>
              <w:right w:val="nil"/>
            </w:tcBorders>
            <w:shd w:val="clear" w:color="auto" w:fill="auto"/>
            <w:noWrap/>
            <w:vAlign w:val="center"/>
            <w:hideMark/>
          </w:tcPr>
          <w:p w14:paraId="1C3752C3" w14:textId="77777777" w:rsidR="00EE4927" w:rsidRPr="00092B22" w:rsidRDefault="00EE4927"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Increase in asset revaluation surplus</w:t>
            </w:r>
          </w:p>
        </w:tc>
        <w:tc>
          <w:tcPr>
            <w:tcW w:w="1018" w:type="dxa"/>
            <w:tcBorders>
              <w:top w:val="nil"/>
              <w:left w:val="nil"/>
              <w:bottom w:val="single" w:sz="4" w:space="0" w:color="auto"/>
              <w:right w:val="nil"/>
            </w:tcBorders>
            <w:shd w:val="clear" w:color="auto" w:fill="auto"/>
            <w:noWrap/>
            <w:vAlign w:val="center"/>
            <w:hideMark/>
          </w:tcPr>
          <w:p w14:paraId="116ECBC0" w14:textId="77777777" w:rsidR="00EE4927" w:rsidRPr="00092B22" w:rsidRDefault="00EE4927"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15, 16</w:t>
            </w:r>
          </w:p>
        </w:tc>
        <w:tc>
          <w:tcPr>
            <w:tcW w:w="222" w:type="dxa"/>
            <w:tcBorders>
              <w:top w:val="nil"/>
              <w:left w:val="nil"/>
              <w:bottom w:val="single" w:sz="4" w:space="0" w:color="auto"/>
              <w:right w:val="nil"/>
            </w:tcBorders>
            <w:shd w:val="clear" w:color="auto" w:fill="auto"/>
            <w:noWrap/>
            <w:vAlign w:val="center"/>
            <w:hideMark/>
          </w:tcPr>
          <w:p w14:paraId="628B399C" w14:textId="77777777" w:rsidR="00EE4927" w:rsidRPr="00092B22" w:rsidRDefault="00EE4927"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1506" w:type="dxa"/>
            <w:tcBorders>
              <w:top w:val="nil"/>
              <w:left w:val="nil"/>
              <w:bottom w:val="single" w:sz="4" w:space="0" w:color="auto"/>
              <w:right w:val="nil"/>
            </w:tcBorders>
            <w:shd w:val="clear" w:color="000000" w:fill="C9E3B4"/>
            <w:noWrap/>
            <w:vAlign w:val="center"/>
            <w:hideMark/>
          </w:tcPr>
          <w:p w14:paraId="122E085A"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10,757,900 </w:t>
            </w:r>
          </w:p>
        </w:tc>
        <w:tc>
          <w:tcPr>
            <w:tcW w:w="223" w:type="dxa"/>
            <w:tcBorders>
              <w:top w:val="nil"/>
              <w:left w:val="nil"/>
              <w:bottom w:val="single" w:sz="4" w:space="0" w:color="auto"/>
              <w:right w:val="nil"/>
            </w:tcBorders>
            <w:shd w:val="clear" w:color="auto" w:fill="auto"/>
            <w:noWrap/>
            <w:vAlign w:val="center"/>
            <w:hideMark/>
          </w:tcPr>
          <w:p w14:paraId="0B032B6E"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1506" w:type="dxa"/>
            <w:gridSpan w:val="2"/>
            <w:tcBorders>
              <w:top w:val="nil"/>
              <w:left w:val="nil"/>
              <w:bottom w:val="single" w:sz="4" w:space="0" w:color="auto"/>
              <w:right w:val="nil"/>
            </w:tcBorders>
            <w:shd w:val="clear" w:color="auto" w:fill="auto"/>
            <w:noWrap/>
            <w:vAlign w:val="center"/>
            <w:hideMark/>
          </w:tcPr>
          <w:p w14:paraId="13A5E06C" w14:textId="77777777" w:rsidR="00EE4927" w:rsidRPr="00092B22" w:rsidRDefault="00EE4927"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2,953,688 </w:t>
            </w:r>
          </w:p>
        </w:tc>
      </w:tr>
      <w:tr w:rsidR="00EE4927" w:rsidRPr="00092B22" w14:paraId="5B8A6836" w14:textId="77777777" w:rsidTr="00EE4927">
        <w:trPr>
          <w:trHeight w:val="23"/>
        </w:trPr>
        <w:tc>
          <w:tcPr>
            <w:tcW w:w="5163" w:type="dxa"/>
            <w:gridSpan w:val="5"/>
            <w:tcBorders>
              <w:top w:val="nil"/>
              <w:left w:val="nil"/>
              <w:bottom w:val="single" w:sz="4" w:space="0" w:color="auto"/>
              <w:right w:val="nil"/>
            </w:tcBorders>
            <w:shd w:val="clear" w:color="auto" w:fill="auto"/>
            <w:noWrap/>
            <w:vAlign w:val="center"/>
            <w:hideMark/>
          </w:tcPr>
          <w:p w14:paraId="43FF9892" w14:textId="77777777" w:rsidR="00EE4927" w:rsidRPr="00092B22" w:rsidRDefault="00EE4927" w:rsidP="00E607DA">
            <w:pP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Total other comprehensive income</w:t>
            </w:r>
          </w:p>
        </w:tc>
        <w:tc>
          <w:tcPr>
            <w:tcW w:w="1018" w:type="dxa"/>
            <w:tcBorders>
              <w:top w:val="single" w:sz="4" w:space="0" w:color="auto"/>
              <w:left w:val="nil"/>
              <w:bottom w:val="single" w:sz="4" w:space="0" w:color="auto"/>
              <w:right w:val="nil"/>
            </w:tcBorders>
            <w:shd w:val="clear" w:color="auto" w:fill="auto"/>
            <w:noWrap/>
            <w:vAlign w:val="center"/>
            <w:hideMark/>
          </w:tcPr>
          <w:p w14:paraId="3F8CF474" w14:textId="77777777" w:rsidR="00EE4927" w:rsidRPr="00092B22" w:rsidRDefault="00EE4927"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22" w:type="dxa"/>
            <w:tcBorders>
              <w:top w:val="nil"/>
              <w:left w:val="nil"/>
              <w:bottom w:val="single" w:sz="4" w:space="0" w:color="auto"/>
              <w:right w:val="nil"/>
            </w:tcBorders>
            <w:shd w:val="clear" w:color="auto" w:fill="auto"/>
            <w:noWrap/>
            <w:vAlign w:val="center"/>
            <w:hideMark/>
          </w:tcPr>
          <w:p w14:paraId="1D8AD0B2" w14:textId="77777777" w:rsidR="00EE4927" w:rsidRPr="00092B22" w:rsidRDefault="00EE4927"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1506" w:type="dxa"/>
            <w:tcBorders>
              <w:top w:val="nil"/>
              <w:left w:val="nil"/>
              <w:bottom w:val="single" w:sz="4" w:space="0" w:color="auto"/>
              <w:right w:val="nil"/>
            </w:tcBorders>
            <w:shd w:val="clear" w:color="000000" w:fill="C9E3B4"/>
            <w:noWrap/>
            <w:vAlign w:val="center"/>
            <w:hideMark/>
          </w:tcPr>
          <w:p w14:paraId="71750C3C" w14:textId="77777777" w:rsidR="00EE4927" w:rsidRPr="00092B22" w:rsidRDefault="00EE4927"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xml:space="preserve">10,757,900 </w:t>
            </w:r>
          </w:p>
        </w:tc>
        <w:tc>
          <w:tcPr>
            <w:tcW w:w="223" w:type="dxa"/>
            <w:tcBorders>
              <w:top w:val="nil"/>
              <w:left w:val="nil"/>
              <w:bottom w:val="single" w:sz="4" w:space="0" w:color="auto"/>
              <w:right w:val="nil"/>
            </w:tcBorders>
            <w:shd w:val="clear" w:color="auto" w:fill="auto"/>
            <w:noWrap/>
            <w:vAlign w:val="center"/>
            <w:hideMark/>
          </w:tcPr>
          <w:p w14:paraId="32635641" w14:textId="77777777" w:rsidR="00EE4927" w:rsidRPr="00092B22" w:rsidRDefault="00EE4927"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w:t>
            </w:r>
          </w:p>
        </w:tc>
        <w:tc>
          <w:tcPr>
            <w:tcW w:w="1506" w:type="dxa"/>
            <w:gridSpan w:val="2"/>
            <w:tcBorders>
              <w:top w:val="nil"/>
              <w:left w:val="nil"/>
              <w:bottom w:val="single" w:sz="4" w:space="0" w:color="auto"/>
              <w:right w:val="nil"/>
            </w:tcBorders>
            <w:shd w:val="clear" w:color="auto" w:fill="auto"/>
            <w:noWrap/>
            <w:vAlign w:val="center"/>
            <w:hideMark/>
          </w:tcPr>
          <w:p w14:paraId="27F0CA37" w14:textId="77777777" w:rsidR="00EE4927" w:rsidRPr="00092B22" w:rsidRDefault="00EE4927"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xml:space="preserve">2,953,688 </w:t>
            </w:r>
          </w:p>
        </w:tc>
      </w:tr>
      <w:tr w:rsidR="00EE4927" w:rsidRPr="00092B22" w14:paraId="41AB5EBF" w14:textId="77777777" w:rsidTr="00EE4927">
        <w:trPr>
          <w:trHeight w:val="23"/>
        </w:trPr>
        <w:tc>
          <w:tcPr>
            <w:tcW w:w="221" w:type="dxa"/>
            <w:tcBorders>
              <w:top w:val="nil"/>
              <w:left w:val="nil"/>
              <w:bottom w:val="nil"/>
              <w:right w:val="nil"/>
            </w:tcBorders>
            <w:shd w:val="clear" w:color="auto" w:fill="auto"/>
            <w:noWrap/>
            <w:vAlign w:val="center"/>
            <w:hideMark/>
          </w:tcPr>
          <w:p w14:paraId="67CCBD5A" w14:textId="77777777" w:rsidR="00EE4927" w:rsidRPr="00092B22" w:rsidRDefault="00EE4927" w:rsidP="00E607DA">
            <w:pPr>
              <w:jc w:val="right"/>
              <w:rPr>
                <w:rFonts w:ascii="Meta Pro" w:eastAsia="Times New Roman" w:hAnsi="Meta Pro"/>
                <w:b/>
                <w:bCs/>
                <w:color w:val="000000"/>
                <w:szCs w:val="18"/>
                <w:lang w:eastAsia="en-AU"/>
              </w:rPr>
            </w:pPr>
          </w:p>
        </w:tc>
        <w:tc>
          <w:tcPr>
            <w:tcW w:w="4942" w:type="dxa"/>
            <w:gridSpan w:val="4"/>
            <w:tcBorders>
              <w:top w:val="nil"/>
              <w:left w:val="nil"/>
              <w:bottom w:val="nil"/>
              <w:right w:val="nil"/>
            </w:tcBorders>
            <w:shd w:val="clear" w:color="auto" w:fill="auto"/>
            <w:noWrap/>
            <w:vAlign w:val="center"/>
            <w:hideMark/>
          </w:tcPr>
          <w:p w14:paraId="34890874" w14:textId="77777777" w:rsidR="00EE4927" w:rsidRPr="00092B22" w:rsidRDefault="00EE4927" w:rsidP="00E607DA">
            <w:pPr>
              <w:rPr>
                <w:rFonts w:ascii="Meta Pro" w:eastAsia="Times New Roman" w:hAnsi="Meta Pro" w:cs="Times New Roman"/>
                <w:sz w:val="20"/>
                <w:szCs w:val="20"/>
                <w:lang w:eastAsia="en-AU"/>
              </w:rPr>
            </w:pPr>
          </w:p>
        </w:tc>
        <w:tc>
          <w:tcPr>
            <w:tcW w:w="1018" w:type="dxa"/>
            <w:tcBorders>
              <w:top w:val="single" w:sz="4" w:space="0" w:color="auto"/>
              <w:left w:val="nil"/>
              <w:bottom w:val="nil"/>
              <w:right w:val="nil"/>
            </w:tcBorders>
            <w:shd w:val="clear" w:color="auto" w:fill="auto"/>
            <w:noWrap/>
            <w:vAlign w:val="center"/>
            <w:hideMark/>
          </w:tcPr>
          <w:p w14:paraId="08160D0E" w14:textId="77777777" w:rsidR="00EE4927" w:rsidRPr="00092B22" w:rsidRDefault="00EE4927"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22" w:type="dxa"/>
            <w:tcBorders>
              <w:top w:val="nil"/>
              <w:left w:val="nil"/>
              <w:bottom w:val="nil"/>
              <w:right w:val="nil"/>
            </w:tcBorders>
            <w:shd w:val="clear" w:color="auto" w:fill="auto"/>
            <w:noWrap/>
            <w:vAlign w:val="center"/>
            <w:hideMark/>
          </w:tcPr>
          <w:p w14:paraId="50FF8D6E" w14:textId="77777777" w:rsidR="00EE4927" w:rsidRPr="00092B22" w:rsidRDefault="00EE4927" w:rsidP="00E607DA">
            <w:pPr>
              <w:jc w:val="center"/>
              <w:rPr>
                <w:rFonts w:ascii="Meta Pro" w:eastAsia="Times New Roman" w:hAnsi="Meta Pro"/>
                <w:color w:val="000000"/>
                <w:szCs w:val="18"/>
                <w:lang w:eastAsia="en-AU"/>
              </w:rPr>
            </w:pPr>
          </w:p>
        </w:tc>
        <w:tc>
          <w:tcPr>
            <w:tcW w:w="1506" w:type="dxa"/>
            <w:tcBorders>
              <w:top w:val="nil"/>
              <w:left w:val="nil"/>
              <w:bottom w:val="nil"/>
              <w:right w:val="nil"/>
            </w:tcBorders>
            <w:shd w:val="clear" w:color="000000" w:fill="C9E3B4"/>
            <w:noWrap/>
            <w:vAlign w:val="center"/>
            <w:hideMark/>
          </w:tcPr>
          <w:p w14:paraId="76E18967" w14:textId="77777777" w:rsidR="00EE4927" w:rsidRPr="00092B22" w:rsidRDefault="00EE4927"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w:t>
            </w:r>
          </w:p>
        </w:tc>
        <w:tc>
          <w:tcPr>
            <w:tcW w:w="223" w:type="dxa"/>
            <w:tcBorders>
              <w:top w:val="nil"/>
              <w:left w:val="nil"/>
              <w:bottom w:val="nil"/>
              <w:right w:val="nil"/>
            </w:tcBorders>
            <w:shd w:val="clear" w:color="auto" w:fill="auto"/>
            <w:noWrap/>
            <w:vAlign w:val="center"/>
            <w:hideMark/>
          </w:tcPr>
          <w:p w14:paraId="45612975" w14:textId="77777777" w:rsidR="00EE4927" w:rsidRPr="00092B22" w:rsidRDefault="00EE4927" w:rsidP="00E607DA">
            <w:pPr>
              <w:jc w:val="right"/>
              <w:rPr>
                <w:rFonts w:ascii="Meta Pro" w:eastAsia="Times New Roman" w:hAnsi="Meta Pro"/>
                <w:b/>
                <w:bCs/>
                <w:color w:val="000000"/>
                <w:szCs w:val="18"/>
                <w:lang w:eastAsia="en-AU"/>
              </w:rPr>
            </w:pPr>
          </w:p>
        </w:tc>
        <w:tc>
          <w:tcPr>
            <w:tcW w:w="1506" w:type="dxa"/>
            <w:gridSpan w:val="2"/>
            <w:tcBorders>
              <w:top w:val="nil"/>
              <w:left w:val="nil"/>
              <w:bottom w:val="nil"/>
              <w:right w:val="nil"/>
            </w:tcBorders>
            <w:shd w:val="clear" w:color="auto" w:fill="auto"/>
            <w:noWrap/>
            <w:vAlign w:val="center"/>
            <w:hideMark/>
          </w:tcPr>
          <w:p w14:paraId="3B803CDB" w14:textId="77777777" w:rsidR="00EE4927" w:rsidRPr="00092B22" w:rsidRDefault="00EE4927" w:rsidP="00E607DA">
            <w:pPr>
              <w:jc w:val="right"/>
              <w:rPr>
                <w:rFonts w:ascii="Meta Pro" w:eastAsia="Times New Roman" w:hAnsi="Meta Pro" w:cs="Times New Roman"/>
                <w:sz w:val="20"/>
                <w:szCs w:val="20"/>
                <w:lang w:eastAsia="en-AU"/>
              </w:rPr>
            </w:pPr>
          </w:p>
        </w:tc>
      </w:tr>
      <w:tr w:rsidR="00EE4927" w:rsidRPr="00092B22" w14:paraId="38B43713" w14:textId="77777777" w:rsidTr="00EE4927">
        <w:trPr>
          <w:trHeight w:val="23"/>
        </w:trPr>
        <w:tc>
          <w:tcPr>
            <w:tcW w:w="5163" w:type="dxa"/>
            <w:gridSpan w:val="5"/>
            <w:tcBorders>
              <w:top w:val="nil"/>
              <w:left w:val="nil"/>
              <w:bottom w:val="double" w:sz="6" w:space="0" w:color="auto"/>
              <w:right w:val="nil"/>
            </w:tcBorders>
            <w:shd w:val="clear" w:color="auto" w:fill="auto"/>
            <w:noWrap/>
            <w:vAlign w:val="center"/>
            <w:hideMark/>
          </w:tcPr>
          <w:p w14:paraId="665EA046" w14:textId="77777777" w:rsidR="00EE4927" w:rsidRPr="00092B22" w:rsidRDefault="00EE4927" w:rsidP="00E607DA">
            <w:pP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TOTAL COMPREHENSIVE INCOME</w:t>
            </w:r>
          </w:p>
        </w:tc>
        <w:tc>
          <w:tcPr>
            <w:tcW w:w="1018" w:type="dxa"/>
            <w:tcBorders>
              <w:top w:val="nil"/>
              <w:left w:val="nil"/>
              <w:bottom w:val="double" w:sz="6" w:space="0" w:color="auto"/>
              <w:right w:val="nil"/>
            </w:tcBorders>
            <w:shd w:val="clear" w:color="auto" w:fill="auto"/>
            <w:noWrap/>
            <w:vAlign w:val="center"/>
            <w:hideMark/>
          </w:tcPr>
          <w:p w14:paraId="573783EE" w14:textId="77777777" w:rsidR="00EE4927" w:rsidRPr="00092B22" w:rsidRDefault="00EE4927"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22" w:type="dxa"/>
            <w:tcBorders>
              <w:top w:val="nil"/>
              <w:left w:val="nil"/>
              <w:bottom w:val="double" w:sz="6" w:space="0" w:color="auto"/>
              <w:right w:val="nil"/>
            </w:tcBorders>
            <w:shd w:val="clear" w:color="auto" w:fill="auto"/>
            <w:noWrap/>
            <w:vAlign w:val="center"/>
            <w:hideMark/>
          </w:tcPr>
          <w:p w14:paraId="07CD2DE3" w14:textId="77777777" w:rsidR="00EE4927" w:rsidRPr="00092B22" w:rsidRDefault="00EE4927"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1506" w:type="dxa"/>
            <w:tcBorders>
              <w:top w:val="nil"/>
              <w:left w:val="nil"/>
              <w:bottom w:val="double" w:sz="6" w:space="0" w:color="auto"/>
              <w:right w:val="nil"/>
            </w:tcBorders>
            <w:shd w:val="clear" w:color="000000" w:fill="C9E3B4"/>
            <w:noWrap/>
            <w:vAlign w:val="center"/>
            <w:hideMark/>
          </w:tcPr>
          <w:p w14:paraId="65660A92" w14:textId="77777777" w:rsidR="00EE4927" w:rsidRPr="00092B22" w:rsidRDefault="00EE4927"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xml:space="preserve">10,696,821 </w:t>
            </w:r>
          </w:p>
        </w:tc>
        <w:tc>
          <w:tcPr>
            <w:tcW w:w="223" w:type="dxa"/>
            <w:tcBorders>
              <w:top w:val="nil"/>
              <w:left w:val="nil"/>
              <w:bottom w:val="double" w:sz="6" w:space="0" w:color="auto"/>
              <w:right w:val="nil"/>
            </w:tcBorders>
            <w:shd w:val="clear" w:color="auto" w:fill="auto"/>
            <w:noWrap/>
            <w:vAlign w:val="center"/>
            <w:hideMark/>
          </w:tcPr>
          <w:p w14:paraId="16B06A38" w14:textId="77777777" w:rsidR="00EE4927" w:rsidRPr="00092B22" w:rsidRDefault="00EE4927"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w:t>
            </w:r>
          </w:p>
        </w:tc>
        <w:tc>
          <w:tcPr>
            <w:tcW w:w="1506" w:type="dxa"/>
            <w:gridSpan w:val="2"/>
            <w:tcBorders>
              <w:top w:val="nil"/>
              <w:left w:val="nil"/>
              <w:bottom w:val="double" w:sz="6" w:space="0" w:color="auto"/>
              <w:right w:val="nil"/>
            </w:tcBorders>
            <w:shd w:val="clear" w:color="auto" w:fill="auto"/>
            <w:noWrap/>
            <w:vAlign w:val="center"/>
            <w:hideMark/>
          </w:tcPr>
          <w:p w14:paraId="08E79E65" w14:textId="77777777" w:rsidR="00EE4927" w:rsidRPr="00092B22" w:rsidRDefault="00EE4927"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xml:space="preserve">2,968,364 </w:t>
            </w:r>
          </w:p>
        </w:tc>
      </w:tr>
    </w:tbl>
    <w:p w14:paraId="74B19816" w14:textId="77777777" w:rsidR="00EE4927" w:rsidRPr="00092B22" w:rsidRDefault="00EE4927" w:rsidP="00EE4927">
      <w:pPr>
        <w:rPr>
          <w:rFonts w:ascii="Meta Pro" w:hAnsi="Meta Pro"/>
        </w:rPr>
      </w:pPr>
      <w:r w:rsidRPr="00092B22">
        <w:rPr>
          <w:rFonts w:ascii="Meta Pro" w:hAnsi="Meta Pro"/>
        </w:rPr>
        <w:t xml:space="preserve"> </w:t>
      </w:r>
    </w:p>
    <w:p w14:paraId="5C246912" w14:textId="496EE81D" w:rsidR="00EE4927" w:rsidRDefault="00EE4927" w:rsidP="00EE4927">
      <w:pPr>
        <w:spacing w:line="259" w:lineRule="auto"/>
        <w:rPr>
          <w:rFonts w:ascii="Meta Pro" w:eastAsia="Times New Roman" w:hAnsi="Meta Pro"/>
          <w:i/>
          <w:iCs/>
          <w:color w:val="000000"/>
          <w:szCs w:val="18"/>
          <w:lang w:eastAsia="en-AU"/>
        </w:rPr>
      </w:pPr>
      <w:r w:rsidRPr="00092B22">
        <w:rPr>
          <w:rFonts w:ascii="Meta Pro" w:eastAsia="Times New Roman" w:hAnsi="Meta Pro"/>
          <w:i/>
          <w:iCs/>
          <w:color w:val="000000"/>
          <w:szCs w:val="18"/>
          <w:lang w:eastAsia="en-AU"/>
        </w:rPr>
        <w:t>The accompanying notes form part of these financial statements.</w:t>
      </w:r>
    </w:p>
    <w:p w14:paraId="3ECB8A42" w14:textId="2183EB22" w:rsidR="001664EE" w:rsidRDefault="001664EE" w:rsidP="00EE4927">
      <w:pPr>
        <w:spacing w:line="259" w:lineRule="auto"/>
        <w:rPr>
          <w:rFonts w:ascii="Meta Pro" w:eastAsia="Times New Roman" w:hAnsi="Meta Pro"/>
          <w:i/>
          <w:iCs/>
          <w:color w:val="000000"/>
          <w:szCs w:val="18"/>
          <w:lang w:eastAsia="en-AU"/>
        </w:rPr>
      </w:pPr>
    </w:p>
    <w:p w14:paraId="5CE03311" w14:textId="20140A77" w:rsidR="001664EE" w:rsidRDefault="001664EE" w:rsidP="00EE4927">
      <w:pPr>
        <w:spacing w:line="259" w:lineRule="auto"/>
        <w:rPr>
          <w:rFonts w:ascii="Meta Pro" w:eastAsia="Times New Roman" w:hAnsi="Meta Pro"/>
          <w:i/>
          <w:iCs/>
          <w:color w:val="000000"/>
          <w:szCs w:val="18"/>
          <w:lang w:eastAsia="en-AU"/>
        </w:rPr>
      </w:pPr>
    </w:p>
    <w:p w14:paraId="3BE2314D" w14:textId="77777777" w:rsidR="001664EE" w:rsidRPr="00092B22" w:rsidRDefault="001664EE" w:rsidP="00EE4927">
      <w:pPr>
        <w:spacing w:line="259" w:lineRule="auto"/>
        <w:rPr>
          <w:rFonts w:ascii="Meta Pro" w:eastAsia="Times New Roman" w:hAnsi="Meta Pro"/>
          <w:i/>
          <w:iCs/>
          <w:color w:val="000000"/>
          <w:szCs w:val="18"/>
          <w:lang w:eastAsia="en-AU"/>
        </w:rPr>
      </w:pPr>
    </w:p>
    <w:p w14:paraId="0A602B0E" w14:textId="2697EC9A" w:rsidR="00834804" w:rsidRDefault="00C55038" w:rsidP="00834804">
      <w:r>
        <w:tab/>
      </w:r>
    </w:p>
    <w:tbl>
      <w:tblPr>
        <w:tblW w:w="0" w:type="auto"/>
        <w:tblCellMar>
          <w:left w:w="0" w:type="dxa"/>
        </w:tblCellMar>
        <w:tblLook w:val="04A0" w:firstRow="1" w:lastRow="0" w:firstColumn="1" w:lastColumn="0" w:noHBand="0" w:noVBand="1"/>
      </w:tblPr>
      <w:tblGrid>
        <w:gridCol w:w="215"/>
        <w:gridCol w:w="4634"/>
        <w:gridCol w:w="960"/>
        <w:gridCol w:w="214"/>
        <w:gridCol w:w="1416"/>
        <w:gridCol w:w="215"/>
        <w:gridCol w:w="1416"/>
      </w:tblGrid>
      <w:tr w:rsidR="00C55038" w:rsidRPr="00092B22" w14:paraId="55F31E23" w14:textId="77777777" w:rsidTr="00E607DA">
        <w:trPr>
          <w:trHeight w:val="20"/>
        </w:trPr>
        <w:tc>
          <w:tcPr>
            <w:tcW w:w="4990" w:type="dxa"/>
            <w:gridSpan w:val="2"/>
            <w:tcBorders>
              <w:top w:val="nil"/>
              <w:left w:val="nil"/>
              <w:bottom w:val="nil"/>
              <w:right w:val="nil"/>
            </w:tcBorders>
            <w:shd w:val="clear" w:color="auto" w:fill="auto"/>
            <w:noWrap/>
            <w:vAlign w:val="center"/>
          </w:tcPr>
          <w:p w14:paraId="12572E2B" w14:textId="77777777" w:rsidR="00C55038" w:rsidRPr="00092B22" w:rsidRDefault="00C55038" w:rsidP="00E607DA">
            <w:pPr>
              <w:rPr>
                <w:rFonts w:ascii="Meta Pro" w:eastAsia="Times New Roman" w:hAnsi="Meta Pro"/>
                <w:b/>
                <w:bCs/>
                <w:color w:val="000000"/>
                <w:szCs w:val="18"/>
                <w:lang w:eastAsia="en-AU"/>
              </w:rPr>
            </w:pPr>
          </w:p>
        </w:tc>
        <w:tc>
          <w:tcPr>
            <w:tcW w:w="1021" w:type="dxa"/>
            <w:tcBorders>
              <w:top w:val="nil"/>
              <w:left w:val="nil"/>
              <w:bottom w:val="nil"/>
              <w:right w:val="nil"/>
            </w:tcBorders>
            <w:shd w:val="clear" w:color="auto" w:fill="auto"/>
            <w:noWrap/>
            <w:vAlign w:val="center"/>
          </w:tcPr>
          <w:p w14:paraId="3592E31D" w14:textId="086DE9B5" w:rsidR="00C55038" w:rsidRPr="00092B22" w:rsidRDefault="00C55038" w:rsidP="00E607DA">
            <w:pPr>
              <w:rPr>
                <w:rFonts w:ascii="Meta Pro" w:eastAsia="Times New Roman" w:hAnsi="Meta Pro"/>
                <w:b/>
                <w:bCs/>
                <w:color w:val="000000"/>
                <w:szCs w:val="18"/>
                <w:lang w:eastAsia="en-AU"/>
              </w:rPr>
            </w:pPr>
            <w:r>
              <w:rPr>
                <w:rFonts w:ascii="Meta Pro" w:eastAsia="Times New Roman" w:hAnsi="Meta Pro"/>
                <w:b/>
                <w:bCs/>
                <w:color w:val="000000"/>
                <w:szCs w:val="18"/>
                <w:lang w:eastAsia="en-AU"/>
              </w:rPr>
              <w:t>Note</w:t>
            </w:r>
          </w:p>
        </w:tc>
        <w:tc>
          <w:tcPr>
            <w:tcW w:w="215" w:type="dxa"/>
            <w:tcBorders>
              <w:top w:val="nil"/>
              <w:left w:val="nil"/>
              <w:bottom w:val="nil"/>
              <w:right w:val="nil"/>
            </w:tcBorders>
            <w:shd w:val="clear" w:color="auto" w:fill="auto"/>
            <w:noWrap/>
            <w:vAlign w:val="center"/>
          </w:tcPr>
          <w:p w14:paraId="5F1FB1EA" w14:textId="7E5F1C77" w:rsidR="00C55038" w:rsidRPr="00092B22" w:rsidRDefault="00C55038" w:rsidP="00C55038">
            <w:pP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auto" w:fill="auto"/>
            <w:noWrap/>
            <w:vAlign w:val="center"/>
          </w:tcPr>
          <w:p w14:paraId="5DF94ACD" w14:textId="5D05A086" w:rsidR="00C55038" w:rsidRPr="00092B22" w:rsidRDefault="00C55038" w:rsidP="00E607DA">
            <w:pPr>
              <w:jc w:val="center"/>
              <w:rPr>
                <w:rFonts w:ascii="Meta Pro" w:eastAsia="Times New Roman" w:hAnsi="Meta Pro"/>
                <w:b/>
                <w:bCs/>
                <w:color w:val="000000"/>
                <w:lang w:eastAsia="en-AU"/>
              </w:rPr>
            </w:pPr>
            <w:r>
              <w:rPr>
                <w:rFonts w:ascii="Meta Pro" w:eastAsia="Times New Roman" w:hAnsi="Meta Pro"/>
                <w:b/>
                <w:bCs/>
                <w:color w:val="000000"/>
                <w:lang w:eastAsia="en-AU"/>
              </w:rPr>
              <w:t>2022</w:t>
            </w:r>
            <w:r>
              <w:rPr>
                <w:rFonts w:ascii="Meta Pro" w:eastAsia="Times New Roman" w:hAnsi="Meta Pro"/>
                <w:b/>
                <w:bCs/>
                <w:color w:val="000000"/>
                <w:lang w:eastAsia="en-AU"/>
              </w:rPr>
              <w:br/>
              <w:t>$'000</w:t>
            </w:r>
          </w:p>
        </w:tc>
        <w:tc>
          <w:tcPr>
            <w:tcW w:w="216" w:type="dxa"/>
            <w:tcBorders>
              <w:top w:val="nil"/>
              <w:left w:val="nil"/>
              <w:bottom w:val="nil"/>
              <w:right w:val="nil"/>
            </w:tcBorders>
            <w:shd w:val="clear" w:color="auto" w:fill="auto"/>
            <w:noWrap/>
            <w:vAlign w:val="center"/>
          </w:tcPr>
          <w:p w14:paraId="3FB790C9" w14:textId="77777777" w:rsidR="00C55038" w:rsidRPr="00092B22" w:rsidRDefault="00C55038" w:rsidP="00E607DA">
            <w:pPr>
              <w:jc w:val="center"/>
              <w:rPr>
                <w:rFonts w:ascii="Meta Pro" w:eastAsia="Times New Roman" w:hAnsi="Meta Pro"/>
                <w:b/>
                <w:bCs/>
                <w:color w:val="000000"/>
                <w:lang w:eastAsia="en-AU"/>
              </w:rPr>
            </w:pPr>
          </w:p>
        </w:tc>
        <w:tc>
          <w:tcPr>
            <w:tcW w:w="1514" w:type="dxa"/>
            <w:tcBorders>
              <w:top w:val="nil"/>
              <w:left w:val="nil"/>
              <w:bottom w:val="nil"/>
              <w:right w:val="nil"/>
            </w:tcBorders>
            <w:shd w:val="clear" w:color="auto" w:fill="auto"/>
            <w:noWrap/>
            <w:vAlign w:val="center"/>
          </w:tcPr>
          <w:p w14:paraId="003A4198" w14:textId="5F4732A6" w:rsidR="00C55038" w:rsidRPr="00092B22" w:rsidRDefault="00C55038" w:rsidP="00E607DA">
            <w:pPr>
              <w:jc w:val="center"/>
              <w:rPr>
                <w:rFonts w:ascii="Meta Pro" w:eastAsia="Times New Roman" w:hAnsi="Meta Pro"/>
                <w:b/>
                <w:bCs/>
                <w:color w:val="000000"/>
                <w:lang w:eastAsia="en-AU"/>
              </w:rPr>
            </w:pPr>
            <w:r>
              <w:rPr>
                <w:rFonts w:ascii="Meta Pro" w:eastAsia="Times New Roman" w:hAnsi="Meta Pro"/>
                <w:b/>
                <w:bCs/>
                <w:color w:val="000000"/>
                <w:lang w:eastAsia="en-AU"/>
              </w:rPr>
              <w:t>2021</w:t>
            </w:r>
            <w:r>
              <w:rPr>
                <w:rFonts w:ascii="Meta Pro" w:eastAsia="Times New Roman" w:hAnsi="Meta Pro"/>
                <w:b/>
                <w:bCs/>
                <w:color w:val="000000"/>
                <w:lang w:eastAsia="en-AU"/>
              </w:rPr>
              <w:br/>
              <w:t>$</w:t>
            </w:r>
            <w:r w:rsidR="001664EE">
              <w:rPr>
                <w:rFonts w:ascii="Meta Pro" w:eastAsia="Times New Roman" w:hAnsi="Meta Pro"/>
                <w:b/>
                <w:bCs/>
                <w:color w:val="000000"/>
                <w:lang w:eastAsia="en-AU"/>
              </w:rPr>
              <w:t>'000</w:t>
            </w:r>
          </w:p>
        </w:tc>
      </w:tr>
      <w:tr w:rsidR="00C55038" w:rsidRPr="00092B22" w14:paraId="2228993A" w14:textId="77777777" w:rsidTr="00E607DA">
        <w:trPr>
          <w:trHeight w:val="20"/>
        </w:trPr>
        <w:tc>
          <w:tcPr>
            <w:tcW w:w="4990" w:type="dxa"/>
            <w:gridSpan w:val="2"/>
            <w:tcBorders>
              <w:top w:val="nil"/>
              <w:left w:val="nil"/>
              <w:bottom w:val="nil"/>
              <w:right w:val="nil"/>
            </w:tcBorders>
            <w:shd w:val="clear" w:color="auto" w:fill="auto"/>
            <w:noWrap/>
            <w:vAlign w:val="center"/>
            <w:hideMark/>
          </w:tcPr>
          <w:p w14:paraId="392943BE" w14:textId="77777777" w:rsidR="00C55038" w:rsidRPr="00092B22" w:rsidRDefault="00C55038" w:rsidP="00E607DA">
            <w:pP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Assets</w:t>
            </w:r>
          </w:p>
        </w:tc>
        <w:tc>
          <w:tcPr>
            <w:tcW w:w="1021" w:type="dxa"/>
            <w:tcBorders>
              <w:top w:val="nil"/>
              <w:left w:val="nil"/>
              <w:bottom w:val="nil"/>
              <w:right w:val="nil"/>
            </w:tcBorders>
            <w:shd w:val="clear" w:color="auto" w:fill="auto"/>
            <w:noWrap/>
            <w:vAlign w:val="center"/>
            <w:hideMark/>
          </w:tcPr>
          <w:p w14:paraId="7F189661" w14:textId="77777777" w:rsidR="00C55038" w:rsidRPr="00092B22" w:rsidRDefault="00C55038" w:rsidP="00E607DA">
            <w:pPr>
              <w:rPr>
                <w:rFonts w:ascii="Meta Pro" w:eastAsia="Times New Roman" w:hAnsi="Meta Pro"/>
                <w:b/>
                <w:bCs/>
                <w:color w:val="000000"/>
                <w:szCs w:val="18"/>
                <w:lang w:eastAsia="en-AU"/>
              </w:rPr>
            </w:pPr>
          </w:p>
        </w:tc>
        <w:tc>
          <w:tcPr>
            <w:tcW w:w="215" w:type="dxa"/>
            <w:tcBorders>
              <w:top w:val="nil"/>
              <w:left w:val="nil"/>
              <w:bottom w:val="nil"/>
              <w:right w:val="nil"/>
            </w:tcBorders>
            <w:shd w:val="clear" w:color="auto" w:fill="auto"/>
            <w:noWrap/>
            <w:vAlign w:val="center"/>
            <w:hideMark/>
          </w:tcPr>
          <w:p w14:paraId="6D4DF694" w14:textId="77777777" w:rsidR="00C55038" w:rsidRPr="00092B22" w:rsidRDefault="00C55038"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62F988F8" w14:textId="77777777" w:rsidR="00C55038" w:rsidRPr="00092B22" w:rsidRDefault="00C55038" w:rsidP="00E607DA">
            <w:pPr>
              <w:jc w:val="center"/>
              <w:rPr>
                <w:rFonts w:ascii="Meta Pro" w:eastAsia="Times New Roman" w:hAnsi="Meta Pro"/>
                <w:b/>
                <w:bCs/>
                <w:color w:val="000000"/>
                <w:lang w:eastAsia="en-AU"/>
              </w:rPr>
            </w:pPr>
            <w:r w:rsidRPr="00092B22">
              <w:rPr>
                <w:rFonts w:ascii="Meta Pro" w:eastAsia="Times New Roman" w:hAnsi="Meta Pro"/>
                <w:b/>
                <w:bCs/>
                <w:color w:val="000000"/>
                <w:lang w:eastAsia="en-AU"/>
              </w:rPr>
              <w:t>$'000</w:t>
            </w:r>
          </w:p>
        </w:tc>
        <w:tc>
          <w:tcPr>
            <w:tcW w:w="216" w:type="dxa"/>
            <w:tcBorders>
              <w:top w:val="nil"/>
              <w:left w:val="nil"/>
              <w:bottom w:val="nil"/>
              <w:right w:val="nil"/>
            </w:tcBorders>
            <w:shd w:val="clear" w:color="auto" w:fill="auto"/>
            <w:noWrap/>
            <w:vAlign w:val="center"/>
            <w:hideMark/>
          </w:tcPr>
          <w:p w14:paraId="1A088004" w14:textId="77777777" w:rsidR="00C55038" w:rsidRPr="00092B22" w:rsidRDefault="00C55038" w:rsidP="00E607DA">
            <w:pPr>
              <w:jc w:val="center"/>
              <w:rPr>
                <w:rFonts w:ascii="Meta Pro" w:eastAsia="Times New Roman" w:hAnsi="Meta Pro"/>
                <w:b/>
                <w:bCs/>
                <w:color w:val="000000"/>
                <w:lang w:eastAsia="en-AU"/>
              </w:rPr>
            </w:pPr>
          </w:p>
        </w:tc>
        <w:tc>
          <w:tcPr>
            <w:tcW w:w="1514" w:type="dxa"/>
            <w:tcBorders>
              <w:top w:val="nil"/>
              <w:left w:val="nil"/>
              <w:bottom w:val="nil"/>
              <w:right w:val="nil"/>
            </w:tcBorders>
            <w:shd w:val="clear" w:color="auto" w:fill="auto"/>
            <w:noWrap/>
            <w:vAlign w:val="center"/>
            <w:hideMark/>
          </w:tcPr>
          <w:p w14:paraId="5323DED6" w14:textId="77777777" w:rsidR="00C55038" w:rsidRPr="00092B22" w:rsidRDefault="00C55038" w:rsidP="00E607DA">
            <w:pPr>
              <w:jc w:val="center"/>
              <w:rPr>
                <w:rFonts w:ascii="Meta Pro" w:eastAsia="Times New Roman" w:hAnsi="Meta Pro"/>
                <w:b/>
                <w:bCs/>
                <w:color w:val="000000"/>
                <w:lang w:eastAsia="en-AU"/>
              </w:rPr>
            </w:pPr>
            <w:r w:rsidRPr="00092B22">
              <w:rPr>
                <w:rFonts w:ascii="Meta Pro" w:eastAsia="Times New Roman" w:hAnsi="Meta Pro"/>
                <w:b/>
                <w:bCs/>
                <w:color w:val="000000"/>
                <w:lang w:eastAsia="en-AU"/>
              </w:rPr>
              <w:t>$'000</w:t>
            </w:r>
          </w:p>
        </w:tc>
      </w:tr>
      <w:tr w:rsidR="00C55038" w:rsidRPr="00092B22" w14:paraId="2A39498C" w14:textId="77777777" w:rsidTr="00E607DA">
        <w:trPr>
          <w:trHeight w:val="20"/>
        </w:trPr>
        <w:tc>
          <w:tcPr>
            <w:tcW w:w="4990" w:type="dxa"/>
            <w:gridSpan w:val="2"/>
            <w:tcBorders>
              <w:top w:val="nil"/>
              <w:left w:val="nil"/>
              <w:bottom w:val="nil"/>
              <w:right w:val="nil"/>
            </w:tcBorders>
            <w:shd w:val="clear" w:color="auto" w:fill="auto"/>
            <w:noWrap/>
            <w:vAlign w:val="center"/>
            <w:hideMark/>
          </w:tcPr>
          <w:p w14:paraId="0A8B059D" w14:textId="77777777" w:rsidR="00C55038" w:rsidRPr="00092B22" w:rsidRDefault="00C55038" w:rsidP="00E607DA">
            <w:pP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Current assets</w:t>
            </w:r>
          </w:p>
        </w:tc>
        <w:tc>
          <w:tcPr>
            <w:tcW w:w="1021" w:type="dxa"/>
            <w:tcBorders>
              <w:top w:val="nil"/>
              <w:left w:val="nil"/>
              <w:bottom w:val="nil"/>
              <w:right w:val="nil"/>
            </w:tcBorders>
            <w:shd w:val="clear" w:color="auto" w:fill="auto"/>
            <w:noWrap/>
            <w:vAlign w:val="center"/>
            <w:hideMark/>
          </w:tcPr>
          <w:p w14:paraId="12630CB6" w14:textId="77777777" w:rsidR="00C55038" w:rsidRPr="00092B22" w:rsidRDefault="00C55038" w:rsidP="00E607DA">
            <w:pPr>
              <w:rPr>
                <w:rFonts w:ascii="Meta Pro" w:eastAsia="Times New Roman" w:hAnsi="Meta Pro"/>
                <w:b/>
                <w:bCs/>
                <w:color w:val="000000"/>
                <w:szCs w:val="18"/>
                <w:lang w:eastAsia="en-AU"/>
              </w:rPr>
            </w:pPr>
          </w:p>
        </w:tc>
        <w:tc>
          <w:tcPr>
            <w:tcW w:w="215" w:type="dxa"/>
            <w:tcBorders>
              <w:top w:val="nil"/>
              <w:left w:val="nil"/>
              <w:bottom w:val="nil"/>
              <w:right w:val="nil"/>
            </w:tcBorders>
            <w:shd w:val="clear" w:color="auto" w:fill="auto"/>
            <w:noWrap/>
            <w:vAlign w:val="center"/>
            <w:hideMark/>
          </w:tcPr>
          <w:p w14:paraId="7CEB7030" w14:textId="77777777" w:rsidR="00C55038" w:rsidRPr="00092B22" w:rsidRDefault="00C55038"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6F3BEBFA" w14:textId="77777777" w:rsidR="00C55038" w:rsidRPr="00092B22" w:rsidRDefault="00C55038" w:rsidP="00E607DA">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68D8D07A" w14:textId="77777777" w:rsidR="00C55038" w:rsidRPr="00092B22" w:rsidRDefault="00C55038" w:rsidP="00E607DA">
            <w:pP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60C2BF7F" w14:textId="77777777" w:rsidR="00C55038" w:rsidRPr="00092B22" w:rsidRDefault="00C55038" w:rsidP="00E607DA">
            <w:pPr>
              <w:rPr>
                <w:rFonts w:ascii="Meta Pro" w:eastAsia="Times New Roman" w:hAnsi="Meta Pro" w:cs="Times New Roman"/>
                <w:sz w:val="20"/>
                <w:szCs w:val="20"/>
                <w:lang w:eastAsia="en-AU"/>
              </w:rPr>
            </w:pPr>
          </w:p>
        </w:tc>
      </w:tr>
      <w:tr w:rsidR="00C55038" w:rsidRPr="00092B22" w14:paraId="6E1B5D21" w14:textId="77777777" w:rsidTr="00E607DA">
        <w:trPr>
          <w:trHeight w:val="20"/>
        </w:trPr>
        <w:tc>
          <w:tcPr>
            <w:tcW w:w="215" w:type="dxa"/>
            <w:tcBorders>
              <w:top w:val="nil"/>
              <w:left w:val="nil"/>
              <w:bottom w:val="nil"/>
              <w:right w:val="nil"/>
            </w:tcBorders>
            <w:shd w:val="clear" w:color="auto" w:fill="auto"/>
            <w:noWrap/>
            <w:vAlign w:val="center"/>
            <w:hideMark/>
          </w:tcPr>
          <w:p w14:paraId="72C7549A" w14:textId="77777777" w:rsidR="00C55038" w:rsidRPr="00092B22" w:rsidRDefault="00C55038" w:rsidP="00E607DA">
            <w:pPr>
              <w:rPr>
                <w:rFonts w:ascii="Meta Pro" w:eastAsia="Times New Roman" w:hAnsi="Meta Pro" w:cs="Times New Roman"/>
                <w:sz w:val="20"/>
                <w:szCs w:val="20"/>
                <w:lang w:eastAsia="en-AU"/>
              </w:rPr>
            </w:pPr>
          </w:p>
        </w:tc>
        <w:tc>
          <w:tcPr>
            <w:tcW w:w="4990" w:type="dxa"/>
            <w:tcBorders>
              <w:top w:val="nil"/>
              <w:left w:val="nil"/>
              <w:bottom w:val="nil"/>
              <w:right w:val="nil"/>
            </w:tcBorders>
            <w:shd w:val="clear" w:color="auto" w:fill="auto"/>
            <w:noWrap/>
            <w:vAlign w:val="center"/>
            <w:hideMark/>
          </w:tcPr>
          <w:p w14:paraId="6405827E" w14:textId="77777777" w:rsidR="00C55038" w:rsidRPr="00092B22" w:rsidRDefault="00C55038"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Cash</w:t>
            </w:r>
          </w:p>
        </w:tc>
        <w:tc>
          <w:tcPr>
            <w:tcW w:w="1021" w:type="dxa"/>
            <w:tcBorders>
              <w:top w:val="nil"/>
              <w:left w:val="nil"/>
              <w:bottom w:val="nil"/>
              <w:right w:val="nil"/>
            </w:tcBorders>
            <w:shd w:val="clear" w:color="auto" w:fill="auto"/>
            <w:noWrap/>
            <w:vAlign w:val="center"/>
            <w:hideMark/>
          </w:tcPr>
          <w:p w14:paraId="426C0100" w14:textId="77777777" w:rsidR="00C55038" w:rsidRPr="00092B22" w:rsidRDefault="00C55038" w:rsidP="00E607DA">
            <w:pPr>
              <w:rPr>
                <w:rFonts w:ascii="Meta Pro" w:eastAsia="Times New Roman" w:hAnsi="Meta Pro"/>
                <w:color w:val="000000"/>
                <w:szCs w:val="18"/>
                <w:lang w:eastAsia="en-AU"/>
              </w:rPr>
            </w:pPr>
          </w:p>
        </w:tc>
        <w:tc>
          <w:tcPr>
            <w:tcW w:w="215" w:type="dxa"/>
            <w:tcBorders>
              <w:top w:val="nil"/>
              <w:left w:val="nil"/>
              <w:bottom w:val="nil"/>
              <w:right w:val="nil"/>
            </w:tcBorders>
            <w:shd w:val="clear" w:color="auto" w:fill="auto"/>
            <w:noWrap/>
            <w:vAlign w:val="center"/>
            <w:hideMark/>
          </w:tcPr>
          <w:p w14:paraId="446F460D" w14:textId="77777777" w:rsidR="00C55038" w:rsidRPr="00092B22" w:rsidRDefault="00C55038"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7BDF2D85"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245,430 </w:t>
            </w:r>
          </w:p>
        </w:tc>
        <w:tc>
          <w:tcPr>
            <w:tcW w:w="216" w:type="dxa"/>
            <w:tcBorders>
              <w:top w:val="nil"/>
              <w:left w:val="nil"/>
              <w:bottom w:val="nil"/>
              <w:right w:val="nil"/>
            </w:tcBorders>
            <w:shd w:val="clear" w:color="auto" w:fill="auto"/>
            <w:noWrap/>
            <w:vAlign w:val="center"/>
            <w:hideMark/>
          </w:tcPr>
          <w:p w14:paraId="3BE24E7D"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73E9DEF5"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344,348 </w:t>
            </w:r>
          </w:p>
        </w:tc>
      </w:tr>
      <w:tr w:rsidR="00C55038" w:rsidRPr="00092B22" w14:paraId="0F2C2EE8" w14:textId="77777777" w:rsidTr="00E607DA">
        <w:trPr>
          <w:trHeight w:val="20"/>
        </w:trPr>
        <w:tc>
          <w:tcPr>
            <w:tcW w:w="215" w:type="dxa"/>
            <w:tcBorders>
              <w:top w:val="nil"/>
              <w:left w:val="nil"/>
              <w:bottom w:val="nil"/>
              <w:right w:val="nil"/>
            </w:tcBorders>
            <w:shd w:val="clear" w:color="auto" w:fill="auto"/>
            <w:noWrap/>
            <w:vAlign w:val="center"/>
            <w:hideMark/>
          </w:tcPr>
          <w:p w14:paraId="2AD0AC35" w14:textId="77777777" w:rsidR="00C55038" w:rsidRPr="00092B22" w:rsidRDefault="00C55038" w:rsidP="00E607DA">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226B326A" w14:textId="77777777" w:rsidR="00C55038" w:rsidRPr="00092B22" w:rsidRDefault="00C55038"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Receivables</w:t>
            </w:r>
          </w:p>
        </w:tc>
        <w:tc>
          <w:tcPr>
            <w:tcW w:w="1021" w:type="dxa"/>
            <w:tcBorders>
              <w:top w:val="nil"/>
              <w:left w:val="nil"/>
              <w:bottom w:val="nil"/>
              <w:right w:val="nil"/>
            </w:tcBorders>
            <w:shd w:val="clear" w:color="auto" w:fill="auto"/>
            <w:noWrap/>
            <w:vAlign w:val="center"/>
            <w:hideMark/>
          </w:tcPr>
          <w:p w14:paraId="0579D917"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12</w:t>
            </w:r>
          </w:p>
        </w:tc>
        <w:tc>
          <w:tcPr>
            <w:tcW w:w="215" w:type="dxa"/>
            <w:tcBorders>
              <w:top w:val="nil"/>
              <w:left w:val="nil"/>
              <w:bottom w:val="nil"/>
              <w:right w:val="nil"/>
            </w:tcBorders>
            <w:shd w:val="clear" w:color="auto" w:fill="auto"/>
            <w:noWrap/>
            <w:vAlign w:val="center"/>
            <w:hideMark/>
          </w:tcPr>
          <w:p w14:paraId="2E89ECE5" w14:textId="77777777" w:rsidR="00C55038" w:rsidRPr="00092B22" w:rsidRDefault="00C55038" w:rsidP="00E607DA">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7C51E71A"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226,713 </w:t>
            </w:r>
          </w:p>
        </w:tc>
        <w:tc>
          <w:tcPr>
            <w:tcW w:w="216" w:type="dxa"/>
            <w:tcBorders>
              <w:top w:val="nil"/>
              <w:left w:val="nil"/>
              <w:bottom w:val="nil"/>
              <w:right w:val="nil"/>
            </w:tcBorders>
            <w:shd w:val="clear" w:color="auto" w:fill="auto"/>
            <w:noWrap/>
            <w:vAlign w:val="center"/>
            <w:hideMark/>
          </w:tcPr>
          <w:p w14:paraId="6D1BCF72"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5EF2441E"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222,840 </w:t>
            </w:r>
          </w:p>
        </w:tc>
      </w:tr>
      <w:tr w:rsidR="00C55038" w:rsidRPr="00092B22" w14:paraId="59AC9319" w14:textId="77777777" w:rsidTr="00E607DA">
        <w:trPr>
          <w:trHeight w:val="20"/>
        </w:trPr>
        <w:tc>
          <w:tcPr>
            <w:tcW w:w="215" w:type="dxa"/>
            <w:tcBorders>
              <w:top w:val="nil"/>
              <w:left w:val="nil"/>
              <w:bottom w:val="nil"/>
              <w:right w:val="nil"/>
            </w:tcBorders>
            <w:shd w:val="clear" w:color="auto" w:fill="auto"/>
            <w:noWrap/>
            <w:vAlign w:val="center"/>
            <w:hideMark/>
          </w:tcPr>
          <w:p w14:paraId="2D10455C" w14:textId="77777777" w:rsidR="00C55038" w:rsidRPr="00092B22" w:rsidRDefault="00C55038" w:rsidP="00E607DA">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6441B469" w14:textId="77777777" w:rsidR="00C55038" w:rsidRPr="00092B22" w:rsidRDefault="00C55038"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Inventories</w:t>
            </w:r>
          </w:p>
        </w:tc>
        <w:tc>
          <w:tcPr>
            <w:tcW w:w="1021" w:type="dxa"/>
            <w:tcBorders>
              <w:top w:val="nil"/>
              <w:left w:val="nil"/>
              <w:bottom w:val="nil"/>
              <w:right w:val="nil"/>
            </w:tcBorders>
            <w:shd w:val="clear" w:color="auto" w:fill="auto"/>
            <w:noWrap/>
            <w:vAlign w:val="center"/>
            <w:hideMark/>
          </w:tcPr>
          <w:p w14:paraId="47B2FFC1" w14:textId="77777777" w:rsidR="00C55038" w:rsidRPr="00092B22" w:rsidRDefault="00C55038" w:rsidP="00E607DA">
            <w:pPr>
              <w:rPr>
                <w:rFonts w:ascii="Meta Pro" w:eastAsia="Times New Roman" w:hAnsi="Meta Pro"/>
                <w:color w:val="000000"/>
                <w:szCs w:val="18"/>
                <w:lang w:eastAsia="en-AU"/>
              </w:rPr>
            </w:pPr>
          </w:p>
        </w:tc>
        <w:tc>
          <w:tcPr>
            <w:tcW w:w="215" w:type="dxa"/>
            <w:tcBorders>
              <w:top w:val="nil"/>
              <w:left w:val="nil"/>
              <w:bottom w:val="nil"/>
              <w:right w:val="nil"/>
            </w:tcBorders>
            <w:shd w:val="clear" w:color="auto" w:fill="auto"/>
            <w:noWrap/>
            <w:vAlign w:val="center"/>
            <w:hideMark/>
          </w:tcPr>
          <w:p w14:paraId="390A6043" w14:textId="77777777" w:rsidR="00C55038" w:rsidRPr="00092B22" w:rsidRDefault="00C55038"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5E1BB950"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17,936 </w:t>
            </w:r>
          </w:p>
        </w:tc>
        <w:tc>
          <w:tcPr>
            <w:tcW w:w="216" w:type="dxa"/>
            <w:tcBorders>
              <w:top w:val="nil"/>
              <w:left w:val="nil"/>
              <w:bottom w:val="nil"/>
              <w:right w:val="nil"/>
            </w:tcBorders>
            <w:shd w:val="clear" w:color="auto" w:fill="auto"/>
            <w:noWrap/>
            <w:vAlign w:val="center"/>
            <w:hideMark/>
          </w:tcPr>
          <w:p w14:paraId="68A11D22"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07E790D9"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16,010 </w:t>
            </w:r>
          </w:p>
        </w:tc>
      </w:tr>
      <w:tr w:rsidR="00C55038" w:rsidRPr="00092B22" w14:paraId="0F476900" w14:textId="77777777" w:rsidTr="00E607DA">
        <w:trPr>
          <w:trHeight w:val="20"/>
        </w:trPr>
        <w:tc>
          <w:tcPr>
            <w:tcW w:w="215" w:type="dxa"/>
            <w:tcBorders>
              <w:top w:val="nil"/>
              <w:left w:val="nil"/>
              <w:bottom w:val="nil"/>
              <w:right w:val="nil"/>
            </w:tcBorders>
            <w:shd w:val="clear" w:color="auto" w:fill="auto"/>
            <w:noWrap/>
            <w:vAlign w:val="center"/>
            <w:hideMark/>
          </w:tcPr>
          <w:p w14:paraId="4C93FDBF" w14:textId="77777777" w:rsidR="00C55038" w:rsidRPr="00092B22" w:rsidRDefault="00C55038" w:rsidP="00E607DA">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647A7628" w14:textId="77777777" w:rsidR="00C55038" w:rsidRPr="00092B22" w:rsidRDefault="00C55038"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Prepayments</w:t>
            </w:r>
          </w:p>
        </w:tc>
        <w:tc>
          <w:tcPr>
            <w:tcW w:w="1021" w:type="dxa"/>
            <w:tcBorders>
              <w:top w:val="nil"/>
              <w:left w:val="nil"/>
              <w:bottom w:val="nil"/>
              <w:right w:val="nil"/>
            </w:tcBorders>
            <w:shd w:val="clear" w:color="auto" w:fill="auto"/>
            <w:noWrap/>
            <w:vAlign w:val="center"/>
            <w:hideMark/>
          </w:tcPr>
          <w:p w14:paraId="4913BA57"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13</w:t>
            </w:r>
          </w:p>
        </w:tc>
        <w:tc>
          <w:tcPr>
            <w:tcW w:w="215" w:type="dxa"/>
            <w:tcBorders>
              <w:top w:val="nil"/>
              <w:left w:val="nil"/>
              <w:bottom w:val="nil"/>
              <w:right w:val="nil"/>
            </w:tcBorders>
            <w:shd w:val="clear" w:color="auto" w:fill="auto"/>
            <w:noWrap/>
            <w:vAlign w:val="center"/>
            <w:hideMark/>
          </w:tcPr>
          <w:p w14:paraId="14E08555" w14:textId="77777777" w:rsidR="00C55038" w:rsidRPr="00092B22" w:rsidRDefault="00C55038" w:rsidP="00E607DA">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0467CCAC"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93,791 </w:t>
            </w:r>
          </w:p>
        </w:tc>
        <w:tc>
          <w:tcPr>
            <w:tcW w:w="216" w:type="dxa"/>
            <w:tcBorders>
              <w:top w:val="nil"/>
              <w:left w:val="nil"/>
              <w:bottom w:val="nil"/>
              <w:right w:val="nil"/>
            </w:tcBorders>
            <w:shd w:val="clear" w:color="auto" w:fill="auto"/>
            <w:noWrap/>
            <w:vAlign w:val="center"/>
            <w:hideMark/>
          </w:tcPr>
          <w:p w14:paraId="1D239E34"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7A7901CF"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129,551 </w:t>
            </w:r>
          </w:p>
        </w:tc>
      </w:tr>
      <w:tr w:rsidR="00C55038" w:rsidRPr="00092B22" w14:paraId="1EC43A69" w14:textId="77777777" w:rsidTr="00E607DA">
        <w:trPr>
          <w:trHeight w:val="20"/>
        </w:trPr>
        <w:tc>
          <w:tcPr>
            <w:tcW w:w="215" w:type="dxa"/>
            <w:tcBorders>
              <w:top w:val="nil"/>
              <w:left w:val="nil"/>
              <w:bottom w:val="nil"/>
              <w:right w:val="nil"/>
            </w:tcBorders>
            <w:shd w:val="clear" w:color="auto" w:fill="auto"/>
            <w:noWrap/>
            <w:vAlign w:val="center"/>
            <w:hideMark/>
          </w:tcPr>
          <w:p w14:paraId="4193CFC9" w14:textId="77777777" w:rsidR="00C55038" w:rsidRPr="00092B22" w:rsidRDefault="00C55038" w:rsidP="00E607DA">
            <w:pPr>
              <w:jc w:val="right"/>
              <w:rPr>
                <w:rFonts w:ascii="Meta Pro" w:eastAsia="Times New Roman" w:hAnsi="Meta Pro"/>
                <w:color w:val="000000"/>
                <w:szCs w:val="18"/>
                <w:lang w:eastAsia="en-AU"/>
              </w:rPr>
            </w:pPr>
          </w:p>
        </w:tc>
        <w:tc>
          <w:tcPr>
            <w:tcW w:w="4990" w:type="dxa"/>
            <w:tcBorders>
              <w:top w:val="nil"/>
              <w:left w:val="nil"/>
              <w:bottom w:val="single" w:sz="4" w:space="0" w:color="auto"/>
              <w:right w:val="nil"/>
            </w:tcBorders>
            <w:shd w:val="clear" w:color="auto" w:fill="auto"/>
            <w:noWrap/>
            <w:vAlign w:val="center"/>
            <w:hideMark/>
          </w:tcPr>
          <w:p w14:paraId="5E9720FE" w14:textId="77777777" w:rsidR="00C55038" w:rsidRPr="00092B22" w:rsidRDefault="00C55038"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Non-current assets classified as held for sale</w:t>
            </w:r>
          </w:p>
        </w:tc>
        <w:tc>
          <w:tcPr>
            <w:tcW w:w="1021" w:type="dxa"/>
            <w:tcBorders>
              <w:top w:val="nil"/>
              <w:left w:val="nil"/>
              <w:bottom w:val="single" w:sz="4" w:space="0" w:color="auto"/>
              <w:right w:val="nil"/>
            </w:tcBorders>
            <w:shd w:val="clear" w:color="auto" w:fill="auto"/>
            <w:noWrap/>
            <w:vAlign w:val="center"/>
            <w:hideMark/>
          </w:tcPr>
          <w:p w14:paraId="66D99B58"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15" w:type="dxa"/>
            <w:tcBorders>
              <w:top w:val="nil"/>
              <w:left w:val="nil"/>
              <w:bottom w:val="nil"/>
              <w:right w:val="nil"/>
            </w:tcBorders>
            <w:shd w:val="clear" w:color="auto" w:fill="auto"/>
            <w:noWrap/>
            <w:vAlign w:val="center"/>
            <w:hideMark/>
          </w:tcPr>
          <w:p w14:paraId="45296E76" w14:textId="77777777" w:rsidR="00C55038" w:rsidRPr="00092B22" w:rsidRDefault="00C55038" w:rsidP="00E607DA">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617F897F"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2,824 </w:t>
            </w:r>
          </w:p>
        </w:tc>
        <w:tc>
          <w:tcPr>
            <w:tcW w:w="216" w:type="dxa"/>
            <w:tcBorders>
              <w:top w:val="nil"/>
              <w:left w:val="nil"/>
              <w:bottom w:val="nil"/>
              <w:right w:val="nil"/>
            </w:tcBorders>
            <w:shd w:val="clear" w:color="auto" w:fill="auto"/>
            <w:noWrap/>
            <w:vAlign w:val="center"/>
            <w:hideMark/>
          </w:tcPr>
          <w:p w14:paraId="74CAA4CD"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1D213A3F"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4,515 </w:t>
            </w:r>
          </w:p>
        </w:tc>
      </w:tr>
      <w:tr w:rsidR="00C55038" w:rsidRPr="00092B22" w14:paraId="2F7E94BC" w14:textId="77777777" w:rsidTr="00E607DA">
        <w:trPr>
          <w:trHeight w:val="20"/>
        </w:trPr>
        <w:tc>
          <w:tcPr>
            <w:tcW w:w="215" w:type="dxa"/>
            <w:tcBorders>
              <w:top w:val="single" w:sz="4" w:space="0" w:color="auto"/>
              <w:left w:val="nil"/>
              <w:bottom w:val="nil"/>
              <w:right w:val="nil"/>
            </w:tcBorders>
            <w:shd w:val="clear" w:color="auto" w:fill="auto"/>
            <w:noWrap/>
            <w:vAlign w:val="center"/>
            <w:hideMark/>
          </w:tcPr>
          <w:p w14:paraId="69019879" w14:textId="77777777" w:rsidR="00C55038" w:rsidRPr="00092B22" w:rsidRDefault="00C55038"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4990" w:type="dxa"/>
            <w:tcBorders>
              <w:top w:val="nil"/>
              <w:left w:val="nil"/>
              <w:bottom w:val="nil"/>
              <w:right w:val="nil"/>
            </w:tcBorders>
            <w:shd w:val="clear" w:color="auto" w:fill="auto"/>
            <w:noWrap/>
            <w:vAlign w:val="center"/>
            <w:hideMark/>
          </w:tcPr>
          <w:p w14:paraId="7D433AFC" w14:textId="77777777" w:rsidR="00C55038" w:rsidRPr="00092B22" w:rsidRDefault="00C55038" w:rsidP="00E607DA">
            <w:pP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Total current assets</w:t>
            </w:r>
          </w:p>
        </w:tc>
        <w:tc>
          <w:tcPr>
            <w:tcW w:w="1021" w:type="dxa"/>
            <w:tcBorders>
              <w:top w:val="single" w:sz="4" w:space="0" w:color="auto"/>
              <w:left w:val="nil"/>
              <w:bottom w:val="nil"/>
              <w:right w:val="nil"/>
            </w:tcBorders>
            <w:shd w:val="clear" w:color="auto" w:fill="auto"/>
            <w:noWrap/>
            <w:vAlign w:val="center"/>
            <w:hideMark/>
          </w:tcPr>
          <w:p w14:paraId="173ADE5E"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15" w:type="dxa"/>
            <w:tcBorders>
              <w:top w:val="single" w:sz="4" w:space="0" w:color="auto"/>
              <w:left w:val="nil"/>
              <w:bottom w:val="nil"/>
              <w:right w:val="nil"/>
            </w:tcBorders>
            <w:shd w:val="clear" w:color="auto" w:fill="auto"/>
            <w:noWrap/>
            <w:vAlign w:val="center"/>
            <w:hideMark/>
          </w:tcPr>
          <w:p w14:paraId="487189B3"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1514" w:type="dxa"/>
            <w:tcBorders>
              <w:top w:val="single" w:sz="4" w:space="0" w:color="auto"/>
              <w:left w:val="nil"/>
              <w:bottom w:val="nil"/>
              <w:right w:val="nil"/>
            </w:tcBorders>
            <w:shd w:val="clear" w:color="000000" w:fill="C9E3B4"/>
            <w:noWrap/>
            <w:vAlign w:val="center"/>
            <w:hideMark/>
          </w:tcPr>
          <w:p w14:paraId="46BC71CB" w14:textId="77777777" w:rsidR="00C55038" w:rsidRPr="00092B22" w:rsidRDefault="00C55038"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xml:space="preserve">                586,694 </w:t>
            </w:r>
          </w:p>
        </w:tc>
        <w:tc>
          <w:tcPr>
            <w:tcW w:w="216" w:type="dxa"/>
            <w:tcBorders>
              <w:top w:val="single" w:sz="4" w:space="0" w:color="auto"/>
              <w:left w:val="nil"/>
              <w:bottom w:val="nil"/>
              <w:right w:val="nil"/>
            </w:tcBorders>
            <w:shd w:val="clear" w:color="auto" w:fill="auto"/>
            <w:noWrap/>
            <w:vAlign w:val="center"/>
            <w:hideMark/>
          </w:tcPr>
          <w:p w14:paraId="46664373" w14:textId="77777777" w:rsidR="00C55038" w:rsidRPr="00092B22" w:rsidRDefault="00C55038"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w:t>
            </w:r>
          </w:p>
        </w:tc>
        <w:tc>
          <w:tcPr>
            <w:tcW w:w="1514" w:type="dxa"/>
            <w:tcBorders>
              <w:top w:val="single" w:sz="4" w:space="0" w:color="auto"/>
              <w:left w:val="nil"/>
              <w:bottom w:val="nil"/>
              <w:right w:val="nil"/>
            </w:tcBorders>
            <w:shd w:val="clear" w:color="auto" w:fill="auto"/>
            <w:noWrap/>
            <w:vAlign w:val="center"/>
            <w:hideMark/>
          </w:tcPr>
          <w:p w14:paraId="5C367049" w14:textId="77777777" w:rsidR="00C55038" w:rsidRPr="00092B22" w:rsidRDefault="00C55038"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xml:space="preserve">717,264 </w:t>
            </w:r>
          </w:p>
        </w:tc>
      </w:tr>
      <w:tr w:rsidR="00C55038" w:rsidRPr="00092B22" w14:paraId="33431D55" w14:textId="77777777" w:rsidTr="00E607DA">
        <w:trPr>
          <w:trHeight w:val="20"/>
        </w:trPr>
        <w:tc>
          <w:tcPr>
            <w:tcW w:w="215" w:type="dxa"/>
            <w:tcBorders>
              <w:top w:val="nil"/>
              <w:left w:val="nil"/>
              <w:bottom w:val="nil"/>
              <w:right w:val="nil"/>
            </w:tcBorders>
            <w:shd w:val="clear" w:color="auto" w:fill="auto"/>
            <w:noWrap/>
            <w:vAlign w:val="center"/>
            <w:hideMark/>
          </w:tcPr>
          <w:p w14:paraId="261CBF93" w14:textId="77777777" w:rsidR="00C55038" w:rsidRPr="00092B22" w:rsidRDefault="00C55038" w:rsidP="00E607DA">
            <w:pPr>
              <w:jc w:val="right"/>
              <w:rPr>
                <w:rFonts w:ascii="Meta Pro" w:eastAsia="Times New Roman" w:hAnsi="Meta Pro"/>
                <w:b/>
                <w:bCs/>
                <w:color w:val="000000"/>
                <w:szCs w:val="18"/>
                <w:lang w:eastAsia="en-AU"/>
              </w:rPr>
            </w:pPr>
          </w:p>
        </w:tc>
        <w:tc>
          <w:tcPr>
            <w:tcW w:w="4990" w:type="dxa"/>
            <w:tcBorders>
              <w:top w:val="nil"/>
              <w:left w:val="nil"/>
              <w:bottom w:val="nil"/>
              <w:right w:val="nil"/>
            </w:tcBorders>
            <w:shd w:val="clear" w:color="auto" w:fill="auto"/>
            <w:noWrap/>
            <w:vAlign w:val="center"/>
            <w:hideMark/>
          </w:tcPr>
          <w:p w14:paraId="37EE249F" w14:textId="77777777" w:rsidR="00C55038" w:rsidRPr="00092B22" w:rsidRDefault="00C55038" w:rsidP="00E607DA">
            <w:pPr>
              <w:rPr>
                <w:rFonts w:ascii="Meta Pro" w:eastAsia="Times New Roman" w:hAnsi="Meta Pro" w:cs="Times New Roman"/>
                <w:sz w:val="20"/>
                <w:szCs w:val="20"/>
                <w:lang w:eastAsia="en-AU"/>
              </w:rPr>
            </w:pPr>
          </w:p>
        </w:tc>
        <w:tc>
          <w:tcPr>
            <w:tcW w:w="1021" w:type="dxa"/>
            <w:tcBorders>
              <w:top w:val="nil"/>
              <w:left w:val="nil"/>
              <w:bottom w:val="nil"/>
              <w:right w:val="nil"/>
            </w:tcBorders>
            <w:shd w:val="clear" w:color="auto" w:fill="auto"/>
            <w:noWrap/>
            <w:vAlign w:val="center"/>
            <w:hideMark/>
          </w:tcPr>
          <w:p w14:paraId="45FFC6C5" w14:textId="77777777" w:rsidR="00C55038" w:rsidRPr="00092B22" w:rsidRDefault="00C55038" w:rsidP="00E607DA">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007959B3" w14:textId="77777777" w:rsidR="00C55038" w:rsidRPr="00092B22" w:rsidRDefault="00C55038"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4A72CB3E"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30EBF19A"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66A06B59" w14:textId="77777777" w:rsidR="00C55038" w:rsidRPr="00092B22" w:rsidRDefault="00C55038" w:rsidP="00E607DA">
            <w:pPr>
              <w:rPr>
                <w:rFonts w:ascii="Meta Pro" w:eastAsia="Times New Roman" w:hAnsi="Meta Pro" w:cs="Times New Roman"/>
                <w:sz w:val="20"/>
                <w:szCs w:val="20"/>
                <w:lang w:eastAsia="en-AU"/>
              </w:rPr>
            </w:pPr>
          </w:p>
        </w:tc>
      </w:tr>
      <w:tr w:rsidR="00C55038" w:rsidRPr="00092B22" w14:paraId="4CB48A5A" w14:textId="77777777" w:rsidTr="00E607DA">
        <w:trPr>
          <w:trHeight w:val="20"/>
        </w:trPr>
        <w:tc>
          <w:tcPr>
            <w:tcW w:w="4990" w:type="dxa"/>
            <w:gridSpan w:val="2"/>
            <w:tcBorders>
              <w:top w:val="nil"/>
              <w:left w:val="nil"/>
              <w:bottom w:val="nil"/>
              <w:right w:val="nil"/>
            </w:tcBorders>
            <w:shd w:val="clear" w:color="auto" w:fill="auto"/>
            <w:noWrap/>
            <w:vAlign w:val="center"/>
            <w:hideMark/>
          </w:tcPr>
          <w:p w14:paraId="30C92437" w14:textId="77777777" w:rsidR="00C55038" w:rsidRPr="00092B22" w:rsidRDefault="00C55038" w:rsidP="00E607DA">
            <w:pP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Non-current assets</w:t>
            </w:r>
          </w:p>
        </w:tc>
        <w:tc>
          <w:tcPr>
            <w:tcW w:w="1021" w:type="dxa"/>
            <w:tcBorders>
              <w:top w:val="nil"/>
              <w:left w:val="nil"/>
              <w:bottom w:val="nil"/>
              <w:right w:val="nil"/>
            </w:tcBorders>
            <w:shd w:val="clear" w:color="auto" w:fill="auto"/>
            <w:noWrap/>
            <w:vAlign w:val="center"/>
            <w:hideMark/>
          </w:tcPr>
          <w:p w14:paraId="2F7F1FC2" w14:textId="77777777" w:rsidR="00C55038" w:rsidRPr="00092B22" w:rsidRDefault="00C55038" w:rsidP="00E607DA">
            <w:pPr>
              <w:rPr>
                <w:rFonts w:ascii="Meta Pro" w:eastAsia="Times New Roman" w:hAnsi="Meta Pro"/>
                <w:b/>
                <w:bCs/>
                <w:color w:val="000000"/>
                <w:szCs w:val="18"/>
                <w:lang w:eastAsia="en-AU"/>
              </w:rPr>
            </w:pPr>
          </w:p>
        </w:tc>
        <w:tc>
          <w:tcPr>
            <w:tcW w:w="215" w:type="dxa"/>
            <w:tcBorders>
              <w:top w:val="nil"/>
              <w:left w:val="nil"/>
              <w:bottom w:val="nil"/>
              <w:right w:val="nil"/>
            </w:tcBorders>
            <w:shd w:val="clear" w:color="auto" w:fill="auto"/>
            <w:noWrap/>
            <w:vAlign w:val="center"/>
            <w:hideMark/>
          </w:tcPr>
          <w:p w14:paraId="3AF21DC8" w14:textId="77777777" w:rsidR="00C55038" w:rsidRPr="00092B22" w:rsidRDefault="00C55038"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756D665B"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00FCB60F"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79E120CE" w14:textId="77777777" w:rsidR="00C55038" w:rsidRPr="00092B22" w:rsidRDefault="00C55038" w:rsidP="00E607DA">
            <w:pPr>
              <w:rPr>
                <w:rFonts w:ascii="Meta Pro" w:eastAsia="Times New Roman" w:hAnsi="Meta Pro" w:cs="Times New Roman"/>
                <w:sz w:val="20"/>
                <w:szCs w:val="20"/>
                <w:lang w:eastAsia="en-AU"/>
              </w:rPr>
            </w:pPr>
          </w:p>
        </w:tc>
      </w:tr>
      <w:tr w:rsidR="00C55038" w:rsidRPr="00092B22" w14:paraId="5D72B6F5" w14:textId="77777777" w:rsidTr="00E607DA">
        <w:trPr>
          <w:trHeight w:val="20"/>
        </w:trPr>
        <w:tc>
          <w:tcPr>
            <w:tcW w:w="215" w:type="dxa"/>
            <w:tcBorders>
              <w:top w:val="nil"/>
              <w:left w:val="nil"/>
              <w:bottom w:val="nil"/>
              <w:right w:val="nil"/>
            </w:tcBorders>
            <w:shd w:val="clear" w:color="auto" w:fill="auto"/>
            <w:noWrap/>
            <w:vAlign w:val="center"/>
            <w:hideMark/>
          </w:tcPr>
          <w:p w14:paraId="452C8C51" w14:textId="77777777" w:rsidR="00C55038" w:rsidRPr="00092B22" w:rsidRDefault="00C55038" w:rsidP="00E607DA">
            <w:pPr>
              <w:jc w:val="right"/>
              <w:rPr>
                <w:rFonts w:ascii="Meta Pro" w:eastAsia="Times New Roman" w:hAnsi="Meta Pro" w:cs="Times New Roman"/>
                <w:sz w:val="20"/>
                <w:szCs w:val="20"/>
                <w:lang w:eastAsia="en-AU"/>
              </w:rPr>
            </w:pPr>
          </w:p>
        </w:tc>
        <w:tc>
          <w:tcPr>
            <w:tcW w:w="4990" w:type="dxa"/>
            <w:tcBorders>
              <w:top w:val="nil"/>
              <w:left w:val="nil"/>
              <w:bottom w:val="nil"/>
              <w:right w:val="nil"/>
            </w:tcBorders>
            <w:shd w:val="clear" w:color="auto" w:fill="auto"/>
            <w:noWrap/>
            <w:vAlign w:val="center"/>
            <w:hideMark/>
          </w:tcPr>
          <w:p w14:paraId="590FCF4C" w14:textId="77777777" w:rsidR="00C55038" w:rsidRPr="00092B22" w:rsidRDefault="00C55038"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Receivables</w:t>
            </w:r>
          </w:p>
        </w:tc>
        <w:tc>
          <w:tcPr>
            <w:tcW w:w="1021" w:type="dxa"/>
            <w:tcBorders>
              <w:top w:val="nil"/>
              <w:left w:val="nil"/>
              <w:bottom w:val="nil"/>
              <w:right w:val="nil"/>
            </w:tcBorders>
            <w:shd w:val="clear" w:color="auto" w:fill="auto"/>
            <w:noWrap/>
            <w:vAlign w:val="center"/>
            <w:hideMark/>
          </w:tcPr>
          <w:p w14:paraId="4E908893"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12</w:t>
            </w:r>
          </w:p>
        </w:tc>
        <w:tc>
          <w:tcPr>
            <w:tcW w:w="215" w:type="dxa"/>
            <w:tcBorders>
              <w:top w:val="nil"/>
              <w:left w:val="nil"/>
              <w:bottom w:val="nil"/>
              <w:right w:val="nil"/>
            </w:tcBorders>
            <w:shd w:val="clear" w:color="auto" w:fill="auto"/>
            <w:noWrap/>
            <w:vAlign w:val="center"/>
            <w:hideMark/>
          </w:tcPr>
          <w:p w14:paraId="19D453CF" w14:textId="77777777" w:rsidR="00C55038" w:rsidRPr="00092B22" w:rsidRDefault="00C55038" w:rsidP="00E607DA">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019FEEF7"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3,274 </w:t>
            </w:r>
          </w:p>
        </w:tc>
        <w:tc>
          <w:tcPr>
            <w:tcW w:w="216" w:type="dxa"/>
            <w:tcBorders>
              <w:top w:val="nil"/>
              <w:left w:val="nil"/>
              <w:bottom w:val="nil"/>
              <w:right w:val="nil"/>
            </w:tcBorders>
            <w:shd w:val="clear" w:color="auto" w:fill="auto"/>
            <w:noWrap/>
            <w:vAlign w:val="center"/>
            <w:hideMark/>
          </w:tcPr>
          <w:p w14:paraId="6F9F2722"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47AD4667" w14:textId="77777777" w:rsidR="00C55038" w:rsidRPr="00092B22" w:rsidRDefault="00C55038"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3,229 </w:t>
            </w:r>
          </w:p>
        </w:tc>
      </w:tr>
      <w:tr w:rsidR="00C55038" w:rsidRPr="00092B22" w14:paraId="504E1DBD" w14:textId="77777777" w:rsidTr="00E607DA">
        <w:trPr>
          <w:trHeight w:val="20"/>
        </w:trPr>
        <w:tc>
          <w:tcPr>
            <w:tcW w:w="215" w:type="dxa"/>
            <w:tcBorders>
              <w:top w:val="nil"/>
              <w:left w:val="nil"/>
              <w:bottom w:val="nil"/>
              <w:right w:val="nil"/>
            </w:tcBorders>
            <w:shd w:val="clear" w:color="auto" w:fill="auto"/>
            <w:noWrap/>
            <w:vAlign w:val="center"/>
            <w:hideMark/>
          </w:tcPr>
          <w:p w14:paraId="14E1B12B" w14:textId="77777777" w:rsidR="00C55038" w:rsidRPr="00092B22" w:rsidRDefault="00C55038" w:rsidP="00E607DA">
            <w:pPr>
              <w:jc w:val="right"/>
              <w:rPr>
                <w:rFonts w:ascii="Meta Pro" w:eastAsia="Times New Roman" w:hAnsi="Meta Pro"/>
                <w:szCs w:val="18"/>
                <w:lang w:eastAsia="en-AU"/>
              </w:rPr>
            </w:pPr>
          </w:p>
        </w:tc>
        <w:tc>
          <w:tcPr>
            <w:tcW w:w="4990" w:type="dxa"/>
            <w:tcBorders>
              <w:top w:val="nil"/>
              <w:left w:val="nil"/>
              <w:bottom w:val="nil"/>
              <w:right w:val="nil"/>
            </w:tcBorders>
            <w:shd w:val="clear" w:color="auto" w:fill="auto"/>
            <w:noWrap/>
            <w:vAlign w:val="center"/>
            <w:hideMark/>
          </w:tcPr>
          <w:p w14:paraId="31568222" w14:textId="77777777" w:rsidR="00C55038" w:rsidRPr="00092B22" w:rsidRDefault="00C55038"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Prepayments</w:t>
            </w:r>
          </w:p>
        </w:tc>
        <w:tc>
          <w:tcPr>
            <w:tcW w:w="1021" w:type="dxa"/>
            <w:tcBorders>
              <w:top w:val="nil"/>
              <w:left w:val="nil"/>
              <w:bottom w:val="nil"/>
              <w:right w:val="nil"/>
            </w:tcBorders>
            <w:shd w:val="clear" w:color="auto" w:fill="auto"/>
            <w:noWrap/>
            <w:vAlign w:val="center"/>
            <w:hideMark/>
          </w:tcPr>
          <w:p w14:paraId="5ECB1F14"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13</w:t>
            </w:r>
          </w:p>
        </w:tc>
        <w:tc>
          <w:tcPr>
            <w:tcW w:w="215" w:type="dxa"/>
            <w:tcBorders>
              <w:top w:val="nil"/>
              <w:left w:val="nil"/>
              <w:bottom w:val="nil"/>
              <w:right w:val="nil"/>
            </w:tcBorders>
            <w:shd w:val="clear" w:color="auto" w:fill="auto"/>
            <w:noWrap/>
            <w:vAlign w:val="center"/>
            <w:hideMark/>
          </w:tcPr>
          <w:p w14:paraId="31741C1B" w14:textId="77777777" w:rsidR="00C55038" w:rsidRPr="00092B22" w:rsidRDefault="00C55038" w:rsidP="00E607DA">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4E67097B"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144,427 </w:t>
            </w:r>
          </w:p>
        </w:tc>
        <w:tc>
          <w:tcPr>
            <w:tcW w:w="216" w:type="dxa"/>
            <w:tcBorders>
              <w:top w:val="nil"/>
              <w:left w:val="nil"/>
              <w:bottom w:val="nil"/>
              <w:right w:val="nil"/>
            </w:tcBorders>
            <w:shd w:val="clear" w:color="auto" w:fill="auto"/>
            <w:noWrap/>
            <w:vAlign w:val="center"/>
            <w:hideMark/>
          </w:tcPr>
          <w:p w14:paraId="61E38D12"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71A7E020"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181,759 </w:t>
            </w:r>
          </w:p>
        </w:tc>
      </w:tr>
      <w:tr w:rsidR="00C55038" w:rsidRPr="00092B22" w14:paraId="3A5AF70E" w14:textId="77777777" w:rsidTr="00E607DA">
        <w:trPr>
          <w:trHeight w:val="20"/>
        </w:trPr>
        <w:tc>
          <w:tcPr>
            <w:tcW w:w="215" w:type="dxa"/>
            <w:tcBorders>
              <w:top w:val="nil"/>
              <w:left w:val="nil"/>
              <w:bottom w:val="nil"/>
              <w:right w:val="nil"/>
            </w:tcBorders>
            <w:shd w:val="clear" w:color="auto" w:fill="auto"/>
            <w:noWrap/>
            <w:vAlign w:val="center"/>
            <w:hideMark/>
          </w:tcPr>
          <w:p w14:paraId="5FD7CE13" w14:textId="77777777" w:rsidR="00C55038" w:rsidRPr="00092B22" w:rsidRDefault="00C55038" w:rsidP="00E607DA">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750996C0" w14:textId="77777777" w:rsidR="00C55038" w:rsidRPr="00092B22" w:rsidRDefault="00C55038"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Intangible assets</w:t>
            </w:r>
          </w:p>
        </w:tc>
        <w:tc>
          <w:tcPr>
            <w:tcW w:w="1021" w:type="dxa"/>
            <w:tcBorders>
              <w:top w:val="nil"/>
              <w:left w:val="nil"/>
              <w:bottom w:val="nil"/>
              <w:right w:val="nil"/>
            </w:tcBorders>
            <w:shd w:val="clear" w:color="auto" w:fill="auto"/>
            <w:noWrap/>
            <w:vAlign w:val="center"/>
            <w:hideMark/>
          </w:tcPr>
          <w:p w14:paraId="0BE93A84"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14</w:t>
            </w:r>
          </w:p>
        </w:tc>
        <w:tc>
          <w:tcPr>
            <w:tcW w:w="215" w:type="dxa"/>
            <w:tcBorders>
              <w:top w:val="nil"/>
              <w:left w:val="nil"/>
              <w:bottom w:val="nil"/>
              <w:right w:val="nil"/>
            </w:tcBorders>
            <w:shd w:val="clear" w:color="auto" w:fill="auto"/>
            <w:noWrap/>
            <w:vAlign w:val="center"/>
            <w:hideMark/>
          </w:tcPr>
          <w:p w14:paraId="0D7689B0" w14:textId="77777777" w:rsidR="00C55038" w:rsidRPr="00092B22" w:rsidRDefault="00C55038" w:rsidP="00E607DA">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178CCD1A"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90,176 </w:t>
            </w:r>
          </w:p>
        </w:tc>
        <w:tc>
          <w:tcPr>
            <w:tcW w:w="216" w:type="dxa"/>
            <w:tcBorders>
              <w:top w:val="nil"/>
              <w:left w:val="nil"/>
              <w:bottom w:val="nil"/>
              <w:right w:val="nil"/>
            </w:tcBorders>
            <w:shd w:val="clear" w:color="auto" w:fill="auto"/>
            <w:noWrap/>
            <w:vAlign w:val="center"/>
            <w:hideMark/>
          </w:tcPr>
          <w:p w14:paraId="0FA51FB6"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4CBE449C"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85,554 </w:t>
            </w:r>
          </w:p>
        </w:tc>
      </w:tr>
      <w:tr w:rsidR="00C55038" w:rsidRPr="00092B22" w14:paraId="7C62A1C3" w14:textId="77777777" w:rsidTr="00E607DA">
        <w:trPr>
          <w:trHeight w:val="20"/>
        </w:trPr>
        <w:tc>
          <w:tcPr>
            <w:tcW w:w="215" w:type="dxa"/>
            <w:tcBorders>
              <w:top w:val="nil"/>
              <w:left w:val="nil"/>
              <w:bottom w:val="nil"/>
              <w:right w:val="nil"/>
            </w:tcBorders>
            <w:shd w:val="clear" w:color="auto" w:fill="auto"/>
            <w:noWrap/>
            <w:vAlign w:val="center"/>
            <w:hideMark/>
          </w:tcPr>
          <w:p w14:paraId="4EC49A85" w14:textId="77777777" w:rsidR="00C55038" w:rsidRPr="00092B22" w:rsidRDefault="00C55038" w:rsidP="00E607DA">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6768B043" w14:textId="77777777" w:rsidR="00C55038" w:rsidRPr="00092B22" w:rsidRDefault="00C55038"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Property, plant and equipment</w:t>
            </w:r>
          </w:p>
        </w:tc>
        <w:tc>
          <w:tcPr>
            <w:tcW w:w="1021" w:type="dxa"/>
            <w:tcBorders>
              <w:top w:val="nil"/>
              <w:left w:val="nil"/>
              <w:bottom w:val="nil"/>
              <w:right w:val="nil"/>
            </w:tcBorders>
            <w:shd w:val="clear" w:color="auto" w:fill="auto"/>
            <w:noWrap/>
            <w:vAlign w:val="center"/>
            <w:hideMark/>
          </w:tcPr>
          <w:p w14:paraId="363EF346"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15</w:t>
            </w:r>
          </w:p>
        </w:tc>
        <w:tc>
          <w:tcPr>
            <w:tcW w:w="215" w:type="dxa"/>
            <w:tcBorders>
              <w:top w:val="nil"/>
              <w:left w:val="nil"/>
              <w:bottom w:val="nil"/>
              <w:right w:val="nil"/>
            </w:tcBorders>
            <w:shd w:val="clear" w:color="auto" w:fill="auto"/>
            <w:noWrap/>
            <w:vAlign w:val="center"/>
            <w:hideMark/>
          </w:tcPr>
          <w:p w14:paraId="2807A4B7" w14:textId="77777777" w:rsidR="00C55038" w:rsidRPr="00092B22" w:rsidRDefault="00C55038" w:rsidP="00E607DA">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4846C39E"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86,999,719 </w:t>
            </w:r>
          </w:p>
        </w:tc>
        <w:tc>
          <w:tcPr>
            <w:tcW w:w="216" w:type="dxa"/>
            <w:tcBorders>
              <w:top w:val="nil"/>
              <w:left w:val="nil"/>
              <w:bottom w:val="nil"/>
              <w:right w:val="nil"/>
            </w:tcBorders>
            <w:shd w:val="clear" w:color="auto" w:fill="auto"/>
            <w:noWrap/>
            <w:vAlign w:val="center"/>
            <w:hideMark/>
          </w:tcPr>
          <w:p w14:paraId="5DCB54A5"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5C7B2C62"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74,527,821 </w:t>
            </w:r>
          </w:p>
        </w:tc>
      </w:tr>
      <w:tr w:rsidR="00C55038" w:rsidRPr="00092B22" w14:paraId="1D729B0E" w14:textId="77777777" w:rsidTr="00E607DA">
        <w:trPr>
          <w:trHeight w:val="20"/>
        </w:trPr>
        <w:tc>
          <w:tcPr>
            <w:tcW w:w="215" w:type="dxa"/>
            <w:tcBorders>
              <w:top w:val="nil"/>
              <w:left w:val="nil"/>
              <w:bottom w:val="nil"/>
              <w:right w:val="nil"/>
            </w:tcBorders>
            <w:shd w:val="clear" w:color="auto" w:fill="auto"/>
            <w:noWrap/>
            <w:vAlign w:val="center"/>
            <w:hideMark/>
          </w:tcPr>
          <w:p w14:paraId="6EE4A0D6" w14:textId="77777777" w:rsidR="00C55038" w:rsidRPr="00092B22" w:rsidRDefault="00C55038" w:rsidP="00E607DA">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53FB1A44" w14:textId="77777777" w:rsidR="00C55038" w:rsidRPr="00092B22" w:rsidRDefault="00C55038"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Service concession assets</w:t>
            </w:r>
          </w:p>
        </w:tc>
        <w:tc>
          <w:tcPr>
            <w:tcW w:w="1021" w:type="dxa"/>
            <w:tcBorders>
              <w:top w:val="nil"/>
              <w:left w:val="nil"/>
              <w:bottom w:val="nil"/>
              <w:right w:val="nil"/>
            </w:tcBorders>
            <w:shd w:val="clear" w:color="auto" w:fill="auto"/>
            <w:noWrap/>
            <w:vAlign w:val="center"/>
            <w:hideMark/>
          </w:tcPr>
          <w:p w14:paraId="632B8B87"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16</w:t>
            </w:r>
          </w:p>
        </w:tc>
        <w:tc>
          <w:tcPr>
            <w:tcW w:w="215" w:type="dxa"/>
            <w:tcBorders>
              <w:top w:val="nil"/>
              <w:left w:val="nil"/>
              <w:bottom w:val="nil"/>
              <w:right w:val="nil"/>
            </w:tcBorders>
            <w:shd w:val="clear" w:color="auto" w:fill="auto"/>
            <w:noWrap/>
            <w:vAlign w:val="center"/>
            <w:hideMark/>
          </w:tcPr>
          <w:p w14:paraId="1894984E" w14:textId="77777777" w:rsidR="00C55038" w:rsidRPr="00092B22" w:rsidRDefault="00C55038" w:rsidP="00E607DA">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17A3AF25"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12,917,452 </w:t>
            </w:r>
          </w:p>
        </w:tc>
        <w:tc>
          <w:tcPr>
            <w:tcW w:w="216" w:type="dxa"/>
            <w:tcBorders>
              <w:top w:val="nil"/>
              <w:left w:val="nil"/>
              <w:bottom w:val="nil"/>
              <w:right w:val="nil"/>
            </w:tcBorders>
            <w:shd w:val="clear" w:color="auto" w:fill="auto"/>
            <w:noWrap/>
            <w:vAlign w:val="center"/>
            <w:hideMark/>
          </w:tcPr>
          <w:p w14:paraId="7D82EADD"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22792AFB"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11,876,959 </w:t>
            </w:r>
          </w:p>
        </w:tc>
      </w:tr>
      <w:tr w:rsidR="00C55038" w:rsidRPr="00092B22" w14:paraId="2FC15051" w14:textId="77777777" w:rsidTr="00E607DA">
        <w:trPr>
          <w:trHeight w:val="20"/>
        </w:trPr>
        <w:tc>
          <w:tcPr>
            <w:tcW w:w="215" w:type="dxa"/>
            <w:tcBorders>
              <w:top w:val="nil"/>
              <w:left w:val="nil"/>
              <w:bottom w:val="nil"/>
              <w:right w:val="nil"/>
            </w:tcBorders>
            <w:shd w:val="clear" w:color="auto" w:fill="auto"/>
            <w:noWrap/>
            <w:vAlign w:val="center"/>
            <w:hideMark/>
          </w:tcPr>
          <w:p w14:paraId="50B32095" w14:textId="77777777" w:rsidR="00C55038" w:rsidRPr="00092B22" w:rsidRDefault="00C55038" w:rsidP="00E607DA">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02F5CC53" w14:textId="77777777" w:rsidR="00C55038" w:rsidRPr="00092B22" w:rsidRDefault="00C55038"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Deferred tax assets</w:t>
            </w:r>
          </w:p>
        </w:tc>
        <w:tc>
          <w:tcPr>
            <w:tcW w:w="1021" w:type="dxa"/>
            <w:tcBorders>
              <w:top w:val="nil"/>
              <w:left w:val="nil"/>
              <w:bottom w:val="nil"/>
              <w:right w:val="nil"/>
            </w:tcBorders>
            <w:shd w:val="clear" w:color="auto" w:fill="auto"/>
            <w:noWrap/>
            <w:vAlign w:val="center"/>
            <w:hideMark/>
          </w:tcPr>
          <w:p w14:paraId="2AAC379D"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22</w:t>
            </w:r>
          </w:p>
        </w:tc>
        <w:tc>
          <w:tcPr>
            <w:tcW w:w="215" w:type="dxa"/>
            <w:tcBorders>
              <w:top w:val="nil"/>
              <w:left w:val="nil"/>
              <w:bottom w:val="nil"/>
              <w:right w:val="nil"/>
            </w:tcBorders>
            <w:shd w:val="clear" w:color="auto" w:fill="auto"/>
            <w:noWrap/>
            <w:vAlign w:val="center"/>
            <w:hideMark/>
          </w:tcPr>
          <w:p w14:paraId="2BDE4300" w14:textId="77777777" w:rsidR="00C55038" w:rsidRPr="00092B22" w:rsidRDefault="00C55038" w:rsidP="00E607DA">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08BD33FD"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3,296 </w:t>
            </w:r>
          </w:p>
        </w:tc>
        <w:tc>
          <w:tcPr>
            <w:tcW w:w="216" w:type="dxa"/>
            <w:tcBorders>
              <w:top w:val="nil"/>
              <w:left w:val="nil"/>
              <w:bottom w:val="nil"/>
              <w:right w:val="nil"/>
            </w:tcBorders>
            <w:shd w:val="clear" w:color="auto" w:fill="auto"/>
            <w:noWrap/>
            <w:vAlign w:val="center"/>
            <w:hideMark/>
          </w:tcPr>
          <w:p w14:paraId="5D803458"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1A650018"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3,852 </w:t>
            </w:r>
          </w:p>
        </w:tc>
      </w:tr>
      <w:tr w:rsidR="00C55038" w:rsidRPr="00092B22" w14:paraId="563D3EC0" w14:textId="77777777" w:rsidTr="00E607DA">
        <w:trPr>
          <w:trHeight w:val="20"/>
        </w:trPr>
        <w:tc>
          <w:tcPr>
            <w:tcW w:w="215" w:type="dxa"/>
            <w:tcBorders>
              <w:top w:val="nil"/>
              <w:left w:val="nil"/>
              <w:bottom w:val="nil"/>
              <w:right w:val="nil"/>
            </w:tcBorders>
            <w:shd w:val="clear" w:color="auto" w:fill="auto"/>
            <w:noWrap/>
            <w:vAlign w:val="center"/>
            <w:hideMark/>
          </w:tcPr>
          <w:p w14:paraId="263304BA" w14:textId="77777777" w:rsidR="00C55038" w:rsidRPr="00092B22" w:rsidRDefault="00C55038" w:rsidP="00E607DA">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0E490A1F" w14:textId="77777777" w:rsidR="00C55038" w:rsidRPr="00092B22" w:rsidRDefault="00C55038"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Right-of-use assets</w:t>
            </w:r>
          </w:p>
        </w:tc>
        <w:tc>
          <w:tcPr>
            <w:tcW w:w="1021" w:type="dxa"/>
            <w:tcBorders>
              <w:top w:val="nil"/>
              <w:left w:val="nil"/>
              <w:bottom w:val="nil"/>
              <w:right w:val="nil"/>
            </w:tcBorders>
            <w:shd w:val="clear" w:color="auto" w:fill="auto"/>
            <w:noWrap/>
            <w:vAlign w:val="center"/>
            <w:hideMark/>
          </w:tcPr>
          <w:p w14:paraId="231603BB" w14:textId="77777777" w:rsidR="00C55038" w:rsidRPr="00092B22" w:rsidRDefault="00C55038" w:rsidP="00E607DA">
            <w:pPr>
              <w:rPr>
                <w:rFonts w:ascii="Meta Pro" w:eastAsia="Times New Roman" w:hAnsi="Meta Pro"/>
                <w:color w:val="000000"/>
                <w:szCs w:val="18"/>
                <w:lang w:eastAsia="en-AU"/>
              </w:rPr>
            </w:pPr>
          </w:p>
        </w:tc>
        <w:tc>
          <w:tcPr>
            <w:tcW w:w="215" w:type="dxa"/>
            <w:tcBorders>
              <w:top w:val="nil"/>
              <w:left w:val="nil"/>
              <w:bottom w:val="nil"/>
              <w:right w:val="nil"/>
            </w:tcBorders>
            <w:shd w:val="clear" w:color="auto" w:fill="auto"/>
            <w:noWrap/>
            <w:vAlign w:val="center"/>
            <w:hideMark/>
          </w:tcPr>
          <w:p w14:paraId="1E99E6D1" w14:textId="77777777" w:rsidR="00C55038" w:rsidRPr="00092B22" w:rsidRDefault="00C55038"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11389727"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2 </w:t>
            </w:r>
          </w:p>
        </w:tc>
        <w:tc>
          <w:tcPr>
            <w:tcW w:w="216" w:type="dxa"/>
            <w:tcBorders>
              <w:top w:val="nil"/>
              <w:left w:val="nil"/>
              <w:bottom w:val="nil"/>
              <w:right w:val="nil"/>
            </w:tcBorders>
            <w:shd w:val="clear" w:color="auto" w:fill="auto"/>
            <w:noWrap/>
            <w:vAlign w:val="center"/>
            <w:hideMark/>
          </w:tcPr>
          <w:p w14:paraId="430B61A0"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26AD0248" w14:textId="77777777" w:rsidR="00C55038" w:rsidRPr="00092B22" w:rsidRDefault="00C55038"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169 </w:t>
            </w:r>
          </w:p>
        </w:tc>
      </w:tr>
      <w:tr w:rsidR="00C55038" w:rsidRPr="00092B22" w14:paraId="5146B81A" w14:textId="77777777" w:rsidTr="00E607DA">
        <w:trPr>
          <w:trHeight w:val="20"/>
        </w:trPr>
        <w:tc>
          <w:tcPr>
            <w:tcW w:w="215" w:type="dxa"/>
            <w:tcBorders>
              <w:top w:val="nil"/>
              <w:left w:val="nil"/>
              <w:bottom w:val="nil"/>
              <w:right w:val="nil"/>
            </w:tcBorders>
            <w:shd w:val="clear" w:color="auto" w:fill="auto"/>
            <w:noWrap/>
            <w:vAlign w:val="center"/>
            <w:hideMark/>
          </w:tcPr>
          <w:p w14:paraId="069D273E" w14:textId="77777777" w:rsidR="00C55038" w:rsidRPr="00092B22" w:rsidRDefault="00C55038" w:rsidP="00E607DA">
            <w:pPr>
              <w:jc w:val="right"/>
              <w:rPr>
                <w:rFonts w:ascii="Meta Pro" w:eastAsia="Times New Roman" w:hAnsi="Meta Pro"/>
                <w:szCs w:val="18"/>
                <w:lang w:eastAsia="en-AU"/>
              </w:rPr>
            </w:pPr>
          </w:p>
        </w:tc>
        <w:tc>
          <w:tcPr>
            <w:tcW w:w="4990" w:type="dxa"/>
            <w:tcBorders>
              <w:top w:val="nil"/>
              <w:left w:val="nil"/>
              <w:bottom w:val="nil"/>
              <w:right w:val="nil"/>
            </w:tcBorders>
            <w:shd w:val="clear" w:color="auto" w:fill="auto"/>
            <w:noWrap/>
            <w:vAlign w:val="center"/>
            <w:hideMark/>
          </w:tcPr>
          <w:p w14:paraId="55F720AE" w14:textId="77777777" w:rsidR="00C55038" w:rsidRPr="00092B22" w:rsidRDefault="00C55038"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Investment in subsidiary</w:t>
            </w:r>
          </w:p>
        </w:tc>
        <w:tc>
          <w:tcPr>
            <w:tcW w:w="1021" w:type="dxa"/>
            <w:tcBorders>
              <w:top w:val="nil"/>
              <w:left w:val="nil"/>
              <w:bottom w:val="single" w:sz="4" w:space="0" w:color="auto"/>
              <w:right w:val="nil"/>
            </w:tcBorders>
            <w:shd w:val="clear" w:color="auto" w:fill="auto"/>
            <w:noWrap/>
            <w:vAlign w:val="center"/>
            <w:hideMark/>
          </w:tcPr>
          <w:p w14:paraId="04ADA508"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25</w:t>
            </w:r>
          </w:p>
        </w:tc>
        <w:tc>
          <w:tcPr>
            <w:tcW w:w="215" w:type="dxa"/>
            <w:tcBorders>
              <w:top w:val="nil"/>
              <w:left w:val="nil"/>
              <w:bottom w:val="nil"/>
              <w:right w:val="nil"/>
            </w:tcBorders>
            <w:shd w:val="clear" w:color="auto" w:fill="auto"/>
            <w:noWrap/>
            <w:vAlign w:val="center"/>
            <w:hideMark/>
          </w:tcPr>
          <w:p w14:paraId="14A0D403" w14:textId="77777777" w:rsidR="00C55038" w:rsidRPr="00092B22" w:rsidRDefault="00C55038" w:rsidP="00E607DA">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78F24217"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5,601 </w:t>
            </w:r>
          </w:p>
        </w:tc>
        <w:tc>
          <w:tcPr>
            <w:tcW w:w="216" w:type="dxa"/>
            <w:tcBorders>
              <w:top w:val="nil"/>
              <w:left w:val="nil"/>
              <w:bottom w:val="nil"/>
              <w:right w:val="nil"/>
            </w:tcBorders>
            <w:shd w:val="clear" w:color="auto" w:fill="auto"/>
            <w:noWrap/>
            <w:vAlign w:val="center"/>
            <w:hideMark/>
          </w:tcPr>
          <w:p w14:paraId="00DE65BE"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6EF1E763"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5,601 </w:t>
            </w:r>
          </w:p>
        </w:tc>
      </w:tr>
      <w:tr w:rsidR="00C55038" w:rsidRPr="00092B22" w14:paraId="3EFEF117" w14:textId="77777777" w:rsidTr="00E607DA">
        <w:trPr>
          <w:trHeight w:val="20"/>
        </w:trPr>
        <w:tc>
          <w:tcPr>
            <w:tcW w:w="215" w:type="dxa"/>
            <w:tcBorders>
              <w:top w:val="single" w:sz="4" w:space="0" w:color="auto"/>
              <w:left w:val="nil"/>
              <w:bottom w:val="nil"/>
              <w:right w:val="nil"/>
            </w:tcBorders>
            <w:shd w:val="clear" w:color="auto" w:fill="auto"/>
            <w:noWrap/>
            <w:vAlign w:val="center"/>
            <w:hideMark/>
          </w:tcPr>
          <w:p w14:paraId="21119B7C" w14:textId="77777777" w:rsidR="00C55038" w:rsidRPr="00092B22" w:rsidRDefault="00C55038"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4990" w:type="dxa"/>
            <w:tcBorders>
              <w:top w:val="single" w:sz="4" w:space="0" w:color="auto"/>
              <w:left w:val="nil"/>
              <w:bottom w:val="nil"/>
              <w:right w:val="nil"/>
            </w:tcBorders>
            <w:shd w:val="clear" w:color="auto" w:fill="auto"/>
            <w:noWrap/>
            <w:vAlign w:val="center"/>
            <w:hideMark/>
          </w:tcPr>
          <w:p w14:paraId="3B8695F3" w14:textId="77777777" w:rsidR="00C55038" w:rsidRPr="00092B22" w:rsidRDefault="00C55038" w:rsidP="00E607DA">
            <w:pP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Total non-current assets</w:t>
            </w:r>
          </w:p>
        </w:tc>
        <w:tc>
          <w:tcPr>
            <w:tcW w:w="1021" w:type="dxa"/>
            <w:tcBorders>
              <w:top w:val="single" w:sz="4" w:space="0" w:color="auto"/>
              <w:left w:val="nil"/>
              <w:bottom w:val="nil"/>
              <w:right w:val="nil"/>
            </w:tcBorders>
            <w:shd w:val="clear" w:color="auto" w:fill="auto"/>
            <w:noWrap/>
            <w:vAlign w:val="center"/>
            <w:hideMark/>
          </w:tcPr>
          <w:p w14:paraId="35336411"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15" w:type="dxa"/>
            <w:tcBorders>
              <w:top w:val="single" w:sz="4" w:space="0" w:color="auto"/>
              <w:left w:val="nil"/>
              <w:bottom w:val="nil"/>
              <w:right w:val="nil"/>
            </w:tcBorders>
            <w:shd w:val="clear" w:color="auto" w:fill="auto"/>
            <w:noWrap/>
            <w:vAlign w:val="center"/>
            <w:hideMark/>
          </w:tcPr>
          <w:p w14:paraId="0F92C362" w14:textId="77777777" w:rsidR="00C55038" w:rsidRPr="00092B22" w:rsidRDefault="00C55038" w:rsidP="00E607DA">
            <w:pPr>
              <w:jc w:val="cente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w:t>
            </w:r>
          </w:p>
        </w:tc>
        <w:tc>
          <w:tcPr>
            <w:tcW w:w="1514" w:type="dxa"/>
            <w:tcBorders>
              <w:top w:val="single" w:sz="4" w:space="0" w:color="auto"/>
              <w:left w:val="nil"/>
              <w:bottom w:val="nil"/>
              <w:right w:val="nil"/>
            </w:tcBorders>
            <w:shd w:val="clear" w:color="000000" w:fill="C9E3B4"/>
            <w:noWrap/>
            <w:vAlign w:val="center"/>
            <w:hideMark/>
          </w:tcPr>
          <w:p w14:paraId="0C5E4CF6" w14:textId="77777777" w:rsidR="00C55038" w:rsidRPr="00092B22" w:rsidRDefault="00C55038"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xml:space="preserve">         100,163,947 </w:t>
            </w:r>
          </w:p>
        </w:tc>
        <w:tc>
          <w:tcPr>
            <w:tcW w:w="216" w:type="dxa"/>
            <w:tcBorders>
              <w:top w:val="single" w:sz="4" w:space="0" w:color="auto"/>
              <w:left w:val="nil"/>
              <w:bottom w:val="nil"/>
              <w:right w:val="nil"/>
            </w:tcBorders>
            <w:shd w:val="clear" w:color="auto" w:fill="auto"/>
            <w:noWrap/>
            <w:vAlign w:val="center"/>
            <w:hideMark/>
          </w:tcPr>
          <w:p w14:paraId="18BB425A" w14:textId="77777777" w:rsidR="00C55038" w:rsidRPr="00092B22" w:rsidRDefault="00C55038"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w:t>
            </w:r>
          </w:p>
        </w:tc>
        <w:tc>
          <w:tcPr>
            <w:tcW w:w="1514" w:type="dxa"/>
            <w:tcBorders>
              <w:top w:val="single" w:sz="4" w:space="0" w:color="auto"/>
              <w:left w:val="nil"/>
              <w:bottom w:val="nil"/>
              <w:right w:val="nil"/>
            </w:tcBorders>
            <w:shd w:val="clear" w:color="auto" w:fill="auto"/>
            <w:noWrap/>
            <w:vAlign w:val="center"/>
            <w:hideMark/>
          </w:tcPr>
          <w:p w14:paraId="62ED2706" w14:textId="77777777" w:rsidR="00C55038" w:rsidRPr="00092B22" w:rsidRDefault="00C55038"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xml:space="preserve">         86,684,944 </w:t>
            </w:r>
          </w:p>
        </w:tc>
      </w:tr>
      <w:tr w:rsidR="00C55038" w:rsidRPr="00092B22" w14:paraId="27CA8045" w14:textId="77777777" w:rsidTr="00E607DA">
        <w:trPr>
          <w:trHeight w:val="20"/>
        </w:trPr>
        <w:tc>
          <w:tcPr>
            <w:tcW w:w="215" w:type="dxa"/>
            <w:tcBorders>
              <w:top w:val="nil"/>
              <w:left w:val="nil"/>
              <w:bottom w:val="nil"/>
              <w:right w:val="nil"/>
            </w:tcBorders>
            <w:shd w:val="clear" w:color="auto" w:fill="auto"/>
            <w:noWrap/>
            <w:vAlign w:val="center"/>
            <w:hideMark/>
          </w:tcPr>
          <w:p w14:paraId="5573C603" w14:textId="77777777" w:rsidR="00C55038" w:rsidRPr="00092B22" w:rsidRDefault="00C55038" w:rsidP="00E607DA">
            <w:pPr>
              <w:jc w:val="right"/>
              <w:rPr>
                <w:rFonts w:ascii="Meta Pro" w:eastAsia="Times New Roman" w:hAnsi="Meta Pro"/>
                <w:b/>
                <w:bCs/>
                <w:color w:val="000000"/>
                <w:szCs w:val="18"/>
                <w:lang w:eastAsia="en-AU"/>
              </w:rPr>
            </w:pPr>
          </w:p>
        </w:tc>
        <w:tc>
          <w:tcPr>
            <w:tcW w:w="4990" w:type="dxa"/>
            <w:tcBorders>
              <w:top w:val="nil"/>
              <w:left w:val="nil"/>
              <w:bottom w:val="nil"/>
              <w:right w:val="nil"/>
            </w:tcBorders>
            <w:shd w:val="clear" w:color="auto" w:fill="auto"/>
            <w:noWrap/>
            <w:vAlign w:val="center"/>
            <w:hideMark/>
          </w:tcPr>
          <w:p w14:paraId="558045F1" w14:textId="77777777" w:rsidR="00C55038" w:rsidRPr="00092B22" w:rsidRDefault="00C55038" w:rsidP="00E607DA">
            <w:pPr>
              <w:rPr>
                <w:rFonts w:ascii="Meta Pro" w:eastAsia="Times New Roman" w:hAnsi="Meta Pro" w:cs="Times New Roman"/>
                <w:sz w:val="20"/>
                <w:szCs w:val="20"/>
                <w:lang w:eastAsia="en-AU"/>
              </w:rPr>
            </w:pPr>
          </w:p>
        </w:tc>
        <w:tc>
          <w:tcPr>
            <w:tcW w:w="1021" w:type="dxa"/>
            <w:tcBorders>
              <w:top w:val="nil"/>
              <w:left w:val="nil"/>
              <w:bottom w:val="nil"/>
              <w:right w:val="nil"/>
            </w:tcBorders>
            <w:shd w:val="clear" w:color="auto" w:fill="auto"/>
            <w:noWrap/>
            <w:vAlign w:val="center"/>
            <w:hideMark/>
          </w:tcPr>
          <w:p w14:paraId="35081B1F" w14:textId="77777777" w:rsidR="00C55038" w:rsidRPr="00092B22" w:rsidRDefault="00C55038" w:rsidP="00E607DA">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130555AC" w14:textId="77777777" w:rsidR="00C55038" w:rsidRPr="00092B22" w:rsidRDefault="00C55038"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4EB4600E"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78D5D83E"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3ED5B696" w14:textId="77777777" w:rsidR="00C55038" w:rsidRPr="00092B22" w:rsidRDefault="00C55038" w:rsidP="00E607DA">
            <w:pPr>
              <w:jc w:val="right"/>
              <w:rPr>
                <w:rFonts w:ascii="Meta Pro" w:eastAsia="Times New Roman" w:hAnsi="Meta Pro" w:cs="Times New Roman"/>
                <w:sz w:val="20"/>
                <w:szCs w:val="20"/>
                <w:lang w:eastAsia="en-AU"/>
              </w:rPr>
            </w:pPr>
          </w:p>
        </w:tc>
      </w:tr>
      <w:tr w:rsidR="00C55038" w:rsidRPr="00092B22" w14:paraId="67B76D13" w14:textId="77777777" w:rsidTr="00E607DA">
        <w:trPr>
          <w:trHeight w:val="20"/>
        </w:trPr>
        <w:tc>
          <w:tcPr>
            <w:tcW w:w="4990" w:type="dxa"/>
            <w:gridSpan w:val="2"/>
            <w:tcBorders>
              <w:top w:val="nil"/>
              <w:left w:val="nil"/>
              <w:bottom w:val="single" w:sz="4" w:space="0" w:color="auto"/>
              <w:right w:val="nil"/>
            </w:tcBorders>
            <w:shd w:val="clear" w:color="auto" w:fill="auto"/>
            <w:noWrap/>
            <w:vAlign w:val="center"/>
            <w:hideMark/>
          </w:tcPr>
          <w:p w14:paraId="1EA7A080" w14:textId="77777777" w:rsidR="00C55038" w:rsidRPr="00092B22" w:rsidRDefault="00C55038" w:rsidP="00E607DA">
            <w:pP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Total assets</w:t>
            </w:r>
          </w:p>
        </w:tc>
        <w:tc>
          <w:tcPr>
            <w:tcW w:w="1021" w:type="dxa"/>
            <w:tcBorders>
              <w:top w:val="nil"/>
              <w:left w:val="nil"/>
              <w:bottom w:val="single" w:sz="4" w:space="0" w:color="auto"/>
              <w:right w:val="nil"/>
            </w:tcBorders>
            <w:shd w:val="clear" w:color="auto" w:fill="auto"/>
            <w:noWrap/>
            <w:vAlign w:val="center"/>
            <w:hideMark/>
          </w:tcPr>
          <w:p w14:paraId="1FC50247"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15" w:type="dxa"/>
            <w:tcBorders>
              <w:top w:val="nil"/>
              <w:left w:val="nil"/>
              <w:bottom w:val="single" w:sz="4" w:space="0" w:color="auto"/>
              <w:right w:val="nil"/>
            </w:tcBorders>
            <w:shd w:val="clear" w:color="auto" w:fill="auto"/>
            <w:noWrap/>
            <w:vAlign w:val="center"/>
            <w:hideMark/>
          </w:tcPr>
          <w:p w14:paraId="63F524F9" w14:textId="77777777" w:rsidR="00C55038" w:rsidRPr="00092B22" w:rsidRDefault="00C55038" w:rsidP="00E607DA">
            <w:pPr>
              <w:jc w:val="cente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w:t>
            </w:r>
          </w:p>
        </w:tc>
        <w:tc>
          <w:tcPr>
            <w:tcW w:w="1514" w:type="dxa"/>
            <w:tcBorders>
              <w:top w:val="nil"/>
              <w:left w:val="nil"/>
              <w:bottom w:val="single" w:sz="4" w:space="0" w:color="auto"/>
              <w:right w:val="nil"/>
            </w:tcBorders>
            <w:shd w:val="clear" w:color="000000" w:fill="C9E3B4"/>
            <w:noWrap/>
            <w:vAlign w:val="center"/>
            <w:hideMark/>
          </w:tcPr>
          <w:p w14:paraId="4E9853BA" w14:textId="77777777" w:rsidR="00C55038" w:rsidRPr="00092B22" w:rsidRDefault="00C55038"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xml:space="preserve">         100,750,641 </w:t>
            </w:r>
          </w:p>
        </w:tc>
        <w:tc>
          <w:tcPr>
            <w:tcW w:w="216" w:type="dxa"/>
            <w:tcBorders>
              <w:top w:val="nil"/>
              <w:left w:val="nil"/>
              <w:bottom w:val="single" w:sz="4" w:space="0" w:color="auto"/>
              <w:right w:val="nil"/>
            </w:tcBorders>
            <w:shd w:val="clear" w:color="auto" w:fill="auto"/>
            <w:noWrap/>
            <w:vAlign w:val="center"/>
            <w:hideMark/>
          </w:tcPr>
          <w:p w14:paraId="44D0D64B" w14:textId="77777777" w:rsidR="00C55038" w:rsidRPr="00092B22" w:rsidRDefault="00C55038"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w:t>
            </w:r>
          </w:p>
        </w:tc>
        <w:tc>
          <w:tcPr>
            <w:tcW w:w="1514" w:type="dxa"/>
            <w:tcBorders>
              <w:top w:val="nil"/>
              <w:left w:val="nil"/>
              <w:bottom w:val="single" w:sz="4" w:space="0" w:color="auto"/>
              <w:right w:val="nil"/>
            </w:tcBorders>
            <w:shd w:val="clear" w:color="auto" w:fill="auto"/>
            <w:noWrap/>
            <w:vAlign w:val="center"/>
            <w:hideMark/>
          </w:tcPr>
          <w:p w14:paraId="1AB9DF47" w14:textId="77777777" w:rsidR="00C55038" w:rsidRPr="00092B22" w:rsidRDefault="00C55038"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xml:space="preserve">          87,402,208 </w:t>
            </w:r>
          </w:p>
        </w:tc>
      </w:tr>
      <w:tr w:rsidR="00C55038" w:rsidRPr="00092B22" w14:paraId="610C1172" w14:textId="77777777" w:rsidTr="00E607DA">
        <w:trPr>
          <w:trHeight w:val="20"/>
        </w:trPr>
        <w:tc>
          <w:tcPr>
            <w:tcW w:w="215" w:type="dxa"/>
            <w:tcBorders>
              <w:top w:val="nil"/>
              <w:left w:val="nil"/>
              <w:bottom w:val="nil"/>
              <w:right w:val="nil"/>
            </w:tcBorders>
            <w:shd w:val="clear" w:color="auto" w:fill="auto"/>
            <w:noWrap/>
            <w:vAlign w:val="center"/>
            <w:hideMark/>
          </w:tcPr>
          <w:p w14:paraId="02E05A48" w14:textId="77777777" w:rsidR="00C55038" w:rsidRPr="00092B22" w:rsidRDefault="00C55038" w:rsidP="00E607DA">
            <w:pPr>
              <w:jc w:val="right"/>
              <w:rPr>
                <w:rFonts w:ascii="Meta Pro" w:eastAsia="Times New Roman" w:hAnsi="Meta Pro"/>
                <w:b/>
                <w:bCs/>
                <w:color w:val="000000"/>
                <w:szCs w:val="18"/>
                <w:lang w:eastAsia="en-AU"/>
              </w:rPr>
            </w:pPr>
          </w:p>
        </w:tc>
        <w:tc>
          <w:tcPr>
            <w:tcW w:w="4990" w:type="dxa"/>
            <w:tcBorders>
              <w:top w:val="nil"/>
              <w:left w:val="nil"/>
              <w:bottom w:val="nil"/>
              <w:right w:val="nil"/>
            </w:tcBorders>
            <w:shd w:val="clear" w:color="auto" w:fill="auto"/>
            <w:noWrap/>
            <w:vAlign w:val="center"/>
            <w:hideMark/>
          </w:tcPr>
          <w:p w14:paraId="73F4309A" w14:textId="77777777" w:rsidR="00C55038" w:rsidRPr="00092B22" w:rsidRDefault="00C55038" w:rsidP="00E607DA">
            <w:pPr>
              <w:rPr>
                <w:rFonts w:ascii="Meta Pro" w:eastAsia="Times New Roman" w:hAnsi="Meta Pro" w:cs="Times New Roman"/>
                <w:sz w:val="20"/>
                <w:szCs w:val="20"/>
                <w:lang w:eastAsia="en-AU"/>
              </w:rPr>
            </w:pPr>
          </w:p>
        </w:tc>
        <w:tc>
          <w:tcPr>
            <w:tcW w:w="1021" w:type="dxa"/>
            <w:tcBorders>
              <w:top w:val="single" w:sz="4" w:space="0" w:color="auto"/>
              <w:left w:val="nil"/>
              <w:bottom w:val="nil"/>
              <w:right w:val="nil"/>
            </w:tcBorders>
            <w:shd w:val="clear" w:color="auto" w:fill="auto"/>
            <w:noWrap/>
            <w:vAlign w:val="center"/>
            <w:hideMark/>
          </w:tcPr>
          <w:p w14:paraId="79F989D7"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15" w:type="dxa"/>
            <w:tcBorders>
              <w:top w:val="nil"/>
              <w:left w:val="nil"/>
              <w:bottom w:val="nil"/>
              <w:right w:val="nil"/>
            </w:tcBorders>
            <w:shd w:val="clear" w:color="auto" w:fill="auto"/>
            <w:noWrap/>
            <w:vAlign w:val="center"/>
            <w:hideMark/>
          </w:tcPr>
          <w:p w14:paraId="752A04A6" w14:textId="77777777" w:rsidR="00C55038" w:rsidRPr="00092B22" w:rsidRDefault="00C55038" w:rsidP="00E607DA">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680144C5"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13B82C23"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1B81E3C7" w14:textId="77777777" w:rsidR="00C55038" w:rsidRPr="00092B22" w:rsidRDefault="00C55038" w:rsidP="00E607DA">
            <w:pPr>
              <w:jc w:val="right"/>
              <w:rPr>
                <w:rFonts w:ascii="Meta Pro" w:eastAsia="Times New Roman" w:hAnsi="Meta Pro" w:cs="Times New Roman"/>
                <w:sz w:val="20"/>
                <w:szCs w:val="20"/>
                <w:lang w:eastAsia="en-AU"/>
              </w:rPr>
            </w:pPr>
          </w:p>
        </w:tc>
      </w:tr>
      <w:tr w:rsidR="00C55038" w:rsidRPr="00092B22" w14:paraId="5F532357" w14:textId="77777777" w:rsidTr="00E607DA">
        <w:trPr>
          <w:trHeight w:val="20"/>
        </w:trPr>
        <w:tc>
          <w:tcPr>
            <w:tcW w:w="4990" w:type="dxa"/>
            <w:gridSpan w:val="2"/>
            <w:tcBorders>
              <w:top w:val="nil"/>
              <w:left w:val="nil"/>
              <w:bottom w:val="nil"/>
              <w:right w:val="nil"/>
            </w:tcBorders>
            <w:shd w:val="clear" w:color="auto" w:fill="auto"/>
            <w:noWrap/>
            <w:vAlign w:val="center"/>
            <w:hideMark/>
          </w:tcPr>
          <w:p w14:paraId="27063F8C" w14:textId="77777777" w:rsidR="00C55038" w:rsidRPr="00092B22" w:rsidRDefault="00C55038" w:rsidP="00E607DA">
            <w:pP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Liabilities</w:t>
            </w:r>
          </w:p>
        </w:tc>
        <w:tc>
          <w:tcPr>
            <w:tcW w:w="1021" w:type="dxa"/>
            <w:tcBorders>
              <w:top w:val="nil"/>
              <w:left w:val="nil"/>
              <w:bottom w:val="nil"/>
              <w:right w:val="nil"/>
            </w:tcBorders>
            <w:shd w:val="clear" w:color="auto" w:fill="auto"/>
            <w:noWrap/>
            <w:vAlign w:val="center"/>
            <w:hideMark/>
          </w:tcPr>
          <w:p w14:paraId="35C09E60" w14:textId="77777777" w:rsidR="00C55038" w:rsidRPr="00092B22" w:rsidRDefault="00C55038" w:rsidP="00E607DA">
            <w:pPr>
              <w:rPr>
                <w:rFonts w:ascii="Meta Pro" w:eastAsia="Times New Roman" w:hAnsi="Meta Pro"/>
                <w:b/>
                <w:bCs/>
                <w:color w:val="000000"/>
                <w:szCs w:val="18"/>
                <w:lang w:eastAsia="en-AU"/>
              </w:rPr>
            </w:pPr>
          </w:p>
        </w:tc>
        <w:tc>
          <w:tcPr>
            <w:tcW w:w="215" w:type="dxa"/>
            <w:tcBorders>
              <w:top w:val="nil"/>
              <w:left w:val="nil"/>
              <w:bottom w:val="nil"/>
              <w:right w:val="nil"/>
            </w:tcBorders>
            <w:shd w:val="clear" w:color="auto" w:fill="auto"/>
            <w:noWrap/>
            <w:vAlign w:val="center"/>
            <w:hideMark/>
          </w:tcPr>
          <w:p w14:paraId="39888B69" w14:textId="77777777" w:rsidR="00C55038" w:rsidRPr="00092B22" w:rsidRDefault="00C55038"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4659205F"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643BC58F"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6416F21D" w14:textId="77777777" w:rsidR="00C55038" w:rsidRPr="00092B22" w:rsidRDefault="00C55038" w:rsidP="00E607DA">
            <w:pPr>
              <w:jc w:val="right"/>
              <w:rPr>
                <w:rFonts w:ascii="Meta Pro" w:eastAsia="Times New Roman" w:hAnsi="Meta Pro" w:cs="Times New Roman"/>
                <w:sz w:val="20"/>
                <w:szCs w:val="20"/>
                <w:lang w:eastAsia="en-AU"/>
              </w:rPr>
            </w:pPr>
          </w:p>
        </w:tc>
      </w:tr>
      <w:tr w:rsidR="00C55038" w:rsidRPr="00092B22" w14:paraId="2634F322" w14:textId="77777777" w:rsidTr="00E607DA">
        <w:trPr>
          <w:trHeight w:val="20"/>
        </w:trPr>
        <w:tc>
          <w:tcPr>
            <w:tcW w:w="4990" w:type="dxa"/>
            <w:gridSpan w:val="2"/>
            <w:tcBorders>
              <w:top w:val="nil"/>
              <w:left w:val="nil"/>
              <w:bottom w:val="nil"/>
              <w:right w:val="nil"/>
            </w:tcBorders>
            <w:shd w:val="clear" w:color="auto" w:fill="auto"/>
            <w:noWrap/>
            <w:vAlign w:val="center"/>
            <w:hideMark/>
          </w:tcPr>
          <w:p w14:paraId="137FB486" w14:textId="77777777" w:rsidR="00C55038" w:rsidRPr="00092B22" w:rsidRDefault="00C55038" w:rsidP="00E607DA">
            <w:pP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Current liabilities</w:t>
            </w:r>
          </w:p>
        </w:tc>
        <w:tc>
          <w:tcPr>
            <w:tcW w:w="1021" w:type="dxa"/>
            <w:tcBorders>
              <w:top w:val="nil"/>
              <w:left w:val="nil"/>
              <w:bottom w:val="nil"/>
              <w:right w:val="nil"/>
            </w:tcBorders>
            <w:shd w:val="clear" w:color="auto" w:fill="auto"/>
            <w:noWrap/>
            <w:vAlign w:val="center"/>
            <w:hideMark/>
          </w:tcPr>
          <w:p w14:paraId="253D2C15" w14:textId="77777777" w:rsidR="00C55038" w:rsidRPr="00092B22" w:rsidRDefault="00C55038" w:rsidP="00E607DA">
            <w:pPr>
              <w:rPr>
                <w:rFonts w:ascii="Meta Pro" w:eastAsia="Times New Roman" w:hAnsi="Meta Pro"/>
                <w:b/>
                <w:bCs/>
                <w:color w:val="000000"/>
                <w:szCs w:val="18"/>
                <w:lang w:eastAsia="en-AU"/>
              </w:rPr>
            </w:pPr>
          </w:p>
        </w:tc>
        <w:tc>
          <w:tcPr>
            <w:tcW w:w="215" w:type="dxa"/>
            <w:tcBorders>
              <w:top w:val="nil"/>
              <w:left w:val="nil"/>
              <w:bottom w:val="nil"/>
              <w:right w:val="nil"/>
            </w:tcBorders>
            <w:shd w:val="clear" w:color="auto" w:fill="auto"/>
            <w:noWrap/>
            <w:vAlign w:val="center"/>
            <w:hideMark/>
          </w:tcPr>
          <w:p w14:paraId="36D0EC55" w14:textId="77777777" w:rsidR="00C55038" w:rsidRPr="00092B22" w:rsidRDefault="00C55038"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08075665"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1C8A082E"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76689BFB" w14:textId="77777777" w:rsidR="00C55038" w:rsidRPr="00092B22" w:rsidRDefault="00C55038" w:rsidP="00E607DA">
            <w:pPr>
              <w:jc w:val="right"/>
              <w:rPr>
                <w:rFonts w:ascii="Meta Pro" w:eastAsia="Times New Roman" w:hAnsi="Meta Pro" w:cs="Times New Roman"/>
                <w:sz w:val="20"/>
                <w:szCs w:val="20"/>
                <w:lang w:eastAsia="en-AU"/>
              </w:rPr>
            </w:pPr>
          </w:p>
        </w:tc>
      </w:tr>
      <w:tr w:rsidR="00C55038" w:rsidRPr="00092B22" w14:paraId="1C1DFEE1" w14:textId="77777777" w:rsidTr="00E607DA">
        <w:trPr>
          <w:trHeight w:val="20"/>
        </w:trPr>
        <w:tc>
          <w:tcPr>
            <w:tcW w:w="215" w:type="dxa"/>
            <w:tcBorders>
              <w:top w:val="nil"/>
              <w:left w:val="nil"/>
              <w:bottom w:val="nil"/>
              <w:right w:val="nil"/>
            </w:tcBorders>
            <w:shd w:val="clear" w:color="auto" w:fill="auto"/>
            <w:noWrap/>
            <w:vAlign w:val="center"/>
            <w:hideMark/>
          </w:tcPr>
          <w:p w14:paraId="58601812" w14:textId="77777777" w:rsidR="00C55038" w:rsidRPr="00092B22" w:rsidRDefault="00C55038" w:rsidP="00E607DA">
            <w:pPr>
              <w:jc w:val="right"/>
              <w:rPr>
                <w:rFonts w:ascii="Meta Pro" w:eastAsia="Times New Roman" w:hAnsi="Meta Pro" w:cs="Times New Roman"/>
                <w:sz w:val="20"/>
                <w:szCs w:val="20"/>
                <w:lang w:eastAsia="en-AU"/>
              </w:rPr>
            </w:pPr>
          </w:p>
        </w:tc>
        <w:tc>
          <w:tcPr>
            <w:tcW w:w="4990" w:type="dxa"/>
            <w:tcBorders>
              <w:top w:val="nil"/>
              <w:left w:val="nil"/>
              <w:bottom w:val="nil"/>
              <w:right w:val="nil"/>
            </w:tcBorders>
            <w:shd w:val="clear" w:color="auto" w:fill="auto"/>
            <w:noWrap/>
            <w:vAlign w:val="center"/>
            <w:hideMark/>
          </w:tcPr>
          <w:p w14:paraId="798857A2" w14:textId="77777777" w:rsidR="00C55038" w:rsidRPr="00092B22" w:rsidRDefault="00C55038"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Payables</w:t>
            </w:r>
          </w:p>
        </w:tc>
        <w:tc>
          <w:tcPr>
            <w:tcW w:w="1021" w:type="dxa"/>
            <w:tcBorders>
              <w:top w:val="nil"/>
              <w:left w:val="nil"/>
              <w:bottom w:val="nil"/>
              <w:right w:val="nil"/>
            </w:tcBorders>
            <w:shd w:val="clear" w:color="auto" w:fill="auto"/>
            <w:noWrap/>
            <w:vAlign w:val="center"/>
            <w:hideMark/>
          </w:tcPr>
          <w:p w14:paraId="7E96CDAB"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17</w:t>
            </w:r>
          </w:p>
        </w:tc>
        <w:tc>
          <w:tcPr>
            <w:tcW w:w="215" w:type="dxa"/>
            <w:tcBorders>
              <w:top w:val="nil"/>
              <w:left w:val="nil"/>
              <w:bottom w:val="nil"/>
              <w:right w:val="nil"/>
            </w:tcBorders>
            <w:shd w:val="clear" w:color="auto" w:fill="auto"/>
            <w:noWrap/>
            <w:vAlign w:val="center"/>
            <w:hideMark/>
          </w:tcPr>
          <w:p w14:paraId="7A5D2802" w14:textId="77777777" w:rsidR="00C55038" w:rsidRPr="00092B22" w:rsidRDefault="00C55038" w:rsidP="00E607DA">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62D4BD8D"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683,237 </w:t>
            </w:r>
          </w:p>
        </w:tc>
        <w:tc>
          <w:tcPr>
            <w:tcW w:w="216" w:type="dxa"/>
            <w:tcBorders>
              <w:top w:val="nil"/>
              <w:left w:val="nil"/>
              <w:bottom w:val="nil"/>
              <w:right w:val="nil"/>
            </w:tcBorders>
            <w:shd w:val="clear" w:color="auto" w:fill="auto"/>
            <w:noWrap/>
            <w:vAlign w:val="center"/>
            <w:hideMark/>
          </w:tcPr>
          <w:p w14:paraId="1678A88F"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2DE743BA"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687,167 </w:t>
            </w:r>
          </w:p>
        </w:tc>
      </w:tr>
      <w:tr w:rsidR="00C55038" w:rsidRPr="00092B22" w14:paraId="2162A1C5" w14:textId="77777777" w:rsidTr="00E607DA">
        <w:trPr>
          <w:trHeight w:val="20"/>
        </w:trPr>
        <w:tc>
          <w:tcPr>
            <w:tcW w:w="215" w:type="dxa"/>
            <w:tcBorders>
              <w:top w:val="nil"/>
              <w:left w:val="nil"/>
              <w:bottom w:val="nil"/>
              <w:right w:val="nil"/>
            </w:tcBorders>
            <w:shd w:val="clear" w:color="auto" w:fill="auto"/>
            <w:noWrap/>
            <w:vAlign w:val="center"/>
            <w:hideMark/>
          </w:tcPr>
          <w:p w14:paraId="45C7BC14" w14:textId="77777777" w:rsidR="00C55038" w:rsidRPr="00092B22" w:rsidRDefault="00C55038" w:rsidP="00E607DA">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1A8729E7" w14:textId="77777777" w:rsidR="00C55038" w:rsidRPr="00092B22" w:rsidRDefault="00C55038"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Borrowings</w:t>
            </w:r>
          </w:p>
        </w:tc>
        <w:tc>
          <w:tcPr>
            <w:tcW w:w="1021" w:type="dxa"/>
            <w:tcBorders>
              <w:top w:val="nil"/>
              <w:left w:val="nil"/>
              <w:bottom w:val="nil"/>
              <w:right w:val="nil"/>
            </w:tcBorders>
            <w:shd w:val="clear" w:color="auto" w:fill="auto"/>
            <w:noWrap/>
            <w:vAlign w:val="center"/>
            <w:hideMark/>
          </w:tcPr>
          <w:p w14:paraId="4E5F4634"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18</w:t>
            </w:r>
          </w:p>
        </w:tc>
        <w:tc>
          <w:tcPr>
            <w:tcW w:w="215" w:type="dxa"/>
            <w:tcBorders>
              <w:top w:val="nil"/>
              <w:left w:val="nil"/>
              <w:bottom w:val="nil"/>
              <w:right w:val="nil"/>
            </w:tcBorders>
            <w:shd w:val="clear" w:color="auto" w:fill="auto"/>
            <w:noWrap/>
            <w:vAlign w:val="center"/>
            <w:hideMark/>
          </w:tcPr>
          <w:p w14:paraId="38151714" w14:textId="77777777" w:rsidR="00C55038" w:rsidRPr="00092B22" w:rsidRDefault="00C55038" w:rsidP="00E607DA">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1C231A1B"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40,372 </w:t>
            </w:r>
          </w:p>
        </w:tc>
        <w:tc>
          <w:tcPr>
            <w:tcW w:w="216" w:type="dxa"/>
            <w:tcBorders>
              <w:top w:val="nil"/>
              <w:left w:val="nil"/>
              <w:bottom w:val="nil"/>
              <w:right w:val="nil"/>
            </w:tcBorders>
            <w:shd w:val="clear" w:color="auto" w:fill="auto"/>
            <w:noWrap/>
            <w:vAlign w:val="center"/>
            <w:hideMark/>
          </w:tcPr>
          <w:p w14:paraId="09AD4E5C"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58A3DD03"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36,716 </w:t>
            </w:r>
          </w:p>
        </w:tc>
      </w:tr>
      <w:tr w:rsidR="00C55038" w:rsidRPr="00092B22" w14:paraId="169FB32A" w14:textId="77777777" w:rsidTr="00E607DA">
        <w:trPr>
          <w:trHeight w:val="20"/>
        </w:trPr>
        <w:tc>
          <w:tcPr>
            <w:tcW w:w="215" w:type="dxa"/>
            <w:tcBorders>
              <w:top w:val="nil"/>
              <w:left w:val="nil"/>
              <w:bottom w:val="nil"/>
              <w:right w:val="nil"/>
            </w:tcBorders>
            <w:shd w:val="clear" w:color="auto" w:fill="auto"/>
            <w:noWrap/>
            <w:vAlign w:val="center"/>
            <w:hideMark/>
          </w:tcPr>
          <w:p w14:paraId="5FE4C8B3" w14:textId="77777777" w:rsidR="00C55038" w:rsidRPr="00092B22" w:rsidRDefault="00C55038" w:rsidP="00E607DA">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66F45577" w14:textId="77777777" w:rsidR="00C55038" w:rsidRPr="00092B22" w:rsidRDefault="00C55038"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Provisions</w:t>
            </w:r>
          </w:p>
        </w:tc>
        <w:tc>
          <w:tcPr>
            <w:tcW w:w="1021" w:type="dxa"/>
            <w:tcBorders>
              <w:top w:val="nil"/>
              <w:left w:val="nil"/>
              <w:bottom w:val="nil"/>
              <w:right w:val="nil"/>
            </w:tcBorders>
            <w:shd w:val="clear" w:color="auto" w:fill="auto"/>
            <w:noWrap/>
            <w:vAlign w:val="center"/>
            <w:hideMark/>
          </w:tcPr>
          <w:p w14:paraId="467F9949"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19</w:t>
            </w:r>
          </w:p>
        </w:tc>
        <w:tc>
          <w:tcPr>
            <w:tcW w:w="215" w:type="dxa"/>
            <w:tcBorders>
              <w:top w:val="nil"/>
              <w:left w:val="nil"/>
              <w:bottom w:val="nil"/>
              <w:right w:val="nil"/>
            </w:tcBorders>
            <w:shd w:val="clear" w:color="auto" w:fill="auto"/>
            <w:noWrap/>
            <w:vAlign w:val="center"/>
            <w:hideMark/>
          </w:tcPr>
          <w:p w14:paraId="2828644E" w14:textId="77777777" w:rsidR="00C55038" w:rsidRPr="00092B22" w:rsidRDefault="00C55038" w:rsidP="00E607DA">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309CD58F"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228,718 </w:t>
            </w:r>
          </w:p>
        </w:tc>
        <w:tc>
          <w:tcPr>
            <w:tcW w:w="216" w:type="dxa"/>
            <w:tcBorders>
              <w:top w:val="nil"/>
              <w:left w:val="nil"/>
              <w:bottom w:val="nil"/>
              <w:right w:val="nil"/>
            </w:tcBorders>
            <w:shd w:val="clear" w:color="auto" w:fill="auto"/>
            <w:noWrap/>
            <w:vAlign w:val="center"/>
            <w:hideMark/>
          </w:tcPr>
          <w:p w14:paraId="0BB9A4E5"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6BF7A5C7"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195,097 </w:t>
            </w:r>
          </w:p>
        </w:tc>
      </w:tr>
      <w:tr w:rsidR="00C55038" w:rsidRPr="00092B22" w14:paraId="6033B3A9" w14:textId="77777777" w:rsidTr="00E607DA">
        <w:trPr>
          <w:trHeight w:val="20"/>
        </w:trPr>
        <w:tc>
          <w:tcPr>
            <w:tcW w:w="215" w:type="dxa"/>
            <w:tcBorders>
              <w:top w:val="nil"/>
              <w:left w:val="nil"/>
              <w:bottom w:val="nil"/>
              <w:right w:val="nil"/>
            </w:tcBorders>
            <w:shd w:val="clear" w:color="auto" w:fill="auto"/>
            <w:noWrap/>
            <w:vAlign w:val="center"/>
            <w:hideMark/>
          </w:tcPr>
          <w:p w14:paraId="07A90D15" w14:textId="77777777" w:rsidR="00C55038" w:rsidRPr="00092B22" w:rsidRDefault="00C55038" w:rsidP="00E607DA">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7B67824B" w14:textId="77777777" w:rsidR="00C55038" w:rsidRPr="00092B22" w:rsidRDefault="00C55038"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Accrued employee benefits</w:t>
            </w:r>
          </w:p>
        </w:tc>
        <w:tc>
          <w:tcPr>
            <w:tcW w:w="1021" w:type="dxa"/>
            <w:tcBorders>
              <w:top w:val="nil"/>
              <w:left w:val="nil"/>
              <w:bottom w:val="nil"/>
              <w:right w:val="nil"/>
            </w:tcBorders>
            <w:shd w:val="clear" w:color="auto" w:fill="auto"/>
            <w:noWrap/>
            <w:vAlign w:val="center"/>
            <w:hideMark/>
          </w:tcPr>
          <w:p w14:paraId="4CFE62C5"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20</w:t>
            </w:r>
          </w:p>
        </w:tc>
        <w:tc>
          <w:tcPr>
            <w:tcW w:w="215" w:type="dxa"/>
            <w:tcBorders>
              <w:top w:val="nil"/>
              <w:left w:val="nil"/>
              <w:bottom w:val="nil"/>
              <w:right w:val="nil"/>
            </w:tcBorders>
            <w:shd w:val="clear" w:color="auto" w:fill="auto"/>
            <w:noWrap/>
            <w:vAlign w:val="center"/>
            <w:hideMark/>
          </w:tcPr>
          <w:p w14:paraId="561FEC38" w14:textId="77777777" w:rsidR="00C55038" w:rsidRPr="00092B22" w:rsidRDefault="00C55038" w:rsidP="00E607DA">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21B5F337"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31,859 </w:t>
            </w:r>
          </w:p>
        </w:tc>
        <w:tc>
          <w:tcPr>
            <w:tcW w:w="216" w:type="dxa"/>
            <w:tcBorders>
              <w:top w:val="nil"/>
              <w:left w:val="nil"/>
              <w:bottom w:val="nil"/>
              <w:right w:val="nil"/>
            </w:tcBorders>
            <w:shd w:val="clear" w:color="auto" w:fill="auto"/>
            <w:noWrap/>
            <w:vAlign w:val="center"/>
            <w:hideMark/>
          </w:tcPr>
          <w:p w14:paraId="5C405AC6"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2BE736F2"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31,231 </w:t>
            </w:r>
          </w:p>
        </w:tc>
      </w:tr>
      <w:tr w:rsidR="00C55038" w:rsidRPr="00092B22" w14:paraId="72E99E81" w14:textId="77777777" w:rsidTr="00E607DA">
        <w:trPr>
          <w:trHeight w:val="20"/>
        </w:trPr>
        <w:tc>
          <w:tcPr>
            <w:tcW w:w="215" w:type="dxa"/>
            <w:tcBorders>
              <w:top w:val="nil"/>
              <w:left w:val="nil"/>
              <w:bottom w:val="nil"/>
              <w:right w:val="nil"/>
            </w:tcBorders>
            <w:shd w:val="clear" w:color="auto" w:fill="auto"/>
            <w:noWrap/>
            <w:vAlign w:val="center"/>
            <w:hideMark/>
          </w:tcPr>
          <w:p w14:paraId="3A803AC1" w14:textId="77777777" w:rsidR="00C55038" w:rsidRPr="00092B22" w:rsidRDefault="00C55038" w:rsidP="00E607DA">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645AC837" w14:textId="77777777" w:rsidR="00C55038" w:rsidRPr="00092B22" w:rsidRDefault="00C55038"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Unearned revenue – Service concession arrangements </w:t>
            </w:r>
          </w:p>
        </w:tc>
        <w:tc>
          <w:tcPr>
            <w:tcW w:w="1021" w:type="dxa"/>
            <w:tcBorders>
              <w:top w:val="nil"/>
              <w:left w:val="nil"/>
              <w:bottom w:val="nil"/>
              <w:right w:val="nil"/>
            </w:tcBorders>
            <w:shd w:val="clear" w:color="auto" w:fill="auto"/>
            <w:noWrap/>
            <w:vAlign w:val="center"/>
            <w:hideMark/>
          </w:tcPr>
          <w:p w14:paraId="09BFD879"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16</w:t>
            </w:r>
          </w:p>
        </w:tc>
        <w:tc>
          <w:tcPr>
            <w:tcW w:w="215" w:type="dxa"/>
            <w:tcBorders>
              <w:top w:val="nil"/>
              <w:left w:val="nil"/>
              <w:bottom w:val="nil"/>
              <w:right w:val="nil"/>
            </w:tcBorders>
            <w:shd w:val="clear" w:color="auto" w:fill="auto"/>
            <w:noWrap/>
            <w:vAlign w:val="center"/>
            <w:hideMark/>
          </w:tcPr>
          <w:p w14:paraId="1FE0626A" w14:textId="77777777" w:rsidR="00C55038" w:rsidRPr="00092B22" w:rsidRDefault="00C55038" w:rsidP="00E607DA">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7E2C48C8"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232,180 </w:t>
            </w:r>
          </w:p>
        </w:tc>
        <w:tc>
          <w:tcPr>
            <w:tcW w:w="216" w:type="dxa"/>
            <w:tcBorders>
              <w:top w:val="nil"/>
              <w:left w:val="nil"/>
              <w:bottom w:val="nil"/>
              <w:right w:val="nil"/>
            </w:tcBorders>
            <w:shd w:val="clear" w:color="auto" w:fill="auto"/>
            <w:noWrap/>
            <w:vAlign w:val="center"/>
            <w:hideMark/>
          </w:tcPr>
          <w:p w14:paraId="03F11D6A"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54022F9E"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232,179 </w:t>
            </w:r>
          </w:p>
        </w:tc>
      </w:tr>
      <w:tr w:rsidR="00C55038" w:rsidRPr="00092B22" w14:paraId="3711276B" w14:textId="77777777" w:rsidTr="00E607DA">
        <w:trPr>
          <w:trHeight w:val="20"/>
        </w:trPr>
        <w:tc>
          <w:tcPr>
            <w:tcW w:w="215" w:type="dxa"/>
            <w:tcBorders>
              <w:top w:val="nil"/>
              <w:left w:val="nil"/>
              <w:bottom w:val="nil"/>
              <w:right w:val="nil"/>
            </w:tcBorders>
            <w:shd w:val="clear" w:color="auto" w:fill="auto"/>
            <w:noWrap/>
            <w:vAlign w:val="center"/>
            <w:hideMark/>
          </w:tcPr>
          <w:p w14:paraId="0772C077" w14:textId="77777777" w:rsidR="00C55038" w:rsidRPr="00092B22" w:rsidRDefault="00C55038" w:rsidP="00E607DA">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584E439C" w14:textId="77777777" w:rsidR="00C55038" w:rsidRPr="00092B22" w:rsidRDefault="00C55038"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Other</w:t>
            </w:r>
          </w:p>
        </w:tc>
        <w:tc>
          <w:tcPr>
            <w:tcW w:w="1021" w:type="dxa"/>
            <w:tcBorders>
              <w:top w:val="nil"/>
              <w:left w:val="nil"/>
              <w:bottom w:val="nil"/>
              <w:right w:val="nil"/>
            </w:tcBorders>
            <w:shd w:val="clear" w:color="auto" w:fill="auto"/>
            <w:noWrap/>
            <w:vAlign w:val="center"/>
            <w:hideMark/>
          </w:tcPr>
          <w:p w14:paraId="4D84A238"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21</w:t>
            </w:r>
          </w:p>
        </w:tc>
        <w:tc>
          <w:tcPr>
            <w:tcW w:w="215" w:type="dxa"/>
            <w:tcBorders>
              <w:top w:val="nil"/>
              <w:left w:val="nil"/>
              <w:bottom w:val="nil"/>
              <w:right w:val="nil"/>
            </w:tcBorders>
            <w:shd w:val="clear" w:color="auto" w:fill="auto"/>
            <w:noWrap/>
            <w:vAlign w:val="center"/>
            <w:hideMark/>
          </w:tcPr>
          <w:p w14:paraId="7450236B" w14:textId="77777777" w:rsidR="00C55038" w:rsidRPr="00092B22" w:rsidRDefault="00C55038" w:rsidP="00E607DA">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416BC159"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234,194 </w:t>
            </w:r>
          </w:p>
        </w:tc>
        <w:tc>
          <w:tcPr>
            <w:tcW w:w="216" w:type="dxa"/>
            <w:tcBorders>
              <w:top w:val="nil"/>
              <w:left w:val="nil"/>
              <w:bottom w:val="nil"/>
              <w:right w:val="nil"/>
            </w:tcBorders>
            <w:shd w:val="clear" w:color="auto" w:fill="auto"/>
            <w:noWrap/>
            <w:vAlign w:val="center"/>
            <w:hideMark/>
          </w:tcPr>
          <w:p w14:paraId="5DE54860"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40166AEF"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191,118 </w:t>
            </w:r>
          </w:p>
        </w:tc>
      </w:tr>
      <w:tr w:rsidR="00C55038" w:rsidRPr="00092B22" w14:paraId="013A757F" w14:textId="77777777" w:rsidTr="00E607DA">
        <w:trPr>
          <w:trHeight w:val="20"/>
        </w:trPr>
        <w:tc>
          <w:tcPr>
            <w:tcW w:w="215" w:type="dxa"/>
            <w:tcBorders>
              <w:top w:val="single" w:sz="4" w:space="0" w:color="auto"/>
              <w:left w:val="nil"/>
              <w:bottom w:val="nil"/>
              <w:right w:val="nil"/>
            </w:tcBorders>
            <w:shd w:val="clear" w:color="auto" w:fill="auto"/>
            <w:noWrap/>
            <w:vAlign w:val="center"/>
            <w:hideMark/>
          </w:tcPr>
          <w:p w14:paraId="2822107C" w14:textId="77777777" w:rsidR="00C55038" w:rsidRPr="00092B22" w:rsidRDefault="00C55038"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4990" w:type="dxa"/>
            <w:tcBorders>
              <w:top w:val="single" w:sz="4" w:space="0" w:color="auto"/>
              <w:left w:val="nil"/>
              <w:bottom w:val="nil"/>
              <w:right w:val="nil"/>
            </w:tcBorders>
            <w:shd w:val="clear" w:color="auto" w:fill="auto"/>
            <w:noWrap/>
            <w:vAlign w:val="center"/>
            <w:hideMark/>
          </w:tcPr>
          <w:p w14:paraId="3DDF2C01" w14:textId="77777777" w:rsidR="00C55038" w:rsidRPr="00092B22" w:rsidRDefault="00C55038" w:rsidP="00E607DA">
            <w:pP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Total current liabilities</w:t>
            </w:r>
          </w:p>
        </w:tc>
        <w:tc>
          <w:tcPr>
            <w:tcW w:w="1021" w:type="dxa"/>
            <w:tcBorders>
              <w:top w:val="single" w:sz="4" w:space="0" w:color="auto"/>
              <w:left w:val="nil"/>
              <w:bottom w:val="nil"/>
              <w:right w:val="nil"/>
            </w:tcBorders>
            <w:shd w:val="clear" w:color="auto" w:fill="auto"/>
            <w:noWrap/>
            <w:vAlign w:val="center"/>
            <w:hideMark/>
          </w:tcPr>
          <w:p w14:paraId="35A7FCBA"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15" w:type="dxa"/>
            <w:tcBorders>
              <w:top w:val="single" w:sz="4" w:space="0" w:color="auto"/>
              <w:left w:val="nil"/>
              <w:bottom w:val="nil"/>
              <w:right w:val="nil"/>
            </w:tcBorders>
            <w:shd w:val="clear" w:color="auto" w:fill="auto"/>
            <w:noWrap/>
            <w:vAlign w:val="center"/>
            <w:hideMark/>
          </w:tcPr>
          <w:p w14:paraId="089747A9" w14:textId="77777777" w:rsidR="00C55038" w:rsidRPr="00092B22" w:rsidRDefault="00C55038" w:rsidP="00E607DA">
            <w:pPr>
              <w:jc w:val="cente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w:t>
            </w:r>
          </w:p>
        </w:tc>
        <w:tc>
          <w:tcPr>
            <w:tcW w:w="1514" w:type="dxa"/>
            <w:tcBorders>
              <w:top w:val="single" w:sz="4" w:space="0" w:color="auto"/>
              <w:left w:val="nil"/>
              <w:bottom w:val="nil"/>
              <w:right w:val="nil"/>
            </w:tcBorders>
            <w:shd w:val="clear" w:color="000000" w:fill="C9E3B4"/>
            <w:noWrap/>
            <w:vAlign w:val="center"/>
            <w:hideMark/>
          </w:tcPr>
          <w:p w14:paraId="2EA4DAF0" w14:textId="77777777" w:rsidR="00C55038" w:rsidRPr="00092B22" w:rsidRDefault="00C55038"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xml:space="preserve">             1,450,560 </w:t>
            </w:r>
          </w:p>
        </w:tc>
        <w:tc>
          <w:tcPr>
            <w:tcW w:w="216" w:type="dxa"/>
            <w:tcBorders>
              <w:top w:val="single" w:sz="4" w:space="0" w:color="auto"/>
              <w:left w:val="nil"/>
              <w:bottom w:val="nil"/>
              <w:right w:val="nil"/>
            </w:tcBorders>
            <w:shd w:val="clear" w:color="auto" w:fill="auto"/>
            <w:noWrap/>
            <w:vAlign w:val="center"/>
            <w:hideMark/>
          </w:tcPr>
          <w:p w14:paraId="056FFA0A" w14:textId="77777777" w:rsidR="00C55038" w:rsidRPr="00092B22" w:rsidRDefault="00C55038"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w:t>
            </w:r>
          </w:p>
        </w:tc>
        <w:tc>
          <w:tcPr>
            <w:tcW w:w="1514" w:type="dxa"/>
            <w:tcBorders>
              <w:top w:val="single" w:sz="4" w:space="0" w:color="auto"/>
              <w:left w:val="nil"/>
              <w:bottom w:val="nil"/>
              <w:right w:val="nil"/>
            </w:tcBorders>
            <w:shd w:val="clear" w:color="auto" w:fill="auto"/>
            <w:noWrap/>
            <w:vAlign w:val="center"/>
            <w:hideMark/>
          </w:tcPr>
          <w:p w14:paraId="33D804BC" w14:textId="77777777" w:rsidR="00C55038" w:rsidRPr="00092B22" w:rsidRDefault="00C55038"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xml:space="preserve">1,373,508 </w:t>
            </w:r>
          </w:p>
        </w:tc>
      </w:tr>
      <w:tr w:rsidR="00C55038" w:rsidRPr="00092B22" w14:paraId="1CA871A9" w14:textId="77777777" w:rsidTr="00E607DA">
        <w:trPr>
          <w:trHeight w:val="20"/>
        </w:trPr>
        <w:tc>
          <w:tcPr>
            <w:tcW w:w="215" w:type="dxa"/>
            <w:tcBorders>
              <w:top w:val="nil"/>
              <w:left w:val="nil"/>
              <w:bottom w:val="nil"/>
              <w:right w:val="nil"/>
            </w:tcBorders>
            <w:shd w:val="clear" w:color="auto" w:fill="auto"/>
            <w:noWrap/>
            <w:vAlign w:val="center"/>
            <w:hideMark/>
          </w:tcPr>
          <w:p w14:paraId="3ABA2A68" w14:textId="77777777" w:rsidR="00C55038" w:rsidRPr="00092B22" w:rsidRDefault="00C55038" w:rsidP="00E607DA">
            <w:pPr>
              <w:jc w:val="right"/>
              <w:rPr>
                <w:rFonts w:ascii="Meta Pro" w:eastAsia="Times New Roman" w:hAnsi="Meta Pro"/>
                <w:b/>
                <w:bCs/>
                <w:color w:val="000000"/>
                <w:szCs w:val="18"/>
                <w:lang w:eastAsia="en-AU"/>
              </w:rPr>
            </w:pPr>
          </w:p>
        </w:tc>
        <w:tc>
          <w:tcPr>
            <w:tcW w:w="4990" w:type="dxa"/>
            <w:tcBorders>
              <w:top w:val="nil"/>
              <w:left w:val="nil"/>
              <w:bottom w:val="nil"/>
              <w:right w:val="nil"/>
            </w:tcBorders>
            <w:shd w:val="clear" w:color="auto" w:fill="auto"/>
            <w:noWrap/>
            <w:vAlign w:val="center"/>
            <w:hideMark/>
          </w:tcPr>
          <w:p w14:paraId="12F9A423" w14:textId="77777777" w:rsidR="00C55038" w:rsidRPr="00092B22" w:rsidRDefault="00C55038" w:rsidP="00E607DA">
            <w:pPr>
              <w:rPr>
                <w:rFonts w:ascii="Meta Pro" w:eastAsia="Times New Roman" w:hAnsi="Meta Pro" w:cs="Times New Roman"/>
                <w:sz w:val="20"/>
                <w:szCs w:val="20"/>
                <w:lang w:eastAsia="en-AU"/>
              </w:rPr>
            </w:pPr>
          </w:p>
        </w:tc>
        <w:tc>
          <w:tcPr>
            <w:tcW w:w="1021" w:type="dxa"/>
            <w:tcBorders>
              <w:top w:val="nil"/>
              <w:left w:val="nil"/>
              <w:bottom w:val="nil"/>
              <w:right w:val="nil"/>
            </w:tcBorders>
            <w:shd w:val="clear" w:color="auto" w:fill="auto"/>
            <w:noWrap/>
            <w:vAlign w:val="center"/>
            <w:hideMark/>
          </w:tcPr>
          <w:p w14:paraId="0E1A952E" w14:textId="77777777" w:rsidR="00C55038" w:rsidRPr="00092B22" w:rsidRDefault="00C55038" w:rsidP="00E607DA">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2CD9BD9C" w14:textId="77777777" w:rsidR="00C55038" w:rsidRPr="00092B22" w:rsidRDefault="00C55038"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384BD07B"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4F89CB1C"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7441D57F" w14:textId="77777777" w:rsidR="00C55038" w:rsidRPr="00092B22" w:rsidRDefault="00C55038" w:rsidP="00E607DA">
            <w:pPr>
              <w:jc w:val="right"/>
              <w:rPr>
                <w:rFonts w:ascii="Meta Pro" w:eastAsia="Times New Roman" w:hAnsi="Meta Pro" w:cs="Times New Roman"/>
                <w:sz w:val="20"/>
                <w:szCs w:val="20"/>
                <w:lang w:eastAsia="en-AU"/>
              </w:rPr>
            </w:pPr>
          </w:p>
        </w:tc>
      </w:tr>
      <w:tr w:rsidR="00C55038" w:rsidRPr="00092B22" w14:paraId="48B82551" w14:textId="77777777" w:rsidTr="00E607DA">
        <w:trPr>
          <w:trHeight w:val="20"/>
        </w:trPr>
        <w:tc>
          <w:tcPr>
            <w:tcW w:w="4990" w:type="dxa"/>
            <w:gridSpan w:val="2"/>
            <w:tcBorders>
              <w:top w:val="nil"/>
              <w:left w:val="nil"/>
              <w:bottom w:val="nil"/>
              <w:right w:val="nil"/>
            </w:tcBorders>
            <w:shd w:val="clear" w:color="auto" w:fill="auto"/>
            <w:noWrap/>
            <w:vAlign w:val="center"/>
            <w:hideMark/>
          </w:tcPr>
          <w:p w14:paraId="051D1213" w14:textId="77777777" w:rsidR="00C55038" w:rsidRPr="00092B22" w:rsidRDefault="00C55038" w:rsidP="00E607DA">
            <w:pP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Non-current liabilities</w:t>
            </w:r>
          </w:p>
        </w:tc>
        <w:tc>
          <w:tcPr>
            <w:tcW w:w="1021" w:type="dxa"/>
            <w:tcBorders>
              <w:top w:val="nil"/>
              <w:left w:val="nil"/>
              <w:bottom w:val="nil"/>
              <w:right w:val="nil"/>
            </w:tcBorders>
            <w:shd w:val="clear" w:color="auto" w:fill="auto"/>
            <w:noWrap/>
            <w:vAlign w:val="center"/>
            <w:hideMark/>
          </w:tcPr>
          <w:p w14:paraId="474B26CA" w14:textId="77777777" w:rsidR="00C55038" w:rsidRPr="00092B22" w:rsidRDefault="00C55038" w:rsidP="00E607DA">
            <w:pPr>
              <w:rPr>
                <w:rFonts w:ascii="Meta Pro" w:eastAsia="Times New Roman" w:hAnsi="Meta Pro"/>
                <w:b/>
                <w:bCs/>
                <w:color w:val="000000"/>
                <w:szCs w:val="18"/>
                <w:lang w:eastAsia="en-AU"/>
              </w:rPr>
            </w:pPr>
          </w:p>
        </w:tc>
        <w:tc>
          <w:tcPr>
            <w:tcW w:w="215" w:type="dxa"/>
            <w:tcBorders>
              <w:top w:val="nil"/>
              <w:left w:val="nil"/>
              <w:bottom w:val="nil"/>
              <w:right w:val="nil"/>
            </w:tcBorders>
            <w:shd w:val="clear" w:color="auto" w:fill="auto"/>
            <w:noWrap/>
            <w:vAlign w:val="center"/>
            <w:hideMark/>
          </w:tcPr>
          <w:p w14:paraId="291BDC97" w14:textId="77777777" w:rsidR="00C55038" w:rsidRPr="00092B22" w:rsidRDefault="00C55038"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2CEA5217"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345C0FE7"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4ADAD8B3" w14:textId="77777777" w:rsidR="00C55038" w:rsidRPr="00092B22" w:rsidRDefault="00C55038" w:rsidP="00E607DA">
            <w:pPr>
              <w:jc w:val="right"/>
              <w:rPr>
                <w:rFonts w:ascii="Meta Pro" w:eastAsia="Times New Roman" w:hAnsi="Meta Pro" w:cs="Times New Roman"/>
                <w:sz w:val="20"/>
                <w:szCs w:val="20"/>
                <w:lang w:eastAsia="en-AU"/>
              </w:rPr>
            </w:pPr>
          </w:p>
        </w:tc>
      </w:tr>
      <w:tr w:rsidR="00C55038" w:rsidRPr="00092B22" w14:paraId="519CF708" w14:textId="77777777" w:rsidTr="00E607DA">
        <w:trPr>
          <w:trHeight w:val="20"/>
        </w:trPr>
        <w:tc>
          <w:tcPr>
            <w:tcW w:w="215" w:type="dxa"/>
            <w:tcBorders>
              <w:top w:val="nil"/>
              <w:left w:val="nil"/>
              <w:bottom w:val="nil"/>
              <w:right w:val="nil"/>
            </w:tcBorders>
            <w:shd w:val="clear" w:color="auto" w:fill="auto"/>
            <w:noWrap/>
            <w:vAlign w:val="center"/>
            <w:hideMark/>
          </w:tcPr>
          <w:p w14:paraId="5B7C698B" w14:textId="77777777" w:rsidR="00C55038" w:rsidRPr="00092B22" w:rsidRDefault="00C55038" w:rsidP="00E607DA">
            <w:pPr>
              <w:jc w:val="right"/>
              <w:rPr>
                <w:rFonts w:ascii="Meta Pro" w:eastAsia="Times New Roman" w:hAnsi="Meta Pro" w:cs="Times New Roman"/>
                <w:sz w:val="20"/>
                <w:szCs w:val="20"/>
                <w:lang w:eastAsia="en-AU"/>
              </w:rPr>
            </w:pPr>
          </w:p>
        </w:tc>
        <w:tc>
          <w:tcPr>
            <w:tcW w:w="4990" w:type="dxa"/>
            <w:tcBorders>
              <w:top w:val="nil"/>
              <w:left w:val="nil"/>
              <w:bottom w:val="nil"/>
              <w:right w:val="nil"/>
            </w:tcBorders>
            <w:shd w:val="clear" w:color="auto" w:fill="auto"/>
            <w:noWrap/>
            <w:vAlign w:val="center"/>
            <w:hideMark/>
          </w:tcPr>
          <w:p w14:paraId="4EE9E086" w14:textId="77777777" w:rsidR="00C55038" w:rsidRPr="00092B22" w:rsidRDefault="00C55038"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Borrowings</w:t>
            </w:r>
          </w:p>
        </w:tc>
        <w:tc>
          <w:tcPr>
            <w:tcW w:w="1021" w:type="dxa"/>
            <w:tcBorders>
              <w:top w:val="nil"/>
              <w:left w:val="nil"/>
              <w:bottom w:val="nil"/>
              <w:right w:val="nil"/>
            </w:tcBorders>
            <w:shd w:val="clear" w:color="auto" w:fill="auto"/>
            <w:noWrap/>
            <w:vAlign w:val="center"/>
            <w:hideMark/>
          </w:tcPr>
          <w:p w14:paraId="7D574526"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18</w:t>
            </w:r>
          </w:p>
        </w:tc>
        <w:tc>
          <w:tcPr>
            <w:tcW w:w="215" w:type="dxa"/>
            <w:tcBorders>
              <w:top w:val="nil"/>
              <w:left w:val="nil"/>
              <w:bottom w:val="nil"/>
              <w:right w:val="nil"/>
            </w:tcBorders>
            <w:shd w:val="clear" w:color="auto" w:fill="auto"/>
            <w:noWrap/>
            <w:vAlign w:val="center"/>
            <w:hideMark/>
          </w:tcPr>
          <w:p w14:paraId="1804C628" w14:textId="77777777" w:rsidR="00C55038" w:rsidRPr="00092B22" w:rsidRDefault="00C55038" w:rsidP="00E607DA">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0A32B00C"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1,255,229 </w:t>
            </w:r>
          </w:p>
        </w:tc>
        <w:tc>
          <w:tcPr>
            <w:tcW w:w="216" w:type="dxa"/>
            <w:tcBorders>
              <w:top w:val="nil"/>
              <w:left w:val="nil"/>
              <w:bottom w:val="nil"/>
              <w:right w:val="nil"/>
            </w:tcBorders>
            <w:shd w:val="clear" w:color="auto" w:fill="auto"/>
            <w:noWrap/>
            <w:vAlign w:val="center"/>
            <w:hideMark/>
          </w:tcPr>
          <w:p w14:paraId="559862B9"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52102D0C"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1,219,134 </w:t>
            </w:r>
          </w:p>
        </w:tc>
      </w:tr>
      <w:tr w:rsidR="00C55038" w:rsidRPr="00092B22" w14:paraId="3F477389" w14:textId="77777777" w:rsidTr="00E607DA">
        <w:trPr>
          <w:trHeight w:val="20"/>
        </w:trPr>
        <w:tc>
          <w:tcPr>
            <w:tcW w:w="215" w:type="dxa"/>
            <w:tcBorders>
              <w:top w:val="nil"/>
              <w:left w:val="nil"/>
              <w:bottom w:val="nil"/>
              <w:right w:val="nil"/>
            </w:tcBorders>
            <w:shd w:val="clear" w:color="auto" w:fill="auto"/>
            <w:noWrap/>
            <w:vAlign w:val="center"/>
            <w:hideMark/>
          </w:tcPr>
          <w:p w14:paraId="0DBDC74D" w14:textId="77777777" w:rsidR="00C55038" w:rsidRPr="00092B22" w:rsidRDefault="00C55038" w:rsidP="00E607DA">
            <w:pPr>
              <w:jc w:val="right"/>
              <w:rPr>
                <w:rFonts w:ascii="Meta Pro" w:eastAsia="Times New Roman" w:hAnsi="Meta Pro"/>
                <w:color w:val="000000"/>
                <w:szCs w:val="18"/>
                <w:lang w:eastAsia="en-AU"/>
              </w:rPr>
            </w:pPr>
          </w:p>
        </w:tc>
        <w:tc>
          <w:tcPr>
            <w:tcW w:w="4990" w:type="dxa"/>
            <w:tcBorders>
              <w:top w:val="nil"/>
              <w:left w:val="nil"/>
              <w:right w:val="nil"/>
            </w:tcBorders>
            <w:shd w:val="clear" w:color="auto" w:fill="auto"/>
            <w:noWrap/>
            <w:vAlign w:val="center"/>
            <w:hideMark/>
          </w:tcPr>
          <w:p w14:paraId="44937CD6" w14:textId="77777777" w:rsidR="00C55038" w:rsidRPr="00092B22" w:rsidRDefault="00C55038"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Provisions</w:t>
            </w:r>
          </w:p>
        </w:tc>
        <w:tc>
          <w:tcPr>
            <w:tcW w:w="1021" w:type="dxa"/>
            <w:tcBorders>
              <w:top w:val="nil"/>
              <w:left w:val="nil"/>
              <w:right w:val="nil"/>
            </w:tcBorders>
            <w:shd w:val="clear" w:color="auto" w:fill="auto"/>
            <w:noWrap/>
            <w:vAlign w:val="center"/>
            <w:hideMark/>
          </w:tcPr>
          <w:p w14:paraId="6928E97E"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19</w:t>
            </w:r>
          </w:p>
        </w:tc>
        <w:tc>
          <w:tcPr>
            <w:tcW w:w="215" w:type="dxa"/>
            <w:tcBorders>
              <w:top w:val="nil"/>
              <w:left w:val="nil"/>
              <w:right w:val="nil"/>
            </w:tcBorders>
            <w:shd w:val="clear" w:color="auto" w:fill="auto"/>
            <w:noWrap/>
            <w:vAlign w:val="center"/>
            <w:hideMark/>
          </w:tcPr>
          <w:p w14:paraId="6192791D" w14:textId="77777777" w:rsidR="00C55038" w:rsidRPr="00092B22" w:rsidRDefault="00C55038" w:rsidP="00E607DA">
            <w:pPr>
              <w:jc w:val="center"/>
              <w:rPr>
                <w:rFonts w:ascii="Meta Pro" w:eastAsia="Times New Roman" w:hAnsi="Meta Pro"/>
                <w:color w:val="000000"/>
                <w:szCs w:val="18"/>
                <w:lang w:eastAsia="en-AU"/>
              </w:rPr>
            </w:pPr>
          </w:p>
        </w:tc>
        <w:tc>
          <w:tcPr>
            <w:tcW w:w="1514" w:type="dxa"/>
            <w:tcBorders>
              <w:top w:val="nil"/>
              <w:left w:val="nil"/>
              <w:right w:val="nil"/>
            </w:tcBorders>
            <w:shd w:val="clear" w:color="000000" w:fill="C9E3B4"/>
            <w:noWrap/>
            <w:vAlign w:val="center"/>
            <w:hideMark/>
          </w:tcPr>
          <w:p w14:paraId="4B3D2E6B"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181,810 </w:t>
            </w:r>
          </w:p>
        </w:tc>
        <w:tc>
          <w:tcPr>
            <w:tcW w:w="216" w:type="dxa"/>
            <w:tcBorders>
              <w:top w:val="nil"/>
              <w:left w:val="nil"/>
              <w:right w:val="nil"/>
            </w:tcBorders>
            <w:shd w:val="clear" w:color="auto" w:fill="auto"/>
            <w:noWrap/>
            <w:vAlign w:val="center"/>
            <w:hideMark/>
          </w:tcPr>
          <w:p w14:paraId="052A9365"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right w:val="nil"/>
            </w:tcBorders>
            <w:shd w:val="clear" w:color="auto" w:fill="auto"/>
            <w:noWrap/>
            <w:vAlign w:val="center"/>
            <w:hideMark/>
          </w:tcPr>
          <w:p w14:paraId="4D6538F8"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238,474 </w:t>
            </w:r>
          </w:p>
        </w:tc>
      </w:tr>
      <w:tr w:rsidR="00C55038" w:rsidRPr="00092B22" w14:paraId="50E30020" w14:textId="77777777" w:rsidTr="00E607DA">
        <w:trPr>
          <w:trHeight w:val="20"/>
        </w:trPr>
        <w:tc>
          <w:tcPr>
            <w:tcW w:w="215" w:type="dxa"/>
            <w:tcBorders>
              <w:top w:val="nil"/>
              <w:left w:val="nil"/>
              <w:bottom w:val="nil"/>
              <w:right w:val="nil"/>
            </w:tcBorders>
            <w:shd w:val="clear" w:color="auto" w:fill="auto"/>
            <w:noWrap/>
            <w:vAlign w:val="center"/>
            <w:hideMark/>
          </w:tcPr>
          <w:p w14:paraId="332828C2" w14:textId="77777777" w:rsidR="00C55038" w:rsidRPr="00092B22" w:rsidRDefault="00C55038" w:rsidP="00E607DA">
            <w:pPr>
              <w:jc w:val="right"/>
              <w:rPr>
                <w:rFonts w:ascii="Meta Pro" w:eastAsia="Times New Roman" w:hAnsi="Meta Pro"/>
                <w:b/>
                <w:bCs/>
                <w:color w:val="000000"/>
                <w:szCs w:val="18"/>
                <w:lang w:eastAsia="en-AU"/>
              </w:rPr>
            </w:pPr>
            <w:r w:rsidRPr="00092B22">
              <w:rPr>
                <w:rFonts w:ascii="Meta Pro" w:eastAsia="Times New Roman" w:hAnsi="Meta Pro"/>
                <w:color w:val="000000"/>
                <w:szCs w:val="18"/>
                <w:lang w:eastAsia="en-AU"/>
              </w:rPr>
              <w:t> </w:t>
            </w:r>
          </w:p>
        </w:tc>
        <w:tc>
          <w:tcPr>
            <w:tcW w:w="4990" w:type="dxa"/>
            <w:tcBorders>
              <w:top w:val="nil"/>
              <w:left w:val="nil"/>
              <w:bottom w:val="single" w:sz="4" w:space="0" w:color="auto"/>
              <w:right w:val="nil"/>
            </w:tcBorders>
            <w:shd w:val="clear" w:color="auto" w:fill="auto"/>
            <w:noWrap/>
            <w:vAlign w:val="center"/>
            <w:hideMark/>
          </w:tcPr>
          <w:p w14:paraId="26B07A16" w14:textId="77777777" w:rsidR="00C55038" w:rsidRPr="00092B22" w:rsidRDefault="00C55038"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Unearned revenue – Service concession arrangements </w:t>
            </w:r>
          </w:p>
        </w:tc>
        <w:tc>
          <w:tcPr>
            <w:tcW w:w="1021" w:type="dxa"/>
            <w:tcBorders>
              <w:top w:val="nil"/>
              <w:left w:val="nil"/>
              <w:bottom w:val="single" w:sz="4" w:space="0" w:color="auto"/>
              <w:right w:val="nil"/>
            </w:tcBorders>
            <w:shd w:val="clear" w:color="auto" w:fill="auto"/>
            <w:noWrap/>
            <w:vAlign w:val="center"/>
            <w:hideMark/>
          </w:tcPr>
          <w:p w14:paraId="5B486F23"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16</w:t>
            </w:r>
          </w:p>
        </w:tc>
        <w:tc>
          <w:tcPr>
            <w:tcW w:w="215" w:type="dxa"/>
            <w:tcBorders>
              <w:top w:val="nil"/>
              <w:left w:val="nil"/>
              <w:bottom w:val="single" w:sz="4" w:space="0" w:color="auto"/>
              <w:right w:val="nil"/>
            </w:tcBorders>
            <w:shd w:val="clear" w:color="auto" w:fill="auto"/>
            <w:noWrap/>
            <w:vAlign w:val="center"/>
            <w:hideMark/>
          </w:tcPr>
          <w:p w14:paraId="04DC870E"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1514" w:type="dxa"/>
            <w:tcBorders>
              <w:top w:val="nil"/>
              <w:left w:val="nil"/>
              <w:bottom w:val="single" w:sz="4" w:space="0" w:color="auto"/>
              <w:right w:val="nil"/>
            </w:tcBorders>
            <w:shd w:val="clear" w:color="000000" w:fill="C9E3B4"/>
            <w:noWrap/>
            <w:vAlign w:val="center"/>
            <w:hideMark/>
          </w:tcPr>
          <w:p w14:paraId="1B35E8CC"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7,155,314 </w:t>
            </w:r>
          </w:p>
        </w:tc>
        <w:tc>
          <w:tcPr>
            <w:tcW w:w="216" w:type="dxa"/>
            <w:tcBorders>
              <w:top w:val="nil"/>
              <w:left w:val="nil"/>
              <w:bottom w:val="single" w:sz="4" w:space="0" w:color="auto"/>
              <w:right w:val="nil"/>
            </w:tcBorders>
            <w:shd w:val="clear" w:color="auto" w:fill="auto"/>
            <w:noWrap/>
            <w:vAlign w:val="center"/>
            <w:hideMark/>
          </w:tcPr>
          <w:p w14:paraId="7E30A33C"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1514" w:type="dxa"/>
            <w:tcBorders>
              <w:top w:val="nil"/>
              <w:left w:val="nil"/>
              <w:bottom w:val="single" w:sz="4" w:space="0" w:color="auto"/>
              <w:right w:val="nil"/>
            </w:tcBorders>
            <w:shd w:val="clear" w:color="auto" w:fill="auto"/>
            <w:noWrap/>
            <w:vAlign w:val="center"/>
            <w:hideMark/>
          </w:tcPr>
          <w:p w14:paraId="2AF33FCA"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7,387,494 </w:t>
            </w:r>
          </w:p>
        </w:tc>
      </w:tr>
      <w:tr w:rsidR="00C55038" w:rsidRPr="00092B22" w14:paraId="5B102E13" w14:textId="77777777" w:rsidTr="00E607DA">
        <w:trPr>
          <w:trHeight w:val="20"/>
        </w:trPr>
        <w:tc>
          <w:tcPr>
            <w:tcW w:w="215" w:type="dxa"/>
            <w:tcBorders>
              <w:top w:val="single" w:sz="4" w:space="0" w:color="auto"/>
              <w:left w:val="nil"/>
              <w:bottom w:val="nil"/>
              <w:right w:val="nil"/>
            </w:tcBorders>
            <w:shd w:val="clear" w:color="auto" w:fill="auto"/>
            <w:noWrap/>
            <w:vAlign w:val="center"/>
            <w:hideMark/>
          </w:tcPr>
          <w:p w14:paraId="2F889A00" w14:textId="77777777" w:rsidR="00C55038" w:rsidRPr="00092B22" w:rsidRDefault="00C55038"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4990" w:type="dxa"/>
            <w:tcBorders>
              <w:top w:val="single" w:sz="4" w:space="0" w:color="auto"/>
              <w:left w:val="nil"/>
              <w:bottom w:val="nil"/>
              <w:right w:val="nil"/>
            </w:tcBorders>
            <w:shd w:val="clear" w:color="auto" w:fill="auto"/>
            <w:noWrap/>
            <w:vAlign w:val="center"/>
            <w:hideMark/>
          </w:tcPr>
          <w:p w14:paraId="2688CBB1" w14:textId="77777777" w:rsidR="00C55038" w:rsidRPr="00092B22" w:rsidRDefault="00C55038" w:rsidP="00E607DA">
            <w:pP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Total non-current liabilities</w:t>
            </w:r>
          </w:p>
        </w:tc>
        <w:tc>
          <w:tcPr>
            <w:tcW w:w="1021" w:type="dxa"/>
            <w:tcBorders>
              <w:top w:val="single" w:sz="4" w:space="0" w:color="auto"/>
              <w:left w:val="nil"/>
              <w:bottom w:val="nil"/>
              <w:right w:val="nil"/>
            </w:tcBorders>
            <w:shd w:val="clear" w:color="auto" w:fill="auto"/>
            <w:noWrap/>
            <w:vAlign w:val="center"/>
            <w:hideMark/>
          </w:tcPr>
          <w:p w14:paraId="68FB0909"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15" w:type="dxa"/>
            <w:tcBorders>
              <w:top w:val="single" w:sz="4" w:space="0" w:color="auto"/>
              <w:left w:val="nil"/>
              <w:bottom w:val="nil"/>
              <w:right w:val="nil"/>
            </w:tcBorders>
            <w:shd w:val="clear" w:color="auto" w:fill="auto"/>
            <w:noWrap/>
            <w:vAlign w:val="center"/>
            <w:hideMark/>
          </w:tcPr>
          <w:p w14:paraId="01967FE8" w14:textId="77777777" w:rsidR="00C55038" w:rsidRPr="00092B22" w:rsidRDefault="00C55038" w:rsidP="00E607DA">
            <w:pPr>
              <w:jc w:val="cente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w:t>
            </w:r>
          </w:p>
        </w:tc>
        <w:tc>
          <w:tcPr>
            <w:tcW w:w="1514" w:type="dxa"/>
            <w:tcBorders>
              <w:top w:val="single" w:sz="4" w:space="0" w:color="auto"/>
              <w:left w:val="nil"/>
              <w:bottom w:val="nil"/>
              <w:right w:val="nil"/>
            </w:tcBorders>
            <w:shd w:val="clear" w:color="000000" w:fill="C9E3B4"/>
            <w:noWrap/>
            <w:vAlign w:val="center"/>
            <w:hideMark/>
          </w:tcPr>
          <w:p w14:paraId="05B58E66" w14:textId="77777777" w:rsidR="00C55038" w:rsidRPr="00092B22" w:rsidRDefault="00C55038"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xml:space="preserve">             8,592,353 </w:t>
            </w:r>
          </w:p>
        </w:tc>
        <w:tc>
          <w:tcPr>
            <w:tcW w:w="216" w:type="dxa"/>
            <w:tcBorders>
              <w:top w:val="single" w:sz="4" w:space="0" w:color="auto"/>
              <w:left w:val="nil"/>
              <w:bottom w:val="nil"/>
              <w:right w:val="nil"/>
            </w:tcBorders>
            <w:shd w:val="clear" w:color="auto" w:fill="auto"/>
            <w:noWrap/>
            <w:vAlign w:val="center"/>
            <w:hideMark/>
          </w:tcPr>
          <w:p w14:paraId="21248B7E" w14:textId="77777777" w:rsidR="00C55038" w:rsidRPr="00092B22" w:rsidRDefault="00C55038"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w:t>
            </w:r>
          </w:p>
        </w:tc>
        <w:tc>
          <w:tcPr>
            <w:tcW w:w="1514" w:type="dxa"/>
            <w:tcBorders>
              <w:top w:val="single" w:sz="4" w:space="0" w:color="auto"/>
              <w:left w:val="nil"/>
              <w:bottom w:val="nil"/>
              <w:right w:val="nil"/>
            </w:tcBorders>
            <w:shd w:val="clear" w:color="auto" w:fill="auto"/>
            <w:noWrap/>
            <w:vAlign w:val="center"/>
            <w:hideMark/>
          </w:tcPr>
          <w:p w14:paraId="120814BC" w14:textId="77777777" w:rsidR="00C55038" w:rsidRPr="00092B22" w:rsidRDefault="00C55038"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xml:space="preserve">8,845,102 </w:t>
            </w:r>
          </w:p>
        </w:tc>
      </w:tr>
      <w:tr w:rsidR="00C55038" w:rsidRPr="00092B22" w14:paraId="52025D81" w14:textId="77777777" w:rsidTr="00E607DA">
        <w:trPr>
          <w:trHeight w:val="20"/>
        </w:trPr>
        <w:tc>
          <w:tcPr>
            <w:tcW w:w="215" w:type="dxa"/>
            <w:tcBorders>
              <w:top w:val="nil"/>
              <w:left w:val="nil"/>
              <w:bottom w:val="nil"/>
              <w:right w:val="nil"/>
            </w:tcBorders>
            <w:shd w:val="clear" w:color="auto" w:fill="auto"/>
            <w:noWrap/>
            <w:vAlign w:val="center"/>
            <w:hideMark/>
          </w:tcPr>
          <w:p w14:paraId="16C472D2" w14:textId="77777777" w:rsidR="00C55038" w:rsidRPr="00092B22" w:rsidRDefault="00C55038" w:rsidP="00E607DA">
            <w:pPr>
              <w:jc w:val="right"/>
              <w:rPr>
                <w:rFonts w:ascii="Meta Pro" w:eastAsia="Times New Roman" w:hAnsi="Meta Pro"/>
                <w:b/>
                <w:bCs/>
                <w:color w:val="000000"/>
                <w:szCs w:val="18"/>
                <w:lang w:eastAsia="en-AU"/>
              </w:rPr>
            </w:pPr>
          </w:p>
        </w:tc>
        <w:tc>
          <w:tcPr>
            <w:tcW w:w="4990" w:type="dxa"/>
            <w:tcBorders>
              <w:top w:val="nil"/>
              <w:left w:val="nil"/>
              <w:bottom w:val="nil"/>
              <w:right w:val="nil"/>
            </w:tcBorders>
            <w:shd w:val="clear" w:color="auto" w:fill="auto"/>
            <w:noWrap/>
            <w:vAlign w:val="center"/>
            <w:hideMark/>
          </w:tcPr>
          <w:p w14:paraId="0975B144" w14:textId="77777777" w:rsidR="00C55038" w:rsidRPr="00092B22" w:rsidRDefault="00C55038" w:rsidP="00E607DA">
            <w:pPr>
              <w:rPr>
                <w:rFonts w:ascii="Meta Pro" w:eastAsia="Times New Roman" w:hAnsi="Meta Pro" w:cs="Times New Roman"/>
                <w:sz w:val="20"/>
                <w:szCs w:val="20"/>
                <w:lang w:eastAsia="en-AU"/>
              </w:rPr>
            </w:pPr>
          </w:p>
        </w:tc>
        <w:tc>
          <w:tcPr>
            <w:tcW w:w="1021" w:type="dxa"/>
            <w:tcBorders>
              <w:top w:val="nil"/>
              <w:left w:val="nil"/>
              <w:bottom w:val="nil"/>
              <w:right w:val="nil"/>
            </w:tcBorders>
            <w:shd w:val="clear" w:color="auto" w:fill="auto"/>
            <w:noWrap/>
            <w:vAlign w:val="center"/>
            <w:hideMark/>
          </w:tcPr>
          <w:p w14:paraId="031E426B" w14:textId="77777777" w:rsidR="00C55038" w:rsidRPr="00092B22" w:rsidRDefault="00C55038" w:rsidP="00E607DA">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3AE6A5A3" w14:textId="77777777" w:rsidR="00C55038" w:rsidRPr="00092B22" w:rsidRDefault="00C55038"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3D6D42D9"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23AA4724"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5677EE6B" w14:textId="77777777" w:rsidR="00C55038" w:rsidRPr="00092B22" w:rsidRDefault="00C55038" w:rsidP="00E607DA">
            <w:pPr>
              <w:jc w:val="right"/>
              <w:rPr>
                <w:rFonts w:ascii="Meta Pro" w:eastAsia="Times New Roman" w:hAnsi="Meta Pro" w:cs="Times New Roman"/>
                <w:sz w:val="20"/>
                <w:szCs w:val="20"/>
                <w:lang w:eastAsia="en-AU"/>
              </w:rPr>
            </w:pPr>
          </w:p>
        </w:tc>
      </w:tr>
      <w:tr w:rsidR="00C55038" w:rsidRPr="00092B22" w14:paraId="126CD96B" w14:textId="77777777" w:rsidTr="00E607DA">
        <w:trPr>
          <w:trHeight w:val="20"/>
        </w:trPr>
        <w:tc>
          <w:tcPr>
            <w:tcW w:w="4990" w:type="dxa"/>
            <w:gridSpan w:val="2"/>
            <w:tcBorders>
              <w:top w:val="nil"/>
              <w:left w:val="nil"/>
              <w:bottom w:val="single" w:sz="4" w:space="0" w:color="auto"/>
              <w:right w:val="nil"/>
            </w:tcBorders>
            <w:shd w:val="clear" w:color="auto" w:fill="auto"/>
            <w:noWrap/>
            <w:vAlign w:val="center"/>
            <w:hideMark/>
          </w:tcPr>
          <w:p w14:paraId="3FCA0783" w14:textId="77777777" w:rsidR="00C55038" w:rsidRPr="00092B22" w:rsidRDefault="00C55038" w:rsidP="00E607DA">
            <w:pP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Total liabilities</w:t>
            </w:r>
          </w:p>
        </w:tc>
        <w:tc>
          <w:tcPr>
            <w:tcW w:w="1021" w:type="dxa"/>
            <w:tcBorders>
              <w:top w:val="nil"/>
              <w:left w:val="nil"/>
              <w:bottom w:val="single" w:sz="4" w:space="0" w:color="auto"/>
              <w:right w:val="nil"/>
            </w:tcBorders>
            <w:shd w:val="clear" w:color="auto" w:fill="auto"/>
            <w:noWrap/>
            <w:vAlign w:val="center"/>
            <w:hideMark/>
          </w:tcPr>
          <w:p w14:paraId="448F0AC6"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15" w:type="dxa"/>
            <w:tcBorders>
              <w:top w:val="nil"/>
              <w:left w:val="nil"/>
              <w:bottom w:val="single" w:sz="4" w:space="0" w:color="auto"/>
              <w:right w:val="nil"/>
            </w:tcBorders>
            <w:shd w:val="clear" w:color="auto" w:fill="auto"/>
            <w:noWrap/>
            <w:vAlign w:val="center"/>
            <w:hideMark/>
          </w:tcPr>
          <w:p w14:paraId="3E9D3422"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1514" w:type="dxa"/>
            <w:tcBorders>
              <w:top w:val="nil"/>
              <w:left w:val="nil"/>
              <w:bottom w:val="single" w:sz="4" w:space="0" w:color="auto"/>
              <w:right w:val="nil"/>
            </w:tcBorders>
            <w:shd w:val="clear" w:color="000000" w:fill="C9E3B4"/>
            <w:noWrap/>
            <w:vAlign w:val="center"/>
            <w:hideMark/>
          </w:tcPr>
          <w:p w14:paraId="2FE5CCE7" w14:textId="77777777" w:rsidR="00C55038" w:rsidRPr="00092B22" w:rsidRDefault="00C55038"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xml:space="preserve">           10,042,913 </w:t>
            </w:r>
          </w:p>
        </w:tc>
        <w:tc>
          <w:tcPr>
            <w:tcW w:w="216" w:type="dxa"/>
            <w:tcBorders>
              <w:top w:val="nil"/>
              <w:left w:val="nil"/>
              <w:bottom w:val="single" w:sz="4" w:space="0" w:color="auto"/>
              <w:right w:val="nil"/>
            </w:tcBorders>
            <w:shd w:val="clear" w:color="auto" w:fill="auto"/>
            <w:noWrap/>
            <w:vAlign w:val="center"/>
            <w:hideMark/>
          </w:tcPr>
          <w:p w14:paraId="1DF27783" w14:textId="77777777" w:rsidR="00C55038" w:rsidRPr="00092B22" w:rsidRDefault="00C55038"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w:t>
            </w:r>
          </w:p>
        </w:tc>
        <w:tc>
          <w:tcPr>
            <w:tcW w:w="1514" w:type="dxa"/>
            <w:tcBorders>
              <w:top w:val="nil"/>
              <w:left w:val="nil"/>
              <w:bottom w:val="single" w:sz="4" w:space="0" w:color="auto"/>
              <w:right w:val="nil"/>
            </w:tcBorders>
            <w:shd w:val="clear" w:color="auto" w:fill="auto"/>
            <w:noWrap/>
            <w:vAlign w:val="center"/>
            <w:hideMark/>
          </w:tcPr>
          <w:p w14:paraId="79DF9BE7" w14:textId="77777777" w:rsidR="00C55038" w:rsidRPr="00092B22" w:rsidRDefault="00C55038"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xml:space="preserve">           10,218,610 </w:t>
            </w:r>
          </w:p>
        </w:tc>
      </w:tr>
      <w:tr w:rsidR="00C55038" w:rsidRPr="00092B22" w14:paraId="2D653525" w14:textId="77777777" w:rsidTr="00E607DA">
        <w:trPr>
          <w:trHeight w:val="20"/>
        </w:trPr>
        <w:tc>
          <w:tcPr>
            <w:tcW w:w="215" w:type="dxa"/>
            <w:tcBorders>
              <w:top w:val="nil"/>
              <w:left w:val="nil"/>
              <w:bottom w:val="nil"/>
              <w:right w:val="nil"/>
            </w:tcBorders>
            <w:shd w:val="clear" w:color="auto" w:fill="auto"/>
            <w:noWrap/>
            <w:vAlign w:val="center"/>
            <w:hideMark/>
          </w:tcPr>
          <w:p w14:paraId="74DD91F2" w14:textId="77777777" w:rsidR="00C55038" w:rsidRPr="00092B22" w:rsidRDefault="00C55038" w:rsidP="00E607DA">
            <w:pPr>
              <w:jc w:val="right"/>
              <w:rPr>
                <w:rFonts w:ascii="Meta Pro" w:eastAsia="Times New Roman" w:hAnsi="Meta Pro"/>
                <w:b/>
                <w:bCs/>
                <w:color w:val="000000"/>
                <w:szCs w:val="18"/>
                <w:lang w:eastAsia="en-AU"/>
              </w:rPr>
            </w:pPr>
          </w:p>
        </w:tc>
        <w:tc>
          <w:tcPr>
            <w:tcW w:w="4990" w:type="dxa"/>
            <w:tcBorders>
              <w:top w:val="nil"/>
              <w:left w:val="nil"/>
              <w:bottom w:val="nil"/>
              <w:right w:val="nil"/>
            </w:tcBorders>
            <w:shd w:val="clear" w:color="auto" w:fill="auto"/>
            <w:noWrap/>
            <w:vAlign w:val="center"/>
            <w:hideMark/>
          </w:tcPr>
          <w:p w14:paraId="7334D3F7" w14:textId="77777777" w:rsidR="00C55038" w:rsidRPr="00092B22" w:rsidRDefault="00C55038" w:rsidP="00E607DA">
            <w:pPr>
              <w:rPr>
                <w:rFonts w:ascii="Meta Pro" w:eastAsia="Times New Roman" w:hAnsi="Meta Pro" w:cs="Times New Roman"/>
                <w:sz w:val="20"/>
                <w:szCs w:val="20"/>
                <w:lang w:eastAsia="en-AU"/>
              </w:rPr>
            </w:pPr>
          </w:p>
        </w:tc>
        <w:tc>
          <w:tcPr>
            <w:tcW w:w="1021" w:type="dxa"/>
            <w:tcBorders>
              <w:top w:val="single" w:sz="4" w:space="0" w:color="auto"/>
              <w:left w:val="nil"/>
              <w:bottom w:val="single" w:sz="4" w:space="0" w:color="auto"/>
              <w:right w:val="nil"/>
            </w:tcBorders>
            <w:shd w:val="clear" w:color="auto" w:fill="auto"/>
            <w:noWrap/>
            <w:vAlign w:val="center"/>
            <w:hideMark/>
          </w:tcPr>
          <w:p w14:paraId="4CB4B007"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15" w:type="dxa"/>
            <w:tcBorders>
              <w:top w:val="nil"/>
              <w:left w:val="nil"/>
              <w:bottom w:val="nil"/>
              <w:right w:val="nil"/>
            </w:tcBorders>
            <w:shd w:val="clear" w:color="auto" w:fill="auto"/>
            <w:noWrap/>
            <w:vAlign w:val="center"/>
            <w:hideMark/>
          </w:tcPr>
          <w:p w14:paraId="4AD1DBC7" w14:textId="77777777" w:rsidR="00C55038" w:rsidRPr="00092B22" w:rsidRDefault="00C55038" w:rsidP="00E607DA">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6FE935F6"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60C801F2"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73FF8A2F" w14:textId="77777777" w:rsidR="00C55038" w:rsidRPr="00092B22" w:rsidRDefault="00C55038" w:rsidP="00E607DA">
            <w:pPr>
              <w:jc w:val="right"/>
              <w:rPr>
                <w:rFonts w:ascii="Meta Pro" w:eastAsia="Times New Roman" w:hAnsi="Meta Pro" w:cs="Times New Roman"/>
                <w:sz w:val="20"/>
                <w:szCs w:val="20"/>
                <w:lang w:eastAsia="en-AU"/>
              </w:rPr>
            </w:pPr>
          </w:p>
        </w:tc>
      </w:tr>
      <w:tr w:rsidR="00C55038" w:rsidRPr="00092B22" w14:paraId="1823BA29" w14:textId="77777777" w:rsidTr="00E607DA">
        <w:trPr>
          <w:trHeight w:val="20"/>
        </w:trPr>
        <w:tc>
          <w:tcPr>
            <w:tcW w:w="4990" w:type="dxa"/>
            <w:gridSpan w:val="2"/>
            <w:tcBorders>
              <w:top w:val="single" w:sz="4" w:space="0" w:color="auto"/>
              <w:left w:val="nil"/>
              <w:bottom w:val="double" w:sz="6" w:space="0" w:color="auto"/>
              <w:right w:val="nil"/>
            </w:tcBorders>
            <w:shd w:val="clear" w:color="auto" w:fill="auto"/>
            <w:noWrap/>
            <w:vAlign w:val="center"/>
            <w:hideMark/>
          </w:tcPr>
          <w:p w14:paraId="1EB4A0E3" w14:textId="77777777" w:rsidR="00C55038" w:rsidRPr="00092B22" w:rsidRDefault="00C55038" w:rsidP="00E607DA">
            <w:pP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lastRenderedPageBreak/>
              <w:t>NET ASSETS</w:t>
            </w:r>
          </w:p>
        </w:tc>
        <w:tc>
          <w:tcPr>
            <w:tcW w:w="1021" w:type="dxa"/>
            <w:tcBorders>
              <w:top w:val="single" w:sz="4" w:space="0" w:color="auto"/>
              <w:left w:val="nil"/>
              <w:bottom w:val="double" w:sz="6" w:space="0" w:color="auto"/>
              <w:right w:val="nil"/>
            </w:tcBorders>
            <w:shd w:val="clear" w:color="auto" w:fill="auto"/>
            <w:noWrap/>
            <w:vAlign w:val="center"/>
            <w:hideMark/>
          </w:tcPr>
          <w:p w14:paraId="128CF325"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15" w:type="dxa"/>
            <w:tcBorders>
              <w:top w:val="single" w:sz="4" w:space="0" w:color="auto"/>
              <w:left w:val="nil"/>
              <w:bottom w:val="double" w:sz="6" w:space="0" w:color="auto"/>
              <w:right w:val="nil"/>
            </w:tcBorders>
            <w:shd w:val="clear" w:color="auto" w:fill="auto"/>
            <w:noWrap/>
            <w:vAlign w:val="center"/>
            <w:hideMark/>
          </w:tcPr>
          <w:p w14:paraId="44587B47" w14:textId="77777777" w:rsidR="00C55038" w:rsidRPr="00092B22" w:rsidRDefault="00C55038"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1514" w:type="dxa"/>
            <w:tcBorders>
              <w:top w:val="single" w:sz="4" w:space="0" w:color="auto"/>
              <w:left w:val="nil"/>
              <w:bottom w:val="double" w:sz="6" w:space="0" w:color="auto"/>
              <w:right w:val="nil"/>
            </w:tcBorders>
            <w:shd w:val="clear" w:color="000000" w:fill="C9E3B4"/>
            <w:noWrap/>
            <w:vAlign w:val="center"/>
            <w:hideMark/>
          </w:tcPr>
          <w:p w14:paraId="117E2C69" w14:textId="77777777" w:rsidR="00C55038" w:rsidRPr="00092B22" w:rsidRDefault="00C55038"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xml:space="preserve">           90,707,728 </w:t>
            </w:r>
          </w:p>
        </w:tc>
        <w:tc>
          <w:tcPr>
            <w:tcW w:w="216" w:type="dxa"/>
            <w:tcBorders>
              <w:top w:val="single" w:sz="4" w:space="0" w:color="auto"/>
              <w:left w:val="nil"/>
              <w:bottom w:val="double" w:sz="6" w:space="0" w:color="auto"/>
              <w:right w:val="nil"/>
            </w:tcBorders>
            <w:shd w:val="clear" w:color="auto" w:fill="auto"/>
            <w:noWrap/>
            <w:vAlign w:val="center"/>
            <w:hideMark/>
          </w:tcPr>
          <w:p w14:paraId="307A74EA" w14:textId="77777777" w:rsidR="00C55038" w:rsidRPr="00092B22" w:rsidRDefault="00C55038"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w:t>
            </w:r>
          </w:p>
        </w:tc>
        <w:tc>
          <w:tcPr>
            <w:tcW w:w="1514" w:type="dxa"/>
            <w:tcBorders>
              <w:top w:val="single" w:sz="4" w:space="0" w:color="auto"/>
              <w:left w:val="nil"/>
              <w:bottom w:val="double" w:sz="6" w:space="0" w:color="auto"/>
              <w:right w:val="nil"/>
            </w:tcBorders>
            <w:shd w:val="clear" w:color="auto" w:fill="auto"/>
            <w:noWrap/>
            <w:vAlign w:val="center"/>
            <w:hideMark/>
          </w:tcPr>
          <w:p w14:paraId="64E3F465" w14:textId="77777777" w:rsidR="00C55038" w:rsidRPr="00092B22" w:rsidRDefault="00C55038"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xml:space="preserve">           77,183,598 </w:t>
            </w:r>
          </w:p>
        </w:tc>
      </w:tr>
      <w:tr w:rsidR="00C55038" w:rsidRPr="00092B22" w14:paraId="7F4878CF" w14:textId="77777777" w:rsidTr="00E607DA">
        <w:trPr>
          <w:trHeight w:val="20"/>
        </w:trPr>
        <w:tc>
          <w:tcPr>
            <w:tcW w:w="215" w:type="dxa"/>
            <w:tcBorders>
              <w:top w:val="nil"/>
              <w:left w:val="nil"/>
              <w:bottom w:val="nil"/>
              <w:right w:val="nil"/>
            </w:tcBorders>
            <w:shd w:val="clear" w:color="auto" w:fill="auto"/>
            <w:noWrap/>
            <w:vAlign w:val="center"/>
            <w:hideMark/>
          </w:tcPr>
          <w:p w14:paraId="2DA966DA" w14:textId="77777777" w:rsidR="00C55038" w:rsidRPr="00092B22" w:rsidRDefault="00C55038" w:rsidP="00E607DA">
            <w:pPr>
              <w:jc w:val="right"/>
              <w:rPr>
                <w:rFonts w:ascii="Meta Pro" w:eastAsia="Times New Roman" w:hAnsi="Meta Pro"/>
                <w:b/>
                <w:bCs/>
                <w:color w:val="000000"/>
                <w:szCs w:val="18"/>
                <w:lang w:eastAsia="en-AU"/>
              </w:rPr>
            </w:pPr>
          </w:p>
        </w:tc>
        <w:tc>
          <w:tcPr>
            <w:tcW w:w="4990" w:type="dxa"/>
            <w:tcBorders>
              <w:top w:val="nil"/>
              <w:left w:val="nil"/>
              <w:bottom w:val="nil"/>
              <w:right w:val="nil"/>
            </w:tcBorders>
            <w:shd w:val="clear" w:color="auto" w:fill="auto"/>
            <w:noWrap/>
            <w:vAlign w:val="center"/>
            <w:hideMark/>
          </w:tcPr>
          <w:p w14:paraId="56DB7643" w14:textId="77777777" w:rsidR="00C55038" w:rsidRPr="00092B22" w:rsidRDefault="00C55038" w:rsidP="00E607DA">
            <w:pPr>
              <w:rPr>
                <w:rFonts w:ascii="Meta Pro" w:eastAsia="Times New Roman" w:hAnsi="Meta Pro" w:cs="Times New Roman"/>
                <w:sz w:val="20"/>
                <w:szCs w:val="20"/>
                <w:lang w:eastAsia="en-AU"/>
              </w:rPr>
            </w:pPr>
          </w:p>
        </w:tc>
        <w:tc>
          <w:tcPr>
            <w:tcW w:w="1021" w:type="dxa"/>
            <w:tcBorders>
              <w:top w:val="double" w:sz="6" w:space="0" w:color="auto"/>
              <w:left w:val="nil"/>
              <w:bottom w:val="nil"/>
              <w:right w:val="nil"/>
            </w:tcBorders>
            <w:shd w:val="clear" w:color="auto" w:fill="auto"/>
            <w:noWrap/>
            <w:vAlign w:val="center"/>
            <w:hideMark/>
          </w:tcPr>
          <w:p w14:paraId="3C54C39A"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15" w:type="dxa"/>
            <w:tcBorders>
              <w:top w:val="nil"/>
              <w:left w:val="nil"/>
              <w:bottom w:val="nil"/>
              <w:right w:val="nil"/>
            </w:tcBorders>
            <w:shd w:val="clear" w:color="auto" w:fill="auto"/>
            <w:noWrap/>
            <w:vAlign w:val="center"/>
            <w:hideMark/>
          </w:tcPr>
          <w:p w14:paraId="1AE0CDEE" w14:textId="77777777" w:rsidR="00C55038" w:rsidRPr="00092B22" w:rsidRDefault="00C55038" w:rsidP="00E607DA">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3D48D4EA"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2E1CEA5A"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26575444" w14:textId="77777777" w:rsidR="00C55038" w:rsidRPr="00092B22" w:rsidRDefault="00C55038" w:rsidP="00E607DA">
            <w:pPr>
              <w:jc w:val="right"/>
              <w:rPr>
                <w:rFonts w:ascii="Meta Pro" w:eastAsia="Times New Roman" w:hAnsi="Meta Pro" w:cs="Times New Roman"/>
                <w:sz w:val="20"/>
                <w:szCs w:val="20"/>
                <w:lang w:eastAsia="en-AU"/>
              </w:rPr>
            </w:pPr>
          </w:p>
        </w:tc>
      </w:tr>
      <w:tr w:rsidR="00C55038" w:rsidRPr="00092B22" w14:paraId="36378084" w14:textId="77777777" w:rsidTr="00E607DA">
        <w:trPr>
          <w:trHeight w:val="20"/>
        </w:trPr>
        <w:tc>
          <w:tcPr>
            <w:tcW w:w="4990" w:type="dxa"/>
            <w:gridSpan w:val="2"/>
            <w:tcBorders>
              <w:top w:val="nil"/>
              <w:left w:val="nil"/>
              <w:bottom w:val="nil"/>
              <w:right w:val="nil"/>
            </w:tcBorders>
            <w:shd w:val="clear" w:color="auto" w:fill="auto"/>
            <w:noWrap/>
            <w:vAlign w:val="center"/>
            <w:hideMark/>
          </w:tcPr>
          <w:p w14:paraId="1A4FA1AD" w14:textId="77777777" w:rsidR="00C55038" w:rsidRPr="00092B22" w:rsidRDefault="00C55038" w:rsidP="00E607DA">
            <w:pP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Equity</w:t>
            </w:r>
          </w:p>
        </w:tc>
        <w:tc>
          <w:tcPr>
            <w:tcW w:w="1021" w:type="dxa"/>
            <w:tcBorders>
              <w:top w:val="nil"/>
              <w:left w:val="nil"/>
              <w:bottom w:val="nil"/>
              <w:right w:val="nil"/>
            </w:tcBorders>
            <w:shd w:val="clear" w:color="auto" w:fill="auto"/>
            <w:noWrap/>
            <w:vAlign w:val="center"/>
            <w:hideMark/>
          </w:tcPr>
          <w:p w14:paraId="7BFA22B7" w14:textId="77777777" w:rsidR="00C55038" w:rsidRPr="00092B22" w:rsidRDefault="00C55038" w:rsidP="00E607DA">
            <w:pPr>
              <w:rPr>
                <w:rFonts w:ascii="Meta Pro" w:eastAsia="Times New Roman" w:hAnsi="Meta Pro"/>
                <w:b/>
                <w:bCs/>
                <w:color w:val="000000"/>
                <w:szCs w:val="18"/>
                <w:lang w:eastAsia="en-AU"/>
              </w:rPr>
            </w:pPr>
          </w:p>
        </w:tc>
        <w:tc>
          <w:tcPr>
            <w:tcW w:w="215" w:type="dxa"/>
            <w:tcBorders>
              <w:top w:val="nil"/>
              <w:left w:val="nil"/>
              <w:bottom w:val="nil"/>
              <w:right w:val="nil"/>
            </w:tcBorders>
            <w:shd w:val="clear" w:color="auto" w:fill="auto"/>
            <w:noWrap/>
            <w:vAlign w:val="center"/>
            <w:hideMark/>
          </w:tcPr>
          <w:p w14:paraId="4612C183" w14:textId="77777777" w:rsidR="00C55038" w:rsidRPr="00092B22" w:rsidRDefault="00C55038"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5896A251"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25DDF490"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4EFC0ACF" w14:textId="77777777" w:rsidR="00C55038" w:rsidRPr="00092B22" w:rsidRDefault="00C55038" w:rsidP="00E607DA">
            <w:pPr>
              <w:jc w:val="right"/>
              <w:rPr>
                <w:rFonts w:ascii="Meta Pro" w:eastAsia="Times New Roman" w:hAnsi="Meta Pro" w:cs="Times New Roman"/>
                <w:sz w:val="20"/>
                <w:szCs w:val="20"/>
                <w:lang w:eastAsia="en-AU"/>
              </w:rPr>
            </w:pPr>
          </w:p>
        </w:tc>
      </w:tr>
      <w:tr w:rsidR="00C55038" w:rsidRPr="00092B22" w14:paraId="43C31321" w14:textId="77777777" w:rsidTr="00E607DA">
        <w:trPr>
          <w:trHeight w:val="20"/>
        </w:trPr>
        <w:tc>
          <w:tcPr>
            <w:tcW w:w="215" w:type="dxa"/>
            <w:tcBorders>
              <w:top w:val="nil"/>
              <w:left w:val="nil"/>
              <w:bottom w:val="nil"/>
              <w:right w:val="nil"/>
            </w:tcBorders>
            <w:shd w:val="clear" w:color="auto" w:fill="auto"/>
            <w:noWrap/>
            <w:vAlign w:val="center"/>
            <w:hideMark/>
          </w:tcPr>
          <w:p w14:paraId="0A4A0F37" w14:textId="77777777" w:rsidR="00C55038" w:rsidRPr="00092B22" w:rsidRDefault="00C55038" w:rsidP="00E607DA">
            <w:pPr>
              <w:jc w:val="right"/>
              <w:rPr>
                <w:rFonts w:ascii="Meta Pro" w:eastAsia="Times New Roman" w:hAnsi="Meta Pro" w:cs="Times New Roman"/>
                <w:sz w:val="20"/>
                <w:szCs w:val="20"/>
                <w:lang w:eastAsia="en-AU"/>
              </w:rPr>
            </w:pPr>
          </w:p>
        </w:tc>
        <w:tc>
          <w:tcPr>
            <w:tcW w:w="4990" w:type="dxa"/>
            <w:tcBorders>
              <w:top w:val="nil"/>
              <w:left w:val="nil"/>
              <w:bottom w:val="nil"/>
              <w:right w:val="nil"/>
            </w:tcBorders>
            <w:shd w:val="clear" w:color="auto" w:fill="auto"/>
            <w:noWrap/>
            <w:vAlign w:val="center"/>
            <w:hideMark/>
          </w:tcPr>
          <w:p w14:paraId="56365A7D" w14:textId="77777777" w:rsidR="00C55038" w:rsidRPr="00092B22" w:rsidRDefault="00C55038"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Contributed equity</w:t>
            </w:r>
          </w:p>
        </w:tc>
        <w:tc>
          <w:tcPr>
            <w:tcW w:w="1021" w:type="dxa"/>
            <w:tcBorders>
              <w:top w:val="nil"/>
              <w:left w:val="nil"/>
              <w:bottom w:val="nil"/>
              <w:right w:val="nil"/>
            </w:tcBorders>
            <w:shd w:val="clear" w:color="auto" w:fill="auto"/>
            <w:noWrap/>
            <w:vAlign w:val="center"/>
            <w:hideMark/>
          </w:tcPr>
          <w:p w14:paraId="7E3A5F5F" w14:textId="77777777" w:rsidR="00C55038" w:rsidRPr="00092B22" w:rsidRDefault="00C55038" w:rsidP="00E607DA">
            <w:pPr>
              <w:rPr>
                <w:rFonts w:ascii="Meta Pro" w:eastAsia="Times New Roman" w:hAnsi="Meta Pro"/>
                <w:color w:val="000000"/>
                <w:szCs w:val="18"/>
                <w:lang w:eastAsia="en-AU"/>
              </w:rPr>
            </w:pPr>
          </w:p>
        </w:tc>
        <w:tc>
          <w:tcPr>
            <w:tcW w:w="215" w:type="dxa"/>
            <w:tcBorders>
              <w:top w:val="nil"/>
              <w:left w:val="nil"/>
              <w:bottom w:val="nil"/>
              <w:right w:val="nil"/>
            </w:tcBorders>
            <w:shd w:val="clear" w:color="auto" w:fill="auto"/>
            <w:noWrap/>
            <w:vAlign w:val="center"/>
            <w:hideMark/>
          </w:tcPr>
          <w:p w14:paraId="2069CA48" w14:textId="77777777" w:rsidR="00C55038" w:rsidRPr="00092B22" w:rsidRDefault="00C55038"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1581EEEC"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66,098,620 </w:t>
            </w:r>
          </w:p>
        </w:tc>
        <w:tc>
          <w:tcPr>
            <w:tcW w:w="216" w:type="dxa"/>
            <w:tcBorders>
              <w:top w:val="nil"/>
              <w:left w:val="nil"/>
              <w:bottom w:val="nil"/>
              <w:right w:val="nil"/>
            </w:tcBorders>
            <w:shd w:val="clear" w:color="auto" w:fill="auto"/>
            <w:noWrap/>
            <w:vAlign w:val="center"/>
            <w:hideMark/>
          </w:tcPr>
          <w:p w14:paraId="34B78124"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7EE21EC3"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63,271,312 </w:t>
            </w:r>
          </w:p>
        </w:tc>
      </w:tr>
      <w:tr w:rsidR="00C55038" w:rsidRPr="00092B22" w14:paraId="32B3AFDC" w14:textId="77777777" w:rsidTr="00E607DA">
        <w:trPr>
          <w:trHeight w:val="20"/>
        </w:trPr>
        <w:tc>
          <w:tcPr>
            <w:tcW w:w="215" w:type="dxa"/>
            <w:tcBorders>
              <w:top w:val="nil"/>
              <w:left w:val="nil"/>
              <w:bottom w:val="nil"/>
              <w:right w:val="nil"/>
            </w:tcBorders>
            <w:shd w:val="clear" w:color="auto" w:fill="auto"/>
            <w:noWrap/>
            <w:vAlign w:val="center"/>
            <w:hideMark/>
          </w:tcPr>
          <w:p w14:paraId="2DC1AF3B" w14:textId="77777777" w:rsidR="00C55038" w:rsidRPr="00092B22" w:rsidRDefault="00C55038" w:rsidP="00E607DA">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7A6C46E4" w14:textId="77777777" w:rsidR="00C55038" w:rsidRPr="00092B22" w:rsidRDefault="00C55038"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Accumulated surplus</w:t>
            </w:r>
          </w:p>
        </w:tc>
        <w:tc>
          <w:tcPr>
            <w:tcW w:w="1021" w:type="dxa"/>
            <w:tcBorders>
              <w:top w:val="nil"/>
              <w:left w:val="nil"/>
              <w:bottom w:val="nil"/>
              <w:right w:val="nil"/>
            </w:tcBorders>
            <w:shd w:val="clear" w:color="auto" w:fill="auto"/>
            <w:noWrap/>
            <w:vAlign w:val="center"/>
            <w:hideMark/>
          </w:tcPr>
          <w:p w14:paraId="26E89E94" w14:textId="77777777" w:rsidR="00C55038" w:rsidRPr="00092B22" w:rsidRDefault="00C55038" w:rsidP="00E607DA">
            <w:pPr>
              <w:rPr>
                <w:rFonts w:ascii="Meta Pro" w:eastAsia="Times New Roman" w:hAnsi="Meta Pro"/>
                <w:color w:val="000000"/>
                <w:szCs w:val="18"/>
                <w:lang w:eastAsia="en-AU"/>
              </w:rPr>
            </w:pPr>
          </w:p>
        </w:tc>
        <w:tc>
          <w:tcPr>
            <w:tcW w:w="215" w:type="dxa"/>
            <w:tcBorders>
              <w:top w:val="nil"/>
              <w:left w:val="nil"/>
              <w:bottom w:val="nil"/>
              <w:right w:val="nil"/>
            </w:tcBorders>
            <w:shd w:val="clear" w:color="auto" w:fill="auto"/>
            <w:noWrap/>
            <w:vAlign w:val="center"/>
            <w:hideMark/>
          </w:tcPr>
          <w:p w14:paraId="45185015" w14:textId="77777777" w:rsidR="00C55038" w:rsidRPr="00092B22" w:rsidRDefault="00C55038"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50C517EF"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3,677,607 </w:t>
            </w:r>
          </w:p>
        </w:tc>
        <w:tc>
          <w:tcPr>
            <w:tcW w:w="216" w:type="dxa"/>
            <w:tcBorders>
              <w:top w:val="nil"/>
              <w:left w:val="nil"/>
              <w:bottom w:val="nil"/>
              <w:right w:val="nil"/>
            </w:tcBorders>
            <w:shd w:val="clear" w:color="auto" w:fill="auto"/>
            <w:noWrap/>
            <w:vAlign w:val="center"/>
            <w:hideMark/>
          </w:tcPr>
          <w:p w14:paraId="343411A7"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4C9607BD"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3,735,072 </w:t>
            </w:r>
          </w:p>
        </w:tc>
      </w:tr>
      <w:tr w:rsidR="00C55038" w:rsidRPr="00092B22" w14:paraId="0A619CB3" w14:textId="77777777" w:rsidTr="00E607DA">
        <w:trPr>
          <w:trHeight w:val="20"/>
        </w:trPr>
        <w:tc>
          <w:tcPr>
            <w:tcW w:w="215" w:type="dxa"/>
            <w:tcBorders>
              <w:top w:val="nil"/>
              <w:left w:val="nil"/>
              <w:bottom w:val="nil"/>
              <w:right w:val="nil"/>
            </w:tcBorders>
            <w:shd w:val="clear" w:color="auto" w:fill="auto"/>
            <w:noWrap/>
            <w:vAlign w:val="center"/>
            <w:hideMark/>
          </w:tcPr>
          <w:p w14:paraId="326E485D" w14:textId="77777777" w:rsidR="00C55038" w:rsidRPr="00092B22" w:rsidRDefault="00C55038" w:rsidP="00E607DA">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4BDAEF87" w14:textId="77777777" w:rsidR="00C55038" w:rsidRPr="00092B22" w:rsidRDefault="00C55038"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Asset revaluation surplus</w:t>
            </w:r>
          </w:p>
        </w:tc>
        <w:tc>
          <w:tcPr>
            <w:tcW w:w="1021" w:type="dxa"/>
            <w:tcBorders>
              <w:top w:val="nil"/>
              <w:left w:val="nil"/>
              <w:bottom w:val="single" w:sz="4" w:space="0" w:color="auto"/>
              <w:right w:val="nil"/>
            </w:tcBorders>
            <w:shd w:val="clear" w:color="auto" w:fill="auto"/>
            <w:noWrap/>
            <w:vAlign w:val="center"/>
            <w:hideMark/>
          </w:tcPr>
          <w:p w14:paraId="2923DC6B"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15" w:type="dxa"/>
            <w:tcBorders>
              <w:top w:val="nil"/>
              <w:left w:val="nil"/>
              <w:bottom w:val="nil"/>
              <w:right w:val="nil"/>
            </w:tcBorders>
            <w:shd w:val="clear" w:color="auto" w:fill="auto"/>
            <w:noWrap/>
            <w:vAlign w:val="center"/>
            <w:hideMark/>
          </w:tcPr>
          <w:p w14:paraId="5FCBCE8F" w14:textId="77777777" w:rsidR="00C55038" w:rsidRPr="00092B22" w:rsidRDefault="00C55038" w:rsidP="00E607DA">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28C02E0D"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20,931,501 </w:t>
            </w:r>
          </w:p>
        </w:tc>
        <w:tc>
          <w:tcPr>
            <w:tcW w:w="216" w:type="dxa"/>
            <w:tcBorders>
              <w:top w:val="nil"/>
              <w:left w:val="nil"/>
              <w:bottom w:val="nil"/>
              <w:right w:val="nil"/>
            </w:tcBorders>
            <w:shd w:val="clear" w:color="auto" w:fill="auto"/>
            <w:noWrap/>
            <w:vAlign w:val="center"/>
            <w:hideMark/>
          </w:tcPr>
          <w:p w14:paraId="6FB363FD" w14:textId="77777777" w:rsidR="00C55038" w:rsidRPr="00092B22" w:rsidRDefault="00C55038"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500FD4C0" w14:textId="77777777" w:rsidR="00C55038" w:rsidRPr="00092B22" w:rsidRDefault="00C55038"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10,177,214 </w:t>
            </w:r>
          </w:p>
        </w:tc>
      </w:tr>
      <w:tr w:rsidR="00C55038" w:rsidRPr="00092B22" w14:paraId="564C0CDE" w14:textId="77777777" w:rsidTr="00E607DA">
        <w:trPr>
          <w:trHeight w:val="20"/>
        </w:trPr>
        <w:tc>
          <w:tcPr>
            <w:tcW w:w="4990" w:type="dxa"/>
            <w:gridSpan w:val="2"/>
            <w:tcBorders>
              <w:top w:val="single" w:sz="4" w:space="0" w:color="auto"/>
              <w:left w:val="nil"/>
              <w:bottom w:val="double" w:sz="6" w:space="0" w:color="auto"/>
              <w:right w:val="nil"/>
            </w:tcBorders>
            <w:shd w:val="clear" w:color="auto" w:fill="auto"/>
            <w:noWrap/>
            <w:vAlign w:val="center"/>
            <w:hideMark/>
          </w:tcPr>
          <w:p w14:paraId="5DC5356C" w14:textId="77777777" w:rsidR="00C55038" w:rsidRPr="00092B22" w:rsidRDefault="00C55038" w:rsidP="00E607DA">
            <w:pP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TOTAL EQUITY</w:t>
            </w:r>
          </w:p>
        </w:tc>
        <w:tc>
          <w:tcPr>
            <w:tcW w:w="1021" w:type="dxa"/>
            <w:tcBorders>
              <w:top w:val="single" w:sz="4" w:space="0" w:color="auto"/>
              <w:left w:val="nil"/>
              <w:bottom w:val="double" w:sz="6" w:space="0" w:color="auto"/>
              <w:right w:val="nil"/>
            </w:tcBorders>
            <w:shd w:val="clear" w:color="auto" w:fill="auto"/>
            <w:noWrap/>
            <w:vAlign w:val="center"/>
            <w:hideMark/>
          </w:tcPr>
          <w:p w14:paraId="719F6B7D" w14:textId="77777777" w:rsidR="00C55038" w:rsidRPr="00092B22" w:rsidRDefault="00C55038"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15" w:type="dxa"/>
            <w:tcBorders>
              <w:top w:val="single" w:sz="4" w:space="0" w:color="auto"/>
              <w:left w:val="nil"/>
              <w:bottom w:val="double" w:sz="6" w:space="0" w:color="auto"/>
              <w:right w:val="nil"/>
            </w:tcBorders>
            <w:shd w:val="clear" w:color="auto" w:fill="auto"/>
            <w:noWrap/>
            <w:vAlign w:val="center"/>
            <w:hideMark/>
          </w:tcPr>
          <w:p w14:paraId="0BEB92E6" w14:textId="77777777" w:rsidR="00C55038" w:rsidRPr="00092B22" w:rsidRDefault="00C55038"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1514" w:type="dxa"/>
            <w:tcBorders>
              <w:top w:val="single" w:sz="4" w:space="0" w:color="auto"/>
              <w:left w:val="nil"/>
              <w:bottom w:val="double" w:sz="6" w:space="0" w:color="auto"/>
              <w:right w:val="nil"/>
            </w:tcBorders>
            <w:shd w:val="clear" w:color="000000" w:fill="C9E3B4"/>
            <w:noWrap/>
            <w:vAlign w:val="center"/>
            <w:hideMark/>
          </w:tcPr>
          <w:p w14:paraId="676F3807" w14:textId="77777777" w:rsidR="00C55038" w:rsidRPr="00092B22" w:rsidRDefault="00C55038"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xml:space="preserve">           90,707,728 </w:t>
            </w:r>
          </w:p>
        </w:tc>
        <w:tc>
          <w:tcPr>
            <w:tcW w:w="216" w:type="dxa"/>
            <w:tcBorders>
              <w:top w:val="single" w:sz="4" w:space="0" w:color="auto"/>
              <w:left w:val="nil"/>
              <w:bottom w:val="double" w:sz="6" w:space="0" w:color="auto"/>
              <w:right w:val="nil"/>
            </w:tcBorders>
            <w:shd w:val="clear" w:color="auto" w:fill="auto"/>
            <w:noWrap/>
            <w:vAlign w:val="center"/>
            <w:hideMark/>
          </w:tcPr>
          <w:p w14:paraId="30C54068" w14:textId="77777777" w:rsidR="00C55038" w:rsidRPr="00092B22" w:rsidRDefault="00C55038"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w:t>
            </w:r>
          </w:p>
        </w:tc>
        <w:tc>
          <w:tcPr>
            <w:tcW w:w="1514" w:type="dxa"/>
            <w:tcBorders>
              <w:top w:val="single" w:sz="4" w:space="0" w:color="auto"/>
              <w:left w:val="nil"/>
              <w:bottom w:val="double" w:sz="6" w:space="0" w:color="auto"/>
              <w:right w:val="nil"/>
            </w:tcBorders>
            <w:shd w:val="clear" w:color="auto" w:fill="auto"/>
            <w:noWrap/>
            <w:vAlign w:val="center"/>
            <w:hideMark/>
          </w:tcPr>
          <w:p w14:paraId="1A44A3C9" w14:textId="77777777" w:rsidR="00C55038" w:rsidRPr="00092B22" w:rsidRDefault="00C55038"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xml:space="preserve">           77,183,598 </w:t>
            </w:r>
          </w:p>
        </w:tc>
      </w:tr>
    </w:tbl>
    <w:p w14:paraId="3E9678FD" w14:textId="77777777" w:rsidR="00C55038" w:rsidRPr="00092B22" w:rsidRDefault="00C55038" w:rsidP="00C55038">
      <w:pPr>
        <w:rPr>
          <w:rFonts w:ascii="Meta Pro" w:eastAsia="Times New Roman" w:hAnsi="Meta Pro"/>
          <w:i/>
          <w:iCs/>
          <w:color w:val="000000"/>
          <w:szCs w:val="18"/>
          <w:lang w:eastAsia="en-AU"/>
        </w:rPr>
      </w:pPr>
    </w:p>
    <w:p w14:paraId="2DAC61AC" w14:textId="29E6ED30" w:rsidR="00C55038" w:rsidRDefault="00C55038" w:rsidP="00C55038">
      <w:pPr>
        <w:rPr>
          <w:rFonts w:ascii="Meta Pro" w:eastAsia="Times New Roman" w:hAnsi="Meta Pro"/>
          <w:i/>
          <w:iCs/>
          <w:color w:val="000000"/>
          <w:szCs w:val="18"/>
          <w:lang w:eastAsia="en-AU"/>
        </w:rPr>
      </w:pPr>
      <w:r w:rsidRPr="00092B22">
        <w:rPr>
          <w:rFonts w:ascii="Meta Pro" w:eastAsia="Times New Roman" w:hAnsi="Meta Pro"/>
          <w:i/>
          <w:iCs/>
          <w:color w:val="000000"/>
          <w:szCs w:val="18"/>
          <w:lang w:eastAsia="en-AU"/>
        </w:rPr>
        <w:t>The accompanying notes form part of these financial statements.</w:t>
      </w:r>
    </w:p>
    <w:p w14:paraId="1B2620E8" w14:textId="20C92F49" w:rsidR="005F201D" w:rsidRDefault="005F201D" w:rsidP="00C55038">
      <w:pPr>
        <w:rPr>
          <w:rFonts w:ascii="Meta Pro" w:eastAsia="Times New Roman" w:hAnsi="Meta Pro"/>
          <w:i/>
          <w:iCs/>
          <w:color w:val="000000"/>
          <w:szCs w:val="18"/>
          <w:lang w:eastAsia="en-AU"/>
        </w:rPr>
      </w:pPr>
    </w:p>
    <w:p w14:paraId="6127D68A" w14:textId="505E4FDD" w:rsidR="005F201D" w:rsidRDefault="005F201D" w:rsidP="00C55038">
      <w:pPr>
        <w:rPr>
          <w:rFonts w:ascii="Meta Pro" w:eastAsia="Times New Roman" w:hAnsi="Meta Pro"/>
          <w:i/>
          <w:iCs/>
          <w:color w:val="000000"/>
          <w:szCs w:val="18"/>
          <w:lang w:eastAsia="en-AU"/>
        </w:rPr>
      </w:pPr>
    </w:p>
    <w:p w14:paraId="4D2AA20F" w14:textId="7797EBF1" w:rsidR="005F201D" w:rsidRDefault="005F201D" w:rsidP="00C55038">
      <w:pPr>
        <w:rPr>
          <w:rFonts w:ascii="Meta Pro" w:eastAsia="Times New Roman" w:hAnsi="Meta Pro"/>
          <w:i/>
          <w:iCs/>
          <w:color w:val="000000"/>
          <w:szCs w:val="18"/>
          <w:lang w:eastAsia="en-AU"/>
        </w:rPr>
      </w:pPr>
    </w:p>
    <w:p w14:paraId="1A437C3B" w14:textId="2A01AAB1" w:rsidR="005F201D" w:rsidRDefault="005F201D" w:rsidP="00C55038">
      <w:pPr>
        <w:rPr>
          <w:rFonts w:ascii="Meta Pro" w:eastAsia="Times New Roman" w:hAnsi="Meta Pro"/>
          <w:i/>
          <w:iCs/>
          <w:color w:val="000000"/>
          <w:szCs w:val="18"/>
          <w:lang w:eastAsia="en-AU"/>
        </w:rPr>
      </w:pPr>
    </w:p>
    <w:p w14:paraId="1CFE182D" w14:textId="5AF241F3" w:rsidR="005F201D" w:rsidRDefault="005F201D" w:rsidP="00C55038">
      <w:pPr>
        <w:rPr>
          <w:rFonts w:ascii="Meta Pro" w:eastAsia="Times New Roman" w:hAnsi="Meta Pro"/>
          <w:i/>
          <w:iCs/>
          <w:color w:val="000000"/>
          <w:szCs w:val="18"/>
          <w:lang w:eastAsia="en-AU"/>
        </w:rPr>
      </w:pPr>
    </w:p>
    <w:p w14:paraId="1AD8EBAF" w14:textId="0ED65B57" w:rsidR="005F201D" w:rsidRDefault="005F201D" w:rsidP="00C55038">
      <w:pPr>
        <w:rPr>
          <w:rFonts w:ascii="Meta Pro" w:eastAsia="Times New Roman" w:hAnsi="Meta Pro"/>
          <w:i/>
          <w:iCs/>
          <w:color w:val="000000"/>
          <w:szCs w:val="18"/>
          <w:lang w:eastAsia="en-AU"/>
        </w:rPr>
      </w:pPr>
    </w:p>
    <w:p w14:paraId="507AC603" w14:textId="110B3DC8" w:rsidR="005F201D" w:rsidRDefault="005F201D" w:rsidP="00C55038">
      <w:pPr>
        <w:rPr>
          <w:rFonts w:ascii="Meta Pro" w:eastAsia="Times New Roman" w:hAnsi="Meta Pro"/>
          <w:i/>
          <w:iCs/>
          <w:color w:val="000000"/>
          <w:szCs w:val="18"/>
          <w:lang w:eastAsia="en-AU"/>
        </w:rPr>
      </w:pPr>
    </w:p>
    <w:p w14:paraId="774DC937" w14:textId="7E2D3F95" w:rsidR="005F201D" w:rsidRDefault="005F201D" w:rsidP="00C55038">
      <w:pPr>
        <w:rPr>
          <w:rFonts w:ascii="Meta Pro" w:eastAsia="Times New Roman" w:hAnsi="Meta Pro"/>
          <w:i/>
          <w:iCs/>
          <w:color w:val="000000"/>
          <w:szCs w:val="18"/>
          <w:lang w:eastAsia="en-AU"/>
        </w:rPr>
      </w:pPr>
    </w:p>
    <w:p w14:paraId="28ED3A08" w14:textId="2FD804F9" w:rsidR="005F201D" w:rsidRDefault="005F201D" w:rsidP="00C55038">
      <w:pPr>
        <w:rPr>
          <w:rFonts w:ascii="Meta Pro" w:eastAsia="Times New Roman" w:hAnsi="Meta Pro"/>
          <w:i/>
          <w:iCs/>
          <w:color w:val="000000"/>
          <w:szCs w:val="18"/>
          <w:lang w:eastAsia="en-AU"/>
        </w:rPr>
      </w:pPr>
    </w:p>
    <w:p w14:paraId="0D43838D" w14:textId="721A6973" w:rsidR="005F201D" w:rsidRDefault="005F201D" w:rsidP="00C55038">
      <w:pPr>
        <w:rPr>
          <w:rFonts w:ascii="Meta Pro" w:eastAsia="Times New Roman" w:hAnsi="Meta Pro"/>
          <w:i/>
          <w:iCs/>
          <w:color w:val="000000"/>
          <w:szCs w:val="18"/>
          <w:lang w:eastAsia="en-AU"/>
        </w:rPr>
      </w:pPr>
    </w:p>
    <w:p w14:paraId="7A4C4793" w14:textId="5B62DAB2" w:rsidR="005F201D" w:rsidRDefault="005F201D" w:rsidP="00C55038">
      <w:pPr>
        <w:rPr>
          <w:rFonts w:ascii="Meta Pro" w:eastAsia="Times New Roman" w:hAnsi="Meta Pro"/>
          <w:i/>
          <w:iCs/>
          <w:color w:val="000000"/>
          <w:szCs w:val="18"/>
          <w:lang w:eastAsia="en-AU"/>
        </w:rPr>
      </w:pPr>
    </w:p>
    <w:p w14:paraId="7A6CC816" w14:textId="3A44E3A3" w:rsidR="005F201D" w:rsidRDefault="005F201D" w:rsidP="00C55038">
      <w:pPr>
        <w:rPr>
          <w:rFonts w:ascii="Meta Pro" w:eastAsia="Times New Roman" w:hAnsi="Meta Pro"/>
          <w:i/>
          <w:iCs/>
          <w:color w:val="000000"/>
          <w:szCs w:val="18"/>
          <w:lang w:eastAsia="en-AU"/>
        </w:rPr>
      </w:pPr>
    </w:p>
    <w:p w14:paraId="7FDDB090" w14:textId="76CB8809" w:rsidR="005F201D" w:rsidRDefault="005F201D" w:rsidP="00C55038">
      <w:pPr>
        <w:rPr>
          <w:rFonts w:ascii="Meta Pro" w:eastAsia="Times New Roman" w:hAnsi="Meta Pro"/>
          <w:i/>
          <w:iCs/>
          <w:color w:val="000000"/>
          <w:szCs w:val="18"/>
          <w:lang w:eastAsia="en-AU"/>
        </w:rPr>
      </w:pPr>
    </w:p>
    <w:p w14:paraId="0F69E5C7" w14:textId="77777777" w:rsidR="00816A81" w:rsidRDefault="00816A81" w:rsidP="00C55038">
      <w:pPr>
        <w:rPr>
          <w:rFonts w:ascii="Meta Pro" w:eastAsia="Times New Roman" w:hAnsi="Meta Pro"/>
          <w:i/>
          <w:iCs/>
          <w:color w:val="000000"/>
          <w:szCs w:val="18"/>
          <w:lang w:eastAsia="en-AU"/>
        </w:rPr>
        <w:sectPr w:rsidR="00816A81" w:rsidSect="00F31956">
          <w:pgSz w:w="11906" w:h="16838" w:code="9"/>
          <w:pgMar w:top="1418" w:right="1418" w:bottom="1418" w:left="1418" w:header="454" w:footer="454" w:gutter="0"/>
          <w:cols w:space="708"/>
          <w:titlePg/>
          <w:docGrid w:linePitch="360"/>
        </w:sectPr>
      </w:pPr>
    </w:p>
    <w:tbl>
      <w:tblPr>
        <w:tblW w:w="12514" w:type="dxa"/>
        <w:tblLook w:val="04A0" w:firstRow="1" w:lastRow="0" w:firstColumn="1" w:lastColumn="0" w:noHBand="0" w:noVBand="1"/>
      </w:tblPr>
      <w:tblGrid>
        <w:gridCol w:w="249"/>
        <w:gridCol w:w="27"/>
        <w:gridCol w:w="1656"/>
        <w:gridCol w:w="947"/>
        <w:gridCol w:w="99"/>
        <w:gridCol w:w="355"/>
        <w:gridCol w:w="394"/>
        <w:gridCol w:w="668"/>
        <w:gridCol w:w="54"/>
        <w:gridCol w:w="324"/>
        <w:gridCol w:w="504"/>
        <w:gridCol w:w="347"/>
        <w:gridCol w:w="271"/>
        <w:gridCol w:w="107"/>
        <w:gridCol w:w="756"/>
        <w:gridCol w:w="136"/>
        <w:gridCol w:w="356"/>
        <w:gridCol w:w="125"/>
        <w:gridCol w:w="715"/>
        <w:gridCol w:w="142"/>
        <w:gridCol w:w="237"/>
        <w:gridCol w:w="403"/>
        <w:gridCol w:w="659"/>
        <w:gridCol w:w="176"/>
        <w:gridCol w:w="203"/>
        <w:gridCol w:w="452"/>
        <w:gridCol w:w="604"/>
        <w:gridCol w:w="258"/>
        <w:gridCol w:w="232"/>
        <w:gridCol w:w="406"/>
        <w:gridCol w:w="488"/>
        <w:gridCol w:w="200"/>
        <w:gridCol w:w="654"/>
        <w:gridCol w:w="798"/>
      </w:tblGrid>
      <w:tr w:rsidR="00490837" w:rsidRPr="00C1721E" w14:paraId="4373450B" w14:textId="77777777" w:rsidTr="00490837">
        <w:trPr>
          <w:gridAfter w:val="3"/>
          <w:wAfter w:w="1675" w:type="dxa"/>
          <w:trHeight w:val="892"/>
        </w:trPr>
        <w:tc>
          <w:tcPr>
            <w:tcW w:w="2080" w:type="dxa"/>
            <w:gridSpan w:val="3"/>
            <w:vMerge w:val="restart"/>
            <w:tcBorders>
              <w:top w:val="nil"/>
              <w:left w:val="nil"/>
              <w:bottom w:val="nil"/>
              <w:right w:val="nil"/>
            </w:tcBorders>
            <w:shd w:val="clear" w:color="auto" w:fill="auto"/>
            <w:noWrap/>
            <w:vAlign w:val="center"/>
            <w:hideMark/>
          </w:tcPr>
          <w:p w14:paraId="2B4485E7" w14:textId="77777777" w:rsidR="00C1721E" w:rsidRPr="00C1721E" w:rsidRDefault="00C1721E" w:rsidP="00C1721E">
            <w:pPr>
              <w:spacing w:before="0" w:line="240" w:lineRule="auto"/>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lastRenderedPageBreak/>
              <w:t>OPERATING RESULT</w:t>
            </w:r>
          </w:p>
        </w:tc>
        <w:tc>
          <w:tcPr>
            <w:tcW w:w="822" w:type="dxa"/>
            <w:gridSpan w:val="2"/>
            <w:vMerge w:val="restart"/>
            <w:tcBorders>
              <w:top w:val="nil"/>
              <w:left w:val="nil"/>
              <w:bottom w:val="nil"/>
              <w:right w:val="nil"/>
            </w:tcBorders>
            <w:shd w:val="clear" w:color="auto" w:fill="auto"/>
            <w:vAlign w:val="center"/>
            <w:hideMark/>
          </w:tcPr>
          <w:p w14:paraId="7ED1B319"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Transport system investment planning and programming</w:t>
            </w:r>
          </w:p>
        </w:tc>
        <w:tc>
          <w:tcPr>
            <w:tcW w:w="371" w:type="dxa"/>
            <w:vMerge w:val="restart"/>
            <w:tcBorders>
              <w:top w:val="nil"/>
              <w:left w:val="nil"/>
              <w:bottom w:val="nil"/>
              <w:right w:val="nil"/>
            </w:tcBorders>
            <w:shd w:val="clear" w:color="auto" w:fill="auto"/>
            <w:hideMark/>
          </w:tcPr>
          <w:p w14:paraId="4DD0D186"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p>
        </w:tc>
        <w:tc>
          <w:tcPr>
            <w:tcW w:w="835" w:type="dxa"/>
            <w:gridSpan w:val="2"/>
            <w:tcBorders>
              <w:top w:val="nil"/>
              <w:left w:val="nil"/>
              <w:bottom w:val="nil"/>
              <w:right w:val="nil"/>
            </w:tcBorders>
            <w:shd w:val="clear" w:color="auto" w:fill="auto"/>
            <w:vAlign w:val="center"/>
            <w:hideMark/>
          </w:tcPr>
          <w:p w14:paraId="5F02DCDE"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Transport infrastructure management and</w:t>
            </w:r>
          </w:p>
        </w:tc>
        <w:tc>
          <w:tcPr>
            <w:tcW w:w="372" w:type="dxa"/>
            <w:gridSpan w:val="2"/>
            <w:vMerge w:val="restart"/>
            <w:tcBorders>
              <w:top w:val="nil"/>
              <w:left w:val="nil"/>
              <w:bottom w:val="nil"/>
              <w:right w:val="nil"/>
            </w:tcBorders>
            <w:shd w:val="clear" w:color="auto" w:fill="auto"/>
            <w:hideMark/>
          </w:tcPr>
          <w:p w14:paraId="0BE00CAA"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p>
        </w:tc>
        <w:tc>
          <w:tcPr>
            <w:tcW w:w="662" w:type="dxa"/>
            <w:gridSpan w:val="2"/>
            <w:vMerge w:val="restart"/>
            <w:tcBorders>
              <w:top w:val="nil"/>
              <w:left w:val="nil"/>
              <w:bottom w:val="nil"/>
              <w:right w:val="nil"/>
            </w:tcBorders>
            <w:shd w:val="clear" w:color="auto" w:fill="auto"/>
            <w:vAlign w:val="center"/>
            <w:hideMark/>
          </w:tcPr>
          <w:p w14:paraId="2D528B55"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Transport safety and regulation</w:t>
            </w:r>
          </w:p>
        </w:tc>
        <w:tc>
          <w:tcPr>
            <w:tcW w:w="372" w:type="dxa"/>
            <w:gridSpan w:val="2"/>
            <w:vMerge w:val="restart"/>
            <w:tcBorders>
              <w:top w:val="nil"/>
              <w:left w:val="nil"/>
              <w:bottom w:val="nil"/>
              <w:right w:val="nil"/>
            </w:tcBorders>
            <w:shd w:val="clear" w:color="auto" w:fill="auto"/>
            <w:hideMark/>
          </w:tcPr>
          <w:p w14:paraId="52B810D9"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p>
        </w:tc>
        <w:tc>
          <w:tcPr>
            <w:tcW w:w="696" w:type="dxa"/>
            <w:gridSpan w:val="2"/>
            <w:vMerge w:val="restart"/>
            <w:tcBorders>
              <w:top w:val="nil"/>
              <w:left w:val="nil"/>
              <w:bottom w:val="nil"/>
              <w:right w:val="nil"/>
            </w:tcBorders>
            <w:shd w:val="clear" w:color="auto" w:fill="auto"/>
            <w:vAlign w:val="center"/>
            <w:hideMark/>
          </w:tcPr>
          <w:p w14:paraId="7A6B2DEB"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Customer experience</w:t>
            </w:r>
          </w:p>
        </w:tc>
        <w:tc>
          <w:tcPr>
            <w:tcW w:w="372" w:type="dxa"/>
            <w:vMerge w:val="restart"/>
            <w:tcBorders>
              <w:top w:val="nil"/>
              <w:left w:val="nil"/>
              <w:bottom w:val="nil"/>
              <w:right w:val="nil"/>
            </w:tcBorders>
            <w:shd w:val="clear" w:color="auto" w:fill="auto"/>
            <w:hideMark/>
          </w:tcPr>
          <w:p w14:paraId="7CCD8F72"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p>
        </w:tc>
        <w:tc>
          <w:tcPr>
            <w:tcW w:w="653" w:type="dxa"/>
            <w:gridSpan w:val="2"/>
            <w:vMerge w:val="restart"/>
            <w:tcBorders>
              <w:top w:val="nil"/>
              <w:left w:val="nil"/>
              <w:bottom w:val="nil"/>
              <w:right w:val="nil"/>
            </w:tcBorders>
            <w:shd w:val="clear" w:color="auto" w:fill="auto"/>
            <w:vAlign w:val="center"/>
            <w:hideMark/>
          </w:tcPr>
          <w:p w14:paraId="75050B03"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Passenger transport services</w:t>
            </w:r>
          </w:p>
        </w:tc>
        <w:tc>
          <w:tcPr>
            <w:tcW w:w="372" w:type="dxa"/>
            <w:gridSpan w:val="2"/>
            <w:vMerge w:val="restart"/>
            <w:tcBorders>
              <w:top w:val="nil"/>
              <w:left w:val="nil"/>
              <w:bottom w:val="nil"/>
              <w:right w:val="nil"/>
            </w:tcBorders>
            <w:shd w:val="clear" w:color="auto" w:fill="auto"/>
            <w:hideMark/>
          </w:tcPr>
          <w:p w14:paraId="5D846301"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p>
        </w:tc>
        <w:tc>
          <w:tcPr>
            <w:tcW w:w="835" w:type="dxa"/>
            <w:gridSpan w:val="2"/>
            <w:vMerge w:val="restart"/>
            <w:tcBorders>
              <w:top w:val="nil"/>
              <w:left w:val="nil"/>
              <w:bottom w:val="nil"/>
              <w:right w:val="nil"/>
            </w:tcBorders>
            <w:shd w:val="clear" w:color="auto" w:fill="auto"/>
            <w:vAlign w:val="center"/>
            <w:hideMark/>
          </w:tcPr>
          <w:p w14:paraId="3AD71360"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Transport infrastructure construction and maintenance</w:t>
            </w:r>
          </w:p>
        </w:tc>
        <w:tc>
          <w:tcPr>
            <w:tcW w:w="372" w:type="dxa"/>
            <w:gridSpan w:val="2"/>
            <w:vMerge w:val="restart"/>
            <w:tcBorders>
              <w:top w:val="nil"/>
              <w:left w:val="nil"/>
              <w:bottom w:val="nil"/>
              <w:right w:val="nil"/>
            </w:tcBorders>
            <w:shd w:val="clear" w:color="auto" w:fill="auto"/>
            <w:hideMark/>
          </w:tcPr>
          <w:p w14:paraId="680F26EF"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p>
        </w:tc>
        <w:tc>
          <w:tcPr>
            <w:tcW w:w="831" w:type="dxa"/>
            <w:gridSpan w:val="2"/>
            <w:tcBorders>
              <w:top w:val="nil"/>
              <w:left w:val="nil"/>
              <w:bottom w:val="nil"/>
              <w:right w:val="nil"/>
            </w:tcBorders>
            <w:shd w:val="clear" w:color="auto" w:fill="auto"/>
            <w:vAlign w:val="center"/>
            <w:hideMark/>
          </w:tcPr>
          <w:p w14:paraId="28558F98"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Inter-departmental services</w:t>
            </w:r>
          </w:p>
        </w:tc>
        <w:tc>
          <w:tcPr>
            <w:tcW w:w="497" w:type="dxa"/>
            <w:gridSpan w:val="2"/>
            <w:vMerge w:val="restart"/>
            <w:tcBorders>
              <w:top w:val="nil"/>
              <w:left w:val="nil"/>
              <w:bottom w:val="nil"/>
              <w:right w:val="nil"/>
            </w:tcBorders>
            <w:shd w:val="clear" w:color="auto" w:fill="auto"/>
            <w:noWrap/>
            <w:hideMark/>
          </w:tcPr>
          <w:p w14:paraId="75727BDA"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p>
        </w:tc>
        <w:tc>
          <w:tcPr>
            <w:tcW w:w="697" w:type="dxa"/>
            <w:gridSpan w:val="2"/>
            <w:vMerge w:val="restart"/>
            <w:tcBorders>
              <w:top w:val="nil"/>
              <w:left w:val="nil"/>
              <w:bottom w:val="nil"/>
              <w:right w:val="nil"/>
            </w:tcBorders>
            <w:shd w:val="clear" w:color="auto" w:fill="auto"/>
            <w:vAlign w:val="center"/>
            <w:hideMark/>
          </w:tcPr>
          <w:p w14:paraId="44065EE5"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Total</w:t>
            </w:r>
          </w:p>
        </w:tc>
      </w:tr>
      <w:tr w:rsidR="00490837" w:rsidRPr="00C1721E" w14:paraId="3D11BD30" w14:textId="77777777" w:rsidTr="00490837">
        <w:trPr>
          <w:gridAfter w:val="3"/>
          <w:wAfter w:w="1675" w:type="dxa"/>
          <w:trHeight w:val="356"/>
        </w:trPr>
        <w:tc>
          <w:tcPr>
            <w:tcW w:w="2080" w:type="dxa"/>
            <w:gridSpan w:val="3"/>
            <w:vMerge/>
            <w:tcBorders>
              <w:top w:val="nil"/>
              <w:left w:val="nil"/>
              <w:bottom w:val="nil"/>
              <w:right w:val="nil"/>
            </w:tcBorders>
            <w:vAlign w:val="center"/>
            <w:hideMark/>
          </w:tcPr>
          <w:p w14:paraId="382C8645" w14:textId="77777777" w:rsidR="00C1721E" w:rsidRPr="00C1721E" w:rsidRDefault="00C1721E" w:rsidP="00C1721E">
            <w:pPr>
              <w:spacing w:before="0" w:line="240" w:lineRule="auto"/>
              <w:rPr>
                <w:rFonts w:ascii="Meta Pro" w:eastAsia="Times New Roman" w:hAnsi="Meta Pro" w:cs="Calibri"/>
                <w:b/>
                <w:bCs/>
                <w:color w:val="000000"/>
                <w:sz w:val="16"/>
                <w:szCs w:val="16"/>
                <w:lang w:eastAsia="en-AU"/>
              </w:rPr>
            </w:pPr>
          </w:p>
        </w:tc>
        <w:tc>
          <w:tcPr>
            <w:tcW w:w="822" w:type="dxa"/>
            <w:gridSpan w:val="2"/>
            <w:vMerge/>
            <w:tcBorders>
              <w:top w:val="nil"/>
              <w:left w:val="nil"/>
              <w:bottom w:val="nil"/>
              <w:right w:val="nil"/>
            </w:tcBorders>
            <w:vAlign w:val="center"/>
            <w:hideMark/>
          </w:tcPr>
          <w:p w14:paraId="1F27E5A7" w14:textId="77777777" w:rsidR="00C1721E" w:rsidRPr="00C1721E" w:rsidRDefault="00C1721E" w:rsidP="00C1721E">
            <w:pPr>
              <w:spacing w:before="0" w:line="240" w:lineRule="auto"/>
              <w:rPr>
                <w:rFonts w:ascii="Meta Pro" w:eastAsia="Times New Roman" w:hAnsi="Meta Pro" w:cs="Calibri"/>
                <w:b/>
                <w:bCs/>
                <w:color w:val="000000"/>
                <w:sz w:val="16"/>
                <w:szCs w:val="16"/>
                <w:lang w:eastAsia="en-AU"/>
              </w:rPr>
            </w:pPr>
          </w:p>
        </w:tc>
        <w:tc>
          <w:tcPr>
            <w:tcW w:w="371" w:type="dxa"/>
            <w:vMerge/>
            <w:tcBorders>
              <w:top w:val="nil"/>
              <w:left w:val="nil"/>
              <w:bottom w:val="nil"/>
              <w:right w:val="nil"/>
            </w:tcBorders>
            <w:vAlign w:val="center"/>
            <w:hideMark/>
          </w:tcPr>
          <w:p w14:paraId="58A1F050" w14:textId="77777777" w:rsidR="00C1721E" w:rsidRPr="00C1721E" w:rsidRDefault="00C1721E" w:rsidP="00C1721E">
            <w:pPr>
              <w:spacing w:before="0" w:line="240" w:lineRule="auto"/>
              <w:rPr>
                <w:rFonts w:ascii="Meta Pro" w:eastAsia="Times New Roman" w:hAnsi="Meta Pro" w:cs="Calibri"/>
                <w:b/>
                <w:bCs/>
                <w:color w:val="000000"/>
                <w:sz w:val="16"/>
                <w:szCs w:val="16"/>
                <w:lang w:eastAsia="en-AU"/>
              </w:rPr>
            </w:pPr>
          </w:p>
        </w:tc>
        <w:tc>
          <w:tcPr>
            <w:tcW w:w="835" w:type="dxa"/>
            <w:gridSpan w:val="2"/>
            <w:tcBorders>
              <w:top w:val="nil"/>
              <w:left w:val="nil"/>
              <w:bottom w:val="nil"/>
              <w:right w:val="nil"/>
            </w:tcBorders>
            <w:shd w:val="clear" w:color="auto" w:fill="auto"/>
            <w:vAlign w:val="center"/>
            <w:hideMark/>
          </w:tcPr>
          <w:p w14:paraId="578D1330"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delivery</w:t>
            </w:r>
          </w:p>
        </w:tc>
        <w:tc>
          <w:tcPr>
            <w:tcW w:w="372" w:type="dxa"/>
            <w:gridSpan w:val="2"/>
            <w:vMerge/>
            <w:tcBorders>
              <w:top w:val="nil"/>
              <w:left w:val="nil"/>
              <w:bottom w:val="nil"/>
              <w:right w:val="nil"/>
            </w:tcBorders>
            <w:vAlign w:val="center"/>
            <w:hideMark/>
          </w:tcPr>
          <w:p w14:paraId="5A260861" w14:textId="77777777" w:rsidR="00C1721E" w:rsidRPr="00C1721E" w:rsidRDefault="00C1721E" w:rsidP="00C1721E">
            <w:pPr>
              <w:spacing w:before="0" w:line="240" w:lineRule="auto"/>
              <w:rPr>
                <w:rFonts w:ascii="Meta Pro" w:eastAsia="Times New Roman" w:hAnsi="Meta Pro" w:cs="Calibri"/>
                <w:b/>
                <w:bCs/>
                <w:color w:val="000000"/>
                <w:sz w:val="16"/>
                <w:szCs w:val="16"/>
                <w:lang w:eastAsia="en-AU"/>
              </w:rPr>
            </w:pPr>
          </w:p>
        </w:tc>
        <w:tc>
          <w:tcPr>
            <w:tcW w:w="662" w:type="dxa"/>
            <w:gridSpan w:val="2"/>
            <w:vMerge/>
            <w:tcBorders>
              <w:top w:val="nil"/>
              <w:left w:val="nil"/>
              <w:bottom w:val="nil"/>
              <w:right w:val="nil"/>
            </w:tcBorders>
            <w:vAlign w:val="center"/>
            <w:hideMark/>
          </w:tcPr>
          <w:p w14:paraId="001C5951" w14:textId="77777777" w:rsidR="00C1721E" w:rsidRPr="00C1721E" w:rsidRDefault="00C1721E" w:rsidP="00C1721E">
            <w:pPr>
              <w:spacing w:before="0" w:line="240" w:lineRule="auto"/>
              <w:rPr>
                <w:rFonts w:ascii="Meta Pro" w:eastAsia="Times New Roman" w:hAnsi="Meta Pro" w:cs="Calibri"/>
                <w:b/>
                <w:bCs/>
                <w:color w:val="000000"/>
                <w:sz w:val="16"/>
                <w:szCs w:val="16"/>
                <w:lang w:eastAsia="en-AU"/>
              </w:rPr>
            </w:pPr>
          </w:p>
        </w:tc>
        <w:tc>
          <w:tcPr>
            <w:tcW w:w="372" w:type="dxa"/>
            <w:gridSpan w:val="2"/>
            <w:vMerge/>
            <w:tcBorders>
              <w:top w:val="nil"/>
              <w:left w:val="nil"/>
              <w:bottom w:val="nil"/>
              <w:right w:val="nil"/>
            </w:tcBorders>
            <w:vAlign w:val="center"/>
            <w:hideMark/>
          </w:tcPr>
          <w:p w14:paraId="5A9B375D" w14:textId="77777777" w:rsidR="00C1721E" w:rsidRPr="00C1721E" w:rsidRDefault="00C1721E" w:rsidP="00C1721E">
            <w:pPr>
              <w:spacing w:before="0" w:line="240" w:lineRule="auto"/>
              <w:rPr>
                <w:rFonts w:ascii="Meta Pro" w:eastAsia="Times New Roman" w:hAnsi="Meta Pro" w:cs="Calibri"/>
                <w:b/>
                <w:bCs/>
                <w:color w:val="000000"/>
                <w:sz w:val="16"/>
                <w:szCs w:val="16"/>
                <w:lang w:eastAsia="en-AU"/>
              </w:rPr>
            </w:pPr>
          </w:p>
        </w:tc>
        <w:tc>
          <w:tcPr>
            <w:tcW w:w="696" w:type="dxa"/>
            <w:gridSpan w:val="2"/>
            <w:vMerge/>
            <w:tcBorders>
              <w:top w:val="nil"/>
              <w:left w:val="nil"/>
              <w:bottom w:val="nil"/>
              <w:right w:val="nil"/>
            </w:tcBorders>
            <w:vAlign w:val="center"/>
            <w:hideMark/>
          </w:tcPr>
          <w:p w14:paraId="0FA7DACF" w14:textId="77777777" w:rsidR="00C1721E" w:rsidRPr="00C1721E" w:rsidRDefault="00C1721E" w:rsidP="00C1721E">
            <w:pPr>
              <w:spacing w:before="0" w:line="240" w:lineRule="auto"/>
              <w:rPr>
                <w:rFonts w:ascii="Meta Pro" w:eastAsia="Times New Roman" w:hAnsi="Meta Pro" w:cs="Calibri"/>
                <w:b/>
                <w:bCs/>
                <w:color w:val="000000"/>
                <w:sz w:val="16"/>
                <w:szCs w:val="16"/>
                <w:lang w:eastAsia="en-AU"/>
              </w:rPr>
            </w:pPr>
          </w:p>
        </w:tc>
        <w:tc>
          <w:tcPr>
            <w:tcW w:w="372" w:type="dxa"/>
            <w:vMerge/>
            <w:tcBorders>
              <w:top w:val="nil"/>
              <w:left w:val="nil"/>
              <w:bottom w:val="nil"/>
              <w:right w:val="nil"/>
            </w:tcBorders>
            <w:vAlign w:val="center"/>
            <w:hideMark/>
          </w:tcPr>
          <w:p w14:paraId="3581E7E7" w14:textId="77777777" w:rsidR="00C1721E" w:rsidRPr="00C1721E" w:rsidRDefault="00C1721E" w:rsidP="00C1721E">
            <w:pPr>
              <w:spacing w:before="0" w:line="240" w:lineRule="auto"/>
              <w:rPr>
                <w:rFonts w:ascii="Meta Pro" w:eastAsia="Times New Roman" w:hAnsi="Meta Pro" w:cs="Calibri"/>
                <w:b/>
                <w:bCs/>
                <w:color w:val="000000"/>
                <w:sz w:val="16"/>
                <w:szCs w:val="16"/>
                <w:lang w:eastAsia="en-AU"/>
              </w:rPr>
            </w:pPr>
          </w:p>
        </w:tc>
        <w:tc>
          <w:tcPr>
            <w:tcW w:w="653" w:type="dxa"/>
            <w:gridSpan w:val="2"/>
            <w:vMerge/>
            <w:tcBorders>
              <w:top w:val="nil"/>
              <w:left w:val="nil"/>
              <w:bottom w:val="nil"/>
              <w:right w:val="nil"/>
            </w:tcBorders>
            <w:vAlign w:val="center"/>
            <w:hideMark/>
          </w:tcPr>
          <w:p w14:paraId="53AA654E" w14:textId="77777777" w:rsidR="00C1721E" w:rsidRPr="00C1721E" w:rsidRDefault="00C1721E" w:rsidP="00C1721E">
            <w:pPr>
              <w:spacing w:before="0" w:line="240" w:lineRule="auto"/>
              <w:rPr>
                <w:rFonts w:ascii="Meta Pro" w:eastAsia="Times New Roman" w:hAnsi="Meta Pro" w:cs="Calibri"/>
                <w:b/>
                <w:bCs/>
                <w:color w:val="000000"/>
                <w:sz w:val="16"/>
                <w:szCs w:val="16"/>
                <w:lang w:eastAsia="en-AU"/>
              </w:rPr>
            </w:pPr>
          </w:p>
        </w:tc>
        <w:tc>
          <w:tcPr>
            <w:tcW w:w="372" w:type="dxa"/>
            <w:gridSpan w:val="2"/>
            <w:vMerge/>
            <w:tcBorders>
              <w:top w:val="nil"/>
              <w:left w:val="nil"/>
              <w:bottom w:val="nil"/>
              <w:right w:val="nil"/>
            </w:tcBorders>
            <w:vAlign w:val="center"/>
            <w:hideMark/>
          </w:tcPr>
          <w:p w14:paraId="4AFD39C0" w14:textId="77777777" w:rsidR="00C1721E" w:rsidRPr="00C1721E" w:rsidRDefault="00C1721E" w:rsidP="00C1721E">
            <w:pPr>
              <w:spacing w:before="0" w:line="240" w:lineRule="auto"/>
              <w:rPr>
                <w:rFonts w:ascii="Meta Pro" w:eastAsia="Times New Roman" w:hAnsi="Meta Pro" w:cs="Calibri"/>
                <w:b/>
                <w:bCs/>
                <w:color w:val="000000"/>
                <w:sz w:val="16"/>
                <w:szCs w:val="16"/>
                <w:lang w:eastAsia="en-AU"/>
              </w:rPr>
            </w:pPr>
          </w:p>
        </w:tc>
        <w:tc>
          <w:tcPr>
            <w:tcW w:w="835" w:type="dxa"/>
            <w:gridSpan w:val="2"/>
            <w:vMerge/>
            <w:tcBorders>
              <w:top w:val="nil"/>
              <w:left w:val="nil"/>
              <w:bottom w:val="nil"/>
              <w:right w:val="nil"/>
            </w:tcBorders>
            <w:vAlign w:val="center"/>
            <w:hideMark/>
          </w:tcPr>
          <w:p w14:paraId="6F9D6179" w14:textId="77777777" w:rsidR="00C1721E" w:rsidRPr="00C1721E" w:rsidRDefault="00C1721E" w:rsidP="00C1721E">
            <w:pPr>
              <w:spacing w:before="0" w:line="240" w:lineRule="auto"/>
              <w:rPr>
                <w:rFonts w:ascii="Meta Pro" w:eastAsia="Times New Roman" w:hAnsi="Meta Pro" w:cs="Calibri"/>
                <w:b/>
                <w:bCs/>
                <w:color w:val="000000"/>
                <w:sz w:val="16"/>
                <w:szCs w:val="16"/>
                <w:lang w:eastAsia="en-AU"/>
              </w:rPr>
            </w:pPr>
          </w:p>
        </w:tc>
        <w:tc>
          <w:tcPr>
            <w:tcW w:w="372" w:type="dxa"/>
            <w:gridSpan w:val="2"/>
            <w:vMerge/>
            <w:tcBorders>
              <w:top w:val="nil"/>
              <w:left w:val="nil"/>
              <w:bottom w:val="nil"/>
              <w:right w:val="nil"/>
            </w:tcBorders>
            <w:vAlign w:val="center"/>
            <w:hideMark/>
          </w:tcPr>
          <w:p w14:paraId="03B1604A" w14:textId="77777777" w:rsidR="00C1721E" w:rsidRPr="00C1721E" w:rsidRDefault="00C1721E" w:rsidP="00C1721E">
            <w:pPr>
              <w:spacing w:before="0" w:line="240" w:lineRule="auto"/>
              <w:rPr>
                <w:rFonts w:ascii="Meta Pro" w:eastAsia="Times New Roman" w:hAnsi="Meta Pro" w:cs="Calibri"/>
                <w:b/>
                <w:bCs/>
                <w:color w:val="000000"/>
                <w:sz w:val="16"/>
                <w:szCs w:val="16"/>
                <w:lang w:eastAsia="en-AU"/>
              </w:rPr>
            </w:pPr>
          </w:p>
        </w:tc>
        <w:tc>
          <w:tcPr>
            <w:tcW w:w="831" w:type="dxa"/>
            <w:gridSpan w:val="2"/>
            <w:tcBorders>
              <w:top w:val="nil"/>
              <w:left w:val="nil"/>
              <w:bottom w:val="nil"/>
              <w:right w:val="nil"/>
            </w:tcBorders>
            <w:shd w:val="clear" w:color="auto" w:fill="auto"/>
            <w:vAlign w:val="center"/>
            <w:hideMark/>
          </w:tcPr>
          <w:p w14:paraId="46C797C7"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xml:space="preserve">eliminations </w:t>
            </w:r>
          </w:p>
        </w:tc>
        <w:tc>
          <w:tcPr>
            <w:tcW w:w="497" w:type="dxa"/>
            <w:gridSpan w:val="2"/>
            <w:vMerge/>
            <w:tcBorders>
              <w:top w:val="nil"/>
              <w:left w:val="nil"/>
              <w:bottom w:val="nil"/>
              <w:right w:val="nil"/>
            </w:tcBorders>
            <w:vAlign w:val="center"/>
            <w:hideMark/>
          </w:tcPr>
          <w:p w14:paraId="72167D2A" w14:textId="77777777" w:rsidR="00C1721E" w:rsidRPr="00C1721E" w:rsidRDefault="00C1721E" w:rsidP="00C1721E">
            <w:pPr>
              <w:spacing w:before="0" w:line="240" w:lineRule="auto"/>
              <w:rPr>
                <w:rFonts w:ascii="Meta Pro" w:eastAsia="Times New Roman" w:hAnsi="Meta Pro" w:cs="Calibri"/>
                <w:b/>
                <w:bCs/>
                <w:color w:val="000000"/>
                <w:sz w:val="16"/>
                <w:szCs w:val="16"/>
                <w:lang w:eastAsia="en-AU"/>
              </w:rPr>
            </w:pPr>
          </w:p>
        </w:tc>
        <w:tc>
          <w:tcPr>
            <w:tcW w:w="697" w:type="dxa"/>
            <w:gridSpan w:val="2"/>
            <w:vMerge/>
            <w:tcBorders>
              <w:top w:val="nil"/>
              <w:left w:val="nil"/>
              <w:bottom w:val="nil"/>
              <w:right w:val="nil"/>
            </w:tcBorders>
            <w:vAlign w:val="center"/>
            <w:hideMark/>
          </w:tcPr>
          <w:p w14:paraId="63CCA639" w14:textId="77777777" w:rsidR="00C1721E" w:rsidRPr="00C1721E" w:rsidRDefault="00C1721E" w:rsidP="00C1721E">
            <w:pPr>
              <w:spacing w:before="0" w:line="240" w:lineRule="auto"/>
              <w:rPr>
                <w:rFonts w:ascii="Meta Pro" w:eastAsia="Times New Roman" w:hAnsi="Meta Pro" w:cs="Calibri"/>
                <w:b/>
                <w:bCs/>
                <w:color w:val="000000"/>
                <w:sz w:val="16"/>
                <w:szCs w:val="16"/>
                <w:lang w:eastAsia="en-AU"/>
              </w:rPr>
            </w:pPr>
          </w:p>
        </w:tc>
      </w:tr>
      <w:tr w:rsidR="00490837" w:rsidRPr="00C1721E" w14:paraId="2182A35D" w14:textId="77777777" w:rsidTr="00490837">
        <w:trPr>
          <w:gridAfter w:val="3"/>
          <w:wAfter w:w="1675" w:type="dxa"/>
          <w:trHeight w:val="246"/>
        </w:trPr>
        <w:tc>
          <w:tcPr>
            <w:tcW w:w="254" w:type="dxa"/>
            <w:gridSpan w:val="2"/>
            <w:tcBorders>
              <w:top w:val="nil"/>
              <w:left w:val="nil"/>
              <w:bottom w:val="nil"/>
              <w:right w:val="nil"/>
            </w:tcBorders>
            <w:shd w:val="clear" w:color="auto" w:fill="auto"/>
            <w:noWrap/>
            <w:vAlign w:val="center"/>
            <w:hideMark/>
          </w:tcPr>
          <w:p w14:paraId="6C93A42A"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p>
        </w:tc>
        <w:tc>
          <w:tcPr>
            <w:tcW w:w="1826" w:type="dxa"/>
            <w:tcBorders>
              <w:top w:val="nil"/>
              <w:left w:val="nil"/>
              <w:bottom w:val="nil"/>
              <w:right w:val="nil"/>
            </w:tcBorders>
            <w:shd w:val="clear" w:color="auto" w:fill="auto"/>
            <w:noWrap/>
            <w:vAlign w:val="center"/>
            <w:hideMark/>
          </w:tcPr>
          <w:p w14:paraId="770DD544"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822" w:type="dxa"/>
            <w:gridSpan w:val="2"/>
            <w:tcBorders>
              <w:top w:val="nil"/>
              <w:left w:val="nil"/>
              <w:bottom w:val="nil"/>
              <w:right w:val="nil"/>
            </w:tcBorders>
            <w:shd w:val="clear" w:color="auto" w:fill="auto"/>
            <w:hideMark/>
          </w:tcPr>
          <w:p w14:paraId="68BB9533"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371" w:type="dxa"/>
            <w:tcBorders>
              <w:top w:val="nil"/>
              <w:left w:val="nil"/>
              <w:bottom w:val="nil"/>
              <w:right w:val="nil"/>
            </w:tcBorders>
            <w:shd w:val="clear" w:color="auto" w:fill="auto"/>
            <w:hideMark/>
          </w:tcPr>
          <w:p w14:paraId="7F57BD56"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835" w:type="dxa"/>
            <w:gridSpan w:val="2"/>
            <w:tcBorders>
              <w:top w:val="nil"/>
              <w:left w:val="nil"/>
              <w:bottom w:val="nil"/>
              <w:right w:val="nil"/>
            </w:tcBorders>
            <w:shd w:val="clear" w:color="auto" w:fill="auto"/>
            <w:hideMark/>
          </w:tcPr>
          <w:p w14:paraId="64077717"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372" w:type="dxa"/>
            <w:gridSpan w:val="2"/>
            <w:tcBorders>
              <w:top w:val="nil"/>
              <w:left w:val="nil"/>
              <w:bottom w:val="nil"/>
              <w:right w:val="nil"/>
            </w:tcBorders>
            <w:shd w:val="clear" w:color="auto" w:fill="auto"/>
            <w:hideMark/>
          </w:tcPr>
          <w:p w14:paraId="0D708819"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662" w:type="dxa"/>
            <w:gridSpan w:val="2"/>
            <w:tcBorders>
              <w:top w:val="nil"/>
              <w:left w:val="nil"/>
              <w:bottom w:val="nil"/>
              <w:right w:val="nil"/>
            </w:tcBorders>
            <w:shd w:val="clear" w:color="auto" w:fill="auto"/>
            <w:hideMark/>
          </w:tcPr>
          <w:p w14:paraId="3121D949"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372" w:type="dxa"/>
            <w:gridSpan w:val="2"/>
            <w:tcBorders>
              <w:top w:val="nil"/>
              <w:left w:val="nil"/>
              <w:bottom w:val="nil"/>
              <w:right w:val="nil"/>
            </w:tcBorders>
            <w:shd w:val="clear" w:color="auto" w:fill="auto"/>
            <w:hideMark/>
          </w:tcPr>
          <w:p w14:paraId="7A9993D1"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696" w:type="dxa"/>
            <w:gridSpan w:val="2"/>
            <w:tcBorders>
              <w:top w:val="nil"/>
              <w:left w:val="nil"/>
              <w:bottom w:val="nil"/>
              <w:right w:val="nil"/>
            </w:tcBorders>
            <w:shd w:val="clear" w:color="auto" w:fill="auto"/>
            <w:hideMark/>
          </w:tcPr>
          <w:p w14:paraId="70C8B202"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372" w:type="dxa"/>
            <w:tcBorders>
              <w:top w:val="nil"/>
              <w:left w:val="nil"/>
              <w:bottom w:val="nil"/>
              <w:right w:val="nil"/>
            </w:tcBorders>
            <w:shd w:val="clear" w:color="auto" w:fill="auto"/>
            <w:hideMark/>
          </w:tcPr>
          <w:p w14:paraId="5E61E4F2"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653" w:type="dxa"/>
            <w:gridSpan w:val="2"/>
            <w:tcBorders>
              <w:top w:val="nil"/>
              <w:left w:val="nil"/>
              <w:bottom w:val="nil"/>
              <w:right w:val="nil"/>
            </w:tcBorders>
            <w:shd w:val="clear" w:color="auto" w:fill="auto"/>
            <w:hideMark/>
          </w:tcPr>
          <w:p w14:paraId="6C98F93E"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372" w:type="dxa"/>
            <w:gridSpan w:val="2"/>
            <w:tcBorders>
              <w:top w:val="nil"/>
              <w:left w:val="nil"/>
              <w:bottom w:val="nil"/>
              <w:right w:val="nil"/>
            </w:tcBorders>
            <w:shd w:val="clear" w:color="auto" w:fill="auto"/>
            <w:hideMark/>
          </w:tcPr>
          <w:p w14:paraId="439EBDDA"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835" w:type="dxa"/>
            <w:gridSpan w:val="2"/>
            <w:tcBorders>
              <w:top w:val="nil"/>
              <w:left w:val="nil"/>
              <w:bottom w:val="nil"/>
              <w:right w:val="nil"/>
            </w:tcBorders>
            <w:shd w:val="clear" w:color="auto" w:fill="auto"/>
            <w:hideMark/>
          </w:tcPr>
          <w:p w14:paraId="3BE637A0"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372" w:type="dxa"/>
            <w:gridSpan w:val="2"/>
            <w:tcBorders>
              <w:top w:val="nil"/>
              <w:left w:val="nil"/>
              <w:bottom w:val="nil"/>
              <w:right w:val="nil"/>
            </w:tcBorders>
            <w:shd w:val="clear" w:color="auto" w:fill="auto"/>
            <w:hideMark/>
          </w:tcPr>
          <w:p w14:paraId="09F0D064"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831" w:type="dxa"/>
            <w:gridSpan w:val="2"/>
            <w:tcBorders>
              <w:top w:val="nil"/>
              <w:left w:val="nil"/>
              <w:bottom w:val="nil"/>
              <w:right w:val="nil"/>
            </w:tcBorders>
            <w:shd w:val="clear" w:color="auto" w:fill="auto"/>
            <w:hideMark/>
          </w:tcPr>
          <w:p w14:paraId="767748F1"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497" w:type="dxa"/>
            <w:gridSpan w:val="2"/>
            <w:tcBorders>
              <w:top w:val="nil"/>
              <w:left w:val="nil"/>
              <w:bottom w:val="nil"/>
              <w:right w:val="nil"/>
            </w:tcBorders>
            <w:shd w:val="clear" w:color="auto" w:fill="auto"/>
            <w:hideMark/>
          </w:tcPr>
          <w:p w14:paraId="593643BB"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697" w:type="dxa"/>
            <w:gridSpan w:val="2"/>
            <w:tcBorders>
              <w:top w:val="nil"/>
              <w:left w:val="nil"/>
              <w:bottom w:val="nil"/>
              <w:right w:val="nil"/>
            </w:tcBorders>
            <w:shd w:val="clear" w:color="auto" w:fill="auto"/>
            <w:hideMark/>
          </w:tcPr>
          <w:p w14:paraId="11D13248" w14:textId="77777777" w:rsidR="00C1721E" w:rsidRPr="00C1721E" w:rsidRDefault="00C1721E" w:rsidP="00C1721E">
            <w:pPr>
              <w:spacing w:before="0" w:line="240" w:lineRule="auto"/>
              <w:rPr>
                <w:rFonts w:eastAsia="Times New Roman" w:cs="Times New Roman"/>
                <w:color w:val="auto"/>
                <w:sz w:val="20"/>
                <w:szCs w:val="20"/>
                <w:lang w:eastAsia="en-AU"/>
              </w:rPr>
            </w:pPr>
          </w:p>
        </w:tc>
      </w:tr>
      <w:tr w:rsidR="00490837" w:rsidRPr="00C1721E" w14:paraId="54967EE7" w14:textId="77777777" w:rsidTr="00490837">
        <w:trPr>
          <w:gridAfter w:val="3"/>
          <w:wAfter w:w="1675" w:type="dxa"/>
          <w:trHeight w:val="246"/>
        </w:trPr>
        <w:tc>
          <w:tcPr>
            <w:tcW w:w="254" w:type="dxa"/>
            <w:gridSpan w:val="2"/>
            <w:tcBorders>
              <w:top w:val="nil"/>
              <w:left w:val="nil"/>
              <w:bottom w:val="nil"/>
              <w:right w:val="nil"/>
            </w:tcBorders>
            <w:shd w:val="clear" w:color="auto" w:fill="auto"/>
            <w:noWrap/>
            <w:vAlign w:val="center"/>
            <w:hideMark/>
          </w:tcPr>
          <w:p w14:paraId="2BC1EAE6"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1826" w:type="dxa"/>
            <w:tcBorders>
              <w:top w:val="nil"/>
              <w:left w:val="nil"/>
              <w:bottom w:val="nil"/>
              <w:right w:val="nil"/>
            </w:tcBorders>
            <w:shd w:val="clear" w:color="auto" w:fill="auto"/>
            <w:noWrap/>
            <w:vAlign w:val="center"/>
            <w:hideMark/>
          </w:tcPr>
          <w:p w14:paraId="495D314D"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822" w:type="dxa"/>
            <w:gridSpan w:val="2"/>
            <w:tcBorders>
              <w:top w:val="nil"/>
              <w:left w:val="nil"/>
              <w:bottom w:val="nil"/>
              <w:right w:val="nil"/>
            </w:tcBorders>
            <w:shd w:val="clear" w:color="auto" w:fill="auto"/>
            <w:noWrap/>
            <w:vAlign w:val="center"/>
            <w:hideMark/>
          </w:tcPr>
          <w:p w14:paraId="17393636"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2022</w:t>
            </w:r>
          </w:p>
        </w:tc>
        <w:tc>
          <w:tcPr>
            <w:tcW w:w="371" w:type="dxa"/>
            <w:tcBorders>
              <w:top w:val="nil"/>
              <w:left w:val="nil"/>
              <w:bottom w:val="nil"/>
              <w:right w:val="nil"/>
            </w:tcBorders>
            <w:shd w:val="clear" w:color="auto" w:fill="auto"/>
            <w:noWrap/>
            <w:vAlign w:val="center"/>
            <w:hideMark/>
          </w:tcPr>
          <w:p w14:paraId="08E163ED"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p>
        </w:tc>
        <w:tc>
          <w:tcPr>
            <w:tcW w:w="835" w:type="dxa"/>
            <w:gridSpan w:val="2"/>
            <w:tcBorders>
              <w:top w:val="nil"/>
              <w:left w:val="nil"/>
              <w:bottom w:val="nil"/>
              <w:right w:val="nil"/>
            </w:tcBorders>
            <w:shd w:val="clear" w:color="auto" w:fill="auto"/>
            <w:noWrap/>
            <w:vAlign w:val="center"/>
            <w:hideMark/>
          </w:tcPr>
          <w:p w14:paraId="49C33850"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2022</w:t>
            </w:r>
          </w:p>
        </w:tc>
        <w:tc>
          <w:tcPr>
            <w:tcW w:w="372" w:type="dxa"/>
            <w:gridSpan w:val="2"/>
            <w:tcBorders>
              <w:top w:val="nil"/>
              <w:left w:val="nil"/>
              <w:bottom w:val="nil"/>
              <w:right w:val="nil"/>
            </w:tcBorders>
            <w:shd w:val="clear" w:color="auto" w:fill="auto"/>
            <w:noWrap/>
            <w:vAlign w:val="center"/>
            <w:hideMark/>
          </w:tcPr>
          <w:p w14:paraId="61543E43"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p>
        </w:tc>
        <w:tc>
          <w:tcPr>
            <w:tcW w:w="662" w:type="dxa"/>
            <w:gridSpan w:val="2"/>
            <w:tcBorders>
              <w:top w:val="nil"/>
              <w:left w:val="nil"/>
              <w:bottom w:val="nil"/>
              <w:right w:val="nil"/>
            </w:tcBorders>
            <w:shd w:val="clear" w:color="auto" w:fill="auto"/>
            <w:noWrap/>
            <w:vAlign w:val="center"/>
            <w:hideMark/>
          </w:tcPr>
          <w:p w14:paraId="77E56B13"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2022</w:t>
            </w:r>
          </w:p>
        </w:tc>
        <w:tc>
          <w:tcPr>
            <w:tcW w:w="372" w:type="dxa"/>
            <w:gridSpan w:val="2"/>
            <w:tcBorders>
              <w:top w:val="nil"/>
              <w:left w:val="nil"/>
              <w:bottom w:val="nil"/>
              <w:right w:val="nil"/>
            </w:tcBorders>
            <w:shd w:val="clear" w:color="auto" w:fill="auto"/>
            <w:noWrap/>
            <w:vAlign w:val="center"/>
            <w:hideMark/>
          </w:tcPr>
          <w:p w14:paraId="3749B6D5"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p>
        </w:tc>
        <w:tc>
          <w:tcPr>
            <w:tcW w:w="696" w:type="dxa"/>
            <w:gridSpan w:val="2"/>
            <w:tcBorders>
              <w:top w:val="nil"/>
              <w:left w:val="nil"/>
              <w:bottom w:val="nil"/>
              <w:right w:val="nil"/>
            </w:tcBorders>
            <w:shd w:val="clear" w:color="auto" w:fill="auto"/>
            <w:noWrap/>
            <w:vAlign w:val="center"/>
            <w:hideMark/>
          </w:tcPr>
          <w:p w14:paraId="21F7D7D5"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2022</w:t>
            </w:r>
          </w:p>
        </w:tc>
        <w:tc>
          <w:tcPr>
            <w:tcW w:w="372" w:type="dxa"/>
            <w:tcBorders>
              <w:top w:val="nil"/>
              <w:left w:val="nil"/>
              <w:bottom w:val="nil"/>
              <w:right w:val="nil"/>
            </w:tcBorders>
            <w:shd w:val="clear" w:color="auto" w:fill="auto"/>
            <w:noWrap/>
            <w:vAlign w:val="center"/>
            <w:hideMark/>
          </w:tcPr>
          <w:p w14:paraId="3C1FC0AC"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p>
        </w:tc>
        <w:tc>
          <w:tcPr>
            <w:tcW w:w="653" w:type="dxa"/>
            <w:gridSpan w:val="2"/>
            <w:tcBorders>
              <w:top w:val="nil"/>
              <w:left w:val="nil"/>
              <w:bottom w:val="nil"/>
              <w:right w:val="nil"/>
            </w:tcBorders>
            <w:shd w:val="clear" w:color="auto" w:fill="auto"/>
            <w:noWrap/>
            <w:vAlign w:val="center"/>
            <w:hideMark/>
          </w:tcPr>
          <w:p w14:paraId="292F6C77"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2022</w:t>
            </w:r>
          </w:p>
        </w:tc>
        <w:tc>
          <w:tcPr>
            <w:tcW w:w="372" w:type="dxa"/>
            <w:gridSpan w:val="2"/>
            <w:tcBorders>
              <w:top w:val="nil"/>
              <w:left w:val="nil"/>
              <w:bottom w:val="nil"/>
              <w:right w:val="nil"/>
            </w:tcBorders>
            <w:shd w:val="clear" w:color="auto" w:fill="auto"/>
            <w:noWrap/>
            <w:vAlign w:val="center"/>
            <w:hideMark/>
          </w:tcPr>
          <w:p w14:paraId="1B60CCE0"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p>
        </w:tc>
        <w:tc>
          <w:tcPr>
            <w:tcW w:w="835" w:type="dxa"/>
            <w:gridSpan w:val="2"/>
            <w:tcBorders>
              <w:top w:val="nil"/>
              <w:left w:val="nil"/>
              <w:bottom w:val="nil"/>
              <w:right w:val="nil"/>
            </w:tcBorders>
            <w:shd w:val="clear" w:color="auto" w:fill="auto"/>
            <w:noWrap/>
            <w:vAlign w:val="center"/>
            <w:hideMark/>
          </w:tcPr>
          <w:p w14:paraId="6BA07754"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2022</w:t>
            </w:r>
          </w:p>
        </w:tc>
        <w:tc>
          <w:tcPr>
            <w:tcW w:w="372" w:type="dxa"/>
            <w:gridSpan w:val="2"/>
            <w:tcBorders>
              <w:top w:val="nil"/>
              <w:left w:val="nil"/>
              <w:bottom w:val="nil"/>
              <w:right w:val="nil"/>
            </w:tcBorders>
            <w:shd w:val="clear" w:color="auto" w:fill="auto"/>
            <w:noWrap/>
            <w:vAlign w:val="center"/>
            <w:hideMark/>
          </w:tcPr>
          <w:p w14:paraId="060EB613"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p>
        </w:tc>
        <w:tc>
          <w:tcPr>
            <w:tcW w:w="831" w:type="dxa"/>
            <w:gridSpan w:val="2"/>
            <w:tcBorders>
              <w:top w:val="nil"/>
              <w:left w:val="nil"/>
              <w:bottom w:val="nil"/>
              <w:right w:val="nil"/>
            </w:tcBorders>
            <w:shd w:val="clear" w:color="auto" w:fill="auto"/>
            <w:noWrap/>
            <w:vAlign w:val="center"/>
            <w:hideMark/>
          </w:tcPr>
          <w:p w14:paraId="7D6BA162"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2022</w:t>
            </w:r>
          </w:p>
        </w:tc>
        <w:tc>
          <w:tcPr>
            <w:tcW w:w="497" w:type="dxa"/>
            <w:gridSpan w:val="2"/>
            <w:tcBorders>
              <w:top w:val="nil"/>
              <w:left w:val="nil"/>
              <w:bottom w:val="nil"/>
              <w:right w:val="nil"/>
            </w:tcBorders>
            <w:shd w:val="clear" w:color="auto" w:fill="auto"/>
            <w:noWrap/>
            <w:vAlign w:val="center"/>
            <w:hideMark/>
          </w:tcPr>
          <w:p w14:paraId="251B2C6E"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p>
        </w:tc>
        <w:tc>
          <w:tcPr>
            <w:tcW w:w="697" w:type="dxa"/>
            <w:gridSpan w:val="2"/>
            <w:tcBorders>
              <w:top w:val="nil"/>
              <w:left w:val="nil"/>
              <w:bottom w:val="nil"/>
              <w:right w:val="nil"/>
            </w:tcBorders>
            <w:shd w:val="clear" w:color="auto" w:fill="auto"/>
            <w:noWrap/>
            <w:vAlign w:val="center"/>
            <w:hideMark/>
          </w:tcPr>
          <w:p w14:paraId="1E844D4E"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2022</w:t>
            </w:r>
          </w:p>
        </w:tc>
      </w:tr>
      <w:tr w:rsidR="00490837" w:rsidRPr="00C1721E" w14:paraId="397255CA" w14:textId="77777777" w:rsidTr="00490837">
        <w:trPr>
          <w:gridAfter w:val="3"/>
          <w:wAfter w:w="1675" w:type="dxa"/>
          <w:trHeight w:val="246"/>
        </w:trPr>
        <w:tc>
          <w:tcPr>
            <w:tcW w:w="254" w:type="dxa"/>
            <w:gridSpan w:val="2"/>
            <w:tcBorders>
              <w:top w:val="nil"/>
              <w:left w:val="nil"/>
              <w:bottom w:val="nil"/>
              <w:right w:val="nil"/>
            </w:tcBorders>
            <w:shd w:val="clear" w:color="auto" w:fill="auto"/>
            <w:noWrap/>
            <w:vAlign w:val="center"/>
            <w:hideMark/>
          </w:tcPr>
          <w:p w14:paraId="2C8F4E65"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p>
        </w:tc>
        <w:tc>
          <w:tcPr>
            <w:tcW w:w="1826" w:type="dxa"/>
            <w:tcBorders>
              <w:top w:val="nil"/>
              <w:left w:val="nil"/>
              <w:bottom w:val="nil"/>
              <w:right w:val="nil"/>
            </w:tcBorders>
            <w:shd w:val="clear" w:color="auto" w:fill="auto"/>
            <w:noWrap/>
            <w:vAlign w:val="center"/>
            <w:hideMark/>
          </w:tcPr>
          <w:p w14:paraId="10BF3071"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822" w:type="dxa"/>
            <w:gridSpan w:val="2"/>
            <w:tcBorders>
              <w:top w:val="nil"/>
              <w:left w:val="nil"/>
              <w:bottom w:val="nil"/>
              <w:right w:val="nil"/>
            </w:tcBorders>
            <w:shd w:val="clear" w:color="auto" w:fill="auto"/>
            <w:noWrap/>
            <w:vAlign w:val="center"/>
            <w:hideMark/>
          </w:tcPr>
          <w:p w14:paraId="11B217ED"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$'000</w:t>
            </w:r>
          </w:p>
        </w:tc>
        <w:tc>
          <w:tcPr>
            <w:tcW w:w="371" w:type="dxa"/>
            <w:tcBorders>
              <w:top w:val="nil"/>
              <w:left w:val="nil"/>
              <w:bottom w:val="nil"/>
              <w:right w:val="nil"/>
            </w:tcBorders>
            <w:shd w:val="clear" w:color="auto" w:fill="auto"/>
            <w:noWrap/>
            <w:vAlign w:val="center"/>
            <w:hideMark/>
          </w:tcPr>
          <w:p w14:paraId="784C8D66"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p>
        </w:tc>
        <w:tc>
          <w:tcPr>
            <w:tcW w:w="835" w:type="dxa"/>
            <w:gridSpan w:val="2"/>
            <w:tcBorders>
              <w:top w:val="nil"/>
              <w:left w:val="nil"/>
              <w:bottom w:val="nil"/>
              <w:right w:val="nil"/>
            </w:tcBorders>
            <w:shd w:val="clear" w:color="auto" w:fill="auto"/>
            <w:noWrap/>
            <w:vAlign w:val="center"/>
            <w:hideMark/>
          </w:tcPr>
          <w:p w14:paraId="2BD98C00"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$'000</w:t>
            </w:r>
          </w:p>
        </w:tc>
        <w:tc>
          <w:tcPr>
            <w:tcW w:w="372" w:type="dxa"/>
            <w:gridSpan w:val="2"/>
            <w:tcBorders>
              <w:top w:val="nil"/>
              <w:left w:val="nil"/>
              <w:bottom w:val="nil"/>
              <w:right w:val="nil"/>
            </w:tcBorders>
            <w:shd w:val="clear" w:color="auto" w:fill="auto"/>
            <w:noWrap/>
            <w:vAlign w:val="center"/>
            <w:hideMark/>
          </w:tcPr>
          <w:p w14:paraId="53DC9EE9"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p>
        </w:tc>
        <w:tc>
          <w:tcPr>
            <w:tcW w:w="662" w:type="dxa"/>
            <w:gridSpan w:val="2"/>
            <w:tcBorders>
              <w:top w:val="nil"/>
              <w:left w:val="nil"/>
              <w:bottom w:val="nil"/>
              <w:right w:val="nil"/>
            </w:tcBorders>
            <w:shd w:val="clear" w:color="auto" w:fill="auto"/>
            <w:noWrap/>
            <w:vAlign w:val="center"/>
            <w:hideMark/>
          </w:tcPr>
          <w:p w14:paraId="51C9325A"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$'000</w:t>
            </w:r>
          </w:p>
        </w:tc>
        <w:tc>
          <w:tcPr>
            <w:tcW w:w="372" w:type="dxa"/>
            <w:gridSpan w:val="2"/>
            <w:tcBorders>
              <w:top w:val="nil"/>
              <w:left w:val="nil"/>
              <w:bottom w:val="nil"/>
              <w:right w:val="nil"/>
            </w:tcBorders>
            <w:shd w:val="clear" w:color="auto" w:fill="auto"/>
            <w:noWrap/>
            <w:vAlign w:val="center"/>
            <w:hideMark/>
          </w:tcPr>
          <w:p w14:paraId="2E9D7B24"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p>
        </w:tc>
        <w:tc>
          <w:tcPr>
            <w:tcW w:w="696" w:type="dxa"/>
            <w:gridSpan w:val="2"/>
            <w:tcBorders>
              <w:top w:val="nil"/>
              <w:left w:val="nil"/>
              <w:bottom w:val="nil"/>
              <w:right w:val="nil"/>
            </w:tcBorders>
            <w:shd w:val="clear" w:color="auto" w:fill="auto"/>
            <w:noWrap/>
            <w:vAlign w:val="center"/>
            <w:hideMark/>
          </w:tcPr>
          <w:p w14:paraId="6A89E2C0"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$'000</w:t>
            </w:r>
          </w:p>
        </w:tc>
        <w:tc>
          <w:tcPr>
            <w:tcW w:w="372" w:type="dxa"/>
            <w:tcBorders>
              <w:top w:val="nil"/>
              <w:left w:val="nil"/>
              <w:bottom w:val="nil"/>
              <w:right w:val="nil"/>
            </w:tcBorders>
            <w:shd w:val="clear" w:color="auto" w:fill="auto"/>
            <w:noWrap/>
            <w:vAlign w:val="center"/>
            <w:hideMark/>
          </w:tcPr>
          <w:p w14:paraId="46CCD550"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p>
        </w:tc>
        <w:tc>
          <w:tcPr>
            <w:tcW w:w="653" w:type="dxa"/>
            <w:gridSpan w:val="2"/>
            <w:tcBorders>
              <w:top w:val="nil"/>
              <w:left w:val="nil"/>
              <w:bottom w:val="nil"/>
              <w:right w:val="nil"/>
            </w:tcBorders>
            <w:shd w:val="clear" w:color="auto" w:fill="auto"/>
            <w:noWrap/>
            <w:vAlign w:val="center"/>
            <w:hideMark/>
          </w:tcPr>
          <w:p w14:paraId="3B2037AD"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$'000</w:t>
            </w:r>
          </w:p>
        </w:tc>
        <w:tc>
          <w:tcPr>
            <w:tcW w:w="372" w:type="dxa"/>
            <w:gridSpan w:val="2"/>
            <w:tcBorders>
              <w:top w:val="nil"/>
              <w:left w:val="nil"/>
              <w:bottom w:val="nil"/>
              <w:right w:val="nil"/>
            </w:tcBorders>
            <w:shd w:val="clear" w:color="auto" w:fill="auto"/>
            <w:noWrap/>
            <w:vAlign w:val="center"/>
            <w:hideMark/>
          </w:tcPr>
          <w:p w14:paraId="5E04CAFA"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p>
        </w:tc>
        <w:tc>
          <w:tcPr>
            <w:tcW w:w="835" w:type="dxa"/>
            <w:gridSpan w:val="2"/>
            <w:tcBorders>
              <w:top w:val="nil"/>
              <w:left w:val="nil"/>
              <w:bottom w:val="nil"/>
              <w:right w:val="nil"/>
            </w:tcBorders>
            <w:shd w:val="clear" w:color="auto" w:fill="auto"/>
            <w:noWrap/>
            <w:vAlign w:val="center"/>
            <w:hideMark/>
          </w:tcPr>
          <w:p w14:paraId="78EBBE92"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$'000</w:t>
            </w:r>
          </w:p>
        </w:tc>
        <w:tc>
          <w:tcPr>
            <w:tcW w:w="372" w:type="dxa"/>
            <w:gridSpan w:val="2"/>
            <w:tcBorders>
              <w:top w:val="nil"/>
              <w:left w:val="nil"/>
              <w:bottom w:val="nil"/>
              <w:right w:val="nil"/>
            </w:tcBorders>
            <w:shd w:val="clear" w:color="auto" w:fill="auto"/>
            <w:noWrap/>
            <w:vAlign w:val="center"/>
            <w:hideMark/>
          </w:tcPr>
          <w:p w14:paraId="06FADA82"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p>
        </w:tc>
        <w:tc>
          <w:tcPr>
            <w:tcW w:w="831" w:type="dxa"/>
            <w:gridSpan w:val="2"/>
            <w:tcBorders>
              <w:top w:val="nil"/>
              <w:left w:val="nil"/>
              <w:bottom w:val="nil"/>
              <w:right w:val="nil"/>
            </w:tcBorders>
            <w:shd w:val="clear" w:color="auto" w:fill="auto"/>
            <w:noWrap/>
            <w:vAlign w:val="center"/>
            <w:hideMark/>
          </w:tcPr>
          <w:p w14:paraId="609D5D41"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$'000</w:t>
            </w:r>
          </w:p>
        </w:tc>
        <w:tc>
          <w:tcPr>
            <w:tcW w:w="497" w:type="dxa"/>
            <w:gridSpan w:val="2"/>
            <w:tcBorders>
              <w:top w:val="nil"/>
              <w:left w:val="nil"/>
              <w:bottom w:val="nil"/>
              <w:right w:val="nil"/>
            </w:tcBorders>
            <w:shd w:val="clear" w:color="auto" w:fill="auto"/>
            <w:noWrap/>
            <w:vAlign w:val="center"/>
            <w:hideMark/>
          </w:tcPr>
          <w:p w14:paraId="100F7104"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p>
        </w:tc>
        <w:tc>
          <w:tcPr>
            <w:tcW w:w="697" w:type="dxa"/>
            <w:gridSpan w:val="2"/>
            <w:tcBorders>
              <w:top w:val="nil"/>
              <w:left w:val="nil"/>
              <w:bottom w:val="nil"/>
              <w:right w:val="nil"/>
            </w:tcBorders>
            <w:shd w:val="clear" w:color="auto" w:fill="auto"/>
            <w:noWrap/>
            <w:vAlign w:val="center"/>
            <w:hideMark/>
          </w:tcPr>
          <w:p w14:paraId="3B6F573B" w14:textId="77777777" w:rsidR="00C1721E" w:rsidRPr="00C1721E" w:rsidRDefault="00C1721E" w:rsidP="00C1721E">
            <w:pPr>
              <w:spacing w:before="0" w:line="240" w:lineRule="auto"/>
              <w:jc w:val="center"/>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$'000</w:t>
            </w:r>
          </w:p>
        </w:tc>
      </w:tr>
      <w:tr w:rsidR="00490837" w:rsidRPr="00C1721E" w14:paraId="22CD8F2F" w14:textId="77777777" w:rsidTr="00490837">
        <w:trPr>
          <w:gridAfter w:val="3"/>
          <w:wAfter w:w="1675" w:type="dxa"/>
          <w:trHeight w:hRule="exact" w:val="246"/>
        </w:trPr>
        <w:tc>
          <w:tcPr>
            <w:tcW w:w="2080" w:type="dxa"/>
            <w:gridSpan w:val="3"/>
            <w:tcBorders>
              <w:top w:val="nil"/>
              <w:left w:val="nil"/>
              <w:bottom w:val="nil"/>
              <w:right w:val="nil"/>
            </w:tcBorders>
            <w:shd w:val="clear" w:color="auto" w:fill="auto"/>
            <w:noWrap/>
            <w:vAlign w:val="center"/>
            <w:hideMark/>
          </w:tcPr>
          <w:p w14:paraId="7251FAAD" w14:textId="77777777" w:rsidR="00C1721E" w:rsidRPr="00C1721E" w:rsidRDefault="00C1721E" w:rsidP="00C1721E">
            <w:pPr>
              <w:spacing w:before="0" w:line="240" w:lineRule="auto"/>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Income</w:t>
            </w:r>
          </w:p>
        </w:tc>
        <w:tc>
          <w:tcPr>
            <w:tcW w:w="822" w:type="dxa"/>
            <w:gridSpan w:val="2"/>
            <w:tcBorders>
              <w:top w:val="nil"/>
              <w:left w:val="nil"/>
              <w:bottom w:val="nil"/>
              <w:right w:val="nil"/>
            </w:tcBorders>
            <w:shd w:val="clear" w:color="auto" w:fill="auto"/>
            <w:noWrap/>
            <w:vAlign w:val="center"/>
            <w:hideMark/>
          </w:tcPr>
          <w:p w14:paraId="4E0AA5F3" w14:textId="77777777" w:rsidR="00C1721E" w:rsidRPr="00C1721E" w:rsidRDefault="00C1721E" w:rsidP="00C1721E">
            <w:pPr>
              <w:spacing w:before="0" w:line="240" w:lineRule="auto"/>
              <w:rPr>
                <w:rFonts w:ascii="Meta Pro" w:eastAsia="Times New Roman" w:hAnsi="Meta Pro" w:cs="Calibri"/>
                <w:b/>
                <w:bCs/>
                <w:color w:val="000000"/>
                <w:sz w:val="16"/>
                <w:szCs w:val="16"/>
                <w:lang w:eastAsia="en-AU"/>
              </w:rPr>
            </w:pPr>
          </w:p>
        </w:tc>
        <w:tc>
          <w:tcPr>
            <w:tcW w:w="371" w:type="dxa"/>
            <w:tcBorders>
              <w:top w:val="nil"/>
              <w:left w:val="nil"/>
              <w:bottom w:val="nil"/>
              <w:right w:val="nil"/>
            </w:tcBorders>
            <w:shd w:val="clear" w:color="auto" w:fill="auto"/>
            <w:noWrap/>
            <w:vAlign w:val="center"/>
            <w:hideMark/>
          </w:tcPr>
          <w:p w14:paraId="098D32B9"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835" w:type="dxa"/>
            <w:gridSpan w:val="2"/>
            <w:tcBorders>
              <w:top w:val="nil"/>
              <w:left w:val="nil"/>
              <w:bottom w:val="nil"/>
              <w:right w:val="nil"/>
            </w:tcBorders>
            <w:shd w:val="clear" w:color="auto" w:fill="auto"/>
            <w:noWrap/>
            <w:vAlign w:val="center"/>
            <w:hideMark/>
          </w:tcPr>
          <w:p w14:paraId="08DF95B6"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372" w:type="dxa"/>
            <w:gridSpan w:val="2"/>
            <w:tcBorders>
              <w:top w:val="nil"/>
              <w:left w:val="nil"/>
              <w:bottom w:val="nil"/>
              <w:right w:val="nil"/>
            </w:tcBorders>
            <w:shd w:val="clear" w:color="auto" w:fill="auto"/>
            <w:noWrap/>
            <w:vAlign w:val="center"/>
            <w:hideMark/>
          </w:tcPr>
          <w:p w14:paraId="047F2AEE"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662" w:type="dxa"/>
            <w:gridSpan w:val="2"/>
            <w:tcBorders>
              <w:top w:val="nil"/>
              <w:left w:val="nil"/>
              <w:bottom w:val="nil"/>
              <w:right w:val="nil"/>
            </w:tcBorders>
            <w:shd w:val="clear" w:color="auto" w:fill="auto"/>
            <w:noWrap/>
            <w:vAlign w:val="center"/>
            <w:hideMark/>
          </w:tcPr>
          <w:p w14:paraId="1D9EAEB3"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372" w:type="dxa"/>
            <w:gridSpan w:val="2"/>
            <w:tcBorders>
              <w:top w:val="nil"/>
              <w:left w:val="nil"/>
              <w:bottom w:val="nil"/>
              <w:right w:val="nil"/>
            </w:tcBorders>
            <w:shd w:val="clear" w:color="auto" w:fill="auto"/>
            <w:noWrap/>
            <w:vAlign w:val="center"/>
            <w:hideMark/>
          </w:tcPr>
          <w:p w14:paraId="6BA0D261"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696" w:type="dxa"/>
            <w:gridSpan w:val="2"/>
            <w:tcBorders>
              <w:top w:val="nil"/>
              <w:left w:val="nil"/>
              <w:bottom w:val="nil"/>
              <w:right w:val="nil"/>
            </w:tcBorders>
            <w:shd w:val="clear" w:color="auto" w:fill="auto"/>
            <w:noWrap/>
            <w:vAlign w:val="center"/>
            <w:hideMark/>
          </w:tcPr>
          <w:p w14:paraId="13B3CCC6"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372" w:type="dxa"/>
            <w:tcBorders>
              <w:top w:val="nil"/>
              <w:left w:val="nil"/>
              <w:bottom w:val="nil"/>
              <w:right w:val="nil"/>
            </w:tcBorders>
            <w:shd w:val="clear" w:color="auto" w:fill="auto"/>
            <w:noWrap/>
            <w:vAlign w:val="center"/>
            <w:hideMark/>
          </w:tcPr>
          <w:p w14:paraId="73C39361"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653" w:type="dxa"/>
            <w:gridSpan w:val="2"/>
            <w:tcBorders>
              <w:top w:val="nil"/>
              <w:left w:val="nil"/>
              <w:bottom w:val="nil"/>
              <w:right w:val="nil"/>
            </w:tcBorders>
            <w:shd w:val="clear" w:color="auto" w:fill="auto"/>
            <w:noWrap/>
            <w:vAlign w:val="center"/>
            <w:hideMark/>
          </w:tcPr>
          <w:p w14:paraId="30F9ED12"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372" w:type="dxa"/>
            <w:gridSpan w:val="2"/>
            <w:tcBorders>
              <w:top w:val="nil"/>
              <w:left w:val="nil"/>
              <w:bottom w:val="nil"/>
              <w:right w:val="nil"/>
            </w:tcBorders>
            <w:shd w:val="clear" w:color="auto" w:fill="auto"/>
            <w:noWrap/>
            <w:vAlign w:val="center"/>
            <w:hideMark/>
          </w:tcPr>
          <w:p w14:paraId="7F0896B0"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835" w:type="dxa"/>
            <w:gridSpan w:val="2"/>
            <w:tcBorders>
              <w:top w:val="nil"/>
              <w:left w:val="nil"/>
              <w:bottom w:val="nil"/>
              <w:right w:val="nil"/>
            </w:tcBorders>
            <w:shd w:val="clear" w:color="auto" w:fill="auto"/>
            <w:noWrap/>
            <w:vAlign w:val="center"/>
            <w:hideMark/>
          </w:tcPr>
          <w:p w14:paraId="0789E543"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372" w:type="dxa"/>
            <w:gridSpan w:val="2"/>
            <w:tcBorders>
              <w:top w:val="nil"/>
              <w:left w:val="nil"/>
              <w:bottom w:val="nil"/>
              <w:right w:val="nil"/>
            </w:tcBorders>
            <w:shd w:val="clear" w:color="auto" w:fill="auto"/>
            <w:noWrap/>
            <w:vAlign w:val="center"/>
            <w:hideMark/>
          </w:tcPr>
          <w:p w14:paraId="502CF09D"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831" w:type="dxa"/>
            <w:gridSpan w:val="2"/>
            <w:tcBorders>
              <w:top w:val="nil"/>
              <w:left w:val="nil"/>
              <w:bottom w:val="nil"/>
              <w:right w:val="nil"/>
            </w:tcBorders>
            <w:shd w:val="clear" w:color="auto" w:fill="auto"/>
            <w:noWrap/>
            <w:vAlign w:val="center"/>
            <w:hideMark/>
          </w:tcPr>
          <w:p w14:paraId="6717967E"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497" w:type="dxa"/>
            <w:gridSpan w:val="2"/>
            <w:tcBorders>
              <w:top w:val="nil"/>
              <w:left w:val="nil"/>
              <w:bottom w:val="nil"/>
              <w:right w:val="nil"/>
            </w:tcBorders>
            <w:shd w:val="clear" w:color="auto" w:fill="auto"/>
            <w:noWrap/>
            <w:vAlign w:val="center"/>
            <w:hideMark/>
          </w:tcPr>
          <w:p w14:paraId="0EF5495A"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697" w:type="dxa"/>
            <w:gridSpan w:val="2"/>
            <w:tcBorders>
              <w:top w:val="nil"/>
              <w:left w:val="nil"/>
              <w:bottom w:val="nil"/>
              <w:right w:val="nil"/>
            </w:tcBorders>
            <w:shd w:val="clear" w:color="auto" w:fill="auto"/>
            <w:noWrap/>
            <w:vAlign w:val="center"/>
            <w:hideMark/>
          </w:tcPr>
          <w:p w14:paraId="730BB28C" w14:textId="77777777" w:rsidR="00C1721E" w:rsidRPr="00C1721E" w:rsidRDefault="00C1721E" w:rsidP="00C1721E">
            <w:pPr>
              <w:spacing w:before="0" w:line="240" w:lineRule="auto"/>
              <w:rPr>
                <w:rFonts w:eastAsia="Times New Roman" w:cs="Times New Roman"/>
                <w:color w:val="auto"/>
                <w:sz w:val="20"/>
                <w:szCs w:val="20"/>
                <w:lang w:eastAsia="en-AU"/>
              </w:rPr>
            </w:pPr>
          </w:p>
        </w:tc>
      </w:tr>
      <w:tr w:rsidR="00490837" w:rsidRPr="00C1721E" w14:paraId="2873FCC9" w14:textId="77777777" w:rsidTr="00490837">
        <w:trPr>
          <w:gridAfter w:val="3"/>
          <w:wAfter w:w="1675" w:type="dxa"/>
          <w:trHeight w:val="246"/>
        </w:trPr>
        <w:tc>
          <w:tcPr>
            <w:tcW w:w="254" w:type="dxa"/>
            <w:gridSpan w:val="2"/>
            <w:tcBorders>
              <w:top w:val="nil"/>
              <w:left w:val="nil"/>
              <w:bottom w:val="nil"/>
              <w:right w:val="nil"/>
            </w:tcBorders>
            <w:shd w:val="clear" w:color="auto" w:fill="auto"/>
            <w:noWrap/>
            <w:vAlign w:val="center"/>
            <w:hideMark/>
          </w:tcPr>
          <w:p w14:paraId="42FACE53"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1826" w:type="dxa"/>
            <w:tcBorders>
              <w:top w:val="nil"/>
              <w:left w:val="nil"/>
              <w:bottom w:val="nil"/>
              <w:right w:val="nil"/>
            </w:tcBorders>
            <w:shd w:val="clear" w:color="auto" w:fill="auto"/>
            <w:noWrap/>
            <w:vAlign w:val="center"/>
            <w:hideMark/>
          </w:tcPr>
          <w:p w14:paraId="2ACA0E3C" w14:textId="77777777" w:rsidR="00C1721E" w:rsidRPr="00C1721E" w:rsidRDefault="00C1721E" w:rsidP="00C1721E">
            <w:pPr>
              <w:spacing w:before="0" w:line="240" w:lineRule="auto"/>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Appropriation revenue</w:t>
            </w:r>
          </w:p>
        </w:tc>
        <w:tc>
          <w:tcPr>
            <w:tcW w:w="822" w:type="dxa"/>
            <w:gridSpan w:val="2"/>
            <w:tcBorders>
              <w:top w:val="nil"/>
              <w:left w:val="nil"/>
              <w:bottom w:val="nil"/>
              <w:right w:val="nil"/>
            </w:tcBorders>
            <w:shd w:val="clear" w:color="000000" w:fill="C9E3B4"/>
            <w:noWrap/>
            <w:vAlign w:val="center"/>
            <w:hideMark/>
          </w:tcPr>
          <w:p w14:paraId="2490E399"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105,703</w:t>
            </w:r>
          </w:p>
        </w:tc>
        <w:tc>
          <w:tcPr>
            <w:tcW w:w="371" w:type="dxa"/>
            <w:tcBorders>
              <w:top w:val="nil"/>
              <w:left w:val="nil"/>
              <w:bottom w:val="nil"/>
              <w:right w:val="nil"/>
            </w:tcBorders>
            <w:shd w:val="clear" w:color="auto" w:fill="auto"/>
            <w:noWrap/>
            <w:vAlign w:val="center"/>
            <w:hideMark/>
          </w:tcPr>
          <w:p w14:paraId="65782937"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4DD20B81"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2,429,967</w:t>
            </w:r>
          </w:p>
        </w:tc>
        <w:tc>
          <w:tcPr>
            <w:tcW w:w="372" w:type="dxa"/>
            <w:gridSpan w:val="2"/>
            <w:tcBorders>
              <w:top w:val="nil"/>
              <w:left w:val="nil"/>
              <w:bottom w:val="nil"/>
              <w:right w:val="nil"/>
            </w:tcBorders>
            <w:shd w:val="clear" w:color="auto" w:fill="auto"/>
            <w:noWrap/>
            <w:vAlign w:val="center"/>
            <w:hideMark/>
          </w:tcPr>
          <w:p w14:paraId="0E103C9E"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62" w:type="dxa"/>
            <w:gridSpan w:val="2"/>
            <w:tcBorders>
              <w:top w:val="nil"/>
              <w:left w:val="nil"/>
              <w:bottom w:val="nil"/>
              <w:right w:val="nil"/>
            </w:tcBorders>
            <w:shd w:val="clear" w:color="000000" w:fill="C9E3B4"/>
            <w:noWrap/>
            <w:vAlign w:val="center"/>
            <w:hideMark/>
          </w:tcPr>
          <w:p w14:paraId="1FF22A54"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12,726</w:t>
            </w:r>
          </w:p>
        </w:tc>
        <w:tc>
          <w:tcPr>
            <w:tcW w:w="372" w:type="dxa"/>
            <w:gridSpan w:val="2"/>
            <w:tcBorders>
              <w:top w:val="nil"/>
              <w:left w:val="nil"/>
              <w:bottom w:val="nil"/>
              <w:right w:val="nil"/>
            </w:tcBorders>
            <w:shd w:val="clear" w:color="auto" w:fill="auto"/>
            <w:noWrap/>
            <w:vAlign w:val="center"/>
            <w:hideMark/>
          </w:tcPr>
          <w:p w14:paraId="284EA372"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6" w:type="dxa"/>
            <w:gridSpan w:val="2"/>
            <w:tcBorders>
              <w:top w:val="nil"/>
              <w:left w:val="nil"/>
              <w:bottom w:val="nil"/>
              <w:right w:val="nil"/>
            </w:tcBorders>
            <w:shd w:val="clear" w:color="000000" w:fill="C9E3B4"/>
            <w:noWrap/>
            <w:vAlign w:val="center"/>
            <w:hideMark/>
          </w:tcPr>
          <w:p w14:paraId="6BE11877"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334,505</w:t>
            </w:r>
          </w:p>
        </w:tc>
        <w:tc>
          <w:tcPr>
            <w:tcW w:w="372" w:type="dxa"/>
            <w:tcBorders>
              <w:top w:val="nil"/>
              <w:left w:val="nil"/>
              <w:bottom w:val="nil"/>
              <w:right w:val="nil"/>
            </w:tcBorders>
            <w:shd w:val="clear" w:color="auto" w:fill="auto"/>
            <w:noWrap/>
            <w:vAlign w:val="center"/>
            <w:hideMark/>
          </w:tcPr>
          <w:p w14:paraId="35747515"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53" w:type="dxa"/>
            <w:gridSpan w:val="2"/>
            <w:tcBorders>
              <w:top w:val="nil"/>
              <w:left w:val="nil"/>
              <w:bottom w:val="nil"/>
              <w:right w:val="nil"/>
            </w:tcBorders>
            <w:shd w:val="clear" w:color="000000" w:fill="C9E3B4"/>
            <w:noWrap/>
            <w:vAlign w:val="center"/>
            <w:hideMark/>
          </w:tcPr>
          <w:p w14:paraId="4FBC772D"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3,044,640</w:t>
            </w:r>
          </w:p>
        </w:tc>
        <w:tc>
          <w:tcPr>
            <w:tcW w:w="372" w:type="dxa"/>
            <w:gridSpan w:val="2"/>
            <w:tcBorders>
              <w:top w:val="nil"/>
              <w:left w:val="nil"/>
              <w:bottom w:val="nil"/>
              <w:right w:val="nil"/>
            </w:tcBorders>
            <w:shd w:val="clear" w:color="auto" w:fill="auto"/>
            <w:noWrap/>
            <w:vAlign w:val="center"/>
            <w:hideMark/>
          </w:tcPr>
          <w:p w14:paraId="0C34DD4E"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631AB8A6"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xml:space="preserve">- </w:t>
            </w:r>
          </w:p>
        </w:tc>
        <w:tc>
          <w:tcPr>
            <w:tcW w:w="372" w:type="dxa"/>
            <w:gridSpan w:val="2"/>
            <w:tcBorders>
              <w:top w:val="nil"/>
              <w:left w:val="nil"/>
              <w:bottom w:val="nil"/>
              <w:right w:val="nil"/>
            </w:tcBorders>
            <w:shd w:val="clear" w:color="auto" w:fill="auto"/>
            <w:noWrap/>
            <w:vAlign w:val="center"/>
            <w:hideMark/>
          </w:tcPr>
          <w:p w14:paraId="132AA4CE"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1" w:type="dxa"/>
            <w:gridSpan w:val="2"/>
            <w:tcBorders>
              <w:top w:val="nil"/>
              <w:left w:val="nil"/>
              <w:bottom w:val="nil"/>
              <w:right w:val="nil"/>
            </w:tcBorders>
            <w:shd w:val="clear" w:color="000000" w:fill="C9E3B4"/>
            <w:noWrap/>
            <w:vAlign w:val="center"/>
            <w:hideMark/>
          </w:tcPr>
          <w:p w14:paraId="660126E9"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xml:space="preserve">- </w:t>
            </w:r>
          </w:p>
        </w:tc>
        <w:tc>
          <w:tcPr>
            <w:tcW w:w="497" w:type="dxa"/>
            <w:gridSpan w:val="2"/>
            <w:tcBorders>
              <w:top w:val="nil"/>
              <w:left w:val="nil"/>
              <w:bottom w:val="nil"/>
              <w:right w:val="nil"/>
            </w:tcBorders>
            <w:shd w:val="clear" w:color="auto" w:fill="auto"/>
            <w:noWrap/>
            <w:vAlign w:val="center"/>
            <w:hideMark/>
          </w:tcPr>
          <w:p w14:paraId="553E9BB3"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7" w:type="dxa"/>
            <w:gridSpan w:val="2"/>
            <w:tcBorders>
              <w:top w:val="nil"/>
              <w:left w:val="nil"/>
              <w:bottom w:val="nil"/>
              <w:right w:val="nil"/>
            </w:tcBorders>
            <w:shd w:val="clear" w:color="000000" w:fill="C9E3B4"/>
            <w:noWrap/>
            <w:vAlign w:val="center"/>
            <w:hideMark/>
          </w:tcPr>
          <w:p w14:paraId="5DE800CF"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5,927,541</w:t>
            </w:r>
          </w:p>
        </w:tc>
      </w:tr>
      <w:tr w:rsidR="00490837" w:rsidRPr="00C1721E" w14:paraId="15A77A86" w14:textId="77777777" w:rsidTr="00490837">
        <w:trPr>
          <w:gridAfter w:val="3"/>
          <w:wAfter w:w="1675" w:type="dxa"/>
          <w:trHeight w:val="246"/>
        </w:trPr>
        <w:tc>
          <w:tcPr>
            <w:tcW w:w="254" w:type="dxa"/>
            <w:gridSpan w:val="2"/>
            <w:tcBorders>
              <w:top w:val="nil"/>
              <w:left w:val="nil"/>
              <w:bottom w:val="nil"/>
              <w:right w:val="nil"/>
            </w:tcBorders>
            <w:shd w:val="clear" w:color="auto" w:fill="auto"/>
            <w:noWrap/>
            <w:vAlign w:val="center"/>
            <w:hideMark/>
          </w:tcPr>
          <w:p w14:paraId="04B580F7"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1826" w:type="dxa"/>
            <w:tcBorders>
              <w:top w:val="nil"/>
              <w:left w:val="nil"/>
              <w:bottom w:val="nil"/>
              <w:right w:val="nil"/>
            </w:tcBorders>
            <w:shd w:val="clear" w:color="auto" w:fill="auto"/>
            <w:noWrap/>
            <w:vAlign w:val="center"/>
            <w:hideMark/>
          </w:tcPr>
          <w:p w14:paraId="42214452" w14:textId="77777777" w:rsidR="00C1721E" w:rsidRPr="00C1721E" w:rsidRDefault="00C1721E" w:rsidP="00C1721E">
            <w:pPr>
              <w:spacing w:before="0" w:line="240" w:lineRule="auto"/>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User charges and fees</w:t>
            </w:r>
          </w:p>
        </w:tc>
        <w:tc>
          <w:tcPr>
            <w:tcW w:w="822" w:type="dxa"/>
            <w:gridSpan w:val="2"/>
            <w:tcBorders>
              <w:top w:val="nil"/>
              <w:left w:val="nil"/>
              <w:bottom w:val="nil"/>
              <w:right w:val="nil"/>
            </w:tcBorders>
            <w:shd w:val="clear" w:color="000000" w:fill="C9E3B4"/>
            <w:noWrap/>
            <w:vAlign w:val="center"/>
            <w:hideMark/>
          </w:tcPr>
          <w:p w14:paraId="1146C74C"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36,540</w:t>
            </w:r>
          </w:p>
        </w:tc>
        <w:tc>
          <w:tcPr>
            <w:tcW w:w="371" w:type="dxa"/>
            <w:tcBorders>
              <w:top w:val="nil"/>
              <w:left w:val="nil"/>
              <w:bottom w:val="nil"/>
              <w:right w:val="nil"/>
            </w:tcBorders>
            <w:shd w:val="clear" w:color="auto" w:fill="auto"/>
            <w:noWrap/>
            <w:vAlign w:val="center"/>
            <w:hideMark/>
          </w:tcPr>
          <w:p w14:paraId="6358695A"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51CE8B1E"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138,748</w:t>
            </w:r>
          </w:p>
        </w:tc>
        <w:tc>
          <w:tcPr>
            <w:tcW w:w="372" w:type="dxa"/>
            <w:gridSpan w:val="2"/>
            <w:tcBorders>
              <w:top w:val="nil"/>
              <w:left w:val="nil"/>
              <w:bottom w:val="nil"/>
              <w:right w:val="nil"/>
            </w:tcBorders>
            <w:shd w:val="clear" w:color="auto" w:fill="auto"/>
            <w:noWrap/>
            <w:vAlign w:val="center"/>
            <w:hideMark/>
          </w:tcPr>
          <w:p w14:paraId="7BBBED8A"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62" w:type="dxa"/>
            <w:gridSpan w:val="2"/>
            <w:tcBorders>
              <w:top w:val="nil"/>
              <w:left w:val="nil"/>
              <w:bottom w:val="nil"/>
              <w:right w:val="nil"/>
            </w:tcBorders>
            <w:shd w:val="clear" w:color="000000" w:fill="C9E3B4"/>
            <w:noWrap/>
            <w:vAlign w:val="center"/>
            <w:hideMark/>
          </w:tcPr>
          <w:p w14:paraId="7394B9B2"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286,359</w:t>
            </w:r>
          </w:p>
        </w:tc>
        <w:tc>
          <w:tcPr>
            <w:tcW w:w="372" w:type="dxa"/>
            <w:gridSpan w:val="2"/>
            <w:tcBorders>
              <w:top w:val="nil"/>
              <w:left w:val="nil"/>
              <w:bottom w:val="nil"/>
              <w:right w:val="nil"/>
            </w:tcBorders>
            <w:shd w:val="clear" w:color="auto" w:fill="auto"/>
            <w:noWrap/>
            <w:vAlign w:val="center"/>
            <w:hideMark/>
          </w:tcPr>
          <w:p w14:paraId="2BA4D787"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6" w:type="dxa"/>
            <w:gridSpan w:val="2"/>
            <w:tcBorders>
              <w:top w:val="nil"/>
              <w:left w:val="nil"/>
              <w:bottom w:val="nil"/>
              <w:right w:val="nil"/>
            </w:tcBorders>
            <w:shd w:val="clear" w:color="000000" w:fill="C9E3B4"/>
            <w:noWrap/>
            <w:vAlign w:val="center"/>
            <w:hideMark/>
          </w:tcPr>
          <w:p w14:paraId="6DED253D"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14,997</w:t>
            </w:r>
          </w:p>
        </w:tc>
        <w:tc>
          <w:tcPr>
            <w:tcW w:w="372" w:type="dxa"/>
            <w:tcBorders>
              <w:top w:val="nil"/>
              <w:left w:val="nil"/>
              <w:bottom w:val="nil"/>
              <w:right w:val="nil"/>
            </w:tcBorders>
            <w:shd w:val="clear" w:color="auto" w:fill="auto"/>
            <w:noWrap/>
            <w:vAlign w:val="center"/>
            <w:hideMark/>
          </w:tcPr>
          <w:p w14:paraId="3DBA9523"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53" w:type="dxa"/>
            <w:gridSpan w:val="2"/>
            <w:tcBorders>
              <w:top w:val="nil"/>
              <w:left w:val="nil"/>
              <w:bottom w:val="nil"/>
              <w:right w:val="nil"/>
            </w:tcBorders>
            <w:shd w:val="clear" w:color="000000" w:fill="C9E3B4"/>
            <w:noWrap/>
            <w:vAlign w:val="center"/>
            <w:hideMark/>
          </w:tcPr>
          <w:p w14:paraId="39F842D8"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220,560</w:t>
            </w:r>
          </w:p>
        </w:tc>
        <w:tc>
          <w:tcPr>
            <w:tcW w:w="372" w:type="dxa"/>
            <w:gridSpan w:val="2"/>
            <w:tcBorders>
              <w:top w:val="nil"/>
              <w:left w:val="nil"/>
              <w:bottom w:val="nil"/>
              <w:right w:val="nil"/>
            </w:tcBorders>
            <w:shd w:val="clear" w:color="auto" w:fill="auto"/>
            <w:noWrap/>
            <w:vAlign w:val="center"/>
            <w:hideMark/>
          </w:tcPr>
          <w:p w14:paraId="04293E3A"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3D44DDCF"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833,272</w:t>
            </w:r>
          </w:p>
        </w:tc>
        <w:tc>
          <w:tcPr>
            <w:tcW w:w="372" w:type="dxa"/>
            <w:gridSpan w:val="2"/>
            <w:tcBorders>
              <w:top w:val="nil"/>
              <w:left w:val="nil"/>
              <w:bottom w:val="nil"/>
              <w:right w:val="nil"/>
            </w:tcBorders>
            <w:shd w:val="clear" w:color="auto" w:fill="auto"/>
            <w:noWrap/>
            <w:vAlign w:val="center"/>
            <w:hideMark/>
          </w:tcPr>
          <w:p w14:paraId="15FE2485"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1" w:type="dxa"/>
            <w:gridSpan w:val="2"/>
            <w:tcBorders>
              <w:top w:val="nil"/>
              <w:left w:val="nil"/>
              <w:bottom w:val="nil"/>
              <w:right w:val="nil"/>
            </w:tcBorders>
            <w:shd w:val="clear" w:color="000000" w:fill="C9E3B4"/>
            <w:noWrap/>
            <w:vAlign w:val="center"/>
            <w:hideMark/>
          </w:tcPr>
          <w:p w14:paraId="51CBBF62"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-827,195</w:t>
            </w:r>
          </w:p>
        </w:tc>
        <w:tc>
          <w:tcPr>
            <w:tcW w:w="497" w:type="dxa"/>
            <w:gridSpan w:val="2"/>
            <w:tcBorders>
              <w:top w:val="nil"/>
              <w:left w:val="nil"/>
              <w:bottom w:val="nil"/>
              <w:right w:val="nil"/>
            </w:tcBorders>
            <w:shd w:val="clear" w:color="auto" w:fill="auto"/>
            <w:noWrap/>
            <w:vAlign w:val="center"/>
            <w:hideMark/>
          </w:tcPr>
          <w:p w14:paraId="1079EDDE"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7" w:type="dxa"/>
            <w:gridSpan w:val="2"/>
            <w:tcBorders>
              <w:top w:val="nil"/>
              <w:left w:val="nil"/>
              <w:bottom w:val="nil"/>
              <w:right w:val="nil"/>
            </w:tcBorders>
            <w:shd w:val="clear" w:color="000000" w:fill="C9E3B4"/>
            <w:noWrap/>
            <w:vAlign w:val="center"/>
            <w:hideMark/>
          </w:tcPr>
          <w:p w14:paraId="30A71A44"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703,281</w:t>
            </w:r>
          </w:p>
        </w:tc>
      </w:tr>
      <w:tr w:rsidR="00490837" w:rsidRPr="00C1721E" w14:paraId="538511C4" w14:textId="77777777" w:rsidTr="00490837">
        <w:trPr>
          <w:gridAfter w:val="3"/>
          <w:wAfter w:w="1675" w:type="dxa"/>
          <w:trHeight w:val="246"/>
        </w:trPr>
        <w:tc>
          <w:tcPr>
            <w:tcW w:w="254" w:type="dxa"/>
            <w:gridSpan w:val="2"/>
            <w:tcBorders>
              <w:top w:val="nil"/>
              <w:left w:val="nil"/>
              <w:bottom w:val="nil"/>
              <w:right w:val="nil"/>
            </w:tcBorders>
            <w:shd w:val="clear" w:color="auto" w:fill="auto"/>
            <w:noWrap/>
            <w:vAlign w:val="center"/>
            <w:hideMark/>
          </w:tcPr>
          <w:p w14:paraId="551415A9"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1826" w:type="dxa"/>
            <w:tcBorders>
              <w:top w:val="nil"/>
              <w:left w:val="nil"/>
              <w:bottom w:val="nil"/>
              <w:right w:val="nil"/>
            </w:tcBorders>
            <w:shd w:val="clear" w:color="auto" w:fill="auto"/>
            <w:noWrap/>
            <w:vAlign w:val="center"/>
            <w:hideMark/>
          </w:tcPr>
          <w:p w14:paraId="7E8FC9F6" w14:textId="77777777" w:rsidR="00C1721E" w:rsidRPr="00C1721E" w:rsidRDefault="00C1721E" w:rsidP="00C1721E">
            <w:pPr>
              <w:spacing w:before="0" w:line="240" w:lineRule="auto"/>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xml:space="preserve">Grants and other contributions </w:t>
            </w:r>
          </w:p>
        </w:tc>
        <w:tc>
          <w:tcPr>
            <w:tcW w:w="822" w:type="dxa"/>
            <w:gridSpan w:val="2"/>
            <w:tcBorders>
              <w:top w:val="nil"/>
              <w:left w:val="nil"/>
              <w:bottom w:val="nil"/>
              <w:right w:val="nil"/>
            </w:tcBorders>
            <w:shd w:val="clear" w:color="000000" w:fill="C9E3B4"/>
            <w:noWrap/>
            <w:vAlign w:val="center"/>
            <w:hideMark/>
          </w:tcPr>
          <w:p w14:paraId="6D43CCD6"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62</w:t>
            </w:r>
          </w:p>
        </w:tc>
        <w:tc>
          <w:tcPr>
            <w:tcW w:w="371" w:type="dxa"/>
            <w:tcBorders>
              <w:top w:val="nil"/>
              <w:left w:val="nil"/>
              <w:bottom w:val="nil"/>
              <w:right w:val="nil"/>
            </w:tcBorders>
            <w:shd w:val="clear" w:color="auto" w:fill="auto"/>
            <w:noWrap/>
            <w:vAlign w:val="center"/>
            <w:hideMark/>
          </w:tcPr>
          <w:p w14:paraId="5D16324A"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37942729"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163,448</w:t>
            </w:r>
          </w:p>
        </w:tc>
        <w:tc>
          <w:tcPr>
            <w:tcW w:w="372" w:type="dxa"/>
            <w:gridSpan w:val="2"/>
            <w:tcBorders>
              <w:top w:val="nil"/>
              <w:left w:val="nil"/>
              <w:bottom w:val="nil"/>
              <w:right w:val="nil"/>
            </w:tcBorders>
            <w:shd w:val="clear" w:color="auto" w:fill="auto"/>
            <w:noWrap/>
            <w:vAlign w:val="center"/>
            <w:hideMark/>
          </w:tcPr>
          <w:p w14:paraId="49AF2769"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62" w:type="dxa"/>
            <w:gridSpan w:val="2"/>
            <w:tcBorders>
              <w:top w:val="nil"/>
              <w:left w:val="nil"/>
              <w:bottom w:val="nil"/>
              <w:right w:val="nil"/>
            </w:tcBorders>
            <w:shd w:val="clear" w:color="000000" w:fill="C9E3B4"/>
            <w:noWrap/>
            <w:vAlign w:val="center"/>
            <w:hideMark/>
          </w:tcPr>
          <w:p w14:paraId="5F87C6FA"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2,884</w:t>
            </w:r>
          </w:p>
        </w:tc>
        <w:tc>
          <w:tcPr>
            <w:tcW w:w="372" w:type="dxa"/>
            <w:gridSpan w:val="2"/>
            <w:tcBorders>
              <w:top w:val="nil"/>
              <w:left w:val="nil"/>
              <w:bottom w:val="nil"/>
              <w:right w:val="nil"/>
            </w:tcBorders>
            <w:shd w:val="clear" w:color="auto" w:fill="auto"/>
            <w:noWrap/>
            <w:vAlign w:val="center"/>
            <w:hideMark/>
          </w:tcPr>
          <w:p w14:paraId="76E94ADF"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6" w:type="dxa"/>
            <w:gridSpan w:val="2"/>
            <w:tcBorders>
              <w:top w:val="nil"/>
              <w:left w:val="nil"/>
              <w:bottom w:val="nil"/>
              <w:right w:val="nil"/>
            </w:tcBorders>
            <w:shd w:val="clear" w:color="000000" w:fill="C9E3B4"/>
            <w:noWrap/>
            <w:vAlign w:val="center"/>
            <w:hideMark/>
          </w:tcPr>
          <w:p w14:paraId="6EEA35FC"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771</w:t>
            </w:r>
          </w:p>
        </w:tc>
        <w:tc>
          <w:tcPr>
            <w:tcW w:w="372" w:type="dxa"/>
            <w:tcBorders>
              <w:top w:val="nil"/>
              <w:left w:val="nil"/>
              <w:bottom w:val="nil"/>
              <w:right w:val="nil"/>
            </w:tcBorders>
            <w:shd w:val="clear" w:color="auto" w:fill="auto"/>
            <w:noWrap/>
            <w:vAlign w:val="center"/>
            <w:hideMark/>
          </w:tcPr>
          <w:p w14:paraId="2A25F0D2"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53" w:type="dxa"/>
            <w:gridSpan w:val="2"/>
            <w:tcBorders>
              <w:top w:val="nil"/>
              <w:left w:val="nil"/>
              <w:bottom w:val="nil"/>
              <w:right w:val="nil"/>
            </w:tcBorders>
            <w:shd w:val="clear" w:color="000000" w:fill="C9E3B4"/>
            <w:noWrap/>
            <w:vAlign w:val="center"/>
            <w:hideMark/>
          </w:tcPr>
          <w:p w14:paraId="0C946DE7"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49,588</w:t>
            </w:r>
          </w:p>
        </w:tc>
        <w:tc>
          <w:tcPr>
            <w:tcW w:w="372" w:type="dxa"/>
            <w:gridSpan w:val="2"/>
            <w:tcBorders>
              <w:top w:val="nil"/>
              <w:left w:val="nil"/>
              <w:bottom w:val="nil"/>
              <w:right w:val="nil"/>
            </w:tcBorders>
            <w:shd w:val="clear" w:color="auto" w:fill="auto"/>
            <w:noWrap/>
            <w:vAlign w:val="center"/>
            <w:hideMark/>
          </w:tcPr>
          <w:p w14:paraId="3548E094"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47DC674E"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xml:space="preserve">- </w:t>
            </w:r>
          </w:p>
        </w:tc>
        <w:tc>
          <w:tcPr>
            <w:tcW w:w="372" w:type="dxa"/>
            <w:gridSpan w:val="2"/>
            <w:tcBorders>
              <w:top w:val="nil"/>
              <w:left w:val="nil"/>
              <w:bottom w:val="nil"/>
              <w:right w:val="nil"/>
            </w:tcBorders>
            <w:shd w:val="clear" w:color="auto" w:fill="auto"/>
            <w:noWrap/>
            <w:vAlign w:val="center"/>
            <w:hideMark/>
          </w:tcPr>
          <w:p w14:paraId="6D73F77F"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1" w:type="dxa"/>
            <w:gridSpan w:val="2"/>
            <w:tcBorders>
              <w:top w:val="nil"/>
              <w:left w:val="nil"/>
              <w:bottom w:val="nil"/>
              <w:right w:val="nil"/>
            </w:tcBorders>
            <w:shd w:val="clear" w:color="000000" w:fill="C9E3B4"/>
            <w:noWrap/>
            <w:vAlign w:val="center"/>
            <w:hideMark/>
          </w:tcPr>
          <w:p w14:paraId="14EAAD03"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xml:space="preserve">- </w:t>
            </w:r>
          </w:p>
        </w:tc>
        <w:tc>
          <w:tcPr>
            <w:tcW w:w="497" w:type="dxa"/>
            <w:gridSpan w:val="2"/>
            <w:tcBorders>
              <w:top w:val="nil"/>
              <w:left w:val="nil"/>
              <w:bottom w:val="nil"/>
              <w:right w:val="nil"/>
            </w:tcBorders>
            <w:shd w:val="clear" w:color="auto" w:fill="auto"/>
            <w:noWrap/>
            <w:vAlign w:val="center"/>
            <w:hideMark/>
          </w:tcPr>
          <w:p w14:paraId="09FC18E5"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7" w:type="dxa"/>
            <w:gridSpan w:val="2"/>
            <w:tcBorders>
              <w:top w:val="nil"/>
              <w:left w:val="nil"/>
              <w:bottom w:val="nil"/>
              <w:right w:val="nil"/>
            </w:tcBorders>
            <w:shd w:val="clear" w:color="000000" w:fill="C9E3B4"/>
            <w:noWrap/>
            <w:vAlign w:val="center"/>
            <w:hideMark/>
          </w:tcPr>
          <w:p w14:paraId="2753C3A3"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216,753</w:t>
            </w:r>
          </w:p>
        </w:tc>
      </w:tr>
      <w:tr w:rsidR="00490837" w:rsidRPr="00C1721E" w14:paraId="10F6EAAA" w14:textId="77777777" w:rsidTr="00490837">
        <w:trPr>
          <w:gridAfter w:val="3"/>
          <w:wAfter w:w="1675" w:type="dxa"/>
          <w:trHeight w:val="246"/>
        </w:trPr>
        <w:tc>
          <w:tcPr>
            <w:tcW w:w="254" w:type="dxa"/>
            <w:gridSpan w:val="2"/>
            <w:tcBorders>
              <w:top w:val="nil"/>
              <w:left w:val="nil"/>
              <w:bottom w:val="nil"/>
              <w:right w:val="nil"/>
            </w:tcBorders>
            <w:shd w:val="clear" w:color="auto" w:fill="auto"/>
            <w:noWrap/>
            <w:vAlign w:val="center"/>
            <w:hideMark/>
          </w:tcPr>
          <w:p w14:paraId="330765F8"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1826" w:type="dxa"/>
            <w:tcBorders>
              <w:top w:val="nil"/>
              <w:left w:val="nil"/>
              <w:bottom w:val="nil"/>
              <w:right w:val="nil"/>
            </w:tcBorders>
            <w:shd w:val="clear" w:color="auto" w:fill="auto"/>
            <w:noWrap/>
            <w:vAlign w:val="center"/>
            <w:hideMark/>
          </w:tcPr>
          <w:p w14:paraId="3DDFA5CC" w14:textId="77777777" w:rsidR="00C1721E" w:rsidRPr="00C1721E" w:rsidRDefault="00C1721E" w:rsidP="00C1721E">
            <w:pPr>
              <w:spacing w:before="0" w:line="240" w:lineRule="auto"/>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Service concession arrangements revenue</w:t>
            </w:r>
          </w:p>
        </w:tc>
        <w:tc>
          <w:tcPr>
            <w:tcW w:w="822" w:type="dxa"/>
            <w:gridSpan w:val="2"/>
            <w:tcBorders>
              <w:top w:val="nil"/>
              <w:left w:val="nil"/>
              <w:bottom w:val="nil"/>
              <w:right w:val="nil"/>
            </w:tcBorders>
            <w:shd w:val="clear" w:color="000000" w:fill="C9E3B4"/>
            <w:noWrap/>
            <w:vAlign w:val="center"/>
            <w:hideMark/>
          </w:tcPr>
          <w:p w14:paraId="47E8609F"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xml:space="preserve">- </w:t>
            </w:r>
          </w:p>
        </w:tc>
        <w:tc>
          <w:tcPr>
            <w:tcW w:w="371" w:type="dxa"/>
            <w:tcBorders>
              <w:top w:val="nil"/>
              <w:left w:val="nil"/>
              <w:bottom w:val="nil"/>
              <w:right w:val="nil"/>
            </w:tcBorders>
            <w:shd w:val="clear" w:color="auto" w:fill="auto"/>
            <w:noWrap/>
            <w:vAlign w:val="center"/>
            <w:hideMark/>
          </w:tcPr>
          <w:p w14:paraId="38CF819D"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0BAC3350"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232,180</w:t>
            </w:r>
          </w:p>
        </w:tc>
        <w:tc>
          <w:tcPr>
            <w:tcW w:w="372" w:type="dxa"/>
            <w:gridSpan w:val="2"/>
            <w:tcBorders>
              <w:top w:val="nil"/>
              <w:left w:val="nil"/>
              <w:bottom w:val="nil"/>
              <w:right w:val="nil"/>
            </w:tcBorders>
            <w:shd w:val="clear" w:color="auto" w:fill="auto"/>
            <w:noWrap/>
            <w:vAlign w:val="center"/>
            <w:hideMark/>
          </w:tcPr>
          <w:p w14:paraId="68393E48"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62" w:type="dxa"/>
            <w:gridSpan w:val="2"/>
            <w:tcBorders>
              <w:top w:val="nil"/>
              <w:left w:val="nil"/>
              <w:bottom w:val="nil"/>
              <w:right w:val="nil"/>
            </w:tcBorders>
            <w:shd w:val="clear" w:color="000000" w:fill="C9E3B4"/>
            <w:noWrap/>
            <w:vAlign w:val="center"/>
            <w:hideMark/>
          </w:tcPr>
          <w:p w14:paraId="77172F2A"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xml:space="preserve">- </w:t>
            </w:r>
          </w:p>
        </w:tc>
        <w:tc>
          <w:tcPr>
            <w:tcW w:w="372" w:type="dxa"/>
            <w:gridSpan w:val="2"/>
            <w:tcBorders>
              <w:top w:val="nil"/>
              <w:left w:val="nil"/>
              <w:bottom w:val="nil"/>
              <w:right w:val="nil"/>
            </w:tcBorders>
            <w:shd w:val="clear" w:color="auto" w:fill="auto"/>
            <w:noWrap/>
            <w:vAlign w:val="center"/>
            <w:hideMark/>
          </w:tcPr>
          <w:p w14:paraId="4F794462"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6" w:type="dxa"/>
            <w:gridSpan w:val="2"/>
            <w:tcBorders>
              <w:top w:val="nil"/>
              <w:left w:val="nil"/>
              <w:bottom w:val="nil"/>
              <w:right w:val="nil"/>
            </w:tcBorders>
            <w:shd w:val="clear" w:color="000000" w:fill="C9E3B4"/>
            <w:noWrap/>
            <w:vAlign w:val="center"/>
            <w:hideMark/>
          </w:tcPr>
          <w:p w14:paraId="7A41539E"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xml:space="preserve">- </w:t>
            </w:r>
          </w:p>
        </w:tc>
        <w:tc>
          <w:tcPr>
            <w:tcW w:w="372" w:type="dxa"/>
            <w:tcBorders>
              <w:top w:val="nil"/>
              <w:left w:val="nil"/>
              <w:bottom w:val="nil"/>
              <w:right w:val="nil"/>
            </w:tcBorders>
            <w:shd w:val="clear" w:color="auto" w:fill="auto"/>
            <w:noWrap/>
            <w:vAlign w:val="center"/>
            <w:hideMark/>
          </w:tcPr>
          <w:p w14:paraId="3731C371"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53" w:type="dxa"/>
            <w:gridSpan w:val="2"/>
            <w:tcBorders>
              <w:top w:val="nil"/>
              <w:left w:val="nil"/>
              <w:bottom w:val="nil"/>
              <w:right w:val="nil"/>
            </w:tcBorders>
            <w:shd w:val="clear" w:color="000000" w:fill="C9E3B4"/>
            <w:noWrap/>
            <w:vAlign w:val="center"/>
            <w:hideMark/>
          </w:tcPr>
          <w:p w14:paraId="0B23A763"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xml:space="preserve">- </w:t>
            </w:r>
          </w:p>
        </w:tc>
        <w:tc>
          <w:tcPr>
            <w:tcW w:w="372" w:type="dxa"/>
            <w:gridSpan w:val="2"/>
            <w:tcBorders>
              <w:top w:val="nil"/>
              <w:left w:val="nil"/>
              <w:bottom w:val="nil"/>
              <w:right w:val="nil"/>
            </w:tcBorders>
            <w:shd w:val="clear" w:color="auto" w:fill="auto"/>
            <w:noWrap/>
            <w:vAlign w:val="center"/>
            <w:hideMark/>
          </w:tcPr>
          <w:p w14:paraId="71D93291"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3475C7F5"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xml:space="preserve">- </w:t>
            </w:r>
          </w:p>
        </w:tc>
        <w:tc>
          <w:tcPr>
            <w:tcW w:w="372" w:type="dxa"/>
            <w:gridSpan w:val="2"/>
            <w:tcBorders>
              <w:top w:val="nil"/>
              <w:left w:val="nil"/>
              <w:bottom w:val="nil"/>
              <w:right w:val="nil"/>
            </w:tcBorders>
            <w:shd w:val="clear" w:color="auto" w:fill="auto"/>
            <w:noWrap/>
            <w:vAlign w:val="center"/>
            <w:hideMark/>
          </w:tcPr>
          <w:p w14:paraId="2584CF68"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1" w:type="dxa"/>
            <w:gridSpan w:val="2"/>
            <w:tcBorders>
              <w:top w:val="nil"/>
              <w:left w:val="nil"/>
              <w:bottom w:val="nil"/>
              <w:right w:val="nil"/>
            </w:tcBorders>
            <w:shd w:val="clear" w:color="000000" w:fill="C9E3B4"/>
            <w:noWrap/>
            <w:vAlign w:val="center"/>
            <w:hideMark/>
          </w:tcPr>
          <w:p w14:paraId="7315949B"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xml:space="preserve">- </w:t>
            </w:r>
          </w:p>
        </w:tc>
        <w:tc>
          <w:tcPr>
            <w:tcW w:w="497" w:type="dxa"/>
            <w:gridSpan w:val="2"/>
            <w:tcBorders>
              <w:top w:val="nil"/>
              <w:left w:val="nil"/>
              <w:bottom w:val="nil"/>
              <w:right w:val="nil"/>
            </w:tcBorders>
            <w:shd w:val="clear" w:color="auto" w:fill="auto"/>
            <w:noWrap/>
            <w:vAlign w:val="center"/>
            <w:hideMark/>
          </w:tcPr>
          <w:p w14:paraId="1DF2F79F"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7" w:type="dxa"/>
            <w:gridSpan w:val="2"/>
            <w:tcBorders>
              <w:top w:val="nil"/>
              <w:left w:val="nil"/>
              <w:bottom w:val="nil"/>
              <w:right w:val="nil"/>
            </w:tcBorders>
            <w:shd w:val="clear" w:color="000000" w:fill="C9E3B4"/>
            <w:noWrap/>
            <w:vAlign w:val="center"/>
            <w:hideMark/>
          </w:tcPr>
          <w:p w14:paraId="0D12453D"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232,180</w:t>
            </w:r>
          </w:p>
        </w:tc>
      </w:tr>
      <w:tr w:rsidR="00490837" w:rsidRPr="00C1721E" w14:paraId="5E6CF43E" w14:textId="77777777" w:rsidTr="00490837">
        <w:trPr>
          <w:gridAfter w:val="3"/>
          <w:wAfter w:w="1675" w:type="dxa"/>
          <w:trHeight w:val="254"/>
        </w:trPr>
        <w:tc>
          <w:tcPr>
            <w:tcW w:w="254" w:type="dxa"/>
            <w:gridSpan w:val="2"/>
            <w:tcBorders>
              <w:top w:val="nil"/>
              <w:left w:val="nil"/>
              <w:bottom w:val="single" w:sz="8" w:space="0" w:color="auto"/>
              <w:right w:val="nil"/>
            </w:tcBorders>
            <w:shd w:val="clear" w:color="auto" w:fill="auto"/>
            <w:noWrap/>
            <w:vAlign w:val="center"/>
            <w:hideMark/>
          </w:tcPr>
          <w:p w14:paraId="6B952364" w14:textId="77777777" w:rsidR="00C1721E" w:rsidRPr="00C1721E" w:rsidRDefault="00C1721E" w:rsidP="00C1721E">
            <w:pPr>
              <w:spacing w:before="0" w:line="240" w:lineRule="auto"/>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1826" w:type="dxa"/>
            <w:tcBorders>
              <w:top w:val="nil"/>
              <w:left w:val="nil"/>
              <w:bottom w:val="nil"/>
              <w:right w:val="nil"/>
            </w:tcBorders>
            <w:shd w:val="clear" w:color="auto" w:fill="auto"/>
            <w:noWrap/>
            <w:vAlign w:val="center"/>
            <w:hideMark/>
          </w:tcPr>
          <w:p w14:paraId="537BB6E7" w14:textId="77777777" w:rsidR="00C1721E" w:rsidRPr="00C1721E" w:rsidRDefault="00C1721E" w:rsidP="00C1721E">
            <w:pPr>
              <w:spacing w:before="0" w:line="240" w:lineRule="auto"/>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Other revenue</w:t>
            </w:r>
          </w:p>
        </w:tc>
        <w:tc>
          <w:tcPr>
            <w:tcW w:w="822" w:type="dxa"/>
            <w:gridSpan w:val="2"/>
            <w:tcBorders>
              <w:top w:val="nil"/>
              <w:left w:val="nil"/>
              <w:bottom w:val="nil"/>
              <w:right w:val="nil"/>
            </w:tcBorders>
            <w:shd w:val="clear" w:color="000000" w:fill="C9E3B4"/>
            <w:noWrap/>
            <w:vAlign w:val="center"/>
            <w:hideMark/>
          </w:tcPr>
          <w:p w14:paraId="4C249442"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208</w:t>
            </w:r>
          </w:p>
        </w:tc>
        <w:tc>
          <w:tcPr>
            <w:tcW w:w="371" w:type="dxa"/>
            <w:tcBorders>
              <w:top w:val="nil"/>
              <w:left w:val="nil"/>
              <w:bottom w:val="single" w:sz="8" w:space="0" w:color="auto"/>
              <w:right w:val="nil"/>
            </w:tcBorders>
            <w:shd w:val="clear" w:color="auto" w:fill="auto"/>
            <w:noWrap/>
            <w:vAlign w:val="center"/>
            <w:hideMark/>
          </w:tcPr>
          <w:p w14:paraId="325887BC"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835" w:type="dxa"/>
            <w:gridSpan w:val="2"/>
            <w:tcBorders>
              <w:top w:val="nil"/>
              <w:left w:val="nil"/>
              <w:bottom w:val="nil"/>
              <w:right w:val="nil"/>
            </w:tcBorders>
            <w:shd w:val="clear" w:color="000000" w:fill="C9E3B4"/>
            <w:noWrap/>
            <w:vAlign w:val="center"/>
            <w:hideMark/>
          </w:tcPr>
          <w:p w14:paraId="095C1662"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57,787</w:t>
            </w:r>
          </w:p>
        </w:tc>
        <w:tc>
          <w:tcPr>
            <w:tcW w:w="372" w:type="dxa"/>
            <w:gridSpan w:val="2"/>
            <w:tcBorders>
              <w:top w:val="nil"/>
              <w:left w:val="nil"/>
              <w:bottom w:val="single" w:sz="8" w:space="0" w:color="auto"/>
              <w:right w:val="nil"/>
            </w:tcBorders>
            <w:shd w:val="clear" w:color="auto" w:fill="auto"/>
            <w:noWrap/>
            <w:vAlign w:val="center"/>
            <w:hideMark/>
          </w:tcPr>
          <w:p w14:paraId="2CD37456"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662" w:type="dxa"/>
            <w:gridSpan w:val="2"/>
            <w:tcBorders>
              <w:top w:val="nil"/>
              <w:left w:val="nil"/>
              <w:bottom w:val="nil"/>
              <w:right w:val="nil"/>
            </w:tcBorders>
            <w:shd w:val="clear" w:color="000000" w:fill="C9E3B4"/>
            <w:noWrap/>
            <w:vAlign w:val="center"/>
            <w:hideMark/>
          </w:tcPr>
          <w:p w14:paraId="4722CCB3"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11,987</w:t>
            </w:r>
          </w:p>
        </w:tc>
        <w:tc>
          <w:tcPr>
            <w:tcW w:w="372" w:type="dxa"/>
            <w:gridSpan w:val="2"/>
            <w:tcBorders>
              <w:top w:val="nil"/>
              <w:left w:val="nil"/>
              <w:bottom w:val="single" w:sz="8" w:space="0" w:color="auto"/>
              <w:right w:val="nil"/>
            </w:tcBorders>
            <w:shd w:val="clear" w:color="auto" w:fill="auto"/>
            <w:noWrap/>
            <w:vAlign w:val="center"/>
            <w:hideMark/>
          </w:tcPr>
          <w:p w14:paraId="1D13D77B"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696" w:type="dxa"/>
            <w:gridSpan w:val="2"/>
            <w:tcBorders>
              <w:top w:val="nil"/>
              <w:left w:val="nil"/>
              <w:bottom w:val="nil"/>
              <w:right w:val="nil"/>
            </w:tcBorders>
            <w:shd w:val="clear" w:color="000000" w:fill="C9E3B4"/>
            <w:noWrap/>
            <w:vAlign w:val="center"/>
            <w:hideMark/>
          </w:tcPr>
          <w:p w14:paraId="1D3E451B"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36</w:t>
            </w:r>
          </w:p>
        </w:tc>
        <w:tc>
          <w:tcPr>
            <w:tcW w:w="372" w:type="dxa"/>
            <w:tcBorders>
              <w:top w:val="nil"/>
              <w:left w:val="nil"/>
              <w:bottom w:val="single" w:sz="8" w:space="0" w:color="auto"/>
              <w:right w:val="nil"/>
            </w:tcBorders>
            <w:shd w:val="clear" w:color="auto" w:fill="auto"/>
            <w:noWrap/>
            <w:vAlign w:val="center"/>
            <w:hideMark/>
          </w:tcPr>
          <w:p w14:paraId="78EDD1DB"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653" w:type="dxa"/>
            <w:gridSpan w:val="2"/>
            <w:tcBorders>
              <w:top w:val="nil"/>
              <w:left w:val="nil"/>
              <w:bottom w:val="nil"/>
              <w:right w:val="nil"/>
            </w:tcBorders>
            <w:shd w:val="clear" w:color="000000" w:fill="C9E3B4"/>
            <w:noWrap/>
            <w:vAlign w:val="center"/>
            <w:hideMark/>
          </w:tcPr>
          <w:p w14:paraId="5698AF79"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12,175</w:t>
            </w:r>
          </w:p>
        </w:tc>
        <w:tc>
          <w:tcPr>
            <w:tcW w:w="372" w:type="dxa"/>
            <w:gridSpan w:val="2"/>
            <w:tcBorders>
              <w:top w:val="nil"/>
              <w:left w:val="nil"/>
              <w:bottom w:val="single" w:sz="8" w:space="0" w:color="auto"/>
              <w:right w:val="nil"/>
            </w:tcBorders>
            <w:shd w:val="clear" w:color="auto" w:fill="auto"/>
            <w:noWrap/>
            <w:vAlign w:val="center"/>
            <w:hideMark/>
          </w:tcPr>
          <w:p w14:paraId="3A90AAF8"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835" w:type="dxa"/>
            <w:gridSpan w:val="2"/>
            <w:tcBorders>
              <w:top w:val="nil"/>
              <w:left w:val="nil"/>
              <w:bottom w:val="nil"/>
              <w:right w:val="nil"/>
            </w:tcBorders>
            <w:shd w:val="clear" w:color="000000" w:fill="C9E3B4"/>
            <w:noWrap/>
            <w:vAlign w:val="center"/>
            <w:hideMark/>
          </w:tcPr>
          <w:p w14:paraId="5AFBC927"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1,686</w:t>
            </w:r>
          </w:p>
        </w:tc>
        <w:tc>
          <w:tcPr>
            <w:tcW w:w="372" w:type="dxa"/>
            <w:gridSpan w:val="2"/>
            <w:tcBorders>
              <w:top w:val="nil"/>
              <w:left w:val="nil"/>
              <w:bottom w:val="single" w:sz="8" w:space="0" w:color="auto"/>
              <w:right w:val="nil"/>
            </w:tcBorders>
            <w:shd w:val="clear" w:color="auto" w:fill="auto"/>
            <w:noWrap/>
            <w:vAlign w:val="center"/>
            <w:hideMark/>
          </w:tcPr>
          <w:p w14:paraId="0860CDF0"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831" w:type="dxa"/>
            <w:gridSpan w:val="2"/>
            <w:tcBorders>
              <w:top w:val="nil"/>
              <w:left w:val="nil"/>
              <w:bottom w:val="nil"/>
              <w:right w:val="nil"/>
            </w:tcBorders>
            <w:shd w:val="clear" w:color="000000" w:fill="C9E3B4"/>
            <w:noWrap/>
            <w:vAlign w:val="center"/>
            <w:hideMark/>
          </w:tcPr>
          <w:p w14:paraId="04C931D4"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-33,431</w:t>
            </w:r>
          </w:p>
        </w:tc>
        <w:tc>
          <w:tcPr>
            <w:tcW w:w="497" w:type="dxa"/>
            <w:gridSpan w:val="2"/>
            <w:tcBorders>
              <w:top w:val="nil"/>
              <w:left w:val="nil"/>
              <w:bottom w:val="single" w:sz="8" w:space="0" w:color="auto"/>
              <w:right w:val="nil"/>
            </w:tcBorders>
            <w:shd w:val="clear" w:color="auto" w:fill="auto"/>
            <w:noWrap/>
            <w:vAlign w:val="center"/>
            <w:hideMark/>
          </w:tcPr>
          <w:p w14:paraId="358949FD"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697" w:type="dxa"/>
            <w:gridSpan w:val="2"/>
            <w:tcBorders>
              <w:top w:val="nil"/>
              <w:left w:val="nil"/>
              <w:bottom w:val="nil"/>
              <w:right w:val="nil"/>
            </w:tcBorders>
            <w:shd w:val="clear" w:color="000000" w:fill="C9E3B4"/>
            <w:noWrap/>
            <w:vAlign w:val="center"/>
            <w:hideMark/>
          </w:tcPr>
          <w:p w14:paraId="6EE83CAF"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50,448</w:t>
            </w:r>
          </w:p>
        </w:tc>
      </w:tr>
      <w:tr w:rsidR="00490837" w:rsidRPr="00C1721E" w14:paraId="327625EC" w14:textId="77777777" w:rsidTr="00490837">
        <w:trPr>
          <w:gridAfter w:val="3"/>
          <w:wAfter w:w="1675" w:type="dxa"/>
          <w:trHeight w:hRule="exact" w:val="246"/>
        </w:trPr>
        <w:tc>
          <w:tcPr>
            <w:tcW w:w="254" w:type="dxa"/>
            <w:gridSpan w:val="2"/>
            <w:tcBorders>
              <w:top w:val="nil"/>
              <w:left w:val="nil"/>
              <w:bottom w:val="nil"/>
              <w:right w:val="nil"/>
            </w:tcBorders>
            <w:shd w:val="clear" w:color="auto" w:fill="auto"/>
            <w:noWrap/>
            <w:vAlign w:val="center"/>
            <w:hideMark/>
          </w:tcPr>
          <w:p w14:paraId="14E2D34E"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1826" w:type="dxa"/>
            <w:tcBorders>
              <w:top w:val="single" w:sz="8" w:space="0" w:color="auto"/>
              <w:left w:val="nil"/>
              <w:bottom w:val="nil"/>
              <w:right w:val="nil"/>
            </w:tcBorders>
            <w:shd w:val="clear" w:color="auto" w:fill="auto"/>
            <w:noWrap/>
            <w:vAlign w:val="center"/>
            <w:hideMark/>
          </w:tcPr>
          <w:p w14:paraId="5CD11693" w14:textId="77777777" w:rsidR="00C1721E" w:rsidRPr="00C1721E" w:rsidRDefault="00C1721E" w:rsidP="00C1721E">
            <w:pPr>
              <w:spacing w:before="0" w:line="240" w:lineRule="auto"/>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Total revenue</w:t>
            </w:r>
          </w:p>
        </w:tc>
        <w:tc>
          <w:tcPr>
            <w:tcW w:w="822" w:type="dxa"/>
            <w:gridSpan w:val="2"/>
            <w:tcBorders>
              <w:top w:val="single" w:sz="8" w:space="0" w:color="auto"/>
              <w:left w:val="nil"/>
              <w:bottom w:val="nil"/>
              <w:right w:val="nil"/>
            </w:tcBorders>
            <w:shd w:val="clear" w:color="000000" w:fill="C9E3B4"/>
            <w:noWrap/>
            <w:vAlign w:val="center"/>
            <w:hideMark/>
          </w:tcPr>
          <w:p w14:paraId="5C5BEAEE"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142,513</w:t>
            </w:r>
          </w:p>
        </w:tc>
        <w:tc>
          <w:tcPr>
            <w:tcW w:w="371" w:type="dxa"/>
            <w:tcBorders>
              <w:top w:val="nil"/>
              <w:left w:val="nil"/>
              <w:bottom w:val="nil"/>
              <w:right w:val="nil"/>
            </w:tcBorders>
            <w:shd w:val="clear" w:color="auto" w:fill="auto"/>
            <w:noWrap/>
            <w:vAlign w:val="center"/>
            <w:hideMark/>
          </w:tcPr>
          <w:p w14:paraId="4D508B05"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835" w:type="dxa"/>
            <w:gridSpan w:val="2"/>
            <w:tcBorders>
              <w:top w:val="single" w:sz="8" w:space="0" w:color="auto"/>
              <w:left w:val="nil"/>
              <w:bottom w:val="nil"/>
              <w:right w:val="nil"/>
            </w:tcBorders>
            <w:shd w:val="clear" w:color="000000" w:fill="C9E3B4"/>
            <w:noWrap/>
            <w:vAlign w:val="center"/>
            <w:hideMark/>
          </w:tcPr>
          <w:p w14:paraId="25F22180"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3,022,130</w:t>
            </w:r>
          </w:p>
        </w:tc>
        <w:tc>
          <w:tcPr>
            <w:tcW w:w="372" w:type="dxa"/>
            <w:gridSpan w:val="2"/>
            <w:tcBorders>
              <w:top w:val="nil"/>
              <w:left w:val="nil"/>
              <w:bottom w:val="nil"/>
              <w:right w:val="nil"/>
            </w:tcBorders>
            <w:shd w:val="clear" w:color="auto" w:fill="auto"/>
            <w:noWrap/>
            <w:vAlign w:val="center"/>
            <w:hideMark/>
          </w:tcPr>
          <w:p w14:paraId="54FBE771"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662" w:type="dxa"/>
            <w:gridSpan w:val="2"/>
            <w:tcBorders>
              <w:top w:val="single" w:sz="8" w:space="0" w:color="auto"/>
              <w:left w:val="nil"/>
              <w:bottom w:val="nil"/>
              <w:right w:val="nil"/>
            </w:tcBorders>
            <w:shd w:val="clear" w:color="000000" w:fill="C9E3B4"/>
            <w:noWrap/>
            <w:vAlign w:val="center"/>
            <w:hideMark/>
          </w:tcPr>
          <w:p w14:paraId="5EEABFE0"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313,956</w:t>
            </w:r>
          </w:p>
        </w:tc>
        <w:tc>
          <w:tcPr>
            <w:tcW w:w="372" w:type="dxa"/>
            <w:gridSpan w:val="2"/>
            <w:tcBorders>
              <w:top w:val="nil"/>
              <w:left w:val="nil"/>
              <w:bottom w:val="nil"/>
              <w:right w:val="nil"/>
            </w:tcBorders>
            <w:shd w:val="clear" w:color="auto" w:fill="auto"/>
            <w:noWrap/>
            <w:vAlign w:val="center"/>
            <w:hideMark/>
          </w:tcPr>
          <w:p w14:paraId="6ECFEECE"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696" w:type="dxa"/>
            <w:gridSpan w:val="2"/>
            <w:tcBorders>
              <w:top w:val="single" w:sz="8" w:space="0" w:color="auto"/>
              <w:left w:val="nil"/>
              <w:bottom w:val="nil"/>
              <w:right w:val="nil"/>
            </w:tcBorders>
            <w:shd w:val="clear" w:color="000000" w:fill="C9E3B4"/>
            <w:noWrap/>
            <w:vAlign w:val="center"/>
            <w:hideMark/>
          </w:tcPr>
          <w:p w14:paraId="3A094D65"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350,309</w:t>
            </w:r>
          </w:p>
        </w:tc>
        <w:tc>
          <w:tcPr>
            <w:tcW w:w="372" w:type="dxa"/>
            <w:tcBorders>
              <w:top w:val="nil"/>
              <w:left w:val="nil"/>
              <w:bottom w:val="nil"/>
              <w:right w:val="nil"/>
            </w:tcBorders>
            <w:shd w:val="clear" w:color="auto" w:fill="auto"/>
            <w:noWrap/>
            <w:vAlign w:val="center"/>
            <w:hideMark/>
          </w:tcPr>
          <w:p w14:paraId="11EAFF93"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653" w:type="dxa"/>
            <w:gridSpan w:val="2"/>
            <w:tcBorders>
              <w:top w:val="single" w:sz="8" w:space="0" w:color="auto"/>
              <w:left w:val="nil"/>
              <w:bottom w:val="nil"/>
              <w:right w:val="nil"/>
            </w:tcBorders>
            <w:shd w:val="clear" w:color="000000" w:fill="C9E3B4"/>
            <w:noWrap/>
            <w:vAlign w:val="center"/>
            <w:hideMark/>
          </w:tcPr>
          <w:p w14:paraId="7F5B62BF"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3,326,963</w:t>
            </w:r>
          </w:p>
        </w:tc>
        <w:tc>
          <w:tcPr>
            <w:tcW w:w="372" w:type="dxa"/>
            <w:gridSpan w:val="2"/>
            <w:tcBorders>
              <w:top w:val="nil"/>
              <w:left w:val="nil"/>
              <w:bottom w:val="nil"/>
              <w:right w:val="nil"/>
            </w:tcBorders>
            <w:shd w:val="clear" w:color="auto" w:fill="auto"/>
            <w:noWrap/>
            <w:vAlign w:val="center"/>
            <w:hideMark/>
          </w:tcPr>
          <w:p w14:paraId="6FE82A00"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835" w:type="dxa"/>
            <w:gridSpan w:val="2"/>
            <w:tcBorders>
              <w:top w:val="single" w:sz="8" w:space="0" w:color="auto"/>
              <w:left w:val="nil"/>
              <w:bottom w:val="nil"/>
              <w:right w:val="nil"/>
            </w:tcBorders>
            <w:shd w:val="clear" w:color="000000" w:fill="C9E3B4"/>
            <w:noWrap/>
            <w:vAlign w:val="center"/>
            <w:hideMark/>
          </w:tcPr>
          <w:p w14:paraId="38A04281"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834,958</w:t>
            </w:r>
          </w:p>
        </w:tc>
        <w:tc>
          <w:tcPr>
            <w:tcW w:w="372" w:type="dxa"/>
            <w:gridSpan w:val="2"/>
            <w:tcBorders>
              <w:top w:val="nil"/>
              <w:left w:val="nil"/>
              <w:bottom w:val="nil"/>
              <w:right w:val="nil"/>
            </w:tcBorders>
            <w:shd w:val="clear" w:color="auto" w:fill="auto"/>
            <w:noWrap/>
            <w:vAlign w:val="center"/>
            <w:hideMark/>
          </w:tcPr>
          <w:p w14:paraId="7724161E"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831" w:type="dxa"/>
            <w:gridSpan w:val="2"/>
            <w:tcBorders>
              <w:top w:val="single" w:sz="8" w:space="0" w:color="auto"/>
              <w:left w:val="nil"/>
              <w:bottom w:val="nil"/>
              <w:right w:val="nil"/>
            </w:tcBorders>
            <w:shd w:val="clear" w:color="000000" w:fill="C9E3B4"/>
            <w:noWrap/>
            <w:vAlign w:val="center"/>
            <w:hideMark/>
          </w:tcPr>
          <w:p w14:paraId="3E717323"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-860,626</w:t>
            </w:r>
          </w:p>
        </w:tc>
        <w:tc>
          <w:tcPr>
            <w:tcW w:w="497" w:type="dxa"/>
            <w:gridSpan w:val="2"/>
            <w:tcBorders>
              <w:top w:val="nil"/>
              <w:left w:val="nil"/>
              <w:bottom w:val="nil"/>
              <w:right w:val="nil"/>
            </w:tcBorders>
            <w:shd w:val="clear" w:color="auto" w:fill="auto"/>
            <w:noWrap/>
            <w:vAlign w:val="center"/>
            <w:hideMark/>
          </w:tcPr>
          <w:p w14:paraId="215AD178"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697" w:type="dxa"/>
            <w:gridSpan w:val="2"/>
            <w:tcBorders>
              <w:top w:val="single" w:sz="8" w:space="0" w:color="auto"/>
              <w:left w:val="nil"/>
              <w:bottom w:val="nil"/>
              <w:right w:val="nil"/>
            </w:tcBorders>
            <w:shd w:val="clear" w:color="000000" w:fill="C9E3B4"/>
            <w:noWrap/>
            <w:vAlign w:val="center"/>
            <w:hideMark/>
          </w:tcPr>
          <w:p w14:paraId="3422B492"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7,130,203</w:t>
            </w:r>
          </w:p>
        </w:tc>
      </w:tr>
      <w:tr w:rsidR="00490837" w:rsidRPr="00C1721E" w14:paraId="3EDEC94F" w14:textId="77777777" w:rsidTr="00490837">
        <w:trPr>
          <w:gridAfter w:val="3"/>
          <w:wAfter w:w="1675" w:type="dxa"/>
          <w:trHeight w:val="246"/>
        </w:trPr>
        <w:tc>
          <w:tcPr>
            <w:tcW w:w="254" w:type="dxa"/>
            <w:gridSpan w:val="2"/>
            <w:tcBorders>
              <w:top w:val="nil"/>
              <w:left w:val="nil"/>
              <w:bottom w:val="nil"/>
              <w:right w:val="nil"/>
            </w:tcBorders>
            <w:shd w:val="clear" w:color="auto" w:fill="auto"/>
            <w:noWrap/>
            <w:vAlign w:val="center"/>
            <w:hideMark/>
          </w:tcPr>
          <w:p w14:paraId="7999A340"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1826" w:type="dxa"/>
            <w:tcBorders>
              <w:top w:val="nil"/>
              <w:left w:val="nil"/>
              <w:bottom w:val="nil"/>
              <w:right w:val="nil"/>
            </w:tcBorders>
            <w:shd w:val="clear" w:color="auto" w:fill="auto"/>
            <w:noWrap/>
            <w:vAlign w:val="center"/>
            <w:hideMark/>
          </w:tcPr>
          <w:p w14:paraId="1618CA42"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822" w:type="dxa"/>
            <w:gridSpan w:val="2"/>
            <w:tcBorders>
              <w:top w:val="nil"/>
              <w:left w:val="nil"/>
              <w:bottom w:val="nil"/>
              <w:right w:val="nil"/>
            </w:tcBorders>
            <w:shd w:val="clear" w:color="000000" w:fill="C9E3B4"/>
            <w:noWrap/>
            <w:vAlign w:val="center"/>
            <w:hideMark/>
          </w:tcPr>
          <w:p w14:paraId="50141121"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1" w:type="dxa"/>
            <w:tcBorders>
              <w:top w:val="nil"/>
              <w:left w:val="nil"/>
              <w:bottom w:val="nil"/>
              <w:right w:val="nil"/>
            </w:tcBorders>
            <w:shd w:val="clear" w:color="auto" w:fill="auto"/>
            <w:noWrap/>
            <w:vAlign w:val="center"/>
            <w:hideMark/>
          </w:tcPr>
          <w:p w14:paraId="2CE1FFF2"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7524C266"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1E42BAF1"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62" w:type="dxa"/>
            <w:gridSpan w:val="2"/>
            <w:tcBorders>
              <w:top w:val="nil"/>
              <w:left w:val="nil"/>
              <w:bottom w:val="nil"/>
              <w:right w:val="nil"/>
            </w:tcBorders>
            <w:shd w:val="clear" w:color="000000" w:fill="C9E3B4"/>
            <w:noWrap/>
            <w:vAlign w:val="center"/>
            <w:hideMark/>
          </w:tcPr>
          <w:p w14:paraId="010A7B02"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0A1DABD6"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6" w:type="dxa"/>
            <w:gridSpan w:val="2"/>
            <w:tcBorders>
              <w:top w:val="nil"/>
              <w:left w:val="nil"/>
              <w:bottom w:val="nil"/>
              <w:right w:val="nil"/>
            </w:tcBorders>
            <w:shd w:val="clear" w:color="000000" w:fill="C9E3B4"/>
            <w:noWrap/>
            <w:vAlign w:val="center"/>
            <w:hideMark/>
          </w:tcPr>
          <w:p w14:paraId="2F55D562"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tcBorders>
              <w:top w:val="nil"/>
              <w:left w:val="nil"/>
              <w:bottom w:val="nil"/>
              <w:right w:val="nil"/>
            </w:tcBorders>
            <w:shd w:val="clear" w:color="auto" w:fill="auto"/>
            <w:noWrap/>
            <w:vAlign w:val="center"/>
            <w:hideMark/>
          </w:tcPr>
          <w:p w14:paraId="0AE7EF21"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53" w:type="dxa"/>
            <w:gridSpan w:val="2"/>
            <w:tcBorders>
              <w:top w:val="nil"/>
              <w:left w:val="nil"/>
              <w:bottom w:val="nil"/>
              <w:right w:val="nil"/>
            </w:tcBorders>
            <w:shd w:val="clear" w:color="000000" w:fill="C9E3B4"/>
            <w:noWrap/>
            <w:vAlign w:val="center"/>
            <w:hideMark/>
          </w:tcPr>
          <w:p w14:paraId="7ECD6AA3"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2980E6C4"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5121AC84"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13E43074"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1" w:type="dxa"/>
            <w:gridSpan w:val="2"/>
            <w:tcBorders>
              <w:top w:val="nil"/>
              <w:left w:val="nil"/>
              <w:bottom w:val="nil"/>
              <w:right w:val="nil"/>
            </w:tcBorders>
            <w:shd w:val="clear" w:color="000000" w:fill="C9E3B4"/>
            <w:noWrap/>
            <w:vAlign w:val="center"/>
            <w:hideMark/>
          </w:tcPr>
          <w:p w14:paraId="34238638"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497" w:type="dxa"/>
            <w:gridSpan w:val="2"/>
            <w:tcBorders>
              <w:top w:val="nil"/>
              <w:left w:val="nil"/>
              <w:bottom w:val="nil"/>
              <w:right w:val="nil"/>
            </w:tcBorders>
            <w:shd w:val="clear" w:color="auto" w:fill="auto"/>
            <w:noWrap/>
            <w:vAlign w:val="center"/>
            <w:hideMark/>
          </w:tcPr>
          <w:p w14:paraId="51E0CF09"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7" w:type="dxa"/>
            <w:gridSpan w:val="2"/>
            <w:tcBorders>
              <w:top w:val="nil"/>
              <w:left w:val="nil"/>
              <w:bottom w:val="nil"/>
              <w:right w:val="nil"/>
            </w:tcBorders>
            <w:shd w:val="clear" w:color="000000" w:fill="C9E3B4"/>
            <w:noWrap/>
            <w:vAlign w:val="center"/>
            <w:hideMark/>
          </w:tcPr>
          <w:p w14:paraId="38736B0E"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w:t>
            </w:r>
          </w:p>
        </w:tc>
      </w:tr>
      <w:tr w:rsidR="00490837" w:rsidRPr="00C1721E" w14:paraId="7ED12657" w14:textId="77777777" w:rsidTr="00490837">
        <w:trPr>
          <w:gridAfter w:val="3"/>
          <w:wAfter w:w="1675" w:type="dxa"/>
          <w:trHeight w:val="254"/>
        </w:trPr>
        <w:tc>
          <w:tcPr>
            <w:tcW w:w="254" w:type="dxa"/>
            <w:gridSpan w:val="2"/>
            <w:tcBorders>
              <w:top w:val="nil"/>
              <w:left w:val="nil"/>
              <w:bottom w:val="single" w:sz="8" w:space="0" w:color="auto"/>
              <w:right w:val="nil"/>
            </w:tcBorders>
            <w:shd w:val="clear" w:color="auto" w:fill="auto"/>
            <w:noWrap/>
            <w:vAlign w:val="center"/>
            <w:hideMark/>
          </w:tcPr>
          <w:p w14:paraId="03DDB1A5" w14:textId="77777777" w:rsidR="00C1721E" w:rsidRPr="00C1721E" w:rsidRDefault="00C1721E" w:rsidP="00C1721E">
            <w:pPr>
              <w:spacing w:before="0" w:line="240" w:lineRule="auto"/>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1826" w:type="dxa"/>
            <w:tcBorders>
              <w:top w:val="nil"/>
              <w:left w:val="nil"/>
              <w:bottom w:val="nil"/>
              <w:right w:val="nil"/>
            </w:tcBorders>
            <w:shd w:val="clear" w:color="auto" w:fill="auto"/>
            <w:noWrap/>
            <w:vAlign w:val="center"/>
            <w:hideMark/>
          </w:tcPr>
          <w:p w14:paraId="6AF4C787" w14:textId="77777777" w:rsidR="00C1721E" w:rsidRPr="00C1721E" w:rsidRDefault="00C1721E" w:rsidP="00C1721E">
            <w:pPr>
              <w:spacing w:before="0" w:line="240" w:lineRule="auto"/>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Gains on disposal of assets</w:t>
            </w:r>
          </w:p>
        </w:tc>
        <w:tc>
          <w:tcPr>
            <w:tcW w:w="822" w:type="dxa"/>
            <w:gridSpan w:val="2"/>
            <w:tcBorders>
              <w:top w:val="nil"/>
              <w:left w:val="nil"/>
              <w:bottom w:val="nil"/>
              <w:right w:val="nil"/>
            </w:tcBorders>
            <w:shd w:val="clear" w:color="000000" w:fill="C9E3B4"/>
            <w:noWrap/>
            <w:vAlign w:val="center"/>
            <w:hideMark/>
          </w:tcPr>
          <w:p w14:paraId="4B9775E9"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571</w:t>
            </w:r>
          </w:p>
        </w:tc>
        <w:tc>
          <w:tcPr>
            <w:tcW w:w="371" w:type="dxa"/>
            <w:tcBorders>
              <w:top w:val="nil"/>
              <w:left w:val="nil"/>
              <w:bottom w:val="single" w:sz="8" w:space="0" w:color="auto"/>
              <w:right w:val="nil"/>
            </w:tcBorders>
            <w:shd w:val="clear" w:color="auto" w:fill="auto"/>
            <w:noWrap/>
            <w:vAlign w:val="center"/>
            <w:hideMark/>
          </w:tcPr>
          <w:p w14:paraId="0C934CD4"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835" w:type="dxa"/>
            <w:gridSpan w:val="2"/>
            <w:tcBorders>
              <w:top w:val="nil"/>
              <w:left w:val="nil"/>
              <w:bottom w:val="nil"/>
              <w:right w:val="nil"/>
            </w:tcBorders>
            <w:shd w:val="clear" w:color="000000" w:fill="C9E3B4"/>
            <w:noWrap/>
            <w:vAlign w:val="center"/>
            <w:hideMark/>
          </w:tcPr>
          <w:p w14:paraId="09F72B0C"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xml:space="preserve">- </w:t>
            </w:r>
          </w:p>
        </w:tc>
        <w:tc>
          <w:tcPr>
            <w:tcW w:w="372" w:type="dxa"/>
            <w:gridSpan w:val="2"/>
            <w:tcBorders>
              <w:top w:val="nil"/>
              <w:left w:val="nil"/>
              <w:bottom w:val="single" w:sz="8" w:space="0" w:color="auto"/>
              <w:right w:val="nil"/>
            </w:tcBorders>
            <w:shd w:val="clear" w:color="auto" w:fill="auto"/>
            <w:noWrap/>
            <w:vAlign w:val="center"/>
            <w:hideMark/>
          </w:tcPr>
          <w:p w14:paraId="6A3B3084"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662" w:type="dxa"/>
            <w:gridSpan w:val="2"/>
            <w:tcBorders>
              <w:top w:val="nil"/>
              <w:left w:val="nil"/>
              <w:bottom w:val="nil"/>
              <w:right w:val="nil"/>
            </w:tcBorders>
            <w:shd w:val="clear" w:color="000000" w:fill="C9E3B4"/>
            <w:noWrap/>
            <w:vAlign w:val="center"/>
            <w:hideMark/>
          </w:tcPr>
          <w:p w14:paraId="7BC12AE4"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116</w:t>
            </w:r>
          </w:p>
        </w:tc>
        <w:tc>
          <w:tcPr>
            <w:tcW w:w="372" w:type="dxa"/>
            <w:gridSpan w:val="2"/>
            <w:tcBorders>
              <w:top w:val="nil"/>
              <w:left w:val="nil"/>
              <w:bottom w:val="single" w:sz="8" w:space="0" w:color="auto"/>
              <w:right w:val="nil"/>
            </w:tcBorders>
            <w:shd w:val="clear" w:color="auto" w:fill="auto"/>
            <w:noWrap/>
            <w:vAlign w:val="center"/>
            <w:hideMark/>
          </w:tcPr>
          <w:p w14:paraId="3C975F18"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696" w:type="dxa"/>
            <w:gridSpan w:val="2"/>
            <w:tcBorders>
              <w:top w:val="nil"/>
              <w:left w:val="nil"/>
              <w:bottom w:val="nil"/>
              <w:right w:val="nil"/>
            </w:tcBorders>
            <w:shd w:val="clear" w:color="000000" w:fill="C9E3B4"/>
            <w:noWrap/>
            <w:vAlign w:val="center"/>
            <w:hideMark/>
          </w:tcPr>
          <w:p w14:paraId="1627F5B6"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217</w:t>
            </w:r>
          </w:p>
        </w:tc>
        <w:tc>
          <w:tcPr>
            <w:tcW w:w="372" w:type="dxa"/>
            <w:tcBorders>
              <w:top w:val="nil"/>
              <w:left w:val="nil"/>
              <w:bottom w:val="single" w:sz="8" w:space="0" w:color="auto"/>
              <w:right w:val="nil"/>
            </w:tcBorders>
            <w:shd w:val="clear" w:color="auto" w:fill="auto"/>
            <w:noWrap/>
            <w:vAlign w:val="center"/>
            <w:hideMark/>
          </w:tcPr>
          <w:p w14:paraId="160A005E"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653" w:type="dxa"/>
            <w:gridSpan w:val="2"/>
            <w:tcBorders>
              <w:top w:val="nil"/>
              <w:left w:val="nil"/>
              <w:bottom w:val="nil"/>
              <w:right w:val="nil"/>
            </w:tcBorders>
            <w:shd w:val="clear" w:color="000000" w:fill="C9E3B4"/>
            <w:noWrap/>
            <w:vAlign w:val="center"/>
            <w:hideMark/>
          </w:tcPr>
          <w:p w14:paraId="18BCC0EF"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xml:space="preserve">- </w:t>
            </w:r>
          </w:p>
        </w:tc>
        <w:tc>
          <w:tcPr>
            <w:tcW w:w="372" w:type="dxa"/>
            <w:gridSpan w:val="2"/>
            <w:tcBorders>
              <w:top w:val="nil"/>
              <w:left w:val="nil"/>
              <w:bottom w:val="single" w:sz="8" w:space="0" w:color="auto"/>
              <w:right w:val="nil"/>
            </w:tcBorders>
            <w:shd w:val="clear" w:color="auto" w:fill="auto"/>
            <w:noWrap/>
            <w:vAlign w:val="center"/>
            <w:hideMark/>
          </w:tcPr>
          <w:p w14:paraId="1C425FCD"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835" w:type="dxa"/>
            <w:gridSpan w:val="2"/>
            <w:tcBorders>
              <w:top w:val="nil"/>
              <w:left w:val="nil"/>
              <w:bottom w:val="nil"/>
              <w:right w:val="nil"/>
            </w:tcBorders>
            <w:shd w:val="clear" w:color="000000" w:fill="C9E3B4"/>
            <w:noWrap/>
            <w:vAlign w:val="center"/>
            <w:hideMark/>
          </w:tcPr>
          <w:p w14:paraId="3962002F"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2,223</w:t>
            </w:r>
          </w:p>
        </w:tc>
        <w:tc>
          <w:tcPr>
            <w:tcW w:w="372" w:type="dxa"/>
            <w:gridSpan w:val="2"/>
            <w:tcBorders>
              <w:top w:val="nil"/>
              <w:left w:val="nil"/>
              <w:bottom w:val="single" w:sz="8" w:space="0" w:color="auto"/>
              <w:right w:val="nil"/>
            </w:tcBorders>
            <w:shd w:val="clear" w:color="auto" w:fill="auto"/>
            <w:noWrap/>
            <w:vAlign w:val="center"/>
            <w:hideMark/>
          </w:tcPr>
          <w:p w14:paraId="7FADD433"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831" w:type="dxa"/>
            <w:gridSpan w:val="2"/>
            <w:tcBorders>
              <w:top w:val="nil"/>
              <w:left w:val="nil"/>
              <w:bottom w:val="nil"/>
              <w:right w:val="nil"/>
            </w:tcBorders>
            <w:shd w:val="clear" w:color="000000" w:fill="C9E3B4"/>
            <w:noWrap/>
            <w:vAlign w:val="center"/>
            <w:hideMark/>
          </w:tcPr>
          <w:p w14:paraId="4AB2B385"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xml:space="preserve">- </w:t>
            </w:r>
          </w:p>
        </w:tc>
        <w:tc>
          <w:tcPr>
            <w:tcW w:w="497" w:type="dxa"/>
            <w:gridSpan w:val="2"/>
            <w:tcBorders>
              <w:top w:val="nil"/>
              <w:left w:val="nil"/>
              <w:bottom w:val="single" w:sz="8" w:space="0" w:color="auto"/>
              <w:right w:val="nil"/>
            </w:tcBorders>
            <w:shd w:val="clear" w:color="auto" w:fill="auto"/>
            <w:noWrap/>
            <w:vAlign w:val="center"/>
            <w:hideMark/>
          </w:tcPr>
          <w:p w14:paraId="449DCD0F"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697" w:type="dxa"/>
            <w:gridSpan w:val="2"/>
            <w:tcBorders>
              <w:top w:val="nil"/>
              <w:left w:val="nil"/>
              <w:bottom w:val="nil"/>
              <w:right w:val="nil"/>
            </w:tcBorders>
            <w:shd w:val="clear" w:color="000000" w:fill="C9E3B4"/>
            <w:noWrap/>
            <w:vAlign w:val="center"/>
            <w:hideMark/>
          </w:tcPr>
          <w:p w14:paraId="74D086D2"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3,127</w:t>
            </w:r>
          </w:p>
        </w:tc>
      </w:tr>
      <w:tr w:rsidR="00490837" w:rsidRPr="00C1721E" w14:paraId="3B384048" w14:textId="77777777" w:rsidTr="00490837">
        <w:trPr>
          <w:gridAfter w:val="3"/>
          <w:wAfter w:w="1675" w:type="dxa"/>
          <w:trHeight w:hRule="exact" w:val="356"/>
        </w:trPr>
        <w:tc>
          <w:tcPr>
            <w:tcW w:w="254" w:type="dxa"/>
            <w:gridSpan w:val="2"/>
            <w:tcBorders>
              <w:top w:val="nil"/>
              <w:left w:val="nil"/>
              <w:bottom w:val="nil"/>
              <w:right w:val="nil"/>
            </w:tcBorders>
            <w:shd w:val="clear" w:color="auto" w:fill="auto"/>
            <w:noWrap/>
            <w:vAlign w:val="center"/>
            <w:hideMark/>
          </w:tcPr>
          <w:p w14:paraId="38B8C1C8"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1826" w:type="dxa"/>
            <w:tcBorders>
              <w:top w:val="single" w:sz="8" w:space="0" w:color="auto"/>
              <w:left w:val="nil"/>
              <w:bottom w:val="nil"/>
              <w:right w:val="nil"/>
            </w:tcBorders>
            <w:shd w:val="clear" w:color="auto" w:fill="auto"/>
            <w:vAlign w:val="center"/>
            <w:hideMark/>
          </w:tcPr>
          <w:p w14:paraId="22EED7F8" w14:textId="77777777" w:rsidR="00C1721E" w:rsidRPr="00C1721E" w:rsidRDefault="00C1721E" w:rsidP="00C1721E">
            <w:pPr>
              <w:spacing w:before="0" w:line="240" w:lineRule="auto"/>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Total income</w:t>
            </w:r>
          </w:p>
        </w:tc>
        <w:tc>
          <w:tcPr>
            <w:tcW w:w="822" w:type="dxa"/>
            <w:gridSpan w:val="2"/>
            <w:tcBorders>
              <w:top w:val="single" w:sz="8" w:space="0" w:color="auto"/>
              <w:left w:val="nil"/>
              <w:bottom w:val="nil"/>
              <w:right w:val="nil"/>
            </w:tcBorders>
            <w:shd w:val="clear" w:color="000000" w:fill="C9E3B4"/>
            <w:noWrap/>
            <w:vAlign w:val="center"/>
            <w:hideMark/>
          </w:tcPr>
          <w:p w14:paraId="3FE0156B"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143,084</w:t>
            </w:r>
          </w:p>
        </w:tc>
        <w:tc>
          <w:tcPr>
            <w:tcW w:w="371" w:type="dxa"/>
            <w:tcBorders>
              <w:top w:val="nil"/>
              <w:left w:val="nil"/>
              <w:bottom w:val="nil"/>
              <w:right w:val="nil"/>
            </w:tcBorders>
            <w:shd w:val="clear" w:color="auto" w:fill="auto"/>
            <w:noWrap/>
            <w:vAlign w:val="center"/>
            <w:hideMark/>
          </w:tcPr>
          <w:p w14:paraId="12A278EC"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835" w:type="dxa"/>
            <w:gridSpan w:val="2"/>
            <w:tcBorders>
              <w:top w:val="single" w:sz="8" w:space="0" w:color="auto"/>
              <w:left w:val="nil"/>
              <w:bottom w:val="nil"/>
              <w:right w:val="nil"/>
            </w:tcBorders>
            <w:shd w:val="clear" w:color="000000" w:fill="C9E3B4"/>
            <w:noWrap/>
            <w:vAlign w:val="center"/>
            <w:hideMark/>
          </w:tcPr>
          <w:p w14:paraId="7E05C169"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3,022,130</w:t>
            </w:r>
          </w:p>
        </w:tc>
        <w:tc>
          <w:tcPr>
            <w:tcW w:w="372" w:type="dxa"/>
            <w:gridSpan w:val="2"/>
            <w:tcBorders>
              <w:top w:val="nil"/>
              <w:left w:val="nil"/>
              <w:bottom w:val="nil"/>
              <w:right w:val="nil"/>
            </w:tcBorders>
            <w:shd w:val="clear" w:color="auto" w:fill="auto"/>
            <w:noWrap/>
            <w:vAlign w:val="center"/>
            <w:hideMark/>
          </w:tcPr>
          <w:p w14:paraId="3DD9C484"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662" w:type="dxa"/>
            <w:gridSpan w:val="2"/>
            <w:tcBorders>
              <w:top w:val="single" w:sz="8" w:space="0" w:color="auto"/>
              <w:left w:val="nil"/>
              <w:bottom w:val="nil"/>
              <w:right w:val="nil"/>
            </w:tcBorders>
            <w:shd w:val="clear" w:color="000000" w:fill="C9E3B4"/>
            <w:noWrap/>
            <w:vAlign w:val="center"/>
            <w:hideMark/>
          </w:tcPr>
          <w:p w14:paraId="6654E108"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314,072</w:t>
            </w:r>
          </w:p>
        </w:tc>
        <w:tc>
          <w:tcPr>
            <w:tcW w:w="372" w:type="dxa"/>
            <w:gridSpan w:val="2"/>
            <w:tcBorders>
              <w:top w:val="nil"/>
              <w:left w:val="nil"/>
              <w:bottom w:val="nil"/>
              <w:right w:val="nil"/>
            </w:tcBorders>
            <w:shd w:val="clear" w:color="auto" w:fill="auto"/>
            <w:noWrap/>
            <w:vAlign w:val="center"/>
            <w:hideMark/>
          </w:tcPr>
          <w:p w14:paraId="6149CB04"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696" w:type="dxa"/>
            <w:gridSpan w:val="2"/>
            <w:tcBorders>
              <w:top w:val="single" w:sz="8" w:space="0" w:color="auto"/>
              <w:left w:val="nil"/>
              <w:bottom w:val="nil"/>
              <w:right w:val="nil"/>
            </w:tcBorders>
            <w:shd w:val="clear" w:color="000000" w:fill="C9E3B4"/>
            <w:noWrap/>
            <w:vAlign w:val="center"/>
            <w:hideMark/>
          </w:tcPr>
          <w:p w14:paraId="66FE53DC"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350,526</w:t>
            </w:r>
          </w:p>
        </w:tc>
        <w:tc>
          <w:tcPr>
            <w:tcW w:w="372" w:type="dxa"/>
            <w:tcBorders>
              <w:top w:val="nil"/>
              <w:left w:val="nil"/>
              <w:bottom w:val="nil"/>
              <w:right w:val="nil"/>
            </w:tcBorders>
            <w:shd w:val="clear" w:color="auto" w:fill="auto"/>
            <w:noWrap/>
            <w:vAlign w:val="center"/>
            <w:hideMark/>
          </w:tcPr>
          <w:p w14:paraId="45E3FEFB"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653" w:type="dxa"/>
            <w:gridSpan w:val="2"/>
            <w:tcBorders>
              <w:top w:val="single" w:sz="8" w:space="0" w:color="auto"/>
              <w:left w:val="nil"/>
              <w:bottom w:val="nil"/>
              <w:right w:val="nil"/>
            </w:tcBorders>
            <w:shd w:val="clear" w:color="000000" w:fill="C9E3B4"/>
            <w:noWrap/>
            <w:vAlign w:val="center"/>
            <w:hideMark/>
          </w:tcPr>
          <w:p w14:paraId="56B9B7C7"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3,326,963</w:t>
            </w:r>
          </w:p>
        </w:tc>
        <w:tc>
          <w:tcPr>
            <w:tcW w:w="372" w:type="dxa"/>
            <w:gridSpan w:val="2"/>
            <w:tcBorders>
              <w:top w:val="nil"/>
              <w:left w:val="nil"/>
              <w:bottom w:val="nil"/>
              <w:right w:val="nil"/>
            </w:tcBorders>
            <w:shd w:val="clear" w:color="auto" w:fill="auto"/>
            <w:noWrap/>
            <w:vAlign w:val="center"/>
            <w:hideMark/>
          </w:tcPr>
          <w:p w14:paraId="2DCC29E8"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835" w:type="dxa"/>
            <w:gridSpan w:val="2"/>
            <w:tcBorders>
              <w:top w:val="single" w:sz="8" w:space="0" w:color="auto"/>
              <w:left w:val="nil"/>
              <w:bottom w:val="nil"/>
              <w:right w:val="nil"/>
            </w:tcBorders>
            <w:shd w:val="clear" w:color="000000" w:fill="C9E3B4"/>
            <w:noWrap/>
            <w:vAlign w:val="center"/>
            <w:hideMark/>
          </w:tcPr>
          <w:p w14:paraId="0C70703E"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837,181</w:t>
            </w:r>
          </w:p>
        </w:tc>
        <w:tc>
          <w:tcPr>
            <w:tcW w:w="372" w:type="dxa"/>
            <w:gridSpan w:val="2"/>
            <w:tcBorders>
              <w:top w:val="nil"/>
              <w:left w:val="nil"/>
              <w:bottom w:val="nil"/>
              <w:right w:val="nil"/>
            </w:tcBorders>
            <w:shd w:val="clear" w:color="auto" w:fill="auto"/>
            <w:noWrap/>
            <w:vAlign w:val="center"/>
            <w:hideMark/>
          </w:tcPr>
          <w:p w14:paraId="508EAE86"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831" w:type="dxa"/>
            <w:gridSpan w:val="2"/>
            <w:tcBorders>
              <w:top w:val="single" w:sz="8" w:space="0" w:color="auto"/>
              <w:left w:val="nil"/>
              <w:bottom w:val="nil"/>
              <w:right w:val="nil"/>
            </w:tcBorders>
            <w:shd w:val="clear" w:color="000000" w:fill="C9E3B4"/>
            <w:noWrap/>
            <w:vAlign w:val="center"/>
            <w:hideMark/>
          </w:tcPr>
          <w:p w14:paraId="0CCA26C5"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-860,626</w:t>
            </w:r>
          </w:p>
        </w:tc>
        <w:tc>
          <w:tcPr>
            <w:tcW w:w="497" w:type="dxa"/>
            <w:gridSpan w:val="2"/>
            <w:tcBorders>
              <w:top w:val="nil"/>
              <w:left w:val="nil"/>
              <w:bottom w:val="nil"/>
              <w:right w:val="nil"/>
            </w:tcBorders>
            <w:shd w:val="clear" w:color="auto" w:fill="auto"/>
            <w:noWrap/>
            <w:vAlign w:val="center"/>
            <w:hideMark/>
          </w:tcPr>
          <w:p w14:paraId="423E101C"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697" w:type="dxa"/>
            <w:gridSpan w:val="2"/>
            <w:tcBorders>
              <w:top w:val="single" w:sz="8" w:space="0" w:color="auto"/>
              <w:left w:val="nil"/>
              <w:bottom w:val="nil"/>
              <w:right w:val="nil"/>
            </w:tcBorders>
            <w:shd w:val="clear" w:color="000000" w:fill="C9E3B4"/>
            <w:noWrap/>
            <w:vAlign w:val="center"/>
            <w:hideMark/>
          </w:tcPr>
          <w:p w14:paraId="61FCD305"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7,133,330</w:t>
            </w:r>
          </w:p>
        </w:tc>
      </w:tr>
      <w:tr w:rsidR="00490837" w:rsidRPr="00C1721E" w14:paraId="73CF9436" w14:textId="77777777" w:rsidTr="00490837">
        <w:trPr>
          <w:gridAfter w:val="3"/>
          <w:wAfter w:w="1675" w:type="dxa"/>
          <w:trHeight w:val="246"/>
        </w:trPr>
        <w:tc>
          <w:tcPr>
            <w:tcW w:w="254" w:type="dxa"/>
            <w:gridSpan w:val="2"/>
            <w:tcBorders>
              <w:top w:val="nil"/>
              <w:left w:val="nil"/>
              <w:bottom w:val="nil"/>
              <w:right w:val="nil"/>
            </w:tcBorders>
            <w:shd w:val="clear" w:color="auto" w:fill="auto"/>
            <w:noWrap/>
            <w:vAlign w:val="center"/>
            <w:hideMark/>
          </w:tcPr>
          <w:p w14:paraId="7806DF59"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1826" w:type="dxa"/>
            <w:tcBorders>
              <w:top w:val="nil"/>
              <w:left w:val="nil"/>
              <w:bottom w:val="nil"/>
              <w:right w:val="nil"/>
            </w:tcBorders>
            <w:shd w:val="clear" w:color="auto" w:fill="auto"/>
            <w:vAlign w:val="center"/>
            <w:hideMark/>
          </w:tcPr>
          <w:p w14:paraId="3AB34754"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822" w:type="dxa"/>
            <w:gridSpan w:val="2"/>
            <w:tcBorders>
              <w:top w:val="nil"/>
              <w:left w:val="nil"/>
              <w:bottom w:val="nil"/>
              <w:right w:val="nil"/>
            </w:tcBorders>
            <w:shd w:val="clear" w:color="000000" w:fill="C9E3B4"/>
            <w:noWrap/>
            <w:vAlign w:val="center"/>
            <w:hideMark/>
          </w:tcPr>
          <w:p w14:paraId="0AC42DDF"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1" w:type="dxa"/>
            <w:tcBorders>
              <w:top w:val="nil"/>
              <w:left w:val="nil"/>
              <w:bottom w:val="nil"/>
              <w:right w:val="nil"/>
            </w:tcBorders>
            <w:shd w:val="clear" w:color="auto" w:fill="auto"/>
            <w:noWrap/>
            <w:vAlign w:val="center"/>
            <w:hideMark/>
          </w:tcPr>
          <w:p w14:paraId="23207B03"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301BE201"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38BA17E1"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62" w:type="dxa"/>
            <w:gridSpan w:val="2"/>
            <w:tcBorders>
              <w:top w:val="nil"/>
              <w:left w:val="nil"/>
              <w:bottom w:val="nil"/>
              <w:right w:val="nil"/>
            </w:tcBorders>
            <w:shd w:val="clear" w:color="000000" w:fill="C9E3B4"/>
            <w:noWrap/>
            <w:vAlign w:val="center"/>
            <w:hideMark/>
          </w:tcPr>
          <w:p w14:paraId="5632F292"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7B90B117"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6" w:type="dxa"/>
            <w:gridSpan w:val="2"/>
            <w:tcBorders>
              <w:top w:val="nil"/>
              <w:left w:val="nil"/>
              <w:bottom w:val="nil"/>
              <w:right w:val="nil"/>
            </w:tcBorders>
            <w:shd w:val="clear" w:color="000000" w:fill="C9E3B4"/>
            <w:noWrap/>
            <w:vAlign w:val="center"/>
            <w:hideMark/>
          </w:tcPr>
          <w:p w14:paraId="78E6A854"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tcBorders>
              <w:top w:val="nil"/>
              <w:left w:val="nil"/>
              <w:bottom w:val="nil"/>
              <w:right w:val="nil"/>
            </w:tcBorders>
            <w:shd w:val="clear" w:color="auto" w:fill="auto"/>
            <w:noWrap/>
            <w:vAlign w:val="center"/>
            <w:hideMark/>
          </w:tcPr>
          <w:p w14:paraId="43D48AC9"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53" w:type="dxa"/>
            <w:gridSpan w:val="2"/>
            <w:tcBorders>
              <w:top w:val="nil"/>
              <w:left w:val="nil"/>
              <w:bottom w:val="nil"/>
              <w:right w:val="nil"/>
            </w:tcBorders>
            <w:shd w:val="clear" w:color="000000" w:fill="C9E3B4"/>
            <w:noWrap/>
            <w:vAlign w:val="center"/>
            <w:hideMark/>
          </w:tcPr>
          <w:p w14:paraId="4BDD2CFE"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7F13DC4B"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37F72926"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1FF2730B"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1" w:type="dxa"/>
            <w:gridSpan w:val="2"/>
            <w:tcBorders>
              <w:top w:val="nil"/>
              <w:left w:val="nil"/>
              <w:bottom w:val="nil"/>
              <w:right w:val="nil"/>
            </w:tcBorders>
            <w:shd w:val="clear" w:color="000000" w:fill="C9E3B4"/>
            <w:noWrap/>
            <w:vAlign w:val="center"/>
            <w:hideMark/>
          </w:tcPr>
          <w:p w14:paraId="3334377A"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497" w:type="dxa"/>
            <w:gridSpan w:val="2"/>
            <w:tcBorders>
              <w:top w:val="nil"/>
              <w:left w:val="nil"/>
              <w:bottom w:val="nil"/>
              <w:right w:val="nil"/>
            </w:tcBorders>
            <w:shd w:val="clear" w:color="auto" w:fill="auto"/>
            <w:noWrap/>
            <w:vAlign w:val="center"/>
            <w:hideMark/>
          </w:tcPr>
          <w:p w14:paraId="75410BEC"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7" w:type="dxa"/>
            <w:gridSpan w:val="2"/>
            <w:tcBorders>
              <w:top w:val="nil"/>
              <w:left w:val="nil"/>
              <w:bottom w:val="nil"/>
              <w:right w:val="nil"/>
            </w:tcBorders>
            <w:shd w:val="clear" w:color="000000" w:fill="C9E3B4"/>
            <w:noWrap/>
            <w:vAlign w:val="center"/>
            <w:hideMark/>
          </w:tcPr>
          <w:p w14:paraId="5B735D4F"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w:t>
            </w:r>
          </w:p>
        </w:tc>
      </w:tr>
      <w:tr w:rsidR="00490837" w:rsidRPr="00C1721E" w14:paraId="005634CF" w14:textId="77777777" w:rsidTr="00490837">
        <w:trPr>
          <w:gridAfter w:val="3"/>
          <w:wAfter w:w="1675" w:type="dxa"/>
          <w:trHeight w:hRule="exact" w:val="246"/>
        </w:trPr>
        <w:tc>
          <w:tcPr>
            <w:tcW w:w="2080" w:type="dxa"/>
            <w:gridSpan w:val="3"/>
            <w:tcBorders>
              <w:top w:val="nil"/>
              <w:left w:val="nil"/>
              <w:bottom w:val="nil"/>
              <w:right w:val="nil"/>
            </w:tcBorders>
            <w:shd w:val="clear" w:color="auto" w:fill="auto"/>
            <w:noWrap/>
            <w:vAlign w:val="center"/>
            <w:hideMark/>
          </w:tcPr>
          <w:p w14:paraId="7D75C6C3" w14:textId="77777777" w:rsidR="00C1721E" w:rsidRPr="00C1721E" w:rsidRDefault="00C1721E" w:rsidP="00C1721E">
            <w:pPr>
              <w:spacing w:before="0" w:line="240" w:lineRule="auto"/>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Expenses</w:t>
            </w:r>
          </w:p>
        </w:tc>
        <w:tc>
          <w:tcPr>
            <w:tcW w:w="822" w:type="dxa"/>
            <w:gridSpan w:val="2"/>
            <w:tcBorders>
              <w:top w:val="nil"/>
              <w:left w:val="nil"/>
              <w:bottom w:val="nil"/>
              <w:right w:val="nil"/>
            </w:tcBorders>
            <w:shd w:val="clear" w:color="000000" w:fill="C9E3B4"/>
            <w:noWrap/>
            <w:vAlign w:val="center"/>
            <w:hideMark/>
          </w:tcPr>
          <w:p w14:paraId="2A571D74"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1" w:type="dxa"/>
            <w:tcBorders>
              <w:top w:val="nil"/>
              <w:left w:val="nil"/>
              <w:bottom w:val="nil"/>
              <w:right w:val="nil"/>
            </w:tcBorders>
            <w:shd w:val="clear" w:color="auto" w:fill="auto"/>
            <w:noWrap/>
            <w:vAlign w:val="center"/>
            <w:hideMark/>
          </w:tcPr>
          <w:p w14:paraId="6B11B34B"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21184161"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3A90E6E7"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62" w:type="dxa"/>
            <w:gridSpan w:val="2"/>
            <w:tcBorders>
              <w:top w:val="nil"/>
              <w:left w:val="nil"/>
              <w:bottom w:val="nil"/>
              <w:right w:val="nil"/>
            </w:tcBorders>
            <w:shd w:val="clear" w:color="000000" w:fill="C9E3B4"/>
            <w:noWrap/>
            <w:vAlign w:val="center"/>
            <w:hideMark/>
          </w:tcPr>
          <w:p w14:paraId="63F6FC64"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153D6551"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6" w:type="dxa"/>
            <w:gridSpan w:val="2"/>
            <w:tcBorders>
              <w:top w:val="nil"/>
              <w:left w:val="nil"/>
              <w:bottom w:val="nil"/>
              <w:right w:val="nil"/>
            </w:tcBorders>
            <w:shd w:val="clear" w:color="000000" w:fill="C9E3B4"/>
            <w:noWrap/>
            <w:vAlign w:val="center"/>
            <w:hideMark/>
          </w:tcPr>
          <w:p w14:paraId="6F6497DC"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tcBorders>
              <w:top w:val="nil"/>
              <w:left w:val="nil"/>
              <w:bottom w:val="nil"/>
              <w:right w:val="nil"/>
            </w:tcBorders>
            <w:shd w:val="clear" w:color="auto" w:fill="auto"/>
            <w:noWrap/>
            <w:vAlign w:val="center"/>
            <w:hideMark/>
          </w:tcPr>
          <w:p w14:paraId="0122BF0C"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53" w:type="dxa"/>
            <w:gridSpan w:val="2"/>
            <w:tcBorders>
              <w:top w:val="nil"/>
              <w:left w:val="nil"/>
              <w:bottom w:val="nil"/>
              <w:right w:val="nil"/>
            </w:tcBorders>
            <w:shd w:val="clear" w:color="000000" w:fill="C9E3B4"/>
            <w:noWrap/>
            <w:vAlign w:val="center"/>
            <w:hideMark/>
          </w:tcPr>
          <w:p w14:paraId="2D07E708"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2336F62D"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0E8EDA47"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1958A149"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1" w:type="dxa"/>
            <w:gridSpan w:val="2"/>
            <w:tcBorders>
              <w:top w:val="nil"/>
              <w:left w:val="nil"/>
              <w:bottom w:val="nil"/>
              <w:right w:val="nil"/>
            </w:tcBorders>
            <w:shd w:val="clear" w:color="000000" w:fill="C9E3B4"/>
            <w:noWrap/>
            <w:vAlign w:val="center"/>
            <w:hideMark/>
          </w:tcPr>
          <w:p w14:paraId="78303449"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497" w:type="dxa"/>
            <w:gridSpan w:val="2"/>
            <w:tcBorders>
              <w:top w:val="nil"/>
              <w:left w:val="nil"/>
              <w:bottom w:val="nil"/>
              <w:right w:val="nil"/>
            </w:tcBorders>
            <w:shd w:val="clear" w:color="auto" w:fill="auto"/>
            <w:noWrap/>
            <w:vAlign w:val="center"/>
            <w:hideMark/>
          </w:tcPr>
          <w:p w14:paraId="6C52D701"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7" w:type="dxa"/>
            <w:gridSpan w:val="2"/>
            <w:tcBorders>
              <w:top w:val="nil"/>
              <w:left w:val="nil"/>
              <w:bottom w:val="nil"/>
              <w:right w:val="nil"/>
            </w:tcBorders>
            <w:shd w:val="clear" w:color="000000" w:fill="C9E3B4"/>
            <w:noWrap/>
            <w:vAlign w:val="center"/>
            <w:hideMark/>
          </w:tcPr>
          <w:p w14:paraId="410F3AF9"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w:t>
            </w:r>
          </w:p>
        </w:tc>
      </w:tr>
      <w:tr w:rsidR="00490837" w:rsidRPr="00C1721E" w14:paraId="200A2B0C" w14:textId="77777777" w:rsidTr="00490837">
        <w:trPr>
          <w:gridAfter w:val="3"/>
          <w:wAfter w:w="1675" w:type="dxa"/>
          <w:trHeight w:val="246"/>
        </w:trPr>
        <w:tc>
          <w:tcPr>
            <w:tcW w:w="254" w:type="dxa"/>
            <w:gridSpan w:val="2"/>
            <w:tcBorders>
              <w:top w:val="nil"/>
              <w:left w:val="nil"/>
              <w:bottom w:val="nil"/>
              <w:right w:val="nil"/>
            </w:tcBorders>
            <w:shd w:val="clear" w:color="auto" w:fill="auto"/>
            <w:noWrap/>
            <w:vAlign w:val="center"/>
            <w:hideMark/>
          </w:tcPr>
          <w:p w14:paraId="06348E38"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1826" w:type="dxa"/>
            <w:tcBorders>
              <w:top w:val="nil"/>
              <w:left w:val="nil"/>
              <w:bottom w:val="nil"/>
              <w:right w:val="nil"/>
            </w:tcBorders>
            <w:shd w:val="clear" w:color="auto" w:fill="auto"/>
            <w:noWrap/>
            <w:vAlign w:val="center"/>
            <w:hideMark/>
          </w:tcPr>
          <w:p w14:paraId="2940A37C" w14:textId="77777777" w:rsidR="00C1721E" w:rsidRPr="00C1721E" w:rsidRDefault="00C1721E" w:rsidP="00C1721E">
            <w:pPr>
              <w:spacing w:before="0" w:line="240" w:lineRule="auto"/>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Employee expenses</w:t>
            </w:r>
          </w:p>
        </w:tc>
        <w:tc>
          <w:tcPr>
            <w:tcW w:w="822" w:type="dxa"/>
            <w:gridSpan w:val="2"/>
            <w:tcBorders>
              <w:top w:val="nil"/>
              <w:left w:val="nil"/>
              <w:bottom w:val="nil"/>
              <w:right w:val="nil"/>
            </w:tcBorders>
            <w:shd w:val="clear" w:color="000000" w:fill="C9E3B4"/>
            <w:noWrap/>
            <w:vAlign w:val="center"/>
            <w:hideMark/>
          </w:tcPr>
          <w:p w14:paraId="2FCC832E"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70,619</w:t>
            </w:r>
          </w:p>
        </w:tc>
        <w:tc>
          <w:tcPr>
            <w:tcW w:w="371" w:type="dxa"/>
            <w:tcBorders>
              <w:top w:val="nil"/>
              <w:left w:val="nil"/>
              <w:bottom w:val="nil"/>
              <w:right w:val="nil"/>
            </w:tcBorders>
            <w:shd w:val="clear" w:color="auto" w:fill="auto"/>
            <w:noWrap/>
            <w:vAlign w:val="center"/>
            <w:hideMark/>
          </w:tcPr>
          <w:p w14:paraId="53D15909"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21517DE2"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184,622</w:t>
            </w:r>
          </w:p>
        </w:tc>
        <w:tc>
          <w:tcPr>
            <w:tcW w:w="372" w:type="dxa"/>
            <w:gridSpan w:val="2"/>
            <w:tcBorders>
              <w:top w:val="nil"/>
              <w:left w:val="nil"/>
              <w:bottom w:val="nil"/>
              <w:right w:val="nil"/>
            </w:tcBorders>
            <w:shd w:val="clear" w:color="auto" w:fill="auto"/>
            <w:noWrap/>
            <w:vAlign w:val="center"/>
            <w:hideMark/>
          </w:tcPr>
          <w:p w14:paraId="4E570D89"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62" w:type="dxa"/>
            <w:gridSpan w:val="2"/>
            <w:tcBorders>
              <w:top w:val="nil"/>
              <w:left w:val="nil"/>
              <w:bottom w:val="nil"/>
              <w:right w:val="nil"/>
            </w:tcBorders>
            <w:shd w:val="clear" w:color="000000" w:fill="C9E3B4"/>
            <w:noWrap/>
            <w:vAlign w:val="center"/>
            <w:hideMark/>
          </w:tcPr>
          <w:p w14:paraId="7CAF10B7"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81,968</w:t>
            </w:r>
          </w:p>
        </w:tc>
        <w:tc>
          <w:tcPr>
            <w:tcW w:w="372" w:type="dxa"/>
            <w:gridSpan w:val="2"/>
            <w:tcBorders>
              <w:top w:val="nil"/>
              <w:left w:val="nil"/>
              <w:bottom w:val="nil"/>
              <w:right w:val="nil"/>
            </w:tcBorders>
            <w:shd w:val="clear" w:color="auto" w:fill="auto"/>
            <w:noWrap/>
            <w:vAlign w:val="center"/>
            <w:hideMark/>
          </w:tcPr>
          <w:p w14:paraId="6321356A"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6" w:type="dxa"/>
            <w:gridSpan w:val="2"/>
            <w:tcBorders>
              <w:top w:val="nil"/>
              <w:left w:val="nil"/>
              <w:bottom w:val="nil"/>
              <w:right w:val="nil"/>
            </w:tcBorders>
            <w:shd w:val="clear" w:color="000000" w:fill="C9E3B4"/>
            <w:noWrap/>
            <w:vAlign w:val="center"/>
            <w:hideMark/>
          </w:tcPr>
          <w:p w14:paraId="0C0B03F2"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180,508</w:t>
            </w:r>
          </w:p>
        </w:tc>
        <w:tc>
          <w:tcPr>
            <w:tcW w:w="372" w:type="dxa"/>
            <w:tcBorders>
              <w:top w:val="nil"/>
              <w:left w:val="nil"/>
              <w:bottom w:val="nil"/>
              <w:right w:val="nil"/>
            </w:tcBorders>
            <w:shd w:val="clear" w:color="auto" w:fill="auto"/>
            <w:noWrap/>
            <w:vAlign w:val="center"/>
            <w:hideMark/>
          </w:tcPr>
          <w:p w14:paraId="1DA305A0"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53" w:type="dxa"/>
            <w:gridSpan w:val="2"/>
            <w:tcBorders>
              <w:top w:val="nil"/>
              <w:left w:val="nil"/>
              <w:bottom w:val="nil"/>
              <w:right w:val="nil"/>
            </w:tcBorders>
            <w:shd w:val="clear" w:color="000000" w:fill="C9E3B4"/>
            <w:noWrap/>
            <w:vAlign w:val="center"/>
            <w:hideMark/>
          </w:tcPr>
          <w:p w14:paraId="121B9322"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97,718</w:t>
            </w:r>
          </w:p>
        </w:tc>
        <w:tc>
          <w:tcPr>
            <w:tcW w:w="372" w:type="dxa"/>
            <w:gridSpan w:val="2"/>
            <w:tcBorders>
              <w:top w:val="nil"/>
              <w:left w:val="nil"/>
              <w:bottom w:val="nil"/>
              <w:right w:val="nil"/>
            </w:tcBorders>
            <w:shd w:val="clear" w:color="auto" w:fill="auto"/>
            <w:noWrap/>
            <w:vAlign w:val="center"/>
            <w:hideMark/>
          </w:tcPr>
          <w:p w14:paraId="46E8482F"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5825FBD4"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157,283</w:t>
            </w:r>
          </w:p>
        </w:tc>
        <w:tc>
          <w:tcPr>
            <w:tcW w:w="372" w:type="dxa"/>
            <w:gridSpan w:val="2"/>
            <w:tcBorders>
              <w:top w:val="nil"/>
              <w:left w:val="nil"/>
              <w:bottom w:val="nil"/>
              <w:right w:val="nil"/>
            </w:tcBorders>
            <w:shd w:val="clear" w:color="auto" w:fill="auto"/>
            <w:noWrap/>
            <w:vAlign w:val="center"/>
            <w:hideMark/>
          </w:tcPr>
          <w:p w14:paraId="443ADC2B"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1" w:type="dxa"/>
            <w:gridSpan w:val="2"/>
            <w:tcBorders>
              <w:top w:val="nil"/>
              <w:left w:val="nil"/>
              <w:bottom w:val="nil"/>
              <w:right w:val="nil"/>
            </w:tcBorders>
            <w:shd w:val="clear" w:color="000000" w:fill="C9E3B4"/>
            <w:noWrap/>
            <w:vAlign w:val="center"/>
            <w:hideMark/>
          </w:tcPr>
          <w:p w14:paraId="211D2388"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-122,392</w:t>
            </w:r>
          </w:p>
        </w:tc>
        <w:tc>
          <w:tcPr>
            <w:tcW w:w="497" w:type="dxa"/>
            <w:gridSpan w:val="2"/>
            <w:tcBorders>
              <w:top w:val="nil"/>
              <w:left w:val="nil"/>
              <w:bottom w:val="nil"/>
              <w:right w:val="nil"/>
            </w:tcBorders>
            <w:shd w:val="clear" w:color="auto" w:fill="auto"/>
            <w:noWrap/>
            <w:vAlign w:val="center"/>
            <w:hideMark/>
          </w:tcPr>
          <w:p w14:paraId="75E8DDF0"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7" w:type="dxa"/>
            <w:gridSpan w:val="2"/>
            <w:tcBorders>
              <w:top w:val="nil"/>
              <w:left w:val="nil"/>
              <w:bottom w:val="nil"/>
              <w:right w:val="nil"/>
            </w:tcBorders>
            <w:shd w:val="clear" w:color="000000" w:fill="C9E3B4"/>
            <w:noWrap/>
            <w:vAlign w:val="center"/>
            <w:hideMark/>
          </w:tcPr>
          <w:p w14:paraId="01972F9C"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650,326</w:t>
            </w:r>
          </w:p>
        </w:tc>
      </w:tr>
      <w:tr w:rsidR="00490837" w:rsidRPr="00C1721E" w14:paraId="60E4D042" w14:textId="77777777" w:rsidTr="00490837">
        <w:trPr>
          <w:gridAfter w:val="3"/>
          <w:wAfter w:w="1675" w:type="dxa"/>
          <w:trHeight w:val="246"/>
        </w:trPr>
        <w:tc>
          <w:tcPr>
            <w:tcW w:w="254" w:type="dxa"/>
            <w:gridSpan w:val="2"/>
            <w:tcBorders>
              <w:top w:val="nil"/>
              <w:left w:val="nil"/>
              <w:bottom w:val="nil"/>
              <w:right w:val="nil"/>
            </w:tcBorders>
            <w:shd w:val="clear" w:color="auto" w:fill="auto"/>
            <w:noWrap/>
            <w:vAlign w:val="center"/>
            <w:hideMark/>
          </w:tcPr>
          <w:p w14:paraId="412227C1"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1826" w:type="dxa"/>
            <w:tcBorders>
              <w:top w:val="nil"/>
              <w:left w:val="nil"/>
              <w:bottom w:val="nil"/>
              <w:right w:val="nil"/>
            </w:tcBorders>
            <w:shd w:val="clear" w:color="auto" w:fill="auto"/>
            <w:noWrap/>
            <w:vAlign w:val="center"/>
            <w:hideMark/>
          </w:tcPr>
          <w:p w14:paraId="565BE586" w14:textId="77777777" w:rsidR="00C1721E" w:rsidRPr="00C1721E" w:rsidRDefault="00C1721E" w:rsidP="00C1721E">
            <w:pPr>
              <w:spacing w:before="0" w:line="240" w:lineRule="auto"/>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xml:space="preserve">Supplies and services </w:t>
            </w:r>
          </w:p>
        </w:tc>
        <w:tc>
          <w:tcPr>
            <w:tcW w:w="822" w:type="dxa"/>
            <w:gridSpan w:val="2"/>
            <w:tcBorders>
              <w:top w:val="nil"/>
              <w:left w:val="nil"/>
              <w:bottom w:val="nil"/>
              <w:right w:val="nil"/>
            </w:tcBorders>
            <w:shd w:val="clear" w:color="000000" w:fill="C9E3B4"/>
            <w:noWrap/>
            <w:vAlign w:val="center"/>
            <w:hideMark/>
          </w:tcPr>
          <w:p w14:paraId="1E813613"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32,262</w:t>
            </w:r>
          </w:p>
        </w:tc>
        <w:tc>
          <w:tcPr>
            <w:tcW w:w="371" w:type="dxa"/>
            <w:tcBorders>
              <w:top w:val="nil"/>
              <w:left w:val="nil"/>
              <w:bottom w:val="nil"/>
              <w:right w:val="nil"/>
            </w:tcBorders>
            <w:shd w:val="clear" w:color="auto" w:fill="auto"/>
            <w:noWrap/>
            <w:vAlign w:val="center"/>
            <w:hideMark/>
          </w:tcPr>
          <w:p w14:paraId="5E043C0F"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6380FE63"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908,423</w:t>
            </w:r>
          </w:p>
        </w:tc>
        <w:tc>
          <w:tcPr>
            <w:tcW w:w="372" w:type="dxa"/>
            <w:gridSpan w:val="2"/>
            <w:tcBorders>
              <w:top w:val="nil"/>
              <w:left w:val="nil"/>
              <w:bottom w:val="nil"/>
              <w:right w:val="nil"/>
            </w:tcBorders>
            <w:shd w:val="clear" w:color="auto" w:fill="auto"/>
            <w:noWrap/>
            <w:vAlign w:val="center"/>
            <w:hideMark/>
          </w:tcPr>
          <w:p w14:paraId="66AC0E3A"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62" w:type="dxa"/>
            <w:gridSpan w:val="2"/>
            <w:tcBorders>
              <w:top w:val="nil"/>
              <w:left w:val="nil"/>
              <w:bottom w:val="nil"/>
              <w:right w:val="nil"/>
            </w:tcBorders>
            <w:shd w:val="clear" w:color="000000" w:fill="C9E3B4"/>
            <w:noWrap/>
            <w:vAlign w:val="center"/>
            <w:hideMark/>
          </w:tcPr>
          <w:p w14:paraId="71AAC758"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210,773</w:t>
            </w:r>
          </w:p>
        </w:tc>
        <w:tc>
          <w:tcPr>
            <w:tcW w:w="372" w:type="dxa"/>
            <w:gridSpan w:val="2"/>
            <w:tcBorders>
              <w:top w:val="nil"/>
              <w:left w:val="nil"/>
              <w:bottom w:val="nil"/>
              <w:right w:val="nil"/>
            </w:tcBorders>
            <w:shd w:val="clear" w:color="auto" w:fill="auto"/>
            <w:noWrap/>
            <w:vAlign w:val="center"/>
            <w:hideMark/>
          </w:tcPr>
          <w:p w14:paraId="3FAE79F9"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6" w:type="dxa"/>
            <w:gridSpan w:val="2"/>
            <w:tcBorders>
              <w:top w:val="nil"/>
              <w:left w:val="nil"/>
              <w:bottom w:val="nil"/>
              <w:right w:val="nil"/>
            </w:tcBorders>
            <w:shd w:val="clear" w:color="000000" w:fill="C9E3B4"/>
            <w:noWrap/>
            <w:vAlign w:val="center"/>
            <w:hideMark/>
          </w:tcPr>
          <w:p w14:paraId="238A1ACD"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164,307</w:t>
            </w:r>
          </w:p>
        </w:tc>
        <w:tc>
          <w:tcPr>
            <w:tcW w:w="372" w:type="dxa"/>
            <w:tcBorders>
              <w:top w:val="nil"/>
              <w:left w:val="nil"/>
              <w:bottom w:val="nil"/>
              <w:right w:val="nil"/>
            </w:tcBorders>
            <w:shd w:val="clear" w:color="auto" w:fill="auto"/>
            <w:noWrap/>
            <w:vAlign w:val="center"/>
            <w:hideMark/>
          </w:tcPr>
          <w:p w14:paraId="0433000B"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53" w:type="dxa"/>
            <w:gridSpan w:val="2"/>
            <w:tcBorders>
              <w:top w:val="nil"/>
              <w:left w:val="nil"/>
              <w:bottom w:val="nil"/>
              <w:right w:val="nil"/>
            </w:tcBorders>
            <w:shd w:val="clear" w:color="000000" w:fill="C9E3B4"/>
            <w:noWrap/>
            <w:vAlign w:val="center"/>
            <w:hideMark/>
          </w:tcPr>
          <w:p w14:paraId="33956A1B"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3,010,249</w:t>
            </w:r>
          </w:p>
        </w:tc>
        <w:tc>
          <w:tcPr>
            <w:tcW w:w="372" w:type="dxa"/>
            <w:gridSpan w:val="2"/>
            <w:tcBorders>
              <w:top w:val="nil"/>
              <w:left w:val="nil"/>
              <w:bottom w:val="nil"/>
              <w:right w:val="nil"/>
            </w:tcBorders>
            <w:shd w:val="clear" w:color="auto" w:fill="auto"/>
            <w:noWrap/>
            <w:vAlign w:val="center"/>
            <w:hideMark/>
          </w:tcPr>
          <w:p w14:paraId="06146BEC"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587CF59B"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629,291</w:t>
            </w:r>
          </w:p>
        </w:tc>
        <w:tc>
          <w:tcPr>
            <w:tcW w:w="372" w:type="dxa"/>
            <w:gridSpan w:val="2"/>
            <w:tcBorders>
              <w:top w:val="nil"/>
              <w:left w:val="nil"/>
              <w:bottom w:val="nil"/>
              <w:right w:val="nil"/>
            </w:tcBorders>
            <w:shd w:val="clear" w:color="auto" w:fill="auto"/>
            <w:noWrap/>
            <w:vAlign w:val="center"/>
            <w:hideMark/>
          </w:tcPr>
          <w:p w14:paraId="4CE70FFA"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1" w:type="dxa"/>
            <w:gridSpan w:val="2"/>
            <w:tcBorders>
              <w:top w:val="nil"/>
              <w:left w:val="nil"/>
              <w:bottom w:val="nil"/>
              <w:right w:val="nil"/>
            </w:tcBorders>
            <w:shd w:val="clear" w:color="000000" w:fill="C9E3B4"/>
            <w:noWrap/>
            <w:vAlign w:val="center"/>
            <w:hideMark/>
          </w:tcPr>
          <w:p w14:paraId="575CCD66"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-704,803</w:t>
            </w:r>
          </w:p>
        </w:tc>
        <w:tc>
          <w:tcPr>
            <w:tcW w:w="497" w:type="dxa"/>
            <w:gridSpan w:val="2"/>
            <w:tcBorders>
              <w:top w:val="nil"/>
              <w:left w:val="nil"/>
              <w:bottom w:val="nil"/>
              <w:right w:val="nil"/>
            </w:tcBorders>
            <w:shd w:val="clear" w:color="auto" w:fill="auto"/>
            <w:noWrap/>
            <w:vAlign w:val="center"/>
            <w:hideMark/>
          </w:tcPr>
          <w:p w14:paraId="1E40AB42"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7" w:type="dxa"/>
            <w:gridSpan w:val="2"/>
            <w:tcBorders>
              <w:top w:val="nil"/>
              <w:left w:val="nil"/>
              <w:bottom w:val="nil"/>
              <w:right w:val="nil"/>
            </w:tcBorders>
            <w:shd w:val="clear" w:color="000000" w:fill="C9E3B4"/>
            <w:noWrap/>
            <w:vAlign w:val="center"/>
            <w:hideMark/>
          </w:tcPr>
          <w:p w14:paraId="31F6B75A"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4,250,502</w:t>
            </w:r>
          </w:p>
        </w:tc>
      </w:tr>
      <w:tr w:rsidR="00490837" w:rsidRPr="00C1721E" w14:paraId="268C1668" w14:textId="77777777" w:rsidTr="00490837">
        <w:trPr>
          <w:gridAfter w:val="3"/>
          <w:wAfter w:w="1675" w:type="dxa"/>
          <w:trHeight w:val="246"/>
        </w:trPr>
        <w:tc>
          <w:tcPr>
            <w:tcW w:w="254" w:type="dxa"/>
            <w:gridSpan w:val="2"/>
            <w:tcBorders>
              <w:top w:val="nil"/>
              <w:left w:val="nil"/>
              <w:bottom w:val="nil"/>
              <w:right w:val="nil"/>
            </w:tcBorders>
            <w:shd w:val="clear" w:color="auto" w:fill="auto"/>
            <w:noWrap/>
            <w:vAlign w:val="center"/>
            <w:hideMark/>
          </w:tcPr>
          <w:p w14:paraId="451668A4"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1826" w:type="dxa"/>
            <w:tcBorders>
              <w:top w:val="nil"/>
              <w:left w:val="nil"/>
              <w:bottom w:val="nil"/>
              <w:right w:val="nil"/>
            </w:tcBorders>
            <w:shd w:val="clear" w:color="auto" w:fill="auto"/>
            <w:noWrap/>
            <w:vAlign w:val="center"/>
            <w:hideMark/>
          </w:tcPr>
          <w:p w14:paraId="07B92E4D" w14:textId="77777777" w:rsidR="00C1721E" w:rsidRPr="00C1721E" w:rsidRDefault="00C1721E" w:rsidP="00C1721E">
            <w:pPr>
              <w:spacing w:before="0" w:line="240" w:lineRule="auto"/>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xml:space="preserve">Grants and subsidies </w:t>
            </w:r>
          </w:p>
        </w:tc>
        <w:tc>
          <w:tcPr>
            <w:tcW w:w="822" w:type="dxa"/>
            <w:gridSpan w:val="2"/>
            <w:tcBorders>
              <w:top w:val="nil"/>
              <w:left w:val="nil"/>
              <w:bottom w:val="nil"/>
              <w:right w:val="nil"/>
            </w:tcBorders>
            <w:shd w:val="clear" w:color="000000" w:fill="C9E3B4"/>
            <w:noWrap/>
            <w:vAlign w:val="center"/>
            <w:hideMark/>
          </w:tcPr>
          <w:p w14:paraId="663207D4"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27,555</w:t>
            </w:r>
          </w:p>
        </w:tc>
        <w:tc>
          <w:tcPr>
            <w:tcW w:w="371" w:type="dxa"/>
            <w:tcBorders>
              <w:top w:val="nil"/>
              <w:left w:val="nil"/>
              <w:bottom w:val="nil"/>
              <w:right w:val="nil"/>
            </w:tcBorders>
            <w:shd w:val="clear" w:color="auto" w:fill="auto"/>
            <w:noWrap/>
            <w:vAlign w:val="center"/>
            <w:hideMark/>
          </w:tcPr>
          <w:p w14:paraId="28633146"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00661B6E"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526,201</w:t>
            </w:r>
          </w:p>
        </w:tc>
        <w:tc>
          <w:tcPr>
            <w:tcW w:w="372" w:type="dxa"/>
            <w:gridSpan w:val="2"/>
            <w:tcBorders>
              <w:top w:val="nil"/>
              <w:left w:val="nil"/>
              <w:bottom w:val="nil"/>
              <w:right w:val="nil"/>
            </w:tcBorders>
            <w:shd w:val="clear" w:color="auto" w:fill="auto"/>
            <w:noWrap/>
            <w:vAlign w:val="center"/>
            <w:hideMark/>
          </w:tcPr>
          <w:p w14:paraId="68370BFF"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62" w:type="dxa"/>
            <w:gridSpan w:val="2"/>
            <w:tcBorders>
              <w:top w:val="nil"/>
              <w:left w:val="nil"/>
              <w:bottom w:val="nil"/>
              <w:right w:val="nil"/>
            </w:tcBorders>
            <w:shd w:val="clear" w:color="000000" w:fill="C9E3B4"/>
            <w:noWrap/>
            <w:vAlign w:val="center"/>
            <w:hideMark/>
          </w:tcPr>
          <w:p w14:paraId="22D428F4"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7,154</w:t>
            </w:r>
          </w:p>
        </w:tc>
        <w:tc>
          <w:tcPr>
            <w:tcW w:w="372" w:type="dxa"/>
            <w:gridSpan w:val="2"/>
            <w:tcBorders>
              <w:top w:val="nil"/>
              <w:left w:val="nil"/>
              <w:bottom w:val="nil"/>
              <w:right w:val="nil"/>
            </w:tcBorders>
            <w:shd w:val="clear" w:color="auto" w:fill="auto"/>
            <w:noWrap/>
            <w:vAlign w:val="center"/>
            <w:hideMark/>
          </w:tcPr>
          <w:p w14:paraId="4033EF68"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6" w:type="dxa"/>
            <w:gridSpan w:val="2"/>
            <w:tcBorders>
              <w:top w:val="nil"/>
              <w:left w:val="nil"/>
              <w:bottom w:val="nil"/>
              <w:right w:val="nil"/>
            </w:tcBorders>
            <w:shd w:val="clear" w:color="000000" w:fill="C9E3B4"/>
            <w:noWrap/>
            <w:vAlign w:val="center"/>
            <w:hideMark/>
          </w:tcPr>
          <w:p w14:paraId="23744FA9"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73</w:t>
            </w:r>
          </w:p>
        </w:tc>
        <w:tc>
          <w:tcPr>
            <w:tcW w:w="372" w:type="dxa"/>
            <w:tcBorders>
              <w:top w:val="nil"/>
              <w:left w:val="nil"/>
              <w:bottom w:val="nil"/>
              <w:right w:val="nil"/>
            </w:tcBorders>
            <w:shd w:val="clear" w:color="auto" w:fill="auto"/>
            <w:noWrap/>
            <w:vAlign w:val="center"/>
            <w:hideMark/>
          </w:tcPr>
          <w:p w14:paraId="4020C8EE"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53" w:type="dxa"/>
            <w:gridSpan w:val="2"/>
            <w:tcBorders>
              <w:top w:val="nil"/>
              <w:left w:val="nil"/>
              <w:bottom w:val="nil"/>
              <w:right w:val="nil"/>
            </w:tcBorders>
            <w:shd w:val="clear" w:color="000000" w:fill="C9E3B4"/>
            <w:noWrap/>
            <w:vAlign w:val="center"/>
            <w:hideMark/>
          </w:tcPr>
          <w:p w14:paraId="44C937B0"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251,392</w:t>
            </w:r>
          </w:p>
        </w:tc>
        <w:tc>
          <w:tcPr>
            <w:tcW w:w="372" w:type="dxa"/>
            <w:gridSpan w:val="2"/>
            <w:tcBorders>
              <w:top w:val="nil"/>
              <w:left w:val="nil"/>
              <w:bottom w:val="nil"/>
              <w:right w:val="nil"/>
            </w:tcBorders>
            <w:shd w:val="clear" w:color="auto" w:fill="auto"/>
            <w:noWrap/>
            <w:vAlign w:val="center"/>
            <w:hideMark/>
          </w:tcPr>
          <w:p w14:paraId="766A43FC"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65BF0DB6"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3</w:t>
            </w:r>
          </w:p>
        </w:tc>
        <w:tc>
          <w:tcPr>
            <w:tcW w:w="372" w:type="dxa"/>
            <w:gridSpan w:val="2"/>
            <w:tcBorders>
              <w:top w:val="nil"/>
              <w:left w:val="nil"/>
              <w:bottom w:val="nil"/>
              <w:right w:val="nil"/>
            </w:tcBorders>
            <w:shd w:val="clear" w:color="auto" w:fill="auto"/>
            <w:noWrap/>
            <w:vAlign w:val="center"/>
            <w:hideMark/>
          </w:tcPr>
          <w:p w14:paraId="6D7DDFFF"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1" w:type="dxa"/>
            <w:gridSpan w:val="2"/>
            <w:tcBorders>
              <w:top w:val="nil"/>
              <w:left w:val="nil"/>
              <w:bottom w:val="nil"/>
              <w:right w:val="nil"/>
            </w:tcBorders>
            <w:shd w:val="clear" w:color="000000" w:fill="C9E3B4"/>
            <w:noWrap/>
            <w:vAlign w:val="center"/>
            <w:hideMark/>
          </w:tcPr>
          <w:p w14:paraId="11073486"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xml:space="preserve">- </w:t>
            </w:r>
          </w:p>
        </w:tc>
        <w:tc>
          <w:tcPr>
            <w:tcW w:w="497" w:type="dxa"/>
            <w:gridSpan w:val="2"/>
            <w:tcBorders>
              <w:top w:val="nil"/>
              <w:left w:val="nil"/>
              <w:bottom w:val="nil"/>
              <w:right w:val="nil"/>
            </w:tcBorders>
            <w:shd w:val="clear" w:color="auto" w:fill="auto"/>
            <w:noWrap/>
            <w:vAlign w:val="center"/>
            <w:hideMark/>
          </w:tcPr>
          <w:p w14:paraId="5C76A7F5"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7" w:type="dxa"/>
            <w:gridSpan w:val="2"/>
            <w:tcBorders>
              <w:top w:val="nil"/>
              <w:left w:val="nil"/>
              <w:bottom w:val="nil"/>
              <w:right w:val="nil"/>
            </w:tcBorders>
            <w:shd w:val="clear" w:color="000000" w:fill="C9E3B4"/>
            <w:noWrap/>
            <w:vAlign w:val="center"/>
            <w:hideMark/>
          </w:tcPr>
          <w:p w14:paraId="4F165372"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812,378</w:t>
            </w:r>
          </w:p>
        </w:tc>
      </w:tr>
      <w:tr w:rsidR="00490837" w:rsidRPr="00C1721E" w14:paraId="0888ACEB" w14:textId="77777777" w:rsidTr="00490837">
        <w:trPr>
          <w:gridAfter w:val="3"/>
          <w:wAfter w:w="1675" w:type="dxa"/>
          <w:trHeight w:val="246"/>
        </w:trPr>
        <w:tc>
          <w:tcPr>
            <w:tcW w:w="254" w:type="dxa"/>
            <w:gridSpan w:val="2"/>
            <w:tcBorders>
              <w:top w:val="nil"/>
              <w:left w:val="nil"/>
              <w:bottom w:val="nil"/>
              <w:right w:val="nil"/>
            </w:tcBorders>
            <w:shd w:val="clear" w:color="auto" w:fill="auto"/>
            <w:noWrap/>
            <w:vAlign w:val="center"/>
            <w:hideMark/>
          </w:tcPr>
          <w:p w14:paraId="67444D06"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1826" w:type="dxa"/>
            <w:tcBorders>
              <w:top w:val="nil"/>
              <w:left w:val="nil"/>
              <w:bottom w:val="nil"/>
              <w:right w:val="nil"/>
            </w:tcBorders>
            <w:shd w:val="clear" w:color="auto" w:fill="auto"/>
            <w:noWrap/>
            <w:vAlign w:val="center"/>
            <w:hideMark/>
          </w:tcPr>
          <w:p w14:paraId="424BD6B1" w14:textId="77777777" w:rsidR="00C1721E" w:rsidRPr="00C1721E" w:rsidRDefault="00C1721E" w:rsidP="00C1721E">
            <w:pPr>
              <w:spacing w:before="0" w:line="240" w:lineRule="auto"/>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Finance and borrowing costs</w:t>
            </w:r>
          </w:p>
        </w:tc>
        <w:tc>
          <w:tcPr>
            <w:tcW w:w="822" w:type="dxa"/>
            <w:gridSpan w:val="2"/>
            <w:tcBorders>
              <w:top w:val="nil"/>
              <w:left w:val="nil"/>
              <w:bottom w:val="nil"/>
              <w:right w:val="nil"/>
            </w:tcBorders>
            <w:shd w:val="clear" w:color="000000" w:fill="C9E3B4"/>
            <w:noWrap/>
            <w:vAlign w:val="center"/>
            <w:hideMark/>
          </w:tcPr>
          <w:p w14:paraId="72781346"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2</w:t>
            </w:r>
          </w:p>
        </w:tc>
        <w:tc>
          <w:tcPr>
            <w:tcW w:w="371" w:type="dxa"/>
            <w:tcBorders>
              <w:top w:val="nil"/>
              <w:left w:val="nil"/>
              <w:bottom w:val="nil"/>
              <w:right w:val="nil"/>
            </w:tcBorders>
            <w:shd w:val="clear" w:color="auto" w:fill="auto"/>
            <w:noWrap/>
            <w:vAlign w:val="center"/>
            <w:hideMark/>
          </w:tcPr>
          <w:p w14:paraId="03884F82"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1F5ED112"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22,530</w:t>
            </w:r>
          </w:p>
        </w:tc>
        <w:tc>
          <w:tcPr>
            <w:tcW w:w="372" w:type="dxa"/>
            <w:gridSpan w:val="2"/>
            <w:tcBorders>
              <w:top w:val="nil"/>
              <w:left w:val="nil"/>
              <w:bottom w:val="nil"/>
              <w:right w:val="nil"/>
            </w:tcBorders>
            <w:shd w:val="clear" w:color="auto" w:fill="auto"/>
            <w:noWrap/>
            <w:vAlign w:val="center"/>
            <w:hideMark/>
          </w:tcPr>
          <w:p w14:paraId="138764C7"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62" w:type="dxa"/>
            <w:gridSpan w:val="2"/>
            <w:tcBorders>
              <w:top w:val="nil"/>
              <w:left w:val="nil"/>
              <w:bottom w:val="nil"/>
              <w:right w:val="nil"/>
            </w:tcBorders>
            <w:shd w:val="clear" w:color="000000" w:fill="C9E3B4"/>
            <w:noWrap/>
            <w:vAlign w:val="center"/>
            <w:hideMark/>
          </w:tcPr>
          <w:p w14:paraId="4C31D379"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4</w:t>
            </w:r>
          </w:p>
        </w:tc>
        <w:tc>
          <w:tcPr>
            <w:tcW w:w="372" w:type="dxa"/>
            <w:gridSpan w:val="2"/>
            <w:tcBorders>
              <w:top w:val="nil"/>
              <w:left w:val="nil"/>
              <w:bottom w:val="nil"/>
              <w:right w:val="nil"/>
            </w:tcBorders>
            <w:shd w:val="clear" w:color="auto" w:fill="auto"/>
            <w:noWrap/>
            <w:vAlign w:val="center"/>
            <w:hideMark/>
          </w:tcPr>
          <w:p w14:paraId="2E8AB71A"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6" w:type="dxa"/>
            <w:gridSpan w:val="2"/>
            <w:tcBorders>
              <w:top w:val="nil"/>
              <w:left w:val="nil"/>
              <w:bottom w:val="nil"/>
              <w:right w:val="nil"/>
            </w:tcBorders>
            <w:shd w:val="clear" w:color="000000" w:fill="C9E3B4"/>
            <w:noWrap/>
            <w:vAlign w:val="center"/>
            <w:hideMark/>
          </w:tcPr>
          <w:p w14:paraId="1A9F3ABD"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4</w:t>
            </w:r>
          </w:p>
        </w:tc>
        <w:tc>
          <w:tcPr>
            <w:tcW w:w="372" w:type="dxa"/>
            <w:tcBorders>
              <w:top w:val="nil"/>
              <w:left w:val="nil"/>
              <w:bottom w:val="nil"/>
              <w:right w:val="nil"/>
            </w:tcBorders>
            <w:shd w:val="clear" w:color="auto" w:fill="auto"/>
            <w:noWrap/>
            <w:vAlign w:val="center"/>
            <w:hideMark/>
          </w:tcPr>
          <w:p w14:paraId="699D136A"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53" w:type="dxa"/>
            <w:gridSpan w:val="2"/>
            <w:tcBorders>
              <w:top w:val="nil"/>
              <w:left w:val="nil"/>
              <w:bottom w:val="nil"/>
              <w:right w:val="nil"/>
            </w:tcBorders>
            <w:shd w:val="clear" w:color="000000" w:fill="C9E3B4"/>
            <w:noWrap/>
            <w:vAlign w:val="center"/>
            <w:hideMark/>
          </w:tcPr>
          <w:p w14:paraId="49FEB089"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57,476</w:t>
            </w:r>
          </w:p>
        </w:tc>
        <w:tc>
          <w:tcPr>
            <w:tcW w:w="372" w:type="dxa"/>
            <w:gridSpan w:val="2"/>
            <w:tcBorders>
              <w:top w:val="nil"/>
              <w:left w:val="nil"/>
              <w:bottom w:val="nil"/>
              <w:right w:val="nil"/>
            </w:tcBorders>
            <w:shd w:val="clear" w:color="auto" w:fill="auto"/>
            <w:noWrap/>
            <w:vAlign w:val="center"/>
            <w:hideMark/>
          </w:tcPr>
          <w:p w14:paraId="4AC7483E"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5A2B4F82"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1,190</w:t>
            </w:r>
          </w:p>
        </w:tc>
        <w:tc>
          <w:tcPr>
            <w:tcW w:w="372" w:type="dxa"/>
            <w:gridSpan w:val="2"/>
            <w:tcBorders>
              <w:top w:val="nil"/>
              <w:left w:val="nil"/>
              <w:bottom w:val="nil"/>
              <w:right w:val="nil"/>
            </w:tcBorders>
            <w:shd w:val="clear" w:color="auto" w:fill="auto"/>
            <w:noWrap/>
            <w:vAlign w:val="center"/>
            <w:hideMark/>
          </w:tcPr>
          <w:p w14:paraId="4A961806"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1" w:type="dxa"/>
            <w:gridSpan w:val="2"/>
            <w:tcBorders>
              <w:top w:val="nil"/>
              <w:left w:val="nil"/>
              <w:bottom w:val="nil"/>
              <w:right w:val="nil"/>
            </w:tcBorders>
            <w:shd w:val="clear" w:color="000000" w:fill="C9E3B4"/>
            <w:noWrap/>
            <w:vAlign w:val="center"/>
            <w:hideMark/>
          </w:tcPr>
          <w:p w14:paraId="7B248A4C"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-1,235</w:t>
            </w:r>
          </w:p>
        </w:tc>
        <w:tc>
          <w:tcPr>
            <w:tcW w:w="497" w:type="dxa"/>
            <w:gridSpan w:val="2"/>
            <w:tcBorders>
              <w:top w:val="nil"/>
              <w:left w:val="nil"/>
              <w:bottom w:val="nil"/>
              <w:right w:val="nil"/>
            </w:tcBorders>
            <w:shd w:val="clear" w:color="auto" w:fill="auto"/>
            <w:noWrap/>
            <w:vAlign w:val="center"/>
            <w:hideMark/>
          </w:tcPr>
          <w:p w14:paraId="43DA89EF"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7" w:type="dxa"/>
            <w:gridSpan w:val="2"/>
            <w:tcBorders>
              <w:top w:val="nil"/>
              <w:left w:val="nil"/>
              <w:bottom w:val="nil"/>
              <w:right w:val="nil"/>
            </w:tcBorders>
            <w:shd w:val="clear" w:color="000000" w:fill="C9E3B4"/>
            <w:noWrap/>
            <w:vAlign w:val="center"/>
            <w:hideMark/>
          </w:tcPr>
          <w:p w14:paraId="31EA6746"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79,971</w:t>
            </w:r>
          </w:p>
        </w:tc>
      </w:tr>
      <w:tr w:rsidR="00490837" w:rsidRPr="00C1721E" w14:paraId="0FC84C1B" w14:textId="77777777" w:rsidTr="00490837">
        <w:trPr>
          <w:gridAfter w:val="3"/>
          <w:wAfter w:w="1675" w:type="dxa"/>
          <w:trHeight w:val="246"/>
        </w:trPr>
        <w:tc>
          <w:tcPr>
            <w:tcW w:w="254" w:type="dxa"/>
            <w:gridSpan w:val="2"/>
            <w:tcBorders>
              <w:top w:val="nil"/>
              <w:left w:val="nil"/>
              <w:bottom w:val="nil"/>
              <w:right w:val="nil"/>
            </w:tcBorders>
            <w:shd w:val="clear" w:color="auto" w:fill="auto"/>
            <w:noWrap/>
            <w:vAlign w:val="center"/>
            <w:hideMark/>
          </w:tcPr>
          <w:p w14:paraId="7E5E6798"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1826" w:type="dxa"/>
            <w:tcBorders>
              <w:top w:val="nil"/>
              <w:left w:val="nil"/>
              <w:bottom w:val="nil"/>
              <w:right w:val="nil"/>
            </w:tcBorders>
            <w:shd w:val="clear" w:color="auto" w:fill="auto"/>
            <w:noWrap/>
            <w:vAlign w:val="center"/>
            <w:hideMark/>
          </w:tcPr>
          <w:p w14:paraId="06B92337" w14:textId="77777777" w:rsidR="00C1721E" w:rsidRPr="00C1721E" w:rsidRDefault="00C1721E" w:rsidP="00C1721E">
            <w:pPr>
              <w:spacing w:before="0" w:line="240" w:lineRule="auto"/>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Impairment losses/(reversals)</w:t>
            </w:r>
          </w:p>
        </w:tc>
        <w:tc>
          <w:tcPr>
            <w:tcW w:w="822" w:type="dxa"/>
            <w:gridSpan w:val="2"/>
            <w:tcBorders>
              <w:top w:val="nil"/>
              <w:left w:val="nil"/>
              <w:bottom w:val="nil"/>
              <w:right w:val="nil"/>
            </w:tcBorders>
            <w:shd w:val="clear" w:color="000000" w:fill="C9E3B4"/>
            <w:noWrap/>
            <w:vAlign w:val="center"/>
            <w:hideMark/>
          </w:tcPr>
          <w:p w14:paraId="0788A52A"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36</w:t>
            </w:r>
          </w:p>
        </w:tc>
        <w:tc>
          <w:tcPr>
            <w:tcW w:w="371" w:type="dxa"/>
            <w:tcBorders>
              <w:top w:val="nil"/>
              <w:left w:val="nil"/>
              <w:bottom w:val="nil"/>
              <w:right w:val="nil"/>
            </w:tcBorders>
            <w:shd w:val="clear" w:color="auto" w:fill="auto"/>
            <w:noWrap/>
            <w:vAlign w:val="center"/>
            <w:hideMark/>
          </w:tcPr>
          <w:p w14:paraId="2034E7DE"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28AFFE8D"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1,738</w:t>
            </w:r>
          </w:p>
        </w:tc>
        <w:tc>
          <w:tcPr>
            <w:tcW w:w="372" w:type="dxa"/>
            <w:gridSpan w:val="2"/>
            <w:tcBorders>
              <w:top w:val="nil"/>
              <w:left w:val="nil"/>
              <w:bottom w:val="nil"/>
              <w:right w:val="nil"/>
            </w:tcBorders>
            <w:shd w:val="clear" w:color="auto" w:fill="auto"/>
            <w:noWrap/>
            <w:vAlign w:val="center"/>
            <w:hideMark/>
          </w:tcPr>
          <w:p w14:paraId="02C524F8"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62" w:type="dxa"/>
            <w:gridSpan w:val="2"/>
            <w:tcBorders>
              <w:top w:val="nil"/>
              <w:left w:val="nil"/>
              <w:bottom w:val="nil"/>
              <w:right w:val="nil"/>
            </w:tcBorders>
            <w:shd w:val="clear" w:color="000000" w:fill="C9E3B4"/>
            <w:noWrap/>
            <w:vAlign w:val="center"/>
            <w:hideMark/>
          </w:tcPr>
          <w:p w14:paraId="6027E4FB"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-674</w:t>
            </w:r>
          </w:p>
        </w:tc>
        <w:tc>
          <w:tcPr>
            <w:tcW w:w="372" w:type="dxa"/>
            <w:gridSpan w:val="2"/>
            <w:tcBorders>
              <w:top w:val="nil"/>
              <w:left w:val="nil"/>
              <w:bottom w:val="nil"/>
              <w:right w:val="nil"/>
            </w:tcBorders>
            <w:shd w:val="clear" w:color="auto" w:fill="auto"/>
            <w:noWrap/>
            <w:vAlign w:val="center"/>
            <w:hideMark/>
          </w:tcPr>
          <w:p w14:paraId="75885570"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6" w:type="dxa"/>
            <w:gridSpan w:val="2"/>
            <w:tcBorders>
              <w:top w:val="nil"/>
              <w:left w:val="nil"/>
              <w:bottom w:val="nil"/>
              <w:right w:val="nil"/>
            </w:tcBorders>
            <w:shd w:val="clear" w:color="000000" w:fill="C9E3B4"/>
            <w:noWrap/>
            <w:vAlign w:val="center"/>
            <w:hideMark/>
          </w:tcPr>
          <w:p w14:paraId="0A429BE2"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-30</w:t>
            </w:r>
          </w:p>
        </w:tc>
        <w:tc>
          <w:tcPr>
            <w:tcW w:w="372" w:type="dxa"/>
            <w:tcBorders>
              <w:top w:val="nil"/>
              <w:left w:val="nil"/>
              <w:bottom w:val="nil"/>
              <w:right w:val="nil"/>
            </w:tcBorders>
            <w:shd w:val="clear" w:color="auto" w:fill="auto"/>
            <w:noWrap/>
            <w:vAlign w:val="center"/>
            <w:hideMark/>
          </w:tcPr>
          <w:p w14:paraId="3862D9AF"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53" w:type="dxa"/>
            <w:gridSpan w:val="2"/>
            <w:tcBorders>
              <w:top w:val="nil"/>
              <w:left w:val="nil"/>
              <w:bottom w:val="nil"/>
              <w:right w:val="nil"/>
            </w:tcBorders>
            <w:shd w:val="clear" w:color="000000" w:fill="C9E3B4"/>
            <w:noWrap/>
            <w:vAlign w:val="center"/>
            <w:hideMark/>
          </w:tcPr>
          <w:p w14:paraId="4345EB56"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126</w:t>
            </w:r>
          </w:p>
        </w:tc>
        <w:tc>
          <w:tcPr>
            <w:tcW w:w="372" w:type="dxa"/>
            <w:gridSpan w:val="2"/>
            <w:tcBorders>
              <w:top w:val="nil"/>
              <w:left w:val="nil"/>
              <w:bottom w:val="nil"/>
              <w:right w:val="nil"/>
            </w:tcBorders>
            <w:shd w:val="clear" w:color="auto" w:fill="auto"/>
            <w:noWrap/>
            <w:vAlign w:val="center"/>
            <w:hideMark/>
          </w:tcPr>
          <w:p w14:paraId="6C621722"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0A1E6BD7"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-34</w:t>
            </w:r>
          </w:p>
        </w:tc>
        <w:tc>
          <w:tcPr>
            <w:tcW w:w="372" w:type="dxa"/>
            <w:gridSpan w:val="2"/>
            <w:tcBorders>
              <w:top w:val="nil"/>
              <w:left w:val="nil"/>
              <w:bottom w:val="nil"/>
              <w:right w:val="nil"/>
            </w:tcBorders>
            <w:shd w:val="clear" w:color="auto" w:fill="auto"/>
            <w:noWrap/>
            <w:vAlign w:val="center"/>
            <w:hideMark/>
          </w:tcPr>
          <w:p w14:paraId="4C1BCD94"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1" w:type="dxa"/>
            <w:gridSpan w:val="2"/>
            <w:tcBorders>
              <w:top w:val="nil"/>
              <w:left w:val="nil"/>
              <w:bottom w:val="nil"/>
              <w:right w:val="nil"/>
            </w:tcBorders>
            <w:shd w:val="clear" w:color="000000" w:fill="C9E3B4"/>
            <w:noWrap/>
            <w:vAlign w:val="center"/>
            <w:hideMark/>
          </w:tcPr>
          <w:p w14:paraId="61AA82A0"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xml:space="preserve">- </w:t>
            </w:r>
          </w:p>
        </w:tc>
        <w:tc>
          <w:tcPr>
            <w:tcW w:w="497" w:type="dxa"/>
            <w:gridSpan w:val="2"/>
            <w:tcBorders>
              <w:top w:val="nil"/>
              <w:left w:val="nil"/>
              <w:bottom w:val="nil"/>
              <w:right w:val="nil"/>
            </w:tcBorders>
            <w:shd w:val="clear" w:color="auto" w:fill="auto"/>
            <w:noWrap/>
            <w:vAlign w:val="center"/>
            <w:hideMark/>
          </w:tcPr>
          <w:p w14:paraId="6562287D"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7" w:type="dxa"/>
            <w:gridSpan w:val="2"/>
            <w:tcBorders>
              <w:top w:val="nil"/>
              <w:left w:val="nil"/>
              <w:bottom w:val="nil"/>
              <w:right w:val="nil"/>
            </w:tcBorders>
            <w:shd w:val="clear" w:color="000000" w:fill="C9E3B4"/>
            <w:noWrap/>
            <w:vAlign w:val="center"/>
            <w:hideMark/>
          </w:tcPr>
          <w:p w14:paraId="01B820A0"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1,162</w:t>
            </w:r>
          </w:p>
        </w:tc>
      </w:tr>
      <w:tr w:rsidR="00490837" w:rsidRPr="00C1721E" w14:paraId="4AECF163" w14:textId="77777777" w:rsidTr="00490837">
        <w:trPr>
          <w:gridAfter w:val="3"/>
          <w:wAfter w:w="1675" w:type="dxa"/>
          <w:trHeight w:val="246"/>
        </w:trPr>
        <w:tc>
          <w:tcPr>
            <w:tcW w:w="254" w:type="dxa"/>
            <w:gridSpan w:val="2"/>
            <w:tcBorders>
              <w:top w:val="nil"/>
              <w:left w:val="nil"/>
              <w:bottom w:val="nil"/>
              <w:right w:val="nil"/>
            </w:tcBorders>
            <w:shd w:val="clear" w:color="auto" w:fill="auto"/>
            <w:noWrap/>
            <w:vAlign w:val="center"/>
            <w:hideMark/>
          </w:tcPr>
          <w:p w14:paraId="121C6136"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1826" w:type="dxa"/>
            <w:tcBorders>
              <w:top w:val="nil"/>
              <w:left w:val="nil"/>
              <w:bottom w:val="nil"/>
              <w:right w:val="nil"/>
            </w:tcBorders>
            <w:shd w:val="clear" w:color="auto" w:fill="auto"/>
            <w:noWrap/>
            <w:vAlign w:val="center"/>
            <w:hideMark/>
          </w:tcPr>
          <w:p w14:paraId="65C9FDFA" w14:textId="77777777" w:rsidR="00C1721E" w:rsidRPr="00C1721E" w:rsidRDefault="00C1721E" w:rsidP="00C1721E">
            <w:pPr>
              <w:spacing w:before="0" w:line="240" w:lineRule="auto"/>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xml:space="preserve">Depreciation and amortisation </w:t>
            </w:r>
          </w:p>
        </w:tc>
        <w:tc>
          <w:tcPr>
            <w:tcW w:w="822" w:type="dxa"/>
            <w:gridSpan w:val="2"/>
            <w:tcBorders>
              <w:top w:val="nil"/>
              <w:left w:val="nil"/>
              <w:bottom w:val="nil"/>
              <w:right w:val="nil"/>
            </w:tcBorders>
            <w:shd w:val="clear" w:color="000000" w:fill="C9E3B4"/>
            <w:noWrap/>
            <w:vAlign w:val="center"/>
            <w:hideMark/>
          </w:tcPr>
          <w:p w14:paraId="112143DA"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4,657</w:t>
            </w:r>
          </w:p>
        </w:tc>
        <w:tc>
          <w:tcPr>
            <w:tcW w:w="371" w:type="dxa"/>
            <w:tcBorders>
              <w:top w:val="nil"/>
              <w:left w:val="nil"/>
              <w:bottom w:val="nil"/>
              <w:right w:val="nil"/>
            </w:tcBorders>
            <w:shd w:val="clear" w:color="auto" w:fill="auto"/>
            <w:noWrap/>
            <w:vAlign w:val="center"/>
            <w:hideMark/>
          </w:tcPr>
          <w:p w14:paraId="4434C87A"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37FBD8B2"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1,229,336</w:t>
            </w:r>
          </w:p>
        </w:tc>
        <w:tc>
          <w:tcPr>
            <w:tcW w:w="372" w:type="dxa"/>
            <w:gridSpan w:val="2"/>
            <w:tcBorders>
              <w:top w:val="nil"/>
              <w:left w:val="nil"/>
              <w:bottom w:val="nil"/>
              <w:right w:val="nil"/>
            </w:tcBorders>
            <w:shd w:val="clear" w:color="auto" w:fill="auto"/>
            <w:noWrap/>
            <w:vAlign w:val="center"/>
            <w:hideMark/>
          </w:tcPr>
          <w:p w14:paraId="53B4FF7A"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62" w:type="dxa"/>
            <w:gridSpan w:val="2"/>
            <w:tcBorders>
              <w:top w:val="nil"/>
              <w:left w:val="nil"/>
              <w:bottom w:val="nil"/>
              <w:right w:val="nil"/>
            </w:tcBorders>
            <w:shd w:val="clear" w:color="000000" w:fill="C9E3B4"/>
            <w:noWrap/>
            <w:vAlign w:val="center"/>
            <w:hideMark/>
          </w:tcPr>
          <w:p w14:paraId="61B9CADA"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12,189</w:t>
            </w:r>
          </w:p>
        </w:tc>
        <w:tc>
          <w:tcPr>
            <w:tcW w:w="372" w:type="dxa"/>
            <w:gridSpan w:val="2"/>
            <w:tcBorders>
              <w:top w:val="nil"/>
              <w:left w:val="nil"/>
              <w:bottom w:val="nil"/>
              <w:right w:val="nil"/>
            </w:tcBorders>
            <w:shd w:val="clear" w:color="auto" w:fill="auto"/>
            <w:noWrap/>
            <w:vAlign w:val="center"/>
            <w:hideMark/>
          </w:tcPr>
          <w:p w14:paraId="2FA7FDBD"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6" w:type="dxa"/>
            <w:gridSpan w:val="2"/>
            <w:tcBorders>
              <w:top w:val="nil"/>
              <w:left w:val="nil"/>
              <w:bottom w:val="nil"/>
              <w:right w:val="nil"/>
            </w:tcBorders>
            <w:shd w:val="clear" w:color="000000" w:fill="C9E3B4"/>
            <w:noWrap/>
            <w:vAlign w:val="center"/>
            <w:hideMark/>
          </w:tcPr>
          <w:p w14:paraId="5ABE0EC1"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5,051</w:t>
            </w:r>
          </w:p>
        </w:tc>
        <w:tc>
          <w:tcPr>
            <w:tcW w:w="372" w:type="dxa"/>
            <w:tcBorders>
              <w:top w:val="nil"/>
              <w:left w:val="nil"/>
              <w:bottom w:val="nil"/>
              <w:right w:val="nil"/>
            </w:tcBorders>
            <w:shd w:val="clear" w:color="auto" w:fill="auto"/>
            <w:noWrap/>
            <w:vAlign w:val="center"/>
            <w:hideMark/>
          </w:tcPr>
          <w:p w14:paraId="4848ECD0"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53" w:type="dxa"/>
            <w:gridSpan w:val="2"/>
            <w:tcBorders>
              <w:top w:val="nil"/>
              <w:left w:val="nil"/>
              <w:bottom w:val="nil"/>
              <w:right w:val="nil"/>
            </w:tcBorders>
            <w:shd w:val="clear" w:color="000000" w:fill="C9E3B4"/>
            <w:noWrap/>
            <w:vAlign w:val="center"/>
            <w:hideMark/>
          </w:tcPr>
          <w:p w14:paraId="30B1B437"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93,662</w:t>
            </w:r>
          </w:p>
        </w:tc>
        <w:tc>
          <w:tcPr>
            <w:tcW w:w="372" w:type="dxa"/>
            <w:gridSpan w:val="2"/>
            <w:tcBorders>
              <w:top w:val="nil"/>
              <w:left w:val="nil"/>
              <w:bottom w:val="nil"/>
              <w:right w:val="nil"/>
            </w:tcBorders>
            <w:shd w:val="clear" w:color="auto" w:fill="auto"/>
            <w:noWrap/>
            <w:vAlign w:val="center"/>
            <w:hideMark/>
          </w:tcPr>
          <w:p w14:paraId="2C5B74DA"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4B9EA4FD"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10,784</w:t>
            </w:r>
          </w:p>
        </w:tc>
        <w:tc>
          <w:tcPr>
            <w:tcW w:w="372" w:type="dxa"/>
            <w:gridSpan w:val="2"/>
            <w:tcBorders>
              <w:top w:val="nil"/>
              <w:left w:val="nil"/>
              <w:bottom w:val="nil"/>
              <w:right w:val="nil"/>
            </w:tcBorders>
            <w:shd w:val="clear" w:color="auto" w:fill="auto"/>
            <w:noWrap/>
            <w:vAlign w:val="center"/>
            <w:hideMark/>
          </w:tcPr>
          <w:p w14:paraId="202C56ED"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1" w:type="dxa"/>
            <w:gridSpan w:val="2"/>
            <w:tcBorders>
              <w:top w:val="nil"/>
              <w:left w:val="nil"/>
              <w:bottom w:val="nil"/>
              <w:right w:val="nil"/>
            </w:tcBorders>
            <w:shd w:val="clear" w:color="000000" w:fill="C9E3B4"/>
            <w:noWrap/>
            <w:vAlign w:val="center"/>
            <w:hideMark/>
          </w:tcPr>
          <w:p w14:paraId="600F93D8"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xml:space="preserve">- </w:t>
            </w:r>
          </w:p>
        </w:tc>
        <w:tc>
          <w:tcPr>
            <w:tcW w:w="497" w:type="dxa"/>
            <w:gridSpan w:val="2"/>
            <w:tcBorders>
              <w:top w:val="nil"/>
              <w:left w:val="nil"/>
              <w:bottom w:val="nil"/>
              <w:right w:val="nil"/>
            </w:tcBorders>
            <w:shd w:val="clear" w:color="auto" w:fill="auto"/>
            <w:noWrap/>
            <w:vAlign w:val="center"/>
            <w:hideMark/>
          </w:tcPr>
          <w:p w14:paraId="50A7A5D3"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7" w:type="dxa"/>
            <w:gridSpan w:val="2"/>
            <w:tcBorders>
              <w:top w:val="nil"/>
              <w:left w:val="nil"/>
              <w:bottom w:val="nil"/>
              <w:right w:val="nil"/>
            </w:tcBorders>
            <w:shd w:val="clear" w:color="000000" w:fill="C9E3B4"/>
            <w:noWrap/>
            <w:vAlign w:val="center"/>
            <w:hideMark/>
          </w:tcPr>
          <w:p w14:paraId="4A91801F"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1,355,679</w:t>
            </w:r>
          </w:p>
        </w:tc>
      </w:tr>
      <w:tr w:rsidR="00490837" w:rsidRPr="00C1721E" w14:paraId="4BFC66B6" w14:textId="77777777" w:rsidTr="00490837">
        <w:trPr>
          <w:gridAfter w:val="3"/>
          <w:wAfter w:w="1675" w:type="dxa"/>
          <w:trHeight w:val="254"/>
        </w:trPr>
        <w:tc>
          <w:tcPr>
            <w:tcW w:w="254" w:type="dxa"/>
            <w:gridSpan w:val="2"/>
            <w:tcBorders>
              <w:top w:val="nil"/>
              <w:left w:val="nil"/>
              <w:bottom w:val="single" w:sz="8" w:space="0" w:color="auto"/>
              <w:right w:val="nil"/>
            </w:tcBorders>
            <w:shd w:val="clear" w:color="auto" w:fill="auto"/>
            <w:noWrap/>
            <w:vAlign w:val="center"/>
            <w:hideMark/>
          </w:tcPr>
          <w:p w14:paraId="7EF551C8" w14:textId="77777777" w:rsidR="00C1721E" w:rsidRPr="00C1721E" w:rsidRDefault="00C1721E" w:rsidP="00C1721E">
            <w:pPr>
              <w:spacing w:before="0" w:line="240" w:lineRule="auto"/>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1826" w:type="dxa"/>
            <w:tcBorders>
              <w:top w:val="nil"/>
              <w:left w:val="nil"/>
              <w:bottom w:val="nil"/>
              <w:right w:val="nil"/>
            </w:tcBorders>
            <w:shd w:val="clear" w:color="auto" w:fill="auto"/>
            <w:noWrap/>
            <w:vAlign w:val="center"/>
            <w:hideMark/>
          </w:tcPr>
          <w:p w14:paraId="244F584C" w14:textId="77777777" w:rsidR="00C1721E" w:rsidRPr="00C1721E" w:rsidRDefault="00C1721E" w:rsidP="00C1721E">
            <w:pPr>
              <w:spacing w:before="0" w:line="240" w:lineRule="auto"/>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Other expenses</w:t>
            </w:r>
          </w:p>
        </w:tc>
        <w:tc>
          <w:tcPr>
            <w:tcW w:w="822" w:type="dxa"/>
            <w:gridSpan w:val="2"/>
            <w:tcBorders>
              <w:top w:val="nil"/>
              <w:left w:val="nil"/>
              <w:bottom w:val="single" w:sz="8" w:space="0" w:color="auto"/>
              <w:right w:val="nil"/>
            </w:tcBorders>
            <w:shd w:val="clear" w:color="000000" w:fill="C9E3B4"/>
            <w:noWrap/>
            <w:vAlign w:val="center"/>
            <w:hideMark/>
          </w:tcPr>
          <w:p w14:paraId="12FB3228"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7,953</w:t>
            </w:r>
          </w:p>
        </w:tc>
        <w:tc>
          <w:tcPr>
            <w:tcW w:w="371" w:type="dxa"/>
            <w:tcBorders>
              <w:top w:val="nil"/>
              <w:left w:val="nil"/>
              <w:bottom w:val="single" w:sz="8" w:space="0" w:color="auto"/>
              <w:right w:val="nil"/>
            </w:tcBorders>
            <w:shd w:val="clear" w:color="auto" w:fill="auto"/>
            <w:noWrap/>
            <w:vAlign w:val="center"/>
            <w:hideMark/>
          </w:tcPr>
          <w:p w14:paraId="49BFD424"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835" w:type="dxa"/>
            <w:gridSpan w:val="2"/>
            <w:tcBorders>
              <w:top w:val="nil"/>
              <w:left w:val="nil"/>
              <w:bottom w:val="single" w:sz="8" w:space="0" w:color="auto"/>
              <w:right w:val="nil"/>
            </w:tcBorders>
            <w:shd w:val="clear" w:color="000000" w:fill="C9E3B4"/>
            <w:noWrap/>
            <w:vAlign w:val="center"/>
            <w:hideMark/>
          </w:tcPr>
          <w:p w14:paraId="5F3A37FA"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13,377</w:t>
            </w:r>
          </w:p>
        </w:tc>
        <w:tc>
          <w:tcPr>
            <w:tcW w:w="372" w:type="dxa"/>
            <w:gridSpan w:val="2"/>
            <w:tcBorders>
              <w:top w:val="nil"/>
              <w:left w:val="nil"/>
              <w:bottom w:val="single" w:sz="8" w:space="0" w:color="auto"/>
              <w:right w:val="nil"/>
            </w:tcBorders>
            <w:shd w:val="clear" w:color="auto" w:fill="auto"/>
            <w:noWrap/>
            <w:vAlign w:val="center"/>
            <w:hideMark/>
          </w:tcPr>
          <w:p w14:paraId="578255EC"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662" w:type="dxa"/>
            <w:gridSpan w:val="2"/>
            <w:tcBorders>
              <w:top w:val="nil"/>
              <w:left w:val="nil"/>
              <w:bottom w:val="single" w:sz="8" w:space="0" w:color="auto"/>
              <w:right w:val="nil"/>
            </w:tcBorders>
            <w:shd w:val="clear" w:color="000000" w:fill="C9E3B4"/>
            <w:noWrap/>
            <w:vAlign w:val="center"/>
            <w:hideMark/>
          </w:tcPr>
          <w:p w14:paraId="3E273259"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2,658</w:t>
            </w:r>
          </w:p>
        </w:tc>
        <w:tc>
          <w:tcPr>
            <w:tcW w:w="372" w:type="dxa"/>
            <w:gridSpan w:val="2"/>
            <w:tcBorders>
              <w:top w:val="nil"/>
              <w:left w:val="nil"/>
              <w:bottom w:val="single" w:sz="8" w:space="0" w:color="auto"/>
              <w:right w:val="nil"/>
            </w:tcBorders>
            <w:shd w:val="clear" w:color="auto" w:fill="auto"/>
            <w:noWrap/>
            <w:vAlign w:val="center"/>
            <w:hideMark/>
          </w:tcPr>
          <w:p w14:paraId="00C36497"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696" w:type="dxa"/>
            <w:gridSpan w:val="2"/>
            <w:tcBorders>
              <w:top w:val="nil"/>
              <w:left w:val="nil"/>
              <w:bottom w:val="single" w:sz="8" w:space="0" w:color="auto"/>
              <w:right w:val="nil"/>
            </w:tcBorders>
            <w:shd w:val="clear" w:color="000000" w:fill="C9E3B4"/>
            <w:noWrap/>
            <w:vAlign w:val="center"/>
            <w:hideMark/>
          </w:tcPr>
          <w:p w14:paraId="62F6A9AE"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613</w:t>
            </w:r>
          </w:p>
        </w:tc>
        <w:tc>
          <w:tcPr>
            <w:tcW w:w="372" w:type="dxa"/>
            <w:tcBorders>
              <w:top w:val="nil"/>
              <w:left w:val="nil"/>
              <w:bottom w:val="single" w:sz="8" w:space="0" w:color="auto"/>
              <w:right w:val="nil"/>
            </w:tcBorders>
            <w:shd w:val="clear" w:color="auto" w:fill="auto"/>
            <w:noWrap/>
            <w:vAlign w:val="center"/>
            <w:hideMark/>
          </w:tcPr>
          <w:p w14:paraId="2BD8543A"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653" w:type="dxa"/>
            <w:gridSpan w:val="2"/>
            <w:tcBorders>
              <w:top w:val="nil"/>
              <w:left w:val="nil"/>
              <w:bottom w:val="single" w:sz="8" w:space="0" w:color="auto"/>
              <w:right w:val="nil"/>
            </w:tcBorders>
            <w:shd w:val="clear" w:color="000000" w:fill="C9E3B4"/>
            <w:noWrap/>
            <w:vAlign w:val="center"/>
            <w:hideMark/>
          </w:tcPr>
          <w:p w14:paraId="2523F61C"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2,244</w:t>
            </w:r>
          </w:p>
        </w:tc>
        <w:tc>
          <w:tcPr>
            <w:tcW w:w="372" w:type="dxa"/>
            <w:gridSpan w:val="2"/>
            <w:tcBorders>
              <w:top w:val="nil"/>
              <w:left w:val="nil"/>
              <w:bottom w:val="single" w:sz="8" w:space="0" w:color="auto"/>
              <w:right w:val="nil"/>
            </w:tcBorders>
            <w:shd w:val="clear" w:color="auto" w:fill="auto"/>
            <w:noWrap/>
            <w:vAlign w:val="center"/>
            <w:hideMark/>
          </w:tcPr>
          <w:p w14:paraId="6FA55D1F"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835" w:type="dxa"/>
            <w:gridSpan w:val="2"/>
            <w:tcBorders>
              <w:top w:val="nil"/>
              <w:left w:val="nil"/>
              <w:bottom w:val="single" w:sz="8" w:space="0" w:color="auto"/>
              <w:right w:val="nil"/>
            </w:tcBorders>
            <w:shd w:val="clear" w:color="000000" w:fill="C9E3B4"/>
            <w:noWrap/>
            <w:vAlign w:val="center"/>
            <w:hideMark/>
          </w:tcPr>
          <w:p w14:paraId="35F25D02"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33,482</w:t>
            </w:r>
          </w:p>
        </w:tc>
        <w:tc>
          <w:tcPr>
            <w:tcW w:w="372" w:type="dxa"/>
            <w:gridSpan w:val="2"/>
            <w:tcBorders>
              <w:top w:val="nil"/>
              <w:left w:val="nil"/>
              <w:bottom w:val="single" w:sz="8" w:space="0" w:color="auto"/>
              <w:right w:val="nil"/>
            </w:tcBorders>
            <w:shd w:val="clear" w:color="auto" w:fill="auto"/>
            <w:noWrap/>
            <w:vAlign w:val="center"/>
            <w:hideMark/>
          </w:tcPr>
          <w:p w14:paraId="2DE6DB30"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831" w:type="dxa"/>
            <w:gridSpan w:val="2"/>
            <w:tcBorders>
              <w:top w:val="nil"/>
              <w:left w:val="nil"/>
              <w:bottom w:val="single" w:sz="8" w:space="0" w:color="auto"/>
              <w:right w:val="nil"/>
            </w:tcBorders>
            <w:shd w:val="clear" w:color="000000" w:fill="C9E3B4"/>
            <w:noWrap/>
            <w:vAlign w:val="center"/>
            <w:hideMark/>
          </w:tcPr>
          <w:p w14:paraId="0C738287"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-32,196</w:t>
            </w:r>
          </w:p>
        </w:tc>
        <w:tc>
          <w:tcPr>
            <w:tcW w:w="497" w:type="dxa"/>
            <w:gridSpan w:val="2"/>
            <w:tcBorders>
              <w:top w:val="nil"/>
              <w:left w:val="nil"/>
              <w:bottom w:val="single" w:sz="8" w:space="0" w:color="auto"/>
              <w:right w:val="nil"/>
            </w:tcBorders>
            <w:shd w:val="clear" w:color="auto" w:fill="auto"/>
            <w:noWrap/>
            <w:vAlign w:val="center"/>
            <w:hideMark/>
          </w:tcPr>
          <w:p w14:paraId="46633076"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697" w:type="dxa"/>
            <w:gridSpan w:val="2"/>
            <w:tcBorders>
              <w:top w:val="nil"/>
              <w:left w:val="nil"/>
              <w:bottom w:val="single" w:sz="8" w:space="0" w:color="auto"/>
              <w:right w:val="nil"/>
            </w:tcBorders>
            <w:shd w:val="clear" w:color="000000" w:fill="C9E3B4"/>
            <w:noWrap/>
            <w:vAlign w:val="center"/>
            <w:hideMark/>
          </w:tcPr>
          <w:p w14:paraId="6646FA47"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28,131</w:t>
            </w:r>
          </w:p>
        </w:tc>
      </w:tr>
      <w:tr w:rsidR="00490837" w:rsidRPr="00C1721E" w14:paraId="44D44A91" w14:textId="77777777" w:rsidTr="00490837">
        <w:trPr>
          <w:gridAfter w:val="3"/>
          <w:wAfter w:w="1675" w:type="dxa"/>
          <w:trHeight w:hRule="exact" w:val="356"/>
        </w:trPr>
        <w:tc>
          <w:tcPr>
            <w:tcW w:w="254" w:type="dxa"/>
            <w:gridSpan w:val="2"/>
            <w:tcBorders>
              <w:top w:val="nil"/>
              <w:left w:val="nil"/>
              <w:bottom w:val="nil"/>
              <w:right w:val="nil"/>
            </w:tcBorders>
            <w:shd w:val="clear" w:color="auto" w:fill="auto"/>
            <w:noWrap/>
            <w:vAlign w:val="center"/>
            <w:hideMark/>
          </w:tcPr>
          <w:p w14:paraId="2CFD23B1"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1826" w:type="dxa"/>
            <w:tcBorders>
              <w:top w:val="single" w:sz="8" w:space="0" w:color="auto"/>
              <w:left w:val="nil"/>
              <w:bottom w:val="nil"/>
              <w:right w:val="nil"/>
            </w:tcBorders>
            <w:shd w:val="clear" w:color="auto" w:fill="auto"/>
            <w:vAlign w:val="center"/>
            <w:hideMark/>
          </w:tcPr>
          <w:p w14:paraId="064F1366" w14:textId="77777777" w:rsidR="00C1721E" w:rsidRPr="00C1721E" w:rsidRDefault="00C1721E" w:rsidP="00C1721E">
            <w:pPr>
              <w:spacing w:before="0" w:line="240" w:lineRule="auto"/>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Total expenses</w:t>
            </w:r>
          </w:p>
        </w:tc>
        <w:tc>
          <w:tcPr>
            <w:tcW w:w="822" w:type="dxa"/>
            <w:gridSpan w:val="2"/>
            <w:tcBorders>
              <w:top w:val="nil"/>
              <w:left w:val="nil"/>
              <w:bottom w:val="nil"/>
              <w:right w:val="nil"/>
            </w:tcBorders>
            <w:shd w:val="clear" w:color="000000" w:fill="C9E3B4"/>
            <w:noWrap/>
            <w:vAlign w:val="center"/>
            <w:hideMark/>
          </w:tcPr>
          <w:p w14:paraId="22A7D838"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143,084</w:t>
            </w:r>
          </w:p>
        </w:tc>
        <w:tc>
          <w:tcPr>
            <w:tcW w:w="371" w:type="dxa"/>
            <w:tcBorders>
              <w:top w:val="nil"/>
              <w:left w:val="nil"/>
              <w:bottom w:val="nil"/>
              <w:right w:val="nil"/>
            </w:tcBorders>
            <w:shd w:val="clear" w:color="auto" w:fill="auto"/>
            <w:noWrap/>
            <w:vAlign w:val="center"/>
            <w:hideMark/>
          </w:tcPr>
          <w:p w14:paraId="1C1E9D9C"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5D91252A"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2,886,227</w:t>
            </w:r>
          </w:p>
        </w:tc>
        <w:tc>
          <w:tcPr>
            <w:tcW w:w="372" w:type="dxa"/>
            <w:gridSpan w:val="2"/>
            <w:tcBorders>
              <w:top w:val="nil"/>
              <w:left w:val="nil"/>
              <w:bottom w:val="nil"/>
              <w:right w:val="nil"/>
            </w:tcBorders>
            <w:shd w:val="clear" w:color="auto" w:fill="auto"/>
            <w:noWrap/>
            <w:vAlign w:val="center"/>
            <w:hideMark/>
          </w:tcPr>
          <w:p w14:paraId="244B9EA4"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662" w:type="dxa"/>
            <w:gridSpan w:val="2"/>
            <w:tcBorders>
              <w:top w:val="nil"/>
              <w:left w:val="nil"/>
              <w:bottom w:val="nil"/>
              <w:right w:val="nil"/>
            </w:tcBorders>
            <w:shd w:val="clear" w:color="000000" w:fill="C9E3B4"/>
            <w:noWrap/>
            <w:vAlign w:val="center"/>
            <w:hideMark/>
          </w:tcPr>
          <w:p w14:paraId="0411C004"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314,072</w:t>
            </w:r>
          </w:p>
        </w:tc>
        <w:tc>
          <w:tcPr>
            <w:tcW w:w="372" w:type="dxa"/>
            <w:gridSpan w:val="2"/>
            <w:tcBorders>
              <w:top w:val="nil"/>
              <w:left w:val="nil"/>
              <w:bottom w:val="nil"/>
              <w:right w:val="nil"/>
            </w:tcBorders>
            <w:shd w:val="clear" w:color="auto" w:fill="auto"/>
            <w:noWrap/>
            <w:vAlign w:val="center"/>
            <w:hideMark/>
          </w:tcPr>
          <w:p w14:paraId="3800030A"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696" w:type="dxa"/>
            <w:gridSpan w:val="2"/>
            <w:tcBorders>
              <w:top w:val="nil"/>
              <w:left w:val="nil"/>
              <w:bottom w:val="nil"/>
              <w:right w:val="nil"/>
            </w:tcBorders>
            <w:shd w:val="clear" w:color="000000" w:fill="C9E3B4"/>
            <w:noWrap/>
            <w:vAlign w:val="center"/>
            <w:hideMark/>
          </w:tcPr>
          <w:p w14:paraId="73816933"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350,526</w:t>
            </w:r>
          </w:p>
        </w:tc>
        <w:tc>
          <w:tcPr>
            <w:tcW w:w="372" w:type="dxa"/>
            <w:tcBorders>
              <w:top w:val="nil"/>
              <w:left w:val="nil"/>
              <w:bottom w:val="nil"/>
              <w:right w:val="nil"/>
            </w:tcBorders>
            <w:shd w:val="clear" w:color="auto" w:fill="auto"/>
            <w:noWrap/>
            <w:vAlign w:val="center"/>
            <w:hideMark/>
          </w:tcPr>
          <w:p w14:paraId="46ADD02C"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653" w:type="dxa"/>
            <w:gridSpan w:val="2"/>
            <w:tcBorders>
              <w:top w:val="nil"/>
              <w:left w:val="nil"/>
              <w:bottom w:val="nil"/>
              <w:right w:val="nil"/>
            </w:tcBorders>
            <w:shd w:val="clear" w:color="000000" w:fill="C9E3B4"/>
            <w:noWrap/>
            <w:vAlign w:val="center"/>
            <w:hideMark/>
          </w:tcPr>
          <w:p w14:paraId="15181190"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3,512,867</w:t>
            </w:r>
          </w:p>
        </w:tc>
        <w:tc>
          <w:tcPr>
            <w:tcW w:w="372" w:type="dxa"/>
            <w:gridSpan w:val="2"/>
            <w:tcBorders>
              <w:top w:val="nil"/>
              <w:left w:val="nil"/>
              <w:bottom w:val="nil"/>
              <w:right w:val="nil"/>
            </w:tcBorders>
            <w:shd w:val="clear" w:color="auto" w:fill="auto"/>
            <w:noWrap/>
            <w:vAlign w:val="center"/>
            <w:hideMark/>
          </w:tcPr>
          <w:p w14:paraId="5766722A"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10369F96"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831,999</w:t>
            </w:r>
          </w:p>
        </w:tc>
        <w:tc>
          <w:tcPr>
            <w:tcW w:w="372" w:type="dxa"/>
            <w:gridSpan w:val="2"/>
            <w:tcBorders>
              <w:top w:val="nil"/>
              <w:left w:val="nil"/>
              <w:bottom w:val="nil"/>
              <w:right w:val="nil"/>
            </w:tcBorders>
            <w:shd w:val="clear" w:color="auto" w:fill="auto"/>
            <w:noWrap/>
            <w:vAlign w:val="center"/>
            <w:hideMark/>
          </w:tcPr>
          <w:p w14:paraId="1A94E74E"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831" w:type="dxa"/>
            <w:gridSpan w:val="2"/>
            <w:tcBorders>
              <w:top w:val="nil"/>
              <w:left w:val="nil"/>
              <w:bottom w:val="nil"/>
              <w:right w:val="nil"/>
            </w:tcBorders>
            <w:shd w:val="clear" w:color="000000" w:fill="C9E3B4"/>
            <w:noWrap/>
            <w:vAlign w:val="center"/>
            <w:hideMark/>
          </w:tcPr>
          <w:p w14:paraId="5D7A5C72"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-860,626</w:t>
            </w:r>
          </w:p>
        </w:tc>
        <w:tc>
          <w:tcPr>
            <w:tcW w:w="497" w:type="dxa"/>
            <w:gridSpan w:val="2"/>
            <w:tcBorders>
              <w:top w:val="nil"/>
              <w:left w:val="nil"/>
              <w:bottom w:val="nil"/>
              <w:right w:val="nil"/>
            </w:tcBorders>
            <w:shd w:val="clear" w:color="auto" w:fill="auto"/>
            <w:noWrap/>
            <w:vAlign w:val="center"/>
            <w:hideMark/>
          </w:tcPr>
          <w:p w14:paraId="3A397BB3"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697" w:type="dxa"/>
            <w:gridSpan w:val="2"/>
            <w:tcBorders>
              <w:top w:val="nil"/>
              <w:left w:val="nil"/>
              <w:bottom w:val="nil"/>
              <w:right w:val="nil"/>
            </w:tcBorders>
            <w:shd w:val="clear" w:color="000000" w:fill="C9E3B4"/>
            <w:noWrap/>
            <w:vAlign w:val="center"/>
            <w:hideMark/>
          </w:tcPr>
          <w:p w14:paraId="4A4B4649"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7,178,149</w:t>
            </w:r>
          </w:p>
        </w:tc>
      </w:tr>
      <w:tr w:rsidR="00490837" w:rsidRPr="00C1721E" w14:paraId="2685255E" w14:textId="77777777" w:rsidTr="00490837">
        <w:trPr>
          <w:gridAfter w:val="3"/>
          <w:wAfter w:w="1675" w:type="dxa"/>
          <w:trHeight w:val="246"/>
        </w:trPr>
        <w:tc>
          <w:tcPr>
            <w:tcW w:w="254" w:type="dxa"/>
            <w:gridSpan w:val="2"/>
            <w:tcBorders>
              <w:top w:val="nil"/>
              <w:left w:val="nil"/>
              <w:bottom w:val="nil"/>
              <w:right w:val="nil"/>
            </w:tcBorders>
            <w:shd w:val="clear" w:color="auto" w:fill="auto"/>
            <w:noWrap/>
            <w:vAlign w:val="center"/>
            <w:hideMark/>
          </w:tcPr>
          <w:p w14:paraId="1F3D73AB"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1826" w:type="dxa"/>
            <w:tcBorders>
              <w:top w:val="nil"/>
              <w:left w:val="nil"/>
              <w:bottom w:val="nil"/>
              <w:right w:val="nil"/>
            </w:tcBorders>
            <w:shd w:val="clear" w:color="auto" w:fill="auto"/>
            <w:noWrap/>
            <w:vAlign w:val="center"/>
            <w:hideMark/>
          </w:tcPr>
          <w:p w14:paraId="138B3C8B"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822" w:type="dxa"/>
            <w:gridSpan w:val="2"/>
            <w:tcBorders>
              <w:top w:val="nil"/>
              <w:left w:val="nil"/>
              <w:bottom w:val="nil"/>
              <w:right w:val="nil"/>
            </w:tcBorders>
            <w:shd w:val="clear" w:color="000000" w:fill="C9E3B4"/>
            <w:noWrap/>
            <w:vAlign w:val="center"/>
            <w:hideMark/>
          </w:tcPr>
          <w:p w14:paraId="5F9E56AB"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1" w:type="dxa"/>
            <w:tcBorders>
              <w:top w:val="nil"/>
              <w:left w:val="nil"/>
              <w:bottom w:val="nil"/>
              <w:right w:val="nil"/>
            </w:tcBorders>
            <w:shd w:val="clear" w:color="auto" w:fill="auto"/>
            <w:noWrap/>
            <w:vAlign w:val="center"/>
            <w:hideMark/>
          </w:tcPr>
          <w:p w14:paraId="586FC479"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52D13471"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3ED5AEC3"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62" w:type="dxa"/>
            <w:gridSpan w:val="2"/>
            <w:tcBorders>
              <w:top w:val="nil"/>
              <w:left w:val="nil"/>
              <w:bottom w:val="nil"/>
              <w:right w:val="nil"/>
            </w:tcBorders>
            <w:shd w:val="clear" w:color="000000" w:fill="C9E3B4"/>
            <w:noWrap/>
            <w:vAlign w:val="center"/>
            <w:hideMark/>
          </w:tcPr>
          <w:p w14:paraId="269E5545"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2339F728"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6" w:type="dxa"/>
            <w:gridSpan w:val="2"/>
            <w:tcBorders>
              <w:top w:val="nil"/>
              <w:left w:val="nil"/>
              <w:bottom w:val="nil"/>
              <w:right w:val="nil"/>
            </w:tcBorders>
            <w:shd w:val="clear" w:color="000000" w:fill="C9E3B4"/>
            <w:noWrap/>
            <w:vAlign w:val="center"/>
            <w:hideMark/>
          </w:tcPr>
          <w:p w14:paraId="01CB9120"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tcBorders>
              <w:top w:val="nil"/>
              <w:left w:val="nil"/>
              <w:bottom w:val="nil"/>
              <w:right w:val="nil"/>
            </w:tcBorders>
            <w:shd w:val="clear" w:color="auto" w:fill="auto"/>
            <w:noWrap/>
            <w:vAlign w:val="center"/>
            <w:hideMark/>
          </w:tcPr>
          <w:p w14:paraId="798B390F"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53" w:type="dxa"/>
            <w:gridSpan w:val="2"/>
            <w:tcBorders>
              <w:top w:val="nil"/>
              <w:left w:val="nil"/>
              <w:bottom w:val="nil"/>
              <w:right w:val="nil"/>
            </w:tcBorders>
            <w:shd w:val="clear" w:color="000000" w:fill="C9E3B4"/>
            <w:noWrap/>
            <w:vAlign w:val="center"/>
            <w:hideMark/>
          </w:tcPr>
          <w:p w14:paraId="6D18FCBE"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72A5055F"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3FCC138F"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13172D25"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1" w:type="dxa"/>
            <w:gridSpan w:val="2"/>
            <w:tcBorders>
              <w:top w:val="nil"/>
              <w:left w:val="nil"/>
              <w:bottom w:val="nil"/>
              <w:right w:val="nil"/>
            </w:tcBorders>
            <w:shd w:val="clear" w:color="000000" w:fill="C9E3B4"/>
            <w:noWrap/>
            <w:vAlign w:val="center"/>
            <w:hideMark/>
          </w:tcPr>
          <w:p w14:paraId="7B2B8FE6"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497" w:type="dxa"/>
            <w:gridSpan w:val="2"/>
            <w:tcBorders>
              <w:top w:val="nil"/>
              <w:left w:val="nil"/>
              <w:bottom w:val="nil"/>
              <w:right w:val="nil"/>
            </w:tcBorders>
            <w:shd w:val="clear" w:color="auto" w:fill="auto"/>
            <w:noWrap/>
            <w:vAlign w:val="center"/>
            <w:hideMark/>
          </w:tcPr>
          <w:p w14:paraId="513C51E1"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7" w:type="dxa"/>
            <w:gridSpan w:val="2"/>
            <w:tcBorders>
              <w:top w:val="nil"/>
              <w:left w:val="nil"/>
              <w:bottom w:val="nil"/>
              <w:right w:val="nil"/>
            </w:tcBorders>
            <w:shd w:val="clear" w:color="000000" w:fill="C9E3B4"/>
            <w:noWrap/>
            <w:vAlign w:val="center"/>
            <w:hideMark/>
          </w:tcPr>
          <w:p w14:paraId="121E112A"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w:t>
            </w:r>
          </w:p>
        </w:tc>
      </w:tr>
      <w:tr w:rsidR="00490837" w:rsidRPr="00C1721E" w14:paraId="6A793842" w14:textId="77777777" w:rsidTr="00490837">
        <w:trPr>
          <w:gridAfter w:val="3"/>
          <w:wAfter w:w="1675" w:type="dxa"/>
          <w:trHeight w:hRule="exact" w:val="246"/>
        </w:trPr>
        <w:tc>
          <w:tcPr>
            <w:tcW w:w="2080" w:type="dxa"/>
            <w:gridSpan w:val="3"/>
            <w:tcBorders>
              <w:top w:val="nil"/>
              <w:left w:val="nil"/>
              <w:bottom w:val="nil"/>
              <w:right w:val="nil"/>
            </w:tcBorders>
            <w:shd w:val="clear" w:color="auto" w:fill="auto"/>
            <w:noWrap/>
            <w:vAlign w:val="center"/>
            <w:hideMark/>
          </w:tcPr>
          <w:p w14:paraId="5CF747F6" w14:textId="77777777" w:rsidR="00C1721E" w:rsidRPr="00C1721E" w:rsidRDefault="00C1721E" w:rsidP="00C1721E">
            <w:pPr>
              <w:spacing w:before="0" w:line="240" w:lineRule="auto"/>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lastRenderedPageBreak/>
              <w:t>Operating result before income tax equivalent expense</w:t>
            </w:r>
          </w:p>
        </w:tc>
        <w:tc>
          <w:tcPr>
            <w:tcW w:w="822" w:type="dxa"/>
            <w:gridSpan w:val="2"/>
            <w:tcBorders>
              <w:top w:val="nil"/>
              <w:left w:val="nil"/>
              <w:bottom w:val="nil"/>
              <w:right w:val="nil"/>
            </w:tcBorders>
            <w:shd w:val="clear" w:color="000000" w:fill="C9E3B4"/>
            <w:noWrap/>
            <w:vAlign w:val="center"/>
            <w:hideMark/>
          </w:tcPr>
          <w:p w14:paraId="159086C8"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xml:space="preserve">- </w:t>
            </w:r>
          </w:p>
        </w:tc>
        <w:tc>
          <w:tcPr>
            <w:tcW w:w="371" w:type="dxa"/>
            <w:tcBorders>
              <w:top w:val="nil"/>
              <w:left w:val="nil"/>
              <w:bottom w:val="nil"/>
              <w:right w:val="nil"/>
            </w:tcBorders>
            <w:shd w:val="clear" w:color="auto" w:fill="auto"/>
            <w:noWrap/>
            <w:vAlign w:val="center"/>
            <w:hideMark/>
          </w:tcPr>
          <w:p w14:paraId="648F5509"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69BE24D1"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135,903</w:t>
            </w:r>
          </w:p>
        </w:tc>
        <w:tc>
          <w:tcPr>
            <w:tcW w:w="372" w:type="dxa"/>
            <w:gridSpan w:val="2"/>
            <w:tcBorders>
              <w:top w:val="nil"/>
              <w:left w:val="nil"/>
              <w:bottom w:val="nil"/>
              <w:right w:val="nil"/>
            </w:tcBorders>
            <w:shd w:val="clear" w:color="auto" w:fill="auto"/>
            <w:noWrap/>
            <w:vAlign w:val="center"/>
            <w:hideMark/>
          </w:tcPr>
          <w:p w14:paraId="3E974B01"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662" w:type="dxa"/>
            <w:gridSpan w:val="2"/>
            <w:tcBorders>
              <w:top w:val="nil"/>
              <w:left w:val="nil"/>
              <w:bottom w:val="nil"/>
              <w:right w:val="nil"/>
            </w:tcBorders>
            <w:shd w:val="clear" w:color="000000" w:fill="C9E3B4"/>
            <w:noWrap/>
            <w:vAlign w:val="center"/>
            <w:hideMark/>
          </w:tcPr>
          <w:p w14:paraId="4D25407A"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xml:space="preserve">- </w:t>
            </w:r>
          </w:p>
        </w:tc>
        <w:tc>
          <w:tcPr>
            <w:tcW w:w="372" w:type="dxa"/>
            <w:gridSpan w:val="2"/>
            <w:tcBorders>
              <w:top w:val="nil"/>
              <w:left w:val="nil"/>
              <w:bottom w:val="nil"/>
              <w:right w:val="nil"/>
            </w:tcBorders>
            <w:shd w:val="clear" w:color="auto" w:fill="auto"/>
            <w:noWrap/>
            <w:vAlign w:val="center"/>
            <w:hideMark/>
          </w:tcPr>
          <w:p w14:paraId="29275D5E"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696" w:type="dxa"/>
            <w:gridSpan w:val="2"/>
            <w:tcBorders>
              <w:top w:val="nil"/>
              <w:left w:val="nil"/>
              <w:bottom w:val="nil"/>
              <w:right w:val="nil"/>
            </w:tcBorders>
            <w:shd w:val="clear" w:color="000000" w:fill="C9E3B4"/>
            <w:noWrap/>
            <w:vAlign w:val="center"/>
            <w:hideMark/>
          </w:tcPr>
          <w:p w14:paraId="663598D7"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xml:space="preserve">- </w:t>
            </w:r>
          </w:p>
        </w:tc>
        <w:tc>
          <w:tcPr>
            <w:tcW w:w="372" w:type="dxa"/>
            <w:tcBorders>
              <w:top w:val="nil"/>
              <w:left w:val="nil"/>
              <w:bottom w:val="nil"/>
              <w:right w:val="nil"/>
            </w:tcBorders>
            <w:shd w:val="clear" w:color="auto" w:fill="auto"/>
            <w:noWrap/>
            <w:vAlign w:val="center"/>
            <w:hideMark/>
          </w:tcPr>
          <w:p w14:paraId="31356B10"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653" w:type="dxa"/>
            <w:gridSpan w:val="2"/>
            <w:tcBorders>
              <w:top w:val="nil"/>
              <w:left w:val="nil"/>
              <w:bottom w:val="nil"/>
              <w:right w:val="nil"/>
            </w:tcBorders>
            <w:shd w:val="clear" w:color="000000" w:fill="C9E3B4"/>
            <w:noWrap/>
            <w:vAlign w:val="center"/>
            <w:hideMark/>
          </w:tcPr>
          <w:p w14:paraId="6959216C"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-185,904</w:t>
            </w:r>
          </w:p>
        </w:tc>
        <w:tc>
          <w:tcPr>
            <w:tcW w:w="372" w:type="dxa"/>
            <w:gridSpan w:val="2"/>
            <w:tcBorders>
              <w:top w:val="nil"/>
              <w:left w:val="nil"/>
              <w:bottom w:val="nil"/>
              <w:right w:val="nil"/>
            </w:tcBorders>
            <w:shd w:val="clear" w:color="auto" w:fill="auto"/>
            <w:noWrap/>
            <w:vAlign w:val="center"/>
            <w:hideMark/>
          </w:tcPr>
          <w:p w14:paraId="1B64198F"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6A3536F2"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5,182</w:t>
            </w:r>
          </w:p>
        </w:tc>
        <w:tc>
          <w:tcPr>
            <w:tcW w:w="372" w:type="dxa"/>
            <w:gridSpan w:val="2"/>
            <w:tcBorders>
              <w:top w:val="nil"/>
              <w:left w:val="nil"/>
              <w:bottom w:val="nil"/>
              <w:right w:val="nil"/>
            </w:tcBorders>
            <w:shd w:val="clear" w:color="auto" w:fill="auto"/>
            <w:noWrap/>
            <w:vAlign w:val="center"/>
            <w:hideMark/>
          </w:tcPr>
          <w:p w14:paraId="1689E45E"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831" w:type="dxa"/>
            <w:gridSpan w:val="2"/>
            <w:tcBorders>
              <w:top w:val="nil"/>
              <w:left w:val="nil"/>
              <w:bottom w:val="nil"/>
              <w:right w:val="nil"/>
            </w:tcBorders>
            <w:shd w:val="clear" w:color="000000" w:fill="C9E3B4"/>
            <w:noWrap/>
            <w:vAlign w:val="center"/>
            <w:hideMark/>
          </w:tcPr>
          <w:p w14:paraId="430AA6B1"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xml:space="preserve">- </w:t>
            </w:r>
          </w:p>
        </w:tc>
        <w:tc>
          <w:tcPr>
            <w:tcW w:w="497" w:type="dxa"/>
            <w:gridSpan w:val="2"/>
            <w:tcBorders>
              <w:top w:val="nil"/>
              <w:left w:val="nil"/>
              <w:bottom w:val="nil"/>
              <w:right w:val="nil"/>
            </w:tcBorders>
            <w:shd w:val="clear" w:color="auto" w:fill="auto"/>
            <w:noWrap/>
            <w:vAlign w:val="center"/>
            <w:hideMark/>
          </w:tcPr>
          <w:p w14:paraId="0AA9A527"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697" w:type="dxa"/>
            <w:gridSpan w:val="2"/>
            <w:tcBorders>
              <w:top w:val="nil"/>
              <w:left w:val="nil"/>
              <w:bottom w:val="nil"/>
              <w:right w:val="nil"/>
            </w:tcBorders>
            <w:shd w:val="clear" w:color="000000" w:fill="C9E3B4"/>
            <w:noWrap/>
            <w:vAlign w:val="center"/>
            <w:hideMark/>
          </w:tcPr>
          <w:p w14:paraId="29317C45"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-44,819</w:t>
            </w:r>
          </w:p>
        </w:tc>
      </w:tr>
      <w:tr w:rsidR="00490837" w:rsidRPr="00C1721E" w14:paraId="7C2F3340" w14:textId="77777777" w:rsidTr="00490837">
        <w:trPr>
          <w:gridAfter w:val="3"/>
          <w:wAfter w:w="1675" w:type="dxa"/>
          <w:trHeight w:hRule="exact" w:val="254"/>
        </w:trPr>
        <w:tc>
          <w:tcPr>
            <w:tcW w:w="254" w:type="dxa"/>
            <w:gridSpan w:val="2"/>
            <w:tcBorders>
              <w:top w:val="nil"/>
              <w:left w:val="nil"/>
              <w:bottom w:val="single" w:sz="8" w:space="0" w:color="auto"/>
              <w:right w:val="nil"/>
            </w:tcBorders>
            <w:shd w:val="clear" w:color="auto" w:fill="auto"/>
            <w:noWrap/>
            <w:vAlign w:val="center"/>
            <w:hideMark/>
          </w:tcPr>
          <w:p w14:paraId="477029F9" w14:textId="77777777" w:rsidR="00C1721E" w:rsidRPr="00C1721E" w:rsidRDefault="00C1721E" w:rsidP="00C1721E">
            <w:pPr>
              <w:spacing w:before="0" w:line="240" w:lineRule="auto"/>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1826" w:type="dxa"/>
            <w:tcBorders>
              <w:top w:val="nil"/>
              <w:left w:val="nil"/>
              <w:bottom w:val="single" w:sz="8" w:space="0" w:color="auto"/>
              <w:right w:val="nil"/>
            </w:tcBorders>
            <w:shd w:val="clear" w:color="auto" w:fill="auto"/>
            <w:noWrap/>
            <w:vAlign w:val="center"/>
            <w:hideMark/>
          </w:tcPr>
          <w:p w14:paraId="350701CF" w14:textId="77777777" w:rsidR="00C1721E" w:rsidRPr="00C1721E" w:rsidRDefault="00C1721E" w:rsidP="00C1721E">
            <w:pPr>
              <w:spacing w:before="0" w:line="240" w:lineRule="auto"/>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Income tax equivalent expense</w:t>
            </w:r>
          </w:p>
        </w:tc>
        <w:tc>
          <w:tcPr>
            <w:tcW w:w="822" w:type="dxa"/>
            <w:gridSpan w:val="2"/>
            <w:tcBorders>
              <w:top w:val="nil"/>
              <w:left w:val="nil"/>
              <w:bottom w:val="single" w:sz="8" w:space="0" w:color="auto"/>
              <w:right w:val="nil"/>
            </w:tcBorders>
            <w:shd w:val="clear" w:color="000000" w:fill="C9E3B4"/>
            <w:noWrap/>
            <w:vAlign w:val="center"/>
            <w:hideMark/>
          </w:tcPr>
          <w:p w14:paraId="68DD3F8F"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xml:space="preserve">- </w:t>
            </w:r>
          </w:p>
        </w:tc>
        <w:tc>
          <w:tcPr>
            <w:tcW w:w="371" w:type="dxa"/>
            <w:tcBorders>
              <w:top w:val="nil"/>
              <w:left w:val="nil"/>
              <w:bottom w:val="single" w:sz="8" w:space="0" w:color="auto"/>
              <w:right w:val="nil"/>
            </w:tcBorders>
            <w:shd w:val="clear" w:color="auto" w:fill="auto"/>
            <w:noWrap/>
            <w:vAlign w:val="center"/>
            <w:hideMark/>
          </w:tcPr>
          <w:p w14:paraId="0ADC373B"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835" w:type="dxa"/>
            <w:gridSpan w:val="2"/>
            <w:tcBorders>
              <w:top w:val="nil"/>
              <w:left w:val="nil"/>
              <w:bottom w:val="single" w:sz="8" w:space="0" w:color="auto"/>
              <w:right w:val="nil"/>
            </w:tcBorders>
            <w:shd w:val="clear" w:color="000000" w:fill="C9E3B4"/>
            <w:noWrap/>
            <w:vAlign w:val="center"/>
            <w:hideMark/>
          </w:tcPr>
          <w:p w14:paraId="3D3F8396"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xml:space="preserve">- </w:t>
            </w:r>
          </w:p>
        </w:tc>
        <w:tc>
          <w:tcPr>
            <w:tcW w:w="372" w:type="dxa"/>
            <w:gridSpan w:val="2"/>
            <w:tcBorders>
              <w:top w:val="nil"/>
              <w:left w:val="nil"/>
              <w:bottom w:val="single" w:sz="8" w:space="0" w:color="auto"/>
              <w:right w:val="nil"/>
            </w:tcBorders>
            <w:shd w:val="clear" w:color="auto" w:fill="auto"/>
            <w:noWrap/>
            <w:vAlign w:val="center"/>
            <w:hideMark/>
          </w:tcPr>
          <w:p w14:paraId="48A7F153"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662" w:type="dxa"/>
            <w:gridSpan w:val="2"/>
            <w:tcBorders>
              <w:top w:val="nil"/>
              <w:left w:val="nil"/>
              <w:bottom w:val="single" w:sz="8" w:space="0" w:color="auto"/>
              <w:right w:val="nil"/>
            </w:tcBorders>
            <w:shd w:val="clear" w:color="000000" w:fill="C9E3B4"/>
            <w:noWrap/>
            <w:vAlign w:val="center"/>
            <w:hideMark/>
          </w:tcPr>
          <w:p w14:paraId="6DE1E334"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xml:space="preserve">- </w:t>
            </w:r>
          </w:p>
        </w:tc>
        <w:tc>
          <w:tcPr>
            <w:tcW w:w="372" w:type="dxa"/>
            <w:gridSpan w:val="2"/>
            <w:tcBorders>
              <w:top w:val="nil"/>
              <w:left w:val="nil"/>
              <w:bottom w:val="single" w:sz="8" w:space="0" w:color="auto"/>
              <w:right w:val="nil"/>
            </w:tcBorders>
            <w:shd w:val="clear" w:color="auto" w:fill="auto"/>
            <w:noWrap/>
            <w:vAlign w:val="center"/>
            <w:hideMark/>
          </w:tcPr>
          <w:p w14:paraId="0DD62ADE"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696" w:type="dxa"/>
            <w:gridSpan w:val="2"/>
            <w:tcBorders>
              <w:top w:val="nil"/>
              <w:left w:val="nil"/>
              <w:bottom w:val="single" w:sz="8" w:space="0" w:color="auto"/>
              <w:right w:val="nil"/>
            </w:tcBorders>
            <w:shd w:val="clear" w:color="000000" w:fill="C9E3B4"/>
            <w:noWrap/>
            <w:vAlign w:val="center"/>
            <w:hideMark/>
          </w:tcPr>
          <w:p w14:paraId="6C374C8E"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xml:space="preserve">- </w:t>
            </w:r>
          </w:p>
        </w:tc>
        <w:tc>
          <w:tcPr>
            <w:tcW w:w="372" w:type="dxa"/>
            <w:tcBorders>
              <w:top w:val="nil"/>
              <w:left w:val="nil"/>
              <w:bottom w:val="single" w:sz="8" w:space="0" w:color="auto"/>
              <w:right w:val="nil"/>
            </w:tcBorders>
            <w:shd w:val="clear" w:color="auto" w:fill="auto"/>
            <w:noWrap/>
            <w:vAlign w:val="center"/>
            <w:hideMark/>
          </w:tcPr>
          <w:p w14:paraId="2080CF7C"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653" w:type="dxa"/>
            <w:gridSpan w:val="2"/>
            <w:tcBorders>
              <w:top w:val="nil"/>
              <w:left w:val="nil"/>
              <w:bottom w:val="single" w:sz="8" w:space="0" w:color="auto"/>
              <w:right w:val="nil"/>
            </w:tcBorders>
            <w:shd w:val="clear" w:color="000000" w:fill="C9E3B4"/>
            <w:noWrap/>
            <w:vAlign w:val="center"/>
            <w:hideMark/>
          </w:tcPr>
          <w:p w14:paraId="08A4911B"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xml:space="preserve">- </w:t>
            </w:r>
          </w:p>
        </w:tc>
        <w:tc>
          <w:tcPr>
            <w:tcW w:w="372" w:type="dxa"/>
            <w:gridSpan w:val="2"/>
            <w:tcBorders>
              <w:top w:val="nil"/>
              <w:left w:val="nil"/>
              <w:bottom w:val="single" w:sz="8" w:space="0" w:color="auto"/>
              <w:right w:val="nil"/>
            </w:tcBorders>
            <w:shd w:val="clear" w:color="auto" w:fill="auto"/>
            <w:noWrap/>
            <w:vAlign w:val="center"/>
            <w:hideMark/>
          </w:tcPr>
          <w:p w14:paraId="2C5F701B"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835" w:type="dxa"/>
            <w:gridSpan w:val="2"/>
            <w:tcBorders>
              <w:top w:val="nil"/>
              <w:left w:val="nil"/>
              <w:bottom w:val="single" w:sz="8" w:space="0" w:color="auto"/>
              <w:right w:val="nil"/>
            </w:tcBorders>
            <w:shd w:val="clear" w:color="000000" w:fill="C9E3B4"/>
            <w:noWrap/>
            <w:vAlign w:val="center"/>
            <w:hideMark/>
          </w:tcPr>
          <w:p w14:paraId="645C9798"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16,260</w:t>
            </w:r>
          </w:p>
        </w:tc>
        <w:tc>
          <w:tcPr>
            <w:tcW w:w="372" w:type="dxa"/>
            <w:gridSpan w:val="2"/>
            <w:tcBorders>
              <w:top w:val="nil"/>
              <w:left w:val="nil"/>
              <w:bottom w:val="single" w:sz="8" w:space="0" w:color="auto"/>
              <w:right w:val="nil"/>
            </w:tcBorders>
            <w:shd w:val="clear" w:color="auto" w:fill="auto"/>
            <w:noWrap/>
            <w:vAlign w:val="center"/>
            <w:hideMark/>
          </w:tcPr>
          <w:p w14:paraId="4F308F9D"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831" w:type="dxa"/>
            <w:gridSpan w:val="2"/>
            <w:tcBorders>
              <w:top w:val="nil"/>
              <w:left w:val="nil"/>
              <w:bottom w:val="single" w:sz="8" w:space="0" w:color="auto"/>
              <w:right w:val="nil"/>
            </w:tcBorders>
            <w:shd w:val="clear" w:color="000000" w:fill="C9E3B4"/>
            <w:noWrap/>
            <w:vAlign w:val="center"/>
            <w:hideMark/>
          </w:tcPr>
          <w:p w14:paraId="15025B5F"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xml:space="preserve">- </w:t>
            </w:r>
          </w:p>
        </w:tc>
        <w:tc>
          <w:tcPr>
            <w:tcW w:w="497" w:type="dxa"/>
            <w:gridSpan w:val="2"/>
            <w:tcBorders>
              <w:top w:val="nil"/>
              <w:left w:val="nil"/>
              <w:bottom w:val="single" w:sz="8" w:space="0" w:color="auto"/>
              <w:right w:val="nil"/>
            </w:tcBorders>
            <w:shd w:val="clear" w:color="auto" w:fill="auto"/>
            <w:noWrap/>
            <w:vAlign w:val="center"/>
            <w:hideMark/>
          </w:tcPr>
          <w:p w14:paraId="1677FD1E"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697" w:type="dxa"/>
            <w:gridSpan w:val="2"/>
            <w:tcBorders>
              <w:top w:val="nil"/>
              <w:left w:val="nil"/>
              <w:bottom w:val="single" w:sz="8" w:space="0" w:color="auto"/>
              <w:right w:val="nil"/>
            </w:tcBorders>
            <w:shd w:val="clear" w:color="000000" w:fill="C9E3B4"/>
            <w:noWrap/>
            <w:vAlign w:val="center"/>
            <w:hideMark/>
          </w:tcPr>
          <w:p w14:paraId="143624D1"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16,260</w:t>
            </w:r>
          </w:p>
        </w:tc>
      </w:tr>
      <w:tr w:rsidR="00490837" w:rsidRPr="00C1721E" w14:paraId="3C9FAC34" w14:textId="77777777" w:rsidTr="00490837">
        <w:trPr>
          <w:gridAfter w:val="3"/>
          <w:wAfter w:w="1675" w:type="dxa"/>
          <w:trHeight w:val="246"/>
        </w:trPr>
        <w:tc>
          <w:tcPr>
            <w:tcW w:w="254" w:type="dxa"/>
            <w:gridSpan w:val="2"/>
            <w:tcBorders>
              <w:top w:val="nil"/>
              <w:left w:val="nil"/>
              <w:bottom w:val="nil"/>
              <w:right w:val="nil"/>
            </w:tcBorders>
            <w:shd w:val="clear" w:color="auto" w:fill="auto"/>
            <w:noWrap/>
            <w:vAlign w:val="center"/>
            <w:hideMark/>
          </w:tcPr>
          <w:p w14:paraId="39CE0979"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1826" w:type="dxa"/>
            <w:tcBorders>
              <w:top w:val="nil"/>
              <w:left w:val="nil"/>
              <w:bottom w:val="nil"/>
              <w:right w:val="nil"/>
            </w:tcBorders>
            <w:shd w:val="clear" w:color="auto" w:fill="auto"/>
            <w:noWrap/>
            <w:vAlign w:val="center"/>
            <w:hideMark/>
          </w:tcPr>
          <w:p w14:paraId="304E3E1A"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822" w:type="dxa"/>
            <w:gridSpan w:val="2"/>
            <w:tcBorders>
              <w:top w:val="nil"/>
              <w:left w:val="nil"/>
              <w:bottom w:val="nil"/>
              <w:right w:val="nil"/>
            </w:tcBorders>
            <w:shd w:val="clear" w:color="000000" w:fill="C9E3B4"/>
            <w:noWrap/>
            <w:vAlign w:val="center"/>
            <w:hideMark/>
          </w:tcPr>
          <w:p w14:paraId="44B12870"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1" w:type="dxa"/>
            <w:tcBorders>
              <w:top w:val="nil"/>
              <w:left w:val="nil"/>
              <w:bottom w:val="nil"/>
              <w:right w:val="nil"/>
            </w:tcBorders>
            <w:shd w:val="clear" w:color="auto" w:fill="auto"/>
            <w:noWrap/>
            <w:vAlign w:val="center"/>
            <w:hideMark/>
          </w:tcPr>
          <w:p w14:paraId="5B6924FB"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6BBC9848"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3D2AFFF6"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62" w:type="dxa"/>
            <w:gridSpan w:val="2"/>
            <w:tcBorders>
              <w:top w:val="nil"/>
              <w:left w:val="nil"/>
              <w:bottom w:val="nil"/>
              <w:right w:val="nil"/>
            </w:tcBorders>
            <w:shd w:val="clear" w:color="000000" w:fill="C9E3B4"/>
            <w:noWrap/>
            <w:vAlign w:val="center"/>
            <w:hideMark/>
          </w:tcPr>
          <w:p w14:paraId="35AA594F"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6330F67A"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6" w:type="dxa"/>
            <w:gridSpan w:val="2"/>
            <w:tcBorders>
              <w:top w:val="nil"/>
              <w:left w:val="nil"/>
              <w:bottom w:val="nil"/>
              <w:right w:val="nil"/>
            </w:tcBorders>
            <w:shd w:val="clear" w:color="000000" w:fill="C9E3B4"/>
            <w:noWrap/>
            <w:vAlign w:val="center"/>
            <w:hideMark/>
          </w:tcPr>
          <w:p w14:paraId="686C8ACC"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tcBorders>
              <w:top w:val="nil"/>
              <w:left w:val="nil"/>
              <w:bottom w:val="nil"/>
              <w:right w:val="nil"/>
            </w:tcBorders>
            <w:shd w:val="clear" w:color="auto" w:fill="auto"/>
            <w:noWrap/>
            <w:vAlign w:val="center"/>
            <w:hideMark/>
          </w:tcPr>
          <w:p w14:paraId="2715A434"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53" w:type="dxa"/>
            <w:gridSpan w:val="2"/>
            <w:tcBorders>
              <w:top w:val="nil"/>
              <w:left w:val="nil"/>
              <w:bottom w:val="nil"/>
              <w:right w:val="nil"/>
            </w:tcBorders>
            <w:shd w:val="clear" w:color="000000" w:fill="C9E3B4"/>
            <w:noWrap/>
            <w:vAlign w:val="center"/>
            <w:hideMark/>
          </w:tcPr>
          <w:p w14:paraId="04492E8B"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068B4133"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2750E592"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6583D3AD"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1" w:type="dxa"/>
            <w:gridSpan w:val="2"/>
            <w:tcBorders>
              <w:top w:val="nil"/>
              <w:left w:val="nil"/>
              <w:bottom w:val="nil"/>
              <w:right w:val="nil"/>
            </w:tcBorders>
            <w:shd w:val="clear" w:color="000000" w:fill="C9E3B4"/>
            <w:noWrap/>
            <w:vAlign w:val="center"/>
            <w:hideMark/>
          </w:tcPr>
          <w:p w14:paraId="0D5C7230"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497" w:type="dxa"/>
            <w:gridSpan w:val="2"/>
            <w:tcBorders>
              <w:top w:val="nil"/>
              <w:left w:val="nil"/>
              <w:bottom w:val="nil"/>
              <w:right w:val="nil"/>
            </w:tcBorders>
            <w:shd w:val="clear" w:color="auto" w:fill="auto"/>
            <w:noWrap/>
            <w:vAlign w:val="center"/>
            <w:hideMark/>
          </w:tcPr>
          <w:p w14:paraId="2E9542DA"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7" w:type="dxa"/>
            <w:gridSpan w:val="2"/>
            <w:tcBorders>
              <w:top w:val="nil"/>
              <w:left w:val="nil"/>
              <w:bottom w:val="nil"/>
              <w:right w:val="nil"/>
            </w:tcBorders>
            <w:shd w:val="clear" w:color="000000" w:fill="C9E3B4"/>
            <w:noWrap/>
            <w:vAlign w:val="center"/>
            <w:hideMark/>
          </w:tcPr>
          <w:p w14:paraId="2F326D81"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w:t>
            </w:r>
          </w:p>
        </w:tc>
      </w:tr>
      <w:tr w:rsidR="00490837" w:rsidRPr="00C1721E" w14:paraId="223204DC" w14:textId="77777777" w:rsidTr="00490837">
        <w:trPr>
          <w:gridAfter w:val="3"/>
          <w:wAfter w:w="1675" w:type="dxa"/>
          <w:trHeight w:hRule="exact" w:val="254"/>
        </w:trPr>
        <w:tc>
          <w:tcPr>
            <w:tcW w:w="2080" w:type="dxa"/>
            <w:gridSpan w:val="3"/>
            <w:tcBorders>
              <w:top w:val="nil"/>
              <w:left w:val="nil"/>
              <w:bottom w:val="single" w:sz="8" w:space="0" w:color="auto"/>
              <w:right w:val="nil"/>
            </w:tcBorders>
            <w:shd w:val="clear" w:color="auto" w:fill="auto"/>
            <w:noWrap/>
            <w:vAlign w:val="center"/>
            <w:hideMark/>
          </w:tcPr>
          <w:p w14:paraId="549E2586" w14:textId="77777777" w:rsidR="00C1721E" w:rsidRPr="00C1721E" w:rsidRDefault="00C1721E" w:rsidP="00C1721E">
            <w:pPr>
              <w:spacing w:before="0" w:line="240" w:lineRule="auto"/>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OPERATING RESULT FOR THE YEAR</w:t>
            </w:r>
          </w:p>
        </w:tc>
        <w:tc>
          <w:tcPr>
            <w:tcW w:w="822" w:type="dxa"/>
            <w:gridSpan w:val="2"/>
            <w:tcBorders>
              <w:top w:val="nil"/>
              <w:left w:val="nil"/>
              <w:bottom w:val="single" w:sz="8" w:space="0" w:color="auto"/>
              <w:right w:val="nil"/>
            </w:tcBorders>
            <w:shd w:val="clear" w:color="000000" w:fill="C9E3B4"/>
            <w:noWrap/>
            <w:vAlign w:val="center"/>
            <w:hideMark/>
          </w:tcPr>
          <w:p w14:paraId="52126F54"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xml:space="preserve">- </w:t>
            </w:r>
          </w:p>
        </w:tc>
        <w:tc>
          <w:tcPr>
            <w:tcW w:w="371" w:type="dxa"/>
            <w:tcBorders>
              <w:top w:val="nil"/>
              <w:left w:val="nil"/>
              <w:bottom w:val="single" w:sz="8" w:space="0" w:color="auto"/>
              <w:right w:val="nil"/>
            </w:tcBorders>
            <w:shd w:val="clear" w:color="auto" w:fill="auto"/>
            <w:noWrap/>
            <w:vAlign w:val="center"/>
            <w:hideMark/>
          </w:tcPr>
          <w:p w14:paraId="2845C7B4"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w:t>
            </w:r>
          </w:p>
        </w:tc>
        <w:tc>
          <w:tcPr>
            <w:tcW w:w="835" w:type="dxa"/>
            <w:gridSpan w:val="2"/>
            <w:tcBorders>
              <w:top w:val="nil"/>
              <w:left w:val="nil"/>
              <w:bottom w:val="single" w:sz="8" w:space="0" w:color="auto"/>
              <w:right w:val="nil"/>
            </w:tcBorders>
            <w:shd w:val="clear" w:color="000000" w:fill="C9E3B4"/>
            <w:noWrap/>
            <w:vAlign w:val="center"/>
            <w:hideMark/>
          </w:tcPr>
          <w:p w14:paraId="180B043B"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135,903</w:t>
            </w:r>
          </w:p>
        </w:tc>
        <w:tc>
          <w:tcPr>
            <w:tcW w:w="372" w:type="dxa"/>
            <w:gridSpan w:val="2"/>
            <w:tcBorders>
              <w:top w:val="nil"/>
              <w:left w:val="nil"/>
              <w:bottom w:val="single" w:sz="8" w:space="0" w:color="auto"/>
              <w:right w:val="nil"/>
            </w:tcBorders>
            <w:shd w:val="clear" w:color="auto" w:fill="auto"/>
            <w:noWrap/>
            <w:vAlign w:val="center"/>
            <w:hideMark/>
          </w:tcPr>
          <w:p w14:paraId="79AE1BFA"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w:t>
            </w:r>
          </w:p>
        </w:tc>
        <w:tc>
          <w:tcPr>
            <w:tcW w:w="662" w:type="dxa"/>
            <w:gridSpan w:val="2"/>
            <w:tcBorders>
              <w:top w:val="nil"/>
              <w:left w:val="nil"/>
              <w:bottom w:val="single" w:sz="8" w:space="0" w:color="auto"/>
              <w:right w:val="nil"/>
            </w:tcBorders>
            <w:shd w:val="clear" w:color="000000" w:fill="C9E3B4"/>
            <w:noWrap/>
            <w:vAlign w:val="center"/>
            <w:hideMark/>
          </w:tcPr>
          <w:p w14:paraId="27745024"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xml:space="preserve">- </w:t>
            </w:r>
          </w:p>
        </w:tc>
        <w:tc>
          <w:tcPr>
            <w:tcW w:w="372" w:type="dxa"/>
            <w:gridSpan w:val="2"/>
            <w:tcBorders>
              <w:top w:val="nil"/>
              <w:left w:val="nil"/>
              <w:bottom w:val="single" w:sz="8" w:space="0" w:color="auto"/>
              <w:right w:val="nil"/>
            </w:tcBorders>
            <w:shd w:val="clear" w:color="auto" w:fill="auto"/>
            <w:noWrap/>
            <w:vAlign w:val="center"/>
            <w:hideMark/>
          </w:tcPr>
          <w:p w14:paraId="3433348B"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w:t>
            </w:r>
          </w:p>
        </w:tc>
        <w:tc>
          <w:tcPr>
            <w:tcW w:w="696" w:type="dxa"/>
            <w:gridSpan w:val="2"/>
            <w:tcBorders>
              <w:top w:val="nil"/>
              <w:left w:val="nil"/>
              <w:bottom w:val="single" w:sz="8" w:space="0" w:color="auto"/>
              <w:right w:val="nil"/>
            </w:tcBorders>
            <w:shd w:val="clear" w:color="000000" w:fill="C9E3B4"/>
            <w:noWrap/>
            <w:vAlign w:val="center"/>
            <w:hideMark/>
          </w:tcPr>
          <w:p w14:paraId="2B738C91"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xml:space="preserve">- </w:t>
            </w:r>
          </w:p>
        </w:tc>
        <w:tc>
          <w:tcPr>
            <w:tcW w:w="372" w:type="dxa"/>
            <w:tcBorders>
              <w:top w:val="nil"/>
              <w:left w:val="nil"/>
              <w:bottom w:val="single" w:sz="8" w:space="0" w:color="auto"/>
              <w:right w:val="nil"/>
            </w:tcBorders>
            <w:shd w:val="clear" w:color="auto" w:fill="auto"/>
            <w:noWrap/>
            <w:vAlign w:val="center"/>
            <w:hideMark/>
          </w:tcPr>
          <w:p w14:paraId="0AE468E0"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w:t>
            </w:r>
          </w:p>
        </w:tc>
        <w:tc>
          <w:tcPr>
            <w:tcW w:w="653" w:type="dxa"/>
            <w:gridSpan w:val="2"/>
            <w:tcBorders>
              <w:top w:val="nil"/>
              <w:left w:val="nil"/>
              <w:bottom w:val="single" w:sz="8" w:space="0" w:color="auto"/>
              <w:right w:val="nil"/>
            </w:tcBorders>
            <w:shd w:val="clear" w:color="000000" w:fill="C9E3B4"/>
            <w:noWrap/>
            <w:vAlign w:val="center"/>
            <w:hideMark/>
          </w:tcPr>
          <w:p w14:paraId="779816D0"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-185,904</w:t>
            </w:r>
          </w:p>
        </w:tc>
        <w:tc>
          <w:tcPr>
            <w:tcW w:w="372" w:type="dxa"/>
            <w:gridSpan w:val="2"/>
            <w:tcBorders>
              <w:top w:val="nil"/>
              <w:left w:val="nil"/>
              <w:bottom w:val="single" w:sz="8" w:space="0" w:color="auto"/>
              <w:right w:val="nil"/>
            </w:tcBorders>
            <w:shd w:val="clear" w:color="auto" w:fill="auto"/>
            <w:noWrap/>
            <w:vAlign w:val="center"/>
            <w:hideMark/>
          </w:tcPr>
          <w:p w14:paraId="20B027AB"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w:t>
            </w:r>
          </w:p>
        </w:tc>
        <w:tc>
          <w:tcPr>
            <w:tcW w:w="835" w:type="dxa"/>
            <w:gridSpan w:val="2"/>
            <w:tcBorders>
              <w:top w:val="nil"/>
              <w:left w:val="nil"/>
              <w:bottom w:val="single" w:sz="8" w:space="0" w:color="auto"/>
              <w:right w:val="nil"/>
            </w:tcBorders>
            <w:shd w:val="clear" w:color="000000" w:fill="C9E3B4"/>
            <w:noWrap/>
            <w:vAlign w:val="center"/>
            <w:hideMark/>
          </w:tcPr>
          <w:p w14:paraId="20EE9993"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-11,078</w:t>
            </w:r>
          </w:p>
        </w:tc>
        <w:tc>
          <w:tcPr>
            <w:tcW w:w="372" w:type="dxa"/>
            <w:gridSpan w:val="2"/>
            <w:tcBorders>
              <w:top w:val="nil"/>
              <w:left w:val="nil"/>
              <w:bottom w:val="single" w:sz="8" w:space="0" w:color="auto"/>
              <w:right w:val="nil"/>
            </w:tcBorders>
            <w:shd w:val="clear" w:color="auto" w:fill="auto"/>
            <w:noWrap/>
            <w:vAlign w:val="center"/>
            <w:hideMark/>
          </w:tcPr>
          <w:p w14:paraId="7C8656B1"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w:t>
            </w:r>
          </w:p>
        </w:tc>
        <w:tc>
          <w:tcPr>
            <w:tcW w:w="831" w:type="dxa"/>
            <w:gridSpan w:val="2"/>
            <w:tcBorders>
              <w:top w:val="nil"/>
              <w:left w:val="nil"/>
              <w:bottom w:val="single" w:sz="8" w:space="0" w:color="auto"/>
              <w:right w:val="nil"/>
            </w:tcBorders>
            <w:shd w:val="clear" w:color="000000" w:fill="C9E3B4"/>
            <w:noWrap/>
            <w:vAlign w:val="center"/>
            <w:hideMark/>
          </w:tcPr>
          <w:p w14:paraId="48B8D0A4"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xml:space="preserve">- </w:t>
            </w:r>
          </w:p>
        </w:tc>
        <w:tc>
          <w:tcPr>
            <w:tcW w:w="497" w:type="dxa"/>
            <w:gridSpan w:val="2"/>
            <w:tcBorders>
              <w:top w:val="nil"/>
              <w:left w:val="nil"/>
              <w:bottom w:val="single" w:sz="8" w:space="0" w:color="auto"/>
              <w:right w:val="nil"/>
            </w:tcBorders>
            <w:shd w:val="clear" w:color="auto" w:fill="auto"/>
            <w:noWrap/>
            <w:vAlign w:val="center"/>
            <w:hideMark/>
          </w:tcPr>
          <w:p w14:paraId="752905A8"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w:t>
            </w:r>
          </w:p>
        </w:tc>
        <w:tc>
          <w:tcPr>
            <w:tcW w:w="697" w:type="dxa"/>
            <w:gridSpan w:val="2"/>
            <w:tcBorders>
              <w:top w:val="nil"/>
              <w:left w:val="nil"/>
              <w:bottom w:val="single" w:sz="8" w:space="0" w:color="auto"/>
              <w:right w:val="nil"/>
            </w:tcBorders>
            <w:shd w:val="clear" w:color="000000" w:fill="C9E3B4"/>
            <w:noWrap/>
            <w:vAlign w:val="center"/>
            <w:hideMark/>
          </w:tcPr>
          <w:p w14:paraId="41CAF551"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-61,079</w:t>
            </w:r>
          </w:p>
        </w:tc>
      </w:tr>
      <w:tr w:rsidR="00490837" w:rsidRPr="00C1721E" w14:paraId="190FEE06" w14:textId="77777777" w:rsidTr="00490837">
        <w:trPr>
          <w:gridAfter w:val="3"/>
          <w:wAfter w:w="1675" w:type="dxa"/>
          <w:trHeight w:val="246"/>
        </w:trPr>
        <w:tc>
          <w:tcPr>
            <w:tcW w:w="254" w:type="dxa"/>
            <w:gridSpan w:val="2"/>
            <w:tcBorders>
              <w:top w:val="nil"/>
              <w:left w:val="nil"/>
              <w:bottom w:val="nil"/>
              <w:right w:val="nil"/>
            </w:tcBorders>
            <w:shd w:val="clear" w:color="auto" w:fill="auto"/>
            <w:noWrap/>
            <w:vAlign w:val="center"/>
            <w:hideMark/>
          </w:tcPr>
          <w:p w14:paraId="73F13CFE"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1826" w:type="dxa"/>
            <w:tcBorders>
              <w:top w:val="nil"/>
              <w:left w:val="nil"/>
              <w:bottom w:val="nil"/>
              <w:right w:val="nil"/>
            </w:tcBorders>
            <w:shd w:val="clear" w:color="auto" w:fill="auto"/>
            <w:noWrap/>
            <w:vAlign w:val="center"/>
            <w:hideMark/>
          </w:tcPr>
          <w:p w14:paraId="08BDCAA6"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822" w:type="dxa"/>
            <w:gridSpan w:val="2"/>
            <w:tcBorders>
              <w:top w:val="nil"/>
              <w:left w:val="nil"/>
              <w:bottom w:val="nil"/>
              <w:right w:val="nil"/>
            </w:tcBorders>
            <w:shd w:val="clear" w:color="000000" w:fill="C9E3B4"/>
            <w:noWrap/>
            <w:vAlign w:val="center"/>
            <w:hideMark/>
          </w:tcPr>
          <w:p w14:paraId="7413E4D8"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1" w:type="dxa"/>
            <w:tcBorders>
              <w:top w:val="nil"/>
              <w:left w:val="nil"/>
              <w:bottom w:val="nil"/>
              <w:right w:val="nil"/>
            </w:tcBorders>
            <w:shd w:val="clear" w:color="auto" w:fill="auto"/>
            <w:noWrap/>
            <w:vAlign w:val="center"/>
            <w:hideMark/>
          </w:tcPr>
          <w:p w14:paraId="3A3F288E"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2403B39E"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3D0E7AAF"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62" w:type="dxa"/>
            <w:gridSpan w:val="2"/>
            <w:tcBorders>
              <w:top w:val="nil"/>
              <w:left w:val="nil"/>
              <w:bottom w:val="nil"/>
              <w:right w:val="nil"/>
            </w:tcBorders>
            <w:shd w:val="clear" w:color="000000" w:fill="C9E3B4"/>
            <w:noWrap/>
            <w:vAlign w:val="center"/>
            <w:hideMark/>
          </w:tcPr>
          <w:p w14:paraId="6F854D95"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67FE4E4E"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6" w:type="dxa"/>
            <w:gridSpan w:val="2"/>
            <w:tcBorders>
              <w:top w:val="nil"/>
              <w:left w:val="nil"/>
              <w:bottom w:val="nil"/>
              <w:right w:val="nil"/>
            </w:tcBorders>
            <w:shd w:val="clear" w:color="000000" w:fill="C9E3B4"/>
            <w:noWrap/>
            <w:vAlign w:val="center"/>
            <w:hideMark/>
          </w:tcPr>
          <w:p w14:paraId="220EE5DF"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tcBorders>
              <w:top w:val="nil"/>
              <w:left w:val="nil"/>
              <w:bottom w:val="nil"/>
              <w:right w:val="nil"/>
            </w:tcBorders>
            <w:shd w:val="clear" w:color="auto" w:fill="auto"/>
            <w:noWrap/>
            <w:vAlign w:val="center"/>
            <w:hideMark/>
          </w:tcPr>
          <w:p w14:paraId="30956631"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53" w:type="dxa"/>
            <w:gridSpan w:val="2"/>
            <w:tcBorders>
              <w:top w:val="nil"/>
              <w:left w:val="nil"/>
              <w:bottom w:val="nil"/>
              <w:right w:val="nil"/>
            </w:tcBorders>
            <w:shd w:val="clear" w:color="000000" w:fill="C9E3B4"/>
            <w:noWrap/>
            <w:vAlign w:val="center"/>
            <w:hideMark/>
          </w:tcPr>
          <w:p w14:paraId="6E7E38E5"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7B5993E3"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368B5E7B"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1BB467A2"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1" w:type="dxa"/>
            <w:gridSpan w:val="2"/>
            <w:tcBorders>
              <w:top w:val="nil"/>
              <w:left w:val="nil"/>
              <w:bottom w:val="nil"/>
              <w:right w:val="nil"/>
            </w:tcBorders>
            <w:shd w:val="clear" w:color="000000" w:fill="C9E3B4"/>
            <w:noWrap/>
            <w:vAlign w:val="center"/>
            <w:hideMark/>
          </w:tcPr>
          <w:p w14:paraId="72F8683F"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497" w:type="dxa"/>
            <w:gridSpan w:val="2"/>
            <w:tcBorders>
              <w:top w:val="nil"/>
              <w:left w:val="nil"/>
              <w:bottom w:val="nil"/>
              <w:right w:val="nil"/>
            </w:tcBorders>
            <w:shd w:val="clear" w:color="auto" w:fill="auto"/>
            <w:noWrap/>
            <w:vAlign w:val="center"/>
            <w:hideMark/>
          </w:tcPr>
          <w:p w14:paraId="3EC43425"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7" w:type="dxa"/>
            <w:gridSpan w:val="2"/>
            <w:tcBorders>
              <w:top w:val="nil"/>
              <w:left w:val="nil"/>
              <w:bottom w:val="nil"/>
              <w:right w:val="nil"/>
            </w:tcBorders>
            <w:shd w:val="clear" w:color="000000" w:fill="C9E3B4"/>
            <w:noWrap/>
            <w:vAlign w:val="center"/>
            <w:hideMark/>
          </w:tcPr>
          <w:p w14:paraId="081141A4"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w:t>
            </w:r>
          </w:p>
        </w:tc>
      </w:tr>
      <w:tr w:rsidR="00490837" w:rsidRPr="00C1721E" w14:paraId="11D8DBB4" w14:textId="77777777" w:rsidTr="00490837">
        <w:trPr>
          <w:gridAfter w:val="3"/>
          <w:wAfter w:w="1675" w:type="dxa"/>
          <w:trHeight w:val="246"/>
        </w:trPr>
        <w:tc>
          <w:tcPr>
            <w:tcW w:w="254" w:type="dxa"/>
            <w:gridSpan w:val="2"/>
            <w:tcBorders>
              <w:top w:val="nil"/>
              <w:left w:val="nil"/>
              <w:bottom w:val="nil"/>
              <w:right w:val="nil"/>
            </w:tcBorders>
            <w:shd w:val="clear" w:color="auto" w:fill="auto"/>
            <w:noWrap/>
            <w:vAlign w:val="center"/>
            <w:hideMark/>
          </w:tcPr>
          <w:p w14:paraId="132B0D8F"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1826" w:type="dxa"/>
            <w:tcBorders>
              <w:top w:val="nil"/>
              <w:left w:val="nil"/>
              <w:bottom w:val="nil"/>
              <w:right w:val="nil"/>
            </w:tcBorders>
            <w:shd w:val="clear" w:color="auto" w:fill="auto"/>
            <w:noWrap/>
            <w:vAlign w:val="center"/>
            <w:hideMark/>
          </w:tcPr>
          <w:p w14:paraId="75B3F552"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822" w:type="dxa"/>
            <w:gridSpan w:val="2"/>
            <w:tcBorders>
              <w:top w:val="nil"/>
              <w:left w:val="nil"/>
              <w:bottom w:val="nil"/>
              <w:right w:val="nil"/>
            </w:tcBorders>
            <w:shd w:val="clear" w:color="000000" w:fill="C9E3B4"/>
            <w:noWrap/>
            <w:vAlign w:val="center"/>
            <w:hideMark/>
          </w:tcPr>
          <w:p w14:paraId="13D74AD8"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1" w:type="dxa"/>
            <w:tcBorders>
              <w:top w:val="nil"/>
              <w:left w:val="nil"/>
              <w:bottom w:val="nil"/>
              <w:right w:val="nil"/>
            </w:tcBorders>
            <w:shd w:val="clear" w:color="auto" w:fill="auto"/>
            <w:noWrap/>
            <w:vAlign w:val="center"/>
            <w:hideMark/>
          </w:tcPr>
          <w:p w14:paraId="455F0447"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69340064"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0AFFEC0D"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62" w:type="dxa"/>
            <w:gridSpan w:val="2"/>
            <w:tcBorders>
              <w:top w:val="nil"/>
              <w:left w:val="nil"/>
              <w:bottom w:val="nil"/>
              <w:right w:val="nil"/>
            </w:tcBorders>
            <w:shd w:val="clear" w:color="000000" w:fill="C9E3B4"/>
            <w:noWrap/>
            <w:vAlign w:val="center"/>
            <w:hideMark/>
          </w:tcPr>
          <w:p w14:paraId="170F5B88"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43373BB6"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6" w:type="dxa"/>
            <w:gridSpan w:val="2"/>
            <w:tcBorders>
              <w:top w:val="nil"/>
              <w:left w:val="nil"/>
              <w:bottom w:val="nil"/>
              <w:right w:val="nil"/>
            </w:tcBorders>
            <w:shd w:val="clear" w:color="000000" w:fill="C9E3B4"/>
            <w:noWrap/>
            <w:vAlign w:val="center"/>
            <w:hideMark/>
          </w:tcPr>
          <w:p w14:paraId="38FA7DA6"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tcBorders>
              <w:top w:val="nil"/>
              <w:left w:val="nil"/>
              <w:bottom w:val="nil"/>
              <w:right w:val="nil"/>
            </w:tcBorders>
            <w:shd w:val="clear" w:color="auto" w:fill="auto"/>
            <w:noWrap/>
            <w:vAlign w:val="center"/>
            <w:hideMark/>
          </w:tcPr>
          <w:p w14:paraId="7CB31C8C"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53" w:type="dxa"/>
            <w:gridSpan w:val="2"/>
            <w:tcBorders>
              <w:top w:val="nil"/>
              <w:left w:val="nil"/>
              <w:bottom w:val="nil"/>
              <w:right w:val="nil"/>
            </w:tcBorders>
            <w:shd w:val="clear" w:color="000000" w:fill="C9E3B4"/>
            <w:noWrap/>
            <w:vAlign w:val="center"/>
            <w:hideMark/>
          </w:tcPr>
          <w:p w14:paraId="7E5B1F7E"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08D40FB3"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4A6B014C"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061D8E17"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1" w:type="dxa"/>
            <w:gridSpan w:val="2"/>
            <w:tcBorders>
              <w:top w:val="nil"/>
              <w:left w:val="nil"/>
              <w:bottom w:val="nil"/>
              <w:right w:val="nil"/>
            </w:tcBorders>
            <w:shd w:val="clear" w:color="000000" w:fill="C9E3B4"/>
            <w:noWrap/>
            <w:vAlign w:val="center"/>
            <w:hideMark/>
          </w:tcPr>
          <w:p w14:paraId="36E0B4CA"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497" w:type="dxa"/>
            <w:gridSpan w:val="2"/>
            <w:tcBorders>
              <w:top w:val="nil"/>
              <w:left w:val="nil"/>
              <w:bottom w:val="nil"/>
              <w:right w:val="nil"/>
            </w:tcBorders>
            <w:shd w:val="clear" w:color="auto" w:fill="auto"/>
            <w:noWrap/>
            <w:vAlign w:val="center"/>
            <w:hideMark/>
          </w:tcPr>
          <w:p w14:paraId="65847835"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7" w:type="dxa"/>
            <w:gridSpan w:val="2"/>
            <w:tcBorders>
              <w:top w:val="nil"/>
              <w:left w:val="nil"/>
              <w:bottom w:val="nil"/>
              <w:right w:val="nil"/>
            </w:tcBorders>
            <w:shd w:val="clear" w:color="000000" w:fill="C9E3B4"/>
            <w:noWrap/>
            <w:vAlign w:val="center"/>
            <w:hideMark/>
          </w:tcPr>
          <w:p w14:paraId="26046664"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w:t>
            </w:r>
          </w:p>
        </w:tc>
      </w:tr>
      <w:tr w:rsidR="00490837" w:rsidRPr="00C1721E" w14:paraId="6965BDDE" w14:textId="77777777" w:rsidTr="00490837">
        <w:trPr>
          <w:gridAfter w:val="3"/>
          <w:wAfter w:w="1675" w:type="dxa"/>
          <w:trHeight w:hRule="exact" w:val="246"/>
        </w:trPr>
        <w:tc>
          <w:tcPr>
            <w:tcW w:w="2080" w:type="dxa"/>
            <w:gridSpan w:val="3"/>
            <w:tcBorders>
              <w:top w:val="nil"/>
              <w:left w:val="nil"/>
              <w:bottom w:val="nil"/>
              <w:right w:val="nil"/>
            </w:tcBorders>
            <w:shd w:val="clear" w:color="auto" w:fill="auto"/>
            <w:noWrap/>
            <w:vAlign w:val="center"/>
            <w:hideMark/>
          </w:tcPr>
          <w:p w14:paraId="477145E8" w14:textId="77777777" w:rsidR="00C1721E" w:rsidRPr="00C1721E" w:rsidRDefault="00C1721E" w:rsidP="00C1721E">
            <w:pPr>
              <w:spacing w:before="0" w:line="240" w:lineRule="auto"/>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Items not reclassified to operating result</w:t>
            </w:r>
          </w:p>
        </w:tc>
        <w:tc>
          <w:tcPr>
            <w:tcW w:w="822" w:type="dxa"/>
            <w:gridSpan w:val="2"/>
            <w:tcBorders>
              <w:top w:val="nil"/>
              <w:left w:val="nil"/>
              <w:bottom w:val="nil"/>
              <w:right w:val="nil"/>
            </w:tcBorders>
            <w:shd w:val="clear" w:color="000000" w:fill="C9E3B4"/>
            <w:noWrap/>
            <w:vAlign w:val="center"/>
            <w:hideMark/>
          </w:tcPr>
          <w:p w14:paraId="5F93B3FD"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1" w:type="dxa"/>
            <w:tcBorders>
              <w:top w:val="nil"/>
              <w:left w:val="nil"/>
              <w:bottom w:val="nil"/>
              <w:right w:val="nil"/>
            </w:tcBorders>
            <w:shd w:val="clear" w:color="auto" w:fill="auto"/>
            <w:noWrap/>
            <w:vAlign w:val="center"/>
            <w:hideMark/>
          </w:tcPr>
          <w:p w14:paraId="406CE187"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2C14D21C"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35CD3C63"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62" w:type="dxa"/>
            <w:gridSpan w:val="2"/>
            <w:tcBorders>
              <w:top w:val="nil"/>
              <w:left w:val="nil"/>
              <w:bottom w:val="nil"/>
              <w:right w:val="nil"/>
            </w:tcBorders>
            <w:shd w:val="clear" w:color="000000" w:fill="C9E3B4"/>
            <w:noWrap/>
            <w:vAlign w:val="center"/>
            <w:hideMark/>
          </w:tcPr>
          <w:p w14:paraId="1D926EFE"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15B8D5A0"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6" w:type="dxa"/>
            <w:gridSpan w:val="2"/>
            <w:tcBorders>
              <w:top w:val="nil"/>
              <w:left w:val="nil"/>
              <w:bottom w:val="nil"/>
              <w:right w:val="nil"/>
            </w:tcBorders>
            <w:shd w:val="clear" w:color="000000" w:fill="C9E3B4"/>
            <w:noWrap/>
            <w:vAlign w:val="center"/>
            <w:hideMark/>
          </w:tcPr>
          <w:p w14:paraId="6EE81C4F"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tcBorders>
              <w:top w:val="nil"/>
              <w:left w:val="nil"/>
              <w:bottom w:val="nil"/>
              <w:right w:val="nil"/>
            </w:tcBorders>
            <w:shd w:val="clear" w:color="auto" w:fill="auto"/>
            <w:noWrap/>
            <w:vAlign w:val="center"/>
            <w:hideMark/>
          </w:tcPr>
          <w:p w14:paraId="599303F3"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53" w:type="dxa"/>
            <w:gridSpan w:val="2"/>
            <w:tcBorders>
              <w:top w:val="nil"/>
              <w:left w:val="nil"/>
              <w:bottom w:val="nil"/>
              <w:right w:val="nil"/>
            </w:tcBorders>
            <w:shd w:val="clear" w:color="000000" w:fill="C9E3B4"/>
            <w:noWrap/>
            <w:vAlign w:val="center"/>
            <w:hideMark/>
          </w:tcPr>
          <w:p w14:paraId="780B67DA"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689C0995"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45288ED7"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3FFCB5A8"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1" w:type="dxa"/>
            <w:gridSpan w:val="2"/>
            <w:tcBorders>
              <w:top w:val="nil"/>
              <w:left w:val="nil"/>
              <w:bottom w:val="nil"/>
              <w:right w:val="nil"/>
            </w:tcBorders>
            <w:shd w:val="clear" w:color="000000" w:fill="C9E3B4"/>
            <w:noWrap/>
            <w:vAlign w:val="center"/>
            <w:hideMark/>
          </w:tcPr>
          <w:p w14:paraId="5CD1C8EB"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497" w:type="dxa"/>
            <w:gridSpan w:val="2"/>
            <w:tcBorders>
              <w:top w:val="nil"/>
              <w:left w:val="nil"/>
              <w:bottom w:val="nil"/>
              <w:right w:val="nil"/>
            </w:tcBorders>
            <w:shd w:val="clear" w:color="auto" w:fill="auto"/>
            <w:noWrap/>
            <w:vAlign w:val="center"/>
            <w:hideMark/>
          </w:tcPr>
          <w:p w14:paraId="7715C5DF"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7" w:type="dxa"/>
            <w:gridSpan w:val="2"/>
            <w:tcBorders>
              <w:top w:val="nil"/>
              <w:left w:val="nil"/>
              <w:bottom w:val="nil"/>
              <w:right w:val="nil"/>
            </w:tcBorders>
            <w:shd w:val="clear" w:color="000000" w:fill="C9E3B4"/>
            <w:noWrap/>
            <w:vAlign w:val="center"/>
            <w:hideMark/>
          </w:tcPr>
          <w:p w14:paraId="1954E870"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w:t>
            </w:r>
          </w:p>
        </w:tc>
      </w:tr>
      <w:tr w:rsidR="00490837" w:rsidRPr="00C1721E" w14:paraId="6BE254C7" w14:textId="77777777" w:rsidTr="00490837">
        <w:trPr>
          <w:gridAfter w:val="3"/>
          <w:wAfter w:w="1675" w:type="dxa"/>
          <w:trHeight w:val="254"/>
        </w:trPr>
        <w:tc>
          <w:tcPr>
            <w:tcW w:w="254" w:type="dxa"/>
            <w:gridSpan w:val="2"/>
            <w:tcBorders>
              <w:top w:val="nil"/>
              <w:left w:val="nil"/>
              <w:bottom w:val="single" w:sz="8" w:space="0" w:color="auto"/>
              <w:right w:val="nil"/>
            </w:tcBorders>
            <w:shd w:val="clear" w:color="auto" w:fill="auto"/>
            <w:noWrap/>
            <w:vAlign w:val="center"/>
            <w:hideMark/>
          </w:tcPr>
          <w:p w14:paraId="7F31DBCA" w14:textId="77777777" w:rsidR="00C1721E" w:rsidRPr="00C1721E" w:rsidRDefault="00C1721E" w:rsidP="00C1721E">
            <w:pPr>
              <w:spacing w:before="0" w:line="240" w:lineRule="auto"/>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1826" w:type="dxa"/>
            <w:tcBorders>
              <w:top w:val="nil"/>
              <w:left w:val="nil"/>
              <w:bottom w:val="nil"/>
              <w:right w:val="nil"/>
            </w:tcBorders>
            <w:shd w:val="clear" w:color="auto" w:fill="auto"/>
            <w:noWrap/>
            <w:vAlign w:val="center"/>
            <w:hideMark/>
          </w:tcPr>
          <w:p w14:paraId="36C9D509" w14:textId="77777777" w:rsidR="00C1721E" w:rsidRPr="00C1721E" w:rsidRDefault="00C1721E" w:rsidP="00C1721E">
            <w:pPr>
              <w:spacing w:before="0" w:line="240" w:lineRule="auto"/>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Increase in asset revaluation surplus</w:t>
            </w:r>
          </w:p>
        </w:tc>
        <w:tc>
          <w:tcPr>
            <w:tcW w:w="822" w:type="dxa"/>
            <w:gridSpan w:val="2"/>
            <w:tcBorders>
              <w:top w:val="nil"/>
              <w:left w:val="nil"/>
              <w:bottom w:val="single" w:sz="8" w:space="0" w:color="auto"/>
              <w:right w:val="nil"/>
            </w:tcBorders>
            <w:shd w:val="clear" w:color="000000" w:fill="C9E3B4"/>
            <w:noWrap/>
            <w:vAlign w:val="center"/>
            <w:hideMark/>
          </w:tcPr>
          <w:p w14:paraId="77FE8F76"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652</w:t>
            </w:r>
          </w:p>
        </w:tc>
        <w:tc>
          <w:tcPr>
            <w:tcW w:w="371" w:type="dxa"/>
            <w:tcBorders>
              <w:top w:val="nil"/>
              <w:left w:val="nil"/>
              <w:bottom w:val="single" w:sz="8" w:space="0" w:color="auto"/>
              <w:right w:val="nil"/>
            </w:tcBorders>
            <w:shd w:val="clear" w:color="auto" w:fill="auto"/>
            <w:noWrap/>
            <w:vAlign w:val="center"/>
            <w:hideMark/>
          </w:tcPr>
          <w:p w14:paraId="7BD28FDC"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835" w:type="dxa"/>
            <w:gridSpan w:val="2"/>
            <w:tcBorders>
              <w:top w:val="nil"/>
              <w:left w:val="nil"/>
              <w:bottom w:val="single" w:sz="8" w:space="0" w:color="auto"/>
              <w:right w:val="nil"/>
            </w:tcBorders>
            <w:shd w:val="clear" w:color="000000" w:fill="C9E3B4"/>
            <w:noWrap/>
            <w:vAlign w:val="center"/>
            <w:hideMark/>
          </w:tcPr>
          <w:p w14:paraId="57E5DDA3"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10,571,551</w:t>
            </w:r>
          </w:p>
        </w:tc>
        <w:tc>
          <w:tcPr>
            <w:tcW w:w="372" w:type="dxa"/>
            <w:gridSpan w:val="2"/>
            <w:tcBorders>
              <w:top w:val="nil"/>
              <w:left w:val="nil"/>
              <w:bottom w:val="single" w:sz="8" w:space="0" w:color="auto"/>
              <w:right w:val="nil"/>
            </w:tcBorders>
            <w:shd w:val="clear" w:color="auto" w:fill="auto"/>
            <w:noWrap/>
            <w:vAlign w:val="center"/>
            <w:hideMark/>
          </w:tcPr>
          <w:p w14:paraId="287493A7"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662" w:type="dxa"/>
            <w:gridSpan w:val="2"/>
            <w:tcBorders>
              <w:top w:val="nil"/>
              <w:left w:val="nil"/>
              <w:bottom w:val="single" w:sz="8" w:space="0" w:color="auto"/>
              <w:right w:val="nil"/>
            </w:tcBorders>
            <w:shd w:val="clear" w:color="000000" w:fill="C9E3B4"/>
            <w:noWrap/>
            <w:vAlign w:val="center"/>
            <w:hideMark/>
          </w:tcPr>
          <w:p w14:paraId="1B51348D"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11,612</w:t>
            </w:r>
          </w:p>
        </w:tc>
        <w:tc>
          <w:tcPr>
            <w:tcW w:w="372" w:type="dxa"/>
            <w:gridSpan w:val="2"/>
            <w:tcBorders>
              <w:top w:val="nil"/>
              <w:left w:val="nil"/>
              <w:bottom w:val="single" w:sz="8" w:space="0" w:color="auto"/>
              <w:right w:val="nil"/>
            </w:tcBorders>
            <w:shd w:val="clear" w:color="auto" w:fill="auto"/>
            <w:noWrap/>
            <w:vAlign w:val="center"/>
            <w:hideMark/>
          </w:tcPr>
          <w:p w14:paraId="1559D89F"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696" w:type="dxa"/>
            <w:gridSpan w:val="2"/>
            <w:tcBorders>
              <w:top w:val="nil"/>
              <w:left w:val="nil"/>
              <w:bottom w:val="single" w:sz="8" w:space="0" w:color="auto"/>
              <w:right w:val="nil"/>
            </w:tcBorders>
            <w:shd w:val="clear" w:color="000000" w:fill="C9E3B4"/>
            <w:noWrap/>
            <w:vAlign w:val="center"/>
            <w:hideMark/>
          </w:tcPr>
          <w:p w14:paraId="32D8059C"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1,642</w:t>
            </w:r>
          </w:p>
        </w:tc>
        <w:tc>
          <w:tcPr>
            <w:tcW w:w="372" w:type="dxa"/>
            <w:tcBorders>
              <w:top w:val="nil"/>
              <w:left w:val="nil"/>
              <w:bottom w:val="single" w:sz="8" w:space="0" w:color="auto"/>
              <w:right w:val="nil"/>
            </w:tcBorders>
            <w:shd w:val="clear" w:color="auto" w:fill="auto"/>
            <w:noWrap/>
            <w:vAlign w:val="center"/>
            <w:hideMark/>
          </w:tcPr>
          <w:p w14:paraId="245BEDD7"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653" w:type="dxa"/>
            <w:gridSpan w:val="2"/>
            <w:tcBorders>
              <w:top w:val="nil"/>
              <w:left w:val="nil"/>
              <w:bottom w:val="single" w:sz="8" w:space="0" w:color="auto"/>
              <w:right w:val="nil"/>
            </w:tcBorders>
            <w:shd w:val="clear" w:color="000000" w:fill="C9E3B4"/>
            <w:noWrap/>
            <w:vAlign w:val="center"/>
            <w:hideMark/>
          </w:tcPr>
          <w:p w14:paraId="75C02579"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172,400</w:t>
            </w:r>
          </w:p>
        </w:tc>
        <w:tc>
          <w:tcPr>
            <w:tcW w:w="372" w:type="dxa"/>
            <w:gridSpan w:val="2"/>
            <w:tcBorders>
              <w:top w:val="nil"/>
              <w:left w:val="nil"/>
              <w:bottom w:val="single" w:sz="8" w:space="0" w:color="auto"/>
              <w:right w:val="nil"/>
            </w:tcBorders>
            <w:shd w:val="clear" w:color="auto" w:fill="auto"/>
            <w:noWrap/>
            <w:vAlign w:val="center"/>
            <w:hideMark/>
          </w:tcPr>
          <w:p w14:paraId="676A8106"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835" w:type="dxa"/>
            <w:gridSpan w:val="2"/>
            <w:tcBorders>
              <w:top w:val="nil"/>
              <w:left w:val="nil"/>
              <w:bottom w:val="single" w:sz="8" w:space="0" w:color="auto"/>
              <w:right w:val="nil"/>
            </w:tcBorders>
            <w:shd w:val="clear" w:color="000000" w:fill="C9E3B4"/>
            <w:noWrap/>
            <w:vAlign w:val="center"/>
            <w:hideMark/>
          </w:tcPr>
          <w:p w14:paraId="7BE4BCEF"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43</w:t>
            </w:r>
          </w:p>
        </w:tc>
        <w:tc>
          <w:tcPr>
            <w:tcW w:w="372" w:type="dxa"/>
            <w:gridSpan w:val="2"/>
            <w:tcBorders>
              <w:top w:val="nil"/>
              <w:left w:val="nil"/>
              <w:bottom w:val="single" w:sz="8" w:space="0" w:color="auto"/>
              <w:right w:val="nil"/>
            </w:tcBorders>
            <w:shd w:val="clear" w:color="auto" w:fill="auto"/>
            <w:noWrap/>
            <w:vAlign w:val="center"/>
            <w:hideMark/>
          </w:tcPr>
          <w:p w14:paraId="11312366"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831" w:type="dxa"/>
            <w:gridSpan w:val="2"/>
            <w:tcBorders>
              <w:top w:val="nil"/>
              <w:left w:val="nil"/>
              <w:bottom w:val="single" w:sz="8" w:space="0" w:color="auto"/>
              <w:right w:val="nil"/>
            </w:tcBorders>
            <w:shd w:val="clear" w:color="000000" w:fill="C9E3B4"/>
            <w:noWrap/>
            <w:vAlign w:val="center"/>
            <w:hideMark/>
          </w:tcPr>
          <w:p w14:paraId="2527BC39"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xml:space="preserve">- </w:t>
            </w:r>
          </w:p>
        </w:tc>
        <w:tc>
          <w:tcPr>
            <w:tcW w:w="497" w:type="dxa"/>
            <w:gridSpan w:val="2"/>
            <w:tcBorders>
              <w:top w:val="nil"/>
              <w:left w:val="nil"/>
              <w:bottom w:val="single" w:sz="8" w:space="0" w:color="auto"/>
              <w:right w:val="nil"/>
            </w:tcBorders>
            <w:shd w:val="clear" w:color="auto" w:fill="auto"/>
            <w:noWrap/>
            <w:vAlign w:val="center"/>
            <w:hideMark/>
          </w:tcPr>
          <w:p w14:paraId="006CAB15"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697" w:type="dxa"/>
            <w:gridSpan w:val="2"/>
            <w:tcBorders>
              <w:top w:val="nil"/>
              <w:left w:val="nil"/>
              <w:bottom w:val="single" w:sz="8" w:space="0" w:color="auto"/>
              <w:right w:val="nil"/>
            </w:tcBorders>
            <w:shd w:val="clear" w:color="000000" w:fill="C9E3B4"/>
            <w:noWrap/>
            <w:vAlign w:val="center"/>
            <w:hideMark/>
          </w:tcPr>
          <w:p w14:paraId="63EBE5F8"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10,757,900</w:t>
            </w:r>
          </w:p>
        </w:tc>
      </w:tr>
      <w:tr w:rsidR="00490837" w:rsidRPr="00C1721E" w14:paraId="5CFB5356" w14:textId="77777777" w:rsidTr="00490837">
        <w:trPr>
          <w:gridAfter w:val="3"/>
          <w:wAfter w:w="1675" w:type="dxa"/>
          <w:trHeight w:hRule="exact" w:val="254"/>
        </w:trPr>
        <w:tc>
          <w:tcPr>
            <w:tcW w:w="2080" w:type="dxa"/>
            <w:gridSpan w:val="3"/>
            <w:tcBorders>
              <w:top w:val="nil"/>
              <w:left w:val="nil"/>
              <w:bottom w:val="single" w:sz="8" w:space="0" w:color="auto"/>
              <w:right w:val="nil"/>
            </w:tcBorders>
            <w:shd w:val="clear" w:color="auto" w:fill="auto"/>
            <w:noWrap/>
            <w:vAlign w:val="center"/>
            <w:hideMark/>
          </w:tcPr>
          <w:p w14:paraId="64DB3AFF" w14:textId="77777777" w:rsidR="00C1721E" w:rsidRPr="00C1721E" w:rsidRDefault="00C1721E" w:rsidP="00C1721E">
            <w:pPr>
              <w:spacing w:before="0" w:line="240" w:lineRule="auto"/>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Total other comprehensive income</w:t>
            </w:r>
          </w:p>
        </w:tc>
        <w:tc>
          <w:tcPr>
            <w:tcW w:w="822" w:type="dxa"/>
            <w:gridSpan w:val="2"/>
            <w:tcBorders>
              <w:top w:val="nil"/>
              <w:left w:val="nil"/>
              <w:bottom w:val="single" w:sz="8" w:space="0" w:color="auto"/>
              <w:right w:val="nil"/>
            </w:tcBorders>
            <w:shd w:val="clear" w:color="000000" w:fill="C9E3B4"/>
            <w:noWrap/>
            <w:vAlign w:val="center"/>
            <w:hideMark/>
          </w:tcPr>
          <w:p w14:paraId="49732745"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652</w:t>
            </w:r>
          </w:p>
        </w:tc>
        <w:tc>
          <w:tcPr>
            <w:tcW w:w="371" w:type="dxa"/>
            <w:tcBorders>
              <w:top w:val="nil"/>
              <w:left w:val="nil"/>
              <w:bottom w:val="single" w:sz="8" w:space="0" w:color="auto"/>
              <w:right w:val="nil"/>
            </w:tcBorders>
            <w:shd w:val="clear" w:color="auto" w:fill="auto"/>
            <w:noWrap/>
            <w:vAlign w:val="center"/>
            <w:hideMark/>
          </w:tcPr>
          <w:p w14:paraId="61B66BB7"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w:t>
            </w:r>
          </w:p>
        </w:tc>
        <w:tc>
          <w:tcPr>
            <w:tcW w:w="835" w:type="dxa"/>
            <w:gridSpan w:val="2"/>
            <w:tcBorders>
              <w:top w:val="nil"/>
              <w:left w:val="nil"/>
              <w:bottom w:val="single" w:sz="8" w:space="0" w:color="auto"/>
              <w:right w:val="nil"/>
            </w:tcBorders>
            <w:shd w:val="clear" w:color="000000" w:fill="C9E3B4"/>
            <w:noWrap/>
            <w:vAlign w:val="center"/>
            <w:hideMark/>
          </w:tcPr>
          <w:p w14:paraId="2E4F29AB"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10,571,551</w:t>
            </w:r>
          </w:p>
        </w:tc>
        <w:tc>
          <w:tcPr>
            <w:tcW w:w="372" w:type="dxa"/>
            <w:gridSpan w:val="2"/>
            <w:tcBorders>
              <w:top w:val="nil"/>
              <w:left w:val="nil"/>
              <w:bottom w:val="single" w:sz="8" w:space="0" w:color="auto"/>
              <w:right w:val="nil"/>
            </w:tcBorders>
            <w:shd w:val="clear" w:color="auto" w:fill="auto"/>
            <w:noWrap/>
            <w:vAlign w:val="center"/>
            <w:hideMark/>
          </w:tcPr>
          <w:p w14:paraId="2DFE44F6"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w:t>
            </w:r>
          </w:p>
        </w:tc>
        <w:tc>
          <w:tcPr>
            <w:tcW w:w="662" w:type="dxa"/>
            <w:gridSpan w:val="2"/>
            <w:tcBorders>
              <w:top w:val="nil"/>
              <w:left w:val="nil"/>
              <w:bottom w:val="single" w:sz="8" w:space="0" w:color="auto"/>
              <w:right w:val="nil"/>
            </w:tcBorders>
            <w:shd w:val="clear" w:color="000000" w:fill="C9E3B4"/>
            <w:noWrap/>
            <w:vAlign w:val="center"/>
            <w:hideMark/>
          </w:tcPr>
          <w:p w14:paraId="0EA861EB"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11,612</w:t>
            </w:r>
          </w:p>
        </w:tc>
        <w:tc>
          <w:tcPr>
            <w:tcW w:w="372" w:type="dxa"/>
            <w:gridSpan w:val="2"/>
            <w:tcBorders>
              <w:top w:val="nil"/>
              <w:left w:val="nil"/>
              <w:bottom w:val="single" w:sz="8" w:space="0" w:color="auto"/>
              <w:right w:val="nil"/>
            </w:tcBorders>
            <w:shd w:val="clear" w:color="auto" w:fill="auto"/>
            <w:noWrap/>
            <w:vAlign w:val="center"/>
            <w:hideMark/>
          </w:tcPr>
          <w:p w14:paraId="6CC131F6"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w:t>
            </w:r>
          </w:p>
        </w:tc>
        <w:tc>
          <w:tcPr>
            <w:tcW w:w="696" w:type="dxa"/>
            <w:gridSpan w:val="2"/>
            <w:tcBorders>
              <w:top w:val="nil"/>
              <w:left w:val="nil"/>
              <w:bottom w:val="single" w:sz="8" w:space="0" w:color="auto"/>
              <w:right w:val="nil"/>
            </w:tcBorders>
            <w:shd w:val="clear" w:color="000000" w:fill="C9E3B4"/>
            <w:noWrap/>
            <w:vAlign w:val="center"/>
            <w:hideMark/>
          </w:tcPr>
          <w:p w14:paraId="4AA6900B"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1,642</w:t>
            </w:r>
          </w:p>
        </w:tc>
        <w:tc>
          <w:tcPr>
            <w:tcW w:w="372" w:type="dxa"/>
            <w:tcBorders>
              <w:top w:val="nil"/>
              <w:left w:val="nil"/>
              <w:bottom w:val="single" w:sz="8" w:space="0" w:color="auto"/>
              <w:right w:val="nil"/>
            </w:tcBorders>
            <w:shd w:val="clear" w:color="auto" w:fill="auto"/>
            <w:noWrap/>
            <w:vAlign w:val="center"/>
            <w:hideMark/>
          </w:tcPr>
          <w:p w14:paraId="72F0E290"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w:t>
            </w:r>
          </w:p>
        </w:tc>
        <w:tc>
          <w:tcPr>
            <w:tcW w:w="653" w:type="dxa"/>
            <w:gridSpan w:val="2"/>
            <w:tcBorders>
              <w:top w:val="nil"/>
              <w:left w:val="nil"/>
              <w:bottom w:val="single" w:sz="8" w:space="0" w:color="auto"/>
              <w:right w:val="nil"/>
            </w:tcBorders>
            <w:shd w:val="clear" w:color="000000" w:fill="C9E3B4"/>
            <w:noWrap/>
            <w:vAlign w:val="center"/>
            <w:hideMark/>
          </w:tcPr>
          <w:p w14:paraId="1E30B616"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172,400</w:t>
            </w:r>
          </w:p>
        </w:tc>
        <w:tc>
          <w:tcPr>
            <w:tcW w:w="372" w:type="dxa"/>
            <w:gridSpan w:val="2"/>
            <w:tcBorders>
              <w:top w:val="nil"/>
              <w:left w:val="nil"/>
              <w:bottom w:val="single" w:sz="8" w:space="0" w:color="auto"/>
              <w:right w:val="nil"/>
            </w:tcBorders>
            <w:shd w:val="clear" w:color="auto" w:fill="auto"/>
            <w:noWrap/>
            <w:vAlign w:val="center"/>
            <w:hideMark/>
          </w:tcPr>
          <w:p w14:paraId="4DC62290"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w:t>
            </w:r>
          </w:p>
        </w:tc>
        <w:tc>
          <w:tcPr>
            <w:tcW w:w="835" w:type="dxa"/>
            <w:gridSpan w:val="2"/>
            <w:tcBorders>
              <w:top w:val="nil"/>
              <w:left w:val="nil"/>
              <w:bottom w:val="single" w:sz="8" w:space="0" w:color="auto"/>
              <w:right w:val="nil"/>
            </w:tcBorders>
            <w:shd w:val="clear" w:color="000000" w:fill="C9E3B4"/>
            <w:noWrap/>
            <w:vAlign w:val="center"/>
            <w:hideMark/>
          </w:tcPr>
          <w:p w14:paraId="4528CD79"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43</w:t>
            </w:r>
          </w:p>
        </w:tc>
        <w:tc>
          <w:tcPr>
            <w:tcW w:w="372" w:type="dxa"/>
            <w:gridSpan w:val="2"/>
            <w:tcBorders>
              <w:top w:val="nil"/>
              <w:left w:val="nil"/>
              <w:bottom w:val="single" w:sz="8" w:space="0" w:color="auto"/>
              <w:right w:val="nil"/>
            </w:tcBorders>
            <w:shd w:val="clear" w:color="auto" w:fill="auto"/>
            <w:noWrap/>
            <w:vAlign w:val="center"/>
            <w:hideMark/>
          </w:tcPr>
          <w:p w14:paraId="495F68A8"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w:t>
            </w:r>
          </w:p>
        </w:tc>
        <w:tc>
          <w:tcPr>
            <w:tcW w:w="831" w:type="dxa"/>
            <w:gridSpan w:val="2"/>
            <w:tcBorders>
              <w:top w:val="nil"/>
              <w:left w:val="nil"/>
              <w:bottom w:val="single" w:sz="8" w:space="0" w:color="auto"/>
              <w:right w:val="nil"/>
            </w:tcBorders>
            <w:shd w:val="clear" w:color="000000" w:fill="C9E3B4"/>
            <w:noWrap/>
            <w:vAlign w:val="center"/>
            <w:hideMark/>
          </w:tcPr>
          <w:p w14:paraId="6C3EDCBB"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xml:space="preserve">- </w:t>
            </w:r>
          </w:p>
        </w:tc>
        <w:tc>
          <w:tcPr>
            <w:tcW w:w="497" w:type="dxa"/>
            <w:gridSpan w:val="2"/>
            <w:tcBorders>
              <w:top w:val="nil"/>
              <w:left w:val="nil"/>
              <w:bottom w:val="single" w:sz="8" w:space="0" w:color="auto"/>
              <w:right w:val="nil"/>
            </w:tcBorders>
            <w:shd w:val="clear" w:color="auto" w:fill="auto"/>
            <w:noWrap/>
            <w:vAlign w:val="center"/>
            <w:hideMark/>
          </w:tcPr>
          <w:p w14:paraId="42A6DAC2"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w:t>
            </w:r>
          </w:p>
        </w:tc>
        <w:tc>
          <w:tcPr>
            <w:tcW w:w="697" w:type="dxa"/>
            <w:gridSpan w:val="2"/>
            <w:tcBorders>
              <w:top w:val="nil"/>
              <w:left w:val="nil"/>
              <w:bottom w:val="single" w:sz="8" w:space="0" w:color="auto"/>
              <w:right w:val="nil"/>
            </w:tcBorders>
            <w:shd w:val="clear" w:color="000000" w:fill="C9E3B4"/>
            <w:noWrap/>
            <w:vAlign w:val="center"/>
            <w:hideMark/>
          </w:tcPr>
          <w:p w14:paraId="162322D0"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10,757,900</w:t>
            </w:r>
          </w:p>
        </w:tc>
      </w:tr>
      <w:tr w:rsidR="00490837" w:rsidRPr="00C1721E" w14:paraId="737F8A4B" w14:textId="77777777" w:rsidTr="00490837">
        <w:trPr>
          <w:gridAfter w:val="3"/>
          <w:wAfter w:w="1675" w:type="dxa"/>
          <w:trHeight w:val="246"/>
        </w:trPr>
        <w:tc>
          <w:tcPr>
            <w:tcW w:w="254" w:type="dxa"/>
            <w:gridSpan w:val="2"/>
            <w:tcBorders>
              <w:top w:val="nil"/>
              <w:left w:val="nil"/>
              <w:bottom w:val="nil"/>
              <w:right w:val="nil"/>
            </w:tcBorders>
            <w:shd w:val="clear" w:color="auto" w:fill="auto"/>
            <w:noWrap/>
            <w:vAlign w:val="center"/>
            <w:hideMark/>
          </w:tcPr>
          <w:p w14:paraId="30B8F8EA"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p>
        </w:tc>
        <w:tc>
          <w:tcPr>
            <w:tcW w:w="1826" w:type="dxa"/>
            <w:tcBorders>
              <w:top w:val="nil"/>
              <w:left w:val="nil"/>
              <w:bottom w:val="nil"/>
              <w:right w:val="nil"/>
            </w:tcBorders>
            <w:shd w:val="clear" w:color="auto" w:fill="auto"/>
            <w:vAlign w:val="center"/>
            <w:hideMark/>
          </w:tcPr>
          <w:p w14:paraId="4331E759" w14:textId="77777777" w:rsidR="00C1721E" w:rsidRPr="00C1721E" w:rsidRDefault="00C1721E" w:rsidP="00C1721E">
            <w:pPr>
              <w:spacing w:before="0" w:line="240" w:lineRule="auto"/>
              <w:rPr>
                <w:rFonts w:eastAsia="Times New Roman" w:cs="Times New Roman"/>
                <w:color w:val="auto"/>
                <w:sz w:val="20"/>
                <w:szCs w:val="20"/>
                <w:lang w:eastAsia="en-AU"/>
              </w:rPr>
            </w:pPr>
          </w:p>
        </w:tc>
        <w:tc>
          <w:tcPr>
            <w:tcW w:w="822" w:type="dxa"/>
            <w:gridSpan w:val="2"/>
            <w:tcBorders>
              <w:top w:val="nil"/>
              <w:left w:val="nil"/>
              <w:bottom w:val="nil"/>
              <w:right w:val="nil"/>
            </w:tcBorders>
            <w:shd w:val="clear" w:color="000000" w:fill="C9E3B4"/>
            <w:noWrap/>
            <w:vAlign w:val="center"/>
            <w:hideMark/>
          </w:tcPr>
          <w:p w14:paraId="6C851FF7"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1" w:type="dxa"/>
            <w:tcBorders>
              <w:top w:val="nil"/>
              <w:left w:val="nil"/>
              <w:bottom w:val="nil"/>
              <w:right w:val="nil"/>
            </w:tcBorders>
            <w:shd w:val="clear" w:color="auto" w:fill="auto"/>
            <w:noWrap/>
            <w:vAlign w:val="center"/>
            <w:hideMark/>
          </w:tcPr>
          <w:p w14:paraId="4A283061"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02D4D794"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3A5EF02E"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62" w:type="dxa"/>
            <w:gridSpan w:val="2"/>
            <w:tcBorders>
              <w:top w:val="nil"/>
              <w:left w:val="nil"/>
              <w:bottom w:val="nil"/>
              <w:right w:val="nil"/>
            </w:tcBorders>
            <w:shd w:val="clear" w:color="000000" w:fill="C9E3B4"/>
            <w:noWrap/>
            <w:vAlign w:val="center"/>
            <w:hideMark/>
          </w:tcPr>
          <w:p w14:paraId="6730DD04"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589BDE29"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6" w:type="dxa"/>
            <w:gridSpan w:val="2"/>
            <w:tcBorders>
              <w:top w:val="nil"/>
              <w:left w:val="nil"/>
              <w:bottom w:val="nil"/>
              <w:right w:val="nil"/>
            </w:tcBorders>
            <w:shd w:val="clear" w:color="000000" w:fill="C9E3B4"/>
            <w:noWrap/>
            <w:vAlign w:val="center"/>
            <w:hideMark/>
          </w:tcPr>
          <w:p w14:paraId="6EA6A076"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tcBorders>
              <w:top w:val="nil"/>
              <w:left w:val="nil"/>
              <w:bottom w:val="nil"/>
              <w:right w:val="nil"/>
            </w:tcBorders>
            <w:shd w:val="clear" w:color="auto" w:fill="auto"/>
            <w:noWrap/>
            <w:vAlign w:val="center"/>
            <w:hideMark/>
          </w:tcPr>
          <w:p w14:paraId="0966B958"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53" w:type="dxa"/>
            <w:gridSpan w:val="2"/>
            <w:tcBorders>
              <w:top w:val="nil"/>
              <w:left w:val="nil"/>
              <w:bottom w:val="nil"/>
              <w:right w:val="nil"/>
            </w:tcBorders>
            <w:shd w:val="clear" w:color="000000" w:fill="C9E3B4"/>
            <w:noWrap/>
            <w:vAlign w:val="center"/>
            <w:hideMark/>
          </w:tcPr>
          <w:p w14:paraId="44E11CCA"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0B1A5797"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5" w:type="dxa"/>
            <w:gridSpan w:val="2"/>
            <w:tcBorders>
              <w:top w:val="nil"/>
              <w:left w:val="nil"/>
              <w:bottom w:val="nil"/>
              <w:right w:val="nil"/>
            </w:tcBorders>
            <w:shd w:val="clear" w:color="000000" w:fill="C9E3B4"/>
            <w:noWrap/>
            <w:vAlign w:val="center"/>
            <w:hideMark/>
          </w:tcPr>
          <w:p w14:paraId="0C9EE60B"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372" w:type="dxa"/>
            <w:gridSpan w:val="2"/>
            <w:tcBorders>
              <w:top w:val="nil"/>
              <w:left w:val="nil"/>
              <w:bottom w:val="nil"/>
              <w:right w:val="nil"/>
            </w:tcBorders>
            <w:shd w:val="clear" w:color="auto" w:fill="auto"/>
            <w:noWrap/>
            <w:vAlign w:val="center"/>
            <w:hideMark/>
          </w:tcPr>
          <w:p w14:paraId="46EBF196"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831" w:type="dxa"/>
            <w:gridSpan w:val="2"/>
            <w:tcBorders>
              <w:top w:val="nil"/>
              <w:left w:val="nil"/>
              <w:bottom w:val="nil"/>
              <w:right w:val="nil"/>
            </w:tcBorders>
            <w:shd w:val="clear" w:color="000000" w:fill="C9E3B4"/>
            <w:noWrap/>
            <w:vAlign w:val="center"/>
            <w:hideMark/>
          </w:tcPr>
          <w:p w14:paraId="649FED2B"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r w:rsidRPr="00C1721E">
              <w:rPr>
                <w:rFonts w:ascii="Meta Pro" w:eastAsia="Times New Roman" w:hAnsi="Meta Pro" w:cs="Calibri"/>
                <w:color w:val="000000"/>
                <w:sz w:val="16"/>
                <w:szCs w:val="16"/>
                <w:lang w:eastAsia="en-AU"/>
              </w:rPr>
              <w:t> </w:t>
            </w:r>
          </w:p>
        </w:tc>
        <w:tc>
          <w:tcPr>
            <w:tcW w:w="497" w:type="dxa"/>
            <w:gridSpan w:val="2"/>
            <w:tcBorders>
              <w:top w:val="nil"/>
              <w:left w:val="nil"/>
              <w:bottom w:val="nil"/>
              <w:right w:val="nil"/>
            </w:tcBorders>
            <w:shd w:val="clear" w:color="auto" w:fill="auto"/>
            <w:noWrap/>
            <w:vAlign w:val="center"/>
            <w:hideMark/>
          </w:tcPr>
          <w:p w14:paraId="665A771E" w14:textId="77777777" w:rsidR="00C1721E" w:rsidRPr="00C1721E" w:rsidRDefault="00C1721E" w:rsidP="00C1721E">
            <w:pPr>
              <w:spacing w:before="0" w:line="240" w:lineRule="auto"/>
              <w:jc w:val="right"/>
              <w:rPr>
                <w:rFonts w:ascii="Meta Pro" w:eastAsia="Times New Roman" w:hAnsi="Meta Pro" w:cs="Calibri"/>
                <w:color w:val="000000"/>
                <w:sz w:val="16"/>
                <w:szCs w:val="16"/>
                <w:lang w:eastAsia="en-AU"/>
              </w:rPr>
            </w:pPr>
          </w:p>
        </w:tc>
        <w:tc>
          <w:tcPr>
            <w:tcW w:w="697" w:type="dxa"/>
            <w:gridSpan w:val="2"/>
            <w:tcBorders>
              <w:top w:val="nil"/>
              <w:left w:val="nil"/>
              <w:bottom w:val="nil"/>
              <w:right w:val="nil"/>
            </w:tcBorders>
            <w:shd w:val="clear" w:color="000000" w:fill="C9E3B4"/>
            <w:noWrap/>
            <w:vAlign w:val="center"/>
            <w:hideMark/>
          </w:tcPr>
          <w:p w14:paraId="37989456"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w:t>
            </w:r>
          </w:p>
        </w:tc>
      </w:tr>
      <w:tr w:rsidR="00490837" w:rsidRPr="00C1721E" w14:paraId="74D715D9" w14:textId="77777777" w:rsidTr="00490837">
        <w:trPr>
          <w:gridAfter w:val="3"/>
          <w:wAfter w:w="1675" w:type="dxa"/>
          <w:trHeight w:hRule="exact" w:val="254"/>
        </w:trPr>
        <w:tc>
          <w:tcPr>
            <w:tcW w:w="2080" w:type="dxa"/>
            <w:gridSpan w:val="3"/>
            <w:tcBorders>
              <w:top w:val="nil"/>
              <w:left w:val="nil"/>
              <w:bottom w:val="double" w:sz="6" w:space="0" w:color="auto"/>
              <w:right w:val="nil"/>
            </w:tcBorders>
            <w:shd w:val="clear" w:color="auto" w:fill="auto"/>
            <w:noWrap/>
            <w:vAlign w:val="center"/>
            <w:hideMark/>
          </w:tcPr>
          <w:p w14:paraId="7EE96464" w14:textId="77777777" w:rsidR="00C1721E" w:rsidRPr="00C1721E" w:rsidRDefault="00C1721E" w:rsidP="00C1721E">
            <w:pPr>
              <w:spacing w:before="0" w:line="240" w:lineRule="auto"/>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TOTAL COMPREHENSIVE INCOME</w:t>
            </w:r>
          </w:p>
        </w:tc>
        <w:tc>
          <w:tcPr>
            <w:tcW w:w="822" w:type="dxa"/>
            <w:gridSpan w:val="2"/>
            <w:tcBorders>
              <w:top w:val="nil"/>
              <w:left w:val="nil"/>
              <w:bottom w:val="double" w:sz="6" w:space="0" w:color="auto"/>
              <w:right w:val="nil"/>
            </w:tcBorders>
            <w:shd w:val="clear" w:color="000000" w:fill="C9E3B4"/>
            <w:noWrap/>
            <w:vAlign w:val="center"/>
            <w:hideMark/>
          </w:tcPr>
          <w:p w14:paraId="5ABD47FD"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652</w:t>
            </w:r>
          </w:p>
        </w:tc>
        <w:tc>
          <w:tcPr>
            <w:tcW w:w="371" w:type="dxa"/>
            <w:tcBorders>
              <w:top w:val="nil"/>
              <w:left w:val="nil"/>
              <w:bottom w:val="double" w:sz="6" w:space="0" w:color="auto"/>
              <w:right w:val="nil"/>
            </w:tcBorders>
            <w:shd w:val="clear" w:color="auto" w:fill="auto"/>
            <w:noWrap/>
            <w:vAlign w:val="center"/>
            <w:hideMark/>
          </w:tcPr>
          <w:p w14:paraId="2A7F91E6"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w:t>
            </w:r>
          </w:p>
        </w:tc>
        <w:tc>
          <w:tcPr>
            <w:tcW w:w="835" w:type="dxa"/>
            <w:gridSpan w:val="2"/>
            <w:tcBorders>
              <w:top w:val="nil"/>
              <w:left w:val="nil"/>
              <w:bottom w:val="double" w:sz="6" w:space="0" w:color="auto"/>
              <w:right w:val="nil"/>
            </w:tcBorders>
            <w:shd w:val="clear" w:color="000000" w:fill="C9E3B4"/>
            <w:noWrap/>
            <w:vAlign w:val="center"/>
            <w:hideMark/>
          </w:tcPr>
          <w:p w14:paraId="7B0CE7FD"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10,707,454</w:t>
            </w:r>
          </w:p>
        </w:tc>
        <w:tc>
          <w:tcPr>
            <w:tcW w:w="372" w:type="dxa"/>
            <w:gridSpan w:val="2"/>
            <w:tcBorders>
              <w:top w:val="nil"/>
              <w:left w:val="nil"/>
              <w:bottom w:val="double" w:sz="6" w:space="0" w:color="auto"/>
              <w:right w:val="nil"/>
            </w:tcBorders>
            <w:shd w:val="clear" w:color="auto" w:fill="auto"/>
            <w:noWrap/>
            <w:vAlign w:val="center"/>
            <w:hideMark/>
          </w:tcPr>
          <w:p w14:paraId="392CC108"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w:t>
            </w:r>
          </w:p>
        </w:tc>
        <w:tc>
          <w:tcPr>
            <w:tcW w:w="662" w:type="dxa"/>
            <w:gridSpan w:val="2"/>
            <w:tcBorders>
              <w:top w:val="nil"/>
              <w:left w:val="nil"/>
              <w:bottom w:val="double" w:sz="6" w:space="0" w:color="auto"/>
              <w:right w:val="nil"/>
            </w:tcBorders>
            <w:shd w:val="clear" w:color="000000" w:fill="C9E3B4"/>
            <w:noWrap/>
            <w:vAlign w:val="center"/>
            <w:hideMark/>
          </w:tcPr>
          <w:p w14:paraId="04F62DF2"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11,612</w:t>
            </w:r>
          </w:p>
        </w:tc>
        <w:tc>
          <w:tcPr>
            <w:tcW w:w="372" w:type="dxa"/>
            <w:gridSpan w:val="2"/>
            <w:tcBorders>
              <w:top w:val="nil"/>
              <w:left w:val="nil"/>
              <w:bottom w:val="double" w:sz="6" w:space="0" w:color="auto"/>
              <w:right w:val="nil"/>
            </w:tcBorders>
            <w:shd w:val="clear" w:color="auto" w:fill="auto"/>
            <w:noWrap/>
            <w:vAlign w:val="center"/>
            <w:hideMark/>
          </w:tcPr>
          <w:p w14:paraId="734D4ED0"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w:t>
            </w:r>
          </w:p>
        </w:tc>
        <w:tc>
          <w:tcPr>
            <w:tcW w:w="696" w:type="dxa"/>
            <w:gridSpan w:val="2"/>
            <w:tcBorders>
              <w:top w:val="nil"/>
              <w:left w:val="nil"/>
              <w:bottom w:val="double" w:sz="6" w:space="0" w:color="auto"/>
              <w:right w:val="nil"/>
            </w:tcBorders>
            <w:shd w:val="clear" w:color="000000" w:fill="C9E3B4"/>
            <w:noWrap/>
            <w:vAlign w:val="center"/>
            <w:hideMark/>
          </w:tcPr>
          <w:p w14:paraId="77D580B6"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1,642</w:t>
            </w:r>
          </w:p>
        </w:tc>
        <w:tc>
          <w:tcPr>
            <w:tcW w:w="372" w:type="dxa"/>
            <w:tcBorders>
              <w:top w:val="nil"/>
              <w:left w:val="nil"/>
              <w:bottom w:val="double" w:sz="6" w:space="0" w:color="auto"/>
              <w:right w:val="nil"/>
            </w:tcBorders>
            <w:shd w:val="clear" w:color="auto" w:fill="auto"/>
            <w:noWrap/>
            <w:vAlign w:val="center"/>
            <w:hideMark/>
          </w:tcPr>
          <w:p w14:paraId="54B7CFC2"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w:t>
            </w:r>
          </w:p>
        </w:tc>
        <w:tc>
          <w:tcPr>
            <w:tcW w:w="653" w:type="dxa"/>
            <w:gridSpan w:val="2"/>
            <w:tcBorders>
              <w:top w:val="nil"/>
              <w:left w:val="nil"/>
              <w:bottom w:val="double" w:sz="6" w:space="0" w:color="auto"/>
              <w:right w:val="nil"/>
            </w:tcBorders>
            <w:shd w:val="clear" w:color="000000" w:fill="C9E3B4"/>
            <w:noWrap/>
            <w:vAlign w:val="center"/>
            <w:hideMark/>
          </w:tcPr>
          <w:p w14:paraId="2AAA393E"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-13,504</w:t>
            </w:r>
          </w:p>
        </w:tc>
        <w:tc>
          <w:tcPr>
            <w:tcW w:w="372" w:type="dxa"/>
            <w:gridSpan w:val="2"/>
            <w:tcBorders>
              <w:top w:val="nil"/>
              <w:left w:val="nil"/>
              <w:bottom w:val="double" w:sz="6" w:space="0" w:color="auto"/>
              <w:right w:val="nil"/>
            </w:tcBorders>
            <w:shd w:val="clear" w:color="auto" w:fill="auto"/>
            <w:noWrap/>
            <w:vAlign w:val="center"/>
            <w:hideMark/>
          </w:tcPr>
          <w:p w14:paraId="5F62CB59"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w:t>
            </w:r>
          </w:p>
        </w:tc>
        <w:tc>
          <w:tcPr>
            <w:tcW w:w="835" w:type="dxa"/>
            <w:gridSpan w:val="2"/>
            <w:tcBorders>
              <w:top w:val="nil"/>
              <w:left w:val="nil"/>
              <w:bottom w:val="double" w:sz="6" w:space="0" w:color="auto"/>
              <w:right w:val="nil"/>
            </w:tcBorders>
            <w:shd w:val="clear" w:color="000000" w:fill="C9E3B4"/>
            <w:noWrap/>
            <w:vAlign w:val="center"/>
            <w:hideMark/>
          </w:tcPr>
          <w:p w14:paraId="6C200EA3"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-11,035</w:t>
            </w:r>
          </w:p>
        </w:tc>
        <w:tc>
          <w:tcPr>
            <w:tcW w:w="372" w:type="dxa"/>
            <w:gridSpan w:val="2"/>
            <w:tcBorders>
              <w:top w:val="nil"/>
              <w:left w:val="nil"/>
              <w:bottom w:val="double" w:sz="6" w:space="0" w:color="auto"/>
              <w:right w:val="nil"/>
            </w:tcBorders>
            <w:shd w:val="clear" w:color="auto" w:fill="auto"/>
            <w:noWrap/>
            <w:vAlign w:val="center"/>
            <w:hideMark/>
          </w:tcPr>
          <w:p w14:paraId="24DE8657"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w:t>
            </w:r>
          </w:p>
        </w:tc>
        <w:tc>
          <w:tcPr>
            <w:tcW w:w="831" w:type="dxa"/>
            <w:gridSpan w:val="2"/>
            <w:tcBorders>
              <w:top w:val="nil"/>
              <w:left w:val="nil"/>
              <w:bottom w:val="double" w:sz="6" w:space="0" w:color="auto"/>
              <w:right w:val="nil"/>
            </w:tcBorders>
            <w:shd w:val="clear" w:color="000000" w:fill="C9E3B4"/>
            <w:noWrap/>
            <w:vAlign w:val="center"/>
            <w:hideMark/>
          </w:tcPr>
          <w:p w14:paraId="07D48CA7"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xml:space="preserve">- </w:t>
            </w:r>
          </w:p>
        </w:tc>
        <w:tc>
          <w:tcPr>
            <w:tcW w:w="497" w:type="dxa"/>
            <w:gridSpan w:val="2"/>
            <w:tcBorders>
              <w:top w:val="nil"/>
              <w:left w:val="nil"/>
              <w:bottom w:val="double" w:sz="6" w:space="0" w:color="auto"/>
              <w:right w:val="nil"/>
            </w:tcBorders>
            <w:shd w:val="clear" w:color="auto" w:fill="auto"/>
            <w:noWrap/>
            <w:vAlign w:val="center"/>
            <w:hideMark/>
          </w:tcPr>
          <w:p w14:paraId="00249C5E"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 </w:t>
            </w:r>
          </w:p>
        </w:tc>
        <w:tc>
          <w:tcPr>
            <w:tcW w:w="697" w:type="dxa"/>
            <w:gridSpan w:val="2"/>
            <w:tcBorders>
              <w:top w:val="nil"/>
              <w:left w:val="nil"/>
              <w:bottom w:val="double" w:sz="6" w:space="0" w:color="auto"/>
              <w:right w:val="nil"/>
            </w:tcBorders>
            <w:shd w:val="clear" w:color="000000" w:fill="C9E3B4"/>
            <w:noWrap/>
            <w:vAlign w:val="center"/>
            <w:hideMark/>
          </w:tcPr>
          <w:p w14:paraId="178F7062" w14:textId="77777777" w:rsidR="00C1721E" w:rsidRPr="00C1721E" w:rsidRDefault="00C1721E" w:rsidP="00C1721E">
            <w:pPr>
              <w:spacing w:before="0" w:line="240" w:lineRule="auto"/>
              <w:jc w:val="right"/>
              <w:rPr>
                <w:rFonts w:ascii="Meta Pro" w:eastAsia="Times New Roman" w:hAnsi="Meta Pro" w:cs="Calibri"/>
                <w:b/>
                <w:bCs/>
                <w:color w:val="000000"/>
                <w:sz w:val="16"/>
                <w:szCs w:val="16"/>
                <w:lang w:eastAsia="en-AU"/>
              </w:rPr>
            </w:pPr>
            <w:r w:rsidRPr="00C1721E">
              <w:rPr>
                <w:rFonts w:ascii="Meta Pro" w:eastAsia="Times New Roman" w:hAnsi="Meta Pro" w:cs="Calibri"/>
                <w:b/>
                <w:bCs/>
                <w:color w:val="000000"/>
                <w:sz w:val="16"/>
                <w:szCs w:val="16"/>
                <w:lang w:eastAsia="en-AU"/>
              </w:rPr>
              <w:t>10,696,821</w:t>
            </w:r>
          </w:p>
        </w:tc>
      </w:tr>
      <w:tr w:rsidR="00490837" w:rsidRPr="00490837" w14:paraId="075D84F2" w14:textId="77777777" w:rsidTr="00490837">
        <w:trPr>
          <w:gridAfter w:val="3"/>
          <w:wAfter w:w="1675" w:type="dxa"/>
          <w:trHeight w:hRule="exact" w:val="254"/>
        </w:trPr>
        <w:tc>
          <w:tcPr>
            <w:tcW w:w="2080" w:type="dxa"/>
            <w:gridSpan w:val="3"/>
            <w:tcBorders>
              <w:top w:val="nil"/>
              <w:left w:val="nil"/>
              <w:bottom w:val="double" w:sz="6" w:space="0" w:color="auto"/>
              <w:right w:val="nil"/>
            </w:tcBorders>
            <w:shd w:val="clear" w:color="auto" w:fill="auto"/>
            <w:noWrap/>
            <w:vAlign w:val="center"/>
            <w:hideMark/>
          </w:tcPr>
          <w:p w14:paraId="0E38004E" w14:textId="77777777" w:rsidR="00490837" w:rsidRPr="00490837" w:rsidRDefault="00490837" w:rsidP="00490837">
            <w:pPr>
              <w:spacing w:before="0" w:line="240" w:lineRule="auto"/>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OPERATING RESULT</w:t>
            </w:r>
          </w:p>
        </w:tc>
        <w:tc>
          <w:tcPr>
            <w:tcW w:w="822" w:type="dxa"/>
            <w:gridSpan w:val="2"/>
            <w:tcBorders>
              <w:top w:val="nil"/>
              <w:left w:val="nil"/>
              <w:bottom w:val="double" w:sz="6" w:space="0" w:color="auto"/>
              <w:right w:val="nil"/>
            </w:tcBorders>
            <w:shd w:val="clear" w:color="000000" w:fill="C9E3B4"/>
            <w:noWrap/>
            <w:vAlign w:val="center"/>
            <w:hideMark/>
          </w:tcPr>
          <w:p w14:paraId="1570738D"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Transport system investment planning and programming</w:t>
            </w:r>
          </w:p>
        </w:tc>
        <w:tc>
          <w:tcPr>
            <w:tcW w:w="371" w:type="dxa"/>
            <w:tcBorders>
              <w:top w:val="nil"/>
              <w:left w:val="nil"/>
              <w:bottom w:val="double" w:sz="6" w:space="0" w:color="auto"/>
              <w:right w:val="nil"/>
            </w:tcBorders>
            <w:shd w:val="clear" w:color="auto" w:fill="auto"/>
            <w:noWrap/>
            <w:vAlign w:val="center"/>
            <w:hideMark/>
          </w:tcPr>
          <w:p w14:paraId="160D9914"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835" w:type="dxa"/>
            <w:gridSpan w:val="2"/>
            <w:tcBorders>
              <w:top w:val="nil"/>
              <w:left w:val="nil"/>
              <w:bottom w:val="double" w:sz="6" w:space="0" w:color="auto"/>
              <w:right w:val="nil"/>
            </w:tcBorders>
            <w:shd w:val="clear" w:color="000000" w:fill="C9E3B4"/>
            <w:noWrap/>
            <w:vAlign w:val="center"/>
            <w:hideMark/>
          </w:tcPr>
          <w:p w14:paraId="22B6583A"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Transport infrastructure management and</w:t>
            </w:r>
          </w:p>
        </w:tc>
        <w:tc>
          <w:tcPr>
            <w:tcW w:w="372" w:type="dxa"/>
            <w:gridSpan w:val="2"/>
            <w:tcBorders>
              <w:top w:val="nil"/>
              <w:left w:val="nil"/>
              <w:bottom w:val="double" w:sz="6" w:space="0" w:color="auto"/>
              <w:right w:val="nil"/>
            </w:tcBorders>
            <w:shd w:val="clear" w:color="auto" w:fill="auto"/>
            <w:noWrap/>
            <w:vAlign w:val="center"/>
            <w:hideMark/>
          </w:tcPr>
          <w:p w14:paraId="4863793E"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662" w:type="dxa"/>
            <w:gridSpan w:val="2"/>
            <w:tcBorders>
              <w:top w:val="nil"/>
              <w:left w:val="nil"/>
              <w:bottom w:val="double" w:sz="6" w:space="0" w:color="auto"/>
              <w:right w:val="nil"/>
            </w:tcBorders>
            <w:shd w:val="clear" w:color="000000" w:fill="C9E3B4"/>
            <w:noWrap/>
            <w:vAlign w:val="center"/>
            <w:hideMark/>
          </w:tcPr>
          <w:p w14:paraId="2B2F2700"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Transport safety and regulation</w:t>
            </w:r>
          </w:p>
        </w:tc>
        <w:tc>
          <w:tcPr>
            <w:tcW w:w="372" w:type="dxa"/>
            <w:gridSpan w:val="2"/>
            <w:tcBorders>
              <w:top w:val="nil"/>
              <w:left w:val="nil"/>
              <w:bottom w:val="double" w:sz="6" w:space="0" w:color="auto"/>
              <w:right w:val="nil"/>
            </w:tcBorders>
            <w:shd w:val="clear" w:color="auto" w:fill="auto"/>
            <w:noWrap/>
            <w:vAlign w:val="center"/>
            <w:hideMark/>
          </w:tcPr>
          <w:p w14:paraId="4AF7FEEB"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696" w:type="dxa"/>
            <w:gridSpan w:val="2"/>
            <w:tcBorders>
              <w:top w:val="nil"/>
              <w:left w:val="nil"/>
              <w:bottom w:val="double" w:sz="6" w:space="0" w:color="auto"/>
              <w:right w:val="nil"/>
            </w:tcBorders>
            <w:shd w:val="clear" w:color="000000" w:fill="C9E3B4"/>
            <w:noWrap/>
            <w:vAlign w:val="center"/>
            <w:hideMark/>
          </w:tcPr>
          <w:p w14:paraId="26FB67FF"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Customer experience</w:t>
            </w:r>
          </w:p>
        </w:tc>
        <w:tc>
          <w:tcPr>
            <w:tcW w:w="372" w:type="dxa"/>
            <w:tcBorders>
              <w:top w:val="nil"/>
              <w:left w:val="nil"/>
              <w:bottom w:val="double" w:sz="6" w:space="0" w:color="auto"/>
              <w:right w:val="nil"/>
            </w:tcBorders>
            <w:shd w:val="clear" w:color="auto" w:fill="auto"/>
            <w:noWrap/>
            <w:vAlign w:val="center"/>
            <w:hideMark/>
          </w:tcPr>
          <w:p w14:paraId="15D16753"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653" w:type="dxa"/>
            <w:gridSpan w:val="2"/>
            <w:tcBorders>
              <w:top w:val="nil"/>
              <w:left w:val="nil"/>
              <w:bottom w:val="double" w:sz="6" w:space="0" w:color="auto"/>
              <w:right w:val="nil"/>
            </w:tcBorders>
            <w:shd w:val="clear" w:color="000000" w:fill="C9E3B4"/>
            <w:noWrap/>
            <w:vAlign w:val="center"/>
            <w:hideMark/>
          </w:tcPr>
          <w:p w14:paraId="1D758BC9"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Passenger transport services</w:t>
            </w:r>
          </w:p>
        </w:tc>
        <w:tc>
          <w:tcPr>
            <w:tcW w:w="372" w:type="dxa"/>
            <w:gridSpan w:val="2"/>
            <w:tcBorders>
              <w:top w:val="nil"/>
              <w:left w:val="nil"/>
              <w:bottom w:val="double" w:sz="6" w:space="0" w:color="auto"/>
              <w:right w:val="nil"/>
            </w:tcBorders>
            <w:shd w:val="clear" w:color="auto" w:fill="auto"/>
            <w:noWrap/>
            <w:vAlign w:val="center"/>
            <w:hideMark/>
          </w:tcPr>
          <w:p w14:paraId="41804D13"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835" w:type="dxa"/>
            <w:gridSpan w:val="2"/>
            <w:tcBorders>
              <w:top w:val="nil"/>
              <w:left w:val="nil"/>
              <w:bottom w:val="double" w:sz="6" w:space="0" w:color="auto"/>
              <w:right w:val="nil"/>
            </w:tcBorders>
            <w:shd w:val="clear" w:color="000000" w:fill="C9E3B4"/>
            <w:noWrap/>
            <w:vAlign w:val="center"/>
            <w:hideMark/>
          </w:tcPr>
          <w:p w14:paraId="7219AE70"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Transport infrastructure construction and maintenance</w:t>
            </w:r>
          </w:p>
        </w:tc>
        <w:tc>
          <w:tcPr>
            <w:tcW w:w="372" w:type="dxa"/>
            <w:gridSpan w:val="2"/>
            <w:tcBorders>
              <w:top w:val="nil"/>
              <w:left w:val="nil"/>
              <w:bottom w:val="double" w:sz="6" w:space="0" w:color="auto"/>
              <w:right w:val="nil"/>
            </w:tcBorders>
            <w:shd w:val="clear" w:color="auto" w:fill="auto"/>
            <w:noWrap/>
            <w:vAlign w:val="center"/>
            <w:hideMark/>
          </w:tcPr>
          <w:p w14:paraId="5E45E50A"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831" w:type="dxa"/>
            <w:gridSpan w:val="2"/>
            <w:tcBorders>
              <w:top w:val="nil"/>
              <w:left w:val="nil"/>
              <w:bottom w:val="double" w:sz="6" w:space="0" w:color="auto"/>
              <w:right w:val="nil"/>
            </w:tcBorders>
            <w:shd w:val="clear" w:color="000000" w:fill="C9E3B4"/>
            <w:noWrap/>
            <w:vAlign w:val="center"/>
            <w:hideMark/>
          </w:tcPr>
          <w:p w14:paraId="3A708F45"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Inter-departmental services</w:t>
            </w:r>
          </w:p>
        </w:tc>
        <w:tc>
          <w:tcPr>
            <w:tcW w:w="497" w:type="dxa"/>
            <w:gridSpan w:val="2"/>
            <w:tcBorders>
              <w:top w:val="nil"/>
              <w:left w:val="nil"/>
              <w:bottom w:val="double" w:sz="6" w:space="0" w:color="auto"/>
              <w:right w:val="nil"/>
            </w:tcBorders>
            <w:shd w:val="clear" w:color="auto" w:fill="auto"/>
            <w:noWrap/>
            <w:vAlign w:val="center"/>
            <w:hideMark/>
          </w:tcPr>
          <w:p w14:paraId="0B350D5B"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697" w:type="dxa"/>
            <w:gridSpan w:val="2"/>
            <w:tcBorders>
              <w:top w:val="nil"/>
              <w:left w:val="nil"/>
              <w:bottom w:val="double" w:sz="6" w:space="0" w:color="auto"/>
              <w:right w:val="nil"/>
            </w:tcBorders>
            <w:shd w:val="clear" w:color="000000" w:fill="C9E3B4"/>
            <w:noWrap/>
            <w:vAlign w:val="center"/>
            <w:hideMark/>
          </w:tcPr>
          <w:p w14:paraId="0D4E13E2"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Total</w:t>
            </w:r>
          </w:p>
        </w:tc>
      </w:tr>
      <w:tr w:rsidR="00490837" w:rsidRPr="00490837" w14:paraId="6E0C344B" w14:textId="77777777" w:rsidTr="00490837">
        <w:trPr>
          <w:gridAfter w:val="3"/>
          <w:wAfter w:w="1675" w:type="dxa"/>
          <w:trHeight w:hRule="exact" w:val="254"/>
        </w:trPr>
        <w:tc>
          <w:tcPr>
            <w:tcW w:w="2080" w:type="dxa"/>
            <w:gridSpan w:val="3"/>
            <w:tcBorders>
              <w:top w:val="nil"/>
              <w:left w:val="nil"/>
              <w:bottom w:val="double" w:sz="6" w:space="0" w:color="auto"/>
              <w:right w:val="nil"/>
            </w:tcBorders>
            <w:shd w:val="clear" w:color="auto" w:fill="auto"/>
            <w:noWrap/>
            <w:vAlign w:val="center"/>
            <w:hideMark/>
          </w:tcPr>
          <w:p w14:paraId="29C1E21A" w14:textId="77777777" w:rsidR="00490837" w:rsidRPr="00490837" w:rsidRDefault="00490837" w:rsidP="00490837">
            <w:pPr>
              <w:spacing w:before="0" w:line="240" w:lineRule="auto"/>
              <w:rPr>
                <w:rFonts w:ascii="Meta Pro" w:eastAsia="Times New Roman" w:hAnsi="Meta Pro" w:cs="Calibri"/>
                <w:b/>
                <w:bCs/>
                <w:color w:val="000000"/>
                <w:sz w:val="16"/>
                <w:szCs w:val="16"/>
                <w:lang w:eastAsia="en-AU"/>
              </w:rPr>
            </w:pPr>
          </w:p>
        </w:tc>
        <w:tc>
          <w:tcPr>
            <w:tcW w:w="822" w:type="dxa"/>
            <w:gridSpan w:val="2"/>
            <w:tcBorders>
              <w:top w:val="nil"/>
              <w:left w:val="nil"/>
              <w:bottom w:val="double" w:sz="6" w:space="0" w:color="auto"/>
              <w:right w:val="nil"/>
            </w:tcBorders>
            <w:shd w:val="clear" w:color="000000" w:fill="C9E3B4"/>
            <w:noWrap/>
            <w:vAlign w:val="center"/>
            <w:hideMark/>
          </w:tcPr>
          <w:p w14:paraId="0E0BBD0A"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371" w:type="dxa"/>
            <w:tcBorders>
              <w:top w:val="nil"/>
              <w:left w:val="nil"/>
              <w:bottom w:val="double" w:sz="6" w:space="0" w:color="auto"/>
              <w:right w:val="nil"/>
            </w:tcBorders>
            <w:shd w:val="clear" w:color="auto" w:fill="auto"/>
            <w:noWrap/>
            <w:vAlign w:val="center"/>
            <w:hideMark/>
          </w:tcPr>
          <w:p w14:paraId="735FE7F2"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835" w:type="dxa"/>
            <w:gridSpan w:val="2"/>
            <w:tcBorders>
              <w:top w:val="nil"/>
              <w:left w:val="nil"/>
              <w:bottom w:val="double" w:sz="6" w:space="0" w:color="auto"/>
              <w:right w:val="nil"/>
            </w:tcBorders>
            <w:shd w:val="clear" w:color="000000" w:fill="C9E3B4"/>
            <w:noWrap/>
            <w:vAlign w:val="center"/>
            <w:hideMark/>
          </w:tcPr>
          <w:p w14:paraId="41521B69"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delivery</w:t>
            </w:r>
          </w:p>
        </w:tc>
        <w:tc>
          <w:tcPr>
            <w:tcW w:w="372" w:type="dxa"/>
            <w:gridSpan w:val="2"/>
            <w:tcBorders>
              <w:top w:val="nil"/>
              <w:left w:val="nil"/>
              <w:bottom w:val="double" w:sz="6" w:space="0" w:color="auto"/>
              <w:right w:val="nil"/>
            </w:tcBorders>
            <w:shd w:val="clear" w:color="auto" w:fill="auto"/>
            <w:noWrap/>
            <w:vAlign w:val="center"/>
            <w:hideMark/>
          </w:tcPr>
          <w:p w14:paraId="05F26596"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662" w:type="dxa"/>
            <w:gridSpan w:val="2"/>
            <w:tcBorders>
              <w:top w:val="nil"/>
              <w:left w:val="nil"/>
              <w:bottom w:val="double" w:sz="6" w:space="0" w:color="auto"/>
              <w:right w:val="nil"/>
            </w:tcBorders>
            <w:shd w:val="clear" w:color="000000" w:fill="C9E3B4"/>
            <w:noWrap/>
            <w:vAlign w:val="center"/>
            <w:hideMark/>
          </w:tcPr>
          <w:p w14:paraId="3F2FE82F"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372" w:type="dxa"/>
            <w:gridSpan w:val="2"/>
            <w:tcBorders>
              <w:top w:val="nil"/>
              <w:left w:val="nil"/>
              <w:bottom w:val="double" w:sz="6" w:space="0" w:color="auto"/>
              <w:right w:val="nil"/>
            </w:tcBorders>
            <w:shd w:val="clear" w:color="auto" w:fill="auto"/>
            <w:noWrap/>
            <w:vAlign w:val="center"/>
            <w:hideMark/>
          </w:tcPr>
          <w:p w14:paraId="2BEB31DC"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696" w:type="dxa"/>
            <w:gridSpan w:val="2"/>
            <w:tcBorders>
              <w:top w:val="nil"/>
              <w:left w:val="nil"/>
              <w:bottom w:val="double" w:sz="6" w:space="0" w:color="auto"/>
              <w:right w:val="nil"/>
            </w:tcBorders>
            <w:shd w:val="clear" w:color="000000" w:fill="C9E3B4"/>
            <w:noWrap/>
            <w:vAlign w:val="center"/>
            <w:hideMark/>
          </w:tcPr>
          <w:p w14:paraId="78E49624"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372" w:type="dxa"/>
            <w:tcBorders>
              <w:top w:val="nil"/>
              <w:left w:val="nil"/>
              <w:bottom w:val="double" w:sz="6" w:space="0" w:color="auto"/>
              <w:right w:val="nil"/>
            </w:tcBorders>
            <w:shd w:val="clear" w:color="auto" w:fill="auto"/>
            <w:noWrap/>
            <w:vAlign w:val="center"/>
            <w:hideMark/>
          </w:tcPr>
          <w:p w14:paraId="7460DF62"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653" w:type="dxa"/>
            <w:gridSpan w:val="2"/>
            <w:tcBorders>
              <w:top w:val="nil"/>
              <w:left w:val="nil"/>
              <w:bottom w:val="double" w:sz="6" w:space="0" w:color="auto"/>
              <w:right w:val="nil"/>
            </w:tcBorders>
            <w:shd w:val="clear" w:color="000000" w:fill="C9E3B4"/>
            <w:noWrap/>
            <w:vAlign w:val="center"/>
            <w:hideMark/>
          </w:tcPr>
          <w:p w14:paraId="436699A1"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372" w:type="dxa"/>
            <w:gridSpan w:val="2"/>
            <w:tcBorders>
              <w:top w:val="nil"/>
              <w:left w:val="nil"/>
              <w:bottom w:val="double" w:sz="6" w:space="0" w:color="auto"/>
              <w:right w:val="nil"/>
            </w:tcBorders>
            <w:shd w:val="clear" w:color="auto" w:fill="auto"/>
            <w:noWrap/>
            <w:vAlign w:val="center"/>
            <w:hideMark/>
          </w:tcPr>
          <w:p w14:paraId="52208609"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835" w:type="dxa"/>
            <w:gridSpan w:val="2"/>
            <w:tcBorders>
              <w:top w:val="nil"/>
              <w:left w:val="nil"/>
              <w:bottom w:val="double" w:sz="6" w:space="0" w:color="auto"/>
              <w:right w:val="nil"/>
            </w:tcBorders>
            <w:shd w:val="clear" w:color="000000" w:fill="C9E3B4"/>
            <w:noWrap/>
            <w:vAlign w:val="center"/>
            <w:hideMark/>
          </w:tcPr>
          <w:p w14:paraId="44C2EB39"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372" w:type="dxa"/>
            <w:gridSpan w:val="2"/>
            <w:tcBorders>
              <w:top w:val="nil"/>
              <w:left w:val="nil"/>
              <w:bottom w:val="double" w:sz="6" w:space="0" w:color="auto"/>
              <w:right w:val="nil"/>
            </w:tcBorders>
            <w:shd w:val="clear" w:color="auto" w:fill="auto"/>
            <w:noWrap/>
            <w:vAlign w:val="center"/>
            <w:hideMark/>
          </w:tcPr>
          <w:p w14:paraId="04C6CF63"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831" w:type="dxa"/>
            <w:gridSpan w:val="2"/>
            <w:tcBorders>
              <w:top w:val="nil"/>
              <w:left w:val="nil"/>
              <w:bottom w:val="double" w:sz="6" w:space="0" w:color="auto"/>
              <w:right w:val="nil"/>
            </w:tcBorders>
            <w:shd w:val="clear" w:color="000000" w:fill="C9E3B4"/>
            <w:noWrap/>
            <w:vAlign w:val="center"/>
            <w:hideMark/>
          </w:tcPr>
          <w:p w14:paraId="5A0ECF19"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 xml:space="preserve">eliminations </w:t>
            </w:r>
          </w:p>
        </w:tc>
        <w:tc>
          <w:tcPr>
            <w:tcW w:w="497" w:type="dxa"/>
            <w:gridSpan w:val="2"/>
            <w:tcBorders>
              <w:top w:val="nil"/>
              <w:left w:val="nil"/>
              <w:bottom w:val="double" w:sz="6" w:space="0" w:color="auto"/>
              <w:right w:val="nil"/>
            </w:tcBorders>
            <w:shd w:val="clear" w:color="auto" w:fill="auto"/>
            <w:noWrap/>
            <w:vAlign w:val="center"/>
            <w:hideMark/>
          </w:tcPr>
          <w:p w14:paraId="052BCC86"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697" w:type="dxa"/>
            <w:gridSpan w:val="2"/>
            <w:tcBorders>
              <w:top w:val="nil"/>
              <w:left w:val="nil"/>
              <w:bottom w:val="double" w:sz="6" w:space="0" w:color="auto"/>
              <w:right w:val="nil"/>
            </w:tcBorders>
            <w:shd w:val="clear" w:color="000000" w:fill="C9E3B4"/>
            <w:noWrap/>
            <w:vAlign w:val="center"/>
            <w:hideMark/>
          </w:tcPr>
          <w:p w14:paraId="7C51ED5E"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r>
      <w:tr w:rsidR="00490837" w:rsidRPr="00490837" w14:paraId="16E632B2" w14:textId="77777777" w:rsidTr="00490837">
        <w:trPr>
          <w:trHeight w:val="273"/>
        </w:trPr>
        <w:tc>
          <w:tcPr>
            <w:tcW w:w="186" w:type="dxa"/>
            <w:tcBorders>
              <w:top w:val="nil"/>
              <w:left w:val="nil"/>
              <w:bottom w:val="nil"/>
              <w:right w:val="nil"/>
            </w:tcBorders>
            <w:shd w:val="clear" w:color="auto" w:fill="auto"/>
            <w:noWrap/>
            <w:vAlign w:val="center"/>
            <w:hideMark/>
          </w:tcPr>
          <w:p w14:paraId="653F18E8" w14:textId="77777777" w:rsidR="00490837" w:rsidRPr="00490837" w:rsidRDefault="00490837" w:rsidP="00490837">
            <w:pPr>
              <w:spacing w:before="0" w:line="240" w:lineRule="auto"/>
              <w:jc w:val="center"/>
              <w:rPr>
                <w:rFonts w:ascii="Meta Pro" w:eastAsia="Times New Roman" w:hAnsi="Meta Pro" w:cs="Calibri"/>
                <w:b/>
                <w:bCs/>
                <w:color w:val="000000"/>
                <w:sz w:val="16"/>
                <w:szCs w:val="16"/>
                <w:lang w:eastAsia="en-AU"/>
              </w:rPr>
            </w:pPr>
          </w:p>
        </w:tc>
        <w:tc>
          <w:tcPr>
            <w:tcW w:w="2658" w:type="dxa"/>
            <w:gridSpan w:val="3"/>
            <w:tcBorders>
              <w:top w:val="nil"/>
              <w:left w:val="nil"/>
              <w:bottom w:val="nil"/>
              <w:right w:val="nil"/>
            </w:tcBorders>
            <w:shd w:val="clear" w:color="auto" w:fill="auto"/>
            <w:noWrap/>
            <w:vAlign w:val="center"/>
            <w:hideMark/>
          </w:tcPr>
          <w:p w14:paraId="40AB5944"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33" w:type="dxa"/>
            <w:gridSpan w:val="3"/>
            <w:tcBorders>
              <w:top w:val="nil"/>
              <w:left w:val="nil"/>
              <w:bottom w:val="nil"/>
              <w:right w:val="nil"/>
            </w:tcBorders>
            <w:shd w:val="clear" w:color="auto" w:fill="auto"/>
            <w:hideMark/>
          </w:tcPr>
          <w:p w14:paraId="088C6F81"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66" w:type="dxa"/>
            <w:gridSpan w:val="2"/>
            <w:tcBorders>
              <w:top w:val="nil"/>
              <w:left w:val="nil"/>
              <w:bottom w:val="nil"/>
              <w:right w:val="nil"/>
            </w:tcBorders>
            <w:shd w:val="clear" w:color="auto" w:fill="auto"/>
            <w:hideMark/>
          </w:tcPr>
          <w:p w14:paraId="0E9E6DA0"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33" w:type="dxa"/>
            <w:gridSpan w:val="2"/>
            <w:tcBorders>
              <w:top w:val="nil"/>
              <w:left w:val="nil"/>
              <w:bottom w:val="nil"/>
              <w:right w:val="nil"/>
            </w:tcBorders>
            <w:shd w:val="clear" w:color="auto" w:fill="auto"/>
            <w:hideMark/>
          </w:tcPr>
          <w:p w14:paraId="6EE04AB8"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44" w:type="dxa"/>
            <w:gridSpan w:val="2"/>
            <w:tcBorders>
              <w:top w:val="nil"/>
              <w:left w:val="nil"/>
              <w:bottom w:val="nil"/>
              <w:right w:val="nil"/>
            </w:tcBorders>
            <w:shd w:val="clear" w:color="auto" w:fill="auto"/>
            <w:hideMark/>
          </w:tcPr>
          <w:p w14:paraId="2D9F6C81"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0" w:type="dxa"/>
            <w:gridSpan w:val="2"/>
            <w:tcBorders>
              <w:top w:val="nil"/>
              <w:left w:val="nil"/>
              <w:bottom w:val="nil"/>
              <w:right w:val="nil"/>
            </w:tcBorders>
            <w:shd w:val="clear" w:color="auto" w:fill="auto"/>
            <w:hideMark/>
          </w:tcPr>
          <w:p w14:paraId="58126DD9"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42" w:type="dxa"/>
            <w:gridSpan w:val="3"/>
            <w:tcBorders>
              <w:top w:val="nil"/>
              <w:left w:val="nil"/>
              <w:bottom w:val="nil"/>
              <w:right w:val="nil"/>
            </w:tcBorders>
            <w:shd w:val="clear" w:color="auto" w:fill="auto"/>
            <w:hideMark/>
          </w:tcPr>
          <w:p w14:paraId="560D07A1"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6" w:type="dxa"/>
            <w:gridSpan w:val="2"/>
            <w:tcBorders>
              <w:top w:val="nil"/>
              <w:left w:val="nil"/>
              <w:bottom w:val="nil"/>
              <w:right w:val="nil"/>
            </w:tcBorders>
            <w:shd w:val="clear" w:color="auto" w:fill="auto"/>
            <w:hideMark/>
          </w:tcPr>
          <w:p w14:paraId="4CEA979C"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50" w:type="dxa"/>
            <w:gridSpan w:val="2"/>
            <w:tcBorders>
              <w:top w:val="nil"/>
              <w:left w:val="nil"/>
              <w:bottom w:val="nil"/>
              <w:right w:val="nil"/>
            </w:tcBorders>
            <w:shd w:val="clear" w:color="auto" w:fill="auto"/>
            <w:hideMark/>
          </w:tcPr>
          <w:p w14:paraId="5EC719A1"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695" w:type="dxa"/>
            <w:gridSpan w:val="2"/>
            <w:tcBorders>
              <w:top w:val="nil"/>
              <w:left w:val="nil"/>
              <w:bottom w:val="nil"/>
              <w:right w:val="nil"/>
            </w:tcBorders>
            <w:shd w:val="clear" w:color="auto" w:fill="auto"/>
            <w:hideMark/>
          </w:tcPr>
          <w:p w14:paraId="172F2D27"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53" w:type="dxa"/>
            <w:gridSpan w:val="2"/>
            <w:tcBorders>
              <w:top w:val="nil"/>
              <w:left w:val="nil"/>
              <w:bottom w:val="nil"/>
              <w:right w:val="nil"/>
            </w:tcBorders>
            <w:shd w:val="clear" w:color="auto" w:fill="auto"/>
            <w:hideMark/>
          </w:tcPr>
          <w:p w14:paraId="07E3E7B8"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42" w:type="dxa"/>
            <w:gridSpan w:val="2"/>
            <w:tcBorders>
              <w:top w:val="nil"/>
              <w:left w:val="nil"/>
              <w:bottom w:val="nil"/>
              <w:right w:val="nil"/>
            </w:tcBorders>
            <w:shd w:val="clear" w:color="auto" w:fill="auto"/>
            <w:hideMark/>
          </w:tcPr>
          <w:p w14:paraId="4D3D3A4F"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48" w:type="dxa"/>
            <w:gridSpan w:val="2"/>
            <w:tcBorders>
              <w:top w:val="nil"/>
              <w:left w:val="nil"/>
              <w:bottom w:val="nil"/>
              <w:right w:val="nil"/>
            </w:tcBorders>
            <w:shd w:val="clear" w:color="auto" w:fill="auto"/>
            <w:hideMark/>
          </w:tcPr>
          <w:p w14:paraId="40F2D8F1"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3" w:type="dxa"/>
            <w:gridSpan w:val="2"/>
            <w:tcBorders>
              <w:top w:val="nil"/>
              <w:left w:val="nil"/>
              <w:bottom w:val="nil"/>
              <w:right w:val="nil"/>
            </w:tcBorders>
            <w:shd w:val="clear" w:color="auto" w:fill="auto"/>
            <w:hideMark/>
          </w:tcPr>
          <w:p w14:paraId="3F797323"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6" w:type="dxa"/>
            <w:tcBorders>
              <w:top w:val="nil"/>
              <w:left w:val="nil"/>
              <w:bottom w:val="nil"/>
              <w:right w:val="nil"/>
            </w:tcBorders>
            <w:shd w:val="clear" w:color="auto" w:fill="auto"/>
            <w:hideMark/>
          </w:tcPr>
          <w:p w14:paraId="3142DA89"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649" w:type="dxa"/>
            <w:tcBorders>
              <w:top w:val="nil"/>
              <w:left w:val="nil"/>
              <w:bottom w:val="nil"/>
              <w:right w:val="nil"/>
            </w:tcBorders>
            <w:shd w:val="clear" w:color="auto" w:fill="auto"/>
            <w:hideMark/>
          </w:tcPr>
          <w:p w14:paraId="6CC684EC" w14:textId="77777777" w:rsidR="00490837" w:rsidRPr="00490837" w:rsidRDefault="00490837" w:rsidP="00490837">
            <w:pPr>
              <w:spacing w:before="0" w:line="240" w:lineRule="auto"/>
              <w:rPr>
                <w:rFonts w:eastAsia="Times New Roman" w:cs="Times New Roman"/>
                <w:color w:val="auto"/>
                <w:sz w:val="20"/>
                <w:szCs w:val="20"/>
                <w:lang w:eastAsia="en-AU"/>
              </w:rPr>
            </w:pPr>
          </w:p>
        </w:tc>
      </w:tr>
      <w:tr w:rsidR="00490837" w:rsidRPr="00490837" w14:paraId="07965907" w14:textId="77777777" w:rsidTr="00490837">
        <w:trPr>
          <w:trHeight w:val="273"/>
        </w:trPr>
        <w:tc>
          <w:tcPr>
            <w:tcW w:w="186" w:type="dxa"/>
            <w:tcBorders>
              <w:top w:val="nil"/>
              <w:left w:val="nil"/>
              <w:bottom w:val="nil"/>
              <w:right w:val="nil"/>
            </w:tcBorders>
            <w:shd w:val="clear" w:color="auto" w:fill="auto"/>
            <w:noWrap/>
            <w:vAlign w:val="center"/>
            <w:hideMark/>
          </w:tcPr>
          <w:p w14:paraId="18338BF1"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2658" w:type="dxa"/>
            <w:gridSpan w:val="3"/>
            <w:tcBorders>
              <w:top w:val="nil"/>
              <w:left w:val="nil"/>
              <w:bottom w:val="nil"/>
              <w:right w:val="nil"/>
            </w:tcBorders>
            <w:shd w:val="clear" w:color="auto" w:fill="auto"/>
            <w:noWrap/>
            <w:vAlign w:val="center"/>
            <w:hideMark/>
          </w:tcPr>
          <w:p w14:paraId="0C8C55A6"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33" w:type="dxa"/>
            <w:gridSpan w:val="3"/>
            <w:tcBorders>
              <w:top w:val="nil"/>
              <w:left w:val="nil"/>
              <w:bottom w:val="nil"/>
              <w:right w:val="nil"/>
            </w:tcBorders>
            <w:shd w:val="clear" w:color="auto" w:fill="auto"/>
            <w:noWrap/>
            <w:vAlign w:val="center"/>
            <w:hideMark/>
          </w:tcPr>
          <w:p w14:paraId="7EBE8483" w14:textId="77777777" w:rsidR="00490837" w:rsidRPr="00490837" w:rsidRDefault="00490837" w:rsidP="00490837">
            <w:pPr>
              <w:spacing w:before="0" w:line="240" w:lineRule="auto"/>
              <w:jc w:val="center"/>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2021</w:t>
            </w:r>
          </w:p>
        </w:tc>
        <w:tc>
          <w:tcPr>
            <w:tcW w:w="566" w:type="dxa"/>
            <w:gridSpan w:val="2"/>
            <w:tcBorders>
              <w:top w:val="nil"/>
              <w:left w:val="nil"/>
              <w:bottom w:val="nil"/>
              <w:right w:val="nil"/>
            </w:tcBorders>
            <w:shd w:val="clear" w:color="auto" w:fill="auto"/>
            <w:noWrap/>
            <w:vAlign w:val="center"/>
            <w:hideMark/>
          </w:tcPr>
          <w:p w14:paraId="6DEE932B" w14:textId="77777777" w:rsidR="00490837" w:rsidRPr="00490837" w:rsidRDefault="00490837" w:rsidP="00490837">
            <w:pPr>
              <w:spacing w:before="0" w:line="240" w:lineRule="auto"/>
              <w:jc w:val="center"/>
              <w:rPr>
                <w:rFonts w:ascii="Meta Pro" w:eastAsia="Times New Roman" w:hAnsi="Meta Pro" w:cs="Calibri"/>
                <w:b/>
                <w:bCs/>
                <w:color w:val="000000"/>
                <w:sz w:val="16"/>
                <w:szCs w:val="16"/>
                <w:lang w:eastAsia="en-AU"/>
              </w:rPr>
            </w:pPr>
          </w:p>
        </w:tc>
        <w:tc>
          <w:tcPr>
            <w:tcW w:w="733" w:type="dxa"/>
            <w:gridSpan w:val="2"/>
            <w:tcBorders>
              <w:top w:val="nil"/>
              <w:left w:val="nil"/>
              <w:bottom w:val="nil"/>
              <w:right w:val="nil"/>
            </w:tcBorders>
            <w:shd w:val="clear" w:color="auto" w:fill="auto"/>
            <w:noWrap/>
            <w:vAlign w:val="center"/>
            <w:hideMark/>
          </w:tcPr>
          <w:p w14:paraId="7490C2F1" w14:textId="77777777" w:rsidR="00490837" w:rsidRPr="00490837" w:rsidRDefault="00490837" w:rsidP="00490837">
            <w:pPr>
              <w:spacing w:before="0" w:line="240" w:lineRule="auto"/>
              <w:jc w:val="center"/>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2021</w:t>
            </w:r>
          </w:p>
        </w:tc>
        <w:tc>
          <w:tcPr>
            <w:tcW w:w="544" w:type="dxa"/>
            <w:gridSpan w:val="2"/>
            <w:tcBorders>
              <w:top w:val="nil"/>
              <w:left w:val="nil"/>
              <w:bottom w:val="nil"/>
              <w:right w:val="nil"/>
            </w:tcBorders>
            <w:shd w:val="clear" w:color="auto" w:fill="auto"/>
            <w:noWrap/>
            <w:vAlign w:val="center"/>
            <w:hideMark/>
          </w:tcPr>
          <w:p w14:paraId="70938E29" w14:textId="77777777" w:rsidR="00490837" w:rsidRPr="00490837" w:rsidRDefault="00490837" w:rsidP="00490837">
            <w:pPr>
              <w:spacing w:before="0" w:line="240" w:lineRule="auto"/>
              <w:jc w:val="center"/>
              <w:rPr>
                <w:rFonts w:ascii="Meta Pro" w:eastAsia="Times New Roman" w:hAnsi="Meta Pro" w:cs="Calibri"/>
                <w:b/>
                <w:bCs/>
                <w:color w:val="000000"/>
                <w:sz w:val="16"/>
                <w:szCs w:val="16"/>
                <w:lang w:eastAsia="en-AU"/>
              </w:rPr>
            </w:pPr>
          </w:p>
        </w:tc>
        <w:tc>
          <w:tcPr>
            <w:tcW w:w="700" w:type="dxa"/>
            <w:gridSpan w:val="2"/>
            <w:tcBorders>
              <w:top w:val="nil"/>
              <w:left w:val="nil"/>
              <w:bottom w:val="nil"/>
              <w:right w:val="nil"/>
            </w:tcBorders>
            <w:shd w:val="clear" w:color="auto" w:fill="auto"/>
            <w:noWrap/>
            <w:vAlign w:val="center"/>
            <w:hideMark/>
          </w:tcPr>
          <w:p w14:paraId="67C1A969" w14:textId="77777777" w:rsidR="00490837" w:rsidRPr="00490837" w:rsidRDefault="00490837" w:rsidP="00490837">
            <w:pPr>
              <w:spacing w:before="0" w:line="240" w:lineRule="auto"/>
              <w:jc w:val="center"/>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2021</w:t>
            </w:r>
          </w:p>
        </w:tc>
        <w:tc>
          <w:tcPr>
            <w:tcW w:w="542" w:type="dxa"/>
            <w:gridSpan w:val="3"/>
            <w:tcBorders>
              <w:top w:val="nil"/>
              <w:left w:val="nil"/>
              <w:bottom w:val="nil"/>
              <w:right w:val="nil"/>
            </w:tcBorders>
            <w:shd w:val="clear" w:color="auto" w:fill="auto"/>
            <w:noWrap/>
            <w:vAlign w:val="center"/>
            <w:hideMark/>
          </w:tcPr>
          <w:p w14:paraId="0B8D1E5A" w14:textId="77777777" w:rsidR="00490837" w:rsidRPr="00490837" w:rsidRDefault="00490837" w:rsidP="00490837">
            <w:pPr>
              <w:spacing w:before="0" w:line="240" w:lineRule="auto"/>
              <w:jc w:val="center"/>
              <w:rPr>
                <w:rFonts w:ascii="Meta Pro" w:eastAsia="Times New Roman" w:hAnsi="Meta Pro" w:cs="Calibri"/>
                <w:b/>
                <w:bCs/>
                <w:color w:val="000000"/>
                <w:sz w:val="16"/>
                <w:szCs w:val="16"/>
                <w:lang w:eastAsia="en-AU"/>
              </w:rPr>
            </w:pPr>
          </w:p>
        </w:tc>
        <w:tc>
          <w:tcPr>
            <w:tcW w:w="706" w:type="dxa"/>
            <w:gridSpan w:val="2"/>
            <w:tcBorders>
              <w:top w:val="nil"/>
              <w:left w:val="nil"/>
              <w:bottom w:val="nil"/>
              <w:right w:val="nil"/>
            </w:tcBorders>
            <w:shd w:val="clear" w:color="auto" w:fill="auto"/>
            <w:noWrap/>
            <w:vAlign w:val="center"/>
            <w:hideMark/>
          </w:tcPr>
          <w:p w14:paraId="3FD22A2D" w14:textId="77777777" w:rsidR="00490837" w:rsidRPr="00490837" w:rsidRDefault="00490837" w:rsidP="00490837">
            <w:pPr>
              <w:spacing w:before="0" w:line="240" w:lineRule="auto"/>
              <w:jc w:val="center"/>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2021</w:t>
            </w:r>
          </w:p>
        </w:tc>
        <w:tc>
          <w:tcPr>
            <w:tcW w:w="550" w:type="dxa"/>
            <w:gridSpan w:val="2"/>
            <w:tcBorders>
              <w:top w:val="nil"/>
              <w:left w:val="nil"/>
              <w:bottom w:val="nil"/>
              <w:right w:val="nil"/>
            </w:tcBorders>
            <w:shd w:val="clear" w:color="auto" w:fill="auto"/>
            <w:noWrap/>
            <w:vAlign w:val="center"/>
            <w:hideMark/>
          </w:tcPr>
          <w:p w14:paraId="7CA8E51F" w14:textId="77777777" w:rsidR="00490837" w:rsidRPr="00490837" w:rsidRDefault="00490837" w:rsidP="00490837">
            <w:pPr>
              <w:spacing w:before="0" w:line="240" w:lineRule="auto"/>
              <w:jc w:val="center"/>
              <w:rPr>
                <w:rFonts w:ascii="Meta Pro" w:eastAsia="Times New Roman" w:hAnsi="Meta Pro" w:cs="Calibri"/>
                <w:b/>
                <w:bCs/>
                <w:color w:val="000000"/>
                <w:sz w:val="16"/>
                <w:szCs w:val="16"/>
                <w:lang w:eastAsia="en-AU"/>
              </w:rPr>
            </w:pPr>
          </w:p>
        </w:tc>
        <w:tc>
          <w:tcPr>
            <w:tcW w:w="695" w:type="dxa"/>
            <w:gridSpan w:val="2"/>
            <w:tcBorders>
              <w:top w:val="nil"/>
              <w:left w:val="nil"/>
              <w:bottom w:val="nil"/>
              <w:right w:val="nil"/>
            </w:tcBorders>
            <w:shd w:val="clear" w:color="auto" w:fill="auto"/>
            <w:noWrap/>
            <w:vAlign w:val="center"/>
            <w:hideMark/>
          </w:tcPr>
          <w:p w14:paraId="766AE23A" w14:textId="77777777" w:rsidR="00490837" w:rsidRPr="00490837" w:rsidRDefault="00490837" w:rsidP="00490837">
            <w:pPr>
              <w:spacing w:before="0" w:line="240" w:lineRule="auto"/>
              <w:jc w:val="center"/>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2021</w:t>
            </w:r>
          </w:p>
        </w:tc>
        <w:tc>
          <w:tcPr>
            <w:tcW w:w="553" w:type="dxa"/>
            <w:gridSpan w:val="2"/>
            <w:tcBorders>
              <w:top w:val="nil"/>
              <w:left w:val="nil"/>
              <w:bottom w:val="nil"/>
              <w:right w:val="nil"/>
            </w:tcBorders>
            <w:shd w:val="clear" w:color="auto" w:fill="auto"/>
            <w:noWrap/>
            <w:vAlign w:val="center"/>
            <w:hideMark/>
          </w:tcPr>
          <w:p w14:paraId="7D75B098" w14:textId="77777777" w:rsidR="00490837" w:rsidRPr="00490837" w:rsidRDefault="00490837" w:rsidP="00490837">
            <w:pPr>
              <w:spacing w:before="0" w:line="240" w:lineRule="auto"/>
              <w:jc w:val="center"/>
              <w:rPr>
                <w:rFonts w:ascii="Meta Pro" w:eastAsia="Times New Roman" w:hAnsi="Meta Pro" w:cs="Calibri"/>
                <w:b/>
                <w:bCs/>
                <w:color w:val="000000"/>
                <w:sz w:val="16"/>
                <w:szCs w:val="16"/>
                <w:lang w:eastAsia="en-AU"/>
              </w:rPr>
            </w:pPr>
          </w:p>
        </w:tc>
        <w:tc>
          <w:tcPr>
            <w:tcW w:w="742" w:type="dxa"/>
            <w:gridSpan w:val="2"/>
            <w:tcBorders>
              <w:top w:val="nil"/>
              <w:left w:val="nil"/>
              <w:bottom w:val="nil"/>
              <w:right w:val="nil"/>
            </w:tcBorders>
            <w:shd w:val="clear" w:color="auto" w:fill="auto"/>
            <w:noWrap/>
            <w:vAlign w:val="center"/>
            <w:hideMark/>
          </w:tcPr>
          <w:p w14:paraId="2704BC38" w14:textId="77777777" w:rsidR="00490837" w:rsidRPr="00490837" w:rsidRDefault="00490837" w:rsidP="00490837">
            <w:pPr>
              <w:spacing w:before="0" w:line="240" w:lineRule="auto"/>
              <w:jc w:val="center"/>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2021</w:t>
            </w:r>
          </w:p>
        </w:tc>
        <w:tc>
          <w:tcPr>
            <w:tcW w:w="548" w:type="dxa"/>
            <w:gridSpan w:val="2"/>
            <w:tcBorders>
              <w:top w:val="nil"/>
              <w:left w:val="nil"/>
              <w:bottom w:val="nil"/>
              <w:right w:val="nil"/>
            </w:tcBorders>
            <w:shd w:val="clear" w:color="auto" w:fill="auto"/>
            <w:noWrap/>
            <w:vAlign w:val="center"/>
            <w:hideMark/>
          </w:tcPr>
          <w:p w14:paraId="7BB573B3" w14:textId="77777777" w:rsidR="00490837" w:rsidRPr="00490837" w:rsidRDefault="00490837" w:rsidP="00490837">
            <w:pPr>
              <w:spacing w:before="0" w:line="240" w:lineRule="auto"/>
              <w:jc w:val="center"/>
              <w:rPr>
                <w:rFonts w:ascii="Meta Pro" w:eastAsia="Times New Roman" w:hAnsi="Meta Pro" w:cs="Calibri"/>
                <w:b/>
                <w:bCs/>
                <w:color w:val="000000"/>
                <w:sz w:val="16"/>
                <w:szCs w:val="16"/>
                <w:lang w:eastAsia="en-AU"/>
              </w:rPr>
            </w:pPr>
          </w:p>
        </w:tc>
        <w:tc>
          <w:tcPr>
            <w:tcW w:w="703" w:type="dxa"/>
            <w:gridSpan w:val="2"/>
            <w:tcBorders>
              <w:top w:val="nil"/>
              <w:left w:val="nil"/>
              <w:bottom w:val="nil"/>
              <w:right w:val="nil"/>
            </w:tcBorders>
            <w:shd w:val="clear" w:color="auto" w:fill="auto"/>
            <w:noWrap/>
            <w:vAlign w:val="center"/>
            <w:hideMark/>
          </w:tcPr>
          <w:p w14:paraId="7B24A58A" w14:textId="77777777" w:rsidR="00490837" w:rsidRPr="00490837" w:rsidRDefault="00490837" w:rsidP="00490837">
            <w:pPr>
              <w:spacing w:before="0" w:line="240" w:lineRule="auto"/>
              <w:jc w:val="center"/>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2021</w:t>
            </w:r>
          </w:p>
        </w:tc>
        <w:tc>
          <w:tcPr>
            <w:tcW w:w="706" w:type="dxa"/>
            <w:tcBorders>
              <w:top w:val="nil"/>
              <w:left w:val="nil"/>
              <w:bottom w:val="nil"/>
              <w:right w:val="nil"/>
            </w:tcBorders>
            <w:shd w:val="clear" w:color="auto" w:fill="auto"/>
            <w:noWrap/>
            <w:vAlign w:val="center"/>
            <w:hideMark/>
          </w:tcPr>
          <w:p w14:paraId="47EFA7BA" w14:textId="77777777" w:rsidR="00490837" w:rsidRPr="00490837" w:rsidRDefault="00490837" w:rsidP="00490837">
            <w:pPr>
              <w:spacing w:before="0" w:line="240" w:lineRule="auto"/>
              <w:jc w:val="center"/>
              <w:rPr>
                <w:rFonts w:ascii="Meta Pro" w:eastAsia="Times New Roman" w:hAnsi="Meta Pro" w:cs="Calibri"/>
                <w:b/>
                <w:bCs/>
                <w:color w:val="000000"/>
                <w:sz w:val="16"/>
                <w:szCs w:val="16"/>
                <w:lang w:eastAsia="en-AU"/>
              </w:rPr>
            </w:pPr>
          </w:p>
        </w:tc>
        <w:tc>
          <w:tcPr>
            <w:tcW w:w="649" w:type="dxa"/>
            <w:tcBorders>
              <w:top w:val="nil"/>
              <w:left w:val="nil"/>
              <w:bottom w:val="nil"/>
              <w:right w:val="nil"/>
            </w:tcBorders>
            <w:shd w:val="clear" w:color="auto" w:fill="auto"/>
            <w:noWrap/>
            <w:vAlign w:val="center"/>
            <w:hideMark/>
          </w:tcPr>
          <w:p w14:paraId="50026981" w14:textId="77777777" w:rsidR="00490837" w:rsidRPr="00490837" w:rsidRDefault="00490837" w:rsidP="00490837">
            <w:pPr>
              <w:spacing w:before="0" w:line="240" w:lineRule="auto"/>
              <w:jc w:val="center"/>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2021</w:t>
            </w:r>
          </w:p>
        </w:tc>
      </w:tr>
      <w:tr w:rsidR="00490837" w:rsidRPr="00490837" w14:paraId="3E5BC902" w14:textId="77777777" w:rsidTr="00490837">
        <w:trPr>
          <w:trHeight w:val="273"/>
        </w:trPr>
        <w:tc>
          <w:tcPr>
            <w:tcW w:w="186" w:type="dxa"/>
            <w:tcBorders>
              <w:top w:val="nil"/>
              <w:left w:val="nil"/>
              <w:bottom w:val="nil"/>
              <w:right w:val="nil"/>
            </w:tcBorders>
            <w:shd w:val="clear" w:color="auto" w:fill="auto"/>
            <w:noWrap/>
            <w:vAlign w:val="center"/>
            <w:hideMark/>
          </w:tcPr>
          <w:p w14:paraId="2DE208E2" w14:textId="77777777" w:rsidR="00490837" w:rsidRPr="00490837" w:rsidRDefault="00490837" w:rsidP="00490837">
            <w:pPr>
              <w:spacing w:before="0" w:line="240" w:lineRule="auto"/>
              <w:jc w:val="center"/>
              <w:rPr>
                <w:rFonts w:ascii="Meta Pro" w:eastAsia="Times New Roman" w:hAnsi="Meta Pro" w:cs="Calibri"/>
                <w:b/>
                <w:bCs/>
                <w:color w:val="000000"/>
                <w:sz w:val="16"/>
                <w:szCs w:val="16"/>
                <w:lang w:eastAsia="en-AU"/>
              </w:rPr>
            </w:pPr>
          </w:p>
        </w:tc>
        <w:tc>
          <w:tcPr>
            <w:tcW w:w="2658" w:type="dxa"/>
            <w:gridSpan w:val="3"/>
            <w:tcBorders>
              <w:top w:val="nil"/>
              <w:left w:val="nil"/>
              <w:bottom w:val="nil"/>
              <w:right w:val="nil"/>
            </w:tcBorders>
            <w:shd w:val="clear" w:color="auto" w:fill="auto"/>
            <w:noWrap/>
            <w:vAlign w:val="center"/>
            <w:hideMark/>
          </w:tcPr>
          <w:p w14:paraId="537B8770"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33" w:type="dxa"/>
            <w:gridSpan w:val="3"/>
            <w:tcBorders>
              <w:top w:val="nil"/>
              <w:left w:val="nil"/>
              <w:bottom w:val="nil"/>
              <w:right w:val="nil"/>
            </w:tcBorders>
            <w:shd w:val="clear" w:color="auto" w:fill="auto"/>
            <w:noWrap/>
            <w:vAlign w:val="center"/>
            <w:hideMark/>
          </w:tcPr>
          <w:p w14:paraId="4507BC83" w14:textId="77777777" w:rsidR="00490837" w:rsidRPr="00490837" w:rsidRDefault="00490837" w:rsidP="00490837">
            <w:pPr>
              <w:spacing w:before="0" w:line="240" w:lineRule="auto"/>
              <w:jc w:val="center"/>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$'000</w:t>
            </w:r>
          </w:p>
        </w:tc>
        <w:tc>
          <w:tcPr>
            <w:tcW w:w="566" w:type="dxa"/>
            <w:gridSpan w:val="2"/>
            <w:tcBorders>
              <w:top w:val="nil"/>
              <w:left w:val="nil"/>
              <w:bottom w:val="nil"/>
              <w:right w:val="nil"/>
            </w:tcBorders>
            <w:shd w:val="clear" w:color="auto" w:fill="auto"/>
            <w:noWrap/>
            <w:vAlign w:val="center"/>
            <w:hideMark/>
          </w:tcPr>
          <w:p w14:paraId="54D7CBD9" w14:textId="77777777" w:rsidR="00490837" w:rsidRPr="00490837" w:rsidRDefault="00490837" w:rsidP="00490837">
            <w:pPr>
              <w:spacing w:before="0" w:line="240" w:lineRule="auto"/>
              <w:jc w:val="center"/>
              <w:rPr>
                <w:rFonts w:ascii="Meta Pro" w:eastAsia="Times New Roman" w:hAnsi="Meta Pro" w:cs="Calibri"/>
                <w:b/>
                <w:bCs/>
                <w:color w:val="000000"/>
                <w:sz w:val="16"/>
                <w:szCs w:val="16"/>
                <w:lang w:eastAsia="en-AU"/>
              </w:rPr>
            </w:pPr>
          </w:p>
        </w:tc>
        <w:tc>
          <w:tcPr>
            <w:tcW w:w="733" w:type="dxa"/>
            <w:gridSpan w:val="2"/>
            <w:tcBorders>
              <w:top w:val="nil"/>
              <w:left w:val="nil"/>
              <w:bottom w:val="nil"/>
              <w:right w:val="nil"/>
            </w:tcBorders>
            <w:shd w:val="clear" w:color="auto" w:fill="auto"/>
            <w:noWrap/>
            <w:vAlign w:val="center"/>
            <w:hideMark/>
          </w:tcPr>
          <w:p w14:paraId="75B43100" w14:textId="77777777" w:rsidR="00490837" w:rsidRPr="00490837" w:rsidRDefault="00490837" w:rsidP="00490837">
            <w:pPr>
              <w:spacing w:before="0" w:line="240" w:lineRule="auto"/>
              <w:jc w:val="center"/>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$'000</w:t>
            </w:r>
          </w:p>
        </w:tc>
        <w:tc>
          <w:tcPr>
            <w:tcW w:w="544" w:type="dxa"/>
            <w:gridSpan w:val="2"/>
            <w:tcBorders>
              <w:top w:val="nil"/>
              <w:left w:val="nil"/>
              <w:bottom w:val="nil"/>
              <w:right w:val="nil"/>
            </w:tcBorders>
            <w:shd w:val="clear" w:color="auto" w:fill="auto"/>
            <w:noWrap/>
            <w:vAlign w:val="center"/>
            <w:hideMark/>
          </w:tcPr>
          <w:p w14:paraId="1CC8BFCB" w14:textId="77777777" w:rsidR="00490837" w:rsidRPr="00490837" w:rsidRDefault="00490837" w:rsidP="00490837">
            <w:pPr>
              <w:spacing w:before="0" w:line="240" w:lineRule="auto"/>
              <w:jc w:val="center"/>
              <w:rPr>
                <w:rFonts w:ascii="Meta Pro" w:eastAsia="Times New Roman" w:hAnsi="Meta Pro" w:cs="Calibri"/>
                <w:b/>
                <w:bCs/>
                <w:color w:val="000000"/>
                <w:sz w:val="16"/>
                <w:szCs w:val="16"/>
                <w:lang w:eastAsia="en-AU"/>
              </w:rPr>
            </w:pPr>
          </w:p>
        </w:tc>
        <w:tc>
          <w:tcPr>
            <w:tcW w:w="700" w:type="dxa"/>
            <w:gridSpan w:val="2"/>
            <w:tcBorders>
              <w:top w:val="nil"/>
              <w:left w:val="nil"/>
              <w:bottom w:val="nil"/>
              <w:right w:val="nil"/>
            </w:tcBorders>
            <w:shd w:val="clear" w:color="auto" w:fill="auto"/>
            <w:noWrap/>
            <w:vAlign w:val="center"/>
            <w:hideMark/>
          </w:tcPr>
          <w:p w14:paraId="5C728CB6" w14:textId="77777777" w:rsidR="00490837" w:rsidRPr="00490837" w:rsidRDefault="00490837" w:rsidP="00490837">
            <w:pPr>
              <w:spacing w:before="0" w:line="240" w:lineRule="auto"/>
              <w:jc w:val="center"/>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$'000</w:t>
            </w:r>
          </w:p>
        </w:tc>
        <w:tc>
          <w:tcPr>
            <w:tcW w:w="542" w:type="dxa"/>
            <w:gridSpan w:val="3"/>
            <w:tcBorders>
              <w:top w:val="nil"/>
              <w:left w:val="nil"/>
              <w:bottom w:val="nil"/>
              <w:right w:val="nil"/>
            </w:tcBorders>
            <w:shd w:val="clear" w:color="auto" w:fill="auto"/>
            <w:noWrap/>
            <w:vAlign w:val="center"/>
            <w:hideMark/>
          </w:tcPr>
          <w:p w14:paraId="318D0446" w14:textId="77777777" w:rsidR="00490837" w:rsidRPr="00490837" w:rsidRDefault="00490837" w:rsidP="00490837">
            <w:pPr>
              <w:spacing w:before="0" w:line="240" w:lineRule="auto"/>
              <w:jc w:val="center"/>
              <w:rPr>
                <w:rFonts w:ascii="Meta Pro" w:eastAsia="Times New Roman" w:hAnsi="Meta Pro" w:cs="Calibri"/>
                <w:b/>
                <w:bCs/>
                <w:color w:val="000000"/>
                <w:sz w:val="16"/>
                <w:szCs w:val="16"/>
                <w:lang w:eastAsia="en-AU"/>
              </w:rPr>
            </w:pPr>
          </w:p>
        </w:tc>
        <w:tc>
          <w:tcPr>
            <w:tcW w:w="706" w:type="dxa"/>
            <w:gridSpan w:val="2"/>
            <w:tcBorders>
              <w:top w:val="nil"/>
              <w:left w:val="nil"/>
              <w:bottom w:val="nil"/>
              <w:right w:val="nil"/>
            </w:tcBorders>
            <w:shd w:val="clear" w:color="auto" w:fill="auto"/>
            <w:noWrap/>
            <w:vAlign w:val="center"/>
            <w:hideMark/>
          </w:tcPr>
          <w:p w14:paraId="09E9C953" w14:textId="77777777" w:rsidR="00490837" w:rsidRPr="00490837" w:rsidRDefault="00490837" w:rsidP="00490837">
            <w:pPr>
              <w:spacing w:before="0" w:line="240" w:lineRule="auto"/>
              <w:jc w:val="center"/>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$'000</w:t>
            </w:r>
          </w:p>
        </w:tc>
        <w:tc>
          <w:tcPr>
            <w:tcW w:w="550" w:type="dxa"/>
            <w:gridSpan w:val="2"/>
            <w:tcBorders>
              <w:top w:val="nil"/>
              <w:left w:val="nil"/>
              <w:bottom w:val="nil"/>
              <w:right w:val="nil"/>
            </w:tcBorders>
            <w:shd w:val="clear" w:color="auto" w:fill="auto"/>
            <w:noWrap/>
            <w:vAlign w:val="center"/>
            <w:hideMark/>
          </w:tcPr>
          <w:p w14:paraId="68DD2B19" w14:textId="77777777" w:rsidR="00490837" w:rsidRPr="00490837" w:rsidRDefault="00490837" w:rsidP="00490837">
            <w:pPr>
              <w:spacing w:before="0" w:line="240" w:lineRule="auto"/>
              <w:jc w:val="center"/>
              <w:rPr>
                <w:rFonts w:ascii="Meta Pro" w:eastAsia="Times New Roman" w:hAnsi="Meta Pro" w:cs="Calibri"/>
                <w:b/>
                <w:bCs/>
                <w:color w:val="000000"/>
                <w:sz w:val="16"/>
                <w:szCs w:val="16"/>
                <w:lang w:eastAsia="en-AU"/>
              </w:rPr>
            </w:pPr>
          </w:p>
        </w:tc>
        <w:tc>
          <w:tcPr>
            <w:tcW w:w="695" w:type="dxa"/>
            <w:gridSpan w:val="2"/>
            <w:tcBorders>
              <w:top w:val="nil"/>
              <w:left w:val="nil"/>
              <w:bottom w:val="nil"/>
              <w:right w:val="nil"/>
            </w:tcBorders>
            <w:shd w:val="clear" w:color="auto" w:fill="auto"/>
            <w:noWrap/>
            <w:vAlign w:val="center"/>
            <w:hideMark/>
          </w:tcPr>
          <w:p w14:paraId="07CB55E5" w14:textId="77777777" w:rsidR="00490837" w:rsidRPr="00490837" w:rsidRDefault="00490837" w:rsidP="00490837">
            <w:pPr>
              <w:spacing w:before="0" w:line="240" w:lineRule="auto"/>
              <w:jc w:val="center"/>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$'000</w:t>
            </w:r>
          </w:p>
        </w:tc>
        <w:tc>
          <w:tcPr>
            <w:tcW w:w="553" w:type="dxa"/>
            <w:gridSpan w:val="2"/>
            <w:tcBorders>
              <w:top w:val="nil"/>
              <w:left w:val="nil"/>
              <w:bottom w:val="nil"/>
              <w:right w:val="nil"/>
            </w:tcBorders>
            <w:shd w:val="clear" w:color="auto" w:fill="auto"/>
            <w:noWrap/>
            <w:vAlign w:val="center"/>
            <w:hideMark/>
          </w:tcPr>
          <w:p w14:paraId="1EAAF6AE" w14:textId="77777777" w:rsidR="00490837" w:rsidRPr="00490837" w:rsidRDefault="00490837" w:rsidP="00490837">
            <w:pPr>
              <w:spacing w:before="0" w:line="240" w:lineRule="auto"/>
              <w:jc w:val="center"/>
              <w:rPr>
                <w:rFonts w:ascii="Meta Pro" w:eastAsia="Times New Roman" w:hAnsi="Meta Pro" w:cs="Calibri"/>
                <w:b/>
                <w:bCs/>
                <w:color w:val="000000"/>
                <w:sz w:val="16"/>
                <w:szCs w:val="16"/>
                <w:lang w:eastAsia="en-AU"/>
              </w:rPr>
            </w:pPr>
          </w:p>
        </w:tc>
        <w:tc>
          <w:tcPr>
            <w:tcW w:w="742" w:type="dxa"/>
            <w:gridSpan w:val="2"/>
            <w:tcBorders>
              <w:top w:val="nil"/>
              <w:left w:val="nil"/>
              <w:bottom w:val="nil"/>
              <w:right w:val="nil"/>
            </w:tcBorders>
            <w:shd w:val="clear" w:color="auto" w:fill="auto"/>
            <w:noWrap/>
            <w:vAlign w:val="center"/>
            <w:hideMark/>
          </w:tcPr>
          <w:p w14:paraId="1FC62570" w14:textId="77777777" w:rsidR="00490837" w:rsidRPr="00490837" w:rsidRDefault="00490837" w:rsidP="00490837">
            <w:pPr>
              <w:spacing w:before="0" w:line="240" w:lineRule="auto"/>
              <w:jc w:val="center"/>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$'000</w:t>
            </w:r>
          </w:p>
        </w:tc>
        <w:tc>
          <w:tcPr>
            <w:tcW w:w="548" w:type="dxa"/>
            <w:gridSpan w:val="2"/>
            <w:tcBorders>
              <w:top w:val="nil"/>
              <w:left w:val="nil"/>
              <w:bottom w:val="nil"/>
              <w:right w:val="nil"/>
            </w:tcBorders>
            <w:shd w:val="clear" w:color="auto" w:fill="auto"/>
            <w:noWrap/>
            <w:vAlign w:val="center"/>
            <w:hideMark/>
          </w:tcPr>
          <w:p w14:paraId="0F970452" w14:textId="77777777" w:rsidR="00490837" w:rsidRPr="00490837" w:rsidRDefault="00490837" w:rsidP="00490837">
            <w:pPr>
              <w:spacing w:before="0" w:line="240" w:lineRule="auto"/>
              <w:jc w:val="center"/>
              <w:rPr>
                <w:rFonts w:ascii="Meta Pro" w:eastAsia="Times New Roman" w:hAnsi="Meta Pro" w:cs="Calibri"/>
                <w:b/>
                <w:bCs/>
                <w:color w:val="000000"/>
                <w:sz w:val="16"/>
                <w:szCs w:val="16"/>
                <w:lang w:eastAsia="en-AU"/>
              </w:rPr>
            </w:pPr>
          </w:p>
        </w:tc>
        <w:tc>
          <w:tcPr>
            <w:tcW w:w="703" w:type="dxa"/>
            <w:gridSpan w:val="2"/>
            <w:tcBorders>
              <w:top w:val="nil"/>
              <w:left w:val="nil"/>
              <w:bottom w:val="nil"/>
              <w:right w:val="nil"/>
            </w:tcBorders>
            <w:shd w:val="clear" w:color="auto" w:fill="auto"/>
            <w:noWrap/>
            <w:vAlign w:val="center"/>
            <w:hideMark/>
          </w:tcPr>
          <w:p w14:paraId="2F8D6DF8" w14:textId="77777777" w:rsidR="00490837" w:rsidRPr="00490837" w:rsidRDefault="00490837" w:rsidP="00490837">
            <w:pPr>
              <w:spacing w:before="0" w:line="240" w:lineRule="auto"/>
              <w:jc w:val="center"/>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$'000</w:t>
            </w:r>
          </w:p>
        </w:tc>
        <w:tc>
          <w:tcPr>
            <w:tcW w:w="706" w:type="dxa"/>
            <w:tcBorders>
              <w:top w:val="nil"/>
              <w:left w:val="nil"/>
              <w:bottom w:val="nil"/>
              <w:right w:val="nil"/>
            </w:tcBorders>
            <w:shd w:val="clear" w:color="auto" w:fill="auto"/>
            <w:noWrap/>
            <w:vAlign w:val="center"/>
            <w:hideMark/>
          </w:tcPr>
          <w:p w14:paraId="5FC09510" w14:textId="77777777" w:rsidR="00490837" w:rsidRPr="00490837" w:rsidRDefault="00490837" w:rsidP="00490837">
            <w:pPr>
              <w:spacing w:before="0" w:line="240" w:lineRule="auto"/>
              <w:jc w:val="center"/>
              <w:rPr>
                <w:rFonts w:ascii="Meta Pro" w:eastAsia="Times New Roman" w:hAnsi="Meta Pro" w:cs="Calibri"/>
                <w:b/>
                <w:bCs/>
                <w:color w:val="000000"/>
                <w:sz w:val="16"/>
                <w:szCs w:val="16"/>
                <w:lang w:eastAsia="en-AU"/>
              </w:rPr>
            </w:pPr>
          </w:p>
        </w:tc>
        <w:tc>
          <w:tcPr>
            <w:tcW w:w="649" w:type="dxa"/>
            <w:tcBorders>
              <w:top w:val="nil"/>
              <w:left w:val="nil"/>
              <w:bottom w:val="nil"/>
              <w:right w:val="nil"/>
            </w:tcBorders>
            <w:shd w:val="clear" w:color="auto" w:fill="auto"/>
            <w:noWrap/>
            <w:vAlign w:val="center"/>
            <w:hideMark/>
          </w:tcPr>
          <w:p w14:paraId="7A237C12" w14:textId="77777777" w:rsidR="00490837" w:rsidRPr="00490837" w:rsidRDefault="00490837" w:rsidP="00490837">
            <w:pPr>
              <w:spacing w:before="0" w:line="240" w:lineRule="auto"/>
              <w:jc w:val="center"/>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$'000</w:t>
            </w:r>
          </w:p>
        </w:tc>
      </w:tr>
      <w:tr w:rsidR="00490837" w:rsidRPr="00490837" w14:paraId="6CCC3205" w14:textId="77777777" w:rsidTr="00490837">
        <w:trPr>
          <w:trHeight w:hRule="exact" w:val="273"/>
        </w:trPr>
        <w:tc>
          <w:tcPr>
            <w:tcW w:w="2844" w:type="dxa"/>
            <w:gridSpan w:val="4"/>
            <w:tcBorders>
              <w:top w:val="nil"/>
              <w:left w:val="nil"/>
              <w:bottom w:val="nil"/>
              <w:right w:val="nil"/>
            </w:tcBorders>
            <w:shd w:val="clear" w:color="auto" w:fill="auto"/>
            <w:noWrap/>
            <w:vAlign w:val="center"/>
            <w:hideMark/>
          </w:tcPr>
          <w:p w14:paraId="623B1EFA" w14:textId="77777777" w:rsidR="00490837" w:rsidRPr="00490837" w:rsidRDefault="00490837" w:rsidP="00490837">
            <w:pPr>
              <w:spacing w:before="0" w:line="240" w:lineRule="auto"/>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Income</w:t>
            </w:r>
          </w:p>
        </w:tc>
        <w:tc>
          <w:tcPr>
            <w:tcW w:w="733" w:type="dxa"/>
            <w:gridSpan w:val="3"/>
            <w:tcBorders>
              <w:top w:val="nil"/>
              <w:left w:val="nil"/>
              <w:bottom w:val="nil"/>
              <w:right w:val="nil"/>
            </w:tcBorders>
            <w:shd w:val="clear" w:color="auto" w:fill="auto"/>
            <w:noWrap/>
            <w:vAlign w:val="center"/>
            <w:hideMark/>
          </w:tcPr>
          <w:p w14:paraId="11204114" w14:textId="77777777" w:rsidR="00490837" w:rsidRPr="00490837" w:rsidRDefault="00490837" w:rsidP="00490837">
            <w:pPr>
              <w:spacing w:before="0" w:line="240" w:lineRule="auto"/>
              <w:rPr>
                <w:rFonts w:ascii="Meta Pro" w:eastAsia="Times New Roman" w:hAnsi="Meta Pro" w:cs="Calibri"/>
                <w:b/>
                <w:bCs/>
                <w:color w:val="000000"/>
                <w:sz w:val="16"/>
                <w:szCs w:val="16"/>
                <w:lang w:eastAsia="en-AU"/>
              </w:rPr>
            </w:pPr>
          </w:p>
        </w:tc>
        <w:tc>
          <w:tcPr>
            <w:tcW w:w="566" w:type="dxa"/>
            <w:gridSpan w:val="2"/>
            <w:tcBorders>
              <w:top w:val="nil"/>
              <w:left w:val="nil"/>
              <w:bottom w:val="nil"/>
              <w:right w:val="nil"/>
            </w:tcBorders>
            <w:shd w:val="clear" w:color="auto" w:fill="auto"/>
            <w:noWrap/>
            <w:vAlign w:val="center"/>
            <w:hideMark/>
          </w:tcPr>
          <w:p w14:paraId="1D6D5118"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33" w:type="dxa"/>
            <w:gridSpan w:val="2"/>
            <w:tcBorders>
              <w:top w:val="nil"/>
              <w:left w:val="nil"/>
              <w:bottom w:val="nil"/>
              <w:right w:val="nil"/>
            </w:tcBorders>
            <w:shd w:val="clear" w:color="auto" w:fill="auto"/>
            <w:noWrap/>
            <w:vAlign w:val="center"/>
            <w:hideMark/>
          </w:tcPr>
          <w:p w14:paraId="05CCBB5F"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44" w:type="dxa"/>
            <w:gridSpan w:val="2"/>
            <w:tcBorders>
              <w:top w:val="nil"/>
              <w:left w:val="nil"/>
              <w:bottom w:val="nil"/>
              <w:right w:val="nil"/>
            </w:tcBorders>
            <w:shd w:val="clear" w:color="auto" w:fill="auto"/>
            <w:noWrap/>
            <w:vAlign w:val="center"/>
            <w:hideMark/>
          </w:tcPr>
          <w:p w14:paraId="1A3CE117"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0" w:type="dxa"/>
            <w:gridSpan w:val="2"/>
            <w:tcBorders>
              <w:top w:val="nil"/>
              <w:left w:val="nil"/>
              <w:bottom w:val="nil"/>
              <w:right w:val="nil"/>
            </w:tcBorders>
            <w:shd w:val="clear" w:color="auto" w:fill="auto"/>
            <w:noWrap/>
            <w:vAlign w:val="center"/>
            <w:hideMark/>
          </w:tcPr>
          <w:p w14:paraId="2C93DDF6"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42" w:type="dxa"/>
            <w:gridSpan w:val="3"/>
            <w:tcBorders>
              <w:top w:val="nil"/>
              <w:left w:val="nil"/>
              <w:bottom w:val="nil"/>
              <w:right w:val="nil"/>
            </w:tcBorders>
            <w:shd w:val="clear" w:color="auto" w:fill="auto"/>
            <w:noWrap/>
            <w:vAlign w:val="center"/>
            <w:hideMark/>
          </w:tcPr>
          <w:p w14:paraId="3FB6FF75"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6" w:type="dxa"/>
            <w:gridSpan w:val="2"/>
            <w:tcBorders>
              <w:top w:val="nil"/>
              <w:left w:val="nil"/>
              <w:bottom w:val="nil"/>
              <w:right w:val="nil"/>
            </w:tcBorders>
            <w:shd w:val="clear" w:color="auto" w:fill="auto"/>
            <w:noWrap/>
            <w:vAlign w:val="center"/>
            <w:hideMark/>
          </w:tcPr>
          <w:p w14:paraId="6A730437"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50" w:type="dxa"/>
            <w:gridSpan w:val="2"/>
            <w:tcBorders>
              <w:top w:val="nil"/>
              <w:left w:val="nil"/>
              <w:bottom w:val="nil"/>
              <w:right w:val="nil"/>
            </w:tcBorders>
            <w:shd w:val="clear" w:color="auto" w:fill="auto"/>
            <w:noWrap/>
            <w:vAlign w:val="center"/>
            <w:hideMark/>
          </w:tcPr>
          <w:p w14:paraId="5975B494"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695" w:type="dxa"/>
            <w:gridSpan w:val="2"/>
            <w:tcBorders>
              <w:top w:val="nil"/>
              <w:left w:val="nil"/>
              <w:bottom w:val="nil"/>
              <w:right w:val="nil"/>
            </w:tcBorders>
            <w:shd w:val="clear" w:color="auto" w:fill="auto"/>
            <w:noWrap/>
            <w:vAlign w:val="center"/>
            <w:hideMark/>
          </w:tcPr>
          <w:p w14:paraId="139D829C"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53" w:type="dxa"/>
            <w:gridSpan w:val="2"/>
            <w:tcBorders>
              <w:top w:val="nil"/>
              <w:left w:val="nil"/>
              <w:bottom w:val="nil"/>
              <w:right w:val="nil"/>
            </w:tcBorders>
            <w:shd w:val="clear" w:color="auto" w:fill="auto"/>
            <w:noWrap/>
            <w:vAlign w:val="center"/>
            <w:hideMark/>
          </w:tcPr>
          <w:p w14:paraId="1CA86348"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42" w:type="dxa"/>
            <w:gridSpan w:val="2"/>
            <w:tcBorders>
              <w:top w:val="nil"/>
              <w:left w:val="nil"/>
              <w:bottom w:val="nil"/>
              <w:right w:val="nil"/>
            </w:tcBorders>
            <w:shd w:val="clear" w:color="auto" w:fill="auto"/>
            <w:noWrap/>
            <w:vAlign w:val="center"/>
            <w:hideMark/>
          </w:tcPr>
          <w:p w14:paraId="02F57503"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48" w:type="dxa"/>
            <w:gridSpan w:val="2"/>
            <w:tcBorders>
              <w:top w:val="nil"/>
              <w:left w:val="nil"/>
              <w:bottom w:val="nil"/>
              <w:right w:val="nil"/>
            </w:tcBorders>
            <w:shd w:val="clear" w:color="auto" w:fill="auto"/>
            <w:noWrap/>
            <w:vAlign w:val="center"/>
            <w:hideMark/>
          </w:tcPr>
          <w:p w14:paraId="1D969BE1"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3" w:type="dxa"/>
            <w:gridSpan w:val="2"/>
            <w:tcBorders>
              <w:top w:val="nil"/>
              <w:left w:val="nil"/>
              <w:bottom w:val="nil"/>
              <w:right w:val="nil"/>
            </w:tcBorders>
            <w:shd w:val="clear" w:color="auto" w:fill="auto"/>
            <w:noWrap/>
            <w:vAlign w:val="center"/>
            <w:hideMark/>
          </w:tcPr>
          <w:p w14:paraId="35E6CB87"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6" w:type="dxa"/>
            <w:tcBorders>
              <w:top w:val="nil"/>
              <w:left w:val="nil"/>
              <w:bottom w:val="nil"/>
              <w:right w:val="nil"/>
            </w:tcBorders>
            <w:shd w:val="clear" w:color="auto" w:fill="auto"/>
            <w:noWrap/>
            <w:vAlign w:val="center"/>
            <w:hideMark/>
          </w:tcPr>
          <w:p w14:paraId="721ABAC7"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649" w:type="dxa"/>
            <w:tcBorders>
              <w:top w:val="nil"/>
              <w:left w:val="nil"/>
              <w:bottom w:val="nil"/>
              <w:right w:val="nil"/>
            </w:tcBorders>
            <w:shd w:val="clear" w:color="auto" w:fill="auto"/>
            <w:noWrap/>
            <w:vAlign w:val="center"/>
            <w:hideMark/>
          </w:tcPr>
          <w:p w14:paraId="067C621A" w14:textId="77777777" w:rsidR="00490837" w:rsidRPr="00490837" w:rsidRDefault="00490837" w:rsidP="00490837">
            <w:pPr>
              <w:spacing w:before="0" w:line="240" w:lineRule="auto"/>
              <w:rPr>
                <w:rFonts w:eastAsia="Times New Roman" w:cs="Times New Roman"/>
                <w:color w:val="auto"/>
                <w:sz w:val="20"/>
                <w:szCs w:val="20"/>
                <w:lang w:eastAsia="en-AU"/>
              </w:rPr>
            </w:pPr>
          </w:p>
        </w:tc>
      </w:tr>
      <w:tr w:rsidR="00490837" w:rsidRPr="00490837" w14:paraId="31DB2477" w14:textId="77777777" w:rsidTr="00490837">
        <w:trPr>
          <w:trHeight w:val="273"/>
        </w:trPr>
        <w:tc>
          <w:tcPr>
            <w:tcW w:w="186" w:type="dxa"/>
            <w:tcBorders>
              <w:top w:val="nil"/>
              <w:left w:val="nil"/>
              <w:bottom w:val="nil"/>
              <w:right w:val="nil"/>
            </w:tcBorders>
            <w:shd w:val="clear" w:color="auto" w:fill="auto"/>
            <w:noWrap/>
            <w:vAlign w:val="center"/>
            <w:hideMark/>
          </w:tcPr>
          <w:p w14:paraId="70A7DAF5"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2658" w:type="dxa"/>
            <w:gridSpan w:val="3"/>
            <w:tcBorders>
              <w:top w:val="nil"/>
              <w:left w:val="nil"/>
              <w:bottom w:val="nil"/>
              <w:right w:val="nil"/>
            </w:tcBorders>
            <w:shd w:val="clear" w:color="auto" w:fill="auto"/>
            <w:noWrap/>
            <w:vAlign w:val="center"/>
            <w:hideMark/>
          </w:tcPr>
          <w:p w14:paraId="7287CDA1" w14:textId="77777777" w:rsidR="00490837" w:rsidRPr="00490837" w:rsidRDefault="00490837" w:rsidP="00490837">
            <w:pPr>
              <w:spacing w:before="0" w:line="240" w:lineRule="auto"/>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Appropriation revenue</w:t>
            </w:r>
          </w:p>
        </w:tc>
        <w:tc>
          <w:tcPr>
            <w:tcW w:w="733" w:type="dxa"/>
            <w:gridSpan w:val="3"/>
            <w:tcBorders>
              <w:top w:val="nil"/>
              <w:left w:val="nil"/>
              <w:bottom w:val="nil"/>
              <w:right w:val="nil"/>
            </w:tcBorders>
            <w:shd w:val="clear" w:color="auto" w:fill="auto"/>
            <w:noWrap/>
            <w:vAlign w:val="center"/>
            <w:hideMark/>
          </w:tcPr>
          <w:p w14:paraId="5EE89797"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110,709</w:t>
            </w:r>
          </w:p>
        </w:tc>
        <w:tc>
          <w:tcPr>
            <w:tcW w:w="566" w:type="dxa"/>
            <w:gridSpan w:val="2"/>
            <w:tcBorders>
              <w:top w:val="nil"/>
              <w:left w:val="nil"/>
              <w:bottom w:val="nil"/>
              <w:right w:val="nil"/>
            </w:tcBorders>
            <w:shd w:val="clear" w:color="auto" w:fill="auto"/>
            <w:noWrap/>
            <w:vAlign w:val="center"/>
            <w:hideMark/>
          </w:tcPr>
          <w:p w14:paraId="1C0C70AC"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33" w:type="dxa"/>
            <w:gridSpan w:val="2"/>
            <w:tcBorders>
              <w:top w:val="nil"/>
              <w:left w:val="nil"/>
              <w:bottom w:val="nil"/>
              <w:right w:val="nil"/>
            </w:tcBorders>
            <w:shd w:val="clear" w:color="auto" w:fill="auto"/>
            <w:noWrap/>
            <w:vAlign w:val="center"/>
            <w:hideMark/>
          </w:tcPr>
          <w:p w14:paraId="244B30C8"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2,339,135</w:t>
            </w:r>
          </w:p>
        </w:tc>
        <w:tc>
          <w:tcPr>
            <w:tcW w:w="544" w:type="dxa"/>
            <w:gridSpan w:val="2"/>
            <w:tcBorders>
              <w:top w:val="nil"/>
              <w:left w:val="nil"/>
              <w:bottom w:val="nil"/>
              <w:right w:val="nil"/>
            </w:tcBorders>
            <w:shd w:val="clear" w:color="auto" w:fill="auto"/>
            <w:noWrap/>
            <w:vAlign w:val="center"/>
            <w:hideMark/>
          </w:tcPr>
          <w:p w14:paraId="739B2844"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00" w:type="dxa"/>
            <w:gridSpan w:val="2"/>
            <w:tcBorders>
              <w:top w:val="nil"/>
              <w:left w:val="nil"/>
              <w:bottom w:val="nil"/>
              <w:right w:val="nil"/>
            </w:tcBorders>
            <w:shd w:val="clear" w:color="auto" w:fill="auto"/>
            <w:noWrap/>
            <w:vAlign w:val="center"/>
            <w:hideMark/>
          </w:tcPr>
          <w:p w14:paraId="2264C113"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xml:space="preserve">- </w:t>
            </w:r>
          </w:p>
        </w:tc>
        <w:tc>
          <w:tcPr>
            <w:tcW w:w="542" w:type="dxa"/>
            <w:gridSpan w:val="3"/>
            <w:tcBorders>
              <w:top w:val="nil"/>
              <w:left w:val="nil"/>
              <w:bottom w:val="nil"/>
              <w:right w:val="nil"/>
            </w:tcBorders>
            <w:shd w:val="clear" w:color="auto" w:fill="auto"/>
            <w:noWrap/>
            <w:vAlign w:val="center"/>
            <w:hideMark/>
          </w:tcPr>
          <w:p w14:paraId="0E4FBFDC"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06" w:type="dxa"/>
            <w:gridSpan w:val="2"/>
            <w:tcBorders>
              <w:top w:val="nil"/>
              <w:left w:val="nil"/>
              <w:bottom w:val="nil"/>
              <w:right w:val="nil"/>
            </w:tcBorders>
            <w:shd w:val="clear" w:color="auto" w:fill="auto"/>
            <w:noWrap/>
            <w:vAlign w:val="center"/>
            <w:hideMark/>
          </w:tcPr>
          <w:p w14:paraId="2480191D"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264,439</w:t>
            </w:r>
          </w:p>
        </w:tc>
        <w:tc>
          <w:tcPr>
            <w:tcW w:w="550" w:type="dxa"/>
            <w:gridSpan w:val="2"/>
            <w:tcBorders>
              <w:top w:val="nil"/>
              <w:left w:val="nil"/>
              <w:bottom w:val="nil"/>
              <w:right w:val="nil"/>
            </w:tcBorders>
            <w:shd w:val="clear" w:color="auto" w:fill="auto"/>
            <w:noWrap/>
            <w:vAlign w:val="center"/>
            <w:hideMark/>
          </w:tcPr>
          <w:p w14:paraId="61503E3B"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695" w:type="dxa"/>
            <w:gridSpan w:val="2"/>
            <w:tcBorders>
              <w:top w:val="nil"/>
              <w:left w:val="nil"/>
              <w:bottom w:val="nil"/>
              <w:right w:val="nil"/>
            </w:tcBorders>
            <w:shd w:val="clear" w:color="auto" w:fill="auto"/>
            <w:noWrap/>
            <w:vAlign w:val="center"/>
            <w:hideMark/>
          </w:tcPr>
          <w:p w14:paraId="5E704F53"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2,998,741</w:t>
            </w:r>
          </w:p>
        </w:tc>
        <w:tc>
          <w:tcPr>
            <w:tcW w:w="553" w:type="dxa"/>
            <w:gridSpan w:val="2"/>
            <w:tcBorders>
              <w:top w:val="nil"/>
              <w:left w:val="nil"/>
              <w:bottom w:val="nil"/>
              <w:right w:val="nil"/>
            </w:tcBorders>
            <w:shd w:val="clear" w:color="auto" w:fill="auto"/>
            <w:noWrap/>
            <w:vAlign w:val="center"/>
            <w:hideMark/>
          </w:tcPr>
          <w:p w14:paraId="15A00097"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42" w:type="dxa"/>
            <w:gridSpan w:val="2"/>
            <w:tcBorders>
              <w:top w:val="nil"/>
              <w:left w:val="nil"/>
              <w:bottom w:val="nil"/>
              <w:right w:val="nil"/>
            </w:tcBorders>
            <w:shd w:val="clear" w:color="auto" w:fill="auto"/>
            <w:noWrap/>
            <w:vAlign w:val="center"/>
            <w:hideMark/>
          </w:tcPr>
          <w:p w14:paraId="364367BD"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xml:space="preserve">- </w:t>
            </w:r>
          </w:p>
        </w:tc>
        <w:tc>
          <w:tcPr>
            <w:tcW w:w="548" w:type="dxa"/>
            <w:gridSpan w:val="2"/>
            <w:tcBorders>
              <w:top w:val="nil"/>
              <w:left w:val="nil"/>
              <w:bottom w:val="nil"/>
              <w:right w:val="nil"/>
            </w:tcBorders>
            <w:shd w:val="clear" w:color="auto" w:fill="auto"/>
            <w:noWrap/>
            <w:vAlign w:val="center"/>
            <w:hideMark/>
          </w:tcPr>
          <w:p w14:paraId="52EF910E"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03" w:type="dxa"/>
            <w:gridSpan w:val="2"/>
            <w:tcBorders>
              <w:top w:val="nil"/>
              <w:left w:val="nil"/>
              <w:bottom w:val="nil"/>
              <w:right w:val="nil"/>
            </w:tcBorders>
            <w:shd w:val="clear" w:color="auto" w:fill="auto"/>
            <w:noWrap/>
            <w:vAlign w:val="center"/>
            <w:hideMark/>
          </w:tcPr>
          <w:p w14:paraId="4B9CA64B"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xml:space="preserve">- </w:t>
            </w:r>
          </w:p>
        </w:tc>
        <w:tc>
          <w:tcPr>
            <w:tcW w:w="706" w:type="dxa"/>
            <w:tcBorders>
              <w:top w:val="nil"/>
              <w:left w:val="nil"/>
              <w:bottom w:val="nil"/>
              <w:right w:val="nil"/>
            </w:tcBorders>
            <w:shd w:val="clear" w:color="auto" w:fill="auto"/>
            <w:noWrap/>
            <w:vAlign w:val="center"/>
            <w:hideMark/>
          </w:tcPr>
          <w:p w14:paraId="53A46DC7"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649" w:type="dxa"/>
            <w:tcBorders>
              <w:top w:val="nil"/>
              <w:left w:val="nil"/>
              <w:bottom w:val="nil"/>
              <w:right w:val="nil"/>
            </w:tcBorders>
            <w:shd w:val="clear" w:color="auto" w:fill="auto"/>
            <w:noWrap/>
            <w:vAlign w:val="center"/>
            <w:hideMark/>
          </w:tcPr>
          <w:p w14:paraId="66143FA9"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5,713,024</w:t>
            </w:r>
          </w:p>
        </w:tc>
      </w:tr>
      <w:tr w:rsidR="00490837" w:rsidRPr="00490837" w14:paraId="57A755CD" w14:textId="77777777" w:rsidTr="00490837">
        <w:trPr>
          <w:trHeight w:val="273"/>
        </w:trPr>
        <w:tc>
          <w:tcPr>
            <w:tcW w:w="186" w:type="dxa"/>
            <w:tcBorders>
              <w:top w:val="nil"/>
              <w:left w:val="nil"/>
              <w:bottom w:val="nil"/>
              <w:right w:val="nil"/>
            </w:tcBorders>
            <w:shd w:val="clear" w:color="auto" w:fill="auto"/>
            <w:noWrap/>
            <w:vAlign w:val="center"/>
            <w:hideMark/>
          </w:tcPr>
          <w:p w14:paraId="3F12BC8D"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2658" w:type="dxa"/>
            <w:gridSpan w:val="3"/>
            <w:tcBorders>
              <w:top w:val="nil"/>
              <w:left w:val="nil"/>
              <w:bottom w:val="nil"/>
              <w:right w:val="nil"/>
            </w:tcBorders>
            <w:shd w:val="clear" w:color="auto" w:fill="auto"/>
            <w:noWrap/>
            <w:vAlign w:val="center"/>
            <w:hideMark/>
          </w:tcPr>
          <w:p w14:paraId="4CD84676" w14:textId="77777777" w:rsidR="00490837" w:rsidRPr="00490837" w:rsidRDefault="00490837" w:rsidP="00490837">
            <w:pPr>
              <w:spacing w:before="0" w:line="240" w:lineRule="auto"/>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User charges and fees</w:t>
            </w:r>
          </w:p>
        </w:tc>
        <w:tc>
          <w:tcPr>
            <w:tcW w:w="733" w:type="dxa"/>
            <w:gridSpan w:val="3"/>
            <w:tcBorders>
              <w:top w:val="nil"/>
              <w:left w:val="nil"/>
              <w:bottom w:val="nil"/>
              <w:right w:val="nil"/>
            </w:tcBorders>
            <w:shd w:val="clear" w:color="auto" w:fill="auto"/>
            <w:noWrap/>
            <w:vAlign w:val="center"/>
            <w:hideMark/>
          </w:tcPr>
          <w:p w14:paraId="20140385"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29,009</w:t>
            </w:r>
          </w:p>
        </w:tc>
        <w:tc>
          <w:tcPr>
            <w:tcW w:w="566" w:type="dxa"/>
            <w:gridSpan w:val="2"/>
            <w:tcBorders>
              <w:top w:val="nil"/>
              <w:left w:val="nil"/>
              <w:bottom w:val="nil"/>
              <w:right w:val="nil"/>
            </w:tcBorders>
            <w:shd w:val="clear" w:color="auto" w:fill="auto"/>
            <w:noWrap/>
            <w:vAlign w:val="center"/>
            <w:hideMark/>
          </w:tcPr>
          <w:p w14:paraId="3AD7D950"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33" w:type="dxa"/>
            <w:gridSpan w:val="2"/>
            <w:tcBorders>
              <w:top w:val="nil"/>
              <w:left w:val="nil"/>
              <w:bottom w:val="nil"/>
              <w:right w:val="nil"/>
            </w:tcBorders>
            <w:shd w:val="clear" w:color="auto" w:fill="auto"/>
            <w:noWrap/>
            <w:vAlign w:val="center"/>
            <w:hideMark/>
          </w:tcPr>
          <w:p w14:paraId="05B89D4B"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53,186</w:t>
            </w:r>
          </w:p>
        </w:tc>
        <w:tc>
          <w:tcPr>
            <w:tcW w:w="544" w:type="dxa"/>
            <w:gridSpan w:val="2"/>
            <w:tcBorders>
              <w:top w:val="nil"/>
              <w:left w:val="nil"/>
              <w:bottom w:val="nil"/>
              <w:right w:val="nil"/>
            </w:tcBorders>
            <w:shd w:val="clear" w:color="auto" w:fill="auto"/>
            <w:noWrap/>
            <w:vAlign w:val="center"/>
            <w:hideMark/>
          </w:tcPr>
          <w:p w14:paraId="167707D0"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00" w:type="dxa"/>
            <w:gridSpan w:val="2"/>
            <w:tcBorders>
              <w:top w:val="nil"/>
              <w:left w:val="nil"/>
              <w:bottom w:val="nil"/>
              <w:right w:val="nil"/>
            </w:tcBorders>
            <w:shd w:val="clear" w:color="auto" w:fill="auto"/>
            <w:noWrap/>
            <w:vAlign w:val="center"/>
            <w:hideMark/>
          </w:tcPr>
          <w:p w14:paraId="6F736790"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282,529</w:t>
            </w:r>
          </w:p>
        </w:tc>
        <w:tc>
          <w:tcPr>
            <w:tcW w:w="542" w:type="dxa"/>
            <w:gridSpan w:val="3"/>
            <w:tcBorders>
              <w:top w:val="nil"/>
              <w:left w:val="nil"/>
              <w:bottom w:val="nil"/>
              <w:right w:val="nil"/>
            </w:tcBorders>
            <w:shd w:val="clear" w:color="auto" w:fill="auto"/>
            <w:noWrap/>
            <w:vAlign w:val="center"/>
            <w:hideMark/>
          </w:tcPr>
          <w:p w14:paraId="3958F793"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06" w:type="dxa"/>
            <w:gridSpan w:val="2"/>
            <w:tcBorders>
              <w:top w:val="nil"/>
              <w:left w:val="nil"/>
              <w:bottom w:val="nil"/>
              <w:right w:val="nil"/>
            </w:tcBorders>
            <w:shd w:val="clear" w:color="auto" w:fill="auto"/>
            <w:noWrap/>
            <w:vAlign w:val="center"/>
            <w:hideMark/>
          </w:tcPr>
          <w:p w14:paraId="251E8A69"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14,468</w:t>
            </w:r>
          </w:p>
        </w:tc>
        <w:tc>
          <w:tcPr>
            <w:tcW w:w="550" w:type="dxa"/>
            <w:gridSpan w:val="2"/>
            <w:tcBorders>
              <w:top w:val="nil"/>
              <w:left w:val="nil"/>
              <w:bottom w:val="nil"/>
              <w:right w:val="nil"/>
            </w:tcBorders>
            <w:shd w:val="clear" w:color="auto" w:fill="auto"/>
            <w:noWrap/>
            <w:vAlign w:val="center"/>
            <w:hideMark/>
          </w:tcPr>
          <w:p w14:paraId="1FB0A6FA"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695" w:type="dxa"/>
            <w:gridSpan w:val="2"/>
            <w:tcBorders>
              <w:top w:val="nil"/>
              <w:left w:val="nil"/>
              <w:bottom w:val="nil"/>
              <w:right w:val="nil"/>
            </w:tcBorders>
            <w:shd w:val="clear" w:color="auto" w:fill="auto"/>
            <w:noWrap/>
            <w:vAlign w:val="center"/>
            <w:hideMark/>
          </w:tcPr>
          <w:p w14:paraId="57028D93"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224,376</w:t>
            </w:r>
          </w:p>
        </w:tc>
        <w:tc>
          <w:tcPr>
            <w:tcW w:w="553" w:type="dxa"/>
            <w:gridSpan w:val="2"/>
            <w:tcBorders>
              <w:top w:val="nil"/>
              <w:left w:val="nil"/>
              <w:bottom w:val="nil"/>
              <w:right w:val="nil"/>
            </w:tcBorders>
            <w:shd w:val="clear" w:color="auto" w:fill="auto"/>
            <w:noWrap/>
            <w:vAlign w:val="center"/>
            <w:hideMark/>
          </w:tcPr>
          <w:p w14:paraId="17FE288E"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42" w:type="dxa"/>
            <w:gridSpan w:val="2"/>
            <w:tcBorders>
              <w:top w:val="nil"/>
              <w:left w:val="nil"/>
              <w:bottom w:val="nil"/>
              <w:right w:val="nil"/>
            </w:tcBorders>
            <w:shd w:val="clear" w:color="auto" w:fill="auto"/>
            <w:noWrap/>
            <w:vAlign w:val="center"/>
            <w:hideMark/>
          </w:tcPr>
          <w:p w14:paraId="0C66957F"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745,523</w:t>
            </w:r>
          </w:p>
        </w:tc>
        <w:tc>
          <w:tcPr>
            <w:tcW w:w="548" w:type="dxa"/>
            <w:gridSpan w:val="2"/>
            <w:tcBorders>
              <w:top w:val="nil"/>
              <w:left w:val="nil"/>
              <w:bottom w:val="nil"/>
              <w:right w:val="nil"/>
            </w:tcBorders>
            <w:shd w:val="clear" w:color="auto" w:fill="auto"/>
            <w:noWrap/>
            <w:vAlign w:val="center"/>
            <w:hideMark/>
          </w:tcPr>
          <w:p w14:paraId="5681EEAB"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03" w:type="dxa"/>
            <w:gridSpan w:val="2"/>
            <w:tcBorders>
              <w:top w:val="nil"/>
              <w:left w:val="nil"/>
              <w:bottom w:val="nil"/>
              <w:right w:val="nil"/>
            </w:tcBorders>
            <w:shd w:val="clear" w:color="auto" w:fill="auto"/>
            <w:noWrap/>
            <w:vAlign w:val="center"/>
            <w:hideMark/>
          </w:tcPr>
          <w:p w14:paraId="51AE058A"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-733,567</w:t>
            </w:r>
          </w:p>
        </w:tc>
        <w:tc>
          <w:tcPr>
            <w:tcW w:w="706" w:type="dxa"/>
            <w:tcBorders>
              <w:top w:val="nil"/>
              <w:left w:val="nil"/>
              <w:bottom w:val="nil"/>
              <w:right w:val="nil"/>
            </w:tcBorders>
            <w:shd w:val="clear" w:color="auto" w:fill="auto"/>
            <w:noWrap/>
            <w:vAlign w:val="center"/>
            <w:hideMark/>
          </w:tcPr>
          <w:p w14:paraId="1C175CCC"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649" w:type="dxa"/>
            <w:tcBorders>
              <w:top w:val="nil"/>
              <w:left w:val="nil"/>
              <w:bottom w:val="nil"/>
              <w:right w:val="nil"/>
            </w:tcBorders>
            <w:shd w:val="clear" w:color="auto" w:fill="auto"/>
            <w:noWrap/>
            <w:vAlign w:val="center"/>
            <w:hideMark/>
          </w:tcPr>
          <w:p w14:paraId="474FB388"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615,524</w:t>
            </w:r>
          </w:p>
        </w:tc>
      </w:tr>
      <w:tr w:rsidR="00490837" w:rsidRPr="00490837" w14:paraId="78261F6F" w14:textId="77777777" w:rsidTr="00490837">
        <w:trPr>
          <w:trHeight w:val="273"/>
        </w:trPr>
        <w:tc>
          <w:tcPr>
            <w:tcW w:w="186" w:type="dxa"/>
            <w:tcBorders>
              <w:top w:val="nil"/>
              <w:left w:val="nil"/>
              <w:bottom w:val="nil"/>
              <w:right w:val="nil"/>
            </w:tcBorders>
            <w:shd w:val="clear" w:color="auto" w:fill="auto"/>
            <w:noWrap/>
            <w:vAlign w:val="center"/>
            <w:hideMark/>
          </w:tcPr>
          <w:p w14:paraId="49937ACE"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2658" w:type="dxa"/>
            <w:gridSpan w:val="3"/>
            <w:tcBorders>
              <w:top w:val="nil"/>
              <w:left w:val="nil"/>
              <w:bottom w:val="nil"/>
              <w:right w:val="nil"/>
            </w:tcBorders>
            <w:shd w:val="clear" w:color="auto" w:fill="auto"/>
            <w:noWrap/>
            <w:vAlign w:val="center"/>
            <w:hideMark/>
          </w:tcPr>
          <w:p w14:paraId="39DB08CD" w14:textId="77777777" w:rsidR="00490837" w:rsidRPr="00490837" w:rsidRDefault="00490837" w:rsidP="00490837">
            <w:pPr>
              <w:spacing w:before="0" w:line="240" w:lineRule="auto"/>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xml:space="preserve">Grants and other contributions </w:t>
            </w:r>
          </w:p>
        </w:tc>
        <w:tc>
          <w:tcPr>
            <w:tcW w:w="733" w:type="dxa"/>
            <w:gridSpan w:val="3"/>
            <w:tcBorders>
              <w:top w:val="nil"/>
              <w:left w:val="nil"/>
              <w:bottom w:val="nil"/>
              <w:right w:val="nil"/>
            </w:tcBorders>
            <w:shd w:val="clear" w:color="auto" w:fill="auto"/>
            <w:noWrap/>
            <w:vAlign w:val="center"/>
            <w:hideMark/>
          </w:tcPr>
          <w:p w14:paraId="22ED83C1"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167</w:t>
            </w:r>
          </w:p>
        </w:tc>
        <w:tc>
          <w:tcPr>
            <w:tcW w:w="566" w:type="dxa"/>
            <w:gridSpan w:val="2"/>
            <w:tcBorders>
              <w:top w:val="nil"/>
              <w:left w:val="nil"/>
              <w:bottom w:val="nil"/>
              <w:right w:val="nil"/>
            </w:tcBorders>
            <w:shd w:val="clear" w:color="auto" w:fill="auto"/>
            <w:noWrap/>
            <w:vAlign w:val="center"/>
            <w:hideMark/>
          </w:tcPr>
          <w:p w14:paraId="0CE45071"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33" w:type="dxa"/>
            <w:gridSpan w:val="2"/>
            <w:tcBorders>
              <w:top w:val="nil"/>
              <w:left w:val="nil"/>
              <w:bottom w:val="nil"/>
              <w:right w:val="nil"/>
            </w:tcBorders>
            <w:shd w:val="clear" w:color="auto" w:fill="auto"/>
            <w:noWrap/>
            <w:vAlign w:val="center"/>
            <w:hideMark/>
          </w:tcPr>
          <w:p w14:paraId="2DEEC3E9"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131,218</w:t>
            </w:r>
          </w:p>
        </w:tc>
        <w:tc>
          <w:tcPr>
            <w:tcW w:w="544" w:type="dxa"/>
            <w:gridSpan w:val="2"/>
            <w:tcBorders>
              <w:top w:val="nil"/>
              <w:left w:val="nil"/>
              <w:bottom w:val="nil"/>
              <w:right w:val="nil"/>
            </w:tcBorders>
            <w:shd w:val="clear" w:color="auto" w:fill="auto"/>
            <w:noWrap/>
            <w:vAlign w:val="center"/>
            <w:hideMark/>
          </w:tcPr>
          <w:p w14:paraId="3BDE98B6"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00" w:type="dxa"/>
            <w:gridSpan w:val="2"/>
            <w:tcBorders>
              <w:top w:val="nil"/>
              <w:left w:val="nil"/>
              <w:bottom w:val="nil"/>
              <w:right w:val="nil"/>
            </w:tcBorders>
            <w:shd w:val="clear" w:color="auto" w:fill="auto"/>
            <w:noWrap/>
            <w:vAlign w:val="center"/>
            <w:hideMark/>
          </w:tcPr>
          <w:p w14:paraId="65955A80"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5,628</w:t>
            </w:r>
          </w:p>
        </w:tc>
        <w:tc>
          <w:tcPr>
            <w:tcW w:w="542" w:type="dxa"/>
            <w:gridSpan w:val="3"/>
            <w:tcBorders>
              <w:top w:val="nil"/>
              <w:left w:val="nil"/>
              <w:bottom w:val="nil"/>
              <w:right w:val="nil"/>
            </w:tcBorders>
            <w:shd w:val="clear" w:color="auto" w:fill="auto"/>
            <w:noWrap/>
            <w:vAlign w:val="center"/>
            <w:hideMark/>
          </w:tcPr>
          <w:p w14:paraId="2DBDDF48"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06" w:type="dxa"/>
            <w:gridSpan w:val="2"/>
            <w:tcBorders>
              <w:top w:val="nil"/>
              <w:left w:val="nil"/>
              <w:bottom w:val="nil"/>
              <w:right w:val="nil"/>
            </w:tcBorders>
            <w:shd w:val="clear" w:color="auto" w:fill="auto"/>
            <w:noWrap/>
            <w:vAlign w:val="center"/>
            <w:hideMark/>
          </w:tcPr>
          <w:p w14:paraId="682B8D84"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473</w:t>
            </w:r>
          </w:p>
        </w:tc>
        <w:tc>
          <w:tcPr>
            <w:tcW w:w="550" w:type="dxa"/>
            <w:gridSpan w:val="2"/>
            <w:tcBorders>
              <w:top w:val="nil"/>
              <w:left w:val="nil"/>
              <w:bottom w:val="nil"/>
              <w:right w:val="nil"/>
            </w:tcBorders>
            <w:shd w:val="clear" w:color="auto" w:fill="auto"/>
            <w:noWrap/>
            <w:vAlign w:val="center"/>
            <w:hideMark/>
          </w:tcPr>
          <w:p w14:paraId="69E10247"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695" w:type="dxa"/>
            <w:gridSpan w:val="2"/>
            <w:tcBorders>
              <w:top w:val="nil"/>
              <w:left w:val="nil"/>
              <w:bottom w:val="nil"/>
              <w:right w:val="nil"/>
            </w:tcBorders>
            <w:shd w:val="clear" w:color="auto" w:fill="auto"/>
            <w:noWrap/>
            <w:vAlign w:val="center"/>
            <w:hideMark/>
          </w:tcPr>
          <w:p w14:paraId="78214B43"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49,698</w:t>
            </w:r>
          </w:p>
        </w:tc>
        <w:tc>
          <w:tcPr>
            <w:tcW w:w="553" w:type="dxa"/>
            <w:gridSpan w:val="2"/>
            <w:tcBorders>
              <w:top w:val="nil"/>
              <w:left w:val="nil"/>
              <w:bottom w:val="nil"/>
              <w:right w:val="nil"/>
            </w:tcBorders>
            <w:shd w:val="clear" w:color="auto" w:fill="auto"/>
            <w:noWrap/>
            <w:vAlign w:val="center"/>
            <w:hideMark/>
          </w:tcPr>
          <w:p w14:paraId="305131A4"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42" w:type="dxa"/>
            <w:gridSpan w:val="2"/>
            <w:tcBorders>
              <w:top w:val="nil"/>
              <w:left w:val="nil"/>
              <w:bottom w:val="nil"/>
              <w:right w:val="nil"/>
            </w:tcBorders>
            <w:shd w:val="clear" w:color="auto" w:fill="auto"/>
            <w:noWrap/>
            <w:vAlign w:val="center"/>
            <w:hideMark/>
          </w:tcPr>
          <w:p w14:paraId="35EA346C"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xml:space="preserve">- </w:t>
            </w:r>
          </w:p>
        </w:tc>
        <w:tc>
          <w:tcPr>
            <w:tcW w:w="548" w:type="dxa"/>
            <w:gridSpan w:val="2"/>
            <w:tcBorders>
              <w:top w:val="nil"/>
              <w:left w:val="nil"/>
              <w:bottom w:val="nil"/>
              <w:right w:val="nil"/>
            </w:tcBorders>
            <w:shd w:val="clear" w:color="auto" w:fill="auto"/>
            <w:noWrap/>
            <w:vAlign w:val="center"/>
            <w:hideMark/>
          </w:tcPr>
          <w:p w14:paraId="74E9F6E3"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03" w:type="dxa"/>
            <w:gridSpan w:val="2"/>
            <w:tcBorders>
              <w:top w:val="nil"/>
              <w:left w:val="nil"/>
              <w:bottom w:val="nil"/>
              <w:right w:val="nil"/>
            </w:tcBorders>
            <w:shd w:val="clear" w:color="auto" w:fill="auto"/>
            <w:noWrap/>
            <w:vAlign w:val="center"/>
            <w:hideMark/>
          </w:tcPr>
          <w:p w14:paraId="4EB152A2"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xml:space="preserve">- </w:t>
            </w:r>
          </w:p>
        </w:tc>
        <w:tc>
          <w:tcPr>
            <w:tcW w:w="706" w:type="dxa"/>
            <w:tcBorders>
              <w:top w:val="nil"/>
              <w:left w:val="nil"/>
              <w:bottom w:val="nil"/>
              <w:right w:val="nil"/>
            </w:tcBorders>
            <w:shd w:val="clear" w:color="auto" w:fill="auto"/>
            <w:noWrap/>
            <w:vAlign w:val="center"/>
            <w:hideMark/>
          </w:tcPr>
          <w:p w14:paraId="03BBE78C"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649" w:type="dxa"/>
            <w:tcBorders>
              <w:top w:val="nil"/>
              <w:left w:val="nil"/>
              <w:bottom w:val="nil"/>
              <w:right w:val="nil"/>
            </w:tcBorders>
            <w:shd w:val="clear" w:color="auto" w:fill="auto"/>
            <w:noWrap/>
            <w:vAlign w:val="center"/>
            <w:hideMark/>
          </w:tcPr>
          <w:p w14:paraId="5AAE9F67"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187,184</w:t>
            </w:r>
          </w:p>
        </w:tc>
      </w:tr>
      <w:tr w:rsidR="00490837" w:rsidRPr="00490837" w14:paraId="1A245C31" w14:textId="77777777" w:rsidTr="00490837">
        <w:trPr>
          <w:trHeight w:val="273"/>
        </w:trPr>
        <w:tc>
          <w:tcPr>
            <w:tcW w:w="186" w:type="dxa"/>
            <w:tcBorders>
              <w:top w:val="nil"/>
              <w:left w:val="nil"/>
              <w:bottom w:val="nil"/>
              <w:right w:val="nil"/>
            </w:tcBorders>
            <w:shd w:val="clear" w:color="auto" w:fill="auto"/>
            <w:noWrap/>
            <w:vAlign w:val="center"/>
            <w:hideMark/>
          </w:tcPr>
          <w:p w14:paraId="6990F08A"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2658" w:type="dxa"/>
            <w:gridSpan w:val="3"/>
            <w:tcBorders>
              <w:top w:val="nil"/>
              <w:left w:val="nil"/>
              <w:bottom w:val="nil"/>
              <w:right w:val="nil"/>
            </w:tcBorders>
            <w:shd w:val="clear" w:color="auto" w:fill="auto"/>
            <w:noWrap/>
            <w:vAlign w:val="center"/>
            <w:hideMark/>
          </w:tcPr>
          <w:p w14:paraId="7868CADA" w14:textId="77777777" w:rsidR="00490837" w:rsidRPr="00490837" w:rsidRDefault="00490837" w:rsidP="00490837">
            <w:pPr>
              <w:spacing w:before="0" w:line="240" w:lineRule="auto"/>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Service concession arrangements revenue</w:t>
            </w:r>
          </w:p>
        </w:tc>
        <w:tc>
          <w:tcPr>
            <w:tcW w:w="733" w:type="dxa"/>
            <w:gridSpan w:val="3"/>
            <w:tcBorders>
              <w:top w:val="nil"/>
              <w:left w:val="nil"/>
              <w:bottom w:val="nil"/>
              <w:right w:val="nil"/>
            </w:tcBorders>
            <w:shd w:val="clear" w:color="auto" w:fill="auto"/>
            <w:noWrap/>
            <w:vAlign w:val="center"/>
            <w:hideMark/>
          </w:tcPr>
          <w:p w14:paraId="673AFC89"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xml:space="preserve">- </w:t>
            </w:r>
          </w:p>
        </w:tc>
        <w:tc>
          <w:tcPr>
            <w:tcW w:w="566" w:type="dxa"/>
            <w:gridSpan w:val="2"/>
            <w:tcBorders>
              <w:top w:val="nil"/>
              <w:left w:val="nil"/>
              <w:bottom w:val="nil"/>
              <w:right w:val="nil"/>
            </w:tcBorders>
            <w:shd w:val="clear" w:color="auto" w:fill="auto"/>
            <w:noWrap/>
            <w:vAlign w:val="center"/>
            <w:hideMark/>
          </w:tcPr>
          <w:p w14:paraId="5CF710F9"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33" w:type="dxa"/>
            <w:gridSpan w:val="2"/>
            <w:tcBorders>
              <w:top w:val="nil"/>
              <w:left w:val="nil"/>
              <w:bottom w:val="nil"/>
              <w:right w:val="nil"/>
            </w:tcBorders>
            <w:shd w:val="clear" w:color="auto" w:fill="auto"/>
            <w:noWrap/>
            <w:vAlign w:val="center"/>
            <w:hideMark/>
          </w:tcPr>
          <w:p w14:paraId="0D530E4E"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232,180</w:t>
            </w:r>
          </w:p>
        </w:tc>
        <w:tc>
          <w:tcPr>
            <w:tcW w:w="544" w:type="dxa"/>
            <w:gridSpan w:val="2"/>
            <w:tcBorders>
              <w:top w:val="nil"/>
              <w:left w:val="nil"/>
              <w:bottom w:val="nil"/>
              <w:right w:val="nil"/>
            </w:tcBorders>
            <w:shd w:val="clear" w:color="auto" w:fill="auto"/>
            <w:noWrap/>
            <w:vAlign w:val="center"/>
            <w:hideMark/>
          </w:tcPr>
          <w:p w14:paraId="465884C0"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00" w:type="dxa"/>
            <w:gridSpan w:val="2"/>
            <w:tcBorders>
              <w:top w:val="nil"/>
              <w:left w:val="nil"/>
              <w:bottom w:val="nil"/>
              <w:right w:val="nil"/>
            </w:tcBorders>
            <w:shd w:val="clear" w:color="auto" w:fill="auto"/>
            <w:noWrap/>
            <w:vAlign w:val="center"/>
            <w:hideMark/>
          </w:tcPr>
          <w:p w14:paraId="4CE99F5A"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xml:space="preserve">- </w:t>
            </w:r>
          </w:p>
        </w:tc>
        <w:tc>
          <w:tcPr>
            <w:tcW w:w="542" w:type="dxa"/>
            <w:gridSpan w:val="3"/>
            <w:tcBorders>
              <w:top w:val="nil"/>
              <w:left w:val="nil"/>
              <w:bottom w:val="nil"/>
              <w:right w:val="nil"/>
            </w:tcBorders>
            <w:shd w:val="clear" w:color="auto" w:fill="auto"/>
            <w:noWrap/>
            <w:vAlign w:val="center"/>
            <w:hideMark/>
          </w:tcPr>
          <w:p w14:paraId="39932539"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06" w:type="dxa"/>
            <w:gridSpan w:val="2"/>
            <w:tcBorders>
              <w:top w:val="nil"/>
              <w:left w:val="nil"/>
              <w:bottom w:val="nil"/>
              <w:right w:val="nil"/>
            </w:tcBorders>
            <w:shd w:val="clear" w:color="auto" w:fill="auto"/>
            <w:noWrap/>
            <w:vAlign w:val="center"/>
            <w:hideMark/>
          </w:tcPr>
          <w:p w14:paraId="5D07DA44"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xml:space="preserve">- </w:t>
            </w:r>
          </w:p>
        </w:tc>
        <w:tc>
          <w:tcPr>
            <w:tcW w:w="550" w:type="dxa"/>
            <w:gridSpan w:val="2"/>
            <w:tcBorders>
              <w:top w:val="nil"/>
              <w:left w:val="nil"/>
              <w:bottom w:val="nil"/>
              <w:right w:val="nil"/>
            </w:tcBorders>
            <w:shd w:val="clear" w:color="auto" w:fill="auto"/>
            <w:noWrap/>
            <w:vAlign w:val="center"/>
            <w:hideMark/>
          </w:tcPr>
          <w:p w14:paraId="114D4563"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695" w:type="dxa"/>
            <w:gridSpan w:val="2"/>
            <w:tcBorders>
              <w:top w:val="nil"/>
              <w:left w:val="nil"/>
              <w:bottom w:val="nil"/>
              <w:right w:val="nil"/>
            </w:tcBorders>
            <w:shd w:val="clear" w:color="auto" w:fill="auto"/>
            <w:noWrap/>
            <w:vAlign w:val="center"/>
            <w:hideMark/>
          </w:tcPr>
          <w:p w14:paraId="5C6BA2E8"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xml:space="preserve">- </w:t>
            </w:r>
          </w:p>
        </w:tc>
        <w:tc>
          <w:tcPr>
            <w:tcW w:w="553" w:type="dxa"/>
            <w:gridSpan w:val="2"/>
            <w:tcBorders>
              <w:top w:val="nil"/>
              <w:left w:val="nil"/>
              <w:bottom w:val="nil"/>
              <w:right w:val="nil"/>
            </w:tcBorders>
            <w:shd w:val="clear" w:color="auto" w:fill="auto"/>
            <w:noWrap/>
            <w:vAlign w:val="center"/>
            <w:hideMark/>
          </w:tcPr>
          <w:p w14:paraId="2855841C"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42" w:type="dxa"/>
            <w:gridSpan w:val="2"/>
            <w:tcBorders>
              <w:top w:val="nil"/>
              <w:left w:val="nil"/>
              <w:bottom w:val="nil"/>
              <w:right w:val="nil"/>
            </w:tcBorders>
            <w:shd w:val="clear" w:color="auto" w:fill="auto"/>
            <w:noWrap/>
            <w:vAlign w:val="center"/>
            <w:hideMark/>
          </w:tcPr>
          <w:p w14:paraId="73B9FA3D"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xml:space="preserve">- </w:t>
            </w:r>
          </w:p>
        </w:tc>
        <w:tc>
          <w:tcPr>
            <w:tcW w:w="548" w:type="dxa"/>
            <w:gridSpan w:val="2"/>
            <w:tcBorders>
              <w:top w:val="nil"/>
              <w:left w:val="nil"/>
              <w:bottom w:val="nil"/>
              <w:right w:val="nil"/>
            </w:tcBorders>
            <w:shd w:val="clear" w:color="auto" w:fill="auto"/>
            <w:noWrap/>
            <w:vAlign w:val="center"/>
            <w:hideMark/>
          </w:tcPr>
          <w:p w14:paraId="40C1EEB8"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03" w:type="dxa"/>
            <w:gridSpan w:val="2"/>
            <w:tcBorders>
              <w:top w:val="nil"/>
              <w:left w:val="nil"/>
              <w:bottom w:val="nil"/>
              <w:right w:val="nil"/>
            </w:tcBorders>
            <w:shd w:val="clear" w:color="auto" w:fill="auto"/>
            <w:noWrap/>
            <w:vAlign w:val="center"/>
            <w:hideMark/>
          </w:tcPr>
          <w:p w14:paraId="6AEFECB9"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xml:space="preserve">- </w:t>
            </w:r>
          </w:p>
        </w:tc>
        <w:tc>
          <w:tcPr>
            <w:tcW w:w="706" w:type="dxa"/>
            <w:tcBorders>
              <w:top w:val="nil"/>
              <w:left w:val="nil"/>
              <w:bottom w:val="nil"/>
              <w:right w:val="nil"/>
            </w:tcBorders>
            <w:shd w:val="clear" w:color="auto" w:fill="auto"/>
            <w:noWrap/>
            <w:vAlign w:val="center"/>
            <w:hideMark/>
          </w:tcPr>
          <w:p w14:paraId="115953EB"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649" w:type="dxa"/>
            <w:tcBorders>
              <w:top w:val="nil"/>
              <w:left w:val="nil"/>
              <w:bottom w:val="nil"/>
              <w:right w:val="nil"/>
            </w:tcBorders>
            <w:shd w:val="clear" w:color="auto" w:fill="auto"/>
            <w:noWrap/>
            <w:vAlign w:val="center"/>
            <w:hideMark/>
          </w:tcPr>
          <w:p w14:paraId="2AF528A0"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232,180</w:t>
            </w:r>
          </w:p>
        </w:tc>
      </w:tr>
      <w:tr w:rsidR="00490837" w:rsidRPr="00490837" w14:paraId="7D9882D1" w14:textId="77777777" w:rsidTr="00490837">
        <w:trPr>
          <w:trHeight w:hRule="exact" w:val="578"/>
        </w:trPr>
        <w:tc>
          <w:tcPr>
            <w:tcW w:w="186" w:type="dxa"/>
            <w:tcBorders>
              <w:top w:val="nil"/>
              <w:left w:val="nil"/>
              <w:bottom w:val="single" w:sz="8" w:space="0" w:color="auto"/>
              <w:right w:val="nil"/>
            </w:tcBorders>
            <w:shd w:val="clear" w:color="auto" w:fill="auto"/>
            <w:noWrap/>
            <w:vAlign w:val="center"/>
            <w:hideMark/>
          </w:tcPr>
          <w:p w14:paraId="7FF18403" w14:textId="77777777" w:rsidR="00490837" w:rsidRPr="00490837" w:rsidRDefault="00490837" w:rsidP="00490837">
            <w:pPr>
              <w:spacing w:before="0" w:line="240" w:lineRule="auto"/>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2658" w:type="dxa"/>
            <w:gridSpan w:val="3"/>
            <w:tcBorders>
              <w:top w:val="nil"/>
              <w:left w:val="nil"/>
              <w:bottom w:val="nil"/>
              <w:right w:val="nil"/>
            </w:tcBorders>
            <w:shd w:val="clear" w:color="auto" w:fill="auto"/>
            <w:noWrap/>
            <w:vAlign w:val="center"/>
            <w:hideMark/>
          </w:tcPr>
          <w:p w14:paraId="6F625A7A" w14:textId="77777777" w:rsidR="00490837" w:rsidRPr="00490837" w:rsidRDefault="00490837" w:rsidP="00490837">
            <w:pPr>
              <w:spacing w:before="0" w:line="240" w:lineRule="auto"/>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Other revenue</w:t>
            </w:r>
          </w:p>
        </w:tc>
        <w:tc>
          <w:tcPr>
            <w:tcW w:w="733" w:type="dxa"/>
            <w:gridSpan w:val="3"/>
            <w:tcBorders>
              <w:top w:val="nil"/>
              <w:left w:val="nil"/>
              <w:bottom w:val="single" w:sz="8" w:space="0" w:color="auto"/>
              <w:right w:val="nil"/>
            </w:tcBorders>
            <w:shd w:val="clear" w:color="auto" w:fill="auto"/>
            <w:noWrap/>
            <w:vAlign w:val="center"/>
            <w:hideMark/>
          </w:tcPr>
          <w:p w14:paraId="2B35F009"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264</w:t>
            </w:r>
          </w:p>
        </w:tc>
        <w:tc>
          <w:tcPr>
            <w:tcW w:w="566" w:type="dxa"/>
            <w:gridSpan w:val="2"/>
            <w:tcBorders>
              <w:top w:val="nil"/>
              <w:left w:val="nil"/>
              <w:bottom w:val="single" w:sz="8" w:space="0" w:color="auto"/>
              <w:right w:val="nil"/>
            </w:tcBorders>
            <w:shd w:val="clear" w:color="auto" w:fill="auto"/>
            <w:noWrap/>
            <w:vAlign w:val="center"/>
            <w:hideMark/>
          </w:tcPr>
          <w:p w14:paraId="4F464A88"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733" w:type="dxa"/>
            <w:gridSpan w:val="2"/>
            <w:tcBorders>
              <w:top w:val="nil"/>
              <w:left w:val="nil"/>
              <w:bottom w:val="single" w:sz="8" w:space="0" w:color="auto"/>
              <w:right w:val="nil"/>
            </w:tcBorders>
            <w:shd w:val="clear" w:color="auto" w:fill="auto"/>
            <w:noWrap/>
            <w:vAlign w:val="center"/>
            <w:hideMark/>
          </w:tcPr>
          <w:p w14:paraId="56A62543"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36,920</w:t>
            </w:r>
          </w:p>
        </w:tc>
        <w:tc>
          <w:tcPr>
            <w:tcW w:w="544" w:type="dxa"/>
            <w:gridSpan w:val="2"/>
            <w:tcBorders>
              <w:top w:val="nil"/>
              <w:left w:val="nil"/>
              <w:bottom w:val="single" w:sz="8" w:space="0" w:color="auto"/>
              <w:right w:val="nil"/>
            </w:tcBorders>
            <w:shd w:val="clear" w:color="auto" w:fill="auto"/>
            <w:noWrap/>
            <w:vAlign w:val="center"/>
            <w:hideMark/>
          </w:tcPr>
          <w:p w14:paraId="3EF05DB9"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700" w:type="dxa"/>
            <w:gridSpan w:val="2"/>
            <w:tcBorders>
              <w:top w:val="nil"/>
              <w:left w:val="nil"/>
              <w:bottom w:val="single" w:sz="8" w:space="0" w:color="auto"/>
              <w:right w:val="nil"/>
            </w:tcBorders>
            <w:shd w:val="clear" w:color="auto" w:fill="auto"/>
            <w:noWrap/>
            <w:vAlign w:val="center"/>
            <w:hideMark/>
          </w:tcPr>
          <w:p w14:paraId="264848A4"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915</w:t>
            </w:r>
          </w:p>
        </w:tc>
        <w:tc>
          <w:tcPr>
            <w:tcW w:w="542" w:type="dxa"/>
            <w:gridSpan w:val="3"/>
            <w:tcBorders>
              <w:top w:val="nil"/>
              <w:left w:val="nil"/>
              <w:bottom w:val="single" w:sz="8" w:space="0" w:color="auto"/>
              <w:right w:val="nil"/>
            </w:tcBorders>
            <w:shd w:val="clear" w:color="auto" w:fill="auto"/>
            <w:noWrap/>
            <w:vAlign w:val="center"/>
            <w:hideMark/>
          </w:tcPr>
          <w:p w14:paraId="3E178B87"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706" w:type="dxa"/>
            <w:gridSpan w:val="2"/>
            <w:tcBorders>
              <w:top w:val="nil"/>
              <w:left w:val="nil"/>
              <w:bottom w:val="single" w:sz="8" w:space="0" w:color="auto"/>
              <w:right w:val="nil"/>
            </w:tcBorders>
            <w:shd w:val="clear" w:color="auto" w:fill="auto"/>
            <w:noWrap/>
            <w:vAlign w:val="center"/>
            <w:hideMark/>
          </w:tcPr>
          <w:p w14:paraId="28508C9E"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56</w:t>
            </w:r>
          </w:p>
        </w:tc>
        <w:tc>
          <w:tcPr>
            <w:tcW w:w="550" w:type="dxa"/>
            <w:gridSpan w:val="2"/>
            <w:tcBorders>
              <w:top w:val="nil"/>
              <w:left w:val="nil"/>
              <w:bottom w:val="single" w:sz="8" w:space="0" w:color="auto"/>
              <w:right w:val="nil"/>
            </w:tcBorders>
            <w:shd w:val="clear" w:color="auto" w:fill="auto"/>
            <w:noWrap/>
            <w:vAlign w:val="center"/>
            <w:hideMark/>
          </w:tcPr>
          <w:p w14:paraId="352F4352"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695" w:type="dxa"/>
            <w:gridSpan w:val="2"/>
            <w:tcBorders>
              <w:top w:val="nil"/>
              <w:left w:val="nil"/>
              <w:bottom w:val="single" w:sz="8" w:space="0" w:color="auto"/>
              <w:right w:val="nil"/>
            </w:tcBorders>
            <w:shd w:val="clear" w:color="auto" w:fill="auto"/>
            <w:noWrap/>
            <w:vAlign w:val="center"/>
            <w:hideMark/>
          </w:tcPr>
          <w:p w14:paraId="713663EC"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15,954</w:t>
            </w:r>
          </w:p>
        </w:tc>
        <w:tc>
          <w:tcPr>
            <w:tcW w:w="553" w:type="dxa"/>
            <w:gridSpan w:val="2"/>
            <w:tcBorders>
              <w:top w:val="nil"/>
              <w:left w:val="nil"/>
              <w:bottom w:val="single" w:sz="8" w:space="0" w:color="auto"/>
              <w:right w:val="nil"/>
            </w:tcBorders>
            <w:shd w:val="clear" w:color="auto" w:fill="auto"/>
            <w:noWrap/>
            <w:vAlign w:val="center"/>
            <w:hideMark/>
          </w:tcPr>
          <w:p w14:paraId="4EA44B58"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742" w:type="dxa"/>
            <w:gridSpan w:val="2"/>
            <w:tcBorders>
              <w:top w:val="nil"/>
              <w:left w:val="nil"/>
              <w:bottom w:val="single" w:sz="8" w:space="0" w:color="auto"/>
              <w:right w:val="nil"/>
            </w:tcBorders>
            <w:shd w:val="clear" w:color="auto" w:fill="auto"/>
            <w:noWrap/>
            <w:vAlign w:val="center"/>
            <w:hideMark/>
          </w:tcPr>
          <w:p w14:paraId="0FEB5D7E"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1,520</w:t>
            </w:r>
          </w:p>
        </w:tc>
        <w:tc>
          <w:tcPr>
            <w:tcW w:w="548" w:type="dxa"/>
            <w:gridSpan w:val="2"/>
            <w:tcBorders>
              <w:top w:val="nil"/>
              <w:left w:val="nil"/>
              <w:bottom w:val="single" w:sz="8" w:space="0" w:color="auto"/>
              <w:right w:val="nil"/>
            </w:tcBorders>
            <w:shd w:val="clear" w:color="auto" w:fill="auto"/>
            <w:noWrap/>
            <w:vAlign w:val="center"/>
            <w:hideMark/>
          </w:tcPr>
          <w:p w14:paraId="536E5B2D"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703" w:type="dxa"/>
            <w:gridSpan w:val="2"/>
            <w:tcBorders>
              <w:top w:val="nil"/>
              <w:left w:val="nil"/>
              <w:bottom w:val="single" w:sz="8" w:space="0" w:color="auto"/>
              <w:right w:val="nil"/>
            </w:tcBorders>
            <w:shd w:val="clear" w:color="auto" w:fill="auto"/>
            <w:noWrap/>
            <w:vAlign w:val="center"/>
            <w:hideMark/>
          </w:tcPr>
          <w:p w14:paraId="4BACB439"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-22,207</w:t>
            </w:r>
          </w:p>
        </w:tc>
        <w:tc>
          <w:tcPr>
            <w:tcW w:w="706" w:type="dxa"/>
            <w:tcBorders>
              <w:top w:val="nil"/>
              <w:left w:val="nil"/>
              <w:bottom w:val="single" w:sz="8" w:space="0" w:color="auto"/>
              <w:right w:val="nil"/>
            </w:tcBorders>
            <w:shd w:val="clear" w:color="auto" w:fill="auto"/>
            <w:noWrap/>
            <w:vAlign w:val="center"/>
            <w:hideMark/>
          </w:tcPr>
          <w:p w14:paraId="3B8AD79B"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649" w:type="dxa"/>
            <w:tcBorders>
              <w:top w:val="nil"/>
              <w:left w:val="nil"/>
              <w:bottom w:val="nil"/>
              <w:right w:val="nil"/>
            </w:tcBorders>
            <w:shd w:val="clear" w:color="auto" w:fill="auto"/>
            <w:noWrap/>
            <w:vAlign w:val="center"/>
            <w:hideMark/>
          </w:tcPr>
          <w:p w14:paraId="587E3A89"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33,422</w:t>
            </w:r>
          </w:p>
        </w:tc>
      </w:tr>
      <w:tr w:rsidR="00490837" w:rsidRPr="00490837" w14:paraId="49AB0DB6" w14:textId="77777777" w:rsidTr="00490837">
        <w:trPr>
          <w:trHeight w:val="273"/>
        </w:trPr>
        <w:tc>
          <w:tcPr>
            <w:tcW w:w="186" w:type="dxa"/>
            <w:tcBorders>
              <w:top w:val="nil"/>
              <w:left w:val="nil"/>
              <w:bottom w:val="nil"/>
              <w:right w:val="nil"/>
            </w:tcBorders>
            <w:shd w:val="clear" w:color="auto" w:fill="auto"/>
            <w:noWrap/>
            <w:vAlign w:val="center"/>
            <w:hideMark/>
          </w:tcPr>
          <w:p w14:paraId="5EDF7F17"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2658" w:type="dxa"/>
            <w:gridSpan w:val="3"/>
            <w:tcBorders>
              <w:top w:val="single" w:sz="8" w:space="0" w:color="auto"/>
              <w:left w:val="nil"/>
              <w:bottom w:val="nil"/>
              <w:right w:val="nil"/>
            </w:tcBorders>
            <w:shd w:val="clear" w:color="auto" w:fill="auto"/>
            <w:noWrap/>
            <w:vAlign w:val="center"/>
            <w:hideMark/>
          </w:tcPr>
          <w:p w14:paraId="3F1B763D" w14:textId="77777777" w:rsidR="00490837" w:rsidRPr="00490837" w:rsidRDefault="00490837" w:rsidP="00490837">
            <w:pPr>
              <w:spacing w:before="0" w:line="240" w:lineRule="auto"/>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Total revenue</w:t>
            </w:r>
          </w:p>
        </w:tc>
        <w:tc>
          <w:tcPr>
            <w:tcW w:w="733" w:type="dxa"/>
            <w:gridSpan w:val="3"/>
            <w:tcBorders>
              <w:top w:val="nil"/>
              <w:left w:val="nil"/>
              <w:bottom w:val="nil"/>
              <w:right w:val="nil"/>
            </w:tcBorders>
            <w:shd w:val="clear" w:color="auto" w:fill="auto"/>
            <w:noWrap/>
            <w:vAlign w:val="center"/>
            <w:hideMark/>
          </w:tcPr>
          <w:p w14:paraId="1B93D6AF"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140,149</w:t>
            </w:r>
          </w:p>
        </w:tc>
        <w:tc>
          <w:tcPr>
            <w:tcW w:w="566" w:type="dxa"/>
            <w:gridSpan w:val="2"/>
            <w:tcBorders>
              <w:top w:val="nil"/>
              <w:left w:val="nil"/>
              <w:bottom w:val="nil"/>
              <w:right w:val="nil"/>
            </w:tcBorders>
            <w:shd w:val="clear" w:color="auto" w:fill="auto"/>
            <w:noWrap/>
            <w:vAlign w:val="center"/>
            <w:hideMark/>
          </w:tcPr>
          <w:p w14:paraId="119FA6DB"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733" w:type="dxa"/>
            <w:gridSpan w:val="2"/>
            <w:tcBorders>
              <w:top w:val="nil"/>
              <w:left w:val="nil"/>
              <w:bottom w:val="nil"/>
              <w:right w:val="nil"/>
            </w:tcBorders>
            <w:shd w:val="clear" w:color="auto" w:fill="auto"/>
            <w:noWrap/>
            <w:vAlign w:val="center"/>
            <w:hideMark/>
          </w:tcPr>
          <w:p w14:paraId="34D0EAA3"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2,792,639</w:t>
            </w:r>
          </w:p>
        </w:tc>
        <w:tc>
          <w:tcPr>
            <w:tcW w:w="544" w:type="dxa"/>
            <w:gridSpan w:val="2"/>
            <w:tcBorders>
              <w:top w:val="nil"/>
              <w:left w:val="nil"/>
              <w:bottom w:val="nil"/>
              <w:right w:val="nil"/>
            </w:tcBorders>
            <w:shd w:val="clear" w:color="auto" w:fill="auto"/>
            <w:noWrap/>
            <w:vAlign w:val="center"/>
            <w:hideMark/>
          </w:tcPr>
          <w:p w14:paraId="4DC64934"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700" w:type="dxa"/>
            <w:gridSpan w:val="2"/>
            <w:tcBorders>
              <w:top w:val="nil"/>
              <w:left w:val="nil"/>
              <w:bottom w:val="nil"/>
              <w:right w:val="nil"/>
            </w:tcBorders>
            <w:shd w:val="clear" w:color="auto" w:fill="auto"/>
            <w:noWrap/>
            <w:vAlign w:val="center"/>
            <w:hideMark/>
          </w:tcPr>
          <w:p w14:paraId="4AF32F80"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289,072</w:t>
            </w:r>
          </w:p>
        </w:tc>
        <w:tc>
          <w:tcPr>
            <w:tcW w:w="542" w:type="dxa"/>
            <w:gridSpan w:val="3"/>
            <w:tcBorders>
              <w:top w:val="nil"/>
              <w:left w:val="nil"/>
              <w:bottom w:val="nil"/>
              <w:right w:val="nil"/>
            </w:tcBorders>
            <w:shd w:val="clear" w:color="auto" w:fill="auto"/>
            <w:noWrap/>
            <w:vAlign w:val="center"/>
            <w:hideMark/>
          </w:tcPr>
          <w:p w14:paraId="6E7212A5"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706" w:type="dxa"/>
            <w:gridSpan w:val="2"/>
            <w:tcBorders>
              <w:top w:val="nil"/>
              <w:left w:val="nil"/>
              <w:bottom w:val="nil"/>
              <w:right w:val="nil"/>
            </w:tcBorders>
            <w:shd w:val="clear" w:color="auto" w:fill="auto"/>
            <w:noWrap/>
            <w:vAlign w:val="center"/>
            <w:hideMark/>
          </w:tcPr>
          <w:p w14:paraId="29423948"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279,436</w:t>
            </w:r>
          </w:p>
        </w:tc>
        <w:tc>
          <w:tcPr>
            <w:tcW w:w="550" w:type="dxa"/>
            <w:gridSpan w:val="2"/>
            <w:tcBorders>
              <w:top w:val="nil"/>
              <w:left w:val="nil"/>
              <w:bottom w:val="nil"/>
              <w:right w:val="nil"/>
            </w:tcBorders>
            <w:shd w:val="clear" w:color="auto" w:fill="auto"/>
            <w:noWrap/>
            <w:vAlign w:val="center"/>
            <w:hideMark/>
          </w:tcPr>
          <w:p w14:paraId="6C9C4403"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695" w:type="dxa"/>
            <w:gridSpan w:val="2"/>
            <w:tcBorders>
              <w:top w:val="nil"/>
              <w:left w:val="nil"/>
              <w:bottom w:val="nil"/>
              <w:right w:val="nil"/>
            </w:tcBorders>
            <w:shd w:val="clear" w:color="auto" w:fill="auto"/>
            <w:noWrap/>
            <w:vAlign w:val="center"/>
            <w:hideMark/>
          </w:tcPr>
          <w:p w14:paraId="41EA2485"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3,288,769</w:t>
            </w:r>
          </w:p>
        </w:tc>
        <w:tc>
          <w:tcPr>
            <w:tcW w:w="553" w:type="dxa"/>
            <w:gridSpan w:val="2"/>
            <w:tcBorders>
              <w:top w:val="nil"/>
              <w:left w:val="nil"/>
              <w:bottom w:val="nil"/>
              <w:right w:val="nil"/>
            </w:tcBorders>
            <w:shd w:val="clear" w:color="auto" w:fill="auto"/>
            <w:noWrap/>
            <w:vAlign w:val="center"/>
            <w:hideMark/>
          </w:tcPr>
          <w:p w14:paraId="4E87DEDA"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742" w:type="dxa"/>
            <w:gridSpan w:val="2"/>
            <w:tcBorders>
              <w:top w:val="nil"/>
              <w:left w:val="nil"/>
              <w:bottom w:val="nil"/>
              <w:right w:val="nil"/>
            </w:tcBorders>
            <w:shd w:val="clear" w:color="auto" w:fill="auto"/>
            <w:noWrap/>
            <w:vAlign w:val="center"/>
            <w:hideMark/>
          </w:tcPr>
          <w:p w14:paraId="4D7D378C"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747,043</w:t>
            </w:r>
          </w:p>
        </w:tc>
        <w:tc>
          <w:tcPr>
            <w:tcW w:w="548" w:type="dxa"/>
            <w:gridSpan w:val="2"/>
            <w:tcBorders>
              <w:top w:val="nil"/>
              <w:left w:val="nil"/>
              <w:bottom w:val="nil"/>
              <w:right w:val="nil"/>
            </w:tcBorders>
            <w:shd w:val="clear" w:color="auto" w:fill="auto"/>
            <w:noWrap/>
            <w:vAlign w:val="center"/>
            <w:hideMark/>
          </w:tcPr>
          <w:p w14:paraId="57C8D458"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703" w:type="dxa"/>
            <w:gridSpan w:val="2"/>
            <w:tcBorders>
              <w:top w:val="nil"/>
              <w:left w:val="nil"/>
              <w:bottom w:val="nil"/>
              <w:right w:val="nil"/>
            </w:tcBorders>
            <w:shd w:val="clear" w:color="auto" w:fill="auto"/>
            <w:noWrap/>
            <w:vAlign w:val="center"/>
            <w:hideMark/>
          </w:tcPr>
          <w:p w14:paraId="4E870FAE"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-755,774</w:t>
            </w:r>
          </w:p>
        </w:tc>
        <w:tc>
          <w:tcPr>
            <w:tcW w:w="706" w:type="dxa"/>
            <w:tcBorders>
              <w:top w:val="nil"/>
              <w:left w:val="nil"/>
              <w:bottom w:val="nil"/>
              <w:right w:val="nil"/>
            </w:tcBorders>
            <w:shd w:val="clear" w:color="auto" w:fill="auto"/>
            <w:noWrap/>
            <w:vAlign w:val="center"/>
            <w:hideMark/>
          </w:tcPr>
          <w:p w14:paraId="2E716CA4"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649" w:type="dxa"/>
            <w:tcBorders>
              <w:top w:val="single" w:sz="8" w:space="0" w:color="auto"/>
              <w:left w:val="nil"/>
              <w:bottom w:val="nil"/>
              <w:right w:val="nil"/>
            </w:tcBorders>
            <w:shd w:val="clear" w:color="auto" w:fill="auto"/>
            <w:noWrap/>
            <w:vAlign w:val="center"/>
            <w:hideMark/>
          </w:tcPr>
          <w:p w14:paraId="50618EAB"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6,781,334</w:t>
            </w:r>
          </w:p>
        </w:tc>
      </w:tr>
      <w:tr w:rsidR="00490837" w:rsidRPr="00490837" w14:paraId="75184FB3" w14:textId="77777777" w:rsidTr="00490837">
        <w:trPr>
          <w:trHeight w:val="273"/>
        </w:trPr>
        <w:tc>
          <w:tcPr>
            <w:tcW w:w="186" w:type="dxa"/>
            <w:tcBorders>
              <w:top w:val="nil"/>
              <w:left w:val="nil"/>
              <w:bottom w:val="nil"/>
              <w:right w:val="nil"/>
            </w:tcBorders>
            <w:shd w:val="clear" w:color="auto" w:fill="auto"/>
            <w:noWrap/>
            <w:vAlign w:val="center"/>
            <w:hideMark/>
          </w:tcPr>
          <w:p w14:paraId="4239E5EB"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2658" w:type="dxa"/>
            <w:gridSpan w:val="3"/>
            <w:tcBorders>
              <w:top w:val="nil"/>
              <w:left w:val="nil"/>
              <w:bottom w:val="nil"/>
              <w:right w:val="nil"/>
            </w:tcBorders>
            <w:shd w:val="clear" w:color="auto" w:fill="auto"/>
            <w:noWrap/>
            <w:vAlign w:val="center"/>
            <w:hideMark/>
          </w:tcPr>
          <w:p w14:paraId="42364A4D"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33" w:type="dxa"/>
            <w:gridSpan w:val="3"/>
            <w:tcBorders>
              <w:top w:val="nil"/>
              <w:left w:val="nil"/>
              <w:bottom w:val="nil"/>
              <w:right w:val="nil"/>
            </w:tcBorders>
            <w:shd w:val="clear" w:color="auto" w:fill="auto"/>
            <w:noWrap/>
            <w:vAlign w:val="center"/>
            <w:hideMark/>
          </w:tcPr>
          <w:p w14:paraId="37CD5553"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66" w:type="dxa"/>
            <w:gridSpan w:val="2"/>
            <w:tcBorders>
              <w:top w:val="nil"/>
              <w:left w:val="nil"/>
              <w:bottom w:val="nil"/>
              <w:right w:val="nil"/>
            </w:tcBorders>
            <w:shd w:val="clear" w:color="auto" w:fill="auto"/>
            <w:noWrap/>
            <w:vAlign w:val="center"/>
            <w:hideMark/>
          </w:tcPr>
          <w:p w14:paraId="5B4F1376"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33" w:type="dxa"/>
            <w:gridSpan w:val="2"/>
            <w:tcBorders>
              <w:top w:val="nil"/>
              <w:left w:val="nil"/>
              <w:bottom w:val="nil"/>
              <w:right w:val="nil"/>
            </w:tcBorders>
            <w:shd w:val="clear" w:color="auto" w:fill="auto"/>
            <w:noWrap/>
            <w:vAlign w:val="center"/>
            <w:hideMark/>
          </w:tcPr>
          <w:p w14:paraId="03AA8C8F"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44" w:type="dxa"/>
            <w:gridSpan w:val="2"/>
            <w:tcBorders>
              <w:top w:val="nil"/>
              <w:left w:val="nil"/>
              <w:bottom w:val="nil"/>
              <w:right w:val="nil"/>
            </w:tcBorders>
            <w:shd w:val="clear" w:color="auto" w:fill="auto"/>
            <w:noWrap/>
            <w:vAlign w:val="center"/>
            <w:hideMark/>
          </w:tcPr>
          <w:p w14:paraId="40DEF2A3"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0" w:type="dxa"/>
            <w:gridSpan w:val="2"/>
            <w:tcBorders>
              <w:top w:val="nil"/>
              <w:left w:val="nil"/>
              <w:bottom w:val="nil"/>
              <w:right w:val="nil"/>
            </w:tcBorders>
            <w:shd w:val="clear" w:color="auto" w:fill="auto"/>
            <w:noWrap/>
            <w:vAlign w:val="center"/>
            <w:hideMark/>
          </w:tcPr>
          <w:p w14:paraId="440F22E4"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42" w:type="dxa"/>
            <w:gridSpan w:val="3"/>
            <w:tcBorders>
              <w:top w:val="nil"/>
              <w:left w:val="nil"/>
              <w:bottom w:val="nil"/>
              <w:right w:val="nil"/>
            </w:tcBorders>
            <w:shd w:val="clear" w:color="auto" w:fill="auto"/>
            <w:noWrap/>
            <w:vAlign w:val="center"/>
            <w:hideMark/>
          </w:tcPr>
          <w:p w14:paraId="13BA7034"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6" w:type="dxa"/>
            <w:gridSpan w:val="2"/>
            <w:tcBorders>
              <w:top w:val="nil"/>
              <w:left w:val="nil"/>
              <w:bottom w:val="nil"/>
              <w:right w:val="nil"/>
            </w:tcBorders>
            <w:shd w:val="clear" w:color="auto" w:fill="auto"/>
            <w:noWrap/>
            <w:vAlign w:val="center"/>
            <w:hideMark/>
          </w:tcPr>
          <w:p w14:paraId="726F3987"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50" w:type="dxa"/>
            <w:gridSpan w:val="2"/>
            <w:tcBorders>
              <w:top w:val="nil"/>
              <w:left w:val="nil"/>
              <w:bottom w:val="nil"/>
              <w:right w:val="nil"/>
            </w:tcBorders>
            <w:shd w:val="clear" w:color="auto" w:fill="auto"/>
            <w:noWrap/>
            <w:vAlign w:val="center"/>
            <w:hideMark/>
          </w:tcPr>
          <w:p w14:paraId="2FFEEA8D"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695" w:type="dxa"/>
            <w:gridSpan w:val="2"/>
            <w:tcBorders>
              <w:top w:val="nil"/>
              <w:left w:val="nil"/>
              <w:bottom w:val="nil"/>
              <w:right w:val="nil"/>
            </w:tcBorders>
            <w:shd w:val="clear" w:color="auto" w:fill="auto"/>
            <w:noWrap/>
            <w:vAlign w:val="center"/>
            <w:hideMark/>
          </w:tcPr>
          <w:p w14:paraId="6178FC76"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53" w:type="dxa"/>
            <w:gridSpan w:val="2"/>
            <w:tcBorders>
              <w:top w:val="nil"/>
              <w:left w:val="nil"/>
              <w:bottom w:val="nil"/>
              <w:right w:val="nil"/>
            </w:tcBorders>
            <w:shd w:val="clear" w:color="auto" w:fill="auto"/>
            <w:noWrap/>
            <w:vAlign w:val="center"/>
            <w:hideMark/>
          </w:tcPr>
          <w:p w14:paraId="797A2184"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42" w:type="dxa"/>
            <w:gridSpan w:val="2"/>
            <w:tcBorders>
              <w:top w:val="nil"/>
              <w:left w:val="nil"/>
              <w:bottom w:val="nil"/>
              <w:right w:val="nil"/>
            </w:tcBorders>
            <w:shd w:val="clear" w:color="auto" w:fill="auto"/>
            <w:noWrap/>
            <w:vAlign w:val="center"/>
            <w:hideMark/>
          </w:tcPr>
          <w:p w14:paraId="5D64BF4F"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48" w:type="dxa"/>
            <w:gridSpan w:val="2"/>
            <w:tcBorders>
              <w:top w:val="nil"/>
              <w:left w:val="nil"/>
              <w:bottom w:val="nil"/>
              <w:right w:val="nil"/>
            </w:tcBorders>
            <w:shd w:val="clear" w:color="auto" w:fill="auto"/>
            <w:noWrap/>
            <w:vAlign w:val="center"/>
            <w:hideMark/>
          </w:tcPr>
          <w:p w14:paraId="7D0C2B5D"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3" w:type="dxa"/>
            <w:gridSpan w:val="2"/>
            <w:tcBorders>
              <w:top w:val="nil"/>
              <w:left w:val="nil"/>
              <w:bottom w:val="nil"/>
              <w:right w:val="nil"/>
            </w:tcBorders>
            <w:shd w:val="clear" w:color="auto" w:fill="auto"/>
            <w:noWrap/>
            <w:vAlign w:val="center"/>
            <w:hideMark/>
          </w:tcPr>
          <w:p w14:paraId="56E87DAE"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6" w:type="dxa"/>
            <w:tcBorders>
              <w:top w:val="nil"/>
              <w:left w:val="nil"/>
              <w:bottom w:val="nil"/>
              <w:right w:val="nil"/>
            </w:tcBorders>
            <w:shd w:val="clear" w:color="auto" w:fill="auto"/>
            <w:noWrap/>
            <w:vAlign w:val="center"/>
            <w:hideMark/>
          </w:tcPr>
          <w:p w14:paraId="302A4F75"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649" w:type="dxa"/>
            <w:tcBorders>
              <w:top w:val="nil"/>
              <w:left w:val="nil"/>
              <w:bottom w:val="nil"/>
              <w:right w:val="nil"/>
            </w:tcBorders>
            <w:shd w:val="clear" w:color="auto" w:fill="auto"/>
            <w:noWrap/>
            <w:vAlign w:val="center"/>
            <w:hideMark/>
          </w:tcPr>
          <w:p w14:paraId="62370DC6" w14:textId="77777777" w:rsidR="00490837" w:rsidRPr="00490837" w:rsidRDefault="00490837" w:rsidP="00490837">
            <w:pPr>
              <w:spacing w:before="0" w:line="240" w:lineRule="auto"/>
              <w:rPr>
                <w:rFonts w:eastAsia="Times New Roman" w:cs="Times New Roman"/>
                <w:color w:val="auto"/>
                <w:sz w:val="20"/>
                <w:szCs w:val="20"/>
                <w:lang w:eastAsia="en-AU"/>
              </w:rPr>
            </w:pPr>
          </w:p>
        </w:tc>
      </w:tr>
      <w:tr w:rsidR="00490837" w:rsidRPr="00490837" w14:paraId="001E23D0" w14:textId="77777777" w:rsidTr="00490837">
        <w:trPr>
          <w:trHeight w:val="283"/>
        </w:trPr>
        <w:tc>
          <w:tcPr>
            <w:tcW w:w="186" w:type="dxa"/>
            <w:tcBorders>
              <w:top w:val="nil"/>
              <w:left w:val="nil"/>
              <w:bottom w:val="single" w:sz="8" w:space="0" w:color="auto"/>
              <w:right w:val="nil"/>
            </w:tcBorders>
            <w:shd w:val="clear" w:color="auto" w:fill="auto"/>
            <w:noWrap/>
            <w:vAlign w:val="center"/>
            <w:hideMark/>
          </w:tcPr>
          <w:p w14:paraId="40B68003" w14:textId="77777777" w:rsidR="00490837" w:rsidRPr="00490837" w:rsidRDefault="00490837" w:rsidP="00490837">
            <w:pPr>
              <w:spacing w:before="0" w:line="240" w:lineRule="auto"/>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2658" w:type="dxa"/>
            <w:gridSpan w:val="3"/>
            <w:tcBorders>
              <w:top w:val="nil"/>
              <w:left w:val="nil"/>
              <w:bottom w:val="nil"/>
              <w:right w:val="nil"/>
            </w:tcBorders>
            <w:shd w:val="clear" w:color="auto" w:fill="auto"/>
            <w:noWrap/>
            <w:vAlign w:val="center"/>
            <w:hideMark/>
          </w:tcPr>
          <w:p w14:paraId="3459C1D7" w14:textId="77777777" w:rsidR="00490837" w:rsidRPr="00490837" w:rsidRDefault="00490837" w:rsidP="00490837">
            <w:pPr>
              <w:spacing w:before="0" w:line="240" w:lineRule="auto"/>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Gains on disposal of assets</w:t>
            </w:r>
          </w:p>
        </w:tc>
        <w:tc>
          <w:tcPr>
            <w:tcW w:w="733" w:type="dxa"/>
            <w:gridSpan w:val="3"/>
            <w:tcBorders>
              <w:top w:val="nil"/>
              <w:left w:val="nil"/>
              <w:bottom w:val="single" w:sz="8" w:space="0" w:color="auto"/>
              <w:right w:val="nil"/>
            </w:tcBorders>
            <w:shd w:val="clear" w:color="auto" w:fill="auto"/>
            <w:noWrap/>
            <w:vAlign w:val="center"/>
            <w:hideMark/>
          </w:tcPr>
          <w:p w14:paraId="726E2B45"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1,827</w:t>
            </w:r>
          </w:p>
        </w:tc>
        <w:tc>
          <w:tcPr>
            <w:tcW w:w="566" w:type="dxa"/>
            <w:gridSpan w:val="2"/>
            <w:tcBorders>
              <w:top w:val="nil"/>
              <w:left w:val="nil"/>
              <w:bottom w:val="single" w:sz="8" w:space="0" w:color="auto"/>
              <w:right w:val="nil"/>
            </w:tcBorders>
            <w:shd w:val="clear" w:color="auto" w:fill="auto"/>
            <w:noWrap/>
            <w:vAlign w:val="center"/>
            <w:hideMark/>
          </w:tcPr>
          <w:p w14:paraId="077EF1ED"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733" w:type="dxa"/>
            <w:gridSpan w:val="2"/>
            <w:tcBorders>
              <w:top w:val="nil"/>
              <w:left w:val="nil"/>
              <w:bottom w:val="single" w:sz="8" w:space="0" w:color="auto"/>
              <w:right w:val="nil"/>
            </w:tcBorders>
            <w:shd w:val="clear" w:color="auto" w:fill="auto"/>
            <w:noWrap/>
            <w:vAlign w:val="center"/>
            <w:hideMark/>
          </w:tcPr>
          <w:p w14:paraId="2C13CE51"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24</w:t>
            </w:r>
          </w:p>
        </w:tc>
        <w:tc>
          <w:tcPr>
            <w:tcW w:w="544" w:type="dxa"/>
            <w:gridSpan w:val="2"/>
            <w:tcBorders>
              <w:top w:val="nil"/>
              <w:left w:val="nil"/>
              <w:bottom w:val="single" w:sz="8" w:space="0" w:color="auto"/>
              <w:right w:val="nil"/>
            </w:tcBorders>
            <w:shd w:val="clear" w:color="auto" w:fill="auto"/>
            <w:noWrap/>
            <w:vAlign w:val="center"/>
            <w:hideMark/>
          </w:tcPr>
          <w:p w14:paraId="0EDEBC44"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700" w:type="dxa"/>
            <w:gridSpan w:val="2"/>
            <w:tcBorders>
              <w:top w:val="nil"/>
              <w:left w:val="nil"/>
              <w:bottom w:val="single" w:sz="8" w:space="0" w:color="auto"/>
              <w:right w:val="nil"/>
            </w:tcBorders>
            <w:shd w:val="clear" w:color="auto" w:fill="auto"/>
            <w:noWrap/>
            <w:vAlign w:val="center"/>
            <w:hideMark/>
          </w:tcPr>
          <w:p w14:paraId="11E93115"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192</w:t>
            </w:r>
          </w:p>
        </w:tc>
        <w:tc>
          <w:tcPr>
            <w:tcW w:w="542" w:type="dxa"/>
            <w:gridSpan w:val="3"/>
            <w:tcBorders>
              <w:top w:val="nil"/>
              <w:left w:val="nil"/>
              <w:bottom w:val="single" w:sz="8" w:space="0" w:color="auto"/>
              <w:right w:val="nil"/>
            </w:tcBorders>
            <w:shd w:val="clear" w:color="auto" w:fill="auto"/>
            <w:noWrap/>
            <w:vAlign w:val="center"/>
            <w:hideMark/>
          </w:tcPr>
          <w:p w14:paraId="3A0CA4D5"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706" w:type="dxa"/>
            <w:gridSpan w:val="2"/>
            <w:tcBorders>
              <w:top w:val="nil"/>
              <w:left w:val="nil"/>
              <w:bottom w:val="single" w:sz="8" w:space="0" w:color="auto"/>
              <w:right w:val="nil"/>
            </w:tcBorders>
            <w:shd w:val="clear" w:color="auto" w:fill="auto"/>
            <w:noWrap/>
            <w:vAlign w:val="center"/>
            <w:hideMark/>
          </w:tcPr>
          <w:p w14:paraId="121C4DAF"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67</w:t>
            </w:r>
          </w:p>
        </w:tc>
        <w:tc>
          <w:tcPr>
            <w:tcW w:w="550" w:type="dxa"/>
            <w:gridSpan w:val="2"/>
            <w:tcBorders>
              <w:top w:val="nil"/>
              <w:left w:val="nil"/>
              <w:bottom w:val="single" w:sz="8" w:space="0" w:color="auto"/>
              <w:right w:val="nil"/>
            </w:tcBorders>
            <w:shd w:val="clear" w:color="auto" w:fill="auto"/>
            <w:noWrap/>
            <w:vAlign w:val="center"/>
            <w:hideMark/>
          </w:tcPr>
          <w:p w14:paraId="62DCDEEE"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695" w:type="dxa"/>
            <w:gridSpan w:val="2"/>
            <w:tcBorders>
              <w:top w:val="nil"/>
              <w:left w:val="nil"/>
              <w:bottom w:val="single" w:sz="8" w:space="0" w:color="auto"/>
              <w:right w:val="nil"/>
            </w:tcBorders>
            <w:shd w:val="clear" w:color="auto" w:fill="auto"/>
            <w:noWrap/>
            <w:vAlign w:val="center"/>
            <w:hideMark/>
          </w:tcPr>
          <w:p w14:paraId="4E613EAE"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4</w:t>
            </w:r>
          </w:p>
        </w:tc>
        <w:tc>
          <w:tcPr>
            <w:tcW w:w="553" w:type="dxa"/>
            <w:gridSpan w:val="2"/>
            <w:tcBorders>
              <w:top w:val="nil"/>
              <w:left w:val="nil"/>
              <w:bottom w:val="single" w:sz="8" w:space="0" w:color="auto"/>
              <w:right w:val="nil"/>
            </w:tcBorders>
            <w:shd w:val="clear" w:color="auto" w:fill="auto"/>
            <w:noWrap/>
            <w:vAlign w:val="center"/>
            <w:hideMark/>
          </w:tcPr>
          <w:p w14:paraId="03AE7A79"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742" w:type="dxa"/>
            <w:gridSpan w:val="2"/>
            <w:tcBorders>
              <w:top w:val="nil"/>
              <w:left w:val="nil"/>
              <w:bottom w:val="single" w:sz="8" w:space="0" w:color="auto"/>
              <w:right w:val="nil"/>
            </w:tcBorders>
            <w:shd w:val="clear" w:color="auto" w:fill="auto"/>
            <w:noWrap/>
            <w:vAlign w:val="center"/>
            <w:hideMark/>
          </w:tcPr>
          <w:p w14:paraId="579D1E97"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1,959</w:t>
            </w:r>
          </w:p>
        </w:tc>
        <w:tc>
          <w:tcPr>
            <w:tcW w:w="548" w:type="dxa"/>
            <w:gridSpan w:val="2"/>
            <w:tcBorders>
              <w:top w:val="nil"/>
              <w:left w:val="nil"/>
              <w:bottom w:val="single" w:sz="8" w:space="0" w:color="auto"/>
              <w:right w:val="nil"/>
            </w:tcBorders>
            <w:shd w:val="clear" w:color="auto" w:fill="auto"/>
            <w:noWrap/>
            <w:vAlign w:val="center"/>
            <w:hideMark/>
          </w:tcPr>
          <w:p w14:paraId="41AB6E42"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703" w:type="dxa"/>
            <w:gridSpan w:val="2"/>
            <w:tcBorders>
              <w:top w:val="nil"/>
              <w:left w:val="nil"/>
              <w:bottom w:val="single" w:sz="8" w:space="0" w:color="auto"/>
              <w:right w:val="nil"/>
            </w:tcBorders>
            <w:shd w:val="clear" w:color="auto" w:fill="auto"/>
            <w:noWrap/>
            <w:vAlign w:val="center"/>
            <w:hideMark/>
          </w:tcPr>
          <w:p w14:paraId="68B1A6ED"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xml:space="preserve">- </w:t>
            </w:r>
          </w:p>
        </w:tc>
        <w:tc>
          <w:tcPr>
            <w:tcW w:w="706" w:type="dxa"/>
            <w:tcBorders>
              <w:top w:val="nil"/>
              <w:left w:val="nil"/>
              <w:bottom w:val="single" w:sz="8" w:space="0" w:color="auto"/>
              <w:right w:val="nil"/>
            </w:tcBorders>
            <w:shd w:val="clear" w:color="auto" w:fill="auto"/>
            <w:noWrap/>
            <w:vAlign w:val="center"/>
            <w:hideMark/>
          </w:tcPr>
          <w:p w14:paraId="025DC0D9"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649" w:type="dxa"/>
            <w:tcBorders>
              <w:top w:val="nil"/>
              <w:left w:val="nil"/>
              <w:bottom w:val="single" w:sz="8" w:space="0" w:color="auto"/>
              <w:right w:val="nil"/>
            </w:tcBorders>
            <w:shd w:val="clear" w:color="auto" w:fill="auto"/>
            <w:noWrap/>
            <w:vAlign w:val="center"/>
            <w:hideMark/>
          </w:tcPr>
          <w:p w14:paraId="61BBE3C7"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4,073</w:t>
            </w:r>
          </w:p>
        </w:tc>
      </w:tr>
      <w:tr w:rsidR="00490837" w:rsidRPr="00490837" w14:paraId="2FC01042" w14:textId="77777777" w:rsidTr="00490837">
        <w:trPr>
          <w:trHeight w:hRule="exact" w:val="396"/>
        </w:trPr>
        <w:tc>
          <w:tcPr>
            <w:tcW w:w="186" w:type="dxa"/>
            <w:tcBorders>
              <w:top w:val="nil"/>
              <w:left w:val="nil"/>
              <w:bottom w:val="nil"/>
              <w:right w:val="nil"/>
            </w:tcBorders>
            <w:shd w:val="clear" w:color="auto" w:fill="auto"/>
            <w:noWrap/>
            <w:vAlign w:val="center"/>
            <w:hideMark/>
          </w:tcPr>
          <w:p w14:paraId="1F5096DD"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2658" w:type="dxa"/>
            <w:gridSpan w:val="3"/>
            <w:tcBorders>
              <w:top w:val="single" w:sz="8" w:space="0" w:color="auto"/>
              <w:left w:val="nil"/>
              <w:bottom w:val="nil"/>
              <w:right w:val="nil"/>
            </w:tcBorders>
            <w:shd w:val="clear" w:color="auto" w:fill="auto"/>
            <w:vAlign w:val="center"/>
            <w:hideMark/>
          </w:tcPr>
          <w:p w14:paraId="71B86DE1" w14:textId="77777777" w:rsidR="00490837" w:rsidRPr="00490837" w:rsidRDefault="00490837" w:rsidP="00490837">
            <w:pPr>
              <w:spacing w:before="0" w:line="240" w:lineRule="auto"/>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Total income</w:t>
            </w:r>
          </w:p>
        </w:tc>
        <w:tc>
          <w:tcPr>
            <w:tcW w:w="733" w:type="dxa"/>
            <w:gridSpan w:val="3"/>
            <w:tcBorders>
              <w:top w:val="nil"/>
              <w:left w:val="nil"/>
              <w:bottom w:val="nil"/>
              <w:right w:val="nil"/>
            </w:tcBorders>
            <w:shd w:val="clear" w:color="auto" w:fill="auto"/>
            <w:noWrap/>
            <w:vAlign w:val="center"/>
            <w:hideMark/>
          </w:tcPr>
          <w:p w14:paraId="4B5C57E9"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141,976</w:t>
            </w:r>
          </w:p>
        </w:tc>
        <w:tc>
          <w:tcPr>
            <w:tcW w:w="566" w:type="dxa"/>
            <w:gridSpan w:val="2"/>
            <w:tcBorders>
              <w:top w:val="nil"/>
              <w:left w:val="nil"/>
              <w:bottom w:val="nil"/>
              <w:right w:val="nil"/>
            </w:tcBorders>
            <w:shd w:val="clear" w:color="auto" w:fill="auto"/>
            <w:noWrap/>
            <w:vAlign w:val="center"/>
            <w:hideMark/>
          </w:tcPr>
          <w:p w14:paraId="30A55332"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733" w:type="dxa"/>
            <w:gridSpan w:val="2"/>
            <w:tcBorders>
              <w:top w:val="nil"/>
              <w:left w:val="nil"/>
              <w:bottom w:val="nil"/>
              <w:right w:val="nil"/>
            </w:tcBorders>
            <w:shd w:val="clear" w:color="auto" w:fill="auto"/>
            <w:noWrap/>
            <w:vAlign w:val="center"/>
            <w:hideMark/>
          </w:tcPr>
          <w:p w14:paraId="51757EED"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2,792,663</w:t>
            </w:r>
          </w:p>
        </w:tc>
        <w:tc>
          <w:tcPr>
            <w:tcW w:w="544" w:type="dxa"/>
            <w:gridSpan w:val="2"/>
            <w:tcBorders>
              <w:top w:val="nil"/>
              <w:left w:val="nil"/>
              <w:bottom w:val="nil"/>
              <w:right w:val="nil"/>
            </w:tcBorders>
            <w:shd w:val="clear" w:color="auto" w:fill="auto"/>
            <w:noWrap/>
            <w:vAlign w:val="center"/>
            <w:hideMark/>
          </w:tcPr>
          <w:p w14:paraId="23933B2B"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700" w:type="dxa"/>
            <w:gridSpan w:val="2"/>
            <w:tcBorders>
              <w:top w:val="nil"/>
              <w:left w:val="nil"/>
              <w:bottom w:val="nil"/>
              <w:right w:val="nil"/>
            </w:tcBorders>
            <w:shd w:val="clear" w:color="auto" w:fill="auto"/>
            <w:noWrap/>
            <w:vAlign w:val="center"/>
            <w:hideMark/>
          </w:tcPr>
          <w:p w14:paraId="625197C4"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289,264</w:t>
            </w:r>
          </w:p>
        </w:tc>
        <w:tc>
          <w:tcPr>
            <w:tcW w:w="542" w:type="dxa"/>
            <w:gridSpan w:val="3"/>
            <w:tcBorders>
              <w:top w:val="nil"/>
              <w:left w:val="nil"/>
              <w:bottom w:val="nil"/>
              <w:right w:val="nil"/>
            </w:tcBorders>
            <w:shd w:val="clear" w:color="auto" w:fill="auto"/>
            <w:noWrap/>
            <w:vAlign w:val="center"/>
            <w:hideMark/>
          </w:tcPr>
          <w:p w14:paraId="6F382E6A"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706" w:type="dxa"/>
            <w:gridSpan w:val="2"/>
            <w:tcBorders>
              <w:top w:val="nil"/>
              <w:left w:val="nil"/>
              <w:bottom w:val="nil"/>
              <w:right w:val="nil"/>
            </w:tcBorders>
            <w:shd w:val="clear" w:color="auto" w:fill="auto"/>
            <w:noWrap/>
            <w:vAlign w:val="center"/>
            <w:hideMark/>
          </w:tcPr>
          <w:p w14:paraId="59598E25"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279,503</w:t>
            </w:r>
          </w:p>
        </w:tc>
        <w:tc>
          <w:tcPr>
            <w:tcW w:w="550" w:type="dxa"/>
            <w:gridSpan w:val="2"/>
            <w:tcBorders>
              <w:top w:val="nil"/>
              <w:left w:val="nil"/>
              <w:bottom w:val="nil"/>
              <w:right w:val="nil"/>
            </w:tcBorders>
            <w:shd w:val="clear" w:color="auto" w:fill="auto"/>
            <w:noWrap/>
            <w:vAlign w:val="center"/>
            <w:hideMark/>
          </w:tcPr>
          <w:p w14:paraId="5BAF022C"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695" w:type="dxa"/>
            <w:gridSpan w:val="2"/>
            <w:tcBorders>
              <w:top w:val="nil"/>
              <w:left w:val="nil"/>
              <w:bottom w:val="nil"/>
              <w:right w:val="nil"/>
            </w:tcBorders>
            <w:shd w:val="clear" w:color="auto" w:fill="auto"/>
            <w:noWrap/>
            <w:vAlign w:val="center"/>
            <w:hideMark/>
          </w:tcPr>
          <w:p w14:paraId="63F33EEE"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3,288,773</w:t>
            </w:r>
          </w:p>
        </w:tc>
        <w:tc>
          <w:tcPr>
            <w:tcW w:w="553" w:type="dxa"/>
            <w:gridSpan w:val="2"/>
            <w:tcBorders>
              <w:top w:val="nil"/>
              <w:left w:val="nil"/>
              <w:bottom w:val="nil"/>
              <w:right w:val="nil"/>
            </w:tcBorders>
            <w:shd w:val="clear" w:color="auto" w:fill="auto"/>
            <w:noWrap/>
            <w:vAlign w:val="center"/>
            <w:hideMark/>
          </w:tcPr>
          <w:p w14:paraId="05C20E5A"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742" w:type="dxa"/>
            <w:gridSpan w:val="2"/>
            <w:tcBorders>
              <w:top w:val="nil"/>
              <w:left w:val="nil"/>
              <w:bottom w:val="nil"/>
              <w:right w:val="nil"/>
            </w:tcBorders>
            <w:shd w:val="clear" w:color="auto" w:fill="auto"/>
            <w:noWrap/>
            <w:vAlign w:val="center"/>
            <w:hideMark/>
          </w:tcPr>
          <w:p w14:paraId="00AD36AA"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749,002</w:t>
            </w:r>
          </w:p>
        </w:tc>
        <w:tc>
          <w:tcPr>
            <w:tcW w:w="548" w:type="dxa"/>
            <w:gridSpan w:val="2"/>
            <w:tcBorders>
              <w:top w:val="nil"/>
              <w:left w:val="nil"/>
              <w:bottom w:val="nil"/>
              <w:right w:val="nil"/>
            </w:tcBorders>
            <w:shd w:val="clear" w:color="auto" w:fill="auto"/>
            <w:noWrap/>
            <w:vAlign w:val="center"/>
            <w:hideMark/>
          </w:tcPr>
          <w:p w14:paraId="1016D26E"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703" w:type="dxa"/>
            <w:gridSpan w:val="2"/>
            <w:tcBorders>
              <w:top w:val="nil"/>
              <w:left w:val="nil"/>
              <w:bottom w:val="nil"/>
              <w:right w:val="nil"/>
            </w:tcBorders>
            <w:shd w:val="clear" w:color="auto" w:fill="auto"/>
            <w:noWrap/>
            <w:vAlign w:val="center"/>
            <w:hideMark/>
          </w:tcPr>
          <w:p w14:paraId="5693820E"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-755,774</w:t>
            </w:r>
          </w:p>
        </w:tc>
        <w:tc>
          <w:tcPr>
            <w:tcW w:w="706" w:type="dxa"/>
            <w:tcBorders>
              <w:top w:val="nil"/>
              <w:left w:val="nil"/>
              <w:bottom w:val="nil"/>
              <w:right w:val="nil"/>
            </w:tcBorders>
            <w:shd w:val="clear" w:color="auto" w:fill="auto"/>
            <w:noWrap/>
            <w:vAlign w:val="center"/>
            <w:hideMark/>
          </w:tcPr>
          <w:p w14:paraId="73F12BFC"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649" w:type="dxa"/>
            <w:tcBorders>
              <w:top w:val="nil"/>
              <w:left w:val="nil"/>
              <w:bottom w:val="nil"/>
              <w:right w:val="nil"/>
            </w:tcBorders>
            <w:shd w:val="clear" w:color="auto" w:fill="auto"/>
            <w:noWrap/>
            <w:vAlign w:val="center"/>
            <w:hideMark/>
          </w:tcPr>
          <w:p w14:paraId="0631636D"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6,785,407</w:t>
            </w:r>
          </w:p>
        </w:tc>
      </w:tr>
      <w:tr w:rsidR="00490837" w:rsidRPr="00490837" w14:paraId="74421B0F" w14:textId="77777777" w:rsidTr="00490837">
        <w:trPr>
          <w:trHeight w:val="273"/>
        </w:trPr>
        <w:tc>
          <w:tcPr>
            <w:tcW w:w="186" w:type="dxa"/>
            <w:tcBorders>
              <w:top w:val="nil"/>
              <w:left w:val="nil"/>
              <w:bottom w:val="nil"/>
              <w:right w:val="nil"/>
            </w:tcBorders>
            <w:shd w:val="clear" w:color="auto" w:fill="auto"/>
            <w:noWrap/>
            <w:vAlign w:val="center"/>
            <w:hideMark/>
          </w:tcPr>
          <w:p w14:paraId="763C8EA3"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2658" w:type="dxa"/>
            <w:gridSpan w:val="3"/>
            <w:tcBorders>
              <w:top w:val="nil"/>
              <w:left w:val="nil"/>
              <w:bottom w:val="nil"/>
              <w:right w:val="nil"/>
            </w:tcBorders>
            <w:shd w:val="clear" w:color="auto" w:fill="auto"/>
            <w:vAlign w:val="center"/>
            <w:hideMark/>
          </w:tcPr>
          <w:p w14:paraId="0C38FB2E"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33" w:type="dxa"/>
            <w:gridSpan w:val="3"/>
            <w:tcBorders>
              <w:top w:val="nil"/>
              <w:left w:val="nil"/>
              <w:bottom w:val="nil"/>
              <w:right w:val="nil"/>
            </w:tcBorders>
            <w:shd w:val="clear" w:color="auto" w:fill="auto"/>
            <w:noWrap/>
            <w:vAlign w:val="center"/>
            <w:hideMark/>
          </w:tcPr>
          <w:p w14:paraId="0108BFD9"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66" w:type="dxa"/>
            <w:gridSpan w:val="2"/>
            <w:tcBorders>
              <w:top w:val="nil"/>
              <w:left w:val="nil"/>
              <w:bottom w:val="nil"/>
              <w:right w:val="nil"/>
            </w:tcBorders>
            <w:shd w:val="clear" w:color="auto" w:fill="auto"/>
            <w:noWrap/>
            <w:vAlign w:val="center"/>
            <w:hideMark/>
          </w:tcPr>
          <w:p w14:paraId="47B49AC8"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33" w:type="dxa"/>
            <w:gridSpan w:val="2"/>
            <w:tcBorders>
              <w:top w:val="nil"/>
              <w:left w:val="nil"/>
              <w:bottom w:val="nil"/>
              <w:right w:val="nil"/>
            </w:tcBorders>
            <w:shd w:val="clear" w:color="auto" w:fill="auto"/>
            <w:noWrap/>
            <w:vAlign w:val="center"/>
            <w:hideMark/>
          </w:tcPr>
          <w:p w14:paraId="76A2D846"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44" w:type="dxa"/>
            <w:gridSpan w:val="2"/>
            <w:tcBorders>
              <w:top w:val="nil"/>
              <w:left w:val="nil"/>
              <w:bottom w:val="nil"/>
              <w:right w:val="nil"/>
            </w:tcBorders>
            <w:shd w:val="clear" w:color="auto" w:fill="auto"/>
            <w:noWrap/>
            <w:vAlign w:val="center"/>
            <w:hideMark/>
          </w:tcPr>
          <w:p w14:paraId="604FF721"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0" w:type="dxa"/>
            <w:gridSpan w:val="2"/>
            <w:tcBorders>
              <w:top w:val="nil"/>
              <w:left w:val="nil"/>
              <w:bottom w:val="nil"/>
              <w:right w:val="nil"/>
            </w:tcBorders>
            <w:shd w:val="clear" w:color="auto" w:fill="auto"/>
            <w:noWrap/>
            <w:vAlign w:val="center"/>
            <w:hideMark/>
          </w:tcPr>
          <w:p w14:paraId="76C89702"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42" w:type="dxa"/>
            <w:gridSpan w:val="3"/>
            <w:tcBorders>
              <w:top w:val="nil"/>
              <w:left w:val="nil"/>
              <w:bottom w:val="nil"/>
              <w:right w:val="nil"/>
            </w:tcBorders>
            <w:shd w:val="clear" w:color="auto" w:fill="auto"/>
            <w:noWrap/>
            <w:vAlign w:val="center"/>
            <w:hideMark/>
          </w:tcPr>
          <w:p w14:paraId="085628C2"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6" w:type="dxa"/>
            <w:gridSpan w:val="2"/>
            <w:tcBorders>
              <w:top w:val="nil"/>
              <w:left w:val="nil"/>
              <w:bottom w:val="nil"/>
              <w:right w:val="nil"/>
            </w:tcBorders>
            <w:shd w:val="clear" w:color="auto" w:fill="auto"/>
            <w:noWrap/>
            <w:vAlign w:val="center"/>
            <w:hideMark/>
          </w:tcPr>
          <w:p w14:paraId="6C6645DC"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50" w:type="dxa"/>
            <w:gridSpan w:val="2"/>
            <w:tcBorders>
              <w:top w:val="nil"/>
              <w:left w:val="nil"/>
              <w:bottom w:val="nil"/>
              <w:right w:val="nil"/>
            </w:tcBorders>
            <w:shd w:val="clear" w:color="auto" w:fill="auto"/>
            <w:noWrap/>
            <w:vAlign w:val="center"/>
            <w:hideMark/>
          </w:tcPr>
          <w:p w14:paraId="2A92E948"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695" w:type="dxa"/>
            <w:gridSpan w:val="2"/>
            <w:tcBorders>
              <w:top w:val="nil"/>
              <w:left w:val="nil"/>
              <w:bottom w:val="nil"/>
              <w:right w:val="nil"/>
            </w:tcBorders>
            <w:shd w:val="clear" w:color="auto" w:fill="auto"/>
            <w:noWrap/>
            <w:vAlign w:val="center"/>
            <w:hideMark/>
          </w:tcPr>
          <w:p w14:paraId="610C3969"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53" w:type="dxa"/>
            <w:gridSpan w:val="2"/>
            <w:tcBorders>
              <w:top w:val="nil"/>
              <w:left w:val="nil"/>
              <w:bottom w:val="nil"/>
              <w:right w:val="nil"/>
            </w:tcBorders>
            <w:shd w:val="clear" w:color="auto" w:fill="auto"/>
            <w:noWrap/>
            <w:vAlign w:val="center"/>
            <w:hideMark/>
          </w:tcPr>
          <w:p w14:paraId="2D034B36"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42" w:type="dxa"/>
            <w:gridSpan w:val="2"/>
            <w:tcBorders>
              <w:top w:val="nil"/>
              <w:left w:val="nil"/>
              <w:bottom w:val="nil"/>
              <w:right w:val="nil"/>
            </w:tcBorders>
            <w:shd w:val="clear" w:color="auto" w:fill="auto"/>
            <w:noWrap/>
            <w:vAlign w:val="center"/>
            <w:hideMark/>
          </w:tcPr>
          <w:p w14:paraId="726916D4"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48" w:type="dxa"/>
            <w:gridSpan w:val="2"/>
            <w:tcBorders>
              <w:top w:val="nil"/>
              <w:left w:val="nil"/>
              <w:bottom w:val="nil"/>
              <w:right w:val="nil"/>
            </w:tcBorders>
            <w:shd w:val="clear" w:color="auto" w:fill="auto"/>
            <w:noWrap/>
            <w:vAlign w:val="center"/>
            <w:hideMark/>
          </w:tcPr>
          <w:p w14:paraId="449DB668"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3" w:type="dxa"/>
            <w:gridSpan w:val="2"/>
            <w:tcBorders>
              <w:top w:val="nil"/>
              <w:left w:val="nil"/>
              <w:bottom w:val="nil"/>
              <w:right w:val="nil"/>
            </w:tcBorders>
            <w:shd w:val="clear" w:color="auto" w:fill="auto"/>
            <w:noWrap/>
            <w:vAlign w:val="center"/>
            <w:hideMark/>
          </w:tcPr>
          <w:p w14:paraId="716B8321"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6" w:type="dxa"/>
            <w:tcBorders>
              <w:top w:val="nil"/>
              <w:left w:val="nil"/>
              <w:bottom w:val="nil"/>
              <w:right w:val="nil"/>
            </w:tcBorders>
            <w:shd w:val="clear" w:color="auto" w:fill="auto"/>
            <w:noWrap/>
            <w:vAlign w:val="center"/>
            <w:hideMark/>
          </w:tcPr>
          <w:p w14:paraId="4492708A"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649" w:type="dxa"/>
            <w:tcBorders>
              <w:top w:val="nil"/>
              <w:left w:val="nil"/>
              <w:bottom w:val="nil"/>
              <w:right w:val="nil"/>
            </w:tcBorders>
            <w:shd w:val="clear" w:color="auto" w:fill="auto"/>
            <w:noWrap/>
            <w:vAlign w:val="center"/>
            <w:hideMark/>
          </w:tcPr>
          <w:p w14:paraId="40F4392C" w14:textId="77777777" w:rsidR="00490837" w:rsidRPr="00490837" w:rsidRDefault="00490837" w:rsidP="00490837">
            <w:pPr>
              <w:spacing w:before="0" w:line="240" w:lineRule="auto"/>
              <w:rPr>
                <w:rFonts w:eastAsia="Times New Roman" w:cs="Times New Roman"/>
                <w:color w:val="auto"/>
                <w:sz w:val="20"/>
                <w:szCs w:val="20"/>
                <w:lang w:eastAsia="en-AU"/>
              </w:rPr>
            </w:pPr>
          </w:p>
        </w:tc>
      </w:tr>
      <w:tr w:rsidR="00490837" w:rsidRPr="00490837" w14:paraId="5B3C01EB" w14:textId="77777777" w:rsidTr="00490837">
        <w:trPr>
          <w:trHeight w:hRule="exact" w:val="273"/>
        </w:trPr>
        <w:tc>
          <w:tcPr>
            <w:tcW w:w="2844" w:type="dxa"/>
            <w:gridSpan w:val="4"/>
            <w:tcBorders>
              <w:top w:val="nil"/>
              <w:left w:val="nil"/>
              <w:bottom w:val="nil"/>
              <w:right w:val="nil"/>
            </w:tcBorders>
            <w:shd w:val="clear" w:color="auto" w:fill="auto"/>
            <w:noWrap/>
            <w:vAlign w:val="center"/>
            <w:hideMark/>
          </w:tcPr>
          <w:p w14:paraId="2714F2A1" w14:textId="77777777" w:rsidR="00490837" w:rsidRPr="00490837" w:rsidRDefault="00490837" w:rsidP="00490837">
            <w:pPr>
              <w:spacing w:before="0" w:line="240" w:lineRule="auto"/>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Expenses</w:t>
            </w:r>
          </w:p>
        </w:tc>
        <w:tc>
          <w:tcPr>
            <w:tcW w:w="733" w:type="dxa"/>
            <w:gridSpan w:val="3"/>
            <w:tcBorders>
              <w:top w:val="nil"/>
              <w:left w:val="nil"/>
              <w:bottom w:val="nil"/>
              <w:right w:val="nil"/>
            </w:tcBorders>
            <w:shd w:val="clear" w:color="auto" w:fill="auto"/>
            <w:noWrap/>
            <w:vAlign w:val="center"/>
            <w:hideMark/>
          </w:tcPr>
          <w:p w14:paraId="69ACDEC8" w14:textId="77777777" w:rsidR="00490837" w:rsidRPr="00490837" w:rsidRDefault="00490837" w:rsidP="00490837">
            <w:pPr>
              <w:spacing w:before="0" w:line="240" w:lineRule="auto"/>
              <w:rPr>
                <w:rFonts w:ascii="Meta Pro" w:eastAsia="Times New Roman" w:hAnsi="Meta Pro" w:cs="Calibri"/>
                <w:b/>
                <w:bCs/>
                <w:color w:val="000000"/>
                <w:sz w:val="16"/>
                <w:szCs w:val="16"/>
                <w:lang w:eastAsia="en-AU"/>
              </w:rPr>
            </w:pPr>
          </w:p>
        </w:tc>
        <w:tc>
          <w:tcPr>
            <w:tcW w:w="566" w:type="dxa"/>
            <w:gridSpan w:val="2"/>
            <w:tcBorders>
              <w:top w:val="nil"/>
              <w:left w:val="nil"/>
              <w:bottom w:val="nil"/>
              <w:right w:val="nil"/>
            </w:tcBorders>
            <w:shd w:val="clear" w:color="auto" w:fill="auto"/>
            <w:noWrap/>
            <w:vAlign w:val="center"/>
            <w:hideMark/>
          </w:tcPr>
          <w:p w14:paraId="27EB85C2"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33" w:type="dxa"/>
            <w:gridSpan w:val="2"/>
            <w:tcBorders>
              <w:top w:val="nil"/>
              <w:left w:val="nil"/>
              <w:bottom w:val="nil"/>
              <w:right w:val="nil"/>
            </w:tcBorders>
            <w:shd w:val="clear" w:color="auto" w:fill="auto"/>
            <w:noWrap/>
            <w:vAlign w:val="center"/>
            <w:hideMark/>
          </w:tcPr>
          <w:p w14:paraId="11773AEC"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44" w:type="dxa"/>
            <w:gridSpan w:val="2"/>
            <w:tcBorders>
              <w:top w:val="nil"/>
              <w:left w:val="nil"/>
              <w:bottom w:val="nil"/>
              <w:right w:val="nil"/>
            </w:tcBorders>
            <w:shd w:val="clear" w:color="auto" w:fill="auto"/>
            <w:noWrap/>
            <w:vAlign w:val="center"/>
            <w:hideMark/>
          </w:tcPr>
          <w:p w14:paraId="261C223D"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0" w:type="dxa"/>
            <w:gridSpan w:val="2"/>
            <w:tcBorders>
              <w:top w:val="nil"/>
              <w:left w:val="nil"/>
              <w:bottom w:val="nil"/>
              <w:right w:val="nil"/>
            </w:tcBorders>
            <w:shd w:val="clear" w:color="auto" w:fill="auto"/>
            <w:noWrap/>
            <w:vAlign w:val="center"/>
            <w:hideMark/>
          </w:tcPr>
          <w:p w14:paraId="205A41F9"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42" w:type="dxa"/>
            <w:gridSpan w:val="3"/>
            <w:tcBorders>
              <w:top w:val="nil"/>
              <w:left w:val="nil"/>
              <w:bottom w:val="nil"/>
              <w:right w:val="nil"/>
            </w:tcBorders>
            <w:shd w:val="clear" w:color="auto" w:fill="auto"/>
            <w:noWrap/>
            <w:vAlign w:val="center"/>
            <w:hideMark/>
          </w:tcPr>
          <w:p w14:paraId="41A1AFB2"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6" w:type="dxa"/>
            <w:gridSpan w:val="2"/>
            <w:tcBorders>
              <w:top w:val="nil"/>
              <w:left w:val="nil"/>
              <w:bottom w:val="nil"/>
              <w:right w:val="nil"/>
            </w:tcBorders>
            <w:shd w:val="clear" w:color="auto" w:fill="auto"/>
            <w:noWrap/>
            <w:vAlign w:val="center"/>
            <w:hideMark/>
          </w:tcPr>
          <w:p w14:paraId="72DE0904"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50" w:type="dxa"/>
            <w:gridSpan w:val="2"/>
            <w:tcBorders>
              <w:top w:val="nil"/>
              <w:left w:val="nil"/>
              <w:bottom w:val="nil"/>
              <w:right w:val="nil"/>
            </w:tcBorders>
            <w:shd w:val="clear" w:color="auto" w:fill="auto"/>
            <w:noWrap/>
            <w:vAlign w:val="center"/>
            <w:hideMark/>
          </w:tcPr>
          <w:p w14:paraId="4B0CD7FD"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695" w:type="dxa"/>
            <w:gridSpan w:val="2"/>
            <w:tcBorders>
              <w:top w:val="nil"/>
              <w:left w:val="nil"/>
              <w:bottom w:val="nil"/>
              <w:right w:val="nil"/>
            </w:tcBorders>
            <w:shd w:val="clear" w:color="auto" w:fill="auto"/>
            <w:noWrap/>
            <w:vAlign w:val="center"/>
            <w:hideMark/>
          </w:tcPr>
          <w:p w14:paraId="46C6D05D"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53" w:type="dxa"/>
            <w:gridSpan w:val="2"/>
            <w:tcBorders>
              <w:top w:val="nil"/>
              <w:left w:val="nil"/>
              <w:bottom w:val="nil"/>
              <w:right w:val="nil"/>
            </w:tcBorders>
            <w:shd w:val="clear" w:color="auto" w:fill="auto"/>
            <w:noWrap/>
            <w:vAlign w:val="center"/>
            <w:hideMark/>
          </w:tcPr>
          <w:p w14:paraId="54345640"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42" w:type="dxa"/>
            <w:gridSpan w:val="2"/>
            <w:tcBorders>
              <w:top w:val="nil"/>
              <w:left w:val="nil"/>
              <w:bottom w:val="nil"/>
              <w:right w:val="nil"/>
            </w:tcBorders>
            <w:shd w:val="clear" w:color="auto" w:fill="auto"/>
            <w:noWrap/>
            <w:vAlign w:val="center"/>
            <w:hideMark/>
          </w:tcPr>
          <w:p w14:paraId="76DDC69D"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48" w:type="dxa"/>
            <w:gridSpan w:val="2"/>
            <w:tcBorders>
              <w:top w:val="nil"/>
              <w:left w:val="nil"/>
              <w:bottom w:val="nil"/>
              <w:right w:val="nil"/>
            </w:tcBorders>
            <w:shd w:val="clear" w:color="auto" w:fill="auto"/>
            <w:noWrap/>
            <w:vAlign w:val="center"/>
            <w:hideMark/>
          </w:tcPr>
          <w:p w14:paraId="35196E6C"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3" w:type="dxa"/>
            <w:gridSpan w:val="2"/>
            <w:tcBorders>
              <w:top w:val="nil"/>
              <w:left w:val="nil"/>
              <w:bottom w:val="nil"/>
              <w:right w:val="nil"/>
            </w:tcBorders>
            <w:shd w:val="clear" w:color="auto" w:fill="auto"/>
            <w:noWrap/>
            <w:vAlign w:val="center"/>
            <w:hideMark/>
          </w:tcPr>
          <w:p w14:paraId="2BADE29A"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6" w:type="dxa"/>
            <w:tcBorders>
              <w:top w:val="nil"/>
              <w:left w:val="nil"/>
              <w:bottom w:val="nil"/>
              <w:right w:val="nil"/>
            </w:tcBorders>
            <w:shd w:val="clear" w:color="auto" w:fill="auto"/>
            <w:noWrap/>
            <w:vAlign w:val="center"/>
            <w:hideMark/>
          </w:tcPr>
          <w:p w14:paraId="48DAFEB8"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649" w:type="dxa"/>
            <w:tcBorders>
              <w:top w:val="nil"/>
              <w:left w:val="nil"/>
              <w:bottom w:val="nil"/>
              <w:right w:val="nil"/>
            </w:tcBorders>
            <w:shd w:val="clear" w:color="auto" w:fill="auto"/>
            <w:noWrap/>
            <w:vAlign w:val="center"/>
            <w:hideMark/>
          </w:tcPr>
          <w:p w14:paraId="146AAB58" w14:textId="77777777" w:rsidR="00490837" w:rsidRPr="00490837" w:rsidRDefault="00490837" w:rsidP="00490837">
            <w:pPr>
              <w:spacing w:before="0" w:line="240" w:lineRule="auto"/>
              <w:rPr>
                <w:rFonts w:eastAsia="Times New Roman" w:cs="Times New Roman"/>
                <w:color w:val="auto"/>
                <w:sz w:val="20"/>
                <w:szCs w:val="20"/>
                <w:lang w:eastAsia="en-AU"/>
              </w:rPr>
            </w:pPr>
          </w:p>
        </w:tc>
      </w:tr>
      <w:tr w:rsidR="00490837" w:rsidRPr="00490837" w14:paraId="1B752CBC" w14:textId="77777777" w:rsidTr="00490837">
        <w:trPr>
          <w:trHeight w:val="273"/>
        </w:trPr>
        <w:tc>
          <w:tcPr>
            <w:tcW w:w="186" w:type="dxa"/>
            <w:tcBorders>
              <w:top w:val="nil"/>
              <w:left w:val="nil"/>
              <w:bottom w:val="nil"/>
              <w:right w:val="nil"/>
            </w:tcBorders>
            <w:shd w:val="clear" w:color="auto" w:fill="auto"/>
            <w:noWrap/>
            <w:vAlign w:val="center"/>
            <w:hideMark/>
          </w:tcPr>
          <w:p w14:paraId="282281FE"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2658" w:type="dxa"/>
            <w:gridSpan w:val="3"/>
            <w:tcBorders>
              <w:top w:val="nil"/>
              <w:left w:val="nil"/>
              <w:bottom w:val="nil"/>
              <w:right w:val="nil"/>
            </w:tcBorders>
            <w:shd w:val="clear" w:color="auto" w:fill="auto"/>
            <w:noWrap/>
            <w:vAlign w:val="center"/>
            <w:hideMark/>
          </w:tcPr>
          <w:p w14:paraId="4EE1BD25" w14:textId="77777777" w:rsidR="00490837" w:rsidRPr="00490837" w:rsidRDefault="00490837" w:rsidP="00490837">
            <w:pPr>
              <w:spacing w:before="0" w:line="240" w:lineRule="auto"/>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Employee expenses</w:t>
            </w:r>
          </w:p>
        </w:tc>
        <w:tc>
          <w:tcPr>
            <w:tcW w:w="733" w:type="dxa"/>
            <w:gridSpan w:val="3"/>
            <w:tcBorders>
              <w:top w:val="nil"/>
              <w:left w:val="nil"/>
              <w:bottom w:val="nil"/>
              <w:right w:val="nil"/>
            </w:tcBorders>
            <w:shd w:val="clear" w:color="auto" w:fill="auto"/>
            <w:noWrap/>
            <w:vAlign w:val="center"/>
            <w:hideMark/>
          </w:tcPr>
          <w:p w14:paraId="45222668"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67,169</w:t>
            </w:r>
          </w:p>
        </w:tc>
        <w:tc>
          <w:tcPr>
            <w:tcW w:w="566" w:type="dxa"/>
            <w:gridSpan w:val="2"/>
            <w:tcBorders>
              <w:top w:val="nil"/>
              <w:left w:val="nil"/>
              <w:bottom w:val="nil"/>
              <w:right w:val="nil"/>
            </w:tcBorders>
            <w:shd w:val="clear" w:color="auto" w:fill="auto"/>
            <w:noWrap/>
            <w:vAlign w:val="center"/>
            <w:hideMark/>
          </w:tcPr>
          <w:p w14:paraId="4A28482F"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33" w:type="dxa"/>
            <w:gridSpan w:val="2"/>
            <w:tcBorders>
              <w:top w:val="nil"/>
              <w:left w:val="nil"/>
              <w:bottom w:val="nil"/>
              <w:right w:val="nil"/>
            </w:tcBorders>
            <w:shd w:val="clear" w:color="auto" w:fill="auto"/>
            <w:noWrap/>
            <w:vAlign w:val="center"/>
            <w:hideMark/>
          </w:tcPr>
          <w:p w14:paraId="06661C34"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169,395</w:t>
            </w:r>
          </w:p>
        </w:tc>
        <w:tc>
          <w:tcPr>
            <w:tcW w:w="544" w:type="dxa"/>
            <w:gridSpan w:val="2"/>
            <w:tcBorders>
              <w:top w:val="nil"/>
              <w:left w:val="nil"/>
              <w:bottom w:val="nil"/>
              <w:right w:val="nil"/>
            </w:tcBorders>
            <w:shd w:val="clear" w:color="auto" w:fill="auto"/>
            <w:noWrap/>
            <w:vAlign w:val="center"/>
            <w:hideMark/>
          </w:tcPr>
          <w:p w14:paraId="1654A44D"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00" w:type="dxa"/>
            <w:gridSpan w:val="2"/>
            <w:tcBorders>
              <w:top w:val="nil"/>
              <w:left w:val="nil"/>
              <w:bottom w:val="nil"/>
              <w:right w:val="nil"/>
            </w:tcBorders>
            <w:shd w:val="clear" w:color="auto" w:fill="auto"/>
            <w:noWrap/>
            <w:vAlign w:val="center"/>
            <w:hideMark/>
          </w:tcPr>
          <w:p w14:paraId="482FD44C"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77,667</w:t>
            </w:r>
          </w:p>
        </w:tc>
        <w:tc>
          <w:tcPr>
            <w:tcW w:w="542" w:type="dxa"/>
            <w:gridSpan w:val="3"/>
            <w:tcBorders>
              <w:top w:val="nil"/>
              <w:left w:val="nil"/>
              <w:bottom w:val="nil"/>
              <w:right w:val="nil"/>
            </w:tcBorders>
            <w:shd w:val="clear" w:color="auto" w:fill="auto"/>
            <w:noWrap/>
            <w:vAlign w:val="center"/>
            <w:hideMark/>
          </w:tcPr>
          <w:p w14:paraId="6DF03588"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06" w:type="dxa"/>
            <w:gridSpan w:val="2"/>
            <w:tcBorders>
              <w:top w:val="nil"/>
              <w:left w:val="nil"/>
              <w:bottom w:val="nil"/>
              <w:right w:val="nil"/>
            </w:tcBorders>
            <w:shd w:val="clear" w:color="auto" w:fill="auto"/>
            <w:noWrap/>
            <w:vAlign w:val="center"/>
            <w:hideMark/>
          </w:tcPr>
          <w:p w14:paraId="33429F03"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165,846</w:t>
            </w:r>
          </w:p>
        </w:tc>
        <w:tc>
          <w:tcPr>
            <w:tcW w:w="550" w:type="dxa"/>
            <w:gridSpan w:val="2"/>
            <w:tcBorders>
              <w:top w:val="nil"/>
              <w:left w:val="nil"/>
              <w:bottom w:val="nil"/>
              <w:right w:val="nil"/>
            </w:tcBorders>
            <w:shd w:val="clear" w:color="auto" w:fill="auto"/>
            <w:noWrap/>
            <w:vAlign w:val="center"/>
            <w:hideMark/>
          </w:tcPr>
          <w:p w14:paraId="1DDB12A1"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695" w:type="dxa"/>
            <w:gridSpan w:val="2"/>
            <w:tcBorders>
              <w:top w:val="nil"/>
              <w:left w:val="nil"/>
              <w:bottom w:val="nil"/>
              <w:right w:val="nil"/>
            </w:tcBorders>
            <w:shd w:val="clear" w:color="auto" w:fill="auto"/>
            <w:noWrap/>
            <w:vAlign w:val="center"/>
            <w:hideMark/>
          </w:tcPr>
          <w:p w14:paraId="78666A79"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93,767</w:t>
            </w:r>
          </w:p>
        </w:tc>
        <w:tc>
          <w:tcPr>
            <w:tcW w:w="553" w:type="dxa"/>
            <w:gridSpan w:val="2"/>
            <w:tcBorders>
              <w:top w:val="nil"/>
              <w:left w:val="nil"/>
              <w:bottom w:val="nil"/>
              <w:right w:val="nil"/>
            </w:tcBorders>
            <w:shd w:val="clear" w:color="auto" w:fill="auto"/>
            <w:noWrap/>
            <w:vAlign w:val="center"/>
            <w:hideMark/>
          </w:tcPr>
          <w:p w14:paraId="0C0FA8CF"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42" w:type="dxa"/>
            <w:gridSpan w:val="2"/>
            <w:tcBorders>
              <w:top w:val="nil"/>
              <w:left w:val="nil"/>
              <w:bottom w:val="nil"/>
              <w:right w:val="nil"/>
            </w:tcBorders>
            <w:shd w:val="clear" w:color="auto" w:fill="auto"/>
            <w:noWrap/>
            <w:vAlign w:val="center"/>
            <w:hideMark/>
          </w:tcPr>
          <w:p w14:paraId="4FCBC29F"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145,210</w:t>
            </w:r>
          </w:p>
        </w:tc>
        <w:tc>
          <w:tcPr>
            <w:tcW w:w="548" w:type="dxa"/>
            <w:gridSpan w:val="2"/>
            <w:tcBorders>
              <w:top w:val="nil"/>
              <w:left w:val="nil"/>
              <w:bottom w:val="nil"/>
              <w:right w:val="nil"/>
            </w:tcBorders>
            <w:shd w:val="clear" w:color="auto" w:fill="auto"/>
            <w:noWrap/>
            <w:vAlign w:val="center"/>
            <w:hideMark/>
          </w:tcPr>
          <w:p w14:paraId="56F63B28"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03" w:type="dxa"/>
            <w:gridSpan w:val="2"/>
            <w:tcBorders>
              <w:top w:val="nil"/>
              <w:left w:val="nil"/>
              <w:bottom w:val="nil"/>
              <w:right w:val="nil"/>
            </w:tcBorders>
            <w:shd w:val="clear" w:color="auto" w:fill="auto"/>
            <w:noWrap/>
            <w:vAlign w:val="center"/>
            <w:hideMark/>
          </w:tcPr>
          <w:p w14:paraId="3F484EDD"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-115,971</w:t>
            </w:r>
          </w:p>
        </w:tc>
        <w:tc>
          <w:tcPr>
            <w:tcW w:w="706" w:type="dxa"/>
            <w:tcBorders>
              <w:top w:val="nil"/>
              <w:left w:val="nil"/>
              <w:bottom w:val="nil"/>
              <w:right w:val="nil"/>
            </w:tcBorders>
            <w:shd w:val="clear" w:color="auto" w:fill="auto"/>
            <w:noWrap/>
            <w:vAlign w:val="center"/>
            <w:hideMark/>
          </w:tcPr>
          <w:p w14:paraId="54064C40"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649" w:type="dxa"/>
            <w:tcBorders>
              <w:top w:val="nil"/>
              <w:left w:val="nil"/>
              <w:bottom w:val="nil"/>
              <w:right w:val="nil"/>
            </w:tcBorders>
            <w:shd w:val="clear" w:color="auto" w:fill="auto"/>
            <w:noWrap/>
            <w:vAlign w:val="center"/>
            <w:hideMark/>
          </w:tcPr>
          <w:p w14:paraId="10A81688"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603,083</w:t>
            </w:r>
          </w:p>
        </w:tc>
      </w:tr>
      <w:tr w:rsidR="00490837" w:rsidRPr="00490837" w14:paraId="7DAD19AA" w14:textId="77777777" w:rsidTr="00490837">
        <w:trPr>
          <w:trHeight w:val="273"/>
        </w:trPr>
        <w:tc>
          <w:tcPr>
            <w:tcW w:w="186" w:type="dxa"/>
            <w:tcBorders>
              <w:top w:val="nil"/>
              <w:left w:val="nil"/>
              <w:bottom w:val="nil"/>
              <w:right w:val="nil"/>
            </w:tcBorders>
            <w:shd w:val="clear" w:color="auto" w:fill="auto"/>
            <w:noWrap/>
            <w:vAlign w:val="center"/>
            <w:hideMark/>
          </w:tcPr>
          <w:p w14:paraId="7941ED27"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2658" w:type="dxa"/>
            <w:gridSpan w:val="3"/>
            <w:tcBorders>
              <w:top w:val="nil"/>
              <w:left w:val="nil"/>
              <w:bottom w:val="nil"/>
              <w:right w:val="nil"/>
            </w:tcBorders>
            <w:shd w:val="clear" w:color="auto" w:fill="auto"/>
            <w:noWrap/>
            <w:vAlign w:val="center"/>
            <w:hideMark/>
          </w:tcPr>
          <w:p w14:paraId="7133EE98" w14:textId="77777777" w:rsidR="00490837" w:rsidRPr="00490837" w:rsidRDefault="00490837" w:rsidP="00490837">
            <w:pPr>
              <w:spacing w:before="0" w:line="240" w:lineRule="auto"/>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xml:space="preserve">Supplies and services </w:t>
            </w:r>
          </w:p>
        </w:tc>
        <w:tc>
          <w:tcPr>
            <w:tcW w:w="733" w:type="dxa"/>
            <w:gridSpan w:val="3"/>
            <w:tcBorders>
              <w:top w:val="nil"/>
              <w:left w:val="nil"/>
              <w:bottom w:val="nil"/>
              <w:right w:val="nil"/>
            </w:tcBorders>
            <w:shd w:val="clear" w:color="auto" w:fill="auto"/>
            <w:noWrap/>
            <w:vAlign w:val="center"/>
            <w:hideMark/>
          </w:tcPr>
          <w:p w14:paraId="7055401E"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47,430</w:t>
            </w:r>
          </w:p>
        </w:tc>
        <w:tc>
          <w:tcPr>
            <w:tcW w:w="566" w:type="dxa"/>
            <w:gridSpan w:val="2"/>
            <w:tcBorders>
              <w:top w:val="nil"/>
              <w:left w:val="nil"/>
              <w:bottom w:val="nil"/>
              <w:right w:val="nil"/>
            </w:tcBorders>
            <w:shd w:val="clear" w:color="auto" w:fill="auto"/>
            <w:noWrap/>
            <w:vAlign w:val="center"/>
            <w:hideMark/>
          </w:tcPr>
          <w:p w14:paraId="1189A554"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33" w:type="dxa"/>
            <w:gridSpan w:val="2"/>
            <w:tcBorders>
              <w:top w:val="nil"/>
              <w:left w:val="nil"/>
              <w:bottom w:val="nil"/>
              <w:right w:val="nil"/>
            </w:tcBorders>
            <w:shd w:val="clear" w:color="auto" w:fill="auto"/>
            <w:noWrap/>
            <w:vAlign w:val="center"/>
            <w:hideMark/>
          </w:tcPr>
          <w:p w14:paraId="689846AE"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860,932</w:t>
            </w:r>
          </w:p>
        </w:tc>
        <w:tc>
          <w:tcPr>
            <w:tcW w:w="544" w:type="dxa"/>
            <w:gridSpan w:val="2"/>
            <w:tcBorders>
              <w:top w:val="nil"/>
              <w:left w:val="nil"/>
              <w:bottom w:val="nil"/>
              <w:right w:val="nil"/>
            </w:tcBorders>
            <w:shd w:val="clear" w:color="auto" w:fill="auto"/>
            <w:noWrap/>
            <w:vAlign w:val="center"/>
            <w:hideMark/>
          </w:tcPr>
          <w:p w14:paraId="34DC5FC5"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00" w:type="dxa"/>
            <w:gridSpan w:val="2"/>
            <w:tcBorders>
              <w:top w:val="nil"/>
              <w:left w:val="nil"/>
              <w:bottom w:val="nil"/>
              <w:right w:val="nil"/>
            </w:tcBorders>
            <w:shd w:val="clear" w:color="auto" w:fill="auto"/>
            <w:noWrap/>
            <w:vAlign w:val="center"/>
            <w:hideMark/>
          </w:tcPr>
          <w:p w14:paraId="0552EB40"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193,275</w:t>
            </w:r>
          </w:p>
        </w:tc>
        <w:tc>
          <w:tcPr>
            <w:tcW w:w="542" w:type="dxa"/>
            <w:gridSpan w:val="3"/>
            <w:tcBorders>
              <w:top w:val="nil"/>
              <w:left w:val="nil"/>
              <w:bottom w:val="nil"/>
              <w:right w:val="nil"/>
            </w:tcBorders>
            <w:shd w:val="clear" w:color="auto" w:fill="auto"/>
            <w:noWrap/>
            <w:vAlign w:val="center"/>
            <w:hideMark/>
          </w:tcPr>
          <w:p w14:paraId="5917B231"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06" w:type="dxa"/>
            <w:gridSpan w:val="2"/>
            <w:tcBorders>
              <w:top w:val="nil"/>
              <w:left w:val="nil"/>
              <w:bottom w:val="nil"/>
              <w:right w:val="nil"/>
            </w:tcBorders>
            <w:shd w:val="clear" w:color="auto" w:fill="auto"/>
            <w:noWrap/>
            <w:vAlign w:val="center"/>
            <w:hideMark/>
          </w:tcPr>
          <w:p w14:paraId="7D1BE7A0"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106,697</w:t>
            </w:r>
          </w:p>
        </w:tc>
        <w:tc>
          <w:tcPr>
            <w:tcW w:w="550" w:type="dxa"/>
            <w:gridSpan w:val="2"/>
            <w:tcBorders>
              <w:top w:val="nil"/>
              <w:left w:val="nil"/>
              <w:bottom w:val="nil"/>
              <w:right w:val="nil"/>
            </w:tcBorders>
            <w:shd w:val="clear" w:color="auto" w:fill="auto"/>
            <w:noWrap/>
            <w:vAlign w:val="center"/>
            <w:hideMark/>
          </w:tcPr>
          <w:p w14:paraId="3291DF8F"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695" w:type="dxa"/>
            <w:gridSpan w:val="2"/>
            <w:tcBorders>
              <w:top w:val="nil"/>
              <w:left w:val="nil"/>
              <w:bottom w:val="nil"/>
              <w:right w:val="nil"/>
            </w:tcBorders>
            <w:shd w:val="clear" w:color="auto" w:fill="auto"/>
            <w:noWrap/>
            <w:vAlign w:val="center"/>
            <w:hideMark/>
          </w:tcPr>
          <w:p w14:paraId="213A434C"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2,903,902</w:t>
            </w:r>
          </w:p>
        </w:tc>
        <w:tc>
          <w:tcPr>
            <w:tcW w:w="553" w:type="dxa"/>
            <w:gridSpan w:val="2"/>
            <w:tcBorders>
              <w:top w:val="nil"/>
              <w:left w:val="nil"/>
              <w:bottom w:val="nil"/>
              <w:right w:val="nil"/>
            </w:tcBorders>
            <w:shd w:val="clear" w:color="auto" w:fill="auto"/>
            <w:noWrap/>
            <w:vAlign w:val="center"/>
            <w:hideMark/>
          </w:tcPr>
          <w:p w14:paraId="533485FD"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42" w:type="dxa"/>
            <w:gridSpan w:val="2"/>
            <w:tcBorders>
              <w:top w:val="nil"/>
              <w:left w:val="nil"/>
              <w:bottom w:val="nil"/>
              <w:right w:val="nil"/>
            </w:tcBorders>
            <w:shd w:val="clear" w:color="auto" w:fill="auto"/>
            <w:noWrap/>
            <w:vAlign w:val="center"/>
            <w:hideMark/>
          </w:tcPr>
          <w:p w14:paraId="21050A69"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544,125</w:t>
            </w:r>
          </w:p>
        </w:tc>
        <w:tc>
          <w:tcPr>
            <w:tcW w:w="548" w:type="dxa"/>
            <w:gridSpan w:val="2"/>
            <w:tcBorders>
              <w:top w:val="nil"/>
              <w:left w:val="nil"/>
              <w:bottom w:val="nil"/>
              <w:right w:val="nil"/>
            </w:tcBorders>
            <w:shd w:val="clear" w:color="auto" w:fill="auto"/>
            <w:noWrap/>
            <w:vAlign w:val="center"/>
            <w:hideMark/>
          </w:tcPr>
          <w:p w14:paraId="596D2D45"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03" w:type="dxa"/>
            <w:gridSpan w:val="2"/>
            <w:tcBorders>
              <w:top w:val="nil"/>
              <w:left w:val="nil"/>
              <w:bottom w:val="nil"/>
              <w:right w:val="nil"/>
            </w:tcBorders>
            <w:shd w:val="clear" w:color="auto" w:fill="auto"/>
            <w:noWrap/>
            <w:vAlign w:val="center"/>
            <w:hideMark/>
          </w:tcPr>
          <w:p w14:paraId="4C6E82B6"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-617,596</w:t>
            </w:r>
          </w:p>
        </w:tc>
        <w:tc>
          <w:tcPr>
            <w:tcW w:w="706" w:type="dxa"/>
            <w:tcBorders>
              <w:top w:val="nil"/>
              <w:left w:val="nil"/>
              <w:bottom w:val="nil"/>
              <w:right w:val="nil"/>
            </w:tcBorders>
            <w:shd w:val="clear" w:color="auto" w:fill="auto"/>
            <w:noWrap/>
            <w:vAlign w:val="center"/>
            <w:hideMark/>
          </w:tcPr>
          <w:p w14:paraId="4699675E"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649" w:type="dxa"/>
            <w:tcBorders>
              <w:top w:val="nil"/>
              <w:left w:val="nil"/>
              <w:bottom w:val="nil"/>
              <w:right w:val="nil"/>
            </w:tcBorders>
            <w:shd w:val="clear" w:color="auto" w:fill="auto"/>
            <w:noWrap/>
            <w:vAlign w:val="center"/>
            <w:hideMark/>
          </w:tcPr>
          <w:p w14:paraId="061F6688"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4,038,765</w:t>
            </w:r>
          </w:p>
        </w:tc>
      </w:tr>
      <w:tr w:rsidR="00490837" w:rsidRPr="00490837" w14:paraId="279D8BA9" w14:textId="77777777" w:rsidTr="00490837">
        <w:trPr>
          <w:trHeight w:val="273"/>
        </w:trPr>
        <w:tc>
          <w:tcPr>
            <w:tcW w:w="186" w:type="dxa"/>
            <w:tcBorders>
              <w:top w:val="nil"/>
              <w:left w:val="nil"/>
              <w:bottom w:val="nil"/>
              <w:right w:val="nil"/>
            </w:tcBorders>
            <w:shd w:val="clear" w:color="auto" w:fill="auto"/>
            <w:noWrap/>
            <w:vAlign w:val="center"/>
            <w:hideMark/>
          </w:tcPr>
          <w:p w14:paraId="74BE79AD"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2658" w:type="dxa"/>
            <w:gridSpan w:val="3"/>
            <w:tcBorders>
              <w:top w:val="nil"/>
              <w:left w:val="nil"/>
              <w:bottom w:val="nil"/>
              <w:right w:val="nil"/>
            </w:tcBorders>
            <w:shd w:val="clear" w:color="auto" w:fill="auto"/>
            <w:noWrap/>
            <w:vAlign w:val="center"/>
            <w:hideMark/>
          </w:tcPr>
          <w:p w14:paraId="4A4EE9D8" w14:textId="77777777" w:rsidR="00490837" w:rsidRPr="00490837" w:rsidRDefault="00490837" w:rsidP="00490837">
            <w:pPr>
              <w:spacing w:before="0" w:line="240" w:lineRule="auto"/>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xml:space="preserve">Grants and subsidies </w:t>
            </w:r>
          </w:p>
        </w:tc>
        <w:tc>
          <w:tcPr>
            <w:tcW w:w="733" w:type="dxa"/>
            <w:gridSpan w:val="3"/>
            <w:tcBorders>
              <w:top w:val="nil"/>
              <w:left w:val="nil"/>
              <w:bottom w:val="nil"/>
              <w:right w:val="nil"/>
            </w:tcBorders>
            <w:shd w:val="clear" w:color="auto" w:fill="auto"/>
            <w:noWrap/>
            <w:vAlign w:val="center"/>
            <w:hideMark/>
          </w:tcPr>
          <w:p w14:paraId="506DD105"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22,275</w:t>
            </w:r>
          </w:p>
        </w:tc>
        <w:tc>
          <w:tcPr>
            <w:tcW w:w="566" w:type="dxa"/>
            <w:gridSpan w:val="2"/>
            <w:tcBorders>
              <w:top w:val="nil"/>
              <w:left w:val="nil"/>
              <w:bottom w:val="nil"/>
              <w:right w:val="nil"/>
            </w:tcBorders>
            <w:shd w:val="clear" w:color="auto" w:fill="auto"/>
            <w:noWrap/>
            <w:vAlign w:val="center"/>
            <w:hideMark/>
          </w:tcPr>
          <w:p w14:paraId="1FF88695"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33" w:type="dxa"/>
            <w:gridSpan w:val="2"/>
            <w:tcBorders>
              <w:top w:val="nil"/>
              <w:left w:val="nil"/>
              <w:bottom w:val="nil"/>
              <w:right w:val="nil"/>
            </w:tcBorders>
            <w:shd w:val="clear" w:color="auto" w:fill="auto"/>
            <w:noWrap/>
            <w:vAlign w:val="center"/>
            <w:hideMark/>
          </w:tcPr>
          <w:p w14:paraId="1C4FCCD6"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393,603</w:t>
            </w:r>
          </w:p>
        </w:tc>
        <w:tc>
          <w:tcPr>
            <w:tcW w:w="544" w:type="dxa"/>
            <w:gridSpan w:val="2"/>
            <w:tcBorders>
              <w:top w:val="nil"/>
              <w:left w:val="nil"/>
              <w:bottom w:val="nil"/>
              <w:right w:val="nil"/>
            </w:tcBorders>
            <w:shd w:val="clear" w:color="auto" w:fill="auto"/>
            <w:noWrap/>
            <w:vAlign w:val="center"/>
            <w:hideMark/>
          </w:tcPr>
          <w:p w14:paraId="3C71E4E4"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00" w:type="dxa"/>
            <w:gridSpan w:val="2"/>
            <w:tcBorders>
              <w:top w:val="nil"/>
              <w:left w:val="nil"/>
              <w:bottom w:val="nil"/>
              <w:right w:val="nil"/>
            </w:tcBorders>
            <w:shd w:val="clear" w:color="auto" w:fill="auto"/>
            <w:noWrap/>
            <w:vAlign w:val="center"/>
            <w:hideMark/>
          </w:tcPr>
          <w:p w14:paraId="7866CCAD"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6,507</w:t>
            </w:r>
          </w:p>
        </w:tc>
        <w:tc>
          <w:tcPr>
            <w:tcW w:w="542" w:type="dxa"/>
            <w:gridSpan w:val="3"/>
            <w:tcBorders>
              <w:top w:val="nil"/>
              <w:left w:val="nil"/>
              <w:bottom w:val="nil"/>
              <w:right w:val="nil"/>
            </w:tcBorders>
            <w:shd w:val="clear" w:color="auto" w:fill="auto"/>
            <w:noWrap/>
            <w:vAlign w:val="center"/>
            <w:hideMark/>
          </w:tcPr>
          <w:p w14:paraId="1AC6FE7D"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06" w:type="dxa"/>
            <w:gridSpan w:val="2"/>
            <w:tcBorders>
              <w:top w:val="nil"/>
              <w:left w:val="nil"/>
              <w:bottom w:val="nil"/>
              <w:right w:val="nil"/>
            </w:tcBorders>
            <w:shd w:val="clear" w:color="auto" w:fill="auto"/>
            <w:noWrap/>
            <w:vAlign w:val="center"/>
            <w:hideMark/>
          </w:tcPr>
          <w:p w14:paraId="5F1DBBC7"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45</w:t>
            </w:r>
          </w:p>
        </w:tc>
        <w:tc>
          <w:tcPr>
            <w:tcW w:w="550" w:type="dxa"/>
            <w:gridSpan w:val="2"/>
            <w:tcBorders>
              <w:top w:val="nil"/>
              <w:left w:val="nil"/>
              <w:bottom w:val="nil"/>
              <w:right w:val="nil"/>
            </w:tcBorders>
            <w:shd w:val="clear" w:color="auto" w:fill="auto"/>
            <w:noWrap/>
            <w:vAlign w:val="center"/>
            <w:hideMark/>
          </w:tcPr>
          <w:p w14:paraId="12B9AE3E"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695" w:type="dxa"/>
            <w:gridSpan w:val="2"/>
            <w:tcBorders>
              <w:top w:val="nil"/>
              <w:left w:val="nil"/>
              <w:bottom w:val="nil"/>
              <w:right w:val="nil"/>
            </w:tcBorders>
            <w:shd w:val="clear" w:color="auto" w:fill="auto"/>
            <w:noWrap/>
            <w:vAlign w:val="center"/>
            <w:hideMark/>
          </w:tcPr>
          <w:p w14:paraId="785E380B"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273,041</w:t>
            </w:r>
          </w:p>
        </w:tc>
        <w:tc>
          <w:tcPr>
            <w:tcW w:w="553" w:type="dxa"/>
            <w:gridSpan w:val="2"/>
            <w:tcBorders>
              <w:top w:val="nil"/>
              <w:left w:val="nil"/>
              <w:bottom w:val="nil"/>
              <w:right w:val="nil"/>
            </w:tcBorders>
            <w:shd w:val="clear" w:color="auto" w:fill="auto"/>
            <w:noWrap/>
            <w:vAlign w:val="center"/>
            <w:hideMark/>
          </w:tcPr>
          <w:p w14:paraId="5198EEB0"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42" w:type="dxa"/>
            <w:gridSpan w:val="2"/>
            <w:tcBorders>
              <w:top w:val="nil"/>
              <w:left w:val="nil"/>
              <w:bottom w:val="nil"/>
              <w:right w:val="nil"/>
            </w:tcBorders>
            <w:shd w:val="clear" w:color="auto" w:fill="auto"/>
            <w:noWrap/>
            <w:vAlign w:val="center"/>
            <w:hideMark/>
          </w:tcPr>
          <w:p w14:paraId="7309B6F8"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xml:space="preserve">- </w:t>
            </w:r>
          </w:p>
        </w:tc>
        <w:tc>
          <w:tcPr>
            <w:tcW w:w="548" w:type="dxa"/>
            <w:gridSpan w:val="2"/>
            <w:tcBorders>
              <w:top w:val="nil"/>
              <w:left w:val="nil"/>
              <w:bottom w:val="nil"/>
              <w:right w:val="nil"/>
            </w:tcBorders>
            <w:shd w:val="clear" w:color="auto" w:fill="auto"/>
            <w:noWrap/>
            <w:vAlign w:val="center"/>
            <w:hideMark/>
          </w:tcPr>
          <w:p w14:paraId="56BD2A8C"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03" w:type="dxa"/>
            <w:gridSpan w:val="2"/>
            <w:tcBorders>
              <w:top w:val="nil"/>
              <w:left w:val="nil"/>
              <w:bottom w:val="nil"/>
              <w:right w:val="nil"/>
            </w:tcBorders>
            <w:shd w:val="clear" w:color="auto" w:fill="auto"/>
            <w:noWrap/>
            <w:vAlign w:val="center"/>
            <w:hideMark/>
          </w:tcPr>
          <w:p w14:paraId="321630C6"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xml:space="preserve">- </w:t>
            </w:r>
          </w:p>
        </w:tc>
        <w:tc>
          <w:tcPr>
            <w:tcW w:w="706" w:type="dxa"/>
            <w:tcBorders>
              <w:top w:val="nil"/>
              <w:left w:val="nil"/>
              <w:bottom w:val="nil"/>
              <w:right w:val="nil"/>
            </w:tcBorders>
            <w:shd w:val="clear" w:color="auto" w:fill="auto"/>
            <w:noWrap/>
            <w:vAlign w:val="center"/>
            <w:hideMark/>
          </w:tcPr>
          <w:p w14:paraId="1859F5B2"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649" w:type="dxa"/>
            <w:tcBorders>
              <w:top w:val="nil"/>
              <w:left w:val="nil"/>
              <w:bottom w:val="nil"/>
              <w:right w:val="nil"/>
            </w:tcBorders>
            <w:shd w:val="clear" w:color="auto" w:fill="auto"/>
            <w:noWrap/>
            <w:vAlign w:val="center"/>
            <w:hideMark/>
          </w:tcPr>
          <w:p w14:paraId="4E33785E"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695,471</w:t>
            </w:r>
          </w:p>
        </w:tc>
      </w:tr>
      <w:tr w:rsidR="00490837" w:rsidRPr="00490837" w14:paraId="6C25CA7C" w14:textId="77777777" w:rsidTr="00490837">
        <w:trPr>
          <w:trHeight w:val="273"/>
        </w:trPr>
        <w:tc>
          <w:tcPr>
            <w:tcW w:w="186" w:type="dxa"/>
            <w:tcBorders>
              <w:top w:val="nil"/>
              <w:left w:val="nil"/>
              <w:bottom w:val="nil"/>
              <w:right w:val="nil"/>
            </w:tcBorders>
            <w:shd w:val="clear" w:color="auto" w:fill="auto"/>
            <w:noWrap/>
            <w:vAlign w:val="center"/>
            <w:hideMark/>
          </w:tcPr>
          <w:p w14:paraId="6203A03E"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2658" w:type="dxa"/>
            <w:gridSpan w:val="3"/>
            <w:tcBorders>
              <w:top w:val="nil"/>
              <w:left w:val="nil"/>
              <w:bottom w:val="nil"/>
              <w:right w:val="nil"/>
            </w:tcBorders>
            <w:shd w:val="clear" w:color="auto" w:fill="auto"/>
            <w:noWrap/>
            <w:vAlign w:val="center"/>
            <w:hideMark/>
          </w:tcPr>
          <w:p w14:paraId="40276029" w14:textId="77777777" w:rsidR="00490837" w:rsidRPr="00490837" w:rsidRDefault="00490837" w:rsidP="00490837">
            <w:pPr>
              <w:spacing w:before="0" w:line="240" w:lineRule="auto"/>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Finance and borrowing costs</w:t>
            </w:r>
          </w:p>
        </w:tc>
        <w:tc>
          <w:tcPr>
            <w:tcW w:w="733" w:type="dxa"/>
            <w:gridSpan w:val="3"/>
            <w:tcBorders>
              <w:top w:val="nil"/>
              <w:left w:val="nil"/>
              <w:bottom w:val="nil"/>
              <w:right w:val="nil"/>
            </w:tcBorders>
            <w:shd w:val="clear" w:color="auto" w:fill="auto"/>
            <w:noWrap/>
            <w:vAlign w:val="center"/>
            <w:hideMark/>
          </w:tcPr>
          <w:p w14:paraId="41A0E57A"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2</w:t>
            </w:r>
          </w:p>
        </w:tc>
        <w:tc>
          <w:tcPr>
            <w:tcW w:w="566" w:type="dxa"/>
            <w:gridSpan w:val="2"/>
            <w:tcBorders>
              <w:top w:val="nil"/>
              <w:left w:val="nil"/>
              <w:bottom w:val="nil"/>
              <w:right w:val="nil"/>
            </w:tcBorders>
            <w:shd w:val="clear" w:color="auto" w:fill="auto"/>
            <w:noWrap/>
            <w:vAlign w:val="center"/>
            <w:hideMark/>
          </w:tcPr>
          <w:p w14:paraId="54905854"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33" w:type="dxa"/>
            <w:gridSpan w:val="2"/>
            <w:tcBorders>
              <w:top w:val="nil"/>
              <w:left w:val="nil"/>
              <w:bottom w:val="nil"/>
              <w:right w:val="nil"/>
            </w:tcBorders>
            <w:shd w:val="clear" w:color="auto" w:fill="auto"/>
            <w:noWrap/>
            <w:vAlign w:val="center"/>
            <w:hideMark/>
          </w:tcPr>
          <w:p w14:paraId="409974A5"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22,237</w:t>
            </w:r>
          </w:p>
        </w:tc>
        <w:tc>
          <w:tcPr>
            <w:tcW w:w="544" w:type="dxa"/>
            <w:gridSpan w:val="2"/>
            <w:tcBorders>
              <w:top w:val="nil"/>
              <w:left w:val="nil"/>
              <w:bottom w:val="nil"/>
              <w:right w:val="nil"/>
            </w:tcBorders>
            <w:shd w:val="clear" w:color="auto" w:fill="auto"/>
            <w:noWrap/>
            <w:vAlign w:val="center"/>
            <w:hideMark/>
          </w:tcPr>
          <w:p w14:paraId="5A1CA785"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00" w:type="dxa"/>
            <w:gridSpan w:val="2"/>
            <w:tcBorders>
              <w:top w:val="nil"/>
              <w:left w:val="nil"/>
              <w:bottom w:val="nil"/>
              <w:right w:val="nil"/>
            </w:tcBorders>
            <w:shd w:val="clear" w:color="auto" w:fill="auto"/>
            <w:noWrap/>
            <w:vAlign w:val="center"/>
            <w:hideMark/>
          </w:tcPr>
          <w:p w14:paraId="18538165"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4</w:t>
            </w:r>
          </w:p>
        </w:tc>
        <w:tc>
          <w:tcPr>
            <w:tcW w:w="542" w:type="dxa"/>
            <w:gridSpan w:val="3"/>
            <w:tcBorders>
              <w:top w:val="nil"/>
              <w:left w:val="nil"/>
              <w:bottom w:val="nil"/>
              <w:right w:val="nil"/>
            </w:tcBorders>
            <w:shd w:val="clear" w:color="auto" w:fill="auto"/>
            <w:noWrap/>
            <w:vAlign w:val="center"/>
            <w:hideMark/>
          </w:tcPr>
          <w:p w14:paraId="5697BEA1"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06" w:type="dxa"/>
            <w:gridSpan w:val="2"/>
            <w:tcBorders>
              <w:top w:val="nil"/>
              <w:left w:val="nil"/>
              <w:bottom w:val="nil"/>
              <w:right w:val="nil"/>
            </w:tcBorders>
            <w:shd w:val="clear" w:color="auto" w:fill="auto"/>
            <w:noWrap/>
            <w:vAlign w:val="center"/>
            <w:hideMark/>
          </w:tcPr>
          <w:p w14:paraId="16791682"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4</w:t>
            </w:r>
          </w:p>
        </w:tc>
        <w:tc>
          <w:tcPr>
            <w:tcW w:w="550" w:type="dxa"/>
            <w:gridSpan w:val="2"/>
            <w:tcBorders>
              <w:top w:val="nil"/>
              <w:left w:val="nil"/>
              <w:bottom w:val="nil"/>
              <w:right w:val="nil"/>
            </w:tcBorders>
            <w:shd w:val="clear" w:color="auto" w:fill="auto"/>
            <w:noWrap/>
            <w:vAlign w:val="center"/>
            <w:hideMark/>
          </w:tcPr>
          <w:p w14:paraId="3E6141E8"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695" w:type="dxa"/>
            <w:gridSpan w:val="2"/>
            <w:tcBorders>
              <w:top w:val="nil"/>
              <w:left w:val="nil"/>
              <w:bottom w:val="nil"/>
              <w:right w:val="nil"/>
            </w:tcBorders>
            <w:shd w:val="clear" w:color="auto" w:fill="auto"/>
            <w:noWrap/>
            <w:vAlign w:val="center"/>
            <w:hideMark/>
          </w:tcPr>
          <w:p w14:paraId="342A4277"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95,657</w:t>
            </w:r>
          </w:p>
        </w:tc>
        <w:tc>
          <w:tcPr>
            <w:tcW w:w="553" w:type="dxa"/>
            <w:gridSpan w:val="2"/>
            <w:tcBorders>
              <w:top w:val="nil"/>
              <w:left w:val="nil"/>
              <w:bottom w:val="nil"/>
              <w:right w:val="nil"/>
            </w:tcBorders>
            <w:shd w:val="clear" w:color="auto" w:fill="auto"/>
            <w:noWrap/>
            <w:vAlign w:val="center"/>
            <w:hideMark/>
          </w:tcPr>
          <w:p w14:paraId="54449942"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42" w:type="dxa"/>
            <w:gridSpan w:val="2"/>
            <w:tcBorders>
              <w:top w:val="nil"/>
              <w:left w:val="nil"/>
              <w:bottom w:val="nil"/>
              <w:right w:val="nil"/>
            </w:tcBorders>
            <w:shd w:val="clear" w:color="auto" w:fill="auto"/>
            <w:noWrap/>
            <w:vAlign w:val="center"/>
            <w:hideMark/>
          </w:tcPr>
          <w:p w14:paraId="66B8647F"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1,174</w:t>
            </w:r>
          </w:p>
        </w:tc>
        <w:tc>
          <w:tcPr>
            <w:tcW w:w="548" w:type="dxa"/>
            <w:gridSpan w:val="2"/>
            <w:tcBorders>
              <w:top w:val="nil"/>
              <w:left w:val="nil"/>
              <w:bottom w:val="nil"/>
              <w:right w:val="nil"/>
            </w:tcBorders>
            <w:shd w:val="clear" w:color="auto" w:fill="auto"/>
            <w:noWrap/>
            <w:vAlign w:val="center"/>
            <w:hideMark/>
          </w:tcPr>
          <w:p w14:paraId="4AF44F14"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03" w:type="dxa"/>
            <w:gridSpan w:val="2"/>
            <w:tcBorders>
              <w:top w:val="nil"/>
              <w:left w:val="nil"/>
              <w:bottom w:val="nil"/>
              <w:right w:val="nil"/>
            </w:tcBorders>
            <w:shd w:val="clear" w:color="auto" w:fill="auto"/>
            <w:noWrap/>
            <w:vAlign w:val="center"/>
            <w:hideMark/>
          </w:tcPr>
          <w:p w14:paraId="198A7E2C"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-1,200</w:t>
            </w:r>
          </w:p>
        </w:tc>
        <w:tc>
          <w:tcPr>
            <w:tcW w:w="706" w:type="dxa"/>
            <w:tcBorders>
              <w:top w:val="nil"/>
              <w:left w:val="nil"/>
              <w:bottom w:val="nil"/>
              <w:right w:val="nil"/>
            </w:tcBorders>
            <w:shd w:val="clear" w:color="auto" w:fill="auto"/>
            <w:noWrap/>
            <w:vAlign w:val="center"/>
            <w:hideMark/>
          </w:tcPr>
          <w:p w14:paraId="71171188"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649" w:type="dxa"/>
            <w:tcBorders>
              <w:top w:val="nil"/>
              <w:left w:val="nil"/>
              <w:bottom w:val="nil"/>
              <w:right w:val="nil"/>
            </w:tcBorders>
            <w:shd w:val="clear" w:color="auto" w:fill="auto"/>
            <w:noWrap/>
            <w:vAlign w:val="center"/>
            <w:hideMark/>
          </w:tcPr>
          <w:p w14:paraId="1D088D6A"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117,878</w:t>
            </w:r>
          </w:p>
        </w:tc>
      </w:tr>
      <w:tr w:rsidR="00490837" w:rsidRPr="00490837" w14:paraId="1A0053CD" w14:textId="77777777" w:rsidTr="00490837">
        <w:trPr>
          <w:trHeight w:val="273"/>
        </w:trPr>
        <w:tc>
          <w:tcPr>
            <w:tcW w:w="186" w:type="dxa"/>
            <w:tcBorders>
              <w:top w:val="nil"/>
              <w:left w:val="nil"/>
              <w:bottom w:val="nil"/>
              <w:right w:val="nil"/>
            </w:tcBorders>
            <w:shd w:val="clear" w:color="auto" w:fill="auto"/>
            <w:noWrap/>
            <w:vAlign w:val="center"/>
            <w:hideMark/>
          </w:tcPr>
          <w:p w14:paraId="00D5F2FC"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2658" w:type="dxa"/>
            <w:gridSpan w:val="3"/>
            <w:tcBorders>
              <w:top w:val="nil"/>
              <w:left w:val="nil"/>
              <w:bottom w:val="nil"/>
              <w:right w:val="nil"/>
            </w:tcBorders>
            <w:shd w:val="clear" w:color="auto" w:fill="auto"/>
            <w:noWrap/>
            <w:vAlign w:val="center"/>
            <w:hideMark/>
          </w:tcPr>
          <w:p w14:paraId="2AD74B72" w14:textId="77777777" w:rsidR="00490837" w:rsidRPr="00490837" w:rsidRDefault="00490837" w:rsidP="00490837">
            <w:pPr>
              <w:spacing w:before="0" w:line="240" w:lineRule="auto"/>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Impairment losses/(reversals)</w:t>
            </w:r>
          </w:p>
        </w:tc>
        <w:tc>
          <w:tcPr>
            <w:tcW w:w="733" w:type="dxa"/>
            <w:gridSpan w:val="3"/>
            <w:tcBorders>
              <w:top w:val="nil"/>
              <w:left w:val="nil"/>
              <w:bottom w:val="nil"/>
              <w:right w:val="nil"/>
            </w:tcBorders>
            <w:shd w:val="clear" w:color="auto" w:fill="auto"/>
            <w:noWrap/>
            <w:vAlign w:val="center"/>
            <w:hideMark/>
          </w:tcPr>
          <w:p w14:paraId="20761A1A"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129</w:t>
            </w:r>
          </w:p>
        </w:tc>
        <w:tc>
          <w:tcPr>
            <w:tcW w:w="566" w:type="dxa"/>
            <w:gridSpan w:val="2"/>
            <w:tcBorders>
              <w:top w:val="nil"/>
              <w:left w:val="nil"/>
              <w:bottom w:val="nil"/>
              <w:right w:val="nil"/>
            </w:tcBorders>
            <w:shd w:val="clear" w:color="auto" w:fill="auto"/>
            <w:noWrap/>
            <w:vAlign w:val="center"/>
            <w:hideMark/>
          </w:tcPr>
          <w:p w14:paraId="6DD41393"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33" w:type="dxa"/>
            <w:gridSpan w:val="2"/>
            <w:tcBorders>
              <w:top w:val="nil"/>
              <w:left w:val="nil"/>
              <w:bottom w:val="nil"/>
              <w:right w:val="nil"/>
            </w:tcBorders>
            <w:shd w:val="clear" w:color="auto" w:fill="auto"/>
            <w:noWrap/>
            <w:vAlign w:val="center"/>
            <w:hideMark/>
          </w:tcPr>
          <w:p w14:paraId="7BFFD277"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2,630</w:t>
            </w:r>
          </w:p>
        </w:tc>
        <w:tc>
          <w:tcPr>
            <w:tcW w:w="544" w:type="dxa"/>
            <w:gridSpan w:val="2"/>
            <w:tcBorders>
              <w:top w:val="nil"/>
              <w:left w:val="nil"/>
              <w:bottom w:val="nil"/>
              <w:right w:val="nil"/>
            </w:tcBorders>
            <w:shd w:val="clear" w:color="auto" w:fill="auto"/>
            <w:noWrap/>
            <w:vAlign w:val="center"/>
            <w:hideMark/>
          </w:tcPr>
          <w:p w14:paraId="203A2295"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00" w:type="dxa"/>
            <w:gridSpan w:val="2"/>
            <w:tcBorders>
              <w:top w:val="nil"/>
              <w:left w:val="nil"/>
              <w:bottom w:val="nil"/>
              <w:right w:val="nil"/>
            </w:tcBorders>
            <w:shd w:val="clear" w:color="auto" w:fill="auto"/>
            <w:noWrap/>
            <w:vAlign w:val="center"/>
            <w:hideMark/>
          </w:tcPr>
          <w:p w14:paraId="714D71A3"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-18</w:t>
            </w:r>
          </w:p>
        </w:tc>
        <w:tc>
          <w:tcPr>
            <w:tcW w:w="542" w:type="dxa"/>
            <w:gridSpan w:val="3"/>
            <w:tcBorders>
              <w:top w:val="nil"/>
              <w:left w:val="nil"/>
              <w:bottom w:val="nil"/>
              <w:right w:val="nil"/>
            </w:tcBorders>
            <w:shd w:val="clear" w:color="auto" w:fill="auto"/>
            <w:noWrap/>
            <w:vAlign w:val="center"/>
            <w:hideMark/>
          </w:tcPr>
          <w:p w14:paraId="430D6D4E"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06" w:type="dxa"/>
            <w:gridSpan w:val="2"/>
            <w:tcBorders>
              <w:top w:val="nil"/>
              <w:left w:val="nil"/>
              <w:bottom w:val="nil"/>
              <w:right w:val="nil"/>
            </w:tcBorders>
            <w:shd w:val="clear" w:color="auto" w:fill="auto"/>
            <w:noWrap/>
            <w:vAlign w:val="center"/>
            <w:hideMark/>
          </w:tcPr>
          <w:p w14:paraId="7527232C"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62</w:t>
            </w:r>
          </w:p>
        </w:tc>
        <w:tc>
          <w:tcPr>
            <w:tcW w:w="550" w:type="dxa"/>
            <w:gridSpan w:val="2"/>
            <w:tcBorders>
              <w:top w:val="nil"/>
              <w:left w:val="nil"/>
              <w:bottom w:val="nil"/>
              <w:right w:val="nil"/>
            </w:tcBorders>
            <w:shd w:val="clear" w:color="auto" w:fill="auto"/>
            <w:noWrap/>
            <w:vAlign w:val="center"/>
            <w:hideMark/>
          </w:tcPr>
          <w:p w14:paraId="797D4704"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695" w:type="dxa"/>
            <w:gridSpan w:val="2"/>
            <w:tcBorders>
              <w:top w:val="nil"/>
              <w:left w:val="nil"/>
              <w:bottom w:val="nil"/>
              <w:right w:val="nil"/>
            </w:tcBorders>
            <w:shd w:val="clear" w:color="auto" w:fill="auto"/>
            <w:noWrap/>
            <w:vAlign w:val="center"/>
            <w:hideMark/>
          </w:tcPr>
          <w:p w14:paraId="561A645B"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-185</w:t>
            </w:r>
          </w:p>
        </w:tc>
        <w:tc>
          <w:tcPr>
            <w:tcW w:w="553" w:type="dxa"/>
            <w:gridSpan w:val="2"/>
            <w:tcBorders>
              <w:top w:val="nil"/>
              <w:left w:val="nil"/>
              <w:bottom w:val="nil"/>
              <w:right w:val="nil"/>
            </w:tcBorders>
            <w:shd w:val="clear" w:color="auto" w:fill="auto"/>
            <w:noWrap/>
            <w:vAlign w:val="center"/>
            <w:hideMark/>
          </w:tcPr>
          <w:p w14:paraId="4D88D34B"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42" w:type="dxa"/>
            <w:gridSpan w:val="2"/>
            <w:tcBorders>
              <w:top w:val="nil"/>
              <w:left w:val="nil"/>
              <w:bottom w:val="nil"/>
              <w:right w:val="nil"/>
            </w:tcBorders>
            <w:shd w:val="clear" w:color="auto" w:fill="auto"/>
            <w:noWrap/>
            <w:vAlign w:val="center"/>
            <w:hideMark/>
          </w:tcPr>
          <w:p w14:paraId="151ED517"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-243</w:t>
            </w:r>
          </w:p>
        </w:tc>
        <w:tc>
          <w:tcPr>
            <w:tcW w:w="548" w:type="dxa"/>
            <w:gridSpan w:val="2"/>
            <w:tcBorders>
              <w:top w:val="nil"/>
              <w:left w:val="nil"/>
              <w:bottom w:val="nil"/>
              <w:right w:val="nil"/>
            </w:tcBorders>
            <w:shd w:val="clear" w:color="auto" w:fill="auto"/>
            <w:noWrap/>
            <w:vAlign w:val="center"/>
            <w:hideMark/>
          </w:tcPr>
          <w:p w14:paraId="5AE19BF6"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03" w:type="dxa"/>
            <w:gridSpan w:val="2"/>
            <w:tcBorders>
              <w:top w:val="nil"/>
              <w:left w:val="nil"/>
              <w:bottom w:val="nil"/>
              <w:right w:val="nil"/>
            </w:tcBorders>
            <w:shd w:val="clear" w:color="auto" w:fill="auto"/>
            <w:noWrap/>
            <w:vAlign w:val="center"/>
            <w:hideMark/>
          </w:tcPr>
          <w:p w14:paraId="1C290695"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xml:space="preserve">- </w:t>
            </w:r>
          </w:p>
        </w:tc>
        <w:tc>
          <w:tcPr>
            <w:tcW w:w="706" w:type="dxa"/>
            <w:tcBorders>
              <w:top w:val="nil"/>
              <w:left w:val="nil"/>
              <w:bottom w:val="nil"/>
              <w:right w:val="nil"/>
            </w:tcBorders>
            <w:shd w:val="clear" w:color="auto" w:fill="auto"/>
            <w:noWrap/>
            <w:vAlign w:val="center"/>
            <w:hideMark/>
          </w:tcPr>
          <w:p w14:paraId="6CEE5047"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649" w:type="dxa"/>
            <w:tcBorders>
              <w:top w:val="nil"/>
              <w:left w:val="nil"/>
              <w:bottom w:val="nil"/>
              <w:right w:val="nil"/>
            </w:tcBorders>
            <w:shd w:val="clear" w:color="auto" w:fill="auto"/>
            <w:noWrap/>
            <w:vAlign w:val="center"/>
            <w:hideMark/>
          </w:tcPr>
          <w:p w14:paraId="0D8A9EF2"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2,375</w:t>
            </w:r>
          </w:p>
        </w:tc>
      </w:tr>
      <w:tr w:rsidR="00490837" w:rsidRPr="00490837" w14:paraId="3F8F9A44" w14:textId="77777777" w:rsidTr="00490837">
        <w:trPr>
          <w:trHeight w:val="273"/>
        </w:trPr>
        <w:tc>
          <w:tcPr>
            <w:tcW w:w="186" w:type="dxa"/>
            <w:tcBorders>
              <w:top w:val="nil"/>
              <w:left w:val="nil"/>
              <w:bottom w:val="nil"/>
              <w:right w:val="nil"/>
            </w:tcBorders>
            <w:shd w:val="clear" w:color="auto" w:fill="auto"/>
            <w:noWrap/>
            <w:vAlign w:val="center"/>
            <w:hideMark/>
          </w:tcPr>
          <w:p w14:paraId="199BA78E"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2658" w:type="dxa"/>
            <w:gridSpan w:val="3"/>
            <w:tcBorders>
              <w:top w:val="nil"/>
              <w:left w:val="nil"/>
              <w:bottom w:val="nil"/>
              <w:right w:val="nil"/>
            </w:tcBorders>
            <w:shd w:val="clear" w:color="auto" w:fill="auto"/>
            <w:noWrap/>
            <w:vAlign w:val="center"/>
            <w:hideMark/>
          </w:tcPr>
          <w:p w14:paraId="0377C263" w14:textId="77777777" w:rsidR="00490837" w:rsidRPr="00490837" w:rsidRDefault="00490837" w:rsidP="00490837">
            <w:pPr>
              <w:spacing w:before="0" w:line="240" w:lineRule="auto"/>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xml:space="preserve">Depreciation and amortisation </w:t>
            </w:r>
          </w:p>
        </w:tc>
        <w:tc>
          <w:tcPr>
            <w:tcW w:w="733" w:type="dxa"/>
            <w:gridSpan w:val="3"/>
            <w:tcBorders>
              <w:top w:val="nil"/>
              <w:left w:val="nil"/>
              <w:bottom w:val="nil"/>
              <w:right w:val="nil"/>
            </w:tcBorders>
            <w:shd w:val="clear" w:color="auto" w:fill="auto"/>
            <w:noWrap/>
            <w:vAlign w:val="center"/>
            <w:hideMark/>
          </w:tcPr>
          <w:p w14:paraId="2469149A"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4,674</w:t>
            </w:r>
          </w:p>
        </w:tc>
        <w:tc>
          <w:tcPr>
            <w:tcW w:w="566" w:type="dxa"/>
            <w:gridSpan w:val="2"/>
            <w:tcBorders>
              <w:top w:val="nil"/>
              <w:left w:val="nil"/>
              <w:bottom w:val="nil"/>
              <w:right w:val="nil"/>
            </w:tcBorders>
            <w:shd w:val="clear" w:color="auto" w:fill="auto"/>
            <w:noWrap/>
            <w:vAlign w:val="center"/>
            <w:hideMark/>
          </w:tcPr>
          <w:p w14:paraId="6E481A1B"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33" w:type="dxa"/>
            <w:gridSpan w:val="2"/>
            <w:tcBorders>
              <w:top w:val="nil"/>
              <w:left w:val="nil"/>
              <w:bottom w:val="nil"/>
              <w:right w:val="nil"/>
            </w:tcBorders>
            <w:shd w:val="clear" w:color="auto" w:fill="auto"/>
            <w:noWrap/>
            <w:vAlign w:val="center"/>
            <w:hideMark/>
          </w:tcPr>
          <w:p w14:paraId="5F1E668F"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1,139,889</w:t>
            </w:r>
          </w:p>
        </w:tc>
        <w:tc>
          <w:tcPr>
            <w:tcW w:w="544" w:type="dxa"/>
            <w:gridSpan w:val="2"/>
            <w:tcBorders>
              <w:top w:val="nil"/>
              <w:left w:val="nil"/>
              <w:bottom w:val="nil"/>
              <w:right w:val="nil"/>
            </w:tcBorders>
            <w:shd w:val="clear" w:color="auto" w:fill="auto"/>
            <w:noWrap/>
            <w:vAlign w:val="center"/>
            <w:hideMark/>
          </w:tcPr>
          <w:p w14:paraId="2C515364"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00" w:type="dxa"/>
            <w:gridSpan w:val="2"/>
            <w:tcBorders>
              <w:top w:val="nil"/>
              <w:left w:val="nil"/>
              <w:bottom w:val="nil"/>
              <w:right w:val="nil"/>
            </w:tcBorders>
            <w:shd w:val="clear" w:color="auto" w:fill="auto"/>
            <w:noWrap/>
            <w:vAlign w:val="center"/>
            <w:hideMark/>
          </w:tcPr>
          <w:p w14:paraId="46F8FC31"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10,889</w:t>
            </w:r>
          </w:p>
        </w:tc>
        <w:tc>
          <w:tcPr>
            <w:tcW w:w="542" w:type="dxa"/>
            <w:gridSpan w:val="3"/>
            <w:tcBorders>
              <w:top w:val="nil"/>
              <w:left w:val="nil"/>
              <w:bottom w:val="nil"/>
              <w:right w:val="nil"/>
            </w:tcBorders>
            <w:shd w:val="clear" w:color="auto" w:fill="auto"/>
            <w:noWrap/>
            <w:vAlign w:val="center"/>
            <w:hideMark/>
          </w:tcPr>
          <w:p w14:paraId="58EFCDF9"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06" w:type="dxa"/>
            <w:gridSpan w:val="2"/>
            <w:tcBorders>
              <w:top w:val="nil"/>
              <w:left w:val="nil"/>
              <w:bottom w:val="nil"/>
              <w:right w:val="nil"/>
            </w:tcBorders>
            <w:shd w:val="clear" w:color="auto" w:fill="auto"/>
            <w:noWrap/>
            <w:vAlign w:val="center"/>
            <w:hideMark/>
          </w:tcPr>
          <w:p w14:paraId="02BDB210"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6,402</w:t>
            </w:r>
          </w:p>
        </w:tc>
        <w:tc>
          <w:tcPr>
            <w:tcW w:w="550" w:type="dxa"/>
            <w:gridSpan w:val="2"/>
            <w:tcBorders>
              <w:top w:val="nil"/>
              <w:left w:val="nil"/>
              <w:bottom w:val="nil"/>
              <w:right w:val="nil"/>
            </w:tcBorders>
            <w:shd w:val="clear" w:color="auto" w:fill="auto"/>
            <w:noWrap/>
            <w:vAlign w:val="center"/>
            <w:hideMark/>
          </w:tcPr>
          <w:p w14:paraId="4264B2CE"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695" w:type="dxa"/>
            <w:gridSpan w:val="2"/>
            <w:tcBorders>
              <w:top w:val="nil"/>
              <w:left w:val="nil"/>
              <w:bottom w:val="nil"/>
              <w:right w:val="nil"/>
            </w:tcBorders>
            <w:shd w:val="clear" w:color="auto" w:fill="auto"/>
            <w:noWrap/>
            <w:vAlign w:val="center"/>
            <w:hideMark/>
          </w:tcPr>
          <w:p w14:paraId="2C2C5C03"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94,387</w:t>
            </w:r>
          </w:p>
        </w:tc>
        <w:tc>
          <w:tcPr>
            <w:tcW w:w="553" w:type="dxa"/>
            <w:gridSpan w:val="2"/>
            <w:tcBorders>
              <w:top w:val="nil"/>
              <w:left w:val="nil"/>
              <w:bottom w:val="nil"/>
              <w:right w:val="nil"/>
            </w:tcBorders>
            <w:shd w:val="clear" w:color="auto" w:fill="auto"/>
            <w:noWrap/>
            <w:vAlign w:val="center"/>
            <w:hideMark/>
          </w:tcPr>
          <w:p w14:paraId="3CD29B08"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42" w:type="dxa"/>
            <w:gridSpan w:val="2"/>
            <w:tcBorders>
              <w:top w:val="nil"/>
              <w:left w:val="nil"/>
              <w:bottom w:val="nil"/>
              <w:right w:val="nil"/>
            </w:tcBorders>
            <w:shd w:val="clear" w:color="auto" w:fill="auto"/>
            <w:noWrap/>
            <w:vAlign w:val="center"/>
            <w:hideMark/>
          </w:tcPr>
          <w:p w14:paraId="769267BB"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8,894</w:t>
            </w:r>
          </w:p>
        </w:tc>
        <w:tc>
          <w:tcPr>
            <w:tcW w:w="548" w:type="dxa"/>
            <w:gridSpan w:val="2"/>
            <w:tcBorders>
              <w:top w:val="nil"/>
              <w:left w:val="nil"/>
              <w:bottom w:val="nil"/>
              <w:right w:val="nil"/>
            </w:tcBorders>
            <w:shd w:val="clear" w:color="auto" w:fill="auto"/>
            <w:noWrap/>
            <w:vAlign w:val="center"/>
            <w:hideMark/>
          </w:tcPr>
          <w:p w14:paraId="69A26B5D"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703" w:type="dxa"/>
            <w:gridSpan w:val="2"/>
            <w:tcBorders>
              <w:top w:val="nil"/>
              <w:left w:val="nil"/>
              <w:bottom w:val="nil"/>
              <w:right w:val="nil"/>
            </w:tcBorders>
            <w:shd w:val="clear" w:color="auto" w:fill="auto"/>
            <w:noWrap/>
            <w:vAlign w:val="center"/>
            <w:hideMark/>
          </w:tcPr>
          <w:p w14:paraId="16FDC77F"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xml:space="preserve">- </w:t>
            </w:r>
          </w:p>
        </w:tc>
        <w:tc>
          <w:tcPr>
            <w:tcW w:w="706" w:type="dxa"/>
            <w:tcBorders>
              <w:top w:val="nil"/>
              <w:left w:val="nil"/>
              <w:bottom w:val="nil"/>
              <w:right w:val="nil"/>
            </w:tcBorders>
            <w:shd w:val="clear" w:color="auto" w:fill="auto"/>
            <w:noWrap/>
            <w:vAlign w:val="center"/>
            <w:hideMark/>
          </w:tcPr>
          <w:p w14:paraId="20DB1E84"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p>
        </w:tc>
        <w:tc>
          <w:tcPr>
            <w:tcW w:w="649" w:type="dxa"/>
            <w:tcBorders>
              <w:top w:val="nil"/>
              <w:left w:val="nil"/>
              <w:bottom w:val="nil"/>
              <w:right w:val="nil"/>
            </w:tcBorders>
            <w:shd w:val="clear" w:color="auto" w:fill="auto"/>
            <w:noWrap/>
            <w:vAlign w:val="center"/>
            <w:hideMark/>
          </w:tcPr>
          <w:p w14:paraId="112E7D75"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1,265,135</w:t>
            </w:r>
          </w:p>
        </w:tc>
      </w:tr>
      <w:tr w:rsidR="00490837" w:rsidRPr="00490837" w14:paraId="497655A1" w14:textId="77777777" w:rsidTr="00490837">
        <w:trPr>
          <w:trHeight w:hRule="exact" w:val="594"/>
        </w:trPr>
        <w:tc>
          <w:tcPr>
            <w:tcW w:w="186" w:type="dxa"/>
            <w:tcBorders>
              <w:top w:val="nil"/>
              <w:left w:val="nil"/>
              <w:bottom w:val="single" w:sz="8" w:space="0" w:color="auto"/>
              <w:right w:val="nil"/>
            </w:tcBorders>
            <w:shd w:val="clear" w:color="auto" w:fill="auto"/>
            <w:noWrap/>
            <w:vAlign w:val="center"/>
            <w:hideMark/>
          </w:tcPr>
          <w:p w14:paraId="031DF55A" w14:textId="77777777" w:rsidR="00490837" w:rsidRPr="00490837" w:rsidRDefault="00490837" w:rsidP="00490837">
            <w:pPr>
              <w:spacing w:before="0" w:line="240" w:lineRule="auto"/>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2658" w:type="dxa"/>
            <w:gridSpan w:val="3"/>
            <w:tcBorders>
              <w:top w:val="nil"/>
              <w:left w:val="nil"/>
              <w:bottom w:val="nil"/>
              <w:right w:val="nil"/>
            </w:tcBorders>
            <w:shd w:val="clear" w:color="auto" w:fill="auto"/>
            <w:noWrap/>
            <w:vAlign w:val="center"/>
            <w:hideMark/>
          </w:tcPr>
          <w:p w14:paraId="2F5A3E96" w14:textId="77777777" w:rsidR="00490837" w:rsidRPr="00490837" w:rsidRDefault="00490837" w:rsidP="00490837">
            <w:pPr>
              <w:spacing w:before="0" w:line="240" w:lineRule="auto"/>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Other expenses</w:t>
            </w:r>
          </w:p>
        </w:tc>
        <w:tc>
          <w:tcPr>
            <w:tcW w:w="733" w:type="dxa"/>
            <w:gridSpan w:val="3"/>
            <w:tcBorders>
              <w:top w:val="nil"/>
              <w:left w:val="nil"/>
              <w:bottom w:val="single" w:sz="8" w:space="0" w:color="auto"/>
              <w:right w:val="nil"/>
            </w:tcBorders>
            <w:shd w:val="clear" w:color="auto" w:fill="auto"/>
            <w:noWrap/>
            <w:vAlign w:val="center"/>
            <w:hideMark/>
          </w:tcPr>
          <w:p w14:paraId="341FBF83"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297</w:t>
            </w:r>
          </w:p>
        </w:tc>
        <w:tc>
          <w:tcPr>
            <w:tcW w:w="566" w:type="dxa"/>
            <w:gridSpan w:val="2"/>
            <w:tcBorders>
              <w:top w:val="nil"/>
              <w:left w:val="nil"/>
              <w:bottom w:val="single" w:sz="8" w:space="0" w:color="auto"/>
              <w:right w:val="nil"/>
            </w:tcBorders>
            <w:shd w:val="clear" w:color="auto" w:fill="auto"/>
            <w:noWrap/>
            <w:vAlign w:val="center"/>
            <w:hideMark/>
          </w:tcPr>
          <w:p w14:paraId="4102C5DA"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733" w:type="dxa"/>
            <w:gridSpan w:val="2"/>
            <w:tcBorders>
              <w:top w:val="nil"/>
              <w:left w:val="nil"/>
              <w:bottom w:val="single" w:sz="8" w:space="0" w:color="auto"/>
              <w:right w:val="nil"/>
            </w:tcBorders>
            <w:shd w:val="clear" w:color="auto" w:fill="auto"/>
            <w:noWrap/>
            <w:vAlign w:val="center"/>
            <w:hideMark/>
          </w:tcPr>
          <w:p w14:paraId="226D1E0E"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35,387</w:t>
            </w:r>
          </w:p>
        </w:tc>
        <w:tc>
          <w:tcPr>
            <w:tcW w:w="544" w:type="dxa"/>
            <w:gridSpan w:val="2"/>
            <w:tcBorders>
              <w:top w:val="nil"/>
              <w:left w:val="nil"/>
              <w:bottom w:val="single" w:sz="8" w:space="0" w:color="auto"/>
              <w:right w:val="nil"/>
            </w:tcBorders>
            <w:shd w:val="clear" w:color="auto" w:fill="auto"/>
            <w:noWrap/>
            <w:vAlign w:val="center"/>
            <w:hideMark/>
          </w:tcPr>
          <w:p w14:paraId="4F26BB1A"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700" w:type="dxa"/>
            <w:gridSpan w:val="2"/>
            <w:tcBorders>
              <w:top w:val="nil"/>
              <w:left w:val="nil"/>
              <w:bottom w:val="single" w:sz="8" w:space="0" w:color="auto"/>
              <w:right w:val="nil"/>
            </w:tcBorders>
            <w:shd w:val="clear" w:color="auto" w:fill="auto"/>
            <w:noWrap/>
            <w:vAlign w:val="center"/>
            <w:hideMark/>
          </w:tcPr>
          <w:p w14:paraId="1BE4C13E"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940</w:t>
            </w:r>
          </w:p>
        </w:tc>
        <w:tc>
          <w:tcPr>
            <w:tcW w:w="542" w:type="dxa"/>
            <w:gridSpan w:val="3"/>
            <w:tcBorders>
              <w:top w:val="nil"/>
              <w:left w:val="nil"/>
              <w:bottom w:val="single" w:sz="8" w:space="0" w:color="auto"/>
              <w:right w:val="nil"/>
            </w:tcBorders>
            <w:shd w:val="clear" w:color="auto" w:fill="auto"/>
            <w:noWrap/>
            <w:vAlign w:val="center"/>
            <w:hideMark/>
          </w:tcPr>
          <w:p w14:paraId="31D63779"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706" w:type="dxa"/>
            <w:gridSpan w:val="2"/>
            <w:tcBorders>
              <w:top w:val="nil"/>
              <w:left w:val="nil"/>
              <w:bottom w:val="single" w:sz="8" w:space="0" w:color="auto"/>
              <w:right w:val="nil"/>
            </w:tcBorders>
            <w:shd w:val="clear" w:color="auto" w:fill="auto"/>
            <w:noWrap/>
            <w:vAlign w:val="center"/>
            <w:hideMark/>
          </w:tcPr>
          <w:p w14:paraId="021AEF88"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447</w:t>
            </w:r>
          </w:p>
        </w:tc>
        <w:tc>
          <w:tcPr>
            <w:tcW w:w="550" w:type="dxa"/>
            <w:gridSpan w:val="2"/>
            <w:tcBorders>
              <w:top w:val="nil"/>
              <w:left w:val="nil"/>
              <w:bottom w:val="single" w:sz="8" w:space="0" w:color="auto"/>
              <w:right w:val="nil"/>
            </w:tcBorders>
            <w:shd w:val="clear" w:color="auto" w:fill="auto"/>
            <w:noWrap/>
            <w:vAlign w:val="center"/>
            <w:hideMark/>
          </w:tcPr>
          <w:p w14:paraId="5E63EE53"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695" w:type="dxa"/>
            <w:gridSpan w:val="2"/>
            <w:tcBorders>
              <w:top w:val="nil"/>
              <w:left w:val="nil"/>
              <w:bottom w:val="single" w:sz="8" w:space="0" w:color="auto"/>
              <w:right w:val="nil"/>
            </w:tcBorders>
            <w:shd w:val="clear" w:color="auto" w:fill="auto"/>
            <w:noWrap/>
            <w:vAlign w:val="center"/>
            <w:hideMark/>
          </w:tcPr>
          <w:p w14:paraId="3ABACFA8"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1,604</w:t>
            </w:r>
          </w:p>
        </w:tc>
        <w:tc>
          <w:tcPr>
            <w:tcW w:w="553" w:type="dxa"/>
            <w:gridSpan w:val="2"/>
            <w:tcBorders>
              <w:top w:val="nil"/>
              <w:left w:val="nil"/>
              <w:bottom w:val="single" w:sz="8" w:space="0" w:color="auto"/>
              <w:right w:val="nil"/>
            </w:tcBorders>
            <w:shd w:val="clear" w:color="auto" w:fill="auto"/>
            <w:noWrap/>
            <w:vAlign w:val="center"/>
            <w:hideMark/>
          </w:tcPr>
          <w:p w14:paraId="2BBD20EC"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742" w:type="dxa"/>
            <w:gridSpan w:val="2"/>
            <w:tcBorders>
              <w:top w:val="nil"/>
              <w:left w:val="nil"/>
              <w:bottom w:val="single" w:sz="8" w:space="0" w:color="auto"/>
              <w:right w:val="nil"/>
            </w:tcBorders>
            <w:shd w:val="clear" w:color="auto" w:fill="auto"/>
            <w:noWrap/>
            <w:vAlign w:val="center"/>
            <w:hideMark/>
          </w:tcPr>
          <w:p w14:paraId="11A4BCC1"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22,426</w:t>
            </w:r>
          </w:p>
        </w:tc>
        <w:tc>
          <w:tcPr>
            <w:tcW w:w="548" w:type="dxa"/>
            <w:gridSpan w:val="2"/>
            <w:tcBorders>
              <w:top w:val="nil"/>
              <w:left w:val="nil"/>
              <w:bottom w:val="single" w:sz="8" w:space="0" w:color="auto"/>
              <w:right w:val="nil"/>
            </w:tcBorders>
            <w:shd w:val="clear" w:color="auto" w:fill="auto"/>
            <w:noWrap/>
            <w:vAlign w:val="center"/>
            <w:hideMark/>
          </w:tcPr>
          <w:p w14:paraId="77E9E25F"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703" w:type="dxa"/>
            <w:gridSpan w:val="2"/>
            <w:tcBorders>
              <w:top w:val="nil"/>
              <w:left w:val="nil"/>
              <w:bottom w:val="single" w:sz="8" w:space="0" w:color="auto"/>
              <w:right w:val="nil"/>
            </w:tcBorders>
            <w:shd w:val="clear" w:color="auto" w:fill="auto"/>
            <w:noWrap/>
            <w:vAlign w:val="center"/>
            <w:hideMark/>
          </w:tcPr>
          <w:p w14:paraId="629E416F"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-21,007</w:t>
            </w:r>
          </w:p>
        </w:tc>
        <w:tc>
          <w:tcPr>
            <w:tcW w:w="706" w:type="dxa"/>
            <w:tcBorders>
              <w:top w:val="nil"/>
              <w:left w:val="nil"/>
              <w:bottom w:val="single" w:sz="8" w:space="0" w:color="auto"/>
              <w:right w:val="nil"/>
            </w:tcBorders>
            <w:shd w:val="clear" w:color="auto" w:fill="auto"/>
            <w:noWrap/>
            <w:vAlign w:val="center"/>
            <w:hideMark/>
          </w:tcPr>
          <w:p w14:paraId="6C4120F4"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649" w:type="dxa"/>
            <w:tcBorders>
              <w:top w:val="nil"/>
              <w:left w:val="nil"/>
              <w:bottom w:val="nil"/>
              <w:right w:val="nil"/>
            </w:tcBorders>
            <w:shd w:val="clear" w:color="auto" w:fill="auto"/>
            <w:noWrap/>
            <w:vAlign w:val="center"/>
            <w:hideMark/>
          </w:tcPr>
          <w:p w14:paraId="199A247C"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40,094</w:t>
            </w:r>
          </w:p>
        </w:tc>
      </w:tr>
      <w:tr w:rsidR="00490837" w:rsidRPr="00490837" w14:paraId="15A38E97" w14:textId="77777777" w:rsidTr="00490837">
        <w:trPr>
          <w:trHeight w:val="396"/>
        </w:trPr>
        <w:tc>
          <w:tcPr>
            <w:tcW w:w="186" w:type="dxa"/>
            <w:tcBorders>
              <w:top w:val="nil"/>
              <w:left w:val="nil"/>
              <w:bottom w:val="nil"/>
              <w:right w:val="nil"/>
            </w:tcBorders>
            <w:shd w:val="clear" w:color="auto" w:fill="auto"/>
            <w:noWrap/>
            <w:vAlign w:val="center"/>
            <w:hideMark/>
          </w:tcPr>
          <w:p w14:paraId="5BBFDE40"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2658" w:type="dxa"/>
            <w:gridSpan w:val="3"/>
            <w:tcBorders>
              <w:top w:val="single" w:sz="8" w:space="0" w:color="auto"/>
              <w:left w:val="nil"/>
              <w:bottom w:val="nil"/>
              <w:right w:val="nil"/>
            </w:tcBorders>
            <w:shd w:val="clear" w:color="auto" w:fill="auto"/>
            <w:vAlign w:val="center"/>
            <w:hideMark/>
          </w:tcPr>
          <w:p w14:paraId="6ABE1224" w14:textId="77777777" w:rsidR="00490837" w:rsidRPr="00490837" w:rsidRDefault="00490837" w:rsidP="00490837">
            <w:pPr>
              <w:spacing w:before="0" w:line="240" w:lineRule="auto"/>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Total expenses</w:t>
            </w:r>
          </w:p>
        </w:tc>
        <w:tc>
          <w:tcPr>
            <w:tcW w:w="733" w:type="dxa"/>
            <w:gridSpan w:val="3"/>
            <w:tcBorders>
              <w:top w:val="nil"/>
              <w:left w:val="nil"/>
              <w:bottom w:val="nil"/>
              <w:right w:val="nil"/>
            </w:tcBorders>
            <w:shd w:val="clear" w:color="auto" w:fill="auto"/>
            <w:noWrap/>
            <w:vAlign w:val="center"/>
            <w:hideMark/>
          </w:tcPr>
          <w:p w14:paraId="18CAE791"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141,976</w:t>
            </w:r>
          </w:p>
        </w:tc>
        <w:tc>
          <w:tcPr>
            <w:tcW w:w="566" w:type="dxa"/>
            <w:gridSpan w:val="2"/>
            <w:tcBorders>
              <w:top w:val="nil"/>
              <w:left w:val="nil"/>
              <w:bottom w:val="nil"/>
              <w:right w:val="nil"/>
            </w:tcBorders>
            <w:shd w:val="clear" w:color="auto" w:fill="auto"/>
            <w:noWrap/>
            <w:vAlign w:val="center"/>
            <w:hideMark/>
          </w:tcPr>
          <w:p w14:paraId="3B225C26"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733" w:type="dxa"/>
            <w:gridSpan w:val="2"/>
            <w:tcBorders>
              <w:top w:val="nil"/>
              <w:left w:val="nil"/>
              <w:bottom w:val="nil"/>
              <w:right w:val="nil"/>
            </w:tcBorders>
            <w:shd w:val="clear" w:color="auto" w:fill="auto"/>
            <w:noWrap/>
            <w:vAlign w:val="center"/>
            <w:hideMark/>
          </w:tcPr>
          <w:p w14:paraId="3035F9AB"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2,624,073</w:t>
            </w:r>
          </w:p>
        </w:tc>
        <w:tc>
          <w:tcPr>
            <w:tcW w:w="544" w:type="dxa"/>
            <w:gridSpan w:val="2"/>
            <w:tcBorders>
              <w:top w:val="nil"/>
              <w:left w:val="nil"/>
              <w:bottom w:val="nil"/>
              <w:right w:val="nil"/>
            </w:tcBorders>
            <w:shd w:val="clear" w:color="auto" w:fill="auto"/>
            <w:noWrap/>
            <w:vAlign w:val="center"/>
            <w:hideMark/>
          </w:tcPr>
          <w:p w14:paraId="21B7E320"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700" w:type="dxa"/>
            <w:gridSpan w:val="2"/>
            <w:tcBorders>
              <w:top w:val="nil"/>
              <w:left w:val="nil"/>
              <w:bottom w:val="nil"/>
              <w:right w:val="nil"/>
            </w:tcBorders>
            <w:shd w:val="clear" w:color="auto" w:fill="auto"/>
            <w:noWrap/>
            <w:vAlign w:val="center"/>
            <w:hideMark/>
          </w:tcPr>
          <w:p w14:paraId="2690F979"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289,264</w:t>
            </w:r>
          </w:p>
        </w:tc>
        <w:tc>
          <w:tcPr>
            <w:tcW w:w="542" w:type="dxa"/>
            <w:gridSpan w:val="3"/>
            <w:tcBorders>
              <w:top w:val="nil"/>
              <w:left w:val="nil"/>
              <w:bottom w:val="nil"/>
              <w:right w:val="nil"/>
            </w:tcBorders>
            <w:shd w:val="clear" w:color="auto" w:fill="auto"/>
            <w:noWrap/>
            <w:vAlign w:val="center"/>
            <w:hideMark/>
          </w:tcPr>
          <w:p w14:paraId="22BF6F4D"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706" w:type="dxa"/>
            <w:gridSpan w:val="2"/>
            <w:tcBorders>
              <w:top w:val="nil"/>
              <w:left w:val="nil"/>
              <w:bottom w:val="nil"/>
              <w:right w:val="nil"/>
            </w:tcBorders>
            <w:shd w:val="clear" w:color="auto" w:fill="auto"/>
            <w:noWrap/>
            <w:vAlign w:val="center"/>
            <w:hideMark/>
          </w:tcPr>
          <w:p w14:paraId="251D965F"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279,503</w:t>
            </w:r>
          </w:p>
        </w:tc>
        <w:tc>
          <w:tcPr>
            <w:tcW w:w="550" w:type="dxa"/>
            <w:gridSpan w:val="2"/>
            <w:tcBorders>
              <w:top w:val="nil"/>
              <w:left w:val="nil"/>
              <w:bottom w:val="nil"/>
              <w:right w:val="nil"/>
            </w:tcBorders>
            <w:shd w:val="clear" w:color="auto" w:fill="auto"/>
            <w:noWrap/>
            <w:vAlign w:val="center"/>
            <w:hideMark/>
          </w:tcPr>
          <w:p w14:paraId="7B1E733B"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695" w:type="dxa"/>
            <w:gridSpan w:val="2"/>
            <w:tcBorders>
              <w:top w:val="nil"/>
              <w:left w:val="nil"/>
              <w:bottom w:val="nil"/>
              <w:right w:val="nil"/>
            </w:tcBorders>
            <w:shd w:val="clear" w:color="auto" w:fill="auto"/>
            <w:noWrap/>
            <w:vAlign w:val="center"/>
            <w:hideMark/>
          </w:tcPr>
          <w:p w14:paraId="5A378B87"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3,462,173</w:t>
            </w:r>
          </w:p>
        </w:tc>
        <w:tc>
          <w:tcPr>
            <w:tcW w:w="553" w:type="dxa"/>
            <w:gridSpan w:val="2"/>
            <w:tcBorders>
              <w:top w:val="nil"/>
              <w:left w:val="nil"/>
              <w:bottom w:val="nil"/>
              <w:right w:val="nil"/>
            </w:tcBorders>
            <w:shd w:val="clear" w:color="auto" w:fill="auto"/>
            <w:noWrap/>
            <w:vAlign w:val="center"/>
            <w:hideMark/>
          </w:tcPr>
          <w:p w14:paraId="1FF0A5DE"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742" w:type="dxa"/>
            <w:gridSpan w:val="2"/>
            <w:tcBorders>
              <w:top w:val="nil"/>
              <w:left w:val="nil"/>
              <w:bottom w:val="nil"/>
              <w:right w:val="nil"/>
            </w:tcBorders>
            <w:shd w:val="clear" w:color="auto" w:fill="auto"/>
            <w:noWrap/>
            <w:vAlign w:val="center"/>
            <w:hideMark/>
          </w:tcPr>
          <w:p w14:paraId="6E17F7BC"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721,586</w:t>
            </w:r>
          </w:p>
        </w:tc>
        <w:tc>
          <w:tcPr>
            <w:tcW w:w="548" w:type="dxa"/>
            <w:gridSpan w:val="2"/>
            <w:tcBorders>
              <w:top w:val="nil"/>
              <w:left w:val="nil"/>
              <w:bottom w:val="nil"/>
              <w:right w:val="nil"/>
            </w:tcBorders>
            <w:shd w:val="clear" w:color="auto" w:fill="auto"/>
            <w:noWrap/>
            <w:vAlign w:val="center"/>
            <w:hideMark/>
          </w:tcPr>
          <w:p w14:paraId="2887C914"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703" w:type="dxa"/>
            <w:gridSpan w:val="2"/>
            <w:tcBorders>
              <w:top w:val="nil"/>
              <w:left w:val="nil"/>
              <w:bottom w:val="nil"/>
              <w:right w:val="nil"/>
            </w:tcBorders>
            <w:shd w:val="clear" w:color="auto" w:fill="auto"/>
            <w:noWrap/>
            <w:vAlign w:val="center"/>
            <w:hideMark/>
          </w:tcPr>
          <w:p w14:paraId="7C39DFC0"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-755,774</w:t>
            </w:r>
          </w:p>
        </w:tc>
        <w:tc>
          <w:tcPr>
            <w:tcW w:w="706" w:type="dxa"/>
            <w:tcBorders>
              <w:top w:val="nil"/>
              <w:left w:val="nil"/>
              <w:bottom w:val="nil"/>
              <w:right w:val="nil"/>
            </w:tcBorders>
            <w:shd w:val="clear" w:color="auto" w:fill="auto"/>
            <w:noWrap/>
            <w:vAlign w:val="center"/>
            <w:hideMark/>
          </w:tcPr>
          <w:p w14:paraId="5349C0A2"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649" w:type="dxa"/>
            <w:tcBorders>
              <w:top w:val="single" w:sz="8" w:space="0" w:color="auto"/>
              <w:left w:val="nil"/>
              <w:bottom w:val="nil"/>
              <w:right w:val="nil"/>
            </w:tcBorders>
            <w:shd w:val="clear" w:color="auto" w:fill="auto"/>
            <w:noWrap/>
            <w:vAlign w:val="center"/>
            <w:hideMark/>
          </w:tcPr>
          <w:p w14:paraId="4F6FF8AB"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6,762,801</w:t>
            </w:r>
          </w:p>
        </w:tc>
      </w:tr>
      <w:tr w:rsidR="00490837" w:rsidRPr="00490837" w14:paraId="1BD05804" w14:textId="77777777" w:rsidTr="00490837">
        <w:trPr>
          <w:trHeight w:val="273"/>
        </w:trPr>
        <w:tc>
          <w:tcPr>
            <w:tcW w:w="186" w:type="dxa"/>
            <w:tcBorders>
              <w:top w:val="nil"/>
              <w:left w:val="nil"/>
              <w:bottom w:val="nil"/>
              <w:right w:val="nil"/>
            </w:tcBorders>
            <w:shd w:val="clear" w:color="auto" w:fill="auto"/>
            <w:noWrap/>
            <w:vAlign w:val="center"/>
            <w:hideMark/>
          </w:tcPr>
          <w:p w14:paraId="3EA201DC"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2658" w:type="dxa"/>
            <w:gridSpan w:val="3"/>
            <w:tcBorders>
              <w:top w:val="nil"/>
              <w:left w:val="nil"/>
              <w:bottom w:val="nil"/>
              <w:right w:val="nil"/>
            </w:tcBorders>
            <w:shd w:val="clear" w:color="auto" w:fill="auto"/>
            <w:noWrap/>
            <w:vAlign w:val="center"/>
            <w:hideMark/>
          </w:tcPr>
          <w:p w14:paraId="682E27F1"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33" w:type="dxa"/>
            <w:gridSpan w:val="3"/>
            <w:tcBorders>
              <w:top w:val="nil"/>
              <w:left w:val="nil"/>
              <w:bottom w:val="nil"/>
              <w:right w:val="nil"/>
            </w:tcBorders>
            <w:shd w:val="clear" w:color="auto" w:fill="auto"/>
            <w:noWrap/>
            <w:vAlign w:val="center"/>
            <w:hideMark/>
          </w:tcPr>
          <w:p w14:paraId="4DBF2C48"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66" w:type="dxa"/>
            <w:gridSpan w:val="2"/>
            <w:tcBorders>
              <w:top w:val="nil"/>
              <w:left w:val="nil"/>
              <w:bottom w:val="nil"/>
              <w:right w:val="nil"/>
            </w:tcBorders>
            <w:shd w:val="clear" w:color="auto" w:fill="auto"/>
            <w:noWrap/>
            <w:vAlign w:val="center"/>
            <w:hideMark/>
          </w:tcPr>
          <w:p w14:paraId="3A1296EE"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33" w:type="dxa"/>
            <w:gridSpan w:val="2"/>
            <w:tcBorders>
              <w:top w:val="nil"/>
              <w:left w:val="nil"/>
              <w:bottom w:val="nil"/>
              <w:right w:val="nil"/>
            </w:tcBorders>
            <w:shd w:val="clear" w:color="auto" w:fill="auto"/>
            <w:noWrap/>
            <w:vAlign w:val="center"/>
            <w:hideMark/>
          </w:tcPr>
          <w:p w14:paraId="7634FAF4"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44" w:type="dxa"/>
            <w:gridSpan w:val="2"/>
            <w:tcBorders>
              <w:top w:val="nil"/>
              <w:left w:val="nil"/>
              <w:bottom w:val="nil"/>
              <w:right w:val="nil"/>
            </w:tcBorders>
            <w:shd w:val="clear" w:color="auto" w:fill="auto"/>
            <w:noWrap/>
            <w:vAlign w:val="center"/>
            <w:hideMark/>
          </w:tcPr>
          <w:p w14:paraId="698C6251"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0" w:type="dxa"/>
            <w:gridSpan w:val="2"/>
            <w:tcBorders>
              <w:top w:val="nil"/>
              <w:left w:val="nil"/>
              <w:bottom w:val="nil"/>
              <w:right w:val="nil"/>
            </w:tcBorders>
            <w:shd w:val="clear" w:color="auto" w:fill="auto"/>
            <w:noWrap/>
            <w:vAlign w:val="center"/>
            <w:hideMark/>
          </w:tcPr>
          <w:p w14:paraId="49A4AB0C"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42" w:type="dxa"/>
            <w:gridSpan w:val="3"/>
            <w:tcBorders>
              <w:top w:val="nil"/>
              <w:left w:val="nil"/>
              <w:bottom w:val="nil"/>
              <w:right w:val="nil"/>
            </w:tcBorders>
            <w:shd w:val="clear" w:color="auto" w:fill="auto"/>
            <w:noWrap/>
            <w:vAlign w:val="center"/>
            <w:hideMark/>
          </w:tcPr>
          <w:p w14:paraId="4D42BB3C"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6" w:type="dxa"/>
            <w:gridSpan w:val="2"/>
            <w:tcBorders>
              <w:top w:val="nil"/>
              <w:left w:val="nil"/>
              <w:bottom w:val="nil"/>
              <w:right w:val="nil"/>
            </w:tcBorders>
            <w:shd w:val="clear" w:color="auto" w:fill="auto"/>
            <w:noWrap/>
            <w:vAlign w:val="center"/>
            <w:hideMark/>
          </w:tcPr>
          <w:p w14:paraId="1415B867"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50" w:type="dxa"/>
            <w:gridSpan w:val="2"/>
            <w:tcBorders>
              <w:top w:val="nil"/>
              <w:left w:val="nil"/>
              <w:bottom w:val="nil"/>
              <w:right w:val="nil"/>
            </w:tcBorders>
            <w:shd w:val="clear" w:color="auto" w:fill="auto"/>
            <w:noWrap/>
            <w:vAlign w:val="center"/>
            <w:hideMark/>
          </w:tcPr>
          <w:p w14:paraId="20500576"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695" w:type="dxa"/>
            <w:gridSpan w:val="2"/>
            <w:tcBorders>
              <w:top w:val="nil"/>
              <w:left w:val="nil"/>
              <w:bottom w:val="nil"/>
              <w:right w:val="nil"/>
            </w:tcBorders>
            <w:shd w:val="clear" w:color="auto" w:fill="auto"/>
            <w:noWrap/>
            <w:vAlign w:val="center"/>
            <w:hideMark/>
          </w:tcPr>
          <w:p w14:paraId="38EE42A1"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53" w:type="dxa"/>
            <w:gridSpan w:val="2"/>
            <w:tcBorders>
              <w:top w:val="nil"/>
              <w:left w:val="nil"/>
              <w:bottom w:val="nil"/>
              <w:right w:val="nil"/>
            </w:tcBorders>
            <w:shd w:val="clear" w:color="auto" w:fill="auto"/>
            <w:noWrap/>
            <w:vAlign w:val="center"/>
            <w:hideMark/>
          </w:tcPr>
          <w:p w14:paraId="277EEE43"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42" w:type="dxa"/>
            <w:gridSpan w:val="2"/>
            <w:tcBorders>
              <w:top w:val="nil"/>
              <w:left w:val="nil"/>
              <w:bottom w:val="nil"/>
              <w:right w:val="nil"/>
            </w:tcBorders>
            <w:shd w:val="clear" w:color="auto" w:fill="auto"/>
            <w:noWrap/>
            <w:vAlign w:val="center"/>
            <w:hideMark/>
          </w:tcPr>
          <w:p w14:paraId="4B8736AA"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48" w:type="dxa"/>
            <w:gridSpan w:val="2"/>
            <w:tcBorders>
              <w:top w:val="nil"/>
              <w:left w:val="nil"/>
              <w:bottom w:val="nil"/>
              <w:right w:val="nil"/>
            </w:tcBorders>
            <w:shd w:val="clear" w:color="auto" w:fill="auto"/>
            <w:noWrap/>
            <w:vAlign w:val="center"/>
            <w:hideMark/>
          </w:tcPr>
          <w:p w14:paraId="1D48E5B0"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3" w:type="dxa"/>
            <w:gridSpan w:val="2"/>
            <w:tcBorders>
              <w:top w:val="nil"/>
              <w:left w:val="nil"/>
              <w:bottom w:val="nil"/>
              <w:right w:val="nil"/>
            </w:tcBorders>
            <w:shd w:val="clear" w:color="auto" w:fill="auto"/>
            <w:noWrap/>
            <w:vAlign w:val="center"/>
            <w:hideMark/>
          </w:tcPr>
          <w:p w14:paraId="10A040D2"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6" w:type="dxa"/>
            <w:tcBorders>
              <w:top w:val="nil"/>
              <w:left w:val="nil"/>
              <w:bottom w:val="nil"/>
              <w:right w:val="nil"/>
            </w:tcBorders>
            <w:shd w:val="clear" w:color="auto" w:fill="auto"/>
            <w:noWrap/>
            <w:vAlign w:val="center"/>
            <w:hideMark/>
          </w:tcPr>
          <w:p w14:paraId="6EE36E62"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649" w:type="dxa"/>
            <w:tcBorders>
              <w:top w:val="nil"/>
              <w:left w:val="nil"/>
              <w:bottom w:val="nil"/>
              <w:right w:val="nil"/>
            </w:tcBorders>
            <w:shd w:val="clear" w:color="auto" w:fill="auto"/>
            <w:noWrap/>
            <w:vAlign w:val="center"/>
            <w:hideMark/>
          </w:tcPr>
          <w:p w14:paraId="260EAB5A" w14:textId="77777777" w:rsidR="00490837" w:rsidRPr="00490837" w:rsidRDefault="00490837" w:rsidP="00490837">
            <w:pPr>
              <w:spacing w:before="0" w:line="240" w:lineRule="auto"/>
              <w:rPr>
                <w:rFonts w:eastAsia="Times New Roman" w:cs="Times New Roman"/>
                <w:color w:val="auto"/>
                <w:sz w:val="20"/>
                <w:szCs w:val="20"/>
                <w:lang w:eastAsia="en-AU"/>
              </w:rPr>
            </w:pPr>
          </w:p>
        </w:tc>
      </w:tr>
      <w:tr w:rsidR="00490837" w:rsidRPr="00490837" w14:paraId="3A3924A6" w14:textId="77777777" w:rsidTr="00490837">
        <w:trPr>
          <w:trHeight w:hRule="exact" w:val="273"/>
        </w:trPr>
        <w:tc>
          <w:tcPr>
            <w:tcW w:w="2844" w:type="dxa"/>
            <w:gridSpan w:val="4"/>
            <w:tcBorders>
              <w:top w:val="nil"/>
              <w:left w:val="nil"/>
              <w:bottom w:val="nil"/>
              <w:right w:val="nil"/>
            </w:tcBorders>
            <w:shd w:val="clear" w:color="auto" w:fill="auto"/>
            <w:noWrap/>
            <w:vAlign w:val="center"/>
            <w:hideMark/>
          </w:tcPr>
          <w:p w14:paraId="22CD4D66" w14:textId="77777777" w:rsidR="00490837" w:rsidRPr="00490837" w:rsidRDefault="00490837" w:rsidP="00490837">
            <w:pPr>
              <w:spacing w:before="0" w:line="240" w:lineRule="auto"/>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Operating result before income tax equivalent expense</w:t>
            </w:r>
          </w:p>
        </w:tc>
        <w:tc>
          <w:tcPr>
            <w:tcW w:w="733" w:type="dxa"/>
            <w:gridSpan w:val="3"/>
            <w:tcBorders>
              <w:top w:val="nil"/>
              <w:left w:val="nil"/>
              <w:bottom w:val="nil"/>
              <w:right w:val="nil"/>
            </w:tcBorders>
            <w:shd w:val="clear" w:color="auto" w:fill="auto"/>
            <w:noWrap/>
            <w:vAlign w:val="center"/>
            <w:hideMark/>
          </w:tcPr>
          <w:p w14:paraId="391F0185"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 xml:space="preserve">- </w:t>
            </w:r>
          </w:p>
        </w:tc>
        <w:tc>
          <w:tcPr>
            <w:tcW w:w="566" w:type="dxa"/>
            <w:gridSpan w:val="2"/>
            <w:tcBorders>
              <w:top w:val="nil"/>
              <w:left w:val="nil"/>
              <w:bottom w:val="nil"/>
              <w:right w:val="nil"/>
            </w:tcBorders>
            <w:shd w:val="clear" w:color="auto" w:fill="auto"/>
            <w:noWrap/>
            <w:vAlign w:val="center"/>
            <w:hideMark/>
          </w:tcPr>
          <w:p w14:paraId="758A1F62"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733" w:type="dxa"/>
            <w:gridSpan w:val="2"/>
            <w:tcBorders>
              <w:top w:val="nil"/>
              <w:left w:val="nil"/>
              <w:bottom w:val="nil"/>
              <w:right w:val="nil"/>
            </w:tcBorders>
            <w:shd w:val="clear" w:color="auto" w:fill="auto"/>
            <w:noWrap/>
            <w:vAlign w:val="center"/>
            <w:hideMark/>
          </w:tcPr>
          <w:p w14:paraId="4EE2EB29"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168,590</w:t>
            </w:r>
          </w:p>
        </w:tc>
        <w:tc>
          <w:tcPr>
            <w:tcW w:w="544" w:type="dxa"/>
            <w:gridSpan w:val="2"/>
            <w:tcBorders>
              <w:top w:val="nil"/>
              <w:left w:val="nil"/>
              <w:bottom w:val="nil"/>
              <w:right w:val="nil"/>
            </w:tcBorders>
            <w:shd w:val="clear" w:color="auto" w:fill="auto"/>
            <w:noWrap/>
            <w:vAlign w:val="center"/>
            <w:hideMark/>
          </w:tcPr>
          <w:p w14:paraId="726467C5"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700" w:type="dxa"/>
            <w:gridSpan w:val="2"/>
            <w:tcBorders>
              <w:top w:val="nil"/>
              <w:left w:val="nil"/>
              <w:bottom w:val="nil"/>
              <w:right w:val="nil"/>
            </w:tcBorders>
            <w:shd w:val="clear" w:color="auto" w:fill="auto"/>
            <w:noWrap/>
            <w:vAlign w:val="center"/>
            <w:hideMark/>
          </w:tcPr>
          <w:p w14:paraId="10EDF5A4"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 xml:space="preserve">- </w:t>
            </w:r>
          </w:p>
        </w:tc>
        <w:tc>
          <w:tcPr>
            <w:tcW w:w="542" w:type="dxa"/>
            <w:gridSpan w:val="3"/>
            <w:tcBorders>
              <w:top w:val="nil"/>
              <w:left w:val="nil"/>
              <w:bottom w:val="nil"/>
              <w:right w:val="nil"/>
            </w:tcBorders>
            <w:shd w:val="clear" w:color="auto" w:fill="auto"/>
            <w:noWrap/>
            <w:vAlign w:val="center"/>
            <w:hideMark/>
          </w:tcPr>
          <w:p w14:paraId="13F55ED6"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706" w:type="dxa"/>
            <w:gridSpan w:val="2"/>
            <w:tcBorders>
              <w:top w:val="nil"/>
              <w:left w:val="nil"/>
              <w:bottom w:val="nil"/>
              <w:right w:val="nil"/>
            </w:tcBorders>
            <w:shd w:val="clear" w:color="auto" w:fill="auto"/>
            <w:noWrap/>
            <w:vAlign w:val="center"/>
            <w:hideMark/>
          </w:tcPr>
          <w:p w14:paraId="4743EB71"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 xml:space="preserve">- </w:t>
            </w:r>
          </w:p>
        </w:tc>
        <w:tc>
          <w:tcPr>
            <w:tcW w:w="550" w:type="dxa"/>
            <w:gridSpan w:val="2"/>
            <w:tcBorders>
              <w:top w:val="nil"/>
              <w:left w:val="nil"/>
              <w:bottom w:val="nil"/>
              <w:right w:val="nil"/>
            </w:tcBorders>
            <w:shd w:val="clear" w:color="auto" w:fill="auto"/>
            <w:noWrap/>
            <w:vAlign w:val="center"/>
            <w:hideMark/>
          </w:tcPr>
          <w:p w14:paraId="13AC34A1"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695" w:type="dxa"/>
            <w:gridSpan w:val="2"/>
            <w:tcBorders>
              <w:top w:val="nil"/>
              <w:left w:val="nil"/>
              <w:bottom w:val="nil"/>
              <w:right w:val="nil"/>
            </w:tcBorders>
            <w:shd w:val="clear" w:color="auto" w:fill="auto"/>
            <w:noWrap/>
            <w:vAlign w:val="center"/>
            <w:hideMark/>
          </w:tcPr>
          <w:p w14:paraId="506BD184"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-173,400</w:t>
            </w:r>
          </w:p>
        </w:tc>
        <w:tc>
          <w:tcPr>
            <w:tcW w:w="553" w:type="dxa"/>
            <w:gridSpan w:val="2"/>
            <w:tcBorders>
              <w:top w:val="nil"/>
              <w:left w:val="nil"/>
              <w:bottom w:val="nil"/>
              <w:right w:val="nil"/>
            </w:tcBorders>
            <w:shd w:val="clear" w:color="auto" w:fill="auto"/>
            <w:noWrap/>
            <w:vAlign w:val="center"/>
            <w:hideMark/>
          </w:tcPr>
          <w:p w14:paraId="5351844D"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742" w:type="dxa"/>
            <w:gridSpan w:val="2"/>
            <w:tcBorders>
              <w:top w:val="nil"/>
              <w:left w:val="nil"/>
              <w:bottom w:val="nil"/>
              <w:right w:val="nil"/>
            </w:tcBorders>
            <w:shd w:val="clear" w:color="auto" w:fill="auto"/>
            <w:noWrap/>
            <w:vAlign w:val="center"/>
            <w:hideMark/>
          </w:tcPr>
          <w:p w14:paraId="794D6585"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27,416</w:t>
            </w:r>
          </w:p>
        </w:tc>
        <w:tc>
          <w:tcPr>
            <w:tcW w:w="548" w:type="dxa"/>
            <w:gridSpan w:val="2"/>
            <w:tcBorders>
              <w:top w:val="nil"/>
              <w:left w:val="nil"/>
              <w:bottom w:val="nil"/>
              <w:right w:val="nil"/>
            </w:tcBorders>
            <w:shd w:val="clear" w:color="auto" w:fill="auto"/>
            <w:noWrap/>
            <w:vAlign w:val="center"/>
            <w:hideMark/>
          </w:tcPr>
          <w:p w14:paraId="293CA092"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703" w:type="dxa"/>
            <w:gridSpan w:val="2"/>
            <w:tcBorders>
              <w:top w:val="nil"/>
              <w:left w:val="nil"/>
              <w:bottom w:val="nil"/>
              <w:right w:val="nil"/>
            </w:tcBorders>
            <w:shd w:val="clear" w:color="auto" w:fill="auto"/>
            <w:noWrap/>
            <w:vAlign w:val="center"/>
            <w:hideMark/>
          </w:tcPr>
          <w:p w14:paraId="15E8C141"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 xml:space="preserve">- </w:t>
            </w:r>
          </w:p>
        </w:tc>
        <w:tc>
          <w:tcPr>
            <w:tcW w:w="706" w:type="dxa"/>
            <w:tcBorders>
              <w:top w:val="nil"/>
              <w:left w:val="nil"/>
              <w:bottom w:val="nil"/>
              <w:right w:val="nil"/>
            </w:tcBorders>
            <w:shd w:val="clear" w:color="auto" w:fill="auto"/>
            <w:noWrap/>
            <w:vAlign w:val="center"/>
            <w:hideMark/>
          </w:tcPr>
          <w:p w14:paraId="1D4AA7A4"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649" w:type="dxa"/>
            <w:tcBorders>
              <w:top w:val="nil"/>
              <w:left w:val="nil"/>
              <w:bottom w:val="nil"/>
              <w:right w:val="nil"/>
            </w:tcBorders>
            <w:shd w:val="clear" w:color="auto" w:fill="auto"/>
            <w:noWrap/>
            <w:vAlign w:val="center"/>
            <w:hideMark/>
          </w:tcPr>
          <w:p w14:paraId="540E0DED"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22,606</w:t>
            </w:r>
          </w:p>
        </w:tc>
      </w:tr>
      <w:tr w:rsidR="00490837" w:rsidRPr="00490837" w14:paraId="2E3E7D1D" w14:textId="77777777" w:rsidTr="00490837">
        <w:trPr>
          <w:trHeight w:hRule="exact" w:val="283"/>
        </w:trPr>
        <w:tc>
          <w:tcPr>
            <w:tcW w:w="186" w:type="dxa"/>
            <w:tcBorders>
              <w:top w:val="nil"/>
              <w:left w:val="nil"/>
              <w:bottom w:val="single" w:sz="8" w:space="0" w:color="auto"/>
              <w:right w:val="nil"/>
            </w:tcBorders>
            <w:shd w:val="clear" w:color="auto" w:fill="auto"/>
            <w:noWrap/>
            <w:vAlign w:val="center"/>
            <w:hideMark/>
          </w:tcPr>
          <w:p w14:paraId="3D3FCF31" w14:textId="77777777" w:rsidR="00490837" w:rsidRPr="00490837" w:rsidRDefault="00490837" w:rsidP="00490837">
            <w:pPr>
              <w:spacing w:before="0" w:line="240" w:lineRule="auto"/>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2658" w:type="dxa"/>
            <w:gridSpan w:val="3"/>
            <w:tcBorders>
              <w:top w:val="nil"/>
              <w:left w:val="nil"/>
              <w:bottom w:val="single" w:sz="8" w:space="0" w:color="auto"/>
              <w:right w:val="nil"/>
            </w:tcBorders>
            <w:shd w:val="clear" w:color="auto" w:fill="auto"/>
            <w:noWrap/>
            <w:vAlign w:val="center"/>
            <w:hideMark/>
          </w:tcPr>
          <w:p w14:paraId="53FC714D" w14:textId="77777777" w:rsidR="00490837" w:rsidRPr="00490837" w:rsidRDefault="00490837" w:rsidP="00490837">
            <w:pPr>
              <w:spacing w:before="0" w:line="240" w:lineRule="auto"/>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Income tax equivalent expense</w:t>
            </w:r>
          </w:p>
        </w:tc>
        <w:tc>
          <w:tcPr>
            <w:tcW w:w="733" w:type="dxa"/>
            <w:gridSpan w:val="3"/>
            <w:tcBorders>
              <w:top w:val="nil"/>
              <w:left w:val="nil"/>
              <w:bottom w:val="single" w:sz="8" w:space="0" w:color="auto"/>
              <w:right w:val="nil"/>
            </w:tcBorders>
            <w:shd w:val="clear" w:color="auto" w:fill="auto"/>
            <w:noWrap/>
            <w:vAlign w:val="center"/>
            <w:hideMark/>
          </w:tcPr>
          <w:p w14:paraId="16938366"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xml:space="preserve">- </w:t>
            </w:r>
          </w:p>
        </w:tc>
        <w:tc>
          <w:tcPr>
            <w:tcW w:w="566" w:type="dxa"/>
            <w:gridSpan w:val="2"/>
            <w:tcBorders>
              <w:top w:val="nil"/>
              <w:left w:val="nil"/>
              <w:bottom w:val="single" w:sz="8" w:space="0" w:color="auto"/>
              <w:right w:val="nil"/>
            </w:tcBorders>
            <w:shd w:val="clear" w:color="auto" w:fill="auto"/>
            <w:noWrap/>
            <w:vAlign w:val="center"/>
            <w:hideMark/>
          </w:tcPr>
          <w:p w14:paraId="34248D2A"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733" w:type="dxa"/>
            <w:gridSpan w:val="2"/>
            <w:tcBorders>
              <w:top w:val="nil"/>
              <w:left w:val="nil"/>
              <w:bottom w:val="single" w:sz="8" w:space="0" w:color="auto"/>
              <w:right w:val="nil"/>
            </w:tcBorders>
            <w:shd w:val="clear" w:color="auto" w:fill="auto"/>
            <w:noWrap/>
            <w:vAlign w:val="center"/>
            <w:hideMark/>
          </w:tcPr>
          <w:p w14:paraId="79484511"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xml:space="preserve">- </w:t>
            </w:r>
          </w:p>
        </w:tc>
        <w:tc>
          <w:tcPr>
            <w:tcW w:w="544" w:type="dxa"/>
            <w:gridSpan w:val="2"/>
            <w:tcBorders>
              <w:top w:val="nil"/>
              <w:left w:val="nil"/>
              <w:bottom w:val="single" w:sz="8" w:space="0" w:color="auto"/>
              <w:right w:val="nil"/>
            </w:tcBorders>
            <w:shd w:val="clear" w:color="auto" w:fill="auto"/>
            <w:noWrap/>
            <w:vAlign w:val="center"/>
            <w:hideMark/>
          </w:tcPr>
          <w:p w14:paraId="648EA1F2"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700" w:type="dxa"/>
            <w:gridSpan w:val="2"/>
            <w:tcBorders>
              <w:top w:val="nil"/>
              <w:left w:val="nil"/>
              <w:bottom w:val="single" w:sz="8" w:space="0" w:color="auto"/>
              <w:right w:val="nil"/>
            </w:tcBorders>
            <w:shd w:val="clear" w:color="auto" w:fill="auto"/>
            <w:noWrap/>
            <w:vAlign w:val="center"/>
            <w:hideMark/>
          </w:tcPr>
          <w:p w14:paraId="4EE7BC05"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xml:space="preserve">- </w:t>
            </w:r>
          </w:p>
        </w:tc>
        <w:tc>
          <w:tcPr>
            <w:tcW w:w="542" w:type="dxa"/>
            <w:gridSpan w:val="3"/>
            <w:tcBorders>
              <w:top w:val="nil"/>
              <w:left w:val="nil"/>
              <w:bottom w:val="single" w:sz="8" w:space="0" w:color="auto"/>
              <w:right w:val="nil"/>
            </w:tcBorders>
            <w:shd w:val="clear" w:color="auto" w:fill="auto"/>
            <w:noWrap/>
            <w:vAlign w:val="center"/>
            <w:hideMark/>
          </w:tcPr>
          <w:p w14:paraId="2B24F65E"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706" w:type="dxa"/>
            <w:gridSpan w:val="2"/>
            <w:tcBorders>
              <w:top w:val="nil"/>
              <w:left w:val="nil"/>
              <w:bottom w:val="single" w:sz="8" w:space="0" w:color="auto"/>
              <w:right w:val="nil"/>
            </w:tcBorders>
            <w:shd w:val="clear" w:color="auto" w:fill="auto"/>
            <w:noWrap/>
            <w:vAlign w:val="center"/>
            <w:hideMark/>
          </w:tcPr>
          <w:p w14:paraId="440C32DD"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xml:space="preserve">- </w:t>
            </w:r>
          </w:p>
        </w:tc>
        <w:tc>
          <w:tcPr>
            <w:tcW w:w="550" w:type="dxa"/>
            <w:gridSpan w:val="2"/>
            <w:tcBorders>
              <w:top w:val="nil"/>
              <w:left w:val="nil"/>
              <w:bottom w:val="single" w:sz="8" w:space="0" w:color="auto"/>
              <w:right w:val="nil"/>
            </w:tcBorders>
            <w:shd w:val="clear" w:color="auto" w:fill="auto"/>
            <w:noWrap/>
            <w:vAlign w:val="center"/>
            <w:hideMark/>
          </w:tcPr>
          <w:p w14:paraId="23082366"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695" w:type="dxa"/>
            <w:gridSpan w:val="2"/>
            <w:tcBorders>
              <w:top w:val="nil"/>
              <w:left w:val="nil"/>
              <w:bottom w:val="single" w:sz="8" w:space="0" w:color="auto"/>
              <w:right w:val="nil"/>
            </w:tcBorders>
            <w:shd w:val="clear" w:color="auto" w:fill="auto"/>
            <w:noWrap/>
            <w:vAlign w:val="center"/>
            <w:hideMark/>
          </w:tcPr>
          <w:p w14:paraId="0A42D51A"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xml:space="preserve">- </w:t>
            </w:r>
          </w:p>
        </w:tc>
        <w:tc>
          <w:tcPr>
            <w:tcW w:w="553" w:type="dxa"/>
            <w:gridSpan w:val="2"/>
            <w:tcBorders>
              <w:top w:val="nil"/>
              <w:left w:val="nil"/>
              <w:bottom w:val="single" w:sz="8" w:space="0" w:color="auto"/>
              <w:right w:val="nil"/>
            </w:tcBorders>
            <w:shd w:val="clear" w:color="auto" w:fill="auto"/>
            <w:noWrap/>
            <w:vAlign w:val="center"/>
            <w:hideMark/>
          </w:tcPr>
          <w:p w14:paraId="40F60024"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742" w:type="dxa"/>
            <w:gridSpan w:val="2"/>
            <w:tcBorders>
              <w:top w:val="nil"/>
              <w:left w:val="nil"/>
              <w:bottom w:val="single" w:sz="8" w:space="0" w:color="auto"/>
              <w:right w:val="nil"/>
            </w:tcBorders>
            <w:shd w:val="clear" w:color="auto" w:fill="auto"/>
            <w:noWrap/>
            <w:vAlign w:val="center"/>
            <w:hideMark/>
          </w:tcPr>
          <w:p w14:paraId="387039AC"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7,930</w:t>
            </w:r>
          </w:p>
        </w:tc>
        <w:tc>
          <w:tcPr>
            <w:tcW w:w="548" w:type="dxa"/>
            <w:gridSpan w:val="2"/>
            <w:tcBorders>
              <w:top w:val="nil"/>
              <w:left w:val="nil"/>
              <w:bottom w:val="single" w:sz="8" w:space="0" w:color="auto"/>
              <w:right w:val="nil"/>
            </w:tcBorders>
            <w:shd w:val="clear" w:color="auto" w:fill="auto"/>
            <w:noWrap/>
            <w:vAlign w:val="center"/>
            <w:hideMark/>
          </w:tcPr>
          <w:p w14:paraId="44615819"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703" w:type="dxa"/>
            <w:gridSpan w:val="2"/>
            <w:tcBorders>
              <w:top w:val="nil"/>
              <w:left w:val="nil"/>
              <w:bottom w:val="single" w:sz="8" w:space="0" w:color="auto"/>
              <w:right w:val="nil"/>
            </w:tcBorders>
            <w:shd w:val="clear" w:color="auto" w:fill="auto"/>
            <w:noWrap/>
            <w:vAlign w:val="center"/>
            <w:hideMark/>
          </w:tcPr>
          <w:p w14:paraId="657D7E0A"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xml:space="preserve">- </w:t>
            </w:r>
          </w:p>
        </w:tc>
        <w:tc>
          <w:tcPr>
            <w:tcW w:w="706" w:type="dxa"/>
            <w:tcBorders>
              <w:top w:val="nil"/>
              <w:left w:val="nil"/>
              <w:bottom w:val="single" w:sz="8" w:space="0" w:color="auto"/>
              <w:right w:val="nil"/>
            </w:tcBorders>
            <w:shd w:val="clear" w:color="auto" w:fill="auto"/>
            <w:noWrap/>
            <w:vAlign w:val="center"/>
            <w:hideMark/>
          </w:tcPr>
          <w:p w14:paraId="1A592000"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649" w:type="dxa"/>
            <w:tcBorders>
              <w:top w:val="nil"/>
              <w:left w:val="nil"/>
              <w:bottom w:val="single" w:sz="8" w:space="0" w:color="auto"/>
              <w:right w:val="nil"/>
            </w:tcBorders>
            <w:shd w:val="clear" w:color="auto" w:fill="auto"/>
            <w:noWrap/>
            <w:vAlign w:val="center"/>
            <w:hideMark/>
          </w:tcPr>
          <w:p w14:paraId="682D55B9"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7,930</w:t>
            </w:r>
          </w:p>
        </w:tc>
      </w:tr>
      <w:tr w:rsidR="00490837" w:rsidRPr="00490837" w14:paraId="5722FE4E" w14:textId="77777777" w:rsidTr="00490837">
        <w:trPr>
          <w:trHeight w:val="273"/>
        </w:trPr>
        <w:tc>
          <w:tcPr>
            <w:tcW w:w="186" w:type="dxa"/>
            <w:tcBorders>
              <w:top w:val="nil"/>
              <w:left w:val="nil"/>
              <w:bottom w:val="nil"/>
              <w:right w:val="nil"/>
            </w:tcBorders>
            <w:shd w:val="clear" w:color="auto" w:fill="auto"/>
            <w:noWrap/>
            <w:vAlign w:val="center"/>
            <w:hideMark/>
          </w:tcPr>
          <w:p w14:paraId="2E529262"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2658" w:type="dxa"/>
            <w:gridSpan w:val="3"/>
            <w:tcBorders>
              <w:top w:val="nil"/>
              <w:left w:val="nil"/>
              <w:bottom w:val="nil"/>
              <w:right w:val="nil"/>
            </w:tcBorders>
            <w:shd w:val="clear" w:color="auto" w:fill="auto"/>
            <w:noWrap/>
            <w:vAlign w:val="center"/>
            <w:hideMark/>
          </w:tcPr>
          <w:p w14:paraId="30C69311"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33" w:type="dxa"/>
            <w:gridSpan w:val="3"/>
            <w:tcBorders>
              <w:top w:val="nil"/>
              <w:left w:val="nil"/>
              <w:bottom w:val="nil"/>
              <w:right w:val="nil"/>
            </w:tcBorders>
            <w:shd w:val="clear" w:color="auto" w:fill="auto"/>
            <w:noWrap/>
            <w:vAlign w:val="center"/>
            <w:hideMark/>
          </w:tcPr>
          <w:p w14:paraId="4D04C85E"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66" w:type="dxa"/>
            <w:gridSpan w:val="2"/>
            <w:tcBorders>
              <w:top w:val="nil"/>
              <w:left w:val="nil"/>
              <w:bottom w:val="nil"/>
              <w:right w:val="nil"/>
            </w:tcBorders>
            <w:shd w:val="clear" w:color="auto" w:fill="auto"/>
            <w:noWrap/>
            <w:vAlign w:val="center"/>
            <w:hideMark/>
          </w:tcPr>
          <w:p w14:paraId="4B87AC25"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33" w:type="dxa"/>
            <w:gridSpan w:val="2"/>
            <w:tcBorders>
              <w:top w:val="nil"/>
              <w:left w:val="nil"/>
              <w:bottom w:val="nil"/>
              <w:right w:val="nil"/>
            </w:tcBorders>
            <w:shd w:val="clear" w:color="auto" w:fill="auto"/>
            <w:noWrap/>
            <w:vAlign w:val="center"/>
            <w:hideMark/>
          </w:tcPr>
          <w:p w14:paraId="2EE3D3CB" w14:textId="77777777" w:rsidR="00490837" w:rsidRPr="00490837" w:rsidRDefault="00490837" w:rsidP="00490837">
            <w:pPr>
              <w:spacing w:before="0" w:line="240" w:lineRule="auto"/>
              <w:jc w:val="right"/>
              <w:rPr>
                <w:rFonts w:eastAsia="Times New Roman" w:cs="Times New Roman"/>
                <w:color w:val="auto"/>
                <w:sz w:val="20"/>
                <w:szCs w:val="20"/>
                <w:lang w:eastAsia="en-AU"/>
              </w:rPr>
            </w:pPr>
          </w:p>
        </w:tc>
        <w:tc>
          <w:tcPr>
            <w:tcW w:w="544" w:type="dxa"/>
            <w:gridSpan w:val="2"/>
            <w:tcBorders>
              <w:top w:val="nil"/>
              <w:left w:val="nil"/>
              <w:bottom w:val="nil"/>
              <w:right w:val="nil"/>
            </w:tcBorders>
            <w:shd w:val="clear" w:color="auto" w:fill="auto"/>
            <w:noWrap/>
            <w:vAlign w:val="center"/>
            <w:hideMark/>
          </w:tcPr>
          <w:p w14:paraId="7540F01B"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0" w:type="dxa"/>
            <w:gridSpan w:val="2"/>
            <w:tcBorders>
              <w:top w:val="nil"/>
              <w:left w:val="nil"/>
              <w:bottom w:val="nil"/>
              <w:right w:val="nil"/>
            </w:tcBorders>
            <w:shd w:val="clear" w:color="auto" w:fill="auto"/>
            <w:noWrap/>
            <w:vAlign w:val="center"/>
            <w:hideMark/>
          </w:tcPr>
          <w:p w14:paraId="57482216" w14:textId="77777777" w:rsidR="00490837" w:rsidRPr="00490837" w:rsidRDefault="00490837" w:rsidP="00490837">
            <w:pPr>
              <w:spacing w:before="0" w:line="240" w:lineRule="auto"/>
              <w:jc w:val="right"/>
              <w:rPr>
                <w:rFonts w:eastAsia="Times New Roman" w:cs="Times New Roman"/>
                <w:color w:val="auto"/>
                <w:sz w:val="20"/>
                <w:szCs w:val="20"/>
                <w:lang w:eastAsia="en-AU"/>
              </w:rPr>
            </w:pPr>
          </w:p>
        </w:tc>
        <w:tc>
          <w:tcPr>
            <w:tcW w:w="542" w:type="dxa"/>
            <w:gridSpan w:val="3"/>
            <w:tcBorders>
              <w:top w:val="nil"/>
              <w:left w:val="nil"/>
              <w:bottom w:val="nil"/>
              <w:right w:val="nil"/>
            </w:tcBorders>
            <w:shd w:val="clear" w:color="auto" w:fill="auto"/>
            <w:noWrap/>
            <w:vAlign w:val="center"/>
            <w:hideMark/>
          </w:tcPr>
          <w:p w14:paraId="05507D96"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6" w:type="dxa"/>
            <w:gridSpan w:val="2"/>
            <w:tcBorders>
              <w:top w:val="nil"/>
              <w:left w:val="nil"/>
              <w:bottom w:val="nil"/>
              <w:right w:val="nil"/>
            </w:tcBorders>
            <w:shd w:val="clear" w:color="auto" w:fill="auto"/>
            <w:noWrap/>
            <w:vAlign w:val="center"/>
            <w:hideMark/>
          </w:tcPr>
          <w:p w14:paraId="7BEEA3ED" w14:textId="77777777" w:rsidR="00490837" w:rsidRPr="00490837" w:rsidRDefault="00490837" w:rsidP="00490837">
            <w:pPr>
              <w:spacing w:before="0" w:line="240" w:lineRule="auto"/>
              <w:jc w:val="right"/>
              <w:rPr>
                <w:rFonts w:eastAsia="Times New Roman" w:cs="Times New Roman"/>
                <w:color w:val="auto"/>
                <w:sz w:val="20"/>
                <w:szCs w:val="20"/>
                <w:lang w:eastAsia="en-AU"/>
              </w:rPr>
            </w:pPr>
          </w:p>
        </w:tc>
        <w:tc>
          <w:tcPr>
            <w:tcW w:w="550" w:type="dxa"/>
            <w:gridSpan w:val="2"/>
            <w:tcBorders>
              <w:top w:val="nil"/>
              <w:left w:val="nil"/>
              <w:bottom w:val="nil"/>
              <w:right w:val="nil"/>
            </w:tcBorders>
            <w:shd w:val="clear" w:color="auto" w:fill="auto"/>
            <w:noWrap/>
            <w:vAlign w:val="center"/>
            <w:hideMark/>
          </w:tcPr>
          <w:p w14:paraId="0D13C365"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695" w:type="dxa"/>
            <w:gridSpan w:val="2"/>
            <w:tcBorders>
              <w:top w:val="nil"/>
              <w:left w:val="nil"/>
              <w:bottom w:val="nil"/>
              <w:right w:val="nil"/>
            </w:tcBorders>
            <w:shd w:val="clear" w:color="auto" w:fill="auto"/>
            <w:noWrap/>
            <w:vAlign w:val="center"/>
            <w:hideMark/>
          </w:tcPr>
          <w:p w14:paraId="4A3BBCC0" w14:textId="77777777" w:rsidR="00490837" w:rsidRPr="00490837" w:rsidRDefault="00490837" w:rsidP="00490837">
            <w:pPr>
              <w:spacing w:before="0" w:line="240" w:lineRule="auto"/>
              <w:jc w:val="right"/>
              <w:rPr>
                <w:rFonts w:eastAsia="Times New Roman" w:cs="Times New Roman"/>
                <w:color w:val="auto"/>
                <w:sz w:val="20"/>
                <w:szCs w:val="20"/>
                <w:lang w:eastAsia="en-AU"/>
              </w:rPr>
            </w:pPr>
          </w:p>
        </w:tc>
        <w:tc>
          <w:tcPr>
            <w:tcW w:w="553" w:type="dxa"/>
            <w:gridSpan w:val="2"/>
            <w:tcBorders>
              <w:top w:val="nil"/>
              <w:left w:val="nil"/>
              <w:bottom w:val="nil"/>
              <w:right w:val="nil"/>
            </w:tcBorders>
            <w:shd w:val="clear" w:color="auto" w:fill="auto"/>
            <w:noWrap/>
            <w:vAlign w:val="center"/>
            <w:hideMark/>
          </w:tcPr>
          <w:p w14:paraId="70C50164"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42" w:type="dxa"/>
            <w:gridSpan w:val="2"/>
            <w:tcBorders>
              <w:top w:val="nil"/>
              <w:left w:val="nil"/>
              <w:bottom w:val="nil"/>
              <w:right w:val="nil"/>
            </w:tcBorders>
            <w:shd w:val="clear" w:color="auto" w:fill="auto"/>
            <w:noWrap/>
            <w:vAlign w:val="center"/>
            <w:hideMark/>
          </w:tcPr>
          <w:p w14:paraId="50D34BE5" w14:textId="77777777" w:rsidR="00490837" w:rsidRPr="00490837" w:rsidRDefault="00490837" w:rsidP="00490837">
            <w:pPr>
              <w:spacing w:before="0" w:line="240" w:lineRule="auto"/>
              <w:jc w:val="right"/>
              <w:rPr>
                <w:rFonts w:eastAsia="Times New Roman" w:cs="Times New Roman"/>
                <w:color w:val="auto"/>
                <w:sz w:val="20"/>
                <w:szCs w:val="20"/>
                <w:lang w:eastAsia="en-AU"/>
              </w:rPr>
            </w:pPr>
          </w:p>
        </w:tc>
        <w:tc>
          <w:tcPr>
            <w:tcW w:w="548" w:type="dxa"/>
            <w:gridSpan w:val="2"/>
            <w:tcBorders>
              <w:top w:val="nil"/>
              <w:left w:val="nil"/>
              <w:bottom w:val="nil"/>
              <w:right w:val="nil"/>
            </w:tcBorders>
            <w:shd w:val="clear" w:color="auto" w:fill="auto"/>
            <w:noWrap/>
            <w:vAlign w:val="center"/>
            <w:hideMark/>
          </w:tcPr>
          <w:p w14:paraId="55135FB0"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3" w:type="dxa"/>
            <w:gridSpan w:val="2"/>
            <w:tcBorders>
              <w:top w:val="nil"/>
              <w:left w:val="nil"/>
              <w:bottom w:val="nil"/>
              <w:right w:val="nil"/>
            </w:tcBorders>
            <w:shd w:val="clear" w:color="auto" w:fill="auto"/>
            <w:noWrap/>
            <w:vAlign w:val="center"/>
            <w:hideMark/>
          </w:tcPr>
          <w:p w14:paraId="634AD86C" w14:textId="77777777" w:rsidR="00490837" w:rsidRPr="00490837" w:rsidRDefault="00490837" w:rsidP="00490837">
            <w:pPr>
              <w:spacing w:before="0" w:line="240" w:lineRule="auto"/>
              <w:jc w:val="right"/>
              <w:rPr>
                <w:rFonts w:eastAsia="Times New Roman" w:cs="Times New Roman"/>
                <w:color w:val="auto"/>
                <w:sz w:val="20"/>
                <w:szCs w:val="20"/>
                <w:lang w:eastAsia="en-AU"/>
              </w:rPr>
            </w:pPr>
          </w:p>
        </w:tc>
        <w:tc>
          <w:tcPr>
            <w:tcW w:w="706" w:type="dxa"/>
            <w:tcBorders>
              <w:top w:val="nil"/>
              <w:left w:val="nil"/>
              <w:bottom w:val="nil"/>
              <w:right w:val="nil"/>
            </w:tcBorders>
            <w:shd w:val="clear" w:color="auto" w:fill="auto"/>
            <w:noWrap/>
            <w:vAlign w:val="center"/>
            <w:hideMark/>
          </w:tcPr>
          <w:p w14:paraId="495DA03E"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649" w:type="dxa"/>
            <w:tcBorders>
              <w:top w:val="nil"/>
              <w:left w:val="nil"/>
              <w:bottom w:val="nil"/>
              <w:right w:val="nil"/>
            </w:tcBorders>
            <w:shd w:val="clear" w:color="auto" w:fill="auto"/>
            <w:noWrap/>
            <w:vAlign w:val="center"/>
            <w:hideMark/>
          </w:tcPr>
          <w:p w14:paraId="27D951C7" w14:textId="77777777" w:rsidR="00490837" w:rsidRPr="00490837" w:rsidRDefault="00490837" w:rsidP="00490837">
            <w:pPr>
              <w:spacing w:before="0" w:line="240" w:lineRule="auto"/>
              <w:jc w:val="right"/>
              <w:rPr>
                <w:rFonts w:eastAsia="Times New Roman" w:cs="Times New Roman"/>
                <w:color w:val="auto"/>
                <w:sz w:val="20"/>
                <w:szCs w:val="20"/>
                <w:lang w:eastAsia="en-AU"/>
              </w:rPr>
            </w:pPr>
          </w:p>
        </w:tc>
      </w:tr>
      <w:tr w:rsidR="00490837" w:rsidRPr="00490837" w14:paraId="1238AAC8" w14:textId="77777777" w:rsidTr="00490837">
        <w:trPr>
          <w:trHeight w:hRule="exact" w:val="283"/>
        </w:trPr>
        <w:tc>
          <w:tcPr>
            <w:tcW w:w="2844" w:type="dxa"/>
            <w:gridSpan w:val="4"/>
            <w:tcBorders>
              <w:top w:val="nil"/>
              <w:left w:val="nil"/>
              <w:bottom w:val="single" w:sz="8" w:space="0" w:color="auto"/>
              <w:right w:val="nil"/>
            </w:tcBorders>
            <w:shd w:val="clear" w:color="auto" w:fill="auto"/>
            <w:noWrap/>
            <w:vAlign w:val="center"/>
            <w:hideMark/>
          </w:tcPr>
          <w:p w14:paraId="7482ED52" w14:textId="77777777" w:rsidR="00490837" w:rsidRPr="00490837" w:rsidRDefault="00490837" w:rsidP="00490837">
            <w:pPr>
              <w:spacing w:before="0" w:line="240" w:lineRule="auto"/>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OPERATING RESULT FOR THE YEAR</w:t>
            </w:r>
          </w:p>
        </w:tc>
        <w:tc>
          <w:tcPr>
            <w:tcW w:w="733" w:type="dxa"/>
            <w:gridSpan w:val="3"/>
            <w:tcBorders>
              <w:top w:val="nil"/>
              <w:left w:val="nil"/>
              <w:bottom w:val="single" w:sz="8" w:space="0" w:color="auto"/>
              <w:right w:val="nil"/>
            </w:tcBorders>
            <w:shd w:val="clear" w:color="auto" w:fill="auto"/>
            <w:noWrap/>
            <w:vAlign w:val="center"/>
            <w:hideMark/>
          </w:tcPr>
          <w:p w14:paraId="5DD74DB6"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 xml:space="preserve">- </w:t>
            </w:r>
          </w:p>
        </w:tc>
        <w:tc>
          <w:tcPr>
            <w:tcW w:w="566" w:type="dxa"/>
            <w:gridSpan w:val="2"/>
            <w:tcBorders>
              <w:top w:val="nil"/>
              <w:left w:val="nil"/>
              <w:bottom w:val="single" w:sz="8" w:space="0" w:color="auto"/>
              <w:right w:val="nil"/>
            </w:tcBorders>
            <w:shd w:val="clear" w:color="auto" w:fill="auto"/>
            <w:noWrap/>
            <w:vAlign w:val="center"/>
            <w:hideMark/>
          </w:tcPr>
          <w:p w14:paraId="27CD20C0"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 </w:t>
            </w:r>
          </w:p>
        </w:tc>
        <w:tc>
          <w:tcPr>
            <w:tcW w:w="733" w:type="dxa"/>
            <w:gridSpan w:val="2"/>
            <w:tcBorders>
              <w:top w:val="nil"/>
              <w:left w:val="nil"/>
              <w:bottom w:val="single" w:sz="8" w:space="0" w:color="auto"/>
              <w:right w:val="nil"/>
            </w:tcBorders>
            <w:shd w:val="clear" w:color="auto" w:fill="auto"/>
            <w:noWrap/>
            <w:vAlign w:val="center"/>
            <w:hideMark/>
          </w:tcPr>
          <w:p w14:paraId="036E333B"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168,590</w:t>
            </w:r>
          </w:p>
        </w:tc>
        <w:tc>
          <w:tcPr>
            <w:tcW w:w="544" w:type="dxa"/>
            <w:gridSpan w:val="2"/>
            <w:tcBorders>
              <w:top w:val="nil"/>
              <w:left w:val="nil"/>
              <w:bottom w:val="single" w:sz="8" w:space="0" w:color="auto"/>
              <w:right w:val="nil"/>
            </w:tcBorders>
            <w:shd w:val="clear" w:color="auto" w:fill="auto"/>
            <w:noWrap/>
            <w:vAlign w:val="center"/>
            <w:hideMark/>
          </w:tcPr>
          <w:p w14:paraId="35B00ADE"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 </w:t>
            </w:r>
          </w:p>
        </w:tc>
        <w:tc>
          <w:tcPr>
            <w:tcW w:w="700" w:type="dxa"/>
            <w:gridSpan w:val="2"/>
            <w:tcBorders>
              <w:top w:val="nil"/>
              <w:left w:val="nil"/>
              <w:bottom w:val="single" w:sz="8" w:space="0" w:color="auto"/>
              <w:right w:val="nil"/>
            </w:tcBorders>
            <w:shd w:val="clear" w:color="auto" w:fill="auto"/>
            <w:noWrap/>
            <w:vAlign w:val="center"/>
            <w:hideMark/>
          </w:tcPr>
          <w:p w14:paraId="3D9DB579"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 xml:space="preserve">- </w:t>
            </w:r>
          </w:p>
        </w:tc>
        <w:tc>
          <w:tcPr>
            <w:tcW w:w="542" w:type="dxa"/>
            <w:gridSpan w:val="3"/>
            <w:tcBorders>
              <w:top w:val="nil"/>
              <w:left w:val="nil"/>
              <w:bottom w:val="single" w:sz="8" w:space="0" w:color="auto"/>
              <w:right w:val="nil"/>
            </w:tcBorders>
            <w:shd w:val="clear" w:color="auto" w:fill="auto"/>
            <w:noWrap/>
            <w:vAlign w:val="center"/>
            <w:hideMark/>
          </w:tcPr>
          <w:p w14:paraId="6647C017"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 </w:t>
            </w:r>
          </w:p>
        </w:tc>
        <w:tc>
          <w:tcPr>
            <w:tcW w:w="706" w:type="dxa"/>
            <w:gridSpan w:val="2"/>
            <w:tcBorders>
              <w:top w:val="nil"/>
              <w:left w:val="nil"/>
              <w:bottom w:val="single" w:sz="8" w:space="0" w:color="auto"/>
              <w:right w:val="nil"/>
            </w:tcBorders>
            <w:shd w:val="clear" w:color="auto" w:fill="auto"/>
            <w:noWrap/>
            <w:vAlign w:val="center"/>
            <w:hideMark/>
          </w:tcPr>
          <w:p w14:paraId="69A12A17"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 xml:space="preserve">- </w:t>
            </w:r>
          </w:p>
        </w:tc>
        <w:tc>
          <w:tcPr>
            <w:tcW w:w="550" w:type="dxa"/>
            <w:gridSpan w:val="2"/>
            <w:tcBorders>
              <w:top w:val="nil"/>
              <w:left w:val="nil"/>
              <w:bottom w:val="single" w:sz="8" w:space="0" w:color="auto"/>
              <w:right w:val="nil"/>
            </w:tcBorders>
            <w:shd w:val="clear" w:color="auto" w:fill="auto"/>
            <w:noWrap/>
            <w:vAlign w:val="center"/>
            <w:hideMark/>
          </w:tcPr>
          <w:p w14:paraId="66D8983C"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 </w:t>
            </w:r>
          </w:p>
        </w:tc>
        <w:tc>
          <w:tcPr>
            <w:tcW w:w="695" w:type="dxa"/>
            <w:gridSpan w:val="2"/>
            <w:tcBorders>
              <w:top w:val="nil"/>
              <w:left w:val="nil"/>
              <w:bottom w:val="single" w:sz="8" w:space="0" w:color="auto"/>
              <w:right w:val="nil"/>
            </w:tcBorders>
            <w:shd w:val="clear" w:color="auto" w:fill="auto"/>
            <w:noWrap/>
            <w:vAlign w:val="center"/>
            <w:hideMark/>
          </w:tcPr>
          <w:p w14:paraId="1E551482"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-173,400</w:t>
            </w:r>
          </w:p>
        </w:tc>
        <w:tc>
          <w:tcPr>
            <w:tcW w:w="553" w:type="dxa"/>
            <w:gridSpan w:val="2"/>
            <w:tcBorders>
              <w:top w:val="nil"/>
              <w:left w:val="nil"/>
              <w:bottom w:val="single" w:sz="8" w:space="0" w:color="auto"/>
              <w:right w:val="nil"/>
            </w:tcBorders>
            <w:shd w:val="clear" w:color="auto" w:fill="auto"/>
            <w:noWrap/>
            <w:vAlign w:val="center"/>
            <w:hideMark/>
          </w:tcPr>
          <w:p w14:paraId="4100897B"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 </w:t>
            </w:r>
          </w:p>
        </w:tc>
        <w:tc>
          <w:tcPr>
            <w:tcW w:w="742" w:type="dxa"/>
            <w:gridSpan w:val="2"/>
            <w:tcBorders>
              <w:top w:val="nil"/>
              <w:left w:val="nil"/>
              <w:bottom w:val="single" w:sz="8" w:space="0" w:color="auto"/>
              <w:right w:val="nil"/>
            </w:tcBorders>
            <w:shd w:val="clear" w:color="auto" w:fill="auto"/>
            <w:noWrap/>
            <w:vAlign w:val="center"/>
            <w:hideMark/>
          </w:tcPr>
          <w:p w14:paraId="4CA70DBF"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19,486</w:t>
            </w:r>
          </w:p>
        </w:tc>
        <w:tc>
          <w:tcPr>
            <w:tcW w:w="548" w:type="dxa"/>
            <w:gridSpan w:val="2"/>
            <w:tcBorders>
              <w:top w:val="nil"/>
              <w:left w:val="nil"/>
              <w:bottom w:val="single" w:sz="8" w:space="0" w:color="auto"/>
              <w:right w:val="nil"/>
            </w:tcBorders>
            <w:shd w:val="clear" w:color="auto" w:fill="auto"/>
            <w:noWrap/>
            <w:vAlign w:val="center"/>
            <w:hideMark/>
          </w:tcPr>
          <w:p w14:paraId="3FC73EF7"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 </w:t>
            </w:r>
          </w:p>
        </w:tc>
        <w:tc>
          <w:tcPr>
            <w:tcW w:w="703" w:type="dxa"/>
            <w:gridSpan w:val="2"/>
            <w:tcBorders>
              <w:top w:val="nil"/>
              <w:left w:val="nil"/>
              <w:bottom w:val="single" w:sz="8" w:space="0" w:color="auto"/>
              <w:right w:val="nil"/>
            </w:tcBorders>
            <w:shd w:val="clear" w:color="auto" w:fill="auto"/>
            <w:noWrap/>
            <w:vAlign w:val="center"/>
            <w:hideMark/>
          </w:tcPr>
          <w:p w14:paraId="59C756C1"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 xml:space="preserve">- </w:t>
            </w:r>
          </w:p>
        </w:tc>
        <w:tc>
          <w:tcPr>
            <w:tcW w:w="706" w:type="dxa"/>
            <w:tcBorders>
              <w:top w:val="nil"/>
              <w:left w:val="nil"/>
              <w:bottom w:val="single" w:sz="8" w:space="0" w:color="auto"/>
              <w:right w:val="nil"/>
            </w:tcBorders>
            <w:shd w:val="clear" w:color="auto" w:fill="auto"/>
            <w:noWrap/>
            <w:vAlign w:val="center"/>
            <w:hideMark/>
          </w:tcPr>
          <w:p w14:paraId="4F581FD3"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 </w:t>
            </w:r>
          </w:p>
        </w:tc>
        <w:tc>
          <w:tcPr>
            <w:tcW w:w="649" w:type="dxa"/>
            <w:tcBorders>
              <w:top w:val="nil"/>
              <w:left w:val="nil"/>
              <w:bottom w:val="single" w:sz="8" w:space="0" w:color="auto"/>
              <w:right w:val="nil"/>
            </w:tcBorders>
            <w:shd w:val="clear" w:color="auto" w:fill="auto"/>
            <w:noWrap/>
            <w:vAlign w:val="center"/>
            <w:hideMark/>
          </w:tcPr>
          <w:p w14:paraId="02C9C935"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14,676</w:t>
            </w:r>
          </w:p>
        </w:tc>
      </w:tr>
      <w:tr w:rsidR="00490837" w:rsidRPr="00490837" w14:paraId="00001F80" w14:textId="77777777" w:rsidTr="00490837">
        <w:trPr>
          <w:trHeight w:val="273"/>
        </w:trPr>
        <w:tc>
          <w:tcPr>
            <w:tcW w:w="186" w:type="dxa"/>
            <w:tcBorders>
              <w:top w:val="nil"/>
              <w:left w:val="nil"/>
              <w:bottom w:val="nil"/>
              <w:right w:val="nil"/>
            </w:tcBorders>
            <w:shd w:val="clear" w:color="auto" w:fill="auto"/>
            <w:noWrap/>
            <w:vAlign w:val="center"/>
            <w:hideMark/>
          </w:tcPr>
          <w:p w14:paraId="22FC7ACD"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2658" w:type="dxa"/>
            <w:gridSpan w:val="3"/>
            <w:tcBorders>
              <w:top w:val="nil"/>
              <w:left w:val="nil"/>
              <w:bottom w:val="nil"/>
              <w:right w:val="nil"/>
            </w:tcBorders>
            <w:shd w:val="clear" w:color="auto" w:fill="auto"/>
            <w:noWrap/>
            <w:vAlign w:val="center"/>
            <w:hideMark/>
          </w:tcPr>
          <w:p w14:paraId="4AFFC12C"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33" w:type="dxa"/>
            <w:gridSpan w:val="3"/>
            <w:tcBorders>
              <w:top w:val="nil"/>
              <w:left w:val="nil"/>
              <w:bottom w:val="nil"/>
              <w:right w:val="nil"/>
            </w:tcBorders>
            <w:shd w:val="clear" w:color="auto" w:fill="auto"/>
            <w:noWrap/>
            <w:vAlign w:val="center"/>
            <w:hideMark/>
          </w:tcPr>
          <w:p w14:paraId="50A27F63"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66" w:type="dxa"/>
            <w:gridSpan w:val="2"/>
            <w:tcBorders>
              <w:top w:val="nil"/>
              <w:left w:val="nil"/>
              <w:bottom w:val="nil"/>
              <w:right w:val="nil"/>
            </w:tcBorders>
            <w:shd w:val="clear" w:color="auto" w:fill="auto"/>
            <w:noWrap/>
            <w:vAlign w:val="center"/>
            <w:hideMark/>
          </w:tcPr>
          <w:p w14:paraId="04FDE0F8"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33" w:type="dxa"/>
            <w:gridSpan w:val="2"/>
            <w:tcBorders>
              <w:top w:val="nil"/>
              <w:left w:val="nil"/>
              <w:bottom w:val="nil"/>
              <w:right w:val="nil"/>
            </w:tcBorders>
            <w:shd w:val="clear" w:color="auto" w:fill="auto"/>
            <w:noWrap/>
            <w:vAlign w:val="center"/>
            <w:hideMark/>
          </w:tcPr>
          <w:p w14:paraId="1AAC4211"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44" w:type="dxa"/>
            <w:gridSpan w:val="2"/>
            <w:tcBorders>
              <w:top w:val="nil"/>
              <w:left w:val="nil"/>
              <w:bottom w:val="nil"/>
              <w:right w:val="nil"/>
            </w:tcBorders>
            <w:shd w:val="clear" w:color="auto" w:fill="auto"/>
            <w:noWrap/>
            <w:vAlign w:val="center"/>
            <w:hideMark/>
          </w:tcPr>
          <w:p w14:paraId="5D6F53F3"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0" w:type="dxa"/>
            <w:gridSpan w:val="2"/>
            <w:tcBorders>
              <w:top w:val="nil"/>
              <w:left w:val="nil"/>
              <w:bottom w:val="nil"/>
              <w:right w:val="nil"/>
            </w:tcBorders>
            <w:shd w:val="clear" w:color="auto" w:fill="auto"/>
            <w:noWrap/>
            <w:vAlign w:val="center"/>
            <w:hideMark/>
          </w:tcPr>
          <w:p w14:paraId="12F47FF3"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42" w:type="dxa"/>
            <w:gridSpan w:val="3"/>
            <w:tcBorders>
              <w:top w:val="nil"/>
              <w:left w:val="nil"/>
              <w:bottom w:val="nil"/>
              <w:right w:val="nil"/>
            </w:tcBorders>
            <w:shd w:val="clear" w:color="auto" w:fill="auto"/>
            <w:noWrap/>
            <w:vAlign w:val="center"/>
            <w:hideMark/>
          </w:tcPr>
          <w:p w14:paraId="48DD4B9E"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6" w:type="dxa"/>
            <w:gridSpan w:val="2"/>
            <w:tcBorders>
              <w:top w:val="nil"/>
              <w:left w:val="nil"/>
              <w:bottom w:val="nil"/>
              <w:right w:val="nil"/>
            </w:tcBorders>
            <w:shd w:val="clear" w:color="auto" w:fill="auto"/>
            <w:noWrap/>
            <w:vAlign w:val="center"/>
            <w:hideMark/>
          </w:tcPr>
          <w:p w14:paraId="6CAACB08"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50" w:type="dxa"/>
            <w:gridSpan w:val="2"/>
            <w:tcBorders>
              <w:top w:val="nil"/>
              <w:left w:val="nil"/>
              <w:bottom w:val="nil"/>
              <w:right w:val="nil"/>
            </w:tcBorders>
            <w:shd w:val="clear" w:color="auto" w:fill="auto"/>
            <w:noWrap/>
            <w:vAlign w:val="center"/>
            <w:hideMark/>
          </w:tcPr>
          <w:p w14:paraId="6F3BDB8D"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695" w:type="dxa"/>
            <w:gridSpan w:val="2"/>
            <w:tcBorders>
              <w:top w:val="nil"/>
              <w:left w:val="nil"/>
              <w:bottom w:val="nil"/>
              <w:right w:val="nil"/>
            </w:tcBorders>
            <w:shd w:val="clear" w:color="auto" w:fill="auto"/>
            <w:noWrap/>
            <w:vAlign w:val="center"/>
            <w:hideMark/>
          </w:tcPr>
          <w:p w14:paraId="6662B4EB"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53" w:type="dxa"/>
            <w:gridSpan w:val="2"/>
            <w:tcBorders>
              <w:top w:val="nil"/>
              <w:left w:val="nil"/>
              <w:bottom w:val="nil"/>
              <w:right w:val="nil"/>
            </w:tcBorders>
            <w:shd w:val="clear" w:color="auto" w:fill="auto"/>
            <w:noWrap/>
            <w:vAlign w:val="center"/>
            <w:hideMark/>
          </w:tcPr>
          <w:p w14:paraId="73C38F95"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42" w:type="dxa"/>
            <w:gridSpan w:val="2"/>
            <w:tcBorders>
              <w:top w:val="nil"/>
              <w:left w:val="nil"/>
              <w:bottom w:val="nil"/>
              <w:right w:val="nil"/>
            </w:tcBorders>
            <w:shd w:val="clear" w:color="auto" w:fill="auto"/>
            <w:noWrap/>
            <w:vAlign w:val="center"/>
            <w:hideMark/>
          </w:tcPr>
          <w:p w14:paraId="30683CC5"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48" w:type="dxa"/>
            <w:gridSpan w:val="2"/>
            <w:tcBorders>
              <w:top w:val="nil"/>
              <w:left w:val="nil"/>
              <w:bottom w:val="nil"/>
              <w:right w:val="nil"/>
            </w:tcBorders>
            <w:shd w:val="clear" w:color="auto" w:fill="auto"/>
            <w:noWrap/>
            <w:vAlign w:val="center"/>
            <w:hideMark/>
          </w:tcPr>
          <w:p w14:paraId="29F00BF0"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3" w:type="dxa"/>
            <w:gridSpan w:val="2"/>
            <w:tcBorders>
              <w:top w:val="nil"/>
              <w:left w:val="nil"/>
              <w:bottom w:val="nil"/>
              <w:right w:val="nil"/>
            </w:tcBorders>
            <w:shd w:val="clear" w:color="auto" w:fill="auto"/>
            <w:noWrap/>
            <w:vAlign w:val="center"/>
            <w:hideMark/>
          </w:tcPr>
          <w:p w14:paraId="7906BCC4"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6" w:type="dxa"/>
            <w:tcBorders>
              <w:top w:val="nil"/>
              <w:left w:val="nil"/>
              <w:bottom w:val="nil"/>
              <w:right w:val="nil"/>
            </w:tcBorders>
            <w:shd w:val="clear" w:color="auto" w:fill="auto"/>
            <w:noWrap/>
            <w:vAlign w:val="center"/>
            <w:hideMark/>
          </w:tcPr>
          <w:p w14:paraId="1284AF74"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649" w:type="dxa"/>
            <w:tcBorders>
              <w:top w:val="nil"/>
              <w:left w:val="nil"/>
              <w:bottom w:val="nil"/>
              <w:right w:val="nil"/>
            </w:tcBorders>
            <w:shd w:val="clear" w:color="auto" w:fill="auto"/>
            <w:noWrap/>
            <w:vAlign w:val="center"/>
            <w:hideMark/>
          </w:tcPr>
          <w:p w14:paraId="074BBF8C" w14:textId="77777777" w:rsidR="00490837" w:rsidRPr="00490837" w:rsidRDefault="00490837" w:rsidP="00490837">
            <w:pPr>
              <w:spacing w:before="0" w:line="240" w:lineRule="auto"/>
              <w:rPr>
                <w:rFonts w:eastAsia="Times New Roman" w:cs="Times New Roman"/>
                <w:color w:val="auto"/>
                <w:sz w:val="20"/>
                <w:szCs w:val="20"/>
                <w:lang w:eastAsia="en-AU"/>
              </w:rPr>
            </w:pPr>
          </w:p>
        </w:tc>
      </w:tr>
      <w:tr w:rsidR="00490837" w:rsidRPr="00490837" w14:paraId="0A5CF1AD" w14:textId="77777777" w:rsidTr="00490837">
        <w:trPr>
          <w:trHeight w:val="273"/>
        </w:trPr>
        <w:tc>
          <w:tcPr>
            <w:tcW w:w="186" w:type="dxa"/>
            <w:tcBorders>
              <w:top w:val="nil"/>
              <w:left w:val="nil"/>
              <w:bottom w:val="nil"/>
              <w:right w:val="nil"/>
            </w:tcBorders>
            <w:shd w:val="clear" w:color="auto" w:fill="auto"/>
            <w:noWrap/>
            <w:vAlign w:val="center"/>
            <w:hideMark/>
          </w:tcPr>
          <w:p w14:paraId="1FC52979"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2658" w:type="dxa"/>
            <w:gridSpan w:val="3"/>
            <w:tcBorders>
              <w:top w:val="nil"/>
              <w:left w:val="nil"/>
              <w:bottom w:val="nil"/>
              <w:right w:val="nil"/>
            </w:tcBorders>
            <w:shd w:val="clear" w:color="auto" w:fill="auto"/>
            <w:noWrap/>
            <w:vAlign w:val="center"/>
            <w:hideMark/>
          </w:tcPr>
          <w:p w14:paraId="69D4D4BB"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33" w:type="dxa"/>
            <w:gridSpan w:val="3"/>
            <w:tcBorders>
              <w:top w:val="nil"/>
              <w:left w:val="nil"/>
              <w:bottom w:val="nil"/>
              <w:right w:val="nil"/>
            </w:tcBorders>
            <w:shd w:val="clear" w:color="auto" w:fill="auto"/>
            <w:noWrap/>
            <w:vAlign w:val="center"/>
            <w:hideMark/>
          </w:tcPr>
          <w:p w14:paraId="24F20664"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66" w:type="dxa"/>
            <w:gridSpan w:val="2"/>
            <w:tcBorders>
              <w:top w:val="nil"/>
              <w:left w:val="nil"/>
              <w:bottom w:val="nil"/>
              <w:right w:val="nil"/>
            </w:tcBorders>
            <w:shd w:val="clear" w:color="auto" w:fill="auto"/>
            <w:noWrap/>
            <w:vAlign w:val="center"/>
            <w:hideMark/>
          </w:tcPr>
          <w:p w14:paraId="73EBF8DA"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33" w:type="dxa"/>
            <w:gridSpan w:val="2"/>
            <w:tcBorders>
              <w:top w:val="nil"/>
              <w:left w:val="nil"/>
              <w:bottom w:val="nil"/>
              <w:right w:val="nil"/>
            </w:tcBorders>
            <w:shd w:val="clear" w:color="auto" w:fill="auto"/>
            <w:noWrap/>
            <w:vAlign w:val="center"/>
            <w:hideMark/>
          </w:tcPr>
          <w:p w14:paraId="3EB6AAD2"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44" w:type="dxa"/>
            <w:gridSpan w:val="2"/>
            <w:tcBorders>
              <w:top w:val="nil"/>
              <w:left w:val="nil"/>
              <w:bottom w:val="nil"/>
              <w:right w:val="nil"/>
            </w:tcBorders>
            <w:shd w:val="clear" w:color="auto" w:fill="auto"/>
            <w:noWrap/>
            <w:vAlign w:val="center"/>
            <w:hideMark/>
          </w:tcPr>
          <w:p w14:paraId="00C41C39"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0" w:type="dxa"/>
            <w:gridSpan w:val="2"/>
            <w:tcBorders>
              <w:top w:val="nil"/>
              <w:left w:val="nil"/>
              <w:bottom w:val="nil"/>
              <w:right w:val="nil"/>
            </w:tcBorders>
            <w:shd w:val="clear" w:color="auto" w:fill="auto"/>
            <w:noWrap/>
            <w:vAlign w:val="center"/>
            <w:hideMark/>
          </w:tcPr>
          <w:p w14:paraId="7E7B79B0"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42" w:type="dxa"/>
            <w:gridSpan w:val="3"/>
            <w:tcBorders>
              <w:top w:val="nil"/>
              <w:left w:val="nil"/>
              <w:bottom w:val="nil"/>
              <w:right w:val="nil"/>
            </w:tcBorders>
            <w:shd w:val="clear" w:color="auto" w:fill="auto"/>
            <w:noWrap/>
            <w:vAlign w:val="center"/>
            <w:hideMark/>
          </w:tcPr>
          <w:p w14:paraId="61F863FA"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6" w:type="dxa"/>
            <w:gridSpan w:val="2"/>
            <w:tcBorders>
              <w:top w:val="nil"/>
              <w:left w:val="nil"/>
              <w:bottom w:val="nil"/>
              <w:right w:val="nil"/>
            </w:tcBorders>
            <w:shd w:val="clear" w:color="auto" w:fill="auto"/>
            <w:noWrap/>
            <w:vAlign w:val="center"/>
            <w:hideMark/>
          </w:tcPr>
          <w:p w14:paraId="112049C3"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50" w:type="dxa"/>
            <w:gridSpan w:val="2"/>
            <w:tcBorders>
              <w:top w:val="nil"/>
              <w:left w:val="nil"/>
              <w:bottom w:val="nil"/>
              <w:right w:val="nil"/>
            </w:tcBorders>
            <w:shd w:val="clear" w:color="auto" w:fill="auto"/>
            <w:noWrap/>
            <w:vAlign w:val="center"/>
            <w:hideMark/>
          </w:tcPr>
          <w:p w14:paraId="1EBA6C73"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695" w:type="dxa"/>
            <w:gridSpan w:val="2"/>
            <w:tcBorders>
              <w:top w:val="nil"/>
              <w:left w:val="nil"/>
              <w:bottom w:val="nil"/>
              <w:right w:val="nil"/>
            </w:tcBorders>
            <w:shd w:val="clear" w:color="auto" w:fill="auto"/>
            <w:noWrap/>
            <w:vAlign w:val="center"/>
            <w:hideMark/>
          </w:tcPr>
          <w:p w14:paraId="70DF2A80"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53" w:type="dxa"/>
            <w:gridSpan w:val="2"/>
            <w:tcBorders>
              <w:top w:val="nil"/>
              <w:left w:val="nil"/>
              <w:bottom w:val="nil"/>
              <w:right w:val="nil"/>
            </w:tcBorders>
            <w:shd w:val="clear" w:color="auto" w:fill="auto"/>
            <w:noWrap/>
            <w:vAlign w:val="center"/>
            <w:hideMark/>
          </w:tcPr>
          <w:p w14:paraId="3C6E6F94"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42" w:type="dxa"/>
            <w:gridSpan w:val="2"/>
            <w:tcBorders>
              <w:top w:val="nil"/>
              <w:left w:val="nil"/>
              <w:bottom w:val="nil"/>
              <w:right w:val="nil"/>
            </w:tcBorders>
            <w:shd w:val="clear" w:color="auto" w:fill="auto"/>
            <w:noWrap/>
            <w:vAlign w:val="center"/>
            <w:hideMark/>
          </w:tcPr>
          <w:p w14:paraId="73BB5D00"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48" w:type="dxa"/>
            <w:gridSpan w:val="2"/>
            <w:tcBorders>
              <w:top w:val="nil"/>
              <w:left w:val="nil"/>
              <w:bottom w:val="nil"/>
              <w:right w:val="nil"/>
            </w:tcBorders>
            <w:shd w:val="clear" w:color="auto" w:fill="auto"/>
            <w:noWrap/>
            <w:vAlign w:val="center"/>
            <w:hideMark/>
          </w:tcPr>
          <w:p w14:paraId="75EBB9D7"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3" w:type="dxa"/>
            <w:gridSpan w:val="2"/>
            <w:tcBorders>
              <w:top w:val="nil"/>
              <w:left w:val="nil"/>
              <w:bottom w:val="nil"/>
              <w:right w:val="nil"/>
            </w:tcBorders>
            <w:shd w:val="clear" w:color="auto" w:fill="auto"/>
            <w:noWrap/>
            <w:vAlign w:val="center"/>
            <w:hideMark/>
          </w:tcPr>
          <w:p w14:paraId="6F455C39"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6" w:type="dxa"/>
            <w:tcBorders>
              <w:top w:val="nil"/>
              <w:left w:val="nil"/>
              <w:bottom w:val="nil"/>
              <w:right w:val="nil"/>
            </w:tcBorders>
            <w:shd w:val="clear" w:color="auto" w:fill="auto"/>
            <w:noWrap/>
            <w:vAlign w:val="center"/>
            <w:hideMark/>
          </w:tcPr>
          <w:p w14:paraId="52EFDEEE"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649" w:type="dxa"/>
            <w:tcBorders>
              <w:top w:val="nil"/>
              <w:left w:val="nil"/>
              <w:bottom w:val="nil"/>
              <w:right w:val="nil"/>
            </w:tcBorders>
            <w:shd w:val="clear" w:color="auto" w:fill="auto"/>
            <w:noWrap/>
            <w:vAlign w:val="center"/>
            <w:hideMark/>
          </w:tcPr>
          <w:p w14:paraId="574843C6" w14:textId="77777777" w:rsidR="00490837" w:rsidRPr="00490837" w:rsidRDefault="00490837" w:rsidP="00490837">
            <w:pPr>
              <w:spacing w:before="0" w:line="240" w:lineRule="auto"/>
              <w:rPr>
                <w:rFonts w:eastAsia="Times New Roman" w:cs="Times New Roman"/>
                <w:color w:val="auto"/>
                <w:sz w:val="20"/>
                <w:szCs w:val="20"/>
                <w:lang w:eastAsia="en-AU"/>
              </w:rPr>
            </w:pPr>
          </w:p>
        </w:tc>
      </w:tr>
      <w:tr w:rsidR="00490837" w:rsidRPr="00490837" w14:paraId="7AF345DB" w14:textId="77777777" w:rsidTr="00490837">
        <w:trPr>
          <w:trHeight w:hRule="exact" w:val="273"/>
        </w:trPr>
        <w:tc>
          <w:tcPr>
            <w:tcW w:w="2844" w:type="dxa"/>
            <w:gridSpan w:val="4"/>
            <w:tcBorders>
              <w:top w:val="nil"/>
              <w:left w:val="nil"/>
              <w:bottom w:val="nil"/>
              <w:right w:val="nil"/>
            </w:tcBorders>
            <w:shd w:val="clear" w:color="auto" w:fill="auto"/>
            <w:noWrap/>
            <w:vAlign w:val="center"/>
            <w:hideMark/>
          </w:tcPr>
          <w:p w14:paraId="2AB03F28" w14:textId="77777777" w:rsidR="00490837" w:rsidRPr="00490837" w:rsidRDefault="00490837" w:rsidP="00490837">
            <w:pPr>
              <w:spacing w:before="0" w:line="240" w:lineRule="auto"/>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Items not reclassified to operating result</w:t>
            </w:r>
          </w:p>
        </w:tc>
        <w:tc>
          <w:tcPr>
            <w:tcW w:w="733" w:type="dxa"/>
            <w:gridSpan w:val="3"/>
            <w:tcBorders>
              <w:top w:val="nil"/>
              <w:left w:val="nil"/>
              <w:bottom w:val="nil"/>
              <w:right w:val="nil"/>
            </w:tcBorders>
            <w:shd w:val="clear" w:color="auto" w:fill="auto"/>
            <w:noWrap/>
            <w:vAlign w:val="center"/>
            <w:hideMark/>
          </w:tcPr>
          <w:p w14:paraId="4673BC0B" w14:textId="77777777" w:rsidR="00490837" w:rsidRPr="00490837" w:rsidRDefault="00490837" w:rsidP="00490837">
            <w:pPr>
              <w:spacing w:before="0" w:line="240" w:lineRule="auto"/>
              <w:rPr>
                <w:rFonts w:ascii="Meta Pro" w:eastAsia="Times New Roman" w:hAnsi="Meta Pro" w:cs="Calibri"/>
                <w:b/>
                <w:bCs/>
                <w:color w:val="000000"/>
                <w:sz w:val="16"/>
                <w:szCs w:val="16"/>
                <w:lang w:eastAsia="en-AU"/>
              </w:rPr>
            </w:pPr>
          </w:p>
        </w:tc>
        <w:tc>
          <w:tcPr>
            <w:tcW w:w="566" w:type="dxa"/>
            <w:gridSpan w:val="2"/>
            <w:tcBorders>
              <w:top w:val="nil"/>
              <w:left w:val="nil"/>
              <w:bottom w:val="nil"/>
              <w:right w:val="nil"/>
            </w:tcBorders>
            <w:shd w:val="clear" w:color="auto" w:fill="auto"/>
            <w:noWrap/>
            <w:vAlign w:val="center"/>
            <w:hideMark/>
          </w:tcPr>
          <w:p w14:paraId="6101DC05"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33" w:type="dxa"/>
            <w:gridSpan w:val="2"/>
            <w:tcBorders>
              <w:top w:val="nil"/>
              <w:left w:val="nil"/>
              <w:bottom w:val="nil"/>
              <w:right w:val="nil"/>
            </w:tcBorders>
            <w:shd w:val="clear" w:color="auto" w:fill="auto"/>
            <w:noWrap/>
            <w:vAlign w:val="center"/>
            <w:hideMark/>
          </w:tcPr>
          <w:p w14:paraId="1F62867B"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44" w:type="dxa"/>
            <w:gridSpan w:val="2"/>
            <w:tcBorders>
              <w:top w:val="nil"/>
              <w:left w:val="nil"/>
              <w:bottom w:val="nil"/>
              <w:right w:val="nil"/>
            </w:tcBorders>
            <w:shd w:val="clear" w:color="auto" w:fill="auto"/>
            <w:noWrap/>
            <w:vAlign w:val="center"/>
            <w:hideMark/>
          </w:tcPr>
          <w:p w14:paraId="21CDEE48"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0" w:type="dxa"/>
            <w:gridSpan w:val="2"/>
            <w:tcBorders>
              <w:top w:val="nil"/>
              <w:left w:val="nil"/>
              <w:bottom w:val="nil"/>
              <w:right w:val="nil"/>
            </w:tcBorders>
            <w:shd w:val="clear" w:color="auto" w:fill="auto"/>
            <w:noWrap/>
            <w:vAlign w:val="center"/>
            <w:hideMark/>
          </w:tcPr>
          <w:p w14:paraId="743B1293"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42" w:type="dxa"/>
            <w:gridSpan w:val="3"/>
            <w:tcBorders>
              <w:top w:val="nil"/>
              <w:left w:val="nil"/>
              <w:bottom w:val="nil"/>
              <w:right w:val="nil"/>
            </w:tcBorders>
            <w:shd w:val="clear" w:color="auto" w:fill="auto"/>
            <w:noWrap/>
            <w:vAlign w:val="center"/>
            <w:hideMark/>
          </w:tcPr>
          <w:p w14:paraId="19448A1D"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6" w:type="dxa"/>
            <w:gridSpan w:val="2"/>
            <w:tcBorders>
              <w:top w:val="nil"/>
              <w:left w:val="nil"/>
              <w:bottom w:val="nil"/>
              <w:right w:val="nil"/>
            </w:tcBorders>
            <w:shd w:val="clear" w:color="auto" w:fill="auto"/>
            <w:noWrap/>
            <w:vAlign w:val="center"/>
            <w:hideMark/>
          </w:tcPr>
          <w:p w14:paraId="757345FC"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50" w:type="dxa"/>
            <w:gridSpan w:val="2"/>
            <w:tcBorders>
              <w:top w:val="nil"/>
              <w:left w:val="nil"/>
              <w:bottom w:val="nil"/>
              <w:right w:val="nil"/>
            </w:tcBorders>
            <w:shd w:val="clear" w:color="auto" w:fill="auto"/>
            <w:noWrap/>
            <w:vAlign w:val="center"/>
            <w:hideMark/>
          </w:tcPr>
          <w:p w14:paraId="6250D160"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695" w:type="dxa"/>
            <w:gridSpan w:val="2"/>
            <w:tcBorders>
              <w:top w:val="nil"/>
              <w:left w:val="nil"/>
              <w:bottom w:val="nil"/>
              <w:right w:val="nil"/>
            </w:tcBorders>
            <w:shd w:val="clear" w:color="auto" w:fill="auto"/>
            <w:noWrap/>
            <w:vAlign w:val="center"/>
            <w:hideMark/>
          </w:tcPr>
          <w:p w14:paraId="517D4164"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53" w:type="dxa"/>
            <w:gridSpan w:val="2"/>
            <w:tcBorders>
              <w:top w:val="nil"/>
              <w:left w:val="nil"/>
              <w:bottom w:val="nil"/>
              <w:right w:val="nil"/>
            </w:tcBorders>
            <w:shd w:val="clear" w:color="auto" w:fill="auto"/>
            <w:noWrap/>
            <w:vAlign w:val="center"/>
            <w:hideMark/>
          </w:tcPr>
          <w:p w14:paraId="4D427A49"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42" w:type="dxa"/>
            <w:gridSpan w:val="2"/>
            <w:tcBorders>
              <w:top w:val="nil"/>
              <w:left w:val="nil"/>
              <w:bottom w:val="nil"/>
              <w:right w:val="nil"/>
            </w:tcBorders>
            <w:shd w:val="clear" w:color="auto" w:fill="auto"/>
            <w:noWrap/>
            <w:vAlign w:val="center"/>
            <w:hideMark/>
          </w:tcPr>
          <w:p w14:paraId="0A5A1E03"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48" w:type="dxa"/>
            <w:gridSpan w:val="2"/>
            <w:tcBorders>
              <w:top w:val="nil"/>
              <w:left w:val="nil"/>
              <w:bottom w:val="nil"/>
              <w:right w:val="nil"/>
            </w:tcBorders>
            <w:shd w:val="clear" w:color="auto" w:fill="auto"/>
            <w:noWrap/>
            <w:vAlign w:val="center"/>
            <w:hideMark/>
          </w:tcPr>
          <w:p w14:paraId="3E3E0440"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3" w:type="dxa"/>
            <w:gridSpan w:val="2"/>
            <w:tcBorders>
              <w:top w:val="nil"/>
              <w:left w:val="nil"/>
              <w:bottom w:val="nil"/>
              <w:right w:val="nil"/>
            </w:tcBorders>
            <w:shd w:val="clear" w:color="auto" w:fill="auto"/>
            <w:noWrap/>
            <w:vAlign w:val="center"/>
            <w:hideMark/>
          </w:tcPr>
          <w:p w14:paraId="6C35D6B3"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06" w:type="dxa"/>
            <w:tcBorders>
              <w:top w:val="nil"/>
              <w:left w:val="nil"/>
              <w:bottom w:val="nil"/>
              <w:right w:val="nil"/>
            </w:tcBorders>
            <w:shd w:val="clear" w:color="auto" w:fill="auto"/>
            <w:noWrap/>
            <w:vAlign w:val="center"/>
            <w:hideMark/>
          </w:tcPr>
          <w:p w14:paraId="687A8DDB"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649" w:type="dxa"/>
            <w:tcBorders>
              <w:top w:val="nil"/>
              <w:left w:val="nil"/>
              <w:bottom w:val="nil"/>
              <w:right w:val="nil"/>
            </w:tcBorders>
            <w:shd w:val="clear" w:color="auto" w:fill="auto"/>
            <w:noWrap/>
            <w:vAlign w:val="center"/>
            <w:hideMark/>
          </w:tcPr>
          <w:p w14:paraId="40A0FC13" w14:textId="77777777" w:rsidR="00490837" w:rsidRPr="00490837" w:rsidRDefault="00490837" w:rsidP="00490837">
            <w:pPr>
              <w:spacing w:before="0" w:line="240" w:lineRule="auto"/>
              <w:rPr>
                <w:rFonts w:eastAsia="Times New Roman" w:cs="Times New Roman"/>
                <w:color w:val="auto"/>
                <w:sz w:val="20"/>
                <w:szCs w:val="20"/>
                <w:lang w:eastAsia="en-AU"/>
              </w:rPr>
            </w:pPr>
          </w:p>
        </w:tc>
      </w:tr>
      <w:tr w:rsidR="00490837" w:rsidRPr="00490837" w14:paraId="1B3351F4" w14:textId="77777777" w:rsidTr="00490837">
        <w:trPr>
          <w:trHeight w:val="283"/>
        </w:trPr>
        <w:tc>
          <w:tcPr>
            <w:tcW w:w="186" w:type="dxa"/>
            <w:tcBorders>
              <w:top w:val="nil"/>
              <w:left w:val="nil"/>
              <w:bottom w:val="single" w:sz="8" w:space="0" w:color="auto"/>
              <w:right w:val="nil"/>
            </w:tcBorders>
            <w:shd w:val="clear" w:color="auto" w:fill="auto"/>
            <w:noWrap/>
            <w:vAlign w:val="center"/>
            <w:hideMark/>
          </w:tcPr>
          <w:p w14:paraId="61CBE468" w14:textId="77777777" w:rsidR="00490837" w:rsidRPr="00490837" w:rsidRDefault="00490837" w:rsidP="00490837">
            <w:pPr>
              <w:spacing w:before="0" w:line="240" w:lineRule="auto"/>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2658" w:type="dxa"/>
            <w:gridSpan w:val="3"/>
            <w:tcBorders>
              <w:top w:val="nil"/>
              <w:left w:val="nil"/>
              <w:bottom w:val="nil"/>
              <w:right w:val="nil"/>
            </w:tcBorders>
            <w:shd w:val="clear" w:color="auto" w:fill="auto"/>
            <w:noWrap/>
            <w:vAlign w:val="center"/>
            <w:hideMark/>
          </w:tcPr>
          <w:p w14:paraId="660661BD" w14:textId="77777777" w:rsidR="00490837" w:rsidRPr="00490837" w:rsidRDefault="00490837" w:rsidP="00490837">
            <w:pPr>
              <w:spacing w:before="0" w:line="240" w:lineRule="auto"/>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Increase/(decrease) in asset revaluation surplus</w:t>
            </w:r>
          </w:p>
        </w:tc>
        <w:tc>
          <w:tcPr>
            <w:tcW w:w="733" w:type="dxa"/>
            <w:gridSpan w:val="3"/>
            <w:tcBorders>
              <w:top w:val="nil"/>
              <w:left w:val="nil"/>
              <w:bottom w:val="single" w:sz="8" w:space="0" w:color="auto"/>
              <w:right w:val="nil"/>
            </w:tcBorders>
            <w:shd w:val="clear" w:color="auto" w:fill="auto"/>
            <w:noWrap/>
            <w:vAlign w:val="center"/>
            <w:hideMark/>
          </w:tcPr>
          <w:p w14:paraId="1DE08872"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-4,524</w:t>
            </w:r>
          </w:p>
        </w:tc>
        <w:tc>
          <w:tcPr>
            <w:tcW w:w="566" w:type="dxa"/>
            <w:gridSpan w:val="2"/>
            <w:tcBorders>
              <w:top w:val="nil"/>
              <w:left w:val="nil"/>
              <w:bottom w:val="single" w:sz="8" w:space="0" w:color="auto"/>
              <w:right w:val="nil"/>
            </w:tcBorders>
            <w:shd w:val="clear" w:color="auto" w:fill="auto"/>
            <w:noWrap/>
            <w:vAlign w:val="center"/>
            <w:hideMark/>
          </w:tcPr>
          <w:p w14:paraId="49DF4FC3"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733" w:type="dxa"/>
            <w:gridSpan w:val="2"/>
            <w:tcBorders>
              <w:top w:val="nil"/>
              <w:left w:val="nil"/>
              <w:bottom w:val="single" w:sz="8" w:space="0" w:color="auto"/>
              <w:right w:val="nil"/>
            </w:tcBorders>
            <w:shd w:val="clear" w:color="auto" w:fill="auto"/>
            <w:noWrap/>
            <w:vAlign w:val="center"/>
            <w:hideMark/>
          </w:tcPr>
          <w:p w14:paraId="1703B738"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2,998,919</w:t>
            </w:r>
          </w:p>
        </w:tc>
        <w:tc>
          <w:tcPr>
            <w:tcW w:w="544" w:type="dxa"/>
            <w:gridSpan w:val="2"/>
            <w:tcBorders>
              <w:top w:val="nil"/>
              <w:left w:val="nil"/>
              <w:bottom w:val="single" w:sz="8" w:space="0" w:color="auto"/>
              <w:right w:val="nil"/>
            </w:tcBorders>
            <w:shd w:val="clear" w:color="auto" w:fill="auto"/>
            <w:noWrap/>
            <w:vAlign w:val="center"/>
            <w:hideMark/>
          </w:tcPr>
          <w:p w14:paraId="0498AED9"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700" w:type="dxa"/>
            <w:gridSpan w:val="2"/>
            <w:tcBorders>
              <w:top w:val="nil"/>
              <w:left w:val="nil"/>
              <w:bottom w:val="single" w:sz="8" w:space="0" w:color="auto"/>
              <w:right w:val="nil"/>
            </w:tcBorders>
            <w:shd w:val="clear" w:color="auto" w:fill="auto"/>
            <w:noWrap/>
            <w:vAlign w:val="center"/>
            <w:hideMark/>
          </w:tcPr>
          <w:p w14:paraId="70786397"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38,560</w:t>
            </w:r>
          </w:p>
        </w:tc>
        <w:tc>
          <w:tcPr>
            <w:tcW w:w="542" w:type="dxa"/>
            <w:gridSpan w:val="3"/>
            <w:tcBorders>
              <w:top w:val="nil"/>
              <w:left w:val="nil"/>
              <w:bottom w:val="single" w:sz="8" w:space="0" w:color="auto"/>
              <w:right w:val="nil"/>
            </w:tcBorders>
            <w:shd w:val="clear" w:color="auto" w:fill="auto"/>
            <w:noWrap/>
            <w:vAlign w:val="center"/>
            <w:hideMark/>
          </w:tcPr>
          <w:p w14:paraId="559190DD"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706" w:type="dxa"/>
            <w:gridSpan w:val="2"/>
            <w:tcBorders>
              <w:top w:val="nil"/>
              <w:left w:val="nil"/>
              <w:bottom w:val="single" w:sz="8" w:space="0" w:color="auto"/>
              <w:right w:val="nil"/>
            </w:tcBorders>
            <w:shd w:val="clear" w:color="auto" w:fill="auto"/>
            <w:noWrap/>
            <w:vAlign w:val="center"/>
            <w:hideMark/>
          </w:tcPr>
          <w:p w14:paraId="4C6F559C"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286</w:t>
            </w:r>
          </w:p>
        </w:tc>
        <w:tc>
          <w:tcPr>
            <w:tcW w:w="550" w:type="dxa"/>
            <w:gridSpan w:val="2"/>
            <w:tcBorders>
              <w:top w:val="nil"/>
              <w:left w:val="nil"/>
              <w:bottom w:val="single" w:sz="8" w:space="0" w:color="auto"/>
              <w:right w:val="nil"/>
            </w:tcBorders>
            <w:shd w:val="clear" w:color="auto" w:fill="auto"/>
            <w:noWrap/>
            <w:vAlign w:val="center"/>
            <w:hideMark/>
          </w:tcPr>
          <w:p w14:paraId="66342E04"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695" w:type="dxa"/>
            <w:gridSpan w:val="2"/>
            <w:tcBorders>
              <w:top w:val="nil"/>
              <w:left w:val="nil"/>
              <w:bottom w:val="single" w:sz="8" w:space="0" w:color="auto"/>
              <w:right w:val="nil"/>
            </w:tcBorders>
            <w:shd w:val="clear" w:color="auto" w:fill="auto"/>
            <w:noWrap/>
            <w:vAlign w:val="center"/>
            <w:hideMark/>
          </w:tcPr>
          <w:p w14:paraId="7AD64251"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-79,553</w:t>
            </w:r>
          </w:p>
        </w:tc>
        <w:tc>
          <w:tcPr>
            <w:tcW w:w="553" w:type="dxa"/>
            <w:gridSpan w:val="2"/>
            <w:tcBorders>
              <w:top w:val="nil"/>
              <w:left w:val="nil"/>
              <w:bottom w:val="single" w:sz="8" w:space="0" w:color="auto"/>
              <w:right w:val="nil"/>
            </w:tcBorders>
            <w:shd w:val="clear" w:color="auto" w:fill="auto"/>
            <w:noWrap/>
            <w:vAlign w:val="center"/>
            <w:hideMark/>
          </w:tcPr>
          <w:p w14:paraId="08BB08BA"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742" w:type="dxa"/>
            <w:gridSpan w:val="2"/>
            <w:tcBorders>
              <w:top w:val="nil"/>
              <w:left w:val="nil"/>
              <w:bottom w:val="single" w:sz="8" w:space="0" w:color="auto"/>
              <w:right w:val="nil"/>
            </w:tcBorders>
            <w:shd w:val="clear" w:color="auto" w:fill="auto"/>
            <w:noWrap/>
            <w:vAlign w:val="center"/>
            <w:hideMark/>
          </w:tcPr>
          <w:p w14:paraId="0A4A7F3F"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xml:space="preserve">- </w:t>
            </w:r>
          </w:p>
        </w:tc>
        <w:tc>
          <w:tcPr>
            <w:tcW w:w="548" w:type="dxa"/>
            <w:gridSpan w:val="2"/>
            <w:tcBorders>
              <w:top w:val="nil"/>
              <w:left w:val="nil"/>
              <w:bottom w:val="single" w:sz="8" w:space="0" w:color="auto"/>
              <w:right w:val="nil"/>
            </w:tcBorders>
            <w:shd w:val="clear" w:color="auto" w:fill="auto"/>
            <w:noWrap/>
            <w:vAlign w:val="center"/>
            <w:hideMark/>
          </w:tcPr>
          <w:p w14:paraId="670045C9"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703" w:type="dxa"/>
            <w:gridSpan w:val="2"/>
            <w:tcBorders>
              <w:top w:val="nil"/>
              <w:left w:val="nil"/>
              <w:bottom w:val="single" w:sz="8" w:space="0" w:color="auto"/>
              <w:right w:val="nil"/>
            </w:tcBorders>
            <w:shd w:val="clear" w:color="auto" w:fill="auto"/>
            <w:noWrap/>
            <w:vAlign w:val="center"/>
            <w:hideMark/>
          </w:tcPr>
          <w:p w14:paraId="10822F2D"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xml:space="preserve">- </w:t>
            </w:r>
          </w:p>
        </w:tc>
        <w:tc>
          <w:tcPr>
            <w:tcW w:w="706" w:type="dxa"/>
            <w:tcBorders>
              <w:top w:val="nil"/>
              <w:left w:val="nil"/>
              <w:bottom w:val="single" w:sz="8" w:space="0" w:color="auto"/>
              <w:right w:val="nil"/>
            </w:tcBorders>
            <w:shd w:val="clear" w:color="auto" w:fill="auto"/>
            <w:noWrap/>
            <w:vAlign w:val="center"/>
            <w:hideMark/>
          </w:tcPr>
          <w:p w14:paraId="6D588E30" w14:textId="77777777" w:rsidR="00490837" w:rsidRPr="00490837" w:rsidRDefault="00490837" w:rsidP="00490837">
            <w:pPr>
              <w:spacing w:before="0" w:line="240" w:lineRule="auto"/>
              <w:jc w:val="right"/>
              <w:rPr>
                <w:rFonts w:ascii="Meta Pro" w:eastAsia="Times New Roman" w:hAnsi="Meta Pro" w:cs="Calibri"/>
                <w:color w:val="000000"/>
                <w:sz w:val="16"/>
                <w:szCs w:val="16"/>
                <w:lang w:eastAsia="en-AU"/>
              </w:rPr>
            </w:pPr>
            <w:r w:rsidRPr="00490837">
              <w:rPr>
                <w:rFonts w:ascii="Meta Pro" w:eastAsia="Times New Roman" w:hAnsi="Meta Pro" w:cs="Calibri"/>
                <w:color w:val="000000"/>
                <w:sz w:val="16"/>
                <w:szCs w:val="16"/>
                <w:lang w:eastAsia="en-AU"/>
              </w:rPr>
              <w:t> </w:t>
            </w:r>
          </w:p>
        </w:tc>
        <w:tc>
          <w:tcPr>
            <w:tcW w:w="649" w:type="dxa"/>
            <w:tcBorders>
              <w:top w:val="nil"/>
              <w:left w:val="nil"/>
              <w:bottom w:val="single" w:sz="8" w:space="0" w:color="auto"/>
              <w:right w:val="nil"/>
            </w:tcBorders>
            <w:shd w:val="clear" w:color="auto" w:fill="auto"/>
            <w:noWrap/>
            <w:vAlign w:val="center"/>
            <w:hideMark/>
          </w:tcPr>
          <w:p w14:paraId="7953B428"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2,953,688</w:t>
            </w:r>
          </w:p>
        </w:tc>
      </w:tr>
      <w:tr w:rsidR="00490837" w:rsidRPr="00490837" w14:paraId="35612CF4" w14:textId="77777777" w:rsidTr="00490837">
        <w:trPr>
          <w:trHeight w:hRule="exact" w:val="457"/>
        </w:trPr>
        <w:tc>
          <w:tcPr>
            <w:tcW w:w="2844" w:type="dxa"/>
            <w:gridSpan w:val="4"/>
            <w:tcBorders>
              <w:top w:val="nil"/>
              <w:left w:val="nil"/>
              <w:bottom w:val="single" w:sz="8" w:space="0" w:color="auto"/>
              <w:right w:val="nil"/>
            </w:tcBorders>
            <w:shd w:val="clear" w:color="auto" w:fill="auto"/>
            <w:noWrap/>
            <w:vAlign w:val="center"/>
            <w:hideMark/>
          </w:tcPr>
          <w:p w14:paraId="1ADBB504" w14:textId="77777777" w:rsidR="00490837" w:rsidRPr="00490837" w:rsidRDefault="00490837" w:rsidP="00490837">
            <w:pPr>
              <w:spacing w:before="0" w:line="240" w:lineRule="auto"/>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Total other comprehensive income</w:t>
            </w:r>
          </w:p>
        </w:tc>
        <w:tc>
          <w:tcPr>
            <w:tcW w:w="733" w:type="dxa"/>
            <w:gridSpan w:val="3"/>
            <w:tcBorders>
              <w:top w:val="nil"/>
              <w:left w:val="nil"/>
              <w:bottom w:val="single" w:sz="8" w:space="0" w:color="auto"/>
              <w:right w:val="nil"/>
            </w:tcBorders>
            <w:shd w:val="clear" w:color="auto" w:fill="auto"/>
            <w:noWrap/>
            <w:vAlign w:val="center"/>
            <w:hideMark/>
          </w:tcPr>
          <w:p w14:paraId="79BC16D8"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-4,524</w:t>
            </w:r>
          </w:p>
        </w:tc>
        <w:tc>
          <w:tcPr>
            <w:tcW w:w="566" w:type="dxa"/>
            <w:gridSpan w:val="2"/>
            <w:tcBorders>
              <w:top w:val="nil"/>
              <w:left w:val="nil"/>
              <w:bottom w:val="single" w:sz="8" w:space="0" w:color="auto"/>
              <w:right w:val="nil"/>
            </w:tcBorders>
            <w:shd w:val="clear" w:color="auto" w:fill="auto"/>
            <w:noWrap/>
            <w:vAlign w:val="center"/>
            <w:hideMark/>
          </w:tcPr>
          <w:p w14:paraId="3FC545BE"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 </w:t>
            </w:r>
          </w:p>
        </w:tc>
        <w:tc>
          <w:tcPr>
            <w:tcW w:w="733" w:type="dxa"/>
            <w:gridSpan w:val="2"/>
            <w:tcBorders>
              <w:top w:val="nil"/>
              <w:left w:val="nil"/>
              <w:bottom w:val="single" w:sz="8" w:space="0" w:color="auto"/>
              <w:right w:val="nil"/>
            </w:tcBorders>
            <w:shd w:val="clear" w:color="auto" w:fill="auto"/>
            <w:noWrap/>
            <w:vAlign w:val="center"/>
            <w:hideMark/>
          </w:tcPr>
          <w:p w14:paraId="0E116BCF"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2,998,919</w:t>
            </w:r>
          </w:p>
        </w:tc>
        <w:tc>
          <w:tcPr>
            <w:tcW w:w="544" w:type="dxa"/>
            <w:gridSpan w:val="2"/>
            <w:tcBorders>
              <w:top w:val="nil"/>
              <w:left w:val="nil"/>
              <w:bottom w:val="single" w:sz="8" w:space="0" w:color="auto"/>
              <w:right w:val="nil"/>
            </w:tcBorders>
            <w:shd w:val="clear" w:color="auto" w:fill="auto"/>
            <w:noWrap/>
            <w:vAlign w:val="center"/>
            <w:hideMark/>
          </w:tcPr>
          <w:p w14:paraId="4D61993F"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 </w:t>
            </w:r>
          </w:p>
        </w:tc>
        <w:tc>
          <w:tcPr>
            <w:tcW w:w="700" w:type="dxa"/>
            <w:gridSpan w:val="2"/>
            <w:tcBorders>
              <w:top w:val="nil"/>
              <w:left w:val="nil"/>
              <w:bottom w:val="single" w:sz="8" w:space="0" w:color="auto"/>
              <w:right w:val="nil"/>
            </w:tcBorders>
            <w:shd w:val="clear" w:color="auto" w:fill="auto"/>
            <w:noWrap/>
            <w:vAlign w:val="center"/>
            <w:hideMark/>
          </w:tcPr>
          <w:p w14:paraId="3440F6CE"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38,560</w:t>
            </w:r>
          </w:p>
        </w:tc>
        <w:tc>
          <w:tcPr>
            <w:tcW w:w="542" w:type="dxa"/>
            <w:gridSpan w:val="3"/>
            <w:tcBorders>
              <w:top w:val="nil"/>
              <w:left w:val="nil"/>
              <w:bottom w:val="single" w:sz="8" w:space="0" w:color="auto"/>
              <w:right w:val="nil"/>
            </w:tcBorders>
            <w:shd w:val="clear" w:color="auto" w:fill="auto"/>
            <w:noWrap/>
            <w:vAlign w:val="center"/>
            <w:hideMark/>
          </w:tcPr>
          <w:p w14:paraId="3B490C69"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 </w:t>
            </w:r>
          </w:p>
        </w:tc>
        <w:tc>
          <w:tcPr>
            <w:tcW w:w="706" w:type="dxa"/>
            <w:gridSpan w:val="2"/>
            <w:tcBorders>
              <w:top w:val="nil"/>
              <w:left w:val="nil"/>
              <w:bottom w:val="single" w:sz="8" w:space="0" w:color="auto"/>
              <w:right w:val="nil"/>
            </w:tcBorders>
            <w:shd w:val="clear" w:color="auto" w:fill="auto"/>
            <w:noWrap/>
            <w:vAlign w:val="center"/>
            <w:hideMark/>
          </w:tcPr>
          <w:p w14:paraId="7C6DEE3C"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286</w:t>
            </w:r>
          </w:p>
        </w:tc>
        <w:tc>
          <w:tcPr>
            <w:tcW w:w="550" w:type="dxa"/>
            <w:gridSpan w:val="2"/>
            <w:tcBorders>
              <w:top w:val="nil"/>
              <w:left w:val="nil"/>
              <w:bottom w:val="single" w:sz="8" w:space="0" w:color="auto"/>
              <w:right w:val="nil"/>
            </w:tcBorders>
            <w:shd w:val="clear" w:color="auto" w:fill="auto"/>
            <w:noWrap/>
            <w:vAlign w:val="center"/>
            <w:hideMark/>
          </w:tcPr>
          <w:p w14:paraId="205968B0"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 </w:t>
            </w:r>
          </w:p>
        </w:tc>
        <w:tc>
          <w:tcPr>
            <w:tcW w:w="695" w:type="dxa"/>
            <w:gridSpan w:val="2"/>
            <w:tcBorders>
              <w:top w:val="nil"/>
              <w:left w:val="nil"/>
              <w:bottom w:val="single" w:sz="8" w:space="0" w:color="auto"/>
              <w:right w:val="nil"/>
            </w:tcBorders>
            <w:shd w:val="clear" w:color="auto" w:fill="auto"/>
            <w:noWrap/>
            <w:vAlign w:val="center"/>
            <w:hideMark/>
          </w:tcPr>
          <w:p w14:paraId="2111E934"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-79,553</w:t>
            </w:r>
          </w:p>
        </w:tc>
        <w:tc>
          <w:tcPr>
            <w:tcW w:w="553" w:type="dxa"/>
            <w:gridSpan w:val="2"/>
            <w:tcBorders>
              <w:top w:val="nil"/>
              <w:left w:val="nil"/>
              <w:bottom w:val="single" w:sz="8" w:space="0" w:color="auto"/>
              <w:right w:val="nil"/>
            </w:tcBorders>
            <w:shd w:val="clear" w:color="auto" w:fill="auto"/>
            <w:noWrap/>
            <w:vAlign w:val="center"/>
            <w:hideMark/>
          </w:tcPr>
          <w:p w14:paraId="472C2B62"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 </w:t>
            </w:r>
          </w:p>
        </w:tc>
        <w:tc>
          <w:tcPr>
            <w:tcW w:w="742" w:type="dxa"/>
            <w:gridSpan w:val="2"/>
            <w:tcBorders>
              <w:top w:val="nil"/>
              <w:left w:val="nil"/>
              <w:bottom w:val="single" w:sz="8" w:space="0" w:color="auto"/>
              <w:right w:val="nil"/>
            </w:tcBorders>
            <w:shd w:val="clear" w:color="auto" w:fill="auto"/>
            <w:noWrap/>
            <w:vAlign w:val="center"/>
            <w:hideMark/>
          </w:tcPr>
          <w:p w14:paraId="048930FD"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 xml:space="preserve">- </w:t>
            </w:r>
          </w:p>
        </w:tc>
        <w:tc>
          <w:tcPr>
            <w:tcW w:w="548" w:type="dxa"/>
            <w:gridSpan w:val="2"/>
            <w:tcBorders>
              <w:top w:val="nil"/>
              <w:left w:val="nil"/>
              <w:bottom w:val="single" w:sz="8" w:space="0" w:color="auto"/>
              <w:right w:val="nil"/>
            </w:tcBorders>
            <w:shd w:val="clear" w:color="auto" w:fill="auto"/>
            <w:noWrap/>
            <w:vAlign w:val="center"/>
            <w:hideMark/>
          </w:tcPr>
          <w:p w14:paraId="1E28F9FB"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 </w:t>
            </w:r>
          </w:p>
        </w:tc>
        <w:tc>
          <w:tcPr>
            <w:tcW w:w="703" w:type="dxa"/>
            <w:gridSpan w:val="2"/>
            <w:tcBorders>
              <w:top w:val="nil"/>
              <w:left w:val="nil"/>
              <w:bottom w:val="single" w:sz="8" w:space="0" w:color="auto"/>
              <w:right w:val="nil"/>
            </w:tcBorders>
            <w:shd w:val="clear" w:color="auto" w:fill="auto"/>
            <w:noWrap/>
            <w:vAlign w:val="center"/>
            <w:hideMark/>
          </w:tcPr>
          <w:p w14:paraId="250AE222"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 xml:space="preserve">- </w:t>
            </w:r>
          </w:p>
        </w:tc>
        <w:tc>
          <w:tcPr>
            <w:tcW w:w="706" w:type="dxa"/>
            <w:tcBorders>
              <w:top w:val="nil"/>
              <w:left w:val="nil"/>
              <w:bottom w:val="single" w:sz="8" w:space="0" w:color="auto"/>
              <w:right w:val="nil"/>
            </w:tcBorders>
            <w:shd w:val="clear" w:color="auto" w:fill="auto"/>
            <w:noWrap/>
            <w:vAlign w:val="center"/>
            <w:hideMark/>
          </w:tcPr>
          <w:p w14:paraId="2D9204ED"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 </w:t>
            </w:r>
          </w:p>
        </w:tc>
        <w:tc>
          <w:tcPr>
            <w:tcW w:w="649" w:type="dxa"/>
            <w:tcBorders>
              <w:top w:val="nil"/>
              <w:left w:val="nil"/>
              <w:bottom w:val="single" w:sz="8" w:space="0" w:color="auto"/>
              <w:right w:val="nil"/>
            </w:tcBorders>
            <w:shd w:val="clear" w:color="auto" w:fill="auto"/>
            <w:noWrap/>
            <w:vAlign w:val="center"/>
            <w:hideMark/>
          </w:tcPr>
          <w:p w14:paraId="55D3B204"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2,953,688</w:t>
            </w:r>
          </w:p>
        </w:tc>
      </w:tr>
      <w:tr w:rsidR="00490837" w:rsidRPr="00490837" w14:paraId="455851B0" w14:textId="77777777" w:rsidTr="00490837">
        <w:trPr>
          <w:trHeight w:val="273"/>
        </w:trPr>
        <w:tc>
          <w:tcPr>
            <w:tcW w:w="186" w:type="dxa"/>
            <w:tcBorders>
              <w:top w:val="nil"/>
              <w:left w:val="nil"/>
              <w:bottom w:val="nil"/>
              <w:right w:val="nil"/>
            </w:tcBorders>
            <w:shd w:val="clear" w:color="auto" w:fill="auto"/>
            <w:noWrap/>
            <w:vAlign w:val="center"/>
            <w:hideMark/>
          </w:tcPr>
          <w:p w14:paraId="6C065CE3"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p>
        </w:tc>
        <w:tc>
          <w:tcPr>
            <w:tcW w:w="2658" w:type="dxa"/>
            <w:gridSpan w:val="3"/>
            <w:tcBorders>
              <w:top w:val="nil"/>
              <w:left w:val="nil"/>
              <w:bottom w:val="nil"/>
              <w:right w:val="nil"/>
            </w:tcBorders>
            <w:shd w:val="clear" w:color="auto" w:fill="auto"/>
            <w:vAlign w:val="center"/>
            <w:hideMark/>
          </w:tcPr>
          <w:p w14:paraId="4B265EE9"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733" w:type="dxa"/>
            <w:gridSpan w:val="3"/>
            <w:tcBorders>
              <w:top w:val="nil"/>
              <w:left w:val="nil"/>
              <w:bottom w:val="nil"/>
              <w:right w:val="nil"/>
            </w:tcBorders>
            <w:shd w:val="clear" w:color="auto" w:fill="auto"/>
            <w:noWrap/>
            <w:vAlign w:val="center"/>
            <w:hideMark/>
          </w:tcPr>
          <w:p w14:paraId="1A13E098" w14:textId="77777777" w:rsidR="00490837" w:rsidRPr="00490837" w:rsidRDefault="00490837" w:rsidP="00490837">
            <w:pPr>
              <w:spacing w:before="0" w:line="240" w:lineRule="auto"/>
              <w:rPr>
                <w:rFonts w:eastAsia="Times New Roman" w:cs="Times New Roman"/>
                <w:color w:val="auto"/>
                <w:sz w:val="20"/>
                <w:szCs w:val="20"/>
                <w:lang w:eastAsia="en-AU"/>
              </w:rPr>
            </w:pPr>
          </w:p>
        </w:tc>
        <w:tc>
          <w:tcPr>
            <w:tcW w:w="566" w:type="dxa"/>
            <w:gridSpan w:val="2"/>
            <w:tcBorders>
              <w:top w:val="nil"/>
              <w:left w:val="nil"/>
              <w:bottom w:val="nil"/>
              <w:right w:val="nil"/>
            </w:tcBorders>
            <w:shd w:val="clear" w:color="auto" w:fill="auto"/>
            <w:noWrap/>
            <w:vAlign w:val="center"/>
            <w:hideMark/>
          </w:tcPr>
          <w:p w14:paraId="079BF9CB" w14:textId="77777777" w:rsidR="00490837" w:rsidRPr="00490837" w:rsidRDefault="00490837" w:rsidP="00490837">
            <w:pPr>
              <w:spacing w:before="0" w:line="240" w:lineRule="auto"/>
              <w:jc w:val="right"/>
              <w:rPr>
                <w:rFonts w:eastAsia="Times New Roman" w:cs="Times New Roman"/>
                <w:color w:val="auto"/>
                <w:sz w:val="20"/>
                <w:szCs w:val="20"/>
                <w:lang w:eastAsia="en-AU"/>
              </w:rPr>
            </w:pPr>
          </w:p>
        </w:tc>
        <w:tc>
          <w:tcPr>
            <w:tcW w:w="733" w:type="dxa"/>
            <w:gridSpan w:val="2"/>
            <w:tcBorders>
              <w:top w:val="nil"/>
              <w:left w:val="nil"/>
              <w:bottom w:val="nil"/>
              <w:right w:val="nil"/>
            </w:tcBorders>
            <w:shd w:val="clear" w:color="auto" w:fill="auto"/>
            <w:noWrap/>
            <w:vAlign w:val="center"/>
            <w:hideMark/>
          </w:tcPr>
          <w:p w14:paraId="05CA9AAB" w14:textId="77777777" w:rsidR="00490837" w:rsidRPr="00490837" w:rsidRDefault="00490837" w:rsidP="00490837">
            <w:pPr>
              <w:spacing w:before="0" w:line="240" w:lineRule="auto"/>
              <w:jc w:val="right"/>
              <w:rPr>
                <w:rFonts w:eastAsia="Times New Roman" w:cs="Times New Roman"/>
                <w:color w:val="auto"/>
                <w:sz w:val="20"/>
                <w:szCs w:val="20"/>
                <w:lang w:eastAsia="en-AU"/>
              </w:rPr>
            </w:pPr>
          </w:p>
        </w:tc>
        <w:tc>
          <w:tcPr>
            <w:tcW w:w="544" w:type="dxa"/>
            <w:gridSpan w:val="2"/>
            <w:tcBorders>
              <w:top w:val="nil"/>
              <w:left w:val="nil"/>
              <w:bottom w:val="nil"/>
              <w:right w:val="nil"/>
            </w:tcBorders>
            <w:shd w:val="clear" w:color="auto" w:fill="auto"/>
            <w:noWrap/>
            <w:vAlign w:val="center"/>
            <w:hideMark/>
          </w:tcPr>
          <w:p w14:paraId="489C5542" w14:textId="77777777" w:rsidR="00490837" w:rsidRPr="00490837" w:rsidRDefault="00490837" w:rsidP="00490837">
            <w:pPr>
              <w:spacing w:before="0" w:line="240" w:lineRule="auto"/>
              <w:jc w:val="right"/>
              <w:rPr>
                <w:rFonts w:eastAsia="Times New Roman" w:cs="Times New Roman"/>
                <w:color w:val="auto"/>
                <w:sz w:val="20"/>
                <w:szCs w:val="20"/>
                <w:lang w:eastAsia="en-AU"/>
              </w:rPr>
            </w:pPr>
          </w:p>
        </w:tc>
        <w:tc>
          <w:tcPr>
            <w:tcW w:w="700" w:type="dxa"/>
            <w:gridSpan w:val="2"/>
            <w:tcBorders>
              <w:top w:val="nil"/>
              <w:left w:val="nil"/>
              <w:bottom w:val="nil"/>
              <w:right w:val="nil"/>
            </w:tcBorders>
            <w:shd w:val="clear" w:color="auto" w:fill="auto"/>
            <w:noWrap/>
            <w:vAlign w:val="center"/>
            <w:hideMark/>
          </w:tcPr>
          <w:p w14:paraId="307F953A" w14:textId="77777777" w:rsidR="00490837" w:rsidRPr="00490837" w:rsidRDefault="00490837" w:rsidP="00490837">
            <w:pPr>
              <w:spacing w:before="0" w:line="240" w:lineRule="auto"/>
              <w:jc w:val="right"/>
              <w:rPr>
                <w:rFonts w:eastAsia="Times New Roman" w:cs="Times New Roman"/>
                <w:color w:val="auto"/>
                <w:sz w:val="20"/>
                <w:szCs w:val="20"/>
                <w:lang w:eastAsia="en-AU"/>
              </w:rPr>
            </w:pPr>
          </w:p>
        </w:tc>
        <w:tc>
          <w:tcPr>
            <w:tcW w:w="542" w:type="dxa"/>
            <w:gridSpan w:val="3"/>
            <w:tcBorders>
              <w:top w:val="nil"/>
              <w:left w:val="nil"/>
              <w:bottom w:val="nil"/>
              <w:right w:val="nil"/>
            </w:tcBorders>
            <w:shd w:val="clear" w:color="auto" w:fill="auto"/>
            <w:noWrap/>
            <w:vAlign w:val="center"/>
            <w:hideMark/>
          </w:tcPr>
          <w:p w14:paraId="298C9A27" w14:textId="77777777" w:rsidR="00490837" w:rsidRPr="00490837" w:rsidRDefault="00490837" w:rsidP="00490837">
            <w:pPr>
              <w:spacing w:before="0" w:line="240" w:lineRule="auto"/>
              <w:jc w:val="right"/>
              <w:rPr>
                <w:rFonts w:eastAsia="Times New Roman" w:cs="Times New Roman"/>
                <w:color w:val="auto"/>
                <w:sz w:val="20"/>
                <w:szCs w:val="20"/>
                <w:lang w:eastAsia="en-AU"/>
              </w:rPr>
            </w:pPr>
          </w:p>
        </w:tc>
        <w:tc>
          <w:tcPr>
            <w:tcW w:w="706" w:type="dxa"/>
            <w:gridSpan w:val="2"/>
            <w:tcBorders>
              <w:top w:val="nil"/>
              <w:left w:val="nil"/>
              <w:bottom w:val="nil"/>
              <w:right w:val="nil"/>
            </w:tcBorders>
            <w:shd w:val="clear" w:color="auto" w:fill="auto"/>
            <w:noWrap/>
            <w:vAlign w:val="center"/>
            <w:hideMark/>
          </w:tcPr>
          <w:p w14:paraId="120299F8" w14:textId="77777777" w:rsidR="00490837" w:rsidRPr="00490837" w:rsidRDefault="00490837" w:rsidP="00490837">
            <w:pPr>
              <w:spacing w:before="0" w:line="240" w:lineRule="auto"/>
              <w:jc w:val="right"/>
              <w:rPr>
                <w:rFonts w:eastAsia="Times New Roman" w:cs="Times New Roman"/>
                <w:color w:val="auto"/>
                <w:sz w:val="20"/>
                <w:szCs w:val="20"/>
                <w:lang w:eastAsia="en-AU"/>
              </w:rPr>
            </w:pPr>
          </w:p>
        </w:tc>
        <w:tc>
          <w:tcPr>
            <w:tcW w:w="550" w:type="dxa"/>
            <w:gridSpan w:val="2"/>
            <w:tcBorders>
              <w:top w:val="nil"/>
              <w:left w:val="nil"/>
              <w:bottom w:val="nil"/>
              <w:right w:val="nil"/>
            </w:tcBorders>
            <w:shd w:val="clear" w:color="auto" w:fill="auto"/>
            <w:noWrap/>
            <w:vAlign w:val="center"/>
            <w:hideMark/>
          </w:tcPr>
          <w:p w14:paraId="08D983BB" w14:textId="77777777" w:rsidR="00490837" w:rsidRPr="00490837" w:rsidRDefault="00490837" w:rsidP="00490837">
            <w:pPr>
              <w:spacing w:before="0" w:line="240" w:lineRule="auto"/>
              <w:jc w:val="right"/>
              <w:rPr>
                <w:rFonts w:eastAsia="Times New Roman" w:cs="Times New Roman"/>
                <w:color w:val="auto"/>
                <w:sz w:val="20"/>
                <w:szCs w:val="20"/>
                <w:lang w:eastAsia="en-AU"/>
              </w:rPr>
            </w:pPr>
          </w:p>
        </w:tc>
        <w:tc>
          <w:tcPr>
            <w:tcW w:w="695" w:type="dxa"/>
            <w:gridSpan w:val="2"/>
            <w:tcBorders>
              <w:top w:val="nil"/>
              <w:left w:val="nil"/>
              <w:bottom w:val="nil"/>
              <w:right w:val="nil"/>
            </w:tcBorders>
            <w:shd w:val="clear" w:color="auto" w:fill="auto"/>
            <w:noWrap/>
            <w:vAlign w:val="center"/>
            <w:hideMark/>
          </w:tcPr>
          <w:p w14:paraId="1B9F5F19" w14:textId="77777777" w:rsidR="00490837" w:rsidRPr="00490837" w:rsidRDefault="00490837" w:rsidP="00490837">
            <w:pPr>
              <w:spacing w:before="0" w:line="240" w:lineRule="auto"/>
              <w:jc w:val="right"/>
              <w:rPr>
                <w:rFonts w:eastAsia="Times New Roman" w:cs="Times New Roman"/>
                <w:color w:val="auto"/>
                <w:sz w:val="20"/>
                <w:szCs w:val="20"/>
                <w:lang w:eastAsia="en-AU"/>
              </w:rPr>
            </w:pPr>
          </w:p>
        </w:tc>
        <w:tc>
          <w:tcPr>
            <w:tcW w:w="553" w:type="dxa"/>
            <w:gridSpan w:val="2"/>
            <w:tcBorders>
              <w:top w:val="nil"/>
              <w:left w:val="nil"/>
              <w:bottom w:val="nil"/>
              <w:right w:val="nil"/>
            </w:tcBorders>
            <w:shd w:val="clear" w:color="auto" w:fill="auto"/>
            <w:noWrap/>
            <w:vAlign w:val="center"/>
            <w:hideMark/>
          </w:tcPr>
          <w:p w14:paraId="4C100478" w14:textId="77777777" w:rsidR="00490837" w:rsidRPr="00490837" w:rsidRDefault="00490837" w:rsidP="00490837">
            <w:pPr>
              <w:spacing w:before="0" w:line="240" w:lineRule="auto"/>
              <w:jc w:val="right"/>
              <w:rPr>
                <w:rFonts w:eastAsia="Times New Roman" w:cs="Times New Roman"/>
                <w:color w:val="auto"/>
                <w:sz w:val="20"/>
                <w:szCs w:val="20"/>
                <w:lang w:eastAsia="en-AU"/>
              </w:rPr>
            </w:pPr>
          </w:p>
        </w:tc>
        <w:tc>
          <w:tcPr>
            <w:tcW w:w="742" w:type="dxa"/>
            <w:gridSpan w:val="2"/>
            <w:tcBorders>
              <w:top w:val="nil"/>
              <w:left w:val="nil"/>
              <w:bottom w:val="nil"/>
              <w:right w:val="nil"/>
            </w:tcBorders>
            <w:shd w:val="clear" w:color="auto" w:fill="auto"/>
            <w:noWrap/>
            <w:vAlign w:val="center"/>
            <w:hideMark/>
          </w:tcPr>
          <w:p w14:paraId="1D8846E3" w14:textId="77777777" w:rsidR="00490837" w:rsidRPr="00490837" w:rsidRDefault="00490837" w:rsidP="00490837">
            <w:pPr>
              <w:spacing w:before="0" w:line="240" w:lineRule="auto"/>
              <w:jc w:val="right"/>
              <w:rPr>
                <w:rFonts w:eastAsia="Times New Roman" w:cs="Times New Roman"/>
                <w:color w:val="auto"/>
                <w:sz w:val="20"/>
                <w:szCs w:val="20"/>
                <w:lang w:eastAsia="en-AU"/>
              </w:rPr>
            </w:pPr>
          </w:p>
        </w:tc>
        <w:tc>
          <w:tcPr>
            <w:tcW w:w="548" w:type="dxa"/>
            <w:gridSpan w:val="2"/>
            <w:tcBorders>
              <w:top w:val="nil"/>
              <w:left w:val="nil"/>
              <w:bottom w:val="nil"/>
              <w:right w:val="nil"/>
            </w:tcBorders>
            <w:shd w:val="clear" w:color="auto" w:fill="auto"/>
            <w:noWrap/>
            <w:vAlign w:val="center"/>
            <w:hideMark/>
          </w:tcPr>
          <w:p w14:paraId="10143D65" w14:textId="77777777" w:rsidR="00490837" w:rsidRPr="00490837" w:rsidRDefault="00490837" w:rsidP="00490837">
            <w:pPr>
              <w:spacing w:before="0" w:line="240" w:lineRule="auto"/>
              <w:jc w:val="right"/>
              <w:rPr>
                <w:rFonts w:eastAsia="Times New Roman" w:cs="Times New Roman"/>
                <w:color w:val="auto"/>
                <w:sz w:val="20"/>
                <w:szCs w:val="20"/>
                <w:lang w:eastAsia="en-AU"/>
              </w:rPr>
            </w:pPr>
          </w:p>
        </w:tc>
        <w:tc>
          <w:tcPr>
            <w:tcW w:w="703" w:type="dxa"/>
            <w:gridSpan w:val="2"/>
            <w:tcBorders>
              <w:top w:val="nil"/>
              <w:left w:val="nil"/>
              <w:bottom w:val="nil"/>
              <w:right w:val="nil"/>
            </w:tcBorders>
            <w:shd w:val="clear" w:color="auto" w:fill="auto"/>
            <w:noWrap/>
            <w:vAlign w:val="center"/>
            <w:hideMark/>
          </w:tcPr>
          <w:p w14:paraId="738417BE" w14:textId="77777777" w:rsidR="00490837" w:rsidRPr="00490837" w:rsidRDefault="00490837" w:rsidP="00490837">
            <w:pPr>
              <w:spacing w:before="0" w:line="240" w:lineRule="auto"/>
              <w:jc w:val="right"/>
              <w:rPr>
                <w:rFonts w:eastAsia="Times New Roman" w:cs="Times New Roman"/>
                <w:color w:val="auto"/>
                <w:sz w:val="20"/>
                <w:szCs w:val="20"/>
                <w:lang w:eastAsia="en-AU"/>
              </w:rPr>
            </w:pPr>
          </w:p>
        </w:tc>
        <w:tc>
          <w:tcPr>
            <w:tcW w:w="706" w:type="dxa"/>
            <w:tcBorders>
              <w:top w:val="nil"/>
              <w:left w:val="nil"/>
              <w:bottom w:val="nil"/>
              <w:right w:val="nil"/>
            </w:tcBorders>
            <w:shd w:val="clear" w:color="auto" w:fill="auto"/>
            <w:noWrap/>
            <w:vAlign w:val="center"/>
            <w:hideMark/>
          </w:tcPr>
          <w:p w14:paraId="2D8FBBE0" w14:textId="77777777" w:rsidR="00490837" w:rsidRPr="00490837" w:rsidRDefault="00490837" w:rsidP="00490837">
            <w:pPr>
              <w:spacing w:before="0" w:line="240" w:lineRule="auto"/>
              <w:jc w:val="right"/>
              <w:rPr>
                <w:rFonts w:eastAsia="Times New Roman" w:cs="Times New Roman"/>
                <w:color w:val="auto"/>
                <w:sz w:val="20"/>
                <w:szCs w:val="20"/>
                <w:lang w:eastAsia="en-AU"/>
              </w:rPr>
            </w:pPr>
          </w:p>
        </w:tc>
        <w:tc>
          <w:tcPr>
            <w:tcW w:w="649" w:type="dxa"/>
            <w:tcBorders>
              <w:top w:val="nil"/>
              <w:left w:val="nil"/>
              <w:bottom w:val="nil"/>
              <w:right w:val="nil"/>
            </w:tcBorders>
            <w:shd w:val="clear" w:color="auto" w:fill="auto"/>
            <w:noWrap/>
            <w:vAlign w:val="center"/>
            <w:hideMark/>
          </w:tcPr>
          <w:p w14:paraId="7E2750EB" w14:textId="77777777" w:rsidR="00490837" w:rsidRPr="00490837" w:rsidRDefault="00490837" w:rsidP="00490837">
            <w:pPr>
              <w:spacing w:before="0" w:line="240" w:lineRule="auto"/>
              <w:jc w:val="right"/>
              <w:rPr>
                <w:rFonts w:eastAsia="Times New Roman" w:cs="Times New Roman"/>
                <w:color w:val="auto"/>
                <w:sz w:val="20"/>
                <w:szCs w:val="20"/>
                <w:lang w:eastAsia="en-AU"/>
              </w:rPr>
            </w:pPr>
          </w:p>
        </w:tc>
      </w:tr>
      <w:tr w:rsidR="00490837" w:rsidRPr="00490837" w14:paraId="5D5F394F" w14:textId="77777777" w:rsidTr="00490837">
        <w:trPr>
          <w:trHeight w:hRule="exact" w:val="998"/>
        </w:trPr>
        <w:tc>
          <w:tcPr>
            <w:tcW w:w="2844" w:type="dxa"/>
            <w:gridSpan w:val="4"/>
            <w:tcBorders>
              <w:top w:val="nil"/>
              <w:left w:val="nil"/>
              <w:bottom w:val="double" w:sz="6" w:space="0" w:color="auto"/>
              <w:right w:val="nil"/>
            </w:tcBorders>
            <w:shd w:val="clear" w:color="auto" w:fill="auto"/>
            <w:noWrap/>
            <w:vAlign w:val="center"/>
            <w:hideMark/>
          </w:tcPr>
          <w:p w14:paraId="6842B2C3" w14:textId="77777777" w:rsidR="00490837" w:rsidRPr="00490837" w:rsidRDefault="00490837" w:rsidP="00490837">
            <w:pPr>
              <w:spacing w:before="0" w:line="240" w:lineRule="auto"/>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TOTAL COMPREHENSIVE INCOME</w:t>
            </w:r>
          </w:p>
        </w:tc>
        <w:tc>
          <w:tcPr>
            <w:tcW w:w="733" w:type="dxa"/>
            <w:gridSpan w:val="3"/>
            <w:tcBorders>
              <w:top w:val="nil"/>
              <w:left w:val="nil"/>
              <w:bottom w:val="double" w:sz="6" w:space="0" w:color="auto"/>
              <w:right w:val="nil"/>
            </w:tcBorders>
            <w:shd w:val="clear" w:color="auto" w:fill="auto"/>
            <w:noWrap/>
            <w:vAlign w:val="center"/>
            <w:hideMark/>
          </w:tcPr>
          <w:p w14:paraId="61D0DD45"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-4,524</w:t>
            </w:r>
          </w:p>
        </w:tc>
        <w:tc>
          <w:tcPr>
            <w:tcW w:w="566" w:type="dxa"/>
            <w:gridSpan w:val="2"/>
            <w:tcBorders>
              <w:top w:val="nil"/>
              <w:left w:val="nil"/>
              <w:bottom w:val="double" w:sz="6" w:space="0" w:color="auto"/>
              <w:right w:val="nil"/>
            </w:tcBorders>
            <w:shd w:val="clear" w:color="auto" w:fill="auto"/>
            <w:noWrap/>
            <w:vAlign w:val="center"/>
            <w:hideMark/>
          </w:tcPr>
          <w:p w14:paraId="24C598A1"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 </w:t>
            </w:r>
          </w:p>
        </w:tc>
        <w:tc>
          <w:tcPr>
            <w:tcW w:w="733" w:type="dxa"/>
            <w:gridSpan w:val="2"/>
            <w:tcBorders>
              <w:top w:val="nil"/>
              <w:left w:val="nil"/>
              <w:bottom w:val="double" w:sz="6" w:space="0" w:color="auto"/>
              <w:right w:val="nil"/>
            </w:tcBorders>
            <w:shd w:val="clear" w:color="auto" w:fill="auto"/>
            <w:noWrap/>
            <w:vAlign w:val="center"/>
            <w:hideMark/>
          </w:tcPr>
          <w:p w14:paraId="4B7D15EE"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3,167,509</w:t>
            </w:r>
          </w:p>
        </w:tc>
        <w:tc>
          <w:tcPr>
            <w:tcW w:w="544" w:type="dxa"/>
            <w:gridSpan w:val="2"/>
            <w:tcBorders>
              <w:top w:val="nil"/>
              <w:left w:val="nil"/>
              <w:bottom w:val="double" w:sz="6" w:space="0" w:color="auto"/>
              <w:right w:val="nil"/>
            </w:tcBorders>
            <w:shd w:val="clear" w:color="auto" w:fill="auto"/>
            <w:noWrap/>
            <w:vAlign w:val="center"/>
            <w:hideMark/>
          </w:tcPr>
          <w:p w14:paraId="18BF2334"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 </w:t>
            </w:r>
          </w:p>
        </w:tc>
        <w:tc>
          <w:tcPr>
            <w:tcW w:w="700" w:type="dxa"/>
            <w:gridSpan w:val="2"/>
            <w:tcBorders>
              <w:top w:val="nil"/>
              <w:left w:val="nil"/>
              <w:bottom w:val="double" w:sz="6" w:space="0" w:color="auto"/>
              <w:right w:val="nil"/>
            </w:tcBorders>
            <w:shd w:val="clear" w:color="auto" w:fill="auto"/>
            <w:noWrap/>
            <w:vAlign w:val="center"/>
            <w:hideMark/>
          </w:tcPr>
          <w:p w14:paraId="77B65043"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38,560</w:t>
            </w:r>
          </w:p>
        </w:tc>
        <w:tc>
          <w:tcPr>
            <w:tcW w:w="542" w:type="dxa"/>
            <w:gridSpan w:val="3"/>
            <w:tcBorders>
              <w:top w:val="nil"/>
              <w:left w:val="nil"/>
              <w:bottom w:val="double" w:sz="6" w:space="0" w:color="auto"/>
              <w:right w:val="nil"/>
            </w:tcBorders>
            <w:shd w:val="clear" w:color="auto" w:fill="auto"/>
            <w:noWrap/>
            <w:vAlign w:val="center"/>
            <w:hideMark/>
          </w:tcPr>
          <w:p w14:paraId="28321A65"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 </w:t>
            </w:r>
          </w:p>
        </w:tc>
        <w:tc>
          <w:tcPr>
            <w:tcW w:w="706" w:type="dxa"/>
            <w:gridSpan w:val="2"/>
            <w:tcBorders>
              <w:top w:val="nil"/>
              <w:left w:val="nil"/>
              <w:bottom w:val="double" w:sz="6" w:space="0" w:color="auto"/>
              <w:right w:val="nil"/>
            </w:tcBorders>
            <w:shd w:val="clear" w:color="auto" w:fill="auto"/>
            <w:noWrap/>
            <w:vAlign w:val="center"/>
            <w:hideMark/>
          </w:tcPr>
          <w:p w14:paraId="252B5881"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286</w:t>
            </w:r>
          </w:p>
        </w:tc>
        <w:tc>
          <w:tcPr>
            <w:tcW w:w="550" w:type="dxa"/>
            <w:gridSpan w:val="2"/>
            <w:tcBorders>
              <w:top w:val="nil"/>
              <w:left w:val="nil"/>
              <w:bottom w:val="double" w:sz="6" w:space="0" w:color="auto"/>
              <w:right w:val="nil"/>
            </w:tcBorders>
            <w:shd w:val="clear" w:color="auto" w:fill="auto"/>
            <w:noWrap/>
            <w:vAlign w:val="center"/>
            <w:hideMark/>
          </w:tcPr>
          <w:p w14:paraId="0AEF0F1A"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 </w:t>
            </w:r>
          </w:p>
        </w:tc>
        <w:tc>
          <w:tcPr>
            <w:tcW w:w="695" w:type="dxa"/>
            <w:gridSpan w:val="2"/>
            <w:tcBorders>
              <w:top w:val="nil"/>
              <w:left w:val="nil"/>
              <w:bottom w:val="double" w:sz="6" w:space="0" w:color="auto"/>
              <w:right w:val="nil"/>
            </w:tcBorders>
            <w:shd w:val="clear" w:color="auto" w:fill="auto"/>
            <w:noWrap/>
            <w:vAlign w:val="center"/>
            <w:hideMark/>
          </w:tcPr>
          <w:p w14:paraId="102321CE"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-252,953</w:t>
            </w:r>
          </w:p>
        </w:tc>
        <w:tc>
          <w:tcPr>
            <w:tcW w:w="553" w:type="dxa"/>
            <w:gridSpan w:val="2"/>
            <w:tcBorders>
              <w:top w:val="nil"/>
              <w:left w:val="nil"/>
              <w:bottom w:val="double" w:sz="6" w:space="0" w:color="auto"/>
              <w:right w:val="nil"/>
            </w:tcBorders>
            <w:shd w:val="clear" w:color="auto" w:fill="auto"/>
            <w:noWrap/>
            <w:vAlign w:val="center"/>
            <w:hideMark/>
          </w:tcPr>
          <w:p w14:paraId="2ED488A5"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 </w:t>
            </w:r>
          </w:p>
        </w:tc>
        <w:tc>
          <w:tcPr>
            <w:tcW w:w="742" w:type="dxa"/>
            <w:gridSpan w:val="2"/>
            <w:tcBorders>
              <w:top w:val="nil"/>
              <w:left w:val="nil"/>
              <w:bottom w:val="double" w:sz="6" w:space="0" w:color="auto"/>
              <w:right w:val="nil"/>
            </w:tcBorders>
            <w:shd w:val="clear" w:color="auto" w:fill="auto"/>
            <w:noWrap/>
            <w:vAlign w:val="center"/>
            <w:hideMark/>
          </w:tcPr>
          <w:p w14:paraId="2A8AED3F"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19,486</w:t>
            </w:r>
          </w:p>
        </w:tc>
        <w:tc>
          <w:tcPr>
            <w:tcW w:w="548" w:type="dxa"/>
            <w:gridSpan w:val="2"/>
            <w:tcBorders>
              <w:top w:val="nil"/>
              <w:left w:val="nil"/>
              <w:bottom w:val="double" w:sz="6" w:space="0" w:color="auto"/>
              <w:right w:val="nil"/>
            </w:tcBorders>
            <w:shd w:val="clear" w:color="auto" w:fill="auto"/>
            <w:noWrap/>
            <w:vAlign w:val="center"/>
            <w:hideMark/>
          </w:tcPr>
          <w:p w14:paraId="2EBC526B"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 </w:t>
            </w:r>
          </w:p>
        </w:tc>
        <w:tc>
          <w:tcPr>
            <w:tcW w:w="703" w:type="dxa"/>
            <w:gridSpan w:val="2"/>
            <w:tcBorders>
              <w:top w:val="nil"/>
              <w:left w:val="nil"/>
              <w:bottom w:val="double" w:sz="6" w:space="0" w:color="auto"/>
              <w:right w:val="nil"/>
            </w:tcBorders>
            <w:shd w:val="clear" w:color="auto" w:fill="auto"/>
            <w:noWrap/>
            <w:vAlign w:val="center"/>
            <w:hideMark/>
          </w:tcPr>
          <w:p w14:paraId="09B2A61F"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 xml:space="preserve">- </w:t>
            </w:r>
          </w:p>
        </w:tc>
        <w:tc>
          <w:tcPr>
            <w:tcW w:w="706" w:type="dxa"/>
            <w:tcBorders>
              <w:top w:val="nil"/>
              <w:left w:val="nil"/>
              <w:bottom w:val="double" w:sz="6" w:space="0" w:color="auto"/>
              <w:right w:val="nil"/>
            </w:tcBorders>
            <w:shd w:val="clear" w:color="auto" w:fill="auto"/>
            <w:noWrap/>
            <w:vAlign w:val="center"/>
            <w:hideMark/>
          </w:tcPr>
          <w:p w14:paraId="259B9F2C"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 </w:t>
            </w:r>
          </w:p>
        </w:tc>
        <w:tc>
          <w:tcPr>
            <w:tcW w:w="649" w:type="dxa"/>
            <w:tcBorders>
              <w:top w:val="nil"/>
              <w:left w:val="nil"/>
              <w:bottom w:val="double" w:sz="6" w:space="0" w:color="auto"/>
              <w:right w:val="nil"/>
            </w:tcBorders>
            <w:shd w:val="clear" w:color="auto" w:fill="auto"/>
            <w:noWrap/>
            <w:vAlign w:val="center"/>
            <w:hideMark/>
          </w:tcPr>
          <w:p w14:paraId="5E361F64" w14:textId="77777777" w:rsidR="00490837" w:rsidRPr="00490837" w:rsidRDefault="00490837" w:rsidP="00490837">
            <w:pPr>
              <w:spacing w:before="0" w:line="240" w:lineRule="auto"/>
              <w:jc w:val="right"/>
              <w:rPr>
                <w:rFonts w:ascii="Meta Pro" w:eastAsia="Times New Roman" w:hAnsi="Meta Pro" w:cs="Calibri"/>
                <w:b/>
                <w:bCs/>
                <w:color w:val="000000"/>
                <w:sz w:val="16"/>
                <w:szCs w:val="16"/>
                <w:lang w:eastAsia="en-AU"/>
              </w:rPr>
            </w:pPr>
            <w:r w:rsidRPr="00490837">
              <w:rPr>
                <w:rFonts w:ascii="Meta Pro" w:eastAsia="Times New Roman" w:hAnsi="Meta Pro" w:cs="Calibri"/>
                <w:b/>
                <w:bCs/>
                <w:color w:val="000000"/>
                <w:sz w:val="16"/>
                <w:szCs w:val="16"/>
                <w:lang w:eastAsia="en-AU"/>
              </w:rPr>
              <w:t>2,968,364</w:t>
            </w:r>
          </w:p>
        </w:tc>
      </w:tr>
    </w:tbl>
    <w:p w14:paraId="792EA7B1" w14:textId="1E06FB30" w:rsidR="005F201D" w:rsidRDefault="005F201D" w:rsidP="00C55038">
      <w:pPr>
        <w:rPr>
          <w:rFonts w:ascii="Meta Pro" w:eastAsia="Times New Roman" w:hAnsi="Meta Pro"/>
          <w:i/>
          <w:iCs/>
          <w:color w:val="000000"/>
          <w:szCs w:val="18"/>
          <w:lang w:eastAsia="en-AU"/>
        </w:rPr>
      </w:pPr>
    </w:p>
    <w:tbl>
      <w:tblPr>
        <w:tblW w:w="13883" w:type="dxa"/>
        <w:tblLook w:val="04A0" w:firstRow="1" w:lastRow="0" w:firstColumn="1" w:lastColumn="0" w:noHBand="0" w:noVBand="1"/>
      </w:tblPr>
      <w:tblGrid>
        <w:gridCol w:w="2478"/>
        <w:gridCol w:w="491"/>
        <w:gridCol w:w="67"/>
        <w:gridCol w:w="549"/>
        <w:gridCol w:w="54"/>
        <w:gridCol w:w="623"/>
        <w:gridCol w:w="37"/>
        <w:gridCol w:w="104"/>
        <w:gridCol w:w="703"/>
        <w:gridCol w:w="692"/>
        <w:gridCol w:w="930"/>
        <w:gridCol w:w="342"/>
        <w:gridCol w:w="930"/>
        <w:gridCol w:w="267"/>
        <w:gridCol w:w="731"/>
        <w:gridCol w:w="759"/>
        <w:gridCol w:w="717"/>
        <w:gridCol w:w="89"/>
        <w:gridCol w:w="587"/>
        <w:gridCol w:w="872"/>
        <w:gridCol w:w="307"/>
        <w:gridCol w:w="801"/>
        <w:gridCol w:w="872"/>
      </w:tblGrid>
      <w:tr w:rsidR="00361746" w:rsidRPr="00361746" w14:paraId="10034236" w14:textId="77777777" w:rsidTr="00B03C77">
        <w:trPr>
          <w:gridAfter w:val="3"/>
          <w:wAfter w:w="2081" w:type="dxa"/>
          <w:trHeight w:val="939"/>
        </w:trPr>
        <w:tc>
          <w:tcPr>
            <w:tcW w:w="2536" w:type="dxa"/>
            <w:vMerge w:val="restart"/>
            <w:tcBorders>
              <w:top w:val="nil"/>
              <w:left w:val="nil"/>
              <w:bottom w:val="nil"/>
              <w:right w:val="nil"/>
            </w:tcBorders>
            <w:shd w:val="clear" w:color="auto" w:fill="auto"/>
            <w:noWrap/>
            <w:vAlign w:val="center"/>
            <w:hideMark/>
          </w:tcPr>
          <w:p w14:paraId="6CCD1456" w14:textId="77777777" w:rsidR="00361746" w:rsidRPr="00361746" w:rsidRDefault="00361746" w:rsidP="00361746">
            <w:pPr>
              <w:spacing w:before="0" w:line="240" w:lineRule="auto"/>
              <w:rPr>
                <w:rFonts w:eastAsia="Times New Roman" w:cs="Times New Roman"/>
                <w:color w:val="auto"/>
                <w:sz w:val="20"/>
                <w:szCs w:val="24"/>
                <w:lang w:eastAsia="en-AU"/>
              </w:rPr>
            </w:pPr>
          </w:p>
        </w:tc>
        <w:tc>
          <w:tcPr>
            <w:tcW w:w="1111" w:type="dxa"/>
            <w:gridSpan w:val="3"/>
            <w:vMerge w:val="restart"/>
            <w:tcBorders>
              <w:top w:val="nil"/>
              <w:left w:val="nil"/>
              <w:bottom w:val="nil"/>
              <w:right w:val="nil"/>
            </w:tcBorders>
            <w:shd w:val="clear" w:color="auto" w:fill="auto"/>
            <w:vAlign w:val="center"/>
            <w:hideMark/>
          </w:tcPr>
          <w:p w14:paraId="12920E92" w14:textId="77777777" w:rsidR="00361746" w:rsidRPr="00361746" w:rsidRDefault="00361746" w:rsidP="00361746">
            <w:pPr>
              <w:spacing w:before="0" w:line="240" w:lineRule="auto"/>
              <w:jc w:val="center"/>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Transport system investment planning and programming</w:t>
            </w:r>
          </w:p>
        </w:tc>
        <w:tc>
          <w:tcPr>
            <w:tcW w:w="683" w:type="dxa"/>
            <w:gridSpan w:val="2"/>
            <w:vMerge w:val="restart"/>
            <w:tcBorders>
              <w:top w:val="nil"/>
              <w:left w:val="nil"/>
              <w:bottom w:val="nil"/>
              <w:right w:val="nil"/>
            </w:tcBorders>
            <w:shd w:val="clear" w:color="auto" w:fill="auto"/>
            <w:hideMark/>
          </w:tcPr>
          <w:p w14:paraId="0845BD1A" w14:textId="77777777" w:rsidR="00361746" w:rsidRPr="00361746" w:rsidRDefault="00361746" w:rsidP="00361746">
            <w:pPr>
              <w:spacing w:before="0" w:line="240" w:lineRule="auto"/>
              <w:jc w:val="center"/>
              <w:rPr>
                <w:rFonts w:ascii="Meta Pro" w:eastAsia="Times New Roman" w:hAnsi="Meta Pro" w:cs="Calibri"/>
                <w:b/>
                <w:bCs/>
                <w:color w:val="000000"/>
                <w:sz w:val="16"/>
                <w:szCs w:val="16"/>
                <w:lang w:eastAsia="en-AU"/>
              </w:rPr>
            </w:pPr>
          </w:p>
        </w:tc>
        <w:tc>
          <w:tcPr>
            <w:tcW w:w="1552" w:type="dxa"/>
            <w:gridSpan w:val="4"/>
            <w:tcBorders>
              <w:top w:val="nil"/>
              <w:left w:val="nil"/>
              <w:bottom w:val="nil"/>
              <w:right w:val="nil"/>
            </w:tcBorders>
            <w:shd w:val="clear" w:color="auto" w:fill="auto"/>
            <w:vAlign w:val="center"/>
            <w:hideMark/>
          </w:tcPr>
          <w:p w14:paraId="76743B8D" w14:textId="77777777" w:rsidR="00361746" w:rsidRPr="00361746" w:rsidRDefault="00361746" w:rsidP="00361746">
            <w:pPr>
              <w:spacing w:before="0" w:line="240" w:lineRule="auto"/>
              <w:jc w:val="center"/>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Transport infrastructure management and</w:t>
            </w:r>
          </w:p>
        </w:tc>
        <w:tc>
          <w:tcPr>
            <w:tcW w:w="806" w:type="dxa"/>
            <w:vMerge w:val="restart"/>
            <w:tcBorders>
              <w:top w:val="nil"/>
              <w:left w:val="nil"/>
              <w:bottom w:val="nil"/>
              <w:right w:val="nil"/>
            </w:tcBorders>
            <w:shd w:val="clear" w:color="auto" w:fill="auto"/>
            <w:hideMark/>
          </w:tcPr>
          <w:p w14:paraId="641D7766" w14:textId="77777777" w:rsidR="00361746" w:rsidRPr="00361746" w:rsidRDefault="00361746" w:rsidP="00361746">
            <w:pPr>
              <w:spacing w:before="0" w:line="240" w:lineRule="auto"/>
              <w:jc w:val="center"/>
              <w:rPr>
                <w:rFonts w:ascii="Meta Pro" w:eastAsia="Times New Roman" w:hAnsi="Meta Pro" w:cs="Calibri"/>
                <w:b/>
                <w:bCs/>
                <w:color w:val="000000"/>
                <w:sz w:val="16"/>
                <w:szCs w:val="16"/>
                <w:lang w:eastAsia="en-AU"/>
              </w:rPr>
            </w:pPr>
          </w:p>
        </w:tc>
        <w:tc>
          <w:tcPr>
            <w:tcW w:w="1492" w:type="dxa"/>
            <w:gridSpan w:val="3"/>
            <w:vMerge w:val="restart"/>
            <w:tcBorders>
              <w:top w:val="nil"/>
              <w:left w:val="nil"/>
              <w:bottom w:val="nil"/>
              <w:right w:val="nil"/>
            </w:tcBorders>
            <w:shd w:val="clear" w:color="auto" w:fill="auto"/>
            <w:vAlign w:val="center"/>
            <w:hideMark/>
          </w:tcPr>
          <w:p w14:paraId="597A628A" w14:textId="77777777" w:rsidR="00361746" w:rsidRPr="00361746" w:rsidRDefault="00361746" w:rsidP="00361746">
            <w:pPr>
              <w:spacing w:before="0" w:line="240" w:lineRule="auto"/>
              <w:jc w:val="center"/>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Transport safety and regulation</w:t>
            </w:r>
          </w:p>
        </w:tc>
        <w:tc>
          <w:tcPr>
            <w:tcW w:w="682" w:type="dxa"/>
            <w:vMerge w:val="restart"/>
            <w:tcBorders>
              <w:top w:val="nil"/>
              <w:left w:val="nil"/>
              <w:bottom w:val="nil"/>
              <w:right w:val="nil"/>
            </w:tcBorders>
            <w:shd w:val="clear" w:color="auto" w:fill="auto"/>
            <w:hideMark/>
          </w:tcPr>
          <w:p w14:paraId="472323D8" w14:textId="77777777" w:rsidR="00361746" w:rsidRPr="00361746" w:rsidRDefault="00361746" w:rsidP="00361746">
            <w:pPr>
              <w:spacing w:before="0" w:line="240" w:lineRule="auto"/>
              <w:jc w:val="center"/>
              <w:rPr>
                <w:rFonts w:ascii="Meta Pro" w:eastAsia="Times New Roman" w:hAnsi="Meta Pro" w:cs="Calibri"/>
                <w:b/>
                <w:bCs/>
                <w:color w:val="000000"/>
                <w:sz w:val="16"/>
                <w:szCs w:val="16"/>
                <w:lang w:eastAsia="en-AU"/>
              </w:rPr>
            </w:pPr>
          </w:p>
        </w:tc>
        <w:tc>
          <w:tcPr>
            <w:tcW w:w="1503" w:type="dxa"/>
            <w:gridSpan w:val="2"/>
            <w:vMerge w:val="restart"/>
            <w:tcBorders>
              <w:top w:val="nil"/>
              <w:left w:val="nil"/>
              <w:bottom w:val="nil"/>
              <w:right w:val="nil"/>
            </w:tcBorders>
            <w:shd w:val="clear" w:color="auto" w:fill="auto"/>
            <w:vAlign w:val="center"/>
            <w:hideMark/>
          </w:tcPr>
          <w:p w14:paraId="2A22FBE6" w14:textId="77777777" w:rsidR="00361746" w:rsidRPr="00361746" w:rsidRDefault="00361746" w:rsidP="00361746">
            <w:pPr>
              <w:spacing w:before="0" w:line="240" w:lineRule="auto"/>
              <w:jc w:val="center"/>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Customer experience</w:t>
            </w:r>
          </w:p>
        </w:tc>
        <w:tc>
          <w:tcPr>
            <w:tcW w:w="682" w:type="dxa"/>
            <w:gridSpan w:val="2"/>
            <w:vMerge w:val="restart"/>
            <w:tcBorders>
              <w:top w:val="nil"/>
              <w:left w:val="nil"/>
              <w:bottom w:val="nil"/>
              <w:right w:val="nil"/>
            </w:tcBorders>
            <w:shd w:val="clear" w:color="auto" w:fill="auto"/>
            <w:hideMark/>
          </w:tcPr>
          <w:p w14:paraId="1B2665A6" w14:textId="77777777" w:rsidR="00361746" w:rsidRPr="00361746" w:rsidRDefault="00361746" w:rsidP="00361746">
            <w:pPr>
              <w:spacing w:before="0" w:line="240" w:lineRule="auto"/>
              <w:jc w:val="center"/>
              <w:rPr>
                <w:rFonts w:ascii="Meta Pro" w:eastAsia="Times New Roman" w:hAnsi="Meta Pro" w:cs="Calibri"/>
                <w:b/>
                <w:bCs/>
                <w:color w:val="000000"/>
                <w:sz w:val="16"/>
                <w:szCs w:val="16"/>
                <w:lang w:eastAsia="en-AU"/>
              </w:rPr>
            </w:pPr>
          </w:p>
        </w:tc>
        <w:tc>
          <w:tcPr>
            <w:tcW w:w="755" w:type="dxa"/>
            <w:vMerge w:val="restart"/>
            <w:tcBorders>
              <w:top w:val="nil"/>
              <w:left w:val="nil"/>
              <w:bottom w:val="nil"/>
              <w:right w:val="nil"/>
            </w:tcBorders>
            <w:shd w:val="clear" w:color="auto" w:fill="auto"/>
            <w:vAlign w:val="center"/>
            <w:hideMark/>
          </w:tcPr>
          <w:p w14:paraId="2B164289" w14:textId="77777777" w:rsidR="00361746" w:rsidRPr="00361746" w:rsidRDefault="00361746" w:rsidP="00361746">
            <w:pPr>
              <w:spacing w:before="0" w:line="240" w:lineRule="auto"/>
              <w:jc w:val="center"/>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Passenger transport services</w:t>
            </w:r>
          </w:p>
        </w:tc>
      </w:tr>
      <w:tr w:rsidR="00361746" w:rsidRPr="00361746" w14:paraId="3B1A7658" w14:textId="77777777" w:rsidTr="00B03C77">
        <w:trPr>
          <w:gridAfter w:val="3"/>
          <w:wAfter w:w="2081" w:type="dxa"/>
          <w:trHeight w:val="259"/>
        </w:trPr>
        <w:tc>
          <w:tcPr>
            <w:tcW w:w="2536" w:type="dxa"/>
            <w:vMerge/>
            <w:tcBorders>
              <w:top w:val="nil"/>
              <w:left w:val="nil"/>
              <w:bottom w:val="nil"/>
              <w:right w:val="nil"/>
            </w:tcBorders>
            <w:vAlign w:val="center"/>
            <w:hideMark/>
          </w:tcPr>
          <w:p w14:paraId="680FCD2F" w14:textId="77777777" w:rsidR="00361746" w:rsidRPr="00361746" w:rsidRDefault="00361746" w:rsidP="00361746">
            <w:pPr>
              <w:spacing w:before="0" w:line="240" w:lineRule="auto"/>
              <w:rPr>
                <w:rFonts w:eastAsia="Times New Roman" w:cs="Times New Roman"/>
                <w:color w:val="auto"/>
                <w:sz w:val="20"/>
                <w:szCs w:val="24"/>
                <w:lang w:eastAsia="en-AU"/>
              </w:rPr>
            </w:pPr>
          </w:p>
        </w:tc>
        <w:tc>
          <w:tcPr>
            <w:tcW w:w="1111" w:type="dxa"/>
            <w:gridSpan w:val="3"/>
            <w:vMerge/>
            <w:tcBorders>
              <w:top w:val="nil"/>
              <w:left w:val="nil"/>
              <w:bottom w:val="nil"/>
              <w:right w:val="nil"/>
            </w:tcBorders>
            <w:vAlign w:val="center"/>
            <w:hideMark/>
          </w:tcPr>
          <w:p w14:paraId="413F6D6C" w14:textId="77777777" w:rsidR="00361746" w:rsidRPr="00361746" w:rsidRDefault="00361746" w:rsidP="00361746">
            <w:pPr>
              <w:spacing w:before="0" w:line="240" w:lineRule="auto"/>
              <w:rPr>
                <w:rFonts w:ascii="Meta Pro" w:eastAsia="Times New Roman" w:hAnsi="Meta Pro" w:cs="Calibri"/>
                <w:b/>
                <w:bCs/>
                <w:color w:val="000000"/>
                <w:sz w:val="16"/>
                <w:szCs w:val="16"/>
                <w:lang w:eastAsia="en-AU"/>
              </w:rPr>
            </w:pPr>
          </w:p>
        </w:tc>
        <w:tc>
          <w:tcPr>
            <w:tcW w:w="683" w:type="dxa"/>
            <w:gridSpan w:val="2"/>
            <w:vMerge/>
            <w:tcBorders>
              <w:top w:val="nil"/>
              <w:left w:val="nil"/>
              <w:bottom w:val="nil"/>
              <w:right w:val="nil"/>
            </w:tcBorders>
            <w:vAlign w:val="center"/>
            <w:hideMark/>
          </w:tcPr>
          <w:p w14:paraId="3955B0E9" w14:textId="77777777" w:rsidR="00361746" w:rsidRPr="00361746" w:rsidRDefault="00361746" w:rsidP="00361746">
            <w:pPr>
              <w:spacing w:before="0" w:line="240" w:lineRule="auto"/>
              <w:rPr>
                <w:rFonts w:ascii="Meta Pro" w:eastAsia="Times New Roman" w:hAnsi="Meta Pro" w:cs="Calibri"/>
                <w:b/>
                <w:bCs/>
                <w:color w:val="000000"/>
                <w:sz w:val="16"/>
                <w:szCs w:val="16"/>
                <w:lang w:eastAsia="en-AU"/>
              </w:rPr>
            </w:pPr>
          </w:p>
        </w:tc>
        <w:tc>
          <w:tcPr>
            <w:tcW w:w="1552" w:type="dxa"/>
            <w:gridSpan w:val="4"/>
            <w:tcBorders>
              <w:top w:val="nil"/>
              <w:left w:val="nil"/>
              <w:bottom w:val="nil"/>
              <w:right w:val="nil"/>
            </w:tcBorders>
            <w:shd w:val="clear" w:color="auto" w:fill="auto"/>
            <w:vAlign w:val="center"/>
            <w:hideMark/>
          </w:tcPr>
          <w:p w14:paraId="2770AAF8" w14:textId="77777777" w:rsidR="00361746" w:rsidRPr="00361746" w:rsidRDefault="00361746" w:rsidP="00361746">
            <w:pPr>
              <w:spacing w:before="0" w:line="240" w:lineRule="auto"/>
              <w:jc w:val="center"/>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delivery</w:t>
            </w:r>
          </w:p>
        </w:tc>
        <w:tc>
          <w:tcPr>
            <w:tcW w:w="806" w:type="dxa"/>
            <w:vMerge/>
            <w:tcBorders>
              <w:top w:val="nil"/>
              <w:left w:val="nil"/>
              <w:bottom w:val="nil"/>
              <w:right w:val="nil"/>
            </w:tcBorders>
            <w:vAlign w:val="center"/>
            <w:hideMark/>
          </w:tcPr>
          <w:p w14:paraId="285BBB25" w14:textId="77777777" w:rsidR="00361746" w:rsidRPr="00361746" w:rsidRDefault="00361746" w:rsidP="00361746">
            <w:pPr>
              <w:spacing w:before="0" w:line="240" w:lineRule="auto"/>
              <w:rPr>
                <w:rFonts w:ascii="Meta Pro" w:eastAsia="Times New Roman" w:hAnsi="Meta Pro" w:cs="Calibri"/>
                <w:b/>
                <w:bCs/>
                <w:color w:val="000000"/>
                <w:sz w:val="16"/>
                <w:szCs w:val="16"/>
                <w:lang w:eastAsia="en-AU"/>
              </w:rPr>
            </w:pPr>
          </w:p>
        </w:tc>
        <w:tc>
          <w:tcPr>
            <w:tcW w:w="1492" w:type="dxa"/>
            <w:gridSpan w:val="3"/>
            <w:vMerge/>
            <w:tcBorders>
              <w:top w:val="nil"/>
              <w:left w:val="nil"/>
              <w:bottom w:val="nil"/>
              <w:right w:val="nil"/>
            </w:tcBorders>
            <w:vAlign w:val="center"/>
            <w:hideMark/>
          </w:tcPr>
          <w:p w14:paraId="6227461E" w14:textId="77777777" w:rsidR="00361746" w:rsidRPr="00361746" w:rsidRDefault="00361746" w:rsidP="00361746">
            <w:pPr>
              <w:spacing w:before="0" w:line="240" w:lineRule="auto"/>
              <w:rPr>
                <w:rFonts w:ascii="Meta Pro" w:eastAsia="Times New Roman" w:hAnsi="Meta Pro" w:cs="Calibri"/>
                <w:b/>
                <w:bCs/>
                <w:color w:val="000000"/>
                <w:sz w:val="16"/>
                <w:szCs w:val="16"/>
                <w:lang w:eastAsia="en-AU"/>
              </w:rPr>
            </w:pPr>
          </w:p>
        </w:tc>
        <w:tc>
          <w:tcPr>
            <w:tcW w:w="682" w:type="dxa"/>
            <w:vMerge/>
            <w:tcBorders>
              <w:top w:val="nil"/>
              <w:left w:val="nil"/>
              <w:bottom w:val="nil"/>
              <w:right w:val="nil"/>
            </w:tcBorders>
            <w:vAlign w:val="center"/>
            <w:hideMark/>
          </w:tcPr>
          <w:p w14:paraId="17B9D846" w14:textId="77777777" w:rsidR="00361746" w:rsidRPr="00361746" w:rsidRDefault="00361746" w:rsidP="00361746">
            <w:pPr>
              <w:spacing w:before="0" w:line="240" w:lineRule="auto"/>
              <w:rPr>
                <w:rFonts w:ascii="Meta Pro" w:eastAsia="Times New Roman" w:hAnsi="Meta Pro" w:cs="Calibri"/>
                <w:b/>
                <w:bCs/>
                <w:color w:val="000000"/>
                <w:sz w:val="16"/>
                <w:szCs w:val="16"/>
                <w:lang w:eastAsia="en-AU"/>
              </w:rPr>
            </w:pPr>
          </w:p>
        </w:tc>
        <w:tc>
          <w:tcPr>
            <w:tcW w:w="1503" w:type="dxa"/>
            <w:gridSpan w:val="2"/>
            <w:vMerge/>
            <w:tcBorders>
              <w:top w:val="nil"/>
              <w:left w:val="nil"/>
              <w:bottom w:val="nil"/>
              <w:right w:val="nil"/>
            </w:tcBorders>
            <w:vAlign w:val="center"/>
            <w:hideMark/>
          </w:tcPr>
          <w:p w14:paraId="4FAAB412" w14:textId="77777777" w:rsidR="00361746" w:rsidRPr="00361746" w:rsidRDefault="00361746" w:rsidP="00361746">
            <w:pPr>
              <w:spacing w:before="0" w:line="240" w:lineRule="auto"/>
              <w:rPr>
                <w:rFonts w:ascii="Meta Pro" w:eastAsia="Times New Roman" w:hAnsi="Meta Pro" w:cs="Calibri"/>
                <w:b/>
                <w:bCs/>
                <w:color w:val="000000"/>
                <w:sz w:val="16"/>
                <w:szCs w:val="16"/>
                <w:lang w:eastAsia="en-AU"/>
              </w:rPr>
            </w:pPr>
          </w:p>
        </w:tc>
        <w:tc>
          <w:tcPr>
            <w:tcW w:w="682" w:type="dxa"/>
            <w:gridSpan w:val="2"/>
            <w:vMerge/>
            <w:tcBorders>
              <w:top w:val="nil"/>
              <w:left w:val="nil"/>
              <w:bottom w:val="nil"/>
              <w:right w:val="nil"/>
            </w:tcBorders>
            <w:vAlign w:val="center"/>
            <w:hideMark/>
          </w:tcPr>
          <w:p w14:paraId="62CAEAAF" w14:textId="77777777" w:rsidR="00361746" w:rsidRPr="00361746" w:rsidRDefault="00361746" w:rsidP="00361746">
            <w:pPr>
              <w:spacing w:before="0" w:line="240" w:lineRule="auto"/>
              <w:rPr>
                <w:rFonts w:ascii="Meta Pro" w:eastAsia="Times New Roman" w:hAnsi="Meta Pro" w:cs="Calibri"/>
                <w:b/>
                <w:bCs/>
                <w:color w:val="000000"/>
                <w:sz w:val="16"/>
                <w:szCs w:val="16"/>
                <w:lang w:eastAsia="en-AU"/>
              </w:rPr>
            </w:pPr>
          </w:p>
        </w:tc>
        <w:tc>
          <w:tcPr>
            <w:tcW w:w="755" w:type="dxa"/>
            <w:vMerge/>
            <w:tcBorders>
              <w:top w:val="nil"/>
              <w:left w:val="nil"/>
              <w:bottom w:val="nil"/>
              <w:right w:val="nil"/>
            </w:tcBorders>
            <w:vAlign w:val="center"/>
            <w:hideMark/>
          </w:tcPr>
          <w:p w14:paraId="1D9A14BE" w14:textId="77777777" w:rsidR="00361746" w:rsidRPr="00361746" w:rsidRDefault="00361746" w:rsidP="00361746">
            <w:pPr>
              <w:spacing w:before="0" w:line="240" w:lineRule="auto"/>
              <w:rPr>
                <w:rFonts w:ascii="Meta Pro" w:eastAsia="Times New Roman" w:hAnsi="Meta Pro" w:cs="Calibri"/>
                <w:b/>
                <w:bCs/>
                <w:color w:val="000000"/>
                <w:sz w:val="16"/>
                <w:szCs w:val="16"/>
                <w:lang w:eastAsia="en-AU"/>
              </w:rPr>
            </w:pPr>
          </w:p>
        </w:tc>
      </w:tr>
      <w:tr w:rsidR="00361746" w:rsidRPr="00361746" w14:paraId="170C099E" w14:textId="77777777" w:rsidTr="00B03C77">
        <w:trPr>
          <w:gridAfter w:val="3"/>
          <w:wAfter w:w="2081" w:type="dxa"/>
          <w:trHeight w:hRule="exact" w:val="259"/>
        </w:trPr>
        <w:tc>
          <w:tcPr>
            <w:tcW w:w="2536" w:type="dxa"/>
            <w:tcBorders>
              <w:top w:val="nil"/>
              <w:left w:val="nil"/>
              <w:bottom w:val="nil"/>
              <w:right w:val="nil"/>
            </w:tcBorders>
            <w:shd w:val="clear" w:color="auto" w:fill="auto"/>
            <w:noWrap/>
            <w:vAlign w:val="center"/>
            <w:hideMark/>
          </w:tcPr>
          <w:p w14:paraId="013AE617" w14:textId="77777777" w:rsidR="00361746" w:rsidRPr="00361746" w:rsidRDefault="00361746" w:rsidP="00361746">
            <w:pPr>
              <w:spacing w:before="0" w:line="240" w:lineRule="auto"/>
              <w:jc w:val="center"/>
              <w:rPr>
                <w:rFonts w:ascii="Meta Pro" w:eastAsia="Times New Roman" w:hAnsi="Meta Pro" w:cs="Calibri"/>
                <w:b/>
                <w:bCs/>
                <w:color w:val="000000"/>
                <w:sz w:val="16"/>
                <w:szCs w:val="16"/>
                <w:lang w:eastAsia="en-AU"/>
              </w:rPr>
            </w:pPr>
          </w:p>
        </w:tc>
        <w:tc>
          <w:tcPr>
            <w:tcW w:w="1111" w:type="dxa"/>
            <w:gridSpan w:val="3"/>
            <w:tcBorders>
              <w:top w:val="nil"/>
              <w:left w:val="nil"/>
              <w:bottom w:val="nil"/>
              <w:right w:val="nil"/>
            </w:tcBorders>
            <w:shd w:val="clear" w:color="auto" w:fill="auto"/>
            <w:hideMark/>
          </w:tcPr>
          <w:p w14:paraId="4B99A4D8" w14:textId="77777777" w:rsidR="00361746" w:rsidRPr="00361746" w:rsidRDefault="00361746" w:rsidP="00361746">
            <w:pPr>
              <w:spacing w:before="0" w:line="240" w:lineRule="auto"/>
              <w:rPr>
                <w:rFonts w:eastAsia="Times New Roman" w:cs="Times New Roman"/>
                <w:color w:val="auto"/>
                <w:sz w:val="20"/>
                <w:szCs w:val="20"/>
                <w:lang w:eastAsia="en-AU"/>
              </w:rPr>
            </w:pPr>
          </w:p>
        </w:tc>
        <w:tc>
          <w:tcPr>
            <w:tcW w:w="683" w:type="dxa"/>
            <w:gridSpan w:val="2"/>
            <w:tcBorders>
              <w:top w:val="nil"/>
              <w:left w:val="nil"/>
              <w:bottom w:val="nil"/>
              <w:right w:val="nil"/>
            </w:tcBorders>
            <w:shd w:val="clear" w:color="auto" w:fill="auto"/>
            <w:hideMark/>
          </w:tcPr>
          <w:p w14:paraId="6055DDEA" w14:textId="77777777" w:rsidR="00361746" w:rsidRPr="00361746" w:rsidRDefault="00361746" w:rsidP="00361746">
            <w:pPr>
              <w:spacing w:before="0" w:line="240" w:lineRule="auto"/>
              <w:rPr>
                <w:rFonts w:eastAsia="Times New Roman" w:cs="Times New Roman"/>
                <w:color w:val="auto"/>
                <w:sz w:val="20"/>
                <w:szCs w:val="20"/>
                <w:lang w:eastAsia="en-AU"/>
              </w:rPr>
            </w:pPr>
          </w:p>
        </w:tc>
        <w:tc>
          <w:tcPr>
            <w:tcW w:w="1552" w:type="dxa"/>
            <w:gridSpan w:val="4"/>
            <w:tcBorders>
              <w:top w:val="nil"/>
              <w:left w:val="nil"/>
              <w:bottom w:val="nil"/>
              <w:right w:val="nil"/>
            </w:tcBorders>
            <w:shd w:val="clear" w:color="auto" w:fill="auto"/>
            <w:hideMark/>
          </w:tcPr>
          <w:p w14:paraId="592F5171" w14:textId="77777777" w:rsidR="00361746" w:rsidRPr="00361746" w:rsidRDefault="00361746" w:rsidP="00361746">
            <w:pPr>
              <w:spacing w:before="0" w:line="240" w:lineRule="auto"/>
              <w:rPr>
                <w:rFonts w:eastAsia="Times New Roman" w:cs="Times New Roman"/>
                <w:color w:val="auto"/>
                <w:sz w:val="20"/>
                <w:szCs w:val="20"/>
                <w:lang w:eastAsia="en-AU"/>
              </w:rPr>
            </w:pPr>
          </w:p>
        </w:tc>
        <w:tc>
          <w:tcPr>
            <w:tcW w:w="806" w:type="dxa"/>
            <w:tcBorders>
              <w:top w:val="nil"/>
              <w:left w:val="nil"/>
              <w:bottom w:val="nil"/>
              <w:right w:val="nil"/>
            </w:tcBorders>
            <w:shd w:val="clear" w:color="auto" w:fill="auto"/>
            <w:hideMark/>
          </w:tcPr>
          <w:p w14:paraId="07544A6D" w14:textId="77777777" w:rsidR="00361746" w:rsidRPr="00361746" w:rsidRDefault="00361746" w:rsidP="00361746">
            <w:pPr>
              <w:spacing w:before="0" w:line="240" w:lineRule="auto"/>
              <w:rPr>
                <w:rFonts w:eastAsia="Times New Roman" w:cs="Times New Roman"/>
                <w:color w:val="auto"/>
                <w:sz w:val="20"/>
                <w:szCs w:val="20"/>
                <w:lang w:eastAsia="en-AU"/>
              </w:rPr>
            </w:pPr>
          </w:p>
        </w:tc>
        <w:tc>
          <w:tcPr>
            <w:tcW w:w="1492" w:type="dxa"/>
            <w:gridSpan w:val="3"/>
            <w:tcBorders>
              <w:top w:val="nil"/>
              <w:left w:val="nil"/>
              <w:bottom w:val="nil"/>
              <w:right w:val="nil"/>
            </w:tcBorders>
            <w:shd w:val="clear" w:color="auto" w:fill="auto"/>
            <w:hideMark/>
          </w:tcPr>
          <w:p w14:paraId="47B7DA11" w14:textId="77777777" w:rsidR="00361746" w:rsidRPr="00361746" w:rsidRDefault="00361746" w:rsidP="00361746">
            <w:pPr>
              <w:spacing w:before="0" w:line="240" w:lineRule="auto"/>
              <w:rPr>
                <w:rFonts w:eastAsia="Times New Roman" w:cs="Times New Roman"/>
                <w:color w:val="auto"/>
                <w:sz w:val="20"/>
                <w:szCs w:val="20"/>
                <w:lang w:eastAsia="en-AU"/>
              </w:rPr>
            </w:pPr>
          </w:p>
        </w:tc>
        <w:tc>
          <w:tcPr>
            <w:tcW w:w="682" w:type="dxa"/>
            <w:tcBorders>
              <w:top w:val="nil"/>
              <w:left w:val="nil"/>
              <w:bottom w:val="nil"/>
              <w:right w:val="nil"/>
            </w:tcBorders>
            <w:shd w:val="clear" w:color="auto" w:fill="auto"/>
            <w:hideMark/>
          </w:tcPr>
          <w:p w14:paraId="733586EE" w14:textId="77777777" w:rsidR="00361746" w:rsidRPr="00361746" w:rsidRDefault="00361746" w:rsidP="00361746">
            <w:pPr>
              <w:spacing w:before="0" w:line="240" w:lineRule="auto"/>
              <w:rPr>
                <w:rFonts w:eastAsia="Times New Roman" w:cs="Times New Roman"/>
                <w:color w:val="auto"/>
                <w:sz w:val="20"/>
                <w:szCs w:val="20"/>
                <w:lang w:eastAsia="en-AU"/>
              </w:rPr>
            </w:pPr>
          </w:p>
        </w:tc>
        <w:tc>
          <w:tcPr>
            <w:tcW w:w="1503" w:type="dxa"/>
            <w:gridSpan w:val="2"/>
            <w:tcBorders>
              <w:top w:val="nil"/>
              <w:left w:val="nil"/>
              <w:bottom w:val="nil"/>
              <w:right w:val="nil"/>
            </w:tcBorders>
            <w:shd w:val="clear" w:color="auto" w:fill="auto"/>
            <w:hideMark/>
          </w:tcPr>
          <w:p w14:paraId="6786409C" w14:textId="77777777" w:rsidR="00361746" w:rsidRPr="00361746" w:rsidRDefault="00361746" w:rsidP="00361746">
            <w:pPr>
              <w:spacing w:before="0" w:line="240" w:lineRule="auto"/>
              <w:rPr>
                <w:rFonts w:eastAsia="Times New Roman" w:cs="Times New Roman"/>
                <w:color w:val="auto"/>
                <w:sz w:val="20"/>
                <w:szCs w:val="20"/>
                <w:lang w:eastAsia="en-AU"/>
              </w:rPr>
            </w:pPr>
          </w:p>
        </w:tc>
        <w:tc>
          <w:tcPr>
            <w:tcW w:w="682" w:type="dxa"/>
            <w:gridSpan w:val="2"/>
            <w:tcBorders>
              <w:top w:val="nil"/>
              <w:left w:val="nil"/>
              <w:bottom w:val="nil"/>
              <w:right w:val="nil"/>
            </w:tcBorders>
            <w:shd w:val="clear" w:color="auto" w:fill="auto"/>
            <w:hideMark/>
          </w:tcPr>
          <w:p w14:paraId="24698D18" w14:textId="77777777" w:rsidR="00361746" w:rsidRPr="00361746" w:rsidRDefault="00361746" w:rsidP="00361746">
            <w:pPr>
              <w:spacing w:before="0" w:line="240" w:lineRule="auto"/>
              <w:rPr>
                <w:rFonts w:eastAsia="Times New Roman" w:cs="Times New Roman"/>
                <w:color w:val="auto"/>
                <w:sz w:val="20"/>
                <w:szCs w:val="20"/>
                <w:lang w:eastAsia="en-AU"/>
              </w:rPr>
            </w:pPr>
          </w:p>
        </w:tc>
        <w:tc>
          <w:tcPr>
            <w:tcW w:w="755" w:type="dxa"/>
            <w:tcBorders>
              <w:top w:val="nil"/>
              <w:left w:val="nil"/>
              <w:bottom w:val="nil"/>
              <w:right w:val="nil"/>
            </w:tcBorders>
            <w:shd w:val="clear" w:color="auto" w:fill="auto"/>
            <w:hideMark/>
          </w:tcPr>
          <w:p w14:paraId="0056A531" w14:textId="77777777" w:rsidR="00361746" w:rsidRPr="00361746" w:rsidRDefault="00361746" w:rsidP="00361746">
            <w:pPr>
              <w:spacing w:before="0" w:line="240" w:lineRule="auto"/>
              <w:rPr>
                <w:rFonts w:eastAsia="Times New Roman" w:cs="Times New Roman"/>
                <w:color w:val="auto"/>
                <w:sz w:val="20"/>
                <w:szCs w:val="20"/>
                <w:lang w:eastAsia="en-AU"/>
              </w:rPr>
            </w:pPr>
          </w:p>
        </w:tc>
      </w:tr>
      <w:tr w:rsidR="00361746" w:rsidRPr="00361746" w14:paraId="7F91CAB1" w14:textId="77777777" w:rsidTr="00B03C77">
        <w:trPr>
          <w:gridAfter w:val="3"/>
          <w:wAfter w:w="2081" w:type="dxa"/>
          <w:trHeight w:hRule="exact" w:val="259"/>
        </w:trPr>
        <w:tc>
          <w:tcPr>
            <w:tcW w:w="2536" w:type="dxa"/>
            <w:tcBorders>
              <w:top w:val="nil"/>
              <w:left w:val="nil"/>
              <w:bottom w:val="nil"/>
              <w:right w:val="nil"/>
            </w:tcBorders>
            <w:shd w:val="clear" w:color="auto" w:fill="auto"/>
            <w:noWrap/>
            <w:vAlign w:val="center"/>
            <w:hideMark/>
          </w:tcPr>
          <w:p w14:paraId="43D9AA72" w14:textId="77777777" w:rsidR="00361746" w:rsidRPr="00361746" w:rsidRDefault="00361746" w:rsidP="00361746">
            <w:pPr>
              <w:spacing w:before="0" w:line="240" w:lineRule="auto"/>
              <w:rPr>
                <w:rFonts w:eastAsia="Times New Roman" w:cs="Times New Roman"/>
                <w:color w:val="auto"/>
                <w:sz w:val="20"/>
                <w:szCs w:val="20"/>
                <w:lang w:eastAsia="en-AU"/>
              </w:rPr>
            </w:pPr>
          </w:p>
        </w:tc>
        <w:tc>
          <w:tcPr>
            <w:tcW w:w="1111" w:type="dxa"/>
            <w:gridSpan w:val="3"/>
            <w:tcBorders>
              <w:top w:val="nil"/>
              <w:left w:val="nil"/>
              <w:bottom w:val="nil"/>
              <w:right w:val="nil"/>
            </w:tcBorders>
            <w:shd w:val="clear" w:color="auto" w:fill="auto"/>
            <w:noWrap/>
            <w:vAlign w:val="center"/>
            <w:hideMark/>
          </w:tcPr>
          <w:p w14:paraId="106CBA87" w14:textId="77777777" w:rsidR="00361746" w:rsidRPr="00361746" w:rsidRDefault="00361746" w:rsidP="00361746">
            <w:pPr>
              <w:spacing w:before="0" w:line="240" w:lineRule="auto"/>
              <w:jc w:val="center"/>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2022</w:t>
            </w:r>
          </w:p>
        </w:tc>
        <w:tc>
          <w:tcPr>
            <w:tcW w:w="683" w:type="dxa"/>
            <w:gridSpan w:val="2"/>
            <w:tcBorders>
              <w:top w:val="nil"/>
              <w:left w:val="nil"/>
              <w:bottom w:val="nil"/>
              <w:right w:val="nil"/>
            </w:tcBorders>
            <w:shd w:val="clear" w:color="auto" w:fill="auto"/>
            <w:noWrap/>
            <w:vAlign w:val="center"/>
            <w:hideMark/>
          </w:tcPr>
          <w:p w14:paraId="363C944D" w14:textId="77777777" w:rsidR="00361746" w:rsidRPr="00361746" w:rsidRDefault="00361746" w:rsidP="00361746">
            <w:pPr>
              <w:spacing w:before="0" w:line="240" w:lineRule="auto"/>
              <w:jc w:val="center"/>
              <w:rPr>
                <w:rFonts w:ascii="Meta Pro" w:eastAsia="Times New Roman" w:hAnsi="Meta Pro" w:cs="Calibri"/>
                <w:b/>
                <w:bCs/>
                <w:color w:val="000000"/>
                <w:sz w:val="16"/>
                <w:szCs w:val="16"/>
                <w:lang w:eastAsia="en-AU"/>
              </w:rPr>
            </w:pPr>
          </w:p>
        </w:tc>
        <w:tc>
          <w:tcPr>
            <w:tcW w:w="1552" w:type="dxa"/>
            <w:gridSpan w:val="4"/>
            <w:tcBorders>
              <w:top w:val="nil"/>
              <w:left w:val="nil"/>
              <w:bottom w:val="nil"/>
              <w:right w:val="nil"/>
            </w:tcBorders>
            <w:shd w:val="clear" w:color="auto" w:fill="auto"/>
            <w:noWrap/>
            <w:vAlign w:val="center"/>
            <w:hideMark/>
          </w:tcPr>
          <w:p w14:paraId="4D121DD9" w14:textId="77777777" w:rsidR="00361746" w:rsidRPr="00361746" w:rsidRDefault="00361746" w:rsidP="00361746">
            <w:pPr>
              <w:spacing w:before="0" w:line="240" w:lineRule="auto"/>
              <w:jc w:val="center"/>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2022</w:t>
            </w:r>
          </w:p>
        </w:tc>
        <w:tc>
          <w:tcPr>
            <w:tcW w:w="806" w:type="dxa"/>
            <w:tcBorders>
              <w:top w:val="nil"/>
              <w:left w:val="nil"/>
              <w:bottom w:val="nil"/>
              <w:right w:val="nil"/>
            </w:tcBorders>
            <w:shd w:val="clear" w:color="auto" w:fill="auto"/>
            <w:noWrap/>
            <w:vAlign w:val="center"/>
            <w:hideMark/>
          </w:tcPr>
          <w:p w14:paraId="4B0FD96F" w14:textId="77777777" w:rsidR="00361746" w:rsidRPr="00361746" w:rsidRDefault="00361746" w:rsidP="00361746">
            <w:pPr>
              <w:spacing w:before="0" w:line="240" w:lineRule="auto"/>
              <w:jc w:val="center"/>
              <w:rPr>
                <w:rFonts w:ascii="Meta Pro" w:eastAsia="Times New Roman" w:hAnsi="Meta Pro" w:cs="Calibri"/>
                <w:b/>
                <w:bCs/>
                <w:color w:val="000000"/>
                <w:sz w:val="16"/>
                <w:szCs w:val="16"/>
                <w:lang w:eastAsia="en-AU"/>
              </w:rPr>
            </w:pPr>
          </w:p>
        </w:tc>
        <w:tc>
          <w:tcPr>
            <w:tcW w:w="1492" w:type="dxa"/>
            <w:gridSpan w:val="3"/>
            <w:tcBorders>
              <w:top w:val="nil"/>
              <w:left w:val="nil"/>
              <w:bottom w:val="nil"/>
              <w:right w:val="nil"/>
            </w:tcBorders>
            <w:shd w:val="clear" w:color="auto" w:fill="auto"/>
            <w:noWrap/>
            <w:vAlign w:val="center"/>
            <w:hideMark/>
          </w:tcPr>
          <w:p w14:paraId="3A155BBB" w14:textId="77777777" w:rsidR="00361746" w:rsidRPr="00361746" w:rsidRDefault="00361746" w:rsidP="00361746">
            <w:pPr>
              <w:spacing w:before="0" w:line="240" w:lineRule="auto"/>
              <w:jc w:val="center"/>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2022</w:t>
            </w:r>
          </w:p>
        </w:tc>
        <w:tc>
          <w:tcPr>
            <w:tcW w:w="682" w:type="dxa"/>
            <w:tcBorders>
              <w:top w:val="nil"/>
              <w:left w:val="nil"/>
              <w:bottom w:val="nil"/>
              <w:right w:val="nil"/>
            </w:tcBorders>
            <w:shd w:val="clear" w:color="auto" w:fill="auto"/>
            <w:noWrap/>
            <w:vAlign w:val="center"/>
            <w:hideMark/>
          </w:tcPr>
          <w:p w14:paraId="606CD7B1" w14:textId="77777777" w:rsidR="00361746" w:rsidRPr="00361746" w:rsidRDefault="00361746" w:rsidP="00361746">
            <w:pPr>
              <w:spacing w:before="0" w:line="240" w:lineRule="auto"/>
              <w:jc w:val="center"/>
              <w:rPr>
                <w:rFonts w:ascii="Meta Pro" w:eastAsia="Times New Roman" w:hAnsi="Meta Pro" w:cs="Calibri"/>
                <w:b/>
                <w:bCs/>
                <w:color w:val="000000"/>
                <w:sz w:val="16"/>
                <w:szCs w:val="16"/>
                <w:lang w:eastAsia="en-AU"/>
              </w:rPr>
            </w:pPr>
          </w:p>
        </w:tc>
        <w:tc>
          <w:tcPr>
            <w:tcW w:w="1503" w:type="dxa"/>
            <w:gridSpan w:val="2"/>
            <w:tcBorders>
              <w:top w:val="nil"/>
              <w:left w:val="nil"/>
              <w:bottom w:val="nil"/>
              <w:right w:val="nil"/>
            </w:tcBorders>
            <w:shd w:val="clear" w:color="auto" w:fill="auto"/>
            <w:noWrap/>
            <w:vAlign w:val="center"/>
            <w:hideMark/>
          </w:tcPr>
          <w:p w14:paraId="4A9B9B6F" w14:textId="77777777" w:rsidR="00361746" w:rsidRPr="00361746" w:rsidRDefault="00361746" w:rsidP="00361746">
            <w:pPr>
              <w:spacing w:before="0" w:line="240" w:lineRule="auto"/>
              <w:jc w:val="center"/>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2022</w:t>
            </w:r>
          </w:p>
        </w:tc>
        <w:tc>
          <w:tcPr>
            <w:tcW w:w="682" w:type="dxa"/>
            <w:gridSpan w:val="2"/>
            <w:tcBorders>
              <w:top w:val="nil"/>
              <w:left w:val="nil"/>
              <w:bottom w:val="nil"/>
              <w:right w:val="nil"/>
            </w:tcBorders>
            <w:shd w:val="clear" w:color="auto" w:fill="auto"/>
            <w:noWrap/>
            <w:vAlign w:val="center"/>
            <w:hideMark/>
          </w:tcPr>
          <w:p w14:paraId="4EA6CE03" w14:textId="77777777" w:rsidR="00361746" w:rsidRPr="00361746" w:rsidRDefault="00361746" w:rsidP="00361746">
            <w:pPr>
              <w:spacing w:before="0" w:line="240" w:lineRule="auto"/>
              <w:jc w:val="center"/>
              <w:rPr>
                <w:rFonts w:ascii="Meta Pro" w:eastAsia="Times New Roman" w:hAnsi="Meta Pro" w:cs="Calibri"/>
                <w:b/>
                <w:bCs/>
                <w:color w:val="000000"/>
                <w:sz w:val="16"/>
                <w:szCs w:val="16"/>
                <w:lang w:eastAsia="en-AU"/>
              </w:rPr>
            </w:pPr>
          </w:p>
        </w:tc>
        <w:tc>
          <w:tcPr>
            <w:tcW w:w="755" w:type="dxa"/>
            <w:tcBorders>
              <w:top w:val="nil"/>
              <w:left w:val="nil"/>
              <w:bottom w:val="nil"/>
              <w:right w:val="nil"/>
            </w:tcBorders>
            <w:shd w:val="clear" w:color="auto" w:fill="auto"/>
            <w:noWrap/>
            <w:vAlign w:val="center"/>
            <w:hideMark/>
          </w:tcPr>
          <w:p w14:paraId="703A1703" w14:textId="77777777" w:rsidR="00361746" w:rsidRPr="00361746" w:rsidRDefault="00361746" w:rsidP="00361746">
            <w:pPr>
              <w:spacing w:before="0" w:line="240" w:lineRule="auto"/>
              <w:jc w:val="center"/>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2022</w:t>
            </w:r>
          </w:p>
        </w:tc>
      </w:tr>
      <w:tr w:rsidR="00B03C77" w:rsidRPr="00361746" w14:paraId="7D7BD332" w14:textId="77777777" w:rsidTr="00B03C77">
        <w:trPr>
          <w:gridAfter w:val="3"/>
          <w:wAfter w:w="2080" w:type="dxa"/>
          <w:trHeight w:hRule="exact" w:val="259"/>
        </w:trPr>
        <w:tc>
          <w:tcPr>
            <w:tcW w:w="3091" w:type="dxa"/>
            <w:gridSpan w:val="3"/>
            <w:tcBorders>
              <w:top w:val="nil"/>
              <w:left w:val="nil"/>
              <w:bottom w:val="nil"/>
              <w:right w:val="nil"/>
            </w:tcBorders>
            <w:shd w:val="clear" w:color="auto" w:fill="auto"/>
            <w:noWrap/>
            <w:vAlign w:val="center"/>
            <w:hideMark/>
          </w:tcPr>
          <w:p w14:paraId="1719EB34" w14:textId="77777777" w:rsidR="00361746" w:rsidRPr="00361746" w:rsidRDefault="00361746" w:rsidP="00361746">
            <w:pPr>
              <w:spacing w:before="0" w:line="240" w:lineRule="auto"/>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Assets</w:t>
            </w:r>
          </w:p>
        </w:tc>
        <w:tc>
          <w:tcPr>
            <w:tcW w:w="1239" w:type="dxa"/>
            <w:gridSpan w:val="3"/>
            <w:tcBorders>
              <w:top w:val="nil"/>
              <w:left w:val="nil"/>
              <w:bottom w:val="nil"/>
              <w:right w:val="nil"/>
            </w:tcBorders>
            <w:shd w:val="clear" w:color="auto" w:fill="auto"/>
            <w:noWrap/>
            <w:vAlign w:val="center"/>
            <w:hideMark/>
          </w:tcPr>
          <w:p w14:paraId="5860E9F4" w14:textId="77777777" w:rsidR="00361746" w:rsidRPr="00361746" w:rsidRDefault="00361746" w:rsidP="00361746">
            <w:pPr>
              <w:spacing w:before="0" w:line="240" w:lineRule="auto"/>
              <w:jc w:val="center"/>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$'000</w:t>
            </w:r>
          </w:p>
        </w:tc>
        <w:tc>
          <w:tcPr>
            <w:tcW w:w="1552" w:type="dxa"/>
            <w:gridSpan w:val="4"/>
            <w:tcBorders>
              <w:top w:val="nil"/>
              <w:left w:val="nil"/>
              <w:bottom w:val="nil"/>
              <w:right w:val="nil"/>
            </w:tcBorders>
            <w:shd w:val="clear" w:color="auto" w:fill="auto"/>
            <w:noWrap/>
            <w:vAlign w:val="center"/>
            <w:hideMark/>
          </w:tcPr>
          <w:p w14:paraId="18FC1B19" w14:textId="77777777" w:rsidR="00361746" w:rsidRPr="00361746" w:rsidRDefault="00361746" w:rsidP="00361746">
            <w:pPr>
              <w:spacing w:before="0" w:line="240" w:lineRule="auto"/>
              <w:jc w:val="center"/>
              <w:rPr>
                <w:rFonts w:ascii="Meta Pro" w:eastAsia="Times New Roman" w:hAnsi="Meta Pro" w:cs="Calibri"/>
                <w:b/>
                <w:bCs/>
                <w:color w:val="000000"/>
                <w:sz w:val="16"/>
                <w:szCs w:val="16"/>
                <w:lang w:eastAsia="en-AU"/>
              </w:rPr>
            </w:pPr>
          </w:p>
        </w:tc>
        <w:tc>
          <w:tcPr>
            <w:tcW w:w="806" w:type="dxa"/>
            <w:tcBorders>
              <w:top w:val="nil"/>
              <w:left w:val="nil"/>
              <w:bottom w:val="nil"/>
              <w:right w:val="nil"/>
            </w:tcBorders>
            <w:shd w:val="clear" w:color="auto" w:fill="auto"/>
            <w:noWrap/>
            <w:vAlign w:val="center"/>
            <w:hideMark/>
          </w:tcPr>
          <w:p w14:paraId="1AA83F50" w14:textId="77777777" w:rsidR="00361746" w:rsidRPr="00361746" w:rsidRDefault="00361746" w:rsidP="00361746">
            <w:pPr>
              <w:spacing w:before="0" w:line="240" w:lineRule="auto"/>
              <w:jc w:val="center"/>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$'000</w:t>
            </w:r>
          </w:p>
        </w:tc>
        <w:tc>
          <w:tcPr>
            <w:tcW w:w="1492" w:type="dxa"/>
            <w:gridSpan w:val="3"/>
            <w:tcBorders>
              <w:top w:val="nil"/>
              <w:left w:val="nil"/>
              <w:bottom w:val="nil"/>
              <w:right w:val="nil"/>
            </w:tcBorders>
            <w:shd w:val="clear" w:color="auto" w:fill="auto"/>
            <w:noWrap/>
            <w:vAlign w:val="center"/>
            <w:hideMark/>
          </w:tcPr>
          <w:p w14:paraId="4391A080" w14:textId="77777777" w:rsidR="00361746" w:rsidRPr="00361746" w:rsidRDefault="00361746" w:rsidP="00361746">
            <w:pPr>
              <w:spacing w:before="0" w:line="240" w:lineRule="auto"/>
              <w:jc w:val="center"/>
              <w:rPr>
                <w:rFonts w:ascii="Meta Pro" w:eastAsia="Times New Roman" w:hAnsi="Meta Pro" w:cs="Calibri"/>
                <w:b/>
                <w:bCs/>
                <w:color w:val="000000"/>
                <w:sz w:val="16"/>
                <w:szCs w:val="16"/>
                <w:lang w:eastAsia="en-AU"/>
              </w:rPr>
            </w:pPr>
          </w:p>
        </w:tc>
        <w:tc>
          <w:tcPr>
            <w:tcW w:w="682" w:type="dxa"/>
            <w:tcBorders>
              <w:top w:val="nil"/>
              <w:left w:val="nil"/>
              <w:bottom w:val="nil"/>
              <w:right w:val="nil"/>
            </w:tcBorders>
            <w:shd w:val="clear" w:color="auto" w:fill="auto"/>
            <w:noWrap/>
            <w:vAlign w:val="center"/>
            <w:hideMark/>
          </w:tcPr>
          <w:p w14:paraId="44C7306E" w14:textId="77777777" w:rsidR="00361746" w:rsidRPr="00361746" w:rsidRDefault="00361746" w:rsidP="00361746">
            <w:pPr>
              <w:spacing w:before="0" w:line="240" w:lineRule="auto"/>
              <w:jc w:val="center"/>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$'000</w:t>
            </w:r>
          </w:p>
        </w:tc>
        <w:tc>
          <w:tcPr>
            <w:tcW w:w="1503" w:type="dxa"/>
            <w:gridSpan w:val="2"/>
            <w:tcBorders>
              <w:top w:val="nil"/>
              <w:left w:val="nil"/>
              <w:bottom w:val="nil"/>
              <w:right w:val="nil"/>
            </w:tcBorders>
            <w:shd w:val="clear" w:color="auto" w:fill="auto"/>
            <w:noWrap/>
            <w:vAlign w:val="center"/>
            <w:hideMark/>
          </w:tcPr>
          <w:p w14:paraId="2899D550" w14:textId="77777777" w:rsidR="00361746" w:rsidRPr="00361746" w:rsidRDefault="00361746" w:rsidP="00361746">
            <w:pPr>
              <w:spacing w:before="0" w:line="240" w:lineRule="auto"/>
              <w:jc w:val="center"/>
              <w:rPr>
                <w:rFonts w:ascii="Meta Pro" w:eastAsia="Times New Roman" w:hAnsi="Meta Pro" w:cs="Calibri"/>
                <w:b/>
                <w:bCs/>
                <w:color w:val="000000"/>
                <w:sz w:val="16"/>
                <w:szCs w:val="16"/>
                <w:lang w:eastAsia="en-AU"/>
              </w:rPr>
            </w:pPr>
          </w:p>
        </w:tc>
        <w:tc>
          <w:tcPr>
            <w:tcW w:w="1438" w:type="dxa"/>
            <w:gridSpan w:val="3"/>
            <w:tcBorders>
              <w:top w:val="nil"/>
              <w:left w:val="nil"/>
              <w:bottom w:val="nil"/>
              <w:right w:val="nil"/>
            </w:tcBorders>
            <w:shd w:val="clear" w:color="auto" w:fill="auto"/>
            <w:noWrap/>
            <w:vAlign w:val="center"/>
            <w:hideMark/>
          </w:tcPr>
          <w:p w14:paraId="30992060" w14:textId="77777777" w:rsidR="00361746" w:rsidRPr="00361746" w:rsidRDefault="00361746" w:rsidP="00361746">
            <w:pPr>
              <w:spacing w:before="0" w:line="240" w:lineRule="auto"/>
              <w:jc w:val="center"/>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$'000</w:t>
            </w:r>
          </w:p>
        </w:tc>
      </w:tr>
      <w:tr w:rsidR="00B03C77" w:rsidRPr="00361746" w14:paraId="43C7FE94" w14:textId="77777777" w:rsidTr="00B03C77">
        <w:trPr>
          <w:gridAfter w:val="3"/>
          <w:wAfter w:w="2080" w:type="dxa"/>
          <w:trHeight w:hRule="exact" w:val="259"/>
        </w:trPr>
        <w:tc>
          <w:tcPr>
            <w:tcW w:w="3091" w:type="dxa"/>
            <w:gridSpan w:val="3"/>
            <w:tcBorders>
              <w:top w:val="nil"/>
              <w:left w:val="nil"/>
              <w:bottom w:val="nil"/>
              <w:right w:val="nil"/>
            </w:tcBorders>
            <w:shd w:val="clear" w:color="auto" w:fill="auto"/>
            <w:noWrap/>
            <w:vAlign w:val="center"/>
            <w:hideMark/>
          </w:tcPr>
          <w:p w14:paraId="12621A94" w14:textId="77777777" w:rsidR="00361746" w:rsidRPr="00361746" w:rsidRDefault="00361746" w:rsidP="00361746">
            <w:pPr>
              <w:spacing w:before="0" w:line="240" w:lineRule="auto"/>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Current assets</w:t>
            </w:r>
          </w:p>
        </w:tc>
        <w:tc>
          <w:tcPr>
            <w:tcW w:w="1239" w:type="dxa"/>
            <w:gridSpan w:val="3"/>
            <w:tcBorders>
              <w:top w:val="nil"/>
              <w:left w:val="nil"/>
              <w:bottom w:val="nil"/>
              <w:right w:val="nil"/>
            </w:tcBorders>
            <w:shd w:val="clear" w:color="auto" w:fill="auto"/>
            <w:noWrap/>
            <w:vAlign w:val="center"/>
            <w:hideMark/>
          </w:tcPr>
          <w:p w14:paraId="58A26B84" w14:textId="77777777" w:rsidR="00361746" w:rsidRPr="00361746" w:rsidRDefault="00361746" w:rsidP="00361746">
            <w:pPr>
              <w:spacing w:before="0" w:line="240" w:lineRule="auto"/>
              <w:rPr>
                <w:rFonts w:ascii="Meta Pro" w:eastAsia="Times New Roman" w:hAnsi="Meta Pro" w:cs="Calibri"/>
                <w:b/>
                <w:bCs/>
                <w:color w:val="000000"/>
                <w:sz w:val="16"/>
                <w:szCs w:val="16"/>
                <w:lang w:eastAsia="en-AU"/>
              </w:rPr>
            </w:pPr>
          </w:p>
        </w:tc>
        <w:tc>
          <w:tcPr>
            <w:tcW w:w="1552" w:type="dxa"/>
            <w:gridSpan w:val="4"/>
            <w:tcBorders>
              <w:top w:val="nil"/>
              <w:left w:val="nil"/>
              <w:bottom w:val="nil"/>
              <w:right w:val="nil"/>
            </w:tcBorders>
            <w:shd w:val="clear" w:color="auto" w:fill="auto"/>
            <w:noWrap/>
            <w:vAlign w:val="center"/>
            <w:hideMark/>
          </w:tcPr>
          <w:p w14:paraId="6A03994B" w14:textId="77777777" w:rsidR="00361746" w:rsidRPr="00361746" w:rsidRDefault="00361746" w:rsidP="00361746">
            <w:pPr>
              <w:spacing w:before="0" w:line="240" w:lineRule="auto"/>
              <w:rPr>
                <w:rFonts w:eastAsia="Times New Roman" w:cs="Times New Roman"/>
                <w:color w:val="auto"/>
                <w:sz w:val="20"/>
                <w:szCs w:val="20"/>
                <w:lang w:eastAsia="en-AU"/>
              </w:rPr>
            </w:pPr>
          </w:p>
        </w:tc>
        <w:tc>
          <w:tcPr>
            <w:tcW w:w="806" w:type="dxa"/>
            <w:tcBorders>
              <w:top w:val="nil"/>
              <w:left w:val="nil"/>
              <w:bottom w:val="nil"/>
              <w:right w:val="nil"/>
            </w:tcBorders>
            <w:shd w:val="clear" w:color="auto" w:fill="auto"/>
            <w:noWrap/>
            <w:vAlign w:val="center"/>
            <w:hideMark/>
          </w:tcPr>
          <w:p w14:paraId="271CB321" w14:textId="77777777" w:rsidR="00361746" w:rsidRPr="00361746" w:rsidRDefault="00361746" w:rsidP="00361746">
            <w:pPr>
              <w:spacing w:before="0" w:line="240" w:lineRule="auto"/>
              <w:rPr>
                <w:rFonts w:eastAsia="Times New Roman" w:cs="Times New Roman"/>
                <w:color w:val="auto"/>
                <w:sz w:val="20"/>
                <w:szCs w:val="20"/>
                <w:lang w:eastAsia="en-AU"/>
              </w:rPr>
            </w:pPr>
          </w:p>
        </w:tc>
        <w:tc>
          <w:tcPr>
            <w:tcW w:w="1492" w:type="dxa"/>
            <w:gridSpan w:val="3"/>
            <w:tcBorders>
              <w:top w:val="nil"/>
              <w:left w:val="nil"/>
              <w:bottom w:val="nil"/>
              <w:right w:val="nil"/>
            </w:tcBorders>
            <w:shd w:val="clear" w:color="auto" w:fill="auto"/>
            <w:noWrap/>
            <w:vAlign w:val="center"/>
            <w:hideMark/>
          </w:tcPr>
          <w:p w14:paraId="1310CD83" w14:textId="77777777" w:rsidR="00361746" w:rsidRPr="00361746" w:rsidRDefault="00361746" w:rsidP="00361746">
            <w:pPr>
              <w:spacing w:before="0" w:line="240" w:lineRule="auto"/>
              <w:rPr>
                <w:rFonts w:eastAsia="Times New Roman" w:cs="Times New Roman"/>
                <w:color w:val="auto"/>
                <w:sz w:val="20"/>
                <w:szCs w:val="20"/>
                <w:lang w:eastAsia="en-AU"/>
              </w:rPr>
            </w:pPr>
          </w:p>
        </w:tc>
        <w:tc>
          <w:tcPr>
            <w:tcW w:w="682" w:type="dxa"/>
            <w:tcBorders>
              <w:top w:val="nil"/>
              <w:left w:val="nil"/>
              <w:bottom w:val="nil"/>
              <w:right w:val="nil"/>
            </w:tcBorders>
            <w:shd w:val="clear" w:color="auto" w:fill="auto"/>
            <w:noWrap/>
            <w:vAlign w:val="center"/>
            <w:hideMark/>
          </w:tcPr>
          <w:p w14:paraId="06A8C9E0" w14:textId="77777777" w:rsidR="00361746" w:rsidRPr="00361746" w:rsidRDefault="00361746" w:rsidP="00361746">
            <w:pPr>
              <w:spacing w:before="0" w:line="240" w:lineRule="auto"/>
              <w:rPr>
                <w:rFonts w:eastAsia="Times New Roman" w:cs="Times New Roman"/>
                <w:color w:val="auto"/>
                <w:sz w:val="20"/>
                <w:szCs w:val="20"/>
                <w:lang w:eastAsia="en-AU"/>
              </w:rPr>
            </w:pPr>
          </w:p>
        </w:tc>
        <w:tc>
          <w:tcPr>
            <w:tcW w:w="1503" w:type="dxa"/>
            <w:gridSpan w:val="2"/>
            <w:tcBorders>
              <w:top w:val="nil"/>
              <w:left w:val="nil"/>
              <w:bottom w:val="nil"/>
              <w:right w:val="nil"/>
            </w:tcBorders>
            <w:shd w:val="clear" w:color="auto" w:fill="auto"/>
            <w:noWrap/>
            <w:vAlign w:val="center"/>
            <w:hideMark/>
          </w:tcPr>
          <w:p w14:paraId="14553B18" w14:textId="77777777" w:rsidR="00361746" w:rsidRPr="00361746" w:rsidRDefault="00361746" w:rsidP="00361746">
            <w:pPr>
              <w:spacing w:before="0" w:line="240" w:lineRule="auto"/>
              <w:rPr>
                <w:rFonts w:eastAsia="Times New Roman" w:cs="Times New Roman"/>
                <w:color w:val="auto"/>
                <w:sz w:val="20"/>
                <w:szCs w:val="20"/>
                <w:lang w:eastAsia="en-AU"/>
              </w:rPr>
            </w:pPr>
          </w:p>
        </w:tc>
        <w:tc>
          <w:tcPr>
            <w:tcW w:w="1438" w:type="dxa"/>
            <w:gridSpan w:val="3"/>
            <w:tcBorders>
              <w:top w:val="nil"/>
              <w:left w:val="nil"/>
              <w:bottom w:val="nil"/>
              <w:right w:val="nil"/>
            </w:tcBorders>
            <w:shd w:val="clear" w:color="auto" w:fill="auto"/>
            <w:noWrap/>
            <w:vAlign w:val="center"/>
            <w:hideMark/>
          </w:tcPr>
          <w:p w14:paraId="24C8BB59" w14:textId="77777777" w:rsidR="00361746" w:rsidRPr="00361746" w:rsidRDefault="00361746" w:rsidP="00361746">
            <w:pPr>
              <w:spacing w:before="0" w:line="240" w:lineRule="auto"/>
              <w:rPr>
                <w:rFonts w:eastAsia="Times New Roman" w:cs="Times New Roman"/>
                <w:color w:val="auto"/>
                <w:sz w:val="20"/>
                <w:szCs w:val="20"/>
                <w:lang w:eastAsia="en-AU"/>
              </w:rPr>
            </w:pPr>
          </w:p>
        </w:tc>
      </w:tr>
      <w:tr w:rsidR="00361746" w:rsidRPr="00361746" w14:paraId="73F434F8" w14:textId="77777777" w:rsidTr="00B03C77">
        <w:trPr>
          <w:gridAfter w:val="3"/>
          <w:wAfter w:w="2081" w:type="dxa"/>
          <w:trHeight w:hRule="exact" w:val="259"/>
        </w:trPr>
        <w:tc>
          <w:tcPr>
            <w:tcW w:w="2536" w:type="dxa"/>
            <w:tcBorders>
              <w:top w:val="nil"/>
              <w:left w:val="nil"/>
              <w:bottom w:val="nil"/>
              <w:right w:val="nil"/>
            </w:tcBorders>
            <w:shd w:val="clear" w:color="auto" w:fill="auto"/>
            <w:noWrap/>
            <w:vAlign w:val="center"/>
            <w:hideMark/>
          </w:tcPr>
          <w:p w14:paraId="6A7E44E9" w14:textId="77777777" w:rsidR="00361746" w:rsidRPr="00361746" w:rsidRDefault="00361746" w:rsidP="00361746">
            <w:pPr>
              <w:spacing w:before="0" w:line="240" w:lineRule="auto"/>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Cash</w:t>
            </w:r>
          </w:p>
        </w:tc>
        <w:tc>
          <w:tcPr>
            <w:tcW w:w="1111" w:type="dxa"/>
            <w:gridSpan w:val="3"/>
            <w:tcBorders>
              <w:top w:val="nil"/>
              <w:left w:val="nil"/>
              <w:bottom w:val="nil"/>
              <w:right w:val="nil"/>
            </w:tcBorders>
            <w:shd w:val="clear" w:color="000000" w:fill="C9E3B4"/>
            <w:noWrap/>
            <w:vAlign w:val="center"/>
            <w:hideMark/>
          </w:tcPr>
          <w:p w14:paraId="092693FC"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5,769</w:t>
            </w:r>
          </w:p>
        </w:tc>
        <w:tc>
          <w:tcPr>
            <w:tcW w:w="683" w:type="dxa"/>
            <w:gridSpan w:val="2"/>
            <w:tcBorders>
              <w:top w:val="nil"/>
              <w:left w:val="nil"/>
              <w:bottom w:val="nil"/>
              <w:right w:val="nil"/>
            </w:tcBorders>
            <w:shd w:val="clear" w:color="auto" w:fill="auto"/>
            <w:noWrap/>
            <w:vAlign w:val="center"/>
            <w:hideMark/>
          </w:tcPr>
          <w:p w14:paraId="2807EF42"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52" w:type="dxa"/>
            <w:gridSpan w:val="4"/>
            <w:tcBorders>
              <w:top w:val="nil"/>
              <w:left w:val="nil"/>
              <w:bottom w:val="nil"/>
              <w:right w:val="nil"/>
            </w:tcBorders>
            <w:shd w:val="clear" w:color="000000" w:fill="C9E3B4"/>
            <w:noWrap/>
            <w:vAlign w:val="center"/>
            <w:hideMark/>
          </w:tcPr>
          <w:p w14:paraId="5372801B"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57,594</w:t>
            </w:r>
          </w:p>
        </w:tc>
        <w:tc>
          <w:tcPr>
            <w:tcW w:w="806" w:type="dxa"/>
            <w:tcBorders>
              <w:top w:val="nil"/>
              <w:left w:val="nil"/>
              <w:bottom w:val="nil"/>
              <w:right w:val="nil"/>
            </w:tcBorders>
            <w:shd w:val="clear" w:color="auto" w:fill="auto"/>
            <w:noWrap/>
            <w:vAlign w:val="center"/>
            <w:hideMark/>
          </w:tcPr>
          <w:p w14:paraId="6AA9706F"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492" w:type="dxa"/>
            <w:gridSpan w:val="3"/>
            <w:tcBorders>
              <w:top w:val="nil"/>
              <w:left w:val="nil"/>
              <w:bottom w:val="nil"/>
              <w:right w:val="nil"/>
            </w:tcBorders>
            <w:shd w:val="clear" w:color="000000" w:fill="C9E3B4"/>
            <w:noWrap/>
            <w:vAlign w:val="center"/>
            <w:hideMark/>
          </w:tcPr>
          <w:p w14:paraId="014B505C"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15,377</w:t>
            </w:r>
          </w:p>
        </w:tc>
        <w:tc>
          <w:tcPr>
            <w:tcW w:w="682" w:type="dxa"/>
            <w:tcBorders>
              <w:top w:val="nil"/>
              <w:left w:val="nil"/>
              <w:bottom w:val="nil"/>
              <w:right w:val="nil"/>
            </w:tcBorders>
            <w:shd w:val="clear" w:color="auto" w:fill="auto"/>
            <w:noWrap/>
            <w:vAlign w:val="center"/>
            <w:hideMark/>
          </w:tcPr>
          <w:p w14:paraId="41567A77"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03" w:type="dxa"/>
            <w:gridSpan w:val="2"/>
            <w:tcBorders>
              <w:top w:val="nil"/>
              <w:left w:val="nil"/>
              <w:bottom w:val="nil"/>
              <w:right w:val="nil"/>
            </w:tcBorders>
            <w:shd w:val="clear" w:color="000000" w:fill="C9E3B4"/>
            <w:noWrap/>
            <w:vAlign w:val="center"/>
            <w:hideMark/>
          </w:tcPr>
          <w:p w14:paraId="2DA5050B"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17,981</w:t>
            </w:r>
          </w:p>
        </w:tc>
        <w:tc>
          <w:tcPr>
            <w:tcW w:w="682" w:type="dxa"/>
            <w:gridSpan w:val="2"/>
            <w:tcBorders>
              <w:top w:val="nil"/>
              <w:left w:val="nil"/>
              <w:bottom w:val="nil"/>
              <w:right w:val="nil"/>
            </w:tcBorders>
            <w:shd w:val="clear" w:color="auto" w:fill="auto"/>
            <w:noWrap/>
            <w:vAlign w:val="center"/>
            <w:hideMark/>
          </w:tcPr>
          <w:p w14:paraId="2EBF45D2"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755" w:type="dxa"/>
            <w:tcBorders>
              <w:top w:val="nil"/>
              <w:left w:val="nil"/>
              <w:bottom w:val="nil"/>
              <w:right w:val="nil"/>
            </w:tcBorders>
            <w:shd w:val="clear" w:color="000000" w:fill="C9E3B4"/>
            <w:noWrap/>
            <w:vAlign w:val="center"/>
            <w:hideMark/>
          </w:tcPr>
          <w:p w14:paraId="7AE6666C"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161,902</w:t>
            </w:r>
          </w:p>
        </w:tc>
      </w:tr>
      <w:tr w:rsidR="00361746" w:rsidRPr="00361746" w14:paraId="4B9886E1" w14:textId="77777777" w:rsidTr="00B03C77">
        <w:trPr>
          <w:gridAfter w:val="3"/>
          <w:wAfter w:w="2081" w:type="dxa"/>
          <w:trHeight w:hRule="exact" w:val="259"/>
        </w:trPr>
        <w:tc>
          <w:tcPr>
            <w:tcW w:w="2536" w:type="dxa"/>
            <w:tcBorders>
              <w:top w:val="nil"/>
              <w:left w:val="nil"/>
              <w:bottom w:val="nil"/>
              <w:right w:val="nil"/>
            </w:tcBorders>
            <w:shd w:val="clear" w:color="auto" w:fill="auto"/>
            <w:noWrap/>
            <w:vAlign w:val="center"/>
            <w:hideMark/>
          </w:tcPr>
          <w:p w14:paraId="7AA0F21F" w14:textId="77777777" w:rsidR="00361746" w:rsidRPr="00361746" w:rsidRDefault="00361746" w:rsidP="00361746">
            <w:pPr>
              <w:spacing w:before="0" w:line="240" w:lineRule="auto"/>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Receivables</w:t>
            </w:r>
          </w:p>
        </w:tc>
        <w:tc>
          <w:tcPr>
            <w:tcW w:w="1111" w:type="dxa"/>
            <w:gridSpan w:val="3"/>
            <w:tcBorders>
              <w:top w:val="nil"/>
              <w:left w:val="nil"/>
              <w:bottom w:val="nil"/>
              <w:right w:val="nil"/>
            </w:tcBorders>
            <w:shd w:val="clear" w:color="000000" w:fill="C9E3B4"/>
            <w:noWrap/>
            <w:vAlign w:val="center"/>
            <w:hideMark/>
          </w:tcPr>
          <w:p w14:paraId="0B757BFC"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11,110</w:t>
            </w:r>
          </w:p>
        </w:tc>
        <w:tc>
          <w:tcPr>
            <w:tcW w:w="683" w:type="dxa"/>
            <w:gridSpan w:val="2"/>
            <w:tcBorders>
              <w:top w:val="nil"/>
              <w:left w:val="nil"/>
              <w:bottom w:val="nil"/>
              <w:right w:val="nil"/>
            </w:tcBorders>
            <w:shd w:val="clear" w:color="auto" w:fill="auto"/>
            <w:noWrap/>
            <w:vAlign w:val="center"/>
            <w:hideMark/>
          </w:tcPr>
          <w:p w14:paraId="35223B9A"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52" w:type="dxa"/>
            <w:gridSpan w:val="4"/>
            <w:tcBorders>
              <w:top w:val="nil"/>
              <w:left w:val="nil"/>
              <w:bottom w:val="nil"/>
              <w:right w:val="nil"/>
            </w:tcBorders>
            <w:shd w:val="clear" w:color="000000" w:fill="C9E3B4"/>
            <w:noWrap/>
            <w:vAlign w:val="center"/>
            <w:hideMark/>
          </w:tcPr>
          <w:p w14:paraId="7D55609A"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59,419</w:t>
            </w:r>
          </w:p>
        </w:tc>
        <w:tc>
          <w:tcPr>
            <w:tcW w:w="806" w:type="dxa"/>
            <w:tcBorders>
              <w:top w:val="nil"/>
              <w:left w:val="nil"/>
              <w:bottom w:val="nil"/>
              <w:right w:val="nil"/>
            </w:tcBorders>
            <w:shd w:val="clear" w:color="auto" w:fill="auto"/>
            <w:noWrap/>
            <w:vAlign w:val="center"/>
            <w:hideMark/>
          </w:tcPr>
          <w:p w14:paraId="4F67F618"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492" w:type="dxa"/>
            <w:gridSpan w:val="3"/>
            <w:tcBorders>
              <w:top w:val="nil"/>
              <w:left w:val="nil"/>
              <w:bottom w:val="nil"/>
              <w:right w:val="nil"/>
            </w:tcBorders>
            <w:shd w:val="clear" w:color="000000" w:fill="C9E3B4"/>
            <w:noWrap/>
            <w:vAlign w:val="center"/>
            <w:hideMark/>
          </w:tcPr>
          <w:p w14:paraId="6258E430"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90,199</w:t>
            </w:r>
          </w:p>
        </w:tc>
        <w:tc>
          <w:tcPr>
            <w:tcW w:w="682" w:type="dxa"/>
            <w:tcBorders>
              <w:top w:val="nil"/>
              <w:left w:val="nil"/>
              <w:bottom w:val="nil"/>
              <w:right w:val="nil"/>
            </w:tcBorders>
            <w:shd w:val="clear" w:color="auto" w:fill="auto"/>
            <w:noWrap/>
            <w:vAlign w:val="center"/>
            <w:hideMark/>
          </w:tcPr>
          <w:p w14:paraId="0736EDBE"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03" w:type="dxa"/>
            <w:gridSpan w:val="2"/>
            <w:tcBorders>
              <w:top w:val="nil"/>
              <w:left w:val="nil"/>
              <w:bottom w:val="nil"/>
              <w:right w:val="nil"/>
            </w:tcBorders>
            <w:shd w:val="clear" w:color="000000" w:fill="C9E3B4"/>
            <w:noWrap/>
            <w:vAlign w:val="center"/>
            <w:hideMark/>
          </w:tcPr>
          <w:p w14:paraId="614B3F81"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4,545</w:t>
            </w:r>
          </w:p>
        </w:tc>
        <w:tc>
          <w:tcPr>
            <w:tcW w:w="682" w:type="dxa"/>
            <w:gridSpan w:val="2"/>
            <w:tcBorders>
              <w:top w:val="nil"/>
              <w:left w:val="nil"/>
              <w:bottom w:val="nil"/>
              <w:right w:val="nil"/>
            </w:tcBorders>
            <w:shd w:val="clear" w:color="auto" w:fill="auto"/>
            <w:noWrap/>
            <w:vAlign w:val="center"/>
            <w:hideMark/>
          </w:tcPr>
          <w:p w14:paraId="1ED01B85"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755" w:type="dxa"/>
            <w:tcBorders>
              <w:top w:val="nil"/>
              <w:left w:val="nil"/>
              <w:bottom w:val="nil"/>
              <w:right w:val="nil"/>
            </w:tcBorders>
            <w:shd w:val="clear" w:color="000000" w:fill="C9E3B4"/>
            <w:noWrap/>
            <w:vAlign w:val="center"/>
            <w:hideMark/>
          </w:tcPr>
          <w:p w14:paraId="30BC871F"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70,363</w:t>
            </w:r>
          </w:p>
        </w:tc>
      </w:tr>
      <w:tr w:rsidR="00361746" w:rsidRPr="00361746" w14:paraId="7F01AE9D" w14:textId="77777777" w:rsidTr="00B03C77">
        <w:trPr>
          <w:gridAfter w:val="3"/>
          <w:wAfter w:w="2081" w:type="dxa"/>
          <w:trHeight w:hRule="exact" w:val="259"/>
        </w:trPr>
        <w:tc>
          <w:tcPr>
            <w:tcW w:w="2536" w:type="dxa"/>
            <w:tcBorders>
              <w:top w:val="nil"/>
              <w:left w:val="nil"/>
              <w:bottom w:val="nil"/>
              <w:right w:val="nil"/>
            </w:tcBorders>
            <w:shd w:val="clear" w:color="auto" w:fill="auto"/>
            <w:noWrap/>
            <w:vAlign w:val="center"/>
            <w:hideMark/>
          </w:tcPr>
          <w:p w14:paraId="357B3EAE" w14:textId="77777777" w:rsidR="00361746" w:rsidRPr="00361746" w:rsidRDefault="00361746" w:rsidP="00361746">
            <w:pPr>
              <w:spacing w:before="0" w:line="240" w:lineRule="auto"/>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Inventories</w:t>
            </w:r>
          </w:p>
        </w:tc>
        <w:tc>
          <w:tcPr>
            <w:tcW w:w="1111" w:type="dxa"/>
            <w:gridSpan w:val="3"/>
            <w:tcBorders>
              <w:top w:val="nil"/>
              <w:left w:val="nil"/>
              <w:bottom w:val="nil"/>
              <w:right w:val="nil"/>
            </w:tcBorders>
            <w:shd w:val="clear" w:color="000000" w:fill="C9E3B4"/>
            <w:noWrap/>
            <w:vAlign w:val="center"/>
            <w:hideMark/>
          </w:tcPr>
          <w:p w14:paraId="542063FD"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c>
          <w:tcPr>
            <w:tcW w:w="683" w:type="dxa"/>
            <w:gridSpan w:val="2"/>
            <w:tcBorders>
              <w:top w:val="nil"/>
              <w:left w:val="nil"/>
              <w:bottom w:val="nil"/>
              <w:right w:val="nil"/>
            </w:tcBorders>
            <w:shd w:val="clear" w:color="auto" w:fill="auto"/>
            <w:noWrap/>
            <w:vAlign w:val="center"/>
            <w:hideMark/>
          </w:tcPr>
          <w:p w14:paraId="79A8C563"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52" w:type="dxa"/>
            <w:gridSpan w:val="4"/>
            <w:tcBorders>
              <w:top w:val="nil"/>
              <w:left w:val="nil"/>
              <w:bottom w:val="nil"/>
              <w:right w:val="nil"/>
            </w:tcBorders>
            <w:shd w:val="clear" w:color="000000" w:fill="C9E3B4"/>
            <w:noWrap/>
            <w:vAlign w:val="center"/>
            <w:hideMark/>
          </w:tcPr>
          <w:p w14:paraId="5AA9570E"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c>
          <w:tcPr>
            <w:tcW w:w="806" w:type="dxa"/>
            <w:tcBorders>
              <w:top w:val="nil"/>
              <w:left w:val="nil"/>
              <w:bottom w:val="nil"/>
              <w:right w:val="nil"/>
            </w:tcBorders>
            <w:shd w:val="clear" w:color="auto" w:fill="auto"/>
            <w:noWrap/>
            <w:vAlign w:val="center"/>
            <w:hideMark/>
          </w:tcPr>
          <w:p w14:paraId="2D7DAA19"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492" w:type="dxa"/>
            <w:gridSpan w:val="3"/>
            <w:tcBorders>
              <w:top w:val="nil"/>
              <w:left w:val="nil"/>
              <w:bottom w:val="nil"/>
              <w:right w:val="nil"/>
            </w:tcBorders>
            <w:shd w:val="clear" w:color="000000" w:fill="C9E3B4"/>
            <w:noWrap/>
            <w:vAlign w:val="center"/>
            <w:hideMark/>
          </w:tcPr>
          <w:p w14:paraId="48F35E25"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1,101</w:t>
            </w:r>
          </w:p>
        </w:tc>
        <w:tc>
          <w:tcPr>
            <w:tcW w:w="682" w:type="dxa"/>
            <w:tcBorders>
              <w:top w:val="nil"/>
              <w:left w:val="nil"/>
              <w:bottom w:val="nil"/>
              <w:right w:val="nil"/>
            </w:tcBorders>
            <w:shd w:val="clear" w:color="auto" w:fill="auto"/>
            <w:noWrap/>
            <w:vAlign w:val="center"/>
            <w:hideMark/>
          </w:tcPr>
          <w:p w14:paraId="3B6F7BD9"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03" w:type="dxa"/>
            <w:gridSpan w:val="2"/>
            <w:tcBorders>
              <w:top w:val="nil"/>
              <w:left w:val="nil"/>
              <w:bottom w:val="nil"/>
              <w:right w:val="nil"/>
            </w:tcBorders>
            <w:shd w:val="clear" w:color="000000" w:fill="C9E3B4"/>
            <w:noWrap/>
            <w:vAlign w:val="center"/>
            <w:hideMark/>
          </w:tcPr>
          <w:p w14:paraId="3EEEF578"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137</w:t>
            </w:r>
          </w:p>
        </w:tc>
        <w:tc>
          <w:tcPr>
            <w:tcW w:w="682" w:type="dxa"/>
            <w:gridSpan w:val="2"/>
            <w:tcBorders>
              <w:top w:val="nil"/>
              <w:left w:val="nil"/>
              <w:bottom w:val="nil"/>
              <w:right w:val="nil"/>
            </w:tcBorders>
            <w:shd w:val="clear" w:color="auto" w:fill="auto"/>
            <w:noWrap/>
            <w:vAlign w:val="center"/>
            <w:hideMark/>
          </w:tcPr>
          <w:p w14:paraId="704BDAED"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755" w:type="dxa"/>
            <w:tcBorders>
              <w:top w:val="nil"/>
              <w:left w:val="nil"/>
              <w:bottom w:val="nil"/>
              <w:right w:val="nil"/>
            </w:tcBorders>
            <w:shd w:val="clear" w:color="000000" w:fill="C9E3B4"/>
            <w:noWrap/>
            <w:vAlign w:val="center"/>
            <w:hideMark/>
          </w:tcPr>
          <w:p w14:paraId="291AAA3D"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1,899</w:t>
            </w:r>
          </w:p>
        </w:tc>
      </w:tr>
      <w:tr w:rsidR="00361746" w:rsidRPr="00361746" w14:paraId="0D6DE0CE" w14:textId="77777777" w:rsidTr="00B03C77">
        <w:trPr>
          <w:gridAfter w:val="3"/>
          <w:wAfter w:w="2081" w:type="dxa"/>
          <w:trHeight w:hRule="exact" w:val="259"/>
        </w:trPr>
        <w:tc>
          <w:tcPr>
            <w:tcW w:w="2536" w:type="dxa"/>
            <w:tcBorders>
              <w:top w:val="nil"/>
              <w:left w:val="nil"/>
              <w:bottom w:val="nil"/>
              <w:right w:val="nil"/>
            </w:tcBorders>
            <w:shd w:val="clear" w:color="auto" w:fill="auto"/>
            <w:noWrap/>
            <w:vAlign w:val="center"/>
            <w:hideMark/>
          </w:tcPr>
          <w:p w14:paraId="7E94AFAC" w14:textId="77777777" w:rsidR="00361746" w:rsidRPr="00361746" w:rsidRDefault="00361746" w:rsidP="00361746">
            <w:pPr>
              <w:spacing w:before="0" w:line="240" w:lineRule="auto"/>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Prepayments</w:t>
            </w:r>
          </w:p>
        </w:tc>
        <w:tc>
          <w:tcPr>
            <w:tcW w:w="1111" w:type="dxa"/>
            <w:gridSpan w:val="3"/>
            <w:tcBorders>
              <w:top w:val="nil"/>
              <w:left w:val="nil"/>
              <w:bottom w:val="nil"/>
              <w:right w:val="nil"/>
            </w:tcBorders>
            <w:shd w:val="clear" w:color="000000" w:fill="C9E3B4"/>
            <w:noWrap/>
            <w:vAlign w:val="center"/>
            <w:hideMark/>
          </w:tcPr>
          <w:p w14:paraId="29245664"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5,409</w:t>
            </w:r>
          </w:p>
        </w:tc>
        <w:tc>
          <w:tcPr>
            <w:tcW w:w="683" w:type="dxa"/>
            <w:gridSpan w:val="2"/>
            <w:tcBorders>
              <w:top w:val="nil"/>
              <w:left w:val="nil"/>
              <w:bottom w:val="nil"/>
              <w:right w:val="nil"/>
            </w:tcBorders>
            <w:shd w:val="clear" w:color="auto" w:fill="auto"/>
            <w:noWrap/>
            <w:vAlign w:val="center"/>
            <w:hideMark/>
          </w:tcPr>
          <w:p w14:paraId="72130C5F"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52" w:type="dxa"/>
            <w:gridSpan w:val="4"/>
            <w:tcBorders>
              <w:top w:val="nil"/>
              <w:left w:val="nil"/>
              <w:bottom w:val="nil"/>
              <w:right w:val="nil"/>
            </w:tcBorders>
            <w:shd w:val="clear" w:color="000000" w:fill="C9E3B4"/>
            <w:noWrap/>
            <w:vAlign w:val="center"/>
            <w:hideMark/>
          </w:tcPr>
          <w:p w14:paraId="5FCE94BE"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7,439</w:t>
            </w:r>
          </w:p>
        </w:tc>
        <w:tc>
          <w:tcPr>
            <w:tcW w:w="806" w:type="dxa"/>
            <w:tcBorders>
              <w:top w:val="nil"/>
              <w:left w:val="nil"/>
              <w:bottom w:val="nil"/>
              <w:right w:val="nil"/>
            </w:tcBorders>
            <w:shd w:val="clear" w:color="auto" w:fill="auto"/>
            <w:noWrap/>
            <w:vAlign w:val="center"/>
            <w:hideMark/>
          </w:tcPr>
          <w:p w14:paraId="132D1D29"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492" w:type="dxa"/>
            <w:gridSpan w:val="3"/>
            <w:tcBorders>
              <w:top w:val="nil"/>
              <w:left w:val="nil"/>
              <w:bottom w:val="nil"/>
              <w:right w:val="nil"/>
            </w:tcBorders>
            <w:shd w:val="clear" w:color="000000" w:fill="C9E3B4"/>
            <w:noWrap/>
            <w:vAlign w:val="center"/>
            <w:hideMark/>
          </w:tcPr>
          <w:p w14:paraId="44C46318"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2,993</w:t>
            </w:r>
          </w:p>
        </w:tc>
        <w:tc>
          <w:tcPr>
            <w:tcW w:w="682" w:type="dxa"/>
            <w:tcBorders>
              <w:top w:val="nil"/>
              <w:left w:val="nil"/>
              <w:bottom w:val="nil"/>
              <w:right w:val="nil"/>
            </w:tcBorders>
            <w:shd w:val="clear" w:color="auto" w:fill="auto"/>
            <w:noWrap/>
            <w:vAlign w:val="center"/>
            <w:hideMark/>
          </w:tcPr>
          <w:p w14:paraId="3D1A6836"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03" w:type="dxa"/>
            <w:gridSpan w:val="2"/>
            <w:tcBorders>
              <w:top w:val="nil"/>
              <w:left w:val="nil"/>
              <w:bottom w:val="nil"/>
              <w:right w:val="nil"/>
            </w:tcBorders>
            <w:shd w:val="clear" w:color="000000" w:fill="C9E3B4"/>
            <w:noWrap/>
            <w:vAlign w:val="center"/>
            <w:hideMark/>
          </w:tcPr>
          <w:p w14:paraId="391CA6F3"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1,844</w:t>
            </w:r>
          </w:p>
        </w:tc>
        <w:tc>
          <w:tcPr>
            <w:tcW w:w="682" w:type="dxa"/>
            <w:gridSpan w:val="2"/>
            <w:tcBorders>
              <w:top w:val="nil"/>
              <w:left w:val="nil"/>
              <w:bottom w:val="nil"/>
              <w:right w:val="nil"/>
            </w:tcBorders>
            <w:shd w:val="clear" w:color="auto" w:fill="auto"/>
            <w:noWrap/>
            <w:vAlign w:val="center"/>
            <w:hideMark/>
          </w:tcPr>
          <w:p w14:paraId="1B3D8F1F"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755" w:type="dxa"/>
            <w:tcBorders>
              <w:top w:val="nil"/>
              <w:left w:val="nil"/>
              <w:bottom w:val="nil"/>
              <w:right w:val="nil"/>
            </w:tcBorders>
            <w:shd w:val="clear" w:color="000000" w:fill="C9E3B4"/>
            <w:noWrap/>
            <w:vAlign w:val="center"/>
            <w:hideMark/>
          </w:tcPr>
          <w:p w14:paraId="23A85FBF"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74,947</w:t>
            </w:r>
          </w:p>
        </w:tc>
      </w:tr>
      <w:tr w:rsidR="00361746" w:rsidRPr="00361746" w14:paraId="3563F66B" w14:textId="77777777" w:rsidTr="00B03C77">
        <w:trPr>
          <w:gridAfter w:val="3"/>
          <w:wAfter w:w="2081" w:type="dxa"/>
          <w:trHeight w:hRule="exact" w:val="267"/>
        </w:trPr>
        <w:tc>
          <w:tcPr>
            <w:tcW w:w="2536" w:type="dxa"/>
            <w:tcBorders>
              <w:top w:val="nil"/>
              <w:left w:val="nil"/>
              <w:bottom w:val="single" w:sz="8" w:space="0" w:color="auto"/>
              <w:right w:val="nil"/>
            </w:tcBorders>
            <w:shd w:val="clear" w:color="auto" w:fill="auto"/>
            <w:noWrap/>
            <w:vAlign w:val="center"/>
            <w:hideMark/>
          </w:tcPr>
          <w:p w14:paraId="4B55FE13" w14:textId="77777777" w:rsidR="00361746" w:rsidRPr="00361746" w:rsidRDefault="00361746" w:rsidP="00361746">
            <w:pPr>
              <w:spacing w:before="0" w:line="240" w:lineRule="auto"/>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Non-current assets classified as held for sale</w:t>
            </w:r>
          </w:p>
        </w:tc>
        <w:tc>
          <w:tcPr>
            <w:tcW w:w="1111" w:type="dxa"/>
            <w:gridSpan w:val="3"/>
            <w:tcBorders>
              <w:top w:val="nil"/>
              <w:left w:val="nil"/>
              <w:bottom w:val="single" w:sz="8" w:space="0" w:color="auto"/>
              <w:right w:val="nil"/>
            </w:tcBorders>
            <w:shd w:val="clear" w:color="000000" w:fill="C9E3B4"/>
            <w:noWrap/>
            <w:vAlign w:val="center"/>
            <w:hideMark/>
          </w:tcPr>
          <w:p w14:paraId="3D01046E"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2,824</w:t>
            </w:r>
          </w:p>
        </w:tc>
        <w:tc>
          <w:tcPr>
            <w:tcW w:w="683" w:type="dxa"/>
            <w:gridSpan w:val="2"/>
            <w:tcBorders>
              <w:top w:val="nil"/>
              <w:left w:val="nil"/>
              <w:bottom w:val="single" w:sz="8" w:space="0" w:color="auto"/>
              <w:right w:val="nil"/>
            </w:tcBorders>
            <w:shd w:val="clear" w:color="auto" w:fill="auto"/>
            <w:noWrap/>
            <w:vAlign w:val="center"/>
            <w:hideMark/>
          </w:tcPr>
          <w:p w14:paraId="6B13CE85"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c>
          <w:tcPr>
            <w:tcW w:w="1552" w:type="dxa"/>
            <w:gridSpan w:val="4"/>
            <w:tcBorders>
              <w:top w:val="nil"/>
              <w:left w:val="nil"/>
              <w:bottom w:val="single" w:sz="8" w:space="0" w:color="auto"/>
              <w:right w:val="nil"/>
            </w:tcBorders>
            <w:shd w:val="clear" w:color="000000" w:fill="C9E3B4"/>
            <w:noWrap/>
            <w:vAlign w:val="center"/>
            <w:hideMark/>
          </w:tcPr>
          <w:p w14:paraId="71E6A6FF"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c>
          <w:tcPr>
            <w:tcW w:w="806" w:type="dxa"/>
            <w:tcBorders>
              <w:top w:val="nil"/>
              <w:left w:val="nil"/>
              <w:bottom w:val="single" w:sz="8" w:space="0" w:color="auto"/>
              <w:right w:val="nil"/>
            </w:tcBorders>
            <w:shd w:val="clear" w:color="auto" w:fill="auto"/>
            <w:noWrap/>
            <w:vAlign w:val="center"/>
            <w:hideMark/>
          </w:tcPr>
          <w:p w14:paraId="38A16705"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c>
          <w:tcPr>
            <w:tcW w:w="1492" w:type="dxa"/>
            <w:gridSpan w:val="3"/>
            <w:tcBorders>
              <w:top w:val="nil"/>
              <w:left w:val="nil"/>
              <w:bottom w:val="single" w:sz="8" w:space="0" w:color="auto"/>
              <w:right w:val="nil"/>
            </w:tcBorders>
            <w:shd w:val="clear" w:color="000000" w:fill="C9E3B4"/>
            <w:noWrap/>
            <w:vAlign w:val="center"/>
            <w:hideMark/>
          </w:tcPr>
          <w:p w14:paraId="22F9F153"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c>
          <w:tcPr>
            <w:tcW w:w="682" w:type="dxa"/>
            <w:tcBorders>
              <w:top w:val="nil"/>
              <w:left w:val="nil"/>
              <w:bottom w:val="single" w:sz="8" w:space="0" w:color="auto"/>
              <w:right w:val="nil"/>
            </w:tcBorders>
            <w:shd w:val="clear" w:color="auto" w:fill="auto"/>
            <w:noWrap/>
            <w:vAlign w:val="center"/>
            <w:hideMark/>
          </w:tcPr>
          <w:p w14:paraId="69ABD411"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c>
          <w:tcPr>
            <w:tcW w:w="1503" w:type="dxa"/>
            <w:gridSpan w:val="2"/>
            <w:tcBorders>
              <w:top w:val="nil"/>
              <w:left w:val="nil"/>
              <w:bottom w:val="single" w:sz="8" w:space="0" w:color="auto"/>
              <w:right w:val="nil"/>
            </w:tcBorders>
            <w:shd w:val="clear" w:color="000000" w:fill="C9E3B4"/>
            <w:noWrap/>
            <w:vAlign w:val="center"/>
            <w:hideMark/>
          </w:tcPr>
          <w:p w14:paraId="7FF384FC"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c>
          <w:tcPr>
            <w:tcW w:w="682" w:type="dxa"/>
            <w:gridSpan w:val="2"/>
            <w:tcBorders>
              <w:top w:val="nil"/>
              <w:left w:val="nil"/>
              <w:bottom w:val="single" w:sz="8" w:space="0" w:color="auto"/>
              <w:right w:val="nil"/>
            </w:tcBorders>
            <w:shd w:val="clear" w:color="auto" w:fill="auto"/>
            <w:noWrap/>
            <w:vAlign w:val="center"/>
            <w:hideMark/>
          </w:tcPr>
          <w:p w14:paraId="3C41BE91"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c>
          <w:tcPr>
            <w:tcW w:w="755" w:type="dxa"/>
            <w:tcBorders>
              <w:top w:val="nil"/>
              <w:left w:val="nil"/>
              <w:bottom w:val="single" w:sz="8" w:space="0" w:color="auto"/>
              <w:right w:val="nil"/>
            </w:tcBorders>
            <w:shd w:val="clear" w:color="000000" w:fill="C9E3B4"/>
            <w:noWrap/>
            <w:vAlign w:val="center"/>
            <w:hideMark/>
          </w:tcPr>
          <w:p w14:paraId="4138A6CE"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r>
      <w:tr w:rsidR="00361746" w:rsidRPr="00361746" w14:paraId="088D506F" w14:textId="77777777" w:rsidTr="00B03C77">
        <w:trPr>
          <w:gridAfter w:val="3"/>
          <w:wAfter w:w="2081" w:type="dxa"/>
          <w:trHeight w:hRule="exact" w:val="259"/>
        </w:trPr>
        <w:tc>
          <w:tcPr>
            <w:tcW w:w="2536" w:type="dxa"/>
            <w:tcBorders>
              <w:top w:val="nil"/>
              <w:left w:val="nil"/>
              <w:bottom w:val="nil"/>
              <w:right w:val="nil"/>
            </w:tcBorders>
            <w:shd w:val="clear" w:color="auto" w:fill="auto"/>
            <w:noWrap/>
            <w:vAlign w:val="center"/>
            <w:hideMark/>
          </w:tcPr>
          <w:p w14:paraId="56F12895" w14:textId="77777777" w:rsidR="00361746" w:rsidRPr="00361746" w:rsidRDefault="00361746" w:rsidP="00361746">
            <w:pPr>
              <w:spacing w:before="0" w:line="240" w:lineRule="auto"/>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Total current assets</w:t>
            </w:r>
          </w:p>
        </w:tc>
        <w:tc>
          <w:tcPr>
            <w:tcW w:w="1111" w:type="dxa"/>
            <w:gridSpan w:val="3"/>
            <w:tcBorders>
              <w:top w:val="single" w:sz="8" w:space="0" w:color="auto"/>
              <w:left w:val="nil"/>
              <w:bottom w:val="nil"/>
              <w:right w:val="nil"/>
            </w:tcBorders>
            <w:shd w:val="clear" w:color="000000" w:fill="C9E3B4"/>
            <w:noWrap/>
            <w:vAlign w:val="center"/>
            <w:hideMark/>
          </w:tcPr>
          <w:p w14:paraId="7CAEC16E"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25,112</w:t>
            </w:r>
          </w:p>
        </w:tc>
        <w:tc>
          <w:tcPr>
            <w:tcW w:w="683" w:type="dxa"/>
            <w:gridSpan w:val="2"/>
            <w:tcBorders>
              <w:top w:val="nil"/>
              <w:left w:val="nil"/>
              <w:bottom w:val="nil"/>
              <w:right w:val="nil"/>
            </w:tcBorders>
            <w:shd w:val="clear" w:color="auto" w:fill="auto"/>
            <w:noWrap/>
            <w:vAlign w:val="center"/>
            <w:hideMark/>
          </w:tcPr>
          <w:p w14:paraId="573F88FA"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p>
        </w:tc>
        <w:tc>
          <w:tcPr>
            <w:tcW w:w="1552" w:type="dxa"/>
            <w:gridSpan w:val="4"/>
            <w:tcBorders>
              <w:top w:val="single" w:sz="8" w:space="0" w:color="auto"/>
              <w:left w:val="nil"/>
              <w:bottom w:val="nil"/>
              <w:right w:val="nil"/>
            </w:tcBorders>
            <w:shd w:val="clear" w:color="000000" w:fill="C9E3B4"/>
            <w:noWrap/>
            <w:vAlign w:val="center"/>
            <w:hideMark/>
          </w:tcPr>
          <w:p w14:paraId="3B76CDF1"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124,452</w:t>
            </w:r>
          </w:p>
        </w:tc>
        <w:tc>
          <w:tcPr>
            <w:tcW w:w="806" w:type="dxa"/>
            <w:tcBorders>
              <w:top w:val="nil"/>
              <w:left w:val="nil"/>
              <w:bottom w:val="nil"/>
              <w:right w:val="nil"/>
            </w:tcBorders>
            <w:shd w:val="clear" w:color="auto" w:fill="auto"/>
            <w:noWrap/>
            <w:vAlign w:val="center"/>
            <w:hideMark/>
          </w:tcPr>
          <w:p w14:paraId="57C75856"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p>
        </w:tc>
        <w:tc>
          <w:tcPr>
            <w:tcW w:w="1492" w:type="dxa"/>
            <w:gridSpan w:val="3"/>
            <w:tcBorders>
              <w:top w:val="single" w:sz="8" w:space="0" w:color="auto"/>
              <w:left w:val="nil"/>
              <w:bottom w:val="nil"/>
              <w:right w:val="nil"/>
            </w:tcBorders>
            <w:shd w:val="clear" w:color="000000" w:fill="C9E3B4"/>
            <w:noWrap/>
            <w:vAlign w:val="center"/>
            <w:hideMark/>
          </w:tcPr>
          <w:p w14:paraId="1594C784"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109,670</w:t>
            </w:r>
          </w:p>
        </w:tc>
        <w:tc>
          <w:tcPr>
            <w:tcW w:w="682" w:type="dxa"/>
            <w:tcBorders>
              <w:top w:val="nil"/>
              <w:left w:val="nil"/>
              <w:bottom w:val="nil"/>
              <w:right w:val="nil"/>
            </w:tcBorders>
            <w:shd w:val="clear" w:color="auto" w:fill="auto"/>
            <w:noWrap/>
            <w:vAlign w:val="center"/>
            <w:hideMark/>
          </w:tcPr>
          <w:p w14:paraId="07B6D87E"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p>
        </w:tc>
        <w:tc>
          <w:tcPr>
            <w:tcW w:w="1503" w:type="dxa"/>
            <w:gridSpan w:val="2"/>
            <w:tcBorders>
              <w:top w:val="single" w:sz="8" w:space="0" w:color="auto"/>
              <w:left w:val="nil"/>
              <w:bottom w:val="nil"/>
              <w:right w:val="nil"/>
            </w:tcBorders>
            <w:shd w:val="clear" w:color="000000" w:fill="C9E3B4"/>
            <w:noWrap/>
            <w:vAlign w:val="center"/>
            <w:hideMark/>
          </w:tcPr>
          <w:p w14:paraId="0C9BFC78"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24,507</w:t>
            </w:r>
          </w:p>
        </w:tc>
        <w:tc>
          <w:tcPr>
            <w:tcW w:w="682" w:type="dxa"/>
            <w:gridSpan w:val="2"/>
            <w:tcBorders>
              <w:top w:val="nil"/>
              <w:left w:val="nil"/>
              <w:bottom w:val="nil"/>
              <w:right w:val="nil"/>
            </w:tcBorders>
            <w:shd w:val="clear" w:color="auto" w:fill="auto"/>
            <w:noWrap/>
            <w:vAlign w:val="center"/>
            <w:hideMark/>
          </w:tcPr>
          <w:p w14:paraId="57313EE4"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p>
        </w:tc>
        <w:tc>
          <w:tcPr>
            <w:tcW w:w="755" w:type="dxa"/>
            <w:tcBorders>
              <w:top w:val="nil"/>
              <w:left w:val="nil"/>
              <w:bottom w:val="nil"/>
              <w:right w:val="nil"/>
            </w:tcBorders>
            <w:shd w:val="clear" w:color="000000" w:fill="C9E3B4"/>
            <w:noWrap/>
            <w:vAlign w:val="center"/>
            <w:hideMark/>
          </w:tcPr>
          <w:p w14:paraId="17468C9E"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309,111</w:t>
            </w:r>
          </w:p>
        </w:tc>
      </w:tr>
      <w:tr w:rsidR="00361746" w:rsidRPr="00361746" w14:paraId="254067AF" w14:textId="77777777" w:rsidTr="00B03C77">
        <w:trPr>
          <w:gridAfter w:val="3"/>
          <w:wAfter w:w="2081" w:type="dxa"/>
          <w:trHeight w:hRule="exact" w:val="259"/>
        </w:trPr>
        <w:tc>
          <w:tcPr>
            <w:tcW w:w="2536" w:type="dxa"/>
            <w:tcBorders>
              <w:top w:val="nil"/>
              <w:left w:val="nil"/>
              <w:bottom w:val="nil"/>
              <w:right w:val="nil"/>
            </w:tcBorders>
            <w:shd w:val="clear" w:color="auto" w:fill="auto"/>
            <w:noWrap/>
            <w:vAlign w:val="center"/>
            <w:hideMark/>
          </w:tcPr>
          <w:p w14:paraId="30536D4B"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p>
        </w:tc>
        <w:tc>
          <w:tcPr>
            <w:tcW w:w="1111" w:type="dxa"/>
            <w:gridSpan w:val="3"/>
            <w:tcBorders>
              <w:top w:val="nil"/>
              <w:left w:val="nil"/>
              <w:bottom w:val="nil"/>
              <w:right w:val="nil"/>
            </w:tcBorders>
            <w:shd w:val="clear" w:color="000000" w:fill="C9E3B4"/>
            <w:noWrap/>
            <w:vAlign w:val="center"/>
            <w:hideMark/>
          </w:tcPr>
          <w:p w14:paraId="0B94AE37"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c>
          <w:tcPr>
            <w:tcW w:w="683" w:type="dxa"/>
            <w:gridSpan w:val="2"/>
            <w:tcBorders>
              <w:top w:val="nil"/>
              <w:left w:val="nil"/>
              <w:bottom w:val="nil"/>
              <w:right w:val="nil"/>
            </w:tcBorders>
            <w:shd w:val="clear" w:color="auto" w:fill="auto"/>
            <w:noWrap/>
            <w:vAlign w:val="center"/>
            <w:hideMark/>
          </w:tcPr>
          <w:p w14:paraId="61EC30E5"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52" w:type="dxa"/>
            <w:gridSpan w:val="4"/>
            <w:tcBorders>
              <w:top w:val="nil"/>
              <w:left w:val="nil"/>
              <w:bottom w:val="nil"/>
              <w:right w:val="nil"/>
            </w:tcBorders>
            <w:shd w:val="clear" w:color="000000" w:fill="C9E3B4"/>
            <w:noWrap/>
            <w:vAlign w:val="center"/>
            <w:hideMark/>
          </w:tcPr>
          <w:p w14:paraId="3D1CB4E2"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c>
          <w:tcPr>
            <w:tcW w:w="806" w:type="dxa"/>
            <w:tcBorders>
              <w:top w:val="nil"/>
              <w:left w:val="nil"/>
              <w:bottom w:val="nil"/>
              <w:right w:val="nil"/>
            </w:tcBorders>
            <w:shd w:val="clear" w:color="auto" w:fill="auto"/>
            <w:noWrap/>
            <w:vAlign w:val="center"/>
            <w:hideMark/>
          </w:tcPr>
          <w:p w14:paraId="115406F7"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492" w:type="dxa"/>
            <w:gridSpan w:val="3"/>
            <w:tcBorders>
              <w:top w:val="nil"/>
              <w:left w:val="nil"/>
              <w:bottom w:val="nil"/>
              <w:right w:val="nil"/>
            </w:tcBorders>
            <w:shd w:val="clear" w:color="000000" w:fill="C9E3B4"/>
            <w:noWrap/>
            <w:vAlign w:val="center"/>
            <w:hideMark/>
          </w:tcPr>
          <w:p w14:paraId="5F9BE26F"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c>
          <w:tcPr>
            <w:tcW w:w="682" w:type="dxa"/>
            <w:tcBorders>
              <w:top w:val="nil"/>
              <w:left w:val="nil"/>
              <w:bottom w:val="nil"/>
              <w:right w:val="nil"/>
            </w:tcBorders>
            <w:shd w:val="clear" w:color="auto" w:fill="auto"/>
            <w:noWrap/>
            <w:vAlign w:val="center"/>
            <w:hideMark/>
          </w:tcPr>
          <w:p w14:paraId="7A4A98B5"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03" w:type="dxa"/>
            <w:gridSpan w:val="2"/>
            <w:tcBorders>
              <w:top w:val="nil"/>
              <w:left w:val="nil"/>
              <w:bottom w:val="nil"/>
              <w:right w:val="nil"/>
            </w:tcBorders>
            <w:shd w:val="clear" w:color="000000" w:fill="C9E3B4"/>
            <w:noWrap/>
            <w:vAlign w:val="center"/>
            <w:hideMark/>
          </w:tcPr>
          <w:p w14:paraId="1AD15689"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c>
          <w:tcPr>
            <w:tcW w:w="682" w:type="dxa"/>
            <w:gridSpan w:val="2"/>
            <w:tcBorders>
              <w:top w:val="nil"/>
              <w:left w:val="nil"/>
              <w:bottom w:val="nil"/>
              <w:right w:val="nil"/>
            </w:tcBorders>
            <w:shd w:val="clear" w:color="auto" w:fill="auto"/>
            <w:noWrap/>
            <w:vAlign w:val="center"/>
            <w:hideMark/>
          </w:tcPr>
          <w:p w14:paraId="6BF18621"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755" w:type="dxa"/>
            <w:tcBorders>
              <w:top w:val="nil"/>
              <w:left w:val="nil"/>
              <w:bottom w:val="nil"/>
              <w:right w:val="nil"/>
            </w:tcBorders>
            <w:shd w:val="clear" w:color="000000" w:fill="C9E3B4"/>
            <w:noWrap/>
            <w:vAlign w:val="center"/>
            <w:hideMark/>
          </w:tcPr>
          <w:p w14:paraId="2BB3A151"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r>
      <w:tr w:rsidR="00361746" w:rsidRPr="00361746" w14:paraId="7076BBDD" w14:textId="77777777" w:rsidTr="00B03C77">
        <w:trPr>
          <w:gridAfter w:val="3"/>
          <w:wAfter w:w="2080" w:type="dxa"/>
          <w:trHeight w:hRule="exact" w:val="259"/>
        </w:trPr>
        <w:tc>
          <w:tcPr>
            <w:tcW w:w="3091" w:type="dxa"/>
            <w:gridSpan w:val="3"/>
            <w:tcBorders>
              <w:top w:val="nil"/>
              <w:left w:val="nil"/>
              <w:bottom w:val="nil"/>
              <w:right w:val="nil"/>
            </w:tcBorders>
            <w:shd w:val="clear" w:color="auto" w:fill="auto"/>
            <w:noWrap/>
            <w:vAlign w:val="center"/>
            <w:hideMark/>
          </w:tcPr>
          <w:p w14:paraId="32D67473" w14:textId="77777777" w:rsidR="00361746" w:rsidRPr="00361746" w:rsidRDefault="00361746" w:rsidP="00361746">
            <w:pPr>
              <w:spacing w:before="0" w:line="240" w:lineRule="auto"/>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Non-current assets</w:t>
            </w:r>
          </w:p>
        </w:tc>
        <w:tc>
          <w:tcPr>
            <w:tcW w:w="1239" w:type="dxa"/>
            <w:gridSpan w:val="3"/>
            <w:tcBorders>
              <w:top w:val="nil"/>
              <w:left w:val="nil"/>
              <w:bottom w:val="nil"/>
              <w:right w:val="nil"/>
            </w:tcBorders>
            <w:shd w:val="clear" w:color="000000" w:fill="C9E3B4"/>
            <w:noWrap/>
            <w:vAlign w:val="center"/>
            <w:hideMark/>
          </w:tcPr>
          <w:p w14:paraId="683E2B61"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c>
          <w:tcPr>
            <w:tcW w:w="1552" w:type="dxa"/>
            <w:gridSpan w:val="4"/>
            <w:tcBorders>
              <w:top w:val="nil"/>
              <w:left w:val="nil"/>
              <w:bottom w:val="nil"/>
              <w:right w:val="nil"/>
            </w:tcBorders>
            <w:shd w:val="clear" w:color="auto" w:fill="auto"/>
            <w:noWrap/>
            <w:vAlign w:val="center"/>
            <w:hideMark/>
          </w:tcPr>
          <w:p w14:paraId="34130CA5"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806" w:type="dxa"/>
            <w:tcBorders>
              <w:top w:val="nil"/>
              <w:left w:val="nil"/>
              <w:bottom w:val="nil"/>
              <w:right w:val="nil"/>
            </w:tcBorders>
            <w:shd w:val="clear" w:color="000000" w:fill="C9E3B4"/>
            <w:noWrap/>
            <w:vAlign w:val="center"/>
            <w:hideMark/>
          </w:tcPr>
          <w:p w14:paraId="59D8D8B4"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c>
          <w:tcPr>
            <w:tcW w:w="1492" w:type="dxa"/>
            <w:gridSpan w:val="3"/>
            <w:tcBorders>
              <w:top w:val="nil"/>
              <w:left w:val="nil"/>
              <w:bottom w:val="nil"/>
              <w:right w:val="nil"/>
            </w:tcBorders>
            <w:shd w:val="clear" w:color="auto" w:fill="auto"/>
            <w:noWrap/>
            <w:vAlign w:val="center"/>
            <w:hideMark/>
          </w:tcPr>
          <w:p w14:paraId="6EFE4528"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682" w:type="dxa"/>
            <w:tcBorders>
              <w:top w:val="nil"/>
              <w:left w:val="nil"/>
              <w:bottom w:val="nil"/>
              <w:right w:val="nil"/>
            </w:tcBorders>
            <w:shd w:val="clear" w:color="000000" w:fill="C9E3B4"/>
            <w:noWrap/>
            <w:vAlign w:val="center"/>
            <w:hideMark/>
          </w:tcPr>
          <w:p w14:paraId="2BB01295"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c>
          <w:tcPr>
            <w:tcW w:w="1503" w:type="dxa"/>
            <w:gridSpan w:val="2"/>
            <w:tcBorders>
              <w:top w:val="nil"/>
              <w:left w:val="nil"/>
              <w:bottom w:val="nil"/>
              <w:right w:val="nil"/>
            </w:tcBorders>
            <w:shd w:val="clear" w:color="auto" w:fill="auto"/>
            <w:noWrap/>
            <w:vAlign w:val="center"/>
            <w:hideMark/>
          </w:tcPr>
          <w:p w14:paraId="1CC5AC22"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438" w:type="dxa"/>
            <w:gridSpan w:val="3"/>
            <w:tcBorders>
              <w:top w:val="nil"/>
              <w:left w:val="nil"/>
              <w:bottom w:val="nil"/>
              <w:right w:val="nil"/>
            </w:tcBorders>
            <w:shd w:val="clear" w:color="000000" w:fill="C9E3B4"/>
            <w:noWrap/>
            <w:vAlign w:val="center"/>
            <w:hideMark/>
          </w:tcPr>
          <w:p w14:paraId="66694B32"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r>
      <w:tr w:rsidR="00361746" w:rsidRPr="00361746" w14:paraId="4AA08A9E" w14:textId="77777777" w:rsidTr="00B03C77">
        <w:trPr>
          <w:gridAfter w:val="3"/>
          <w:wAfter w:w="2081" w:type="dxa"/>
          <w:trHeight w:hRule="exact" w:val="259"/>
        </w:trPr>
        <w:tc>
          <w:tcPr>
            <w:tcW w:w="2536" w:type="dxa"/>
            <w:tcBorders>
              <w:top w:val="nil"/>
              <w:left w:val="nil"/>
              <w:bottom w:val="nil"/>
              <w:right w:val="nil"/>
            </w:tcBorders>
            <w:shd w:val="clear" w:color="auto" w:fill="auto"/>
            <w:noWrap/>
            <w:vAlign w:val="center"/>
            <w:hideMark/>
          </w:tcPr>
          <w:p w14:paraId="16121369" w14:textId="77777777" w:rsidR="00361746" w:rsidRPr="00361746" w:rsidRDefault="00361746" w:rsidP="00361746">
            <w:pPr>
              <w:spacing w:before="0" w:line="240" w:lineRule="auto"/>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Receivables</w:t>
            </w:r>
          </w:p>
        </w:tc>
        <w:tc>
          <w:tcPr>
            <w:tcW w:w="1111" w:type="dxa"/>
            <w:gridSpan w:val="3"/>
            <w:tcBorders>
              <w:top w:val="nil"/>
              <w:left w:val="nil"/>
              <w:bottom w:val="nil"/>
              <w:right w:val="nil"/>
            </w:tcBorders>
            <w:shd w:val="clear" w:color="000000" w:fill="C9E3B4"/>
            <w:noWrap/>
            <w:vAlign w:val="center"/>
            <w:hideMark/>
          </w:tcPr>
          <w:p w14:paraId="4E7F5C04"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c>
          <w:tcPr>
            <w:tcW w:w="683" w:type="dxa"/>
            <w:gridSpan w:val="2"/>
            <w:tcBorders>
              <w:top w:val="nil"/>
              <w:left w:val="nil"/>
              <w:bottom w:val="nil"/>
              <w:right w:val="nil"/>
            </w:tcBorders>
            <w:shd w:val="clear" w:color="auto" w:fill="auto"/>
            <w:noWrap/>
            <w:vAlign w:val="center"/>
            <w:hideMark/>
          </w:tcPr>
          <w:p w14:paraId="06F9DA20"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52" w:type="dxa"/>
            <w:gridSpan w:val="4"/>
            <w:tcBorders>
              <w:top w:val="nil"/>
              <w:left w:val="nil"/>
              <w:bottom w:val="nil"/>
              <w:right w:val="nil"/>
            </w:tcBorders>
            <w:shd w:val="clear" w:color="000000" w:fill="C9E3B4"/>
            <w:noWrap/>
            <w:vAlign w:val="center"/>
            <w:hideMark/>
          </w:tcPr>
          <w:p w14:paraId="3A31BAD8"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c>
          <w:tcPr>
            <w:tcW w:w="806" w:type="dxa"/>
            <w:tcBorders>
              <w:top w:val="nil"/>
              <w:left w:val="nil"/>
              <w:bottom w:val="nil"/>
              <w:right w:val="nil"/>
            </w:tcBorders>
            <w:shd w:val="clear" w:color="auto" w:fill="auto"/>
            <w:noWrap/>
            <w:vAlign w:val="center"/>
            <w:hideMark/>
          </w:tcPr>
          <w:p w14:paraId="20D9B34F"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492" w:type="dxa"/>
            <w:gridSpan w:val="3"/>
            <w:tcBorders>
              <w:top w:val="nil"/>
              <w:left w:val="nil"/>
              <w:bottom w:val="nil"/>
              <w:right w:val="nil"/>
            </w:tcBorders>
            <w:shd w:val="clear" w:color="000000" w:fill="C9E3B4"/>
            <w:noWrap/>
            <w:vAlign w:val="center"/>
            <w:hideMark/>
          </w:tcPr>
          <w:p w14:paraId="5AC09213"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c>
          <w:tcPr>
            <w:tcW w:w="682" w:type="dxa"/>
            <w:tcBorders>
              <w:top w:val="nil"/>
              <w:left w:val="nil"/>
              <w:bottom w:val="nil"/>
              <w:right w:val="nil"/>
            </w:tcBorders>
            <w:shd w:val="clear" w:color="auto" w:fill="auto"/>
            <w:noWrap/>
            <w:vAlign w:val="center"/>
            <w:hideMark/>
          </w:tcPr>
          <w:p w14:paraId="28B0BB78"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03" w:type="dxa"/>
            <w:gridSpan w:val="2"/>
            <w:tcBorders>
              <w:top w:val="nil"/>
              <w:left w:val="nil"/>
              <w:bottom w:val="nil"/>
              <w:right w:val="nil"/>
            </w:tcBorders>
            <w:shd w:val="clear" w:color="000000" w:fill="C9E3B4"/>
            <w:noWrap/>
            <w:vAlign w:val="center"/>
            <w:hideMark/>
          </w:tcPr>
          <w:p w14:paraId="1F14B8E5"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c>
          <w:tcPr>
            <w:tcW w:w="682" w:type="dxa"/>
            <w:gridSpan w:val="2"/>
            <w:tcBorders>
              <w:top w:val="nil"/>
              <w:left w:val="nil"/>
              <w:bottom w:val="nil"/>
              <w:right w:val="nil"/>
            </w:tcBorders>
            <w:shd w:val="clear" w:color="auto" w:fill="auto"/>
            <w:noWrap/>
            <w:vAlign w:val="center"/>
            <w:hideMark/>
          </w:tcPr>
          <w:p w14:paraId="7905FBE9"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755" w:type="dxa"/>
            <w:tcBorders>
              <w:top w:val="nil"/>
              <w:left w:val="nil"/>
              <w:bottom w:val="nil"/>
              <w:right w:val="nil"/>
            </w:tcBorders>
            <w:shd w:val="clear" w:color="000000" w:fill="C9E3B4"/>
            <w:noWrap/>
            <w:vAlign w:val="center"/>
            <w:hideMark/>
          </w:tcPr>
          <w:p w14:paraId="759E07DC"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3,274</w:t>
            </w:r>
          </w:p>
        </w:tc>
      </w:tr>
      <w:tr w:rsidR="00361746" w:rsidRPr="00361746" w14:paraId="26E884B8" w14:textId="77777777" w:rsidTr="00B03C77">
        <w:trPr>
          <w:gridAfter w:val="3"/>
          <w:wAfter w:w="2081" w:type="dxa"/>
          <w:trHeight w:hRule="exact" w:val="259"/>
        </w:trPr>
        <w:tc>
          <w:tcPr>
            <w:tcW w:w="2536" w:type="dxa"/>
            <w:tcBorders>
              <w:top w:val="nil"/>
              <w:left w:val="nil"/>
              <w:bottom w:val="nil"/>
              <w:right w:val="nil"/>
            </w:tcBorders>
            <w:shd w:val="clear" w:color="auto" w:fill="auto"/>
            <w:noWrap/>
            <w:vAlign w:val="center"/>
            <w:hideMark/>
          </w:tcPr>
          <w:p w14:paraId="0BF2A771" w14:textId="77777777" w:rsidR="00361746" w:rsidRPr="00361746" w:rsidRDefault="00361746" w:rsidP="00361746">
            <w:pPr>
              <w:spacing w:before="0" w:line="240" w:lineRule="auto"/>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Prepayments</w:t>
            </w:r>
          </w:p>
        </w:tc>
        <w:tc>
          <w:tcPr>
            <w:tcW w:w="1111" w:type="dxa"/>
            <w:gridSpan w:val="3"/>
            <w:tcBorders>
              <w:top w:val="nil"/>
              <w:left w:val="nil"/>
              <w:bottom w:val="nil"/>
              <w:right w:val="nil"/>
            </w:tcBorders>
            <w:shd w:val="clear" w:color="000000" w:fill="C9E3B4"/>
            <w:noWrap/>
            <w:vAlign w:val="center"/>
            <w:hideMark/>
          </w:tcPr>
          <w:p w14:paraId="770E5DEF"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48</w:t>
            </w:r>
          </w:p>
        </w:tc>
        <w:tc>
          <w:tcPr>
            <w:tcW w:w="683" w:type="dxa"/>
            <w:gridSpan w:val="2"/>
            <w:tcBorders>
              <w:top w:val="nil"/>
              <w:left w:val="nil"/>
              <w:bottom w:val="nil"/>
              <w:right w:val="nil"/>
            </w:tcBorders>
            <w:shd w:val="clear" w:color="auto" w:fill="auto"/>
            <w:noWrap/>
            <w:vAlign w:val="center"/>
            <w:hideMark/>
          </w:tcPr>
          <w:p w14:paraId="7D368964"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52" w:type="dxa"/>
            <w:gridSpan w:val="4"/>
            <w:tcBorders>
              <w:top w:val="nil"/>
              <w:left w:val="nil"/>
              <w:bottom w:val="nil"/>
              <w:right w:val="nil"/>
            </w:tcBorders>
            <w:shd w:val="clear" w:color="000000" w:fill="C9E3B4"/>
            <w:noWrap/>
            <w:vAlign w:val="center"/>
            <w:hideMark/>
          </w:tcPr>
          <w:p w14:paraId="3041AD00"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4,505</w:t>
            </w:r>
          </w:p>
        </w:tc>
        <w:tc>
          <w:tcPr>
            <w:tcW w:w="806" w:type="dxa"/>
            <w:tcBorders>
              <w:top w:val="nil"/>
              <w:left w:val="nil"/>
              <w:bottom w:val="nil"/>
              <w:right w:val="nil"/>
            </w:tcBorders>
            <w:shd w:val="clear" w:color="auto" w:fill="auto"/>
            <w:noWrap/>
            <w:vAlign w:val="center"/>
            <w:hideMark/>
          </w:tcPr>
          <w:p w14:paraId="6296B396"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492" w:type="dxa"/>
            <w:gridSpan w:val="3"/>
            <w:tcBorders>
              <w:top w:val="nil"/>
              <w:left w:val="nil"/>
              <w:bottom w:val="nil"/>
              <w:right w:val="nil"/>
            </w:tcBorders>
            <w:shd w:val="clear" w:color="000000" w:fill="C9E3B4"/>
            <w:noWrap/>
            <w:vAlign w:val="center"/>
            <w:hideMark/>
          </w:tcPr>
          <w:p w14:paraId="4A74727C"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258</w:t>
            </w:r>
          </w:p>
        </w:tc>
        <w:tc>
          <w:tcPr>
            <w:tcW w:w="682" w:type="dxa"/>
            <w:tcBorders>
              <w:top w:val="nil"/>
              <w:left w:val="nil"/>
              <w:bottom w:val="nil"/>
              <w:right w:val="nil"/>
            </w:tcBorders>
            <w:shd w:val="clear" w:color="auto" w:fill="auto"/>
            <w:noWrap/>
            <w:vAlign w:val="center"/>
            <w:hideMark/>
          </w:tcPr>
          <w:p w14:paraId="7058D596"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03" w:type="dxa"/>
            <w:gridSpan w:val="2"/>
            <w:tcBorders>
              <w:top w:val="nil"/>
              <w:left w:val="nil"/>
              <w:bottom w:val="nil"/>
              <w:right w:val="nil"/>
            </w:tcBorders>
            <w:shd w:val="clear" w:color="000000" w:fill="C9E3B4"/>
            <w:noWrap/>
            <w:vAlign w:val="center"/>
            <w:hideMark/>
          </w:tcPr>
          <w:p w14:paraId="1B06D3D4"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32</w:t>
            </w:r>
          </w:p>
        </w:tc>
        <w:tc>
          <w:tcPr>
            <w:tcW w:w="682" w:type="dxa"/>
            <w:gridSpan w:val="2"/>
            <w:tcBorders>
              <w:top w:val="nil"/>
              <w:left w:val="nil"/>
              <w:bottom w:val="nil"/>
              <w:right w:val="nil"/>
            </w:tcBorders>
            <w:shd w:val="clear" w:color="auto" w:fill="auto"/>
            <w:noWrap/>
            <w:vAlign w:val="center"/>
            <w:hideMark/>
          </w:tcPr>
          <w:p w14:paraId="6FF93B10"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755" w:type="dxa"/>
            <w:tcBorders>
              <w:top w:val="nil"/>
              <w:left w:val="nil"/>
              <w:bottom w:val="nil"/>
              <w:right w:val="nil"/>
            </w:tcBorders>
            <w:shd w:val="clear" w:color="000000" w:fill="C9E3B4"/>
            <w:noWrap/>
            <w:vAlign w:val="center"/>
            <w:hideMark/>
          </w:tcPr>
          <w:p w14:paraId="475BC6DA"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139,584</w:t>
            </w:r>
          </w:p>
        </w:tc>
      </w:tr>
      <w:tr w:rsidR="00361746" w:rsidRPr="00361746" w14:paraId="020545B0" w14:textId="77777777" w:rsidTr="00B03C77">
        <w:trPr>
          <w:gridAfter w:val="3"/>
          <w:wAfter w:w="2081" w:type="dxa"/>
          <w:trHeight w:hRule="exact" w:val="259"/>
        </w:trPr>
        <w:tc>
          <w:tcPr>
            <w:tcW w:w="2536" w:type="dxa"/>
            <w:tcBorders>
              <w:top w:val="nil"/>
              <w:left w:val="nil"/>
              <w:bottom w:val="nil"/>
              <w:right w:val="nil"/>
            </w:tcBorders>
            <w:shd w:val="clear" w:color="auto" w:fill="auto"/>
            <w:noWrap/>
            <w:vAlign w:val="center"/>
            <w:hideMark/>
          </w:tcPr>
          <w:p w14:paraId="4138536C" w14:textId="77777777" w:rsidR="00361746" w:rsidRPr="00361746" w:rsidRDefault="00361746" w:rsidP="00361746">
            <w:pPr>
              <w:spacing w:before="0" w:line="240" w:lineRule="auto"/>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Intangible assets</w:t>
            </w:r>
          </w:p>
        </w:tc>
        <w:tc>
          <w:tcPr>
            <w:tcW w:w="1111" w:type="dxa"/>
            <w:gridSpan w:val="3"/>
            <w:tcBorders>
              <w:top w:val="nil"/>
              <w:left w:val="nil"/>
              <w:bottom w:val="nil"/>
              <w:right w:val="nil"/>
            </w:tcBorders>
            <w:shd w:val="clear" w:color="000000" w:fill="C9E3B4"/>
            <w:noWrap/>
            <w:vAlign w:val="center"/>
            <w:hideMark/>
          </w:tcPr>
          <w:p w14:paraId="28E52223"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15,703</w:t>
            </w:r>
          </w:p>
        </w:tc>
        <w:tc>
          <w:tcPr>
            <w:tcW w:w="683" w:type="dxa"/>
            <w:gridSpan w:val="2"/>
            <w:tcBorders>
              <w:top w:val="nil"/>
              <w:left w:val="nil"/>
              <w:bottom w:val="nil"/>
              <w:right w:val="nil"/>
            </w:tcBorders>
            <w:shd w:val="clear" w:color="auto" w:fill="auto"/>
            <w:noWrap/>
            <w:vAlign w:val="center"/>
            <w:hideMark/>
          </w:tcPr>
          <w:p w14:paraId="795B72A0"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52" w:type="dxa"/>
            <w:gridSpan w:val="4"/>
            <w:tcBorders>
              <w:top w:val="nil"/>
              <w:left w:val="nil"/>
              <w:bottom w:val="nil"/>
              <w:right w:val="nil"/>
            </w:tcBorders>
            <w:shd w:val="clear" w:color="000000" w:fill="C9E3B4"/>
            <w:noWrap/>
            <w:vAlign w:val="center"/>
            <w:hideMark/>
          </w:tcPr>
          <w:p w14:paraId="44496321"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4,507</w:t>
            </w:r>
          </w:p>
        </w:tc>
        <w:tc>
          <w:tcPr>
            <w:tcW w:w="806" w:type="dxa"/>
            <w:tcBorders>
              <w:top w:val="nil"/>
              <w:left w:val="nil"/>
              <w:bottom w:val="nil"/>
              <w:right w:val="nil"/>
            </w:tcBorders>
            <w:shd w:val="clear" w:color="auto" w:fill="auto"/>
            <w:noWrap/>
            <w:vAlign w:val="center"/>
            <w:hideMark/>
          </w:tcPr>
          <w:p w14:paraId="4E6CBE55"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492" w:type="dxa"/>
            <w:gridSpan w:val="3"/>
            <w:tcBorders>
              <w:top w:val="nil"/>
              <w:left w:val="nil"/>
              <w:bottom w:val="nil"/>
              <w:right w:val="nil"/>
            </w:tcBorders>
            <w:shd w:val="clear" w:color="000000" w:fill="C9E3B4"/>
            <w:noWrap/>
            <w:vAlign w:val="center"/>
            <w:hideMark/>
          </w:tcPr>
          <w:p w14:paraId="3CCE9873"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48,478</w:t>
            </w:r>
          </w:p>
        </w:tc>
        <w:tc>
          <w:tcPr>
            <w:tcW w:w="682" w:type="dxa"/>
            <w:tcBorders>
              <w:top w:val="nil"/>
              <w:left w:val="nil"/>
              <w:bottom w:val="nil"/>
              <w:right w:val="nil"/>
            </w:tcBorders>
            <w:shd w:val="clear" w:color="auto" w:fill="auto"/>
            <w:noWrap/>
            <w:vAlign w:val="center"/>
            <w:hideMark/>
          </w:tcPr>
          <w:p w14:paraId="5CBB37E3"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03" w:type="dxa"/>
            <w:gridSpan w:val="2"/>
            <w:tcBorders>
              <w:top w:val="nil"/>
              <w:left w:val="nil"/>
              <w:bottom w:val="nil"/>
              <w:right w:val="nil"/>
            </w:tcBorders>
            <w:shd w:val="clear" w:color="000000" w:fill="C9E3B4"/>
            <w:noWrap/>
            <w:vAlign w:val="center"/>
            <w:hideMark/>
          </w:tcPr>
          <w:p w14:paraId="155BDD94"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19,593</w:t>
            </w:r>
          </w:p>
        </w:tc>
        <w:tc>
          <w:tcPr>
            <w:tcW w:w="682" w:type="dxa"/>
            <w:gridSpan w:val="2"/>
            <w:tcBorders>
              <w:top w:val="nil"/>
              <w:left w:val="nil"/>
              <w:bottom w:val="nil"/>
              <w:right w:val="nil"/>
            </w:tcBorders>
            <w:shd w:val="clear" w:color="auto" w:fill="auto"/>
            <w:noWrap/>
            <w:vAlign w:val="center"/>
            <w:hideMark/>
          </w:tcPr>
          <w:p w14:paraId="00502FA4"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755" w:type="dxa"/>
            <w:tcBorders>
              <w:top w:val="nil"/>
              <w:left w:val="nil"/>
              <w:bottom w:val="nil"/>
              <w:right w:val="nil"/>
            </w:tcBorders>
            <w:shd w:val="clear" w:color="000000" w:fill="C9E3B4"/>
            <w:noWrap/>
            <w:vAlign w:val="center"/>
            <w:hideMark/>
          </w:tcPr>
          <w:p w14:paraId="1F4054E3"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1,895</w:t>
            </w:r>
          </w:p>
        </w:tc>
      </w:tr>
      <w:tr w:rsidR="00361746" w:rsidRPr="00361746" w14:paraId="61321F47" w14:textId="77777777" w:rsidTr="00B03C77">
        <w:trPr>
          <w:gridAfter w:val="3"/>
          <w:wAfter w:w="2081" w:type="dxa"/>
          <w:trHeight w:hRule="exact" w:val="259"/>
        </w:trPr>
        <w:tc>
          <w:tcPr>
            <w:tcW w:w="2536" w:type="dxa"/>
            <w:tcBorders>
              <w:top w:val="nil"/>
              <w:left w:val="nil"/>
              <w:bottom w:val="nil"/>
              <w:right w:val="nil"/>
            </w:tcBorders>
            <w:shd w:val="clear" w:color="auto" w:fill="auto"/>
            <w:noWrap/>
            <w:vAlign w:val="center"/>
            <w:hideMark/>
          </w:tcPr>
          <w:p w14:paraId="1F4F1BCC" w14:textId="77777777" w:rsidR="00361746" w:rsidRPr="00361746" w:rsidRDefault="00361746" w:rsidP="00361746">
            <w:pPr>
              <w:spacing w:before="0" w:line="240" w:lineRule="auto"/>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Property, plant and equipment</w:t>
            </w:r>
          </w:p>
        </w:tc>
        <w:tc>
          <w:tcPr>
            <w:tcW w:w="1111" w:type="dxa"/>
            <w:gridSpan w:val="3"/>
            <w:tcBorders>
              <w:top w:val="nil"/>
              <w:left w:val="nil"/>
              <w:bottom w:val="nil"/>
              <w:right w:val="nil"/>
            </w:tcBorders>
            <w:shd w:val="clear" w:color="000000" w:fill="C9E3B4"/>
            <w:noWrap/>
            <w:vAlign w:val="center"/>
            <w:hideMark/>
          </w:tcPr>
          <w:p w14:paraId="38EA370E"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21,309</w:t>
            </w:r>
          </w:p>
        </w:tc>
        <w:tc>
          <w:tcPr>
            <w:tcW w:w="683" w:type="dxa"/>
            <w:gridSpan w:val="2"/>
            <w:tcBorders>
              <w:top w:val="nil"/>
              <w:left w:val="nil"/>
              <w:bottom w:val="nil"/>
              <w:right w:val="nil"/>
            </w:tcBorders>
            <w:shd w:val="clear" w:color="auto" w:fill="auto"/>
            <w:noWrap/>
            <w:vAlign w:val="center"/>
            <w:hideMark/>
          </w:tcPr>
          <w:p w14:paraId="0C4EEBAE"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52" w:type="dxa"/>
            <w:gridSpan w:val="4"/>
            <w:tcBorders>
              <w:top w:val="nil"/>
              <w:left w:val="nil"/>
              <w:bottom w:val="nil"/>
              <w:right w:val="nil"/>
            </w:tcBorders>
            <w:shd w:val="clear" w:color="000000" w:fill="C9E3B4"/>
            <w:noWrap/>
            <w:vAlign w:val="center"/>
            <w:hideMark/>
          </w:tcPr>
          <w:p w14:paraId="4AB432A6"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84,360,358</w:t>
            </w:r>
          </w:p>
        </w:tc>
        <w:tc>
          <w:tcPr>
            <w:tcW w:w="806" w:type="dxa"/>
            <w:tcBorders>
              <w:top w:val="nil"/>
              <w:left w:val="nil"/>
              <w:bottom w:val="nil"/>
              <w:right w:val="nil"/>
            </w:tcBorders>
            <w:shd w:val="clear" w:color="auto" w:fill="auto"/>
            <w:noWrap/>
            <w:vAlign w:val="center"/>
            <w:hideMark/>
          </w:tcPr>
          <w:p w14:paraId="7E07EC3C"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492" w:type="dxa"/>
            <w:gridSpan w:val="3"/>
            <w:tcBorders>
              <w:top w:val="nil"/>
              <w:left w:val="nil"/>
              <w:bottom w:val="nil"/>
              <w:right w:val="nil"/>
            </w:tcBorders>
            <w:shd w:val="clear" w:color="000000" w:fill="C9E3B4"/>
            <w:noWrap/>
            <w:vAlign w:val="center"/>
            <w:hideMark/>
          </w:tcPr>
          <w:p w14:paraId="10FEA326"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251,934</w:t>
            </w:r>
          </w:p>
        </w:tc>
        <w:tc>
          <w:tcPr>
            <w:tcW w:w="682" w:type="dxa"/>
            <w:tcBorders>
              <w:top w:val="nil"/>
              <w:left w:val="nil"/>
              <w:bottom w:val="nil"/>
              <w:right w:val="nil"/>
            </w:tcBorders>
            <w:shd w:val="clear" w:color="auto" w:fill="auto"/>
            <w:noWrap/>
            <w:vAlign w:val="center"/>
            <w:hideMark/>
          </w:tcPr>
          <w:p w14:paraId="13C5AB45"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03" w:type="dxa"/>
            <w:gridSpan w:val="2"/>
            <w:tcBorders>
              <w:top w:val="nil"/>
              <w:left w:val="nil"/>
              <w:bottom w:val="nil"/>
              <w:right w:val="nil"/>
            </w:tcBorders>
            <w:shd w:val="clear" w:color="000000" w:fill="C9E3B4"/>
            <w:noWrap/>
            <w:vAlign w:val="center"/>
            <w:hideMark/>
          </w:tcPr>
          <w:p w14:paraId="21482DF7"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106,374</w:t>
            </w:r>
          </w:p>
        </w:tc>
        <w:tc>
          <w:tcPr>
            <w:tcW w:w="682" w:type="dxa"/>
            <w:gridSpan w:val="2"/>
            <w:tcBorders>
              <w:top w:val="nil"/>
              <w:left w:val="nil"/>
              <w:bottom w:val="nil"/>
              <w:right w:val="nil"/>
            </w:tcBorders>
            <w:shd w:val="clear" w:color="auto" w:fill="auto"/>
            <w:noWrap/>
            <w:vAlign w:val="center"/>
            <w:hideMark/>
          </w:tcPr>
          <w:p w14:paraId="69182389"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755" w:type="dxa"/>
            <w:tcBorders>
              <w:top w:val="nil"/>
              <w:left w:val="nil"/>
              <w:bottom w:val="nil"/>
              <w:right w:val="nil"/>
            </w:tcBorders>
            <w:shd w:val="clear" w:color="000000" w:fill="C9E3B4"/>
            <w:noWrap/>
            <w:vAlign w:val="center"/>
            <w:hideMark/>
          </w:tcPr>
          <w:p w14:paraId="5E18318F"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2,190,193</w:t>
            </w:r>
          </w:p>
        </w:tc>
      </w:tr>
      <w:tr w:rsidR="00361746" w:rsidRPr="00361746" w14:paraId="5B95AB0A" w14:textId="77777777" w:rsidTr="00B03C77">
        <w:trPr>
          <w:gridAfter w:val="3"/>
          <w:wAfter w:w="2081" w:type="dxa"/>
          <w:trHeight w:hRule="exact" w:val="259"/>
        </w:trPr>
        <w:tc>
          <w:tcPr>
            <w:tcW w:w="2536" w:type="dxa"/>
            <w:tcBorders>
              <w:top w:val="nil"/>
              <w:left w:val="nil"/>
              <w:bottom w:val="nil"/>
              <w:right w:val="nil"/>
            </w:tcBorders>
            <w:shd w:val="clear" w:color="auto" w:fill="auto"/>
            <w:noWrap/>
            <w:vAlign w:val="center"/>
            <w:hideMark/>
          </w:tcPr>
          <w:p w14:paraId="5AE6C8F3" w14:textId="77777777" w:rsidR="00361746" w:rsidRPr="00361746" w:rsidRDefault="00361746" w:rsidP="00361746">
            <w:pPr>
              <w:spacing w:before="0" w:line="240" w:lineRule="auto"/>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Service concession assets</w:t>
            </w:r>
          </w:p>
        </w:tc>
        <w:tc>
          <w:tcPr>
            <w:tcW w:w="1111" w:type="dxa"/>
            <w:gridSpan w:val="3"/>
            <w:tcBorders>
              <w:top w:val="nil"/>
              <w:left w:val="nil"/>
              <w:bottom w:val="nil"/>
              <w:right w:val="nil"/>
            </w:tcBorders>
            <w:shd w:val="clear" w:color="000000" w:fill="C9E3B4"/>
            <w:noWrap/>
            <w:vAlign w:val="center"/>
            <w:hideMark/>
          </w:tcPr>
          <w:p w14:paraId="62B7EA2B"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c>
          <w:tcPr>
            <w:tcW w:w="683" w:type="dxa"/>
            <w:gridSpan w:val="2"/>
            <w:tcBorders>
              <w:top w:val="nil"/>
              <w:left w:val="nil"/>
              <w:bottom w:val="nil"/>
              <w:right w:val="nil"/>
            </w:tcBorders>
            <w:shd w:val="clear" w:color="auto" w:fill="auto"/>
            <w:noWrap/>
            <w:vAlign w:val="center"/>
            <w:hideMark/>
          </w:tcPr>
          <w:p w14:paraId="449F4FEF"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52" w:type="dxa"/>
            <w:gridSpan w:val="4"/>
            <w:tcBorders>
              <w:top w:val="nil"/>
              <w:left w:val="nil"/>
              <w:bottom w:val="nil"/>
              <w:right w:val="nil"/>
            </w:tcBorders>
            <w:shd w:val="clear" w:color="000000" w:fill="C9E3B4"/>
            <w:noWrap/>
            <w:vAlign w:val="center"/>
            <w:hideMark/>
          </w:tcPr>
          <w:p w14:paraId="2ECA5546"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11,629,066</w:t>
            </w:r>
          </w:p>
        </w:tc>
        <w:tc>
          <w:tcPr>
            <w:tcW w:w="806" w:type="dxa"/>
            <w:tcBorders>
              <w:top w:val="nil"/>
              <w:left w:val="nil"/>
              <w:bottom w:val="nil"/>
              <w:right w:val="nil"/>
            </w:tcBorders>
            <w:shd w:val="clear" w:color="auto" w:fill="auto"/>
            <w:noWrap/>
            <w:vAlign w:val="center"/>
            <w:hideMark/>
          </w:tcPr>
          <w:p w14:paraId="233622EB"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492" w:type="dxa"/>
            <w:gridSpan w:val="3"/>
            <w:tcBorders>
              <w:top w:val="nil"/>
              <w:left w:val="nil"/>
              <w:bottom w:val="nil"/>
              <w:right w:val="nil"/>
            </w:tcBorders>
            <w:shd w:val="clear" w:color="000000" w:fill="C9E3B4"/>
            <w:noWrap/>
            <w:vAlign w:val="center"/>
            <w:hideMark/>
          </w:tcPr>
          <w:p w14:paraId="6EE64598"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c>
          <w:tcPr>
            <w:tcW w:w="682" w:type="dxa"/>
            <w:tcBorders>
              <w:top w:val="nil"/>
              <w:left w:val="nil"/>
              <w:bottom w:val="nil"/>
              <w:right w:val="nil"/>
            </w:tcBorders>
            <w:shd w:val="clear" w:color="auto" w:fill="auto"/>
            <w:noWrap/>
            <w:vAlign w:val="center"/>
            <w:hideMark/>
          </w:tcPr>
          <w:p w14:paraId="1308C937"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03" w:type="dxa"/>
            <w:gridSpan w:val="2"/>
            <w:tcBorders>
              <w:top w:val="nil"/>
              <w:left w:val="nil"/>
              <w:bottom w:val="nil"/>
              <w:right w:val="nil"/>
            </w:tcBorders>
            <w:shd w:val="clear" w:color="000000" w:fill="C9E3B4"/>
            <w:noWrap/>
            <w:vAlign w:val="center"/>
            <w:hideMark/>
          </w:tcPr>
          <w:p w14:paraId="531BF329"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c>
          <w:tcPr>
            <w:tcW w:w="682" w:type="dxa"/>
            <w:gridSpan w:val="2"/>
            <w:tcBorders>
              <w:top w:val="nil"/>
              <w:left w:val="nil"/>
              <w:bottom w:val="nil"/>
              <w:right w:val="nil"/>
            </w:tcBorders>
            <w:shd w:val="clear" w:color="auto" w:fill="auto"/>
            <w:noWrap/>
            <w:vAlign w:val="center"/>
            <w:hideMark/>
          </w:tcPr>
          <w:p w14:paraId="724C3DDD"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755" w:type="dxa"/>
            <w:tcBorders>
              <w:top w:val="nil"/>
              <w:left w:val="nil"/>
              <w:bottom w:val="nil"/>
              <w:right w:val="nil"/>
            </w:tcBorders>
            <w:shd w:val="clear" w:color="000000" w:fill="C9E3B4"/>
            <w:noWrap/>
            <w:vAlign w:val="center"/>
            <w:hideMark/>
          </w:tcPr>
          <w:p w14:paraId="71EE3C8C"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1,288,386</w:t>
            </w:r>
          </w:p>
        </w:tc>
      </w:tr>
      <w:tr w:rsidR="00361746" w:rsidRPr="00361746" w14:paraId="33A98F41" w14:textId="77777777" w:rsidTr="00B03C77">
        <w:trPr>
          <w:gridAfter w:val="3"/>
          <w:wAfter w:w="2081" w:type="dxa"/>
          <w:trHeight w:hRule="exact" w:val="259"/>
        </w:trPr>
        <w:tc>
          <w:tcPr>
            <w:tcW w:w="2536" w:type="dxa"/>
            <w:tcBorders>
              <w:top w:val="nil"/>
              <w:left w:val="nil"/>
              <w:bottom w:val="nil"/>
              <w:right w:val="nil"/>
            </w:tcBorders>
            <w:shd w:val="clear" w:color="auto" w:fill="auto"/>
            <w:noWrap/>
            <w:vAlign w:val="center"/>
            <w:hideMark/>
          </w:tcPr>
          <w:p w14:paraId="17CF72EE" w14:textId="77777777" w:rsidR="00361746" w:rsidRPr="00361746" w:rsidRDefault="00361746" w:rsidP="00361746">
            <w:pPr>
              <w:spacing w:before="0" w:line="240" w:lineRule="auto"/>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Deferred tax assets</w:t>
            </w:r>
          </w:p>
        </w:tc>
        <w:tc>
          <w:tcPr>
            <w:tcW w:w="1111" w:type="dxa"/>
            <w:gridSpan w:val="3"/>
            <w:tcBorders>
              <w:top w:val="nil"/>
              <w:left w:val="nil"/>
              <w:bottom w:val="nil"/>
              <w:right w:val="nil"/>
            </w:tcBorders>
            <w:shd w:val="clear" w:color="000000" w:fill="C9E3B4"/>
            <w:noWrap/>
            <w:vAlign w:val="center"/>
            <w:hideMark/>
          </w:tcPr>
          <w:p w14:paraId="0C78D534"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c>
          <w:tcPr>
            <w:tcW w:w="683" w:type="dxa"/>
            <w:gridSpan w:val="2"/>
            <w:tcBorders>
              <w:top w:val="nil"/>
              <w:left w:val="nil"/>
              <w:bottom w:val="nil"/>
              <w:right w:val="nil"/>
            </w:tcBorders>
            <w:shd w:val="clear" w:color="auto" w:fill="auto"/>
            <w:noWrap/>
            <w:vAlign w:val="center"/>
            <w:hideMark/>
          </w:tcPr>
          <w:p w14:paraId="1297DCF9"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52" w:type="dxa"/>
            <w:gridSpan w:val="4"/>
            <w:tcBorders>
              <w:top w:val="nil"/>
              <w:left w:val="nil"/>
              <w:bottom w:val="nil"/>
              <w:right w:val="nil"/>
            </w:tcBorders>
            <w:shd w:val="clear" w:color="000000" w:fill="C9E3B4"/>
            <w:noWrap/>
            <w:vAlign w:val="center"/>
            <w:hideMark/>
          </w:tcPr>
          <w:p w14:paraId="6704EEF5"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c>
          <w:tcPr>
            <w:tcW w:w="806" w:type="dxa"/>
            <w:tcBorders>
              <w:top w:val="nil"/>
              <w:left w:val="nil"/>
              <w:bottom w:val="nil"/>
              <w:right w:val="nil"/>
            </w:tcBorders>
            <w:shd w:val="clear" w:color="auto" w:fill="auto"/>
            <w:noWrap/>
            <w:vAlign w:val="center"/>
            <w:hideMark/>
          </w:tcPr>
          <w:p w14:paraId="4350172D"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492" w:type="dxa"/>
            <w:gridSpan w:val="3"/>
            <w:tcBorders>
              <w:top w:val="nil"/>
              <w:left w:val="nil"/>
              <w:bottom w:val="nil"/>
              <w:right w:val="nil"/>
            </w:tcBorders>
            <w:shd w:val="clear" w:color="000000" w:fill="C9E3B4"/>
            <w:noWrap/>
            <w:vAlign w:val="center"/>
            <w:hideMark/>
          </w:tcPr>
          <w:p w14:paraId="729601F2"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c>
          <w:tcPr>
            <w:tcW w:w="682" w:type="dxa"/>
            <w:tcBorders>
              <w:top w:val="nil"/>
              <w:left w:val="nil"/>
              <w:bottom w:val="nil"/>
              <w:right w:val="nil"/>
            </w:tcBorders>
            <w:shd w:val="clear" w:color="auto" w:fill="auto"/>
            <w:noWrap/>
            <w:vAlign w:val="center"/>
            <w:hideMark/>
          </w:tcPr>
          <w:p w14:paraId="7FD590A1"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03" w:type="dxa"/>
            <w:gridSpan w:val="2"/>
            <w:tcBorders>
              <w:top w:val="nil"/>
              <w:left w:val="nil"/>
              <w:bottom w:val="nil"/>
              <w:right w:val="nil"/>
            </w:tcBorders>
            <w:shd w:val="clear" w:color="000000" w:fill="C9E3B4"/>
            <w:noWrap/>
            <w:vAlign w:val="center"/>
            <w:hideMark/>
          </w:tcPr>
          <w:p w14:paraId="3F1A6A19"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c>
          <w:tcPr>
            <w:tcW w:w="682" w:type="dxa"/>
            <w:gridSpan w:val="2"/>
            <w:tcBorders>
              <w:top w:val="nil"/>
              <w:left w:val="nil"/>
              <w:bottom w:val="nil"/>
              <w:right w:val="nil"/>
            </w:tcBorders>
            <w:shd w:val="clear" w:color="auto" w:fill="auto"/>
            <w:noWrap/>
            <w:vAlign w:val="center"/>
            <w:hideMark/>
          </w:tcPr>
          <w:p w14:paraId="7365136D"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755" w:type="dxa"/>
            <w:tcBorders>
              <w:top w:val="nil"/>
              <w:left w:val="nil"/>
              <w:bottom w:val="nil"/>
              <w:right w:val="nil"/>
            </w:tcBorders>
            <w:shd w:val="clear" w:color="000000" w:fill="C9E3B4"/>
            <w:noWrap/>
            <w:vAlign w:val="center"/>
            <w:hideMark/>
          </w:tcPr>
          <w:p w14:paraId="07A72E58"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r>
      <w:tr w:rsidR="00361746" w:rsidRPr="00361746" w14:paraId="3B5923AE" w14:textId="77777777" w:rsidTr="00B03C77">
        <w:trPr>
          <w:gridAfter w:val="3"/>
          <w:wAfter w:w="2081" w:type="dxa"/>
          <w:trHeight w:hRule="exact" w:val="259"/>
        </w:trPr>
        <w:tc>
          <w:tcPr>
            <w:tcW w:w="2536" w:type="dxa"/>
            <w:tcBorders>
              <w:top w:val="nil"/>
              <w:left w:val="nil"/>
              <w:bottom w:val="nil"/>
              <w:right w:val="nil"/>
            </w:tcBorders>
            <w:shd w:val="clear" w:color="auto" w:fill="auto"/>
            <w:noWrap/>
            <w:vAlign w:val="center"/>
            <w:hideMark/>
          </w:tcPr>
          <w:p w14:paraId="0AE98DAE" w14:textId="77777777" w:rsidR="00361746" w:rsidRPr="00361746" w:rsidRDefault="00361746" w:rsidP="00361746">
            <w:pPr>
              <w:spacing w:before="0" w:line="240" w:lineRule="auto"/>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Right-of-use assets</w:t>
            </w:r>
          </w:p>
        </w:tc>
        <w:tc>
          <w:tcPr>
            <w:tcW w:w="1111" w:type="dxa"/>
            <w:gridSpan w:val="3"/>
            <w:tcBorders>
              <w:top w:val="nil"/>
              <w:left w:val="nil"/>
              <w:bottom w:val="nil"/>
              <w:right w:val="nil"/>
            </w:tcBorders>
            <w:shd w:val="clear" w:color="000000" w:fill="C9E3B4"/>
            <w:noWrap/>
            <w:vAlign w:val="center"/>
            <w:hideMark/>
          </w:tcPr>
          <w:p w14:paraId="3CECF041"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c>
          <w:tcPr>
            <w:tcW w:w="683" w:type="dxa"/>
            <w:gridSpan w:val="2"/>
            <w:tcBorders>
              <w:top w:val="nil"/>
              <w:left w:val="nil"/>
              <w:bottom w:val="nil"/>
              <w:right w:val="nil"/>
            </w:tcBorders>
            <w:shd w:val="clear" w:color="auto" w:fill="auto"/>
            <w:noWrap/>
            <w:vAlign w:val="center"/>
            <w:hideMark/>
          </w:tcPr>
          <w:p w14:paraId="68C9AF40"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52" w:type="dxa"/>
            <w:gridSpan w:val="4"/>
            <w:tcBorders>
              <w:top w:val="nil"/>
              <w:left w:val="nil"/>
              <w:bottom w:val="nil"/>
              <w:right w:val="nil"/>
            </w:tcBorders>
            <w:shd w:val="clear" w:color="000000" w:fill="C9E3B4"/>
            <w:noWrap/>
            <w:vAlign w:val="center"/>
            <w:hideMark/>
          </w:tcPr>
          <w:p w14:paraId="1C550896"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2</w:t>
            </w:r>
          </w:p>
        </w:tc>
        <w:tc>
          <w:tcPr>
            <w:tcW w:w="806" w:type="dxa"/>
            <w:tcBorders>
              <w:top w:val="nil"/>
              <w:left w:val="nil"/>
              <w:bottom w:val="nil"/>
              <w:right w:val="nil"/>
            </w:tcBorders>
            <w:shd w:val="clear" w:color="auto" w:fill="auto"/>
            <w:noWrap/>
            <w:vAlign w:val="center"/>
            <w:hideMark/>
          </w:tcPr>
          <w:p w14:paraId="05373046"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492" w:type="dxa"/>
            <w:gridSpan w:val="3"/>
            <w:tcBorders>
              <w:top w:val="nil"/>
              <w:left w:val="nil"/>
              <w:bottom w:val="nil"/>
              <w:right w:val="nil"/>
            </w:tcBorders>
            <w:shd w:val="clear" w:color="000000" w:fill="C9E3B4"/>
            <w:noWrap/>
            <w:vAlign w:val="center"/>
            <w:hideMark/>
          </w:tcPr>
          <w:p w14:paraId="31438F60"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c>
          <w:tcPr>
            <w:tcW w:w="682" w:type="dxa"/>
            <w:tcBorders>
              <w:top w:val="nil"/>
              <w:left w:val="nil"/>
              <w:bottom w:val="nil"/>
              <w:right w:val="nil"/>
            </w:tcBorders>
            <w:shd w:val="clear" w:color="auto" w:fill="auto"/>
            <w:noWrap/>
            <w:vAlign w:val="center"/>
            <w:hideMark/>
          </w:tcPr>
          <w:p w14:paraId="07E01438"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03" w:type="dxa"/>
            <w:gridSpan w:val="2"/>
            <w:tcBorders>
              <w:top w:val="nil"/>
              <w:left w:val="nil"/>
              <w:bottom w:val="nil"/>
              <w:right w:val="nil"/>
            </w:tcBorders>
            <w:shd w:val="clear" w:color="000000" w:fill="C9E3B4"/>
            <w:noWrap/>
            <w:vAlign w:val="center"/>
            <w:hideMark/>
          </w:tcPr>
          <w:p w14:paraId="3A74609E"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c>
          <w:tcPr>
            <w:tcW w:w="682" w:type="dxa"/>
            <w:gridSpan w:val="2"/>
            <w:tcBorders>
              <w:top w:val="nil"/>
              <w:left w:val="nil"/>
              <w:bottom w:val="nil"/>
              <w:right w:val="nil"/>
            </w:tcBorders>
            <w:shd w:val="clear" w:color="auto" w:fill="auto"/>
            <w:noWrap/>
            <w:vAlign w:val="center"/>
            <w:hideMark/>
          </w:tcPr>
          <w:p w14:paraId="1DAB50B0"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755" w:type="dxa"/>
            <w:tcBorders>
              <w:top w:val="nil"/>
              <w:left w:val="nil"/>
              <w:bottom w:val="nil"/>
              <w:right w:val="nil"/>
            </w:tcBorders>
            <w:shd w:val="clear" w:color="000000" w:fill="C9E3B4"/>
            <w:noWrap/>
            <w:vAlign w:val="center"/>
            <w:hideMark/>
          </w:tcPr>
          <w:p w14:paraId="504327C2"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r>
      <w:tr w:rsidR="00361746" w:rsidRPr="00361746" w14:paraId="75C1CE67" w14:textId="77777777" w:rsidTr="00B03C77">
        <w:trPr>
          <w:gridAfter w:val="3"/>
          <w:wAfter w:w="2081" w:type="dxa"/>
          <w:trHeight w:hRule="exact" w:val="267"/>
        </w:trPr>
        <w:tc>
          <w:tcPr>
            <w:tcW w:w="2536" w:type="dxa"/>
            <w:tcBorders>
              <w:top w:val="nil"/>
              <w:left w:val="nil"/>
              <w:bottom w:val="nil"/>
              <w:right w:val="nil"/>
            </w:tcBorders>
            <w:shd w:val="clear" w:color="auto" w:fill="auto"/>
            <w:noWrap/>
            <w:vAlign w:val="center"/>
            <w:hideMark/>
          </w:tcPr>
          <w:p w14:paraId="65BA9AC2" w14:textId="77777777" w:rsidR="00361746" w:rsidRPr="00361746" w:rsidRDefault="00361746" w:rsidP="00361746">
            <w:pPr>
              <w:spacing w:before="0" w:line="240" w:lineRule="auto"/>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Investment in subsidiary</w:t>
            </w:r>
          </w:p>
        </w:tc>
        <w:tc>
          <w:tcPr>
            <w:tcW w:w="1111" w:type="dxa"/>
            <w:gridSpan w:val="3"/>
            <w:tcBorders>
              <w:top w:val="nil"/>
              <w:left w:val="nil"/>
              <w:bottom w:val="single" w:sz="8" w:space="0" w:color="auto"/>
              <w:right w:val="nil"/>
            </w:tcBorders>
            <w:shd w:val="clear" w:color="000000" w:fill="C9E3B4"/>
            <w:noWrap/>
            <w:vAlign w:val="center"/>
            <w:hideMark/>
          </w:tcPr>
          <w:p w14:paraId="42CFE86E"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c>
          <w:tcPr>
            <w:tcW w:w="683" w:type="dxa"/>
            <w:gridSpan w:val="2"/>
            <w:tcBorders>
              <w:top w:val="nil"/>
              <w:left w:val="nil"/>
              <w:bottom w:val="nil"/>
              <w:right w:val="nil"/>
            </w:tcBorders>
            <w:shd w:val="clear" w:color="auto" w:fill="auto"/>
            <w:noWrap/>
            <w:vAlign w:val="center"/>
            <w:hideMark/>
          </w:tcPr>
          <w:p w14:paraId="3D14A9A4"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52" w:type="dxa"/>
            <w:gridSpan w:val="4"/>
            <w:tcBorders>
              <w:top w:val="nil"/>
              <w:left w:val="nil"/>
              <w:bottom w:val="single" w:sz="8" w:space="0" w:color="auto"/>
              <w:right w:val="nil"/>
            </w:tcBorders>
            <w:shd w:val="clear" w:color="000000" w:fill="C9E3B4"/>
            <w:noWrap/>
            <w:vAlign w:val="center"/>
            <w:hideMark/>
          </w:tcPr>
          <w:p w14:paraId="5CBCBEB6"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5,601</w:t>
            </w:r>
          </w:p>
        </w:tc>
        <w:tc>
          <w:tcPr>
            <w:tcW w:w="806" w:type="dxa"/>
            <w:tcBorders>
              <w:top w:val="nil"/>
              <w:left w:val="nil"/>
              <w:bottom w:val="nil"/>
              <w:right w:val="nil"/>
            </w:tcBorders>
            <w:shd w:val="clear" w:color="auto" w:fill="auto"/>
            <w:noWrap/>
            <w:vAlign w:val="center"/>
            <w:hideMark/>
          </w:tcPr>
          <w:p w14:paraId="4FED268E"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492" w:type="dxa"/>
            <w:gridSpan w:val="3"/>
            <w:tcBorders>
              <w:top w:val="nil"/>
              <w:left w:val="nil"/>
              <w:bottom w:val="single" w:sz="8" w:space="0" w:color="auto"/>
              <w:right w:val="nil"/>
            </w:tcBorders>
            <w:shd w:val="clear" w:color="000000" w:fill="C9E3B4"/>
            <w:noWrap/>
            <w:vAlign w:val="center"/>
            <w:hideMark/>
          </w:tcPr>
          <w:p w14:paraId="57ECF8A4"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c>
          <w:tcPr>
            <w:tcW w:w="682" w:type="dxa"/>
            <w:tcBorders>
              <w:top w:val="nil"/>
              <w:left w:val="nil"/>
              <w:bottom w:val="nil"/>
              <w:right w:val="nil"/>
            </w:tcBorders>
            <w:shd w:val="clear" w:color="auto" w:fill="auto"/>
            <w:noWrap/>
            <w:vAlign w:val="center"/>
            <w:hideMark/>
          </w:tcPr>
          <w:p w14:paraId="390B8A5D"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03" w:type="dxa"/>
            <w:gridSpan w:val="2"/>
            <w:tcBorders>
              <w:top w:val="nil"/>
              <w:left w:val="nil"/>
              <w:bottom w:val="single" w:sz="8" w:space="0" w:color="auto"/>
              <w:right w:val="nil"/>
            </w:tcBorders>
            <w:shd w:val="clear" w:color="000000" w:fill="C9E3B4"/>
            <w:noWrap/>
            <w:vAlign w:val="center"/>
            <w:hideMark/>
          </w:tcPr>
          <w:p w14:paraId="0AC7E303"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c>
          <w:tcPr>
            <w:tcW w:w="682" w:type="dxa"/>
            <w:gridSpan w:val="2"/>
            <w:tcBorders>
              <w:top w:val="nil"/>
              <w:left w:val="nil"/>
              <w:bottom w:val="nil"/>
              <w:right w:val="nil"/>
            </w:tcBorders>
            <w:shd w:val="clear" w:color="auto" w:fill="auto"/>
            <w:noWrap/>
            <w:vAlign w:val="center"/>
            <w:hideMark/>
          </w:tcPr>
          <w:p w14:paraId="315C99AC"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755" w:type="dxa"/>
            <w:tcBorders>
              <w:top w:val="nil"/>
              <w:left w:val="nil"/>
              <w:bottom w:val="nil"/>
              <w:right w:val="nil"/>
            </w:tcBorders>
            <w:shd w:val="clear" w:color="000000" w:fill="C9E3B4"/>
            <w:noWrap/>
            <w:vAlign w:val="center"/>
            <w:hideMark/>
          </w:tcPr>
          <w:p w14:paraId="48801C13"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r>
      <w:tr w:rsidR="00361746" w:rsidRPr="00361746" w14:paraId="07FB7C16" w14:textId="77777777" w:rsidTr="00B03C77">
        <w:trPr>
          <w:gridAfter w:val="3"/>
          <w:wAfter w:w="2081" w:type="dxa"/>
          <w:trHeight w:hRule="exact" w:val="259"/>
        </w:trPr>
        <w:tc>
          <w:tcPr>
            <w:tcW w:w="2536" w:type="dxa"/>
            <w:tcBorders>
              <w:top w:val="single" w:sz="8" w:space="0" w:color="auto"/>
              <w:left w:val="nil"/>
              <w:bottom w:val="nil"/>
              <w:right w:val="nil"/>
            </w:tcBorders>
            <w:shd w:val="clear" w:color="auto" w:fill="auto"/>
            <w:noWrap/>
            <w:vAlign w:val="center"/>
            <w:hideMark/>
          </w:tcPr>
          <w:p w14:paraId="27184CE4" w14:textId="77777777" w:rsidR="00361746" w:rsidRPr="00361746" w:rsidRDefault="00361746" w:rsidP="00361746">
            <w:pPr>
              <w:spacing w:before="0" w:line="240" w:lineRule="auto"/>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Total non-current assets</w:t>
            </w:r>
          </w:p>
        </w:tc>
        <w:tc>
          <w:tcPr>
            <w:tcW w:w="1111" w:type="dxa"/>
            <w:gridSpan w:val="3"/>
            <w:tcBorders>
              <w:top w:val="single" w:sz="8" w:space="0" w:color="auto"/>
              <w:left w:val="nil"/>
              <w:bottom w:val="nil"/>
              <w:right w:val="nil"/>
            </w:tcBorders>
            <w:shd w:val="clear" w:color="000000" w:fill="C9E3B4"/>
            <w:noWrap/>
            <w:vAlign w:val="center"/>
            <w:hideMark/>
          </w:tcPr>
          <w:p w14:paraId="6A4A89E3"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37,060</w:t>
            </w:r>
          </w:p>
        </w:tc>
        <w:tc>
          <w:tcPr>
            <w:tcW w:w="683" w:type="dxa"/>
            <w:gridSpan w:val="2"/>
            <w:tcBorders>
              <w:top w:val="single" w:sz="8" w:space="0" w:color="auto"/>
              <w:left w:val="nil"/>
              <w:bottom w:val="nil"/>
              <w:right w:val="nil"/>
            </w:tcBorders>
            <w:shd w:val="clear" w:color="auto" w:fill="auto"/>
            <w:noWrap/>
            <w:vAlign w:val="center"/>
            <w:hideMark/>
          </w:tcPr>
          <w:p w14:paraId="4898B91C"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 </w:t>
            </w:r>
          </w:p>
        </w:tc>
        <w:tc>
          <w:tcPr>
            <w:tcW w:w="1552" w:type="dxa"/>
            <w:gridSpan w:val="4"/>
            <w:tcBorders>
              <w:top w:val="single" w:sz="8" w:space="0" w:color="auto"/>
              <w:left w:val="nil"/>
              <w:bottom w:val="nil"/>
              <w:right w:val="nil"/>
            </w:tcBorders>
            <w:shd w:val="clear" w:color="000000" w:fill="C9E3B4"/>
            <w:noWrap/>
            <w:vAlign w:val="center"/>
            <w:hideMark/>
          </w:tcPr>
          <w:p w14:paraId="26023360"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96,004,039</w:t>
            </w:r>
          </w:p>
        </w:tc>
        <w:tc>
          <w:tcPr>
            <w:tcW w:w="806" w:type="dxa"/>
            <w:tcBorders>
              <w:top w:val="single" w:sz="8" w:space="0" w:color="auto"/>
              <w:left w:val="nil"/>
              <w:bottom w:val="nil"/>
              <w:right w:val="nil"/>
            </w:tcBorders>
            <w:shd w:val="clear" w:color="auto" w:fill="auto"/>
            <w:noWrap/>
            <w:vAlign w:val="center"/>
            <w:hideMark/>
          </w:tcPr>
          <w:p w14:paraId="3D79B94D"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 </w:t>
            </w:r>
          </w:p>
        </w:tc>
        <w:tc>
          <w:tcPr>
            <w:tcW w:w="1492" w:type="dxa"/>
            <w:gridSpan w:val="3"/>
            <w:tcBorders>
              <w:top w:val="single" w:sz="8" w:space="0" w:color="auto"/>
              <w:left w:val="nil"/>
              <w:bottom w:val="nil"/>
              <w:right w:val="nil"/>
            </w:tcBorders>
            <w:shd w:val="clear" w:color="000000" w:fill="C9E3B4"/>
            <w:noWrap/>
            <w:vAlign w:val="center"/>
            <w:hideMark/>
          </w:tcPr>
          <w:p w14:paraId="01C68722"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300,670</w:t>
            </w:r>
          </w:p>
        </w:tc>
        <w:tc>
          <w:tcPr>
            <w:tcW w:w="682" w:type="dxa"/>
            <w:tcBorders>
              <w:top w:val="single" w:sz="8" w:space="0" w:color="auto"/>
              <w:left w:val="nil"/>
              <w:bottom w:val="nil"/>
              <w:right w:val="nil"/>
            </w:tcBorders>
            <w:shd w:val="clear" w:color="auto" w:fill="auto"/>
            <w:noWrap/>
            <w:vAlign w:val="center"/>
            <w:hideMark/>
          </w:tcPr>
          <w:p w14:paraId="383AD3C2"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 </w:t>
            </w:r>
          </w:p>
        </w:tc>
        <w:tc>
          <w:tcPr>
            <w:tcW w:w="1503" w:type="dxa"/>
            <w:gridSpan w:val="2"/>
            <w:tcBorders>
              <w:top w:val="single" w:sz="8" w:space="0" w:color="auto"/>
              <w:left w:val="nil"/>
              <w:bottom w:val="nil"/>
              <w:right w:val="nil"/>
            </w:tcBorders>
            <w:shd w:val="clear" w:color="000000" w:fill="C9E3B4"/>
            <w:noWrap/>
            <w:vAlign w:val="center"/>
            <w:hideMark/>
          </w:tcPr>
          <w:p w14:paraId="43DA79FE"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125,999</w:t>
            </w:r>
          </w:p>
        </w:tc>
        <w:tc>
          <w:tcPr>
            <w:tcW w:w="682" w:type="dxa"/>
            <w:gridSpan w:val="2"/>
            <w:tcBorders>
              <w:top w:val="single" w:sz="8" w:space="0" w:color="auto"/>
              <w:left w:val="nil"/>
              <w:bottom w:val="nil"/>
              <w:right w:val="nil"/>
            </w:tcBorders>
            <w:shd w:val="clear" w:color="auto" w:fill="auto"/>
            <w:noWrap/>
            <w:vAlign w:val="center"/>
            <w:hideMark/>
          </w:tcPr>
          <w:p w14:paraId="2F86DED0"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 </w:t>
            </w:r>
          </w:p>
        </w:tc>
        <w:tc>
          <w:tcPr>
            <w:tcW w:w="755" w:type="dxa"/>
            <w:tcBorders>
              <w:top w:val="single" w:sz="8" w:space="0" w:color="auto"/>
              <w:left w:val="nil"/>
              <w:bottom w:val="nil"/>
              <w:right w:val="nil"/>
            </w:tcBorders>
            <w:shd w:val="clear" w:color="000000" w:fill="C9E3B4"/>
            <w:noWrap/>
            <w:vAlign w:val="center"/>
            <w:hideMark/>
          </w:tcPr>
          <w:p w14:paraId="641EADB9"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3,623,332</w:t>
            </w:r>
          </w:p>
        </w:tc>
      </w:tr>
      <w:tr w:rsidR="00361746" w:rsidRPr="00361746" w14:paraId="22A50EFC" w14:textId="77777777" w:rsidTr="00B03C77">
        <w:trPr>
          <w:gridAfter w:val="3"/>
          <w:wAfter w:w="2081" w:type="dxa"/>
          <w:trHeight w:hRule="exact" w:val="259"/>
        </w:trPr>
        <w:tc>
          <w:tcPr>
            <w:tcW w:w="2536" w:type="dxa"/>
            <w:tcBorders>
              <w:top w:val="nil"/>
              <w:left w:val="nil"/>
              <w:bottom w:val="nil"/>
              <w:right w:val="nil"/>
            </w:tcBorders>
            <w:shd w:val="clear" w:color="auto" w:fill="auto"/>
            <w:noWrap/>
            <w:vAlign w:val="center"/>
            <w:hideMark/>
          </w:tcPr>
          <w:p w14:paraId="55D3FE5B"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p>
        </w:tc>
        <w:tc>
          <w:tcPr>
            <w:tcW w:w="1111" w:type="dxa"/>
            <w:gridSpan w:val="3"/>
            <w:tcBorders>
              <w:top w:val="nil"/>
              <w:left w:val="nil"/>
              <w:bottom w:val="nil"/>
              <w:right w:val="nil"/>
            </w:tcBorders>
            <w:shd w:val="clear" w:color="000000" w:fill="C9E3B4"/>
            <w:noWrap/>
            <w:vAlign w:val="center"/>
            <w:hideMark/>
          </w:tcPr>
          <w:p w14:paraId="40D1C2E6"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c>
          <w:tcPr>
            <w:tcW w:w="683" w:type="dxa"/>
            <w:gridSpan w:val="2"/>
            <w:tcBorders>
              <w:top w:val="nil"/>
              <w:left w:val="nil"/>
              <w:bottom w:val="nil"/>
              <w:right w:val="nil"/>
            </w:tcBorders>
            <w:shd w:val="clear" w:color="auto" w:fill="auto"/>
            <w:noWrap/>
            <w:vAlign w:val="center"/>
            <w:hideMark/>
          </w:tcPr>
          <w:p w14:paraId="4A2EC33A"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52" w:type="dxa"/>
            <w:gridSpan w:val="4"/>
            <w:tcBorders>
              <w:top w:val="nil"/>
              <w:left w:val="nil"/>
              <w:bottom w:val="nil"/>
              <w:right w:val="nil"/>
            </w:tcBorders>
            <w:shd w:val="clear" w:color="000000" w:fill="C9E3B4"/>
            <w:noWrap/>
            <w:vAlign w:val="center"/>
            <w:hideMark/>
          </w:tcPr>
          <w:p w14:paraId="7F046175"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c>
          <w:tcPr>
            <w:tcW w:w="806" w:type="dxa"/>
            <w:tcBorders>
              <w:top w:val="nil"/>
              <w:left w:val="nil"/>
              <w:bottom w:val="nil"/>
              <w:right w:val="nil"/>
            </w:tcBorders>
            <w:shd w:val="clear" w:color="auto" w:fill="auto"/>
            <w:noWrap/>
            <w:vAlign w:val="center"/>
            <w:hideMark/>
          </w:tcPr>
          <w:p w14:paraId="661BBA17"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492" w:type="dxa"/>
            <w:gridSpan w:val="3"/>
            <w:tcBorders>
              <w:top w:val="nil"/>
              <w:left w:val="nil"/>
              <w:bottom w:val="nil"/>
              <w:right w:val="nil"/>
            </w:tcBorders>
            <w:shd w:val="clear" w:color="000000" w:fill="C9E3B4"/>
            <w:noWrap/>
            <w:vAlign w:val="center"/>
            <w:hideMark/>
          </w:tcPr>
          <w:p w14:paraId="50BEF678"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c>
          <w:tcPr>
            <w:tcW w:w="682" w:type="dxa"/>
            <w:tcBorders>
              <w:top w:val="nil"/>
              <w:left w:val="nil"/>
              <w:bottom w:val="nil"/>
              <w:right w:val="nil"/>
            </w:tcBorders>
            <w:shd w:val="clear" w:color="auto" w:fill="auto"/>
            <w:noWrap/>
            <w:vAlign w:val="center"/>
            <w:hideMark/>
          </w:tcPr>
          <w:p w14:paraId="49024BEF"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03" w:type="dxa"/>
            <w:gridSpan w:val="2"/>
            <w:tcBorders>
              <w:top w:val="nil"/>
              <w:left w:val="nil"/>
              <w:bottom w:val="nil"/>
              <w:right w:val="nil"/>
            </w:tcBorders>
            <w:shd w:val="clear" w:color="000000" w:fill="C9E3B4"/>
            <w:noWrap/>
            <w:vAlign w:val="center"/>
            <w:hideMark/>
          </w:tcPr>
          <w:p w14:paraId="7827F0B4"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c>
          <w:tcPr>
            <w:tcW w:w="682" w:type="dxa"/>
            <w:gridSpan w:val="2"/>
            <w:tcBorders>
              <w:top w:val="nil"/>
              <w:left w:val="nil"/>
              <w:bottom w:val="nil"/>
              <w:right w:val="nil"/>
            </w:tcBorders>
            <w:shd w:val="clear" w:color="auto" w:fill="auto"/>
            <w:noWrap/>
            <w:vAlign w:val="center"/>
            <w:hideMark/>
          </w:tcPr>
          <w:p w14:paraId="2F4A2446"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755" w:type="dxa"/>
            <w:tcBorders>
              <w:top w:val="nil"/>
              <w:left w:val="nil"/>
              <w:bottom w:val="nil"/>
              <w:right w:val="nil"/>
            </w:tcBorders>
            <w:shd w:val="clear" w:color="000000" w:fill="C9E3B4"/>
            <w:noWrap/>
            <w:vAlign w:val="center"/>
            <w:hideMark/>
          </w:tcPr>
          <w:p w14:paraId="4A5E6713"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r>
      <w:tr w:rsidR="00361746" w:rsidRPr="00361746" w14:paraId="2498FD98" w14:textId="77777777" w:rsidTr="00B03C77">
        <w:trPr>
          <w:gridAfter w:val="3"/>
          <w:wAfter w:w="2080" w:type="dxa"/>
          <w:trHeight w:hRule="exact" w:val="267"/>
        </w:trPr>
        <w:tc>
          <w:tcPr>
            <w:tcW w:w="3091" w:type="dxa"/>
            <w:gridSpan w:val="3"/>
            <w:tcBorders>
              <w:top w:val="nil"/>
              <w:left w:val="nil"/>
              <w:bottom w:val="double" w:sz="6" w:space="0" w:color="auto"/>
              <w:right w:val="nil"/>
            </w:tcBorders>
            <w:shd w:val="clear" w:color="auto" w:fill="auto"/>
            <w:noWrap/>
            <w:vAlign w:val="center"/>
            <w:hideMark/>
          </w:tcPr>
          <w:p w14:paraId="313C8D2C" w14:textId="77777777" w:rsidR="00361746" w:rsidRPr="00361746" w:rsidRDefault="00361746" w:rsidP="00361746">
            <w:pPr>
              <w:spacing w:before="0" w:line="240" w:lineRule="auto"/>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Total assets</w:t>
            </w:r>
          </w:p>
        </w:tc>
        <w:tc>
          <w:tcPr>
            <w:tcW w:w="1239" w:type="dxa"/>
            <w:gridSpan w:val="3"/>
            <w:tcBorders>
              <w:top w:val="nil"/>
              <w:left w:val="nil"/>
              <w:bottom w:val="double" w:sz="6" w:space="0" w:color="auto"/>
              <w:right w:val="nil"/>
            </w:tcBorders>
            <w:shd w:val="clear" w:color="000000" w:fill="C9E3B4"/>
            <w:noWrap/>
            <w:vAlign w:val="center"/>
            <w:hideMark/>
          </w:tcPr>
          <w:p w14:paraId="7B00B097"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62,172</w:t>
            </w:r>
          </w:p>
        </w:tc>
        <w:tc>
          <w:tcPr>
            <w:tcW w:w="1552" w:type="dxa"/>
            <w:gridSpan w:val="4"/>
            <w:tcBorders>
              <w:top w:val="nil"/>
              <w:left w:val="nil"/>
              <w:bottom w:val="double" w:sz="6" w:space="0" w:color="auto"/>
              <w:right w:val="nil"/>
            </w:tcBorders>
            <w:shd w:val="clear" w:color="auto" w:fill="auto"/>
            <w:noWrap/>
            <w:vAlign w:val="center"/>
            <w:hideMark/>
          </w:tcPr>
          <w:p w14:paraId="6483885D"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 </w:t>
            </w:r>
          </w:p>
        </w:tc>
        <w:tc>
          <w:tcPr>
            <w:tcW w:w="806" w:type="dxa"/>
            <w:tcBorders>
              <w:top w:val="nil"/>
              <w:left w:val="nil"/>
              <w:bottom w:val="double" w:sz="6" w:space="0" w:color="auto"/>
              <w:right w:val="nil"/>
            </w:tcBorders>
            <w:shd w:val="clear" w:color="000000" w:fill="C9E3B4"/>
            <w:noWrap/>
            <w:vAlign w:val="center"/>
            <w:hideMark/>
          </w:tcPr>
          <w:p w14:paraId="25134D33"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96,128,491</w:t>
            </w:r>
          </w:p>
        </w:tc>
        <w:tc>
          <w:tcPr>
            <w:tcW w:w="1492" w:type="dxa"/>
            <w:gridSpan w:val="3"/>
            <w:tcBorders>
              <w:top w:val="nil"/>
              <w:left w:val="nil"/>
              <w:bottom w:val="double" w:sz="6" w:space="0" w:color="auto"/>
              <w:right w:val="nil"/>
            </w:tcBorders>
            <w:shd w:val="clear" w:color="auto" w:fill="auto"/>
            <w:noWrap/>
            <w:vAlign w:val="center"/>
            <w:hideMark/>
          </w:tcPr>
          <w:p w14:paraId="70856934"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 </w:t>
            </w:r>
          </w:p>
        </w:tc>
        <w:tc>
          <w:tcPr>
            <w:tcW w:w="682" w:type="dxa"/>
            <w:tcBorders>
              <w:top w:val="nil"/>
              <w:left w:val="nil"/>
              <w:bottom w:val="double" w:sz="6" w:space="0" w:color="auto"/>
              <w:right w:val="nil"/>
            </w:tcBorders>
            <w:shd w:val="clear" w:color="000000" w:fill="C9E3B4"/>
            <w:noWrap/>
            <w:vAlign w:val="center"/>
            <w:hideMark/>
          </w:tcPr>
          <w:p w14:paraId="4921DB43"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410,340</w:t>
            </w:r>
          </w:p>
        </w:tc>
        <w:tc>
          <w:tcPr>
            <w:tcW w:w="1503" w:type="dxa"/>
            <w:gridSpan w:val="2"/>
            <w:tcBorders>
              <w:top w:val="nil"/>
              <w:left w:val="nil"/>
              <w:bottom w:val="double" w:sz="6" w:space="0" w:color="auto"/>
              <w:right w:val="nil"/>
            </w:tcBorders>
            <w:shd w:val="clear" w:color="auto" w:fill="auto"/>
            <w:noWrap/>
            <w:vAlign w:val="center"/>
            <w:hideMark/>
          </w:tcPr>
          <w:p w14:paraId="32E57E6B"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 </w:t>
            </w:r>
          </w:p>
        </w:tc>
        <w:tc>
          <w:tcPr>
            <w:tcW w:w="1438" w:type="dxa"/>
            <w:gridSpan w:val="3"/>
            <w:tcBorders>
              <w:top w:val="nil"/>
              <w:left w:val="nil"/>
              <w:bottom w:val="double" w:sz="6" w:space="0" w:color="auto"/>
              <w:right w:val="nil"/>
            </w:tcBorders>
            <w:shd w:val="clear" w:color="000000" w:fill="C9E3B4"/>
            <w:noWrap/>
            <w:vAlign w:val="center"/>
            <w:hideMark/>
          </w:tcPr>
          <w:p w14:paraId="292FA9FC"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150,506</w:t>
            </w:r>
          </w:p>
        </w:tc>
      </w:tr>
      <w:tr w:rsidR="00361746" w:rsidRPr="00361746" w14:paraId="7811005A" w14:textId="77777777" w:rsidTr="00B03C77">
        <w:trPr>
          <w:gridAfter w:val="3"/>
          <w:wAfter w:w="2081" w:type="dxa"/>
          <w:trHeight w:hRule="exact" w:val="267"/>
        </w:trPr>
        <w:tc>
          <w:tcPr>
            <w:tcW w:w="2536" w:type="dxa"/>
            <w:tcBorders>
              <w:top w:val="nil"/>
              <w:left w:val="nil"/>
              <w:bottom w:val="nil"/>
              <w:right w:val="nil"/>
            </w:tcBorders>
            <w:shd w:val="clear" w:color="auto" w:fill="auto"/>
            <w:noWrap/>
            <w:vAlign w:val="center"/>
            <w:hideMark/>
          </w:tcPr>
          <w:p w14:paraId="1C4569EB"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p>
        </w:tc>
        <w:tc>
          <w:tcPr>
            <w:tcW w:w="1111" w:type="dxa"/>
            <w:gridSpan w:val="3"/>
            <w:tcBorders>
              <w:top w:val="double" w:sz="6" w:space="0" w:color="auto"/>
              <w:left w:val="nil"/>
              <w:bottom w:val="nil"/>
              <w:right w:val="nil"/>
            </w:tcBorders>
            <w:shd w:val="clear" w:color="000000" w:fill="C9E3B4"/>
            <w:noWrap/>
            <w:vAlign w:val="center"/>
            <w:hideMark/>
          </w:tcPr>
          <w:p w14:paraId="2DFD0A9A"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c>
          <w:tcPr>
            <w:tcW w:w="683" w:type="dxa"/>
            <w:gridSpan w:val="2"/>
            <w:tcBorders>
              <w:top w:val="nil"/>
              <w:left w:val="nil"/>
              <w:bottom w:val="nil"/>
              <w:right w:val="nil"/>
            </w:tcBorders>
            <w:shd w:val="clear" w:color="auto" w:fill="auto"/>
            <w:noWrap/>
            <w:vAlign w:val="center"/>
            <w:hideMark/>
          </w:tcPr>
          <w:p w14:paraId="5F8C928E"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52" w:type="dxa"/>
            <w:gridSpan w:val="4"/>
            <w:tcBorders>
              <w:top w:val="double" w:sz="6" w:space="0" w:color="auto"/>
              <w:left w:val="nil"/>
              <w:bottom w:val="nil"/>
              <w:right w:val="nil"/>
            </w:tcBorders>
            <w:shd w:val="clear" w:color="000000" w:fill="C9E3B4"/>
            <w:noWrap/>
            <w:vAlign w:val="center"/>
            <w:hideMark/>
          </w:tcPr>
          <w:p w14:paraId="2EDF3EE8"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c>
          <w:tcPr>
            <w:tcW w:w="806" w:type="dxa"/>
            <w:tcBorders>
              <w:top w:val="nil"/>
              <w:left w:val="nil"/>
              <w:bottom w:val="nil"/>
              <w:right w:val="nil"/>
            </w:tcBorders>
            <w:shd w:val="clear" w:color="auto" w:fill="auto"/>
            <w:noWrap/>
            <w:vAlign w:val="center"/>
            <w:hideMark/>
          </w:tcPr>
          <w:p w14:paraId="457D24A5"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492" w:type="dxa"/>
            <w:gridSpan w:val="3"/>
            <w:tcBorders>
              <w:top w:val="double" w:sz="6" w:space="0" w:color="auto"/>
              <w:left w:val="nil"/>
              <w:bottom w:val="nil"/>
              <w:right w:val="nil"/>
            </w:tcBorders>
            <w:shd w:val="clear" w:color="000000" w:fill="C9E3B4"/>
            <w:noWrap/>
            <w:vAlign w:val="center"/>
            <w:hideMark/>
          </w:tcPr>
          <w:p w14:paraId="6CF3AA07"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c>
          <w:tcPr>
            <w:tcW w:w="682" w:type="dxa"/>
            <w:tcBorders>
              <w:top w:val="nil"/>
              <w:left w:val="nil"/>
              <w:bottom w:val="nil"/>
              <w:right w:val="nil"/>
            </w:tcBorders>
            <w:shd w:val="clear" w:color="auto" w:fill="auto"/>
            <w:noWrap/>
            <w:vAlign w:val="center"/>
            <w:hideMark/>
          </w:tcPr>
          <w:p w14:paraId="5ACEB172"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03" w:type="dxa"/>
            <w:gridSpan w:val="2"/>
            <w:tcBorders>
              <w:top w:val="double" w:sz="6" w:space="0" w:color="auto"/>
              <w:left w:val="nil"/>
              <w:bottom w:val="nil"/>
              <w:right w:val="nil"/>
            </w:tcBorders>
            <w:shd w:val="clear" w:color="000000" w:fill="C9E3B4"/>
            <w:noWrap/>
            <w:vAlign w:val="center"/>
            <w:hideMark/>
          </w:tcPr>
          <w:p w14:paraId="467A59A0"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c>
          <w:tcPr>
            <w:tcW w:w="682" w:type="dxa"/>
            <w:gridSpan w:val="2"/>
            <w:tcBorders>
              <w:top w:val="nil"/>
              <w:left w:val="nil"/>
              <w:bottom w:val="nil"/>
              <w:right w:val="nil"/>
            </w:tcBorders>
            <w:shd w:val="clear" w:color="auto" w:fill="auto"/>
            <w:noWrap/>
            <w:vAlign w:val="center"/>
            <w:hideMark/>
          </w:tcPr>
          <w:p w14:paraId="5ECD2896"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755" w:type="dxa"/>
            <w:tcBorders>
              <w:top w:val="nil"/>
              <w:left w:val="nil"/>
              <w:bottom w:val="nil"/>
              <w:right w:val="nil"/>
            </w:tcBorders>
            <w:shd w:val="clear" w:color="000000" w:fill="C9E3B4"/>
            <w:noWrap/>
            <w:vAlign w:val="center"/>
            <w:hideMark/>
          </w:tcPr>
          <w:p w14:paraId="7F9AFE0C"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r>
      <w:tr w:rsidR="00361746" w:rsidRPr="00361746" w14:paraId="01B751C3" w14:textId="77777777" w:rsidTr="00B03C77">
        <w:trPr>
          <w:gridAfter w:val="3"/>
          <w:wAfter w:w="2080" w:type="dxa"/>
          <w:trHeight w:hRule="exact" w:val="259"/>
        </w:trPr>
        <w:tc>
          <w:tcPr>
            <w:tcW w:w="3091" w:type="dxa"/>
            <w:gridSpan w:val="3"/>
            <w:tcBorders>
              <w:top w:val="nil"/>
              <w:left w:val="nil"/>
              <w:bottom w:val="nil"/>
              <w:right w:val="nil"/>
            </w:tcBorders>
            <w:shd w:val="clear" w:color="auto" w:fill="auto"/>
            <w:noWrap/>
            <w:vAlign w:val="center"/>
            <w:hideMark/>
          </w:tcPr>
          <w:p w14:paraId="3F476F69" w14:textId="77777777" w:rsidR="00361746" w:rsidRPr="00361746" w:rsidRDefault="00361746" w:rsidP="00361746">
            <w:pPr>
              <w:spacing w:before="0" w:line="240" w:lineRule="auto"/>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Liabilities</w:t>
            </w:r>
          </w:p>
        </w:tc>
        <w:tc>
          <w:tcPr>
            <w:tcW w:w="1239" w:type="dxa"/>
            <w:gridSpan w:val="3"/>
            <w:tcBorders>
              <w:top w:val="nil"/>
              <w:left w:val="nil"/>
              <w:bottom w:val="nil"/>
              <w:right w:val="nil"/>
            </w:tcBorders>
            <w:shd w:val="clear" w:color="000000" w:fill="C9E3B4"/>
            <w:noWrap/>
            <w:vAlign w:val="center"/>
            <w:hideMark/>
          </w:tcPr>
          <w:p w14:paraId="3289EC95"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c>
          <w:tcPr>
            <w:tcW w:w="1552" w:type="dxa"/>
            <w:gridSpan w:val="4"/>
            <w:tcBorders>
              <w:top w:val="nil"/>
              <w:left w:val="nil"/>
              <w:bottom w:val="nil"/>
              <w:right w:val="nil"/>
            </w:tcBorders>
            <w:shd w:val="clear" w:color="auto" w:fill="auto"/>
            <w:noWrap/>
            <w:vAlign w:val="center"/>
            <w:hideMark/>
          </w:tcPr>
          <w:p w14:paraId="7045D702"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806" w:type="dxa"/>
            <w:tcBorders>
              <w:top w:val="nil"/>
              <w:left w:val="nil"/>
              <w:bottom w:val="nil"/>
              <w:right w:val="nil"/>
            </w:tcBorders>
            <w:shd w:val="clear" w:color="000000" w:fill="C9E3B4"/>
            <w:noWrap/>
            <w:vAlign w:val="center"/>
            <w:hideMark/>
          </w:tcPr>
          <w:p w14:paraId="4256617C"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c>
          <w:tcPr>
            <w:tcW w:w="1492" w:type="dxa"/>
            <w:gridSpan w:val="3"/>
            <w:tcBorders>
              <w:top w:val="nil"/>
              <w:left w:val="nil"/>
              <w:bottom w:val="nil"/>
              <w:right w:val="nil"/>
            </w:tcBorders>
            <w:shd w:val="clear" w:color="auto" w:fill="auto"/>
            <w:noWrap/>
            <w:vAlign w:val="center"/>
            <w:hideMark/>
          </w:tcPr>
          <w:p w14:paraId="06E6B255"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682" w:type="dxa"/>
            <w:tcBorders>
              <w:top w:val="nil"/>
              <w:left w:val="nil"/>
              <w:bottom w:val="nil"/>
              <w:right w:val="nil"/>
            </w:tcBorders>
            <w:shd w:val="clear" w:color="000000" w:fill="C9E3B4"/>
            <w:noWrap/>
            <w:vAlign w:val="center"/>
            <w:hideMark/>
          </w:tcPr>
          <w:p w14:paraId="5B542A03"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c>
          <w:tcPr>
            <w:tcW w:w="1503" w:type="dxa"/>
            <w:gridSpan w:val="2"/>
            <w:tcBorders>
              <w:top w:val="nil"/>
              <w:left w:val="nil"/>
              <w:bottom w:val="nil"/>
              <w:right w:val="nil"/>
            </w:tcBorders>
            <w:shd w:val="clear" w:color="auto" w:fill="auto"/>
            <w:noWrap/>
            <w:vAlign w:val="center"/>
            <w:hideMark/>
          </w:tcPr>
          <w:p w14:paraId="46DCABB4"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438" w:type="dxa"/>
            <w:gridSpan w:val="3"/>
            <w:tcBorders>
              <w:top w:val="nil"/>
              <w:left w:val="nil"/>
              <w:bottom w:val="nil"/>
              <w:right w:val="nil"/>
            </w:tcBorders>
            <w:shd w:val="clear" w:color="000000" w:fill="C9E3B4"/>
            <w:noWrap/>
            <w:vAlign w:val="center"/>
            <w:hideMark/>
          </w:tcPr>
          <w:p w14:paraId="1AB3E079"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r>
      <w:tr w:rsidR="00361746" w:rsidRPr="00361746" w14:paraId="6EC0AEFF" w14:textId="77777777" w:rsidTr="00B03C77">
        <w:trPr>
          <w:gridAfter w:val="3"/>
          <w:wAfter w:w="2080" w:type="dxa"/>
          <w:trHeight w:hRule="exact" w:val="259"/>
        </w:trPr>
        <w:tc>
          <w:tcPr>
            <w:tcW w:w="3091" w:type="dxa"/>
            <w:gridSpan w:val="3"/>
            <w:tcBorders>
              <w:top w:val="nil"/>
              <w:left w:val="nil"/>
              <w:bottom w:val="nil"/>
              <w:right w:val="nil"/>
            </w:tcBorders>
            <w:shd w:val="clear" w:color="auto" w:fill="auto"/>
            <w:noWrap/>
            <w:vAlign w:val="center"/>
            <w:hideMark/>
          </w:tcPr>
          <w:p w14:paraId="70C8441C" w14:textId="77777777" w:rsidR="00361746" w:rsidRPr="00361746" w:rsidRDefault="00361746" w:rsidP="00361746">
            <w:pPr>
              <w:spacing w:before="0" w:line="240" w:lineRule="auto"/>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Current liabilities</w:t>
            </w:r>
          </w:p>
        </w:tc>
        <w:tc>
          <w:tcPr>
            <w:tcW w:w="1239" w:type="dxa"/>
            <w:gridSpan w:val="3"/>
            <w:tcBorders>
              <w:top w:val="nil"/>
              <w:left w:val="nil"/>
              <w:bottom w:val="nil"/>
              <w:right w:val="nil"/>
            </w:tcBorders>
            <w:shd w:val="clear" w:color="000000" w:fill="C9E3B4"/>
            <w:noWrap/>
            <w:vAlign w:val="center"/>
            <w:hideMark/>
          </w:tcPr>
          <w:p w14:paraId="4DE9CEB3"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c>
          <w:tcPr>
            <w:tcW w:w="1552" w:type="dxa"/>
            <w:gridSpan w:val="4"/>
            <w:tcBorders>
              <w:top w:val="nil"/>
              <w:left w:val="nil"/>
              <w:bottom w:val="nil"/>
              <w:right w:val="nil"/>
            </w:tcBorders>
            <w:shd w:val="clear" w:color="auto" w:fill="auto"/>
            <w:noWrap/>
            <w:vAlign w:val="center"/>
            <w:hideMark/>
          </w:tcPr>
          <w:p w14:paraId="1DAB826B"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806" w:type="dxa"/>
            <w:tcBorders>
              <w:top w:val="nil"/>
              <w:left w:val="nil"/>
              <w:bottom w:val="nil"/>
              <w:right w:val="nil"/>
            </w:tcBorders>
            <w:shd w:val="clear" w:color="000000" w:fill="C9E3B4"/>
            <w:noWrap/>
            <w:vAlign w:val="center"/>
            <w:hideMark/>
          </w:tcPr>
          <w:p w14:paraId="57B71118"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c>
          <w:tcPr>
            <w:tcW w:w="1492" w:type="dxa"/>
            <w:gridSpan w:val="3"/>
            <w:tcBorders>
              <w:top w:val="nil"/>
              <w:left w:val="nil"/>
              <w:bottom w:val="nil"/>
              <w:right w:val="nil"/>
            </w:tcBorders>
            <w:shd w:val="clear" w:color="auto" w:fill="auto"/>
            <w:noWrap/>
            <w:vAlign w:val="center"/>
            <w:hideMark/>
          </w:tcPr>
          <w:p w14:paraId="2517B7D6"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682" w:type="dxa"/>
            <w:tcBorders>
              <w:top w:val="nil"/>
              <w:left w:val="nil"/>
              <w:bottom w:val="nil"/>
              <w:right w:val="nil"/>
            </w:tcBorders>
            <w:shd w:val="clear" w:color="000000" w:fill="C9E3B4"/>
            <w:noWrap/>
            <w:vAlign w:val="center"/>
            <w:hideMark/>
          </w:tcPr>
          <w:p w14:paraId="19F458B9"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c>
          <w:tcPr>
            <w:tcW w:w="1503" w:type="dxa"/>
            <w:gridSpan w:val="2"/>
            <w:tcBorders>
              <w:top w:val="nil"/>
              <w:left w:val="nil"/>
              <w:bottom w:val="nil"/>
              <w:right w:val="nil"/>
            </w:tcBorders>
            <w:shd w:val="clear" w:color="auto" w:fill="auto"/>
            <w:noWrap/>
            <w:vAlign w:val="center"/>
            <w:hideMark/>
          </w:tcPr>
          <w:p w14:paraId="4DFC6BBA"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438" w:type="dxa"/>
            <w:gridSpan w:val="3"/>
            <w:tcBorders>
              <w:top w:val="nil"/>
              <w:left w:val="nil"/>
              <w:bottom w:val="nil"/>
              <w:right w:val="nil"/>
            </w:tcBorders>
            <w:shd w:val="clear" w:color="000000" w:fill="C9E3B4"/>
            <w:noWrap/>
            <w:vAlign w:val="center"/>
            <w:hideMark/>
          </w:tcPr>
          <w:p w14:paraId="67BD9316"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r>
      <w:tr w:rsidR="00361746" w:rsidRPr="00361746" w14:paraId="57D1E46E" w14:textId="77777777" w:rsidTr="00B03C77">
        <w:trPr>
          <w:gridAfter w:val="3"/>
          <w:wAfter w:w="2081" w:type="dxa"/>
          <w:trHeight w:hRule="exact" w:val="259"/>
        </w:trPr>
        <w:tc>
          <w:tcPr>
            <w:tcW w:w="2536" w:type="dxa"/>
            <w:tcBorders>
              <w:top w:val="nil"/>
              <w:left w:val="nil"/>
              <w:bottom w:val="nil"/>
              <w:right w:val="nil"/>
            </w:tcBorders>
            <w:shd w:val="clear" w:color="auto" w:fill="auto"/>
            <w:noWrap/>
            <w:vAlign w:val="center"/>
            <w:hideMark/>
          </w:tcPr>
          <w:p w14:paraId="71065E13" w14:textId="77777777" w:rsidR="00361746" w:rsidRPr="00361746" w:rsidRDefault="00361746" w:rsidP="00361746">
            <w:pPr>
              <w:spacing w:before="0" w:line="240" w:lineRule="auto"/>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Payables</w:t>
            </w:r>
          </w:p>
        </w:tc>
        <w:tc>
          <w:tcPr>
            <w:tcW w:w="1111" w:type="dxa"/>
            <w:gridSpan w:val="3"/>
            <w:tcBorders>
              <w:top w:val="nil"/>
              <w:left w:val="nil"/>
              <w:bottom w:val="nil"/>
              <w:right w:val="nil"/>
            </w:tcBorders>
            <w:shd w:val="clear" w:color="000000" w:fill="C9E3B4"/>
            <w:noWrap/>
            <w:vAlign w:val="center"/>
            <w:hideMark/>
          </w:tcPr>
          <w:p w14:paraId="1C53FF68"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7,427</w:t>
            </w:r>
          </w:p>
        </w:tc>
        <w:tc>
          <w:tcPr>
            <w:tcW w:w="683" w:type="dxa"/>
            <w:gridSpan w:val="2"/>
            <w:tcBorders>
              <w:top w:val="nil"/>
              <w:left w:val="nil"/>
              <w:bottom w:val="nil"/>
              <w:right w:val="nil"/>
            </w:tcBorders>
            <w:shd w:val="clear" w:color="auto" w:fill="auto"/>
            <w:noWrap/>
            <w:vAlign w:val="center"/>
            <w:hideMark/>
          </w:tcPr>
          <w:p w14:paraId="5D7A0009"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52" w:type="dxa"/>
            <w:gridSpan w:val="4"/>
            <w:tcBorders>
              <w:top w:val="nil"/>
              <w:left w:val="nil"/>
              <w:bottom w:val="nil"/>
              <w:right w:val="nil"/>
            </w:tcBorders>
            <w:shd w:val="clear" w:color="000000" w:fill="C9E3B4"/>
            <w:noWrap/>
            <w:vAlign w:val="center"/>
            <w:hideMark/>
          </w:tcPr>
          <w:p w14:paraId="2C604F82"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170,233</w:t>
            </w:r>
          </w:p>
        </w:tc>
        <w:tc>
          <w:tcPr>
            <w:tcW w:w="806" w:type="dxa"/>
            <w:tcBorders>
              <w:top w:val="nil"/>
              <w:left w:val="nil"/>
              <w:bottom w:val="nil"/>
              <w:right w:val="nil"/>
            </w:tcBorders>
            <w:shd w:val="clear" w:color="auto" w:fill="auto"/>
            <w:noWrap/>
            <w:vAlign w:val="center"/>
            <w:hideMark/>
          </w:tcPr>
          <w:p w14:paraId="05D6F9D5"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492" w:type="dxa"/>
            <w:gridSpan w:val="3"/>
            <w:tcBorders>
              <w:top w:val="nil"/>
              <w:left w:val="nil"/>
              <w:bottom w:val="nil"/>
              <w:right w:val="nil"/>
            </w:tcBorders>
            <w:shd w:val="clear" w:color="000000" w:fill="C9E3B4"/>
            <w:noWrap/>
            <w:vAlign w:val="center"/>
            <w:hideMark/>
          </w:tcPr>
          <w:p w14:paraId="233B1E6C"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39,416</w:t>
            </w:r>
          </w:p>
        </w:tc>
        <w:tc>
          <w:tcPr>
            <w:tcW w:w="682" w:type="dxa"/>
            <w:tcBorders>
              <w:top w:val="nil"/>
              <w:left w:val="nil"/>
              <w:bottom w:val="nil"/>
              <w:right w:val="nil"/>
            </w:tcBorders>
            <w:shd w:val="clear" w:color="auto" w:fill="auto"/>
            <w:noWrap/>
            <w:vAlign w:val="center"/>
            <w:hideMark/>
          </w:tcPr>
          <w:p w14:paraId="2E0AD7FF"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03" w:type="dxa"/>
            <w:gridSpan w:val="2"/>
            <w:tcBorders>
              <w:top w:val="nil"/>
              <w:left w:val="nil"/>
              <w:bottom w:val="nil"/>
              <w:right w:val="nil"/>
            </w:tcBorders>
            <w:shd w:val="clear" w:color="000000" w:fill="C9E3B4"/>
            <w:noWrap/>
            <w:vAlign w:val="center"/>
            <w:hideMark/>
          </w:tcPr>
          <w:p w14:paraId="710D2567"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30,457</w:t>
            </w:r>
          </w:p>
        </w:tc>
        <w:tc>
          <w:tcPr>
            <w:tcW w:w="682" w:type="dxa"/>
            <w:gridSpan w:val="2"/>
            <w:tcBorders>
              <w:top w:val="nil"/>
              <w:left w:val="nil"/>
              <w:bottom w:val="nil"/>
              <w:right w:val="nil"/>
            </w:tcBorders>
            <w:shd w:val="clear" w:color="auto" w:fill="auto"/>
            <w:noWrap/>
            <w:vAlign w:val="center"/>
            <w:hideMark/>
          </w:tcPr>
          <w:p w14:paraId="2060E378"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755" w:type="dxa"/>
            <w:tcBorders>
              <w:top w:val="nil"/>
              <w:left w:val="nil"/>
              <w:bottom w:val="nil"/>
              <w:right w:val="nil"/>
            </w:tcBorders>
            <w:shd w:val="clear" w:color="000000" w:fill="C9E3B4"/>
            <w:noWrap/>
            <w:vAlign w:val="center"/>
            <w:hideMark/>
          </w:tcPr>
          <w:p w14:paraId="40034098"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556,330</w:t>
            </w:r>
          </w:p>
        </w:tc>
      </w:tr>
      <w:tr w:rsidR="00361746" w:rsidRPr="00361746" w14:paraId="2680BF98" w14:textId="77777777" w:rsidTr="00B03C77">
        <w:trPr>
          <w:gridAfter w:val="3"/>
          <w:wAfter w:w="2081" w:type="dxa"/>
          <w:trHeight w:hRule="exact" w:val="259"/>
        </w:trPr>
        <w:tc>
          <w:tcPr>
            <w:tcW w:w="2536" w:type="dxa"/>
            <w:tcBorders>
              <w:top w:val="nil"/>
              <w:left w:val="nil"/>
              <w:bottom w:val="nil"/>
              <w:right w:val="nil"/>
            </w:tcBorders>
            <w:shd w:val="clear" w:color="auto" w:fill="auto"/>
            <w:noWrap/>
            <w:vAlign w:val="center"/>
            <w:hideMark/>
          </w:tcPr>
          <w:p w14:paraId="2A35284E" w14:textId="77777777" w:rsidR="00361746" w:rsidRPr="00361746" w:rsidRDefault="00361746" w:rsidP="00361746">
            <w:pPr>
              <w:spacing w:before="0" w:line="240" w:lineRule="auto"/>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Borrowings</w:t>
            </w:r>
          </w:p>
        </w:tc>
        <w:tc>
          <w:tcPr>
            <w:tcW w:w="1111" w:type="dxa"/>
            <w:gridSpan w:val="3"/>
            <w:tcBorders>
              <w:top w:val="nil"/>
              <w:left w:val="nil"/>
              <w:bottom w:val="nil"/>
              <w:right w:val="nil"/>
            </w:tcBorders>
            <w:shd w:val="clear" w:color="000000" w:fill="C9E3B4"/>
            <w:noWrap/>
            <w:vAlign w:val="center"/>
            <w:hideMark/>
          </w:tcPr>
          <w:p w14:paraId="5457F1BB"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c>
          <w:tcPr>
            <w:tcW w:w="683" w:type="dxa"/>
            <w:gridSpan w:val="2"/>
            <w:tcBorders>
              <w:top w:val="nil"/>
              <w:left w:val="nil"/>
              <w:bottom w:val="nil"/>
              <w:right w:val="nil"/>
            </w:tcBorders>
            <w:shd w:val="clear" w:color="auto" w:fill="auto"/>
            <w:noWrap/>
            <w:vAlign w:val="center"/>
            <w:hideMark/>
          </w:tcPr>
          <w:p w14:paraId="4CE17204"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52" w:type="dxa"/>
            <w:gridSpan w:val="4"/>
            <w:tcBorders>
              <w:top w:val="nil"/>
              <w:left w:val="nil"/>
              <w:bottom w:val="nil"/>
              <w:right w:val="nil"/>
            </w:tcBorders>
            <w:shd w:val="clear" w:color="000000" w:fill="C9E3B4"/>
            <w:noWrap/>
            <w:vAlign w:val="center"/>
            <w:hideMark/>
          </w:tcPr>
          <w:p w14:paraId="7FDFF08C"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10,229</w:t>
            </w:r>
          </w:p>
        </w:tc>
        <w:tc>
          <w:tcPr>
            <w:tcW w:w="806" w:type="dxa"/>
            <w:tcBorders>
              <w:top w:val="nil"/>
              <w:left w:val="nil"/>
              <w:bottom w:val="nil"/>
              <w:right w:val="nil"/>
            </w:tcBorders>
            <w:shd w:val="clear" w:color="auto" w:fill="auto"/>
            <w:noWrap/>
            <w:vAlign w:val="center"/>
            <w:hideMark/>
          </w:tcPr>
          <w:p w14:paraId="4D1C16AE"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492" w:type="dxa"/>
            <w:gridSpan w:val="3"/>
            <w:tcBorders>
              <w:top w:val="nil"/>
              <w:left w:val="nil"/>
              <w:bottom w:val="nil"/>
              <w:right w:val="nil"/>
            </w:tcBorders>
            <w:shd w:val="clear" w:color="000000" w:fill="C9E3B4"/>
            <w:noWrap/>
            <w:vAlign w:val="center"/>
            <w:hideMark/>
          </w:tcPr>
          <w:p w14:paraId="499EF9BC"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c>
          <w:tcPr>
            <w:tcW w:w="682" w:type="dxa"/>
            <w:tcBorders>
              <w:top w:val="nil"/>
              <w:left w:val="nil"/>
              <w:bottom w:val="nil"/>
              <w:right w:val="nil"/>
            </w:tcBorders>
            <w:shd w:val="clear" w:color="auto" w:fill="auto"/>
            <w:noWrap/>
            <w:vAlign w:val="center"/>
            <w:hideMark/>
          </w:tcPr>
          <w:p w14:paraId="72DF8A0B"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03" w:type="dxa"/>
            <w:gridSpan w:val="2"/>
            <w:tcBorders>
              <w:top w:val="nil"/>
              <w:left w:val="nil"/>
              <w:bottom w:val="nil"/>
              <w:right w:val="nil"/>
            </w:tcBorders>
            <w:shd w:val="clear" w:color="000000" w:fill="C9E3B4"/>
            <w:noWrap/>
            <w:vAlign w:val="center"/>
            <w:hideMark/>
          </w:tcPr>
          <w:p w14:paraId="04BFC5A8"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c>
          <w:tcPr>
            <w:tcW w:w="682" w:type="dxa"/>
            <w:gridSpan w:val="2"/>
            <w:tcBorders>
              <w:top w:val="nil"/>
              <w:left w:val="nil"/>
              <w:bottom w:val="nil"/>
              <w:right w:val="nil"/>
            </w:tcBorders>
            <w:shd w:val="clear" w:color="auto" w:fill="auto"/>
            <w:noWrap/>
            <w:vAlign w:val="center"/>
            <w:hideMark/>
          </w:tcPr>
          <w:p w14:paraId="4C0E62AC"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755" w:type="dxa"/>
            <w:tcBorders>
              <w:top w:val="nil"/>
              <w:left w:val="nil"/>
              <w:bottom w:val="nil"/>
              <w:right w:val="nil"/>
            </w:tcBorders>
            <w:shd w:val="clear" w:color="000000" w:fill="C9E3B4"/>
            <w:noWrap/>
            <w:vAlign w:val="center"/>
            <w:hideMark/>
          </w:tcPr>
          <w:p w14:paraId="5EEC3381"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30,143</w:t>
            </w:r>
          </w:p>
        </w:tc>
      </w:tr>
      <w:tr w:rsidR="00361746" w:rsidRPr="00361746" w14:paraId="039D2040" w14:textId="77777777" w:rsidTr="00B03C77">
        <w:trPr>
          <w:gridAfter w:val="3"/>
          <w:wAfter w:w="2081" w:type="dxa"/>
          <w:trHeight w:hRule="exact" w:val="259"/>
        </w:trPr>
        <w:tc>
          <w:tcPr>
            <w:tcW w:w="2536" w:type="dxa"/>
            <w:tcBorders>
              <w:top w:val="nil"/>
              <w:left w:val="nil"/>
              <w:bottom w:val="nil"/>
              <w:right w:val="nil"/>
            </w:tcBorders>
            <w:shd w:val="clear" w:color="auto" w:fill="auto"/>
            <w:noWrap/>
            <w:vAlign w:val="center"/>
            <w:hideMark/>
          </w:tcPr>
          <w:p w14:paraId="3442FAFE" w14:textId="77777777" w:rsidR="00361746" w:rsidRPr="00361746" w:rsidRDefault="00361746" w:rsidP="00361746">
            <w:pPr>
              <w:spacing w:before="0" w:line="240" w:lineRule="auto"/>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Provisions</w:t>
            </w:r>
          </w:p>
        </w:tc>
        <w:tc>
          <w:tcPr>
            <w:tcW w:w="1111" w:type="dxa"/>
            <w:gridSpan w:val="3"/>
            <w:tcBorders>
              <w:top w:val="nil"/>
              <w:left w:val="nil"/>
              <w:bottom w:val="nil"/>
              <w:right w:val="nil"/>
            </w:tcBorders>
            <w:shd w:val="clear" w:color="000000" w:fill="C9E3B4"/>
            <w:noWrap/>
            <w:vAlign w:val="center"/>
            <w:hideMark/>
          </w:tcPr>
          <w:p w14:paraId="08A3B4C6"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c>
          <w:tcPr>
            <w:tcW w:w="683" w:type="dxa"/>
            <w:gridSpan w:val="2"/>
            <w:tcBorders>
              <w:top w:val="nil"/>
              <w:left w:val="nil"/>
              <w:bottom w:val="nil"/>
              <w:right w:val="nil"/>
            </w:tcBorders>
            <w:shd w:val="clear" w:color="auto" w:fill="auto"/>
            <w:noWrap/>
            <w:vAlign w:val="center"/>
            <w:hideMark/>
          </w:tcPr>
          <w:p w14:paraId="0B5AC2E2"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52" w:type="dxa"/>
            <w:gridSpan w:val="4"/>
            <w:tcBorders>
              <w:top w:val="nil"/>
              <w:left w:val="nil"/>
              <w:bottom w:val="nil"/>
              <w:right w:val="nil"/>
            </w:tcBorders>
            <w:shd w:val="clear" w:color="000000" w:fill="C9E3B4"/>
            <w:noWrap/>
            <w:vAlign w:val="center"/>
            <w:hideMark/>
          </w:tcPr>
          <w:p w14:paraId="33F31F5C"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182,203</w:t>
            </w:r>
          </w:p>
        </w:tc>
        <w:tc>
          <w:tcPr>
            <w:tcW w:w="806" w:type="dxa"/>
            <w:tcBorders>
              <w:top w:val="nil"/>
              <w:left w:val="nil"/>
              <w:bottom w:val="nil"/>
              <w:right w:val="nil"/>
            </w:tcBorders>
            <w:shd w:val="clear" w:color="auto" w:fill="auto"/>
            <w:noWrap/>
            <w:vAlign w:val="center"/>
            <w:hideMark/>
          </w:tcPr>
          <w:p w14:paraId="1106DC4C"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492" w:type="dxa"/>
            <w:gridSpan w:val="3"/>
            <w:tcBorders>
              <w:top w:val="nil"/>
              <w:left w:val="nil"/>
              <w:bottom w:val="nil"/>
              <w:right w:val="nil"/>
            </w:tcBorders>
            <w:shd w:val="clear" w:color="000000" w:fill="C9E3B4"/>
            <w:noWrap/>
            <w:vAlign w:val="center"/>
            <w:hideMark/>
          </w:tcPr>
          <w:p w14:paraId="4F3E1B36"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c>
          <w:tcPr>
            <w:tcW w:w="682" w:type="dxa"/>
            <w:tcBorders>
              <w:top w:val="nil"/>
              <w:left w:val="nil"/>
              <w:bottom w:val="nil"/>
              <w:right w:val="nil"/>
            </w:tcBorders>
            <w:shd w:val="clear" w:color="auto" w:fill="auto"/>
            <w:noWrap/>
            <w:vAlign w:val="center"/>
            <w:hideMark/>
          </w:tcPr>
          <w:p w14:paraId="1CA6CB06"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03" w:type="dxa"/>
            <w:gridSpan w:val="2"/>
            <w:tcBorders>
              <w:top w:val="nil"/>
              <w:left w:val="nil"/>
              <w:bottom w:val="nil"/>
              <w:right w:val="nil"/>
            </w:tcBorders>
            <w:shd w:val="clear" w:color="000000" w:fill="C9E3B4"/>
            <w:noWrap/>
            <w:vAlign w:val="center"/>
            <w:hideMark/>
          </w:tcPr>
          <w:p w14:paraId="45C767F1"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c>
          <w:tcPr>
            <w:tcW w:w="682" w:type="dxa"/>
            <w:gridSpan w:val="2"/>
            <w:tcBorders>
              <w:top w:val="nil"/>
              <w:left w:val="nil"/>
              <w:bottom w:val="nil"/>
              <w:right w:val="nil"/>
            </w:tcBorders>
            <w:shd w:val="clear" w:color="auto" w:fill="auto"/>
            <w:noWrap/>
            <w:vAlign w:val="center"/>
            <w:hideMark/>
          </w:tcPr>
          <w:p w14:paraId="0DEB5C53"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755" w:type="dxa"/>
            <w:tcBorders>
              <w:top w:val="nil"/>
              <w:left w:val="nil"/>
              <w:bottom w:val="nil"/>
              <w:right w:val="nil"/>
            </w:tcBorders>
            <w:shd w:val="clear" w:color="000000" w:fill="C9E3B4"/>
            <w:noWrap/>
            <w:vAlign w:val="center"/>
            <w:hideMark/>
          </w:tcPr>
          <w:p w14:paraId="1941927A"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46,515</w:t>
            </w:r>
          </w:p>
        </w:tc>
      </w:tr>
      <w:tr w:rsidR="00361746" w:rsidRPr="00361746" w14:paraId="7FBFDBE8" w14:textId="77777777" w:rsidTr="00B03C77">
        <w:trPr>
          <w:gridAfter w:val="3"/>
          <w:wAfter w:w="2081" w:type="dxa"/>
          <w:trHeight w:hRule="exact" w:val="259"/>
        </w:trPr>
        <w:tc>
          <w:tcPr>
            <w:tcW w:w="2536" w:type="dxa"/>
            <w:tcBorders>
              <w:top w:val="nil"/>
              <w:left w:val="nil"/>
              <w:bottom w:val="nil"/>
              <w:right w:val="nil"/>
            </w:tcBorders>
            <w:shd w:val="clear" w:color="auto" w:fill="auto"/>
            <w:noWrap/>
            <w:vAlign w:val="center"/>
            <w:hideMark/>
          </w:tcPr>
          <w:p w14:paraId="3DEAE721" w14:textId="77777777" w:rsidR="00361746" w:rsidRPr="00361746" w:rsidRDefault="00361746" w:rsidP="00361746">
            <w:pPr>
              <w:spacing w:before="0" w:line="240" w:lineRule="auto"/>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Accrued employee benefits</w:t>
            </w:r>
          </w:p>
        </w:tc>
        <w:tc>
          <w:tcPr>
            <w:tcW w:w="1111" w:type="dxa"/>
            <w:gridSpan w:val="3"/>
            <w:tcBorders>
              <w:top w:val="nil"/>
              <w:left w:val="nil"/>
              <w:bottom w:val="nil"/>
              <w:right w:val="nil"/>
            </w:tcBorders>
            <w:shd w:val="clear" w:color="000000" w:fill="C9E3B4"/>
            <w:noWrap/>
            <w:vAlign w:val="center"/>
            <w:hideMark/>
          </w:tcPr>
          <w:p w14:paraId="77B1B972"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3,013</w:t>
            </w:r>
          </w:p>
        </w:tc>
        <w:tc>
          <w:tcPr>
            <w:tcW w:w="683" w:type="dxa"/>
            <w:gridSpan w:val="2"/>
            <w:tcBorders>
              <w:top w:val="nil"/>
              <w:left w:val="nil"/>
              <w:bottom w:val="nil"/>
              <w:right w:val="nil"/>
            </w:tcBorders>
            <w:shd w:val="clear" w:color="auto" w:fill="auto"/>
            <w:noWrap/>
            <w:vAlign w:val="center"/>
            <w:hideMark/>
          </w:tcPr>
          <w:p w14:paraId="78245028"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52" w:type="dxa"/>
            <w:gridSpan w:val="4"/>
            <w:tcBorders>
              <w:top w:val="nil"/>
              <w:left w:val="nil"/>
              <w:bottom w:val="nil"/>
              <w:right w:val="nil"/>
            </w:tcBorders>
            <w:shd w:val="clear" w:color="000000" w:fill="C9E3B4"/>
            <w:noWrap/>
            <w:vAlign w:val="center"/>
            <w:hideMark/>
          </w:tcPr>
          <w:p w14:paraId="24241794"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7,878</w:t>
            </w:r>
          </w:p>
        </w:tc>
        <w:tc>
          <w:tcPr>
            <w:tcW w:w="806" w:type="dxa"/>
            <w:tcBorders>
              <w:top w:val="nil"/>
              <w:left w:val="nil"/>
              <w:bottom w:val="nil"/>
              <w:right w:val="nil"/>
            </w:tcBorders>
            <w:shd w:val="clear" w:color="auto" w:fill="auto"/>
            <w:noWrap/>
            <w:vAlign w:val="center"/>
            <w:hideMark/>
          </w:tcPr>
          <w:p w14:paraId="17A944C9"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492" w:type="dxa"/>
            <w:gridSpan w:val="3"/>
            <w:tcBorders>
              <w:top w:val="nil"/>
              <w:left w:val="nil"/>
              <w:bottom w:val="nil"/>
              <w:right w:val="nil"/>
            </w:tcBorders>
            <w:shd w:val="clear" w:color="000000" w:fill="C9E3B4"/>
            <w:noWrap/>
            <w:vAlign w:val="center"/>
            <w:hideMark/>
          </w:tcPr>
          <w:p w14:paraId="53C09974"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3,497</w:t>
            </w:r>
          </w:p>
        </w:tc>
        <w:tc>
          <w:tcPr>
            <w:tcW w:w="682" w:type="dxa"/>
            <w:tcBorders>
              <w:top w:val="nil"/>
              <w:left w:val="nil"/>
              <w:bottom w:val="nil"/>
              <w:right w:val="nil"/>
            </w:tcBorders>
            <w:shd w:val="clear" w:color="auto" w:fill="auto"/>
            <w:noWrap/>
            <w:vAlign w:val="center"/>
            <w:hideMark/>
          </w:tcPr>
          <w:p w14:paraId="1ECBC717"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03" w:type="dxa"/>
            <w:gridSpan w:val="2"/>
            <w:tcBorders>
              <w:top w:val="nil"/>
              <w:left w:val="nil"/>
              <w:bottom w:val="nil"/>
              <w:right w:val="nil"/>
            </w:tcBorders>
            <w:shd w:val="clear" w:color="000000" w:fill="C9E3B4"/>
            <w:noWrap/>
            <w:vAlign w:val="center"/>
            <w:hideMark/>
          </w:tcPr>
          <w:p w14:paraId="0AA18FEE"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7,702</w:t>
            </w:r>
          </w:p>
        </w:tc>
        <w:tc>
          <w:tcPr>
            <w:tcW w:w="682" w:type="dxa"/>
            <w:gridSpan w:val="2"/>
            <w:tcBorders>
              <w:top w:val="nil"/>
              <w:left w:val="nil"/>
              <w:bottom w:val="nil"/>
              <w:right w:val="nil"/>
            </w:tcBorders>
            <w:shd w:val="clear" w:color="auto" w:fill="auto"/>
            <w:noWrap/>
            <w:vAlign w:val="center"/>
            <w:hideMark/>
          </w:tcPr>
          <w:p w14:paraId="731B5761"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755" w:type="dxa"/>
            <w:tcBorders>
              <w:top w:val="nil"/>
              <w:left w:val="nil"/>
              <w:bottom w:val="nil"/>
              <w:right w:val="nil"/>
            </w:tcBorders>
            <w:shd w:val="clear" w:color="000000" w:fill="C9E3B4"/>
            <w:noWrap/>
            <w:vAlign w:val="center"/>
            <w:hideMark/>
          </w:tcPr>
          <w:p w14:paraId="7AF40DBC"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4,170</w:t>
            </w:r>
          </w:p>
        </w:tc>
      </w:tr>
      <w:tr w:rsidR="00361746" w:rsidRPr="00361746" w14:paraId="3D8AE185" w14:textId="77777777" w:rsidTr="00B03C77">
        <w:trPr>
          <w:gridAfter w:val="3"/>
          <w:wAfter w:w="2081" w:type="dxa"/>
          <w:trHeight w:hRule="exact" w:val="259"/>
        </w:trPr>
        <w:tc>
          <w:tcPr>
            <w:tcW w:w="2536" w:type="dxa"/>
            <w:tcBorders>
              <w:top w:val="nil"/>
              <w:left w:val="nil"/>
              <w:bottom w:val="nil"/>
              <w:right w:val="nil"/>
            </w:tcBorders>
            <w:shd w:val="clear" w:color="auto" w:fill="auto"/>
            <w:noWrap/>
            <w:vAlign w:val="center"/>
            <w:hideMark/>
          </w:tcPr>
          <w:p w14:paraId="7E6441CC" w14:textId="77777777" w:rsidR="00361746" w:rsidRPr="00361746" w:rsidRDefault="00361746" w:rsidP="00361746">
            <w:pPr>
              <w:spacing w:before="0" w:line="240" w:lineRule="auto"/>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lastRenderedPageBreak/>
              <w:t xml:space="preserve">Unearned revenue – Service concession arrangements </w:t>
            </w:r>
          </w:p>
        </w:tc>
        <w:tc>
          <w:tcPr>
            <w:tcW w:w="1111" w:type="dxa"/>
            <w:gridSpan w:val="3"/>
            <w:tcBorders>
              <w:top w:val="nil"/>
              <w:left w:val="nil"/>
              <w:bottom w:val="nil"/>
              <w:right w:val="nil"/>
            </w:tcBorders>
            <w:shd w:val="clear" w:color="000000" w:fill="C9E3B4"/>
            <w:noWrap/>
            <w:vAlign w:val="center"/>
            <w:hideMark/>
          </w:tcPr>
          <w:p w14:paraId="673D2C50"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c>
          <w:tcPr>
            <w:tcW w:w="683" w:type="dxa"/>
            <w:gridSpan w:val="2"/>
            <w:tcBorders>
              <w:top w:val="nil"/>
              <w:left w:val="nil"/>
              <w:bottom w:val="nil"/>
              <w:right w:val="nil"/>
            </w:tcBorders>
            <w:shd w:val="clear" w:color="auto" w:fill="auto"/>
            <w:noWrap/>
            <w:vAlign w:val="center"/>
            <w:hideMark/>
          </w:tcPr>
          <w:p w14:paraId="30D9E6FC"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52" w:type="dxa"/>
            <w:gridSpan w:val="4"/>
            <w:tcBorders>
              <w:top w:val="nil"/>
              <w:left w:val="nil"/>
              <w:bottom w:val="nil"/>
              <w:right w:val="nil"/>
            </w:tcBorders>
            <w:shd w:val="clear" w:color="000000" w:fill="C9E3B4"/>
            <w:noWrap/>
            <w:vAlign w:val="center"/>
            <w:hideMark/>
          </w:tcPr>
          <w:p w14:paraId="327F16EE"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223,020</w:t>
            </w:r>
          </w:p>
        </w:tc>
        <w:tc>
          <w:tcPr>
            <w:tcW w:w="806" w:type="dxa"/>
            <w:tcBorders>
              <w:top w:val="nil"/>
              <w:left w:val="nil"/>
              <w:bottom w:val="nil"/>
              <w:right w:val="nil"/>
            </w:tcBorders>
            <w:shd w:val="clear" w:color="auto" w:fill="auto"/>
            <w:noWrap/>
            <w:vAlign w:val="center"/>
            <w:hideMark/>
          </w:tcPr>
          <w:p w14:paraId="509F89F1"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492" w:type="dxa"/>
            <w:gridSpan w:val="3"/>
            <w:tcBorders>
              <w:top w:val="nil"/>
              <w:left w:val="nil"/>
              <w:bottom w:val="nil"/>
              <w:right w:val="nil"/>
            </w:tcBorders>
            <w:shd w:val="clear" w:color="000000" w:fill="C9E3B4"/>
            <w:noWrap/>
            <w:vAlign w:val="center"/>
            <w:hideMark/>
          </w:tcPr>
          <w:p w14:paraId="137BC875"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c>
          <w:tcPr>
            <w:tcW w:w="682" w:type="dxa"/>
            <w:tcBorders>
              <w:top w:val="nil"/>
              <w:left w:val="nil"/>
              <w:bottom w:val="nil"/>
              <w:right w:val="nil"/>
            </w:tcBorders>
            <w:shd w:val="clear" w:color="auto" w:fill="auto"/>
            <w:noWrap/>
            <w:vAlign w:val="center"/>
            <w:hideMark/>
          </w:tcPr>
          <w:p w14:paraId="0EC5E52F"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03" w:type="dxa"/>
            <w:gridSpan w:val="2"/>
            <w:tcBorders>
              <w:top w:val="nil"/>
              <w:left w:val="nil"/>
              <w:bottom w:val="nil"/>
              <w:right w:val="nil"/>
            </w:tcBorders>
            <w:shd w:val="clear" w:color="000000" w:fill="C9E3B4"/>
            <w:noWrap/>
            <w:vAlign w:val="center"/>
            <w:hideMark/>
          </w:tcPr>
          <w:p w14:paraId="58F5E3C9"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c>
          <w:tcPr>
            <w:tcW w:w="682" w:type="dxa"/>
            <w:gridSpan w:val="2"/>
            <w:tcBorders>
              <w:top w:val="nil"/>
              <w:left w:val="nil"/>
              <w:bottom w:val="nil"/>
              <w:right w:val="nil"/>
            </w:tcBorders>
            <w:shd w:val="clear" w:color="auto" w:fill="auto"/>
            <w:noWrap/>
            <w:vAlign w:val="center"/>
            <w:hideMark/>
          </w:tcPr>
          <w:p w14:paraId="6C307A32"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755" w:type="dxa"/>
            <w:tcBorders>
              <w:top w:val="nil"/>
              <w:left w:val="nil"/>
              <w:bottom w:val="nil"/>
              <w:right w:val="nil"/>
            </w:tcBorders>
            <w:shd w:val="clear" w:color="000000" w:fill="C9E3B4"/>
            <w:noWrap/>
            <w:vAlign w:val="center"/>
            <w:hideMark/>
          </w:tcPr>
          <w:p w14:paraId="1ACCCAC0"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9,160</w:t>
            </w:r>
          </w:p>
        </w:tc>
      </w:tr>
      <w:tr w:rsidR="00361746" w:rsidRPr="00361746" w14:paraId="42DD64EF" w14:textId="77777777" w:rsidTr="00B03C77">
        <w:trPr>
          <w:gridAfter w:val="3"/>
          <w:wAfter w:w="2081" w:type="dxa"/>
          <w:trHeight w:hRule="exact" w:val="267"/>
        </w:trPr>
        <w:tc>
          <w:tcPr>
            <w:tcW w:w="2536" w:type="dxa"/>
            <w:tcBorders>
              <w:top w:val="nil"/>
              <w:left w:val="nil"/>
              <w:bottom w:val="nil"/>
              <w:right w:val="nil"/>
            </w:tcBorders>
            <w:shd w:val="clear" w:color="auto" w:fill="auto"/>
            <w:noWrap/>
            <w:vAlign w:val="center"/>
            <w:hideMark/>
          </w:tcPr>
          <w:p w14:paraId="13FA86E2" w14:textId="77777777" w:rsidR="00361746" w:rsidRPr="00361746" w:rsidRDefault="00361746" w:rsidP="00361746">
            <w:pPr>
              <w:spacing w:before="0" w:line="240" w:lineRule="auto"/>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Other </w:t>
            </w:r>
          </w:p>
        </w:tc>
        <w:tc>
          <w:tcPr>
            <w:tcW w:w="1111" w:type="dxa"/>
            <w:gridSpan w:val="3"/>
            <w:tcBorders>
              <w:top w:val="nil"/>
              <w:left w:val="nil"/>
              <w:bottom w:val="single" w:sz="8" w:space="0" w:color="auto"/>
              <w:right w:val="nil"/>
            </w:tcBorders>
            <w:shd w:val="clear" w:color="000000" w:fill="C9E3B4"/>
            <w:noWrap/>
            <w:vAlign w:val="center"/>
            <w:hideMark/>
          </w:tcPr>
          <w:p w14:paraId="0D153E3B"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51,344</w:t>
            </w:r>
          </w:p>
        </w:tc>
        <w:tc>
          <w:tcPr>
            <w:tcW w:w="683" w:type="dxa"/>
            <w:gridSpan w:val="2"/>
            <w:tcBorders>
              <w:top w:val="nil"/>
              <w:left w:val="nil"/>
              <w:bottom w:val="nil"/>
              <w:right w:val="nil"/>
            </w:tcBorders>
            <w:shd w:val="clear" w:color="auto" w:fill="auto"/>
            <w:noWrap/>
            <w:vAlign w:val="center"/>
            <w:hideMark/>
          </w:tcPr>
          <w:p w14:paraId="030124C5"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52" w:type="dxa"/>
            <w:gridSpan w:val="4"/>
            <w:tcBorders>
              <w:top w:val="nil"/>
              <w:left w:val="nil"/>
              <w:bottom w:val="single" w:sz="8" w:space="0" w:color="auto"/>
              <w:right w:val="nil"/>
            </w:tcBorders>
            <w:shd w:val="clear" w:color="000000" w:fill="C9E3B4"/>
            <w:noWrap/>
            <w:vAlign w:val="center"/>
            <w:hideMark/>
          </w:tcPr>
          <w:p w14:paraId="5DEC4A0B"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86,377</w:t>
            </w:r>
          </w:p>
        </w:tc>
        <w:tc>
          <w:tcPr>
            <w:tcW w:w="806" w:type="dxa"/>
            <w:tcBorders>
              <w:top w:val="nil"/>
              <w:left w:val="nil"/>
              <w:bottom w:val="nil"/>
              <w:right w:val="nil"/>
            </w:tcBorders>
            <w:shd w:val="clear" w:color="auto" w:fill="auto"/>
            <w:noWrap/>
            <w:vAlign w:val="center"/>
            <w:hideMark/>
          </w:tcPr>
          <w:p w14:paraId="4CE175D8"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492" w:type="dxa"/>
            <w:gridSpan w:val="3"/>
            <w:tcBorders>
              <w:top w:val="nil"/>
              <w:left w:val="nil"/>
              <w:bottom w:val="single" w:sz="8" w:space="0" w:color="auto"/>
              <w:right w:val="nil"/>
            </w:tcBorders>
            <w:shd w:val="clear" w:color="000000" w:fill="C9E3B4"/>
            <w:noWrap/>
            <w:vAlign w:val="center"/>
            <w:hideMark/>
          </w:tcPr>
          <w:p w14:paraId="0072B4E4"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1,227</w:t>
            </w:r>
          </w:p>
        </w:tc>
        <w:tc>
          <w:tcPr>
            <w:tcW w:w="682" w:type="dxa"/>
            <w:tcBorders>
              <w:top w:val="nil"/>
              <w:left w:val="nil"/>
              <w:bottom w:val="nil"/>
              <w:right w:val="nil"/>
            </w:tcBorders>
            <w:shd w:val="clear" w:color="auto" w:fill="auto"/>
            <w:noWrap/>
            <w:vAlign w:val="center"/>
            <w:hideMark/>
          </w:tcPr>
          <w:p w14:paraId="4B924500"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03" w:type="dxa"/>
            <w:gridSpan w:val="2"/>
            <w:tcBorders>
              <w:top w:val="nil"/>
              <w:left w:val="nil"/>
              <w:bottom w:val="single" w:sz="8" w:space="0" w:color="auto"/>
              <w:right w:val="nil"/>
            </w:tcBorders>
            <w:shd w:val="clear" w:color="000000" w:fill="C9E3B4"/>
            <w:noWrap/>
            <w:vAlign w:val="center"/>
            <w:hideMark/>
          </w:tcPr>
          <w:p w14:paraId="456DF75A"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xml:space="preserve">- </w:t>
            </w:r>
          </w:p>
        </w:tc>
        <w:tc>
          <w:tcPr>
            <w:tcW w:w="682" w:type="dxa"/>
            <w:gridSpan w:val="2"/>
            <w:tcBorders>
              <w:top w:val="nil"/>
              <w:left w:val="nil"/>
              <w:bottom w:val="nil"/>
              <w:right w:val="nil"/>
            </w:tcBorders>
            <w:shd w:val="clear" w:color="auto" w:fill="auto"/>
            <w:noWrap/>
            <w:vAlign w:val="center"/>
            <w:hideMark/>
          </w:tcPr>
          <w:p w14:paraId="26B721A5"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755" w:type="dxa"/>
            <w:tcBorders>
              <w:top w:val="nil"/>
              <w:left w:val="nil"/>
              <w:bottom w:val="nil"/>
              <w:right w:val="nil"/>
            </w:tcBorders>
            <w:shd w:val="clear" w:color="000000" w:fill="C9E3B4"/>
            <w:noWrap/>
            <w:vAlign w:val="center"/>
            <w:hideMark/>
          </w:tcPr>
          <w:p w14:paraId="5A928AA3"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95,246</w:t>
            </w:r>
          </w:p>
        </w:tc>
      </w:tr>
      <w:tr w:rsidR="00361746" w:rsidRPr="00361746" w14:paraId="6DD7F3ED" w14:textId="77777777" w:rsidTr="00B03C77">
        <w:trPr>
          <w:gridAfter w:val="3"/>
          <w:wAfter w:w="2081" w:type="dxa"/>
          <w:trHeight w:hRule="exact" w:val="259"/>
        </w:trPr>
        <w:tc>
          <w:tcPr>
            <w:tcW w:w="2536" w:type="dxa"/>
            <w:tcBorders>
              <w:top w:val="single" w:sz="8" w:space="0" w:color="auto"/>
              <w:left w:val="nil"/>
              <w:bottom w:val="nil"/>
              <w:right w:val="nil"/>
            </w:tcBorders>
            <w:shd w:val="clear" w:color="auto" w:fill="auto"/>
            <w:noWrap/>
            <w:vAlign w:val="center"/>
            <w:hideMark/>
          </w:tcPr>
          <w:p w14:paraId="4275F6DF" w14:textId="77777777" w:rsidR="00361746" w:rsidRPr="00361746" w:rsidRDefault="00361746" w:rsidP="00361746">
            <w:pPr>
              <w:spacing w:before="0" w:line="240" w:lineRule="auto"/>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Total current liabilities</w:t>
            </w:r>
          </w:p>
        </w:tc>
        <w:tc>
          <w:tcPr>
            <w:tcW w:w="1111" w:type="dxa"/>
            <w:gridSpan w:val="3"/>
            <w:tcBorders>
              <w:top w:val="single" w:sz="8" w:space="0" w:color="auto"/>
              <w:left w:val="nil"/>
              <w:bottom w:val="nil"/>
              <w:right w:val="nil"/>
            </w:tcBorders>
            <w:shd w:val="clear" w:color="000000" w:fill="C9E3B4"/>
            <w:noWrap/>
            <w:vAlign w:val="center"/>
            <w:hideMark/>
          </w:tcPr>
          <w:p w14:paraId="428C9EE1"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61,784</w:t>
            </w:r>
          </w:p>
        </w:tc>
        <w:tc>
          <w:tcPr>
            <w:tcW w:w="683" w:type="dxa"/>
            <w:gridSpan w:val="2"/>
            <w:tcBorders>
              <w:top w:val="single" w:sz="8" w:space="0" w:color="auto"/>
              <w:left w:val="nil"/>
              <w:bottom w:val="nil"/>
              <w:right w:val="nil"/>
            </w:tcBorders>
            <w:shd w:val="clear" w:color="auto" w:fill="auto"/>
            <w:noWrap/>
            <w:vAlign w:val="center"/>
            <w:hideMark/>
          </w:tcPr>
          <w:p w14:paraId="27B7FDB9"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 </w:t>
            </w:r>
          </w:p>
        </w:tc>
        <w:tc>
          <w:tcPr>
            <w:tcW w:w="1552" w:type="dxa"/>
            <w:gridSpan w:val="4"/>
            <w:tcBorders>
              <w:top w:val="single" w:sz="8" w:space="0" w:color="auto"/>
              <w:left w:val="nil"/>
              <w:bottom w:val="nil"/>
              <w:right w:val="nil"/>
            </w:tcBorders>
            <w:shd w:val="clear" w:color="000000" w:fill="C9E3B4"/>
            <w:noWrap/>
            <w:vAlign w:val="center"/>
            <w:hideMark/>
          </w:tcPr>
          <w:p w14:paraId="588D6FD5"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679,940</w:t>
            </w:r>
          </w:p>
        </w:tc>
        <w:tc>
          <w:tcPr>
            <w:tcW w:w="806" w:type="dxa"/>
            <w:tcBorders>
              <w:top w:val="single" w:sz="8" w:space="0" w:color="auto"/>
              <w:left w:val="nil"/>
              <w:bottom w:val="nil"/>
              <w:right w:val="nil"/>
            </w:tcBorders>
            <w:shd w:val="clear" w:color="auto" w:fill="auto"/>
            <w:noWrap/>
            <w:vAlign w:val="center"/>
            <w:hideMark/>
          </w:tcPr>
          <w:p w14:paraId="45081F1D"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 </w:t>
            </w:r>
          </w:p>
        </w:tc>
        <w:tc>
          <w:tcPr>
            <w:tcW w:w="1492" w:type="dxa"/>
            <w:gridSpan w:val="3"/>
            <w:tcBorders>
              <w:top w:val="single" w:sz="8" w:space="0" w:color="auto"/>
              <w:left w:val="nil"/>
              <w:bottom w:val="nil"/>
              <w:right w:val="nil"/>
            </w:tcBorders>
            <w:shd w:val="clear" w:color="000000" w:fill="C9E3B4"/>
            <w:noWrap/>
            <w:vAlign w:val="center"/>
            <w:hideMark/>
          </w:tcPr>
          <w:p w14:paraId="639E621E"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44,140</w:t>
            </w:r>
          </w:p>
        </w:tc>
        <w:tc>
          <w:tcPr>
            <w:tcW w:w="682" w:type="dxa"/>
            <w:tcBorders>
              <w:top w:val="single" w:sz="8" w:space="0" w:color="auto"/>
              <w:left w:val="nil"/>
              <w:bottom w:val="nil"/>
              <w:right w:val="nil"/>
            </w:tcBorders>
            <w:shd w:val="clear" w:color="auto" w:fill="auto"/>
            <w:noWrap/>
            <w:vAlign w:val="center"/>
            <w:hideMark/>
          </w:tcPr>
          <w:p w14:paraId="4E26F6C8"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 </w:t>
            </w:r>
          </w:p>
        </w:tc>
        <w:tc>
          <w:tcPr>
            <w:tcW w:w="1503" w:type="dxa"/>
            <w:gridSpan w:val="2"/>
            <w:tcBorders>
              <w:top w:val="single" w:sz="8" w:space="0" w:color="auto"/>
              <w:left w:val="nil"/>
              <w:bottom w:val="nil"/>
              <w:right w:val="nil"/>
            </w:tcBorders>
            <w:shd w:val="clear" w:color="000000" w:fill="C9E3B4"/>
            <w:noWrap/>
            <w:vAlign w:val="center"/>
            <w:hideMark/>
          </w:tcPr>
          <w:p w14:paraId="47D64759"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38,159</w:t>
            </w:r>
          </w:p>
        </w:tc>
        <w:tc>
          <w:tcPr>
            <w:tcW w:w="682" w:type="dxa"/>
            <w:gridSpan w:val="2"/>
            <w:tcBorders>
              <w:top w:val="single" w:sz="8" w:space="0" w:color="auto"/>
              <w:left w:val="nil"/>
              <w:bottom w:val="nil"/>
              <w:right w:val="nil"/>
            </w:tcBorders>
            <w:shd w:val="clear" w:color="auto" w:fill="auto"/>
            <w:noWrap/>
            <w:vAlign w:val="center"/>
            <w:hideMark/>
          </w:tcPr>
          <w:p w14:paraId="027C025E"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 </w:t>
            </w:r>
          </w:p>
        </w:tc>
        <w:tc>
          <w:tcPr>
            <w:tcW w:w="755" w:type="dxa"/>
            <w:tcBorders>
              <w:top w:val="single" w:sz="8" w:space="0" w:color="auto"/>
              <w:left w:val="nil"/>
              <w:bottom w:val="nil"/>
              <w:right w:val="nil"/>
            </w:tcBorders>
            <w:shd w:val="clear" w:color="000000" w:fill="C9E3B4"/>
            <w:noWrap/>
            <w:vAlign w:val="center"/>
            <w:hideMark/>
          </w:tcPr>
          <w:p w14:paraId="6A738C3D"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741,564</w:t>
            </w:r>
          </w:p>
        </w:tc>
      </w:tr>
      <w:tr w:rsidR="00361746" w:rsidRPr="00361746" w14:paraId="203606A5" w14:textId="77777777" w:rsidTr="00B03C77">
        <w:trPr>
          <w:gridAfter w:val="3"/>
          <w:wAfter w:w="2081" w:type="dxa"/>
          <w:trHeight w:hRule="exact" w:val="259"/>
        </w:trPr>
        <w:tc>
          <w:tcPr>
            <w:tcW w:w="2536" w:type="dxa"/>
            <w:tcBorders>
              <w:top w:val="nil"/>
              <w:left w:val="nil"/>
              <w:bottom w:val="nil"/>
              <w:right w:val="nil"/>
            </w:tcBorders>
            <w:shd w:val="clear" w:color="auto" w:fill="auto"/>
            <w:noWrap/>
            <w:vAlign w:val="center"/>
            <w:hideMark/>
          </w:tcPr>
          <w:p w14:paraId="10B5ADEE" w14:textId="77777777" w:rsidR="00361746" w:rsidRPr="00361746" w:rsidRDefault="00361746" w:rsidP="00361746">
            <w:pPr>
              <w:spacing w:before="0" w:line="240" w:lineRule="auto"/>
              <w:jc w:val="right"/>
              <w:rPr>
                <w:rFonts w:ascii="Meta Pro" w:eastAsia="Times New Roman" w:hAnsi="Meta Pro" w:cs="Calibri"/>
                <w:b/>
                <w:bCs/>
                <w:color w:val="000000"/>
                <w:sz w:val="16"/>
                <w:szCs w:val="16"/>
                <w:lang w:eastAsia="en-AU"/>
              </w:rPr>
            </w:pPr>
          </w:p>
        </w:tc>
        <w:tc>
          <w:tcPr>
            <w:tcW w:w="1111" w:type="dxa"/>
            <w:gridSpan w:val="3"/>
            <w:tcBorders>
              <w:top w:val="nil"/>
              <w:left w:val="nil"/>
              <w:bottom w:val="nil"/>
              <w:right w:val="nil"/>
            </w:tcBorders>
            <w:shd w:val="clear" w:color="000000" w:fill="C9E3B4"/>
            <w:noWrap/>
            <w:vAlign w:val="center"/>
            <w:hideMark/>
          </w:tcPr>
          <w:p w14:paraId="24DE4D6B"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c>
          <w:tcPr>
            <w:tcW w:w="683" w:type="dxa"/>
            <w:gridSpan w:val="2"/>
            <w:tcBorders>
              <w:top w:val="nil"/>
              <w:left w:val="nil"/>
              <w:bottom w:val="nil"/>
              <w:right w:val="nil"/>
            </w:tcBorders>
            <w:shd w:val="clear" w:color="auto" w:fill="auto"/>
            <w:noWrap/>
            <w:vAlign w:val="center"/>
            <w:hideMark/>
          </w:tcPr>
          <w:p w14:paraId="7F4CC00F"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52" w:type="dxa"/>
            <w:gridSpan w:val="4"/>
            <w:tcBorders>
              <w:top w:val="nil"/>
              <w:left w:val="nil"/>
              <w:bottom w:val="nil"/>
              <w:right w:val="nil"/>
            </w:tcBorders>
            <w:shd w:val="clear" w:color="000000" w:fill="C9E3B4"/>
            <w:noWrap/>
            <w:vAlign w:val="center"/>
            <w:hideMark/>
          </w:tcPr>
          <w:p w14:paraId="3E70F683"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c>
          <w:tcPr>
            <w:tcW w:w="806" w:type="dxa"/>
            <w:tcBorders>
              <w:top w:val="nil"/>
              <w:left w:val="nil"/>
              <w:bottom w:val="nil"/>
              <w:right w:val="nil"/>
            </w:tcBorders>
            <w:shd w:val="clear" w:color="auto" w:fill="auto"/>
            <w:noWrap/>
            <w:vAlign w:val="center"/>
            <w:hideMark/>
          </w:tcPr>
          <w:p w14:paraId="0EADCB32"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492" w:type="dxa"/>
            <w:gridSpan w:val="3"/>
            <w:tcBorders>
              <w:top w:val="nil"/>
              <w:left w:val="nil"/>
              <w:bottom w:val="nil"/>
              <w:right w:val="nil"/>
            </w:tcBorders>
            <w:shd w:val="clear" w:color="000000" w:fill="C9E3B4"/>
            <w:noWrap/>
            <w:vAlign w:val="center"/>
            <w:hideMark/>
          </w:tcPr>
          <w:p w14:paraId="3C58FB35"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c>
          <w:tcPr>
            <w:tcW w:w="682" w:type="dxa"/>
            <w:tcBorders>
              <w:top w:val="nil"/>
              <w:left w:val="nil"/>
              <w:bottom w:val="nil"/>
              <w:right w:val="nil"/>
            </w:tcBorders>
            <w:shd w:val="clear" w:color="auto" w:fill="auto"/>
            <w:noWrap/>
            <w:vAlign w:val="center"/>
            <w:hideMark/>
          </w:tcPr>
          <w:p w14:paraId="3CA9E304"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503" w:type="dxa"/>
            <w:gridSpan w:val="2"/>
            <w:tcBorders>
              <w:top w:val="nil"/>
              <w:left w:val="nil"/>
              <w:bottom w:val="nil"/>
              <w:right w:val="nil"/>
            </w:tcBorders>
            <w:shd w:val="clear" w:color="000000" w:fill="C9E3B4"/>
            <w:noWrap/>
            <w:vAlign w:val="center"/>
            <w:hideMark/>
          </w:tcPr>
          <w:p w14:paraId="5C76E439"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c>
          <w:tcPr>
            <w:tcW w:w="682" w:type="dxa"/>
            <w:gridSpan w:val="2"/>
            <w:tcBorders>
              <w:top w:val="nil"/>
              <w:left w:val="nil"/>
              <w:bottom w:val="nil"/>
              <w:right w:val="nil"/>
            </w:tcBorders>
            <w:shd w:val="clear" w:color="auto" w:fill="auto"/>
            <w:noWrap/>
            <w:vAlign w:val="center"/>
            <w:hideMark/>
          </w:tcPr>
          <w:p w14:paraId="581E3B64"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755" w:type="dxa"/>
            <w:tcBorders>
              <w:top w:val="nil"/>
              <w:left w:val="nil"/>
              <w:bottom w:val="nil"/>
              <w:right w:val="nil"/>
            </w:tcBorders>
            <w:shd w:val="clear" w:color="000000" w:fill="C9E3B4"/>
            <w:noWrap/>
            <w:vAlign w:val="center"/>
            <w:hideMark/>
          </w:tcPr>
          <w:p w14:paraId="1AD95F9F"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r>
      <w:tr w:rsidR="00361746" w:rsidRPr="00361746" w14:paraId="78BE35B7" w14:textId="77777777" w:rsidTr="00B03C77">
        <w:trPr>
          <w:gridAfter w:val="3"/>
          <w:wAfter w:w="2080" w:type="dxa"/>
          <w:trHeight w:hRule="exact" w:val="259"/>
        </w:trPr>
        <w:tc>
          <w:tcPr>
            <w:tcW w:w="3091" w:type="dxa"/>
            <w:gridSpan w:val="3"/>
            <w:tcBorders>
              <w:top w:val="nil"/>
              <w:left w:val="nil"/>
              <w:bottom w:val="nil"/>
              <w:right w:val="nil"/>
            </w:tcBorders>
            <w:shd w:val="clear" w:color="auto" w:fill="auto"/>
            <w:noWrap/>
            <w:vAlign w:val="center"/>
            <w:hideMark/>
          </w:tcPr>
          <w:p w14:paraId="53A99E0A" w14:textId="77777777" w:rsidR="00361746" w:rsidRPr="00361746" w:rsidRDefault="00361746" w:rsidP="00361746">
            <w:pPr>
              <w:spacing w:before="0" w:line="240" w:lineRule="auto"/>
              <w:rPr>
                <w:rFonts w:ascii="Meta Pro" w:eastAsia="Times New Roman" w:hAnsi="Meta Pro" w:cs="Calibri"/>
                <w:b/>
                <w:bCs/>
                <w:color w:val="000000"/>
                <w:sz w:val="16"/>
                <w:szCs w:val="16"/>
                <w:lang w:eastAsia="en-AU"/>
              </w:rPr>
            </w:pPr>
            <w:r w:rsidRPr="00361746">
              <w:rPr>
                <w:rFonts w:ascii="Meta Pro" w:eastAsia="Times New Roman" w:hAnsi="Meta Pro" w:cs="Calibri"/>
                <w:b/>
                <w:bCs/>
                <w:color w:val="000000"/>
                <w:sz w:val="16"/>
                <w:szCs w:val="16"/>
                <w:lang w:eastAsia="en-AU"/>
              </w:rPr>
              <w:t>Non-current liabilities</w:t>
            </w:r>
          </w:p>
        </w:tc>
        <w:tc>
          <w:tcPr>
            <w:tcW w:w="1239" w:type="dxa"/>
            <w:gridSpan w:val="3"/>
            <w:tcBorders>
              <w:top w:val="nil"/>
              <w:left w:val="nil"/>
              <w:bottom w:val="nil"/>
              <w:right w:val="nil"/>
            </w:tcBorders>
            <w:shd w:val="clear" w:color="000000" w:fill="C9E3B4"/>
            <w:noWrap/>
            <w:vAlign w:val="center"/>
            <w:hideMark/>
          </w:tcPr>
          <w:p w14:paraId="2D20C505"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c>
          <w:tcPr>
            <w:tcW w:w="1552" w:type="dxa"/>
            <w:gridSpan w:val="4"/>
            <w:tcBorders>
              <w:top w:val="nil"/>
              <w:left w:val="nil"/>
              <w:bottom w:val="nil"/>
              <w:right w:val="nil"/>
            </w:tcBorders>
            <w:shd w:val="clear" w:color="auto" w:fill="auto"/>
            <w:noWrap/>
            <w:vAlign w:val="center"/>
            <w:hideMark/>
          </w:tcPr>
          <w:p w14:paraId="5D330D0F"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806" w:type="dxa"/>
            <w:tcBorders>
              <w:top w:val="nil"/>
              <w:left w:val="nil"/>
              <w:bottom w:val="nil"/>
              <w:right w:val="nil"/>
            </w:tcBorders>
            <w:shd w:val="clear" w:color="000000" w:fill="C9E3B4"/>
            <w:noWrap/>
            <w:vAlign w:val="center"/>
            <w:hideMark/>
          </w:tcPr>
          <w:p w14:paraId="0A88D3CA"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c>
          <w:tcPr>
            <w:tcW w:w="1492" w:type="dxa"/>
            <w:gridSpan w:val="3"/>
            <w:tcBorders>
              <w:top w:val="nil"/>
              <w:left w:val="nil"/>
              <w:bottom w:val="nil"/>
              <w:right w:val="nil"/>
            </w:tcBorders>
            <w:shd w:val="clear" w:color="auto" w:fill="auto"/>
            <w:noWrap/>
            <w:vAlign w:val="center"/>
            <w:hideMark/>
          </w:tcPr>
          <w:p w14:paraId="3E31AFF8"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682" w:type="dxa"/>
            <w:tcBorders>
              <w:top w:val="nil"/>
              <w:left w:val="nil"/>
              <w:bottom w:val="nil"/>
              <w:right w:val="nil"/>
            </w:tcBorders>
            <w:shd w:val="clear" w:color="000000" w:fill="C9E3B4"/>
            <w:noWrap/>
            <w:vAlign w:val="center"/>
            <w:hideMark/>
          </w:tcPr>
          <w:p w14:paraId="133890CB"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c>
          <w:tcPr>
            <w:tcW w:w="1503" w:type="dxa"/>
            <w:gridSpan w:val="2"/>
            <w:tcBorders>
              <w:top w:val="nil"/>
              <w:left w:val="nil"/>
              <w:bottom w:val="nil"/>
              <w:right w:val="nil"/>
            </w:tcBorders>
            <w:shd w:val="clear" w:color="auto" w:fill="auto"/>
            <w:noWrap/>
            <w:vAlign w:val="center"/>
            <w:hideMark/>
          </w:tcPr>
          <w:p w14:paraId="7C176B19"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p>
        </w:tc>
        <w:tc>
          <w:tcPr>
            <w:tcW w:w="1438" w:type="dxa"/>
            <w:gridSpan w:val="3"/>
            <w:tcBorders>
              <w:top w:val="nil"/>
              <w:left w:val="nil"/>
              <w:bottom w:val="nil"/>
              <w:right w:val="nil"/>
            </w:tcBorders>
            <w:shd w:val="clear" w:color="000000" w:fill="C9E3B4"/>
            <w:noWrap/>
            <w:vAlign w:val="center"/>
            <w:hideMark/>
          </w:tcPr>
          <w:p w14:paraId="2974967E" w14:textId="77777777" w:rsidR="00361746" w:rsidRPr="00361746" w:rsidRDefault="00361746" w:rsidP="00361746">
            <w:pPr>
              <w:spacing w:before="0" w:line="240" w:lineRule="auto"/>
              <w:jc w:val="right"/>
              <w:rPr>
                <w:rFonts w:ascii="Meta Pro" w:eastAsia="Times New Roman" w:hAnsi="Meta Pro" w:cs="Calibri"/>
                <w:color w:val="000000"/>
                <w:sz w:val="16"/>
                <w:szCs w:val="16"/>
                <w:lang w:eastAsia="en-AU"/>
              </w:rPr>
            </w:pPr>
            <w:r w:rsidRPr="00361746">
              <w:rPr>
                <w:rFonts w:ascii="Meta Pro" w:eastAsia="Times New Roman" w:hAnsi="Meta Pro" w:cs="Calibri"/>
                <w:color w:val="000000"/>
                <w:sz w:val="16"/>
                <w:szCs w:val="16"/>
                <w:lang w:eastAsia="en-AU"/>
              </w:rPr>
              <w:t> </w:t>
            </w:r>
          </w:p>
        </w:tc>
      </w:tr>
      <w:tr w:rsidR="00B03C77" w:rsidRPr="00B03C77" w14:paraId="791907A9" w14:textId="77777777" w:rsidTr="00B03C77">
        <w:trPr>
          <w:trHeight w:val="1030"/>
        </w:trPr>
        <w:tc>
          <w:tcPr>
            <w:tcW w:w="3033" w:type="dxa"/>
            <w:gridSpan w:val="2"/>
            <w:vMerge w:val="restart"/>
            <w:tcBorders>
              <w:top w:val="nil"/>
              <w:left w:val="nil"/>
              <w:bottom w:val="nil"/>
              <w:right w:val="nil"/>
            </w:tcBorders>
            <w:shd w:val="clear" w:color="auto" w:fill="auto"/>
            <w:noWrap/>
            <w:vAlign w:val="center"/>
            <w:hideMark/>
          </w:tcPr>
          <w:p w14:paraId="5D9110B8" w14:textId="77777777" w:rsidR="00B03C77" w:rsidRPr="00B03C77" w:rsidRDefault="00B03C77" w:rsidP="00B03C77">
            <w:pPr>
              <w:spacing w:before="0" w:line="240" w:lineRule="auto"/>
              <w:rPr>
                <w:rFonts w:eastAsia="Times New Roman" w:cs="Times New Roman"/>
                <w:color w:val="auto"/>
                <w:sz w:val="20"/>
                <w:szCs w:val="24"/>
                <w:lang w:eastAsia="en-AU"/>
              </w:rPr>
            </w:pPr>
          </w:p>
        </w:tc>
        <w:tc>
          <w:tcPr>
            <w:tcW w:w="1329" w:type="dxa"/>
            <w:gridSpan w:val="5"/>
            <w:vMerge w:val="restart"/>
            <w:tcBorders>
              <w:top w:val="nil"/>
              <w:left w:val="nil"/>
              <w:bottom w:val="nil"/>
              <w:right w:val="nil"/>
            </w:tcBorders>
            <w:shd w:val="clear" w:color="auto" w:fill="auto"/>
            <w:vAlign w:val="center"/>
            <w:hideMark/>
          </w:tcPr>
          <w:p w14:paraId="213B4B4C" w14:textId="77777777" w:rsidR="00B03C77" w:rsidRPr="00B03C77" w:rsidRDefault="00B03C77" w:rsidP="00B03C77">
            <w:pPr>
              <w:spacing w:before="0" w:line="240" w:lineRule="auto"/>
              <w:jc w:val="center"/>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Transport system investment planning and programming</w:t>
            </w:r>
          </w:p>
        </w:tc>
        <w:tc>
          <w:tcPr>
            <w:tcW w:w="816" w:type="dxa"/>
            <w:gridSpan w:val="2"/>
            <w:vMerge w:val="restart"/>
            <w:tcBorders>
              <w:top w:val="nil"/>
              <w:left w:val="nil"/>
              <w:bottom w:val="nil"/>
              <w:right w:val="nil"/>
            </w:tcBorders>
            <w:shd w:val="clear" w:color="auto" w:fill="auto"/>
            <w:hideMark/>
          </w:tcPr>
          <w:p w14:paraId="7AC45E06" w14:textId="77777777" w:rsidR="00B03C77" w:rsidRPr="00B03C77" w:rsidRDefault="00B03C77" w:rsidP="00B03C77">
            <w:pPr>
              <w:spacing w:before="0" w:line="240" w:lineRule="auto"/>
              <w:jc w:val="center"/>
              <w:rPr>
                <w:rFonts w:ascii="Meta Pro" w:eastAsia="Times New Roman" w:hAnsi="Meta Pro" w:cs="Calibri"/>
                <w:b/>
                <w:bCs/>
                <w:color w:val="000000"/>
                <w:sz w:val="16"/>
                <w:szCs w:val="16"/>
                <w:lang w:eastAsia="en-AU"/>
              </w:rPr>
            </w:pPr>
          </w:p>
        </w:tc>
        <w:tc>
          <w:tcPr>
            <w:tcW w:w="1856" w:type="dxa"/>
            <w:gridSpan w:val="3"/>
            <w:tcBorders>
              <w:top w:val="nil"/>
              <w:left w:val="nil"/>
              <w:bottom w:val="nil"/>
              <w:right w:val="nil"/>
            </w:tcBorders>
            <w:shd w:val="clear" w:color="auto" w:fill="auto"/>
            <w:vAlign w:val="center"/>
            <w:hideMark/>
          </w:tcPr>
          <w:p w14:paraId="5A580DF4" w14:textId="77777777" w:rsidR="00B03C77" w:rsidRPr="00B03C77" w:rsidRDefault="00B03C77" w:rsidP="00B03C77">
            <w:pPr>
              <w:spacing w:before="0" w:line="240" w:lineRule="auto"/>
              <w:jc w:val="center"/>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Transport infrastructure management and</w:t>
            </w:r>
          </w:p>
        </w:tc>
        <w:tc>
          <w:tcPr>
            <w:tcW w:w="816" w:type="dxa"/>
            <w:vMerge w:val="restart"/>
            <w:tcBorders>
              <w:top w:val="nil"/>
              <w:left w:val="nil"/>
              <w:bottom w:val="nil"/>
              <w:right w:val="nil"/>
            </w:tcBorders>
            <w:shd w:val="clear" w:color="auto" w:fill="auto"/>
            <w:hideMark/>
          </w:tcPr>
          <w:p w14:paraId="7F1C3A8E" w14:textId="77777777" w:rsidR="00B03C77" w:rsidRPr="00B03C77" w:rsidRDefault="00B03C77" w:rsidP="00B03C77">
            <w:pPr>
              <w:spacing w:before="0" w:line="240" w:lineRule="auto"/>
              <w:jc w:val="center"/>
              <w:rPr>
                <w:rFonts w:ascii="Meta Pro" w:eastAsia="Times New Roman" w:hAnsi="Meta Pro" w:cs="Calibri"/>
                <w:b/>
                <w:bCs/>
                <w:color w:val="000000"/>
                <w:sz w:val="16"/>
                <w:szCs w:val="16"/>
                <w:lang w:eastAsia="en-AU"/>
              </w:rPr>
            </w:pPr>
          </w:p>
        </w:tc>
        <w:tc>
          <w:tcPr>
            <w:tcW w:w="1785" w:type="dxa"/>
            <w:gridSpan w:val="3"/>
            <w:vMerge w:val="restart"/>
            <w:tcBorders>
              <w:top w:val="nil"/>
              <w:left w:val="nil"/>
              <w:bottom w:val="nil"/>
              <w:right w:val="nil"/>
            </w:tcBorders>
            <w:shd w:val="clear" w:color="auto" w:fill="auto"/>
            <w:vAlign w:val="center"/>
            <w:hideMark/>
          </w:tcPr>
          <w:p w14:paraId="78FF4F85" w14:textId="77777777" w:rsidR="00B03C77" w:rsidRPr="00B03C77" w:rsidRDefault="00B03C77" w:rsidP="00B03C77">
            <w:pPr>
              <w:spacing w:before="0" w:line="240" w:lineRule="auto"/>
              <w:jc w:val="center"/>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Transport safety and regulation</w:t>
            </w:r>
          </w:p>
        </w:tc>
        <w:tc>
          <w:tcPr>
            <w:tcW w:w="816" w:type="dxa"/>
            <w:gridSpan w:val="2"/>
            <w:vMerge w:val="restart"/>
            <w:tcBorders>
              <w:top w:val="nil"/>
              <w:left w:val="nil"/>
              <w:bottom w:val="nil"/>
              <w:right w:val="nil"/>
            </w:tcBorders>
            <w:shd w:val="clear" w:color="auto" w:fill="auto"/>
            <w:hideMark/>
          </w:tcPr>
          <w:p w14:paraId="759A9DEB" w14:textId="77777777" w:rsidR="00B03C77" w:rsidRPr="00B03C77" w:rsidRDefault="00B03C77" w:rsidP="00B03C77">
            <w:pPr>
              <w:spacing w:before="0" w:line="240" w:lineRule="auto"/>
              <w:jc w:val="center"/>
              <w:rPr>
                <w:rFonts w:ascii="Meta Pro" w:eastAsia="Times New Roman" w:hAnsi="Meta Pro" w:cs="Calibri"/>
                <w:b/>
                <w:bCs/>
                <w:color w:val="000000"/>
                <w:sz w:val="16"/>
                <w:szCs w:val="16"/>
                <w:lang w:eastAsia="en-AU"/>
              </w:rPr>
            </w:pPr>
          </w:p>
        </w:tc>
        <w:tc>
          <w:tcPr>
            <w:tcW w:w="1799" w:type="dxa"/>
            <w:gridSpan w:val="3"/>
            <w:vMerge w:val="restart"/>
            <w:tcBorders>
              <w:top w:val="nil"/>
              <w:left w:val="nil"/>
              <w:bottom w:val="nil"/>
              <w:right w:val="nil"/>
            </w:tcBorders>
            <w:shd w:val="clear" w:color="auto" w:fill="auto"/>
            <w:vAlign w:val="center"/>
            <w:hideMark/>
          </w:tcPr>
          <w:p w14:paraId="47A94345" w14:textId="77777777" w:rsidR="00B03C77" w:rsidRPr="00B03C77" w:rsidRDefault="00B03C77" w:rsidP="00B03C77">
            <w:pPr>
              <w:spacing w:before="0" w:line="240" w:lineRule="auto"/>
              <w:jc w:val="center"/>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Customer experience</w:t>
            </w:r>
          </w:p>
        </w:tc>
        <w:tc>
          <w:tcPr>
            <w:tcW w:w="816" w:type="dxa"/>
            <w:vMerge w:val="restart"/>
            <w:tcBorders>
              <w:top w:val="nil"/>
              <w:left w:val="nil"/>
              <w:bottom w:val="nil"/>
              <w:right w:val="nil"/>
            </w:tcBorders>
            <w:shd w:val="clear" w:color="auto" w:fill="auto"/>
            <w:hideMark/>
          </w:tcPr>
          <w:p w14:paraId="4386947E" w14:textId="77777777" w:rsidR="00B03C77" w:rsidRPr="00B03C77" w:rsidRDefault="00B03C77" w:rsidP="00B03C77">
            <w:pPr>
              <w:spacing w:before="0" w:line="240" w:lineRule="auto"/>
              <w:jc w:val="center"/>
              <w:rPr>
                <w:rFonts w:ascii="Meta Pro" w:eastAsia="Times New Roman" w:hAnsi="Meta Pro" w:cs="Calibri"/>
                <w:b/>
                <w:bCs/>
                <w:color w:val="000000"/>
                <w:sz w:val="16"/>
                <w:szCs w:val="16"/>
                <w:lang w:eastAsia="en-AU"/>
              </w:rPr>
            </w:pPr>
          </w:p>
        </w:tc>
        <w:tc>
          <w:tcPr>
            <w:tcW w:w="816" w:type="dxa"/>
            <w:vMerge w:val="restart"/>
            <w:tcBorders>
              <w:top w:val="nil"/>
              <w:left w:val="nil"/>
              <w:bottom w:val="nil"/>
              <w:right w:val="nil"/>
            </w:tcBorders>
            <w:shd w:val="clear" w:color="auto" w:fill="auto"/>
            <w:vAlign w:val="center"/>
            <w:hideMark/>
          </w:tcPr>
          <w:p w14:paraId="1CFB8B3B" w14:textId="77777777" w:rsidR="00B03C77" w:rsidRPr="00B03C77" w:rsidRDefault="00B03C77" w:rsidP="00B03C77">
            <w:pPr>
              <w:spacing w:before="0" w:line="240" w:lineRule="auto"/>
              <w:jc w:val="center"/>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Passenger transport services</w:t>
            </w:r>
          </w:p>
        </w:tc>
      </w:tr>
      <w:tr w:rsidR="00B03C77" w:rsidRPr="00B03C77" w14:paraId="34760F83" w14:textId="77777777" w:rsidTr="00B03C77">
        <w:trPr>
          <w:trHeight w:val="284"/>
        </w:trPr>
        <w:tc>
          <w:tcPr>
            <w:tcW w:w="3033" w:type="dxa"/>
            <w:gridSpan w:val="2"/>
            <w:vMerge/>
            <w:tcBorders>
              <w:top w:val="nil"/>
              <w:left w:val="nil"/>
              <w:bottom w:val="nil"/>
              <w:right w:val="nil"/>
            </w:tcBorders>
            <w:vAlign w:val="center"/>
            <w:hideMark/>
          </w:tcPr>
          <w:p w14:paraId="5047C532" w14:textId="77777777" w:rsidR="00B03C77" w:rsidRPr="00B03C77" w:rsidRDefault="00B03C77" w:rsidP="00B03C77">
            <w:pPr>
              <w:spacing w:before="0" w:line="240" w:lineRule="auto"/>
              <w:rPr>
                <w:rFonts w:eastAsia="Times New Roman" w:cs="Times New Roman"/>
                <w:color w:val="auto"/>
                <w:sz w:val="20"/>
                <w:szCs w:val="24"/>
                <w:lang w:eastAsia="en-AU"/>
              </w:rPr>
            </w:pPr>
          </w:p>
        </w:tc>
        <w:tc>
          <w:tcPr>
            <w:tcW w:w="1329" w:type="dxa"/>
            <w:gridSpan w:val="5"/>
            <w:vMerge/>
            <w:tcBorders>
              <w:top w:val="nil"/>
              <w:left w:val="nil"/>
              <w:bottom w:val="nil"/>
              <w:right w:val="nil"/>
            </w:tcBorders>
            <w:vAlign w:val="center"/>
            <w:hideMark/>
          </w:tcPr>
          <w:p w14:paraId="6C64F118" w14:textId="77777777" w:rsidR="00B03C77" w:rsidRPr="00B03C77" w:rsidRDefault="00B03C77" w:rsidP="00B03C77">
            <w:pPr>
              <w:spacing w:before="0" w:line="240" w:lineRule="auto"/>
              <w:rPr>
                <w:rFonts w:ascii="Meta Pro" w:eastAsia="Times New Roman" w:hAnsi="Meta Pro" w:cs="Calibri"/>
                <w:b/>
                <w:bCs/>
                <w:color w:val="000000"/>
                <w:sz w:val="16"/>
                <w:szCs w:val="16"/>
                <w:lang w:eastAsia="en-AU"/>
              </w:rPr>
            </w:pPr>
          </w:p>
        </w:tc>
        <w:tc>
          <w:tcPr>
            <w:tcW w:w="816" w:type="dxa"/>
            <w:gridSpan w:val="2"/>
            <w:vMerge/>
            <w:tcBorders>
              <w:top w:val="nil"/>
              <w:left w:val="nil"/>
              <w:bottom w:val="nil"/>
              <w:right w:val="nil"/>
            </w:tcBorders>
            <w:vAlign w:val="center"/>
            <w:hideMark/>
          </w:tcPr>
          <w:p w14:paraId="77820F11" w14:textId="77777777" w:rsidR="00B03C77" w:rsidRPr="00B03C77" w:rsidRDefault="00B03C77" w:rsidP="00B03C77">
            <w:pPr>
              <w:spacing w:before="0" w:line="240" w:lineRule="auto"/>
              <w:rPr>
                <w:rFonts w:ascii="Meta Pro" w:eastAsia="Times New Roman" w:hAnsi="Meta Pro" w:cs="Calibri"/>
                <w:b/>
                <w:bCs/>
                <w:color w:val="000000"/>
                <w:sz w:val="16"/>
                <w:szCs w:val="16"/>
                <w:lang w:eastAsia="en-AU"/>
              </w:rPr>
            </w:pPr>
          </w:p>
        </w:tc>
        <w:tc>
          <w:tcPr>
            <w:tcW w:w="1856" w:type="dxa"/>
            <w:gridSpan w:val="3"/>
            <w:tcBorders>
              <w:top w:val="nil"/>
              <w:left w:val="nil"/>
              <w:bottom w:val="nil"/>
              <w:right w:val="nil"/>
            </w:tcBorders>
            <w:shd w:val="clear" w:color="auto" w:fill="auto"/>
            <w:vAlign w:val="center"/>
            <w:hideMark/>
          </w:tcPr>
          <w:p w14:paraId="5388E800" w14:textId="77777777" w:rsidR="00B03C77" w:rsidRPr="00B03C77" w:rsidRDefault="00B03C77" w:rsidP="00B03C77">
            <w:pPr>
              <w:spacing w:before="0" w:line="240" w:lineRule="auto"/>
              <w:jc w:val="center"/>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delivery</w:t>
            </w:r>
          </w:p>
        </w:tc>
        <w:tc>
          <w:tcPr>
            <w:tcW w:w="816" w:type="dxa"/>
            <w:vMerge/>
            <w:tcBorders>
              <w:top w:val="nil"/>
              <w:left w:val="nil"/>
              <w:bottom w:val="nil"/>
              <w:right w:val="nil"/>
            </w:tcBorders>
            <w:vAlign w:val="center"/>
            <w:hideMark/>
          </w:tcPr>
          <w:p w14:paraId="46392656" w14:textId="77777777" w:rsidR="00B03C77" w:rsidRPr="00B03C77" w:rsidRDefault="00B03C77" w:rsidP="00B03C77">
            <w:pPr>
              <w:spacing w:before="0" w:line="240" w:lineRule="auto"/>
              <w:rPr>
                <w:rFonts w:ascii="Meta Pro" w:eastAsia="Times New Roman" w:hAnsi="Meta Pro" w:cs="Calibri"/>
                <w:b/>
                <w:bCs/>
                <w:color w:val="000000"/>
                <w:sz w:val="16"/>
                <w:szCs w:val="16"/>
                <w:lang w:eastAsia="en-AU"/>
              </w:rPr>
            </w:pPr>
          </w:p>
        </w:tc>
        <w:tc>
          <w:tcPr>
            <w:tcW w:w="1785" w:type="dxa"/>
            <w:gridSpan w:val="3"/>
            <w:vMerge/>
            <w:tcBorders>
              <w:top w:val="nil"/>
              <w:left w:val="nil"/>
              <w:bottom w:val="nil"/>
              <w:right w:val="nil"/>
            </w:tcBorders>
            <w:vAlign w:val="center"/>
            <w:hideMark/>
          </w:tcPr>
          <w:p w14:paraId="19807F05" w14:textId="77777777" w:rsidR="00B03C77" w:rsidRPr="00B03C77" w:rsidRDefault="00B03C77" w:rsidP="00B03C77">
            <w:pPr>
              <w:spacing w:before="0" w:line="240" w:lineRule="auto"/>
              <w:rPr>
                <w:rFonts w:ascii="Meta Pro" w:eastAsia="Times New Roman" w:hAnsi="Meta Pro" w:cs="Calibri"/>
                <w:b/>
                <w:bCs/>
                <w:color w:val="000000"/>
                <w:sz w:val="16"/>
                <w:szCs w:val="16"/>
                <w:lang w:eastAsia="en-AU"/>
              </w:rPr>
            </w:pPr>
          </w:p>
        </w:tc>
        <w:tc>
          <w:tcPr>
            <w:tcW w:w="816" w:type="dxa"/>
            <w:gridSpan w:val="2"/>
            <w:vMerge/>
            <w:tcBorders>
              <w:top w:val="nil"/>
              <w:left w:val="nil"/>
              <w:bottom w:val="nil"/>
              <w:right w:val="nil"/>
            </w:tcBorders>
            <w:vAlign w:val="center"/>
            <w:hideMark/>
          </w:tcPr>
          <w:p w14:paraId="7195AB1F" w14:textId="77777777" w:rsidR="00B03C77" w:rsidRPr="00B03C77" w:rsidRDefault="00B03C77" w:rsidP="00B03C77">
            <w:pPr>
              <w:spacing w:before="0" w:line="240" w:lineRule="auto"/>
              <w:rPr>
                <w:rFonts w:ascii="Meta Pro" w:eastAsia="Times New Roman" w:hAnsi="Meta Pro" w:cs="Calibri"/>
                <w:b/>
                <w:bCs/>
                <w:color w:val="000000"/>
                <w:sz w:val="16"/>
                <w:szCs w:val="16"/>
                <w:lang w:eastAsia="en-AU"/>
              </w:rPr>
            </w:pPr>
          </w:p>
        </w:tc>
        <w:tc>
          <w:tcPr>
            <w:tcW w:w="1799" w:type="dxa"/>
            <w:gridSpan w:val="3"/>
            <w:vMerge/>
            <w:tcBorders>
              <w:top w:val="nil"/>
              <w:left w:val="nil"/>
              <w:bottom w:val="nil"/>
              <w:right w:val="nil"/>
            </w:tcBorders>
            <w:vAlign w:val="center"/>
            <w:hideMark/>
          </w:tcPr>
          <w:p w14:paraId="15D2A8F8" w14:textId="77777777" w:rsidR="00B03C77" w:rsidRPr="00B03C77" w:rsidRDefault="00B03C77" w:rsidP="00B03C77">
            <w:pPr>
              <w:spacing w:before="0" w:line="240" w:lineRule="auto"/>
              <w:rPr>
                <w:rFonts w:ascii="Meta Pro" w:eastAsia="Times New Roman" w:hAnsi="Meta Pro" w:cs="Calibri"/>
                <w:b/>
                <w:bCs/>
                <w:color w:val="000000"/>
                <w:sz w:val="16"/>
                <w:szCs w:val="16"/>
                <w:lang w:eastAsia="en-AU"/>
              </w:rPr>
            </w:pPr>
          </w:p>
        </w:tc>
        <w:tc>
          <w:tcPr>
            <w:tcW w:w="816" w:type="dxa"/>
            <w:vMerge/>
            <w:tcBorders>
              <w:top w:val="nil"/>
              <w:left w:val="nil"/>
              <w:bottom w:val="nil"/>
              <w:right w:val="nil"/>
            </w:tcBorders>
            <w:vAlign w:val="center"/>
            <w:hideMark/>
          </w:tcPr>
          <w:p w14:paraId="4DA8EA5D" w14:textId="77777777" w:rsidR="00B03C77" w:rsidRPr="00B03C77" w:rsidRDefault="00B03C77" w:rsidP="00B03C77">
            <w:pPr>
              <w:spacing w:before="0" w:line="240" w:lineRule="auto"/>
              <w:rPr>
                <w:rFonts w:ascii="Meta Pro" w:eastAsia="Times New Roman" w:hAnsi="Meta Pro" w:cs="Calibri"/>
                <w:b/>
                <w:bCs/>
                <w:color w:val="000000"/>
                <w:sz w:val="16"/>
                <w:szCs w:val="16"/>
                <w:lang w:eastAsia="en-AU"/>
              </w:rPr>
            </w:pPr>
          </w:p>
        </w:tc>
        <w:tc>
          <w:tcPr>
            <w:tcW w:w="816" w:type="dxa"/>
            <w:vMerge/>
            <w:tcBorders>
              <w:top w:val="nil"/>
              <w:left w:val="nil"/>
              <w:bottom w:val="nil"/>
              <w:right w:val="nil"/>
            </w:tcBorders>
            <w:vAlign w:val="center"/>
            <w:hideMark/>
          </w:tcPr>
          <w:p w14:paraId="6433DB6F" w14:textId="77777777" w:rsidR="00B03C77" w:rsidRPr="00B03C77" w:rsidRDefault="00B03C77" w:rsidP="00B03C77">
            <w:pPr>
              <w:spacing w:before="0" w:line="240" w:lineRule="auto"/>
              <w:rPr>
                <w:rFonts w:ascii="Meta Pro" w:eastAsia="Times New Roman" w:hAnsi="Meta Pro" w:cs="Calibri"/>
                <w:b/>
                <w:bCs/>
                <w:color w:val="000000"/>
                <w:sz w:val="16"/>
                <w:szCs w:val="16"/>
                <w:lang w:eastAsia="en-AU"/>
              </w:rPr>
            </w:pPr>
          </w:p>
        </w:tc>
      </w:tr>
      <w:tr w:rsidR="00B03C77" w:rsidRPr="00B03C77" w14:paraId="4CC508DC" w14:textId="77777777" w:rsidTr="00B03C77">
        <w:trPr>
          <w:trHeight w:hRule="exact" w:val="284"/>
        </w:trPr>
        <w:tc>
          <w:tcPr>
            <w:tcW w:w="3033" w:type="dxa"/>
            <w:gridSpan w:val="2"/>
            <w:tcBorders>
              <w:top w:val="nil"/>
              <w:left w:val="nil"/>
              <w:bottom w:val="nil"/>
              <w:right w:val="nil"/>
            </w:tcBorders>
            <w:shd w:val="clear" w:color="auto" w:fill="auto"/>
            <w:noWrap/>
            <w:vAlign w:val="center"/>
            <w:hideMark/>
          </w:tcPr>
          <w:p w14:paraId="303DD46E" w14:textId="77777777" w:rsidR="00B03C77" w:rsidRPr="00B03C77" w:rsidRDefault="00B03C77" w:rsidP="00B03C77">
            <w:pPr>
              <w:spacing w:before="0" w:line="240" w:lineRule="auto"/>
              <w:jc w:val="center"/>
              <w:rPr>
                <w:rFonts w:ascii="Meta Pro" w:eastAsia="Times New Roman" w:hAnsi="Meta Pro" w:cs="Calibri"/>
                <w:b/>
                <w:bCs/>
                <w:color w:val="000000"/>
                <w:sz w:val="16"/>
                <w:szCs w:val="16"/>
                <w:lang w:eastAsia="en-AU"/>
              </w:rPr>
            </w:pPr>
          </w:p>
        </w:tc>
        <w:tc>
          <w:tcPr>
            <w:tcW w:w="1329" w:type="dxa"/>
            <w:gridSpan w:val="5"/>
            <w:tcBorders>
              <w:top w:val="nil"/>
              <w:left w:val="nil"/>
              <w:bottom w:val="nil"/>
              <w:right w:val="nil"/>
            </w:tcBorders>
            <w:shd w:val="clear" w:color="auto" w:fill="auto"/>
            <w:hideMark/>
          </w:tcPr>
          <w:p w14:paraId="4F0B5082"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816" w:type="dxa"/>
            <w:gridSpan w:val="2"/>
            <w:tcBorders>
              <w:top w:val="nil"/>
              <w:left w:val="nil"/>
              <w:bottom w:val="nil"/>
              <w:right w:val="nil"/>
            </w:tcBorders>
            <w:shd w:val="clear" w:color="auto" w:fill="auto"/>
            <w:hideMark/>
          </w:tcPr>
          <w:p w14:paraId="001C6F2F"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1856" w:type="dxa"/>
            <w:gridSpan w:val="3"/>
            <w:tcBorders>
              <w:top w:val="nil"/>
              <w:left w:val="nil"/>
              <w:bottom w:val="nil"/>
              <w:right w:val="nil"/>
            </w:tcBorders>
            <w:shd w:val="clear" w:color="auto" w:fill="auto"/>
            <w:hideMark/>
          </w:tcPr>
          <w:p w14:paraId="5DE21D63"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816" w:type="dxa"/>
            <w:tcBorders>
              <w:top w:val="nil"/>
              <w:left w:val="nil"/>
              <w:bottom w:val="nil"/>
              <w:right w:val="nil"/>
            </w:tcBorders>
            <w:shd w:val="clear" w:color="auto" w:fill="auto"/>
            <w:hideMark/>
          </w:tcPr>
          <w:p w14:paraId="468E4B76"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1785" w:type="dxa"/>
            <w:gridSpan w:val="3"/>
            <w:tcBorders>
              <w:top w:val="nil"/>
              <w:left w:val="nil"/>
              <w:bottom w:val="nil"/>
              <w:right w:val="nil"/>
            </w:tcBorders>
            <w:shd w:val="clear" w:color="auto" w:fill="auto"/>
            <w:hideMark/>
          </w:tcPr>
          <w:p w14:paraId="5BF1D6B1"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816" w:type="dxa"/>
            <w:gridSpan w:val="2"/>
            <w:tcBorders>
              <w:top w:val="nil"/>
              <w:left w:val="nil"/>
              <w:bottom w:val="nil"/>
              <w:right w:val="nil"/>
            </w:tcBorders>
            <w:shd w:val="clear" w:color="auto" w:fill="auto"/>
            <w:hideMark/>
          </w:tcPr>
          <w:p w14:paraId="67C6228F"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1799" w:type="dxa"/>
            <w:gridSpan w:val="3"/>
            <w:tcBorders>
              <w:top w:val="nil"/>
              <w:left w:val="nil"/>
              <w:bottom w:val="nil"/>
              <w:right w:val="nil"/>
            </w:tcBorders>
            <w:shd w:val="clear" w:color="auto" w:fill="auto"/>
            <w:hideMark/>
          </w:tcPr>
          <w:p w14:paraId="3728B51F"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816" w:type="dxa"/>
            <w:tcBorders>
              <w:top w:val="nil"/>
              <w:left w:val="nil"/>
              <w:bottom w:val="nil"/>
              <w:right w:val="nil"/>
            </w:tcBorders>
            <w:shd w:val="clear" w:color="auto" w:fill="auto"/>
            <w:hideMark/>
          </w:tcPr>
          <w:p w14:paraId="2FB932B1"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816" w:type="dxa"/>
            <w:tcBorders>
              <w:top w:val="nil"/>
              <w:left w:val="nil"/>
              <w:bottom w:val="nil"/>
              <w:right w:val="nil"/>
            </w:tcBorders>
            <w:shd w:val="clear" w:color="auto" w:fill="auto"/>
            <w:hideMark/>
          </w:tcPr>
          <w:p w14:paraId="6EDA6E44" w14:textId="77777777" w:rsidR="00B03C77" w:rsidRPr="00B03C77" w:rsidRDefault="00B03C77" w:rsidP="00B03C77">
            <w:pPr>
              <w:spacing w:before="0" w:line="240" w:lineRule="auto"/>
              <w:rPr>
                <w:rFonts w:eastAsia="Times New Roman" w:cs="Times New Roman"/>
                <w:color w:val="auto"/>
                <w:sz w:val="20"/>
                <w:szCs w:val="20"/>
                <w:lang w:eastAsia="en-AU"/>
              </w:rPr>
            </w:pPr>
          </w:p>
        </w:tc>
      </w:tr>
      <w:tr w:rsidR="00B03C77" w:rsidRPr="00B03C77" w14:paraId="5EC57D87" w14:textId="77777777" w:rsidTr="00B03C77">
        <w:trPr>
          <w:trHeight w:hRule="exact" w:val="284"/>
        </w:trPr>
        <w:tc>
          <w:tcPr>
            <w:tcW w:w="3033" w:type="dxa"/>
            <w:gridSpan w:val="2"/>
            <w:tcBorders>
              <w:top w:val="nil"/>
              <w:left w:val="nil"/>
              <w:bottom w:val="nil"/>
              <w:right w:val="nil"/>
            </w:tcBorders>
            <w:shd w:val="clear" w:color="auto" w:fill="auto"/>
            <w:noWrap/>
            <w:vAlign w:val="center"/>
            <w:hideMark/>
          </w:tcPr>
          <w:p w14:paraId="3DF1B7F7"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1329" w:type="dxa"/>
            <w:gridSpan w:val="5"/>
            <w:tcBorders>
              <w:top w:val="nil"/>
              <w:left w:val="nil"/>
              <w:bottom w:val="nil"/>
              <w:right w:val="nil"/>
            </w:tcBorders>
            <w:shd w:val="clear" w:color="auto" w:fill="auto"/>
            <w:noWrap/>
            <w:vAlign w:val="center"/>
            <w:hideMark/>
          </w:tcPr>
          <w:p w14:paraId="7D2B429D" w14:textId="77777777" w:rsidR="00B03C77" w:rsidRPr="00B03C77" w:rsidRDefault="00B03C77" w:rsidP="00B03C77">
            <w:pPr>
              <w:spacing w:before="0" w:line="240" w:lineRule="auto"/>
              <w:jc w:val="center"/>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2021</w:t>
            </w:r>
          </w:p>
        </w:tc>
        <w:tc>
          <w:tcPr>
            <w:tcW w:w="816" w:type="dxa"/>
            <w:gridSpan w:val="2"/>
            <w:tcBorders>
              <w:top w:val="nil"/>
              <w:left w:val="nil"/>
              <w:bottom w:val="nil"/>
              <w:right w:val="nil"/>
            </w:tcBorders>
            <w:shd w:val="clear" w:color="auto" w:fill="auto"/>
            <w:noWrap/>
            <w:vAlign w:val="center"/>
            <w:hideMark/>
          </w:tcPr>
          <w:p w14:paraId="7FA7709A" w14:textId="77777777" w:rsidR="00B03C77" w:rsidRPr="00B03C77" w:rsidRDefault="00B03C77" w:rsidP="00B03C77">
            <w:pPr>
              <w:spacing w:before="0" w:line="240" w:lineRule="auto"/>
              <w:jc w:val="center"/>
              <w:rPr>
                <w:rFonts w:ascii="Meta Pro" w:eastAsia="Times New Roman" w:hAnsi="Meta Pro" w:cs="Calibri"/>
                <w:b/>
                <w:bCs/>
                <w:color w:val="000000"/>
                <w:sz w:val="16"/>
                <w:szCs w:val="16"/>
                <w:lang w:eastAsia="en-AU"/>
              </w:rPr>
            </w:pPr>
          </w:p>
        </w:tc>
        <w:tc>
          <w:tcPr>
            <w:tcW w:w="1856" w:type="dxa"/>
            <w:gridSpan w:val="3"/>
            <w:tcBorders>
              <w:top w:val="nil"/>
              <w:left w:val="nil"/>
              <w:bottom w:val="nil"/>
              <w:right w:val="nil"/>
            </w:tcBorders>
            <w:shd w:val="clear" w:color="auto" w:fill="auto"/>
            <w:noWrap/>
            <w:vAlign w:val="center"/>
            <w:hideMark/>
          </w:tcPr>
          <w:p w14:paraId="5597AF9E" w14:textId="77777777" w:rsidR="00B03C77" w:rsidRPr="00B03C77" w:rsidRDefault="00B03C77" w:rsidP="00B03C77">
            <w:pPr>
              <w:spacing w:before="0" w:line="240" w:lineRule="auto"/>
              <w:jc w:val="center"/>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2021</w:t>
            </w:r>
          </w:p>
        </w:tc>
        <w:tc>
          <w:tcPr>
            <w:tcW w:w="816" w:type="dxa"/>
            <w:tcBorders>
              <w:top w:val="nil"/>
              <w:left w:val="nil"/>
              <w:bottom w:val="nil"/>
              <w:right w:val="nil"/>
            </w:tcBorders>
            <w:shd w:val="clear" w:color="auto" w:fill="auto"/>
            <w:noWrap/>
            <w:vAlign w:val="center"/>
            <w:hideMark/>
          </w:tcPr>
          <w:p w14:paraId="37391AFD" w14:textId="77777777" w:rsidR="00B03C77" w:rsidRPr="00B03C77" w:rsidRDefault="00B03C77" w:rsidP="00B03C77">
            <w:pPr>
              <w:spacing w:before="0" w:line="240" w:lineRule="auto"/>
              <w:jc w:val="center"/>
              <w:rPr>
                <w:rFonts w:ascii="Meta Pro" w:eastAsia="Times New Roman" w:hAnsi="Meta Pro" w:cs="Calibri"/>
                <w:b/>
                <w:bCs/>
                <w:color w:val="000000"/>
                <w:sz w:val="16"/>
                <w:szCs w:val="16"/>
                <w:lang w:eastAsia="en-AU"/>
              </w:rPr>
            </w:pPr>
          </w:p>
        </w:tc>
        <w:tc>
          <w:tcPr>
            <w:tcW w:w="1785" w:type="dxa"/>
            <w:gridSpan w:val="3"/>
            <w:tcBorders>
              <w:top w:val="nil"/>
              <w:left w:val="nil"/>
              <w:bottom w:val="nil"/>
              <w:right w:val="nil"/>
            </w:tcBorders>
            <w:shd w:val="clear" w:color="auto" w:fill="auto"/>
            <w:noWrap/>
            <w:vAlign w:val="center"/>
            <w:hideMark/>
          </w:tcPr>
          <w:p w14:paraId="24CD268A" w14:textId="77777777" w:rsidR="00B03C77" w:rsidRPr="00B03C77" w:rsidRDefault="00B03C77" w:rsidP="00B03C77">
            <w:pPr>
              <w:spacing w:before="0" w:line="240" w:lineRule="auto"/>
              <w:jc w:val="center"/>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2021</w:t>
            </w:r>
          </w:p>
        </w:tc>
        <w:tc>
          <w:tcPr>
            <w:tcW w:w="816" w:type="dxa"/>
            <w:gridSpan w:val="2"/>
            <w:tcBorders>
              <w:top w:val="nil"/>
              <w:left w:val="nil"/>
              <w:bottom w:val="nil"/>
              <w:right w:val="nil"/>
            </w:tcBorders>
            <w:shd w:val="clear" w:color="auto" w:fill="auto"/>
            <w:noWrap/>
            <w:vAlign w:val="center"/>
            <w:hideMark/>
          </w:tcPr>
          <w:p w14:paraId="6D4C52AC" w14:textId="77777777" w:rsidR="00B03C77" w:rsidRPr="00B03C77" w:rsidRDefault="00B03C77" w:rsidP="00B03C77">
            <w:pPr>
              <w:spacing w:before="0" w:line="240" w:lineRule="auto"/>
              <w:jc w:val="center"/>
              <w:rPr>
                <w:rFonts w:ascii="Meta Pro" w:eastAsia="Times New Roman" w:hAnsi="Meta Pro" w:cs="Calibri"/>
                <w:b/>
                <w:bCs/>
                <w:color w:val="000000"/>
                <w:sz w:val="16"/>
                <w:szCs w:val="16"/>
                <w:lang w:eastAsia="en-AU"/>
              </w:rPr>
            </w:pPr>
          </w:p>
        </w:tc>
        <w:tc>
          <w:tcPr>
            <w:tcW w:w="1799" w:type="dxa"/>
            <w:gridSpan w:val="3"/>
            <w:tcBorders>
              <w:top w:val="nil"/>
              <w:left w:val="nil"/>
              <w:bottom w:val="nil"/>
              <w:right w:val="nil"/>
            </w:tcBorders>
            <w:shd w:val="clear" w:color="auto" w:fill="auto"/>
            <w:noWrap/>
            <w:vAlign w:val="center"/>
            <w:hideMark/>
          </w:tcPr>
          <w:p w14:paraId="240C88D2" w14:textId="77777777" w:rsidR="00B03C77" w:rsidRPr="00B03C77" w:rsidRDefault="00B03C77" w:rsidP="00B03C77">
            <w:pPr>
              <w:spacing w:before="0" w:line="240" w:lineRule="auto"/>
              <w:jc w:val="center"/>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2021</w:t>
            </w:r>
          </w:p>
        </w:tc>
        <w:tc>
          <w:tcPr>
            <w:tcW w:w="816" w:type="dxa"/>
            <w:tcBorders>
              <w:top w:val="nil"/>
              <w:left w:val="nil"/>
              <w:bottom w:val="nil"/>
              <w:right w:val="nil"/>
            </w:tcBorders>
            <w:shd w:val="clear" w:color="auto" w:fill="auto"/>
            <w:noWrap/>
            <w:vAlign w:val="center"/>
            <w:hideMark/>
          </w:tcPr>
          <w:p w14:paraId="0FE9AF57" w14:textId="77777777" w:rsidR="00B03C77" w:rsidRPr="00B03C77" w:rsidRDefault="00B03C77" w:rsidP="00B03C77">
            <w:pPr>
              <w:spacing w:before="0" w:line="240" w:lineRule="auto"/>
              <w:jc w:val="center"/>
              <w:rPr>
                <w:rFonts w:ascii="Meta Pro" w:eastAsia="Times New Roman" w:hAnsi="Meta Pro" w:cs="Calibri"/>
                <w:b/>
                <w:bCs/>
                <w:color w:val="000000"/>
                <w:sz w:val="16"/>
                <w:szCs w:val="16"/>
                <w:lang w:eastAsia="en-AU"/>
              </w:rPr>
            </w:pPr>
          </w:p>
        </w:tc>
        <w:tc>
          <w:tcPr>
            <w:tcW w:w="816" w:type="dxa"/>
            <w:tcBorders>
              <w:top w:val="nil"/>
              <w:left w:val="nil"/>
              <w:bottom w:val="nil"/>
              <w:right w:val="nil"/>
            </w:tcBorders>
            <w:shd w:val="clear" w:color="auto" w:fill="auto"/>
            <w:noWrap/>
            <w:vAlign w:val="center"/>
            <w:hideMark/>
          </w:tcPr>
          <w:p w14:paraId="12F86849" w14:textId="77777777" w:rsidR="00B03C77" w:rsidRPr="00B03C77" w:rsidRDefault="00B03C77" w:rsidP="00B03C77">
            <w:pPr>
              <w:spacing w:before="0" w:line="240" w:lineRule="auto"/>
              <w:jc w:val="center"/>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2021</w:t>
            </w:r>
          </w:p>
        </w:tc>
      </w:tr>
      <w:tr w:rsidR="00B03C77" w:rsidRPr="00B03C77" w14:paraId="5DC15F82" w14:textId="77777777" w:rsidTr="00B03C77">
        <w:trPr>
          <w:trHeight w:hRule="exact" w:val="284"/>
        </w:trPr>
        <w:tc>
          <w:tcPr>
            <w:tcW w:w="3697" w:type="dxa"/>
            <w:gridSpan w:val="5"/>
            <w:tcBorders>
              <w:top w:val="nil"/>
              <w:left w:val="nil"/>
              <w:bottom w:val="nil"/>
              <w:right w:val="nil"/>
            </w:tcBorders>
            <w:shd w:val="clear" w:color="auto" w:fill="auto"/>
            <w:noWrap/>
            <w:vAlign w:val="center"/>
            <w:hideMark/>
          </w:tcPr>
          <w:p w14:paraId="596D890C" w14:textId="77777777" w:rsidR="00B03C77" w:rsidRPr="00B03C77" w:rsidRDefault="00B03C77" w:rsidP="00B03C77">
            <w:pPr>
              <w:spacing w:before="0" w:line="240" w:lineRule="auto"/>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Assets</w:t>
            </w:r>
          </w:p>
        </w:tc>
        <w:tc>
          <w:tcPr>
            <w:tcW w:w="1481" w:type="dxa"/>
            <w:gridSpan w:val="4"/>
            <w:tcBorders>
              <w:top w:val="nil"/>
              <w:left w:val="nil"/>
              <w:bottom w:val="nil"/>
              <w:right w:val="nil"/>
            </w:tcBorders>
            <w:shd w:val="clear" w:color="auto" w:fill="auto"/>
            <w:noWrap/>
            <w:vAlign w:val="center"/>
            <w:hideMark/>
          </w:tcPr>
          <w:p w14:paraId="5A2F6581" w14:textId="77777777" w:rsidR="00B03C77" w:rsidRPr="00B03C77" w:rsidRDefault="00B03C77" w:rsidP="00B03C77">
            <w:pPr>
              <w:spacing w:before="0" w:line="240" w:lineRule="auto"/>
              <w:jc w:val="center"/>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$'000</w:t>
            </w:r>
          </w:p>
        </w:tc>
        <w:tc>
          <w:tcPr>
            <w:tcW w:w="1856" w:type="dxa"/>
            <w:gridSpan w:val="3"/>
            <w:tcBorders>
              <w:top w:val="nil"/>
              <w:left w:val="nil"/>
              <w:bottom w:val="nil"/>
              <w:right w:val="nil"/>
            </w:tcBorders>
            <w:shd w:val="clear" w:color="auto" w:fill="auto"/>
            <w:noWrap/>
            <w:vAlign w:val="center"/>
            <w:hideMark/>
          </w:tcPr>
          <w:p w14:paraId="6755DF07" w14:textId="77777777" w:rsidR="00B03C77" w:rsidRPr="00B03C77" w:rsidRDefault="00B03C77" w:rsidP="00B03C77">
            <w:pPr>
              <w:spacing w:before="0" w:line="240" w:lineRule="auto"/>
              <w:jc w:val="center"/>
              <w:rPr>
                <w:rFonts w:ascii="Meta Pro" w:eastAsia="Times New Roman" w:hAnsi="Meta Pro" w:cs="Calibri"/>
                <w:b/>
                <w:bCs/>
                <w:color w:val="000000"/>
                <w:sz w:val="16"/>
                <w:szCs w:val="16"/>
                <w:lang w:eastAsia="en-AU"/>
              </w:rPr>
            </w:pPr>
          </w:p>
        </w:tc>
        <w:tc>
          <w:tcPr>
            <w:tcW w:w="816" w:type="dxa"/>
            <w:tcBorders>
              <w:top w:val="nil"/>
              <w:left w:val="nil"/>
              <w:bottom w:val="nil"/>
              <w:right w:val="nil"/>
            </w:tcBorders>
            <w:shd w:val="clear" w:color="auto" w:fill="auto"/>
            <w:noWrap/>
            <w:vAlign w:val="center"/>
            <w:hideMark/>
          </w:tcPr>
          <w:p w14:paraId="6459EF39" w14:textId="77777777" w:rsidR="00B03C77" w:rsidRPr="00B03C77" w:rsidRDefault="00B03C77" w:rsidP="00B03C77">
            <w:pPr>
              <w:spacing w:before="0" w:line="240" w:lineRule="auto"/>
              <w:jc w:val="center"/>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$'000</w:t>
            </w:r>
          </w:p>
        </w:tc>
        <w:tc>
          <w:tcPr>
            <w:tcW w:w="1785" w:type="dxa"/>
            <w:gridSpan w:val="3"/>
            <w:tcBorders>
              <w:top w:val="nil"/>
              <w:left w:val="nil"/>
              <w:bottom w:val="nil"/>
              <w:right w:val="nil"/>
            </w:tcBorders>
            <w:shd w:val="clear" w:color="auto" w:fill="auto"/>
            <w:noWrap/>
            <w:vAlign w:val="center"/>
            <w:hideMark/>
          </w:tcPr>
          <w:p w14:paraId="693B5C2F" w14:textId="77777777" w:rsidR="00B03C77" w:rsidRPr="00B03C77" w:rsidRDefault="00B03C77" w:rsidP="00B03C77">
            <w:pPr>
              <w:spacing w:before="0" w:line="240" w:lineRule="auto"/>
              <w:jc w:val="center"/>
              <w:rPr>
                <w:rFonts w:ascii="Meta Pro" w:eastAsia="Times New Roman" w:hAnsi="Meta Pro" w:cs="Calibri"/>
                <w:b/>
                <w:bCs/>
                <w:color w:val="000000"/>
                <w:sz w:val="16"/>
                <w:szCs w:val="16"/>
                <w:lang w:eastAsia="en-AU"/>
              </w:rPr>
            </w:pPr>
          </w:p>
        </w:tc>
        <w:tc>
          <w:tcPr>
            <w:tcW w:w="816" w:type="dxa"/>
            <w:gridSpan w:val="2"/>
            <w:tcBorders>
              <w:top w:val="nil"/>
              <w:left w:val="nil"/>
              <w:bottom w:val="nil"/>
              <w:right w:val="nil"/>
            </w:tcBorders>
            <w:shd w:val="clear" w:color="auto" w:fill="auto"/>
            <w:noWrap/>
            <w:vAlign w:val="center"/>
            <w:hideMark/>
          </w:tcPr>
          <w:p w14:paraId="254C684B" w14:textId="77777777" w:rsidR="00B03C77" w:rsidRPr="00B03C77" w:rsidRDefault="00B03C77" w:rsidP="00B03C77">
            <w:pPr>
              <w:spacing w:before="0" w:line="240" w:lineRule="auto"/>
              <w:jc w:val="center"/>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$'000</w:t>
            </w:r>
          </w:p>
        </w:tc>
        <w:tc>
          <w:tcPr>
            <w:tcW w:w="1799" w:type="dxa"/>
            <w:gridSpan w:val="3"/>
            <w:tcBorders>
              <w:top w:val="nil"/>
              <w:left w:val="nil"/>
              <w:bottom w:val="nil"/>
              <w:right w:val="nil"/>
            </w:tcBorders>
            <w:shd w:val="clear" w:color="auto" w:fill="auto"/>
            <w:noWrap/>
            <w:vAlign w:val="center"/>
            <w:hideMark/>
          </w:tcPr>
          <w:p w14:paraId="7F49CA54" w14:textId="77777777" w:rsidR="00B03C77" w:rsidRPr="00B03C77" w:rsidRDefault="00B03C77" w:rsidP="00B03C77">
            <w:pPr>
              <w:spacing w:before="0" w:line="240" w:lineRule="auto"/>
              <w:jc w:val="center"/>
              <w:rPr>
                <w:rFonts w:ascii="Meta Pro" w:eastAsia="Times New Roman" w:hAnsi="Meta Pro" w:cs="Calibri"/>
                <w:b/>
                <w:bCs/>
                <w:color w:val="000000"/>
                <w:sz w:val="16"/>
                <w:szCs w:val="16"/>
                <w:lang w:eastAsia="en-AU"/>
              </w:rPr>
            </w:pPr>
          </w:p>
        </w:tc>
        <w:tc>
          <w:tcPr>
            <w:tcW w:w="1633" w:type="dxa"/>
            <w:gridSpan w:val="2"/>
            <w:tcBorders>
              <w:top w:val="nil"/>
              <w:left w:val="nil"/>
              <w:bottom w:val="nil"/>
              <w:right w:val="nil"/>
            </w:tcBorders>
            <w:shd w:val="clear" w:color="auto" w:fill="auto"/>
            <w:noWrap/>
            <w:vAlign w:val="center"/>
            <w:hideMark/>
          </w:tcPr>
          <w:p w14:paraId="4CE3E47D" w14:textId="77777777" w:rsidR="00B03C77" w:rsidRPr="00B03C77" w:rsidRDefault="00B03C77" w:rsidP="00B03C77">
            <w:pPr>
              <w:spacing w:before="0" w:line="240" w:lineRule="auto"/>
              <w:jc w:val="center"/>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$'000</w:t>
            </w:r>
          </w:p>
        </w:tc>
      </w:tr>
      <w:tr w:rsidR="00B03C77" w:rsidRPr="00B03C77" w14:paraId="4C2EE332" w14:textId="77777777" w:rsidTr="00B03C77">
        <w:trPr>
          <w:trHeight w:hRule="exact" w:val="284"/>
        </w:trPr>
        <w:tc>
          <w:tcPr>
            <w:tcW w:w="3697" w:type="dxa"/>
            <w:gridSpan w:val="5"/>
            <w:tcBorders>
              <w:top w:val="nil"/>
              <w:left w:val="nil"/>
              <w:bottom w:val="nil"/>
              <w:right w:val="nil"/>
            </w:tcBorders>
            <w:shd w:val="clear" w:color="auto" w:fill="auto"/>
            <w:noWrap/>
            <w:vAlign w:val="center"/>
            <w:hideMark/>
          </w:tcPr>
          <w:p w14:paraId="5E79DEBC" w14:textId="77777777" w:rsidR="00B03C77" w:rsidRPr="00B03C77" w:rsidRDefault="00B03C77" w:rsidP="00B03C77">
            <w:pPr>
              <w:spacing w:before="0" w:line="240" w:lineRule="auto"/>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Current assets</w:t>
            </w:r>
          </w:p>
        </w:tc>
        <w:tc>
          <w:tcPr>
            <w:tcW w:w="1481" w:type="dxa"/>
            <w:gridSpan w:val="4"/>
            <w:tcBorders>
              <w:top w:val="nil"/>
              <w:left w:val="nil"/>
              <w:bottom w:val="nil"/>
              <w:right w:val="nil"/>
            </w:tcBorders>
            <w:shd w:val="clear" w:color="auto" w:fill="auto"/>
            <w:noWrap/>
            <w:vAlign w:val="center"/>
            <w:hideMark/>
          </w:tcPr>
          <w:p w14:paraId="0462AA57" w14:textId="77777777" w:rsidR="00B03C77" w:rsidRPr="00B03C77" w:rsidRDefault="00B03C77" w:rsidP="00B03C77">
            <w:pPr>
              <w:spacing w:before="0" w:line="240" w:lineRule="auto"/>
              <w:rPr>
                <w:rFonts w:ascii="Meta Pro" w:eastAsia="Times New Roman" w:hAnsi="Meta Pro" w:cs="Calibri"/>
                <w:b/>
                <w:bCs/>
                <w:color w:val="000000"/>
                <w:sz w:val="16"/>
                <w:szCs w:val="16"/>
                <w:lang w:eastAsia="en-AU"/>
              </w:rPr>
            </w:pPr>
          </w:p>
        </w:tc>
        <w:tc>
          <w:tcPr>
            <w:tcW w:w="1856" w:type="dxa"/>
            <w:gridSpan w:val="3"/>
            <w:tcBorders>
              <w:top w:val="nil"/>
              <w:left w:val="nil"/>
              <w:bottom w:val="nil"/>
              <w:right w:val="nil"/>
            </w:tcBorders>
            <w:shd w:val="clear" w:color="auto" w:fill="auto"/>
            <w:noWrap/>
            <w:vAlign w:val="center"/>
            <w:hideMark/>
          </w:tcPr>
          <w:p w14:paraId="582D8F7D"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816" w:type="dxa"/>
            <w:tcBorders>
              <w:top w:val="nil"/>
              <w:left w:val="nil"/>
              <w:bottom w:val="nil"/>
              <w:right w:val="nil"/>
            </w:tcBorders>
            <w:shd w:val="clear" w:color="auto" w:fill="auto"/>
            <w:noWrap/>
            <w:vAlign w:val="center"/>
            <w:hideMark/>
          </w:tcPr>
          <w:p w14:paraId="66E69DFA"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1785" w:type="dxa"/>
            <w:gridSpan w:val="3"/>
            <w:tcBorders>
              <w:top w:val="nil"/>
              <w:left w:val="nil"/>
              <w:bottom w:val="nil"/>
              <w:right w:val="nil"/>
            </w:tcBorders>
            <w:shd w:val="clear" w:color="auto" w:fill="auto"/>
            <w:noWrap/>
            <w:vAlign w:val="center"/>
            <w:hideMark/>
          </w:tcPr>
          <w:p w14:paraId="38476B6B"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816" w:type="dxa"/>
            <w:gridSpan w:val="2"/>
            <w:tcBorders>
              <w:top w:val="nil"/>
              <w:left w:val="nil"/>
              <w:bottom w:val="nil"/>
              <w:right w:val="nil"/>
            </w:tcBorders>
            <w:shd w:val="clear" w:color="auto" w:fill="auto"/>
            <w:noWrap/>
            <w:vAlign w:val="center"/>
            <w:hideMark/>
          </w:tcPr>
          <w:p w14:paraId="26F0BB6B"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1799" w:type="dxa"/>
            <w:gridSpan w:val="3"/>
            <w:tcBorders>
              <w:top w:val="nil"/>
              <w:left w:val="nil"/>
              <w:bottom w:val="nil"/>
              <w:right w:val="nil"/>
            </w:tcBorders>
            <w:shd w:val="clear" w:color="auto" w:fill="auto"/>
            <w:noWrap/>
            <w:vAlign w:val="center"/>
            <w:hideMark/>
          </w:tcPr>
          <w:p w14:paraId="7C52BFA6"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1633" w:type="dxa"/>
            <w:gridSpan w:val="2"/>
            <w:tcBorders>
              <w:top w:val="nil"/>
              <w:left w:val="nil"/>
              <w:bottom w:val="nil"/>
              <w:right w:val="nil"/>
            </w:tcBorders>
            <w:shd w:val="clear" w:color="auto" w:fill="auto"/>
            <w:noWrap/>
            <w:vAlign w:val="center"/>
            <w:hideMark/>
          </w:tcPr>
          <w:p w14:paraId="0D8F43F6" w14:textId="77777777" w:rsidR="00B03C77" w:rsidRPr="00B03C77" w:rsidRDefault="00B03C77" w:rsidP="00B03C77">
            <w:pPr>
              <w:spacing w:before="0" w:line="240" w:lineRule="auto"/>
              <w:rPr>
                <w:rFonts w:eastAsia="Times New Roman" w:cs="Times New Roman"/>
                <w:color w:val="auto"/>
                <w:sz w:val="20"/>
                <w:szCs w:val="20"/>
                <w:lang w:eastAsia="en-AU"/>
              </w:rPr>
            </w:pPr>
          </w:p>
        </w:tc>
      </w:tr>
      <w:tr w:rsidR="00B03C77" w:rsidRPr="00B03C77" w14:paraId="5C194C61" w14:textId="77777777" w:rsidTr="00B03C77">
        <w:trPr>
          <w:trHeight w:hRule="exact" w:val="284"/>
        </w:trPr>
        <w:tc>
          <w:tcPr>
            <w:tcW w:w="3033" w:type="dxa"/>
            <w:gridSpan w:val="2"/>
            <w:tcBorders>
              <w:top w:val="nil"/>
              <w:left w:val="nil"/>
              <w:bottom w:val="nil"/>
              <w:right w:val="nil"/>
            </w:tcBorders>
            <w:shd w:val="clear" w:color="auto" w:fill="auto"/>
            <w:noWrap/>
            <w:vAlign w:val="center"/>
            <w:hideMark/>
          </w:tcPr>
          <w:p w14:paraId="3DCEE329" w14:textId="77777777" w:rsidR="00B03C77" w:rsidRPr="00B03C77" w:rsidRDefault="00B03C77" w:rsidP="00B03C77">
            <w:pPr>
              <w:spacing w:before="0" w:line="240" w:lineRule="auto"/>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Cash</w:t>
            </w:r>
          </w:p>
        </w:tc>
        <w:tc>
          <w:tcPr>
            <w:tcW w:w="1430" w:type="dxa"/>
            <w:gridSpan w:val="6"/>
            <w:tcBorders>
              <w:top w:val="nil"/>
              <w:left w:val="nil"/>
              <w:bottom w:val="nil"/>
              <w:right w:val="nil"/>
            </w:tcBorders>
            <w:shd w:val="clear" w:color="auto" w:fill="auto"/>
            <w:noWrap/>
            <w:vAlign w:val="center"/>
            <w:hideMark/>
          </w:tcPr>
          <w:p w14:paraId="44ED683F"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8,610</w:t>
            </w:r>
          </w:p>
        </w:tc>
        <w:tc>
          <w:tcPr>
            <w:tcW w:w="715" w:type="dxa"/>
            <w:tcBorders>
              <w:top w:val="nil"/>
              <w:left w:val="nil"/>
              <w:bottom w:val="nil"/>
              <w:right w:val="nil"/>
            </w:tcBorders>
            <w:shd w:val="clear" w:color="auto" w:fill="auto"/>
            <w:noWrap/>
            <w:vAlign w:val="center"/>
            <w:hideMark/>
          </w:tcPr>
          <w:p w14:paraId="62C5163F"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856" w:type="dxa"/>
            <w:gridSpan w:val="3"/>
            <w:tcBorders>
              <w:top w:val="nil"/>
              <w:left w:val="nil"/>
              <w:bottom w:val="nil"/>
              <w:right w:val="nil"/>
            </w:tcBorders>
            <w:shd w:val="clear" w:color="auto" w:fill="auto"/>
            <w:noWrap/>
            <w:vAlign w:val="center"/>
            <w:hideMark/>
          </w:tcPr>
          <w:p w14:paraId="3DF3552A"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79,861</w:t>
            </w:r>
          </w:p>
        </w:tc>
        <w:tc>
          <w:tcPr>
            <w:tcW w:w="816" w:type="dxa"/>
            <w:tcBorders>
              <w:top w:val="nil"/>
              <w:left w:val="nil"/>
              <w:bottom w:val="nil"/>
              <w:right w:val="nil"/>
            </w:tcBorders>
            <w:shd w:val="clear" w:color="auto" w:fill="auto"/>
            <w:noWrap/>
            <w:vAlign w:val="center"/>
            <w:hideMark/>
          </w:tcPr>
          <w:p w14:paraId="3B1703C6"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85" w:type="dxa"/>
            <w:gridSpan w:val="3"/>
            <w:tcBorders>
              <w:top w:val="nil"/>
              <w:left w:val="nil"/>
              <w:bottom w:val="nil"/>
              <w:right w:val="nil"/>
            </w:tcBorders>
            <w:shd w:val="clear" w:color="auto" w:fill="auto"/>
            <w:noWrap/>
            <w:vAlign w:val="center"/>
            <w:hideMark/>
          </w:tcPr>
          <w:p w14:paraId="7CF8A2C2"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20,369</w:t>
            </w:r>
          </w:p>
        </w:tc>
        <w:tc>
          <w:tcPr>
            <w:tcW w:w="816" w:type="dxa"/>
            <w:gridSpan w:val="2"/>
            <w:tcBorders>
              <w:top w:val="nil"/>
              <w:left w:val="nil"/>
              <w:bottom w:val="nil"/>
              <w:right w:val="nil"/>
            </w:tcBorders>
            <w:shd w:val="clear" w:color="auto" w:fill="auto"/>
            <w:noWrap/>
            <w:vAlign w:val="center"/>
            <w:hideMark/>
          </w:tcPr>
          <w:p w14:paraId="6988F8E4"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99" w:type="dxa"/>
            <w:gridSpan w:val="3"/>
            <w:tcBorders>
              <w:top w:val="nil"/>
              <w:left w:val="nil"/>
              <w:bottom w:val="nil"/>
              <w:right w:val="nil"/>
            </w:tcBorders>
            <w:shd w:val="clear" w:color="auto" w:fill="auto"/>
            <w:noWrap/>
            <w:vAlign w:val="center"/>
            <w:hideMark/>
          </w:tcPr>
          <w:p w14:paraId="46C12BF4"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20,456</w:t>
            </w:r>
          </w:p>
        </w:tc>
        <w:tc>
          <w:tcPr>
            <w:tcW w:w="816" w:type="dxa"/>
            <w:tcBorders>
              <w:top w:val="nil"/>
              <w:left w:val="nil"/>
              <w:bottom w:val="nil"/>
              <w:right w:val="nil"/>
            </w:tcBorders>
            <w:shd w:val="clear" w:color="auto" w:fill="auto"/>
            <w:noWrap/>
            <w:vAlign w:val="center"/>
            <w:hideMark/>
          </w:tcPr>
          <w:p w14:paraId="7BC00368"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816" w:type="dxa"/>
            <w:tcBorders>
              <w:top w:val="nil"/>
              <w:left w:val="nil"/>
              <w:bottom w:val="nil"/>
              <w:right w:val="nil"/>
            </w:tcBorders>
            <w:shd w:val="clear" w:color="auto" w:fill="auto"/>
            <w:noWrap/>
            <w:vAlign w:val="center"/>
            <w:hideMark/>
          </w:tcPr>
          <w:p w14:paraId="104FAFD6"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222,096</w:t>
            </w:r>
          </w:p>
        </w:tc>
      </w:tr>
      <w:tr w:rsidR="00B03C77" w:rsidRPr="00B03C77" w14:paraId="5FA3F535" w14:textId="77777777" w:rsidTr="00B03C77">
        <w:trPr>
          <w:trHeight w:hRule="exact" w:val="284"/>
        </w:trPr>
        <w:tc>
          <w:tcPr>
            <w:tcW w:w="3033" w:type="dxa"/>
            <w:gridSpan w:val="2"/>
            <w:tcBorders>
              <w:top w:val="nil"/>
              <w:left w:val="nil"/>
              <w:bottom w:val="nil"/>
              <w:right w:val="nil"/>
            </w:tcBorders>
            <w:shd w:val="clear" w:color="auto" w:fill="auto"/>
            <w:noWrap/>
            <w:vAlign w:val="center"/>
            <w:hideMark/>
          </w:tcPr>
          <w:p w14:paraId="51940273" w14:textId="77777777" w:rsidR="00B03C77" w:rsidRPr="00B03C77" w:rsidRDefault="00B03C77" w:rsidP="00B03C77">
            <w:pPr>
              <w:spacing w:before="0" w:line="240" w:lineRule="auto"/>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Receivables</w:t>
            </w:r>
          </w:p>
        </w:tc>
        <w:tc>
          <w:tcPr>
            <w:tcW w:w="1430" w:type="dxa"/>
            <w:gridSpan w:val="6"/>
            <w:tcBorders>
              <w:top w:val="nil"/>
              <w:left w:val="nil"/>
              <w:bottom w:val="nil"/>
              <w:right w:val="nil"/>
            </w:tcBorders>
            <w:shd w:val="clear" w:color="auto" w:fill="auto"/>
            <w:noWrap/>
            <w:vAlign w:val="center"/>
            <w:hideMark/>
          </w:tcPr>
          <w:p w14:paraId="362ECE1E"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10,096</w:t>
            </w:r>
          </w:p>
        </w:tc>
        <w:tc>
          <w:tcPr>
            <w:tcW w:w="715" w:type="dxa"/>
            <w:tcBorders>
              <w:top w:val="nil"/>
              <w:left w:val="nil"/>
              <w:bottom w:val="nil"/>
              <w:right w:val="nil"/>
            </w:tcBorders>
            <w:shd w:val="clear" w:color="auto" w:fill="auto"/>
            <w:noWrap/>
            <w:vAlign w:val="center"/>
            <w:hideMark/>
          </w:tcPr>
          <w:p w14:paraId="3CA634A8"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856" w:type="dxa"/>
            <w:gridSpan w:val="3"/>
            <w:tcBorders>
              <w:top w:val="nil"/>
              <w:left w:val="nil"/>
              <w:bottom w:val="nil"/>
              <w:right w:val="nil"/>
            </w:tcBorders>
            <w:shd w:val="clear" w:color="auto" w:fill="auto"/>
            <w:noWrap/>
            <w:vAlign w:val="center"/>
            <w:hideMark/>
          </w:tcPr>
          <w:p w14:paraId="4F3EF01D"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31,076</w:t>
            </w:r>
          </w:p>
        </w:tc>
        <w:tc>
          <w:tcPr>
            <w:tcW w:w="816" w:type="dxa"/>
            <w:tcBorders>
              <w:top w:val="nil"/>
              <w:left w:val="nil"/>
              <w:bottom w:val="nil"/>
              <w:right w:val="nil"/>
            </w:tcBorders>
            <w:shd w:val="clear" w:color="auto" w:fill="auto"/>
            <w:noWrap/>
            <w:vAlign w:val="center"/>
            <w:hideMark/>
          </w:tcPr>
          <w:p w14:paraId="3C8E75A2"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85" w:type="dxa"/>
            <w:gridSpan w:val="3"/>
            <w:tcBorders>
              <w:top w:val="nil"/>
              <w:left w:val="nil"/>
              <w:bottom w:val="nil"/>
              <w:right w:val="nil"/>
            </w:tcBorders>
            <w:shd w:val="clear" w:color="auto" w:fill="auto"/>
            <w:noWrap/>
            <w:vAlign w:val="center"/>
            <w:hideMark/>
          </w:tcPr>
          <w:p w14:paraId="40438D4F"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97,753</w:t>
            </w:r>
          </w:p>
        </w:tc>
        <w:tc>
          <w:tcPr>
            <w:tcW w:w="816" w:type="dxa"/>
            <w:gridSpan w:val="2"/>
            <w:tcBorders>
              <w:top w:val="nil"/>
              <w:left w:val="nil"/>
              <w:bottom w:val="nil"/>
              <w:right w:val="nil"/>
            </w:tcBorders>
            <w:shd w:val="clear" w:color="auto" w:fill="auto"/>
            <w:noWrap/>
            <w:vAlign w:val="center"/>
            <w:hideMark/>
          </w:tcPr>
          <w:p w14:paraId="7A90F825"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99" w:type="dxa"/>
            <w:gridSpan w:val="3"/>
            <w:tcBorders>
              <w:top w:val="nil"/>
              <w:left w:val="nil"/>
              <w:bottom w:val="nil"/>
              <w:right w:val="nil"/>
            </w:tcBorders>
            <w:shd w:val="clear" w:color="auto" w:fill="auto"/>
            <w:noWrap/>
            <w:vAlign w:val="center"/>
            <w:hideMark/>
          </w:tcPr>
          <w:p w14:paraId="268CAB97"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5,009</w:t>
            </w:r>
          </w:p>
        </w:tc>
        <w:tc>
          <w:tcPr>
            <w:tcW w:w="816" w:type="dxa"/>
            <w:tcBorders>
              <w:top w:val="nil"/>
              <w:left w:val="nil"/>
              <w:bottom w:val="nil"/>
              <w:right w:val="nil"/>
            </w:tcBorders>
            <w:shd w:val="clear" w:color="auto" w:fill="auto"/>
            <w:noWrap/>
            <w:vAlign w:val="center"/>
            <w:hideMark/>
          </w:tcPr>
          <w:p w14:paraId="7D9F74FA"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816" w:type="dxa"/>
            <w:tcBorders>
              <w:top w:val="nil"/>
              <w:left w:val="nil"/>
              <w:bottom w:val="nil"/>
              <w:right w:val="nil"/>
            </w:tcBorders>
            <w:shd w:val="clear" w:color="auto" w:fill="auto"/>
            <w:noWrap/>
            <w:vAlign w:val="center"/>
            <w:hideMark/>
          </w:tcPr>
          <w:p w14:paraId="695792B4"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82,885</w:t>
            </w:r>
          </w:p>
        </w:tc>
      </w:tr>
      <w:tr w:rsidR="00B03C77" w:rsidRPr="00B03C77" w14:paraId="261E33C3" w14:textId="77777777" w:rsidTr="00B03C77">
        <w:trPr>
          <w:trHeight w:hRule="exact" w:val="284"/>
        </w:trPr>
        <w:tc>
          <w:tcPr>
            <w:tcW w:w="3033" w:type="dxa"/>
            <w:gridSpan w:val="2"/>
            <w:tcBorders>
              <w:top w:val="nil"/>
              <w:left w:val="nil"/>
              <w:bottom w:val="nil"/>
              <w:right w:val="nil"/>
            </w:tcBorders>
            <w:shd w:val="clear" w:color="auto" w:fill="auto"/>
            <w:noWrap/>
            <w:vAlign w:val="center"/>
            <w:hideMark/>
          </w:tcPr>
          <w:p w14:paraId="3002C8B9" w14:textId="77777777" w:rsidR="00B03C77" w:rsidRPr="00B03C77" w:rsidRDefault="00B03C77" w:rsidP="00B03C77">
            <w:pPr>
              <w:spacing w:before="0" w:line="240" w:lineRule="auto"/>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Inventories</w:t>
            </w:r>
          </w:p>
        </w:tc>
        <w:tc>
          <w:tcPr>
            <w:tcW w:w="1430" w:type="dxa"/>
            <w:gridSpan w:val="6"/>
            <w:tcBorders>
              <w:top w:val="nil"/>
              <w:left w:val="nil"/>
              <w:bottom w:val="nil"/>
              <w:right w:val="nil"/>
            </w:tcBorders>
            <w:shd w:val="clear" w:color="auto" w:fill="auto"/>
            <w:noWrap/>
            <w:vAlign w:val="center"/>
            <w:hideMark/>
          </w:tcPr>
          <w:p w14:paraId="75DB2C35"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 xml:space="preserve">- </w:t>
            </w:r>
          </w:p>
        </w:tc>
        <w:tc>
          <w:tcPr>
            <w:tcW w:w="715" w:type="dxa"/>
            <w:tcBorders>
              <w:top w:val="nil"/>
              <w:left w:val="nil"/>
              <w:bottom w:val="nil"/>
              <w:right w:val="nil"/>
            </w:tcBorders>
            <w:shd w:val="clear" w:color="auto" w:fill="auto"/>
            <w:noWrap/>
            <w:vAlign w:val="center"/>
            <w:hideMark/>
          </w:tcPr>
          <w:p w14:paraId="743BE6A3"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856" w:type="dxa"/>
            <w:gridSpan w:val="3"/>
            <w:tcBorders>
              <w:top w:val="nil"/>
              <w:left w:val="nil"/>
              <w:bottom w:val="nil"/>
              <w:right w:val="nil"/>
            </w:tcBorders>
            <w:shd w:val="clear" w:color="auto" w:fill="auto"/>
            <w:noWrap/>
            <w:vAlign w:val="center"/>
            <w:hideMark/>
          </w:tcPr>
          <w:p w14:paraId="390BDEF2"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203</w:t>
            </w:r>
          </w:p>
        </w:tc>
        <w:tc>
          <w:tcPr>
            <w:tcW w:w="816" w:type="dxa"/>
            <w:tcBorders>
              <w:top w:val="nil"/>
              <w:left w:val="nil"/>
              <w:bottom w:val="nil"/>
              <w:right w:val="nil"/>
            </w:tcBorders>
            <w:shd w:val="clear" w:color="auto" w:fill="auto"/>
            <w:noWrap/>
            <w:vAlign w:val="center"/>
            <w:hideMark/>
          </w:tcPr>
          <w:p w14:paraId="1774BAC4"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85" w:type="dxa"/>
            <w:gridSpan w:val="3"/>
            <w:tcBorders>
              <w:top w:val="nil"/>
              <w:left w:val="nil"/>
              <w:bottom w:val="nil"/>
              <w:right w:val="nil"/>
            </w:tcBorders>
            <w:shd w:val="clear" w:color="auto" w:fill="auto"/>
            <w:noWrap/>
            <w:vAlign w:val="center"/>
            <w:hideMark/>
          </w:tcPr>
          <w:p w14:paraId="742DA44D"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970</w:t>
            </w:r>
          </w:p>
        </w:tc>
        <w:tc>
          <w:tcPr>
            <w:tcW w:w="816" w:type="dxa"/>
            <w:gridSpan w:val="2"/>
            <w:tcBorders>
              <w:top w:val="nil"/>
              <w:left w:val="nil"/>
              <w:bottom w:val="nil"/>
              <w:right w:val="nil"/>
            </w:tcBorders>
            <w:shd w:val="clear" w:color="auto" w:fill="auto"/>
            <w:noWrap/>
            <w:vAlign w:val="center"/>
            <w:hideMark/>
          </w:tcPr>
          <w:p w14:paraId="16051988"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99" w:type="dxa"/>
            <w:gridSpan w:val="3"/>
            <w:tcBorders>
              <w:top w:val="nil"/>
              <w:left w:val="nil"/>
              <w:bottom w:val="nil"/>
              <w:right w:val="nil"/>
            </w:tcBorders>
            <w:shd w:val="clear" w:color="auto" w:fill="auto"/>
            <w:noWrap/>
            <w:vAlign w:val="center"/>
            <w:hideMark/>
          </w:tcPr>
          <w:p w14:paraId="5CB13E1C"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165</w:t>
            </w:r>
          </w:p>
        </w:tc>
        <w:tc>
          <w:tcPr>
            <w:tcW w:w="816" w:type="dxa"/>
            <w:tcBorders>
              <w:top w:val="nil"/>
              <w:left w:val="nil"/>
              <w:bottom w:val="nil"/>
              <w:right w:val="nil"/>
            </w:tcBorders>
            <w:shd w:val="clear" w:color="auto" w:fill="auto"/>
            <w:noWrap/>
            <w:vAlign w:val="center"/>
            <w:hideMark/>
          </w:tcPr>
          <w:p w14:paraId="16A8B1DC"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816" w:type="dxa"/>
            <w:tcBorders>
              <w:top w:val="nil"/>
              <w:left w:val="nil"/>
              <w:bottom w:val="nil"/>
              <w:right w:val="nil"/>
            </w:tcBorders>
            <w:shd w:val="clear" w:color="auto" w:fill="auto"/>
            <w:noWrap/>
            <w:vAlign w:val="center"/>
            <w:hideMark/>
          </w:tcPr>
          <w:p w14:paraId="60BBF7CC"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2,270</w:t>
            </w:r>
          </w:p>
        </w:tc>
      </w:tr>
      <w:tr w:rsidR="00B03C77" w:rsidRPr="00B03C77" w14:paraId="271D918A" w14:textId="77777777" w:rsidTr="00B03C77">
        <w:trPr>
          <w:trHeight w:hRule="exact" w:val="284"/>
        </w:trPr>
        <w:tc>
          <w:tcPr>
            <w:tcW w:w="3033" w:type="dxa"/>
            <w:gridSpan w:val="2"/>
            <w:tcBorders>
              <w:top w:val="nil"/>
              <w:left w:val="nil"/>
              <w:bottom w:val="nil"/>
              <w:right w:val="nil"/>
            </w:tcBorders>
            <w:shd w:val="clear" w:color="auto" w:fill="auto"/>
            <w:noWrap/>
            <w:vAlign w:val="center"/>
            <w:hideMark/>
          </w:tcPr>
          <w:p w14:paraId="6FB493D5" w14:textId="77777777" w:rsidR="00B03C77" w:rsidRPr="00B03C77" w:rsidRDefault="00B03C77" w:rsidP="00B03C77">
            <w:pPr>
              <w:spacing w:before="0" w:line="240" w:lineRule="auto"/>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Prepayments</w:t>
            </w:r>
          </w:p>
        </w:tc>
        <w:tc>
          <w:tcPr>
            <w:tcW w:w="1430" w:type="dxa"/>
            <w:gridSpan w:val="6"/>
            <w:tcBorders>
              <w:top w:val="nil"/>
              <w:left w:val="nil"/>
              <w:bottom w:val="nil"/>
              <w:right w:val="nil"/>
            </w:tcBorders>
            <w:shd w:val="clear" w:color="auto" w:fill="auto"/>
            <w:noWrap/>
            <w:vAlign w:val="center"/>
            <w:hideMark/>
          </w:tcPr>
          <w:p w14:paraId="7D9843F7"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1,934</w:t>
            </w:r>
          </w:p>
        </w:tc>
        <w:tc>
          <w:tcPr>
            <w:tcW w:w="715" w:type="dxa"/>
            <w:tcBorders>
              <w:top w:val="nil"/>
              <w:left w:val="nil"/>
              <w:bottom w:val="nil"/>
              <w:right w:val="nil"/>
            </w:tcBorders>
            <w:shd w:val="clear" w:color="auto" w:fill="auto"/>
            <w:noWrap/>
            <w:vAlign w:val="center"/>
            <w:hideMark/>
          </w:tcPr>
          <w:p w14:paraId="55746905"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856" w:type="dxa"/>
            <w:gridSpan w:val="3"/>
            <w:tcBorders>
              <w:top w:val="nil"/>
              <w:left w:val="nil"/>
              <w:bottom w:val="nil"/>
              <w:right w:val="nil"/>
            </w:tcBorders>
            <w:shd w:val="clear" w:color="auto" w:fill="auto"/>
            <w:noWrap/>
            <w:vAlign w:val="center"/>
            <w:hideMark/>
          </w:tcPr>
          <w:p w14:paraId="6DEDBC41"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8,689</w:t>
            </w:r>
          </w:p>
        </w:tc>
        <w:tc>
          <w:tcPr>
            <w:tcW w:w="816" w:type="dxa"/>
            <w:tcBorders>
              <w:top w:val="nil"/>
              <w:left w:val="nil"/>
              <w:bottom w:val="nil"/>
              <w:right w:val="nil"/>
            </w:tcBorders>
            <w:shd w:val="clear" w:color="auto" w:fill="auto"/>
            <w:noWrap/>
            <w:vAlign w:val="center"/>
            <w:hideMark/>
          </w:tcPr>
          <w:p w14:paraId="545C08D7"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85" w:type="dxa"/>
            <w:gridSpan w:val="3"/>
            <w:tcBorders>
              <w:top w:val="nil"/>
              <w:left w:val="nil"/>
              <w:bottom w:val="nil"/>
              <w:right w:val="nil"/>
            </w:tcBorders>
            <w:shd w:val="clear" w:color="auto" w:fill="auto"/>
            <w:noWrap/>
            <w:vAlign w:val="center"/>
            <w:hideMark/>
          </w:tcPr>
          <w:p w14:paraId="69CC0A6D"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5,273</w:t>
            </w:r>
          </w:p>
        </w:tc>
        <w:tc>
          <w:tcPr>
            <w:tcW w:w="816" w:type="dxa"/>
            <w:gridSpan w:val="2"/>
            <w:tcBorders>
              <w:top w:val="nil"/>
              <w:left w:val="nil"/>
              <w:bottom w:val="nil"/>
              <w:right w:val="nil"/>
            </w:tcBorders>
            <w:shd w:val="clear" w:color="auto" w:fill="auto"/>
            <w:noWrap/>
            <w:vAlign w:val="center"/>
            <w:hideMark/>
          </w:tcPr>
          <w:p w14:paraId="53B8EE22"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99" w:type="dxa"/>
            <w:gridSpan w:val="3"/>
            <w:tcBorders>
              <w:top w:val="nil"/>
              <w:left w:val="nil"/>
              <w:bottom w:val="nil"/>
              <w:right w:val="nil"/>
            </w:tcBorders>
            <w:shd w:val="clear" w:color="auto" w:fill="auto"/>
            <w:noWrap/>
            <w:vAlign w:val="center"/>
            <w:hideMark/>
          </w:tcPr>
          <w:p w14:paraId="789475D3"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1,758</w:t>
            </w:r>
          </w:p>
        </w:tc>
        <w:tc>
          <w:tcPr>
            <w:tcW w:w="816" w:type="dxa"/>
            <w:tcBorders>
              <w:top w:val="nil"/>
              <w:left w:val="nil"/>
              <w:bottom w:val="nil"/>
              <w:right w:val="nil"/>
            </w:tcBorders>
            <w:shd w:val="clear" w:color="auto" w:fill="auto"/>
            <w:noWrap/>
            <w:vAlign w:val="center"/>
            <w:hideMark/>
          </w:tcPr>
          <w:p w14:paraId="727919EF"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816" w:type="dxa"/>
            <w:tcBorders>
              <w:top w:val="nil"/>
              <w:left w:val="nil"/>
              <w:bottom w:val="nil"/>
              <w:right w:val="nil"/>
            </w:tcBorders>
            <w:shd w:val="clear" w:color="auto" w:fill="auto"/>
            <w:noWrap/>
            <w:vAlign w:val="center"/>
            <w:hideMark/>
          </w:tcPr>
          <w:p w14:paraId="2AE4D073"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110,628</w:t>
            </w:r>
          </w:p>
        </w:tc>
      </w:tr>
      <w:tr w:rsidR="00B03C77" w:rsidRPr="00B03C77" w14:paraId="639C7C28" w14:textId="77777777" w:rsidTr="00B03C77">
        <w:trPr>
          <w:trHeight w:val="294"/>
        </w:trPr>
        <w:tc>
          <w:tcPr>
            <w:tcW w:w="3033" w:type="dxa"/>
            <w:gridSpan w:val="2"/>
            <w:tcBorders>
              <w:top w:val="nil"/>
              <w:left w:val="nil"/>
              <w:bottom w:val="single" w:sz="8" w:space="0" w:color="auto"/>
              <w:right w:val="nil"/>
            </w:tcBorders>
            <w:shd w:val="clear" w:color="auto" w:fill="auto"/>
            <w:noWrap/>
            <w:vAlign w:val="center"/>
            <w:hideMark/>
          </w:tcPr>
          <w:p w14:paraId="346512BB" w14:textId="77777777" w:rsidR="00B03C77" w:rsidRPr="00B03C77" w:rsidRDefault="00B03C77" w:rsidP="00B03C77">
            <w:pPr>
              <w:spacing w:before="0" w:line="240" w:lineRule="auto"/>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Non-current assets classified as held for sale</w:t>
            </w:r>
          </w:p>
        </w:tc>
        <w:tc>
          <w:tcPr>
            <w:tcW w:w="1430" w:type="dxa"/>
            <w:gridSpan w:val="6"/>
            <w:tcBorders>
              <w:top w:val="nil"/>
              <w:left w:val="nil"/>
              <w:bottom w:val="single" w:sz="8" w:space="0" w:color="auto"/>
              <w:right w:val="nil"/>
            </w:tcBorders>
            <w:shd w:val="clear" w:color="auto" w:fill="auto"/>
            <w:noWrap/>
            <w:vAlign w:val="center"/>
            <w:hideMark/>
          </w:tcPr>
          <w:p w14:paraId="248C613C"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4,515</w:t>
            </w:r>
          </w:p>
        </w:tc>
        <w:tc>
          <w:tcPr>
            <w:tcW w:w="715" w:type="dxa"/>
            <w:tcBorders>
              <w:top w:val="nil"/>
              <w:left w:val="nil"/>
              <w:bottom w:val="nil"/>
              <w:right w:val="nil"/>
            </w:tcBorders>
            <w:shd w:val="clear" w:color="auto" w:fill="auto"/>
            <w:noWrap/>
            <w:vAlign w:val="center"/>
            <w:hideMark/>
          </w:tcPr>
          <w:p w14:paraId="387AF158"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856" w:type="dxa"/>
            <w:gridSpan w:val="3"/>
            <w:tcBorders>
              <w:top w:val="nil"/>
              <w:left w:val="nil"/>
              <w:bottom w:val="single" w:sz="8" w:space="0" w:color="auto"/>
              <w:right w:val="nil"/>
            </w:tcBorders>
            <w:shd w:val="clear" w:color="auto" w:fill="auto"/>
            <w:noWrap/>
            <w:vAlign w:val="center"/>
            <w:hideMark/>
          </w:tcPr>
          <w:p w14:paraId="5F899FCC"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 xml:space="preserve">- </w:t>
            </w:r>
          </w:p>
        </w:tc>
        <w:tc>
          <w:tcPr>
            <w:tcW w:w="816" w:type="dxa"/>
            <w:tcBorders>
              <w:top w:val="nil"/>
              <w:left w:val="nil"/>
              <w:bottom w:val="nil"/>
              <w:right w:val="nil"/>
            </w:tcBorders>
            <w:shd w:val="clear" w:color="auto" w:fill="auto"/>
            <w:noWrap/>
            <w:vAlign w:val="center"/>
            <w:hideMark/>
          </w:tcPr>
          <w:p w14:paraId="3DC4455A"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85" w:type="dxa"/>
            <w:gridSpan w:val="3"/>
            <w:tcBorders>
              <w:top w:val="nil"/>
              <w:left w:val="nil"/>
              <w:bottom w:val="single" w:sz="8" w:space="0" w:color="auto"/>
              <w:right w:val="nil"/>
            </w:tcBorders>
            <w:shd w:val="clear" w:color="auto" w:fill="auto"/>
            <w:noWrap/>
            <w:vAlign w:val="center"/>
            <w:hideMark/>
          </w:tcPr>
          <w:p w14:paraId="2DA56B48"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 xml:space="preserve">- </w:t>
            </w:r>
          </w:p>
        </w:tc>
        <w:tc>
          <w:tcPr>
            <w:tcW w:w="816" w:type="dxa"/>
            <w:gridSpan w:val="2"/>
            <w:tcBorders>
              <w:top w:val="nil"/>
              <w:left w:val="nil"/>
              <w:bottom w:val="nil"/>
              <w:right w:val="nil"/>
            </w:tcBorders>
            <w:shd w:val="clear" w:color="auto" w:fill="auto"/>
            <w:noWrap/>
            <w:vAlign w:val="center"/>
            <w:hideMark/>
          </w:tcPr>
          <w:p w14:paraId="3E117DFA"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99" w:type="dxa"/>
            <w:gridSpan w:val="3"/>
            <w:tcBorders>
              <w:top w:val="nil"/>
              <w:left w:val="nil"/>
              <w:bottom w:val="single" w:sz="8" w:space="0" w:color="auto"/>
              <w:right w:val="nil"/>
            </w:tcBorders>
            <w:shd w:val="clear" w:color="auto" w:fill="auto"/>
            <w:noWrap/>
            <w:vAlign w:val="center"/>
            <w:hideMark/>
          </w:tcPr>
          <w:p w14:paraId="401AAAF9"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 xml:space="preserve">- </w:t>
            </w:r>
          </w:p>
        </w:tc>
        <w:tc>
          <w:tcPr>
            <w:tcW w:w="816" w:type="dxa"/>
            <w:tcBorders>
              <w:top w:val="nil"/>
              <w:left w:val="nil"/>
              <w:bottom w:val="nil"/>
              <w:right w:val="nil"/>
            </w:tcBorders>
            <w:shd w:val="clear" w:color="auto" w:fill="auto"/>
            <w:noWrap/>
            <w:vAlign w:val="center"/>
            <w:hideMark/>
          </w:tcPr>
          <w:p w14:paraId="5A1DF36A"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816" w:type="dxa"/>
            <w:tcBorders>
              <w:top w:val="nil"/>
              <w:left w:val="nil"/>
              <w:bottom w:val="nil"/>
              <w:right w:val="nil"/>
            </w:tcBorders>
            <w:shd w:val="clear" w:color="auto" w:fill="auto"/>
            <w:noWrap/>
            <w:vAlign w:val="center"/>
            <w:hideMark/>
          </w:tcPr>
          <w:p w14:paraId="4A1004FF"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 xml:space="preserve">- </w:t>
            </w:r>
          </w:p>
        </w:tc>
      </w:tr>
      <w:tr w:rsidR="00B03C77" w:rsidRPr="00B03C77" w14:paraId="7EC2E313" w14:textId="77777777" w:rsidTr="00B03C77">
        <w:trPr>
          <w:trHeight w:val="284"/>
        </w:trPr>
        <w:tc>
          <w:tcPr>
            <w:tcW w:w="3033" w:type="dxa"/>
            <w:gridSpan w:val="2"/>
            <w:tcBorders>
              <w:top w:val="nil"/>
              <w:left w:val="nil"/>
              <w:bottom w:val="nil"/>
              <w:right w:val="nil"/>
            </w:tcBorders>
            <w:shd w:val="clear" w:color="auto" w:fill="auto"/>
            <w:noWrap/>
            <w:vAlign w:val="center"/>
            <w:hideMark/>
          </w:tcPr>
          <w:p w14:paraId="0553FC5A" w14:textId="77777777" w:rsidR="00B03C77" w:rsidRPr="00B03C77" w:rsidRDefault="00B03C77" w:rsidP="00B03C77">
            <w:pPr>
              <w:spacing w:before="0" w:line="240" w:lineRule="auto"/>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Total current assets</w:t>
            </w:r>
          </w:p>
        </w:tc>
        <w:tc>
          <w:tcPr>
            <w:tcW w:w="1430" w:type="dxa"/>
            <w:gridSpan w:val="6"/>
            <w:tcBorders>
              <w:top w:val="single" w:sz="8" w:space="0" w:color="auto"/>
              <w:left w:val="nil"/>
              <w:bottom w:val="nil"/>
              <w:right w:val="nil"/>
            </w:tcBorders>
            <w:shd w:val="clear" w:color="auto" w:fill="auto"/>
            <w:noWrap/>
            <w:vAlign w:val="center"/>
            <w:hideMark/>
          </w:tcPr>
          <w:p w14:paraId="0204B8CE"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25,155</w:t>
            </w:r>
          </w:p>
        </w:tc>
        <w:tc>
          <w:tcPr>
            <w:tcW w:w="715" w:type="dxa"/>
            <w:tcBorders>
              <w:top w:val="single" w:sz="8" w:space="0" w:color="auto"/>
              <w:left w:val="nil"/>
              <w:bottom w:val="nil"/>
              <w:right w:val="nil"/>
            </w:tcBorders>
            <w:shd w:val="clear" w:color="auto" w:fill="auto"/>
            <w:noWrap/>
            <w:vAlign w:val="center"/>
            <w:hideMark/>
          </w:tcPr>
          <w:p w14:paraId="0A325B7B"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 </w:t>
            </w:r>
          </w:p>
        </w:tc>
        <w:tc>
          <w:tcPr>
            <w:tcW w:w="1856" w:type="dxa"/>
            <w:gridSpan w:val="3"/>
            <w:tcBorders>
              <w:top w:val="single" w:sz="8" w:space="0" w:color="auto"/>
              <w:left w:val="nil"/>
              <w:bottom w:val="nil"/>
              <w:right w:val="nil"/>
            </w:tcBorders>
            <w:shd w:val="clear" w:color="auto" w:fill="auto"/>
            <w:noWrap/>
            <w:vAlign w:val="center"/>
            <w:hideMark/>
          </w:tcPr>
          <w:p w14:paraId="48EC2A58"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119,829</w:t>
            </w:r>
          </w:p>
        </w:tc>
        <w:tc>
          <w:tcPr>
            <w:tcW w:w="816" w:type="dxa"/>
            <w:tcBorders>
              <w:top w:val="single" w:sz="8" w:space="0" w:color="auto"/>
              <w:left w:val="nil"/>
              <w:bottom w:val="nil"/>
              <w:right w:val="nil"/>
            </w:tcBorders>
            <w:shd w:val="clear" w:color="auto" w:fill="auto"/>
            <w:noWrap/>
            <w:vAlign w:val="center"/>
            <w:hideMark/>
          </w:tcPr>
          <w:p w14:paraId="27214655"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 </w:t>
            </w:r>
          </w:p>
        </w:tc>
        <w:tc>
          <w:tcPr>
            <w:tcW w:w="1785" w:type="dxa"/>
            <w:gridSpan w:val="3"/>
            <w:tcBorders>
              <w:top w:val="single" w:sz="8" w:space="0" w:color="auto"/>
              <w:left w:val="nil"/>
              <w:bottom w:val="nil"/>
              <w:right w:val="nil"/>
            </w:tcBorders>
            <w:shd w:val="clear" w:color="auto" w:fill="auto"/>
            <w:noWrap/>
            <w:vAlign w:val="center"/>
            <w:hideMark/>
          </w:tcPr>
          <w:p w14:paraId="4293E34D"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124,365</w:t>
            </w:r>
          </w:p>
        </w:tc>
        <w:tc>
          <w:tcPr>
            <w:tcW w:w="816" w:type="dxa"/>
            <w:gridSpan w:val="2"/>
            <w:tcBorders>
              <w:top w:val="single" w:sz="8" w:space="0" w:color="auto"/>
              <w:left w:val="nil"/>
              <w:bottom w:val="nil"/>
              <w:right w:val="nil"/>
            </w:tcBorders>
            <w:shd w:val="clear" w:color="auto" w:fill="auto"/>
            <w:noWrap/>
            <w:vAlign w:val="center"/>
            <w:hideMark/>
          </w:tcPr>
          <w:p w14:paraId="3E83D232"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 </w:t>
            </w:r>
          </w:p>
        </w:tc>
        <w:tc>
          <w:tcPr>
            <w:tcW w:w="1799" w:type="dxa"/>
            <w:gridSpan w:val="3"/>
            <w:tcBorders>
              <w:top w:val="single" w:sz="8" w:space="0" w:color="auto"/>
              <w:left w:val="nil"/>
              <w:bottom w:val="nil"/>
              <w:right w:val="nil"/>
            </w:tcBorders>
            <w:shd w:val="clear" w:color="auto" w:fill="auto"/>
            <w:noWrap/>
            <w:vAlign w:val="center"/>
            <w:hideMark/>
          </w:tcPr>
          <w:p w14:paraId="62239E1B"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27,388</w:t>
            </w:r>
          </w:p>
        </w:tc>
        <w:tc>
          <w:tcPr>
            <w:tcW w:w="816" w:type="dxa"/>
            <w:tcBorders>
              <w:top w:val="single" w:sz="8" w:space="0" w:color="auto"/>
              <w:left w:val="nil"/>
              <w:bottom w:val="nil"/>
              <w:right w:val="nil"/>
            </w:tcBorders>
            <w:shd w:val="clear" w:color="auto" w:fill="auto"/>
            <w:noWrap/>
            <w:vAlign w:val="center"/>
            <w:hideMark/>
          </w:tcPr>
          <w:p w14:paraId="0B7558C3"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 </w:t>
            </w:r>
          </w:p>
        </w:tc>
        <w:tc>
          <w:tcPr>
            <w:tcW w:w="816" w:type="dxa"/>
            <w:tcBorders>
              <w:top w:val="single" w:sz="8" w:space="0" w:color="auto"/>
              <w:left w:val="nil"/>
              <w:bottom w:val="nil"/>
              <w:right w:val="nil"/>
            </w:tcBorders>
            <w:shd w:val="clear" w:color="auto" w:fill="auto"/>
            <w:noWrap/>
            <w:vAlign w:val="center"/>
            <w:hideMark/>
          </w:tcPr>
          <w:p w14:paraId="2FDAFA59"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417,879</w:t>
            </w:r>
          </w:p>
        </w:tc>
      </w:tr>
      <w:tr w:rsidR="00B03C77" w:rsidRPr="00B03C77" w14:paraId="3DF5E185" w14:textId="77777777" w:rsidTr="00B03C77">
        <w:trPr>
          <w:trHeight w:hRule="exact" w:val="284"/>
        </w:trPr>
        <w:tc>
          <w:tcPr>
            <w:tcW w:w="3033" w:type="dxa"/>
            <w:gridSpan w:val="2"/>
            <w:tcBorders>
              <w:top w:val="nil"/>
              <w:left w:val="nil"/>
              <w:bottom w:val="nil"/>
              <w:right w:val="nil"/>
            </w:tcBorders>
            <w:shd w:val="clear" w:color="auto" w:fill="auto"/>
            <w:noWrap/>
            <w:vAlign w:val="center"/>
            <w:hideMark/>
          </w:tcPr>
          <w:p w14:paraId="158E3954"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p>
        </w:tc>
        <w:tc>
          <w:tcPr>
            <w:tcW w:w="1430" w:type="dxa"/>
            <w:gridSpan w:val="6"/>
            <w:tcBorders>
              <w:top w:val="nil"/>
              <w:left w:val="nil"/>
              <w:bottom w:val="nil"/>
              <w:right w:val="nil"/>
            </w:tcBorders>
            <w:shd w:val="clear" w:color="auto" w:fill="auto"/>
            <w:noWrap/>
            <w:vAlign w:val="center"/>
            <w:hideMark/>
          </w:tcPr>
          <w:p w14:paraId="0C3A14E0"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715" w:type="dxa"/>
            <w:tcBorders>
              <w:top w:val="nil"/>
              <w:left w:val="nil"/>
              <w:bottom w:val="nil"/>
              <w:right w:val="nil"/>
            </w:tcBorders>
            <w:shd w:val="clear" w:color="auto" w:fill="auto"/>
            <w:noWrap/>
            <w:vAlign w:val="center"/>
            <w:hideMark/>
          </w:tcPr>
          <w:p w14:paraId="2B3F822F"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1856" w:type="dxa"/>
            <w:gridSpan w:val="3"/>
            <w:tcBorders>
              <w:top w:val="nil"/>
              <w:left w:val="nil"/>
              <w:bottom w:val="nil"/>
              <w:right w:val="nil"/>
            </w:tcBorders>
            <w:shd w:val="clear" w:color="auto" w:fill="auto"/>
            <w:noWrap/>
            <w:vAlign w:val="center"/>
            <w:hideMark/>
          </w:tcPr>
          <w:p w14:paraId="3E721061"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816" w:type="dxa"/>
            <w:tcBorders>
              <w:top w:val="nil"/>
              <w:left w:val="nil"/>
              <w:bottom w:val="nil"/>
              <w:right w:val="nil"/>
            </w:tcBorders>
            <w:shd w:val="clear" w:color="auto" w:fill="auto"/>
            <w:noWrap/>
            <w:vAlign w:val="center"/>
            <w:hideMark/>
          </w:tcPr>
          <w:p w14:paraId="38EB21C5"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1785" w:type="dxa"/>
            <w:gridSpan w:val="3"/>
            <w:tcBorders>
              <w:top w:val="nil"/>
              <w:left w:val="nil"/>
              <w:bottom w:val="nil"/>
              <w:right w:val="nil"/>
            </w:tcBorders>
            <w:shd w:val="clear" w:color="auto" w:fill="auto"/>
            <w:noWrap/>
            <w:vAlign w:val="center"/>
            <w:hideMark/>
          </w:tcPr>
          <w:p w14:paraId="2F7B55D0"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816" w:type="dxa"/>
            <w:gridSpan w:val="2"/>
            <w:tcBorders>
              <w:top w:val="nil"/>
              <w:left w:val="nil"/>
              <w:bottom w:val="nil"/>
              <w:right w:val="nil"/>
            </w:tcBorders>
            <w:shd w:val="clear" w:color="auto" w:fill="auto"/>
            <w:noWrap/>
            <w:vAlign w:val="center"/>
            <w:hideMark/>
          </w:tcPr>
          <w:p w14:paraId="2997DED6"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1799" w:type="dxa"/>
            <w:gridSpan w:val="3"/>
            <w:tcBorders>
              <w:top w:val="nil"/>
              <w:left w:val="nil"/>
              <w:bottom w:val="nil"/>
              <w:right w:val="nil"/>
            </w:tcBorders>
            <w:shd w:val="clear" w:color="auto" w:fill="auto"/>
            <w:noWrap/>
            <w:vAlign w:val="center"/>
            <w:hideMark/>
          </w:tcPr>
          <w:p w14:paraId="424C7C27"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816" w:type="dxa"/>
            <w:tcBorders>
              <w:top w:val="nil"/>
              <w:left w:val="nil"/>
              <w:bottom w:val="nil"/>
              <w:right w:val="nil"/>
            </w:tcBorders>
            <w:shd w:val="clear" w:color="auto" w:fill="auto"/>
            <w:noWrap/>
            <w:vAlign w:val="center"/>
            <w:hideMark/>
          </w:tcPr>
          <w:p w14:paraId="0B43B7CB"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816" w:type="dxa"/>
            <w:tcBorders>
              <w:top w:val="nil"/>
              <w:left w:val="nil"/>
              <w:bottom w:val="nil"/>
              <w:right w:val="nil"/>
            </w:tcBorders>
            <w:shd w:val="clear" w:color="auto" w:fill="auto"/>
            <w:noWrap/>
            <w:vAlign w:val="center"/>
            <w:hideMark/>
          </w:tcPr>
          <w:p w14:paraId="3FEE8F22" w14:textId="77777777" w:rsidR="00B03C77" w:rsidRPr="00B03C77" w:rsidRDefault="00B03C77" w:rsidP="00B03C77">
            <w:pPr>
              <w:spacing w:before="0" w:line="240" w:lineRule="auto"/>
              <w:rPr>
                <w:rFonts w:eastAsia="Times New Roman" w:cs="Times New Roman"/>
                <w:color w:val="auto"/>
                <w:sz w:val="20"/>
                <w:szCs w:val="20"/>
                <w:lang w:eastAsia="en-AU"/>
              </w:rPr>
            </w:pPr>
          </w:p>
        </w:tc>
      </w:tr>
      <w:tr w:rsidR="00B03C77" w:rsidRPr="00B03C77" w14:paraId="390D324F" w14:textId="77777777" w:rsidTr="00B03C77">
        <w:trPr>
          <w:trHeight w:hRule="exact" w:val="284"/>
        </w:trPr>
        <w:tc>
          <w:tcPr>
            <w:tcW w:w="3697" w:type="dxa"/>
            <w:gridSpan w:val="5"/>
            <w:tcBorders>
              <w:top w:val="nil"/>
              <w:left w:val="nil"/>
              <w:bottom w:val="nil"/>
              <w:right w:val="nil"/>
            </w:tcBorders>
            <w:shd w:val="clear" w:color="auto" w:fill="auto"/>
            <w:noWrap/>
            <w:vAlign w:val="center"/>
            <w:hideMark/>
          </w:tcPr>
          <w:p w14:paraId="1CD980D0" w14:textId="77777777" w:rsidR="00B03C77" w:rsidRPr="00B03C77" w:rsidRDefault="00B03C77" w:rsidP="00B03C77">
            <w:pPr>
              <w:spacing w:before="0" w:line="240" w:lineRule="auto"/>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Non-current assets</w:t>
            </w:r>
          </w:p>
        </w:tc>
        <w:tc>
          <w:tcPr>
            <w:tcW w:w="1481" w:type="dxa"/>
            <w:gridSpan w:val="4"/>
            <w:tcBorders>
              <w:top w:val="nil"/>
              <w:left w:val="nil"/>
              <w:bottom w:val="nil"/>
              <w:right w:val="nil"/>
            </w:tcBorders>
            <w:shd w:val="clear" w:color="auto" w:fill="auto"/>
            <w:noWrap/>
            <w:vAlign w:val="center"/>
            <w:hideMark/>
          </w:tcPr>
          <w:p w14:paraId="5F2F68B4" w14:textId="77777777" w:rsidR="00B03C77" w:rsidRPr="00B03C77" w:rsidRDefault="00B03C77" w:rsidP="00B03C77">
            <w:pPr>
              <w:spacing w:before="0" w:line="240" w:lineRule="auto"/>
              <w:rPr>
                <w:rFonts w:ascii="Meta Pro" w:eastAsia="Times New Roman" w:hAnsi="Meta Pro" w:cs="Calibri"/>
                <w:b/>
                <w:bCs/>
                <w:color w:val="000000"/>
                <w:sz w:val="16"/>
                <w:szCs w:val="16"/>
                <w:lang w:eastAsia="en-AU"/>
              </w:rPr>
            </w:pPr>
          </w:p>
        </w:tc>
        <w:tc>
          <w:tcPr>
            <w:tcW w:w="1856" w:type="dxa"/>
            <w:gridSpan w:val="3"/>
            <w:tcBorders>
              <w:top w:val="nil"/>
              <w:left w:val="nil"/>
              <w:bottom w:val="nil"/>
              <w:right w:val="nil"/>
            </w:tcBorders>
            <w:shd w:val="clear" w:color="auto" w:fill="auto"/>
            <w:noWrap/>
            <w:vAlign w:val="center"/>
            <w:hideMark/>
          </w:tcPr>
          <w:p w14:paraId="38D0A39F"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816" w:type="dxa"/>
            <w:tcBorders>
              <w:top w:val="nil"/>
              <w:left w:val="nil"/>
              <w:bottom w:val="nil"/>
              <w:right w:val="nil"/>
            </w:tcBorders>
            <w:shd w:val="clear" w:color="auto" w:fill="auto"/>
            <w:noWrap/>
            <w:vAlign w:val="center"/>
            <w:hideMark/>
          </w:tcPr>
          <w:p w14:paraId="3721E99F"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1785" w:type="dxa"/>
            <w:gridSpan w:val="3"/>
            <w:tcBorders>
              <w:top w:val="nil"/>
              <w:left w:val="nil"/>
              <w:bottom w:val="nil"/>
              <w:right w:val="nil"/>
            </w:tcBorders>
            <w:shd w:val="clear" w:color="auto" w:fill="auto"/>
            <w:noWrap/>
            <w:vAlign w:val="center"/>
            <w:hideMark/>
          </w:tcPr>
          <w:p w14:paraId="2B0C50F4"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816" w:type="dxa"/>
            <w:gridSpan w:val="2"/>
            <w:tcBorders>
              <w:top w:val="nil"/>
              <w:left w:val="nil"/>
              <w:bottom w:val="nil"/>
              <w:right w:val="nil"/>
            </w:tcBorders>
            <w:shd w:val="clear" w:color="auto" w:fill="auto"/>
            <w:noWrap/>
            <w:vAlign w:val="center"/>
            <w:hideMark/>
          </w:tcPr>
          <w:p w14:paraId="128A7277"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1799" w:type="dxa"/>
            <w:gridSpan w:val="3"/>
            <w:tcBorders>
              <w:top w:val="nil"/>
              <w:left w:val="nil"/>
              <w:bottom w:val="nil"/>
              <w:right w:val="nil"/>
            </w:tcBorders>
            <w:shd w:val="clear" w:color="auto" w:fill="auto"/>
            <w:noWrap/>
            <w:vAlign w:val="center"/>
            <w:hideMark/>
          </w:tcPr>
          <w:p w14:paraId="64560031"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1633" w:type="dxa"/>
            <w:gridSpan w:val="2"/>
            <w:tcBorders>
              <w:top w:val="nil"/>
              <w:left w:val="nil"/>
              <w:bottom w:val="nil"/>
              <w:right w:val="nil"/>
            </w:tcBorders>
            <w:shd w:val="clear" w:color="auto" w:fill="auto"/>
            <w:noWrap/>
            <w:vAlign w:val="center"/>
            <w:hideMark/>
          </w:tcPr>
          <w:p w14:paraId="52524425" w14:textId="77777777" w:rsidR="00B03C77" w:rsidRPr="00B03C77" w:rsidRDefault="00B03C77" w:rsidP="00B03C77">
            <w:pPr>
              <w:spacing w:before="0" w:line="240" w:lineRule="auto"/>
              <w:rPr>
                <w:rFonts w:eastAsia="Times New Roman" w:cs="Times New Roman"/>
                <w:color w:val="auto"/>
                <w:sz w:val="20"/>
                <w:szCs w:val="20"/>
                <w:lang w:eastAsia="en-AU"/>
              </w:rPr>
            </w:pPr>
          </w:p>
        </w:tc>
      </w:tr>
      <w:tr w:rsidR="00B03C77" w:rsidRPr="00B03C77" w14:paraId="68EE4492" w14:textId="77777777" w:rsidTr="00B03C77">
        <w:trPr>
          <w:trHeight w:hRule="exact" w:val="284"/>
        </w:trPr>
        <w:tc>
          <w:tcPr>
            <w:tcW w:w="3033" w:type="dxa"/>
            <w:gridSpan w:val="2"/>
            <w:tcBorders>
              <w:top w:val="nil"/>
              <w:left w:val="nil"/>
              <w:bottom w:val="nil"/>
              <w:right w:val="nil"/>
            </w:tcBorders>
            <w:shd w:val="clear" w:color="auto" w:fill="auto"/>
            <w:noWrap/>
            <w:vAlign w:val="center"/>
            <w:hideMark/>
          </w:tcPr>
          <w:p w14:paraId="4A4FC5A2" w14:textId="77777777" w:rsidR="00B03C77" w:rsidRPr="00B03C77" w:rsidRDefault="00B03C77" w:rsidP="00B03C77">
            <w:pPr>
              <w:spacing w:before="0" w:line="240" w:lineRule="auto"/>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Receivables</w:t>
            </w:r>
          </w:p>
        </w:tc>
        <w:tc>
          <w:tcPr>
            <w:tcW w:w="1430" w:type="dxa"/>
            <w:gridSpan w:val="6"/>
            <w:tcBorders>
              <w:top w:val="nil"/>
              <w:left w:val="nil"/>
              <w:bottom w:val="nil"/>
              <w:right w:val="nil"/>
            </w:tcBorders>
            <w:shd w:val="clear" w:color="auto" w:fill="auto"/>
            <w:noWrap/>
            <w:vAlign w:val="center"/>
            <w:hideMark/>
          </w:tcPr>
          <w:p w14:paraId="715DB5E2"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144</w:t>
            </w:r>
          </w:p>
        </w:tc>
        <w:tc>
          <w:tcPr>
            <w:tcW w:w="715" w:type="dxa"/>
            <w:tcBorders>
              <w:top w:val="nil"/>
              <w:left w:val="nil"/>
              <w:bottom w:val="nil"/>
              <w:right w:val="nil"/>
            </w:tcBorders>
            <w:shd w:val="clear" w:color="auto" w:fill="auto"/>
            <w:noWrap/>
            <w:vAlign w:val="center"/>
            <w:hideMark/>
          </w:tcPr>
          <w:p w14:paraId="33179DBB"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856" w:type="dxa"/>
            <w:gridSpan w:val="3"/>
            <w:tcBorders>
              <w:top w:val="nil"/>
              <w:left w:val="nil"/>
              <w:bottom w:val="nil"/>
              <w:right w:val="nil"/>
            </w:tcBorders>
            <w:shd w:val="clear" w:color="auto" w:fill="auto"/>
            <w:noWrap/>
            <w:vAlign w:val="center"/>
            <w:hideMark/>
          </w:tcPr>
          <w:p w14:paraId="2C0AE7E0"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442</w:t>
            </w:r>
          </w:p>
        </w:tc>
        <w:tc>
          <w:tcPr>
            <w:tcW w:w="816" w:type="dxa"/>
            <w:tcBorders>
              <w:top w:val="nil"/>
              <w:left w:val="nil"/>
              <w:bottom w:val="nil"/>
              <w:right w:val="nil"/>
            </w:tcBorders>
            <w:shd w:val="clear" w:color="auto" w:fill="auto"/>
            <w:noWrap/>
            <w:vAlign w:val="center"/>
            <w:hideMark/>
          </w:tcPr>
          <w:p w14:paraId="396E4727"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85" w:type="dxa"/>
            <w:gridSpan w:val="3"/>
            <w:tcBorders>
              <w:top w:val="nil"/>
              <w:left w:val="nil"/>
              <w:bottom w:val="nil"/>
              <w:right w:val="nil"/>
            </w:tcBorders>
            <w:shd w:val="clear" w:color="auto" w:fill="auto"/>
            <w:noWrap/>
            <w:vAlign w:val="center"/>
            <w:hideMark/>
          </w:tcPr>
          <w:p w14:paraId="56AC87A5"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1,392</w:t>
            </w:r>
          </w:p>
        </w:tc>
        <w:tc>
          <w:tcPr>
            <w:tcW w:w="816" w:type="dxa"/>
            <w:gridSpan w:val="2"/>
            <w:tcBorders>
              <w:top w:val="nil"/>
              <w:left w:val="nil"/>
              <w:bottom w:val="nil"/>
              <w:right w:val="nil"/>
            </w:tcBorders>
            <w:shd w:val="clear" w:color="auto" w:fill="auto"/>
            <w:noWrap/>
            <w:vAlign w:val="center"/>
            <w:hideMark/>
          </w:tcPr>
          <w:p w14:paraId="33DCB509"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99" w:type="dxa"/>
            <w:gridSpan w:val="3"/>
            <w:tcBorders>
              <w:top w:val="nil"/>
              <w:left w:val="nil"/>
              <w:bottom w:val="nil"/>
              <w:right w:val="nil"/>
            </w:tcBorders>
            <w:shd w:val="clear" w:color="auto" w:fill="auto"/>
            <w:noWrap/>
            <w:vAlign w:val="center"/>
            <w:hideMark/>
          </w:tcPr>
          <w:p w14:paraId="3519E9EB"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71</w:t>
            </w:r>
          </w:p>
        </w:tc>
        <w:tc>
          <w:tcPr>
            <w:tcW w:w="816" w:type="dxa"/>
            <w:tcBorders>
              <w:top w:val="nil"/>
              <w:left w:val="nil"/>
              <w:bottom w:val="nil"/>
              <w:right w:val="nil"/>
            </w:tcBorders>
            <w:shd w:val="clear" w:color="auto" w:fill="auto"/>
            <w:noWrap/>
            <w:vAlign w:val="center"/>
            <w:hideMark/>
          </w:tcPr>
          <w:p w14:paraId="3E2FB96F"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816" w:type="dxa"/>
            <w:tcBorders>
              <w:top w:val="nil"/>
              <w:left w:val="nil"/>
              <w:bottom w:val="nil"/>
              <w:right w:val="nil"/>
            </w:tcBorders>
            <w:shd w:val="clear" w:color="auto" w:fill="auto"/>
            <w:noWrap/>
            <w:vAlign w:val="center"/>
            <w:hideMark/>
          </w:tcPr>
          <w:p w14:paraId="47E9A1BA"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1,180</w:t>
            </w:r>
          </w:p>
        </w:tc>
      </w:tr>
      <w:tr w:rsidR="00B03C77" w:rsidRPr="00B03C77" w14:paraId="2F22347E" w14:textId="77777777" w:rsidTr="00B03C77">
        <w:trPr>
          <w:trHeight w:hRule="exact" w:val="284"/>
        </w:trPr>
        <w:tc>
          <w:tcPr>
            <w:tcW w:w="3033" w:type="dxa"/>
            <w:gridSpan w:val="2"/>
            <w:tcBorders>
              <w:top w:val="nil"/>
              <w:left w:val="nil"/>
              <w:bottom w:val="nil"/>
              <w:right w:val="nil"/>
            </w:tcBorders>
            <w:shd w:val="clear" w:color="auto" w:fill="auto"/>
            <w:noWrap/>
            <w:vAlign w:val="center"/>
            <w:hideMark/>
          </w:tcPr>
          <w:p w14:paraId="17C97360" w14:textId="77777777" w:rsidR="00B03C77" w:rsidRPr="00B03C77" w:rsidRDefault="00B03C77" w:rsidP="00B03C77">
            <w:pPr>
              <w:spacing w:before="0" w:line="240" w:lineRule="auto"/>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Prepayments</w:t>
            </w:r>
          </w:p>
        </w:tc>
        <w:tc>
          <w:tcPr>
            <w:tcW w:w="1430" w:type="dxa"/>
            <w:gridSpan w:val="6"/>
            <w:tcBorders>
              <w:top w:val="nil"/>
              <w:left w:val="nil"/>
              <w:bottom w:val="nil"/>
              <w:right w:val="nil"/>
            </w:tcBorders>
            <w:shd w:val="clear" w:color="auto" w:fill="auto"/>
            <w:noWrap/>
            <w:vAlign w:val="center"/>
            <w:hideMark/>
          </w:tcPr>
          <w:p w14:paraId="265BF7A7"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22</w:t>
            </w:r>
          </w:p>
        </w:tc>
        <w:tc>
          <w:tcPr>
            <w:tcW w:w="715" w:type="dxa"/>
            <w:tcBorders>
              <w:top w:val="nil"/>
              <w:left w:val="nil"/>
              <w:bottom w:val="nil"/>
              <w:right w:val="nil"/>
            </w:tcBorders>
            <w:shd w:val="clear" w:color="auto" w:fill="auto"/>
            <w:noWrap/>
            <w:vAlign w:val="center"/>
            <w:hideMark/>
          </w:tcPr>
          <w:p w14:paraId="313889FA"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856" w:type="dxa"/>
            <w:gridSpan w:val="3"/>
            <w:tcBorders>
              <w:top w:val="nil"/>
              <w:left w:val="nil"/>
              <w:bottom w:val="nil"/>
              <w:right w:val="nil"/>
            </w:tcBorders>
            <w:shd w:val="clear" w:color="auto" w:fill="auto"/>
            <w:noWrap/>
            <w:vAlign w:val="center"/>
            <w:hideMark/>
          </w:tcPr>
          <w:p w14:paraId="6111FA29"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5,216</w:t>
            </w:r>
          </w:p>
        </w:tc>
        <w:tc>
          <w:tcPr>
            <w:tcW w:w="816" w:type="dxa"/>
            <w:tcBorders>
              <w:top w:val="nil"/>
              <w:left w:val="nil"/>
              <w:bottom w:val="nil"/>
              <w:right w:val="nil"/>
            </w:tcBorders>
            <w:shd w:val="clear" w:color="auto" w:fill="auto"/>
            <w:noWrap/>
            <w:vAlign w:val="center"/>
            <w:hideMark/>
          </w:tcPr>
          <w:p w14:paraId="09B6D588"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85" w:type="dxa"/>
            <w:gridSpan w:val="3"/>
            <w:tcBorders>
              <w:top w:val="nil"/>
              <w:left w:val="nil"/>
              <w:bottom w:val="nil"/>
              <w:right w:val="nil"/>
            </w:tcBorders>
            <w:shd w:val="clear" w:color="auto" w:fill="auto"/>
            <w:noWrap/>
            <w:vAlign w:val="center"/>
            <w:hideMark/>
          </w:tcPr>
          <w:p w14:paraId="462A85B1"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225</w:t>
            </w:r>
          </w:p>
        </w:tc>
        <w:tc>
          <w:tcPr>
            <w:tcW w:w="816" w:type="dxa"/>
            <w:gridSpan w:val="2"/>
            <w:tcBorders>
              <w:top w:val="nil"/>
              <w:left w:val="nil"/>
              <w:bottom w:val="nil"/>
              <w:right w:val="nil"/>
            </w:tcBorders>
            <w:shd w:val="clear" w:color="auto" w:fill="auto"/>
            <w:noWrap/>
            <w:vAlign w:val="center"/>
            <w:hideMark/>
          </w:tcPr>
          <w:p w14:paraId="6857B57C"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99" w:type="dxa"/>
            <w:gridSpan w:val="3"/>
            <w:tcBorders>
              <w:top w:val="nil"/>
              <w:left w:val="nil"/>
              <w:bottom w:val="nil"/>
              <w:right w:val="nil"/>
            </w:tcBorders>
            <w:shd w:val="clear" w:color="auto" w:fill="auto"/>
            <w:noWrap/>
            <w:vAlign w:val="center"/>
            <w:hideMark/>
          </w:tcPr>
          <w:p w14:paraId="07DA3C41"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23</w:t>
            </w:r>
          </w:p>
        </w:tc>
        <w:tc>
          <w:tcPr>
            <w:tcW w:w="816" w:type="dxa"/>
            <w:tcBorders>
              <w:top w:val="nil"/>
              <w:left w:val="nil"/>
              <w:bottom w:val="nil"/>
              <w:right w:val="nil"/>
            </w:tcBorders>
            <w:shd w:val="clear" w:color="auto" w:fill="auto"/>
            <w:noWrap/>
            <w:vAlign w:val="center"/>
            <w:hideMark/>
          </w:tcPr>
          <w:p w14:paraId="5A4633CC"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816" w:type="dxa"/>
            <w:tcBorders>
              <w:top w:val="nil"/>
              <w:left w:val="nil"/>
              <w:bottom w:val="nil"/>
              <w:right w:val="nil"/>
            </w:tcBorders>
            <w:shd w:val="clear" w:color="auto" w:fill="auto"/>
            <w:noWrap/>
            <w:vAlign w:val="center"/>
            <w:hideMark/>
          </w:tcPr>
          <w:p w14:paraId="523DFD10"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176,273</w:t>
            </w:r>
          </w:p>
        </w:tc>
      </w:tr>
      <w:tr w:rsidR="00B03C77" w:rsidRPr="00B03C77" w14:paraId="4AE31012" w14:textId="77777777" w:rsidTr="00B03C77">
        <w:trPr>
          <w:trHeight w:hRule="exact" w:val="284"/>
        </w:trPr>
        <w:tc>
          <w:tcPr>
            <w:tcW w:w="3033" w:type="dxa"/>
            <w:gridSpan w:val="2"/>
            <w:tcBorders>
              <w:top w:val="nil"/>
              <w:left w:val="nil"/>
              <w:bottom w:val="nil"/>
              <w:right w:val="nil"/>
            </w:tcBorders>
            <w:shd w:val="clear" w:color="auto" w:fill="auto"/>
            <w:noWrap/>
            <w:vAlign w:val="center"/>
            <w:hideMark/>
          </w:tcPr>
          <w:p w14:paraId="4E448BE8" w14:textId="77777777" w:rsidR="00B03C77" w:rsidRPr="00B03C77" w:rsidRDefault="00B03C77" w:rsidP="00B03C77">
            <w:pPr>
              <w:spacing w:before="0" w:line="240" w:lineRule="auto"/>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Intangible assets</w:t>
            </w:r>
          </w:p>
        </w:tc>
        <w:tc>
          <w:tcPr>
            <w:tcW w:w="1430" w:type="dxa"/>
            <w:gridSpan w:val="6"/>
            <w:tcBorders>
              <w:top w:val="nil"/>
              <w:left w:val="nil"/>
              <w:bottom w:val="nil"/>
              <w:right w:val="nil"/>
            </w:tcBorders>
            <w:shd w:val="clear" w:color="auto" w:fill="auto"/>
            <w:noWrap/>
            <w:vAlign w:val="center"/>
            <w:hideMark/>
          </w:tcPr>
          <w:p w14:paraId="36B81DB8"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19,249</w:t>
            </w:r>
          </w:p>
        </w:tc>
        <w:tc>
          <w:tcPr>
            <w:tcW w:w="715" w:type="dxa"/>
            <w:tcBorders>
              <w:top w:val="nil"/>
              <w:left w:val="nil"/>
              <w:bottom w:val="nil"/>
              <w:right w:val="nil"/>
            </w:tcBorders>
            <w:shd w:val="clear" w:color="auto" w:fill="auto"/>
            <w:noWrap/>
            <w:vAlign w:val="center"/>
            <w:hideMark/>
          </w:tcPr>
          <w:p w14:paraId="5058FEE6"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856" w:type="dxa"/>
            <w:gridSpan w:val="3"/>
            <w:tcBorders>
              <w:top w:val="nil"/>
              <w:left w:val="nil"/>
              <w:bottom w:val="nil"/>
              <w:right w:val="nil"/>
            </w:tcBorders>
            <w:shd w:val="clear" w:color="auto" w:fill="auto"/>
            <w:noWrap/>
            <w:vAlign w:val="center"/>
            <w:hideMark/>
          </w:tcPr>
          <w:p w14:paraId="01379C58"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4,230</w:t>
            </w:r>
          </w:p>
        </w:tc>
        <w:tc>
          <w:tcPr>
            <w:tcW w:w="816" w:type="dxa"/>
            <w:tcBorders>
              <w:top w:val="nil"/>
              <w:left w:val="nil"/>
              <w:bottom w:val="nil"/>
              <w:right w:val="nil"/>
            </w:tcBorders>
            <w:shd w:val="clear" w:color="auto" w:fill="auto"/>
            <w:noWrap/>
            <w:vAlign w:val="center"/>
            <w:hideMark/>
          </w:tcPr>
          <w:p w14:paraId="4D7586D4"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85" w:type="dxa"/>
            <w:gridSpan w:val="3"/>
            <w:tcBorders>
              <w:top w:val="nil"/>
              <w:left w:val="nil"/>
              <w:bottom w:val="nil"/>
              <w:right w:val="nil"/>
            </w:tcBorders>
            <w:shd w:val="clear" w:color="auto" w:fill="auto"/>
            <w:noWrap/>
            <w:vAlign w:val="center"/>
            <w:hideMark/>
          </w:tcPr>
          <w:p w14:paraId="30C248F6"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35,010</w:t>
            </w:r>
          </w:p>
        </w:tc>
        <w:tc>
          <w:tcPr>
            <w:tcW w:w="816" w:type="dxa"/>
            <w:gridSpan w:val="2"/>
            <w:tcBorders>
              <w:top w:val="nil"/>
              <w:left w:val="nil"/>
              <w:bottom w:val="nil"/>
              <w:right w:val="nil"/>
            </w:tcBorders>
            <w:shd w:val="clear" w:color="auto" w:fill="auto"/>
            <w:noWrap/>
            <w:vAlign w:val="center"/>
            <w:hideMark/>
          </w:tcPr>
          <w:p w14:paraId="2875D16C"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99" w:type="dxa"/>
            <w:gridSpan w:val="3"/>
            <w:tcBorders>
              <w:top w:val="nil"/>
              <w:left w:val="nil"/>
              <w:bottom w:val="nil"/>
              <w:right w:val="nil"/>
            </w:tcBorders>
            <w:shd w:val="clear" w:color="auto" w:fill="auto"/>
            <w:noWrap/>
            <w:vAlign w:val="center"/>
            <w:hideMark/>
          </w:tcPr>
          <w:p w14:paraId="4AEFDDB9"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17,814</w:t>
            </w:r>
          </w:p>
        </w:tc>
        <w:tc>
          <w:tcPr>
            <w:tcW w:w="816" w:type="dxa"/>
            <w:tcBorders>
              <w:top w:val="nil"/>
              <w:left w:val="nil"/>
              <w:bottom w:val="nil"/>
              <w:right w:val="nil"/>
            </w:tcBorders>
            <w:shd w:val="clear" w:color="auto" w:fill="auto"/>
            <w:noWrap/>
            <w:vAlign w:val="center"/>
            <w:hideMark/>
          </w:tcPr>
          <w:p w14:paraId="6F19D29A"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816" w:type="dxa"/>
            <w:tcBorders>
              <w:top w:val="nil"/>
              <w:left w:val="nil"/>
              <w:bottom w:val="nil"/>
              <w:right w:val="nil"/>
            </w:tcBorders>
            <w:shd w:val="clear" w:color="auto" w:fill="auto"/>
            <w:noWrap/>
            <w:vAlign w:val="center"/>
            <w:hideMark/>
          </w:tcPr>
          <w:p w14:paraId="4CB15A53"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9,251</w:t>
            </w:r>
          </w:p>
        </w:tc>
      </w:tr>
      <w:tr w:rsidR="00B03C77" w:rsidRPr="00B03C77" w14:paraId="246E3176" w14:textId="77777777" w:rsidTr="00B03C77">
        <w:trPr>
          <w:trHeight w:hRule="exact" w:val="284"/>
        </w:trPr>
        <w:tc>
          <w:tcPr>
            <w:tcW w:w="3033" w:type="dxa"/>
            <w:gridSpan w:val="2"/>
            <w:tcBorders>
              <w:top w:val="nil"/>
              <w:left w:val="nil"/>
              <w:bottom w:val="nil"/>
              <w:right w:val="nil"/>
            </w:tcBorders>
            <w:shd w:val="clear" w:color="auto" w:fill="auto"/>
            <w:noWrap/>
            <w:vAlign w:val="center"/>
            <w:hideMark/>
          </w:tcPr>
          <w:p w14:paraId="03EC6E4A" w14:textId="77777777" w:rsidR="00B03C77" w:rsidRPr="00B03C77" w:rsidRDefault="00B03C77" w:rsidP="00B03C77">
            <w:pPr>
              <w:spacing w:before="0" w:line="240" w:lineRule="auto"/>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Property, plant and equipment</w:t>
            </w:r>
          </w:p>
        </w:tc>
        <w:tc>
          <w:tcPr>
            <w:tcW w:w="1430" w:type="dxa"/>
            <w:gridSpan w:val="6"/>
            <w:tcBorders>
              <w:top w:val="nil"/>
              <w:left w:val="nil"/>
              <w:bottom w:val="nil"/>
              <w:right w:val="nil"/>
            </w:tcBorders>
            <w:shd w:val="clear" w:color="auto" w:fill="auto"/>
            <w:noWrap/>
            <w:vAlign w:val="center"/>
            <w:hideMark/>
          </w:tcPr>
          <w:p w14:paraId="204FC801"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3,870</w:t>
            </w:r>
          </w:p>
        </w:tc>
        <w:tc>
          <w:tcPr>
            <w:tcW w:w="715" w:type="dxa"/>
            <w:tcBorders>
              <w:top w:val="nil"/>
              <w:left w:val="nil"/>
              <w:bottom w:val="nil"/>
              <w:right w:val="nil"/>
            </w:tcBorders>
            <w:shd w:val="clear" w:color="auto" w:fill="auto"/>
            <w:noWrap/>
            <w:vAlign w:val="center"/>
            <w:hideMark/>
          </w:tcPr>
          <w:p w14:paraId="2FB88DE7"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856" w:type="dxa"/>
            <w:gridSpan w:val="3"/>
            <w:tcBorders>
              <w:top w:val="nil"/>
              <w:left w:val="nil"/>
              <w:bottom w:val="nil"/>
              <w:right w:val="nil"/>
            </w:tcBorders>
            <w:shd w:val="clear" w:color="auto" w:fill="auto"/>
            <w:noWrap/>
            <w:vAlign w:val="center"/>
            <w:hideMark/>
          </w:tcPr>
          <w:p w14:paraId="5628B1F4"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72,836,057</w:t>
            </w:r>
          </w:p>
        </w:tc>
        <w:tc>
          <w:tcPr>
            <w:tcW w:w="816" w:type="dxa"/>
            <w:tcBorders>
              <w:top w:val="nil"/>
              <w:left w:val="nil"/>
              <w:bottom w:val="nil"/>
              <w:right w:val="nil"/>
            </w:tcBorders>
            <w:shd w:val="clear" w:color="auto" w:fill="auto"/>
            <w:noWrap/>
            <w:vAlign w:val="center"/>
            <w:hideMark/>
          </w:tcPr>
          <w:p w14:paraId="723FD214"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85" w:type="dxa"/>
            <w:gridSpan w:val="3"/>
            <w:tcBorders>
              <w:top w:val="nil"/>
              <w:left w:val="nil"/>
              <w:bottom w:val="nil"/>
              <w:right w:val="nil"/>
            </w:tcBorders>
            <w:shd w:val="clear" w:color="auto" w:fill="auto"/>
            <w:noWrap/>
            <w:vAlign w:val="center"/>
            <w:hideMark/>
          </w:tcPr>
          <w:p w14:paraId="156B2D73"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200,692</w:t>
            </w:r>
          </w:p>
        </w:tc>
        <w:tc>
          <w:tcPr>
            <w:tcW w:w="816" w:type="dxa"/>
            <w:gridSpan w:val="2"/>
            <w:tcBorders>
              <w:top w:val="nil"/>
              <w:left w:val="nil"/>
              <w:bottom w:val="nil"/>
              <w:right w:val="nil"/>
            </w:tcBorders>
            <w:shd w:val="clear" w:color="auto" w:fill="auto"/>
            <w:noWrap/>
            <w:vAlign w:val="center"/>
            <w:hideMark/>
          </w:tcPr>
          <w:p w14:paraId="4BBB42B5"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99" w:type="dxa"/>
            <w:gridSpan w:val="3"/>
            <w:tcBorders>
              <w:top w:val="nil"/>
              <w:left w:val="nil"/>
              <w:bottom w:val="nil"/>
              <w:right w:val="nil"/>
            </w:tcBorders>
            <w:shd w:val="clear" w:color="auto" w:fill="auto"/>
            <w:noWrap/>
            <w:vAlign w:val="center"/>
            <w:hideMark/>
          </w:tcPr>
          <w:p w14:paraId="69FB00DA"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84,901</w:t>
            </w:r>
          </w:p>
        </w:tc>
        <w:tc>
          <w:tcPr>
            <w:tcW w:w="816" w:type="dxa"/>
            <w:tcBorders>
              <w:top w:val="nil"/>
              <w:left w:val="nil"/>
              <w:bottom w:val="nil"/>
              <w:right w:val="nil"/>
            </w:tcBorders>
            <w:shd w:val="clear" w:color="auto" w:fill="auto"/>
            <w:noWrap/>
            <w:vAlign w:val="center"/>
            <w:hideMark/>
          </w:tcPr>
          <w:p w14:paraId="5D5CA900"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816" w:type="dxa"/>
            <w:tcBorders>
              <w:top w:val="nil"/>
              <w:left w:val="nil"/>
              <w:bottom w:val="nil"/>
              <w:right w:val="nil"/>
            </w:tcBorders>
            <w:shd w:val="clear" w:color="auto" w:fill="auto"/>
            <w:noWrap/>
            <w:vAlign w:val="center"/>
            <w:hideMark/>
          </w:tcPr>
          <w:p w14:paraId="46CC3DDD"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1,332,780</w:t>
            </w:r>
          </w:p>
        </w:tc>
      </w:tr>
      <w:tr w:rsidR="00B03C77" w:rsidRPr="00B03C77" w14:paraId="6F1F5FBF" w14:textId="77777777" w:rsidTr="00B03C77">
        <w:trPr>
          <w:trHeight w:hRule="exact" w:val="284"/>
        </w:trPr>
        <w:tc>
          <w:tcPr>
            <w:tcW w:w="3033" w:type="dxa"/>
            <w:gridSpan w:val="2"/>
            <w:tcBorders>
              <w:top w:val="nil"/>
              <w:left w:val="nil"/>
              <w:bottom w:val="nil"/>
              <w:right w:val="nil"/>
            </w:tcBorders>
            <w:shd w:val="clear" w:color="auto" w:fill="auto"/>
            <w:noWrap/>
            <w:vAlign w:val="center"/>
            <w:hideMark/>
          </w:tcPr>
          <w:p w14:paraId="326C3E1B" w14:textId="77777777" w:rsidR="00B03C77" w:rsidRPr="00B03C77" w:rsidRDefault="00B03C77" w:rsidP="00B03C77">
            <w:pPr>
              <w:spacing w:before="0" w:line="240" w:lineRule="auto"/>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Service concession assets</w:t>
            </w:r>
          </w:p>
        </w:tc>
        <w:tc>
          <w:tcPr>
            <w:tcW w:w="1430" w:type="dxa"/>
            <w:gridSpan w:val="6"/>
            <w:tcBorders>
              <w:top w:val="nil"/>
              <w:left w:val="nil"/>
              <w:bottom w:val="nil"/>
              <w:right w:val="nil"/>
            </w:tcBorders>
            <w:shd w:val="clear" w:color="auto" w:fill="auto"/>
            <w:noWrap/>
            <w:vAlign w:val="center"/>
            <w:hideMark/>
          </w:tcPr>
          <w:p w14:paraId="7D975B29"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 xml:space="preserve">- </w:t>
            </w:r>
          </w:p>
        </w:tc>
        <w:tc>
          <w:tcPr>
            <w:tcW w:w="715" w:type="dxa"/>
            <w:tcBorders>
              <w:top w:val="nil"/>
              <w:left w:val="nil"/>
              <w:bottom w:val="nil"/>
              <w:right w:val="nil"/>
            </w:tcBorders>
            <w:shd w:val="clear" w:color="auto" w:fill="auto"/>
            <w:noWrap/>
            <w:vAlign w:val="center"/>
            <w:hideMark/>
          </w:tcPr>
          <w:p w14:paraId="32912D6E"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856" w:type="dxa"/>
            <w:gridSpan w:val="3"/>
            <w:tcBorders>
              <w:top w:val="nil"/>
              <w:left w:val="nil"/>
              <w:bottom w:val="nil"/>
              <w:right w:val="nil"/>
            </w:tcBorders>
            <w:shd w:val="clear" w:color="auto" w:fill="auto"/>
            <w:noWrap/>
            <w:vAlign w:val="center"/>
            <w:hideMark/>
          </w:tcPr>
          <w:p w14:paraId="0688A06B"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10,908,802</w:t>
            </w:r>
          </w:p>
        </w:tc>
        <w:tc>
          <w:tcPr>
            <w:tcW w:w="816" w:type="dxa"/>
            <w:tcBorders>
              <w:top w:val="nil"/>
              <w:left w:val="nil"/>
              <w:bottom w:val="nil"/>
              <w:right w:val="nil"/>
            </w:tcBorders>
            <w:shd w:val="clear" w:color="auto" w:fill="auto"/>
            <w:noWrap/>
            <w:vAlign w:val="center"/>
            <w:hideMark/>
          </w:tcPr>
          <w:p w14:paraId="427ED8FA"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85" w:type="dxa"/>
            <w:gridSpan w:val="3"/>
            <w:tcBorders>
              <w:top w:val="nil"/>
              <w:left w:val="nil"/>
              <w:bottom w:val="nil"/>
              <w:right w:val="nil"/>
            </w:tcBorders>
            <w:shd w:val="clear" w:color="auto" w:fill="auto"/>
            <w:noWrap/>
            <w:vAlign w:val="center"/>
            <w:hideMark/>
          </w:tcPr>
          <w:p w14:paraId="1756B9D4"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 xml:space="preserve">- </w:t>
            </w:r>
          </w:p>
        </w:tc>
        <w:tc>
          <w:tcPr>
            <w:tcW w:w="816" w:type="dxa"/>
            <w:gridSpan w:val="2"/>
            <w:tcBorders>
              <w:top w:val="nil"/>
              <w:left w:val="nil"/>
              <w:bottom w:val="nil"/>
              <w:right w:val="nil"/>
            </w:tcBorders>
            <w:shd w:val="clear" w:color="auto" w:fill="auto"/>
            <w:noWrap/>
            <w:vAlign w:val="center"/>
            <w:hideMark/>
          </w:tcPr>
          <w:p w14:paraId="7523A6AC"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99" w:type="dxa"/>
            <w:gridSpan w:val="3"/>
            <w:tcBorders>
              <w:top w:val="nil"/>
              <w:left w:val="nil"/>
              <w:bottom w:val="nil"/>
              <w:right w:val="nil"/>
            </w:tcBorders>
            <w:shd w:val="clear" w:color="auto" w:fill="auto"/>
            <w:noWrap/>
            <w:vAlign w:val="center"/>
            <w:hideMark/>
          </w:tcPr>
          <w:p w14:paraId="73BDF836"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 xml:space="preserve">- </w:t>
            </w:r>
          </w:p>
        </w:tc>
        <w:tc>
          <w:tcPr>
            <w:tcW w:w="816" w:type="dxa"/>
            <w:tcBorders>
              <w:top w:val="nil"/>
              <w:left w:val="nil"/>
              <w:bottom w:val="nil"/>
              <w:right w:val="nil"/>
            </w:tcBorders>
            <w:shd w:val="clear" w:color="auto" w:fill="auto"/>
            <w:noWrap/>
            <w:vAlign w:val="center"/>
            <w:hideMark/>
          </w:tcPr>
          <w:p w14:paraId="59E826D4"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816" w:type="dxa"/>
            <w:tcBorders>
              <w:top w:val="nil"/>
              <w:left w:val="nil"/>
              <w:bottom w:val="nil"/>
              <w:right w:val="nil"/>
            </w:tcBorders>
            <w:shd w:val="clear" w:color="auto" w:fill="auto"/>
            <w:noWrap/>
            <w:vAlign w:val="center"/>
            <w:hideMark/>
          </w:tcPr>
          <w:p w14:paraId="3A266C8E"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968,157</w:t>
            </w:r>
          </w:p>
        </w:tc>
      </w:tr>
      <w:tr w:rsidR="00B03C77" w:rsidRPr="00B03C77" w14:paraId="3396006B" w14:textId="77777777" w:rsidTr="00B03C77">
        <w:trPr>
          <w:trHeight w:hRule="exact" w:val="284"/>
        </w:trPr>
        <w:tc>
          <w:tcPr>
            <w:tcW w:w="3033" w:type="dxa"/>
            <w:gridSpan w:val="2"/>
            <w:tcBorders>
              <w:top w:val="nil"/>
              <w:left w:val="nil"/>
              <w:bottom w:val="nil"/>
              <w:right w:val="nil"/>
            </w:tcBorders>
            <w:shd w:val="clear" w:color="auto" w:fill="auto"/>
            <w:noWrap/>
            <w:vAlign w:val="center"/>
            <w:hideMark/>
          </w:tcPr>
          <w:p w14:paraId="21A90C43" w14:textId="77777777" w:rsidR="00B03C77" w:rsidRPr="00B03C77" w:rsidRDefault="00B03C77" w:rsidP="00B03C77">
            <w:pPr>
              <w:spacing w:before="0" w:line="240" w:lineRule="auto"/>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Deferred tax assets</w:t>
            </w:r>
          </w:p>
        </w:tc>
        <w:tc>
          <w:tcPr>
            <w:tcW w:w="1430" w:type="dxa"/>
            <w:gridSpan w:val="6"/>
            <w:tcBorders>
              <w:top w:val="nil"/>
              <w:left w:val="nil"/>
              <w:bottom w:val="nil"/>
              <w:right w:val="nil"/>
            </w:tcBorders>
            <w:shd w:val="clear" w:color="auto" w:fill="auto"/>
            <w:noWrap/>
            <w:vAlign w:val="center"/>
            <w:hideMark/>
          </w:tcPr>
          <w:p w14:paraId="6D483324"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 xml:space="preserve">- </w:t>
            </w:r>
          </w:p>
        </w:tc>
        <w:tc>
          <w:tcPr>
            <w:tcW w:w="715" w:type="dxa"/>
            <w:tcBorders>
              <w:top w:val="nil"/>
              <w:left w:val="nil"/>
              <w:bottom w:val="nil"/>
              <w:right w:val="nil"/>
            </w:tcBorders>
            <w:shd w:val="clear" w:color="auto" w:fill="auto"/>
            <w:noWrap/>
            <w:vAlign w:val="center"/>
            <w:hideMark/>
          </w:tcPr>
          <w:p w14:paraId="05DECCE4"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856" w:type="dxa"/>
            <w:gridSpan w:val="3"/>
            <w:tcBorders>
              <w:top w:val="nil"/>
              <w:left w:val="nil"/>
              <w:bottom w:val="nil"/>
              <w:right w:val="nil"/>
            </w:tcBorders>
            <w:shd w:val="clear" w:color="auto" w:fill="auto"/>
            <w:noWrap/>
            <w:vAlign w:val="center"/>
            <w:hideMark/>
          </w:tcPr>
          <w:p w14:paraId="4F66EE04"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 xml:space="preserve">- </w:t>
            </w:r>
          </w:p>
        </w:tc>
        <w:tc>
          <w:tcPr>
            <w:tcW w:w="816" w:type="dxa"/>
            <w:tcBorders>
              <w:top w:val="nil"/>
              <w:left w:val="nil"/>
              <w:bottom w:val="nil"/>
              <w:right w:val="nil"/>
            </w:tcBorders>
            <w:shd w:val="clear" w:color="auto" w:fill="auto"/>
            <w:noWrap/>
            <w:vAlign w:val="center"/>
            <w:hideMark/>
          </w:tcPr>
          <w:p w14:paraId="3AC5E938"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85" w:type="dxa"/>
            <w:gridSpan w:val="3"/>
            <w:tcBorders>
              <w:top w:val="nil"/>
              <w:left w:val="nil"/>
              <w:bottom w:val="nil"/>
              <w:right w:val="nil"/>
            </w:tcBorders>
            <w:shd w:val="clear" w:color="auto" w:fill="auto"/>
            <w:noWrap/>
            <w:vAlign w:val="center"/>
            <w:hideMark/>
          </w:tcPr>
          <w:p w14:paraId="5590D40C"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 xml:space="preserve">- </w:t>
            </w:r>
          </w:p>
        </w:tc>
        <w:tc>
          <w:tcPr>
            <w:tcW w:w="816" w:type="dxa"/>
            <w:gridSpan w:val="2"/>
            <w:tcBorders>
              <w:top w:val="nil"/>
              <w:left w:val="nil"/>
              <w:bottom w:val="nil"/>
              <w:right w:val="nil"/>
            </w:tcBorders>
            <w:shd w:val="clear" w:color="auto" w:fill="auto"/>
            <w:noWrap/>
            <w:vAlign w:val="center"/>
            <w:hideMark/>
          </w:tcPr>
          <w:p w14:paraId="3023ADDF"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99" w:type="dxa"/>
            <w:gridSpan w:val="3"/>
            <w:tcBorders>
              <w:top w:val="nil"/>
              <w:left w:val="nil"/>
              <w:bottom w:val="nil"/>
              <w:right w:val="nil"/>
            </w:tcBorders>
            <w:shd w:val="clear" w:color="auto" w:fill="auto"/>
            <w:noWrap/>
            <w:vAlign w:val="center"/>
            <w:hideMark/>
          </w:tcPr>
          <w:p w14:paraId="63D211DC"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 xml:space="preserve">- </w:t>
            </w:r>
          </w:p>
        </w:tc>
        <w:tc>
          <w:tcPr>
            <w:tcW w:w="816" w:type="dxa"/>
            <w:tcBorders>
              <w:top w:val="nil"/>
              <w:left w:val="nil"/>
              <w:bottom w:val="nil"/>
              <w:right w:val="nil"/>
            </w:tcBorders>
            <w:shd w:val="clear" w:color="auto" w:fill="auto"/>
            <w:noWrap/>
            <w:vAlign w:val="center"/>
            <w:hideMark/>
          </w:tcPr>
          <w:p w14:paraId="0D041A90"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816" w:type="dxa"/>
            <w:tcBorders>
              <w:top w:val="nil"/>
              <w:left w:val="nil"/>
              <w:bottom w:val="nil"/>
              <w:right w:val="nil"/>
            </w:tcBorders>
            <w:shd w:val="clear" w:color="auto" w:fill="auto"/>
            <w:noWrap/>
            <w:vAlign w:val="center"/>
            <w:hideMark/>
          </w:tcPr>
          <w:p w14:paraId="717BC087"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 xml:space="preserve">- </w:t>
            </w:r>
          </w:p>
        </w:tc>
      </w:tr>
      <w:tr w:rsidR="00B03C77" w:rsidRPr="00B03C77" w14:paraId="4FC486D0" w14:textId="77777777" w:rsidTr="00B03C77">
        <w:trPr>
          <w:trHeight w:hRule="exact" w:val="284"/>
        </w:trPr>
        <w:tc>
          <w:tcPr>
            <w:tcW w:w="3033" w:type="dxa"/>
            <w:gridSpan w:val="2"/>
            <w:tcBorders>
              <w:top w:val="nil"/>
              <w:left w:val="nil"/>
              <w:bottom w:val="nil"/>
              <w:right w:val="nil"/>
            </w:tcBorders>
            <w:shd w:val="clear" w:color="auto" w:fill="auto"/>
            <w:noWrap/>
            <w:vAlign w:val="center"/>
            <w:hideMark/>
          </w:tcPr>
          <w:p w14:paraId="1C9AC8A3" w14:textId="77777777" w:rsidR="00B03C77" w:rsidRPr="00B03C77" w:rsidRDefault="00B03C77" w:rsidP="00B03C77">
            <w:pPr>
              <w:spacing w:before="0" w:line="240" w:lineRule="auto"/>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Right-of-use assets</w:t>
            </w:r>
          </w:p>
        </w:tc>
        <w:tc>
          <w:tcPr>
            <w:tcW w:w="1329" w:type="dxa"/>
            <w:gridSpan w:val="5"/>
            <w:tcBorders>
              <w:top w:val="nil"/>
              <w:left w:val="nil"/>
              <w:bottom w:val="nil"/>
              <w:right w:val="nil"/>
            </w:tcBorders>
            <w:shd w:val="clear" w:color="auto" w:fill="auto"/>
            <w:noWrap/>
            <w:vAlign w:val="center"/>
            <w:hideMark/>
          </w:tcPr>
          <w:p w14:paraId="790FDECB"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 xml:space="preserve">- </w:t>
            </w:r>
          </w:p>
        </w:tc>
        <w:tc>
          <w:tcPr>
            <w:tcW w:w="816" w:type="dxa"/>
            <w:gridSpan w:val="2"/>
            <w:tcBorders>
              <w:top w:val="nil"/>
              <w:left w:val="nil"/>
              <w:bottom w:val="nil"/>
              <w:right w:val="nil"/>
            </w:tcBorders>
            <w:shd w:val="clear" w:color="auto" w:fill="auto"/>
            <w:noWrap/>
            <w:vAlign w:val="center"/>
            <w:hideMark/>
          </w:tcPr>
          <w:p w14:paraId="70E2F9D2"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856" w:type="dxa"/>
            <w:gridSpan w:val="3"/>
            <w:tcBorders>
              <w:top w:val="nil"/>
              <w:left w:val="nil"/>
              <w:bottom w:val="nil"/>
              <w:right w:val="nil"/>
            </w:tcBorders>
            <w:shd w:val="clear" w:color="auto" w:fill="auto"/>
            <w:noWrap/>
            <w:vAlign w:val="center"/>
            <w:hideMark/>
          </w:tcPr>
          <w:p w14:paraId="4E96D2AB"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149</w:t>
            </w:r>
          </w:p>
        </w:tc>
        <w:tc>
          <w:tcPr>
            <w:tcW w:w="816" w:type="dxa"/>
            <w:tcBorders>
              <w:top w:val="nil"/>
              <w:left w:val="nil"/>
              <w:bottom w:val="nil"/>
              <w:right w:val="nil"/>
            </w:tcBorders>
            <w:shd w:val="clear" w:color="auto" w:fill="auto"/>
            <w:noWrap/>
            <w:vAlign w:val="center"/>
            <w:hideMark/>
          </w:tcPr>
          <w:p w14:paraId="0B1CBAD3"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85" w:type="dxa"/>
            <w:gridSpan w:val="3"/>
            <w:tcBorders>
              <w:top w:val="nil"/>
              <w:left w:val="nil"/>
              <w:bottom w:val="nil"/>
              <w:right w:val="nil"/>
            </w:tcBorders>
            <w:shd w:val="clear" w:color="auto" w:fill="auto"/>
            <w:noWrap/>
            <w:vAlign w:val="center"/>
            <w:hideMark/>
          </w:tcPr>
          <w:p w14:paraId="6837D5D1"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2</w:t>
            </w:r>
          </w:p>
        </w:tc>
        <w:tc>
          <w:tcPr>
            <w:tcW w:w="816" w:type="dxa"/>
            <w:gridSpan w:val="2"/>
            <w:tcBorders>
              <w:top w:val="nil"/>
              <w:left w:val="nil"/>
              <w:bottom w:val="nil"/>
              <w:right w:val="nil"/>
            </w:tcBorders>
            <w:shd w:val="clear" w:color="auto" w:fill="auto"/>
            <w:noWrap/>
            <w:vAlign w:val="center"/>
            <w:hideMark/>
          </w:tcPr>
          <w:p w14:paraId="4112905D"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99" w:type="dxa"/>
            <w:gridSpan w:val="3"/>
            <w:tcBorders>
              <w:top w:val="nil"/>
              <w:left w:val="nil"/>
              <w:bottom w:val="nil"/>
              <w:right w:val="nil"/>
            </w:tcBorders>
            <w:shd w:val="clear" w:color="auto" w:fill="auto"/>
            <w:noWrap/>
            <w:vAlign w:val="center"/>
            <w:hideMark/>
          </w:tcPr>
          <w:p w14:paraId="003906AC"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1</w:t>
            </w:r>
          </w:p>
        </w:tc>
        <w:tc>
          <w:tcPr>
            <w:tcW w:w="816" w:type="dxa"/>
            <w:tcBorders>
              <w:top w:val="nil"/>
              <w:left w:val="nil"/>
              <w:bottom w:val="nil"/>
              <w:right w:val="nil"/>
            </w:tcBorders>
            <w:shd w:val="clear" w:color="auto" w:fill="auto"/>
            <w:noWrap/>
            <w:vAlign w:val="center"/>
            <w:hideMark/>
          </w:tcPr>
          <w:p w14:paraId="26C1A185"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816" w:type="dxa"/>
            <w:tcBorders>
              <w:top w:val="nil"/>
              <w:left w:val="nil"/>
              <w:bottom w:val="nil"/>
              <w:right w:val="nil"/>
            </w:tcBorders>
            <w:shd w:val="clear" w:color="auto" w:fill="auto"/>
            <w:noWrap/>
            <w:vAlign w:val="center"/>
            <w:hideMark/>
          </w:tcPr>
          <w:p w14:paraId="6D5E2529"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12</w:t>
            </w:r>
          </w:p>
        </w:tc>
      </w:tr>
      <w:tr w:rsidR="00B03C77" w:rsidRPr="00B03C77" w14:paraId="4EAC5C66" w14:textId="77777777" w:rsidTr="00B03C77">
        <w:trPr>
          <w:trHeight w:hRule="exact" w:val="294"/>
        </w:trPr>
        <w:tc>
          <w:tcPr>
            <w:tcW w:w="3033" w:type="dxa"/>
            <w:gridSpan w:val="2"/>
            <w:tcBorders>
              <w:top w:val="nil"/>
              <w:left w:val="nil"/>
              <w:bottom w:val="single" w:sz="8" w:space="0" w:color="auto"/>
              <w:right w:val="nil"/>
            </w:tcBorders>
            <w:shd w:val="clear" w:color="auto" w:fill="auto"/>
            <w:noWrap/>
            <w:vAlign w:val="center"/>
            <w:hideMark/>
          </w:tcPr>
          <w:p w14:paraId="4174A936" w14:textId="77777777" w:rsidR="00B03C77" w:rsidRPr="00B03C77" w:rsidRDefault="00B03C77" w:rsidP="00B03C77">
            <w:pPr>
              <w:spacing w:before="0" w:line="240" w:lineRule="auto"/>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Investment in subsidiary</w:t>
            </w:r>
          </w:p>
        </w:tc>
        <w:tc>
          <w:tcPr>
            <w:tcW w:w="1329" w:type="dxa"/>
            <w:gridSpan w:val="5"/>
            <w:tcBorders>
              <w:top w:val="nil"/>
              <w:left w:val="nil"/>
              <w:bottom w:val="single" w:sz="8" w:space="0" w:color="auto"/>
              <w:right w:val="nil"/>
            </w:tcBorders>
            <w:shd w:val="clear" w:color="auto" w:fill="auto"/>
            <w:noWrap/>
            <w:vAlign w:val="center"/>
            <w:hideMark/>
          </w:tcPr>
          <w:p w14:paraId="338C59AE"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 xml:space="preserve">- </w:t>
            </w:r>
          </w:p>
        </w:tc>
        <w:tc>
          <w:tcPr>
            <w:tcW w:w="816" w:type="dxa"/>
            <w:gridSpan w:val="2"/>
            <w:tcBorders>
              <w:top w:val="nil"/>
              <w:left w:val="nil"/>
              <w:bottom w:val="nil"/>
              <w:right w:val="nil"/>
            </w:tcBorders>
            <w:shd w:val="clear" w:color="auto" w:fill="auto"/>
            <w:noWrap/>
            <w:vAlign w:val="center"/>
            <w:hideMark/>
          </w:tcPr>
          <w:p w14:paraId="2A59329E"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856" w:type="dxa"/>
            <w:gridSpan w:val="3"/>
            <w:tcBorders>
              <w:top w:val="nil"/>
              <w:left w:val="nil"/>
              <w:bottom w:val="single" w:sz="8" w:space="0" w:color="auto"/>
              <w:right w:val="nil"/>
            </w:tcBorders>
            <w:shd w:val="clear" w:color="auto" w:fill="auto"/>
            <w:noWrap/>
            <w:vAlign w:val="center"/>
            <w:hideMark/>
          </w:tcPr>
          <w:p w14:paraId="3AF79909"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5,601</w:t>
            </w:r>
          </w:p>
        </w:tc>
        <w:tc>
          <w:tcPr>
            <w:tcW w:w="816" w:type="dxa"/>
            <w:tcBorders>
              <w:top w:val="nil"/>
              <w:left w:val="nil"/>
              <w:bottom w:val="nil"/>
              <w:right w:val="nil"/>
            </w:tcBorders>
            <w:shd w:val="clear" w:color="auto" w:fill="auto"/>
            <w:noWrap/>
            <w:vAlign w:val="center"/>
            <w:hideMark/>
          </w:tcPr>
          <w:p w14:paraId="47B6CC9B"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85" w:type="dxa"/>
            <w:gridSpan w:val="3"/>
            <w:tcBorders>
              <w:top w:val="nil"/>
              <w:left w:val="nil"/>
              <w:bottom w:val="single" w:sz="8" w:space="0" w:color="auto"/>
              <w:right w:val="nil"/>
            </w:tcBorders>
            <w:shd w:val="clear" w:color="auto" w:fill="auto"/>
            <w:noWrap/>
            <w:vAlign w:val="center"/>
            <w:hideMark/>
          </w:tcPr>
          <w:p w14:paraId="4AD42415"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 xml:space="preserve">- </w:t>
            </w:r>
          </w:p>
        </w:tc>
        <w:tc>
          <w:tcPr>
            <w:tcW w:w="816" w:type="dxa"/>
            <w:gridSpan w:val="2"/>
            <w:tcBorders>
              <w:top w:val="nil"/>
              <w:left w:val="nil"/>
              <w:bottom w:val="nil"/>
              <w:right w:val="nil"/>
            </w:tcBorders>
            <w:shd w:val="clear" w:color="auto" w:fill="auto"/>
            <w:noWrap/>
            <w:vAlign w:val="center"/>
            <w:hideMark/>
          </w:tcPr>
          <w:p w14:paraId="4779284C"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99" w:type="dxa"/>
            <w:gridSpan w:val="3"/>
            <w:tcBorders>
              <w:top w:val="nil"/>
              <w:left w:val="nil"/>
              <w:bottom w:val="single" w:sz="8" w:space="0" w:color="auto"/>
              <w:right w:val="nil"/>
            </w:tcBorders>
            <w:shd w:val="clear" w:color="auto" w:fill="auto"/>
            <w:noWrap/>
            <w:vAlign w:val="center"/>
            <w:hideMark/>
          </w:tcPr>
          <w:p w14:paraId="0E0BD051"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 xml:space="preserve">- </w:t>
            </w:r>
          </w:p>
        </w:tc>
        <w:tc>
          <w:tcPr>
            <w:tcW w:w="816" w:type="dxa"/>
            <w:tcBorders>
              <w:top w:val="nil"/>
              <w:left w:val="nil"/>
              <w:bottom w:val="nil"/>
              <w:right w:val="nil"/>
            </w:tcBorders>
            <w:shd w:val="clear" w:color="auto" w:fill="auto"/>
            <w:noWrap/>
            <w:vAlign w:val="center"/>
            <w:hideMark/>
          </w:tcPr>
          <w:p w14:paraId="76436BB2"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816" w:type="dxa"/>
            <w:tcBorders>
              <w:top w:val="nil"/>
              <w:left w:val="nil"/>
              <w:bottom w:val="single" w:sz="8" w:space="0" w:color="auto"/>
              <w:right w:val="nil"/>
            </w:tcBorders>
            <w:shd w:val="clear" w:color="auto" w:fill="auto"/>
            <w:noWrap/>
            <w:vAlign w:val="center"/>
            <w:hideMark/>
          </w:tcPr>
          <w:p w14:paraId="13877551"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 xml:space="preserve">- </w:t>
            </w:r>
          </w:p>
        </w:tc>
      </w:tr>
      <w:tr w:rsidR="00B03C77" w:rsidRPr="00B03C77" w14:paraId="4FF74BD9" w14:textId="77777777" w:rsidTr="00B03C77">
        <w:trPr>
          <w:trHeight w:hRule="exact" w:val="284"/>
        </w:trPr>
        <w:tc>
          <w:tcPr>
            <w:tcW w:w="3033" w:type="dxa"/>
            <w:gridSpan w:val="2"/>
            <w:tcBorders>
              <w:top w:val="nil"/>
              <w:left w:val="nil"/>
              <w:bottom w:val="nil"/>
              <w:right w:val="nil"/>
            </w:tcBorders>
            <w:shd w:val="clear" w:color="auto" w:fill="auto"/>
            <w:noWrap/>
            <w:vAlign w:val="center"/>
            <w:hideMark/>
          </w:tcPr>
          <w:p w14:paraId="456182D5" w14:textId="77777777" w:rsidR="00B03C77" w:rsidRPr="00B03C77" w:rsidRDefault="00B03C77" w:rsidP="00B03C77">
            <w:pPr>
              <w:spacing w:before="0" w:line="240" w:lineRule="auto"/>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Total non-current assets</w:t>
            </w:r>
          </w:p>
        </w:tc>
        <w:tc>
          <w:tcPr>
            <w:tcW w:w="1329" w:type="dxa"/>
            <w:gridSpan w:val="5"/>
            <w:tcBorders>
              <w:top w:val="single" w:sz="8" w:space="0" w:color="auto"/>
              <w:left w:val="nil"/>
              <w:bottom w:val="nil"/>
              <w:right w:val="nil"/>
            </w:tcBorders>
            <w:shd w:val="clear" w:color="auto" w:fill="auto"/>
            <w:noWrap/>
            <w:vAlign w:val="center"/>
            <w:hideMark/>
          </w:tcPr>
          <w:p w14:paraId="48E4EDAF"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23,285</w:t>
            </w:r>
          </w:p>
        </w:tc>
        <w:tc>
          <w:tcPr>
            <w:tcW w:w="816" w:type="dxa"/>
            <w:gridSpan w:val="2"/>
            <w:tcBorders>
              <w:top w:val="single" w:sz="8" w:space="0" w:color="auto"/>
              <w:left w:val="nil"/>
              <w:bottom w:val="nil"/>
              <w:right w:val="nil"/>
            </w:tcBorders>
            <w:shd w:val="clear" w:color="auto" w:fill="auto"/>
            <w:noWrap/>
            <w:vAlign w:val="center"/>
            <w:hideMark/>
          </w:tcPr>
          <w:p w14:paraId="117F3748"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 </w:t>
            </w:r>
          </w:p>
        </w:tc>
        <w:tc>
          <w:tcPr>
            <w:tcW w:w="1856" w:type="dxa"/>
            <w:gridSpan w:val="3"/>
            <w:tcBorders>
              <w:top w:val="single" w:sz="8" w:space="0" w:color="auto"/>
              <w:left w:val="nil"/>
              <w:bottom w:val="nil"/>
              <w:right w:val="nil"/>
            </w:tcBorders>
            <w:shd w:val="clear" w:color="auto" w:fill="auto"/>
            <w:noWrap/>
            <w:vAlign w:val="center"/>
            <w:hideMark/>
          </w:tcPr>
          <w:p w14:paraId="58787D6D"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83,760,497</w:t>
            </w:r>
          </w:p>
        </w:tc>
        <w:tc>
          <w:tcPr>
            <w:tcW w:w="816" w:type="dxa"/>
            <w:tcBorders>
              <w:top w:val="single" w:sz="8" w:space="0" w:color="auto"/>
              <w:left w:val="nil"/>
              <w:bottom w:val="nil"/>
              <w:right w:val="nil"/>
            </w:tcBorders>
            <w:shd w:val="clear" w:color="auto" w:fill="auto"/>
            <w:noWrap/>
            <w:vAlign w:val="center"/>
            <w:hideMark/>
          </w:tcPr>
          <w:p w14:paraId="2170A840"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 </w:t>
            </w:r>
          </w:p>
        </w:tc>
        <w:tc>
          <w:tcPr>
            <w:tcW w:w="1785" w:type="dxa"/>
            <w:gridSpan w:val="3"/>
            <w:tcBorders>
              <w:top w:val="single" w:sz="8" w:space="0" w:color="auto"/>
              <w:left w:val="nil"/>
              <w:bottom w:val="nil"/>
              <w:right w:val="nil"/>
            </w:tcBorders>
            <w:shd w:val="clear" w:color="auto" w:fill="auto"/>
            <w:noWrap/>
            <w:vAlign w:val="center"/>
            <w:hideMark/>
          </w:tcPr>
          <w:p w14:paraId="79F35712"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237,321</w:t>
            </w:r>
          </w:p>
        </w:tc>
        <w:tc>
          <w:tcPr>
            <w:tcW w:w="816" w:type="dxa"/>
            <w:gridSpan w:val="2"/>
            <w:tcBorders>
              <w:top w:val="single" w:sz="8" w:space="0" w:color="auto"/>
              <w:left w:val="nil"/>
              <w:bottom w:val="nil"/>
              <w:right w:val="nil"/>
            </w:tcBorders>
            <w:shd w:val="clear" w:color="auto" w:fill="auto"/>
            <w:noWrap/>
            <w:vAlign w:val="center"/>
            <w:hideMark/>
          </w:tcPr>
          <w:p w14:paraId="076033BF"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 </w:t>
            </w:r>
          </w:p>
        </w:tc>
        <w:tc>
          <w:tcPr>
            <w:tcW w:w="1799" w:type="dxa"/>
            <w:gridSpan w:val="3"/>
            <w:tcBorders>
              <w:top w:val="single" w:sz="8" w:space="0" w:color="auto"/>
              <w:left w:val="nil"/>
              <w:bottom w:val="nil"/>
              <w:right w:val="nil"/>
            </w:tcBorders>
            <w:shd w:val="clear" w:color="auto" w:fill="auto"/>
            <w:noWrap/>
            <w:vAlign w:val="center"/>
            <w:hideMark/>
          </w:tcPr>
          <w:p w14:paraId="10ADD093"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102,810</w:t>
            </w:r>
          </w:p>
        </w:tc>
        <w:tc>
          <w:tcPr>
            <w:tcW w:w="816" w:type="dxa"/>
            <w:tcBorders>
              <w:top w:val="single" w:sz="8" w:space="0" w:color="auto"/>
              <w:left w:val="nil"/>
              <w:bottom w:val="nil"/>
              <w:right w:val="nil"/>
            </w:tcBorders>
            <w:shd w:val="clear" w:color="auto" w:fill="auto"/>
            <w:noWrap/>
            <w:vAlign w:val="center"/>
            <w:hideMark/>
          </w:tcPr>
          <w:p w14:paraId="772754FE"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 </w:t>
            </w:r>
          </w:p>
        </w:tc>
        <w:tc>
          <w:tcPr>
            <w:tcW w:w="816" w:type="dxa"/>
            <w:tcBorders>
              <w:top w:val="nil"/>
              <w:left w:val="nil"/>
              <w:bottom w:val="nil"/>
              <w:right w:val="nil"/>
            </w:tcBorders>
            <w:shd w:val="clear" w:color="auto" w:fill="auto"/>
            <w:noWrap/>
            <w:vAlign w:val="center"/>
            <w:hideMark/>
          </w:tcPr>
          <w:p w14:paraId="3AF479F4"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2,487,653</w:t>
            </w:r>
          </w:p>
        </w:tc>
      </w:tr>
      <w:tr w:rsidR="00B03C77" w:rsidRPr="00B03C77" w14:paraId="4F1D5801" w14:textId="77777777" w:rsidTr="00B03C77">
        <w:trPr>
          <w:trHeight w:hRule="exact" w:val="284"/>
        </w:trPr>
        <w:tc>
          <w:tcPr>
            <w:tcW w:w="3033" w:type="dxa"/>
            <w:gridSpan w:val="2"/>
            <w:tcBorders>
              <w:top w:val="nil"/>
              <w:left w:val="nil"/>
              <w:bottom w:val="nil"/>
              <w:right w:val="nil"/>
            </w:tcBorders>
            <w:shd w:val="clear" w:color="auto" w:fill="auto"/>
            <w:noWrap/>
            <w:vAlign w:val="center"/>
            <w:hideMark/>
          </w:tcPr>
          <w:p w14:paraId="5D25A53D"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p>
        </w:tc>
        <w:tc>
          <w:tcPr>
            <w:tcW w:w="1329" w:type="dxa"/>
            <w:gridSpan w:val="5"/>
            <w:tcBorders>
              <w:top w:val="nil"/>
              <w:left w:val="nil"/>
              <w:bottom w:val="nil"/>
              <w:right w:val="nil"/>
            </w:tcBorders>
            <w:shd w:val="clear" w:color="auto" w:fill="auto"/>
            <w:noWrap/>
            <w:vAlign w:val="center"/>
            <w:hideMark/>
          </w:tcPr>
          <w:p w14:paraId="0840F419"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816" w:type="dxa"/>
            <w:gridSpan w:val="2"/>
            <w:tcBorders>
              <w:top w:val="nil"/>
              <w:left w:val="nil"/>
              <w:bottom w:val="nil"/>
              <w:right w:val="nil"/>
            </w:tcBorders>
            <w:shd w:val="clear" w:color="auto" w:fill="auto"/>
            <w:noWrap/>
            <w:vAlign w:val="center"/>
            <w:hideMark/>
          </w:tcPr>
          <w:p w14:paraId="3EE11BE1"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1856" w:type="dxa"/>
            <w:gridSpan w:val="3"/>
            <w:tcBorders>
              <w:top w:val="nil"/>
              <w:left w:val="nil"/>
              <w:bottom w:val="nil"/>
              <w:right w:val="nil"/>
            </w:tcBorders>
            <w:shd w:val="clear" w:color="auto" w:fill="auto"/>
            <w:noWrap/>
            <w:vAlign w:val="center"/>
            <w:hideMark/>
          </w:tcPr>
          <w:p w14:paraId="5CF75470"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816" w:type="dxa"/>
            <w:tcBorders>
              <w:top w:val="nil"/>
              <w:left w:val="nil"/>
              <w:bottom w:val="nil"/>
              <w:right w:val="nil"/>
            </w:tcBorders>
            <w:shd w:val="clear" w:color="auto" w:fill="auto"/>
            <w:noWrap/>
            <w:vAlign w:val="center"/>
            <w:hideMark/>
          </w:tcPr>
          <w:p w14:paraId="176F3464"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1785" w:type="dxa"/>
            <w:gridSpan w:val="3"/>
            <w:tcBorders>
              <w:top w:val="nil"/>
              <w:left w:val="nil"/>
              <w:bottom w:val="nil"/>
              <w:right w:val="nil"/>
            </w:tcBorders>
            <w:shd w:val="clear" w:color="auto" w:fill="auto"/>
            <w:noWrap/>
            <w:vAlign w:val="center"/>
            <w:hideMark/>
          </w:tcPr>
          <w:p w14:paraId="2039A2CB"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816" w:type="dxa"/>
            <w:gridSpan w:val="2"/>
            <w:tcBorders>
              <w:top w:val="nil"/>
              <w:left w:val="nil"/>
              <w:bottom w:val="nil"/>
              <w:right w:val="nil"/>
            </w:tcBorders>
            <w:shd w:val="clear" w:color="auto" w:fill="auto"/>
            <w:noWrap/>
            <w:vAlign w:val="center"/>
            <w:hideMark/>
          </w:tcPr>
          <w:p w14:paraId="5E26FDA4"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1799" w:type="dxa"/>
            <w:gridSpan w:val="3"/>
            <w:tcBorders>
              <w:top w:val="nil"/>
              <w:left w:val="nil"/>
              <w:bottom w:val="nil"/>
              <w:right w:val="nil"/>
            </w:tcBorders>
            <w:shd w:val="clear" w:color="auto" w:fill="auto"/>
            <w:noWrap/>
            <w:vAlign w:val="center"/>
            <w:hideMark/>
          </w:tcPr>
          <w:p w14:paraId="18DD69C0"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816" w:type="dxa"/>
            <w:tcBorders>
              <w:top w:val="nil"/>
              <w:left w:val="nil"/>
              <w:bottom w:val="nil"/>
              <w:right w:val="nil"/>
            </w:tcBorders>
            <w:shd w:val="clear" w:color="auto" w:fill="auto"/>
            <w:noWrap/>
            <w:vAlign w:val="center"/>
            <w:hideMark/>
          </w:tcPr>
          <w:p w14:paraId="012EB72E"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816" w:type="dxa"/>
            <w:tcBorders>
              <w:top w:val="nil"/>
              <w:left w:val="nil"/>
              <w:bottom w:val="nil"/>
              <w:right w:val="nil"/>
            </w:tcBorders>
            <w:shd w:val="clear" w:color="auto" w:fill="auto"/>
            <w:noWrap/>
            <w:vAlign w:val="center"/>
            <w:hideMark/>
          </w:tcPr>
          <w:p w14:paraId="78361DAC" w14:textId="77777777" w:rsidR="00B03C77" w:rsidRPr="00B03C77" w:rsidRDefault="00B03C77" w:rsidP="00B03C77">
            <w:pPr>
              <w:spacing w:before="0" w:line="240" w:lineRule="auto"/>
              <w:rPr>
                <w:rFonts w:eastAsia="Times New Roman" w:cs="Times New Roman"/>
                <w:color w:val="auto"/>
                <w:sz w:val="20"/>
                <w:szCs w:val="20"/>
                <w:lang w:eastAsia="en-AU"/>
              </w:rPr>
            </w:pPr>
          </w:p>
        </w:tc>
      </w:tr>
      <w:tr w:rsidR="00B03C77" w:rsidRPr="00B03C77" w14:paraId="4B7EA340" w14:textId="77777777" w:rsidTr="00B03C77">
        <w:trPr>
          <w:trHeight w:hRule="exact" w:val="294"/>
        </w:trPr>
        <w:tc>
          <w:tcPr>
            <w:tcW w:w="3697" w:type="dxa"/>
            <w:gridSpan w:val="5"/>
            <w:tcBorders>
              <w:top w:val="nil"/>
              <w:left w:val="nil"/>
              <w:bottom w:val="double" w:sz="6" w:space="0" w:color="auto"/>
              <w:right w:val="nil"/>
            </w:tcBorders>
            <w:shd w:val="clear" w:color="auto" w:fill="auto"/>
            <w:noWrap/>
            <w:vAlign w:val="center"/>
            <w:hideMark/>
          </w:tcPr>
          <w:p w14:paraId="33C601CB" w14:textId="77777777" w:rsidR="00B03C77" w:rsidRPr="00B03C77" w:rsidRDefault="00B03C77" w:rsidP="00B03C77">
            <w:pPr>
              <w:spacing w:before="0" w:line="240" w:lineRule="auto"/>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lastRenderedPageBreak/>
              <w:t>Total assets</w:t>
            </w:r>
          </w:p>
        </w:tc>
        <w:tc>
          <w:tcPr>
            <w:tcW w:w="1481" w:type="dxa"/>
            <w:gridSpan w:val="4"/>
            <w:tcBorders>
              <w:top w:val="nil"/>
              <w:left w:val="nil"/>
              <w:bottom w:val="double" w:sz="6" w:space="0" w:color="auto"/>
              <w:right w:val="nil"/>
            </w:tcBorders>
            <w:shd w:val="clear" w:color="auto" w:fill="auto"/>
            <w:noWrap/>
            <w:vAlign w:val="center"/>
            <w:hideMark/>
          </w:tcPr>
          <w:p w14:paraId="4E3FA402"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48,440</w:t>
            </w:r>
          </w:p>
        </w:tc>
        <w:tc>
          <w:tcPr>
            <w:tcW w:w="1856" w:type="dxa"/>
            <w:gridSpan w:val="3"/>
            <w:tcBorders>
              <w:top w:val="nil"/>
              <w:left w:val="nil"/>
              <w:bottom w:val="double" w:sz="6" w:space="0" w:color="auto"/>
              <w:right w:val="nil"/>
            </w:tcBorders>
            <w:shd w:val="clear" w:color="auto" w:fill="auto"/>
            <w:noWrap/>
            <w:vAlign w:val="center"/>
            <w:hideMark/>
          </w:tcPr>
          <w:p w14:paraId="7A83C3B4"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 </w:t>
            </w:r>
          </w:p>
        </w:tc>
        <w:tc>
          <w:tcPr>
            <w:tcW w:w="816" w:type="dxa"/>
            <w:tcBorders>
              <w:top w:val="nil"/>
              <w:left w:val="nil"/>
              <w:bottom w:val="double" w:sz="6" w:space="0" w:color="auto"/>
              <w:right w:val="nil"/>
            </w:tcBorders>
            <w:shd w:val="clear" w:color="auto" w:fill="auto"/>
            <w:noWrap/>
            <w:vAlign w:val="center"/>
            <w:hideMark/>
          </w:tcPr>
          <w:p w14:paraId="2BF7CE92"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83,880,326</w:t>
            </w:r>
          </w:p>
        </w:tc>
        <w:tc>
          <w:tcPr>
            <w:tcW w:w="1785" w:type="dxa"/>
            <w:gridSpan w:val="3"/>
            <w:tcBorders>
              <w:top w:val="nil"/>
              <w:left w:val="nil"/>
              <w:bottom w:val="double" w:sz="6" w:space="0" w:color="auto"/>
              <w:right w:val="nil"/>
            </w:tcBorders>
            <w:shd w:val="clear" w:color="auto" w:fill="auto"/>
            <w:noWrap/>
            <w:vAlign w:val="center"/>
            <w:hideMark/>
          </w:tcPr>
          <w:p w14:paraId="5CBC8C62"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 </w:t>
            </w:r>
          </w:p>
        </w:tc>
        <w:tc>
          <w:tcPr>
            <w:tcW w:w="816" w:type="dxa"/>
            <w:gridSpan w:val="2"/>
            <w:tcBorders>
              <w:top w:val="nil"/>
              <w:left w:val="nil"/>
              <w:bottom w:val="double" w:sz="6" w:space="0" w:color="auto"/>
              <w:right w:val="nil"/>
            </w:tcBorders>
            <w:shd w:val="clear" w:color="auto" w:fill="auto"/>
            <w:noWrap/>
            <w:vAlign w:val="center"/>
            <w:hideMark/>
          </w:tcPr>
          <w:p w14:paraId="4862612B"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361,686</w:t>
            </w:r>
          </w:p>
        </w:tc>
        <w:tc>
          <w:tcPr>
            <w:tcW w:w="1799" w:type="dxa"/>
            <w:gridSpan w:val="3"/>
            <w:tcBorders>
              <w:top w:val="nil"/>
              <w:left w:val="nil"/>
              <w:bottom w:val="double" w:sz="6" w:space="0" w:color="auto"/>
              <w:right w:val="nil"/>
            </w:tcBorders>
            <w:shd w:val="clear" w:color="auto" w:fill="auto"/>
            <w:noWrap/>
            <w:vAlign w:val="center"/>
            <w:hideMark/>
          </w:tcPr>
          <w:p w14:paraId="01369919"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 </w:t>
            </w:r>
          </w:p>
        </w:tc>
        <w:tc>
          <w:tcPr>
            <w:tcW w:w="1633" w:type="dxa"/>
            <w:gridSpan w:val="2"/>
            <w:tcBorders>
              <w:top w:val="nil"/>
              <w:left w:val="nil"/>
              <w:bottom w:val="double" w:sz="6" w:space="0" w:color="auto"/>
              <w:right w:val="nil"/>
            </w:tcBorders>
            <w:shd w:val="clear" w:color="auto" w:fill="auto"/>
            <w:noWrap/>
            <w:vAlign w:val="center"/>
            <w:hideMark/>
          </w:tcPr>
          <w:p w14:paraId="269C0BD5"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130,198</w:t>
            </w:r>
          </w:p>
        </w:tc>
      </w:tr>
      <w:tr w:rsidR="00B03C77" w:rsidRPr="00B03C77" w14:paraId="39E07342" w14:textId="77777777" w:rsidTr="00B03C77">
        <w:trPr>
          <w:trHeight w:hRule="exact" w:val="294"/>
        </w:trPr>
        <w:tc>
          <w:tcPr>
            <w:tcW w:w="3033" w:type="dxa"/>
            <w:gridSpan w:val="2"/>
            <w:tcBorders>
              <w:top w:val="nil"/>
              <w:left w:val="nil"/>
              <w:bottom w:val="nil"/>
              <w:right w:val="nil"/>
            </w:tcBorders>
            <w:shd w:val="clear" w:color="auto" w:fill="auto"/>
            <w:noWrap/>
            <w:vAlign w:val="center"/>
            <w:hideMark/>
          </w:tcPr>
          <w:p w14:paraId="5449AE6B"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p>
        </w:tc>
        <w:tc>
          <w:tcPr>
            <w:tcW w:w="1329" w:type="dxa"/>
            <w:gridSpan w:val="5"/>
            <w:tcBorders>
              <w:top w:val="double" w:sz="6" w:space="0" w:color="auto"/>
              <w:left w:val="nil"/>
              <w:bottom w:val="nil"/>
              <w:right w:val="nil"/>
            </w:tcBorders>
            <w:shd w:val="clear" w:color="auto" w:fill="auto"/>
            <w:noWrap/>
            <w:vAlign w:val="center"/>
            <w:hideMark/>
          </w:tcPr>
          <w:p w14:paraId="29B53110" w14:textId="77777777" w:rsidR="00B03C77" w:rsidRPr="00B03C77" w:rsidRDefault="00B03C77" w:rsidP="00B03C77">
            <w:pPr>
              <w:spacing w:before="0" w:line="240" w:lineRule="auto"/>
              <w:rPr>
                <w:rFonts w:ascii="Calibri" w:eastAsia="Times New Roman" w:hAnsi="Calibri" w:cs="Calibri"/>
                <w:color w:val="000000"/>
                <w:sz w:val="22"/>
                <w:lang w:eastAsia="en-AU"/>
              </w:rPr>
            </w:pPr>
            <w:r w:rsidRPr="00B03C77">
              <w:rPr>
                <w:rFonts w:ascii="Calibri" w:eastAsia="Times New Roman" w:hAnsi="Calibri" w:cs="Calibri"/>
                <w:color w:val="000000"/>
                <w:sz w:val="22"/>
                <w:lang w:eastAsia="en-AU"/>
              </w:rPr>
              <w:t> </w:t>
            </w:r>
          </w:p>
        </w:tc>
        <w:tc>
          <w:tcPr>
            <w:tcW w:w="816" w:type="dxa"/>
            <w:gridSpan w:val="2"/>
            <w:tcBorders>
              <w:top w:val="nil"/>
              <w:left w:val="nil"/>
              <w:bottom w:val="nil"/>
              <w:right w:val="nil"/>
            </w:tcBorders>
            <w:shd w:val="clear" w:color="auto" w:fill="auto"/>
            <w:noWrap/>
            <w:vAlign w:val="center"/>
            <w:hideMark/>
          </w:tcPr>
          <w:p w14:paraId="272805C3" w14:textId="77777777" w:rsidR="00B03C77" w:rsidRPr="00B03C77" w:rsidRDefault="00B03C77" w:rsidP="00B03C77">
            <w:pPr>
              <w:spacing w:before="0" w:line="240" w:lineRule="auto"/>
              <w:rPr>
                <w:rFonts w:ascii="Calibri" w:eastAsia="Times New Roman" w:hAnsi="Calibri" w:cs="Calibri"/>
                <w:color w:val="000000"/>
                <w:sz w:val="22"/>
                <w:lang w:eastAsia="en-AU"/>
              </w:rPr>
            </w:pPr>
          </w:p>
        </w:tc>
        <w:tc>
          <w:tcPr>
            <w:tcW w:w="1856" w:type="dxa"/>
            <w:gridSpan w:val="3"/>
            <w:tcBorders>
              <w:top w:val="double" w:sz="6" w:space="0" w:color="auto"/>
              <w:left w:val="nil"/>
              <w:bottom w:val="nil"/>
              <w:right w:val="nil"/>
            </w:tcBorders>
            <w:shd w:val="clear" w:color="auto" w:fill="auto"/>
            <w:noWrap/>
            <w:vAlign w:val="center"/>
            <w:hideMark/>
          </w:tcPr>
          <w:p w14:paraId="4571C03D" w14:textId="77777777" w:rsidR="00B03C77" w:rsidRPr="00B03C77" w:rsidRDefault="00B03C77" w:rsidP="00B03C77">
            <w:pPr>
              <w:spacing w:before="0" w:line="240" w:lineRule="auto"/>
              <w:rPr>
                <w:rFonts w:ascii="Calibri" w:eastAsia="Times New Roman" w:hAnsi="Calibri" w:cs="Calibri"/>
                <w:color w:val="000000"/>
                <w:sz w:val="22"/>
                <w:lang w:eastAsia="en-AU"/>
              </w:rPr>
            </w:pPr>
            <w:r w:rsidRPr="00B03C77">
              <w:rPr>
                <w:rFonts w:ascii="Calibri" w:eastAsia="Times New Roman" w:hAnsi="Calibri" w:cs="Calibri"/>
                <w:color w:val="000000"/>
                <w:sz w:val="22"/>
                <w:lang w:eastAsia="en-AU"/>
              </w:rPr>
              <w:t> </w:t>
            </w:r>
          </w:p>
        </w:tc>
        <w:tc>
          <w:tcPr>
            <w:tcW w:w="816" w:type="dxa"/>
            <w:tcBorders>
              <w:top w:val="nil"/>
              <w:left w:val="nil"/>
              <w:bottom w:val="nil"/>
              <w:right w:val="nil"/>
            </w:tcBorders>
            <w:shd w:val="clear" w:color="auto" w:fill="auto"/>
            <w:noWrap/>
            <w:vAlign w:val="center"/>
            <w:hideMark/>
          </w:tcPr>
          <w:p w14:paraId="37E8B90E" w14:textId="77777777" w:rsidR="00B03C77" w:rsidRPr="00B03C77" w:rsidRDefault="00B03C77" w:rsidP="00B03C77">
            <w:pPr>
              <w:spacing w:before="0" w:line="240" w:lineRule="auto"/>
              <w:rPr>
                <w:rFonts w:ascii="Calibri" w:eastAsia="Times New Roman" w:hAnsi="Calibri" w:cs="Calibri"/>
                <w:color w:val="000000"/>
                <w:sz w:val="22"/>
                <w:lang w:eastAsia="en-AU"/>
              </w:rPr>
            </w:pPr>
          </w:p>
        </w:tc>
        <w:tc>
          <w:tcPr>
            <w:tcW w:w="1785" w:type="dxa"/>
            <w:gridSpan w:val="3"/>
            <w:tcBorders>
              <w:top w:val="double" w:sz="6" w:space="0" w:color="auto"/>
              <w:left w:val="nil"/>
              <w:bottom w:val="nil"/>
              <w:right w:val="nil"/>
            </w:tcBorders>
            <w:shd w:val="clear" w:color="auto" w:fill="auto"/>
            <w:noWrap/>
            <w:vAlign w:val="center"/>
            <w:hideMark/>
          </w:tcPr>
          <w:p w14:paraId="76102034" w14:textId="77777777" w:rsidR="00B03C77" w:rsidRPr="00B03C77" w:rsidRDefault="00B03C77" w:rsidP="00B03C77">
            <w:pPr>
              <w:spacing w:before="0" w:line="240" w:lineRule="auto"/>
              <w:rPr>
                <w:rFonts w:ascii="Calibri" w:eastAsia="Times New Roman" w:hAnsi="Calibri" w:cs="Calibri"/>
                <w:color w:val="000000"/>
                <w:sz w:val="22"/>
                <w:lang w:eastAsia="en-AU"/>
              </w:rPr>
            </w:pPr>
            <w:r w:rsidRPr="00B03C77">
              <w:rPr>
                <w:rFonts w:ascii="Calibri" w:eastAsia="Times New Roman" w:hAnsi="Calibri" w:cs="Calibri"/>
                <w:color w:val="000000"/>
                <w:sz w:val="22"/>
                <w:lang w:eastAsia="en-AU"/>
              </w:rPr>
              <w:t> </w:t>
            </w:r>
          </w:p>
        </w:tc>
        <w:tc>
          <w:tcPr>
            <w:tcW w:w="816" w:type="dxa"/>
            <w:gridSpan w:val="2"/>
            <w:tcBorders>
              <w:top w:val="nil"/>
              <w:left w:val="nil"/>
              <w:bottom w:val="nil"/>
              <w:right w:val="nil"/>
            </w:tcBorders>
            <w:shd w:val="clear" w:color="auto" w:fill="auto"/>
            <w:noWrap/>
            <w:vAlign w:val="center"/>
            <w:hideMark/>
          </w:tcPr>
          <w:p w14:paraId="63B06E17" w14:textId="77777777" w:rsidR="00B03C77" w:rsidRPr="00B03C77" w:rsidRDefault="00B03C77" w:rsidP="00B03C77">
            <w:pPr>
              <w:spacing w:before="0" w:line="240" w:lineRule="auto"/>
              <w:rPr>
                <w:rFonts w:ascii="Calibri" w:eastAsia="Times New Roman" w:hAnsi="Calibri" w:cs="Calibri"/>
                <w:color w:val="000000"/>
                <w:sz w:val="22"/>
                <w:lang w:eastAsia="en-AU"/>
              </w:rPr>
            </w:pPr>
          </w:p>
        </w:tc>
        <w:tc>
          <w:tcPr>
            <w:tcW w:w="1799" w:type="dxa"/>
            <w:gridSpan w:val="3"/>
            <w:tcBorders>
              <w:top w:val="double" w:sz="6" w:space="0" w:color="auto"/>
              <w:left w:val="nil"/>
              <w:bottom w:val="nil"/>
              <w:right w:val="nil"/>
            </w:tcBorders>
            <w:shd w:val="clear" w:color="auto" w:fill="auto"/>
            <w:noWrap/>
            <w:vAlign w:val="center"/>
            <w:hideMark/>
          </w:tcPr>
          <w:p w14:paraId="027C444C" w14:textId="77777777" w:rsidR="00B03C77" w:rsidRPr="00B03C77" w:rsidRDefault="00B03C77" w:rsidP="00B03C77">
            <w:pPr>
              <w:spacing w:before="0" w:line="240" w:lineRule="auto"/>
              <w:rPr>
                <w:rFonts w:ascii="Calibri" w:eastAsia="Times New Roman" w:hAnsi="Calibri" w:cs="Calibri"/>
                <w:color w:val="000000"/>
                <w:sz w:val="22"/>
                <w:lang w:eastAsia="en-AU"/>
              </w:rPr>
            </w:pPr>
            <w:r w:rsidRPr="00B03C77">
              <w:rPr>
                <w:rFonts w:ascii="Calibri" w:eastAsia="Times New Roman" w:hAnsi="Calibri" w:cs="Calibri"/>
                <w:color w:val="000000"/>
                <w:sz w:val="22"/>
                <w:lang w:eastAsia="en-AU"/>
              </w:rPr>
              <w:t> </w:t>
            </w:r>
          </w:p>
        </w:tc>
        <w:tc>
          <w:tcPr>
            <w:tcW w:w="816" w:type="dxa"/>
            <w:tcBorders>
              <w:top w:val="nil"/>
              <w:left w:val="nil"/>
              <w:bottom w:val="nil"/>
              <w:right w:val="nil"/>
            </w:tcBorders>
            <w:shd w:val="clear" w:color="auto" w:fill="auto"/>
            <w:noWrap/>
            <w:vAlign w:val="center"/>
            <w:hideMark/>
          </w:tcPr>
          <w:p w14:paraId="7454C636" w14:textId="77777777" w:rsidR="00B03C77" w:rsidRPr="00B03C77" w:rsidRDefault="00B03C77" w:rsidP="00B03C77">
            <w:pPr>
              <w:spacing w:before="0" w:line="240" w:lineRule="auto"/>
              <w:rPr>
                <w:rFonts w:ascii="Calibri" w:eastAsia="Times New Roman" w:hAnsi="Calibri" w:cs="Calibri"/>
                <w:color w:val="000000"/>
                <w:sz w:val="22"/>
                <w:lang w:eastAsia="en-AU"/>
              </w:rPr>
            </w:pPr>
          </w:p>
        </w:tc>
        <w:tc>
          <w:tcPr>
            <w:tcW w:w="816" w:type="dxa"/>
            <w:tcBorders>
              <w:top w:val="nil"/>
              <w:left w:val="nil"/>
              <w:bottom w:val="nil"/>
              <w:right w:val="nil"/>
            </w:tcBorders>
            <w:shd w:val="clear" w:color="auto" w:fill="auto"/>
            <w:noWrap/>
            <w:vAlign w:val="center"/>
            <w:hideMark/>
          </w:tcPr>
          <w:p w14:paraId="73450512" w14:textId="77777777" w:rsidR="00B03C77" w:rsidRPr="00B03C77" w:rsidRDefault="00B03C77" w:rsidP="00B03C77">
            <w:pPr>
              <w:spacing w:before="0" w:line="240" w:lineRule="auto"/>
              <w:rPr>
                <w:rFonts w:eastAsia="Times New Roman" w:cs="Times New Roman"/>
                <w:color w:val="auto"/>
                <w:sz w:val="20"/>
                <w:szCs w:val="20"/>
                <w:lang w:eastAsia="en-AU"/>
              </w:rPr>
            </w:pPr>
          </w:p>
        </w:tc>
      </w:tr>
      <w:tr w:rsidR="00B03C77" w:rsidRPr="00B03C77" w14:paraId="4F85D4B4" w14:textId="77777777" w:rsidTr="00B03C77">
        <w:trPr>
          <w:trHeight w:hRule="exact" w:val="284"/>
        </w:trPr>
        <w:tc>
          <w:tcPr>
            <w:tcW w:w="3697" w:type="dxa"/>
            <w:gridSpan w:val="5"/>
            <w:tcBorders>
              <w:top w:val="nil"/>
              <w:left w:val="nil"/>
              <w:bottom w:val="nil"/>
              <w:right w:val="nil"/>
            </w:tcBorders>
            <w:shd w:val="clear" w:color="auto" w:fill="auto"/>
            <w:noWrap/>
            <w:vAlign w:val="center"/>
            <w:hideMark/>
          </w:tcPr>
          <w:p w14:paraId="72B27E38" w14:textId="77777777" w:rsidR="00B03C77" w:rsidRPr="00B03C77" w:rsidRDefault="00B03C77" w:rsidP="00B03C77">
            <w:pPr>
              <w:spacing w:before="0" w:line="240" w:lineRule="auto"/>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Liabilities</w:t>
            </w:r>
          </w:p>
        </w:tc>
        <w:tc>
          <w:tcPr>
            <w:tcW w:w="1481" w:type="dxa"/>
            <w:gridSpan w:val="4"/>
            <w:tcBorders>
              <w:top w:val="nil"/>
              <w:left w:val="nil"/>
              <w:bottom w:val="nil"/>
              <w:right w:val="nil"/>
            </w:tcBorders>
            <w:shd w:val="clear" w:color="auto" w:fill="auto"/>
            <w:noWrap/>
            <w:vAlign w:val="center"/>
            <w:hideMark/>
          </w:tcPr>
          <w:p w14:paraId="44A122FA" w14:textId="77777777" w:rsidR="00B03C77" w:rsidRPr="00B03C77" w:rsidRDefault="00B03C77" w:rsidP="00B03C77">
            <w:pPr>
              <w:spacing w:before="0" w:line="240" w:lineRule="auto"/>
              <w:rPr>
                <w:rFonts w:ascii="Meta Pro" w:eastAsia="Times New Roman" w:hAnsi="Meta Pro" w:cs="Calibri"/>
                <w:b/>
                <w:bCs/>
                <w:color w:val="000000"/>
                <w:sz w:val="16"/>
                <w:szCs w:val="16"/>
                <w:lang w:eastAsia="en-AU"/>
              </w:rPr>
            </w:pPr>
          </w:p>
        </w:tc>
        <w:tc>
          <w:tcPr>
            <w:tcW w:w="1856" w:type="dxa"/>
            <w:gridSpan w:val="3"/>
            <w:tcBorders>
              <w:top w:val="nil"/>
              <w:left w:val="nil"/>
              <w:bottom w:val="nil"/>
              <w:right w:val="nil"/>
            </w:tcBorders>
            <w:shd w:val="clear" w:color="auto" w:fill="auto"/>
            <w:noWrap/>
            <w:vAlign w:val="center"/>
            <w:hideMark/>
          </w:tcPr>
          <w:p w14:paraId="74C7BBBD"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816" w:type="dxa"/>
            <w:tcBorders>
              <w:top w:val="nil"/>
              <w:left w:val="nil"/>
              <w:bottom w:val="nil"/>
              <w:right w:val="nil"/>
            </w:tcBorders>
            <w:shd w:val="clear" w:color="auto" w:fill="auto"/>
            <w:noWrap/>
            <w:vAlign w:val="center"/>
            <w:hideMark/>
          </w:tcPr>
          <w:p w14:paraId="2D7A4995"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1785" w:type="dxa"/>
            <w:gridSpan w:val="3"/>
            <w:tcBorders>
              <w:top w:val="nil"/>
              <w:left w:val="nil"/>
              <w:bottom w:val="nil"/>
              <w:right w:val="nil"/>
            </w:tcBorders>
            <w:shd w:val="clear" w:color="auto" w:fill="auto"/>
            <w:noWrap/>
            <w:vAlign w:val="center"/>
            <w:hideMark/>
          </w:tcPr>
          <w:p w14:paraId="47659FC9"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816" w:type="dxa"/>
            <w:gridSpan w:val="2"/>
            <w:tcBorders>
              <w:top w:val="nil"/>
              <w:left w:val="nil"/>
              <w:bottom w:val="nil"/>
              <w:right w:val="nil"/>
            </w:tcBorders>
            <w:shd w:val="clear" w:color="auto" w:fill="auto"/>
            <w:noWrap/>
            <w:vAlign w:val="center"/>
            <w:hideMark/>
          </w:tcPr>
          <w:p w14:paraId="20AFC6E0"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1799" w:type="dxa"/>
            <w:gridSpan w:val="3"/>
            <w:tcBorders>
              <w:top w:val="nil"/>
              <w:left w:val="nil"/>
              <w:bottom w:val="nil"/>
              <w:right w:val="nil"/>
            </w:tcBorders>
            <w:shd w:val="clear" w:color="auto" w:fill="auto"/>
            <w:noWrap/>
            <w:vAlign w:val="center"/>
            <w:hideMark/>
          </w:tcPr>
          <w:p w14:paraId="126D4596"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1633" w:type="dxa"/>
            <w:gridSpan w:val="2"/>
            <w:tcBorders>
              <w:top w:val="nil"/>
              <w:left w:val="nil"/>
              <w:bottom w:val="nil"/>
              <w:right w:val="nil"/>
            </w:tcBorders>
            <w:shd w:val="clear" w:color="auto" w:fill="auto"/>
            <w:noWrap/>
            <w:vAlign w:val="center"/>
            <w:hideMark/>
          </w:tcPr>
          <w:p w14:paraId="0513468A" w14:textId="77777777" w:rsidR="00B03C77" w:rsidRPr="00B03C77" w:rsidRDefault="00B03C77" w:rsidP="00B03C77">
            <w:pPr>
              <w:spacing w:before="0" w:line="240" w:lineRule="auto"/>
              <w:rPr>
                <w:rFonts w:eastAsia="Times New Roman" w:cs="Times New Roman"/>
                <w:color w:val="auto"/>
                <w:sz w:val="20"/>
                <w:szCs w:val="20"/>
                <w:lang w:eastAsia="en-AU"/>
              </w:rPr>
            </w:pPr>
          </w:p>
        </w:tc>
      </w:tr>
      <w:tr w:rsidR="00B03C77" w:rsidRPr="00B03C77" w14:paraId="58CFA42D" w14:textId="77777777" w:rsidTr="00B03C77">
        <w:trPr>
          <w:trHeight w:hRule="exact" w:val="284"/>
        </w:trPr>
        <w:tc>
          <w:tcPr>
            <w:tcW w:w="3697" w:type="dxa"/>
            <w:gridSpan w:val="5"/>
            <w:tcBorders>
              <w:top w:val="nil"/>
              <w:left w:val="nil"/>
              <w:bottom w:val="nil"/>
              <w:right w:val="nil"/>
            </w:tcBorders>
            <w:shd w:val="clear" w:color="auto" w:fill="auto"/>
            <w:noWrap/>
            <w:vAlign w:val="center"/>
            <w:hideMark/>
          </w:tcPr>
          <w:p w14:paraId="5C3DDC8C" w14:textId="77777777" w:rsidR="00B03C77" w:rsidRPr="00B03C77" w:rsidRDefault="00B03C77" w:rsidP="00B03C77">
            <w:pPr>
              <w:spacing w:before="0" w:line="240" w:lineRule="auto"/>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Current liabilities</w:t>
            </w:r>
          </w:p>
        </w:tc>
        <w:tc>
          <w:tcPr>
            <w:tcW w:w="1481" w:type="dxa"/>
            <w:gridSpan w:val="4"/>
            <w:tcBorders>
              <w:top w:val="nil"/>
              <w:left w:val="nil"/>
              <w:bottom w:val="nil"/>
              <w:right w:val="nil"/>
            </w:tcBorders>
            <w:shd w:val="clear" w:color="auto" w:fill="auto"/>
            <w:noWrap/>
            <w:vAlign w:val="center"/>
            <w:hideMark/>
          </w:tcPr>
          <w:p w14:paraId="4C42DAEC" w14:textId="77777777" w:rsidR="00B03C77" w:rsidRPr="00B03C77" w:rsidRDefault="00B03C77" w:rsidP="00B03C77">
            <w:pPr>
              <w:spacing w:before="0" w:line="240" w:lineRule="auto"/>
              <w:rPr>
                <w:rFonts w:ascii="Meta Pro" w:eastAsia="Times New Roman" w:hAnsi="Meta Pro" w:cs="Calibri"/>
                <w:b/>
                <w:bCs/>
                <w:color w:val="000000"/>
                <w:sz w:val="16"/>
                <w:szCs w:val="16"/>
                <w:lang w:eastAsia="en-AU"/>
              </w:rPr>
            </w:pPr>
          </w:p>
        </w:tc>
        <w:tc>
          <w:tcPr>
            <w:tcW w:w="1856" w:type="dxa"/>
            <w:gridSpan w:val="3"/>
            <w:tcBorders>
              <w:top w:val="nil"/>
              <w:left w:val="nil"/>
              <w:bottom w:val="nil"/>
              <w:right w:val="nil"/>
            </w:tcBorders>
            <w:shd w:val="clear" w:color="auto" w:fill="auto"/>
            <w:noWrap/>
            <w:vAlign w:val="center"/>
            <w:hideMark/>
          </w:tcPr>
          <w:p w14:paraId="3BD57770"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816" w:type="dxa"/>
            <w:tcBorders>
              <w:top w:val="nil"/>
              <w:left w:val="nil"/>
              <w:bottom w:val="nil"/>
              <w:right w:val="nil"/>
            </w:tcBorders>
            <w:shd w:val="clear" w:color="auto" w:fill="auto"/>
            <w:noWrap/>
            <w:vAlign w:val="center"/>
            <w:hideMark/>
          </w:tcPr>
          <w:p w14:paraId="0753C627"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1785" w:type="dxa"/>
            <w:gridSpan w:val="3"/>
            <w:tcBorders>
              <w:top w:val="nil"/>
              <w:left w:val="nil"/>
              <w:bottom w:val="nil"/>
              <w:right w:val="nil"/>
            </w:tcBorders>
            <w:shd w:val="clear" w:color="auto" w:fill="auto"/>
            <w:noWrap/>
            <w:vAlign w:val="center"/>
            <w:hideMark/>
          </w:tcPr>
          <w:p w14:paraId="33E57E11"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816" w:type="dxa"/>
            <w:gridSpan w:val="2"/>
            <w:tcBorders>
              <w:top w:val="nil"/>
              <w:left w:val="nil"/>
              <w:bottom w:val="nil"/>
              <w:right w:val="nil"/>
            </w:tcBorders>
            <w:shd w:val="clear" w:color="auto" w:fill="auto"/>
            <w:noWrap/>
            <w:vAlign w:val="center"/>
            <w:hideMark/>
          </w:tcPr>
          <w:p w14:paraId="062218FD"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1799" w:type="dxa"/>
            <w:gridSpan w:val="3"/>
            <w:tcBorders>
              <w:top w:val="nil"/>
              <w:left w:val="nil"/>
              <w:bottom w:val="nil"/>
              <w:right w:val="nil"/>
            </w:tcBorders>
            <w:shd w:val="clear" w:color="auto" w:fill="auto"/>
            <w:noWrap/>
            <w:vAlign w:val="center"/>
            <w:hideMark/>
          </w:tcPr>
          <w:p w14:paraId="652547F9"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1633" w:type="dxa"/>
            <w:gridSpan w:val="2"/>
            <w:tcBorders>
              <w:top w:val="nil"/>
              <w:left w:val="nil"/>
              <w:bottom w:val="nil"/>
              <w:right w:val="nil"/>
            </w:tcBorders>
            <w:shd w:val="clear" w:color="auto" w:fill="auto"/>
            <w:noWrap/>
            <w:vAlign w:val="center"/>
            <w:hideMark/>
          </w:tcPr>
          <w:p w14:paraId="6246FFC9" w14:textId="77777777" w:rsidR="00B03C77" w:rsidRPr="00B03C77" w:rsidRDefault="00B03C77" w:rsidP="00B03C77">
            <w:pPr>
              <w:spacing w:before="0" w:line="240" w:lineRule="auto"/>
              <w:rPr>
                <w:rFonts w:eastAsia="Times New Roman" w:cs="Times New Roman"/>
                <w:color w:val="auto"/>
                <w:sz w:val="20"/>
                <w:szCs w:val="20"/>
                <w:lang w:eastAsia="en-AU"/>
              </w:rPr>
            </w:pPr>
          </w:p>
        </w:tc>
      </w:tr>
      <w:tr w:rsidR="00B03C77" w:rsidRPr="00B03C77" w14:paraId="058370D4" w14:textId="77777777" w:rsidTr="00B03C77">
        <w:trPr>
          <w:trHeight w:hRule="exact" w:val="284"/>
        </w:trPr>
        <w:tc>
          <w:tcPr>
            <w:tcW w:w="3033" w:type="dxa"/>
            <w:gridSpan w:val="2"/>
            <w:tcBorders>
              <w:top w:val="nil"/>
              <w:left w:val="nil"/>
              <w:bottom w:val="nil"/>
              <w:right w:val="nil"/>
            </w:tcBorders>
            <w:shd w:val="clear" w:color="auto" w:fill="auto"/>
            <w:noWrap/>
            <w:vAlign w:val="center"/>
            <w:hideMark/>
          </w:tcPr>
          <w:p w14:paraId="30DA2A3D" w14:textId="77777777" w:rsidR="00B03C77" w:rsidRPr="00B03C77" w:rsidRDefault="00B03C77" w:rsidP="00B03C77">
            <w:pPr>
              <w:spacing w:before="0" w:line="240" w:lineRule="auto"/>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Payables</w:t>
            </w:r>
          </w:p>
        </w:tc>
        <w:tc>
          <w:tcPr>
            <w:tcW w:w="1329" w:type="dxa"/>
            <w:gridSpan w:val="5"/>
            <w:tcBorders>
              <w:top w:val="nil"/>
              <w:left w:val="nil"/>
              <w:bottom w:val="nil"/>
              <w:right w:val="nil"/>
            </w:tcBorders>
            <w:shd w:val="clear" w:color="auto" w:fill="auto"/>
            <w:noWrap/>
            <w:vAlign w:val="center"/>
            <w:hideMark/>
          </w:tcPr>
          <w:p w14:paraId="3C934279"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22,253</w:t>
            </w:r>
          </w:p>
        </w:tc>
        <w:tc>
          <w:tcPr>
            <w:tcW w:w="816" w:type="dxa"/>
            <w:gridSpan w:val="2"/>
            <w:tcBorders>
              <w:top w:val="nil"/>
              <w:left w:val="nil"/>
              <w:bottom w:val="nil"/>
              <w:right w:val="nil"/>
            </w:tcBorders>
            <w:shd w:val="clear" w:color="auto" w:fill="auto"/>
            <w:noWrap/>
            <w:vAlign w:val="center"/>
            <w:hideMark/>
          </w:tcPr>
          <w:p w14:paraId="7869ED67"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856" w:type="dxa"/>
            <w:gridSpan w:val="3"/>
            <w:tcBorders>
              <w:top w:val="nil"/>
              <w:left w:val="nil"/>
              <w:bottom w:val="nil"/>
              <w:right w:val="nil"/>
            </w:tcBorders>
            <w:shd w:val="clear" w:color="auto" w:fill="auto"/>
            <w:noWrap/>
            <w:vAlign w:val="center"/>
            <w:hideMark/>
          </w:tcPr>
          <w:p w14:paraId="12C57345"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442,160</w:t>
            </w:r>
          </w:p>
        </w:tc>
        <w:tc>
          <w:tcPr>
            <w:tcW w:w="816" w:type="dxa"/>
            <w:tcBorders>
              <w:top w:val="nil"/>
              <w:left w:val="nil"/>
              <w:bottom w:val="nil"/>
              <w:right w:val="nil"/>
            </w:tcBorders>
            <w:shd w:val="clear" w:color="auto" w:fill="auto"/>
            <w:noWrap/>
            <w:vAlign w:val="center"/>
            <w:hideMark/>
          </w:tcPr>
          <w:p w14:paraId="3BE3D271"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85" w:type="dxa"/>
            <w:gridSpan w:val="3"/>
            <w:tcBorders>
              <w:top w:val="nil"/>
              <w:left w:val="nil"/>
              <w:bottom w:val="nil"/>
              <w:right w:val="nil"/>
            </w:tcBorders>
            <w:shd w:val="clear" w:color="auto" w:fill="auto"/>
            <w:noWrap/>
            <w:vAlign w:val="center"/>
            <w:hideMark/>
          </w:tcPr>
          <w:p w14:paraId="2E0D119E"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24,581</w:t>
            </w:r>
          </w:p>
        </w:tc>
        <w:tc>
          <w:tcPr>
            <w:tcW w:w="816" w:type="dxa"/>
            <w:gridSpan w:val="2"/>
            <w:tcBorders>
              <w:top w:val="nil"/>
              <w:left w:val="nil"/>
              <w:bottom w:val="nil"/>
              <w:right w:val="nil"/>
            </w:tcBorders>
            <w:shd w:val="clear" w:color="auto" w:fill="auto"/>
            <w:noWrap/>
            <w:vAlign w:val="center"/>
            <w:hideMark/>
          </w:tcPr>
          <w:p w14:paraId="4669A8B3"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99" w:type="dxa"/>
            <w:gridSpan w:val="3"/>
            <w:tcBorders>
              <w:top w:val="nil"/>
              <w:left w:val="nil"/>
              <w:bottom w:val="nil"/>
              <w:right w:val="nil"/>
            </w:tcBorders>
            <w:shd w:val="clear" w:color="auto" w:fill="auto"/>
            <w:noWrap/>
            <w:vAlign w:val="center"/>
            <w:hideMark/>
          </w:tcPr>
          <w:p w14:paraId="5E79ADBF"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9,407</w:t>
            </w:r>
          </w:p>
        </w:tc>
        <w:tc>
          <w:tcPr>
            <w:tcW w:w="816" w:type="dxa"/>
            <w:tcBorders>
              <w:top w:val="nil"/>
              <w:left w:val="nil"/>
              <w:bottom w:val="nil"/>
              <w:right w:val="nil"/>
            </w:tcBorders>
            <w:shd w:val="clear" w:color="auto" w:fill="auto"/>
            <w:noWrap/>
            <w:vAlign w:val="center"/>
            <w:hideMark/>
          </w:tcPr>
          <w:p w14:paraId="7D0B669A"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816" w:type="dxa"/>
            <w:tcBorders>
              <w:top w:val="nil"/>
              <w:left w:val="nil"/>
              <w:bottom w:val="nil"/>
              <w:right w:val="nil"/>
            </w:tcBorders>
            <w:shd w:val="clear" w:color="auto" w:fill="auto"/>
            <w:noWrap/>
            <w:vAlign w:val="center"/>
            <w:hideMark/>
          </w:tcPr>
          <w:p w14:paraId="396C2991"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312,519</w:t>
            </w:r>
          </w:p>
        </w:tc>
      </w:tr>
      <w:tr w:rsidR="00B03C77" w:rsidRPr="00B03C77" w14:paraId="09AF06E6" w14:textId="77777777" w:rsidTr="00B03C77">
        <w:trPr>
          <w:trHeight w:hRule="exact" w:val="284"/>
        </w:trPr>
        <w:tc>
          <w:tcPr>
            <w:tcW w:w="3033" w:type="dxa"/>
            <w:gridSpan w:val="2"/>
            <w:tcBorders>
              <w:top w:val="nil"/>
              <w:left w:val="nil"/>
              <w:bottom w:val="nil"/>
              <w:right w:val="nil"/>
            </w:tcBorders>
            <w:shd w:val="clear" w:color="auto" w:fill="auto"/>
            <w:noWrap/>
            <w:vAlign w:val="center"/>
            <w:hideMark/>
          </w:tcPr>
          <w:p w14:paraId="1E8C1DA1" w14:textId="77777777" w:rsidR="00B03C77" w:rsidRPr="00B03C77" w:rsidRDefault="00B03C77" w:rsidP="00B03C77">
            <w:pPr>
              <w:spacing w:before="0" w:line="240" w:lineRule="auto"/>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Borrowings</w:t>
            </w:r>
          </w:p>
        </w:tc>
        <w:tc>
          <w:tcPr>
            <w:tcW w:w="1329" w:type="dxa"/>
            <w:gridSpan w:val="5"/>
            <w:tcBorders>
              <w:top w:val="nil"/>
              <w:left w:val="nil"/>
              <w:bottom w:val="nil"/>
              <w:right w:val="nil"/>
            </w:tcBorders>
            <w:shd w:val="clear" w:color="auto" w:fill="auto"/>
            <w:noWrap/>
            <w:vAlign w:val="center"/>
            <w:hideMark/>
          </w:tcPr>
          <w:p w14:paraId="00596E34"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 xml:space="preserve">- </w:t>
            </w:r>
          </w:p>
        </w:tc>
        <w:tc>
          <w:tcPr>
            <w:tcW w:w="816" w:type="dxa"/>
            <w:gridSpan w:val="2"/>
            <w:tcBorders>
              <w:top w:val="nil"/>
              <w:left w:val="nil"/>
              <w:bottom w:val="nil"/>
              <w:right w:val="nil"/>
            </w:tcBorders>
            <w:shd w:val="clear" w:color="auto" w:fill="auto"/>
            <w:noWrap/>
            <w:vAlign w:val="center"/>
            <w:hideMark/>
          </w:tcPr>
          <w:p w14:paraId="01E563A9"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856" w:type="dxa"/>
            <w:gridSpan w:val="3"/>
            <w:tcBorders>
              <w:top w:val="nil"/>
              <w:left w:val="nil"/>
              <w:bottom w:val="nil"/>
              <w:right w:val="nil"/>
            </w:tcBorders>
            <w:shd w:val="clear" w:color="auto" w:fill="auto"/>
            <w:noWrap/>
            <w:vAlign w:val="center"/>
            <w:hideMark/>
          </w:tcPr>
          <w:p w14:paraId="582D08A9"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9,727</w:t>
            </w:r>
          </w:p>
        </w:tc>
        <w:tc>
          <w:tcPr>
            <w:tcW w:w="816" w:type="dxa"/>
            <w:tcBorders>
              <w:top w:val="nil"/>
              <w:left w:val="nil"/>
              <w:bottom w:val="nil"/>
              <w:right w:val="nil"/>
            </w:tcBorders>
            <w:shd w:val="clear" w:color="auto" w:fill="auto"/>
            <w:noWrap/>
            <w:vAlign w:val="center"/>
            <w:hideMark/>
          </w:tcPr>
          <w:p w14:paraId="52B2216F"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85" w:type="dxa"/>
            <w:gridSpan w:val="3"/>
            <w:tcBorders>
              <w:top w:val="nil"/>
              <w:left w:val="nil"/>
              <w:bottom w:val="nil"/>
              <w:right w:val="nil"/>
            </w:tcBorders>
            <w:shd w:val="clear" w:color="auto" w:fill="auto"/>
            <w:noWrap/>
            <w:vAlign w:val="center"/>
            <w:hideMark/>
          </w:tcPr>
          <w:p w14:paraId="16B98860"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 xml:space="preserve">- </w:t>
            </w:r>
          </w:p>
        </w:tc>
        <w:tc>
          <w:tcPr>
            <w:tcW w:w="816" w:type="dxa"/>
            <w:gridSpan w:val="2"/>
            <w:tcBorders>
              <w:top w:val="nil"/>
              <w:left w:val="nil"/>
              <w:bottom w:val="nil"/>
              <w:right w:val="nil"/>
            </w:tcBorders>
            <w:shd w:val="clear" w:color="auto" w:fill="auto"/>
            <w:noWrap/>
            <w:vAlign w:val="center"/>
            <w:hideMark/>
          </w:tcPr>
          <w:p w14:paraId="66B197AD"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99" w:type="dxa"/>
            <w:gridSpan w:val="3"/>
            <w:tcBorders>
              <w:top w:val="nil"/>
              <w:left w:val="nil"/>
              <w:bottom w:val="nil"/>
              <w:right w:val="nil"/>
            </w:tcBorders>
            <w:shd w:val="clear" w:color="auto" w:fill="auto"/>
            <w:noWrap/>
            <w:vAlign w:val="center"/>
            <w:hideMark/>
          </w:tcPr>
          <w:p w14:paraId="4614A8A8"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 xml:space="preserve">- </w:t>
            </w:r>
          </w:p>
        </w:tc>
        <w:tc>
          <w:tcPr>
            <w:tcW w:w="816" w:type="dxa"/>
            <w:tcBorders>
              <w:top w:val="nil"/>
              <w:left w:val="nil"/>
              <w:bottom w:val="nil"/>
              <w:right w:val="nil"/>
            </w:tcBorders>
            <w:shd w:val="clear" w:color="auto" w:fill="auto"/>
            <w:noWrap/>
            <w:vAlign w:val="center"/>
            <w:hideMark/>
          </w:tcPr>
          <w:p w14:paraId="21970296"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816" w:type="dxa"/>
            <w:tcBorders>
              <w:top w:val="nil"/>
              <w:left w:val="nil"/>
              <w:bottom w:val="nil"/>
              <w:right w:val="nil"/>
            </w:tcBorders>
            <w:shd w:val="clear" w:color="auto" w:fill="auto"/>
            <w:noWrap/>
            <w:vAlign w:val="center"/>
            <w:hideMark/>
          </w:tcPr>
          <w:p w14:paraId="394AE7E5"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26,989</w:t>
            </w:r>
          </w:p>
        </w:tc>
      </w:tr>
      <w:tr w:rsidR="00B03C77" w:rsidRPr="00B03C77" w14:paraId="2DC6706C" w14:textId="77777777" w:rsidTr="00B03C77">
        <w:trPr>
          <w:trHeight w:hRule="exact" w:val="284"/>
        </w:trPr>
        <w:tc>
          <w:tcPr>
            <w:tcW w:w="3033" w:type="dxa"/>
            <w:gridSpan w:val="2"/>
            <w:tcBorders>
              <w:top w:val="nil"/>
              <w:left w:val="nil"/>
              <w:bottom w:val="nil"/>
              <w:right w:val="nil"/>
            </w:tcBorders>
            <w:shd w:val="clear" w:color="auto" w:fill="auto"/>
            <w:noWrap/>
            <w:vAlign w:val="center"/>
            <w:hideMark/>
          </w:tcPr>
          <w:p w14:paraId="1AA85CB4" w14:textId="77777777" w:rsidR="00B03C77" w:rsidRPr="00B03C77" w:rsidRDefault="00B03C77" w:rsidP="00B03C77">
            <w:pPr>
              <w:spacing w:before="0" w:line="240" w:lineRule="auto"/>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Provisions</w:t>
            </w:r>
          </w:p>
        </w:tc>
        <w:tc>
          <w:tcPr>
            <w:tcW w:w="1329" w:type="dxa"/>
            <w:gridSpan w:val="5"/>
            <w:tcBorders>
              <w:top w:val="nil"/>
              <w:left w:val="nil"/>
              <w:bottom w:val="nil"/>
              <w:right w:val="nil"/>
            </w:tcBorders>
            <w:shd w:val="clear" w:color="auto" w:fill="auto"/>
            <w:noWrap/>
            <w:vAlign w:val="center"/>
            <w:hideMark/>
          </w:tcPr>
          <w:p w14:paraId="47F9333E"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 xml:space="preserve">- </w:t>
            </w:r>
          </w:p>
        </w:tc>
        <w:tc>
          <w:tcPr>
            <w:tcW w:w="816" w:type="dxa"/>
            <w:gridSpan w:val="2"/>
            <w:tcBorders>
              <w:top w:val="nil"/>
              <w:left w:val="nil"/>
              <w:bottom w:val="nil"/>
              <w:right w:val="nil"/>
            </w:tcBorders>
            <w:shd w:val="clear" w:color="auto" w:fill="auto"/>
            <w:noWrap/>
            <w:vAlign w:val="center"/>
            <w:hideMark/>
          </w:tcPr>
          <w:p w14:paraId="3E2FA0CC"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856" w:type="dxa"/>
            <w:gridSpan w:val="3"/>
            <w:tcBorders>
              <w:top w:val="nil"/>
              <w:left w:val="nil"/>
              <w:bottom w:val="nil"/>
              <w:right w:val="nil"/>
            </w:tcBorders>
            <w:shd w:val="clear" w:color="auto" w:fill="auto"/>
            <w:noWrap/>
            <w:vAlign w:val="center"/>
            <w:hideMark/>
          </w:tcPr>
          <w:p w14:paraId="443892B1"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148,582</w:t>
            </w:r>
          </w:p>
        </w:tc>
        <w:tc>
          <w:tcPr>
            <w:tcW w:w="816" w:type="dxa"/>
            <w:tcBorders>
              <w:top w:val="nil"/>
              <w:left w:val="nil"/>
              <w:bottom w:val="nil"/>
              <w:right w:val="nil"/>
            </w:tcBorders>
            <w:shd w:val="clear" w:color="auto" w:fill="auto"/>
            <w:noWrap/>
            <w:vAlign w:val="center"/>
            <w:hideMark/>
          </w:tcPr>
          <w:p w14:paraId="49606F4F"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85" w:type="dxa"/>
            <w:gridSpan w:val="3"/>
            <w:tcBorders>
              <w:top w:val="nil"/>
              <w:left w:val="nil"/>
              <w:bottom w:val="nil"/>
              <w:right w:val="nil"/>
            </w:tcBorders>
            <w:shd w:val="clear" w:color="auto" w:fill="auto"/>
            <w:noWrap/>
            <w:vAlign w:val="center"/>
            <w:hideMark/>
          </w:tcPr>
          <w:p w14:paraId="139B0FD4"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 xml:space="preserve">- </w:t>
            </w:r>
          </w:p>
        </w:tc>
        <w:tc>
          <w:tcPr>
            <w:tcW w:w="816" w:type="dxa"/>
            <w:gridSpan w:val="2"/>
            <w:tcBorders>
              <w:top w:val="nil"/>
              <w:left w:val="nil"/>
              <w:bottom w:val="nil"/>
              <w:right w:val="nil"/>
            </w:tcBorders>
            <w:shd w:val="clear" w:color="auto" w:fill="auto"/>
            <w:noWrap/>
            <w:vAlign w:val="center"/>
            <w:hideMark/>
          </w:tcPr>
          <w:p w14:paraId="3EBB0198"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99" w:type="dxa"/>
            <w:gridSpan w:val="3"/>
            <w:tcBorders>
              <w:top w:val="nil"/>
              <w:left w:val="nil"/>
              <w:bottom w:val="nil"/>
              <w:right w:val="nil"/>
            </w:tcBorders>
            <w:shd w:val="clear" w:color="auto" w:fill="auto"/>
            <w:noWrap/>
            <w:vAlign w:val="center"/>
            <w:hideMark/>
          </w:tcPr>
          <w:p w14:paraId="27390C4C"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 xml:space="preserve">- </w:t>
            </w:r>
          </w:p>
        </w:tc>
        <w:tc>
          <w:tcPr>
            <w:tcW w:w="816" w:type="dxa"/>
            <w:tcBorders>
              <w:top w:val="nil"/>
              <w:left w:val="nil"/>
              <w:bottom w:val="nil"/>
              <w:right w:val="nil"/>
            </w:tcBorders>
            <w:shd w:val="clear" w:color="auto" w:fill="auto"/>
            <w:noWrap/>
            <w:vAlign w:val="center"/>
            <w:hideMark/>
          </w:tcPr>
          <w:p w14:paraId="52997E8C"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816" w:type="dxa"/>
            <w:tcBorders>
              <w:top w:val="nil"/>
              <w:left w:val="nil"/>
              <w:bottom w:val="nil"/>
              <w:right w:val="nil"/>
            </w:tcBorders>
            <w:shd w:val="clear" w:color="auto" w:fill="auto"/>
            <w:noWrap/>
            <w:vAlign w:val="center"/>
            <w:hideMark/>
          </w:tcPr>
          <w:p w14:paraId="6598B0E0"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46,515</w:t>
            </w:r>
          </w:p>
        </w:tc>
      </w:tr>
      <w:tr w:rsidR="00B03C77" w:rsidRPr="00B03C77" w14:paraId="6F654C16" w14:textId="77777777" w:rsidTr="00B03C77">
        <w:trPr>
          <w:trHeight w:hRule="exact" w:val="284"/>
        </w:trPr>
        <w:tc>
          <w:tcPr>
            <w:tcW w:w="3033" w:type="dxa"/>
            <w:gridSpan w:val="2"/>
            <w:tcBorders>
              <w:top w:val="nil"/>
              <w:left w:val="nil"/>
              <w:bottom w:val="nil"/>
              <w:right w:val="nil"/>
            </w:tcBorders>
            <w:shd w:val="clear" w:color="auto" w:fill="auto"/>
            <w:noWrap/>
            <w:vAlign w:val="center"/>
            <w:hideMark/>
          </w:tcPr>
          <w:p w14:paraId="30D39A0E" w14:textId="77777777" w:rsidR="00B03C77" w:rsidRPr="00B03C77" w:rsidRDefault="00B03C77" w:rsidP="00B03C77">
            <w:pPr>
              <w:spacing w:before="0" w:line="240" w:lineRule="auto"/>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Accrued employee benefits</w:t>
            </w:r>
          </w:p>
        </w:tc>
        <w:tc>
          <w:tcPr>
            <w:tcW w:w="1329" w:type="dxa"/>
            <w:gridSpan w:val="5"/>
            <w:tcBorders>
              <w:top w:val="nil"/>
              <w:left w:val="nil"/>
              <w:bottom w:val="nil"/>
              <w:right w:val="nil"/>
            </w:tcBorders>
            <w:shd w:val="clear" w:color="auto" w:fill="auto"/>
            <w:noWrap/>
            <w:vAlign w:val="center"/>
            <w:hideMark/>
          </w:tcPr>
          <w:p w14:paraId="40C9D51E"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3,084</w:t>
            </w:r>
          </w:p>
        </w:tc>
        <w:tc>
          <w:tcPr>
            <w:tcW w:w="816" w:type="dxa"/>
            <w:gridSpan w:val="2"/>
            <w:tcBorders>
              <w:top w:val="nil"/>
              <w:left w:val="nil"/>
              <w:bottom w:val="nil"/>
              <w:right w:val="nil"/>
            </w:tcBorders>
            <w:shd w:val="clear" w:color="auto" w:fill="auto"/>
            <w:noWrap/>
            <w:vAlign w:val="center"/>
            <w:hideMark/>
          </w:tcPr>
          <w:p w14:paraId="1A01A50F"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856" w:type="dxa"/>
            <w:gridSpan w:val="3"/>
            <w:tcBorders>
              <w:top w:val="nil"/>
              <w:left w:val="nil"/>
              <w:bottom w:val="nil"/>
              <w:right w:val="nil"/>
            </w:tcBorders>
            <w:shd w:val="clear" w:color="auto" w:fill="auto"/>
            <w:noWrap/>
            <w:vAlign w:val="center"/>
            <w:hideMark/>
          </w:tcPr>
          <w:p w14:paraId="4C25FD07"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7,778</w:t>
            </w:r>
          </w:p>
        </w:tc>
        <w:tc>
          <w:tcPr>
            <w:tcW w:w="816" w:type="dxa"/>
            <w:tcBorders>
              <w:top w:val="nil"/>
              <w:left w:val="nil"/>
              <w:bottom w:val="nil"/>
              <w:right w:val="nil"/>
            </w:tcBorders>
            <w:shd w:val="clear" w:color="auto" w:fill="auto"/>
            <w:noWrap/>
            <w:vAlign w:val="center"/>
            <w:hideMark/>
          </w:tcPr>
          <w:p w14:paraId="6868C171"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85" w:type="dxa"/>
            <w:gridSpan w:val="3"/>
            <w:tcBorders>
              <w:top w:val="nil"/>
              <w:left w:val="nil"/>
              <w:bottom w:val="nil"/>
              <w:right w:val="nil"/>
            </w:tcBorders>
            <w:shd w:val="clear" w:color="auto" w:fill="auto"/>
            <w:noWrap/>
            <w:vAlign w:val="center"/>
            <w:hideMark/>
          </w:tcPr>
          <w:p w14:paraId="15D20C55"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3,566</w:t>
            </w:r>
          </w:p>
        </w:tc>
        <w:tc>
          <w:tcPr>
            <w:tcW w:w="816" w:type="dxa"/>
            <w:gridSpan w:val="2"/>
            <w:tcBorders>
              <w:top w:val="nil"/>
              <w:left w:val="nil"/>
              <w:bottom w:val="nil"/>
              <w:right w:val="nil"/>
            </w:tcBorders>
            <w:shd w:val="clear" w:color="auto" w:fill="auto"/>
            <w:noWrap/>
            <w:vAlign w:val="center"/>
            <w:hideMark/>
          </w:tcPr>
          <w:p w14:paraId="362FCB28"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99" w:type="dxa"/>
            <w:gridSpan w:val="3"/>
            <w:tcBorders>
              <w:top w:val="nil"/>
              <w:left w:val="nil"/>
              <w:bottom w:val="nil"/>
              <w:right w:val="nil"/>
            </w:tcBorders>
            <w:shd w:val="clear" w:color="auto" w:fill="auto"/>
            <w:noWrap/>
            <w:vAlign w:val="center"/>
            <w:hideMark/>
          </w:tcPr>
          <w:p w14:paraId="629192CC"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7,616</w:t>
            </w:r>
          </w:p>
        </w:tc>
        <w:tc>
          <w:tcPr>
            <w:tcW w:w="816" w:type="dxa"/>
            <w:tcBorders>
              <w:top w:val="nil"/>
              <w:left w:val="nil"/>
              <w:bottom w:val="nil"/>
              <w:right w:val="nil"/>
            </w:tcBorders>
            <w:shd w:val="clear" w:color="auto" w:fill="auto"/>
            <w:noWrap/>
            <w:vAlign w:val="center"/>
            <w:hideMark/>
          </w:tcPr>
          <w:p w14:paraId="05B99114"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816" w:type="dxa"/>
            <w:tcBorders>
              <w:top w:val="nil"/>
              <w:left w:val="nil"/>
              <w:bottom w:val="nil"/>
              <w:right w:val="nil"/>
            </w:tcBorders>
            <w:shd w:val="clear" w:color="auto" w:fill="auto"/>
            <w:noWrap/>
            <w:vAlign w:val="center"/>
            <w:hideMark/>
          </w:tcPr>
          <w:p w14:paraId="3AFF4E22"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4,305</w:t>
            </w:r>
          </w:p>
        </w:tc>
      </w:tr>
      <w:tr w:rsidR="00B03C77" w:rsidRPr="00B03C77" w14:paraId="2E6E5B5D" w14:textId="77777777" w:rsidTr="00B03C77">
        <w:trPr>
          <w:trHeight w:hRule="exact" w:val="284"/>
        </w:trPr>
        <w:tc>
          <w:tcPr>
            <w:tcW w:w="3033" w:type="dxa"/>
            <w:gridSpan w:val="2"/>
            <w:tcBorders>
              <w:top w:val="nil"/>
              <w:left w:val="nil"/>
              <w:bottom w:val="nil"/>
              <w:right w:val="nil"/>
            </w:tcBorders>
            <w:shd w:val="clear" w:color="auto" w:fill="auto"/>
            <w:noWrap/>
            <w:vAlign w:val="center"/>
            <w:hideMark/>
          </w:tcPr>
          <w:p w14:paraId="1C24CAC0" w14:textId="77777777" w:rsidR="00B03C77" w:rsidRPr="00B03C77" w:rsidRDefault="00B03C77" w:rsidP="00B03C77">
            <w:pPr>
              <w:spacing w:before="0" w:line="240" w:lineRule="auto"/>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 xml:space="preserve">Unearned revenue – Service concession arrangements </w:t>
            </w:r>
          </w:p>
        </w:tc>
        <w:tc>
          <w:tcPr>
            <w:tcW w:w="1329" w:type="dxa"/>
            <w:gridSpan w:val="5"/>
            <w:tcBorders>
              <w:top w:val="nil"/>
              <w:left w:val="nil"/>
              <w:bottom w:val="nil"/>
              <w:right w:val="nil"/>
            </w:tcBorders>
            <w:shd w:val="clear" w:color="auto" w:fill="auto"/>
            <w:noWrap/>
            <w:vAlign w:val="center"/>
            <w:hideMark/>
          </w:tcPr>
          <w:p w14:paraId="4A82EACF"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 xml:space="preserve">- </w:t>
            </w:r>
          </w:p>
        </w:tc>
        <w:tc>
          <w:tcPr>
            <w:tcW w:w="816" w:type="dxa"/>
            <w:gridSpan w:val="2"/>
            <w:tcBorders>
              <w:top w:val="nil"/>
              <w:left w:val="nil"/>
              <w:bottom w:val="nil"/>
              <w:right w:val="nil"/>
            </w:tcBorders>
            <w:shd w:val="clear" w:color="auto" w:fill="auto"/>
            <w:noWrap/>
            <w:vAlign w:val="center"/>
            <w:hideMark/>
          </w:tcPr>
          <w:p w14:paraId="1B76F6D8"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856" w:type="dxa"/>
            <w:gridSpan w:val="3"/>
            <w:tcBorders>
              <w:top w:val="nil"/>
              <w:left w:val="nil"/>
              <w:bottom w:val="nil"/>
              <w:right w:val="nil"/>
            </w:tcBorders>
            <w:shd w:val="clear" w:color="auto" w:fill="auto"/>
            <w:noWrap/>
            <w:vAlign w:val="center"/>
            <w:hideMark/>
          </w:tcPr>
          <w:p w14:paraId="3DE888AC"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223,019</w:t>
            </w:r>
          </w:p>
        </w:tc>
        <w:tc>
          <w:tcPr>
            <w:tcW w:w="816" w:type="dxa"/>
            <w:tcBorders>
              <w:top w:val="nil"/>
              <w:left w:val="nil"/>
              <w:bottom w:val="nil"/>
              <w:right w:val="nil"/>
            </w:tcBorders>
            <w:shd w:val="clear" w:color="auto" w:fill="auto"/>
            <w:noWrap/>
            <w:vAlign w:val="center"/>
            <w:hideMark/>
          </w:tcPr>
          <w:p w14:paraId="1CCFFDE9"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85" w:type="dxa"/>
            <w:gridSpan w:val="3"/>
            <w:tcBorders>
              <w:top w:val="nil"/>
              <w:left w:val="nil"/>
              <w:bottom w:val="nil"/>
              <w:right w:val="nil"/>
            </w:tcBorders>
            <w:shd w:val="clear" w:color="auto" w:fill="auto"/>
            <w:noWrap/>
            <w:vAlign w:val="center"/>
            <w:hideMark/>
          </w:tcPr>
          <w:p w14:paraId="724C9BCC"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 xml:space="preserve">- </w:t>
            </w:r>
          </w:p>
        </w:tc>
        <w:tc>
          <w:tcPr>
            <w:tcW w:w="816" w:type="dxa"/>
            <w:gridSpan w:val="2"/>
            <w:tcBorders>
              <w:top w:val="nil"/>
              <w:left w:val="nil"/>
              <w:bottom w:val="nil"/>
              <w:right w:val="nil"/>
            </w:tcBorders>
            <w:shd w:val="clear" w:color="auto" w:fill="auto"/>
            <w:noWrap/>
            <w:vAlign w:val="center"/>
            <w:hideMark/>
          </w:tcPr>
          <w:p w14:paraId="0001DE3E"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99" w:type="dxa"/>
            <w:gridSpan w:val="3"/>
            <w:tcBorders>
              <w:top w:val="nil"/>
              <w:left w:val="nil"/>
              <w:bottom w:val="nil"/>
              <w:right w:val="nil"/>
            </w:tcBorders>
            <w:shd w:val="clear" w:color="auto" w:fill="auto"/>
            <w:noWrap/>
            <w:vAlign w:val="center"/>
            <w:hideMark/>
          </w:tcPr>
          <w:p w14:paraId="62B7B12F"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 xml:space="preserve">- </w:t>
            </w:r>
          </w:p>
        </w:tc>
        <w:tc>
          <w:tcPr>
            <w:tcW w:w="816" w:type="dxa"/>
            <w:tcBorders>
              <w:top w:val="nil"/>
              <w:left w:val="nil"/>
              <w:bottom w:val="nil"/>
              <w:right w:val="nil"/>
            </w:tcBorders>
            <w:shd w:val="clear" w:color="auto" w:fill="auto"/>
            <w:noWrap/>
            <w:vAlign w:val="center"/>
            <w:hideMark/>
          </w:tcPr>
          <w:p w14:paraId="3C154EEA"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816" w:type="dxa"/>
            <w:tcBorders>
              <w:top w:val="nil"/>
              <w:left w:val="nil"/>
              <w:bottom w:val="nil"/>
              <w:right w:val="nil"/>
            </w:tcBorders>
            <w:shd w:val="clear" w:color="auto" w:fill="auto"/>
            <w:noWrap/>
            <w:vAlign w:val="center"/>
            <w:hideMark/>
          </w:tcPr>
          <w:p w14:paraId="18812B7F"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9,160</w:t>
            </w:r>
          </w:p>
        </w:tc>
      </w:tr>
      <w:tr w:rsidR="00B03C77" w:rsidRPr="00B03C77" w14:paraId="304F7037" w14:textId="77777777" w:rsidTr="00B03C77">
        <w:trPr>
          <w:trHeight w:hRule="exact" w:val="294"/>
        </w:trPr>
        <w:tc>
          <w:tcPr>
            <w:tcW w:w="3033" w:type="dxa"/>
            <w:gridSpan w:val="2"/>
            <w:tcBorders>
              <w:top w:val="nil"/>
              <w:left w:val="nil"/>
              <w:bottom w:val="single" w:sz="8" w:space="0" w:color="auto"/>
              <w:right w:val="nil"/>
            </w:tcBorders>
            <w:shd w:val="clear" w:color="auto" w:fill="auto"/>
            <w:noWrap/>
            <w:vAlign w:val="center"/>
            <w:hideMark/>
          </w:tcPr>
          <w:p w14:paraId="5AB3C96A" w14:textId="77777777" w:rsidR="00B03C77" w:rsidRPr="00B03C77" w:rsidRDefault="00B03C77" w:rsidP="00B03C77">
            <w:pPr>
              <w:spacing w:before="0" w:line="240" w:lineRule="auto"/>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 xml:space="preserve">Other </w:t>
            </w:r>
          </w:p>
        </w:tc>
        <w:tc>
          <w:tcPr>
            <w:tcW w:w="1329" w:type="dxa"/>
            <w:gridSpan w:val="5"/>
            <w:tcBorders>
              <w:top w:val="nil"/>
              <w:left w:val="nil"/>
              <w:bottom w:val="single" w:sz="8" w:space="0" w:color="auto"/>
              <w:right w:val="nil"/>
            </w:tcBorders>
            <w:shd w:val="clear" w:color="auto" w:fill="auto"/>
            <w:noWrap/>
            <w:vAlign w:val="center"/>
            <w:hideMark/>
          </w:tcPr>
          <w:p w14:paraId="3E42BE0D"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68,645</w:t>
            </w:r>
          </w:p>
        </w:tc>
        <w:tc>
          <w:tcPr>
            <w:tcW w:w="816" w:type="dxa"/>
            <w:gridSpan w:val="2"/>
            <w:tcBorders>
              <w:top w:val="nil"/>
              <w:left w:val="nil"/>
              <w:bottom w:val="nil"/>
              <w:right w:val="nil"/>
            </w:tcBorders>
            <w:shd w:val="clear" w:color="auto" w:fill="auto"/>
            <w:noWrap/>
            <w:vAlign w:val="center"/>
            <w:hideMark/>
          </w:tcPr>
          <w:p w14:paraId="2181CAB2"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856" w:type="dxa"/>
            <w:gridSpan w:val="3"/>
            <w:tcBorders>
              <w:top w:val="nil"/>
              <w:left w:val="nil"/>
              <w:bottom w:val="single" w:sz="8" w:space="0" w:color="auto"/>
              <w:right w:val="nil"/>
            </w:tcBorders>
            <w:shd w:val="clear" w:color="auto" w:fill="auto"/>
            <w:noWrap/>
            <w:vAlign w:val="center"/>
            <w:hideMark/>
          </w:tcPr>
          <w:p w14:paraId="0B49DD91"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26,963</w:t>
            </w:r>
          </w:p>
        </w:tc>
        <w:tc>
          <w:tcPr>
            <w:tcW w:w="816" w:type="dxa"/>
            <w:tcBorders>
              <w:top w:val="nil"/>
              <w:left w:val="nil"/>
              <w:bottom w:val="nil"/>
              <w:right w:val="nil"/>
            </w:tcBorders>
            <w:shd w:val="clear" w:color="auto" w:fill="auto"/>
            <w:noWrap/>
            <w:vAlign w:val="center"/>
            <w:hideMark/>
          </w:tcPr>
          <w:p w14:paraId="2BC5C16B"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85" w:type="dxa"/>
            <w:gridSpan w:val="3"/>
            <w:tcBorders>
              <w:top w:val="nil"/>
              <w:left w:val="nil"/>
              <w:bottom w:val="single" w:sz="8" w:space="0" w:color="auto"/>
              <w:right w:val="nil"/>
            </w:tcBorders>
            <w:shd w:val="clear" w:color="auto" w:fill="auto"/>
            <w:noWrap/>
            <w:vAlign w:val="center"/>
            <w:hideMark/>
          </w:tcPr>
          <w:p w14:paraId="5C99F31F"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1,610</w:t>
            </w:r>
          </w:p>
        </w:tc>
        <w:tc>
          <w:tcPr>
            <w:tcW w:w="816" w:type="dxa"/>
            <w:gridSpan w:val="2"/>
            <w:tcBorders>
              <w:top w:val="nil"/>
              <w:left w:val="nil"/>
              <w:bottom w:val="nil"/>
              <w:right w:val="nil"/>
            </w:tcBorders>
            <w:shd w:val="clear" w:color="auto" w:fill="auto"/>
            <w:noWrap/>
            <w:vAlign w:val="center"/>
            <w:hideMark/>
          </w:tcPr>
          <w:p w14:paraId="1910D085"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1799" w:type="dxa"/>
            <w:gridSpan w:val="3"/>
            <w:tcBorders>
              <w:top w:val="nil"/>
              <w:left w:val="nil"/>
              <w:bottom w:val="single" w:sz="8" w:space="0" w:color="auto"/>
              <w:right w:val="nil"/>
            </w:tcBorders>
            <w:shd w:val="clear" w:color="auto" w:fill="auto"/>
            <w:noWrap/>
            <w:vAlign w:val="center"/>
            <w:hideMark/>
          </w:tcPr>
          <w:p w14:paraId="351C3324"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 xml:space="preserve">- </w:t>
            </w:r>
          </w:p>
        </w:tc>
        <w:tc>
          <w:tcPr>
            <w:tcW w:w="816" w:type="dxa"/>
            <w:tcBorders>
              <w:top w:val="nil"/>
              <w:left w:val="nil"/>
              <w:bottom w:val="nil"/>
              <w:right w:val="nil"/>
            </w:tcBorders>
            <w:shd w:val="clear" w:color="auto" w:fill="auto"/>
            <w:noWrap/>
            <w:vAlign w:val="center"/>
            <w:hideMark/>
          </w:tcPr>
          <w:p w14:paraId="15E2C818"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p>
        </w:tc>
        <w:tc>
          <w:tcPr>
            <w:tcW w:w="816" w:type="dxa"/>
            <w:tcBorders>
              <w:top w:val="nil"/>
              <w:left w:val="nil"/>
              <w:bottom w:val="single" w:sz="8" w:space="0" w:color="auto"/>
              <w:right w:val="nil"/>
            </w:tcBorders>
            <w:shd w:val="clear" w:color="auto" w:fill="auto"/>
            <w:noWrap/>
            <w:vAlign w:val="center"/>
            <w:hideMark/>
          </w:tcPr>
          <w:p w14:paraId="3822F64B" w14:textId="77777777" w:rsidR="00B03C77" w:rsidRPr="00B03C77" w:rsidRDefault="00B03C77" w:rsidP="00B03C77">
            <w:pPr>
              <w:spacing w:before="0" w:line="240" w:lineRule="auto"/>
              <w:jc w:val="right"/>
              <w:rPr>
                <w:rFonts w:ascii="Meta Pro" w:eastAsia="Times New Roman" w:hAnsi="Meta Pro" w:cs="Calibri"/>
                <w:color w:val="000000"/>
                <w:sz w:val="16"/>
                <w:szCs w:val="16"/>
                <w:lang w:eastAsia="en-AU"/>
              </w:rPr>
            </w:pPr>
            <w:r w:rsidRPr="00B03C77">
              <w:rPr>
                <w:rFonts w:ascii="Meta Pro" w:eastAsia="Times New Roman" w:hAnsi="Meta Pro" w:cs="Calibri"/>
                <w:color w:val="000000"/>
                <w:sz w:val="16"/>
                <w:szCs w:val="16"/>
                <w:lang w:eastAsia="en-AU"/>
              </w:rPr>
              <w:t>93,900</w:t>
            </w:r>
          </w:p>
        </w:tc>
      </w:tr>
      <w:tr w:rsidR="00B03C77" w:rsidRPr="00B03C77" w14:paraId="02601BE9" w14:textId="77777777" w:rsidTr="00B03C77">
        <w:trPr>
          <w:trHeight w:hRule="exact" w:val="284"/>
        </w:trPr>
        <w:tc>
          <w:tcPr>
            <w:tcW w:w="3033" w:type="dxa"/>
            <w:gridSpan w:val="2"/>
            <w:tcBorders>
              <w:top w:val="nil"/>
              <w:left w:val="nil"/>
              <w:bottom w:val="nil"/>
              <w:right w:val="nil"/>
            </w:tcBorders>
            <w:shd w:val="clear" w:color="auto" w:fill="auto"/>
            <w:noWrap/>
            <w:vAlign w:val="center"/>
            <w:hideMark/>
          </w:tcPr>
          <w:p w14:paraId="7290C711" w14:textId="77777777" w:rsidR="00B03C77" w:rsidRPr="00B03C77" w:rsidRDefault="00B03C77" w:rsidP="00B03C77">
            <w:pPr>
              <w:spacing w:before="0" w:line="240" w:lineRule="auto"/>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Total current liabilities</w:t>
            </w:r>
          </w:p>
        </w:tc>
        <w:tc>
          <w:tcPr>
            <w:tcW w:w="1329" w:type="dxa"/>
            <w:gridSpan w:val="5"/>
            <w:tcBorders>
              <w:top w:val="single" w:sz="8" w:space="0" w:color="auto"/>
              <w:left w:val="nil"/>
              <w:bottom w:val="nil"/>
              <w:right w:val="nil"/>
            </w:tcBorders>
            <w:shd w:val="clear" w:color="auto" w:fill="auto"/>
            <w:noWrap/>
            <w:vAlign w:val="center"/>
            <w:hideMark/>
          </w:tcPr>
          <w:p w14:paraId="3731D641"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93,982</w:t>
            </w:r>
          </w:p>
        </w:tc>
        <w:tc>
          <w:tcPr>
            <w:tcW w:w="816" w:type="dxa"/>
            <w:gridSpan w:val="2"/>
            <w:tcBorders>
              <w:top w:val="single" w:sz="8" w:space="0" w:color="auto"/>
              <w:left w:val="nil"/>
              <w:bottom w:val="nil"/>
              <w:right w:val="nil"/>
            </w:tcBorders>
            <w:shd w:val="clear" w:color="auto" w:fill="auto"/>
            <w:noWrap/>
            <w:vAlign w:val="center"/>
            <w:hideMark/>
          </w:tcPr>
          <w:p w14:paraId="0DF557DA"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 </w:t>
            </w:r>
          </w:p>
        </w:tc>
        <w:tc>
          <w:tcPr>
            <w:tcW w:w="1856" w:type="dxa"/>
            <w:gridSpan w:val="3"/>
            <w:tcBorders>
              <w:top w:val="single" w:sz="8" w:space="0" w:color="auto"/>
              <w:left w:val="nil"/>
              <w:bottom w:val="nil"/>
              <w:right w:val="nil"/>
            </w:tcBorders>
            <w:shd w:val="clear" w:color="auto" w:fill="auto"/>
            <w:noWrap/>
            <w:vAlign w:val="center"/>
            <w:hideMark/>
          </w:tcPr>
          <w:p w14:paraId="183810AD"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858,229</w:t>
            </w:r>
          </w:p>
        </w:tc>
        <w:tc>
          <w:tcPr>
            <w:tcW w:w="816" w:type="dxa"/>
            <w:tcBorders>
              <w:top w:val="single" w:sz="8" w:space="0" w:color="auto"/>
              <w:left w:val="nil"/>
              <w:bottom w:val="nil"/>
              <w:right w:val="nil"/>
            </w:tcBorders>
            <w:shd w:val="clear" w:color="auto" w:fill="auto"/>
            <w:noWrap/>
            <w:vAlign w:val="center"/>
            <w:hideMark/>
          </w:tcPr>
          <w:p w14:paraId="39E48574"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 </w:t>
            </w:r>
          </w:p>
        </w:tc>
        <w:tc>
          <w:tcPr>
            <w:tcW w:w="1785" w:type="dxa"/>
            <w:gridSpan w:val="3"/>
            <w:tcBorders>
              <w:top w:val="single" w:sz="8" w:space="0" w:color="auto"/>
              <w:left w:val="nil"/>
              <w:bottom w:val="nil"/>
              <w:right w:val="nil"/>
            </w:tcBorders>
            <w:shd w:val="clear" w:color="auto" w:fill="auto"/>
            <w:noWrap/>
            <w:vAlign w:val="center"/>
            <w:hideMark/>
          </w:tcPr>
          <w:p w14:paraId="0EE08D5C"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29,757</w:t>
            </w:r>
          </w:p>
        </w:tc>
        <w:tc>
          <w:tcPr>
            <w:tcW w:w="816" w:type="dxa"/>
            <w:gridSpan w:val="2"/>
            <w:tcBorders>
              <w:top w:val="single" w:sz="8" w:space="0" w:color="auto"/>
              <w:left w:val="nil"/>
              <w:bottom w:val="nil"/>
              <w:right w:val="nil"/>
            </w:tcBorders>
            <w:shd w:val="clear" w:color="auto" w:fill="auto"/>
            <w:noWrap/>
            <w:vAlign w:val="center"/>
            <w:hideMark/>
          </w:tcPr>
          <w:p w14:paraId="579BAA35"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 </w:t>
            </w:r>
          </w:p>
        </w:tc>
        <w:tc>
          <w:tcPr>
            <w:tcW w:w="1799" w:type="dxa"/>
            <w:gridSpan w:val="3"/>
            <w:tcBorders>
              <w:top w:val="single" w:sz="8" w:space="0" w:color="auto"/>
              <w:left w:val="nil"/>
              <w:bottom w:val="nil"/>
              <w:right w:val="nil"/>
            </w:tcBorders>
            <w:shd w:val="clear" w:color="auto" w:fill="auto"/>
            <w:noWrap/>
            <w:vAlign w:val="center"/>
            <w:hideMark/>
          </w:tcPr>
          <w:p w14:paraId="09DD9E68"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17,023</w:t>
            </w:r>
          </w:p>
        </w:tc>
        <w:tc>
          <w:tcPr>
            <w:tcW w:w="816" w:type="dxa"/>
            <w:tcBorders>
              <w:top w:val="single" w:sz="8" w:space="0" w:color="auto"/>
              <w:left w:val="nil"/>
              <w:bottom w:val="nil"/>
              <w:right w:val="nil"/>
            </w:tcBorders>
            <w:shd w:val="clear" w:color="auto" w:fill="auto"/>
            <w:noWrap/>
            <w:vAlign w:val="center"/>
            <w:hideMark/>
          </w:tcPr>
          <w:p w14:paraId="1612A585"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 </w:t>
            </w:r>
          </w:p>
        </w:tc>
        <w:tc>
          <w:tcPr>
            <w:tcW w:w="816" w:type="dxa"/>
            <w:tcBorders>
              <w:top w:val="nil"/>
              <w:left w:val="nil"/>
              <w:bottom w:val="nil"/>
              <w:right w:val="nil"/>
            </w:tcBorders>
            <w:shd w:val="clear" w:color="auto" w:fill="auto"/>
            <w:noWrap/>
            <w:vAlign w:val="center"/>
            <w:hideMark/>
          </w:tcPr>
          <w:p w14:paraId="64649975"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493,388</w:t>
            </w:r>
          </w:p>
        </w:tc>
      </w:tr>
      <w:tr w:rsidR="00B03C77" w:rsidRPr="00B03C77" w14:paraId="1CC1059D" w14:textId="77777777" w:rsidTr="00B03C77">
        <w:trPr>
          <w:trHeight w:hRule="exact" w:val="284"/>
        </w:trPr>
        <w:tc>
          <w:tcPr>
            <w:tcW w:w="3033" w:type="dxa"/>
            <w:gridSpan w:val="2"/>
            <w:tcBorders>
              <w:top w:val="nil"/>
              <w:left w:val="nil"/>
              <w:bottom w:val="nil"/>
              <w:right w:val="nil"/>
            </w:tcBorders>
            <w:shd w:val="clear" w:color="auto" w:fill="auto"/>
            <w:noWrap/>
            <w:vAlign w:val="center"/>
            <w:hideMark/>
          </w:tcPr>
          <w:p w14:paraId="3C1B7D88" w14:textId="77777777" w:rsidR="00B03C77" w:rsidRPr="00B03C77" w:rsidRDefault="00B03C77" w:rsidP="00B03C77">
            <w:pPr>
              <w:spacing w:before="0" w:line="240" w:lineRule="auto"/>
              <w:jc w:val="right"/>
              <w:rPr>
                <w:rFonts w:ascii="Meta Pro" w:eastAsia="Times New Roman" w:hAnsi="Meta Pro" w:cs="Calibri"/>
                <w:b/>
                <w:bCs/>
                <w:color w:val="000000"/>
                <w:sz w:val="16"/>
                <w:szCs w:val="16"/>
                <w:lang w:eastAsia="en-AU"/>
              </w:rPr>
            </w:pPr>
          </w:p>
        </w:tc>
        <w:tc>
          <w:tcPr>
            <w:tcW w:w="1329" w:type="dxa"/>
            <w:gridSpan w:val="5"/>
            <w:tcBorders>
              <w:top w:val="nil"/>
              <w:left w:val="nil"/>
              <w:bottom w:val="nil"/>
              <w:right w:val="nil"/>
            </w:tcBorders>
            <w:shd w:val="clear" w:color="auto" w:fill="auto"/>
            <w:noWrap/>
            <w:vAlign w:val="center"/>
            <w:hideMark/>
          </w:tcPr>
          <w:p w14:paraId="05AB939E"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816" w:type="dxa"/>
            <w:gridSpan w:val="2"/>
            <w:tcBorders>
              <w:top w:val="nil"/>
              <w:left w:val="nil"/>
              <w:bottom w:val="nil"/>
              <w:right w:val="nil"/>
            </w:tcBorders>
            <w:shd w:val="clear" w:color="auto" w:fill="auto"/>
            <w:noWrap/>
            <w:vAlign w:val="center"/>
            <w:hideMark/>
          </w:tcPr>
          <w:p w14:paraId="224ACA46"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1856" w:type="dxa"/>
            <w:gridSpan w:val="3"/>
            <w:tcBorders>
              <w:top w:val="nil"/>
              <w:left w:val="nil"/>
              <w:bottom w:val="nil"/>
              <w:right w:val="nil"/>
            </w:tcBorders>
            <w:shd w:val="clear" w:color="auto" w:fill="auto"/>
            <w:noWrap/>
            <w:vAlign w:val="center"/>
            <w:hideMark/>
          </w:tcPr>
          <w:p w14:paraId="2A3EA9E9"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816" w:type="dxa"/>
            <w:tcBorders>
              <w:top w:val="nil"/>
              <w:left w:val="nil"/>
              <w:bottom w:val="nil"/>
              <w:right w:val="nil"/>
            </w:tcBorders>
            <w:shd w:val="clear" w:color="auto" w:fill="auto"/>
            <w:noWrap/>
            <w:vAlign w:val="center"/>
            <w:hideMark/>
          </w:tcPr>
          <w:p w14:paraId="41091840"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1785" w:type="dxa"/>
            <w:gridSpan w:val="3"/>
            <w:tcBorders>
              <w:top w:val="nil"/>
              <w:left w:val="nil"/>
              <w:bottom w:val="nil"/>
              <w:right w:val="nil"/>
            </w:tcBorders>
            <w:shd w:val="clear" w:color="auto" w:fill="auto"/>
            <w:noWrap/>
            <w:vAlign w:val="center"/>
            <w:hideMark/>
          </w:tcPr>
          <w:p w14:paraId="14F42977"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816" w:type="dxa"/>
            <w:gridSpan w:val="2"/>
            <w:tcBorders>
              <w:top w:val="nil"/>
              <w:left w:val="nil"/>
              <w:bottom w:val="nil"/>
              <w:right w:val="nil"/>
            </w:tcBorders>
            <w:shd w:val="clear" w:color="auto" w:fill="auto"/>
            <w:noWrap/>
            <w:vAlign w:val="center"/>
            <w:hideMark/>
          </w:tcPr>
          <w:p w14:paraId="75E78861"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1799" w:type="dxa"/>
            <w:gridSpan w:val="3"/>
            <w:tcBorders>
              <w:top w:val="nil"/>
              <w:left w:val="nil"/>
              <w:bottom w:val="nil"/>
              <w:right w:val="nil"/>
            </w:tcBorders>
            <w:shd w:val="clear" w:color="auto" w:fill="auto"/>
            <w:noWrap/>
            <w:vAlign w:val="center"/>
            <w:hideMark/>
          </w:tcPr>
          <w:p w14:paraId="4E67DC63"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816" w:type="dxa"/>
            <w:tcBorders>
              <w:top w:val="nil"/>
              <w:left w:val="nil"/>
              <w:bottom w:val="nil"/>
              <w:right w:val="nil"/>
            </w:tcBorders>
            <w:shd w:val="clear" w:color="auto" w:fill="auto"/>
            <w:noWrap/>
            <w:vAlign w:val="center"/>
            <w:hideMark/>
          </w:tcPr>
          <w:p w14:paraId="017E9238"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816" w:type="dxa"/>
            <w:tcBorders>
              <w:top w:val="nil"/>
              <w:left w:val="nil"/>
              <w:bottom w:val="nil"/>
              <w:right w:val="nil"/>
            </w:tcBorders>
            <w:shd w:val="clear" w:color="auto" w:fill="auto"/>
            <w:noWrap/>
            <w:vAlign w:val="center"/>
            <w:hideMark/>
          </w:tcPr>
          <w:p w14:paraId="6FBC100F" w14:textId="77777777" w:rsidR="00B03C77" w:rsidRPr="00B03C77" w:rsidRDefault="00B03C77" w:rsidP="00B03C77">
            <w:pPr>
              <w:spacing w:before="0" w:line="240" w:lineRule="auto"/>
              <w:rPr>
                <w:rFonts w:eastAsia="Times New Roman" w:cs="Times New Roman"/>
                <w:color w:val="auto"/>
                <w:sz w:val="20"/>
                <w:szCs w:val="20"/>
                <w:lang w:eastAsia="en-AU"/>
              </w:rPr>
            </w:pPr>
          </w:p>
        </w:tc>
      </w:tr>
      <w:tr w:rsidR="00B03C77" w:rsidRPr="00B03C77" w14:paraId="49DCEFD4" w14:textId="77777777" w:rsidTr="00B03C77">
        <w:trPr>
          <w:trHeight w:hRule="exact" w:val="284"/>
        </w:trPr>
        <w:tc>
          <w:tcPr>
            <w:tcW w:w="3697" w:type="dxa"/>
            <w:gridSpan w:val="5"/>
            <w:tcBorders>
              <w:top w:val="nil"/>
              <w:left w:val="nil"/>
              <w:bottom w:val="nil"/>
              <w:right w:val="nil"/>
            </w:tcBorders>
            <w:shd w:val="clear" w:color="auto" w:fill="auto"/>
            <w:noWrap/>
            <w:vAlign w:val="center"/>
            <w:hideMark/>
          </w:tcPr>
          <w:p w14:paraId="34012849" w14:textId="77777777" w:rsidR="00B03C77" w:rsidRPr="00B03C77" w:rsidRDefault="00B03C77" w:rsidP="00B03C77">
            <w:pPr>
              <w:spacing w:before="0" w:line="240" w:lineRule="auto"/>
              <w:rPr>
                <w:rFonts w:ascii="Meta Pro" w:eastAsia="Times New Roman" w:hAnsi="Meta Pro" w:cs="Calibri"/>
                <w:b/>
                <w:bCs/>
                <w:color w:val="000000"/>
                <w:sz w:val="16"/>
                <w:szCs w:val="16"/>
                <w:lang w:eastAsia="en-AU"/>
              </w:rPr>
            </w:pPr>
            <w:r w:rsidRPr="00B03C77">
              <w:rPr>
                <w:rFonts w:ascii="Meta Pro" w:eastAsia="Times New Roman" w:hAnsi="Meta Pro" w:cs="Calibri"/>
                <w:b/>
                <w:bCs/>
                <w:color w:val="000000"/>
                <w:sz w:val="16"/>
                <w:szCs w:val="16"/>
                <w:lang w:eastAsia="en-AU"/>
              </w:rPr>
              <w:t>Non-current liabilities</w:t>
            </w:r>
          </w:p>
        </w:tc>
        <w:tc>
          <w:tcPr>
            <w:tcW w:w="1481" w:type="dxa"/>
            <w:gridSpan w:val="4"/>
            <w:tcBorders>
              <w:top w:val="nil"/>
              <w:left w:val="nil"/>
              <w:bottom w:val="nil"/>
              <w:right w:val="nil"/>
            </w:tcBorders>
            <w:shd w:val="clear" w:color="auto" w:fill="auto"/>
            <w:noWrap/>
            <w:vAlign w:val="center"/>
            <w:hideMark/>
          </w:tcPr>
          <w:p w14:paraId="2B73409A" w14:textId="77777777" w:rsidR="00B03C77" w:rsidRPr="00B03C77" w:rsidRDefault="00B03C77" w:rsidP="00B03C77">
            <w:pPr>
              <w:spacing w:before="0" w:line="240" w:lineRule="auto"/>
              <w:rPr>
                <w:rFonts w:ascii="Meta Pro" w:eastAsia="Times New Roman" w:hAnsi="Meta Pro" w:cs="Calibri"/>
                <w:b/>
                <w:bCs/>
                <w:color w:val="000000"/>
                <w:sz w:val="16"/>
                <w:szCs w:val="16"/>
                <w:lang w:eastAsia="en-AU"/>
              </w:rPr>
            </w:pPr>
          </w:p>
        </w:tc>
        <w:tc>
          <w:tcPr>
            <w:tcW w:w="1856" w:type="dxa"/>
            <w:gridSpan w:val="3"/>
            <w:tcBorders>
              <w:top w:val="nil"/>
              <w:left w:val="nil"/>
              <w:bottom w:val="nil"/>
              <w:right w:val="nil"/>
            </w:tcBorders>
            <w:shd w:val="clear" w:color="auto" w:fill="auto"/>
            <w:noWrap/>
            <w:vAlign w:val="center"/>
            <w:hideMark/>
          </w:tcPr>
          <w:p w14:paraId="7F8223BE"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816" w:type="dxa"/>
            <w:tcBorders>
              <w:top w:val="nil"/>
              <w:left w:val="nil"/>
              <w:bottom w:val="nil"/>
              <w:right w:val="nil"/>
            </w:tcBorders>
            <w:shd w:val="clear" w:color="auto" w:fill="auto"/>
            <w:noWrap/>
            <w:vAlign w:val="center"/>
            <w:hideMark/>
          </w:tcPr>
          <w:p w14:paraId="3EA21B05"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1785" w:type="dxa"/>
            <w:gridSpan w:val="3"/>
            <w:tcBorders>
              <w:top w:val="nil"/>
              <w:left w:val="nil"/>
              <w:bottom w:val="nil"/>
              <w:right w:val="nil"/>
            </w:tcBorders>
            <w:shd w:val="clear" w:color="auto" w:fill="auto"/>
            <w:noWrap/>
            <w:vAlign w:val="center"/>
            <w:hideMark/>
          </w:tcPr>
          <w:p w14:paraId="6BF37757"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816" w:type="dxa"/>
            <w:gridSpan w:val="2"/>
            <w:tcBorders>
              <w:top w:val="nil"/>
              <w:left w:val="nil"/>
              <w:bottom w:val="nil"/>
              <w:right w:val="nil"/>
            </w:tcBorders>
            <w:shd w:val="clear" w:color="auto" w:fill="auto"/>
            <w:noWrap/>
            <w:vAlign w:val="center"/>
            <w:hideMark/>
          </w:tcPr>
          <w:p w14:paraId="76362D5A"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1799" w:type="dxa"/>
            <w:gridSpan w:val="3"/>
            <w:tcBorders>
              <w:top w:val="nil"/>
              <w:left w:val="nil"/>
              <w:bottom w:val="nil"/>
              <w:right w:val="nil"/>
            </w:tcBorders>
            <w:shd w:val="clear" w:color="auto" w:fill="auto"/>
            <w:noWrap/>
            <w:vAlign w:val="center"/>
            <w:hideMark/>
          </w:tcPr>
          <w:p w14:paraId="1776D381" w14:textId="77777777" w:rsidR="00B03C77" w:rsidRPr="00B03C77" w:rsidRDefault="00B03C77" w:rsidP="00B03C77">
            <w:pPr>
              <w:spacing w:before="0" w:line="240" w:lineRule="auto"/>
              <w:rPr>
                <w:rFonts w:eastAsia="Times New Roman" w:cs="Times New Roman"/>
                <w:color w:val="auto"/>
                <w:sz w:val="20"/>
                <w:szCs w:val="20"/>
                <w:lang w:eastAsia="en-AU"/>
              </w:rPr>
            </w:pPr>
          </w:p>
        </w:tc>
        <w:tc>
          <w:tcPr>
            <w:tcW w:w="1633" w:type="dxa"/>
            <w:gridSpan w:val="2"/>
            <w:tcBorders>
              <w:top w:val="nil"/>
              <w:left w:val="nil"/>
              <w:bottom w:val="nil"/>
              <w:right w:val="nil"/>
            </w:tcBorders>
            <w:shd w:val="clear" w:color="auto" w:fill="auto"/>
            <w:noWrap/>
            <w:vAlign w:val="center"/>
            <w:hideMark/>
          </w:tcPr>
          <w:p w14:paraId="449CAE71" w14:textId="77777777" w:rsidR="00B03C77" w:rsidRPr="00B03C77" w:rsidRDefault="00B03C77" w:rsidP="00B03C77">
            <w:pPr>
              <w:spacing w:before="0" w:line="240" w:lineRule="auto"/>
              <w:rPr>
                <w:rFonts w:eastAsia="Times New Roman" w:cs="Times New Roman"/>
                <w:color w:val="auto"/>
                <w:sz w:val="20"/>
                <w:szCs w:val="20"/>
                <w:lang w:eastAsia="en-AU"/>
              </w:rPr>
            </w:pPr>
          </w:p>
        </w:tc>
      </w:tr>
    </w:tbl>
    <w:p w14:paraId="0CDF1ABC" w14:textId="66115DE9" w:rsidR="00361746" w:rsidRDefault="00361746" w:rsidP="00C55038">
      <w:pPr>
        <w:rPr>
          <w:rFonts w:ascii="Meta Pro" w:eastAsia="Times New Roman" w:hAnsi="Meta Pro"/>
          <w:i/>
          <w:iCs/>
          <w:color w:val="000000"/>
          <w:szCs w:val="18"/>
          <w:lang w:eastAsia="en-AU"/>
        </w:rPr>
      </w:pPr>
    </w:p>
    <w:p w14:paraId="434C95A7" w14:textId="6C15F19F" w:rsidR="00361746" w:rsidRDefault="00361746" w:rsidP="00C55038">
      <w:pPr>
        <w:rPr>
          <w:rFonts w:ascii="Meta Pro" w:eastAsia="Times New Roman" w:hAnsi="Meta Pro"/>
          <w:i/>
          <w:iCs/>
          <w:color w:val="000000"/>
          <w:szCs w:val="18"/>
          <w:lang w:eastAsia="en-AU"/>
        </w:rPr>
      </w:pPr>
    </w:p>
    <w:p w14:paraId="20E34551" w14:textId="49E70546" w:rsidR="00361746" w:rsidRDefault="00361746" w:rsidP="00C55038">
      <w:pPr>
        <w:rPr>
          <w:rFonts w:ascii="Meta Pro" w:eastAsia="Times New Roman" w:hAnsi="Meta Pro"/>
          <w:i/>
          <w:iCs/>
          <w:color w:val="000000"/>
          <w:szCs w:val="18"/>
          <w:lang w:eastAsia="en-AU"/>
        </w:rPr>
      </w:pPr>
    </w:p>
    <w:p w14:paraId="3EC227E5" w14:textId="39815163" w:rsidR="00361746" w:rsidRDefault="00361746" w:rsidP="00C55038">
      <w:pPr>
        <w:rPr>
          <w:rFonts w:ascii="Meta Pro" w:eastAsia="Times New Roman" w:hAnsi="Meta Pro"/>
          <w:i/>
          <w:iCs/>
          <w:color w:val="000000"/>
          <w:szCs w:val="18"/>
          <w:lang w:eastAsia="en-AU"/>
        </w:rPr>
      </w:pPr>
    </w:p>
    <w:p w14:paraId="311C0A99" w14:textId="77777777" w:rsidR="00361746" w:rsidRDefault="00361746" w:rsidP="00C55038">
      <w:pPr>
        <w:rPr>
          <w:rFonts w:ascii="Meta Pro" w:eastAsia="Times New Roman" w:hAnsi="Meta Pro"/>
          <w:i/>
          <w:iCs/>
          <w:color w:val="000000"/>
          <w:szCs w:val="18"/>
          <w:lang w:eastAsia="en-AU"/>
        </w:rPr>
      </w:pPr>
    </w:p>
    <w:p w14:paraId="75EA0E4D" w14:textId="2F339A8F" w:rsidR="00490837" w:rsidRDefault="00490837" w:rsidP="00C55038">
      <w:pPr>
        <w:rPr>
          <w:rFonts w:ascii="Meta Pro" w:eastAsia="Times New Roman" w:hAnsi="Meta Pro"/>
          <w:i/>
          <w:iCs/>
          <w:color w:val="000000"/>
          <w:szCs w:val="18"/>
          <w:lang w:eastAsia="en-AU"/>
        </w:rPr>
      </w:pPr>
    </w:p>
    <w:p w14:paraId="69BD19B7" w14:textId="16908369" w:rsidR="00490837" w:rsidRDefault="00490837" w:rsidP="00C55038">
      <w:pPr>
        <w:rPr>
          <w:rFonts w:ascii="Meta Pro" w:eastAsia="Times New Roman" w:hAnsi="Meta Pro"/>
          <w:i/>
          <w:iCs/>
          <w:color w:val="000000"/>
          <w:szCs w:val="18"/>
          <w:lang w:eastAsia="en-AU"/>
        </w:rPr>
      </w:pPr>
    </w:p>
    <w:p w14:paraId="0F68B0AF" w14:textId="77777777" w:rsidR="00490837" w:rsidRPr="00092B22" w:rsidRDefault="00490837" w:rsidP="00C55038">
      <w:pPr>
        <w:rPr>
          <w:rFonts w:ascii="Meta Pro" w:eastAsia="Times New Roman" w:hAnsi="Meta Pro"/>
          <w:i/>
          <w:iCs/>
          <w:color w:val="000000"/>
          <w:szCs w:val="18"/>
          <w:lang w:eastAsia="en-AU"/>
        </w:rPr>
      </w:pPr>
    </w:p>
    <w:p w14:paraId="492BBC34" w14:textId="77777777" w:rsidR="00C55038" w:rsidRPr="00092B22" w:rsidRDefault="00C55038" w:rsidP="00C55038">
      <w:pPr>
        <w:spacing w:after="160" w:line="259" w:lineRule="auto"/>
        <w:rPr>
          <w:rFonts w:ascii="Meta Pro" w:eastAsia="Times New Roman" w:hAnsi="Meta Pro"/>
          <w:i/>
          <w:iCs/>
          <w:color w:val="000000"/>
          <w:szCs w:val="18"/>
          <w:lang w:eastAsia="en-AU"/>
        </w:rPr>
      </w:pPr>
      <w:r w:rsidRPr="00092B22">
        <w:rPr>
          <w:rFonts w:ascii="Meta Pro" w:eastAsia="Times New Roman" w:hAnsi="Meta Pro"/>
          <w:i/>
          <w:iCs/>
          <w:color w:val="000000"/>
          <w:szCs w:val="18"/>
          <w:lang w:eastAsia="en-AU"/>
        </w:rPr>
        <w:br w:type="page"/>
      </w:r>
    </w:p>
    <w:p w14:paraId="6EDADADA" w14:textId="77777777" w:rsidR="00816A81" w:rsidRDefault="00816A81" w:rsidP="00834804">
      <w:pPr>
        <w:sectPr w:rsidR="00816A81" w:rsidSect="00816A81">
          <w:pgSz w:w="16838" w:h="11906" w:orient="landscape" w:code="9"/>
          <w:pgMar w:top="1418" w:right="1418" w:bottom="1418" w:left="1418" w:header="454" w:footer="454" w:gutter="0"/>
          <w:cols w:space="708"/>
          <w:titlePg/>
          <w:docGrid w:linePitch="360"/>
        </w:sectPr>
      </w:pPr>
    </w:p>
    <w:tbl>
      <w:tblPr>
        <w:tblW w:w="0" w:type="auto"/>
        <w:tblLayout w:type="fixed"/>
        <w:tblCellMar>
          <w:left w:w="0" w:type="dxa"/>
        </w:tblCellMar>
        <w:tblLook w:val="04A0" w:firstRow="1" w:lastRow="0" w:firstColumn="1" w:lastColumn="0" w:noHBand="0" w:noVBand="1"/>
      </w:tblPr>
      <w:tblGrid>
        <w:gridCol w:w="216"/>
        <w:gridCol w:w="4848"/>
        <w:gridCol w:w="368"/>
        <w:gridCol w:w="368"/>
        <w:gridCol w:w="596"/>
        <w:gridCol w:w="1514"/>
        <w:gridCol w:w="216"/>
        <w:gridCol w:w="1514"/>
      </w:tblGrid>
      <w:tr w:rsidR="008B1750" w:rsidRPr="00A52F13" w14:paraId="626A3BEE" w14:textId="77777777" w:rsidTr="00E607DA">
        <w:trPr>
          <w:trHeight w:val="240"/>
        </w:trPr>
        <w:tc>
          <w:tcPr>
            <w:tcW w:w="216" w:type="dxa"/>
            <w:tcBorders>
              <w:top w:val="nil"/>
              <w:left w:val="nil"/>
              <w:bottom w:val="nil"/>
              <w:right w:val="nil"/>
            </w:tcBorders>
            <w:shd w:val="clear" w:color="auto" w:fill="auto"/>
            <w:noWrap/>
            <w:vAlign w:val="center"/>
            <w:hideMark/>
          </w:tcPr>
          <w:p w14:paraId="24437C6C" w14:textId="77777777" w:rsidR="008B1750" w:rsidRPr="00A52F13" w:rsidRDefault="008B1750" w:rsidP="00E607DA">
            <w:pPr>
              <w:rPr>
                <w:rFonts w:eastAsia="Times New Roman" w:cs="Times New Roman"/>
                <w:sz w:val="24"/>
                <w:szCs w:val="24"/>
                <w:lang w:eastAsia="en-AU"/>
              </w:rPr>
            </w:pPr>
          </w:p>
        </w:tc>
        <w:tc>
          <w:tcPr>
            <w:tcW w:w="4848" w:type="dxa"/>
            <w:tcBorders>
              <w:top w:val="nil"/>
              <w:left w:val="nil"/>
              <w:bottom w:val="nil"/>
              <w:right w:val="nil"/>
            </w:tcBorders>
            <w:shd w:val="clear" w:color="auto" w:fill="auto"/>
            <w:noWrap/>
            <w:vAlign w:val="center"/>
            <w:hideMark/>
          </w:tcPr>
          <w:p w14:paraId="4C08F0BC" w14:textId="77777777" w:rsidR="008B1750" w:rsidRPr="00A52F13" w:rsidRDefault="008B1750" w:rsidP="00E607DA">
            <w:pPr>
              <w:rPr>
                <w:rFonts w:eastAsia="Times New Roman" w:cs="Times New Roman"/>
                <w:sz w:val="20"/>
                <w:szCs w:val="20"/>
                <w:lang w:eastAsia="en-AU"/>
              </w:rPr>
            </w:pPr>
          </w:p>
        </w:tc>
        <w:tc>
          <w:tcPr>
            <w:tcW w:w="736" w:type="dxa"/>
            <w:gridSpan w:val="2"/>
            <w:tcBorders>
              <w:top w:val="nil"/>
              <w:left w:val="nil"/>
              <w:bottom w:val="nil"/>
              <w:right w:val="nil"/>
            </w:tcBorders>
            <w:shd w:val="clear" w:color="auto" w:fill="auto"/>
            <w:noWrap/>
            <w:vAlign w:val="center"/>
            <w:hideMark/>
          </w:tcPr>
          <w:p w14:paraId="0E082A4D" w14:textId="77777777" w:rsidR="008B1750" w:rsidRPr="00A52F13" w:rsidRDefault="008B1750" w:rsidP="00E607DA">
            <w:pPr>
              <w:jc w:val="center"/>
              <w:rPr>
                <w:rFonts w:ascii="Meta Pro" w:eastAsia="Times New Roman" w:hAnsi="Meta Pro"/>
                <w:b/>
                <w:bCs/>
                <w:color w:val="000000"/>
                <w:lang w:eastAsia="en-AU"/>
              </w:rPr>
            </w:pPr>
            <w:r w:rsidRPr="00A52F13">
              <w:rPr>
                <w:rFonts w:ascii="Meta Pro" w:eastAsia="Times New Roman" w:hAnsi="Meta Pro"/>
                <w:b/>
                <w:bCs/>
                <w:color w:val="000000"/>
                <w:lang w:eastAsia="en-AU"/>
              </w:rPr>
              <w:t>Note</w:t>
            </w:r>
          </w:p>
        </w:tc>
        <w:tc>
          <w:tcPr>
            <w:tcW w:w="596" w:type="dxa"/>
            <w:tcBorders>
              <w:top w:val="nil"/>
              <w:left w:val="nil"/>
              <w:bottom w:val="nil"/>
              <w:right w:val="nil"/>
            </w:tcBorders>
            <w:shd w:val="clear" w:color="auto" w:fill="auto"/>
            <w:noWrap/>
            <w:vAlign w:val="center"/>
            <w:hideMark/>
          </w:tcPr>
          <w:p w14:paraId="6A4B82D1" w14:textId="77777777" w:rsidR="008B1750" w:rsidRPr="00A52F13" w:rsidRDefault="008B1750" w:rsidP="00E607DA">
            <w:pPr>
              <w:jc w:val="center"/>
              <w:rPr>
                <w:rFonts w:ascii="Meta Pro" w:eastAsia="Times New Roman" w:hAnsi="Meta Pro"/>
                <w:b/>
                <w:bCs/>
                <w:color w:val="000000"/>
                <w:lang w:eastAsia="en-AU"/>
              </w:rPr>
            </w:pPr>
          </w:p>
        </w:tc>
        <w:tc>
          <w:tcPr>
            <w:tcW w:w="1514" w:type="dxa"/>
            <w:tcBorders>
              <w:top w:val="nil"/>
              <w:left w:val="nil"/>
              <w:bottom w:val="nil"/>
              <w:right w:val="nil"/>
            </w:tcBorders>
            <w:shd w:val="clear" w:color="auto" w:fill="auto"/>
            <w:noWrap/>
            <w:vAlign w:val="center"/>
            <w:hideMark/>
          </w:tcPr>
          <w:p w14:paraId="6DE68AA1" w14:textId="77777777" w:rsidR="008B1750" w:rsidRPr="00A52F13" w:rsidRDefault="008B1750" w:rsidP="00E607DA">
            <w:pPr>
              <w:jc w:val="center"/>
              <w:rPr>
                <w:rFonts w:ascii="Meta Pro" w:eastAsia="Times New Roman" w:hAnsi="Meta Pro"/>
                <w:b/>
                <w:bCs/>
                <w:lang w:eastAsia="en-AU"/>
              </w:rPr>
            </w:pPr>
            <w:r w:rsidRPr="00A52F13">
              <w:rPr>
                <w:rFonts w:ascii="Meta Pro" w:eastAsia="Times New Roman" w:hAnsi="Meta Pro"/>
                <w:b/>
                <w:bCs/>
                <w:lang w:eastAsia="en-AU"/>
              </w:rPr>
              <w:t>2022</w:t>
            </w:r>
          </w:p>
        </w:tc>
        <w:tc>
          <w:tcPr>
            <w:tcW w:w="216" w:type="dxa"/>
            <w:tcBorders>
              <w:top w:val="nil"/>
              <w:left w:val="nil"/>
              <w:bottom w:val="nil"/>
              <w:right w:val="nil"/>
            </w:tcBorders>
            <w:shd w:val="clear" w:color="auto" w:fill="auto"/>
            <w:noWrap/>
            <w:vAlign w:val="center"/>
            <w:hideMark/>
          </w:tcPr>
          <w:p w14:paraId="4061223F" w14:textId="77777777" w:rsidR="008B1750" w:rsidRPr="00A52F13" w:rsidRDefault="008B1750" w:rsidP="00E607DA">
            <w:pPr>
              <w:jc w:val="center"/>
              <w:rPr>
                <w:rFonts w:ascii="Meta Pro" w:eastAsia="Times New Roman" w:hAnsi="Meta Pro"/>
                <w:b/>
                <w:bCs/>
                <w:lang w:eastAsia="en-AU"/>
              </w:rPr>
            </w:pPr>
          </w:p>
        </w:tc>
        <w:tc>
          <w:tcPr>
            <w:tcW w:w="1514" w:type="dxa"/>
            <w:tcBorders>
              <w:top w:val="nil"/>
              <w:left w:val="nil"/>
              <w:bottom w:val="nil"/>
              <w:right w:val="nil"/>
            </w:tcBorders>
            <w:shd w:val="clear" w:color="auto" w:fill="auto"/>
            <w:noWrap/>
            <w:vAlign w:val="center"/>
            <w:hideMark/>
          </w:tcPr>
          <w:p w14:paraId="696BAA1E" w14:textId="77777777" w:rsidR="008B1750" w:rsidRPr="00A52F13" w:rsidRDefault="008B1750" w:rsidP="00E607DA">
            <w:pPr>
              <w:jc w:val="center"/>
              <w:rPr>
                <w:rFonts w:ascii="Meta Pro" w:eastAsia="Times New Roman" w:hAnsi="Meta Pro"/>
                <w:b/>
                <w:bCs/>
                <w:lang w:eastAsia="en-AU"/>
              </w:rPr>
            </w:pPr>
            <w:r w:rsidRPr="00A52F13">
              <w:rPr>
                <w:rFonts w:ascii="Meta Pro" w:eastAsia="Times New Roman" w:hAnsi="Meta Pro"/>
                <w:b/>
                <w:bCs/>
                <w:lang w:eastAsia="en-AU"/>
              </w:rPr>
              <w:t>2021</w:t>
            </w:r>
          </w:p>
        </w:tc>
      </w:tr>
      <w:tr w:rsidR="008B1750" w:rsidRPr="00A52F13" w14:paraId="30CBB5CD" w14:textId="77777777" w:rsidTr="00E607DA">
        <w:trPr>
          <w:trHeight w:val="240"/>
        </w:trPr>
        <w:tc>
          <w:tcPr>
            <w:tcW w:w="216" w:type="dxa"/>
            <w:tcBorders>
              <w:top w:val="nil"/>
              <w:left w:val="nil"/>
              <w:bottom w:val="nil"/>
              <w:right w:val="nil"/>
            </w:tcBorders>
            <w:shd w:val="clear" w:color="auto" w:fill="auto"/>
            <w:noWrap/>
            <w:vAlign w:val="center"/>
            <w:hideMark/>
          </w:tcPr>
          <w:p w14:paraId="2089FD0B" w14:textId="77777777" w:rsidR="008B1750" w:rsidRPr="00A52F13" w:rsidRDefault="008B1750" w:rsidP="00E607DA">
            <w:pPr>
              <w:jc w:val="center"/>
              <w:rPr>
                <w:rFonts w:ascii="Meta Pro" w:eastAsia="Times New Roman" w:hAnsi="Meta Pro"/>
                <w:b/>
                <w:bCs/>
                <w:lang w:eastAsia="en-AU"/>
              </w:rPr>
            </w:pPr>
          </w:p>
        </w:tc>
        <w:tc>
          <w:tcPr>
            <w:tcW w:w="4848" w:type="dxa"/>
            <w:tcBorders>
              <w:top w:val="nil"/>
              <w:left w:val="nil"/>
              <w:bottom w:val="nil"/>
              <w:right w:val="nil"/>
            </w:tcBorders>
            <w:shd w:val="clear" w:color="auto" w:fill="auto"/>
            <w:noWrap/>
            <w:vAlign w:val="center"/>
            <w:hideMark/>
          </w:tcPr>
          <w:p w14:paraId="68BD51D4" w14:textId="77777777" w:rsidR="008B1750" w:rsidRPr="00A52F13" w:rsidRDefault="008B1750" w:rsidP="00E607DA">
            <w:pPr>
              <w:rPr>
                <w:rFonts w:eastAsia="Times New Roman" w:cs="Times New Roman"/>
                <w:sz w:val="20"/>
                <w:szCs w:val="20"/>
                <w:lang w:eastAsia="en-AU"/>
              </w:rPr>
            </w:pPr>
          </w:p>
        </w:tc>
        <w:tc>
          <w:tcPr>
            <w:tcW w:w="736" w:type="dxa"/>
            <w:gridSpan w:val="2"/>
            <w:tcBorders>
              <w:top w:val="nil"/>
              <w:left w:val="nil"/>
              <w:bottom w:val="nil"/>
              <w:right w:val="nil"/>
            </w:tcBorders>
            <w:shd w:val="clear" w:color="auto" w:fill="auto"/>
            <w:noWrap/>
            <w:vAlign w:val="center"/>
            <w:hideMark/>
          </w:tcPr>
          <w:p w14:paraId="41F9331E" w14:textId="77777777" w:rsidR="008B1750" w:rsidRPr="00A52F13" w:rsidRDefault="008B1750" w:rsidP="00E607DA">
            <w:pPr>
              <w:rPr>
                <w:rFonts w:eastAsia="Times New Roman" w:cs="Times New Roman"/>
                <w:sz w:val="20"/>
                <w:szCs w:val="20"/>
                <w:lang w:eastAsia="en-AU"/>
              </w:rPr>
            </w:pPr>
          </w:p>
        </w:tc>
        <w:tc>
          <w:tcPr>
            <w:tcW w:w="596" w:type="dxa"/>
            <w:tcBorders>
              <w:top w:val="nil"/>
              <w:left w:val="nil"/>
              <w:bottom w:val="nil"/>
              <w:right w:val="nil"/>
            </w:tcBorders>
            <w:shd w:val="clear" w:color="auto" w:fill="auto"/>
            <w:noWrap/>
            <w:vAlign w:val="center"/>
            <w:hideMark/>
          </w:tcPr>
          <w:p w14:paraId="102ADE78" w14:textId="77777777" w:rsidR="008B1750" w:rsidRPr="00A52F13" w:rsidRDefault="008B1750" w:rsidP="00E607DA">
            <w:pPr>
              <w:jc w:val="center"/>
              <w:rPr>
                <w:rFonts w:eastAsia="Times New Roman"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57A54988" w14:textId="77777777" w:rsidR="008B1750" w:rsidRPr="00A52F13" w:rsidRDefault="008B1750" w:rsidP="00E607DA">
            <w:pPr>
              <w:jc w:val="center"/>
              <w:rPr>
                <w:rFonts w:ascii="Meta Pro" w:eastAsia="Times New Roman" w:hAnsi="Meta Pro"/>
                <w:b/>
                <w:bCs/>
                <w:color w:val="000000"/>
                <w:lang w:eastAsia="en-AU"/>
              </w:rPr>
            </w:pPr>
            <w:r w:rsidRPr="00A52F13">
              <w:rPr>
                <w:rFonts w:ascii="Meta Pro" w:eastAsia="Times New Roman" w:hAnsi="Meta Pro"/>
                <w:b/>
                <w:bCs/>
                <w:color w:val="000000"/>
                <w:lang w:eastAsia="en-AU"/>
              </w:rPr>
              <w:t>$'000</w:t>
            </w:r>
          </w:p>
        </w:tc>
        <w:tc>
          <w:tcPr>
            <w:tcW w:w="216" w:type="dxa"/>
            <w:tcBorders>
              <w:top w:val="nil"/>
              <w:left w:val="nil"/>
              <w:bottom w:val="nil"/>
              <w:right w:val="nil"/>
            </w:tcBorders>
            <w:shd w:val="clear" w:color="auto" w:fill="auto"/>
            <w:noWrap/>
            <w:vAlign w:val="center"/>
            <w:hideMark/>
          </w:tcPr>
          <w:p w14:paraId="7B02B920" w14:textId="77777777" w:rsidR="008B1750" w:rsidRPr="00A52F13" w:rsidRDefault="008B1750" w:rsidP="00E607DA">
            <w:pPr>
              <w:jc w:val="center"/>
              <w:rPr>
                <w:rFonts w:ascii="Meta Pro" w:eastAsia="Times New Roman" w:hAnsi="Meta Pro"/>
                <w:b/>
                <w:bCs/>
                <w:color w:val="000000"/>
                <w:lang w:eastAsia="en-AU"/>
              </w:rPr>
            </w:pPr>
          </w:p>
        </w:tc>
        <w:tc>
          <w:tcPr>
            <w:tcW w:w="1514" w:type="dxa"/>
            <w:tcBorders>
              <w:top w:val="nil"/>
              <w:left w:val="nil"/>
              <w:bottom w:val="nil"/>
              <w:right w:val="nil"/>
            </w:tcBorders>
            <w:shd w:val="clear" w:color="auto" w:fill="auto"/>
            <w:noWrap/>
            <w:vAlign w:val="center"/>
            <w:hideMark/>
          </w:tcPr>
          <w:p w14:paraId="3284EED8" w14:textId="77777777" w:rsidR="008B1750" w:rsidRPr="00A52F13" w:rsidRDefault="008B1750" w:rsidP="00E607DA">
            <w:pPr>
              <w:jc w:val="center"/>
              <w:rPr>
                <w:rFonts w:ascii="Meta Pro" w:eastAsia="Times New Roman" w:hAnsi="Meta Pro"/>
                <w:b/>
                <w:bCs/>
                <w:color w:val="000000"/>
                <w:lang w:eastAsia="en-AU"/>
              </w:rPr>
            </w:pPr>
            <w:r w:rsidRPr="00A52F13">
              <w:rPr>
                <w:rFonts w:ascii="Meta Pro" w:eastAsia="Times New Roman" w:hAnsi="Meta Pro"/>
                <w:b/>
                <w:bCs/>
                <w:color w:val="000000"/>
                <w:lang w:eastAsia="en-AU"/>
              </w:rPr>
              <w:t>$'000</w:t>
            </w:r>
          </w:p>
        </w:tc>
      </w:tr>
      <w:tr w:rsidR="008B1750" w:rsidRPr="00A52F13" w14:paraId="560F6745" w14:textId="77777777" w:rsidTr="00E607DA">
        <w:trPr>
          <w:trHeight w:val="240"/>
        </w:trPr>
        <w:tc>
          <w:tcPr>
            <w:tcW w:w="4848" w:type="dxa"/>
            <w:gridSpan w:val="2"/>
            <w:tcBorders>
              <w:top w:val="nil"/>
              <w:left w:val="nil"/>
              <w:bottom w:val="nil"/>
              <w:right w:val="nil"/>
            </w:tcBorders>
            <w:shd w:val="clear" w:color="auto" w:fill="auto"/>
            <w:noWrap/>
            <w:vAlign w:val="center"/>
            <w:hideMark/>
          </w:tcPr>
          <w:p w14:paraId="120A5171" w14:textId="77777777" w:rsidR="008B1750" w:rsidRPr="00A52F13" w:rsidRDefault="008B1750" w:rsidP="00E607DA">
            <w:pPr>
              <w:rPr>
                <w:rFonts w:ascii="Meta Pro" w:eastAsia="Times New Roman" w:hAnsi="Meta Pro"/>
                <w:b/>
                <w:bCs/>
                <w:color w:val="000000"/>
                <w:szCs w:val="18"/>
                <w:lang w:eastAsia="en-AU"/>
              </w:rPr>
            </w:pPr>
            <w:r w:rsidRPr="00A52F13">
              <w:rPr>
                <w:rFonts w:ascii="Meta Pro" w:eastAsia="Times New Roman" w:hAnsi="Meta Pro"/>
                <w:b/>
                <w:bCs/>
                <w:color w:val="000000"/>
                <w:szCs w:val="18"/>
                <w:lang w:eastAsia="en-AU"/>
              </w:rPr>
              <w:t>Contributed equity</w:t>
            </w:r>
          </w:p>
        </w:tc>
        <w:tc>
          <w:tcPr>
            <w:tcW w:w="736" w:type="dxa"/>
            <w:gridSpan w:val="2"/>
            <w:tcBorders>
              <w:top w:val="nil"/>
              <w:left w:val="nil"/>
              <w:bottom w:val="nil"/>
              <w:right w:val="nil"/>
            </w:tcBorders>
            <w:shd w:val="clear" w:color="auto" w:fill="auto"/>
            <w:noWrap/>
            <w:vAlign w:val="center"/>
            <w:hideMark/>
          </w:tcPr>
          <w:p w14:paraId="30E318F8" w14:textId="77777777" w:rsidR="008B1750" w:rsidRPr="00A52F13" w:rsidRDefault="008B1750" w:rsidP="00E607DA">
            <w:pPr>
              <w:rPr>
                <w:rFonts w:ascii="Meta Pro" w:eastAsia="Times New Roman" w:hAnsi="Meta Pro"/>
                <w:b/>
                <w:bCs/>
                <w:color w:val="000000"/>
                <w:szCs w:val="18"/>
                <w:lang w:eastAsia="en-AU"/>
              </w:rPr>
            </w:pPr>
          </w:p>
        </w:tc>
        <w:tc>
          <w:tcPr>
            <w:tcW w:w="596" w:type="dxa"/>
            <w:tcBorders>
              <w:top w:val="nil"/>
              <w:left w:val="nil"/>
              <w:bottom w:val="nil"/>
              <w:right w:val="nil"/>
            </w:tcBorders>
            <w:shd w:val="clear" w:color="auto" w:fill="auto"/>
            <w:noWrap/>
            <w:vAlign w:val="center"/>
            <w:hideMark/>
          </w:tcPr>
          <w:p w14:paraId="1341AF6C" w14:textId="77777777" w:rsidR="008B1750" w:rsidRPr="00A52F13" w:rsidRDefault="008B1750" w:rsidP="00E607DA">
            <w:pPr>
              <w:jc w:val="center"/>
              <w:rPr>
                <w:rFonts w:eastAsia="Times New Roman"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59F38718" w14:textId="77777777" w:rsidR="008B1750" w:rsidRPr="00A52F13" w:rsidRDefault="008B1750" w:rsidP="00E607DA">
            <w:pPr>
              <w:rPr>
                <w:rFonts w:eastAsia="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6E927AC8" w14:textId="77777777" w:rsidR="008B1750" w:rsidRPr="00A52F13" w:rsidRDefault="008B1750" w:rsidP="00E607DA">
            <w:pPr>
              <w:rPr>
                <w:rFonts w:eastAsia="Times New Roman"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047D4D69" w14:textId="77777777" w:rsidR="008B1750" w:rsidRPr="00A52F13" w:rsidRDefault="008B1750" w:rsidP="00E607DA">
            <w:pPr>
              <w:rPr>
                <w:rFonts w:eastAsia="Times New Roman" w:cs="Times New Roman"/>
                <w:sz w:val="20"/>
                <w:szCs w:val="20"/>
                <w:lang w:eastAsia="en-AU"/>
              </w:rPr>
            </w:pPr>
          </w:p>
        </w:tc>
      </w:tr>
      <w:tr w:rsidR="008B1750" w:rsidRPr="00A52F13" w14:paraId="2D552322" w14:textId="77777777" w:rsidTr="00E607DA">
        <w:trPr>
          <w:trHeight w:val="240"/>
        </w:trPr>
        <w:tc>
          <w:tcPr>
            <w:tcW w:w="4848" w:type="dxa"/>
            <w:gridSpan w:val="2"/>
            <w:tcBorders>
              <w:top w:val="nil"/>
              <w:left w:val="nil"/>
              <w:bottom w:val="nil"/>
              <w:right w:val="nil"/>
            </w:tcBorders>
            <w:shd w:val="clear" w:color="auto" w:fill="auto"/>
            <w:noWrap/>
            <w:vAlign w:val="center"/>
            <w:hideMark/>
          </w:tcPr>
          <w:p w14:paraId="27F9AFC3" w14:textId="77777777" w:rsidR="008B1750" w:rsidRPr="00A52F13" w:rsidRDefault="008B1750" w:rsidP="00E607DA">
            <w:pPr>
              <w:rPr>
                <w:rFonts w:ascii="Meta Pro" w:eastAsia="Times New Roman" w:hAnsi="Meta Pro"/>
                <w:color w:val="000000"/>
                <w:szCs w:val="18"/>
                <w:lang w:eastAsia="en-AU"/>
              </w:rPr>
            </w:pPr>
            <w:r w:rsidRPr="00A52F13">
              <w:rPr>
                <w:rFonts w:ascii="Meta Pro" w:eastAsia="Times New Roman" w:hAnsi="Meta Pro"/>
                <w:color w:val="000000"/>
                <w:szCs w:val="18"/>
                <w:lang w:eastAsia="en-AU"/>
              </w:rPr>
              <w:t xml:space="preserve">Opening balance </w:t>
            </w:r>
          </w:p>
        </w:tc>
        <w:tc>
          <w:tcPr>
            <w:tcW w:w="736" w:type="dxa"/>
            <w:gridSpan w:val="2"/>
            <w:tcBorders>
              <w:top w:val="nil"/>
              <w:left w:val="nil"/>
              <w:bottom w:val="nil"/>
              <w:right w:val="nil"/>
            </w:tcBorders>
            <w:shd w:val="clear" w:color="auto" w:fill="auto"/>
            <w:noWrap/>
            <w:vAlign w:val="center"/>
            <w:hideMark/>
          </w:tcPr>
          <w:p w14:paraId="30D8A2AF" w14:textId="77777777" w:rsidR="008B1750" w:rsidRPr="00A52F13" w:rsidRDefault="008B1750" w:rsidP="00E607DA">
            <w:pPr>
              <w:rPr>
                <w:rFonts w:ascii="Meta Pro" w:eastAsia="Times New Roman" w:hAnsi="Meta Pro"/>
                <w:color w:val="000000"/>
                <w:szCs w:val="18"/>
                <w:lang w:eastAsia="en-AU"/>
              </w:rPr>
            </w:pPr>
          </w:p>
        </w:tc>
        <w:tc>
          <w:tcPr>
            <w:tcW w:w="596" w:type="dxa"/>
            <w:tcBorders>
              <w:top w:val="nil"/>
              <w:left w:val="nil"/>
              <w:bottom w:val="nil"/>
              <w:right w:val="nil"/>
            </w:tcBorders>
            <w:shd w:val="clear" w:color="auto" w:fill="auto"/>
            <w:noWrap/>
            <w:vAlign w:val="center"/>
            <w:hideMark/>
          </w:tcPr>
          <w:p w14:paraId="01E5DB0F" w14:textId="77777777" w:rsidR="008B1750" w:rsidRPr="00A52F13" w:rsidRDefault="008B1750" w:rsidP="00E607DA">
            <w:pPr>
              <w:jc w:val="center"/>
              <w:rPr>
                <w:rFonts w:eastAsia="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6A118CDD" w14:textId="77777777" w:rsidR="008B1750" w:rsidRPr="00A52F13" w:rsidRDefault="008B1750" w:rsidP="00E607DA">
            <w:pPr>
              <w:jc w:val="right"/>
              <w:rPr>
                <w:rFonts w:ascii="Meta Pro" w:eastAsia="Times New Roman" w:hAnsi="Meta Pro"/>
                <w:color w:val="000000"/>
                <w:szCs w:val="18"/>
                <w:lang w:eastAsia="en-AU"/>
              </w:rPr>
            </w:pPr>
            <w:r w:rsidRPr="00A52F13">
              <w:rPr>
                <w:rFonts w:ascii="Meta Pro" w:eastAsia="Times New Roman" w:hAnsi="Meta Pro"/>
                <w:color w:val="000000"/>
                <w:szCs w:val="18"/>
                <w:lang w:eastAsia="en-AU"/>
              </w:rPr>
              <w:t xml:space="preserve">            63,271,312 </w:t>
            </w:r>
          </w:p>
        </w:tc>
        <w:tc>
          <w:tcPr>
            <w:tcW w:w="216" w:type="dxa"/>
            <w:tcBorders>
              <w:top w:val="nil"/>
              <w:left w:val="nil"/>
              <w:bottom w:val="nil"/>
              <w:right w:val="nil"/>
            </w:tcBorders>
            <w:shd w:val="clear" w:color="auto" w:fill="auto"/>
            <w:noWrap/>
            <w:vAlign w:val="center"/>
            <w:hideMark/>
          </w:tcPr>
          <w:p w14:paraId="3E55DFE4" w14:textId="77777777" w:rsidR="008B1750" w:rsidRPr="00A52F13" w:rsidRDefault="008B1750"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7F7B03FE" w14:textId="77777777" w:rsidR="008B1750" w:rsidRPr="00A52F13" w:rsidRDefault="008B1750" w:rsidP="00E607DA">
            <w:pPr>
              <w:jc w:val="right"/>
              <w:rPr>
                <w:rFonts w:ascii="Meta Pro" w:eastAsia="Times New Roman" w:hAnsi="Meta Pro"/>
                <w:color w:val="000000"/>
                <w:szCs w:val="18"/>
                <w:lang w:eastAsia="en-AU"/>
              </w:rPr>
            </w:pPr>
            <w:r w:rsidRPr="00A52F13">
              <w:rPr>
                <w:rFonts w:ascii="Meta Pro" w:eastAsia="Times New Roman" w:hAnsi="Meta Pro"/>
                <w:color w:val="000000"/>
                <w:szCs w:val="18"/>
                <w:lang w:eastAsia="en-AU"/>
              </w:rPr>
              <w:t xml:space="preserve">          60,908,788 </w:t>
            </w:r>
          </w:p>
        </w:tc>
      </w:tr>
      <w:tr w:rsidR="008B1750" w:rsidRPr="00A52F13" w14:paraId="19A2A308" w14:textId="77777777" w:rsidTr="00E607DA">
        <w:trPr>
          <w:trHeight w:val="240"/>
        </w:trPr>
        <w:tc>
          <w:tcPr>
            <w:tcW w:w="4848" w:type="dxa"/>
            <w:gridSpan w:val="2"/>
            <w:tcBorders>
              <w:top w:val="nil"/>
              <w:left w:val="nil"/>
              <w:bottom w:val="nil"/>
              <w:right w:val="nil"/>
            </w:tcBorders>
            <w:shd w:val="clear" w:color="auto" w:fill="auto"/>
            <w:noWrap/>
            <w:vAlign w:val="center"/>
            <w:hideMark/>
          </w:tcPr>
          <w:p w14:paraId="36318C92" w14:textId="77777777" w:rsidR="008B1750" w:rsidRPr="00A52F13" w:rsidRDefault="008B1750" w:rsidP="00E607DA">
            <w:pPr>
              <w:rPr>
                <w:rFonts w:ascii="Meta Pro" w:eastAsia="Times New Roman" w:hAnsi="Meta Pro"/>
                <w:color w:val="000000"/>
                <w:szCs w:val="18"/>
                <w:lang w:eastAsia="en-AU"/>
              </w:rPr>
            </w:pPr>
            <w:r w:rsidRPr="00A52F13">
              <w:rPr>
                <w:rFonts w:ascii="Meta Pro" w:eastAsia="Times New Roman" w:hAnsi="Meta Pro"/>
                <w:color w:val="000000"/>
                <w:szCs w:val="18"/>
                <w:lang w:eastAsia="en-AU"/>
              </w:rPr>
              <w:t>Transactions with owners as owners:</w:t>
            </w:r>
          </w:p>
        </w:tc>
        <w:tc>
          <w:tcPr>
            <w:tcW w:w="736" w:type="dxa"/>
            <w:gridSpan w:val="2"/>
            <w:tcBorders>
              <w:top w:val="nil"/>
              <w:left w:val="nil"/>
              <w:bottom w:val="nil"/>
              <w:right w:val="nil"/>
            </w:tcBorders>
            <w:shd w:val="clear" w:color="auto" w:fill="auto"/>
            <w:noWrap/>
            <w:vAlign w:val="center"/>
            <w:hideMark/>
          </w:tcPr>
          <w:p w14:paraId="25EA7FE1" w14:textId="77777777" w:rsidR="008B1750" w:rsidRPr="00A52F13" w:rsidRDefault="008B1750" w:rsidP="00E607DA">
            <w:pPr>
              <w:rPr>
                <w:rFonts w:ascii="Meta Pro" w:eastAsia="Times New Roman" w:hAnsi="Meta Pro"/>
                <w:color w:val="000000"/>
                <w:szCs w:val="18"/>
                <w:lang w:eastAsia="en-AU"/>
              </w:rPr>
            </w:pPr>
          </w:p>
        </w:tc>
        <w:tc>
          <w:tcPr>
            <w:tcW w:w="596" w:type="dxa"/>
            <w:tcBorders>
              <w:top w:val="nil"/>
              <w:left w:val="nil"/>
              <w:bottom w:val="nil"/>
              <w:right w:val="nil"/>
            </w:tcBorders>
            <w:shd w:val="clear" w:color="auto" w:fill="auto"/>
            <w:noWrap/>
            <w:vAlign w:val="center"/>
            <w:hideMark/>
          </w:tcPr>
          <w:p w14:paraId="30388F1D" w14:textId="77777777" w:rsidR="008B1750" w:rsidRPr="00A52F13" w:rsidRDefault="008B1750" w:rsidP="00E607DA">
            <w:pPr>
              <w:jc w:val="center"/>
              <w:rPr>
                <w:rFonts w:eastAsia="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04D7241B" w14:textId="77777777" w:rsidR="008B1750" w:rsidRPr="00A52F13" w:rsidRDefault="008B1750" w:rsidP="00E607DA">
            <w:pPr>
              <w:jc w:val="right"/>
              <w:rPr>
                <w:rFonts w:ascii="Meta Pro" w:eastAsia="Times New Roman" w:hAnsi="Meta Pro"/>
                <w:color w:val="000000"/>
                <w:szCs w:val="18"/>
                <w:lang w:eastAsia="en-AU"/>
              </w:rPr>
            </w:pPr>
            <w:r w:rsidRPr="00A52F13">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4C90C7BF" w14:textId="77777777" w:rsidR="008B1750" w:rsidRPr="00A52F13" w:rsidRDefault="008B1750"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694BBD1B" w14:textId="77777777" w:rsidR="008B1750" w:rsidRPr="00A52F13" w:rsidRDefault="008B1750" w:rsidP="00E607DA">
            <w:pPr>
              <w:jc w:val="right"/>
              <w:rPr>
                <w:rFonts w:eastAsia="Times New Roman" w:cs="Times New Roman"/>
                <w:sz w:val="20"/>
                <w:szCs w:val="20"/>
                <w:lang w:eastAsia="en-AU"/>
              </w:rPr>
            </w:pPr>
          </w:p>
        </w:tc>
      </w:tr>
      <w:tr w:rsidR="008B1750" w:rsidRPr="00A52F13" w14:paraId="4A0CBF5F" w14:textId="77777777" w:rsidTr="00E607DA">
        <w:trPr>
          <w:trHeight w:val="240"/>
        </w:trPr>
        <w:tc>
          <w:tcPr>
            <w:tcW w:w="216" w:type="dxa"/>
            <w:tcBorders>
              <w:top w:val="nil"/>
              <w:left w:val="nil"/>
              <w:bottom w:val="nil"/>
              <w:right w:val="nil"/>
            </w:tcBorders>
            <w:shd w:val="clear" w:color="auto" w:fill="auto"/>
            <w:noWrap/>
            <w:vAlign w:val="center"/>
            <w:hideMark/>
          </w:tcPr>
          <w:p w14:paraId="0F5524CE" w14:textId="77777777" w:rsidR="008B1750" w:rsidRPr="00A52F13" w:rsidRDefault="008B1750" w:rsidP="00E607DA">
            <w:pPr>
              <w:rPr>
                <w:rFonts w:ascii="Meta Pro" w:eastAsia="Times New Roman" w:hAnsi="Meta Pro"/>
                <w:color w:val="000000"/>
                <w:szCs w:val="18"/>
                <w:lang w:eastAsia="en-AU"/>
              </w:rPr>
            </w:pPr>
            <w:r w:rsidRPr="00A52F13">
              <w:rPr>
                <w:rFonts w:ascii="Meta Pro" w:eastAsia="Times New Roman" w:hAnsi="Meta Pro"/>
                <w:color w:val="000000"/>
                <w:szCs w:val="18"/>
                <w:lang w:eastAsia="en-AU"/>
              </w:rPr>
              <w:t xml:space="preserve"> </w:t>
            </w:r>
          </w:p>
        </w:tc>
        <w:tc>
          <w:tcPr>
            <w:tcW w:w="4848" w:type="dxa"/>
            <w:tcBorders>
              <w:top w:val="nil"/>
              <w:left w:val="nil"/>
              <w:bottom w:val="nil"/>
              <w:right w:val="nil"/>
            </w:tcBorders>
            <w:shd w:val="clear" w:color="auto" w:fill="auto"/>
            <w:noWrap/>
            <w:vAlign w:val="center"/>
            <w:hideMark/>
          </w:tcPr>
          <w:p w14:paraId="50719D78" w14:textId="77777777" w:rsidR="008B1750" w:rsidRPr="00A52F13" w:rsidRDefault="008B1750" w:rsidP="00E607DA">
            <w:pPr>
              <w:rPr>
                <w:rFonts w:ascii="Meta Pro" w:eastAsia="Times New Roman" w:hAnsi="Meta Pro"/>
                <w:color w:val="000000"/>
                <w:szCs w:val="18"/>
                <w:lang w:eastAsia="en-AU"/>
              </w:rPr>
            </w:pPr>
            <w:r w:rsidRPr="00A52F13">
              <w:rPr>
                <w:rFonts w:ascii="Meta Pro" w:eastAsia="Times New Roman" w:hAnsi="Meta Pro"/>
                <w:color w:val="000000"/>
                <w:szCs w:val="18"/>
                <w:lang w:eastAsia="en-AU"/>
              </w:rPr>
              <w:t>Appropriated equity injections</w:t>
            </w:r>
          </w:p>
        </w:tc>
        <w:tc>
          <w:tcPr>
            <w:tcW w:w="736" w:type="dxa"/>
            <w:gridSpan w:val="2"/>
            <w:tcBorders>
              <w:top w:val="nil"/>
              <w:left w:val="nil"/>
              <w:bottom w:val="nil"/>
              <w:right w:val="nil"/>
            </w:tcBorders>
            <w:shd w:val="clear" w:color="auto" w:fill="auto"/>
            <w:noWrap/>
            <w:vAlign w:val="center"/>
            <w:hideMark/>
          </w:tcPr>
          <w:p w14:paraId="31B2EBFF" w14:textId="77777777" w:rsidR="008B1750" w:rsidRPr="00A52F13" w:rsidRDefault="008B1750" w:rsidP="00E607DA">
            <w:pPr>
              <w:jc w:val="center"/>
              <w:rPr>
                <w:rFonts w:ascii="Meta Pro" w:eastAsia="Times New Roman" w:hAnsi="Meta Pro"/>
                <w:color w:val="000000"/>
                <w:szCs w:val="18"/>
                <w:lang w:eastAsia="en-AU"/>
              </w:rPr>
            </w:pPr>
            <w:r w:rsidRPr="00A52F13">
              <w:rPr>
                <w:rFonts w:ascii="Meta Pro" w:eastAsia="Times New Roman" w:hAnsi="Meta Pro"/>
                <w:color w:val="000000"/>
                <w:szCs w:val="18"/>
                <w:lang w:eastAsia="en-AU"/>
              </w:rPr>
              <w:t>2</w:t>
            </w:r>
          </w:p>
        </w:tc>
        <w:tc>
          <w:tcPr>
            <w:tcW w:w="596" w:type="dxa"/>
            <w:tcBorders>
              <w:top w:val="nil"/>
              <w:left w:val="nil"/>
              <w:bottom w:val="nil"/>
              <w:right w:val="nil"/>
            </w:tcBorders>
            <w:shd w:val="clear" w:color="auto" w:fill="auto"/>
            <w:noWrap/>
            <w:vAlign w:val="center"/>
            <w:hideMark/>
          </w:tcPr>
          <w:p w14:paraId="38146297" w14:textId="77777777" w:rsidR="008B1750" w:rsidRPr="00A52F13" w:rsidRDefault="008B1750" w:rsidP="00E607DA">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0117033E" w14:textId="77777777" w:rsidR="008B1750" w:rsidRPr="00A52F13" w:rsidRDefault="008B1750" w:rsidP="00E607DA">
            <w:pPr>
              <w:jc w:val="right"/>
              <w:rPr>
                <w:rFonts w:ascii="Meta Pro" w:eastAsia="Times New Roman" w:hAnsi="Meta Pro"/>
                <w:color w:val="000000"/>
                <w:szCs w:val="18"/>
                <w:lang w:eastAsia="en-AU"/>
              </w:rPr>
            </w:pPr>
            <w:r w:rsidRPr="00A52F13">
              <w:rPr>
                <w:rFonts w:ascii="Meta Pro" w:eastAsia="Times New Roman" w:hAnsi="Meta Pro"/>
                <w:color w:val="000000"/>
                <w:szCs w:val="18"/>
                <w:lang w:eastAsia="en-AU"/>
              </w:rPr>
              <w:t xml:space="preserve">2,841,289 </w:t>
            </w:r>
          </w:p>
        </w:tc>
        <w:tc>
          <w:tcPr>
            <w:tcW w:w="216" w:type="dxa"/>
            <w:tcBorders>
              <w:top w:val="nil"/>
              <w:left w:val="nil"/>
              <w:bottom w:val="nil"/>
              <w:right w:val="nil"/>
            </w:tcBorders>
            <w:shd w:val="clear" w:color="auto" w:fill="auto"/>
            <w:noWrap/>
            <w:vAlign w:val="center"/>
            <w:hideMark/>
          </w:tcPr>
          <w:p w14:paraId="6AE40077" w14:textId="77777777" w:rsidR="008B1750" w:rsidRPr="00A52F13" w:rsidRDefault="008B1750"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47F2D61C" w14:textId="77777777" w:rsidR="008B1750" w:rsidRPr="00A52F13" w:rsidRDefault="008B1750" w:rsidP="00E607DA">
            <w:pPr>
              <w:jc w:val="right"/>
              <w:rPr>
                <w:rFonts w:ascii="Meta Pro" w:eastAsia="Times New Roman" w:hAnsi="Meta Pro"/>
                <w:color w:val="000000"/>
                <w:szCs w:val="18"/>
                <w:lang w:eastAsia="en-AU"/>
              </w:rPr>
            </w:pPr>
            <w:r w:rsidRPr="00A52F13">
              <w:rPr>
                <w:rFonts w:ascii="Meta Pro" w:eastAsia="Times New Roman" w:hAnsi="Meta Pro"/>
                <w:color w:val="000000"/>
                <w:szCs w:val="18"/>
                <w:lang w:eastAsia="en-AU"/>
              </w:rPr>
              <w:t xml:space="preserve">2,363,643 </w:t>
            </w:r>
          </w:p>
        </w:tc>
      </w:tr>
      <w:tr w:rsidR="008B1750" w:rsidRPr="00A52F13" w14:paraId="5F0BE105" w14:textId="77777777" w:rsidTr="00E607DA">
        <w:trPr>
          <w:trHeight w:val="240"/>
        </w:trPr>
        <w:tc>
          <w:tcPr>
            <w:tcW w:w="216" w:type="dxa"/>
            <w:tcBorders>
              <w:top w:val="nil"/>
              <w:left w:val="nil"/>
              <w:bottom w:val="single" w:sz="4" w:space="0" w:color="auto"/>
              <w:right w:val="nil"/>
            </w:tcBorders>
            <w:shd w:val="clear" w:color="auto" w:fill="auto"/>
            <w:noWrap/>
            <w:vAlign w:val="center"/>
            <w:hideMark/>
          </w:tcPr>
          <w:p w14:paraId="66167920" w14:textId="77777777" w:rsidR="008B1750" w:rsidRPr="00A52F13" w:rsidRDefault="008B1750" w:rsidP="00E607DA">
            <w:pPr>
              <w:rPr>
                <w:rFonts w:ascii="Meta Pro" w:eastAsia="Times New Roman" w:hAnsi="Meta Pro"/>
                <w:color w:val="000000"/>
                <w:szCs w:val="18"/>
                <w:lang w:eastAsia="en-AU"/>
              </w:rPr>
            </w:pPr>
            <w:r w:rsidRPr="00A52F13">
              <w:rPr>
                <w:rFonts w:ascii="Meta Pro" w:eastAsia="Times New Roman" w:hAnsi="Meta Pro"/>
                <w:color w:val="000000"/>
                <w:szCs w:val="18"/>
                <w:lang w:eastAsia="en-AU"/>
              </w:rPr>
              <w:t> </w:t>
            </w:r>
          </w:p>
        </w:tc>
        <w:tc>
          <w:tcPr>
            <w:tcW w:w="4848" w:type="dxa"/>
            <w:tcBorders>
              <w:top w:val="nil"/>
              <w:left w:val="nil"/>
              <w:bottom w:val="single" w:sz="4" w:space="0" w:color="auto"/>
              <w:right w:val="nil"/>
            </w:tcBorders>
            <w:shd w:val="clear" w:color="auto" w:fill="auto"/>
            <w:vAlign w:val="center"/>
            <w:hideMark/>
          </w:tcPr>
          <w:p w14:paraId="0731A3C2" w14:textId="77777777" w:rsidR="008B1750" w:rsidRPr="00A52F13" w:rsidRDefault="008B1750" w:rsidP="00E607DA">
            <w:pPr>
              <w:rPr>
                <w:rFonts w:ascii="Meta Pro" w:eastAsia="Times New Roman" w:hAnsi="Meta Pro"/>
                <w:color w:val="000000"/>
                <w:szCs w:val="18"/>
                <w:lang w:eastAsia="en-AU"/>
              </w:rPr>
            </w:pPr>
            <w:r w:rsidRPr="00A52F13">
              <w:rPr>
                <w:rFonts w:ascii="Meta Pro" w:eastAsia="Times New Roman" w:hAnsi="Meta Pro"/>
                <w:color w:val="000000"/>
                <w:szCs w:val="18"/>
                <w:lang w:eastAsia="en-AU"/>
              </w:rPr>
              <w:t>Net asset transfer to other Queensland Government entities</w:t>
            </w:r>
          </w:p>
        </w:tc>
        <w:tc>
          <w:tcPr>
            <w:tcW w:w="736" w:type="dxa"/>
            <w:gridSpan w:val="2"/>
            <w:tcBorders>
              <w:top w:val="nil"/>
              <w:left w:val="nil"/>
              <w:bottom w:val="single" w:sz="4" w:space="0" w:color="auto"/>
              <w:right w:val="nil"/>
            </w:tcBorders>
            <w:shd w:val="clear" w:color="auto" w:fill="auto"/>
            <w:noWrap/>
            <w:vAlign w:val="center"/>
            <w:hideMark/>
          </w:tcPr>
          <w:p w14:paraId="166408DE" w14:textId="77777777" w:rsidR="008B1750" w:rsidRPr="00A52F13" w:rsidRDefault="008B1750" w:rsidP="00E607DA">
            <w:pPr>
              <w:jc w:val="center"/>
              <w:rPr>
                <w:rFonts w:ascii="Meta Pro" w:eastAsia="Times New Roman" w:hAnsi="Meta Pro"/>
                <w:color w:val="000000"/>
                <w:szCs w:val="18"/>
                <w:lang w:eastAsia="en-AU"/>
              </w:rPr>
            </w:pPr>
            <w:r w:rsidRPr="00A52F13">
              <w:rPr>
                <w:rFonts w:ascii="Meta Pro" w:eastAsia="Times New Roman" w:hAnsi="Meta Pro"/>
                <w:color w:val="000000"/>
                <w:szCs w:val="18"/>
                <w:lang w:eastAsia="en-AU"/>
              </w:rPr>
              <w:t> </w:t>
            </w:r>
          </w:p>
        </w:tc>
        <w:tc>
          <w:tcPr>
            <w:tcW w:w="596" w:type="dxa"/>
            <w:tcBorders>
              <w:top w:val="nil"/>
              <w:left w:val="nil"/>
              <w:bottom w:val="single" w:sz="4" w:space="0" w:color="auto"/>
              <w:right w:val="nil"/>
            </w:tcBorders>
            <w:shd w:val="clear" w:color="auto" w:fill="auto"/>
            <w:vAlign w:val="center"/>
            <w:hideMark/>
          </w:tcPr>
          <w:p w14:paraId="16B4F9C1" w14:textId="77777777" w:rsidR="008B1750" w:rsidRPr="00A52F13" w:rsidRDefault="008B1750" w:rsidP="00E607DA">
            <w:pPr>
              <w:rPr>
                <w:rFonts w:ascii="Meta Pro" w:eastAsia="Times New Roman" w:hAnsi="Meta Pro"/>
                <w:color w:val="000000"/>
                <w:szCs w:val="18"/>
                <w:lang w:eastAsia="en-AU"/>
              </w:rPr>
            </w:pPr>
            <w:r w:rsidRPr="00A52F13">
              <w:rPr>
                <w:rFonts w:ascii="Meta Pro" w:eastAsia="Times New Roman" w:hAnsi="Meta Pro"/>
                <w:color w:val="000000"/>
                <w:szCs w:val="18"/>
                <w:lang w:eastAsia="en-AU"/>
              </w:rPr>
              <w:t> </w:t>
            </w:r>
          </w:p>
        </w:tc>
        <w:tc>
          <w:tcPr>
            <w:tcW w:w="1514" w:type="dxa"/>
            <w:tcBorders>
              <w:top w:val="nil"/>
              <w:left w:val="nil"/>
              <w:bottom w:val="single" w:sz="4" w:space="0" w:color="auto"/>
              <w:right w:val="nil"/>
            </w:tcBorders>
            <w:shd w:val="clear" w:color="000000" w:fill="C9E3B4"/>
            <w:noWrap/>
            <w:vAlign w:val="center"/>
            <w:hideMark/>
          </w:tcPr>
          <w:p w14:paraId="37DE1111" w14:textId="77777777" w:rsidR="008B1750" w:rsidRPr="00A52F13" w:rsidRDefault="008B1750" w:rsidP="00E607DA">
            <w:pPr>
              <w:jc w:val="right"/>
              <w:rPr>
                <w:rFonts w:ascii="Meta Pro" w:eastAsia="Times New Roman" w:hAnsi="Meta Pro"/>
                <w:color w:val="000000"/>
                <w:szCs w:val="18"/>
                <w:lang w:eastAsia="en-AU"/>
              </w:rPr>
            </w:pPr>
            <w:r w:rsidRPr="00A52F13">
              <w:rPr>
                <w:rFonts w:ascii="Meta Pro" w:eastAsia="Times New Roman" w:hAnsi="Meta Pro"/>
                <w:color w:val="000000"/>
                <w:szCs w:val="18"/>
                <w:lang w:eastAsia="en-AU"/>
              </w:rPr>
              <w:t>(13,981)</w:t>
            </w:r>
          </w:p>
        </w:tc>
        <w:tc>
          <w:tcPr>
            <w:tcW w:w="216" w:type="dxa"/>
            <w:tcBorders>
              <w:top w:val="nil"/>
              <w:left w:val="nil"/>
              <w:bottom w:val="single" w:sz="4" w:space="0" w:color="auto"/>
              <w:right w:val="nil"/>
            </w:tcBorders>
            <w:shd w:val="clear" w:color="auto" w:fill="auto"/>
            <w:noWrap/>
            <w:vAlign w:val="center"/>
            <w:hideMark/>
          </w:tcPr>
          <w:p w14:paraId="5D419C9B" w14:textId="77777777" w:rsidR="008B1750" w:rsidRPr="00A52F13" w:rsidRDefault="008B1750" w:rsidP="00E607DA">
            <w:pPr>
              <w:jc w:val="right"/>
              <w:rPr>
                <w:rFonts w:ascii="Meta Pro" w:eastAsia="Times New Roman" w:hAnsi="Meta Pro"/>
                <w:color w:val="000000"/>
                <w:szCs w:val="18"/>
                <w:lang w:eastAsia="en-AU"/>
              </w:rPr>
            </w:pPr>
            <w:r w:rsidRPr="00A52F13">
              <w:rPr>
                <w:rFonts w:ascii="Meta Pro" w:eastAsia="Times New Roman" w:hAnsi="Meta Pro"/>
                <w:color w:val="000000"/>
                <w:szCs w:val="18"/>
                <w:lang w:eastAsia="en-AU"/>
              </w:rPr>
              <w:t> </w:t>
            </w:r>
          </w:p>
        </w:tc>
        <w:tc>
          <w:tcPr>
            <w:tcW w:w="1514" w:type="dxa"/>
            <w:tcBorders>
              <w:top w:val="nil"/>
              <w:left w:val="nil"/>
              <w:bottom w:val="single" w:sz="4" w:space="0" w:color="auto"/>
              <w:right w:val="nil"/>
            </w:tcBorders>
            <w:shd w:val="clear" w:color="auto" w:fill="auto"/>
            <w:noWrap/>
            <w:vAlign w:val="center"/>
            <w:hideMark/>
          </w:tcPr>
          <w:p w14:paraId="3921C192" w14:textId="77777777" w:rsidR="008B1750" w:rsidRPr="00A52F13" w:rsidRDefault="008B1750" w:rsidP="00E607DA">
            <w:pPr>
              <w:jc w:val="right"/>
              <w:rPr>
                <w:rFonts w:ascii="Meta Pro" w:eastAsia="Times New Roman" w:hAnsi="Meta Pro"/>
                <w:color w:val="000000"/>
                <w:szCs w:val="18"/>
                <w:lang w:eastAsia="en-AU"/>
              </w:rPr>
            </w:pPr>
            <w:r w:rsidRPr="00A52F13">
              <w:rPr>
                <w:rFonts w:ascii="Meta Pro" w:eastAsia="Times New Roman" w:hAnsi="Meta Pro"/>
                <w:color w:val="000000"/>
                <w:szCs w:val="18"/>
                <w:lang w:eastAsia="en-AU"/>
              </w:rPr>
              <w:t>(1,119)</w:t>
            </w:r>
          </w:p>
        </w:tc>
      </w:tr>
      <w:tr w:rsidR="008B1750" w:rsidRPr="00A52F13" w14:paraId="7AC6245E" w14:textId="77777777" w:rsidTr="00E607DA">
        <w:trPr>
          <w:trHeight w:val="240"/>
        </w:trPr>
        <w:tc>
          <w:tcPr>
            <w:tcW w:w="4848" w:type="dxa"/>
            <w:gridSpan w:val="2"/>
            <w:tcBorders>
              <w:top w:val="single" w:sz="4" w:space="0" w:color="auto"/>
              <w:left w:val="nil"/>
              <w:bottom w:val="nil"/>
              <w:right w:val="nil"/>
            </w:tcBorders>
            <w:shd w:val="clear" w:color="auto" w:fill="auto"/>
            <w:noWrap/>
            <w:vAlign w:val="center"/>
            <w:hideMark/>
          </w:tcPr>
          <w:p w14:paraId="65C454A1" w14:textId="77777777" w:rsidR="008B1750" w:rsidRPr="00A52F13" w:rsidRDefault="008B1750" w:rsidP="00E607DA">
            <w:pPr>
              <w:rPr>
                <w:rFonts w:ascii="Meta Pro" w:eastAsia="Times New Roman" w:hAnsi="Meta Pro"/>
                <w:b/>
                <w:bCs/>
                <w:color w:val="000000"/>
                <w:szCs w:val="18"/>
                <w:lang w:eastAsia="en-AU"/>
              </w:rPr>
            </w:pPr>
            <w:r w:rsidRPr="00A52F13">
              <w:rPr>
                <w:rFonts w:ascii="Meta Pro" w:eastAsia="Times New Roman" w:hAnsi="Meta Pro"/>
                <w:b/>
                <w:bCs/>
                <w:color w:val="000000"/>
                <w:szCs w:val="18"/>
                <w:lang w:eastAsia="en-AU"/>
              </w:rPr>
              <w:t>Closing balance</w:t>
            </w:r>
          </w:p>
        </w:tc>
        <w:tc>
          <w:tcPr>
            <w:tcW w:w="736" w:type="dxa"/>
            <w:gridSpan w:val="2"/>
            <w:tcBorders>
              <w:top w:val="nil"/>
              <w:left w:val="nil"/>
              <w:bottom w:val="nil"/>
              <w:right w:val="nil"/>
            </w:tcBorders>
            <w:shd w:val="clear" w:color="auto" w:fill="auto"/>
            <w:noWrap/>
            <w:vAlign w:val="center"/>
            <w:hideMark/>
          </w:tcPr>
          <w:p w14:paraId="37EFA032" w14:textId="77777777" w:rsidR="008B1750" w:rsidRPr="00A52F13" w:rsidRDefault="008B1750" w:rsidP="00E607DA">
            <w:pPr>
              <w:rPr>
                <w:rFonts w:ascii="Meta Pro" w:eastAsia="Times New Roman" w:hAnsi="Meta Pro"/>
                <w:b/>
                <w:bCs/>
                <w:color w:val="000000"/>
                <w:szCs w:val="18"/>
                <w:lang w:eastAsia="en-AU"/>
              </w:rPr>
            </w:pPr>
          </w:p>
        </w:tc>
        <w:tc>
          <w:tcPr>
            <w:tcW w:w="596" w:type="dxa"/>
            <w:tcBorders>
              <w:top w:val="single" w:sz="4" w:space="0" w:color="auto"/>
              <w:left w:val="nil"/>
              <w:bottom w:val="nil"/>
              <w:right w:val="nil"/>
            </w:tcBorders>
            <w:shd w:val="clear" w:color="auto" w:fill="auto"/>
            <w:noWrap/>
            <w:vAlign w:val="center"/>
            <w:hideMark/>
          </w:tcPr>
          <w:p w14:paraId="7EE173BB" w14:textId="77777777" w:rsidR="008B1750" w:rsidRPr="00A52F13" w:rsidRDefault="008B1750" w:rsidP="00E607DA">
            <w:pPr>
              <w:rPr>
                <w:rFonts w:ascii="Meta Pro" w:eastAsia="Times New Roman" w:hAnsi="Meta Pro"/>
                <w:b/>
                <w:bCs/>
                <w:color w:val="000000"/>
                <w:szCs w:val="18"/>
                <w:lang w:eastAsia="en-AU"/>
              </w:rPr>
            </w:pPr>
            <w:r w:rsidRPr="00A52F13">
              <w:rPr>
                <w:rFonts w:ascii="Meta Pro" w:eastAsia="Times New Roman" w:hAnsi="Meta Pro"/>
                <w:b/>
                <w:bCs/>
                <w:color w:val="000000"/>
                <w:szCs w:val="18"/>
                <w:lang w:eastAsia="en-AU"/>
              </w:rPr>
              <w:t> </w:t>
            </w:r>
          </w:p>
        </w:tc>
        <w:tc>
          <w:tcPr>
            <w:tcW w:w="1514" w:type="dxa"/>
            <w:tcBorders>
              <w:top w:val="single" w:sz="4" w:space="0" w:color="auto"/>
              <w:left w:val="nil"/>
              <w:bottom w:val="nil"/>
              <w:right w:val="nil"/>
            </w:tcBorders>
            <w:shd w:val="clear" w:color="000000" w:fill="C9E3B4"/>
            <w:noWrap/>
            <w:vAlign w:val="center"/>
            <w:hideMark/>
          </w:tcPr>
          <w:p w14:paraId="2A21B769" w14:textId="77777777" w:rsidR="008B1750" w:rsidRPr="00A52F13" w:rsidRDefault="008B1750" w:rsidP="00E607DA">
            <w:pPr>
              <w:jc w:val="right"/>
              <w:rPr>
                <w:rFonts w:ascii="Meta Pro" w:eastAsia="Times New Roman" w:hAnsi="Meta Pro"/>
                <w:b/>
                <w:bCs/>
                <w:color w:val="000000"/>
                <w:szCs w:val="18"/>
                <w:lang w:eastAsia="en-AU"/>
              </w:rPr>
            </w:pPr>
            <w:r w:rsidRPr="00A52F13">
              <w:rPr>
                <w:rFonts w:ascii="Meta Pro" w:eastAsia="Times New Roman" w:hAnsi="Meta Pro"/>
                <w:b/>
                <w:bCs/>
                <w:color w:val="000000"/>
                <w:szCs w:val="18"/>
                <w:lang w:eastAsia="en-AU"/>
              </w:rPr>
              <w:t xml:space="preserve">         66,098,620 </w:t>
            </w:r>
          </w:p>
        </w:tc>
        <w:tc>
          <w:tcPr>
            <w:tcW w:w="216" w:type="dxa"/>
            <w:tcBorders>
              <w:top w:val="single" w:sz="4" w:space="0" w:color="auto"/>
              <w:left w:val="nil"/>
              <w:bottom w:val="nil"/>
              <w:right w:val="nil"/>
            </w:tcBorders>
            <w:shd w:val="clear" w:color="auto" w:fill="auto"/>
            <w:noWrap/>
            <w:vAlign w:val="center"/>
            <w:hideMark/>
          </w:tcPr>
          <w:p w14:paraId="6A85EEF7" w14:textId="77777777" w:rsidR="008B1750" w:rsidRPr="00A52F13" w:rsidRDefault="008B1750" w:rsidP="00E607DA">
            <w:pPr>
              <w:jc w:val="right"/>
              <w:rPr>
                <w:rFonts w:ascii="Meta Pro" w:eastAsia="Times New Roman" w:hAnsi="Meta Pro"/>
                <w:b/>
                <w:bCs/>
                <w:color w:val="000000"/>
                <w:szCs w:val="18"/>
                <w:lang w:eastAsia="en-AU"/>
              </w:rPr>
            </w:pPr>
            <w:r w:rsidRPr="00A52F13">
              <w:rPr>
                <w:rFonts w:ascii="Meta Pro" w:eastAsia="Times New Roman" w:hAnsi="Meta Pro"/>
                <w:b/>
                <w:bCs/>
                <w:color w:val="000000"/>
                <w:szCs w:val="18"/>
                <w:lang w:eastAsia="en-AU"/>
              </w:rPr>
              <w:t> </w:t>
            </w:r>
          </w:p>
        </w:tc>
        <w:tc>
          <w:tcPr>
            <w:tcW w:w="1514" w:type="dxa"/>
            <w:tcBorders>
              <w:top w:val="single" w:sz="4" w:space="0" w:color="auto"/>
              <w:left w:val="nil"/>
              <w:bottom w:val="nil"/>
              <w:right w:val="nil"/>
            </w:tcBorders>
            <w:shd w:val="clear" w:color="auto" w:fill="auto"/>
            <w:noWrap/>
            <w:vAlign w:val="center"/>
            <w:hideMark/>
          </w:tcPr>
          <w:p w14:paraId="2F2D5FEF" w14:textId="77777777" w:rsidR="008B1750" w:rsidRPr="00A52F13" w:rsidRDefault="008B1750" w:rsidP="00E607DA">
            <w:pPr>
              <w:jc w:val="right"/>
              <w:rPr>
                <w:rFonts w:ascii="Meta Pro" w:eastAsia="Times New Roman" w:hAnsi="Meta Pro"/>
                <w:b/>
                <w:bCs/>
                <w:color w:val="000000"/>
                <w:szCs w:val="18"/>
                <w:lang w:eastAsia="en-AU"/>
              </w:rPr>
            </w:pPr>
            <w:r w:rsidRPr="00A52F13">
              <w:rPr>
                <w:rFonts w:ascii="Meta Pro" w:eastAsia="Times New Roman" w:hAnsi="Meta Pro"/>
                <w:b/>
                <w:bCs/>
                <w:color w:val="000000"/>
                <w:szCs w:val="18"/>
                <w:lang w:eastAsia="en-AU"/>
              </w:rPr>
              <w:t xml:space="preserve">           63,271,312 </w:t>
            </w:r>
          </w:p>
        </w:tc>
      </w:tr>
      <w:tr w:rsidR="008B1750" w:rsidRPr="00A52F13" w14:paraId="7A791DB7" w14:textId="77777777" w:rsidTr="00E607DA">
        <w:trPr>
          <w:trHeight w:val="240"/>
        </w:trPr>
        <w:tc>
          <w:tcPr>
            <w:tcW w:w="216" w:type="dxa"/>
            <w:tcBorders>
              <w:top w:val="nil"/>
              <w:left w:val="nil"/>
              <w:bottom w:val="nil"/>
              <w:right w:val="nil"/>
            </w:tcBorders>
            <w:shd w:val="clear" w:color="auto" w:fill="auto"/>
            <w:noWrap/>
            <w:vAlign w:val="center"/>
            <w:hideMark/>
          </w:tcPr>
          <w:p w14:paraId="1E6E3478" w14:textId="77777777" w:rsidR="008B1750" w:rsidRPr="00A52F13" w:rsidRDefault="008B1750" w:rsidP="00E607DA">
            <w:pPr>
              <w:jc w:val="right"/>
              <w:rPr>
                <w:rFonts w:ascii="Meta Pro" w:eastAsia="Times New Roman" w:hAnsi="Meta Pro"/>
                <w:b/>
                <w:bCs/>
                <w:color w:val="000000"/>
                <w:szCs w:val="18"/>
                <w:lang w:eastAsia="en-AU"/>
              </w:rPr>
            </w:pPr>
          </w:p>
        </w:tc>
        <w:tc>
          <w:tcPr>
            <w:tcW w:w="4848" w:type="dxa"/>
            <w:tcBorders>
              <w:top w:val="nil"/>
              <w:left w:val="nil"/>
              <w:bottom w:val="nil"/>
              <w:right w:val="nil"/>
            </w:tcBorders>
            <w:shd w:val="clear" w:color="auto" w:fill="auto"/>
            <w:noWrap/>
            <w:vAlign w:val="center"/>
            <w:hideMark/>
          </w:tcPr>
          <w:p w14:paraId="04DF9F10" w14:textId="77777777" w:rsidR="008B1750" w:rsidRPr="00A52F13" w:rsidRDefault="008B1750" w:rsidP="00E607DA">
            <w:pPr>
              <w:rPr>
                <w:rFonts w:eastAsia="Times New Roman" w:cs="Times New Roman"/>
                <w:sz w:val="20"/>
                <w:szCs w:val="20"/>
                <w:lang w:eastAsia="en-AU"/>
              </w:rPr>
            </w:pPr>
          </w:p>
        </w:tc>
        <w:tc>
          <w:tcPr>
            <w:tcW w:w="736" w:type="dxa"/>
            <w:gridSpan w:val="2"/>
            <w:tcBorders>
              <w:top w:val="nil"/>
              <w:left w:val="nil"/>
              <w:bottom w:val="nil"/>
              <w:right w:val="nil"/>
            </w:tcBorders>
            <w:shd w:val="clear" w:color="auto" w:fill="auto"/>
            <w:noWrap/>
            <w:vAlign w:val="center"/>
            <w:hideMark/>
          </w:tcPr>
          <w:p w14:paraId="11E5D686" w14:textId="77777777" w:rsidR="008B1750" w:rsidRPr="00A52F13" w:rsidRDefault="008B1750" w:rsidP="00E607DA">
            <w:pPr>
              <w:rPr>
                <w:rFonts w:eastAsia="Times New Roman" w:cs="Times New Roman"/>
                <w:sz w:val="20"/>
                <w:szCs w:val="20"/>
                <w:lang w:eastAsia="en-AU"/>
              </w:rPr>
            </w:pPr>
          </w:p>
        </w:tc>
        <w:tc>
          <w:tcPr>
            <w:tcW w:w="596" w:type="dxa"/>
            <w:tcBorders>
              <w:top w:val="nil"/>
              <w:left w:val="nil"/>
              <w:bottom w:val="nil"/>
              <w:right w:val="nil"/>
            </w:tcBorders>
            <w:shd w:val="clear" w:color="auto" w:fill="auto"/>
            <w:noWrap/>
            <w:vAlign w:val="center"/>
            <w:hideMark/>
          </w:tcPr>
          <w:p w14:paraId="39637E83" w14:textId="77777777" w:rsidR="008B1750" w:rsidRPr="00A52F13" w:rsidRDefault="008B1750" w:rsidP="00E607DA">
            <w:pPr>
              <w:jc w:val="center"/>
              <w:rPr>
                <w:rFonts w:eastAsia="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38F94B65" w14:textId="77777777" w:rsidR="008B1750" w:rsidRPr="00A52F13" w:rsidRDefault="008B1750" w:rsidP="00E607DA">
            <w:pPr>
              <w:jc w:val="right"/>
              <w:rPr>
                <w:rFonts w:ascii="Meta Pro" w:eastAsia="Times New Roman" w:hAnsi="Meta Pro"/>
                <w:color w:val="000000"/>
                <w:szCs w:val="18"/>
                <w:lang w:eastAsia="en-AU"/>
              </w:rPr>
            </w:pPr>
            <w:r w:rsidRPr="00A52F13">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4ECE396F" w14:textId="77777777" w:rsidR="008B1750" w:rsidRPr="00A52F13" w:rsidRDefault="008B1750"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587E25B3" w14:textId="77777777" w:rsidR="008B1750" w:rsidRPr="00A52F13" w:rsidRDefault="008B1750" w:rsidP="00E607DA">
            <w:pPr>
              <w:jc w:val="right"/>
              <w:rPr>
                <w:rFonts w:eastAsia="Times New Roman" w:cs="Times New Roman"/>
                <w:sz w:val="20"/>
                <w:szCs w:val="20"/>
                <w:lang w:eastAsia="en-AU"/>
              </w:rPr>
            </w:pPr>
          </w:p>
        </w:tc>
      </w:tr>
      <w:tr w:rsidR="008B1750" w:rsidRPr="00A52F13" w14:paraId="2CF7C8C6" w14:textId="77777777" w:rsidTr="00E607DA">
        <w:trPr>
          <w:trHeight w:val="240"/>
        </w:trPr>
        <w:tc>
          <w:tcPr>
            <w:tcW w:w="4848" w:type="dxa"/>
            <w:gridSpan w:val="2"/>
            <w:tcBorders>
              <w:top w:val="nil"/>
              <w:left w:val="nil"/>
              <w:bottom w:val="nil"/>
              <w:right w:val="nil"/>
            </w:tcBorders>
            <w:shd w:val="clear" w:color="auto" w:fill="auto"/>
            <w:noWrap/>
            <w:vAlign w:val="center"/>
            <w:hideMark/>
          </w:tcPr>
          <w:p w14:paraId="1375DF95" w14:textId="77777777" w:rsidR="008B1750" w:rsidRPr="00A52F13" w:rsidRDefault="008B1750" w:rsidP="00E607DA">
            <w:pPr>
              <w:rPr>
                <w:rFonts w:ascii="Meta Pro" w:eastAsia="Times New Roman" w:hAnsi="Meta Pro"/>
                <w:b/>
                <w:bCs/>
                <w:color w:val="000000"/>
                <w:szCs w:val="18"/>
                <w:lang w:eastAsia="en-AU"/>
              </w:rPr>
            </w:pPr>
            <w:r w:rsidRPr="00A52F13">
              <w:rPr>
                <w:rFonts w:ascii="Meta Pro" w:eastAsia="Times New Roman" w:hAnsi="Meta Pro"/>
                <w:b/>
                <w:bCs/>
                <w:color w:val="000000"/>
                <w:szCs w:val="18"/>
                <w:lang w:eastAsia="en-AU"/>
              </w:rPr>
              <w:t>Accumulated surplus/(deficit)</w:t>
            </w:r>
          </w:p>
        </w:tc>
        <w:tc>
          <w:tcPr>
            <w:tcW w:w="736" w:type="dxa"/>
            <w:gridSpan w:val="2"/>
            <w:tcBorders>
              <w:top w:val="nil"/>
              <w:left w:val="nil"/>
              <w:bottom w:val="nil"/>
              <w:right w:val="nil"/>
            </w:tcBorders>
            <w:shd w:val="clear" w:color="auto" w:fill="auto"/>
            <w:noWrap/>
            <w:vAlign w:val="center"/>
            <w:hideMark/>
          </w:tcPr>
          <w:p w14:paraId="2C0F1266" w14:textId="77777777" w:rsidR="008B1750" w:rsidRPr="00A52F13" w:rsidRDefault="008B1750" w:rsidP="00E607DA">
            <w:pPr>
              <w:rPr>
                <w:rFonts w:ascii="Meta Pro" w:eastAsia="Times New Roman" w:hAnsi="Meta Pro"/>
                <w:b/>
                <w:bCs/>
                <w:color w:val="000000"/>
                <w:szCs w:val="18"/>
                <w:lang w:eastAsia="en-AU"/>
              </w:rPr>
            </w:pPr>
          </w:p>
        </w:tc>
        <w:tc>
          <w:tcPr>
            <w:tcW w:w="596" w:type="dxa"/>
            <w:tcBorders>
              <w:top w:val="nil"/>
              <w:left w:val="nil"/>
              <w:bottom w:val="nil"/>
              <w:right w:val="nil"/>
            </w:tcBorders>
            <w:shd w:val="clear" w:color="auto" w:fill="auto"/>
            <w:noWrap/>
            <w:vAlign w:val="center"/>
            <w:hideMark/>
          </w:tcPr>
          <w:p w14:paraId="5941A088" w14:textId="77777777" w:rsidR="008B1750" w:rsidRPr="00A52F13" w:rsidRDefault="008B1750" w:rsidP="00E607DA">
            <w:pPr>
              <w:jc w:val="center"/>
              <w:rPr>
                <w:rFonts w:eastAsia="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45B85434" w14:textId="77777777" w:rsidR="008B1750" w:rsidRPr="00A52F13" w:rsidRDefault="008B1750" w:rsidP="00E607DA">
            <w:pPr>
              <w:jc w:val="right"/>
              <w:rPr>
                <w:rFonts w:ascii="Meta Pro" w:eastAsia="Times New Roman" w:hAnsi="Meta Pro"/>
                <w:color w:val="000000"/>
                <w:szCs w:val="18"/>
                <w:lang w:eastAsia="en-AU"/>
              </w:rPr>
            </w:pPr>
            <w:r w:rsidRPr="00A52F13">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4B831DB7" w14:textId="77777777" w:rsidR="008B1750" w:rsidRPr="00A52F13" w:rsidRDefault="008B1750"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0017D29F" w14:textId="77777777" w:rsidR="008B1750" w:rsidRPr="00A52F13" w:rsidRDefault="008B1750" w:rsidP="00E607DA">
            <w:pPr>
              <w:jc w:val="right"/>
              <w:rPr>
                <w:rFonts w:eastAsia="Times New Roman" w:cs="Times New Roman"/>
                <w:sz w:val="20"/>
                <w:szCs w:val="20"/>
                <w:lang w:eastAsia="en-AU"/>
              </w:rPr>
            </w:pPr>
          </w:p>
        </w:tc>
      </w:tr>
      <w:tr w:rsidR="008B1750" w:rsidRPr="00A52F13" w14:paraId="3E1E7E13" w14:textId="77777777" w:rsidTr="00E607DA">
        <w:trPr>
          <w:trHeight w:val="240"/>
        </w:trPr>
        <w:tc>
          <w:tcPr>
            <w:tcW w:w="4848" w:type="dxa"/>
            <w:gridSpan w:val="2"/>
            <w:tcBorders>
              <w:top w:val="nil"/>
              <w:left w:val="nil"/>
              <w:bottom w:val="nil"/>
              <w:right w:val="nil"/>
            </w:tcBorders>
            <w:shd w:val="clear" w:color="auto" w:fill="auto"/>
            <w:noWrap/>
            <w:vAlign w:val="center"/>
            <w:hideMark/>
          </w:tcPr>
          <w:p w14:paraId="38DE1173" w14:textId="77777777" w:rsidR="008B1750" w:rsidRPr="00A52F13" w:rsidRDefault="008B1750" w:rsidP="00E607DA">
            <w:pPr>
              <w:rPr>
                <w:rFonts w:ascii="Meta Pro" w:eastAsia="Times New Roman" w:hAnsi="Meta Pro"/>
                <w:color w:val="000000"/>
                <w:szCs w:val="18"/>
                <w:lang w:eastAsia="en-AU"/>
              </w:rPr>
            </w:pPr>
            <w:r w:rsidRPr="00A52F13">
              <w:rPr>
                <w:rFonts w:ascii="Meta Pro" w:eastAsia="Times New Roman" w:hAnsi="Meta Pro"/>
                <w:color w:val="000000"/>
                <w:szCs w:val="18"/>
                <w:lang w:eastAsia="en-AU"/>
              </w:rPr>
              <w:t xml:space="preserve">Opening balance </w:t>
            </w:r>
          </w:p>
        </w:tc>
        <w:tc>
          <w:tcPr>
            <w:tcW w:w="736" w:type="dxa"/>
            <w:gridSpan w:val="2"/>
            <w:tcBorders>
              <w:top w:val="nil"/>
              <w:left w:val="nil"/>
              <w:bottom w:val="nil"/>
              <w:right w:val="nil"/>
            </w:tcBorders>
            <w:shd w:val="clear" w:color="auto" w:fill="auto"/>
            <w:noWrap/>
            <w:vAlign w:val="center"/>
            <w:hideMark/>
          </w:tcPr>
          <w:p w14:paraId="3A502EC3" w14:textId="77777777" w:rsidR="008B1750" w:rsidRPr="00A52F13" w:rsidRDefault="008B1750" w:rsidP="00E607DA">
            <w:pPr>
              <w:rPr>
                <w:rFonts w:ascii="Meta Pro" w:eastAsia="Times New Roman" w:hAnsi="Meta Pro"/>
                <w:color w:val="000000"/>
                <w:szCs w:val="18"/>
                <w:lang w:eastAsia="en-AU"/>
              </w:rPr>
            </w:pPr>
          </w:p>
        </w:tc>
        <w:tc>
          <w:tcPr>
            <w:tcW w:w="596" w:type="dxa"/>
            <w:tcBorders>
              <w:top w:val="nil"/>
              <w:left w:val="nil"/>
              <w:bottom w:val="nil"/>
              <w:right w:val="nil"/>
            </w:tcBorders>
            <w:shd w:val="clear" w:color="auto" w:fill="auto"/>
            <w:noWrap/>
            <w:vAlign w:val="center"/>
            <w:hideMark/>
          </w:tcPr>
          <w:p w14:paraId="311EBB58" w14:textId="77777777" w:rsidR="008B1750" w:rsidRPr="00A52F13" w:rsidRDefault="008B1750" w:rsidP="00E607DA">
            <w:pPr>
              <w:jc w:val="center"/>
              <w:rPr>
                <w:rFonts w:eastAsia="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0305E3E8" w14:textId="77777777" w:rsidR="008B1750" w:rsidRPr="00A52F13" w:rsidRDefault="008B1750" w:rsidP="00E607DA">
            <w:pPr>
              <w:jc w:val="right"/>
              <w:rPr>
                <w:rFonts w:ascii="Meta Pro" w:eastAsia="Times New Roman" w:hAnsi="Meta Pro"/>
                <w:color w:val="000000"/>
                <w:szCs w:val="18"/>
                <w:lang w:eastAsia="en-AU"/>
              </w:rPr>
            </w:pPr>
            <w:r w:rsidRPr="00A52F13">
              <w:rPr>
                <w:rFonts w:ascii="Meta Pro" w:eastAsia="Times New Roman" w:hAnsi="Meta Pro"/>
                <w:color w:val="000000"/>
                <w:szCs w:val="18"/>
                <w:lang w:eastAsia="en-AU"/>
              </w:rPr>
              <w:t xml:space="preserve">              3,735,072 </w:t>
            </w:r>
          </w:p>
        </w:tc>
        <w:tc>
          <w:tcPr>
            <w:tcW w:w="216" w:type="dxa"/>
            <w:tcBorders>
              <w:top w:val="nil"/>
              <w:left w:val="nil"/>
              <w:bottom w:val="nil"/>
              <w:right w:val="nil"/>
            </w:tcBorders>
            <w:shd w:val="clear" w:color="auto" w:fill="auto"/>
            <w:noWrap/>
            <w:vAlign w:val="center"/>
            <w:hideMark/>
          </w:tcPr>
          <w:p w14:paraId="1404F2F5" w14:textId="77777777" w:rsidR="008B1750" w:rsidRPr="00A52F13" w:rsidRDefault="008B1750"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1CE952E9" w14:textId="77777777" w:rsidR="008B1750" w:rsidRPr="00A52F13" w:rsidRDefault="008B1750" w:rsidP="00E607DA">
            <w:pPr>
              <w:jc w:val="right"/>
              <w:rPr>
                <w:rFonts w:ascii="Meta Pro" w:eastAsia="Times New Roman" w:hAnsi="Meta Pro"/>
                <w:color w:val="000000"/>
                <w:szCs w:val="18"/>
                <w:lang w:eastAsia="en-AU"/>
              </w:rPr>
            </w:pPr>
            <w:r w:rsidRPr="00A52F13">
              <w:rPr>
                <w:rFonts w:ascii="Meta Pro" w:eastAsia="Times New Roman" w:hAnsi="Meta Pro"/>
                <w:color w:val="000000"/>
                <w:szCs w:val="18"/>
                <w:lang w:eastAsia="en-AU"/>
              </w:rPr>
              <w:t xml:space="preserve">              3,871,375 </w:t>
            </w:r>
          </w:p>
        </w:tc>
      </w:tr>
      <w:tr w:rsidR="008B1750" w:rsidRPr="00A52F13" w14:paraId="4401336B" w14:textId="77777777" w:rsidTr="00E607DA">
        <w:trPr>
          <w:trHeight w:val="240"/>
        </w:trPr>
        <w:tc>
          <w:tcPr>
            <w:tcW w:w="4848" w:type="dxa"/>
            <w:gridSpan w:val="2"/>
            <w:tcBorders>
              <w:top w:val="nil"/>
              <w:left w:val="nil"/>
              <w:bottom w:val="nil"/>
              <w:right w:val="nil"/>
            </w:tcBorders>
            <w:shd w:val="clear" w:color="auto" w:fill="auto"/>
            <w:vAlign w:val="center"/>
            <w:hideMark/>
          </w:tcPr>
          <w:p w14:paraId="32D7790B" w14:textId="77777777" w:rsidR="008B1750" w:rsidRPr="00A52F13" w:rsidRDefault="008B1750" w:rsidP="00E607DA">
            <w:pPr>
              <w:rPr>
                <w:rFonts w:ascii="Meta Pro" w:eastAsia="Times New Roman" w:hAnsi="Meta Pro"/>
                <w:color w:val="000000"/>
                <w:szCs w:val="18"/>
                <w:lang w:eastAsia="en-AU"/>
              </w:rPr>
            </w:pPr>
            <w:r w:rsidRPr="00A52F13">
              <w:rPr>
                <w:rFonts w:ascii="Meta Pro" w:eastAsia="Times New Roman" w:hAnsi="Meta Pro"/>
                <w:color w:val="000000"/>
                <w:szCs w:val="18"/>
                <w:lang w:eastAsia="en-AU"/>
              </w:rPr>
              <w:t>Restatement of opening balance due to change in accounting</w:t>
            </w:r>
          </w:p>
        </w:tc>
        <w:tc>
          <w:tcPr>
            <w:tcW w:w="736" w:type="dxa"/>
            <w:gridSpan w:val="2"/>
            <w:tcBorders>
              <w:top w:val="nil"/>
              <w:left w:val="nil"/>
              <w:bottom w:val="nil"/>
              <w:right w:val="nil"/>
            </w:tcBorders>
            <w:shd w:val="clear" w:color="auto" w:fill="auto"/>
            <w:noWrap/>
            <w:vAlign w:val="center"/>
            <w:hideMark/>
          </w:tcPr>
          <w:p w14:paraId="0F4B622E" w14:textId="77777777" w:rsidR="008B1750" w:rsidRPr="00A52F13" w:rsidRDefault="008B1750" w:rsidP="00E607DA">
            <w:pPr>
              <w:rPr>
                <w:rFonts w:ascii="Meta Pro" w:eastAsia="Times New Roman" w:hAnsi="Meta Pro"/>
                <w:color w:val="000000"/>
                <w:szCs w:val="18"/>
                <w:lang w:eastAsia="en-AU"/>
              </w:rPr>
            </w:pPr>
          </w:p>
        </w:tc>
        <w:tc>
          <w:tcPr>
            <w:tcW w:w="596" w:type="dxa"/>
            <w:tcBorders>
              <w:top w:val="nil"/>
              <w:left w:val="nil"/>
              <w:bottom w:val="nil"/>
              <w:right w:val="nil"/>
            </w:tcBorders>
            <w:shd w:val="clear" w:color="auto" w:fill="auto"/>
            <w:noWrap/>
            <w:vAlign w:val="center"/>
            <w:hideMark/>
          </w:tcPr>
          <w:p w14:paraId="5A02479D" w14:textId="77777777" w:rsidR="008B1750" w:rsidRPr="00A52F13" w:rsidRDefault="008B1750" w:rsidP="00E607DA">
            <w:pPr>
              <w:jc w:val="center"/>
              <w:rPr>
                <w:rFonts w:eastAsia="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24824820" w14:textId="77777777" w:rsidR="008B1750" w:rsidRPr="00A52F13" w:rsidRDefault="008B1750" w:rsidP="00E607DA">
            <w:pPr>
              <w:jc w:val="right"/>
              <w:rPr>
                <w:rFonts w:ascii="Meta Pro" w:eastAsia="Times New Roman" w:hAnsi="Meta Pro"/>
                <w:color w:val="000000"/>
                <w:szCs w:val="18"/>
                <w:lang w:eastAsia="en-AU"/>
              </w:rPr>
            </w:pPr>
            <w:r w:rsidRPr="00A52F13">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3515B14B" w14:textId="77777777" w:rsidR="008B1750" w:rsidRPr="00A52F13" w:rsidRDefault="008B1750"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1C3F5088" w14:textId="77777777" w:rsidR="008B1750" w:rsidRPr="00A52F13" w:rsidRDefault="008B1750" w:rsidP="00E607DA">
            <w:pPr>
              <w:jc w:val="right"/>
              <w:rPr>
                <w:rFonts w:eastAsia="Times New Roman" w:cs="Times New Roman"/>
                <w:sz w:val="20"/>
                <w:szCs w:val="20"/>
                <w:lang w:eastAsia="en-AU"/>
              </w:rPr>
            </w:pPr>
          </w:p>
        </w:tc>
      </w:tr>
      <w:tr w:rsidR="008B1750" w:rsidRPr="00A52F13" w14:paraId="53EBD465" w14:textId="77777777" w:rsidTr="00E607DA">
        <w:trPr>
          <w:trHeight w:val="240"/>
        </w:trPr>
        <w:tc>
          <w:tcPr>
            <w:tcW w:w="4848" w:type="dxa"/>
            <w:gridSpan w:val="2"/>
            <w:tcBorders>
              <w:top w:val="nil"/>
              <w:left w:val="nil"/>
              <w:bottom w:val="nil"/>
              <w:right w:val="nil"/>
            </w:tcBorders>
            <w:shd w:val="clear" w:color="auto" w:fill="auto"/>
            <w:noWrap/>
            <w:vAlign w:val="center"/>
            <w:hideMark/>
          </w:tcPr>
          <w:p w14:paraId="7D1E6AAE" w14:textId="77777777" w:rsidR="008B1750" w:rsidRPr="00A52F13" w:rsidRDefault="008B1750" w:rsidP="00E607DA">
            <w:pPr>
              <w:rPr>
                <w:rFonts w:ascii="Meta Pro" w:eastAsia="Times New Roman" w:hAnsi="Meta Pro"/>
                <w:color w:val="000000"/>
                <w:szCs w:val="18"/>
                <w:lang w:eastAsia="en-AU"/>
              </w:rPr>
            </w:pPr>
            <w:r w:rsidRPr="00A52F13">
              <w:rPr>
                <w:rFonts w:ascii="Meta Pro" w:eastAsia="Times New Roman" w:hAnsi="Meta Pro"/>
                <w:color w:val="000000"/>
                <w:szCs w:val="18"/>
                <w:lang w:eastAsia="en-AU"/>
              </w:rPr>
              <w:t>policy for cloud computing arrangements</w:t>
            </w:r>
          </w:p>
        </w:tc>
        <w:tc>
          <w:tcPr>
            <w:tcW w:w="736" w:type="dxa"/>
            <w:gridSpan w:val="2"/>
            <w:tcBorders>
              <w:top w:val="nil"/>
              <w:left w:val="nil"/>
              <w:bottom w:val="nil"/>
              <w:right w:val="nil"/>
            </w:tcBorders>
            <w:shd w:val="clear" w:color="auto" w:fill="auto"/>
            <w:noWrap/>
            <w:vAlign w:val="center"/>
            <w:hideMark/>
          </w:tcPr>
          <w:p w14:paraId="12EF9B1C" w14:textId="77777777" w:rsidR="008B1750" w:rsidRPr="00A52F13" w:rsidRDefault="008B1750" w:rsidP="00E607DA">
            <w:pPr>
              <w:jc w:val="center"/>
              <w:rPr>
                <w:rFonts w:ascii="Meta Pro" w:eastAsia="Times New Roman" w:hAnsi="Meta Pro"/>
                <w:color w:val="000000"/>
                <w:szCs w:val="18"/>
                <w:lang w:eastAsia="en-AU"/>
              </w:rPr>
            </w:pPr>
            <w:r w:rsidRPr="00A52F13">
              <w:rPr>
                <w:rFonts w:ascii="Meta Pro" w:eastAsia="Times New Roman" w:hAnsi="Meta Pro"/>
                <w:color w:val="000000"/>
                <w:szCs w:val="18"/>
                <w:lang w:eastAsia="en-AU"/>
              </w:rPr>
              <w:t>1</w:t>
            </w:r>
          </w:p>
        </w:tc>
        <w:tc>
          <w:tcPr>
            <w:tcW w:w="596" w:type="dxa"/>
            <w:tcBorders>
              <w:top w:val="nil"/>
              <w:left w:val="nil"/>
              <w:bottom w:val="nil"/>
              <w:right w:val="nil"/>
            </w:tcBorders>
            <w:shd w:val="clear" w:color="auto" w:fill="auto"/>
            <w:noWrap/>
            <w:vAlign w:val="center"/>
            <w:hideMark/>
          </w:tcPr>
          <w:p w14:paraId="0D1E4B6E" w14:textId="77777777" w:rsidR="008B1750" w:rsidRPr="00A52F13" w:rsidRDefault="008B1750" w:rsidP="00E607DA">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5E406EA9" w14:textId="77777777" w:rsidR="008B1750" w:rsidRPr="00A52F13" w:rsidRDefault="008B1750" w:rsidP="00E607DA">
            <w:pPr>
              <w:jc w:val="right"/>
              <w:rPr>
                <w:rFonts w:ascii="Meta Pro" w:eastAsia="Times New Roman" w:hAnsi="Meta Pro"/>
                <w:color w:val="000000"/>
                <w:szCs w:val="18"/>
                <w:lang w:eastAsia="en-AU"/>
              </w:rPr>
            </w:pPr>
            <w:r w:rsidRPr="00A52F13">
              <w:rPr>
                <w:rFonts w:ascii="Meta Pro" w:eastAsia="Times New Roman" w:hAnsi="Meta Pro"/>
                <w:color w:val="000000"/>
                <w:szCs w:val="18"/>
                <w:lang w:eastAsia="en-AU"/>
              </w:rPr>
              <w:t xml:space="preserve">- </w:t>
            </w:r>
          </w:p>
        </w:tc>
        <w:tc>
          <w:tcPr>
            <w:tcW w:w="216" w:type="dxa"/>
            <w:tcBorders>
              <w:top w:val="nil"/>
              <w:left w:val="nil"/>
              <w:bottom w:val="nil"/>
              <w:right w:val="nil"/>
            </w:tcBorders>
            <w:shd w:val="clear" w:color="auto" w:fill="auto"/>
            <w:noWrap/>
            <w:vAlign w:val="center"/>
            <w:hideMark/>
          </w:tcPr>
          <w:p w14:paraId="68E22FF8" w14:textId="77777777" w:rsidR="008B1750" w:rsidRPr="00A52F13" w:rsidRDefault="008B1750"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4857307C" w14:textId="77777777" w:rsidR="008B1750" w:rsidRPr="00A52F13" w:rsidRDefault="008B1750" w:rsidP="00E607DA">
            <w:pPr>
              <w:jc w:val="right"/>
              <w:rPr>
                <w:rFonts w:ascii="Meta Pro" w:eastAsia="Times New Roman" w:hAnsi="Meta Pro"/>
                <w:color w:val="000000"/>
                <w:szCs w:val="18"/>
                <w:lang w:eastAsia="en-AU"/>
              </w:rPr>
            </w:pPr>
            <w:r w:rsidRPr="00A52F13">
              <w:rPr>
                <w:rFonts w:ascii="Meta Pro" w:eastAsia="Times New Roman" w:hAnsi="Meta Pro"/>
                <w:color w:val="000000"/>
                <w:szCs w:val="18"/>
                <w:lang w:eastAsia="en-AU"/>
              </w:rPr>
              <w:t>(150,979)</w:t>
            </w:r>
          </w:p>
        </w:tc>
      </w:tr>
      <w:tr w:rsidR="008B1750" w:rsidRPr="00A52F13" w14:paraId="45FEFD42" w14:textId="77777777" w:rsidTr="00E607DA">
        <w:trPr>
          <w:trHeight w:val="240"/>
        </w:trPr>
        <w:tc>
          <w:tcPr>
            <w:tcW w:w="4848" w:type="dxa"/>
            <w:gridSpan w:val="2"/>
            <w:tcBorders>
              <w:top w:val="nil"/>
              <w:left w:val="nil"/>
              <w:bottom w:val="nil"/>
              <w:right w:val="nil"/>
            </w:tcBorders>
            <w:shd w:val="clear" w:color="auto" w:fill="auto"/>
            <w:vAlign w:val="center"/>
            <w:hideMark/>
          </w:tcPr>
          <w:p w14:paraId="19400E3F" w14:textId="77777777" w:rsidR="008B1750" w:rsidRPr="00A52F13" w:rsidRDefault="008B1750" w:rsidP="00E607DA">
            <w:pPr>
              <w:rPr>
                <w:rFonts w:ascii="Meta Pro" w:eastAsia="Times New Roman" w:hAnsi="Meta Pro"/>
                <w:color w:val="000000"/>
                <w:szCs w:val="18"/>
                <w:lang w:eastAsia="en-AU"/>
              </w:rPr>
            </w:pPr>
            <w:r w:rsidRPr="00A52F13">
              <w:rPr>
                <w:rFonts w:ascii="Meta Pro" w:eastAsia="Times New Roman" w:hAnsi="Meta Pro"/>
                <w:color w:val="000000"/>
                <w:szCs w:val="18"/>
                <w:lang w:eastAsia="en-AU"/>
              </w:rPr>
              <w:t>Derecognition of heritage and cultural asset class *</w:t>
            </w:r>
          </w:p>
        </w:tc>
        <w:tc>
          <w:tcPr>
            <w:tcW w:w="736" w:type="dxa"/>
            <w:gridSpan w:val="2"/>
            <w:tcBorders>
              <w:top w:val="nil"/>
              <w:left w:val="nil"/>
              <w:bottom w:val="nil"/>
              <w:right w:val="nil"/>
            </w:tcBorders>
            <w:shd w:val="clear" w:color="auto" w:fill="auto"/>
            <w:noWrap/>
            <w:vAlign w:val="center"/>
            <w:hideMark/>
          </w:tcPr>
          <w:p w14:paraId="496F3B69" w14:textId="77777777" w:rsidR="008B1750" w:rsidRPr="00A52F13" w:rsidRDefault="008B1750" w:rsidP="00E607DA">
            <w:pPr>
              <w:jc w:val="center"/>
              <w:rPr>
                <w:rFonts w:ascii="Meta Pro" w:eastAsia="Times New Roman" w:hAnsi="Meta Pro"/>
                <w:color w:val="000000"/>
                <w:szCs w:val="18"/>
                <w:lang w:eastAsia="en-AU"/>
              </w:rPr>
            </w:pPr>
            <w:r w:rsidRPr="00A52F13">
              <w:rPr>
                <w:rFonts w:ascii="Meta Pro" w:eastAsia="Times New Roman" w:hAnsi="Meta Pro"/>
                <w:color w:val="000000"/>
                <w:szCs w:val="18"/>
                <w:lang w:eastAsia="en-AU"/>
              </w:rPr>
              <w:t>15</w:t>
            </w:r>
          </w:p>
        </w:tc>
        <w:tc>
          <w:tcPr>
            <w:tcW w:w="596" w:type="dxa"/>
            <w:tcBorders>
              <w:top w:val="nil"/>
              <w:left w:val="nil"/>
              <w:bottom w:val="nil"/>
              <w:right w:val="nil"/>
            </w:tcBorders>
            <w:shd w:val="clear" w:color="auto" w:fill="auto"/>
            <w:noWrap/>
            <w:vAlign w:val="center"/>
            <w:hideMark/>
          </w:tcPr>
          <w:p w14:paraId="4B4711A5" w14:textId="77777777" w:rsidR="008B1750" w:rsidRPr="00A52F13" w:rsidRDefault="008B1750" w:rsidP="00E607DA">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007CD35E" w14:textId="77777777" w:rsidR="008B1750" w:rsidRPr="00A52F13" w:rsidRDefault="008B1750" w:rsidP="00E607DA">
            <w:pPr>
              <w:jc w:val="right"/>
              <w:rPr>
                <w:rFonts w:ascii="Meta Pro" w:eastAsia="Times New Roman" w:hAnsi="Meta Pro"/>
                <w:color w:val="000000"/>
                <w:szCs w:val="18"/>
                <w:lang w:eastAsia="en-AU"/>
              </w:rPr>
            </w:pPr>
            <w:r w:rsidRPr="00A52F13">
              <w:rPr>
                <w:rFonts w:ascii="Meta Pro" w:eastAsia="Times New Roman" w:hAnsi="Meta Pro"/>
                <w:color w:val="000000"/>
                <w:szCs w:val="18"/>
                <w:lang w:eastAsia="en-AU"/>
              </w:rPr>
              <w:t xml:space="preserve">3,614 </w:t>
            </w:r>
          </w:p>
        </w:tc>
        <w:tc>
          <w:tcPr>
            <w:tcW w:w="216" w:type="dxa"/>
            <w:tcBorders>
              <w:top w:val="nil"/>
              <w:left w:val="nil"/>
              <w:bottom w:val="nil"/>
              <w:right w:val="nil"/>
            </w:tcBorders>
            <w:shd w:val="clear" w:color="auto" w:fill="auto"/>
            <w:noWrap/>
            <w:vAlign w:val="center"/>
            <w:hideMark/>
          </w:tcPr>
          <w:p w14:paraId="4FC56A41" w14:textId="77777777" w:rsidR="008B1750" w:rsidRPr="00A52F13" w:rsidRDefault="008B1750"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638A26CA" w14:textId="77777777" w:rsidR="008B1750" w:rsidRPr="00A52F13" w:rsidRDefault="008B1750" w:rsidP="00E607DA">
            <w:pPr>
              <w:jc w:val="right"/>
              <w:rPr>
                <w:rFonts w:ascii="Meta Pro" w:eastAsia="Times New Roman" w:hAnsi="Meta Pro"/>
                <w:color w:val="000000"/>
                <w:szCs w:val="18"/>
                <w:lang w:eastAsia="en-AU"/>
              </w:rPr>
            </w:pPr>
            <w:r w:rsidRPr="00A52F13">
              <w:rPr>
                <w:rFonts w:ascii="Meta Pro" w:eastAsia="Times New Roman" w:hAnsi="Meta Pro"/>
                <w:color w:val="000000"/>
                <w:szCs w:val="18"/>
                <w:lang w:eastAsia="en-AU"/>
              </w:rPr>
              <w:t xml:space="preserve">- </w:t>
            </w:r>
          </w:p>
        </w:tc>
      </w:tr>
      <w:tr w:rsidR="008B1750" w:rsidRPr="00A52F13" w14:paraId="3FA8C7A0" w14:textId="77777777" w:rsidTr="00E607DA">
        <w:trPr>
          <w:trHeight w:val="240"/>
        </w:trPr>
        <w:tc>
          <w:tcPr>
            <w:tcW w:w="4848" w:type="dxa"/>
            <w:gridSpan w:val="2"/>
            <w:tcBorders>
              <w:top w:val="nil"/>
              <w:left w:val="nil"/>
              <w:bottom w:val="nil"/>
              <w:right w:val="nil"/>
            </w:tcBorders>
            <w:shd w:val="clear" w:color="auto" w:fill="auto"/>
            <w:noWrap/>
            <w:vAlign w:val="center"/>
            <w:hideMark/>
          </w:tcPr>
          <w:p w14:paraId="624699B4" w14:textId="77777777" w:rsidR="008B1750" w:rsidRPr="00A52F13" w:rsidRDefault="008B1750" w:rsidP="00E607DA">
            <w:pPr>
              <w:rPr>
                <w:rFonts w:ascii="Meta Pro" w:eastAsia="Times New Roman" w:hAnsi="Meta Pro"/>
                <w:color w:val="000000"/>
                <w:szCs w:val="18"/>
                <w:lang w:eastAsia="en-AU"/>
              </w:rPr>
            </w:pPr>
            <w:r w:rsidRPr="00A52F13">
              <w:rPr>
                <w:rFonts w:ascii="Meta Pro" w:eastAsia="Times New Roman" w:hAnsi="Meta Pro"/>
                <w:color w:val="000000"/>
                <w:szCs w:val="18"/>
                <w:lang w:eastAsia="en-AU"/>
              </w:rPr>
              <w:t>Operating result for the year</w:t>
            </w:r>
          </w:p>
        </w:tc>
        <w:tc>
          <w:tcPr>
            <w:tcW w:w="736" w:type="dxa"/>
            <w:gridSpan w:val="2"/>
            <w:tcBorders>
              <w:top w:val="nil"/>
              <w:left w:val="nil"/>
              <w:bottom w:val="single" w:sz="4" w:space="0" w:color="auto"/>
              <w:right w:val="nil"/>
            </w:tcBorders>
            <w:shd w:val="clear" w:color="auto" w:fill="auto"/>
            <w:noWrap/>
            <w:vAlign w:val="center"/>
            <w:hideMark/>
          </w:tcPr>
          <w:p w14:paraId="4983683B" w14:textId="77777777" w:rsidR="008B1750" w:rsidRPr="00A52F13" w:rsidRDefault="008B1750" w:rsidP="00E607DA">
            <w:pPr>
              <w:jc w:val="center"/>
              <w:rPr>
                <w:rFonts w:ascii="Meta Pro" w:eastAsia="Times New Roman" w:hAnsi="Meta Pro"/>
                <w:color w:val="000000"/>
                <w:szCs w:val="18"/>
                <w:lang w:eastAsia="en-AU"/>
              </w:rPr>
            </w:pPr>
            <w:r w:rsidRPr="00A52F13">
              <w:rPr>
                <w:rFonts w:ascii="Meta Pro" w:eastAsia="Times New Roman" w:hAnsi="Meta Pro"/>
                <w:color w:val="000000"/>
                <w:szCs w:val="18"/>
                <w:lang w:eastAsia="en-AU"/>
              </w:rPr>
              <w:t> </w:t>
            </w:r>
          </w:p>
        </w:tc>
        <w:tc>
          <w:tcPr>
            <w:tcW w:w="596" w:type="dxa"/>
            <w:tcBorders>
              <w:top w:val="nil"/>
              <w:left w:val="nil"/>
              <w:bottom w:val="nil"/>
              <w:right w:val="nil"/>
            </w:tcBorders>
            <w:shd w:val="clear" w:color="auto" w:fill="auto"/>
            <w:noWrap/>
            <w:vAlign w:val="center"/>
            <w:hideMark/>
          </w:tcPr>
          <w:p w14:paraId="5142711B" w14:textId="77777777" w:rsidR="008B1750" w:rsidRPr="00A52F13" w:rsidRDefault="008B1750" w:rsidP="00E607DA">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7CF9F232" w14:textId="77777777" w:rsidR="008B1750" w:rsidRPr="00A52F13" w:rsidRDefault="008B1750" w:rsidP="00E607DA">
            <w:pPr>
              <w:jc w:val="right"/>
              <w:rPr>
                <w:rFonts w:ascii="Meta Pro" w:eastAsia="Times New Roman" w:hAnsi="Meta Pro"/>
                <w:color w:val="000000"/>
                <w:szCs w:val="18"/>
                <w:lang w:eastAsia="en-AU"/>
              </w:rPr>
            </w:pPr>
            <w:r w:rsidRPr="00A52F13">
              <w:rPr>
                <w:rFonts w:ascii="Meta Pro" w:eastAsia="Times New Roman" w:hAnsi="Meta Pro"/>
                <w:color w:val="000000"/>
                <w:szCs w:val="18"/>
                <w:lang w:eastAsia="en-AU"/>
              </w:rPr>
              <w:t>(61,079)</w:t>
            </w:r>
          </w:p>
        </w:tc>
        <w:tc>
          <w:tcPr>
            <w:tcW w:w="216" w:type="dxa"/>
            <w:tcBorders>
              <w:top w:val="nil"/>
              <w:left w:val="nil"/>
              <w:bottom w:val="nil"/>
              <w:right w:val="nil"/>
            </w:tcBorders>
            <w:shd w:val="clear" w:color="auto" w:fill="auto"/>
            <w:noWrap/>
            <w:vAlign w:val="center"/>
            <w:hideMark/>
          </w:tcPr>
          <w:p w14:paraId="1BCD5CC1" w14:textId="77777777" w:rsidR="008B1750" w:rsidRPr="00A52F13" w:rsidRDefault="008B1750"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306C23DE" w14:textId="77777777" w:rsidR="008B1750" w:rsidRPr="00A52F13" w:rsidRDefault="008B1750" w:rsidP="00E607DA">
            <w:pPr>
              <w:jc w:val="right"/>
              <w:rPr>
                <w:rFonts w:ascii="Meta Pro" w:eastAsia="Times New Roman" w:hAnsi="Meta Pro"/>
                <w:color w:val="000000"/>
                <w:szCs w:val="18"/>
                <w:lang w:eastAsia="en-AU"/>
              </w:rPr>
            </w:pPr>
            <w:r w:rsidRPr="00A52F13">
              <w:rPr>
                <w:rFonts w:ascii="Meta Pro" w:eastAsia="Times New Roman" w:hAnsi="Meta Pro"/>
                <w:color w:val="000000"/>
                <w:szCs w:val="18"/>
                <w:lang w:eastAsia="en-AU"/>
              </w:rPr>
              <w:t xml:space="preserve">14,676 </w:t>
            </w:r>
          </w:p>
        </w:tc>
      </w:tr>
      <w:tr w:rsidR="008B1750" w:rsidRPr="00A52F13" w14:paraId="236A06FB" w14:textId="77777777" w:rsidTr="00E607DA">
        <w:trPr>
          <w:trHeight w:val="240"/>
        </w:trPr>
        <w:tc>
          <w:tcPr>
            <w:tcW w:w="4848" w:type="dxa"/>
            <w:gridSpan w:val="2"/>
            <w:tcBorders>
              <w:top w:val="single" w:sz="4" w:space="0" w:color="auto"/>
              <w:left w:val="nil"/>
              <w:bottom w:val="nil"/>
              <w:right w:val="nil"/>
            </w:tcBorders>
            <w:shd w:val="clear" w:color="auto" w:fill="auto"/>
            <w:noWrap/>
            <w:vAlign w:val="center"/>
            <w:hideMark/>
          </w:tcPr>
          <w:p w14:paraId="48FF2602" w14:textId="77777777" w:rsidR="008B1750" w:rsidRPr="00A52F13" w:rsidRDefault="008B1750" w:rsidP="00E607DA">
            <w:pPr>
              <w:rPr>
                <w:rFonts w:ascii="Meta Pro" w:eastAsia="Times New Roman" w:hAnsi="Meta Pro"/>
                <w:b/>
                <w:bCs/>
                <w:color w:val="000000"/>
                <w:szCs w:val="18"/>
                <w:lang w:eastAsia="en-AU"/>
              </w:rPr>
            </w:pPr>
            <w:r w:rsidRPr="00A52F13">
              <w:rPr>
                <w:rFonts w:ascii="Meta Pro" w:eastAsia="Times New Roman" w:hAnsi="Meta Pro"/>
                <w:b/>
                <w:bCs/>
                <w:color w:val="000000"/>
                <w:szCs w:val="18"/>
                <w:lang w:eastAsia="en-AU"/>
              </w:rPr>
              <w:t>Closing balance</w:t>
            </w:r>
          </w:p>
        </w:tc>
        <w:tc>
          <w:tcPr>
            <w:tcW w:w="736" w:type="dxa"/>
            <w:gridSpan w:val="2"/>
            <w:tcBorders>
              <w:top w:val="single" w:sz="4" w:space="0" w:color="auto"/>
              <w:left w:val="nil"/>
              <w:bottom w:val="nil"/>
              <w:right w:val="nil"/>
            </w:tcBorders>
            <w:shd w:val="clear" w:color="auto" w:fill="auto"/>
            <w:noWrap/>
            <w:vAlign w:val="center"/>
            <w:hideMark/>
          </w:tcPr>
          <w:p w14:paraId="7F61EF3E" w14:textId="77777777" w:rsidR="008B1750" w:rsidRPr="00A52F13" w:rsidRDefault="008B1750" w:rsidP="00E607DA">
            <w:pPr>
              <w:jc w:val="center"/>
              <w:rPr>
                <w:rFonts w:ascii="Meta Pro" w:eastAsia="Times New Roman" w:hAnsi="Meta Pro"/>
                <w:b/>
                <w:bCs/>
                <w:color w:val="000000"/>
                <w:szCs w:val="18"/>
                <w:lang w:eastAsia="en-AU"/>
              </w:rPr>
            </w:pPr>
            <w:r w:rsidRPr="00A52F13">
              <w:rPr>
                <w:rFonts w:ascii="Meta Pro" w:eastAsia="Times New Roman" w:hAnsi="Meta Pro"/>
                <w:b/>
                <w:bCs/>
                <w:color w:val="000000"/>
                <w:szCs w:val="18"/>
                <w:lang w:eastAsia="en-AU"/>
              </w:rPr>
              <w:t> </w:t>
            </w:r>
          </w:p>
        </w:tc>
        <w:tc>
          <w:tcPr>
            <w:tcW w:w="596" w:type="dxa"/>
            <w:tcBorders>
              <w:top w:val="single" w:sz="4" w:space="0" w:color="auto"/>
              <w:left w:val="nil"/>
              <w:bottom w:val="nil"/>
              <w:right w:val="nil"/>
            </w:tcBorders>
            <w:shd w:val="clear" w:color="auto" w:fill="auto"/>
            <w:noWrap/>
            <w:vAlign w:val="center"/>
            <w:hideMark/>
          </w:tcPr>
          <w:p w14:paraId="6B241987" w14:textId="77777777" w:rsidR="008B1750" w:rsidRPr="00A52F13" w:rsidRDefault="008B1750" w:rsidP="00E607DA">
            <w:pPr>
              <w:rPr>
                <w:rFonts w:ascii="Meta Pro" w:eastAsia="Times New Roman" w:hAnsi="Meta Pro"/>
                <w:b/>
                <w:bCs/>
                <w:color w:val="000000"/>
                <w:szCs w:val="18"/>
                <w:lang w:eastAsia="en-AU"/>
              </w:rPr>
            </w:pPr>
            <w:r w:rsidRPr="00A52F13">
              <w:rPr>
                <w:rFonts w:ascii="Meta Pro" w:eastAsia="Times New Roman" w:hAnsi="Meta Pro"/>
                <w:b/>
                <w:bCs/>
                <w:color w:val="000000"/>
                <w:szCs w:val="18"/>
                <w:lang w:eastAsia="en-AU"/>
              </w:rPr>
              <w:t> </w:t>
            </w:r>
          </w:p>
        </w:tc>
        <w:tc>
          <w:tcPr>
            <w:tcW w:w="1514" w:type="dxa"/>
            <w:tcBorders>
              <w:top w:val="single" w:sz="4" w:space="0" w:color="auto"/>
              <w:left w:val="nil"/>
              <w:bottom w:val="nil"/>
              <w:right w:val="nil"/>
            </w:tcBorders>
            <w:shd w:val="clear" w:color="000000" w:fill="C9E3B4"/>
            <w:noWrap/>
            <w:vAlign w:val="center"/>
            <w:hideMark/>
          </w:tcPr>
          <w:p w14:paraId="62F4418F" w14:textId="77777777" w:rsidR="008B1750" w:rsidRPr="00A52F13" w:rsidRDefault="008B1750" w:rsidP="00E607DA">
            <w:pPr>
              <w:jc w:val="right"/>
              <w:rPr>
                <w:rFonts w:ascii="Meta Pro" w:eastAsia="Times New Roman" w:hAnsi="Meta Pro"/>
                <w:b/>
                <w:bCs/>
                <w:color w:val="000000"/>
                <w:szCs w:val="18"/>
                <w:lang w:eastAsia="en-AU"/>
              </w:rPr>
            </w:pPr>
            <w:r w:rsidRPr="00A52F13">
              <w:rPr>
                <w:rFonts w:ascii="Meta Pro" w:eastAsia="Times New Roman" w:hAnsi="Meta Pro"/>
                <w:b/>
                <w:bCs/>
                <w:color w:val="000000"/>
                <w:szCs w:val="18"/>
                <w:lang w:eastAsia="en-AU"/>
              </w:rPr>
              <w:t xml:space="preserve">             3,677,607 </w:t>
            </w:r>
          </w:p>
        </w:tc>
        <w:tc>
          <w:tcPr>
            <w:tcW w:w="216" w:type="dxa"/>
            <w:tcBorders>
              <w:top w:val="single" w:sz="4" w:space="0" w:color="auto"/>
              <w:left w:val="nil"/>
              <w:bottom w:val="nil"/>
              <w:right w:val="nil"/>
            </w:tcBorders>
            <w:shd w:val="clear" w:color="auto" w:fill="auto"/>
            <w:noWrap/>
            <w:vAlign w:val="center"/>
            <w:hideMark/>
          </w:tcPr>
          <w:p w14:paraId="4F83EBFB" w14:textId="77777777" w:rsidR="008B1750" w:rsidRPr="00A52F13" w:rsidRDefault="008B1750" w:rsidP="00E607DA">
            <w:pPr>
              <w:jc w:val="right"/>
              <w:rPr>
                <w:rFonts w:ascii="Meta Pro" w:eastAsia="Times New Roman" w:hAnsi="Meta Pro"/>
                <w:b/>
                <w:bCs/>
                <w:color w:val="000000"/>
                <w:szCs w:val="18"/>
                <w:lang w:eastAsia="en-AU"/>
              </w:rPr>
            </w:pPr>
            <w:r w:rsidRPr="00A52F13">
              <w:rPr>
                <w:rFonts w:ascii="Meta Pro" w:eastAsia="Times New Roman" w:hAnsi="Meta Pro"/>
                <w:b/>
                <w:bCs/>
                <w:color w:val="000000"/>
                <w:szCs w:val="18"/>
                <w:lang w:eastAsia="en-AU"/>
              </w:rPr>
              <w:t> </w:t>
            </w:r>
          </w:p>
        </w:tc>
        <w:tc>
          <w:tcPr>
            <w:tcW w:w="1514" w:type="dxa"/>
            <w:tcBorders>
              <w:top w:val="single" w:sz="4" w:space="0" w:color="auto"/>
              <w:left w:val="nil"/>
              <w:bottom w:val="nil"/>
              <w:right w:val="nil"/>
            </w:tcBorders>
            <w:shd w:val="clear" w:color="auto" w:fill="auto"/>
            <w:noWrap/>
            <w:vAlign w:val="center"/>
            <w:hideMark/>
          </w:tcPr>
          <w:p w14:paraId="1300DEA4" w14:textId="77777777" w:rsidR="008B1750" w:rsidRPr="00A52F13" w:rsidRDefault="008B1750" w:rsidP="00E607DA">
            <w:pPr>
              <w:jc w:val="right"/>
              <w:rPr>
                <w:rFonts w:ascii="Meta Pro" w:eastAsia="Times New Roman" w:hAnsi="Meta Pro"/>
                <w:b/>
                <w:bCs/>
                <w:color w:val="000000"/>
                <w:szCs w:val="18"/>
                <w:lang w:eastAsia="en-AU"/>
              </w:rPr>
            </w:pPr>
            <w:r w:rsidRPr="00A52F13">
              <w:rPr>
                <w:rFonts w:ascii="Meta Pro" w:eastAsia="Times New Roman" w:hAnsi="Meta Pro"/>
                <w:b/>
                <w:bCs/>
                <w:color w:val="000000"/>
                <w:szCs w:val="18"/>
                <w:lang w:eastAsia="en-AU"/>
              </w:rPr>
              <w:t xml:space="preserve">             3,735,072 </w:t>
            </w:r>
          </w:p>
        </w:tc>
      </w:tr>
      <w:tr w:rsidR="008B1750" w:rsidRPr="00A52F13" w14:paraId="1D1C2027" w14:textId="77777777" w:rsidTr="00E607DA">
        <w:trPr>
          <w:trHeight w:val="240"/>
        </w:trPr>
        <w:tc>
          <w:tcPr>
            <w:tcW w:w="216" w:type="dxa"/>
            <w:tcBorders>
              <w:top w:val="nil"/>
              <w:left w:val="nil"/>
              <w:bottom w:val="nil"/>
              <w:right w:val="nil"/>
            </w:tcBorders>
            <w:shd w:val="clear" w:color="auto" w:fill="auto"/>
            <w:noWrap/>
            <w:vAlign w:val="center"/>
            <w:hideMark/>
          </w:tcPr>
          <w:p w14:paraId="359A9703" w14:textId="77777777" w:rsidR="008B1750" w:rsidRPr="00A52F13" w:rsidRDefault="008B1750" w:rsidP="00E607DA">
            <w:pPr>
              <w:jc w:val="right"/>
              <w:rPr>
                <w:rFonts w:ascii="Meta Pro" w:eastAsia="Times New Roman" w:hAnsi="Meta Pro"/>
                <w:b/>
                <w:bCs/>
                <w:color w:val="000000"/>
                <w:szCs w:val="18"/>
                <w:lang w:eastAsia="en-AU"/>
              </w:rPr>
            </w:pPr>
          </w:p>
        </w:tc>
        <w:tc>
          <w:tcPr>
            <w:tcW w:w="4848" w:type="dxa"/>
            <w:tcBorders>
              <w:top w:val="nil"/>
              <w:left w:val="nil"/>
              <w:bottom w:val="nil"/>
              <w:right w:val="nil"/>
            </w:tcBorders>
            <w:shd w:val="clear" w:color="auto" w:fill="auto"/>
            <w:noWrap/>
            <w:vAlign w:val="center"/>
            <w:hideMark/>
          </w:tcPr>
          <w:p w14:paraId="06A0210A" w14:textId="77777777" w:rsidR="008B1750" w:rsidRPr="00A52F13" w:rsidRDefault="008B1750" w:rsidP="00E607DA">
            <w:pPr>
              <w:rPr>
                <w:rFonts w:eastAsia="Times New Roman" w:cs="Times New Roman"/>
                <w:sz w:val="20"/>
                <w:szCs w:val="20"/>
                <w:lang w:eastAsia="en-AU"/>
              </w:rPr>
            </w:pPr>
          </w:p>
        </w:tc>
        <w:tc>
          <w:tcPr>
            <w:tcW w:w="736" w:type="dxa"/>
            <w:gridSpan w:val="2"/>
            <w:tcBorders>
              <w:top w:val="nil"/>
              <w:left w:val="nil"/>
              <w:bottom w:val="nil"/>
              <w:right w:val="nil"/>
            </w:tcBorders>
            <w:shd w:val="clear" w:color="auto" w:fill="auto"/>
            <w:noWrap/>
            <w:vAlign w:val="center"/>
            <w:hideMark/>
          </w:tcPr>
          <w:p w14:paraId="48203308" w14:textId="77777777" w:rsidR="008B1750" w:rsidRPr="00A52F13" w:rsidRDefault="008B1750" w:rsidP="00E607DA">
            <w:pPr>
              <w:rPr>
                <w:rFonts w:eastAsia="Times New Roman" w:cs="Times New Roman"/>
                <w:sz w:val="20"/>
                <w:szCs w:val="20"/>
                <w:lang w:eastAsia="en-AU"/>
              </w:rPr>
            </w:pPr>
          </w:p>
        </w:tc>
        <w:tc>
          <w:tcPr>
            <w:tcW w:w="596" w:type="dxa"/>
            <w:tcBorders>
              <w:top w:val="nil"/>
              <w:left w:val="nil"/>
              <w:bottom w:val="nil"/>
              <w:right w:val="nil"/>
            </w:tcBorders>
            <w:shd w:val="clear" w:color="auto" w:fill="auto"/>
            <w:noWrap/>
            <w:vAlign w:val="center"/>
            <w:hideMark/>
          </w:tcPr>
          <w:p w14:paraId="16528ECE" w14:textId="77777777" w:rsidR="008B1750" w:rsidRPr="00A52F13" w:rsidRDefault="008B1750" w:rsidP="00E607DA">
            <w:pPr>
              <w:jc w:val="center"/>
              <w:rPr>
                <w:rFonts w:eastAsia="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783D2097" w14:textId="77777777" w:rsidR="008B1750" w:rsidRPr="00A52F13" w:rsidRDefault="008B1750" w:rsidP="00E607DA">
            <w:pPr>
              <w:jc w:val="right"/>
              <w:rPr>
                <w:rFonts w:ascii="Meta Pro" w:eastAsia="Times New Roman" w:hAnsi="Meta Pro"/>
                <w:color w:val="000000"/>
                <w:szCs w:val="18"/>
                <w:lang w:eastAsia="en-AU"/>
              </w:rPr>
            </w:pPr>
            <w:r w:rsidRPr="00A52F13">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5C18440E" w14:textId="77777777" w:rsidR="008B1750" w:rsidRPr="00A52F13" w:rsidRDefault="008B1750"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29F7A906" w14:textId="77777777" w:rsidR="008B1750" w:rsidRPr="00A52F13" w:rsidRDefault="008B1750" w:rsidP="00E607DA">
            <w:pPr>
              <w:jc w:val="right"/>
              <w:rPr>
                <w:rFonts w:eastAsia="Times New Roman" w:cs="Times New Roman"/>
                <w:sz w:val="20"/>
                <w:szCs w:val="20"/>
                <w:lang w:eastAsia="en-AU"/>
              </w:rPr>
            </w:pPr>
          </w:p>
        </w:tc>
      </w:tr>
      <w:tr w:rsidR="008B1750" w:rsidRPr="00A52F13" w14:paraId="2D30D9D1" w14:textId="77777777" w:rsidTr="00E607DA">
        <w:trPr>
          <w:trHeight w:val="240"/>
        </w:trPr>
        <w:tc>
          <w:tcPr>
            <w:tcW w:w="4848" w:type="dxa"/>
            <w:gridSpan w:val="2"/>
            <w:tcBorders>
              <w:top w:val="nil"/>
              <w:left w:val="nil"/>
              <w:bottom w:val="nil"/>
              <w:right w:val="nil"/>
            </w:tcBorders>
            <w:shd w:val="clear" w:color="auto" w:fill="auto"/>
            <w:noWrap/>
            <w:vAlign w:val="center"/>
            <w:hideMark/>
          </w:tcPr>
          <w:p w14:paraId="5B0A2AE5" w14:textId="77777777" w:rsidR="008B1750" w:rsidRPr="00A52F13" w:rsidRDefault="008B1750" w:rsidP="00E607DA">
            <w:pPr>
              <w:rPr>
                <w:rFonts w:ascii="Meta Pro" w:eastAsia="Times New Roman" w:hAnsi="Meta Pro"/>
                <w:b/>
                <w:bCs/>
                <w:color w:val="000000"/>
                <w:szCs w:val="18"/>
                <w:lang w:eastAsia="en-AU"/>
              </w:rPr>
            </w:pPr>
            <w:r w:rsidRPr="00A52F13">
              <w:rPr>
                <w:rFonts w:ascii="Meta Pro" w:eastAsia="Times New Roman" w:hAnsi="Meta Pro"/>
                <w:b/>
                <w:bCs/>
                <w:color w:val="000000"/>
                <w:szCs w:val="18"/>
                <w:lang w:eastAsia="en-AU"/>
              </w:rPr>
              <w:t>Asset revaluation surplus</w:t>
            </w:r>
          </w:p>
        </w:tc>
        <w:tc>
          <w:tcPr>
            <w:tcW w:w="736" w:type="dxa"/>
            <w:gridSpan w:val="2"/>
            <w:tcBorders>
              <w:top w:val="nil"/>
              <w:left w:val="nil"/>
              <w:bottom w:val="nil"/>
              <w:right w:val="nil"/>
            </w:tcBorders>
            <w:shd w:val="clear" w:color="auto" w:fill="auto"/>
            <w:noWrap/>
            <w:vAlign w:val="center"/>
            <w:hideMark/>
          </w:tcPr>
          <w:p w14:paraId="301C6BE8" w14:textId="77777777" w:rsidR="008B1750" w:rsidRPr="00A52F13" w:rsidRDefault="008B1750" w:rsidP="00E607DA">
            <w:pPr>
              <w:rPr>
                <w:rFonts w:ascii="Meta Pro" w:eastAsia="Times New Roman" w:hAnsi="Meta Pro"/>
                <w:b/>
                <w:bCs/>
                <w:color w:val="000000"/>
                <w:szCs w:val="18"/>
                <w:lang w:eastAsia="en-AU"/>
              </w:rPr>
            </w:pPr>
          </w:p>
        </w:tc>
        <w:tc>
          <w:tcPr>
            <w:tcW w:w="596" w:type="dxa"/>
            <w:tcBorders>
              <w:top w:val="nil"/>
              <w:left w:val="nil"/>
              <w:bottom w:val="nil"/>
              <w:right w:val="nil"/>
            </w:tcBorders>
            <w:shd w:val="clear" w:color="auto" w:fill="auto"/>
            <w:noWrap/>
            <w:vAlign w:val="center"/>
            <w:hideMark/>
          </w:tcPr>
          <w:p w14:paraId="4D647F84" w14:textId="77777777" w:rsidR="008B1750" w:rsidRPr="00A52F13" w:rsidRDefault="008B1750" w:rsidP="00E607DA">
            <w:pPr>
              <w:jc w:val="center"/>
              <w:rPr>
                <w:rFonts w:eastAsia="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237CDBCC" w14:textId="77777777" w:rsidR="008B1750" w:rsidRPr="00A52F13" w:rsidRDefault="008B1750" w:rsidP="00E607DA">
            <w:pPr>
              <w:jc w:val="right"/>
              <w:rPr>
                <w:rFonts w:ascii="Meta Pro" w:eastAsia="Times New Roman" w:hAnsi="Meta Pro"/>
                <w:color w:val="000000"/>
                <w:szCs w:val="18"/>
                <w:lang w:eastAsia="en-AU"/>
              </w:rPr>
            </w:pPr>
            <w:r w:rsidRPr="00A52F13">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0808E9B8" w14:textId="77777777" w:rsidR="008B1750" w:rsidRPr="00A52F13" w:rsidRDefault="008B1750"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58FAEBB1" w14:textId="77777777" w:rsidR="008B1750" w:rsidRPr="00A52F13" w:rsidRDefault="008B1750" w:rsidP="00E607DA">
            <w:pPr>
              <w:jc w:val="right"/>
              <w:rPr>
                <w:rFonts w:eastAsia="Times New Roman" w:cs="Times New Roman"/>
                <w:sz w:val="20"/>
                <w:szCs w:val="20"/>
                <w:lang w:eastAsia="en-AU"/>
              </w:rPr>
            </w:pPr>
          </w:p>
        </w:tc>
      </w:tr>
      <w:tr w:rsidR="008B1750" w:rsidRPr="00A52F13" w14:paraId="51B86FFC" w14:textId="77777777" w:rsidTr="00E607DA">
        <w:trPr>
          <w:trHeight w:val="240"/>
        </w:trPr>
        <w:tc>
          <w:tcPr>
            <w:tcW w:w="4848" w:type="dxa"/>
            <w:gridSpan w:val="2"/>
            <w:tcBorders>
              <w:top w:val="nil"/>
              <w:left w:val="nil"/>
              <w:bottom w:val="nil"/>
              <w:right w:val="nil"/>
            </w:tcBorders>
            <w:shd w:val="clear" w:color="auto" w:fill="auto"/>
            <w:noWrap/>
            <w:vAlign w:val="center"/>
            <w:hideMark/>
          </w:tcPr>
          <w:p w14:paraId="4620EBB6" w14:textId="77777777" w:rsidR="008B1750" w:rsidRPr="00A52F13" w:rsidRDefault="008B1750" w:rsidP="00E607DA">
            <w:pPr>
              <w:rPr>
                <w:rFonts w:ascii="Meta Pro" w:eastAsia="Times New Roman" w:hAnsi="Meta Pro"/>
                <w:color w:val="000000"/>
                <w:szCs w:val="18"/>
                <w:lang w:eastAsia="en-AU"/>
              </w:rPr>
            </w:pPr>
            <w:r w:rsidRPr="00A52F13">
              <w:rPr>
                <w:rFonts w:ascii="Meta Pro" w:eastAsia="Times New Roman" w:hAnsi="Meta Pro"/>
                <w:color w:val="000000"/>
                <w:szCs w:val="18"/>
                <w:lang w:eastAsia="en-AU"/>
              </w:rPr>
              <w:t xml:space="preserve">Opening balance </w:t>
            </w:r>
          </w:p>
        </w:tc>
        <w:tc>
          <w:tcPr>
            <w:tcW w:w="736" w:type="dxa"/>
            <w:gridSpan w:val="2"/>
            <w:tcBorders>
              <w:top w:val="nil"/>
              <w:left w:val="nil"/>
              <w:bottom w:val="nil"/>
              <w:right w:val="nil"/>
            </w:tcBorders>
            <w:shd w:val="clear" w:color="auto" w:fill="auto"/>
            <w:noWrap/>
            <w:vAlign w:val="center"/>
            <w:hideMark/>
          </w:tcPr>
          <w:p w14:paraId="77FF7536" w14:textId="77777777" w:rsidR="008B1750" w:rsidRPr="00A52F13" w:rsidRDefault="008B1750" w:rsidP="00E607DA">
            <w:pPr>
              <w:rPr>
                <w:rFonts w:ascii="Meta Pro" w:eastAsia="Times New Roman" w:hAnsi="Meta Pro"/>
                <w:color w:val="000000"/>
                <w:szCs w:val="18"/>
                <w:lang w:eastAsia="en-AU"/>
              </w:rPr>
            </w:pPr>
          </w:p>
        </w:tc>
        <w:tc>
          <w:tcPr>
            <w:tcW w:w="596" w:type="dxa"/>
            <w:tcBorders>
              <w:top w:val="nil"/>
              <w:left w:val="nil"/>
              <w:bottom w:val="nil"/>
              <w:right w:val="nil"/>
            </w:tcBorders>
            <w:shd w:val="clear" w:color="auto" w:fill="auto"/>
            <w:noWrap/>
            <w:vAlign w:val="center"/>
            <w:hideMark/>
          </w:tcPr>
          <w:p w14:paraId="1E409F7E" w14:textId="77777777" w:rsidR="008B1750" w:rsidRPr="00A52F13" w:rsidRDefault="008B1750" w:rsidP="00E607DA">
            <w:pPr>
              <w:jc w:val="center"/>
              <w:rPr>
                <w:rFonts w:eastAsia="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30335674" w14:textId="77777777" w:rsidR="008B1750" w:rsidRPr="00A52F13" w:rsidRDefault="008B1750" w:rsidP="00E607DA">
            <w:pPr>
              <w:jc w:val="right"/>
              <w:rPr>
                <w:rFonts w:ascii="Meta Pro" w:eastAsia="Times New Roman" w:hAnsi="Meta Pro"/>
                <w:color w:val="000000"/>
                <w:szCs w:val="18"/>
                <w:lang w:eastAsia="en-AU"/>
              </w:rPr>
            </w:pPr>
            <w:r w:rsidRPr="00A52F13">
              <w:rPr>
                <w:rFonts w:ascii="Meta Pro" w:eastAsia="Times New Roman" w:hAnsi="Meta Pro"/>
                <w:color w:val="000000"/>
                <w:szCs w:val="18"/>
                <w:lang w:eastAsia="en-AU"/>
              </w:rPr>
              <w:t xml:space="preserve">            10,177,214 </w:t>
            </w:r>
          </w:p>
        </w:tc>
        <w:tc>
          <w:tcPr>
            <w:tcW w:w="216" w:type="dxa"/>
            <w:tcBorders>
              <w:top w:val="nil"/>
              <w:left w:val="nil"/>
              <w:bottom w:val="nil"/>
              <w:right w:val="nil"/>
            </w:tcBorders>
            <w:shd w:val="clear" w:color="auto" w:fill="auto"/>
            <w:noWrap/>
            <w:vAlign w:val="center"/>
            <w:hideMark/>
          </w:tcPr>
          <w:p w14:paraId="3C886407" w14:textId="77777777" w:rsidR="008B1750" w:rsidRPr="00A52F13" w:rsidRDefault="008B1750"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577229BF" w14:textId="77777777" w:rsidR="008B1750" w:rsidRPr="00A52F13" w:rsidRDefault="008B1750" w:rsidP="00E607DA">
            <w:pPr>
              <w:jc w:val="right"/>
              <w:rPr>
                <w:rFonts w:ascii="Meta Pro" w:eastAsia="Times New Roman" w:hAnsi="Meta Pro"/>
                <w:color w:val="000000"/>
                <w:szCs w:val="18"/>
                <w:lang w:eastAsia="en-AU"/>
              </w:rPr>
            </w:pPr>
            <w:r w:rsidRPr="00A52F13">
              <w:rPr>
                <w:rFonts w:ascii="Meta Pro" w:eastAsia="Times New Roman" w:hAnsi="Meta Pro"/>
                <w:color w:val="000000"/>
                <w:szCs w:val="18"/>
                <w:lang w:eastAsia="en-AU"/>
              </w:rPr>
              <w:t xml:space="preserve">             7,223,526 </w:t>
            </w:r>
          </w:p>
        </w:tc>
      </w:tr>
      <w:tr w:rsidR="008B1750" w:rsidRPr="00A52F13" w14:paraId="57A9C4CF" w14:textId="77777777" w:rsidTr="00E607DA">
        <w:trPr>
          <w:trHeight w:val="240"/>
        </w:trPr>
        <w:tc>
          <w:tcPr>
            <w:tcW w:w="4848" w:type="dxa"/>
            <w:gridSpan w:val="2"/>
            <w:tcBorders>
              <w:top w:val="nil"/>
              <w:left w:val="nil"/>
              <w:bottom w:val="nil"/>
              <w:right w:val="nil"/>
            </w:tcBorders>
            <w:shd w:val="clear" w:color="auto" w:fill="auto"/>
            <w:vAlign w:val="center"/>
            <w:hideMark/>
          </w:tcPr>
          <w:p w14:paraId="2BACEA18" w14:textId="77777777" w:rsidR="008B1750" w:rsidRPr="00A52F13" w:rsidRDefault="008B1750" w:rsidP="00E607DA">
            <w:pPr>
              <w:rPr>
                <w:rFonts w:ascii="Meta Pro" w:eastAsia="Times New Roman" w:hAnsi="Meta Pro"/>
                <w:color w:val="000000"/>
                <w:szCs w:val="18"/>
                <w:lang w:eastAsia="en-AU"/>
              </w:rPr>
            </w:pPr>
            <w:r w:rsidRPr="00A52F13">
              <w:rPr>
                <w:rFonts w:ascii="Meta Pro" w:eastAsia="Times New Roman" w:hAnsi="Meta Pro"/>
                <w:color w:val="000000"/>
                <w:szCs w:val="18"/>
                <w:lang w:eastAsia="en-AU"/>
              </w:rPr>
              <w:t>Derecognition of heritage and cultural asset class through</w:t>
            </w:r>
          </w:p>
        </w:tc>
        <w:tc>
          <w:tcPr>
            <w:tcW w:w="736" w:type="dxa"/>
            <w:gridSpan w:val="2"/>
            <w:tcBorders>
              <w:top w:val="nil"/>
              <w:left w:val="nil"/>
              <w:bottom w:val="nil"/>
              <w:right w:val="nil"/>
            </w:tcBorders>
            <w:shd w:val="clear" w:color="auto" w:fill="auto"/>
            <w:noWrap/>
            <w:vAlign w:val="center"/>
            <w:hideMark/>
          </w:tcPr>
          <w:p w14:paraId="239D6281" w14:textId="77777777" w:rsidR="008B1750" w:rsidRPr="00A52F13" w:rsidRDefault="008B1750" w:rsidP="00E607DA">
            <w:pPr>
              <w:rPr>
                <w:rFonts w:ascii="Meta Pro" w:eastAsia="Times New Roman" w:hAnsi="Meta Pro"/>
                <w:color w:val="000000"/>
                <w:szCs w:val="18"/>
                <w:lang w:eastAsia="en-AU"/>
              </w:rPr>
            </w:pPr>
          </w:p>
        </w:tc>
        <w:tc>
          <w:tcPr>
            <w:tcW w:w="596" w:type="dxa"/>
            <w:tcBorders>
              <w:top w:val="nil"/>
              <w:left w:val="nil"/>
              <w:bottom w:val="nil"/>
              <w:right w:val="nil"/>
            </w:tcBorders>
            <w:shd w:val="clear" w:color="auto" w:fill="auto"/>
            <w:noWrap/>
            <w:vAlign w:val="center"/>
            <w:hideMark/>
          </w:tcPr>
          <w:p w14:paraId="67D8A2C9" w14:textId="77777777" w:rsidR="008B1750" w:rsidRPr="00A52F13" w:rsidRDefault="008B1750" w:rsidP="00E607DA">
            <w:pPr>
              <w:jc w:val="center"/>
              <w:rPr>
                <w:rFonts w:eastAsia="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7CE9F47F" w14:textId="77777777" w:rsidR="008B1750" w:rsidRPr="00A52F13" w:rsidRDefault="008B1750" w:rsidP="00E607DA">
            <w:pPr>
              <w:jc w:val="right"/>
              <w:rPr>
                <w:rFonts w:ascii="Meta Pro" w:eastAsia="Times New Roman" w:hAnsi="Meta Pro"/>
                <w:color w:val="000000"/>
                <w:szCs w:val="18"/>
                <w:lang w:eastAsia="en-AU"/>
              </w:rPr>
            </w:pPr>
            <w:r w:rsidRPr="00A52F13">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3655B987" w14:textId="77777777" w:rsidR="008B1750" w:rsidRPr="00A52F13" w:rsidRDefault="008B1750"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11BB4098" w14:textId="77777777" w:rsidR="008B1750" w:rsidRPr="00A52F13" w:rsidRDefault="008B1750" w:rsidP="00E607DA">
            <w:pPr>
              <w:jc w:val="right"/>
              <w:rPr>
                <w:rFonts w:eastAsia="Times New Roman" w:cs="Times New Roman"/>
                <w:sz w:val="20"/>
                <w:szCs w:val="20"/>
                <w:lang w:eastAsia="en-AU"/>
              </w:rPr>
            </w:pPr>
          </w:p>
        </w:tc>
      </w:tr>
      <w:tr w:rsidR="008B1750" w:rsidRPr="00A52F13" w14:paraId="5BBD9CA0" w14:textId="77777777" w:rsidTr="00E607DA">
        <w:trPr>
          <w:trHeight w:val="240"/>
        </w:trPr>
        <w:tc>
          <w:tcPr>
            <w:tcW w:w="4848" w:type="dxa"/>
            <w:gridSpan w:val="2"/>
            <w:tcBorders>
              <w:top w:val="nil"/>
              <w:left w:val="nil"/>
              <w:bottom w:val="nil"/>
              <w:right w:val="nil"/>
            </w:tcBorders>
            <w:shd w:val="clear" w:color="auto" w:fill="auto"/>
            <w:noWrap/>
            <w:vAlign w:val="center"/>
            <w:hideMark/>
          </w:tcPr>
          <w:p w14:paraId="26F01EE1" w14:textId="77777777" w:rsidR="008B1750" w:rsidRPr="00A52F13" w:rsidRDefault="008B1750" w:rsidP="00E607DA">
            <w:pPr>
              <w:rPr>
                <w:rFonts w:ascii="Meta Pro" w:eastAsia="Times New Roman" w:hAnsi="Meta Pro"/>
                <w:color w:val="000000"/>
                <w:szCs w:val="18"/>
                <w:lang w:eastAsia="en-AU"/>
              </w:rPr>
            </w:pPr>
            <w:r w:rsidRPr="00A52F13">
              <w:rPr>
                <w:rFonts w:ascii="Meta Pro" w:eastAsia="Times New Roman" w:hAnsi="Meta Pro"/>
                <w:color w:val="000000"/>
                <w:szCs w:val="18"/>
                <w:lang w:eastAsia="en-AU"/>
              </w:rPr>
              <w:t xml:space="preserve"> accumulated surplus/deficit *</w:t>
            </w:r>
          </w:p>
        </w:tc>
        <w:tc>
          <w:tcPr>
            <w:tcW w:w="736" w:type="dxa"/>
            <w:gridSpan w:val="2"/>
            <w:tcBorders>
              <w:top w:val="nil"/>
              <w:left w:val="nil"/>
              <w:bottom w:val="nil"/>
              <w:right w:val="nil"/>
            </w:tcBorders>
            <w:shd w:val="clear" w:color="auto" w:fill="auto"/>
            <w:noWrap/>
            <w:vAlign w:val="center"/>
            <w:hideMark/>
          </w:tcPr>
          <w:p w14:paraId="64DD63DF" w14:textId="77777777" w:rsidR="008B1750" w:rsidRPr="00A52F13" w:rsidRDefault="008B1750" w:rsidP="00E607DA">
            <w:pPr>
              <w:jc w:val="center"/>
              <w:rPr>
                <w:rFonts w:ascii="Meta Pro" w:eastAsia="Times New Roman" w:hAnsi="Meta Pro"/>
                <w:color w:val="000000"/>
                <w:szCs w:val="18"/>
                <w:lang w:eastAsia="en-AU"/>
              </w:rPr>
            </w:pPr>
            <w:r w:rsidRPr="00A52F13">
              <w:rPr>
                <w:rFonts w:ascii="Meta Pro" w:eastAsia="Times New Roman" w:hAnsi="Meta Pro"/>
                <w:color w:val="000000"/>
                <w:szCs w:val="18"/>
                <w:lang w:eastAsia="en-AU"/>
              </w:rPr>
              <w:t>15</w:t>
            </w:r>
          </w:p>
        </w:tc>
        <w:tc>
          <w:tcPr>
            <w:tcW w:w="596" w:type="dxa"/>
            <w:tcBorders>
              <w:top w:val="nil"/>
              <w:left w:val="nil"/>
              <w:bottom w:val="nil"/>
              <w:right w:val="nil"/>
            </w:tcBorders>
            <w:shd w:val="clear" w:color="auto" w:fill="auto"/>
            <w:noWrap/>
            <w:vAlign w:val="center"/>
            <w:hideMark/>
          </w:tcPr>
          <w:p w14:paraId="1C4D3C74" w14:textId="77777777" w:rsidR="008B1750" w:rsidRPr="00A52F13" w:rsidRDefault="008B1750" w:rsidP="00E607DA">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5A14EAD5" w14:textId="77777777" w:rsidR="008B1750" w:rsidRPr="00A52F13" w:rsidRDefault="008B1750" w:rsidP="00E607DA">
            <w:pPr>
              <w:jc w:val="right"/>
              <w:rPr>
                <w:rFonts w:ascii="Meta Pro" w:eastAsia="Times New Roman" w:hAnsi="Meta Pro"/>
                <w:color w:val="000000"/>
                <w:szCs w:val="18"/>
                <w:lang w:eastAsia="en-AU"/>
              </w:rPr>
            </w:pPr>
            <w:r w:rsidRPr="00A52F13">
              <w:rPr>
                <w:rFonts w:ascii="Meta Pro" w:eastAsia="Times New Roman" w:hAnsi="Meta Pro"/>
                <w:color w:val="000000"/>
                <w:szCs w:val="18"/>
                <w:lang w:eastAsia="en-AU"/>
              </w:rPr>
              <w:t>(3,614)</w:t>
            </w:r>
          </w:p>
        </w:tc>
        <w:tc>
          <w:tcPr>
            <w:tcW w:w="216" w:type="dxa"/>
            <w:tcBorders>
              <w:top w:val="nil"/>
              <w:left w:val="nil"/>
              <w:bottom w:val="nil"/>
              <w:right w:val="nil"/>
            </w:tcBorders>
            <w:shd w:val="clear" w:color="auto" w:fill="auto"/>
            <w:noWrap/>
            <w:vAlign w:val="center"/>
            <w:hideMark/>
          </w:tcPr>
          <w:p w14:paraId="6F81CC29" w14:textId="77777777" w:rsidR="008B1750" w:rsidRPr="00A52F13" w:rsidRDefault="008B1750"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6182387A" w14:textId="77777777" w:rsidR="008B1750" w:rsidRPr="00A52F13" w:rsidRDefault="008B1750" w:rsidP="00E607DA">
            <w:pPr>
              <w:jc w:val="right"/>
              <w:rPr>
                <w:rFonts w:ascii="Meta Pro" w:eastAsia="Times New Roman" w:hAnsi="Meta Pro"/>
                <w:color w:val="000000"/>
                <w:szCs w:val="18"/>
                <w:lang w:eastAsia="en-AU"/>
              </w:rPr>
            </w:pPr>
            <w:r w:rsidRPr="00A52F13">
              <w:rPr>
                <w:rFonts w:ascii="Meta Pro" w:eastAsia="Times New Roman" w:hAnsi="Meta Pro"/>
                <w:color w:val="000000"/>
                <w:szCs w:val="18"/>
                <w:lang w:eastAsia="en-AU"/>
              </w:rPr>
              <w:t xml:space="preserve">- </w:t>
            </w:r>
          </w:p>
        </w:tc>
      </w:tr>
      <w:tr w:rsidR="008B1750" w:rsidRPr="00A52F13" w14:paraId="3577FB15" w14:textId="77777777" w:rsidTr="00E607DA">
        <w:trPr>
          <w:trHeight w:val="240"/>
        </w:trPr>
        <w:tc>
          <w:tcPr>
            <w:tcW w:w="4848" w:type="dxa"/>
            <w:gridSpan w:val="2"/>
            <w:tcBorders>
              <w:top w:val="nil"/>
              <w:left w:val="nil"/>
              <w:bottom w:val="nil"/>
              <w:right w:val="nil"/>
            </w:tcBorders>
            <w:shd w:val="clear" w:color="auto" w:fill="auto"/>
            <w:noWrap/>
            <w:vAlign w:val="center"/>
            <w:hideMark/>
          </w:tcPr>
          <w:p w14:paraId="142E8D14" w14:textId="77777777" w:rsidR="008B1750" w:rsidRPr="00A52F13" w:rsidRDefault="008B1750" w:rsidP="00E607DA">
            <w:pPr>
              <w:rPr>
                <w:rFonts w:ascii="Meta Pro" w:eastAsia="Times New Roman" w:hAnsi="Meta Pro"/>
                <w:color w:val="000000"/>
                <w:szCs w:val="18"/>
                <w:lang w:eastAsia="en-AU"/>
              </w:rPr>
            </w:pPr>
            <w:r w:rsidRPr="00A52F13">
              <w:rPr>
                <w:rFonts w:ascii="Meta Pro" w:eastAsia="Times New Roman" w:hAnsi="Meta Pro"/>
                <w:color w:val="000000"/>
                <w:szCs w:val="18"/>
                <w:lang w:eastAsia="en-AU"/>
              </w:rPr>
              <w:t>Rounding adjustment</w:t>
            </w:r>
          </w:p>
        </w:tc>
        <w:tc>
          <w:tcPr>
            <w:tcW w:w="368" w:type="dxa"/>
            <w:tcBorders>
              <w:top w:val="nil"/>
              <w:left w:val="nil"/>
              <w:bottom w:val="nil"/>
              <w:right w:val="nil"/>
            </w:tcBorders>
            <w:shd w:val="clear" w:color="auto" w:fill="auto"/>
            <w:noWrap/>
            <w:vAlign w:val="center"/>
            <w:hideMark/>
          </w:tcPr>
          <w:p w14:paraId="58E701C5" w14:textId="77777777" w:rsidR="008B1750" w:rsidRPr="00A52F13" w:rsidRDefault="008B1750" w:rsidP="00E607DA">
            <w:pPr>
              <w:rPr>
                <w:rFonts w:ascii="Meta Pro" w:eastAsia="Times New Roman" w:hAnsi="Meta Pro"/>
                <w:color w:val="000000"/>
                <w:szCs w:val="18"/>
                <w:lang w:eastAsia="en-AU"/>
              </w:rPr>
            </w:pPr>
          </w:p>
        </w:tc>
        <w:tc>
          <w:tcPr>
            <w:tcW w:w="368" w:type="dxa"/>
            <w:tcBorders>
              <w:top w:val="nil"/>
              <w:left w:val="nil"/>
              <w:bottom w:val="nil"/>
              <w:right w:val="nil"/>
            </w:tcBorders>
            <w:shd w:val="clear" w:color="auto" w:fill="auto"/>
            <w:noWrap/>
            <w:vAlign w:val="center"/>
            <w:hideMark/>
          </w:tcPr>
          <w:p w14:paraId="313BC3AD" w14:textId="77777777" w:rsidR="008B1750" w:rsidRPr="00A52F13" w:rsidRDefault="008B1750" w:rsidP="00E607DA">
            <w:pPr>
              <w:jc w:val="center"/>
              <w:rPr>
                <w:rFonts w:eastAsia="Times New Roman" w:cs="Times New Roman"/>
                <w:sz w:val="20"/>
                <w:szCs w:val="20"/>
                <w:lang w:eastAsia="en-AU"/>
              </w:rPr>
            </w:pPr>
          </w:p>
        </w:tc>
        <w:tc>
          <w:tcPr>
            <w:tcW w:w="596" w:type="dxa"/>
            <w:tcBorders>
              <w:top w:val="nil"/>
              <w:left w:val="nil"/>
              <w:bottom w:val="nil"/>
              <w:right w:val="nil"/>
            </w:tcBorders>
            <w:shd w:val="clear" w:color="auto" w:fill="auto"/>
            <w:noWrap/>
            <w:vAlign w:val="center"/>
            <w:hideMark/>
          </w:tcPr>
          <w:p w14:paraId="5CCE86E8" w14:textId="77777777" w:rsidR="008B1750" w:rsidRPr="00A52F13" w:rsidRDefault="008B1750" w:rsidP="00E607DA">
            <w:pPr>
              <w:jc w:val="center"/>
              <w:rPr>
                <w:rFonts w:eastAsia="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7A1A61EC" w14:textId="77777777" w:rsidR="008B1750" w:rsidRPr="00A52F13" w:rsidRDefault="008B1750" w:rsidP="00E607DA">
            <w:pPr>
              <w:jc w:val="right"/>
              <w:rPr>
                <w:rFonts w:ascii="Meta Pro" w:eastAsia="Times New Roman" w:hAnsi="Meta Pro"/>
                <w:color w:val="000000"/>
                <w:szCs w:val="18"/>
                <w:lang w:eastAsia="en-AU"/>
              </w:rPr>
            </w:pPr>
            <w:r w:rsidRPr="00A52F13">
              <w:rPr>
                <w:rFonts w:ascii="Meta Pro" w:eastAsia="Times New Roman" w:hAnsi="Meta Pro"/>
                <w:color w:val="000000"/>
                <w:szCs w:val="18"/>
                <w:lang w:eastAsia="en-AU"/>
              </w:rPr>
              <w:t xml:space="preserve">1 </w:t>
            </w:r>
          </w:p>
        </w:tc>
        <w:tc>
          <w:tcPr>
            <w:tcW w:w="216" w:type="dxa"/>
            <w:tcBorders>
              <w:top w:val="nil"/>
              <w:left w:val="nil"/>
              <w:bottom w:val="nil"/>
              <w:right w:val="nil"/>
            </w:tcBorders>
            <w:shd w:val="clear" w:color="auto" w:fill="auto"/>
            <w:noWrap/>
            <w:vAlign w:val="center"/>
            <w:hideMark/>
          </w:tcPr>
          <w:p w14:paraId="612B8D4C" w14:textId="77777777" w:rsidR="008B1750" w:rsidRPr="00A52F13" w:rsidRDefault="008B1750"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5ED89278" w14:textId="77777777" w:rsidR="008B1750" w:rsidRPr="00A52F13" w:rsidRDefault="008B1750" w:rsidP="00E607DA">
            <w:pPr>
              <w:jc w:val="right"/>
              <w:rPr>
                <w:rFonts w:ascii="Meta Pro" w:eastAsia="Times New Roman" w:hAnsi="Meta Pro"/>
                <w:color w:val="000000"/>
                <w:szCs w:val="18"/>
                <w:lang w:eastAsia="en-AU"/>
              </w:rPr>
            </w:pPr>
            <w:r w:rsidRPr="00A52F13">
              <w:rPr>
                <w:rFonts w:ascii="Meta Pro" w:eastAsia="Times New Roman" w:hAnsi="Meta Pro"/>
                <w:color w:val="000000"/>
                <w:szCs w:val="18"/>
                <w:lang w:eastAsia="en-AU"/>
              </w:rPr>
              <w:t xml:space="preserve">- </w:t>
            </w:r>
          </w:p>
        </w:tc>
      </w:tr>
      <w:tr w:rsidR="008B1750" w:rsidRPr="00A52F13" w14:paraId="6AD10322" w14:textId="77777777" w:rsidTr="00E607DA">
        <w:trPr>
          <w:trHeight w:val="240"/>
        </w:trPr>
        <w:tc>
          <w:tcPr>
            <w:tcW w:w="4848" w:type="dxa"/>
            <w:gridSpan w:val="2"/>
            <w:tcBorders>
              <w:top w:val="nil"/>
              <w:left w:val="nil"/>
              <w:bottom w:val="nil"/>
              <w:right w:val="nil"/>
            </w:tcBorders>
            <w:shd w:val="clear" w:color="auto" w:fill="auto"/>
            <w:noWrap/>
            <w:vAlign w:val="center"/>
            <w:hideMark/>
          </w:tcPr>
          <w:p w14:paraId="56E82746" w14:textId="77777777" w:rsidR="008B1750" w:rsidRPr="00A52F13" w:rsidRDefault="008B1750" w:rsidP="00E607DA">
            <w:pPr>
              <w:rPr>
                <w:rFonts w:ascii="Meta Pro" w:eastAsia="Times New Roman" w:hAnsi="Meta Pro"/>
                <w:color w:val="000000"/>
                <w:szCs w:val="18"/>
                <w:lang w:eastAsia="en-AU"/>
              </w:rPr>
            </w:pPr>
            <w:r w:rsidRPr="00A52F13">
              <w:rPr>
                <w:rFonts w:ascii="Meta Pro" w:eastAsia="Times New Roman" w:hAnsi="Meta Pro"/>
                <w:color w:val="000000"/>
                <w:szCs w:val="18"/>
                <w:lang w:eastAsia="en-AU"/>
              </w:rPr>
              <w:t>Increase in asset revaluation surplus</w:t>
            </w:r>
          </w:p>
        </w:tc>
        <w:tc>
          <w:tcPr>
            <w:tcW w:w="736" w:type="dxa"/>
            <w:gridSpan w:val="2"/>
            <w:tcBorders>
              <w:top w:val="nil"/>
              <w:left w:val="nil"/>
              <w:bottom w:val="single" w:sz="4" w:space="0" w:color="auto"/>
              <w:right w:val="nil"/>
            </w:tcBorders>
            <w:shd w:val="clear" w:color="auto" w:fill="auto"/>
            <w:noWrap/>
            <w:vAlign w:val="center"/>
            <w:hideMark/>
          </w:tcPr>
          <w:p w14:paraId="23378FAF" w14:textId="77777777" w:rsidR="008B1750" w:rsidRPr="00A52F13" w:rsidRDefault="008B1750" w:rsidP="00E607DA">
            <w:pPr>
              <w:jc w:val="center"/>
              <w:rPr>
                <w:rFonts w:ascii="Meta Pro" w:eastAsia="Times New Roman" w:hAnsi="Meta Pro"/>
                <w:color w:val="000000"/>
                <w:szCs w:val="18"/>
                <w:lang w:eastAsia="en-AU"/>
              </w:rPr>
            </w:pPr>
            <w:r w:rsidRPr="00A52F13">
              <w:rPr>
                <w:rFonts w:ascii="Meta Pro" w:eastAsia="Times New Roman" w:hAnsi="Meta Pro"/>
                <w:color w:val="000000"/>
                <w:szCs w:val="18"/>
                <w:lang w:eastAsia="en-AU"/>
              </w:rPr>
              <w:t>15, 16</w:t>
            </w:r>
          </w:p>
        </w:tc>
        <w:tc>
          <w:tcPr>
            <w:tcW w:w="596" w:type="dxa"/>
            <w:tcBorders>
              <w:top w:val="nil"/>
              <w:left w:val="nil"/>
              <w:bottom w:val="nil"/>
              <w:right w:val="nil"/>
            </w:tcBorders>
            <w:shd w:val="clear" w:color="auto" w:fill="auto"/>
            <w:noWrap/>
            <w:vAlign w:val="center"/>
            <w:hideMark/>
          </w:tcPr>
          <w:p w14:paraId="258FEB97" w14:textId="77777777" w:rsidR="008B1750" w:rsidRPr="00A52F13" w:rsidRDefault="008B1750" w:rsidP="00E607DA">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1D4DD07B" w14:textId="77777777" w:rsidR="008B1750" w:rsidRPr="00A52F13" w:rsidRDefault="008B1750" w:rsidP="00E607DA">
            <w:pPr>
              <w:jc w:val="right"/>
              <w:rPr>
                <w:rFonts w:ascii="Meta Pro" w:eastAsia="Times New Roman" w:hAnsi="Meta Pro"/>
                <w:color w:val="000000"/>
                <w:szCs w:val="18"/>
                <w:lang w:eastAsia="en-AU"/>
              </w:rPr>
            </w:pPr>
            <w:r w:rsidRPr="00A52F13">
              <w:rPr>
                <w:rFonts w:ascii="Meta Pro" w:eastAsia="Times New Roman" w:hAnsi="Meta Pro"/>
                <w:color w:val="000000"/>
                <w:szCs w:val="18"/>
                <w:lang w:eastAsia="en-AU"/>
              </w:rPr>
              <w:t xml:space="preserve">10,757,900 </w:t>
            </w:r>
          </w:p>
        </w:tc>
        <w:tc>
          <w:tcPr>
            <w:tcW w:w="216" w:type="dxa"/>
            <w:tcBorders>
              <w:top w:val="nil"/>
              <w:left w:val="nil"/>
              <w:bottom w:val="nil"/>
              <w:right w:val="nil"/>
            </w:tcBorders>
            <w:shd w:val="clear" w:color="auto" w:fill="auto"/>
            <w:noWrap/>
            <w:vAlign w:val="center"/>
            <w:hideMark/>
          </w:tcPr>
          <w:p w14:paraId="4D43C33E" w14:textId="77777777" w:rsidR="008B1750" w:rsidRPr="00A52F13" w:rsidRDefault="008B1750"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3BA60315" w14:textId="77777777" w:rsidR="008B1750" w:rsidRPr="00A52F13" w:rsidRDefault="008B1750" w:rsidP="00E607DA">
            <w:pPr>
              <w:jc w:val="right"/>
              <w:rPr>
                <w:rFonts w:ascii="Meta Pro" w:eastAsia="Times New Roman" w:hAnsi="Meta Pro"/>
                <w:color w:val="000000"/>
                <w:szCs w:val="18"/>
                <w:lang w:eastAsia="en-AU"/>
              </w:rPr>
            </w:pPr>
            <w:r w:rsidRPr="00A52F13">
              <w:rPr>
                <w:rFonts w:ascii="Meta Pro" w:eastAsia="Times New Roman" w:hAnsi="Meta Pro"/>
                <w:color w:val="000000"/>
                <w:szCs w:val="18"/>
                <w:lang w:eastAsia="en-AU"/>
              </w:rPr>
              <w:t xml:space="preserve">2,953,688 </w:t>
            </w:r>
          </w:p>
        </w:tc>
      </w:tr>
      <w:tr w:rsidR="008B1750" w:rsidRPr="00A52F13" w14:paraId="77DA9E75" w14:textId="77777777" w:rsidTr="00E607DA">
        <w:trPr>
          <w:trHeight w:val="240"/>
        </w:trPr>
        <w:tc>
          <w:tcPr>
            <w:tcW w:w="4848" w:type="dxa"/>
            <w:gridSpan w:val="2"/>
            <w:tcBorders>
              <w:top w:val="single" w:sz="4" w:space="0" w:color="auto"/>
              <w:left w:val="nil"/>
              <w:bottom w:val="nil"/>
              <w:right w:val="nil"/>
            </w:tcBorders>
            <w:shd w:val="clear" w:color="auto" w:fill="auto"/>
            <w:noWrap/>
            <w:vAlign w:val="center"/>
            <w:hideMark/>
          </w:tcPr>
          <w:p w14:paraId="6F722CA1" w14:textId="77777777" w:rsidR="008B1750" w:rsidRPr="00A52F13" w:rsidRDefault="008B1750" w:rsidP="00E607DA">
            <w:pPr>
              <w:rPr>
                <w:rFonts w:ascii="Meta Pro" w:eastAsia="Times New Roman" w:hAnsi="Meta Pro"/>
                <w:b/>
                <w:bCs/>
                <w:color w:val="000000"/>
                <w:szCs w:val="18"/>
                <w:lang w:eastAsia="en-AU"/>
              </w:rPr>
            </w:pPr>
            <w:r w:rsidRPr="00A52F13">
              <w:rPr>
                <w:rFonts w:ascii="Meta Pro" w:eastAsia="Times New Roman" w:hAnsi="Meta Pro"/>
                <w:b/>
                <w:bCs/>
                <w:color w:val="000000"/>
                <w:szCs w:val="18"/>
                <w:lang w:eastAsia="en-AU"/>
              </w:rPr>
              <w:t>Closing balance</w:t>
            </w:r>
          </w:p>
        </w:tc>
        <w:tc>
          <w:tcPr>
            <w:tcW w:w="736" w:type="dxa"/>
            <w:gridSpan w:val="2"/>
            <w:tcBorders>
              <w:top w:val="single" w:sz="4" w:space="0" w:color="auto"/>
              <w:left w:val="nil"/>
              <w:bottom w:val="nil"/>
              <w:right w:val="nil"/>
            </w:tcBorders>
            <w:shd w:val="clear" w:color="auto" w:fill="auto"/>
            <w:noWrap/>
            <w:vAlign w:val="center"/>
            <w:hideMark/>
          </w:tcPr>
          <w:p w14:paraId="0A27114E" w14:textId="77777777" w:rsidR="008B1750" w:rsidRPr="00A52F13" w:rsidRDefault="008B1750" w:rsidP="00E607DA">
            <w:pPr>
              <w:jc w:val="center"/>
              <w:rPr>
                <w:rFonts w:ascii="Meta Pro" w:eastAsia="Times New Roman" w:hAnsi="Meta Pro"/>
                <w:b/>
                <w:bCs/>
                <w:color w:val="000000"/>
                <w:szCs w:val="18"/>
                <w:lang w:eastAsia="en-AU"/>
              </w:rPr>
            </w:pPr>
            <w:r w:rsidRPr="00A52F13">
              <w:rPr>
                <w:rFonts w:ascii="Meta Pro" w:eastAsia="Times New Roman" w:hAnsi="Meta Pro"/>
                <w:b/>
                <w:bCs/>
                <w:color w:val="000000"/>
                <w:szCs w:val="18"/>
                <w:lang w:eastAsia="en-AU"/>
              </w:rPr>
              <w:t> </w:t>
            </w:r>
          </w:p>
        </w:tc>
        <w:tc>
          <w:tcPr>
            <w:tcW w:w="596" w:type="dxa"/>
            <w:tcBorders>
              <w:top w:val="single" w:sz="4" w:space="0" w:color="auto"/>
              <w:left w:val="nil"/>
              <w:bottom w:val="nil"/>
              <w:right w:val="nil"/>
            </w:tcBorders>
            <w:shd w:val="clear" w:color="auto" w:fill="auto"/>
            <w:noWrap/>
            <w:vAlign w:val="center"/>
            <w:hideMark/>
          </w:tcPr>
          <w:p w14:paraId="17CF97B5" w14:textId="77777777" w:rsidR="008B1750" w:rsidRPr="00A52F13" w:rsidRDefault="008B1750" w:rsidP="00E607DA">
            <w:pPr>
              <w:rPr>
                <w:rFonts w:ascii="Meta Pro" w:eastAsia="Times New Roman" w:hAnsi="Meta Pro"/>
                <w:b/>
                <w:bCs/>
                <w:color w:val="000000"/>
                <w:szCs w:val="18"/>
                <w:lang w:eastAsia="en-AU"/>
              </w:rPr>
            </w:pPr>
            <w:r w:rsidRPr="00A52F13">
              <w:rPr>
                <w:rFonts w:ascii="Meta Pro" w:eastAsia="Times New Roman" w:hAnsi="Meta Pro"/>
                <w:b/>
                <w:bCs/>
                <w:color w:val="000000"/>
                <w:szCs w:val="18"/>
                <w:lang w:eastAsia="en-AU"/>
              </w:rPr>
              <w:t> </w:t>
            </w:r>
          </w:p>
        </w:tc>
        <w:tc>
          <w:tcPr>
            <w:tcW w:w="1514" w:type="dxa"/>
            <w:tcBorders>
              <w:top w:val="single" w:sz="4" w:space="0" w:color="auto"/>
              <w:left w:val="nil"/>
              <w:bottom w:val="nil"/>
              <w:right w:val="nil"/>
            </w:tcBorders>
            <w:shd w:val="clear" w:color="000000" w:fill="C9E3B4"/>
            <w:noWrap/>
            <w:vAlign w:val="center"/>
            <w:hideMark/>
          </w:tcPr>
          <w:p w14:paraId="11FBC157" w14:textId="77777777" w:rsidR="008B1750" w:rsidRPr="00A52F13" w:rsidRDefault="008B1750" w:rsidP="00E607DA">
            <w:pPr>
              <w:jc w:val="right"/>
              <w:rPr>
                <w:rFonts w:ascii="Meta Pro" w:eastAsia="Times New Roman" w:hAnsi="Meta Pro"/>
                <w:b/>
                <w:bCs/>
                <w:color w:val="000000"/>
                <w:szCs w:val="18"/>
                <w:lang w:eastAsia="en-AU"/>
              </w:rPr>
            </w:pPr>
            <w:r w:rsidRPr="00A52F13">
              <w:rPr>
                <w:rFonts w:ascii="Meta Pro" w:eastAsia="Times New Roman" w:hAnsi="Meta Pro"/>
                <w:b/>
                <w:bCs/>
                <w:color w:val="000000"/>
                <w:szCs w:val="18"/>
                <w:lang w:eastAsia="en-AU"/>
              </w:rPr>
              <w:t xml:space="preserve">           20,931,501 </w:t>
            </w:r>
          </w:p>
        </w:tc>
        <w:tc>
          <w:tcPr>
            <w:tcW w:w="216" w:type="dxa"/>
            <w:tcBorders>
              <w:top w:val="single" w:sz="4" w:space="0" w:color="auto"/>
              <w:left w:val="nil"/>
              <w:bottom w:val="nil"/>
              <w:right w:val="nil"/>
            </w:tcBorders>
            <w:shd w:val="clear" w:color="auto" w:fill="auto"/>
            <w:noWrap/>
            <w:vAlign w:val="center"/>
            <w:hideMark/>
          </w:tcPr>
          <w:p w14:paraId="0234DE22" w14:textId="77777777" w:rsidR="008B1750" w:rsidRPr="00A52F13" w:rsidRDefault="008B1750" w:rsidP="00E607DA">
            <w:pPr>
              <w:jc w:val="right"/>
              <w:rPr>
                <w:rFonts w:ascii="Meta Pro" w:eastAsia="Times New Roman" w:hAnsi="Meta Pro"/>
                <w:b/>
                <w:bCs/>
                <w:color w:val="000000"/>
                <w:szCs w:val="18"/>
                <w:lang w:eastAsia="en-AU"/>
              </w:rPr>
            </w:pPr>
            <w:r w:rsidRPr="00A52F13">
              <w:rPr>
                <w:rFonts w:ascii="Meta Pro" w:eastAsia="Times New Roman" w:hAnsi="Meta Pro"/>
                <w:b/>
                <w:bCs/>
                <w:color w:val="000000"/>
                <w:szCs w:val="18"/>
                <w:lang w:eastAsia="en-AU"/>
              </w:rPr>
              <w:t> </w:t>
            </w:r>
          </w:p>
        </w:tc>
        <w:tc>
          <w:tcPr>
            <w:tcW w:w="1514" w:type="dxa"/>
            <w:tcBorders>
              <w:top w:val="single" w:sz="4" w:space="0" w:color="auto"/>
              <w:left w:val="nil"/>
              <w:bottom w:val="nil"/>
              <w:right w:val="nil"/>
            </w:tcBorders>
            <w:shd w:val="clear" w:color="auto" w:fill="auto"/>
            <w:noWrap/>
            <w:vAlign w:val="center"/>
            <w:hideMark/>
          </w:tcPr>
          <w:p w14:paraId="413A6251" w14:textId="77777777" w:rsidR="008B1750" w:rsidRPr="00A52F13" w:rsidRDefault="008B1750" w:rsidP="00E607DA">
            <w:pPr>
              <w:jc w:val="right"/>
              <w:rPr>
                <w:rFonts w:ascii="Meta Pro" w:eastAsia="Times New Roman" w:hAnsi="Meta Pro"/>
                <w:b/>
                <w:bCs/>
                <w:color w:val="000000"/>
                <w:szCs w:val="18"/>
                <w:lang w:eastAsia="en-AU"/>
              </w:rPr>
            </w:pPr>
            <w:r w:rsidRPr="00A52F13">
              <w:rPr>
                <w:rFonts w:ascii="Meta Pro" w:eastAsia="Times New Roman" w:hAnsi="Meta Pro"/>
                <w:b/>
                <w:bCs/>
                <w:color w:val="000000"/>
                <w:szCs w:val="18"/>
                <w:lang w:eastAsia="en-AU"/>
              </w:rPr>
              <w:t xml:space="preserve">            10,177,214 </w:t>
            </w:r>
          </w:p>
        </w:tc>
      </w:tr>
      <w:tr w:rsidR="008B1750" w:rsidRPr="00A52F13" w14:paraId="32809254" w14:textId="77777777" w:rsidTr="00E607DA">
        <w:trPr>
          <w:trHeight w:val="240"/>
        </w:trPr>
        <w:tc>
          <w:tcPr>
            <w:tcW w:w="216" w:type="dxa"/>
            <w:tcBorders>
              <w:top w:val="nil"/>
              <w:left w:val="nil"/>
              <w:bottom w:val="single" w:sz="4" w:space="0" w:color="auto"/>
              <w:right w:val="nil"/>
            </w:tcBorders>
            <w:shd w:val="clear" w:color="auto" w:fill="auto"/>
            <w:noWrap/>
            <w:vAlign w:val="center"/>
            <w:hideMark/>
          </w:tcPr>
          <w:p w14:paraId="18FDE7F7" w14:textId="77777777" w:rsidR="008B1750" w:rsidRPr="00A52F13" w:rsidRDefault="008B1750" w:rsidP="00E607DA">
            <w:pPr>
              <w:rPr>
                <w:rFonts w:ascii="Meta Pro" w:eastAsia="Times New Roman" w:hAnsi="Meta Pro"/>
                <w:color w:val="000000"/>
                <w:szCs w:val="18"/>
                <w:lang w:eastAsia="en-AU"/>
              </w:rPr>
            </w:pPr>
            <w:r w:rsidRPr="00A52F13">
              <w:rPr>
                <w:rFonts w:ascii="Meta Pro" w:eastAsia="Times New Roman" w:hAnsi="Meta Pro"/>
                <w:color w:val="000000"/>
                <w:szCs w:val="18"/>
                <w:lang w:eastAsia="en-AU"/>
              </w:rPr>
              <w:t> </w:t>
            </w:r>
          </w:p>
        </w:tc>
        <w:tc>
          <w:tcPr>
            <w:tcW w:w="4848" w:type="dxa"/>
            <w:tcBorders>
              <w:top w:val="nil"/>
              <w:left w:val="nil"/>
              <w:bottom w:val="single" w:sz="4" w:space="0" w:color="auto"/>
              <w:right w:val="nil"/>
            </w:tcBorders>
            <w:shd w:val="clear" w:color="auto" w:fill="auto"/>
            <w:noWrap/>
            <w:vAlign w:val="center"/>
            <w:hideMark/>
          </w:tcPr>
          <w:p w14:paraId="5FB8B323" w14:textId="77777777" w:rsidR="008B1750" w:rsidRPr="00A52F13" w:rsidRDefault="008B1750" w:rsidP="00E607DA">
            <w:pPr>
              <w:rPr>
                <w:rFonts w:ascii="Meta Pro" w:eastAsia="Times New Roman" w:hAnsi="Meta Pro"/>
                <w:color w:val="000000"/>
                <w:szCs w:val="18"/>
                <w:lang w:eastAsia="en-AU"/>
              </w:rPr>
            </w:pPr>
            <w:r w:rsidRPr="00A52F13">
              <w:rPr>
                <w:rFonts w:ascii="Meta Pro" w:eastAsia="Times New Roman" w:hAnsi="Meta Pro"/>
                <w:color w:val="000000"/>
                <w:szCs w:val="18"/>
                <w:lang w:eastAsia="en-AU"/>
              </w:rPr>
              <w:t> </w:t>
            </w:r>
          </w:p>
        </w:tc>
        <w:tc>
          <w:tcPr>
            <w:tcW w:w="736" w:type="dxa"/>
            <w:gridSpan w:val="2"/>
            <w:tcBorders>
              <w:top w:val="nil"/>
              <w:left w:val="nil"/>
              <w:bottom w:val="single" w:sz="4" w:space="0" w:color="auto"/>
              <w:right w:val="nil"/>
            </w:tcBorders>
            <w:shd w:val="clear" w:color="auto" w:fill="auto"/>
            <w:noWrap/>
            <w:vAlign w:val="center"/>
            <w:hideMark/>
          </w:tcPr>
          <w:p w14:paraId="4BBD3FB3" w14:textId="77777777" w:rsidR="008B1750" w:rsidRPr="00A52F13" w:rsidRDefault="008B1750" w:rsidP="00E607DA">
            <w:pPr>
              <w:jc w:val="center"/>
              <w:rPr>
                <w:rFonts w:ascii="Meta Pro" w:eastAsia="Times New Roman" w:hAnsi="Meta Pro"/>
                <w:color w:val="000000"/>
                <w:szCs w:val="18"/>
                <w:lang w:eastAsia="en-AU"/>
              </w:rPr>
            </w:pPr>
            <w:r w:rsidRPr="00A52F13">
              <w:rPr>
                <w:rFonts w:ascii="Meta Pro" w:eastAsia="Times New Roman" w:hAnsi="Meta Pro"/>
                <w:color w:val="000000"/>
                <w:szCs w:val="18"/>
                <w:lang w:eastAsia="en-AU"/>
              </w:rPr>
              <w:t> </w:t>
            </w:r>
          </w:p>
        </w:tc>
        <w:tc>
          <w:tcPr>
            <w:tcW w:w="596" w:type="dxa"/>
            <w:tcBorders>
              <w:top w:val="nil"/>
              <w:left w:val="nil"/>
              <w:bottom w:val="single" w:sz="4" w:space="0" w:color="auto"/>
              <w:right w:val="nil"/>
            </w:tcBorders>
            <w:shd w:val="clear" w:color="auto" w:fill="auto"/>
            <w:noWrap/>
            <w:vAlign w:val="center"/>
            <w:hideMark/>
          </w:tcPr>
          <w:p w14:paraId="364184C7" w14:textId="77777777" w:rsidR="008B1750" w:rsidRPr="00A52F13" w:rsidRDefault="008B1750" w:rsidP="00E607DA">
            <w:pPr>
              <w:rPr>
                <w:rFonts w:ascii="Meta Pro" w:eastAsia="Times New Roman" w:hAnsi="Meta Pro"/>
                <w:color w:val="000000"/>
                <w:szCs w:val="18"/>
                <w:lang w:eastAsia="en-AU"/>
              </w:rPr>
            </w:pPr>
            <w:r w:rsidRPr="00A52F13">
              <w:rPr>
                <w:rFonts w:ascii="Meta Pro" w:eastAsia="Times New Roman" w:hAnsi="Meta Pro"/>
                <w:color w:val="000000"/>
                <w:szCs w:val="18"/>
                <w:lang w:eastAsia="en-AU"/>
              </w:rPr>
              <w:t> </w:t>
            </w:r>
          </w:p>
        </w:tc>
        <w:tc>
          <w:tcPr>
            <w:tcW w:w="1514" w:type="dxa"/>
            <w:tcBorders>
              <w:top w:val="nil"/>
              <w:left w:val="nil"/>
              <w:bottom w:val="single" w:sz="4" w:space="0" w:color="auto"/>
              <w:right w:val="nil"/>
            </w:tcBorders>
            <w:shd w:val="clear" w:color="000000" w:fill="C9E3B4"/>
            <w:noWrap/>
            <w:vAlign w:val="center"/>
            <w:hideMark/>
          </w:tcPr>
          <w:p w14:paraId="0A8F9C77" w14:textId="77777777" w:rsidR="008B1750" w:rsidRPr="00A52F13" w:rsidRDefault="008B1750" w:rsidP="00E607DA">
            <w:pPr>
              <w:jc w:val="right"/>
              <w:rPr>
                <w:rFonts w:ascii="Meta Pro" w:eastAsia="Times New Roman" w:hAnsi="Meta Pro"/>
                <w:color w:val="000000"/>
                <w:szCs w:val="18"/>
                <w:lang w:eastAsia="en-AU"/>
              </w:rPr>
            </w:pPr>
            <w:r w:rsidRPr="00A52F13">
              <w:rPr>
                <w:rFonts w:ascii="Meta Pro" w:eastAsia="Times New Roman" w:hAnsi="Meta Pro"/>
                <w:color w:val="000000"/>
                <w:szCs w:val="18"/>
                <w:lang w:eastAsia="en-AU"/>
              </w:rPr>
              <w:t> </w:t>
            </w:r>
          </w:p>
        </w:tc>
        <w:tc>
          <w:tcPr>
            <w:tcW w:w="216" w:type="dxa"/>
            <w:tcBorders>
              <w:top w:val="nil"/>
              <w:left w:val="nil"/>
              <w:bottom w:val="single" w:sz="4" w:space="0" w:color="auto"/>
              <w:right w:val="nil"/>
            </w:tcBorders>
            <w:shd w:val="clear" w:color="auto" w:fill="auto"/>
            <w:noWrap/>
            <w:vAlign w:val="center"/>
            <w:hideMark/>
          </w:tcPr>
          <w:p w14:paraId="4272305C" w14:textId="77777777" w:rsidR="008B1750" w:rsidRPr="00A52F13" w:rsidRDefault="008B1750" w:rsidP="00E607DA">
            <w:pPr>
              <w:jc w:val="right"/>
              <w:rPr>
                <w:rFonts w:ascii="Meta Pro" w:eastAsia="Times New Roman" w:hAnsi="Meta Pro"/>
                <w:color w:val="000000"/>
                <w:szCs w:val="18"/>
                <w:lang w:eastAsia="en-AU"/>
              </w:rPr>
            </w:pPr>
            <w:r w:rsidRPr="00A52F13">
              <w:rPr>
                <w:rFonts w:ascii="Meta Pro" w:eastAsia="Times New Roman" w:hAnsi="Meta Pro"/>
                <w:color w:val="000000"/>
                <w:szCs w:val="18"/>
                <w:lang w:eastAsia="en-AU"/>
              </w:rPr>
              <w:t> </w:t>
            </w:r>
          </w:p>
        </w:tc>
        <w:tc>
          <w:tcPr>
            <w:tcW w:w="1514" w:type="dxa"/>
            <w:tcBorders>
              <w:top w:val="nil"/>
              <w:left w:val="nil"/>
              <w:bottom w:val="single" w:sz="4" w:space="0" w:color="auto"/>
              <w:right w:val="nil"/>
            </w:tcBorders>
            <w:shd w:val="clear" w:color="auto" w:fill="auto"/>
            <w:noWrap/>
            <w:vAlign w:val="center"/>
            <w:hideMark/>
          </w:tcPr>
          <w:p w14:paraId="31B61CEE" w14:textId="77777777" w:rsidR="008B1750" w:rsidRPr="00A52F13" w:rsidRDefault="008B1750" w:rsidP="00E607DA">
            <w:pPr>
              <w:jc w:val="right"/>
              <w:rPr>
                <w:rFonts w:ascii="Meta Pro" w:eastAsia="Times New Roman" w:hAnsi="Meta Pro"/>
                <w:color w:val="000000"/>
                <w:szCs w:val="18"/>
                <w:lang w:eastAsia="en-AU"/>
              </w:rPr>
            </w:pPr>
            <w:r w:rsidRPr="00A52F13">
              <w:rPr>
                <w:rFonts w:ascii="Meta Pro" w:eastAsia="Times New Roman" w:hAnsi="Meta Pro"/>
                <w:color w:val="000000"/>
                <w:szCs w:val="18"/>
                <w:lang w:eastAsia="en-AU"/>
              </w:rPr>
              <w:t> </w:t>
            </w:r>
          </w:p>
        </w:tc>
      </w:tr>
      <w:tr w:rsidR="008B1750" w:rsidRPr="00A52F13" w14:paraId="67E8357B" w14:textId="77777777" w:rsidTr="00E607DA">
        <w:trPr>
          <w:trHeight w:val="240"/>
        </w:trPr>
        <w:tc>
          <w:tcPr>
            <w:tcW w:w="4848" w:type="dxa"/>
            <w:gridSpan w:val="2"/>
            <w:tcBorders>
              <w:top w:val="nil"/>
              <w:left w:val="nil"/>
              <w:bottom w:val="double" w:sz="6" w:space="0" w:color="auto"/>
              <w:right w:val="nil"/>
            </w:tcBorders>
            <w:shd w:val="clear" w:color="auto" w:fill="auto"/>
            <w:noWrap/>
            <w:vAlign w:val="center"/>
            <w:hideMark/>
          </w:tcPr>
          <w:p w14:paraId="097A7F61" w14:textId="77777777" w:rsidR="008B1750" w:rsidRPr="00A52F13" w:rsidRDefault="008B1750" w:rsidP="00E607DA">
            <w:pPr>
              <w:rPr>
                <w:rFonts w:ascii="Meta Pro" w:eastAsia="Times New Roman" w:hAnsi="Meta Pro"/>
                <w:b/>
                <w:bCs/>
                <w:color w:val="000000"/>
                <w:szCs w:val="18"/>
                <w:lang w:eastAsia="en-AU"/>
              </w:rPr>
            </w:pPr>
            <w:r w:rsidRPr="00A52F13">
              <w:rPr>
                <w:rFonts w:ascii="Meta Pro" w:eastAsia="Times New Roman" w:hAnsi="Meta Pro"/>
                <w:b/>
                <w:bCs/>
                <w:color w:val="000000"/>
                <w:szCs w:val="18"/>
                <w:lang w:eastAsia="en-AU"/>
              </w:rPr>
              <w:lastRenderedPageBreak/>
              <w:t>TOTAL EQUITY</w:t>
            </w:r>
          </w:p>
        </w:tc>
        <w:tc>
          <w:tcPr>
            <w:tcW w:w="736" w:type="dxa"/>
            <w:gridSpan w:val="2"/>
            <w:tcBorders>
              <w:top w:val="single" w:sz="4" w:space="0" w:color="auto"/>
              <w:left w:val="nil"/>
              <w:bottom w:val="double" w:sz="6" w:space="0" w:color="auto"/>
              <w:right w:val="nil"/>
            </w:tcBorders>
            <w:shd w:val="clear" w:color="auto" w:fill="auto"/>
            <w:noWrap/>
            <w:vAlign w:val="center"/>
            <w:hideMark/>
          </w:tcPr>
          <w:p w14:paraId="3B755E11" w14:textId="77777777" w:rsidR="008B1750" w:rsidRPr="00A52F13" w:rsidRDefault="008B1750" w:rsidP="00E607DA">
            <w:pPr>
              <w:jc w:val="center"/>
              <w:rPr>
                <w:rFonts w:ascii="Meta Pro" w:eastAsia="Times New Roman" w:hAnsi="Meta Pro"/>
                <w:color w:val="000000"/>
                <w:szCs w:val="18"/>
                <w:lang w:eastAsia="en-AU"/>
              </w:rPr>
            </w:pPr>
            <w:r w:rsidRPr="00A52F13">
              <w:rPr>
                <w:rFonts w:ascii="Meta Pro" w:eastAsia="Times New Roman" w:hAnsi="Meta Pro"/>
                <w:color w:val="000000"/>
                <w:szCs w:val="18"/>
                <w:lang w:eastAsia="en-AU"/>
              </w:rPr>
              <w:t> </w:t>
            </w:r>
          </w:p>
        </w:tc>
        <w:tc>
          <w:tcPr>
            <w:tcW w:w="596" w:type="dxa"/>
            <w:tcBorders>
              <w:top w:val="nil"/>
              <w:left w:val="nil"/>
              <w:bottom w:val="double" w:sz="6" w:space="0" w:color="auto"/>
              <w:right w:val="nil"/>
            </w:tcBorders>
            <w:shd w:val="clear" w:color="auto" w:fill="auto"/>
            <w:noWrap/>
            <w:vAlign w:val="center"/>
            <w:hideMark/>
          </w:tcPr>
          <w:p w14:paraId="20A68400" w14:textId="77777777" w:rsidR="008B1750" w:rsidRPr="00A52F13" w:rsidRDefault="008B1750" w:rsidP="00E607DA">
            <w:pPr>
              <w:rPr>
                <w:rFonts w:ascii="Meta Pro" w:eastAsia="Times New Roman" w:hAnsi="Meta Pro"/>
                <w:color w:val="000000"/>
                <w:szCs w:val="18"/>
                <w:lang w:eastAsia="en-AU"/>
              </w:rPr>
            </w:pPr>
            <w:r w:rsidRPr="00A52F13">
              <w:rPr>
                <w:rFonts w:ascii="Meta Pro" w:eastAsia="Times New Roman" w:hAnsi="Meta Pro"/>
                <w:color w:val="000000"/>
                <w:szCs w:val="18"/>
                <w:lang w:eastAsia="en-AU"/>
              </w:rPr>
              <w:t> </w:t>
            </w:r>
          </w:p>
        </w:tc>
        <w:tc>
          <w:tcPr>
            <w:tcW w:w="1514" w:type="dxa"/>
            <w:tcBorders>
              <w:top w:val="nil"/>
              <w:left w:val="nil"/>
              <w:bottom w:val="double" w:sz="6" w:space="0" w:color="auto"/>
              <w:right w:val="nil"/>
            </w:tcBorders>
            <w:shd w:val="clear" w:color="000000" w:fill="C9E3B4"/>
            <w:noWrap/>
            <w:vAlign w:val="center"/>
            <w:hideMark/>
          </w:tcPr>
          <w:p w14:paraId="2F22B4F7" w14:textId="77777777" w:rsidR="008B1750" w:rsidRPr="00A52F13" w:rsidRDefault="008B1750" w:rsidP="00E607DA">
            <w:pPr>
              <w:jc w:val="right"/>
              <w:rPr>
                <w:rFonts w:ascii="Meta Pro" w:eastAsia="Times New Roman" w:hAnsi="Meta Pro"/>
                <w:b/>
                <w:bCs/>
                <w:color w:val="000000"/>
                <w:szCs w:val="18"/>
                <w:lang w:eastAsia="en-AU"/>
              </w:rPr>
            </w:pPr>
            <w:r w:rsidRPr="00A52F13">
              <w:rPr>
                <w:rFonts w:ascii="Meta Pro" w:eastAsia="Times New Roman" w:hAnsi="Meta Pro"/>
                <w:b/>
                <w:bCs/>
                <w:color w:val="000000"/>
                <w:szCs w:val="18"/>
                <w:lang w:eastAsia="en-AU"/>
              </w:rPr>
              <w:t xml:space="preserve">           90,707,728 </w:t>
            </w:r>
          </w:p>
        </w:tc>
        <w:tc>
          <w:tcPr>
            <w:tcW w:w="216" w:type="dxa"/>
            <w:tcBorders>
              <w:top w:val="nil"/>
              <w:left w:val="nil"/>
              <w:bottom w:val="double" w:sz="6" w:space="0" w:color="auto"/>
              <w:right w:val="nil"/>
            </w:tcBorders>
            <w:shd w:val="clear" w:color="auto" w:fill="auto"/>
            <w:noWrap/>
            <w:vAlign w:val="center"/>
            <w:hideMark/>
          </w:tcPr>
          <w:p w14:paraId="61852DB6" w14:textId="77777777" w:rsidR="008B1750" w:rsidRPr="00A52F13" w:rsidRDefault="008B1750" w:rsidP="00E607DA">
            <w:pPr>
              <w:jc w:val="right"/>
              <w:rPr>
                <w:rFonts w:ascii="Meta Pro" w:eastAsia="Times New Roman" w:hAnsi="Meta Pro"/>
                <w:b/>
                <w:bCs/>
                <w:color w:val="000000"/>
                <w:szCs w:val="18"/>
                <w:lang w:eastAsia="en-AU"/>
              </w:rPr>
            </w:pPr>
            <w:r w:rsidRPr="00A52F13">
              <w:rPr>
                <w:rFonts w:ascii="Meta Pro" w:eastAsia="Times New Roman" w:hAnsi="Meta Pro"/>
                <w:b/>
                <w:bCs/>
                <w:color w:val="000000"/>
                <w:szCs w:val="18"/>
                <w:lang w:eastAsia="en-AU"/>
              </w:rPr>
              <w:t> </w:t>
            </w:r>
          </w:p>
        </w:tc>
        <w:tc>
          <w:tcPr>
            <w:tcW w:w="1514" w:type="dxa"/>
            <w:tcBorders>
              <w:top w:val="nil"/>
              <w:left w:val="nil"/>
              <w:bottom w:val="double" w:sz="6" w:space="0" w:color="auto"/>
              <w:right w:val="nil"/>
            </w:tcBorders>
            <w:shd w:val="clear" w:color="auto" w:fill="auto"/>
            <w:noWrap/>
            <w:vAlign w:val="center"/>
            <w:hideMark/>
          </w:tcPr>
          <w:p w14:paraId="4D3791FB" w14:textId="77777777" w:rsidR="008B1750" w:rsidRPr="00A52F13" w:rsidRDefault="008B1750" w:rsidP="00E607DA">
            <w:pPr>
              <w:jc w:val="right"/>
              <w:rPr>
                <w:rFonts w:ascii="Meta Pro" w:eastAsia="Times New Roman" w:hAnsi="Meta Pro"/>
                <w:b/>
                <w:bCs/>
                <w:color w:val="000000"/>
                <w:szCs w:val="18"/>
                <w:lang w:eastAsia="en-AU"/>
              </w:rPr>
            </w:pPr>
            <w:r w:rsidRPr="00A52F13">
              <w:rPr>
                <w:rFonts w:ascii="Meta Pro" w:eastAsia="Times New Roman" w:hAnsi="Meta Pro"/>
                <w:b/>
                <w:bCs/>
                <w:color w:val="000000"/>
                <w:szCs w:val="18"/>
                <w:lang w:eastAsia="en-AU"/>
              </w:rPr>
              <w:t xml:space="preserve">           77,183,598 </w:t>
            </w:r>
          </w:p>
        </w:tc>
      </w:tr>
    </w:tbl>
    <w:p w14:paraId="52588DB8" w14:textId="77777777" w:rsidR="008B1750" w:rsidRPr="00092B22" w:rsidRDefault="008B1750" w:rsidP="008B1750">
      <w:pPr>
        <w:spacing w:before="120" w:after="120"/>
        <w:rPr>
          <w:rFonts w:ascii="Meta Pro" w:hAnsi="Meta Pro" w:cstheme="minorBidi"/>
        </w:rPr>
      </w:pPr>
      <w:r w:rsidRPr="00092B22">
        <w:rPr>
          <w:rFonts w:ascii="Meta Pro" w:eastAsia="Times New Roman" w:hAnsi="Meta Pro"/>
          <w:color w:val="000000"/>
          <w:szCs w:val="18"/>
          <w:lang w:eastAsia="en-AU"/>
        </w:rPr>
        <w:t>The closing balance of Asset revaluation surplus comprises:</w:t>
      </w:r>
    </w:p>
    <w:tbl>
      <w:tblPr>
        <w:tblW w:w="0" w:type="auto"/>
        <w:tblCellMar>
          <w:left w:w="0" w:type="dxa"/>
        </w:tblCellMar>
        <w:tblLook w:val="04A0" w:firstRow="1" w:lastRow="0" w:firstColumn="1" w:lastColumn="0" w:noHBand="0" w:noVBand="1"/>
      </w:tblPr>
      <w:tblGrid>
        <w:gridCol w:w="5163"/>
        <w:gridCol w:w="1018"/>
        <w:gridCol w:w="222"/>
        <w:gridCol w:w="1506"/>
        <w:gridCol w:w="223"/>
        <w:gridCol w:w="1506"/>
      </w:tblGrid>
      <w:tr w:rsidR="008B1750" w:rsidRPr="00092B22" w14:paraId="005AECEF" w14:textId="77777777" w:rsidTr="00E607DA">
        <w:trPr>
          <w:trHeight w:val="23"/>
        </w:trPr>
        <w:tc>
          <w:tcPr>
            <w:tcW w:w="5216" w:type="dxa"/>
            <w:tcBorders>
              <w:top w:val="nil"/>
              <w:left w:val="nil"/>
              <w:bottom w:val="nil"/>
              <w:right w:val="nil"/>
            </w:tcBorders>
            <w:shd w:val="clear" w:color="auto" w:fill="auto"/>
            <w:noWrap/>
            <w:vAlign w:val="center"/>
            <w:hideMark/>
          </w:tcPr>
          <w:p w14:paraId="2A41A41C" w14:textId="77777777" w:rsidR="008B1750" w:rsidRPr="00092B22" w:rsidRDefault="008B1750"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Land</w:t>
            </w:r>
          </w:p>
        </w:tc>
        <w:tc>
          <w:tcPr>
            <w:tcW w:w="1021" w:type="dxa"/>
            <w:tcBorders>
              <w:top w:val="nil"/>
              <w:left w:val="nil"/>
              <w:bottom w:val="nil"/>
              <w:right w:val="nil"/>
            </w:tcBorders>
            <w:shd w:val="clear" w:color="auto" w:fill="auto"/>
            <w:vAlign w:val="center"/>
            <w:hideMark/>
          </w:tcPr>
          <w:p w14:paraId="33419EF7" w14:textId="77777777" w:rsidR="008B1750" w:rsidRPr="00092B22" w:rsidRDefault="008B1750" w:rsidP="00E607DA">
            <w:pPr>
              <w:rPr>
                <w:rFonts w:ascii="Meta Pro" w:eastAsia="Times New Roman" w:hAnsi="Meta Pro"/>
                <w:color w:val="000000"/>
                <w:szCs w:val="18"/>
                <w:lang w:eastAsia="en-AU"/>
              </w:rPr>
            </w:pPr>
          </w:p>
        </w:tc>
        <w:tc>
          <w:tcPr>
            <w:tcW w:w="215" w:type="dxa"/>
            <w:tcBorders>
              <w:top w:val="nil"/>
              <w:left w:val="nil"/>
              <w:bottom w:val="nil"/>
              <w:right w:val="nil"/>
            </w:tcBorders>
            <w:shd w:val="clear" w:color="auto" w:fill="auto"/>
            <w:noWrap/>
            <w:vAlign w:val="center"/>
            <w:hideMark/>
          </w:tcPr>
          <w:p w14:paraId="777C2692" w14:textId="77777777" w:rsidR="008B1750" w:rsidRPr="00092B22" w:rsidRDefault="008B1750"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70E09BC2" w14:textId="77777777" w:rsidR="008B1750" w:rsidRPr="00092B22" w:rsidRDefault="008B1750"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2,892,698 </w:t>
            </w:r>
          </w:p>
        </w:tc>
        <w:tc>
          <w:tcPr>
            <w:tcW w:w="216" w:type="dxa"/>
            <w:tcBorders>
              <w:top w:val="nil"/>
              <w:left w:val="nil"/>
              <w:bottom w:val="nil"/>
              <w:right w:val="nil"/>
            </w:tcBorders>
            <w:shd w:val="clear" w:color="auto" w:fill="auto"/>
            <w:noWrap/>
            <w:vAlign w:val="center"/>
            <w:hideMark/>
          </w:tcPr>
          <w:p w14:paraId="73C450E4" w14:textId="77777777" w:rsidR="008B1750" w:rsidRPr="00092B22" w:rsidRDefault="008B1750"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4D603EED" w14:textId="77777777" w:rsidR="008B1750" w:rsidRPr="00092B22" w:rsidRDefault="008B1750"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2,299,876 </w:t>
            </w:r>
          </w:p>
        </w:tc>
      </w:tr>
      <w:tr w:rsidR="008B1750" w:rsidRPr="00092B22" w14:paraId="7DB685C9" w14:textId="77777777" w:rsidTr="00E607DA">
        <w:trPr>
          <w:trHeight w:val="23"/>
        </w:trPr>
        <w:tc>
          <w:tcPr>
            <w:tcW w:w="5216" w:type="dxa"/>
            <w:tcBorders>
              <w:top w:val="nil"/>
              <w:left w:val="nil"/>
              <w:bottom w:val="nil"/>
              <w:right w:val="nil"/>
            </w:tcBorders>
            <w:shd w:val="clear" w:color="auto" w:fill="auto"/>
            <w:noWrap/>
            <w:vAlign w:val="center"/>
            <w:hideMark/>
          </w:tcPr>
          <w:p w14:paraId="3B403057" w14:textId="77777777" w:rsidR="008B1750" w:rsidRPr="00092B22" w:rsidRDefault="008B1750"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Buildings</w:t>
            </w:r>
          </w:p>
        </w:tc>
        <w:tc>
          <w:tcPr>
            <w:tcW w:w="1021" w:type="dxa"/>
            <w:tcBorders>
              <w:top w:val="nil"/>
              <w:left w:val="nil"/>
              <w:bottom w:val="nil"/>
              <w:right w:val="nil"/>
            </w:tcBorders>
            <w:shd w:val="clear" w:color="auto" w:fill="auto"/>
            <w:vAlign w:val="center"/>
            <w:hideMark/>
          </w:tcPr>
          <w:p w14:paraId="288B5732" w14:textId="77777777" w:rsidR="008B1750" w:rsidRPr="00092B22" w:rsidRDefault="008B1750" w:rsidP="00E607DA">
            <w:pPr>
              <w:rPr>
                <w:rFonts w:ascii="Meta Pro" w:eastAsia="Times New Roman" w:hAnsi="Meta Pro"/>
                <w:color w:val="000000"/>
                <w:szCs w:val="18"/>
                <w:lang w:eastAsia="en-AU"/>
              </w:rPr>
            </w:pPr>
          </w:p>
        </w:tc>
        <w:tc>
          <w:tcPr>
            <w:tcW w:w="215" w:type="dxa"/>
            <w:tcBorders>
              <w:top w:val="nil"/>
              <w:left w:val="nil"/>
              <w:bottom w:val="nil"/>
              <w:right w:val="nil"/>
            </w:tcBorders>
            <w:shd w:val="clear" w:color="auto" w:fill="auto"/>
            <w:noWrap/>
            <w:vAlign w:val="center"/>
            <w:hideMark/>
          </w:tcPr>
          <w:p w14:paraId="049CD603" w14:textId="77777777" w:rsidR="008B1750" w:rsidRPr="00092B22" w:rsidRDefault="008B1750"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0FCAD116" w14:textId="77777777" w:rsidR="008B1750" w:rsidRPr="00092B22" w:rsidRDefault="008B1750"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166,025 </w:t>
            </w:r>
          </w:p>
        </w:tc>
        <w:tc>
          <w:tcPr>
            <w:tcW w:w="216" w:type="dxa"/>
            <w:tcBorders>
              <w:top w:val="nil"/>
              <w:left w:val="nil"/>
              <w:bottom w:val="nil"/>
              <w:right w:val="nil"/>
            </w:tcBorders>
            <w:shd w:val="clear" w:color="auto" w:fill="auto"/>
            <w:noWrap/>
            <w:vAlign w:val="center"/>
            <w:hideMark/>
          </w:tcPr>
          <w:p w14:paraId="72C401F8" w14:textId="77777777" w:rsidR="008B1750" w:rsidRPr="00092B22" w:rsidRDefault="008B1750"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648C8426" w14:textId="77777777" w:rsidR="008B1750" w:rsidRPr="00092B22" w:rsidRDefault="008B1750"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95,999 </w:t>
            </w:r>
          </w:p>
        </w:tc>
      </w:tr>
      <w:tr w:rsidR="008B1750" w:rsidRPr="00092B22" w14:paraId="45D1F4A3" w14:textId="77777777" w:rsidTr="00E607DA">
        <w:trPr>
          <w:trHeight w:val="23"/>
        </w:trPr>
        <w:tc>
          <w:tcPr>
            <w:tcW w:w="5216" w:type="dxa"/>
            <w:tcBorders>
              <w:top w:val="nil"/>
              <w:left w:val="nil"/>
              <w:bottom w:val="nil"/>
              <w:right w:val="nil"/>
            </w:tcBorders>
            <w:shd w:val="clear" w:color="auto" w:fill="auto"/>
            <w:noWrap/>
            <w:vAlign w:val="center"/>
            <w:hideMark/>
          </w:tcPr>
          <w:p w14:paraId="5E376402" w14:textId="77777777" w:rsidR="008B1750" w:rsidRPr="00092B22" w:rsidRDefault="008B1750"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Heritage and cultural *</w:t>
            </w:r>
          </w:p>
        </w:tc>
        <w:tc>
          <w:tcPr>
            <w:tcW w:w="1021" w:type="dxa"/>
            <w:tcBorders>
              <w:top w:val="nil"/>
              <w:left w:val="nil"/>
              <w:bottom w:val="nil"/>
              <w:right w:val="nil"/>
            </w:tcBorders>
            <w:shd w:val="clear" w:color="auto" w:fill="auto"/>
            <w:vAlign w:val="center"/>
            <w:hideMark/>
          </w:tcPr>
          <w:p w14:paraId="0E048176" w14:textId="77777777" w:rsidR="008B1750" w:rsidRPr="00092B22" w:rsidRDefault="008B1750" w:rsidP="00E607DA">
            <w:pPr>
              <w:rPr>
                <w:rFonts w:ascii="Meta Pro" w:eastAsia="Times New Roman" w:hAnsi="Meta Pro"/>
                <w:color w:val="000000"/>
                <w:szCs w:val="18"/>
                <w:lang w:eastAsia="en-AU"/>
              </w:rPr>
            </w:pPr>
          </w:p>
        </w:tc>
        <w:tc>
          <w:tcPr>
            <w:tcW w:w="215" w:type="dxa"/>
            <w:tcBorders>
              <w:top w:val="nil"/>
              <w:left w:val="nil"/>
              <w:bottom w:val="nil"/>
              <w:right w:val="nil"/>
            </w:tcBorders>
            <w:shd w:val="clear" w:color="auto" w:fill="auto"/>
            <w:vAlign w:val="center"/>
            <w:hideMark/>
          </w:tcPr>
          <w:p w14:paraId="5DE75273" w14:textId="77777777" w:rsidR="008B1750" w:rsidRPr="00092B22" w:rsidRDefault="008B1750"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0E52E3AA" w14:textId="77777777" w:rsidR="008B1750" w:rsidRPr="00092B22" w:rsidRDefault="008B1750"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   </w:t>
            </w:r>
          </w:p>
        </w:tc>
        <w:tc>
          <w:tcPr>
            <w:tcW w:w="216" w:type="dxa"/>
            <w:tcBorders>
              <w:top w:val="nil"/>
              <w:left w:val="nil"/>
              <w:bottom w:val="nil"/>
              <w:right w:val="nil"/>
            </w:tcBorders>
            <w:shd w:val="clear" w:color="auto" w:fill="auto"/>
            <w:noWrap/>
            <w:vAlign w:val="center"/>
            <w:hideMark/>
          </w:tcPr>
          <w:p w14:paraId="1CF4BB17" w14:textId="77777777" w:rsidR="008B1750" w:rsidRPr="00092B22" w:rsidRDefault="008B1750"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73BA1C06" w14:textId="77777777" w:rsidR="008B1750" w:rsidRPr="00092B22" w:rsidRDefault="008B1750"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3,614 </w:t>
            </w:r>
          </w:p>
        </w:tc>
      </w:tr>
      <w:tr w:rsidR="008B1750" w:rsidRPr="00092B22" w14:paraId="59B2436E" w14:textId="77777777" w:rsidTr="00E607DA">
        <w:trPr>
          <w:trHeight w:val="23"/>
        </w:trPr>
        <w:tc>
          <w:tcPr>
            <w:tcW w:w="5216" w:type="dxa"/>
            <w:tcBorders>
              <w:top w:val="nil"/>
              <w:left w:val="nil"/>
              <w:bottom w:val="nil"/>
              <w:right w:val="nil"/>
            </w:tcBorders>
            <w:shd w:val="clear" w:color="auto" w:fill="auto"/>
            <w:noWrap/>
            <w:vAlign w:val="center"/>
            <w:hideMark/>
          </w:tcPr>
          <w:p w14:paraId="22A2DEC5" w14:textId="77777777" w:rsidR="008B1750" w:rsidRPr="00092B22" w:rsidRDefault="008B1750"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Major property, plant and equipment</w:t>
            </w:r>
          </w:p>
        </w:tc>
        <w:tc>
          <w:tcPr>
            <w:tcW w:w="1021" w:type="dxa"/>
            <w:tcBorders>
              <w:top w:val="nil"/>
              <w:left w:val="nil"/>
              <w:bottom w:val="nil"/>
              <w:right w:val="nil"/>
            </w:tcBorders>
            <w:shd w:val="clear" w:color="auto" w:fill="auto"/>
            <w:vAlign w:val="center"/>
            <w:hideMark/>
          </w:tcPr>
          <w:p w14:paraId="5D48DEF7" w14:textId="77777777" w:rsidR="008B1750" w:rsidRPr="00092B22" w:rsidRDefault="008B1750" w:rsidP="00E607DA">
            <w:pPr>
              <w:rPr>
                <w:rFonts w:ascii="Meta Pro" w:eastAsia="Times New Roman" w:hAnsi="Meta Pro"/>
                <w:color w:val="000000"/>
                <w:szCs w:val="18"/>
                <w:lang w:eastAsia="en-AU"/>
              </w:rPr>
            </w:pPr>
          </w:p>
        </w:tc>
        <w:tc>
          <w:tcPr>
            <w:tcW w:w="215" w:type="dxa"/>
            <w:tcBorders>
              <w:top w:val="nil"/>
              <w:left w:val="nil"/>
              <w:bottom w:val="nil"/>
              <w:right w:val="nil"/>
            </w:tcBorders>
            <w:shd w:val="clear" w:color="auto" w:fill="auto"/>
            <w:vAlign w:val="center"/>
            <w:hideMark/>
          </w:tcPr>
          <w:p w14:paraId="4F9E9ACC" w14:textId="77777777" w:rsidR="008B1750" w:rsidRPr="00092B22" w:rsidRDefault="008B1750"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12A5619F" w14:textId="77777777" w:rsidR="008B1750" w:rsidRPr="00092B22" w:rsidRDefault="008B1750"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105,519 </w:t>
            </w:r>
          </w:p>
        </w:tc>
        <w:tc>
          <w:tcPr>
            <w:tcW w:w="216" w:type="dxa"/>
            <w:tcBorders>
              <w:top w:val="nil"/>
              <w:left w:val="nil"/>
              <w:bottom w:val="nil"/>
              <w:right w:val="nil"/>
            </w:tcBorders>
            <w:shd w:val="clear" w:color="auto" w:fill="auto"/>
            <w:noWrap/>
            <w:vAlign w:val="center"/>
            <w:hideMark/>
          </w:tcPr>
          <w:p w14:paraId="6D9EDE9C" w14:textId="77777777" w:rsidR="008B1750" w:rsidRPr="00092B22" w:rsidRDefault="008B1750"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02CEFC50" w14:textId="77777777" w:rsidR="008B1750" w:rsidRPr="00092B22" w:rsidRDefault="008B1750"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86,980 </w:t>
            </w:r>
          </w:p>
        </w:tc>
      </w:tr>
      <w:tr w:rsidR="008B1750" w:rsidRPr="00092B22" w14:paraId="6184FBDF" w14:textId="77777777" w:rsidTr="00E607DA">
        <w:trPr>
          <w:trHeight w:val="23"/>
        </w:trPr>
        <w:tc>
          <w:tcPr>
            <w:tcW w:w="5216" w:type="dxa"/>
            <w:tcBorders>
              <w:top w:val="nil"/>
              <w:left w:val="nil"/>
              <w:bottom w:val="nil"/>
              <w:right w:val="nil"/>
            </w:tcBorders>
            <w:shd w:val="clear" w:color="auto" w:fill="auto"/>
            <w:noWrap/>
            <w:vAlign w:val="center"/>
            <w:hideMark/>
          </w:tcPr>
          <w:p w14:paraId="26D1BFE9" w14:textId="77777777" w:rsidR="008B1750" w:rsidRPr="00092B22" w:rsidRDefault="008B1750"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Infrastructure</w:t>
            </w:r>
          </w:p>
        </w:tc>
        <w:tc>
          <w:tcPr>
            <w:tcW w:w="1021" w:type="dxa"/>
            <w:tcBorders>
              <w:top w:val="nil"/>
              <w:left w:val="nil"/>
              <w:bottom w:val="nil"/>
              <w:right w:val="nil"/>
            </w:tcBorders>
            <w:shd w:val="clear" w:color="auto" w:fill="auto"/>
            <w:vAlign w:val="center"/>
            <w:hideMark/>
          </w:tcPr>
          <w:p w14:paraId="57BC1C2B" w14:textId="77777777" w:rsidR="008B1750" w:rsidRPr="00092B22" w:rsidRDefault="008B1750" w:rsidP="00E607DA">
            <w:pPr>
              <w:rPr>
                <w:rFonts w:ascii="Meta Pro" w:eastAsia="Times New Roman" w:hAnsi="Meta Pro"/>
                <w:color w:val="000000"/>
                <w:szCs w:val="18"/>
                <w:lang w:eastAsia="en-AU"/>
              </w:rPr>
            </w:pPr>
          </w:p>
        </w:tc>
        <w:tc>
          <w:tcPr>
            <w:tcW w:w="215" w:type="dxa"/>
            <w:tcBorders>
              <w:top w:val="nil"/>
              <w:left w:val="nil"/>
              <w:bottom w:val="nil"/>
              <w:right w:val="nil"/>
            </w:tcBorders>
            <w:shd w:val="clear" w:color="auto" w:fill="auto"/>
            <w:vAlign w:val="center"/>
            <w:hideMark/>
          </w:tcPr>
          <w:p w14:paraId="6691853F" w14:textId="77777777" w:rsidR="008B1750" w:rsidRPr="00092B22" w:rsidRDefault="008B1750"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77B1A3BD" w14:textId="77777777" w:rsidR="008B1750" w:rsidRPr="00092B22" w:rsidRDefault="008B1750"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16,241,831 </w:t>
            </w:r>
          </w:p>
        </w:tc>
        <w:tc>
          <w:tcPr>
            <w:tcW w:w="216" w:type="dxa"/>
            <w:tcBorders>
              <w:top w:val="nil"/>
              <w:left w:val="nil"/>
              <w:bottom w:val="nil"/>
              <w:right w:val="nil"/>
            </w:tcBorders>
            <w:shd w:val="clear" w:color="auto" w:fill="auto"/>
            <w:noWrap/>
            <w:vAlign w:val="center"/>
            <w:hideMark/>
          </w:tcPr>
          <w:p w14:paraId="74E39267" w14:textId="77777777" w:rsidR="008B1750" w:rsidRPr="00092B22" w:rsidRDefault="008B1750"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5974664A" w14:textId="77777777" w:rsidR="008B1750" w:rsidRPr="00092B22" w:rsidRDefault="008B1750"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7,151,754 </w:t>
            </w:r>
          </w:p>
        </w:tc>
      </w:tr>
      <w:tr w:rsidR="008B1750" w:rsidRPr="00092B22" w14:paraId="3DA07E81" w14:textId="77777777" w:rsidTr="00E607DA">
        <w:trPr>
          <w:trHeight w:val="23"/>
        </w:trPr>
        <w:tc>
          <w:tcPr>
            <w:tcW w:w="5216" w:type="dxa"/>
            <w:tcBorders>
              <w:top w:val="nil"/>
              <w:left w:val="nil"/>
              <w:bottom w:val="nil"/>
              <w:right w:val="nil"/>
            </w:tcBorders>
            <w:shd w:val="clear" w:color="auto" w:fill="auto"/>
            <w:noWrap/>
            <w:vAlign w:val="center"/>
            <w:hideMark/>
          </w:tcPr>
          <w:p w14:paraId="45BF95CB" w14:textId="77777777" w:rsidR="008B1750" w:rsidRPr="00092B22" w:rsidRDefault="008B1750"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Service concession assets</w:t>
            </w:r>
          </w:p>
        </w:tc>
        <w:tc>
          <w:tcPr>
            <w:tcW w:w="1021" w:type="dxa"/>
            <w:tcBorders>
              <w:top w:val="nil"/>
              <w:left w:val="nil"/>
              <w:bottom w:val="single" w:sz="4" w:space="0" w:color="auto"/>
              <w:right w:val="nil"/>
            </w:tcBorders>
            <w:shd w:val="clear" w:color="auto" w:fill="auto"/>
            <w:vAlign w:val="center"/>
            <w:hideMark/>
          </w:tcPr>
          <w:p w14:paraId="61E26948" w14:textId="77777777" w:rsidR="008B1750" w:rsidRPr="00092B22" w:rsidRDefault="008B1750"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15" w:type="dxa"/>
            <w:tcBorders>
              <w:top w:val="nil"/>
              <w:left w:val="nil"/>
              <w:bottom w:val="nil"/>
              <w:right w:val="nil"/>
            </w:tcBorders>
            <w:shd w:val="clear" w:color="auto" w:fill="auto"/>
            <w:vAlign w:val="center"/>
            <w:hideMark/>
          </w:tcPr>
          <w:p w14:paraId="45EDD582" w14:textId="77777777" w:rsidR="008B1750" w:rsidRPr="00092B22" w:rsidRDefault="008B1750" w:rsidP="00E607DA">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5024BAB6" w14:textId="77777777" w:rsidR="008B1750" w:rsidRPr="00092B22" w:rsidRDefault="008B1750"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1,525,428 </w:t>
            </w:r>
          </w:p>
        </w:tc>
        <w:tc>
          <w:tcPr>
            <w:tcW w:w="216" w:type="dxa"/>
            <w:tcBorders>
              <w:top w:val="nil"/>
              <w:left w:val="nil"/>
              <w:bottom w:val="nil"/>
              <w:right w:val="nil"/>
            </w:tcBorders>
            <w:shd w:val="clear" w:color="auto" w:fill="auto"/>
            <w:noWrap/>
            <w:vAlign w:val="center"/>
            <w:hideMark/>
          </w:tcPr>
          <w:p w14:paraId="2C1BB3D5" w14:textId="77777777" w:rsidR="008B1750" w:rsidRPr="00092B22" w:rsidRDefault="008B1750"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3DCEB271" w14:textId="77777777" w:rsidR="008B1750" w:rsidRPr="00092B22" w:rsidRDefault="008B1750"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538,991 </w:t>
            </w:r>
          </w:p>
        </w:tc>
      </w:tr>
      <w:tr w:rsidR="008B1750" w:rsidRPr="00092B22" w14:paraId="540BA930" w14:textId="77777777" w:rsidTr="00E607DA">
        <w:trPr>
          <w:trHeight w:val="23"/>
        </w:trPr>
        <w:tc>
          <w:tcPr>
            <w:tcW w:w="5216" w:type="dxa"/>
            <w:tcBorders>
              <w:top w:val="single" w:sz="4" w:space="0" w:color="auto"/>
              <w:left w:val="nil"/>
              <w:bottom w:val="single" w:sz="4" w:space="0" w:color="auto"/>
              <w:right w:val="nil"/>
            </w:tcBorders>
            <w:shd w:val="clear" w:color="auto" w:fill="auto"/>
            <w:noWrap/>
            <w:vAlign w:val="center"/>
            <w:hideMark/>
          </w:tcPr>
          <w:p w14:paraId="5121F274" w14:textId="77777777" w:rsidR="008B1750" w:rsidRPr="00092B22" w:rsidRDefault="008B1750"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Closing balance</w:t>
            </w:r>
          </w:p>
        </w:tc>
        <w:tc>
          <w:tcPr>
            <w:tcW w:w="1021" w:type="dxa"/>
            <w:tcBorders>
              <w:top w:val="single" w:sz="4" w:space="0" w:color="auto"/>
              <w:left w:val="nil"/>
              <w:bottom w:val="single" w:sz="4" w:space="0" w:color="auto"/>
              <w:right w:val="nil"/>
            </w:tcBorders>
            <w:shd w:val="clear" w:color="auto" w:fill="auto"/>
            <w:noWrap/>
            <w:vAlign w:val="center"/>
            <w:hideMark/>
          </w:tcPr>
          <w:p w14:paraId="1E5F32F2" w14:textId="77777777" w:rsidR="008B1750" w:rsidRPr="00092B22" w:rsidRDefault="008B1750" w:rsidP="00E607DA">
            <w:pPr>
              <w:jc w:val="cente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215" w:type="dxa"/>
            <w:tcBorders>
              <w:top w:val="single" w:sz="4" w:space="0" w:color="auto"/>
              <w:left w:val="nil"/>
              <w:bottom w:val="single" w:sz="4" w:space="0" w:color="auto"/>
              <w:right w:val="nil"/>
            </w:tcBorders>
            <w:shd w:val="clear" w:color="auto" w:fill="auto"/>
            <w:noWrap/>
            <w:vAlign w:val="center"/>
            <w:hideMark/>
          </w:tcPr>
          <w:p w14:paraId="4532297B" w14:textId="77777777" w:rsidR="008B1750" w:rsidRPr="00092B22" w:rsidRDefault="008B1750"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1514" w:type="dxa"/>
            <w:tcBorders>
              <w:top w:val="single" w:sz="4" w:space="0" w:color="auto"/>
              <w:left w:val="nil"/>
              <w:bottom w:val="single" w:sz="4" w:space="0" w:color="auto"/>
              <w:right w:val="nil"/>
            </w:tcBorders>
            <w:shd w:val="clear" w:color="000000" w:fill="C9E3B4"/>
            <w:noWrap/>
            <w:vAlign w:val="center"/>
            <w:hideMark/>
          </w:tcPr>
          <w:p w14:paraId="306E3D09" w14:textId="77777777" w:rsidR="008B1750" w:rsidRPr="00092B22" w:rsidRDefault="008B1750"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20,931,501 </w:t>
            </w:r>
          </w:p>
        </w:tc>
        <w:tc>
          <w:tcPr>
            <w:tcW w:w="216" w:type="dxa"/>
            <w:tcBorders>
              <w:top w:val="single" w:sz="4" w:space="0" w:color="auto"/>
              <w:left w:val="nil"/>
              <w:bottom w:val="single" w:sz="4" w:space="0" w:color="auto"/>
              <w:right w:val="nil"/>
            </w:tcBorders>
            <w:shd w:val="clear" w:color="auto" w:fill="auto"/>
            <w:noWrap/>
            <w:vAlign w:val="center"/>
            <w:hideMark/>
          </w:tcPr>
          <w:p w14:paraId="10284496" w14:textId="77777777" w:rsidR="008B1750" w:rsidRPr="00092B22" w:rsidRDefault="008B1750"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1514" w:type="dxa"/>
            <w:tcBorders>
              <w:top w:val="single" w:sz="4" w:space="0" w:color="auto"/>
              <w:left w:val="nil"/>
              <w:bottom w:val="single" w:sz="4" w:space="0" w:color="auto"/>
              <w:right w:val="nil"/>
            </w:tcBorders>
            <w:shd w:val="clear" w:color="auto" w:fill="auto"/>
            <w:noWrap/>
            <w:vAlign w:val="center"/>
            <w:hideMark/>
          </w:tcPr>
          <w:p w14:paraId="73DBD873" w14:textId="77777777" w:rsidR="008B1750" w:rsidRPr="00092B22" w:rsidRDefault="008B1750"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10,177,214 </w:t>
            </w:r>
          </w:p>
        </w:tc>
      </w:tr>
    </w:tbl>
    <w:p w14:paraId="5E66888D" w14:textId="77777777" w:rsidR="008B1750" w:rsidRPr="00092B22" w:rsidRDefault="008B1750" w:rsidP="008B1750">
      <w:pPr>
        <w:spacing w:before="120"/>
        <w:rPr>
          <w:rFonts w:ascii="Meta Pro" w:eastAsia="Times New Roman" w:hAnsi="Meta Pro"/>
          <w:color w:val="000000"/>
          <w:szCs w:val="18"/>
          <w:lang w:eastAsia="en-AU"/>
        </w:rPr>
      </w:pPr>
      <w:r w:rsidRPr="00092B22">
        <w:rPr>
          <w:rFonts w:ascii="Meta Pro" w:eastAsia="Times New Roman" w:hAnsi="Meta Pro"/>
          <w:color w:val="000000"/>
          <w:szCs w:val="18"/>
          <w:lang w:eastAsia="en-AU"/>
        </w:rPr>
        <w:t>* The heritage and cultural asset class is no longer separately disclosed in the financial statements due to its insignificant</w:t>
      </w:r>
    </w:p>
    <w:p w14:paraId="1E917B91" w14:textId="77777777" w:rsidR="008B1750" w:rsidRPr="00092B22" w:rsidRDefault="008B1750" w:rsidP="008B1750">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value. Accordingly the balance of the heritage and cultural asset revaluation surplus has been derecognised through</w:t>
      </w:r>
    </w:p>
    <w:p w14:paraId="4E3E2432" w14:textId="77777777" w:rsidR="008B1750" w:rsidRPr="00092B22" w:rsidRDefault="008B1750" w:rsidP="008B1750">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accumulated surplus/deficit. These assets are carried at cost in the plant and equipment asset class. Refer to Note 15.</w:t>
      </w:r>
    </w:p>
    <w:p w14:paraId="40FF66AF" w14:textId="77777777" w:rsidR="008B1750" w:rsidRPr="00092B22" w:rsidRDefault="008B1750" w:rsidP="008B1750">
      <w:pPr>
        <w:spacing w:before="120"/>
        <w:rPr>
          <w:rFonts w:ascii="Meta Pro" w:eastAsia="Times New Roman" w:hAnsi="Meta Pro"/>
          <w:i/>
          <w:iCs/>
          <w:color w:val="000000"/>
          <w:szCs w:val="18"/>
          <w:lang w:eastAsia="en-AU"/>
        </w:rPr>
      </w:pPr>
      <w:r w:rsidRPr="00092B22">
        <w:rPr>
          <w:rFonts w:ascii="Meta Pro" w:eastAsia="Times New Roman" w:hAnsi="Meta Pro"/>
          <w:i/>
          <w:iCs/>
          <w:color w:val="000000"/>
          <w:szCs w:val="18"/>
          <w:lang w:eastAsia="en-AU"/>
        </w:rPr>
        <w:t>The accompanying notes form part of these financial statements.</w:t>
      </w:r>
    </w:p>
    <w:p w14:paraId="7554B86B" w14:textId="77777777" w:rsidR="008B1750" w:rsidRPr="00092B22" w:rsidRDefault="008B1750" w:rsidP="008B1750">
      <w:pPr>
        <w:shd w:val="clear" w:color="auto" w:fill="EBEBEB"/>
        <w:spacing w:after="120"/>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Accounting policy</w:t>
      </w:r>
    </w:p>
    <w:p w14:paraId="4E33E139" w14:textId="77777777" w:rsidR="008B1750" w:rsidRPr="00092B22" w:rsidRDefault="008B1750" w:rsidP="008B1750">
      <w:pPr>
        <w:shd w:val="clear" w:color="auto" w:fill="EBEBEB"/>
        <w:rPr>
          <w:rFonts w:ascii="Meta Pro" w:eastAsia="Times New Roman" w:hAnsi="Meta Pro"/>
          <w:szCs w:val="18"/>
          <w:lang w:eastAsia="en-AU"/>
        </w:rPr>
      </w:pPr>
      <w:r w:rsidRPr="00092B22">
        <w:rPr>
          <w:rFonts w:ascii="Meta Pro" w:eastAsia="Times New Roman" w:hAnsi="Meta Pro"/>
          <w:szCs w:val="18"/>
          <w:lang w:eastAsia="en-AU"/>
        </w:rPr>
        <w:t xml:space="preserve">Non-reciprocal transfers of assets and liabilities between wholly-owned Queensland State Public Sector entities are adjusted to contributed equity. These adjustments are made in accordance with Interpretation 1038 </w:t>
      </w:r>
      <w:r w:rsidRPr="00092B22">
        <w:rPr>
          <w:rFonts w:ascii="Meta Pro" w:eastAsia="Times New Roman" w:hAnsi="Meta Pro"/>
          <w:i/>
          <w:iCs/>
          <w:szCs w:val="18"/>
          <w:lang w:eastAsia="en-AU"/>
        </w:rPr>
        <w:t>Contributions by Owners Made to Wholly-Owned Public Sector Entities</w:t>
      </w:r>
      <w:r w:rsidRPr="00092B22">
        <w:rPr>
          <w:rFonts w:ascii="Meta Pro" w:eastAsia="Times New Roman" w:hAnsi="Meta Pro"/>
          <w:szCs w:val="18"/>
          <w:lang w:eastAsia="en-AU"/>
        </w:rPr>
        <w:t>. Appropriations for equity adjustments are similarly designated.</w:t>
      </w:r>
    </w:p>
    <w:tbl>
      <w:tblPr>
        <w:tblW w:w="0" w:type="auto"/>
        <w:tblCellMar>
          <w:left w:w="0" w:type="dxa"/>
        </w:tblCellMar>
        <w:tblLook w:val="04A0" w:firstRow="1" w:lastRow="0" w:firstColumn="1" w:lastColumn="0" w:noHBand="0" w:noVBand="1"/>
      </w:tblPr>
      <w:tblGrid>
        <w:gridCol w:w="221"/>
        <w:gridCol w:w="4942"/>
        <w:gridCol w:w="1018"/>
        <w:gridCol w:w="222"/>
        <w:gridCol w:w="1506"/>
        <w:gridCol w:w="223"/>
        <w:gridCol w:w="1506"/>
      </w:tblGrid>
      <w:tr w:rsidR="007129DB" w:rsidRPr="00626042" w14:paraId="25B4DD66" w14:textId="77777777" w:rsidTr="00E607DA">
        <w:trPr>
          <w:trHeight w:val="23"/>
        </w:trPr>
        <w:tc>
          <w:tcPr>
            <w:tcW w:w="215" w:type="dxa"/>
            <w:tcBorders>
              <w:top w:val="nil"/>
              <w:left w:val="nil"/>
              <w:bottom w:val="nil"/>
              <w:right w:val="nil"/>
            </w:tcBorders>
            <w:shd w:val="clear" w:color="auto" w:fill="auto"/>
            <w:noWrap/>
            <w:vAlign w:val="center"/>
            <w:hideMark/>
          </w:tcPr>
          <w:p w14:paraId="6A446A58" w14:textId="77777777" w:rsidR="007129DB" w:rsidRPr="00626042" w:rsidRDefault="007129DB" w:rsidP="00E607DA">
            <w:pPr>
              <w:rPr>
                <w:rFonts w:ascii="Meta Pro" w:eastAsia="Times New Roman" w:hAnsi="Meta Pro" w:cs="Times New Roman"/>
                <w:sz w:val="24"/>
                <w:szCs w:val="24"/>
                <w:lang w:eastAsia="en-AU"/>
              </w:rPr>
            </w:pPr>
          </w:p>
        </w:tc>
        <w:tc>
          <w:tcPr>
            <w:tcW w:w="4990" w:type="dxa"/>
            <w:tcBorders>
              <w:top w:val="nil"/>
              <w:left w:val="nil"/>
              <w:bottom w:val="nil"/>
              <w:right w:val="nil"/>
            </w:tcBorders>
            <w:shd w:val="clear" w:color="auto" w:fill="auto"/>
            <w:noWrap/>
            <w:vAlign w:val="center"/>
            <w:hideMark/>
          </w:tcPr>
          <w:p w14:paraId="5DB0A9DA" w14:textId="77777777" w:rsidR="007129DB" w:rsidRPr="00626042" w:rsidRDefault="007129DB" w:rsidP="00E607DA">
            <w:pPr>
              <w:rPr>
                <w:rFonts w:ascii="Meta Pro" w:eastAsia="Times New Roman" w:hAnsi="Meta Pro" w:cs="Times New Roman"/>
                <w:sz w:val="20"/>
                <w:szCs w:val="20"/>
                <w:lang w:eastAsia="en-AU"/>
              </w:rPr>
            </w:pPr>
          </w:p>
        </w:tc>
        <w:tc>
          <w:tcPr>
            <w:tcW w:w="1021" w:type="dxa"/>
            <w:tcBorders>
              <w:top w:val="nil"/>
              <w:left w:val="nil"/>
              <w:bottom w:val="nil"/>
              <w:right w:val="nil"/>
            </w:tcBorders>
            <w:shd w:val="clear" w:color="auto" w:fill="auto"/>
            <w:noWrap/>
            <w:vAlign w:val="center"/>
            <w:hideMark/>
          </w:tcPr>
          <w:p w14:paraId="5D710203" w14:textId="77777777" w:rsidR="007129DB" w:rsidRPr="00626042" w:rsidRDefault="007129DB" w:rsidP="00E607DA">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5367038E" w14:textId="77777777" w:rsidR="007129DB" w:rsidRPr="00626042" w:rsidRDefault="007129DB"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32004FF4" w14:textId="77777777" w:rsidR="007129DB" w:rsidRPr="00626042" w:rsidRDefault="007129DB" w:rsidP="00E607DA">
            <w:pPr>
              <w:jc w:val="center"/>
              <w:rPr>
                <w:rFonts w:ascii="Meta Pro" w:eastAsia="Times New Roman" w:hAnsi="Meta Pro"/>
                <w:b/>
                <w:bCs/>
                <w:color w:val="000000"/>
                <w:lang w:eastAsia="en-AU"/>
              </w:rPr>
            </w:pPr>
            <w:r w:rsidRPr="00626042">
              <w:rPr>
                <w:rFonts w:ascii="Meta Pro" w:eastAsia="Times New Roman" w:hAnsi="Meta Pro"/>
                <w:b/>
                <w:bCs/>
                <w:color w:val="000000"/>
                <w:lang w:eastAsia="en-AU"/>
              </w:rPr>
              <w:t>2022</w:t>
            </w:r>
          </w:p>
        </w:tc>
        <w:tc>
          <w:tcPr>
            <w:tcW w:w="216" w:type="dxa"/>
            <w:tcBorders>
              <w:top w:val="nil"/>
              <w:left w:val="nil"/>
              <w:bottom w:val="nil"/>
              <w:right w:val="nil"/>
            </w:tcBorders>
            <w:shd w:val="clear" w:color="auto" w:fill="auto"/>
            <w:noWrap/>
            <w:vAlign w:val="center"/>
            <w:hideMark/>
          </w:tcPr>
          <w:p w14:paraId="510816A9" w14:textId="77777777" w:rsidR="007129DB" w:rsidRPr="00626042" w:rsidRDefault="007129DB" w:rsidP="00E607DA">
            <w:pPr>
              <w:jc w:val="center"/>
              <w:rPr>
                <w:rFonts w:ascii="Meta Pro" w:eastAsia="Times New Roman" w:hAnsi="Meta Pro"/>
                <w:b/>
                <w:bCs/>
                <w:color w:val="000000"/>
                <w:lang w:eastAsia="en-AU"/>
              </w:rPr>
            </w:pPr>
          </w:p>
        </w:tc>
        <w:tc>
          <w:tcPr>
            <w:tcW w:w="1514" w:type="dxa"/>
            <w:tcBorders>
              <w:top w:val="nil"/>
              <w:left w:val="nil"/>
              <w:bottom w:val="nil"/>
              <w:right w:val="nil"/>
            </w:tcBorders>
            <w:shd w:val="clear" w:color="auto" w:fill="auto"/>
            <w:noWrap/>
            <w:vAlign w:val="center"/>
            <w:hideMark/>
          </w:tcPr>
          <w:p w14:paraId="3E5A3520" w14:textId="77777777" w:rsidR="007129DB" w:rsidRPr="00626042" w:rsidRDefault="007129DB" w:rsidP="00E607DA">
            <w:pPr>
              <w:jc w:val="center"/>
              <w:rPr>
                <w:rFonts w:ascii="Meta Pro" w:eastAsia="Times New Roman" w:hAnsi="Meta Pro"/>
                <w:b/>
                <w:bCs/>
                <w:color w:val="000000"/>
                <w:lang w:eastAsia="en-AU"/>
              </w:rPr>
            </w:pPr>
            <w:r w:rsidRPr="00626042">
              <w:rPr>
                <w:rFonts w:ascii="Meta Pro" w:eastAsia="Times New Roman" w:hAnsi="Meta Pro"/>
                <w:b/>
                <w:bCs/>
                <w:color w:val="000000"/>
                <w:lang w:eastAsia="en-AU"/>
              </w:rPr>
              <w:t>2021</w:t>
            </w:r>
          </w:p>
        </w:tc>
      </w:tr>
      <w:tr w:rsidR="007129DB" w:rsidRPr="00626042" w14:paraId="4BBA7FBA" w14:textId="77777777" w:rsidTr="00E607DA">
        <w:trPr>
          <w:trHeight w:val="23"/>
        </w:trPr>
        <w:tc>
          <w:tcPr>
            <w:tcW w:w="215" w:type="dxa"/>
            <w:tcBorders>
              <w:top w:val="nil"/>
              <w:left w:val="nil"/>
              <w:bottom w:val="nil"/>
              <w:right w:val="nil"/>
            </w:tcBorders>
            <w:shd w:val="clear" w:color="auto" w:fill="auto"/>
            <w:noWrap/>
            <w:vAlign w:val="center"/>
            <w:hideMark/>
          </w:tcPr>
          <w:p w14:paraId="269E648D" w14:textId="77777777" w:rsidR="007129DB" w:rsidRPr="00626042" w:rsidRDefault="007129DB" w:rsidP="00E607DA">
            <w:pPr>
              <w:jc w:val="center"/>
              <w:rPr>
                <w:rFonts w:ascii="Meta Pro" w:eastAsia="Times New Roman" w:hAnsi="Meta Pro"/>
                <w:b/>
                <w:bCs/>
                <w:color w:val="000000"/>
                <w:lang w:eastAsia="en-AU"/>
              </w:rPr>
            </w:pPr>
          </w:p>
        </w:tc>
        <w:tc>
          <w:tcPr>
            <w:tcW w:w="4990" w:type="dxa"/>
            <w:tcBorders>
              <w:top w:val="nil"/>
              <w:left w:val="nil"/>
              <w:bottom w:val="nil"/>
              <w:right w:val="nil"/>
            </w:tcBorders>
            <w:shd w:val="clear" w:color="auto" w:fill="auto"/>
            <w:noWrap/>
            <w:vAlign w:val="center"/>
            <w:hideMark/>
          </w:tcPr>
          <w:p w14:paraId="25844E8A" w14:textId="77777777" w:rsidR="007129DB" w:rsidRPr="00626042" w:rsidRDefault="007129DB" w:rsidP="00E607DA">
            <w:pPr>
              <w:rPr>
                <w:rFonts w:ascii="Meta Pro" w:eastAsia="Times New Roman" w:hAnsi="Meta Pro" w:cs="Times New Roman"/>
                <w:sz w:val="20"/>
                <w:szCs w:val="20"/>
                <w:lang w:eastAsia="en-AU"/>
              </w:rPr>
            </w:pPr>
          </w:p>
        </w:tc>
        <w:tc>
          <w:tcPr>
            <w:tcW w:w="1021" w:type="dxa"/>
            <w:tcBorders>
              <w:top w:val="nil"/>
              <w:left w:val="nil"/>
              <w:bottom w:val="nil"/>
              <w:right w:val="nil"/>
            </w:tcBorders>
            <w:shd w:val="clear" w:color="auto" w:fill="auto"/>
            <w:noWrap/>
            <w:vAlign w:val="center"/>
            <w:hideMark/>
          </w:tcPr>
          <w:p w14:paraId="5FC5CB63" w14:textId="77777777" w:rsidR="007129DB" w:rsidRPr="00626042" w:rsidRDefault="007129DB" w:rsidP="00E607DA">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42188B34" w14:textId="77777777" w:rsidR="007129DB" w:rsidRPr="00626042" w:rsidRDefault="007129DB"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42A1157E" w14:textId="77777777" w:rsidR="007129DB" w:rsidRPr="00626042" w:rsidRDefault="007129DB" w:rsidP="00E607DA">
            <w:pPr>
              <w:jc w:val="center"/>
              <w:rPr>
                <w:rFonts w:ascii="Meta Pro" w:eastAsia="Times New Roman" w:hAnsi="Meta Pro"/>
                <w:b/>
                <w:bCs/>
                <w:color w:val="000000"/>
                <w:lang w:eastAsia="en-AU"/>
              </w:rPr>
            </w:pPr>
            <w:r w:rsidRPr="00626042">
              <w:rPr>
                <w:rFonts w:ascii="Meta Pro" w:eastAsia="Times New Roman" w:hAnsi="Meta Pro"/>
                <w:b/>
                <w:bCs/>
                <w:color w:val="000000"/>
                <w:lang w:eastAsia="en-AU"/>
              </w:rPr>
              <w:t>$'000</w:t>
            </w:r>
          </w:p>
        </w:tc>
        <w:tc>
          <w:tcPr>
            <w:tcW w:w="216" w:type="dxa"/>
            <w:tcBorders>
              <w:top w:val="nil"/>
              <w:left w:val="nil"/>
              <w:bottom w:val="nil"/>
              <w:right w:val="nil"/>
            </w:tcBorders>
            <w:shd w:val="clear" w:color="auto" w:fill="auto"/>
            <w:noWrap/>
            <w:vAlign w:val="center"/>
            <w:hideMark/>
          </w:tcPr>
          <w:p w14:paraId="38C2672E" w14:textId="77777777" w:rsidR="007129DB" w:rsidRPr="00626042" w:rsidRDefault="007129DB" w:rsidP="00E607DA">
            <w:pPr>
              <w:jc w:val="center"/>
              <w:rPr>
                <w:rFonts w:ascii="Meta Pro" w:eastAsia="Times New Roman" w:hAnsi="Meta Pro"/>
                <w:b/>
                <w:bCs/>
                <w:color w:val="000000"/>
                <w:lang w:eastAsia="en-AU"/>
              </w:rPr>
            </w:pPr>
          </w:p>
        </w:tc>
        <w:tc>
          <w:tcPr>
            <w:tcW w:w="1514" w:type="dxa"/>
            <w:tcBorders>
              <w:top w:val="nil"/>
              <w:left w:val="nil"/>
              <w:bottom w:val="nil"/>
              <w:right w:val="nil"/>
            </w:tcBorders>
            <w:shd w:val="clear" w:color="auto" w:fill="auto"/>
            <w:noWrap/>
            <w:vAlign w:val="center"/>
            <w:hideMark/>
          </w:tcPr>
          <w:p w14:paraId="14FD127A" w14:textId="77777777" w:rsidR="007129DB" w:rsidRPr="00626042" w:rsidRDefault="007129DB" w:rsidP="00E607DA">
            <w:pPr>
              <w:jc w:val="center"/>
              <w:rPr>
                <w:rFonts w:ascii="Meta Pro" w:eastAsia="Times New Roman" w:hAnsi="Meta Pro"/>
                <w:b/>
                <w:bCs/>
                <w:color w:val="000000"/>
                <w:lang w:eastAsia="en-AU"/>
              </w:rPr>
            </w:pPr>
            <w:r w:rsidRPr="00626042">
              <w:rPr>
                <w:rFonts w:ascii="Meta Pro" w:eastAsia="Times New Roman" w:hAnsi="Meta Pro"/>
                <w:b/>
                <w:bCs/>
                <w:color w:val="000000"/>
                <w:lang w:eastAsia="en-AU"/>
              </w:rPr>
              <w:t>$'000</w:t>
            </w:r>
          </w:p>
        </w:tc>
      </w:tr>
      <w:tr w:rsidR="007129DB" w:rsidRPr="00626042" w14:paraId="74DDB492" w14:textId="77777777" w:rsidTr="00E607DA">
        <w:trPr>
          <w:trHeight w:val="23"/>
        </w:trPr>
        <w:tc>
          <w:tcPr>
            <w:tcW w:w="4990" w:type="dxa"/>
            <w:gridSpan w:val="2"/>
            <w:tcBorders>
              <w:top w:val="nil"/>
              <w:left w:val="nil"/>
              <w:bottom w:val="nil"/>
              <w:right w:val="nil"/>
            </w:tcBorders>
            <w:shd w:val="clear" w:color="auto" w:fill="auto"/>
            <w:noWrap/>
            <w:vAlign w:val="center"/>
            <w:hideMark/>
          </w:tcPr>
          <w:p w14:paraId="4CC2DF42" w14:textId="77777777" w:rsidR="007129DB" w:rsidRPr="00626042" w:rsidRDefault="007129DB" w:rsidP="00E607DA">
            <w:pPr>
              <w:rPr>
                <w:rFonts w:ascii="Meta Pro" w:eastAsia="Times New Roman" w:hAnsi="Meta Pro"/>
                <w:b/>
                <w:bCs/>
                <w:color w:val="000000"/>
                <w:szCs w:val="18"/>
                <w:lang w:eastAsia="en-AU"/>
              </w:rPr>
            </w:pPr>
            <w:r w:rsidRPr="00626042">
              <w:rPr>
                <w:rFonts w:ascii="Meta Pro" w:eastAsia="Times New Roman" w:hAnsi="Meta Pro"/>
                <w:b/>
                <w:bCs/>
                <w:color w:val="000000"/>
                <w:szCs w:val="18"/>
                <w:lang w:eastAsia="en-AU"/>
              </w:rPr>
              <w:t>Cash flows from operating activities</w:t>
            </w:r>
          </w:p>
        </w:tc>
        <w:tc>
          <w:tcPr>
            <w:tcW w:w="1021" w:type="dxa"/>
            <w:tcBorders>
              <w:top w:val="nil"/>
              <w:left w:val="nil"/>
              <w:bottom w:val="nil"/>
              <w:right w:val="nil"/>
            </w:tcBorders>
            <w:shd w:val="clear" w:color="auto" w:fill="auto"/>
            <w:noWrap/>
            <w:vAlign w:val="center"/>
            <w:hideMark/>
          </w:tcPr>
          <w:p w14:paraId="6AFBB4E6" w14:textId="77777777" w:rsidR="007129DB" w:rsidRPr="00626042" w:rsidRDefault="007129DB" w:rsidP="00E607DA">
            <w:pPr>
              <w:rPr>
                <w:rFonts w:ascii="Meta Pro" w:eastAsia="Times New Roman" w:hAnsi="Meta Pro"/>
                <w:b/>
                <w:bCs/>
                <w:color w:val="000000"/>
                <w:szCs w:val="18"/>
                <w:lang w:eastAsia="en-AU"/>
              </w:rPr>
            </w:pPr>
          </w:p>
        </w:tc>
        <w:tc>
          <w:tcPr>
            <w:tcW w:w="215" w:type="dxa"/>
            <w:tcBorders>
              <w:top w:val="nil"/>
              <w:left w:val="nil"/>
              <w:bottom w:val="nil"/>
              <w:right w:val="nil"/>
            </w:tcBorders>
            <w:shd w:val="clear" w:color="auto" w:fill="auto"/>
            <w:noWrap/>
            <w:vAlign w:val="center"/>
            <w:hideMark/>
          </w:tcPr>
          <w:p w14:paraId="5557D829" w14:textId="77777777" w:rsidR="007129DB" w:rsidRPr="00626042" w:rsidRDefault="007129DB"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260C796F" w14:textId="77777777" w:rsidR="007129DB" w:rsidRPr="00626042" w:rsidRDefault="007129DB" w:rsidP="00E607DA">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479B5750" w14:textId="77777777" w:rsidR="007129DB" w:rsidRPr="00626042" w:rsidRDefault="007129DB" w:rsidP="00E607DA">
            <w:pP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2D71768C" w14:textId="77777777" w:rsidR="007129DB" w:rsidRPr="00626042" w:rsidRDefault="007129DB" w:rsidP="00E607DA">
            <w:pPr>
              <w:rPr>
                <w:rFonts w:ascii="Meta Pro" w:eastAsia="Times New Roman" w:hAnsi="Meta Pro" w:cs="Times New Roman"/>
                <w:sz w:val="20"/>
                <w:szCs w:val="20"/>
                <w:lang w:eastAsia="en-AU"/>
              </w:rPr>
            </w:pPr>
          </w:p>
        </w:tc>
      </w:tr>
      <w:tr w:rsidR="007129DB" w:rsidRPr="00626042" w14:paraId="6E07A301" w14:textId="77777777" w:rsidTr="00E607DA">
        <w:trPr>
          <w:trHeight w:val="23"/>
        </w:trPr>
        <w:tc>
          <w:tcPr>
            <w:tcW w:w="215" w:type="dxa"/>
            <w:tcBorders>
              <w:top w:val="nil"/>
              <w:left w:val="nil"/>
              <w:bottom w:val="nil"/>
              <w:right w:val="nil"/>
            </w:tcBorders>
            <w:shd w:val="clear" w:color="auto" w:fill="auto"/>
            <w:noWrap/>
            <w:vAlign w:val="center"/>
            <w:hideMark/>
          </w:tcPr>
          <w:p w14:paraId="78652B77" w14:textId="77777777" w:rsidR="007129DB" w:rsidRPr="00626042" w:rsidRDefault="007129DB" w:rsidP="00E607DA">
            <w:pPr>
              <w:rPr>
                <w:rFonts w:ascii="Meta Pro" w:eastAsia="Times New Roman" w:hAnsi="Meta Pro" w:cs="Times New Roman"/>
                <w:sz w:val="20"/>
                <w:szCs w:val="20"/>
                <w:lang w:eastAsia="en-AU"/>
              </w:rPr>
            </w:pPr>
          </w:p>
        </w:tc>
        <w:tc>
          <w:tcPr>
            <w:tcW w:w="4990" w:type="dxa"/>
            <w:tcBorders>
              <w:top w:val="nil"/>
              <w:left w:val="nil"/>
              <w:bottom w:val="nil"/>
              <w:right w:val="nil"/>
            </w:tcBorders>
            <w:shd w:val="clear" w:color="auto" w:fill="auto"/>
            <w:noWrap/>
            <w:vAlign w:val="center"/>
            <w:hideMark/>
          </w:tcPr>
          <w:p w14:paraId="5C4159C2" w14:textId="77777777" w:rsidR="007129DB" w:rsidRPr="00626042" w:rsidRDefault="007129DB" w:rsidP="00E607DA">
            <w:pPr>
              <w:rPr>
                <w:rFonts w:ascii="Meta Pro" w:eastAsia="Times New Roman" w:hAnsi="Meta Pro"/>
                <w:i/>
                <w:iCs/>
                <w:color w:val="000000"/>
                <w:szCs w:val="18"/>
                <w:lang w:eastAsia="en-AU"/>
              </w:rPr>
            </w:pPr>
            <w:r w:rsidRPr="00626042">
              <w:rPr>
                <w:rFonts w:ascii="Meta Pro" w:eastAsia="Times New Roman" w:hAnsi="Meta Pro"/>
                <w:i/>
                <w:iCs/>
                <w:color w:val="000000"/>
                <w:szCs w:val="18"/>
                <w:lang w:eastAsia="en-AU"/>
              </w:rPr>
              <w:t>Inflows:</w:t>
            </w:r>
          </w:p>
        </w:tc>
        <w:tc>
          <w:tcPr>
            <w:tcW w:w="1021" w:type="dxa"/>
            <w:tcBorders>
              <w:top w:val="nil"/>
              <w:left w:val="nil"/>
              <w:bottom w:val="nil"/>
              <w:right w:val="nil"/>
            </w:tcBorders>
            <w:shd w:val="clear" w:color="auto" w:fill="auto"/>
            <w:noWrap/>
            <w:vAlign w:val="center"/>
            <w:hideMark/>
          </w:tcPr>
          <w:p w14:paraId="521D461C" w14:textId="77777777" w:rsidR="007129DB" w:rsidRPr="00626042" w:rsidRDefault="007129DB" w:rsidP="00E607DA">
            <w:pPr>
              <w:rPr>
                <w:rFonts w:ascii="Meta Pro" w:eastAsia="Times New Roman" w:hAnsi="Meta Pro"/>
                <w:i/>
                <w:iCs/>
                <w:color w:val="000000"/>
                <w:szCs w:val="18"/>
                <w:lang w:eastAsia="en-AU"/>
              </w:rPr>
            </w:pPr>
          </w:p>
        </w:tc>
        <w:tc>
          <w:tcPr>
            <w:tcW w:w="215" w:type="dxa"/>
            <w:tcBorders>
              <w:top w:val="nil"/>
              <w:left w:val="nil"/>
              <w:bottom w:val="nil"/>
              <w:right w:val="nil"/>
            </w:tcBorders>
            <w:shd w:val="clear" w:color="auto" w:fill="auto"/>
            <w:noWrap/>
            <w:vAlign w:val="center"/>
            <w:hideMark/>
          </w:tcPr>
          <w:p w14:paraId="481789D2" w14:textId="77777777" w:rsidR="007129DB" w:rsidRPr="00626042" w:rsidRDefault="007129DB"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4A0F1B79" w14:textId="77777777" w:rsidR="007129DB" w:rsidRPr="00626042" w:rsidRDefault="007129DB" w:rsidP="00E607DA">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409DD729" w14:textId="77777777" w:rsidR="007129DB" w:rsidRPr="00626042" w:rsidRDefault="007129DB" w:rsidP="00E607DA">
            <w:pP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02541072" w14:textId="77777777" w:rsidR="007129DB" w:rsidRPr="00626042" w:rsidRDefault="007129DB" w:rsidP="00E607DA">
            <w:pPr>
              <w:rPr>
                <w:rFonts w:ascii="Meta Pro" w:eastAsia="Times New Roman" w:hAnsi="Meta Pro" w:cs="Times New Roman"/>
                <w:sz w:val="20"/>
                <w:szCs w:val="20"/>
                <w:lang w:eastAsia="en-AU"/>
              </w:rPr>
            </w:pPr>
          </w:p>
        </w:tc>
      </w:tr>
      <w:tr w:rsidR="007129DB" w:rsidRPr="00626042" w14:paraId="347A1831" w14:textId="77777777" w:rsidTr="00E607DA">
        <w:trPr>
          <w:trHeight w:val="23"/>
        </w:trPr>
        <w:tc>
          <w:tcPr>
            <w:tcW w:w="215" w:type="dxa"/>
            <w:tcBorders>
              <w:top w:val="nil"/>
              <w:left w:val="nil"/>
              <w:bottom w:val="nil"/>
              <w:right w:val="nil"/>
            </w:tcBorders>
            <w:shd w:val="clear" w:color="auto" w:fill="auto"/>
            <w:noWrap/>
            <w:vAlign w:val="center"/>
            <w:hideMark/>
          </w:tcPr>
          <w:p w14:paraId="3605430B" w14:textId="77777777" w:rsidR="007129DB" w:rsidRPr="00626042" w:rsidRDefault="007129DB" w:rsidP="00E607DA">
            <w:pPr>
              <w:rPr>
                <w:rFonts w:ascii="Meta Pro" w:eastAsia="Times New Roman" w:hAnsi="Meta Pro" w:cs="Times New Roman"/>
                <w:sz w:val="20"/>
                <w:szCs w:val="20"/>
                <w:lang w:eastAsia="en-AU"/>
              </w:rPr>
            </w:pPr>
          </w:p>
        </w:tc>
        <w:tc>
          <w:tcPr>
            <w:tcW w:w="4990" w:type="dxa"/>
            <w:tcBorders>
              <w:top w:val="nil"/>
              <w:left w:val="nil"/>
              <w:bottom w:val="nil"/>
              <w:right w:val="nil"/>
            </w:tcBorders>
            <w:shd w:val="clear" w:color="auto" w:fill="auto"/>
            <w:noWrap/>
            <w:vAlign w:val="center"/>
            <w:hideMark/>
          </w:tcPr>
          <w:p w14:paraId="02E9DA23" w14:textId="77777777" w:rsidR="007129DB" w:rsidRPr="00626042" w:rsidRDefault="007129DB" w:rsidP="00E607DA">
            <w:pPr>
              <w:rPr>
                <w:rFonts w:ascii="Meta Pro" w:eastAsia="Times New Roman" w:hAnsi="Meta Pro"/>
                <w:color w:val="000000"/>
                <w:szCs w:val="18"/>
                <w:lang w:eastAsia="en-AU"/>
              </w:rPr>
            </w:pPr>
            <w:r w:rsidRPr="00626042">
              <w:rPr>
                <w:rFonts w:ascii="Meta Pro" w:eastAsia="Times New Roman" w:hAnsi="Meta Pro"/>
                <w:color w:val="000000"/>
                <w:szCs w:val="18"/>
                <w:lang w:eastAsia="en-AU"/>
              </w:rPr>
              <w:t>Service appropriation receipts</w:t>
            </w:r>
          </w:p>
        </w:tc>
        <w:tc>
          <w:tcPr>
            <w:tcW w:w="1021" w:type="dxa"/>
            <w:tcBorders>
              <w:top w:val="nil"/>
              <w:left w:val="nil"/>
              <w:bottom w:val="nil"/>
              <w:right w:val="nil"/>
            </w:tcBorders>
            <w:shd w:val="clear" w:color="auto" w:fill="auto"/>
            <w:noWrap/>
            <w:vAlign w:val="center"/>
            <w:hideMark/>
          </w:tcPr>
          <w:p w14:paraId="60621BB9" w14:textId="77777777" w:rsidR="007129DB" w:rsidRPr="00626042" w:rsidRDefault="007129DB" w:rsidP="00E607DA">
            <w:pPr>
              <w:rPr>
                <w:rFonts w:ascii="Meta Pro" w:eastAsia="Times New Roman" w:hAnsi="Meta Pro"/>
                <w:color w:val="000000"/>
                <w:szCs w:val="18"/>
                <w:lang w:eastAsia="en-AU"/>
              </w:rPr>
            </w:pPr>
          </w:p>
        </w:tc>
        <w:tc>
          <w:tcPr>
            <w:tcW w:w="215" w:type="dxa"/>
            <w:tcBorders>
              <w:top w:val="nil"/>
              <w:left w:val="nil"/>
              <w:bottom w:val="nil"/>
              <w:right w:val="nil"/>
            </w:tcBorders>
            <w:shd w:val="clear" w:color="auto" w:fill="auto"/>
            <w:noWrap/>
            <w:vAlign w:val="center"/>
            <w:hideMark/>
          </w:tcPr>
          <w:p w14:paraId="2ECE6C17" w14:textId="77777777" w:rsidR="007129DB" w:rsidRPr="00626042" w:rsidRDefault="007129DB"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40157DB4"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5,944,558 </w:t>
            </w:r>
          </w:p>
        </w:tc>
        <w:tc>
          <w:tcPr>
            <w:tcW w:w="216" w:type="dxa"/>
            <w:tcBorders>
              <w:top w:val="nil"/>
              <w:left w:val="nil"/>
              <w:bottom w:val="nil"/>
              <w:right w:val="nil"/>
            </w:tcBorders>
            <w:shd w:val="clear" w:color="auto" w:fill="auto"/>
            <w:noWrap/>
            <w:vAlign w:val="center"/>
            <w:hideMark/>
          </w:tcPr>
          <w:p w14:paraId="138449F2" w14:textId="77777777" w:rsidR="007129DB" w:rsidRPr="00626042" w:rsidRDefault="007129DB"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55157D70"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5,632,724 </w:t>
            </w:r>
          </w:p>
        </w:tc>
      </w:tr>
      <w:tr w:rsidR="007129DB" w:rsidRPr="00626042" w14:paraId="58CE5FE6" w14:textId="77777777" w:rsidTr="00E607DA">
        <w:trPr>
          <w:trHeight w:val="23"/>
        </w:trPr>
        <w:tc>
          <w:tcPr>
            <w:tcW w:w="215" w:type="dxa"/>
            <w:tcBorders>
              <w:top w:val="nil"/>
              <w:left w:val="nil"/>
              <w:bottom w:val="nil"/>
              <w:right w:val="nil"/>
            </w:tcBorders>
            <w:shd w:val="clear" w:color="auto" w:fill="auto"/>
            <w:noWrap/>
            <w:vAlign w:val="center"/>
            <w:hideMark/>
          </w:tcPr>
          <w:p w14:paraId="4AFED5DC" w14:textId="77777777" w:rsidR="007129DB" w:rsidRPr="00626042" w:rsidRDefault="007129DB" w:rsidP="00E607DA">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2D5F2C65" w14:textId="77777777" w:rsidR="007129DB" w:rsidRPr="00626042" w:rsidRDefault="007129DB" w:rsidP="00E607DA">
            <w:pPr>
              <w:rPr>
                <w:rFonts w:ascii="Meta Pro" w:eastAsia="Times New Roman" w:hAnsi="Meta Pro"/>
                <w:color w:val="000000"/>
                <w:szCs w:val="18"/>
                <w:lang w:eastAsia="en-AU"/>
              </w:rPr>
            </w:pPr>
            <w:r w:rsidRPr="00626042">
              <w:rPr>
                <w:rFonts w:ascii="Meta Pro" w:eastAsia="Times New Roman" w:hAnsi="Meta Pro"/>
                <w:color w:val="000000"/>
                <w:szCs w:val="18"/>
                <w:lang w:eastAsia="en-AU"/>
              </w:rPr>
              <w:t>User charges and fees</w:t>
            </w:r>
          </w:p>
        </w:tc>
        <w:tc>
          <w:tcPr>
            <w:tcW w:w="1021" w:type="dxa"/>
            <w:tcBorders>
              <w:top w:val="nil"/>
              <w:left w:val="nil"/>
              <w:bottom w:val="nil"/>
              <w:right w:val="nil"/>
            </w:tcBorders>
            <w:shd w:val="clear" w:color="auto" w:fill="auto"/>
            <w:noWrap/>
            <w:vAlign w:val="center"/>
            <w:hideMark/>
          </w:tcPr>
          <w:p w14:paraId="3736DF81" w14:textId="77777777" w:rsidR="007129DB" w:rsidRPr="00626042" w:rsidRDefault="007129DB" w:rsidP="00E607DA">
            <w:pPr>
              <w:rPr>
                <w:rFonts w:ascii="Meta Pro" w:eastAsia="Times New Roman" w:hAnsi="Meta Pro"/>
                <w:color w:val="000000"/>
                <w:szCs w:val="18"/>
                <w:lang w:eastAsia="en-AU"/>
              </w:rPr>
            </w:pPr>
          </w:p>
        </w:tc>
        <w:tc>
          <w:tcPr>
            <w:tcW w:w="215" w:type="dxa"/>
            <w:tcBorders>
              <w:top w:val="nil"/>
              <w:left w:val="nil"/>
              <w:bottom w:val="nil"/>
              <w:right w:val="nil"/>
            </w:tcBorders>
            <w:shd w:val="clear" w:color="auto" w:fill="auto"/>
            <w:noWrap/>
            <w:vAlign w:val="center"/>
            <w:hideMark/>
          </w:tcPr>
          <w:p w14:paraId="4F293646" w14:textId="77777777" w:rsidR="007129DB" w:rsidRPr="00626042" w:rsidRDefault="007129DB"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7B13F02C"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670,648 </w:t>
            </w:r>
          </w:p>
        </w:tc>
        <w:tc>
          <w:tcPr>
            <w:tcW w:w="216" w:type="dxa"/>
            <w:tcBorders>
              <w:top w:val="nil"/>
              <w:left w:val="nil"/>
              <w:bottom w:val="nil"/>
              <w:right w:val="nil"/>
            </w:tcBorders>
            <w:shd w:val="clear" w:color="auto" w:fill="auto"/>
            <w:noWrap/>
            <w:vAlign w:val="center"/>
            <w:hideMark/>
          </w:tcPr>
          <w:p w14:paraId="46F1B288" w14:textId="77777777" w:rsidR="007129DB" w:rsidRPr="00626042" w:rsidRDefault="007129DB"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415AF0A2"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559,313 </w:t>
            </w:r>
          </w:p>
        </w:tc>
      </w:tr>
      <w:tr w:rsidR="007129DB" w:rsidRPr="00626042" w14:paraId="05E346B4" w14:textId="77777777" w:rsidTr="00E607DA">
        <w:trPr>
          <w:trHeight w:val="23"/>
        </w:trPr>
        <w:tc>
          <w:tcPr>
            <w:tcW w:w="215" w:type="dxa"/>
            <w:tcBorders>
              <w:top w:val="nil"/>
              <w:left w:val="nil"/>
              <w:bottom w:val="nil"/>
              <w:right w:val="nil"/>
            </w:tcBorders>
            <w:shd w:val="clear" w:color="auto" w:fill="auto"/>
            <w:noWrap/>
            <w:vAlign w:val="center"/>
            <w:hideMark/>
          </w:tcPr>
          <w:p w14:paraId="0041EDB9" w14:textId="77777777" w:rsidR="007129DB" w:rsidRPr="00626042" w:rsidRDefault="007129DB" w:rsidP="00E607DA">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7C498CA6" w14:textId="77777777" w:rsidR="007129DB" w:rsidRPr="00626042" w:rsidRDefault="007129DB" w:rsidP="00E607DA">
            <w:pPr>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Grants and other contributions </w:t>
            </w:r>
          </w:p>
        </w:tc>
        <w:tc>
          <w:tcPr>
            <w:tcW w:w="1021" w:type="dxa"/>
            <w:tcBorders>
              <w:top w:val="nil"/>
              <w:left w:val="nil"/>
              <w:bottom w:val="nil"/>
              <w:right w:val="nil"/>
            </w:tcBorders>
            <w:shd w:val="clear" w:color="auto" w:fill="auto"/>
            <w:noWrap/>
            <w:vAlign w:val="center"/>
            <w:hideMark/>
          </w:tcPr>
          <w:p w14:paraId="2CA5B039" w14:textId="77777777" w:rsidR="007129DB" w:rsidRPr="00626042" w:rsidRDefault="007129DB" w:rsidP="00E607DA">
            <w:pPr>
              <w:rPr>
                <w:rFonts w:ascii="Meta Pro" w:eastAsia="Times New Roman" w:hAnsi="Meta Pro"/>
                <w:color w:val="000000"/>
                <w:szCs w:val="18"/>
                <w:lang w:eastAsia="en-AU"/>
              </w:rPr>
            </w:pPr>
          </w:p>
        </w:tc>
        <w:tc>
          <w:tcPr>
            <w:tcW w:w="215" w:type="dxa"/>
            <w:tcBorders>
              <w:top w:val="nil"/>
              <w:left w:val="nil"/>
              <w:bottom w:val="nil"/>
              <w:right w:val="nil"/>
            </w:tcBorders>
            <w:shd w:val="clear" w:color="auto" w:fill="auto"/>
            <w:noWrap/>
            <w:vAlign w:val="center"/>
            <w:hideMark/>
          </w:tcPr>
          <w:p w14:paraId="6B663C91" w14:textId="77777777" w:rsidR="007129DB" w:rsidRPr="00626042" w:rsidRDefault="007129DB"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4C2E79EA"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145,177 </w:t>
            </w:r>
          </w:p>
        </w:tc>
        <w:tc>
          <w:tcPr>
            <w:tcW w:w="216" w:type="dxa"/>
            <w:tcBorders>
              <w:top w:val="nil"/>
              <w:left w:val="nil"/>
              <w:bottom w:val="nil"/>
              <w:right w:val="nil"/>
            </w:tcBorders>
            <w:shd w:val="clear" w:color="auto" w:fill="auto"/>
            <w:noWrap/>
            <w:vAlign w:val="center"/>
            <w:hideMark/>
          </w:tcPr>
          <w:p w14:paraId="2E07EDEF" w14:textId="77777777" w:rsidR="007129DB" w:rsidRPr="00626042" w:rsidRDefault="007129DB"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013FC132"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182,162 </w:t>
            </w:r>
          </w:p>
        </w:tc>
      </w:tr>
      <w:tr w:rsidR="007129DB" w:rsidRPr="00626042" w14:paraId="23CD6DE1" w14:textId="77777777" w:rsidTr="00E607DA">
        <w:trPr>
          <w:trHeight w:val="23"/>
        </w:trPr>
        <w:tc>
          <w:tcPr>
            <w:tcW w:w="215" w:type="dxa"/>
            <w:tcBorders>
              <w:top w:val="nil"/>
              <w:left w:val="nil"/>
              <w:bottom w:val="nil"/>
              <w:right w:val="nil"/>
            </w:tcBorders>
            <w:shd w:val="clear" w:color="auto" w:fill="auto"/>
            <w:noWrap/>
            <w:vAlign w:val="center"/>
            <w:hideMark/>
          </w:tcPr>
          <w:p w14:paraId="7B1C08F5" w14:textId="77777777" w:rsidR="007129DB" w:rsidRPr="00626042" w:rsidRDefault="007129DB" w:rsidP="00E607DA">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7D9092B9" w14:textId="77777777" w:rsidR="007129DB" w:rsidRPr="00626042" w:rsidRDefault="007129DB" w:rsidP="00E607DA">
            <w:pPr>
              <w:rPr>
                <w:rFonts w:ascii="Meta Pro" w:eastAsia="Times New Roman" w:hAnsi="Meta Pro"/>
                <w:color w:val="000000"/>
                <w:szCs w:val="18"/>
                <w:lang w:eastAsia="en-AU"/>
              </w:rPr>
            </w:pPr>
            <w:r w:rsidRPr="00626042">
              <w:rPr>
                <w:rFonts w:ascii="Meta Pro" w:eastAsia="Times New Roman" w:hAnsi="Meta Pro"/>
                <w:color w:val="000000"/>
                <w:szCs w:val="18"/>
                <w:lang w:eastAsia="en-AU"/>
              </w:rPr>
              <w:t>GST input tax credits from ATO</w:t>
            </w:r>
          </w:p>
        </w:tc>
        <w:tc>
          <w:tcPr>
            <w:tcW w:w="1021" w:type="dxa"/>
            <w:tcBorders>
              <w:top w:val="nil"/>
              <w:left w:val="nil"/>
              <w:bottom w:val="nil"/>
              <w:right w:val="nil"/>
            </w:tcBorders>
            <w:shd w:val="clear" w:color="auto" w:fill="auto"/>
            <w:noWrap/>
            <w:vAlign w:val="center"/>
            <w:hideMark/>
          </w:tcPr>
          <w:p w14:paraId="2E59BD91" w14:textId="77777777" w:rsidR="007129DB" w:rsidRPr="00626042" w:rsidRDefault="007129DB" w:rsidP="00E607DA">
            <w:pPr>
              <w:rPr>
                <w:rFonts w:ascii="Meta Pro" w:eastAsia="Times New Roman" w:hAnsi="Meta Pro"/>
                <w:color w:val="000000"/>
                <w:szCs w:val="18"/>
                <w:lang w:eastAsia="en-AU"/>
              </w:rPr>
            </w:pPr>
          </w:p>
        </w:tc>
        <w:tc>
          <w:tcPr>
            <w:tcW w:w="215" w:type="dxa"/>
            <w:tcBorders>
              <w:top w:val="nil"/>
              <w:left w:val="nil"/>
              <w:bottom w:val="nil"/>
              <w:right w:val="nil"/>
            </w:tcBorders>
            <w:shd w:val="clear" w:color="auto" w:fill="auto"/>
            <w:noWrap/>
            <w:vAlign w:val="center"/>
            <w:hideMark/>
          </w:tcPr>
          <w:p w14:paraId="43CA2EFB" w14:textId="77777777" w:rsidR="007129DB" w:rsidRPr="00626042" w:rsidRDefault="007129DB"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3E791BB7"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853,228 </w:t>
            </w:r>
          </w:p>
        </w:tc>
        <w:tc>
          <w:tcPr>
            <w:tcW w:w="216" w:type="dxa"/>
            <w:tcBorders>
              <w:top w:val="nil"/>
              <w:left w:val="nil"/>
              <w:bottom w:val="nil"/>
              <w:right w:val="nil"/>
            </w:tcBorders>
            <w:shd w:val="clear" w:color="auto" w:fill="auto"/>
            <w:noWrap/>
            <w:vAlign w:val="center"/>
            <w:hideMark/>
          </w:tcPr>
          <w:p w14:paraId="47290EBA" w14:textId="77777777" w:rsidR="007129DB" w:rsidRPr="00626042" w:rsidRDefault="007129DB"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0D26C7D8"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749,290 </w:t>
            </w:r>
          </w:p>
        </w:tc>
      </w:tr>
      <w:tr w:rsidR="007129DB" w:rsidRPr="00626042" w14:paraId="6604F5AA" w14:textId="77777777" w:rsidTr="00E607DA">
        <w:trPr>
          <w:trHeight w:val="23"/>
        </w:trPr>
        <w:tc>
          <w:tcPr>
            <w:tcW w:w="215" w:type="dxa"/>
            <w:tcBorders>
              <w:top w:val="nil"/>
              <w:left w:val="nil"/>
              <w:bottom w:val="nil"/>
              <w:right w:val="nil"/>
            </w:tcBorders>
            <w:shd w:val="clear" w:color="auto" w:fill="auto"/>
            <w:noWrap/>
            <w:vAlign w:val="center"/>
            <w:hideMark/>
          </w:tcPr>
          <w:p w14:paraId="1AFD245C" w14:textId="77777777" w:rsidR="007129DB" w:rsidRPr="00626042" w:rsidRDefault="007129DB" w:rsidP="00E607DA">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7C68AC2B" w14:textId="77777777" w:rsidR="007129DB" w:rsidRPr="00626042" w:rsidRDefault="007129DB" w:rsidP="00E607DA">
            <w:pPr>
              <w:rPr>
                <w:rFonts w:ascii="Meta Pro" w:eastAsia="Times New Roman" w:hAnsi="Meta Pro"/>
                <w:color w:val="000000"/>
                <w:szCs w:val="18"/>
                <w:lang w:eastAsia="en-AU"/>
              </w:rPr>
            </w:pPr>
            <w:r w:rsidRPr="00626042">
              <w:rPr>
                <w:rFonts w:ascii="Meta Pro" w:eastAsia="Times New Roman" w:hAnsi="Meta Pro"/>
                <w:color w:val="000000"/>
                <w:szCs w:val="18"/>
                <w:lang w:eastAsia="en-AU"/>
              </w:rPr>
              <w:t>GST collected from customers</w:t>
            </w:r>
          </w:p>
        </w:tc>
        <w:tc>
          <w:tcPr>
            <w:tcW w:w="1021" w:type="dxa"/>
            <w:tcBorders>
              <w:top w:val="nil"/>
              <w:left w:val="nil"/>
              <w:bottom w:val="nil"/>
              <w:right w:val="nil"/>
            </w:tcBorders>
            <w:shd w:val="clear" w:color="auto" w:fill="auto"/>
            <w:noWrap/>
            <w:vAlign w:val="center"/>
            <w:hideMark/>
          </w:tcPr>
          <w:p w14:paraId="56A1EA27" w14:textId="77777777" w:rsidR="007129DB" w:rsidRPr="00626042" w:rsidRDefault="007129DB" w:rsidP="00E607DA">
            <w:pPr>
              <w:rPr>
                <w:rFonts w:ascii="Meta Pro" w:eastAsia="Times New Roman" w:hAnsi="Meta Pro"/>
                <w:color w:val="000000"/>
                <w:szCs w:val="18"/>
                <w:lang w:eastAsia="en-AU"/>
              </w:rPr>
            </w:pPr>
          </w:p>
        </w:tc>
        <w:tc>
          <w:tcPr>
            <w:tcW w:w="215" w:type="dxa"/>
            <w:tcBorders>
              <w:top w:val="nil"/>
              <w:left w:val="nil"/>
              <w:bottom w:val="nil"/>
              <w:right w:val="nil"/>
            </w:tcBorders>
            <w:shd w:val="clear" w:color="auto" w:fill="auto"/>
            <w:noWrap/>
            <w:vAlign w:val="center"/>
            <w:hideMark/>
          </w:tcPr>
          <w:p w14:paraId="1CA0AFD0" w14:textId="77777777" w:rsidR="007129DB" w:rsidRPr="00626042" w:rsidRDefault="007129DB"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5B8589A4"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67,297 </w:t>
            </w:r>
          </w:p>
        </w:tc>
        <w:tc>
          <w:tcPr>
            <w:tcW w:w="216" w:type="dxa"/>
            <w:tcBorders>
              <w:top w:val="nil"/>
              <w:left w:val="nil"/>
              <w:bottom w:val="nil"/>
              <w:right w:val="nil"/>
            </w:tcBorders>
            <w:shd w:val="clear" w:color="auto" w:fill="auto"/>
            <w:noWrap/>
            <w:vAlign w:val="center"/>
            <w:hideMark/>
          </w:tcPr>
          <w:p w14:paraId="2CFE3292" w14:textId="77777777" w:rsidR="007129DB" w:rsidRPr="00626042" w:rsidRDefault="007129DB"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2EE6C449"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67,466 </w:t>
            </w:r>
          </w:p>
        </w:tc>
      </w:tr>
      <w:tr w:rsidR="007129DB" w:rsidRPr="00626042" w14:paraId="55B31B9B" w14:textId="77777777" w:rsidTr="00E607DA">
        <w:trPr>
          <w:trHeight w:val="23"/>
        </w:trPr>
        <w:tc>
          <w:tcPr>
            <w:tcW w:w="215" w:type="dxa"/>
            <w:tcBorders>
              <w:top w:val="nil"/>
              <w:left w:val="nil"/>
              <w:bottom w:val="nil"/>
              <w:right w:val="nil"/>
            </w:tcBorders>
            <w:shd w:val="clear" w:color="auto" w:fill="auto"/>
            <w:noWrap/>
            <w:vAlign w:val="center"/>
            <w:hideMark/>
          </w:tcPr>
          <w:p w14:paraId="67517018" w14:textId="77777777" w:rsidR="007129DB" w:rsidRPr="00626042" w:rsidRDefault="007129DB" w:rsidP="00E607DA">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3A4633CB" w14:textId="77777777" w:rsidR="007129DB" w:rsidRPr="00626042" w:rsidRDefault="007129DB" w:rsidP="00E607DA">
            <w:pPr>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Other </w:t>
            </w:r>
          </w:p>
        </w:tc>
        <w:tc>
          <w:tcPr>
            <w:tcW w:w="1021" w:type="dxa"/>
            <w:tcBorders>
              <w:top w:val="nil"/>
              <w:left w:val="nil"/>
              <w:bottom w:val="nil"/>
              <w:right w:val="nil"/>
            </w:tcBorders>
            <w:shd w:val="clear" w:color="auto" w:fill="auto"/>
            <w:noWrap/>
            <w:vAlign w:val="center"/>
            <w:hideMark/>
          </w:tcPr>
          <w:p w14:paraId="323DBBE1" w14:textId="77777777" w:rsidR="007129DB" w:rsidRPr="00626042" w:rsidRDefault="007129DB" w:rsidP="00E607DA">
            <w:pPr>
              <w:rPr>
                <w:rFonts w:ascii="Meta Pro" w:eastAsia="Times New Roman" w:hAnsi="Meta Pro"/>
                <w:color w:val="000000"/>
                <w:szCs w:val="18"/>
                <w:lang w:eastAsia="en-AU"/>
              </w:rPr>
            </w:pPr>
          </w:p>
        </w:tc>
        <w:tc>
          <w:tcPr>
            <w:tcW w:w="215" w:type="dxa"/>
            <w:tcBorders>
              <w:top w:val="nil"/>
              <w:left w:val="nil"/>
              <w:bottom w:val="nil"/>
              <w:right w:val="nil"/>
            </w:tcBorders>
            <w:shd w:val="clear" w:color="auto" w:fill="auto"/>
            <w:noWrap/>
            <w:vAlign w:val="center"/>
            <w:hideMark/>
          </w:tcPr>
          <w:p w14:paraId="055D6502" w14:textId="77777777" w:rsidR="007129DB" w:rsidRPr="00626042" w:rsidRDefault="007129DB"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6AF8AF07"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51,967 </w:t>
            </w:r>
          </w:p>
        </w:tc>
        <w:tc>
          <w:tcPr>
            <w:tcW w:w="216" w:type="dxa"/>
            <w:tcBorders>
              <w:top w:val="nil"/>
              <w:left w:val="nil"/>
              <w:bottom w:val="nil"/>
              <w:right w:val="nil"/>
            </w:tcBorders>
            <w:shd w:val="clear" w:color="auto" w:fill="auto"/>
            <w:noWrap/>
            <w:vAlign w:val="center"/>
            <w:hideMark/>
          </w:tcPr>
          <w:p w14:paraId="615F8D50" w14:textId="77777777" w:rsidR="007129DB" w:rsidRPr="00626042" w:rsidRDefault="007129DB"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29BD13F3"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29,721 </w:t>
            </w:r>
          </w:p>
        </w:tc>
      </w:tr>
      <w:tr w:rsidR="007129DB" w:rsidRPr="00626042" w14:paraId="730B3982" w14:textId="77777777" w:rsidTr="00E607DA">
        <w:trPr>
          <w:trHeight w:val="23"/>
        </w:trPr>
        <w:tc>
          <w:tcPr>
            <w:tcW w:w="215" w:type="dxa"/>
            <w:tcBorders>
              <w:top w:val="nil"/>
              <w:left w:val="nil"/>
              <w:bottom w:val="nil"/>
              <w:right w:val="nil"/>
            </w:tcBorders>
            <w:shd w:val="clear" w:color="auto" w:fill="auto"/>
            <w:noWrap/>
            <w:vAlign w:val="center"/>
            <w:hideMark/>
          </w:tcPr>
          <w:p w14:paraId="5336EA57" w14:textId="77777777" w:rsidR="007129DB" w:rsidRPr="00626042" w:rsidRDefault="007129DB" w:rsidP="00E607DA">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7CC8EE0F" w14:textId="77777777" w:rsidR="007129DB" w:rsidRPr="00626042" w:rsidRDefault="007129DB" w:rsidP="00E607DA">
            <w:pPr>
              <w:rPr>
                <w:rFonts w:ascii="Meta Pro" w:eastAsia="Times New Roman" w:hAnsi="Meta Pro"/>
                <w:i/>
                <w:iCs/>
                <w:color w:val="000000"/>
                <w:szCs w:val="18"/>
                <w:lang w:eastAsia="en-AU"/>
              </w:rPr>
            </w:pPr>
            <w:r w:rsidRPr="00626042">
              <w:rPr>
                <w:rFonts w:ascii="Meta Pro" w:eastAsia="Times New Roman" w:hAnsi="Meta Pro"/>
                <w:i/>
                <w:iCs/>
                <w:color w:val="000000"/>
                <w:szCs w:val="18"/>
                <w:lang w:eastAsia="en-AU"/>
              </w:rPr>
              <w:t>Outflows:</w:t>
            </w:r>
          </w:p>
        </w:tc>
        <w:tc>
          <w:tcPr>
            <w:tcW w:w="1021" w:type="dxa"/>
            <w:tcBorders>
              <w:top w:val="nil"/>
              <w:left w:val="nil"/>
              <w:bottom w:val="nil"/>
              <w:right w:val="nil"/>
            </w:tcBorders>
            <w:shd w:val="clear" w:color="auto" w:fill="auto"/>
            <w:noWrap/>
            <w:vAlign w:val="center"/>
            <w:hideMark/>
          </w:tcPr>
          <w:p w14:paraId="4361A937" w14:textId="77777777" w:rsidR="007129DB" w:rsidRPr="00626042" w:rsidRDefault="007129DB" w:rsidP="00E607DA">
            <w:pPr>
              <w:rPr>
                <w:rFonts w:ascii="Meta Pro" w:eastAsia="Times New Roman" w:hAnsi="Meta Pro"/>
                <w:i/>
                <w:iCs/>
                <w:color w:val="000000"/>
                <w:szCs w:val="18"/>
                <w:lang w:eastAsia="en-AU"/>
              </w:rPr>
            </w:pPr>
          </w:p>
        </w:tc>
        <w:tc>
          <w:tcPr>
            <w:tcW w:w="215" w:type="dxa"/>
            <w:tcBorders>
              <w:top w:val="nil"/>
              <w:left w:val="nil"/>
              <w:bottom w:val="nil"/>
              <w:right w:val="nil"/>
            </w:tcBorders>
            <w:shd w:val="clear" w:color="auto" w:fill="auto"/>
            <w:noWrap/>
            <w:vAlign w:val="center"/>
            <w:hideMark/>
          </w:tcPr>
          <w:p w14:paraId="14A56EE3" w14:textId="77777777" w:rsidR="007129DB" w:rsidRPr="00626042" w:rsidRDefault="007129DB"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299BAE04"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546FA818" w14:textId="77777777" w:rsidR="007129DB" w:rsidRPr="00626042" w:rsidRDefault="007129DB"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5A9075FC" w14:textId="77777777" w:rsidR="007129DB" w:rsidRPr="00626042" w:rsidRDefault="007129DB" w:rsidP="00E607DA">
            <w:pPr>
              <w:jc w:val="right"/>
              <w:rPr>
                <w:rFonts w:ascii="Meta Pro" w:eastAsia="Times New Roman" w:hAnsi="Meta Pro" w:cs="Times New Roman"/>
                <w:sz w:val="20"/>
                <w:szCs w:val="20"/>
                <w:lang w:eastAsia="en-AU"/>
              </w:rPr>
            </w:pPr>
          </w:p>
        </w:tc>
      </w:tr>
      <w:tr w:rsidR="007129DB" w:rsidRPr="00626042" w14:paraId="2A745B80" w14:textId="77777777" w:rsidTr="00E607DA">
        <w:trPr>
          <w:trHeight w:val="23"/>
        </w:trPr>
        <w:tc>
          <w:tcPr>
            <w:tcW w:w="215" w:type="dxa"/>
            <w:tcBorders>
              <w:top w:val="nil"/>
              <w:left w:val="nil"/>
              <w:bottom w:val="nil"/>
              <w:right w:val="nil"/>
            </w:tcBorders>
            <w:shd w:val="clear" w:color="auto" w:fill="auto"/>
            <w:noWrap/>
            <w:vAlign w:val="center"/>
            <w:hideMark/>
          </w:tcPr>
          <w:p w14:paraId="10AA1ED3" w14:textId="77777777" w:rsidR="007129DB" w:rsidRPr="00626042" w:rsidRDefault="007129DB" w:rsidP="00E607DA">
            <w:pPr>
              <w:jc w:val="right"/>
              <w:rPr>
                <w:rFonts w:ascii="Meta Pro" w:eastAsia="Times New Roman" w:hAnsi="Meta Pro" w:cs="Times New Roman"/>
                <w:sz w:val="20"/>
                <w:szCs w:val="20"/>
                <w:lang w:eastAsia="en-AU"/>
              </w:rPr>
            </w:pPr>
          </w:p>
        </w:tc>
        <w:tc>
          <w:tcPr>
            <w:tcW w:w="4990" w:type="dxa"/>
            <w:tcBorders>
              <w:top w:val="nil"/>
              <w:left w:val="nil"/>
              <w:bottom w:val="nil"/>
              <w:right w:val="nil"/>
            </w:tcBorders>
            <w:shd w:val="clear" w:color="auto" w:fill="auto"/>
            <w:noWrap/>
            <w:vAlign w:val="center"/>
            <w:hideMark/>
          </w:tcPr>
          <w:p w14:paraId="696D3C06" w14:textId="77777777" w:rsidR="007129DB" w:rsidRPr="00626042" w:rsidRDefault="007129DB" w:rsidP="00E607DA">
            <w:pPr>
              <w:rPr>
                <w:rFonts w:ascii="Meta Pro" w:eastAsia="Times New Roman" w:hAnsi="Meta Pro"/>
                <w:color w:val="000000"/>
                <w:szCs w:val="18"/>
                <w:lang w:eastAsia="en-AU"/>
              </w:rPr>
            </w:pPr>
            <w:r w:rsidRPr="00626042">
              <w:rPr>
                <w:rFonts w:ascii="Meta Pro" w:eastAsia="Times New Roman" w:hAnsi="Meta Pro"/>
                <w:color w:val="000000"/>
                <w:szCs w:val="18"/>
                <w:lang w:eastAsia="en-AU"/>
              </w:rPr>
              <w:t>Employee expenses</w:t>
            </w:r>
          </w:p>
        </w:tc>
        <w:tc>
          <w:tcPr>
            <w:tcW w:w="1021" w:type="dxa"/>
            <w:tcBorders>
              <w:top w:val="nil"/>
              <w:left w:val="nil"/>
              <w:bottom w:val="nil"/>
              <w:right w:val="nil"/>
            </w:tcBorders>
            <w:shd w:val="clear" w:color="auto" w:fill="auto"/>
            <w:noWrap/>
            <w:vAlign w:val="center"/>
            <w:hideMark/>
          </w:tcPr>
          <w:p w14:paraId="1EA494F0" w14:textId="77777777" w:rsidR="007129DB" w:rsidRPr="00626042" w:rsidRDefault="007129DB" w:rsidP="00E607DA">
            <w:pPr>
              <w:rPr>
                <w:rFonts w:ascii="Meta Pro" w:eastAsia="Times New Roman" w:hAnsi="Meta Pro"/>
                <w:color w:val="000000"/>
                <w:szCs w:val="18"/>
                <w:lang w:eastAsia="en-AU"/>
              </w:rPr>
            </w:pPr>
          </w:p>
        </w:tc>
        <w:tc>
          <w:tcPr>
            <w:tcW w:w="215" w:type="dxa"/>
            <w:tcBorders>
              <w:top w:val="nil"/>
              <w:left w:val="nil"/>
              <w:bottom w:val="nil"/>
              <w:right w:val="nil"/>
            </w:tcBorders>
            <w:shd w:val="clear" w:color="auto" w:fill="auto"/>
            <w:noWrap/>
            <w:vAlign w:val="center"/>
            <w:hideMark/>
          </w:tcPr>
          <w:p w14:paraId="2AF27E1A" w14:textId="77777777" w:rsidR="007129DB" w:rsidRPr="00626042" w:rsidRDefault="007129DB"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33DC66CA"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(653,361)</w:t>
            </w:r>
          </w:p>
        </w:tc>
        <w:tc>
          <w:tcPr>
            <w:tcW w:w="216" w:type="dxa"/>
            <w:tcBorders>
              <w:top w:val="nil"/>
              <w:left w:val="nil"/>
              <w:bottom w:val="nil"/>
              <w:right w:val="nil"/>
            </w:tcBorders>
            <w:shd w:val="clear" w:color="auto" w:fill="auto"/>
            <w:noWrap/>
            <w:vAlign w:val="center"/>
            <w:hideMark/>
          </w:tcPr>
          <w:p w14:paraId="296027D4" w14:textId="77777777" w:rsidR="007129DB" w:rsidRPr="00626042" w:rsidRDefault="007129DB"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68E4BEB0"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(650,182)</w:t>
            </w:r>
          </w:p>
        </w:tc>
      </w:tr>
      <w:tr w:rsidR="007129DB" w:rsidRPr="00626042" w14:paraId="3269E9C6" w14:textId="77777777" w:rsidTr="00E607DA">
        <w:trPr>
          <w:trHeight w:val="23"/>
        </w:trPr>
        <w:tc>
          <w:tcPr>
            <w:tcW w:w="215" w:type="dxa"/>
            <w:tcBorders>
              <w:top w:val="nil"/>
              <w:left w:val="nil"/>
              <w:bottom w:val="nil"/>
              <w:right w:val="nil"/>
            </w:tcBorders>
            <w:shd w:val="clear" w:color="auto" w:fill="auto"/>
            <w:noWrap/>
            <w:vAlign w:val="center"/>
            <w:hideMark/>
          </w:tcPr>
          <w:p w14:paraId="4CE7171D" w14:textId="77777777" w:rsidR="007129DB" w:rsidRPr="00626042" w:rsidRDefault="007129DB" w:rsidP="00E607DA">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586E96AA" w14:textId="77777777" w:rsidR="007129DB" w:rsidRPr="00626042" w:rsidRDefault="007129DB" w:rsidP="00E607DA">
            <w:pPr>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Supplies and services </w:t>
            </w:r>
          </w:p>
        </w:tc>
        <w:tc>
          <w:tcPr>
            <w:tcW w:w="1021" w:type="dxa"/>
            <w:tcBorders>
              <w:top w:val="nil"/>
              <w:left w:val="nil"/>
              <w:bottom w:val="nil"/>
              <w:right w:val="nil"/>
            </w:tcBorders>
            <w:shd w:val="clear" w:color="auto" w:fill="auto"/>
            <w:noWrap/>
            <w:vAlign w:val="center"/>
            <w:hideMark/>
          </w:tcPr>
          <w:p w14:paraId="2596DD83" w14:textId="77777777" w:rsidR="007129DB" w:rsidRPr="00626042" w:rsidRDefault="007129DB" w:rsidP="00E607DA">
            <w:pPr>
              <w:rPr>
                <w:rFonts w:ascii="Meta Pro" w:eastAsia="Times New Roman" w:hAnsi="Meta Pro"/>
                <w:color w:val="000000"/>
                <w:szCs w:val="18"/>
                <w:lang w:eastAsia="en-AU"/>
              </w:rPr>
            </w:pPr>
          </w:p>
        </w:tc>
        <w:tc>
          <w:tcPr>
            <w:tcW w:w="215" w:type="dxa"/>
            <w:tcBorders>
              <w:top w:val="nil"/>
              <w:left w:val="nil"/>
              <w:bottom w:val="nil"/>
              <w:right w:val="nil"/>
            </w:tcBorders>
            <w:shd w:val="clear" w:color="auto" w:fill="auto"/>
            <w:noWrap/>
            <w:vAlign w:val="center"/>
            <w:hideMark/>
          </w:tcPr>
          <w:p w14:paraId="27BCB7B1" w14:textId="77777777" w:rsidR="007129DB" w:rsidRPr="00626042" w:rsidRDefault="007129DB"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0DDFD79F"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(4,180,982)</w:t>
            </w:r>
          </w:p>
        </w:tc>
        <w:tc>
          <w:tcPr>
            <w:tcW w:w="216" w:type="dxa"/>
            <w:tcBorders>
              <w:top w:val="nil"/>
              <w:left w:val="nil"/>
              <w:bottom w:val="nil"/>
              <w:right w:val="nil"/>
            </w:tcBorders>
            <w:shd w:val="clear" w:color="auto" w:fill="auto"/>
            <w:noWrap/>
            <w:vAlign w:val="center"/>
            <w:hideMark/>
          </w:tcPr>
          <w:p w14:paraId="5F5FABD4" w14:textId="77777777" w:rsidR="007129DB" w:rsidRPr="00626042" w:rsidRDefault="007129DB"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744FBF47"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(3,936,787)</w:t>
            </w:r>
          </w:p>
        </w:tc>
      </w:tr>
      <w:tr w:rsidR="007129DB" w:rsidRPr="00626042" w14:paraId="15D0EA91" w14:textId="77777777" w:rsidTr="00E607DA">
        <w:trPr>
          <w:trHeight w:val="23"/>
        </w:trPr>
        <w:tc>
          <w:tcPr>
            <w:tcW w:w="215" w:type="dxa"/>
            <w:tcBorders>
              <w:top w:val="nil"/>
              <w:left w:val="nil"/>
              <w:bottom w:val="nil"/>
              <w:right w:val="nil"/>
            </w:tcBorders>
            <w:shd w:val="clear" w:color="auto" w:fill="auto"/>
            <w:noWrap/>
            <w:vAlign w:val="center"/>
            <w:hideMark/>
          </w:tcPr>
          <w:p w14:paraId="243A28D3" w14:textId="77777777" w:rsidR="007129DB" w:rsidRPr="00626042" w:rsidRDefault="007129DB" w:rsidP="00E607DA">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663CDC99" w14:textId="77777777" w:rsidR="007129DB" w:rsidRPr="00626042" w:rsidRDefault="007129DB" w:rsidP="00E607DA">
            <w:pPr>
              <w:rPr>
                <w:rFonts w:ascii="Meta Pro" w:eastAsia="Times New Roman" w:hAnsi="Meta Pro"/>
                <w:color w:val="000000"/>
                <w:szCs w:val="18"/>
                <w:lang w:eastAsia="en-AU"/>
              </w:rPr>
            </w:pPr>
            <w:r w:rsidRPr="00626042">
              <w:rPr>
                <w:rFonts w:ascii="Meta Pro" w:eastAsia="Times New Roman" w:hAnsi="Meta Pro"/>
                <w:color w:val="000000"/>
                <w:szCs w:val="18"/>
                <w:lang w:eastAsia="en-AU"/>
              </w:rPr>
              <w:t>Grants and subsidies</w:t>
            </w:r>
          </w:p>
        </w:tc>
        <w:tc>
          <w:tcPr>
            <w:tcW w:w="1021" w:type="dxa"/>
            <w:tcBorders>
              <w:top w:val="nil"/>
              <w:left w:val="nil"/>
              <w:bottom w:val="nil"/>
              <w:right w:val="nil"/>
            </w:tcBorders>
            <w:shd w:val="clear" w:color="auto" w:fill="auto"/>
            <w:noWrap/>
            <w:vAlign w:val="center"/>
            <w:hideMark/>
          </w:tcPr>
          <w:p w14:paraId="47E7D164" w14:textId="77777777" w:rsidR="007129DB" w:rsidRPr="00626042" w:rsidRDefault="007129DB" w:rsidP="00E607DA">
            <w:pPr>
              <w:rPr>
                <w:rFonts w:ascii="Meta Pro" w:eastAsia="Times New Roman" w:hAnsi="Meta Pro"/>
                <w:color w:val="000000"/>
                <w:szCs w:val="18"/>
                <w:lang w:eastAsia="en-AU"/>
              </w:rPr>
            </w:pPr>
          </w:p>
        </w:tc>
        <w:tc>
          <w:tcPr>
            <w:tcW w:w="215" w:type="dxa"/>
            <w:tcBorders>
              <w:top w:val="nil"/>
              <w:left w:val="nil"/>
              <w:bottom w:val="nil"/>
              <w:right w:val="nil"/>
            </w:tcBorders>
            <w:shd w:val="clear" w:color="auto" w:fill="auto"/>
            <w:noWrap/>
            <w:vAlign w:val="center"/>
            <w:hideMark/>
          </w:tcPr>
          <w:p w14:paraId="2358D42E" w14:textId="77777777" w:rsidR="007129DB" w:rsidRPr="00626042" w:rsidRDefault="007129DB"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21D09CF0"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(702,273)</w:t>
            </w:r>
          </w:p>
        </w:tc>
        <w:tc>
          <w:tcPr>
            <w:tcW w:w="216" w:type="dxa"/>
            <w:tcBorders>
              <w:top w:val="nil"/>
              <w:left w:val="nil"/>
              <w:bottom w:val="nil"/>
              <w:right w:val="nil"/>
            </w:tcBorders>
            <w:shd w:val="clear" w:color="auto" w:fill="auto"/>
            <w:noWrap/>
            <w:vAlign w:val="center"/>
            <w:hideMark/>
          </w:tcPr>
          <w:p w14:paraId="5B216DD1" w14:textId="77777777" w:rsidR="007129DB" w:rsidRPr="00626042" w:rsidRDefault="007129DB"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2C7EC178"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(685,465)</w:t>
            </w:r>
          </w:p>
        </w:tc>
      </w:tr>
      <w:tr w:rsidR="007129DB" w:rsidRPr="00626042" w14:paraId="2E7DA38A" w14:textId="77777777" w:rsidTr="00E607DA">
        <w:trPr>
          <w:trHeight w:val="23"/>
        </w:trPr>
        <w:tc>
          <w:tcPr>
            <w:tcW w:w="215" w:type="dxa"/>
            <w:tcBorders>
              <w:top w:val="nil"/>
              <w:left w:val="nil"/>
              <w:bottom w:val="nil"/>
              <w:right w:val="nil"/>
            </w:tcBorders>
            <w:shd w:val="clear" w:color="auto" w:fill="auto"/>
            <w:noWrap/>
            <w:vAlign w:val="center"/>
            <w:hideMark/>
          </w:tcPr>
          <w:p w14:paraId="0AC38B94" w14:textId="77777777" w:rsidR="007129DB" w:rsidRPr="00626042" w:rsidRDefault="007129DB" w:rsidP="00E607DA">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0ACE6A83" w14:textId="77777777" w:rsidR="007129DB" w:rsidRPr="00626042" w:rsidRDefault="007129DB" w:rsidP="00E607DA">
            <w:pPr>
              <w:rPr>
                <w:rFonts w:ascii="Meta Pro" w:eastAsia="Times New Roman" w:hAnsi="Meta Pro"/>
                <w:color w:val="000000"/>
                <w:szCs w:val="18"/>
                <w:lang w:eastAsia="en-AU"/>
              </w:rPr>
            </w:pPr>
            <w:r w:rsidRPr="00626042">
              <w:rPr>
                <w:rFonts w:ascii="Meta Pro" w:eastAsia="Times New Roman" w:hAnsi="Meta Pro"/>
                <w:color w:val="000000"/>
                <w:szCs w:val="18"/>
                <w:lang w:eastAsia="en-AU"/>
              </w:rPr>
              <w:t>Finance and borrowing costs</w:t>
            </w:r>
          </w:p>
        </w:tc>
        <w:tc>
          <w:tcPr>
            <w:tcW w:w="1021" w:type="dxa"/>
            <w:tcBorders>
              <w:top w:val="nil"/>
              <w:left w:val="nil"/>
              <w:bottom w:val="nil"/>
              <w:right w:val="nil"/>
            </w:tcBorders>
            <w:shd w:val="clear" w:color="auto" w:fill="auto"/>
            <w:noWrap/>
            <w:vAlign w:val="center"/>
            <w:hideMark/>
          </w:tcPr>
          <w:p w14:paraId="2BD8CA7B" w14:textId="77777777" w:rsidR="007129DB" w:rsidRPr="00626042" w:rsidRDefault="007129DB" w:rsidP="00E607DA">
            <w:pPr>
              <w:rPr>
                <w:rFonts w:ascii="Meta Pro" w:eastAsia="Times New Roman" w:hAnsi="Meta Pro"/>
                <w:color w:val="000000"/>
                <w:szCs w:val="18"/>
                <w:lang w:eastAsia="en-AU"/>
              </w:rPr>
            </w:pPr>
          </w:p>
        </w:tc>
        <w:tc>
          <w:tcPr>
            <w:tcW w:w="215" w:type="dxa"/>
            <w:tcBorders>
              <w:top w:val="nil"/>
              <w:left w:val="nil"/>
              <w:bottom w:val="nil"/>
              <w:right w:val="nil"/>
            </w:tcBorders>
            <w:shd w:val="clear" w:color="auto" w:fill="auto"/>
            <w:noWrap/>
            <w:vAlign w:val="center"/>
            <w:hideMark/>
          </w:tcPr>
          <w:p w14:paraId="36DC8E93" w14:textId="77777777" w:rsidR="007129DB" w:rsidRPr="00626042" w:rsidRDefault="007129DB"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46567897"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(76,487)</w:t>
            </w:r>
          </w:p>
        </w:tc>
        <w:tc>
          <w:tcPr>
            <w:tcW w:w="216" w:type="dxa"/>
            <w:tcBorders>
              <w:top w:val="nil"/>
              <w:left w:val="nil"/>
              <w:bottom w:val="nil"/>
              <w:right w:val="nil"/>
            </w:tcBorders>
            <w:shd w:val="clear" w:color="auto" w:fill="auto"/>
            <w:noWrap/>
            <w:vAlign w:val="center"/>
            <w:hideMark/>
          </w:tcPr>
          <w:p w14:paraId="7E5D14DD" w14:textId="77777777" w:rsidR="007129DB" w:rsidRPr="00626042" w:rsidRDefault="007129DB"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53F66496"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(94,177)</w:t>
            </w:r>
          </w:p>
        </w:tc>
      </w:tr>
      <w:tr w:rsidR="007129DB" w:rsidRPr="00626042" w14:paraId="6A6CE6D1" w14:textId="77777777" w:rsidTr="00E607DA">
        <w:trPr>
          <w:trHeight w:val="23"/>
        </w:trPr>
        <w:tc>
          <w:tcPr>
            <w:tcW w:w="215" w:type="dxa"/>
            <w:tcBorders>
              <w:top w:val="nil"/>
              <w:left w:val="nil"/>
              <w:bottom w:val="nil"/>
              <w:right w:val="nil"/>
            </w:tcBorders>
            <w:shd w:val="clear" w:color="auto" w:fill="auto"/>
            <w:noWrap/>
            <w:vAlign w:val="center"/>
            <w:hideMark/>
          </w:tcPr>
          <w:p w14:paraId="24F79ED4" w14:textId="77777777" w:rsidR="007129DB" w:rsidRPr="00626042" w:rsidRDefault="007129DB" w:rsidP="00E607DA">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4A94FF9C" w14:textId="77777777" w:rsidR="007129DB" w:rsidRPr="00626042" w:rsidRDefault="007129DB" w:rsidP="00E607DA">
            <w:pPr>
              <w:rPr>
                <w:rFonts w:ascii="Meta Pro" w:eastAsia="Times New Roman" w:hAnsi="Meta Pro"/>
                <w:color w:val="000000"/>
                <w:szCs w:val="18"/>
                <w:lang w:eastAsia="en-AU"/>
              </w:rPr>
            </w:pPr>
            <w:r w:rsidRPr="00626042">
              <w:rPr>
                <w:rFonts w:ascii="Meta Pro" w:eastAsia="Times New Roman" w:hAnsi="Meta Pro"/>
                <w:color w:val="000000"/>
                <w:szCs w:val="18"/>
                <w:lang w:eastAsia="en-AU"/>
              </w:rPr>
              <w:t>GST paid to suppliers</w:t>
            </w:r>
          </w:p>
        </w:tc>
        <w:tc>
          <w:tcPr>
            <w:tcW w:w="1021" w:type="dxa"/>
            <w:tcBorders>
              <w:top w:val="nil"/>
              <w:left w:val="nil"/>
              <w:bottom w:val="nil"/>
              <w:right w:val="nil"/>
            </w:tcBorders>
            <w:shd w:val="clear" w:color="auto" w:fill="auto"/>
            <w:noWrap/>
            <w:vAlign w:val="center"/>
            <w:hideMark/>
          </w:tcPr>
          <w:p w14:paraId="511EE048" w14:textId="77777777" w:rsidR="007129DB" w:rsidRPr="00626042" w:rsidRDefault="007129DB" w:rsidP="00E607DA">
            <w:pPr>
              <w:rPr>
                <w:rFonts w:ascii="Meta Pro" w:eastAsia="Times New Roman" w:hAnsi="Meta Pro"/>
                <w:color w:val="000000"/>
                <w:szCs w:val="18"/>
                <w:lang w:eastAsia="en-AU"/>
              </w:rPr>
            </w:pPr>
          </w:p>
        </w:tc>
        <w:tc>
          <w:tcPr>
            <w:tcW w:w="215" w:type="dxa"/>
            <w:tcBorders>
              <w:top w:val="nil"/>
              <w:left w:val="nil"/>
              <w:bottom w:val="nil"/>
              <w:right w:val="nil"/>
            </w:tcBorders>
            <w:shd w:val="clear" w:color="auto" w:fill="auto"/>
            <w:noWrap/>
            <w:vAlign w:val="center"/>
            <w:hideMark/>
          </w:tcPr>
          <w:p w14:paraId="288F177A" w14:textId="77777777" w:rsidR="007129DB" w:rsidRPr="00626042" w:rsidRDefault="007129DB"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14847DB0"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(840,708)</w:t>
            </w:r>
          </w:p>
        </w:tc>
        <w:tc>
          <w:tcPr>
            <w:tcW w:w="216" w:type="dxa"/>
            <w:tcBorders>
              <w:top w:val="nil"/>
              <w:left w:val="nil"/>
              <w:bottom w:val="nil"/>
              <w:right w:val="nil"/>
            </w:tcBorders>
            <w:shd w:val="clear" w:color="auto" w:fill="auto"/>
            <w:noWrap/>
            <w:vAlign w:val="center"/>
            <w:hideMark/>
          </w:tcPr>
          <w:p w14:paraId="39D67EA9" w14:textId="77777777" w:rsidR="007129DB" w:rsidRPr="00626042" w:rsidRDefault="007129DB"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74C5FC4C"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(771,361)</w:t>
            </w:r>
          </w:p>
        </w:tc>
      </w:tr>
      <w:tr w:rsidR="007129DB" w:rsidRPr="00626042" w14:paraId="4685913C" w14:textId="77777777" w:rsidTr="00E607DA">
        <w:trPr>
          <w:trHeight w:val="23"/>
        </w:trPr>
        <w:tc>
          <w:tcPr>
            <w:tcW w:w="215" w:type="dxa"/>
            <w:tcBorders>
              <w:top w:val="nil"/>
              <w:left w:val="nil"/>
              <w:bottom w:val="nil"/>
              <w:right w:val="nil"/>
            </w:tcBorders>
            <w:shd w:val="clear" w:color="auto" w:fill="auto"/>
            <w:noWrap/>
            <w:vAlign w:val="center"/>
            <w:hideMark/>
          </w:tcPr>
          <w:p w14:paraId="6EDFDFD3" w14:textId="77777777" w:rsidR="007129DB" w:rsidRPr="00626042" w:rsidRDefault="007129DB" w:rsidP="00E607DA">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1D9AA42E" w14:textId="77777777" w:rsidR="007129DB" w:rsidRPr="00626042" w:rsidRDefault="007129DB" w:rsidP="00E607DA">
            <w:pPr>
              <w:rPr>
                <w:rFonts w:ascii="Meta Pro" w:eastAsia="Times New Roman" w:hAnsi="Meta Pro"/>
                <w:color w:val="000000"/>
                <w:szCs w:val="18"/>
                <w:lang w:eastAsia="en-AU"/>
              </w:rPr>
            </w:pPr>
            <w:r w:rsidRPr="00626042">
              <w:rPr>
                <w:rFonts w:ascii="Meta Pro" w:eastAsia="Times New Roman" w:hAnsi="Meta Pro"/>
                <w:color w:val="000000"/>
                <w:szCs w:val="18"/>
                <w:lang w:eastAsia="en-AU"/>
              </w:rPr>
              <w:t>GST remitted to ATO</w:t>
            </w:r>
          </w:p>
        </w:tc>
        <w:tc>
          <w:tcPr>
            <w:tcW w:w="1021" w:type="dxa"/>
            <w:tcBorders>
              <w:top w:val="nil"/>
              <w:left w:val="nil"/>
              <w:bottom w:val="nil"/>
              <w:right w:val="nil"/>
            </w:tcBorders>
            <w:shd w:val="clear" w:color="auto" w:fill="auto"/>
            <w:noWrap/>
            <w:vAlign w:val="center"/>
            <w:hideMark/>
          </w:tcPr>
          <w:p w14:paraId="50993C5F" w14:textId="77777777" w:rsidR="007129DB" w:rsidRPr="00626042" w:rsidRDefault="007129DB" w:rsidP="00E607DA">
            <w:pPr>
              <w:rPr>
                <w:rFonts w:ascii="Meta Pro" w:eastAsia="Times New Roman" w:hAnsi="Meta Pro"/>
                <w:color w:val="000000"/>
                <w:szCs w:val="18"/>
                <w:lang w:eastAsia="en-AU"/>
              </w:rPr>
            </w:pPr>
          </w:p>
        </w:tc>
        <w:tc>
          <w:tcPr>
            <w:tcW w:w="215" w:type="dxa"/>
            <w:tcBorders>
              <w:top w:val="nil"/>
              <w:left w:val="nil"/>
              <w:bottom w:val="nil"/>
              <w:right w:val="nil"/>
            </w:tcBorders>
            <w:shd w:val="clear" w:color="auto" w:fill="auto"/>
            <w:noWrap/>
            <w:vAlign w:val="center"/>
            <w:hideMark/>
          </w:tcPr>
          <w:p w14:paraId="21ADE32D" w14:textId="77777777" w:rsidR="007129DB" w:rsidRPr="00626042" w:rsidRDefault="007129DB"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26F106F2"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(68,322)</w:t>
            </w:r>
          </w:p>
        </w:tc>
        <w:tc>
          <w:tcPr>
            <w:tcW w:w="216" w:type="dxa"/>
            <w:tcBorders>
              <w:top w:val="nil"/>
              <w:left w:val="nil"/>
              <w:bottom w:val="nil"/>
              <w:right w:val="nil"/>
            </w:tcBorders>
            <w:shd w:val="clear" w:color="auto" w:fill="auto"/>
            <w:noWrap/>
            <w:vAlign w:val="center"/>
            <w:hideMark/>
          </w:tcPr>
          <w:p w14:paraId="07A44457" w14:textId="77777777" w:rsidR="007129DB" w:rsidRPr="00626042" w:rsidRDefault="007129DB"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43DE6997"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(66,449)</w:t>
            </w:r>
          </w:p>
        </w:tc>
      </w:tr>
      <w:tr w:rsidR="007129DB" w:rsidRPr="00626042" w14:paraId="29F46E27" w14:textId="77777777" w:rsidTr="00E607DA">
        <w:trPr>
          <w:trHeight w:val="23"/>
        </w:trPr>
        <w:tc>
          <w:tcPr>
            <w:tcW w:w="215" w:type="dxa"/>
            <w:tcBorders>
              <w:top w:val="nil"/>
              <w:left w:val="nil"/>
              <w:bottom w:val="nil"/>
              <w:right w:val="nil"/>
            </w:tcBorders>
            <w:shd w:val="clear" w:color="auto" w:fill="auto"/>
            <w:noWrap/>
            <w:vAlign w:val="center"/>
            <w:hideMark/>
          </w:tcPr>
          <w:p w14:paraId="0D217A4D" w14:textId="77777777" w:rsidR="007129DB" w:rsidRPr="00626042" w:rsidRDefault="007129DB" w:rsidP="00E607DA">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585D84BC" w14:textId="77777777" w:rsidR="007129DB" w:rsidRPr="00626042" w:rsidRDefault="007129DB" w:rsidP="00E607DA">
            <w:pPr>
              <w:rPr>
                <w:rFonts w:ascii="Meta Pro" w:eastAsia="Times New Roman" w:hAnsi="Meta Pro"/>
                <w:color w:val="000000"/>
                <w:szCs w:val="18"/>
                <w:lang w:eastAsia="en-AU"/>
              </w:rPr>
            </w:pPr>
            <w:r w:rsidRPr="00626042">
              <w:rPr>
                <w:rFonts w:ascii="Meta Pro" w:eastAsia="Times New Roman" w:hAnsi="Meta Pro"/>
                <w:color w:val="000000"/>
                <w:szCs w:val="18"/>
                <w:lang w:eastAsia="en-AU"/>
              </w:rPr>
              <w:t>Income tax equivalent paid</w:t>
            </w:r>
          </w:p>
        </w:tc>
        <w:tc>
          <w:tcPr>
            <w:tcW w:w="1021" w:type="dxa"/>
            <w:tcBorders>
              <w:top w:val="nil"/>
              <w:left w:val="nil"/>
              <w:bottom w:val="nil"/>
              <w:right w:val="nil"/>
            </w:tcBorders>
            <w:shd w:val="clear" w:color="auto" w:fill="auto"/>
            <w:noWrap/>
            <w:vAlign w:val="center"/>
            <w:hideMark/>
          </w:tcPr>
          <w:p w14:paraId="16B9F2F2" w14:textId="77777777" w:rsidR="007129DB" w:rsidRPr="00626042" w:rsidRDefault="007129DB" w:rsidP="00E607DA">
            <w:pPr>
              <w:rPr>
                <w:rFonts w:ascii="Meta Pro" w:eastAsia="Times New Roman" w:hAnsi="Meta Pro"/>
                <w:color w:val="000000"/>
                <w:szCs w:val="18"/>
                <w:lang w:eastAsia="en-AU"/>
              </w:rPr>
            </w:pPr>
          </w:p>
        </w:tc>
        <w:tc>
          <w:tcPr>
            <w:tcW w:w="215" w:type="dxa"/>
            <w:tcBorders>
              <w:top w:val="nil"/>
              <w:left w:val="nil"/>
              <w:bottom w:val="nil"/>
              <w:right w:val="nil"/>
            </w:tcBorders>
            <w:shd w:val="clear" w:color="auto" w:fill="auto"/>
            <w:noWrap/>
            <w:vAlign w:val="center"/>
            <w:hideMark/>
          </w:tcPr>
          <w:p w14:paraId="76A9EECD" w14:textId="77777777" w:rsidR="007129DB" w:rsidRPr="00626042" w:rsidRDefault="007129DB"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703B13D9"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(14,519)</w:t>
            </w:r>
          </w:p>
        </w:tc>
        <w:tc>
          <w:tcPr>
            <w:tcW w:w="216" w:type="dxa"/>
            <w:tcBorders>
              <w:top w:val="nil"/>
              <w:left w:val="nil"/>
              <w:bottom w:val="nil"/>
              <w:right w:val="nil"/>
            </w:tcBorders>
            <w:shd w:val="clear" w:color="auto" w:fill="auto"/>
            <w:noWrap/>
            <w:vAlign w:val="center"/>
            <w:hideMark/>
          </w:tcPr>
          <w:p w14:paraId="257562E5" w14:textId="77777777" w:rsidR="007129DB" w:rsidRPr="00626042" w:rsidRDefault="007129DB"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235FB6CC"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(8,799)</w:t>
            </w:r>
          </w:p>
        </w:tc>
      </w:tr>
      <w:tr w:rsidR="007129DB" w:rsidRPr="00626042" w14:paraId="39148741" w14:textId="77777777" w:rsidTr="00E607DA">
        <w:trPr>
          <w:trHeight w:val="23"/>
        </w:trPr>
        <w:tc>
          <w:tcPr>
            <w:tcW w:w="215" w:type="dxa"/>
            <w:tcBorders>
              <w:top w:val="nil"/>
              <w:left w:val="nil"/>
              <w:bottom w:val="nil"/>
              <w:right w:val="nil"/>
            </w:tcBorders>
            <w:shd w:val="clear" w:color="auto" w:fill="auto"/>
            <w:noWrap/>
            <w:vAlign w:val="center"/>
            <w:hideMark/>
          </w:tcPr>
          <w:p w14:paraId="213290EE" w14:textId="77777777" w:rsidR="007129DB" w:rsidRPr="00626042" w:rsidRDefault="007129DB" w:rsidP="00E607DA">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2BEECE3B" w14:textId="77777777" w:rsidR="007129DB" w:rsidRPr="00626042" w:rsidRDefault="007129DB" w:rsidP="00E607DA">
            <w:pPr>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Other </w:t>
            </w:r>
          </w:p>
        </w:tc>
        <w:tc>
          <w:tcPr>
            <w:tcW w:w="1021" w:type="dxa"/>
            <w:tcBorders>
              <w:top w:val="nil"/>
              <w:left w:val="nil"/>
              <w:bottom w:val="single" w:sz="4" w:space="0" w:color="auto"/>
              <w:right w:val="nil"/>
            </w:tcBorders>
            <w:shd w:val="clear" w:color="auto" w:fill="auto"/>
            <w:noWrap/>
            <w:vAlign w:val="center"/>
            <w:hideMark/>
          </w:tcPr>
          <w:p w14:paraId="036A8A20" w14:textId="77777777" w:rsidR="007129DB" w:rsidRPr="00626042" w:rsidRDefault="007129DB" w:rsidP="00E607DA">
            <w:pPr>
              <w:jc w:val="center"/>
              <w:rPr>
                <w:rFonts w:ascii="Meta Pro" w:eastAsia="Times New Roman" w:hAnsi="Meta Pro"/>
                <w:color w:val="000000"/>
                <w:sz w:val="20"/>
                <w:szCs w:val="20"/>
                <w:lang w:eastAsia="en-AU"/>
              </w:rPr>
            </w:pPr>
            <w:r w:rsidRPr="00626042">
              <w:rPr>
                <w:rFonts w:ascii="Meta Pro" w:eastAsia="Times New Roman" w:hAnsi="Meta Pro"/>
                <w:color w:val="000000"/>
                <w:sz w:val="20"/>
                <w:szCs w:val="20"/>
                <w:lang w:eastAsia="en-AU"/>
              </w:rPr>
              <w:t> </w:t>
            </w:r>
          </w:p>
        </w:tc>
        <w:tc>
          <w:tcPr>
            <w:tcW w:w="215" w:type="dxa"/>
            <w:tcBorders>
              <w:top w:val="nil"/>
              <w:left w:val="nil"/>
              <w:bottom w:val="nil"/>
              <w:right w:val="nil"/>
            </w:tcBorders>
            <w:shd w:val="clear" w:color="auto" w:fill="auto"/>
            <w:noWrap/>
            <w:vAlign w:val="center"/>
            <w:hideMark/>
          </w:tcPr>
          <w:p w14:paraId="29419530" w14:textId="77777777" w:rsidR="007129DB" w:rsidRPr="00626042" w:rsidRDefault="007129DB" w:rsidP="00E607DA">
            <w:pPr>
              <w:jc w:val="center"/>
              <w:rPr>
                <w:rFonts w:ascii="Meta Pro" w:eastAsia="Times New Roman" w:hAnsi="Meta Pro"/>
                <w:color w:val="000000"/>
                <w:sz w:val="20"/>
                <w:szCs w:val="20"/>
                <w:lang w:eastAsia="en-AU"/>
              </w:rPr>
            </w:pPr>
          </w:p>
        </w:tc>
        <w:tc>
          <w:tcPr>
            <w:tcW w:w="1514" w:type="dxa"/>
            <w:tcBorders>
              <w:top w:val="nil"/>
              <w:left w:val="nil"/>
              <w:bottom w:val="nil"/>
              <w:right w:val="nil"/>
            </w:tcBorders>
            <w:shd w:val="clear" w:color="000000" w:fill="C9E3B4"/>
            <w:noWrap/>
            <w:vAlign w:val="center"/>
            <w:hideMark/>
          </w:tcPr>
          <w:p w14:paraId="540528AE"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(22,940)</w:t>
            </w:r>
          </w:p>
        </w:tc>
        <w:tc>
          <w:tcPr>
            <w:tcW w:w="216" w:type="dxa"/>
            <w:tcBorders>
              <w:top w:val="nil"/>
              <w:left w:val="nil"/>
              <w:bottom w:val="nil"/>
              <w:right w:val="nil"/>
            </w:tcBorders>
            <w:shd w:val="clear" w:color="auto" w:fill="auto"/>
            <w:noWrap/>
            <w:vAlign w:val="center"/>
            <w:hideMark/>
          </w:tcPr>
          <w:p w14:paraId="64F677AC" w14:textId="77777777" w:rsidR="007129DB" w:rsidRPr="00626042" w:rsidRDefault="007129DB" w:rsidP="00E607DA">
            <w:pPr>
              <w:jc w:val="right"/>
              <w:rPr>
                <w:rFonts w:ascii="Meta Pro" w:eastAsia="Times New Roman" w:hAnsi="Meta Pro"/>
                <w:color w:val="000000"/>
                <w:szCs w:val="18"/>
                <w:lang w:eastAsia="en-AU"/>
              </w:rPr>
            </w:pPr>
          </w:p>
        </w:tc>
        <w:tc>
          <w:tcPr>
            <w:tcW w:w="1514" w:type="dxa"/>
            <w:tcBorders>
              <w:top w:val="nil"/>
              <w:left w:val="nil"/>
              <w:bottom w:val="single" w:sz="4" w:space="0" w:color="auto"/>
              <w:right w:val="nil"/>
            </w:tcBorders>
            <w:shd w:val="clear" w:color="auto" w:fill="auto"/>
            <w:noWrap/>
            <w:vAlign w:val="center"/>
            <w:hideMark/>
          </w:tcPr>
          <w:p w14:paraId="5E59E0DE"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(15,193)</w:t>
            </w:r>
          </w:p>
        </w:tc>
      </w:tr>
      <w:tr w:rsidR="007129DB" w:rsidRPr="00626042" w14:paraId="709D78DD" w14:textId="77777777" w:rsidTr="00E607DA">
        <w:trPr>
          <w:trHeight w:val="23"/>
        </w:trPr>
        <w:tc>
          <w:tcPr>
            <w:tcW w:w="4990" w:type="dxa"/>
            <w:gridSpan w:val="2"/>
            <w:tcBorders>
              <w:top w:val="single" w:sz="4" w:space="0" w:color="auto"/>
              <w:left w:val="nil"/>
              <w:bottom w:val="nil"/>
              <w:right w:val="nil"/>
            </w:tcBorders>
            <w:shd w:val="clear" w:color="auto" w:fill="auto"/>
            <w:noWrap/>
            <w:vAlign w:val="center"/>
            <w:hideMark/>
          </w:tcPr>
          <w:p w14:paraId="6395A3F3" w14:textId="77777777" w:rsidR="007129DB" w:rsidRPr="00626042" w:rsidRDefault="007129DB" w:rsidP="00E607DA">
            <w:pPr>
              <w:rPr>
                <w:rFonts w:ascii="Meta Pro" w:eastAsia="Times New Roman" w:hAnsi="Meta Pro"/>
                <w:b/>
                <w:bCs/>
                <w:color w:val="000000"/>
                <w:szCs w:val="18"/>
                <w:lang w:eastAsia="en-AU"/>
              </w:rPr>
            </w:pPr>
            <w:r w:rsidRPr="00626042">
              <w:rPr>
                <w:rFonts w:ascii="Meta Pro" w:eastAsia="Times New Roman" w:hAnsi="Meta Pro"/>
                <w:b/>
                <w:bCs/>
                <w:color w:val="000000"/>
                <w:szCs w:val="18"/>
                <w:lang w:eastAsia="en-AU"/>
              </w:rPr>
              <w:t>Net cash provided by operating activities</w:t>
            </w:r>
          </w:p>
        </w:tc>
        <w:tc>
          <w:tcPr>
            <w:tcW w:w="1021" w:type="dxa"/>
            <w:tcBorders>
              <w:top w:val="nil"/>
              <w:left w:val="nil"/>
              <w:bottom w:val="nil"/>
              <w:right w:val="nil"/>
            </w:tcBorders>
            <w:shd w:val="clear" w:color="auto" w:fill="auto"/>
            <w:noWrap/>
            <w:vAlign w:val="center"/>
            <w:hideMark/>
          </w:tcPr>
          <w:p w14:paraId="7EBF8B39" w14:textId="77777777" w:rsidR="007129DB" w:rsidRPr="00626042" w:rsidRDefault="007129DB" w:rsidP="00E607DA">
            <w:pPr>
              <w:rPr>
                <w:rFonts w:ascii="Meta Pro" w:eastAsia="Times New Roman" w:hAnsi="Meta Pro"/>
                <w:b/>
                <w:bCs/>
                <w:color w:val="000000"/>
                <w:szCs w:val="18"/>
                <w:lang w:eastAsia="en-AU"/>
              </w:rPr>
            </w:pPr>
          </w:p>
        </w:tc>
        <w:tc>
          <w:tcPr>
            <w:tcW w:w="215" w:type="dxa"/>
            <w:tcBorders>
              <w:top w:val="single" w:sz="4" w:space="0" w:color="auto"/>
              <w:left w:val="nil"/>
              <w:bottom w:val="nil"/>
              <w:right w:val="nil"/>
            </w:tcBorders>
            <w:shd w:val="clear" w:color="auto" w:fill="auto"/>
            <w:noWrap/>
            <w:vAlign w:val="center"/>
            <w:hideMark/>
          </w:tcPr>
          <w:p w14:paraId="154D03C5" w14:textId="77777777" w:rsidR="007129DB" w:rsidRPr="00626042" w:rsidRDefault="007129DB" w:rsidP="00E607DA">
            <w:pPr>
              <w:rPr>
                <w:rFonts w:ascii="Meta Pro" w:eastAsia="Times New Roman" w:hAnsi="Meta Pro"/>
                <w:b/>
                <w:bCs/>
                <w:color w:val="FF0000"/>
                <w:szCs w:val="18"/>
                <w:lang w:eastAsia="en-AU"/>
              </w:rPr>
            </w:pPr>
            <w:r w:rsidRPr="00626042">
              <w:rPr>
                <w:rFonts w:ascii="Meta Pro" w:eastAsia="Times New Roman" w:hAnsi="Meta Pro"/>
                <w:b/>
                <w:bCs/>
                <w:color w:val="FF0000"/>
                <w:szCs w:val="18"/>
                <w:lang w:eastAsia="en-AU"/>
              </w:rPr>
              <w:t> </w:t>
            </w:r>
          </w:p>
        </w:tc>
        <w:tc>
          <w:tcPr>
            <w:tcW w:w="1514" w:type="dxa"/>
            <w:tcBorders>
              <w:top w:val="single" w:sz="4" w:space="0" w:color="auto"/>
              <w:left w:val="nil"/>
              <w:bottom w:val="nil"/>
              <w:right w:val="nil"/>
            </w:tcBorders>
            <w:shd w:val="clear" w:color="000000" w:fill="C9E3B4"/>
            <w:noWrap/>
            <w:vAlign w:val="center"/>
            <w:hideMark/>
          </w:tcPr>
          <w:p w14:paraId="46964BFF" w14:textId="77777777" w:rsidR="007129DB" w:rsidRPr="00626042" w:rsidRDefault="007129DB" w:rsidP="00E607DA">
            <w:pPr>
              <w:jc w:val="right"/>
              <w:rPr>
                <w:rFonts w:ascii="Meta Pro" w:eastAsia="Times New Roman" w:hAnsi="Meta Pro"/>
                <w:b/>
                <w:bCs/>
                <w:color w:val="000000"/>
                <w:szCs w:val="18"/>
                <w:lang w:eastAsia="en-AU"/>
              </w:rPr>
            </w:pPr>
            <w:r w:rsidRPr="00626042">
              <w:rPr>
                <w:rFonts w:ascii="Meta Pro" w:eastAsia="Times New Roman" w:hAnsi="Meta Pro"/>
                <w:b/>
                <w:bCs/>
                <w:color w:val="000000"/>
                <w:szCs w:val="18"/>
                <w:lang w:eastAsia="en-AU"/>
              </w:rPr>
              <w:t xml:space="preserve">1,173,283 </w:t>
            </w:r>
          </w:p>
        </w:tc>
        <w:tc>
          <w:tcPr>
            <w:tcW w:w="216" w:type="dxa"/>
            <w:tcBorders>
              <w:top w:val="single" w:sz="4" w:space="0" w:color="auto"/>
              <w:left w:val="nil"/>
              <w:bottom w:val="nil"/>
              <w:right w:val="nil"/>
            </w:tcBorders>
            <w:shd w:val="clear" w:color="auto" w:fill="auto"/>
            <w:noWrap/>
            <w:vAlign w:val="center"/>
            <w:hideMark/>
          </w:tcPr>
          <w:p w14:paraId="0EEE4EA8" w14:textId="77777777" w:rsidR="007129DB" w:rsidRPr="00626042" w:rsidRDefault="007129DB" w:rsidP="00E607DA">
            <w:pPr>
              <w:jc w:val="right"/>
              <w:rPr>
                <w:rFonts w:ascii="Meta Pro" w:eastAsia="Times New Roman" w:hAnsi="Meta Pro"/>
                <w:b/>
                <w:bCs/>
                <w:color w:val="000000"/>
                <w:szCs w:val="18"/>
                <w:lang w:eastAsia="en-AU"/>
              </w:rPr>
            </w:pPr>
            <w:r w:rsidRPr="00626042">
              <w:rPr>
                <w:rFonts w:ascii="Meta Pro" w:eastAsia="Times New Roman" w:hAnsi="Meta Pro"/>
                <w:b/>
                <w:bCs/>
                <w:color w:val="000000"/>
                <w:szCs w:val="18"/>
                <w:lang w:eastAsia="en-AU"/>
              </w:rPr>
              <w:t> </w:t>
            </w:r>
          </w:p>
        </w:tc>
        <w:tc>
          <w:tcPr>
            <w:tcW w:w="1514" w:type="dxa"/>
            <w:tcBorders>
              <w:top w:val="nil"/>
              <w:left w:val="nil"/>
              <w:bottom w:val="nil"/>
              <w:right w:val="nil"/>
            </w:tcBorders>
            <w:shd w:val="clear" w:color="auto" w:fill="auto"/>
            <w:noWrap/>
            <w:vAlign w:val="center"/>
            <w:hideMark/>
          </w:tcPr>
          <w:p w14:paraId="674C2E6A" w14:textId="77777777" w:rsidR="007129DB" w:rsidRPr="00626042" w:rsidRDefault="007129DB" w:rsidP="00E607DA">
            <w:pPr>
              <w:jc w:val="right"/>
              <w:rPr>
                <w:rFonts w:ascii="Meta Pro" w:eastAsia="Times New Roman" w:hAnsi="Meta Pro"/>
                <w:b/>
                <w:bCs/>
                <w:color w:val="000000"/>
                <w:szCs w:val="18"/>
                <w:lang w:eastAsia="en-AU"/>
              </w:rPr>
            </w:pPr>
            <w:r w:rsidRPr="00626042">
              <w:rPr>
                <w:rFonts w:ascii="Meta Pro" w:eastAsia="Times New Roman" w:hAnsi="Meta Pro"/>
                <w:b/>
                <w:bCs/>
                <w:color w:val="000000"/>
                <w:szCs w:val="18"/>
                <w:lang w:eastAsia="en-AU"/>
              </w:rPr>
              <w:t xml:space="preserve">                992,263 </w:t>
            </w:r>
          </w:p>
        </w:tc>
      </w:tr>
      <w:tr w:rsidR="007129DB" w:rsidRPr="00626042" w14:paraId="64229EF6" w14:textId="77777777" w:rsidTr="00E607DA">
        <w:trPr>
          <w:trHeight w:val="23"/>
        </w:trPr>
        <w:tc>
          <w:tcPr>
            <w:tcW w:w="215" w:type="dxa"/>
            <w:tcBorders>
              <w:top w:val="nil"/>
              <w:left w:val="nil"/>
              <w:bottom w:val="nil"/>
              <w:right w:val="nil"/>
            </w:tcBorders>
            <w:shd w:val="clear" w:color="auto" w:fill="auto"/>
            <w:noWrap/>
            <w:vAlign w:val="center"/>
            <w:hideMark/>
          </w:tcPr>
          <w:p w14:paraId="6432A6C0" w14:textId="77777777" w:rsidR="007129DB" w:rsidRPr="00626042" w:rsidRDefault="007129DB" w:rsidP="00E607DA">
            <w:pPr>
              <w:jc w:val="right"/>
              <w:rPr>
                <w:rFonts w:ascii="Meta Pro" w:eastAsia="Times New Roman" w:hAnsi="Meta Pro"/>
                <w:b/>
                <w:bCs/>
                <w:color w:val="000000"/>
                <w:szCs w:val="18"/>
                <w:lang w:eastAsia="en-AU"/>
              </w:rPr>
            </w:pPr>
          </w:p>
        </w:tc>
        <w:tc>
          <w:tcPr>
            <w:tcW w:w="4990" w:type="dxa"/>
            <w:tcBorders>
              <w:top w:val="nil"/>
              <w:left w:val="nil"/>
              <w:bottom w:val="nil"/>
              <w:right w:val="nil"/>
            </w:tcBorders>
            <w:shd w:val="clear" w:color="auto" w:fill="auto"/>
            <w:noWrap/>
            <w:vAlign w:val="center"/>
            <w:hideMark/>
          </w:tcPr>
          <w:p w14:paraId="06340652" w14:textId="77777777" w:rsidR="007129DB" w:rsidRPr="00626042" w:rsidRDefault="007129DB" w:rsidP="00E607DA">
            <w:pPr>
              <w:rPr>
                <w:rFonts w:ascii="Meta Pro" w:eastAsia="Times New Roman" w:hAnsi="Meta Pro" w:cs="Times New Roman"/>
                <w:sz w:val="20"/>
                <w:szCs w:val="20"/>
                <w:lang w:eastAsia="en-AU"/>
              </w:rPr>
            </w:pPr>
          </w:p>
        </w:tc>
        <w:tc>
          <w:tcPr>
            <w:tcW w:w="1021" w:type="dxa"/>
            <w:tcBorders>
              <w:top w:val="nil"/>
              <w:left w:val="nil"/>
              <w:bottom w:val="nil"/>
              <w:right w:val="nil"/>
            </w:tcBorders>
            <w:shd w:val="clear" w:color="auto" w:fill="auto"/>
            <w:noWrap/>
            <w:vAlign w:val="center"/>
            <w:hideMark/>
          </w:tcPr>
          <w:p w14:paraId="14E320DA" w14:textId="77777777" w:rsidR="007129DB" w:rsidRPr="00626042" w:rsidRDefault="007129DB" w:rsidP="00E607DA">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68701359" w14:textId="77777777" w:rsidR="007129DB" w:rsidRPr="00626042" w:rsidRDefault="007129DB"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2EA33A77"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4706A7BE" w14:textId="77777777" w:rsidR="007129DB" w:rsidRPr="00626042" w:rsidRDefault="007129DB"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655E0CEC" w14:textId="77777777" w:rsidR="007129DB" w:rsidRPr="00626042" w:rsidRDefault="007129DB" w:rsidP="00E607DA">
            <w:pPr>
              <w:jc w:val="right"/>
              <w:rPr>
                <w:rFonts w:ascii="Meta Pro" w:eastAsia="Times New Roman" w:hAnsi="Meta Pro" w:cs="Times New Roman"/>
                <w:sz w:val="20"/>
                <w:szCs w:val="20"/>
                <w:lang w:eastAsia="en-AU"/>
              </w:rPr>
            </w:pPr>
          </w:p>
        </w:tc>
      </w:tr>
      <w:tr w:rsidR="007129DB" w:rsidRPr="00626042" w14:paraId="221F51C7" w14:textId="77777777" w:rsidTr="00E607DA">
        <w:trPr>
          <w:trHeight w:val="23"/>
        </w:trPr>
        <w:tc>
          <w:tcPr>
            <w:tcW w:w="4990" w:type="dxa"/>
            <w:gridSpan w:val="2"/>
            <w:tcBorders>
              <w:top w:val="nil"/>
              <w:left w:val="nil"/>
              <w:bottom w:val="nil"/>
              <w:right w:val="nil"/>
            </w:tcBorders>
            <w:shd w:val="clear" w:color="auto" w:fill="auto"/>
            <w:noWrap/>
            <w:vAlign w:val="center"/>
            <w:hideMark/>
          </w:tcPr>
          <w:p w14:paraId="1F392C6B" w14:textId="77777777" w:rsidR="007129DB" w:rsidRPr="00626042" w:rsidRDefault="007129DB" w:rsidP="00E607DA">
            <w:pPr>
              <w:rPr>
                <w:rFonts w:ascii="Meta Pro" w:eastAsia="Times New Roman" w:hAnsi="Meta Pro"/>
                <w:b/>
                <w:bCs/>
                <w:color w:val="000000"/>
                <w:szCs w:val="18"/>
                <w:lang w:eastAsia="en-AU"/>
              </w:rPr>
            </w:pPr>
            <w:r w:rsidRPr="00626042">
              <w:rPr>
                <w:rFonts w:ascii="Meta Pro" w:eastAsia="Times New Roman" w:hAnsi="Meta Pro"/>
                <w:b/>
                <w:bCs/>
                <w:color w:val="000000"/>
                <w:szCs w:val="18"/>
                <w:lang w:eastAsia="en-AU"/>
              </w:rPr>
              <w:t>Cash flows from investing activities</w:t>
            </w:r>
          </w:p>
        </w:tc>
        <w:tc>
          <w:tcPr>
            <w:tcW w:w="1021" w:type="dxa"/>
            <w:tcBorders>
              <w:top w:val="nil"/>
              <w:left w:val="nil"/>
              <w:bottom w:val="nil"/>
              <w:right w:val="nil"/>
            </w:tcBorders>
            <w:shd w:val="clear" w:color="auto" w:fill="auto"/>
            <w:noWrap/>
            <w:vAlign w:val="center"/>
            <w:hideMark/>
          </w:tcPr>
          <w:p w14:paraId="6F69D1AC" w14:textId="77777777" w:rsidR="007129DB" w:rsidRPr="00626042" w:rsidRDefault="007129DB" w:rsidP="00E607DA">
            <w:pPr>
              <w:rPr>
                <w:rFonts w:ascii="Meta Pro" w:eastAsia="Times New Roman" w:hAnsi="Meta Pro"/>
                <w:b/>
                <w:bCs/>
                <w:color w:val="000000"/>
                <w:szCs w:val="18"/>
                <w:lang w:eastAsia="en-AU"/>
              </w:rPr>
            </w:pPr>
          </w:p>
        </w:tc>
        <w:tc>
          <w:tcPr>
            <w:tcW w:w="215" w:type="dxa"/>
            <w:tcBorders>
              <w:top w:val="nil"/>
              <w:left w:val="nil"/>
              <w:bottom w:val="nil"/>
              <w:right w:val="nil"/>
            </w:tcBorders>
            <w:shd w:val="clear" w:color="auto" w:fill="auto"/>
            <w:noWrap/>
            <w:vAlign w:val="center"/>
            <w:hideMark/>
          </w:tcPr>
          <w:p w14:paraId="499D944B" w14:textId="77777777" w:rsidR="007129DB" w:rsidRPr="00626042" w:rsidRDefault="007129DB"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3D4ECECC"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136041E0" w14:textId="77777777" w:rsidR="007129DB" w:rsidRPr="00626042" w:rsidRDefault="007129DB"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6ECBF913" w14:textId="77777777" w:rsidR="007129DB" w:rsidRPr="00626042" w:rsidRDefault="007129DB" w:rsidP="00E607DA">
            <w:pPr>
              <w:jc w:val="right"/>
              <w:rPr>
                <w:rFonts w:ascii="Meta Pro" w:eastAsia="Times New Roman" w:hAnsi="Meta Pro" w:cs="Times New Roman"/>
                <w:sz w:val="20"/>
                <w:szCs w:val="20"/>
                <w:lang w:eastAsia="en-AU"/>
              </w:rPr>
            </w:pPr>
          </w:p>
        </w:tc>
      </w:tr>
      <w:tr w:rsidR="007129DB" w:rsidRPr="00626042" w14:paraId="63CCA77F" w14:textId="77777777" w:rsidTr="00E607DA">
        <w:trPr>
          <w:trHeight w:val="23"/>
        </w:trPr>
        <w:tc>
          <w:tcPr>
            <w:tcW w:w="215" w:type="dxa"/>
            <w:tcBorders>
              <w:top w:val="nil"/>
              <w:left w:val="nil"/>
              <w:bottom w:val="nil"/>
              <w:right w:val="nil"/>
            </w:tcBorders>
            <w:shd w:val="clear" w:color="auto" w:fill="auto"/>
            <w:noWrap/>
            <w:vAlign w:val="center"/>
            <w:hideMark/>
          </w:tcPr>
          <w:p w14:paraId="26910D25" w14:textId="77777777" w:rsidR="007129DB" w:rsidRPr="00626042" w:rsidRDefault="007129DB" w:rsidP="00E607DA">
            <w:pPr>
              <w:jc w:val="right"/>
              <w:rPr>
                <w:rFonts w:ascii="Meta Pro" w:eastAsia="Times New Roman" w:hAnsi="Meta Pro" w:cs="Times New Roman"/>
                <w:sz w:val="20"/>
                <w:szCs w:val="20"/>
                <w:lang w:eastAsia="en-AU"/>
              </w:rPr>
            </w:pPr>
          </w:p>
        </w:tc>
        <w:tc>
          <w:tcPr>
            <w:tcW w:w="4990" w:type="dxa"/>
            <w:tcBorders>
              <w:top w:val="nil"/>
              <w:left w:val="nil"/>
              <w:bottom w:val="nil"/>
              <w:right w:val="nil"/>
            </w:tcBorders>
            <w:shd w:val="clear" w:color="auto" w:fill="auto"/>
            <w:noWrap/>
            <w:vAlign w:val="center"/>
            <w:hideMark/>
          </w:tcPr>
          <w:p w14:paraId="25B213B8" w14:textId="77777777" w:rsidR="007129DB" w:rsidRPr="00626042" w:rsidRDefault="007129DB" w:rsidP="00E607DA">
            <w:pPr>
              <w:rPr>
                <w:rFonts w:ascii="Meta Pro" w:eastAsia="Times New Roman" w:hAnsi="Meta Pro"/>
                <w:i/>
                <w:iCs/>
                <w:color w:val="000000"/>
                <w:szCs w:val="18"/>
                <w:lang w:eastAsia="en-AU"/>
              </w:rPr>
            </w:pPr>
            <w:r w:rsidRPr="00626042">
              <w:rPr>
                <w:rFonts w:ascii="Meta Pro" w:eastAsia="Times New Roman" w:hAnsi="Meta Pro"/>
                <w:i/>
                <w:iCs/>
                <w:color w:val="000000"/>
                <w:szCs w:val="18"/>
                <w:lang w:eastAsia="en-AU"/>
              </w:rPr>
              <w:t>Inflows:</w:t>
            </w:r>
          </w:p>
        </w:tc>
        <w:tc>
          <w:tcPr>
            <w:tcW w:w="1021" w:type="dxa"/>
            <w:tcBorders>
              <w:top w:val="nil"/>
              <w:left w:val="nil"/>
              <w:bottom w:val="nil"/>
              <w:right w:val="nil"/>
            </w:tcBorders>
            <w:shd w:val="clear" w:color="auto" w:fill="auto"/>
            <w:noWrap/>
            <w:vAlign w:val="center"/>
            <w:hideMark/>
          </w:tcPr>
          <w:p w14:paraId="3BAB3410" w14:textId="77777777" w:rsidR="007129DB" w:rsidRPr="00626042" w:rsidRDefault="007129DB" w:rsidP="00E607DA">
            <w:pPr>
              <w:rPr>
                <w:rFonts w:ascii="Meta Pro" w:eastAsia="Times New Roman" w:hAnsi="Meta Pro"/>
                <w:i/>
                <w:iCs/>
                <w:color w:val="000000"/>
                <w:szCs w:val="18"/>
                <w:lang w:eastAsia="en-AU"/>
              </w:rPr>
            </w:pPr>
          </w:p>
        </w:tc>
        <w:tc>
          <w:tcPr>
            <w:tcW w:w="215" w:type="dxa"/>
            <w:tcBorders>
              <w:top w:val="nil"/>
              <w:left w:val="nil"/>
              <w:bottom w:val="nil"/>
              <w:right w:val="nil"/>
            </w:tcBorders>
            <w:shd w:val="clear" w:color="auto" w:fill="auto"/>
            <w:noWrap/>
            <w:vAlign w:val="center"/>
            <w:hideMark/>
          </w:tcPr>
          <w:p w14:paraId="31F928D3" w14:textId="77777777" w:rsidR="007129DB" w:rsidRPr="00626042" w:rsidRDefault="007129DB"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3E9FE66B"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17576074" w14:textId="77777777" w:rsidR="007129DB" w:rsidRPr="00626042" w:rsidRDefault="007129DB"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0E1C03DB" w14:textId="77777777" w:rsidR="007129DB" w:rsidRPr="00626042" w:rsidRDefault="007129DB" w:rsidP="00E607DA">
            <w:pPr>
              <w:jc w:val="right"/>
              <w:rPr>
                <w:rFonts w:ascii="Meta Pro" w:eastAsia="Times New Roman" w:hAnsi="Meta Pro" w:cs="Times New Roman"/>
                <w:sz w:val="20"/>
                <w:szCs w:val="20"/>
                <w:lang w:eastAsia="en-AU"/>
              </w:rPr>
            </w:pPr>
          </w:p>
        </w:tc>
      </w:tr>
      <w:tr w:rsidR="007129DB" w:rsidRPr="00626042" w14:paraId="3B06D53A" w14:textId="77777777" w:rsidTr="00E607DA">
        <w:trPr>
          <w:trHeight w:val="23"/>
        </w:trPr>
        <w:tc>
          <w:tcPr>
            <w:tcW w:w="215" w:type="dxa"/>
            <w:tcBorders>
              <w:top w:val="nil"/>
              <w:left w:val="nil"/>
              <w:bottom w:val="nil"/>
              <w:right w:val="nil"/>
            </w:tcBorders>
            <w:shd w:val="clear" w:color="auto" w:fill="auto"/>
            <w:noWrap/>
            <w:vAlign w:val="center"/>
            <w:hideMark/>
          </w:tcPr>
          <w:p w14:paraId="3D42A328" w14:textId="77777777" w:rsidR="007129DB" w:rsidRPr="00626042" w:rsidRDefault="007129DB" w:rsidP="00E607DA">
            <w:pPr>
              <w:jc w:val="right"/>
              <w:rPr>
                <w:rFonts w:ascii="Meta Pro" w:eastAsia="Times New Roman" w:hAnsi="Meta Pro" w:cs="Times New Roman"/>
                <w:sz w:val="20"/>
                <w:szCs w:val="20"/>
                <w:lang w:eastAsia="en-AU"/>
              </w:rPr>
            </w:pPr>
          </w:p>
        </w:tc>
        <w:tc>
          <w:tcPr>
            <w:tcW w:w="4990" w:type="dxa"/>
            <w:tcBorders>
              <w:top w:val="nil"/>
              <w:left w:val="nil"/>
              <w:bottom w:val="nil"/>
              <w:right w:val="nil"/>
            </w:tcBorders>
            <w:shd w:val="clear" w:color="auto" w:fill="auto"/>
            <w:noWrap/>
            <w:vAlign w:val="center"/>
            <w:hideMark/>
          </w:tcPr>
          <w:p w14:paraId="4079FE36" w14:textId="77777777" w:rsidR="007129DB" w:rsidRPr="00626042" w:rsidRDefault="007129DB" w:rsidP="00E607DA">
            <w:pPr>
              <w:rPr>
                <w:rFonts w:ascii="Meta Pro" w:eastAsia="Times New Roman" w:hAnsi="Meta Pro"/>
                <w:color w:val="000000"/>
                <w:szCs w:val="18"/>
                <w:lang w:eastAsia="en-AU"/>
              </w:rPr>
            </w:pPr>
            <w:r w:rsidRPr="00626042">
              <w:rPr>
                <w:rFonts w:ascii="Meta Pro" w:eastAsia="Times New Roman" w:hAnsi="Meta Pro"/>
                <w:color w:val="000000"/>
                <w:szCs w:val="18"/>
                <w:lang w:eastAsia="en-AU"/>
              </w:rPr>
              <w:t>Sales of property, plant and equipment</w:t>
            </w:r>
          </w:p>
        </w:tc>
        <w:tc>
          <w:tcPr>
            <w:tcW w:w="1021" w:type="dxa"/>
            <w:tcBorders>
              <w:top w:val="nil"/>
              <w:left w:val="nil"/>
              <w:bottom w:val="nil"/>
              <w:right w:val="nil"/>
            </w:tcBorders>
            <w:shd w:val="clear" w:color="auto" w:fill="auto"/>
            <w:noWrap/>
            <w:vAlign w:val="center"/>
            <w:hideMark/>
          </w:tcPr>
          <w:p w14:paraId="231A3ECD" w14:textId="77777777" w:rsidR="007129DB" w:rsidRPr="00626042" w:rsidRDefault="007129DB" w:rsidP="00E607DA">
            <w:pPr>
              <w:rPr>
                <w:rFonts w:ascii="Meta Pro" w:eastAsia="Times New Roman" w:hAnsi="Meta Pro"/>
                <w:color w:val="000000"/>
                <w:szCs w:val="18"/>
                <w:lang w:eastAsia="en-AU"/>
              </w:rPr>
            </w:pPr>
          </w:p>
        </w:tc>
        <w:tc>
          <w:tcPr>
            <w:tcW w:w="215" w:type="dxa"/>
            <w:tcBorders>
              <w:top w:val="nil"/>
              <w:left w:val="nil"/>
              <w:bottom w:val="nil"/>
              <w:right w:val="nil"/>
            </w:tcBorders>
            <w:shd w:val="clear" w:color="auto" w:fill="auto"/>
            <w:noWrap/>
            <w:vAlign w:val="center"/>
            <w:hideMark/>
          </w:tcPr>
          <w:p w14:paraId="40E80881" w14:textId="77777777" w:rsidR="007129DB" w:rsidRPr="00626042" w:rsidRDefault="007129DB"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209B0206"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18,878 </w:t>
            </w:r>
          </w:p>
        </w:tc>
        <w:tc>
          <w:tcPr>
            <w:tcW w:w="216" w:type="dxa"/>
            <w:tcBorders>
              <w:top w:val="nil"/>
              <w:left w:val="nil"/>
              <w:bottom w:val="nil"/>
              <w:right w:val="nil"/>
            </w:tcBorders>
            <w:shd w:val="clear" w:color="auto" w:fill="auto"/>
            <w:noWrap/>
            <w:vAlign w:val="center"/>
            <w:hideMark/>
          </w:tcPr>
          <w:p w14:paraId="75A96CC1" w14:textId="77777777" w:rsidR="007129DB" w:rsidRPr="00626042" w:rsidRDefault="007129DB"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7FBE1A60"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                      3,430 </w:t>
            </w:r>
          </w:p>
        </w:tc>
      </w:tr>
      <w:tr w:rsidR="007129DB" w:rsidRPr="00626042" w14:paraId="537DF5E4" w14:textId="77777777" w:rsidTr="00E607DA">
        <w:trPr>
          <w:trHeight w:val="23"/>
        </w:trPr>
        <w:tc>
          <w:tcPr>
            <w:tcW w:w="215" w:type="dxa"/>
            <w:tcBorders>
              <w:top w:val="nil"/>
              <w:left w:val="nil"/>
              <w:bottom w:val="nil"/>
              <w:right w:val="nil"/>
            </w:tcBorders>
            <w:shd w:val="clear" w:color="auto" w:fill="auto"/>
            <w:noWrap/>
            <w:vAlign w:val="center"/>
            <w:hideMark/>
          </w:tcPr>
          <w:p w14:paraId="102EF1C2" w14:textId="77777777" w:rsidR="007129DB" w:rsidRPr="00626042" w:rsidRDefault="007129DB" w:rsidP="00E607DA">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73FD513A" w14:textId="77777777" w:rsidR="007129DB" w:rsidRPr="00626042" w:rsidRDefault="007129DB" w:rsidP="00E607DA">
            <w:pPr>
              <w:rPr>
                <w:rFonts w:ascii="Meta Pro" w:eastAsia="Times New Roman" w:hAnsi="Meta Pro"/>
                <w:i/>
                <w:iCs/>
                <w:color w:val="000000"/>
                <w:szCs w:val="18"/>
                <w:lang w:eastAsia="en-AU"/>
              </w:rPr>
            </w:pPr>
            <w:r w:rsidRPr="00626042">
              <w:rPr>
                <w:rFonts w:ascii="Meta Pro" w:eastAsia="Times New Roman" w:hAnsi="Meta Pro"/>
                <w:i/>
                <w:iCs/>
                <w:color w:val="000000"/>
                <w:szCs w:val="18"/>
                <w:lang w:eastAsia="en-AU"/>
              </w:rPr>
              <w:t>Outflows:</w:t>
            </w:r>
          </w:p>
        </w:tc>
        <w:tc>
          <w:tcPr>
            <w:tcW w:w="1021" w:type="dxa"/>
            <w:tcBorders>
              <w:top w:val="nil"/>
              <w:left w:val="nil"/>
              <w:bottom w:val="nil"/>
              <w:right w:val="nil"/>
            </w:tcBorders>
            <w:shd w:val="clear" w:color="auto" w:fill="auto"/>
            <w:noWrap/>
            <w:vAlign w:val="center"/>
            <w:hideMark/>
          </w:tcPr>
          <w:p w14:paraId="58220F49" w14:textId="77777777" w:rsidR="007129DB" w:rsidRPr="00626042" w:rsidRDefault="007129DB" w:rsidP="00E607DA">
            <w:pPr>
              <w:rPr>
                <w:rFonts w:ascii="Meta Pro" w:eastAsia="Times New Roman" w:hAnsi="Meta Pro"/>
                <w:i/>
                <w:iCs/>
                <w:color w:val="000000"/>
                <w:szCs w:val="18"/>
                <w:lang w:eastAsia="en-AU"/>
              </w:rPr>
            </w:pPr>
          </w:p>
        </w:tc>
        <w:tc>
          <w:tcPr>
            <w:tcW w:w="215" w:type="dxa"/>
            <w:tcBorders>
              <w:top w:val="nil"/>
              <w:left w:val="nil"/>
              <w:bottom w:val="nil"/>
              <w:right w:val="nil"/>
            </w:tcBorders>
            <w:shd w:val="clear" w:color="auto" w:fill="auto"/>
            <w:noWrap/>
            <w:vAlign w:val="center"/>
            <w:hideMark/>
          </w:tcPr>
          <w:p w14:paraId="2DB14F0B" w14:textId="77777777" w:rsidR="007129DB" w:rsidRPr="00626042" w:rsidRDefault="007129DB"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06322594"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4CD8444E" w14:textId="77777777" w:rsidR="007129DB" w:rsidRPr="00626042" w:rsidRDefault="007129DB"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1FC13E41" w14:textId="77777777" w:rsidR="007129DB" w:rsidRPr="00626042" w:rsidRDefault="007129DB" w:rsidP="00E607DA">
            <w:pPr>
              <w:jc w:val="right"/>
              <w:rPr>
                <w:rFonts w:ascii="Meta Pro" w:eastAsia="Times New Roman" w:hAnsi="Meta Pro" w:cs="Times New Roman"/>
                <w:sz w:val="20"/>
                <w:szCs w:val="20"/>
                <w:lang w:eastAsia="en-AU"/>
              </w:rPr>
            </w:pPr>
          </w:p>
        </w:tc>
      </w:tr>
      <w:tr w:rsidR="007129DB" w:rsidRPr="00626042" w14:paraId="62F214FE" w14:textId="77777777" w:rsidTr="00E607DA">
        <w:trPr>
          <w:trHeight w:val="23"/>
        </w:trPr>
        <w:tc>
          <w:tcPr>
            <w:tcW w:w="215" w:type="dxa"/>
            <w:tcBorders>
              <w:top w:val="nil"/>
              <w:left w:val="nil"/>
              <w:bottom w:val="nil"/>
              <w:right w:val="nil"/>
            </w:tcBorders>
            <w:shd w:val="clear" w:color="auto" w:fill="auto"/>
            <w:noWrap/>
            <w:vAlign w:val="center"/>
            <w:hideMark/>
          </w:tcPr>
          <w:p w14:paraId="224F0119" w14:textId="77777777" w:rsidR="007129DB" w:rsidRPr="00626042" w:rsidRDefault="007129DB" w:rsidP="00E607DA">
            <w:pPr>
              <w:jc w:val="right"/>
              <w:rPr>
                <w:rFonts w:ascii="Meta Pro" w:eastAsia="Times New Roman" w:hAnsi="Meta Pro" w:cs="Times New Roman"/>
                <w:sz w:val="20"/>
                <w:szCs w:val="20"/>
                <w:lang w:eastAsia="en-AU"/>
              </w:rPr>
            </w:pPr>
          </w:p>
        </w:tc>
        <w:tc>
          <w:tcPr>
            <w:tcW w:w="4990" w:type="dxa"/>
            <w:tcBorders>
              <w:top w:val="nil"/>
              <w:left w:val="nil"/>
              <w:bottom w:val="nil"/>
              <w:right w:val="nil"/>
            </w:tcBorders>
            <w:shd w:val="clear" w:color="auto" w:fill="auto"/>
            <w:noWrap/>
            <w:vAlign w:val="center"/>
            <w:hideMark/>
          </w:tcPr>
          <w:p w14:paraId="4BE9EAAE" w14:textId="77777777" w:rsidR="007129DB" w:rsidRPr="00626042" w:rsidRDefault="007129DB" w:rsidP="00E607DA">
            <w:pPr>
              <w:rPr>
                <w:rFonts w:ascii="Meta Pro" w:eastAsia="Times New Roman" w:hAnsi="Meta Pro"/>
                <w:color w:val="000000"/>
                <w:szCs w:val="18"/>
                <w:lang w:eastAsia="en-AU"/>
              </w:rPr>
            </w:pPr>
            <w:r w:rsidRPr="00626042">
              <w:rPr>
                <w:rFonts w:ascii="Meta Pro" w:eastAsia="Times New Roman" w:hAnsi="Meta Pro"/>
                <w:color w:val="000000"/>
                <w:szCs w:val="18"/>
                <w:lang w:eastAsia="en-AU"/>
              </w:rPr>
              <w:t>Payments for property, plant and equipment</w:t>
            </w:r>
          </w:p>
        </w:tc>
        <w:tc>
          <w:tcPr>
            <w:tcW w:w="1021" w:type="dxa"/>
            <w:tcBorders>
              <w:top w:val="nil"/>
              <w:left w:val="nil"/>
              <w:bottom w:val="nil"/>
              <w:right w:val="nil"/>
            </w:tcBorders>
            <w:shd w:val="clear" w:color="auto" w:fill="auto"/>
            <w:noWrap/>
            <w:vAlign w:val="center"/>
            <w:hideMark/>
          </w:tcPr>
          <w:p w14:paraId="67DD03CE" w14:textId="77777777" w:rsidR="007129DB" w:rsidRPr="00626042" w:rsidRDefault="007129DB" w:rsidP="00E607DA">
            <w:pPr>
              <w:rPr>
                <w:rFonts w:ascii="Meta Pro" w:eastAsia="Times New Roman" w:hAnsi="Meta Pro"/>
                <w:color w:val="000000"/>
                <w:szCs w:val="18"/>
                <w:lang w:eastAsia="en-AU"/>
              </w:rPr>
            </w:pPr>
          </w:p>
        </w:tc>
        <w:tc>
          <w:tcPr>
            <w:tcW w:w="215" w:type="dxa"/>
            <w:tcBorders>
              <w:top w:val="nil"/>
              <w:left w:val="nil"/>
              <w:bottom w:val="nil"/>
              <w:right w:val="nil"/>
            </w:tcBorders>
            <w:shd w:val="clear" w:color="auto" w:fill="auto"/>
            <w:noWrap/>
            <w:vAlign w:val="center"/>
            <w:hideMark/>
          </w:tcPr>
          <w:p w14:paraId="24E7D393" w14:textId="77777777" w:rsidR="007129DB" w:rsidRPr="00626042" w:rsidRDefault="007129DB"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6CAC6ACB"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(4,077,969)</w:t>
            </w:r>
          </w:p>
        </w:tc>
        <w:tc>
          <w:tcPr>
            <w:tcW w:w="216" w:type="dxa"/>
            <w:tcBorders>
              <w:top w:val="nil"/>
              <w:left w:val="nil"/>
              <w:bottom w:val="nil"/>
              <w:right w:val="nil"/>
            </w:tcBorders>
            <w:shd w:val="clear" w:color="auto" w:fill="auto"/>
            <w:noWrap/>
            <w:vAlign w:val="center"/>
            <w:hideMark/>
          </w:tcPr>
          <w:p w14:paraId="2D89D706" w14:textId="77777777" w:rsidR="007129DB" w:rsidRPr="00626042" w:rsidRDefault="007129DB"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1C0ABC9A"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            (3,260,501)</w:t>
            </w:r>
          </w:p>
        </w:tc>
      </w:tr>
      <w:tr w:rsidR="007129DB" w:rsidRPr="00626042" w14:paraId="4DA37AEA" w14:textId="77777777" w:rsidTr="00E607DA">
        <w:trPr>
          <w:trHeight w:val="23"/>
        </w:trPr>
        <w:tc>
          <w:tcPr>
            <w:tcW w:w="215" w:type="dxa"/>
            <w:tcBorders>
              <w:top w:val="nil"/>
              <w:left w:val="nil"/>
              <w:bottom w:val="single" w:sz="4" w:space="0" w:color="auto"/>
              <w:right w:val="nil"/>
            </w:tcBorders>
            <w:shd w:val="clear" w:color="auto" w:fill="auto"/>
            <w:noWrap/>
            <w:vAlign w:val="center"/>
            <w:hideMark/>
          </w:tcPr>
          <w:p w14:paraId="7C1C4530" w14:textId="77777777" w:rsidR="007129DB" w:rsidRPr="00626042" w:rsidRDefault="007129DB" w:rsidP="00E607DA">
            <w:pPr>
              <w:rPr>
                <w:rFonts w:ascii="Meta Pro" w:eastAsia="Times New Roman" w:hAnsi="Meta Pro"/>
                <w:color w:val="000000"/>
                <w:szCs w:val="18"/>
                <w:lang w:eastAsia="en-AU"/>
              </w:rPr>
            </w:pPr>
            <w:r w:rsidRPr="00626042">
              <w:rPr>
                <w:rFonts w:ascii="Meta Pro" w:eastAsia="Times New Roman" w:hAnsi="Meta Pro"/>
                <w:color w:val="000000"/>
                <w:szCs w:val="18"/>
                <w:lang w:eastAsia="en-AU"/>
              </w:rPr>
              <w:t> </w:t>
            </w:r>
          </w:p>
        </w:tc>
        <w:tc>
          <w:tcPr>
            <w:tcW w:w="4990" w:type="dxa"/>
            <w:tcBorders>
              <w:top w:val="nil"/>
              <w:left w:val="nil"/>
              <w:bottom w:val="single" w:sz="4" w:space="0" w:color="auto"/>
              <w:right w:val="nil"/>
            </w:tcBorders>
            <w:shd w:val="clear" w:color="auto" w:fill="auto"/>
            <w:noWrap/>
            <w:vAlign w:val="center"/>
            <w:hideMark/>
          </w:tcPr>
          <w:p w14:paraId="6397385F" w14:textId="77777777" w:rsidR="007129DB" w:rsidRPr="00626042" w:rsidRDefault="007129DB" w:rsidP="00E607DA">
            <w:pPr>
              <w:rPr>
                <w:rFonts w:ascii="Meta Pro" w:eastAsia="Times New Roman" w:hAnsi="Meta Pro"/>
                <w:color w:val="000000"/>
                <w:szCs w:val="18"/>
                <w:lang w:eastAsia="en-AU"/>
              </w:rPr>
            </w:pPr>
            <w:r w:rsidRPr="00626042">
              <w:rPr>
                <w:rFonts w:ascii="Meta Pro" w:eastAsia="Times New Roman" w:hAnsi="Meta Pro"/>
                <w:color w:val="000000"/>
                <w:szCs w:val="18"/>
                <w:lang w:eastAsia="en-AU"/>
              </w:rPr>
              <w:t>Payments for intangibles</w:t>
            </w:r>
          </w:p>
        </w:tc>
        <w:tc>
          <w:tcPr>
            <w:tcW w:w="1021" w:type="dxa"/>
            <w:tcBorders>
              <w:top w:val="nil"/>
              <w:left w:val="nil"/>
              <w:bottom w:val="single" w:sz="4" w:space="0" w:color="auto"/>
              <w:right w:val="nil"/>
            </w:tcBorders>
            <w:shd w:val="clear" w:color="auto" w:fill="auto"/>
            <w:noWrap/>
            <w:vAlign w:val="center"/>
            <w:hideMark/>
          </w:tcPr>
          <w:p w14:paraId="3B5A911E" w14:textId="77777777" w:rsidR="007129DB" w:rsidRPr="00626042" w:rsidRDefault="007129DB" w:rsidP="00E607DA">
            <w:pPr>
              <w:jc w:val="center"/>
              <w:rPr>
                <w:rFonts w:ascii="Meta Pro" w:eastAsia="Times New Roman" w:hAnsi="Meta Pro"/>
                <w:color w:val="000000"/>
                <w:sz w:val="20"/>
                <w:szCs w:val="20"/>
                <w:lang w:eastAsia="en-AU"/>
              </w:rPr>
            </w:pPr>
            <w:r w:rsidRPr="00626042">
              <w:rPr>
                <w:rFonts w:ascii="Meta Pro" w:eastAsia="Times New Roman" w:hAnsi="Meta Pro"/>
                <w:color w:val="000000"/>
                <w:sz w:val="20"/>
                <w:szCs w:val="20"/>
                <w:lang w:eastAsia="en-AU"/>
              </w:rPr>
              <w:t> </w:t>
            </w:r>
          </w:p>
        </w:tc>
        <w:tc>
          <w:tcPr>
            <w:tcW w:w="215" w:type="dxa"/>
            <w:tcBorders>
              <w:top w:val="nil"/>
              <w:left w:val="nil"/>
              <w:bottom w:val="single" w:sz="4" w:space="0" w:color="auto"/>
              <w:right w:val="nil"/>
            </w:tcBorders>
            <w:shd w:val="clear" w:color="auto" w:fill="auto"/>
            <w:noWrap/>
            <w:vAlign w:val="center"/>
            <w:hideMark/>
          </w:tcPr>
          <w:p w14:paraId="1C7E085D" w14:textId="77777777" w:rsidR="007129DB" w:rsidRPr="00626042" w:rsidRDefault="007129DB" w:rsidP="00E607DA">
            <w:pPr>
              <w:rPr>
                <w:rFonts w:ascii="Meta Pro" w:eastAsia="Times New Roman" w:hAnsi="Meta Pro"/>
                <w:color w:val="000000"/>
                <w:szCs w:val="18"/>
                <w:lang w:eastAsia="en-AU"/>
              </w:rPr>
            </w:pPr>
            <w:r w:rsidRPr="00626042">
              <w:rPr>
                <w:rFonts w:ascii="Meta Pro" w:eastAsia="Times New Roman" w:hAnsi="Meta Pro"/>
                <w:color w:val="000000"/>
                <w:szCs w:val="18"/>
                <w:lang w:eastAsia="en-AU"/>
              </w:rPr>
              <w:t> </w:t>
            </w:r>
          </w:p>
        </w:tc>
        <w:tc>
          <w:tcPr>
            <w:tcW w:w="1514" w:type="dxa"/>
            <w:tcBorders>
              <w:top w:val="nil"/>
              <w:left w:val="nil"/>
              <w:bottom w:val="single" w:sz="4" w:space="0" w:color="auto"/>
              <w:right w:val="nil"/>
            </w:tcBorders>
            <w:shd w:val="clear" w:color="000000" w:fill="C9E3B4"/>
            <w:noWrap/>
            <w:vAlign w:val="center"/>
            <w:hideMark/>
          </w:tcPr>
          <w:p w14:paraId="2A1390CF"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(17,912)</w:t>
            </w:r>
          </w:p>
        </w:tc>
        <w:tc>
          <w:tcPr>
            <w:tcW w:w="216" w:type="dxa"/>
            <w:tcBorders>
              <w:top w:val="nil"/>
              <w:left w:val="nil"/>
              <w:bottom w:val="single" w:sz="4" w:space="0" w:color="auto"/>
              <w:right w:val="nil"/>
            </w:tcBorders>
            <w:shd w:val="clear" w:color="auto" w:fill="auto"/>
            <w:noWrap/>
            <w:vAlign w:val="center"/>
            <w:hideMark/>
          </w:tcPr>
          <w:p w14:paraId="4BA71171"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w:t>
            </w:r>
          </w:p>
        </w:tc>
        <w:tc>
          <w:tcPr>
            <w:tcW w:w="1514" w:type="dxa"/>
            <w:tcBorders>
              <w:top w:val="nil"/>
              <w:left w:val="nil"/>
              <w:bottom w:val="single" w:sz="4" w:space="0" w:color="auto"/>
              <w:right w:val="nil"/>
            </w:tcBorders>
            <w:shd w:val="clear" w:color="auto" w:fill="auto"/>
            <w:noWrap/>
            <w:vAlign w:val="center"/>
            <w:hideMark/>
          </w:tcPr>
          <w:p w14:paraId="6354F763"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                  (21,963)</w:t>
            </w:r>
          </w:p>
        </w:tc>
      </w:tr>
      <w:tr w:rsidR="007129DB" w:rsidRPr="00626042" w14:paraId="720490B3" w14:textId="77777777" w:rsidTr="00E607DA">
        <w:trPr>
          <w:trHeight w:val="23"/>
        </w:trPr>
        <w:tc>
          <w:tcPr>
            <w:tcW w:w="4990" w:type="dxa"/>
            <w:gridSpan w:val="2"/>
            <w:tcBorders>
              <w:top w:val="single" w:sz="4" w:space="0" w:color="auto"/>
              <w:left w:val="nil"/>
              <w:bottom w:val="nil"/>
              <w:right w:val="nil"/>
            </w:tcBorders>
            <w:shd w:val="clear" w:color="auto" w:fill="auto"/>
            <w:noWrap/>
            <w:vAlign w:val="center"/>
            <w:hideMark/>
          </w:tcPr>
          <w:p w14:paraId="13AF36B5" w14:textId="77777777" w:rsidR="007129DB" w:rsidRPr="00626042" w:rsidRDefault="007129DB" w:rsidP="00E607DA">
            <w:pPr>
              <w:rPr>
                <w:rFonts w:ascii="Meta Pro" w:eastAsia="Times New Roman" w:hAnsi="Meta Pro"/>
                <w:b/>
                <w:bCs/>
                <w:color w:val="000000"/>
                <w:szCs w:val="18"/>
                <w:lang w:eastAsia="en-AU"/>
              </w:rPr>
            </w:pPr>
            <w:r w:rsidRPr="00626042">
              <w:rPr>
                <w:rFonts w:ascii="Meta Pro" w:eastAsia="Times New Roman" w:hAnsi="Meta Pro"/>
                <w:b/>
                <w:bCs/>
                <w:color w:val="000000"/>
                <w:szCs w:val="18"/>
                <w:lang w:eastAsia="en-AU"/>
              </w:rPr>
              <w:t>Net cash used in investing activities</w:t>
            </w:r>
          </w:p>
        </w:tc>
        <w:tc>
          <w:tcPr>
            <w:tcW w:w="1021" w:type="dxa"/>
            <w:tcBorders>
              <w:top w:val="nil"/>
              <w:left w:val="nil"/>
              <w:bottom w:val="nil"/>
              <w:right w:val="nil"/>
            </w:tcBorders>
            <w:shd w:val="clear" w:color="auto" w:fill="auto"/>
            <w:noWrap/>
            <w:vAlign w:val="center"/>
            <w:hideMark/>
          </w:tcPr>
          <w:p w14:paraId="43D26D1C" w14:textId="77777777" w:rsidR="007129DB" w:rsidRPr="00626042" w:rsidRDefault="007129DB" w:rsidP="00E607DA">
            <w:pPr>
              <w:rPr>
                <w:rFonts w:ascii="Meta Pro" w:eastAsia="Times New Roman" w:hAnsi="Meta Pro"/>
                <w:b/>
                <w:bCs/>
                <w:color w:val="000000"/>
                <w:szCs w:val="18"/>
                <w:lang w:eastAsia="en-AU"/>
              </w:rPr>
            </w:pPr>
          </w:p>
        </w:tc>
        <w:tc>
          <w:tcPr>
            <w:tcW w:w="215" w:type="dxa"/>
            <w:tcBorders>
              <w:top w:val="single" w:sz="4" w:space="0" w:color="auto"/>
              <w:left w:val="nil"/>
              <w:bottom w:val="nil"/>
              <w:right w:val="nil"/>
            </w:tcBorders>
            <w:shd w:val="clear" w:color="auto" w:fill="auto"/>
            <w:noWrap/>
            <w:vAlign w:val="center"/>
            <w:hideMark/>
          </w:tcPr>
          <w:p w14:paraId="7AB09D37" w14:textId="77777777" w:rsidR="007129DB" w:rsidRPr="00626042" w:rsidRDefault="007129DB" w:rsidP="00E607DA">
            <w:pPr>
              <w:rPr>
                <w:rFonts w:ascii="Meta Pro" w:eastAsia="Times New Roman" w:hAnsi="Meta Pro"/>
                <w:b/>
                <w:bCs/>
                <w:color w:val="FF0000"/>
                <w:szCs w:val="18"/>
                <w:lang w:eastAsia="en-AU"/>
              </w:rPr>
            </w:pPr>
            <w:r w:rsidRPr="00626042">
              <w:rPr>
                <w:rFonts w:ascii="Meta Pro" w:eastAsia="Times New Roman" w:hAnsi="Meta Pro"/>
                <w:b/>
                <w:bCs/>
                <w:color w:val="FF0000"/>
                <w:szCs w:val="18"/>
                <w:lang w:eastAsia="en-AU"/>
              </w:rPr>
              <w:t> </w:t>
            </w:r>
          </w:p>
        </w:tc>
        <w:tc>
          <w:tcPr>
            <w:tcW w:w="1514" w:type="dxa"/>
            <w:tcBorders>
              <w:top w:val="single" w:sz="4" w:space="0" w:color="auto"/>
              <w:left w:val="nil"/>
              <w:bottom w:val="nil"/>
              <w:right w:val="nil"/>
            </w:tcBorders>
            <w:shd w:val="clear" w:color="000000" w:fill="C9E3B4"/>
            <w:noWrap/>
            <w:vAlign w:val="center"/>
            <w:hideMark/>
          </w:tcPr>
          <w:p w14:paraId="648C4336" w14:textId="77777777" w:rsidR="007129DB" w:rsidRPr="00626042" w:rsidRDefault="007129DB" w:rsidP="00E607DA">
            <w:pPr>
              <w:jc w:val="right"/>
              <w:rPr>
                <w:rFonts w:ascii="Meta Pro" w:eastAsia="Times New Roman" w:hAnsi="Meta Pro"/>
                <w:b/>
                <w:bCs/>
                <w:color w:val="000000"/>
                <w:szCs w:val="18"/>
                <w:lang w:eastAsia="en-AU"/>
              </w:rPr>
            </w:pPr>
            <w:r w:rsidRPr="00626042">
              <w:rPr>
                <w:rFonts w:ascii="Meta Pro" w:eastAsia="Times New Roman" w:hAnsi="Meta Pro"/>
                <w:b/>
                <w:bCs/>
                <w:color w:val="000000"/>
                <w:szCs w:val="18"/>
                <w:lang w:eastAsia="en-AU"/>
              </w:rPr>
              <w:t>(4,077,003)</w:t>
            </w:r>
          </w:p>
        </w:tc>
        <w:tc>
          <w:tcPr>
            <w:tcW w:w="216" w:type="dxa"/>
            <w:tcBorders>
              <w:top w:val="single" w:sz="4" w:space="0" w:color="auto"/>
              <w:left w:val="nil"/>
              <w:bottom w:val="nil"/>
              <w:right w:val="nil"/>
            </w:tcBorders>
            <w:shd w:val="clear" w:color="auto" w:fill="auto"/>
            <w:noWrap/>
            <w:vAlign w:val="center"/>
            <w:hideMark/>
          </w:tcPr>
          <w:p w14:paraId="73FB4EBF" w14:textId="77777777" w:rsidR="007129DB" w:rsidRPr="00626042" w:rsidRDefault="007129DB" w:rsidP="00E607DA">
            <w:pPr>
              <w:jc w:val="right"/>
              <w:rPr>
                <w:rFonts w:ascii="Meta Pro" w:eastAsia="Times New Roman" w:hAnsi="Meta Pro"/>
                <w:b/>
                <w:bCs/>
                <w:color w:val="000000"/>
                <w:szCs w:val="18"/>
                <w:lang w:eastAsia="en-AU"/>
              </w:rPr>
            </w:pPr>
            <w:r w:rsidRPr="00626042">
              <w:rPr>
                <w:rFonts w:ascii="Meta Pro" w:eastAsia="Times New Roman" w:hAnsi="Meta Pro"/>
                <w:b/>
                <w:bCs/>
                <w:color w:val="000000"/>
                <w:szCs w:val="18"/>
                <w:lang w:eastAsia="en-AU"/>
              </w:rPr>
              <w:t> </w:t>
            </w:r>
          </w:p>
        </w:tc>
        <w:tc>
          <w:tcPr>
            <w:tcW w:w="1514" w:type="dxa"/>
            <w:tcBorders>
              <w:top w:val="single" w:sz="4" w:space="0" w:color="auto"/>
              <w:left w:val="nil"/>
              <w:bottom w:val="nil"/>
              <w:right w:val="nil"/>
            </w:tcBorders>
            <w:shd w:val="clear" w:color="auto" w:fill="auto"/>
            <w:noWrap/>
            <w:vAlign w:val="center"/>
            <w:hideMark/>
          </w:tcPr>
          <w:p w14:paraId="0B08F751" w14:textId="77777777" w:rsidR="007129DB" w:rsidRPr="00626042" w:rsidRDefault="007129DB" w:rsidP="00E607DA">
            <w:pPr>
              <w:jc w:val="right"/>
              <w:rPr>
                <w:rFonts w:ascii="Meta Pro" w:eastAsia="Times New Roman" w:hAnsi="Meta Pro"/>
                <w:b/>
                <w:bCs/>
                <w:color w:val="000000"/>
                <w:szCs w:val="18"/>
                <w:lang w:eastAsia="en-AU"/>
              </w:rPr>
            </w:pPr>
            <w:r w:rsidRPr="00626042">
              <w:rPr>
                <w:rFonts w:ascii="Meta Pro" w:eastAsia="Times New Roman" w:hAnsi="Meta Pro"/>
                <w:b/>
                <w:bCs/>
                <w:color w:val="000000"/>
                <w:szCs w:val="18"/>
                <w:lang w:eastAsia="en-AU"/>
              </w:rPr>
              <w:t xml:space="preserve">           (3,279,034)</w:t>
            </w:r>
          </w:p>
        </w:tc>
      </w:tr>
      <w:tr w:rsidR="007129DB" w:rsidRPr="00626042" w14:paraId="5F208EAD" w14:textId="77777777" w:rsidTr="00E607DA">
        <w:trPr>
          <w:trHeight w:val="23"/>
        </w:trPr>
        <w:tc>
          <w:tcPr>
            <w:tcW w:w="215" w:type="dxa"/>
            <w:tcBorders>
              <w:top w:val="nil"/>
              <w:left w:val="nil"/>
              <w:bottom w:val="nil"/>
              <w:right w:val="nil"/>
            </w:tcBorders>
            <w:shd w:val="clear" w:color="auto" w:fill="auto"/>
            <w:noWrap/>
            <w:vAlign w:val="center"/>
            <w:hideMark/>
          </w:tcPr>
          <w:p w14:paraId="34301EA9" w14:textId="77777777" w:rsidR="007129DB" w:rsidRPr="00626042" w:rsidRDefault="007129DB" w:rsidP="00E607DA">
            <w:pPr>
              <w:jc w:val="right"/>
              <w:rPr>
                <w:rFonts w:ascii="Meta Pro" w:eastAsia="Times New Roman" w:hAnsi="Meta Pro"/>
                <w:b/>
                <w:bCs/>
                <w:color w:val="000000"/>
                <w:szCs w:val="18"/>
                <w:lang w:eastAsia="en-AU"/>
              </w:rPr>
            </w:pPr>
          </w:p>
        </w:tc>
        <w:tc>
          <w:tcPr>
            <w:tcW w:w="4990" w:type="dxa"/>
            <w:tcBorders>
              <w:top w:val="nil"/>
              <w:left w:val="nil"/>
              <w:bottom w:val="nil"/>
              <w:right w:val="nil"/>
            </w:tcBorders>
            <w:shd w:val="clear" w:color="auto" w:fill="auto"/>
            <w:noWrap/>
            <w:vAlign w:val="center"/>
            <w:hideMark/>
          </w:tcPr>
          <w:p w14:paraId="35150825" w14:textId="77777777" w:rsidR="007129DB" w:rsidRPr="00626042" w:rsidRDefault="007129DB" w:rsidP="00E607DA">
            <w:pPr>
              <w:rPr>
                <w:rFonts w:ascii="Meta Pro" w:eastAsia="Times New Roman" w:hAnsi="Meta Pro" w:cs="Times New Roman"/>
                <w:sz w:val="20"/>
                <w:szCs w:val="20"/>
                <w:lang w:eastAsia="en-AU"/>
              </w:rPr>
            </w:pPr>
          </w:p>
        </w:tc>
        <w:tc>
          <w:tcPr>
            <w:tcW w:w="1021" w:type="dxa"/>
            <w:tcBorders>
              <w:top w:val="nil"/>
              <w:left w:val="nil"/>
              <w:bottom w:val="nil"/>
              <w:right w:val="nil"/>
            </w:tcBorders>
            <w:shd w:val="clear" w:color="auto" w:fill="auto"/>
            <w:noWrap/>
            <w:vAlign w:val="center"/>
            <w:hideMark/>
          </w:tcPr>
          <w:p w14:paraId="02E6499D" w14:textId="77777777" w:rsidR="007129DB" w:rsidRPr="00626042" w:rsidRDefault="007129DB" w:rsidP="00E607DA">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57A2BB2A" w14:textId="77777777" w:rsidR="007129DB" w:rsidRPr="00626042" w:rsidRDefault="007129DB"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18F31DC5"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41C9BB13" w14:textId="77777777" w:rsidR="007129DB" w:rsidRPr="00626042" w:rsidRDefault="007129DB"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731A9DB1" w14:textId="77777777" w:rsidR="007129DB" w:rsidRPr="00626042" w:rsidRDefault="007129DB" w:rsidP="00E607DA">
            <w:pPr>
              <w:jc w:val="right"/>
              <w:rPr>
                <w:rFonts w:ascii="Meta Pro" w:eastAsia="Times New Roman" w:hAnsi="Meta Pro" w:cs="Times New Roman"/>
                <w:sz w:val="20"/>
                <w:szCs w:val="20"/>
                <w:lang w:eastAsia="en-AU"/>
              </w:rPr>
            </w:pPr>
          </w:p>
        </w:tc>
      </w:tr>
      <w:tr w:rsidR="007129DB" w:rsidRPr="00626042" w14:paraId="70FA0292" w14:textId="77777777" w:rsidTr="00E607DA">
        <w:trPr>
          <w:trHeight w:val="23"/>
        </w:trPr>
        <w:tc>
          <w:tcPr>
            <w:tcW w:w="4990" w:type="dxa"/>
            <w:gridSpan w:val="2"/>
            <w:tcBorders>
              <w:top w:val="nil"/>
              <w:left w:val="nil"/>
              <w:bottom w:val="nil"/>
              <w:right w:val="nil"/>
            </w:tcBorders>
            <w:shd w:val="clear" w:color="auto" w:fill="auto"/>
            <w:noWrap/>
            <w:vAlign w:val="center"/>
            <w:hideMark/>
          </w:tcPr>
          <w:p w14:paraId="7F0E7AF4" w14:textId="77777777" w:rsidR="007129DB" w:rsidRPr="00626042" w:rsidRDefault="007129DB" w:rsidP="00E607DA">
            <w:pPr>
              <w:rPr>
                <w:rFonts w:ascii="Meta Pro" w:eastAsia="Times New Roman" w:hAnsi="Meta Pro"/>
                <w:b/>
                <w:bCs/>
                <w:color w:val="000000"/>
                <w:szCs w:val="18"/>
                <w:lang w:eastAsia="en-AU"/>
              </w:rPr>
            </w:pPr>
            <w:r w:rsidRPr="00626042">
              <w:rPr>
                <w:rFonts w:ascii="Meta Pro" w:eastAsia="Times New Roman" w:hAnsi="Meta Pro"/>
                <w:b/>
                <w:bCs/>
                <w:color w:val="000000"/>
                <w:szCs w:val="18"/>
                <w:lang w:eastAsia="en-AU"/>
              </w:rPr>
              <w:t>Cash flows from financing activities</w:t>
            </w:r>
          </w:p>
        </w:tc>
        <w:tc>
          <w:tcPr>
            <w:tcW w:w="1021" w:type="dxa"/>
            <w:tcBorders>
              <w:top w:val="nil"/>
              <w:left w:val="nil"/>
              <w:bottom w:val="nil"/>
              <w:right w:val="nil"/>
            </w:tcBorders>
            <w:shd w:val="clear" w:color="auto" w:fill="auto"/>
            <w:noWrap/>
            <w:vAlign w:val="center"/>
            <w:hideMark/>
          </w:tcPr>
          <w:p w14:paraId="698FE95C" w14:textId="77777777" w:rsidR="007129DB" w:rsidRPr="00626042" w:rsidRDefault="007129DB" w:rsidP="00E607DA">
            <w:pPr>
              <w:rPr>
                <w:rFonts w:ascii="Meta Pro" w:eastAsia="Times New Roman" w:hAnsi="Meta Pro"/>
                <w:b/>
                <w:bCs/>
                <w:color w:val="000000"/>
                <w:szCs w:val="18"/>
                <w:lang w:eastAsia="en-AU"/>
              </w:rPr>
            </w:pPr>
          </w:p>
        </w:tc>
        <w:tc>
          <w:tcPr>
            <w:tcW w:w="215" w:type="dxa"/>
            <w:tcBorders>
              <w:top w:val="nil"/>
              <w:left w:val="nil"/>
              <w:bottom w:val="nil"/>
              <w:right w:val="nil"/>
            </w:tcBorders>
            <w:shd w:val="clear" w:color="auto" w:fill="auto"/>
            <w:noWrap/>
            <w:vAlign w:val="center"/>
            <w:hideMark/>
          </w:tcPr>
          <w:p w14:paraId="50F85F0A" w14:textId="77777777" w:rsidR="007129DB" w:rsidRPr="00626042" w:rsidRDefault="007129DB"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6362DCB2"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62B97F3D" w14:textId="77777777" w:rsidR="007129DB" w:rsidRPr="00626042" w:rsidRDefault="007129DB"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01533A8E" w14:textId="77777777" w:rsidR="007129DB" w:rsidRPr="00626042" w:rsidRDefault="007129DB" w:rsidP="00E607DA">
            <w:pPr>
              <w:jc w:val="right"/>
              <w:rPr>
                <w:rFonts w:ascii="Meta Pro" w:eastAsia="Times New Roman" w:hAnsi="Meta Pro" w:cs="Times New Roman"/>
                <w:sz w:val="20"/>
                <w:szCs w:val="20"/>
                <w:lang w:eastAsia="en-AU"/>
              </w:rPr>
            </w:pPr>
          </w:p>
        </w:tc>
      </w:tr>
      <w:tr w:rsidR="007129DB" w:rsidRPr="00626042" w14:paraId="28934773" w14:textId="77777777" w:rsidTr="00E607DA">
        <w:trPr>
          <w:trHeight w:val="23"/>
        </w:trPr>
        <w:tc>
          <w:tcPr>
            <w:tcW w:w="215" w:type="dxa"/>
            <w:tcBorders>
              <w:top w:val="nil"/>
              <w:left w:val="nil"/>
              <w:bottom w:val="nil"/>
              <w:right w:val="nil"/>
            </w:tcBorders>
            <w:shd w:val="clear" w:color="auto" w:fill="auto"/>
            <w:noWrap/>
            <w:vAlign w:val="center"/>
            <w:hideMark/>
          </w:tcPr>
          <w:p w14:paraId="42418297" w14:textId="77777777" w:rsidR="007129DB" w:rsidRPr="00626042" w:rsidRDefault="007129DB" w:rsidP="00E607DA">
            <w:pPr>
              <w:jc w:val="right"/>
              <w:rPr>
                <w:rFonts w:ascii="Meta Pro" w:eastAsia="Times New Roman" w:hAnsi="Meta Pro" w:cs="Times New Roman"/>
                <w:sz w:val="20"/>
                <w:szCs w:val="20"/>
                <w:lang w:eastAsia="en-AU"/>
              </w:rPr>
            </w:pPr>
          </w:p>
        </w:tc>
        <w:tc>
          <w:tcPr>
            <w:tcW w:w="4990" w:type="dxa"/>
            <w:tcBorders>
              <w:top w:val="nil"/>
              <w:left w:val="nil"/>
              <w:bottom w:val="nil"/>
              <w:right w:val="nil"/>
            </w:tcBorders>
            <w:shd w:val="clear" w:color="auto" w:fill="auto"/>
            <w:noWrap/>
            <w:vAlign w:val="center"/>
            <w:hideMark/>
          </w:tcPr>
          <w:p w14:paraId="663BC148" w14:textId="77777777" w:rsidR="007129DB" w:rsidRPr="00626042" w:rsidRDefault="007129DB" w:rsidP="00E607DA">
            <w:pPr>
              <w:rPr>
                <w:rFonts w:ascii="Meta Pro" w:eastAsia="Times New Roman" w:hAnsi="Meta Pro"/>
                <w:i/>
                <w:iCs/>
                <w:color w:val="000000"/>
                <w:szCs w:val="18"/>
                <w:lang w:eastAsia="en-AU"/>
              </w:rPr>
            </w:pPr>
            <w:r w:rsidRPr="00626042">
              <w:rPr>
                <w:rFonts w:ascii="Meta Pro" w:eastAsia="Times New Roman" w:hAnsi="Meta Pro"/>
                <w:i/>
                <w:iCs/>
                <w:color w:val="000000"/>
                <w:szCs w:val="18"/>
                <w:lang w:eastAsia="en-AU"/>
              </w:rPr>
              <w:t>Inflows:</w:t>
            </w:r>
          </w:p>
        </w:tc>
        <w:tc>
          <w:tcPr>
            <w:tcW w:w="1021" w:type="dxa"/>
            <w:tcBorders>
              <w:top w:val="nil"/>
              <w:left w:val="nil"/>
              <w:bottom w:val="nil"/>
              <w:right w:val="nil"/>
            </w:tcBorders>
            <w:shd w:val="clear" w:color="auto" w:fill="auto"/>
            <w:noWrap/>
            <w:vAlign w:val="center"/>
            <w:hideMark/>
          </w:tcPr>
          <w:p w14:paraId="1D72CC9D" w14:textId="77777777" w:rsidR="007129DB" w:rsidRPr="00626042" w:rsidRDefault="007129DB" w:rsidP="00E607DA">
            <w:pPr>
              <w:rPr>
                <w:rFonts w:ascii="Meta Pro" w:eastAsia="Times New Roman" w:hAnsi="Meta Pro"/>
                <w:i/>
                <w:iCs/>
                <w:color w:val="000000"/>
                <w:szCs w:val="18"/>
                <w:lang w:eastAsia="en-AU"/>
              </w:rPr>
            </w:pPr>
          </w:p>
        </w:tc>
        <w:tc>
          <w:tcPr>
            <w:tcW w:w="215" w:type="dxa"/>
            <w:tcBorders>
              <w:top w:val="nil"/>
              <w:left w:val="nil"/>
              <w:bottom w:val="nil"/>
              <w:right w:val="nil"/>
            </w:tcBorders>
            <w:shd w:val="clear" w:color="auto" w:fill="auto"/>
            <w:noWrap/>
            <w:vAlign w:val="center"/>
            <w:hideMark/>
          </w:tcPr>
          <w:p w14:paraId="58205443" w14:textId="77777777" w:rsidR="007129DB" w:rsidRPr="00626042" w:rsidRDefault="007129DB"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6B4D7524"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1593C803" w14:textId="77777777" w:rsidR="007129DB" w:rsidRPr="00626042" w:rsidRDefault="007129DB"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616CDE26" w14:textId="77777777" w:rsidR="007129DB" w:rsidRPr="00626042" w:rsidRDefault="007129DB" w:rsidP="00E607DA">
            <w:pPr>
              <w:jc w:val="right"/>
              <w:rPr>
                <w:rFonts w:ascii="Meta Pro" w:eastAsia="Times New Roman" w:hAnsi="Meta Pro" w:cs="Times New Roman"/>
                <w:sz w:val="20"/>
                <w:szCs w:val="20"/>
                <w:lang w:eastAsia="en-AU"/>
              </w:rPr>
            </w:pPr>
          </w:p>
        </w:tc>
      </w:tr>
      <w:tr w:rsidR="007129DB" w:rsidRPr="00626042" w14:paraId="1BD4CFB0" w14:textId="77777777" w:rsidTr="00E607DA">
        <w:trPr>
          <w:trHeight w:val="23"/>
        </w:trPr>
        <w:tc>
          <w:tcPr>
            <w:tcW w:w="215" w:type="dxa"/>
            <w:tcBorders>
              <w:top w:val="nil"/>
              <w:left w:val="nil"/>
              <w:bottom w:val="nil"/>
              <w:right w:val="nil"/>
            </w:tcBorders>
            <w:shd w:val="clear" w:color="auto" w:fill="auto"/>
            <w:noWrap/>
            <w:vAlign w:val="center"/>
            <w:hideMark/>
          </w:tcPr>
          <w:p w14:paraId="3528D2FB" w14:textId="77777777" w:rsidR="007129DB" w:rsidRPr="00626042" w:rsidRDefault="007129DB" w:rsidP="00E607DA">
            <w:pPr>
              <w:jc w:val="right"/>
              <w:rPr>
                <w:rFonts w:ascii="Meta Pro" w:eastAsia="Times New Roman" w:hAnsi="Meta Pro" w:cs="Times New Roman"/>
                <w:sz w:val="20"/>
                <w:szCs w:val="20"/>
                <w:lang w:eastAsia="en-AU"/>
              </w:rPr>
            </w:pPr>
          </w:p>
        </w:tc>
        <w:tc>
          <w:tcPr>
            <w:tcW w:w="4990" w:type="dxa"/>
            <w:tcBorders>
              <w:top w:val="nil"/>
              <w:left w:val="nil"/>
              <w:bottom w:val="nil"/>
              <w:right w:val="nil"/>
            </w:tcBorders>
            <w:shd w:val="clear" w:color="auto" w:fill="auto"/>
            <w:noWrap/>
            <w:vAlign w:val="center"/>
            <w:hideMark/>
          </w:tcPr>
          <w:p w14:paraId="7A32B69B" w14:textId="77777777" w:rsidR="007129DB" w:rsidRPr="00626042" w:rsidRDefault="007129DB" w:rsidP="00E607DA">
            <w:pPr>
              <w:rPr>
                <w:rFonts w:ascii="Meta Pro" w:eastAsia="Times New Roman" w:hAnsi="Meta Pro"/>
                <w:color w:val="000000"/>
                <w:szCs w:val="18"/>
                <w:lang w:eastAsia="en-AU"/>
              </w:rPr>
            </w:pPr>
            <w:r w:rsidRPr="00626042">
              <w:rPr>
                <w:rFonts w:ascii="Meta Pro" w:eastAsia="Times New Roman" w:hAnsi="Meta Pro"/>
                <w:color w:val="000000"/>
                <w:szCs w:val="18"/>
                <w:lang w:eastAsia="en-AU"/>
              </w:rPr>
              <w:t>Equity injections</w:t>
            </w:r>
          </w:p>
        </w:tc>
        <w:tc>
          <w:tcPr>
            <w:tcW w:w="1021" w:type="dxa"/>
            <w:tcBorders>
              <w:top w:val="nil"/>
              <w:left w:val="nil"/>
              <w:bottom w:val="nil"/>
              <w:right w:val="nil"/>
            </w:tcBorders>
            <w:shd w:val="clear" w:color="auto" w:fill="auto"/>
            <w:noWrap/>
            <w:vAlign w:val="center"/>
            <w:hideMark/>
          </w:tcPr>
          <w:p w14:paraId="069446D5" w14:textId="77777777" w:rsidR="007129DB" w:rsidRPr="00626042" w:rsidRDefault="007129DB" w:rsidP="00E607DA">
            <w:pPr>
              <w:rPr>
                <w:rFonts w:ascii="Meta Pro" w:eastAsia="Times New Roman" w:hAnsi="Meta Pro"/>
                <w:color w:val="000000"/>
                <w:szCs w:val="18"/>
                <w:lang w:eastAsia="en-AU"/>
              </w:rPr>
            </w:pPr>
          </w:p>
        </w:tc>
        <w:tc>
          <w:tcPr>
            <w:tcW w:w="215" w:type="dxa"/>
            <w:tcBorders>
              <w:top w:val="nil"/>
              <w:left w:val="nil"/>
              <w:bottom w:val="nil"/>
              <w:right w:val="nil"/>
            </w:tcBorders>
            <w:shd w:val="clear" w:color="auto" w:fill="auto"/>
            <w:noWrap/>
            <w:vAlign w:val="center"/>
            <w:hideMark/>
          </w:tcPr>
          <w:p w14:paraId="016E09DD" w14:textId="77777777" w:rsidR="007129DB" w:rsidRPr="00626042" w:rsidRDefault="007129DB"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757D0467"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4,032,675 </w:t>
            </w:r>
          </w:p>
        </w:tc>
        <w:tc>
          <w:tcPr>
            <w:tcW w:w="216" w:type="dxa"/>
            <w:tcBorders>
              <w:top w:val="nil"/>
              <w:left w:val="nil"/>
              <w:bottom w:val="nil"/>
              <w:right w:val="nil"/>
            </w:tcBorders>
            <w:shd w:val="clear" w:color="auto" w:fill="auto"/>
            <w:noWrap/>
            <w:vAlign w:val="center"/>
            <w:hideMark/>
          </w:tcPr>
          <w:p w14:paraId="581EC832" w14:textId="77777777" w:rsidR="007129DB" w:rsidRPr="00626042" w:rsidRDefault="007129DB"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2FF31762"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             3,498,060 </w:t>
            </w:r>
          </w:p>
        </w:tc>
      </w:tr>
      <w:tr w:rsidR="007129DB" w:rsidRPr="00626042" w14:paraId="4D72217E" w14:textId="77777777" w:rsidTr="00E607DA">
        <w:trPr>
          <w:trHeight w:val="23"/>
        </w:trPr>
        <w:tc>
          <w:tcPr>
            <w:tcW w:w="215" w:type="dxa"/>
            <w:tcBorders>
              <w:top w:val="nil"/>
              <w:left w:val="nil"/>
              <w:bottom w:val="nil"/>
              <w:right w:val="nil"/>
            </w:tcBorders>
            <w:shd w:val="clear" w:color="auto" w:fill="auto"/>
            <w:noWrap/>
            <w:vAlign w:val="center"/>
            <w:hideMark/>
          </w:tcPr>
          <w:p w14:paraId="4E30588C" w14:textId="77777777" w:rsidR="007129DB" w:rsidRPr="00626042" w:rsidRDefault="007129DB" w:rsidP="00E607DA">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2FC1C2E2" w14:textId="77777777" w:rsidR="007129DB" w:rsidRPr="00626042" w:rsidRDefault="007129DB" w:rsidP="00E607DA">
            <w:pPr>
              <w:rPr>
                <w:rFonts w:ascii="Meta Pro" w:eastAsia="Times New Roman" w:hAnsi="Meta Pro"/>
                <w:i/>
                <w:iCs/>
                <w:color w:val="000000"/>
                <w:szCs w:val="18"/>
                <w:lang w:eastAsia="en-AU"/>
              </w:rPr>
            </w:pPr>
            <w:r w:rsidRPr="00626042">
              <w:rPr>
                <w:rFonts w:ascii="Meta Pro" w:eastAsia="Times New Roman" w:hAnsi="Meta Pro"/>
                <w:i/>
                <w:iCs/>
                <w:color w:val="000000"/>
                <w:szCs w:val="18"/>
                <w:lang w:eastAsia="en-AU"/>
              </w:rPr>
              <w:t>Outflows:</w:t>
            </w:r>
          </w:p>
        </w:tc>
        <w:tc>
          <w:tcPr>
            <w:tcW w:w="1021" w:type="dxa"/>
            <w:tcBorders>
              <w:top w:val="nil"/>
              <w:left w:val="nil"/>
              <w:bottom w:val="nil"/>
              <w:right w:val="nil"/>
            </w:tcBorders>
            <w:shd w:val="clear" w:color="auto" w:fill="auto"/>
            <w:noWrap/>
            <w:vAlign w:val="center"/>
            <w:hideMark/>
          </w:tcPr>
          <w:p w14:paraId="375E31A4" w14:textId="77777777" w:rsidR="007129DB" w:rsidRPr="00626042" w:rsidRDefault="007129DB" w:rsidP="00E607DA">
            <w:pPr>
              <w:rPr>
                <w:rFonts w:ascii="Meta Pro" w:eastAsia="Times New Roman" w:hAnsi="Meta Pro"/>
                <w:i/>
                <w:iCs/>
                <w:color w:val="000000"/>
                <w:szCs w:val="18"/>
                <w:lang w:eastAsia="en-AU"/>
              </w:rPr>
            </w:pPr>
          </w:p>
        </w:tc>
        <w:tc>
          <w:tcPr>
            <w:tcW w:w="215" w:type="dxa"/>
            <w:tcBorders>
              <w:top w:val="nil"/>
              <w:left w:val="nil"/>
              <w:bottom w:val="nil"/>
              <w:right w:val="nil"/>
            </w:tcBorders>
            <w:shd w:val="clear" w:color="auto" w:fill="auto"/>
            <w:noWrap/>
            <w:vAlign w:val="center"/>
            <w:hideMark/>
          </w:tcPr>
          <w:p w14:paraId="33A33CBE" w14:textId="77777777" w:rsidR="007129DB" w:rsidRPr="00626042" w:rsidRDefault="007129DB"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185E0889"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6A7A3C7E" w14:textId="77777777" w:rsidR="007129DB" w:rsidRPr="00626042" w:rsidRDefault="007129DB"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6E6FADF9" w14:textId="77777777" w:rsidR="007129DB" w:rsidRPr="00626042" w:rsidRDefault="007129DB" w:rsidP="00E607DA">
            <w:pPr>
              <w:jc w:val="right"/>
              <w:rPr>
                <w:rFonts w:ascii="Meta Pro" w:eastAsia="Times New Roman" w:hAnsi="Meta Pro" w:cs="Times New Roman"/>
                <w:sz w:val="20"/>
                <w:szCs w:val="20"/>
                <w:lang w:eastAsia="en-AU"/>
              </w:rPr>
            </w:pPr>
          </w:p>
        </w:tc>
      </w:tr>
      <w:tr w:rsidR="007129DB" w:rsidRPr="00626042" w14:paraId="1F5011AB" w14:textId="77777777" w:rsidTr="00E607DA">
        <w:trPr>
          <w:trHeight w:val="23"/>
        </w:trPr>
        <w:tc>
          <w:tcPr>
            <w:tcW w:w="215" w:type="dxa"/>
            <w:tcBorders>
              <w:top w:val="nil"/>
              <w:left w:val="nil"/>
              <w:bottom w:val="nil"/>
              <w:right w:val="nil"/>
            </w:tcBorders>
            <w:shd w:val="clear" w:color="auto" w:fill="auto"/>
            <w:noWrap/>
            <w:vAlign w:val="center"/>
            <w:hideMark/>
          </w:tcPr>
          <w:p w14:paraId="2E7BB850" w14:textId="77777777" w:rsidR="007129DB" w:rsidRPr="00626042" w:rsidRDefault="007129DB" w:rsidP="00E607DA">
            <w:pPr>
              <w:jc w:val="right"/>
              <w:rPr>
                <w:rFonts w:ascii="Meta Pro" w:eastAsia="Times New Roman" w:hAnsi="Meta Pro" w:cs="Times New Roman"/>
                <w:sz w:val="20"/>
                <w:szCs w:val="20"/>
                <w:lang w:eastAsia="en-AU"/>
              </w:rPr>
            </w:pPr>
          </w:p>
        </w:tc>
        <w:tc>
          <w:tcPr>
            <w:tcW w:w="4990" w:type="dxa"/>
            <w:tcBorders>
              <w:top w:val="nil"/>
              <w:left w:val="nil"/>
              <w:bottom w:val="nil"/>
              <w:right w:val="nil"/>
            </w:tcBorders>
            <w:shd w:val="clear" w:color="auto" w:fill="auto"/>
            <w:noWrap/>
            <w:vAlign w:val="center"/>
            <w:hideMark/>
          </w:tcPr>
          <w:p w14:paraId="5B5AB139" w14:textId="77777777" w:rsidR="007129DB" w:rsidRPr="00626042" w:rsidRDefault="007129DB" w:rsidP="00E607DA">
            <w:pPr>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Equity withdrawals </w:t>
            </w:r>
          </w:p>
        </w:tc>
        <w:tc>
          <w:tcPr>
            <w:tcW w:w="1021" w:type="dxa"/>
            <w:tcBorders>
              <w:top w:val="nil"/>
              <w:left w:val="nil"/>
              <w:bottom w:val="nil"/>
              <w:right w:val="nil"/>
            </w:tcBorders>
            <w:shd w:val="clear" w:color="auto" w:fill="auto"/>
            <w:noWrap/>
            <w:vAlign w:val="center"/>
            <w:hideMark/>
          </w:tcPr>
          <w:p w14:paraId="414DC195" w14:textId="77777777" w:rsidR="007129DB" w:rsidRPr="00626042" w:rsidRDefault="007129DB" w:rsidP="00E607DA">
            <w:pPr>
              <w:rPr>
                <w:rFonts w:ascii="Meta Pro" w:eastAsia="Times New Roman" w:hAnsi="Meta Pro"/>
                <w:color w:val="000000"/>
                <w:szCs w:val="18"/>
                <w:lang w:eastAsia="en-AU"/>
              </w:rPr>
            </w:pPr>
          </w:p>
        </w:tc>
        <w:tc>
          <w:tcPr>
            <w:tcW w:w="215" w:type="dxa"/>
            <w:tcBorders>
              <w:top w:val="nil"/>
              <w:left w:val="nil"/>
              <w:bottom w:val="nil"/>
              <w:right w:val="nil"/>
            </w:tcBorders>
            <w:shd w:val="clear" w:color="auto" w:fill="auto"/>
            <w:noWrap/>
            <w:vAlign w:val="center"/>
            <w:hideMark/>
          </w:tcPr>
          <w:p w14:paraId="5F083DDB" w14:textId="77777777" w:rsidR="007129DB" w:rsidRPr="00626042" w:rsidRDefault="007129DB"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5A39D465"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(1,191,386)</w:t>
            </w:r>
          </w:p>
        </w:tc>
        <w:tc>
          <w:tcPr>
            <w:tcW w:w="216" w:type="dxa"/>
            <w:tcBorders>
              <w:top w:val="nil"/>
              <w:left w:val="nil"/>
              <w:bottom w:val="nil"/>
              <w:right w:val="nil"/>
            </w:tcBorders>
            <w:shd w:val="clear" w:color="auto" w:fill="auto"/>
            <w:noWrap/>
            <w:vAlign w:val="center"/>
            <w:hideMark/>
          </w:tcPr>
          <w:p w14:paraId="77961EB9" w14:textId="77777777" w:rsidR="007129DB" w:rsidRPr="00626042" w:rsidRDefault="007129DB"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55259EF5"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             (1,134,417)</w:t>
            </w:r>
          </w:p>
        </w:tc>
      </w:tr>
      <w:tr w:rsidR="007129DB" w:rsidRPr="00626042" w14:paraId="229F7DC3" w14:textId="77777777" w:rsidTr="00E607DA">
        <w:trPr>
          <w:trHeight w:val="23"/>
        </w:trPr>
        <w:tc>
          <w:tcPr>
            <w:tcW w:w="215" w:type="dxa"/>
            <w:tcBorders>
              <w:top w:val="nil"/>
              <w:left w:val="nil"/>
              <w:bottom w:val="single" w:sz="4" w:space="0" w:color="auto"/>
              <w:right w:val="nil"/>
            </w:tcBorders>
            <w:shd w:val="clear" w:color="auto" w:fill="auto"/>
            <w:noWrap/>
            <w:vAlign w:val="center"/>
            <w:hideMark/>
          </w:tcPr>
          <w:p w14:paraId="5DC29FD7" w14:textId="77777777" w:rsidR="007129DB" w:rsidRPr="00626042" w:rsidRDefault="007129DB" w:rsidP="00E607DA">
            <w:pPr>
              <w:rPr>
                <w:rFonts w:ascii="Meta Pro" w:eastAsia="Times New Roman" w:hAnsi="Meta Pro"/>
                <w:color w:val="000000"/>
                <w:szCs w:val="18"/>
                <w:lang w:eastAsia="en-AU"/>
              </w:rPr>
            </w:pPr>
            <w:r w:rsidRPr="00626042">
              <w:rPr>
                <w:rFonts w:ascii="Meta Pro" w:eastAsia="Times New Roman" w:hAnsi="Meta Pro"/>
                <w:color w:val="000000"/>
                <w:szCs w:val="18"/>
                <w:lang w:eastAsia="en-AU"/>
              </w:rPr>
              <w:t> </w:t>
            </w:r>
          </w:p>
        </w:tc>
        <w:tc>
          <w:tcPr>
            <w:tcW w:w="4990" w:type="dxa"/>
            <w:tcBorders>
              <w:top w:val="nil"/>
              <w:left w:val="nil"/>
              <w:bottom w:val="single" w:sz="4" w:space="0" w:color="auto"/>
              <w:right w:val="nil"/>
            </w:tcBorders>
            <w:shd w:val="clear" w:color="auto" w:fill="auto"/>
            <w:noWrap/>
            <w:vAlign w:val="center"/>
            <w:hideMark/>
          </w:tcPr>
          <w:p w14:paraId="0E7AE954" w14:textId="77777777" w:rsidR="007129DB" w:rsidRPr="00626042" w:rsidRDefault="007129DB" w:rsidP="00E607DA">
            <w:pPr>
              <w:rPr>
                <w:rFonts w:ascii="Meta Pro" w:eastAsia="Times New Roman" w:hAnsi="Meta Pro"/>
                <w:color w:val="000000"/>
                <w:szCs w:val="18"/>
                <w:lang w:eastAsia="en-AU"/>
              </w:rPr>
            </w:pPr>
            <w:r w:rsidRPr="00626042">
              <w:rPr>
                <w:rFonts w:ascii="Meta Pro" w:eastAsia="Times New Roman" w:hAnsi="Meta Pro"/>
                <w:color w:val="000000"/>
                <w:szCs w:val="18"/>
                <w:lang w:eastAsia="en-AU"/>
              </w:rPr>
              <w:t>Borrowing redemptions</w:t>
            </w:r>
          </w:p>
        </w:tc>
        <w:tc>
          <w:tcPr>
            <w:tcW w:w="1021" w:type="dxa"/>
            <w:tcBorders>
              <w:top w:val="nil"/>
              <w:left w:val="nil"/>
              <w:bottom w:val="single" w:sz="4" w:space="0" w:color="auto"/>
              <w:right w:val="nil"/>
            </w:tcBorders>
            <w:shd w:val="clear" w:color="auto" w:fill="auto"/>
            <w:noWrap/>
            <w:vAlign w:val="center"/>
            <w:hideMark/>
          </w:tcPr>
          <w:p w14:paraId="1C55F669" w14:textId="77777777" w:rsidR="007129DB" w:rsidRPr="00626042" w:rsidRDefault="007129DB" w:rsidP="00E607DA">
            <w:pPr>
              <w:jc w:val="center"/>
              <w:rPr>
                <w:rFonts w:ascii="Meta Pro" w:eastAsia="Times New Roman" w:hAnsi="Meta Pro"/>
                <w:color w:val="000000"/>
                <w:sz w:val="20"/>
                <w:szCs w:val="20"/>
                <w:lang w:eastAsia="en-AU"/>
              </w:rPr>
            </w:pPr>
            <w:r w:rsidRPr="00626042">
              <w:rPr>
                <w:rFonts w:ascii="Meta Pro" w:eastAsia="Times New Roman" w:hAnsi="Meta Pro"/>
                <w:color w:val="000000"/>
                <w:sz w:val="20"/>
                <w:szCs w:val="20"/>
                <w:lang w:eastAsia="en-AU"/>
              </w:rPr>
              <w:t> </w:t>
            </w:r>
          </w:p>
        </w:tc>
        <w:tc>
          <w:tcPr>
            <w:tcW w:w="215" w:type="dxa"/>
            <w:tcBorders>
              <w:top w:val="nil"/>
              <w:left w:val="nil"/>
              <w:bottom w:val="single" w:sz="4" w:space="0" w:color="auto"/>
              <w:right w:val="nil"/>
            </w:tcBorders>
            <w:shd w:val="clear" w:color="auto" w:fill="auto"/>
            <w:noWrap/>
            <w:vAlign w:val="center"/>
            <w:hideMark/>
          </w:tcPr>
          <w:p w14:paraId="28DAEB25" w14:textId="77777777" w:rsidR="007129DB" w:rsidRPr="00626042" w:rsidRDefault="007129DB" w:rsidP="00E607DA">
            <w:pPr>
              <w:rPr>
                <w:rFonts w:ascii="Meta Pro" w:eastAsia="Times New Roman" w:hAnsi="Meta Pro"/>
                <w:color w:val="000000"/>
                <w:szCs w:val="18"/>
                <w:lang w:eastAsia="en-AU"/>
              </w:rPr>
            </w:pPr>
            <w:r w:rsidRPr="00626042">
              <w:rPr>
                <w:rFonts w:ascii="Meta Pro" w:eastAsia="Times New Roman" w:hAnsi="Meta Pro"/>
                <w:color w:val="000000"/>
                <w:szCs w:val="18"/>
                <w:lang w:eastAsia="en-AU"/>
              </w:rPr>
              <w:t> </w:t>
            </w:r>
          </w:p>
        </w:tc>
        <w:tc>
          <w:tcPr>
            <w:tcW w:w="1514" w:type="dxa"/>
            <w:tcBorders>
              <w:top w:val="nil"/>
              <w:left w:val="nil"/>
              <w:bottom w:val="single" w:sz="4" w:space="0" w:color="auto"/>
              <w:right w:val="nil"/>
            </w:tcBorders>
            <w:shd w:val="clear" w:color="000000" w:fill="C9E3B4"/>
            <w:noWrap/>
            <w:vAlign w:val="center"/>
            <w:hideMark/>
          </w:tcPr>
          <w:p w14:paraId="717BAB7A"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(36,487)</w:t>
            </w:r>
          </w:p>
        </w:tc>
        <w:tc>
          <w:tcPr>
            <w:tcW w:w="216" w:type="dxa"/>
            <w:tcBorders>
              <w:top w:val="nil"/>
              <w:left w:val="nil"/>
              <w:bottom w:val="single" w:sz="4" w:space="0" w:color="auto"/>
              <w:right w:val="nil"/>
            </w:tcBorders>
            <w:shd w:val="clear" w:color="auto" w:fill="auto"/>
            <w:noWrap/>
            <w:vAlign w:val="center"/>
            <w:hideMark/>
          </w:tcPr>
          <w:p w14:paraId="306E5AA3"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w:t>
            </w:r>
          </w:p>
        </w:tc>
        <w:tc>
          <w:tcPr>
            <w:tcW w:w="1514" w:type="dxa"/>
            <w:tcBorders>
              <w:top w:val="nil"/>
              <w:left w:val="nil"/>
              <w:bottom w:val="single" w:sz="4" w:space="0" w:color="auto"/>
              <w:right w:val="nil"/>
            </w:tcBorders>
            <w:shd w:val="clear" w:color="auto" w:fill="auto"/>
            <w:noWrap/>
            <w:vAlign w:val="center"/>
            <w:hideMark/>
          </w:tcPr>
          <w:p w14:paraId="1497E7AC"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                  (71,019)</w:t>
            </w:r>
          </w:p>
        </w:tc>
      </w:tr>
      <w:tr w:rsidR="007129DB" w:rsidRPr="00626042" w14:paraId="4F6FF522" w14:textId="77777777" w:rsidTr="00E607DA">
        <w:trPr>
          <w:trHeight w:val="23"/>
        </w:trPr>
        <w:tc>
          <w:tcPr>
            <w:tcW w:w="4990" w:type="dxa"/>
            <w:gridSpan w:val="2"/>
            <w:tcBorders>
              <w:top w:val="single" w:sz="4" w:space="0" w:color="auto"/>
              <w:left w:val="nil"/>
              <w:bottom w:val="nil"/>
              <w:right w:val="nil"/>
            </w:tcBorders>
            <w:shd w:val="clear" w:color="auto" w:fill="auto"/>
            <w:noWrap/>
            <w:vAlign w:val="center"/>
            <w:hideMark/>
          </w:tcPr>
          <w:p w14:paraId="5BA8783B" w14:textId="77777777" w:rsidR="007129DB" w:rsidRPr="00626042" w:rsidRDefault="007129DB" w:rsidP="00E607DA">
            <w:pPr>
              <w:rPr>
                <w:rFonts w:ascii="Meta Pro" w:eastAsia="Times New Roman" w:hAnsi="Meta Pro"/>
                <w:b/>
                <w:bCs/>
                <w:color w:val="000000"/>
                <w:szCs w:val="18"/>
                <w:lang w:eastAsia="en-AU"/>
              </w:rPr>
            </w:pPr>
            <w:r w:rsidRPr="00626042">
              <w:rPr>
                <w:rFonts w:ascii="Meta Pro" w:eastAsia="Times New Roman" w:hAnsi="Meta Pro"/>
                <w:b/>
                <w:bCs/>
                <w:color w:val="000000"/>
                <w:szCs w:val="18"/>
                <w:lang w:eastAsia="en-AU"/>
              </w:rPr>
              <w:lastRenderedPageBreak/>
              <w:t>Net cash provided by financing activities</w:t>
            </w:r>
          </w:p>
        </w:tc>
        <w:tc>
          <w:tcPr>
            <w:tcW w:w="1021" w:type="dxa"/>
            <w:tcBorders>
              <w:top w:val="nil"/>
              <w:left w:val="nil"/>
              <w:bottom w:val="nil"/>
              <w:right w:val="nil"/>
            </w:tcBorders>
            <w:shd w:val="clear" w:color="auto" w:fill="auto"/>
            <w:noWrap/>
            <w:vAlign w:val="center"/>
            <w:hideMark/>
          </w:tcPr>
          <w:p w14:paraId="691959D4" w14:textId="77777777" w:rsidR="007129DB" w:rsidRPr="00626042" w:rsidRDefault="007129DB" w:rsidP="00E607DA">
            <w:pPr>
              <w:rPr>
                <w:rFonts w:ascii="Meta Pro" w:eastAsia="Times New Roman" w:hAnsi="Meta Pro"/>
                <w:b/>
                <w:bCs/>
                <w:color w:val="000000"/>
                <w:szCs w:val="18"/>
                <w:lang w:eastAsia="en-AU"/>
              </w:rPr>
            </w:pPr>
          </w:p>
        </w:tc>
        <w:tc>
          <w:tcPr>
            <w:tcW w:w="215" w:type="dxa"/>
            <w:tcBorders>
              <w:top w:val="single" w:sz="4" w:space="0" w:color="auto"/>
              <w:left w:val="nil"/>
              <w:bottom w:val="nil"/>
              <w:right w:val="nil"/>
            </w:tcBorders>
            <w:shd w:val="clear" w:color="auto" w:fill="auto"/>
            <w:noWrap/>
            <w:vAlign w:val="center"/>
            <w:hideMark/>
          </w:tcPr>
          <w:p w14:paraId="0C981786" w14:textId="77777777" w:rsidR="007129DB" w:rsidRPr="00626042" w:rsidRDefault="007129DB" w:rsidP="00E607DA">
            <w:pPr>
              <w:rPr>
                <w:rFonts w:ascii="Meta Pro" w:eastAsia="Times New Roman" w:hAnsi="Meta Pro"/>
                <w:b/>
                <w:bCs/>
                <w:color w:val="000000"/>
                <w:szCs w:val="18"/>
                <w:lang w:eastAsia="en-AU"/>
              </w:rPr>
            </w:pPr>
            <w:r w:rsidRPr="00626042">
              <w:rPr>
                <w:rFonts w:ascii="Meta Pro" w:eastAsia="Times New Roman" w:hAnsi="Meta Pro"/>
                <w:b/>
                <w:bCs/>
                <w:color w:val="000000"/>
                <w:szCs w:val="18"/>
                <w:lang w:eastAsia="en-AU"/>
              </w:rPr>
              <w:t> </w:t>
            </w:r>
          </w:p>
        </w:tc>
        <w:tc>
          <w:tcPr>
            <w:tcW w:w="1514" w:type="dxa"/>
            <w:tcBorders>
              <w:top w:val="single" w:sz="4" w:space="0" w:color="auto"/>
              <w:left w:val="nil"/>
              <w:bottom w:val="nil"/>
              <w:right w:val="nil"/>
            </w:tcBorders>
            <w:shd w:val="clear" w:color="000000" w:fill="C9E3B4"/>
            <w:noWrap/>
            <w:vAlign w:val="center"/>
            <w:hideMark/>
          </w:tcPr>
          <w:p w14:paraId="41CB2CAC" w14:textId="77777777" w:rsidR="007129DB" w:rsidRPr="00626042" w:rsidRDefault="007129DB" w:rsidP="00E607DA">
            <w:pPr>
              <w:jc w:val="right"/>
              <w:rPr>
                <w:rFonts w:ascii="Meta Pro" w:eastAsia="Times New Roman" w:hAnsi="Meta Pro"/>
                <w:b/>
                <w:bCs/>
                <w:color w:val="000000"/>
                <w:szCs w:val="18"/>
                <w:lang w:eastAsia="en-AU"/>
              </w:rPr>
            </w:pPr>
            <w:r w:rsidRPr="00626042">
              <w:rPr>
                <w:rFonts w:ascii="Meta Pro" w:eastAsia="Times New Roman" w:hAnsi="Meta Pro"/>
                <w:b/>
                <w:bCs/>
                <w:color w:val="000000"/>
                <w:szCs w:val="18"/>
                <w:lang w:eastAsia="en-AU"/>
              </w:rPr>
              <w:t xml:space="preserve">2,804,802 </w:t>
            </w:r>
          </w:p>
        </w:tc>
        <w:tc>
          <w:tcPr>
            <w:tcW w:w="216" w:type="dxa"/>
            <w:tcBorders>
              <w:top w:val="single" w:sz="4" w:space="0" w:color="auto"/>
              <w:left w:val="nil"/>
              <w:bottom w:val="nil"/>
              <w:right w:val="nil"/>
            </w:tcBorders>
            <w:shd w:val="clear" w:color="auto" w:fill="auto"/>
            <w:noWrap/>
            <w:vAlign w:val="center"/>
            <w:hideMark/>
          </w:tcPr>
          <w:p w14:paraId="2A7D96C8" w14:textId="77777777" w:rsidR="007129DB" w:rsidRPr="00626042" w:rsidRDefault="007129DB" w:rsidP="00E607DA">
            <w:pPr>
              <w:jc w:val="right"/>
              <w:rPr>
                <w:rFonts w:ascii="Meta Pro" w:eastAsia="Times New Roman" w:hAnsi="Meta Pro"/>
                <w:b/>
                <w:bCs/>
                <w:color w:val="000000"/>
                <w:szCs w:val="18"/>
                <w:lang w:eastAsia="en-AU"/>
              </w:rPr>
            </w:pPr>
            <w:r w:rsidRPr="00626042">
              <w:rPr>
                <w:rFonts w:ascii="Meta Pro" w:eastAsia="Times New Roman" w:hAnsi="Meta Pro"/>
                <w:b/>
                <w:bCs/>
                <w:color w:val="000000"/>
                <w:szCs w:val="18"/>
                <w:lang w:eastAsia="en-AU"/>
              </w:rPr>
              <w:t> </w:t>
            </w:r>
          </w:p>
        </w:tc>
        <w:tc>
          <w:tcPr>
            <w:tcW w:w="1514" w:type="dxa"/>
            <w:tcBorders>
              <w:top w:val="single" w:sz="4" w:space="0" w:color="auto"/>
              <w:left w:val="nil"/>
              <w:bottom w:val="nil"/>
              <w:right w:val="nil"/>
            </w:tcBorders>
            <w:shd w:val="clear" w:color="auto" w:fill="auto"/>
            <w:noWrap/>
            <w:vAlign w:val="center"/>
            <w:hideMark/>
          </w:tcPr>
          <w:p w14:paraId="2F0E3765" w14:textId="77777777" w:rsidR="007129DB" w:rsidRPr="00626042" w:rsidRDefault="007129DB" w:rsidP="00E607DA">
            <w:pPr>
              <w:jc w:val="right"/>
              <w:rPr>
                <w:rFonts w:ascii="Meta Pro" w:eastAsia="Times New Roman" w:hAnsi="Meta Pro"/>
                <w:b/>
                <w:bCs/>
                <w:color w:val="000000"/>
                <w:szCs w:val="18"/>
                <w:lang w:eastAsia="en-AU"/>
              </w:rPr>
            </w:pPr>
            <w:r w:rsidRPr="00626042">
              <w:rPr>
                <w:rFonts w:ascii="Meta Pro" w:eastAsia="Times New Roman" w:hAnsi="Meta Pro"/>
                <w:b/>
                <w:bCs/>
                <w:color w:val="000000"/>
                <w:szCs w:val="18"/>
                <w:lang w:eastAsia="en-AU"/>
              </w:rPr>
              <w:t xml:space="preserve">            2,292,624 </w:t>
            </w:r>
          </w:p>
        </w:tc>
      </w:tr>
      <w:tr w:rsidR="007129DB" w:rsidRPr="00626042" w14:paraId="56FB776D" w14:textId="77777777" w:rsidTr="00E607DA">
        <w:trPr>
          <w:trHeight w:val="23"/>
        </w:trPr>
        <w:tc>
          <w:tcPr>
            <w:tcW w:w="215" w:type="dxa"/>
            <w:tcBorders>
              <w:top w:val="nil"/>
              <w:left w:val="nil"/>
              <w:bottom w:val="nil"/>
              <w:right w:val="nil"/>
            </w:tcBorders>
            <w:shd w:val="clear" w:color="auto" w:fill="auto"/>
            <w:noWrap/>
            <w:vAlign w:val="center"/>
            <w:hideMark/>
          </w:tcPr>
          <w:p w14:paraId="151BF238" w14:textId="77777777" w:rsidR="007129DB" w:rsidRPr="00626042" w:rsidRDefault="007129DB" w:rsidP="00E607DA">
            <w:pPr>
              <w:jc w:val="right"/>
              <w:rPr>
                <w:rFonts w:ascii="Meta Pro" w:eastAsia="Times New Roman" w:hAnsi="Meta Pro"/>
                <w:b/>
                <w:bCs/>
                <w:color w:val="000000"/>
                <w:szCs w:val="18"/>
                <w:lang w:eastAsia="en-AU"/>
              </w:rPr>
            </w:pPr>
          </w:p>
        </w:tc>
        <w:tc>
          <w:tcPr>
            <w:tcW w:w="4990" w:type="dxa"/>
            <w:tcBorders>
              <w:top w:val="nil"/>
              <w:left w:val="nil"/>
              <w:bottom w:val="nil"/>
              <w:right w:val="nil"/>
            </w:tcBorders>
            <w:shd w:val="clear" w:color="auto" w:fill="auto"/>
            <w:noWrap/>
            <w:vAlign w:val="center"/>
            <w:hideMark/>
          </w:tcPr>
          <w:p w14:paraId="6C281227" w14:textId="77777777" w:rsidR="007129DB" w:rsidRPr="00626042" w:rsidRDefault="007129DB" w:rsidP="00E607DA">
            <w:pPr>
              <w:rPr>
                <w:rFonts w:ascii="Meta Pro" w:eastAsia="Times New Roman" w:hAnsi="Meta Pro" w:cs="Times New Roman"/>
                <w:sz w:val="20"/>
                <w:szCs w:val="20"/>
                <w:lang w:eastAsia="en-AU"/>
              </w:rPr>
            </w:pPr>
          </w:p>
        </w:tc>
        <w:tc>
          <w:tcPr>
            <w:tcW w:w="1021" w:type="dxa"/>
            <w:tcBorders>
              <w:top w:val="nil"/>
              <w:left w:val="nil"/>
              <w:bottom w:val="nil"/>
              <w:right w:val="nil"/>
            </w:tcBorders>
            <w:shd w:val="clear" w:color="auto" w:fill="auto"/>
            <w:noWrap/>
            <w:vAlign w:val="center"/>
            <w:hideMark/>
          </w:tcPr>
          <w:p w14:paraId="584D4AC4" w14:textId="77777777" w:rsidR="007129DB" w:rsidRPr="00626042" w:rsidRDefault="007129DB" w:rsidP="00E607DA">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283A30EC" w14:textId="77777777" w:rsidR="007129DB" w:rsidRPr="00626042" w:rsidRDefault="007129DB"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5B73A0E7"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7DF0AF95" w14:textId="77777777" w:rsidR="007129DB" w:rsidRPr="00626042" w:rsidRDefault="007129DB"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158CD607" w14:textId="77777777" w:rsidR="007129DB" w:rsidRPr="00626042" w:rsidRDefault="007129DB" w:rsidP="00E607DA">
            <w:pPr>
              <w:jc w:val="right"/>
              <w:rPr>
                <w:rFonts w:ascii="Meta Pro" w:eastAsia="Times New Roman" w:hAnsi="Meta Pro" w:cs="Times New Roman"/>
                <w:sz w:val="20"/>
                <w:szCs w:val="20"/>
                <w:lang w:eastAsia="en-AU"/>
              </w:rPr>
            </w:pPr>
          </w:p>
        </w:tc>
      </w:tr>
      <w:tr w:rsidR="007129DB" w:rsidRPr="00626042" w14:paraId="62A38F90" w14:textId="77777777" w:rsidTr="00E607DA">
        <w:trPr>
          <w:trHeight w:val="23"/>
        </w:trPr>
        <w:tc>
          <w:tcPr>
            <w:tcW w:w="215" w:type="dxa"/>
            <w:tcBorders>
              <w:top w:val="nil"/>
              <w:left w:val="nil"/>
              <w:bottom w:val="nil"/>
              <w:right w:val="nil"/>
            </w:tcBorders>
            <w:shd w:val="clear" w:color="auto" w:fill="auto"/>
            <w:noWrap/>
            <w:vAlign w:val="center"/>
            <w:hideMark/>
          </w:tcPr>
          <w:p w14:paraId="082162DF" w14:textId="77777777" w:rsidR="007129DB" w:rsidRPr="00626042" w:rsidRDefault="007129DB" w:rsidP="00E607DA">
            <w:pPr>
              <w:jc w:val="right"/>
              <w:rPr>
                <w:rFonts w:ascii="Meta Pro" w:eastAsia="Times New Roman" w:hAnsi="Meta Pro" w:cs="Times New Roman"/>
                <w:sz w:val="20"/>
                <w:szCs w:val="20"/>
                <w:lang w:eastAsia="en-AU"/>
              </w:rPr>
            </w:pPr>
          </w:p>
        </w:tc>
        <w:tc>
          <w:tcPr>
            <w:tcW w:w="4990" w:type="dxa"/>
            <w:tcBorders>
              <w:top w:val="nil"/>
              <w:left w:val="nil"/>
              <w:bottom w:val="nil"/>
              <w:right w:val="nil"/>
            </w:tcBorders>
            <w:shd w:val="clear" w:color="auto" w:fill="auto"/>
            <w:noWrap/>
            <w:vAlign w:val="center"/>
            <w:hideMark/>
          </w:tcPr>
          <w:p w14:paraId="03DAC96D" w14:textId="77777777" w:rsidR="007129DB" w:rsidRPr="00626042" w:rsidRDefault="007129DB" w:rsidP="00E607DA">
            <w:pPr>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Net increase/(decrease) in cash </w:t>
            </w:r>
          </w:p>
        </w:tc>
        <w:tc>
          <w:tcPr>
            <w:tcW w:w="1021" w:type="dxa"/>
            <w:tcBorders>
              <w:top w:val="nil"/>
              <w:left w:val="nil"/>
              <w:bottom w:val="nil"/>
              <w:right w:val="nil"/>
            </w:tcBorders>
            <w:shd w:val="clear" w:color="auto" w:fill="auto"/>
            <w:noWrap/>
            <w:vAlign w:val="center"/>
            <w:hideMark/>
          </w:tcPr>
          <w:p w14:paraId="7B6E07DA" w14:textId="77777777" w:rsidR="007129DB" w:rsidRPr="00626042" w:rsidRDefault="007129DB" w:rsidP="00E607DA">
            <w:pPr>
              <w:rPr>
                <w:rFonts w:ascii="Meta Pro" w:eastAsia="Times New Roman" w:hAnsi="Meta Pro"/>
                <w:color w:val="000000"/>
                <w:szCs w:val="18"/>
                <w:lang w:eastAsia="en-AU"/>
              </w:rPr>
            </w:pPr>
          </w:p>
        </w:tc>
        <w:tc>
          <w:tcPr>
            <w:tcW w:w="215" w:type="dxa"/>
            <w:tcBorders>
              <w:top w:val="nil"/>
              <w:left w:val="nil"/>
              <w:bottom w:val="nil"/>
              <w:right w:val="nil"/>
            </w:tcBorders>
            <w:shd w:val="clear" w:color="auto" w:fill="auto"/>
            <w:noWrap/>
            <w:vAlign w:val="center"/>
            <w:hideMark/>
          </w:tcPr>
          <w:p w14:paraId="47302B4F" w14:textId="77777777" w:rsidR="007129DB" w:rsidRPr="00626042" w:rsidRDefault="007129DB"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1DFA4BF2"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(98,918)</w:t>
            </w:r>
          </w:p>
        </w:tc>
        <w:tc>
          <w:tcPr>
            <w:tcW w:w="216" w:type="dxa"/>
            <w:tcBorders>
              <w:top w:val="nil"/>
              <w:left w:val="nil"/>
              <w:bottom w:val="nil"/>
              <w:right w:val="nil"/>
            </w:tcBorders>
            <w:shd w:val="clear" w:color="auto" w:fill="auto"/>
            <w:noWrap/>
            <w:vAlign w:val="center"/>
            <w:hideMark/>
          </w:tcPr>
          <w:p w14:paraId="26403904" w14:textId="77777777" w:rsidR="007129DB" w:rsidRPr="00626042" w:rsidRDefault="007129DB"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08D8077A"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                      5,853 </w:t>
            </w:r>
          </w:p>
        </w:tc>
      </w:tr>
      <w:tr w:rsidR="007129DB" w:rsidRPr="00626042" w14:paraId="2AA08896" w14:textId="77777777" w:rsidTr="00E607DA">
        <w:trPr>
          <w:trHeight w:val="23"/>
        </w:trPr>
        <w:tc>
          <w:tcPr>
            <w:tcW w:w="215" w:type="dxa"/>
            <w:tcBorders>
              <w:top w:val="nil"/>
              <w:left w:val="nil"/>
              <w:bottom w:val="nil"/>
              <w:right w:val="nil"/>
            </w:tcBorders>
            <w:shd w:val="clear" w:color="auto" w:fill="auto"/>
            <w:noWrap/>
            <w:vAlign w:val="center"/>
            <w:hideMark/>
          </w:tcPr>
          <w:p w14:paraId="37C762A7" w14:textId="77777777" w:rsidR="007129DB" w:rsidRPr="00626042" w:rsidRDefault="007129DB" w:rsidP="00E607DA">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77206440" w14:textId="77777777" w:rsidR="007129DB" w:rsidRPr="00626042" w:rsidRDefault="007129DB" w:rsidP="00E607DA">
            <w:pPr>
              <w:rPr>
                <w:rFonts w:ascii="Meta Pro" w:eastAsia="Times New Roman" w:hAnsi="Meta Pro"/>
                <w:color w:val="000000"/>
                <w:szCs w:val="18"/>
                <w:lang w:eastAsia="en-AU"/>
              </w:rPr>
            </w:pPr>
            <w:r w:rsidRPr="00626042">
              <w:rPr>
                <w:rFonts w:ascii="Meta Pro" w:eastAsia="Times New Roman" w:hAnsi="Meta Pro"/>
                <w:color w:val="000000"/>
                <w:szCs w:val="18"/>
                <w:lang w:eastAsia="en-AU"/>
              </w:rPr>
              <w:t>Cash – opening balance</w:t>
            </w:r>
          </w:p>
        </w:tc>
        <w:tc>
          <w:tcPr>
            <w:tcW w:w="1021" w:type="dxa"/>
            <w:tcBorders>
              <w:top w:val="nil"/>
              <w:left w:val="nil"/>
              <w:bottom w:val="single" w:sz="4" w:space="0" w:color="auto"/>
              <w:right w:val="nil"/>
            </w:tcBorders>
            <w:shd w:val="clear" w:color="auto" w:fill="auto"/>
            <w:noWrap/>
            <w:vAlign w:val="center"/>
            <w:hideMark/>
          </w:tcPr>
          <w:p w14:paraId="30B2E54F" w14:textId="77777777" w:rsidR="007129DB" w:rsidRPr="00626042" w:rsidRDefault="007129DB" w:rsidP="00E607DA">
            <w:pPr>
              <w:jc w:val="center"/>
              <w:rPr>
                <w:rFonts w:ascii="Meta Pro" w:eastAsia="Times New Roman" w:hAnsi="Meta Pro"/>
                <w:color w:val="000000"/>
                <w:sz w:val="20"/>
                <w:szCs w:val="20"/>
                <w:lang w:eastAsia="en-AU"/>
              </w:rPr>
            </w:pPr>
            <w:r w:rsidRPr="00626042">
              <w:rPr>
                <w:rFonts w:ascii="Meta Pro" w:eastAsia="Times New Roman" w:hAnsi="Meta Pro"/>
                <w:color w:val="000000"/>
                <w:sz w:val="20"/>
                <w:szCs w:val="20"/>
                <w:lang w:eastAsia="en-AU"/>
              </w:rPr>
              <w:t> </w:t>
            </w:r>
          </w:p>
        </w:tc>
        <w:tc>
          <w:tcPr>
            <w:tcW w:w="215" w:type="dxa"/>
            <w:tcBorders>
              <w:top w:val="nil"/>
              <w:left w:val="nil"/>
              <w:bottom w:val="nil"/>
              <w:right w:val="nil"/>
            </w:tcBorders>
            <w:shd w:val="clear" w:color="auto" w:fill="auto"/>
            <w:noWrap/>
            <w:vAlign w:val="center"/>
            <w:hideMark/>
          </w:tcPr>
          <w:p w14:paraId="5A13DD7E" w14:textId="77777777" w:rsidR="007129DB" w:rsidRPr="00626042" w:rsidRDefault="007129DB" w:rsidP="00E607DA">
            <w:pPr>
              <w:jc w:val="center"/>
              <w:rPr>
                <w:rFonts w:ascii="Meta Pro" w:eastAsia="Times New Roman" w:hAnsi="Meta Pro"/>
                <w:color w:val="000000"/>
                <w:sz w:val="20"/>
                <w:szCs w:val="20"/>
                <w:lang w:eastAsia="en-AU"/>
              </w:rPr>
            </w:pPr>
          </w:p>
        </w:tc>
        <w:tc>
          <w:tcPr>
            <w:tcW w:w="1514" w:type="dxa"/>
            <w:tcBorders>
              <w:top w:val="nil"/>
              <w:left w:val="nil"/>
              <w:bottom w:val="nil"/>
              <w:right w:val="nil"/>
            </w:tcBorders>
            <w:shd w:val="clear" w:color="000000" w:fill="C9E3B4"/>
            <w:noWrap/>
            <w:vAlign w:val="center"/>
            <w:hideMark/>
          </w:tcPr>
          <w:p w14:paraId="472503CA"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344,348 </w:t>
            </w:r>
          </w:p>
        </w:tc>
        <w:tc>
          <w:tcPr>
            <w:tcW w:w="216" w:type="dxa"/>
            <w:tcBorders>
              <w:top w:val="nil"/>
              <w:left w:val="nil"/>
              <w:bottom w:val="nil"/>
              <w:right w:val="nil"/>
            </w:tcBorders>
            <w:shd w:val="clear" w:color="auto" w:fill="auto"/>
            <w:noWrap/>
            <w:vAlign w:val="center"/>
            <w:hideMark/>
          </w:tcPr>
          <w:p w14:paraId="720F2E20" w14:textId="77777777" w:rsidR="007129DB" w:rsidRPr="00626042" w:rsidRDefault="007129DB" w:rsidP="00E607DA">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4B698859" w14:textId="77777777" w:rsidR="007129DB" w:rsidRPr="00626042" w:rsidRDefault="007129DB"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                 338,495 </w:t>
            </w:r>
          </w:p>
        </w:tc>
      </w:tr>
      <w:tr w:rsidR="007129DB" w:rsidRPr="00626042" w14:paraId="13F69488" w14:textId="77777777" w:rsidTr="00E607DA">
        <w:trPr>
          <w:trHeight w:val="23"/>
        </w:trPr>
        <w:tc>
          <w:tcPr>
            <w:tcW w:w="4990" w:type="dxa"/>
            <w:gridSpan w:val="2"/>
            <w:tcBorders>
              <w:top w:val="single" w:sz="4" w:space="0" w:color="auto"/>
              <w:left w:val="nil"/>
              <w:bottom w:val="double" w:sz="6" w:space="0" w:color="auto"/>
              <w:right w:val="nil"/>
            </w:tcBorders>
            <w:shd w:val="clear" w:color="auto" w:fill="auto"/>
            <w:noWrap/>
            <w:vAlign w:val="center"/>
            <w:hideMark/>
          </w:tcPr>
          <w:p w14:paraId="6BA4BC8E" w14:textId="77777777" w:rsidR="007129DB" w:rsidRPr="00626042" w:rsidRDefault="007129DB" w:rsidP="00E607DA">
            <w:pPr>
              <w:rPr>
                <w:rFonts w:ascii="Meta Pro" w:eastAsia="Times New Roman" w:hAnsi="Meta Pro"/>
                <w:b/>
                <w:bCs/>
                <w:color w:val="000000"/>
                <w:szCs w:val="18"/>
                <w:lang w:eastAsia="en-AU"/>
              </w:rPr>
            </w:pPr>
            <w:r w:rsidRPr="00626042">
              <w:rPr>
                <w:rFonts w:ascii="Meta Pro" w:eastAsia="Times New Roman" w:hAnsi="Meta Pro"/>
                <w:b/>
                <w:bCs/>
                <w:color w:val="000000"/>
                <w:szCs w:val="18"/>
                <w:lang w:eastAsia="en-AU"/>
              </w:rPr>
              <w:t>CASH – CLOSING BALANCE</w:t>
            </w:r>
          </w:p>
        </w:tc>
        <w:tc>
          <w:tcPr>
            <w:tcW w:w="1021" w:type="dxa"/>
            <w:tcBorders>
              <w:top w:val="single" w:sz="4" w:space="0" w:color="auto"/>
              <w:left w:val="nil"/>
              <w:bottom w:val="double" w:sz="6" w:space="0" w:color="auto"/>
              <w:right w:val="nil"/>
            </w:tcBorders>
            <w:shd w:val="clear" w:color="auto" w:fill="auto"/>
            <w:noWrap/>
            <w:vAlign w:val="center"/>
            <w:hideMark/>
          </w:tcPr>
          <w:p w14:paraId="29E27A2A" w14:textId="77777777" w:rsidR="007129DB" w:rsidRPr="00626042" w:rsidRDefault="007129DB" w:rsidP="00E607DA">
            <w:pPr>
              <w:jc w:val="center"/>
              <w:rPr>
                <w:rFonts w:ascii="Meta Pro" w:eastAsia="Times New Roman" w:hAnsi="Meta Pro"/>
                <w:color w:val="000000"/>
                <w:szCs w:val="18"/>
                <w:lang w:eastAsia="en-AU"/>
              </w:rPr>
            </w:pPr>
            <w:r w:rsidRPr="00626042">
              <w:rPr>
                <w:rFonts w:ascii="Meta Pro" w:eastAsia="Times New Roman" w:hAnsi="Meta Pro"/>
                <w:color w:val="000000"/>
                <w:szCs w:val="18"/>
                <w:lang w:eastAsia="en-AU"/>
              </w:rPr>
              <w:t> </w:t>
            </w:r>
          </w:p>
        </w:tc>
        <w:tc>
          <w:tcPr>
            <w:tcW w:w="215" w:type="dxa"/>
            <w:tcBorders>
              <w:top w:val="single" w:sz="4" w:space="0" w:color="auto"/>
              <w:left w:val="nil"/>
              <w:bottom w:val="double" w:sz="6" w:space="0" w:color="auto"/>
              <w:right w:val="nil"/>
            </w:tcBorders>
            <w:shd w:val="clear" w:color="auto" w:fill="auto"/>
            <w:noWrap/>
            <w:vAlign w:val="center"/>
            <w:hideMark/>
          </w:tcPr>
          <w:p w14:paraId="70756A5B" w14:textId="77777777" w:rsidR="007129DB" w:rsidRPr="00626042" w:rsidRDefault="007129DB" w:rsidP="00E607DA">
            <w:pPr>
              <w:rPr>
                <w:rFonts w:ascii="Meta Pro" w:eastAsia="Times New Roman" w:hAnsi="Meta Pro"/>
                <w:color w:val="000000"/>
                <w:szCs w:val="18"/>
                <w:lang w:eastAsia="en-AU"/>
              </w:rPr>
            </w:pPr>
            <w:r w:rsidRPr="00626042">
              <w:rPr>
                <w:rFonts w:ascii="Meta Pro" w:eastAsia="Times New Roman" w:hAnsi="Meta Pro"/>
                <w:color w:val="000000"/>
                <w:szCs w:val="18"/>
                <w:lang w:eastAsia="en-AU"/>
              </w:rPr>
              <w:t> </w:t>
            </w:r>
          </w:p>
        </w:tc>
        <w:tc>
          <w:tcPr>
            <w:tcW w:w="1514" w:type="dxa"/>
            <w:tcBorders>
              <w:top w:val="single" w:sz="4" w:space="0" w:color="auto"/>
              <w:left w:val="nil"/>
              <w:bottom w:val="double" w:sz="6" w:space="0" w:color="auto"/>
              <w:right w:val="nil"/>
            </w:tcBorders>
            <w:shd w:val="clear" w:color="000000" w:fill="C9E3B4"/>
            <w:noWrap/>
            <w:vAlign w:val="center"/>
            <w:hideMark/>
          </w:tcPr>
          <w:p w14:paraId="637E21BD" w14:textId="77777777" w:rsidR="007129DB" w:rsidRPr="00626042" w:rsidRDefault="007129DB" w:rsidP="00E607DA">
            <w:pPr>
              <w:jc w:val="right"/>
              <w:rPr>
                <w:rFonts w:ascii="Meta Pro" w:eastAsia="Times New Roman" w:hAnsi="Meta Pro"/>
                <w:b/>
                <w:bCs/>
                <w:color w:val="000000"/>
                <w:szCs w:val="18"/>
                <w:lang w:eastAsia="en-AU"/>
              </w:rPr>
            </w:pPr>
            <w:r w:rsidRPr="00626042">
              <w:rPr>
                <w:rFonts w:ascii="Meta Pro" w:eastAsia="Times New Roman" w:hAnsi="Meta Pro"/>
                <w:b/>
                <w:bCs/>
                <w:color w:val="000000"/>
                <w:szCs w:val="18"/>
                <w:lang w:eastAsia="en-AU"/>
              </w:rPr>
              <w:t xml:space="preserve">245,430 </w:t>
            </w:r>
          </w:p>
        </w:tc>
        <w:tc>
          <w:tcPr>
            <w:tcW w:w="216" w:type="dxa"/>
            <w:tcBorders>
              <w:top w:val="single" w:sz="4" w:space="0" w:color="auto"/>
              <w:left w:val="nil"/>
              <w:bottom w:val="double" w:sz="6" w:space="0" w:color="auto"/>
              <w:right w:val="nil"/>
            </w:tcBorders>
            <w:shd w:val="clear" w:color="auto" w:fill="auto"/>
            <w:noWrap/>
            <w:vAlign w:val="center"/>
            <w:hideMark/>
          </w:tcPr>
          <w:p w14:paraId="78E13316" w14:textId="77777777" w:rsidR="007129DB" w:rsidRPr="00626042" w:rsidRDefault="007129DB" w:rsidP="00E607DA">
            <w:pPr>
              <w:jc w:val="right"/>
              <w:rPr>
                <w:rFonts w:ascii="Meta Pro" w:eastAsia="Times New Roman" w:hAnsi="Meta Pro"/>
                <w:b/>
                <w:bCs/>
                <w:color w:val="000000"/>
                <w:szCs w:val="18"/>
                <w:lang w:eastAsia="en-AU"/>
              </w:rPr>
            </w:pPr>
            <w:r w:rsidRPr="00626042">
              <w:rPr>
                <w:rFonts w:ascii="Meta Pro" w:eastAsia="Times New Roman" w:hAnsi="Meta Pro"/>
                <w:b/>
                <w:bCs/>
                <w:color w:val="000000"/>
                <w:szCs w:val="18"/>
                <w:lang w:eastAsia="en-AU"/>
              </w:rPr>
              <w:t> </w:t>
            </w:r>
          </w:p>
        </w:tc>
        <w:tc>
          <w:tcPr>
            <w:tcW w:w="1514" w:type="dxa"/>
            <w:tcBorders>
              <w:top w:val="single" w:sz="4" w:space="0" w:color="auto"/>
              <w:left w:val="nil"/>
              <w:bottom w:val="double" w:sz="6" w:space="0" w:color="auto"/>
              <w:right w:val="nil"/>
            </w:tcBorders>
            <w:shd w:val="clear" w:color="auto" w:fill="auto"/>
            <w:noWrap/>
            <w:vAlign w:val="center"/>
            <w:hideMark/>
          </w:tcPr>
          <w:p w14:paraId="7271D49E" w14:textId="77777777" w:rsidR="007129DB" w:rsidRPr="00626042" w:rsidRDefault="007129DB" w:rsidP="00E607DA">
            <w:pPr>
              <w:jc w:val="right"/>
              <w:rPr>
                <w:rFonts w:ascii="Meta Pro" w:eastAsia="Times New Roman" w:hAnsi="Meta Pro"/>
                <w:b/>
                <w:bCs/>
                <w:color w:val="000000"/>
                <w:szCs w:val="18"/>
                <w:lang w:eastAsia="en-AU"/>
              </w:rPr>
            </w:pPr>
            <w:r w:rsidRPr="00626042">
              <w:rPr>
                <w:rFonts w:ascii="Meta Pro" w:eastAsia="Times New Roman" w:hAnsi="Meta Pro"/>
                <w:b/>
                <w:bCs/>
                <w:color w:val="000000"/>
                <w:szCs w:val="18"/>
                <w:lang w:eastAsia="en-AU"/>
              </w:rPr>
              <w:t xml:space="preserve">                344,348 </w:t>
            </w:r>
          </w:p>
        </w:tc>
      </w:tr>
    </w:tbl>
    <w:p w14:paraId="04D51316" w14:textId="656148E4" w:rsidR="007129DB" w:rsidRPr="00092B22" w:rsidRDefault="007129DB" w:rsidP="007129DB">
      <w:pPr>
        <w:rPr>
          <w:rFonts w:ascii="Meta Pro" w:hAnsi="Meta Pro"/>
          <w:lang w:eastAsia="en-AU"/>
        </w:rPr>
      </w:pPr>
      <w:r w:rsidRPr="00092B22">
        <w:rPr>
          <w:rFonts w:ascii="Meta Pro" w:hAnsi="Meta Pro"/>
          <w:lang w:eastAsia="en-AU"/>
        </w:rPr>
        <w:t xml:space="preserve"> </w:t>
      </w:r>
      <w:r w:rsidRPr="00092B22">
        <w:rPr>
          <w:rFonts w:ascii="Meta Pro" w:hAnsi="Meta Pro"/>
          <w:i/>
          <w:iCs/>
          <w:szCs w:val="18"/>
        </w:rPr>
        <w:t>The accompanying notes form part of these financial statements.</w:t>
      </w:r>
    </w:p>
    <w:p w14:paraId="15FBE833" w14:textId="77777777" w:rsidR="007129DB" w:rsidRPr="00092B22" w:rsidRDefault="007129DB" w:rsidP="007129DB">
      <w:pPr>
        <w:shd w:val="clear" w:color="auto" w:fill="EBEBEB"/>
        <w:spacing w:after="120"/>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Cash disclosure</w:t>
      </w:r>
    </w:p>
    <w:p w14:paraId="7C07BC2C" w14:textId="77777777" w:rsidR="007129DB" w:rsidRPr="00092B22" w:rsidRDefault="007129DB" w:rsidP="007129DB">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color w:val="000000"/>
          <w:szCs w:val="18"/>
          <w:lang w:eastAsia="en-AU"/>
        </w:rPr>
        <w:t>Cash represents all cash on hand, cash at bank and cheques receipted but not banked at 30 June.</w:t>
      </w:r>
    </w:p>
    <w:p w14:paraId="4FCAE768" w14:textId="77777777" w:rsidR="007129DB" w:rsidRPr="00092B22" w:rsidRDefault="007129DB" w:rsidP="007129DB">
      <w:pPr>
        <w:shd w:val="clear" w:color="auto" w:fill="EBEBEB"/>
        <w:rPr>
          <w:rFonts w:ascii="Meta Pro" w:eastAsia="Times New Roman" w:hAnsi="Meta Pro"/>
          <w:color w:val="000000"/>
          <w:szCs w:val="18"/>
          <w:lang w:eastAsia="en-AU"/>
        </w:rPr>
      </w:pPr>
      <w:r w:rsidRPr="00092B22">
        <w:rPr>
          <w:rFonts w:ascii="Meta Pro" w:eastAsia="Times New Roman" w:hAnsi="Meta Pro"/>
          <w:color w:val="000000"/>
          <w:szCs w:val="18"/>
          <w:lang w:eastAsia="en-AU"/>
        </w:rPr>
        <w:t>The department's bank accounts are grouped within the whole of government banking set-off arrangement with Queensland Treasury Corporation and do not earn interest. The department has an overdraft facility with the Commonwealth Bank of Australia with an approved limit of $200m (2021: $200m). There is no interest charged on this overdraft facility.</w:t>
      </w:r>
    </w:p>
    <w:tbl>
      <w:tblPr>
        <w:tblW w:w="0" w:type="auto"/>
        <w:tblCellMar>
          <w:left w:w="0" w:type="dxa"/>
        </w:tblCellMar>
        <w:tblLook w:val="04A0" w:firstRow="1" w:lastRow="0" w:firstColumn="1" w:lastColumn="0" w:noHBand="0" w:noVBand="1"/>
      </w:tblPr>
      <w:tblGrid>
        <w:gridCol w:w="210"/>
        <w:gridCol w:w="4439"/>
        <w:gridCol w:w="924"/>
        <w:gridCol w:w="924"/>
        <w:gridCol w:w="210"/>
        <w:gridCol w:w="1360"/>
        <w:gridCol w:w="211"/>
        <w:gridCol w:w="1360"/>
      </w:tblGrid>
      <w:tr w:rsidR="002C082C" w:rsidRPr="00626042" w14:paraId="0029B4CE" w14:textId="77777777" w:rsidTr="00E607DA">
        <w:trPr>
          <w:trHeight w:val="240"/>
        </w:trPr>
        <w:tc>
          <w:tcPr>
            <w:tcW w:w="215" w:type="dxa"/>
            <w:tcBorders>
              <w:top w:val="nil"/>
              <w:left w:val="nil"/>
              <w:bottom w:val="nil"/>
              <w:right w:val="nil"/>
            </w:tcBorders>
            <w:shd w:val="clear" w:color="auto" w:fill="auto"/>
            <w:noWrap/>
            <w:vAlign w:val="center"/>
            <w:hideMark/>
          </w:tcPr>
          <w:p w14:paraId="1F3BC129" w14:textId="77777777" w:rsidR="002C082C" w:rsidRPr="00626042" w:rsidRDefault="002C082C" w:rsidP="00E607DA">
            <w:pPr>
              <w:rPr>
                <w:rFonts w:ascii="Meta Pro" w:eastAsia="Times New Roman" w:hAnsi="Meta Pro" w:cs="Times New Roman"/>
                <w:sz w:val="24"/>
                <w:szCs w:val="24"/>
                <w:lang w:eastAsia="en-AU"/>
              </w:rPr>
            </w:pPr>
          </w:p>
        </w:tc>
        <w:tc>
          <w:tcPr>
            <w:tcW w:w="4990" w:type="dxa"/>
            <w:tcBorders>
              <w:top w:val="nil"/>
              <w:left w:val="nil"/>
              <w:bottom w:val="nil"/>
              <w:right w:val="nil"/>
            </w:tcBorders>
            <w:shd w:val="clear" w:color="auto" w:fill="auto"/>
            <w:noWrap/>
            <w:vAlign w:val="center"/>
            <w:hideMark/>
          </w:tcPr>
          <w:p w14:paraId="526E1776" w14:textId="77777777" w:rsidR="002C082C" w:rsidRPr="00626042" w:rsidRDefault="002C082C" w:rsidP="00E607DA">
            <w:pPr>
              <w:rPr>
                <w:rFonts w:ascii="Meta Pro" w:eastAsia="Times New Roman" w:hAnsi="Meta Pro" w:cs="Times New Roman"/>
                <w:sz w:val="20"/>
                <w:szCs w:val="20"/>
                <w:lang w:eastAsia="en-AU"/>
              </w:rPr>
            </w:pPr>
          </w:p>
        </w:tc>
        <w:tc>
          <w:tcPr>
            <w:tcW w:w="1021" w:type="dxa"/>
            <w:gridSpan w:val="2"/>
            <w:tcBorders>
              <w:top w:val="nil"/>
              <w:left w:val="nil"/>
              <w:bottom w:val="nil"/>
              <w:right w:val="nil"/>
            </w:tcBorders>
            <w:shd w:val="clear" w:color="auto" w:fill="auto"/>
            <w:noWrap/>
            <w:vAlign w:val="center"/>
            <w:hideMark/>
          </w:tcPr>
          <w:p w14:paraId="6486F457" w14:textId="77777777" w:rsidR="002C082C" w:rsidRPr="00626042" w:rsidRDefault="002C082C" w:rsidP="00E607DA">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28588BB8" w14:textId="77777777" w:rsidR="002C082C" w:rsidRPr="00626042" w:rsidRDefault="002C082C"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67F4CAB6" w14:textId="77777777" w:rsidR="002C082C" w:rsidRPr="00626042" w:rsidRDefault="002C082C" w:rsidP="00E607DA">
            <w:pPr>
              <w:jc w:val="center"/>
              <w:rPr>
                <w:rFonts w:ascii="Meta Pro" w:eastAsia="Times New Roman" w:hAnsi="Meta Pro"/>
                <w:b/>
                <w:bCs/>
                <w:color w:val="000000"/>
                <w:lang w:eastAsia="en-AU"/>
              </w:rPr>
            </w:pPr>
            <w:r w:rsidRPr="00626042">
              <w:rPr>
                <w:rFonts w:ascii="Meta Pro" w:eastAsia="Times New Roman" w:hAnsi="Meta Pro"/>
                <w:b/>
                <w:bCs/>
                <w:color w:val="000000"/>
                <w:lang w:eastAsia="en-AU"/>
              </w:rPr>
              <w:t>2022</w:t>
            </w:r>
          </w:p>
        </w:tc>
        <w:tc>
          <w:tcPr>
            <w:tcW w:w="216" w:type="dxa"/>
            <w:tcBorders>
              <w:top w:val="nil"/>
              <w:left w:val="nil"/>
              <w:bottom w:val="nil"/>
              <w:right w:val="nil"/>
            </w:tcBorders>
            <w:shd w:val="clear" w:color="auto" w:fill="auto"/>
            <w:noWrap/>
            <w:vAlign w:val="center"/>
            <w:hideMark/>
          </w:tcPr>
          <w:p w14:paraId="3511A327" w14:textId="77777777" w:rsidR="002C082C" w:rsidRPr="00626042" w:rsidRDefault="002C082C" w:rsidP="00E607DA">
            <w:pPr>
              <w:jc w:val="center"/>
              <w:rPr>
                <w:rFonts w:ascii="Meta Pro" w:eastAsia="Times New Roman" w:hAnsi="Meta Pro"/>
                <w:b/>
                <w:bCs/>
                <w:color w:val="000000"/>
                <w:lang w:eastAsia="en-AU"/>
              </w:rPr>
            </w:pPr>
          </w:p>
        </w:tc>
        <w:tc>
          <w:tcPr>
            <w:tcW w:w="1514" w:type="dxa"/>
            <w:tcBorders>
              <w:top w:val="nil"/>
              <w:left w:val="nil"/>
              <w:bottom w:val="nil"/>
              <w:right w:val="nil"/>
            </w:tcBorders>
            <w:shd w:val="clear" w:color="auto" w:fill="auto"/>
            <w:noWrap/>
            <w:vAlign w:val="center"/>
            <w:hideMark/>
          </w:tcPr>
          <w:p w14:paraId="00ACCC63" w14:textId="77777777" w:rsidR="002C082C" w:rsidRPr="00626042" w:rsidRDefault="002C082C" w:rsidP="00E607DA">
            <w:pPr>
              <w:jc w:val="center"/>
              <w:rPr>
                <w:rFonts w:ascii="Meta Pro" w:eastAsia="Times New Roman" w:hAnsi="Meta Pro"/>
                <w:b/>
                <w:bCs/>
                <w:color w:val="000000"/>
                <w:lang w:eastAsia="en-AU"/>
              </w:rPr>
            </w:pPr>
            <w:r w:rsidRPr="00626042">
              <w:rPr>
                <w:rFonts w:ascii="Meta Pro" w:eastAsia="Times New Roman" w:hAnsi="Meta Pro"/>
                <w:b/>
                <w:bCs/>
                <w:color w:val="000000"/>
                <w:lang w:eastAsia="en-AU"/>
              </w:rPr>
              <w:t>2021</w:t>
            </w:r>
          </w:p>
        </w:tc>
      </w:tr>
      <w:tr w:rsidR="002C082C" w:rsidRPr="00626042" w14:paraId="1BBD0C29" w14:textId="77777777" w:rsidTr="00E607DA">
        <w:trPr>
          <w:trHeight w:val="240"/>
        </w:trPr>
        <w:tc>
          <w:tcPr>
            <w:tcW w:w="215" w:type="dxa"/>
            <w:tcBorders>
              <w:top w:val="nil"/>
              <w:left w:val="nil"/>
              <w:bottom w:val="nil"/>
              <w:right w:val="nil"/>
            </w:tcBorders>
            <w:shd w:val="clear" w:color="auto" w:fill="auto"/>
            <w:noWrap/>
            <w:vAlign w:val="center"/>
            <w:hideMark/>
          </w:tcPr>
          <w:p w14:paraId="5B09F736" w14:textId="77777777" w:rsidR="002C082C" w:rsidRPr="00626042" w:rsidRDefault="002C082C" w:rsidP="00E607DA">
            <w:pPr>
              <w:jc w:val="center"/>
              <w:rPr>
                <w:rFonts w:ascii="Meta Pro" w:eastAsia="Times New Roman" w:hAnsi="Meta Pro"/>
                <w:b/>
                <w:bCs/>
                <w:color w:val="000000"/>
                <w:lang w:eastAsia="en-AU"/>
              </w:rPr>
            </w:pPr>
          </w:p>
        </w:tc>
        <w:tc>
          <w:tcPr>
            <w:tcW w:w="4990" w:type="dxa"/>
            <w:tcBorders>
              <w:top w:val="nil"/>
              <w:left w:val="nil"/>
              <w:bottom w:val="nil"/>
              <w:right w:val="nil"/>
            </w:tcBorders>
            <w:shd w:val="clear" w:color="auto" w:fill="auto"/>
            <w:noWrap/>
            <w:vAlign w:val="center"/>
            <w:hideMark/>
          </w:tcPr>
          <w:p w14:paraId="285DB6AF" w14:textId="77777777" w:rsidR="002C082C" w:rsidRPr="00626042" w:rsidRDefault="002C082C" w:rsidP="00E607DA">
            <w:pPr>
              <w:rPr>
                <w:rFonts w:ascii="Meta Pro" w:eastAsia="Times New Roman" w:hAnsi="Meta Pro" w:cs="Times New Roman"/>
                <w:sz w:val="20"/>
                <w:szCs w:val="20"/>
                <w:lang w:eastAsia="en-AU"/>
              </w:rPr>
            </w:pPr>
          </w:p>
        </w:tc>
        <w:tc>
          <w:tcPr>
            <w:tcW w:w="1021" w:type="dxa"/>
            <w:gridSpan w:val="2"/>
            <w:tcBorders>
              <w:top w:val="nil"/>
              <w:left w:val="nil"/>
              <w:bottom w:val="nil"/>
              <w:right w:val="nil"/>
            </w:tcBorders>
            <w:shd w:val="clear" w:color="auto" w:fill="auto"/>
            <w:noWrap/>
            <w:vAlign w:val="center"/>
            <w:hideMark/>
          </w:tcPr>
          <w:p w14:paraId="2E362068" w14:textId="77777777" w:rsidR="002C082C" w:rsidRPr="00626042" w:rsidRDefault="002C082C" w:rsidP="00E607DA">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6D85FE89" w14:textId="77777777" w:rsidR="002C082C" w:rsidRPr="00626042" w:rsidRDefault="002C082C"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4882B5EB" w14:textId="77777777" w:rsidR="002C082C" w:rsidRPr="00626042" w:rsidRDefault="002C082C" w:rsidP="00E607DA">
            <w:pPr>
              <w:jc w:val="center"/>
              <w:rPr>
                <w:rFonts w:ascii="Meta Pro" w:eastAsia="Times New Roman" w:hAnsi="Meta Pro"/>
                <w:b/>
                <w:bCs/>
                <w:color w:val="000000"/>
                <w:lang w:eastAsia="en-AU"/>
              </w:rPr>
            </w:pPr>
            <w:r w:rsidRPr="00626042">
              <w:rPr>
                <w:rFonts w:ascii="Meta Pro" w:eastAsia="Times New Roman" w:hAnsi="Meta Pro"/>
                <w:b/>
                <w:bCs/>
                <w:color w:val="000000"/>
                <w:lang w:eastAsia="en-AU"/>
              </w:rPr>
              <w:t>$'000</w:t>
            </w:r>
          </w:p>
        </w:tc>
        <w:tc>
          <w:tcPr>
            <w:tcW w:w="216" w:type="dxa"/>
            <w:tcBorders>
              <w:top w:val="nil"/>
              <w:left w:val="nil"/>
              <w:bottom w:val="nil"/>
              <w:right w:val="nil"/>
            </w:tcBorders>
            <w:shd w:val="clear" w:color="auto" w:fill="auto"/>
            <w:noWrap/>
            <w:vAlign w:val="center"/>
            <w:hideMark/>
          </w:tcPr>
          <w:p w14:paraId="5989E4CB" w14:textId="77777777" w:rsidR="002C082C" w:rsidRPr="00626042" w:rsidRDefault="002C082C" w:rsidP="00E607DA">
            <w:pPr>
              <w:jc w:val="center"/>
              <w:rPr>
                <w:rFonts w:ascii="Meta Pro" w:eastAsia="Times New Roman" w:hAnsi="Meta Pro"/>
                <w:b/>
                <w:bCs/>
                <w:color w:val="000000"/>
                <w:lang w:eastAsia="en-AU"/>
              </w:rPr>
            </w:pPr>
          </w:p>
        </w:tc>
        <w:tc>
          <w:tcPr>
            <w:tcW w:w="1514" w:type="dxa"/>
            <w:tcBorders>
              <w:top w:val="nil"/>
              <w:left w:val="nil"/>
              <w:bottom w:val="nil"/>
              <w:right w:val="nil"/>
            </w:tcBorders>
            <w:shd w:val="clear" w:color="auto" w:fill="auto"/>
            <w:noWrap/>
            <w:vAlign w:val="center"/>
            <w:hideMark/>
          </w:tcPr>
          <w:p w14:paraId="1A1B1338" w14:textId="77777777" w:rsidR="002C082C" w:rsidRPr="00626042" w:rsidRDefault="002C082C" w:rsidP="00E607DA">
            <w:pPr>
              <w:jc w:val="center"/>
              <w:rPr>
                <w:rFonts w:ascii="Meta Pro" w:eastAsia="Times New Roman" w:hAnsi="Meta Pro"/>
                <w:b/>
                <w:bCs/>
                <w:color w:val="000000"/>
                <w:lang w:eastAsia="en-AU"/>
              </w:rPr>
            </w:pPr>
            <w:r w:rsidRPr="00626042">
              <w:rPr>
                <w:rFonts w:ascii="Meta Pro" w:eastAsia="Times New Roman" w:hAnsi="Meta Pro"/>
                <w:b/>
                <w:bCs/>
                <w:color w:val="000000"/>
                <w:lang w:eastAsia="en-AU"/>
              </w:rPr>
              <w:t>$'000</w:t>
            </w:r>
          </w:p>
        </w:tc>
      </w:tr>
      <w:tr w:rsidR="002C082C" w:rsidRPr="00626042" w14:paraId="2EFA1EF2" w14:textId="77777777" w:rsidTr="00E607DA">
        <w:trPr>
          <w:trHeight w:val="240"/>
        </w:trPr>
        <w:tc>
          <w:tcPr>
            <w:tcW w:w="4990" w:type="dxa"/>
            <w:gridSpan w:val="2"/>
            <w:tcBorders>
              <w:top w:val="nil"/>
              <w:left w:val="nil"/>
              <w:bottom w:val="nil"/>
              <w:right w:val="nil"/>
            </w:tcBorders>
            <w:shd w:val="clear" w:color="auto" w:fill="auto"/>
            <w:noWrap/>
            <w:vAlign w:val="center"/>
            <w:hideMark/>
          </w:tcPr>
          <w:p w14:paraId="3E8838F1" w14:textId="77777777" w:rsidR="002C082C" w:rsidRPr="00626042" w:rsidRDefault="002C082C" w:rsidP="00E607DA">
            <w:pPr>
              <w:rPr>
                <w:rFonts w:ascii="Meta Pro" w:eastAsia="Times New Roman" w:hAnsi="Meta Pro"/>
                <w:b/>
                <w:bCs/>
                <w:lang w:eastAsia="en-AU"/>
              </w:rPr>
            </w:pPr>
            <w:r w:rsidRPr="00626042">
              <w:rPr>
                <w:rFonts w:ascii="Meta Pro" w:eastAsia="Times New Roman" w:hAnsi="Meta Pro"/>
                <w:b/>
                <w:bCs/>
                <w:lang w:eastAsia="en-AU"/>
              </w:rPr>
              <w:t>RECONCILIATION OF OPERATING RESULT TO</w:t>
            </w:r>
          </w:p>
        </w:tc>
        <w:tc>
          <w:tcPr>
            <w:tcW w:w="1021" w:type="dxa"/>
            <w:gridSpan w:val="2"/>
            <w:tcBorders>
              <w:top w:val="nil"/>
              <w:left w:val="nil"/>
              <w:bottom w:val="nil"/>
              <w:right w:val="nil"/>
            </w:tcBorders>
            <w:shd w:val="clear" w:color="auto" w:fill="auto"/>
            <w:noWrap/>
            <w:vAlign w:val="center"/>
            <w:hideMark/>
          </w:tcPr>
          <w:p w14:paraId="0AFD4A4C" w14:textId="77777777" w:rsidR="002C082C" w:rsidRPr="00626042" w:rsidRDefault="002C082C" w:rsidP="00E607DA">
            <w:pPr>
              <w:rPr>
                <w:rFonts w:ascii="Meta Pro" w:eastAsia="Times New Roman" w:hAnsi="Meta Pro"/>
                <w:b/>
                <w:bCs/>
                <w:lang w:eastAsia="en-AU"/>
              </w:rPr>
            </w:pPr>
          </w:p>
        </w:tc>
        <w:tc>
          <w:tcPr>
            <w:tcW w:w="215" w:type="dxa"/>
            <w:tcBorders>
              <w:top w:val="nil"/>
              <w:left w:val="nil"/>
              <w:bottom w:val="nil"/>
              <w:right w:val="nil"/>
            </w:tcBorders>
            <w:shd w:val="clear" w:color="auto" w:fill="auto"/>
            <w:noWrap/>
            <w:vAlign w:val="center"/>
            <w:hideMark/>
          </w:tcPr>
          <w:p w14:paraId="321809CC" w14:textId="77777777" w:rsidR="002C082C" w:rsidRPr="00626042" w:rsidRDefault="002C082C"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5F3C95D3" w14:textId="77777777" w:rsidR="002C082C" w:rsidRPr="00626042" w:rsidRDefault="002C082C" w:rsidP="00E607DA">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324C9AC4" w14:textId="77777777" w:rsidR="002C082C" w:rsidRPr="00626042" w:rsidRDefault="002C082C"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3FDA263F" w14:textId="77777777" w:rsidR="002C082C" w:rsidRPr="00626042" w:rsidRDefault="002C082C" w:rsidP="00E607DA">
            <w:pPr>
              <w:jc w:val="center"/>
              <w:rPr>
                <w:rFonts w:ascii="Meta Pro" w:eastAsia="Times New Roman" w:hAnsi="Meta Pro" w:cs="Times New Roman"/>
                <w:sz w:val="20"/>
                <w:szCs w:val="20"/>
                <w:lang w:eastAsia="en-AU"/>
              </w:rPr>
            </w:pPr>
          </w:p>
        </w:tc>
      </w:tr>
      <w:tr w:rsidR="002C082C" w:rsidRPr="00626042" w14:paraId="5F2AAB48" w14:textId="77777777" w:rsidTr="00E607DA">
        <w:trPr>
          <w:trHeight w:val="240"/>
        </w:trPr>
        <w:tc>
          <w:tcPr>
            <w:tcW w:w="4990" w:type="dxa"/>
            <w:gridSpan w:val="2"/>
            <w:tcBorders>
              <w:top w:val="nil"/>
              <w:left w:val="nil"/>
              <w:bottom w:val="nil"/>
              <w:right w:val="nil"/>
            </w:tcBorders>
            <w:shd w:val="clear" w:color="auto" w:fill="auto"/>
            <w:noWrap/>
            <w:vAlign w:val="center"/>
            <w:hideMark/>
          </w:tcPr>
          <w:p w14:paraId="4C81FE82" w14:textId="77777777" w:rsidR="002C082C" w:rsidRPr="00626042" w:rsidRDefault="002C082C" w:rsidP="00E607DA">
            <w:pPr>
              <w:rPr>
                <w:rFonts w:ascii="Meta Pro" w:eastAsia="Times New Roman" w:hAnsi="Meta Pro"/>
                <w:b/>
                <w:bCs/>
                <w:lang w:eastAsia="en-AU"/>
              </w:rPr>
            </w:pPr>
            <w:r w:rsidRPr="00626042">
              <w:rPr>
                <w:rFonts w:ascii="Meta Pro" w:eastAsia="Times New Roman" w:hAnsi="Meta Pro"/>
                <w:b/>
                <w:bCs/>
                <w:lang w:eastAsia="en-AU"/>
              </w:rPr>
              <w:t>NET CASH PROVIDED BY OPERATING ACTIVITIES</w:t>
            </w:r>
          </w:p>
        </w:tc>
        <w:tc>
          <w:tcPr>
            <w:tcW w:w="1021" w:type="dxa"/>
            <w:gridSpan w:val="2"/>
            <w:tcBorders>
              <w:top w:val="nil"/>
              <w:left w:val="nil"/>
              <w:bottom w:val="nil"/>
              <w:right w:val="nil"/>
            </w:tcBorders>
            <w:shd w:val="clear" w:color="auto" w:fill="auto"/>
            <w:noWrap/>
            <w:vAlign w:val="center"/>
            <w:hideMark/>
          </w:tcPr>
          <w:p w14:paraId="320D9DD7" w14:textId="77777777" w:rsidR="002C082C" w:rsidRPr="00626042" w:rsidRDefault="002C082C" w:rsidP="00E607DA">
            <w:pPr>
              <w:rPr>
                <w:rFonts w:ascii="Meta Pro" w:eastAsia="Times New Roman" w:hAnsi="Meta Pro"/>
                <w:b/>
                <w:bCs/>
                <w:lang w:eastAsia="en-AU"/>
              </w:rPr>
            </w:pPr>
          </w:p>
        </w:tc>
        <w:tc>
          <w:tcPr>
            <w:tcW w:w="215" w:type="dxa"/>
            <w:tcBorders>
              <w:top w:val="nil"/>
              <w:left w:val="nil"/>
              <w:bottom w:val="nil"/>
              <w:right w:val="nil"/>
            </w:tcBorders>
            <w:shd w:val="clear" w:color="auto" w:fill="auto"/>
            <w:noWrap/>
            <w:vAlign w:val="center"/>
            <w:hideMark/>
          </w:tcPr>
          <w:p w14:paraId="4F6D0810" w14:textId="77777777" w:rsidR="002C082C" w:rsidRPr="00626042" w:rsidRDefault="002C082C"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24DB282E" w14:textId="77777777" w:rsidR="002C082C" w:rsidRPr="00626042" w:rsidRDefault="002C082C" w:rsidP="00E607DA">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06A12270" w14:textId="77777777" w:rsidR="002C082C" w:rsidRPr="00626042" w:rsidRDefault="002C082C"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6EB2DF3A" w14:textId="77777777" w:rsidR="002C082C" w:rsidRPr="00626042" w:rsidRDefault="002C082C" w:rsidP="00E607DA">
            <w:pPr>
              <w:jc w:val="center"/>
              <w:rPr>
                <w:rFonts w:ascii="Meta Pro" w:eastAsia="Times New Roman" w:hAnsi="Meta Pro" w:cs="Times New Roman"/>
                <w:sz w:val="20"/>
                <w:szCs w:val="20"/>
                <w:lang w:eastAsia="en-AU"/>
              </w:rPr>
            </w:pPr>
          </w:p>
        </w:tc>
      </w:tr>
      <w:tr w:rsidR="002C082C" w:rsidRPr="00626042" w14:paraId="48BD6FEA" w14:textId="77777777" w:rsidTr="00E607DA">
        <w:trPr>
          <w:trHeight w:val="240"/>
        </w:trPr>
        <w:tc>
          <w:tcPr>
            <w:tcW w:w="215" w:type="dxa"/>
            <w:tcBorders>
              <w:top w:val="nil"/>
              <w:left w:val="nil"/>
              <w:bottom w:val="nil"/>
              <w:right w:val="nil"/>
            </w:tcBorders>
            <w:shd w:val="clear" w:color="auto" w:fill="auto"/>
            <w:noWrap/>
            <w:vAlign w:val="center"/>
            <w:hideMark/>
          </w:tcPr>
          <w:p w14:paraId="02F9C2B3" w14:textId="77777777" w:rsidR="002C082C" w:rsidRPr="00626042" w:rsidRDefault="002C082C" w:rsidP="00E607DA">
            <w:pPr>
              <w:jc w:val="center"/>
              <w:rPr>
                <w:rFonts w:ascii="Meta Pro" w:eastAsia="Times New Roman" w:hAnsi="Meta Pro" w:cs="Times New Roman"/>
                <w:sz w:val="20"/>
                <w:szCs w:val="20"/>
                <w:lang w:eastAsia="en-AU"/>
              </w:rPr>
            </w:pPr>
          </w:p>
        </w:tc>
        <w:tc>
          <w:tcPr>
            <w:tcW w:w="4990" w:type="dxa"/>
            <w:tcBorders>
              <w:top w:val="nil"/>
              <w:left w:val="nil"/>
              <w:bottom w:val="nil"/>
              <w:right w:val="nil"/>
            </w:tcBorders>
            <w:shd w:val="clear" w:color="auto" w:fill="auto"/>
            <w:noWrap/>
            <w:vAlign w:val="center"/>
            <w:hideMark/>
          </w:tcPr>
          <w:p w14:paraId="42AF02D3" w14:textId="77777777" w:rsidR="002C082C" w:rsidRPr="00626042" w:rsidRDefault="002C082C" w:rsidP="00E607DA">
            <w:pPr>
              <w:rPr>
                <w:rFonts w:ascii="Meta Pro" w:eastAsia="Times New Roman" w:hAnsi="Meta Pro" w:cs="Times New Roman"/>
                <w:sz w:val="20"/>
                <w:szCs w:val="20"/>
                <w:lang w:eastAsia="en-AU"/>
              </w:rPr>
            </w:pPr>
          </w:p>
        </w:tc>
        <w:tc>
          <w:tcPr>
            <w:tcW w:w="1021" w:type="dxa"/>
            <w:gridSpan w:val="2"/>
            <w:tcBorders>
              <w:top w:val="nil"/>
              <w:left w:val="nil"/>
              <w:bottom w:val="nil"/>
              <w:right w:val="nil"/>
            </w:tcBorders>
            <w:shd w:val="clear" w:color="auto" w:fill="auto"/>
            <w:noWrap/>
            <w:vAlign w:val="center"/>
            <w:hideMark/>
          </w:tcPr>
          <w:p w14:paraId="4F0C4287" w14:textId="77777777" w:rsidR="002C082C" w:rsidRPr="00626042" w:rsidRDefault="002C082C" w:rsidP="00E607DA">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246118C6" w14:textId="77777777" w:rsidR="002C082C" w:rsidRPr="00626042" w:rsidRDefault="002C082C"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3C0034B4" w14:textId="77777777" w:rsidR="002C082C" w:rsidRPr="00626042" w:rsidRDefault="002C082C" w:rsidP="00E607DA">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6EF2AFE2" w14:textId="77777777" w:rsidR="002C082C" w:rsidRPr="00626042" w:rsidRDefault="002C082C" w:rsidP="00E607DA">
            <w:pPr>
              <w:jc w:val="right"/>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6F5270C7" w14:textId="77777777" w:rsidR="002C082C" w:rsidRPr="00626042" w:rsidRDefault="002C082C" w:rsidP="00E607DA">
            <w:pPr>
              <w:jc w:val="right"/>
              <w:rPr>
                <w:rFonts w:ascii="Meta Pro" w:eastAsia="Times New Roman" w:hAnsi="Meta Pro" w:cs="Times New Roman"/>
                <w:sz w:val="20"/>
                <w:szCs w:val="20"/>
                <w:lang w:eastAsia="en-AU"/>
              </w:rPr>
            </w:pPr>
          </w:p>
        </w:tc>
      </w:tr>
      <w:tr w:rsidR="002C082C" w:rsidRPr="00626042" w14:paraId="27264E0D" w14:textId="77777777" w:rsidTr="00E607DA">
        <w:trPr>
          <w:trHeight w:val="240"/>
        </w:trPr>
        <w:tc>
          <w:tcPr>
            <w:tcW w:w="4990" w:type="dxa"/>
            <w:gridSpan w:val="2"/>
            <w:tcBorders>
              <w:top w:val="nil"/>
              <w:left w:val="nil"/>
              <w:bottom w:val="nil"/>
              <w:right w:val="nil"/>
            </w:tcBorders>
            <w:shd w:val="clear" w:color="auto" w:fill="auto"/>
            <w:noWrap/>
            <w:vAlign w:val="center"/>
            <w:hideMark/>
          </w:tcPr>
          <w:p w14:paraId="267B33F5" w14:textId="77777777" w:rsidR="002C082C" w:rsidRPr="00626042" w:rsidRDefault="002C082C" w:rsidP="00E607DA">
            <w:pPr>
              <w:rPr>
                <w:rFonts w:ascii="Meta Pro" w:eastAsia="Times New Roman" w:hAnsi="Meta Pro"/>
                <w:b/>
                <w:bCs/>
                <w:szCs w:val="18"/>
                <w:lang w:eastAsia="en-AU"/>
              </w:rPr>
            </w:pPr>
            <w:r w:rsidRPr="00626042">
              <w:rPr>
                <w:rFonts w:ascii="Meta Pro" w:eastAsia="Times New Roman" w:hAnsi="Meta Pro"/>
                <w:b/>
                <w:bCs/>
                <w:szCs w:val="18"/>
                <w:lang w:eastAsia="en-AU"/>
              </w:rPr>
              <w:t>OPERATING RESULT</w:t>
            </w:r>
          </w:p>
        </w:tc>
        <w:tc>
          <w:tcPr>
            <w:tcW w:w="1021" w:type="dxa"/>
            <w:gridSpan w:val="2"/>
            <w:tcBorders>
              <w:top w:val="nil"/>
              <w:left w:val="nil"/>
              <w:bottom w:val="nil"/>
              <w:right w:val="nil"/>
            </w:tcBorders>
            <w:shd w:val="clear" w:color="auto" w:fill="auto"/>
            <w:noWrap/>
            <w:vAlign w:val="center"/>
            <w:hideMark/>
          </w:tcPr>
          <w:p w14:paraId="5F851093" w14:textId="77777777" w:rsidR="002C082C" w:rsidRPr="00626042" w:rsidRDefault="002C082C" w:rsidP="00E607DA">
            <w:pPr>
              <w:rPr>
                <w:rFonts w:ascii="Meta Pro" w:eastAsia="Times New Roman" w:hAnsi="Meta Pro"/>
                <w:b/>
                <w:bCs/>
                <w:szCs w:val="18"/>
                <w:lang w:eastAsia="en-AU"/>
              </w:rPr>
            </w:pPr>
          </w:p>
        </w:tc>
        <w:tc>
          <w:tcPr>
            <w:tcW w:w="215" w:type="dxa"/>
            <w:tcBorders>
              <w:top w:val="nil"/>
              <w:left w:val="nil"/>
              <w:bottom w:val="nil"/>
              <w:right w:val="nil"/>
            </w:tcBorders>
            <w:shd w:val="clear" w:color="auto" w:fill="auto"/>
            <w:noWrap/>
            <w:vAlign w:val="center"/>
            <w:hideMark/>
          </w:tcPr>
          <w:p w14:paraId="0ED9B7B0" w14:textId="77777777" w:rsidR="002C082C" w:rsidRPr="00626042" w:rsidRDefault="002C082C"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51689E13"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(61,079)</w:t>
            </w:r>
          </w:p>
        </w:tc>
        <w:tc>
          <w:tcPr>
            <w:tcW w:w="216" w:type="dxa"/>
            <w:tcBorders>
              <w:top w:val="nil"/>
              <w:left w:val="nil"/>
              <w:bottom w:val="nil"/>
              <w:right w:val="nil"/>
            </w:tcBorders>
            <w:shd w:val="clear" w:color="auto" w:fill="auto"/>
            <w:noWrap/>
            <w:vAlign w:val="center"/>
            <w:hideMark/>
          </w:tcPr>
          <w:p w14:paraId="35850F27" w14:textId="77777777" w:rsidR="002C082C" w:rsidRPr="00626042" w:rsidRDefault="002C082C" w:rsidP="00E607DA">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4CA31340" w14:textId="77777777" w:rsidR="002C082C" w:rsidRPr="00626042" w:rsidRDefault="002C082C"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14,676 </w:t>
            </w:r>
          </w:p>
        </w:tc>
      </w:tr>
      <w:tr w:rsidR="002C082C" w:rsidRPr="00626042" w14:paraId="0FDA49FC" w14:textId="77777777" w:rsidTr="00E607DA">
        <w:trPr>
          <w:trHeight w:val="240"/>
        </w:trPr>
        <w:tc>
          <w:tcPr>
            <w:tcW w:w="215" w:type="dxa"/>
            <w:tcBorders>
              <w:top w:val="nil"/>
              <w:left w:val="nil"/>
              <w:bottom w:val="nil"/>
              <w:right w:val="nil"/>
            </w:tcBorders>
            <w:shd w:val="clear" w:color="auto" w:fill="auto"/>
            <w:noWrap/>
            <w:vAlign w:val="center"/>
            <w:hideMark/>
          </w:tcPr>
          <w:p w14:paraId="038D0D5C" w14:textId="77777777" w:rsidR="002C082C" w:rsidRPr="00626042" w:rsidRDefault="002C082C" w:rsidP="00E607DA">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55464495" w14:textId="77777777" w:rsidR="002C082C" w:rsidRPr="00626042" w:rsidRDefault="002C082C" w:rsidP="00E607DA">
            <w:pPr>
              <w:rPr>
                <w:rFonts w:ascii="Meta Pro" w:eastAsia="Times New Roman" w:hAnsi="Meta Pro" w:cs="Times New Roman"/>
                <w:sz w:val="20"/>
                <w:szCs w:val="20"/>
                <w:lang w:eastAsia="en-AU"/>
              </w:rPr>
            </w:pPr>
          </w:p>
        </w:tc>
        <w:tc>
          <w:tcPr>
            <w:tcW w:w="1021" w:type="dxa"/>
            <w:gridSpan w:val="2"/>
            <w:tcBorders>
              <w:top w:val="nil"/>
              <w:left w:val="nil"/>
              <w:bottom w:val="nil"/>
              <w:right w:val="nil"/>
            </w:tcBorders>
            <w:shd w:val="clear" w:color="auto" w:fill="auto"/>
            <w:noWrap/>
            <w:vAlign w:val="center"/>
            <w:hideMark/>
          </w:tcPr>
          <w:p w14:paraId="03C1F0E2" w14:textId="77777777" w:rsidR="002C082C" w:rsidRPr="00626042" w:rsidRDefault="002C082C" w:rsidP="00E607DA">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4242BF08" w14:textId="77777777" w:rsidR="002C082C" w:rsidRPr="00626042" w:rsidRDefault="002C082C"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15A760D6"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513ABDCB" w14:textId="77777777" w:rsidR="002C082C" w:rsidRPr="00626042" w:rsidRDefault="002C082C" w:rsidP="00E607DA">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558FFC99" w14:textId="77777777" w:rsidR="002C082C" w:rsidRPr="00626042" w:rsidRDefault="002C082C" w:rsidP="00E607DA">
            <w:pPr>
              <w:rPr>
                <w:rFonts w:ascii="Meta Pro" w:eastAsia="Times New Roman" w:hAnsi="Meta Pro" w:cs="Times New Roman"/>
                <w:sz w:val="20"/>
                <w:szCs w:val="20"/>
                <w:lang w:eastAsia="en-AU"/>
              </w:rPr>
            </w:pPr>
          </w:p>
        </w:tc>
      </w:tr>
      <w:tr w:rsidR="002C082C" w:rsidRPr="00626042" w14:paraId="16E03CF5" w14:textId="77777777" w:rsidTr="00E607DA">
        <w:trPr>
          <w:trHeight w:val="240"/>
        </w:trPr>
        <w:tc>
          <w:tcPr>
            <w:tcW w:w="4990" w:type="dxa"/>
            <w:gridSpan w:val="2"/>
            <w:tcBorders>
              <w:top w:val="nil"/>
              <w:left w:val="nil"/>
              <w:bottom w:val="nil"/>
              <w:right w:val="nil"/>
            </w:tcBorders>
            <w:shd w:val="clear" w:color="auto" w:fill="auto"/>
            <w:noWrap/>
            <w:vAlign w:val="center"/>
            <w:hideMark/>
          </w:tcPr>
          <w:p w14:paraId="4454F834" w14:textId="77777777" w:rsidR="002C082C" w:rsidRPr="00626042" w:rsidRDefault="002C082C" w:rsidP="00E607DA">
            <w:pPr>
              <w:rPr>
                <w:rFonts w:ascii="Meta Pro" w:eastAsia="Times New Roman" w:hAnsi="Meta Pro"/>
                <w:b/>
                <w:bCs/>
                <w:szCs w:val="18"/>
                <w:lang w:eastAsia="en-AU"/>
              </w:rPr>
            </w:pPr>
            <w:r w:rsidRPr="00626042">
              <w:rPr>
                <w:rFonts w:ascii="Meta Pro" w:eastAsia="Times New Roman" w:hAnsi="Meta Pro"/>
                <w:b/>
                <w:bCs/>
                <w:szCs w:val="18"/>
                <w:lang w:eastAsia="en-AU"/>
              </w:rPr>
              <w:t>Non-cash items included in operating result</w:t>
            </w:r>
          </w:p>
        </w:tc>
        <w:tc>
          <w:tcPr>
            <w:tcW w:w="1021" w:type="dxa"/>
            <w:gridSpan w:val="2"/>
            <w:tcBorders>
              <w:top w:val="nil"/>
              <w:left w:val="nil"/>
              <w:bottom w:val="nil"/>
              <w:right w:val="nil"/>
            </w:tcBorders>
            <w:shd w:val="clear" w:color="auto" w:fill="auto"/>
            <w:noWrap/>
            <w:vAlign w:val="center"/>
            <w:hideMark/>
          </w:tcPr>
          <w:p w14:paraId="0AC2AA73" w14:textId="77777777" w:rsidR="002C082C" w:rsidRPr="00626042" w:rsidRDefault="002C082C" w:rsidP="00E607DA">
            <w:pPr>
              <w:rPr>
                <w:rFonts w:ascii="Meta Pro" w:eastAsia="Times New Roman" w:hAnsi="Meta Pro"/>
                <w:b/>
                <w:bCs/>
                <w:szCs w:val="18"/>
                <w:lang w:eastAsia="en-AU"/>
              </w:rPr>
            </w:pPr>
          </w:p>
        </w:tc>
        <w:tc>
          <w:tcPr>
            <w:tcW w:w="215" w:type="dxa"/>
            <w:tcBorders>
              <w:top w:val="nil"/>
              <w:left w:val="nil"/>
              <w:bottom w:val="nil"/>
              <w:right w:val="nil"/>
            </w:tcBorders>
            <w:shd w:val="clear" w:color="auto" w:fill="auto"/>
            <w:noWrap/>
            <w:vAlign w:val="center"/>
            <w:hideMark/>
          </w:tcPr>
          <w:p w14:paraId="6911C329" w14:textId="77777777" w:rsidR="002C082C" w:rsidRPr="00626042" w:rsidRDefault="002C082C"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6978DD60"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5CD191C7" w14:textId="77777777" w:rsidR="002C082C" w:rsidRPr="00626042" w:rsidRDefault="002C082C" w:rsidP="00E607DA">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6ED25A54" w14:textId="77777777" w:rsidR="002C082C" w:rsidRPr="00626042" w:rsidRDefault="002C082C" w:rsidP="00E607DA">
            <w:pPr>
              <w:jc w:val="right"/>
              <w:rPr>
                <w:rFonts w:ascii="Meta Pro" w:eastAsia="Times New Roman" w:hAnsi="Meta Pro" w:cs="Times New Roman"/>
                <w:sz w:val="20"/>
                <w:szCs w:val="20"/>
                <w:lang w:eastAsia="en-AU"/>
              </w:rPr>
            </w:pPr>
          </w:p>
        </w:tc>
      </w:tr>
      <w:tr w:rsidR="002C082C" w:rsidRPr="00626042" w14:paraId="32535FE2" w14:textId="77777777" w:rsidTr="00E607DA">
        <w:trPr>
          <w:trHeight w:val="240"/>
        </w:trPr>
        <w:tc>
          <w:tcPr>
            <w:tcW w:w="4990" w:type="dxa"/>
            <w:gridSpan w:val="2"/>
            <w:tcBorders>
              <w:top w:val="nil"/>
              <w:left w:val="nil"/>
              <w:bottom w:val="nil"/>
              <w:right w:val="nil"/>
            </w:tcBorders>
            <w:shd w:val="clear" w:color="auto" w:fill="auto"/>
            <w:noWrap/>
            <w:vAlign w:val="center"/>
            <w:hideMark/>
          </w:tcPr>
          <w:p w14:paraId="338F40F8" w14:textId="77777777" w:rsidR="002C082C" w:rsidRPr="00626042" w:rsidRDefault="002C082C" w:rsidP="00E607DA">
            <w:pPr>
              <w:rPr>
                <w:rFonts w:ascii="Meta Pro" w:eastAsia="Times New Roman" w:hAnsi="Meta Pro"/>
                <w:szCs w:val="18"/>
                <w:lang w:eastAsia="en-AU"/>
              </w:rPr>
            </w:pPr>
            <w:r w:rsidRPr="00626042">
              <w:rPr>
                <w:rFonts w:ascii="Meta Pro" w:eastAsia="Times New Roman" w:hAnsi="Meta Pro"/>
                <w:szCs w:val="18"/>
                <w:lang w:eastAsia="en-AU"/>
              </w:rPr>
              <w:t>Goods, services and assets received at below fair value</w:t>
            </w:r>
          </w:p>
        </w:tc>
        <w:tc>
          <w:tcPr>
            <w:tcW w:w="1021" w:type="dxa"/>
            <w:gridSpan w:val="2"/>
            <w:tcBorders>
              <w:top w:val="nil"/>
              <w:left w:val="nil"/>
              <w:bottom w:val="nil"/>
              <w:right w:val="nil"/>
            </w:tcBorders>
            <w:shd w:val="clear" w:color="auto" w:fill="auto"/>
            <w:noWrap/>
            <w:vAlign w:val="center"/>
            <w:hideMark/>
          </w:tcPr>
          <w:p w14:paraId="19BC4C41" w14:textId="77777777" w:rsidR="002C082C" w:rsidRPr="00626042" w:rsidRDefault="002C082C" w:rsidP="00E607DA">
            <w:pPr>
              <w:rPr>
                <w:rFonts w:ascii="Meta Pro" w:eastAsia="Times New Roman" w:hAnsi="Meta Pro"/>
                <w:szCs w:val="18"/>
                <w:lang w:eastAsia="en-AU"/>
              </w:rPr>
            </w:pPr>
          </w:p>
        </w:tc>
        <w:tc>
          <w:tcPr>
            <w:tcW w:w="215" w:type="dxa"/>
            <w:tcBorders>
              <w:top w:val="nil"/>
              <w:left w:val="nil"/>
              <w:bottom w:val="nil"/>
              <w:right w:val="nil"/>
            </w:tcBorders>
            <w:shd w:val="clear" w:color="auto" w:fill="auto"/>
            <w:noWrap/>
            <w:vAlign w:val="center"/>
            <w:hideMark/>
          </w:tcPr>
          <w:p w14:paraId="67C60B24" w14:textId="77777777" w:rsidR="002C082C" w:rsidRPr="00626042" w:rsidRDefault="002C082C"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33A64064"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(71,576)</w:t>
            </w:r>
          </w:p>
        </w:tc>
        <w:tc>
          <w:tcPr>
            <w:tcW w:w="216" w:type="dxa"/>
            <w:tcBorders>
              <w:top w:val="nil"/>
              <w:left w:val="nil"/>
              <w:bottom w:val="nil"/>
              <w:right w:val="nil"/>
            </w:tcBorders>
            <w:shd w:val="clear" w:color="auto" w:fill="auto"/>
            <w:noWrap/>
            <w:vAlign w:val="center"/>
            <w:hideMark/>
          </w:tcPr>
          <w:p w14:paraId="0C010DC7" w14:textId="77777777" w:rsidR="002C082C" w:rsidRPr="00626042" w:rsidRDefault="002C082C" w:rsidP="00E607DA">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1F7A4FC8" w14:textId="77777777" w:rsidR="002C082C" w:rsidRPr="00626042" w:rsidRDefault="002C082C"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(5,121)</w:t>
            </w:r>
          </w:p>
        </w:tc>
      </w:tr>
      <w:tr w:rsidR="002C082C" w:rsidRPr="00626042" w14:paraId="26BF3A6E" w14:textId="77777777" w:rsidTr="00E607DA">
        <w:trPr>
          <w:trHeight w:val="240"/>
        </w:trPr>
        <w:tc>
          <w:tcPr>
            <w:tcW w:w="4990" w:type="dxa"/>
            <w:gridSpan w:val="2"/>
            <w:tcBorders>
              <w:top w:val="nil"/>
              <w:left w:val="nil"/>
              <w:bottom w:val="nil"/>
              <w:right w:val="nil"/>
            </w:tcBorders>
            <w:shd w:val="clear" w:color="auto" w:fill="auto"/>
            <w:noWrap/>
            <w:vAlign w:val="center"/>
            <w:hideMark/>
          </w:tcPr>
          <w:p w14:paraId="43922BBB" w14:textId="77777777" w:rsidR="002C082C" w:rsidRPr="00626042" w:rsidRDefault="002C082C" w:rsidP="00E607DA">
            <w:pPr>
              <w:rPr>
                <w:rFonts w:ascii="Meta Pro" w:eastAsia="Times New Roman" w:hAnsi="Meta Pro"/>
                <w:szCs w:val="18"/>
                <w:lang w:eastAsia="en-AU"/>
              </w:rPr>
            </w:pPr>
            <w:r w:rsidRPr="00626042">
              <w:rPr>
                <w:rFonts w:ascii="Meta Pro" w:eastAsia="Times New Roman" w:hAnsi="Meta Pro"/>
                <w:szCs w:val="18"/>
                <w:lang w:eastAsia="en-AU"/>
              </w:rPr>
              <w:t>Gains on disposal of assets</w:t>
            </w:r>
          </w:p>
        </w:tc>
        <w:tc>
          <w:tcPr>
            <w:tcW w:w="1021" w:type="dxa"/>
            <w:gridSpan w:val="2"/>
            <w:tcBorders>
              <w:top w:val="nil"/>
              <w:left w:val="nil"/>
              <w:bottom w:val="nil"/>
              <w:right w:val="nil"/>
            </w:tcBorders>
            <w:shd w:val="clear" w:color="auto" w:fill="auto"/>
            <w:noWrap/>
            <w:vAlign w:val="center"/>
            <w:hideMark/>
          </w:tcPr>
          <w:p w14:paraId="59A47B79" w14:textId="77777777" w:rsidR="002C082C" w:rsidRPr="00626042" w:rsidRDefault="002C082C" w:rsidP="00E607DA">
            <w:pPr>
              <w:rPr>
                <w:rFonts w:ascii="Meta Pro" w:eastAsia="Times New Roman" w:hAnsi="Meta Pro"/>
                <w:szCs w:val="18"/>
                <w:lang w:eastAsia="en-AU"/>
              </w:rPr>
            </w:pPr>
          </w:p>
        </w:tc>
        <w:tc>
          <w:tcPr>
            <w:tcW w:w="215" w:type="dxa"/>
            <w:tcBorders>
              <w:top w:val="nil"/>
              <w:left w:val="nil"/>
              <w:bottom w:val="nil"/>
              <w:right w:val="nil"/>
            </w:tcBorders>
            <w:shd w:val="clear" w:color="auto" w:fill="auto"/>
            <w:noWrap/>
            <w:vAlign w:val="center"/>
            <w:hideMark/>
          </w:tcPr>
          <w:p w14:paraId="1621C94B" w14:textId="77777777" w:rsidR="002C082C" w:rsidRPr="00626042" w:rsidRDefault="002C082C"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29341126"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(3,127)</w:t>
            </w:r>
          </w:p>
        </w:tc>
        <w:tc>
          <w:tcPr>
            <w:tcW w:w="216" w:type="dxa"/>
            <w:tcBorders>
              <w:top w:val="nil"/>
              <w:left w:val="nil"/>
              <w:bottom w:val="nil"/>
              <w:right w:val="nil"/>
            </w:tcBorders>
            <w:shd w:val="clear" w:color="auto" w:fill="auto"/>
            <w:noWrap/>
            <w:vAlign w:val="center"/>
            <w:hideMark/>
          </w:tcPr>
          <w:p w14:paraId="4D829C8C" w14:textId="77777777" w:rsidR="002C082C" w:rsidRPr="00626042" w:rsidRDefault="002C082C" w:rsidP="00E607DA">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26BC741D" w14:textId="77777777" w:rsidR="002C082C" w:rsidRPr="00626042" w:rsidRDefault="002C082C"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(4,073)</w:t>
            </w:r>
          </w:p>
        </w:tc>
      </w:tr>
      <w:tr w:rsidR="002C082C" w:rsidRPr="00626042" w14:paraId="21FFC2BF" w14:textId="77777777" w:rsidTr="00E607DA">
        <w:trPr>
          <w:trHeight w:val="240"/>
        </w:trPr>
        <w:tc>
          <w:tcPr>
            <w:tcW w:w="4990" w:type="dxa"/>
            <w:gridSpan w:val="2"/>
            <w:tcBorders>
              <w:top w:val="nil"/>
              <w:left w:val="nil"/>
              <w:bottom w:val="nil"/>
              <w:right w:val="nil"/>
            </w:tcBorders>
            <w:shd w:val="clear" w:color="auto" w:fill="auto"/>
            <w:noWrap/>
            <w:vAlign w:val="center"/>
            <w:hideMark/>
          </w:tcPr>
          <w:p w14:paraId="113142CA" w14:textId="77777777" w:rsidR="002C082C" w:rsidRPr="00626042" w:rsidRDefault="002C082C" w:rsidP="00E607DA">
            <w:pPr>
              <w:rPr>
                <w:rFonts w:ascii="Meta Pro" w:eastAsia="Times New Roman" w:hAnsi="Meta Pro"/>
                <w:szCs w:val="18"/>
                <w:lang w:eastAsia="en-AU"/>
              </w:rPr>
            </w:pPr>
            <w:r w:rsidRPr="00626042">
              <w:rPr>
                <w:rFonts w:ascii="Meta Pro" w:eastAsia="Times New Roman" w:hAnsi="Meta Pro"/>
                <w:szCs w:val="18"/>
                <w:lang w:eastAsia="en-AU"/>
              </w:rPr>
              <w:t>Gain on finance lease modification</w:t>
            </w:r>
          </w:p>
        </w:tc>
        <w:tc>
          <w:tcPr>
            <w:tcW w:w="1021" w:type="dxa"/>
            <w:gridSpan w:val="2"/>
            <w:tcBorders>
              <w:top w:val="nil"/>
              <w:left w:val="nil"/>
              <w:bottom w:val="nil"/>
              <w:right w:val="nil"/>
            </w:tcBorders>
            <w:shd w:val="clear" w:color="auto" w:fill="auto"/>
            <w:noWrap/>
            <w:vAlign w:val="center"/>
            <w:hideMark/>
          </w:tcPr>
          <w:p w14:paraId="29DBF508" w14:textId="77777777" w:rsidR="002C082C" w:rsidRPr="00626042" w:rsidRDefault="002C082C" w:rsidP="00E607DA">
            <w:pPr>
              <w:rPr>
                <w:rFonts w:ascii="Meta Pro" w:eastAsia="Times New Roman" w:hAnsi="Meta Pro"/>
                <w:szCs w:val="18"/>
                <w:lang w:eastAsia="en-AU"/>
              </w:rPr>
            </w:pPr>
          </w:p>
        </w:tc>
        <w:tc>
          <w:tcPr>
            <w:tcW w:w="215" w:type="dxa"/>
            <w:tcBorders>
              <w:top w:val="nil"/>
              <w:left w:val="nil"/>
              <w:bottom w:val="nil"/>
              <w:right w:val="nil"/>
            </w:tcBorders>
            <w:shd w:val="clear" w:color="auto" w:fill="auto"/>
            <w:noWrap/>
            <w:vAlign w:val="center"/>
            <w:hideMark/>
          </w:tcPr>
          <w:p w14:paraId="76540FD7" w14:textId="77777777" w:rsidR="002C082C" w:rsidRPr="00626042" w:rsidRDefault="002C082C"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11F0A671"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 xml:space="preserve">- </w:t>
            </w:r>
          </w:p>
        </w:tc>
        <w:tc>
          <w:tcPr>
            <w:tcW w:w="216" w:type="dxa"/>
            <w:tcBorders>
              <w:top w:val="nil"/>
              <w:left w:val="nil"/>
              <w:bottom w:val="nil"/>
              <w:right w:val="nil"/>
            </w:tcBorders>
            <w:shd w:val="clear" w:color="auto" w:fill="auto"/>
            <w:noWrap/>
            <w:vAlign w:val="center"/>
            <w:hideMark/>
          </w:tcPr>
          <w:p w14:paraId="582DEFED" w14:textId="77777777" w:rsidR="002C082C" w:rsidRPr="00626042" w:rsidRDefault="002C082C" w:rsidP="00E607DA">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755A3DBF" w14:textId="77777777" w:rsidR="002C082C" w:rsidRPr="00626042" w:rsidRDefault="002C082C"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(5,469)</w:t>
            </w:r>
          </w:p>
        </w:tc>
      </w:tr>
      <w:tr w:rsidR="002C082C" w:rsidRPr="00626042" w14:paraId="29A04AF2" w14:textId="77777777" w:rsidTr="00E607DA">
        <w:trPr>
          <w:trHeight w:val="240"/>
        </w:trPr>
        <w:tc>
          <w:tcPr>
            <w:tcW w:w="4990" w:type="dxa"/>
            <w:gridSpan w:val="2"/>
            <w:tcBorders>
              <w:top w:val="nil"/>
              <w:left w:val="nil"/>
              <w:bottom w:val="nil"/>
              <w:right w:val="nil"/>
            </w:tcBorders>
            <w:shd w:val="clear" w:color="auto" w:fill="auto"/>
            <w:noWrap/>
            <w:vAlign w:val="center"/>
            <w:hideMark/>
          </w:tcPr>
          <w:p w14:paraId="6BDEE4B0" w14:textId="77777777" w:rsidR="002C082C" w:rsidRPr="00626042" w:rsidRDefault="002C082C" w:rsidP="00E607DA">
            <w:pPr>
              <w:rPr>
                <w:rFonts w:ascii="Meta Pro" w:eastAsia="Times New Roman" w:hAnsi="Meta Pro"/>
                <w:szCs w:val="18"/>
                <w:lang w:eastAsia="en-AU"/>
              </w:rPr>
            </w:pPr>
            <w:r w:rsidRPr="00626042">
              <w:rPr>
                <w:rFonts w:ascii="Meta Pro" w:eastAsia="Times New Roman" w:hAnsi="Meta Pro"/>
                <w:szCs w:val="18"/>
                <w:lang w:eastAsia="en-AU"/>
              </w:rPr>
              <w:t>Service concession arrangements revenue</w:t>
            </w:r>
          </w:p>
        </w:tc>
        <w:tc>
          <w:tcPr>
            <w:tcW w:w="1021" w:type="dxa"/>
            <w:gridSpan w:val="2"/>
            <w:tcBorders>
              <w:top w:val="nil"/>
              <w:left w:val="nil"/>
              <w:bottom w:val="nil"/>
              <w:right w:val="nil"/>
            </w:tcBorders>
            <w:shd w:val="clear" w:color="auto" w:fill="auto"/>
            <w:noWrap/>
            <w:vAlign w:val="center"/>
            <w:hideMark/>
          </w:tcPr>
          <w:p w14:paraId="60F822D4" w14:textId="77777777" w:rsidR="002C082C" w:rsidRPr="00626042" w:rsidRDefault="002C082C" w:rsidP="00E607DA">
            <w:pPr>
              <w:rPr>
                <w:rFonts w:ascii="Meta Pro" w:eastAsia="Times New Roman" w:hAnsi="Meta Pro"/>
                <w:szCs w:val="18"/>
                <w:lang w:eastAsia="en-AU"/>
              </w:rPr>
            </w:pPr>
          </w:p>
        </w:tc>
        <w:tc>
          <w:tcPr>
            <w:tcW w:w="215" w:type="dxa"/>
            <w:tcBorders>
              <w:top w:val="nil"/>
              <w:left w:val="nil"/>
              <w:bottom w:val="nil"/>
              <w:right w:val="nil"/>
            </w:tcBorders>
            <w:shd w:val="clear" w:color="auto" w:fill="auto"/>
            <w:noWrap/>
            <w:vAlign w:val="center"/>
            <w:hideMark/>
          </w:tcPr>
          <w:p w14:paraId="2A5D18A0" w14:textId="77777777" w:rsidR="002C082C" w:rsidRPr="00626042" w:rsidRDefault="002C082C"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50868465"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(232,180)</w:t>
            </w:r>
          </w:p>
        </w:tc>
        <w:tc>
          <w:tcPr>
            <w:tcW w:w="216" w:type="dxa"/>
            <w:tcBorders>
              <w:top w:val="nil"/>
              <w:left w:val="nil"/>
              <w:bottom w:val="nil"/>
              <w:right w:val="nil"/>
            </w:tcBorders>
            <w:shd w:val="clear" w:color="auto" w:fill="auto"/>
            <w:noWrap/>
            <w:vAlign w:val="center"/>
            <w:hideMark/>
          </w:tcPr>
          <w:p w14:paraId="53920177" w14:textId="77777777" w:rsidR="002C082C" w:rsidRPr="00626042" w:rsidRDefault="002C082C" w:rsidP="00E607DA">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234F05DA" w14:textId="77777777" w:rsidR="002C082C" w:rsidRPr="00626042" w:rsidRDefault="002C082C"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(232,180)</w:t>
            </w:r>
          </w:p>
        </w:tc>
      </w:tr>
      <w:tr w:rsidR="002C082C" w:rsidRPr="00626042" w14:paraId="47808D07" w14:textId="77777777" w:rsidTr="00E607DA">
        <w:trPr>
          <w:trHeight w:val="240"/>
        </w:trPr>
        <w:tc>
          <w:tcPr>
            <w:tcW w:w="4990" w:type="dxa"/>
            <w:gridSpan w:val="2"/>
            <w:tcBorders>
              <w:top w:val="nil"/>
              <w:left w:val="nil"/>
              <w:bottom w:val="nil"/>
              <w:right w:val="nil"/>
            </w:tcBorders>
            <w:shd w:val="clear" w:color="auto" w:fill="auto"/>
            <w:noWrap/>
            <w:vAlign w:val="center"/>
            <w:hideMark/>
          </w:tcPr>
          <w:p w14:paraId="0567FC16" w14:textId="77777777" w:rsidR="002C082C" w:rsidRPr="00626042" w:rsidRDefault="002C082C" w:rsidP="00E607DA">
            <w:pPr>
              <w:rPr>
                <w:rFonts w:ascii="Meta Pro" w:eastAsia="Times New Roman" w:hAnsi="Meta Pro"/>
                <w:szCs w:val="18"/>
                <w:lang w:eastAsia="en-AU"/>
              </w:rPr>
            </w:pPr>
            <w:r w:rsidRPr="00626042">
              <w:rPr>
                <w:rFonts w:ascii="Meta Pro" w:eastAsia="Times New Roman" w:hAnsi="Meta Pro"/>
                <w:szCs w:val="18"/>
                <w:lang w:eastAsia="en-AU"/>
              </w:rPr>
              <w:t>Assets provided at below fair value</w:t>
            </w:r>
          </w:p>
        </w:tc>
        <w:tc>
          <w:tcPr>
            <w:tcW w:w="1021" w:type="dxa"/>
            <w:tcBorders>
              <w:top w:val="nil"/>
              <w:left w:val="nil"/>
              <w:bottom w:val="nil"/>
              <w:right w:val="nil"/>
            </w:tcBorders>
            <w:shd w:val="clear" w:color="auto" w:fill="auto"/>
            <w:noWrap/>
            <w:vAlign w:val="center"/>
            <w:hideMark/>
          </w:tcPr>
          <w:p w14:paraId="013E8720" w14:textId="77777777" w:rsidR="002C082C" w:rsidRPr="00626042" w:rsidRDefault="002C082C" w:rsidP="00E607DA">
            <w:pPr>
              <w:rPr>
                <w:rFonts w:ascii="Meta Pro" w:eastAsia="Times New Roman" w:hAnsi="Meta Pro"/>
                <w:szCs w:val="18"/>
                <w:lang w:eastAsia="en-AU"/>
              </w:rPr>
            </w:pPr>
          </w:p>
        </w:tc>
        <w:tc>
          <w:tcPr>
            <w:tcW w:w="1021" w:type="dxa"/>
            <w:tcBorders>
              <w:top w:val="nil"/>
              <w:left w:val="nil"/>
              <w:bottom w:val="nil"/>
              <w:right w:val="nil"/>
            </w:tcBorders>
            <w:shd w:val="clear" w:color="auto" w:fill="auto"/>
            <w:noWrap/>
            <w:vAlign w:val="center"/>
            <w:hideMark/>
          </w:tcPr>
          <w:p w14:paraId="56D293C4" w14:textId="77777777" w:rsidR="002C082C" w:rsidRPr="00626042" w:rsidRDefault="002C082C" w:rsidP="00E607DA">
            <w:pPr>
              <w:jc w:val="cente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677BA86F" w14:textId="77777777" w:rsidR="002C082C" w:rsidRPr="00626042" w:rsidRDefault="002C082C"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0DF994A7"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 xml:space="preserve">64,742 </w:t>
            </w:r>
          </w:p>
        </w:tc>
        <w:tc>
          <w:tcPr>
            <w:tcW w:w="216" w:type="dxa"/>
            <w:tcBorders>
              <w:top w:val="nil"/>
              <w:left w:val="nil"/>
              <w:bottom w:val="nil"/>
              <w:right w:val="nil"/>
            </w:tcBorders>
            <w:shd w:val="clear" w:color="auto" w:fill="auto"/>
            <w:noWrap/>
            <w:vAlign w:val="center"/>
            <w:hideMark/>
          </w:tcPr>
          <w:p w14:paraId="3AC8747B" w14:textId="77777777" w:rsidR="002C082C" w:rsidRPr="00626042" w:rsidRDefault="002C082C" w:rsidP="00E607DA">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372953CC" w14:textId="77777777" w:rsidR="002C082C" w:rsidRPr="00626042" w:rsidRDefault="002C082C"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13,406 </w:t>
            </w:r>
          </w:p>
        </w:tc>
      </w:tr>
      <w:tr w:rsidR="002C082C" w:rsidRPr="00626042" w14:paraId="1F7EDB6B" w14:textId="77777777" w:rsidTr="00E607DA">
        <w:trPr>
          <w:trHeight w:val="240"/>
        </w:trPr>
        <w:tc>
          <w:tcPr>
            <w:tcW w:w="4990" w:type="dxa"/>
            <w:gridSpan w:val="2"/>
            <w:tcBorders>
              <w:top w:val="nil"/>
              <w:left w:val="nil"/>
              <w:bottom w:val="nil"/>
              <w:right w:val="nil"/>
            </w:tcBorders>
            <w:shd w:val="clear" w:color="auto" w:fill="auto"/>
            <w:noWrap/>
            <w:vAlign w:val="center"/>
            <w:hideMark/>
          </w:tcPr>
          <w:p w14:paraId="29AF302B" w14:textId="77777777" w:rsidR="002C082C" w:rsidRPr="00626042" w:rsidRDefault="002C082C" w:rsidP="00E607DA">
            <w:pPr>
              <w:rPr>
                <w:rFonts w:ascii="Meta Pro" w:eastAsia="Times New Roman" w:hAnsi="Meta Pro"/>
                <w:szCs w:val="18"/>
                <w:lang w:eastAsia="en-AU"/>
              </w:rPr>
            </w:pPr>
            <w:r w:rsidRPr="00626042">
              <w:rPr>
                <w:rFonts w:ascii="Meta Pro" w:eastAsia="Times New Roman" w:hAnsi="Meta Pro"/>
                <w:szCs w:val="18"/>
                <w:lang w:eastAsia="en-AU"/>
              </w:rPr>
              <w:t xml:space="preserve">Depreciation and amortisation </w:t>
            </w:r>
          </w:p>
        </w:tc>
        <w:tc>
          <w:tcPr>
            <w:tcW w:w="1021" w:type="dxa"/>
            <w:gridSpan w:val="2"/>
            <w:tcBorders>
              <w:top w:val="nil"/>
              <w:left w:val="nil"/>
              <w:bottom w:val="nil"/>
              <w:right w:val="nil"/>
            </w:tcBorders>
            <w:shd w:val="clear" w:color="auto" w:fill="auto"/>
            <w:noWrap/>
            <w:vAlign w:val="center"/>
            <w:hideMark/>
          </w:tcPr>
          <w:p w14:paraId="40D7A74E" w14:textId="77777777" w:rsidR="002C082C" w:rsidRPr="00626042" w:rsidRDefault="002C082C" w:rsidP="00E607DA">
            <w:pPr>
              <w:rPr>
                <w:rFonts w:ascii="Meta Pro" w:eastAsia="Times New Roman" w:hAnsi="Meta Pro"/>
                <w:szCs w:val="18"/>
                <w:lang w:eastAsia="en-AU"/>
              </w:rPr>
            </w:pPr>
          </w:p>
        </w:tc>
        <w:tc>
          <w:tcPr>
            <w:tcW w:w="215" w:type="dxa"/>
            <w:tcBorders>
              <w:top w:val="nil"/>
              <w:left w:val="nil"/>
              <w:bottom w:val="nil"/>
              <w:right w:val="nil"/>
            </w:tcBorders>
            <w:shd w:val="clear" w:color="auto" w:fill="auto"/>
            <w:noWrap/>
            <w:vAlign w:val="center"/>
            <w:hideMark/>
          </w:tcPr>
          <w:p w14:paraId="2C3A3254" w14:textId="77777777" w:rsidR="002C082C" w:rsidRPr="00626042" w:rsidRDefault="002C082C"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4FA995EF"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 xml:space="preserve">1,355,679 </w:t>
            </w:r>
          </w:p>
        </w:tc>
        <w:tc>
          <w:tcPr>
            <w:tcW w:w="216" w:type="dxa"/>
            <w:tcBorders>
              <w:top w:val="nil"/>
              <w:left w:val="nil"/>
              <w:bottom w:val="nil"/>
              <w:right w:val="nil"/>
            </w:tcBorders>
            <w:shd w:val="clear" w:color="auto" w:fill="auto"/>
            <w:noWrap/>
            <w:vAlign w:val="center"/>
            <w:hideMark/>
          </w:tcPr>
          <w:p w14:paraId="37E9CE5D" w14:textId="77777777" w:rsidR="002C082C" w:rsidRPr="00626042" w:rsidRDefault="002C082C" w:rsidP="00E607DA">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1F9E85C7" w14:textId="77777777" w:rsidR="002C082C" w:rsidRPr="00626042" w:rsidRDefault="002C082C"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1,265,135 </w:t>
            </w:r>
          </w:p>
        </w:tc>
      </w:tr>
      <w:tr w:rsidR="002C082C" w:rsidRPr="00626042" w14:paraId="2AA9C8A1" w14:textId="77777777" w:rsidTr="00E607DA">
        <w:trPr>
          <w:trHeight w:val="240"/>
        </w:trPr>
        <w:tc>
          <w:tcPr>
            <w:tcW w:w="4990" w:type="dxa"/>
            <w:gridSpan w:val="2"/>
            <w:tcBorders>
              <w:top w:val="nil"/>
              <w:left w:val="nil"/>
              <w:bottom w:val="nil"/>
              <w:right w:val="nil"/>
            </w:tcBorders>
            <w:shd w:val="clear" w:color="auto" w:fill="auto"/>
            <w:noWrap/>
            <w:vAlign w:val="center"/>
            <w:hideMark/>
          </w:tcPr>
          <w:p w14:paraId="60B44D38" w14:textId="77777777" w:rsidR="002C082C" w:rsidRPr="00626042" w:rsidRDefault="002C082C" w:rsidP="00E607DA">
            <w:pPr>
              <w:rPr>
                <w:rFonts w:ascii="Meta Pro" w:eastAsia="Times New Roman" w:hAnsi="Meta Pro"/>
                <w:szCs w:val="18"/>
                <w:lang w:eastAsia="en-AU"/>
              </w:rPr>
            </w:pPr>
            <w:r w:rsidRPr="00626042">
              <w:rPr>
                <w:rFonts w:ascii="Meta Pro" w:eastAsia="Times New Roman" w:hAnsi="Meta Pro"/>
                <w:szCs w:val="18"/>
                <w:lang w:eastAsia="en-AU"/>
              </w:rPr>
              <w:t>Loss on disposed assets</w:t>
            </w:r>
          </w:p>
        </w:tc>
        <w:tc>
          <w:tcPr>
            <w:tcW w:w="1021" w:type="dxa"/>
            <w:gridSpan w:val="2"/>
            <w:tcBorders>
              <w:top w:val="nil"/>
              <w:left w:val="nil"/>
              <w:bottom w:val="nil"/>
              <w:right w:val="nil"/>
            </w:tcBorders>
            <w:shd w:val="clear" w:color="auto" w:fill="auto"/>
            <w:noWrap/>
            <w:vAlign w:val="center"/>
            <w:hideMark/>
          </w:tcPr>
          <w:p w14:paraId="000343C6" w14:textId="77777777" w:rsidR="002C082C" w:rsidRPr="00626042" w:rsidRDefault="002C082C" w:rsidP="00E607DA">
            <w:pPr>
              <w:rPr>
                <w:rFonts w:ascii="Meta Pro" w:eastAsia="Times New Roman" w:hAnsi="Meta Pro"/>
                <w:szCs w:val="18"/>
                <w:lang w:eastAsia="en-AU"/>
              </w:rPr>
            </w:pPr>
          </w:p>
        </w:tc>
        <w:tc>
          <w:tcPr>
            <w:tcW w:w="215" w:type="dxa"/>
            <w:tcBorders>
              <w:top w:val="nil"/>
              <w:left w:val="nil"/>
              <w:bottom w:val="nil"/>
              <w:right w:val="nil"/>
            </w:tcBorders>
            <w:shd w:val="clear" w:color="auto" w:fill="auto"/>
            <w:noWrap/>
            <w:vAlign w:val="center"/>
            <w:hideMark/>
          </w:tcPr>
          <w:p w14:paraId="184BC206" w14:textId="77777777" w:rsidR="002C082C" w:rsidRPr="00626042" w:rsidRDefault="002C082C"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2D5F1169"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 xml:space="preserve">5,191 </w:t>
            </w:r>
          </w:p>
        </w:tc>
        <w:tc>
          <w:tcPr>
            <w:tcW w:w="216" w:type="dxa"/>
            <w:tcBorders>
              <w:top w:val="nil"/>
              <w:left w:val="nil"/>
              <w:bottom w:val="nil"/>
              <w:right w:val="nil"/>
            </w:tcBorders>
            <w:shd w:val="clear" w:color="auto" w:fill="auto"/>
            <w:noWrap/>
            <w:vAlign w:val="center"/>
            <w:hideMark/>
          </w:tcPr>
          <w:p w14:paraId="332BB769" w14:textId="77777777" w:rsidR="002C082C" w:rsidRPr="00626042" w:rsidRDefault="002C082C" w:rsidP="00E607DA">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2F27F333" w14:textId="77777777" w:rsidR="002C082C" w:rsidRPr="00626042" w:rsidRDefault="002C082C"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24,901 </w:t>
            </w:r>
          </w:p>
        </w:tc>
      </w:tr>
      <w:tr w:rsidR="002C082C" w:rsidRPr="00626042" w14:paraId="564310F0" w14:textId="77777777" w:rsidTr="00E607DA">
        <w:trPr>
          <w:trHeight w:val="240"/>
        </w:trPr>
        <w:tc>
          <w:tcPr>
            <w:tcW w:w="215" w:type="dxa"/>
            <w:tcBorders>
              <w:top w:val="nil"/>
              <w:left w:val="nil"/>
              <w:bottom w:val="nil"/>
              <w:right w:val="nil"/>
            </w:tcBorders>
            <w:shd w:val="clear" w:color="auto" w:fill="auto"/>
            <w:noWrap/>
            <w:vAlign w:val="center"/>
            <w:hideMark/>
          </w:tcPr>
          <w:p w14:paraId="4E828332" w14:textId="77777777" w:rsidR="002C082C" w:rsidRPr="00626042" w:rsidRDefault="002C082C" w:rsidP="00E607DA">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7FEFE7EB" w14:textId="77777777" w:rsidR="002C082C" w:rsidRPr="00626042" w:rsidRDefault="002C082C" w:rsidP="00E607DA">
            <w:pPr>
              <w:rPr>
                <w:rFonts w:ascii="Meta Pro" w:eastAsia="Times New Roman" w:hAnsi="Meta Pro" w:cs="Times New Roman"/>
                <w:sz w:val="20"/>
                <w:szCs w:val="20"/>
                <w:lang w:eastAsia="en-AU"/>
              </w:rPr>
            </w:pPr>
          </w:p>
        </w:tc>
        <w:tc>
          <w:tcPr>
            <w:tcW w:w="1021" w:type="dxa"/>
            <w:gridSpan w:val="2"/>
            <w:tcBorders>
              <w:top w:val="nil"/>
              <w:left w:val="nil"/>
              <w:bottom w:val="nil"/>
              <w:right w:val="nil"/>
            </w:tcBorders>
            <w:shd w:val="clear" w:color="auto" w:fill="auto"/>
            <w:noWrap/>
            <w:vAlign w:val="center"/>
            <w:hideMark/>
          </w:tcPr>
          <w:p w14:paraId="31A1274C" w14:textId="77777777" w:rsidR="002C082C" w:rsidRPr="00626042" w:rsidRDefault="002C082C" w:rsidP="00E607DA">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0E6D4B14" w14:textId="77777777" w:rsidR="002C082C" w:rsidRPr="00626042" w:rsidRDefault="002C082C"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11E60826"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40D35107" w14:textId="77777777" w:rsidR="002C082C" w:rsidRPr="00626042" w:rsidRDefault="002C082C" w:rsidP="00E607DA">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05D84E5E" w14:textId="77777777" w:rsidR="002C082C" w:rsidRPr="00626042" w:rsidRDefault="002C082C" w:rsidP="00E607DA">
            <w:pPr>
              <w:rPr>
                <w:rFonts w:ascii="Meta Pro" w:eastAsia="Times New Roman" w:hAnsi="Meta Pro" w:cs="Times New Roman"/>
                <w:sz w:val="20"/>
                <w:szCs w:val="20"/>
                <w:lang w:eastAsia="en-AU"/>
              </w:rPr>
            </w:pPr>
          </w:p>
        </w:tc>
      </w:tr>
      <w:tr w:rsidR="002C082C" w:rsidRPr="00626042" w14:paraId="1DEB8CD1" w14:textId="77777777" w:rsidTr="00E607DA">
        <w:trPr>
          <w:trHeight w:val="240"/>
        </w:trPr>
        <w:tc>
          <w:tcPr>
            <w:tcW w:w="4990" w:type="dxa"/>
            <w:gridSpan w:val="2"/>
            <w:tcBorders>
              <w:top w:val="nil"/>
              <w:left w:val="nil"/>
              <w:bottom w:val="nil"/>
              <w:right w:val="nil"/>
            </w:tcBorders>
            <w:shd w:val="clear" w:color="auto" w:fill="auto"/>
            <w:noWrap/>
            <w:vAlign w:val="center"/>
            <w:hideMark/>
          </w:tcPr>
          <w:p w14:paraId="65EDA825" w14:textId="77777777" w:rsidR="002C082C" w:rsidRPr="00626042" w:rsidRDefault="002C082C" w:rsidP="00E607DA">
            <w:pPr>
              <w:rPr>
                <w:rFonts w:ascii="Meta Pro" w:eastAsia="Times New Roman" w:hAnsi="Meta Pro"/>
                <w:b/>
                <w:bCs/>
                <w:szCs w:val="18"/>
                <w:lang w:eastAsia="en-AU"/>
              </w:rPr>
            </w:pPr>
            <w:r w:rsidRPr="00626042">
              <w:rPr>
                <w:rFonts w:ascii="Meta Pro" w:eastAsia="Times New Roman" w:hAnsi="Meta Pro"/>
                <w:b/>
                <w:bCs/>
                <w:szCs w:val="18"/>
                <w:lang w:eastAsia="en-AU"/>
              </w:rPr>
              <w:t>Change in assets and liabilities:</w:t>
            </w:r>
          </w:p>
        </w:tc>
        <w:tc>
          <w:tcPr>
            <w:tcW w:w="1021" w:type="dxa"/>
            <w:gridSpan w:val="2"/>
            <w:tcBorders>
              <w:top w:val="nil"/>
              <w:left w:val="nil"/>
              <w:bottom w:val="nil"/>
              <w:right w:val="nil"/>
            </w:tcBorders>
            <w:shd w:val="clear" w:color="auto" w:fill="auto"/>
            <w:noWrap/>
            <w:vAlign w:val="center"/>
            <w:hideMark/>
          </w:tcPr>
          <w:p w14:paraId="69586EED" w14:textId="77777777" w:rsidR="002C082C" w:rsidRPr="00626042" w:rsidRDefault="002C082C" w:rsidP="00E607DA">
            <w:pPr>
              <w:rPr>
                <w:rFonts w:ascii="Meta Pro" w:eastAsia="Times New Roman" w:hAnsi="Meta Pro"/>
                <w:b/>
                <w:bCs/>
                <w:szCs w:val="18"/>
                <w:lang w:eastAsia="en-AU"/>
              </w:rPr>
            </w:pPr>
          </w:p>
        </w:tc>
        <w:tc>
          <w:tcPr>
            <w:tcW w:w="215" w:type="dxa"/>
            <w:tcBorders>
              <w:top w:val="nil"/>
              <w:left w:val="nil"/>
              <w:bottom w:val="nil"/>
              <w:right w:val="nil"/>
            </w:tcBorders>
            <w:shd w:val="clear" w:color="auto" w:fill="auto"/>
            <w:noWrap/>
            <w:vAlign w:val="center"/>
            <w:hideMark/>
          </w:tcPr>
          <w:p w14:paraId="00A471FD" w14:textId="77777777" w:rsidR="002C082C" w:rsidRPr="00626042" w:rsidRDefault="002C082C"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3FB59C00"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352E8278" w14:textId="77777777" w:rsidR="002C082C" w:rsidRPr="00626042" w:rsidRDefault="002C082C" w:rsidP="00E607DA">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54500C0F" w14:textId="77777777" w:rsidR="002C082C" w:rsidRPr="00626042" w:rsidRDefault="002C082C" w:rsidP="00E607DA">
            <w:pPr>
              <w:rPr>
                <w:rFonts w:ascii="Meta Pro" w:eastAsia="Times New Roman" w:hAnsi="Meta Pro" w:cs="Times New Roman"/>
                <w:sz w:val="20"/>
                <w:szCs w:val="20"/>
                <w:lang w:eastAsia="en-AU"/>
              </w:rPr>
            </w:pPr>
          </w:p>
        </w:tc>
      </w:tr>
      <w:tr w:rsidR="002C082C" w:rsidRPr="00626042" w14:paraId="0E4D93B4" w14:textId="77777777" w:rsidTr="00E607DA">
        <w:trPr>
          <w:trHeight w:val="240"/>
        </w:trPr>
        <w:tc>
          <w:tcPr>
            <w:tcW w:w="4990" w:type="dxa"/>
            <w:gridSpan w:val="2"/>
            <w:tcBorders>
              <w:top w:val="nil"/>
              <w:left w:val="nil"/>
              <w:bottom w:val="nil"/>
              <w:right w:val="nil"/>
            </w:tcBorders>
            <w:shd w:val="clear" w:color="auto" w:fill="auto"/>
            <w:noWrap/>
            <w:vAlign w:val="center"/>
            <w:hideMark/>
          </w:tcPr>
          <w:p w14:paraId="708600F2" w14:textId="77777777" w:rsidR="002C082C" w:rsidRPr="00626042" w:rsidRDefault="002C082C" w:rsidP="00E607DA">
            <w:pPr>
              <w:rPr>
                <w:rFonts w:ascii="Meta Pro" w:eastAsia="Times New Roman" w:hAnsi="Meta Pro"/>
                <w:szCs w:val="18"/>
                <w:lang w:eastAsia="en-AU"/>
              </w:rPr>
            </w:pPr>
            <w:r w:rsidRPr="00626042">
              <w:rPr>
                <w:rFonts w:ascii="Meta Pro" w:eastAsia="Times New Roman" w:hAnsi="Meta Pro"/>
                <w:szCs w:val="18"/>
                <w:lang w:eastAsia="en-AU"/>
              </w:rPr>
              <w:t>(Increase)/decrease in receivables</w:t>
            </w:r>
          </w:p>
        </w:tc>
        <w:tc>
          <w:tcPr>
            <w:tcW w:w="1021" w:type="dxa"/>
            <w:gridSpan w:val="2"/>
            <w:tcBorders>
              <w:top w:val="nil"/>
              <w:left w:val="nil"/>
              <w:bottom w:val="nil"/>
              <w:right w:val="nil"/>
            </w:tcBorders>
            <w:shd w:val="clear" w:color="auto" w:fill="auto"/>
            <w:noWrap/>
            <w:vAlign w:val="center"/>
            <w:hideMark/>
          </w:tcPr>
          <w:p w14:paraId="5FDF27A4" w14:textId="77777777" w:rsidR="002C082C" w:rsidRPr="00626042" w:rsidRDefault="002C082C" w:rsidP="00E607DA">
            <w:pPr>
              <w:rPr>
                <w:rFonts w:ascii="Meta Pro" w:eastAsia="Times New Roman" w:hAnsi="Meta Pro"/>
                <w:szCs w:val="18"/>
                <w:lang w:eastAsia="en-AU"/>
              </w:rPr>
            </w:pPr>
          </w:p>
        </w:tc>
        <w:tc>
          <w:tcPr>
            <w:tcW w:w="215" w:type="dxa"/>
            <w:tcBorders>
              <w:top w:val="nil"/>
              <w:left w:val="nil"/>
              <w:bottom w:val="nil"/>
              <w:right w:val="nil"/>
            </w:tcBorders>
            <w:shd w:val="clear" w:color="auto" w:fill="auto"/>
            <w:noWrap/>
            <w:vAlign w:val="center"/>
            <w:hideMark/>
          </w:tcPr>
          <w:p w14:paraId="0F00B5CB" w14:textId="77777777" w:rsidR="002C082C" w:rsidRPr="00626042" w:rsidRDefault="002C082C"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294ADFD9"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(3,918)</w:t>
            </w:r>
          </w:p>
        </w:tc>
        <w:tc>
          <w:tcPr>
            <w:tcW w:w="216" w:type="dxa"/>
            <w:tcBorders>
              <w:top w:val="nil"/>
              <w:left w:val="nil"/>
              <w:bottom w:val="nil"/>
              <w:right w:val="nil"/>
            </w:tcBorders>
            <w:shd w:val="clear" w:color="auto" w:fill="auto"/>
            <w:noWrap/>
            <w:vAlign w:val="center"/>
            <w:hideMark/>
          </w:tcPr>
          <w:p w14:paraId="387A5D07" w14:textId="77777777" w:rsidR="002C082C" w:rsidRPr="00626042" w:rsidRDefault="002C082C" w:rsidP="00E607DA">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494F9D2D" w14:textId="77777777" w:rsidR="002C082C" w:rsidRPr="00626042" w:rsidRDefault="002C082C"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(99,871)</w:t>
            </w:r>
          </w:p>
        </w:tc>
      </w:tr>
      <w:tr w:rsidR="002C082C" w:rsidRPr="00626042" w14:paraId="7C06A042" w14:textId="77777777" w:rsidTr="00E607DA">
        <w:trPr>
          <w:trHeight w:val="240"/>
        </w:trPr>
        <w:tc>
          <w:tcPr>
            <w:tcW w:w="4990" w:type="dxa"/>
            <w:gridSpan w:val="2"/>
            <w:tcBorders>
              <w:top w:val="nil"/>
              <w:left w:val="nil"/>
              <w:bottom w:val="nil"/>
              <w:right w:val="nil"/>
            </w:tcBorders>
            <w:shd w:val="clear" w:color="auto" w:fill="auto"/>
            <w:noWrap/>
            <w:vAlign w:val="center"/>
            <w:hideMark/>
          </w:tcPr>
          <w:p w14:paraId="51281763" w14:textId="77777777" w:rsidR="002C082C" w:rsidRPr="00626042" w:rsidRDefault="002C082C" w:rsidP="00E607DA">
            <w:pPr>
              <w:rPr>
                <w:rFonts w:ascii="Meta Pro" w:eastAsia="Times New Roman" w:hAnsi="Meta Pro"/>
                <w:szCs w:val="18"/>
                <w:lang w:eastAsia="en-AU"/>
              </w:rPr>
            </w:pPr>
            <w:r w:rsidRPr="00626042">
              <w:rPr>
                <w:rFonts w:ascii="Meta Pro" w:eastAsia="Times New Roman" w:hAnsi="Meta Pro"/>
                <w:szCs w:val="18"/>
                <w:lang w:eastAsia="en-AU"/>
              </w:rPr>
              <w:t>(Increase)/decrease in inventories</w:t>
            </w:r>
          </w:p>
        </w:tc>
        <w:tc>
          <w:tcPr>
            <w:tcW w:w="1021" w:type="dxa"/>
            <w:gridSpan w:val="2"/>
            <w:tcBorders>
              <w:top w:val="nil"/>
              <w:left w:val="nil"/>
              <w:bottom w:val="nil"/>
              <w:right w:val="nil"/>
            </w:tcBorders>
            <w:shd w:val="clear" w:color="auto" w:fill="auto"/>
            <w:noWrap/>
            <w:vAlign w:val="center"/>
            <w:hideMark/>
          </w:tcPr>
          <w:p w14:paraId="0A16173F" w14:textId="77777777" w:rsidR="002C082C" w:rsidRPr="00626042" w:rsidRDefault="002C082C" w:rsidP="00E607DA">
            <w:pPr>
              <w:rPr>
                <w:rFonts w:ascii="Meta Pro" w:eastAsia="Times New Roman" w:hAnsi="Meta Pro"/>
                <w:szCs w:val="18"/>
                <w:lang w:eastAsia="en-AU"/>
              </w:rPr>
            </w:pPr>
          </w:p>
        </w:tc>
        <w:tc>
          <w:tcPr>
            <w:tcW w:w="215" w:type="dxa"/>
            <w:tcBorders>
              <w:top w:val="nil"/>
              <w:left w:val="nil"/>
              <w:bottom w:val="nil"/>
              <w:right w:val="nil"/>
            </w:tcBorders>
            <w:shd w:val="clear" w:color="auto" w:fill="auto"/>
            <w:noWrap/>
            <w:vAlign w:val="center"/>
            <w:hideMark/>
          </w:tcPr>
          <w:p w14:paraId="0C867D0B" w14:textId="77777777" w:rsidR="002C082C" w:rsidRPr="00626042" w:rsidRDefault="002C082C"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1E77C878"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(1,926)</w:t>
            </w:r>
          </w:p>
        </w:tc>
        <w:tc>
          <w:tcPr>
            <w:tcW w:w="216" w:type="dxa"/>
            <w:tcBorders>
              <w:top w:val="nil"/>
              <w:left w:val="nil"/>
              <w:bottom w:val="nil"/>
              <w:right w:val="nil"/>
            </w:tcBorders>
            <w:shd w:val="clear" w:color="auto" w:fill="auto"/>
            <w:noWrap/>
            <w:vAlign w:val="center"/>
            <w:hideMark/>
          </w:tcPr>
          <w:p w14:paraId="74526348" w14:textId="77777777" w:rsidR="002C082C" w:rsidRPr="00626042" w:rsidRDefault="002C082C" w:rsidP="00E607DA">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17B7AA22" w14:textId="77777777" w:rsidR="002C082C" w:rsidRPr="00626042" w:rsidRDefault="002C082C"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(2,329)</w:t>
            </w:r>
          </w:p>
        </w:tc>
      </w:tr>
      <w:tr w:rsidR="002C082C" w:rsidRPr="00626042" w14:paraId="11E7074A" w14:textId="77777777" w:rsidTr="00E607DA">
        <w:trPr>
          <w:trHeight w:val="240"/>
        </w:trPr>
        <w:tc>
          <w:tcPr>
            <w:tcW w:w="4990" w:type="dxa"/>
            <w:gridSpan w:val="2"/>
            <w:tcBorders>
              <w:top w:val="nil"/>
              <w:left w:val="nil"/>
              <w:bottom w:val="nil"/>
              <w:right w:val="nil"/>
            </w:tcBorders>
            <w:shd w:val="clear" w:color="auto" w:fill="auto"/>
            <w:noWrap/>
            <w:vAlign w:val="center"/>
            <w:hideMark/>
          </w:tcPr>
          <w:p w14:paraId="253EEFE0" w14:textId="77777777" w:rsidR="002C082C" w:rsidRPr="00626042" w:rsidRDefault="002C082C" w:rsidP="00E607DA">
            <w:pPr>
              <w:rPr>
                <w:rFonts w:ascii="Meta Pro" w:eastAsia="Times New Roman" w:hAnsi="Meta Pro"/>
                <w:szCs w:val="18"/>
                <w:lang w:eastAsia="en-AU"/>
              </w:rPr>
            </w:pPr>
            <w:r w:rsidRPr="00626042">
              <w:rPr>
                <w:rFonts w:ascii="Meta Pro" w:eastAsia="Times New Roman" w:hAnsi="Meta Pro"/>
                <w:szCs w:val="18"/>
                <w:lang w:eastAsia="en-AU"/>
              </w:rPr>
              <w:t>(Increase)/decrease in prepayments</w:t>
            </w:r>
          </w:p>
        </w:tc>
        <w:tc>
          <w:tcPr>
            <w:tcW w:w="1021" w:type="dxa"/>
            <w:gridSpan w:val="2"/>
            <w:tcBorders>
              <w:top w:val="nil"/>
              <w:left w:val="nil"/>
              <w:bottom w:val="nil"/>
              <w:right w:val="nil"/>
            </w:tcBorders>
            <w:shd w:val="clear" w:color="auto" w:fill="auto"/>
            <w:noWrap/>
            <w:vAlign w:val="center"/>
            <w:hideMark/>
          </w:tcPr>
          <w:p w14:paraId="7A852D6D" w14:textId="77777777" w:rsidR="002C082C" w:rsidRPr="00626042" w:rsidRDefault="002C082C" w:rsidP="00E607DA">
            <w:pPr>
              <w:rPr>
                <w:rFonts w:ascii="Meta Pro" w:eastAsia="Times New Roman" w:hAnsi="Meta Pro"/>
                <w:szCs w:val="18"/>
                <w:lang w:eastAsia="en-AU"/>
              </w:rPr>
            </w:pPr>
          </w:p>
        </w:tc>
        <w:tc>
          <w:tcPr>
            <w:tcW w:w="215" w:type="dxa"/>
            <w:tcBorders>
              <w:top w:val="nil"/>
              <w:left w:val="nil"/>
              <w:bottom w:val="nil"/>
              <w:right w:val="nil"/>
            </w:tcBorders>
            <w:shd w:val="clear" w:color="auto" w:fill="auto"/>
            <w:noWrap/>
            <w:vAlign w:val="center"/>
            <w:hideMark/>
          </w:tcPr>
          <w:p w14:paraId="622CB29F" w14:textId="77777777" w:rsidR="002C082C" w:rsidRPr="00626042" w:rsidRDefault="002C082C"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67CD59B2"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 xml:space="preserve">73,092 </w:t>
            </w:r>
          </w:p>
        </w:tc>
        <w:tc>
          <w:tcPr>
            <w:tcW w:w="216" w:type="dxa"/>
            <w:tcBorders>
              <w:top w:val="nil"/>
              <w:left w:val="nil"/>
              <w:bottom w:val="nil"/>
              <w:right w:val="nil"/>
            </w:tcBorders>
            <w:shd w:val="clear" w:color="auto" w:fill="auto"/>
            <w:noWrap/>
            <w:vAlign w:val="center"/>
            <w:hideMark/>
          </w:tcPr>
          <w:p w14:paraId="4BF6FCFF" w14:textId="77777777" w:rsidR="002C082C" w:rsidRPr="00626042" w:rsidRDefault="002C082C" w:rsidP="00E607DA">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5D549BBA" w14:textId="77777777" w:rsidR="002C082C" w:rsidRPr="00626042" w:rsidRDefault="002C082C"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(111,576)</w:t>
            </w:r>
          </w:p>
        </w:tc>
      </w:tr>
      <w:tr w:rsidR="002C082C" w:rsidRPr="00626042" w14:paraId="3D11232C" w14:textId="77777777" w:rsidTr="00E607DA">
        <w:trPr>
          <w:trHeight w:val="240"/>
        </w:trPr>
        <w:tc>
          <w:tcPr>
            <w:tcW w:w="4990" w:type="dxa"/>
            <w:gridSpan w:val="2"/>
            <w:tcBorders>
              <w:top w:val="nil"/>
              <w:left w:val="nil"/>
              <w:bottom w:val="nil"/>
              <w:right w:val="nil"/>
            </w:tcBorders>
            <w:shd w:val="clear" w:color="auto" w:fill="auto"/>
            <w:noWrap/>
            <w:vAlign w:val="center"/>
            <w:hideMark/>
          </w:tcPr>
          <w:p w14:paraId="670F57C1" w14:textId="77777777" w:rsidR="002C082C" w:rsidRPr="00626042" w:rsidRDefault="002C082C" w:rsidP="00E607DA">
            <w:pPr>
              <w:rPr>
                <w:rFonts w:ascii="Meta Pro" w:eastAsia="Times New Roman" w:hAnsi="Meta Pro"/>
                <w:szCs w:val="18"/>
                <w:lang w:eastAsia="en-AU"/>
              </w:rPr>
            </w:pPr>
            <w:r w:rsidRPr="00626042">
              <w:rPr>
                <w:rFonts w:ascii="Meta Pro" w:eastAsia="Times New Roman" w:hAnsi="Meta Pro"/>
                <w:szCs w:val="18"/>
                <w:lang w:eastAsia="en-AU"/>
              </w:rPr>
              <w:t>(Increase)/decrease in deferred tax assets</w:t>
            </w:r>
          </w:p>
        </w:tc>
        <w:tc>
          <w:tcPr>
            <w:tcW w:w="1021" w:type="dxa"/>
            <w:gridSpan w:val="2"/>
            <w:tcBorders>
              <w:top w:val="nil"/>
              <w:left w:val="nil"/>
              <w:bottom w:val="nil"/>
              <w:right w:val="nil"/>
            </w:tcBorders>
            <w:shd w:val="clear" w:color="auto" w:fill="auto"/>
            <w:noWrap/>
            <w:vAlign w:val="center"/>
            <w:hideMark/>
          </w:tcPr>
          <w:p w14:paraId="52A677F4" w14:textId="77777777" w:rsidR="002C082C" w:rsidRPr="00626042" w:rsidRDefault="002C082C" w:rsidP="00E607DA">
            <w:pPr>
              <w:rPr>
                <w:rFonts w:ascii="Meta Pro" w:eastAsia="Times New Roman" w:hAnsi="Meta Pro"/>
                <w:szCs w:val="18"/>
                <w:lang w:eastAsia="en-AU"/>
              </w:rPr>
            </w:pPr>
          </w:p>
        </w:tc>
        <w:tc>
          <w:tcPr>
            <w:tcW w:w="215" w:type="dxa"/>
            <w:tcBorders>
              <w:top w:val="nil"/>
              <w:left w:val="nil"/>
              <w:bottom w:val="nil"/>
              <w:right w:val="nil"/>
            </w:tcBorders>
            <w:shd w:val="clear" w:color="auto" w:fill="auto"/>
            <w:noWrap/>
            <w:vAlign w:val="center"/>
            <w:hideMark/>
          </w:tcPr>
          <w:p w14:paraId="5754BA9C" w14:textId="77777777" w:rsidR="002C082C" w:rsidRPr="00626042" w:rsidRDefault="002C082C"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6887CCE2"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 xml:space="preserve">556 </w:t>
            </w:r>
          </w:p>
        </w:tc>
        <w:tc>
          <w:tcPr>
            <w:tcW w:w="216" w:type="dxa"/>
            <w:tcBorders>
              <w:top w:val="nil"/>
              <w:left w:val="nil"/>
              <w:bottom w:val="nil"/>
              <w:right w:val="nil"/>
            </w:tcBorders>
            <w:shd w:val="clear" w:color="auto" w:fill="auto"/>
            <w:noWrap/>
            <w:vAlign w:val="center"/>
            <w:hideMark/>
          </w:tcPr>
          <w:p w14:paraId="3CCBEE9E" w14:textId="77777777" w:rsidR="002C082C" w:rsidRPr="00626042" w:rsidRDefault="002C082C" w:rsidP="00E607DA">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768DE82E" w14:textId="77777777" w:rsidR="002C082C" w:rsidRPr="00626042" w:rsidRDefault="002C082C"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2,090 </w:t>
            </w:r>
          </w:p>
        </w:tc>
      </w:tr>
      <w:tr w:rsidR="002C082C" w:rsidRPr="00626042" w14:paraId="755402C0" w14:textId="77777777" w:rsidTr="00E607DA">
        <w:trPr>
          <w:trHeight w:val="240"/>
        </w:trPr>
        <w:tc>
          <w:tcPr>
            <w:tcW w:w="4990" w:type="dxa"/>
            <w:gridSpan w:val="2"/>
            <w:tcBorders>
              <w:top w:val="nil"/>
              <w:left w:val="nil"/>
              <w:bottom w:val="nil"/>
              <w:right w:val="nil"/>
            </w:tcBorders>
            <w:shd w:val="clear" w:color="auto" w:fill="auto"/>
            <w:noWrap/>
            <w:vAlign w:val="center"/>
            <w:hideMark/>
          </w:tcPr>
          <w:p w14:paraId="557F2F91" w14:textId="77777777" w:rsidR="002C082C" w:rsidRPr="00626042" w:rsidRDefault="002C082C" w:rsidP="00E607DA">
            <w:pPr>
              <w:rPr>
                <w:rFonts w:ascii="Meta Pro" w:eastAsia="Times New Roman" w:hAnsi="Meta Pro"/>
                <w:szCs w:val="18"/>
                <w:lang w:eastAsia="en-AU"/>
              </w:rPr>
            </w:pPr>
            <w:r w:rsidRPr="00626042">
              <w:rPr>
                <w:rFonts w:ascii="Meta Pro" w:eastAsia="Times New Roman" w:hAnsi="Meta Pro"/>
                <w:szCs w:val="18"/>
                <w:lang w:eastAsia="en-AU"/>
              </w:rPr>
              <w:t>Increase/(decrease) in payables</w:t>
            </w:r>
          </w:p>
        </w:tc>
        <w:tc>
          <w:tcPr>
            <w:tcW w:w="1021" w:type="dxa"/>
            <w:gridSpan w:val="2"/>
            <w:tcBorders>
              <w:top w:val="nil"/>
              <w:left w:val="nil"/>
              <w:bottom w:val="nil"/>
              <w:right w:val="nil"/>
            </w:tcBorders>
            <w:shd w:val="clear" w:color="auto" w:fill="auto"/>
            <w:noWrap/>
            <w:vAlign w:val="center"/>
            <w:hideMark/>
          </w:tcPr>
          <w:p w14:paraId="0B50ACB0" w14:textId="77777777" w:rsidR="002C082C" w:rsidRPr="00626042" w:rsidRDefault="002C082C" w:rsidP="00E607DA">
            <w:pPr>
              <w:rPr>
                <w:rFonts w:ascii="Meta Pro" w:eastAsia="Times New Roman" w:hAnsi="Meta Pro"/>
                <w:szCs w:val="18"/>
                <w:lang w:eastAsia="en-AU"/>
              </w:rPr>
            </w:pPr>
          </w:p>
        </w:tc>
        <w:tc>
          <w:tcPr>
            <w:tcW w:w="215" w:type="dxa"/>
            <w:tcBorders>
              <w:top w:val="nil"/>
              <w:left w:val="nil"/>
              <w:bottom w:val="nil"/>
              <w:right w:val="nil"/>
            </w:tcBorders>
            <w:shd w:val="clear" w:color="auto" w:fill="auto"/>
            <w:noWrap/>
            <w:vAlign w:val="center"/>
            <w:hideMark/>
          </w:tcPr>
          <w:p w14:paraId="30FD9BB4" w14:textId="77777777" w:rsidR="002C082C" w:rsidRPr="00626042" w:rsidRDefault="002C082C"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0C4B11F9"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(11,682)</w:t>
            </w:r>
          </w:p>
        </w:tc>
        <w:tc>
          <w:tcPr>
            <w:tcW w:w="216" w:type="dxa"/>
            <w:tcBorders>
              <w:top w:val="nil"/>
              <w:left w:val="nil"/>
              <w:bottom w:val="nil"/>
              <w:right w:val="nil"/>
            </w:tcBorders>
            <w:shd w:val="clear" w:color="auto" w:fill="auto"/>
            <w:noWrap/>
            <w:vAlign w:val="center"/>
            <w:hideMark/>
          </w:tcPr>
          <w:p w14:paraId="36FD3F2C" w14:textId="77777777" w:rsidR="002C082C" w:rsidRPr="00626042" w:rsidRDefault="002C082C" w:rsidP="00E607DA">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2C6D39ED" w14:textId="77777777" w:rsidR="002C082C" w:rsidRPr="00626042" w:rsidRDefault="002C082C"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53,761 </w:t>
            </w:r>
          </w:p>
        </w:tc>
      </w:tr>
      <w:tr w:rsidR="002C082C" w:rsidRPr="00626042" w14:paraId="0F406998" w14:textId="77777777" w:rsidTr="00E607DA">
        <w:trPr>
          <w:trHeight w:val="240"/>
        </w:trPr>
        <w:tc>
          <w:tcPr>
            <w:tcW w:w="4990" w:type="dxa"/>
            <w:gridSpan w:val="2"/>
            <w:tcBorders>
              <w:top w:val="nil"/>
              <w:left w:val="nil"/>
              <w:bottom w:val="nil"/>
              <w:right w:val="nil"/>
            </w:tcBorders>
            <w:shd w:val="clear" w:color="auto" w:fill="auto"/>
            <w:noWrap/>
            <w:vAlign w:val="center"/>
            <w:hideMark/>
          </w:tcPr>
          <w:p w14:paraId="32FA6ECB" w14:textId="77777777" w:rsidR="002C082C" w:rsidRPr="00626042" w:rsidRDefault="002C082C" w:rsidP="00E607DA">
            <w:pPr>
              <w:rPr>
                <w:rFonts w:ascii="Meta Pro" w:eastAsia="Times New Roman" w:hAnsi="Meta Pro"/>
                <w:szCs w:val="18"/>
                <w:lang w:eastAsia="en-AU"/>
              </w:rPr>
            </w:pPr>
            <w:r w:rsidRPr="00626042">
              <w:rPr>
                <w:rFonts w:ascii="Meta Pro" w:eastAsia="Times New Roman" w:hAnsi="Meta Pro"/>
                <w:szCs w:val="18"/>
                <w:lang w:eastAsia="en-AU"/>
              </w:rPr>
              <w:t xml:space="preserve">Increase/(decrease) in accrued employee benefits </w:t>
            </w:r>
          </w:p>
        </w:tc>
        <w:tc>
          <w:tcPr>
            <w:tcW w:w="1021" w:type="dxa"/>
            <w:gridSpan w:val="2"/>
            <w:tcBorders>
              <w:top w:val="nil"/>
              <w:left w:val="nil"/>
              <w:bottom w:val="nil"/>
              <w:right w:val="nil"/>
            </w:tcBorders>
            <w:shd w:val="clear" w:color="auto" w:fill="auto"/>
            <w:noWrap/>
            <w:vAlign w:val="center"/>
            <w:hideMark/>
          </w:tcPr>
          <w:p w14:paraId="4C794314" w14:textId="77777777" w:rsidR="002C082C" w:rsidRPr="00626042" w:rsidRDefault="002C082C" w:rsidP="00E607DA">
            <w:pPr>
              <w:rPr>
                <w:rFonts w:ascii="Meta Pro" w:eastAsia="Times New Roman" w:hAnsi="Meta Pro"/>
                <w:szCs w:val="18"/>
                <w:lang w:eastAsia="en-AU"/>
              </w:rPr>
            </w:pPr>
          </w:p>
        </w:tc>
        <w:tc>
          <w:tcPr>
            <w:tcW w:w="215" w:type="dxa"/>
            <w:tcBorders>
              <w:top w:val="nil"/>
              <w:left w:val="nil"/>
              <w:bottom w:val="nil"/>
              <w:right w:val="nil"/>
            </w:tcBorders>
            <w:shd w:val="clear" w:color="auto" w:fill="auto"/>
            <w:noWrap/>
            <w:vAlign w:val="center"/>
            <w:hideMark/>
          </w:tcPr>
          <w:p w14:paraId="630F2E3B" w14:textId="77777777" w:rsidR="002C082C" w:rsidRPr="00626042" w:rsidRDefault="002C082C"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586D70B6"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 xml:space="preserve">628 </w:t>
            </w:r>
          </w:p>
        </w:tc>
        <w:tc>
          <w:tcPr>
            <w:tcW w:w="216" w:type="dxa"/>
            <w:tcBorders>
              <w:top w:val="nil"/>
              <w:left w:val="nil"/>
              <w:bottom w:val="nil"/>
              <w:right w:val="nil"/>
            </w:tcBorders>
            <w:shd w:val="clear" w:color="auto" w:fill="auto"/>
            <w:noWrap/>
            <w:vAlign w:val="center"/>
            <w:hideMark/>
          </w:tcPr>
          <w:p w14:paraId="7989E9CE" w14:textId="77777777" w:rsidR="002C082C" w:rsidRPr="00626042" w:rsidRDefault="002C082C" w:rsidP="00E607DA">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3ADB6F0F" w14:textId="77777777" w:rsidR="002C082C" w:rsidRPr="00626042" w:rsidRDefault="002C082C"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(41,747)</w:t>
            </w:r>
          </w:p>
        </w:tc>
      </w:tr>
      <w:tr w:rsidR="002C082C" w:rsidRPr="00626042" w14:paraId="6C6F943E" w14:textId="77777777" w:rsidTr="00E607DA">
        <w:trPr>
          <w:trHeight w:val="240"/>
        </w:trPr>
        <w:tc>
          <w:tcPr>
            <w:tcW w:w="4990" w:type="dxa"/>
            <w:gridSpan w:val="2"/>
            <w:tcBorders>
              <w:top w:val="nil"/>
              <w:left w:val="nil"/>
              <w:bottom w:val="nil"/>
              <w:right w:val="nil"/>
            </w:tcBorders>
            <w:shd w:val="clear" w:color="auto" w:fill="auto"/>
            <w:noWrap/>
            <w:vAlign w:val="center"/>
            <w:hideMark/>
          </w:tcPr>
          <w:p w14:paraId="351FA936" w14:textId="77777777" w:rsidR="002C082C" w:rsidRPr="00626042" w:rsidRDefault="002C082C" w:rsidP="00E607DA">
            <w:pPr>
              <w:rPr>
                <w:rFonts w:ascii="Meta Pro" w:eastAsia="Times New Roman" w:hAnsi="Meta Pro"/>
                <w:szCs w:val="18"/>
                <w:lang w:eastAsia="en-AU"/>
              </w:rPr>
            </w:pPr>
            <w:r w:rsidRPr="00626042">
              <w:rPr>
                <w:rFonts w:ascii="Meta Pro" w:eastAsia="Times New Roman" w:hAnsi="Meta Pro"/>
                <w:szCs w:val="18"/>
                <w:lang w:eastAsia="en-AU"/>
              </w:rPr>
              <w:t xml:space="preserve">Increase/(decrease) in current tax liabilities </w:t>
            </w:r>
          </w:p>
        </w:tc>
        <w:tc>
          <w:tcPr>
            <w:tcW w:w="1021" w:type="dxa"/>
            <w:gridSpan w:val="2"/>
            <w:tcBorders>
              <w:top w:val="nil"/>
              <w:left w:val="nil"/>
              <w:bottom w:val="nil"/>
              <w:right w:val="nil"/>
            </w:tcBorders>
            <w:shd w:val="clear" w:color="auto" w:fill="auto"/>
            <w:noWrap/>
            <w:vAlign w:val="center"/>
            <w:hideMark/>
          </w:tcPr>
          <w:p w14:paraId="1AAB50EA" w14:textId="77777777" w:rsidR="002C082C" w:rsidRPr="00626042" w:rsidRDefault="002C082C" w:rsidP="00E607DA">
            <w:pPr>
              <w:rPr>
                <w:rFonts w:ascii="Meta Pro" w:eastAsia="Times New Roman" w:hAnsi="Meta Pro"/>
                <w:szCs w:val="18"/>
                <w:lang w:eastAsia="en-AU"/>
              </w:rPr>
            </w:pPr>
          </w:p>
        </w:tc>
        <w:tc>
          <w:tcPr>
            <w:tcW w:w="215" w:type="dxa"/>
            <w:tcBorders>
              <w:top w:val="nil"/>
              <w:left w:val="nil"/>
              <w:bottom w:val="nil"/>
              <w:right w:val="nil"/>
            </w:tcBorders>
            <w:shd w:val="clear" w:color="auto" w:fill="auto"/>
            <w:noWrap/>
            <w:vAlign w:val="center"/>
            <w:hideMark/>
          </w:tcPr>
          <w:p w14:paraId="394BE1BF" w14:textId="77777777" w:rsidR="002C082C" w:rsidRPr="00626042" w:rsidRDefault="002C082C" w:rsidP="00E607DA">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2F2033D4"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 xml:space="preserve">- </w:t>
            </w:r>
          </w:p>
        </w:tc>
        <w:tc>
          <w:tcPr>
            <w:tcW w:w="216" w:type="dxa"/>
            <w:tcBorders>
              <w:top w:val="nil"/>
              <w:left w:val="nil"/>
              <w:bottom w:val="nil"/>
              <w:right w:val="nil"/>
            </w:tcBorders>
            <w:shd w:val="clear" w:color="auto" w:fill="auto"/>
            <w:noWrap/>
            <w:vAlign w:val="center"/>
            <w:hideMark/>
          </w:tcPr>
          <w:p w14:paraId="017124E2" w14:textId="77777777" w:rsidR="002C082C" w:rsidRPr="00626042" w:rsidRDefault="002C082C" w:rsidP="00E607DA">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6CA0B5E9"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(473)</w:t>
            </w:r>
          </w:p>
        </w:tc>
      </w:tr>
      <w:tr w:rsidR="002C082C" w:rsidRPr="00626042" w14:paraId="5939511F" w14:textId="77777777" w:rsidTr="00E607DA">
        <w:trPr>
          <w:trHeight w:val="240"/>
        </w:trPr>
        <w:tc>
          <w:tcPr>
            <w:tcW w:w="4990" w:type="dxa"/>
            <w:gridSpan w:val="2"/>
            <w:tcBorders>
              <w:top w:val="nil"/>
              <w:left w:val="nil"/>
              <w:bottom w:val="nil"/>
              <w:right w:val="nil"/>
            </w:tcBorders>
            <w:shd w:val="clear" w:color="auto" w:fill="auto"/>
            <w:noWrap/>
            <w:vAlign w:val="center"/>
            <w:hideMark/>
          </w:tcPr>
          <w:p w14:paraId="0F9709C9" w14:textId="77777777" w:rsidR="002C082C" w:rsidRPr="00626042" w:rsidRDefault="002C082C" w:rsidP="00E607DA">
            <w:pPr>
              <w:rPr>
                <w:rFonts w:ascii="Meta Pro" w:eastAsia="Times New Roman" w:hAnsi="Meta Pro"/>
                <w:szCs w:val="18"/>
                <w:lang w:eastAsia="en-AU"/>
              </w:rPr>
            </w:pPr>
            <w:r w:rsidRPr="00626042">
              <w:rPr>
                <w:rFonts w:ascii="Meta Pro" w:eastAsia="Times New Roman" w:hAnsi="Meta Pro"/>
                <w:szCs w:val="18"/>
                <w:lang w:eastAsia="en-AU"/>
              </w:rPr>
              <w:t>Increase/(decrease) in other liabilities</w:t>
            </w:r>
          </w:p>
        </w:tc>
        <w:tc>
          <w:tcPr>
            <w:tcW w:w="1021" w:type="dxa"/>
            <w:gridSpan w:val="2"/>
            <w:tcBorders>
              <w:top w:val="nil"/>
              <w:left w:val="nil"/>
              <w:bottom w:val="single" w:sz="4" w:space="0" w:color="auto"/>
              <w:right w:val="nil"/>
            </w:tcBorders>
            <w:shd w:val="clear" w:color="auto" w:fill="auto"/>
            <w:noWrap/>
            <w:vAlign w:val="center"/>
            <w:hideMark/>
          </w:tcPr>
          <w:p w14:paraId="305F0FDB" w14:textId="77777777" w:rsidR="002C082C" w:rsidRPr="00626042" w:rsidRDefault="002C082C" w:rsidP="00E607DA">
            <w:pPr>
              <w:jc w:val="center"/>
              <w:rPr>
                <w:rFonts w:ascii="Meta Pro" w:eastAsia="Times New Roman" w:hAnsi="Meta Pro"/>
                <w:color w:val="000000"/>
                <w:szCs w:val="18"/>
                <w:lang w:eastAsia="en-AU"/>
              </w:rPr>
            </w:pPr>
            <w:r w:rsidRPr="00626042">
              <w:rPr>
                <w:rFonts w:ascii="Meta Pro" w:eastAsia="Times New Roman" w:hAnsi="Meta Pro"/>
                <w:color w:val="000000"/>
                <w:szCs w:val="18"/>
                <w:lang w:eastAsia="en-AU"/>
              </w:rPr>
              <w:t> </w:t>
            </w:r>
          </w:p>
        </w:tc>
        <w:tc>
          <w:tcPr>
            <w:tcW w:w="215" w:type="dxa"/>
            <w:tcBorders>
              <w:top w:val="nil"/>
              <w:left w:val="nil"/>
              <w:bottom w:val="nil"/>
              <w:right w:val="nil"/>
            </w:tcBorders>
            <w:shd w:val="clear" w:color="auto" w:fill="auto"/>
            <w:noWrap/>
            <w:vAlign w:val="center"/>
            <w:hideMark/>
          </w:tcPr>
          <w:p w14:paraId="49F00200" w14:textId="77777777" w:rsidR="002C082C" w:rsidRPr="00626042" w:rsidRDefault="002C082C" w:rsidP="00E607DA">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178991BE"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 xml:space="preserve">58,883 </w:t>
            </w:r>
          </w:p>
        </w:tc>
        <w:tc>
          <w:tcPr>
            <w:tcW w:w="216" w:type="dxa"/>
            <w:tcBorders>
              <w:top w:val="nil"/>
              <w:left w:val="nil"/>
              <w:bottom w:val="nil"/>
              <w:right w:val="nil"/>
            </w:tcBorders>
            <w:shd w:val="clear" w:color="auto" w:fill="auto"/>
            <w:noWrap/>
            <w:vAlign w:val="center"/>
            <w:hideMark/>
          </w:tcPr>
          <w:p w14:paraId="13A8F467" w14:textId="77777777" w:rsidR="002C082C" w:rsidRPr="00626042" w:rsidRDefault="002C082C" w:rsidP="00E607DA">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53B4C6BE" w14:textId="77777777" w:rsidR="002C082C" w:rsidRPr="00626042" w:rsidRDefault="002C082C" w:rsidP="00E607DA">
            <w:pPr>
              <w:jc w:val="right"/>
              <w:rPr>
                <w:rFonts w:ascii="Meta Pro" w:eastAsia="Times New Roman" w:hAnsi="Meta Pro"/>
                <w:color w:val="000000"/>
                <w:szCs w:val="18"/>
                <w:lang w:eastAsia="en-AU"/>
              </w:rPr>
            </w:pPr>
            <w:r w:rsidRPr="00626042">
              <w:rPr>
                <w:rFonts w:ascii="Meta Pro" w:eastAsia="Times New Roman" w:hAnsi="Meta Pro"/>
                <w:color w:val="000000"/>
                <w:szCs w:val="18"/>
                <w:lang w:eastAsia="en-AU"/>
              </w:rPr>
              <w:t xml:space="preserve">121,133 </w:t>
            </w:r>
          </w:p>
        </w:tc>
      </w:tr>
      <w:tr w:rsidR="002C082C" w:rsidRPr="00626042" w14:paraId="4A7046D9" w14:textId="77777777" w:rsidTr="00E607DA">
        <w:trPr>
          <w:trHeight w:val="240"/>
        </w:trPr>
        <w:tc>
          <w:tcPr>
            <w:tcW w:w="4990" w:type="dxa"/>
            <w:gridSpan w:val="2"/>
            <w:tcBorders>
              <w:top w:val="single" w:sz="4" w:space="0" w:color="auto"/>
              <w:left w:val="nil"/>
              <w:bottom w:val="double" w:sz="6" w:space="0" w:color="auto"/>
              <w:right w:val="nil"/>
            </w:tcBorders>
            <w:shd w:val="clear" w:color="auto" w:fill="auto"/>
            <w:noWrap/>
            <w:vAlign w:val="center"/>
            <w:hideMark/>
          </w:tcPr>
          <w:p w14:paraId="06E9F3E6" w14:textId="77777777" w:rsidR="002C082C" w:rsidRPr="00626042" w:rsidRDefault="002C082C" w:rsidP="00E607DA">
            <w:pPr>
              <w:rPr>
                <w:rFonts w:ascii="Meta Pro" w:eastAsia="Times New Roman" w:hAnsi="Meta Pro"/>
                <w:b/>
                <w:bCs/>
                <w:szCs w:val="18"/>
                <w:lang w:eastAsia="en-AU"/>
              </w:rPr>
            </w:pPr>
            <w:r w:rsidRPr="00626042">
              <w:rPr>
                <w:rFonts w:ascii="Meta Pro" w:eastAsia="Times New Roman" w:hAnsi="Meta Pro"/>
                <w:b/>
                <w:bCs/>
                <w:szCs w:val="18"/>
                <w:lang w:eastAsia="en-AU"/>
              </w:rPr>
              <w:t>Net cash provided by operating activities</w:t>
            </w:r>
          </w:p>
        </w:tc>
        <w:tc>
          <w:tcPr>
            <w:tcW w:w="1021" w:type="dxa"/>
            <w:gridSpan w:val="2"/>
            <w:tcBorders>
              <w:top w:val="single" w:sz="4" w:space="0" w:color="auto"/>
              <w:left w:val="nil"/>
              <w:bottom w:val="double" w:sz="6" w:space="0" w:color="auto"/>
              <w:right w:val="nil"/>
            </w:tcBorders>
            <w:shd w:val="clear" w:color="auto" w:fill="auto"/>
            <w:noWrap/>
            <w:vAlign w:val="center"/>
            <w:hideMark/>
          </w:tcPr>
          <w:p w14:paraId="583E65AB" w14:textId="77777777" w:rsidR="002C082C" w:rsidRPr="00626042" w:rsidRDefault="002C082C" w:rsidP="00E607DA">
            <w:pPr>
              <w:jc w:val="center"/>
              <w:rPr>
                <w:rFonts w:ascii="Meta Pro" w:eastAsia="Times New Roman" w:hAnsi="Meta Pro"/>
                <w:color w:val="000000"/>
                <w:szCs w:val="18"/>
                <w:lang w:eastAsia="en-AU"/>
              </w:rPr>
            </w:pPr>
            <w:r w:rsidRPr="00626042">
              <w:rPr>
                <w:rFonts w:ascii="Meta Pro" w:eastAsia="Times New Roman" w:hAnsi="Meta Pro"/>
                <w:color w:val="000000"/>
                <w:szCs w:val="18"/>
                <w:lang w:eastAsia="en-AU"/>
              </w:rPr>
              <w:t> </w:t>
            </w:r>
          </w:p>
        </w:tc>
        <w:tc>
          <w:tcPr>
            <w:tcW w:w="215" w:type="dxa"/>
            <w:tcBorders>
              <w:top w:val="single" w:sz="4" w:space="0" w:color="auto"/>
              <w:left w:val="nil"/>
              <w:bottom w:val="double" w:sz="6" w:space="0" w:color="auto"/>
              <w:right w:val="nil"/>
            </w:tcBorders>
            <w:shd w:val="clear" w:color="auto" w:fill="auto"/>
            <w:noWrap/>
            <w:vAlign w:val="center"/>
            <w:hideMark/>
          </w:tcPr>
          <w:p w14:paraId="6CCF23EA" w14:textId="77777777" w:rsidR="002C082C" w:rsidRPr="00626042" w:rsidRDefault="002C082C" w:rsidP="00E607DA">
            <w:pPr>
              <w:rPr>
                <w:rFonts w:ascii="Meta Pro" w:eastAsia="Times New Roman" w:hAnsi="Meta Pro"/>
                <w:szCs w:val="18"/>
                <w:lang w:eastAsia="en-AU"/>
              </w:rPr>
            </w:pPr>
            <w:r w:rsidRPr="00626042">
              <w:rPr>
                <w:rFonts w:ascii="Meta Pro" w:eastAsia="Times New Roman" w:hAnsi="Meta Pro"/>
                <w:szCs w:val="18"/>
                <w:lang w:eastAsia="en-AU"/>
              </w:rPr>
              <w:t> </w:t>
            </w:r>
          </w:p>
        </w:tc>
        <w:tc>
          <w:tcPr>
            <w:tcW w:w="1514" w:type="dxa"/>
            <w:tcBorders>
              <w:top w:val="single" w:sz="4" w:space="0" w:color="auto"/>
              <w:left w:val="nil"/>
              <w:bottom w:val="double" w:sz="6" w:space="0" w:color="auto"/>
              <w:right w:val="nil"/>
            </w:tcBorders>
            <w:shd w:val="clear" w:color="000000" w:fill="C9E3B4"/>
            <w:noWrap/>
            <w:vAlign w:val="center"/>
            <w:hideMark/>
          </w:tcPr>
          <w:p w14:paraId="61A1BD32" w14:textId="77777777" w:rsidR="002C082C" w:rsidRPr="00626042" w:rsidRDefault="002C082C" w:rsidP="00E607DA">
            <w:pPr>
              <w:jc w:val="right"/>
              <w:rPr>
                <w:rFonts w:ascii="Meta Pro" w:eastAsia="Times New Roman" w:hAnsi="Meta Pro"/>
                <w:b/>
                <w:bCs/>
                <w:szCs w:val="18"/>
                <w:lang w:eastAsia="en-AU"/>
              </w:rPr>
            </w:pPr>
            <w:r w:rsidRPr="00626042">
              <w:rPr>
                <w:rFonts w:ascii="Meta Pro" w:eastAsia="Times New Roman" w:hAnsi="Meta Pro"/>
                <w:b/>
                <w:bCs/>
                <w:szCs w:val="18"/>
                <w:lang w:eastAsia="en-AU"/>
              </w:rPr>
              <w:t xml:space="preserve">1,173,283 </w:t>
            </w:r>
          </w:p>
        </w:tc>
        <w:tc>
          <w:tcPr>
            <w:tcW w:w="216" w:type="dxa"/>
            <w:tcBorders>
              <w:top w:val="single" w:sz="4" w:space="0" w:color="auto"/>
              <w:left w:val="nil"/>
              <w:bottom w:val="double" w:sz="6" w:space="0" w:color="auto"/>
              <w:right w:val="nil"/>
            </w:tcBorders>
            <w:shd w:val="clear" w:color="auto" w:fill="auto"/>
            <w:noWrap/>
            <w:vAlign w:val="center"/>
            <w:hideMark/>
          </w:tcPr>
          <w:p w14:paraId="14E4044E" w14:textId="77777777" w:rsidR="002C082C" w:rsidRPr="00626042" w:rsidRDefault="002C082C" w:rsidP="00E607DA">
            <w:pPr>
              <w:rPr>
                <w:rFonts w:ascii="Meta Pro" w:eastAsia="Times New Roman" w:hAnsi="Meta Pro"/>
                <w:b/>
                <w:bCs/>
                <w:szCs w:val="18"/>
                <w:lang w:eastAsia="en-AU"/>
              </w:rPr>
            </w:pPr>
            <w:r w:rsidRPr="00626042">
              <w:rPr>
                <w:rFonts w:ascii="Meta Pro" w:eastAsia="Times New Roman" w:hAnsi="Meta Pro"/>
                <w:b/>
                <w:bCs/>
                <w:szCs w:val="18"/>
                <w:lang w:eastAsia="en-AU"/>
              </w:rPr>
              <w:t> </w:t>
            </w:r>
          </w:p>
        </w:tc>
        <w:tc>
          <w:tcPr>
            <w:tcW w:w="1514" w:type="dxa"/>
            <w:tcBorders>
              <w:top w:val="single" w:sz="4" w:space="0" w:color="auto"/>
              <w:left w:val="nil"/>
              <w:bottom w:val="double" w:sz="6" w:space="0" w:color="auto"/>
              <w:right w:val="nil"/>
            </w:tcBorders>
            <w:shd w:val="clear" w:color="auto" w:fill="auto"/>
            <w:noWrap/>
            <w:vAlign w:val="center"/>
            <w:hideMark/>
          </w:tcPr>
          <w:p w14:paraId="0A85CF59" w14:textId="77777777" w:rsidR="002C082C" w:rsidRPr="00626042" w:rsidRDefault="002C082C" w:rsidP="00E607DA">
            <w:pPr>
              <w:jc w:val="right"/>
              <w:rPr>
                <w:rFonts w:ascii="Meta Pro" w:eastAsia="Times New Roman" w:hAnsi="Meta Pro"/>
                <w:b/>
                <w:bCs/>
                <w:color w:val="000000"/>
                <w:szCs w:val="18"/>
                <w:lang w:eastAsia="en-AU"/>
              </w:rPr>
            </w:pPr>
            <w:r w:rsidRPr="00626042">
              <w:rPr>
                <w:rFonts w:ascii="Meta Pro" w:eastAsia="Times New Roman" w:hAnsi="Meta Pro"/>
                <w:b/>
                <w:bCs/>
                <w:color w:val="000000"/>
                <w:szCs w:val="18"/>
                <w:lang w:eastAsia="en-AU"/>
              </w:rPr>
              <w:t xml:space="preserve">992,263 </w:t>
            </w:r>
          </w:p>
        </w:tc>
      </w:tr>
    </w:tbl>
    <w:p w14:paraId="505AD18A" w14:textId="77777777" w:rsidR="002C082C" w:rsidRPr="00626042" w:rsidRDefault="002C082C" w:rsidP="002C082C">
      <w:pPr>
        <w:spacing w:after="160" w:line="259" w:lineRule="auto"/>
        <w:rPr>
          <w:rFonts w:ascii="Meta Pro" w:hAnsi="Meta Pro" w:cstheme="minorBidi"/>
        </w:rPr>
      </w:pPr>
    </w:p>
    <w:tbl>
      <w:tblPr>
        <w:tblW w:w="0" w:type="auto"/>
        <w:tblCellMar>
          <w:left w:w="0" w:type="dxa"/>
        </w:tblCellMar>
        <w:tblLook w:val="04A0" w:firstRow="1" w:lastRow="0" w:firstColumn="1" w:lastColumn="0" w:noHBand="0" w:noVBand="1"/>
      </w:tblPr>
      <w:tblGrid>
        <w:gridCol w:w="3051"/>
        <w:gridCol w:w="3050"/>
        <w:gridCol w:w="149"/>
        <w:gridCol w:w="125"/>
        <w:gridCol w:w="113"/>
        <w:gridCol w:w="1048"/>
        <w:gridCol w:w="141"/>
        <w:gridCol w:w="208"/>
        <w:gridCol w:w="1036"/>
        <w:gridCol w:w="341"/>
      </w:tblGrid>
      <w:tr w:rsidR="002C082C" w:rsidRPr="00626042" w14:paraId="1A98BD29" w14:textId="77777777" w:rsidTr="00E43D75">
        <w:trPr>
          <w:gridAfter w:val="1"/>
          <w:wAfter w:w="341" w:type="dxa"/>
          <w:trHeight w:val="240"/>
        </w:trPr>
        <w:tc>
          <w:tcPr>
            <w:tcW w:w="6085" w:type="dxa"/>
            <w:gridSpan w:val="2"/>
            <w:tcBorders>
              <w:top w:val="nil"/>
              <w:left w:val="nil"/>
              <w:bottom w:val="nil"/>
              <w:right w:val="nil"/>
            </w:tcBorders>
            <w:shd w:val="clear" w:color="auto" w:fill="auto"/>
            <w:noWrap/>
            <w:vAlign w:val="center"/>
            <w:hideMark/>
          </w:tcPr>
          <w:p w14:paraId="47258BC0" w14:textId="77777777" w:rsidR="002C082C" w:rsidRPr="00626042" w:rsidRDefault="002C082C" w:rsidP="00E607DA">
            <w:pPr>
              <w:rPr>
                <w:rFonts w:ascii="Meta Pro" w:eastAsia="Times New Roman" w:hAnsi="Meta Pro"/>
                <w:b/>
                <w:bCs/>
                <w:lang w:eastAsia="en-AU"/>
              </w:rPr>
            </w:pPr>
            <w:r w:rsidRPr="00626042">
              <w:rPr>
                <w:rFonts w:ascii="Meta Pro" w:eastAsia="Times New Roman" w:hAnsi="Meta Pro"/>
                <w:b/>
                <w:bCs/>
                <w:lang w:eastAsia="en-AU"/>
              </w:rPr>
              <w:t>CHANGES IN LIABILITIES ARISING FROM FINANCING ACTIVITIES</w:t>
            </w:r>
          </w:p>
        </w:tc>
        <w:tc>
          <w:tcPr>
            <w:tcW w:w="266" w:type="dxa"/>
            <w:gridSpan w:val="2"/>
            <w:tcBorders>
              <w:top w:val="nil"/>
              <w:left w:val="nil"/>
              <w:bottom w:val="nil"/>
              <w:right w:val="nil"/>
            </w:tcBorders>
            <w:shd w:val="clear" w:color="auto" w:fill="auto"/>
            <w:noWrap/>
            <w:vAlign w:val="center"/>
            <w:hideMark/>
          </w:tcPr>
          <w:p w14:paraId="066F1ED1" w14:textId="77777777" w:rsidR="002C082C" w:rsidRPr="00626042" w:rsidRDefault="002C082C" w:rsidP="00E607DA">
            <w:pPr>
              <w:rPr>
                <w:rFonts w:ascii="Meta Pro" w:eastAsia="Times New Roman" w:hAnsi="Meta Pro"/>
                <w:b/>
                <w:bCs/>
                <w:lang w:eastAsia="en-AU"/>
              </w:rPr>
            </w:pPr>
          </w:p>
        </w:tc>
        <w:tc>
          <w:tcPr>
            <w:tcW w:w="1149" w:type="dxa"/>
            <w:gridSpan w:val="2"/>
            <w:tcBorders>
              <w:top w:val="nil"/>
              <w:left w:val="nil"/>
              <w:bottom w:val="nil"/>
              <w:right w:val="nil"/>
            </w:tcBorders>
            <w:shd w:val="clear" w:color="auto" w:fill="auto"/>
            <w:noWrap/>
            <w:vAlign w:val="center"/>
            <w:hideMark/>
          </w:tcPr>
          <w:p w14:paraId="6FFDF823" w14:textId="77777777" w:rsidR="002C082C" w:rsidRPr="00626042" w:rsidRDefault="002C082C" w:rsidP="00E607DA">
            <w:pPr>
              <w:rPr>
                <w:rFonts w:ascii="Meta Pro" w:eastAsia="Times New Roman" w:hAnsi="Meta Pro" w:cs="Times New Roman"/>
                <w:sz w:val="20"/>
                <w:szCs w:val="20"/>
                <w:lang w:eastAsia="en-AU"/>
              </w:rPr>
            </w:pPr>
          </w:p>
        </w:tc>
        <w:tc>
          <w:tcPr>
            <w:tcW w:w="1229" w:type="dxa"/>
            <w:gridSpan w:val="3"/>
            <w:tcBorders>
              <w:top w:val="nil"/>
              <w:left w:val="nil"/>
              <w:bottom w:val="nil"/>
              <w:right w:val="nil"/>
            </w:tcBorders>
            <w:shd w:val="clear" w:color="auto" w:fill="auto"/>
            <w:noWrap/>
            <w:vAlign w:val="center"/>
            <w:hideMark/>
          </w:tcPr>
          <w:p w14:paraId="7D254A1A" w14:textId="77777777" w:rsidR="002C082C" w:rsidRPr="00626042" w:rsidRDefault="002C082C" w:rsidP="00E607DA">
            <w:pPr>
              <w:rPr>
                <w:rFonts w:ascii="Meta Pro" w:eastAsia="Times New Roman" w:hAnsi="Meta Pro" w:cs="Times New Roman"/>
                <w:sz w:val="20"/>
                <w:szCs w:val="20"/>
                <w:lang w:eastAsia="en-AU"/>
              </w:rPr>
            </w:pPr>
          </w:p>
        </w:tc>
      </w:tr>
      <w:tr w:rsidR="002C082C" w:rsidRPr="00626042" w14:paraId="1C58EADD" w14:textId="77777777" w:rsidTr="00E43D75">
        <w:trPr>
          <w:trHeight w:val="90"/>
        </w:trPr>
        <w:tc>
          <w:tcPr>
            <w:tcW w:w="3043" w:type="dxa"/>
            <w:tcBorders>
              <w:top w:val="nil"/>
              <w:left w:val="nil"/>
              <w:bottom w:val="nil"/>
              <w:right w:val="nil"/>
            </w:tcBorders>
            <w:shd w:val="clear" w:color="auto" w:fill="auto"/>
            <w:noWrap/>
            <w:vAlign w:val="center"/>
            <w:hideMark/>
          </w:tcPr>
          <w:p w14:paraId="709D8F28" w14:textId="77777777" w:rsidR="002C082C" w:rsidRPr="00626042" w:rsidRDefault="002C082C" w:rsidP="00E607DA">
            <w:pPr>
              <w:rPr>
                <w:rFonts w:ascii="Meta Pro" w:eastAsia="Times New Roman" w:hAnsi="Meta Pro" w:cs="Times New Roman"/>
                <w:sz w:val="20"/>
                <w:szCs w:val="20"/>
                <w:lang w:eastAsia="en-AU"/>
              </w:rPr>
            </w:pPr>
          </w:p>
        </w:tc>
        <w:tc>
          <w:tcPr>
            <w:tcW w:w="3042" w:type="dxa"/>
            <w:tcBorders>
              <w:top w:val="nil"/>
              <w:left w:val="nil"/>
              <w:bottom w:val="nil"/>
              <w:right w:val="nil"/>
            </w:tcBorders>
            <w:shd w:val="clear" w:color="auto" w:fill="auto"/>
            <w:noWrap/>
            <w:vAlign w:val="center"/>
            <w:hideMark/>
          </w:tcPr>
          <w:p w14:paraId="6789D363" w14:textId="77777777" w:rsidR="002C082C" w:rsidRPr="00626042" w:rsidRDefault="002C082C" w:rsidP="00E607DA">
            <w:pPr>
              <w:rPr>
                <w:rFonts w:ascii="Meta Pro" w:eastAsia="Times New Roman" w:hAnsi="Meta Pro" w:cs="Times New Roman"/>
                <w:sz w:val="20"/>
                <w:szCs w:val="20"/>
                <w:lang w:eastAsia="en-AU"/>
              </w:rPr>
            </w:pPr>
          </w:p>
        </w:tc>
        <w:tc>
          <w:tcPr>
            <w:tcW w:w="141" w:type="dxa"/>
            <w:tcBorders>
              <w:top w:val="nil"/>
              <w:left w:val="nil"/>
              <w:bottom w:val="nil"/>
              <w:right w:val="nil"/>
            </w:tcBorders>
            <w:shd w:val="clear" w:color="auto" w:fill="auto"/>
            <w:noWrap/>
            <w:vAlign w:val="center"/>
            <w:hideMark/>
          </w:tcPr>
          <w:p w14:paraId="2D7F5F7F" w14:textId="77777777" w:rsidR="002C082C" w:rsidRPr="00626042" w:rsidRDefault="002C082C" w:rsidP="00E607DA">
            <w:pPr>
              <w:rPr>
                <w:rFonts w:ascii="Meta Pro" w:eastAsia="Times New Roman" w:hAnsi="Meta Pro" w:cs="Times New Roman"/>
                <w:sz w:val="20"/>
                <w:szCs w:val="20"/>
                <w:lang w:eastAsia="en-AU"/>
              </w:rPr>
            </w:pPr>
          </w:p>
        </w:tc>
        <w:tc>
          <w:tcPr>
            <w:tcW w:w="233" w:type="dxa"/>
            <w:gridSpan w:val="2"/>
            <w:tcBorders>
              <w:top w:val="nil"/>
              <w:left w:val="nil"/>
              <w:bottom w:val="nil"/>
              <w:right w:val="nil"/>
            </w:tcBorders>
            <w:shd w:val="clear" w:color="auto" w:fill="auto"/>
            <w:noWrap/>
            <w:vAlign w:val="center"/>
            <w:hideMark/>
          </w:tcPr>
          <w:p w14:paraId="0A7F5F82" w14:textId="77777777" w:rsidR="002C082C" w:rsidRPr="00626042" w:rsidRDefault="002C082C" w:rsidP="00E607DA">
            <w:pPr>
              <w:jc w:val="center"/>
              <w:rPr>
                <w:rFonts w:ascii="Meta Pro" w:eastAsia="Times New Roman" w:hAnsi="Meta Pro" w:cs="Times New Roman"/>
                <w:sz w:val="20"/>
                <w:szCs w:val="20"/>
                <w:lang w:eastAsia="en-AU"/>
              </w:rPr>
            </w:pPr>
          </w:p>
        </w:tc>
        <w:tc>
          <w:tcPr>
            <w:tcW w:w="1181" w:type="dxa"/>
            <w:gridSpan w:val="2"/>
            <w:tcBorders>
              <w:top w:val="nil"/>
              <w:left w:val="nil"/>
              <w:bottom w:val="nil"/>
              <w:right w:val="nil"/>
            </w:tcBorders>
            <w:shd w:val="clear" w:color="auto" w:fill="auto"/>
            <w:noWrap/>
            <w:vAlign w:val="center"/>
            <w:hideMark/>
          </w:tcPr>
          <w:p w14:paraId="537FC5EF" w14:textId="77777777" w:rsidR="002C082C" w:rsidRPr="00626042" w:rsidRDefault="002C082C" w:rsidP="00E607DA">
            <w:pPr>
              <w:rPr>
                <w:rFonts w:ascii="Meta Pro" w:eastAsia="Times New Roman" w:hAnsi="Meta Pro" w:cs="Times New Roman"/>
                <w:sz w:val="20"/>
                <w:szCs w:val="20"/>
                <w:lang w:eastAsia="en-AU"/>
              </w:rPr>
            </w:pPr>
          </w:p>
        </w:tc>
        <w:tc>
          <w:tcPr>
            <w:tcW w:w="200" w:type="dxa"/>
            <w:tcBorders>
              <w:top w:val="nil"/>
              <w:left w:val="nil"/>
              <w:bottom w:val="nil"/>
              <w:right w:val="nil"/>
            </w:tcBorders>
            <w:shd w:val="clear" w:color="auto" w:fill="auto"/>
            <w:noWrap/>
            <w:vAlign w:val="center"/>
            <w:hideMark/>
          </w:tcPr>
          <w:p w14:paraId="67D93524" w14:textId="77777777" w:rsidR="002C082C" w:rsidRPr="00626042" w:rsidRDefault="002C082C" w:rsidP="00E607DA">
            <w:pPr>
              <w:rPr>
                <w:rFonts w:ascii="Meta Pro" w:eastAsia="Times New Roman" w:hAnsi="Meta Pro" w:cs="Times New Roman"/>
                <w:sz w:val="20"/>
                <w:szCs w:val="20"/>
                <w:lang w:eastAsia="en-AU"/>
              </w:rPr>
            </w:pPr>
          </w:p>
        </w:tc>
        <w:tc>
          <w:tcPr>
            <w:tcW w:w="1230" w:type="dxa"/>
            <w:gridSpan w:val="2"/>
            <w:tcBorders>
              <w:top w:val="nil"/>
              <w:left w:val="nil"/>
              <w:bottom w:val="nil"/>
              <w:right w:val="nil"/>
            </w:tcBorders>
            <w:shd w:val="clear" w:color="auto" w:fill="auto"/>
            <w:noWrap/>
            <w:vAlign w:val="center"/>
            <w:hideMark/>
          </w:tcPr>
          <w:p w14:paraId="12D8A5AF" w14:textId="77777777" w:rsidR="002C082C" w:rsidRPr="00626042" w:rsidRDefault="002C082C" w:rsidP="00E607DA">
            <w:pPr>
              <w:rPr>
                <w:rFonts w:ascii="Meta Pro" w:eastAsia="Times New Roman" w:hAnsi="Meta Pro" w:cs="Times New Roman"/>
                <w:sz w:val="20"/>
                <w:szCs w:val="20"/>
                <w:lang w:eastAsia="en-AU"/>
              </w:rPr>
            </w:pPr>
          </w:p>
        </w:tc>
      </w:tr>
      <w:tr w:rsidR="002C082C" w:rsidRPr="00626042" w14:paraId="58BBC944" w14:textId="77777777" w:rsidTr="00E43D75">
        <w:trPr>
          <w:trHeight w:val="240"/>
        </w:trPr>
        <w:tc>
          <w:tcPr>
            <w:tcW w:w="6085" w:type="dxa"/>
            <w:gridSpan w:val="2"/>
            <w:tcBorders>
              <w:top w:val="nil"/>
              <w:left w:val="nil"/>
              <w:bottom w:val="nil"/>
              <w:right w:val="nil"/>
            </w:tcBorders>
            <w:shd w:val="clear" w:color="auto" w:fill="auto"/>
            <w:noWrap/>
            <w:vAlign w:val="center"/>
            <w:hideMark/>
          </w:tcPr>
          <w:p w14:paraId="1A36F448" w14:textId="77777777" w:rsidR="002C082C" w:rsidRPr="00626042" w:rsidRDefault="002C082C" w:rsidP="00E607DA">
            <w:pPr>
              <w:rPr>
                <w:rFonts w:ascii="Meta Pro" w:eastAsia="Times New Roman" w:hAnsi="Meta Pro"/>
                <w:b/>
                <w:bCs/>
                <w:lang w:eastAsia="en-AU"/>
              </w:rPr>
            </w:pPr>
            <w:r w:rsidRPr="00626042">
              <w:rPr>
                <w:rFonts w:ascii="Meta Pro" w:eastAsia="Times New Roman" w:hAnsi="Meta Pro"/>
                <w:b/>
                <w:bCs/>
                <w:lang w:eastAsia="en-AU"/>
              </w:rPr>
              <w:t>BORROWINGS – Note 18</w:t>
            </w:r>
          </w:p>
        </w:tc>
        <w:tc>
          <w:tcPr>
            <w:tcW w:w="141" w:type="dxa"/>
            <w:tcBorders>
              <w:top w:val="nil"/>
              <w:left w:val="nil"/>
              <w:bottom w:val="nil"/>
              <w:right w:val="nil"/>
            </w:tcBorders>
            <w:shd w:val="clear" w:color="auto" w:fill="auto"/>
            <w:noWrap/>
            <w:vAlign w:val="center"/>
            <w:hideMark/>
          </w:tcPr>
          <w:p w14:paraId="49463962" w14:textId="77777777" w:rsidR="002C082C" w:rsidRPr="00626042" w:rsidRDefault="002C082C" w:rsidP="00E607DA">
            <w:pPr>
              <w:rPr>
                <w:rFonts w:ascii="Meta Pro" w:eastAsia="Times New Roman" w:hAnsi="Meta Pro"/>
                <w:b/>
                <w:bCs/>
                <w:lang w:eastAsia="en-AU"/>
              </w:rPr>
            </w:pPr>
          </w:p>
        </w:tc>
        <w:tc>
          <w:tcPr>
            <w:tcW w:w="233" w:type="dxa"/>
            <w:gridSpan w:val="2"/>
            <w:tcBorders>
              <w:top w:val="nil"/>
              <w:left w:val="nil"/>
              <w:bottom w:val="nil"/>
              <w:right w:val="nil"/>
            </w:tcBorders>
            <w:shd w:val="clear" w:color="auto" w:fill="auto"/>
            <w:noWrap/>
            <w:hideMark/>
          </w:tcPr>
          <w:p w14:paraId="26144C87" w14:textId="77777777" w:rsidR="002C082C" w:rsidRPr="00626042" w:rsidRDefault="002C082C" w:rsidP="00E607DA">
            <w:pPr>
              <w:jc w:val="center"/>
              <w:rPr>
                <w:rFonts w:ascii="Meta Pro" w:eastAsia="Times New Roman" w:hAnsi="Meta Pro" w:cs="Times New Roman"/>
                <w:sz w:val="20"/>
                <w:szCs w:val="20"/>
                <w:lang w:eastAsia="en-AU"/>
              </w:rPr>
            </w:pPr>
          </w:p>
        </w:tc>
        <w:tc>
          <w:tcPr>
            <w:tcW w:w="1181" w:type="dxa"/>
            <w:gridSpan w:val="2"/>
            <w:tcBorders>
              <w:top w:val="nil"/>
              <w:left w:val="nil"/>
              <w:bottom w:val="nil"/>
              <w:right w:val="nil"/>
            </w:tcBorders>
            <w:shd w:val="clear" w:color="auto" w:fill="auto"/>
            <w:noWrap/>
            <w:hideMark/>
          </w:tcPr>
          <w:p w14:paraId="73C8AE68" w14:textId="77777777" w:rsidR="002C082C" w:rsidRPr="00626042" w:rsidRDefault="002C082C" w:rsidP="00E607DA">
            <w:pPr>
              <w:rPr>
                <w:rFonts w:ascii="Meta Pro" w:eastAsia="Times New Roman" w:hAnsi="Meta Pro" w:cs="Times New Roman"/>
                <w:sz w:val="20"/>
                <w:szCs w:val="20"/>
                <w:lang w:eastAsia="en-AU"/>
              </w:rPr>
            </w:pPr>
          </w:p>
        </w:tc>
        <w:tc>
          <w:tcPr>
            <w:tcW w:w="200" w:type="dxa"/>
            <w:tcBorders>
              <w:top w:val="nil"/>
              <w:left w:val="nil"/>
              <w:bottom w:val="nil"/>
              <w:right w:val="nil"/>
            </w:tcBorders>
            <w:shd w:val="clear" w:color="auto" w:fill="auto"/>
            <w:noWrap/>
            <w:hideMark/>
          </w:tcPr>
          <w:p w14:paraId="74D7C40A" w14:textId="77777777" w:rsidR="002C082C" w:rsidRPr="00626042" w:rsidRDefault="002C082C" w:rsidP="00E607DA">
            <w:pPr>
              <w:rPr>
                <w:rFonts w:ascii="Meta Pro" w:eastAsia="Times New Roman" w:hAnsi="Meta Pro" w:cs="Times New Roman"/>
                <w:sz w:val="20"/>
                <w:szCs w:val="20"/>
                <w:lang w:eastAsia="en-AU"/>
              </w:rPr>
            </w:pPr>
          </w:p>
        </w:tc>
        <w:tc>
          <w:tcPr>
            <w:tcW w:w="1230" w:type="dxa"/>
            <w:gridSpan w:val="2"/>
            <w:tcBorders>
              <w:top w:val="nil"/>
              <w:left w:val="nil"/>
              <w:bottom w:val="nil"/>
              <w:right w:val="nil"/>
            </w:tcBorders>
            <w:shd w:val="clear" w:color="auto" w:fill="auto"/>
            <w:noWrap/>
            <w:hideMark/>
          </w:tcPr>
          <w:p w14:paraId="1488A201" w14:textId="77777777" w:rsidR="002C082C" w:rsidRPr="00626042" w:rsidRDefault="002C082C" w:rsidP="00E607DA">
            <w:pPr>
              <w:rPr>
                <w:rFonts w:ascii="Meta Pro" w:eastAsia="Times New Roman" w:hAnsi="Meta Pro" w:cs="Times New Roman"/>
                <w:sz w:val="20"/>
                <w:szCs w:val="20"/>
                <w:lang w:eastAsia="en-AU"/>
              </w:rPr>
            </w:pPr>
          </w:p>
        </w:tc>
      </w:tr>
      <w:tr w:rsidR="002C082C" w:rsidRPr="00626042" w14:paraId="625C00D1" w14:textId="77777777" w:rsidTr="00E43D75">
        <w:trPr>
          <w:trHeight w:val="240"/>
        </w:trPr>
        <w:tc>
          <w:tcPr>
            <w:tcW w:w="3043" w:type="dxa"/>
            <w:tcBorders>
              <w:top w:val="nil"/>
              <w:left w:val="nil"/>
              <w:bottom w:val="nil"/>
              <w:right w:val="nil"/>
            </w:tcBorders>
            <w:shd w:val="clear" w:color="auto" w:fill="auto"/>
            <w:noWrap/>
            <w:vAlign w:val="center"/>
            <w:hideMark/>
          </w:tcPr>
          <w:p w14:paraId="37252BCA" w14:textId="77777777" w:rsidR="002C082C" w:rsidRPr="00626042" w:rsidRDefault="002C082C" w:rsidP="00E607DA">
            <w:pPr>
              <w:rPr>
                <w:rFonts w:ascii="Meta Pro" w:eastAsia="Times New Roman" w:hAnsi="Meta Pro" w:cs="Times New Roman"/>
                <w:sz w:val="20"/>
                <w:szCs w:val="20"/>
                <w:lang w:eastAsia="en-AU"/>
              </w:rPr>
            </w:pPr>
          </w:p>
        </w:tc>
        <w:tc>
          <w:tcPr>
            <w:tcW w:w="3042" w:type="dxa"/>
            <w:tcBorders>
              <w:top w:val="nil"/>
              <w:left w:val="nil"/>
              <w:bottom w:val="nil"/>
              <w:right w:val="nil"/>
            </w:tcBorders>
            <w:shd w:val="clear" w:color="auto" w:fill="auto"/>
            <w:noWrap/>
            <w:vAlign w:val="center"/>
            <w:hideMark/>
          </w:tcPr>
          <w:p w14:paraId="280DC86A" w14:textId="77777777" w:rsidR="002C082C" w:rsidRPr="00626042" w:rsidRDefault="002C082C" w:rsidP="00E607DA">
            <w:pPr>
              <w:rPr>
                <w:rFonts w:ascii="Meta Pro" w:eastAsia="Times New Roman" w:hAnsi="Meta Pro" w:cs="Times New Roman"/>
                <w:sz w:val="20"/>
                <w:szCs w:val="20"/>
                <w:lang w:eastAsia="en-AU"/>
              </w:rPr>
            </w:pPr>
          </w:p>
        </w:tc>
        <w:tc>
          <w:tcPr>
            <w:tcW w:w="141" w:type="dxa"/>
            <w:tcBorders>
              <w:top w:val="nil"/>
              <w:left w:val="nil"/>
              <w:bottom w:val="nil"/>
              <w:right w:val="nil"/>
            </w:tcBorders>
            <w:shd w:val="clear" w:color="auto" w:fill="auto"/>
            <w:noWrap/>
            <w:vAlign w:val="center"/>
            <w:hideMark/>
          </w:tcPr>
          <w:p w14:paraId="33CE50CB" w14:textId="77777777" w:rsidR="002C082C" w:rsidRPr="00626042" w:rsidRDefault="002C082C" w:rsidP="00E607DA">
            <w:pPr>
              <w:rPr>
                <w:rFonts w:ascii="Meta Pro" w:eastAsia="Times New Roman" w:hAnsi="Meta Pro" w:cs="Times New Roman"/>
                <w:sz w:val="20"/>
                <w:szCs w:val="20"/>
                <w:lang w:eastAsia="en-AU"/>
              </w:rPr>
            </w:pPr>
          </w:p>
        </w:tc>
        <w:tc>
          <w:tcPr>
            <w:tcW w:w="233" w:type="dxa"/>
            <w:gridSpan w:val="2"/>
            <w:tcBorders>
              <w:top w:val="nil"/>
              <w:left w:val="nil"/>
              <w:bottom w:val="nil"/>
              <w:right w:val="nil"/>
            </w:tcBorders>
            <w:shd w:val="clear" w:color="auto" w:fill="auto"/>
            <w:noWrap/>
            <w:vAlign w:val="center"/>
            <w:hideMark/>
          </w:tcPr>
          <w:p w14:paraId="0CFE3DC3" w14:textId="77777777" w:rsidR="002C082C" w:rsidRPr="00626042" w:rsidRDefault="002C082C" w:rsidP="00E607DA">
            <w:pPr>
              <w:jc w:val="center"/>
              <w:rPr>
                <w:rFonts w:ascii="Meta Pro" w:eastAsia="Times New Roman" w:hAnsi="Meta Pro" w:cs="Times New Roman"/>
                <w:sz w:val="20"/>
                <w:szCs w:val="20"/>
                <w:lang w:eastAsia="en-AU"/>
              </w:rPr>
            </w:pPr>
          </w:p>
        </w:tc>
        <w:tc>
          <w:tcPr>
            <w:tcW w:w="1181" w:type="dxa"/>
            <w:gridSpan w:val="2"/>
            <w:tcBorders>
              <w:top w:val="nil"/>
              <w:left w:val="nil"/>
              <w:bottom w:val="nil"/>
              <w:right w:val="nil"/>
            </w:tcBorders>
            <w:shd w:val="clear" w:color="auto" w:fill="auto"/>
            <w:noWrap/>
            <w:vAlign w:val="center"/>
            <w:hideMark/>
          </w:tcPr>
          <w:p w14:paraId="1094164B" w14:textId="77777777" w:rsidR="002C082C" w:rsidRPr="00626042" w:rsidRDefault="002C082C" w:rsidP="00E607DA">
            <w:pPr>
              <w:rPr>
                <w:rFonts w:ascii="Meta Pro" w:eastAsia="Times New Roman" w:hAnsi="Meta Pro" w:cs="Times New Roman"/>
                <w:sz w:val="20"/>
                <w:szCs w:val="20"/>
                <w:lang w:eastAsia="en-AU"/>
              </w:rPr>
            </w:pPr>
          </w:p>
        </w:tc>
        <w:tc>
          <w:tcPr>
            <w:tcW w:w="200" w:type="dxa"/>
            <w:tcBorders>
              <w:top w:val="nil"/>
              <w:left w:val="nil"/>
              <w:bottom w:val="nil"/>
              <w:right w:val="nil"/>
            </w:tcBorders>
            <w:shd w:val="clear" w:color="auto" w:fill="auto"/>
            <w:noWrap/>
            <w:vAlign w:val="center"/>
            <w:hideMark/>
          </w:tcPr>
          <w:p w14:paraId="1C27F46B" w14:textId="77777777" w:rsidR="002C082C" w:rsidRPr="00626042" w:rsidRDefault="002C082C" w:rsidP="00E607DA">
            <w:pPr>
              <w:jc w:val="right"/>
              <w:rPr>
                <w:rFonts w:ascii="Meta Pro" w:eastAsia="Times New Roman" w:hAnsi="Meta Pro" w:cs="Times New Roman"/>
                <w:sz w:val="20"/>
                <w:szCs w:val="20"/>
                <w:lang w:eastAsia="en-AU"/>
              </w:rPr>
            </w:pPr>
          </w:p>
        </w:tc>
        <w:tc>
          <w:tcPr>
            <w:tcW w:w="1230" w:type="dxa"/>
            <w:gridSpan w:val="2"/>
            <w:tcBorders>
              <w:top w:val="nil"/>
              <w:left w:val="nil"/>
              <w:bottom w:val="nil"/>
              <w:right w:val="nil"/>
            </w:tcBorders>
            <w:shd w:val="clear" w:color="auto" w:fill="auto"/>
            <w:noWrap/>
            <w:vAlign w:val="center"/>
            <w:hideMark/>
          </w:tcPr>
          <w:p w14:paraId="43D8770D" w14:textId="77777777" w:rsidR="002C082C" w:rsidRPr="00626042" w:rsidRDefault="002C082C" w:rsidP="00E607DA">
            <w:pPr>
              <w:jc w:val="right"/>
              <w:rPr>
                <w:rFonts w:ascii="Meta Pro" w:eastAsia="Times New Roman" w:hAnsi="Meta Pro" w:cs="Times New Roman"/>
                <w:sz w:val="20"/>
                <w:szCs w:val="20"/>
                <w:lang w:eastAsia="en-AU"/>
              </w:rPr>
            </w:pPr>
          </w:p>
        </w:tc>
      </w:tr>
      <w:tr w:rsidR="002C082C" w:rsidRPr="00626042" w14:paraId="297D1C4B" w14:textId="77777777" w:rsidTr="00E43D75">
        <w:trPr>
          <w:trHeight w:val="240"/>
        </w:trPr>
        <w:tc>
          <w:tcPr>
            <w:tcW w:w="6085" w:type="dxa"/>
            <w:gridSpan w:val="2"/>
            <w:tcBorders>
              <w:top w:val="nil"/>
              <w:left w:val="nil"/>
              <w:bottom w:val="nil"/>
              <w:right w:val="nil"/>
            </w:tcBorders>
            <w:shd w:val="clear" w:color="auto" w:fill="auto"/>
            <w:vAlign w:val="center"/>
            <w:hideMark/>
          </w:tcPr>
          <w:p w14:paraId="7E983C9F" w14:textId="77777777" w:rsidR="002C082C" w:rsidRPr="00626042" w:rsidRDefault="002C082C" w:rsidP="00E607DA">
            <w:pPr>
              <w:rPr>
                <w:rFonts w:ascii="Meta Pro" w:eastAsia="Times New Roman" w:hAnsi="Meta Pro"/>
                <w:szCs w:val="18"/>
                <w:lang w:eastAsia="en-AU"/>
              </w:rPr>
            </w:pPr>
            <w:r w:rsidRPr="00626042">
              <w:rPr>
                <w:rFonts w:ascii="Meta Pro" w:eastAsia="Times New Roman" w:hAnsi="Meta Pro"/>
                <w:szCs w:val="18"/>
                <w:lang w:eastAsia="en-AU"/>
              </w:rPr>
              <w:t xml:space="preserve">Opening balance </w:t>
            </w:r>
          </w:p>
        </w:tc>
        <w:tc>
          <w:tcPr>
            <w:tcW w:w="141" w:type="dxa"/>
            <w:tcBorders>
              <w:top w:val="nil"/>
              <w:left w:val="nil"/>
              <w:bottom w:val="nil"/>
              <w:right w:val="nil"/>
            </w:tcBorders>
            <w:shd w:val="clear" w:color="auto" w:fill="auto"/>
            <w:noWrap/>
            <w:vAlign w:val="center"/>
            <w:hideMark/>
          </w:tcPr>
          <w:p w14:paraId="315A92C7" w14:textId="77777777" w:rsidR="002C082C" w:rsidRPr="00626042" w:rsidRDefault="002C082C" w:rsidP="00E607DA">
            <w:pPr>
              <w:rPr>
                <w:rFonts w:ascii="Meta Pro" w:eastAsia="Times New Roman" w:hAnsi="Meta Pro"/>
                <w:szCs w:val="18"/>
                <w:lang w:eastAsia="en-AU"/>
              </w:rPr>
            </w:pPr>
          </w:p>
        </w:tc>
        <w:tc>
          <w:tcPr>
            <w:tcW w:w="233" w:type="dxa"/>
            <w:gridSpan w:val="2"/>
            <w:tcBorders>
              <w:top w:val="nil"/>
              <w:left w:val="nil"/>
              <w:bottom w:val="nil"/>
              <w:right w:val="nil"/>
            </w:tcBorders>
            <w:shd w:val="clear" w:color="auto" w:fill="auto"/>
            <w:noWrap/>
            <w:vAlign w:val="center"/>
            <w:hideMark/>
          </w:tcPr>
          <w:p w14:paraId="7ABDAF3C" w14:textId="77777777" w:rsidR="002C082C" w:rsidRPr="00626042" w:rsidRDefault="002C082C" w:rsidP="00E607DA">
            <w:pPr>
              <w:jc w:val="center"/>
              <w:rPr>
                <w:rFonts w:ascii="Meta Pro" w:eastAsia="Times New Roman" w:hAnsi="Meta Pro" w:cs="Times New Roman"/>
                <w:sz w:val="20"/>
                <w:szCs w:val="20"/>
                <w:lang w:eastAsia="en-AU"/>
              </w:rPr>
            </w:pPr>
          </w:p>
        </w:tc>
        <w:tc>
          <w:tcPr>
            <w:tcW w:w="1181" w:type="dxa"/>
            <w:gridSpan w:val="2"/>
            <w:tcBorders>
              <w:top w:val="nil"/>
              <w:left w:val="nil"/>
              <w:bottom w:val="nil"/>
              <w:right w:val="nil"/>
            </w:tcBorders>
            <w:shd w:val="clear" w:color="000000" w:fill="C9E3B4"/>
            <w:noWrap/>
            <w:vAlign w:val="center"/>
            <w:hideMark/>
          </w:tcPr>
          <w:p w14:paraId="59F893EC"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 xml:space="preserve">1,255,850 </w:t>
            </w:r>
          </w:p>
        </w:tc>
        <w:tc>
          <w:tcPr>
            <w:tcW w:w="200" w:type="dxa"/>
            <w:tcBorders>
              <w:top w:val="nil"/>
              <w:left w:val="nil"/>
              <w:bottom w:val="nil"/>
              <w:right w:val="nil"/>
            </w:tcBorders>
            <w:shd w:val="clear" w:color="auto" w:fill="auto"/>
            <w:noWrap/>
            <w:vAlign w:val="center"/>
            <w:hideMark/>
          </w:tcPr>
          <w:p w14:paraId="304F99C7" w14:textId="77777777" w:rsidR="002C082C" w:rsidRPr="00626042" w:rsidRDefault="002C082C" w:rsidP="00E607DA">
            <w:pPr>
              <w:jc w:val="right"/>
              <w:rPr>
                <w:rFonts w:ascii="Meta Pro" w:eastAsia="Times New Roman" w:hAnsi="Meta Pro"/>
                <w:szCs w:val="18"/>
                <w:lang w:eastAsia="en-AU"/>
              </w:rPr>
            </w:pPr>
          </w:p>
        </w:tc>
        <w:tc>
          <w:tcPr>
            <w:tcW w:w="1230" w:type="dxa"/>
            <w:gridSpan w:val="2"/>
            <w:tcBorders>
              <w:top w:val="nil"/>
              <w:left w:val="nil"/>
              <w:bottom w:val="nil"/>
              <w:right w:val="nil"/>
            </w:tcBorders>
            <w:shd w:val="clear" w:color="auto" w:fill="auto"/>
            <w:noWrap/>
            <w:vAlign w:val="center"/>
            <w:hideMark/>
          </w:tcPr>
          <w:p w14:paraId="78CB4759"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 xml:space="preserve">1,308,553 </w:t>
            </w:r>
          </w:p>
        </w:tc>
      </w:tr>
      <w:tr w:rsidR="002C082C" w:rsidRPr="00626042" w14:paraId="01F0AACF" w14:textId="77777777" w:rsidTr="00E43D75">
        <w:trPr>
          <w:trHeight w:val="90"/>
        </w:trPr>
        <w:tc>
          <w:tcPr>
            <w:tcW w:w="3043" w:type="dxa"/>
            <w:tcBorders>
              <w:top w:val="nil"/>
              <w:left w:val="nil"/>
              <w:bottom w:val="nil"/>
              <w:right w:val="nil"/>
            </w:tcBorders>
            <w:shd w:val="clear" w:color="auto" w:fill="auto"/>
            <w:vAlign w:val="center"/>
            <w:hideMark/>
          </w:tcPr>
          <w:p w14:paraId="3FB31F92" w14:textId="77777777" w:rsidR="002C082C" w:rsidRPr="00626042" w:rsidRDefault="002C082C" w:rsidP="00E607DA">
            <w:pPr>
              <w:jc w:val="right"/>
              <w:rPr>
                <w:rFonts w:ascii="Meta Pro" w:eastAsia="Times New Roman" w:hAnsi="Meta Pro"/>
                <w:szCs w:val="18"/>
                <w:lang w:eastAsia="en-AU"/>
              </w:rPr>
            </w:pPr>
          </w:p>
        </w:tc>
        <w:tc>
          <w:tcPr>
            <w:tcW w:w="3042" w:type="dxa"/>
            <w:tcBorders>
              <w:top w:val="nil"/>
              <w:left w:val="nil"/>
              <w:bottom w:val="nil"/>
              <w:right w:val="nil"/>
            </w:tcBorders>
            <w:shd w:val="clear" w:color="auto" w:fill="auto"/>
            <w:vAlign w:val="center"/>
            <w:hideMark/>
          </w:tcPr>
          <w:p w14:paraId="55CEF1F7" w14:textId="77777777" w:rsidR="002C082C" w:rsidRPr="00626042" w:rsidRDefault="002C082C" w:rsidP="00E607DA">
            <w:pPr>
              <w:rPr>
                <w:rFonts w:ascii="Meta Pro" w:eastAsia="Times New Roman" w:hAnsi="Meta Pro" w:cs="Times New Roman"/>
                <w:sz w:val="20"/>
                <w:szCs w:val="20"/>
                <w:lang w:eastAsia="en-AU"/>
              </w:rPr>
            </w:pPr>
          </w:p>
        </w:tc>
        <w:tc>
          <w:tcPr>
            <w:tcW w:w="141" w:type="dxa"/>
            <w:tcBorders>
              <w:top w:val="nil"/>
              <w:left w:val="nil"/>
              <w:bottom w:val="nil"/>
              <w:right w:val="nil"/>
            </w:tcBorders>
            <w:shd w:val="clear" w:color="auto" w:fill="auto"/>
            <w:vAlign w:val="center"/>
            <w:hideMark/>
          </w:tcPr>
          <w:p w14:paraId="7F2566F8" w14:textId="77777777" w:rsidR="002C082C" w:rsidRPr="00626042" w:rsidRDefault="002C082C" w:rsidP="00E607DA">
            <w:pPr>
              <w:rPr>
                <w:rFonts w:ascii="Meta Pro" w:eastAsia="Times New Roman" w:hAnsi="Meta Pro" w:cs="Times New Roman"/>
                <w:sz w:val="20"/>
                <w:szCs w:val="20"/>
                <w:lang w:eastAsia="en-AU"/>
              </w:rPr>
            </w:pPr>
          </w:p>
        </w:tc>
        <w:tc>
          <w:tcPr>
            <w:tcW w:w="233" w:type="dxa"/>
            <w:gridSpan w:val="2"/>
            <w:tcBorders>
              <w:top w:val="nil"/>
              <w:left w:val="nil"/>
              <w:bottom w:val="nil"/>
              <w:right w:val="nil"/>
            </w:tcBorders>
            <w:shd w:val="clear" w:color="auto" w:fill="auto"/>
            <w:vAlign w:val="center"/>
            <w:hideMark/>
          </w:tcPr>
          <w:p w14:paraId="58EC3AEB" w14:textId="77777777" w:rsidR="002C082C" w:rsidRPr="00626042" w:rsidRDefault="002C082C" w:rsidP="00E607DA">
            <w:pPr>
              <w:jc w:val="center"/>
              <w:rPr>
                <w:rFonts w:ascii="Meta Pro" w:eastAsia="Times New Roman" w:hAnsi="Meta Pro" w:cs="Times New Roman"/>
                <w:sz w:val="20"/>
                <w:szCs w:val="20"/>
                <w:lang w:eastAsia="en-AU"/>
              </w:rPr>
            </w:pPr>
          </w:p>
        </w:tc>
        <w:tc>
          <w:tcPr>
            <w:tcW w:w="1181" w:type="dxa"/>
            <w:gridSpan w:val="2"/>
            <w:tcBorders>
              <w:top w:val="nil"/>
              <w:left w:val="nil"/>
              <w:bottom w:val="nil"/>
              <w:right w:val="nil"/>
            </w:tcBorders>
            <w:shd w:val="clear" w:color="000000" w:fill="C9E3B4"/>
            <w:noWrap/>
            <w:vAlign w:val="center"/>
            <w:hideMark/>
          </w:tcPr>
          <w:p w14:paraId="799D28E7"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 </w:t>
            </w:r>
          </w:p>
        </w:tc>
        <w:tc>
          <w:tcPr>
            <w:tcW w:w="200" w:type="dxa"/>
            <w:tcBorders>
              <w:top w:val="nil"/>
              <w:left w:val="nil"/>
              <w:bottom w:val="nil"/>
              <w:right w:val="nil"/>
            </w:tcBorders>
            <w:shd w:val="clear" w:color="auto" w:fill="auto"/>
            <w:vAlign w:val="center"/>
            <w:hideMark/>
          </w:tcPr>
          <w:p w14:paraId="1D371676" w14:textId="77777777" w:rsidR="002C082C" w:rsidRPr="00626042" w:rsidRDefault="002C082C" w:rsidP="00E607DA">
            <w:pPr>
              <w:jc w:val="right"/>
              <w:rPr>
                <w:rFonts w:ascii="Meta Pro" w:eastAsia="Times New Roman" w:hAnsi="Meta Pro"/>
                <w:szCs w:val="18"/>
                <w:lang w:eastAsia="en-AU"/>
              </w:rPr>
            </w:pPr>
          </w:p>
        </w:tc>
        <w:tc>
          <w:tcPr>
            <w:tcW w:w="1230" w:type="dxa"/>
            <w:gridSpan w:val="2"/>
            <w:tcBorders>
              <w:top w:val="nil"/>
              <w:left w:val="nil"/>
              <w:bottom w:val="nil"/>
              <w:right w:val="nil"/>
            </w:tcBorders>
            <w:shd w:val="clear" w:color="auto" w:fill="auto"/>
            <w:vAlign w:val="center"/>
            <w:hideMark/>
          </w:tcPr>
          <w:p w14:paraId="6565801C" w14:textId="77777777" w:rsidR="002C082C" w:rsidRPr="00626042" w:rsidRDefault="002C082C" w:rsidP="00E607DA">
            <w:pPr>
              <w:rPr>
                <w:rFonts w:ascii="Meta Pro" w:eastAsia="Times New Roman" w:hAnsi="Meta Pro" w:cs="Times New Roman"/>
                <w:sz w:val="20"/>
                <w:szCs w:val="20"/>
                <w:lang w:eastAsia="en-AU"/>
              </w:rPr>
            </w:pPr>
          </w:p>
        </w:tc>
      </w:tr>
      <w:tr w:rsidR="002C082C" w:rsidRPr="00626042" w14:paraId="5C650E83" w14:textId="77777777" w:rsidTr="00E43D75">
        <w:trPr>
          <w:trHeight w:val="240"/>
        </w:trPr>
        <w:tc>
          <w:tcPr>
            <w:tcW w:w="6085" w:type="dxa"/>
            <w:gridSpan w:val="2"/>
            <w:tcBorders>
              <w:top w:val="nil"/>
              <w:left w:val="nil"/>
              <w:bottom w:val="nil"/>
              <w:right w:val="nil"/>
            </w:tcBorders>
            <w:shd w:val="clear" w:color="auto" w:fill="auto"/>
            <w:noWrap/>
            <w:vAlign w:val="center"/>
            <w:hideMark/>
          </w:tcPr>
          <w:p w14:paraId="08D58B9D" w14:textId="77777777" w:rsidR="002C082C" w:rsidRPr="00626042" w:rsidRDefault="002C082C" w:rsidP="00E607DA">
            <w:pPr>
              <w:rPr>
                <w:rFonts w:ascii="Meta Pro" w:eastAsia="Times New Roman" w:hAnsi="Meta Pro"/>
                <w:szCs w:val="18"/>
                <w:lang w:eastAsia="en-AU"/>
              </w:rPr>
            </w:pPr>
            <w:r w:rsidRPr="00626042">
              <w:rPr>
                <w:rFonts w:ascii="Meta Pro" w:eastAsia="Times New Roman" w:hAnsi="Meta Pro"/>
                <w:szCs w:val="18"/>
                <w:lang w:eastAsia="en-AU"/>
              </w:rPr>
              <w:t>New borrowings – leases</w:t>
            </w:r>
          </w:p>
        </w:tc>
        <w:tc>
          <w:tcPr>
            <w:tcW w:w="141" w:type="dxa"/>
            <w:tcBorders>
              <w:top w:val="nil"/>
              <w:left w:val="nil"/>
              <w:bottom w:val="nil"/>
              <w:right w:val="nil"/>
            </w:tcBorders>
            <w:shd w:val="clear" w:color="auto" w:fill="auto"/>
            <w:noWrap/>
            <w:vAlign w:val="center"/>
            <w:hideMark/>
          </w:tcPr>
          <w:p w14:paraId="0359B34C" w14:textId="77777777" w:rsidR="002C082C" w:rsidRPr="00626042" w:rsidRDefault="002C082C" w:rsidP="00E607DA">
            <w:pPr>
              <w:rPr>
                <w:rFonts w:ascii="Meta Pro" w:eastAsia="Times New Roman" w:hAnsi="Meta Pro"/>
                <w:szCs w:val="18"/>
                <w:lang w:eastAsia="en-AU"/>
              </w:rPr>
            </w:pPr>
          </w:p>
        </w:tc>
        <w:tc>
          <w:tcPr>
            <w:tcW w:w="233" w:type="dxa"/>
            <w:gridSpan w:val="2"/>
            <w:tcBorders>
              <w:top w:val="nil"/>
              <w:left w:val="nil"/>
              <w:bottom w:val="nil"/>
              <w:right w:val="nil"/>
            </w:tcBorders>
            <w:shd w:val="clear" w:color="auto" w:fill="auto"/>
            <w:noWrap/>
            <w:vAlign w:val="center"/>
            <w:hideMark/>
          </w:tcPr>
          <w:p w14:paraId="234029FE" w14:textId="77777777" w:rsidR="002C082C" w:rsidRPr="00626042" w:rsidRDefault="002C082C" w:rsidP="00E607DA">
            <w:pPr>
              <w:jc w:val="center"/>
              <w:rPr>
                <w:rFonts w:ascii="Meta Pro" w:eastAsia="Times New Roman" w:hAnsi="Meta Pro" w:cs="Times New Roman"/>
                <w:sz w:val="20"/>
                <w:szCs w:val="20"/>
                <w:lang w:eastAsia="en-AU"/>
              </w:rPr>
            </w:pPr>
          </w:p>
        </w:tc>
        <w:tc>
          <w:tcPr>
            <w:tcW w:w="1181" w:type="dxa"/>
            <w:gridSpan w:val="2"/>
            <w:tcBorders>
              <w:top w:val="nil"/>
              <w:left w:val="nil"/>
              <w:bottom w:val="nil"/>
              <w:right w:val="nil"/>
            </w:tcBorders>
            <w:shd w:val="clear" w:color="000000" w:fill="C9E3B4"/>
            <w:noWrap/>
            <w:vAlign w:val="center"/>
            <w:hideMark/>
          </w:tcPr>
          <w:p w14:paraId="6F97B31D"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 xml:space="preserve">75,824 </w:t>
            </w:r>
          </w:p>
        </w:tc>
        <w:tc>
          <w:tcPr>
            <w:tcW w:w="200" w:type="dxa"/>
            <w:tcBorders>
              <w:top w:val="nil"/>
              <w:left w:val="nil"/>
              <w:bottom w:val="nil"/>
              <w:right w:val="nil"/>
            </w:tcBorders>
            <w:shd w:val="clear" w:color="auto" w:fill="auto"/>
            <w:noWrap/>
            <w:vAlign w:val="center"/>
            <w:hideMark/>
          </w:tcPr>
          <w:p w14:paraId="29BF618A" w14:textId="77777777" w:rsidR="002C082C" w:rsidRPr="00626042" w:rsidRDefault="002C082C" w:rsidP="00E607DA">
            <w:pPr>
              <w:jc w:val="right"/>
              <w:rPr>
                <w:rFonts w:ascii="Meta Pro" w:eastAsia="Times New Roman" w:hAnsi="Meta Pro"/>
                <w:szCs w:val="18"/>
                <w:lang w:eastAsia="en-AU"/>
              </w:rPr>
            </w:pPr>
          </w:p>
        </w:tc>
        <w:tc>
          <w:tcPr>
            <w:tcW w:w="1230" w:type="dxa"/>
            <w:gridSpan w:val="2"/>
            <w:tcBorders>
              <w:top w:val="nil"/>
              <w:left w:val="nil"/>
              <w:bottom w:val="nil"/>
              <w:right w:val="nil"/>
            </w:tcBorders>
            <w:shd w:val="clear" w:color="auto" w:fill="auto"/>
            <w:noWrap/>
            <w:vAlign w:val="center"/>
            <w:hideMark/>
          </w:tcPr>
          <w:p w14:paraId="2E0DA44E"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 xml:space="preserve">294 </w:t>
            </w:r>
          </w:p>
        </w:tc>
      </w:tr>
      <w:tr w:rsidR="002C082C" w:rsidRPr="00626042" w14:paraId="02CC311B" w14:textId="77777777" w:rsidTr="00E43D75">
        <w:trPr>
          <w:trHeight w:val="240"/>
        </w:trPr>
        <w:tc>
          <w:tcPr>
            <w:tcW w:w="6085" w:type="dxa"/>
            <w:gridSpan w:val="2"/>
            <w:tcBorders>
              <w:top w:val="nil"/>
              <w:left w:val="nil"/>
              <w:bottom w:val="nil"/>
              <w:right w:val="nil"/>
            </w:tcBorders>
            <w:shd w:val="clear" w:color="auto" w:fill="auto"/>
            <w:noWrap/>
            <w:vAlign w:val="center"/>
            <w:hideMark/>
          </w:tcPr>
          <w:p w14:paraId="2BEAB10D" w14:textId="77777777" w:rsidR="002C082C" w:rsidRPr="00626042" w:rsidRDefault="002C082C" w:rsidP="00E607DA">
            <w:pPr>
              <w:rPr>
                <w:rFonts w:ascii="Meta Pro" w:eastAsia="Times New Roman" w:hAnsi="Meta Pro"/>
                <w:szCs w:val="18"/>
                <w:lang w:eastAsia="en-AU"/>
              </w:rPr>
            </w:pPr>
            <w:r w:rsidRPr="00626042">
              <w:rPr>
                <w:rFonts w:ascii="Meta Pro" w:eastAsia="Times New Roman" w:hAnsi="Meta Pro"/>
                <w:szCs w:val="18"/>
                <w:lang w:eastAsia="en-AU"/>
              </w:rPr>
              <w:t>Accrued repayments</w:t>
            </w:r>
          </w:p>
        </w:tc>
        <w:tc>
          <w:tcPr>
            <w:tcW w:w="141" w:type="dxa"/>
            <w:tcBorders>
              <w:top w:val="nil"/>
              <w:left w:val="nil"/>
              <w:bottom w:val="nil"/>
              <w:right w:val="nil"/>
            </w:tcBorders>
            <w:shd w:val="clear" w:color="auto" w:fill="auto"/>
            <w:noWrap/>
            <w:vAlign w:val="center"/>
            <w:hideMark/>
          </w:tcPr>
          <w:p w14:paraId="6597040E" w14:textId="77777777" w:rsidR="002C082C" w:rsidRPr="00626042" w:rsidRDefault="002C082C" w:rsidP="00E607DA">
            <w:pPr>
              <w:rPr>
                <w:rFonts w:ascii="Meta Pro" w:eastAsia="Times New Roman" w:hAnsi="Meta Pro"/>
                <w:szCs w:val="18"/>
                <w:lang w:eastAsia="en-AU"/>
              </w:rPr>
            </w:pPr>
          </w:p>
        </w:tc>
        <w:tc>
          <w:tcPr>
            <w:tcW w:w="233" w:type="dxa"/>
            <w:gridSpan w:val="2"/>
            <w:tcBorders>
              <w:top w:val="nil"/>
              <w:left w:val="nil"/>
              <w:bottom w:val="nil"/>
              <w:right w:val="nil"/>
            </w:tcBorders>
            <w:shd w:val="clear" w:color="auto" w:fill="auto"/>
            <w:noWrap/>
            <w:vAlign w:val="center"/>
            <w:hideMark/>
          </w:tcPr>
          <w:p w14:paraId="6D838019" w14:textId="77777777" w:rsidR="002C082C" w:rsidRPr="00626042" w:rsidRDefault="002C082C" w:rsidP="00E607DA">
            <w:pPr>
              <w:jc w:val="center"/>
              <w:rPr>
                <w:rFonts w:ascii="Meta Pro" w:eastAsia="Times New Roman" w:hAnsi="Meta Pro" w:cs="Times New Roman"/>
                <w:sz w:val="20"/>
                <w:szCs w:val="20"/>
                <w:lang w:eastAsia="en-AU"/>
              </w:rPr>
            </w:pPr>
          </w:p>
        </w:tc>
        <w:tc>
          <w:tcPr>
            <w:tcW w:w="1181" w:type="dxa"/>
            <w:gridSpan w:val="2"/>
            <w:tcBorders>
              <w:top w:val="nil"/>
              <w:left w:val="nil"/>
              <w:bottom w:val="nil"/>
              <w:right w:val="nil"/>
            </w:tcBorders>
            <w:shd w:val="clear" w:color="000000" w:fill="C9E3B4"/>
            <w:noWrap/>
            <w:vAlign w:val="center"/>
            <w:hideMark/>
          </w:tcPr>
          <w:p w14:paraId="68D63850"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(360)</w:t>
            </w:r>
          </w:p>
        </w:tc>
        <w:tc>
          <w:tcPr>
            <w:tcW w:w="200" w:type="dxa"/>
            <w:tcBorders>
              <w:top w:val="nil"/>
              <w:left w:val="nil"/>
              <w:bottom w:val="nil"/>
              <w:right w:val="nil"/>
            </w:tcBorders>
            <w:shd w:val="clear" w:color="auto" w:fill="auto"/>
            <w:noWrap/>
            <w:vAlign w:val="center"/>
            <w:hideMark/>
          </w:tcPr>
          <w:p w14:paraId="7D3B515D" w14:textId="77777777" w:rsidR="002C082C" w:rsidRPr="00626042" w:rsidRDefault="002C082C" w:rsidP="00E607DA">
            <w:pPr>
              <w:jc w:val="right"/>
              <w:rPr>
                <w:rFonts w:ascii="Meta Pro" w:eastAsia="Times New Roman" w:hAnsi="Meta Pro"/>
                <w:szCs w:val="18"/>
                <w:lang w:eastAsia="en-AU"/>
              </w:rPr>
            </w:pPr>
          </w:p>
        </w:tc>
        <w:tc>
          <w:tcPr>
            <w:tcW w:w="1230" w:type="dxa"/>
            <w:gridSpan w:val="2"/>
            <w:tcBorders>
              <w:top w:val="nil"/>
              <w:left w:val="nil"/>
              <w:bottom w:val="nil"/>
              <w:right w:val="nil"/>
            </w:tcBorders>
            <w:shd w:val="clear" w:color="auto" w:fill="auto"/>
            <w:noWrap/>
            <w:vAlign w:val="center"/>
            <w:hideMark/>
          </w:tcPr>
          <w:p w14:paraId="67AD6A19"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 xml:space="preserve">23,491 </w:t>
            </w:r>
          </w:p>
        </w:tc>
      </w:tr>
      <w:tr w:rsidR="002C082C" w:rsidRPr="00626042" w14:paraId="134BBE7E" w14:textId="77777777" w:rsidTr="00E43D75">
        <w:trPr>
          <w:trHeight w:val="240"/>
        </w:trPr>
        <w:tc>
          <w:tcPr>
            <w:tcW w:w="6085" w:type="dxa"/>
            <w:gridSpan w:val="2"/>
            <w:tcBorders>
              <w:top w:val="nil"/>
              <w:left w:val="nil"/>
              <w:bottom w:val="nil"/>
              <w:right w:val="nil"/>
            </w:tcBorders>
            <w:shd w:val="clear" w:color="auto" w:fill="auto"/>
            <w:noWrap/>
            <w:vAlign w:val="center"/>
            <w:hideMark/>
          </w:tcPr>
          <w:p w14:paraId="6E847B20" w14:textId="77777777" w:rsidR="002C082C" w:rsidRPr="00626042" w:rsidRDefault="002C082C" w:rsidP="00E607DA">
            <w:pPr>
              <w:rPr>
                <w:rFonts w:ascii="Meta Pro" w:eastAsia="Times New Roman" w:hAnsi="Meta Pro"/>
                <w:szCs w:val="18"/>
                <w:lang w:eastAsia="en-AU"/>
              </w:rPr>
            </w:pPr>
            <w:r w:rsidRPr="00626042">
              <w:rPr>
                <w:rFonts w:ascii="Meta Pro" w:eastAsia="Times New Roman" w:hAnsi="Meta Pro"/>
                <w:szCs w:val="18"/>
                <w:lang w:eastAsia="en-AU"/>
              </w:rPr>
              <w:t>Remeasurement of liability</w:t>
            </w:r>
          </w:p>
        </w:tc>
        <w:tc>
          <w:tcPr>
            <w:tcW w:w="141" w:type="dxa"/>
            <w:tcBorders>
              <w:top w:val="nil"/>
              <w:left w:val="nil"/>
              <w:bottom w:val="single" w:sz="4" w:space="0" w:color="auto"/>
              <w:right w:val="nil"/>
            </w:tcBorders>
            <w:shd w:val="clear" w:color="auto" w:fill="auto"/>
            <w:noWrap/>
            <w:vAlign w:val="center"/>
            <w:hideMark/>
          </w:tcPr>
          <w:p w14:paraId="6B745BCF" w14:textId="77777777" w:rsidR="002C082C" w:rsidRPr="00626042" w:rsidRDefault="002C082C" w:rsidP="00E607DA">
            <w:pPr>
              <w:jc w:val="center"/>
              <w:rPr>
                <w:rFonts w:ascii="Meta Pro" w:eastAsia="Times New Roman" w:hAnsi="Meta Pro"/>
                <w:color w:val="000000"/>
                <w:szCs w:val="18"/>
                <w:lang w:eastAsia="en-AU"/>
              </w:rPr>
            </w:pPr>
            <w:r w:rsidRPr="00626042">
              <w:rPr>
                <w:rFonts w:ascii="Meta Pro" w:eastAsia="Times New Roman" w:hAnsi="Meta Pro"/>
                <w:color w:val="000000"/>
                <w:szCs w:val="18"/>
                <w:lang w:eastAsia="en-AU"/>
              </w:rPr>
              <w:t> </w:t>
            </w:r>
          </w:p>
        </w:tc>
        <w:tc>
          <w:tcPr>
            <w:tcW w:w="233" w:type="dxa"/>
            <w:gridSpan w:val="2"/>
            <w:tcBorders>
              <w:top w:val="nil"/>
              <w:left w:val="nil"/>
              <w:bottom w:val="nil"/>
              <w:right w:val="nil"/>
            </w:tcBorders>
            <w:shd w:val="clear" w:color="auto" w:fill="auto"/>
            <w:noWrap/>
            <w:vAlign w:val="center"/>
            <w:hideMark/>
          </w:tcPr>
          <w:p w14:paraId="69F2F53B" w14:textId="77777777" w:rsidR="002C082C" w:rsidRPr="00626042" w:rsidRDefault="002C082C" w:rsidP="00E607DA">
            <w:pPr>
              <w:jc w:val="center"/>
              <w:rPr>
                <w:rFonts w:ascii="Meta Pro" w:eastAsia="Times New Roman" w:hAnsi="Meta Pro"/>
                <w:color w:val="000000"/>
                <w:szCs w:val="18"/>
                <w:lang w:eastAsia="en-AU"/>
              </w:rPr>
            </w:pPr>
          </w:p>
        </w:tc>
        <w:tc>
          <w:tcPr>
            <w:tcW w:w="1181" w:type="dxa"/>
            <w:gridSpan w:val="2"/>
            <w:tcBorders>
              <w:top w:val="nil"/>
              <w:left w:val="nil"/>
              <w:bottom w:val="single" w:sz="4" w:space="0" w:color="auto"/>
              <w:right w:val="nil"/>
            </w:tcBorders>
            <w:shd w:val="clear" w:color="000000" w:fill="C9E3B4"/>
            <w:noWrap/>
            <w:vAlign w:val="center"/>
            <w:hideMark/>
          </w:tcPr>
          <w:p w14:paraId="28B6BAF7"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 xml:space="preserve">774 </w:t>
            </w:r>
          </w:p>
        </w:tc>
        <w:tc>
          <w:tcPr>
            <w:tcW w:w="200" w:type="dxa"/>
            <w:tcBorders>
              <w:top w:val="nil"/>
              <w:left w:val="nil"/>
              <w:bottom w:val="nil"/>
              <w:right w:val="nil"/>
            </w:tcBorders>
            <w:shd w:val="clear" w:color="auto" w:fill="auto"/>
            <w:noWrap/>
            <w:vAlign w:val="center"/>
            <w:hideMark/>
          </w:tcPr>
          <w:p w14:paraId="052F6A1B" w14:textId="77777777" w:rsidR="002C082C" w:rsidRPr="00626042" w:rsidRDefault="002C082C" w:rsidP="00E607DA">
            <w:pPr>
              <w:jc w:val="right"/>
              <w:rPr>
                <w:rFonts w:ascii="Meta Pro" w:eastAsia="Times New Roman" w:hAnsi="Meta Pro"/>
                <w:szCs w:val="18"/>
                <w:lang w:eastAsia="en-AU"/>
              </w:rPr>
            </w:pPr>
          </w:p>
        </w:tc>
        <w:tc>
          <w:tcPr>
            <w:tcW w:w="1230" w:type="dxa"/>
            <w:gridSpan w:val="2"/>
            <w:tcBorders>
              <w:top w:val="nil"/>
              <w:left w:val="nil"/>
              <w:bottom w:val="nil"/>
              <w:right w:val="nil"/>
            </w:tcBorders>
            <w:shd w:val="clear" w:color="auto" w:fill="auto"/>
            <w:noWrap/>
            <w:vAlign w:val="center"/>
            <w:hideMark/>
          </w:tcPr>
          <w:p w14:paraId="07062F28"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(5,469)</w:t>
            </w:r>
          </w:p>
        </w:tc>
      </w:tr>
      <w:tr w:rsidR="002C082C" w:rsidRPr="00626042" w14:paraId="24EB8077" w14:textId="77777777" w:rsidTr="00E43D75">
        <w:trPr>
          <w:trHeight w:val="240"/>
        </w:trPr>
        <w:tc>
          <w:tcPr>
            <w:tcW w:w="6085" w:type="dxa"/>
            <w:gridSpan w:val="2"/>
            <w:tcBorders>
              <w:top w:val="single" w:sz="4" w:space="0" w:color="auto"/>
              <w:left w:val="nil"/>
              <w:bottom w:val="nil"/>
              <w:right w:val="nil"/>
            </w:tcBorders>
            <w:shd w:val="clear" w:color="auto" w:fill="auto"/>
            <w:noWrap/>
            <w:vAlign w:val="center"/>
            <w:hideMark/>
          </w:tcPr>
          <w:p w14:paraId="5BD79AA6" w14:textId="77777777" w:rsidR="002C082C" w:rsidRPr="00626042" w:rsidRDefault="002C082C" w:rsidP="00E607DA">
            <w:pPr>
              <w:rPr>
                <w:rFonts w:ascii="Meta Pro" w:eastAsia="Times New Roman" w:hAnsi="Meta Pro"/>
                <w:szCs w:val="18"/>
                <w:lang w:eastAsia="en-AU"/>
              </w:rPr>
            </w:pPr>
            <w:r w:rsidRPr="00626042">
              <w:rPr>
                <w:rFonts w:ascii="Meta Pro" w:eastAsia="Times New Roman" w:hAnsi="Meta Pro"/>
                <w:szCs w:val="18"/>
                <w:lang w:eastAsia="en-AU"/>
              </w:rPr>
              <w:t>Non-cash changes</w:t>
            </w:r>
          </w:p>
        </w:tc>
        <w:tc>
          <w:tcPr>
            <w:tcW w:w="141" w:type="dxa"/>
            <w:tcBorders>
              <w:top w:val="single" w:sz="4" w:space="0" w:color="auto"/>
              <w:left w:val="nil"/>
              <w:bottom w:val="nil"/>
              <w:right w:val="nil"/>
            </w:tcBorders>
            <w:shd w:val="clear" w:color="auto" w:fill="auto"/>
            <w:noWrap/>
            <w:vAlign w:val="center"/>
            <w:hideMark/>
          </w:tcPr>
          <w:p w14:paraId="7954B8F4" w14:textId="77777777" w:rsidR="002C082C" w:rsidRPr="00626042" w:rsidRDefault="002C082C" w:rsidP="00E607DA">
            <w:pPr>
              <w:jc w:val="center"/>
              <w:rPr>
                <w:rFonts w:ascii="Meta Pro" w:eastAsia="Times New Roman" w:hAnsi="Meta Pro"/>
                <w:color w:val="000000"/>
                <w:szCs w:val="18"/>
                <w:lang w:eastAsia="en-AU"/>
              </w:rPr>
            </w:pPr>
            <w:r w:rsidRPr="00626042">
              <w:rPr>
                <w:rFonts w:ascii="Meta Pro" w:eastAsia="Times New Roman" w:hAnsi="Meta Pro"/>
                <w:color w:val="000000"/>
                <w:szCs w:val="18"/>
                <w:lang w:eastAsia="en-AU"/>
              </w:rPr>
              <w:t> </w:t>
            </w:r>
          </w:p>
        </w:tc>
        <w:tc>
          <w:tcPr>
            <w:tcW w:w="233" w:type="dxa"/>
            <w:gridSpan w:val="2"/>
            <w:tcBorders>
              <w:top w:val="single" w:sz="4" w:space="0" w:color="auto"/>
              <w:left w:val="nil"/>
              <w:bottom w:val="nil"/>
              <w:right w:val="nil"/>
            </w:tcBorders>
            <w:shd w:val="clear" w:color="auto" w:fill="auto"/>
            <w:noWrap/>
            <w:vAlign w:val="center"/>
            <w:hideMark/>
          </w:tcPr>
          <w:p w14:paraId="42486300" w14:textId="77777777" w:rsidR="002C082C" w:rsidRPr="00626042" w:rsidRDefault="002C082C" w:rsidP="00E607DA">
            <w:pPr>
              <w:rPr>
                <w:rFonts w:ascii="Meta Pro" w:eastAsia="Times New Roman" w:hAnsi="Meta Pro"/>
                <w:color w:val="000000"/>
                <w:szCs w:val="18"/>
                <w:lang w:eastAsia="en-AU"/>
              </w:rPr>
            </w:pPr>
            <w:r w:rsidRPr="00626042">
              <w:rPr>
                <w:rFonts w:ascii="Meta Pro" w:eastAsia="Times New Roman" w:hAnsi="Meta Pro"/>
                <w:color w:val="000000"/>
                <w:szCs w:val="18"/>
                <w:lang w:eastAsia="en-AU"/>
              </w:rPr>
              <w:t> </w:t>
            </w:r>
          </w:p>
        </w:tc>
        <w:tc>
          <w:tcPr>
            <w:tcW w:w="1181" w:type="dxa"/>
            <w:gridSpan w:val="2"/>
            <w:tcBorders>
              <w:top w:val="nil"/>
              <w:left w:val="nil"/>
              <w:bottom w:val="nil"/>
              <w:right w:val="nil"/>
            </w:tcBorders>
            <w:shd w:val="clear" w:color="000000" w:fill="C9E3B4"/>
            <w:noWrap/>
            <w:vAlign w:val="center"/>
            <w:hideMark/>
          </w:tcPr>
          <w:p w14:paraId="6E0AC24D"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 xml:space="preserve">76,238 </w:t>
            </w:r>
          </w:p>
        </w:tc>
        <w:tc>
          <w:tcPr>
            <w:tcW w:w="200" w:type="dxa"/>
            <w:tcBorders>
              <w:top w:val="single" w:sz="4" w:space="0" w:color="auto"/>
              <w:left w:val="nil"/>
              <w:bottom w:val="nil"/>
              <w:right w:val="nil"/>
            </w:tcBorders>
            <w:shd w:val="clear" w:color="auto" w:fill="auto"/>
            <w:noWrap/>
            <w:vAlign w:val="center"/>
            <w:hideMark/>
          </w:tcPr>
          <w:p w14:paraId="2DCCF2DE" w14:textId="77777777" w:rsidR="002C082C" w:rsidRPr="00626042" w:rsidRDefault="002C082C" w:rsidP="00E607DA">
            <w:pPr>
              <w:rPr>
                <w:rFonts w:ascii="Meta Pro" w:eastAsia="Times New Roman" w:hAnsi="Meta Pro"/>
                <w:color w:val="000000"/>
                <w:szCs w:val="18"/>
                <w:lang w:eastAsia="en-AU"/>
              </w:rPr>
            </w:pPr>
            <w:r w:rsidRPr="00626042">
              <w:rPr>
                <w:rFonts w:ascii="Meta Pro" w:eastAsia="Times New Roman" w:hAnsi="Meta Pro"/>
                <w:color w:val="000000"/>
                <w:szCs w:val="18"/>
                <w:lang w:eastAsia="en-AU"/>
              </w:rPr>
              <w:t> </w:t>
            </w:r>
          </w:p>
        </w:tc>
        <w:tc>
          <w:tcPr>
            <w:tcW w:w="1230" w:type="dxa"/>
            <w:gridSpan w:val="2"/>
            <w:tcBorders>
              <w:top w:val="single" w:sz="4" w:space="0" w:color="auto"/>
              <w:left w:val="nil"/>
              <w:bottom w:val="nil"/>
              <w:right w:val="nil"/>
            </w:tcBorders>
            <w:shd w:val="clear" w:color="auto" w:fill="auto"/>
            <w:noWrap/>
            <w:vAlign w:val="center"/>
            <w:hideMark/>
          </w:tcPr>
          <w:p w14:paraId="2A8E01E5"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 xml:space="preserve">18,316 </w:t>
            </w:r>
          </w:p>
        </w:tc>
      </w:tr>
      <w:tr w:rsidR="002C082C" w:rsidRPr="00626042" w14:paraId="071367E1" w14:textId="77777777" w:rsidTr="00E43D75">
        <w:trPr>
          <w:trHeight w:val="240"/>
        </w:trPr>
        <w:tc>
          <w:tcPr>
            <w:tcW w:w="3043" w:type="dxa"/>
            <w:tcBorders>
              <w:top w:val="nil"/>
              <w:left w:val="nil"/>
              <w:bottom w:val="nil"/>
              <w:right w:val="nil"/>
            </w:tcBorders>
            <w:shd w:val="clear" w:color="auto" w:fill="auto"/>
            <w:noWrap/>
            <w:vAlign w:val="center"/>
            <w:hideMark/>
          </w:tcPr>
          <w:p w14:paraId="79AC19A3" w14:textId="77777777" w:rsidR="002C082C" w:rsidRPr="00626042" w:rsidRDefault="002C082C" w:rsidP="00E607DA">
            <w:pPr>
              <w:jc w:val="right"/>
              <w:rPr>
                <w:rFonts w:ascii="Meta Pro" w:eastAsia="Times New Roman" w:hAnsi="Meta Pro"/>
                <w:szCs w:val="18"/>
                <w:lang w:eastAsia="en-AU"/>
              </w:rPr>
            </w:pPr>
          </w:p>
        </w:tc>
        <w:tc>
          <w:tcPr>
            <w:tcW w:w="3042" w:type="dxa"/>
            <w:tcBorders>
              <w:top w:val="nil"/>
              <w:left w:val="nil"/>
              <w:bottom w:val="nil"/>
              <w:right w:val="nil"/>
            </w:tcBorders>
            <w:shd w:val="clear" w:color="auto" w:fill="auto"/>
            <w:noWrap/>
            <w:vAlign w:val="center"/>
            <w:hideMark/>
          </w:tcPr>
          <w:p w14:paraId="5A607C32" w14:textId="77777777" w:rsidR="002C082C" w:rsidRPr="00626042" w:rsidRDefault="002C082C" w:rsidP="00E607DA">
            <w:pPr>
              <w:rPr>
                <w:rFonts w:ascii="Meta Pro" w:eastAsia="Times New Roman" w:hAnsi="Meta Pro" w:cs="Times New Roman"/>
                <w:sz w:val="20"/>
                <w:szCs w:val="20"/>
                <w:lang w:eastAsia="en-AU"/>
              </w:rPr>
            </w:pPr>
          </w:p>
        </w:tc>
        <w:tc>
          <w:tcPr>
            <w:tcW w:w="141" w:type="dxa"/>
            <w:tcBorders>
              <w:top w:val="nil"/>
              <w:left w:val="nil"/>
              <w:bottom w:val="nil"/>
              <w:right w:val="nil"/>
            </w:tcBorders>
            <w:shd w:val="clear" w:color="auto" w:fill="auto"/>
            <w:noWrap/>
            <w:vAlign w:val="center"/>
            <w:hideMark/>
          </w:tcPr>
          <w:p w14:paraId="42897F47" w14:textId="77777777" w:rsidR="002C082C" w:rsidRPr="00626042" w:rsidRDefault="002C082C" w:rsidP="00E607DA">
            <w:pPr>
              <w:rPr>
                <w:rFonts w:ascii="Meta Pro" w:eastAsia="Times New Roman" w:hAnsi="Meta Pro" w:cs="Times New Roman"/>
                <w:sz w:val="20"/>
                <w:szCs w:val="20"/>
                <w:lang w:eastAsia="en-AU"/>
              </w:rPr>
            </w:pPr>
          </w:p>
        </w:tc>
        <w:tc>
          <w:tcPr>
            <w:tcW w:w="233" w:type="dxa"/>
            <w:gridSpan w:val="2"/>
            <w:tcBorders>
              <w:top w:val="nil"/>
              <w:left w:val="nil"/>
              <w:bottom w:val="nil"/>
              <w:right w:val="nil"/>
            </w:tcBorders>
            <w:shd w:val="clear" w:color="auto" w:fill="auto"/>
            <w:noWrap/>
            <w:vAlign w:val="center"/>
            <w:hideMark/>
          </w:tcPr>
          <w:p w14:paraId="2FE49CF6" w14:textId="77777777" w:rsidR="002C082C" w:rsidRPr="00626042" w:rsidRDefault="002C082C" w:rsidP="00E607DA">
            <w:pPr>
              <w:jc w:val="center"/>
              <w:rPr>
                <w:rFonts w:ascii="Meta Pro" w:eastAsia="Times New Roman" w:hAnsi="Meta Pro" w:cs="Times New Roman"/>
                <w:sz w:val="20"/>
                <w:szCs w:val="20"/>
                <w:lang w:eastAsia="en-AU"/>
              </w:rPr>
            </w:pPr>
          </w:p>
        </w:tc>
        <w:tc>
          <w:tcPr>
            <w:tcW w:w="1181" w:type="dxa"/>
            <w:gridSpan w:val="2"/>
            <w:tcBorders>
              <w:top w:val="nil"/>
              <w:left w:val="nil"/>
              <w:bottom w:val="nil"/>
              <w:right w:val="nil"/>
            </w:tcBorders>
            <w:shd w:val="clear" w:color="000000" w:fill="C9E3B4"/>
            <w:noWrap/>
            <w:vAlign w:val="center"/>
            <w:hideMark/>
          </w:tcPr>
          <w:p w14:paraId="70665EDC"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 </w:t>
            </w:r>
          </w:p>
        </w:tc>
        <w:tc>
          <w:tcPr>
            <w:tcW w:w="200" w:type="dxa"/>
            <w:tcBorders>
              <w:top w:val="nil"/>
              <w:left w:val="nil"/>
              <w:bottom w:val="nil"/>
              <w:right w:val="nil"/>
            </w:tcBorders>
            <w:shd w:val="clear" w:color="auto" w:fill="auto"/>
            <w:noWrap/>
            <w:vAlign w:val="center"/>
            <w:hideMark/>
          </w:tcPr>
          <w:p w14:paraId="2252016E" w14:textId="77777777" w:rsidR="002C082C" w:rsidRPr="00626042" w:rsidRDefault="002C082C" w:rsidP="00E607DA">
            <w:pPr>
              <w:jc w:val="right"/>
              <w:rPr>
                <w:rFonts w:ascii="Meta Pro" w:eastAsia="Times New Roman" w:hAnsi="Meta Pro"/>
                <w:szCs w:val="18"/>
                <w:lang w:eastAsia="en-AU"/>
              </w:rPr>
            </w:pPr>
          </w:p>
        </w:tc>
        <w:tc>
          <w:tcPr>
            <w:tcW w:w="1230" w:type="dxa"/>
            <w:gridSpan w:val="2"/>
            <w:tcBorders>
              <w:top w:val="nil"/>
              <w:left w:val="nil"/>
              <w:bottom w:val="nil"/>
              <w:right w:val="nil"/>
            </w:tcBorders>
            <w:shd w:val="clear" w:color="auto" w:fill="auto"/>
            <w:noWrap/>
            <w:vAlign w:val="center"/>
            <w:hideMark/>
          </w:tcPr>
          <w:p w14:paraId="3F0D94D4" w14:textId="77777777" w:rsidR="002C082C" w:rsidRPr="00626042" w:rsidRDefault="002C082C" w:rsidP="00E607DA">
            <w:pPr>
              <w:rPr>
                <w:rFonts w:ascii="Meta Pro" w:eastAsia="Times New Roman" w:hAnsi="Meta Pro" w:cs="Times New Roman"/>
                <w:sz w:val="20"/>
                <w:szCs w:val="20"/>
                <w:lang w:eastAsia="en-AU"/>
              </w:rPr>
            </w:pPr>
          </w:p>
        </w:tc>
      </w:tr>
      <w:tr w:rsidR="002C082C" w:rsidRPr="00626042" w14:paraId="0FA32039" w14:textId="77777777" w:rsidTr="00E43D75">
        <w:trPr>
          <w:trHeight w:val="240"/>
        </w:trPr>
        <w:tc>
          <w:tcPr>
            <w:tcW w:w="6085" w:type="dxa"/>
            <w:gridSpan w:val="2"/>
            <w:tcBorders>
              <w:top w:val="nil"/>
              <w:left w:val="nil"/>
              <w:bottom w:val="nil"/>
              <w:right w:val="nil"/>
            </w:tcBorders>
            <w:shd w:val="clear" w:color="auto" w:fill="auto"/>
            <w:noWrap/>
            <w:vAlign w:val="center"/>
            <w:hideMark/>
          </w:tcPr>
          <w:p w14:paraId="0E84D492" w14:textId="77777777" w:rsidR="002C082C" w:rsidRPr="00626042" w:rsidRDefault="002C082C" w:rsidP="00E607DA">
            <w:pPr>
              <w:rPr>
                <w:rFonts w:ascii="Meta Pro" w:eastAsia="Times New Roman" w:hAnsi="Meta Pro"/>
                <w:szCs w:val="18"/>
                <w:lang w:eastAsia="en-AU"/>
              </w:rPr>
            </w:pPr>
            <w:r w:rsidRPr="00626042">
              <w:rPr>
                <w:rFonts w:ascii="Meta Pro" w:eastAsia="Times New Roman" w:hAnsi="Meta Pro"/>
                <w:szCs w:val="18"/>
                <w:lang w:eastAsia="en-AU"/>
              </w:rPr>
              <w:t>Cash repayments</w:t>
            </w:r>
          </w:p>
        </w:tc>
        <w:tc>
          <w:tcPr>
            <w:tcW w:w="141" w:type="dxa"/>
            <w:tcBorders>
              <w:top w:val="nil"/>
              <w:left w:val="nil"/>
              <w:bottom w:val="single" w:sz="4" w:space="0" w:color="auto"/>
              <w:right w:val="nil"/>
            </w:tcBorders>
            <w:shd w:val="clear" w:color="auto" w:fill="auto"/>
            <w:noWrap/>
            <w:vAlign w:val="center"/>
            <w:hideMark/>
          </w:tcPr>
          <w:p w14:paraId="18DB9080" w14:textId="77777777" w:rsidR="002C082C" w:rsidRPr="00626042" w:rsidRDefault="002C082C" w:rsidP="00E607DA">
            <w:pPr>
              <w:jc w:val="center"/>
              <w:rPr>
                <w:rFonts w:ascii="Meta Pro" w:eastAsia="Times New Roman" w:hAnsi="Meta Pro"/>
                <w:color w:val="000000"/>
                <w:szCs w:val="18"/>
                <w:lang w:eastAsia="en-AU"/>
              </w:rPr>
            </w:pPr>
            <w:r w:rsidRPr="00626042">
              <w:rPr>
                <w:rFonts w:ascii="Meta Pro" w:eastAsia="Times New Roman" w:hAnsi="Meta Pro"/>
                <w:color w:val="000000"/>
                <w:szCs w:val="18"/>
                <w:lang w:eastAsia="en-AU"/>
              </w:rPr>
              <w:t> </w:t>
            </w:r>
          </w:p>
        </w:tc>
        <w:tc>
          <w:tcPr>
            <w:tcW w:w="233" w:type="dxa"/>
            <w:gridSpan w:val="2"/>
            <w:tcBorders>
              <w:top w:val="nil"/>
              <w:left w:val="nil"/>
              <w:bottom w:val="nil"/>
              <w:right w:val="nil"/>
            </w:tcBorders>
            <w:shd w:val="clear" w:color="auto" w:fill="auto"/>
            <w:noWrap/>
            <w:vAlign w:val="center"/>
            <w:hideMark/>
          </w:tcPr>
          <w:p w14:paraId="3A433F77" w14:textId="77777777" w:rsidR="002C082C" w:rsidRPr="00626042" w:rsidRDefault="002C082C" w:rsidP="00E607DA">
            <w:pPr>
              <w:jc w:val="center"/>
              <w:rPr>
                <w:rFonts w:ascii="Meta Pro" w:eastAsia="Times New Roman" w:hAnsi="Meta Pro"/>
                <w:color w:val="000000"/>
                <w:szCs w:val="18"/>
                <w:lang w:eastAsia="en-AU"/>
              </w:rPr>
            </w:pPr>
          </w:p>
        </w:tc>
        <w:tc>
          <w:tcPr>
            <w:tcW w:w="1181" w:type="dxa"/>
            <w:gridSpan w:val="2"/>
            <w:tcBorders>
              <w:top w:val="nil"/>
              <w:left w:val="nil"/>
              <w:bottom w:val="nil"/>
              <w:right w:val="nil"/>
            </w:tcBorders>
            <w:shd w:val="clear" w:color="000000" w:fill="C9E3B4"/>
            <w:noWrap/>
            <w:vAlign w:val="center"/>
            <w:hideMark/>
          </w:tcPr>
          <w:p w14:paraId="40E67E37"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(36,487)</w:t>
            </w:r>
          </w:p>
        </w:tc>
        <w:tc>
          <w:tcPr>
            <w:tcW w:w="200" w:type="dxa"/>
            <w:tcBorders>
              <w:top w:val="nil"/>
              <w:left w:val="nil"/>
              <w:bottom w:val="nil"/>
              <w:right w:val="nil"/>
            </w:tcBorders>
            <w:shd w:val="clear" w:color="auto" w:fill="auto"/>
            <w:noWrap/>
            <w:vAlign w:val="center"/>
            <w:hideMark/>
          </w:tcPr>
          <w:p w14:paraId="6584D07B" w14:textId="77777777" w:rsidR="002C082C" w:rsidRPr="00626042" w:rsidRDefault="002C082C" w:rsidP="00E607DA">
            <w:pPr>
              <w:jc w:val="right"/>
              <w:rPr>
                <w:rFonts w:ascii="Meta Pro" w:eastAsia="Times New Roman" w:hAnsi="Meta Pro"/>
                <w:szCs w:val="18"/>
                <w:lang w:eastAsia="en-AU"/>
              </w:rPr>
            </w:pPr>
          </w:p>
        </w:tc>
        <w:tc>
          <w:tcPr>
            <w:tcW w:w="1230" w:type="dxa"/>
            <w:gridSpan w:val="2"/>
            <w:tcBorders>
              <w:top w:val="nil"/>
              <w:left w:val="nil"/>
              <w:bottom w:val="single" w:sz="4" w:space="0" w:color="auto"/>
              <w:right w:val="nil"/>
            </w:tcBorders>
            <w:shd w:val="clear" w:color="auto" w:fill="auto"/>
            <w:noWrap/>
            <w:vAlign w:val="center"/>
            <w:hideMark/>
          </w:tcPr>
          <w:p w14:paraId="333EE9FB" w14:textId="77777777" w:rsidR="002C082C" w:rsidRPr="00626042" w:rsidRDefault="002C082C" w:rsidP="00E607DA">
            <w:pPr>
              <w:jc w:val="right"/>
              <w:rPr>
                <w:rFonts w:ascii="Meta Pro" w:eastAsia="Times New Roman" w:hAnsi="Meta Pro"/>
                <w:szCs w:val="18"/>
                <w:lang w:eastAsia="en-AU"/>
              </w:rPr>
            </w:pPr>
            <w:r w:rsidRPr="00626042">
              <w:rPr>
                <w:rFonts w:ascii="Meta Pro" w:eastAsia="Times New Roman" w:hAnsi="Meta Pro"/>
                <w:szCs w:val="18"/>
                <w:lang w:eastAsia="en-AU"/>
              </w:rPr>
              <w:t>(71,019)</w:t>
            </w:r>
          </w:p>
        </w:tc>
      </w:tr>
      <w:tr w:rsidR="002C082C" w:rsidRPr="00626042" w14:paraId="34A62C7F" w14:textId="77777777" w:rsidTr="00E43D75">
        <w:trPr>
          <w:trHeight w:val="240"/>
        </w:trPr>
        <w:tc>
          <w:tcPr>
            <w:tcW w:w="6085" w:type="dxa"/>
            <w:gridSpan w:val="2"/>
            <w:tcBorders>
              <w:top w:val="single" w:sz="4" w:space="0" w:color="auto"/>
              <w:left w:val="nil"/>
              <w:bottom w:val="double" w:sz="6" w:space="0" w:color="auto"/>
              <w:right w:val="nil"/>
            </w:tcBorders>
            <w:shd w:val="clear" w:color="auto" w:fill="auto"/>
            <w:noWrap/>
            <w:vAlign w:val="center"/>
            <w:hideMark/>
          </w:tcPr>
          <w:p w14:paraId="0017DC9D" w14:textId="77777777" w:rsidR="002C082C" w:rsidRPr="00626042" w:rsidRDefault="002C082C" w:rsidP="00E607DA">
            <w:pPr>
              <w:rPr>
                <w:rFonts w:ascii="Meta Pro" w:eastAsia="Times New Roman" w:hAnsi="Meta Pro"/>
                <w:b/>
                <w:bCs/>
                <w:szCs w:val="18"/>
                <w:lang w:eastAsia="en-AU"/>
              </w:rPr>
            </w:pPr>
            <w:r w:rsidRPr="00626042">
              <w:rPr>
                <w:rFonts w:ascii="Meta Pro" w:eastAsia="Times New Roman" w:hAnsi="Meta Pro"/>
                <w:b/>
                <w:bCs/>
                <w:szCs w:val="18"/>
                <w:lang w:eastAsia="en-AU"/>
              </w:rPr>
              <w:t>Closing balance</w:t>
            </w:r>
          </w:p>
        </w:tc>
        <w:tc>
          <w:tcPr>
            <w:tcW w:w="141" w:type="dxa"/>
            <w:tcBorders>
              <w:top w:val="single" w:sz="4" w:space="0" w:color="auto"/>
              <w:left w:val="nil"/>
              <w:bottom w:val="double" w:sz="6" w:space="0" w:color="auto"/>
              <w:right w:val="nil"/>
            </w:tcBorders>
            <w:shd w:val="clear" w:color="auto" w:fill="auto"/>
            <w:noWrap/>
            <w:vAlign w:val="center"/>
            <w:hideMark/>
          </w:tcPr>
          <w:p w14:paraId="2E772577" w14:textId="77777777" w:rsidR="002C082C" w:rsidRPr="00626042" w:rsidRDefault="002C082C" w:rsidP="00E607DA">
            <w:pPr>
              <w:jc w:val="center"/>
              <w:rPr>
                <w:rFonts w:ascii="Meta Pro" w:eastAsia="Times New Roman" w:hAnsi="Meta Pro"/>
                <w:color w:val="000000"/>
                <w:szCs w:val="18"/>
                <w:lang w:eastAsia="en-AU"/>
              </w:rPr>
            </w:pPr>
            <w:r w:rsidRPr="00626042">
              <w:rPr>
                <w:rFonts w:ascii="Meta Pro" w:eastAsia="Times New Roman" w:hAnsi="Meta Pro"/>
                <w:color w:val="000000"/>
                <w:szCs w:val="18"/>
                <w:lang w:eastAsia="en-AU"/>
              </w:rPr>
              <w:t> </w:t>
            </w:r>
          </w:p>
        </w:tc>
        <w:tc>
          <w:tcPr>
            <w:tcW w:w="233" w:type="dxa"/>
            <w:gridSpan w:val="2"/>
            <w:tcBorders>
              <w:top w:val="single" w:sz="4" w:space="0" w:color="auto"/>
              <w:left w:val="nil"/>
              <w:bottom w:val="double" w:sz="6" w:space="0" w:color="auto"/>
              <w:right w:val="nil"/>
            </w:tcBorders>
            <w:shd w:val="clear" w:color="auto" w:fill="auto"/>
            <w:noWrap/>
            <w:vAlign w:val="center"/>
            <w:hideMark/>
          </w:tcPr>
          <w:p w14:paraId="2BE50313" w14:textId="77777777" w:rsidR="002C082C" w:rsidRPr="00626042" w:rsidRDefault="002C082C" w:rsidP="00E607DA">
            <w:pPr>
              <w:rPr>
                <w:rFonts w:ascii="Meta Pro" w:eastAsia="Times New Roman" w:hAnsi="Meta Pro"/>
                <w:b/>
                <w:bCs/>
                <w:szCs w:val="18"/>
                <w:lang w:eastAsia="en-AU"/>
              </w:rPr>
            </w:pPr>
            <w:r w:rsidRPr="00626042">
              <w:rPr>
                <w:rFonts w:ascii="Meta Pro" w:eastAsia="Times New Roman" w:hAnsi="Meta Pro"/>
                <w:b/>
                <w:bCs/>
                <w:szCs w:val="18"/>
                <w:lang w:eastAsia="en-AU"/>
              </w:rPr>
              <w:t> </w:t>
            </w:r>
          </w:p>
        </w:tc>
        <w:tc>
          <w:tcPr>
            <w:tcW w:w="1181" w:type="dxa"/>
            <w:gridSpan w:val="2"/>
            <w:tcBorders>
              <w:top w:val="single" w:sz="4" w:space="0" w:color="auto"/>
              <w:left w:val="nil"/>
              <w:bottom w:val="double" w:sz="6" w:space="0" w:color="auto"/>
              <w:right w:val="nil"/>
            </w:tcBorders>
            <w:shd w:val="clear" w:color="000000" w:fill="C9E3B4"/>
            <w:noWrap/>
            <w:vAlign w:val="center"/>
            <w:hideMark/>
          </w:tcPr>
          <w:p w14:paraId="0BB3C3E7" w14:textId="77777777" w:rsidR="002C082C" w:rsidRPr="00626042" w:rsidRDefault="002C082C" w:rsidP="00E607DA">
            <w:pPr>
              <w:jc w:val="right"/>
              <w:rPr>
                <w:rFonts w:ascii="Meta Pro" w:eastAsia="Times New Roman" w:hAnsi="Meta Pro"/>
                <w:b/>
                <w:bCs/>
                <w:szCs w:val="18"/>
                <w:lang w:eastAsia="en-AU"/>
              </w:rPr>
            </w:pPr>
            <w:r w:rsidRPr="00626042">
              <w:rPr>
                <w:rFonts w:ascii="Meta Pro" w:eastAsia="Times New Roman" w:hAnsi="Meta Pro"/>
                <w:b/>
                <w:bCs/>
                <w:szCs w:val="18"/>
                <w:lang w:eastAsia="en-AU"/>
              </w:rPr>
              <w:t xml:space="preserve">1,295,601 </w:t>
            </w:r>
          </w:p>
        </w:tc>
        <w:tc>
          <w:tcPr>
            <w:tcW w:w="200" w:type="dxa"/>
            <w:tcBorders>
              <w:top w:val="single" w:sz="4" w:space="0" w:color="auto"/>
              <w:left w:val="nil"/>
              <w:bottom w:val="double" w:sz="6" w:space="0" w:color="auto"/>
              <w:right w:val="nil"/>
            </w:tcBorders>
            <w:shd w:val="clear" w:color="auto" w:fill="auto"/>
            <w:noWrap/>
            <w:vAlign w:val="center"/>
            <w:hideMark/>
          </w:tcPr>
          <w:p w14:paraId="0A6F19C9" w14:textId="77777777" w:rsidR="002C082C" w:rsidRPr="00626042" w:rsidRDefault="002C082C" w:rsidP="00E607DA">
            <w:pPr>
              <w:rPr>
                <w:rFonts w:ascii="Meta Pro" w:eastAsia="Times New Roman" w:hAnsi="Meta Pro"/>
                <w:b/>
                <w:bCs/>
                <w:szCs w:val="18"/>
                <w:lang w:eastAsia="en-AU"/>
              </w:rPr>
            </w:pPr>
            <w:r w:rsidRPr="00626042">
              <w:rPr>
                <w:rFonts w:ascii="Meta Pro" w:eastAsia="Times New Roman" w:hAnsi="Meta Pro"/>
                <w:b/>
                <w:bCs/>
                <w:szCs w:val="18"/>
                <w:lang w:eastAsia="en-AU"/>
              </w:rPr>
              <w:t> </w:t>
            </w:r>
          </w:p>
        </w:tc>
        <w:tc>
          <w:tcPr>
            <w:tcW w:w="1230" w:type="dxa"/>
            <w:gridSpan w:val="2"/>
            <w:tcBorders>
              <w:top w:val="nil"/>
              <w:left w:val="nil"/>
              <w:bottom w:val="double" w:sz="6" w:space="0" w:color="auto"/>
              <w:right w:val="nil"/>
            </w:tcBorders>
            <w:shd w:val="clear" w:color="auto" w:fill="auto"/>
            <w:noWrap/>
            <w:vAlign w:val="center"/>
            <w:hideMark/>
          </w:tcPr>
          <w:p w14:paraId="633CF594" w14:textId="77777777" w:rsidR="002C082C" w:rsidRPr="00626042" w:rsidRDefault="002C082C" w:rsidP="00E607DA">
            <w:pPr>
              <w:jc w:val="right"/>
              <w:rPr>
                <w:rFonts w:ascii="Meta Pro" w:eastAsia="Times New Roman" w:hAnsi="Meta Pro"/>
                <w:b/>
                <w:bCs/>
                <w:szCs w:val="18"/>
                <w:lang w:eastAsia="en-AU"/>
              </w:rPr>
            </w:pPr>
            <w:r w:rsidRPr="00626042">
              <w:rPr>
                <w:rFonts w:ascii="Meta Pro" w:eastAsia="Times New Roman" w:hAnsi="Meta Pro"/>
                <w:b/>
                <w:bCs/>
                <w:szCs w:val="18"/>
                <w:lang w:eastAsia="en-AU"/>
              </w:rPr>
              <w:t xml:space="preserve">1,255,850 </w:t>
            </w:r>
          </w:p>
        </w:tc>
      </w:tr>
    </w:tbl>
    <w:p w14:paraId="71E5EAEB" w14:textId="00B9CA15" w:rsidR="003939B9" w:rsidRDefault="003939B9" w:rsidP="00E43D75">
      <w:pPr>
        <w:spacing w:after="120" w:line="259" w:lineRule="auto"/>
        <w:rPr>
          <w:rFonts w:ascii="Meta Pro" w:hAnsi="Meta Pro"/>
          <w:b/>
          <w:bCs/>
          <w:lang w:eastAsia="en-AU"/>
        </w:rPr>
      </w:pPr>
    </w:p>
    <w:p w14:paraId="728A2B71" w14:textId="77777777" w:rsidR="000D4A20" w:rsidRDefault="000D4A20" w:rsidP="00E43D75">
      <w:pPr>
        <w:spacing w:after="120" w:line="259" w:lineRule="auto"/>
        <w:rPr>
          <w:rFonts w:ascii="Meta Pro" w:hAnsi="Meta Pro"/>
          <w:b/>
          <w:bCs/>
          <w:lang w:eastAsia="en-AU"/>
        </w:rPr>
      </w:pPr>
    </w:p>
    <w:p w14:paraId="63F4CABA" w14:textId="77777777" w:rsidR="00E43D75" w:rsidRPr="00092B22" w:rsidRDefault="00E43D75" w:rsidP="00E43D75">
      <w:pPr>
        <w:spacing w:after="120" w:line="259" w:lineRule="auto"/>
        <w:rPr>
          <w:rFonts w:ascii="Meta Pro" w:hAnsi="Meta Pro"/>
          <w:b/>
          <w:bCs/>
          <w:lang w:eastAsia="en-AU"/>
        </w:rPr>
      </w:pPr>
      <w:r w:rsidRPr="00092B22">
        <w:rPr>
          <w:rFonts w:ascii="Meta Pro" w:hAnsi="Meta Pro"/>
          <w:b/>
          <w:bCs/>
          <w:lang w:eastAsia="en-AU"/>
        </w:rPr>
        <w:t>1</w:t>
      </w:r>
      <w:r w:rsidRPr="00092B22">
        <w:rPr>
          <w:rFonts w:ascii="Meta Pro" w:hAnsi="Meta Pro"/>
          <w:b/>
          <w:bCs/>
          <w:lang w:eastAsia="en-AU"/>
        </w:rPr>
        <w:tab/>
        <w:t>ACCOUNTING POLICIES AND BASIS FOR FINANCIAL STATEMENTS PREPARATION</w:t>
      </w:r>
    </w:p>
    <w:p w14:paraId="411228BF" w14:textId="77777777" w:rsidR="00E43D75" w:rsidRPr="00092B22" w:rsidRDefault="00E43D75" w:rsidP="00E43D75">
      <w:pPr>
        <w:spacing w:before="100"/>
        <w:rPr>
          <w:rFonts w:ascii="Meta Pro" w:eastAsia="Times New Roman" w:hAnsi="Meta Pro"/>
          <w:szCs w:val="18"/>
          <w:lang w:eastAsia="en-AU"/>
        </w:rPr>
      </w:pPr>
      <w:r w:rsidRPr="00092B22">
        <w:rPr>
          <w:rFonts w:ascii="Meta Pro" w:eastAsia="Times New Roman" w:hAnsi="Meta Pro"/>
          <w:szCs w:val="18"/>
          <w:lang w:eastAsia="en-AU"/>
        </w:rPr>
        <w:t>Refer to individual notes for specific accounting policies.</w:t>
      </w:r>
    </w:p>
    <w:p w14:paraId="789537DA" w14:textId="77777777" w:rsidR="00E43D75" w:rsidRPr="00092B22" w:rsidRDefault="00E43D75" w:rsidP="00E43D75">
      <w:pPr>
        <w:rPr>
          <w:rFonts w:ascii="Meta Pro" w:eastAsia="Times New Roman" w:hAnsi="Meta Pro"/>
          <w:b/>
          <w:bCs/>
          <w:szCs w:val="18"/>
          <w:lang w:eastAsia="en-AU"/>
        </w:rPr>
      </w:pPr>
      <w:r w:rsidRPr="00092B22">
        <w:rPr>
          <w:rFonts w:ascii="Meta Pro" w:eastAsia="Times New Roman" w:hAnsi="Meta Pro"/>
          <w:b/>
          <w:bCs/>
          <w:szCs w:val="18"/>
          <w:lang w:eastAsia="en-AU"/>
        </w:rPr>
        <w:t>STATEMENT OF COMPLIANCE</w:t>
      </w:r>
    </w:p>
    <w:p w14:paraId="0F8C90D2" w14:textId="77777777" w:rsidR="00E43D75" w:rsidRPr="00092B22" w:rsidRDefault="00E43D75" w:rsidP="00E43D75">
      <w:pPr>
        <w:spacing w:before="120"/>
        <w:rPr>
          <w:rFonts w:ascii="Meta Pro" w:eastAsia="Times New Roman" w:hAnsi="Meta Pro"/>
          <w:szCs w:val="18"/>
          <w:lang w:eastAsia="en-AU"/>
        </w:rPr>
      </w:pPr>
      <w:r w:rsidRPr="00092B22">
        <w:rPr>
          <w:rFonts w:ascii="Meta Pro" w:eastAsia="Times New Roman" w:hAnsi="Meta Pro"/>
          <w:szCs w:val="18"/>
          <w:lang w:eastAsia="en-AU"/>
        </w:rPr>
        <w:t xml:space="preserve">The department has prepared these financial statements in compliance with section 38 of the </w:t>
      </w:r>
      <w:r w:rsidRPr="00092B22">
        <w:rPr>
          <w:rFonts w:ascii="Meta Pro" w:eastAsia="Times New Roman" w:hAnsi="Meta Pro"/>
          <w:i/>
          <w:iCs/>
          <w:szCs w:val="18"/>
          <w:lang w:eastAsia="en-AU"/>
        </w:rPr>
        <w:t>Financial and Performance Management Standard 2019</w:t>
      </w:r>
      <w:r w:rsidRPr="00092B22">
        <w:rPr>
          <w:rFonts w:ascii="Meta Pro" w:eastAsia="Times New Roman" w:hAnsi="Meta Pro"/>
          <w:szCs w:val="18"/>
          <w:lang w:eastAsia="en-AU"/>
        </w:rPr>
        <w:t>.</w:t>
      </w:r>
      <w:r w:rsidRPr="00092B22">
        <w:rPr>
          <w:rFonts w:ascii="Meta Pro" w:eastAsia="Times New Roman" w:hAnsi="Meta Pro"/>
          <w:szCs w:val="18"/>
          <w:lang w:eastAsia="en-AU"/>
        </w:rPr>
        <w:tab/>
      </w:r>
      <w:r w:rsidRPr="00092B22">
        <w:rPr>
          <w:rFonts w:ascii="Meta Pro" w:eastAsia="Times New Roman" w:hAnsi="Meta Pro"/>
          <w:szCs w:val="18"/>
          <w:lang w:eastAsia="en-AU"/>
        </w:rPr>
        <w:tab/>
      </w:r>
    </w:p>
    <w:p w14:paraId="1E9C8E0D" w14:textId="77777777" w:rsidR="00E43D75" w:rsidRPr="00092B22" w:rsidRDefault="00E43D75" w:rsidP="00E43D75">
      <w:pPr>
        <w:spacing w:before="120"/>
        <w:rPr>
          <w:rFonts w:ascii="Meta Pro" w:eastAsia="Times New Roman" w:hAnsi="Meta Pro"/>
          <w:szCs w:val="18"/>
          <w:lang w:eastAsia="en-AU"/>
        </w:rPr>
      </w:pPr>
      <w:r w:rsidRPr="00092B22">
        <w:rPr>
          <w:rFonts w:ascii="Meta Pro" w:eastAsia="Times New Roman" w:hAnsi="Meta Pro"/>
          <w:szCs w:val="18"/>
          <w:lang w:eastAsia="en-AU"/>
        </w:rPr>
        <w:t>These financial statements are general purpose financial statements and have been prepared on an accrual basis in accordance with Australian Accounting Standards and Interpretations and requirements applicable to not-for-profit entities. Except where stated, historical cost is used as the measurement basis in the financial statements.</w:t>
      </w:r>
      <w:r w:rsidRPr="00092B22">
        <w:rPr>
          <w:rFonts w:ascii="Meta Pro" w:eastAsia="Times New Roman" w:hAnsi="Meta Pro"/>
          <w:szCs w:val="18"/>
          <w:lang w:eastAsia="en-AU"/>
        </w:rPr>
        <w:tab/>
      </w:r>
      <w:r w:rsidRPr="00092B22">
        <w:rPr>
          <w:rFonts w:ascii="Meta Pro" w:eastAsia="Times New Roman" w:hAnsi="Meta Pro"/>
          <w:szCs w:val="18"/>
          <w:lang w:eastAsia="en-AU"/>
        </w:rPr>
        <w:tab/>
      </w:r>
      <w:r w:rsidRPr="00092B22">
        <w:rPr>
          <w:rFonts w:ascii="Meta Pro" w:eastAsia="Times New Roman" w:hAnsi="Meta Pro"/>
          <w:szCs w:val="18"/>
          <w:lang w:eastAsia="en-AU"/>
        </w:rPr>
        <w:tab/>
      </w:r>
    </w:p>
    <w:p w14:paraId="77024051" w14:textId="77777777" w:rsidR="00E43D75" w:rsidRPr="00092B22" w:rsidRDefault="00E43D75" w:rsidP="00E43D75">
      <w:pPr>
        <w:spacing w:before="120"/>
        <w:rPr>
          <w:rFonts w:ascii="Meta Pro" w:eastAsia="Times New Roman" w:hAnsi="Meta Pro"/>
          <w:szCs w:val="18"/>
          <w:lang w:eastAsia="en-AU"/>
        </w:rPr>
      </w:pPr>
      <w:r w:rsidRPr="00092B22">
        <w:rPr>
          <w:rFonts w:ascii="Meta Pro" w:eastAsia="Times New Roman" w:hAnsi="Meta Pro"/>
          <w:szCs w:val="18"/>
          <w:lang w:eastAsia="en-AU"/>
        </w:rPr>
        <w:t>The financial statements are authorised for issue by the Director-General and Chief Finance Officer at the date of signing of the management certificate.</w:t>
      </w:r>
      <w:r w:rsidRPr="00092B22">
        <w:rPr>
          <w:rFonts w:ascii="Meta Pro" w:eastAsia="Times New Roman" w:hAnsi="Meta Pro"/>
          <w:szCs w:val="18"/>
          <w:lang w:eastAsia="en-AU"/>
        </w:rPr>
        <w:tab/>
      </w:r>
    </w:p>
    <w:p w14:paraId="073537FB" w14:textId="77777777" w:rsidR="00E43D75" w:rsidRPr="00092B22" w:rsidRDefault="00E43D75" w:rsidP="00E43D75">
      <w:pPr>
        <w:rPr>
          <w:rFonts w:ascii="Meta Pro" w:eastAsia="Times New Roman" w:hAnsi="Meta Pro"/>
          <w:b/>
          <w:bCs/>
          <w:szCs w:val="18"/>
          <w:lang w:eastAsia="en-AU"/>
        </w:rPr>
      </w:pPr>
      <w:r w:rsidRPr="00092B22">
        <w:rPr>
          <w:rFonts w:ascii="Meta Pro" w:eastAsia="Times New Roman" w:hAnsi="Meta Pro"/>
          <w:b/>
          <w:bCs/>
          <w:szCs w:val="18"/>
          <w:lang w:eastAsia="en-AU"/>
        </w:rPr>
        <w:t>THE REPORTING ENTITY</w:t>
      </w:r>
    </w:p>
    <w:p w14:paraId="1FB15B9F" w14:textId="77777777" w:rsidR="00E43D75" w:rsidRPr="00092B22" w:rsidRDefault="00E43D75" w:rsidP="00E43D75">
      <w:pPr>
        <w:spacing w:before="120"/>
        <w:rPr>
          <w:rFonts w:ascii="Meta Pro" w:eastAsia="Times New Roman" w:hAnsi="Meta Pro"/>
          <w:szCs w:val="18"/>
          <w:lang w:eastAsia="en-AU"/>
        </w:rPr>
      </w:pPr>
      <w:r w:rsidRPr="00092B22">
        <w:rPr>
          <w:rFonts w:ascii="Meta Pro" w:eastAsia="Times New Roman" w:hAnsi="Meta Pro"/>
          <w:szCs w:val="18"/>
          <w:lang w:eastAsia="en-AU"/>
        </w:rPr>
        <w:t xml:space="preserve">The Department of Transport and Main Roads is a Queensland Government department established under the </w:t>
      </w:r>
      <w:r w:rsidRPr="00092B22">
        <w:rPr>
          <w:rFonts w:ascii="Meta Pro" w:eastAsia="Times New Roman" w:hAnsi="Meta Pro"/>
          <w:i/>
          <w:iCs/>
          <w:szCs w:val="18"/>
          <w:lang w:eastAsia="en-AU"/>
        </w:rPr>
        <w:t>Public Service Act 2008</w:t>
      </w:r>
      <w:r w:rsidRPr="00092B22">
        <w:rPr>
          <w:rFonts w:ascii="Meta Pro" w:eastAsia="Times New Roman" w:hAnsi="Meta Pro"/>
          <w:szCs w:val="18"/>
          <w:lang w:eastAsia="en-AU"/>
        </w:rPr>
        <w:t>. The department is controlled by the State of Queensland which is the ultimate parent. The principal address of the department is:</w:t>
      </w:r>
    </w:p>
    <w:p w14:paraId="7214A884" w14:textId="77777777" w:rsidR="00E43D75" w:rsidRPr="00092B22" w:rsidRDefault="00E43D75" w:rsidP="00E43D75">
      <w:pPr>
        <w:spacing w:before="120"/>
        <w:rPr>
          <w:rFonts w:ascii="Meta Pro" w:eastAsia="Times New Roman" w:hAnsi="Meta Pro"/>
          <w:szCs w:val="18"/>
          <w:lang w:eastAsia="en-AU"/>
        </w:rPr>
      </w:pPr>
      <w:r w:rsidRPr="00092B22">
        <w:rPr>
          <w:rFonts w:ascii="Meta Pro" w:eastAsia="Times New Roman" w:hAnsi="Meta Pro"/>
          <w:szCs w:val="18"/>
          <w:lang w:eastAsia="en-AU"/>
        </w:rPr>
        <w:t>61 Mary Street</w:t>
      </w:r>
    </w:p>
    <w:p w14:paraId="1D91D447" w14:textId="77777777" w:rsidR="00E43D75" w:rsidRPr="00092B22" w:rsidRDefault="00E43D75" w:rsidP="00E43D75">
      <w:pPr>
        <w:rPr>
          <w:rFonts w:ascii="Meta Pro" w:eastAsia="Times New Roman" w:hAnsi="Meta Pro"/>
          <w:szCs w:val="18"/>
          <w:lang w:eastAsia="en-AU"/>
        </w:rPr>
      </w:pPr>
      <w:r w:rsidRPr="00092B22">
        <w:rPr>
          <w:rFonts w:ascii="Meta Pro" w:eastAsia="Times New Roman" w:hAnsi="Meta Pro"/>
          <w:szCs w:val="18"/>
          <w:lang w:eastAsia="en-AU"/>
        </w:rPr>
        <w:t>Brisbane, Queensland 4000</w:t>
      </w:r>
    </w:p>
    <w:p w14:paraId="7E89793D" w14:textId="77777777" w:rsidR="00E43D75" w:rsidRPr="00092B22" w:rsidRDefault="00E43D75" w:rsidP="00E43D75">
      <w:pPr>
        <w:spacing w:before="120"/>
        <w:rPr>
          <w:rFonts w:ascii="Meta Pro" w:eastAsia="Times New Roman" w:hAnsi="Meta Pro"/>
          <w:szCs w:val="18"/>
          <w:lang w:eastAsia="en-AU"/>
        </w:rPr>
      </w:pPr>
      <w:r w:rsidRPr="00092B22">
        <w:rPr>
          <w:rFonts w:ascii="Meta Pro" w:eastAsia="Times New Roman" w:hAnsi="Meta Pro"/>
          <w:szCs w:val="18"/>
          <w:lang w:eastAsia="en-AU"/>
        </w:rPr>
        <w:t>The objectives of the department are:</w:t>
      </w:r>
    </w:p>
    <w:p w14:paraId="7AFD0401" w14:textId="77777777" w:rsidR="00E43D75" w:rsidRPr="00092B22" w:rsidRDefault="00E43D75" w:rsidP="00E43D75">
      <w:pPr>
        <w:rPr>
          <w:rFonts w:ascii="Meta Pro" w:eastAsia="Times New Roman" w:hAnsi="Meta Pro"/>
          <w:szCs w:val="18"/>
          <w:lang w:eastAsia="en-AU"/>
        </w:rPr>
      </w:pPr>
      <w:r w:rsidRPr="00092B22">
        <w:rPr>
          <w:rFonts w:ascii="Meta Pro" w:eastAsia="Times New Roman" w:hAnsi="Meta Pro"/>
          <w:szCs w:val="18"/>
          <w:lang w:eastAsia="en-AU"/>
        </w:rPr>
        <w:t>•  Accessible – Deliver a transport system that is accessible and inclusive for our customers</w:t>
      </w:r>
    </w:p>
    <w:p w14:paraId="578F9B77" w14:textId="77777777" w:rsidR="00E43D75" w:rsidRPr="00092B22" w:rsidRDefault="00E43D75" w:rsidP="00E43D75">
      <w:pPr>
        <w:rPr>
          <w:rFonts w:ascii="Meta Pro" w:eastAsia="Times New Roman" w:hAnsi="Meta Pro"/>
          <w:szCs w:val="18"/>
          <w:lang w:eastAsia="en-AU"/>
        </w:rPr>
      </w:pPr>
      <w:r w:rsidRPr="00092B22">
        <w:rPr>
          <w:rFonts w:ascii="Meta Pro" w:eastAsia="Times New Roman" w:hAnsi="Meta Pro"/>
          <w:szCs w:val="18"/>
          <w:lang w:eastAsia="en-AU"/>
        </w:rPr>
        <w:t>•  Safe – Provide a safe and secure transport system and Department of Transport and Main Roads workplaces</w:t>
      </w:r>
    </w:p>
    <w:p w14:paraId="3B4BFCDF" w14:textId="77777777" w:rsidR="00E43D75" w:rsidRPr="00092B22" w:rsidRDefault="00E43D75" w:rsidP="00E43D75">
      <w:pPr>
        <w:rPr>
          <w:rFonts w:ascii="Meta Pro" w:eastAsia="Times New Roman" w:hAnsi="Meta Pro"/>
          <w:szCs w:val="18"/>
          <w:lang w:eastAsia="en-AU"/>
        </w:rPr>
      </w:pPr>
      <w:r w:rsidRPr="00092B22">
        <w:rPr>
          <w:rFonts w:ascii="Meta Pro" w:eastAsia="Times New Roman" w:hAnsi="Meta Pro"/>
          <w:szCs w:val="18"/>
          <w:lang w:eastAsia="en-AU"/>
        </w:rPr>
        <w:t>•  Responsive – Actively manage a transport system that is responsive to evolving customer expectations and business</w:t>
      </w:r>
    </w:p>
    <w:p w14:paraId="6D30CC47" w14:textId="77777777" w:rsidR="00E43D75" w:rsidRPr="00092B22" w:rsidRDefault="00E43D75" w:rsidP="00E43D75">
      <w:pPr>
        <w:rPr>
          <w:rFonts w:ascii="Meta Pro" w:eastAsia="Times New Roman" w:hAnsi="Meta Pro"/>
          <w:szCs w:val="18"/>
          <w:lang w:eastAsia="en-AU"/>
        </w:rPr>
      </w:pPr>
      <w:r w:rsidRPr="00092B22">
        <w:rPr>
          <w:rFonts w:ascii="Meta Pro" w:eastAsia="Times New Roman" w:hAnsi="Meta Pro"/>
          <w:szCs w:val="18"/>
          <w:lang w:eastAsia="en-AU"/>
        </w:rPr>
        <w:t xml:space="preserve">    disruptions</w:t>
      </w:r>
    </w:p>
    <w:p w14:paraId="0419B4C3" w14:textId="77777777" w:rsidR="00E43D75" w:rsidRPr="00092B22" w:rsidRDefault="00E43D75" w:rsidP="00E43D75">
      <w:pPr>
        <w:rPr>
          <w:rFonts w:ascii="Meta Pro" w:eastAsia="Times New Roman" w:hAnsi="Meta Pro"/>
          <w:szCs w:val="18"/>
          <w:lang w:eastAsia="en-AU"/>
        </w:rPr>
      </w:pPr>
      <w:r w:rsidRPr="00092B22">
        <w:rPr>
          <w:rFonts w:ascii="Meta Pro" w:eastAsia="Times New Roman" w:hAnsi="Meta Pro"/>
          <w:szCs w:val="18"/>
          <w:lang w:eastAsia="en-AU"/>
        </w:rPr>
        <w:t>•  Efficient – Deliver an efficient and reliable system to advance the movement of people and goods and optimise our</w:t>
      </w:r>
    </w:p>
    <w:p w14:paraId="69383EC8" w14:textId="77777777" w:rsidR="00E43D75" w:rsidRPr="00092B22" w:rsidRDefault="00E43D75" w:rsidP="00E43D75">
      <w:pPr>
        <w:rPr>
          <w:rFonts w:ascii="Meta Pro" w:eastAsia="Times New Roman" w:hAnsi="Meta Pro"/>
          <w:szCs w:val="18"/>
          <w:lang w:eastAsia="en-AU"/>
        </w:rPr>
      </w:pPr>
      <w:r w:rsidRPr="00092B22">
        <w:rPr>
          <w:rFonts w:ascii="Meta Pro" w:eastAsia="Times New Roman" w:hAnsi="Meta Pro"/>
          <w:szCs w:val="18"/>
          <w:lang w:eastAsia="en-AU"/>
        </w:rPr>
        <w:t xml:space="preserve">    resources</w:t>
      </w:r>
    </w:p>
    <w:p w14:paraId="2DCD635C" w14:textId="77777777" w:rsidR="00E43D75" w:rsidRPr="00092B22" w:rsidRDefault="00E43D75" w:rsidP="00E43D75">
      <w:pPr>
        <w:rPr>
          <w:rFonts w:ascii="Meta Pro" w:eastAsia="Times New Roman" w:hAnsi="Meta Pro"/>
          <w:szCs w:val="18"/>
          <w:lang w:eastAsia="en-AU"/>
        </w:rPr>
      </w:pPr>
      <w:r w:rsidRPr="00092B22">
        <w:rPr>
          <w:rFonts w:ascii="Meta Pro" w:eastAsia="Times New Roman" w:hAnsi="Meta Pro"/>
          <w:szCs w:val="18"/>
          <w:lang w:eastAsia="en-AU"/>
        </w:rPr>
        <w:t>•  Sustainable – Create an environmentally, economically and socially sustainable transport system that supports liveable</w:t>
      </w:r>
    </w:p>
    <w:p w14:paraId="3B699F0F" w14:textId="77777777" w:rsidR="00E43D75" w:rsidRPr="00092B22" w:rsidRDefault="00E43D75" w:rsidP="00E43D75">
      <w:pPr>
        <w:rPr>
          <w:rFonts w:ascii="Meta Pro" w:eastAsia="Times New Roman" w:hAnsi="Meta Pro"/>
          <w:szCs w:val="18"/>
          <w:lang w:eastAsia="en-AU"/>
        </w:rPr>
      </w:pPr>
      <w:r w:rsidRPr="00092B22">
        <w:rPr>
          <w:rFonts w:ascii="Meta Pro" w:eastAsia="Times New Roman" w:hAnsi="Meta Pro"/>
          <w:szCs w:val="18"/>
          <w:lang w:eastAsia="en-AU"/>
        </w:rPr>
        <w:t xml:space="preserve">    and prosperous communities.</w:t>
      </w:r>
    </w:p>
    <w:p w14:paraId="5E07C5BC" w14:textId="77777777" w:rsidR="00E43D75" w:rsidRPr="00092B22" w:rsidRDefault="00E43D75" w:rsidP="00E43D75">
      <w:pPr>
        <w:spacing w:before="120"/>
        <w:rPr>
          <w:rFonts w:ascii="Meta Pro" w:eastAsia="Times New Roman" w:hAnsi="Meta Pro"/>
          <w:szCs w:val="18"/>
          <w:lang w:eastAsia="en-AU"/>
        </w:rPr>
      </w:pPr>
      <w:r w:rsidRPr="00092B22">
        <w:rPr>
          <w:rFonts w:ascii="Meta Pro" w:eastAsia="Times New Roman" w:hAnsi="Meta Pro"/>
          <w:szCs w:val="18"/>
          <w:lang w:eastAsia="en-AU"/>
        </w:rPr>
        <w:t>The financial statements include the value of all income, expenses, assets, liabilities and equity of the Department of Transport and Main Roads.</w:t>
      </w:r>
    </w:p>
    <w:p w14:paraId="6B399B7B" w14:textId="77777777" w:rsidR="00E43D75" w:rsidRPr="00092B22" w:rsidRDefault="00E43D75" w:rsidP="00E43D75">
      <w:pPr>
        <w:spacing w:before="120"/>
        <w:rPr>
          <w:rFonts w:ascii="Meta Pro" w:eastAsia="Times New Roman" w:hAnsi="Meta Pro"/>
          <w:szCs w:val="18"/>
          <w:lang w:eastAsia="en-AU"/>
        </w:rPr>
      </w:pPr>
      <w:r w:rsidRPr="00092B22">
        <w:rPr>
          <w:rFonts w:ascii="Meta Pro" w:eastAsia="Times New Roman" w:hAnsi="Meta Pro"/>
          <w:szCs w:val="18"/>
          <w:lang w:eastAsia="en-AU"/>
        </w:rPr>
        <w:t xml:space="preserve">The department has elected not to consolidate its investment in the controlled entity Transmax Pty Ltd in accordance with AASB 127 </w:t>
      </w:r>
      <w:r w:rsidRPr="00092B22">
        <w:rPr>
          <w:rFonts w:ascii="Meta Pro" w:eastAsia="Times New Roman" w:hAnsi="Meta Pro"/>
          <w:i/>
          <w:iCs/>
          <w:szCs w:val="18"/>
          <w:lang w:eastAsia="en-AU"/>
        </w:rPr>
        <w:t>Separate Financial Statements</w:t>
      </w:r>
      <w:r w:rsidRPr="00092B22">
        <w:rPr>
          <w:rFonts w:ascii="Meta Pro" w:eastAsia="Times New Roman" w:hAnsi="Meta Pro"/>
          <w:szCs w:val="18"/>
          <w:lang w:eastAsia="en-AU"/>
        </w:rPr>
        <w:t>. Refer to Note 25.</w:t>
      </w:r>
    </w:p>
    <w:p w14:paraId="78B20C02" w14:textId="77777777" w:rsidR="00E43D75" w:rsidRPr="00092B22" w:rsidRDefault="00E43D75" w:rsidP="00E43D75">
      <w:pPr>
        <w:rPr>
          <w:rFonts w:ascii="Meta Pro" w:eastAsia="Times New Roman" w:hAnsi="Meta Pro"/>
          <w:b/>
          <w:bCs/>
          <w:szCs w:val="18"/>
          <w:lang w:eastAsia="en-AU"/>
        </w:rPr>
      </w:pPr>
      <w:r w:rsidRPr="00092B22">
        <w:rPr>
          <w:rFonts w:ascii="Meta Pro" w:eastAsia="Times New Roman" w:hAnsi="Meta Pro"/>
          <w:b/>
          <w:bCs/>
          <w:szCs w:val="18"/>
          <w:lang w:eastAsia="en-AU"/>
        </w:rPr>
        <w:t>DEPARTMENTAL SERVICES AND PRINCIPAL ACTIVITIES</w:t>
      </w:r>
    </w:p>
    <w:p w14:paraId="6183B30B" w14:textId="77777777" w:rsidR="00E43D75" w:rsidRPr="00092B22" w:rsidRDefault="00E43D75" w:rsidP="00E43D75">
      <w:pPr>
        <w:spacing w:before="120"/>
        <w:rPr>
          <w:rFonts w:ascii="Meta Pro" w:eastAsia="Times New Roman" w:hAnsi="Meta Pro"/>
          <w:szCs w:val="18"/>
          <w:lang w:eastAsia="en-AU"/>
        </w:rPr>
      </w:pPr>
      <w:r w:rsidRPr="00092B22">
        <w:rPr>
          <w:rFonts w:ascii="Meta Pro" w:eastAsia="Times New Roman" w:hAnsi="Meta Pro"/>
          <w:szCs w:val="18"/>
          <w:lang w:eastAsia="en-AU"/>
        </w:rPr>
        <w:t>The identity and purpose of the services and principal activities undertaken by the Department of Transport and Main Roads during the reporting period are as follows:</w:t>
      </w:r>
    </w:p>
    <w:p w14:paraId="147892D4" w14:textId="77777777" w:rsidR="00E43D75" w:rsidRPr="00092B22" w:rsidRDefault="00E43D75" w:rsidP="00E43D75">
      <w:pPr>
        <w:spacing w:before="120"/>
        <w:rPr>
          <w:rFonts w:ascii="Meta Pro" w:eastAsia="Times New Roman" w:hAnsi="Meta Pro"/>
          <w:b/>
          <w:bCs/>
          <w:szCs w:val="18"/>
          <w:lang w:eastAsia="en-AU"/>
        </w:rPr>
      </w:pPr>
      <w:r w:rsidRPr="00092B22">
        <w:rPr>
          <w:rFonts w:ascii="Meta Pro" w:eastAsia="Times New Roman" w:hAnsi="Meta Pro"/>
          <w:b/>
          <w:bCs/>
          <w:szCs w:val="18"/>
          <w:lang w:eastAsia="en-AU"/>
        </w:rPr>
        <w:t>Transport system investment planning and programming</w:t>
      </w:r>
    </w:p>
    <w:p w14:paraId="70A57CB8" w14:textId="77777777" w:rsidR="00E43D75" w:rsidRPr="00092B22" w:rsidRDefault="00E43D75" w:rsidP="00E43D75">
      <w:pPr>
        <w:spacing w:before="120"/>
        <w:rPr>
          <w:rFonts w:ascii="Meta Pro" w:eastAsia="Times New Roman" w:hAnsi="Meta Pro"/>
          <w:szCs w:val="18"/>
          <w:lang w:eastAsia="en-AU"/>
        </w:rPr>
      </w:pPr>
      <w:r w:rsidRPr="00092B22">
        <w:rPr>
          <w:rFonts w:ascii="Meta Pro" w:eastAsia="Times New Roman" w:hAnsi="Meta Pro"/>
          <w:szCs w:val="18"/>
          <w:lang w:eastAsia="en-AU"/>
        </w:rPr>
        <w:t>The objective of this service area is to provide policy, planning and investment frameworks to deliver an integrated transport network accessible to everyone.</w:t>
      </w:r>
    </w:p>
    <w:p w14:paraId="17AE9768" w14:textId="77777777" w:rsidR="00E43D75" w:rsidRPr="00092B22" w:rsidRDefault="00E43D75" w:rsidP="00E43D75">
      <w:pPr>
        <w:spacing w:before="120"/>
        <w:rPr>
          <w:rFonts w:ascii="Meta Pro" w:eastAsia="Times New Roman" w:hAnsi="Meta Pro"/>
          <w:b/>
          <w:bCs/>
          <w:szCs w:val="18"/>
          <w:lang w:eastAsia="en-AU"/>
        </w:rPr>
      </w:pPr>
      <w:r w:rsidRPr="00092B22">
        <w:rPr>
          <w:rFonts w:ascii="Meta Pro" w:eastAsia="Times New Roman" w:hAnsi="Meta Pro"/>
          <w:b/>
          <w:bCs/>
          <w:szCs w:val="18"/>
          <w:lang w:eastAsia="en-AU"/>
        </w:rPr>
        <w:lastRenderedPageBreak/>
        <w:t>Transport infrastructure management and delivery</w:t>
      </w:r>
    </w:p>
    <w:p w14:paraId="1FF32E4D" w14:textId="77777777" w:rsidR="00E43D75" w:rsidRPr="00092B22" w:rsidRDefault="00E43D75" w:rsidP="00E43D75">
      <w:pPr>
        <w:spacing w:before="120"/>
        <w:rPr>
          <w:rFonts w:ascii="Meta Pro" w:eastAsia="Times New Roman" w:hAnsi="Meta Pro"/>
          <w:szCs w:val="18"/>
          <w:lang w:eastAsia="en-AU"/>
        </w:rPr>
      </w:pPr>
      <w:r w:rsidRPr="00092B22">
        <w:rPr>
          <w:rFonts w:ascii="Meta Pro" w:eastAsia="Times New Roman" w:hAnsi="Meta Pro"/>
          <w:szCs w:val="18"/>
          <w:lang w:eastAsia="en-AU"/>
        </w:rPr>
        <w:t>The objective of this service area is to construct, maintain and operate an integrated transport network accessible to all.</w:t>
      </w:r>
    </w:p>
    <w:p w14:paraId="4F43F851" w14:textId="77777777" w:rsidR="00E43D75" w:rsidRPr="00092B22" w:rsidRDefault="00E43D75" w:rsidP="00E43D75">
      <w:pPr>
        <w:spacing w:before="120"/>
        <w:rPr>
          <w:rFonts w:ascii="Meta Pro" w:eastAsia="Times New Roman" w:hAnsi="Meta Pro"/>
          <w:b/>
          <w:bCs/>
          <w:szCs w:val="18"/>
          <w:lang w:eastAsia="en-AU"/>
        </w:rPr>
      </w:pPr>
      <w:r w:rsidRPr="00092B22">
        <w:rPr>
          <w:rFonts w:ascii="Meta Pro" w:eastAsia="Times New Roman" w:hAnsi="Meta Pro"/>
          <w:b/>
          <w:bCs/>
          <w:szCs w:val="18"/>
          <w:lang w:eastAsia="en-AU"/>
        </w:rPr>
        <w:t xml:space="preserve">Transport safety and regulation </w:t>
      </w:r>
    </w:p>
    <w:p w14:paraId="7D9A2C0A" w14:textId="77777777" w:rsidR="00E43D75" w:rsidRPr="00092B22" w:rsidRDefault="00E43D75" w:rsidP="00E43D75">
      <w:pPr>
        <w:spacing w:before="120"/>
        <w:rPr>
          <w:rFonts w:ascii="Meta Pro" w:eastAsia="Times New Roman" w:hAnsi="Meta Pro"/>
          <w:szCs w:val="18"/>
          <w:lang w:eastAsia="en-AU"/>
        </w:rPr>
      </w:pPr>
      <w:r w:rsidRPr="00092B22">
        <w:rPr>
          <w:rFonts w:ascii="Meta Pro" w:eastAsia="Times New Roman" w:hAnsi="Meta Pro"/>
          <w:szCs w:val="18"/>
          <w:lang w:eastAsia="en-AU"/>
        </w:rPr>
        <w:t>The objective of this service area is to enhance the safety of the transport system through quality regulation, road and maritime safety programs.</w:t>
      </w:r>
    </w:p>
    <w:p w14:paraId="1E987C10" w14:textId="77777777" w:rsidR="00E43D75" w:rsidRPr="00092B22" w:rsidRDefault="00E43D75" w:rsidP="00E43D75">
      <w:pPr>
        <w:spacing w:before="120"/>
        <w:rPr>
          <w:rFonts w:ascii="Meta Pro" w:eastAsia="Times New Roman" w:hAnsi="Meta Pro"/>
          <w:b/>
          <w:bCs/>
          <w:szCs w:val="18"/>
          <w:lang w:eastAsia="en-AU"/>
        </w:rPr>
      </w:pPr>
      <w:r w:rsidRPr="00092B22">
        <w:rPr>
          <w:rFonts w:ascii="Meta Pro" w:eastAsia="Times New Roman" w:hAnsi="Meta Pro"/>
          <w:b/>
          <w:bCs/>
          <w:szCs w:val="18"/>
          <w:lang w:eastAsia="en-AU"/>
        </w:rPr>
        <w:t>Customer experience</w:t>
      </w:r>
    </w:p>
    <w:p w14:paraId="5ADC322D" w14:textId="77777777" w:rsidR="00E43D75" w:rsidRPr="00092B22" w:rsidRDefault="00E43D75" w:rsidP="00E43D75">
      <w:pPr>
        <w:spacing w:before="120"/>
        <w:rPr>
          <w:rFonts w:ascii="Meta Pro" w:eastAsia="Times New Roman" w:hAnsi="Meta Pro"/>
          <w:szCs w:val="18"/>
          <w:lang w:eastAsia="en-AU"/>
        </w:rPr>
      </w:pPr>
      <w:r w:rsidRPr="00092B22">
        <w:rPr>
          <w:rFonts w:ascii="Meta Pro" w:eastAsia="Times New Roman" w:hAnsi="Meta Pro"/>
          <w:szCs w:val="18"/>
          <w:lang w:eastAsia="en-AU"/>
        </w:rPr>
        <w:t>The objective of this service area is to understand evolving customer needs and expectations, to improve customer experiences and reduce complaints.</w:t>
      </w:r>
    </w:p>
    <w:p w14:paraId="4C7DC34F" w14:textId="77777777" w:rsidR="00E43D75" w:rsidRPr="00092B22" w:rsidRDefault="00E43D75" w:rsidP="00E43D75">
      <w:pPr>
        <w:spacing w:before="120"/>
        <w:rPr>
          <w:rFonts w:ascii="Meta Pro" w:eastAsia="Times New Roman" w:hAnsi="Meta Pro"/>
          <w:b/>
          <w:bCs/>
          <w:szCs w:val="18"/>
          <w:lang w:eastAsia="en-AU"/>
        </w:rPr>
      </w:pPr>
      <w:r w:rsidRPr="00092B22">
        <w:rPr>
          <w:rFonts w:ascii="Meta Pro" w:eastAsia="Times New Roman" w:hAnsi="Meta Pro"/>
          <w:b/>
          <w:bCs/>
          <w:szCs w:val="18"/>
          <w:lang w:eastAsia="en-AU"/>
        </w:rPr>
        <w:t>Passenger transport services</w:t>
      </w:r>
    </w:p>
    <w:p w14:paraId="0FBA9B2C" w14:textId="77777777" w:rsidR="00E43D75" w:rsidRPr="00092B22" w:rsidRDefault="00E43D75" w:rsidP="00E43D75">
      <w:pPr>
        <w:spacing w:before="120"/>
        <w:rPr>
          <w:rFonts w:ascii="Meta Pro" w:eastAsia="Times New Roman" w:hAnsi="Meta Pro"/>
          <w:szCs w:val="18"/>
          <w:lang w:eastAsia="en-AU"/>
        </w:rPr>
      </w:pPr>
      <w:r w:rsidRPr="00092B22">
        <w:rPr>
          <w:rFonts w:ascii="Meta Pro" w:eastAsia="Times New Roman" w:hAnsi="Meta Pro"/>
          <w:szCs w:val="18"/>
          <w:lang w:eastAsia="en-AU"/>
        </w:rPr>
        <w:t>The objective of this service area is to connect Queensland through the delivery of customer focused passenger transport services.</w:t>
      </w:r>
    </w:p>
    <w:p w14:paraId="04DFA8ED" w14:textId="77777777" w:rsidR="00E43D75" w:rsidRPr="00092B22" w:rsidRDefault="00E43D75" w:rsidP="00E43D75">
      <w:pPr>
        <w:spacing w:before="120"/>
        <w:rPr>
          <w:rFonts w:ascii="Meta Pro" w:eastAsia="Times New Roman" w:hAnsi="Meta Pro"/>
          <w:b/>
          <w:bCs/>
          <w:szCs w:val="18"/>
          <w:lang w:eastAsia="en-AU"/>
        </w:rPr>
      </w:pPr>
      <w:r w:rsidRPr="00092B22">
        <w:rPr>
          <w:rFonts w:ascii="Meta Pro" w:eastAsia="Times New Roman" w:hAnsi="Meta Pro"/>
          <w:b/>
          <w:bCs/>
          <w:szCs w:val="18"/>
          <w:lang w:eastAsia="en-AU"/>
        </w:rPr>
        <w:t>Transport infrastructure construction and maintenance (RoadTek)</w:t>
      </w:r>
    </w:p>
    <w:p w14:paraId="13E7A81E" w14:textId="13603995" w:rsidR="00C55038" w:rsidRDefault="00E43D75" w:rsidP="00E43D75">
      <w:r w:rsidRPr="00092B22">
        <w:rPr>
          <w:rFonts w:ascii="Meta Pro" w:eastAsia="Times New Roman" w:hAnsi="Meta Pro"/>
          <w:szCs w:val="18"/>
          <w:lang w:eastAsia="en-AU"/>
        </w:rPr>
        <w:t>RoadTek provides transport infrastructure solutions, including construction and maintenance services, to enable the department to deliver on Queensland Government priorities and outcomes for the community.</w:t>
      </w:r>
    </w:p>
    <w:p w14:paraId="5DFBFD95" w14:textId="77777777" w:rsidR="007269AD" w:rsidRPr="00092B22" w:rsidRDefault="007269AD" w:rsidP="007269AD">
      <w:pPr>
        <w:spacing w:after="120" w:line="259" w:lineRule="auto"/>
        <w:rPr>
          <w:rFonts w:ascii="Meta Pro" w:hAnsi="Meta Pro"/>
          <w:b/>
          <w:bCs/>
          <w:lang w:eastAsia="en-AU"/>
        </w:rPr>
      </w:pPr>
      <w:r w:rsidRPr="00092B22">
        <w:rPr>
          <w:rFonts w:ascii="Meta Pro" w:hAnsi="Meta Pro"/>
          <w:b/>
          <w:bCs/>
          <w:lang w:eastAsia="en-AU"/>
        </w:rPr>
        <w:t>1</w:t>
      </w:r>
      <w:r w:rsidRPr="00092B22">
        <w:rPr>
          <w:rFonts w:ascii="Meta Pro" w:hAnsi="Meta Pro"/>
          <w:b/>
          <w:bCs/>
          <w:lang w:eastAsia="en-AU"/>
        </w:rPr>
        <w:tab/>
        <w:t>ACCOUNTING POLICIES AND BASIS FOR FINANCIAL STATEMENTS PREPARATION (continued)</w:t>
      </w:r>
    </w:p>
    <w:p w14:paraId="273C2236" w14:textId="77777777" w:rsidR="007269AD" w:rsidRPr="00092B22" w:rsidRDefault="007269AD" w:rsidP="007269AD">
      <w:pPr>
        <w:spacing w:before="120"/>
        <w:rPr>
          <w:rFonts w:ascii="Meta Pro" w:eastAsia="Times New Roman" w:hAnsi="Meta Pro"/>
          <w:b/>
          <w:bCs/>
          <w:szCs w:val="18"/>
          <w:lang w:eastAsia="en-AU"/>
        </w:rPr>
      </w:pPr>
      <w:r w:rsidRPr="00092B22">
        <w:rPr>
          <w:rFonts w:ascii="Meta Pro" w:eastAsia="Times New Roman" w:hAnsi="Meta Pro"/>
          <w:b/>
          <w:bCs/>
          <w:szCs w:val="18"/>
          <w:lang w:eastAsia="en-AU"/>
        </w:rPr>
        <w:t>AGENCY ARRANGEMENTS</w:t>
      </w:r>
    </w:p>
    <w:p w14:paraId="48F9265E" w14:textId="77777777" w:rsidR="007269AD" w:rsidRPr="00092B22" w:rsidRDefault="007269AD" w:rsidP="007269AD">
      <w:pPr>
        <w:spacing w:before="120"/>
        <w:rPr>
          <w:rFonts w:ascii="Meta Pro" w:eastAsia="Times New Roman" w:hAnsi="Meta Pro"/>
          <w:szCs w:val="18"/>
          <w:lang w:eastAsia="en-AU"/>
        </w:rPr>
      </w:pPr>
      <w:r w:rsidRPr="00092B22">
        <w:rPr>
          <w:rFonts w:ascii="Meta Pro" w:eastAsia="Times New Roman" w:hAnsi="Meta Pro"/>
          <w:szCs w:val="18"/>
          <w:lang w:eastAsia="en-AU"/>
        </w:rPr>
        <w:t>The department performs certain transactions in an agent capacity, and the receipts of such funds are not considered to be revenue for the department, nor are payments of these amounts considered to be expenses of the department. These transactions are not recognised in the financial statements but are disclosed in these notes for the information of users. Significant agency transactions are disclosed in Note 27.</w:t>
      </w:r>
    </w:p>
    <w:p w14:paraId="096A6CDD" w14:textId="77777777" w:rsidR="007269AD" w:rsidRPr="00092B22" w:rsidRDefault="007269AD" w:rsidP="007269AD">
      <w:pPr>
        <w:rPr>
          <w:rFonts w:ascii="Meta Pro" w:eastAsia="Times New Roman" w:hAnsi="Meta Pro"/>
          <w:b/>
          <w:bCs/>
          <w:szCs w:val="18"/>
          <w:lang w:eastAsia="en-AU"/>
        </w:rPr>
      </w:pPr>
      <w:r w:rsidRPr="00092B22">
        <w:rPr>
          <w:rFonts w:ascii="Meta Pro" w:eastAsia="Times New Roman" w:hAnsi="Meta Pro"/>
          <w:b/>
          <w:bCs/>
          <w:szCs w:val="18"/>
          <w:lang w:eastAsia="en-AU"/>
        </w:rPr>
        <w:t>ACCOUNTING ESTIMATES AND JUDGEMENTS</w:t>
      </w:r>
    </w:p>
    <w:p w14:paraId="52DF0884" w14:textId="77777777" w:rsidR="007269AD" w:rsidRPr="00092B22" w:rsidRDefault="007269AD" w:rsidP="007269AD">
      <w:pPr>
        <w:spacing w:before="120"/>
        <w:rPr>
          <w:rFonts w:ascii="Meta Pro" w:eastAsia="Times New Roman" w:hAnsi="Meta Pro"/>
          <w:b/>
          <w:bCs/>
          <w:szCs w:val="18"/>
          <w:lang w:eastAsia="en-AU"/>
        </w:rPr>
      </w:pPr>
      <w:r w:rsidRPr="00092B22">
        <w:rPr>
          <w:rFonts w:ascii="Meta Pro" w:eastAsia="Times New Roman" w:hAnsi="Meta Pro"/>
          <w:szCs w:val="18"/>
          <w:lang w:eastAsia="en-AU"/>
        </w:rPr>
        <w:t>The preparation of financial statements necessarily requires the determination and use of certain critical accounting estimates, assumptions, and management judgements that have potential to cause a material adjustment to the carrying amounts of assets and liabilities within the next reporting period. Such estimates, judgements and underlying assumptions are reviewed on an ongoing basis. Revisions to accounting estimates are recognised in the period in which the estimate is revised and in future periods as relevant.</w:t>
      </w:r>
    </w:p>
    <w:p w14:paraId="51568C90" w14:textId="77777777" w:rsidR="007269AD" w:rsidRPr="00092B22" w:rsidRDefault="007269AD" w:rsidP="007269AD">
      <w:pPr>
        <w:spacing w:before="120"/>
        <w:rPr>
          <w:rFonts w:ascii="Meta Pro" w:eastAsia="Times New Roman" w:hAnsi="Meta Pro"/>
          <w:szCs w:val="18"/>
          <w:lang w:eastAsia="en-AU"/>
        </w:rPr>
      </w:pPr>
      <w:r w:rsidRPr="00092B22">
        <w:rPr>
          <w:rFonts w:ascii="Meta Pro" w:eastAsia="Times New Roman" w:hAnsi="Meta Pro"/>
          <w:szCs w:val="18"/>
          <w:lang w:eastAsia="en-AU"/>
        </w:rPr>
        <w:t>Estimates and assumptions that have a potential significant effect are outlined in the following financial statement notes:</w:t>
      </w:r>
    </w:p>
    <w:p w14:paraId="005B5DA3" w14:textId="77777777" w:rsidR="007269AD" w:rsidRPr="00092B22" w:rsidRDefault="007269AD" w:rsidP="007269AD">
      <w:pPr>
        <w:rPr>
          <w:rFonts w:ascii="Meta Pro" w:eastAsia="Times New Roman" w:hAnsi="Meta Pro"/>
          <w:szCs w:val="18"/>
          <w:lang w:eastAsia="en-AU"/>
        </w:rPr>
      </w:pPr>
      <w:r w:rsidRPr="00092B22">
        <w:rPr>
          <w:rFonts w:ascii="Meta Pro" w:eastAsia="Times New Roman" w:hAnsi="Meta Pro"/>
          <w:szCs w:val="18"/>
          <w:lang w:eastAsia="en-AU"/>
        </w:rPr>
        <w:t>•  Note 12 Receivables</w:t>
      </w:r>
    </w:p>
    <w:p w14:paraId="4C23EA37" w14:textId="77777777" w:rsidR="007269AD" w:rsidRPr="00092B22" w:rsidRDefault="007269AD" w:rsidP="007269AD">
      <w:pPr>
        <w:rPr>
          <w:rFonts w:ascii="Meta Pro" w:eastAsia="Times New Roman" w:hAnsi="Meta Pro"/>
          <w:szCs w:val="18"/>
          <w:lang w:eastAsia="en-AU"/>
        </w:rPr>
      </w:pPr>
      <w:r w:rsidRPr="00092B22">
        <w:rPr>
          <w:rFonts w:ascii="Meta Pro" w:eastAsia="Times New Roman" w:hAnsi="Meta Pro"/>
          <w:szCs w:val="18"/>
          <w:lang w:eastAsia="en-AU"/>
        </w:rPr>
        <w:t>•  Note 14 Intangible assets</w:t>
      </w:r>
    </w:p>
    <w:p w14:paraId="18DD1C12" w14:textId="77777777" w:rsidR="007269AD" w:rsidRPr="00092B22" w:rsidRDefault="007269AD" w:rsidP="007269AD">
      <w:pPr>
        <w:rPr>
          <w:rFonts w:ascii="Meta Pro" w:eastAsia="Times New Roman" w:hAnsi="Meta Pro"/>
          <w:szCs w:val="18"/>
          <w:lang w:eastAsia="en-AU"/>
        </w:rPr>
      </w:pPr>
      <w:r w:rsidRPr="00092B22">
        <w:rPr>
          <w:rFonts w:ascii="Meta Pro" w:eastAsia="Times New Roman" w:hAnsi="Meta Pro"/>
          <w:szCs w:val="18"/>
          <w:lang w:eastAsia="en-AU"/>
        </w:rPr>
        <w:t>•  Note 15 Property, plant and equipment</w:t>
      </w:r>
    </w:p>
    <w:p w14:paraId="758AA977" w14:textId="77777777" w:rsidR="007269AD" w:rsidRPr="00092B22" w:rsidRDefault="007269AD" w:rsidP="007269AD">
      <w:pPr>
        <w:rPr>
          <w:rFonts w:ascii="Meta Pro" w:eastAsia="Times New Roman" w:hAnsi="Meta Pro"/>
          <w:szCs w:val="18"/>
          <w:lang w:eastAsia="en-AU"/>
        </w:rPr>
      </w:pPr>
      <w:r w:rsidRPr="00092B22">
        <w:rPr>
          <w:rFonts w:ascii="Meta Pro" w:eastAsia="Times New Roman" w:hAnsi="Meta Pro"/>
          <w:szCs w:val="18"/>
          <w:lang w:eastAsia="en-AU"/>
        </w:rPr>
        <w:t>•  Note 16 Public private partnerships</w:t>
      </w:r>
    </w:p>
    <w:p w14:paraId="63942CA5" w14:textId="77777777" w:rsidR="007269AD" w:rsidRPr="00092B22" w:rsidRDefault="007269AD" w:rsidP="007269AD">
      <w:pPr>
        <w:rPr>
          <w:rFonts w:ascii="Meta Pro" w:eastAsia="Times New Roman" w:hAnsi="Meta Pro"/>
          <w:szCs w:val="18"/>
          <w:lang w:eastAsia="en-AU"/>
        </w:rPr>
      </w:pPr>
      <w:r w:rsidRPr="00092B22">
        <w:rPr>
          <w:rFonts w:ascii="Meta Pro" w:eastAsia="Times New Roman" w:hAnsi="Meta Pro"/>
          <w:szCs w:val="18"/>
          <w:lang w:eastAsia="en-AU"/>
        </w:rPr>
        <w:t>•  Note 19 Provisions.</w:t>
      </w:r>
    </w:p>
    <w:p w14:paraId="75922503" w14:textId="77777777" w:rsidR="007269AD" w:rsidRPr="00092B22" w:rsidRDefault="007269AD" w:rsidP="007269AD">
      <w:pPr>
        <w:rPr>
          <w:rFonts w:ascii="Meta Pro" w:eastAsia="Times New Roman" w:hAnsi="Meta Pro"/>
          <w:szCs w:val="18"/>
          <w:lang w:eastAsia="en-AU"/>
        </w:rPr>
      </w:pPr>
      <w:r w:rsidRPr="00092B22">
        <w:rPr>
          <w:rFonts w:ascii="Meta Pro" w:eastAsia="Times New Roman" w:hAnsi="Meta Pro"/>
          <w:b/>
          <w:bCs/>
          <w:szCs w:val="18"/>
          <w:lang w:eastAsia="en-AU"/>
        </w:rPr>
        <w:t>CURRENCY, ROUNDING AND COMPARATIVES</w:t>
      </w:r>
    </w:p>
    <w:p w14:paraId="02A2DC5B" w14:textId="77777777" w:rsidR="007269AD" w:rsidRPr="00092B22" w:rsidRDefault="007269AD" w:rsidP="007269AD">
      <w:pPr>
        <w:spacing w:before="120"/>
        <w:rPr>
          <w:rFonts w:ascii="Meta Pro" w:eastAsia="Times New Roman" w:hAnsi="Meta Pro"/>
          <w:b/>
          <w:bCs/>
          <w:szCs w:val="18"/>
          <w:lang w:eastAsia="en-AU"/>
        </w:rPr>
      </w:pPr>
      <w:r w:rsidRPr="00092B22">
        <w:rPr>
          <w:rFonts w:ascii="Meta Pro" w:eastAsia="Times New Roman" w:hAnsi="Meta Pro"/>
          <w:szCs w:val="18"/>
          <w:lang w:eastAsia="en-AU"/>
        </w:rPr>
        <w:t>Amounts included in the financial statements are in Australian dollars and have been rounded to the nearest $1000, or where that amount is $500 or less, to zero, unless disclosure of the full amount is specifically required.</w:t>
      </w:r>
    </w:p>
    <w:p w14:paraId="3CEC30B4" w14:textId="77777777" w:rsidR="007269AD" w:rsidRPr="00092B22" w:rsidRDefault="007269AD" w:rsidP="007269AD">
      <w:pPr>
        <w:spacing w:before="120"/>
        <w:rPr>
          <w:rFonts w:ascii="Meta Pro" w:eastAsia="Times New Roman" w:hAnsi="Meta Pro"/>
          <w:szCs w:val="18"/>
          <w:lang w:eastAsia="en-AU"/>
        </w:rPr>
      </w:pPr>
      <w:r w:rsidRPr="00092B22">
        <w:rPr>
          <w:rFonts w:ascii="Meta Pro" w:eastAsia="Times New Roman" w:hAnsi="Meta Pro"/>
          <w:szCs w:val="18"/>
          <w:lang w:eastAsia="en-AU"/>
        </w:rPr>
        <w:t>Comparative information is restated where necessary to be consistent with disclosures in the current reporting period.</w:t>
      </w:r>
    </w:p>
    <w:p w14:paraId="64349477" w14:textId="77777777" w:rsidR="007269AD" w:rsidRPr="00092B22" w:rsidRDefault="007269AD" w:rsidP="007269AD">
      <w:pPr>
        <w:rPr>
          <w:rFonts w:ascii="Meta Pro" w:eastAsia="Times New Roman" w:hAnsi="Meta Pro"/>
          <w:b/>
          <w:bCs/>
          <w:szCs w:val="18"/>
          <w:lang w:eastAsia="en-AU"/>
        </w:rPr>
      </w:pPr>
      <w:r w:rsidRPr="00092B22">
        <w:rPr>
          <w:rFonts w:ascii="Meta Pro" w:eastAsia="Times New Roman" w:hAnsi="Meta Pro"/>
          <w:b/>
          <w:bCs/>
          <w:szCs w:val="18"/>
          <w:lang w:eastAsia="en-AU"/>
        </w:rPr>
        <w:t>CLIMATE RISK DISCLOSURE</w:t>
      </w:r>
    </w:p>
    <w:p w14:paraId="50307850" w14:textId="77777777" w:rsidR="007269AD" w:rsidRPr="00092B22" w:rsidRDefault="007269AD" w:rsidP="007269AD">
      <w:pPr>
        <w:spacing w:before="120"/>
        <w:rPr>
          <w:rFonts w:ascii="Meta Pro" w:eastAsia="Times New Roman" w:hAnsi="Meta Pro"/>
          <w:szCs w:val="18"/>
          <w:lang w:eastAsia="en-AU"/>
        </w:rPr>
      </w:pPr>
      <w:r w:rsidRPr="00092B22">
        <w:rPr>
          <w:rFonts w:ascii="Meta Pro" w:eastAsia="Times New Roman" w:hAnsi="Meta Pro"/>
          <w:szCs w:val="18"/>
          <w:lang w:eastAsia="en-AU"/>
        </w:rPr>
        <w:t>The department considers specific financial impacts relating to climate related risks by identifying and monitoring material accounting judgements and estimates used in preparing the financial report. This includes the potential for changes in asset useful lives, changes in the fair value of assets, provisions or contingent liabilities and changes in expenses and revenue.</w:t>
      </w:r>
    </w:p>
    <w:p w14:paraId="6E848228" w14:textId="77777777" w:rsidR="007269AD" w:rsidRPr="00092B22" w:rsidRDefault="007269AD" w:rsidP="007269AD">
      <w:pPr>
        <w:spacing w:before="120"/>
        <w:rPr>
          <w:rFonts w:ascii="Meta Pro" w:eastAsia="Times New Roman" w:hAnsi="Meta Pro"/>
          <w:szCs w:val="18"/>
          <w:lang w:eastAsia="en-AU"/>
        </w:rPr>
      </w:pPr>
      <w:r w:rsidRPr="00092B22">
        <w:rPr>
          <w:rFonts w:ascii="Meta Pro" w:eastAsia="Times New Roman" w:hAnsi="Meta Pro"/>
          <w:szCs w:val="18"/>
          <w:lang w:eastAsia="en-AU"/>
        </w:rPr>
        <w:lastRenderedPageBreak/>
        <w:t>The department has not identified any material climate related risks relevant to the financial statements at the reporting date, and no adjustments to the carrying value of recorded assets or other adjustments to the amounts recorded in the financial statements were recognised during the financial year.</w:t>
      </w:r>
    </w:p>
    <w:p w14:paraId="6C82245A" w14:textId="77777777" w:rsidR="007269AD" w:rsidRPr="00092B22" w:rsidRDefault="007269AD" w:rsidP="007269AD">
      <w:pPr>
        <w:spacing w:before="120"/>
        <w:rPr>
          <w:rFonts w:ascii="Meta Pro" w:eastAsia="Times New Roman" w:hAnsi="Meta Pro"/>
          <w:szCs w:val="18"/>
          <w:lang w:eastAsia="en-AU"/>
        </w:rPr>
      </w:pPr>
      <w:r w:rsidRPr="00092B22">
        <w:rPr>
          <w:rFonts w:ascii="Meta Pro" w:eastAsia="Times New Roman" w:hAnsi="Meta Pro"/>
          <w:szCs w:val="18"/>
          <w:lang w:eastAsia="en-AU"/>
        </w:rPr>
        <w:t xml:space="preserve">The State of Queensland, as the ultimate parent of the Department of Transport and Main Roads, has published a wide range of information and resources on climate change including the following whole-of-government publications in relation to climate risk, strategy and action: </w:t>
      </w:r>
    </w:p>
    <w:p w14:paraId="57B97938" w14:textId="77777777" w:rsidR="007269AD" w:rsidRPr="00092B22" w:rsidRDefault="007269AD" w:rsidP="007269AD">
      <w:pPr>
        <w:rPr>
          <w:rFonts w:ascii="Meta Pro" w:eastAsia="Times New Roman" w:hAnsi="Meta Pro"/>
          <w:szCs w:val="18"/>
          <w:lang w:eastAsia="en-AU"/>
        </w:rPr>
      </w:pPr>
      <w:r w:rsidRPr="00092B22">
        <w:rPr>
          <w:rFonts w:ascii="Meta Pro" w:eastAsia="Times New Roman" w:hAnsi="Meta Pro"/>
          <w:szCs w:val="18"/>
          <w:lang w:eastAsia="en-AU"/>
        </w:rPr>
        <w:t xml:space="preserve">•  Climate Adaptation Strategy </w:t>
      </w:r>
    </w:p>
    <w:p w14:paraId="016C422C" w14:textId="77777777" w:rsidR="007269AD" w:rsidRPr="00092B22" w:rsidRDefault="007269AD" w:rsidP="007269AD">
      <w:pPr>
        <w:rPr>
          <w:rFonts w:ascii="Meta Pro" w:eastAsia="Times New Roman" w:hAnsi="Meta Pro"/>
          <w:szCs w:val="18"/>
          <w:lang w:eastAsia="en-AU"/>
        </w:rPr>
      </w:pPr>
      <w:r w:rsidRPr="00092B22">
        <w:rPr>
          <w:rFonts w:ascii="Meta Pro" w:eastAsia="Times New Roman" w:hAnsi="Meta Pro"/>
          <w:szCs w:val="18"/>
          <w:lang w:eastAsia="en-AU"/>
        </w:rPr>
        <w:t xml:space="preserve">•  Climate Transition Strategy </w:t>
      </w:r>
    </w:p>
    <w:p w14:paraId="313349E2" w14:textId="77777777" w:rsidR="007269AD" w:rsidRPr="00092B22" w:rsidRDefault="007269AD" w:rsidP="007269AD">
      <w:pPr>
        <w:rPr>
          <w:rFonts w:ascii="Meta Pro" w:eastAsia="Times New Roman" w:hAnsi="Meta Pro"/>
          <w:szCs w:val="18"/>
          <w:lang w:eastAsia="en-AU"/>
        </w:rPr>
      </w:pPr>
      <w:r w:rsidRPr="00092B22">
        <w:rPr>
          <w:rFonts w:ascii="Meta Pro" w:eastAsia="Times New Roman" w:hAnsi="Meta Pro"/>
          <w:szCs w:val="18"/>
          <w:lang w:eastAsia="en-AU"/>
        </w:rPr>
        <w:t xml:space="preserve">•  Climate Action Plan 2030 </w:t>
      </w:r>
    </w:p>
    <w:p w14:paraId="17A629EA" w14:textId="77777777" w:rsidR="007269AD" w:rsidRPr="00092B22" w:rsidRDefault="007269AD" w:rsidP="007269AD">
      <w:pPr>
        <w:rPr>
          <w:rFonts w:ascii="Meta Pro" w:eastAsia="Times New Roman" w:hAnsi="Meta Pro"/>
          <w:szCs w:val="18"/>
          <w:lang w:eastAsia="en-AU"/>
        </w:rPr>
      </w:pPr>
      <w:r w:rsidRPr="00092B22">
        <w:rPr>
          <w:rFonts w:ascii="Meta Pro" w:eastAsia="Times New Roman" w:hAnsi="Meta Pro"/>
          <w:szCs w:val="18"/>
          <w:lang w:eastAsia="en-AU"/>
        </w:rPr>
        <w:t>•  Queensland Sustainability Report.</w:t>
      </w:r>
    </w:p>
    <w:p w14:paraId="5CA2A792" w14:textId="77777777" w:rsidR="007269AD" w:rsidRPr="00092B22" w:rsidRDefault="007269AD" w:rsidP="007269AD">
      <w:pPr>
        <w:spacing w:before="120"/>
        <w:rPr>
          <w:rFonts w:ascii="Meta Pro" w:eastAsia="Times New Roman" w:hAnsi="Meta Pro"/>
          <w:szCs w:val="18"/>
          <w:lang w:eastAsia="en-AU"/>
        </w:rPr>
      </w:pPr>
      <w:r w:rsidRPr="00092B22">
        <w:rPr>
          <w:rFonts w:ascii="Meta Pro" w:eastAsia="Times New Roman" w:hAnsi="Meta Pro"/>
          <w:szCs w:val="18"/>
          <w:lang w:eastAsia="en-AU"/>
        </w:rPr>
        <w:t>The department constantly monitors the emergence of climate risks under the Queensland Government’s Climate Transition Strategy. As part of the Queensland Climate Change Response, the department is undertaking projects specifically designed to reduce greenhouse gas emissions and decarbonise the Queensland transport sector, and to improve the department's capability to assess climate risk, undertake adaptation planning and build climate resilience across the network.</w:t>
      </w:r>
    </w:p>
    <w:p w14:paraId="0C2C9F10" w14:textId="77777777" w:rsidR="007269AD" w:rsidRPr="00092B22" w:rsidRDefault="007269AD" w:rsidP="007269AD">
      <w:pPr>
        <w:rPr>
          <w:rFonts w:ascii="Meta Pro" w:eastAsia="Times New Roman" w:hAnsi="Meta Pro"/>
          <w:b/>
          <w:bCs/>
          <w:szCs w:val="18"/>
          <w:lang w:eastAsia="en-AU"/>
        </w:rPr>
      </w:pPr>
      <w:r w:rsidRPr="00092B22">
        <w:rPr>
          <w:rFonts w:ascii="Meta Pro" w:eastAsia="Times New Roman" w:hAnsi="Meta Pro"/>
          <w:b/>
          <w:bCs/>
          <w:szCs w:val="18"/>
          <w:lang w:eastAsia="en-AU"/>
        </w:rPr>
        <w:t>FINANCIAL IMPACTS FROM THE COVID-19 PANDEMIC</w:t>
      </w:r>
    </w:p>
    <w:p w14:paraId="26DEDDCA" w14:textId="77777777" w:rsidR="007269AD" w:rsidRPr="00092B22" w:rsidRDefault="007269AD" w:rsidP="007269AD">
      <w:pPr>
        <w:spacing w:before="120"/>
        <w:rPr>
          <w:rFonts w:ascii="Meta Pro" w:eastAsia="Times New Roman" w:hAnsi="Meta Pro"/>
          <w:szCs w:val="18"/>
          <w:lang w:eastAsia="en-AU"/>
        </w:rPr>
      </w:pPr>
      <w:r w:rsidRPr="00092B22">
        <w:rPr>
          <w:rFonts w:ascii="Meta Pro" w:eastAsia="Times New Roman" w:hAnsi="Meta Pro"/>
          <w:szCs w:val="18"/>
          <w:lang w:eastAsia="en-AU"/>
        </w:rPr>
        <w:t>The department continuously assesses the financial impacts of the COVID-19 pandemic, particularly in relation to fare revenue. The financial impact from reduced public transport patronage is estimated to cost the department $186</w:t>
      </w:r>
      <w:r>
        <w:rPr>
          <w:rFonts w:ascii="Meta Pro" w:eastAsia="Times New Roman" w:hAnsi="Meta Pro"/>
          <w:szCs w:val="18"/>
          <w:lang w:eastAsia="en-AU"/>
        </w:rPr>
        <w:t>.0</w:t>
      </w:r>
      <w:r w:rsidRPr="00092B22">
        <w:rPr>
          <w:rFonts w:ascii="Meta Pro" w:eastAsia="Times New Roman" w:hAnsi="Meta Pro"/>
          <w:szCs w:val="18"/>
          <w:lang w:eastAsia="en-AU"/>
        </w:rPr>
        <w:t xml:space="preserve">m in </w:t>
      </w:r>
    </w:p>
    <w:p w14:paraId="4EEF51F8" w14:textId="77777777" w:rsidR="007269AD" w:rsidRPr="00092B22" w:rsidRDefault="007269AD" w:rsidP="007269AD">
      <w:pPr>
        <w:rPr>
          <w:rFonts w:ascii="Meta Pro" w:eastAsia="Times New Roman" w:hAnsi="Meta Pro"/>
          <w:szCs w:val="18"/>
          <w:lang w:eastAsia="en-AU"/>
        </w:rPr>
      </w:pPr>
      <w:r w:rsidRPr="00092B22">
        <w:rPr>
          <w:rFonts w:ascii="Meta Pro" w:eastAsia="Times New Roman" w:hAnsi="Meta Pro"/>
          <w:szCs w:val="18"/>
          <w:lang w:eastAsia="en-AU"/>
        </w:rPr>
        <w:t>2022 ($173</w:t>
      </w:r>
      <w:r>
        <w:rPr>
          <w:rFonts w:ascii="Meta Pro" w:eastAsia="Times New Roman" w:hAnsi="Meta Pro"/>
          <w:szCs w:val="18"/>
          <w:lang w:eastAsia="en-AU"/>
        </w:rPr>
        <w:t>.0</w:t>
      </w:r>
      <w:r w:rsidRPr="00092B22">
        <w:rPr>
          <w:rFonts w:ascii="Meta Pro" w:eastAsia="Times New Roman" w:hAnsi="Meta Pro"/>
          <w:szCs w:val="18"/>
          <w:lang w:eastAsia="en-AU"/>
        </w:rPr>
        <w:t>m in 2021) compared to the pre-pandemic level.</w:t>
      </w:r>
    </w:p>
    <w:p w14:paraId="7F959D19" w14:textId="77777777" w:rsidR="007269AD" w:rsidRPr="00092B22" w:rsidRDefault="007269AD" w:rsidP="007269AD">
      <w:pPr>
        <w:rPr>
          <w:rFonts w:ascii="Meta Pro" w:eastAsia="Times New Roman" w:hAnsi="Meta Pro"/>
          <w:b/>
          <w:bCs/>
          <w:szCs w:val="18"/>
          <w:lang w:eastAsia="en-AU"/>
        </w:rPr>
      </w:pPr>
      <w:r w:rsidRPr="00092B22">
        <w:rPr>
          <w:rFonts w:ascii="Meta Pro" w:eastAsia="Times New Roman" w:hAnsi="Meta Pro"/>
          <w:b/>
          <w:bCs/>
          <w:szCs w:val="18"/>
          <w:lang w:eastAsia="en-AU"/>
        </w:rPr>
        <w:t>NEW AND REVISED ACCOUNTING STANDARDS</w:t>
      </w:r>
    </w:p>
    <w:p w14:paraId="163AE2BB" w14:textId="77777777" w:rsidR="006226F2" w:rsidRDefault="007269AD" w:rsidP="007269AD">
      <w:pPr>
        <w:spacing w:before="120"/>
        <w:rPr>
          <w:rFonts w:ascii="Meta Pro" w:eastAsia="Times New Roman" w:hAnsi="Meta Pro"/>
          <w:szCs w:val="18"/>
          <w:lang w:eastAsia="en-AU"/>
        </w:rPr>
      </w:pPr>
      <w:r w:rsidRPr="00092B22">
        <w:rPr>
          <w:rFonts w:ascii="Meta Pro" w:eastAsia="Times New Roman" w:hAnsi="Meta Pro"/>
          <w:szCs w:val="18"/>
          <w:lang w:eastAsia="en-AU"/>
        </w:rPr>
        <w:t>Australian Accounting Standards and Interpretations that have been issued or amended, but are not yet effective, have not been adopted by the department in accordance with Queensland Treasury policy.</w:t>
      </w:r>
    </w:p>
    <w:p w14:paraId="0E25C3D2" w14:textId="77777777" w:rsidR="006226F2" w:rsidRDefault="006226F2" w:rsidP="007269AD">
      <w:pPr>
        <w:spacing w:before="120"/>
        <w:rPr>
          <w:rFonts w:ascii="Meta Pro" w:eastAsia="Times New Roman" w:hAnsi="Meta Pro"/>
          <w:szCs w:val="18"/>
          <w:lang w:eastAsia="en-AU"/>
        </w:rPr>
      </w:pPr>
    </w:p>
    <w:p w14:paraId="4694C80F" w14:textId="77777777" w:rsidR="00956FBC" w:rsidRPr="00092B22" w:rsidRDefault="00956FBC" w:rsidP="00956FBC">
      <w:pPr>
        <w:spacing w:after="120" w:line="259" w:lineRule="auto"/>
        <w:rPr>
          <w:rFonts w:ascii="Meta Pro" w:hAnsi="Meta Pro"/>
          <w:b/>
          <w:bCs/>
          <w:lang w:eastAsia="en-AU"/>
        </w:rPr>
      </w:pPr>
      <w:r w:rsidRPr="00092B22">
        <w:rPr>
          <w:rFonts w:ascii="Meta Pro" w:hAnsi="Meta Pro"/>
          <w:b/>
          <w:bCs/>
          <w:lang w:eastAsia="en-AU"/>
        </w:rPr>
        <w:t>1</w:t>
      </w:r>
      <w:r w:rsidRPr="00092B22">
        <w:rPr>
          <w:rFonts w:ascii="Meta Pro" w:hAnsi="Meta Pro"/>
          <w:b/>
          <w:bCs/>
          <w:lang w:eastAsia="en-AU"/>
        </w:rPr>
        <w:tab/>
        <w:t>ACCOUNTING POLICIES AND BASIS FOR FINANCIAL STATEMENTS PREPARATION (continued)</w:t>
      </w:r>
    </w:p>
    <w:p w14:paraId="54CBBD3E" w14:textId="77777777" w:rsidR="00956FBC" w:rsidRPr="00092B22" w:rsidRDefault="00956FBC" w:rsidP="00956FBC">
      <w:pPr>
        <w:spacing w:before="120"/>
        <w:rPr>
          <w:rFonts w:ascii="Meta Pro" w:eastAsia="Times New Roman" w:hAnsi="Meta Pro"/>
          <w:b/>
          <w:bCs/>
          <w:szCs w:val="18"/>
          <w:lang w:eastAsia="en-AU"/>
        </w:rPr>
      </w:pPr>
      <w:r w:rsidRPr="00092B22">
        <w:rPr>
          <w:rFonts w:ascii="Meta Pro" w:eastAsia="Times New Roman" w:hAnsi="Meta Pro"/>
          <w:b/>
          <w:bCs/>
          <w:szCs w:val="18"/>
          <w:lang w:eastAsia="en-AU"/>
        </w:rPr>
        <w:t>CHANGE IN ACCOUNTING POLICY</w:t>
      </w:r>
    </w:p>
    <w:p w14:paraId="2727CC8A" w14:textId="77777777" w:rsidR="00956FBC" w:rsidRPr="00092B22" w:rsidRDefault="00956FBC" w:rsidP="00956FBC">
      <w:pPr>
        <w:spacing w:before="120"/>
        <w:rPr>
          <w:rFonts w:ascii="Meta Pro" w:eastAsia="Times New Roman" w:hAnsi="Meta Pro"/>
          <w:b/>
          <w:bCs/>
          <w:szCs w:val="18"/>
          <w:lang w:eastAsia="en-AU"/>
        </w:rPr>
      </w:pPr>
      <w:r w:rsidRPr="00092B22">
        <w:rPr>
          <w:rFonts w:ascii="Meta Pro" w:eastAsia="Times New Roman" w:hAnsi="Meta Pro"/>
          <w:b/>
          <w:bCs/>
          <w:szCs w:val="18"/>
          <w:lang w:eastAsia="en-AU"/>
        </w:rPr>
        <w:t>Configuration or customisation costs in cloud computing arrangement</w:t>
      </w:r>
      <w:r>
        <w:rPr>
          <w:rFonts w:ascii="Meta Pro" w:eastAsia="Times New Roman" w:hAnsi="Meta Pro"/>
          <w:b/>
          <w:bCs/>
          <w:szCs w:val="18"/>
          <w:lang w:eastAsia="en-AU"/>
        </w:rPr>
        <w:t>s</w:t>
      </w:r>
    </w:p>
    <w:p w14:paraId="3CDE9BE1" w14:textId="77777777" w:rsidR="00956FBC" w:rsidRPr="00092B22" w:rsidRDefault="00956FBC" w:rsidP="00956FBC">
      <w:pPr>
        <w:spacing w:before="120"/>
        <w:rPr>
          <w:rFonts w:ascii="Meta Pro" w:eastAsia="Times New Roman" w:hAnsi="Meta Pro"/>
          <w:b/>
          <w:bCs/>
          <w:szCs w:val="18"/>
          <w:lang w:eastAsia="en-AU"/>
        </w:rPr>
      </w:pPr>
      <w:r w:rsidRPr="00092B22">
        <w:rPr>
          <w:rFonts w:ascii="Meta Pro" w:eastAsia="Times New Roman" w:hAnsi="Meta Pro"/>
          <w:szCs w:val="18"/>
          <w:lang w:eastAsia="en-AU"/>
        </w:rPr>
        <w:t>Following the issuance of the International Financial Reporting Interpretations Committee’s (IFRIC) agenda decision on Configuration or Customisation Costs in a Cloud Computing Arrangement in March 2021, the department has changed its accounting policy for certain cloud computing and software-as-a-service (SaaS) costs. The effects of these changes are detailed in Note 14 and Note 15.</w:t>
      </w:r>
    </w:p>
    <w:p w14:paraId="430EE719" w14:textId="77777777" w:rsidR="00956FBC" w:rsidRPr="00092B22" w:rsidRDefault="00956FBC" w:rsidP="00956FBC">
      <w:pPr>
        <w:spacing w:before="120"/>
        <w:rPr>
          <w:rFonts w:ascii="Meta Pro" w:eastAsia="Times New Roman" w:hAnsi="Meta Pro"/>
          <w:szCs w:val="18"/>
          <w:lang w:eastAsia="en-AU"/>
        </w:rPr>
      </w:pPr>
      <w:r w:rsidRPr="00092B22">
        <w:rPr>
          <w:rFonts w:ascii="Meta Pro" w:eastAsia="Times New Roman" w:hAnsi="Meta Pro"/>
          <w:szCs w:val="18"/>
          <w:lang w:eastAsia="en-AU"/>
        </w:rPr>
        <w:t>In completing the analysis of previously capitalised software the department must demonstrate control of the asset by</w:t>
      </w:r>
      <w:r>
        <w:rPr>
          <w:rFonts w:ascii="Meta Pro" w:eastAsia="Times New Roman" w:hAnsi="Meta Pro"/>
          <w:szCs w:val="18"/>
          <w:lang w:eastAsia="en-AU"/>
        </w:rPr>
        <w:t xml:space="preserve"> </w:t>
      </w:r>
      <w:r w:rsidRPr="00092B22">
        <w:rPr>
          <w:rFonts w:ascii="Meta Pro" w:eastAsia="Times New Roman" w:hAnsi="Meta Pro"/>
          <w:szCs w:val="18"/>
          <w:lang w:eastAsia="en-AU"/>
        </w:rPr>
        <w:t>0btaining economic benefits from the software a</w:t>
      </w:r>
      <w:r>
        <w:rPr>
          <w:rFonts w:ascii="Meta Pro" w:eastAsia="Times New Roman" w:hAnsi="Meta Pro"/>
          <w:szCs w:val="18"/>
          <w:lang w:eastAsia="en-AU"/>
        </w:rPr>
        <w:t xml:space="preserve">nd </w:t>
      </w:r>
      <w:r w:rsidRPr="00092B22">
        <w:rPr>
          <w:rFonts w:ascii="Meta Pro" w:eastAsia="Times New Roman" w:hAnsi="Meta Pro"/>
          <w:szCs w:val="18"/>
          <w:lang w:eastAsia="en-AU"/>
        </w:rPr>
        <w:t>the ability to restrict access of others.</w:t>
      </w:r>
    </w:p>
    <w:p w14:paraId="2DC47430" w14:textId="77777777" w:rsidR="00956FBC" w:rsidRPr="00092B22" w:rsidRDefault="00956FBC" w:rsidP="00956FBC">
      <w:pPr>
        <w:spacing w:before="120"/>
        <w:rPr>
          <w:rFonts w:ascii="Meta Pro" w:eastAsia="Times New Roman" w:hAnsi="Meta Pro"/>
          <w:szCs w:val="18"/>
          <w:lang w:eastAsia="en-AU"/>
        </w:rPr>
      </w:pPr>
      <w:r w:rsidRPr="00092B22">
        <w:rPr>
          <w:rFonts w:ascii="Meta Pro" w:eastAsia="Times New Roman" w:hAnsi="Meta Pro"/>
          <w:szCs w:val="18"/>
          <w:lang w:eastAsia="en-AU"/>
        </w:rPr>
        <w:t>Where there is no control, configuration and customisation costs do not qualify as an intangible asset</w:t>
      </w:r>
      <w:r>
        <w:rPr>
          <w:rFonts w:ascii="Meta Pro" w:eastAsia="Times New Roman" w:hAnsi="Meta Pro"/>
          <w:szCs w:val="18"/>
          <w:lang w:eastAsia="en-AU"/>
        </w:rPr>
        <w:t xml:space="preserve"> and are further assessed as to the appropriate timing of expense recognition using the following criteria:</w:t>
      </w:r>
    </w:p>
    <w:p w14:paraId="64AA2190" w14:textId="77777777" w:rsidR="00956FBC" w:rsidRPr="00092B22" w:rsidRDefault="00956FBC" w:rsidP="00956FBC">
      <w:pPr>
        <w:rPr>
          <w:rFonts w:ascii="Meta Pro" w:eastAsia="Times New Roman" w:hAnsi="Meta Pro"/>
          <w:szCs w:val="18"/>
          <w:lang w:eastAsia="en-AU"/>
        </w:rPr>
      </w:pPr>
      <w:r w:rsidRPr="00092B22">
        <w:rPr>
          <w:rFonts w:ascii="Meta Pro" w:eastAsia="Times New Roman" w:hAnsi="Meta Pro"/>
          <w:szCs w:val="18"/>
          <w:lang w:eastAsia="en-AU"/>
        </w:rPr>
        <w:t xml:space="preserve">•  </w:t>
      </w:r>
      <w:r>
        <w:rPr>
          <w:rFonts w:ascii="Meta Pro" w:eastAsia="Times New Roman" w:hAnsi="Meta Pro"/>
          <w:szCs w:val="18"/>
          <w:lang w:eastAsia="en-AU"/>
        </w:rPr>
        <w:t>W</w:t>
      </w:r>
      <w:r w:rsidRPr="00092B22">
        <w:rPr>
          <w:rFonts w:ascii="Meta Pro" w:eastAsia="Times New Roman" w:hAnsi="Meta Pro"/>
          <w:szCs w:val="18"/>
          <w:lang w:eastAsia="en-AU"/>
        </w:rPr>
        <w:t xml:space="preserve">here the configuration or customisation is considered as </w:t>
      </w:r>
      <w:r>
        <w:rPr>
          <w:rFonts w:ascii="Meta Pro" w:eastAsia="Times New Roman" w:hAnsi="Meta Pro"/>
          <w:szCs w:val="18"/>
          <w:lang w:eastAsia="en-AU"/>
        </w:rPr>
        <w:t xml:space="preserve">a </w:t>
      </w:r>
      <w:r w:rsidRPr="00092B22">
        <w:rPr>
          <w:rFonts w:ascii="Meta Pro" w:eastAsia="Times New Roman" w:hAnsi="Meta Pro"/>
          <w:szCs w:val="18"/>
          <w:lang w:eastAsia="en-AU"/>
        </w:rPr>
        <w:t>distinct</w:t>
      </w:r>
      <w:r>
        <w:rPr>
          <w:rFonts w:ascii="Meta Pro" w:eastAsia="Times New Roman" w:hAnsi="Meta Pro"/>
          <w:szCs w:val="18"/>
          <w:lang w:eastAsia="en-AU"/>
        </w:rPr>
        <w:t xml:space="preserve">, </w:t>
      </w:r>
      <w:r w:rsidRPr="00092B22">
        <w:rPr>
          <w:rFonts w:ascii="Meta Pro" w:eastAsia="Times New Roman" w:hAnsi="Meta Pro"/>
          <w:szCs w:val="18"/>
          <w:lang w:eastAsia="en-AU"/>
        </w:rPr>
        <w:t>separately identifiable</w:t>
      </w:r>
      <w:r>
        <w:rPr>
          <w:rFonts w:ascii="Meta Pro" w:eastAsia="Times New Roman" w:hAnsi="Meta Pro"/>
          <w:szCs w:val="18"/>
          <w:lang w:eastAsia="en-AU"/>
        </w:rPr>
        <w:t xml:space="preserve">, </w:t>
      </w:r>
      <w:r w:rsidRPr="00092B22">
        <w:rPr>
          <w:rFonts w:ascii="Meta Pro" w:eastAsia="Times New Roman" w:hAnsi="Meta Pro"/>
          <w:szCs w:val="18"/>
          <w:lang w:eastAsia="en-AU"/>
        </w:rPr>
        <w:t>service from the</w:t>
      </w:r>
    </w:p>
    <w:p w14:paraId="6DD68021" w14:textId="77777777" w:rsidR="00956FBC" w:rsidRPr="00092B22" w:rsidRDefault="00956FBC" w:rsidP="00956FBC">
      <w:pPr>
        <w:rPr>
          <w:rFonts w:ascii="Meta Pro" w:eastAsia="Times New Roman" w:hAnsi="Meta Pro"/>
          <w:szCs w:val="18"/>
          <w:lang w:eastAsia="en-AU"/>
        </w:rPr>
      </w:pPr>
      <w:r w:rsidRPr="00092B22">
        <w:rPr>
          <w:rFonts w:ascii="Meta Pro" w:eastAsia="Times New Roman" w:hAnsi="Meta Pro"/>
          <w:szCs w:val="18"/>
          <w:lang w:eastAsia="en-AU"/>
        </w:rPr>
        <w:t xml:space="preserve">    subsequent access to the cloud software, the costs are expensed when the configuration or customisation received.</w:t>
      </w:r>
    </w:p>
    <w:p w14:paraId="58FE64A1" w14:textId="77777777" w:rsidR="00956FBC" w:rsidRPr="00092B22" w:rsidRDefault="00956FBC" w:rsidP="00956FBC">
      <w:pPr>
        <w:rPr>
          <w:rFonts w:ascii="Meta Pro" w:eastAsia="Times New Roman" w:hAnsi="Meta Pro"/>
          <w:szCs w:val="18"/>
          <w:lang w:eastAsia="en-AU"/>
        </w:rPr>
      </w:pPr>
      <w:r w:rsidRPr="00092B22">
        <w:rPr>
          <w:rFonts w:ascii="Meta Pro" w:eastAsia="Times New Roman" w:hAnsi="Meta Pro"/>
          <w:szCs w:val="18"/>
          <w:lang w:eastAsia="en-AU"/>
        </w:rPr>
        <w:t xml:space="preserve">• </w:t>
      </w:r>
      <w:r>
        <w:rPr>
          <w:rFonts w:ascii="Meta Pro" w:eastAsia="Times New Roman" w:hAnsi="Meta Pro"/>
          <w:szCs w:val="18"/>
          <w:lang w:eastAsia="en-AU"/>
        </w:rPr>
        <w:t>W</w:t>
      </w:r>
      <w:r w:rsidRPr="00092B22">
        <w:rPr>
          <w:rFonts w:ascii="Meta Pro" w:eastAsia="Times New Roman" w:hAnsi="Meta Pro"/>
          <w:szCs w:val="18"/>
          <w:lang w:eastAsia="en-AU"/>
        </w:rPr>
        <w:t xml:space="preserve">here the configuration or customisation is not a distinct service from the department's right </w:t>
      </w:r>
      <w:r>
        <w:rPr>
          <w:rFonts w:ascii="Meta Pro" w:eastAsia="Times New Roman" w:hAnsi="Meta Pro"/>
          <w:szCs w:val="18"/>
          <w:lang w:eastAsia="en-AU"/>
        </w:rPr>
        <w:t>to</w:t>
      </w:r>
      <w:r w:rsidRPr="00092B22">
        <w:rPr>
          <w:rFonts w:ascii="Meta Pro" w:eastAsia="Times New Roman" w:hAnsi="Meta Pro"/>
          <w:szCs w:val="18"/>
          <w:lang w:eastAsia="en-AU"/>
        </w:rPr>
        <w:t xml:space="preserve"> access the software, the</w:t>
      </w:r>
    </w:p>
    <w:p w14:paraId="32674B08" w14:textId="77777777" w:rsidR="00956FBC" w:rsidRPr="00092B22" w:rsidRDefault="00956FBC" w:rsidP="00956FBC">
      <w:pPr>
        <w:rPr>
          <w:rFonts w:ascii="Meta Pro" w:eastAsia="Times New Roman" w:hAnsi="Meta Pro"/>
          <w:szCs w:val="18"/>
          <w:lang w:eastAsia="en-AU"/>
        </w:rPr>
      </w:pPr>
      <w:r w:rsidRPr="00092B22">
        <w:rPr>
          <w:rFonts w:ascii="Meta Pro" w:eastAsia="Times New Roman" w:hAnsi="Meta Pro"/>
          <w:szCs w:val="18"/>
          <w:lang w:eastAsia="en-AU"/>
        </w:rPr>
        <w:t xml:space="preserve">   costs are expensed over the period of access on a straight-line basis. A prepayment asset is recognised when the</w:t>
      </w:r>
    </w:p>
    <w:p w14:paraId="3FB643E1" w14:textId="77777777" w:rsidR="00956FBC" w:rsidRPr="00092B22" w:rsidRDefault="00956FBC" w:rsidP="00956FBC">
      <w:pPr>
        <w:rPr>
          <w:rFonts w:ascii="Meta Pro" w:eastAsia="Times New Roman" w:hAnsi="Meta Pro"/>
          <w:szCs w:val="18"/>
          <w:lang w:eastAsia="en-AU"/>
        </w:rPr>
      </w:pPr>
      <w:r w:rsidRPr="00092B22">
        <w:rPr>
          <w:rFonts w:ascii="Meta Pro" w:eastAsia="Times New Roman" w:hAnsi="Meta Pro"/>
          <w:szCs w:val="18"/>
          <w:lang w:eastAsia="en-AU"/>
        </w:rPr>
        <w:lastRenderedPageBreak/>
        <w:t xml:space="preserve">   payment is made upfront. </w:t>
      </w:r>
    </w:p>
    <w:p w14:paraId="4E56DDA3" w14:textId="77777777" w:rsidR="00956FBC" w:rsidRPr="00092B22" w:rsidRDefault="00956FBC" w:rsidP="00956FBC">
      <w:pPr>
        <w:spacing w:before="120"/>
        <w:rPr>
          <w:rFonts w:ascii="Meta Pro" w:eastAsia="Times New Roman" w:hAnsi="Meta Pro"/>
          <w:szCs w:val="18"/>
          <w:lang w:eastAsia="en-AU"/>
        </w:rPr>
      </w:pPr>
      <w:r w:rsidRPr="00092B22">
        <w:rPr>
          <w:rFonts w:ascii="Meta Pro" w:eastAsia="Times New Roman" w:hAnsi="Meta Pro"/>
          <w:szCs w:val="18"/>
          <w:lang w:eastAsia="en-AU"/>
        </w:rPr>
        <w:t>Changes have been applied retrospectively with an adjustment to comparative opening balances as at 1 July 2020. However, a separate statement of financial position as at 1 July 2020 is not provided because the overall impact of these changes is not considered material.</w:t>
      </w:r>
    </w:p>
    <w:p w14:paraId="75819A51" w14:textId="77777777" w:rsidR="00956FBC" w:rsidRPr="00092B22" w:rsidRDefault="00956FBC" w:rsidP="00956FBC">
      <w:pPr>
        <w:spacing w:before="120"/>
        <w:rPr>
          <w:rFonts w:ascii="Meta Pro" w:eastAsia="Times New Roman" w:hAnsi="Meta Pro"/>
          <w:szCs w:val="18"/>
          <w:lang w:eastAsia="en-AU"/>
        </w:rPr>
      </w:pPr>
      <w:r w:rsidRPr="00092B22">
        <w:rPr>
          <w:rFonts w:ascii="Meta Pro" w:eastAsia="Times New Roman" w:hAnsi="Meta Pro"/>
          <w:szCs w:val="18"/>
          <w:lang w:eastAsia="en-AU"/>
        </w:rPr>
        <w:t>The impacts are summarised in the table below:</w:t>
      </w:r>
    </w:p>
    <w:tbl>
      <w:tblPr>
        <w:tblW w:w="5888" w:type="dxa"/>
        <w:tblLook w:val="04A0" w:firstRow="1" w:lastRow="0" w:firstColumn="1" w:lastColumn="0" w:noHBand="0" w:noVBand="1"/>
      </w:tblPr>
      <w:tblGrid>
        <w:gridCol w:w="3344"/>
        <w:gridCol w:w="2544"/>
      </w:tblGrid>
      <w:tr w:rsidR="00E90679" w:rsidRPr="00E90679" w14:paraId="54B2A264" w14:textId="77777777" w:rsidTr="00E90679">
        <w:trPr>
          <w:trHeight w:hRule="exact" w:val="293"/>
        </w:trPr>
        <w:tc>
          <w:tcPr>
            <w:tcW w:w="334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F34A099" w14:textId="77777777" w:rsidR="00E90679" w:rsidRPr="00E90679" w:rsidRDefault="00E90679" w:rsidP="00E90679">
            <w:pPr>
              <w:spacing w:before="0" w:line="240" w:lineRule="auto"/>
              <w:rPr>
                <w:rFonts w:ascii="Meta Pro" w:eastAsia="Times New Roman" w:hAnsi="Meta Pro" w:cs="Calibri"/>
                <w:b/>
                <w:bCs/>
                <w:color w:val="000000"/>
                <w:szCs w:val="18"/>
                <w:lang w:eastAsia="en-AU"/>
              </w:rPr>
            </w:pPr>
            <w:r w:rsidRPr="00E90679">
              <w:rPr>
                <w:rFonts w:ascii="Meta Pro" w:eastAsia="Times New Roman" w:hAnsi="Meta Pro" w:cs="Calibri"/>
                <w:b/>
                <w:bCs/>
                <w:color w:val="000000"/>
                <w:szCs w:val="18"/>
                <w:lang w:eastAsia="en-AU"/>
              </w:rPr>
              <w:t>Category</w:t>
            </w:r>
          </w:p>
        </w:tc>
        <w:tc>
          <w:tcPr>
            <w:tcW w:w="2544" w:type="dxa"/>
            <w:tcBorders>
              <w:top w:val="single" w:sz="8" w:space="0" w:color="auto"/>
              <w:left w:val="nil"/>
              <w:bottom w:val="single" w:sz="8" w:space="0" w:color="auto"/>
              <w:right w:val="single" w:sz="8" w:space="0" w:color="auto"/>
            </w:tcBorders>
            <w:shd w:val="clear" w:color="auto" w:fill="auto"/>
            <w:vAlign w:val="center"/>
            <w:hideMark/>
          </w:tcPr>
          <w:p w14:paraId="5101FF79" w14:textId="77777777" w:rsidR="00E90679" w:rsidRPr="00E90679" w:rsidRDefault="00E90679" w:rsidP="00E90679">
            <w:pPr>
              <w:spacing w:before="0" w:line="240" w:lineRule="auto"/>
              <w:jc w:val="right"/>
              <w:rPr>
                <w:rFonts w:ascii="Meta Pro" w:eastAsia="Times New Roman" w:hAnsi="Meta Pro" w:cs="Calibri"/>
                <w:b/>
                <w:bCs/>
                <w:color w:val="000000"/>
                <w:szCs w:val="18"/>
                <w:lang w:eastAsia="en-AU"/>
              </w:rPr>
            </w:pPr>
            <w:r w:rsidRPr="00E90679">
              <w:rPr>
                <w:rFonts w:ascii="Meta Pro" w:eastAsia="Times New Roman" w:hAnsi="Meta Pro" w:cs="Calibri"/>
                <w:b/>
                <w:bCs/>
                <w:color w:val="000000"/>
                <w:szCs w:val="18"/>
                <w:lang w:eastAsia="en-AU"/>
              </w:rPr>
              <w:t>$'000</w:t>
            </w:r>
          </w:p>
        </w:tc>
      </w:tr>
      <w:tr w:rsidR="00E90679" w:rsidRPr="00E90679" w14:paraId="1A2CBF52" w14:textId="77777777" w:rsidTr="00E90679">
        <w:trPr>
          <w:trHeight w:hRule="exact" w:val="333"/>
        </w:trPr>
        <w:tc>
          <w:tcPr>
            <w:tcW w:w="3344" w:type="dxa"/>
            <w:tcBorders>
              <w:top w:val="nil"/>
              <w:left w:val="single" w:sz="8" w:space="0" w:color="auto"/>
              <w:bottom w:val="single" w:sz="8" w:space="0" w:color="auto"/>
              <w:right w:val="single" w:sz="8" w:space="0" w:color="auto"/>
            </w:tcBorders>
            <w:shd w:val="clear" w:color="auto" w:fill="auto"/>
            <w:vAlign w:val="center"/>
            <w:hideMark/>
          </w:tcPr>
          <w:p w14:paraId="640CC392" w14:textId="77777777" w:rsidR="00E90679" w:rsidRPr="00E90679" w:rsidRDefault="00E90679" w:rsidP="00E90679">
            <w:pPr>
              <w:spacing w:before="0" w:line="240" w:lineRule="auto"/>
              <w:rPr>
                <w:rFonts w:ascii="Meta Pro" w:eastAsia="Times New Roman" w:hAnsi="Meta Pro" w:cs="Calibri"/>
                <w:i/>
                <w:iCs/>
                <w:color w:val="000000"/>
                <w:szCs w:val="18"/>
                <w:lang w:eastAsia="en-AU"/>
              </w:rPr>
            </w:pPr>
            <w:r w:rsidRPr="00E90679">
              <w:rPr>
                <w:rFonts w:ascii="Meta Pro" w:eastAsia="Times New Roman" w:hAnsi="Meta Pro" w:cs="Calibri"/>
                <w:i/>
                <w:iCs/>
                <w:color w:val="000000"/>
                <w:szCs w:val="18"/>
                <w:lang w:eastAsia="en-AU"/>
              </w:rPr>
              <w:t>Impact on balances in 2020</w:t>
            </w:r>
            <w:r w:rsidRPr="00E90679">
              <w:rPr>
                <w:rFonts w:ascii="Meta Pro" w:eastAsia="Times New Roman" w:hAnsi="Meta Pro" w:cs="Calibri"/>
                <w:color w:val="000000"/>
                <w:szCs w:val="18"/>
                <w:lang w:eastAsia="en-AU"/>
              </w:rPr>
              <w:t>–</w:t>
            </w:r>
            <w:r w:rsidRPr="00E90679">
              <w:rPr>
                <w:rFonts w:ascii="Meta Pro" w:eastAsia="Times New Roman" w:hAnsi="Meta Pro" w:cs="Calibri"/>
                <w:i/>
                <w:iCs/>
                <w:color w:val="000000"/>
                <w:szCs w:val="18"/>
                <w:lang w:eastAsia="en-AU"/>
              </w:rPr>
              <w:t>21</w:t>
            </w:r>
          </w:p>
        </w:tc>
        <w:tc>
          <w:tcPr>
            <w:tcW w:w="2544" w:type="dxa"/>
            <w:tcBorders>
              <w:top w:val="nil"/>
              <w:left w:val="nil"/>
              <w:bottom w:val="single" w:sz="8" w:space="0" w:color="auto"/>
              <w:right w:val="single" w:sz="8" w:space="0" w:color="auto"/>
            </w:tcBorders>
            <w:shd w:val="clear" w:color="auto" w:fill="auto"/>
            <w:vAlign w:val="center"/>
            <w:hideMark/>
          </w:tcPr>
          <w:p w14:paraId="58B7B1CC" w14:textId="77777777" w:rsidR="00E90679" w:rsidRPr="00E90679" w:rsidRDefault="00E90679" w:rsidP="00E90679">
            <w:pPr>
              <w:spacing w:before="0" w:line="240" w:lineRule="auto"/>
              <w:jc w:val="center"/>
              <w:rPr>
                <w:rFonts w:ascii="Meta Pro" w:eastAsia="Times New Roman" w:hAnsi="Meta Pro" w:cs="Calibri"/>
                <w:b/>
                <w:bCs/>
                <w:color w:val="000000"/>
                <w:szCs w:val="18"/>
                <w:lang w:eastAsia="en-AU"/>
              </w:rPr>
            </w:pPr>
            <w:r w:rsidRPr="00E90679">
              <w:rPr>
                <w:rFonts w:ascii="Meta Pro" w:eastAsia="Times New Roman" w:hAnsi="Meta Pro" w:cs="Calibri"/>
                <w:b/>
                <w:bCs/>
                <w:color w:val="000000"/>
                <w:szCs w:val="18"/>
                <w:lang w:eastAsia="en-AU"/>
              </w:rPr>
              <w:t> </w:t>
            </w:r>
          </w:p>
        </w:tc>
      </w:tr>
      <w:tr w:rsidR="00E90679" w:rsidRPr="00E90679" w14:paraId="362A5195" w14:textId="77777777" w:rsidTr="00E90679">
        <w:trPr>
          <w:trHeight w:hRule="exact" w:val="281"/>
        </w:trPr>
        <w:tc>
          <w:tcPr>
            <w:tcW w:w="3344" w:type="dxa"/>
            <w:tcBorders>
              <w:top w:val="nil"/>
              <w:left w:val="single" w:sz="8" w:space="0" w:color="auto"/>
              <w:bottom w:val="single" w:sz="8" w:space="0" w:color="auto"/>
              <w:right w:val="single" w:sz="8" w:space="0" w:color="auto"/>
            </w:tcBorders>
            <w:shd w:val="clear" w:color="auto" w:fill="auto"/>
            <w:vAlign w:val="center"/>
            <w:hideMark/>
          </w:tcPr>
          <w:p w14:paraId="41B468F5" w14:textId="77777777" w:rsidR="00E90679" w:rsidRPr="00E90679" w:rsidRDefault="00E90679" w:rsidP="00E90679">
            <w:pPr>
              <w:spacing w:before="0" w:line="240" w:lineRule="auto"/>
              <w:rPr>
                <w:rFonts w:ascii="Meta Pro" w:eastAsia="Times New Roman" w:hAnsi="Meta Pro" w:cs="Calibri"/>
                <w:color w:val="000000"/>
                <w:szCs w:val="18"/>
                <w:lang w:eastAsia="en-AU"/>
              </w:rPr>
            </w:pPr>
            <w:r w:rsidRPr="00E90679">
              <w:rPr>
                <w:rFonts w:ascii="Meta Pro" w:eastAsia="Times New Roman" w:hAnsi="Meta Pro" w:cs="Calibri"/>
                <w:color w:val="000000"/>
                <w:szCs w:val="18"/>
                <w:lang w:eastAsia="en-AU"/>
              </w:rPr>
              <w:t>Intangible assets</w:t>
            </w:r>
          </w:p>
        </w:tc>
        <w:tc>
          <w:tcPr>
            <w:tcW w:w="2544" w:type="dxa"/>
            <w:tcBorders>
              <w:top w:val="nil"/>
              <w:left w:val="nil"/>
              <w:bottom w:val="single" w:sz="8" w:space="0" w:color="auto"/>
              <w:right w:val="single" w:sz="8" w:space="0" w:color="auto"/>
            </w:tcBorders>
            <w:shd w:val="clear" w:color="auto" w:fill="auto"/>
            <w:vAlign w:val="center"/>
            <w:hideMark/>
          </w:tcPr>
          <w:p w14:paraId="412B5360" w14:textId="77777777" w:rsidR="00E90679" w:rsidRPr="00E90679" w:rsidRDefault="00E90679" w:rsidP="00E90679">
            <w:pPr>
              <w:spacing w:before="0" w:line="240" w:lineRule="auto"/>
              <w:jc w:val="right"/>
              <w:rPr>
                <w:rFonts w:ascii="Meta Pro" w:eastAsia="Times New Roman" w:hAnsi="Meta Pro" w:cs="Calibri"/>
                <w:color w:val="000000"/>
                <w:szCs w:val="18"/>
                <w:lang w:eastAsia="en-AU"/>
              </w:rPr>
            </w:pPr>
            <w:r w:rsidRPr="00E90679">
              <w:rPr>
                <w:rFonts w:ascii="Meta Pro" w:eastAsia="Times New Roman" w:hAnsi="Meta Pro" w:cs="Calibri"/>
                <w:color w:val="FF0000"/>
                <w:szCs w:val="18"/>
                <w:lang w:eastAsia="en-AU"/>
              </w:rPr>
              <w:t>-$141,217</w:t>
            </w:r>
          </w:p>
        </w:tc>
      </w:tr>
      <w:tr w:rsidR="00E90679" w:rsidRPr="00E90679" w14:paraId="2899551B" w14:textId="77777777" w:rsidTr="00E90679">
        <w:trPr>
          <w:trHeight w:hRule="exact" w:val="285"/>
        </w:trPr>
        <w:tc>
          <w:tcPr>
            <w:tcW w:w="3344" w:type="dxa"/>
            <w:tcBorders>
              <w:top w:val="nil"/>
              <w:left w:val="single" w:sz="8" w:space="0" w:color="auto"/>
              <w:bottom w:val="single" w:sz="8" w:space="0" w:color="auto"/>
              <w:right w:val="single" w:sz="8" w:space="0" w:color="auto"/>
            </w:tcBorders>
            <w:shd w:val="clear" w:color="auto" w:fill="auto"/>
            <w:vAlign w:val="center"/>
            <w:hideMark/>
          </w:tcPr>
          <w:p w14:paraId="10889474" w14:textId="77777777" w:rsidR="00E90679" w:rsidRPr="00E90679" w:rsidRDefault="00E90679" w:rsidP="00E90679">
            <w:pPr>
              <w:spacing w:before="0" w:line="240" w:lineRule="auto"/>
              <w:rPr>
                <w:rFonts w:ascii="Meta Pro" w:eastAsia="Times New Roman" w:hAnsi="Meta Pro" w:cs="Calibri"/>
                <w:color w:val="000000"/>
                <w:szCs w:val="18"/>
                <w:lang w:eastAsia="en-AU"/>
              </w:rPr>
            </w:pPr>
            <w:r w:rsidRPr="00E90679">
              <w:rPr>
                <w:rFonts w:ascii="Meta Pro" w:eastAsia="Times New Roman" w:hAnsi="Meta Pro" w:cs="Calibri"/>
                <w:color w:val="000000"/>
                <w:szCs w:val="18"/>
                <w:lang w:eastAsia="en-AU"/>
              </w:rPr>
              <w:t>Property, plant and equipment</w:t>
            </w:r>
          </w:p>
        </w:tc>
        <w:tc>
          <w:tcPr>
            <w:tcW w:w="2544" w:type="dxa"/>
            <w:tcBorders>
              <w:top w:val="nil"/>
              <w:left w:val="nil"/>
              <w:bottom w:val="single" w:sz="8" w:space="0" w:color="auto"/>
              <w:right w:val="single" w:sz="8" w:space="0" w:color="auto"/>
            </w:tcBorders>
            <w:shd w:val="clear" w:color="auto" w:fill="auto"/>
            <w:vAlign w:val="center"/>
            <w:hideMark/>
          </w:tcPr>
          <w:p w14:paraId="62B3D904" w14:textId="77777777" w:rsidR="00E90679" w:rsidRPr="00E90679" w:rsidRDefault="00E90679" w:rsidP="00E90679">
            <w:pPr>
              <w:spacing w:before="0" w:line="240" w:lineRule="auto"/>
              <w:jc w:val="right"/>
              <w:rPr>
                <w:rFonts w:ascii="Meta Pro" w:eastAsia="Times New Roman" w:hAnsi="Meta Pro" w:cs="Calibri"/>
                <w:color w:val="000000"/>
                <w:szCs w:val="18"/>
                <w:lang w:eastAsia="en-AU"/>
              </w:rPr>
            </w:pPr>
            <w:r w:rsidRPr="00E90679">
              <w:rPr>
                <w:rFonts w:ascii="Meta Pro" w:eastAsia="Times New Roman" w:hAnsi="Meta Pro" w:cs="Calibri"/>
                <w:color w:val="FF0000"/>
                <w:szCs w:val="18"/>
                <w:lang w:eastAsia="en-AU"/>
              </w:rPr>
              <w:t>-$54,207</w:t>
            </w:r>
          </w:p>
        </w:tc>
      </w:tr>
      <w:tr w:rsidR="00E90679" w:rsidRPr="00E90679" w14:paraId="2F70CFBD" w14:textId="77777777" w:rsidTr="00E90679">
        <w:trPr>
          <w:trHeight w:hRule="exact" w:val="293"/>
        </w:trPr>
        <w:tc>
          <w:tcPr>
            <w:tcW w:w="3344" w:type="dxa"/>
            <w:tcBorders>
              <w:top w:val="nil"/>
              <w:left w:val="single" w:sz="8" w:space="0" w:color="auto"/>
              <w:bottom w:val="single" w:sz="8" w:space="0" w:color="auto"/>
              <w:right w:val="single" w:sz="8" w:space="0" w:color="auto"/>
            </w:tcBorders>
            <w:shd w:val="clear" w:color="auto" w:fill="auto"/>
            <w:vAlign w:val="center"/>
            <w:hideMark/>
          </w:tcPr>
          <w:p w14:paraId="1D62C0CE" w14:textId="77777777" w:rsidR="00E90679" w:rsidRPr="00E90679" w:rsidRDefault="00E90679" w:rsidP="00E90679">
            <w:pPr>
              <w:spacing w:before="0" w:line="240" w:lineRule="auto"/>
              <w:rPr>
                <w:rFonts w:ascii="Meta Pro" w:eastAsia="Times New Roman" w:hAnsi="Meta Pro" w:cs="Calibri"/>
                <w:color w:val="000000"/>
                <w:szCs w:val="18"/>
                <w:lang w:eastAsia="en-AU"/>
              </w:rPr>
            </w:pPr>
            <w:r w:rsidRPr="00E90679">
              <w:rPr>
                <w:rFonts w:ascii="Meta Pro" w:eastAsia="Times New Roman" w:hAnsi="Meta Pro" w:cs="Calibri"/>
                <w:color w:val="000000"/>
                <w:szCs w:val="18"/>
                <w:lang w:eastAsia="en-AU"/>
              </w:rPr>
              <w:t>Prepayments</w:t>
            </w:r>
          </w:p>
        </w:tc>
        <w:tc>
          <w:tcPr>
            <w:tcW w:w="2544" w:type="dxa"/>
            <w:tcBorders>
              <w:top w:val="nil"/>
              <w:left w:val="nil"/>
              <w:bottom w:val="single" w:sz="8" w:space="0" w:color="auto"/>
              <w:right w:val="single" w:sz="8" w:space="0" w:color="auto"/>
            </w:tcBorders>
            <w:shd w:val="clear" w:color="auto" w:fill="auto"/>
            <w:vAlign w:val="center"/>
            <w:hideMark/>
          </w:tcPr>
          <w:p w14:paraId="708B6A10" w14:textId="77777777" w:rsidR="00E90679" w:rsidRPr="00E90679" w:rsidRDefault="00E90679" w:rsidP="00E90679">
            <w:pPr>
              <w:spacing w:before="0" w:line="240" w:lineRule="auto"/>
              <w:jc w:val="right"/>
              <w:rPr>
                <w:rFonts w:ascii="Meta Pro" w:eastAsia="Times New Roman" w:hAnsi="Meta Pro" w:cs="Calibri"/>
                <w:color w:val="000000"/>
                <w:szCs w:val="18"/>
                <w:lang w:eastAsia="en-AU"/>
              </w:rPr>
            </w:pPr>
            <w:r w:rsidRPr="00E90679">
              <w:rPr>
                <w:rFonts w:ascii="Meta Pro" w:eastAsia="Times New Roman" w:hAnsi="Meta Pro" w:cs="Calibri"/>
                <w:color w:val="000000"/>
                <w:szCs w:val="18"/>
                <w:lang w:eastAsia="en-AU"/>
              </w:rPr>
              <w:t>$21,916</w:t>
            </w:r>
          </w:p>
        </w:tc>
      </w:tr>
      <w:tr w:rsidR="00E90679" w:rsidRPr="00E90679" w14:paraId="25A1CBE0" w14:textId="77777777" w:rsidTr="00E90679">
        <w:trPr>
          <w:trHeight w:hRule="exact" w:val="269"/>
        </w:trPr>
        <w:tc>
          <w:tcPr>
            <w:tcW w:w="3344" w:type="dxa"/>
            <w:tcBorders>
              <w:top w:val="nil"/>
              <w:left w:val="single" w:sz="8" w:space="0" w:color="auto"/>
              <w:bottom w:val="single" w:sz="8" w:space="0" w:color="auto"/>
              <w:right w:val="single" w:sz="8" w:space="0" w:color="auto"/>
            </w:tcBorders>
            <w:shd w:val="clear" w:color="auto" w:fill="auto"/>
            <w:vAlign w:val="center"/>
            <w:hideMark/>
          </w:tcPr>
          <w:p w14:paraId="15DE5D1B" w14:textId="77777777" w:rsidR="00E90679" w:rsidRPr="00E90679" w:rsidRDefault="00E90679" w:rsidP="00E90679">
            <w:pPr>
              <w:spacing w:before="0" w:line="240" w:lineRule="auto"/>
              <w:rPr>
                <w:rFonts w:ascii="Meta Pro" w:eastAsia="Times New Roman" w:hAnsi="Meta Pro" w:cs="Calibri"/>
                <w:color w:val="000000"/>
                <w:szCs w:val="18"/>
                <w:lang w:eastAsia="en-AU"/>
              </w:rPr>
            </w:pPr>
            <w:r w:rsidRPr="00E90679">
              <w:rPr>
                <w:rFonts w:ascii="Meta Pro" w:eastAsia="Times New Roman" w:hAnsi="Meta Pro" w:cs="Calibri"/>
                <w:color w:val="000000"/>
                <w:szCs w:val="18"/>
                <w:lang w:eastAsia="en-AU"/>
              </w:rPr>
              <w:t>Accumulated Surplus</w:t>
            </w:r>
          </w:p>
        </w:tc>
        <w:tc>
          <w:tcPr>
            <w:tcW w:w="2544" w:type="dxa"/>
            <w:tcBorders>
              <w:top w:val="nil"/>
              <w:left w:val="nil"/>
              <w:bottom w:val="single" w:sz="8" w:space="0" w:color="auto"/>
              <w:right w:val="single" w:sz="8" w:space="0" w:color="auto"/>
            </w:tcBorders>
            <w:shd w:val="clear" w:color="auto" w:fill="auto"/>
            <w:vAlign w:val="center"/>
            <w:hideMark/>
          </w:tcPr>
          <w:p w14:paraId="0EA68750" w14:textId="77777777" w:rsidR="00E90679" w:rsidRPr="00E90679" w:rsidRDefault="00E90679" w:rsidP="00E90679">
            <w:pPr>
              <w:spacing w:before="0" w:line="240" w:lineRule="auto"/>
              <w:jc w:val="right"/>
              <w:rPr>
                <w:rFonts w:ascii="Meta Pro" w:eastAsia="Times New Roman" w:hAnsi="Meta Pro" w:cs="Calibri"/>
                <w:color w:val="000000"/>
                <w:szCs w:val="18"/>
                <w:lang w:eastAsia="en-AU"/>
              </w:rPr>
            </w:pPr>
            <w:r w:rsidRPr="00E90679">
              <w:rPr>
                <w:rFonts w:ascii="Meta Pro" w:eastAsia="Times New Roman" w:hAnsi="Meta Pro" w:cs="Calibri"/>
                <w:color w:val="FF0000"/>
                <w:szCs w:val="18"/>
                <w:lang w:eastAsia="en-AU"/>
              </w:rPr>
              <w:t>-$173,508</w:t>
            </w:r>
          </w:p>
        </w:tc>
      </w:tr>
      <w:tr w:rsidR="00E90679" w:rsidRPr="00E90679" w14:paraId="46940180" w14:textId="77777777" w:rsidTr="00E90679">
        <w:trPr>
          <w:trHeight w:hRule="exact" w:val="293"/>
        </w:trPr>
        <w:tc>
          <w:tcPr>
            <w:tcW w:w="3344" w:type="dxa"/>
            <w:tcBorders>
              <w:top w:val="nil"/>
              <w:left w:val="single" w:sz="8" w:space="0" w:color="auto"/>
              <w:bottom w:val="single" w:sz="8" w:space="0" w:color="auto"/>
              <w:right w:val="single" w:sz="8" w:space="0" w:color="auto"/>
            </w:tcBorders>
            <w:shd w:val="clear" w:color="auto" w:fill="auto"/>
            <w:vAlign w:val="center"/>
            <w:hideMark/>
          </w:tcPr>
          <w:p w14:paraId="4B17129C" w14:textId="77777777" w:rsidR="00E90679" w:rsidRPr="00E90679" w:rsidRDefault="00E90679" w:rsidP="00E90679">
            <w:pPr>
              <w:spacing w:before="0" w:line="240" w:lineRule="auto"/>
              <w:rPr>
                <w:rFonts w:ascii="Meta Pro" w:eastAsia="Times New Roman" w:hAnsi="Meta Pro" w:cs="Calibri"/>
                <w:color w:val="000000"/>
                <w:szCs w:val="18"/>
                <w:lang w:eastAsia="en-AU"/>
              </w:rPr>
            </w:pPr>
            <w:r w:rsidRPr="00E90679">
              <w:rPr>
                <w:rFonts w:ascii="Meta Pro" w:eastAsia="Times New Roman" w:hAnsi="Meta Pro" w:cs="Calibri"/>
                <w:color w:val="000000"/>
                <w:szCs w:val="18"/>
                <w:lang w:eastAsia="en-AU"/>
              </w:rPr>
              <w:t> </w:t>
            </w:r>
          </w:p>
        </w:tc>
        <w:tc>
          <w:tcPr>
            <w:tcW w:w="2544" w:type="dxa"/>
            <w:tcBorders>
              <w:top w:val="nil"/>
              <w:left w:val="nil"/>
              <w:bottom w:val="single" w:sz="8" w:space="0" w:color="auto"/>
              <w:right w:val="single" w:sz="8" w:space="0" w:color="auto"/>
            </w:tcBorders>
            <w:shd w:val="clear" w:color="auto" w:fill="auto"/>
            <w:vAlign w:val="center"/>
            <w:hideMark/>
          </w:tcPr>
          <w:p w14:paraId="4F31DA64" w14:textId="77777777" w:rsidR="00E90679" w:rsidRPr="00E90679" w:rsidRDefault="00E90679" w:rsidP="00E90679">
            <w:pPr>
              <w:spacing w:before="0" w:line="240" w:lineRule="auto"/>
              <w:rPr>
                <w:rFonts w:ascii="Meta Pro" w:eastAsia="Times New Roman" w:hAnsi="Meta Pro" w:cs="Calibri"/>
                <w:color w:val="000000"/>
                <w:szCs w:val="18"/>
                <w:lang w:eastAsia="en-AU"/>
              </w:rPr>
            </w:pPr>
            <w:r w:rsidRPr="00E90679">
              <w:rPr>
                <w:rFonts w:ascii="Meta Pro" w:eastAsia="Times New Roman" w:hAnsi="Meta Pro" w:cs="Calibri"/>
                <w:color w:val="000000"/>
                <w:szCs w:val="18"/>
                <w:lang w:eastAsia="en-AU"/>
              </w:rPr>
              <w:t> </w:t>
            </w:r>
          </w:p>
        </w:tc>
      </w:tr>
      <w:tr w:rsidR="00E90679" w:rsidRPr="00E90679" w14:paraId="775C1A64" w14:textId="77777777" w:rsidTr="00E90679">
        <w:trPr>
          <w:trHeight w:hRule="exact" w:val="273"/>
        </w:trPr>
        <w:tc>
          <w:tcPr>
            <w:tcW w:w="3344" w:type="dxa"/>
            <w:tcBorders>
              <w:top w:val="nil"/>
              <w:left w:val="single" w:sz="8" w:space="0" w:color="auto"/>
              <w:bottom w:val="single" w:sz="8" w:space="0" w:color="auto"/>
              <w:right w:val="single" w:sz="8" w:space="0" w:color="auto"/>
            </w:tcBorders>
            <w:shd w:val="clear" w:color="auto" w:fill="auto"/>
            <w:vAlign w:val="center"/>
            <w:hideMark/>
          </w:tcPr>
          <w:p w14:paraId="370A56CE" w14:textId="77777777" w:rsidR="00E90679" w:rsidRPr="00E90679" w:rsidRDefault="00E90679" w:rsidP="00E90679">
            <w:pPr>
              <w:spacing w:before="0" w:line="240" w:lineRule="auto"/>
              <w:rPr>
                <w:rFonts w:ascii="Meta Pro" w:eastAsia="Times New Roman" w:hAnsi="Meta Pro" w:cs="Calibri"/>
                <w:i/>
                <w:iCs/>
                <w:color w:val="000000"/>
                <w:szCs w:val="18"/>
                <w:lang w:eastAsia="en-AU"/>
              </w:rPr>
            </w:pPr>
            <w:r w:rsidRPr="00E90679">
              <w:rPr>
                <w:rFonts w:ascii="Meta Pro" w:eastAsia="Times New Roman" w:hAnsi="Meta Pro" w:cs="Calibri"/>
                <w:i/>
                <w:iCs/>
                <w:color w:val="000000"/>
                <w:szCs w:val="18"/>
                <w:lang w:eastAsia="en-AU"/>
              </w:rPr>
              <w:t>Revenue and expenses for 2020</w:t>
            </w:r>
            <w:r w:rsidRPr="00E90679">
              <w:rPr>
                <w:rFonts w:ascii="Meta Pro" w:eastAsia="Times New Roman" w:hAnsi="Meta Pro" w:cs="Calibri"/>
                <w:color w:val="000000"/>
                <w:szCs w:val="18"/>
                <w:lang w:eastAsia="en-AU"/>
              </w:rPr>
              <w:t>–</w:t>
            </w:r>
            <w:r w:rsidRPr="00E90679">
              <w:rPr>
                <w:rFonts w:ascii="Meta Pro" w:eastAsia="Times New Roman" w:hAnsi="Meta Pro" w:cs="Calibri"/>
                <w:i/>
                <w:iCs/>
                <w:color w:val="000000"/>
                <w:szCs w:val="18"/>
                <w:lang w:eastAsia="en-AU"/>
              </w:rPr>
              <w:t>21</w:t>
            </w:r>
          </w:p>
        </w:tc>
        <w:tc>
          <w:tcPr>
            <w:tcW w:w="2544" w:type="dxa"/>
            <w:tcBorders>
              <w:top w:val="nil"/>
              <w:left w:val="nil"/>
              <w:bottom w:val="single" w:sz="8" w:space="0" w:color="auto"/>
              <w:right w:val="single" w:sz="8" w:space="0" w:color="auto"/>
            </w:tcBorders>
            <w:shd w:val="clear" w:color="auto" w:fill="auto"/>
            <w:vAlign w:val="center"/>
            <w:hideMark/>
          </w:tcPr>
          <w:p w14:paraId="22B0E55E" w14:textId="77777777" w:rsidR="00E90679" w:rsidRPr="00E90679" w:rsidRDefault="00E90679" w:rsidP="00E90679">
            <w:pPr>
              <w:spacing w:before="0" w:line="240" w:lineRule="auto"/>
              <w:rPr>
                <w:rFonts w:ascii="Meta Pro" w:eastAsia="Times New Roman" w:hAnsi="Meta Pro" w:cs="Calibri"/>
                <w:color w:val="000000"/>
                <w:szCs w:val="18"/>
                <w:lang w:eastAsia="en-AU"/>
              </w:rPr>
            </w:pPr>
            <w:r w:rsidRPr="00E90679">
              <w:rPr>
                <w:rFonts w:ascii="Meta Pro" w:eastAsia="Times New Roman" w:hAnsi="Meta Pro" w:cs="Calibri"/>
                <w:color w:val="000000"/>
                <w:szCs w:val="18"/>
                <w:lang w:eastAsia="en-AU"/>
              </w:rPr>
              <w:t> </w:t>
            </w:r>
          </w:p>
        </w:tc>
      </w:tr>
      <w:tr w:rsidR="00E90679" w:rsidRPr="00E90679" w14:paraId="0F10B671" w14:textId="77777777" w:rsidTr="00E90679">
        <w:trPr>
          <w:trHeight w:hRule="exact" w:val="291"/>
        </w:trPr>
        <w:tc>
          <w:tcPr>
            <w:tcW w:w="3344" w:type="dxa"/>
            <w:tcBorders>
              <w:top w:val="nil"/>
              <w:left w:val="single" w:sz="8" w:space="0" w:color="auto"/>
              <w:bottom w:val="single" w:sz="8" w:space="0" w:color="auto"/>
              <w:right w:val="single" w:sz="8" w:space="0" w:color="auto"/>
            </w:tcBorders>
            <w:shd w:val="clear" w:color="auto" w:fill="auto"/>
            <w:vAlign w:val="center"/>
            <w:hideMark/>
          </w:tcPr>
          <w:p w14:paraId="236D66F7" w14:textId="77777777" w:rsidR="00E90679" w:rsidRPr="00E90679" w:rsidRDefault="00E90679" w:rsidP="00E90679">
            <w:pPr>
              <w:spacing w:before="0" w:line="240" w:lineRule="auto"/>
              <w:rPr>
                <w:rFonts w:ascii="Meta Pro" w:eastAsia="Times New Roman" w:hAnsi="Meta Pro" w:cs="Calibri"/>
                <w:color w:val="000000"/>
                <w:szCs w:val="18"/>
                <w:lang w:eastAsia="en-AU"/>
              </w:rPr>
            </w:pPr>
            <w:r w:rsidRPr="00E90679">
              <w:rPr>
                <w:rFonts w:ascii="Meta Pro" w:eastAsia="Times New Roman" w:hAnsi="Meta Pro" w:cs="Calibri"/>
                <w:color w:val="000000"/>
                <w:szCs w:val="18"/>
                <w:lang w:eastAsia="en-AU"/>
              </w:rPr>
              <w:t xml:space="preserve">Supplies and services </w:t>
            </w:r>
          </w:p>
        </w:tc>
        <w:tc>
          <w:tcPr>
            <w:tcW w:w="2544" w:type="dxa"/>
            <w:tcBorders>
              <w:top w:val="nil"/>
              <w:left w:val="nil"/>
              <w:bottom w:val="single" w:sz="8" w:space="0" w:color="auto"/>
              <w:right w:val="single" w:sz="8" w:space="0" w:color="auto"/>
            </w:tcBorders>
            <w:shd w:val="clear" w:color="auto" w:fill="auto"/>
            <w:vAlign w:val="center"/>
            <w:hideMark/>
          </w:tcPr>
          <w:p w14:paraId="3713D64A" w14:textId="77777777" w:rsidR="00E90679" w:rsidRPr="00E90679" w:rsidRDefault="00E90679" w:rsidP="00E90679">
            <w:pPr>
              <w:spacing w:before="0" w:line="240" w:lineRule="auto"/>
              <w:jc w:val="right"/>
              <w:rPr>
                <w:rFonts w:ascii="Meta Pro" w:eastAsia="Times New Roman" w:hAnsi="Meta Pro" w:cs="Calibri"/>
                <w:color w:val="000000"/>
                <w:szCs w:val="18"/>
                <w:lang w:eastAsia="en-AU"/>
              </w:rPr>
            </w:pPr>
            <w:r w:rsidRPr="00E90679">
              <w:rPr>
                <w:rFonts w:ascii="Meta Pro" w:eastAsia="Times New Roman" w:hAnsi="Meta Pro" w:cs="Calibri"/>
                <w:color w:val="000000"/>
                <w:szCs w:val="18"/>
                <w:lang w:eastAsia="en-AU"/>
              </w:rPr>
              <w:t>$35,372</w:t>
            </w:r>
          </w:p>
        </w:tc>
      </w:tr>
      <w:tr w:rsidR="00E90679" w:rsidRPr="00E90679" w14:paraId="2C30721A" w14:textId="77777777" w:rsidTr="00E90679">
        <w:trPr>
          <w:trHeight w:hRule="exact" w:val="281"/>
        </w:trPr>
        <w:tc>
          <w:tcPr>
            <w:tcW w:w="3344" w:type="dxa"/>
            <w:tcBorders>
              <w:top w:val="nil"/>
              <w:left w:val="single" w:sz="8" w:space="0" w:color="auto"/>
              <w:bottom w:val="single" w:sz="8" w:space="0" w:color="auto"/>
              <w:right w:val="single" w:sz="8" w:space="0" w:color="auto"/>
            </w:tcBorders>
            <w:shd w:val="clear" w:color="auto" w:fill="auto"/>
            <w:vAlign w:val="center"/>
            <w:hideMark/>
          </w:tcPr>
          <w:p w14:paraId="0F33D390" w14:textId="77777777" w:rsidR="00E90679" w:rsidRPr="00E90679" w:rsidRDefault="00E90679" w:rsidP="00E90679">
            <w:pPr>
              <w:spacing w:before="0" w:line="240" w:lineRule="auto"/>
              <w:rPr>
                <w:rFonts w:ascii="Meta Pro" w:eastAsia="Times New Roman" w:hAnsi="Meta Pro" w:cs="Calibri"/>
                <w:color w:val="000000"/>
                <w:szCs w:val="18"/>
                <w:lang w:eastAsia="en-AU"/>
              </w:rPr>
            </w:pPr>
            <w:r w:rsidRPr="00E90679">
              <w:rPr>
                <w:rFonts w:ascii="Meta Pro" w:eastAsia="Times New Roman" w:hAnsi="Meta Pro" w:cs="Calibri"/>
                <w:color w:val="000000"/>
                <w:szCs w:val="18"/>
                <w:lang w:eastAsia="en-AU"/>
              </w:rPr>
              <w:t>Depreciation and amortisation</w:t>
            </w:r>
          </w:p>
        </w:tc>
        <w:tc>
          <w:tcPr>
            <w:tcW w:w="2544" w:type="dxa"/>
            <w:tcBorders>
              <w:top w:val="nil"/>
              <w:left w:val="nil"/>
              <w:bottom w:val="single" w:sz="8" w:space="0" w:color="auto"/>
              <w:right w:val="single" w:sz="8" w:space="0" w:color="auto"/>
            </w:tcBorders>
            <w:shd w:val="clear" w:color="auto" w:fill="auto"/>
            <w:vAlign w:val="center"/>
            <w:hideMark/>
          </w:tcPr>
          <w:p w14:paraId="5247EBDE" w14:textId="77777777" w:rsidR="00E90679" w:rsidRPr="00E90679" w:rsidRDefault="00E90679" w:rsidP="00E90679">
            <w:pPr>
              <w:spacing w:before="0" w:line="240" w:lineRule="auto"/>
              <w:jc w:val="right"/>
              <w:rPr>
                <w:rFonts w:ascii="Meta Pro" w:eastAsia="Times New Roman" w:hAnsi="Meta Pro" w:cs="Calibri"/>
                <w:color w:val="000000"/>
                <w:szCs w:val="18"/>
                <w:lang w:eastAsia="en-AU"/>
              </w:rPr>
            </w:pPr>
            <w:r w:rsidRPr="00E90679">
              <w:rPr>
                <w:rFonts w:ascii="Meta Pro" w:eastAsia="Times New Roman" w:hAnsi="Meta Pro" w:cs="Calibri"/>
                <w:color w:val="FF0000"/>
                <w:szCs w:val="18"/>
                <w:lang w:eastAsia="en-AU"/>
              </w:rPr>
              <w:t>-$12,843</w:t>
            </w:r>
          </w:p>
        </w:tc>
      </w:tr>
    </w:tbl>
    <w:p w14:paraId="22FCF0FA" w14:textId="77777777" w:rsidR="00956FBC" w:rsidRPr="00092B22" w:rsidRDefault="00956FBC" w:rsidP="00956FBC">
      <w:pPr>
        <w:rPr>
          <w:rFonts w:ascii="Meta Pro" w:eastAsia="Times New Roman" w:hAnsi="Meta Pro"/>
          <w:b/>
          <w:bCs/>
          <w:szCs w:val="18"/>
          <w:lang w:eastAsia="en-AU"/>
        </w:rPr>
      </w:pPr>
    </w:p>
    <w:p w14:paraId="5CB56ADB" w14:textId="77777777" w:rsidR="00956FBC" w:rsidRPr="00092B22" w:rsidRDefault="00956FBC" w:rsidP="00956FBC">
      <w:pPr>
        <w:rPr>
          <w:rFonts w:ascii="Meta Pro" w:eastAsia="Times New Roman" w:hAnsi="Meta Pro"/>
          <w:b/>
          <w:bCs/>
          <w:szCs w:val="18"/>
          <w:lang w:eastAsia="en-AU"/>
        </w:rPr>
      </w:pPr>
      <w:r w:rsidRPr="00092B22">
        <w:rPr>
          <w:rFonts w:ascii="Meta Pro" w:eastAsia="Times New Roman" w:hAnsi="Meta Pro"/>
          <w:b/>
          <w:bCs/>
          <w:szCs w:val="18"/>
          <w:lang w:eastAsia="en-AU"/>
        </w:rPr>
        <w:t>MACHINERY-OF-GOVERNMENT CHANGES</w:t>
      </w:r>
    </w:p>
    <w:p w14:paraId="36D12AB3" w14:textId="77777777" w:rsidR="00956FBC" w:rsidRPr="00092B22" w:rsidRDefault="00956FBC" w:rsidP="00956FBC">
      <w:pPr>
        <w:spacing w:before="120"/>
        <w:rPr>
          <w:rFonts w:ascii="Meta Pro" w:eastAsia="Times New Roman" w:hAnsi="Meta Pro"/>
          <w:b/>
          <w:bCs/>
          <w:szCs w:val="18"/>
          <w:lang w:eastAsia="en-AU"/>
        </w:rPr>
      </w:pPr>
      <w:r w:rsidRPr="00092B22">
        <w:rPr>
          <w:rFonts w:ascii="Meta Pro" w:eastAsia="Times New Roman" w:hAnsi="Meta Pro"/>
          <w:b/>
          <w:bCs/>
          <w:szCs w:val="18"/>
          <w:lang w:eastAsia="en-AU"/>
        </w:rPr>
        <w:t>Fines and penalty debt administration</w:t>
      </w:r>
    </w:p>
    <w:p w14:paraId="115FF863" w14:textId="77777777" w:rsidR="00956FBC" w:rsidRPr="00092B22" w:rsidRDefault="00956FBC" w:rsidP="00956FBC">
      <w:pPr>
        <w:spacing w:before="120"/>
        <w:rPr>
          <w:rFonts w:ascii="Meta Pro" w:eastAsia="Times New Roman" w:hAnsi="Meta Pro"/>
          <w:b/>
          <w:bCs/>
          <w:szCs w:val="18"/>
          <w:lang w:eastAsia="en-AU"/>
        </w:rPr>
      </w:pPr>
      <w:r w:rsidRPr="00092B22">
        <w:rPr>
          <w:rFonts w:ascii="Meta Pro" w:eastAsia="Times New Roman" w:hAnsi="Meta Pro"/>
          <w:szCs w:val="18"/>
          <w:lang w:eastAsia="en-AU"/>
        </w:rPr>
        <w:t>As a result of the Public Service Departmental Arrangements Notice (No.1) 2022, the fines and penalty debt administration functions of the department were transferred to the Queensland Revenue Office within Queensland Treasury</w:t>
      </w:r>
      <w:r>
        <w:rPr>
          <w:rFonts w:ascii="Meta Pro" w:eastAsia="Times New Roman" w:hAnsi="Meta Pro"/>
          <w:szCs w:val="18"/>
          <w:lang w:eastAsia="en-AU"/>
        </w:rPr>
        <w:t xml:space="preserve">, </w:t>
      </w:r>
      <w:r w:rsidRPr="00092B22">
        <w:rPr>
          <w:rFonts w:ascii="Meta Pro" w:eastAsia="Times New Roman" w:hAnsi="Meta Pro"/>
          <w:szCs w:val="18"/>
          <w:lang w:eastAsia="en-AU"/>
        </w:rPr>
        <w:t>effective from 1 February 2022. There were no assets or liabilities transferred as part of the arrangement</w:t>
      </w:r>
      <w:r>
        <w:rPr>
          <w:rFonts w:ascii="Meta Pro" w:eastAsia="Times New Roman" w:hAnsi="Meta Pro"/>
          <w:szCs w:val="18"/>
          <w:lang w:eastAsia="en-AU"/>
        </w:rPr>
        <w:t>,</w:t>
      </w:r>
      <w:r w:rsidRPr="00092B22">
        <w:rPr>
          <w:rFonts w:ascii="Meta Pro" w:eastAsia="Times New Roman" w:hAnsi="Meta Pro"/>
          <w:szCs w:val="18"/>
          <w:lang w:eastAsia="en-AU"/>
        </w:rPr>
        <w:t xml:space="preserve"> however 23 employees were transferred from the department to the Queensland Revenue Office.</w:t>
      </w:r>
    </w:p>
    <w:tbl>
      <w:tblPr>
        <w:tblW w:w="0" w:type="auto"/>
        <w:tblCellMar>
          <w:left w:w="0" w:type="dxa"/>
        </w:tblCellMar>
        <w:tblLook w:val="04A0" w:firstRow="1" w:lastRow="0" w:firstColumn="1" w:lastColumn="0" w:noHBand="0" w:noVBand="1"/>
      </w:tblPr>
      <w:tblGrid>
        <w:gridCol w:w="7042"/>
        <w:gridCol w:w="1177"/>
        <w:gridCol w:w="242"/>
        <w:gridCol w:w="1177"/>
      </w:tblGrid>
      <w:tr w:rsidR="00F15F7A" w:rsidRPr="00092B22" w14:paraId="287C887D" w14:textId="77777777" w:rsidTr="00E607DA">
        <w:trPr>
          <w:trHeight w:val="240"/>
        </w:trPr>
        <w:tc>
          <w:tcPr>
            <w:tcW w:w="7058" w:type="dxa"/>
            <w:tcBorders>
              <w:top w:val="nil"/>
              <w:left w:val="nil"/>
              <w:bottom w:val="nil"/>
              <w:right w:val="nil"/>
            </w:tcBorders>
            <w:shd w:val="clear" w:color="auto" w:fill="auto"/>
            <w:noWrap/>
            <w:vAlign w:val="center"/>
            <w:hideMark/>
          </w:tcPr>
          <w:p w14:paraId="1B102B22" w14:textId="77777777" w:rsidR="00F15F7A" w:rsidRPr="00092B22" w:rsidRDefault="00F15F7A" w:rsidP="00E607DA">
            <w:pPr>
              <w:rPr>
                <w:rFonts w:ascii="Meta Pro" w:eastAsia="Times New Roman" w:hAnsi="Meta Pro" w:cs="Times New Roman"/>
                <w:sz w:val="24"/>
                <w:szCs w:val="24"/>
                <w:lang w:eastAsia="en-AU"/>
              </w:rPr>
            </w:pPr>
          </w:p>
        </w:tc>
        <w:tc>
          <w:tcPr>
            <w:tcW w:w="1173" w:type="dxa"/>
            <w:tcBorders>
              <w:top w:val="nil"/>
              <w:left w:val="nil"/>
              <w:bottom w:val="nil"/>
              <w:right w:val="nil"/>
            </w:tcBorders>
            <w:shd w:val="clear" w:color="auto" w:fill="auto"/>
            <w:noWrap/>
            <w:vAlign w:val="center"/>
            <w:hideMark/>
          </w:tcPr>
          <w:p w14:paraId="56537F0F" w14:textId="77777777" w:rsidR="00F15F7A" w:rsidRPr="00092B22" w:rsidRDefault="00F15F7A" w:rsidP="00E607DA">
            <w:pPr>
              <w:jc w:val="center"/>
              <w:rPr>
                <w:rFonts w:ascii="Meta Pro" w:eastAsia="Times New Roman" w:hAnsi="Meta Pro"/>
                <w:b/>
                <w:bCs/>
                <w:color w:val="000000"/>
                <w:lang w:eastAsia="en-AU"/>
              </w:rPr>
            </w:pPr>
            <w:r w:rsidRPr="00092B22">
              <w:rPr>
                <w:rFonts w:ascii="Meta Pro" w:eastAsia="Times New Roman" w:hAnsi="Meta Pro"/>
                <w:b/>
                <w:bCs/>
                <w:color w:val="000000"/>
                <w:lang w:eastAsia="en-AU"/>
              </w:rPr>
              <w:t>2022</w:t>
            </w:r>
          </w:p>
        </w:tc>
        <w:tc>
          <w:tcPr>
            <w:tcW w:w="234" w:type="dxa"/>
            <w:tcBorders>
              <w:top w:val="nil"/>
              <w:left w:val="nil"/>
              <w:bottom w:val="nil"/>
              <w:right w:val="nil"/>
            </w:tcBorders>
            <w:shd w:val="clear" w:color="auto" w:fill="auto"/>
            <w:noWrap/>
            <w:vAlign w:val="center"/>
            <w:hideMark/>
          </w:tcPr>
          <w:p w14:paraId="5C3E35C5" w14:textId="77777777" w:rsidR="00F15F7A" w:rsidRPr="00092B22" w:rsidRDefault="00F15F7A" w:rsidP="00E607DA">
            <w:pPr>
              <w:jc w:val="center"/>
              <w:rPr>
                <w:rFonts w:ascii="Meta Pro" w:eastAsia="Times New Roman" w:hAnsi="Meta Pro"/>
                <w:b/>
                <w:bCs/>
                <w:color w:val="000000"/>
                <w:lang w:eastAsia="en-AU"/>
              </w:rPr>
            </w:pPr>
          </w:p>
        </w:tc>
        <w:tc>
          <w:tcPr>
            <w:tcW w:w="1173" w:type="dxa"/>
            <w:tcBorders>
              <w:top w:val="nil"/>
              <w:left w:val="nil"/>
              <w:bottom w:val="nil"/>
              <w:right w:val="nil"/>
            </w:tcBorders>
            <w:shd w:val="clear" w:color="auto" w:fill="auto"/>
            <w:noWrap/>
            <w:vAlign w:val="center"/>
            <w:hideMark/>
          </w:tcPr>
          <w:p w14:paraId="59A19FCE" w14:textId="77777777" w:rsidR="00F15F7A" w:rsidRPr="00092B22" w:rsidRDefault="00F15F7A" w:rsidP="00E607DA">
            <w:pPr>
              <w:jc w:val="center"/>
              <w:rPr>
                <w:rFonts w:ascii="Meta Pro" w:eastAsia="Times New Roman" w:hAnsi="Meta Pro"/>
                <w:b/>
                <w:bCs/>
                <w:lang w:eastAsia="en-AU"/>
              </w:rPr>
            </w:pPr>
            <w:r w:rsidRPr="00092B22">
              <w:rPr>
                <w:rFonts w:ascii="Meta Pro" w:eastAsia="Times New Roman" w:hAnsi="Meta Pro"/>
                <w:b/>
                <w:bCs/>
                <w:lang w:eastAsia="en-AU"/>
              </w:rPr>
              <w:t>2021</w:t>
            </w:r>
          </w:p>
        </w:tc>
      </w:tr>
      <w:tr w:rsidR="00F15F7A" w:rsidRPr="00092B22" w14:paraId="1C52312B" w14:textId="77777777" w:rsidTr="00E607DA">
        <w:trPr>
          <w:trHeight w:val="240"/>
        </w:trPr>
        <w:tc>
          <w:tcPr>
            <w:tcW w:w="7058" w:type="dxa"/>
            <w:tcBorders>
              <w:top w:val="nil"/>
              <w:left w:val="nil"/>
              <w:bottom w:val="nil"/>
              <w:right w:val="nil"/>
            </w:tcBorders>
            <w:shd w:val="clear" w:color="auto" w:fill="auto"/>
            <w:noWrap/>
            <w:vAlign w:val="center"/>
            <w:hideMark/>
          </w:tcPr>
          <w:p w14:paraId="4C8CF768" w14:textId="77777777" w:rsidR="00F15F7A" w:rsidRPr="00092B22" w:rsidRDefault="00F15F7A" w:rsidP="00E607DA">
            <w:pPr>
              <w:jc w:val="center"/>
              <w:rPr>
                <w:rFonts w:ascii="Meta Pro" w:eastAsia="Times New Roman" w:hAnsi="Meta Pro"/>
                <w:b/>
                <w:bCs/>
                <w:lang w:eastAsia="en-AU"/>
              </w:rPr>
            </w:pPr>
          </w:p>
        </w:tc>
        <w:tc>
          <w:tcPr>
            <w:tcW w:w="1173" w:type="dxa"/>
            <w:tcBorders>
              <w:top w:val="nil"/>
              <w:left w:val="nil"/>
              <w:bottom w:val="nil"/>
              <w:right w:val="nil"/>
            </w:tcBorders>
            <w:shd w:val="clear" w:color="auto" w:fill="auto"/>
            <w:noWrap/>
            <w:vAlign w:val="center"/>
            <w:hideMark/>
          </w:tcPr>
          <w:p w14:paraId="56FC1C02" w14:textId="77777777" w:rsidR="00F15F7A" w:rsidRPr="00092B22" w:rsidRDefault="00F15F7A" w:rsidP="00E607DA">
            <w:pPr>
              <w:jc w:val="center"/>
              <w:rPr>
                <w:rFonts w:ascii="Meta Pro" w:eastAsia="Times New Roman" w:hAnsi="Meta Pro"/>
                <w:b/>
                <w:bCs/>
                <w:lang w:eastAsia="en-AU"/>
              </w:rPr>
            </w:pPr>
            <w:r w:rsidRPr="00092B22">
              <w:rPr>
                <w:rFonts w:ascii="Meta Pro" w:eastAsia="Times New Roman" w:hAnsi="Meta Pro"/>
                <w:b/>
                <w:bCs/>
                <w:lang w:eastAsia="en-AU"/>
              </w:rPr>
              <w:t>$'000</w:t>
            </w:r>
          </w:p>
        </w:tc>
        <w:tc>
          <w:tcPr>
            <w:tcW w:w="234" w:type="dxa"/>
            <w:tcBorders>
              <w:top w:val="nil"/>
              <w:left w:val="nil"/>
              <w:bottom w:val="nil"/>
              <w:right w:val="nil"/>
            </w:tcBorders>
            <w:shd w:val="clear" w:color="auto" w:fill="auto"/>
            <w:noWrap/>
            <w:vAlign w:val="center"/>
            <w:hideMark/>
          </w:tcPr>
          <w:p w14:paraId="20CB60A8" w14:textId="77777777" w:rsidR="00F15F7A" w:rsidRPr="00092B22" w:rsidRDefault="00F15F7A" w:rsidP="00E607DA">
            <w:pPr>
              <w:jc w:val="center"/>
              <w:rPr>
                <w:rFonts w:ascii="Meta Pro" w:eastAsia="Times New Roman" w:hAnsi="Meta Pro"/>
                <w:b/>
                <w:bCs/>
                <w:lang w:eastAsia="en-AU"/>
              </w:rPr>
            </w:pPr>
          </w:p>
        </w:tc>
        <w:tc>
          <w:tcPr>
            <w:tcW w:w="1173" w:type="dxa"/>
            <w:tcBorders>
              <w:top w:val="nil"/>
              <w:left w:val="nil"/>
              <w:bottom w:val="nil"/>
              <w:right w:val="nil"/>
            </w:tcBorders>
            <w:shd w:val="clear" w:color="auto" w:fill="auto"/>
            <w:noWrap/>
            <w:vAlign w:val="center"/>
            <w:hideMark/>
          </w:tcPr>
          <w:p w14:paraId="3547BE09" w14:textId="77777777" w:rsidR="00F15F7A" w:rsidRPr="00092B22" w:rsidRDefault="00F15F7A" w:rsidP="00E607DA">
            <w:pPr>
              <w:jc w:val="center"/>
              <w:rPr>
                <w:rFonts w:ascii="Meta Pro" w:eastAsia="Times New Roman" w:hAnsi="Meta Pro"/>
                <w:b/>
                <w:bCs/>
                <w:lang w:eastAsia="en-AU"/>
              </w:rPr>
            </w:pPr>
            <w:r w:rsidRPr="00092B22">
              <w:rPr>
                <w:rFonts w:ascii="Meta Pro" w:eastAsia="Times New Roman" w:hAnsi="Meta Pro"/>
                <w:b/>
                <w:bCs/>
                <w:lang w:eastAsia="en-AU"/>
              </w:rPr>
              <w:t>$'000</w:t>
            </w:r>
          </w:p>
        </w:tc>
      </w:tr>
      <w:tr w:rsidR="00F15F7A" w:rsidRPr="00092B22" w14:paraId="6A1BAFD7" w14:textId="77777777" w:rsidTr="00E607DA">
        <w:trPr>
          <w:trHeight w:val="240"/>
        </w:trPr>
        <w:tc>
          <w:tcPr>
            <w:tcW w:w="7058" w:type="dxa"/>
            <w:tcBorders>
              <w:top w:val="nil"/>
              <w:left w:val="nil"/>
              <w:bottom w:val="nil"/>
              <w:right w:val="nil"/>
            </w:tcBorders>
            <w:shd w:val="clear" w:color="auto" w:fill="auto"/>
            <w:noWrap/>
            <w:vAlign w:val="center"/>
            <w:hideMark/>
          </w:tcPr>
          <w:p w14:paraId="1835068E" w14:textId="77777777" w:rsidR="00F15F7A" w:rsidRPr="00092B22" w:rsidRDefault="00F15F7A" w:rsidP="00E607DA">
            <w:pPr>
              <w:rPr>
                <w:rFonts w:ascii="Meta Pro" w:eastAsia="Times New Roman" w:hAnsi="Meta Pro"/>
                <w:b/>
                <w:bCs/>
                <w:lang w:eastAsia="en-AU"/>
              </w:rPr>
            </w:pPr>
            <w:r w:rsidRPr="00092B22">
              <w:rPr>
                <w:rFonts w:ascii="Meta Pro" w:eastAsia="Times New Roman" w:hAnsi="Meta Pro"/>
                <w:b/>
                <w:bCs/>
                <w:lang w:eastAsia="en-AU"/>
              </w:rPr>
              <w:t>2     APPROPRIATIONS</w:t>
            </w:r>
          </w:p>
        </w:tc>
        <w:tc>
          <w:tcPr>
            <w:tcW w:w="1173" w:type="dxa"/>
            <w:tcBorders>
              <w:top w:val="nil"/>
              <w:left w:val="nil"/>
              <w:bottom w:val="nil"/>
              <w:right w:val="nil"/>
            </w:tcBorders>
            <w:shd w:val="clear" w:color="auto" w:fill="auto"/>
            <w:noWrap/>
            <w:vAlign w:val="center"/>
            <w:hideMark/>
          </w:tcPr>
          <w:p w14:paraId="45493773" w14:textId="77777777" w:rsidR="00F15F7A" w:rsidRPr="00092B22" w:rsidRDefault="00F15F7A" w:rsidP="00E607DA">
            <w:pPr>
              <w:rPr>
                <w:rFonts w:ascii="Meta Pro" w:eastAsia="Times New Roman" w:hAnsi="Meta Pro"/>
                <w:b/>
                <w:bCs/>
                <w:lang w:eastAsia="en-AU"/>
              </w:rPr>
            </w:pPr>
          </w:p>
        </w:tc>
        <w:tc>
          <w:tcPr>
            <w:tcW w:w="234" w:type="dxa"/>
            <w:tcBorders>
              <w:top w:val="nil"/>
              <w:left w:val="nil"/>
              <w:bottom w:val="nil"/>
              <w:right w:val="nil"/>
            </w:tcBorders>
            <w:shd w:val="clear" w:color="auto" w:fill="auto"/>
            <w:noWrap/>
            <w:vAlign w:val="center"/>
            <w:hideMark/>
          </w:tcPr>
          <w:p w14:paraId="24E103A8" w14:textId="77777777" w:rsidR="00F15F7A" w:rsidRPr="00092B22" w:rsidRDefault="00F15F7A" w:rsidP="00E607DA">
            <w:pPr>
              <w:jc w:val="right"/>
              <w:rPr>
                <w:rFonts w:ascii="Meta Pro" w:eastAsia="Times New Roman" w:hAnsi="Meta Pro" w:cs="Times New Roman"/>
                <w:sz w:val="20"/>
                <w:szCs w:val="20"/>
                <w:lang w:eastAsia="en-AU"/>
              </w:rPr>
            </w:pPr>
          </w:p>
        </w:tc>
        <w:tc>
          <w:tcPr>
            <w:tcW w:w="1173" w:type="dxa"/>
            <w:tcBorders>
              <w:top w:val="nil"/>
              <w:left w:val="nil"/>
              <w:bottom w:val="nil"/>
              <w:right w:val="nil"/>
            </w:tcBorders>
            <w:shd w:val="clear" w:color="auto" w:fill="auto"/>
            <w:noWrap/>
            <w:vAlign w:val="center"/>
            <w:hideMark/>
          </w:tcPr>
          <w:p w14:paraId="67560571" w14:textId="77777777" w:rsidR="00F15F7A" w:rsidRPr="00092B22" w:rsidRDefault="00F15F7A" w:rsidP="00E607DA">
            <w:pPr>
              <w:jc w:val="right"/>
              <w:rPr>
                <w:rFonts w:ascii="Meta Pro" w:eastAsia="Times New Roman" w:hAnsi="Meta Pro" w:cs="Times New Roman"/>
                <w:sz w:val="20"/>
                <w:szCs w:val="20"/>
                <w:lang w:eastAsia="en-AU"/>
              </w:rPr>
            </w:pPr>
          </w:p>
        </w:tc>
      </w:tr>
      <w:tr w:rsidR="00F15F7A" w:rsidRPr="00092B22" w14:paraId="37EF87AC" w14:textId="77777777" w:rsidTr="00E607DA">
        <w:trPr>
          <w:trHeight w:val="90"/>
        </w:trPr>
        <w:tc>
          <w:tcPr>
            <w:tcW w:w="7058" w:type="dxa"/>
            <w:tcBorders>
              <w:top w:val="nil"/>
              <w:left w:val="nil"/>
              <w:bottom w:val="nil"/>
              <w:right w:val="nil"/>
            </w:tcBorders>
            <w:shd w:val="clear" w:color="auto" w:fill="auto"/>
            <w:noWrap/>
            <w:vAlign w:val="center"/>
            <w:hideMark/>
          </w:tcPr>
          <w:p w14:paraId="4335CB9C" w14:textId="77777777" w:rsidR="00F15F7A" w:rsidRPr="00092B22" w:rsidRDefault="00F15F7A" w:rsidP="00E607DA">
            <w:pPr>
              <w:jc w:val="right"/>
              <w:rPr>
                <w:rFonts w:ascii="Meta Pro" w:eastAsia="Times New Roman" w:hAnsi="Meta Pro" w:cs="Times New Roman"/>
                <w:sz w:val="20"/>
                <w:szCs w:val="20"/>
                <w:lang w:eastAsia="en-AU"/>
              </w:rPr>
            </w:pPr>
          </w:p>
        </w:tc>
        <w:tc>
          <w:tcPr>
            <w:tcW w:w="1173" w:type="dxa"/>
            <w:tcBorders>
              <w:top w:val="nil"/>
              <w:left w:val="nil"/>
              <w:bottom w:val="nil"/>
              <w:right w:val="nil"/>
            </w:tcBorders>
            <w:shd w:val="clear" w:color="auto" w:fill="auto"/>
            <w:noWrap/>
            <w:vAlign w:val="center"/>
            <w:hideMark/>
          </w:tcPr>
          <w:p w14:paraId="01D0E6DC" w14:textId="77777777" w:rsidR="00F15F7A" w:rsidRPr="00092B22" w:rsidRDefault="00F15F7A" w:rsidP="00E607DA">
            <w:pPr>
              <w:rPr>
                <w:rFonts w:ascii="Meta Pro" w:eastAsia="Times New Roman" w:hAnsi="Meta Pro" w:cs="Times New Roman"/>
                <w:sz w:val="20"/>
                <w:szCs w:val="20"/>
                <w:lang w:eastAsia="en-AU"/>
              </w:rPr>
            </w:pPr>
          </w:p>
        </w:tc>
        <w:tc>
          <w:tcPr>
            <w:tcW w:w="234" w:type="dxa"/>
            <w:tcBorders>
              <w:top w:val="nil"/>
              <w:left w:val="nil"/>
              <w:bottom w:val="nil"/>
              <w:right w:val="nil"/>
            </w:tcBorders>
            <w:shd w:val="clear" w:color="auto" w:fill="auto"/>
            <w:noWrap/>
            <w:vAlign w:val="center"/>
            <w:hideMark/>
          </w:tcPr>
          <w:p w14:paraId="46352877" w14:textId="77777777" w:rsidR="00F15F7A" w:rsidRPr="00092B22" w:rsidRDefault="00F15F7A" w:rsidP="00E607DA">
            <w:pPr>
              <w:rPr>
                <w:rFonts w:ascii="Meta Pro" w:eastAsia="Times New Roman" w:hAnsi="Meta Pro" w:cs="Times New Roman"/>
                <w:sz w:val="20"/>
                <w:szCs w:val="20"/>
                <w:lang w:eastAsia="en-AU"/>
              </w:rPr>
            </w:pPr>
          </w:p>
        </w:tc>
        <w:tc>
          <w:tcPr>
            <w:tcW w:w="1173" w:type="dxa"/>
            <w:tcBorders>
              <w:top w:val="nil"/>
              <w:left w:val="nil"/>
              <w:bottom w:val="nil"/>
              <w:right w:val="nil"/>
            </w:tcBorders>
            <w:shd w:val="clear" w:color="auto" w:fill="auto"/>
            <w:noWrap/>
            <w:vAlign w:val="center"/>
            <w:hideMark/>
          </w:tcPr>
          <w:p w14:paraId="005E2CF6" w14:textId="77777777" w:rsidR="00F15F7A" w:rsidRPr="00092B22" w:rsidRDefault="00F15F7A" w:rsidP="00E607DA">
            <w:pPr>
              <w:rPr>
                <w:rFonts w:ascii="Meta Pro" w:eastAsia="Times New Roman" w:hAnsi="Meta Pro" w:cs="Times New Roman"/>
                <w:sz w:val="20"/>
                <w:szCs w:val="20"/>
                <w:lang w:eastAsia="en-AU"/>
              </w:rPr>
            </w:pPr>
          </w:p>
        </w:tc>
      </w:tr>
      <w:tr w:rsidR="00F15F7A" w:rsidRPr="00092B22" w14:paraId="1A0C175D" w14:textId="77777777" w:rsidTr="00E607DA">
        <w:trPr>
          <w:trHeight w:val="240"/>
        </w:trPr>
        <w:tc>
          <w:tcPr>
            <w:tcW w:w="7058" w:type="dxa"/>
            <w:tcBorders>
              <w:top w:val="nil"/>
              <w:left w:val="nil"/>
              <w:bottom w:val="nil"/>
              <w:right w:val="nil"/>
            </w:tcBorders>
            <w:shd w:val="clear" w:color="auto" w:fill="auto"/>
            <w:noWrap/>
            <w:vAlign w:val="center"/>
            <w:hideMark/>
          </w:tcPr>
          <w:p w14:paraId="7B34B510" w14:textId="77777777" w:rsidR="00F15F7A" w:rsidRPr="00092B22" w:rsidRDefault="00F15F7A" w:rsidP="00E607DA">
            <w:pPr>
              <w:rPr>
                <w:rFonts w:ascii="Meta Pro" w:eastAsia="Times New Roman" w:hAnsi="Meta Pro"/>
                <w:b/>
                <w:bCs/>
                <w:szCs w:val="18"/>
                <w:lang w:eastAsia="en-AU"/>
              </w:rPr>
            </w:pPr>
            <w:r w:rsidRPr="00092B22">
              <w:rPr>
                <w:rFonts w:ascii="Meta Pro" w:eastAsia="Times New Roman" w:hAnsi="Meta Pro"/>
                <w:b/>
                <w:bCs/>
                <w:szCs w:val="18"/>
                <w:lang w:eastAsia="en-AU"/>
              </w:rPr>
              <w:t>Reconciliation of payments from Consolidated Fund to appropriation revenue</w:t>
            </w:r>
          </w:p>
        </w:tc>
        <w:tc>
          <w:tcPr>
            <w:tcW w:w="1173" w:type="dxa"/>
            <w:tcBorders>
              <w:top w:val="nil"/>
              <w:left w:val="nil"/>
              <w:bottom w:val="nil"/>
              <w:right w:val="nil"/>
            </w:tcBorders>
            <w:shd w:val="clear" w:color="auto" w:fill="auto"/>
            <w:noWrap/>
            <w:vAlign w:val="center"/>
            <w:hideMark/>
          </w:tcPr>
          <w:p w14:paraId="30131E66" w14:textId="77777777" w:rsidR="00F15F7A" w:rsidRPr="00092B22" w:rsidRDefault="00F15F7A" w:rsidP="00E607DA">
            <w:pPr>
              <w:rPr>
                <w:rFonts w:ascii="Meta Pro" w:eastAsia="Times New Roman" w:hAnsi="Meta Pro"/>
                <w:b/>
                <w:bCs/>
                <w:szCs w:val="18"/>
                <w:lang w:eastAsia="en-AU"/>
              </w:rPr>
            </w:pPr>
          </w:p>
        </w:tc>
        <w:tc>
          <w:tcPr>
            <w:tcW w:w="234" w:type="dxa"/>
            <w:tcBorders>
              <w:top w:val="nil"/>
              <w:left w:val="nil"/>
              <w:bottom w:val="nil"/>
              <w:right w:val="nil"/>
            </w:tcBorders>
            <w:shd w:val="clear" w:color="auto" w:fill="auto"/>
            <w:noWrap/>
            <w:vAlign w:val="center"/>
            <w:hideMark/>
          </w:tcPr>
          <w:p w14:paraId="688204FF" w14:textId="77777777" w:rsidR="00F15F7A" w:rsidRPr="00092B22" w:rsidRDefault="00F15F7A" w:rsidP="00E607DA">
            <w:pPr>
              <w:jc w:val="right"/>
              <w:rPr>
                <w:rFonts w:ascii="Meta Pro" w:eastAsia="Times New Roman" w:hAnsi="Meta Pro" w:cs="Times New Roman"/>
                <w:sz w:val="20"/>
                <w:szCs w:val="20"/>
                <w:lang w:eastAsia="en-AU"/>
              </w:rPr>
            </w:pPr>
          </w:p>
        </w:tc>
        <w:tc>
          <w:tcPr>
            <w:tcW w:w="1173" w:type="dxa"/>
            <w:tcBorders>
              <w:top w:val="nil"/>
              <w:left w:val="nil"/>
              <w:bottom w:val="nil"/>
              <w:right w:val="nil"/>
            </w:tcBorders>
            <w:shd w:val="clear" w:color="auto" w:fill="auto"/>
            <w:noWrap/>
            <w:vAlign w:val="center"/>
            <w:hideMark/>
          </w:tcPr>
          <w:p w14:paraId="5F069196" w14:textId="77777777" w:rsidR="00F15F7A" w:rsidRPr="00092B22" w:rsidRDefault="00F15F7A" w:rsidP="00E607DA">
            <w:pPr>
              <w:jc w:val="right"/>
              <w:rPr>
                <w:rFonts w:ascii="Meta Pro" w:eastAsia="Times New Roman" w:hAnsi="Meta Pro" w:cs="Times New Roman"/>
                <w:sz w:val="20"/>
                <w:szCs w:val="20"/>
                <w:lang w:eastAsia="en-AU"/>
              </w:rPr>
            </w:pPr>
          </w:p>
        </w:tc>
      </w:tr>
      <w:tr w:rsidR="00F15F7A" w:rsidRPr="00092B22" w14:paraId="6DB032EE" w14:textId="77777777" w:rsidTr="00E607DA">
        <w:trPr>
          <w:trHeight w:val="240"/>
        </w:trPr>
        <w:tc>
          <w:tcPr>
            <w:tcW w:w="7058" w:type="dxa"/>
            <w:tcBorders>
              <w:top w:val="nil"/>
              <w:left w:val="nil"/>
              <w:bottom w:val="nil"/>
              <w:right w:val="nil"/>
            </w:tcBorders>
            <w:shd w:val="clear" w:color="auto" w:fill="auto"/>
            <w:noWrap/>
            <w:vAlign w:val="center"/>
            <w:hideMark/>
          </w:tcPr>
          <w:p w14:paraId="5CE90587" w14:textId="77777777" w:rsidR="00F15F7A" w:rsidRPr="00092B22" w:rsidRDefault="00F15F7A" w:rsidP="00E607DA">
            <w:pPr>
              <w:rPr>
                <w:rFonts w:ascii="Meta Pro" w:eastAsia="Times New Roman" w:hAnsi="Meta Pro"/>
                <w:b/>
                <w:bCs/>
                <w:szCs w:val="18"/>
                <w:lang w:eastAsia="en-AU"/>
              </w:rPr>
            </w:pPr>
            <w:r w:rsidRPr="00092B22">
              <w:rPr>
                <w:rFonts w:ascii="Meta Pro" w:eastAsia="Times New Roman" w:hAnsi="Meta Pro"/>
                <w:b/>
                <w:bCs/>
                <w:szCs w:val="18"/>
                <w:lang w:eastAsia="en-AU"/>
              </w:rPr>
              <w:t>recognised in operating result</w:t>
            </w:r>
          </w:p>
        </w:tc>
        <w:tc>
          <w:tcPr>
            <w:tcW w:w="1173" w:type="dxa"/>
            <w:tcBorders>
              <w:top w:val="nil"/>
              <w:left w:val="nil"/>
              <w:bottom w:val="nil"/>
              <w:right w:val="nil"/>
            </w:tcBorders>
            <w:shd w:val="clear" w:color="auto" w:fill="auto"/>
            <w:vAlign w:val="center"/>
            <w:hideMark/>
          </w:tcPr>
          <w:p w14:paraId="7285F577" w14:textId="77777777" w:rsidR="00F15F7A" w:rsidRPr="00092B22" w:rsidRDefault="00F15F7A" w:rsidP="00E607DA">
            <w:pPr>
              <w:rPr>
                <w:rFonts w:ascii="Meta Pro" w:eastAsia="Times New Roman" w:hAnsi="Meta Pro"/>
                <w:b/>
                <w:bCs/>
                <w:szCs w:val="18"/>
                <w:lang w:eastAsia="en-AU"/>
              </w:rPr>
            </w:pPr>
          </w:p>
        </w:tc>
        <w:tc>
          <w:tcPr>
            <w:tcW w:w="234" w:type="dxa"/>
            <w:tcBorders>
              <w:top w:val="nil"/>
              <w:left w:val="nil"/>
              <w:bottom w:val="nil"/>
              <w:right w:val="nil"/>
            </w:tcBorders>
            <w:shd w:val="clear" w:color="auto" w:fill="auto"/>
            <w:vAlign w:val="center"/>
            <w:hideMark/>
          </w:tcPr>
          <w:p w14:paraId="1826C5E0" w14:textId="77777777" w:rsidR="00F15F7A" w:rsidRPr="00092B22" w:rsidRDefault="00F15F7A" w:rsidP="00E607DA">
            <w:pPr>
              <w:jc w:val="right"/>
              <w:rPr>
                <w:rFonts w:ascii="Meta Pro" w:eastAsia="Times New Roman" w:hAnsi="Meta Pro" w:cs="Times New Roman"/>
                <w:sz w:val="20"/>
                <w:szCs w:val="20"/>
                <w:lang w:eastAsia="en-AU"/>
              </w:rPr>
            </w:pPr>
          </w:p>
        </w:tc>
        <w:tc>
          <w:tcPr>
            <w:tcW w:w="1173" w:type="dxa"/>
            <w:tcBorders>
              <w:top w:val="nil"/>
              <w:left w:val="nil"/>
              <w:bottom w:val="nil"/>
              <w:right w:val="nil"/>
            </w:tcBorders>
            <w:shd w:val="clear" w:color="auto" w:fill="auto"/>
            <w:vAlign w:val="center"/>
            <w:hideMark/>
          </w:tcPr>
          <w:p w14:paraId="2281EEBB" w14:textId="77777777" w:rsidR="00F15F7A" w:rsidRPr="00092B22" w:rsidRDefault="00F15F7A" w:rsidP="00E607DA">
            <w:pPr>
              <w:jc w:val="right"/>
              <w:rPr>
                <w:rFonts w:ascii="Meta Pro" w:eastAsia="Times New Roman" w:hAnsi="Meta Pro" w:cs="Times New Roman"/>
                <w:sz w:val="20"/>
                <w:szCs w:val="20"/>
                <w:lang w:eastAsia="en-AU"/>
              </w:rPr>
            </w:pPr>
          </w:p>
        </w:tc>
      </w:tr>
      <w:tr w:rsidR="00F15F7A" w:rsidRPr="00092B22" w14:paraId="7CB98E04" w14:textId="77777777" w:rsidTr="00E607DA">
        <w:trPr>
          <w:trHeight w:val="240"/>
        </w:trPr>
        <w:tc>
          <w:tcPr>
            <w:tcW w:w="7058" w:type="dxa"/>
            <w:tcBorders>
              <w:top w:val="nil"/>
              <w:left w:val="nil"/>
              <w:bottom w:val="nil"/>
              <w:right w:val="nil"/>
            </w:tcBorders>
            <w:shd w:val="clear" w:color="auto" w:fill="auto"/>
            <w:noWrap/>
            <w:vAlign w:val="center"/>
            <w:hideMark/>
          </w:tcPr>
          <w:p w14:paraId="1B9EBABE" w14:textId="77777777" w:rsidR="00F15F7A" w:rsidRPr="00092B22" w:rsidRDefault="00F15F7A" w:rsidP="00E607DA">
            <w:pPr>
              <w:rPr>
                <w:rFonts w:ascii="Meta Pro" w:eastAsia="Times New Roman" w:hAnsi="Meta Pro"/>
                <w:szCs w:val="18"/>
                <w:lang w:eastAsia="en-AU"/>
              </w:rPr>
            </w:pPr>
            <w:r w:rsidRPr="00092B22">
              <w:rPr>
                <w:rFonts w:ascii="Meta Pro" w:eastAsia="Times New Roman" w:hAnsi="Meta Pro"/>
                <w:szCs w:val="18"/>
                <w:lang w:eastAsia="en-AU"/>
              </w:rPr>
              <w:t>Budgeted appropriation revenue</w:t>
            </w:r>
          </w:p>
        </w:tc>
        <w:tc>
          <w:tcPr>
            <w:tcW w:w="1173" w:type="dxa"/>
            <w:tcBorders>
              <w:top w:val="nil"/>
              <w:left w:val="nil"/>
              <w:bottom w:val="nil"/>
              <w:right w:val="nil"/>
            </w:tcBorders>
            <w:shd w:val="clear" w:color="000000" w:fill="C9E3B4"/>
            <w:noWrap/>
            <w:vAlign w:val="center"/>
            <w:hideMark/>
          </w:tcPr>
          <w:p w14:paraId="336EBC41"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5,947,975 </w:t>
            </w:r>
          </w:p>
        </w:tc>
        <w:tc>
          <w:tcPr>
            <w:tcW w:w="234" w:type="dxa"/>
            <w:tcBorders>
              <w:top w:val="nil"/>
              <w:left w:val="nil"/>
              <w:bottom w:val="nil"/>
              <w:right w:val="nil"/>
            </w:tcBorders>
            <w:shd w:val="clear" w:color="auto" w:fill="auto"/>
            <w:noWrap/>
            <w:vAlign w:val="center"/>
            <w:hideMark/>
          </w:tcPr>
          <w:p w14:paraId="3A38CA0D" w14:textId="77777777" w:rsidR="00F15F7A" w:rsidRPr="00092B22" w:rsidRDefault="00F15F7A" w:rsidP="00E607DA">
            <w:pPr>
              <w:jc w:val="right"/>
              <w:rPr>
                <w:rFonts w:ascii="Meta Pro" w:eastAsia="Times New Roman" w:hAnsi="Meta Pro"/>
                <w:szCs w:val="18"/>
                <w:lang w:eastAsia="en-AU"/>
              </w:rPr>
            </w:pPr>
          </w:p>
        </w:tc>
        <w:tc>
          <w:tcPr>
            <w:tcW w:w="1173" w:type="dxa"/>
            <w:tcBorders>
              <w:top w:val="nil"/>
              <w:left w:val="nil"/>
              <w:bottom w:val="nil"/>
              <w:right w:val="nil"/>
            </w:tcBorders>
            <w:shd w:val="clear" w:color="auto" w:fill="auto"/>
            <w:noWrap/>
            <w:vAlign w:val="center"/>
            <w:hideMark/>
          </w:tcPr>
          <w:p w14:paraId="2FAC36A8"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5,673,004 </w:t>
            </w:r>
          </w:p>
        </w:tc>
      </w:tr>
      <w:tr w:rsidR="00F15F7A" w:rsidRPr="00092B22" w14:paraId="089C5F16" w14:textId="77777777" w:rsidTr="00E607DA">
        <w:trPr>
          <w:trHeight w:val="240"/>
        </w:trPr>
        <w:tc>
          <w:tcPr>
            <w:tcW w:w="7058" w:type="dxa"/>
            <w:tcBorders>
              <w:top w:val="nil"/>
              <w:left w:val="nil"/>
              <w:bottom w:val="nil"/>
              <w:right w:val="nil"/>
            </w:tcBorders>
            <w:shd w:val="clear" w:color="auto" w:fill="auto"/>
            <w:noWrap/>
            <w:vAlign w:val="center"/>
            <w:hideMark/>
          </w:tcPr>
          <w:p w14:paraId="758A1820" w14:textId="77777777" w:rsidR="00F15F7A" w:rsidRPr="00092B22" w:rsidRDefault="00F15F7A" w:rsidP="00E607DA">
            <w:pPr>
              <w:rPr>
                <w:rFonts w:ascii="Meta Pro" w:eastAsia="Times New Roman" w:hAnsi="Meta Pro"/>
                <w:szCs w:val="18"/>
                <w:lang w:eastAsia="en-AU"/>
              </w:rPr>
            </w:pPr>
            <w:r w:rsidRPr="008A010B">
              <w:rPr>
                <w:rFonts w:ascii="Meta Pro" w:eastAsia="Times New Roman" w:hAnsi="Meta Pro"/>
                <w:szCs w:val="18"/>
                <w:lang w:eastAsia="en-AU"/>
              </w:rPr>
              <w:t>Transfers to other departments</w:t>
            </w:r>
          </w:p>
        </w:tc>
        <w:tc>
          <w:tcPr>
            <w:tcW w:w="1173" w:type="dxa"/>
            <w:tcBorders>
              <w:top w:val="nil"/>
              <w:left w:val="nil"/>
              <w:bottom w:val="nil"/>
              <w:right w:val="nil"/>
            </w:tcBorders>
            <w:shd w:val="clear" w:color="000000" w:fill="C9E3B4"/>
            <w:noWrap/>
            <w:vAlign w:val="center"/>
            <w:hideMark/>
          </w:tcPr>
          <w:p w14:paraId="4DCC7A63" w14:textId="77777777" w:rsidR="00F15F7A" w:rsidRPr="00092B22" w:rsidRDefault="00F15F7A" w:rsidP="00E607DA">
            <w:pPr>
              <w:jc w:val="right"/>
              <w:rPr>
                <w:rFonts w:ascii="Meta Pro" w:eastAsia="Times New Roman" w:hAnsi="Meta Pro"/>
                <w:szCs w:val="18"/>
                <w:lang w:eastAsia="en-AU"/>
              </w:rPr>
            </w:pPr>
            <w:r w:rsidRPr="008A010B">
              <w:rPr>
                <w:rFonts w:ascii="Meta Pro" w:eastAsia="Times New Roman" w:hAnsi="Meta Pro"/>
                <w:szCs w:val="18"/>
                <w:lang w:eastAsia="en-AU"/>
              </w:rPr>
              <w:t>(1,322)</w:t>
            </w:r>
          </w:p>
        </w:tc>
        <w:tc>
          <w:tcPr>
            <w:tcW w:w="234" w:type="dxa"/>
            <w:tcBorders>
              <w:top w:val="nil"/>
              <w:left w:val="nil"/>
              <w:bottom w:val="nil"/>
              <w:right w:val="nil"/>
            </w:tcBorders>
            <w:shd w:val="clear" w:color="auto" w:fill="auto"/>
            <w:noWrap/>
            <w:vAlign w:val="center"/>
            <w:hideMark/>
          </w:tcPr>
          <w:p w14:paraId="387FFE0F" w14:textId="77777777" w:rsidR="00F15F7A" w:rsidRPr="00092B22" w:rsidRDefault="00F15F7A" w:rsidP="00E607DA">
            <w:pPr>
              <w:jc w:val="right"/>
              <w:rPr>
                <w:rFonts w:ascii="Meta Pro" w:eastAsia="Times New Roman" w:hAnsi="Meta Pro"/>
                <w:szCs w:val="18"/>
                <w:lang w:eastAsia="en-AU"/>
              </w:rPr>
            </w:pPr>
          </w:p>
        </w:tc>
        <w:tc>
          <w:tcPr>
            <w:tcW w:w="1173" w:type="dxa"/>
            <w:tcBorders>
              <w:top w:val="nil"/>
              <w:left w:val="nil"/>
              <w:bottom w:val="nil"/>
              <w:right w:val="nil"/>
            </w:tcBorders>
            <w:shd w:val="clear" w:color="auto" w:fill="auto"/>
            <w:noWrap/>
            <w:vAlign w:val="center"/>
            <w:hideMark/>
          </w:tcPr>
          <w:p w14:paraId="214253FA"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w:t>
            </w:r>
          </w:p>
        </w:tc>
      </w:tr>
      <w:tr w:rsidR="00F15F7A" w:rsidRPr="00092B22" w14:paraId="2735890B" w14:textId="77777777" w:rsidTr="00E607DA">
        <w:trPr>
          <w:trHeight w:val="240"/>
        </w:trPr>
        <w:tc>
          <w:tcPr>
            <w:tcW w:w="7058" w:type="dxa"/>
            <w:tcBorders>
              <w:top w:val="nil"/>
              <w:left w:val="nil"/>
              <w:bottom w:val="nil"/>
              <w:right w:val="nil"/>
            </w:tcBorders>
            <w:shd w:val="clear" w:color="auto" w:fill="auto"/>
            <w:noWrap/>
            <w:vAlign w:val="center"/>
            <w:hideMark/>
          </w:tcPr>
          <w:p w14:paraId="71F88A7C" w14:textId="77777777" w:rsidR="00F15F7A" w:rsidRPr="00092B22" w:rsidRDefault="00F15F7A" w:rsidP="00E607DA">
            <w:pPr>
              <w:rPr>
                <w:rFonts w:ascii="Meta Pro" w:eastAsia="Times New Roman" w:hAnsi="Meta Pro"/>
                <w:szCs w:val="18"/>
                <w:lang w:eastAsia="en-AU"/>
              </w:rPr>
            </w:pPr>
            <w:r w:rsidRPr="00A6074A">
              <w:rPr>
                <w:rFonts w:ascii="Meta Pro" w:eastAsia="Times New Roman" w:hAnsi="Meta Pro"/>
                <w:szCs w:val="18"/>
                <w:lang w:eastAsia="en-AU"/>
              </w:rPr>
              <w:t>Transfers to other headings</w:t>
            </w:r>
          </w:p>
        </w:tc>
        <w:tc>
          <w:tcPr>
            <w:tcW w:w="1173" w:type="dxa"/>
            <w:tcBorders>
              <w:top w:val="nil"/>
              <w:left w:val="nil"/>
              <w:bottom w:val="single" w:sz="4" w:space="0" w:color="auto"/>
              <w:right w:val="nil"/>
            </w:tcBorders>
            <w:shd w:val="clear" w:color="000000" w:fill="C9E3B4"/>
            <w:noWrap/>
            <w:vAlign w:val="center"/>
            <w:hideMark/>
          </w:tcPr>
          <w:p w14:paraId="66E5996D" w14:textId="77777777" w:rsidR="00F15F7A" w:rsidRPr="00092B22" w:rsidRDefault="00F15F7A" w:rsidP="00E607DA">
            <w:pPr>
              <w:jc w:val="right"/>
              <w:rPr>
                <w:rFonts w:ascii="Meta Pro" w:eastAsia="Times New Roman" w:hAnsi="Meta Pro"/>
                <w:szCs w:val="18"/>
                <w:lang w:eastAsia="en-AU"/>
              </w:rPr>
            </w:pPr>
            <w:r w:rsidRPr="00A6074A">
              <w:rPr>
                <w:rFonts w:ascii="Meta Pro" w:eastAsia="Times New Roman" w:hAnsi="Meta Pro"/>
                <w:szCs w:val="18"/>
                <w:lang w:eastAsia="en-AU"/>
              </w:rPr>
              <w:t>(2,095)</w:t>
            </w:r>
          </w:p>
        </w:tc>
        <w:tc>
          <w:tcPr>
            <w:tcW w:w="234" w:type="dxa"/>
            <w:tcBorders>
              <w:top w:val="nil"/>
              <w:left w:val="nil"/>
              <w:bottom w:val="nil"/>
              <w:right w:val="nil"/>
            </w:tcBorders>
            <w:shd w:val="clear" w:color="auto" w:fill="auto"/>
            <w:noWrap/>
            <w:vAlign w:val="center"/>
            <w:hideMark/>
          </w:tcPr>
          <w:p w14:paraId="113BD779" w14:textId="77777777" w:rsidR="00F15F7A" w:rsidRPr="00092B22" w:rsidRDefault="00F15F7A" w:rsidP="00E607DA">
            <w:pPr>
              <w:jc w:val="right"/>
              <w:rPr>
                <w:rFonts w:ascii="Meta Pro" w:eastAsia="Times New Roman" w:hAnsi="Meta Pro"/>
                <w:szCs w:val="18"/>
                <w:lang w:eastAsia="en-AU"/>
              </w:rPr>
            </w:pPr>
          </w:p>
        </w:tc>
        <w:tc>
          <w:tcPr>
            <w:tcW w:w="1173" w:type="dxa"/>
            <w:tcBorders>
              <w:top w:val="nil"/>
              <w:left w:val="nil"/>
              <w:bottom w:val="nil"/>
              <w:right w:val="nil"/>
            </w:tcBorders>
            <w:shd w:val="clear" w:color="auto" w:fill="auto"/>
            <w:noWrap/>
            <w:vAlign w:val="center"/>
            <w:hideMark/>
          </w:tcPr>
          <w:p w14:paraId="3FC5ED83" w14:textId="77777777" w:rsidR="00F15F7A" w:rsidRPr="00092B22" w:rsidRDefault="00F15F7A" w:rsidP="00E607DA">
            <w:pPr>
              <w:jc w:val="right"/>
              <w:rPr>
                <w:rFonts w:ascii="Meta Pro" w:eastAsia="Times New Roman" w:hAnsi="Meta Pro"/>
                <w:szCs w:val="18"/>
                <w:lang w:eastAsia="en-AU"/>
              </w:rPr>
            </w:pPr>
            <w:r w:rsidRPr="00A6074A">
              <w:rPr>
                <w:rFonts w:ascii="Meta Pro" w:eastAsia="Times New Roman" w:hAnsi="Meta Pro"/>
                <w:szCs w:val="18"/>
                <w:lang w:eastAsia="en-AU"/>
              </w:rPr>
              <w:t>(40,280)</w:t>
            </w:r>
          </w:p>
        </w:tc>
      </w:tr>
      <w:tr w:rsidR="00F15F7A" w:rsidRPr="00092B22" w14:paraId="57036D23" w14:textId="77777777" w:rsidTr="00E607DA">
        <w:trPr>
          <w:trHeight w:val="240"/>
        </w:trPr>
        <w:tc>
          <w:tcPr>
            <w:tcW w:w="7058" w:type="dxa"/>
            <w:tcBorders>
              <w:top w:val="single" w:sz="4" w:space="0" w:color="auto"/>
              <w:left w:val="nil"/>
              <w:bottom w:val="nil"/>
              <w:right w:val="nil"/>
            </w:tcBorders>
            <w:shd w:val="clear" w:color="auto" w:fill="auto"/>
            <w:noWrap/>
            <w:vAlign w:val="center"/>
            <w:hideMark/>
          </w:tcPr>
          <w:p w14:paraId="4BD7254A" w14:textId="77777777" w:rsidR="00F15F7A" w:rsidRPr="00092B22" w:rsidRDefault="00F15F7A" w:rsidP="00E607DA">
            <w:pPr>
              <w:rPr>
                <w:rFonts w:ascii="Meta Pro" w:eastAsia="Times New Roman" w:hAnsi="Meta Pro"/>
                <w:szCs w:val="18"/>
                <w:lang w:eastAsia="en-AU"/>
              </w:rPr>
            </w:pPr>
            <w:r w:rsidRPr="00092B22">
              <w:rPr>
                <w:rFonts w:ascii="Meta Pro" w:eastAsia="Times New Roman" w:hAnsi="Meta Pro"/>
                <w:szCs w:val="18"/>
                <w:lang w:eastAsia="en-AU"/>
              </w:rPr>
              <w:t xml:space="preserve">Total appropriation received </w:t>
            </w:r>
          </w:p>
        </w:tc>
        <w:tc>
          <w:tcPr>
            <w:tcW w:w="1173" w:type="dxa"/>
            <w:tcBorders>
              <w:top w:val="nil"/>
              <w:left w:val="nil"/>
              <w:bottom w:val="nil"/>
              <w:right w:val="nil"/>
            </w:tcBorders>
            <w:shd w:val="clear" w:color="000000" w:fill="C9E3B4"/>
            <w:noWrap/>
            <w:vAlign w:val="center"/>
            <w:hideMark/>
          </w:tcPr>
          <w:p w14:paraId="17BE6DDD"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5,944,558 </w:t>
            </w:r>
          </w:p>
        </w:tc>
        <w:tc>
          <w:tcPr>
            <w:tcW w:w="234" w:type="dxa"/>
            <w:tcBorders>
              <w:top w:val="single" w:sz="4" w:space="0" w:color="auto"/>
              <w:left w:val="nil"/>
              <w:bottom w:val="nil"/>
              <w:right w:val="nil"/>
            </w:tcBorders>
            <w:shd w:val="clear" w:color="auto" w:fill="auto"/>
            <w:noWrap/>
            <w:vAlign w:val="center"/>
            <w:hideMark/>
          </w:tcPr>
          <w:p w14:paraId="7F8972ED"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w:t>
            </w:r>
          </w:p>
        </w:tc>
        <w:tc>
          <w:tcPr>
            <w:tcW w:w="1173" w:type="dxa"/>
            <w:tcBorders>
              <w:top w:val="single" w:sz="4" w:space="0" w:color="auto"/>
              <w:left w:val="nil"/>
              <w:bottom w:val="nil"/>
              <w:right w:val="nil"/>
            </w:tcBorders>
            <w:shd w:val="clear" w:color="auto" w:fill="auto"/>
            <w:noWrap/>
            <w:vAlign w:val="center"/>
            <w:hideMark/>
          </w:tcPr>
          <w:p w14:paraId="570ADE6A"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5,632,724 </w:t>
            </w:r>
          </w:p>
        </w:tc>
      </w:tr>
      <w:tr w:rsidR="00F15F7A" w:rsidRPr="00092B22" w14:paraId="12BAFFEE" w14:textId="77777777" w:rsidTr="00E607DA">
        <w:trPr>
          <w:trHeight w:val="240"/>
        </w:trPr>
        <w:tc>
          <w:tcPr>
            <w:tcW w:w="7058" w:type="dxa"/>
            <w:tcBorders>
              <w:top w:val="nil"/>
              <w:left w:val="nil"/>
              <w:bottom w:val="nil"/>
              <w:right w:val="nil"/>
            </w:tcBorders>
            <w:shd w:val="clear" w:color="auto" w:fill="auto"/>
            <w:noWrap/>
            <w:vAlign w:val="center"/>
            <w:hideMark/>
          </w:tcPr>
          <w:p w14:paraId="397EAF62" w14:textId="77777777" w:rsidR="00F15F7A" w:rsidRPr="00092B22" w:rsidRDefault="00F15F7A" w:rsidP="00E607DA">
            <w:pPr>
              <w:rPr>
                <w:rFonts w:ascii="Meta Pro" w:eastAsia="Times New Roman" w:hAnsi="Meta Pro"/>
                <w:szCs w:val="18"/>
                <w:lang w:eastAsia="en-AU"/>
              </w:rPr>
            </w:pPr>
            <w:r w:rsidRPr="00092B22">
              <w:rPr>
                <w:rFonts w:ascii="Meta Pro" w:eastAsia="Times New Roman" w:hAnsi="Meta Pro"/>
                <w:szCs w:val="18"/>
                <w:lang w:eastAsia="en-AU"/>
              </w:rPr>
              <w:t>Less: Opening balance of appropriation revenue receivable</w:t>
            </w:r>
          </w:p>
        </w:tc>
        <w:tc>
          <w:tcPr>
            <w:tcW w:w="1173" w:type="dxa"/>
            <w:tcBorders>
              <w:top w:val="nil"/>
              <w:left w:val="nil"/>
              <w:bottom w:val="nil"/>
              <w:right w:val="nil"/>
            </w:tcBorders>
            <w:shd w:val="clear" w:color="000000" w:fill="C9E3B4"/>
            <w:noWrap/>
            <w:vAlign w:val="center"/>
            <w:hideMark/>
          </w:tcPr>
          <w:p w14:paraId="4C1B0A02"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(19,010)</w:t>
            </w:r>
          </w:p>
        </w:tc>
        <w:tc>
          <w:tcPr>
            <w:tcW w:w="234" w:type="dxa"/>
            <w:tcBorders>
              <w:top w:val="nil"/>
              <w:left w:val="nil"/>
              <w:bottom w:val="nil"/>
              <w:right w:val="nil"/>
            </w:tcBorders>
            <w:shd w:val="clear" w:color="auto" w:fill="auto"/>
            <w:noWrap/>
            <w:vAlign w:val="center"/>
            <w:hideMark/>
          </w:tcPr>
          <w:p w14:paraId="445BCC89" w14:textId="77777777" w:rsidR="00F15F7A" w:rsidRPr="00092B22" w:rsidRDefault="00F15F7A" w:rsidP="00E607DA">
            <w:pPr>
              <w:jc w:val="right"/>
              <w:rPr>
                <w:rFonts w:ascii="Meta Pro" w:eastAsia="Times New Roman" w:hAnsi="Meta Pro"/>
                <w:szCs w:val="18"/>
                <w:lang w:eastAsia="en-AU"/>
              </w:rPr>
            </w:pPr>
          </w:p>
        </w:tc>
        <w:tc>
          <w:tcPr>
            <w:tcW w:w="1173" w:type="dxa"/>
            <w:tcBorders>
              <w:top w:val="nil"/>
              <w:left w:val="nil"/>
              <w:bottom w:val="nil"/>
              <w:right w:val="nil"/>
            </w:tcBorders>
            <w:shd w:val="clear" w:color="auto" w:fill="auto"/>
            <w:noWrap/>
            <w:vAlign w:val="center"/>
            <w:hideMark/>
          </w:tcPr>
          <w:p w14:paraId="10C28D7F"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r>
      <w:tr w:rsidR="00F15F7A" w:rsidRPr="00092B22" w14:paraId="541B2D39" w14:textId="77777777" w:rsidTr="00E607DA">
        <w:trPr>
          <w:trHeight w:val="240"/>
        </w:trPr>
        <w:tc>
          <w:tcPr>
            <w:tcW w:w="7058" w:type="dxa"/>
            <w:tcBorders>
              <w:top w:val="nil"/>
              <w:left w:val="nil"/>
              <w:bottom w:val="nil"/>
              <w:right w:val="nil"/>
            </w:tcBorders>
            <w:shd w:val="clear" w:color="auto" w:fill="auto"/>
            <w:noWrap/>
            <w:vAlign w:val="center"/>
            <w:hideMark/>
          </w:tcPr>
          <w:p w14:paraId="2AF9092E" w14:textId="77777777" w:rsidR="00F15F7A" w:rsidRPr="00092B22" w:rsidRDefault="00F15F7A" w:rsidP="00E607DA">
            <w:pPr>
              <w:rPr>
                <w:rFonts w:ascii="Meta Pro" w:eastAsia="Times New Roman" w:hAnsi="Meta Pro"/>
                <w:szCs w:val="18"/>
                <w:lang w:eastAsia="en-AU"/>
              </w:rPr>
            </w:pPr>
            <w:r w:rsidRPr="00092B22">
              <w:rPr>
                <w:rFonts w:ascii="Meta Pro" w:eastAsia="Times New Roman" w:hAnsi="Meta Pro"/>
                <w:szCs w:val="18"/>
                <w:lang w:eastAsia="en-AU"/>
              </w:rPr>
              <w:t>Plus: Closing balance of appropriation revenue receivable</w:t>
            </w:r>
          </w:p>
        </w:tc>
        <w:tc>
          <w:tcPr>
            <w:tcW w:w="1173" w:type="dxa"/>
            <w:tcBorders>
              <w:top w:val="nil"/>
              <w:left w:val="nil"/>
              <w:bottom w:val="nil"/>
              <w:right w:val="nil"/>
            </w:tcBorders>
            <w:shd w:val="clear" w:color="000000" w:fill="C9E3B4"/>
            <w:noWrap/>
            <w:vAlign w:val="center"/>
            <w:hideMark/>
          </w:tcPr>
          <w:p w14:paraId="2EE1FAA3"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1,993 </w:t>
            </w:r>
          </w:p>
        </w:tc>
        <w:tc>
          <w:tcPr>
            <w:tcW w:w="234" w:type="dxa"/>
            <w:tcBorders>
              <w:top w:val="nil"/>
              <w:left w:val="nil"/>
              <w:bottom w:val="nil"/>
              <w:right w:val="nil"/>
            </w:tcBorders>
            <w:shd w:val="clear" w:color="auto" w:fill="auto"/>
            <w:noWrap/>
            <w:vAlign w:val="center"/>
            <w:hideMark/>
          </w:tcPr>
          <w:p w14:paraId="2E58F949" w14:textId="77777777" w:rsidR="00F15F7A" w:rsidRPr="00092B22" w:rsidRDefault="00F15F7A" w:rsidP="00E607DA">
            <w:pPr>
              <w:jc w:val="right"/>
              <w:rPr>
                <w:rFonts w:ascii="Meta Pro" w:eastAsia="Times New Roman" w:hAnsi="Meta Pro"/>
                <w:szCs w:val="18"/>
                <w:lang w:eastAsia="en-AU"/>
              </w:rPr>
            </w:pPr>
          </w:p>
        </w:tc>
        <w:tc>
          <w:tcPr>
            <w:tcW w:w="1173" w:type="dxa"/>
            <w:tcBorders>
              <w:top w:val="nil"/>
              <w:left w:val="nil"/>
              <w:bottom w:val="nil"/>
              <w:right w:val="nil"/>
            </w:tcBorders>
            <w:shd w:val="clear" w:color="auto" w:fill="auto"/>
            <w:noWrap/>
            <w:vAlign w:val="center"/>
            <w:hideMark/>
          </w:tcPr>
          <w:p w14:paraId="26603698"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19,010 </w:t>
            </w:r>
          </w:p>
        </w:tc>
      </w:tr>
      <w:tr w:rsidR="00F15F7A" w:rsidRPr="00092B22" w14:paraId="19042629" w14:textId="77777777" w:rsidTr="00E607DA">
        <w:trPr>
          <w:trHeight w:val="240"/>
        </w:trPr>
        <w:tc>
          <w:tcPr>
            <w:tcW w:w="7058" w:type="dxa"/>
            <w:tcBorders>
              <w:top w:val="nil"/>
              <w:left w:val="nil"/>
              <w:bottom w:val="nil"/>
              <w:right w:val="nil"/>
            </w:tcBorders>
            <w:shd w:val="clear" w:color="auto" w:fill="auto"/>
            <w:noWrap/>
            <w:vAlign w:val="center"/>
            <w:hideMark/>
          </w:tcPr>
          <w:p w14:paraId="31A2D2E7" w14:textId="77777777" w:rsidR="00F15F7A" w:rsidRPr="00092B22" w:rsidRDefault="00F15F7A" w:rsidP="00E607DA">
            <w:pPr>
              <w:rPr>
                <w:rFonts w:ascii="Meta Pro" w:eastAsia="Times New Roman" w:hAnsi="Meta Pro"/>
                <w:szCs w:val="18"/>
                <w:lang w:eastAsia="en-AU"/>
              </w:rPr>
            </w:pPr>
            <w:r w:rsidRPr="00092B22">
              <w:rPr>
                <w:rFonts w:ascii="Meta Pro" w:eastAsia="Times New Roman" w:hAnsi="Meta Pro"/>
                <w:szCs w:val="18"/>
                <w:lang w:eastAsia="en-AU"/>
              </w:rPr>
              <w:t>Plus: Opening balance of deferred appropriation payable to Consolidated Fund</w:t>
            </w:r>
          </w:p>
        </w:tc>
        <w:tc>
          <w:tcPr>
            <w:tcW w:w="1173" w:type="dxa"/>
            <w:tcBorders>
              <w:top w:val="nil"/>
              <w:left w:val="nil"/>
              <w:bottom w:val="nil"/>
              <w:right w:val="nil"/>
            </w:tcBorders>
            <w:shd w:val="clear" w:color="000000" w:fill="C9E3B4"/>
            <w:noWrap/>
            <w:vAlign w:val="center"/>
            <w:hideMark/>
          </w:tcPr>
          <w:p w14:paraId="4E81B0AC"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c>
          <w:tcPr>
            <w:tcW w:w="234" w:type="dxa"/>
            <w:tcBorders>
              <w:top w:val="nil"/>
              <w:left w:val="nil"/>
              <w:bottom w:val="nil"/>
              <w:right w:val="nil"/>
            </w:tcBorders>
            <w:shd w:val="clear" w:color="auto" w:fill="auto"/>
            <w:noWrap/>
            <w:vAlign w:val="center"/>
            <w:hideMark/>
          </w:tcPr>
          <w:p w14:paraId="60639EA2" w14:textId="77777777" w:rsidR="00F15F7A" w:rsidRPr="00092B22" w:rsidRDefault="00F15F7A" w:rsidP="00E607DA">
            <w:pPr>
              <w:jc w:val="right"/>
              <w:rPr>
                <w:rFonts w:ascii="Meta Pro" w:eastAsia="Times New Roman" w:hAnsi="Meta Pro"/>
                <w:szCs w:val="18"/>
                <w:lang w:eastAsia="en-AU"/>
              </w:rPr>
            </w:pPr>
          </w:p>
        </w:tc>
        <w:tc>
          <w:tcPr>
            <w:tcW w:w="1173" w:type="dxa"/>
            <w:tcBorders>
              <w:top w:val="nil"/>
              <w:left w:val="nil"/>
              <w:bottom w:val="nil"/>
              <w:right w:val="nil"/>
            </w:tcBorders>
            <w:shd w:val="clear" w:color="auto" w:fill="auto"/>
            <w:noWrap/>
            <w:vAlign w:val="center"/>
            <w:hideMark/>
          </w:tcPr>
          <w:p w14:paraId="68C9991F"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61,290 </w:t>
            </w:r>
          </w:p>
        </w:tc>
      </w:tr>
      <w:tr w:rsidR="00F15F7A" w:rsidRPr="00092B22" w14:paraId="70D6A586" w14:textId="77777777" w:rsidTr="00E607DA">
        <w:trPr>
          <w:trHeight w:val="240"/>
        </w:trPr>
        <w:tc>
          <w:tcPr>
            <w:tcW w:w="7058" w:type="dxa"/>
            <w:tcBorders>
              <w:top w:val="nil"/>
              <w:left w:val="nil"/>
              <w:bottom w:val="single" w:sz="4" w:space="0" w:color="auto"/>
              <w:right w:val="nil"/>
            </w:tcBorders>
            <w:shd w:val="clear" w:color="auto" w:fill="auto"/>
            <w:noWrap/>
            <w:vAlign w:val="center"/>
            <w:hideMark/>
          </w:tcPr>
          <w:p w14:paraId="4F38BBF3" w14:textId="77777777" w:rsidR="00F15F7A" w:rsidRPr="00092B22" w:rsidRDefault="00F15F7A" w:rsidP="00E607DA">
            <w:pPr>
              <w:rPr>
                <w:rFonts w:ascii="Meta Pro" w:eastAsia="Times New Roman" w:hAnsi="Meta Pro"/>
                <w:szCs w:val="18"/>
                <w:lang w:eastAsia="en-AU"/>
              </w:rPr>
            </w:pPr>
            <w:r w:rsidRPr="00092B22">
              <w:rPr>
                <w:rFonts w:ascii="Meta Pro" w:eastAsia="Times New Roman" w:hAnsi="Meta Pro"/>
                <w:szCs w:val="18"/>
                <w:lang w:eastAsia="en-AU"/>
              </w:rPr>
              <w:t>Less: Closing balance of deferred appropriation payable to Consolidated Fund</w:t>
            </w:r>
          </w:p>
        </w:tc>
        <w:tc>
          <w:tcPr>
            <w:tcW w:w="1173" w:type="dxa"/>
            <w:tcBorders>
              <w:top w:val="nil"/>
              <w:left w:val="nil"/>
              <w:bottom w:val="single" w:sz="4" w:space="0" w:color="auto"/>
              <w:right w:val="nil"/>
            </w:tcBorders>
            <w:shd w:val="clear" w:color="000000" w:fill="C9E3B4"/>
            <w:noWrap/>
            <w:vAlign w:val="center"/>
            <w:hideMark/>
          </w:tcPr>
          <w:p w14:paraId="4E8F36F0"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c>
          <w:tcPr>
            <w:tcW w:w="234" w:type="dxa"/>
            <w:tcBorders>
              <w:top w:val="nil"/>
              <w:left w:val="nil"/>
              <w:bottom w:val="single" w:sz="4" w:space="0" w:color="auto"/>
              <w:right w:val="nil"/>
            </w:tcBorders>
            <w:shd w:val="clear" w:color="auto" w:fill="auto"/>
            <w:noWrap/>
            <w:vAlign w:val="center"/>
            <w:hideMark/>
          </w:tcPr>
          <w:p w14:paraId="673B70F9"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w:t>
            </w:r>
          </w:p>
        </w:tc>
        <w:tc>
          <w:tcPr>
            <w:tcW w:w="1173" w:type="dxa"/>
            <w:tcBorders>
              <w:top w:val="nil"/>
              <w:left w:val="nil"/>
              <w:bottom w:val="single" w:sz="4" w:space="0" w:color="auto"/>
              <w:right w:val="nil"/>
            </w:tcBorders>
            <w:shd w:val="clear" w:color="auto" w:fill="auto"/>
            <w:noWrap/>
            <w:vAlign w:val="center"/>
            <w:hideMark/>
          </w:tcPr>
          <w:p w14:paraId="6E69EDDA"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r>
      <w:tr w:rsidR="00F15F7A" w:rsidRPr="00092B22" w14:paraId="635E9371" w14:textId="77777777" w:rsidTr="00E607DA">
        <w:trPr>
          <w:trHeight w:val="240"/>
        </w:trPr>
        <w:tc>
          <w:tcPr>
            <w:tcW w:w="7058" w:type="dxa"/>
            <w:tcBorders>
              <w:top w:val="nil"/>
              <w:left w:val="nil"/>
              <w:bottom w:val="single" w:sz="4" w:space="0" w:color="auto"/>
              <w:right w:val="nil"/>
            </w:tcBorders>
            <w:shd w:val="clear" w:color="auto" w:fill="auto"/>
            <w:noWrap/>
            <w:vAlign w:val="center"/>
            <w:hideMark/>
          </w:tcPr>
          <w:p w14:paraId="75990415" w14:textId="77777777" w:rsidR="00F15F7A" w:rsidRPr="00092B22" w:rsidRDefault="00F15F7A" w:rsidP="00E607DA">
            <w:pPr>
              <w:rPr>
                <w:rFonts w:ascii="Meta Pro" w:eastAsia="Times New Roman" w:hAnsi="Meta Pro"/>
                <w:szCs w:val="18"/>
                <w:lang w:eastAsia="en-AU"/>
              </w:rPr>
            </w:pPr>
            <w:r w:rsidRPr="00092B22">
              <w:rPr>
                <w:rFonts w:ascii="Meta Pro" w:eastAsia="Times New Roman" w:hAnsi="Meta Pro"/>
                <w:szCs w:val="18"/>
                <w:lang w:eastAsia="en-AU"/>
              </w:rPr>
              <w:lastRenderedPageBreak/>
              <w:t>Net appropriation revenue</w:t>
            </w:r>
          </w:p>
        </w:tc>
        <w:tc>
          <w:tcPr>
            <w:tcW w:w="1173" w:type="dxa"/>
            <w:tcBorders>
              <w:top w:val="nil"/>
              <w:left w:val="nil"/>
              <w:bottom w:val="single" w:sz="4" w:space="0" w:color="auto"/>
              <w:right w:val="nil"/>
            </w:tcBorders>
            <w:shd w:val="clear" w:color="000000" w:fill="C9E3B4"/>
            <w:noWrap/>
            <w:vAlign w:val="center"/>
            <w:hideMark/>
          </w:tcPr>
          <w:p w14:paraId="0A3E83F5"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5,927,541 </w:t>
            </w:r>
          </w:p>
        </w:tc>
        <w:tc>
          <w:tcPr>
            <w:tcW w:w="234" w:type="dxa"/>
            <w:tcBorders>
              <w:top w:val="nil"/>
              <w:left w:val="nil"/>
              <w:bottom w:val="single" w:sz="4" w:space="0" w:color="auto"/>
              <w:right w:val="nil"/>
            </w:tcBorders>
            <w:shd w:val="clear" w:color="auto" w:fill="auto"/>
            <w:noWrap/>
            <w:vAlign w:val="center"/>
            <w:hideMark/>
          </w:tcPr>
          <w:p w14:paraId="1B58F7E4"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w:t>
            </w:r>
          </w:p>
        </w:tc>
        <w:tc>
          <w:tcPr>
            <w:tcW w:w="1173" w:type="dxa"/>
            <w:tcBorders>
              <w:top w:val="nil"/>
              <w:left w:val="nil"/>
              <w:bottom w:val="single" w:sz="4" w:space="0" w:color="auto"/>
              <w:right w:val="nil"/>
            </w:tcBorders>
            <w:shd w:val="clear" w:color="auto" w:fill="auto"/>
            <w:noWrap/>
            <w:vAlign w:val="center"/>
            <w:hideMark/>
          </w:tcPr>
          <w:p w14:paraId="3F2AADE9"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5,713,024 </w:t>
            </w:r>
          </w:p>
        </w:tc>
      </w:tr>
      <w:tr w:rsidR="00F15F7A" w:rsidRPr="00092B22" w14:paraId="785BCB56" w14:textId="77777777" w:rsidTr="00E607DA">
        <w:trPr>
          <w:trHeight w:val="240"/>
        </w:trPr>
        <w:tc>
          <w:tcPr>
            <w:tcW w:w="7058" w:type="dxa"/>
            <w:tcBorders>
              <w:top w:val="single" w:sz="4" w:space="0" w:color="auto"/>
              <w:left w:val="nil"/>
              <w:bottom w:val="double" w:sz="6" w:space="0" w:color="auto"/>
              <w:right w:val="nil"/>
            </w:tcBorders>
            <w:shd w:val="clear" w:color="auto" w:fill="auto"/>
            <w:noWrap/>
            <w:vAlign w:val="center"/>
            <w:hideMark/>
          </w:tcPr>
          <w:p w14:paraId="3E4B410C" w14:textId="77777777" w:rsidR="00F15F7A" w:rsidRPr="00092B22" w:rsidRDefault="00F15F7A" w:rsidP="00E607DA">
            <w:pPr>
              <w:rPr>
                <w:rFonts w:ascii="Meta Pro" w:eastAsia="Times New Roman" w:hAnsi="Meta Pro"/>
                <w:b/>
                <w:bCs/>
                <w:szCs w:val="18"/>
                <w:lang w:eastAsia="en-AU"/>
              </w:rPr>
            </w:pPr>
            <w:r w:rsidRPr="00092B22">
              <w:rPr>
                <w:rFonts w:ascii="Meta Pro" w:eastAsia="Times New Roman" w:hAnsi="Meta Pro"/>
                <w:b/>
                <w:bCs/>
                <w:szCs w:val="18"/>
                <w:lang w:eastAsia="en-AU"/>
              </w:rPr>
              <w:t>Appropriation revenue recognised in Statement of comprehensive income</w:t>
            </w:r>
          </w:p>
        </w:tc>
        <w:tc>
          <w:tcPr>
            <w:tcW w:w="1173" w:type="dxa"/>
            <w:tcBorders>
              <w:top w:val="nil"/>
              <w:left w:val="nil"/>
              <w:bottom w:val="double" w:sz="6" w:space="0" w:color="auto"/>
              <w:right w:val="nil"/>
            </w:tcBorders>
            <w:shd w:val="clear" w:color="000000" w:fill="C9E3B4"/>
            <w:noWrap/>
            <w:vAlign w:val="center"/>
            <w:hideMark/>
          </w:tcPr>
          <w:p w14:paraId="680B51E2" w14:textId="77777777" w:rsidR="00F15F7A" w:rsidRPr="00092B22" w:rsidRDefault="00F15F7A"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5,927,541 </w:t>
            </w:r>
          </w:p>
        </w:tc>
        <w:tc>
          <w:tcPr>
            <w:tcW w:w="234" w:type="dxa"/>
            <w:tcBorders>
              <w:top w:val="single" w:sz="4" w:space="0" w:color="auto"/>
              <w:left w:val="nil"/>
              <w:bottom w:val="double" w:sz="6" w:space="0" w:color="auto"/>
              <w:right w:val="nil"/>
            </w:tcBorders>
            <w:shd w:val="clear" w:color="auto" w:fill="auto"/>
            <w:noWrap/>
            <w:vAlign w:val="center"/>
            <w:hideMark/>
          </w:tcPr>
          <w:p w14:paraId="155133DB" w14:textId="77777777" w:rsidR="00F15F7A" w:rsidRPr="00092B22" w:rsidRDefault="00F15F7A"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173" w:type="dxa"/>
            <w:tcBorders>
              <w:top w:val="nil"/>
              <w:left w:val="nil"/>
              <w:bottom w:val="double" w:sz="6" w:space="0" w:color="auto"/>
              <w:right w:val="nil"/>
            </w:tcBorders>
            <w:shd w:val="clear" w:color="auto" w:fill="auto"/>
            <w:noWrap/>
            <w:vAlign w:val="center"/>
            <w:hideMark/>
          </w:tcPr>
          <w:p w14:paraId="673F097C" w14:textId="77777777" w:rsidR="00F15F7A" w:rsidRPr="00092B22" w:rsidRDefault="00F15F7A"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5,713,024 </w:t>
            </w:r>
          </w:p>
        </w:tc>
      </w:tr>
      <w:tr w:rsidR="00F15F7A" w:rsidRPr="00092B22" w14:paraId="0040D0F9" w14:textId="77777777" w:rsidTr="00E607DA">
        <w:trPr>
          <w:trHeight w:val="240"/>
        </w:trPr>
        <w:tc>
          <w:tcPr>
            <w:tcW w:w="7058" w:type="dxa"/>
            <w:tcBorders>
              <w:top w:val="nil"/>
              <w:left w:val="nil"/>
              <w:bottom w:val="nil"/>
              <w:right w:val="nil"/>
            </w:tcBorders>
            <w:shd w:val="clear" w:color="auto" w:fill="auto"/>
            <w:noWrap/>
            <w:vAlign w:val="center"/>
            <w:hideMark/>
          </w:tcPr>
          <w:p w14:paraId="749494A8" w14:textId="77777777" w:rsidR="00F15F7A" w:rsidRPr="00092B22" w:rsidRDefault="00F15F7A" w:rsidP="00E607DA">
            <w:pPr>
              <w:jc w:val="right"/>
              <w:rPr>
                <w:rFonts w:ascii="Meta Pro" w:eastAsia="Times New Roman" w:hAnsi="Meta Pro"/>
                <w:b/>
                <w:bCs/>
                <w:szCs w:val="18"/>
                <w:lang w:eastAsia="en-AU"/>
              </w:rPr>
            </w:pPr>
          </w:p>
        </w:tc>
        <w:tc>
          <w:tcPr>
            <w:tcW w:w="1173" w:type="dxa"/>
            <w:tcBorders>
              <w:top w:val="nil"/>
              <w:left w:val="nil"/>
              <w:bottom w:val="nil"/>
              <w:right w:val="nil"/>
            </w:tcBorders>
            <w:shd w:val="clear" w:color="auto" w:fill="auto"/>
            <w:noWrap/>
            <w:vAlign w:val="center"/>
            <w:hideMark/>
          </w:tcPr>
          <w:p w14:paraId="0317D8F6" w14:textId="77777777" w:rsidR="00F15F7A" w:rsidRPr="00092B22" w:rsidRDefault="00F15F7A" w:rsidP="00E607DA">
            <w:pPr>
              <w:rPr>
                <w:rFonts w:ascii="Meta Pro" w:eastAsia="Times New Roman" w:hAnsi="Meta Pro" w:cs="Times New Roman"/>
                <w:sz w:val="20"/>
                <w:szCs w:val="20"/>
                <w:lang w:eastAsia="en-AU"/>
              </w:rPr>
            </w:pPr>
          </w:p>
        </w:tc>
        <w:tc>
          <w:tcPr>
            <w:tcW w:w="234" w:type="dxa"/>
            <w:tcBorders>
              <w:top w:val="nil"/>
              <w:left w:val="nil"/>
              <w:bottom w:val="nil"/>
              <w:right w:val="nil"/>
            </w:tcBorders>
            <w:shd w:val="clear" w:color="auto" w:fill="auto"/>
            <w:noWrap/>
            <w:vAlign w:val="center"/>
            <w:hideMark/>
          </w:tcPr>
          <w:p w14:paraId="44EB0672" w14:textId="77777777" w:rsidR="00F15F7A" w:rsidRPr="00092B22" w:rsidRDefault="00F15F7A" w:rsidP="00E607DA">
            <w:pPr>
              <w:jc w:val="right"/>
              <w:rPr>
                <w:rFonts w:ascii="Meta Pro" w:eastAsia="Times New Roman" w:hAnsi="Meta Pro" w:cs="Times New Roman"/>
                <w:sz w:val="20"/>
                <w:szCs w:val="20"/>
                <w:lang w:eastAsia="en-AU"/>
              </w:rPr>
            </w:pPr>
          </w:p>
        </w:tc>
        <w:tc>
          <w:tcPr>
            <w:tcW w:w="1173" w:type="dxa"/>
            <w:tcBorders>
              <w:top w:val="nil"/>
              <w:left w:val="nil"/>
              <w:bottom w:val="nil"/>
              <w:right w:val="nil"/>
            </w:tcBorders>
            <w:shd w:val="clear" w:color="auto" w:fill="auto"/>
            <w:noWrap/>
            <w:vAlign w:val="center"/>
            <w:hideMark/>
          </w:tcPr>
          <w:p w14:paraId="07631C49" w14:textId="77777777" w:rsidR="00F15F7A" w:rsidRPr="00092B22" w:rsidRDefault="00F15F7A" w:rsidP="00E607DA">
            <w:pPr>
              <w:jc w:val="right"/>
              <w:rPr>
                <w:rFonts w:ascii="Meta Pro" w:eastAsia="Times New Roman" w:hAnsi="Meta Pro" w:cs="Times New Roman"/>
                <w:sz w:val="20"/>
                <w:szCs w:val="20"/>
                <w:lang w:eastAsia="en-AU"/>
              </w:rPr>
            </w:pPr>
          </w:p>
        </w:tc>
      </w:tr>
      <w:tr w:rsidR="00F15F7A" w:rsidRPr="00092B22" w14:paraId="326E98DF" w14:textId="77777777" w:rsidTr="00E607DA">
        <w:trPr>
          <w:trHeight w:val="240"/>
        </w:trPr>
        <w:tc>
          <w:tcPr>
            <w:tcW w:w="7058" w:type="dxa"/>
            <w:tcBorders>
              <w:top w:val="nil"/>
              <w:left w:val="nil"/>
              <w:bottom w:val="nil"/>
              <w:right w:val="nil"/>
            </w:tcBorders>
            <w:shd w:val="clear" w:color="auto" w:fill="auto"/>
            <w:noWrap/>
            <w:vAlign w:val="center"/>
            <w:hideMark/>
          </w:tcPr>
          <w:p w14:paraId="519D99A0" w14:textId="77777777" w:rsidR="00F15F7A" w:rsidRPr="00092B22" w:rsidRDefault="00F15F7A" w:rsidP="00E607DA">
            <w:pPr>
              <w:rPr>
                <w:rFonts w:ascii="Meta Pro" w:eastAsia="Times New Roman" w:hAnsi="Meta Pro"/>
                <w:b/>
                <w:bCs/>
                <w:szCs w:val="18"/>
                <w:lang w:eastAsia="en-AU"/>
              </w:rPr>
            </w:pPr>
            <w:r w:rsidRPr="00092B22">
              <w:rPr>
                <w:rFonts w:ascii="Meta Pro" w:eastAsia="Times New Roman" w:hAnsi="Meta Pro"/>
                <w:b/>
                <w:bCs/>
                <w:szCs w:val="18"/>
                <w:lang w:eastAsia="en-AU"/>
              </w:rPr>
              <w:t>Reconciliation of payments from Consolidated Fund to equity adjustment</w:t>
            </w:r>
          </w:p>
        </w:tc>
        <w:tc>
          <w:tcPr>
            <w:tcW w:w="1173" w:type="dxa"/>
            <w:tcBorders>
              <w:top w:val="nil"/>
              <w:left w:val="nil"/>
              <w:bottom w:val="nil"/>
              <w:right w:val="nil"/>
            </w:tcBorders>
            <w:shd w:val="clear" w:color="auto" w:fill="auto"/>
            <w:noWrap/>
            <w:vAlign w:val="center"/>
            <w:hideMark/>
          </w:tcPr>
          <w:p w14:paraId="261B7FAC" w14:textId="77777777" w:rsidR="00F15F7A" w:rsidRPr="00092B22" w:rsidRDefault="00F15F7A" w:rsidP="00E607DA">
            <w:pPr>
              <w:rPr>
                <w:rFonts w:ascii="Meta Pro" w:eastAsia="Times New Roman" w:hAnsi="Meta Pro"/>
                <w:b/>
                <w:bCs/>
                <w:szCs w:val="18"/>
                <w:lang w:eastAsia="en-AU"/>
              </w:rPr>
            </w:pPr>
          </w:p>
        </w:tc>
        <w:tc>
          <w:tcPr>
            <w:tcW w:w="234" w:type="dxa"/>
            <w:tcBorders>
              <w:top w:val="nil"/>
              <w:left w:val="nil"/>
              <w:bottom w:val="nil"/>
              <w:right w:val="nil"/>
            </w:tcBorders>
            <w:shd w:val="clear" w:color="auto" w:fill="auto"/>
            <w:noWrap/>
            <w:vAlign w:val="center"/>
            <w:hideMark/>
          </w:tcPr>
          <w:p w14:paraId="07FDA49B" w14:textId="77777777" w:rsidR="00F15F7A" w:rsidRPr="00092B22" w:rsidRDefault="00F15F7A" w:rsidP="00E607DA">
            <w:pPr>
              <w:jc w:val="right"/>
              <w:rPr>
                <w:rFonts w:ascii="Meta Pro" w:eastAsia="Times New Roman" w:hAnsi="Meta Pro" w:cs="Times New Roman"/>
                <w:sz w:val="20"/>
                <w:szCs w:val="20"/>
                <w:lang w:eastAsia="en-AU"/>
              </w:rPr>
            </w:pPr>
          </w:p>
        </w:tc>
        <w:tc>
          <w:tcPr>
            <w:tcW w:w="1173" w:type="dxa"/>
            <w:tcBorders>
              <w:top w:val="nil"/>
              <w:left w:val="nil"/>
              <w:bottom w:val="nil"/>
              <w:right w:val="nil"/>
            </w:tcBorders>
            <w:shd w:val="clear" w:color="auto" w:fill="auto"/>
            <w:noWrap/>
            <w:vAlign w:val="center"/>
            <w:hideMark/>
          </w:tcPr>
          <w:p w14:paraId="28A08DD9" w14:textId="77777777" w:rsidR="00F15F7A" w:rsidRPr="00092B22" w:rsidRDefault="00F15F7A" w:rsidP="00E607DA">
            <w:pPr>
              <w:jc w:val="right"/>
              <w:rPr>
                <w:rFonts w:ascii="Meta Pro" w:eastAsia="Times New Roman" w:hAnsi="Meta Pro" w:cs="Times New Roman"/>
                <w:sz w:val="20"/>
                <w:szCs w:val="20"/>
                <w:lang w:eastAsia="en-AU"/>
              </w:rPr>
            </w:pPr>
          </w:p>
        </w:tc>
      </w:tr>
      <w:tr w:rsidR="00F15F7A" w:rsidRPr="00092B22" w14:paraId="0E6CDDBF" w14:textId="77777777" w:rsidTr="00E607DA">
        <w:trPr>
          <w:trHeight w:val="240"/>
        </w:trPr>
        <w:tc>
          <w:tcPr>
            <w:tcW w:w="7058" w:type="dxa"/>
            <w:tcBorders>
              <w:top w:val="nil"/>
              <w:left w:val="nil"/>
              <w:bottom w:val="nil"/>
              <w:right w:val="nil"/>
            </w:tcBorders>
            <w:shd w:val="clear" w:color="auto" w:fill="auto"/>
            <w:noWrap/>
            <w:vAlign w:val="center"/>
            <w:hideMark/>
          </w:tcPr>
          <w:p w14:paraId="57EB7116" w14:textId="77777777" w:rsidR="00F15F7A" w:rsidRPr="00092B22" w:rsidRDefault="00F15F7A" w:rsidP="00E607DA">
            <w:pPr>
              <w:rPr>
                <w:rFonts w:ascii="Meta Pro" w:eastAsia="Times New Roman" w:hAnsi="Meta Pro"/>
                <w:b/>
                <w:bCs/>
                <w:szCs w:val="18"/>
                <w:lang w:eastAsia="en-AU"/>
              </w:rPr>
            </w:pPr>
            <w:r w:rsidRPr="00092B22">
              <w:rPr>
                <w:rFonts w:ascii="Meta Pro" w:eastAsia="Times New Roman" w:hAnsi="Meta Pro"/>
                <w:b/>
                <w:bCs/>
                <w:szCs w:val="18"/>
                <w:lang w:eastAsia="en-AU"/>
              </w:rPr>
              <w:t>recognised in contributed equity</w:t>
            </w:r>
          </w:p>
        </w:tc>
        <w:tc>
          <w:tcPr>
            <w:tcW w:w="1173" w:type="dxa"/>
            <w:tcBorders>
              <w:top w:val="nil"/>
              <w:left w:val="nil"/>
              <w:bottom w:val="nil"/>
              <w:right w:val="nil"/>
            </w:tcBorders>
            <w:shd w:val="clear" w:color="auto" w:fill="auto"/>
            <w:noWrap/>
            <w:vAlign w:val="center"/>
            <w:hideMark/>
          </w:tcPr>
          <w:p w14:paraId="7E5E3D2B" w14:textId="77777777" w:rsidR="00F15F7A" w:rsidRPr="00092B22" w:rsidRDefault="00F15F7A" w:rsidP="00E607DA">
            <w:pPr>
              <w:rPr>
                <w:rFonts w:ascii="Meta Pro" w:eastAsia="Times New Roman" w:hAnsi="Meta Pro"/>
                <w:b/>
                <w:bCs/>
                <w:szCs w:val="18"/>
                <w:lang w:eastAsia="en-AU"/>
              </w:rPr>
            </w:pPr>
          </w:p>
        </w:tc>
        <w:tc>
          <w:tcPr>
            <w:tcW w:w="234" w:type="dxa"/>
            <w:tcBorders>
              <w:top w:val="nil"/>
              <w:left w:val="nil"/>
              <w:bottom w:val="nil"/>
              <w:right w:val="nil"/>
            </w:tcBorders>
            <w:shd w:val="clear" w:color="auto" w:fill="auto"/>
            <w:noWrap/>
            <w:vAlign w:val="center"/>
            <w:hideMark/>
          </w:tcPr>
          <w:p w14:paraId="005D9535" w14:textId="77777777" w:rsidR="00F15F7A" w:rsidRPr="00092B22" w:rsidRDefault="00F15F7A" w:rsidP="00E607DA">
            <w:pPr>
              <w:jc w:val="right"/>
              <w:rPr>
                <w:rFonts w:ascii="Meta Pro" w:eastAsia="Times New Roman" w:hAnsi="Meta Pro" w:cs="Times New Roman"/>
                <w:sz w:val="20"/>
                <w:szCs w:val="20"/>
                <w:lang w:eastAsia="en-AU"/>
              </w:rPr>
            </w:pPr>
          </w:p>
        </w:tc>
        <w:tc>
          <w:tcPr>
            <w:tcW w:w="1173" w:type="dxa"/>
            <w:tcBorders>
              <w:top w:val="nil"/>
              <w:left w:val="nil"/>
              <w:bottom w:val="nil"/>
              <w:right w:val="nil"/>
            </w:tcBorders>
            <w:shd w:val="clear" w:color="auto" w:fill="auto"/>
            <w:noWrap/>
            <w:vAlign w:val="center"/>
            <w:hideMark/>
          </w:tcPr>
          <w:p w14:paraId="2131CC07" w14:textId="77777777" w:rsidR="00F15F7A" w:rsidRPr="00092B22" w:rsidRDefault="00F15F7A" w:rsidP="00E607DA">
            <w:pPr>
              <w:jc w:val="right"/>
              <w:rPr>
                <w:rFonts w:ascii="Meta Pro" w:eastAsia="Times New Roman" w:hAnsi="Meta Pro" w:cs="Times New Roman"/>
                <w:sz w:val="20"/>
                <w:szCs w:val="20"/>
                <w:lang w:eastAsia="en-AU"/>
              </w:rPr>
            </w:pPr>
          </w:p>
        </w:tc>
      </w:tr>
      <w:tr w:rsidR="00F15F7A" w:rsidRPr="00092B22" w14:paraId="75A81770" w14:textId="77777777" w:rsidTr="00E607DA">
        <w:trPr>
          <w:trHeight w:val="240"/>
        </w:trPr>
        <w:tc>
          <w:tcPr>
            <w:tcW w:w="7058" w:type="dxa"/>
            <w:tcBorders>
              <w:top w:val="nil"/>
              <w:left w:val="nil"/>
              <w:bottom w:val="nil"/>
              <w:right w:val="nil"/>
            </w:tcBorders>
            <w:shd w:val="clear" w:color="auto" w:fill="auto"/>
            <w:noWrap/>
            <w:vAlign w:val="center"/>
            <w:hideMark/>
          </w:tcPr>
          <w:p w14:paraId="0183A8E7" w14:textId="77777777" w:rsidR="00F15F7A" w:rsidRPr="00092B22" w:rsidRDefault="00F15F7A" w:rsidP="00E607DA">
            <w:pPr>
              <w:rPr>
                <w:rFonts w:ascii="Meta Pro" w:eastAsia="Times New Roman" w:hAnsi="Meta Pro"/>
                <w:szCs w:val="18"/>
                <w:lang w:eastAsia="en-AU"/>
              </w:rPr>
            </w:pPr>
            <w:r w:rsidRPr="008A010B">
              <w:rPr>
                <w:rFonts w:ascii="Meta Pro" w:eastAsia="Times New Roman" w:hAnsi="Meta Pro"/>
                <w:szCs w:val="18"/>
                <w:lang w:eastAsia="en-AU"/>
              </w:rPr>
              <w:t>Budgeted equity adjustment appropriation</w:t>
            </w:r>
          </w:p>
        </w:tc>
        <w:tc>
          <w:tcPr>
            <w:tcW w:w="1173" w:type="dxa"/>
            <w:tcBorders>
              <w:top w:val="nil"/>
              <w:left w:val="nil"/>
              <w:bottom w:val="nil"/>
              <w:right w:val="nil"/>
            </w:tcBorders>
            <w:shd w:val="clear" w:color="000000" w:fill="C9E3B4"/>
            <w:noWrap/>
            <w:vAlign w:val="center"/>
            <w:hideMark/>
          </w:tcPr>
          <w:p w14:paraId="32F36875" w14:textId="77777777" w:rsidR="00F15F7A" w:rsidRPr="00092B22" w:rsidRDefault="00F15F7A" w:rsidP="00E607DA">
            <w:pPr>
              <w:jc w:val="right"/>
              <w:rPr>
                <w:rFonts w:ascii="Meta Pro" w:eastAsia="Times New Roman" w:hAnsi="Meta Pro"/>
                <w:szCs w:val="18"/>
                <w:lang w:eastAsia="en-AU"/>
              </w:rPr>
            </w:pPr>
            <w:r w:rsidRPr="008A010B">
              <w:rPr>
                <w:rFonts w:ascii="Meta Pro" w:eastAsia="Times New Roman" w:hAnsi="Meta Pro"/>
                <w:szCs w:val="18"/>
                <w:lang w:eastAsia="en-AU"/>
              </w:rPr>
              <w:t xml:space="preserve">2,419,324 </w:t>
            </w:r>
          </w:p>
        </w:tc>
        <w:tc>
          <w:tcPr>
            <w:tcW w:w="234" w:type="dxa"/>
            <w:tcBorders>
              <w:top w:val="nil"/>
              <w:left w:val="nil"/>
              <w:bottom w:val="nil"/>
              <w:right w:val="nil"/>
            </w:tcBorders>
            <w:shd w:val="clear" w:color="auto" w:fill="auto"/>
            <w:noWrap/>
            <w:vAlign w:val="center"/>
            <w:hideMark/>
          </w:tcPr>
          <w:p w14:paraId="3EFB0F5F" w14:textId="77777777" w:rsidR="00F15F7A" w:rsidRPr="00092B22" w:rsidRDefault="00F15F7A" w:rsidP="00E607DA">
            <w:pPr>
              <w:jc w:val="right"/>
              <w:rPr>
                <w:rFonts w:ascii="Meta Pro" w:eastAsia="Times New Roman" w:hAnsi="Meta Pro"/>
                <w:szCs w:val="18"/>
                <w:lang w:eastAsia="en-AU"/>
              </w:rPr>
            </w:pPr>
          </w:p>
        </w:tc>
        <w:tc>
          <w:tcPr>
            <w:tcW w:w="1173" w:type="dxa"/>
            <w:tcBorders>
              <w:top w:val="nil"/>
              <w:left w:val="nil"/>
              <w:bottom w:val="nil"/>
              <w:right w:val="nil"/>
            </w:tcBorders>
            <w:shd w:val="clear" w:color="auto" w:fill="auto"/>
            <w:noWrap/>
            <w:vAlign w:val="center"/>
            <w:hideMark/>
          </w:tcPr>
          <w:p w14:paraId="40897DB3" w14:textId="77777777" w:rsidR="00F15F7A" w:rsidRPr="00092B22" w:rsidRDefault="00F15F7A" w:rsidP="00E607DA">
            <w:pPr>
              <w:jc w:val="right"/>
              <w:rPr>
                <w:rFonts w:ascii="Meta Pro" w:eastAsia="Times New Roman" w:hAnsi="Meta Pro"/>
                <w:szCs w:val="18"/>
                <w:lang w:eastAsia="en-AU"/>
              </w:rPr>
            </w:pPr>
            <w:r w:rsidRPr="008A010B">
              <w:rPr>
                <w:rFonts w:ascii="Meta Pro" w:eastAsia="Times New Roman" w:hAnsi="Meta Pro"/>
                <w:szCs w:val="18"/>
                <w:lang w:eastAsia="en-AU"/>
              </w:rPr>
              <w:t xml:space="preserve">2,019,337 </w:t>
            </w:r>
          </w:p>
        </w:tc>
      </w:tr>
      <w:tr w:rsidR="00F15F7A" w:rsidRPr="00092B22" w14:paraId="689B1444" w14:textId="77777777" w:rsidTr="00E607DA">
        <w:trPr>
          <w:trHeight w:val="240"/>
        </w:trPr>
        <w:tc>
          <w:tcPr>
            <w:tcW w:w="7058" w:type="dxa"/>
            <w:tcBorders>
              <w:top w:val="nil"/>
              <w:left w:val="nil"/>
              <w:bottom w:val="nil"/>
              <w:right w:val="nil"/>
            </w:tcBorders>
            <w:shd w:val="clear" w:color="auto" w:fill="auto"/>
            <w:noWrap/>
            <w:vAlign w:val="center"/>
            <w:hideMark/>
          </w:tcPr>
          <w:p w14:paraId="4C98149B" w14:textId="77777777" w:rsidR="00F15F7A" w:rsidRPr="00092B22" w:rsidRDefault="00F15F7A" w:rsidP="00E607DA">
            <w:pPr>
              <w:rPr>
                <w:rFonts w:ascii="Meta Pro" w:eastAsia="Times New Roman" w:hAnsi="Meta Pro"/>
                <w:szCs w:val="18"/>
                <w:lang w:eastAsia="en-AU"/>
              </w:rPr>
            </w:pPr>
            <w:r w:rsidRPr="008A010B">
              <w:rPr>
                <w:rFonts w:ascii="Meta Pro" w:eastAsia="Times New Roman" w:hAnsi="Meta Pro"/>
                <w:szCs w:val="18"/>
                <w:lang w:eastAsia="en-AU"/>
              </w:rPr>
              <w:t xml:space="preserve">Transfers </w:t>
            </w:r>
            <w:r>
              <w:rPr>
                <w:rFonts w:ascii="Meta Pro" w:eastAsia="Times New Roman" w:hAnsi="Meta Pro"/>
                <w:szCs w:val="18"/>
                <w:lang w:eastAsia="en-AU"/>
              </w:rPr>
              <w:t>from</w:t>
            </w:r>
            <w:r w:rsidRPr="008A010B">
              <w:rPr>
                <w:rFonts w:ascii="Meta Pro" w:eastAsia="Times New Roman" w:hAnsi="Meta Pro"/>
                <w:szCs w:val="18"/>
                <w:lang w:eastAsia="en-AU"/>
              </w:rPr>
              <w:t xml:space="preserve"> other headings</w:t>
            </w:r>
          </w:p>
        </w:tc>
        <w:tc>
          <w:tcPr>
            <w:tcW w:w="1173" w:type="dxa"/>
            <w:tcBorders>
              <w:top w:val="nil"/>
              <w:left w:val="nil"/>
              <w:bottom w:val="nil"/>
              <w:right w:val="nil"/>
            </w:tcBorders>
            <w:shd w:val="clear" w:color="000000" w:fill="C9E3B4"/>
            <w:noWrap/>
            <w:vAlign w:val="center"/>
            <w:hideMark/>
          </w:tcPr>
          <w:p w14:paraId="015B4DF6" w14:textId="77777777" w:rsidR="00F15F7A" w:rsidRPr="00092B22" w:rsidRDefault="00F15F7A" w:rsidP="00E607DA">
            <w:pPr>
              <w:jc w:val="right"/>
              <w:rPr>
                <w:rFonts w:ascii="Meta Pro" w:eastAsia="Times New Roman" w:hAnsi="Meta Pro"/>
                <w:szCs w:val="18"/>
                <w:lang w:eastAsia="en-AU"/>
              </w:rPr>
            </w:pPr>
            <w:r w:rsidRPr="008A010B">
              <w:rPr>
                <w:rFonts w:ascii="Meta Pro" w:eastAsia="Times New Roman" w:hAnsi="Meta Pro"/>
                <w:szCs w:val="18"/>
                <w:lang w:eastAsia="en-AU"/>
              </w:rPr>
              <w:t xml:space="preserve">91,639 </w:t>
            </w:r>
          </w:p>
        </w:tc>
        <w:tc>
          <w:tcPr>
            <w:tcW w:w="234" w:type="dxa"/>
            <w:tcBorders>
              <w:top w:val="nil"/>
              <w:left w:val="nil"/>
              <w:bottom w:val="nil"/>
              <w:right w:val="nil"/>
            </w:tcBorders>
            <w:shd w:val="clear" w:color="auto" w:fill="auto"/>
            <w:noWrap/>
            <w:vAlign w:val="center"/>
            <w:hideMark/>
          </w:tcPr>
          <w:p w14:paraId="26CA8D11" w14:textId="77777777" w:rsidR="00F15F7A" w:rsidRPr="00092B22" w:rsidRDefault="00F15F7A" w:rsidP="00E607DA">
            <w:pPr>
              <w:jc w:val="right"/>
              <w:rPr>
                <w:rFonts w:ascii="Meta Pro" w:eastAsia="Times New Roman" w:hAnsi="Meta Pro"/>
                <w:szCs w:val="18"/>
                <w:lang w:eastAsia="en-AU"/>
              </w:rPr>
            </w:pPr>
          </w:p>
        </w:tc>
        <w:tc>
          <w:tcPr>
            <w:tcW w:w="1173" w:type="dxa"/>
            <w:tcBorders>
              <w:top w:val="nil"/>
              <w:left w:val="nil"/>
              <w:bottom w:val="nil"/>
              <w:right w:val="nil"/>
            </w:tcBorders>
            <w:shd w:val="clear" w:color="auto" w:fill="auto"/>
            <w:noWrap/>
            <w:vAlign w:val="center"/>
            <w:hideMark/>
          </w:tcPr>
          <w:p w14:paraId="43928F95" w14:textId="77777777" w:rsidR="00F15F7A" w:rsidRPr="00092B22" w:rsidRDefault="00F15F7A" w:rsidP="00E607DA">
            <w:pPr>
              <w:jc w:val="right"/>
              <w:rPr>
                <w:rFonts w:ascii="Meta Pro" w:eastAsia="Times New Roman" w:hAnsi="Meta Pro"/>
                <w:szCs w:val="18"/>
                <w:lang w:eastAsia="en-AU"/>
              </w:rPr>
            </w:pPr>
            <w:r w:rsidRPr="008A010B">
              <w:rPr>
                <w:rFonts w:ascii="Meta Pro" w:eastAsia="Times New Roman" w:hAnsi="Meta Pro"/>
                <w:szCs w:val="18"/>
                <w:lang w:eastAsia="en-AU"/>
              </w:rPr>
              <w:t xml:space="preserve">344,306 </w:t>
            </w:r>
          </w:p>
        </w:tc>
      </w:tr>
      <w:tr w:rsidR="00F15F7A" w:rsidRPr="00092B22" w14:paraId="0EB9E247" w14:textId="77777777" w:rsidTr="00E607DA">
        <w:trPr>
          <w:trHeight w:val="240"/>
        </w:trPr>
        <w:tc>
          <w:tcPr>
            <w:tcW w:w="7058" w:type="dxa"/>
            <w:tcBorders>
              <w:top w:val="nil"/>
              <w:left w:val="nil"/>
              <w:bottom w:val="nil"/>
              <w:right w:val="nil"/>
            </w:tcBorders>
            <w:shd w:val="clear" w:color="auto" w:fill="auto"/>
            <w:noWrap/>
            <w:vAlign w:val="center"/>
            <w:hideMark/>
          </w:tcPr>
          <w:p w14:paraId="206561A7" w14:textId="77777777" w:rsidR="00F15F7A" w:rsidRPr="00092B22" w:rsidRDefault="00F15F7A" w:rsidP="00E607DA">
            <w:pPr>
              <w:rPr>
                <w:rFonts w:ascii="Meta Pro" w:eastAsia="Times New Roman" w:hAnsi="Meta Pro"/>
                <w:szCs w:val="18"/>
                <w:lang w:eastAsia="en-AU"/>
              </w:rPr>
            </w:pPr>
            <w:r w:rsidRPr="008A010B">
              <w:rPr>
                <w:rFonts w:ascii="Meta Pro" w:eastAsia="Times New Roman" w:hAnsi="Meta Pro"/>
                <w:szCs w:val="18"/>
                <w:lang w:eastAsia="en-AU"/>
              </w:rPr>
              <w:t>Unforeseen expenditure *</w:t>
            </w:r>
          </w:p>
        </w:tc>
        <w:tc>
          <w:tcPr>
            <w:tcW w:w="1173" w:type="dxa"/>
            <w:tcBorders>
              <w:top w:val="nil"/>
              <w:left w:val="nil"/>
              <w:bottom w:val="nil"/>
              <w:right w:val="nil"/>
            </w:tcBorders>
            <w:shd w:val="clear" w:color="000000" w:fill="C9E3B4"/>
            <w:noWrap/>
            <w:vAlign w:val="center"/>
            <w:hideMark/>
          </w:tcPr>
          <w:p w14:paraId="6C5FFB30" w14:textId="77777777" w:rsidR="00F15F7A" w:rsidRPr="00092B22" w:rsidRDefault="00F15F7A" w:rsidP="00E607DA">
            <w:pPr>
              <w:jc w:val="right"/>
              <w:rPr>
                <w:rFonts w:ascii="Meta Pro" w:eastAsia="Times New Roman" w:hAnsi="Meta Pro"/>
                <w:szCs w:val="18"/>
                <w:lang w:eastAsia="en-AU"/>
              </w:rPr>
            </w:pPr>
            <w:r w:rsidRPr="008A010B">
              <w:rPr>
                <w:rFonts w:ascii="Meta Pro" w:eastAsia="Times New Roman" w:hAnsi="Meta Pro"/>
                <w:szCs w:val="18"/>
                <w:lang w:eastAsia="en-AU"/>
              </w:rPr>
              <w:t xml:space="preserve">330,326 </w:t>
            </w:r>
          </w:p>
        </w:tc>
        <w:tc>
          <w:tcPr>
            <w:tcW w:w="234" w:type="dxa"/>
            <w:tcBorders>
              <w:top w:val="nil"/>
              <w:left w:val="nil"/>
              <w:bottom w:val="nil"/>
              <w:right w:val="nil"/>
            </w:tcBorders>
            <w:shd w:val="clear" w:color="auto" w:fill="auto"/>
            <w:noWrap/>
            <w:vAlign w:val="center"/>
            <w:hideMark/>
          </w:tcPr>
          <w:p w14:paraId="39345121" w14:textId="77777777" w:rsidR="00F15F7A" w:rsidRPr="00092B22" w:rsidRDefault="00F15F7A" w:rsidP="00E607DA">
            <w:pPr>
              <w:jc w:val="right"/>
              <w:rPr>
                <w:rFonts w:ascii="Meta Pro" w:eastAsia="Times New Roman" w:hAnsi="Meta Pro"/>
                <w:szCs w:val="18"/>
                <w:lang w:eastAsia="en-AU"/>
              </w:rPr>
            </w:pPr>
          </w:p>
        </w:tc>
        <w:tc>
          <w:tcPr>
            <w:tcW w:w="1173" w:type="dxa"/>
            <w:tcBorders>
              <w:top w:val="nil"/>
              <w:left w:val="nil"/>
              <w:bottom w:val="nil"/>
              <w:right w:val="nil"/>
            </w:tcBorders>
            <w:shd w:val="clear" w:color="auto" w:fill="auto"/>
            <w:noWrap/>
            <w:vAlign w:val="center"/>
            <w:hideMark/>
          </w:tcPr>
          <w:p w14:paraId="27194006" w14:textId="77777777" w:rsidR="00F15F7A" w:rsidRPr="00092B22" w:rsidRDefault="00F15F7A" w:rsidP="00E607DA">
            <w:pPr>
              <w:jc w:val="right"/>
              <w:rPr>
                <w:rFonts w:ascii="Meta Pro" w:eastAsia="Times New Roman" w:hAnsi="Meta Pro"/>
                <w:szCs w:val="18"/>
                <w:lang w:eastAsia="en-AU"/>
              </w:rPr>
            </w:pPr>
            <w:r w:rsidRPr="008A010B">
              <w:rPr>
                <w:rFonts w:ascii="Meta Pro" w:eastAsia="Times New Roman" w:hAnsi="Meta Pro"/>
                <w:szCs w:val="18"/>
                <w:lang w:eastAsia="en-AU"/>
              </w:rPr>
              <w:t xml:space="preserve">- </w:t>
            </w:r>
          </w:p>
        </w:tc>
      </w:tr>
      <w:tr w:rsidR="00F15F7A" w:rsidRPr="00092B22" w14:paraId="1961E3C7" w14:textId="77777777" w:rsidTr="00E607DA">
        <w:trPr>
          <w:trHeight w:val="240"/>
        </w:trPr>
        <w:tc>
          <w:tcPr>
            <w:tcW w:w="7058" w:type="dxa"/>
            <w:tcBorders>
              <w:top w:val="single" w:sz="4" w:space="0" w:color="auto"/>
              <w:left w:val="nil"/>
              <w:bottom w:val="single" w:sz="4" w:space="0" w:color="auto"/>
              <w:right w:val="nil"/>
            </w:tcBorders>
            <w:shd w:val="clear" w:color="auto" w:fill="auto"/>
            <w:noWrap/>
            <w:vAlign w:val="center"/>
            <w:hideMark/>
          </w:tcPr>
          <w:p w14:paraId="0C2A64D6" w14:textId="77777777" w:rsidR="00F15F7A" w:rsidRPr="00092B22" w:rsidRDefault="00F15F7A" w:rsidP="00E607DA">
            <w:pPr>
              <w:rPr>
                <w:rFonts w:ascii="Meta Pro" w:eastAsia="Times New Roman" w:hAnsi="Meta Pro"/>
                <w:szCs w:val="18"/>
                <w:lang w:eastAsia="en-AU"/>
              </w:rPr>
            </w:pPr>
            <w:r w:rsidRPr="00092B22">
              <w:rPr>
                <w:rFonts w:ascii="Meta Pro" w:eastAsia="Times New Roman" w:hAnsi="Meta Pro"/>
                <w:szCs w:val="18"/>
                <w:lang w:eastAsia="en-AU"/>
              </w:rPr>
              <w:t xml:space="preserve">Equity adjustment receipts </w:t>
            </w:r>
          </w:p>
        </w:tc>
        <w:tc>
          <w:tcPr>
            <w:tcW w:w="1173" w:type="dxa"/>
            <w:tcBorders>
              <w:top w:val="single" w:sz="4" w:space="0" w:color="auto"/>
              <w:left w:val="nil"/>
              <w:bottom w:val="single" w:sz="4" w:space="0" w:color="auto"/>
              <w:right w:val="nil"/>
            </w:tcBorders>
            <w:shd w:val="clear" w:color="000000" w:fill="C9E3B4"/>
            <w:noWrap/>
            <w:vAlign w:val="center"/>
            <w:hideMark/>
          </w:tcPr>
          <w:p w14:paraId="516B0B35"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2,841,289 </w:t>
            </w:r>
          </w:p>
        </w:tc>
        <w:tc>
          <w:tcPr>
            <w:tcW w:w="234" w:type="dxa"/>
            <w:tcBorders>
              <w:top w:val="single" w:sz="4" w:space="0" w:color="auto"/>
              <w:left w:val="nil"/>
              <w:bottom w:val="single" w:sz="4" w:space="0" w:color="auto"/>
              <w:right w:val="nil"/>
            </w:tcBorders>
            <w:shd w:val="clear" w:color="auto" w:fill="auto"/>
            <w:noWrap/>
            <w:vAlign w:val="center"/>
            <w:hideMark/>
          </w:tcPr>
          <w:p w14:paraId="1299C334"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w:t>
            </w:r>
          </w:p>
        </w:tc>
        <w:tc>
          <w:tcPr>
            <w:tcW w:w="1173" w:type="dxa"/>
            <w:tcBorders>
              <w:top w:val="single" w:sz="4" w:space="0" w:color="auto"/>
              <w:left w:val="nil"/>
              <w:bottom w:val="single" w:sz="4" w:space="0" w:color="auto"/>
              <w:right w:val="nil"/>
            </w:tcBorders>
            <w:shd w:val="clear" w:color="auto" w:fill="auto"/>
            <w:noWrap/>
            <w:vAlign w:val="center"/>
            <w:hideMark/>
          </w:tcPr>
          <w:p w14:paraId="2FE2584A"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2,363,643 </w:t>
            </w:r>
          </w:p>
        </w:tc>
      </w:tr>
      <w:tr w:rsidR="00F15F7A" w:rsidRPr="00092B22" w14:paraId="40490486" w14:textId="77777777" w:rsidTr="00E607DA">
        <w:trPr>
          <w:trHeight w:val="240"/>
        </w:trPr>
        <w:tc>
          <w:tcPr>
            <w:tcW w:w="7058" w:type="dxa"/>
            <w:tcBorders>
              <w:top w:val="single" w:sz="4" w:space="0" w:color="auto"/>
              <w:left w:val="nil"/>
              <w:bottom w:val="double" w:sz="6" w:space="0" w:color="auto"/>
              <w:right w:val="nil"/>
            </w:tcBorders>
            <w:shd w:val="clear" w:color="auto" w:fill="auto"/>
            <w:noWrap/>
            <w:vAlign w:val="center"/>
            <w:hideMark/>
          </w:tcPr>
          <w:p w14:paraId="5B6C1B6A" w14:textId="77777777" w:rsidR="00F15F7A" w:rsidRPr="00092B22" w:rsidRDefault="00F15F7A" w:rsidP="00E607DA">
            <w:pPr>
              <w:rPr>
                <w:rFonts w:ascii="Meta Pro" w:eastAsia="Times New Roman" w:hAnsi="Meta Pro"/>
                <w:b/>
                <w:bCs/>
                <w:szCs w:val="18"/>
                <w:lang w:eastAsia="en-AU"/>
              </w:rPr>
            </w:pPr>
            <w:r w:rsidRPr="00092B22">
              <w:rPr>
                <w:rFonts w:ascii="Meta Pro" w:eastAsia="Times New Roman" w:hAnsi="Meta Pro"/>
                <w:b/>
                <w:bCs/>
                <w:szCs w:val="18"/>
                <w:lang w:eastAsia="en-AU"/>
              </w:rPr>
              <w:t>Equity adjustment recognised in contributed equity</w:t>
            </w:r>
          </w:p>
        </w:tc>
        <w:tc>
          <w:tcPr>
            <w:tcW w:w="1173" w:type="dxa"/>
            <w:tcBorders>
              <w:top w:val="single" w:sz="4" w:space="0" w:color="auto"/>
              <w:left w:val="nil"/>
              <w:bottom w:val="double" w:sz="6" w:space="0" w:color="auto"/>
              <w:right w:val="nil"/>
            </w:tcBorders>
            <w:shd w:val="clear" w:color="000000" w:fill="C9E3B4"/>
            <w:noWrap/>
            <w:vAlign w:val="center"/>
            <w:hideMark/>
          </w:tcPr>
          <w:p w14:paraId="5D648E58" w14:textId="77777777" w:rsidR="00F15F7A" w:rsidRPr="00092B22" w:rsidRDefault="00F15F7A"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2,841,289 </w:t>
            </w:r>
          </w:p>
        </w:tc>
        <w:tc>
          <w:tcPr>
            <w:tcW w:w="234" w:type="dxa"/>
            <w:tcBorders>
              <w:top w:val="single" w:sz="4" w:space="0" w:color="auto"/>
              <w:left w:val="nil"/>
              <w:bottom w:val="double" w:sz="6" w:space="0" w:color="auto"/>
              <w:right w:val="nil"/>
            </w:tcBorders>
            <w:shd w:val="clear" w:color="auto" w:fill="auto"/>
            <w:noWrap/>
            <w:vAlign w:val="center"/>
            <w:hideMark/>
          </w:tcPr>
          <w:p w14:paraId="75B5A1D4" w14:textId="77777777" w:rsidR="00F15F7A" w:rsidRPr="00092B22" w:rsidRDefault="00F15F7A"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173" w:type="dxa"/>
            <w:tcBorders>
              <w:top w:val="single" w:sz="4" w:space="0" w:color="auto"/>
              <w:left w:val="nil"/>
              <w:bottom w:val="double" w:sz="6" w:space="0" w:color="auto"/>
              <w:right w:val="nil"/>
            </w:tcBorders>
            <w:shd w:val="clear" w:color="auto" w:fill="auto"/>
            <w:noWrap/>
            <w:vAlign w:val="center"/>
            <w:hideMark/>
          </w:tcPr>
          <w:p w14:paraId="540E3661" w14:textId="77777777" w:rsidR="00F15F7A" w:rsidRPr="00092B22" w:rsidRDefault="00F15F7A"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2,363,643 </w:t>
            </w:r>
          </w:p>
        </w:tc>
      </w:tr>
    </w:tbl>
    <w:p w14:paraId="4C3F67FD" w14:textId="77777777" w:rsidR="00F15F7A" w:rsidRPr="00092B22" w:rsidRDefault="00F15F7A" w:rsidP="00F15F7A">
      <w:pPr>
        <w:spacing w:before="60"/>
        <w:rPr>
          <w:rFonts w:ascii="Meta Pro" w:hAnsi="Meta Pro"/>
          <w:sz w:val="16"/>
          <w:szCs w:val="16"/>
        </w:rPr>
      </w:pPr>
      <w:r w:rsidRPr="00092B22">
        <w:rPr>
          <w:rFonts w:ascii="Meta Pro" w:hAnsi="Meta Pro"/>
          <w:sz w:val="16"/>
          <w:szCs w:val="16"/>
        </w:rPr>
        <w:t>* Unforeseen expenditure in 2022 is primarily due to accelerated expenditure on various capital programs.</w:t>
      </w:r>
    </w:p>
    <w:p w14:paraId="3785308C" w14:textId="77777777" w:rsidR="00F15F7A" w:rsidRPr="00092B22" w:rsidRDefault="00F15F7A" w:rsidP="00F15F7A">
      <w:pPr>
        <w:rPr>
          <w:rFonts w:ascii="Meta Pro" w:hAnsi="Meta Pro"/>
          <w:sz w:val="16"/>
          <w:szCs w:val="16"/>
        </w:rPr>
      </w:pPr>
    </w:p>
    <w:p w14:paraId="0BA44A52" w14:textId="77777777" w:rsidR="00F15F7A" w:rsidRPr="00092B22" w:rsidRDefault="00F15F7A" w:rsidP="00F15F7A">
      <w:pPr>
        <w:shd w:val="clear" w:color="auto" w:fill="EBEBEB"/>
        <w:spacing w:after="120"/>
        <w:ind w:left="113" w:hanging="113"/>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Accounting policy</w:t>
      </w:r>
    </w:p>
    <w:p w14:paraId="60F2EA4D" w14:textId="55CE70FB" w:rsidR="00F15F7A" w:rsidRPr="000D4A20" w:rsidRDefault="00F15F7A" w:rsidP="000D4A20">
      <w:pPr>
        <w:shd w:val="clear" w:color="auto" w:fill="EBEBEB"/>
        <w:spacing w:after="120"/>
        <w:rPr>
          <w:rFonts w:ascii="Meta Pro" w:eastAsia="Times New Roman" w:hAnsi="Meta Pro"/>
          <w:i/>
          <w:iCs/>
          <w:color w:val="000000"/>
          <w:szCs w:val="18"/>
          <w:lang w:eastAsia="en-AU"/>
        </w:rPr>
      </w:pPr>
      <w:r w:rsidRPr="00092B22">
        <w:rPr>
          <w:rFonts w:ascii="Meta Pro" w:eastAsia="Times New Roman" w:hAnsi="Meta Pro"/>
          <w:color w:val="000000"/>
          <w:szCs w:val="18"/>
          <w:lang w:eastAsia="en-AU"/>
        </w:rPr>
        <w:t xml:space="preserve">Appropriations provided under the </w:t>
      </w:r>
      <w:r w:rsidRPr="00092B22">
        <w:rPr>
          <w:rFonts w:ascii="Meta Pro" w:eastAsia="Times New Roman" w:hAnsi="Meta Pro"/>
          <w:i/>
          <w:iCs/>
          <w:color w:val="000000"/>
          <w:szCs w:val="18"/>
          <w:lang w:eastAsia="en-AU"/>
        </w:rPr>
        <w:t>Appropriation Act 2021</w:t>
      </w:r>
      <w:r w:rsidRPr="00092B22">
        <w:rPr>
          <w:rFonts w:ascii="Meta Pro" w:eastAsia="Times New Roman" w:hAnsi="Meta Pro"/>
          <w:color w:val="000000"/>
          <w:szCs w:val="18"/>
          <w:lang w:eastAsia="en-AU"/>
        </w:rPr>
        <w:t xml:space="preserve"> are recognised as revenue when received. Where the department has an obligation to return unspent or unapplied appropriation receipts to the Consolidated Fund at year end, a deferred appropriation liability to the Consolidated Fund is recognised with a corresponding reduction to appropriation revenue, reflecting the net appropriation revenue position with the Consolidated Fund for the reporting period. Capital appropriations are recognised as adjustments to equity.</w:t>
      </w:r>
    </w:p>
    <w:tbl>
      <w:tblPr>
        <w:tblW w:w="0" w:type="auto"/>
        <w:tblCellMar>
          <w:left w:w="0" w:type="dxa"/>
        </w:tblCellMar>
        <w:tblLook w:val="04A0" w:firstRow="1" w:lastRow="0" w:firstColumn="1" w:lastColumn="0" w:noHBand="0" w:noVBand="1"/>
      </w:tblPr>
      <w:tblGrid>
        <w:gridCol w:w="7090"/>
        <w:gridCol w:w="1165"/>
        <w:gridCol w:w="218"/>
        <w:gridCol w:w="1165"/>
      </w:tblGrid>
      <w:tr w:rsidR="00F15F7A" w:rsidRPr="00092B22" w14:paraId="0CC353D7" w14:textId="77777777" w:rsidTr="00E607DA">
        <w:trPr>
          <w:trHeight w:val="240"/>
        </w:trPr>
        <w:tc>
          <w:tcPr>
            <w:tcW w:w="7476" w:type="dxa"/>
            <w:tcBorders>
              <w:top w:val="nil"/>
              <w:left w:val="nil"/>
              <w:bottom w:val="nil"/>
              <w:right w:val="nil"/>
            </w:tcBorders>
            <w:shd w:val="clear" w:color="auto" w:fill="auto"/>
            <w:noWrap/>
            <w:vAlign w:val="center"/>
            <w:hideMark/>
          </w:tcPr>
          <w:p w14:paraId="62138282" w14:textId="77777777" w:rsidR="00F15F7A" w:rsidRPr="00092B22" w:rsidRDefault="00F15F7A" w:rsidP="00E607DA">
            <w:pPr>
              <w:rPr>
                <w:rFonts w:ascii="Meta Pro" w:eastAsia="Times New Roman" w:hAnsi="Meta Pro"/>
                <w:b/>
                <w:bCs/>
                <w:lang w:eastAsia="en-AU"/>
              </w:rPr>
            </w:pPr>
            <w:r w:rsidRPr="00092B22">
              <w:rPr>
                <w:rFonts w:ascii="Meta Pro" w:eastAsia="Times New Roman" w:hAnsi="Meta Pro"/>
                <w:b/>
                <w:bCs/>
                <w:lang w:eastAsia="en-AU"/>
              </w:rPr>
              <w:t>3     USER CHARGES AND FEES</w:t>
            </w:r>
          </w:p>
        </w:tc>
        <w:tc>
          <w:tcPr>
            <w:tcW w:w="1216" w:type="dxa"/>
            <w:tcBorders>
              <w:top w:val="nil"/>
              <w:left w:val="nil"/>
              <w:bottom w:val="nil"/>
              <w:right w:val="nil"/>
            </w:tcBorders>
            <w:shd w:val="clear" w:color="auto" w:fill="auto"/>
            <w:noWrap/>
            <w:vAlign w:val="center"/>
            <w:hideMark/>
          </w:tcPr>
          <w:p w14:paraId="21829CB4" w14:textId="77777777" w:rsidR="00F15F7A" w:rsidRPr="00092B22" w:rsidRDefault="00F15F7A" w:rsidP="00E607DA">
            <w:pPr>
              <w:rPr>
                <w:rFonts w:ascii="Meta Pro" w:eastAsia="Times New Roman" w:hAnsi="Meta Pro"/>
                <w:b/>
                <w:bCs/>
                <w:lang w:eastAsia="en-AU"/>
              </w:rPr>
            </w:pPr>
          </w:p>
        </w:tc>
        <w:tc>
          <w:tcPr>
            <w:tcW w:w="216" w:type="dxa"/>
            <w:tcBorders>
              <w:top w:val="nil"/>
              <w:left w:val="nil"/>
              <w:bottom w:val="nil"/>
              <w:right w:val="nil"/>
            </w:tcBorders>
            <w:shd w:val="clear" w:color="auto" w:fill="auto"/>
            <w:noWrap/>
            <w:vAlign w:val="center"/>
            <w:hideMark/>
          </w:tcPr>
          <w:p w14:paraId="2AC27950" w14:textId="77777777" w:rsidR="00F15F7A" w:rsidRPr="00092B22" w:rsidRDefault="00F15F7A"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01B4B654" w14:textId="77777777" w:rsidR="00F15F7A" w:rsidRPr="00092B22" w:rsidRDefault="00F15F7A" w:rsidP="00E607DA">
            <w:pPr>
              <w:jc w:val="right"/>
              <w:rPr>
                <w:rFonts w:ascii="Meta Pro" w:eastAsia="Times New Roman" w:hAnsi="Meta Pro" w:cs="Times New Roman"/>
                <w:sz w:val="20"/>
                <w:szCs w:val="20"/>
                <w:lang w:eastAsia="en-AU"/>
              </w:rPr>
            </w:pPr>
          </w:p>
        </w:tc>
      </w:tr>
      <w:tr w:rsidR="00F15F7A" w:rsidRPr="00092B22" w14:paraId="4291B1D6" w14:textId="77777777" w:rsidTr="00E607DA">
        <w:trPr>
          <w:trHeight w:val="90"/>
        </w:trPr>
        <w:tc>
          <w:tcPr>
            <w:tcW w:w="7476" w:type="dxa"/>
            <w:tcBorders>
              <w:top w:val="nil"/>
              <w:left w:val="nil"/>
              <w:bottom w:val="nil"/>
              <w:right w:val="nil"/>
            </w:tcBorders>
            <w:shd w:val="clear" w:color="auto" w:fill="auto"/>
            <w:noWrap/>
            <w:vAlign w:val="center"/>
            <w:hideMark/>
          </w:tcPr>
          <w:p w14:paraId="3C740FBD" w14:textId="77777777" w:rsidR="00F15F7A" w:rsidRPr="00092B22" w:rsidRDefault="00F15F7A"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4B8C8BB5" w14:textId="77777777" w:rsidR="00F15F7A" w:rsidRPr="00092B22" w:rsidRDefault="00F15F7A" w:rsidP="00E607DA">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69D8894D" w14:textId="77777777" w:rsidR="00F15F7A" w:rsidRPr="00092B22" w:rsidRDefault="00F15F7A"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3318340D" w14:textId="77777777" w:rsidR="00F15F7A" w:rsidRPr="00092B22" w:rsidRDefault="00F15F7A" w:rsidP="00E607DA">
            <w:pPr>
              <w:jc w:val="right"/>
              <w:rPr>
                <w:rFonts w:ascii="Meta Pro" w:eastAsia="Times New Roman" w:hAnsi="Meta Pro" w:cs="Times New Roman"/>
                <w:sz w:val="20"/>
                <w:szCs w:val="20"/>
                <w:lang w:eastAsia="en-AU"/>
              </w:rPr>
            </w:pPr>
          </w:p>
        </w:tc>
      </w:tr>
      <w:tr w:rsidR="00F15F7A" w:rsidRPr="00092B22" w14:paraId="5C909BBA" w14:textId="77777777" w:rsidTr="00E607DA">
        <w:trPr>
          <w:trHeight w:val="240"/>
        </w:trPr>
        <w:tc>
          <w:tcPr>
            <w:tcW w:w="7476" w:type="dxa"/>
            <w:tcBorders>
              <w:top w:val="nil"/>
              <w:left w:val="nil"/>
              <w:bottom w:val="nil"/>
              <w:right w:val="nil"/>
            </w:tcBorders>
            <w:shd w:val="clear" w:color="auto" w:fill="auto"/>
            <w:noWrap/>
            <w:vAlign w:val="center"/>
            <w:hideMark/>
          </w:tcPr>
          <w:p w14:paraId="6A6033C9" w14:textId="77777777" w:rsidR="00F15F7A" w:rsidRPr="00092B22" w:rsidRDefault="00F15F7A" w:rsidP="00E607DA">
            <w:pPr>
              <w:rPr>
                <w:rFonts w:ascii="Meta Pro" w:eastAsia="Times New Roman" w:hAnsi="Meta Pro"/>
                <w:szCs w:val="18"/>
                <w:lang w:eastAsia="en-AU"/>
              </w:rPr>
            </w:pPr>
            <w:r w:rsidRPr="00092B22">
              <w:rPr>
                <w:rFonts w:ascii="Meta Pro" w:eastAsia="Times New Roman" w:hAnsi="Meta Pro"/>
                <w:szCs w:val="18"/>
                <w:lang w:eastAsia="en-AU"/>
              </w:rPr>
              <w:t>Compulsory third party administration fees</w:t>
            </w:r>
          </w:p>
        </w:tc>
        <w:tc>
          <w:tcPr>
            <w:tcW w:w="1216" w:type="dxa"/>
            <w:tcBorders>
              <w:top w:val="nil"/>
              <w:left w:val="nil"/>
              <w:bottom w:val="nil"/>
              <w:right w:val="nil"/>
            </w:tcBorders>
            <w:shd w:val="clear" w:color="000000" w:fill="C9E3B4"/>
            <w:noWrap/>
            <w:vAlign w:val="center"/>
            <w:hideMark/>
          </w:tcPr>
          <w:p w14:paraId="07AF8615"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39,628 </w:t>
            </w:r>
          </w:p>
        </w:tc>
        <w:tc>
          <w:tcPr>
            <w:tcW w:w="216" w:type="dxa"/>
            <w:tcBorders>
              <w:top w:val="nil"/>
              <w:left w:val="nil"/>
              <w:bottom w:val="nil"/>
              <w:right w:val="nil"/>
            </w:tcBorders>
            <w:shd w:val="clear" w:color="auto" w:fill="auto"/>
            <w:noWrap/>
            <w:vAlign w:val="center"/>
            <w:hideMark/>
          </w:tcPr>
          <w:p w14:paraId="73B781DB" w14:textId="77777777" w:rsidR="00F15F7A" w:rsidRPr="00092B22" w:rsidRDefault="00F15F7A"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61FDB188"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38,271 </w:t>
            </w:r>
          </w:p>
        </w:tc>
      </w:tr>
      <w:tr w:rsidR="00F15F7A" w:rsidRPr="00092B22" w14:paraId="54E64F01" w14:textId="77777777" w:rsidTr="00E607DA">
        <w:trPr>
          <w:trHeight w:val="240"/>
        </w:trPr>
        <w:tc>
          <w:tcPr>
            <w:tcW w:w="7476" w:type="dxa"/>
            <w:tcBorders>
              <w:top w:val="nil"/>
              <w:left w:val="nil"/>
              <w:bottom w:val="nil"/>
              <w:right w:val="nil"/>
            </w:tcBorders>
            <w:shd w:val="clear" w:color="auto" w:fill="auto"/>
            <w:noWrap/>
            <w:vAlign w:val="center"/>
            <w:hideMark/>
          </w:tcPr>
          <w:p w14:paraId="32B308EF" w14:textId="77777777" w:rsidR="00F15F7A" w:rsidRPr="00092B22" w:rsidRDefault="00F15F7A" w:rsidP="00E607DA">
            <w:pPr>
              <w:rPr>
                <w:rFonts w:ascii="Meta Pro" w:eastAsia="Times New Roman" w:hAnsi="Meta Pro"/>
                <w:szCs w:val="18"/>
                <w:lang w:eastAsia="en-AU"/>
              </w:rPr>
            </w:pPr>
            <w:r w:rsidRPr="00092B22">
              <w:rPr>
                <w:rFonts w:ascii="Meta Pro" w:eastAsia="Times New Roman" w:hAnsi="Meta Pro"/>
                <w:szCs w:val="18"/>
                <w:lang w:eastAsia="en-AU"/>
              </w:rPr>
              <w:t>Fare revenue *</w:t>
            </w:r>
          </w:p>
        </w:tc>
        <w:tc>
          <w:tcPr>
            <w:tcW w:w="1216" w:type="dxa"/>
            <w:tcBorders>
              <w:top w:val="nil"/>
              <w:left w:val="nil"/>
              <w:bottom w:val="nil"/>
              <w:right w:val="nil"/>
            </w:tcBorders>
            <w:shd w:val="clear" w:color="000000" w:fill="C9E3B4"/>
            <w:noWrap/>
            <w:vAlign w:val="center"/>
            <w:hideMark/>
          </w:tcPr>
          <w:p w14:paraId="196A94EA"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202,654 </w:t>
            </w:r>
          </w:p>
        </w:tc>
        <w:tc>
          <w:tcPr>
            <w:tcW w:w="216" w:type="dxa"/>
            <w:tcBorders>
              <w:top w:val="nil"/>
              <w:left w:val="nil"/>
              <w:bottom w:val="nil"/>
              <w:right w:val="nil"/>
            </w:tcBorders>
            <w:shd w:val="clear" w:color="auto" w:fill="auto"/>
            <w:noWrap/>
            <w:vAlign w:val="center"/>
            <w:hideMark/>
          </w:tcPr>
          <w:p w14:paraId="28DF918D" w14:textId="77777777" w:rsidR="00F15F7A" w:rsidRPr="00092B22" w:rsidRDefault="00F15F7A"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23DF9F13"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208,942 </w:t>
            </w:r>
          </w:p>
        </w:tc>
      </w:tr>
      <w:tr w:rsidR="00F15F7A" w:rsidRPr="00092B22" w14:paraId="43D03F25" w14:textId="77777777" w:rsidTr="00E607DA">
        <w:trPr>
          <w:trHeight w:val="240"/>
        </w:trPr>
        <w:tc>
          <w:tcPr>
            <w:tcW w:w="7476" w:type="dxa"/>
            <w:tcBorders>
              <w:top w:val="nil"/>
              <w:left w:val="nil"/>
              <w:bottom w:val="nil"/>
              <w:right w:val="nil"/>
            </w:tcBorders>
            <w:shd w:val="clear" w:color="auto" w:fill="auto"/>
            <w:noWrap/>
            <w:vAlign w:val="center"/>
            <w:hideMark/>
          </w:tcPr>
          <w:p w14:paraId="2271AE8F" w14:textId="77777777" w:rsidR="00F15F7A" w:rsidRPr="00092B22" w:rsidRDefault="00F15F7A" w:rsidP="00E607DA">
            <w:pPr>
              <w:rPr>
                <w:rFonts w:ascii="Meta Pro" w:eastAsia="Times New Roman" w:hAnsi="Meta Pro"/>
                <w:szCs w:val="18"/>
                <w:lang w:eastAsia="en-AU"/>
              </w:rPr>
            </w:pPr>
            <w:r w:rsidRPr="00092B22">
              <w:rPr>
                <w:rFonts w:ascii="Meta Pro" w:eastAsia="Times New Roman" w:hAnsi="Meta Pro"/>
                <w:szCs w:val="18"/>
                <w:lang w:eastAsia="en-AU"/>
              </w:rPr>
              <w:t xml:space="preserve">Merchant fees collected </w:t>
            </w:r>
          </w:p>
        </w:tc>
        <w:tc>
          <w:tcPr>
            <w:tcW w:w="1216" w:type="dxa"/>
            <w:tcBorders>
              <w:top w:val="nil"/>
              <w:left w:val="nil"/>
              <w:bottom w:val="nil"/>
              <w:right w:val="nil"/>
            </w:tcBorders>
            <w:shd w:val="clear" w:color="000000" w:fill="C9E3B4"/>
            <w:noWrap/>
            <w:vAlign w:val="center"/>
            <w:hideMark/>
          </w:tcPr>
          <w:p w14:paraId="7E426B94"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10,431 </w:t>
            </w:r>
          </w:p>
        </w:tc>
        <w:tc>
          <w:tcPr>
            <w:tcW w:w="216" w:type="dxa"/>
            <w:tcBorders>
              <w:top w:val="nil"/>
              <w:left w:val="nil"/>
              <w:bottom w:val="nil"/>
              <w:right w:val="nil"/>
            </w:tcBorders>
            <w:shd w:val="clear" w:color="auto" w:fill="auto"/>
            <w:noWrap/>
            <w:vAlign w:val="center"/>
            <w:hideMark/>
          </w:tcPr>
          <w:p w14:paraId="5525FF7B" w14:textId="77777777" w:rsidR="00F15F7A" w:rsidRPr="00092B22" w:rsidRDefault="00F15F7A"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2DC6EF1F"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9,552 </w:t>
            </w:r>
          </w:p>
        </w:tc>
      </w:tr>
      <w:tr w:rsidR="00F15F7A" w:rsidRPr="00092B22" w14:paraId="7C1EEFBE" w14:textId="77777777" w:rsidTr="00E607DA">
        <w:trPr>
          <w:trHeight w:val="240"/>
        </w:trPr>
        <w:tc>
          <w:tcPr>
            <w:tcW w:w="7476" w:type="dxa"/>
            <w:tcBorders>
              <w:top w:val="nil"/>
              <w:left w:val="nil"/>
              <w:bottom w:val="nil"/>
              <w:right w:val="nil"/>
            </w:tcBorders>
            <w:shd w:val="clear" w:color="auto" w:fill="auto"/>
            <w:noWrap/>
            <w:vAlign w:val="center"/>
            <w:hideMark/>
          </w:tcPr>
          <w:p w14:paraId="271341D7" w14:textId="77777777" w:rsidR="00F15F7A" w:rsidRPr="00092B22" w:rsidRDefault="00F15F7A" w:rsidP="00E607DA">
            <w:pPr>
              <w:rPr>
                <w:rFonts w:ascii="Meta Pro" w:eastAsia="Times New Roman" w:hAnsi="Meta Pro"/>
                <w:szCs w:val="18"/>
                <w:lang w:eastAsia="en-AU"/>
              </w:rPr>
            </w:pPr>
            <w:r w:rsidRPr="00092B22">
              <w:rPr>
                <w:rFonts w:ascii="Meta Pro" w:eastAsia="Times New Roman" w:hAnsi="Meta Pro"/>
                <w:szCs w:val="18"/>
                <w:lang w:eastAsia="en-AU"/>
              </w:rPr>
              <w:t>National Heavy Vehicle Regulator</w:t>
            </w:r>
          </w:p>
        </w:tc>
        <w:tc>
          <w:tcPr>
            <w:tcW w:w="1216" w:type="dxa"/>
            <w:tcBorders>
              <w:top w:val="nil"/>
              <w:left w:val="nil"/>
              <w:bottom w:val="nil"/>
              <w:right w:val="nil"/>
            </w:tcBorders>
            <w:shd w:val="clear" w:color="000000" w:fill="C9E3B4"/>
            <w:noWrap/>
            <w:vAlign w:val="center"/>
            <w:hideMark/>
          </w:tcPr>
          <w:p w14:paraId="28D18EF4"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15,462 </w:t>
            </w:r>
          </w:p>
        </w:tc>
        <w:tc>
          <w:tcPr>
            <w:tcW w:w="216" w:type="dxa"/>
            <w:tcBorders>
              <w:top w:val="nil"/>
              <w:left w:val="nil"/>
              <w:bottom w:val="nil"/>
              <w:right w:val="nil"/>
            </w:tcBorders>
            <w:shd w:val="clear" w:color="auto" w:fill="auto"/>
            <w:noWrap/>
            <w:vAlign w:val="center"/>
            <w:hideMark/>
          </w:tcPr>
          <w:p w14:paraId="0A65E2D0" w14:textId="77777777" w:rsidR="00F15F7A" w:rsidRPr="00092B22" w:rsidRDefault="00F15F7A"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01BAF393"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19,997 </w:t>
            </w:r>
          </w:p>
        </w:tc>
      </w:tr>
      <w:tr w:rsidR="00F15F7A" w:rsidRPr="00092B22" w14:paraId="7A852D78" w14:textId="77777777" w:rsidTr="00E607DA">
        <w:trPr>
          <w:trHeight w:val="240"/>
        </w:trPr>
        <w:tc>
          <w:tcPr>
            <w:tcW w:w="7476" w:type="dxa"/>
            <w:tcBorders>
              <w:top w:val="nil"/>
              <w:left w:val="nil"/>
              <w:bottom w:val="nil"/>
              <w:right w:val="nil"/>
            </w:tcBorders>
            <w:shd w:val="clear" w:color="auto" w:fill="auto"/>
            <w:noWrap/>
            <w:vAlign w:val="center"/>
            <w:hideMark/>
          </w:tcPr>
          <w:p w14:paraId="49E045B6" w14:textId="77777777" w:rsidR="00F15F7A" w:rsidRPr="00092B22" w:rsidRDefault="00F15F7A" w:rsidP="00E607DA">
            <w:pPr>
              <w:rPr>
                <w:rFonts w:ascii="Meta Pro" w:eastAsia="Times New Roman" w:hAnsi="Meta Pro"/>
                <w:szCs w:val="18"/>
                <w:lang w:eastAsia="en-AU"/>
              </w:rPr>
            </w:pPr>
            <w:r w:rsidRPr="00092B22">
              <w:rPr>
                <w:rFonts w:ascii="Meta Pro" w:eastAsia="Times New Roman" w:hAnsi="Meta Pro"/>
                <w:szCs w:val="18"/>
                <w:lang w:eastAsia="en-AU"/>
              </w:rPr>
              <w:t>Personalised plates sales</w:t>
            </w:r>
          </w:p>
        </w:tc>
        <w:tc>
          <w:tcPr>
            <w:tcW w:w="1216" w:type="dxa"/>
            <w:tcBorders>
              <w:top w:val="nil"/>
              <w:left w:val="nil"/>
              <w:bottom w:val="nil"/>
              <w:right w:val="nil"/>
            </w:tcBorders>
            <w:shd w:val="clear" w:color="000000" w:fill="C9E3B4"/>
            <w:noWrap/>
            <w:vAlign w:val="center"/>
            <w:hideMark/>
          </w:tcPr>
          <w:p w14:paraId="3BDF2112"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88,182 </w:t>
            </w:r>
          </w:p>
        </w:tc>
        <w:tc>
          <w:tcPr>
            <w:tcW w:w="216" w:type="dxa"/>
            <w:tcBorders>
              <w:top w:val="nil"/>
              <w:left w:val="nil"/>
              <w:bottom w:val="nil"/>
              <w:right w:val="nil"/>
            </w:tcBorders>
            <w:shd w:val="clear" w:color="auto" w:fill="auto"/>
            <w:noWrap/>
            <w:vAlign w:val="center"/>
            <w:hideMark/>
          </w:tcPr>
          <w:p w14:paraId="7A049417" w14:textId="77777777" w:rsidR="00F15F7A" w:rsidRPr="00092B22" w:rsidRDefault="00F15F7A"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1CB22D6B"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86,146 </w:t>
            </w:r>
          </w:p>
        </w:tc>
      </w:tr>
      <w:tr w:rsidR="00F15F7A" w:rsidRPr="00092B22" w14:paraId="325C3C46" w14:textId="77777777" w:rsidTr="00E607DA">
        <w:trPr>
          <w:trHeight w:val="240"/>
        </w:trPr>
        <w:tc>
          <w:tcPr>
            <w:tcW w:w="7476" w:type="dxa"/>
            <w:tcBorders>
              <w:top w:val="nil"/>
              <w:left w:val="nil"/>
              <w:bottom w:val="nil"/>
              <w:right w:val="nil"/>
            </w:tcBorders>
            <w:shd w:val="clear" w:color="auto" w:fill="auto"/>
            <w:noWrap/>
            <w:vAlign w:val="center"/>
            <w:hideMark/>
          </w:tcPr>
          <w:p w14:paraId="622E5F5C" w14:textId="77777777" w:rsidR="00F15F7A" w:rsidRPr="00092B22" w:rsidRDefault="00F15F7A" w:rsidP="00E607DA">
            <w:pPr>
              <w:rPr>
                <w:rFonts w:ascii="Meta Pro" w:eastAsia="Times New Roman" w:hAnsi="Meta Pro"/>
                <w:szCs w:val="18"/>
                <w:lang w:eastAsia="en-AU"/>
              </w:rPr>
            </w:pPr>
            <w:r w:rsidRPr="00092B22">
              <w:rPr>
                <w:rFonts w:ascii="Meta Pro" w:eastAsia="Times New Roman" w:hAnsi="Meta Pro"/>
                <w:szCs w:val="18"/>
                <w:lang w:eastAsia="en-AU"/>
              </w:rPr>
              <w:t>Pilotage</w:t>
            </w:r>
          </w:p>
        </w:tc>
        <w:tc>
          <w:tcPr>
            <w:tcW w:w="1216" w:type="dxa"/>
            <w:tcBorders>
              <w:top w:val="nil"/>
              <w:left w:val="nil"/>
              <w:bottom w:val="nil"/>
              <w:right w:val="nil"/>
            </w:tcBorders>
            <w:shd w:val="clear" w:color="000000" w:fill="C9E3B4"/>
            <w:noWrap/>
            <w:vAlign w:val="center"/>
            <w:hideMark/>
          </w:tcPr>
          <w:p w14:paraId="280D358C"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96,927 </w:t>
            </w:r>
          </w:p>
        </w:tc>
        <w:tc>
          <w:tcPr>
            <w:tcW w:w="216" w:type="dxa"/>
            <w:tcBorders>
              <w:top w:val="nil"/>
              <w:left w:val="nil"/>
              <w:bottom w:val="nil"/>
              <w:right w:val="nil"/>
            </w:tcBorders>
            <w:shd w:val="clear" w:color="auto" w:fill="auto"/>
            <w:noWrap/>
            <w:vAlign w:val="center"/>
            <w:hideMark/>
          </w:tcPr>
          <w:p w14:paraId="1DCC0FA2" w14:textId="77777777" w:rsidR="00F15F7A" w:rsidRPr="00092B22" w:rsidRDefault="00F15F7A"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3880702D"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94,532 </w:t>
            </w:r>
          </w:p>
        </w:tc>
      </w:tr>
      <w:tr w:rsidR="00F15F7A" w:rsidRPr="00092B22" w14:paraId="0AEA7B52" w14:textId="77777777" w:rsidTr="00E607DA">
        <w:trPr>
          <w:trHeight w:val="240"/>
        </w:trPr>
        <w:tc>
          <w:tcPr>
            <w:tcW w:w="7476" w:type="dxa"/>
            <w:tcBorders>
              <w:top w:val="nil"/>
              <w:left w:val="nil"/>
              <w:bottom w:val="nil"/>
              <w:right w:val="nil"/>
            </w:tcBorders>
            <w:shd w:val="clear" w:color="auto" w:fill="auto"/>
            <w:noWrap/>
            <w:vAlign w:val="center"/>
            <w:hideMark/>
          </w:tcPr>
          <w:p w14:paraId="17811FAD" w14:textId="77777777" w:rsidR="00F15F7A" w:rsidRPr="00092B22" w:rsidRDefault="00F15F7A" w:rsidP="00E607DA">
            <w:pPr>
              <w:rPr>
                <w:rFonts w:ascii="Meta Pro" w:eastAsia="Times New Roman" w:hAnsi="Meta Pro"/>
                <w:szCs w:val="18"/>
                <w:lang w:eastAsia="en-AU"/>
              </w:rPr>
            </w:pPr>
            <w:r w:rsidRPr="00092B22">
              <w:rPr>
                <w:rFonts w:ascii="Meta Pro" w:eastAsia="Times New Roman" w:hAnsi="Meta Pro"/>
                <w:szCs w:val="18"/>
                <w:lang w:eastAsia="en-AU"/>
              </w:rPr>
              <w:t>Property rental</w:t>
            </w:r>
          </w:p>
        </w:tc>
        <w:tc>
          <w:tcPr>
            <w:tcW w:w="1216" w:type="dxa"/>
            <w:tcBorders>
              <w:top w:val="nil"/>
              <w:left w:val="nil"/>
              <w:bottom w:val="nil"/>
              <w:right w:val="nil"/>
            </w:tcBorders>
            <w:shd w:val="clear" w:color="000000" w:fill="C9E3B4"/>
            <w:noWrap/>
            <w:vAlign w:val="center"/>
            <w:hideMark/>
          </w:tcPr>
          <w:p w14:paraId="4FA8E5F2"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36,420 </w:t>
            </w:r>
          </w:p>
        </w:tc>
        <w:tc>
          <w:tcPr>
            <w:tcW w:w="216" w:type="dxa"/>
            <w:tcBorders>
              <w:top w:val="nil"/>
              <w:left w:val="nil"/>
              <w:bottom w:val="nil"/>
              <w:right w:val="nil"/>
            </w:tcBorders>
            <w:shd w:val="clear" w:color="auto" w:fill="auto"/>
            <w:noWrap/>
            <w:vAlign w:val="center"/>
            <w:hideMark/>
          </w:tcPr>
          <w:p w14:paraId="1D8A544D" w14:textId="77777777" w:rsidR="00F15F7A" w:rsidRPr="00092B22" w:rsidRDefault="00F15F7A"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5ED0CA37"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28,962 </w:t>
            </w:r>
          </w:p>
        </w:tc>
      </w:tr>
      <w:tr w:rsidR="00F15F7A" w:rsidRPr="00092B22" w14:paraId="709E2E8B" w14:textId="77777777" w:rsidTr="00E607DA">
        <w:trPr>
          <w:trHeight w:val="240"/>
        </w:trPr>
        <w:tc>
          <w:tcPr>
            <w:tcW w:w="7476" w:type="dxa"/>
            <w:tcBorders>
              <w:top w:val="nil"/>
              <w:left w:val="nil"/>
              <w:bottom w:val="nil"/>
              <w:right w:val="nil"/>
            </w:tcBorders>
            <w:shd w:val="clear" w:color="auto" w:fill="auto"/>
            <w:noWrap/>
            <w:vAlign w:val="center"/>
            <w:hideMark/>
          </w:tcPr>
          <w:p w14:paraId="6089BC5F" w14:textId="77777777" w:rsidR="00F15F7A" w:rsidRPr="00092B22" w:rsidRDefault="00F15F7A" w:rsidP="00E607DA">
            <w:pPr>
              <w:rPr>
                <w:rFonts w:ascii="Meta Pro" w:eastAsia="Times New Roman" w:hAnsi="Meta Pro"/>
                <w:szCs w:val="18"/>
                <w:lang w:eastAsia="en-AU"/>
              </w:rPr>
            </w:pPr>
            <w:r w:rsidRPr="00092B22">
              <w:rPr>
                <w:rFonts w:ascii="Meta Pro" w:eastAsia="Times New Roman" w:hAnsi="Meta Pro"/>
                <w:szCs w:val="18"/>
                <w:lang w:eastAsia="en-AU"/>
              </w:rPr>
              <w:t>Recoverable works **</w:t>
            </w:r>
          </w:p>
        </w:tc>
        <w:tc>
          <w:tcPr>
            <w:tcW w:w="1216" w:type="dxa"/>
            <w:tcBorders>
              <w:top w:val="nil"/>
              <w:left w:val="nil"/>
              <w:bottom w:val="nil"/>
              <w:right w:val="nil"/>
            </w:tcBorders>
            <w:shd w:val="clear" w:color="000000" w:fill="C9E3B4"/>
            <w:noWrap/>
            <w:vAlign w:val="center"/>
            <w:hideMark/>
          </w:tcPr>
          <w:p w14:paraId="1F0C8292"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98,072 </w:t>
            </w:r>
          </w:p>
        </w:tc>
        <w:tc>
          <w:tcPr>
            <w:tcW w:w="216" w:type="dxa"/>
            <w:tcBorders>
              <w:top w:val="nil"/>
              <w:left w:val="nil"/>
              <w:bottom w:val="nil"/>
              <w:right w:val="nil"/>
            </w:tcBorders>
            <w:shd w:val="clear" w:color="auto" w:fill="auto"/>
            <w:noWrap/>
            <w:vAlign w:val="center"/>
            <w:hideMark/>
          </w:tcPr>
          <w:p w14:paraId="3DF9F0C2" w14:textId="77777777" w:rsidR="00F15F7A" w:rsidRPr="00092B22" w:rsidRDefault="00F15F7A"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38961486"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14,328 </w:t>
            </w:r>
          </w:p>
        </w:tc>
      </w:tr>
      <w:tr w:rsidR="00F15F7A" w:rsidRPr="00092B22" w14:paraId="5CB75D30" w14:textId="77777777" w:rsidTr="00E607DA">
        <w:trPr>
          <w:trHeight w:val="240"/>
        </w:trPr>
        <w:tc>
          <w:tcPr>
            <w:tcW w:w="7476" w:type="dxa"/>
            <w:tcBorders>
              <w:top w:val="nil"/>
              <w:left w:val="nil"/>
              <w:bottom w:val="nil"/>
              <w:right w:val="nil"/>
            </w:tcBorders>
            <w:shd w:val="clear" w:color="auto" w:fill="auto"/>
            <w:noWrap/>
            <w:vAlign w:val="center"/>
            <w:hideMark/>
          </w:tcPr>
          <w:p w14:paraId="7F6C90D7" w14:textId="77777777" w:rsidR="00F15F7A" w:rsidRPr="00092B22" w:rsidRDefault="00F15F7A" w:rsidP="00E607DA">
            <w:pPr>
              <w:rPr>
                <w:rFonts w:ascii="Meta Pro" w:eastAsia="Times New Roman" w:hAnsi="Meta Pro"/>
                <w:szCs w:val="18"/>
                <w:lang w:eastAsia="en-AU"/>
              </w:rPr>
            </w:pPr>
            <w:r w:rsidRPr="00092B22">
              <w:rPr>
                <w:rFonts w:ascii="Meta Pro" w:eastAsia="Times New Roman" w:hAnsi="Meta Pro"/>
                <w:szCs w:val="18"/>
                <w:lang w:eastAsia="en-AU"/>
              </w:rPr>
              <w:t>Registration fee surcharge</w:t>
            </w:r>
          </w:p>
        </w:tc>
        <w:tc>
          <w:tcPr>
            <w:tcW w:w="1216" w:type="dxa"/>
            <w:tcBorders>
              <w:top w:val="nil"/>
              <w:left w:val="nil"/>
              <w:bottom w:val="nil"/>
              <w:right w:val="nil"/>
            </w:tcBorders>
            <w:shd w:val="clear" w:color="000000" w:fill="C9E3B4"/>
            <w:noWrap/>
            <w:vAlign w:val="center"/>
            <w:hideMark/>
          </w:tcPr>
          <w:p w14:paraId="02FD7C2C"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19,452 </w:t>
            </w:r>
          </w:p>
        </w:tc>
        <w:tc>
          <w:tcPr>
            <w:tcW w:w="216" w:type="dxa"/>
            <w:tcBorders>
              <w:top w:val="nil"/>
              <w:left w:val="nil"/>
              <w:bottom w:val="nil"/>
              <w:right w:val="nil"/>
            </w:tcBorders>
            <w:shd w:val="clear" w:color="auto" w:fill="auto"/>
            <w:noWrap/>
            <w:vAlign w:val="center"/>
            <w:hideMark/>
          </w:tcPr>
          <w:p w14:paraId="51916565" w14:textId="77777777" w:rsidR="00F15F7A" w:rsidRPr="00092B22" w:rsidRDefault="00F15F7A"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51EBC37C"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20,339 </w:t>
            </w:r>
          </w:p>
        </w:tc>
      </w:tr>
      <w:tr w:rsidR="00F15F7A" w:rsidRPr="00092B22" w14:paraId="639D3003" w14:textId="77777777" w:rsidTr="00E607DA">
        <w:trPr>
          <w:trHeight w:val="240"/>
        </w:trPr>
        <w:tc>
          <w:tcPr>
            <w:tcW w:w="7476" w:type="dxa"/>
            <w:tcBorders>
              <w:top w:val="nil"/>
              <w:left w:val="nil"/>
              <w:bottom w:val="nil"/>
              <w:right w:val="nil"/>
            </w:tcBorders>
            <w:shd w:val="clear" w:color="auto" w:fill="auto"/>
            <w:noWrap/>
            <w:vAlign w:val="center"/>
            <w:hideMark/>
          </w:tcPr>
          <w:p w14:paraId="017EDEEC" w14:textId="77777777" w:rsidR="00F15F7A" w:rsidRPr="00092B22" w:rsidRDefault="00F15F7A" w:rsidP="00E607DA">
            <w:pPr>
              <w:rPr>
                <w:rFonts w:ascii="Meta Pro" w:eastAsia="Times New Roman" w:hAnsi="Meta Pro"/>
                <w:szCs w:val="18"/>
                <w:lang w:eastAsia="en-AU"/>
              </w:rPr>
            </w:pPr>
            <w:r w:rsidRPr="00092B22">
              <w:rPr>
                <w:rFonts w:ascii="Meta Pro" w:eastAsia="Times New Roman" w:hAnsi="Meta Pro"/>
                <w:szCs w:val="18"/>
                <w:lang w:eastAsia="en-AU"/>
              </w:rPr>
              <w:lastRenderedPageBreak/>
              <w:t>Services rendered</w:t>
            </w:r>
          </w:p>
        </w:tc>
        <w:tc>
          <w:tcPr>
            <w:tcW w:w="1216" w:type="dxa"/>
            <w:tcBorders>
              <w:top w:val="nil"/>
              <w:left w:val="nil"/>
              <w:bottom w:val="nil"/>
              <w:right w:val="nil"/>
            </w:tcBorders>
            <w:shd w:val="clear" w:color="000000" w:fill="C9E3B4"/>
            <w:noWrap/>
            <w:vAlign w:val="center"/>
            <w:hideMark/>
          </w:tcPr>
          <w:p w14:paraId="7B3AA719"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26,474 </w:t>
            </w:r>
          </w:p>
        </w:tc>
        <w:tc>
          <w:tcPr>
            <w:tcW w:w="216" w:type="dxa"/>
            <w:tcBorders>
              <w:top w:val="nil"/>
              <w:left w:val="nil"/>
              <w:bottom w:val="nil"/>
              <w:right w:val="nil"/>
            </w:tcBorders>
            <w:shd w:val="clear" w:color="auto" w:fill="auto"/>
            <w:noWrap/>
            <w:vAlign w:val="center"/>
            <w:hideMark/>
          </w:tcPr>
          <w:p w14:paraId="14296019" w14:textId="77777777" w:rsidR="00F15F7A" w:rsidRPr="00092B22" w:rsidRDefault="00F15F7A"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12586166"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29,999 </w:t>
            </w:r>
          </w:p>
        </w:tc>
      </w:tr>
      <w:tr w:rsidR="00F15F7A" w:rsidRPr="00092B22" w14:paraId="43E1C6AA" w14:textId="77777777" w:rsidTr="00E607DA">
        <w:trPr>
          <w:trHeight w:val="240"/>
        </w:trPr>
        <w:tc>
          <w:tcPr>
            <w:tcW w:w="7476" w:type="dxa"/>
            <w:tcBorders>
              <w:top w:val="nil"/>
              <w:left w:val="nil"/>
              <w:bottom w:val="nil"/>
              <w:right w:val="nil"/>
            </w:tcBorders>
            <w:shd w:val="clear" w:color="auto" w:fill="auto"/>
            <w:noWrap/>
            <w:vAlign w:val="center"/>
            <w:hideMark/>
          </w:tcPr>
          <w:p w14:paraId="2047D881" w14:textId="77777777" w:rsidR="00F15F7A" w:rsidRPr="00092B22" w:rsidRDefault="00F15F7A" w:rsidP="00E607DA">
            <w:pPr>
              <w:rPr>
                <w:rFonts w:ascii="Meta Pro" w:eastAsia="Times New Roman" w:hAnsi="Meta Pro"/>
                <w:szCs w:val="18"/>
                <w:lang w:eastAsia="en-AU"/>
              </w:rPr>
            </w:pPr>
            <w:r w:rsidRPr="00092B22">
              <w:rPr>
                <w:rFonts w:ascii="Meta Pro" w:eastAsia="Times New Roman" w:hAnsi="Meta Pro"/>
                <w:szCs w:val="18"/>
                <w:lang w:eastAsia="en-AU"/>
              </w:rPr>
              <w:t>Toll revenue</w:t>
            </w:r>
          </w:p>
        </w:tc>
        <w:tc>
          <w:tcPr>
            <w:tcW w:w="1216" w:type="dxa"/>
            <w:tcBorders>
              <w:top w:val="nil"/>
              <w:left w:val="nil"/>
              <w:bottom w:val="nil"/>
              <w:right w:val="nil"/>
            </w:tcBorders>
            <w:shd w:val="clear" w:color="000000" w:fill="C9E3B4"/>
            <w:noWrap/>
            <w:vAlign w:val="center"/>
            <w:hideMark/>
          </w:tcPr>
          <w:p w14:paraId="7F49988A"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19,727 </w:t>
            </w:r>
          </w:p>
        </w:tc>
        <w:tc>
          <w:tcPr>
            <w:tcW w:w="216" w:type="dxa"/>
            <w:tcBorders>
              <w:top w:val="nil"/>
              <w:left w:val="nil"/>
              <w:bottom w:val="nil"/>
              <w:right w:val="nil"/>
            </w:tcBorders>
            <w:shd w:val="clear" w:color="auto" w:fill="auto"/>
            <w:noWrap/>
            <w:vAlign w:val="center"/>
            <w:hideMark/>
          </w:tcPr>
          <w:p w14:paraId="456DD181" w14:textId="77777777" w:rsidR="00F15F7A" w:rsidRPr="00092B22" w:rsidRDefault="00F15F7A"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210B26F2"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18,748 </w:t>
            </w:r>
          </w:p>
        </w:tc>
      </w:tr>
      <w:tr w:rsidR="00F15F7A" w:rsidRPr="00092B22" w14:paraId="5F1793FE" w14:textId="77777777" w:rsidTr="00E607DA">
        <w:trPr>
          <w:trHeight w:val="240"/>
        </w:trPr>
        <w:tc>
          <w:tcPr>
            <w:tcW w:w="7476" w:type="dxa"/>
            <w:tcBorders>
              <w:top w:val="nil"/>
              <w:left w:val="nil"/>
              <w:bottom w:val="nil"/>
              <w:right w:val="nil"/>
            </w:tcBorders>
            <w:shd w:val="clear" w:color="auto" w:fill="auto"/>
            <w:noWrap/>
            <w:vAlign w:val="center"/>
            <w:hideMark/>
          </w:tcPr>
          <w:p w14:paraId="478F3CCD" w14:textId="77777777" w:rsidR="00F15F7A" w:rsidRPr="00092B22" w:rsidRDefault="00F15F7A" w:rsidP="00E607DA">
            <w:pPr>
              <w:rPr>
                <w:rFonts w:ascii="Meta Pro" w:eastAsia="Times New Roman" w:hAnsi="Meta Pro"/>
                <w:szCs w:val="18"/>
                <w:lang w:eastAsia="en-AU"/>
              </w:rPr>
            </w:pPr>
            <w:r w:rsidRPr="00092B22">
              <w:rPr>
                <w:rFonts w:ascii="Meta Pro" w:eastAsia="Times New Roman" w:hAnsi="Meta Pro"/>
                <w:szCs w:val="18"/>
                <w:lang w:eastAsia="en-AU"/>
              </w:rPr>
              <w:t>Other</w:t>
            </w:r>
          </w:p>
        </w:tc>
        <w:tc>
          <w:tcPr>
            <w:tcW w:w="1216" w:type="dxa"/>
            <w:tcBorders>
              <w:top w:val="nil"/>
              <w:left w:val="nil"/>
              <w:bottom w:val="nil"/>
              <w:right w:val="nil"/>
            </w:tcBorders>
            <w:shd w:val="clear" w:color="000000" w:fill="C9E3B4"/>
            <w:noWrap/>
            <w:vAlign w:val="center"/>
            <w:hideMark/>
          </w:tcPr>
          <w:p w14:paraId="5D1C6487"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49,852 </w:t>
            </w:r>
          </w:p>
        </w:tc>
        <w:tc>
          <w:tcPr>
            <w:tcW w:w="216" w:type="dxa"/>
            <w:tcBorders>
              <w:top w:val="nil"/>
              <w:left w:val="nil"/>
              <w:bottom w:val="nil"/>
              <w:right w:val="nil"/>
            </w:tcBorders>
            <w:shd w:val="clear" w:color="auto" w:fill="auto"/>
            <w:noWrap/>
            <w:vAlign w:val="center"/>
            <w:hideMark/>
          </w:tcPr>
          <w:p w14:paraId="25498A01" w14:textId="77777777" w:rsidR="00F15F7A" w:rsidRPr="00092B22" w:rsidRDefault="00F15F7A"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113FFE9D" w14:textId="77777777" w:rsidR="00F15F7A" w:rsidRPr="00092B22" w:rsidRDefault="00F15F7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45,708 </w:t>
            </w:r>
          </w:p>
        </w:tc>
      </w:tr>
      <w:tr w:rsidR="00F15F7A" w:rsidRPr="00092B22" w14:paraId="4C641608" w14:textId="77777777" w:rsidTr="00E607DA">
        <w:trPr>
          <w:trHeight w:val="240"/>
        </w:trPr>
        <w:tc>
          <w:tcPr>
            <w:tcW w:w="7476" w:type="dxa"/>
            <w:tcBorders>
              <w:top w:val="single" w:sz="4" w:space="0" w:color="auto"/>
              <w:left w:val="nil"/>
              <w:bottom w:val="double" w:sz="6" w:space="0" w:color="auto"/>
              <w:right w:val="nil"/>
            </w:tcBorders>
            <w:shd w:val="clear" w:color="auto" w:fill="auto"/>
            <w:noWrap/>
            <w:vAlign w:val="center"/>
            <w:hideMark/>
          </w:tcPr>
          <w:p w14:paraId="269551A4" w14:textId="77777777" w:rsidR="00F15F7A" w:rsidRPr="00092B22" w:rsidRDefault="00F15F7A" w:rsidP="00E607DA">
            <w:pPr>
              <w:rPr>
                <w:rFonts w:ascii="Meta Pro" w:eastAsia="Times New Roman" w:hAnsi="Meta Pro"/>
                <w:b/>
                <w:bCs/>
                <w:szCs w:val="18"/>
                <w:lang w:eastAsia="en-AU"/>
              </w:rPr>
            </w:pPr>
            <w:r w:rsidRPr="00092B22">
              <w:rPr>
                <w:rFonts w:ascii="Meta Pro" w:eastAsia="Times New Roman" w:hAnsi="Meta Pro"/>
                <w:b/>
                <w:bCs/>
                <w:szCs w:val="18"/>
                <w:lang w:eastAsia="en-AU"/>
              </w:rPr>
              <w:t>Total</w:t>
            </w:r>
          </w:p>
        </w:tc>
        <w:tc>
          <w:tcPr>
            <w:tcW w:w="1216" w:type="dxa"/>
            <w:tcBorders>
              <w:top w:val="single" w:sz="4" w:space="0" w:color="auto"/>
              <w:left w:val="nil"/>
              <w:bottom w:val="double" w:sz="6" w:space="0" w:color="auto"/>
              <w:right w:val="nil"/>
            </w:tcBorders>
            <w:shd w:val="clear" w:color="000000" w:fill="C9E3B4"/>
            <w:noWrap/>
            <w:vAlign w:val="center"/>
            <w:hideMark/>
          </w:tcPr>
          <w:p w14:paraId="4969B64D" w14:textId="77777777" w:rsidR="00F15F7A" w:rsidRPr="00092B22" w:rsidRDefault="00F15F7A"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703,281 </w:t>
            </w:r>
          </w:p>
        </w:tc>
        <w:tc>
          <w:tcPr>
            <w:tcW w:w="216" w:type="dxa"/>
            <w:tcBorders>
              <w:top w:val="single" w:sz="4" w:space="0" w:color="auto"/>
              <w:left w:val="nil"/>
              <w:bottom w:val="double" w:sz="6" w:space="0" w:color="auto"/>
              <w:right w:val="nil"/>
            </w:tcBorders>
            <w:shd w:val="clear" w:color="auto" w:fill="auto"/>
            <w:noWrap/>
            <w:vAlign w:val="center"/>
            <w:hideMark/>
          </w:tcPr>
          <w:p w14:paraId="77838AE0" w14:textId="77777777" w:rsidR="00F15F7A" w:rsidRPr="00092B22" w:rsidRDefault="00F15F7A"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216" w:type="dxa"/>
            <w:tcBorders>
              <w:top w:val="single" w:sz="4" w:space="0" w:color="auto"/>
              <w:left w:val="nil"/>
              <w:bottom w:val="double" w:sz="6" w:space="0" w:color="auto"/>
              <w:right w:val="nil"/>
            </w:tcBorders>
            <w:shd w:val="clear" w:color="auto" w:fill="auto"/>
            <w:noWrap/>
            <w:vAlign w:val="center"/>
            <w:hideMark/>
          </w:tcPr>
          <w:p w14:paraId="0C73AA97" w14:textId="77777777" w:rsidR="00F15F7A" w:rsidRPr="00092B22" w:rsidRDefault="00F15F7A"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615,524 </w:t>
            </w:r>
          </w:p>
        </w:tc>
      </w:tr>
    </w:tbl>
    <w:p w14:paraId="36AE0D12" w14:textId="77777777" w:rsidR="00F15F7A" w:rsidRPr="00092B22" w:rsidRDefault="00F15F7A" w:rsidP="00F15F7A">
      <w:pPr>
        <w:spacing w:before="60"/>
        <w:rPr>
          <w:rFonts w:ascii="Meta Pro" w:hAnsi="Meta Pro"/>
          <w:sz w:val="16"/>
          <w:szCs w:val="16"/>
        </w:rPr>
      </w:pPr>
      <w:r w:rsidRPr="00092B22">
        <w:rPr>
          <w:rFonts w:ascii="Meta Pro" w:hAnsi="Meta Pro"/>
          <w:sz w:val="16"/>
          <w:szCs w:val="16"/>
        </w:rPr>
        <w:t>* Fare revenue has decreased across passenger transport services due to the ongoing COVID-19 pandemic.</w:t>
      </w:r>
    </w:p>
    <w:p w14:paraId="4E382F0D" w14:textId="77777777" w:rsidR="00F15F7A" w:rsidRPr="00092B22" w:rsidRDefault="00F15F7A" w:rsidP="00F15F7A">
      <w:pPr>
        <w:spacing w:before="60"/>
        <w:rPr>
          <w:rFonts w:ascii="Meta Pro" w:hAnsi="Meta Pro"/>
          <w:sz w:val="16"/>
          <w:szCs w:val="16"/>
        </w:rPr>
      </w:pPr>
      <w:r w:rsidRPr="00092B22">
        <w:rPr>
          <w:rFonts w:ascii="Meta Pro" w:hAnsi="Meta Pro"/>
          <w:sz w:val="16"/>
          <w:szCs w:val="16"/>
        </w:rPr>
        <w:t>** Increase due to works completed for Queensland Rail relating to park and ride infrastructure of $66.907m</w:t>
      </w:r>
      <w:r>
        <w:rPr>
          <w:rFonts w:ascii="Meta Pro" w:hAnsi="Meta Pro"/>
          <w:sz w:val="16"/>
          <w:szCs w:val="16"/>
        </w:rPr>
        <w:t>,</w:t>
      </w:r>
      <w:r w:rsidRPr="00092B22">
        <w:rPr>
          <w:rFonts w:ascii="Meta Pro" w:hAnsi="Meta Pro"/>
          <w:sz w:val="16"/>
          <w:szCs w:val="16"/>
        </w:rPr>
        <w:t xml:space="preserve"> and $16.923m from the City of</w:t>
      </w:r>
    </w:p>
    <w:p w14:paraId="5C71D273" w14:textId="77777777" w:rsidR="00F15F7A" w:rsidRPr="00092B22" w:rsidRDefault="00F15F7A" w:rsidP="00F15F7A">
      <w:pPr>
        <w:rPr>
          <w:rFonts w:ascii="Meta Pro" w:hAnsi="Meta Pro"/>
          <w:sz w:val="16"/>
          <w:szCs w:val="16"/>
        </w:rPr>
      </w:pPr>
      <w:r w:rsidRPr="00092B22">
        <w:rPr>
          <w:rFonts w:ascii="Meta Pro" w:hAnsi="Meta Pro"/>
          <w:sz w:val="16"/>
          <w:szCs w:val="16"/>
        </w:rPr>
        <w:t xml:space="preserve">     Gold Coast for local infrastructure improvements.</w:t>
      </w:r>
    </w:p>
    <w:p w14:paraId="37980212" w14:textId="77777777" w:rsidR="00F15F7A" w:rsidRPr="00092B22" w:rsidRDefault="00F15F7A" w:rsidP="00F15F7A">
      <w:pPr>
        <w:shd w:val="clear" w:color="auto" w:fill="EBEBEB"/>
        <w:spacing w:after="120"/>
        <w:ind w:left="113" w:hanging="113"/>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Accounting policy</w:t>
      </w:r>
    </w:p>
    <w:p w14:paraId="5D9445ED" w14:textId="77777777" w:rsidR="00F15F7A" w:rsidRPr="00092B22" w:rsidRDefault="00F15F7A" w:rsidP="00F15F7A">
      <w:pPr>
        <w:shd w:val="clear" w:color="auto" w:fill="EBEBEB"/>
        <w:rPr>
          <w:rFonts w:ascii="Meta Pro" w:eastAsia="Times New Roman" w:hAnsi="Meta Pro"/>
          <w:color w:val="000000"/>
          <w:szCs w:val="18"/>
          <w:lang w:eastAsia="en-AU"/>
        </w:rPr>
      </w:pPr>
      <w:r w:rsidRPr="00092B22">
        <w:rPr>
          <w:rFonts w:ascii="Meta Pro" w:eastAsia="Times New Roman" w:hAnsi="Meta Pro"/>
          <w:color w:val="000000"/>
          <w:szCs w:val="18"/>
          <w:lang w:eastAsia="en-AU"/>
        </w:rPr>
        <w:t>User charges and fees are recognised as performance obligations are met and as goods or services are provided to the customer.</w:t>
      </w:r>
    </w:p>
    <w:tbl>
      <w:tblPr>
        <w:tblW w:w="0" w:type="auto"/>
        <w:tblCellMar>
          <w:left w:w="0" w:type="dxa"/>
        </w:tblCellMar>
        <w:tblLook w:val="04A0" w:firstRow="1" w:lastRow="0" w:firstColumn="1" w:lastColumn="0" w:noHBand="0" w:noVBand="1"/>
      </w:tblPr>
      <w:tblGrid>
        <w:gridCol w:w="7090"/>
        <w:gridCol w:w="1165"/>
        <w:gridCol w:w="218"/>
        <w:gridCol w:w="1165"/>
      </w:tblGrid>
      <w:tr w:rsidR="00B471A1" w:rsidRPr="00092B22" w14:paraId="6F5820DF" w14:textId="77777777" w:rsidTr="00E607DA">
        <w:trPr>
          <w:trHeight w:val="240"/>
        </w:trPr>
        <w:tc>
          <w:tcPr>
            <w:tcW w:w="7476" w:type="dxa"/>
            <w:tcBorders>
              <w:top w:val="nil"/>
              <w:left w:val="nil"/>
              <w:bottom w:val="nil"/>
              <w:right w:val="nil"/>
            </w:tcBorders>
            <w:shd w:val="clear" w:color="auto" w:fill="auto"/>
            <w:noWrap/>
            <w:vAlign w:val="center"/>
            <w:hideMark/>
          </w:tcPr>
          <w:p w14:paraId="7E01DFA9" w14:textId="77777777" w:rsidR="00B471A1" w:rsidRPr="00092B22" w:rsidRDefault="00B471A1" w:rsidP="00E607DA">
            <w:pPr>
              <w:rPr>
                <w:rFonts w:ascii="Meta Pro" w:eastAsia="Times New Roman" w:hAnsi="Meta Pro" w:cs="Times New Roman"/>
                <w:sz w:val="24"/>
                <w:szCs w:val="24"/>
                <w:lang w:eastAsia="en-AU"/>
              </w:rPr>
            </w:pPr>
          </w:p>
        </w:tc>
        <w:tc>
          <w:tcPr>
            <w:tcW w:w="1216" w:type="dxa"/>
            <w:tcBorders>
              <w:top w:val="nil"/>
              <w:left w:val="nil"/>
              <w:bottom w:val="nil"/>
              <w:right w:val="nil"/>
            </w:tcBorders>
            <w:shd w:val="clear" w:color="auto" w:fill="auto"/>
            <w:noWrap/>
            <w:vAlign w:val="center"/>
            <w:hideMark/>
          </w:tcPr>
          <w:p w14:paraId="28EE4BA9" w14:textId="77777777" w:rsidR="00B471A1" w:rsidRPr="00092B22" w:rsidRDefault="00B471A1" w:rsidP="00E607DA">
            <w:pPr>
              <w:jc w:val="center"/>
              <w:rPr>
                <w:rFonts w:ascii="Meta Pro" w:eastAsia="Times New Roman" w:hAnsi="Meta Pro"/>
                <w:b/>
                <w:bCs/>
                <w:color w:val="000000"/>
                <w:lang w:eastAsia="en-AU"/>
              </w:rPr>
            </w:pPr>
            <w:r w:rsidRPr="00092B22">
              <w:rPr>
                <w:rFonts w:ascii="Meta Pro" w:eastAsia="Times New Roman" w:hAnsi="Meta Pro"/>
                <w:b/>
                <w:bCs/>
                <w:color w:val="000000"/>
                <w:lang w:eastAsia="en-AU"/>
              </w:rPr>
              <w:t>2022</w:t>
            </w:r>
          </w:p>
        </w:tc>
        <w:tc>
          <w:tcPr>
            <w:tcW w:w="216" w:type="dxa"/>
            <w:tcBorders>
              <w:top w:val="nil"/>
              <w:left w:val="nil"/>
              <w:bottom w:val="nil"/>
              <w:right w:val="nil"/>
            </w:tcBorders>
            <w:shd w:val="clear" w:color="auto" w:fill="auto"/>
            <w:noWrap/>
            <w:vAlign w:val="center"/>
            <w:hideMark/>
          </w:tcPr>
          <w:p w14:paraId="58D95036" w14:textId="77777777" w:rsidR="00B471A1" w:rsidRPr="00092B22" w:rsidRDefault="00B471A1" w:rsidP="00E607DA">
            <w:pPr>
              <w:jc w:val="center"/>
              <w:rPr>
                <w:rFonts w:ascii="Meta Pro" w:eastAsia="Times New Roman" w:hAnsi="Meta Pro"/>
                <w:b/>
                <w:bCs/>
                <w:color w:val="000000"/>
                <w:lang w:eastAsia="en-AU"/>
              </w:rPr>
            </w:pPr>
          </w:p>
        </w:tc>
        <w:tc>
          <w:tcPr>
            <w:tcW w:w="1216" w:type="dxa"/>
            <w:tcBorders>
              <w:top w:val="nil"/>
              <w:left w:val="nil"/>
              <w:bottom w:val="nil"/>
              <w:right w:val="nil"/>
            </w:tcBorders>
            <w:shd w:val="clear" w:color="auto" w:fill="auto"/>
            <w:noWrap/>
            <w:vAlign w:val="center"/>
            <w:hideMark/>
          </w:tcPr>
          <w:p w14:paraId="23E6FBD7" w14:textId="77777777" w:rsidR="00B471A1" w:rsidRPr="00092B22" w:rsidRDefault="00B471A1" w:rsidP="00E607DA">
            <w:pPr>
              <w:jc w:val="center"/>
              <w:rPr>
                <w:rFonts w:ascii="Meta Pro" w:eastAsia="Times New Roman" w:hAnsi="Meta Pro"/>
                <w:b/>
                <w:bCs/>
                <w:lang w:eastAsia="en-AU"/>
              </w:rPr>
            </w:pPr>
            <w:r w:rsidRPr="00092B22">
              <w:rPr>
                <w:rFonts w:ascii="Meta Pro" w:eastAsia="Times New Roman" w:hAnsi="Meta Pro"/>
                <w:b/>
                <w:bCs/>
                <w:lang w:eastAsia="en-AU"/>
              </w:rPr>
              <w:t>2021</w:t>
            </w:r>
          </w:p>
        </w:tc>
      </w:tr>
      <w:tr w:rsidR="00B471A1" w:rsidRPr="00092B22" w14:paraId="53DE917E" w14:textId="77777777" w:rsidTr="00E607DA">
        <w:trPr>
          <w:trHeight w:val="240"/>
        </w:trPr>
        <w:tc>
          <w:tcPr>
            <w:tcW w:w="7476" w:type="dxa"/>
            <w:tcBorders>
              <w:top w:val="nil"/>
              <w:left w:val="nil"/>
              <w:bottom w:val="nil"/>
              <w:right w:val="nil"/>
            </w:tcBorders>
            <w:shd w:val="clear" w:color="auto" w:fill="auto"/>
            <w:noWrap/>
            <w:vAlign w:val="center"/>
            <w:hideMark/>
          </w:tcPr>
          <w:p w14:paraId="22F20CF1" w14:textId="77777777" w:rsidR="00B471A1" w:rsidRPr="00092B22" w:rsidRDefault="00B471A1" w:rsidP="00E607DA">
            <w:pPr>
              <w:jc w:val="center"/>
              <w:rPr>
                <w:rFonts w:ascii="Meta Pro" w:eastAsia="Times New Roman" w:hAnsi="Meta Pro"/>
                <w:b/>
                <w:bCs/>
                <w:lang w:eastAsia="en-AU"/>
              </w:rPr>
            </w:pPr>
          </w:p>
        </w:tc>
        <w:tc>
          <w:tcPr>
            <w:tcW w:w="1216" w:type="dxa"/>
            <w:tcBorders>
              <w:top w:val="nil"/>
              <w:left w:val="nil"/>
              <w:bottom w:val="nil"/>
              <w:right w:val="nil"/>
            </w:tcBorders>
            <w:shd w:val="clear" w:color="auto" w:fill="auto"/>
            <w:noWrap/>
            <w:vAlign w:val="center"/>
            <w:hideMark/>
          </w:tcPr>
          <w:p w14:paraId="3AE72BD4" w14:textId="77777777" w:rsidR="00B471A1" w:rsidRPr="00092B22" w:rsidRDefault="00B471A1" w:rsidP="00E607DA">
            <w:pPr>
              <w:jc w:val="center"/>
              <w:rPr>
                <w:rFonts w:ascii="Meta Pro" w:eastAsia="Times New Roman" w:hAnsi="Meta Pro"/>
                <w:b/>
                <w:bCs/>
                <w:lang w:eastAsia="en-AU"/>
              </w:rPr>
            </w:pPr>
            <w:r w:rsidRPr="00092B22">
              <w:rPr>
                <w:rFonts w:ascii="Meta Pro" w:eastAsia="Times New Roman" w:hAnsi="Meta Pro"/>
                <w:b/>
                <w:bCs/>
                <w:lang w:eastAsia="en-AU"/>
              </w:rPr>
              <w:t>$'000</w:t>
            </w:r>
          </w:p>
        </w:tc>
        <w:tc>
          <w:tcPr>
            <w:tcW w:w="216" w:type="dxa"/>
            <w:tcBorders>
              <w:top w:val="nil"/>
              <w:left w:val="nil"/>
              <w:bottom w:val="nil"/>
              <w:right w:val="nil"/>
            </w:tcBorders>
            <w:shd w:val="clear" w:color="auto" w:fill="auto"/>
            <w:noWrap/>
            <w:vAlign w:val="center"/>
            <w:hideMark/>
          </w:tcPr>
          <w:p w14:paraId="51893949" w14:textId="77777777" w:rsidR="00B471A1" w:rsidRPr="00092B22" w:rsidRDefault="00B471A1" w:rsidP="00E607DA">
            <w:pPr>
              <w:jc w:val="center"/>
              <w:rPr>
                <w:rFonts w:ascii="Meta Pro" w:eastAsia="Times New Roman" w:hAnsi="Meta Pro"/>
                <w:b/>
                <w:bCs/>
                <w:lang w:eastAsia="en-AU"/>
              </w:rPr>
            </w:pPr>
          </w:p>
        </w:tc>
        <w:tc>
          <w:tcPr>
            <w:tcW w:w="1216" w:type="dxa"/>
            <w:tcBorders>
              <w:top w:val="nil"/>
              <w:left w:val="nil"/>
              <w:bottom w:val="nil"/>
              <w:right w:val="nil"/>
            </w:tcBorders>
            <w:shd w:val="clear" w:color="auto" w:fill="auto"/>
            <w:noWrap/>
            <w:vAlign w:val="center"/>
            <w:hideMark/>
          </w:tcPr>
          <w:p w14:paraId="1867741F" w14:textId="77777777" w:rsidR="00B471A1" w:rsidRPr="00092B22" w:rsidRDefault="00B471A1" w:rsidP="00E607DA">
            <w:pPr>
              <w:jc w:val="center"/>
              <w:rPr>
                <w:rFonts w:ascii="Meta Pro" w:eastAsia="Times New Roman" w:hAnsi="Meta Pro"/>
                <w:b/>
                <w:bCs/>
                <w:lang w:eastAsia="en-AU"/>
              </w:rPr>
            </w:pPr>
            <w:r w:rsidRPr="00092B22">
              <w:rPr>
                <w:rFonts w:ascii="Meta Pro" w:eastAsia="Times New Roman" w:hAnsi="Meta Pro"/>
                <w:b/>
                <w:bCs/>
                <w:lang w:eastAsia="en-AU"/>
              </w:rPr>
              <w:t>$'000</w:t>
            </w:r>
          </w:p>
        </w:tc>
      </w:tr>
      <w:tr w:rsidR="00B471A1" w:rsidRPr="00092B22" w14:paraId="020CA111" w14:textId="77777777" w:rsidTr="00E607DA">
        <w:trPr>
          <w:trHeight w:val="240"/>
        </w:trPr>
        <w:tc>
          <w:tcPr>
            <w:tcW w:w="7476" w:type="dxa"/>
            <w:tcBorders>
              <w:top w:val="nil"/>
              <w:left w:val="nil"/>
              <w:bottom w:val="nil"/>
              <w:right w:val="nil"/>
            </w:tcBorders>
            <w:shd w:val="clear" w:color="auto" w:fill="auto"/>
            <w:noWrap/>
            <w:vAlign w:val="center"/>
            <w:hideMark/>
          </w:tcPr>
          <w:p w14:paraId="1C806C83" w14:textId="77777777" w:rsidR="00B471A1" w:rsidRPr="00092B22" w:rsidRDefault="00B471A1" w:rsidP="00E607DA">
            <w:pPr>
              <w:rPr>
                <w:rFonts w:ascii="Meta Pro" w:eastAsia="Times New Roman" w:hAnsi="Meta Pro"/>
                <w:b/>
                <w:bCs/>
                <w:lang w:eastAsia="en-AU"/>
              </w:rPr>
            </w:pPr>
            <w:r w:rsidRPr="00092B22">
              <w:rPr>
                <w:rFonts w:ascii="Meta Pro" w:eastAsia="Times New Roman" w:hAnsi="Meta Pro"/>
                <w:b/>
                <w:bCs/>
                <w:lang w:eastAsia="en-AU"/>
              </w:rPr>
              <w:t>4     GRANTS AND OTHER CONTRIBUTIONS</w:t>
            </w:r>
          </w:p>
        </w:tc>
        <w:tc>
          <w:tcPr>
            <w:tcW w:w="1216" w:type="dxa"/>
            <w:tcBorders>
              <w:top w:val="nil"/>
              <w:left w:val="nil"/>
              <w:bottom w:val="nil"/>
              <w:right w:val="nil"/>
            </w:tcBorders>
            <w:shd w:val="clear" w:color="auto" w:fill="auto"/>
            <w:noWrap/>
            <w:vAlign w:val="center"/>
            <w:hideMark/>
          </w:tcPr>
          <w:p w14:paraId="05CF99FC" w14:textId="77777777" w:rsidR="00B471A1" w:rsidRPr="00092B22" w:rsidRDefault="00B471A1" w:rsidP="00E607DA">
            <w:pPr>
              <w:rPr>
                <w:rFonts w:ascii="Meta Pro" w:eastAsia="Times New Roman" w:hAnsi="Meta Pro"/>
                <w:b/>
                <w:bCs/>
                <w:lang w:eastAsia="en-AU"/>
              </w:rPr>
            </w:pPr>
          </w:p>
        </w:tc>
        <w:tc>
          <w:tcPr>
            <w:tcW w:w="216" w:type="dxa"/>
            <w:tcBorders>
              <w:top w:val="nil"/>
              <w:left w:val="nil"/>
              <w:bottom w:val="nil"/>
              <w:right w:val="nil"/>
            </w:tcBorders>
            <w:shd w:val="clear" w:color="auto" w:fill="auto"/>
            <w:noWrap/>
            <w:vAlign w:val="center"/>
            <w:hideMark/>
          </w:tcPr>
          <w:p w14:paraId="08531B76" w14:textId="77777777" w:rsidR="00B471A1" w:rsidRPr="00092B22" w:rsidRDefault="00B471A1"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77513935" w14:textId="77777777" w:rsidR="00B471A1" w:rsidRPr="00092B22" w:rsidRDefault="00B471A1" w:rsidP="00E607DA">
            <w:pPr>
              <w:jc w:val="right"/>
              <w:rPr>
                <w:rFonts w:ascii="Meta Pro" w:eastAsia="Times New Roman" w:hAnsi="Meta Pro" w:cs="Times New Roman"/>
                <w:sz w:val="20"/>
                <w:szCs w:val="20"/>
                <w:lang w:eastAsia="en-AU"/>
              </w:rPr>
            </w:pPr>
          </w:p>
        </w:tc>
      </w:tr>
      <w:tr w:rsidR="00B471A1" w:rsidRPr="00092B22" w14:paraId="4E24FDEF" w14:textId="77777777" w:rsidTr="00E607DA">
        <w:trPr>
          <w:trHeight w:val="90"/>
        </w:trPr>
        <w:tc>
          <w:tcPr>
            <w:tcW w:w="7476" w:type="dxa"/>
            <w:tcBorders>
              <w:top w:val="nil"/>
              <w:left w:val="nil"/>
              <w:bottom w:val="nil"/>
              <w:right w:val="nil"/>
            </w:tcBorders>
            <w:shd w:val="clear" w:color="auto" w:fill="auto"/>
            <w:noWrap/>
            <w:vAlign w:val="center"/>
            <w:hideMark/>
          </w:tcPr>
          <w:p w14:paraId="398BB190" w14:textId="77777777" w:rsidR="00B471A1" w:rsidRPr="00092B22" w:rsidRDefault="00B471A1"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3F27B77C" w14:textId="77777777" w:rsidR="00B471A1" w:rsidRPr="00092B22" w:rsidRDefault="00B471A1" w:rsidP="00E607DA">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71B6D62D" w14:textId="77777777" w:rsidR="00B471A1" w:rsidRPr="00092B22" w:rsidRDefault="00B471A1"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0E437D27" w14:textId="77777777" w:rsidR="00B471A1" w:rsidRPr="00092B22" w:rsidRDefault="00B471A1" w:rsidP="00E607DA">
            <w:pPr>
              <w:jc w:val="right"/>
              <w:rPr>
                <w:rFonts w:ascii="Meta Pro" w:eastAsia="Times New Roman" w:hAnsi="Meta Pro" w:cs="Times New Roman"/>
                <w:sz w:val="20"/>
                <w:szCs w:val="20"/>
                <w:lang w:eastAsia="en-AU"/>
              </w:rPr>
            </w:pPr>
          </w:p>
        </w:tc>
      </w:tr>
      <w:tr w:rsidR="00B471A1" w:rsidRPr="00092B22" w14:paraId="0630700D" w14:textId="77777777" w:rsidTr="00E607DA">
        <w:trPr>
          <w:trHeight w:val="240"/>
        </w:trPr>
        <w:tc>
          <w:tcPr>
            <w:tcW w:w="7476" w:type="dxa"/>
            <w:tcBorders>
              <w:top w:val="nil"/>
              <w:left w:val="nil"/>
              <w:bottom w:val="nil"/>
              <w:right w:val="nil"/>
            </w:tcBorders>
            <w:shd w:val="clear" w:color="auto" w:fill="auto"/>
            <w:noWrap/>
            <w:vAlign w:val="center"/>
            <w:hideMark/>
          </w:tcPr>
          <w:p w14:paraId="7C2E9F93" w14:textId="77777777" w:rsidR="00B471A1" w:rsidRPr="00092B22" w:rsidRDefault="00B471A1" w:rsidP="00E607DA">
            <w:pPr>
              <w:rPr>
                <w:rFonts w:ascii="Meta Pro" w:eastAsia="Times New Roman" w:hAnsi="Meta Pro"/>
                <w:szCs w:val="18"/>
                <w:lang w:eastAsia="en-AU"/>
              </w:rPr>
            </w:pPr>
            <w:r w:rsidRPr="00092B22">
              <w:rPr>
                <w:rFonts w:ascii="Meta Pro" w:eastAsia="Times New Roman" w:hAnsi="Meta Pro"/>
                <w:szCs w:val="18"/>
                <w:lang w:eastAsia="en-AU"/>
              </w:rPr>
              <w:t>Goods, services and assets received at below fair value *</w:t>
            </w:r>
          </w:p>
        </w:tc>
        <w:tc>
          <w:tcPr>
            <w:tcW w:w="1216" w:type="dxa"/>
            <w:tcBorders>
              <w:top w:val="nil"/>
              <w:left w:val="nil"/>
              <w:bottom w:val="nil"/>
              <w:right w:val="nil"/>
            </w:tcBorders>
            <w:shd w:val="clear" w:color="000000" w:fill="C9E3B4"/>
            <w:noWrap/>
            <w:vAlign w:val="center"/>
            <w:hideMark/>
          </w:tcPr>
          <w:p w14:paraId="23ACBDDE" w14:textId="77777777" w:rsidR="00B471A1" w:rsidRPr="00092B22" w:rsidRDefault="00B471A1"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71,576 </w:t>
            </w:r>
          </w:p>
        </w:tc>
        <w:tc>
          <w:tcPr>
            <w:tcW w:w="216" w:type="dxa"/>
            <w:tcBorders>
              <w:top w:val="nil"/>
              <w:left w:val="nil"/>
              <w:bottom w:val="nil"/>
              <w:right w:val="nil"/>
            </w:tcBorders>
            <w:shd w:val="clear" w:color="auto" w:fill="auto"/>
            <w:noWrap/>
            <w:vAlign w:val="center"/>
            <w:hideMark/>
          </w:tcPr>
          <w:p w14:paraId="34FCC40B" w14:textId="77777777" w:rsidR="00B471A1" w:rsidRPr="00092B22" w:rsidRDefault="00B471A1"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5FF99E08" w14:textId="77777777" w:rsidR="00B471A1" w:rsidRPr="00092B22" w:rsidRDefault="00B471A1"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5,022 </w:t>
            </w:r>
          </w:p>
        </w:tc>
      </w:tr>
      <w:tr w:rsidR="00B471A1" w:rsidRPr="00092B22" w14:paraId="7AEB0B32" w14:textId="77777777" w:rsidTr="00E607DA">
        <w:trPr>
          <w:trHeight w:val="240"/>
        </w:trPr>
        <w:tc>
          <w:tcPr>
            <w:tcW w:w="7476" w:type="dxa"/>
            <w:tcBorders>
              <w:top w:val="nil"/>
              <w:left w:val="nil"/>
              <w:bottom w:val="nil"/>
              <w:right w:val="nil"/>
            </w:tcBorders>
            <w:shd w:val="clear" w:color="auto" w:fill="auto"/>
            <w:noWrap/>
            <w:vAlign w:val="center"/>
            <w:hideMark/>
          </w:tcPr>
          <w:p w14:paraId="0B475FB8" w14:textId="77777777" w:rsidR="00B471A1" w:rsidRPr="00092B22" w:rsidRDefault="00B471A1" w:rsidP="00E607DA">
            <w:pPr>
              <w:rPr>
                <w:rFonts w:ascii="Meta Pro" w:eastAsia="Times New Roman" w:hAnsi="Meta Pro"/>
                <w:szCs w:val="18"/>
                <w:lang w:eastAsia="en-AU"/>
              </w:rPr>
            </w:pPr>
            <w:r w:rsidRPr="00092B22">
              <w:rPr>
                <w:rFonts w:ascii="Meta Pro" w:eastAsia="Times New Roman" w:hAnsi="Meta Pro"/>
                <w:szCs w:val="18"/>
                <w:lang w:eastAsia="en-AU"/>
              </w:rPr>
              <w:t>Grants from City of Gold Coast **</w:t>
            </w:r>
          </w:p>
        </w:tc>
        <w:tc>
          <w:tcPr>
            <w:tcW w:w="1216" w:type="dxa"/>
            <w:tcBorders>
              <w:top w:val="nil"/>
              <w:left w:val="nil"/>
              <w:bottom w:val="nil"/>
              <w:right w:val="nil"/>
            </w:tcBorders>
            <w:shd w:val="clear" w:color="000000" w:fill="C9E3B4"/>
            <w:noWrap/>
            <w:vAlign w:val="center"/>
            <w:hideMark/>
          </w:tcPr>
          <w:p w14:paraId="4C2FC3C6" w14:textId="77777777" w:rsidR="00B471A1" w:rsidRPr="00092B22" w:rsidRDefault="00B471A1"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17,000 </w:t>
            </w:r>
          </w:p>
        </w:tc>
        <w:tc>
          <w:tcPr>
            <w:tcW w:w="216" w:type="dxa"/>
            <w:tcBorders>
              <w:top w:val="nil"/>
              <w:left w:val="nil"/>
              <w:bottom w:val="nil"/>
              <w:right w:val="nil"/>
            </w:tcBorders>
            <w:shd w:val="clear" w:color="auto" w:fill="auto"/>
            <w:noWrap/>
            <w:vAlign w:val="center"/>
            <w:hideMark/>
          </w:tcPr>
          <w:p w14:paraId="5F766A08" w14:textId="77777777" w:rsidR="00B471A1" w:rsidRPr="00092B22" w:rsidRDefault="00B471A1"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5CCE8C59" w14:textId="77777777" w:rsidR="00B471A1" w:rsidRPr="00092B22" w:rsidRDefault="00B471A1"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r>
      <w:tr w:rsidR="00B471A1" w:rsidRPr="00092B22" w14:paraId="0DE97429" w14:textId="77777777" w:rsidTr="00E607DA">
        <w:trPr>
          <w:trHeight w:val="240"/>
        </w:trPr>
        <w:tc>
          <w:tcPr>
            <w:tcW w:w="7476" w:type="dxa"/>
            <w:tcBorders>
              <w:top w:val="nil"/>
              <w:left w:val="nil"/>
              <w:bottom w:val="nil"/>
              <w:right w:val="nil"/>
            </w:tcBorders>
            <w:shd w:val="clear" w:color="auto" w:fill="auto"/>
            <w:noWrap/>
            <w:vAlign w:val="center"/>
            <w:hideMark/>
          </w:tcPr>
          <w:p w14:paraId="26196757" w14:textId="77777777" w:rsidR="00B471A1" w:rsidRPr="00092B22" w:rsidRDefault="00B471A1" w:rsidP="00E607DA">
            <w:pPr>
              <w:rPr>
                <w:rFonts w:ascii="Meta Pro" w:eastAsia="Times New Roman" w:hAnsi="Meta Pro"/>
                <w:szCs w:val="18"/>
                <w:lang w:eastAsia="en-AU"/>
              </w:rPr>
            </w:pPr>
            <w:r w:rsidRPr="00092B22">
              <w:rPr>
                <w:rFonts w:ascii="Meta Pro" w:eastAsia="Times New Roman" w:hAnsi="Meta Pro"/>
                <w:szCs w:val="18"/>
                <w:lang w:eastAsia="en-AU"/>
              </w:rPr>
              <w:t>Grants from Motor Accident Insurance Commission ***</w:t>
            </w:r>
          </w:p>
        </w:tc>
        <w:tc>
          <w:tcPr>
            <w:tcW w:w="1216" w:type="dxa"/>
            <w:tcBorders>
              <w:top w:val="nil"/>
              <w:left w:val="nil"/>
              <w:bottom w:val="nil"/>
              <w:right w:val="nil"/>
            </w:tcBorders>
            <w:shd w:val="clear" w:color="000000" w:fill="C9E3B4"/>
            <w:noWrap/>
            <w:vAlign w:val="center"/>
            <w:hideMark/>
          </w:tcPr>
          <w:p w14:paraId="379E36EB" w14:textId="77777777" w:rsidR="00B471A1" w:rsidRPr="00092B22" w:rsidRDefault="00B471A1"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187 </w:t>
            </w:r>
          </w:p>
        </w:tc>
        <w:tc>
          <w:tcPr>
            <w:tcW w:w="216" w:type="dxa"/>
            <w:tcBorders>
              <w:top w:val="nil"/>
              <w:left w:val="nil"/>
              <w:bottom w:val="nil"/>
              <w:right w:val="nil"/>
            </w:tcBorders>
            <w:shd w:val="clear" w:color="auto" w:fill="auto"/>
            <w:noWrap/>
            <w:vAlign w:val="center"/>
            <w:hideMark/>
          </w:tcPr>
          <w:p w14:paraId="4BADA5B2" w14:textId="77777777" w:rsidR="00B471A1" w:rsidRPr="00092B22" w:rsidRDefault="00B471A1"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5FBA6CB6" w14:textId="77777777" w:rsidR="00B471A1" w:rsidRPr="00092B22" w:rsidRDefault="00B471A1"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4,240 </w:t>
            </w:r>
          </w:p>
        </w:tc>
      </w:tr>
      <w:tr w:rsidR="00B471A1" w:rsidRPr="00092B22" w14:paraId="2C7A6D9A" w14:textId="77777777" w:rsidTr="00E607DA">
        <w:trPr>
          <w:trHeight w:val="240"/>
        </w:trPr>
        <w:tc>
          <w:tcPr>
            <w:tcW w:w="7476" w:type="dxa"/>
            <w:tcBorders>
              <w:top w:val="nil"/>
              <w:left w:val="nil"/>
              <w:bottom w:val="nil"/>
              <w:right w:val="nil"/>
            </w:tcBorders>
            <w:shd w:val="clear" w:color="auto" w:fill="auto"/>
            <w:noWrap/>
            <w:vAlign w:val="center"/>
            <w:hideMark/>
          </w:tcPr>
          <w:p w14:paraId="501A0DE7" w14:textId="77777777" w:rsidR="00B471A1" w:rsidRPr="00092B22" w:rsidRDefault="00B471A1" w:rsidP="00E607DA">
            <w:pPr>
              <w:rPr>
                <w:rFonts w:ascii="Meta Pro" w:eastAsia="Times New Roman" w:hAnsi="Meta Pro"/>
                <w:szCs w:val="18"/>
                <w:lang w:eastAsia="en-AU"/>
              </w:rPr>
            </w:pPr>
            <w:r w:rsidRPr="00092B22">
              <w:rPr>
                <w:rFonts w:ascii="Meta Pro" w:eastAsia="Times New Roman" w:hAnsi="Meta Pro"/>
                <w:szCs w:val="18"/>
                <w:lang w:eastAsia="en-AU"/>
              </w:rPr>
              <w:t>Grants from Queensland Health ****</w:t>
            </w:r>
          </w:p>
        </w:tc>
        <w:tc>
          <w:tcPr>
            <w:tcW w:w="1216" w:type="dxa"/>
            <w:tcBorders>
              <w:top w:val="nil"/>
              <w:left w:val="nil"/>
              <w:bottom w:val="nil"/>
              <w:right w:val="nil"/>
            </w:tcBorders>
            <w:shd w:val="clear" w:color="000000" w:fill="C9E3B4"/>
            <w:noWrap/>
            <w:vAlign w:val="center"/>
            <w:hideMark/>
          </w:tcPr>
          <w:p w14:paraId="12943BED" w14:textId="77777777" w:rsidR="00B471A1" w:rsidRPr="00092B22" w:rsidRDefault="00B471A1"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8,726 </w:t>
            </w:r>
          </w:p>
        </w:tc>
        <w:tc>
          <w:tcPr>
            <w:tcW w:w="216" w:type="dxa"/>
            <w:tcBorders>
              <w:top w:val="nil"/>
              <w:left w:val="nil"/>
              <w:bottom w:val="nil"/>
              <w:right w:val="nil"/>
            </w:tcBorders>
            <w:shd w:val="clear" w:color="auto" w:fill="auto"/>
            <w:noWrap/>
            <w:vAlign w:val="center"/>
            <w:hideMark/>
          </w:tcPr>
          <w:p w14:paraId="5BCBA0E1" w14:textId="77777777" w:rsidR="00B471A1" w:rsidRPr="00092B22" w:rsidRDefault="00B471A1"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2DE7B0E8" w14:textId="77777777" w:rsidR="00B471A1" w:rsidRPr="00092B22" w:rsidRDefault="00B471A1"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12,856 </w:t>
            </w:r>
          </w:p>
        </w:tc>
      </w:tr>
      <w:tr w:rsidR="00B471A1" w:rsidRPr="00092B22" w14:paraId="342E2825" w14:textId="77777777" w:rsidTr="00E607DA">
        <w:trPr>
          <w:trHeight w:val="240"/>
        </w:trPr>
        <w:tc>
          <w:tcPr>
            <w:tcW w:w="7476" w:type="dxa"/>
            <w:tcBorders>
              <w:top w:val="nil"/>
              <w:left w:val="nil"/>
              <w:bottom w:val="nil"/>
              <w:right w:val="nil"/>
            </w:tcBorders>
            <w:shd w:val="clear" w:color="auto" w:fill="auto"/>
            <w:noWrap/>
            <w:vAlign w:val="center"/>
            <w:hideMark/>
          </w:tcPr>
          <w:p w14:paraId="6FCB850F" w14:textId="77777777" w:rsidR="00B471A1" w:rsidRPr="00092B22" w:rsidRDefault="00B471A1" w:rsidP="00E607DA">
            <w:pPr>
              <w:rPr>
                <w:rFonts w:ascii="Meta Pro" w:eastAsia="Times New Roman" w:hAnsi="Meta Pro"/>
                <w:szCs w:val="18"/>
                <w:lang w:eastAsia="en-AU"/>
              </w:rPr>
            </w:pPr>
            <w:r w:rsidRPr="00092B22">
              <w:rPr>
                <w:rFonts w:ascii="Meta Pro" w:eastAsia="Times New Roman" w:hAnsi="Meta Pro"/>
                <w:szCs w:val="18"/>
                <w:lang w:eastAsia="en-AU"/>
              </w:rPr>
              <w:t>Grants from Queensland Reconstruction Authority *****</w:t>
            </w:r>
          </w:p>
        </w:tc>
        <w:tc>
          <w:tcPr>
            <w:tcW w:w="1216" w:type="dxa"/>
            <w:tcBorders>
              <w:top w:val="nil"/>
              <w:left w:val="nil"/>
              <w:bottom w:val="nil"/>
              <w:right w:val="nil"/>
            </w:tcBorders>
            <w:shd w:val="clear" w:color="000000" w:fill="C9E3B4"/>
            <w:noWrap/>
            <w:vAlign w:val="center"/>
            <w:hideMark/>
          </w:tcPr>
          <w:p w14:paraId="6DBC81AA" w14:textId="77777777" w:rsidR="00B471A1" w:rsidRPr="00092B22" w:rsidRDefault="00B471A1"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71,270 </w:t>
            </w:r>
          </w:p>
        </w:tc>
        <w:tc>
          <w:tcPr>
            <w:tcW w:w="216" w:type="dxa"/>
            <w:tcBorders>
              <w:top w:val="nil"/>
              <w:left w:val="nil"/>
              <w:bottom w:val="nil"/>
              <w:right w:val="nil"/>
            </w:tcBorders>
            <w:shd w:val="clear" w:color="auto" w:fill="auto"/>
            <w:noWrap/>
            <w:vAlign w:val="center"/>
            <w:hideMark/>
          </w:tcPr>
          <w:p w14:paraId="73C74247" w14:textId="77777777" w:rsidR="00B471A1" w:rsidRPr="00092B22" w:rsidRDefault="00B471A1"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3E4690CF" w14:textId="77777777" w:rsidR="00B471A1" w:rsidRPr="00092B22" w:rsidRDefault="00B471A1"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122,996 </w:t>
            </w:r>
          </w:p>
        </w:tc>
      </w:tr>
      <w:tr w:rsidR="00B471A1" w:rsidRPr="00092B22" w14:paraId="14B4CDF3" w14:textId="77777777" w:rsidTr="00E607DA">
        <w:trPr>
          <w:trHeight w:val="240"/>
        </w:trPr>
        <w:tc>
          <w:tcPr>
            <w:tcW w:w="7476" w:type="dxa"/>
            <w:tcBorders>
              <w:top w:val="nil"/>
              <w:left w:val="nil"/>
              <w:bottom w:val="nil"/>
              <w:right w:val="nil"/>
            </w:tcBorders>
            <w:shd w:val="clear" w:color="auto" w:fill="auto"/>
            <w:noWrap/>
            <w:vAlign w:val="center"/>
            <w:hideMark/>
          </w:tcPr>
          <w:p w14:paraId="69C6F033" w14:textId="77777777" w:rsidR="00B471A1" w:rsidRPr="00092B22" w:rsidRDefault="00B471A1" w:rsidP="00E607DA">
            <w:pPr>
              <w:rPr>
                <w:rFonts w:ascii="Meta Pro" w:eastAsia="Times New Roman" w:hAnsi="Meta Pro"/>
                <w:szCs w:val="18"/>
                <w:lang w:eastAsia="en-AU"/>
              </w:rPr>
            </w:pPr>
            <w:r w:rsidRPr="00092B22">
              <w:rPr>
                <w:rFonts w:ascii="Meta Pro" w:eastAsia="Times New Roman" w:hAnsi="Meta Pro"/>
                <w:szCs w:val="18"/>
                <w:lang w:eastAsia="en-AU"/>
              </w:rPr>
              <w:t>Subsidies from Department of Education for students with disabilities</w:t>
            </w:r>
          </w:p>
        </w:tc>
        <w:tc>
          <w:tcPr>
            <w:tcW w:w="1216" w:type="dxa"/>
            <w:tcBorders>
              <w:top w:val="nil"/>
              <w:left w:val="nil"/>
              <w:bottom w:val="nil"/>
              <w:right w:val="nil"/>
            </w:tcBorders>
            <w:shd w:val="clear" w:color="000000" w:fill="C9E3B4"/>
            <w:noWrap/>
            <w:vAlign w:val="center"/>
            <w:hideMark/>
          </w:tcPr>
          <w:p w14:paraId="0FF9CFCA" w14:textId="77777777" w:rsidR="00B471A1" w:rsidRPr="00092B22" w:rsidRDefault="00B471A1"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43,137 </w:t>
            </w:r>
          </w:p>
        </w:tc>
        <w:tc>
          <w:tcPr>
            <w:tcW w:w="216" w:type="dxa"/>
            <w:tcBorders>
              <w:top w:val="nil"/>
              <w:left w:val="nil"/>
              <w:bottom w:val="nil"/>
              <w:right w:val="nil"/>
            </w:tcBorders>
            <w:shd w:val="clear" w:color="auto" w:fill="auto"/>
            <w:noWrap/>
            <w:vAlign w:val="center"/>
            <w:hideMark/>
          </w:tcPr>
          <w:p w14:paraId="7DA52423" w14:textId="77777777" w:rsidR="00B471A1" w:rsidRPr="00092B22" w:rsidRDefault="00B471A1"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436855EA" w14:textId="77777777" w:rsidR="00B471A1" w:rsidRPr="00092B22" w:rsidRDefault="00B471A1"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39,568 </w:t>
            </w:r>
          </w:p>
        </w:tc>
      </w:tr>
      <w:tr w:rsidR="00B471A1" w:rsidRPr="00092B22" w14:paraId="4E66A40A" w14:textId="77777777" w:rsidTr="00E607DA">
        <w:trPr>
          <w:trHeight w:val="240"/>
        </w:trPr>
        <w:tc>
          <w:tcPr>
            <w:tcW w:w="7476" w:type="dxa"/>
            <w:tcBorders>
              <w:top w:val="nil"/>
              <w:left w:val="nil"/>
              <w:bottom w:val="nil"/>
              <w:right w:val="nil"/>
            </w:tcBorders>
            <w:shd w:val="clear" w:color="auto" w:fill="auto"/>
            <w:noWrap/>
            <w:vAlign w:val="center"/>
            <w:hideMark/>
          </w:tcPr>
          <w:p w14:paraId="774D91E1" w14:textId="77777777" w:rsidR="00B471A1" w:rsidRPr="00092B22" w:rsidRDefault="00B471A1" w:rsidP="00E607DA">
            <w:pPr>
              <w:rPr>
                <w:rFonts w:ascii="Meta Pro" w:eastAsia="Times New Roman" w:hAnsi="Meta Pro"/>
                <w:szCs w:val="18"/>
                <w:lang w:eastAsia="en-AU"/>
              </w:rPr>
            </w:pPr>
            <w:r w:rsidRPr="00092B22">
              <w:rPr>
                <w:rFonts w:ascii="Meta Pro" w:eastAsia="Times New Roman" w:hAnsi="Meta Pro"/>
                <w:szCs w:val="18"/>
                <w:lang w:eastAsia="en-AU"/>
              </w:rPr>
              <w:t>Other</w:t>
            </w:r>
          </w:p>
        </w:tc>
        <w:tc>
          <w:tcPr>
            <w:tcW w:w="1216" w:type="dxa"/>
            <w:tcBorders>
              <w:top w:val="nil"/>
              <w:left w:val="nil"/>
              <w:bottom w:val="single" w:sz="4" w:space="0" w:color="auto"/>
              <w:right w:val="nil"/>
            </w:tcBorders>
            <w:shd w:val="clear" w:color="000000" w:fill="C9E3B4"/>
            <w:noWrap/>
            <w:vAlign w:val="center"/>
            <w:hideMark/>
          </w:tcPr>
          <w:p w14:paraId="75E26430" w14:textId="77777777" w:rsidR="00B471A1" w:rsidRPr="00092B22" w:rsidRDefault="00B471A1"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4,857 </w:t>
            </w:r>
          </w:p>
        </w:tc>
        <w:tc>
          <w:tcPr>
            <w:tcW w:w="216" w:type="dxa"/>
            <w:tcBorders>
              <w:top w:val="nil"/>
              <w:left w:val="nil"/>
              <w:bottom w:val="nil"/>
              <w:right w:val="nil"/>
            </w:tcBorders>
            <w:shd w:val="clear" w:color="auto" w:fill="auto"/>
            <w:noWrap/>
            <w:vAlign w:val="center"/>
            <w:hideMark/>
          </w:tcPr>
          <w:p w14:paraId="092A8498" w14:textId="77777777" w:rsidR="00B471A1" w:rsidRPr="00092B22" w:rsidRDefault="00B471A1"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3F2D7823" w14:textId="77777777" w:rsidR="00B471A1" w:rsidRPr="00092B22" w:rsidRDefault="00B471A1"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2,502 </w:t>
            </w:r>
          </w:p>
        </w:tc>
      </w:tr>
      <w:tr w:rsidR="00B471A1" w:rsidRPr="00092B22" w14:paraId="2FE40B17" w14:textId="77777777" w:rsidTr="00E607DA">
        <w:trPr>
          <w:trHeight w:val="240"/>
        </w:trPr>
        <w:tc>
          <w:tcPr>
            <w:tcW w:w="7476" w:type="dxa"/>
            <w:tcBorders>
              <w:top w:val="single" w:sz="4" w:space="0" w:color="auto"/>
              <w:left w:val="nil"/>
              <w:bottom w:val="double" w:sz="6" w:space="0" w:color="auto"/>
              <w:right w:val="nil"/>
            </w:tcBorders>
            <w:shd w:val="clear" w:color="auto" w:fill="auto"/>
            <w:noWrap/>
            <w:vAlign w:val="center"/>
            <w:hideMark/>
          </w:tcPr>
          <w:p w14:paraId="52AFFEDB" w14:textId="77777777" w:rsidR="00B471A1" w:rsidRPr="00092B22" w:rsidRDefault="00B471A1" w:rsidP="00E607DA">
            <w:pPr>
              <w:rPr>
                <w:rFonts w:ascii="Meta Pro" w:eastAsia="Times New Roman" w:hAnsi="Meta Pro"/>
                <w:b/>
                <w:bCs/>
                <w:szCs w:val="18"/>
                <w:lang w:eastAsia="en-AU"/>
              </w:rPr>
            </w:pPr>
            <w:r w:rsidRPr="00092B22">
              <w:rPr>
                <w:rFonts w:ascii="Meta Pro" w:eastAsia="Times New Roman" w:hAnsi="Meta Pro"/>
                <w:b/>
                <w:bCs/>
                <w:szCs w:val="18"/>
                <w:lang w:eastAsia="en-AU"/>
              </w:rPr>
              <w:t>Total</w:t>
            </w:r>
          </w:p>
        </w:tc>
        <w:tc>
          <w:tcPr>
            <w:tcW w:w="1216" w:type="dxa"/>
            <w:tcBorders>
              <w:top w:val="nil"/>
              <w:left w:val="nil"/>
              <w:bottom w:val="double" w:sz="6" w:space="0" w:color="auto"/>
              <w:right w:val="nil"/>
            </w:tcBorders>
            <w:shd w:val="clear" w:color="000000" w:fill="C9E3B4"/>
            <w:noWrap/>
            <w:vAlign w:val="center"/>
            <w:hideMark/>
          </w:tcPr>
          <w:p w14:paraId="44D0EEA0" w14:textId="77777777" w:rsidR="00B471A1" w:rsidRPr="00092B22" w:rsidRDefault="00B471A1"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216,753 </w:t>
            </w:r>
          </w:p>
        </w:tc>
        <w:tc>
          <w:tcPr>
            <w:tcW w:w="216" w:type="dxa"/>
            <w:tcBorders>
              <w:top w:val="single" w:sz="4" w:space="0" w:color="auto"/>
              <w:left w:val="nil"/>
              <w:bottom w:val="double" w:sz="6" w:space="0" w:color="auto"/>
              <w:right w:val="nil"/>
            </w:tcBorders>
            <w:shd w:val="clear" w:color="auto" w:fill="auto"/>
            <w:noWrap/>
            <w:vAlign w:val="center"/>
            <w:hideMark/>
          </w:tcPr>
          <w:p w14:paraId="1E5F4C84" w14:textId="77777777" w:rsidR="00B471A1" w:rsidRPr="00092B22" w:rsidRDefault="00B471A1"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216" w:type="dxa"/>
            <w:tcBorders>
              <w:top w:val="single" w:sz="4" w:space="0" w:color="auto"/>
              <w:left w:val="nil"/>
              <w:bottom w:val="double" w:sz="6" w:space="0" w:color="auto"/>
              <w:right w:val="nil"/>
            </w:tcBorders>
            <w:shd w:val="clear" w:color="auto" w:fill="auto"/>
            <w:noWrap/>
            <w:vAlign w:val="center"/>
            <w:hideMark/>
          </w:tcPr>
          <w:p w14:paraId="49071601" w14:textId="77777777" w:rsidR="00B471A1" w:rsidRPr="00092B22" w:rsidRDefault="00B471A1"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187,184 </w:t>
            </w:r>
          </w:p>
        </w:tc>
      </w:tr>
    </w:tbl>
    <w:p w14:paraId="5A8A4C51" w14:textId="77777777" w:rsidR="00B471A1" w:rsidRPr="00092B22" w:rsidRDefault="00B471A1" w:rsidP="00B471A1">
      <w:pPr>
        <w:spacing w:before="120"/>
        <w:rPr>
          <w:rFonts w:ascii="Meta Pro" w:hAnsi="Meta Pro"/>
          <w:sz w:val="16"/>
          <w:szCs w:val="16"/>
        </w:rPr>
      </w:pPr>
      <w:r w:rsidRPr="00092B22">
        <w:rPr>
          <w:rFonts w:ascii="Meta Pro" w:hAnsi="Meta Pro"/>
          <w:sz w:val="16"/>
          <w:szCs w:val="16"/>
        </w:rPr>
        <w:t>* Includes infrastructure assets received from local governments of $54.840m.</w:t>
      </w:r>
    </w:p>
    <w:p w14:paraId="069EACE6" w14:textId="77777777" w:rsidR="00B471A1" w:rsidRPr="00092B22" w:rsidRDefault="00B471A1" w:rsidP="00B471A1">
      <w:pPr>
        <w:spacing w:before="120"/>
        <w:rPr>
          <w:rFonts w:ascii="Meta Pro" w:hAnsi="Meta Pro"/>
          <w:sz w:val="16"/>
          <w:szCs w:val="16"/>
        </w:rPr>
      </w:pPr>
      <w:r w:rsidRPr="00092B22">
        <w:rPr>
          <w:rFonts w:ascii="Meta Pro" w:hAnsi="Meta Pro"/>
          <w:sz w:val="16"/>
          <w:szCs w:val="16"/>
        </w:rPr>
        <w:t>** Grants related to the Gold Coast Light Rail system Stage 3.</w:t>
      </w:r>
    </w:p>
    <w:p w14:paraId="105BB57F" w14:textId="77777777" w:rsidR="00B471A1" w:rsidRPr="00092B22" w:rsidRDefault="00B471A1" w:rsidP="00B471A1">
      <w:pPr>
        <w:spacing w:before="120"/>
        <w:rPr>
          <w:rFonts w:ascii="Meta Pro" w:hAnsi="Meta Pro"/>
          <w:sz w:val="16"/>
          <w:szCs w:val="16"/>
        </w:rPr>
      </w:pPr>
      <w:r w:rsidRPr="00092B22">
        <w:rPr>
          <w:rFonts w:ascii="Meta Pro" w:hAnsi="Meta Pro"/>
          <w:sz w:val="16"/>
          <w:szCs w:val="16"/>
        </w:rPr>
        <w:t>*** Grants received for road safety campaigns.</w:t>
      </w:r>
    </w:p>
    <w:p w14:paraId="294E769F" w14:textId="77777777" w:rsidR="00B471A1" w:rsidRPr="00092B22" w:rsidRDefault="00B471A1" w:rsidP="00B471A1">
      <w:pPr>
        <w:spacing w:before="120"/>
        <w:rPr>
          <w:rFonts w:ascii="Meta Pro" w:hAnsi="Meta Pro"/>
          <w:sz w:val="16"/>
          <w:szCs w:val="16"/>
        </w:rPr>
      </w:pPr>
      <w:r w:rsidRPr="00092B22">
        <w:rPr>
          <w:rFonts w:ascii="Meta Pro" w:hAnsi="Meta Pro"/>
          <w:sz w:val="16"/>
          <w:szCs w:val="16"/>
        </w:rPr>
        <w:t xml:space="preserve">**** Grants received for additional cleaning and sanitising costs incurred due to the COVID-19 pandemic. </w:t>
      </w:r>
    </w:p>
    <w:p w14:paraId="42296F0E" w14:textId="77777777" w:rsidR="00B471A1" w:rsidRPr="00092B22" w:rsidRDefault="00B471A1" w:rsidP="00B471A1">
      <w:pPr>
        <w:spacing w:before="120"/>
        <w:rPr>
          <w:rFonts w:ascii="Meta Pro" w:hAnsi="Meta Pro"/>
          <w:sz w:val="16"/>
          <w:szCs w:val="16"/>
        </w:rPr>
      </w:pPr>
      <w:r w:rsidRPr="00092B22">
        <w:rPr>
          <w:rFonts w:ascii="Meta Pro" w:hAnsi="Meta Pro"/>
          <w:sz w:val="16"/>
          <w:szCs w:val="16"/>
        </w:rPr>
        <w:t>***** Grants received for the rebuilding of transport infrastructure following natural disasters under the Natural Disaster Relief and</w:t>
      </w:r>
    </w:p>
    <w:p w14:paraId="4A9635E4" w14:textId="77777777" w:rsidR="00B471A1" w:rsidRPr="00092B22" w:rsidRDefault="00B471A1" w:rsidP="00B471A1">
      <w:pPr>
        <w:rPr>
          <w:rFonts w:ascii="Meta Pro" w:hAnsi="Meta Pro"/>
          <w:sz w:val="16"/>
          <w:szCs w:val="16"/>
        </w:rPr>
      </w:pPr>
      <w:r w:rsidRPr="00092B22">
        <w:rPr>
          <w:rFonts w:ascii="Meta Pro" w:hAnsi="Meta Pro"/>
          <w:sz w:val="16"/>
          <w:szCs w:val="16"/>
        </w:rPr>
        <w:t xml:space="preserve">           Recovery Arrangements (NDRRA) and Disaster Recovery Funding Arrangements (DRFA).</w:t>
      </w:r>
    </w:p>
    <w:p w14:paraId="7567E85A" w14:textId="77777777" w:rsidR="00B471A1" w:rsidRPr="00092B22" w:rsidRDefault="00B471A1" w:rsidP="00B471A1">
      <w:pPr>
        <w:shd w:val="clear" w:color="auto" w:fill="EBEBEB"/>
        <w:spacing w:after="120"/>
        <w:ind w:left="113" w:hanging="113"/>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Accounting policy</w:t>
      </w:r>
    </w:p>
    <w:p w14:paraId="2E49B5EA" w14:textId="77777777" w:rsidR="00B471A1" w:rsidRPr="00092B22" w:rsidRDefault="00B471A1" w:rsidP="00B471A1">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color w:val="000000"/>
          <w:szCs w:val="18"/>
          <w:lang w:eastAsia="en-AU"/>
        </w:rPr>
        <w:lastRenderedPageBreak/>
        <w:t xml:space="preserve">Grants, contributions and donations are non-reciprocal transactions where the department does not directly give approximately equal value to the grantor. </w:t>
      </w:r>
    </w:p>
    <w:p w14:paraId="5CD4972A" w14:textId="77777777" w:rsidR="00B471A1" w:rsidRPr="00092B22" w:rsidRDefault="00B471A1" w:rsidP="00B471A1">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Where the grant agreement is enforceable and contains sufficiently specific performance obligations for the department to transfer goods or services to a third-party on the grantor’s behalf, the transaction is accounted for under AASB 15 </w:t>
      </w:r>
      <w:r w:rsidRPr="00092B22">
        <w:rPr>
          <w:rFonts w:ascii="Meta Pro" w:eastAsia="Times New Roman" w:hAnsi="Meta Pro"/>
          <w:i/>
          <w:iCs/>
          <w:color w:val="000000"/>
          <w:szCs w:val="18"/>
          <w:lang w:eastAsia="en-AU"/>
        </w:rPr>
        <w:t>Revenue from Contracts with Customers</w:t>
      </w:r>
      <w:r w:rsidRPr="00092B22">
        <w:rPr>
          <w:rFonts w:ascii="Meta Pro" w:eastAsia="Times New Roman" w:hAnsi="Meta Pro"/>
          <w:color w:val="000000"/>
          <w:szCs w:val="18"/>
          <w:lang w:eastAsia="en-AU"/>
        </w:rPr>
        <w:t>. In this case revenue is initially deferred as a contract liability and recognised as or when the performance obligations are satisfied.</w:t>
      </w:r>
    </w:p>
    <w:p w14:paraId="62B81932" w14:textId="77777777" w:rsidR="00B471A1" w:rsidRPr="00092B22" w:rsidRDefault="00B471A1" w:rsidP="00B471A1">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Otherwise, the grant is accounted for under AASB 1058 </w:t>
      </w:r>
      <w:r w:rsidRPr="00092B22">
        <w:rPr>
          <w:rFonts w:ascii="Meta Pro" w:eastAsia="Times New Roman" w:hAnsi="Meta Pro"/>
          <w:i/>
          <w:iCs/>
          <w:color w:val="000000"/>
          <w:szCs w:val="18"/>
          <w:lang w:eastAsia="en-AU"/>
        </w:rPr>
        <w:t>Income of Not-for-Profit Entities</w:t>
      </w:r>
      <w:r w:rsidRPr="00092B22">
        <w:rPr>
          <w:rFonts w:ascii="Meta Pro" w:eastAsia="Times New Roman" w:hAnsi="Meta Pro"/>
          <w:color w:val="000000"/>
          <w:szCs w:val="18"/>
          <w:lang w:eastAsia="en-AU"/>
        </w:rPr>
        <w:t>, whereby revenue is recognised upon receipt of the grant funding, except for special purpose capital grants received to construct non-financial assets controlled by the department. Special purpose capital grants are recognised as unearned revenue when received, and subsequently recognised progressively as revenue as the department satisfies its obligations under the grant through construction of the asset.</w:t>
      </w:r>
    </w:p>
    <w:p w14:paraId="4BAB856E" w14:textId="77777777" w:rsidR="00B471A1" w:rsidRPr="00092B22" w:rsidRDefault="00B471A1" w:rsidP="00B471A1">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color w:val="000000"/>
          <w:szCs w:val="18"/>
          <w:lang w:eastAsia="en-AU"/>
        </w:rPr>
        <w:t>Contributions of services are recognised only if the services would have been purchased if they had not been donated and their fair value can be measured reliably. Where this is the case, the amount representing the fair value is recognised as revenue with a corresponding expense for the same amount.</w:t>
      </w:r>
    </w:p>
    <w:p w14:paraId="0E2AA6E1" w14:textId="77777777" w:rsidR="00B471A1" w:rsidRPr="00092B22" w:rsidRDefault="00B471A1" w:rsidP="00B471A1">
      <w:pPr>
        <w:shd w:val="clear" w:color="auto" w:fill="EBEBEB"/>
        <w:rPr>
          <w:rFonts w:ascii="Meta Pro" w:eastAsia="Times New Roman" w:hAnsi="Meta Pro"/>
          <w:b/>
          <w:bCs/>
          <w:lang w:eastAsia="en-AU"/>
        </w:rPr>
      </w:pPr>
      <w:r w:rsidRPr="00092B22">
        <w:rPr>
          <w:rFonts w:ascii="Meta Pro" w:eastAsia="Times New Roman" w:hAnsi="Meta Pro"/>
          <w:color w:val="000000"/>
          <w:szCs w:val="18"/>
          <w:lang w:eastAsia="en-AU"/>
        </w:rPr>
        <w:t>Contributed physical assets are recognised at their fair value.</w:t>
      </w:r>
    </w:p>
    <w:p w14:paraId="54B046B8" w14:textId="77777777" w:rsidR="00B471A1" w:rsidRPr="00092B22" w:rsidRDefault="00B471A1" w:rsidP="00B471A1">
      <w:pPr>
        <w:spacing w:before="60"/>
        <w:rPr>
          <w:rFonts w:ascii="Meta Pro" w:hAnsi="Meta Pro" w:cstheme="minorBidi"/>
        </w:rPr>
      </w:pPr>
    </w:p>
    <w:tbl>
      <w:tblPr>
        <w:tblW w:w="0" w:type="auto"/>
        <w:tblCellMar>
          <w:left w:w="0" w:type="dxa"/>
        </w:tblCellMar>
        <w:tblLook w:val="04A0" w:firstRow="1" w:lastRow="0" w:firstColumn="1" w:lastColumn="0" w:noHBand="0" w:noVBand="1"/>
      </w:tblPr>
      <w:tblGrid>
        <w:gridCol w:w="7090"/>
        <w:gridCol w:w="1165"/>
        <w:gridCol w:w="218"/>
        <w:gridCol w:w="1165"/>
      </w:tblGrid>
      <w:tr w:rsidR="00B471A1" w:rsidRPr="00092B22" w14:paraId="3378CC26" w14:textId="77777777" w:rsidTr="00E607DA">
        <w:trPr>
          <w:trHeight w:val="240"/>
        </w:trPr>
        <w:tc>
          <w:tcPr>
            <w:tcW w:w="7476" w:type="dxa"/>
            <w:tcBorders>
              <w:top w:val="nil"/>
              <w:left w:val="nil"/>
              <w:bottom w:val="nil"/>
              <w:right w:val="nil"/>
            </w:tcBorders>
            <w:shd w:val="clear" w:color="auto" w:fill="auto"/>
            <w:noWrap/>
            <w:vAlign w:val="center"/>
            <w:hideMark/>
          </w:tcPr>
          <w:p w14:paraId="0995F5CF" w14:textId="77777777" w:rsidR="00B471A1" w:rsidRPr="00092B22" w:rsidRDefault="00B471A1" w:rsidP="00E607DA">
            <w:pPr>
              <w:rPr>
                <w:rFonts w:ascii="Meta Pro" w:eastAsia="Times New Roman" w:hAnsi="Meta Pro"/>
                <w:b/>
                <w:bCs/>
                <w:lang w:eastAsia="en-AU"/>
              </w:rPr>
            </w:pPr>
            <w:r w:rsidRPr="00092B22">
              <w:rPr>
                <w:rFonts w:ascii="Meta Pro" w:eastAsia="Times New Roman" w:hAnsi="Meta Pro"/>
                <w:b/>
                <w:bCs/>
                <w:lang w:eastAsia="en-AU"/>
              </w:rPr>
              <w:t>5     EMPLOYEE EXPENSES</w:t>
            </w:r>
          </w:p>
        </w:tc>
        <w:tc>
          <w:tcPr>
            <w:tcW w:w="1216" w:type="dxa"/>
            <w:tcBorders>
              <w:top w:val="nil"/>
              <w:left w:val="nil"/>
              <w:bottom w:val="nil"/>
              <w:right w:val="nil"/>
            </w:tcBorders>
            <w:shd w:val="clear" w:color="auto" w:fill="auto"/>
            <w:noWrap/>
            <w:vAlign w:val="center"/>
            <w:hideMark/>
          </w:tcPr>
          <w:p w14:paraId="5903CE6E" w14:textId="77777777" w:rsidR="00B471A1" w:rsidRPr="00092B22" w:rsidRDefault="00B471A1" w:rsidP="00E607DA">
            <w:pPr>
              <w:rPr>
                <w:rFonts w:ascii="Meta Pro" w:eastAsia="Times New Roman" w:hAnsi="Meta Pro"/>
                <w:b/>
                <w:bCs/>
                <w:lang w:eastAsia="en-AU"/>
              </w:rPr>
            </w:pPr>
          </w:p>
        </w:tc>
        <w:tc>
          <w:tcPr>
            <w:tcW w:w="216" w:type="dxa"/>
            <w:tcBorders>
              <w:top w:val="nil"/>
              <w:left w:val="nil"/>
              <w:bottom w:val="nil"/>
              <w:right w:val="nil"/>
            </w:tcBorders>
            <w:shd w:val="clear" w:color="auto" w:fill="auto"/>
            <w:noWrap/>
            <w:vAlign w:val="center"/>
            <w:hideMark/>
          </w:tcPr>
          <w:p w14:paraId="02132FB3" w14:textId="77777777" w:rsidR="00B471A1" w:rsidRPr="00092B22" w:rsidRDefault="00B471A1"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3519A26C" w14:textId="77777777" w:rsidR="00B471A1" w:rsidRPr="00092B22" w:rsidRDefault="00B471A1" w:rsidP="00E607DA">
            <w:pPr>
              <w:jc w:val="right"/>
              <w:rPr>
                <w:rFonts w:ascii="Meta Pro" w:eastAsia="Times New Roman" w:hAnsi="Meta Pro" w:cs="Times New Roman"/>
                <w:sz w:val="20"/>
                <w:szCs w:val="20"/>
                <w:lang w:eastAsia="en-AU"/>
              </w:rPr>
            </w:pPr>
          </w:p>
        </w:tc>
      </w:tr>
      <w:tr w:rsidR="00B471A1" w:rsidRPr="00092B22" w14:paraId="5D9B4E60" w14:textId="77777777" w:rsidTr="00E607DA">
        <w:trPr>
          <w:trHeight w:val="90"/>
        </w:trPr>
        <w:tc>
          <w:tcPr>
            <w:tcW w:w="7476" w:type="dxa"/>
            <w:tcBorders>
              <w:top w:val="nil"/>
              <w:left w:val="nil"/>
              <w:bottom w:val="nil"/>
              <w:right w:val="nil"/>
            </w:tcBorders>
            <w:shd w:val="clear" w:color="auto" w:fill="auto"/>
            <w:noWrap/>
            <w:vAlign w:val="center"/>
            <w:hideMark/>
          </w:tcPr>
          <w:p w14:paraId="3C3CA027" w14:textId="77777777" w:rsidR="00B471A1" w:rsidRPr="00092B22" w:rsidRDefault="00B471A1"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7CD8C38B" w14:textId="77777777" w:rsidR="00B471A1" w:rsidRPr="00092B22" w:rsidRDefault="00B471A1" w:rsidP="00E607DA">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22D2A15C" w14:textId="77777777" w:rsidR="00B471A1" w:rsidRPr="00092B22" w:rsidRDefault="00B471A1"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058515A0" w14:textId="77777777" w:rsidR="00B471A1" w:rsidRPr="00092B22" w:rsidRDefault="00B471A1" w:rsidP="00E607DA">
            <w:pPr>
              <w:jc w:val="right"/>
              <w:rPr>
                <w:rFonts w:ascii="Meta Pro" w:eastAsia="Times New Roman" w:hAnsi="Meta Pro" w:cs="Times New Roman"/>
                <w:sz w:val="20"/>
                <w:szCs w:val="20"/>
                <w:lang w:eastAsia="en-AU"/>
              </w:rPr>
            </w:pPr>
          </w:p>
        </w:tc>
      </w:tr>
      <w:tr w:rsidR="00B471A1" w:rsidRPr="00092B22" w14:paraId="415608DB" w14:textId="77777777" w:rsidTr="00E607DA">
        <w:trPr>
          <w:trHeight w:val="240"/>
        </w:trPr>
        <w:tc>
          <w:tcPr>
            <w:tcW w:w="7476" w:type="dxa"/>
            <w:tcBorders>
              <w:top w:val="nil"/>
              <w:left w:val="nil"/>
              <w:bottom w:val="nil"/>
              <w:right w:val="nil"/>
            </w:tcBorders>
            <w:shd w:val="clear" w:color="auto" w:fill="auto"/>
            <w:noWrap/>
            <w:vAlign w:val="center"/>
            <w:hideMark/>
          </w:tcPr>
          <w:p w14:paraId="2A1A9C02" w14:textId="77777777" w:rsidR="00B471A1" w:rsidRPr="00092B22" w:rsidRDefault="00B471A1" w:rsidP="00E607DA">
            <w:pPr>
              <w:rPr>
                <w:rFonts w:ascii="Meta Pro" w:eastAsia="Times New Roman" w:hAnsi="Meta Pro"/>
                <w:b/>
                <w:bCs/>
                <w:szCs w:val="18"/>
                <w:lang w:eastAsia="en-AU"/>
              </w:rPr>
            </w:pPr>
            <w:r w:rsidRPr="00092B22">
              <w:rPr>
                <w:rFonts w:ascii="Meta Pro" w:eastAsia="Times New Roman" w:hAnsi="Meta Pro"/>
                <w:b/>
                <w:bCs/>
                <w:szCs w:val="18"/>
                <w:lang w:eastAsia="en-AU"/>
              </w:rPr>
              <w:t>Employee benefits</w:t>
            </w:r>
          </w:p>
        </w:tc>
        <w:tc>
          <w:tcPr>
            <w:tcW w:w="1216" w:type="dxa"/>
            <w:tcBorders>
              <w:top w:val="nil"/>
              <w:left w:val="nil"/>
              <w:bottom w:val="nil"/>
              <w:right w:val="nil"/>
            </w:tcBorders>
            <w:shd w:val="clear" w:color="auto" w:fill="auto"/>
            <w:noWrap/>
            <w:vAlign w:val="center"/>
            <w:hideMark/>
          </w:tcPr>
          <w:p w14:paraId="59DFB81D" w14:textId="77777777" w:rsidR="00B471A1" w:rsidRPr="00092B22" w:rsidRDefault="00B471A1" w:rsidP="00E607DA">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76A723FF" w14:textId="77777777" w:rsidR="00B471A1" w:rsidRPr="00092B22" w:rsidRDefault="00B471A1"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051CEA52" w14:textId="77777777" w:rsidR="00B471A1" w:rsidRPr="00092B22" w:rsidRDefault="00B471A1" w:rsidP="00E607DA">
            <w:pPr>
              <w:jc w:val="right"/>
              <w:rPr>
                <w:rFonts w:ascii="Meta Pro" w:eastAsia="Times New Roman" w:hAnsi="Meta Pro" w:cs="Times New Roman"/>
                <w:sz w:val="20"/>
                <w:szCs w:val="20"/>
                <w:lang w:eastAsia="en-AU"/>
              </w:rPr>
            </w:pPr>
          </w:p>
        </w:tc>
      </w:tr>
      <w:tr w:rsidR="00B471A1" w:rsidRPr="00092B22" w14:paraId="78C8AAFB" w14:textId="77777777" w:rsidTr="00E607DA">
        <w:trPr>
          <w:trHeight w:val="240"/>
        </w:trPr>
        <w:tc>
          <w:tcPr>
            <w:tcW w:w="7476" w:type="dxa"/>
            <w:tcBorders>
              <w:top w:val="nil"/>
              <w:left w:val="nil"/>
              <w:bottom w:val="nil"/>
              <w:right w:val="nil"/>
            </w:tcBorders>
            <w:shd w:val="clear" w:color="auto" w:fill="auto"/>
            <w:noWrap/>
            <w:vAlign w:val="center"/>
            <w:hideMark/>
          </w:tcPr>
          <w:p w14:paraId="1C9E94D3" w14:textId="77777777" w:rsidR="00B471A1" w:rsidRPr="00092B22" w:rsidRDefault="00B471A1" w:rsidP="00E607DA">
            <w:pPr>
              <w:rPr>
                <w:rFonts w:ascii="Meta Pro" w:eastAsia="Times New Roman" w:hAnsi="Meta Pro"/>
                <w:szCs w:val="18"/>
                <w:lang w:eastAsia="en-AU"/>
              </w:rPr>
            </w:pPr>
            <w:r w:rsidRPr="00092B22">
              <w:rPr>
                <w:rFonts w:ascii="Meta Pro" w:eastAsia="Times New Roman" w:hAnsi="Meta Pro"/>
                <w:szCs w:val="18"/>
                <w:lang w:eastAsia="en-AU"/>
              </w:rPr>
              <w:t>Annual leave levy</w:t>
            </w:r>
          </w:p>
        </w:tc>
        <w:tc>
          <w:tcPr>
            <w:tcW w:w="1216" w:type="dxa"/>
            <w:tcBorders>
              <w:top w:val="nil"/>
              <w:left w:val="nil"/>
              <w:bottom w:val="nil"/>
              <w:right w:val="nil"/>
            </w:tcBorders>
            <w:shd w:val="clear" w:color="000000" w:fill="C9E3B4"/>
            <w:noWrap/>
            <w:vAlign w:val="center"/>
            <w:hideMark/>
          </w:tcPr>
          <w:p w14:paraId="0AC01F46" w14:textId="77777777" w:rsidR="00B471A1" w:rsidRPr="00092B22" w:rsidRDefault="00B471A1"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47,365 </w:t>
            </w:r>
          </w:p>
        </w:tc>
        <w:tc>
          <w:tcPr>
            <w:tcW w:w="216" w:type="dxa"/>
            <w:tcBorders>
              <w:top w:val="nil"/>
              <w:left w:val="nil"/>
              <w:bottom w:val="nil"/>
              <w:right w:val="nil"/>
            </w:tcBorders>
            <w:shd w:val="clear" w:color="auto" w:fill="auto"/>
            <w:noWrap/>
            <w:vAlign w:val="center"/>
            <w:hideMark/>
          </w:tcPr>
          <w:p w14:paraId="077C71E3" w14:textId="77777777" w:rsidR="00B471A1" w:rsidRPr="00092B22" w:rsidRDefault="00B471A1"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4C29C072" w14:textId="77777777" w:rsidR="00B471A1" w:rsidRPr="00092B22" w:rsidRDefault="00B471A1"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42,608 </w:t>
            </w:r>
          </w:p>
        </w:tc>
      </w:tr>
      <w:tr w:rsidR="00B471A1" w:rsidRPr="00092B22" w14:paraId="138F5AB8" w14:textId="77777777" w:rsidTr="00E607DA">
        <w:trPr>
          <w:trHeight w:val="240"/>
        </w:trPr>
        <w:tc>
          <w:tcPr>
            <w:tcW w:w="7476" w:type="dxa"/>
            <w:tcBorders>
              <w:top w:val="nil"/>
              <w:left w:val="nil"/>
              <w:bottom w:val="nil"/>
              <w:right w:val="nil"/>
            </w:tcBorders>
            <w:shd w:val="clear" w:color="auto" w:fill="auto"/>
            <w:noWrap/>
            <w:vAlign w:val="center"/>
            <w:hideMark/>
          </w:tcPr>
          <w:p w14:paraId="455449A8" w14:textId="77777777" w:rsidR="00B471A1" w:rsidRPr="00092B22" w:rsidRDefault="00B471A1" w:rsidP="00E607DA">
            <w:pPr>
              <w:rPr>
                <w:rFonts w:ascii="Meta Pro" w:eastAsia="Times New Roman" w:hAnsi="Meta Pro"/>
                <w:szCs w:val="18"/>
                <w:lang w:eastAsia="en-AU"/>
              </w:rPr>
            </w:pPr>
            <w:r w:rsidRPr="00092B22">
              <w:rPr>
                <w:rFonts w:ascii="Meta Pro" w:eastAsia="Times New Roman" w:hAnsi="Meta Pro"/>
                <w:szCs w:val="18"/>
                <w:lang w:eastAsia="en-AU"/>
              </w:rPr>
              <w:t>Employer superannuation contributions</w:t>
            </w:r>
          </w:p>
        </w:tc>
        <w:tc>
          <w:tcPr>
            <w:tcW w:w="1216" w:type="dxa"/>
            <w:tcBorders>
              <w:top w:val="nil"/>
              <w:left w:val="nil"/>
              <w:bottom w:val="nil"/>
              <w:right w:val="nil"/>
            </w:tcBorders>
            <w:shd w:val="clear" w:color="000000" w:fill="C9E3B4"/>
            <w:noWrap/>
            <w:vAlign w:val="center"/>
            <w:hideMark/>
          </w:tcPr>
          <w:p w14:paraId="4D9A9037" w14:textId="77777777" w:rsidR="00B471A1" w:rsidRPr="00092B22" w:rsidRDefault="00B471A1"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62,555 </w:t>
            </w:r>
          </w:p>
        </w:tc>
        <w:tc>
          <w:tcPr>
            <w:tcW w:w="216" w:type="dxa"/>
            <w:tcBorders>
              <w:top w:val="nil"/>
              <w:left w:val="nil"/>
              <w:bottom w:val="nil"/>
              <w:right w:val="nil"/>
            </w:tcBorders>
            <w:shd w:val="clear" w:color="auto" w:fill="auto"/>
            <w:noWrap/>
            <w:vAlign w:val="center"/>
            <w:hideMark/>
          </w:tcPr>
          <w:p w14:paraId="3D9B742F" w14:textId="77777777" w:rsidR="00B471A1" w:rsidRPr="00092B22" w:rsidRDefault="00B471A1"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0FC4FFA0" w14:textId="77777777" w:rsidR="00B471A1" w:rsidRPr="00092B22" w:rsidRDefault="00B471A1"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59,064 </w:t>
            </w:r>
          </w:p>
        </w:tc>
      </w:tr>
      <w:tr w:rsidR="00B471A1" w:rsidRPr="00092B22" w14:paraId="48D3F3F2" w14:textId="77777777" w:rsidTr="00E607DA">
        <w:trPr>
          <w:trHeight w:val="240"/>
        </w:trPr>
        <w:tc>
          <w:tcPr>
            <w:tcW w:w="7476" w:type="dxa"/>
            <w:tcBorders>
              <w:top w:val="nil"/>
              <w:left w:val="nil"/>
              <w:bottom w:val="nil"/>
              <w:right w:val="nil"/>
            </w:tcBorders>
            <w:shd w:val="clear" w:color="auto" w:fill="auto"/>
            <w:noWrap/>
            <w:vAlign w:val="center"/>
            <w:hideMark/>
          </w:tcPr>
          <w:p w14:paraId="7D980428" w14:textId="77777777" w:rsidR="00B471A1" w:rsidRPr="00092B22" w:rsidRDefault="00B471A1" w:rsidP="00E607DA">
            <w:pPr>
              <w:rPr>
                <w:rFonts w:ascii="Meta Pro" w:eastAsia="Times New Roman" w:hAnsi="Meta Pro"/>
                <w:szCs w:val="18"/>
                <w:lang w:eastAsia="en-AU"/>
              </w:rPr>
            </w:pPr>
            <w:r w:rsidRPr="00092B22">
              <w:rPr>
                <w:rFonts w:ascii="Meta Pro" w:eastAsia="Times New Roman" w:hAnsi="Meta Pro"/>
                <w:szCs w:val="18"/>
                <w:lang w:eastAsia="en-AU"/>
              </w:rPr>
              <w:t>Long service leave levy</w:t>
            </w:r>
          </w:p>
        </w:tc>
        <w:tc>
          <w:tcPr>
            <w:tcW w:w="1216" w:type="dxa"/>
            <w:tcBorders>
              <w:top w:val="nil"/>
              <w:left w:val="nil"/>
              <w:bottom w:val="nil"/>
              <w:right w:val="nil"/>
            </w:tcBorders>
            <w:shd w:val="clear" w:color="000000" w:fill="C9E3B4"/>
            <w:noWrap/>
            <w:vAlign w:val="center"/>
            <w:hideMark/>
          </w:tcPr>
          <w:p w14:paraId="4BE45F07" w14:textId="77777777" w:rsidR="00B471A1" w:rsidRPr="00092B22" w:rsidRDefault="00B471A1"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13,613 </w:t>
            </w:r>
          </w:p>
        </w:tc>
        <w:tc>
          <w:tcPr>
            <w:tcW w:w="216" w:type="dxa"/>
            <w:tcBorders>
              <w:top w:val="nil"/>
              <w:left w:val="nil"/>
              <w:bottom w:val="nil"/>
              <w:right w:val="nil"/>
            </w:tcBorders>
            <w:shd w:val="clear" w:color="auto" w:fill="auto"/>
            <w:noWrap/>
            <w:vAlign w:val="center"/>
            <w:hideMark/>
          </w:tcPr>
          <w:p w14:paraId="131E69FC" w14:textId="77777777" w:rsidR="00B471A1" w:rsidRPr="00092B22" w:rsidRDefault="00B471A1"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10D4A53E" w14:textId="77777777" w:rsidR="00B471A1" w:rsidRPr="00092B22" w:rsidRDefault="00B471A1"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12,034 </w:t>
            </w:r>
          </w:p>
        </w:tc>
      </w:tr>
      <w:tr w:rsidR="00B471A1" w:rsidRPr="00092B22" w14:paraId="097177D5" w14:textId="77777777" w:rsidTr="00E607DA">
        <w:trPr>
          <w:trHeight w:val="240"/>
        </w:trPr>
        <w:tc>
          <w:tcPr>
            <w:tcW w:w="7476" w:type="dxa"/>
            <w:tcBorders>
              <w:top w:val="nil"/>
              <w:left w:val="nil"/>
              <w:bottom w:val="nil"/>
              <w:right w:val="nil"/>
            </w:tcBorders>
            <w:shd w:val="clear" w:color="auto" w:fill="auto"/>
            <w:noWrap/>
            <w:vAlign w:val="center"/>
            <w:hideMark/>
          </w:tcPr>
          <w:p w14:paraId="06425C24" w14:textId="77777777" w:rsidR="00B471A1" w:rsidRPr="00092B22" w:rsidRDefault="00B471A1" w:rsidP="00E607DA">
            <w:pPr>
              <w:rPr>
                <w:rFonts w:ascii="Meta Pro" w:eastAsia="Times New Roman" w:hAnsi="Meta Pro"/>
                <w:szCs w:val="18"/>
                <w:lang w:eastAsia="en-AU"/>
              </w:rPr>
            </w:pPr>
            <w:r w:rsidRPr="00092B22">
              <w:rPr>
                <w:rFonts w:ascii="Meta Pro" w:eastAsia="Times New Roman" w:hAnsi="Meta Pro"/>
                <w:szCs w:val="18"/>
                <w:lang w:eastAsia="en-AU"/>
              </w:rPr>
              <w:t>Wages and salaries</w:t>
            </w:r>
          </w:p>
        </w:tc>
        <w:tc>
          <w:tcPr>
            <w:tcW w:w="1216" w:type="dxa"/>
            <w:tcBorders>
              <w:top w:val="nil"/>
              <w:left w:val="nil"/>
              <w:bottom w:val="nil"/>
              <w:right w:val="nil"/>
            </w:tcBorders>
            <w:shd w:val="clear" w:color="000000" w:fill="C9E3B4"/>
            <w:noWrap/>
            <w:vAlign w:val="center"/>
            <w:hideMark/>
          </w:tcPr>
          <w:p w14:paraId="3AD580A9" w14:textId="77777777" w:rsidR="00B471A1" w:rsidRPr="00092B22" w:rsidRDefault="00B471A1"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506,510 </w:t>
            </w:r>
          </w:p>
        </w:tc>
        <w:tc>
          <w:tcPr>
            <w:tcW w:w="216" w:type="dxa"/>
            <w:tcBorders>
              <w:top w:val="nil"/>
              <w:left w:val="nil"/>
              <w:bottom w:val="nil"/>
              <w:right w:val="nil"/>
            </w:tcBorders>
            <w:shd w:val="clear" w:color="auto" w:fill="auto"/>
            <w:noWrap/>
            <w:vAlign w:val="center"/>
            <w:hideMark/>
          </w:tcPr>
          <w:p w14:paraId="2BB593FC" w14:textId="77777777" w:rsidR="00B471A1" w:rsidRPr="00092B22" w:rsidRDefault="00B471A1"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6FFAF40D" w14:textId="77777777" w:rsidR="00B471A1" w:rsidRPr="00092B22" w:rsidRDefault="00B471A1"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472,400 </w:t>
            </w:r>
          </w:p>
        </w:tc>
      </w:tr>
      <w:tr w:rsidR="00B471A1" w:rsidRPr="00092B22" w14:paraId="6AAA443D" w14:textId="77777777" w:rsidTr="00E607DA">
        <w:trPr>
          <w:trHeight w:val="240"/>
        </w:trPr>
        <w:tc>
          <w:tcPr>
            <w:tcW w:w="7476" w:type="dxa"/>
            <w:tcBorders>
              <w:top w:val="nil"/>
              <w:left w:val="nil"/>
              <w:bottom w:val="nil"/>
              <w:right w:val="nil"/>
            </w:tcBorders>
            <w:shd w:val="clear" w:color="auto" w:fill="auto"/>
            <w:noWrap/>
            <w:vAlign w:val="center"/>
            <w:hideMark/>
          </w:tcPr>
          <w:p w14:paraId="610EE970" w14:textId="77777777" w:rsidR="00B471A1" w:rsidRPr="00092B22" w:rsidRDefault="00B471A1" w:rsidP="00E607DA">
            <w:pPr>
              <w:rPr>
                <w:rFonts w:ascii="Meta Pro" w:eastAsia="Times New Roman" w:hAnsi="Meta Pro"/>
                <w:szCs w:val="18"/>
                <w:lang w:eastAsia="en-AU"/>
              </w:rPr>
            </w:pPr>
            <w:r w:rsidRPr="00092B22">
              <w:rPr>
                <w:rFonts w:ascii="Meta Pro" w:eastAsia="Times New Roman" w:hAnsi="Meta Pro"/>
                <w:szCs w:val="18"/>
                <w:lang w:eastAsia="en-AU"/>
              </w:rPr>
              <w:t>Other employee benefits</w:t>
            </w:r>
          </w:p>
        </w:tc>
        <w:tc>
          <w:tcPr>
            <w:tcW w:w="1216" w:type="dxa"/>
            <w:tcBorders>
              <w:top w:val="nil"/>
              <w:left w:val="nil"/>
              <w:bottom w:val="nil"/>
              <w:right w:val="nil"/>
            </w:tcBorders>
            <w:shd w:val="clear" w:color="000000" w:fill="C9E3B4"/>
            <w:noWrap/>
            <w:vAlign w:val="center"/>
            <w:hideMark/>
          </w:tcPr>
          <w:p w14:paraId="141E5D55" w14:textId="77777777" w:rsidR="00B471A1" w:rsidRPr="00092B22" w:rsidRDefault="00B471A1"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4,393 </w:t>
            </w:r>
          </w:p>
        </w:tc>
        <w:tc>
          <w:tcPr>
            <w:tcW w:w="216" w:type="dxa"/>
            <w:tcBorders>
              <w:top w:val="nil"/>
              <w:left w:val="nil"/>
              <w:bottom w:val="nil"/>
              <w:right w:val="nil"/>
            </w:tcBorders>
            <w:shd w:val="clear" w:color="auto" w:fill="auto"/>
            <w:noWrap/>
            <w:vAlign w:val="center"/>
            <w:hideMark/>
          </w:tcPr>
          <w:p w14:paraId="6BEF5214" w14:textId="77777777" w:rsidR="00B471A1" w:rsidRPr="00092B22" w:rsidRDefault="00B471A1"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572CBF0D" w14:textId="77777777" w:rsidR="00B471A1" w:rsidRPr="00092B22" w:rsidRDefault="00B471A1"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4,367 </w:t>
            </w:r>
          </w:p>
        </w:tc>
      </w:tr>
      <w:tr w:rsidR="00B471A1" w:rsidRPr="00092B22" w14:paraId="09F7DF80" w14:textId="77777777" w:rsidTr="00E607DA">
        <w:trPr>
          <w:trHeight w:val="240"/>
        </w:trPr>
        <w:tc>
          <w:tcPr>
            <w:tcW w:w="7476" w:type="dxa"/>
            <w:tcBorders>
              <w:top w:val="nil"/>
              <w:left w:val="nil"/>
              <w:bottom w:val="nil"/>
              <w:right w:val="nil"/>
            </w:tcBorders>
            <w:shd w:val="clear" w:color="auto" w:fill="auto"/>
            <w:noWrap/>
            <w:vAlign w:val="center"/>
            <w:hideMark/>
          </w:tcPr>
          <w:p w14:paraId="2108D54B" w14:textId="77777777" w:rsidR="00B471A1" w:rsidRPr="00092B22" w:rsidRDefault="00B471A1"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000000" w:fill="C9E3B4"/>
            <w:noWrap/>
            <w:vAlign w:val="center"/>
            <w:hideMark/>
          </w:tcPr>
          <w:p w14:paraId="6AEB5EC2" w14:textId="77777777" w:rsidR="00B471A1" w:rsidRPr="00092B22" w:rsidRDefault="00B471A1" w:rsidP="00E607DA">
            <w:pPr>
              <w:jc w:val="right"/>
              <w:rPr>
                <w:rFonts w:ascii="Meta Pro" w:eastAsia="Times New Roman" w:hAnsi="Meta Pro"/>
                <w:szCs w:val="18"/>
                <w:lang w:eastAsia="en-AU"/>
              </w:rPr>
            </w:pPr>
            <w:r w:rsidRPr="00092B22">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629F2160" w14:textId="77777777" w:rsidR="00B471A1" w:rsidRPr="00092B22" w:rsidRDefault="00B471A1"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0DD0451B" w14:textId="77777777" w:rsidR="00B471A1" w:rsidRPr="00092B22" w:rsidRDefault="00B471A1" w:rsidP="00E607DA">
            <w:pPr>
              <w:jc w:val="right"/>
              <w:rPr>
                <w:rFonts w:ascii="Meta Pro" w:eastAsia="Times New Roman" w:hAnsi="Meta Pro" w:cs="Times New Roman"/>
                <w:sz w:val="20"/>
                <w:szCs w:val="20"/>
                <w:lang w:eastAsia="en-AU"/>
              </w:rPr>
            </w:pPr>
          </w:p>
        </w:tc>
      </w:tr>
      <w:tr w:rsidR="00B471A1" w:rsidRPr="00092B22" w14:paraId="18727299" w14:textId="77777777" w:rsidTr="00E607DA">
        <w:trPr>
          <w:trHeight w:val="240"/>
        </w:trPr>
        <w:tc>
          <w:tcPr>
            <w:tcW w:w="7476" w:type="dxa"/>
            <w:tcBorders>
              <w:top w:val="nil"/>
              <w:left w:val="nil"/>
              <w:bottom w:val="nil"/>
              <w:right w:val="nil"/>
            </w:tcBorders>
            <w:shd w:val="clear" w:color="auto" w:fill="auto"/>
            <w:noWrap/>
            <w:vAlign w:val="center"/>
            <w:hideMark/>
          </w:tcPr>
          <w:p w14:paraId="0545D7F1" w14:textId="77777777" w:rsidR="00B471A1" w:rsidRPr="00092B22" w:rsidRDefault="00B471A1" w:rsidP="00E607DA">
            <w:pPr>
              <w:rPr>
                <w:rFonts w:ascii="Meta Pro" w:eastAsia="Times New Roman" w:hAnsi="Meta Pro"/>
                <w:b/>
                <w:bCs/>
                <w:szCs w:val="18"/>
                <w:lang w:eastAsia="en-AU"/>
              </w:rPr>
            </w:pPr>
            <w:r w:rsidRPr="00092B22">
              <w:rPr>
                <w:rFonts w:ascii="Meta Pro" w:eastAsia="Times New Roman" w:hAnsi="Meta Pro"/>
                <w:b/>
                <w:bCs/>
                <w:szCs w:val="18"/>
                <w:lang w:eastAsia="en-AU"/>
              </w:rPr>
              <w:t>Employee related expenses</w:t>
            </w:r>
          </w:p>
        </w:tc>
        <w:tc>
          <w:tcPr>
            <w:tcW w:w="1216" w:type="dxa"/>
            <w:tcBorders>
              <w:top w:val="nil"/>
              <w:left w:val="nil"/>
              <w:bottom w:val="nil"/>
              <w:right w:val="nil"/>
            </w:tcBorders>
            <w:shd w:val="clear" w:color="000000" w:fill="C9E3B4"/>
            <w:noWrap/>
            <w:vAlign w:val="center"/>
            <w:hideMark/>
          </w:tcPr>
          <w:p w14:paraId="6379F2FE" w14:textId="77777777" w:rsidR="00B471A1" w:rsidRPr="00092B22" w:rsidRDefault="00B471A1" w:rsidP="00E607DA">
            <w:pPr>
              <w:rPr>
                <w:rFonts w:ascii="Meta Pro" w:eastAsia="Times New Roman" w:hAnsi="Meta Pro"/>
                <w:szCs w:val="18"/>
                <w:lang w:eastAsia="en-AU"/>
              </w:rPr>
            </w:pPr>
            <w:r w:rsidRPr="00092B22">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586BEE30" w14:textId="77777777" w:rsidR="00B471A1" w:rsidRPr="00092B22" w:rsidRDefault="00B471A1" w:rsidP="00E607DA">
            <w:pPr>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3F9D8134" w14:textId="77777777" w:rsidR="00B471A1" w:rsidRPr="00092B22" w:rsidRDefault="00B471A1" w:rsidP="00E607DA">
            <w:pPr>
              <w:jc w:val="right"/>
              <w:rPr>
                <w:rFonts w:ascii="Meta Pro" w:eastAsia="Times New Roman" w:hAnsi="Meta Pro" w:cs="Times New Roman"/>
                <w:sz w:val="20"/>
                <w:szCs w:val="20"/>
                <w:lang w:eastAsia="en-AU"/>
              </w:rPr>
            </w:pPr>
          </w:p>
        </w:tc>
      </w:tr>
      <w:tr w:rsidR="00B471A1" w:rsidRPr="00092B22" w14:paraId="0C55E1CA" w14:textId="77777777" w:rsidTr="00E607DA">
        <w:trPr>
          <w:trHeight w:val="240"/>
        </w:trPr>
        <w:tc>
          <w:tcPr>
            <w:tcW w:w="7476" w:type="dxa"/>
            <w:tcBorders>
              <w:top w:val="nil"/>
              <w:left w:val="nil"/>
              <w:bottom w:val="nil"/>
              <w:right w:val="nil"/>
            </w:tcBorders>
            <w:shd w:val="clear" w:color="auto" w:fill="auto"/>
            <w:noWrap/>
            <w:vAlign w:val="center"/>
            <w:hideMark/>
          </w:tcPr>
          <w:p w14:paraId="79A30EBA" w14:textId="77777777" w:rsidR="00B471A1" w:rsidRPr="00092B22" w:rsidRDefault="00B471A1" w:rsidP="00E607DA">
            <w:pPr>
              <w:rPr>
                <w:rFonts w:ascii="Meta Pro" w:eastAsia="Times New Roman" w:hAnsi="Meta Pro"/>
                <w:szCs w:val="18"/>
                <w:lang w:eastAsia="en-AU"/>
              </w:rPr>
            </w:pPr>
            <w:r w:rsidRPr="00092B22">
              <w:rPr>
                <w:rFonts w:ascii="Meta Pro" w:eastAsia="Times New Roman" w:hAnsi="Meta Pro"/>
                <w:szCs w:val="18"/>
                <w:lang w:eastAsia="en-AU"/>
              </w:rPr>
              <w:t>Workers' compensation premium</w:t>
            </w:r>
          </w:p>
        </w:tc>
        <w:tc>
          <w:tcPr>
            <w:tcW w:w="1216" w:type="dxa"/>
            <w:tcBorders>
              <w:top w:val="nil"/>
              <w:left w:val="nil"/>
              <w:bottom w:val="nil"/>
              <w:right w:val="nil"/>
            </w:tcBorders>
            <w:shd w:val="clear" w:color="000000" w:fill="C9E3B4"/>
            <w:noWrap/>
            <w:vAlign w:val="center"/>
            <w:hideMark/>
          </w:tcPr>
          <w:p w14:paraId="7F78E9C8" w14:textId="77777777" w:rsidR="00B471A1" w:rsidRPr="00092B22" w:rsidRDefault="00B471A1"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3,029 </w:t>
            </w:r>
          </w:p>
        </w:tc>
        <w:tc>
          <w:tcPr>
            <w:tcW w:w="216" w:type="dxa"/>
            <w:tcBorders>
              <w:top w:val="nil"/>
              <w:left w:val="nil"/>
              <w:bottom w:val="nil"/>
              <w:right w:val="nil"/>
            </w:tcBorders>
            <w:shd w:val="clear" w:color="auto" w:fill="auto"/>
            <w:noWrap/>
            <w:vAlign w:val="center"/>
            <w:hideMark/>
          </w:tcPr>
          <w:p w14:paraId="5CAD935E" w14:textId="77777777" w:rsidR="00B471A1" w:rsidRPr="00092B22" w:rsidRDefault="00B471A1"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09FB64C7" w14:textId="77777777" w:rsidR="00B471A1" w:rsidRPr="00092B22" w:rsidRDefault="00B471A1"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2,821 </w:t>
            </w:r>
          </w:p>
        </w:tc>
      </w:tr>
      <w:tr w:rsidR="00B471A1" w:rsidRPr="00092B22" w14:paraId="20673360" w14:textId="77777777" w:rsidTr="00E607DA">
        <w:trPr>
          <w:trHeight w:val="240"/>
        </w:trPr>
        <w:tc>
          <w:tcPr>
            <w:tcW w:w="7476" w:type="dxa"/>
            <w:tcBorders>
              <w:top w:val="nil"/>
              <w:left w:val="nil"/>
              <w:bottom w:val="nil"/>
              <w:right w:val="nil"/>
            </w:tcBorders>
            <w:shd w:val="clear" w:color="auto" w:fill="auto"/>
            <w:noWrap/>
            <w:vAlign w:val="center"/>
            <w:hideMark/>
          </w:tcPr>
          <w:p w14:paraId="55C3BE66" w14:textId="77777777" w:rsidR="00B471A1" w:rsidRPr="00092B22" w:rsidRDefault="00B471A1" w:rsidP="00E607DA">
            <w:pPr>
              <w:rPr>
                <w:rFonts w:ascii="Meta Pro" w:eastAsia="Times New Roman" w:hAnsi="Meta Pro"/>
                <w:szCs w:val="18"/>
                <w:lang w:eastAsia="en-AU"/>
              </w:rPr>
            </w:pPr>
            <w:r w:rsidRPr="00092B22">
              <w:rPr>
                <w:rFonts w:ascii="Meta Pro" w:eastAsia="Times New Roman" w:hAnsi="Meta Pro"/>
                <w:szCs w:val="18"/>
                <w:lang w:eastAsia="en-AU"/>
              </w:rPr>
              <w:t>Other employee related expenses</w:t>
            </w:r>
          </w:p>
        </w:tc>
        <w:tc>
          <w:tcPr>
            <w:tcW w:w="1216" w:type="dxa"/>
            <w:tcBorders>
              <w:top w:val="nil"/>
              <w:left w:val="nil"/>
              <w:bottom w:val="nil"/>
              <w:right w:val="nil"/>
            </w:tcBorders>
            <w:shd w:val="clear" w:color="000000" w:fill="C9E3B4"/>
            <w:noWrap/>
            <w:vAlign w:val="center"/>
            <w:hideMark/>
          </w:tcPr>
          <w:p w14:paraId="516C3BDA" w14:textId="77777777" w:rsidR="00B471A1" w:rsidRPr="00092B22" w:rsidRDefault="00B471A1"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12,861 </w:t>
            </w:r>
          </w:p>
        </w:tc>
        <w:tc>
          <w:tcPr>
            <w:tcW w:w="216" w:type="dxa"/>
            <w:tcBorders>
              <w:top w:val="nil"/>
              <w:left w:val="nil"/>
              <w:bottom w:val="nil"/>
              <w:right w:val="nil"/>
            </w:tcBorders>
            <w:shd w:val="clear" w:color="auto" w:fill="auto"/>
            <w:noWrap/>
            <w:vAlign w:val="center"/>
            <w:hideMark/>
          </w:tcPr>
          <w:p w14:paraId="4040EA25" w14:textId="77777777" w:rsidR="00B471A1" w:rsidRPr="00092B22" w:rsidRDefault="00B471A1"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15636004" w14:textId="77777777" w:rsidR="00B471A1" w:rsidRPr="00092B22" w:rsidRDefault="00B471A1"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9,789 </w:t>
            </w:r>
          </w:p>
        </w:tc>
      </w:tr>
      <w:tr w:rsidR="00B471A1" w:rsidRPr="00092B22" w14:paraId="6BFDCF4B" w14:textId="77777777" w:rsidTr="00E607DA">
        <w:trPr>
          <w:trHeight w:val="240"/>
        </w:trPr>
        <w:tc>
          <w:tcPr>
            <w:tcW w:w="7476" w:type="dxa"/>
            <w:tcBorders>
              <w:top w:val="single" w:sz="4" w:space="0" w:color="auto"/>
              <w:left w:val="nil"/>
              <w:bottom w:val="double" w:sz="6" w:space="0" w:color="auto"/>
              <w:right w:val="nil"/>
            </w:tcBorders>
            <w:shd w:val="clear" w:color="auto" w:fill="auto"/>
            <w:noWrap/>
            <w:vAlign w:val="center"/>
            <w:hideMark/>
          </w:tcPr>
          <w:p w14:paraId="322AAD03" w14:textId="77777777" w:rsidR="00B471A1" w:rsidRPr="00092B22" w:rsidRDefault="00B471A1" w:rsidP="00E607DA">
            <w:pPr>
              <w:rPr>
                <w:rFonts w:ascii="Meta Pro" w:eastAsia="Times New Roman" w:hAnsi="Meta Pro"/>
                <w:b/>
                <w:bCs/>
                <w:szCs w:val="18"/>
                <w:lang w:eastAsia="en-AU"/>
              </w:rPr>
            </w:pPr>
            <w:r w:rsidRPr="00092B22">
              <w:rPr>
                <w:rFonts w:ascii="Meta Pro" w:eastAsia="Times New Roman" w:hAnsi="Meta Pro"/>
                <w:b/>
                <w:bCs/>
                <w:szCs w:val="18"/>
                <w:lang w:eastAsia="en-AU"/>
              </w:rPr>
              <w:t>Total</w:t>
            </w:r>
          </w:p>
        </w:tc>
        <w:tc>
          <w:tcPr>
            <w:tcW w:w="1216" w:type="dxa"/>
            <w:tcBorders>
              <w:top w:val="single" w:sz="4" w:space="0" w:color="auto"/>
              <w:left w:val="nil"/>
              <w:bottom w:val="double" w:sz="6" w:space="0" w:color="auto"/>
              <w:right w:val="nil"/>
            </w:tcBorders>
            <w:shd w:val="clear" w:color="000000" w:fill="C9E3B4"/>
            <w:noWrap/>
            <w:vAlign w:val="center"/>
            <w:hideMark/>
          </w:tcPr>
          <w:p w14:paraId="2A3C1C57" w14:textId="77777777" w:rsidR="00B471A1" w:rsidRPr="00092B22" w:rsidRDefault="00B471A1"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650,326 </w:t>
            </w:r>
          </w:p>
        </w:tc>
        <w:tc>
          <w:tcPr>
            <w:tcW w:w="216" w:type="dxa"/>
            <w:tcBorders>
              <w:top w:val="single" w:sz="4" w:space="0" w:color="auto"/>
              <w:left w:val="nil"/>
              <w:bottom w:val="double" w:sz="6" w:space="0" w:color="auto"/>
              <w:right w:val="nil"/>
            </w:tcBorders>
            <w:shd w:val="clear" w:color="auto" w:fill="auto"/>
            <w:noWrap/>
            <w:vAlign w:val="center"/>
            <w:hideMark/>
          </w:tcPr>
          <w:p w14:paraId="5F17FDAF" w14:textId="77777777" w:rsidR="00B471A1" w:rsidRPr="00092B22" w:rsidRDefault="00B471A1"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216" w:type="dxa"/>
            <w:tcBorders>
              <w:top w:val="single" w:sz="4" w:space="0" w:color="auto"/>
              <w:left w:val="nil"/>
              <w:bottom w:val="double" w:sz="6" w:space="0" w:color="auto"/>
              <w:right w:val="nil"/>
            </w:tcBorders>
            <w:shd w:val="clear" w:color="auto" w:fill="auto"/>
            <w:noWrap/>
            <w:vAlign w:val="center"/>
            <w:hideMark/>
          </w:tcPr>
          <w:p w14:paraId="366C18BD" w14:textId="77777777" w:rsidR="00B471A1" w:rsidRPr="00092B22" w:rsidRDefault="00B471A1"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603,083 </w:t>
            </w:r>
          </w:p>
        </w:tc>
      </w:tr>
      <w:tr w:rsidR="00B471A1" w:rsidRPr="00092B22" w14:paraId="17E9517C" w14:textId="77777777" w:rsidTr="00E607DA">
        <w:trPr>
          <w:trHeight w:val="90"/>
        </w:trPr>
        <w:tc>
          <w:tcPr>
            <w:tcW w:w="7476" w:type="dxa"/>
            <w:tcBorders>
              <w:top w:val="nil"/>
              <w:left w:val="nil"/>
              <w:bottom w:val="nil"/>
              <w:right w:val="nil"/>
            </w:tcBorders>
            <w:shd w:val="clear" w:color="auto" w:fill="auto"/>
            <w:noWrap/>
            <w:vAlign w:val="center"/>
            <w:hideMark/>
          </w:tcPr>
          <w:p w14:paraId="030658C6" w14:textId="77777777" w:rsidR="00B471A1" w:rsidRPr="00092B22" w:rsidRDefault="00B471A1" w:rsidP="00E607DA">
            <w:pPr>
              <w:jc w:val="right"/>
              <w:rPr>
                <w:rFonts w:ascii="Meta Pro" w:eastAsia="Times New Roman" w:hAnsi="Meta Pro"/>
                <w:b/>
                <w:bCs/>
                <w:szCs w:val="18"/>
                <w:lang w:eastAsia="en-AU"/>
              </w:rPr>
            </w:pPr>
          </w:p>
        </w:tc>
        <w:tc>
          <w:tcPr>
            <w:tcW w:w="1216" w:type="dxa"/>
            <w:tcBorders>
              <w:top w:val="nil"/>
              <w:left w:val="nil"/>
              <w:bottom w:val="nil"/>
              <w:right w:val="nil"/>
            </w:tcBorders>
            <w:shd w:val="clear" w:color="auto" w:fill="auto"/>
            <w:noWrap/>
            <w:vAlign w:val="center"/>
            <w:hideMark/>
          </w:tcPr>
          <w:p w14:paraId="25886665" w14:textId="77777777" w:rsidR="00B471A1" w:rsidRPr="00092B22" w:rsidRDefault="00B471A1" w:rsidP="00E607DA">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7CCCE896" w14:textId="77777777" w:rsidR="00B471A1" w:rsidRPr="00092B22" w:rsidRDefault="00B471A1" w:rsidP="00E607DA">
            <w:pPr>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5C03C6AA" w14:textId="77777777" w:rsidR="00B471A1" w:rsidRPr="00092B22" w:rsidRDefault="00B471A1" w:rsidP="00E607DA">
            <w:pPr>
              <w:rPr>
                <w:rFonts w:ascii="Meta Pro" w:eastAsia="Times New Roman" w:hAnsi="Meta Pro" w:cs="Times New Roman"/>
                <w:sz w:val="20"/>
                <w:szCs w:val="20"/>
                <w:lang w:eastAsia="en-AU"/>
              </w:rPr>
            </w:pPr>
          </w:p>
        </w:tc>
      </w:tr>
      <w:tr w:rsidR="00B471A1" w:rsidRPr="00092B22" w14:paraId="11DDB3D4" w14:textId="77777777" w:rsidTr="00E607DA">
        <w:trPr>
          <w:trHeight w:val="550"/>
        </w:trPr>
        <w:tc>
          <w:tcPr>
            <w:tcW w:w="10124" w:type="dxa"/>
            <w:gridSpan w:val="4"/>
            <w:tcBorders>
              <w:top w:val="nil"/>
              <w:left w:val="nil"/>
              <w:bottom w:val="nil"/>
              <w:right w:val="nil"/>
            </w:tcBorders>
            <w:shd w:val="clear" w:color="auto" w:fill="auto"/>
            <w:hideMark/>
          </w:tcPr>
          <w:p w14:paraId="6CE7C0D6" w14:textId="77777777" w:rsidR="00B471A1" w:rsidRPr="00092B22" w:rsidRDefault="00B471A1" w:rsidP="00E607DA">
            <w:pPr>
              <w:rPr>
                <w:rFonts w:ascii="Meta Pro" w:eastAsia="Times New Roman" w:hAnsi="Meta Pro"/>
                <w:szCs w:val="18"/>
                <w:lang w:eastAsia="en-AU"/>
              </w:rPr>
            </w:pPr>
            <w:r w:rsidRPr="00092B22">
              <w:rPr>
                <w:rFonts w:ascii="Meta Pro" w:eastAsia="Times New Roman" w:hAnsi="Meta Pro"/>
                <w:szCs w:val="18"/>
                <w:lang w:eastAsia="en-AU"/>
              </w:rPr>
              <w:t>The department's total employee expenditure was $897.836m in 2022 (2021: $846.384m). Of this $247.510m (2021: $243.301m) was capitalised to construction work in progress leaving $650.326m (2021: $603.083m) reported as employee expenses.</w:t>
            </w:r>
          </w:p>
        </w:tc>
      </w:tr>
      <w:tr w:rsidR="00B471A1" w:rsidRPr="00092B22" w14:paraId="4A249D3D" w14:textId="77777777" w:rsidTr="00E607DA">
        <w:trPr>
          <w:trHeight w:val="90"/>
        </w:trPr>
        <w:tc>
          <w:tcPr>
            <w:tcW w:w="7476" w:type="dxa"/>
            <w:tcBorders>
              <w:top w:val="nil"/>
              <w:left w:val="nil"/>
              <w:bottom w:val="nil"/>
              <w:right w:val="nil"/>
            </w:tcBorders>
            <w:shd w:val="clear" w:color="auto" w:fill="auto"/>
            <w:noWrap/>
            <w:vAlign w:val="center"/>
            <w:hideMark/>
          </w:tcPr>
          <w:p w14:paraId="014876A7" w14:textId="77777777" w:rsidR="00B471A1" w:rsidRPr="00092B22" w:rsidRDefault="00B471A1" w:rsidP="00E607DA">
            <w:pPr>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53FCA5B4" w14:textId="77777777" w:rsidR="00B471A1" w:rsidRPr="00092B22" w:rsidRDefault="00B471A1" w:rsidP="00E607DA">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1E6DDDB5" w14:textId="77777777" w:rsidR="00B471A1" w:rsidRPr="00092B22" w:rsidRDefault="00B471A1" w:rsidP="00E607DA">
            <w:pPr>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77DF3C98" w14:textId="77777777" w:rsidR="00B471A1" w:rsidRPr="00092B22" w:rsidRDefault="00B471A1" w:rsidP="00E607DA">
            <w:pPr>
              <w:rPr>
                <w:rFonts w:ascii="Meta Pro" w:eastAsia="Times New Roman" w:hAnsi="Meta Pro" w:cs="Times New Roman"/>
                <w:sz w:val="20"/>
                <w:szCs w:val="20"/>
                <w:lang w:eastAsia="en-AU"/>
              </w:rPr>
            </w:pPr>
          </w:p>
        </w:tc>
      </w:tr>
      <w:tr w:rsidR="00B471A1" w:rsidRPr="00092B22" w14:paraId="73067F66" w14:textId="77777777" w:rsidTr="00E607DA">
        <w:trPr>
          <w:trHeight w:val="270"/>
        </w:trPr>
        <w:tc>
          <w:tcPr>
            <w:tcW w:w="7476" w:type="dxa"/>
            <w:tcBorders>
              <w:top w:val="nil"/>
              <w:left w:val="nil"/>
              <w:bottom w:val="nil"/>
              <w:right w:val="nil"/>
            </w:tcBorders>
            <w:shd w:val="clear" w:color="auto" w:fill="auto"/>
            <w:noWrap/>
            <w:vAlign w:val="center"/>
            <w:hideMark/>
          </w:tcPr>
          <w:p w14:paraId="79B0F71C" w14:textId="77777777" w:rsidR="00B471A1" w:rsidRPr="00092B22" w:rsidRDefault="00B471A1" w:rsidP="00E607DA">
            <w:pPr>
              <w:rPr>
                <w:rFonts w:ascii="Meta Pro" w:eastAsia="Times New Roman" w:hAnsi="Meta Pro"/>
                <w:b/>
                <w:bCs/>
                <w:szCs w:val="18"/>
                <w:lang w:eastAsia="en-AU"/>
              </w:rPr>
            </w:pPr>
            <w:r w:rsidRPr="00092B22">
              <w:rPr>
                <w:rFonts w:ascii="Meta Pro" w:eastAsia="Times New Roman" w:hAnsi="Meta Pro"/>
                <w:b/>
                <w:bCs/>
                <w:szCs w:val="18"/>
                <w:lang w:eastAsia="en-AU"/>
              </w:rPr>
              <w:t>Number of full-time equivalent employees</w:t>
            </w:r>
          </w:p>
        </w:tc>
        <w:tc>
          <w:tcPr>
            <w:tcW w:w="1216" w:type="dxa"/>
            <w:tcBorders>
              <w:top w:val="nil"/>
              <w:left w:val="nil"/>
              <w:bottom w:val="nil"/>
              <w:right w:val="nil"/>
            </w:tcBorders>
            <w:shd w:val="clear" w:color="000000" w:fill="C9E3B4"/>
            <w:noWrap/>
            <w:vAlign w:val="center"/>
            <w:hideMark/>
          </w:tcPr>
          <w:p w14:paraId="1504F818" w14:textId="77777777" w:rsidR="00B471A1" w:rsidRPr="00092B22" w:rsidRDefault="00B471A1"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7,405 </w:t>
            </w:r>
          </w:p>
        </w:tc>
        <w:tc>
          <w:tcPr>
            <w:tcW w:w="216" w:type="dxa"/>
            <w:tcBorders>
              <w:top w:val="nil"/>
              <w:left w:val="nil"/>
              <w:bottom w:val="nil"/>
              <w:right w:val="nil"/>
            </w:tcBorders>
            <w:shd w:val="clear" w:color="auto" w:fill="auto"/>
            <w:noWrap/>
            <w:vAlign w:val="center"/>
            <w:hideMark/>
          </w:tcPr>
          <w:p w14:paraId="7AAE5B33" w14:textId="77777777" w:rsidR="00B471A1" w:rsidRPr="00092B22" w:rsidRDefault="00B471A1" w:rsidP="00E607DA">
            <w:pPr>
              <w:jc w:val="right"/>
              <w:rPr>
                <w:rFonts w:ascii="Meta Pro" w:eastAsia="Times New Roman" w:hAnsi="Meta Pro"/>
                <w:b/>
                <w:bCs/>
                <w:szCs w:val="18"/>
                <w:lang w:eastAsia="en-AU"/>
              </w:rPr>
            </w:pPr>
          </w:p>
        </w:tc>
        <w:tc>
          <w:tcPr>
            <w:tcW w:w="1216" w:type="dxa"/>
            <w:tcBorders>
              <w:top w:val="nil"/>
              <w:left w:val="nil"/>
              <w:bottom w:val="nil"/>
              <w:right w:val="nil"/>
            </w:tcBorders>
            <w:shd w:val="clear" w:color="auto" w:fill="auto"/>
            <w:noWrap/>
            <w:vAlign w:val="center"/>
            <w:hideMark/>
          </w:tcPr>
          <w:p w14:paraId="0DEDB35C" w14:textId="77777777" w:rsidR="00B471A1" w:rsidRPr="00092B22" w:rsidRDefault="00B471A1"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7,382 </w:t>
            </w:r>
          </w:p>
        </w:tc>
      </w:tr>
    </w:tbl>
    <w:p w14:paraId="5B5267FC" w14:textId="77777777" w:rsidR="00B471A1" w:rsidRPr="00092B22" w:rsidRDefault="00B471A1" w:rsidP="00B471A1">
      <w:pPr>
        <w:spacing w:before="60"/>
        <w:rPr>
          <w:rFonts w:ascii="Meta Pro" w:eastAsia="Times New Roman" w:hAnsi="Meta Pro"/>
          <w:szCs w:val="18"/>
          <w:lang w:eastAsia="en-AU"/>
        </w:rPr>
      </w:pPr>
      <w:r w:rsidRPr="00092B22">
        <w:rPr>
          <w:rFonts w:ascii="Meta Pro" w:eastAsia="Times New Roman" w:hAnsi="Meta Pro"/>
          <w:szCs w:val="18"/>
          <w:lang w:eastAsia="en-AU"/>
        </w:rPr>
        <w:t>Refer to Note 20 for the policies related to employee entitlements.</w:t>
      </w:r>
    </w:p>
    <w:p w14:paraId="42A353A5" w14:textId="77777777" w:rsidR="00B46307" w:rsidRPr="00092B22" w:rsidRDefault="00B46307" w:rsidP="00B46307">
      <w:pPr>
        <w:spacing w:after="60" w:line="259" w:lineRule="auto"/>
        <w:rPr>
          <w:rFonts w:ascii="Meta Pro" w:hAnsi="Meta Pro"/>
          <w:b/>
          <w:bCs/>
          <w:lang w:eastAsia="en-AU"/>
        </w:rPr>
      </w:pPr>
      <w:r w:rsidRPr="00092B22">
        <w:rPr>
          <w:rFonts w:ascii="Meta Pro" w:hAnsi="Meta Pro"/>
          <w:b/>
          <w:bCs/>
          <w:lang w:eastAsia="en-AU"/>
        </w:rPr>
        <w:t>6       KEY MANAGEMENT PERSONNEL AND REMUNERATION EXPENSES</w:t>
      </w:r>
    </w:p>
    <w:p w14:paraId="0ECCAA4D" w14:textId="77777777" w:rsidR="00B46307" w:rsidRPr="00092B22" w:rsidRDefault="00B46307" w:rsidP="00B46307">
      <w:pPr>
        <w:spacing w:after="60" w:line="259" w:lineRule="auto"/>
        <w:rPr>
          <w:rFonts w:ascii="Meta Pro" w:hAnsi="Meta Pro"/>
          <w:b/>
          <w:bCs/>
          <w:lang w:eastAsia="en-AU"/>
        </w:rPr>
      </w:pPr>
      <w:r w:rsidRPr="00092B22">
        <w:rPr>
          <w:rFonts w:ascii="Meta Pro" w:eastAsia="Times New Roman" w:hAnsi="Meta Pro"/>
          <w:b/>
          <w:bCs/>
          <w:szCs w:val="18"/>
          <w:lang w:eastAsia="en-AU"/>
        </w:rPr>
        <w:lastRenderedPageBreak/>
        <w:t>Key management personnel</w:t>
      </w:r>
    </w:p>
    <w:p w14:paraId="5CADF8C7" w14:textId="77777777" w:rsidR="00B46307" w:rsidRPr="00092B22" w:rsidRDefault="00B46307" w:rsidP="00B46307">
      <w:pPr>
        <w:spacing w:after="60"/>
        <w:rPr>
          <w:rFonts w:ascii="Meta Pro" w:eastAsia="Times New Roman" w:hAnsi="Meta Pro"/>
          <w:szCs w:val="18"/>
          <w:lang w:eastAsia="en-AU"/>
        </w:rPr>
      </w:pPr>
      <w:r w:rsidRPr="00092B22">
        <w:rPr>
          <w:rFonts w:ascii="Meta Pro" w:eastAsia="Times New Roman" w:hAnsi="Meta Pro"/>
          <w:szCs w:val="18"/>
          <w:lang w:eastAsia="en-AU"/>
        </w:rPr>
        <w:t xml:space="preserve">The department’s responsible Minister, the Minister for Transport and Main Roads, is identified as part of the department’s key management personnel, consistent with guidance included in AASB 124 </w:t>
      </w:r>
      <w:r w:rsidRPr="00092B22">
        <w:rPr>
          <w:rFonts w:ascii="Meta Pro" w:eastAsia="Times New Roman" w:hAnsi="Meta Pro"/>
          <w:i/>
          <w:iCs/>
          <w:szCs w:val="18"/>
          <w:lang w:eastAsia="en-AU"/>
        </w:rPr>
        <w:t>Related Party Disclosures</w:t>
      </w:r>
      <w:r w:rsidRPr="00092B22">
        <w:rPr>
          <w:rFonts w:ascii="Meta Pro" w:eastAsia="Times New Roman" w:hAnsi="Meta Pro"/>
          <w:szCs w:val="18"/>
          <w:lang w:eastAsia="en-AU"/>
        </w:rPr>
        <w:t>.</w:t>
      </w:r>
    </w:p>
    <w:p w14:paraId="192DDBF6" w14:textId="77777777" w:rsidR="00B46307" w:rsidRPr="00092B22" w:rsidRDefault="00B46307" w:rsidP="00B46307">
      <w:pPr>
        <w:spacing w:after="60"/>
        <w:rPr>
          <w:rFonts w:ascii="Meta Pro" w:eastAsia="Times New Roman" w:hAnsi="Meta Pro"/>
          <w:szCs w:val="18"/>
          <w:lang w:eastAsia="en-AU"/>
        </w:rPr>
      </w:pPr>
      <w:r w:rsidRPr="00092B22">
        <w:rPr>
          <w:rFonts w:ascii="Meta Pro" w:eastAsia="Times New Roman" w:hAnsi="Meta Pro"/>
          <w:szCs w:val="18"/>
          <w:lang w:eastAsia="en-AU"/>
        </w:rPr>
        <w:t>The following details for non-Ministerial key management personnel include those positions that form the department's Executive Leadership Team (ELT) that had authority and responsibility for planning, directing and controlling the activities of the department during the financial year. Further information on these positions can be found in the Annual Report under the section titled Our Organisation.</w:t>
      </w:r>
    </w:p>
    <w:p w14:paraId="0F5C34E7" w14:textId="77777777" w:rsidR="00B46307" w:rsidRPr="00092B22" w:rsidRDefault="00B46307" w:rsidP="00B46307">
      <w:pPr>
        <w:spacing w:after="60" w:line="276" w:lineRule="auto"/>
        <w:rPr>
          <w:rFonts w:ascii="Meta Pro" w:eastAsia="Times New Roman" w:hAnsi="Meta Pro"/>
          <w:szCs w:val="18"/>
          <w:lang w:eastAsia="en-AU"/>
        </w:rPr>
      </w:pPr>
      <w:r w:rsidRPr="00092B22">
        <w:rPr>
          <w:rFonts w:ascii="Meta Pro" w:eastAsia="Times New Roman" w:hAnsi="Meta Pro"/>
          <w:b/>
          <w:bCs/>
          <w:szCs w:val="18"/>
          <w:lang w:eastAsia="en-AU"/>
        </w:rPr>
        <w:t>Remuneration expenses</w:t>
      </w:r>
    </w:p>
    <w:p w14:paraId="5F662ECC" w14:textId="77777777" w:rsidR="00B46307" w:rsidRPr="00092B22" w:rsidRDefault="00B46307" w:rsidP="00B46307">
      <w:pPr>
        <w:spacing w:after="60"/>
        <w:rPr>
          <w:rFonts w:ascii="Meta Pro" w:eastAsia="Times New Roman" w:hAnsi="Meta Pro"/>
          <w:szCs w:val="18"/>
          <w:lang w:eastAsia="en-AU"/>
        </w:rPr>
      </w:pPr>
      <w:r w:rsidRPr="00092B22">
        <w:rPr>
          <w:rFonts w:ascii="Meta Pro" w:eastAsia="Times New Roman" w:hAnsi="Meta Pro"/>
          <w:szCs w:val="18"/>
          <w:lang w:eastAsia="en-AU"/>
        </w:rPr>
        <w:t xml:space="preserve">Ministerial remuneration entitlements are outlined in the Legislative Assembly of Queensland’s Members’ Remuneration Handbook. The department does not bear any cost of remuneration for the Minister. The majority of Ministerial entitlements are paid by the Legislative Assembly, with the remaining entitlements being provided by Ministerial Services Branch within the Department of the Premier and Cabinet. </w:t>
      </w:r>
    </w:p>
    <w:p w14:paraId="6E1E40BE" w14:textId="77777777" w:rsidR="00B46307" w:rsidRPr="00092B22" w:rsidRDefault="00B46307" w:rsidP="00B46307">
      <w:pPr>
        <w:spacing w:after="60"/>
        <w:rPr>
          <w:rFonts w:ascii="Meta Pro" w:eastAsia="Times New Roman" w:hAnsi="Meta Pro"/>
          <w:szCs w:val="18"/>
          <w:lang w:eastAsia="en-AU"/>
        </w:rPr>
      </w:pPr>
      <w:r w:rsidRPr="00092B22">
        <w:rPr>
          <w:rFonts w:ascii="Meta Pro" w:eastAsia="Times New Roman" w:hAnsi="Meta Pro"/>
          <w:szCs w:val="18"/>
          <w:lang w:eastAsia="en-AU"/>
        </w:rPr>
        <w:t xml:space="preserve">As all Ministers are reported as key management personnel of the Queensland Government, aggregate remuneration expenses for all Ministers is disclosed in the Queensland General Government and Whole of Government Consolidated Financial Statements, which are published as part of Queensland Treasury’s Report on State Finances. </w:t>
      </w:r>
    </w:p>
    <w:p w14:paraId="19A6A3CD" w14:textId="77777777" w:rsidR="00B46307" w:rsidRPr="00092B22" w:rsidRDefault="00B46307" w:rsidP="00B46307">
      <w:pPr>
        <w:spacing w:after="60"/>
        <w:rPr>
          <w:rFonts w:ascii="Meta Pro" w:eastAsia="Times New Roman" w:hAnsi="Meta Pro"/>
          <w:szCs w:val="18"/>
          <w:lang w:eastAsia="en-AU"/>
        </w:rPr>
      </w:pPr>
      <w:r w:rsidRPr="00092B22">
        <w:rPr>
          <w:rFonts w:ascii="Meta Pro" w:eastAsia="Times New Roman" w:hAnsi="Meta Pro"/>
          <w:szCs w:val="18"/>
          <w:lang w:eastAsia="en-AU"/>
        </w:rPr>
        <w:t xml:space="preserve">Remuneration policy for the department's key management personnel is set by the Queensland Public Service Commission as provided for under the </w:t>
      </w:r>
      <w:r w:rsidRPr="00092B22">
        <w:rPr>
          <w:rFonts w:ascii="Meta Pro" w:eastAsia="Times New Roman" w:hAnsi="Meta Pro"/>
          <w:i/>
          <w:iCs/>
          <w:szCs w:val="18"/>
          <w:lang w:eastAsia="en-AU"/>
        </w:rPr>
        <w:t>Public Service Act 2008</w:t>
      </w:r>
      <w:r w:rsidRPr="00092B22">
        <w:rPr>
          <w:rFonts w:ascii="Meta Pro" w:eastAsia="Times New Roman" w:hAnsi="Meta Pro"/>
          <w:szCs w:val="18"/>
          <w:lang w:eastAsia="en-AU"/>
        </w:rPr>
        <w:t>. The remuneration and other terms of employment for the key management personnel are specified in employment contracts. The contracts may provide for other benefits including a motor vehicle allowance, however they do not provide for the provision of performance payments.</w:t>
      </w:r>
    </w:p>
    <w:p w14:paraId="28E69CCE" w14:textId="77777777" w:rsidR="00B46307" w:rsidRPr="00092B22" w:rsidRDefault="00B46307" w:rsidP="00B46307">
      <w:pPr>
        <w:spacing w:after="60"/>
        <w:rPr>
          <w:rFonts w:ascii="Meta Pro" w:eastAsia="Times New Roman" w:hAnsi="Meta Pro"/>
          <w:szCs w:val="18"/>
          <w:lang w:eastAsia="en-AU"/>
        </w:rPr>
      </w:pPr>
      <w:r w:rsidRPr="00092B22">
        <w:rPr>
          <w:rFonts w:ascii="Meta Pro" w:eastAsia="Times New Roman" w:hAnsi="Meta Pro"/>
          <w:szCs w:val="18"/>
          <w:lang w:eastAsia="en-AU"/>
        </w:rPr>
        <w:t>The following disclosures focus on the expenses incurred by the department for non-Ministerial personnel during the reporting period attributable to the key management positions.</w:t>
      </w:r>
    </w:p>
    <w:p w14:paraId="321A608E" w14:textId="77777777" w:rsidR="00B46307" w:rsidRPr="00092B22" w:rsidRDefault="00B46307" w:rsidP="00B46307">
      <w:pPr>
        <w:spacing w:line="276" w:lineRule="auto"/>
        <w:rPr>
          <w:rFonts w:ascii="Meta Pro" w:eastAsia="Times New Roman" w:hAnsi="Meta Pro"/>
          <w:szCs w:val="18"/>
          <w:lang w:eastAsia="en-AU"/>
        </w:rPr>
      </w:pPr>
      <w:r w:rsidRPr="00092B22">
        <w:rPr>
          <w:rFonts w:ascii="Meta Pro" w:eastAsia="Times New Roman" w:hAnsi="Meta Pro"/>
          <w:szCs w:val="18"/>
          <w:lang w:eastAsia="en-AU"/>
        </w:rPr>
        <w:t>Remuneration expenses for key management personnel comprise the following components:</w:t>
      </w:r>
    </w:p>
    <w:p w14:paraId="38F6F9A2" w14:textId="77777777" w:rsidR="00B46307" w:rsidRPr="00092B22" w:rsidRDefault="00B46307" w:rsidP="00B46307">
      <w:pPr>
        <w:spacing w:line="276" w:lineRule="auto"/>
        <w:rPr>
          <w:rFonts w:ascii="Meta Pro" w:eastAsia="Times New Roman" w:hAnsi="Meta Pro"/>
          <w:szCs w:val="18"/>
          <w:lang w:eastAsia="en-AU"/>
        </w:rPr>
      </w:pPr>
      <w:r w:rsidRPr="00092B22">
        <w:rPr>
          <w:rFonts w:ascii="Meta Pro" w:eastAsia="Times New Roman" w:hAnsi="Meta Pro"/>
          <w:szCs w:val="18"/>
          <w:lang w:eastAsia="en-AU"/>
        </w:rPr>
        <w:t>•  Short term employee expenses including:</w:t>
      </w:r>
    </w:p>
    <w:p w14:paraId="75D391B7" w14:textId="77777777" w:rsidR="00B46307" w:rsidRPr="00092B22" w:rsidRDefault="00B46307" w:rsidP="00B46307">
      <w:pPr>
        <w:spacing w:line="276" w:lineRule="auto"/>
        <w:ind w:left="148" w:hanging="6"/>
        <w:rPr>
          <w:rFonts w:ascii="Meta Pro" w:eastAsia="Times New Roman" w:hAnsi="Meta Pro"/>
          <w:szCs w:val="18"/>
          <w:lang w:eastAsia="en-AU"/>
        </w:rPr>
      </w:pPr>
      <w:r w:rsidRPr="00092B22">
        <w:rPr>
          <w:rFonts w:ascii="Meta Pro" w:eastAsia="Times New Roman" w:hAnsi="Meta Pro"/>
          <w:szCs w:val="18"/>
          <w:lang w:eastAsia="en-AU"/>
        </w:rPr>
        <w:t xml:space="preserve">-  salaries, allowances and leave entitlements earned and expensed for the entire year or for that part of the year </w:t>
      </w:r>
      <w:r w:rsidRPr="00092B22">
        <w:rPr>
          <w:rFonts w:ascii="Meta Pro" w:eastAsia="Times New Roman" w:hAnsi="Meta Pro"/>
          <w:szCs w:val="18"/>
          <w:lang w:eastAsia="en-AU"/>
        </w:rPr>
        <w:br/>
        <w:t xml:space="preserve">   during which the employee occupied the specified position</w:t>
      </w:r>
    </w:p>
    <w:p w14:paraId="508A1FD4" w14:textId="77777777" w:rsidR="00B46307" w:rsidRPr="00092B22" w:rsidRDefault="00B46307" w:rsidP="00B46307">
      <w:pPr>
        <w:spacing w:line="276" w:lineRule="auto"/>
        <w:ind w:left="148" w:hanging="6"/>
        <w:rPr>
          <w:rFonts w:ascii="Meta Pro" w:eastAsia="Times New Roman" w:hAnsi="Meta Pro"/>
          <w:szCs w:val="18"/>
          <w:lang w:eastAsia="en-AU"/>
        </w:rPr>
      </w:pPr>
      <w:r w:rsidRPr="00092B22">
        <w:rPr>
          <w:rFonts w:ascii="Meta Pro" w:eastAsia="Times New Roman" w:hAnsi="Meta Pro"/>
          <w:szCs w:val="18"/>
          <w:lang w:eastAsia="en-AU"/>
        </w:rPr>
        <w:t>-  non-monetary benefits and any applicable fringe benefits tax.</w:t>
      </w:r>
    </w:p>
    <w:p w14:paraId="5DF3D5B7" w14:textId="77777777" w:rsidR="00B46307" w:rsidRPr="00092B22" w:rsidRDefault="00B46307" w:rsidP="00B46307">
      <w:pPr>
        <w:spacing w:line="276" w:lineRule="auto"/>
        <w:rPr>
          <w:rFonts w:ascii="Meta Pro" w:eastAsia="Times New Roman" w:hAnsi="Meta Pro"/>
          <w:szCs w:val="18"/>
          <w:lang w:eastAsia="en-AU"/>
        </w:rPr>
      </w:pPr>
      <w:r w:rsidRPr="00092B22">
        <w:rPr>
          <w:rFonts w:ascii="Meta Pro" w:eastAsia="Times New Roman" w:hAnsi="Meta Pro"/>
          <w:szCs w:val="18"/>
          <w:lang w:eastAsia="en-AU"/>
        </w:rPr>
        <w:t>•  Long term and post employment expenses including:</w:t>
      </w:r>
    </w:p>
    <w:p w14:paraId="6E5AB52E" w14:textId="77777777" w:rsidR="00B46307" w:rsidRPr="00092B22" w:rsidRDefault="00B46307" w:rsidP="00B46307">
      <w:pPr>
        <w:spacing w:line="276" w:lineRule="auto"/>
        <w:ind w:left="148" w:hanging="6"/>
        <w:rPr>
          <w:rFonts w:ascii="Meta Pro" w:eastAsia="Times New Roman" w:hAnsi="Meta Pro"/>
          <w:szCs w:val="18"/>
          <w:lang w:eastAsia="en-AU"/>
        </w:rPr>
      </w:pPr>
      <w:r w:rsidRPr="00092B22">
        <w:rPr>
          <w:rFonts w:ascii="Meta Pro" w:eastAsia="Times New Roman" w:hAnsi="Meta Pro"/>
          <w:szCs w:val="18"/>
          <w:lang w:eastAsia="en-AU"/>
        </w:rPr>
        <w:t>-  amounts expensed in respect of long service leave entitlements earned</w:t>
      </w:r>
    </w:p>
    <w:p w14:paraId="28E58E8A" w14:textId="77777777" w:rsidR="00B46307" w:rsidRPr="00092B22" w:rsidRDefault="00B46307" w:rsidP="00B46307">
      <w:pPr>
        <w:spacing w:line="276" w:lineRule="auto"/>
        <w:ind w:left="148" w:hanging="6"/>
        <w:rPr>
          <w:rFonts w:ascii="Meta Pro" w:eastAsia="Times New Roman" w:hAnsi="Meta Pro"/>
          <w:szCs w:val="18"/>
          <w:lang w:eastAsia="en-AU"/>
        </w:rPr>
      </w:pPr>
      <w:r w:rsidRPr="00092B22">
        <w:rPr>
          <w:rFonts w:ascii="Meta Pro" w:eastAsia="Times New Roman" w:hAnsi="Meta Pro"/>
          <w:szCs w:val="18"/>
          <w:lang w:eastAsia="en-AU"/>
        </w:rPr>
        <w:t>-  amounts expensed in respect of employer superannuation obligations.</w:t>
      </w:r>
    </w:p>
    <w:p w14:paraId="0999FC1C" w14:textId="77777777" w:rsidR="00B46307" w:rsidRPr="00092B22" w:rsidRDefault="00B46307" w:rsidP="00B46307">
      <w:pPr>
        <w:spacing w:after="60" w:line="276" w:lineRule="auto"/>
        <w:ind w:left="227" w:hanging="227"/>
        <w:rPr>
          <w:rFonts w:ascii="Meta Pro" w:eastAsia="Times New Roman" w:hAnsi="Meta Pro"/>
          <w:szCs w:val="18"/>
          <w:lang w:eastAsia="en-AU"/>
        </w:rPr>
      </w:pPr>
      <w:r w:rsidRPr="00092B22">
        <w:rPr>
          <w:rFonts w:ascii="Meta Pro" w:eastAsia="Times New Roman" w:hAnsi="Meta Pro"/>
          <w:szCs w:val="18"/>
          <w:lang w:eastAsia="en-AU"/>
        </w:rPr>
        <w:t>•  Termination benefits include payments in lieu of notice on termination and other lump sum separation entitlements payable on termination of employment.</w:t>
      </w:r>
    </w:p>
    <w:p w14:paraId="73696595" w14:textId="77777777" w:rsidR="00B46307" w:rsidRPr="00092B22" w:rsidRDefault="00B46307" w:rsidP="00B46307">
      <w:pPr>
        <w:spacing w:after="60" w:line="276" w:lineRule="auto"/>
        <w:ind w:left="227" w:hanging="227"/>
        <w:rPr>
          <w:rFonts w:ascii="Meta Pro" w:hAnsi="Meta Pro" w:cstheme="minorBidi"/>
        </w:rPr>
      </w:pPr>
      <w:r w:rsidRPr="00092B22">
        <w:rPr>
          <w:rFonts w:ascii="Meta Pro" w:eastAsia="Times New Roman" w:hAnsi="Meta Pro"/>
          <w:b/>
          <w:bCs/>
          <w:szCs w:val="18"/>
          <w:lang w:eastAsia="en-AU"/>
        </w:rPr>
        <w:t>1 July 2021 – 30 June 2022</w:t>
      </w:r>
    </w:p>
    <w:tbl>
      <w:tblPr>
        <w:tblW w:w="0" w:type="auto"/>
        <w:tblCellMar>
          <w:left w:w="0" w:type="dxa"/>
        </w:tblCellMar>
        <w:tblLook w:val="04A0" w:firstRow="1" w:lastRow="0" w:firstColumn="1" w:lastColumn="0" w:noHBand="0" w:noVBand="1"/>
      </w:tblPr>
      <w:tblGrid>
        <w:gridCol w:w="4865"/>
        <w:gridCol w:w="1190"/>
        <w:gridCol w:w="1191"/>
        <w:gridCol w:w="1191"/>
        <w:gridCol w:w="1191"/>
      </w:tblGrid>
      <w:tr w:rsidR="00B46307" w:rsidRPr="00092B22" w14:paraId="0F47FFF6" w14:textId="77777777" w:rsidTr="00E607DA">
        <w:trPr>
          <w:trHeight w:val="23"/>
        </w:trPr>
        <w:tc>
          <w:tcPr>
            <w:tcW w:w="4871" w:type="dxa"/>
            <w:tcBorders>
              <w:top w:val="single" w:sz="4" w:space="0" w:color="auto"/>
              <w:left w:val="single" w:sz="4" w:space="0" w:color="auto"/>
              <w:bottom w:val="nil"/>
              <w:right w:val="single" w:sz="4" w:space="0" w:color="auto"/>
            </w:tcBorders>
            <w:shd w:val="clear" w:color="auto" w:fill="auto"/>
            <w:vAlign w:val="center"/>
            <w:hideMark/>
          </w:tcPr>
          <w:p w14:paraId="2D6AF3CD" w14:textId="77777777" w:rsidR="00B46307" w:rsidRPr="00092B22" w:rsidRDefault="00B46307"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Position</w:t>
            </w:r>
          </w:p>
        </w:tc>
        <w:tc>
          <w:tcPr>
            <w:tcW w:w="1191" w:type="dxa"/>
            <w:tcBorders>
              <w:top w:val="single" w:sz="4" w:space="0" w:color="auto"/>
              <w:left w:val="nil"/>
              <w:bottom w:val="nil"/>
              <w:right w:val="single" w:sz="4" w:space="0" w:color="auto"/>
            </w:tcBorders>
            <w:shd w:val="clear" w:color="auto" w:fill="auto"/>
            <w:hideMark/>
          </w:tcPr>
          <w:p w14:paraId="7B17BDE2" w14:textId="77777777" w:rsidR="00B46307" w:rsidRPr="00092B22" w:rsidRDefault="00B46307"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Short term employee expenses</w:t>
            </w:r>
          </w:p>
        </w:tc>
        <w:tc>
          <w:tcPr>
            <w:tcW w:w="1191" w:type="dxa"/>
            <w:tcBorders>
              <w:top w:val="single" w:sz="4" w:space="0" w:color="auto"/>
              <w:left w:val="nil"/>
              <w:bottom w:val="nil"/>
              <w:right w:val="single" w:sz="4" w:space="0" w:color="auto"/>
            </w:tcBorders>
            <w:shd w:val="clear" w:color="auto" w:fill="auto"/>
            <w:hideMark/>
          </w:tcPr>
          <w:p w14:paraId="58DC9311" w14:textId="77777777" w:rsidR="00B46307" w:rsidRPr="00092B22" w:rsidRDefault="00B46307"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Long term and post employment expenses</w:t>
            </w:r>
          </w:p>
        </w:tc>
        <w:tc>
          <w:tcPr>
            <w:tcW w:w="1191" w:type="dxa"/>
            <w:tcBorders>
              <w:top w:val="single" w:sz="4" w:space="0" w:color="auto"/>
              <w:left w:val="nil"/>
              <w:bottom w:val="nil"/>
              <w:right w:val="single" w:sz="4" w:space="0" w:color="auto"/>
            </w:tcBorders>
            <w:shd w:val="clear" w:color="auto" w:fill="auto"/>
            <w:hideMark/>
          </w:tcPr>
          <w:p w14:paraId="2102D8B5" w14:textId="77777777" w:rsidR="00B46307" w:rsidRPr="00092B22" w:rsidRDefault="00B46307"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Termination benefits</w:t>
            </w:r>
          </w:p>
        </w:tc>
        <w:tc>
          <w:tcPr>
            <w:tcW w:w="1191" w:type="dxa"/>
            <w:tcBorders>
              <w:top w:val="single" w:sz="4" w:space="0" w:color="auto"/>
              <w:left w:val="nil"/>
              <w:bottom w:val="nil"/>
              <w:right w:val="single" w:sz="4" w:space="0" w:color="auto"/>
            </w:tcBorders>
            <w:shd w:val="clear" w:color="auto" w:fill="auto"/>
            <w:hideMark/>
          </w:tcPr>
          <w:p w14:paraId="05404FF4" w14:textId="77777777" w:rsidR="00B46307" w:rsidRPr="00092B22" w:rsidRDefault="00B46307"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Total expenses</w:t>
            </w:r>
          </w:p>
        </w:tc>
      </w:tr>
      <w:tr w:rsidR="00B46307" w:rsidRPr="00092B22" w14:paraId="28CBFC46" w14:textId="77777777" w:rsidTr="00E607DA">
        <w:trPr>
          <w:trHeight w:val="23"/>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58333C4F" w14:textId="77777777" w:rsidR="00B46307" w:rsidRPr="00092B22" w:rsidRDefault="00B46307"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lastRenderedPageBreak/>
              <w:t> </w:t>
            </w:r>
          </w:p>
        </w:tc>
        <w:tc>
          <w:tcPr>
            <w:tcW w:w="1191" w:type="dxa"/>
            <w:tcBorders>
              <w:top w:val="nil"/>
              <w:left w:val="nil"/>
              <w:bottom w:val="single" w:sz="4" w:space="0" w:color="auto"/>
              <w:right w:val="single" w:sz="4" w:space="0" w:color="auto"/>
            </w:tcBorders>
            <w:shd w:val="clear" w:color="auto" w:fill="auto"/>
            <w:vAlign w:val="center"/>
            <w:hideMark/>
          </w:tcPr>
          <w:p w14:paraId="409D8887" w14:textId="77777777" w:rsidR="00B46307" w:rsidRPr="00092B22" w:rsidRDefault="00B46307"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$'000</w:t>
            </w:r>
          </w:p>
        </w:tc>
        <w:tc>
          <w:tcPr>
            <w:tcW w:w="1191" w:type="dxa"/>
            <w:tcBorders>
              <w:top w:val="nil"/>
              <w:left w:val="nil"/>
              <w:bottom w:val="single" w:sz="4" w:space="0" w:color="auto"/>
              <w:right w:val="single" w:sz="4" w:space="0" w:color="auto"/>
            </w:tcBorders>
            <w:shd w:val="clear" w:color="auto" w:fill="auto"/>
            <w:vAlign w:val="center"/>
            <w:hideMark/>
          </w:tcPr>
          <w:p w14:paraId="768B771C" w14:textId="77777777" w:rsidR="00B46307" w:rsidRPr="00092B22" w:rsidRDefault="00B46307"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$'000</w:t>
            </w:r>
          </w:p>
        </w:tc>
        <w:tc>
          <w:tcPr>
            <w:tcW w:w="1191" w:type="dxa"/>
            <w:tcBorders>
              <w:top w:val="nil"/>
              <w:left w:val="nil"/>
              <w:bottom w:val="single" w:sz="4" w:space="0" w:color="auto"/>
              <w:right w:val="single" w:sz="4" w:space="0" w:color="auto"/>
            </w:tcBorders>
            <w:shd w:val="clear" w:color="auto" w:fill="auto"/>
            <w:vAlign w:val="center"/>
            <w:hideMark/>
          </w:tcPr>
          <w:p w14:paraId="5F6565BB" w14:textId="77777777" w:rsidR="00B46307" w:rsidRPr="00092B22" w:rsidRDefault="00B46307"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$'000</w:t>
            </w:r>
          </w:p>
        </w:tc>
        <w:tc>
          <w:tcPr>
            <w:tcW w:w="1191" w:type="dxa"/>
            <w:tcBorders>
              <w:top w:val="nil"/>
              <w:left w:val="nil"/>
              <w:bottom w:val="single" w:sz="4" w:space="0" w:color="auto"/>
              <w:right w:val="single" w:sz="4" w:space="0" w:color="auto"/>
            </w:tcBorders>
            <w:shd w:val="clear" w:color="auto" w:fill="auto"/>
            <w:vAlign w:val="center"/>
            <w:hideMark/>
          </w:tcPr>
          <w:p w14:paraId="4FFC9AD0" w14:textId="77777777" w:rsidR="00B46307" w:rsidRPr="00092B22" w:rsidRDefault="00B46307"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$'000</w:t>
            </w:r>
          </w:p>
        </w:tc>
      </w:tr>
      <w:tr w:rsidR="00B46307" w:rsidRPr="00092B22" w14:paraId="3D89AB6B" w14:textId="77777777" w:rsidTr="00E607DA">
        <w:trPr>
          <w:trHeight w:val="23"/>
        </w:trPr>
        <w:tc>
          <w:tcPr>
            <w:tcW w:w="4871" w:type="dxa"/>
            <w:tcBorders>
              <w:top w:val="nil"/>
              <w:left w:val="single" w:sz="4" w:space="0" w:color="auto"/>
              <w:bottom w:val="single" w:sz="4" w:space="0" w:color="auto"/>
              <w:right w:val="single" w:sz="4" w:space="0" w:color="auto"/>
            </w:tcBorders>
            <w:shd w:val="clear" w:color="000000" w:fill="C9E3B4"/>
            <w:hideMark/>
          </w:tcPr>
          <w:p w14:paraId="3499D3AF" w14:textId="77777777" w:rsidR="00B46307" w:rsidRPr="00092B22" w:rsidRDefault="00B46307" w:rsidP="00E607DA">
            <w:pPr>
              <w:rPr>
                <w:rFonts w:ascii="Meta Pro" w:eastAsia="Times New Roman" w:hAnsi="Meta Pro"/>
                <w:szCs w:val="18"/>
                <w:lang w:eastAsia="en-AU"/>
              </w:rPr>
            </w:pPr>
            <w:r w:rsidRPr="00092B22">
              <w:rPr>
                <w:rFonts w:ascii="Meta Pro" w:eastAsia="Times New Roman" w:hAnsi="Meta Pro"/>
                <w:szCs w:val="18"/>
                <w:lang w:eastAsia="en-AU"/>
              </w:rPr>
              <w:t>Director-General</w:t>
            </w:r>
          </w:p>
        </w:tc>
        <w:tc>
          <w:tcPr>
            <w:tcW w:w="1191" w:type="dxa"/>
            <w:tcBorders>
              <w:top w:val="nil"/>
              <w:left w:val="nil"/>
              <w:bottom w:val="single" w:sz="4" w:space="0" w:color="auto"/>
              <w:right w:val="single" w:sz="4" w:space="0" w:color="auto"/>
            </w:tcBorders>
            <w:shd w:val="clear" w:color="000000" w:fill="C9E3B4"/>
            <w:vAlign w:val="center"/>
            <w:hideMark/>
          </w:tcPr>
          <w:p w14:paraId="0C5ABAA4" w14:textId="77777777" w:rsidR="00B46307" w:rsidRPr="00092B22" w:rsidRDefault="00B4630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553 </w:t>
            </w:r>
          </w:p>
        </w:tc>
        <w:tc>
          <w:tcPr>
            <w:tcW w:w="1191" w:type="dxa"/>
            <w:tcBorders>
              <w:top w:val="nil"/>
              <w:left w:val="nil"/>
              <w:bottom w:val="single" w:sz="4" w:space="0" w:color="auto"/>
              <w:right w:val="single" w:sz="4" w:space="0" w:color="auto"/>
            </w:tcBorders>
            <w:shd w:val="clear" w:color="000000" w:fill="C9E3B4"/>
            <w:vAlign w:val="center"/>
            <w:hideMark/>
          </w:tcPr>
          <w:p w14:paraId="0FB6E5CC" w14:textId="77777777" w:rsidR="00B46307" w:rsidRPr="00092B22" w:rsidRDefault="00B4630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79 </w:t>
            </w:r>
          </w:p>
        </w:tc>
        <w:tc>
          <w:tcPr>
            <w:tcW w:w="1191" w:type="dxa"/>
            <w:tcBorders>
              <w:top w:val="nil"/>
              <w:left w:val="nil"/>
              <w:bottom w:val="single" w:sz="4" w:space="0" w:color="auto"/>
              <w:right w:val="single" w:sz="4" w:space="0" w:color="auto"/>
            </w:tcBorders>
            <w:shd w:val="clear" w:color="000000" w:fill="C9E3B4"/>
            <w:vAlign w:val="center"/>
            <w:hideMark/>
          </w:tcPr>
          <w:p w14:paraId="769A69C5" w14:textId="77777777" w:rsidR="00B46307" w:rsidRPr="00092B22" w:rsidRDefault="00B4630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000000" w:fill="C9E3B4"/>
            <w:noWrap/>
            <w:vAlign w:val="center"/>
            <w:hideMark/>
          </w:tcPr>
          <w:p w14:paraId="1CD8A048" w14:textId="77777777" w:rsidR="00B46307" w:rsidRPr="00092B22" w:rsidRDefault="00B46307"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632 </w:t>
            </w:r>
          </w:p>
        </w:tc>
      </w:tr>
      <w:tr w:rsidR="00B46307" w:rsidRPr="00092B22" w14:paraId="726E095B" w14:textId="77777777" w:rsidTr="00E607DA">
        <w:trPr>
          <w:trHeight w:val="23"/>
        </w:trPr>
        <w:tc>
          <w:tcPr>
            <w:tcW w:w="4871" w:type="dxa"/>
            <w:tcBorders>
              <w:top w:val="nil"/>
              <w:left w:val="single" w:sz="4" w:space="0" w:color="auto"/>
              <w:bottom w:val="single" w:sz="4" w:space="0" w:color="auto"/>
              <w:right w:val="single" w:sz="4" w:space="0" w:color="auto"/>
            </w:tcBorders>
            <w:shd w:val="clear" w:color="000000" w:fill="C9E3B4"/>
            <w:hideMark/>
          </w:tcPr>
          <w:p w14:paraId="658209BA" w14:textId="77777777" w:rsidR="00B46307" w:rsidRPr="00092B22" w:rsidRDefault="00B46307" w:rsidP="00E607DA">
            <w:pPr>
              <w:rPr>
                <w:rFonts w:ascii="Meta Pro" w:eastAsia="Times New Roman" w:hAnsi="Meta Pro"/>
                <w:szCs w:val="18"/>
                <w:lang w:eastAsia="en-AU"/>
              </w:rPr>
            </w:pPr>
            <w:r w:rsidRPr="00092B22">
              <w:rPr>
                <w:rFonts w:ascii="Meta Pro" w:eastAsia="Times New Roman" w:hAnsi="Meta Pro"/>
                <w:szCs w:val="18"/>
                <w:lang w:eastAsia="en-AU"/>
              </w:rPr>
              <w:t xml:space="preserve">Deputy Director-General </w:t>
            </w:r>
            <w:r w:rsidRPr="00092B22">
              <w:rPr>
                <w:rFonts w:ascii="Meta Pro" w:eastAsia="Times New Roman" w:hAnsi="Meta Pro"/>
                <w:szCs w:val="18"/>
                <w:lang w:eastAsia="en-AU"/>
              </w:rPr>
              <w:br/>
              <w:t>(Customer Services, Safety and Regulation)</w:t>
            </w:r>
            <w:r w:rsidRPr="00092B22">
              <w:rPr>
                <w:rFonts w:ascii="Meta Pro" w:eastAsia="Times New Roman" w:hAnsi="Meta Pro"/>
                <w:szCs w:val="18"/>
                <w:lang w:eastAsia="en-AU"/>
              </w:rPr>
              <w:br/>
              <w:t>(Exited 17.09.2021)</w:t>
            </w:r>
          </w:p>
        </w:tc>
        <w:tc>
          <w:tcPr>
            <w:tcW w:w="1191" w:type="dxa"/>
            <w:tcBorders>
              <w:top w:val="nil"/>
              <w:left w:val="nil"/>
              <w:bottom w:val="single" w:sz="4" w:space="0" w:color="auto"/>
              <w:right w:val="single" w:sz="4" w:space="0" w:color="auto"/>
            </w:tcBorders>
            <w:shd w:val="clear" w:color="000000" w:fill="C9E3B4"/>
            <w:vAlign w:val="center"/>
            <w:hideMark/>
          </w:tcPr>
          <w:p w14:paraId="48BC06F3" w14:textId="77777777" w:rsidR="00B46307" w:rsidRPr="00092B22" w:rsidRDefault="00B4630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59 </w:t>
            </w:r>
          </w:p>
        </w:tc>
        <w:tc>
          <w:tcPr>
            <w:tcW w:w="1191" w:type="dxa"/>
            <w:tcBorders>
              <w:top w:val="nil"/>
              <w:left w:val="nil"/>
              <w:bottom w:val="single" w:sz="4" w:space="0" w:color="auto"/>
              <w:right w:val="single" w:sz="4" w:space="0" w:color="auto"/>
            </w:tcBorders>
            <w:shd w:val="clear" w:color="000000" w:fill="C9E3B4"/>
            <w:vAlign w:val="center"/>
            <w:hideMark/>
          </w:tcPr>
          <w:p w14:paraId="70638512" w14:textId="77777777" w:rsidR="00B46307" w:rsidRPr="00092B22" w:rsidRDefault="00B4630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8 </w:t>
            </w:r>
          </w:p>
        </w:tc>
        <w:tc>
          <w:tcPr>
            <w:tcW w:w="1191" w:type="dxa"/>
            <w:tcBorders>
              <w:top w:val="nil"/>
              <w:left w:val="nil"/>
              <w:bottom w:val="single" w:sz="4" w:space="0" w:color="auto"/>
              <w:right w:val="single" w:sz="4" w:space="0" w:color="auto"/>
            </w:tcBorders>
            <w:shd w:val="clear" w:color="000000" w:fill="C9E3B4"/>
            <w:vAlign w:val="center"/>
            <w:hideMark/>
          </w:tcPr>
          <w:p w14:paraId="34F4F9DA" w14:textId="77777777" w:rsidR="00B46307" w:rsidRPr="00092B22" w:rsidRDefault="00B4630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000000" w:fill="C9E3B4"/>
            <w:noWrap/>
            <w:vAlign w:val="center"/>
            <w:hideMark/>
          </w:tcPr>
          <w:p w14:paraId="3521F2D8" w14:textId="77777777" w:rsidR="00B46307" w:rsidRPr="00092B22" w:rsidRDefault="00B46307"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67 </w:t>
            </w:r>
          </w:p>
        </w:tc>
      </w:tr>
      <w:tr w:rsidR="00B46307" w:rsidRPr="00092B22" w14:paraId="46937254" w14:textId="77777777" w:rsidTr="00E607DA">
        <w:trPr>
          <w:trHeight w:val="23"/>
        </w:trPr>
        <w:tc>
          <w:tcPr>
            <w:tcW w:w="4871" w:type="dxa"/>
            <w:tcBorders>
              <w:top w:val="nil"/>
              <w:left w:val="single" w:sz="4" w:space="0" w:color="auto"/>
              <w:bottom w:val="single" w:sz="4" w:space="0" w:color="auto"/>
              <w:right w:val="single" w:sz="4" w:space="0" w:color="auto"/>
            </w:tcBorders>
            <w:shd w:val="clear" w:color="000000" w:fill="C9E3B4"/>
            <w:hideMark/>
          </w:tcPr>
          <w:p w14:paraId="0269CD71" w14:textId="77777777" w:rsidR="00B46307" w:rsidRPr="00092B22" w:rsidRDefault="00B46307" w:rsidP="00E607DA">
            <w:pPr>
              <w:rPr>
                <w:rFonts w:ascii="Meta Pro" w:eastAsia="Times New Roman" w:hAnsi="Meta Pro"/>
                <w:szCs w:val="18"/>
                <w:lang w:eastAsia="en-AU"/>
              </w:rPr>
            </w:pPr>
            <w:r w:rsidRPr="00092B22">
              <w:rPr>
                <w:rFonts w:ascii="Meta Pro" w:eastAsia="Times New Roman" w:hAnsi="Meta Pro"/>
                <w:szCs w:val="18"/>
                <w:lang w:eastAsia="en-AU"/>
              </w:rPr>
              <w:t xml:space="preserve">Acting Deputy Director-General </w:t>
            </w:r>
            <w:r w:rsidRPr="00092B22">
              <w:rPr>
                <w:rFonts w:ascii="Meta Pro" w:eastAsia="Times New Roman" w:hAnsi="Meta Pro"/>
                <w:szCs w:val="18"/>
                <w:lang w:eastAsia="en-AU"/>
              </w:rPr>
              <w:br/>
              <w:t>(Customer Services, Safety and Regulation)</w:t>
            </w:r>
            <w:r w:rsidRPr="00092B22">
              <w:rPr>
                <w:rFonts w:ascii="Meta Pro" w:eastAsia="Times New Roman" w:hAnsi="Meta Pro"/>
                <w:szCs w:val="18"/>
                <w:lang w:eastAsia="en-AU"/>
              </w:rPr>
              <w:br/>
              <w:t>(20.09.2021–30.06.2022)</w:t>
            </w:r>
          </w:p>
        </w:tc>
        <w:tc>
          <w:tcPr>
            <w:tcW w:w="1191" w:type="dxa"/>
            <w:tcBorders>
              <w:top w:val="nil"/>
              <w:left w:val="nil"/>
              <w:bottom w:val="single" w:sz="4" w:space="0" w:color="auto"/>
              <w:right w:val="single" w:sz="4" w:space="0" w:color="auto"/>
            </w:tcBorders>
            <w:shd w:val="clear" w:color="000000" w:fill="C9E3B4"/>
            <w:vAlign w:val="center"/>
            <w:hideMark/>
          </w:tcPr>
          <w:p w14:paraId="2FFB1263" w14:textId="77777777" w:rsidR="00B46307" w:rsidRPr="00092B22" w:rsidRDefault="00B4630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212 </w:t>
            </w:r>
          </w:p>
        </w:tc>
        <w:tc>
          <w:tcPr>
            <w:tcW w:w="1191" w:type="dxa"/>
            <w:tcBorders>
              <w:top w:val="nil"/>
              <w:left w:val="nil"/>
              <w:bottom w:val="single" w:sz="4" w:space="0" w:color="auto"/>
              <w:right w:val="single" w:sz="4" w:space="0" w:color="auto"/>
            </w:tcBorders>
            <w:shd w:val="clear" w:color="000000" w:fill="C9E3B4"/>
            <w:vAlign w:val="center"/>
            <w:hideMark/>
          </w:tcPr>
          <w:p w14:paraId="4DFD2B7F" w14:textId="77777777" w:rsidR="00B46307" w:rsidRPr="00092B22" w:rsidRDefault="00B4630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31 </w:t>
            </w:r>
          </w:p>
        </w:tc>
        <w:tc>
          <w:tcPr>
            <w:tcW w:w="1191" w:type="dxa"/>
            <w:tcBorders>
              <w:top w:val="nil"/>
              <w:left w:val="nil"/>
              <w:bottom w:val="single" w:sz="4" w:space="0" w:color="auto"/>
              <w:right w:val="single" w:sz="4" w:space="0" w:color="auto"/>
            </w:tcBorders>
            <w:shd w:val="clear" w:color="000000" w:fill="C9E3B4"/>
            <w:vAlign w:val="center"/>
            <w:hideMark/>
          </w:tcPr>
          <w:p w14:paraId="047A7537" w14:textId="77777777" w:rsidR="00B46307" w:rsidRPr="00092B22" w:rsidRDefault="00B4630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000000" w:fill="C9E3B4"/>
            <w:noWrap/>
            <w:vAlign w:val="center"/>
            <w:hideMark/>
          </w:tcPr>
          <w:p w14:paraId="68EF7CCB" w14:textId="77777777" w:rsidR="00B46307" w:rsidRPr="00092B22" w:rsidRDefault="00B46307"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243 </w:t>
            </w:r>
          </w:p>
        </w:tc>
      </w:tr>
      <w:tr w:rsidR="00B46307" w:rsidRPr="00092B22" w14:paraId="47D9E364" w14:textId="77777777" w:rsidTr="00E607DA">
        <w:trPr>
          <w:trHeight w:val="23"/>
        </w:trPr>
        <w:tc>
          <w:tcPr>
            <w:tcW w:w="4871" w:type="dxa"/>
            <w:tcBorders>
              <w:top w:val="nil"/>
              <w:left w:val="single" w:sz="4" w:space="0" w:color="auto"/>
              <w:bottom w:val="single" w:sz="4" w:space="0" w:color="auto"/>
              <w:right w:val="single" w:sz="4" w:space="0" w:color="auto"/>
            </w:tcBorders>
            <w:shd w:val="clear" w:color="000000" w:fill="C9E3B4"/>
            <w:hideMark/>
          </w:tcPr>
          <w:p w14:paraId="2195E0A7" w14:textId="77777777" w:rsidR="00B46307" w:rsidRPr="00092B22" w:rsidRDefault="00B46307" w:rsidP="00E607DA">
            <w:pPr>
              <w:rPr>
                <w:rFonts w:ascii="Meta Pro" w:eastAsia="Times New Roman" w:hAnsi="Meta Pro"/>
                <w:szCs w:val="18"/>
                <w:lang w:eastAsia="en-AU"/>
              </w:rPr>
            </w:pPr>
            <w:r w:rsidRPr="00092B22">
              <w:rPr>
                <w:rFonts w:ascii="Meta Pro" w:eastAsia="Times New Roman" w:hAnsi="Meta Pro"/>
                <w:szCs w:val="18"/>
                <w:lang w:eastAsia="en-AU"/>
              </w:rPr>
              <w:t xml:space="preserve">Deputy Director-General </w:t>
            </w:r>
            <w:r w:rsidRPr="00092B22">
              <w:rPr>
                <w:rFonts w:ascii="Meta Pro" w:eastAsia="Times New Roman" w:hAnsi="Meta Pro"/>
                <w:szCs w:val="18"/>
                <w:lang w:eastAsia="en-AU"/>
              </w:rPr>
              <w:br/>
              <w:t>(Infrastructure Management and Delivery)</w:t>
            </w:r>
          </w:p>
        </w:tc>
        <w:tc>
          <w:tcPr>
            <w:tcW w:w="1191" w:type="dxa"/>
            <w:tcBorders>
              <w:top w:val="nil"/>
              <w:left w:val="nil"/>
              <w:bottom w:val="single" w:sz="4" w:space="0" w:color="auto"/>
              <w:right w:val="single" w:sz="4" w:space="0" w:color="auto"/>
            </w:tcBorders>
            <w:shd w:val="clear" w:color="000000" w:fill="C9E3B4"/>
            <w:vAlign w:val="center"/>
            <w:hideMark/>
          </w:tcPr>
          <w:p w14:paraId="0DD81BDF" w14:textId="77777777" w:rsidR="00B46307" w:rsidRPr="00092B22" w:rsidRDefault="00B4630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299 </w:t>
            </w:r>
          </w:p>
        </w:tc>
        <w:tc>
          <w:tcPr>
            <w:tcW w:w="1191" w:type="dxa"/>
            <w:tcBorders>
              <w:top w:val="nil"/>
              <w:left w:val="nil"/>
              <w:bottom w:val="single" w:sz="4" w:space="0" w:color="auto"/>
              <w:right w:val="single" w:sz="4" w:space="0" w:color="auto"/>
            </w:tcBorders>
            <w:shd w:val="clear" w:color="000000" w:fill="C9E3B4"/>
            <w:vAlign w:val="center"/>
            <w:hideMark/>
          </w:tcPr>
          <w:p w14:paraId="36B1EC24" w14:textId="77777777" w:rsidR="00B46307" w:rsidRPr="00092B22" w:rsidRDefault="00B4630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38 </w:t>
            </w:r>
          </w:p>
        </w:tc>
        <w:tc>
          <w:tcPr>
            <w:tcW w:w="1191" w:type="dxa"/>
            <w:tcBorders>
              <w:top w:val="nil"/>
              <w:left w:val="nil"/>
              <w:bottom w:val="single" w:sz="4" w:space="0" w:color="auto"/>
              <w:right w:val="single" w:sz="4" w:space="0" w:color="auto"/>
            </w:tcBorders>
            <w:shd w:val="clear" w:color="000000" w:fill="C9E3B4"/>
            <w:vAlign w:val="center"/>
            <w:hideMark/>
          </w:tcPr>
          <w:p w14:paraId="62BCE868" w14:textId="77777777" w:rsidR="00B46307" w:rsidRPr="00092B22" w:rsidRDefault="00B4630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000000" w:fill="C9E3B4"/>
            <w:noWrap/>
            <w:vAlign w:val="center"/>
            <w:hideMark/>
          </w:tcPr>
          <w:p w14:paraId="042CDAFE" w14:textId="77777777" w:rsidR="00B46307" w:rsidRPr="00092B22" w:rsidRDefault="00B46307"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337 </w:t>
            </w:r>
          </w:p>
        </w:tc>
      </w:tr>
      <w:tr w:rsidR="00B46307" w:rsidRPr="00092B22" w14:paraId="29AC2228" w14:textId="77777777" w:rsidTr="00E607DA">
        <w:trPr>
          <w:trHeight w:val="23"/>
        </w:trPr>
        <w:tc>
          <w:tcPr>
            <w:tcW w:w="4871" w:type="dxa"/>
            <w:tcBorders>
              <w:top w:val="nil"/>
              <w:left w:val="single" w:sz="4" w:space="0" w:color="auto"/>
              <w:bottom w:val="single" w:sz="4" w:space="0" w:color="auto"/>
              <w:right w:val="single" w:sz="4" w:space="0" w:color="auto"/>
            </w:tcBorders>
            <w:shd w:val="clear" w:color="000000" w:fill="C9E3B4"/>
            <w:hideMark/>
          </w:tcPr>
          <w:p w14:paraId="0CF5581C" w14:textId="77777777" w:rsidR="00B46307" w:rsidRPr="00092B22" w:rsidRDefault="00B46307" w:rsidP="00E607DA">
            <w:pPr>
              <w:rPr>
                <w:rFonts w:ascii="Meta Pro" w:eastAsia="Times New Roman" w:hAnsi="Meta Pro"/>
                <w:szCs w:val="18"/>
                <w:lang w:eastAsia="en-AU"/>
              </w:rPr>
            </w:pPr>
            <w:r w:rsidRPr="00092B22">
              <w:rPr>
                <w:rFonts w:ascii="Meta Pro" w:eastAsia="Times New Roman" w:hAnsi="Meta Pro"/>
                <w:szCs w:val="18"/>
                <w:lang w:eastAsia="en-AU"/>
              </w:rPr>
              <w:t xml:space="preserve">Deputy Director-General </w:t>
            </w:r>
            <w:r w:rsidRPr="00092B22">
              <w:rPr>
                <w:rFonts w:ascii="Meta Pro" w:eastAsia="Times New Roman" w:hAnsi="Meta Pro"/>
                <w:szCs w:val="18"/>
                <w:lang w:eastAsia="en-AU"/>
              </w:rPr>
              <w:br/>
              <w:t>(Policy, Planning and Investment)</w:t>
            </w:r>
          </w:p>
        </w:tc>
        <w:tc>
          <w:tcPr>
            <w:tcW w:w="1191" w:type="dxa"/>
            <w:tcBorders>
              <w:top w:val="nil"/>
              <w:left w:val="nil"/>
              <w:bottom w:val="single" w:sz="4" w:space="0" w:color="auto"/>
              <w:right w:val="single" w:sz="4" w:space="0" w:color="auto"/>
            </w:tcBorders>
            <w:shd w:val="clear" w:color="000000" w:fill="C9E3B4"/>
            <w:vAlign w:val="center"/>
            <w:hideMark/>
          </w:tcPr>
          <w:p w14:paraId="3B41E969" w14:textId="77777777" w:rsidR="00B46307" w:rsidRPr="00092B22" w:rsidRDefault="00B4630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295 </w:t>
            </w:r>
          </w:p>
        </w:tc>
        <w:tc>
          <w:tcPr>
            <w:tcW w:w="1191" w:type="dxa"/>
            <w:tcBorders>
              <w:top w:val="nil"/>
              <w:left w:val="nil"/>
              <w:bottom w:val="single" w:sz="4" w:space="0" w:color="auto"/>
              <w:right w:val="single" w:sz="4" w:space="0" w:color="auto"/>
            </w:tcBorders>
            <w:shd w:val="clear" w:color="000000" w:fill="C9E3B4"/>
            <w:vAlign w:val="center"/>
            <w:hideMark/>
          </w:tcPr>
          <w:p w14:paraId="6AA446AC" w14:textId="77777777" w:rsidR="00B46307" w:rsidRPr="00092B22" w:rsidRDefault="00B4630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38 </w:t>
            </w:r>
          </w:p>
        </w:tc>
        <w:tc>
          <w:tcPr>
            <w:tcW w:w="1191" w:type="dxa"/>
            <w:tcBorders>
              <w:top w:val="nil"/>
              <w:left w:val="nil"/>
              <w:bottom w:val="single" w:sz="4" w:space="0" w:color="auto"/>
              <w:right w:val="single" w:sz="4" w:space="0" w:color="auto"/>
            </w:tcBorders>
            <w:shd w:val="clear" w:color="000000" w:fill="C9E3B4"/>
            <w:vAlign w:val="center"/>
            <w:hideMark/>
          </w:tcPr>
          <w:p w14:paraId="3B38130B" w14:textId="77777777" w:rsidR="00B46307" w:rsidRPr="00092B22" w:rsidRDefault="00B4630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000000" w:fill="C9E3B4"/>
            <w:noWrap/>
            <w:vAlign w:val="center"/>
            <w:hideMark/>
          </w:tcPr>
          <w:p w14:paraId="713F6FAD" w14:textId="77777777" w:rsidR="00B46307" w:rsidRPr="00092B22" w:rsidRDefault="00B46307"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333 </w:t>
            </w:r>
          </w:p>
        </w:tc>
      </w:tr>
      <w:tr w:rsidR="00B46307" w:rsidRPr="00092B22" w14:paraId="7F195BE2" w14:textId="77777777" w:rsidTr="00E607DA">
        <w:trPr>
          <w:trHeight w:val="23"/>
        </w:trPr>
        <w:tc>
          <w:tcPr>
            <w:tcW w:w="4871" w:type="dxa"/>
            <w:tcBorders>
              <w:top w:val="nil"/>
              <w:left w:val="single" w:sz="4" w:space="0" w:color="auto"/>
              <w:bottom w:val="single" w:sz="4" w:space="0" w:color="auto"/>
              <w:right w:val="single" w:sz="4" w:space="0" w:color="auto"/>
            </w:tcBorders>
            <w:shd w:val="clear" w:color="000000" w:fill="C9E3B4"/>
            <w:hideMark/>
          </w:tcPr>
          <w:p w14:paraId="4BA717FF" w14:textId="77777777" w:rsidR="00B46307" w:rsidRPr="00092B22" w:rsidRDefault="00B46307" w:rsidP="00E607DA">
            <w:pPr>
              <w:rPr>
                <w:rFonts w:ascii="Meta Pro" w:eastAsia="Times New Roman" w:hAnsi="Meta Pro"/>
                <w:szCs w:val="18"/>
                <w:lang w:eastAsia="en-AU"/>
              </w:rPr>
            </w:pPr>
            <w:r w:rsidRPr="00092B22">
              <w:rPr>
                <w:rFonts w:ascii="Meta Pro" w:eastAsia="Times New Roman" w:hAnsi="Meta Pro"/>
                <w:szCs w:val="18"/>
                <w:lang w:eastAsia="en-AU"/>
              </w:rPr>
              <w:t>Deputy Director-General *</w:t>
            </w:r>
            <w:r w:rsidRPr="00092B22">
              <w:rPr>
                <w:rFonts w:ascii="Meta Pro" w:eastAsia="Times New Roman" w:hAnsi="Meta Pro"/>
                <w:szCs w:val="18"/>
                <w:lang w:eastAsia="en-AU"/>
              </w:rPr>
              <w:br/>
              <w:t>(Translink)</w:t>
            </w:r>
            <w:r w:rsidRPr="00092B22">
              <w:rPr>
                <w:rFonts w:ascii="Meta Pro" w:eastAsia="Times New Roman" w:hAnsi="Meta Pro"/>
                <w:szCs w:val="18"/>
                <w:lang w:eastAsia="en-AU"/>
              </w:rPr>
              <w:br/>
              <w:t>(Appointed December 2021)</w:t>
            </w:r>
          </w:p>
        </w:tc>
        <w:tc>
          <w:tcPr>
            <w:tcW w:w="1191" w:type="dxa"/>
            <w:tcBorders>
              <w:top w:val="nil"/>
              <w:left w:val="nil"/>
              <w:bottom w:val="single" w:sz="4" w:space="0" w:color="auto"/>
              <w:right w:val="single" w:sz="4" w:space="0" w:color="auto"/>
            </w:tcBorders>
            <w:shd w:val="clear" w:color="000000" w:fill="C9E3B4"/>
            <w:vAlign w:val="center"/>
            <w:hideMark/>
          </w:tcPr>
          <w:p w14:paraId="645065B4" w14:textId="77777777" w:rsidR="00B46307" w:rsidRPr="00092B22" w:rsidRDefault="00B4630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305 </w:t>
            </w:r>
          </w:p>
        </w:tc>
        <w:tc>
          <w:tcPr>
            <w:tcW w:w="1191" w:type="dxa"/>
            <w:tcBorders>
              <w:top w:val="nil"/>
              <w:left w:val="nil"/>
              <w:bottom w:val="single" w:sz="4" w:space="0" w:color="auto"/>
              <w:right w:val="single" w:sz="4" w:space="0" w:color="auto"/>
            </w:tcBorders>
            <w:shd w:val="clear" w:color="000000" w:fill="C9E3B4"/>
            <w:vAlign w:val="center"/>
            <w:hideMark/>
          </w:tcPr>
          <w:p w14:paraId="7B5AA2F2" w14:textId="77777777" w:rsidR="00B46307" w:rsidRPr="00092B22" w:rsidRDefault="00B4630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20 </w:t>
            </w:r>
          </w:p>
        </w:tc>
        <w:tc>
          <w:tcPr>
            <w:tcW w:w="1191" w:type="dxa"/>
            <w:tcBorders>
              <w:top w:val="nil"/>
              <w:left w:val="nil"/>
              <w:bottom w:val="single" w:sz="4" w:space="0" w:color="auto"/>
              <w:right w:val="single" w:sz="4" w:space="0" w:color="auto"/>
            </w:tcBorders>
            <w:shd w:val="clear" w:color="000000" w:fill="C9E3B4"/>
            <w:vAlign w:val="center"/>
            <w:hideMark/>
          </w:tcPr>
          <w:p w14:paraId="5F2A2815" w14:textId="77777777" w:rsidR="00B46307" w:rsidRPr="00092B22" w:rsidRDefault="00B4630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000000" w:fill="C9E3B4"/>
            <w:noWrap/>
            <w:vAlign w:val="center"/>
            <w:hideMark/>
          </w:tcPr>
          <w:p w14:paraId="6F50855E" w14:textId="77777777" w:rsidR="00B46307" w:rsidRPr="00092B22" w:rsidRDefault="00B46307"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325 </w:t>
            </w:r>
          </w:p>
        </w:tc>
      </w:tr>
      <w:tr w:rsidR="00B46307" w:rsidRPr="00092B22" w14:paraId="2B12A575" w14:textId="77777777" w:rsidTr="00E607DA">
        <w:trPr>
          <w:trHeight w:val="23"/>
        </w:trPr>
        <w:tc>
          <w:tcPr>
            <w:tcW w:w="4871" w:type="dxa"/>
            <w:tcBorders>
              <w:top w:val="nil"/>
              <w:left w:val="single" w:sz="4" w:space="0" w:color="auto"/>
              <w:bottom w:val="single" w:sz="4" w:space="0" w:color="auto"/>
              <w:right w:val="single" w:sz="4" w:space="0" w:color="auto"/>
            </w:tcBorders>
            <w:shd w:val="clear" w:color="000000" w:fill="C9E3B4"/>
            <w:hideMark/>
          </w:tcPr>
          <w:p w14:paraId="0AE6ED4F" w14:textId="77777777" w:rsidR="00B46307" w:rsidRPr="00092B22" w:rsidRDefault="00B46307" w:rsidP="00E607DA">
            <w:pPr>
              <w:rPr>
                <w:rFonts w:ascii="Meta Pro" w:eastAsia="Times New Roman" w:hAnsi="Meta Pro"/>
                <w:szCs w:val="18"/>
                <w:lang w:eastAsia="en-AU"/>
              </w:rPr>
            </w:pPr>
            <w:r w:rsidRPr="00092B22">
              <w:rPr>
                <w:rFonts w:ascii="Meta Pro" w:eastAsia="Times New Roman" w:hAnsi="Meta Pro"/>
                <w:szCs w:val="18"/>
                <w:lang w:eastAsia="en-AU"/>
              </w:rPr>
              <w:t xml:space="preserve">Deputy Director-General </w:t>
            </w:r>
            <w:r w:rsidRPr="00092B22">
              <w:rPr>
                <w:rFonts w:ascii="Meta Pro" w:eastAsia="Times New Roman" w:hAnsi="Meta Pro"/>
                <w:szCs w:val="18"/>
                <w:lang w:eastAsia="en-AU"/>
              </w:rPr>
              <w:br/>
              <w:t>(Corporate)</w:t>
            </w:r>
          </w:p>
        </w:tc>
        <w:tc>
          <w:tcPr>
            <w:tcW w:w="1191" w:type="dxa"/>
            <w:tcBorders>
              <w:top w:val="nil"/>
              <w:left w:val="nil"/>
              <w:bottom w:val="single" w:sz="4" w:space="0" w:color="auto"/>
              <w:right w:val="single" w:sz="4" w:space="0" w:color="auto"/>
            </w:tcBorders>
            <w:shd w:val="clear" w:color="000000" w:fill="C9E3B4"/>
            <w:vAlign w:val="center"/>
            <w:hideMark/>
          </w:tcPr>
          <w:p w14:paraId="582A9B15" w14:textId="77777777" w:rsidR="00B46307" w:rsidRPr="00092B22" w:rsidRDefault="00B4630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259 </w:t>
            </w:r>
          </w:p>
        </w:tc>
        <w:tc>
          <w:tcPr>
            <w:tcW w:w="1191" w:type="dxa"/>
            <w:tcBorders>
              <w:top w:val="nil"/>
              <w:left w:val="nil"/>
              <w:bottom w:val="single" w:sz="4" w:space="0" w:color="auto"/>
              <w:right w:val="single" w:sz="4" w:space="0" w:color="auto"/>
            </w:tcBorders>
            <w:shd w:val="clear" w:color="000000" w:fill="C9E3B4"/>
            <w:vAlign w:val="center"/>
            <w:hideMark/>
          </w:tcPr>
          <w:p w14:paraId="758C54FC" w14:textId="77777777" w:rsidR="00B46307" w:rsidRPr="00092B22" w:rsidRDefault="00B4630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34 </w:t>
            </w:r>
          </w:p>
        </w:tc>
        <w:tc>
          <w:tcPr>
            <w:tcW w:w="1191" w:type="dxa"/>
            <w:tcBorders>
              <w:top w:val="nil"/>
              <w:left w:val="nil"/>
              <w:bottom w:val="single" w:sz="4" w:space="0" w:color="auto"/>
              <w:right w:val="single" w:sz="4" w:space="0" w:color="auto"/>
            </w:tcBorders>
            <w:shd w:val="clear" w:color="000000" w:fill="C9E3B4"/>
            <w:vAlign w:val="center"/>
            <w:hideMark/>
          </w:tcPr>
          <w:p w14:paraId="23A53804" w14:textId="77777777" w:rsidR="00B46307" w:rsidRPr="00092B22" w:rsidRDefault="00B4630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000000" w:fill="C9E3B4"/>
            <w:noWrap/>
            <w:vAlign w:val="center"/>
            <w:hideMark/>
          </w:tcPr>
          <w:p w14:paraId="1462BDA8" w14:textId="77777777" w:rsidR="00B46307" w:rsidRPr="00092B22" w:rsidRDefault="00B46307"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293 </w:t>
            </w:r>
          </w:p>
        </w:tc>
      </w:tr>
      <w:tr w:rsidR="00B46307" w:rsidRPr="00092B22" w14:paraId="4E220F8E" w14:textId="77777777" w:rsidTr="00E607DA">
        <w:trPr>
          <w:trHeight w:val="23"/>
        </w:trPr>
        <w:tc>
          <w:tcPr>
            <w:tcW w:w="4871" w:type="dxa"/>
            <w:tcBorders>
              <w:top w:val="nil"/>
              <w:left w:val="single" w:sz="4" w:space="0" w:color="auto"/>
              <w:bottom w:val="single" w:sz="4" w:space="0" w:color="auto"/>
              <w:right w:val="single" w:sz="4" w:space="0" w:color="auto"/>
            </w:tcBorders>
            <w:shd w:val="clear" w:color="000000" w:fill="C9E3B4"/>
            <w:hideMark/>
          </w:tcPr>
          <w:p w14:paraId="056241AA" w14:textId="77777777" w:rsidR="00B46307" w:rsidRPr="00092B22" w:rsidRDefault="00B46307" w:rsidP="00E607DA">
            <w:pPr>
              <w:rPr>
                <w:rFonts w:ascii="Meta Pro" w:eastAsia="Times New Roman" w:hAnsi="Meta Pro"/>
                <w:szCs w:val="18"/>
                <w:lang w:eastAsia="en-AU"/>
              </w:rPr>
            </w:pPr>
            <w:r w:rsidRPr="00092B22">
              <w:rPr>
                <w:rFonts w:ascii="Meta Pro" w:eastAsia="Times New Roman" w:hAnsi="Meta Pro"/>
                <w:szCs w:val="18"/>
                <w:lang w:eastAsia="en-AU"/>
              </w:rPr>
              <w:t>Chief Operations Officer</w:t>
            </w:r>
          </w:p>
        </w:tc>
        <w:tc>
          <w:tcPr>
            <w:tcW w:w="1191" w:type="dxa"/>
            <w:tcBorders>
              <w:top w:val="nil"/>
              <w:left w:val="nil"/>
              <w:bottom w:val="single" w:sz="4" w:space="0" w:color="auto"/>
              <w:right w:val="single" w:sz="4" w:space="0" w:color="auto"/>
            </w:tcBorders>
            <w:shd w:val="clear" w:color="000000" w:fill="C9E3B4"/>
            <w:vAlign w:val="center"/>
            <w:hideMark/>
          </w:tcPr>
          <w:p w14:paraId="257DC72A" w14:textId="77777777" w:rsidR="00B46307" w:rsidRPr="00092B22" w:rsidRDefault="00B4630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242 </w:t>
            </w:r>
          </w:p>
        </w:tc>
        <w:tc>
          <w:tcPr>
            <w:tcW w:w="1191" w:type="dxa"/>
            <w:tcBorders>
              <w:top w:val="nil"/>
              <w:left w:val="nil"/>
              <w:bottom w:val="single" w:sz="4" w:space="0" w:color="auto"/>
              <w:right w:val="single" w:sz="4" w:space="0" w:color="auto"/>
            </w:tcBorders>
            <w:shd w:val="clear" w:color="000000" w:fill="C9E3B4"/>
            <w:vAlign w:val="center"/>
            <w:hideMark/>
          </w:tcPr>
          <w:p w14:paraId="654E56C5" w14:textId="77777777" w:rsidR="00B46307" w:rsidRPr="00092B22" w:rsidRDefault="00B4630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31 </w:t>
            </w:r>
          </w:p>
        </w:tc>
        <w:tc>
          <w:tcPr>
            <w:tcW w:w="1191" w:type="dxa"/>
            <w:tcBorders>
              <w:top w:val="nil"/>
              <w:left w:val="nil"/>
              <w:bottom w:val="single" w:sz="4" w:space="0" w:color="auto"/>
              <w:right w:val="single" w:sz="4" w:space="0" w:color="auto"/>
            </w:tcBorders>
            <w:shd w:val="clear" w:color="000000" w:fill="C9E3B4"/>
            <w:vAlign w:val="center"/>
            <w:hideMark/>
          </w:tcPr>
          <w:p w14:paraId="0963AC78" w14:textId="77777777" w:rsidR="00B46307" w:rsidRPr="00092B22" w:rsidRDefault="00B4630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000000" w:fill="C9E3B4"/>
            <w:noWrap/>
            <w:vAlign w:val="center"/>
            <w:hideMark/>
          </w:tcPr>
          <w:p w14:paraId="4FDC3675" w14:textId="77777777" w:rsidR="00B46307" w:rsidRPr="00092B22" w:rsidRDefault="00B46307"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273 </w:t>
            </w:r>
          </w:p>
        </w:tc>
      </w:tr>
    </w:tbl>
    <w:p w14:paraId="0BBB8764" w14:textId="77777777" w:rsidR="00B46307" w:rsidRPr="00092B22" w:rsidRDefault="00B46307" w:rsidP="00B46307">
      <w:pPr>
        <w:tabs>
          <w:tab w:val="left" w:pos="2524"/>
        </w:tabs>
        <w:spacing w:line="14" w:lineRule="exact"/>
        <w:ind w:left="227" w:hanging="227"/>
        <w:rPr>
          <w:rFonts w:ascii="Meta Pro" w:eastAsia="Times New Roman" w:hAnsi="Meta Pro"/>
          <w:szCs w:val="18"/>
          <w:lang w:eastAsia="en-AU"/>
        </w:rPr>
      </w:pPr>
    </w:p>
    <w:p w14:paraId="3445C1C6" w14:textId="77777777" w:rsidR="00B46307" w:rsidRDefault="00B46307" w:rsidP="00B46307">
      <w:pPr>
        <w:spacing w:before="60"/>
        <w:rPr>
          <w:rFonts w:ascii="Meta Pro" w:hAnsi="Meta Pro"/>
          <w:sz w:val="16"/>
          <w:szCs w:val="16"/>
        </w:rPr>
      </w:pPr>
      <w:r w:rsidRPr="00092B22">
        <w:rPr>
          <w:rFonts w:ascii="Meta Pro" w:hAnsi="Meta Pro"/>
          <w:sz w:val="16"/>
          <w:szCs w:val="16"/>
        </w:rPr>
        <w:t>* Includes $</w:t>
      </w:r>
      <w:r>
        <w:rPr>
          <w:rFonts w:ascii="Meta Pro" w:hAnsi="Meta Pro"/>
          <w:sz w:val="16"/>
          <w:szCs w:val="16"/>
        </w:rPr>
        <w:t>151,071 as the key management personnel officer was</w:t>
      </w:r>
      <w:r w:rsidRPr="00092B22">
        <w:rPr>
          <w:rFonts w:ascii="Meta Pro" w:hAnsi="Meta Pro"/>
          <w:sz w:val="16"/>
          <w:szCs w:val="16"/>
        </w:rPr>
        <w:t xml:space="preserve"> employed as a contractor</w:t>
      </w:r>
      <w:r>
        <w:rPr>
          <w:rFonts w:ascii="Meta Pro" w:hAnsi="Meta Pro"/>
          <w:sz w:val="16"/>
          <w:szCs w:val="16"/>
        </w:rPr>
        <w:t xml:space="preserve"> for the period 1 July 2021 to 10 December</w:t>
      </w:r>
    </w:p>
    <w:p w14:paraId="751F1197" w14:textId="7327967A" w:rsidR="008B1750" w:rsidRDefault="00B46307" w:rsidP="00B46307">
      <w:r>
        <w:rPr>
          <w:rFonts w:ascii="Meta Pro" w:hAnsi="Meta Pro"/>
          <w:sz w:val="16"/>
          <w:szCs w:val="16"/>
        </w:rPr>
        <w:t xml:space="preserve">   2021</w:t>
      </w:r>
      <w:r w:rsidRPr="00092B22">
        <w:rPr>
          <w:rFonts w:ascii="Meta Pro" w:hAnsi="Meta Pro"/>
          <w:sz w:val="16"/>
          <w:szCs w:val="16"/>
        </w:rPr>
        <w:t>. The recruitment followed standard departmental policies and conditions for</w:t>
      </w:r>
      <w:r>
        <w:rPr>
          <w:rFonts w:ascii="Meta Pro" w:hAnsi="Meta Pro"/>
          <w:sz w:val="16"/>
          <w:szCs w:val="16"/>
        </w:rPr>
        <w:t xml:space="preserve"> the</w:t>
      </w:r>
      <w:r w:rsidRPr="00092B22">
        <w:rPr>
          <w:rFonts w:ascii="Meta Pro" w:hAnsi="Meta Pro"/>
          <w:sz w:val="16"/>
          <w:szCs w:val="16"/>
        </w:rPr>
        <w:t xml:space="preserve"> procurement</w:t>
      </w:r>
      <w:r>
        <w:rPr>
          <w:rFonts w:ascii="Meta Pro" w:hAnsi="Meta Pro"/>
          <w:sz w:val="16"/>
          <w:szCs w:val="16"/>
        </w:rPr>
        <w:t xml:space="preserve"> </w:t>
      </w:r>
      <w:r w:rsidRPr="00092B22">
        <w:rPr>
          <w:rFonts w:ascii="Meta Pro" w:hAnsi="Meta Pro"/>
          <w:sz w:val="16"/>
          <w:szCs w:val="16"/>
        </w:rPr>
        <w:t>of such services.</w:t>
      </w:r>
    </w:p>
    <w:p w14:paraId="56C7B353" w14:textId="77777777" w:rsidR="00EE4B95" w:rsidRPr="00092B22" w:rsidRDefault="00EE4B95" w:rsidP="00EE4B95">
      <w:pPr>
        <w:spacing w:after="60" w:line="259" w:lineRule="auto"/>
        <w:rPr>
          <w:rFonts w:ascii="Meta Pro" w:hAnsi="Meta Pro"/>
          <w:b/>
          <w:bCs/>
          <w:lang w:eastAsia="en-AU"/>
        </w:rPr>
      </w:pPr>
      <w:r w:rsidRPr="00092B22">
        <w:rPr>
          <w:rFonts w:ascii="Meta Pro" w:hAnsi="Meta Pro"/>
          <w:b/>
          <w:bCs/>
          <w:lang w:eastAsia="en-AU"/>
        </w:rPr>
        <w:t>6       KEY MANAGEMENT PERSONNEL AND REMUNERATION EXPENSES (continued)</w:t>
      </w:r>
    </w:p>
    <w:p w14:paraId="46376273" w14:textId="77777777" w:rsidR="00EE4B95" w:rsidRPr="00092B22" w:rsidRDefault="00EE4B95" w:rsidP="00EE4B95">
      <w:pPr>
        <w:spacing w:after="60" w:line="259" w:lineRule="auto"/>
        <w:rPr>
          <w:rFonts w:ascii="Meta Pro" w:eastAsia="Times New Roman" w:hAnsi="Meta Pro"/>
          <w:b/>
          <w:bCs/>
          <w:szCs w:val="18"/>
          <w:lang w:eastAsia="en-AU"/>
        </w:rPr>
      </w:pPr>
      <w:r w:rsidRPr="00092B22">
        <w:rPr>
          <w:rFonts w:ascii="Meta Pro" w:eastAsia="Times New Roman" w:hAnsi="Meta Pro"/>
          <w:b/>
          <w:bCs/>
          <w:szCs w:val="18"/>
          <w:lang w:eastAsia="en-AU"/>
        </w:rPr>
        <w:t>Remuneration expenses (continued)</w:t>
      </w:r>
      <w:bookmarkStart w:id="22" w:name="_Hlk55481906"/>
    </w:p>
    <w:p w14:paraId="55C8B3D0" w14:textId="77777777" w:rsidR="00EE4B95" w:rsidRPr="00092B22" w:rsidRDefault="00EE4B95" w:rsidP="00EE4B95">
      <w:pPr>
        <w:spacing w:after="60" w:line="259" w:lineRule="auto"/>
        <w:rPr>
          <w:rFonts w:ascii="Meta Pro" w:hAnsi="Meta Pro" w:cstheme="minorBidi"/>
        </w:rPr>
      </w:pPr>
      <w:r w:rsidRPr="00092B22">
        <w:rPr>
          <w:rFonts w:ascii="Meta Pro" w:eastAsia="Times New Roman" w:hAnsi="Meta Pro"/>
          <w:b/>
          <w:bCs/>
          <w:szCs w:val="18"/>
          <w:lang w:eastAsia="en-AU"/>
        </w:rPr>
        <w:t>1 July 2020 – 30 June 2021</w:t>
      </w:r>
    </w:p>
    <w:tbl>
      <w:tblPr>
        <w:tblW w:w="0" w:type="auto"/>
        <w:tblCellMar>
          <w:left w:w="0" w:type="dxa"/>
        </w:tblCellMar>
        <w:tblLook w:val="04A0" w:firstRow="1" w:lastRow="0" w:firstColumn="1" w:lastColumn="0" w:noHBand="0" w:noVBand="1"/>
      </w:tblPr>
      <w:tblGrid>
        <w:gridCol w:w="4871"/>
        <w:gridCol w:w="1191"/>
        <w:gridCol w:w="1191"/>
        <w:gridCol w:w="1191"/>
        <w:gridCol w:w="1191"/>
      </w:tblGrid>
      <w:tr w:rsidR="00EE4B95" w:rsidRPr="00092B22" w14:paraId="2CBC977A" w14:textId="77777777" w:rsidTr="00E607DA">
        <w:trPr>
          <w:trHeight w:val="23"/>
        </w:trPr>
        <w:tc>
          <w:tcPr>
            <w:tcW w:w="4871" w:type="dxa"/>
            <w:tcBorders>
              <w:top w:val="nil"/>
              <w:left w:val="nil"/>
              <w:bottom w:val="nil"/>
              <w:right w:val="nil"/>
            </w:tcBorders>
            <w:shd w:val="clear" w:color="auto" w:fill="auto"/>
            <w:noWrap/>
            <w:vAlign w:val="center"/>
            <w:hideMark/>
          </w:tcPr>
          <w:p w14:paraId="0FA70AD5" w14:textId="77777777" w:rsidR="00EE4B95" w:rsidRPr="00092B22" w:rsidRDefault="00EE4B95" w:rsidP="00E607DA">
            <w:pPr>
              <w:rPr>
                <w:rFonts w:ascii="Meta Pro" w:eastAsia="Times New Roman" w:hAnsi="Meta Pro" w:cs="Times New Roman"/>
                <w:sz w:val="24"/>
                <w:szCs w:val="24"/>
                <w:lang w:eastAsia="en-AU"/>
              </w:rPr>
            </w:pPr>
          </w:p>
        </w:tc>
        <w:tc>
          <w:tcPr>
            <w:tcW w:w="1191" w:type="dxa"/>
            <w:tcBorders>
              <w:top w:val="nil"/>
              <w:left w:val="nil"/>
              <w:bottom w:val="nil"/>
              <w:right w:val="nil"/>
            </w:tcBorders>
            <w:shd w:val="clear" w:color="auto" w:fill="auto"/>
            <w:noWrap/>
            <w:vAlign w:val="center"/>
            <w:hideMark/>
          </w:tcPr>
          <w:p w14:paraId="16573FCF" w14:textId="77777777" w:rsidR="00EE4B95" w:rsidRPr="00092B22" w:rsidRDefault="00EE4B95" w:rsidP="00E607DA">
            <w:pP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2C37A50B" w14:textId="77777777" w:rsidR="00EE4B95" w:rsidRPr="00092B22" w:rsidRDefault="00EE4B95" w:rsidP="00E607DA">
            <w:pPr>
              <w:jc w:val="right"/>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6DC35D5A" w14:textId="77777777" w:rsidR="00EE4B95" w:rsidRPr="00092B22" w:rsidRDefault="00EE4B95" w:rsidP="00E607DA">
            <w:pPr>
              <w:jc w:val="right"/>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hideMark/>
          </w:tcPr>
          <w:p w14:paraId="7AE13509" w14:textId="77777777" w:rsidR="00EE4B95" w:rsidRPr="00092B22" w:rsidRDefault="00EE4B95" w:rsidP="00E607DA">
            <w:pPr>
              <w:jc w:val="right"/>
              <w:rPr>
                <w:rFonts w:ascii="Meta Pro" w:eastAsia="Times New Roman" w:hAnsi="Meta Pro" w:cs="Times New Roman"/>
                <w:sz w:val="20"/>
                <w:szCs w:val="20"/>
                <w:lang w:eastAsia="en-AU"/>
              </w:rPr>
            </w:pPr>
          </w:p>
        </w:tc>
      </w:tr>
      <w:tr w:rsidR="00EE4B95" w:rsidRPr="00092B22" w14:paraId="01C5AACB" w14:textId="77777777" w:rsidTr="00E607DA">
        <w:trPr>
          <w:trHeight w:val="23"/>
        </w:trPr>
        <w:tc>
          <w:tcPr>
            <w:tcW w:w="4871" w:type="dxa"/>
            <w:tcBorders>
              <w:top w:val="single" w:sz="4" w:space="0" w:color="auto"/>
              <w:left w:val="single" w:sz="4" w:space="0" w:color="auto"/>
              <w:bottom w:val="nil"/>
              <w:right w:val="single" w:sz="4" w:space="0" w:color="auto"/>
            </w:tcBorders>
            <w:shd w:val="clear" w:color="auto" w:fill="auto"/>
            <w:vAlign w:val="center"/>
            <w:hideMark/>
          </w:tcPr>
          <w:p w14:paraId="5A0BEAE0" w14:textId="77777777" w:rsidR="00EE4B95" w:rsidRPr="00092B22" w:rsidRDefault="00EE4B95"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Position</w:t>
            </w:r>
          </w:p>
        </w:tc>
        <w:tc>
          <w:tcPr>
            <w:tcW w:w="1191" w:type="dxa"/>
            <w:tcBorders>
              <w:top w:val="single" w:sz="4" w:space="0" w:color="auto"/>
              <w:left w:val="nil"/>
              <w:bottom w:val="nil"/>
              <w:right w:val="single" w:sz="4" w:space="0" w:color="auto"/>
            </w:tcBorders>
            <w:shd w:val="clear" w:color="auto" w:fill="auto"/>
            <w:hideMark/>
          </w:tcPr>
          <w:p w14:paraId="163E7F20" w14:textId="77777777" w:rsidR="00EE4B95" w:rsidRPr="00092B22" w:rsidRDefault="00EE4B95"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Short term employee expenses</w:t>
            </w:r>
          </w:p>
        </w:tc>
        <w:tc>
          <w:tcPr>
            <w:tcW w:w="1191" w:type="dxa"/>
            <w:tcBorders>
              <w:top w:val="single" w:sz="4" w:space="0" w:color="auto"/>
              <w:left w:val="nil"/>
              <w:bottom w:val="nil"/>
              <w:right w:val="single" w:sz="4" w:space="0" w:color="auto"/>
            </w:tcBorders>
            <w:shd w:val="clear" w:color="auto" w:fill="auto"/>
            <w:hideMark/>
          </w:tcPr>
          <w:p w14:paraId="769FA9BE" w14:textId="77777777" w:rsidR="00EE4B95" w:rsidRPr="00092B22" w:rsidRDefault="00EE4B95"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Long term and post employment expenses</w:t>
            </w:r>
          </w:p>
        </w:tc>
        <w:tc>
          <w:tcPr>
            <w:tcW w:w="1191" w:type="dxa"/>
            <w:tcBorders>
              <w:top w:val="single" w:sz="4" w:space="0" w:color="auto"/>
              <w:left w:val="nil"/>
              <w:bottom w:val="nil"/>
              <w:right w:val="single" w:sz="4" w:space="0" w:color="auto"/>
            </w:tcBorders>
            <w:shd w:val="clear" w:color="auto" w:fill="auto"/>
            <w:hideMark/>
          </w:tcPr>
          <w:p w14:paraId="663FC3ED" w14:textId="77777777" w:rsidR="00EE4B95" w:rsidRPr="00092B22" w:rsidRDefault="00EE4B95"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Termination benefits</w:t>
            </w:r>
          </w:p>
        </w:tc>
        <w:tc>
          <w:tcPr>
            <w:tcW w:w="1191" w:type="dxa"/>
            <w:tcBorders>
              <w:top w:val="single" w:sz="4" w:space="0" w:color="auto"/>
              <w:left w:val="nil"/>
              <w:bottom w:val="nil"/>
              <w:right w:val="single" w:sz="4" w:space="0" w:color="auto"/>
            </w:tcBorders>
            <w:shd w:val="clear" w:color="auto" w:fill="auto"/>
            <w:hideMark/>
          </w:tcPr>
          <w:p w14:paraId="374C3623" w14:textId="77777777" w:rsidR="00EE4B95" w:rsidRPr="00092B22" w:rsidRDefault="00EE4B95"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Total expenses</w:t>
            </w:r>
          </w:p>
        </w:tc>
      </w:tr>
      <w:tr w:rsidR="00EE4B95" w:rsidRPr="00092B22" w14:paraId="7508720E" w14:textId="77777777" w:rsidTr="00E607DA">
        <w:trPr>
          <w:trHeight w:val="23"/>
        </w:trPr>
        <w:tc>
          <w:tcPr>
            <w:tcW w:w="4871" w:type="dxa"/>
            <w:tcBorders>
              <w:top w:val="nil"/>
              <w:left w:val="single" w:sz="4" w:space="0" w:color="auto"/>
              <w:bottom w:val="single" w:sz="4" w:space="0" w:color="auto"/>
              <w:right w:val="single" w:sz="4" w:space="0" w:color="auto"/>
            </w:tcBorders>
            <w:shd w:val="clear" w:color="auto" w:fill="auto"/>
            <w:vAlign w:val="bottom"/>
            <w:hideMark/>
          </w:tcPr>
          <w:p w14:paraId="1735EB91" w14:textId="77777777" w:rsidR="00EE4B95" w:rsidRPr="00092B22" w:rsidRDefault="00EE4B95"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191" w:type="dxa"/>
            <w:tcBorders>
              <w:top w:val="nil"/>
              <w:left w:val="nil"/>
              <w:bottom w:val="single" w:sz="4" w:space="0" w:color="auto"/>
              <w:right w:val="single" w:sz="4" w:space="0" w:color="auto"/>
            </w:tcBorders>
            <w:shd w:val="clear" w:color="auto" w:fill="auto"/>
            <w:vAlign w:val="bottom"/>
            <w:hideMark/>
          </w:tcPr>
          <w:p w14:paraId="0A9AC78A" w14:textId="77777777" w:rsidR="00EE4B95" w:rsidRPr="00092B22" w:rsidRDefault="00EE4B95"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$'000</w:t>
            </w:r>
          </w:p>
        </w:tc>
        <w:tc>
          <w:tcPr>
            <w:tcW w:w="1191" w:type="dxa"/>
            <w:tcBorders>
              <w:top w:val="nil"/>
              <w:left w:val="nil"/>
              <w:bottom w:val="single" w:sz="4" w:space="0" w:color="auto"/>
              <w:right w:val="single" w:sz="4" w:space="0" w:color="auto"/>
            </w:tcBorders>
            <w:shd w:val="clear" w:color="auto" w:fill="auto"/>
            <w:vAlign w:val="bottom"/>
            <w:hideMark/>
          </w:tcPr>
          <w:p w14:paraId="6EE5A38A" w14:textId="77777777" w:rsidR="00EE4B95" w:rsidRPr="00092B22" w:rsidRDefault="00EE4B95"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$'000</w:t>
            </w:r>
          </w:p>
        </w:tc>
        <w:tc>
          <w:tcPr>
            <w:tcW w:w="1191" w:type="dxa"/>
            <w:tcBorders>
              <w:top w:val="nil"/>
              <w:left w:val="nil"/>
              <w:bottom w:val="single" w:sz="4" w:space="0" w:color="auto"/>
              <w:right w:val="single" w:sz="4" w:space="0" w:color="auto"/>
            </w:tcBorders>
            <w:shd w:val="clear" w:color="auto" w:fill="auto"/>
            <w:vAlign w:val="bottom"/>
            <w:hideMark/>
          </w:tcPr>
          <w:p w14:paraId="7ABFDDFD" w14:textId="77777777" w:rsidR="00EE4B95" w:rsidRPr="00092B22" w:rsidRDefault="00EE4B95"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$'000</w:t>
            </w:r>
          </w:p>
        </w:tc>
        <w:tc>
          <w:tcPr>
            <w:tcW w:w="1191" w:type="dxa"/>
            <w:tcBorders>
              <w:top w:val="nil"/>
              <w:left w:val="nil"/>
              <w:bottom w:val="single" w:sz="4" w:space="0" w:color="auto"/>
              <w:right w:val="single" w:sz="4" w:space="0" w:color="auto"/>
            </w:tcBorders>
            <w:shd w:val="clear" w:color="auto" w:fill="auto"/>
            <w:vAlign w:val="bottom"/>
            <w:hideMark/>
          </w:tcPr>
          <w:p w14:paraId="2DB432AA" w14:textId="77777777" w:rsidR="00EE4B95" w:rsidRPr="00092B22" w:rsidRDefault="00EE4B95"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$'000</w:t>
            </w:r>
          </w:p>
        </w:tc>
      </w:tr>
      <w:tr w:rsidR="00EE4B95" w:rsidRPr="00092B22" w14:paraId="21B7E459" w14:textId="77777777" w:rsidTr="00E607DA">
        <w:trPr>
          <w:trHeight w:val="23"/>
        </w:trPr>
        <w:tc>
          <w:tcPr>
            <w:tcW w:w="4871" w:type="dxa"/>
            <w:tcBorders>
              <w:top w:val="nil"/>
              <w:left w:val="single" w:sz="4" w:space="0" w:color="auto"/>
              <w:bottom w:val="single" w:sz="4" w:space="0" w:color="auto"/>
              <w:right w:val="single" w:sz="4" w:space="0" w:color="auto"/>
            </w:tcBorders>
            <w:shd w:val="clear" w:color="auto" w:fill="auto"/>
            <w:hideMark/>
          </w:tcPr>
          <w:p w14:paraId="600C7C2B" w14:textId="77777777" w:rsidR="00EE4B95" w:rsidRPr="00092B22" w:rsidRDefault="00EE4B95" w:rsidP="00E607DA">
            <w:pPr>
              <w:rPr>
                <w:rFonts w:ascii="Meta Pro" w:eastAsia="Times New Roman" w:hAnsi="Meta Pro"/>
                <w:szCs w:val="18"/>
                <w:lang w:eastAsia="en-AU"/>
              </w:rPr>
            </w:pPr>
            <w:r w:rsidRPr="00092B22">
              <w:rPr>
                <w:rFonts w:ascii="Meta Pro" w:eastAsia="Times New Roman" w:hAnsi="Meta Pro"/>
                <w:szCs w:val="18"/>
                <w:lang w:eastAsia="en-AU"/>
              </w:rPr>
              <w:t>Director-General</w:t>
            </w:r>
          </w:p>
        </w:tc>
        <w:tc>
          <w:tcPr>
            <w:tcW w:w="1191" w:type="dxa"/>
            <w:tcBorders>
              <w:top w:val="nil"/>
              <w:left w:val="nil"/>
              <w:bottom w:val="single" w:sz="4" w:space="0" w:color="auto"/>
              <w:right w:val="single" w:sz="4" w:space="0" w:color="auto"/>
            </w:tcBorders>
            <w:shd w:val="clear" w:color="auto" w:fill="auto"/>
            <w:vAlign w:val="center"/>
            <w:hideMark/>
          </w:tcPr>
          <w:p w14:paraId="5A046BD7" w14:textId="77777777" w:rsidR="00EE4B95" w:rsidRPr="00092B22" w:rsidRDefault="00EE4B9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554 </w:t>
            </w:r>
          </w:p>
        </w:tc>
        <w:tc>
          <w:tcPr>
            <w:tcW w:w="1191" w:type="dxa"/>
            <w:tcBorders>
              <w:top w:val="nil"/>
              <w:left w:val="nil"/>
              <w:bottom w:val="single" w:sz="4" w:space="0" w:color="auto"/>
              <w:right w:val="single" w:sz="4" w:space="0" w:color="auto"/>
            </w:tcBorders>
            <w:shd w:val="clear" w:color="auto" w:fill="auto"/>
            <w:vAlign w:val="center"/>
            <w:hideMark/>
          </w:tcPr>
          <w:p w14:paraId="76A9F85C" w14:textId="77777777" w:rsidR="00EE4B95" w:rsidRPr="00092B22" w:rsidRDefault="00EE4B9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79 </w:t>
            </w:r>
          </w:p>
        </w:tc>
        <w:tc>
          <w:tcPr>
            <w:tcW w:w="1191" w:type="dxa"/>
            <w:tcBorders>
              <w:top w:val="nil"/>
              <w:left w:val="nil"/>
              <w:bottom w:val="single" w:sz="4" w:space="0" w:color="auto"/>
              <w:right w:val="single" w:sz="4" w:space="0" w:color="auto"/>
            </w:tcBorders>
            <w:shd w:val="clear" w:color="auto" w:fill="auto"/>
            <w:vAlign w:val="center"/>
            <w:hideMark/>
          </w:tcPr>
          <w:p w14:paraId="71A9D8C8" w14:textId="77777777" w:rsidR="00EE4B95" w:rsidRPr="00092B22" w:rsidRDefault="00EE4B9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auto" w:fill="auto"/>
            <w:vAlign w:val="center"/>
            <w:hideMark/>
          </w:tcPr>
          <w:p w14:paraId="1BEE5822" w14:textId="77777777" w:rsidR="00EE4B95" w:rsidRPr="00092B22" w:rsidRDefault="00EE4B95"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633 </w:t>
            </w:r>
          </w:p>
        </w:tc>
      </w:tr>
      <w:tr w:rsidR="00EE4B95" w:rsidRPr="00092B22" w14:paraId="1C360ADB" w14:textId="77777777" w:rsidTr="00E607DA">
        <w:trPr>
          <w:trHeight w:val="23"/>
        </w:trPr>
        <w:tc>
          <w:tcPr>
            <w:tcW w:w="4871" w:type="dxa"/>
            <w:tcBorders>
              <w:top w:val="nil"/>
              <w:left w:val="single" w:sz="4" w:space="0" w:color="auto"/>
              <w:bottom w:val="single" w:sz="4" w:space="0" w:color="auto"/>
              <w:right w:val="single" w:sz="4" w:space="0" w:color="auto"/>
            </w:tcBorders>
            <w:shd w:val="clear" w:color="auto" w:fill="auto"/>
            <w:hideMark/>
          </w:tcPr>
          <w:p w14:paraId="26BFF590" w14:textId="77777777" w:rsidR="00EE4B95" w:rsidRPr="00092B22" w:rsidRDefault="00EE4B95" w:rsidP="00E607DA">
            <w:pPr>
              <w:rPr>
                <w:rFonts w:ascii="Meta Pro" w:eastAsia="Times New Roman" w:hAnsi="Meta Pro"/>
                <w:szCs w:val="18"/>
                <w:lang w:eastAsia="en-AU"/>
              </w:rPr>
            </w:pPr>
            <w:r w:rsidRPr="00092B22">
              <w:rPr>
                <w:rFonts w:ascii="Meta Pro" w:eastAsia="Times New Roman" w:hAnsi="Meta Pro"/>
                <w:szCs w:val="18"/>
                <w:lang w:eastAsia="en-AU"/>
              </w:rPr>
              <w:t xml:space="preserve">Deputy Director-General </w:t>
            </w:r>
            <w:r w:rsidRPr="00092B22">
              <w:rPr>
                <w:rFonts w:ascii="Meta Pro" w:eastAsia="Times New Roman" w:hAnsi="Meta Pro"/>
                <w:szCs w:val="18"/>
                <w:lang w:eastAsia="en-AU"/>
              </w:rPr>
              <w:br/>
              <w:t>(Customer Services, Safety and Regulation)</w:t>
            </w:r>
          </w:p>
        </w:tc>
        <w:tc>
          <w:tcPr>
            <w:tcW w:w="1191" w:type="dxa"/>
            <w:tcBorders>
              <w:top w:val="nil"/>
              <w:left w:val="nil"/>
              <w:bottom w:val="single" w:sz="4" w:space="0" w:color="auto"/>
              <w:right w:val="single" w:sz="4" w:space="0" w:color="auto"/>
            </w:tcBorders>
            <w:shd w:val="clear" w:color="auto" w:fill="auto"/>
            <w:vAlign w:val="center"/>
            <w:hideMark/>
          </w:tcPr>
          <w:p w14:paraId="2D3C56E0" w14:textId="77777777" w:rsidR="00EE4B95" w:rsidRPr="00092B22" w:rsidRDefault="00EE4B9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283 </w:t>
            </w:r>
          </w:p>
        </w:tc>
        <w:tc>
          <w:tcPr>
            <w:tcW w:w="1191" w:type="dxa"/>
            <w:tcBorders>
              <w:top w:val="nil"/>
              <w:left w:val="nil"/>
              <w:bottom w:val="single" w:sz="4" w:space="0" w:color="auto"/>
              <w:right w:val="single" w:sz="4" w:space="0" w:color="auto"/>
            </w:tcBorders>
            <w:shd w:val="clear" w:color="auto" w:fill="auto"/>
            <w:vAlign w:val="center"/>
            <w:hideMark/>
          </w:tcPr>
          <w:p w14:paraId="7EDDA6BD" w14:textId="77777777" w:rsidR="00EE4B95" w:rsidRPr="00092B22" w:rsidRDefault="00EE4B9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38 </w:t>
            </w:r>
          </w:p>
        </w:tc>
        <w:tc>
          <w:tcPr>
            <w:tcW w:w="1191" w:type="dxa"/>
            <w:tcBorders>
              <w:top w:val="nil"/>
              <w:left w:val="nil"/>
              <w:bottom w:val="single" w:sz="4" w:space="0" w:color="auto"/>
              <w:right w:val="single" w:sz="4" w:space="0" w:color="auto"/>
            </w:tcBorders>
            <w:shd w:val="clear" w:color="auto" w:fill="auto"/>
            <w:vAlign w:val="center"/>
            <w:hideMark/>
          </w:tcPr>
          <w:p w14:paraId="185298EC" w14:textId="77777777" w:rsidR="00EE4B95" w:rsidRPr="00092B22" w:rsidRDefault="00EE4B9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auto" w:fill="auto"/>
            <w:vAlign w:val="center"/>
            <w:hideMark/>
          </w:tcPr>
          <w:p w14:paraId="33C15DBE" w14:textId="77777777" w:rsidR="00EE4B95" w:rsidRPr="00092B22" w:rsidRDefault="00EE4B95"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321 </w:t>
            </w:r>
          </w:p>
        </w:tc>
      </w:tr>
      <w:tr w:rsidR="00EE4B95" w:rsidRPr="00092B22" w14:paraId="5629EDC4" w14:textId="77777777" w:rsidTr="00E607DA">
        <w:trPr>
          <w:trHeight w:val="23"/>
        </w:trPr>
        <w:tc>
          <w:tcPr>
            <w:tcW w:w="4871" w:type="dxa"/>
            <w:tcBorders>
              <w:top w:val="nil"/>
              <w:left w:val="single" w:sz="4" w:space="0" w:color="auto"/>
              <w:bottom w:val="single" w:sz="4" w:space="0" w:color="auto"/>
              <w:right w:val="single" w:sz="4" w:space="0" w:color="auto"/>
            </w:tcBorders>
            <w:shd w:val="clear" w:color="auto" w:fill="auto"/>
            <w:hideMark/>
          </w:tcPr>
          <w:p w14:paraId="604B3C50" w14:textId="77777777" w:rsidR="00EE4B95" w:rsidRPr="00092B22" w:rsidRDefault="00EE4B95" w:rsidP="00E607DA">
            <w:pPr>
              <w:rPr>
                <w:rFonts w:ascii="Meta Pro" w:eastAsia="Times New Roman" w:hAnsi="Meta Pro"/>
                <w:szCs w:val="18"/>
                <w:lang w:eastAsia="en-AU"/>
              </w:rPr>
            </w:pPr>
            <w:r w:rsidRPr="00092B22">
              <w:rPr>
                <w:rFonts w:ascii="Meta Pro" w:eastAsia="Times New Roman" w:hAnsi="Meta Pro"/>
                <w:szCs w:val="18"/>
                <w:lang w:eastAsia="en-AU"/>
              </w:rPr>
              <w:lastRenderedPageBreak/>
              <w:t xml:space="preserve">Deputy Director-General </w:t>
            </w:r>
            <w:r w:rsidRPr="00092B22">
              <w:rPr>
                <w:rFonts w:ascii="Meta Pro" w:eastAsia="Times New Roman" w:hAnsi="Meta Pro"/>
                <w:szCs w:val="18"/>
                <w:lang w:eastAsia="en-AU"/>
              </w:rPr>
              <w:br/>
              <w:t>(Infrastructure Management and Delivery)</w:t>
            </w:r>
          </w:p>
        </w:tc>
        <w:tc>
          <w:tcPr>
            <w:tcW w:w="1191" w:type="dxa"/>
            <w:tcBorders>
              <w:top w:val="nil"/>
              <w:left w:val="nil"/>
              <w:bottom w:val="single" w:sz="4" w:space="0" w:color="auto"/>
              <w:right w:val="single" w:sz="4" w:space="0" w:color="auto"/>
            </w:tcBorders>
            <w:shd w:val="clear" w:color="auto" w:fill="auto"/>
            <w:vAlign w:val="center"/>
            <w:hideMark/>
          </w:tcPr>
          <w:p w14:paraId="4155B137" w14:textId="77777777" w:rsidR="00EE4B95" w:rsidRPr="00092B22" w:rsidRDefault="00EE4B9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293 </w:t>
            </w:r>
          </w:p>
        </w:tc>
        <w:tc>
          <w:tcPr>
            <w:tcW w:w="1191" w:type="dxa"/>
            <w:tcBorders>
              <w:top w:val="nil"/>
              <w:left w:val="nil"/>
              <w:bottom w:val="single" w:sz="4" w:space="0" w:color="auto"/>
              <w:right w:val="single" w:sz="4" w:space="0" w:color="auto"/>
            </w:tcBorders>
            <w:shd w:val="clear" w:color="auto" w:fill="auto"/>
            <w:vAlign w:val="center"/>
            <w:hideMark/>
          </w:tcPr>
          <w:p w14:paraId="0F7C50E4" w14:textId="77777777" w:rsidR="00EE4B95" w:rsidRPr="00092B22" w:rsidRDefault="00EE4B9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38 </w:t>
            </w:r>
          </w:p>
        </w:tc>
        <w:tc>
          <w:tcPr>
            <w:tcW w:w="1191" w:type="dxa"/>
            <w:tcBorders>
              <w:top w:val="nil"/>
              <w:left w:val="nil"/>
              <w:bottom w:val="single" w:sz="4" w:space="0" w:color="auto"/>
              <w:right w:val="single" w:sz="4" w:space="0" w:color="auto"/>
            </w:tcBorders>
            <w:shd w:val="clear" w:color="auto" w:fill="auto"/>
            <w:vAlign w:val="center"/>
            <w:hideMark/>
          </w:tcPr>
          <w:p w14:paraId="2F38005D" w14:textId="77777777" w:rsidR="00EE4B95" w:rsidRPr="00092B22" w:rsidRDefault="00EE4B9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auto" w:fill="auto"/>
            <w:vAlign w:val="center"/>
            <w:hideMark/>
          </w:tcPr>
          <w:p w14:paraId="1272B8D8" w14:textId="77777777" w:rsidR="00EE4B95" w:rsidRPr="00092B22" w:rsidRDefault="00EE4B95"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331 </w:t>
            </w:r>
          </w:p>
        </w:tc>
      </w:tr>
      <w:tr w:rsidR="00EE4B95" w:rsidRPr="00092B22" w14:paraId="0BDBC8C2" w14:textId="77777777" w:rsidTr="00E607DA">
        <w:trPr>
          <w:trHeight w:val="23"/>
        </w:trPr>
        <w:tc>
          <w:tcPr>
            <w:tcW w:w="4871" w:type="dxa"/>
            <w:tcBorders>
              <w:top w:val="nil"/>
              <w:left w:val="single" w:sz="4" w:space="0" w:color="auto"/>
              <w:bottom w:val="single" w:sz="4" w:space="0" w:color="auto"/>
              <w:right w:val="single" w:sz="4" w:space="0" w:color="auto"/>
            </w:tcBorders>
            <w:shd w:val="clear" w:color="auto" w:fill="auto"/>
            <w:hideMark/>
          </w:tcPr>
          <w:p w14:paraId="219353FE" w14:textId="77777777" w:rsidR="00EE4B95" w:rsidRPr="00092B22" w:rsidRDefault="00EE4B95" w:rsidP="00E607DA">
            <w:pPr>
              <w:rPr>
                <w:rFonts w:ascii="Meta Pro" w:eastAsia="Times New Roman" w:hAnsi="Meta Pro"/>
                <w:szCs w:val="18"/>
                <w:lang w:eastAsia="en-AU"/>
              </w:rPr>
            </w:pPr>
            <w:r w:rsidRPr="00092B22">
              <w:rPr>
                <w:rFonts w:ascii="Meta Pro" w:eastAsia="Times New Roman" w:hAnsi="Meta Pro"/>
                <w:szCs w:val="18"/>
                <w:lang w:eastAsia="en-AU"/>
              </w:rPr>
              <w:t xml:space="preserve">Deputy Director-General </w:t>
            </w:r>
            <w:r w:rsidRPr="00092B22">
              <w:rPr>
                <w:rFonts w:ascii="Meta Pro" w:eastAsia="Times New Roman" w:hAnsi="Meta Pro"/>
                <w:szCs w:val="18"/>
                <w:lang w:eastAsia="en-AU"/>
              </w:rPr>
              <w:br/>
              <w:t>(Policy, Planning and Investment)</w:t>
            </w:r>
          </w:p>
        </w:tc>
        <w:tc>
          <w:tcPr>
            <w:tcW w:w="1191" w:type="dxa"/>
            <w:tcBorders>
              <w:top w:val="nil"/>
              <w:left w:val="nil"/>
              <w:bottom w:val="single" w:sz="4" w:space="0" w:color="auto"/>
              <w:right w:val="single" w:sz="4" w:space="0" w:color="auto"/>
            </w:tcBorders>
            <w:shd w:val="clear" w:color="auto" w:fill="auto"/>
            <w:vAlign w:val="center"/>
            <w:hideMark/>
          </w:tcPr>
          <w:p w14:paraId="2C09FE4F" w14:textId="77777777" w:rsidR="00EE4B95" w:rsidRPr="00092B22" w:rsidRDefault="00EE4B9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288 </w:t>
            </w:r>
          </w:p>
        </w:tc>
        <w:tc>
          <w:tcPr>
            <w:tcW w:w="1191" w:type="dxa"/>
            <w:tcBorders>
              <w:top w:val="nil"/>
              <w:left w:val="nil"/>
              <w:bottom w:val="single" w:sz="4" w:space="0" w:color="auto"/>
              <w:right w:val="single" w:sz="4" w:space="0" w:color="auto"/>
            </w:tcBorders>
            <w:shd w:val="clear" w:color="auto" w:fill="auto"/>
            <w:vAlign w:val="center"/>
            <w:hideMark/>
          </w:tcPr>
          <w:p w14:paraId="166DD7AC" w14:textId="77777777" w:rsidR="00EE4B95" w:rsidRPr="00092B22" w:rsidRDefault="00EE4B9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38 </w:t>
            </w:r>
          </w:p>
        </w:tc>
        <w:tc>
          <w:tcPr>
            <w:tcW w:w="1191" w:type="dxa"/>
            <w:tcBorders>
              <w:top w:val="nil"/>
              <w:left w:val="nil"/>
              <w:bottom w:val="single" w:sz="4" w:space="0" w:color="auto"/>
              <w:right w:val="single" w:sz="4" w:space="0" w:color="auto"/>
            </w:tcBorders>
            <w:shd w:val="clear" w:color="auto" w:fill="auto"/>
            <w:vAlign w:val="center"/>
            <w:hideMark/>
          </w:tcPr>
          <w:p w14:paraId="0EF79317" w14:textId="77777777" w:rsidR="00EE4B95" w:rsidRPr="00092B22" w:rsidRDefault="00EE4B9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auto" w:fill="auto"/>
            <w:vAlign w:val="center"/>
            <w:hideMark/>
          </w:tcPr>
          <w:p w14:paraId="4AD29646" w14:textId="77777777" w:rsidR="00EE4B95" w:rsidRPr="00092B22" w:rsidRDefault="00EE4B95"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326 </w:t>
            </w:r>
          </w:p>
        </w:tc>
      </w:tr>
      <w:tr w:rsidR="00EE4B95" w:rsidRPr="00092B22" w14:paraId="5E28FC14" w14:textId="77777777" w:rsidTr="00E607DA">
        <w:trPr>
          <w:trHeight w:val="23"/>
        </w:trPr>
        <w:tc>
          <w:tcPr>
            <w:tcW w:w="4871" w:type="dxa"/>
            <w:tcBorders>
              <w:top w:val="nil"/>
              <w:left w:val="single" w:sz="4" w:space="0" w:color="auto"/>
              <w:bottom w:val="single" w:sz="4" w:space="0" w:color="auto"/>
              <w:right w:val="single" w:sz="4" w:space="0" w:color="auto"/>
            </w:tcBorders>
            <w:shd w:val="clear" w:color="auto" w:fill="auto"/>
            <w:hideMark/>
          </w:tcPr>
          <w:p w14:paraId="09B17F57" w14:textId="77777777" w:rsidR="00EE4B95" w:rsidRPr="00092B22" w:rsidRDefault="00EE4B95" w:rsidP="00E607DA">
            <w:pPr>
              <w:rPr>
                <w:rFonts w:ascii="Meta Pro" w:eastAsia="Times New Roman" w:hAnsi="Meta Pro"/>
                <w:szCs w:val="18"/>
                <w:lang w:eastAsia="en-AU"/>
              </w:rPr>
            </w:pPr>
            <w:r w:rsidRPr="00092B22">
              <w:rPr>
                <w:rFonts w:ascii="Meta Pro" w:eastAsia="Times New Roman" w:hAnsi="Meta Pro"/>
                <w:szCs w:val="18"/>
                <w:lang w:eastAsia="en-AU"/>
              </w:rPr>
              <w:t xml:space="preserve">Deputy Director-General </w:t>
            </w:r>
            <w:r w:rsidRPr="00092B22">
              <w:rPr>
                <w:rFonts w:ascii="Meta Pro" w:eastAsia="Times New Roman" w:hAnsi="Meta Pro"/>
                <w:szCs w:val="18"/>
                <w:lang w:eastAsia="en-AU"/>
              </w:rPr>
              <w:br/>
              <w:t>(Translink)</w:t>
            </w:r>
          </w:p>
        </w:tc>
        <w:tc>
          <w:tcPr>
            <w:tcW w:w="1191" w:type="dxa"/>
            <w:tcBorders>
              <w:top w:val="nil"/>
              <w:left w:val="nil"/>
              <w:bottom w:val="single" w:sz="4" w:space="0" w:color="auto"/>
              <w:right w:val="single" w:sz="4" w:space="0" w:color="auto"/>
            </w:tcBorders>
            <w:shd w:val="clear" w:color="auto" w:fill="auto"/>
            <w:vAlign w:val="center"/>
            <w:hideMark/>
          </w:tcPr>
          <w:p w14:paraId="796EDD4E" w14:textId="77777777" w:rsidR="00EE4B95" w:rsidRPr="00092B22" w:rsidRDefault="00EE4B9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268 </w:t>
            </w:r>
          </w:p>
        </w:tc>
        <w:tc>
          <w:tcPr>
            <w:tcW w:w="1191" w:type="dxa"/>
            <w:tcBorders>
              <w:top w:val="nil"/>
              <w:left w:val="nil"/>
              <w:bottom w:val="single" w:sz="4" w:space="0" w:color="auto"/>
              <w:right w:val="single" w:sz="4" w:space="0" w:color="auto"/>
            </w:tcBorders>
            <w:shd w:val="clear" w:color="auto" w:fill="auto"/>
            <w:vAlign w:val="center"/>
            <w:hideMark/>
          </w:tcPr>
          <w:p w14:paraId="2D2CFC16" w14:textId="77777777" w:rsidR="00EE4B95" w:rsidRPr="00092B22" w:rsidRDefault="00EE4B9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37 </w:t>
            </w:r>
          </w:p>
        </w:tc>
        <w:tc>
          <w:tcPr>
            <w:tcW w:w="1191" w:type="dxa"/>
            <w:tcBorders>
              <w:top w:val="nil"/>
              <w:left w:val="nil"/>
              <w:bottom w:val="single" w:sz="4" w:space="0" w:color="auto"/>
              <w:right w:val="single" w:sz="4" w:space="0" w:color="auto"/>
            </w:tcBorders>
            <w:shd w:val="clear" w:color="auto" w:fill="auto"/>
            <w:vAlign w:val="center"/>
            <w:hideMark/>
          </w:tcPr>
          <w:p w14:paraId="31CFB07C" w14:textId="77777777" w:rsidR="00EE4B95" w:rsidRPr="00092B22" w:rsidRDefault="00EE4B9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auto" w:fill="auto"/>
            <w:vAlign w:val="center"/>
            <w:hideMark/>
          </w:tcPr>
          <w:p w14:paraId="07B24C62" w14:textId="77777777" w:rsidR="00EE4B95" w:rsidRPr="00092B22" w:rsidRDefault="00EE4B95"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305 </w:t>
            </w:r>
          </w:p>
        </w:tc>
      </w:tr>
      <w:tr w:rsidR="00EE4B95" w:rsidRPr="00092B22" w14:paraId="68F1F73B" w14:textId="77777777" w:rsidTr="00E607DA">
        <w:trPr>
          <w:trHeight w:val="23"/>
        </w:trPr>
        <w:tc>
          <w:tcPr>
            <w:tcW w:w="4871" w:type="dxa"/>
            <w:tcBorders>
              <w:top w:val="nil"/>
              <w:left w:val="single" w:sz="4" w:space="0" w:color="auto"/>
              <w:bottom w:val="single" w:sz="4" w:space="0" w:color="auto"/>
              <w:right w:val="single" w:sz="4" w:space="0" w:color="auto"/>
            </w:tcBorders>
            <w:shd w:val="clear" w:color="auto" w:fill="auto"/>
            <w:hideMark/>
          </w:tcPr>
          <w:p w14:paraId="655B791C" w14:textId="77777777" w:rsidR="00EE4B95" w:rsidRPr="00092B22" w:rsidRDefault="00EE4B95" w:rsidP="00E607DA">
            <w:pPr>
              <w:rPr>
                <w:rFonts w:ascii="Meta Pro" w:eastAsia="Times New Roman" w:hAnsi="Meta Pro"/>
                <w:szCs w:val="18"/>
                <w:lang w:eastAsia="en-AU"/>
              </w:rPr>
            </w:pPr>
            <w:r w:rsidRPr="00092B22">
              <w:rPr>
                <w:rFonts w:ascii="Meta Pro" w:eastAsia="Times New Roman" w:hAnsi="Meta Pro"/>
                <w:szCs w:val="18"/>
                <w:lang w:eastAsia="en-AU"/>
              </w:rPr>
              <w:t xml:space="preserve">Deputy Director-General </w:t>
            </w:r>
            <w:r w:rsidRPr="00092B22">
              <w:rPr>
                <w:rFonts w:ascii="Meta Pro" w:eastAsia="Times New Roman" w:hAnsi="Meta Pro"/>
                <w:szCs w:val="18"/>
                <w:lang w:eastAsia="en-AU"/>
              </w:rPr>
              <w:br/>
              <w:t>(Corporate)</w:t>
            </w:r>
          </w:p>
        </w:tc>
        <w:tc>
          <w:tcPr>
            <w:tcW w:w="1191" w:type="dxa"/>
            <w:tcBorders>
              <w:top w:val="nil"/>
              <w:left w:val="nil"/>
              <w:bottom w:val="single" w:sz="4" w:space="0" w:color="auto"/>
              <w:right w:val="single" w:sz="4" w:space="0" w:color="auto"/>
            </w:tcBorders>
            <w:shd w:val="clear" w:color="auto" w:fill="auto"/>
            <w:vAlign w:val="center"/>
            <w:hideMark/>
          </w:tcPr>
          <w:p w14:paraId="01420BF4" w14:textId="77777777" w:rsidR="00EE4B95" w:rsidRPr="00092B22" w:rsidRDefault="00EE4B9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253 </w:t>
            </w:r>
          </w:p>
        </w:tc>
        <w:tc>
          <w:tcPr>
            <w:tcW w:w="1191" w:type="dxa"/>
            <w:tcBorders>
              <w:top w:val="nil"/>
              <w:left w:val="nil"/>
              <w:bottom w:val="single" w:sz="4" w:space="0" w:color="auto"/>
              <w:right w:val="single" w:sz="4" w:space="0" w:color="auto"/>
            </w:tcBorders>
            <w:shd w:val="clear" w:color="auto" w:fill="auto"/>
            <w:vAlign w:val="center"/>
            <w:hideMark/>
          </w:tcPr>
          <w:p w14:paraId="5DD14EE1" w14:textId="77777777" w:rsidR="00EE4B95" w:rsidRPr="00092B22" w:rsidRDefault="00EE4B9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35 </w:t>
            </w:r>
          </w:p>
        </w:tc>
        <w:tc>
          <w:tcPr>
            <w:tcW w:w="1191" w:type="dxa"/>
            <w:tcBorders>
              <w:top w:val="nil"/>
              <w:left w:val="nil"/>
              <w:bottom w:val="single" w:sz="4" w:space="0" w:color="auto"/>
              <w:right w:val="single" w:sz="4" w:space="0" w:color="auto"/>
            </w:tcBorders>
            <w:shd w:val="clear" w:color="auto" w:fill="auto"/>
            <w:vAlign w:val="center"/>
            <w:hideMark/>
          </w:tcPr>
          <w:p w14:paraId="41CBF344" w14:textId="77777777" w:rsidR="00EE4B95" w:rsidRPr="00092B22" w:rsidRDefault="00EE4B9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auto" w:fill="auto"/>
            <w:vAlign w:val="center"/>
            <w:hideMark/>
          </w:tcPr>
          <w:p w14:paraId="484061BA" w14:textId="77777777" w:rsidR="00EE4B95" w:rsidRPr="00092B22" w:rsidRDefault="00EE4B95"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288 </w:t>
            </w:r>
          </w:p>
        </w:tc>
      </w:tr>
      <w:tr w:rsidR="00EE4B95" w:rsidRPr="00092B22" w14:paraId="7FD3E662" w14:textId="77777777" w:rsidTr="00E607DA">
        <w:trPr>
          <w:trHeight w:val="23"/>
        </w:trPr>
        <w:tc>
          <w:tcPr>
            <w:tcW w:w="4871" w:type="dxa"/>
            <w:tcBorders>
              <w:top w:val="nil"/>
              <w:left w:val="single" w:sz="4" w:space="0" w:color="auto"/>
              <w:bottom w:val="single" w:sz="4" w:space="0" w:color="auto"/>
              <w:right w:val="single" w:sz="4" w:space="0" w:color="auto"/>
            </w:tcBorders>
            <w:shd w:val="clear" w:color="auto" w:fill="auto"/>
            <w:hideMark/>
          </w:tcPr>
          <w:p w14:paraId="25A68A65" w14:textId="77777777" w:rsidR="00EE4B95" w:rsidRPr="00092B22" w:rsidRDefault="00EE4B95" w:rsidP="00E607DA">
            <w:pPr>
              <w:rPr>
                <w:rFonts w:ascii="Meta Pro" w:eastAsia="Times New Roman" w:hAnsi="Meta Pro"/>
                <w:szCs w:val="18"/>
                <w:lang w:eastAsia="en-AU"/>
              </w:rPr>
            </w:pPr>
            <w:r w:rsidRPr="00092B22">
              <w:rPr>
                <w:rFonts w:ascii="Meta Pro" w:eastAsia="Times New Roman" w:hAnsi="Meta Pro"/>
                <w:szCs w:val="18"/>
                <w:lang w:eastAsia="en-AU"/>
              </w:rPr>
              <w:t>Chief Operations Officer</w:t>
            </w:r>
          </w:p>
        </w:tc>
        <w:tc>
          <w:tcPr>
            <w:tcW w:w="1191" w:type="dxa"/>
            <w:tcBorders>
              <w:top w:val="nil"/>
              <w:left w:val="nil"/>
              <w:bottom w:val="single" w:sz="4" w:space="0" w:color="auto"/>
              <w:right w:val="single" w:sz="4" w:space="0" w:color="auto"/>
            </w:tcBorders>
            <w:shd w:val="clear" w:color="auto" w:fill="auto"/>
            <w:vAlign w:val="center"/>
            <w:hideMark/>
          </w:tcPr>
          <w:p w14:paraId="0118171E" w14:textId="77777777" w:rsidR="00EE4B95" w:rsidRPr="00092B22" w:rsidRDefault="00EE4B9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244 </w:t>
            </w:r>
          </w:p>
        </w:tc>
        <w:tc>
          <w:tcPr>
            <w:tcW w:w="1191" w:type="dxa"/>
            <w:tcBorders>
              <w:top w:val="nil"/>
              <w:left w:val="nil"/>
              <w:bottom w:val="single" w:sz="4" w:space="0" w:color="auto"/>
              <w:right w:val="single" w:sz="4" w:space="0" w:color="auto"/>
            </w:tcBorders>
            <w:shd w:val="clear" w:color="auto" w:fill="auto"/>
            <w:vAlign w:val="center"/>
            <w:hideMark/>
          </w:tcPr>
          <w:p w14:paraId="143B85E2" w14:textId="77777777" w:rsidR="00EE4B95" w:rsidRPr="00092B22" w:rsidRDefault="00EE4B9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31 </w:t>
            </w:r>
          </w:p>
        </w:tc>
        <w:tc>
          <w:tcPr>
            <w:tcW w:w="1191" w:type="dxa"/>
            <w:tcBorders>
              <w:top w:val="nil"/>
              <w:left w:val="nil"/>
              <w:bottom w:val="single" w:sz="4" w:space="0" w:color="auto"/>
              <w:right w:val="single" w:sz="4" w:space="0" w:color="auto"/>
            </w:tcBorders>
            <w:shd w:val="clear" w:color="auto" w:fill="auto"/>
            <w:vAlign w:val="center"/>
            <w:hideMark/>
          </w:tcPr>
          <w:p w14:paraId="4A8BFA7B" w14:textId="77777777" w:rsidR="00EE4B95" w:rsidRPr="00092B22" w:rsidRDefault="00EE4B9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auto" w:fill="auto"/>
            <w:vAlign w:val="center"/>
            <w:hideMark/>
          </w:tcPr>
          <w:p w14:paraId="77151BAE" w14:textId="77777777" w:rsidR="00EE4B95" w:rsidRPr="00092B22" w:rsidRDefault="00EE4B95"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275 </w:t>
            </w:r>
          </w:p>
        </w:tc>
      </w:tr>
    </w:tbl>
    <w:p w14:paraId="7F3A2752" w14:textId="77777777" w:rsidR="00EE4B95" w:rsidRDefault="00EE4B95" w:rsidP="00EE4B95">
      <w:pPr>
        <w:spacing w:before="60" w:line="259" w:lineRule="auto"/>
        <w:rPr>
          <w:rFonts w:ascii="Meta Pro" w:eastAsia="Times New Roman" w:hAnsi="Meta Pro"/>
          <w:szCs w:val="18"/>
          <w:lang w:eastAsia="en-AU"/>
        </w:rPr>
      </w:pPr>
      <w:r w:rsidRPr="00092B22">
        <w:rPr>
          <w:rFonts w:ascii="Meta Pro" w:eastAsia="Times New Roman" w:hAnsi="Meta Pro"/>
          <w:szCs w:val="18"/>
          <w:lang w:eastAsia="en-AU"/>
        </w:rPr>
        <w:t xml:space="preserve">Comparatives have been restated </w:t>
      </w:r>
      <w:r>
        <w:rPr>
          <w:rFonts w:ascii="Meta Pro" w:eastAsia="Times New Roman" w:hAnsi="Meta Pro"/>
          <w:szCs w:val="18"/>
          <w:lang w:eastAsia="en-AU"/>
        </w:rPr>
        <w:t>following a review of the calculation methodology and the removal of immaterial balances relating to short term relieving arrangements</w:t>
      </w:r>
      <w:r w:rsidRPr="00092B22">
        <w:rPr>
          <w:rFonts w:ascii="Meta Pro" w:eastAsia="Times New Roman" w:hAnsi="Meta Pro"/>
          <w:szCs w:val="18"/>
          <w:lang w:eastAsia="en-AU"/>
        </w:rPr>
        <w:t>.</w:t>
      </w:r>
    </w:p>
    <w:p w14:paraId="2260F25D" w14:textId="47CF0A50" w:rsidR="00EE4B95" w:rsidRPr="00B07A53" w:rsidRDefault="00EE4B95" w:rsidP="00B07A53">
      <w:pPr>
        <w:spacing w:before="60" w:line="259" w:lineRule="auto"/>
        <w:rPr>
          <w:rFonts w:ascii="Meta Pro" w:eastAsia="Times New Roman" w:hAnsi="Meta Pro"/>
          <w:szCs w:val="18"/>
          <w:lang w:eastAsia="en-AU"/>
        </w:rPr>
      </w:pPr>
      <w:r>
        <w:rPr>
          <w:rFonts w:ascii="Meta Pro" w:eastAsia="Times New Roman" w:hAnsi="Meta Pro"/>
          <w:szCs w:val="18"/>
          <w:lang w:eastAsia="en-AU"/>
        </w:rPr>
        <w:t xml:space="preserve">The alignment of payroll dates and calendar dates lead to an extra </w:t>
      </w:r>
      <w:r w:rsidRPr="00461E2A">
        <w:rPr>
          <w:rFonts w:ascii="Meta Pro" w:eastAsia="Times New Roman" w:hAnsi="Meta Pro"/>
          <w:szCs w:val="18"/>
          <w:lang w:eastAsia="en-AU"/>
        </w:rPr>
        <w:t>pay period in 2021</w:t>
      </w:r>
      <w:r>
        <w:rPr>
          <w:rFonts w:ascii="Meta Pro" w:eastAsia="Times New Roman" w:hAnsi="Meta Pro"/>
          <w:szCs w:val="18"/>
          <w:lang w:eastAsia="en-AU"/>
        </w:rPr>
        <w:t>.</w:t>
      </w:r>
    </w:p>
    <w:p w14:paraId="7C3EADA0" w14:textId="77777777" w:rsidR="00EE4B95" w:rsidRPr="00092B22" w:rsidRDefault="00EE4B95" w:rsidP="00EE4B95">
      <w:pPr>
        <w:spacing w:line="259" w:lineRule="auto"/>
        <w:rPr>
          <w:rFonts w:ascii="Meta Pro" w:eastAsia="Times New Roman" w:hAnsi="Meta Pro"/>
          <w:b/>
          <w:bCs/>
          <w:szCs w:val="18"/>
          <w:lang w:eastAsia="en-AU"/>
        </w:rPr>
      </w:pPr>
      <w:r w:rsidRPr="00092B22">
        <w:rPr>
          <w:rFonts w:ascii="Meta Pro" w:eastAsia="Times New Roman" w:hAnsi="Meta Pro"/>
          <w:b/>
          <w:bCs/>
          <w:szCs w:val="18"/>
          <w:lang w:eastAsia="en-AU"/>
        </w:rPr>
        <w:t>Performance payments</w:t>
      </w:r>
    </w:p>
    <w:p w14:paraId="5C0B9E65" w14:textId="69CF3887" w:rsidR="00EE4B95" w:rsidRPr="00092B22" w:rsidRDefault="00EE4B95" w:rsidP="00B07A53">
      <w:pPr>
        <w:spacing w:before="60"/>
        <w:rPr>
          <w:rFonts w:ascii="Meta Pro" w:eastAsia="Times New Roman" w:hAnsi="Meta Pro"/>
          <w:szCs w:val="18"/>
          <w:lang w:eastAsia="en-AU"/>
        </w:rPr>
      </w:pPr>
      <w:r w:rsidRPr="00092B22">
        <w:rPr>
          <w:rFonts w:ascii="Meta Pro" w:eastAsia="Times New Roman" w:hAnsi="Meta Pro"/>
          <w:szCs w:val="18"/>
          <w:lang w:eastAsia="en-AU"/>
        </w:rPr>
        <w:t>None of the non-Ministerial key management personnel remuneration packages provide for performance or bonus paym</w:t>
      </w:r>
      <w:bookmarkEnd w:id="22"/>
      <w:r w:rsidRPr="00092B22">
        <w:rPr>
          <w:rFonts w:ascii="Meta Pro" w:eastAsia="Times New Roman" w:hAnsi="Meta Pro"/>
          <w:szCs w:val="18"/>
          <w:lang w:eastAsia="en-AU"/>
        </w:rPr>
        <w:t>ents.</w:t>
      </w:r>
    </w:p>
    <w:p w14:paraId="44C86D3F" w14:textId="77777777" w:rsidR="00EE4B95" w:rsidRPr="00092B22" w:rsidRDefault="00EE4B95" w:rsidP="00EE4B95">
      <w:pPr>
        <w:spacing w:after="60"/>
        <w:rPr>
          <w:rFonts w:ascii="Meta Pro" w:eastAsia="Times New Roman" w:hAnsi="Meta Pro"/>
          <w:b/>
          <w:bCs/>
          <w:szCs w:val="18"/>
          <w:lang w:eastAsia="en-AU"/>
        </w:rPr>
      </w:pPr>
      <w:r w:rsidRPr="00092B22">
        <w:rPr>
          <w:rFonts w:ascii="Meta Pro" w:eastAsia="Times New Roman" w:hAnsi="Meta Pro"/>
          <w:b/>
          <w:bCs/>
          <w:szCs w:val="18"/>
          <w:lang w:eastAsia="en-AU"/>
        </w:rPr>
        <w:t>Transactions with related parties of key management personnel</w:t>
      </w:r>
    </w:p>
    <w:p w14:paraId="5813DA95" w14:textId="77777777" w:rsidR="00EE4B95" w:rsidRPr="00F32F38" w:rsidRDefault="00EE4B95" w:rsidP="00EE4B95">
      <w:pPr>
        <w:rPr>
          <w:rFonts w:ascii="Meta Pro" w:eastAsia="Times New Roman" w:hAnsi="Meta Pro"/>
          <w:szCs w:val="18"/>
          <w:lang w:eastAsia="en-AU"/>
        </w:rPr>
      </w:pPr>
      <w:r w:rsidRPr="00092B22">
        <w:rPr>
          <w:rFonts w:ascii="Meta Pro" w:eastAsia="Times New Roman" w:hAnsi="Meta Pro"/>
          <w:szCs w:val="18"/>
          <w:lang w:eastAsia="en-AU"/>
        </w:rPr>
        <w:t xml:space="preserve">There are no </w:t>
      </w:r>
      <w:r>
        <w:rPr>
          <w:rFonts w:ascii="Meta Pro" w:eastAsia="Times New Roman" w:hAnsi="Meta Pro"/>
          <w:szCs w:val="18"/>
          <w:lang w:eastAsia="en-AU"/>
        </w:rPr>
        <w:t>material</w:t>
      </w:r>
      <w:r w:rsidRPr="00092B22">
        <w:rPr>
          <w:rFonts w:ascii="Meta Pro" w:eastAsia="Times New Roman" w:hAnsi="Meta Pro"/>
          <w:szCs w:val="18"/>
          <w:lang w:eastAsia="en-AU"/>
        </w:rPr>
        <w:t xml:space="preserve"> related party transactions for non-Ministerial key management personnel during the period, other than domestic transactions that form part of the usual course of business, which are not required to be reported as related party disclosures.</w:t>
      </w:r>
    </w:p>
    <w:tbl>
      <w:tblPr>
        <w:tblW w:w="9670" w:type="dxa"/>
        <w:tblCellMar>
          <w:left w:w="0" w:type="dxa"/>
        </w:tblCellMar>
        <w:tblLook w:val="04A0" w:firstRow="1" w:lastRow="0" w:firstColumn="1" w:lastColumn="0" w:noHBand="0" w:noVBand="1"/>
      </w:tblPr>
      <w:tblGrid>
        <w:gridCol w:w="7133"/>
        <w:gridCol w:w="1169"/>
        <w:gridCol w:w="231"/>
        <w:gridCol w:w="1169"/>
      </w:tblGrid>
      <w:tr w:rsidR="00EE4B95" w:rsidRPr="00F32F38" w14:paraId="04B27DB1" w14:textId="77777777" w:rsidTr="00DB0DE6">
        <w:trPr>
          <w:trHeight w:val="240"/>
        </w:trPr>
        <w:tc>
          <w:tcPr>
            <w:tcW w:w="7125" w:type="dxa"/>
            <w:tcBorders>
              <w:top w:val="nil"/>
              <w:left w:val="nil"/>
              <w:bottom w:val="nil"/>
              <w:right w:val="nil"/>
            </w:tcBorders>
            <w:shd w:val="clear" w:color="auto" w:fill="auto"/>
            <w:noWrap/>
            <w:vAlign w:val="center"/>
            <w:hideMark/>
          </w:tcPr>
          <w:p w14:paraId="0CB57806" w14:textId="77777777" w:rsidR="00EE4B95" w:rsidRPr="00F32F38" w:rsidRDefault="00EE4B95" w:rsidP="00E607DA">
            <w:pPr>
              <w:rPr>
                <w:rFonts w:ascii="Meta Pro" w:eastAsia="Times New Roman" w:hAnsi="Meta Pro" w:cs="Times New Roman"/>
                <w:sz w:val="24"/>
                <w:szCs w:val="24"/>
                <w:lang w:eastAsia="en-AU"/>
              </w:rPr>
            </w:pPr>
          </w:p>
        </w:tc>
        <w:tc>
          <w:tcPr>
            <w:tcW w:w="1161" w:type="dxa"/>
            <w:tcBorders>
              <w:top w:val="nil"/>
              <w:left w:val="nil"/>
              <w:bottom w:val="nil"/>
              <w:right w:val="nil"/>
            </w:tcBorders>
            <w:shd w:val="clear" w:color="auto" w:fill="auto"/>
            <w:noWrap/>
            <w:vAlign w:val="center"/>
            <w:hideMark/>
          </w:tcPr>
          <w:p w14:paraId="28CA3541" w14:textId="77777777" w:rsidR="00EE4B95" w:rsidRPr="00F32F38" w:rsidRDefault="00EE4B95" w:rsidP="00E607DA">
            <w:pPr>
              <w:jc w:val="center"/>
              <w:rPr>
                <w:rFonts w:ascii="Meta Pro" w:eastAsia="Times New Roman" w:hAnsi="Meta Pro"/>
                <w:b/>
                <w:bCs/>
                <w:color w:val="000000"/>
                <w:lang w:eastAsia="en-AU"/>
              </w:rPr>
            </w:pPr>
            <w:r w:rsidRPr="00F32F38">
              <w:rPr>
                <w:rFonts w:ascii="Meta Pro" w:eastAsia="Times New Roman" w:hAnsi="Meta Pro"/>
                <w:b/>
                <w:bCs/>
                <w:color w:val="000000"/>
                <w:lang w:eastAsia="en-AU"/>
              </w:rPr>
              <w:t>2022</w:t>
            </w:r>
          </w:p>
        </w:tc>
        <w:tc>
          <w:tcPr>
            <w:tcW w:w="223" w:type="dxa"/>
            <w:tcBorders>
              <w:top w:val="nil"/>
              <w:left w:val="nil"/>
              <w:bottom w:val="nil"/>
              <w:right w:val="nil"/>
            </w:tcBorders>
            <w:shd w:val="clear" w:color="auto" w:fill="auto"/>
            <w:noWrap/>
            <w:vAlign w:val="center"/>
            <w:hideMark/>
          </w:tcPr>
          <w:p w14:paraId="7069C57E" w14:textId="77777777" w:rsidR="00EE4B95" w:rsidRPr="00F32F38" w:rsidRDefault="00EE4B95" w:rsidP="00E607DA">
            <w:pPr>
              <w:jc w:val="center"/>
              <w:rPr>
                <w:rFonts w:ascii="Meta Pro" w:eastAsia="Times New Roman" w:hAnsi="Meta Pro"/>
                <w:b/>
                <w:bCs/>
                <w:color w:val="000000"/>
                <w:lang w:eastAsia="en-AU"/>
              </w:rPr>
            </w:pPr>
          </w:p>
        </w:tc>
        <w:tc>
          <w:tcPr>
            <w:tcW w:w="1161" w:type="dxa"/>
            <w:tcBorders>
              <w:top w:val="nil"/>
              <w:left w:val="nil"/>
              <w:bottom w:val="nil"/>
              <w:right w:val="nil"/>
            </w:tcBorders>
            <w:shd w:val="clear" w:color="auto" w:fill="auto"/>
            <w:noWrap/>
            <w:vAlign w:val="center"/>
            <w:hideMark/>
          </w:tcPr>
          <w:p w14:paraId="24CA6C89" w14:textId="77777777" w:rsidR="00EE4B95" w:rsidRPr="00F32F38" w:rsidRDefault="00EE4B95" w:rsidP="00E607DA">
            <w:pPr>
              <w:jc w:val="center"/>
              <w:rPr>
                <w:rFonts w:ascii="Meta Pro" w:eastAsia="Times New Roman" w:hAnsi="Meta Pro"/>
                <w:b/>
                <w:bCs/>
                <w:lang w:eastAsia="en-AU"/>
              </w:rPr>
            </w:pPr>
            <w:r w:rsidRPr="00F32F38">
              <w:rPr>
                <w:rFonts w:ascii="Meta Pro" w:eastAsia="Times New Roman" w:hAnsi="Meta Pro"/>
                <w:b/>
                <w:bCs/>
                <w:lang w:eastAsia="en-AU"/>
              </w:rPr>
              <w:t>2021</w:t>
            </w:r>
          </w:p>
        </w:tc>
      </w:tr>
      <w:tr w:rsidR="00EE4B95" w:rsidRPr="00F32F38" w14:paraId="24531849" w14:textId="77777777" w:rsidTr="00DB0DE6">
        <w:trPr>
          <w:trHeight w:val="240"/>
        </w:trPr>
        <w:tc>
          <w:tcPr>
            <w:tcW w:w="7125" w:type="dxa"/>
            <w:tcBorders>
              <w:top w:val="nil"/>
              <w:left w:val="nil"/>
              <w:bottom w:val="nil"/>
              <w:right w:val="nil"/>
            </w:tcBorders>
            <w:shd w:val="clear" w:color="auto" w:fill="auto"/>
            <w:noWrap/>
            <w:vAlign w:val="center"/>
            <w:hideMark/>
          </w:tcPr>
          <w:p w14:paraId="4E8CB270" w14:textId="77777777" w:rsidR="00EE4B95" w:rsidRPr="00F32F38" w:rsidRDefault="00EE4B95" w:rsidP="00E607DA">
            <w:pPr>
              <w:jc w:val="center"/>
              <w:rPr>
                <w:rFonts w:ascii="Meta Pro" w:eastAsia="Times New Roman" w:hAnsi="Meta Pro"/>
                <w:b/>
                <w:bCs/>
                <w:lang w:eastAsia="en-AU"/>
              </w:rPr>
            </w:pPr>
          </w:p>
        </w:tc>
        <w:tc>
          <w:tcPr>
            <w:tcW w:w="1161" w:type="dxa"/>
            <w:tcBorders>
              <w:top w:val="nil"/>
              <w:left w:val="nil"/>
              <w:bottom w:val="nil"/>
              <w:right w:val="nil"/>
            </w:tcBorders>
            <w:shd w:val="clear" w:color="auto" w:fill="auto"/>
            <w:noWrap/>
            <w:vAlign w:val="center"/>
            <w:hideMark/>
          </w:tcPr>
          <w:p w14:paraId="06A642F1" w14:textId="77777777" w:rsidR="00EE4B95" w:rsidRPr="00F32F38" w:rsidRDefault="00EE4B95" w:rsidP="00E607DA">
            <w:pPr>
              <w:jc w:val="center"/>
              <w:rPr>
                <w:rFonts w:ascii="Meta Pro" w:eastAsia="Times New Roman" w:hAnsi="Meta Pro"/>
                <w:b/>
                <w:bCs/>
                <w:lang w:eastAsia="en-AU"/>
              </w:rPr>
            </w:pPr>
            <w:r w:rsidRPr="00F32F38">
              <w:rPr>
                <w:rFonts w:ascii="Meta Pro" w:eastAsia="Times New Roman" w:hAnsi="Meta Pro"/>
                <w:b/>
                <w:bCs/>
                <w:lang w:eastAsia="en-AU"/>
              </w:rPr>
              <w:t>$'000</w:t>
            </w:r>
          </w:p>
        </w:tc>
        <w:tc>
          <w:tcPr>
            <w:tcW w:w="223" w:type="dxa"/>
            <w:tcBorders>
              <w:top w:val="nil"/>
              <w:left w:val="nil"/>
              <w:bottom w:val="nil"/>
              <w:right w:val="nil"/>
            </w:tcBorders>
            <w:shd w:val="clear" w:color="auto" w:fill="auto"/>
            <w:noWrap/>
            <w:vAlign w:val="center"/>
            <w:hideMark/>
          </w:tcPr>
          <w:p w14:paraId="3362B945" w14:textId="77777777" w:rsidR="00EE4B95" w:rsidRPr="00F32F38" w:rsidRDefault="00EE4B95" w:rsidP="00E607DA">
            <w:pPr>
              <w:jc w:val="center"/>
              <w:rPr>
                <w:rFonts w:ascii="Meta Pro" w:eastAsia="Times New Roman" w:hAnsi="Meta Pro"/>
                <w:b/>
                <w:bCs/>
                <w:lang w:eastAsia="en-AU"/>
              </w:rPr>
            </w:pPr>
          </w:p>
        </w:tc>
        <w:tc>
          <w:tcPr>
            <w:tcW w:w="1161" w:type="dxa"/>
            <w:tcBorders>
              <w:top w:val="nil"/>
              <w:left w:val="nil"/>
              <w:bottom w:val="nil"/>
              <w:right w:val="nil"/>
            </w:tcBorders>
            <w:shd w:val="clear" w:color="auto" w:fill="auto"/>
            <w:noWrap/>
            <w:vAlign w:val="center"/>
            <w:hideMark/>
          </w:tcPr>
          <w:p w14:paraId="6D6A5BDD" w14:textId="77777777" w:rsidR="00EE4B95" w:rsidRPr="00F32F38" w:rsidRDefault="00EE4B95" w:rsidP="00E607DA">
            <w:pPr>
              <w:jc w:val="center"/>
              <w:rPr>
                <w:rFonts w:ascii="Meta Pro" w:eastAsia="Times New Roman" w:hAnsi="Meta Pro"/>
                <w:b/>
                <w:bCs/>
                <w:lang w:eastAsia="en-AU"/>
              </w:rPr>
            </w:pPr>
            <w:r w:rsidRPr="00F32F38">
              <w:rPr>
                <w:rFonts w:ascii="Meta Pro" w:eastAsia="Times New Roman" w:hAnsi="Meta Pro"/>
                <w:b/>
                <w:bCs/>
                <w:lang w:eastAsia="en-AU"/>
              </w:rPr>
              <w:t>$'000</w:t>
            </w:r>
          </w:p>
        </w:tc>
      </w:tr>
      <w:tr w:rsidR="00EE4B95" w:rsidRPr="00F32F38" w14:paraId="32AEE735" w14:textId="77777777" w:rsidTr="00DB0DE6">
        <w:trPr>
          <w:trHeight w:val="240"/>
        </w:trPr>
        <w:tc>
          <w:tcPr>
            <w:tcW w:w="7125" w:type="dxa"/>
            <w:tcBorders>
              <w:top w:val="nil"/>
              <w:left w:val="nil"/>
              <w:bottom w:val="nil"/>
              <w:right w:val="nil"/>
            </w:tcBorders>
            <w:shd w:val="clear" w:color="auto" w:fill="auto"/>
            <w:noWrap/>
            <w:vAlign w:val="center"/>
            <w:hideMark/>
          </w:tcPr>
          <w:p w14:paraId="22D76AAF" w14:textId="77777777" w:rsidR="00EE4B95" w:rsidRPr="00F32F38" w:rsidRDefault="00EE4B95" w:rsidP="00E607DA">
            <w:pPr>
              <w:rPr>
                <w:rFonts w:ascii="Meta Pro" w:eastAsia="Times New Roman" w:hAnsi="Meta Pro"/>
                <w:b/>
                <w:bCs/>
                <w:lang w:eastAsia="en-AU"/>
              </w:rPr>
            </w:pPr>
            <w:r w:rsidRPr="00F32F38">
              <w:rPr>
                <w:rFonts w:ascii="Meta Pro" w:eastAsia="Times New Roman" w:hAnsi="Meta Pro"/>
                <w:b/>
                <w:bCs/>
                <w:lang w:eastAsia="en-AU"/>
              </w:rPr>
              <w:t>7     SUPPLIES AND SERVICES</w:t>
            </w:r>
          </w:p>
        </w:tc>
        <w:tc>
          <w:tcPr>
            <w:tcW w:w="1161" w:type="dxa"/>
            <w:tcBorders>
              <w:top w:val="nil"/>
              <w:left w:val="nil"/>
              <w:bottom w:val="nil"/>
              <w:right w:val="nil"/>
            </w:tcBorders>
            <w:shd w:val="clear" w:color="auto" w:fill="auto"/>
            <w:noWrap/>
            <w:vAlign w:val="center"/>
            <w:hideMark/>
          </w:tcPr>
          <w:p w14:paraId="3D247DF6" w14:textId="77777777" w:rsidR="00EE4B95" w:rsidRPr="00F32F38" w:rsidRDefault="00EE4B95" w:rsidP="00E607DA">
            <w:pPr>
              <w:rPr>
                <w:rFonts w:ascii="Meta Pro" w:eastAsia="Times New Roman" w:hAnsi="Meta Pro"/>
                <w:b/>
                <w:bCs/>
                <w:lang w:eastAsia="en-AU"/>
              </w:rPr>
            </w:pPr>
          </w:p>
        </w:tc>
        <w:tc>
          <w:tcPr>
            <w:tcW w:w="223" w:type="dxa"/>
            <w:tcBorders>
              <w:top w:val="nil"/>
              <w:left w:val="nil"/>
              <w:bottom w:val="nil"/>
              <w:right w:val="nil"/>
            </w:tcBorders>
            <w:shd w:val="clear" w:color="auto" w:fill="auto"/>
            <w:noWrap/>
            <w:vAlign w:val="center"/>
            <w:hideMark/>
          </w:tcPr>
          <w:p w14:paraId="3C011DA9" w14:textId="77777777" w:rsidR="00EE4B95" w:rsidRPr="00F32F38" w:rsidRDefault="00EE4B95" w:rsidP="00E607DA">
            <w:pPr>
              <w:rPr>
                <w:rFonts w:ascii="Meta Pro" w:eastAsia="Times New Roman" w:hAnsi="Meta Pro" w:cs="Times New Roman"/>
                <w:sz w:val="20"/>
                <w:szCs w:val="20"/>
                <w:lang w:eastAsia="en-AU"/>
              </w:rPr>
            </w:pPr>
          </w:p>
        </w:tc>
        <w:tc>
          <w:tcPr>
            <w:tcW w:w="1161" w:type="dxa"/>
            <w:tcBorders>
              <w:top w:val="nil"/>
              <w:left w:val="nil"/>
              <w:bottom w:val="nil"/>
              <w:right w:val="nil"/>
            </w:tcBorders>
            <w:shd w:val="clear" w:color="auto" w:fill="auto"/>
            <w:noWrap/>
            <w:vAlign w:val="center"/>
            <w:hideMark/>
          </w:tcPr>
          <w:p w14:paraId="11DBA753" w14:textId="77777777" w:rsidR="00EE4B95" w:rsidRPr="00F32F38" w:rsidRDefault="00EE4B95" w:rsidP="00E607DA">
            <w:pPr>
              <w:rPr>
                <w:rFonts w:ascii="Meta Pro" w:eastAsia="Times New Roman" w:hAnsi="Meta Pro" w:cs="Times New Roman"/>
                <w:sz w:val="20"/>
                <w:szCs w:val="20"/>
                <w:lang w:eastAsia="en-AU"/>
              </w:rPr>
            </w:pPr>
          </w:p>
        </w:tc>
      </w:tr>
      <w:tr w:rsidR="00EE4B95" w:rsidRPr="00F32F38" w14:paraId="2CA99F43" w14:textId="77777777" w:rsidTr="00DB0DE6">
        <w:trPr>
          <w:trHeight w:val="90"/>
        </w:trPr>
        <w:tc>
          <w:tcPr>
            <w:tcW w:w="7125" w:type="dxa"/>
            <w:tcBorders>
              <w:top w:val="nil"/>
              <w:left w:val="nil"/>
              <w:bottom w:val="nil"/>
              <w:right w:val="nil"/>
            </w:tcBorders>
            <w:shd w:val="clear" w:color="auto" w:fill="auto"/>
            <w:noWrap/>
            <w:vAlign w:val="center"/>
            <w:hideMark/>
          </w:tcPr>
          <w:p w14:paraId="7AE89DBD" w14:textId="77777777" w:rsidR="00EE4B95" w:rsidRPr="00F32F38" w:rsidRDefault="00EE4B95" w:rsidP="00E607DA">
            <w:pPr>
              <w:rPr>
                <w:rFonts w:ascii="Meta Pro" w:eastAsia="Times New Roman" w:hAnsi="Meta Pro" w:cs="Times New Roman"/>
                <w:sz w:val="20"/>
                <w:szCs w:val="20"/>
                <w:lang w:eastAsia="en-AU"/>
              </w:rPr>
            </w:pPr>
          </w:p>
        </w:tc>
        <w:tc>
          <w:tcPr>
            <w:tcW w:w="1161" w:type="dxa"/>
            <w:tcBorders>
              <w:top w:val="nil"/>
              <w:left w:val="nil"/>
              <w:bottom w:val="nil"/>
              <w:right w:val="nil"/>
            </w:tcBorders>
            <w:shd w:val="clear" w:color="auto" w:fill="auto"/>
            <w:noWrap/>
            <w:vAlign w:val="center"/>
            <w:hideMark/>
          </w:tcPr>
          <w:p w14:paraId="48F8526C" w14:textId="77777777" w:rsidR="00EE4B95" w:rsidRPr="00F32F38" w:rsidRDefault="00EE4B95" w:rsidP="00E607DA">
            <w:pPr>
              <w:rPr>
                <w:rFonts w:ascii="Meta Pro" w:eastAsia="Times New Roman" w:hAnsi="Meta Pro" w:cs="Times New Roman"/>
                <w:sz w:val="20"/>
                <w:szCs w:val="20"/>
                <w:lang w:eastAsia="en-AU"/>
              </w:rPr>
            </w:pPr>
          </w:p>
        </w:tc>
        <w:tc>
          <w:tcPr>
            <w:tcW w:w="223" w:type="dxa"/>
            <w:tcBorders>
              <w:top w:val="nil"/>
              <w:left w:val="nil"/>
              <w:bottom w:val="nil"/>
              <w:right w:val="nil"/>
            </w:tcBorders>
            <w:shd w:val="clear" w:color="auto" w:fill="auto"/>
            <w:noWrap/>
            <w:vAlign w:val="center"/>
            <w:hideMark/>
          </w:tcPr>
          <w:p w14:paraId="797ECF53" w14:textId="77777777" w:rsidR="00EE4B95" w:rsidRPr="00F32F38" w:rsidRDefault="00EE4B95" w:rsidP="00E607DA">
            <w:pPr>
              <w:rPr>
                <w:rFonts w:ascii="Meta Pro" w:eastAsia="Times New Roman" w:hAnsi="Meta Pro" w:cs="Times New Roman"/>
                <w:sz w:val="20"/>
                <w:szCs w:val="20"/>
                <w:lang w:eastAsia="en-AU"/>
              </w:rPr>
            </w:pPr>
          </w:p>
        </w:tc>
        <w:tc>
          <w:tcPr>
            <w:tcW w:w="1161" w:type="dxa"/>
            <w:tcBorders>
              <w:top w:val="nil"/>
              <w:left w:val="nil"/>
              <w:bottom w:val="nil"/>
              <w:right w:val="nil"/>
            </w:tcBorders>
            <w:shd w:val="clear" w:color="auto" w:fill="auto"/>
            <w:noWrap/>
            <w:vAlign w:val="center"/>
            <w:hideMark/>
          </w:tcPr>
          <w:p w14:paraId="10E4980B" w14:textId="77777777" w:rsidR="00EE4B95" w:rsidRPr="00F32F38" w:rsidRDefault="00EE4B95" w:rsidP="00E607DA">
            <w:pPr>
              <w:rPr>
                <w:rFonts w:ascii="Meta Pro" w:eastAsia="Times New Roman" w:hAnsi="Meta Pro" w:cs="Times New Roman"/>
                <w:sz w:val="20"/>
                <w:szCs w:val="20"/>
                <w:lang w:eastAsia="en-AU"/>
              </w:rPr>
            </w:pPr>
          </w:p>
        </w:tc>
      </w:tr>
      <w:tr w:rsidR="00EE4B95" w:rsidRPr="00F32F38" w14:paraId="635D0D1B" w14:textId="77777777" w:rsidTr="00DB0DE6">
        <w:trPr>
          <w:trHeight w:val="240"/>
        </w:trPr>
        <w:tc>
          <w:tcPr>
            <w:tcW w:w="7125" w:type="dxa"/>
            <w:tcBorders>
              <w:top w:val="nil"/>
              <w:left w:val="nil"/>
              <w:bottom w:val="nil"/>
              <w:right w:val="nil"/>
            </w:tcBorders>
            <w:shd w:val="clear" w:color="auto" w:fill="auto"/>
            <w:noWrap/>
            <w:vAlign w:val="center"/>
            <w:hideMark/>
          </w:tcPr>
          <w:p w14:paraId="024F88D6" w14:textId="77777777" w:rsidR="00EE4B95" w:rsidRPr="00F32F38" w:rsidRDefault="00EE4B95" w:rsidP="00E607DA">
            <w:pPr>
              <w:rPr>
                <w:rFonts w:ascii="Meta Pro" w:eastAsia="Times New Roman" w:hAnsi="Meta Pro"/>
                <w:szCs w:val="18"/>
                <w:lang w:eastAsia="en-AU"/>
              </w:rPr>
            </w:pPr>
            <w:r w:rsidRPr="00F32F38">
              <w:rPr>
                <w:rFonts w:ascii="Meta Pro" w:eastAsia="Times New Roman" w:hAnsi="Meta Pro"/>
                <w:szCs w:val="18"/>
                <w:lang w:eastAsia="en-AU"/>
              </w:rPr>
              <w:t>Administration</w:t>
            </w:r>
          </w:p>
        </w:tc>
        <w:tc>
          <w:tcPr>
            <w:tcW w:w="1161" w:type="dxa"/>
            <w:tcBorders>
              <w:top w:val="nil"/>
              <w:left w:val="nil"/>
              <w:bottom w:val="nil"/>
              <w:right w:val="nil"/>
            </w:tcBorders>
            <w:shd w:val="clear" w:color="000000" w:fill="C9E3B4"/>
            <w:noWrap/>
            <w:vAlign w:val="center"/>
            <w:hideMark/>
          </w:tcPr>
          <w:p w14:paraId="404135C3" w14:textId="77777777" w:rsidR="00EE4B95" w:rsidRPr="00F32F38" w:rsidRDefault="00EE4B95" w:rsidP="00E607DA">
            <w:pPr>
              <w:jc w:val="right"/>
              <w:rPr>
                <w:rFonts w:ascii="Meta Pro" w:eastAsia="Times New Roman" w:hAnsi="Meta Pro"/>
                <w:szCs w:val="18"/>
                <w:lang w:eastAsia="en-AU"/>
              </w:rPr>
            </w:pPr>
            <w:r w:rsidRPr="00F32F38">
              <w:rPr>
                <w:rFonts w:ascii="Meta Pro" w:eastAsia="Times New Roman" w:hAnsi="Meta Pro"/>
                <w:szCs w:val="18"/>
                <w:lang w:eastAsia="en-AU"/>
              </w:rPr>
              <w:t xml:space="preserve">65,749 </w:t>
            </w:r>
          </w:p>
        </w:tc>
        <w:tc>
          <w:tcPr>
            <w:tcW w:w="223" w:type="dxa"/>
            <w:tcBorders>
              <w:top w:val="nil"/>
              <w:left w:val="nil"/>
              <w:bottom w:val="nil"/>
              <w:right w:val="nil"/>
            </w:tcBorders>
            <w:shd w:val="clear" w:color="auto" w:fill="auto"/>
            <w:noWrap/>
            <w:vAlign w:val="center"/>
            <w:hideMark/>
          </w:tcPr>
          <w:p w14:paraId="20B84047" w14:textId="77777777" w:rsidR="00EE4B95" w:rsidRPr="00F32F38" w:rsidRDefault="00EE4B95" w:rsidP="00E607DA">
            <w:pPr>
              <w:jc w:val="right"/>
              <w:rPr>
                <w:rFonts w:ascii="Meta Pro" w:eastAsia="Times New Roman" w:hAnsi="Meta Pro"/>
                <w:szCs w:val="18"/>
                <w:lang w:eastAsia="en-AU"/>
              </w:rPr>
            </w:pPr>
          </w:p>
        </w:tc>
        <w:tc>
          <w:tcPr>
            <w:tcW w:w="1161" w:type="dxa"/>
            <w:tcBorders>
              <w:top w:val="nil"/>
              <w:left w:val="nil"/>
              <w:bottom w:val="nil"/>
              <w:right w:val="nil"/>
            </w:tcBorders>
            <w:shd w:val="clear" w:color="auto" w:fill="auto"/>
            <w:noWrap/>
            <w:vAlign w:val="center"/>
            <w:hideMark/>
          </w:tcPr>
          <w:p w14:paraId="5786A461" w14:textId="77777777" w:rsidR="00EE4B95" w:rsidRPr="00F32F38" w:rsidRDefault="00EE4B95" w:rsidP="00E607DA">
            <w:pPr>
              <w:jc w:val="right"/>
              <w:rPr>
                <w:rFonts w:ascii="Meta Pro" w:eastAsia="Times New Roman" w:hAnsi="Meta Pro"/>
                <w:szCs w:val="18"/>
                <w:lang w:eastAsia="en-AU"/>
              </w:rPr>
            </w:pPr>
            <w:r w:rsidRPr="00F32F38">
              <w:rPr>
                <w:rFonts w:ascii="Meta Pro" w:eastAsia="Times New Roman" w:hAnsi="Meta Pro"/>
                <w:szCs w:val="18"/>
                <w:lang w:eastAsia="en-AU"/>
              </w:rPr>
              <w:t xml:space="preserve">63,785 </w:t>
            </w:r>
          </w:p>
        </w:tc>
      </w:tr>
      <w:tr w:rsidR="00EE4B95" w:rsidRPr="00F32F38" w14:paraId="48E83903" w14:textId="77777777" w:rsidTr="00DB0DE6">
        <w:trPr>
          <w:trHeight w:val="240"/>
        </w:trPr>
        <w:tc>
          <w:tcPr>
            <w:tcW w:w="7125" w:type="dxa"/>
            <w:tcBorders>
              <w:top w:val="nil"/>
              <w:left w:val="nil"/>
              <w:bottom w:val="nil"/>
              <w:right w:val="nil"/>
            </w:tcBorders>
            <w:shd w:val="clear" w:color="auto" w:fill="auto"/>
            <w:noWrap/>
            <w:vAlign w:val="center"/>
            <w:hideMark/>
          </w:tcPr>
          <w:p w14:paraId="03CCA5EB" w14:textId="77777777" w:rsidR="00EE4B95" w:rsidRPr="00F32F38" w:rsidRDefault="00EE4B95" w:rsidP="00E607DA">
            <w:pPr>
              <w:rPr>
                <w:rFonts w:ascii="Meta Pro" w:eastAsia="Times New Roman" w:hAnsi="Meta Pro"/>
                <w:szCs w:val="18"/>
                <w:lang w:eastAsia="en-AU"/>
              </w:rPr>
            </w:pPr>
            <w:r w:rsidRPr="00F32F38">
              <w:rPr>
                <w:rFonts w:ascii="Meta Pro" w:eastAsia="Times New Roman" w:hAnsi="Meta Pro"/>
                <w:szCs w:val="18"/>
                <w:lang w:eastAsia="en-AU"/>
              </w:rPr>
              <w:t>Contractors – including service contracts:</w:t>
            </w:r>
          </w:p>
        </w:tc>
        <w:tc>
          <w:tcPr>
            <w:tcW w:w="1161" w:type="dxa"/>
            <w:tcBorders>
              <w:top w:val="nil"/>
              <w:left w:val="nil"/>
              <w:bottom w:val="nil"/>
              <w:right w:val="nil"/>
            </w:tcBorders>
            <w:shd w:val="clear" w:color="000000" w:fill="C9E3B4"/>
            <w:noWrap/>
            <w:vAlign w:val="center"/>
            <w:hideMark/>
          </w:tcPr>
          <w:p w14:paraId="5D05EB6E" w14:textId="77777777" w:rsidR="00EE4B95" w:rsidRPr="00F32F38" w:rsidRDefault="00EE4B95" w:rsidP="00E607DA">
            <w:pPr>
              <w:rPr>
                <w:rFonts w:ascii="Meta Pro" w:eastAsia="Times New Roman" w:hAnsi="Meta Pro"/>
                <w:szCs w:val="18"/>
                <w:lang w:eastAsia="en-AU"/>
              </w:rPr>
            </w:pPr>
            <w:r w:rsidRPr="00F32F38">
              <w:rPr>
                <w:rFonts w:ascii="Meta Pro" w:eastAsia="Times New Roman" w:hAnsi="Meta Pro"/>
                <w:szCs w:val="18"/>
                <w:lang w:eastAsia="en-AU"/>
              </w:rPr>
              <w:t> </w:t>
            </w:r>
          </w:p>
        </w:tc>
        <w:tc>
          <w:tcPr>
            <w:tcW w:w="223" w:type="dxa"/>
            <w:tcBorders>
              <w:top w:val="nil"/>
              <w:left w:val="nil"/>
              <w:bottom w:val="nil"/>
              <w:right w:val="nil"/>
            </w:tcBorders>
            <w:shd w:val="clear" w:color="auto" w:fill="auto"/>
            <w:noWrap/>
            <w:vAlign w:val="center"/>
            <w:hideMark/>
          </w:tcPr>
          <w:p w14:paraId="4725CA9B" w14:textId="77777777" w:rsidR="00EE4B95" w:rsidRPr="00F32F38" w:rsidRDefault="00EE4B95" w:rsidP="00E607DA">
            <w:pPr>
              <w:rPr>
                <w:rFonts w:ascii="Meta Pro" w:eastAsia="Times New Roman" w:hAnsi="Meta Pro"/>
                <w:szCs w:val="18"/>
                <w:lang w:eastAsia="en-AU"/>
              </w:rPr>
            </w:pPr>
          </w:p>
        </w:tc>
        <w:tc>
          <w:tcPr>
            <w:tcW w:w="1161" w:type="dxa"/>
            <w:tcBorders>
              <w:top w:val="nil"/>
              <w:left w:val="nil"/>
              <w:bottom w:val="nil"/>
              <w:right w:val="nil"/>
            </w:tcBorders>
            <w:shd w:val="clear" w:color="auto" w:fill="auto"/>
            <w:noWrap/>
            <w:vAlign w:val="center"/>
            <w:hideMark/>
          </w:tcPr>
          <w:p w14:paraId="0FDA6884" w14:textId="77777777" w:rsidR="00EE4B95" w:rsidRPr="00F32F38" w:rsidRDefault="00EE4B95" w:rsidP="00E607DA">
            <w:pPr>
              <w:rPr>
                <w:rFonts w:ascii="Meta Pro" w:eastAsia="Times New Roman" w:hAnsi="Meta Pro" w:cs="Times New Roman"/>
                <w:sz w:val="20"/>
                <w:szCs w:val="20"/>
                <w:lang w:eastAsia="en-AU"/>
              </w:rPr>
            </w:pPr>
          </w:p>
        </w:tc>
      </w:tr>
      <w:tr w:rsidR="00EE4B95" w:rsidRPr="00F32F38" w14:paraId="6124D5D8" w14:textId="77777777" w:rsidTr="00DB0DE6">
        <w:trPr>
          <w:trHeight w:val="240"/>
        </w:trPr>
        <w:tc>
          <w:tcPr>
            <w:tcW w:w="7125" w:type="dxa"/>
            <w:tcBorders>
              <w:top w:val="nil"/>
              <w:left w:val="nil"/>
              <w:bottom w:val="nil"/>
              <w:right w:val="nil"/>
            </w:tcBorders>
            <w:shd w:val="clear" w:color="auto" w:fill="auto"/>
            <w:noWrap/>
            <w:vAlign w:val="center"/>
            <w:hideMark/>
          </w:tcPr>
          <w:p w14:paraId="0FE0169D" w14:textId="77777777" w:rsidR="00EE4B95" w:rsidRPr="00F32F38" w:rsidRDefault="00EE4B95" w:rsidP="00E607DA">
            <w:pPr>
              <w:rPr>
                <w:rFonts w:ascii="Meta Pro" w:eastAsia="Times New Roman" w:hAnsi="Meta Pro"/>
                <w:szCs w:val="18"/>
                <w:lang w:eastAsia="en-AU"/>
              </w:rPr>
            </w:pPr>
            <w:r w:rsidRPr="00F32F38">
              <w:rPr>
                <w:rFonts w:ascii="Meta Pro" w:eastAsia="Times New Roman" w:hAnsi="Meta Pro"/>
                <w:szCs w:val="18"/>
                <w:lang w:eastAsia="en-AU"/>
              </w:rPr>
              <w:t xml:space="preserve">     Administrative and professional *</w:t>
            </w:r>
          </w:p>
        </w:tc>
        <w:tc>
          <w:tcPr>
            <w:tcW w:w="1161" w:type="dxa"/>
            <w:tcBorders>
              <w:top w:val="nil"/>
              <w:left w:val="nil"/>
              <w:bottom w:val="nil"/>
              <w:right w:val="nil"/>
            </w:tcBorders>
            <w:shd w:val="clear" w:color="000000" w:fill="C9E3B4"/>
            <w:noWrap/>
            <w:vAlign w:val="center"/>
            <w:hideMark/>
          </w:tcPr>
          <w:p w14:paraId="22D03571" w14:textId="77777777" w:rsidR="00EE4B95" w:rsidRPr="00F32F38" w:rsidRDefault="00EE4B95" w:rsidP="00E607DA">
            <w:pPr>
              <w:jc w:val="right"/>
              <w:rPr>
                <w:rFonts w:ascii="Meta Pro" w:eastAsia="Times New Roman" w:hAnsi="Meta Pro"/>
                <w:szCs w:val="18"/>
                <w:lang w:eastAsia="en-AU"/>
              </w:rPr>
            </w:pPr>
            <w:r w:rsidRPr="00F32F38">
              <w:rPr>
                <w:rFonts w:ascii="Meta Pro" w:eastAsia="Times New Roman" w:hAnsi="Meta Pro"/>
                <w:szCs w:val="18"/>
                <w:lang w:eastAsia="en-AU"/>
              </w:rPr>
              <w:t xml:space="preserve">59,956 </w:t>
            </w:r>
          </w:p>
        </w:tc>
        <w:tc>
          <w:tcPr>
            <w:tcW w:w="223" w:type="dxa"/>
            <w:tcBorders>
              <w:top w:val="nil"/>
              <w:left w:val="nil"/>
              <w:bottom w:val="nil"/>
              <w:right w:val="nil"/>
            </w:tcBorders>
            <w:shd w:val="clear" w:color="auto" w:fill="auto"/>
            <w:noWrap/>
            <w:vAlign w:val="center"/>
            <w:hideMark/>
          </w:tcPr>
          <w:p w14:paraId="289EF091" w14:textId="77777777" w:rsidR="00EE4B95" w:rsidRPr="00F32F38" w:rsidRDefault="00EE4B95" w:rsidP="00E607DA">
            <w:pPr>
              <w:jc w:val="right"/>
              <w:rPr>
                <w:rFonts w:ascii="Meta Pro" w:eastAsia="Times New Roman" w:hAnsi="Meta Pro"/>
                <w:szCs w:val="18"/>
                <w:lang w:eastAsia="en-AU"/>
              </w:rPr>
            </w:pPr>
          </w:p>
        </w:tc>
        <w:tc>
          <w:tcPr>
            <w:tcW w:w="1161" w:type="dxa"/>
            <w:tcBorders>
              <w:top w:val="nil"/>
              <w:left w:val="nil"/>
              <w:bottom w:val="nil"/>
              <w:right w:val="nil"/>
            </w:tcBorders>
            <w:shd w:val="clear" w:color="auto" w:fill="auto"/>
            <w:noWrap/>
            <w:vAlign w:val="center"/>
            <w:hideMark/>
          </w:tcPr>
          <w:p w14:paraId="747FAD36" w14:textId="77777777" w:rsidR="00EE4B95" w:rsidRPr="00F32F38" w:rsidRDefault="00EE4B95" w:rsidP="00E607DA">
            <w:pPr>
              <w:jc w:val="right"/>
              <w:rPr>
                <w:rFonts w:ascii="Meta Pro" w:eastAsia="Times New Roman" w:hAnsi="Meta Pro"/>
                <w:szCs w:val="18"/>
                <w:lang w:eastAsia="en-AU"/>
              </w:rPr>
            </w:pPr>
            <w:r w:rsidRPr="00F32F38">
              <w:rPr>
                <w:rFonts w:ascii="Meta Pro" w:eastAsia="Times New Roman" w:hAnsi="Meta Pro"/>
                <w:szCs w:val="18"/>
                <w:lang w:eastAsia="en-AU"/>
              </w:rPr>
              <w:t xml:space="preserve">77,846 </w:t>
            </w:r>
          </w:p>
        </w:tc>
      </w:tr>
      <w:tr w:rsidR="00EE4B95" w:rsidRPr="00F32F38" w14:paraId="24F7E079" w14:textId="77777777" w:rsidTr="00DB0DE6">
        <w:trPr>
          <w:trHeight w:val="240"/>
        </w:trPr>
        <w:tc>
          <w:tcPr>
            <w:tcW w:w="7125" w:type="dxa"/>
            <w:tcBorders>
              <w:top w:val="nil"/>
              <w:left w:val="nil"/>
              <w:bottom w:val="nil"/>
              <w:right w:val="nil"/>
            </w:tcBorders>
            <w:shd w:val="clear" w:color="auto" w:fill="auto"/>
            <w:noWrap/>
            <w:vAlign w:val="center"/>
            <w:hideMark/>
          </w:tcPr>
          <w:p w14:paraId="5D2CA897" w14:textId="77777777" w:rsidR="00EE4B95" w:rsidRPr="00F32F38" w:rsidRDefault="00EE4B95" w:rsidP="00E607DA">
            <w:pPr>
              <w:rPr>
                <w:rFonts w:ascii="Meta Pro" w:eastAsia="Times New Roman" w:hAnsi="Meta Pro"/>
                <w:szCs w:val="18"/>
                <w:lang w:eastAsia="en-AU"/>
              </w:rPr>
            </w:pPr>
            <w:r w:rsidRPr="00F32F38">
              <w:rPr>
                <w:rFonts w:ascii="Meta Pro" w:eastAsia="Times New Roman" w:hAnsi="Meta Pro"/>
                <w:szCs w:val="18"/>
                <w:lang w:eastAsia="en-AU"/>
              </w:rPr>
              <w:t xml:space="preserve">     Information technology</w:t>
            </w:r>
          </w:p>
        </w:tc>
        <w:tc>
          <w:tcPr>
            <w:tcW w:w="1161" w:type="dxa"/>
            <w:tcBorders>
              <w:top w:val="nil"/>
              <w:left w:val="nil"/>
              <w:bottom w:val="nil"/>
              <w:right w:val="nil"/>
            </w:tcBorders>
            <w:shd w:val="clear" w:color="000000" w:fill="C9E3B4"/>
            <w:noWrap/>
            <w:vAlign w:val="center"/>
            <w:hideMark/>
          </w:tcPr>
          <w:p w14:paraId="154CA2FE" w14:textId="77777777" w:rsidR="00EE4B95" w:rsidRPr="00F32F38" w:rsidRDefault="00EE4B95" w:rsidP="00E607DA">
            <w:pPr>
              <w:jc w:val="right"/>
              <w:rPr>
                <w:rFonts w:ascii="Meta Pro" w:eastAsia="Times New Roman" w:hAnsi="Meta Pro"/>
                <w:szCs w:val="18"/>
                <w:lang w:eastAsia="en-AU"/>
              </w:rPr>
            </w:pPr>
            <w:r w:rsidRPr="00F32F38">
              <w:rPr>
                <w:rFonts w:ascii="Meta Pro" w:eastAsia="Times New Roman" w:hAnsi="Meta Pro"/>
                <w:szCs w:val="18"/>
                <w:lang w:eastAsia="en-AU"/>
              </w:rPr>
              <w:t xml:space="preserve">78,320 </w:t>
            </w:r>
          </w:p>
        </w:tc>
        <w:tc>
          <w:tcPr>
            <w:tcW w:w="223" w:type="dxa"/>
            <w:tcBorders>
              <w:top w:val="nil"/>
              <w:left w:val="nil"/>
              <w:bottom w:val="nil"/>
              <w:right w:val="nil"/>
            </w:tcBorders>
            <w:shd w:val="clear" w:color="auto" w:fill="auto"/>
            <w:noWrap/>
            <w:vAlign w:val="center"/>
            <w:hideMark/>
          </w:tcPr>
          <w:p w14:paraId="3815A099" w14:textId="77777777" w:rsidR="00EE4B95" w:rsidRPr="00F32F38" w:rsidRDefault="00EE4B95" w:rsidP="00E607DA">
            <w:pPr>
              <w:jc w:val="right"/>
              <w:rPr>
                <w:rFonts w:ascii="Meta Pro" w:eastAsia="Times New Roman" w:hAnsi="Meta Pro"/>
                <w:szCs w:val="18"/>
                <w:lang w:eastAsia="en-AU"/>
              </w:rPr>
            </w:pPr>
          </w:p>
        </w:tc>
        <w:tc>
          <w:tcPr>
            <w:tcW w:w="1161" w:type="dxa"/>
            <w:tcBorders>
              <w:top w:val="nil"/>
              <w:left w:val="nil"/>
              <w:bottom w:val="nil"/>
              <w:right w:val="nil"/>
            </w:tcBorders>
            <w:shd w:val="clear" w:color="auto" w:fill="auto"/>
            <w:noWrap/>
            <w:vAlign w:val="center"/>
            <w:hideMark/>
          </w:tcPr>
          <w:p w14:paraId="30BEDB82" w14:textId="77777777" w:rsidR="00EE4B95" w:rsidRPr="00F32F38" w:rsidRDefault="00EE4B95" w:rsidP="00E607DA">
            <w:pPr>
              <w:jc w:val="right"/>
              <w:rPr>
                <w:rFonts w:ascii="Meta Pro" w:eastAsia="Times New Roman" w:hAnsi="Meta Pro"/>
                <w:szCs w:val="18"/>
                <w:lang w:eastAsia="en-AU"/>
              </w:rPr>
            </w:pPr>
            <w:r w:rsidRPr="00F32F38">
              <w:rPr>
                <w:rFonts w:ascii="Meta Pro" w:eastAsia="Times New Roman" w:hAnsi="Meta Pro"/>
                <w:szCs w:val="18"/>
                <w:lang w:eastAsia="en-AU"/>
              </w:rPr>
              <w:t xml:space="preserve">40,725 </w:t>
            </w:r>
          </w:p>
        </w:tc>
      </w:tr>
      <w:tr w:rsidR="00EE4B95" w:rsidRPr="00F32F38" w14:paraId="63B8093B" w14:textId="77777777" w:rsidTr="00DB0DE6">
        <w:trPr>
          <w:trHeight w:val="240"/>
        </w:trPr>
        <w:tc>
          <w:tcPr>
            <w:tcW w:w="7125" w:type="dxa"/>
            <w:tcBorders>
              <w:top w:val="nil"/>
              <w:left w:val="nil"/>
              <w:bottom w:val="nil"/>
              <w:right w:val="nil"/>
            </w:tcBorders>
            <w:shd w:val="clear" w:color="auto" w:fill="auto"/>
            <w:noWrap/>
            <w:vAlign w:val="center"/>
            <w:hideMark/>
          </w:tcPr>
          <w:p w14:paraId="546B380E" w14:textId="77777777" w:rsidR="00EE4B95" w:rsidRPr="00F32F38" w:rsidRDefault="00EE4B95" w:rsidP="00E607DA">
            <w:pPr>
              <w:rPr>
                <w:rFonts w:ascii="Meta Pro" w:eastAsia="Times New Roman" w:hAnsi="Meta Pro"/>
                <w:szCs w:val="18"/>
                <w:lang w:eastAsia="en-AU"/>
              </w:rPr>
            </w:pPr>
            <w:r w:rsidRPr="00F32F38">
              <w:rPr>
                <w:rFonts w:ascii="Meta Pro" w:eastAsia="Times New Roman" w:hAnsi="Meta Pro"/>
                <w:szCs w:val="18"/>
                <w:lang w:eastAsia="en-AU"/>
              </w:rPr>
              <w:t xml:space="preserve">     Queensland Transport and Roads Investment Program (QTRIP)</w:t>
            </w:r>
          </w:p>
        </w:tc>
        <w:tc>
          <w:tcPr>
            <w:tcW w:w="1161" w:type="dxa"/>
            <w:tcBorders>
              <w:top w:val="nil"/>
              <w:left w:val="nil"/>
              <w:bottom w:val="nil"/>
              <w:right w:val="nil"/>
            </w:tcBorders>
            <w:shd w:val="clear" w:color="000000" w:fill="C9E3B4"/>
            <w:noWrap/>
            <w:vAlign w:val="center"/>
            <w:hideMark/>
          </w:tcPr>
          <w:p w14:paraId="30525079" w14:textId="77777777" w:rsidR="00EE4B95" w:rsidRPr="00F32F38" w:rsidRDefault="00EE4B95" w:rsidP="00E607DA">
            <w:pPr>
              <w:jc w:val="right"/>
              <w:rPr>
                <w:rFonts w:ascii="Meta Pro" w:eastAsia="Times New Roman" w:hAnsi="Meta Pro"/>
                <w:szCs w:val="18"/>
                <w:lang w:eastAsia="en-AU"/>
              </w:rPr>
            </w:pPr>
            <w:r w:rsidRPr="00F32F38">
              <w:rPr>
                <w:rFonts w:ascii="Meta Pro" w:eastAsia="Times New Roman" w:hAnsi="Meta Pro"/>
                <w:szCs w:val="18"/>
                <w:lang w:eastAsia="en-AU"/>
              </w:rPr>
              <w:t xml:space="preserve">483,024 </w:t>
            </w:r>
          </w:p>
        </w:tc>
        <w:tc>
          <w:tcPr>
            <w:tcW w:w="223" w:type="dxa"/>
            <w:tcBorders>
              <w:top w:val="nil"/>
              <w:left w:val="nil"/>
              <w:bottom w:val="nil"/>
              <w:right w:val="nil"/>
            </w:tcBorders>
            <w:shd w:val="clear" w:color="auto" w:fill="auto"/>
            <w:noWrap/>
            <w:vAlign w:val="center"/>
            <w:hideMark/>
          </w:tcPr>
          <w:p w14:paraId="60E5EE33" w14:textId="77777777" w:rsidR="00EE4B95" w:rsidRPr="00F32F38" w:rsidRDefault="00EE4B95" w:rsidP="00E607DA">
            <w:pPr>
              <w:jc w:val="right"/>
              <w:rPr>
                <w:rFonts w:ascii="Meta Pro" w:eastAsia="Times New Roman" w:hAnsi="Meta Pro"/>
                <w:szCs w:val="18"/>
                <w:lang w:eastAsia="en-AU"/>
              </w:rPr>
            </w:pPr>
          </w:p>
        </w:tc>
        <w:tc>
          <w:tcPr>
            <w:tcW w:w="1161" w:type="dxa"/>
            <w:tcBorders>
              <w:top w:val="nil"/>
              <w:left w:val="nil"/>
              <w:bottom w:val="nil"/>
              <w:right w:val="nil"/>
            </w:tcBorders>
            <w:shd w:val="clear" w:color="auto" w:fill="auto"/>
            <w:noWrap/>
            <w:vAlign w:val="center"/>
            <w:hideMark/>
          </w:tcPr>
          <w:p w14:paraId="6FEFF5DD" w14:textId="77777777" w:rsidR="00EE4B95" w:rsidRPr="00F32F38" w:rsidRDefault="00EE4B95" w:rsidP="00E607DA">
            <w:pPr>
              <w:jc w:val="right"/>
              <w:rPr>
                <w:rFonts w:ascii="Meta Pro" w:eastAsia="Times New Roman" w:hAnsi="Meta Pro"/>
                <w:szCs w:val="18"/>
                <w:lang w:eastAsia="en-AU"/>
              </w:rPr>
            </w:pPr>
            <w:r w:rsidRPr="00F32F38">
              <w:rPr>
                <w:rFonts w:ascii="Meta Pro" w:eastAsia="Times New Roman" w:hAnsi="Meta Pro"/>
                <w:szCs w:val="18"/>
                <w:lang w:eastAsia="en-AU"/>
              </w:rPr>
              <w:t xml:space="preserve">446,053 </w:t>
            </w:r>
          </w:p>
        </w:tc>
      </w:tr>
      <w:tr w:rsidR="00EE4B95" w:rsidRPr="00F32F38" w14:paraId="1884F741" w14:textId="77777777" w:rsidTr="00DB0DE6">
        <w:trPr>
          <w:trHeight w:val="240"/>
        </w:trPr>
        <w:tc>
          <w:tcPr>
            <w:tcW w:w="7125" w:type="dxa"/>
            <w:tcBorders>
              <w:top w:val="nil"/>
              <w:left w:val="nil"/>
              <w:bottom w:val="nil"/>
              <w:right w:val="nil"/>
            </w:tcBorders>
            <w:shd w:val="clear" w:color="auto" w:fill="auto"/>
            <w:noWrap/>
            <w:vAlign w:val="center"/>
            <w:hideMark/>
          </w:tcPr>
          <w:p w14:paraId="264716A5" w14:textId="77777777" w:rsidR="00EE4B95" w:rsidRPr="00F32F38" w:rsidRDefault="00EE4B95" w:rsidP="00E607DA">
            <w:pPr>
              <w:rPr>
                <w:rFonts w:ascii="Meta Pro" w:eastAsia="Times New Roman" w:hAnsi="Meta Pro"/>
                <w:szCs w:val="18"/>
                <w:lang w:eastAsia="en-AU"/>
              </w:rPr>
            </w:pPr>
            <w:r w:rsidRPr="00F32F38">
              <w:rPr>
                <w:rFonts w:ascii="Meta Pro" w:eastAsia="Times New Roman" w:hAnsi="Meta Pro"/>
                <w:szCs w:val="18"/>
                <w:lang w:eastAsia="en-AU"/>
              </w:rPr>
              <w:t xml:space="preserve">     Repairs and maintenance</w:t>
            </w:r>
          </w:p>
        </w:tc>
        <w:tc>
          <w:tcPr>
            <w:tcW w:w="1161" w:type="dxa"/>
            <w:tcBorders>
              <w:top w:val="nil"/>
              <w:left w:val="nil"/>
              <w:bottom w:val="nil"/>
              <w:right w:val="nil"/>
            </w:tcBorders>
            <w:shd w:val="clear" w:color="000000" w:fill="C9E3B4"/>
            <w:noWrap/>
            <w:vAlign w:val="center"/>
            <w:hideMark/>
          </w:tcPr>
          <w:p w14:paraId="103C753C" w14:textId="77777777" w:rsidR="00EE4B95" w:rsidRPr="00F32F38" w:rsidRDefault="00EE4B95" w:rsidP="00E607DA">
            <w:pPr>
              <w:jc w:val="right"/>
              <w:rPr>
                <w:rFonts w:ascii="Meta Pro" w:eastAsia="Times New Roman" w:hAnsi="Meta Pro"/>
                <w:szCs w:val="18"/>
                <w:lang w:eastAsia="en-AU"/>
              </w:rPr>
            </w:pPr>
            <w:r w:rsidRPr="00F32F38">
              <w:rPr>
                <w:rFonts w:ascii="Meta Pro" w:eastAsia="Times New Roman" w:hAnsi="Meta Pro"/>
                <w:szCs w:val="18"/>
                <w:lang w:eastAsia="en-AU"/>
              </w:rPr>
              <w:t xml:space="preserve">86,948 </w:t>
            </w:r>
          </w:p>
        </w:tc>
        <w:tc>
          <w:tcPr>
            <w:tcW w:w="223" w:type="dxa"/>
            <w:tcBorders>
              <w:top w:val="nil"/>
              <w:left w:val="nil"/>
              <w:bottom w:val="nil"/>
              <w:right w:val="nil"/>
            </w:tcBorders>
            <w:shd w:val="clear" w:color="auto" w:fill="auto"/>
            <w:noWrap/>
            <w:vAlign w:val="center"/>
            <w:hideMark/>
          </w:tcPr>
          <w:p w14:paraId="7A6A4899" w14:textId="77777777" w:rsidR="00EE4B95" w:rsidRPr="00F32F38" w:rsidRDefault="00EE4B95" w:rsidP="00E607DA">
            <w:pPr>
              <w:jc w:val="right"/>
              <w:rPr>
                <w:rFonts w:ascii="Meta Pro" w:eastAsia="Times New Roman" w:hAnsi="Meta Pro"/>
                <w:szCs w:val="18"/>
                <w:lang w:eastAsia="en-AU"/>
              </w:rPr>
            </w:pPr>
          </w:p>
        </w:tc>
        <w:tc>
          <w:tcPr>
            <w:tcW w:w="1161" w:type="dxa"/>
            <w:tcBorders>
              <w:top w:val="nil"/>
              <w:left w:val="nil"/>
              <w:bottom w:val="nil"/>
              <w:right w:val="nil"/>
            </w:tcBorders>
            <w:shd w:val="clear" w:color="auto" w:fill="auto"/>
            <w:noWrap/>
            <w:vAlign w:val="center"/>
            <w:hideMark/>
          </w:tcPr>
          <w:p w14:paraId="5A701290" w14:textId="77777777" w:rsidR="00EE4B95" w:rsidRPr="00F32F38" w:rsidRDefault="00EE4B95" w:rsidP="00E607DA">
            <w:pPr>
              <w:jc w:val="right"/>
              <w:rPr>
                <w:rFonts w:ascii="Meta Pro" w:eastAsia="Times New Roman" w:hAnsi="Meta Pro"/>
                <w:szCs w:val="18"/>
                <w:lang w:eastAsia="en-AU"/>
              </w:rPr>
            </w:pPr>
            <w:r w:rsidRPr="00F32F38">
              <w:rPr>
                <w:rFonts w:ascii="Meta Pro" w:eastAsia="Times New Roman" w:hAnsi="Meta Pro"/>
                <w:szCs w:val="18"/>
                <w:lang w:eastAsia="en-AU"/>
              </w:rPr>
              <w:t xml:space="preserve">55,263 </w:t>
            </w:r>
          </w:p>
        </w:tc>
      </w:tr>
      <w:tr w:rsidR="00EE4B95" w:rsidRPr="00F32F38" w14:paraId="6369323B" w14:textId="77777777" w:rsidTr="00DB0DE6">
        <w:trPr>
          <w:trHeight w:val="240"/>
        </w:trPr>
        <w:tc>
          <w:tcPr>
            <w:tcW w:w="7125" w:type="dxa"/>
            <w:tcBorders>
              <w:top w:val="nil"/>
              <w:left w:val="nil"/>
              <w:bottom w:val="nil"/>
              <w:right w:val="nil"/>
            </w:tcBorders>
            <w:shd w:val="clear" w:color="auto" w:fill="auto"/>
            <w:noWrap/>
            <w:vAlign w:val="center"/>
            <w:hideMark/>
          </w:tcPr>
          <w:p w14:paraId="400E4364" w14:textId="77777777" w:rsidR="00EE4B95" w:rsidRPr="00F32F38" w:rsidRDefault="00EE4B95" w:rsidP="00E607DA">
            <w:pPr>
              <w:rPr>
                <w:rFonts w:ascii="Meta Pro" w:eastAsia="Times New Roman" w:hAnsi="Meta Pro"/>
                <w:szCs w:val="18"/>
                <w:lang w:eastAsia="en-AU"/>
              </w:rPr>
            </w:pPr>
            <w:r w:rsidRPr="00F32F38">
              <w:rPr>
                <w:rFonts w:ascii="Meta Pro" w:eastAsia="Times New Roman" w:hAnsi="Meta Pro"/>
                <w:szCs w:val="18"/>
                <w:lang w:eastAsia="en-AU"/>
              </w:rPr>
              <w:t xml:space="preserve">     Transport services – Queensland Rail **</w:t>
            </w:r>
          </w:p>
        </w:tc>
        <w:tc>
          <w:tcPr>
            <w:tcW w:w="1161" w:type="dxa"/>
            <w:tcBorders>
              <w:top w:val="nil"/>
              <w:left w:val="nil"/>
              <w:bottom w:val="nil"/>
              <w:right w:val="nil"/>
            </w:tcBorders>
            <w:shd w:val="clear" w:color="000000" w:fill="C9E3B4"/>
            <w:noWrap/>
            <w:vAlign w:val="center"/>
            <w:hideMark/>
          </w:tcPr>
          <w:p w14:paraId="7E3C37CE" w14:textId="77777777" w:rsidR="00EE4B95" w:rsidRPr="00F32F38" w:rsidRDefault="00EE4B95" w:rsidP="00E607DA">
            <w:pPr>
              <w:jc w:val="right"/>
              <w:rPr>
                <w:rFonts w:ascii="Meta Pro" w:eastAsia="Times New Roman" w:hAnsi="Meta Pro"/>
                <w:szCs w:val="18"/>
                <w:lang w:eastAsia="en-AU"/>
              </w:rPr>
            </w:pPr>
            <w:r w:rsidRPr="00F32F38">
              <w:rPr>
                <w:rFonts w:ascii="Meta Pro" w:eastAsia="Times New Roman" w:hAnsi="Meta Pro"/>
                <w:szCs w:val="18"/>
                <w:lang w:eastAsia="en-AU"/>
              </w:rPr>
              <w:t xml:space="preserve">1,998,842 </w:t>
            </w:r>
          </w:p>
        </w:tc>
        <w:tc>
          <w:tcPr>
            <w:tcW w:w="223" w:type="dxa"/>
            <w:tcBorders>
              <w:top w:val="nil"/>
              <w:left w:val="nil"/>
              <w:bottom w:val="nil"/>
              <w:right w:val="nil"/>
            </w:tcBorders>
            <w:shd w:val="clear" w:color="auto" w:fill="auto"/>
            <w:noWrap/>
            <w:vAlign w:val="center"/>
            <w:hideMark/>
          </w:tcPr>
          <w:p w14:paraId="6735C9ED" w14:textId="77777777" w:rsidR="00EE4B95" w:rsidRPr="00F32F38" w:rsidRDefault="00EE4B95" w:rsidP="00E607DA">
            <w:pPr>
              <w:jc w:val="right"/>
              <w:rPr>
                <w:rFonts w:ascii="Meta Pro" w:eastAsia="Times New Roman" w:hAnsi="Meta Pro"/>
                <w:szCs w:val="18"/>
                <w:lang w:eastAsia="en-AU"/>
              </w:rPr>
            </w:pPr>
          </w:p>
        </w:tc>
        <w:tc>
          <w:tcPr>
            <w:tcW w:w="1161" w:type="dxa"/>
            <w:tcBorders>
              <w:top w:val="nil"/>
              <w:left w:val="nil"/>
              <w:bottom w:val="nil"/>
              <w:right w:val="nil"/>
            </w:tcBorders>
            <w:shd w:val="clear" w:color="auto" w:fill="auto"/>
            <w:noWrap/>
            <w:vAlign w:val="center"/>
            <w:hideMark/>
          </w:tcPr>
          <w:p w14:paraId="15907F1D" w14:textId="77777777" w:rsidR="00EE4B95" w:rsidRPr="00F32F38" w:rsidRDefault="00EE4B95" w:rsidP="00E607DA">
            <w:pPr>
              <w:jc w:val="right"/>
              <w:rPr>
                <w:rFonts w:ascii="Meta Pro" w:eastAsia="Times New Roman" w:hAnsi="Meta Pro"/>
                <w:szCs w:val="18"/>
                <w:lang w:eastAsia="en-AU"/>
              </w:rPr>
            </w:pPr>
            <w:r w:rsidRPr="00F32F38">
              <w:rPr>
                <w:rFonts w:ascii="Meta Pro" w:eastAsia="Times New Roman" w:hAnsi="Meta Pro"/>
                <w:szCs w:val="18"/>
                <w:lang w:eastAsia="en-AU"/>
              </w:rPr>
              <w:t xml:space="preserve">1,912,301 </w:t>
            </w:r>
          </w:p>
        </w:tc>
      </w:tr>
      <w:tr w:rsidR="00EE4B95" w:rsidRPr="00F32F38" w14:paraId="0479EBC3" w14:textId="77777777" w:rsidTr="00DB0DE6">
        <w:trPr>
          <w:trHeight w:val="240"/>
        </w:trPr>
        <w:tc>
          <w:tcPr>
            <w:tcW w:w="7125" w:type="dxa"/>
            <w:tcBorders>
              <w:top w:val="nil"/>
              <w:left w:val="nil"/>
              <w:bottom w:val="nil"/>
              <w:right w:val="nil"/>
            </w:tcBorders>
            <w:shd w:val="clear" w:color="auto" w:fill="auto"/>
            <w:noWrap/>
            <w:vAlign w:val="center"/>
            <w:hideMark/>
          </w:tcPr>
          <w:p w14:paraId="55B8F233" w14:textId="77777777" w:rsidR="00EE4B95" w:rsidRPr="00F32F38" w:rsidRDefault="00EE4B95" w:rsidP="00E607DA">
            <w:pPr>
              <w:rPr>
                <w:rFonts w:ascii="Meta Pro" w:eastAsia="Times New Roman" w:hAnsi="Meta Pro"/>
                <w:szCs w:val="18"/>
                <w:lang w:eastAsia="en-AU"/>
              </w:rPr>
            </w:pPr>
            <w:r w:rsidRPr="00F32F38">
              <w:rPr>
                <w:rFonts w:ascii="Meta Pro" w:eastAsia="Times New Roman" w:hAnsi="Meta Pro"/>
                <w:szCs w:val="18"/>
                <w:lang w:eastAsia="en-AU"/>
              </w:rPr>
              <w:t xml:space="preserve">     Transport services – other</w:t>
            </w:r>
          </w:p>
        </w:tc>
        <w:tc>
          <w:tcPr>
            <w:tcW w:w="1161" w:type="dxa"/>
            <w:tcBorders>
              <w:top w:val="nil"/>
              <w:left w:val="nil"/>
              <w:bottom w:val="nil"/>
              <w:right w:val="nil"/>
            </w:tcBorders>
            <w:shd w:val="clear" w:color="000000" w:fill="C9E3B4"/>
            <w:noWrap/>
            <w:vAlign w:val="center"/>
            <w:hideMark/>
          </w:tcPr>
          <w:p w14:paraId="33307687" w14:textId="77777777" w:rsidR="00EE4B95" w:rsidRPr="00F32F38" w:rsidRDefault="00EE4B95" w:rsidP="00E607DA">
            <w:pPr>
              <w:jc w:val="right"/>
              <w:rPr>
                <w:rFonts w:ascii="Meta Pro" w:eastAsia="Times New Roman" w:hAnsi="Meta Pro"/>
                <w:szCs w:val="18"/>
                <w:lang w:eastAsia="en-AU"/>
              </w:rPr>
            </w:pPr>
            <w:r w:rsidRPr="00F32F38">
              <w:rPr>
                <w:rFonts w:ascii="Meta Pro" w:eastAsia="Times New Roman" w:hAnsi="Meta Pro"/>
                <w:szCs w:val="18"/>
                <w:lang w:eastAsia="en-AU"/>
              </w:rPr>
              <w:t xml:space="preserve">1,086,346 </w:t>
            </w:r>
          </w:p>
        </w:tc>
        <w:tc>
          <w:tcPr>
            <w:tcW w:w="223" w:type="dxa"/>
            <w:tcBorders>
              <w:top w:val="nil"/>
              <w:left w:val="nil"/>
              <w:bottom w:val="nil"/>
              <w:right w:val="nil"/>
            </w:tcBorders>
            <w:shd w:val="clear" w:color="auto" w:fill="auto"/>
            <w:noWrap/>
            <w:vAlign w:val="center"/>
            <w:hideMark/>
          </w:tcPr>
          <w:p w14:paraId="653FF760" w14:textId="77777777" w:rsidR="00EE4B95" w:rsidRPr="00F32F38" w:rsidRDefault="00EE4B95" w:rsidP="00E607DA">
            <w:pPr>
              <w:jc w:val="right"/>
              <w:rPr>
                <w:rFonts w:ascii="Meta Pro" w:eastAsia="Times New Roman" w:hAnsi="Meta Pro"/>
                <w:szCs w:val="18"/>
                <w:lang w:eastAsia="en-AU"/>
              </w:rPr>
            </w:pPr>
          </w:p>
        </w:tc>
        <w:tc>
          <w:tcPr>
            <w:tcW w:w="1161" w:type="dxa"/>
            <w:tcBorders>
              <w:top w:val="nil"/>
              <w:left w:val="nil"/>
              <w:bottom w:val="nil"/>
              <w:right w:val="nil"/>
            </w:tcBorders>
            <w:shd w:val="clear" w:color="auto" w:fill="auto"/>
            <w:noWrap/>
            <w:vAlign w:val="center"/>
            <w:hideMark/>
          </w:tcPr>
          <w:p w14:paraId="62021203" w14:textId="77777777" w:rsidR="00EE4B95" w:rsidRPr="00F32F38" w:rsidRDefault="00EE4B95" w:rsidP="00E607DA">
            <w:pPr>
              <w:jc w:val="right"/>
              <w:rPr>
                <w:rFonts w:ascii="Meta Pro" w:eastAsia="Times New Roman" w:hAnsi="Meta Pro"/>
                <w:szCs w:val="18"/>
                <w:lang w:eastAsia="en-AU"/>
              </w:rPr>
            </w:pPr>
            <w:r w:rsidRPr="00F32F38">
              <w:rPr>
                <w:rFonts w:ascii="Meta Pro" w:eastAsia="Times New Roman" w:hAnsi="Meta Pro"/>
                <w:szCs w:val="18"/>
                <w:lang w:eastAsia="en-AU"/>
              </w:rPr>
              <w:t xml:space="preserve">1,059,045 </w:t>
            </w:r>
          </w:p>
        </w:tc>
      </w:tr>
      <w:tr w:rsidR="00EE4B95" w:rsidRPr="00F32F38" w14:paraId="1ECF5F69" w14:textId="77777777" w:rsidTr="00DB0DE6">
        <w:trPr>
          <w:trHeight w:val="240"/>
        </w:trPr>
        <w:tc>
          <w:tcPr>
            <w:tcW w:w="7125" w:type="dxa"/>
            <w:tcBorders>
              <w:top w:val="nil"/>
              <w:left w:val="nil"/>
              <w:bottom w:val="nil"/>
              <w:right w:val="nil"/>
            </w:tcBorders>
            <w:shd w:val="clear" w:color="auto" w:fill="auto"/>
            <w:noWrap/>
            <w:vAlign w:val="center"/>
            <w:hideMark/>
          </w:tcPr>
          <w:p w14:paraId="5456562E" w14:textId="77777777" w:rsidR="00EE4B95" w:rsidRPr="00F32F38" w:rsidRDefault="00EE4B95" w:rsidP="00E607DA">
            <w:pPr>
              <w:rPr>
                <w:rFonts w:ascii="Meta Pro" w:eastAsia="Times New Roman" w:hAnsi="Meta Pro"/>
                <w:szCs w:val="18"/>
                <w:lang w:eastAsia="en-AU"/>
              </w:rPr>
            </w:pPr>
            <w:r w:rsidRPr="00F32F38">
              <w:rPr>
                <w:rFonts w:ascii="Meta Pro" w:eastAsia="Times New Roman" w:hAnsi="Meta Pro"/>
                <w:szCs w:val="18"/>
                <w:lang w:eastAsia="en-AU"/>
              </w:rPr>
              <w:t xml:space="preserve">     Other</w:t>
            </w:r>
          </w:p>
        </w:tc>
        <w:tc>
          <w:tcPr>
            <w:tcW w:w="1161" w:type="dxa"/>
            <w:tcBorders>
              <w:top w:val="nil"/>
              <w:left w:val="nil"/>
              <w:bottom w:val="nil"/>
              <w:right w:val="nil"/>
            </w:tcBorders>
            <w:shd w:val="clear" w:color="000000" w:fill="C9E3B4"/>
            <w:noWrap/>
            <w:vAlign w:val="center"/>
            <w:hideMark/>
          </w:tcPr>
          <w:p w14:paraId="0F350159" w14:textId="77777777" w:rsidR="00EE4B95" w:rsidRPr="00F32F38" w:rsidRDefault="00EE4B95" w:rsidP="00E607DA">
            <w:pPr>
              <w:jc w:val="right"/>
              <w:rPr>
                <w:rFonts w:ascii="Meta Pro" w:eastAsia="Times New Roman" w:hAnsi="Meta Pro"/>
                <w:szCs w:val="18"/>
                <w:lang w:eastAsia="en-AU"/>
              </w:rPr>
            </w:pPr>
            <w:r w:rsidRPr="00F32F38">
              <w:rPr>
                <w:rFonts w:ascii="Meta Pro" w:eastAsia="Times New Roman" w:hAnsi="Meta Pro"/>
                <w:szCs w:val="18"/>
                <w:lang w:eastAsia="en-AU"/>
              </w:rPr>
              <w:t xml:space="preserve">40,270 </w:t>
            </w:r>
          </w:p>
        </w:tc>
        <w:tc>
          <w:tcPr>
            <w:tcW w:w="223" w:type="dxa"/>
            <w:tcBorders>
              <w:top w:val="nil"/>
              <w:left w:val="nil"/>
              <w:bottom w:val="nil"/>
              <w:right w:val="nil"/>
            </w:tcBorders>
            <w:shd w:val="clear" w:color="auto" w:fill="auto"/>
            <w:noWrap/>
            <w:vAlign w:val="center"/>
            <w:hideMark/>
          </w:tcPr>
          <w:p w14:paraId="7F81769D" w14:textId="77777777" w:rsidR="00EE4B95" w:rsidRPr="00F32F38" w:rsidRDefault="00EE4B95" w:rsidP="00E607DA">
            <w:pPr>
              <w:jc w:val="right"/>
              <w:rPr>
                <w:rFonts w:ascii="Meta Pro" w:eastAsia="Times New Roman" w:hAnsi="Meta Pro"/>
                <w:szCs w:val="18"/>
                <w:lang w:eastAsia="en-AU"/>
              </w:rPr>
            </w:pPr>
          </w:p>
        </w:tc>
        <w:tc>
          <w:tcPr>
            <w:tcW w:w="1161" w:type="dxa"/>
            <w:tcBorders>
              <w:top w:val="nil"/>
              <w:left w:val="nil"/>
              <w:bottom w:val="nil"/>
              <w:right w:val="nil"/>
            </w:tcBorders>
            <w:shd w:val="clear" w:color="auto" w:fill="auto"/>
            <w:noWrap/>
            <w:vAlign w:val="center"/>
            <w:hideMark/>
          </w:tcPr>
          <w:p w14:paraId="24B06996" w14:textId="77777777" w:rsidR="00EE4B95" w:rsidRPr="00F32F38" w:rsidRDefault="00EE4B95" w:rsidP="00E607DA">
            <w:pPr>
              <w:jc w:val="right"/>
              <w:rPr>
                <w:rFonts w:ascii="Meta Pro" w:eastAsia="Times New Roman" w:hAnsi="Meta Pro"/>
                <w:szCs w:val="18"/>
                <w:lang w:eastAsia="en-AU"/>
              </w:rPr>
            </w:pPr>
            <w:r w:rsidRPr="00F32F38">
              <w:rPr>
                <w:rFonts w:ascii="Meta Pro" w:eastAsia="Times New Roman" w:hAnsi="Meta Pro"/>
                <w:szCs w:val="18"/>
                <w:lang w:eastAsia="en-AU"/>
              </w:rPr>
              <w:t xml:space="preserve">31,466 </w:t>
            </w:r>
          </w:p>
        </w:tc>
      </w:tr>
      <w:tr w:rsidR="00EE4B95" w:rsidRPr="00F32F38" w14:paraId="73194711" w14:textId="77777777" w:rsidTr="00DB0DE6">
        <w:trPr>
          <w:trHeight w:val="240"/>
        </w:trPr>
        <w:tc>
          <w:tcPr>
            <w:tcW w:w="7125" w:type="dxa"/>
            <w:tcBorders>
              <w:top w:val="nil"/>
              <w:left w:val="nil"/>
              <w:bottom w:val="nil"/>
              <w:right w:val="nil"/>
            </w:tcBorders>
            <w:shd w:val="clear" w:color="auto" w:fill="auto"/>
            <w:noWrap/>
            <w:vAlign w:val="center"/>
            <w:hideMark/>
          </w:tcPr>
          <w:p w14:paraId="148BF04D" w14:textId="77777777" w:rsidR="00EE4B95" w:rsidRPr="00F32F38" w:rsidRDefault="00EE4B95" w:rsidP="00E607DA">
            <w:pPr>
              <w:rPr>
                <w:rFonts w:ascii="Meta Pro" w:eastAsia="Times New Roman" w:hAnsi="Meta Pro"/>
                <w:szCs w:val="18"/>
                <w:lang w:eastAsia="en-AU"/>
              </w:rPr>
            </w:pPr>
            <w:r w:rsidRPr="00F32F38">
              <w:rPr>
                <w:rFonts w:ascii="Meta Pro" w:eastAsia="Times New Roman" w:hAnsi="Meta Pro"/>
                <w:szCs w:val="18"/>
                <w:lang w:eastAsia="en-AU"/>
              </w:rPr>
              <w:lastRenderedPageBreak/>
              <w:t>Communication equipment and service charges</w:t>
            </w:r>
          </w:p>
        </w:tc>
        <w:tc>
          <w:tcPr>
            <w:tcW w:w="1161" w:type="dxa"/>
            <w:tcBorders>
              <w:top w:val="nil"/>
              <w:left w:val="nil"/>
              <w:bottom w:val="nil"/>
              <w:right w:val="nil"/>
            </w:tcBorders>
            <w:shd w:val="clear" w:color="000000" w:fill="C9E3B4"/>
            <w:noWrap/>
            <w:vAlign w:val="center"/>
            <w:hideMark/>
          </w:tcPr>
          <w:p w14:paraId="578E7371" w14:textId="77777777" w:rsidR="00EE4B95" w:rsidRPr="00F32F38" w:rsidRDefault="00EE4B95" w:rsidP="00E607DA">
            <w:pPr>
              <w:jc w:val="right"/>
              <w:rPr>
                <w:rFonts w:ascii="Meta Pro" w:eastAsia="Times New Roman" w:hAnsi="Meta Pro"/>
                <w:szCs w:val="18"/>
                <w:lang w:eastAsia="en-AU"/>
              </w:rPr>
            </w:pPr>
            <w:r w:rsidRPr="00F32F38">
              <w:rPr>
                <w:rFonts w:ascii="Meta Pro" w:eastAsia="Times New Roman" w:hAnsi="Meta Pro"/>
                <w:szCs w:val="18"/>
                <w:lang w:eastAsia="en-AU"/>
              </w:rPr>
              <w:t xml:space="preserve">55,304 </w:t>
            </w:r>
          </w:p>
        </w:tc>
        <w:tc>
          <w:tcPr>
            <w:tcW w:w="223" w:type="dxa"/>
            <w:tcBorders>
              <w:top w:val="nil"/>
              <w:left w:val="nil"/>
              <w:bottom w:val="nil"/>
              <w:right w:val="nil"/>
            </w:tcBorders>
            <w:shd w:val="clear" w:color="auto" w:fill="auto"/>
            <w:noWrap/>
            <w:vAlign w:val="center"/>
            <w:hideMark/>
          </w:tcPr>
          <w:p w14:paraId="0EEF9C1B" w14:textId="77777777" w:rsidR="00EE4B95" w:rsidRPr="00F32F38" w:rsidRDefault="00EE4B95" w:rsidP="00E607DA">
            <w:pPr>
              <w:jc w:val="right"/>
              <w:rPr>
                <w:rFonts w:ascii="Meta Pro" w:eastAsia="Times New Roman" w:hAnsi="Meta Pro"/>
                <w:szCs w:val="18"/>
                <w:lang w:eastAsia="en-AU"/>
              </w:rPr>
            </w:pPr>
          </w:p>
        </w:tc>
        <w:tc>
          <w:tcPr>
            <w:tcW w:w="1161" w:type="dxa"/>
            <w:tcBorders>
              <w:top w:val="nil"/>
              <w:left w:val="nil"/>
              <w:bottom w:val="nil"/>
              <w:right w:val="nil"/>
            </w:tcBorders>
            <w:shd w:val="clear" w:color="auto" w:fill="auto"/>
            <w:noWrap/>
            <w:vAlign w:val="center"/>
            <w:hideMark/>
          </w:tcPr>
          <w:p w14:paraId="19447A6C" w14:textId="77777777" w:rsidR="00EE4B95" w:rsidRPr="00F32F38" w:rsidRDefault="00EE4B95" w:rsidP="00E607DA">
            <w:pPr>
              <w:jc w:val="right"/>
              <w:rPr>
                <w:rFonts w:ascii="Meta Pro" w:eastAsia="Times New Roman" w:hAnsi="Meta Pro"/>
                <w:szCs w:val="18"/>
                <w:lang w:eastAsia="en-AU"/>
              </w:rPr>
            </w:pPr>
            <w:r w:rsidRPr="00F32F38">
              <w:rPr>
                <w:rFonts w:ascii="Meta Pro" w:eastAsia="Times New Roman" w:hAnsi="Meta Pro"/>
                <w:szCs w:val="18"/>
                <w:lang w:eastAsia="en-AU"/>
              </w:rPr>
              <w:t xml:space="preserve">48,992 </w:t>
            </w:r>
          </w:p>
        </w:tc>
      </w:tr>
      <w:tr w:rsidR="00EE4B95" w:rsidRPr="00F32F38" w14:paraId="4545C1C7" w14:textId="77777777" w:rsidTr="00DB0DE6">
        <w:trPr>
          <w:trHeight w:val="240"/>
        </w:trPr>
        <w:tc>
          <w:tcPr>
            <w:tcW w:w="7125" w:type="dxa"/>
            <w:tcBorders>
              <w:top w:val="nil"/>
              <w:left w:val="nil"/>
              <w:bottom w:val="nil"/>
              <w:right w:val="nil"/>
            </w:tcBorders>
            <w:shd w:val="clear" w:color="auto" w:fill="auto"/>
            <w:noWrap/>
            <w:vAlign w:val="center"/>
            <w:hideMark/>
          </w:tcPr>
          <w:p w14:paraId="2BC83C1B" w14:textId="77777777" w:rsidR="00EE4B95" w:rsidRPr="00F32F38" w:rsidRDefault="00EE4B95" w:rsidP="00E607DA">
            <w:pPr>
              <w:rPr>
                <w:rFonts w:ascii="Meta Pro" w:eastAsia="Times New Roman" w:hAnsi="Meta Pro"/>
                <w:szCs w:val="18"/>
                <w:lang w:eastAsia="en-AU"/>
              </w:rPr>
            </w:pPr>
            <w:r w:rsidRPr="00F32F38">
              <w:rPr>
                <w:rFonts w:ascii="Meta Pro" w:eastAsia="Times New Roman" w:hAnsi="Meta Pro"/>
                <w:szCs w:val="18"/>
                <w:lang w:eastAsia="en-AU"/>
              </w:rPr>
              <w:t>Motor vehicles – Qfleet</w:t>
            </w:r>
          </w:p>
        </w:tc>
        <w:tc>
          <w:tcPr>
            <w:tcW w:w="1161" w:type="dxa"/>
            <w:tcBorders>
              <w:top w:val="nil"/>
              <w:left w:val="nil"/>
              <w:bottom w:val="nil"/>
              <w:right w:val="nil"/>
            </w:tcBorders>
            <w:shd w:val="clear" w:color="000000" w:fill="C9E3B4"/>
            <w:noWrap/>
            <w:vAlign w:val="center"/>
            <w:hideMark/>
          </w:tcPr>
          <w:p w14:paraId="3BB6A50F" w14:textId="77777777" w:rsidR="00EE4B95" w:rsidRPr="00F32F38" w:rsidRDefault="00EE4B95" w:rsidP="00E607DA">
            <w:pPr>
              <w:jc w:val="right"/>
              <w:rPr>
                <w:rFonts w:ascii="Meta Pro" w:eastAsia="Times New Roman" w:hAnsi="Meta Pro"/>
                <w:szCs w:val="18"/>
                <w:lang w:eastAsia="en-AU"/>
              </w:rPr>
            </w:pPr>
            <w:r w:rsidRPr="00F32F38">
              <w:rPr>
                <w:rFonts w:ascii="Meta Pro" w:eastAsia="Times New Roman" w:hAnsi="Meta Pro"/>
                <w:szCs w:val="18"/>
                <w:lang w:eastAsia="en-AU"/>
              </w:rPr>
              <w:t xml:space="preserve">10,265 </w:t>
            </w:r>
          </w:p>
        </w:tc>
        <w:tc>
          <w:tcPr>
            <w:tcW w:w="223" w:type="dxa"/>
            <w:tcBorders>
              <w:top w:val="nil"/>
              <w:left w:val="nil"/>
              <w:bottom w:val="nil"/>
              <w:right w:val="nil"/>
            </w:tcBorders>
            <w:shd w:val="clear" w:color="auto" w:fill="auto"/>
            <w:noWrap/>
            <w:vAlign w:val="center"/>
            <w:hideMark/>
          </w:tcPr>
          <w:p w14:paraId="68E714B3" w14:textId="77777777" w:rsidR="00EE4B95" w:rsidRPr="00F32F38" w:rsidRDefault="00EE4B95" w:rsidP="00E607DA">
            <w:pPr>
              <w:jc w:val="right"/>
              <w:rPr>
                <w:rFonts w:ascii="Meta Pro" w:eastAsia="Times New Roman" w:hAnsi="Meta Pro"/>
                <w:szCs w:val="18"/>
                <w:lang w:eastAsia="en-AU"/>
              </w:rPr>
            </w:pPr>
          </w:p>
        </w:tc>
        <w:tc>
          <w:tcPr>
            <w:tcW w:w="1161" w:type="dxa"/>
            <w:tcBorders>
              <w:top w:val="nil"/>
              <w:left w:val="nil"/>
              <w:bottom w:val="nil"/>
              <w:right w:val="nil"/>
            </w:tcBorders>
            <w:shd w:val="clear" w:color="auto" w:fill="auto"/>
            <w:noWrap/>
            <w:vAlign w:val="center"/>
            <w:hideMark/>
          </w:tcPr>
          <w:p w14:paraId="04121895" w14:textId="77777777" w:rsidR="00EE4B95" w:rsidRPr="00F32F38" w:rsidRDefault="00EE4B95" w:rsidP="00E607DA">
            <w:pPr>
              <w:jc w:val="right"/>
              <w:rPr>
                <w:rFonts w:ascii="Meta Pro" w:eastAsia="Times New Roman" w:hAnsi="Meta Pro"/>
                <w:szCs w:val="18"/>
                <w:lang w:eastAsia="en-AU"/>
              </w:rPr>
            </w:pPr>
            <w:r w:rsidRPr="00F32F38">
              <w:rPr>
                <w:rFonts w:ascii="Meta Pro" w:eastAsia="Times New Roman" w:hAnsi="Meta Pro"/>
                <w:szCs w:val="18"/>
                <w:lang w:eastAsia="en-AU"/>
              </w:rPr>
              <w:t xml:space="preserve">10,025 </w:t>
            </w:r>
          </w:p>
        </w:tc>
      </w:tr>
      <w:tr w:rsidR="00EE4B95" w:rsidRPr="00F32F38" w14:paraId="0193BFCB" w14:textId="77777777" w:rsidTr="00DB0DE6">
        <w:trPr>
          <w:trHeight w:val="240"/>
        </w:trPr>
        <w:tc>
          <w:tcPr>
            <w:tcW w:w="7125" w:type="dxa"/>
            <w:tcBorders>
              <w:top w:val="nil"/>
              <w:left w:val="nil"/>
              <w:bottom w:val="nil"/>
              <w:right w:val="nil"/>
            </w:tcBorders>
            <w:shd w:val="clear" w:color="auto" w:fill="auto"/>
            <w:noWrap/>
            <w:vAlign w:val="center"/>
            <w:hideMark/>
          </w:tcPr>
          <w:p w14:paraId="2027CB3B" w14:textId="77777777" w:rsidR="00EE4B95" w:rsidRPr="00F32F38" w:rsidRDefault="00EE4B95" w:rsidP="00E607DA">
            <w:pPr>
              <w:rPr>
                <w:rFonts w:ascii="Meta Pro" w:eastAsia="Times New Roman" w:hAnsi="Meta Pro"/>
                <w:szCs w:val="18"/>
                <w:lang w:eastAsia="en-AU"/>
              </w:rPr>
            </w:pPr>
            <w:r w:rsidRPr="00F32F38">
              <w:rPr>
                <w:rFonts w:ascii="Meta Pro" w:eastAsia="Times New Roman" w:hAnsi="Meta Pro"/>
                <w:szCs w:val="18"/>
                <w:lang w:eastAsia="en-AU"/>
              </w:rPr>
              <w:t>Office accommodation</w:t>
            </w:r>
          </w:p>
        </w:tc>
        <w:tc>
          <w:tcPr>
            <w:tcW w:w="1161" w:type="dxa"/>
            <w:tcBorders>
              <w:top w:val="nil"/>
              <w:left w:val="nil"/>
              <w:bottom w:val="nil"/>
              <w:right w:val="nil"/>
            </w:tcBorders>
            <w:shd w:val="clear" w:color="000000" w:fill="C9E3B4"/>
            <w:noWrap/>
            <w:vAlign w:val="center"/>
            <w:hideMark/>
          </w:tcPr>
          <w:p w14:paraId="31AC6B67" w14:textId="77777777" w:rsidR="00EE4B95" w:rsidRPr="00F32F38" w:rsidRDefault="00EE4B95" w:rsidP="00E607DA">
            <w:pPr>
              <w:jc w:val="right"/>
              <w:rPr>
                <w:rFonts w:ascii="Meta Pro" w:eastAsia="Times New Roman" w:hAnsi="Meta Pro"/>
                <w:szCs w:val="18"/>
                <w:lang w:eastAsia="en-AU"/>
              </w:rPr>
            </w:pPr>
            <w:r w:rsidRPr="00F32F38">
              <w:rPr>
                <w:rFonts w:ascii="Meta Pro" w:eastAsia="Times New Roman" w:hAnsi="Meta Pro"/>
                <w:szCs w:val="18"/>
                <w:lang w:eastAsia="en-AU"/>
              </w:rPr>
              <w:t xml:space="preserve">53,984 </w:t>
            </w:r>
          </w:p>
        </w:tc>
        <w:tc>
          <w:tcPr>
            <w:tcW w:w="223" w:type="dxa"/>
            <w:tcBorders>
              <w:top w:val="nil"/>
              <w:left w:val="nil"/>
              <w:bottom w:val="nil"/>
              <w:right w:val="nil"/>
            </w:tcBorders>
            <w:shd w:val="clear" w:color="auto" w:fill="auto"/>
            <w:noWrap/>
            <w:vAlign w:val="center"/>
            <w:hideMark/>
          </w:tcPr>
          <w:p w14:paraId="3EA12782" w14:textId="77777777" w:rsidR="00EE4B95" w:rsidRPr="00F32F38" w:rsidRDefault="00EE4B95" w:rsidP="00E607DA">
            <w:pPr>
              <w:jc w:val="right"/>
              <w:rPr>
                <w:rFonts w:ascii="Meta Pro" w:eastAsia="Times New Roman" w:hAnsi="Meta Pro"/>
                <w:szCs w:val="18"/>
                <w:lang w:eastAsia="en-AU"/>
              </w:rPr>
            </w:pPr>
          </w:p>
        </w:tc>
        <w:tc>
          <w:tcPr>
            <w:tcW w:w="1161" w:type="dxa"/>
            <w:tcBorders>
              <w:top w:val="nil"/>
              <w:left w:val="nil"/>
              <w:bottom w:val="nil"/>
              <w:right w:val="nil"/>
            </w:tcBorders>
            <w:shd w:val="clear" w:color="auto" w:fill="auto"/>
            <w:noWrap/>
            <w:vAlign w:val="center"/>
            <w:hideMark/>
          </w:tcPr>
          <w:p w14:paraId="47757EF1" w14:textId="77777777" w:rsidR="00EE4B95" w:rsidRPr="00F32F38" w:rsidRDefault="00EE4B95" w:rsidP="00E607DA">
            <w:pPr>
              <w:jc w:val="right"/>
              <w:rPr>
                <w:rFonts w:ascii="Meta Pro" w:eastAsia="Times New Roman" w:hAnsi="Meta Pro"/>
                <w:szCs w:val="18"/>
                <w:lang w:eastAsia="en-AU"/>
              </w:rPr>
            </w:pPr>
            <w:r w:rsidRPr="00F32F38">
              <w:rPr>
                <w:rFonts w:ascii="Meta Pro" w:eastAsia="Times New Roman" w:hAnsi="Meta Pro"/>
                <w:szCs w:val="18"/>
                <w:lang w:eastAsia="en-AU"/>
              </w:rPr>
              <w:t xml:space="preserve">51,258 </w:t>
            </w:r>
          </w:p>
        </w:tc>
      </w:tr>
      <w:tr w:rsidR="00EE4B95" w:rsidRPr="00F32F38" w14:paraId="1C3095EC" w14:textId="77777777" w:rsidTr="00DB0DE6">
        <w:trPr>
          <w:trHeight w:val="240"/>
        </w:trPr>
        <w:tc>
          <w:tcPr>
            <w:tcW w:w="7125" w:type="dxa"/>
            <w:tcBorders>
              <w:top w:val="nil"/>
              <w:left w:val="nil"/>
              <w:bottom w:val="nil"/>
              <w:right w:val="nil"/>
            </w:tcBorders>
            <w:shd w:val="clear" w:color="auto" w:fill="auto"/>
            <w:noWrap/>
            <w:vAlign w:val="center"/>
            <w:hideMark/>
          </w:tcPr>
          <w:p w14:paraId="1C3172DD" w14:textId="77777777" w:rsidR="00EE4B95" w:rsidRPr="00F32F38" w:rsidRDefault="00EE4B95" w:rsidP="00E607DA">
            <w:pPr>
              <w:rPr>
                <w:rFonts w:ascii="Meta Pro" w:eastAsia="Times New Roman" w:hAnsi="Meta Pro"/>
                <w:szCs w:val="18"/>
                <w:lang w:eastAsia="en-AU"/>
              </w:rPr>
            </w:pPr>
            <w:r w:rsidRPr="00F32F38">
              <w:rPr>
                <w:rFonts w:ascii="Meta Pro" w:eastAsia="Times New Roman" w:hAnsi="Meta Pro"/>
                <w:szCs w:val="18"/>
                <w:lang w:eastAsia="en-AU"/>
              </w:rPr>
              <w:t>Payments to other government agencies ***</w:t>
            </w:r>
          </w:p>
        </w:tc>
        <w:tc>
          <w:tcPr>
            <w:tcW w:w="1161" w:type="dxa"/>
            <w:tcBorders>
              <w:top w:val="nil"/>
              <w:left w:val="nil"/>
              <w:bottom w:val="nil"/>
              <w:right w:val="nil"/>
            </w:tcBorders>
            <w:shd w:val="clear" w:color="000000" w:fill="C9E3B4"/>
            <w:noWrap/>
            <w:vAlign w:val="center"/>
            <w:hideMark/>
          </w:tcPr>
          <w:p w14:paraId="301050E5" w14:textId="77777777" w:rsidR="00EE4B95" w:rsidRPr="00F32F38" w:rsidRDefault="00EE4B95" w:rsidP="00E607DA">
            <w:pPr>
              <w:jc w:val="right"/>
              <w:rPr>
                <w:rFonts w:ascii="Meta Pro" w:eastAsia="Times New Roman" w:hAnsi="Meta Pro"/>
                <w:szCs w:val="18"/>
                <w:lang w:eastAsia="en-AU"/>
              </w:rPr>
            </w:pPr>
            <w:r w:rsidRPr="00F32F38">
              <w:rPr>
                <w:rFonts w:ascii="Meta Pro" w:eastAsia="Times New Roman" w:hAnsi="Meta Pro"/>
                <w:szCs w:val="18"/>
                <w:lang w:eastAsia="en-AU"/>
              </w:rPr>
              <w:t xml:space="preserve">50,641 </w:t>
            </w:r>
          </w:p>
        </w:tc>
        <w:tc>
          <w:tcPr>
            <w:tcW w:w="223" w:type="dxa"/>
            <w:tcBorders>
              <w:top w:val="nil"/>
              <w:left w:val="nil"/>
              <w:bottom w:val="nil"/>
              <w:right w:val="nil"/>
            </w:tcBorders>
            <w:shd w:val="clear" w:color="auto" w:fill="auto"/>
            <w:noWrap/>
            <w:vAlign w:val="center"/>
            <w:hideMark/>
          </w:tcPr>
          <w:p w14:paraId="7CFC208A" w14:textId="77777777" w:rsidR="00EE4B95" w:rsidRPr="00F32F38" w:rsidRDefault="00EE4B95" w:rsidP="00E607DA">
            <w:pPr>
              <w:jc w:val="right"/>
              <w:rPr>
                <w:rFonts w:ascii="Meta Pro" w:eastAsia="Times New Roman" w:hAnsi="Meta Pro"/>
                <w:szCs w:val="18"/>
                <w:lang w:eastAsia="en-AU"/>
              </w:rPr>
            </w:pPr>
          </w:p>
        </w:tc>
        <w:tc>
          <w:tcPr>
            <w:tcW w:w="1161" w:type="dxa"/>
            <w:tcBorders>
              <w:top w:val="nil"/>
              <w:left w:val="nil"/>
              <w:bottom w:val="nil"/>
              <w:right w:val="nil"/>
            </w:tcBorders>
            <w:shd w:val="clear" w:color="auto" w:fill="auto"/>
            <w:noWrap/>
            <w:vAlign w:val="center"/>
            <w:hideMark/>
          </w:tcPr>
          <w:p w14:paraId="6F79514B" w14:textId="77777777" w:rsidR="00EE4B95" w:rsidRPr="00F32F38" w:rsidRDefault="00EE4B95" w:rsidP="00E607DA">
            <w:pPr>
              <w:jc w:val="right"/>
              <w:rPr>
                <w:rFonts w:ascii="Meta Pro" w:eastAsia="Times New Roman" w:hAnsi="Meta Pro"/>
                <w:szCs w:val="18"/>
                <w:lang w:eastAsia="en-AU"/>
              </w:rPr>
            </w:pPr>
            <w:r w:rsidRPr="00F32F38">
              <w:rPr>
                <w:rFonts w:ascii="Meta Pro" w:eastAsia="Times New Roman" w:hAnsi="Meta Pro"/>
                <w:szCs w:val="18"/>
                <w:lang w:eastAsia="en-AU"/>
              </w:rPr>
              <w:t xml:space="preserve">44,694 </w:t>
            </w:r>
          </w:p>
        </w:tc>
      </w:tr>
      <w:tr w:rsidR="00EE4B95" w:rsidRPr="00F32F38" w14:paraId="49ED7079" w14:textId="77777777" w:rsidTr="00DB0DE6">
        <w:trPr>
          <w:trHeight w:val="240"/>
        </w:trPr>
        <w:tc>
          <w:tcPr>
            <w:tcW w:w="7125" w:type="dxa"/>
            <w:tcBorders>
              <w:top w:val="nil"/>
              <w:left w:val="nil"/>
              <w:bottom w:val="nil"/>
              <w:right w:val="nil"/>
            </w:tcBorders>
            <w:shd w:val="clear" w:color="auto" w:fill="auto"/>
            <w:noWrap/>
            <w:vAlign w:val="center"/>
            <w:hideMark/>
          </w:tcPr>
          <w:p w14:paraId="0EF432F6" w14:textId="77777777" w:rsidR="00EE4B95" w:rsidRPr="00F32F38" w:rsidRDefault="00EE4B95" w:rsidP="00E607DA">
            <w:pPr>
              <w:rPr>
                <w:rFonts w:ascii="Meta Pro" w:eastAsia="Times New Roman" w:hAnsi="Meta Pro"/>
                <w:szCs w:val="18"/>
                <w:lang w:eastAsia="en-AU"/>
              </w:rPr>
            </w:pPr>
            <w:r w:rsidRPr="00F32F38">
              <w:rPr>
                <w:rFonts w:ascii="Meta Pro" w:eastAsia="Times New Roman" w:hAnsi="Meta Pro"/>
                <w:szCs w:val="18"/>
                <w:lang w:eastAsia="en-AU"/>
              </w:rPr>
              <w:t xml:space="preserve">Utilities </w:t>
            </w:r>
          </w:p>
        </w:tc>
        <w:tc>
          <w:tcPr>
            <w:tcW w:w="1161" w:type="dxa"/>
            <w:tcBorders>
              <w:top w:val="nil"/>
              <w:left w:val="nil"/>
              <w:bottom w:val="nil"/>
              <w:right w:val="nil"/>
            </w:tcBorders>
            <w:shd w:val="clear" w:color="000000" w:fill="C9E3B4"/>
            <w:noWrap/>
            <w:vAlign w:val="center"/>
            <w:hideMark/>
          </w:tcPr>
          <w:p w14:paraId="4953D1FF" w14:textId="77777777" w:rsidR="00EE4B95" w:rsidRPr="00F32F38" w:rsidRDefault="00EE4B95" w:rsidP="00E607DA">
            <w:pPr>
              <w:jc w:val="right"/>
              <w:rPr>
                <w:rFonts w:ascii="Meta Pro" w:eastAsia="Times New Roman" w:hAnsi="Meta Pro"/>
                <w:szCs w:val="18"/>
                <w:lang w:eastAsia="en-AU"/>
              </w:rPr>
            </w:pPr>
            <w:r w:rsidRPr="00F32F38">
              <w:rPr>
                <w:rFonts w:ascii="Meta Pro" w:eastAsia="Times New Roman" w:hAnsi="Meta Pro"/>
                <w:szCs w:val="18"/>
                <w:lang w:eastAsia="en-AU"/>
              </w:rPr>
              <w:t xml:space="preserve">54,808 </w:t>
            </w:r>
          </w:p>
        </w:tc>
        <w:tc>
          <w:tcPr>
            <w:tcW w:w="223" w:type="dxa"/>
            <w:tcBorders>
              <w:top w:val="nil"/>
              <w:left w:val="nil"/>
              <w:bottom w:val="nil"/>
              <w:right w:val="nil"/>
            </w:tcBorders>
            <w:shd w:val="clear" w:color="auto" w:fill="auto"/>
            <w:noWrap/>
            <w:vAlign w:val="center"/>
            <w:hideMark/>
          </w:tcPr>
          <w:p w14:paraId="2FABFA2E" w14:textId="77777777" w:rsidR="00EE4B95" w:rsidRPr="00F32F38" w:rsidRDefault="00EE4B95" w:rsidP="00E607DA">
            <w:pPr>
              <w:jc w:val="right"/>
              <w:rPr>
                <w:rFonts w:ascii="Meta Pro" w:eastAsia="Times New Roman" w:hAnsi="Meta Pro"/>
                <w:szCs w:val="18"/>
                <w:lang w:eastAsia="en-AU"/>
              </w:rPr>
            </w:pPr>
          </w:p>
        </w:tc>
        <w:tc>
          <w:tcPr>
            <w:tcW w:w="1161" w:type="dxa"/>
            <w:tcBorders>
              <w:top w:val="nil"/>
              <w:left w:val="nil"/>
              <w:bottom w:val="nil"/>
              <w:right w:val="nil"/>
            </w:tcBorders>
            <w:shd w:val="clear" w:color="auto" w:fill="auto"/>
            <w:noWrap/>
            <w:vAlign w:val="center"/>
            <w:hideMark/>
          </w:tcPr>
          <w:p w14:paraId="73A988AE" w14:textId="77777777" w:rsidR="00EE4B95" w:rsidRPr="00F32F38" w:rsidRDefault="00EE4B95" w:rsidP="00E607DA">
            <w:pPr>
              <w:jc w:val="right"/>
              <w:rPr>
                <w:rFonts w:ascii="Meta Pro" w:eastAsia="Times New Roman" w:hAnsi="Meta Pro"/>
                <w:szCs w:val="18"/>
                <w:lang w:eastAsia="en-AU"/>
              </w:rPr>
            </w:pPr>
            <w:r w:rsidRPr="00F32F38">
              <w:rPr>
                <w:rFonts w:ascii="Meta Pro" w:eastAsia="Times New Roman" w:hAnsi="Meta Pro"/>
                <w:szCs w:val="18"/>
                <w:lang w:eastAsia="en-AU"/>
              </w:rPr>
              <w:t xml:space="preserve">53,420 </w:t>
            </w:r>
          </w:p>
        </w:tc>
      </w:tr>
      <w:tr w:rsidR="00EE4B95" w:rsidRPr="00F32F38" w14:paraId="3D369D0A" w14:textId="77777777" w:rsidTr="00DB0DE6">
        <w:trPr>
          <w:trHeight w:val="240"/>
        </w:trPr>
        <w:tc>
          <w:tcPr>
            <w:tcW w:w="7125" w:type="dxa"/>
            <w:tcBorders>
              <w:top w:val="nil"/>
              <w:left w:val="nil"/>
              <w:bottom w:val="nil"/>
              <w:right w:val="nil"/>
            </w:tcBorders>
            <w:shd w:val="clear" w:color="auto" w:fill="auto"/>
            <w:noWrap/>
            <w:vAlign w:val="center"/>
            <w:hideMark/>
          </w:tcPr>
          <w:p w14:paraId="3500B623" w14:textId="77777777" w:rsidR="00EE4B95" w:rsidRPr="00F32F38" w:rsidRDefault="00EE4B95" w:rsidP="00E607DA">
            <w:pPr>
              <w:rPr>
                <w:rFonts w:ascii="Meta Pro" w:eastAsia="Times New Roman" w:hAnsi="Meta Pro"/>
                <w:szCs w:val="18"/>
                <w:lang w:eastAsia="en-AU"/>
              </w:rPr>
            </w:pPr>
            <w:r w:rsidRPr="00F32F38">
              <w:rPr>
                <w:rFonts w:ascii="Meta Pro" w:eastAsia="Times New Roman" w:hAnsi="Meta Pro"/>
                <w:szCs w:val="18"/>
                <w:lang w:eastAsia="en-AU"/>
              </w:rPr>
              <w:t>Raw materials</w:t>
            </w:r>
          </w:p>
        </w:tc>
        <w:tc>
          <w:tcPr>
            <w:tcW w:w="1161" w:type="dxa"/>
            <w:tcBorders>
              <w:top w:val="nil"/>
              <w:left w:val="nil"/>
              <w:bottom w:val="nil"/>
              <w:right w:val="nil"/>
            </w:tcBorders>
            <w:shd w:val="clear" w:color="000000" w:fill="C9E3B4"/>
            <w:noWrap/>
            <w:vAlign w:val="center"/>
            <w:hideMark/>
          </w:tcPr>
          <w:p w14:paraId="775830EE" w14:textId="77777777" w:rsidR="00EE4B95" w:rsidRPr="00F32F38" w:rsidRDefault="00EE4B95" w:rsidP="00E607DA">
            <w:pPr>
              <w:jc w:val="right"/>
              <w:rPr>
                <w:rFonts w:ascii="Meta Pro" w:eastAsia="Times New Roman" w:hAnsi="Meta Pro"/>
                <w:szCs w:val="18"/>
                <w:lang w:eastAsia="en-AU"/>
              </w:rPr>
            </w:pPr>
            <w:r w:rsidRPr="00F32F38">
              <w:rPr>
                <w:rFonts w:ascii="Meta Pro" w:eastAsia="Times New Roman" w:hAnsi="Meta Pro"/>
                <w:szCs w:val="18"/>
                <w:lang w:eastAsia="en-AU"/>
              </w:rPr>
              <w:t xml:space="preserve">44,395 </w:t>
            </w:r>
          </w:p>
        </w:tc>
        <w:tc>
          <w:tcPr>
            <w:tcW w:w="223" w:type="dxa"/>
            <w:tcBorders>
              <w:top w:val="nil"/>
              <w:left w:val="nil"/>
              <w:bottom w:val="nil"/>
              <w:right w:val="nil"/>
            </w:tcBorders>
            <w:shd w:val="clear" w:color="auto" w:fill="auto"/>
            <w:noWrap/>
            <w:vAlign w:val="center"/>
            <w:hideMark/>
          </w:tcPr>
          <w:p w14:paraId="0D5A20F6" w14:textId="77777777" w:rsidR="00EE4B95" w:rsidRPr="00F32F38" w:rsidRDefault="00EE4B95" w:rsidP="00E607DA">
            <w:pPr>
              <w:jc w:val="right"/>
              <w:rPr>
                <w:rFonts w:ascii="Meta Pro" w:eastAsia="Times New Roman" w:hAnsi="Meta Pro"/>
                <w:szCs w:val="18"/>
                <w:lang w:eastAsia="en-AU"/>
              </w:rPr>
            </w:pPr>
          </w:p>
        </w:tc>
        <w:tc>
          <w:tcPr>
            <w:tcW w:w="1161" w:type="dxa"/>
            <w:tcBorders>
              <w:top w:val="nil"/>
              <w:left w:val="nil"/>
              <w:bottom w:val="nil"/>
              <w:right w:val="nil"/>
            </w:tcBorders>
            <w:shd w:val="clear" w:color="auto" w:fill="auto"/>
            <w:noWrap/>
            <w:vAlign w:val="center"/>
            <w:hideMark/>
          </w:tcPr>
          <w:p w14:paraId="55AF32A4" w14:textId="77777777" w:rsidR="00EE4B95" w:rsidRPr="00F32F38" w:rsidRDefault="00EE4B95" w:rsidP="00E607DA">
            <w:pPr>
              <w:jc w:val="right"/>
              <w:rPr>
                <w:rFonts w:ascii="Meta Pro" w:eastAsia="Times New Roman" w:hAnsi="Meta Pro"/>
                <w:szCs w:val="18"/>
                <w:lang w:eastAsia="en-AU"/>
              </w:rPr>
            </w:pPr>
            <w:r w:rsidRPr="00F32F38">
              <w:rPr>
                <w:rFonts w:ascii="Meta Pro" w:eastAsia="Times New Roman" w:hAnsi="Meta Pro"/>
                <w:szCs w:val="18"/>
                <w:lang w:eastAsia="en-AU"/>
              </w:rPr>
              <w:t xml:space="preserve">44,440 </w:t>
            </w:r>
          </w:p>
        </w:tc>
      </w:tr>
      <w:tr w:rsidR="00EE4B95" w:rsidRPr="00F32F38" w14:paraId="6BC85132" w14:textId="77777777" w:rsidTr="00DB0DE6">
        <w:trPr>
          <w:trHeight w:val="240"/>
        </w:trPr>
        <w:tc>
          <w:tcPr>
            <w:tcW w:w="7125" w:type="dxa"/>
            <w:tcBorders>
              <w:top w:val="nil"/>
              <w:left w:val="nil"/>
              <w:bottom w:val="nil"/>
              <w:right w:val="nil"/>
            </w:tcBorders>
            <w:shd w:val="clear" w:color="auto" w:fill="auto"/>
            <w:noWrap/>
            <w:vAlign w:val="center"/>
            <w:hideMark/>
          </w:tcPr>
          <w:p w14:paraId="73334BD7" w14:textId="77777777" w:rsidR="00EE4B95" w:rsidRPr="00F32F38" w:rsidRDefault="00EE4B95" w:rsidP="00E607DA">
            <w:pPr>
              <w:rPr>
                <w:rFonts w:ascii="Meta Pro" w:eastAsia="Times New Roman" w:hAnsi="Meta Pro"/>
                <w:szCs w:val="18"/>
                <w:lang w:eastAsia="en-AU"/>
              </w:rPr>
            </w:pPr>
            <w:r w:rsidRPr="00F32F38">
              <w:rPr>
                <w:rFonts w:ascii="Meta Pro" w:eastAsia="Times New Roman" w:hAnsi="Meta Pro"/>
                <w:szCs w:val="18"/>
                <w:lang w:eastAsia="en-AU"/>
              </w:rPr>
              <w:t>Other</w:t>
            </w:r>
          </w:p>
        </w:tc>
        <w:tc>
          <w:tcPr>
            <w:tcW w:w="1161" w:type="dxa"/>
            <w:tcBorders>
              <w:top w:val="nil"/>
              <w:left w:val="nil"/>
              <w:bottom w:val="nil"/>
              <w:right w:val="nil"/>
            </w:tcBorders>
            <w:shd w:val="clear" w:color="000000" w:fill="C9E3B4"/>
            <w:noWrap/>
            <w:vAlign w:val="center"/>
            <w:hideMark/>
          </w:tcPr>
          <w:p w14:paraId="11F174B0" w14:textId="77777777" w:rsidR="00EE4B95" w:rsidRPr="00F32F38" w:rsidRDefault="00EE4B95" w:rsidP="00E607DA">
            <w:pPr>
              <w:jc w:val="right"/>
              <w:rPr>
                <w:rFonts w:ascii="Meta Pro" w:eastAsia="Times New Roman" w:hAnsi="Meta Pro"/>
                <w:szCs w:val="18"/>
                <w:lang w:eastAsia="en-AU"/>
              </w:rPr>
            </w:pPr>
            <w:r w:rsidRPr="00F32F38">
              <w:rPr>
                <w:rFonts w:ascii="Meta Pro" w:eastAsia="Times New Roman" w:hAnsi="Meta Pro"/>
                <w:szCs w:val="18"/>
                <w:lang w:eastAsia="en-AU"/>
              </w:rPr>
              <w:t xml:space="preserve">81,650 </w:t>
            </w:r>
          </w:p>
        </w:tc>
        <w:tc>
          <w:tcPr>
            <w:tcW w:w="223" w:type="dxa"/>
            <w:tcBorders>
              <w:top w:val="nil"/>
              <w:left w:val="nil"/>
              <w:bottom w:val="nil"/>
              <w:right w:val="nil"/>
            </w:tcBorders>
            <w:shd w:val="clear" w:color="auto" w:fill="auto"/>
            <w:noWrap/>
            <w:vAlign w:val="center"/>
            <w:hideMark/>
          </w:tcPr>
          <w:p w14:paraId="771647E5" w14:textId="77777777" w:rsidR="00EE4B95" w:rsidRPr="00F32F38" w:rsidRDefault="00EE4B95" w:rsidP="00E607DA">
            <w:pPr>
              <w:jc w:val="right"/>
              <w:rPr>
                <w:rFonts w:ascii="Meta Pro" w:eastAsia="Times New Roman" w:hAnsi="Meta Pro"/>
                <w:szCs w:val="18"/>
                <w:lang w:eastAsia="en-AU"/>
              </w:rPr>
            </w:pPr>
          </w:p>
        </w:tc>
        <w:tc>
          <w:tcPr>
            <w:tcW w:w="1161" w:type="dxa"/>
            <w:tcBorders>
              <w:top w:val="nil"/>
              <w:left w:val="nil"/>
              <w:bottom w:val="nil"/>
              <w:right w:val="nil"/>
            </w:tcBorders>
            <w:shd w:val="clear" w:color="auto" w:fill="auto"/>
            <w:noWrap/>
            <w:vAlign w:val="center"/>
            <w:hideMark/>
          </w:tcPr>
          <w:p w14:paraId="2CD112BB" w14:textId="77777777" w:rsidR="00EE4B95" w:rsidRPr="00F32F38" w:rsidRDefault="00EE4B95" w:rsidP="00E607DA">
            <w:pPr>
              <w:jc w:val="right"/>
              <w:rPr>
                <w:rFonts w:ascii="Meta Pro" w:eastAsia="Times New Roman" w:hAnsi="Meta Pro"/>
                <w:szCs w:val="18"/>
                <w:lang w:eastAsia="en-AU"/>
              </w:rPr>
            </w:pPr>
            <w:r w:rsidRPr="00F32F38">
              <w:rPr>
                <w:rFonts w:ascii="Meta Pro" w:eastAsia="Times New Roman" w:hAnsi="Meta Pro"/>
                <w:szCs w:val="18"/>
                <w:lang w:eastAsia="en-AU"/>
              </w:rPr>
              <w:t xml:space="preserve">99,452 </w:t>
            </w:r>
          </w:p>
        </w:tc>
      </w:tr>
      <w:tr w:rsidR="00EE4B95" w:rsidRPr="00F32F38" w14:paraId="30037A2A" w14:textId="77777777" w:rsidTr="00DB0DE6">
        <w:trPr>
          <w:trHeight w:val="240"/>
        </w:trPr>
        <w:tc>
          <w:tcPr>
            <w:tcW w:w="7125" w:type="dxa"/>
            <w:tcBorders>
              <w:top w:val="single" w:sz="4" w:space="0" w:color="auto"/>
              <w:left w:val="nil"/>
              <w:bottom w:val="double" w:sz="6" w:space="0" w:color="auto"/>
              <w:right w:val="nil"/>
            </w:tcBorders>
            <w:shd w:val="clear" w:color="auto" w:fill="auto"/>
            <w:noWrap/>
            <w:vAlign w:val="center"/>
            <w:hideMark/>
          </w:tcPr>
          <w:p w14:paraId="7EDFCD04" w14:textId="77777777" w:rsidR="00EE4B95" w:rsidRPr="00F32F38" w:rsidRDefault="00EE4B95" w:rsidP="00E607DA">
            <w:pPr>
              <w:rPr>
                <w:rFonts w:ascii="Meta Pro" w:eastAsia="Times New Roman" w:hAnsi="Meta Pro"/>
                <w:b/>
                <w:bCs/>
                <w:szCs w:val="18"/>
                <w:lang w:eastAsia="en-AU"/>
              </w:rPr>
            </w:pPr>
            <w:r w:rsidRPr="00F32F38">
              <w:rPr>
                <w:rFonts w:ascii="Meta Pro" w:eastAsia="Times New Roman" w:hAnsi="Meta Pro"/>
                <w:b/>
                <w:bCs/>
                <w:szCs w:val="18"/>
                <w:lang w:eastAsia="en-AU"/>
              </w:rPr>
              <w:t>Total</w:t>
            </w:r>
          </w:p>
        </w:tc>
        <w:tc>
          <w:tcPr>
            <w:tcW w:w="1161" w:type="dxa"/>
            <w:tcBorders>
              <w:top w:val="single" w:sz="4" w:space="0" w:color="auto"/>
              <w:left w:val="nil"/>
              <w:bottom w:val="double" w:sz="6" w:space="0" w:color="auto"/>
              <w:right w:val="nil"/>
            </w:tcBorders>
            <w:shd w:val="clear" w:color="000000" w:fill="C9E3B4"/>
            <w:noWrap/>
            <w:vAlign w:val="center"/>
            <w:hideMark/>
          </w:tcPr>
          <w:p w14:paraId="6AC91B58" w14:textId="77777777" w:rsidR="00EE4B95" w:rsidRPr="00F32F38" w:rsidRDefault="00EE4B95" w:rsidP="00E607DA">
            <w:pPr>
              <w:jc w:val="right"/>
              <w:rPr>
                <w:rFonts w:ascii="Meta Pro" w:eastAsia="Times New Roman" w:hAnsi="Meta Pro"/>
                <w:b/>
                <w:bCs/>
                <w:szCs w:val="18"/>
                <w:lang w:eastAsia="en-AU"/>
              </w:rPr>
            </w:pPr>
            <w:r w:rsidRPr="00F32F38">
              <w:rPr>
                <w:rFonts w:ascii="Meta Pro" w:eastAsia="Times New Roman" w:hAnsi="Meta Pro"/>
                <w:b/>
                <w:bCs/>
                <w:szCs w:val="18"/>
                <w:lang w:eastAsia="en-AU"/>
              </w:rPr>
              <w:t xml:space="preserve">4,250,502 </w:t>
            </w:r>
          </w:p>
        </w:tc>
        <w:tc>
          <w:tcPr>
            <w:tcW w:w="223" w:type="dxa"/>
            <w:tcBorders>
              <w:top w:val="single" w:sz="4" w:space="0" w:color="auto"/>
              <w:left w:val="nil"/>
              <w:bottom w:val="double" w:sz="6" w:space="0" w:color="auto"/>
              <w:right w:val="nil"/>
            </w:tcBorders>
            <w:shd w:val="clear" w:color="auto" w:fill="auto"/>
            <w:noWrap/>
            <w:vAlign w:val="center"/>
            <w:hideMark/>
          </w:tcPr>
          <w:p w14:paraId="402AF9C7" w14:textId="77777777" w:rsidR="00EE4B95" w:rsidRPr="00F32F38" w:rsidRDefault="00EE4B95" w:rsidP="00E607DA">
            <w:pPr>
              <w:rPr>
                <w:rFonts w:ascii="Meta Pro" w:eastAsia="Times New Roman" w:hAnsi="Meta Pro"/>
                <w:b/>
                <w:bCs/>
                <w:szCs w:val="18"/>
                <w:lang w:eastAsia="en-AU"/>
              </w:rPr>
            </w:pPr>
            <w:r w:rsidRPr="00F32F38">
              <w:rPr>
                <w:rFonts w:ascii="Meta Pro" w:eastAsia="Times New Roman" w:hAnsi="Meta Pro"/>
                <w:b/>
                <w:bCs/>
                <w:szCs w:val="18"/>
                <w:lang w:eastAsia="en-AU"/>
              </w:rPr>
              <w:t> </w:t>
            </w:r>
          </w:p>
        </w:tc>
        <w:tc>
          <w:tcPr>
            <w:tcW w:w="1161" w:type="dxa"/>
            <w:tcBorders>
              <w:top w:val="single" w:sz="4" w:space="0" w:color="auto"/>
              <w:left w:val="nil"/>
              <w:bottom w:val="double" w:sz="6" w:space="0" w:color="auto"/>
              <w:right w:val="nil"/>
            </w:tcBorders>
            <w:shd w:val="clear" w:color="auto" w:fill="auto"/>
            <w:noWrap/>
            <w:vAlign w:val="center"/>
            <w:hideMark/>
          </w:tcPr>
          <w:p w14:paraId="4BBD160B" w14:textId="77777777" w:rsidR="00EE4B95" w:rsidRPr="00F32F38" w:rsidRDefault="00EE4B95" w:rsidP="00E607DA">
            <w:pPr>
              <w:jc w:val="right"/>
              <w:rPr>
                <w:rFonts w:ascii="Meta Pro" w:eastAsia="Times New Roman" w:hAnsi="Meta Pro"/>
                <w:b/>
                <w:bCs/>
                <w:szCs w:val="18"/>
                <w:lang w:eastAsia="en-AU"/>
              </w:rPr>
            </w:pPr>
            <w:r w:rsidRPr="00F32F38">
              <w:rPr>
                <w:rFonts w:ascii="Meta Pro" w:eastAsia="Times New Roman" w:hAnsi="Meta Pro"/>
                <w:b/>
                <w:bCs/>
                <w:szCs w:val="18"/>
                <w:lang w:eastAsia="en-AU"/>
              </w:rPr>
              <w:t xml:space="preserve">4,038,765 </w:t>
            </w:r>
          </w:p>
        </w:tc>
      </w:tr>
    </w:tbl>
    <w:p w14:paraId="6130B17D" w14:textId="77777777" w:rsidR="00DB0DE6" w:rsidRPr="00092B22" w:rsidRDefault="00DB0DE6" w:rsidP="00DB0DE6">
      <w:pPr>
        <w:spacing w:after="120"/>
        <w:rPr>
          <w:rFonts w:ascii="Meta Pro" w:eastAsia="Times New Roman" w:hAnsi="Meta Pro"/>
          <w:b/>
          <w:bCs/>
          <w:lang w:eastAsia="en-AU"/>
        </w:rPr>
      </w:pPr>
      <w:r w:rsidRPr="00092B22">
        <w:rPr>
          <w:rFonts w:ascii="Meta Pro" w:eastAsia="Times New Roman" w:hAnsi="Meta Pro"/>
          <w:b/>
          <w:bCs/>
          <w:lang w:eastAsia="en-AU"/>
        </w:rPr>
        <w:t>7     SUPPLIES AND SERVICES (continued)</w:t>
      </w:r>
    </w:p>
    <w:p w14:paraId="2415EACB" w14:textId="77777777" w:rsidR="00DB0DE6" w:rsidRPr="00092B22" w:rsidRDefault="00DB0DE6" w:rsidP="00DB0DE6">
      <w:pPr>
        <w:rPr>
          <w:rFonts w:ascii="Meta Pro" w:eastAsia="Times New Roman" w:hAnsi="Meta Pro"/>
          <w:sz w:val="16"/>
          <w:szCs w:val="16"/>
          <w:lang w:eastAsia="en-AU"/>
        </w:rPr>
      </w:pPr>
      <w:r w:rsidRPr="00092B22">
        <w:rPr>
          <w:rFonts w:ascii="Meta Pro" w:eastAsia="Times New Roman" w:hAnsi="Meta Pro"/>
          <w:sz w:val="16"/>
          <w:szCs w:val="16"/>
          <w:lang w:eastAsia="en-AU"/>
        </w:rPr>
        <w:t>* Comparatives have changed following the reclassification of expenditure associated with departmental cloud computing arrangements</w:t>
      </w:r>
    </w:p>
    <w:p w14:paraId="77DD342D" w14:textId="77777777" w:rsidR="00DB0DE6" w:rsidRPr="00092B22" w:rsidRDefault="00DB0DE6" w:rsidP="00DB0DE6">
      <w:pPr>
        <w:spacing w:after="120"/>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due to a change in accounting policy. Refer to Note 1.</w:t>
      </w:r>
    </w:p>
    <w:p w14:paraId="7C2798A8" w14:textId="77777777" w:rsidR="00DB0DE6" w:rsidRPr="00092B22" w:rsidRDefault="00DB0DE6" w:rsidP="00DB0DE6">
      <w:pPr>
        <w:rPr>
          <w:rFonts w:ascii="Meta Pro" w:eastAsia="Times New Roman" w:hAnsi="Meta Pro"/>
          <w:sz w:val="16"/>
          <w:szCs w:val="16"/>
          <w:lang w:eastAsia="en-AU"/>
        </w:rPr>
      </w:pPr>
      <w:r w:rsidRPr="00092B22">
        <w:rPr>
          <w:rFonts w:ascii="Meta Pro" w:eastAsia="Times New Roman" w:hAnsi="Meta Pro"/>
          <w:sz w:val="16"/>
          <w:szCs w:val="16"/>
          <w:lang w:eastAsia="en-AU"/>
        </w:rPr>
        <w:t>** The department has a contract with Queensland Rail to provide rail passenger services in suburban and regional Queensland, and to</w:t>
      </w:r>
    </w:p>
    <w:p w14:paraId="16185E0B" w14:textId="77777777" w:rsidR="00DB0DE6" w:rsidRPr="00092B22" w:rsidRDefault="00DB0DE6" w:rsidP="00DB0DE6">
      <w:pPr>
        <w:spacing w:after="120"/>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ensure the Queensland Rail network can support safe and reliable passenger and freight services.</w:t>
      </w:r>
    </w:p>
    <w:p w14:paraId="3FDC8CF6" w14:textId="77777777" w:rsidR="00DB0DE6" w:rsidRPr="00092B22" w:rsidRDefault="00DB0DE6" w:rsidP="00DB0DE6">
      <w:pPr>
        <w:ind w:left="227" w:hanging="227"/>
        <w:rPr>
          <w:rFonts w:ascii="Meta Pro" w:eastAsia="Times New Roman" w:hAnsi="Meta Pro"/>
          <w:sz w:val="16"/>
          <w:szCs w:val="16"/>
          <w:lang w:eastAsia="en-AU"/>
        </w:rPr>
      </w:pPr>
      <w:r w:rsidRPr="00092B22">
        <w:rPr>
          <w:rFonts w:ascii="Meta Pro" w:eastAsia="Times New Roman" w:hAnsi="Meta Pro"/>
          <w:sz w:val="16"/>
          <w:szCs w:val="16"/>
          <w:lang w:eastAsia="en-AU"/>
        </w:rPr>
        <w:t>*** Payments to other government agencies includes Queensland Shared Services of $20.802m in 2022 (2021: $19.171m), the</w:t>
      </w:r>
    </w:p>
    <w:p w14:paraId="0B187F5B" w14:textId="77777777" w:rsidR="00DB0DE6" w:rsidRPr="00092B22" w:rsidRDefault="00DB0DE6" w:rsidP="00DB0DE6">
      <w:pPr>
        <w:ind w:left="227" w:hanging="227"/>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Queensland Government's primary information services provider CITEC of $24.952m in 2022 (2021: $23.125m), and other government</w:t>
      </w:r>
    </w:p>
    <w:p w14:paraId="45DA6C32" w14:textId="77777777" w:rsidR="00DB0DE6" w:rsidRPr="00092B22" w:rsidRDefault="00DB0DE6" w:rsidP="00DB0DE6">
      <w:pPr>
        <w:spacing w:after="120"/>
        <w:ind w:left="227" w:hanging="227"/>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entities of $4.88</w:t>
      </w:r>
      <w:r>
        <w:rPr>
          <w:rFonts w:ascii="Meta Pro" w:eastAsia="Times New Roman" w:hAnsi="Meta Pro"/>
          <w:sz w:val="16"/>
          <w:szCs w:val="16"/>
          <w:lang w:eastAsia="en-AU"/>
        </w:rPr>
        <w:t>7</w:t>
      </w:r>
      <w:r w:rsidRPr="00092B22">
        <w:rPr>
          <w:rFonts w:ascii="Meta Pro" w:eastAsia="Times New Roman" w:hAnsi="Meta Pro"/>
          <w:sz w:val="16"/>
          <w:szCs w:val="16"/>
          <w:lang w:eastAsia="en-AU"/>
        </w:rPr>
        <w:t>m in 2022 (2021: $2.398m).</w:t>
      </w:r>
    </w:p>
    <w:p w14:paraId="6775A576" w14:textId="77777777" w:rsidR="00DB0DE6" w:rsidRPr="00092B22" w:rsidRDefault="00DB0DE6" w:rsidP="00DB0DE6">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The department's total supplies and services expenditure was $7.994b in 2022 (2021: $7.109b). Of this $3.743b (2021: $3.070b) was capitalised to construction work in progress leaving $4.251b (2021: $4.039b) reported as supplies and services.</w:t>
      </w:r>
    </w:p>
    <w:p w14:paraId="27597DE7" w14:textId="77777777" w:rsidR="00DB0DE6" w:rsidRPr="00092B22" w:rsidRDefault="00DB0DE6" w:rsidP="00DB0DE6">
      <w:pPr>
        <w:rPr>
          <w:rFonts w:ascii="Meta Pro" w:hAnsi="Meta Pro" w:cstheme="minorBidi"/>
        </w:rPr>
      </w:pPr>
    </w:p>
    <w:tbl>
      <w:tblPr>
        <w:tblW w:w="9638" w:type="dxa"/>
        <w:tblCellMar>
          <w:left w:w="0" w:type="dxa"/>
        </w:tblCellMar>
        <w:tblLook w:val="04A0" w:firstRow="1" w:lastRow="0" w:firstColumn="1" w:lastColumn="0" w:noHBand="0" w:noVBand="1"/>
      </w:tblPr>
      <w:tblGrid>
        <w:gridCol w:w="7101"/>
        <w:gridCol w:w="1157"/>
        <w:gridCol w:w="223"/>
        <w:gridCol w:w="1157"/>
      </w:tblGrid>
      <w:tr w:rsidR="00DB0DE6" w:rsidRPr="00092B22" w14:paraId="04F73056" w14:textId="77777777" w:rsidTr="00E607DA">
        <w:trPr>
          <w:trHeight w:val="240"/>
        </w:trPr>
        <w:tc>
          <w:tcPr>
            <w:tcW w:w="7117" w:type="dxa"/>
            <w:tcBorders>
              <w:top w:val="nil"/>
              <w:left w:val="nil"/>
              <w:bottom w:val="nil"/>
              <w:right w:val="nil"/>
            </w:tcBorders>
            <w:shd w:val="clear" w:color="auto" w:fill="auto"/>
            <w:noWrap/>
            <w:vAlign w:val="center"/>
            <w:hideMark/>
          </w:tcPr>
          <w:p w14:paraId="2F3FDF2F" w14:textId="77777777" w:rsidR="00DB0DE6" w:rsidRPr="00092B22" w:rsidRDefault="00DB0DE6" w:rsidP="00E607DA">
            <w:pPr>
              <w:rPr>
                <w:rFonts w:ascii="Meta Pro" w:eastAsia="Times New Roman" w:hAnsi="Meta Pro" w:cs="Times New Roman"/>
                <w:sz w:val="24"/>
                <w:szCs w:val="24"/>
                <w:lang w:eastAsia="en-AU"/>
              </w:rPr>
            </w:pPr>
          </w:p>
        </w:tc>
        <w:tc>
          <w:tcPr>
            <w:tcW w:w="1153" w:type="dxa"/>
            <w:tcBorders>
              <w:top w:val="nil"/>
              <w:left w:val="nil"/>
              <w:bottom w:val="nil"/>
              <w:right w:val="nil"/>
            </w:tcBorders>
            <w:shd w:val="clear" w:color="auto" w:fill="auto"/>
            <w:noWrap/>
            <w:vAlign w:val="center"/>
            <w:hideMark/>
          </w:tcPr>
          <w:p w14:paraId="4061E6DD" w14:textId="77777777" w:rsidR="00DB0DE6" w:rsidRPr="00092B22" w:rsidRDefault="00DB0DE6" w:rsidP="00E607DA">
            <w:pPr>
              <w:jc w:val="center"/>
              <w:rPr>
                <w:rFonts w:ascii="Meta Pro" w:eastAsia="Times New Roman" w:hAnsi="Meta Pro"/>
                <w:b/>
                <w:bCs/>
                <w:color w:val="000000"/>
                <w:lang w:eastAsia="en-AU"/>
              </w:rPr>
            </w:pPr>
            <w:r w:rsidRPr="00092B22">
              <w:rPr>
                <w:rFonts w:ascii="Meta Pro" w:eastAsia="Times New Roman" w:hAnsi="Meta Pro"/>
                <w:b/>
                <w:bCs/>
                <w:color w:val="000000"/>
                <w:lang w:eastAsia="en-AU"/>
              </w:rPr>
              <w:t>2022</w:t>
            </w:r>
          </w:p>
        </w:tc>
        <w:tc>
          <w:tcPr>
            <w:tcW w:w="215" w:type="dxa"/>
            <w:tcBorders>
              <w:top w:val="nil"/>
              <w:left w:val="nil"/>
              <w:bottom w:val="nil"/>
              <w:right w:val="nil"/>
            </w:tcBorders>
            <w:shd w:val="clear" w:color="auto" w:fill="auto"/>
            <w:noWrap/>
            <w:vAlign w:val="center"/>
            <w:hideMark/>
          </w:tcPr>
          <w:p w14:paraId="06E28F7E" w14:textId="77777777" w:rsidR="00DB0DE6" w:rsidRPr="00092B22" w:rsidRDefault="00DB0DE6" w:rsidP="00E607DA">
            <w:pPr>
              <w:jc w:val="center"/>
              <w:rPr>
                <w:rFonts w:ascii="Meta Pro" w:eastAsia="Times New Roman" w:hAnsi="Meta Pro"/>
                <w:b/>
                <w:bCs/>
                <w:color w:val="000000"/>
                <w:lang w:eastAsia="en-AU"/>
              </w:rPr>
            </w:pPr>
          </w:p>
        </w:tc>
        <w:tc>
          <w:tcPr>
            <w:tcW w:w="1153" w:type="dxa"/>
            <w:tcBorders>
              <w:top w:val="nil"/>
              <w:left w:val="nil"/>
              <w:bottom w:val="nil"/>
              <w:right w:val="nil"/>
            </w:tcBorders>
            <w:shd w:val="clear" w:color="auto" w:fill="auto"/>
            <w:noWrap/>
            <w:vAlign w:val="center"/>
            <w:hideMark/>
          </w:tcPr>
          <w:p w14:paraId="3CA79B22" w14:textId="77777777" w:rsidR="00DB0DE6" w:rsidRPr="00092B22" w:rsidRDefault="00DB0DE6" w:rsidP="00E607DA">
            <w:pPr>
              <w:jc w:val="center"/>
              <w:rPr>
                <w:rFonts w:ascii="Meta Pro" w:eastAsia="Times New Roman" w:hAnsi="Meta Pro"/>
                <w:b/>
                <w:bCs/>
                <w:lang w:eastAsia="en-AU"/>
              </w:rPr>
            </w:pPr>
            <w:r w:rsidRPr="00092B22">
              <w:rPr>
                <w:rFonts w:ascii="Meta Pro" w:eastAsia="Times New Roman" w:hAnsi="Meta Pro"/>
                <w:b/>
                <w:bCs/>
                <w:lang w:eastAsia="en-AU"/>
              </w:rPr>
              <w:t>2021</w:t>
            </w:r>
          </w:p>
        </w:tc>
      </w:tr>
      <w:tr w:rsidR="00DB0DE6" w:rsidRPr="00092B22" w14:paraId="28935D4B" w14:textId="77777777" w:rsidTr="00E607DA">
        <w:trPr>
          <w:trHeight w:val="240"/>
        </w:trPr>
        <w:tc>
          <w:tcPr>
            <w:tcW w:w="7117" w:type="dxa"/>
            <w:tcBorders>
              <w:top w:val="nil"/>
              <w:left w:val="nil"/>
              <w:bottom w:val="nil"/>
              <w:right w:val="nil"/>
            </w:tcBorders>
            <w:shd w:val="clear" w:color="auto" w:fill="auto"/>
            <w:noWrap/>
            <w:vAlign w:val="center"/>
            <w:hideMark/>
          </w:tcPr>
          <w:p w14:paraId="1A060393" w14:textId="77777777" w:rsidR="00DB0DE6" w:rsidRPr="00092B22" w:rsidRDefault="00DB0DE6" w:rsidP="00E607DA">
            <w:pPr>
              <w:jc w:val="center"/>
              <w:rPr>
                <w:rFonts w:ascii="Meta Pro" w:eastAsia="Times New Roman" w:hAnsi="Meta Pro"/>
                <w:b/>
                <w:bCs/>
                <w:lang w:eastAsia="en-AU"/>
              </w:rPr>
            </w:pPr>
          </w:p>
        </w:tc>
        <w:tc>
          <w:tcPr>
            <w:tcW w:w="1153" w:type="dxa"/>
            <w:tcBorders>
              <w:top w:val="nil"/>
              <w:left w:val="nil"/>
              <w:bottom w:val="nil"/>
              <w:right w:val="nil"/>
            </w:tcBorders>
            <w:shd w:val="clear" w:color="auto" w:fill="auto"/>
            <w:noWrap/>
            <w:vAlign w:val="center"/>
            <w:hideMark/>
          </w:tcPr>
          <w:p w14:paraId="73C3D7F2" w14:textId="77777777" w:rsidR="00DB0DE6" w:rsidRPr="00092B22" w:rsidRDefault="00DB0DE6" w:rsidP="00E607DA">
            <w:pPr>
              <w:jc w:val="center"/>
              <w:rPr>
                <w:rFonts w:ascii="Meta Pro" w:eastAsia="Times New Roman" w:hAnsi="Meta Pro"/>
                <w:b/>
                <w:bCs/>
                <w:lang w:eastAsia="en-AU"/>
              </w:rPr>
            </w:pPr>
            <w:r w:rsidRPr="00092B22">
              <w:rPr>
                <w:rFonts w:ascii="Meta Pro" w:eastAsia="Times New Roman" w:hAnsi="Meta Pro"/>
                <w:b/>
                <w:bCs/>
                <w:lang w:eastAsia="en-AU"/>
              </w:rPr>
              <w:t>$'000</w:t>
            </w:r>
          </w:p>
        </w:tc>
        <w:tc>
          <w:tcPr>
            <w:tcW w:w="215" w:type="dxa"/>
            <w:tcBorders>
              <w:top w:val="nil"/>
              <w:left w:val="nil"/>
              <w:bottom w:val="nil"/>
              <w:right w:val="nil"/>
            </w:tcBorders>
            <w:shd w:val="clear" w:color="auto" w:fill="auto"/>
            <w:noWrap/>
            <w:vAlign w:val="center"/>
            <w:hideMark/>
          </w:tcPr>
          <w:p w14:paraId="3B404BEF" w14:textId="77777777" w:rsidR="00DB0DE6" w:rsidRPr="00092B22" w:rsidRDefault="00DB0DE6" w:rsidP="00E607DA">
            <w:pPr>
              <w:jc w:val="center"/>
              <w:rPr>
                <w:rFonts w:ascii="Meta Pro" w:eastAsia="Times New Roman" w:hAnsi="Meta Pro"/>
                <w:b/>
                <w:bCs/>
                <w:lang w:eastAsia="en-AU"/>
              </w:rPr>
            </w:pPr>
          </w:p>
        </w:tc>
        <w:tc>
          <w:tcPr>
            <w:tcW w:w="1153" w:type="dxa"/>
            <w:tcBorders>
              <w:top w:val="nil"/>
              <w:left w:val="nil"/>
              <w:bottom w:val="nil"/>
              <w:right w:val="nil"/>
            </w:tcBorders>
            <w:shd w:val="clear" w:color="auto" w:fill="auto"/>
            <w:noWrap/>
            <w:vAlign w:val="center"/>
            <w:hideMark/>
          </w:tcPr>
          <w:p w14:paraId="2CADF4C1" w14:textId="77777777" w:rsidR="00DB0DE6" w:rsidRPr="00092B22" w:rsidRDefault="00DB0DE6" w:rsidP="00E607DA">
            <w:pPr>
              <w:jc w:val="center"/>
              <w:rPr>
                <w:rFonts w:ascii="Meta Pro" w:eastAsia="Times New Roman" w:hAnsi="Meta Pro"/>
                <w:b/>
                <w:bCs/>
                <w:lang w:eastAsia="en-AU"/>
              </w:rPr>
            </w:pPr>
            <w:r w:rsidRPr="00092B22">
              <w:rPr>
                <w:rFonts w:ascii="Meta Pro" w:eastAsia="Times New Roman" w:hAnsi="Meta Pro"/>
                <w:b/>
                <w:bCs/>
                <w:lang w:eastAsia="en-AU"/>
              </w:rPr>
              <w:t>$'000</w:t>
            </w:r>
          </w:p>
        </w:tc>
      </w:tr>
      <w:tr w:rsidR="00DB0DE6" w:rsidRPr="00092B22" w14:paraId="5BFA10B5" w14:textId="77777777" w:rsidTr="00E607DA">
        <w:trPr>
          <w:trHeight w:val="240"/>
        </w:trPr>
        <w:tc>
          <w:tcPr>
            <w:tcW w:w="7117" w:type="dxa"/>
            <w:tcBorders>
              <w:top w:val="nil"/>
              <w:left w:val="nil"/>
              <w:bottom w:val="nil"/>
              <w:right w:val="nil"/>
            </w:tcBorders>
            <w:shd w:val="clear" w:color="auto" w:fill="auto"/>
            <w:noWrap/>
            <w:vAlign w:val="center"/>
            <w:hideMark/>
          </w:tcPr>
          <w:p w14:paraId="386EBD2B" w14:textId="77777777" w:rsidR="00DB0DE6" w:rsidRPr="00092B22" w:rsidRDefault="00DB0DE6" w:rsidP="00E607DA">
            <w:pPr>
              <w:rPr>
                <w:rFonts w:ascii="Meta Pro" w:eastAsia="Times New Roman" w:hAnsi="Meta Pro"/>
                <w:b/>
                <w:bCs/>
                <w:lang w:eastAsia="en-AU"/>
              </w:rPr>
            </w:pPr>
            <w:r w:rsidRPr="00092B22">
              <w:rPr>
                <w:rFonts w:ascii="Meta Pro" w:eastAsia="Times New Roman" w:hAnsi="Meta Pro"/>
                <w:b/>
                <w:bCs/>
                <w:lang w:eastAsia="en-AU"/>
              </w:rPr>
              <w:t>8     GRANTS AND SUBSIDIES</w:t>
            </w:r>
          </w:p>
        </w:tc>
        <w:tc>
          <w:tcPr>
            <w:tcW w:w="1153" w:type="dxa"/>
            <w:tcBorders>
              <w:top w:val="nil"/>
              <w:left w:val="nil"/>
              <w:bottom w:val="nil"/>
              <w:right w:val="nil"/>
            </w:tcBorders>
            <w:shd w:val="clear" w:color="auto" w:fill="auto"/>
            <w:noWrap/>
            <w:vAlign w:val="center"/>
            <w:hideMark/>
          </w:tcPr>
          <w:p w14:paraId="0B5BF9EF" w14:textId="77777777" w:rsidR="00DB0DE6" w:rsidRPr="00092B22" w:rsidRDefault="00DB0DE6" w:rsidP="00E607DA">
            <w:pPr>
              <w:rPr>
                <w:rFonts w:ascii="Meta Pro" w:eastAsia="Times New Roman" w:hAnsi="Meta Pro"/>
                <w:b/>
                <w:bCs/>
                <w:lang w:eastAsia="en-AU"/>
              </w:rPr>
            </w:pPr>
          </w:p>
        </w:tc>
        <w:tc>
          <w:tcPr>
            <w:tcW w:w="215" w:type="dxa"/>
            <w:tcBorders>
              <w:top w:val="nil"/>
              <w:left w:val="nil"/>
              <w:bottom w:val="nil"/>
              <w:right w:val="nil"/>
            </w:tcBorders>
            <w:shd w:val="clear" w:color="auto" w:fill="auto"/>
            <w:noWrap/>
            <w:vAlign w:val="center"/>
            <w:hideMark/>
          </w:tcPr>
          <w:p w14:paraId="628FFB19" w14:textId="77777777" w:rsidR="00DB0DE6" w:rsidRPr="00092B22" w:rsidRDefault="00DB0DE6" w:rsidP="00E607DA">
            <w:pPr>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48A0CD8A" w14:textId="77777777" w:rsidR="00DB0DE6" w:rsidRPr="00092B22" w:rsidRDefault="00DB0DE6" w:rsidP="00E607DA">
            <w:pPr>
              <w:rPr>
                <w:rFonts w:ascii="Meta Pro" w:eastAsia="Times New Roman" w:hAnsi="Meta Pro" w:cs="Times New Roman"/>
                <w:sz w:val="20"/>
                <w:szCs w:val="20"/>
                <w:lang w:eastAsia="en-AU"/>
              </w:rPr>
            </w:pPr>
          </w:p>
        </w:tc>
      </w:tr>
      <w:tr w:rsidR="00DB0DE6" w:rsidRPr="00092B22" w14:paraId="62A699E0" w14:textId="77777777" w:rsidTr="00E607DA">
        <w:trPr>
          <w:trHeight w:val="90"/>
        </w:trPr>
        <w:tc>
          <w:tcPr>
            <w:tcW w:w="7117" w:type="dxa"/>
            <w:tcBorders>
              <w:top w:val="nil"/>
              <w:left w:val="nil"/>
              <w:bottom w:val="nil"/>
              <w:right w:val="nil"/>
            </w:tcBorders>
            <w:shd w:val="clear" w:color="auto" w:fill="auto"/>
            <w:noWrap/>
            <w:vAlign w:val="center"/>
            <w:hideMark/>
          </w:tcPr>
          <w:p w14:paraId="235FC6F9" w14:textId="77777777" w:rsidR="00DB0DE6" w:rsidRPr="00092B22" w:rsidRDefault="00DB0DE6" w:rsidP="00E607DA">
            <w:pPr>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2C61026B" w14:textId="77777777" w:rsidR="00DB0DE6" w:rsidRPr="00092B22" w:rsidRDefault="00DB0DE6" w:rsidP="00E607DA">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20A6930C" w14:textId="77777777" w:rsidR="00DB0DE6" w:rsidRPr="00092B22" w:rsidRDefault="00DB0DE6" w:rsidP="00E607DA">
            <w:pPr>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3163F479" w14:textId="77777777" w:rsidR="00DB0DE6" w:rsidRPr="00092B22" w:rsidRDefault="00DB0DE6" w:rsidP="00E607DA">
            <w:pPr>
              <w:rPr>
                <w:rFonts w:ascii="Meta Pro" w:eastAsia="Times New Roman" w:hAnsi="Meta Pro" w:cs="Times New Roman"/>
                <w:sz w:val="20"/>
                <w:szCs w:val="20"/>
                <w:lang w:eastAsia="en-AU"/>
              </w:rPr>
            </w:pPr>
          </w:p>
        </w:tc>
      </w:tr>
      <w:tr w:rsidR="00DB0DE6" w:rsidRPr="00092B22" w14:paraId="2013EF21" w14:textId="77777777" w:rsidTr="00E607DA">
        <w:trPr>
          <w:trHeight w:val="240"/>
        </w:trPr>
        <w:tc>
          <w:tcPr>
            <w:tcW w:w="7117" w:type="dxa"/>
            <w:tcBorders>
              <w:top w:val="nil"/>
              <w:left w:val="nil"/>
              <w:bottom w:val="nil"/>
              <w:right w:val="nil"/>
            </w:tcBorders>
            <w:shd w:val="clear" w:color="auto" w:fill="auto"/>
            <w:noWrap/>
            <w:vAlign w:val="center"/>
            <w:hideMark/>
          </w:tcPr>
          <w:p w14:paraId="2C6A1100" w14:textId="77777777" w:rsidR="00DB0DE6" w:rsidRPr="00092B22" w:rsidRDefault="00DB0DE6" w:rsidP="00E607DA">
            <w:pPr>
              <w:rPr>
                <w:rFonts w:ascii="Meta Pro" w:eastAsia="Times New Roman" w:hAnsi="Meta Pro"/>
                <w:szCs w:val="18"/>
                <w:lang w:eastAsia="en-AU"/>
              </w:rPr>
            </w:pPr>
            <w:r w:rsidRPr="00092B22">
              <w:rPr>
                <w:rFonts w:ascii="Meta Pro" w:eastAsia="Times New Roman" w:hAnsi="Meta Pro"/>
                <w:szCs w:val="18"/>
                <w:lang w:eastAsia="en-AU"/>
              </w:rPr>
              <w:t>Assets provided to third parties at below fair value *</w:t>
            </w:r>
          </w:p>
        </w:tc>
        <w:tc>
          <w:tcPr>
            <w:tcW w:w="1153" w:type="dxa"/>
            <w:tcBorders>
              <w:top w:val="nil"/>
              <w:left w:val="nil"/>
              <w:bottom w:val="nil"/>
              <w:right w:val="nil"/>
            </w:tcBorders>
            <w:shd w:val="clear" w:color="000000" w:fill="C9E3B4"/>
            <w:noWrap/>
            <w:vAlign w:val="center"/>
            <w:hideMark/>
          </w:tcPr>
          <w:p w14:paraId="7C1AF2AE" w14:textId="77777777" w:rsidR="00DB0DE6" w:rsidRPr="00092B22" w:rsidRDefault="00DB0DE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64,742 </w:t>
            </w:r>
          </w:p>
        </w:tc>
        <w:tc>
          <w:tcPr>
            <w:tcW w:w="215" w:type="dxa"/>
            <w:tcBorders>
              <w:top w:val="nil"/>
              <w:left w:val="nil"/>
              <w:bottom w:val="nil"/>
              <w:right w:val="nil"/>
            </w:tcBorders>
            <w:shd w:val="clear" w:color="auto" w:fill="auto"/>
            <w:noWrap/>
            <w:vAlign w:val="center"/>
            <w:hideMark/>
          </w:tcPr>
          <w:p w14:paraId="30DCFA91" w14:textId="77777777" w:rsidR="00DB0DE6" w:rsidRPr="00092B22" w:rsidRDefault="00DB0DE6" w:rsidP="00E607DA">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2885622C" w14:textId="77777777" w:rsidR="00DB0DE6" w:rsidRPr="00092B22" w:rsidRDefault="00DB0DE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13,406 </w:t>
            </w:r>
          </w:p>
        </w:tc>
      </w:tr>
      <w:tr w:rsidR="00DB0DE6" w:rsidRPr="00092B22" w14:paraId="1405C22E" w14:textId="77777777" w:rsidTr="00E607DA">
        <w:trPr>
          <w:trHeight w:val="240"/>
        </w:trPr>
        <w:tc>
          <w:tcPr>
            <w:tcW w:w="7117" w:type="dxa"/>
            <w:tcBorders>
              <w:top w:val="nil"/>
              <w:left w:val="nil"/>
              <w:bottom w:val="nil"/>
              <w:right w:val="nil"/>
            </w:tcBorders>
            <w:shd w:val="clear" w:color="auto" w:fill="auto"/>
            <w:noWrap/>
            <w:vAlign w:val="center"/>
            <w:hideMark/>
          </w:tcPr>
          <w:p w14:paraId="37C980DB" w14:textId="77777777" w:rsidR="00DB0DE6" w:rsidRPr="00092B22" w:rsidRDefault="00DB0DE6" w:rsidP="00E607DA">
            <w:pPr>
              <w:rPr>
                <w:rFonts w:ascii="Meta Pro" w:eastAsia="Times New Roman" w:hAnsi="Meta Pro"/>
                <w:szCs w:val="18"/>
                <w:lang w:eastAsia="en-AU"/>
              </w:rPr>
            </w:pPr>
            <w:r w:rsidRPr="00092B22">
              <w:rPr>
                <w:rFonts w:ascii="Meta Pro" w:eastAsia="Times New Roman" w:hAnsi="Meta Pro"/>
                <w:szCs w:val="18"/>
                <w:lang w:eastAsia="en-AU"/>
              </w:rPr>
              <w:t>Public transport</w:t>
            </w:r>
          </w:p>
        </w:tc>
        <w:tc>
          <w:tcPr>
            <w:tcW w:w="1153" w:type="dxa"/>
            <w:tcBorders>
              <w:top w:val="nil"/>
              <w:left w:val="nil"/>
              <w:bottom w:val="nil"/>
              <w:right w:val="nil"/>
            </w:tcBorders>
            <w:shd w:val="clear" w:color="000000" w:fill="C9E3B4"/>
            <w:noWrap/>
            <w:vAlign w:val="center"/>
            <w:hideMark/>
          </w:tcPr>
          <w:p w14:paraId="4861306B" w14:textId="77777777" w:rsidR="00DB0DE6" w:rsidRPr="00092B22" w:rsidRDefault="00DB0DE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89,208 </w:t>
            </w:r>
          </w:p>
        </w:tc>
        <w:tc>
          <w:tcPr>
            <w:tcW w:w="215" w:type="dxa"/>
            <w:tcBorders>
              <w:top w:val="nil"/>
              <w:left w:val="nil"/>
              <w:bottom w:val="nil"/>
              <w:right w:val="nil"/>
            </w:tcBorders>
            <w:shd w:val="clear" w:color="auto" w:fill="auto"/>
            <w:noWrap/>
            <w:vAlign w:val="center"/>
            <w:hideMark/>
          </w:tcPr>
          <w:p w14:paraId="538B5110" w14:textId="77777777" w:rsidR="00DB0DE6" w:rsidRPr="00092B22" w:rsidRDefault="00DB0DE6" w:rsidP="00E607DA">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22B1A4A3" w14:textId="77777777" w:rsidR="00DB0DE6" w:rsidRPr="00092B22" w:rsidRDefault="00DB0DE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94,034 </w:t>
            </w:r>
          </w:p>
        </w:tc>
      </w:tr>
      <w:tr w:rsidR="00DB0DE6" w:rsidRPr="00092B22" w14:paraId="408B4407" w14:textId="77777777" w:rsidTr="00E607DA">
        <w:trPr>
          <w:trHeight w:val="240"/>
        </w:trPr>
        <w:tc>
          <w:tcPr>
            <w:tcW w:w="7117" w:type="dxa"/>
            <w:tcBorders>
              <w:top w:val="nil"/>
              <w:left w:val="nil"/>
              <w:bottom w:val="nil"/>
              <w:right w:val="nil"/>
            </w:tcBorders>
            <w:shd w:val="clear" w:color="auto" w:fill="auto"/>
            <w:noWrap/>
            <w:vAlign w:val="center"/>
            <w:hideMark/>
          </w:tcPr>
          <w:p w14:paraId="3BF724B2" w14:textId="77777777" w:rsidR="00DB0DE6" w:rsidRPr="00092B22" w:rsidRDefault="00DB0DE6" w:rsidP="00E607DA">
            <w:pPr>
              <w:rPr>
                <w:rFonts w:ascii="Meta Pro" w:eastAsia="Times New Roman" w:hAnsi="Meta Pro"/>
                <w:szCs w:val="18"/>
                <w:lang w:eastAsia="en-AU"/>
              </w:rPr>
            </w:pPr>
            <w:r w:rsidRPr="00092B22">
              <w:rPr>
                <w:rFonts w:ascii="Meta Pro" w:eastAsia="Times New Roman" w:hAnsi="Meta Pro"/>
                <w:szCs w:val="18"/>
                <w:lang w:eastAsia="en-AU"/>
              </w:rPr>
              <w:t>School transport</w:t>
            </w:r>
          </w:p>
        </w:tc>
        <w:tc>
          <w:tcPr>
            <w:tcW w:w="1153" w:type="dxa"/>
            <w:tcBorders>
              <w:top w:val="nil"/>
              <w:left w:val="nil"/>
              <w:bottom w:val="nil"/>
              <w:right w:val="nil"/>
            </w:tcBorders>
            <w:shd w:val="clear" w:color="000000" w:fill="C9E3B4"/>
            <w:noWrap/>
            <w:vAlign w:val="center"/>
            <w:hideMark/>
          </w:tcPr>
          <w:p w14:paraId="13478D2B" w14:textId="77777777" w:rsidR="00DB0DE6" w:rsidRPr="00092B22" w:rsidRDefault="00DB0DE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164,927 </w:t>
            </w:r>
          </w:p>
        </w:tc>
        <w:tc>
          <w:tcPr>
            <w:tcW w:w="215" w:type="dxa"/>
            <w:tcBorders>
              <w:top w:val="nil"/>
              <w:left w:val="nil"/>
              <w:bottom w:val="nil"/>
              <w:right w:val="nil"/>
            </w:tcBorders>
            <w:shd w:val="clear" w:color="auto" w:fill="auto"/>
            <w:noWrap/>
            <w:vAlign w:val="center"/>
            <w:hideMark/>
          </w:tcPr>
          <w:p w14:paraId="3AFF6F8E" w14:textId="77777777" w:rsidR="00DB0DE6" w:rsidRPr="00092B22" w:rsidRDefault="00DB0DE6" w:rsidP="00E607DA">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7467789E" w14:textId="77777777" w:rsidR="00DB0DE6" w:rsidRPr="00092B22" w:rsidRDefault="00DB0DE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156,500 </w:t>
            </w:r>
          </w:p>
        </w:tc>
      </w:tr>
      <w:tr w:rsidR="00DB0DE6" w:rsidRPr="00092B22" w14:paraId="6AF2AE46" w14:textId="77777777" w:rsidTr="00E607DA">
        <w:trPr>
          <w:trHeight w:val="240"/>
        </w:trPr>
        <w:tc>
          <w:tcPr>
            <w:tcW w:w="7117" w:type="dxa"/>
            <w:tcBorders>
              <w:top w:val="nil"/>
              <w:left w:val="nil"/>
              <w:bottom w:val="nil"/>
              <w:right w:val="nil"/>
            </w:tcBorders>
            <w:shd w:val="clear" w:color="auto" w:fill="auto"/>
            <w:noWrap/>
            <w:vAlign w:val="center"/>
            <w:hideMark/>
          </w:tcPr>
          <w:p w14:paraId="39BD997C" w14:textId="77777777" w:rsidR="00DB0DE6" w:rsidRPr="00092B22" w:rsidRDefault="00DB0DE6" w:rsidP="00E607DA">
            <w:pPr>
              <w:rPr>
                <w:rFonts w:ascii="Meta Pro" w:eastAsia="Times New Roman" w:hAnsi="Meta Pro"/>
                <w:szCs w:val="18"/>
                <w:lang w:eastAsia="en-AU"/>
              </w:rPr>
            </w:pPr>
            <w:r w:rsidRPr="00092B22">
              <w:rPr>
                <w:rFonts w:ascii="Meta Pro" w:eastAsia="Times New Roman" w:hAnsi="Meta Pro"/>
                <w:szCs w:val="18"/>
                <w:lang w:eastAsia="en-AU"/>
              </w:rPr>
              <w:lastRenderedPageBreak/>
              <w:t>Transport infrastructure **</w:t>
            </w:r>
          </w:p>
        </w:tc>
        <w:tc>
          <w:tcPr>
            <w:tcW w:w="1153" w:type="dxa"/>
            <w:tcBorders>
              <w:top w:val="nil"/>
              <w:left w:val="nil"/>
              <w:bottom w:val="nil"/>
              <w:right w:val="nil"/>
            </w:tcBorders>
            <w:shd w:val="clear" w:color="000000" w:fill="C9E3B4"/>
            <w:noWrap/>
            <w:vAlign w:val="center"/>
            <w:hideMark/>
          </w:tcPr>
          <w:p w14:paraId="39B5F4D3" w14:textId="77777777" w:rsidR="00DB0DE6" w:rsidRPr="00092B22" w:rsidRDefault="00DB0DE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410,337 </w:t>
            </w:r>
          </w:p>
        </w:tc>
        <w:tc>
          <w:tcPr>
            <w:tcW w:w="215" w:type="dxa"/>
            <w:tcBorders>
              <w:top w:val="nil"/>
              <w:left w:val="nil"/>
              <w:bottom w:val="nil"/>
              <w:right w:val="nil"/>
            </w:tcBorders>
            <w:shd w:val="clear" w:color="auto" w:fill="auto"/>
            <w:noWrap/>
            <w:vAlign w:val="center"/>
            <w:hideMark/>
          </w:tcPr>
          <w:p w14:paraId="147E2722" w14:textId="77777777" w:rsidR="00DB0DE6" w:rsidRPr="00092B22" w:rsidRDefault="00DB0DE6" w:rsidP="00E607DA">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46B00D15" w14:textId="77777777" w:rsidR="00DB0DE6" w:rsidRPr="00092B22" w:rsidRDefault="00DB0DE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313,822 </w:t>
            </w:r>
          </w:p>
        </w:tc>
      </w:tr>
      <w:tr w:rsidR="00DB0DE6" w:rsidRPr="00092B22" w14:paraId="77A45B44" w14:textId="77777777" w:rsidTr="00E607DA">
        <w:trPr>
          <w:trHeight w:val="240"/>
        </w:trPr>
        <w:tc>
          <w:tcPr>
            <w:tcW w:w="7117" w:type="dxa"/>
            <w:tcBorders>
              <w:top w:val="nil"/>
              <w:left w:val="nil"/>
              <w:bottom w:val="nil"/>
              <w:right w:val="nil"/>
            </w:tcBorders>
            <w:shd w:val="clear" w:color="auto" w:fill="auto"/>
            <w:noWrap/>
            <w:vAlign w:val="center"/>
            <w:hideMark/>
          </w:tcPr>
          <w:p w14:paraId="7B14B6DA" w14:textId="77777777" w:rsidR="00DB0DE6" w:rsidRPr="00092B22" w:rsidRDefault="00DB0DE6" w:rsidP="00E607DA">
            <w:pPr>
              <w:rPr>
                <w:rFonts w:ascii="Meta Pro" w:eastAsia="Times New Roman" w:hAnsi="Meta Pro"/>
                <w:szCs w:val="18"/>
                <w:lang w:eastAsia="en-AU"/>
              </w:rPr>
            </w:pPr>
            <w:r w:rsidRPr="00092B22">
              <w:rPr>
                <w:rFonts w:ascii="Meta Pro" w:eastAsia="Times New Roman" w:hAnsi="Meta Pro"/>
                <w:szCs w:val="18"/>
                <w:lang w:eastAsia="en-AU"/>
              </w:rPr>
              <w:t xml:space="preserve">Transport Infrastructure Development Scheme (TIDS) </w:t>
            </w:r>
          </w:p>
        </w:tc>
        <w:tc>
          <w:tcPr>
            <w:tcW w:w="1153" w:type="dxa"/>
            <w:tcBorders>
              <w:top w:val="nil"/>
              <w:left w:val="nil"/>
              <w:bottom w:val="nil"/>
              <w:right w:val="nil"/>
            </w:tcBorders>
            <w:shd w:val="clear" w:color="000000" w:fill="C9E3B4"/>
            <w:noWrap/>
            <w:vAlign w:val="center"/>
            <w:hideMark/>
          </w:tcPr>
          <w:p w14:paraId="64B7BA1C" w14:textId="77777777" w:rsidR="00DB0DE6" w:rsidRPr="00092B22" w:rsidRDefault="00DB0DE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69,870 </w:t>
            </w:r>
          </w:p>
        </w:tc>
        <w:tc>
          <w:tcPr>
            <w:tcW w:w="215" w:type="dxa"/>
            <w:tcBorders>
              <w:top w:val="nil"/>
              <w:left w:val="nil"/>
              <w:bottom w:val="nil"/>
              <w:right w:val="nil"/>
            </w:tcBorders>
            <w:shd w:val="clear" w:color="auto" w:fill="auto"/>
            <w:noWrap/>
            <w:vAlign w:val="center"/>
            <w:hideMark/>
          </w:tcPr>
          <w:p w14:paraId="776BBA2E" w14:textId="77777777" w:rsidR="00DB0DE6" w:rsidRPr="00092B22" w:rsidRDefault="00DB0DE6" w:rsidP="00E607DA">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7AD27A22" w14:textId="77777777" w:rsidR="00DB0DE6" w:rsidRPr="00092B22" w:rsidRDefault="00DB0DE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82,923 </w:t>
            </w:r>
          </w:p>
        </w:tc>
      </w:tr>
      <w:tr w:rsidR="00DB0DE6" w:rsidRPr="00092B22" w14:paraId="200D2304" w14:textId="77777777" w:rsidTr="00E607DA">
        <w:trPr>
          <w:trHeight w:val="240"/>
        </w:trPr>
        <w:tc>
          <w:tcPr>
            <w:tcW w:w="7117" w:type="dxa"/>
            <w:tcBorders>
              <w:top w:val="nil"/>
              <w:left w:val="nil"/>
              <w:bottom w:val="nil"/>
              <w:right w:val="nil"/>
            </w:tcBorders>
            <w:shd w:val="clear" w:color="auto" w:fill="auto"/>
            <w:noWrap/>
            <w:vAlign w:val="center"/>
            <w:hideMark/>
          </w:tcPr>
          <w:p w14:paraId="774E35B6" w14:textId="77777777" w:rsidR="00DB0DE6" w:rsidRPr="00092B22" w:rsidRDefault="00DB0DE6" w:rsidP="00E607DA">
            <w:pPr>
              <w:rPr>
                <w:rFonts w:ascii="Meta Pro" w:eastAsia="Times New Roman" w:hAnsi="Meta Pro"/>
                <w:szCs w:val="18"/>
                <w:lang w:eastAsia="en-AU"/>
              </w:rPr>
            </w:pPr>
            <w:r w:rsidRPr="00092B22">
              <w:rPr>
                <w:rFonts w:ascii="Meta Pro" w:eastAsia="Times New Roman" w:hAnsi="Meta Pro"/>
                <w:szCs w:val="18"/>
                <w:lang w:eastAsia="en-AU"/>
              </w:rPr>
              <w:t>Other</w:t>
            </w:r>
          </w:p>
        </w:tc>
        <w:tc>
          <w:tcPr>
            <w:tcW w:w="1153" w:type="dxa"/>
            <w:tcBorders>
              <w:top w:val="nil"/>
              <w:left w:val="nil"/>
              <w:bottom w:val="nil"/>
              <w:right w:val="nil"/>
            </w:tcBorders>
            <w:shd w:val="clear" w:color="000000" w:fill="C9E3B4"/>
            <w:noWrap/>
            <w:vAlign w:val="center"/>
            <w:hideMark/>
          </w:tcPr>
          <w:p w14:paraId="0E6F8A9F" w14:textId="77777777" w:rsidR="00DB0DE6" w:rsidRPr="00092B22" w:rsidRDefault="00DB0DE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13,294 </w:t>
            </w:r>
          </w:p>
        </w:tc>
        <w:tc>
          <w:tcPr>
            <w:tcW w:w="215" w:type="dxa"/>
            <w:tcBorders>
              <w:top w:val="nil"/>
              <w:left w:val="nil"/>
              <w:bottom w:val="nil"/>
              <w:right w:val="nil"/>
            </w:tcBorders>
            <w:shd w:val="clear" w:color="auto" w:fill="auto"/>
            <w:noWrap/>
            <w:vAlign w:val="center"/>
            <w:hideMark/>
          </w:tcPr>
          <w:p w14:paraId="6825A0D8" w14:textId="77777777" w:rsidR="00DB0DE6" w:rsidRPr="00092B22" w:rsidRDefault="00DB0DE6" w:rsidP="00E607DA">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06986952" w14:textId="77777777" w:rsidR="00DB0DE6" w:rsidRPr="00092B22" w:rsidRDefault="00DB0DE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34,786 </w:t>
            </w:r>
          </w:p>
        </w:tc>
      </w:tr>
      <w:tr w:rsidR="00DB0DE6" w:rsidRPr="00092B22" w14:paraId="10E53B06" w14:textId="77777777" w:rsidTr="00E607DA">
        <w:trPr>
          <w:trHeight w:val="240"/>
        </w:trPr>
        <w:tc>
          <w:tcPr>
            <w:tcW w:w="7117" w:type="dxa"/>
            <w:tcBorders>
              <w:top w:val="single" w:sz="4" w:space="0" w:color="auto"/>
              <w:left w:val="nil"/>
              <w:bottom w:val="double" w:sz="6" w:space="0" w:color="auto"/>
              <w:right w:val="nil"/>
            </w:tcBorders>
            <w:shd w:val="clear" w:color="auto" w:fill="auto"/>
            <w:noWrap/>
            <w:vAlign w:val="center"/>
            <w:hideMark/>
          </w:tcPr>
          <w:p w14:paraId="33051B15" w14:textId="77777777" w:rsidR="00DB0DE6" w:rsidRPr="00092B22" w:rsidRDefault="00DB0DE6" w:rsidP="00E607DA">
            <w:pPr>
              <w:rPr>
                <w:rFonts w:ascii="Meta Pro" w:eastAsia="Times New Roman" w:hAnsi="Meta Pro"/>
                <w:b/>
                <w:bCs/>
                <w:szCs w:val="18"/>
                <w:lang w:eastAsia="en-AU"/>
              </w:rPr>
            </w:pPr>
            <w:r w:rsidRPr="00092B22">
              <w:rPr>
                <w:rFonts w:ascii="Meta Pro" w:eastAsia="Times New Roman" w:hAnsi="Meta Pro"/>
                <w:b/>
                <w:bCs/>
                <w:szCs w:val="18"/>
                <w:lang w:eastAsia="en-AU"/>
              </w:rPr>
              <w:t>Total</w:t>
            </w:r>
          </w:p>
        </w:tc>
        <w:tc>
          <w:tcPr>
            <w:tcW w:w="1153" w:type="dxa"/>
            <w:tcBorders>
              <w:top w:val="single" w:sz="4" w:space="0" w:color="auto"/>
              <w:left w:val="nil"/>
              <w:bottom w:val="double" w:sz="6" w:space="0" w:color="auto"/>
              <w:right w:val="nil"/>
            </w:tcBorders>
            <w:shd w:val="clear" w:color="000000" w:fill="C9E3B4"/>
            <w:noWrap/>
            <w:vAlign w:val="center"/>
            <w:hideMark/>
          </w:tcPr>
          <w:p w14:paraId="65ECCB2B" w14:textId="77777777" w:rsidR="00DB0DE6" w:rsidRPr="00092B22" w:rsidRDefault="00DB0DE6"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812,378 </w:t>
            </w:r>
          </w:p>
        </w:tc>
        <w:tc>
          <w:tcPr>
            <w:tcW w:w="215" w:type="dxa"/>
            <w:tcBorders>
              <w:top w:val="single" w:sz="4" w:space="0" w:color="auto"/>
              <w:left w:val="nil"/>
              <w:bottom w:val="double" w:sz="6" w:space="0" w:color="auto"/>
              <w:right w:val="nil"/>
            </w:tcBorders>
            <w:shd w:val="clear" w:color="auto" w:fill="auto"/>
            <w:noWrap/>
            <w:vAlign w:val="center"/>
            <w:hideMark/>
          </w:tcPr>
          <w:p w14:paraId="483B28F5" w14:textId="77777777" w:rsidR="00DB0DE6" w:rsidRPr="00092B22" w:rsidRDefault="00DB0DE6" w:rsidP="00E607DA">
            <w:pPr>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153" w:type="dxa"/>
            <w:tcBorders>
              <w:top w:val="single" w:sz="4" w:space="0" w:color="auto"/>
              <w:left w:val="nil"/>
              <w:bottom w:val="double" w:sz="6" w:space="0" w:color="auto"/>
              <w:right w:val="nil"/>
            </w:tcBorders>
            <w:shd w:val="clear" w:color="auto" w:fill="auto"/>
            <w:noWrap/>
            <w:vAlign w:val="center"/>
            <w:hideMark/>
          </w:tcPr>
          <w:p w14:paraId="209F0DE8" w14:textId="77777777" w:rsidR="00DB0DE6" w:rsidRPr="00092B22" w:rsidRDefault="00DB0DE6"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695,471 </w:t>
            </w:r>
          </w:p>
        </w:tc>
      </w:tr>
    </w:tbl>
    <w:p w14:paraId="4516226E" w14:textId="77777777" w:rsidR="00DB0DE6" w:rsidRPr="00092B22" w:rsidRDefault="00DB0DE6" w:rsidP="00DB0DE6">
      <w:pPr>
        <w:spacing w:before="120"/>
        <w:rPr>
          <w:rFonts w:ascii="Meta Pro" w:eastAsia="Times New Roman" w:hAnsi="Meta Pro"/>
          <w:color w:val="000000"/>
          <w:sz w:val="16"/>
          <w:szCs w:val="16"/>
          <w:lang w:eastAsia="en-AU"/>
        </w:rPr>
      </w:pPr>
      <w:r w:rsidRPr="00092B22">
        <w:rPr>
          <w:rFonts w:ascii="Meta Pro" w:eastAsia="Times New Roman" w:hAnsi="Meta Pro"/>
          <w:color w:val="000000"/>
          <w:sz w:val="16"/>
          <w:szCs w:val="16"/>
          <w:lang w:eastAsia="en-AU"/>
        </w:rPr>
        <w:t>* Includes $61.068m in 2022 for infrastructure assets transferred to local governments.</w:t>
      </w:r>
    </w:p>
    <w:p w14:paraId="447BAB2B" w14:textId="06942692" w:rsidR="00DB0DE6" w:rsidRPr="00B07A53" w:rsidRDefault="00DB0DE6" w:rsidP="00B07A53">
      <w:pPr>
        <w:spacing w:before="120"/>
        <w:rPr>
          <w:rFonts w:ascii="Meta Pro" w:eastAsia="Times New Roman" w:hAnsi="Meta Pro"/>
          <w:color w:val="000000"/>
          <w:sz w:val="16"/>
          <w:szCs w:val="16"/>
          <w:lang w:eastAsia="en-AU"/>
        </w:rPr>
      </w:pPr>
      <w:r w:rsidRPr="00092B22">
        <w:rPr>
          <w:rFonts w:ascii="Meta Pro" w:eastAsia="Times New Roman" w:hAnsi="Meta Pro"/>
          <w:color w:val="000000"/>
          <w:sz w:val="16"/>
          <w:szCs w:val="16"/>
          <w:lang w:eastAsia="en-AU"/>
        </w:rPr>
        <w:t>** Includes $80.0m in 2022 paid to the Brisbane City Council for the Brisbane Metro project.</w:t>
      </w:r>
    </w:p>
    <w:p w14:paraId="57626CB5" w14:textId="77777777" w:rsidR="00DB0DE6" w:rsidRPr="00092B22" w:rsidRDefault="00DB0DE6" w:rsidP="00DB0DE6">
      <w:pPr>
        <w:ind w:left="142" w:hanging="142"/>
        <w:rPr>
          <w:rFonts w:ascii="Meta Pro" w:hAnsi="Meta Pro" w:cstheme="minorBidi"/>
        </w:rPr>
      </w:pPr>
    </w:p>
    <w:tbl>
      <w:tblPr>
        <w:tblW w:w="9638" w:type="dxa"/>
        <w:tblCellMar>
          <w:left w:w="0" w:type="dxa"/>
        </w:tblCellMar>
        <w:tblLook w:val="04A0" w:firstRow="1" w:lastRow="0" w:firstColumn="1" w:lastColumn="0" w:noHBand="0" w:noVBand="1"/>
      </w:tblPr>
      <w:tblGrid>
        <w:gridCol w:w="7101"/>
        <w:gridCol w:w="1157"/>
        <w:gridCol w:w="223"/>
        <w:gridCol w:w="1157"/>
      </w:tblGrid>
      <w:tr w:rsidR="00DB0DE6" w:rsidRPr="00092B22" w14:paraId="461D6D55" w14:textId="77777777" w:rsidTr="00E607DA">
        <w:trPr>
          <w:trHeight w:val="240"/>
        </w:trPr>
        <w:tc>
          <w:tcPr>
            <w:tcW w:w="7117" w:type="dxa"/>
            <w:tcBorders>
              <w:top w:val="nil"/>
              <w:left w:val="nil"/>
              <w:bottom w:val="nil"/>
              <w:right w:val="nil"/>
            </w:tcBorders>
            <w:shd w:val="clear" w:color="auto" w:fill="auto"/>
            <w:noWrap/>
            <w:vAlign w:val="center"/>
            <w:hideMark/>
          </w:tcPr>
          <w:p w14:paraId="75F13EA8" w14:textId="77777777" w:rsidR="00DB0DE6" w:rsidRPr="00092B22" w:rsidRDefault="00DB0DE6" w:rsidP="00E607DA">
            <w:pPr>
              <w:rPr>
                <w:rFonts w:ascii="Meta Pro" w:eastAsia="Times New Roman" w:hAnsi="Meta Pro"/>
                <w:b/>
                <w:bCs/>
                <w:lang w:eastAsia="en-AU"/>
              </w:rPr>
            </w:pPr>
            <w:r w:rsidRPr="00092B22">
              <w:rPr>
                <w:rFonts w:ascii="Meta Pro" w:eastAsia="Times New Roman" w:hAnsi="Meta Pro"/>
                <w:b/>
                <w:bCs/>
                <w:lang w:eastAsia="en-AU"/>
              </w:rPr>
              <w:t>9     FINANCE AND BORROWING COSTS</w:t>
            </w:r>
          </w:p>
        </w:tc>
        <w:tc>
          <w:tcPr>
            <w:tcW w:w="1153" w:type="dxa"/>
            <w:tcBorders>
              <w:top w:val="nil"/>
              <w:left w:val="nil"/>
              <w:bottom w:val="nil"/>
              <w:right w:val="nil"/>
            </w:tcBorders>
            <w:shd w:val="clear" w:color="auto" w:fill="auto"/>
            <w:noWrap/>
            <w:vAlign w:val="center"/>
            <w:hideMark/>
          </w:tcPr>
          <w:p w14:paraId="42FDAA3E" w14:textId="77777777" w:rsidR="00DB0DE6" w:rsidRPr="00092B22" w:rsidRDefault="00DB0DE6" w:rsidP="00E607DA">
            <w:pPr>
              <w:rPr>
                <w:rFonts w:ascii="Meta Pro" w:eastAsia="Times New Roman" w:hAnsi="Meta Pro"/>
                <w:b/>
                <w:bCs/>
                <w:lang w:eastAsia="en-AU"/>
              </w:rPr>
            </w:pPr>
          </w:p>
        </w:tc>
        <w:tc>
          <w:tcPr>
            <w:tcW w:w="215" w:type="dxa"/>
            <w:tcBorders>
              <w:top w:val="nil"/>
              <w:left w:val="nil"/>
              <w:bottom w:val="nil"/>
              <w:right w:val="nil"/>
            </w:tcBorders>
            <w:shd w:val="clear" w:color="auto" w:fill="auto"/>
            <w:noWrap/>
            <w:vAlign w:val="center"/>
            <w:hideMark/>
          </w:tcPr>
          <w:p w14:paraId="1878E611" w14:textId="77777777" w:rsidR="00DB0DE6" w:rsidRPr="00092B22" w:rsidRDefault="00DB0DE6" w:rsidP="00E607DA">
            <w:pPr>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711ECFF9" w14:textId="77777777" w:rsidR="00DB0DE6" w:rsidRPr="00092B22" w:rsidRDefault="00DB0DE6" w:rsidP="00E607DA">
            <w:pPr>
              <w:rPr>
                <w:rFonts w:ascii="Meta Pro" w:eastAsia="Times New Roman" w:hAnsi="Meta Pro" w:cs="Times New Roman"/>
                <w:sz w:val="20"/>
                <w:szCs w:val="20"/>
                <w:lang w:eastAsia="en-AU"/>
              </w:rPr>
            </w:pPr>
          </w:p>
        </w:tc>
      </w:tr>
      <w:tr w:rsidR="00DB0DE6" w:rsidRPr="00092B22" w14:paraId="18D3E9B7" w14:textId="77777777" w:rsidTr="00E607DA">
        <w:trPr>
          <w:trHeight w:val="90"/>
        </w:trPr>
        <w:tc>
          <w:tcPr>
            <w:tcW w:w="7117" w:type="dxa"/>
            <w:tcBorders>
              <w:top w:val="nil"/>
              <w:left w:val="nil"/>
              <w:bottom w:val="nil"/>
              <w:right w:val="nil"/>
            </w:tcBorders>
            <w:shd w:val="clear" w:color="auto" w:fill="auto"/>
            <w:noWrap/>
            <w:vAlign w:val="center"/>
            <w:hideMark/>
          </w:tcPr>
          <w:p w14:paraId="71F822AD" w14:textId="77777777" w:rsidR="00DB0DE6" w:rsidRPr="00092B22" w:rsidRDefault="00DB0DE6" w:rsidP="00E607DA">
            <w:pPr>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57574E04" w14:textId="77777777" w:rsidR="00DB0DE6" w:rsidRPr="00092B22" w:rsidRDefault="00DB0DE6" w:rsidP="00E607DA">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4B58E35E" w14:textId="77777777" w:rsidR="00DB0DE6" w:rsidRPr="00092B22" w:rsidRDefault="00DB0DE6" w:rsidP="00E607DA">
            <w:pPr>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2C1766EA" w14:textId="77777777" w:rsidR="00DB0DE6" w:rsidRPr="00092B22" w:rsidRDefault="00DB0DE6" w:rsidP="00E607DA">
            <w:pPr>
              <w:rPr>
                <w:rFonts w:ascii="Meta Pro" w:eastAsia="Times New Roman" w:hAnsi="Meta Pro" w:cs="Times New Roman"/>
                <w:sz w:val="20"/>
                <w:szCs w:val="20"/>
                <w:lang w:eastAsia="en-AU"/>
              </w:rPr>
            </w:pPr>
          </w:p>
        </w:tc>
      </w:tr>
      <w:tr w:rsidR="00DB0DE6" w:rsidRPr="00092B22" w14:paraId="2025E6CD" w14:textId="77777777" w:rsidTr="00E607DA">
        <w:trPr>
          <w:trHeight w:val="240"/>
        </w:trPr>
        <w:tc>
          <w:tcPr>
            <w:tcW w:w="7117" w:type="dxa"/>
            <w:tcBorders>
              <w:top w:val="nil"/>
              <w:left w:val="nil"/>
              <w:bottom w:val="nil"/>
              <w:right w:val="nil"/>
            </w:tcBorders>
            <w:shd w:val="clear" w:color="auto" w:fill="auto"/>
            <w:noWrap/>
            <w:vAlign w:val="center"/>
            <w:hideMark/>
          </w:tcPr>
          <w:p w14:paraId="14B9C8A1" w14:textId="77777777" w:rsidR="00DB0DE6" w:rsidRPr="00092B22" w:rsidRDefault="00DB0DE6" w:rsidP="00E607DA">
            <w:pPr>
              <w:rPr>
                <w:rFonts w:ascii="Meta Pro" w:eastAsia="Times New Roman" w:hAnsi="Meta Pro"/>
                <w:szCs w:val="18"/>
                <w:lang w:eastAsia="en-AU"/>
              </w:rPr>
            </w:pPr>
            <w:r w:rsidRPr="00092B22">
              <w:rPr>
                <w:rFonts w:ascii="Meta Pro" w:eastAsia="Times New Roman" w:hAnsi="Meta Pro"/>
                <w:szCs w:val="18"/>
                <w:lang w:eastAsia="en-AU"/>
              </w:rPr>
              <w:t>Interest on lease liabilities</w:t>
            </w:r>
          </w:p>
        </w:tc>
        <w:tc>
          <w:tcPr>
            <w:tcW w:w="1153" w:type="dxa"/>
            <w:tcBorders>
              <w:top w:val="nil"/>
              <w:left w:val="nil"/>
              <w:bottom w:val="nil"/>
              <w:right w:val="nil"/>
            </w:tcBorders>
            <w:shd w:val="clear" w:color="000000" w:fill="C9E3B4"/>
            <w:noWrap/>
            <w:vAlign w:val="center"/>
            <w:hideMark/>
          </w:tcPr>
          <w:p w14:paraId="36529657" w14:textId="77777777" w:rsidR="00DB0DE6" w:rsidRPr="00092B22" w:rsidRDefault="00DB0DE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90 </w:t>
            </w:r>
          </w:p>
        </w:tc>
        <w:tc>
          <w:tcPr>
            <w:tcW w:w="215" w:type="dxa"/>
            <w:tcBorders>
              <w:top w:val="nil"/>
              <w:left w:val="nil"/>
              <w:bottom w:val="nil"/>
              <w:right w:val="nil"/>
            </w:tcBorders>
            <w:shd w:val="clear" w:color="auto" w:fill="auto"/>
            <w:noWrap/>
            <w:vAlign w:val="center"/>
            <w:hideMark/>
          </w:tcPr>
          <w:p w14:paraId="195E56E2" w14:textId="77777777" w:rsidR="00DB0DE6" w:rsidRPr="00092B22" w:rsidRDefault="00DB0DE6" w:rsidP="00E607DA">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5337D652" w14:textId="77777777" w:rsidR="00DB0DE6" w:rsidRPr="00092B22" w:rsidRDefault="00DB0DE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91 </w:t>
            </w:r>
          </w:p>
        </w:tc>
      </w:tr>
      <w:tr w:rsidR="00DB0DE6" w:rsidRPr="00092B22" w14:paraId="321E1B9A" w14:textId="77777777" w:rsidTr="00E607DA">
        <w:trPr>
          <w:trHeight w:val="240"/>
        </w:trPr>
        <w:tc>
          <w:tcPr>
            <w:tcW w:w="7117" w:type="dxa"/>
            <w:tcBorders>
              <w:top w:val="nil"/>
              <w:left w:val="nil"/>
              <w:bottom w:val="nil"/>
              <w:right w:val="nil"/>
            </w:tcBorders>
            <w:shd w:val="clear" w:color="auto" w:fill="auto"/>
            <w:noWrap/>
            <w:vAlign w:val="center"/>
            <w:hideMark/>
          </w:tcPr>
          <w:p w14:paraId="6914063C" w14:textId="77777777" w:rsidR="00DB0DE6" w:rsidRPr="00092B22" w:rsidRDefault="00DB0DE6" w:rsidP="00E607DA">
            <w:pPr>
              <w:rPr>
                <w:rFonts w:ascii="Meta Pro" w:eastAsia="Times New Roman" w:hAnsi="Meta Pro"/>
                <w:szCs w:val="18"/>
                <w:lang w:eastAsia="en-AU"/>
              </w:rPr>
            </w:pPr>
            <w:r w:rsidRPr="00092B22">
              <w:rPr>
                <w:rFonts w:ascii="Meta Pro" w:eastAsia="Times New Roman" w:hAnsi="Meta Pro"/>
                <w:szCs w:val="18"/>
                <w:lang w:eastAsia="en-AU"/>
              </w:rPr>
              <w:t>Interest on service concession arrangements</w:t>
            </w:r>
          </w:p>
        </w:tc>
        <w:tc>
          <w:tcPr>
            <w:tcW w:w="1153" w:type="dxa"/>
            <w:tcBorders>
              <w:top w:val="nil"/>
              <w:left w:val="nil"/>
              <w:bottom w:val="nil"/>
              <w:right w:val="nil"/>
            </w:tcBorders>
            <w:shd w:val="clear" w:color="000000" w:fill="C9E3B4"/>
            <w:noWrap/>
            <w:vAlign w:val="center"/>
            <w:hideMark/>
          </w:tcPr>
          <w:p w14:paraId="40401BBD" w14:textId="77777777" w:rsidR="00DB0DE6" w:rsidRPr="00092B22" w:rsidRDefault="00DB0DE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46,653 </w:t>
            </w:r>
          </w:p>
        </w:tc>
        <w:tc>
          <w:tcPr>
            <w:tcW w:w="215" w:type="dxa"/>
            <w:tcBorders>
              <w:top w:val="nil"/>
              <w:left w:val="nil"/>
              <w:bottom w:val="nil"/>
              <w:right w:val="nil"/>
            </w:tcBorders>
            <w:shd w:val="clear" w:color="auto" w:fill="auto"/>
            <w:noWrap/>
            <w:vAlign w:val="center"/>
            <w:hideMark/>
          </w:tcPr>
          <w:p w14:paraId="767509BC" w14:textId="77777777" w:rsidR="00DB0DE6" w:rsidRPr="00092B22" w:rsidRDefault="00DB0DE6" w:rsidP="00E607DA">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0303569B" w14:textId="77777777" w:rsidR="00DB0DE6" w:rsidRPr="00092B22" w:rsidRDefault="00DB0DE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48,369 </w:t>
            </w:r>
          </w:p>
        </w:tc>
      </w:tr>
      <w:tr w:rsidR="00DB0DE6" w:rsidRPr="00092B22" w14:paraId="154BEB8D" w14:textId="77777777" w:rsidTr="00E607DA">
        <w:trPr>
          <w:trHeight w:val="240"/>
        </w:trPr>
        <w:tc>
          <w:tcPr>
            <w:tcW w:w="7117" w:type="dxa"/>
            <w:tcBorders>
              <w:top w:val="nil"/>
              <w:left w:val="nil"/>
              <w:bottom w:val="nil"/>
              <w:right w:val="nil"/>
            </w:tcBorders>
            <w:shd w:val="clear" w:color="auto" w:fill="auto"/>
            <w:noWrap/>
            <w:vAlign w:val="center"/>
            <w:hideMark/>
          </w:tcPr>
          <w:p w14:paraId="4815ABA1" w14:textId="77777777" w:rsidR="00DB0DE6" w:rsidRPr="00092B22" w:rsidRDefault="00DB0DE6" w:rsidP="00E607DA">
            <w:pPr>
              <w:rPr>
                <w:rFonts w:ascii="Meta Pro" w:eastAsia="Times New Roman" w:hAnsi="Meta Pro"/>
                <w:szCs w:val="18"/>
                <w:lang w:eastAsia="en-AU"/>
              </w:rPr>
            </w:pPr>
            <w:r w:rsidRPr="00092B22">
              <w:rPr>
                <w:rFonts w:ascii="Meta Pro" w:eastAsia="Times New Roman" w:hAnsi="Meta Pro"/>
                <w:szCs w:val="18"/>
                <w:lang w:eastAsia="en-AU"/>
              </w:rPr>
              <w:t>Interest on New Generation Rollingstock arrangement</w:t>
            </w:r>
          </w:p>
        </w:tc>
        <w:tc>
          <w:tcPr>
            <w:tcW w:w="1153" w:type="dxa"/>
            <w:tcBorders>
              <w:top w:val="nil"/>
              <w:left w:val="nil"/>
              <w:bottom w:val="nil"/>
              <w:right w:val="nil"/>
            </w:tcBorders>
            <w:shd w:val="clear" w:color="000000" w:fill="C9E3B4"/>
            <w:noWrap/>
            <w:vAlign w:val="center"/>
            <w:hideMark/>
          </w:tcPr>
          <w:p w14:paraId="02661150" w14:textId="77777777" w:rsidR="00DB0DE6" w:rsidRPr="00092B22" w:rsidRDefault="00DB0DE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33,228 </w:t>
            </w:r>
          </w:p>
        </w:tc>
        <w:tc>
          <w:tcPr>
            <w:tcW w:w="215" w:type="dxa"/>
            <w:tcBorders>
              <w:top w:val="nil"/>
              <w:left w:val="nil"/>
              <w:bottom w:val="nil"/>
              <w:right w:val="nil"/>
            </w:tcBorders>
            <w:shd w:val="clear" w:color="auto" w:fill="auto"/>
            <w:noWrap/>
            <w:vAlign w:val="center"/>
            <w:hideMark/>
          </w:tcPr>
          <w:p w14:paraId="20B2EB07" w14:textId="77777777" w:rsidR="00DB0DE6" w:rsidRPr="00092B22" w:rsidRDefault="00DB0DE6" w:rsidP="00E607DA">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0AEF3188" w14:textId="77777777" w:rsidR="00DB0DE6" w:rsidRPr="00092B22" w:rsidRDefault="00DB0DE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69,418 </w:t>
            </w:r>
          </w:p>
        </w:tc>
      </w:tr>
      <w:tr w:rsidR="00DB0DE6" w:rsidRPr="00092B22" w14:paraId="33A1C22A" w14:textId="77777777" w:rsidTr="00E607DA">
        <w:trPr>
          <w:trHeight w:val="240"/>
        </w:trPr>
        <w:tc>
          <w:tcPr>
            <w:tcW w:w="7117" w:type="dxa"/>
            <w:tcBorders>
              <w:top w:val="single" w:sz="4" w:space="0" w:color="auto"/>
              <w:left w:val="nil"/>
              <w:bottom w:val="double" w:sz="6" w:space="0" w:color="auto"/>
              <w:right w:val="nil"/>
            </w:tcBorders>
            <w:shd w:val="clear" w:color="auto" w:fill="auto"/>
            <w:noWrap/>
            <w:vAlign w:val="center"/>
            <w:hideMark/>
          </w:tcPr>
          <w:p w14:paraId="1C983C18" w14:textId="77777777" w:rsidR="00DB0DE6" w:rsidRPr="00092B22" w:rsidRDefault="00DB0DE6" w:rsidP="00E607DA">
            <w:pPr>
              <w:rPr>
                <w:rFonts w:ascii="Meta Pro" w:eastAsia="Times New Roman" w:hAnsi="Meta Pro"/>
                <w:b/>
                <w:bCs/>
                <w:szCs w:val="18"/>
                <w:lang w:eastAsia="en-AU"/>
              </w:rPr>
            </w:pPr>
            <w:r w:rsidRPr="00092B22">
              <w:rPr>
                <w:rFonts w:ascii="Meta Pro" w:eastAsia="Times New Roman" w:hAnsi="Meta Pro"/>
                <w:b/>
                <w:bCs/>
                <w:szCs w:val="18"/>
                <w:lang w:eastAsia="en-AU"/>
              </w:rPr>
              <w:t>Total</w:t>
            </w:r>
          </w:p>
        </w:tc>
        <w:tc>
          <w:tcPr>
            <w:tcW w:w="1153" w:type="dxa"/>
            <w:tcBorders>
              <w:top w:val="single" w:sz="4" w:space="0" w:color="auto"/>
              <w:left w:val="nil"/>
              <w:bottom w:val="double" w:sz="6" w:space="0" w:color="auto"/>
              <w:right w:val="nil"/>
            </w:tcBorders>
            <w:shd w:val="clear" w:color="000000" w:fill="C9E3B4"/>
            <w:noWrap/>
            <w:vAlign w:val="center"/>
            <w:hideMark/>
          </w:tcPr>
          <w:p w14:paraId="17461D38" w14:textId="77777777" w:rsidR="00DB0DE6" w:rsidRPr="00092B22" w:rsidRDefault="00DB0DE6"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79,971 </w:t>
            </w:r>
          </w:p>
        </w:tc>
        <w:tc>
          <w:tcPr>
            <w:tcW w:w="215" w:type="dxa"/>
            <w:tcBorders>
              <w:top w:val="single" w:sz="4" w:space="0" w:color="auto"/>
              <w:left w:val="nil"/>
              <w:bottom w:val="double" w:sz="6" w:space="0" w:color="auto"/>
              <w:right w:val="nil"/>
            </w:tcBorders>
            <w:shd w:val="clear" w:color="auto" w:fill="auto"/>
            <w:noWrap/>
            <w:vAlign w:val="center"/>
            <w:hideMark/>
          </w:tcPr>
          <w:p w14:paraId="77DB9F2B" w14:textId="77777777" w:rsidR="00DB0DE6" w:rsidRPr="00092B22" w:rsidRDefault="00DB0DE6"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153" w:type="dxa"/>
            <w:tcBorders>
              <w:top w:val="single" w:sz="4" w:space="0" w:color="auto"/>
              <w:left w:val="nil"/>
              <w:bottom w:val="double" w:sz="6" w:space="0" w:color="auto"/>
              <w:right w:val="nil"/>
            </w:tcBorders>
            <w:shd w:val="clear" w:color="auto" w:fill="auto"/>
            <w:noWrap/>
            <w:vAlign w:val="center"/>
            <w:hideMark/>
          </w:tcPr>
          <w:p w14:paraId="3F762CCE" w14:textId="77777777" w:rsidR="00DB0DE6" w:rsidRPr="00092B22" w:rsidRDefault="00DB0DE6"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117,878 </w:t>
            </w:r>
          </w:p>
        </w:tc>
      </w:tr>
    </w:tbl>
    <w:p w14:paraId="79C49606" w14:textId="77777777" w:rsidR="00DB0DE6" w:rsidRPr="00092B22" w:rsidRDefault="00DB0DE6" w:rsidP="00DB0DE6">
      <w:pPr>
        <w:shd w:val="clear" w:color="auto" w:fill="EBEBEB"/>
        <w:spacing w:after="120"/>
        <w:ind w:left="113" w:hanging="113"/>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Accounting policy</w:t>
      </w:r>
    </w:p>
    <w:p w14:paraId="05BC4F7B" w14:textId="77777777" w:rsidR="00DB0DE6" w:rsidRPr="00092B22" w:rsidRDefault="00DB0DE6" w:rsidP="00DB0DE6">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color w:val="000000"/>
          <w:szCs w:val="18"/>
          <w:lang w:eastAsia="en-AU"/>
        </w:rPr>
        <w:t>Finance costs are recognised as an expense in the period in which they are incurred.</w:t>
      </w:r>
    </w:p>
    <w:p w14:paraId="2441D95B" w14:textId="77777777" w:rsidR="00DB0DE6" w:rsidRPr="00092B22" w:rsidRDefault="00DB0DE6" w:rsidP="00DB0DE6">
      <w:pPr>
        <w:shd w:val="clear" w:color="auto" w:fill="EBEBEB"/>
        <w:rPr>
          <w:rFonts w:ascii="Meta Pro" w:eastAsia="Times New Roman" w:hAnsi="Meta Pro"/>
          <w:color w:val="000000"/>
          <w:szCs w:val="18"/>
          <w:lang w:eastAsia="en-AU"/>
        </w:rPr>
      </w:pPr>
      <w:r w:rsidRPr="00092B22">
        <w:rPr>
          <w:rFonts w:ascii="Meta Pro" w:eastAsia="Times New Roman" w:hAnsi="Meta Pro"/>
          <w:color w:val="000000"/>
          <w:szCs w:val="18"/>
          <w:lang w:eastAsia="en-AU"/>
        </w:rPr>
        <w:t>No borrowing costs are capitalised into qualifying assets.</w:t>
      </w:r>
    </w:p>
    <w:p w14:paraId="3096EF30" w14:textId="77777777" w:rsidR="00DB0DE6" w:rsidRDefault="00DB0DE6" w:rsidP="00DB0DE6">
      <w:pPr>
        <w:rPr>
          <w:rFonts w:ascii="Meta Pro" w:eastAsia="Times New Roman" w:hAnsi="Meta Pro"/>
          <w:szCs w:val="18"/>
          <w:lang w:eastAsia="en-AU"/>
        </w:rPr>
      </w:pPr>
    </w:p>
    <w:tbl>
      <w:tblPr>
        <w:tblW w:w="10165" w:type="dxa"/>
        <w:tblLook w:val="04A0" w:firstRow="1" w:lastRow="0" w:firstColumn="1" w:lastColumn="0" w:noHBand="0" w:noVBand="1"/>
      </w:tblPr>
      <w:tblGrid>
        <w:gridCol w:w="7476"/>
        <w:gridCol w:w="1216"/>
        <w:gridCol w:w="257"/>
        <w:gridCol w:w="1216"/>
      </w:tblGrid>
      <w:tr w:rsidR="00DB0DE6" w:rsidRPr="005F041C" w14:paraId="2DDFAFE4" w14:textId="77777777" w:rsidTr="00CE1969">
        <w:trPr>
          <w:trHeight w:val="290"/>
        </w:trPr>
        <w:tc>
          <w:tcPr>
            <w:tcW w:w="7476" w:type="dxa"/>
            <w:tcBorders>
              <w:top w:val="nil"/>
              <w:left w:val="nil"/>
              <w:bottom w:val="nil"/>
              <w:right w:val="nil"/>
            </w:tcBorders>
            <w:shd w:val="clear" w:color="auto" w:fill="auto"/>
            <w:noWrap/>
            <w:vAlign w:val="center"/>
            <w:hideMark/>
          </w:tcPr>
          <w:p w14:paraId="3BA5F0D6" w14:textId="77777777" w:rsidR="00DB0DE6" w:rsidRPr="005F041C" w:rsidRDefault="00DB0DE6" w:rsidP="00E607DA">
            <w:pPr>
              <w:rPr>
                <w:rFonts w:ascii="Meta Pro" w:eastAsia="Times New Roman" w:hAnsi="Meta Pro"/>
                <w:b/>
                <w:bCs/>
                <w:lang w:eastAsia="en-AU"/>
              </w:rPr>
            </w:pPr>
            <w:r w:rsidRPr="005F041C">
              <w:rPr>
                <w:rFonts w:ascii="Meta Pro" w:eastAsia="Times New Roman" w:hAnsi="Meta Pro"/>
                <w:b/>
                <w:bCs/>
                <w:lang w:eastAsia="en-AU"/>
              </w:rPr>
              <w:t>10     DEPRECIATION AND AMORTISATION</w:t>
            </w:r>
          </w:p>
        </w:tc>
        <w:tc>
          <w:tcPr>
            <w:tcW w:w="1216" w:type="dxa"/>
            <w:tcBorders>
              <w:top w:val="nil"/>
              <w:left w:val="nil"/>
              <w:bottom w:val="nil"/>
              <w:right w:val="nil"/>
            </w:tcBorders>
            <w:shd w:val="clear" w:color="auto" w:fill="auto"/>
            <w:noWrap/>
            <w:vAlign w:val="center"/>
            <w:hideMark/>
          </w:tcPr>
          <w:p w14:paraId="68150AB8" w14:textId="77777777" w:rsidR="00DB0DE6" w:rsidRPr="005F041C" w:rsidRDefault="00DB0DE6" w:rsidP="00E607DA">
            <w:pPr>
              <w:rPr>
                <w:rFonts w:ascii="Meta Pro" w:eastAsia="Times New Roman" w:hAnsi="Meta Pro"/>
                <w:b/>
                <w:bCs/>
                <w:lang w:eastAsia="en-AU"/>
              </w:rPr>
            </w:pPr>
          </w:p>
        </w:tc>
        <w:tc>
          <w:tcPr>
            <w:tcW w:w="257" w:type="dxa"/>
            <w:tcBorders>
              <w:top w:val="nil"/>
              <w:left w:val="nil"/>
              <w:bottom w:val="nil"/>
              <w:right w:val="nil"/>
            </w:tcBorders>
            <w:shd w:val="clear" w:color="auto" w:fill="auto"/>
            <w:noWrap/>
            <w:vAlign w:val="center"/>
            <w:hideMark/>
          </w:tcPr>
          <w:p w14:paraId="0A4931E7" w14:textId="77777777" w:rsidR="00DB0DE6" w:rsidRPr="005F041C" w:rsidRDefault="00DB0DE6" w:rsidP="00E607DA">
            <w:pPr>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350C2477" w14:textId="77777777" w:rsidR="00DB0DE6" w:rsidRPr="005F041C" w:rsidRDefault="00DB0DE6" w:rsidP="00E607DA">
            <w:pPr>
              <w:rPr>
                <w:rFonts w:ascii="Meta Pro" w:eastAsia="Times New Roman" w:hAnsi="Meta Pro" w:cs="Times New Roman"/>
                <w:sz w:val="20"/>
                <w:szCs w:val="20"/>
                <w:lang w:eastAsia="en-AU"/>
              </w:rPr>
            </w:pPr>
          </w:p>
        </w:tc>
      </w:tr>
      <w:tr w:rsidR="00DB0DE6" w:rsidRPr="005F041C" w14:paraId="59044682" w14:textId="77777777" w:rsidTr="00CE1969">
        <w:trPr>
          <w:trHeight w:val="90"/>
        </w:trPr>
        <w:tc>
          <w:tcPr>
            <w:tcW w:w="7476" w:type="dxa"/>
            <w:tcBorders>
              <w:top w:val="nil"/>
              <w:left w:val="nil"/>
              <w:bottom w:val="nil"/>
              <w:right w:val="nil"/>
            </w:tcBorders>
            <w:shd w:val="clear" w:color="auto" w:fill="auto"/>
            <w:noWrap/>
            <w:vAlign w:val="center"/>
            <w:hideMark/>
          </w:tcPr>
          <w:p w14:paraId="796B7C51" w14:textId="77777777" w:rsidR="00DB0DE6" w:rsidRPr="005F041C" w:rsidRDefault="00DB0DE6" w:rsidP="00E607DA">
            <w:pPr>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2B8D1C00" w14:textId="77777777" w:rsidR="00DB0DE6" w:rsidRPr="005F041C" w:rsidRDefault="00DB0DE6" w:rsidP="00E607DA">
            <w:pPr>
              <w:rPr>
                <w:rFonts w:ascii="Meta Pro" w:eastAsia="Times New Roman" w:hAnsi="Meta Pro" w:cs="Times New Roman"/>
                <w:sz w:val="20"/>
                <w:szCs w:val="20"/>
                <w:lang w:eastAsia="en-AU"/>
              </w:rPr>
            </w:pPr>
          </w:p>
        </w:tc>
        <w:tc>
          <w:tcPr>
            <w:tcW w:w="257" w:type="dxa"/>
            <w:tcBorders>
              <w:top w:val="nil"/>
              <w:left w:val="nil"/>
              <w:bottom w:val="nil"/>
              <w:right w:val="nil"/>
            </w:tcBorders>
            <w:shd w:val="clear" w:color="auto" w:fill="auto"/>
            <w:noWrap/>
            <w:vAlign w:val="center"/>
            <w:hideMark/>
          </w:tcPr>
          <w:p w14:paraId="5F77E71E" w14:textId="77777777" w:rsidR="00DB0DE6" w:rsidRPr="005F041C" w:rsidRDefault="00DB0DE6"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15EA4FCE" w14:textId="77777777" w:rsidR="00DB0DE6" w:rsidRPr="005F041C" w:rsidRDefault="00DB0DE6" w:rsidP="00E607DA">
            <w:pPr>
              <w:jc w:val="right"/>
              <w:rPr>
                <w:rFonts w:ascii="Meta Pro" w:eastAsia="Times New Roman" w:hAnsi="Meta Pro" w:cs="Times New Roman"/>
                <w:sz w:val="20"/>
                <w:szCs w:val="20"/>
                <w:lang w:eastAsia="en-AU"/>
              </w:rPr>
            </w:pPr>
          </w:p>
        </w:tc>
      </w:tr>
      <w:tr w:rsidR="00DB0DE6" w:rsidRPr="005F041C" w14:paraId="5BFB0EA5" w14:textId="77777777" w:rsidTr="00CE1969">
        <w:trPr>
          <w:trHeight w:val="250"/>
        </w:trPr>
        <w:tc>
          <w:tcPr>
            <w:tcW w:w="7476" w:type="dxa"/>
            <w:tcBorders>
              <w:top w:val="nil"/>
              <w:left w:val="nil"/>
              <w:bottom w:val="nil"/>
              <w:right w:val="nil"/>
            </w:tcBorders>
            <w:shd w:val="clear" w:color="auto" w:fill="auto"/>
            <w:noWrap/>
            <w:vAlign w:val="center"/>
            <w:hideMark/>
          </w:tcPr>
          <w:p w14:paraId="1411DDAB" w14:textId="77777777" w:rsidR="00DB0DE6" w:rsidRPr="005F041C" w:rsidRDefault="00DB0DE6" w:rsidP="00E607DA">
            <w:pPr>
              <w:rPr>
                <w:rFonts w:ascii="Meta Pro" w:eastAsia="Times New Roman" w:hAnsi="Meta Pro"/>
                <w:b/>
                <w:bCs/>
                <w:szCs w:val="18"/>
                <w:lang w:eastAsia="en-AU"/>
              </w:rPr>
            </w:pPr>
            <w:r w:rsidRPr="005F041C">
              <w:rPr>
                <w:rFonts w:ascii="Meta Pro" w:eastAsia="Times New Roman" w:hAnsi="Meta Pro"/>
                <w:b/>
                <w:bCs/>
                <w:szCs w:val="18"/>
                <w:lang w:eastAsia="en-AU"/>
              </w:rPr>
              <w:t>Depreciation incurred for property, plant and equipment</w:t>
            </w:r>
          </w:p>
        </w:tc>
        <w:tc>
          <w:tcPr>
            <w:tcW w:w="1216" w:type="dxa"/>
            <w:tcBorders>
              <w:top w:val="nil"/>
              <w:left w:val="nil"/>
              <w:bottom w:val="nil"/>
              <w:right w:val="nil"/>
            </w:tcBorders>
            <w:shd w:val="clear" w:color="auto" w:fill="auto"/>
            <w:noWrap/>
            <w:vAlign w:val="center"/>
            <w:hideMark/>
          </w:tcPr>
          <w:p w14:paraId="0C71A6F1" w14:textId="77777777" w:rsidR="00DB0DE6" w:rsidRPr="005F041C" w:rsidRDefault="00DB0DE6" w:rsidP="00E607DA">
            <w:pPr>
              <w:rPr>
                <w:rFonts w:ascii="Meta Pro" w:eastAsia="Times New Roman" w:hAnsi="Meta Pro"/>
                <w:b/>
                <w:bCs/>
                <w:szCs w:val="18"/>
                <w:lang w:eastAsia="en-AU"/>
              </w:rPr>
            </w:pPr>
          </w:p>
        </w:tc>
        <w:tc>
          <w:tcPr>
            <w:tcW w:w="257" w:type="dxa"/>
            <w:tcBorders>
              <w:top w:val="nil"/>
              <w:left w:val="nil"/>
              <w:bottom w:val="nil"/>
              <w:right w:val="nil"/>
            </w:tcBorders>
            <w:shd w:val="clear" w:color="auto" w:fill="auto"/>
            <w:noWrap/>
            <w:vAlign w:val="center"/>
            <w:hideMark/>
          </w:tcPr>
          <w:p w14:paraId="7F1E1967" w14:textId="77777777" w:rsidR="00DB0DE6" w:rsidRPr="005F041C" w:rsidRDefault="00DB0DE6" w:rsidP="00E607DA">
            <w:pPr>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40C18AEA" w14:textId="77777777" w:rsidR="00DB0DE6" w:rsidRPr="005F041C" w:rsidRDefault="00DB0DE6" w:rsidP="00E607DA">
            <w:pPr>
              <w:rPr>
                <w:rFonts w:ascii="Meta Pro" w:eastAsia="Times New Roman" w:hAnsi="Meta Pro" w:cs="Times New Roman"/>
                <w:sz w:val="20"/>
                <w:szCs w:val="20"/>
                <w:lang w:eastAsia="en-AU"/>
              </w:rPr>
            </w:pPr>
          </w:p>
        </w:tc>
      </w:tr>
      <w:tr w:rsidR="00DB0DE6" w:rsidRPr="005F041C" w14:paraId="004A7BA8" w14:textId="77777777" w:rsidTr="00CE1969">
        <w:trPr>
          <w:trHeight w:val="260"/>
        </w:trPr>
        <w:tc>
          <w:tcPr>
            <w:tcW w:w="7476" w:type="dxa"/>
            <w:tcBorders>
              <w:top w:val="nil"/>
              <w:left w:val="nil"/>
              <w:bottom w:val="nil"/>
              <w:right w:val="nil"/>
            </w:tcBorders>
            <w:shd w:val="clear" w:color="auto" w:fill="auto"/>
            <w:noWrap/>
            <w:vAlign w:val="center"/>
            <w:hideMark/>
          </w:tcPr>
          <w:p w14:paraId="496DAF66" w14:textId="77777777" w:rsidR="00DB0DE6" w:rsidRPr="005F041C" w:rsidRDefault="00DB0DE6" w:rsidP="00E607DA">
            <w:pPr>
              <w:rPr>
                <w:rFonts w:ascii="Meta Pro" w:eastAsia="Times New Roman" w:hAnsi="Meta Pro"/>
                <w:szCs w:val="18"/>
                <w:lang w:eastAsia="en-AU"/>
              </w:rPr>
            </w:pPr>
            <w:r w:rsidRPr="005F041C">
              <w:rPr>
                <w:rFonts w:ascii="Meta Pro" w:eastAsia="Times New Roman" w:hAnsi="Meta Pro"/>
                <w:szCs w:val="18"/>
                <w:lang w:eastAsia="en-AU"/>
              </w:rPr>
              <w:t xml:space="preserve">Buildings </w:t>
            </w:r>
          </w:p>
        </w:tc>
        <w:tc>
          <w:tcPr>
            <w:tcW w:w="1216" w:type="dxa"/>
            <w:tcBorders>
              <w:top w:val="nil"/>
              <w:left w:val="nil"/>
              <w:bottom w:val="nil"/>
              <w:right w:val="nil"/>
            </w:tcBorders>
            <w:shd w:val="clear" w:color="000000" w:fill="C9E3B4"/>
            <w:noWrap/>
            <w:vAlign w:val="center"/>
            <w:hideMark/>
          </w:tcPr>
          <w:p w14:paraId="0FEEC5A2" w14:textId="77777777" w:rsidR="00DB0DE6" w:rsidRPr="005F041C" w:rsidRDefault="00DB0DE6" w:rsidP="00E607DA">
            <w:pPr>
              <w:jc w:val="right"/>
              <w:rPr>
                <w:rFonts w:ascii="Meta Pro" w:eastAsia="Times New Roman" w:hAnsi="Meta Pro"/>
                <w:szCs w:val="18"/>
                <w:lang w:eastAsia="en-AU"/>
              </w:rPr>
            </w:pPr>
            <w:r w:rsidRPr="005F041C">
              <w:rPr>
                <w:rFonts w:ascii="Meta Pro" w:eastAsia="Times New Roman" w:hAnsi="Meta Pro"/>
                <w:szCs w:val="18"/>
                <w:lang w:eastAsia="en-AU"/>
              </w:rPr>
              <w:t xml:space="preserve">48,950 </w:t>
            </w:r>
          </w:p>
        </w:tc>
        <w:tc>
          <w:tcPr>
            <w:tcW w:w="257" w:type="dxa"/>
            <w:tcBorders>
              <w:top w:val="nil"/>
              <w:left w:val="nil"/>
              <w:bottom w:val="nil"/>
              <w:right w:val="nil"/>
            </w:tcBorders>
            <w:shd w:val="clear" w:color="auto" w:fill="auto"/>
            <w:noWrap/>
            <w:vAlign w:val="center"/>
            <w:hideMark/>
          </w:tcPr>
          <w:p w14:paraId="562088B4" w14:textId="77777777" w:rsidR="00DB0DE6" w:rsidRPr="005F041C" w:rsidRDefault="00DB0DE6"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39294BB7" w14:textId="77777777" w:rsidR="00DB0DE6" w:rsidRPr="005F041C" w:rsidRDefault="00DB0DE6" w:rsidP="00E607DA">
            <w:pPr>
              <w:jc w:val="right"/>
              <w:rPr>
                <w:rFonts w:ascii="Meta Pro" w:eastAsia="Times New Roman" w:hAnsi="Meta Pro"/>
                <w:szCs w:val="18"/>
                <w:lang w:eastAsia="en-AU"/>
              </w:rPr>
            </w:pPr>
            <w:r w:rsidRPr="005F041C">
              <w:rPr>
                <w:rFonts w:ascii="Meta Pro" w:eastAsia="Times New Roman" w:hAnsi="Meta Pro"/>
                <w:szCs w:val="18"/>
                <w:lang w:eastAsia="en-AU"/>
              </w:rPr>
              <w:t xml:space="preserve">51,299 </w:t>
            </w:r>
          </w:p>
        </w:tc>
      </w:tr>
      <w:tr w:rsidR="00DB0DE6" w:rsidRPr="005F041C" w14:paraId="05454E00" w14:textId="77777777" w:rsidTr="00CE1969">
        <w:trPr>
          <w:trHeight w:val="260"/>
        </w:trPr>
        <w:tc>
          <w:tcPr>
            <w:tcW w:w="7476" w:type="dxa"/>
            <w:tcBorders>
              <w:top w:val="nil"/>
              <w:left w:val="nil"/>
              <w:bottom w:val="nil"/>
              <w:right w:val="nil"/>
            </w:tcBorders>
            <w:shd w:val="clear" w:color="auto" w:fill="auto"/>
            <w:noWrap/>
            <w:vAlign w:val="center"/>
            <w:hideMark/>
          </w:tcPr>
          <w:p w14:paraId="44769D25" w14:textId="77777777" w:rsidR="00DB0DE6" w:rsidRPr="005F041C" w:rsidRDefault="00DB0DE6" w:rsidP="00E607DA">
            <w:pPr>
              <w:rPr>
                <w:rFonts w:ascii="Meta Pro" w:eastAsia="Times New Roman" w:hAnsi="Meta Pro"/>
                <w:szCs w:val="18"/>
                <w:lang w:eastAsia="en-AU"/>
              </w:rPr>
            </w:pPr>
            <w:r w:rsidRPr="005F041C">
              <w:rPr>
                <w:rFonts w:ascii="Meta Pro" w:eastAsia="Times New Roman" w:hAnsi="Meta Pro"/>
                <w:szCs w:val="18"/>
                <w:lang w:eastAsia="en-AU"/>
              </w:rPr>
              <w:t>Plant and equipment</w:t>
            </w:r>
          </w:p>
        </w:tc>
        <w:tc>
          <w:tcPr>
            <w:tcW w:w="1216" w:type="dxa"/>
            <w:tcBorders>
              <w:top w:val="nil"/>
              <w:left w:val="nil"/>
              <w:bottom w:val="nil"/>
              <w:right w:val="nil"/>
            </w:tcBorders>
            <w:shd w:val="clear" w:color="000000" w:fill="C9E3B4"/>
            <w:noWrap/>
            <w:vAlign w:val="center"/>
            <w:hideMark/>
          </w:tcPr>
          <w:p w14:paraId="1577685E" w14:textId="77777777" w:rsidR="00DB0DE6" w:rsidRPr="005F041C" w:rsidRDefault="00DB0DE6" w:rsidP="00E607DA">
            <w:pPr>
              <w:jc w:val="right"/>
              <w:rPr>
                <w:rFonts w:ascii="Meta Pro" w:eastAsia="Times New Roman" w:hAnsi="Meta Pro"/>
                <w:szCs w:val="18"/>
                <w:lang w:eastAsia="en-AU"/>
              </w:rPr>
            </w:pPr>
            <w:r w:rsidRPr="005F041C">
              <w:rPr>
                <w:rFonts w:ascii="Meta Pro" w:eastAsia="Times New Roman" w:hAnsi="Meta Pro"/>
                <w:szCs w:val="18"/>
                <w:lang w:eastAsia="en-AU"/>
              </w:rPr>
              <w:t xml:space="preserve">39,294 </w:t>
            </w:r>
          </w:p>
        </w:tc>
        <w:tc>
          <w:tcPr>
            <w:tcW w:w="257" w:type="dxa"/>
            <w:tcBorders>
              <w:top w:val="nil"/>
              <w:left w:val="nil"/>
              <w:bottom w:val="nil"/>
              <w:right w:val="nil"/>
            </w:tcBorders>
            <w:shd w:val="clear" w:color="auto" w:fill="auto"/>
            <w:noWrap/>
            <w:vAlign w:val="center"/>
            <w:hideMark/>
          </w:tcPr>
          <w:p w14:paraId="20EB8A6F" w14:textId="77777777" w:rsidR="00DB0DE6" w:rsidRPr="005F041C" w:rsidRDefault="00DB0DE6"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072A8537" w14:textId="77777777" w:rsidR="00DB0DE6" w:rsidRPr="005F041C" w:rsidRDefault="00DB0DE6" w:rsidP="00E607DA">
            <w:pPr>
              <w:jc w:val="right"/>
              <w:rPr>
                <w:rFonts w:ascii="Meta Pro" w:eastAsia="Times New Roman" w:hAnsi="Meta Pro"/>
                <w:szCs w:val="18"/>
                <w:lang w:eastAsia="en-AU"/>
              </w:rPr>
            </w:pPr>
            <w:r w:rsidRPr="005F041C">
              <w:rPr>
                <w:rFonts w:ascii="Meta Pro" w:eastAsia="Times New Roman" w:hAnsi="Meta Pro"/>
                <w:szCs w:val="18"/>
                <w:lang w:eastAsia="en-AU"/>
              </w:rPr>
              <w:t xml:space="preserve">41,100 </w:t>
            </w:r>
          </w:p>
        </w:tc>
      </w:tr>
      <w:tr w:rsidR="00DB0DE6" w:rsidRPr="005F041C" w14:paraId="0952A6EB" w14:textId="77777777" w:rsidTr="00CE1969">
        <w:trPr>
          <w:trHeight w:val="260"/>
        </w:trPr>
        <w:tc>
          <w:tcPr>
            <w:tcW w:w="7476" w:type="dxa"/>
            <w:tcBorders>
              <w:top w:val="nil"/>
              <w:left w:val="nil"/>
              <w:bottom w:val="nil"/>
              <w:right w:val="nil"/>
            </w:tcBorders>
            <w:shd w:val="clear" w:color="auto" w:fill="auto"/>
            <w:noWrap/>
            <w:vAlign w:val="center"/>
            <w:hideMark/>
          </w:tcPr>
          <w:p w14:paraId="4ECE0042" w14:textId="77777777" w:rsidR="00DB0DE6" w:rsidRPr="005F041C" w:rsidRDefault="00DB0DE6" w:rsidP="00E607DA">
            <w:pPr>
              <w:rPr>
                <w:rFonts w:ascii="Meta Pro" w:eastAsia="Times New Roman" w:hAnsi="Meta Pro"/>
                <w:szCs w:val="18"/>
                <w:lang w:eastAsia="en-AU"/>
              </w:rPr>
            </w:pPr>
            <w:r w:rsidRPr="005F041C">
              <w:rPr>
                <w:rFonts w:ascii="Meta Pro" w:eastAsia="Times New Roman" w:hAnsi="Meta Pro"/>
                <w:szCs w:val="18"/>
                <w:lang w:eastAsia="en-AU"/>
              </w:rPr>
              <w:t>Major plant and equipment</w:t>
            </w:r>
          </w:p>
        </w:tc>
        <w:tc>
          <w:tcPr>
            <w:tcW w:w="1216" w:type="dxa"/>
            <w:tcBorders>
              <w:top w:val="nil"/>
              <w:left w:val="nil"/>
              <w:bottom w:val="nil"/>
              <w:right w:val="nil"/>
            </w:tcBorders>
            <w:shd w:val="clear" w:color="000000" w:fill="C9E3B4"/>
            <w:noWrap/>
            <w:vAlign w:val="center"/>
            <w:hideMark/>
          </w:tcPr>
          <w:p w14:paraId="4FECCEE6" w14:textId="77777777" w:rsidR="00DB0DE6" w:rsidRPr="005F041C" w:rsidRDefault="00DB0DE6" w:rsidP="00E607DA">
            <w:pPr>
              <w:jc w:val="right"/>
              <w:rPr>
                <w:rFonts w:ascii="Meta Pro" w:eastAsia="Times New Roman" w:hAnsi="Meta Pro"/>
                <w:szCs w:val="18"/>
                <w:lang w:eastAsia="en-AU"/>
              </w:rPr>
            </w:pPr>
            <w:r w:rsidRPr="005F041C">
              <w:rPr>
                <w:rFonts w:ascii="Meta Pro" w:eastAsia="Times New Roman" w:hAnsi="Meta Pro"/>
                <w:szCs w:val="18"/>
                <w:lang w:eastAsia="en-AU"/>
              </w:rPr>
              <w:t xml:space="preserve">42,535 </w:t>
            </w:r>
          </w:p>
        </w:tc>
        <w:tc>
          <w:tcPr>
            <w:tcW w:w="257" w:type="dxa"/>
            <w:tcBorders>
              <w:top w:val="nil"/>
              <w:left w:val="nil"/>
              <w:bottom w:val="nil"/>
              <w:right w:val="nil"/>
            </w:tcBorders>
            <w:shd w:val="clear" w:color="auto" w:fill="auto"/>
            <w:noWrap/>
            <w:vAlign w:val="center"/>
            <w:hideMark/>
          </w:tcPr>
          <w:p w14:paraId="4ACA2F1C" w14:textId="77777777" w:rsidR="00DB0DE6" w:rsidRPr="005F041C" w:rsidRDefault="00DB0DE6"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497E320B" w14:textId="77777777" w:rsidR="00DB0DE6" w:rsidRPr="005F041C" w:rsidRDefault="00DB0DE6" w:rsidP="00E607DA">
            <w:pPr>
              <w:jc w:val="right"/>
              <w:rPr>
                <w:rFonts w:ascii="Meta Pro" w:eastAsia="Times New Roman" w:hAnsi="Meta Pro"/>
                <w:szCs w:val="18"/>
                <w:lang w:eastAsia="en-AU"/>
              </w:rPr>
            </w:pPr>
            <w:r w:rsidRPr="005F041C">
              <w:rPr>
                <w:rFonts w:ascii="Meta Pro" w:eastAsia="Times New Roman" w:hAnsi="Meta Pro"/>
                <w:szCs w:val="18"/>
                <w:lang w:eastAsia="en-AU"/>
              </w:rPr>
              <w:t xml:space="preserve">40,560 </w:t>
            </w:r>
          </w:p>
        </w:tc>
      </w:tr>
      <w:tr w:rsidR="00DB0DE6" w:rsidRPr="005F041C" w14:paraId="717C26C5" w14:textId="77777777" w:rsidTr="00CE1969">
        <w:trPr>
          <w:trHeight w:val="260"/>
        </w:trPr>
        <w:tc>
          <w:tcPr>
            <w:tcW w:w="7476" w:type="dxa"/>
            <w:tcBorders>
              <w:top w:val="nil"/>
              <w:left w:val="nil"/>
              <w:bottom w:val="nil"/>
              <w:right w:val="nil"/>
            </w:tcBorders>
            <w:shd w:val="clear" w:color="auto" w:fill="auto"/>
            <w:noWrap/>
            <w:vAlign w:val="center"/>
            <w:hideMark/>
          </w:tcPr>
          <w:p w14:paraId="42DA2D75" w14:textId="77777777" w:rsidR="00DB0DE6" w:rsidRPr="005F041C" w:rsidRDefault="00DB0DE6" w:rsidP="00E607DA">
            <w:pPr>
              <w:rPr>
                <w:rFonts w:ascii="Meta Pro" w:eastAsia="Times New Roman" w:hAnsi="Meta Pro"/>
                <w:szCs w:val="18"/>
                <w:lang w:eastAsia="en-AU"/>
              </w:rPr>
            </w:pPr>
            <w:r w:rsidRPr="005F041C">
              <w:rPr>
                <w:rFonts w:ascii="Meta Pro" w:eastAsia="Times New Roman" w:hAnsi="Meta Pro"/>
                <w:szCs w:val="18"/>
                <w:lang w:eastAsia="en-AU"/>
              </w:rPr>
              <w:t>Infrastructure</w:t>
            </w:r>
          </w:p>
        </w:tc>
        <w:tc>
          <w:tcPr>
            <w:tcW w:w="1216" w:type="dxa"/>
            <w:tcBorders>
              <w:top w:val="nil"/>
              <w:left w:val="nil"/>
              <w:bottom w:val="nil"/>
              <w:right w:val="nil"/>
            </w:tcBorders>
            <w:shd w:val="clear" w:color="000000" w:fill="C9E3B4"/>
            <w:noWrap/>
            <w:vAlign w:val="center"/>
            <w:hideMark/>
          </w:tcPr>
          <w:p w14:paraId="470EC229" w14:textId="77777777" w:rsidR="00DB0DE6" w:rsidRPr="005F041C" w:rsidRDefault="00DB0DE6" w:rsidP="00E607DA">
            <w:pPr>
              <w:jc w:val="right"/>
              <w:rPr>
                <w:rFonts w:ascii="Meta Pro" w:eastAsia="Times New Roman" w:hAnsi="Meta Pro"/>
                <w:szCs w:val="18"/>
                <w:lang w:eastAsia="en-AU"/>
              </w:rPr>
            </w:pPr>
            <w:r w:rsidRPr="005F041C">
              <w:rPr>
                <w:rFonts w:ascii="Meta Pro" w:eastAsia="Times New Roman" w:hAnsi="Meta Pro"/>
                <w:szCs w:val="18"/>
                <w:lang w:eastAsia="en-AU"/>
              </w:rPr>
              <w:t xml:space="preserve">1,038,373 </w:t>
            </w:r>
          </w:p>
        </w:tc>
        <w:tc>
          <w:tcPr>
            <w:tcW w:w="257" w:type="dxa"/>
            <w:tcBorders>
              <w:top w:val="nil"/>
              <w:left w:val="nil"/>
              <w:bottom w:val="nil"/>
              <w:right w:val="nil"/>
            </w:tcBorders>
            <w:shd w:val="clear" w:color="auto" w:fill="auto"/>
            <w:noWrap/>
            <w:vAlign w:val="center"/>
            <w:hideMark/>
          </w:tcPr>
          <w:p w14:paraId="1C3B84E0" w14:textId="77777777" w:rsidR="00DB0DE6" w:rsidRPr="005F041C" w:rsidRDefault="00DB0DE6"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32654105" w14:textId="77777777" w:rsidR="00DB0DE6" w:rsidRPr="005F041C" w:rsidRDefault="00DB0DE6" w:rsidP="00E607DA">
            <w:pPr>
              <w:jc w:val="right"/>
              <w:rPr>
                <w:rFonts w:ascii="Meta Pro" w:eastAsia="Times New Roman" w:hAnsi="Meta Pro"/>
                <w:szCs w:val="18"/>
                <w:lang w:eastAsia="en-AU"/>
              </w:rPr>
            </w:pPr>
            <w:r w:rsidRPr="005F041C">
              <w:rPr>
                <w:rFonts w:ascii="Meta Pro" w:eastAsia="Times New Roman" w:hAnsi="Meta Pro"/>
                <w:szCs w:val="18"/>
                <w:lang w:eastAsia="en-AU"/>
              </w:rPr>
              <w:t xml:space="preserve">951,074 </w:t>
            </w:r>
          </w:p>
        </w:tc>
      </w:tr>
      <w:tr w:rsidR="00DB0DE6" w:rsidRPr="005F041C" w14:paraId="059726C8" w14:textId="77777777" w:rsidTr="00CE1969">
        <w:trPr>
          <w:trHeight w:val="260"/>
        </w:trPr>
        <w:tc>
          <w:tcPr>
            <w:tcW w:w="7476" w:type="dxa"/>
            <w:tcBorders>
              <w:top w:val="nil"/>
              <w:left w:val="nil"/>
              <w:bottom w:val="nil"/>
              <w:right w:val="nil"/>
            </w:tcBorders>
            <w:shd w:val="clear" w:color="auto" w:fill="auto"/>
            <w:noWrap/>
            <w:vAlign w:val="center"/>
            <w:hideMark/>
          </w:tcPr>
          <w:p w14:paraId="42E8381F" w14:textId="77777777" w:rsidR="00DB0DE6" w:rsidRPr="005F041C" w:rsidRDefault="00DB0DE6" w:rsidP="00E607DA">
            <w:pPr>
              <w:rPr>
                <w:rFonts w:ascii="Meta Pro" w:eastAsia="Times New Roman" w:hAnsi="Meta Pro"/>
                <w:szCs w:val="18"/>
                <w:lang w:eastAsia="en-AU"/>
              </w:rPr>
            </w:pPr>
            <w:r w:rsidRPr="005F041C">
              <w:rPr>
                <w:rFonts w:ascii="Meta Pro" w:eastAsia="Times New Roman" w:hAnsi="Meta Pro"/>
                <w:szCs w:val="18"/>
                <w:lang w:eastAsia="en-AU"/>
              </w:rPr>
              <w:t>Service concession assets</w:t>
            </w:r>
          </w:p>
        </w:tc>
        <w:tc>
          <w:tcPr>
            <w:tcW w:w="1216" w:type="dxa"/>
            <w:tcBorders>
              <w:top w:val="nil"/>
              <w:left w:val="nil"/>
              <w:bottom w:val="nil"/>
              <w:right w:val="nil"/>
            </w:tcBorders>
            <w:shd w:val="clear" w:color="000000" w:fill="C9E3B4"/>
            <w:noWrap/>
            <w:vAlign w:val="center"/>
            <w:hideMark/>
          </w:tcPr>
          <w:p w14:paraId="61BDCE1C" w14:textId="77777777" w:rsidR="00DB0DE6" w:rsidRPr="005F041C" w:rsidRDefault="00DB0DE6" w:rsidP="00E607DA">
            <w:pPr>
              <w:jc w:val="right"/>
              <w:rPr>
                <w:rFonts w:ascii="Meta Pro" w:eastAsia="Times New Roman" w:hAnsi="Meta Pro"/>
                <w:szCs w:val="18"/>
                <w:lang w:eastAsia="en-AU"/>
              </w:rPr>
            </w:pPr>
            <w:r w:rsidRPr="005F041C">
              <w:rPr>
                <w:rFonts w:ascii="Meta Pro" w:eastAsia="Times New Roman" w:hAnsi="Meta Pro"/>
                <w:szCs w:val="18"/>
                <w:lang w:eastAsia="en-AU"/>
              </w:rPr>
              <w:t xml:space="preserve">174,729 </w:t>
            </w:r>
          </w:p>
        </w:tc>
        <w:tc>
          <w:tcPr>
            <w:tcW w:w="257" w:type="dxa"/>
            <w:tcBorders>
              <w:top w:val="nil"/>
              <w:left w:val="nil"/>
              <w:bottom w:val="nil"/>
              <w:right w:val="nil"/>
            </w:tcBorders>
            <w:shd w:val="clear" w:color="auto" w:fill="auto"/>
            <w:noWrap/>
            <w:vAlign w:val="center"/>
            <w:hideMark/>
          </w:tcPr>
          <w:p w14:paraId="4998E1A3" w14:textId="77777777" w:rsidR="00DB0DE6" w:rsidRPr="005F041C" w:rsidRDefault="00DB0DE6"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0914FF69" w14:textId="77777777" w:rsidR="00DB0DE6" w:rsidRPr="005F041C" w:rsidRDefault="00DB0DE6" w:rsidP="00E607DA">
            <w:pPr>
              <w:jc w:val="right"/>
              <w:rPr>
                <w:rFonts w:ascii="Meta Pro" w:eastAsia="Times New Roman" w:hAnsi="Meta Pro"/>
                <w:szCs w:val="18"/>
                <w:lang w:eastAsia="en-AU"/>
              </w:rPr>
            </w:pPr>
            <w:r w:rsidRPr="005F041C">
              <w:rPr>
                <w:rFonts w:ascii="Meta Pro" w:eastAsia="Times New Roman" w:hAnsi="Meta Pro"/>
                <w:szCs w:val="18"/>
                <w:lang w:eastAsia="en-AU"/>
              </w:rPr>
              <w:t xml:space="preserve">169,770 </w:t>
            </w:r>
          </w:p>
        </w:tc>
      </w:tr>
      <w:tr w:rsidR="00DB0DE6" w:rsidRPr="005F041C" w14:paraId="166B440A" w14:textId="77777777" w:rsidTr="00CE1969">
        <w:trPr>
          <w:trHeight w:val="260"/>
        </w:trPr>
        <w:tc>
          <w:tcPr>
            <w:tcW w:w="7476" w:type="dxa"/>
            <w:tcBorders>
              <w:top w:val="nil"/>
              <w:left w:val="nil"/>
              <w:bottom w:val="nil"/>
              <w:right w:val="nil"/>
            </w:tcBorders>
            <w:shd w:val="clear" w:color="auto" w:fill="auto"/>
            <w:noWrap/>
            <w:vAlign w:val="center"/>
            <w:hideMark/>
          </w:tcPr>
          <w:p w14:paraId="12B76CA6" w14:textId="77777777" w:rsidR="00DB0DE6" w:rsidRPr="005F041C" w:rsidRDefault="00DB0DE6" w:rsidP="00E607DA">
            <w:pPr>
              <w:rPr>
                <w:rFonts w:ascii="Meta Pro" w:eastAsia="Times New Roman" w:hAnsi="Meta Pro"/>
                <w:szCs w:val="18"/>
                <w:lang w:eastAsia="en-AU"/>
              </w:rPr>
            </w:pPr>
            <w:r w:rsidRPr="005F041C">
              <w:rPr>
                <w:rFonts w:ascii="Meta Pro" w:eastAsia="Times New Roman" w:hAnsi="Meta Pro"/>
                <w:szCs w:val="18"/>
                <w:lang w:eastAsia="en-AU"/>
              </w:rPr>
              <w:t>Right-of-use assets</w:t>
            </w:r>
          </w:p>
        </w:tc>
        <w:tc>
          <w:tcPr>
            <w:tcW w:w="1216" w:type="dxa"/>
            <w:tcBorders>
              <w:top w:val="nil"/>
              <w:left w:val="nil"/>
              <w:bottom w:val="nil"/>
              <w:right w:val="nil"/>
            </w:tcBorders>
            <w:shd w:val="clear" w:color="000000" w:fill="C9E3B4"/>
            <w:noWrap/>
            <w:vAlign w:val="center"/>
            <w:hideMark/>
          </w:tcPr>
          <w:p w14:paraId="21CFD34E" w14:textId="77777777" w:rsidR="00DB0DE6" w:rsidRPr="005F041C" w:rsidRDefault="00DB0DE6" w:rsidP="00E607DA">
            <w:pPr>
              <w:jc w:val="right"/>
              <w:rPr>
                <w:rFonts w:ascii="Meta Pro" w:eastAsia="Times New Roman" w:hAnsi="Meta Pro"/>
                <w:szCs w:val="18"/>
                <w:lang w:eastAsia="en-AU"/>
              </w:rPr>
            </w:pPr>
            <w:r w:rsidRPr="005F041C">
              <w:rPr>
                <w:rFonts w:ascii="Meta Pro" w:eastAsia="Times New Roman" w:hAnsi="Meta Pro"/>
                <w:szCs w:val="18"/>
                <w:lang w:eastAsia="en-AU"/>
              </w:rPr>
              <w:t xml:space="preserve">167 </w:t>
            </w:r>
          </w:p>
        </w:tc>
        <w:tc>
          <w:tcPr>
            <w:tcW w:w="257" w:type="dxa"/>
            <w:tcBorders>
              <w:top w:val="nil"/>
              <w:left w:val="nil"/>
              <w:bottom w:val="nil"/>
              <w:right w:val="nil"/>
            </w:tcBorders>
            <w:shd w:val="clear" w:color="auto" w:fill="auto"/>
            <w:noWrap/>
            <w:vAlign w:val="center"/>
            <w:hideMark/>
          </w:tcPr>
          <w:p w14:paraId="3CEA1740" w14:textId="77777777" w:rsidR="00DB0DE6" w:rsidRPr="005F041C" w:rsidRDefault="00DB0DE6"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7B8AC9C3" w14:textId="77777777" w:rsidR="00DB0DE6" w:rsidRPr="005F041C" w:rsidRDefault="00DB0DE6" w:rsidP="00E607DA">
            <w:pPr>
              <w:jc w:val="right"/>
              <w:rPr>
                <w:rFonts w:ascii="Meta Pro" w:eastAsia="Times New Roman" w:hAnsi="Meta Pro"/>
                <w:szCs w:val="18"/>
                <w:lang w:eastAsia="en-AU"/>
              </w:rPr>
            </w:pPr>
            <w:r w:rsidRPr="005F041C">
              <w:rPr>
                <w:rFonts w:ascii="Meta Pro" w:eastAsia="Times New Roman" w:hAnsi="Meta Pro"/>
                <w:szCs w:val="18"/>
                <w:lang w:eastAsia="en-AU"/>
              </w:rPr>
              <w:t xml:space="preserve">321 </w:t>
            </w:r>
          </w:p>
        </w:tc>
      </w:tr>
      <w:tr w:rsidR="00DB0DE6" w:rsidRPr="005F041C" w14:paraId="7D443912" w14:textId="77777777" w:rsidTr="00CE1969">
        <w:trPr>
          <w:trHeight w:val="270"/>
        </w:trPr>
        <w:tc>
          <w:tcPr>
            <w:tcW w:w="7476" w:type="dxa"/>
            <w:tcBorders>
              <w:top w:val="single" w:sz="4" w:space="0" w:color="auto"/>
              <w:left w:val="nil"/>
              <w:bottom w:val="double" w:sz="6" w:space="0" w:color="auto"/>
              <w:right w:val="nil"/>
            </w:tcBorders>
            <w:shd w:val="clear" w:color="auto" w:fill="auto"/>
            <w:noWrap/>
            <w:vAlign w:val="center"/>
            <w:hideMark/>
          </w:tcPr>
          <w:p w14:paraId="2C1DF366" w14:textId="77777777" w:rsidR="00DB0DE6" w:rsidRPr="005F041C" w:rsidRDefault="00DB0DE6" w:rsidP="00E607DA">
            <w:pPr>
              <w:rPr>
                <w:rFonts w:ascii="Meta Pro" w:eastAsia="Times New Roman" w:hAnsi="Meta Pro"/>
                <w:b/>
                <w:bCs/>
                <w:szCs w:val="18"/>
                <w:lang w:eastAsia="en-AU"/>
              </w:rPr>
            </w:pPr>
            <w:r w:rsidRPr="005F041C">
              <w:rPr>
                <w:rFonts w:ascii="Meta Pro" w:eastAsia="Times New Roman" w:hAnsi="Meta Pro"/>
                <w:b/>
                <w:bCs/>
                <w:szCs w:val="18"/>
                <w:lang w:eastAsia="en-AU"/>
              </w:rPr>
              <w:t>Total</w:t>
            </w:r>
          </w:p>
        </w:tc>
        <w:tc>
          <w:tcPr>
            <w:tcW w:w="1216" w:type="dxa"/>
            <w:tcBorders>
              <w:top w:val="single" w:sz="4" w:space="0" w:color="auto"/>
              <w:left w:val="nil"/>
              <w:bottom w:val="double" w:sz="6" w:space="0" w:color="auto"/>
              <w:right w:val="nil"/>
            </w:tcBorders>
            <w:shd w:val="clear" w:color="000000" w:fill="C9E3B4"/>
            <w:noWrap/>
            <w:vAlign w:val="center"/>
            <w:hideMark/>
          </w:tcPr>
          <w:p w14:paraId="140F59A3" w14:textId="77777777" w:rsidR="00DB0DE6" w:rsidRPr="005F041C" w:rsidRDefault="00DB0DE6" w:rsidP="00E607DA">
            <w:pPr>
              <w:jc w:val="right"/>
              <w:rPr>
                <w:rFonts w:ascii="Meta Pro" w:eastAsia="Times New Roman" w:hAnsi="Meta Pro"/>
                <w:b/>
                <w:bCs/>
                <w:szCs w:val="18"/>
                <w:lang w:eastAsia="en-AU"/>
              </w:rPr>
            </w:pPr>
            <w:r w:rsidRPr="005F041C">
              <w:rPr>
                <w:rFonts w:ascii="Meta Pro" w:eastAsia="Times New Roman" w:hAnsi="Meta Pro"/>
                <w:b/>
                <w:bCs/>
                <w:szCs w:val="18"/>
                <w:lang w:eastAsia="en-AU"/>
              </w:rPr>
              <w:t xml:space="preserve">1,344,048 </w:t>
            </w:r>
          </w:p>
        </w:tc>
        <w:tc>
          <w:tcPr>
            <w:tcW w:w="257" w:type="dxa"/>
            <w:tcBorders>
              <w:top w:val="single" w:sz="4" w:space="0" w:color="auto"/>
              <w:left w:val="nil"/>
              <w:bottom w:val="double" w:sz="6" w:space="0" w:color="auto"/>
              <w:right w:val="nil"/>
            </w:tcBorders>
            <w:shd w:val="clear" w:color="auto" w:fill="auto"/>
            <w:noWrap/>
            <w:vAlign w:val="center"/>
            <w:hideMark/>
          </w:tcPr>
          <w:p w14:paraId="2BEE83EE" w14:textId="77777777" w:rsidR="00DB0DE6" w:rsidRPr="005F041C" w:rsidRDefault="00DB0DE6" w:rsidP="00E607DA">
            <w:pPr>
              <w:jc w:val="right"/>
              <w:rPr>
                <w:rFonts w:ascii="Meta Pro" w:eastAsia="Times New Roman" w:hAnsi="Meta Pro"/>
                <w:b/>
                <w:bCs/>
                <w:szCs w:val="18"/>
                <w:lang w:eastAsia="en-AU"/>
              </w:rPr>
            </w:pPr>
            <w:r w:rsidRPr="005F041C">
              <w:rPr>
                <w:rFonts w:ascii="Meta Pro" w:eastAsia="Times New Roman" w:hAnsi="Meta Pro"/>
                <w:b/>
                <w:bCs/>
                <w:szCs w:val="18"/>
                <w:lang w:eastAsia="en-AU"/>
              </w:rPr>
              <w:t> </w:t>
            </w:r>
          </w:p>
        </w:tc>
        <w:tc>
          <w:tcPr>
            <w:tcW w:w="1216" w:type="dxa"/>
            <w:tcBorders>
              <w:top w:val="single" w:sz="4" w:space="0" w:color="auto"/>
              <w:left w:val="nil"/>
              <w:bottom w:val="double" w:sz="6" w:space="0" w:color="auto"/>
              <w:right w:val="nil"/>
            </w:tcBorders>
            <w:shd w:val="clear" w:color="auto" w:fill="auto"/>
            <w:noWrap/>
            <w:vAlign w:val="center"/>
            <w:hideMark/>
          </w:tcPr>
          <w:p w14:paraId="78480066" w14:textId="77777777" w:rsidR="00DB0DE6" w:rsidRPr="005F041C" w:rsidRDefault="00DB0DE6" w:rsidP="00E607DA">
            <w:pPr>
              <w:jc w:val="right"/>
              <w:rPr>
                <w:rFonts w:ascii="Meta Pro" w:eastAsia="Times New Roman" w:hAnsi="Meta Pro"/>
                <w:b/>
                <w:bCs/>
                <w:szCs w:val="18"/>
                <w:lang w:eastAsia="en-AU"/>
              </w:rPr>
            </w:pPr>
            <w:r w:rsidRPr="005F041C">
              <w:rPr>
                <w:rFonts w:ascii="Meta Pro" w:eastAsia="Times New Roman" w:hAnsi="Meta Pro"/>
                <w:b/>
                <w:bCs/>
                <w:szCs w:val="18"/>
                <w:lang w:eastAsia="en-AU"/>
              </w:rPr>
              <w:t xml:space="preserve">1,254,124 </w:t>
            </w:r>
          </w:p>
        </w:tc>
      </w:tr>
      <w:tr w:rsidR="00DB0DE6" w:rsidRPr="005F041C" w14:paraId="7BE0FE59" w14:textId="77777777" w:rsidTr="00CE1969">
        <w:trPr>
          <w:trHeight w:val="270"/>
        </w:trPr>
        <w:tc>
          <w:tcPr>
            <w:tcW w:w="7476" w:type="dxa"/>
            <w:tcBorders>
              <w:top w:val="nil"/>
              <w:left w:val="nil"/>
              <w:bottom w:val="nil"/>
              <w:right w:val="nil"/>
            </w:tcBorders>
            <w:shd w:val="clear" w:color="auto" w:fill="auto"/>
            <w:noWrap/>
            <w:vAlign w:val="center"/>
            <w:hideMark/>
          </w:tcPr>
          <w:p w14:paraId="3D4E56A9" w14:textId="77777777" w:rsidR="00DB0DE6" w:rsidRPr="005F041C" w:rsidRDefault="00DB0DE6" w:rsidP="00E607DA">
            <w:pPr>
              <w:jc w:val="right"/>
              <w:rPr>
                <w:rFonts w:ascii="Meta Pro" w:eastAsia="Times New Roman" w:hAnsi="Meta Pro"/>
                <w:b/>
                <w:bCs/>
                <w:szCs w:val="18"/>
                <w:lang w:eastAsia="en-AU"/>
              </w:rPr>
            </w:pPr>
          </w:p>
        </w:tc>
        <w:tc>
          <w:tcPr>
            <w:tcW w:w="1216" w:type="dxa"/>
            <w:tcBorders>
              <w:top w:val="nil"/>
              <w:left w:val="nil"/>
              <w:bottom w:val="nil"/>
              <w:right w:val="nil"/>
            </w:tcBorders>
            <w:shd w:val="clear" w:color="auto" w:fill="auto"/>
            <w:noWrap/>
            <w:vAlign w:val="center"/>
            <w:hideMark/>
          </w:tcPr>
          <w:p w14:paraId="015F5343" w14:textId="77777777" w:rsidR="00DB0DE6" w:rsidRPr="005F041C" w:rsidRDefault="00DB0DE6" w:rsidP="00E607DA">
            <w:pPr>
              <w:rPr>
                <w:rFonts w:ascii="Meta Pro" w:eastAsia="Times New Roman" w:hAnsi="Meta Pro" w:cs="Times New Roman"/>
                <w:sz w:val="20"/>
                <w:szCs w:val="20"/>
                <w:lang w:eastAsia="en-AU"/>
              </w:rPr>
            </w:pPr>
          </w:p>
        </w:tc>
        <w:tc>
          <w:tcPr>
            <w:tcW w:w="257" w:type="dxa"/>
            <w:tcBorders>
              <w:top w:val="nil"/>
              <w:left w:val="nil"/>
              <w:bottom w:val="nil"/>
              <w:right w:val="nil"/>
            </w:tcBorders>
            <w:shd w:val="clear" w:color="auto" w:fill="auto"/>
            <w:noWrap/>
            <w:vAlign w:val="center"/>
            <w:hideMark/>
          </w:tcPr>
          <w:p w14:paraId="4109D7DA" w14:textId="77777777" w:rsidR="00DB0DE6" w:rsidRPr="005F041C" w:rsidRDefault="00DB0DE6"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31AAADF9" w14:textId="77777777" w:rsidR="00DB0DE6" w:rsidRPr="005F041C" w:rsidRDefault="00DB0DE6" w:rsidP="00E607DA">
            <w:pPr>
              <w:jc w:val="right"/>
              <w:rPr>
                <w:rFonts w:ascii="Meta Pro" w:eastAsia="Times New Roman" w:hAnsi="Meta Pro" w:cs="Times New Roman"/>
                <w:sz w:val="20"/>
                <w:szCs w:val="20"/>
                <w:lang w:eastAsia="en-AU"/>
              </w:rPr>
            </w:pPr>
          </w:p>
        </w:tc>
      </w:tr>
      <w:tr w:rsidR="00DB0DE6" w:rsidRPr="005F041C" w14:paraId="2C1A5EE7" w14:textId="77777777" w:rsidTr="00CE1969">
        <w:trPr>
          <w:trHeight w:val="260"/>
        </w:trPr>
        <w:tc>
          <w:tcPr>
            <w:tcW w:w="7476" w:type="dxa"/>
            <w:tcBorders>
              <w:top w:val="nil"/>
              <w:left w:val="nil"/>
              <w:bottom w:val="nil"/>
              <w:right w:val="nil"/>
            </w:tcBorders>
            <w:shd w:val="clear" w:color="auto" w:fill="auto"/>
            <w:noWrap/>
            <w:vAlign w:val="center"/>
            <w:hideMark/>
          </w:tcPr>
          <w:p w14:paraId="018A94D2" w14:textId="77777777" w:rsidR="00DB0DE6" w:rsidRPr="005F041C" w:rsidRDefault="00DB0DE6" w:rsidP="00E607DA">
            <w:pPr>
              <w:rPr>
                <w:rFonts w:ascii="Meta Pro" w:eastAsia="Times New Roman" w:hAnsi="Meta Pro"/>
                <w:b/>
                <w:bCs/>
                <w:szCs w:val="18"/>
                <w:lang w:eastAsia="en-AU"/>
              </w:rPr>
            </w:pPr>
            <w:r w:rsidRPr="005F041C">
              <w:rPr>
                <w:rFonts w:ascii="Meta Pro" w:eastAsia="Times New Roman" w:hAnsi="Meta Pro"/>
                <w:b/>
                <w:bCs/>
                <w:szCs w:val="18"/>
                <w:lang w:eastAsia="en-AU"/>
              </w:rPr>
              <w:t>Amortisation incurred</w:t>
            </w:r>
          </w:p>
        </w:tc>
        <w:tc>
          <w:tcPr>
            <w:tcW w:w="1216" w:type="dxa"/>
            <w:tcBorders>
              <w:top w:val="nil"/>
              <w:left w:val="nil"/>
              <w:bottom w:val="nil"/>
              <w:right w:val="nil"/>
            </w:tcBorders>
            <w:shd w:val="clear" w:color="auto" w:fill="auto"/>
            <w:noWrap/>
            <w:vAlign w:val="center"/>
            <w:hideMark/>
          </w:tcPr>
          <w:p w14:paraId="3C7BF2C3" w14:textId="77777777" w:rsidR="00DB0DE6" w:rsidRPr="005F041C" w:rsidRDefault="00DB0DE6" w:rsidP="00E607DA">
            <w:pPr>
              <w:rPr>
                <w:rFonts w:ascii="Meta Pro" w:eastAsia="Times New Roman" w:hAnsi="Meta Pro"/>
                <w:b/>
                <w:bCs/>
                <w:szCs w:val="18"/>
                <w:lang w:eastAsia="en-AU"/>
              </w:rPr>
            </w:pPr>
          </w:p>
        </w:tc>
        <w:tc>
          <w:tcPr>
            <w:tcW w:w="257" w:type="dxa"/>
            <w:tcBorders>
              <w:top w:val="nil"/>
              <w:left w:val="nil"/>
              <w:bottom w:val="nil"/>
              <w:right w:val="nil"/>
            </w:tcBorders>
            <w:shd w:val="clear" w:color="auto" w:fill="auto"/>
            <w:noWrap/>
            <w:vAlign w:val="center"/>
            <w:hideMark/>
          </w:tcPr>
          <w:p w14:paraId="7A1CFEB3" w14:textId="77777777" w:rsidR="00DB0DE6" w:rsidRPr="005F041C" w:rsidRDefault="00DB0DE6"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456418DB" w14:textId="77777777" w:rsidR="00DB0DE6" w:rsidRPr="005F041C" w:rsidRDefault="00DB0DE6" w:rsidP="00E607DA">
            <w:pPr>
              <w:jc w:val="right"/>
              <w:rPr>
                <w:rFonts w:ascii="Meta Pro" w:eastAsia="Times New Roman" w:hAnsi="Meta Pro" w:cs="Times New Roman"/>
                <w:sz w:val="20"/>
                <w:szCs w:val="20"/>
                <w:lang w:eastAsia="en-AU"/>
              </w:rPr>
            </w:pPr>
          </w:p>
        </w:tc>
      </w:tr>
      <w:tr w:rsidR="00DB0DE6" w:rsidRPr="005F041C" w14:paraId="1025340D" w14:textId="77777777" w:rsidTr="00CE1969">
        <w:trPr>
          <w:trHeight w:val="260"/>
        </w:trPr>
        <w:tc>
          <w:tcPr>
            <w:tcW w:w="7476" w:type="dxa"/>
            <w:tcBorders>
              <w:top w:val="nil"/>
              <w:left w:val="nil"/>
              <w:bottom w:val="nil"/>
              <w:right w:val="nil"/>
            </w:tcBorders>
            <w:shd w:val="clear" w:color="auto" w:fill="auto"/>
            <w:noWrap/>
            <w:vAlign w:val="center"/>
            <w:hideMark/>
          </w:tcPr>
          <w:p w14:paraId="0AB7997D" w14:textId="77777777" w:rsidR="00DB0DE6" w:rsidRPr="005F041C" w:rsidRDefault="00DB0DE6" w:rsidP="00E607DA">
            <w:pPr>
              <w:rPr>
                <w:rFonts w:ascii="Meta Pro" w:eastAsia="Times New Roman" w:hAnsi="Meta Pro"/>
                <w:szCs w:val="18"/>
                <w:lang w:eastAsia="en-AU"/>
              </w:rPr>
            </w:pPr>
            <w:r w:rsidRPr="005F041C">
              <w:rPr>
                <w:rFonts w:ascii="Meta Pro" w:eastAsia="Times New Roman" w:hAnsi="Meta Pro"/>
                <w:szCs w:val="18"/>
                <w:lang w:eastAsia="en-AU"/>
              </w:rPr>
              <w:t xml:space="preserve">Software purchased </w:t>
            </w:r>
          </w:p>
        </w:tc>
        <w:tc>
          <w:tcPr>
            <w:tcW w:w="1216" w:type="dxa"/>
            <w:tcBorders>
              <w:top w:val="nil"/>
              <w:left w:val="nil"/>
              <w:bottom w:val="nil"/>
              <w:right w:val="nil"/>
            </w:tcBorders>
            <w:shd w:val="clear" w:color="000000" w:fill="C9E3B4"/>
            <w:noWrap/>
            <w:vAlign w:val="center"/>
            <w:hideMark/>
          </w:tcPr>
          <w:p w14:paraId="40881485" w14:textId="77777777" w:rsidR="00DB0DE6" w:rsidRPr="005F041C" w:rsidRDefault="00DB0DE6" w:rsidP="00E607DA">
            <w:pPr>
              <w:jc w:val="right"/>
              <w:rPr>
                <w:rFonts w:ascii="Meta Pro" w:eastAsia="Times New Roman" w:hAnsi="Meta Pro"/>
                <w:szCs w:val="18"/>
                <w:lang w:eastAsia="en-AU"/>
              </w:rPr>
            </w:pPr>
            <w:r w:rsidRPr="005F041C">
              <w:rPr>
                <w:rFonts w:ascii="Meta Pro" w:eastAsia="Times New Roman" w:hAnsi="Meta Pro"/>
                <w:szCs w:val="18"/>
                <w:lang w:eastAsia="en-AU"/>
              </w:rPr>
              <w:t xml:space="preserve">2,642 </w:t>
            </w:r>
          </w:p>
        </w:tc>
        <w:tc>
          <w:tcPr>
            <w:tcW w:w="257" w:type="dxa"/>
            <w:tcBorders>
              <w:top w:val="nil"/>
              <w:left w:val="nil"/>
              <w:bottom w:val="nil"/>
              <w:right w:val="nil"/>
            </w:tcBorders>
            <w:shd w:val="clear" w:color="auto" w:fill="auto"/>
            <w:noWrap/>
            <w:vAlign w:val="center"/>
            <w:hideMark/>
          </w:tcPr>
          <w:p w14:paraId="3F88106D" w14:textId="77777777" w:rsidR="00DB0DE6" w:rsidRPr="005F041C" w:rsidRDefault="00DB0DE6"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61EB04D4" w14:textId="77777777" w:rsidR="00DB0DE6" w:rsidRPr="005F041C" w:rsidRDefault="00DB0DE6" w:rsidP="00E607DA">
            <w:pPr>
              <w:jc w:val="right"/>
              <w:rPr>
                <w:rFonts w:ascii="Meta Pro" w:eastAsia="Times New Roman" w:hAnsi="Meta Pro"/>
                <w:szCs w:val="18"/>
                <w:lang w:eastAsia="en-AU"/>
              </w:rPr>
            </w:pPr>
            <w:r w:rsidRPr="005F041C">
              <w:rPr>
                <w:rFonts w:ascii="Meta Pro" w:eastAsia="Times New Roman" w:hAnsi="Meta Pro"/>
                <w:szCs w:val="18"/>
                <w:lang w:eastAsia="en-AU"/>
              </w:rPr>
              <w:t xml:space="preserve">2,192 </w:t>
            </w:r>
          </w:p>
        </w:tc>
      </w:tr>
      <w:tr w:rsidR="00DB0DE6" w:rsidRPr="005F041C" w14:paraId="3E57054E" w14:textId="77777777" w:rsidTr="00CE1969">
        <w:trPr>
          <w:trHeight w:val="260"/>
        </w:trPr>
        <w:tc>
          <w:tcPr>
            <w:tcW w:w="7476" w:type="dxa"/>
            <w:tcBorders>
              <w:top w:val="nil"/>
              <w:left w:val="nil"/>
              <w:bottom w:val="nil"/>
              <w:right w:val="nil"/>
            </w:tcBorders>
            <w:shd w:val="clear" w:color="auto" w:fill="auto"/>
            <w:noWrap/>
            <w:vAlign w:val="center"/>
            <w:hideMark/>
          </w:tcPr>
          <w:p w14:paraId="7E4A93F0" w14:textId="77777777" w:rsidR="00DB0DE6" w:rsidRPr="005F041C" w:rsidRDefault="00DB0DE6" w:rsidP="00E607DA">
            <w:pPr>
              <w:rPr>
                <w:rFonts w:ascii="Meta Pro" w:eastAsia="Times New Roman" w:hAnsi="Meta Pro"/>
                <w:szCs w:val="18"/>
                <w:lang w:eastAsia="en-AU"/>
              </w:rPr>
            </w:pPr>
            <w:r w:rsidRPr="005F041C">
              <w:rPr>
                <w:rFonts w:ascii="Meta Pro" w:eastAsia="Times New Roman" w:hAnsi="Meta Pro"/>
                <w:szCs w:val="18"/>
                <w:lang w:eastAsia="en-AU"/>
              </w:rPr>
              <w:t>Software internally generated *</w:t>
            </w:r>
          </w:p>
        </w:tc>
        <w:tc>
          <w:tcPr>
            <w:tcW w:w="1216" w:type="dxa"/>
            <w:tcBorders>
              <w:top w:val="nil"/>
              <w:left w:val="nil"/>
              <w:bottom w:val="nil"/>
              <w:right w:val="nil"/>
            </w:tcBorders>
            <w:shd w:val="clear" w:color="000000" w:fill="C9E3B4"/>
            <w:noWrap/>
            <w:vAlign w:val="center"/>
            <w:hideMark/>
          </w:tcPr>
          <w:p w14:paraId="0E1A4764" w14:textId="77777777" w:rsidR="00DB0DE6" w:rsidRPr="005F041C" w:rsidRDefault="00DB0DE6" w:rsidP="00E607DA">
            <w:pPr>
              <w:jc w:val="right"/>
              <w:rPr>
                <w:rFonts w:ascii="Meta Pro" w:eastAsia="Times New Roman" w:hAnsi="Meta Pro"/>
                <w:szCs w:val="18"/>
                <w:lang w:eastAsia="en-AU"/>
              </w:rPr>
            </w:pPr>
            <w:r w:rsidRPr="005F041C">
              <w:rPr>
                <w:rFonts w:ascii="Meta Pro" w:eastAsia="Times New Roman" w:hAnsi="Meta Pro"/>
                <w:szCs w:val="18"/>
                <w:lang w:eastAsia="en-AU"/>
              </w:rPr>
              <w:t xml:space="preserve">8,989 </w:t>
            </w:r>
          </w:p>
        </w:tc>
        <w:tc>
          <w:tcPr>
            <w:tcW w:w="257" w:type="dxa"/>
            <w:tcBorders>
              <w:top w:val="nil"/>
              <w:left w:val="nil"/>
              <w:bottom w:val="nil"/>
              <w:right w:val="nil"/>
            </w:tcBorders>
            <w:shd w:val="clear" w:color="auto" w:fill="auto"/>
            <w:noWrap/>
            <w:vAlign w:val="center"/>
            <w:hideMark/>
          </w:tcPr>
          <w:p w14:paraId="21317BB5" w14:textId="77777777" w:rsidR="00DB0DE6" w:rsidRPr="005F041C" w:rsidRDefault="00DB0DE6"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026380F6" w14:textId="77777777" w:rsidR="00DB0DE6" w:rsidRPr="005F041C" w:rsidRDefault="00DB0DE6" w:rsidP="00E607DA">
            <w:pPr>
              <w:jc w:val="right"/>
              <w:rPr>
                <w:rFonts w:ascii="Meta Pro" w:eastAsia="Times New Roman" w:hAnsi="Meta Pro"/>
                <w:szCs w:val="18"/>
                <w:lang w:eastAsia="en-AU"/>
              </w:rPr>
            </w:pPr>
            <w:r w:rsidRPr="005F041C">
              <w:rPr>
                <w:rFonts w:ascii="Meta Pro" w:eastAsia="Times New Roman" w:hAnsi="Meta Pro"/>
                <w:szCs w:val="18"/>
                <w:lang w:eastAsia="en-AU"/>
              </w:rPr>
              <w:t xml:space="preserve">8,819 </w:t>
            </w:r>
          </w:p>
        </w:tc>
      </w:tr>
      <w:tr w:rsidR="00DB0DE6" w:rsidRPr="005F041C" w14:paraId="362532A2" w14:textId="77777777" w:rsidTr="00CE1969">
        <w:trPr>
          <w:trHeight w:val="270"/>
        </w:trPr>
        <w:tc>
          <w:tcPr>
            <w:tcW w:w="7476" w:type="dxa"/>
            <w:tcBorders>
              <w:top w:val="single" w:sz="4" w:space="0" w:color="auto"/>
              <w:left w:val="nil"/>
              <w:bottom w:val="double" w:sz="6" w:space="0" w:color="auto"/>
              <w:right w:val="nil"/>
            </w:tcBorders>
            <w:shd w:val="clear" w:color="auto" w:fill="auto"/>
            <w:noWrap/>
            <w:vAlign w:val="center"/>
            <w:hideMark/>
          </w:tcPr>
          <w:p w14:paraId="2B735410" w14:textId="77777777" w:rsidR="00DB0DE6" w:rsidRPr="005F041C" w:rsidRDefault="00DB0DE6" w:rsidP="00E607DA">
            <w:pPr>
              <w:rPr>
                <w:rFonts w:ascii="Meta Pro" w:eastAsia="Times New Roman" w:hAnsi="Meta Pro"/>
                <w:b/>
                <w:bCs/>
                <w:szCs w:val="18"/>
                <w:lang w:eastAsia="en-AU"/>
              </w:rPr>
            </w:pPr>
            <w:r w:rsidRPr="005F041C">
              <w:rPr>
                <w:rFonts w:ascii="Meta Pro" w:eastAsia="Times New Roman" w:hAnsi="Meta Pro"/>
                <w:b/>
                <w:bCs/>
                <w:szCs w:val="18"/>
                <w:lang w:eastAsia="en-AU"/>
              </w:rPr>
              <w:t>Total</w:t>
            </w:r>
          </w:p>
        </w:tc>
        <w:tc>
          <w:tcPr>
            <w:tcW w:w="1216" w:type="dxa"/>
            <w:tcBorders>
              <w:top w:val="single" w:sz="4" w:space="0" w:color="auto"/>
              <w:left w:val="nil"/>
              <w:bottom w:val="double" w:sz="6" w:space="0" w:color="auto"/>
              <w:right w:val="nil"/>
            </w:tcBorders>
            <w:shd w:val="clear" w:color="000000" w:fill="C9E3B4"/>
            <w:noWrap/>
            <w:vAlign w:val="center"/>
            <w:hideMark/>
          </w:tcPr>
          <w:p w14:paraId="026CA250" w14:textId="77777777" w:rsidR="00DB0DE6" w:rsidRPr="005F041C" w:rsidRDefault="00DB0DE6" w:rsidP="00E607DA">
            <w:pPr>
              <w:jc w:val="right"/>
              <w:rPr>
                <w:rFonts w:ascii="Meta Pro" w:eastAsia="Times New Roman" w:hAnsi="Meta Pro"/>
                <w:b/>
                <w:bCs/>
                <w:szCs w:val="18"/>
                <w:lang w:eastAsia="en-AU"/>
              </w:rPr>
            </w:pPr>
            <w:r w:rsidRPr="005F041C">
              <w:rPr>
                <w:rFonts w:ascii="Meta Pro" w:eastAsia="Times New Roman" w:hAnsi="Meta Pro"/>
                <w:b/>
                <w:bCs/>
                <w:szCs w:val="18"/>
                <w:lang w:eastAsia="en-AU"/>
              </w:rPr>
              <w:t xml:space="preserve">11,631 </w:t>
            </w:r>
          </w:p>
        </w:tc>
        <w:tc>
          <w:tcPr>
            <w:tcW w:w="257" w:type="dxa"/>
            <w:tcBorders>
              <w:top w:val="single" w:sz="4" w:space="0" w:color="auto"/>
              <w:left w:val="nil"/>
              <w:bottom w:val="double" w:sz="6" w:space="0" w:color="auto"/>
              <w:right w:val="nil"/>
            </w:tcBorders>
            <w:shd w:val="clear" w:color="auto" w:fill="auto"/>
            <w:noWrap/>
            <w:vAlign w:val="center"/>
            <w:hideMark/>
          </w:tcPr>
          <w:p w14:paraId="1C9B88E4" w14:textId="77777777" w:rsidR="00DB0DE6" w:rsidRPr="005F041C" w:rsidRDefault="00DB0DE6" w:rsidP="00E607DA">
            <w:pPr>
              <w:jc w:val="right"/>
              <w:rPr>
                <w:rFonts w:ascii="Meta Pro" w:eastAsia="Times New Roman" w:hAnsi="Meta Pro"/>
                <w:b/>
                <w:bCs/>
                <w:szCs w:val="18"/>
                <w:lang w:eastAsia="en-AU"/>
              </w:rPr>
            </w:pPr>
            <w:r w:rsidRPr="005F041C">
              <w:rPr>
                <w:rFonts w:ascii="Meta Pro" w:eastAsia="Times New Roman" w:hAnsi="Meta Pro"/>
                <w:b/>
                <w:bCs/>
                <w:szCs w:val="18"/>
                <w:lang w:eastAsia="en-AU"/>
              </w:rPr>
              <w:t> </w:t>
            </w:r>
          </w:p>
        </w:tc>
        <w:tc>
          <w:tcPr>
            <w:tcW w:w="1216" w:type="dxa"/>
            <w:tcBorders>
              <w:top w:val="single" w:sz="4" w:space="0" w:color="auto"/>
              <w:left w:val="nil"/>
              <w:bottom w:val="double" w:sz="6" w:space="0" w:color="auto"/>
              <w:right w:val="nil"/>
            </w:tcBorders>
            <w:shd w:val="clear" w:color="auto" w:fill="auto"/>
            <w:noWrap/>
            <w:vAlign w:val="center"/>
            <w:hideMark/>
          </w:tcPr>
          <w:p w14:paraId="15DF64A8" w14:textId="77777777" w:rsidR="00DB0DE6" w:rsidRPr="005F041C" w:rsidRDefault="00DB0DE6" w:rsidP="00E607DA">
            <w:pPr>
              <w:jc w:val="right"/>
              <w:rPr>
                <w:rFonts w:ascii="Meta Pro" w:eastAsia="Times New Roman" w:hAnsi="Meta Pro"/>
                <w:b/>
                <w:bCs/>
                <w:szCs w:val="18"/>
                <w:lang w:eastAsia="en-AU"/>
              </w:rPr>
            </w:pPr>
            <w:r w:rsidRPr="005F041C">
              <w:rPr>
                <w:rFonts w:ascii="Meta Pro" w:eastAsia="Times New Roman" w:hAnsi="Meta Pro"/>
                <w:b/>
                <w:bCs/>
                <w:szCs w:val="18"/>
                <w:lang w:eastAsia="en-AU"/>
              </w:rPr>
              <w:t xml:space="preserve">11,011 </w:t>
            </w:r>
          </w:p>
        </w:tc>
      </w:tr>
    </w:tbl>
    <w:p w14:paraId="4C145422" w14:textId="77777777" w:rsidR="00DB0DE6" w:rsidRPr="00092B22" w:rsidRDefault="00DB0DE6" w:rsidP="00DB0DE6">
      <w:pPr>
        <w:spacing w:before="120" w:line="259" w:lineRule="auto"/>
        <w:rPr>
          <w:rFonts w:ascii="Meta Pro" w:hAnsi="Meta Pro"/>
          <w:sz w:val="16"/>
          <w:szCs w:val="16"/>
          <w:lang w:eastAsia="en-AU"/>
        </w:rPr>
      </w:pPr>
      <w:r w:rsidRPr="00092B22">
        <w:rPr>
          <w:rFonts w:ascii="Meta Pro" w:hAnsi="Meta Pro"/>
          <w:sz w:val="16"/>
          <w:szCs w:val="16"/>
          <w:lang w:eastAsia="en-AU"/>
        </w:rPr>
        <w:t>* Comparatives have changed following the reclassification of expenditure associated with departmental cloud computing arrangements</w:t>
      </w:r>
    </w:p>
    <w:p w14:paraId="370080E5" w14:textId="77777777" w:rsidR="00B07A53" w:rsidRDefault="00DB0DE6" w:rsidP="00DB0DE6">
      <w:pPr>
        <w:spacing w:line="259" w:lineRule="auto"/>
        <w:rPr>
          <w:rFonts w:ascii="Meta Pro" w:hAnsi="Meta Pro"/>
          <w:sz w:val="16"/>
          <w:szCs w:val="16"/>
          <w:lang w:eastAsia="en-AU"/>
        </w:rPr>
      </w:pPr>
      <w:r w:rsidRPr="00092B22">
        <w:rPr>
          <w:rFonts w:ascii="Meta Pro" w:hAnsi="Meta Pro"/>
          <w:sz w:val="16"/>
          <w:szCs w:val="16"/>
          <w:lang w:eastAsia="en-AU"/>
        </w:rPr>
        <w:t xml:space="preserve">   due to a change in accounting policy. Refer to Note 1.</w:t>
      </w:r>
    </w:p>
    <w:p w14:paraId="07635B82" w14:textId="77777777" w:rsidR="00B07A53" w:rsidRDefault="00B07A53" w:rsidP="00DB0DE6">
      <w:pPr>
        <w:spacing w:line="259" w:lineRule="auto"/>
        <w:rPr>
          <w:rFonts w:ascii="Meta Pro" w:hAnsi="Meta Pro"/>
          <w:lang w:eastAsia="en-AU"/>
        </w:rPr>
      </w:pPr>
    </w:p>
    <w:tbl>
      <w:tblPr>
        <w:tblW w:w="0" w:type="auto"/>
        <w:tblCellMar>
          <w:left w:w="0" w:type="dxa"/>
        </w:tblCellMar>
        <w:tblLook w:val="04A0" w:firstRow="1" w:lastRow="0" w:firstColumn="1" w:lastColumn="0" w:noHBand="0" w:noVBand="1"/>
      </w:tblPr>
      <w:tblGrid>
        <w:gridCol w:w="7074"/>
        <w:gridCol w:w="1169"/>
        <w:gridCol w:w="226"/>
        <w:gridCol w:w="1169"/>
      </w:tblGrid>
      <w:tr w:rsidR="005339C7" w:rsidRPr="00092B22" w14:paraId="43DAFE29" w14:textId="77777777" w:rsidTr="00B07A53">
        <w:trPr>
          <w:trHeight w:val="240"/>
        </w:trPr>
        <w:tc>
          <w:tcPr>
            <w:tcW w:w="7090" w:type="dxa"/>
            <w:tcBorders>
              <w:top w:val="nil"/>
              <w:left w:val="nil"/>
              <w:bottom w:val="nil"/>
              <w:right w:val="nil"/>
            </w:tcBorders>
            <w:shd w:val="clear" w:color="auto" w:fill="auto"/>
            <w:noWrap/>
            <w:vAlign w:val="center"/>
            <w:hideMark/>
          </w:tcPr>
          <w:p w14:paraId="4C06EBE0" w14:textId="77777777" w:rsidR="005339C7" w:rsidRPr="00092B22" w:rsidRDefault="005339C7" w:rsidP="00E607DA">
            <w:pPr>
              <w:rPr>
                <w:rFonts w:ascii="Meta Pro" w:eastAsia="Times New Roman" w:hAnsi="Meta Pro"/>
                <w:b/>
                <w:bCs/>
                <w:lang w:eastAsia="en-AU"/>
              </w:rPr>
            </w:pPr>
            <w:r w:rsidRPr="00092B22">
              <w:rPr>
                <w:rFonts w:ascii="Meta Pro" w:eastAsia="Times New Roman" w:hAnsi="Meta Pro"/>
                <w:b/>
                <w:bCs/>
                <w:lang w:eastAsia="en-AU"/>
              </w:rPr>
              <w:t>11     OTHER EXPENSES</w:t>
            </w:r>
          </w:p>
        </w:tc>
        <w:tc>
          <w:tcPr>
            <w:tcW w:w="1165" w:type="dxa"/>
            <w:tcBorders>
              <w:top w:val="nil"/>
              <w:left w:val="nil"/>
              <w:bottom w:val="nil"/>
              <w:right w:val="nil"/>
            </w:tcBorders>
            <w:shd w:val="clear" w:color="auto" w:fill="auto"/>
            <w:noWrap/>
            <w:vAlign w:val="center"/>
            <w:hideMark/>
          </w:tcPr>
          <w:p w14:paraId="4093C711" w14:textId="77777777" w:rsidR="005339C7" w:rsidRPr="00092B22" w:rsidRDefault="005339C7" w:rsidP="00E607DA">
            <w:pPr>
              <w:rPr>
                <w:rFonts w:ascii="Meta Pro" w:eastAsia="Times New Roman" w:hAnsi="Meta Pro"/>
                <w:b/>
                <w:bCs/>
                <w:lang w:eastAsia="en-AU"/>
              </w:rPr>
            </w:pPr>
          </w:p>
        </w:tc>
        <w:tc>
          <w:tcPr>
            <w:tcW w:w="218" w:type="dxa"/>
            <w:tcBorders>
              <w:top w:val="nil"/>
              <w:left w:val="nil"/>
              <w:bottom w:val="nil"/>
              <w:right w:val="nil"/>
            </w:tcBorders>
            <w:shd w:val="clear" w:color="auto" w:fill="auto"/>
            <w:noWrap/>
            <w:vAlign w:val="center"/>
            <w:hideMark/>
          </w:tcPr>
          <w:p w14:paraId="0048B717" w14:textId="77777777" w:rsidR="005339C7" w:rsidRPr="00092B22" w:rsidRDefault="005339C7" w:rsidP="00E607DA">
            <w:pPr>
              <w:jc w:val="right"/>
              <w:rPr>
                <w:rFonts w:ascii="Meta Pro" w:eastAsia="Times New Roman" w:hAnsi="Meta Pro" w:cs="Times New Roman"/>
                <w:sz w:val="20"/>
                <w:szCs w:val="20"/>
                <w:lang w:eastAsia="en-AU"/>
              </w:rPr>
            </w:pPr>
          </w:p>
        </w:tc>
        <w:tc>
          <w:tcPr>
            <w:tcW w:w="1165" w:type="dxa"/>
            <w:tcBorders>
              <w:top w:val="nil"/>
              <w:left w:val="nil"/>
              <w:bottom w:val="nil"/>
              <w:right w:val="nil"/>
            </w:tcBorders>
            <w:shd w:val="clear" w:color="auto" w:fill="auto"/>
            <w:noWrap/>
            <w:vAlign w:val="center"/>
            <w:hideMark/>
          </w:tcPr>
          <w:p w14:paraId="00A48DA7" w14:textId="77777777" w:rsidR="005339C7" w:rsidRPr="00092B22" w:rsidRDefault="005339C7" w:rsidP="00E607DA">
            <w:pPr>
              <w:jc w:val="right"/>
              <w:rPr>
                <w:rFonts w:ascii="Meta Pro" w:eastAsia="Times New Roman" w:hAnsi="Meta Pro" w:cs="Times New Roman"/>
                <w:sz w:val="20"/>
                <w:szCs w:val="20"/>
                <w:lang w:eastAsia="en-AU"/>
              </w:rPr>
            </w:pPr>
          </w:p>
        </w:tc>
      </w:tr>
      <w:tr w:rsidR="005339C7" w:rsidRPr="00092B22" w14:paraId="6DED5615" w14:textId="77777777" w:rsidTr="00B07A53">
        <w:trPr>
          <w:trHeight w:val="90"/>
        </w:trPr>
        <w:tc>
          <w:tcPr>
            <w:tcW w:w="7090" w:type="dxa"/>
            <w:tcBorders>
              <w:top w:val="nil"/>
              <w:left w:val="nil"/>
              <w:bottom w:val="nil"/>
              <w:right w:val="nil"/>
            </w:tcBorders>
            <w:shd w:val="clear" w:color="auto" w:fill="auto"/>
            <w:noWrap/>
            <w:vAlign w:val="center"/>
            <w:hideMark/>
          </w:tcPr>
          <w:p w14:paraId="43553F7A" w14:textId="77777777" w:rsidR="005339C7" w:rsidRPr="00092B22" w:rsidRDefault="005339C7" w:rsidP="00E607DA">
            <w:pPr>
              <w:jc w:val="right"/>
              <w:rPr>
                <w:rFonts w:ascii="Meta Pro" w:eastAsia="Times New Roman" w:hAnsi="Meta Pro" w:cs="Times New Roman"/>
                <w:sz w:val="20"/>
                <w:szCs w:val="20"/>
                <w:lang w:eastAsia="en-AU"/>
              </w:rPr>
            </w:pPr>
          </w:p>
        </w:tc>
        <w:tc>
          <w:tcPr>
            <w:tcW w:w="1165" w:type="dxa"/>
            <w:tcBorders>
              <w:top w:val="nil"/>
              <w:left w:val="nil"/>
              <w:bottom w:val="nil"/>
              <w:right w:val="nil"/>
            </w:tcBorders>
            <w:shd w:val="clear" w:color="auto" w:fill="auto"/>
            <w:noWrap/>
            <w:vAlign w:val="center"/>
            <w:hideMark/>
          </w:tcPr>
          <w:p w14:paraId="3870FC8B" w14:textId="77777777" w:rsidR="005339C7" w:rsidRPr="00092B22" w:rsidRDefault="005339C7" w:rsidP="00E607DA">
            <w:pPr>
              <w:rPr>
                <w:rFonts w:ascii="Meta Pro" w:eastAsia="Times New Roman" w:hAnsi="Meta Pro" w:cs="Times New Roman"/>
                <w:sz w:val="20"/>
                <w:szCs w:val="20"/>
                <w:lang w:eastAsia="en-AU"/>
              </w:rPr>
            </w:pPr>
          </w:p>
        </w:tc>
        <w:tc>
          <w:tcPr>
            <w:tcW w:w="218" w:type="dxa"/>
            <w:tcBorders>
              <w:top w:val="nil"/>
              <w:left w:val="nil"/>
              <w:bottom w:val="nil"/>
              <w:right w:val="nil"/>
            </w:tcBorders>
            <w:shd w:val="clear" w:color="auto" w:fill="auto"/>
            <w:noWrap/>
            <w:vAlign w:val="center"/>
            <w:hideMark/>
          </w:tcPr>
          <w:p w14:paraId="61953670" w14:textId="77777777" w:rsidR="005339C7" w:rsidRPr="00092B22" w:rsidRDefault="005339C7" w:rsidP="00E607DA">
            <w:pPr>
              <w:jc w:val="right"/>
              <w:rPr>
                <w:rFonts w:ascii="Meta Pro" w:eastAsia="Times New Roman" w:hAnsi="Meta Pro" w:cs="Times New Roman"/>
                <w:sz w:val="20"/>
                <w:szCs w:val="20"/>
                <w:lang w:eastAsia="en-AU"/>
              </w:rPr>
            </w:pPr>
          </w:p>
        </w:tc>
        <w:tc>
          <w:tcPr>
            <w:tcW w:w="1165" w:type="dxa"/>
            <w:tcBorders>
              <w:top w:val="nil"/>
              <w:left w:val="nil"/>
              <w:bottom w:val="nil"/>
              <w:right w:val="nil"/>
            </w:tcBorders>
            <w:shd w:val="clear" w:color="auto" w:fill="auto"/>
            <w:noWrap/>
            <w:vAlign w:val="center"/>
            <w:hideMark/>
          </w:tcPr>
          <w:p w14:paraId="34564DA4" w14:textId="77777777" w:rsidR="005339C7" w:rsidRPr="00092B22" w:rsidRDefault="005339C7" w:rsidP="00E607DA">
            <w:pPr>
              <w:jc w:val="right"/>
              <w:rPr>
                <w:rFonts w:ascii="Meta Pro" w:eastAsia="Times New Roman" w:hAnsi="Meta Pro" w:cs="Times New Roman"/>
                <w:sz w:val="20"/>
                <w:szCs w:val="20"/>
                <w:lang w:eastAsia="en-AU"/>
              </w:rPr>
            </w:pPr>
          </w:p>
        </w:tc>
      </w:tr>
      <w:tr w:rsidR="005339C7" w:rsidRPr="00092B22" w14:paraId="19FF7777" w14:textId="77777777" w:rsidTr="00B07A53">
        <w:trPr>
          <w:trHeight w:val="240"/>
        </w:trPr>
        <w:tc>
          <w:tcPr>
            <w:tcW w:w="7090" w:type="dxa"/>
            <w:tcBorders>
              <w:top w:val="nil"/>
              <w:left w:val="nil"/>
              <w:bottom w:val="nil"/>
              <w:right w:val="nil"/>
            </w:tcBorders>
            <w:shd w:val="clear" w:color="auto" w:fill="auto"/>
            <w:noWrap/>
            <w:vAlign w:val="center"/>
            <w:hideMark/>
          </w:tcPr>
          <w:p w14:paraId="450C44BC" w14:textId="77777777" w:rsidR="005339C7" w:rsidRPr="00092B22" w:rsidRDefault="005339C7" w:rsidP="00E607DA">
            <w:pPr>
              <w:rPr>
                <w:rFonts w:ascii="Meta Pro" w:eastAsia="Times New Roman" w:hAnsi="Meta Pro"/>
                <w:szCs w:val="18"/>
                <w:lang w:eastAsia="en-AU"/>
              </w:rPr>
            </w:pPr>
            <w:r w:rsidRPr="00092B22">
              <w:rPr>
                <w:rFonts w:ascii="Meta Pro" w:eastAsia="Times New Roman" w:hAnsi="Meta Pro"/>
                <w:szCs w:val="18"/>
                <w:lang w:eastAsia="en-AU"/>
              </w:rPr>
              <w:t>Queensland Audit Office – external audit fees *</w:t>
            </w:r>
          </w:p>
        </w:tc>
        <w:tc>
          <w:tcPr>
            <w:tcW w:w="1165" w:type="dxa"/>
            <w:tcBorders>
              <w:top w:val="nil"/>
              <w:left w:val="nil"/>
              <w:bottom w:val="nil"/>
              <w:right w:val="nil"/>
            </w:tcBorders>
            <w:shd w:val="clear" w:color="000000" w:fill="C9E3B4"/>
            <w:noWrap/>
            <w:vAlign w:val="center"/>
            <w:hideMark/>
          </w:tcPr>
          <w:p w14:paraId="02B5C9BA" w14:textId="77777777" w:rsidR="005339C7" w:rsidRPr="00092B22" w:rsidRDefault="005339C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741 </w:t>
            </w:r>
          </w:p>
        </w:tc>
        <w:tc>
          <w:tcPr>
            <w:tcW w:w="218" w:type="dxa"/>
            <w:tcBorders>
              <w:top w:val="nil"/>
              <w:left w:val="nil"/>
              <w:bottom w:val="nil"/>
              <w:right w:val="nil"/>
            </w:tcBorders>
            <w:shd w:val="clear" w:color="auto" w:fill="auto"/>
            <w:noWrap/>
            <w:vAlign w:val="center"/>
            <w:hideMark/>
          </w:tcPr>
          <w:p w14:paraId="1308877D" w14:textId="77777777" w:rsidR="005339C7" w:rsidRPr="00092B22" w:rsidRDefault="005339C7" w:rsidP="00E607DA">
            <w:pPr>
              <w:jc w:val="right"/>
              <w:rPr>
                <w:rFonts w:ascii="Meta Pro" w:eastAsia="Times New Roman" w:hAnsi="Meta Pro"/>
                <w:szCs w:val="18"/>
                <w:lang w:eastAsia="en-AU"/>
              </w:rPr>
            </w:pPr>
          </w:p>
        </w:tc>
        <w:tc>
          <w:tcPr>
            <w:tcW w:w="1165" w:type="dxa"/>
            <w:tcBorders>
              <w:top w:val="nil"/>
              <w:left w:val="nil"/>
              <w:bottom w:val="nil"/>
              <w:right w:val="nil"/>
            </w:tcBorders>
            <w:shd w:val="clear" w:color="auto" w:fill="auto"/>
            <w:noWrap/>
            <w:vAlign w:val="center"/>
            <w:hideMark/>
          </w:tcPr>
          <w:p w14:paraId="4942929D" w14:textId="77777777" w:rsidR="005339C7" w:rsidRPr="00092B22" w:rsidRDefault="005339C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750 </w:t>
            </w:r>
          </w:p>
        </w:tc>
      </w:tr>
      <w:tr w:rsidR="005339C7" w:rsidRPr="00092B22" w14:paraId="76F0B88D" w14:textId="77777777" w:rsidTr="00B07A53">
        <w:trPr>
          <w:trHeight w:val="240"/>
        </w:trPr>
        <w:tc>
          <w:tcPr>
            <w:tcW w:w="7090" w:type="dxa"/>
            <w:tcBorders>
              <w:top w:val="nil"/>
              <w:left w:val="nil"/>
              <w:bottom w:val="nil"/>
              <w:right w:val="nil"/>
            </w:tcBorders>
            <w:shd w:val="clear" w:color="auto" w:fill="auto"/>
            <w:noWrap/>
            <w:vAlign w:val="center"/>
            <w:hideMark/>
          </w:tcPr>
          <w:p w14:paraId="7896CF51" w14:textId="77777777" w:rsidR="005339C7" w:rsidRPr="00092B22" w:rsidRDefault="005339C7" w:rsidP="00E607DA">
            <w:pPr>
              <w:rPr>
                <w:rFonts w:ascii="Meta Pro" w:eastAsia="Times New Roman" w:hAnsi="Meta Pro"/>
                <w:szCs w:val="18"/>
                <w:lang w:eastAsia="en-AU"/>
              </w:rPr>
            </w:pPr>
            <w:r w:rsidRPr="00092B22">
              <w:rPr>
                <w:rFonts w:ascii="Meta Pro" w:eastAsia="Times New Roman" w:hAnsi="Meta Pro"/>
                <w:szCs w:val="18"/>
                <w:lang w:eastAsia="en-AU"/>
              </w:rPr>
              <w:t>Audit fees – other **</w:t>
            </w:r>
          </w:p>
        </w:tc>
        <w:tc>
          <w:tcPr>
            <w:tcW w:w="1165" w:type="dxa"/>
            <w:tcBorders>
              <w:top w:val="nil"/>
              <w:left w:val="nil"/>
              <w:bottom w:val="nil"/>
              <w:right w:val="nil"/>
            </w:tcBorders>
            <w:shd w:val="clear" w:color="000000" w:fill="C9E3B4"/>
            <w:noWrap/>
            <w:vAlign w:val="center"/>
            <w:hideMark/>
          </w:tcPr>
          <w:p w14:paraId="4C9C5461" w14:textId="77777777" w:rsidR="005339C7" w:rsidRPr="00092B22" w:rsidRDefault="005339C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1,033 </w:t>
            </w:r>
          </w:p>
        </w:tc>
        <w:tc>
          <w:tcPr>
            <w:tcW w:w="218" w:type="dxa"/>
            <w:tcBorders>
              <w:top w:val="nil"/>
              <w:left w:val="nil"/>
              <w:bottom w:val="nil"/>
              <w:right w:val="nil"/>
            </w:tcBorders>
            <w:shd w:val="clear" w:color="auto" w:fill="auto"/>
            <w:noWrap/>
            <w:vAlign w:val="center"/>
            <w:hideMark/>
          </w:tcPr>
          <w:p w14:paraId="245DF41E" w14:textId="77777777" w:rsidR="005339C7" w:rsidRPr="00092B22" w:rsidRDefault="005339C7" w:rsidP="00E607DA">
            <w:pPr>
              <w:jc w:val="right"/>
              <w:rPr>
                <w:rFonts w:ascii="Meta Pro" w:eastAsia="Times New Roman" w:hAnsi="Meta Pro"/>
                <w:szCs w:val="18"/>
                <w:lang w:eastAsia="en-AU"/>
              </w:rPr>
            </w:pPr>
          </w:p>
        </w:tc>
        <w:tc>
          <w:tcPr>
            <w:tcW w:w="1165" w:type="dxa"/>
            <w:tcBorders>
              <w:top w:val="nil"/>
              <w:left w:val="nil"/>
              <w:bottom w:val="nil"/>
              <w:right w:val="nil"/>
            </w:tcBorders>
            <w:shd w:val="clear" w:color="auto" w:fill="auto"/>
            <w:noWrap/>
            <w:vAlign w:val="center"/>
            <w:hideMark/>
          </w:tcPr>
          <w:p w14:paraId="436AE56F" w14:textId="77777777" w:rsidR="005339C7" w:rsidRPr="00092B22" w:rsidRDefault="005339C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793 </w:t>
            </w:r>
          </w:p>
        </w:tc>
      </w:tr>
      <w:tr w:rsidR="005339C7" w:rsidRPr="00092B22" w14:paraId="19337713" w14:textId="77777777" w:rsidTr="00B07A53">
        <w:trPr>
          <w:trHeight w:val="240"/>
        </w:trPr>
        <w:tc>
          <w:tcPr>
            <w:tcW w:w="7090" w:type="dxa"/>
            <w:tcBorders>
              <w:top w:val="nil"/>
              <w:left w:val="nil"/>
              <w:bottom w:val="nil"/>
              <w:right w:val="nil"/>
            </w:tcBorders>
            <w:shd w:val="clear" w:color="auto" w:fill="auto"/>
            <w:noWrap/>
            <w:vAlign w:val="center"/>
            <w:hideMark/>
          </w:tcPr>
          <w:p w14:paraId="0BE4E247" w14:textId="77777777" w:rsidR="005339C7" w:rsidRPr="00092B22" w:rsidRDefault="005339C7" w:rsidP="00E607DA">
            <w:pPr>
              <w:rPr>
                <w:rFonts w:ascii="Meta Pro" w:eastAsia="Times New Roman" w:hAnsi="Meta Pro"/>
                <w:szCs w:val="18"/>
                <w:lang w:eastAsia="en-AU"/>
              </w:rPr>
            </w:pPr>
            <w:r w:rsidRPr="00092B22">
              <w:rPr>
                <w:rFonts w:ascii="Meta Pro" w:eastAsia="Times New Roman" w:hAnsi="Meta Pro"/>
                <w:szCs w:val="18"/>
                <w:lang w:eastAsia="en-AU"/>
              </w:rPr>
              <w:t>Fees, permits and other charges</w:t>
            </w:r>
          </w:p>
        </w:tc>
        <w:tc>
          <w:tcPr>
            <w:tcW w:w="1165" w:type="dxa"/>
            <w:tcBorders>
              <w:top w:val="nil"/>
              <w:left w:val="nil"/>
              <w:bottom w:val="nil"/>
              <w:right w:val="nil"/>
            </w:tcBorders>
            <w:shd w:val="clear" w:color="000000" w:fill="C9E3B4"/>
            <w:noWrap/>
            <w:vAlign w:val="center"/>
            <w:hideMark/>
          </w:tcPr>
          <w:p w14:paraId="66C96461" w14:textId="77777777" w:rsidR="005339C7" w:rsidRPr="00092B22" w:rsidRDefault="005339C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1,795 </w:t>
            </w:r>
          </w:p>
        </w:tc>
        <w:tc>
          <w:tcPr>
            <w:tcW w:w="218" w:type="dxa"/>
            <w:tcBorders>
              <w:top w:val="nil"/>
              <w:left w:val="nil"/>
              <w:bottom w:val="nil"/>
              <w:right w:val="nil"/>
            </w:tcBorders>
            <w:shd w:val="clear" w:color="auto" w:fill="auto"/>
            <w:noWrap/>
            <w:vAlign w:val="center"/>
            <w:hideMark/>
          </w:tcPr>
          <w:p w14:paraId="571CCBFB" w14:textId="77777777" w:rsidR="005339C7" w:rsidRPr="00092B22" w:rsidRDefault="005339C7" w:rsidP="00E607DA">
            <w:pPr>
              <w:jc w:val="right"/>
              <w:rPr>
                <w:rFonts w:ascii="Meta Pro" w:eastAsia="Times New Roman" w:hAnsi="Meta Pro"/>
                <w:szCs w:val="18"/>
                <w:lang w:eastAsia="en-AU"/>
              </w:rPr>
            </w:pPr>
          </w:p>
        </w:tc>
        <w:tc>
          <w:tcPr>
            <w:tcW w:w="1165" w:type="dxa"/>
            <w:tcBorders>
              <w:top w:val="nil"/>
              <w:left w:val="nil"/>
              <w:bottom w:val="nil"/>
              <w:right w:val="nil"/>
            </w:tcBorders>
            <w:shd w:val="clear" w:color="auto" w:fill="auto"/>
            <w:noWrap/>
            <w:vAlign w:val="center"/>
            <w:hideMark/>
          </w:tcPr>
          <w:p w14:paraId="06CA47DC" w14:textId="77777777" w:rsidR="005339C7" w:rsidRPr="00092B22" w:rsidRDefault="005339C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1,344 </w:t>
            </w:r>
          </w:p>
        </w:tc>
      </w:tr>
      <w:tr w:rsidR="005339C7" w:rsidRPr="00092B22" w14:paraId="67DFD397" w14:textId="77777777" w:rsidTr="00B07A53">
        <w:trPr>
          <w:trHeight w:val="240"/>
        </w:trPr>
        <w:tc>
          <w:tcPr>
            <w:tcW w:w="7090" w:type="dxa"/>
            <w:tcBorders>
              <w:top w:val="nil"/>
              <w:left w:val="nil"/>
              <w:bottom w:val="nil"/>
              <w:right w:val="nil"/>
            </w:tcBorders>
            <w:shd w:val="clear" w:color="auto" w:fill="auto"/>
            <w:noWrap/>
            <w:vAlign w:val="center"/>
            <w:hideMark/>
          </w:tcPr>
          <w:p w14:paraId="666BD790" w14:textId="77777777" w:rsidR="005339C7" w:rsidRPr="00092B22" w:rsidRDefault="005339C7" w:rsidP="00E607DA">
            <w:pPr>
              <w:rPr>
                <w:rFonts w:ascii="Meta Pro" w:eastAsia="Times New Roman" w:hAnsi="Meta Pro"/>
                <w:szCs w:val="18"/>
                <w:lang w:eastAsia="en-AU"/>
              </w:rPr>
            </w:pPr>
            <w:r w:rsidRPr="00092B22">
              <w:rPr>
                <w:rFonts w:ascii="Meta Pro" w:eastAsia="Times New Roman" w:hAnsi="Meta Pro"/>
                <w:szCs w:val="18"/>
                <w:lang w:eastAsia="en-AU"/>
              </w:rPr>
              <w:t>Insurance premiums</w:t>
            </w:r>
          </w:p>
        </w:tc>
        <w:tc>
          <w:tcPr>
            <w:tcW w:w="1165" w:type="dxa"/>
            <w:tcBorders>
              <w:top w:val="nil"/>
              <w:left w:val="nil"/>
              <w:bottom w:val="nil"/>
              <w:right w:val="nil"/>
            </w:tcBorders>
            <w:shd w:val="clear" w:color="000000" w:fill="C9E3B4"/>
            <w:noWrap/>
            <w:vAlign w:val="center"/>
            <w:hideMark/>
          </w:tcPr>
          <w:p w14:paraId="523989FA" w14:textId="77777777" w:rsidR="005339C7" w:rsidRPr="00092B22" w:rsidRDefault="005339C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9,350 </w:t>
            </w:r>
          </w:p>
        </w:tc>
        <w:tc>
          <w:tcPr>
            <w:tcW w:w="218" w:type="dxa"/>
            <w:tcBorders>
              <w:top w:val="nil"/>
              <w:left w:val="nil"/>
              <w:bottom w:val="nil"/>
              <w:right w:val="nil"/>
            </w:tcBorders>
            <w:shd w:val="clear" w:color="auto" w:fill="auto"/>
            <w:noWrap/>
            <w:vAlign w:val="center"/>
            <w:hideMark/>
          </w:tcPr>
          <w:p w14:paraId="046F0D6C" w14:textId="77777777" w:rsidR="005339C7" w:rsidRPr="00092B22" w:rsidRDefault="005339C7" w:rsidP="00E607DA">
            <w:pPr>
              <w:jc w:val="right"/>
              <w:rPr>
                <w:rFonts w:ascii="Meta Pro" w:eastAsia="Times New Roman" w:hAnsi="Meta Pro"/>
                <w:szCs w:val="18"/>
                <w:lang w:eastAsia="en-AU"/>
              </w:rPr>
            </w:pPr>
          </w:p>
        </w:tc>
        <w:tc>
          <w:tcPr>
            <w:tcW w:w="1165" w:type="dxa"/>
            <w:tcBorders>
              <w:top w:val="nil"/>
              <w:left w:val="nil"/>
              <w:bottom w:val="nil"/>
              <w:right w:val="nil"/>
            </w:tcBorders>
            <w:shd w:val="clear" w:color="auto" w:fill="auto"/>
            <w:noWrap/>
            <w:vAlign w:val="center"/>
            <w:hideMark/>
          </w:tcPr>
          <w:p w14:paraId="3362944B" w14:textId="77777777" w:rsidR="005339C7" w:rsidRPr="00092B22" w:rsidRDefault="005339C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8,491 </w:t>
            </w:r>
          </w:p>
        </w:tc>
      </w:tr>
      <w:tr w:rsidR="005339C7" w:rsidRPr="00092B22" w14:paraId="237FCDBB" w14:textId="77777777" w:rsidTr="00B07A53">
        <w:trPr>
          <w:trHeight w:val="240"/>
        </w:trPr>
        <w:tc>
          <w:tcPr>
            <w:tcW w:w="7090" w:type="dxa"/>
            <w:tcBorders>
              <w:top w:val="nil"/>
              <w:left w:val="nil"/>
              <w:bottom w:val="nil"/>
              <w:right w:val="nil"/>
            </w:tcBorders>
            <w:shd w:val="clear" w:color="auto" w:fill="auto"/>
            <w:noWrap/>
            <w:vAlign w:val="center"/>
            <w:hideMark/>
          </w:tcPr>
          <w:p w14:paraId="10C5399A" w14:textId="77777777" w:rsidR="005339C7" w:rsidRPr="00092B22" w:rsidRDefault="005339C7" w:rsidP="00E607DA">
            <w:pPr>
              <w:rPr>
                <w:rFonts w:ascii="Meta Pro" w:eastAsia="Times New Roman" w:hAnsi="Meta Pro"/>
                <w:szCs w:val="18"/>
                <w:lang w:eastAsia="en-AU"/>
              </w:rPr>
            </w:pPr>
            <w:r w:rsidRPr="00092B22">
              <w:rPr>
                <w:rFonts w:ascii="Meta Pro" w:eastAsia="Times New Roman" w:hAnsi="Meta Pro"/>
                <w:szCs w:val="18"/>
                <w:lang w:eastAsia="en-AU"/>
              </w:rPr>
              <w:t>Loss on disposal of property, plant and equipment ***</w:t>
            </w:r>
          </w:p>
        </w:tc>
        <w:tc>
          <w:tcPr>
            <w:tcW w:w="1165" w:type="dxa"/>
            <w:tcBorders>
              <w:top w:val="nil"/>
              <w:left w:val="nil"/>
              <w:bottom w:val="nil"/>
              <w:right w:val="nil"/>
            </w:tcBorders>
            <w:shd w:val="clear" w:color="000000" w:fill="C9E3B4"/>
            <w:noWrap/>
            <w:vAlign w:val="center"/>
            <w:hideMark/>
          </w:tcPr>
          <w:p w14:paraId="793F7214" w14:textId="77777777" w:rsidR="005339C7" w:rsidRPr="00092B22" w:rsidRDefault="005339C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3,941 </w:t>
            </w:r>
          </w:p>
        </w:tc>
        <w:tc>
          <w:tcPr>
            <w:tcW w:w="218" w:type="dxa"/>
            <w:tcBorders>
              <w:top w:val="nil"/>
              <w:left w:val="nil"/>
              <w:bottom w:val="nil"/>
              <w:right w:val="nil"/>
            </w:tcBorders>
            <w:shd w:val="clear" w:color="auto" w:fill="auto"/>
            <w:noWrap/>
            <w:vAlign w:val="center"/>
            <w:hideMark/>
          </w:tcPr>
          <w:p w14:paraId="12085EC2" w14:textId="77777777" w:rsidR="005339C7" w:rsidRPr="00092B22" w:rsidRDefault="005339C7" w:rsidP="00E607DA">
            <w:pPr>
              <w:jc w:val="right"/>
              <w:rPr>
                <w:rFonts w:ascii="Meta Pro" w:eastAsia="Times New Roman" w:hAnsi="Meta Pro"/>
                <w:szCs w:val="18"/>
                <w:lang w:eastAsia="en-AU"/>
              </w:rPr>
            </w:pPr>
          </w:p>
        </w:tc>
        <w:tc>
          <w:tcPr>
            <w:tcW w:w="1165" w:type="dxa"/>
            <w:tcBorders>
              <w:top w:val="nil"/>
              <w:left w:val="nil"/>
              <w:bottom w:val="nil"/>
              <w:right w:val="nil"/>
            </w:tcBorders>
            <w:shd w:val="clear" w:color="auto" w:fill="auto"/>
            <w:noWrap/>
            <w:vAlign w:val="center"/>
            <w:hideMark/>
          </w:tcPr>
          <w:p w14:paraId="6627E4C2" w14:textId="77777777" w:rsidR="005339C7" w:rsidRPr="00092B22" w:rsidRDefault="005339C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24,551 </w:t>
            </w:r>
          </w:p>
        </w:tc>
      </w:tr>
      <w:tr w:rsidR="005339C7" w:rsidRPr="00092B22" w14:paraId="736B4465" w14:textId="77777777" w:rsidTr="00B07A53">
        <w:trPr>
          <w:trHeight w:val="240"/>
        </w:trPr>
        <w:tc>
          <w:tcPr>
            <w:tcW w:w="7090" w:type="dxa"/>
            <w:tcBorders>
              <w:top w:val="nil"/>
              <w:left w:val="nil"/>
              <w:bottom w:val="nil"/>
              <w:right w:val="nil"/>
            </w:tcBorders>
            <w:shd w:val="clear" w:color="auto" w:fill="auto"/>
            <w:noWrap/>
            <w:vAlign w:val="center"/>
            <w:hideMark/>
          </w:tcPr>
          <w:p w14:paraId="79043DF2" w14:textId="77777777" w:rsidR="005339C7" w:rsidRPr="00092B22" w:rsidRDefault="005339C7" w:rsidP="00E607DA">
            <w:pPr>
              <w:rPr>
                <w:rFonts w:ascii="Meta Pro" w:eastAsia="Times New Roman" w:hAnsi="Meta Pro"/>
                <w:szCs w:val="18"/>
                <w:lang w:eastAsia="en-AU"/>
              </w:rPr>
            </w:pPr>
            <w:r w:rsidRPr="00092B22">
              <w:rPr>
                <w:rFonts w:ascii="Meta Pro" w:eastAsia="Times New Roman" w:hAnsi="Meta Pro"/>
                <w:szCs w:val="18"/>
                <w:lang w:eastAsia="en-AU"/>
              </w:rPr>
              <w:t xml:space="preserve">Losses: </w:t>
            </w:r>
          </w:p>
        </w:tc>
        <w:tc>
          <w:tcPr>
            <w:tcW w:w="1165" w:type="dxa"/>
            <w:tcBorders>
              <w:top w:val="nil"/>
              <w:left w:val="nil"/>
              <w:bottom w:val="nil"/>
              <w:right w:val="nil"/>
            </w:tcBorders>
            <w:shd w:val="clear" w:color="000000" w:fill="C9E3B4"/>
            <w:noWrap/>
            <w:vAlign w:val="center"/>
            <w:hideMark/>
          </w:tcPr>
          <w:p w14:paraId="32C963E7" w14:textId="77777777" w:rsidR="005339C7" w:rsidRPr="00092B22" w:rsidRDefault="005339C7" w:rsidP="00E607DA">
            <w:pPr>
              <w:rPr>
                <w:rFonts w:ascii="Meta Pro" w:eastAsia="Times New Roman" w:hAnsi="Meta Pro"/>
                <w:szCs w:val="18"/>
                <w:lang w:eastAsia="en-AU"/>
              </w:rPr>
            </w:pPr>
            <w:r w:rsidRPr="00092B22">
              <w:rPr>
                <w:rFonts w:ascii="Meta Pro" w:eastAsia="Times New Roman" w:hAnsi="Meta Pro"/>
                <w:szCs w:val="18"/>
                <w:lang w:eastAsia="en-AU"/>
              </w:rPr>
              <w:t> </w:t>
            </w:r>
          </w:p>
        </w:tc>
        <w:tc>
          <w:tcPr>
            <w:tcW w:w="218" w:type="dxa"/>
            <w:tcBorders>
              <w:top w:val="nil"/>
              <w:left w:val="nil"/>
              <w:bottom w:val="nil"/>
              <w:right w:val="nil"/>
            </w:tcBorders>
            <w:shd w:val="clear" w:color="auto" w:fill="auto"/>
            <w:noWrap/>
            <w:vAlign w:val="center"/>
            <w:hideMark/>
          </w:tcPr>
          <w:p w14:paraId="730A5979" w14:textId="77777777" w:rsidR="005339C7" w:rsidRPr="00092B22" w:rsidRDefault="005339C7" w:rsidP="00E607DA">
            <w:pPr>
              <w:rPr>
                <w:rFonts w:ascii="Meta Pro" w:eastAsia="Times New Roman" w:hAnsi="Meta Pro"/>
                <w:szCs w:val="18"/>
                <w:lang w:eastAsia="en-AU"/>
              </w:rPr>
            </w:pPr>
          </w:p>
        </w:tc>
        <w:tc>
          <w:tcPr>
            <w:tcW w:w="1165" w:type="dxa"/>
            <w:tcBorders>
              <w:top w:val="nil"/>
              <w:left w:val="nil"/>
              <w:bottom w:val="nil"/>
              <w:right w:val="nil"/>
            </w:tcBorders>
            <w:shd w:val="clear" w:color="auto" w:fill="auto"/>
            <w:noWrap/>
            <w:vAlign w:val="center"/>
            <w:hideMark/>
          </w:tcPr>
          <w:p w14:paraId="6F177EE0" w14:textId="77777777" w:rsidR="005339C7" w:rsidRPr="00092B22" w:rsidRDefault="005339C7" w:rsidP="00E607DA">
            <w:pPr>
              <w:jc w:val="right"/>
              <w:rPr>
                <w:rFonts w:ascii="Meta Pro" w:eastAsia="Times New Roman" w:hAnsi="Meta Pro" w:cs="Times New Roman"/>
                <w:sz w:val="20"/>
                <w:szCs w:val="20"/>
                <w:lang w:eastAsia="en-AU"/>
              </w:rPr>
            </w:pPr>
          </w:p>
        </w:tc>
      </w:tr>
      <w:tr w:rsidR="005339C7" w:rsidRPr="00092B22" w14:paraId="3895626F" w14:textId="77777777" w:rsidTr="00B07A53">
        <w:trPr>
          <w:trHeight w:val="240"/>
        </w:trPr>
        <w:tc>
          <w:tcPr>
            <w:tcW w:w="7090" w:type="dxa"/>
            <w:tcBorders>
              <w:top w:val="nil"/>
              <w:left w:val="nil"/>
              <w:bottom w:val="nil"/>
              <w:right w:val="nil"/>
            </w:tcBorders>
            <w:shd w:val="clear" w:color="auto" w:fill="auto"/>
            <w:noWrap/>
            <w:vAlign w:val="center"/>
            <w:hideMark/>
          </w:tcPr>
          <w:p w14:paraId="752BBB9E" w14:textId="77777777" w:rsidR="005339C7" w:rsidRPr="00092B22" w:rsidRDefault="005339C7" w:rsidP="00E607DA">
            <w:pPr>
              <w:rPr>
                <w:rFonts w:ascii="Meta Pro" w:eastAsia="Times New Roman" w:hAnsi="Meta Pro"/>
                <w:szCs w:val="18"/>
                <w:lang w:eastAsia="en-AU"/>
              </w:rPr>
            </w:pPr>
            <w:r w:rsidRPr="00092B22">
              <w:rPr>
                <w:rFonts w:ascii="Meta Pro" w:eastAsia="Times New Roman" w:hAnsi="Meta Pro"/>
                <w:szCs w:val="18"/>
                <w:lang w:eastAsia="en-AU"/>
              </w:rPr>
              <w:t xml:space="preserve">     Public monies </w:t>
            </w:r>
          </w:p>
        </w:tc>
        <w:tc>
          <w:tcPr>
            <w:tcW w:w="1165" w:type="dxa"/>
            <w:tcBorders>
              <w:top w:val="nil"/>
              <w:left w:val="nil"/>
              <w:bottom w:val="nil"/>
              <w:right w:val="nil"/>
            </w:tcBorders>
            <w:shd w:val="clear" w:color="000000" w:fill="C9E3B4"/>
            <w:noWrap/>
            <w:vAlign w:val="center"/>
            <w:hideMark/>
          </w:tcPr>
          <w:p w14:paraId="29C99004" w14:textId="77777777" w:rsidR="005339C7" w:rsidRPr="00092B22" w:rsidRDefault="005339C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356 </w:t>
            </w:r>
          </w:p>
        </w:tc>
        <w:tc>
          <w:tcPr>
            <w:tcW w:w="218" w:type="dxa"/>
            <w:tcBorders>
              <w:top w:val="nil"/>
              <w:left w:val="nil"/>
              <w:bottom w:val="nil"/>
              <w:right w:val="nil"/>
            </w:tcBorders>
            <w:shd w:val="clear" w:color="auto" w:fill="auto"/>
            <w:noWrap/>
            <w:vAlign w:val="center"/>
            <w:hideMark/>
          </w:tcPr>
          <w:p w14:paraId="34A6A76B" w14:textId="77777777" w:rsidR="005339C7" w:rsidRPr="00092B22" w:rsidRDefault="005339C7" w:rsidP="00E607DA">
            <w:pPr>
              <w:jc w:val="right"/>
              <w:rPr>
                <w:rFonts w:ascii="Meta Pro" w:eastAsia="Times New Roman" w:hAnsi="Meta Pro"/>
                <w:szCs w:val="18"/>
                <w:lang w:eastAsia="en-AU"/>
              </w:rPr>
            </w:pPr>
          </w:p>
        </w:tc>
        <w:tc>
          <w:tcPr>
            <w:tcW w:w="1165" w:type="dxa"/>
            <w:tcBorders>
              <w:top w:val="nil"/>
              <w:left w:val="nil"/>
              <w:bottom w:val="nil"/>
              <w:right w:val="nil"/>
            </w:tcBorders>
            <w:shd w:val="clear" w:color="auto" w:fill="auto"/>
            <w:noWrap/>
            <w:vAlign w:val="center"/>
            <w:hideMark/>
          </w:tcPr>
          <w:p w14:paraId="78719606" w14:textId="77777777" w:rsidR="005339C7" w:rsidRPr="00092B22" w:rsidRDefault="005339C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222 </w:t>
            </w:r>
          </w:p>
        </w:tc>
      </w:tr>
      <w:tr w:rsidR="005339C7" w:rsidRPr="00092B22" w14:paraId="3E3BE788" w14:textId="77777777" w:rsidTr="00B07A53">
        <w:trPr>
          <w:trHeight w:val="240"/>
        </w:trPr>
        <w:tc>
          <w:tcPr>
            <w:tcW w:w="7090" w:type="dxa"/>
            <w:tcBorders>
              <w:top w:val="nil"/>
              <w:left w:val="nil"/>
              <w:bottom w:val="nil"/>
              <w:right w:val="nil"/>
            </w:tcBorders>
            <w:shd w:val="clear" w:color="auto" w:fill="auto"/>
            <w:noWrap/>
            <w:vAlign w:val="center"/>
            <w:hideMark/>
          </w:tcPr>
          <w:p w14:paraId="55EE18B6" w14:textId="77777777" w:rsidR="005339C7" w:rsidRPr="00092B22" w:rsidRDefault="005339C7" w:rsidP="00E607DA">
            <w:pPr>
              <w:rPr>
                <w:rFonts w:ascii="Meta Pro" w:eastAsia="Times New Roman" w:hAnsi="Meta Pro"/>
                <w:szCs w:val="18"/>
                <w:lang w:eastAsia="en-AU"/>
              </w:rPr>
            </w:pPr>
            <w:r w:rsidRPr="00092B22">
              <w:rPr>
                <w:rFonts w:ascii="Meta Pro" w:eastAsia="Times New Roman" w:hAnsi="Meta Pro"/>
                <w:szCs w:val="18"/>
                <w:lang w:eastAsia="en-AU"/>
              </w:rPr>
              <w:t xml:space="preserve">     Public property</w:t>
            </w:r>
          </w:p>
        </w:tc>
        <w:tc>
          <w:tcPr>
            <w:tcW w:w="1165" w:type="dxa"/>
            <w:tcBorders>
              <w:top w:val="nil"/>
              <w:left w:val="nil"/>
              <w:bottom w:val="nil"/>
              <w:right w:val="nil"/>
            </w:tcBorders>
            <w:shd w:val="clear" w:color="000000" w:fill="C9E3B4"/>
            <w:noWrap/>
            <w:vAlign w:val="center"/>
            <w:hideMark/>
          </w:tcPr>
          <w:p w14:paraId="2A36D689" w14:textId="77777777" w:rsidR="005339C7" w:rsidRPr="00092B22" w:rsidRDefault="005339C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33 </w:t>
            </w:r>
          </w:p>
        </w:tc>
        <w:tc>
          <w:tcPr>
            <w:tcW w:w="218" w:type="dxa"/>
            <w:tcBorders>
              <w:top w:val="nil"/>
              <w:left w:val="nil"/>
              <w:bottom w:val="nil"/>
              <w:right w:val="nil"/>
            </w:tcBorders>
            <w:shd w:val="clear" w:color="auto" w:fill="auto"/>
            <w:noWrap/>
            <w:vAlign w:val="center"/>
            <w:hideMark/>
          </w:tcPr>
          <w:p w14:paraId="14D10623" w14:textId="77777777" w:rsidR="005339C7" w:rsidRPr="00092B22" w:rsidRDefault="005339C7" w:rsidP="00E607DA">
            <w:pPr>
              <w:jc w:val="right"/>
              <w:rPr>
                <w:rFonts w:ascii="Meta Pro" w:eastAsia="Times New Roman" w:hAnsi="Meta Pro"/>
                <w:szCs w:val="18"/>
                <w:lang w:eastAsia="en-AU"/>
              </w:rPr>
            </w:pPr>
          </w:p>
        </w:tc>
        <w:tc>
          <w:tcPr>
            <w:tcW w:w="1165" w:type="dxa"/>
            <w:tcBorders>
              <w:top w:val="nil"/>
              <w:left w:val="nil"/>
              <w:bottom w:val="nil"/>
              <w:right w:val="nil"/>
            </w:tcBorders>
            <w:shd w:val="clear" w:color="auto" w:fill="auto"/>
            <w:noWrap/>
            <w:vAlign w:val="center"/>
            <w:hideMark/>
          </w:tcPr>
          <w:p w14:paraId="31E52151" w14:textId="77777777" w:rsidR="005339C7" w:rsidRPr="00092B22" w:rsidRDefault="005339C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34 </w:t>
            </w:r>
          </w:p>
        </w:tc>
      </w:tr>
      <w:tr w:rsidR="005339C7" w:rsidRPr="00092B22" w14:paraId="31073F59" w14:textId="77777777" w:rsidTr="00B07A53">
        <w:trPr>
          <w:trHeight w:val="240"/>
        </w:trPr>
        <w:tc>
          <w:tcPr>
            <w:tcW w:w="7090" w:type="dxa"/>
            <w:tcBorders>
              <w:top w:val="nil"/>
              <w:left w:val="nil"/>
              <w:bottom w:val="nil"/>
              <w:right w:val="nil"/>
            </w:tcBorders>
            <w:shd w:val="clear" w:color="auto" w:fill="auto"/>
            <w:noWrap/>
            <w:vAlign w:val="center"/>
            <w:hideMark/>
          </w:tcPr>
          <w:p w14:paraId="1B2E34B6" w14:textId="77777777" w:rsidR="005339C7" w:rsidRPr="00092B22" w:rsidRDefault="005339C7" w:rsidP="00E607DA">
            <w:pPr>
              <w:rPr>
                <w:rFonts w:ascii="Meta Pro" w:eastAsia="Times New Roman" w:hAnsi="Meta Pro"/>
                <w:szCs w:val="18"/>
                <w:lang w:eastAsia="en-AU"/>
              </w:rPr>
            </w:pPr>
            <w:r w:rsidRPr="00092B22">
              <w:rPr>
                <w:rFonts w:ascii="Meta Pro" w:eastAsia="Times New Roman" w:hAnsi="Meta Pro"/>
                <w:szCs w:val="18"/>
                <w:lang w:eastAsia="en-AU"/>
              </w:rPr>
              <w:t>Special payments:</w:t>
            </w:r>
          </w:p>
        </w:tc>
        <w:tc>
          <w:tcPr>
            <w:tcW w:w="1165" w:type="dxa"/>
            <w:tcBorders>
              <w:top w:val="nil"/>
              <w:left w:val="nil"/>
              <w:bottom w:val="nil"/>
              <w:right w:val="nil"/>
            </w:tcBorders>
            <w:shd w:val="clear" w:color="000000" w:fill="C9E3B4"/>
            <w:noWrap/>
            <w:vAlign w:val="center"/>
            <w:hideMark/>
          </w:tcPr>
          <w:p w14:paraId="56A8D799" w14:textId="77777777" w:rsidR="005339C7" w:rsidRPr="00092B22" w:rsidRDefault="005339C7" w:rsidP="00E607DA">
            <w:pPr>
              <w:rPr>
                <w:rFonts w:ascii="Meta Pro" w:eastAsia="Times New Roman" w:hAnsi="Meta Pro"/>
                <w:szCs w:val="18"/>
                <w:lang w:eastAsia="en-AU"/>
              </w:rPr>
            </w:pPr>
            <w:r w:rsidRPr="00092B22">
              <w:rPr>
                <w:rFonts w:ascii="Meta Pro" w:eastAsia="Times New Roman" w:hAnsi="Meta Pro"/>
                <w:szCs w:val="18"/>
                <w:lang w:eastAsia="en-AU"/>
              </w:rPr>
              <w:t> </w:t>
            </w:r>
          </w:p>
        </w:tc>
        <w:tc>
          <w:tcPr>
            <w:tcW w:w="218" w:type="dxa"/>
            <w:tcBorders>
              <w:top w:val="nil"/>
              <w:left w:val="nil"/>
              <w:bottom w:val="nil"/>
              <w:right w:val="nil"/>
            </w:tcBorders>
            <w:shd w:val="clear" w:color="auto" w:fill="auto"/>
            <w:noWrap/>
            <w:vAlign w:val="center"/>
            <w:hideMark/>
          </w:tcPr>
          <w:p w14:paraId="2663EC3D" w14:textId="77777777" w:rsidR="005339C7" w:rsidRPr="00092B22" w:rsidRDefault="005339C7" w:rsidP="00E607DA">
            <w:pPr>
              <w:rPr>
                <w:rFonts w:ascii="Meta Pro" w:eastAsia="Times New Roman" w:hAnsi="Meta Pro"/>
                <w:szCs w:val="18"/>
                <w:lang w:eastAsia="en-AU"/>
              </w:rPr>
            </w:pPr>
          </w:p>
        </w:tc>
        <w:tc>
          <w:tcPr>
            <w:tcW w:w="1165" w:type="dxa"/>
            <w:tcBorders>
              <w:top w:val="nil"/>
              <w:left w:val="nil"/>
              <w:bottom w:val="nil"/>
              <w:right w:val="nil"/>
            </w:tcBorders>
            <w:shd w:val="clear" w:color="auto" w:fill="auto"/>
            <w:noWrap/>
            <w:vAlign w:val="center"/>
            <w:hideMark/>
          </w:tcPr>
          <w:p w14:paraId="626AA9F6" w14:textId="77777777" w:rsidR="005339C7" w:rsidRPr="00092B22" w:rsidRDefault="005339C7" w:rsidP="00E607DA">
            <w:pPr>
              <w:jc w:val="right"/>
              <w:rPr>
                <w:rFonts w:ascii="Meta Pro" w:eastAsia="Times New Roman" w:hAnsi="Meta Pro" w:cs="Times New Roman"/>
                <w:sz w:val="20"/>
                <w:szCs w:val="20"/>
                <w:lang w:eastAsia="en-AU"/>
              </w:rPr>
            </w:pPr>
          </w:p>
        </w:tc>
      </w:tr>
      <w:tr w:rsidR="005339C7" w:rsidRPr="00092B22" w14:paraId="1A9364FA" w14:textId="77777777" w:rsidTr="00B07A53">
        <w:trPr>
          <w:trHeight w:val="240"/>
        </w:trPr>
        <w:tc>
          <w:tcPr>
            <w:tcW w:w="7090" w:type="dxa"/>
            <w:tcBorders>
              <w:top w:val="nil"/>
              <w:left w:val="nil"/>
              <w:bottom w:val="nil"/>
              <w:right w:val="nil"/>
            </w:tcBorders>
            <w:shd w:val="clear" w:color="auto" w:fill="auto"/>
            <w:noWrap/>
            <w:vAlign w:val="center"/>
            <w:hideMark/>
          </w:tcPr>
          <w:p w14:paraId="7E161245" w14:textId="77777777" w:rsidR="005339C7" w:rsidRPr="00092B22" w:rsidRDefault="005339C7" w:rsidP="00E607DA">
            <w:pPr>
              <w:rPr>
                <w:rFonts w:ascii="Meta Pro" w:eastAsia="Times New Roman" w:hAnsi="Meta Pro"/>
                <w:szCs w:val="18"/>
                <w:lang w:eastAsia="en-AU"/>
              </w:rPr>
            </w:pPr>
            <w:r w:rsidRPr="00092B22">
              <w:rPr>
                <w:rFonts w:ascii="Meta Pro" w:eastAsia="Times New Roman" w:hAnsi="Meta Pro"/>
                <w:szCs w:val="18"/>
                <w:lang w:eastAsia="en-AU"/>
              </w:rPr>
              <w:t xml:space="preserve">     Ex gratia payments</w:t>
            </w:r>
          </w:p>
        </w:tc>
        <w:tc>
          <w:tcPr>
            <w:tcW w:w="1165" w:type="dxa"/>
            <w:tcBorders>
              <w:top w:val="nil"/>
              <w:left w:val="nil"/>
              <w:bottom w:val="nil"/>
              <w:right w:val="nil"/>
            </w:tcBorders>
            <w:shd w:val="clear" w:color="000000" w:fill="C9E3B4"/>
            <w:noWrap/>
            <w:vAlign w:val="center"/>
            <w:hideMark/>
          </w:tcPr>
          <w:p w14:paraId="2FC7D236" w14:textId="77777777" w:rsidR="005339C7" w:rsidRPr="00092B22" w:rsidRDefault="005339C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784 </w:t>
            </w:r>
          </w:p>
        </w:tc>
        <w:tc>
          <w:tcPr>
            <w:tcW w:w="218" w:type="dxa"/>
            <w:tcBorders>
              <w:top w:val="nil"/>
              <w:left w:val="nil"/>
              <w:bottom w:val="nil"/>
              <w:right w:val="nil"/>
            </w:tcBorders>
            <w:shd w:val="clear" w:color="auto" w:fill="auto"/>
            <w:noWrap/>
            <w:vAlign w:val="center"/>
            <w:hideMark/>
          </w:tcPr>
          <w:p w14:paraId="1FD81FE3" w14:textId="77777777" w:rsidR="005339C7" w:rsidRPr="00092B22" w:rsidRDefault="005339C7" w:rsidP="00E607DA">
            <w:pPr>
              <w:jc w:val="right"/>
              <w:rPr>
                <w:rFonts w:ascii="Meta Pro" w:eastAsia="Times New Roman" w:hAnsi="Meta Pro"/>
                <w:szCs w:val="18"/>
                <w:lang w:eastAsia="en-AU"/>
              </w:rPr>
            </w:pPr>
          </w:p>
        </w:tc>
        <w:tc>
          <w:tcPr>
            <w:tcW w:w="1165" w:type="dxa"/>
            <w:tcBorders>
              <w:top w:val="nil"/>
              <w:left w:val="nil"/>
              <w:bottom w:val="nil"/>
              <w:right w:val="nil"/>
            </w:tcBorders>
            <w:shd w:val="clear" w:color="auto" w:fill="auto"/>
            <w:noWrap/>
            <w:vAlign w:val="center"/>
            <w:hideMark/>
          </w:tcPr>
          <w:p w14:paraId="414BF8C5" w14:textId="77777777" w:rsidR="005339C7" w:rsidRPr="00092B22" w:rsidRDefault="005339C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131 </w:t>
            </w:r>
          </w:p>
        </w:tc>
      </w:tr>
      <w:tr w:rsidR="005339C7" w:rsidRPr="00092B22" w14:paraId="41FD954D" w14:textId="77777777" w:rsidTr="00B07A53">
        <w:trPr>
          <w:trHeight w:val="240"/>
        </w:trPr>
        <w:tc>
          <w:tcPr>
            <w:tcW w:w="7090" w:type="dxa"/>
            <w:tcBorders>
              <w:top w:val="nil"/>
              <w:left w:val="nil"/>
              <w:bottom w:val="nil"/>
              <w:right w:val="nil"/>
            </w:tcBorders>
            <w:shd w:val="clear" w:color="auto" w:fill="auto"/>
            <w:noWrap/>
            <w:vAlign w:val="center"/>
            <w:hideMark/>
          </w:tcPr>
          <w:p w14:paraId="23958245" w14:textId="77777777" w:rsidR="005339C7" w:rsidRPr="00092B22" w:rsidRDefault="005339C7" w:rsidP="00E607DA">
            <w:pPr>
              <w:rPr>
                <w:rFonts w:ascii="Meta Pro" w:eastAsia="Times New Roman" w:hAnsi="Meta Pro"/>
                <w:szCs w:val="18"/>
                <w:lang w:eastAsia="en-AU"/>
              </w:rPr>
            </w:pPr>
            <w:r w:rsidRPr="00092B22">
              <w:rPr>
                <w:rFonts w:ascii="Meta Pro" w:eastAsia="Times New Roman" w:hAnsi="Meta Pro"/>
                <w:szCs w:val="18"/>
                <w:lang w:eastAsia="en-AU"/>
              </w:rPr>
              <w:t xml:space="preserve">     Court awarded damages</w:t>
            </w:r>
          </w:p>
        </w:tc>
        <w:tc>
          <w:tcPr>
            <w:tcW w:w="1165" w:type="dxa"/>
            <w:tcBorders>
              <w:top w:val="nil"/>
              <w:left w:val="nil"/>
              <w:bottom w:val="nil"/>
              <w:right w:val="nil"/>
            </w:tcBorders>
            <w:shd w:val="clear" w:color="000000" w:fill="C9E3B4"/>
            <w:noWrap/>
            <w:vAlign w:val="center"/>
            <w:hideMark/>
          </w:tcPr>
          <w:p w14:paraId="39B3546D" w14:textId="77777777" w:rsidR="005339C7" w:rsidRPr="00092B22" w:rsidRDefault="005339C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c>
          <w:tcPr>
            <w:tcW w:w="218" w:type="dxa"/>
            <w:tcBorders>
              <w:top w:val="nil"/>
              <w:left w:val="nil"/>
              <w:bottom w:val="nil"/>
              <w:right w:val="nil"/>
            </w:tcBorders>
            <w:shd w:val="clear" w:color="auto" w:fill="auto"/>
            <w:noWrap/>
            <w:vAlign w:val="center"/>
            <w:hideMark/>
          </w:tcPr>
          <w:p w14:paraId="2FBABEC1" w14:textId="77777777" w:rsidR="005339C7" w:rsidRPr="00092B22" w:rsidRDefault="005339C7" w:rsidP="00E607DA">
            <w:pPr>
              <w:jc w:val="right"/>
              <w:rPr>
                <w:rFonts w:ascii="Meta Pro" w:eastAsia="Times New Roman" w:hAnsi="Meta Pro"/>
                <w:szCs w:val="18"/>
                <w:lang w:eastAsia="en-AU"/>
              </w:rPr>
            </w:pPr>
          </w:p>
        </w:tc>
        <w:tc>
          <w:tcPr>
            <w:tcW w:w="1165" w:type="dxa"/>
            <w:tcBorders>
              <w:top w:val="nil"/>
              <w:left w:val="nil"/>
              <w:bottom w:val="nil"/>
              <w:right w:val="nil"/>
            </w:tcBorders>
            <w:shd w:val="clear" w:color="auto" w:fill="auto"/>
            <w:noWrap/>
            <w:vAlign w:val="center"/>
            <w:hideMark/>
          </w:tcPr>
          <w:p w14:paraId="2A34ADD5" w14:textId="77777777" w:rsidR="005339C7" w:rsidRPr="00092B22" w:rsidRDefault="005339C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 </w:t>
            </w:r>
          </w:p>
        </w:tc>
      </w:tr>
      <w:tr w:rsidR="005339C7" w:rsidRPr="00092B22" w14:paraId="4FDF74FB" w14:textId="77777777" w:rsidTr="00B07A53">
        <w:trPr>
          <w:trHeight w:val="240"/>
        </w:trPr>
        <w:tc>
          <w:tcPr>
            <w:tcW w:w="7090" w:type="dxa"/>
            <w:tcBorders>
              <w:top w:val="nil"/>
              <w:left w:val="nil"/>
              <w:bottom w:val="nil"/>
              <w:right w:val="nil"/>
            </w:tcBorders>
            <w:shd w:val="clear" w:color="auto" w:fill="auto"/>
            <w:noWrap/>
            <w:vAlign w:val="center"/>
            <w:hideMark/>
          </w:tcPr>
          <w:p w14:paraId="38558B68" w14:textId="77777777" w:rsidR="005339C7" w:rsidRPr="00092B22" w:rsidRDefault="005339C7" w:rsidP="00E607DA">
            <w:pPr>
              <w:rPr>
                <w:rFonts w:ascii="Meta Pro" w:eastAsia="Times New Roman" w:hAnsi="Meta Pro"/>
                <w:szCs w:val="18"/>
                <w:lang w:eastAsia="en-AU"/>
              </w:rPr>
            </w:pPr>
            <w:r w:rsidRPr="00092B22">
              <w:rPr>
                <w:rFonts w:ascii="Meta Pro" w:eastAsia="Times New Roman" w:hAnsi="Meta Pro"/>
                <w:szCs w:val="18"/>
                <w:lang w:eastAsia="en-AU"/>
              </w:rPr>
              <w:t xml:space="preserve">     Compensation claims ****</w:t>
            </w:r>
          </w:p>
        </w:tc>
        <w:tc>
          <w:tcPr>
            <w:tcW w:w="1165" w:type="dxa"/>
            <w:tcBorders>
              <w:top w:val="nil"/>
              <w:left w:val="nil"/>
              <w:bottom w:val="nil"/>
              <w:right w:val="nil"/>
            </w:tcBorders>
            <w:shd w:val="clear" w:color="000000" w:fill="C9E3B4"/>
            <w:noWrap/>
            <w:vAlign w:val="center"/>
            <w:hideMark/>
          </w:tcPr>
          <w:p w14:paraId="44D1E5DB" w14:textId="77777777" w:rsidR="005339C7" w:rsidRPr="00092B22" w:rsidRDefault="005339C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8,233 </w:t>
            </w:r>
          </w:p>
        </w:tc>
        <w:tc>
          <w:tcPr>
            <w:tcW w:w="218" w:type="dxa"/>
            <w:tcBorders>
              <w:top w:val="nil"/>
              <w:left w:val="nil"/>
              <w:bottom w:val="nil"/>
              <w:right w:val="nil"/>
            </w:tcBorders>
            <w:shd w:val="clear" w:color="auto" w:fill="auto"/>
            <w:noWrap/>
            <w:vAlign w:val="center"/>
            <w:hideMark/>
          </w:tcPr>
          <w:p w14:paraId="436BCA91" w14:textId="77777777" w:rsidR="005339C7" w:rsidRPr="00092B22" w:rsidRDefault="005339C7" w:rsidP="00E607DA">
            <w:pPr>
              <w:jc w:val="right"/>
              <w:rPr>
                <w:rFonts w:ascii="Meta Pro" w:eastAsia="Times New Roman" w:hAnsi="Meta Pro"/>
                <w:szCs w:val="18"/>
                <w:lang w:eastAsia="en-AU"/>
              </w:rPr>
            </w:pPr>
          </w:p>
        </w:tc>
        <w:tc>
          <w:tcPr>
            <w:tcW w:w="1165" w:type="dxa"/>
            <w:tcBorders>
              <w:top w:val="nil"/>
              <w:left w:val="nil"/>
              <w:bottom w:val="nil"/>
              <w:right w:val="nil"/>
            </w:tcBorders>
            <w:shd w:val="clear" w:color="auto" w:fill="auto"/>
            <w:noWrap/>
            <w:vAlign w:val="center"/>
            <w:hideMark/>
          </w:tcPr>
          <w:p w14:paraId="1946E582" w14:textId="77777777" w:rsidR="005339C7" w:rsidRPr="00092B22" w:rsidRDefault="005339C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2,302 </w:t>
            </w:r>
          </w:p>
        </w:tc>
      </w:tr>
      <w:tr w:rsidR="005339C7" w:rsidRPr="00092B22" w14:paraId="6B39F812" w14:textId="77777777" w:rsidTr="00B07A53">
        <w:trPr>
          <w:trHeight w:val="240"/>
        </w:trPr>
        <w:tc>
          <w:tcPr>
            <w:tcW w:w="7090" w:type="dxa"/>
            <w:tcBorders>
              <w:top w:val="nil"/>
              <w:left w:val="nil"/>
              <w:bottom w:val="nil"/>
              <w:right w:val="nil"/>
            </w:tcBorders>
            <w:shd w:val="clear" w:color="auto" w:fill="auto"/>
            <w:noWrap/>
            <w:vAlign w:val="center"/>
            <w:hideMark/>
          </w:tcPr>
          <w:p w14:paraId="4A97A955" w14:textId="77777777" w:rsidR="005339C7" w:rsidRPr="00092B22" w:rsidRDefault="005339C7" w:rsidP="00E607DA">
            <w:pPr>
              <w:rPr>
                <w:rFonts w:ascii="Meta Pro" w:eastAsia="Times New Roman" w:hAnsi="Meta Pro"/>
                <w:szCs w:val="18"/>
                <w:lang w:eastAsia="en-AU"/>
              </w:rPr>
            </w:pPr>
            <w:r w:rsidRPr="00092B22">
              <w:rPr>
                <w:rFonts w:ascii="Meta Pro" w:eastAsia="Times New Roman" w:hAnsi="Meta Pro"/>
                <w:szCs w:val="18"/>
                <w:lang w:eastAsia="en-AU"/>
              </w:rPr>
              <w:t xml:space="preserve">Other </w:t>
            </w:r>
          </w:p>
        </w:tc>
        <w:tc>
          <w:tcPr>
            <w:tcW w:w="1165" w:type="dxa"/>
            <w:tcBorders>
              <w:top w:val="nil"/>
              <w:left w:val="nil"/>
              <w:bottom w:val="nil"/>
              <w:right w:val="nil"/>
            </w:tcBorders>
            <w:shd w:val="clear" w:color="000000" w:fill="C9E3B4"/>
            <w:noWrap/>
            <w:vAlign w:val="center"/>
            <w:hideMark/>
          </w:tcPr>
          <w:p w14:paraId="37480E27" w14:textId="77777777" w:rsidR="005339C7" w:rsidRPr="00092B22" w:rsidRDefault="005339C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1,865 </w:t>
            </w:r>
          </w:p>
        </w:tc>
        <w:tc>
          <w:tcPr>
            <w:tcW w:w="218" w:type="dxa"/>
            <w:tcBorders>
              <w:top w:val="nil"/>
              <w:left w:val="nil"/>
              <w:bottom w:val="nil"/>
              <w:right w:val="nil"/>
            </w:tcBorders>
            <w:shd w:val="clear" w:color="auto" w:fill="auto"/>
            <w:noWrap/>
            <w:vAlign w:val="center"/>
            <w:hideMark/>
          </w:tcPr>
          <w:p w14:paraId="6253B3B3" w14:textId="77777777" w:rsidR="005339C7" w:rsidRPr="00092B22" w:rsidRDefault="005339C7" w:rsidP="00E607DA">
            <w:pPr>
              <w:jc w:val="right"/>
              <w:rPr>
                <w:rFonts w:ascii="Meta Pro" w:eastAsia="Times New Roman" w:hAnsi="Meta Pro"/>
                <w:szCs w:val="18"/>
                <w:lang w:eastAsia="en-AU"/>
              </w:rPr>
            </w:pPr>
          </w:p>
        </w:tc>
        <w:tc>
          <w:tcPr>
            <w:tcW w:w="1165" w:type="dxa"/>
            <w:tcBorders>
              <w:top w:val="nil"/>
              <w:left w:val="nil"/>
              <w:bottom w:val="nil"/>
              <w:right w:val="nil"/>
            </w:tcBorders>
            <w:shd w:val="clear" w:color="auto" w:fill="auto"/>
            <w:noWrap/>
            <w:vAlign w:val="center"/>
            <w:hideMark/>
          </w:tcPr>
          <w:p w14:paraId="4021C972" w14:textId="77777777" w:rsidR="005339C7" w:rsidRPr="00092B22" w:rsidRDefault="005339C7"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1,472 </w:t>
            </w:r>
          </w:p>
        </w:tc>
      </w:tr>
      <w:tr w:rsidR="005339C7" w:rsidRPr="00092B22" w14:paraId="263C759D" w14:textId="77777777" w:rsidTr="00B07A53">
        <w:trPr>
          <w:trHeight w:val="240"/>
        </w:trPr>
        <w:tc>
          <w:tcPr>
            <w:tcW w:w="7090" w:type="dxa"/>
            <w:tcBorders>
              <w:top w:val="single" w:sz="4" w:space="0" w:color="auto"/>
              <w:left w:val="nil"/>
              <w:bottom w:val="double" w:sz="6" w:space="0" w:color="auto"/>
              <w:right w:val="nil"/>
            </w:tcBorders>
            <w:shd w:val="clear" w:color="auto" w:fill="auto"/>
            <w:noWrap/>
            <w:vAlign w:val="center"/>
            <w:hideMark/>
          </w:tcPr>
          <w:p w14:paraId="29EECCB1" w14:textId="77777777" w:rsidR="005339C7" w:rsidRPr="00092B22" w:rsidRDefault="005339C7" w:rsidP="00E607DA">
            <w:pPr>
              <w:rPr>
                <w:rFonts w:ascii="Meta Pro" w:eastAsia="Times New Roman" w:hAnsi="Meta Pro"/>
                <w:b/>
                <w:bCs/>
                <w:szCs w:val="18"/>
                <w:lang w:eastAsia="en-AU"/>
              </w:rPr>
            </w:pPr>
            <w:r w:rsidRPr="00092B22">
              <w:rPr>
                <w:rFonts w:ascii="Meta Pro" w:eastAsia="Times New Roman" w:hAnsi="Meta Pro"/>
                <w:b/>
                <w:bCs/>
                <w:szCs w:val="18"/>
                <w:lang w:eastAsia="en-AU"/>
              </w:rPr>
              <w:t>Total</w:t>
            </w:r>
          </w:p>
        </w:tc>
        <w:tc>
          <w:tcPr>
            <w:tcW w:w="1165" w:type="dxa"/>
            <w:tcBorders>
              <w:top w:val="single" w:sz="4" w:space="0" w:color="auto"/>
              <w:left w:val="nil"/>
              <w:bottom w:val="double" w:sz="6" w:space="0" w:color="auto"/>
              <w:right w:val="nil"/>
            </w:tcBorders>
            <w:shd w:val="clear" w:color="000000" w:fill="C9E3B4"/>
            <w:noWrap/>
            <w:vAlign w:val="center"/>
            <w:hideMark/>
          </w:tcPr>
          <w:p w14:paraId="492F6968" w14:textId="77777777" w:rsidR="005339C7" w:rsidRPr="00092B22" w:rsidRDefault="005339C7"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28,131 </w:t>
            </w:r>
          </w:p>
        </w:tc>
        <w:tc>
          <w:tcPr>
            <w:tcW w:w="218" w:type="dxa"/>
            <w:tcBorders>
              <w:top w:val="single" w:sz="4" w:space="0" w:color="auto"/>
              <w:left w:val="nil"/>
              <w:bottom w:val="double" w:sz="6" w:space="0" w:color="auto"/>
              <w:right w:val="nil"/>
            </w:tcBorders>
            <w:shd w:val="clear" w:color="auto" w:fill="auto"/>
            <w:noWrap/>
            <w:vAlign w:val="center"/>
            <w:hideMark/>
          </w:tcPr>
          <w:p w14:paraId="3AEBA315" w14:textId="77777777" w:rsidR="005339C7" w:rsidRPr="00092B22" w:rsidRDefault="005339C7"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165" w:type="dxa"/>
            <w:tcBorders>
              <w:top w:val="single" w:sz="4" w:space="0" w:color="auto"/>
              <w:left w:val="nil"/>
              <w:bottom w:val="double" w:sz="6" w:space="0" w:color="auto"/>
              <w:right w:val="nil"/>
            </w:tcBorders>
            <w:shd w:val="clear" w:color="auto" w:fill="auto"/>
            <w:noWrap/>
            <w:vAlign w:val="center"/>
            <w:hideMark/>
          </w:tcPr>
          <w:p w14:paraId="7CDC3078" w14:textId="77777777" w:rsidR="005339C7" w:rsidRPr="00092B22" w:rsidRDefault="005339C7"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40,094 </w:t>
            </w:r>
          </w:p>
        </w:tc>
      </w:tr>
    </w:tbl>
    <w:p w14:paraId="7878D1FC" w14:textId="77777777" w:rsidR="005339C7" w:rsidRPr="00092B22" w:rsidRDefault="005339C7" w:rsidP="005339C7">
      <w:pPr>
        <w:spacing w:before="120"/>
        <w:rPr>
          <w:rFonts w:ascii="Meta Pro" w:eastAsia="Times New Roman" w:hAnsi="Meta Pro"/>
          <w:sz w:val="16"/>
          <w:szCs w:val="16"/>
          <w:lang w:eastAsia="en-AU"/>
        </w:rPr>
      </w:pPr>
      <w:r w:rsidRPr="00092B22">
        <w:rPr>
          <w:rFonts w:ascii="Meta Pro" w:eastAsia="Times New Roman" w:hAnsi="Meta Pro"/>
          <w:sz w:val="16"/>
          <w:szCs w:val="16"/>
          <w:lang w:eastAsia="en-AU"/>
        </w:rPr>
        <w:t>* Total audit fees quoted by the Queensland Audit Office relating to the 2022 financial statements are $0.740m. Actual fees paid relating to</w:t>
      </w:r>
    </w:p>
    <w:p w14:paraId="4E1CBB77" w14:textId="77777777" w:rsidR="005339C7" w:rsidRPr="00092B22" w:rsidRDefault="005339C7" w:rsidP="005339C7">
      <w:pPr>
        <w:spacing w:after="120"/>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the 2021 audit were $0.742m.</w:t>
      </w:r>
    </w:p>
    <w:p w14:paraId="3F509514" w14:textId="77777777" w:rsidR="005339C7" w:rsidRPr="00092B22" w:rsidRDefault="005339C7" w:rsidP="005339C7">
      <w:pPr>
        <w:spacing w:after="120"/>
        <w:rPr>
          <w:rFonts w:ascii="Meta Pro" w:eastAsia="Times New Roman" w:hAnsi="Meta Pro"/>
          <w:sz w:val="16"/>
          <w:szCs w:val="16"/>
          <w:lang w:eastAsia="en-AU"/>
        </w:rPr>
      </w:pPr>
      <w:r w:rsidRPr="00092B22">
        <w:rPr>
          <w:rFonts w:ascii="Meta Pro" w:eastAsia="Times New Roman" w:hAnsi="Meta Pro"/>
          <w:sz w:val="16"/>
          <w:szCs w:val="16"/>
          <w:lang w:eastAsia="en-AU"/>
        </w:rPr>
        <w:t>** Relates mainly to probity audits associated with road infrastructure projects.</w:t>
      </w:r>
    </w:p>
    <w:p w14:paraId="1173F9BC" w14:textId="77777777" w:rsidR="005339C7" w:rsidRPr="00092B22" w:rsidRDefault="005339C7" w:rsidP="005339C7">
      <w:pPr>
        <w:spacing w:after="120"/>
        <w:rPr>
          <w:rFonts w:ascii="Meta Pro" w:eastAsia="Times New Roman" w:hAnsi="Meta Pro"/>
          <w:sz w:val="16"/>
          <w:szCs w:val="16"/>
          <w:lang w:eastAsia="en-AU"/>
        </w:rPr>
      </w:pPr>
      <w:r w:rsidRPr="00092B22">
        <w:rPr>
          <w:rFonts w:ascii="Meta Pro" w:eastAsia="Times New Roman" w:hAnsi="Meta Pro"/>
          <w:sz w:val="16"/>
          <w:szCs w:val="16"/>
          <w:lang w:eastAsia="en-AU"/>
        </w:rPr>
        <w:lastRenderedPageBreak/>
        <w:t>*** Includes $13.580m in 2021 associated with Cross River Rail project</w:t>
      </w:r>
      <w:r>
        <w:rPr>
          <w:rFonts w:ascii="Meta Pro" w:eastAsia="Times New Roman" w:hAnsi="Meta Pro"/>
          <w:sz w:val="16"/>
          <w:szCs w:val="16"/>
          <w:lang w:eastAsia="en-AU"/>
        </w:rPr>
        <w:t xml:space="preserve"> related asset disposals</w:t>
      </w:r>
      <w:r w:rsidRPr="00092B22">
        <w:rPr>
          <w:rFonts w:ascii="Meta Pro" w:eastAsia="Times New Roman" w:hAnsi="Meta Pro"/>
          <w:sz w:val="16"/>
          <w:szCs w:val="16"/>
          <w:lang w:eastAsia="en-AU"/>
        </w:rPr>
        <w:t>.</w:t>
      </w:r>
    </w:p>
    <w:p w14:paraId="29405021" w14:textId="77777777" w:rsidR="005339C7" w:rsidRPr="00092B22" w:rsidRDefault="005339C7" w:rsidP="005339C7">
      <w:pPr>
        <w:spacing w:after="120"/>
        <w:rPr>
          <w:rFonts w:ascii="Meta Pro" w:eastAsia="Times New Roman" w:hAnsi="Meta Pro"/>
          <w:sz w:val="16"/>
          <w:szCs w:val="16"/>
          <w:lang w:eastAsia="en-AU"/>
        </w:rPr>
      </w:pPr>
      <w:r w:rsidRPr="00092B22">
        <w:rPr>
          <w:rFonts w:ascii="Meta Pro" w:eastAsia="Times New Roman" w:hAnsi="Meta Pro"/>
          <w:sz w:val="16"/>
          <w:szCs w:val="16"/>
          <w:lang w:eastAsia="en-AU"/>
        </w:rPr>
        <w:t>**** Includes $7.206m paid to toll road operators for suspension of tolling due to the South East Queensland flood event.</w:t>
      </w:r>
    </w:p>
    <w:p w14:paraId="234EC99F" w14:textId="77777777" w:rsidR="005339C7" w:rsidRPr="00092B22" w:rsidRDefault="005339C7" w:rsidP="005339C7">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The department's total other expenses was $48.405m in 2022 (2021: $72.570m). Of this $20.274m (2021: $32.476m) was capitalised to construction work in progress leaving $28.131m (2021: $40.094m) reported as other expenses.</w:t>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p>
    <w:p w14:paraId="2099A51E" w14:textId="77777777" w:rsidR="005339C7" w:rsidRPr="00092B22" w:rsidRDefault="005339C7" w:rsidP="005339C7">
      <w:pPr>
        <w:shd w:val="clear" w:color="auto" w:fill="EBEBEB"/>
        <w:spacing w:after="120"/>
        <w:ind w:left="113" w:hanging="113"/>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Insurance</w:t>
      </w:r>
    </w:p>
    <w:p w14:paraId="416026E5" w14:textId="77777777" w:rsidR="005339C7" w:rsidRPr="00092B22" w:rsidRDefault="005339C7" w:rsidP="005339C7">
      <w:pPr>
        <w:shd w:val="clear" w:color="auto" w:fill="EBEBEB"/>
        <w:spacing w:after="120"/>
        <w:rPr>
          <w:rFonts w:ascii="Meta Pro" w:eastAsia="Times New Roman" w:hAnsi="Meta Pro"/>
          <w:szCs w:val="18"/>
          <w:lang w:eastAsia="en-AU"/>
        </w:rPr>
      </w:pPr>
      <w:r w:rsidRPr="00092B22">
        <w:rPr>
          <w:rFonts w:ascii="Meta Pro" w:eastAsia="Times New Roman" w:hAnsi="Meta Pro"/>
          <w:szCs w:val="18"/>
          <w:lang w:eastAsia="en-AU"/>
        </w:rPr>
        <w:t xml:space="preserve">With the exception of bridge and tunnel assets, the department’s road assets are not insured. The risk associated with these assets is therefore borne by government. In certain circumstances, damage to the road network may be proportionally covered through the Australian Government’s </w:t>
      </w:r>
      <w:r w:rsidRPr="00092B22">
        <w:rPr>
          <w:rFonts w:ascii="Meta Pro" w:eastAsia="Times New Roman" w:hAnsi="Meta Pro"/>
          <w:i/>
          <w:iCs/>
          <w:szCs w:val="18"/>
          <w:lang w:eastAsia="en-AU"/>
        </w:rPr>
        <w:t>Disaster Recovery Funding Arrangements</w:t>
      </w:r>
      <w:r w:rsidRPr="00092B22">
        <w:rPr>
          <w:rFonts w:ascii="Meta Pro" w:eastAsia="Times New Roman" w:hAnsi="Meta Pro"/>
          <w:szCs w:val="18"/>
          <w:lang w:eastAsia="en-AU"/>
        </w:rPr>
        <w:t xml:space="preserve"> (previously </w:t>
      </w:r>
      <w:r w:rsidRPr="00092B22">
        <w:rPr>
          <w:rFonts w:ascii="Meta Pro" w:eastAsia="Times New Roman" w:hAnsi="Meta Pro"/>
          <w:i/>
          <w:iCs/>
          <w:szCs w:val="18"/>
          <w:lang w:eastAsia="en-AU"/>
        </w:rPr>
        <w:t>Natural Disaster Relief and Recovery Arrangements</w:t>
      </w:r>
      <w:r w:rsidRPr="00092B22">
        <w:rPr>
          <w:rFonts w:ascii="Meta Pro" w:eastAsia="Times New Roman" w:hAnsi="Meta Pro"/>
          <w:szCs w:val="18"/>
          <w:lang w:eastAsia="en-AU"/>
        </w:rPr>
        <w:t>).</w:t>
      </w:r>
    </w:p>
    <w:p w14:paraId="20C10579" w14:textId="77777777" w:rsidR="005339C7" w:rsidRPr="00092B22" w:rsidRDefault="005339C7" w:rsidP="005339C7">
      <w:pPr>
        <w:shd w:val="clear" w:color="auto" w:fill="EBEBEB"/>
        <w:spacing w:after="120"/>
        <w:rPr>
          <w:rFonts w:ascii="Meta Pro" w:eastAsia="Times New Roman" w:hAnsi="Meta Pro"/>
          <w:szCs w:val="18"/>
          <w:lang w:eastAsia="en-AU"/>
        </w:rPr>
      </w:pPr>
      <w:r w:rsidRPr="00092B22">
        <w:rPr>
          <w:rFonts w:ascii="Meta Pro" w:eastAsia="Times New Roman" w:hAnsi="Meta Pro"/>
          <w:szCs w:val="18"/>
          <w:lang w:eastAsia="en-AU"/>
        </w:rPr>
        <w:t>The department insures its open tender road construction contract activities for material damage, public and products liability, environmental impairment liability and professional indemnity under the Principal Arranged Insurance Program. As well as providing cover for the department and its employees, it also covers the other parties to open tender construction contracts such as contractors and sub-contractors.</w:t>
      </w:r>
    </w:p>
    <w:p w14:paraId="27FBA41D" w14:textId="77777777" w:rsidR="005339C7" w:rsidRPr="00092B22" w:rsidRDefault="005339C7" w:rsidP="005339C7">
      <w:pPr>
        <w:shd w:val="clear" w:color="auto" w:fill="EBEBEB"/>
        <w:spacing w:after="120"/>
        <w:rPr>
          <w:rFonts w:ascii="Meta Pro" w:eastAsia="Times New Roman" w:hAnsi="Meta Pro"/>
          <w:szCs w:val="18"/>
          <w:lang w:eastAsia="en-AU"/>
        </w:rPr>
      </w:pPr>
      <w:r w:rsidRPr="00092B22">
        <w:rPr>
          <w:rFonts w:ascii="Meta Pro" w:eastAsia="Times New Roman" w:hAnsi="Meta Pro"/>
          <w:szCs w:val="18"/>
          <w:lang w:eastAsia="en-AU"/>
        </w:rPr>
        <w:t>The department’s project risks and other non-current physical assets are insured through the Queensland Government Insurance Fund, with the exception of land, and New Generation Rollingstock and Gold Coast Light Rail assets which are insured by the service operator. Under this scheme the department’s liability is limited to $10,000 for each claim.</w:t>
      </w:r>
    </w:p>
    <w:p w14:paraId="51223B84" w14:textId="6516274B" w:rsidR="00CE1969" w:rsidRDefault="005339C7" w:rsidP="005339C7">
      <w:pPr>
        <w:shd w:val="clear" w:color="auto" w:fill="EBEBEB"/>
        <w:rPr>
          <w:rFonts w:ascii="Meta Pro" w:eastAsia="Times New Roman" w:hAnsi="Meta Pro"/>
          <w:szCs w:val="18"/>
          <w:lang w:eastAsia="en-AU"/>
        </w:rPr>
      </w:pPr>
      <w:r w:rsidRPr="00092B22">
        <w:rPr>
          <w:rFonts w:ascii="Meta Pro" w:eastAsia="Times New Roman" w:hAnsi="Meta Pro"/>
          <w:szCs w:val="18"/>
          <w:lang w:eastAsia="en-AU"/>
        </w:rPr>
        <w:t>In addition, the department pays premiums to WorkCover Queensland for its obligations for employee compensation and insures its fleet assets through the open insurance market.</w:t>
      </w:r>
    </w:p>
    <w:p w14:paraId="5807EF74" w14:textId="77777777" w:rsidR="00DC351D" w:rsidRPr="0050087B" w:rsidRDefault="00DC351D" w:rsidP="00DC351D">
      <w:pPr>
        <w:rPr>
          <w:rFonts w:ascii="Meta Pro" w:hAnsi="Meta Pro" w:cstheme="minorBidi"/>
        </w:rPr>
      </w:pPr>
    </w:p>
    <w:tbl>
      <w:tblPr>
        <w:tblW w:w="0" w:type="auto"/>
        <w:tblCellMar>
          <w:left w:w="0" w:type="dxa"/>
        </w:tblCellMar>
        <w:tblLook w:val="04A0" w:firstRow="1" w:lastRow="0" w:firstColumn="1" w:lastColumn="0" w:noHBand="0" w:noVBand="1"/>
      </w:tblPr>
      <w:tblGrid>
        <w:gridCol w:w="7090"/>
        <w:gridCol w:w="1165"/>
        <w:gridCol w:w="218"/>
        <w:gridCol w:w="1165"/>
      </w:tblGrid>
      <w:tr w:rsidR="00DC351D" w:rsidRPr="0050087B" w14:paraId="5894F00F" w14:textId="77777777" w:rsidTr="00E607DA">
        <w:trPr>
          <w:trHeight w:val="240"/>
        </w:trPr>
        <w:tc>
          <w:tcPr>
            <w:tcW w:w="7476" w:type="dxa"/>
            <w:tcBorders>
              <w:top w:val="nil"/>
              <w:left w:val="nil"/>
              <w:bottom w:val="nil"/>
              <w:right w:val="nil"/>
            </w:tcBorders>
            <w:shd w:val="clear" w:color="auto" w:fill="auto"/>
            <w:noWrap/>
            <w:vAlign w:val="center"/>
            <w:hideMark/>
          </w:tcPr>
          <w:p w14:paraId="437A0B02" w14:textId="77777777" w:rsidR="00DC351D" w:rsidRPr="0050087B" w:rsidRDefault="00DC351D" w:rsidP="00E607DA">
            <w:pPr>
              <w:spacing w:line="240" w:lineRule="exact"/>
              <w:rPr>
                <w:rFonts w:ascii="Meta Pro" w:eastAsia="Times New Roman" w:hAnsi="Meta Pro" w:cs="Times New Roman"/>
                <w:sz w:val="24"/>
                <w:szCs w:val="24"/>
                <w:lang w:eastAsia="en-AU"/>
              </w:rPr>
            </w:pPr>
          </w:p>
        </w:tc>
        <w:tc>
          <w:tcPr>
            <w:tcW w:w="1216" w:type="dxa"/>
            <w:tcBorders>
              <w:top w:val="nil"/>
              <w:left w:val="nil"/>
              <w:bottom w:val="nil"/>
              <w:right w:val="nil"/>
            </w:tcBorders>
            <w:shd w:val="clear" w:color="auto" w:fill="auto"/>
            <w:noWrap/>
            <w:vAlign w:val="center"/>
            <w:hideMark/>
          </w:tcPr>
          <w:p w14:paraId="3C052BB6" w14:textId="77777777" w:rsidR="00DC351D" w:rsidRPr="0050087B" w:rsidRDefault="00DC351D" w:rsidP="00E607DA">
            <w:pPr>
              <w:jc w:val="center"/>
              <w:rPr>
                <w:rFonts w:ascii="Meta Pro" w:eastAsia="Times New Roman" w:hAnsi="Meta Pro"/>
                <w:b/>
                <w:bCs/>
                <w:color w:val="000000"/>
                <w:lang w:eastAsia="en-AU"/>
              </w:rPr>
            </w:pPr>
            <w:r w:rsidRPr="0050087B">
              <w:rPr>
                <w:rFonts w:ascii="Meta Pro" w:eastAsia="Times New Roman" w:hAnsi="Meta Pro"/>
                <w:b/>
                <w:bCs/>
                <w:color w:val="000000"/>
                <w:lang w:eastAsia="en-AU"/>
              </w:rPr>
              <w:t>2022</w:t>
            </w:r>
          </w:p>
        </w:tc>
        <w:tc>
          <w:tcPr>
            <w:tcW w:w="216" w:type="dxa"/>
            <w:tcBorders>
              <w:top w:val="nil"/>
              <w:left w:val="nil"/>
              <w:bottom w:val="nil"/>
              <w:right w:val="nil"/>
            </w:tcBorders>
            <w:shd w:val="clear" w:color="auto" w:fill="auto"/>
            <w:noWrap/>
            <w:vAlign w:val="center"/>
            <w:hideMark/>
          </w:tcPr>
          <w:p w14:paraId="2D6AB2BF" w14:textId="77777777" w:rsidR="00DC351D" w:rsidRPr="0050087B" w:rsidRDefault="00DC351D" w:rsidP="00E607DA">
            <w:pPr>
              <w:jc w:val="center"/>
              <w:rPr>
                <w:rFonts w:ascii="Meta Pro" w:eastAsia="Times New Roman" w:hAnsi="Meta Pro"/>
                <w:b/>
                <w:bCs/>
                <w:color w:val="000000"/>
                <w:lang w:eastAsia="en-AU"/>
              </w:rPr>
            </w:pPr>
          </w:p>
        </w:tc>
        <w:tc>
          <w:tcPr>
            <w:tcW w:w="1216" w:type="dxa"/>
            <w:tcBorders>
              <w:top w:val="nil"/>
              <w:left w:val="nil"/>
              <w:bottom w:val="nil"/>
              <w:right w:val="nil"/>
            </w:tcBorders>
            <w:shd w:val="clear" w:color="auto" w:fill="auto"/>
            <w:noWrap/>
            <w:vAlign w:val="center"/>
            <w:hideMark/>
          </w:tcPr>
          <w:p w14:paraId="715803C1" w14:textId="77777777" w:rsidR="00DC351D" w:rsidRPr="0050087B" w:rsidRDefault="00DC351D" w:rsidP="00E607DA">
            <w:pPr>
              <w:jc w:val="center"/>
              <w:rPr>
                <w:rFonts w:ascii="Meta Pro" w:eastAsia="Times New Roman" w:hAnsi="Meta Pro"/>
                <w:b/>
                <w:bCs/>
                <w:lang w:eastAsia="en-AU"/>
              </w:rPr>
            </w:pPr>
            <w:r w:rsidRPr="0050087B">
              <w:rPr>
                <w:rFonts w:ascii="Meta Pro" w:eastAsia="Times New Roman" w:hAnsi="Meta Pro"/>
                <w:b/>
                <w:bCs/>
                <w:lang w:eastAsia="en-AU"/>
              </w:rPr>
              <w:t>2021</w:t>
            </w:r>
          </w:p>
        </w:tc>
      </w:tr>
      <w:tr w:rsidR="00DC351D" w:rsidRPr="0050087B" w14:paraId="7E6606C6" w14:textId="77777777" w:rsidTr="00E607DA">
        <w:trPr>
          <w:trHeight w:val="240"/>
        </w:trPr>
        <w:tc>
          <w:tcPr>
            <w:tcW w:w="7476" w:type="dxa"/>
            <w:tcBorders>
              <w:top w:val="nil"/>
              <w:left w:val="nil"/>
              <w:bottom w:val="nil"/>
              <w:right w:val="nil"/>
            </w:tcBorders>
            <w:shd w:val="clear" w:color="auto" w:fill="auto"/>
            <w:noWrap/>
            <w:vAlign w:val="center"/>
            <w:hideMark/>
          </w:tcPr>
          <w:p w14:paraId="64CA4D7B" w14:textId="77777777" w:rsidR="00DC351D" w:rsidRPr="0050087B" w:rsidRDefault="00DC351D" w:rsidP="00E607DA">
            <w:pPr>
              <w:jc w:val="center"/>
              <w:rPr>
                <w:rFonts w:ascii="Meta Pro" w:eastAsia="Times New Roman" w:hAnsi="Meta Pro"/>
                <w:b/>
                <w:bCs/>
                <w:lang w:eastAsia="en-AU"/>
              </w:rPr>
            </w:pPr>
          </w:p>
        </w:tc>
        <w:tc>
          <w:tcPr>
            <w:tcW w:w="1216" w:type="dxa"/>
            <w:tcBorders>
              <w:top w:val="nil"/>
              <w:left w:val="nil"/>
              <w:bottom w:val="nil"/>
              <w:right w:val="nil"/>
            </w:tcBorders>
            <w:shd w:val="clear" w:color="auto" w:fill="auto"/>
            <w:noWrap/>
            <w:vAlign w:val="center"/>
            <w:hideMark/>
          </w:tcPr>
          <w:p w14:paraId="400B6650" w14:textId="77777777" w:rsidR="00DC351D" w:rsidRPr="0050087B" w:rsidRDefault="00DC351D" w:rsidP="00E607DA">
            <w:pPr>
              <w:jc w:val="center"/>
              <w:rPr>
                <w:rFonts w:ascii="Meta Pro" w:eastAsia="Times New Roman" w:hAnsi="Meta Pro"/>
                <w:b/>
                <w:bCs/>
                <w:lang w:eastAsia="en-AU"/>
              </w:rPr>
            </w:pPr>
            <w:r w:rsidRPr="0050087B">
              <w:rPr>
                <w:rFonts w:ascii="Meta Pro" w:eastAsia="Times New Roman" w:hAnsi="Meta Pro"/>
                <w:b/>
                <w:bCs/>
                <w:lang w:eastAsia="en-AU"/>
              </w:rPr>
              <w:t>$'000</w:t>
            </w:r>
          </w:p>
        </w:tc>
        <w:tc>
          <w:tcPr>
            <w:tcW w:w="216" w:type="dxa"/>
            <w:tcBorders>
              <w:top w:val="nil"/>
              <w:left w:val="nil"/>
              <w:bottom w:val="nil"/>
              <w:right w:val="nil"/>
            </w:tcBorders>
            <w:shd w:val="clear" w:color="auto" w:fill="auto"/>
            <w:noWrap/>
            <w:vAlign w:val="center"/>
            <w:hideMark/>
          </w:tcPr>
          <w:p w14:paraId="1060E3DB" w14:textId="77777777" w:rsidR="00DC351D" w:rsidRPr="0050087B" w:rsidRDefault="00DC351D" w:rsidP="00E607DA">
            <w:pPr>
              <w:jc w:val="center"/>
              <w:rPr>
                <w:rFonts w:ascii="Meta Pro" w:eastAsia="Times New Roman" w:hAnsi="Meta Pro"/>
                <w:b/>
                <w:bCs/>
                <w:lang w:eastAsia="en-AU"/>
              </w:rPr>
            </w:pPr>
          </w:p>
        </w:tc>
        <w:tc>
          <w:tcPr>
            <w:tcW w:w="1216" w:type="dxa"/>
            <w:tcBorders>
              <w:top w:val="nil"/>
              <w:left w:val="nil"/>
              <w:bottom w:val="nil"/>
              <w:right w:val="nil"/>
            </w:tcBorders>
            <w:shd w:val="clear" w:color="auto" w:fill="auto"/>
            <w:noWrap/>
            <w:vAlign w:val="center"/>
            <w:hideMark/>
          </w:tcPr>
          <w:p w14:paraId="70120566" w14:textId="77777777" w:rsidR="00DC351D" w:rsidRPr="0050087B" w:rsidRDefault="00DC351D" w:rsidP="00E607DA">
            <w:pPr>
              <w:jc w:val="center"/>
              <w:rPr>
                <w:rFonts w:ascii="Meta Pro" w:eastAsia="Times New Roman" w:hAnsi="Meta Pro"/>
                <w:b/>
                <w:bCs/>
                <w:lang w:eastAsia="en-AU"/>
              </w:rPr>
            </w:pPr>
            <w:r w:rsidRPr="0050087B">
              <w:rPr>
                <w:rFonts w:ascii="Meta Pro" w:eastAsia="Times New Roman" w:hAnsi="Meta Pro"/>
                <w:b/>
                <w:bCs/>
                <w:lang w:eastAsia="en-AU"/>
              </w:rPr>
              <w:t>$'000</w:t>
            </w:r>
          </w:p>
        </w:tc>
      </w:tr>
      <w:tr w:rsidR="00DC351D" w:rsidRPr="0050087B" w14:paraId="7A17F000" w14:textId="77777777" w:rsidTr="00E607DA">
        <w:trPr>
          <w:trHeight w:val="240"/>
        </w:trPr>
        <w:tc>
          <w:tcPr>
            <w:tcW w:w="7476" w:type="dxa"/>
            <w:tcBorders>
              <w:top w:val="nil"/>
              <w:left w:val="nil"/>
              <w:bottom w:val="nil"/>
              <w:right w:val="nil"/>
            </w:tcBorders>
            <w:shd w:val="clear" w:color="auto" w:fill="auto"/>
            <w:noWrap/>
            <w:vAlign w:val="center"/>
            <w:hideMark/>
          </w:tcPr>
          <w:p w14:paraId="2B1EC95A" w14:textId="77777777" w:rsidR="00DC351D" w:rsidRPr="0050087B" w:rsidRDefault="00DC351D" w:rsidP="00E607DA">
            <w:pPr>
              <w:rPr>
                <w:rFonts w:ascii="Meta Pro" w:eastAsia="Times New Roman" w:hAnsi="Meta Pro"/>
                <w:b/>
                <w:bCs/>
                <w:lang w:eastAsia="en-AU"/>
              </w:rPr>
            </w:pPr>
            <w:r w:rsidRPr="0050087B">
              <w:rPr>
                <w:rFonts w:ascii="Meta Pro" w:eastAsia="Times New Roman" w:hAnsi="Meta Pro"/>
                <w:b/>
                <w:bCs/>
                <w:lang w:eastAsia="en-AU"/>
              </w:rPr>
              <w:t>12     RECEIVABLES</w:t>
            </w:r>
          </w:p>
        </w:tc>
        <w:tc>
          <w:tcPr>
            <w:tcW w:w="1216" w:type="dxa"/>
            <w:tcBorders>
              <w:top w:val="nil"/>
              <w:left w:val="nil"/>
              <w:bottom w:val="nil"/>
              <w:right w:val="nil"/>
            </w:tcBorders>
            <w:shd w:val="clear" w:color="auto" w:fill="auto"/>
            <w:noWrap/>
            <w:vAlign w:val="center"/>
            <w:hideMark/>
          </w:tcPr>
          <w:p w14:paraId="571F3911" w14:textId="77777777" w:rsidR="00DC351D" w:rsidRPr="0050087B" w:rsidRDefault="00DC351D" w:rsidP="00E607DA">
            <w:pPr>
              <w:rPr>
                <w:rFonts w:ascii="Meta Pro" w:eastAsia="Times New Roman" w:hAnsi="Meta Pro"/>
                <w:b/>
                <w:bCs/>
                <w:lang w:eastAsia="en-AU"/>
              </w:rPr>
            </w:pPr>
          </w:p>
        </w:tc>
        <w:tc>
          <w:tcPr>
            <w:tcW w:w="216" w:type="dxa"/>
            <w:tcBorders>
              <w:top w:val="nil"/>
              <w:left w:val="nil"/>
              <w:bottom w:val="nil"/>
              <w:right w:val="nil"/>
            </w:tcBorders>
            <w:shd w:val="clear" w:color="auto" w:fill="auto"/>
            <w:noWrap/>
            <w:vAlign w:val="center"/>
            <w:hideMark/>
          </w:tcPr>
          <w:p w14:paraId="63DD23EE" w14:textId="77777777" w:rsidR="00DC351D" w:rsidRPr="0050087B" w:rsidRDefault="00DC351D" w:rsidP="00E607DA">
            <w:pPr>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35B84ABC" w14:textId="77777777" w:rsidR="00DC351D" w:rsidRPr="0050087B" w:rsidRDefault="00DC351D" w:rsidP="00E607DA">
            <w:pPr>
              <w:rPr>
                <w:rFonts w:ascii="Meta Pro" w:eastAsia="Times New Roman" w:hAnsi="Meta Pro" w:cs="Times New Roman"/>
                <w:sz w:val="20"/>
                <w:szCs w:val="20"/>
                <w:lang w:eastAsia="en-AU"/>
              </w:rPr>
            </w:pPr>
          </w:p>
        </w:tc>
      </w:tr>
      <w:tr w:rsidR="00DC351D" w:rsidRPr="0050087B" w14:paraId="54051287" w14:textId="77777777" w:rsidTr="00E607DA">
        <w:trPr>
          <w:trHeight w:val="90"/>
        </w:trPr>
        <w:tc>
          <w:tcPr>
            <w:tcW w:w="7476" w:type="dxa"/>
            <w:tcBorders>
              <w:top w:val="nil"/>
              <w:left w:val="nil"/>
              <w:bottom w:val="nil"/>
              <w:right w:val="nil"/>
            </w:tcBorders>
            <w:shd w:val="clear" w:color="auto" w:fill="auto"/>
            <w:noWrap/>
            <w:vAlign w:val="center"/>
            <w:hideMark/>
          </w:tcPr>
          <w:p w14:paraId="035F2AD0" w14:textId="77777777" w:rsidR="00DC351D" w:rsidRPr="0050087B" w:rsidRDefault="00DC351D" w:rsidP="00E607DA">
            <w:pPr>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74FA15F2" w14:textId="77777777" w:rsidR="00DC351D" w:rsidRPr="0050087B" w:rsidRDefault="00DC351D" w:rsidP="00E607DA">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3928E172" w14:textId="77777777" w:rsidR="00DC351D" w:rsidRPr="0050087B" w:rsidRDefault="00DC351D" w:rsidP="00E607DA">
            <w:pPr>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705DA80E" w14:textId="77777777" w:rsidR="00DC351D" w:rsidRPr="0050087B" w:rsidRDefault="00DC351D" w:rsidP="00E607DA">
            <w:pPr>
              <w:rPr>
                <w:rFonts w:ascii="Meta Pro" w:eastAsia="Times New Roman" w:hAnsi="Meta Pro" w:cs="Times New Roman"/>
                <w:sz w:val="20"/>
                <w:szCs w:val="20"/>
                <w:lang w:eastAsia="en-AU"/>
              </w:rPr>
            </w:pPr>
          </w:p>
        </w:tc>
      </w:tr>
      <w:tr w:rsidR="00DC351D" w:rsidRPr="0050087B" w14:paraId="2B6A50AF" w14:textId="77777777" w:rsidTr="00E607DA">
        <w:trPr>
          <w:trHeight w:val="240"/>
        </w:trPr>
        <w:tc>
          <w:tcPr>
            <w:tcW w:w="7476" w:type="dxa"/>
            <w:tcBorders>
              <w:top w:val="nil"/>
              <w:left w:val="nil"/>
              <w:bottom w:val="nil"/>
              <w:right w:val="nil"/>
            </w:tcBorders>
            <w:shd w:val="clear" w:color="auto" w:fill="auto"/>
            <w:noWrap/>
            <w:vAlign w:val="center"/>
            <w:hideMark/>
          </w:tcPr>
          <w:p w14:paraId="61A49F2E" w14:textId="77777777" w:rsidR="00DC351D" w:rsidRPr="0050087B" w:rsidRDefault="00DC351D" w:rsidP="00E607DA">
            <w:pPr>
              <w:rPr>
                <w:rFonts w:ascii="Meta Pro" w:eastAsia="Times New Roman" w:hAnsi="Meta Pro"/>
                <w:b/>
                <w:bCs/>
                <w:szCs w:val="18"/>
                <w:lang w:eastAsia="en-AU"/>
              </w:rPr>
            </w:pPr>
            <w:r w:rsidRPr="0050087B">
              <w:rPr>
                <w:rFonts w:ascii="Meta Pro" w:eastAsia="Times New Roman" w:hAnsi="Meta Pro"/>
                <w:b/>
                <w:bCs/>
                <w:szCs w:val="18"/>
                <w:lang w:eastAsia="en-AU"/>
              </w:rPr>
              <w:t>Current</w:t>
            </w:r>
          </w:p>
        </w:tc>
        <w:tc>
          <w:tcPr>
            <w:tcW w:w="1216" w:type="dxa"/>
            <w:tcBorders>
              <w:top w:val="nil"/>
              <w:left w:val="nil"/>
              <w:bottom w:val="nil"/>
              <w:right w:val="nil"/>
            </w:tcBorders>
            <w:shd w:val="clear" w:color="auto" w:fill="auto"/>
            <w:noWrap/>
            <w:vAlign w:val="center"/>
            <w:hideMark/>
          </w:tcPr>
          <w:p w14:paraId="037B9543" w14:textId="77777777" w:rsidR="00DC351D" w:rsidRPr="0050087B" w:rsidRDefault="00DC351D" w:rsidP="00E607DA">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3719CDE2" w14:textId="77777777" w:rsidR="00DC351D" w:rsidRPr="0050087B" w:rsidRDefault="00DC351D" w:rsidP="00E607DA">
            <w:pPr>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73FC26D3" w14:textId="77777777" w:rsidR="00DC351D" w:rsidRPr="0050087B" w:rsidRDefault="00DC351D" w:rsidP="00E607DA">
            <w:pPr>
              <w:rPr>
                <w:rFonts w:ascii="Meta Pro" w:eastAsia="Times New Roman" w:hAnsi="Meta Pro" w:cs="Times New Roman"/>
                <w:sz w:val="20"/>
                <w:szCs w:val="20"/>
                <w:lang w:eastAsia="en-AU"/>
              </w:rPr>
            </w:pPr>
          </w:p>
        </w:tc>
      </w:tr>
      <w:tr w:rsidR="00DC351D" w:rsidRPr="0050087B" w14:paraId="7F1C224B" w14:textId="77777777" w:rsidTr="00E607DA">
        <w:trPr>
          <w:trHeight w:val="240"/>
        </w:trPr>
        <w:tc>
          <w:tcPr>
            <w:tcW w:w="7476" w:type="dxa"/>
            <w:tcBorders>
              <w:top w:val="nil"/>
              <w:left w:val="nil"/>
              <w:bottom w:val="nil"/>
              <w:right w:val="nil"/>
            </w:tcBorders>
            <w:shd w:val="clear" w:color="auto" w:fill="auto"/>
            <w:noWrap/>
            <w:vAlign w:val="center"/>
            <w:hideMark/>
          </w:tcPr>
          <w:p w14:paraId="28A60FEF" w14:textId="77777777" w:rsidR="00DC351D" w:rsidRPr="0050087B" w:rsidRDefault="00DC351D" w:rsidP="00E607DA">
            <w:pPr>
              <w:rPr>
                <w:rFonts w:ascii="Meta Pro" w:eastAsia="Times New Roman" w:hAnsi="Meta Pro"/>
                <w:szCs w:val="18"/>
                <w:lang w:eastAsia="en-AU"/>
              </w:rPr>
            </w:pPr>
            <w:r w:rsidRPr="0050087B">
              <w:rPr>
                <w:rFonts w:ascii="Meta Pro" w:eastAsia="Times New Roman" w:hAnsi="Meta Pro"/>
                <w:szCs w:val="18"/>
                <w:lang w:eastAsia="en-AU"/>
              </w:rPr>
              <w:t>Trade debtors</w:t>
            </w:r>
          </w:p>
        </w:tc>
        <w:tc>
          <w:tcPr>
            <w:tcW w:w="1216" w:type="dxa"/>
            <w:tcBorders>
              <w:top w:val="nil"/>
              <w:left w:val="nil"/>
              <w:bottom w:val="nil"/>
              <w:right w:val="nil"/>
            </w:tcBorders>
            <w:shd w:val="clear" w:color="000000" w:fill="C9E3B4"/>
            <w:noWrap/>
            <w:vAlign w:val="center"/>
            <w:hideMark/>
          </w:tcPr>
          <w:p w14:paraId="05BE0CCF" w14:textId="77777777" w:rsidR="00DC351D" w:rsidRPr="0050087B" w:rsidRDefault="00DC351D" w:rsidP="00E607DA">
            <w:pPr>
              <w:jc w:val="right"/>
              <w:rPr>
                <w:rFonts w:ascii="Meta Pro" w:eastAsia="Times New Roman" w:hAnsi="Meta Pro"/>
                <w:szCs w:val="18"/>
                <w:lang w:eastAsia="en-AU"/>
              </w:rPr>
            </w:pPr>
            <w:r w:rsidRPr="0050087B">
              <w:rPr>
                <w:rFonts w:ascii="Meta Pro" w:eastAsia="Times New Roman" w:hAnsi="Meta Pro"/>
                <w:szCs w:val="18"/>
                <w:lang w:eastAsia="en-AU"/>
              </w:rPr>
              <w:t xml:space="preserve">123,738 </w:t>
            </w:r>
          </w:p>
        </w:tc>
        <w:tc>
          <w:tcPr>
            <w:tcW w:w="216" w:type="dxa"/>
            <w:tcBorders>
              <w:top w:val="nil"/>
              <w:left w:val="nil"/>
              <w:bottom w:val="nil"/>
              <w:right w:val="nil"/>
            </w:tcBorders>
            <w:shd w:val="clear" w:color="auto" w:fill="auto"/>
            <w:noWrap/>
            <w:vAlign w:val="center"/>
            <w:hideMark/>
          </w:tcPr>
          <w:p w14:paraId="66FE1187" w14:textId="77777777" w:rsidR="00DC351D" w:rsidRPr="0050087B" w:rsidRDefault="00DC351D"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3BF347F4" w14:textId="77777777" w:rsidR="00DC351D" w:rsidRPr="0050087B" w:rsidRDefault="00DC351D" w:rsidP="00E607DA">
            <w:pPr>
              <w:jc w:val="right"/>
              <w:rPr>
                <w:rFonts w:ascii="Meta Pro" w:eastAsia="Times New Roman" w:hAnsi="Meta Pro"/>
                <w:szCs w:val="18"/>
                <w:lang w:eastAsia="en-AU"/>
              </w:rPr>
            </w:pPr>
            <w:r w:rsidRPr="0050087B">
              <w:rPr>
                <w:rFonts w:ascii="Meta Pro" w:eastAsia="Times New Roman" w:hAnsi="Meta Pro"/>
                <w:szCs w:val="18"/>
                <w:lang w:eastAsia="en-AU"/>
              </w:rPr>
              <w:t xml:space="preserve">99,549 </w:t>
            </w:r>
          </w:p>
        </w:tc>
      </w:tr>
      <w:tr w:rsidR="00DC351D" w:rsidRPr="0050087B" w14:paraId="64F8CDFE" w14:textId="77777777" w:rsidTr="00E607DA">
        <w:trPr>
          <w:trHeight w:val="240"/>
        </w:trPr>
        <w:tc>
          <w:tcPr>
            <w:tcW w:w="7476" w:type="dxa"/>
            <w:tcBorders>
              <w:top w:val="nil"/>
              <w:left w:val="nil"/>
              <w:bottom w:val="nil"/>
              <w:right w:val="nil"/>
            </w:tcBorders>
            <w:shd w:val="clear" w:color="auto" w:fill="auto"/>
            <w:noWrap/>
            <w:vAlign w:val="center"/>
            <w:hideMark/>
          </w:tcPr>
          <w:p w14:paraId="755CA276" w14:textId="77777777" w:rsidR="00DC351D" w:rsidRPr="0050087B" w:rsidRDefault="00DC351D" w:rsidP="00E607DA">
            <w:pPr>
              <w:rPr>
                <w:rFonts w:ascii="Meta Pro" w:eastAsia="Times New Roman" w:hAnsi="Meta Pro"/>
                <w:szCs w:val="18"/>
                <w:lang w:eastAsia="en-AU"/>
              </w:rPr>
            </w:pPr>
            <w:r w:rsidRPr="0050087B">
              <w:rPr>
                <w:rFonts w:ascii="Meta Pro" w:eastAsia="Times New Roman" w:hAnsi="Meta Pro"/>
                <w:szCs w:val="18"/>
                <w:lang w:eastAsia="en-AU"/>
              </w:rPr>
              <w:t>Other debtors</w:t>
            </w:r>
          </w:p>
        </w:tc>
        <w:tc>
          <w:tcPr>
            <w:tcW w:w="1216" w:type="dxa"/>
            <w:tcBorders>
              <w:top w:val="nil"/>
              <w:left w:val="nil"/>
              <w:bottom w:val="nil"/>
              <w:right w:val="nil"/>
            </w:tcBorders>
            <w:shd w:val="clear" w:color="000000" w:fill="C9E3B4"/>
            <w:noWrap/>
            <w:vAlign w:val="center"/>
            <w:hideMark/>
          </w:tcPr>
          <w:p w14:paraId="7DD17596" w14:textId="77777777" w:rsidR="00DC351D" w:rsidRPr="0050087B" w:rsidRDefault="00DC351D" w:rsidP="00E607DA">
            <w:pPr>
              <w:jc w:val="right"/>
              <w:rPr>
                <w:rFonts w:ascii="Meta Pro" w:eastAsia="Times New Roman" w:hAnsi="Meta Pro"/>
                <w:szCs w:val="18"/>
                <w:lang w:eastAsia="en-AU"/>
              </w:rPr>
            </w:pPr>
            <w:r w:rsidRPr="0050087B">
              <w:rPr>
                <w:rFonts w:ascii="Meta Pro" w:eastAsia="Times New Roman" w:hAnsi="Meta Pro"/>
                <w:szCs w:val="18"/>
                <w:lang w:eastAsia="en-AU"/>
              </w:rPr>
              <w:t xml:space="preserve">5,574 </w:t>
            </w:r>
          </w:p>
        </w:tc>
        <w:tc>
          <w:tcPr>
            <w:tcW w:w="216" w:type="dxa"/>
            <w:tcBorders>
              <w:top w:val="nil"/>
              <w:left w:val="nil"/>
              <w:bottom w:val="nil"/>
              <w:right w:val="nil"/>
            </w:tcBorders>
            <w:shd w:val="clear" w:color="auto" w:fill="auto"/>
            <w:noWrap/>
            <w:vAlign w:val="center"/>
            <w:hideMark/>
          </w:tcPr>
          <w:p w14:paraId="6798EAE9" w14:textId="77777777" w:rsidR="00DC351D" w:rsidRPr="0050087B" w:rsidRDefault="00DC351D"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7078CA61" w14:textId="77777777" w:rsidR="00DC351D" w:rsidRPr="0050087B" w:rsidRDefault="00DC351D" w:rsidP="00E607DA">
            <w:pPr>
              <w:jc w:val="right"/>
              <w:rPr>
                <w:rFonts w:ascii="Meta Pro" w:eastAsia="Times New Roman" w:hAnsi="Meta Pro"/>
                <w:szCs w:val="18"/>
                <w:lang w:eastAsia="en-AU"/>
              </w:rPr>
            </w:pPr>
            <w:r w:rsidRPr="0050087B">
              <w:rPr>
                <w:rFonts w:ascii="Meta Pro" w:eastAsia="Times New Roman" w:hAnsi="Meta Pro"/>
                <w:szCs w:val="18"/>
                <w:lang w:eastAsia="en-AU"/>
              </w:rPr>
              <w:t xml:space="preserve">4,707 </w:t>
            </w:r>
          </w:p>
        </w:tc>
      </w:tr>
      <w:tr w:rsidR="00DC351D" w:rsidRPr="0050087B" w14:paraId="44CAC112" w14:textId="77777777" w:rsidTr="00E607DA">
        <w:trPr>
          <w:trHeight w:val="240"/>
        </w:trPr>
        <w:tc>
          <w:tcPr>
            <w:tcW w:w="7476" w:type="dxa"/>
            <w:tcBorders>
              <w:top w:val="nil"/>
              <w:left w:val="nil"/>
              <w:bottom w:val="nil"/>
              <w:right w:val="nil"/>
            </w:tcBorders>
            <w:shd w:val="clear" w:color="auto" w:fill="auto"/>
            <w:noWrap/>
            <w:vAlign w:val="center"/>
            <w:hideMark/>
          </w:tcPr>
          <w:p w14:paraId="380372B3" w14:textId="77777777" w:rsidR="00DC351D" w:rsidRPr="0050087B" w:rsidRDefault="00DC351D" w:rsidP="00E607DA">
            <w:pPr>
              <w:rPr>
                <w:rFonts w:ascii="Meta Pro" w:eastAsia="Times New Roman" w:hAnsi="Meta Pro"/>
                <w:szCs w:val="18"/>
                <w:lang w:eastAsia="en-AU"/>
              </w:rPr>
            </w:pPr>
            <w:r w:rsidRPr="0050087B">
              <w:rPr>
                <w:rFonts w:ascii="Meta Pro" w:eastAsia="Times New Roman" w:hAnsi="Meta Pro"/>
                <w:szCs w:val="18"/>
                <w:lang w:eastAsia="en-AU"/>
              </w:rPr>
              <w:t>Less: Loss allowance *</w:t>
            </w:r>
          </w:p>
        </w:tc>
        <w:tc>
          <w:tcPr>
            <w:tcW w:w="1216" w:type="dxa"/>
            <w:tcBorders>
              <w:top w:val="nil"/>
              <w:left w:val="nil"/>
              <w:bottom w:val="nil"/>
              <w:right w:val="nil"/>
            </w:tcBorders>
            <w:shd w:val="clear" w:color="000000" w:fill="C9E3B4"/>
            <w:noWrap/>
            <w:vAlign w:val="center"/>
            <w:hideMark/>
          </w:tcPr>
          <w:p w14:paraId="7754064E" w14:textId="77777777" w:rsidR="00DC351D" w:rsidRPr="0050087B" w:rsidRDefault="00DC351D" w:rsidP="00E607DA">
            <w:pPr>
              <w:jc w:val="right"/>
              <w:rPr>
                <w:rFonts w:ascii="Meta Pro" w:eastAsia="Times New Roman" w:hAnsi="Meta Pro"/>
                <w:szCs w:val="18"/>
                <w:lang w:eastAsia="en-AU"/>
              </w:rPr>
            </w:pPr>
            <w:r w:rsidRPr="0050087B">
              <w:rPr>
                <w:rFonts w:ascii="Meta Pro" w:eastAsia="Times New Roman" w:hAnsi="Meta Pro"/>
                <w:szCs w:val="18"/>
                <w:lang w:eastAsia="en-AU"/>
              </w:rPr>
              <w:t>(5,406)</w:t>
            </w:r>
          </w:p>
        </w:tc>
        <w:tc>
          <w:tcPr>
            <w:tcW w:w="216" w:type="dxa"/>
            <w:tcBorders>
              <w:top w:val="nil"/>
              <w:left w:val="nil"/>
              <w:bottom w:val="nil"/>
              <w:right w:val="nil"/>
            </w:tcBorders>
            <w:shd w:val="clear" w:color="auto" w:fill="auto"/>
            <w:noWrap/>
            <w:vAlign w:val="center"/>
            <w:hideMark/>
          </w:tcPr>
          <w:p w14:paraId="6D82D0E6" w14:textId="77777777" w:rsidR="00DC351D" w:rsidRPr="0050087B" w:rsidRDefault="00DC351D"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4E94FD6B" w14:textId="77777777" w:rsidR="00DC351D" w:rsidRPr="0050087B" w:rsidRDefault="00DC351D" w:rsidP="00E607DA">
            <w:pPr>
              <w:jc w:val="right"/>
              <w:rPr>
                <w:rFonts w:ascii="Meta Pro" w:eastAsia="Times New Roman" w:hAnsi="Meta Pro"/>
                <w:szCs w:val="18"/>
                <w:lang w:eastAsia="en-AU"/>
              </w:rPr>
            </w:pPr>
            <w:r w:rsidRPr="0050087B">
              <w:rPr>
                <w:rFonts w:ascii="Meta Pro" w:eastAsia="Times New Roman" w:hAnsi="Meta Pro"/>
                <w:szCs w:val="18"/>
                <w:lang w:eastAsia="en-AU"/>
              </w:rPr>
              <w:t>(11,776)</w:t>
            </w:r>
          </w:p>
        </w:tc>
      </w:tr>
      <w:tr w:rsidR="00DC351D" w:rsidRPr="0050087B" w14:paraId="7DB4D785" w14:textId="77777777" w:rsidTr="00E607DA">
        <w:trPr>
          <w:trHeight w:val="240"/>
        </w:trPr>
        <w:tc>
          <w:tcPr>
            <w:tcW w:w="7476" w:type="dxa"/>
            <w:tcBorders>
              <w:top w:val="single" w:sz="4" w:space="0" w:color="auto"/>
              <w:left w:val="nil"/>
              <w:bottom w:val="nil"/>
              <w:right w:val="nil"/>
            </w:tcBorders>
            <w:shd w:val="clear" w:color="auto" w:fill="auto"/>
            <w:noWrap/>
            <w:vAlign w:val="center"/>
            <w:hideMark/>
          </w:tcPr>
          <w:p w14:paraId="315DA928" w14:textId="77777777" w:rsidR="00DC351D" w:rsidRPr="0050087B" w:rsidRDefault="00DC351D" w:rsidP="00E607DA">
            <w:pPr>
              <w:rPr>
                <w:rFonts w:ascii="Meta Pro" w:eastAsia="Times New Roman" w:hAnsi="Meta Pro"/>
                <w:szCs w:val="18"/>
                <w:lang w:eastAsia="en-AU"/>
              </w:rPr>
            </w:pPr>
            <w:r w:rsidRPr="0050087B">
              <w:rPr>
                <w:rFonts w:ascii="Meta Pro" w:eastAsia="Times New Roman" w:hAnsi="Meta Pro"/>
                <w:szCs w:val="18"/>
                <w:lang w:eastAsia="en-AU"/>
              </w:rPr>
              <w:t> </w:t>
            </w:r>
          </w:p>
        </w:tc>
        <w:tc>
          <w:tcPr>
            <w:tcW w:w="1216" w:type="dxa"/>
            <w:tcBorders>
              <w:top w:val="single" w:sz="4" w:space="0" w:color="auto"/>
              <w:left w:val="nil"/>
              <w:bottom w:val="nil"/>
              <w:right w:val="nil"/>
            </w:tcBorders>
            <w:shd w:val="clear" w:color="000000" w:fill="C9E3B4"/>
            <w:noWrap/>
            <w:vAlign w:val="center"/>
            <w:hideMark/>
          </w:tcPr>
          <w:p w14:paraId="712F204C" w14:textId="77777777" w:rsidR="00DC351D" w:rsidRPr="0050087B" w:rsidRDefault="00DC351D" w:rsidP="00E607DA">
            <w:pPr>
              <w:jc w:val="right"/>
              <w:rPr>
                <w:rFonts w:ascii="Meta Pro" w:eastAsia="Times New Roman" w:hAnsi="Meta Pro"/>
                <w:b/>
                <w:bCs/>
                <w:szCs w:val="18"/>
                <w:lang w:eastAsia="en-AU"/>
              </w:rPr>
            </w:pPr>
            <w:r w:rsidRPr="0050087B">
              <w:rPr>
                <w:rFonts w:ascii="Meta Pro" w:eastAsia="Times New Roman" w:hAnsi="Meta Pro"/>
                <w:b/>
                <w:bCs/>
                <w:szCs w:val="18"/>
                <w:lang w:eastAsia="en-AU"/>
              </w:rPr>
              <w:t xml:space="preserve">123,906 </w:t>
            </w:r>
          </w:p>
        </w:tc>
        <w:tc>
          <w:tcPr>
            <w:tcW w:w="216" w:type="dxa"/>
            <w:tcBorders>
              <w:top w:val="single" w:sz="4" w:space="0" w:color="auto"/>
              <w:left w:val="nil"/>
              <w:bottom w:val="nil"/>
              <w:right w:val="nil"/>
            </w:tcBorders>
            <w:shd w:val="clear" w:color="auto" w:fill="auto"/>
            <w:noWrap/>
            <w:vAlign w:val="center"/>
            <w:hideMark/>
          </w:tcPr>
          <w:p w14:paraId="37F6E95D" w14:textId="77777777" w:rsidR="00DC351D" w:rsidRPr="0050087B" w:rsidRDefault="00DC351D" w:rsidP="00E607DA">
            <w:pPr>
              <w:jc w:val="right"/>
              <w:rPr>
                <w:rFonts w:ascii="Meta Pro" w:eastAsia="Times New Roman" w:hAnsi="Meta Pro"/>
                <w:b/>
                <w:bCs/>
                <w:szCs w:val="18"/>
                <w:lang w:eastAsia="en-AU"/>
              </w:rPr>
            </w:pPr>
            <w:r w:rsidRPr="0050087B">
              <w:rPr>
                <w:rFonts w:ascii="Meta Pro" w:eastAsia="Times New Roman" w:hAnsi="Meta Pro"/>
                <w:b/>
                <w:bCs/>
                <w:szCs w:val="18"/>
                <w:lang w:eastAsia="en-AU"/>
              </w:rPr>
              <w:t> </w:t>
            </w:r>
          </w:p>
        </w:tc>
        <w:tc>
          <w:tcPr>
            <w:tcW w:w="1216" w:type="dxa"/>
            <w:tcBorders>
              <w:top w:val="single" w:sz="4" w:space="0" w:color="auto"/>
              <w:left w:val="nil"/>
              <w:bottom w:val="nil"/>
              <w:right w:val="nil"/>
            </w:tcBorders>
            <w:shd w:val="clear" w:color="auto" w:fill="auto"/>
            <w:noWrap/>
            <w:vAlign w:val="center"/>
            <w:hideMark/>
          </w:tcPr>
          <w:p w14:paraId="1663620A" w14:textId="77777777" w:rsidR="00DC351D" w:rsidRPr="0050087B" w:rsidRDefault="00DC351D" w:rsidP="00E607DA">
            <w:pPr>
              <w:jc w:val="right"/>
              <w:rPr>
                <w:rFonts w:ascii="Meta Pro" w:eastAsia="Times New Roman" w:hAnsi="Meta Pro"/>
                <w:b/>
                <w:bCs/>
                <w:szCs w:val="18"/>
                <w:lang w:eastAsia="en-AU"/>
              </w:rPr>
            </w:pPr>
            <w:r w:rsidRPr="0050087B">
              <w:rPr>
                <w:rFonts w:ascii="Meta Pro" w:eastAsia="Times New Roman" w:hAnsi="Meta Pro"/>
                <w:b/>
                <w:bCs/>
                <w:szCs w:val="18"/>
                <w:lang w:eastAsia="en-AU"/>
              </w:rPr>
              <w:t xml:space="preserve">92,480 </w:t>
            </w:r>
          </w:p>
        </w:tc>
      </w:tr>
      <w:tr w:rsidR="00DC351D" w:rsidRPr="0050087B" w14:paraId="5C390C20" w14:textId="77777777" w:rsidTr="00E607DA">
        <w:trPr>
          <w:trHeight w:val="240"/>
        </w:trPr>
        <w:tc>
          <w:tcPr>
            <w:tcW w:w="7476" w:type="dxa"/>
            <w:tcBorders>
              <w:top w:val="nil"/>
              <w:left w:val="nil"/>
              <w:bottom w:val="nil"/>
              <w:right w:val="nil"/>
            </w:tcBorders>
            <w:shd w:val="clear" w:color="auto" w:fill="auto"/>
            <w:noWrap/>
            <w:vAlign w:val="center"/>
            <w:hideMark/>
          </w:tcPr>
          <w:p w14:paraId="1DBD0ADF" w14:textId="77777777" w:rsidR="00DC351D" w:rsidRPr="0050087B" w:rsidRDefault="00DC351D" w:rsidP="00E607DA">
            <w:pPr>
              <w:jc w:val="right"/>
              <w:rPr>
                <w:rFonts w:ascii="Meta Pro" w:eastAsia="Times New Roman" w:hAnsi="Meta Pro"/>
                <w:b/>
                <w:bCs/>
                <w:szCs w:val="18"/>
                <w:lang w:eastAsia="en-AU"/>
              </w:rPr>
            </w:pPr>
          </w:p>
        </w:tc>
        <w:tc>
          <w:tcPr>
            <w:tcW w:w="1216" w:type="dxa"/>
            <w:tcBorders>
              <w:top w:val="nil"/>
              <w:left w:val="nil"/>
              <w:bottom w:val="nil"/>
              <w:right w:val="nil"/>
            </w:tcBorders>
            <w:shd w:val="clear" w:color="000000" w:fill="C9E3B4"/>
            <w:noWrap/>
            <w:vAlign w:val="center"/>
            <w:hideMark/>
          </w:tcPr>
          <w:p w14:paraId="7856C2BB" w14:textId="77777777" w:rsidR="00DC351D" w:rsidRPr="0050087B" w:rsidRDefault="00DC351D" w:rsidP="00E607DA">
            <w:pPr>
              <w:jc w:val="right"/>
              <w:rPr>
                <w:rFonts w:ascii="Meta Pro" w:eastAsia="Times New Roman" w:hAnsi="Meta Pro"/>
                <w:szCs w:val="18"/>
                <w:lang w:eastAsia="en-AU"/>
              </w:rPr>
            </w:pPr>
            <w:r w:rsidRPr="0050087B">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33798934" w14:textId="77777777" w:rsidR="00DC351D" w:rsidRPr="0050087B" w:rsidRDefault="00DC351D"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589160BD" w14:textId="77777777" w:rsidR="00DC351D" w:rsidRPr="0050087B" w:rsidRDefault="00DC351D" w:rsidP="00E607DA">
            <w:pPr>
              <w:jc w:val="right"/>
              <w:rPr>
                <w:rFonts w:ascii="Meta Pro" w:eastAsia="Times New Roman" w:hAnsi="Meta Pro" w:cs="Times New Roman"/>
                <w:sz w:val="20"/>
                <w:szCs w:val="20"/>
                <w:lang w:eastAsia="en-AU"/>
              </w:rPr>
            </w:pPr>
          </w:p>
        </w:tc>
      </w:tr>
      <w:tr w:rsidR="00DC351D" w:rsidRPr="0050087B" w14:paraId="385B3920" w14:textId="77777777" w:rsidTr="00E607DA">
        <w:trPr>
          <w:trHeight w:val="240"/>
        </w:trPr>
        <w:tc>
          <w:tcPr>
            <w:tcW w:w="7476" w:type="dxa"/>
            <w:tcBorders>
              <w:top w:val="nil"/>
              <w:left w:val="nil"/>
              <w:bottom w:val="nil"/>
              <w:right w:val="nil"/>
            </w:tcBorders>
            <w:shd w:val="clear" w:color="auto" w:fill="auto"/>
            <w:noWrap/>
            <w:vAlign w:val="center"/>
            <w:hideMark/>
          </w:tcPr>
          <w:p w14:paraId="1392FCD2" w14:textId="77777777" w:rsidR="00DC351D" w:rsidRPr="0050087B" w:rsidRDefault="00DC351D" w:rsidP="00E607DA">
            <w:pPr>
              <w:rPr>
                <w:rFonts w:ascii="Meta Pro" w:eastAsia="Times New Roman" w:hAnsi="Meta Pro"/>
                <w:szCs w:val="18"/>
                <w:lang w:eastAsia="en-AU"/>
              </w:rPr>
            </w:pPr>
            <w:r w:rsidRPr="0050087B">
              <w:rPr>
                <w:rFonts w:ascii="Meta Pro" w:eastAsia="Times New Roman" w:hAnsi="Meta Pro"/>
                <w:szCs w:val="18"/>
                <w:lang w:eastAsia="en-AU"/>
              </w:rPr>
              <w:t>GST receivable</w:t>
            </w:r>
          </w:p>
        </w:tc>
        <w:tc>
          <w:tcPr>
            <w:tcW w:w="1216" w:type="dxa"/>
            <w:tcBorders>
              <w:top w:val="nil"/>
              <w:left w:val="nil"/>
              <w:bottom w:val="nil"/>
              <w:right w:val="nil"/>
            </w:tcBorders>
            <w:shd w:val="clear" w:color="000000" w:fill="C9E3B4"/>
            <w:noWrap/>
            <w:vAlign w:val="center"/>
            <w:hideMark/>
          </w:tcPr>
          <w:p w14:paraId="08F9CBED" w14:textId="77777777" w:rsidR="00DC351D" w:rsidRPr="0050087B" w:rsidRDefault="00DC351D" w:rsidP="00E607DA">
            <w:pPr>
              <w:jc w:val="right"/>
              <w:rPr>
                <w:rFonts w:ascii="Meta Pro" w:eastAsia="Times New Roman" w:hAnsi="Meta Pro"/>
                <w:szCs w:val="18"/>
                <w:lang w:eastAsia="en-AU"/>
              </w:rPr>
            </w:pPr>
            <w:r w:rsidRPr="0050087B">
              <w:rPr>
                <w:rFonts w:ascii="Meta Pro" w:eastAsia="Times New Roman" w:hAnsi="Meta Pro"/>
                <w:szCs w:val="18"/>
                <w:lang w:eastAsia="en-AU"/>
              </w:rPr>
              <w:t xml:space="preserve">82,165 </w:t>
            </w:r>
          </w:p>
        </w:tc>
        <w:tc>
          <w:tcPr>
            <w:tcW w:w="216" w:type="dxa"/>
            <w:tcBorders>
              <w:top w:val="nil"/>
              <w:left w:val="nil"/>
              <w:bottom w:val="nil"/>
              <w:right w:val="nil"/>
            </w:tcBorders>
            <w:shd w:val="clear" w:color="auto" w:fill="auto"/>
            <w:noWrap/>
            <w:vAlign w:val="center"/>
            <w:hideMark/>
          </w:tcPr>
          <w:p w14:paraId="7210E915" w14:textId="77777777" w:rsidR="00DC351D" w:rsidRPr="0050087B" w:rsidRDefault="00DC351D"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0DCACE5B" w14:textId="77777777" w:rsidR="00DC351D" w:rsidRPr="0050087B" w:rsidRDefault="00DC351D" w:rsidP="00E607DA">
            <w:pPr>
              <w:jc w:val="right"/>
              <w:rPr>
                <w:rFonts w:ascii="Meta Pro" w:eastAsia="Times New Roman" w:hAnsi="Meta Pro"/>
                <w:szCs w:val="18"/>
                <w:lang w:eastAsia="en-AU"/>
              </w:rPr>
            </w:pPr>
            <w:r w:rsidRPr="0050087B">
              <w:rPr>
                <w:rFonts w:ascii="Meta Pro" w:eastAsia="Times New Roman" w:hAnsi="Meta Pro"/>
                <w:szCs w:val="18"/>
                <w:lang w:eastAsia="en-AU"/>
              </w:rPr>
              <w:t xml:space="preserve">94,685 </w:t>
            </w:r>
          </w:p>
        </w:tc>
      </w:tr>
      <w:tr w:rsidR="00DC351D" w:rsidRPr="0050087B" w14:paraId="0FB2B432" w14:textId="77777777" w:rsidTr="00E607DA">
        <w:trPr>
          <w:trHeight w:val="240"/>
        </w:trPr>
        <w:tc>
          <w:tcPr>
            <w:tcW w:w="7476" w:type="dxa"/>
            <w:tcBorders>
              <w:top w:val="nil"/>
              <w:left w:val="nil"/>
              <w:bottom w:val="nil"/>
              <w:right w:val="nil"/>
            </w:tcBorders>
            <w:shd w:val="clear" w:color="auto" w:fill="auto"/>
            <w:noWrap/>
            <w:vAlign w:val="center"/>
            <w:hideMark/>
          </w:tcPr>
          <w:p w14:paraId="1EAB3FB8" w14:textId="77777777" w:rsidR="00DC351D" w:rsidRPr="0050087B" w:rsidRDefault="00DC351D" w:rsidP="00E607DA">
            <w:pPr>
              <w:rPr>
                <w:rFonts w:ascii="Meta Pro" w:eastAsia="Times New Roman" w:hAnsi="Meta Pro"/>
                <w:szCs w:val="18"/>
                <w:lang w:eastAsia="en-AU"/>
              </w:rPr>
            </w:pPr>
            <w:r w:rsidRPr="0050087B">
              <w:rPr>
                <w:rFonts w:ascii="Meta Pro" w:eastAsia="Times New Roman" w:hAnsi="Meta Pro"/>
                <w:szCs w:val="18"/>
                <w:lang w:eastAsia="en-AU"/>
              </w:rPr>
              <w:t xml:space="preserve">GST payable </w:t>
            </w:r>
          </w:p>
        </w:tc>
        <w:tc>
          <w:tcPr>
            <w:tcW w:w="1216" w:type="dxa"/>
            <w:tcBorders>
              <w:top w:val="nil"/>
              <w:left w:val="nil"/>
              <w:bottom w:val="nil"/>
              <w:right w:val="nil"/>
            </w:tcBorders>
            <w:shd w:val="clear" w:color="000000" w:fill="C9E3B4"/>
            <w:noWrap/>
            <w:vAlign w:val="center"/>
            <w:hideMark/>
          </w:tcPr>
          <w:p w14:paraId="2AB82713" w14:textId="77777777" w:rsidR="00DC351D" w:rsidRPr="0050087B" w:rsidRDefault="00DC351D" w:rsidP="00E607DA">
            <w:pPr>
              <w:jc w:val="right"/>
              <w:rPr>
                <w:rFonts w:ascii="Meta Pro" w:eastAsia="Times New Roman" w:hAnsi="Meta Pro"/>
                <w:szCs w:val="18"/>
                <w:lang w:eastAsia="en-AU"/>
              </w:rPr>
            </w:pPr>
            <w:r w:rsidRPr="0050087B">
              <w:rPr>
                <w:rFonts w:ascii="Meta Pro" w:eastAsia="Times New Roman" w:hAnsi="Meta Pro"/>
                <w:szCs w:val="18"/>
                <w:lang w:eastAsia="en-AU"/>
              </w:rPr>
              <w:t>(6,779)</w:t>
            </w:r>
          </w:p>
        </w:tc>
        <w:tc>
          <w:tcPr>
            <w:tcW w:w="216" w:type="dxa"/>
            <w:tcBorders>
              <w:top w:val="nil"/>
              <w:left w:val="nil"/>
              <w:bottom w:val="nil"/>
              <w:right w:val="nil"/>
            </w:tcBorders>
            <w:shd w:val="clear" w:color="auto" w:fill="auto"/>
            <w:noWrap/>
            <w:vAlign w:val="center"/>
            <w:hideMark/>
          </w:tcPr>
          <w:p w14:paraId="75BFC456" w14:textId="77777777" w:rsidR="00DC351D" w:rsidRPr="0050087B" w:rsidRDefault="00DC351D"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58DC1F89" w14:textId="77777777" w:rsidR="00DC351D" w:rsidRPr="0050087B" w:rsidRDefault="00DC351D" w:rsidP="00E607DA">
            <w:pPr>
              <w:jc w:val="right"/>
              <w:rPr>
                <w:rFonts w:ascii="Meta Pro" w:eastAsia="Times New Roman" w:hAnsi="Meta Pro"/>
                <w:szCs w:val="18"/>
                <w:lang w:eastAsia="en-AU"/>
              </w:rPr>
            </w:pPr>
            <w:r w:rsidRPr="0050087B">
              <w:rPr>
                <w:rFonts w:ascii="Meta Pro" w:eastAsia="Times New Roman" w:hAnsi="Meta Pro"/>
                <w:szCs w:val="18"/>
                <w:lang w:eastAsia="en-AU"/>
              </w:rPr>
              <w:t>(7,804)</w:t>
            </w:r>
          </w:p>
        </w:tc>
      </w:tr>
      <w:tr w:rsidR="00DC351D" w:rsidRPr="0050087B" w14:paraId="67BF5CF8" w14:textId="77777777" w:rsidTr="00E607DA">
        <w:trPr>
          <w:trHeight w:val="240"/>
        </w:trPr>
        <w:tc>
          <w:tcPr>
            <w:tcW w:w="7476" w:type="dxa"/>
            <w:tcBorders>
              <w:top w:val="single" w:sz="4" w:space="0" w:color="auto"/>
              <w:left w:val="nil"/>
              <w:bottom w:val="nil"/>
              <w:right w:val="nil"/>
            </w:tcBorders>
            <w:shd w:val="clear" w:color="auto" w:fill="auto"/>
            <w:noWrap/>
            <w:vAlign w:val="center"/>
            <w:hideMark/>
          </w:tcPr>
          <w:p w14:paraId="55B7AB71" w14:textId="77777777" w:rsidR="00DC351D" w:rsidRPr="0050087B" w:rsidRDefault="00DC351D" w:rsidP="00E607DA">
            <w:pPr>
              <w:rPr>
                <w:rFonts w:ascii="Meta Pro" w:eastAsia="Times New Roman" w:hAnsi="Meta Pro"/>
                <w:szCs w:val="18"/>
                <w:lang w:eastAsia="en-AU"/>
              </w:rPr>
            </w:pPr>
            <w:r w:rsidRPr="0050087B">
              <w:rPr>
                <w:rFonts w:ascii="Meta Pro" w:eastAsia="Times New Roman" w:hAnsi="Meta Pro"/>
                <w:szCs w:val="18"/>
                <w:lang w:eastAsia="en-AU"/>
              </w:rPr>
              <w:lastRenderedPageBreak/>
              <w:t> </w:t>
            </w:r>
          </w:p>
        </w:tc>
        <w:tc>
          <w:tcPr>
            <w:tcW w:w="1216" w:type="dxa"/>
            <w:tcBorders>
              <w:top w:val="single" w:sz="4" w:space="0" w:color="auto"/>
              <w:left w:val="nil"/>
              <w:bottom w:val="nil"/>
              <w:right w:val="nil"/>
            </w:tcBorders>
            <w:shd w:val="clear" w:color="000000" w:fill="C9E3B4"/>
            <w:noWrap/>
            <w:vAlign w:val="center"/>
            <w:hideMark/>
          </w:tcPr>
          <w:p w14:paraId="0239009F" w14:textId="77777777" w:rsidR="00DC351D" w:rsidRPr="0050087B" w:rsidRDefault="00DC351D" w:rsidP="00E607DA">
            <w:pPr>
              <w:jc w:val="right"/>
              <w:rPr>
                <w:rFonts w:ascii="Meta Pro" w:eastAsia="Times New Roman" w:hAnsi="Meta Pro"/>
                <w:b/>
                <w:bCs/>
                <w:szCs w:val="18"/>
                <w:lang w:eastAsia="en-AU"/>
              </w:rPr>
            </w:pPr>
            <w:r w:rsidRPr="0050087B">
              <w:rPr>
                <w:rFonts w:ascii="Meta Pro" w:eastAsia="Times New Roman" w:hAnsi="Meta Pro"/>
                <w:b/>
                <w:bCs/>
                <w:szCs w:val="18"/>
                <w:lang w:eastAsia="en-AU"/>
              </w:rPr>
              <w:t xml:space="preserve">75,386 </w:t>
            </w:r>
          </w:p>
        </w:tc>
        <w:tc>
          <w:tcPr>
            <w:tcW w:w="216" w:type="dxa"/>
            <w:tcBorders>
              <w:top w:val="single" w:sz="4" w:space="0" w:color="auto"/>
              <w:left w:val="nil"/>
              <w:bottom w:val="nil"/>
              <w:right w:val="nil"/>
            </w:tcBorders>
            <w:shd w:val="clear" w:color="auto" w:fill="auto"/>
            <w:noWrap/>
            <w:vAlign w:val="center"/>
            <w:hideMark/>
          </w:tcPr>
          <w:p w14:paraId="5FD97CD2" w14:textId="77777777" w:rsidR="00DC351D" w:rsidRPr="0050087B" w:rsidRDefault="00DC351D" w:rsidP="00E607DA">
            <w:pPr>
              <w:jc w:val="right"/>
              <w:rPr>
                <w:rFonts w:ascii="Meta Pro" w:eastAsia="Times New Roman" w:hAnsi="Meta Pro"/>
                <w:b/>
                <w:bCs/>
                <w:szCs w:val="18"/>
                <w:lang w:eastAsia="en-AU"/>
              </w:rPr>
            </w:pPr>
            <w:r w:rsidRPr="0050087B">
              <w:rPr>
                <w:rFonts w:ascii="Meta Pro" w:eastAsia="Times New Roman" w:hAnsi="Meta Pro"/>
                <w:b/>
                <w:bCs/>
                <w:szCs w:val="18"/>
                <w:lang w:eastAsia="en-AU"/>
              </w:rPr>
              <w:t> </w:t>
            </w:r>
          </w:p>
        </w:tc>
        <w:tc>
          <w:tcPr>
            <w:tcW w:w="1216" w:type="dxa"/>
            <w:tcBorders>
              <w:top w:val="single" w:sz="4" w:space="0" w:color="auto"/>
              <w:left w:val="nil"/>
              <w:bottom w:val="nil"/>
              <w:right w:val="nil"/>
            </w:tcBorders>
            <w:shd w:val="clear" w:color="auto" w:fill="auto"/>
            <w:noWrap/>
            <w:vAlign w:val="center"/>
            <w:hideMark/>
          </w:tcPr>
          <w:p w14:paraId="359672D0" w14:textId="77777777" w:rsidR="00DC351D" w:rsidRPr="0050087B" w:rsidRDefault="00DC351D" w:rsidP="00E607DA">
            <w:pPr>
              <w:jc w:val="right"/>
              <w:rPr>
                <w:rFonts w:ascii="Meta Pro" w:eastAsia="Times New Roman" w:hAnsi="Meta Pro"/>
                <w:b/>
                <w:bCs/>
                <w:szCs w:val="18"/>
                <w:lang w:eastAsia="en-AU"/>
              </w:rPr>
            </w:pPr>
            <w:r w:rsidRPr="0050087B">
              <w:rPr>
                <w:rFonts w:ascii="Meta Pro" w:eastAsia="Times New Roman" w:hAnsi="Meta Pro"/>
                <w:b/>
                <w:bCs/>
                <w:szCs w:val="18"/>
                <w:lang w:eastAsia="en-AU"/>
              </w:rPr>
              <w:t xml:space="preserve">86,881 </w:t>
            </w:r>
          </w:p>
        </w:tc>
      </w:tr>
      <w:tr w:rsidR="00DC351D" w:rsidRPr="0050087B" w14:paraId="4C237060" w14:textId="77777777" w:rsidTr="00E607DA">
        <w:trPr>
          <w:trHeight w:val="240"/>
        </w:trPr>
        <w:tc>
          <w:tcPr>
            <w:tcW w:w="7476" w:type="dxa"/>
            <w:tcBorders>
              <w:top w:val="nil"/>
              <w:left w:val="nil"/>
              <w:bottom w:val="nil"/>
              <w:right w:val="nil"/>
            </w:tcBorders>
            <w:shd w:val="clear" w:color="auto" w:fill="auto"/>
            <w:noWrap/>
            <w:vAlign w:val="center"/>
            <w:hideMark/>
          </w:tcPr>
          <w:p w14:paraId="335E73E8" w14:textId="77777777" w:rsidR="00DC351D" w:rsidRPr="0050087B" w:rsidRDefault="00DC351D" w:rsidP="00E607DA">
            <w:pPr>
              <w:jc w:val="right"/>
              <w:rPr>
                <w:rFonts w:ascii="Meta Pro" w:eastAsia="Times New Roman" w:hAnsi="Meta Pro"/>
                <w:b/>
                <w:bCs/>
                <w:szCs w:val="18"/>
                <w:lang w:eastAsia="en-AU"/>
              </w:rPr>
            </w:pPr>
          </w:p>
        </w:tc>
        <w:tc>
          <w:tcPr>
            <w:tcW w:w="1216" w:type="dxa"/>
            <w:tcBorders>
              <w:top w:val="nil"/>
              <w:left w:val="nil"/>
              <w:bottom w:val="nil"/>
              <w:right w:val="nil"/>
            </w:tcBorders>
            <w:shd w:val="clear" w:color="000000" w:fill="C9E3B4"/>
            <w:noWrap/>
            <w:vAlign w:val="center"/>
            <w:hideMark/>
          </w:tcPr>
          <w:p w14:paraId="49914EA4" w14:textId="77777777" w:rsidR="00DC351D" w:rsidRPr="0050087B" w:rsidRDefault="00DC351D" w:rsidP="00E607DA">
            <w:pPr>
              <w:jc w:val="right"/>
              <w:rPr>
                <w:rFonts w:ascii="Meta Pro" w:eastAsia="Times New Roman" w:hAnsi="Meta Pro"/>
                <w:szCs w:val="18"/>
                <w:lang w:eastAsia="en-AU"/>
              </w:rPr>
            </w:pPr>
            <w:r w:rsidRPr="0050087B">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6682CEBB" w14:textId="77777777" w:rsidR="00DC351D" w:rsidRPr="0050087B" w:rsidRDefault="00DC351D"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4341BE04" w14:textId="77777777" w:rsidR="00DC351D" w:rsidRPr="0050087B" w:rsidRDefault="00DC351D" w:rsidP="00E607DA">
            <w:pPr>
              <w:jc w:val="right"/>
              <w:rPr>
                <w:rFonts w:ascii="Meta Pro" w:eastAsia="Times New Roman" w:hAnsi="Meta Pro" w:cs="Times New Roman"/>
                <w:sz w:val="20"/>
                <w:szCs w:val="20"/>
                <w:lang w:eastAsia="en-AU"/>
              </w:rPr>
            </w:pPr>
          </w:p>
        </w:tc>
      </w:tr>
      <w:tr w:rsidR="00DC351D" w:rsidRPr="0050087B" w14:paraId="3BB7451C" w14:textId="77777777" w:rsidTr="00E607DA">
        <w:trPr>
          <w:trHeight w:val="240"/>
        </w:trPr>
        <w:tc>
          <w:tcPr>
            <w:tcW w:w="7476" w:type="dxa"/>
            <w:tcBorders>
              <w:top w:val="nil"/>
              <w:left w:val="nil"/>
              <w:bottom w:val="nil"/>
              <w:right w:val="nil"/>
            </w:tcBorders>
            <w:shd w:val="clear" w:color="auto" w:fill="auto"/>
            <w:noWrap/>
            <w:vAlign w:val="center"/>
            <w:hideMark/>
          </w:tcPr>
          <w:p w14:paraId="069AF350" w14:textId="77777777" w:rsidR="00DC351D" w:rsidRPr="0050087B" w:rsidRDefault="00DC351D" w:rsidP="00E607DA">
            <w:pPr>
              <w:rPr>
                <w:rFonts w:ascii="Meta Pro" w:eastAsia="Times New Roman" w:hAnsi="Meta Pro"/>
                <w:szCs w:val="18"/>
                <w:lang w:eastAsia="en-AU"/>
              </w:rPr>
            </w:pPr>
            <w:r w:rsidRPr="0050087B">
              <w:rPr>
                <w:rFonts w:ascii="Meta Pro" w:eastAsia="Times New Roman" w:hAnsi="Meta Pro"/>
                <w:szCs w:val="18"/>
                <w:lang w:eastAsia="en-AU"/>
              </w:rPr>
              <w:t>Annual leave reimbursements</w:t>
            </w:r>
          </w:p>
        </w:tc>
        <w:tc>
          <w:tcPr>
            <w:tcW w:w="1216" w:type="dxa"/>
            <w:tcBorders>
              <w:top w:val="nil"/>
              <w:left w:val="nil"/>
              <w:bottom w:val="nil"/>
              <w:right w:val="nil"/>
            </w:tcBorders>
            <w:shd w:val="clear" w:color="000000" w:fill="C9E3B4"/>
            <w:noWrap/>
            <w:vAlign w:val="center"/>
            <w:hideMark/>
          </w:tcPr>
          <w:p w14:paraId="0174EEC7" w14:textId="77777777" w:rsidR="00DC351D" w:rsidRPr="0050087B" w:rsidRDefault="00DC351D" w:rsidP="00E607DA">
            <w:pPr>
              <w:jc w:val="right"/>
              <w:rPr>
                <w:rFonts w:ascii="Meta Pro" w:eastAsia="Times New Roman" w:hAnsi="Meta Pro"/>
                <w:szCs w:val="18"/>
                <w:lang w:eastAsia="en-AU"/>
              </w:rPr>
            </w:pPr>
            <w:r w:rsidRPr="0050087B">
              <w:rPr>
                <w:rFonts w:ascii="Meta Pro" w:eastAsia="Times New Roman" w:hAnsi="Meta Pro"/>
                <w:szCs w:val="18"/>
                <w:lang w:eastAsia="en-AU"/>
              </w:rPr>
              <w:t xml:space="preserve">15,406 </w:t>
            </w:r>
          </w:p>
        </w:tc>
        <w:tc>
          <w:tcPr>
            <w:tcW w:w="216" w:type="dxa"/>
            <w:tcBorders>
              <w:top w:val="nil"/>
              <w:left w:val="nil"/>
              <w:bottom w:val="nil"/>
              <w:right w:val="nil"/>
            </w:tcBorders>
            <w:shd w:val="clear" w:color="auto" w:fill="auto"/>
            <w:noWrap/>
            <w:vAlign w:val="center"/>
            <w:hideMark/>
          </w:tcPr>
          <w:p w14:paraId="7DF8E9EF" w14:textId="77777777" w:rsidR="00DC351D" w:rsidRPr="0050087B" w:rsidRDefault="00DC351D"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51336505" w14:textId="77777777" w:rsidR="00DC351D" w:rsidRPr="0050087B" w:rsidRDefault="00DC351D" w:rsidP="00E607DA">
            <w:pPr>
              <w:jc w:val="right"/>
              <w:rPr>
                <w:rFonts w:ascii="Meta Pro" w:eastAsia="Times New Roman" w:hAnsi="Meta Pro"/>
                <w:szCs w:val="18"/>
                <w:lang w:eastAsia="en-AU"/>
              </w:rPr>
            </w:pPr>
            <w:r w:rsidRPr="0050087B">
              <w:rPr>
                <w:rFonts w:ascii="Meta Pro" w:eastAsia="Times New Roman" w:hAnsi="Meta Pro"/>
                <w:szCs w:val="18"/>
                <w:lang w:eastAsia="en-AU"/>
              </w:rPr>
              <w:t xml:space="preserve">13,545 </w:t>
            </w:r>
          </w:p>
        </w:tc>
      </w:tr>
      <w:tr w:rsidR="00DC351D" w:rsidRPr="0050087B" w14:paraId="3B39579C" w14:textId="77777777" w:rsidTr="00E607DA">
        <w:trPr>
          <w:trHeight w:val="240"/>
        </w:trPr>
        <w:tc>
          <w:tcPr>
            <w:tcW w:w="7476" w:type="dxa"/>
            <w:tcBorders>
              <w:top w:val="nil"/>
              <w:left w:val="nil"/>
              <w:bottom w:val="nil"/>
              <w:right w:val="nil"/>
            </w:tcBorders>
            <w:shd w:val="clear" w:color="auto" w:fill="auto"/>
            <w:noWrap/>
            <w:vAlign w:val="center"/>
            <w:hideMark/>
          </w:tcPr>
          <w:p w14:paraId="00E32A47" w14:textId="77777777" w:rsidR="00DC351D" w:rsidRPr="0050087B" w:rsidRDefault="00DC351D" w:rsidP="00E607DA">
            <w:pPr>
              <w:rPr>
                <w:rFonts w:ascii="Meta Pro" w:eastAsia="Times New Roman" w:hAnsi="Meta Pro"/>
                <w:szCs w:val="18"/>
                <w:lang w:eastAsia="en-AU"/>
              </w:rPr>
            </w:pPr>
            <w:r w:rsidRPr="0050087B">
              <w:rPr>
                <w:rFonts w:ascii="Meta Pro" w:eastAsia="Times New Roman" w:hAnsi="Meta Pro"/>
                <w:szCs w:val="18"/>
                <w:lang w:eastAsia="en-AU"/>
              </w:rPr>
              <w:t xml:space="preserve">Appropriation revenue receivable </w:t>
            </w:r>
          </w:p>
        </w:tc>
        <w:tc>
          <w:tcPr>
            <w:tcW w:w="1216" w:type="dxa"/>
            <w:tcBorders>
              <w:top w:val="nil"/>
              <w:left w:val="nil"/>
              <w:bottom w:val="nil"/>
              <w:right w:val="nil"/>
            </w:tcBorders>
            <w:shd w:val="clear" w:color="000000" w:fill="C9E3B4"/>
            <w:noWrap/>
            <w:vAlign w:val="center"/>
            <w:hideMark/>
          </w:tcPr>
          <w:p w14:paraId="25D996DF" w14:textId="77777777" w:rsidR="00DC351D" w:rsidRPr="0050087B" w:rsidRDefault="00DC351D" w:rsidP="00E607DA">
            <w:pPr>
              <w:jc w:val="right"/>
              <w:rPr>
                <w:rFonts w:ascii="Meta Pro" w:eastAsia="Times New Roman" w:hAnsi="Meta Pro"/>
                <w:szCs w:val="18"/>
                <w:lang w:eastAsia="en-AU"/>
              </w:rPr>
            </w:pPr>
            <w:r w:rsidRPr="0050087B">
              <w:rPr>
                <w:rFonts w:ascii="Meta Pro" w:eastAsia="Times New Roman" w:hAnsi="Meta Pro"/>
                <w:szCs w:val="18"/>
                <w:lang w:eastAsia="en-AU"/>
              </w:rPr>
              <w:t xml:space="preserve">1,993 </w:t>
            </w:r>
          </w:p>
        </w:tc>
        <w:tc>
          <w:tcPr>
            <w:tcW w:w="216" w:type="dxa"/>
            <w:tcBorders>
              <w:top w:val="nil"/>
              <w:left w:val="nil"/>
              <w:bottom w:val="nil"/>
              <w:right w:val="nil"/>
            </w:tcBorders>
            <w:shd w:val="clear" w:color="auto" w:fill="auto"/>
            <w:noWrap/>
            <w:vAlign w:val="center"/>
            <w:hideMark/>
          </w:tcPr>
          <w:p w14:paraId="277DC1E1" w14:textId="77777777" w:rsidR="00DC351D" w:rsidRPr="0050087B" w:rsidRDefault="00DC351D"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1E83A40D" w14:textId="77777777" w:rsidR="00DC351D" w:rsidRPr="0050087B" w:rsidRDefault="00DC351D" w:rsidP="00E607DA">
            <w:pPr>
              <w:jc w:val="right"/>
              <w:rPr>
                <w:rFonts w:ascii="Meta Pro" w:eastAsia="Times New Roman" w:hAnsi="Meta Pro"/>
                <w:szCs w:val="18"/>
                <w:lang w:eastAsia="en-AU"/>
              </w:rPr>
            </w:pPr>
            <w:r w:rsidRPr="0050087B">
              <w:rPr>
                <w:rFonts w:ascii="Meta Pro" w:eastAsia="Times New Roman" w:hAnsi="Meta Pro"/>
                <w:szCs w:val="18"/>
                <w:lang w:eastAsia="en-AU"/>
              </w:rPr>
              <w:t xml:space="preserve">19,010 </w:t>
            </w:r>
          </w:p>
        </w:tc>
      </w:tr>
      <w:tr w:rsidR="00DC351D" w:rsidRPr="0050087B" w14:paraId="7C2E0718" w14:textId="77777777" w:rsidTr="00E607DA">
        <w:trPr>
          <w:trHeight w:val="240"/>
        </w:trPr>
        <w:tc>
          <w:tcPr>
            <w:tcW w:w="7476" w:type="dxa"/>
            <w:tcBorders>
              <w:top w:val="nil"/>
              <w:left w:val="nil"/>
              <w:bottom w:val="nil"/>
              <w:right w:val="nil"/>
            </w:tcBorders>
            <w:shd w:val="clear" w:color="auto" w:fill="auto"/>
            <w:noWrap/>
            <w:vAlign w:val="center"/>
            <w:hideMark/>
          </w:tcPr>
          <w:p w14:paraId="21E2C571" w14:textId="77777777" w:rsidR="00DC351D" w:rsidRPr="0050087B" w:rsidRDefault="00DC351D" w:rsidP="00E607DA">
            <w:pPr>
              <w:rPr>
                <w:rFonts w:ascii="Meta Pro" w:eastAsia="Times New Roman" w:hAnsi="Meta Pro"/>
                <w:szCs w:val="18"/>
                <w:lang w:eastAsia="en-AU"/>
              </w:rPr>
            </w:pPr>
            <w:r w:rsidRPr="0050087B">
              <w:rPr>
                <w:rFonts w:ascii="Meta Pro" w:eastAsia="Times New Roman" w:hAnsi="Meta Pro"/>
                <w:szCs w:val="18"/>
                <w:lang w:eastAsia="en-AU"/>
              </w:rPr>
              <w:t>Long service leave reimbursements</w:t>
            </w:r>
          </w:p>
        </w:tc>
        <w:tc>
          <w:tcPr>
            <w:tcW w:w="1216" w:type="dxa"/>
            <w:tcBorders>
              <w:top w:val="nil"/>
              <w:left w:val="nil"/>
              <w:bottom w:val="nil"/>
              <w:right w:val="nil"/>
            </w:tcBorders>
            <w:shd w:val="clear" w:color="000000" w:fill="C9E3B4"/>
            <w:noWrap/>
            <w:vAlign w:val="center"/>
            <w:hideMark/>
          </w:tcPr>
          <w:p w14:paraId="13BD400B" w14:textId="77777777" w:rsidR="00DC351D" w:rsidRPr="0050087B" w:rsidRDefault="00DC351D" w:rsidP="00E607DA">
            <w:pPr>
              <w:jc w:val="right"/>
              <w:rPr>
                <w:rFonts w:ascii="Meta Pro" w:eastAsia="Times New Roman" w:hAnsi="Meta Pro"/>
                <w:szCs w:val="18"/>
                <w:lang w:eastAsia="en-AU"/>
              </w:rPr>
            </w:pPr>
            <w:r w:rsidRPr="0050087B">
              <w:rPr>
                <w:rFonts w:ascii="Meta Pro" w:eastAsia="Times New Roman" w:hAnsi="Meta Pro"/>
                <w:szCs w:val="18"/>
                <w:lang w:eastAsia="en-AU"/>
              </w:rPr>
              <w:t xml:space="preserve">5,012 </w:t>
            </w:r>
          </w:p>
        </w:tc>
        <w:tc>
          <w:tcPr>
            <w:tcW w:w="216" w:type="dxa"/>
            <w:tcBorders>
              <w:top w:val="nil"/>
              <w:left w:val="nil"/>
              <w:bottom w:val="nil"/>
              <w:right w:val="nil"/>
            </w:tcBorders>
            <w:shd w:val="clear" w:color="auto" w:fill="auto"/>
            <w:noWrap/>
            <w:vAlign w:val="center"/>
            <w:hideMark/>
          </w:tcPr>
          <w:p w14:paraId="5E4E9E1E" w14:textId="77777777" w:rsidR="00DC351D" w:rsidRPr="0050087B" w:rsidRDefault="00DC351D"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0914C09D" w14:textId="77777777" w:rsidR="00DC351D" w:rsidRPr="0050087B" w:rsidRDefault="00DC351D" w:rsidP="00E607DA">
            <w:pPr>
              <w:jc w:val="right"/>
              <w:rPr>
                <w:rFonts w:ascii="Meta Pro" w:eastAsia="Times New Roman" w:hAnsi="Meta Pro"/>
                <w:szCs w:val="18"/>
                <w:lang w:eastAsia="en-AU"/>
              </w:rPr>
            </w:pPr>
            <w:r w:rsidRPr="0050087B">
              <w:rPr>
                <w:rFonts w:ascii="Meta Pro" w:eastAsia="Times New Roman" w:hAnsi="Meta Pro"/>
                <w:szCs w:val="18"/>
                <w:lang w:eastAsia="en-AU"/>
              </w:rPr>
              <w:t xml:space="preserve">3,210 </w:t>
            </w:r>
          </w:p>
        </w:tc>
      </w:tr>
      <w:tr w:rsidR="00DC351D" w:rsidRPr="0050087B" w14:paraId="29A39D0C" w14:textId="77777777" w:rsidTr="00E607DA">
        <w:trPr>
          <w:trHeight w:val="240"/>
        </w:trPr>
        <w:tc>
          <w:tcPr>
            <w:tcW w:w="7476" w:type="dxa"/>
            <w:tcBorders>
              <w:top w:val="nil"/>
              <w:left w:val="nil"/>
              <w:bottom w:val="single" w:sz="4" w:space="0" w:color="auto"/>
              <w:right w:val="nil"/>
            </w:tcBorders>
            <w:shd w:val="clear" w:color="auto" w:fill="auto"/>
            <w:noWrap/>
            <w:vAlign w:val="center"/>
            <w:hideMark/>
          </w:tcPr>
          <w:p w14:paraId="0CD32F8A" w14:textId="77777777" w:rsidR="00DC351D" w:rsidRPr="0050087B" w:rsidRDefault="00DC351D" w:rsidP="00E607DA">
            <w:pPr>
              <w:rPr>
                <w:rFonts w:ascii="Meta Pro" w:eastAsia="Times New Roman" w:hAnsi="Meta Pro"/>
                <w:szCs w:val="18"/>
                <w:lang w:eastAsia="en-AU"/>
              </w:rPr>
            </w:pPr>
            <w:r w:rsidRPr="0050087B">
              <w:rPr>
                <w:rFonts w:ascii="Meta Pro" w:eastAsia="Times New Roman" w:hAnsi="Meta Pro"/>
                <w:szCs w:val="18"/>
                <w:lang w:eastAsia="en-AU"/>
              </w:rPr>
              <w:t xml:space="preserve">Other </w:t>
            </w:r>
          </w:p>
        </w:tc>
        <w:tc>
          <w:tcPr>
            <w:tcW w:w="1216" w:type="dxa"/>
            <w:tcBorders>
              <w:top w:val="nil"/>
              <w:left w:val="nil"/>
              <w:bottom w:val="single" w:sz="4" w:space="0" w:color="auto"/>
              <w:right w:val="nil"/>
            </w:tcBorders>
            <w:shd w:val="clear" w:color="000000" w:fill="C9E3B4"/>
            <w:noWrap/>
            <w:vAlign w:val="center"/>
            <w:hideMark/>
          </w:tcPr>
          <w:p w14:paraId="1CD37283" w14:textId="77777777" w:rsidR="00DC351D" w:rsidRPr="0050087B" w:rsidRDefault="00DC351D" w:rsidP="00E607DA">
            <w:pPr>
              <w:jc w:val="right"/>
              <w:rPr>
                <w:rFonts w:ascii="Meta Pro" w:eastAsia="Times New Roman" w:hAnsi="Meta Pro"/>
                <w:szCs w:val="18"/>
                <w:lang w:eastAsia="en-AU"/>
              </w:rPr>
            </w:pPr>
            <w:r w:rsidRPr="0050087B">
              <w:rPr>
                <w:rFonts w:ascii="Meta Pro" w:eastAsia="Times New Roman" w:hAnsi="Meta Pro"/>
                <w:szCs w:val="18"/>
                <w:lang w:eastAsia="en-AU"/>
              </w:rPr>
              <w:t xml:space="preserve">5,010 </w:t>
            </w:r>
          </w:p>
        </w:tc>
        <w:tc>
          <w:tcPr>
            <w:tcW w:w="216" w:type="dxa"/>
            <w:tcBorders>
              <w:top w:val="nil"/>
              <w:left w:val="nil"/>
              <w:bottom w:val="single" w:sz="4" w:space="0" w:color="auto"/>
              <w:right w:val="nil"/>
            </w:tcBorders>
            <w:shd w:val="clear" w:color="auto" w:fill="auto"/>
            <w:noWrap/>
            <w:vAlign w:val="center"/>
            <w:hideMark/>
          </w:tcPr>
          <w:p w14:paraId="76DCD9F6" w14:textId="77777777" w:rsidR="00DC351D" w:rsidRPr="0050087B" w:rsidRDefault="00DC351D" w:rsidP="00E607DA">
            <w:pPr>
              <w:jc w:val="right"/>
              <w:rPr>
                <w:rFonts w:ascii="Meta Pro" w:eastAsia="Times New Roman" w:hAnsi="Meta Pro"/>
                <w:szCs w:val="18"/>
                <w:lang w:eastAsia="en-AU"/>
              </w:rPr>
            </w:pPr>
            <w:r w:rsidRPr="0050087B">
              <w:rPr>
                <w:rFonts w:ascii="Meta Pro" w:eastAsia="Times New Roman" w:hAnsi="Meta Pro"/>
                <w:szCs w:val="18"/>
                <w:lang w:eastAsia="en-AU"/>
              </w:rPr>
              <w:t> </w:t>
            </w:r>
          </w:p>
        </w:tc>
        <w:tc>
          <w:tcPr>
            <w:tcW w:w="1216" w:type="dxa"/>
            <w:tcBorders>
              <w:top w:val="nil"/>
              <w:left w:val="nil"/>
              <w:bottom w:val="single" w:sz="4" w:space="0" w:color="auto"/>
              <w:right w:val="nil"/>
            </w:tcBorders>
            <w:shd w:val="clear" w:color="auto" w:fill="auto"/>
            <w:noWrap/>
            <w:vAlign w:val="center"/>
            <w:hideMark/>
          </w:tcPr>
          <w:p w14:paraId="11A2B26C" w14:textId="77777777" w:rsidR="00DC351D" w:rsidRPr="0050087B" w:rsidRDefault="00DC351D" w:rsidP="00E607DA">
            <w:pPr>
              <w:jc w:val="right"/>
              <w:rPr>
                <w:rFonts w:ascii="Meta Pro" w:eastAsia="Times New Roman" w:hAnsi="Meta Pro"/>
                <w:szCs w:val="18"/>
                <w:lang w:eastAsia="en-AU"/>
              </w:rPr>
            </w:pPr>
            <w:r w:rsidRPr="0050087B">
              <w:rPr>
                <w:rFonts w:ascii="Meta Pro" w:eastAsia="Times New Roman" w:hAnsi="Meta Pro"/>
                <w:szCs w:val="18"/>
                <w:lang w:eastAsia="en-AU"/>
              </w:rPr>
              <w:t xml:space="preserve">7,714 </w:t>
            </w:r>
          </w:p>
        </w:tc>
      </w:tr>
      <w:tr w:rsidR="00DC351D" w:rsidRPr="0050087B" w14:paraId="05E3DB1B" w14:textId="77777777" w:rsidTr="00E607DA">
        <w:trPr>
          <w:trHeight w:val="240"/>
        </w:trPr>
        <w:tc>
          <w:tcPr>
            <w:tcW w:w="7476" w:type="dxa"/>
            <w:tcBorders>
              <w:top w:val="nil"/>
              <w:left w:val="nil"/>
              <w:bottom w:val="nil"/>
              <w:right w:val="nil"/>
            </w:tcBorders>
            <w:shd w:val="clear" w:color="auto" w:fill="auto"/>
            <w:noWrap/>
            <w:vAlign w:val="center"/>
            <w:hideMark/>
          </w:tcPr>
          <w:p w14:paraId="04CC979A" w14:textId="77777777" w:rsidR="00DC351D" w:rsidRPr="0050087B" w:rsidRDefault="00DC351D"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000000" w:fill="C9E3B4"/>
            <w:noWrap/>
            <w:vAlign w:val="center"/>
            <w:hideMark/>
          </w:tcPr>
          <w:p w14:paraId="37E091F0" w14:textId="77777777" w:rsidR="00DC351D" w:rsidRPr="0050087B" w:rsidRDefault="00DC351D" w:rsidP="00E607DA">
            <w:pPr>
              <w:jc w:val="right"/>
              <w:rPr>
                <w:rFonts w:ascii="Meta Pro" w:eastAsia="Times New Roman" w:hAnsi="Meta Pro"/>
                <w:b/>
                <w:bCs/>
                <w:szCs w:val="18"/>
                <w:lang w:eastAsia="en-AU"/>
              </w:rPr>
            </w:pPr>
            <w:r w:rsidRPr="0050087B">
              <w:rPr>
                <w:rFonts w:ascii="Meta Pro" w:eastAsia="Times New Roman" w:hAnsi="Meta Pro"/>
                <w:b/>
                <w:bCs/>
                <w:szCs w:val="18"/>
                <w:lang w:eastAsia="en-AU"/>
              </w:rPr>
              <w:t xml:space="preserve">27,421 </w:t>
            </w:r>
          </w:p>
        </w:tc>
        <w:tc>
          <w:tcPr>
            <w:tcW w:w="216" w:type="dxa"/>
            <w:tcBorders>
              <w:top w:val="nil"/>
              <w:left w:val="nil"/>
              <w:bottom w:val="nil"/>
              <w:right w:val="nil"/>
            </w:tcBorders>
            <w:shd w:val="clear" w:color="auto" w:fill="auto"/>
            <w:noWrap/>
            <w:vAlign w:val="center"/>
            <w:hideMark/>
          </w:tcPr>
          <w:p w14:paraId="3D4B775C" w14:textId="77777777" w:rsidR="00DC351D" w:rsidRPr="0050087B" w:rsidRDefault="00DC351D" w:rsidP="00E607DA">
            <w:pPr>
              <w:jc w:val="right"/>
              <w:rPr>
                <w:rFonts w:ascii="Meta Pro" w:eastAsia="Times New Roman" w:hAnsi="Meta Pro"/>
                <w:b/>
                <w:bCs/>
                <w:szCs w:val="18"/>
                <w:lang w:eastAsia="en-AU"/>
              </w:rPr>
            </w:pPr>
          </w:p>
        </w:tc>
        <w:tc>
          <w:tcPr>
            <w:tcW w:w="1216" w:type="dxa"/>
            <w:tcBorders>
              <w:top w:val="nil"/>
              <w:left w:val="nil"/>
              <w:bottom w:val="nil"/>
              <w:right w:val="nil"/>
            </w:tcBorders>
            <w:shd w:val="clear" w:color="auto" w:fill="auto"/>
            <w:noWrap/>
            <w:vAlign w:val="center"/>
            <w:hideMark/>
          </w:tcPr>
          <w:p w14:paraId="132ECFBA" w14:textId="77777777" w:rsidR="00DC351D" w:rsidRPr="0050087B" w:rsidRDefault="00DC351D" w:rsidP="00E607DA">
            <w:pPr>
              <w:jc w:val="right"/>
              <w:rPr>
                <w:rFonts w:ascii="Meta Pro" w:eastAsia="Times New Roman" w:hAnsi="Meta Pro"/>
                <w:b/>
                <w:bCs/>
                <w:szCs w:val="18"/>
                <w:lang w:eastAsia="en-AU"/>
              </w:rPr>
            </w:pPr>
            <w:r w:rsidRPr="0050087B">
              <w:rPr>
                <w:rFonts w:ascii="Meta Pro" w:eastAsia="Times New Roman" w:hAnsi="Meta Pro"/>
                <w:b/>
                <w:bCs/>
                <w:szCs w:val="18"/>
                <w:lang w:eastAsia="en-AU"/>
              </w:rPr>
              <w:t xml:space="preserve">43,479 </w:t>
            </w:r>
          </w:p>
        </w:tc>
      </w:tr>
      <w:tr w:rsidR="00DC351D" w:rsidRPr="0050087B" w14:paraId="37128ED3" w14:textId="77777777" w:rsidTr="00E607DA">
        <w:trPr>
          <w:trHeight w:val="240"/>
        </w:trPr>
        <w:tc>
          <w:tcPr>
            <w:tcW w:w="7476" w:type="dxa"/>
            <w:tcBorders>
              <w:top w:val="single" w:sz="4" w:space="0" w:color="auto"/>
              <w:left w:val="nil"/>
              <w:bottom w:val="double" w:sz="6" w:space="0" w:color="auto"/>
              <w:right w:val="nil"/>
            </w:tcBorders>
            <w:shd w:val="clear" w:color="auto" w:fill="auto"/>
            <w:noWrap/>
            <w:vAlign w:val="center"/>
            <w:hideMark/>
          </w:tcPr>
          <w:p w14:paraId="115947B2" w14:textId="77777777" w:rsidR="00DC351D" w:rsidRPr="0050087B" w:rsidRDefault="00DC351D" w:rsidP="00E607DA">
            <w:pPr>
              <w:rPr>
                <w:rFonts w:ascii="Meta Pro" w:eastAsia="Times New Roman" w:hAnsi="Meta Pro"/>
                <w:b/>
                <w:bCs/>
                <w:szCs w:val="18"/>
                <w:lang w:eastAsia="en-AU"/>
              </w:rPr>
            </w:pPr>
            <w:r w:rsidRPr="0050087B">
              <w:rPr>
                <w:rFonts w:ascii="Meta Pro" w:eastAsia="Times New Roman" w:hAnsi="Meta Pro"/>
                <w:b/>
                <w:bCs/>
                <w:szCs w:val="18"/>
                <w:lang w:eastAsia="en-AU"/>
              </w:rPr>
              <w:t>Total</w:t>
            </w:r>
          </w:p>
        </w:tc>
        <w:tc>
          <w:tcPr>
            <w:tcW w:w="1216" w:type="dxa"/>
            <w:tcBorders>
              <w:top w:val="single" w:sz="4" w:space="0" w:color="auto"/>
              <w:left w:val="nil"/>
              <w:bottom w:val="double" w:sz="6" w:space="0" w:color="auto"/>
              <w:right w:val="nil"/>
            </w:tcBorders>
            <w:shd w:val="clear" w:color="000000" w:fill="C9E3B4"/>
            <w:noWrap/>
            <w:vAlign w:val="center"/>
            <w:hideMark/>
          </w:tcPr>
          <w:p w14:paraId="29202393" w14:textId="77777777" w:rsidR="00DC351D" w:rsidRPr="0050087B" w:rsidRDefault="00DC351D" w:rsidP="00E607DA">
            <w:pPr>
              <w:jc w:val="right"/>
              <w:rPr>
                <w:rFonts w:ascii="Meta Pro" w:eastAsia="Times New Roman" w:hAnsi="Meta Pro"/>
                <w:b/>
                <w:bCs/>
                <w:szCs w:val="18"/>
                <w:lang w:eastAsia="en-AU"/>
              </w:rPr>
            </w:pPr>
            <w:r w:rsidRPr="0050087B">
              <w:rPr>
                <w:rFonts w:ascii="Meta Pro" w:eastAsia="Times New Roman" w:hAnsi="Meta Pro"/>
                <w:b/>
                <w:bCs/>
                <w:szCs w:val="18"/>
                <w:lang w:eastAsia="en-AU"/>
              </w:rPr>
              <w:t xml:space="preserve">226,713 </w:t>
            </w:r>
          </w:p>
        </w:tc>
        <w:tc>
          <w:tcPr>
            <w:tcW w:w="216" w:type="dxa"/>
            <w:tcBorders>
              <w:top w:val="single" w:sz="4" w:space="0" w:color="auto"/>
              <w:left w:val="nil"/>
              <w:bottom w:val="double" w:sz="6" w:space="0" w:color="auto"/>
              <w:right w:val="nil"/>
            </w:tcBorders>
            <w:shd w:val="clear" w:color="auto" w:fill="auto"/>
            <w:noWrap/>
            <w:vAlign w:val="center"/>
            <w:hideMark/>
          </w:tcPr>
          <w:p w14:paraId="510182D0" w14:textId="77777777" w:rsidR="00DC351D" w:rsidRPr="0050087B" w:rsidRDefault="00DC351D" w:rsidP="00E607DA">
            <w:pPr>
              <w:jc w:val="right"/>
              <w:rPr>
                <w:rFonts w:ascii="Meta Pro" w:eastAsia="Times New Roman" w:hAnsi="Meta Pro"/>
                <w:b/>
                <w:bCs/>
                <w:szCs w:val="18"/>
                <w:lang w:eastAsia="en-AU"/>
              </w:rPr>
            </w:pPr>
            <w:r w:rsidRPr="0050087B">
              <w:rPr>
                <w:rFonts w:ascii="Meta Pro" w:eastAsia="Times New Roman" w:hAnsi="Meta Pro"/>
                <w:b/>
                <w:bCs/>
                <w:szCs w:val="18"/>
                <w:lang w:eastAsia="en-AU"/>
              </w:rPr>
              <w:t> </w:t>
            </w:r>
          </w:p>
        </w:tc>
        <w:tc>
          <w:tcPr>
            <w:tcW w:w="1216" w:type="dxa"/>
            <w:tcBorders>
              <w:top w:val="single" w:sz="4" w:space="0" w:color="auto"/>
              <w:left w:val="nil"/>
              <w:bottom w:val="double" w:sz="6" w:space="0" w:color="auto"/>
              <w:right w:val="nil"/>
            </w:tcBorders>
            <w:shd w:val="clear" w:color="auto" w:fill="auto"/>
            <w:noWrap/>
            <w:vAlign w:val="center"/>
            <w:hideMark/>
          </w:tcPr>
          <w:p w14:paraId="4204392F" w14:textId="77777777" w:rsidR="00DC351D" w:rsidRPr="0050087B" w:rsidRDefault="00DC351D" w:rsidP="00E607DA">
            <w:pPr>
              <w:jc w:val="right"/>
              <w:rPr>
                <w:rFonts w:ascii="Meta Pro" w:eastAsia="Times New Roman" w:hAnsi="Meta Pro"/>
                <w:b/>
                <w:bCs/>
                <w:szCs w:val="18"/>
                <w:lang w:eastAsia="en-AU"/>
              </w:rPr>
            </w:pPr>
            <w:r w:rsidRPr="0050087B">
              <w:rPr>
                <w:rFonts w:ascii="Meta Pro" w:eastAsia="Times New Roman" w:hAnsi="Meta Pro"/>
                <w:b/>
                <w:bCs/>
                <w:szCs w:val="18"/>
                <w:lang w:eastAsia="en-AU"/>
              </w:rPr>
              <w:t xml:space="preserve">222,840 </w:t>
            </w:r>
          </w:p>
        </w:tc>
      </w:tr>
      <w:tr w:rsidR="00DC351D" w:rsidRPr="0050087B" w14:paraId="2E899C7C" w14:textId="77777777" w:rsidTr="00E607DA">
        <w:trPr>
          <w:trHeight w:val="240"/>
        </w:trPr>
        <w:tc>
          <w:tcPr>
            <w:tcW w:w="7476" w:type="dxa"/>
            <w:tcBorders>
              <w:top w:val="nil"/>
              <w:left w:val="nil"/>
              <w:bottom w:val="nil"/>
              <w:right w:val="nil"/>
            </w:tcBorders>
            <w:shd w:val="clear" w:color="auto" w:fill="auto"/>
            <w:noWrap/>
            <w:vAlign w:val="center"/>
            <w:hideMark/>
          </w:tcPr>
          <w:p w14:paraId="5DFE0AD2" w14:textId="77777777" w:rsidR="00DC351D" w:rsidRPr="0050087B" w:rsidRDefault="00DC351D" w:rsidP="00E607DA">
            <w:pPr>
              <w:jc w:val="right"/>
              <w:rPr>
                <w:rFonts w:ascii="Meta Pro" w:eastAsia="Times New Roman" w:hAnsi="Meta Pro"/>
                <w:b/>
                <w:bCs/>
                <w:szCs w:val="18"/>
                <w:lang w:eastAsia="en-AU"/>
              </w:rPr>
            </w:pPr>
          </w:p>
        </w:tc>
        <w:tc>
          <w:tcPr>
            <w:tcW w:w="1216" w:type="dxa"/>
            <w:tcBorders>
              <w:top w:val="nil"/>
              <w:left w:val="nil"/>
              <w:bottom w:val="nil"/>
              <w:right w:val="nil"/>
            </w:tcBorders>
            <w:shd w:val="clear" w:color="auto" w:fill="auto"/>
            <w:noWrap/>
            <w:vAlign w:val="center"/>
            <w:hideMark/>
          </w:tcPr>
          <w:p w14:paraId="75F1EFC7" w14:textId="77777777" w:rsidR="00DC351D" w:rsidRPr="0050087B" w:rsidRDefault="00DC351D" w:rsidP="00E607DA">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5D88AF29" w14:textId="77777777" w:rsidR="00DC351D" w:rsidRPr="0050087B" w:rsidRDefault="00DC351D"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5FB49A20" w14:textId="77777777" w:rsidR="00DC351D" w:rsidRPr="0050087B" w:rsidRDefault="00DC351D" w:rsidP="00E607DA">
            <w:pPr>
              <w:jc w:val="right"/>
              <w:rPr>
                <w:rFonts w:ascii="Meta Pro" w:eastAsia="Times New Roman" w:hAnsi="Meta Pro" w:cs="Times New Roman"/>
                <w:sz w:val="20"/>
                <w:szCs w:val="20"/>
                <w:lang w:eastAsia="en-AU"/>
              </w:rPr>
            </w:pPr>
          </w:p>
        </w:tc>
      </w:tr>
      <w:tr w:rsidR="00DC351D" w:rsidRPr="0050087B" w14:paraId="1A9E14E8" w14:textId="77777777" w:rsidTr="00E607DA">
        <w:trPr>
          <w:trHeight w:val="240"/>
        </w:trPr>
        <w:tc>
          <w:tcPr>
            <w:tcW w:w="7476" w:type="dxa"/>
            <w:tcBorders>
              <w:top w:val="nil"/>
              <w:left w:val="nil"/>
              <w:bottom w:val="nil"/>
              <w:right w:val="nil"/>
            </w:tcBorders>
            <w:shd w:val="clear" w:color="auto" w:fill="auto"/>
            <w:noWrap/>
            <w:vAlign w:val="center"/>
            <w:hideMark/>
          </w:tcPr>
          <w:p w14:paraId="7045193C" w14:textId="77777777" w:rsidR="00DC351D" w:rsidRPr="0050087B" w:rsidRDefault="00DC351D" w:rsidP="00E607DA">
            <w:pPr>
              <w:rPr>
                <w:rFonts w:ascii="Meta Pro" w:eastAsia="Times New Roman" w:hAnsi="Meta Pro"/>
                <w:b/>
                <w:bCs/>
                <w:szCs w:val="18"/>
                <w:lang w:eastAsia="en-AU"/>
              </w:rPr>
            </w:pPr>
            <w:r w:rsidRPr="0050087B">
              <w:rPr>
                <w:rFonts w:ascii="Meta Pro" w:eastAsia="Times New Roman" w:hAnsi="Meta Pro"/>
                <w:b/>
                <w:bCs/>
                <w:szCs w:val="18"/>
                <w:lang w:eastAsia="en-AU"/>
              </w:rPr>
              <w:t>Non-current</w:t>
            </w:r>
          </w:p>
        </w:tc>
        <w:tc>
          <w:tcPr>
            <w:tcW w:w="1216" w:type="dxa"/>
            <w:tcBorders>
              <w:top w:val="nil"/>
              <w:left w:val="nil"/>
              <w:bottom w:val="nil"/>
              <w:right w:val="nil"/>
            </w:tcBorders>
            <w:shd w:val="clear" w:color="auto" w:fill="auto"/>
            <w:noWrap/>
            <w:vAlign w:val="center"/>
            <w:hideMark/>
          </w:tcPr>
          <w:p w14:paraId="25E60AFC" w14:textId="77777777" w:rsidR="00DC351D" w:rsidRPr="0050087B" w:rsidRDefault="00DC351D" w:rsidP="00E607DA">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05402683" w14:textId="77777777" w:rsidR="00DC351D" w:rsidRPr="0050087B" w:rsidRDefault="00DC351D"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09123594" w14:textId="77777777" w:rsidR="00DC351D" w:rsidRPr="0050087B" w:rsidRDefault="00DC351D" w:rsidP="00E607DA">
            <w:pPr>
              <w:jc w:val="right"/>
              <w:rPr>
                <w:rFonts w:ascii="Meta Pro" w:eastAsia="Times New Roman" w:hAnsi="Meta Pro" w:cs="Times New Roman"/>
                <w:sz w:val="20"/>
                <w:szCs w:val="20"/>
                <w:lang w:eastAsia="en-AU"/>
              </w:rPr>
            </w:pPr>
          </w:p>
        </w:tc>
      </w:tr>
      <w:tr w:rsidR="00DC351D" w:rsidRPr="0050087B" w14:paraId="4FF0AB0E" w14:textId="77777777" w:rsidTr="00E607DA">
        <w:trPr>
          <w:trHeight w:val="240"/>
        </w:trPr>
        <w:tc>
          <w:tcPr>
            <w:tcW w:w="7476" w:type="dxa"/>
            <w:tcBorders>
              <w:top w:val="nil"/>
              <w:left w:val="nil"/>
              <w:bottom w:val="nil"/>
              <w:right w:val="nil"/>
            </w:tcBorders>
            <w:shd w:val="clear" w:color="auto" w:fill="auto"/>
            <w:noWrap/>
            <w:vAlign w:val="center"/>
            <w:hideMark/>
          </w:tcPr>
          <w:p w14:paraId="3D94CD37" w14:textId="77777777" w:rsidR="00DC351D" w:rsidRPr="0050087B" w:rsidRDefault="00DC351D" w:rsidP="00E607DA">
            <w:pPr>
              <w:rPr>
                <w:rFonts w:ascii="Meta Pro" w:eastAsia="Times New Roman" w:hAnsi="Meta Pro"/>
                <w:szCs w:val="18"/>
                <w:lang w:eastAsia="en-AU"/>
              </w:rPr>
            </w:pPr>
            <w:r w:rsidRPr="0050087B">
              <w:rPr>
                <w:rFonts w:ascii="Meta Pro" w:eastAsia="Times New Roman" w:hAnsi="Meta Pro"/>
                <w:szCs w:val="18"/>
                <w:lang w:eastAsia="en-AU"/>
              </w:rPr>
              <w:t>Sublease receivable</w:t>
            </w:r>
          </w:p>
        </w:tc>
        <w:tc>
          <w:tcPr>
            <w:tcW w:w="1216" w:type="dxa"/>
            <w:tcBorders>
              <w:top w:val="nil"/>
              <w:left w:val="nil"/>
              <w:bottom w:val="nil"/>
              <w:right w:val="nil"/>
            </w:tcBorders>
            <w:shd w:val="clear" w:color="000000" w:fill="C9E3B4"/>
            <w:noWrap/>
            <w:vAlign w:val="center"/>
            <w:hideMark/>
          </w:tcPr>
          <w:p w14:paraId="10919505" w14:textId="77777777" w:rsidR="00DC351D" w:rsidRPr="0050087B" w:rsidRDefault="00DC351D" w:rsidP="00E607DA">
            <w:pPr>
              <w:jc w:val="right"/>
              <w:rPr>
                <w:rFonts w:ascii="Meta Pro" w:eastAsia="Times New Roman" w:hAnsi="Meta Pro"/>
                <w:szCs w:val="18"/>
                <w:lang w:eastAsia="en-AU"/>
              </w:rPr>
            </w:pPr>
            <w:r w:rsidRPr="0050087B">
              <w:rPr>
                <w:rFonts w:ascii="Meta Pro" w:eastAsia="Times New Roman" w:hAnsi="Meta Pro"/>
                <w:szCs w:val="18"/>
                <w:lang w:eastAsia="en-AU"/>
              </w:rPr>
              <w:t xml:space="preserve">3,274 </w:t>
            </w:r>
          </w:p>
        </w:tc>
        <w:tc>
          <w:tcPr>
            <w:tcW w:w="216" w:type="dxa"/>
            <w:tcBorders>
              <w:top w:val="nil"/>
              <w:left w:val="nil"/>
              <w:bottom w:val="nil"/>
              <w:right w:val="nil"/>
            </w:tcBorders>
            <w:shd w:val="clear" w:color="auto" w:fill="auto"/>
            <w:noWrap/>
            <w:vAlign w:val="center"/>
            <w:hideMark/>
          </w:tcPr>
          <w:p w14:paraId="3C0E92B8" w14:textId="77777777" w:rsidR="00DC351D" w:rsidRPr="0050087B" w:rsidRDefault="00DC351D"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161F75A3" w14:textId="77777777" w:rsidR="00DC351D" w:rsidRPr="0050087B" w:rsidRDefault="00DC351D" w:rsidP="00E607DA">
            <w:pPr>
              <w:jc w:val="right"/>
              <w:rPr>
                <w:rFonts w:ascii="Meta Pro" w:eastAsia="Times New Roman" w:hAnsi="Meta Pro"/>
                <w:szCs w:val="18"/>
                <w:lang w:eastAsia="en-AU"/>
              </w:rPr>
            </w:pPr>
            <w:r w:rsidRPr="0050087B">
              <w:rPr>
                <w:rFonts w:ascii="Meta Pro" w:eastAsia="Times New Roman" w:hAnsi="Meta Pro"/>
                <w:szCs w:val="18"/>
                <w:lang w:eastAsia="en-AU"/>
              </w:rPr>
              <w:t xml:space="preserve">3,229 </w:t>
            </w:r>
          </w:p>
        </w:tc>
      </w:tr>
      <w:tr w:rsidR="00DC351D" w:rsidRPr="0050087B" w14:paraId="471C4D2C" w14:textId="77777777" w:rsidTr="00E607DA">
        <w:trPr>
          <w:trHeight w:val="240"/>
        </w:trPr>
        <w:tc>
          <w:tcPr>
            <w:tcW w:w="7476" w:type="dxa"/>
            <w:tcBorders>
              <w:top w:val="single" w:sz="4" w:space="0" w:color="auto"/>
              <w:left w:val="nil"/>
              <w:bottom w:val="double" w:sz="6" w:space="0" w:color="auto"/>
              <w:right w:val="nil"/>
            </w:tcBorders>
            <w:shd w:val="clear" w:color="auto" w:fill="auto"/>
            <w:noWrap/>
            <w:vAlign w:val="center"/>
            <w:hideMark/>
          </w:tcPr>
          <w:p w14:paraId="5EDF24CE" w14:textId="77777777" w:rsidR="00DC351D" w:rsidRPr="0050087B" w:rsidRDefault="00DC351D" w:rsidP="00E607DA">
            <w:pPr>
              <w:rPr>
                <w:rFonts w:ascii="Meta Pro" w:eastAsia="Times New Roman" w:hAnsi="Meta Pro"/>
                <w:b/>
                <w:bCs/>
                <w:szCs w:val="18"/>
                <w:lang w:eastAsia="en-AU"/>
              </w:rPr>
            </w:pPr>
            <w:r w:rsidRPr="0050087B">
              <w:rPr>
                <w:rFonts w:ascii="Meta Pro" w:eastAsia="Times New Roman" w:hAnsi="Meta Pro"/>
                <w:b/>
                <w:bCs/>
                <w:szCs w:val="18"/>
                <w:lang w:eastAsia="en-AU"/>
              </w:rPr>
              <w:t>Total</w:t>
            </w:r>
          </w:p>
        </w:tc>
        <w:tc>
          <w:tcPr>
            <w:tcW w:w="1216" w:type="dxa"/>
            <w:tcBorders>
              <w:top w:val="single" w:sz="4" w:space="0" w:color="auto"/>
              <w:left w:val="nil"/>
              <w:bottom w:val="double" w:sz="6" w:space="0" w:color="auto"/>
              <w:right w:val="nil"/>
            </w:tcBorders>
            <w:shd w:val="clear" w:color="000000" w:fill="C9E3B4"/>
            <w:noWrap/>
            <w:vAlign w:val="center"/>
            <w:hideMark/>
          </w:tcPr>
          <w:p w14:paraId="3193E22E" w14:textId="77777777" w:rsidR="00DC351D" w:rsidRPr="0050087B" w:rsidRDefault="00DC351D" w:rsidP="00E607DA">
            <w:pPr>
              <w:jc w:val="right"/>
              <w:rPr>
                <w:rFonts w:ascii="Meta Pro" w:eastAsia="Times New Roman" w:hAnsi="Meta Pro"/>
                <w:b/>
                <w:bCs/>
                <w:szCs w:val="18"/>
                <w:lang w:eastAsia="en-AU"/>
              </w:rPr>
            </w:pPr>
            <w:r w:rsidRPr="0050087B">
              <w:rPr>
                <w:rFonts w:ascii="Meta Pro" w:eastAsia="Times New Roman" w:hAnsi="Meta Pro"/>
                <w:b/>
                <w:bCs/>
                <w:szCs w:val="18"/>
                <w:lang w:eastAsia="en-AU"/>
              </w:rPr>
              <w:t xml:space="preserve">3,274 </w:t>
            </w:r>
          </w:p>
        </w:tc>
        <w:tc>
          <w:tcPr>
            <w:tcW w:w="216" w:type="dxa"/>
            <w:tcBorders>
              <w:top w:val="single" w:sz="4" w:space="0" w:color="auto"/>
              <w:left w:val="nil"/>
              <w:bottom w:val="double" w:sz="6" w:space="0" w:color="auto"/>
              <w:right w:val="nil"/>
            </w:tcBorders>
            <w:shd w:val="clear" w:color="auto" w:fill="auto"/>
            <w:noWrap/>
            <w:vAlign w:val="center"/>
            <w:hideMark/>
          </w:tcPr>
          <w:p w14:paraId="1158D568" w14:textId="77777777" w:rsidR="00DC351D" w:rsidRPr="0050087B" w:rsidRDefault="00DC351D" w:rsidP="00E607DA">
            <w:pPr>
              <w:jc w:val="right"/>
              <w:rPr>
                <w:rFonts w:ascii="Meta Pro" w:eastAsia="Times New Roman" w:hAnsi="Meta Pro"/>
                <w:b/>
                <w:bCs/>
                <w:szCs w:val="18"/>
                <w:lang w:eastAsia="en-AU"/>
              </w:rPr>
            </w:pPr>
            <w:r w:rsidRPr="0050087B">
              <w:rPr>
                <w:rFonts w:ascii="Meta Pro" w:eastAsia="Times New Roman" w:hAnsi="Meta Pro"/>
                <w:b/>
                <w:bCs/>
                <w:szCs w:val="18"/>
                <w:lang w:eastAsia="en-AU"/>
              </w:rPr>
              <w:t> </w:t>
            </w:r>
          </w:p>
        </w:tc>
        <w:tc>
          <w:tcPr>
            <w:tcW w:w="1216" w:type="dxa"/>
            <w:tcBorders>
              <w:top w:val="single" w:sz="4" w:space="0" w:color="auto"/>
              <w:left w:val="nil"/>
              <w:bottom w:val="double" w:sz="6" w:space="0" w:color="auto"/>
              <w:right w:val="nil"/>
            </w:tcBorders>
            <w:shd w:val="clear" w:color="auto" w:fill="auto"/>
            <w:noWrap/>
            <w:vAlign w:val="center"/>
            <w:hideMark/>
          </w:tcPr>
          <w:p w14:paraId="17FFB054" w14:textId="77777777" w:rsidR="00DC351D" w:rsidRPr="0050087B" w:rsidRDefault="00DC351D" w:rsidP="00E607DA">
            <w:pPr>
              <w:jc w:val="right"/>
              <w:rPr>
                <w:rFonts w:ascii="Meta Pro" w:eastAsia="Times New Roman" w:hAnsi="Meta Pro"/>
                <w:b/>
                <w:bCs/>
                <w:szCs w:val="18"/>
                <w:lang w:eastAsia="en-AU"/>
              </w:rPr>
            </w:pPr>
            <w:r w:rsidRPr="0050087B">
              <w:rPr>
                <w:rFonts w:ascii="Meta Pro" w:eastAsia="Times New Roman" w:hAnsi="Meta Pro"/>
                <w:b/>
                <w:bCs/>
                <w:szCs w:val="18"/>
                <w:lang w:eastAsia="en-AU"/>
              </w:rPr>
              <w:t xml:space="preserve">3,229 </w:t>
            </w:r>
          </w:p>
        </w:tc>
      </w:tr>
      <w:tr w:rsidR="00DC351D" w:rsidRPr="0050087B" w14:paraId="3BFB2C35" w14:textId="77777777" w:rsidTr="00E607DA">
        <w:trPr>
          <w:trHeight w:val="240"/>
        </w:trPr>
        <w:tc>
          <w:tcPr>
            <w:tcW w:w="7476" w:type="dxa"/>
            <w:tcBorders>
              <w:top w:val="nil"/>
              <w:left w:val="nil"/>
              <w:bottom w:val="nil"/>
              <w:right w:val="nil"/>
            </w:tcBorders>
            <w:shd w:val="clear" w:color="auto" w:fill="auto"/>
            <w:noWrap/>
            <w:vAlign w:val="center"/>
            <w:hideMark/>
          </w:tcPr>
          <w:p w14:paraId="23C975D7" w14:textId="77777777" w:rsidR="00DC351D" w:rsidRPr="0050087B" w:rsidRDefault="00DC351D" w:rsidP="00E607DA">
            <w:pPr>
              <w:jc w:val="right"/>
              <w:rPr>
                <w:rFonts w:ascii="Meta Pro" w:eastAsia="Times New Roman" w:hAnsi="Meta Pro"/>
                <w:b/>
                <w:bCs/>
                <w:szCs w:val="18"/>
                <w:lang w:eastAsia="en-AU"/>
              </w:rPr>
            </w:pPr>
          </w:p>
        </w:tc>
        <w:tc>
          <w:tcPr>
            <w:tcW w:w="1216" w:type="dxa"/>
            <w:tcBorders>
              <w:top w:val="nil"/>
              <w:left w:val="nil"/>
              <w:bottom w:val="nil"/>
              <w:right w:val="nil"/>
            </w:tcBorders>
            <w:shd w:val="clear" w:color="auto" w:fill="auto"/>
            <w:noWrap/>
            <w:vAlign w:val="center"/>
            <w:hideMark/>
          </w:tcPr>
          <w:p w14:paraId="02BA7F51" w14:textId="77777777" w:rsidR="00DC351D" w:rsidRPr="0050087B" w:rsidRDefault="00DC351D" w:rsidP="00E607DA">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47B30178" w14:textId="77777777" w:rsidR="00DC351D" w:rsidRPr="0050087B" w:rsidRDefault="00DC351D"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394C3788" w14:textId="77777777" w:rsidR="00DC351D" w:rsidRPr="0050087B" w:rsidRDefault="00DC351D" w:rsidP="00E607DA">
            <w:pPr>
              <w:jc w:val="right"/>
              <w:rPr>
                <w:rFonts w:ascii="Meta Pro" w:eastAsia="Times New Roman" w:hAnsi="Meta Pro" w:cs="Times New Roman"/>
                <w:sz w:val="20"/>
                <w:szCs w:val="20"/>
                <w:lang w:eastAsia="en-AU"/>
              </w:rPr>
            </w:pPr>
          </w:p>
        </w:tc>
      </w:tr>
      <w:tr w:rsidR="00DC351D" w:rsidRPr="0050087B" w14:paraId="590E6BDD" w14:textId="77777777" w:rsidTr="00E607DA">
        <w:trPr>
          <w:trHeight w:val="240"/>
        </w:trPr>
        <w:tc>
          <w:tcPr>
            <w:tcW w:w="7476" w:type="dxa"/>
            <w:tcBorders>
              <w:top w:val="nil"/>
              <w:left w:val="nil"/>
              <w:bottom w:val="nil"/>
              <w:right w:val="nil"/>
            </w:tcBorders>
            <w:shd w:val="clear" w:color="auto" w:fill="auto"/>
            <w:noWrap/>
            <w:vAlign w:val="center"/>
            <w:hideMark/>
          </w:tcPr>
          <w:p w14:paraId="2DDBB1E4" w14:textId="77777777" w:rsidR="00DC351D" w:rsidRPr="0050087B" w:rsidRDefault="00DC351D" w:rsidP="00E607DA">
            <w:pPr>
              <w:rPr>
                <w:rFonts w:ascii="Meta Pro" w:eastAsia="Times New Roman" w:hAnsi="Meta Pro"/>
                <w:b/>
                <w:bCs/>
                <w:sz w:val="16"/>
                <w:szCs w:val="16"/>
                <w:lang w:eastAsia="en-AU"/>
              </w:rPr>
            </w:pPr>
            <w:r w:rsidRPr="0050087B">
              <w:rPr>
                <w:rFonts w:ascii="Meta Pro" w:eastAsia="Times New Roman" w:hAnsi="Meta Pro"/>
                <w:b/>
                <w:bCs/>
                <w:sz w:val="16"/>
                <w:szCs w:val="16"/>
                <w:lang w:eastAsia="en-AU"/>
              </w:rPr>
              <w:t>* Movements in the loss allowance</w:t>
            </w:r>
          </w:p>
        </w:tc>
        <w:tc>
          <w:tcPr>
            <w:tcW w:w="1216" w:type="dxa"/>
            <w:tcBorders>
              <w:top w:val="nil"/>
              <w:left w:val="nil"/>
              <w:bottom w:val="nil"/>
              <w:right w:val="nil"/>
            </w:tcBorders>
            <w:shd w:val="clear" w:color="auto" w:fill="auto"/>
            <w:noWrap/>
            <w:vAlign w:val="center"/>
            <w:hideMark/>
          </w:tcPr>
          <w:p w14:paraId="604439FD" w14:textId="77777777" w:rsidR="00DC351D" w:rsidRPr="0050087B" w:rsidRDefault="00DC351D" w:rsidP="00E607DA">
            <w:pPr>
              <w:rPr>
                <w:rFonts w:ascii="Meta Pro" w:eastAsia="Times New Roman" w:hAnsi="Meta Pro"/>
                <w:b/>
                <w:bCs/>
                <w:sz w:val="16"/>
                <w:szCs w:val="16"/>
                <w:lang w:eastAsia="en-AU"/>
              </w:rPr>
            </w:pPr>
          </w:p>
        </w:tc>
        <w:tc>
          <w:tcPr>
            <w:tcW w:w="216" w:type="dxa"/>
            <w:tcBorders>
              <w:top w:val="nil"/>
              <w:left w:val="nil"/>
              <w:bottom w:val="nil"/>
              <w:right w:val="nil"/>
            </w:tcBorders>
            <w:shd w:val="clear" w:color="auto" w:fill="auto"/>
            <w:noWrap/>
            <w:vAlign w:val="center"/>
            <w:hideMark/>
          </w:tcPr>
          <w:p w14:paraId="347187A9" w14:textId="77777777" w:rsidR="00DC351D" w:rsidRPr="0050087B" w:rsidRDefault="00DC351D"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026E35B1" w14:textId="77777777" w:rsidR="00DC351D" w:rsidRPr="0050087B" w:rsidRDefault="00DC351D" w:rsidP="00E607DA">
            <w:pPr>
              <w:jc w:val="right"/>
              <w:rPr>
                <w:rFonts w:ascii="Meta Pro" w:eastAsia="Times New Roman" w:hAnsi="Meta Pro" w:cs="Times New Roman"/>
                <w:sz w:val="20"/>
                <w:szCs w:val="20"/>
                <w:lang w:eastAsia="en-AU"/>
              </w:rPr>
            </w:pPr>
          </w:p>
        </w:tc>
      </w:tr>
      <w:tr w:rsidR="00DC351D" w:rsidRPr="0050087B" w14:paraId="1935EF1B" w14:textId="77777777" w:rsidTr="00E607DA">
        <w:trPr>
          <w:trHeight w:val="90"/>
        </w:trPr>
        <w:tc>
          <w:tcPr>
            <w:tcW w:w="7476" w:type="dxa"/>
            <w:tcBorders>
              <w:top w:val="nil"/>
              <w:left w:val="nil"/>
              <w:bottom w:val="nil"/>
              <w:right w:val="nil"/>
            </w:tcBorders>
            <w:shd w:val="clear" w:color="auto" w:fill="auto"/>
            <w:noWrap/>
            <w:vAlign w:val="center"/>
            <w:hideMark/>
          </w:tcPr>
          <w:p w14:paraId="194CEFB5" w14:textId="77777777" w:rsidR="00DC351D" w:rsidRPr="0050087B" w:rsidRDefault="00DC351D"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3794A4E2" w14:textId="77777777" w:rsidR="00DC351D" w:rsidRPr="0050087B" w:rsidRDefault="00DC351D" w:rsidP="00E607DA">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5C86396F" w14:textId="77777777" w:rsidR="00DC351D" w:rsidRPr="0050087B" w:rsidRDefault="00DC351D"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24562E2B" w14:textId="77777777" w:rsidR="00DC351D" w:rsidRPr="0050087B" w:rsidRDefault="00DC351D" w:rsidP="00E607DA">
            <w:pPr>
              <w:jc w:val="right"/>
              <w:rPr>
                <w:rFonts w:ascii="Meta Pro" w:eastAsia="Times New Roman" w:hAnsi="Meta Pro" w:cs="Times New Roman"/>
                <w:sz w:val="20"/>
                <w:szCs w:val="20"/>
                <w:lang w:eastAsia="en-AU"/>
              </w:rPr>
            </w:pPr>
          </w:p>
        </w:tc>
      </w:tr>
      <w:tr w:rsidR="00DC351D" w:rsidRPr="0050087B" w14:paraId="07C3EF2C" w14:textId="77777777" w:rsidTr="00E607DA">
        <w:trPr>
          <w:trHeight w:val="240"/>
        </w:trPr>
        <w:tc>
          <w:tcPr>
            <w:tcW w:w="7476" w:type="dxa"/>
            <w:tcBorders>
              <w:top w:val="nil"/>
              <w:left w:val="nil"/>
              <w:bottom w:val="nil"/>
              <w:right w:val="nil"/>
            </w:tcBorders>
            <w:shd w:val="clear" w:color="auto" w:fill="auto"/>
            <w:noWrap/>
            <w:vAlign w:val="center"/>
            <w:hideMark/>
          </w:tcPr>
          <w:p w14:paraId="45229D39" w14:textId="77777777" w:rsidR="00DC351D" w:rsidRPr="0050087B" w:rsidRDefault="00DC351D" w:rsidP="00E607DA">
            <w:pPr>
              <w:rPr>
                <w:rFonts w:ascii="Meta Pro" w:eastAsia="Times New Roman" w:hAnsi="Meta Pro"/>
                <w:sz w:val="16"/>
                <w:szCs w:val="16"/>
                <w:lang w:eastAsia="en-AU"/>
              </w:rPr>
            </w:pPr>
            <w:r w:rsidRPr="0050087B">
              <w:rPr>
                <w:rFonts w:ascii="Meta Pro" w:eastAsia="Times New Roman" w:hAnsi="Meta Pro"/>
                <w:sz w:val="16"/>
                <w:szCs w:val="16"/>
                <w:lang w:eastAsia="en-AU"/>
              </w:rPr>
              <w:t>Opening balance</w:t>
            </w:r>
          </w:p>
        </w:tc>
        <w:tc>
          <w:tcPr>
            <w:tcW w:w="1216" w:type="dxa"/>
            <w:tcBorders>
              <w:top w:val="nil"/>
              <w:left w:val="nil"/>
              <w:bottom w:val="nil"/>
              <w:right w:val="nil"/>
            </w:tcBorders>
            <w:shd w:val="clear" w:color="000000" w:fill="C9E3B4"/>
            <w:noWrap/>
            <w:vAlign w:val="center"/>
            <w:hideMark/>
          </w:tcPr>
          <w:p w14:paraId="5BF6794F" w14:textId="77777777" w:rsidR="00DC351D" w:rsidRPr="0050087B" w:rsidRDefault="00DC351D" w:rsidP="00E607DA">
            <w:pPr>
              <w:jc w:val="right"/>
              <w:rPr>
                <w:rFonts w:ascii="Meta Pro" w:eastAsia="Times New Roman" w:hAnsi="Meta Pro"/>
                <w:sz w:val="16"/>
                <w:szCs w:val="16"/>
                <w:lang w:eastAsia="en-AU"/>
              </w:rPr>
            </w:pPr>
            <w:r w:rsidRPr="0050087B">
              <w:rPr>
                <w:rFonts w:ascii="Meta Pro" w:eastAsia="Times New Roman" w:hAnsi="Meta Pro"/>
                <w:sz w:val="16"/>
                <w:szCs w:val="16"/>
                <w:lang w:eastAsia="en-AU"/>
              </w:rPr>
              <w:t xml:space="preserve">11,776 </w:t>
            </w:r>
          </w:p>
        </w:tc>
        <w:tc>
          <w:tcPr>
            <w:tcW w:w="216" w:type="dxa"/>
            <w:tcBorders>
              <w:top w:val="nil"/>
              <w:left w:val="nil"/>
              <w:bottom w:val="nil"/>
              <w:right w:val="nil"/>
            </w:tcBorders>
            <w:shd w:val="clear" w:color="auto" w:fill="auto"/>
            <w:noWrap/>
            <w:vAlign w:val="center"/>
            <w:hideMark/>
          </w:tcPr>
          <w:p w14:paraId="1998B13B" w14:textId="77777777" w:rsidR="00DC351D" w:rsidRPr="0050087B" w:rsidRDefault="00DC351D" w:rsidP="00E607DA">
            <w:pPr>
              <w:jc w:val="right"/>
              <w:rPr>
                <w:rFonts w:ascii="Meta Pro" w:eastAsia="Times New Roman" w:hAnsi="Meta Pro"/>
                <w:sz w:val="16"/>
                <w:szCs w:val="16"/>
                <w:lang w:eastAsia="en-AU"/>
              </w:rPr>
            </w:pPr>
          </w:p>
        </w:tc>
        <w:tc>
          <w:tcPr>
            <w:tcW w:w="1216" w:type="dxa"/>
            <w:tcBorders>
              <w:top w:val="nil"/>
              <w:left w:val="nil"/>
              <w:bottom w:val="nil"/>
              <w:right w:val="nil"/>
            </w:tcBorders>
            <w:shd w:val="clear" w:color="auto" w:fill="auto"/>
            <w:noWrap/>
            <w:vAlign w:val="center"/>
            <w:hideMark/>
          </w:tcPr>
          <w:p w14:paraId="11D3DCA2" w14:textId="77777777" w:rsidR="00DC351D" w:rsidRPr="0050087B" w:rsidRDefault="00DC351D" w:rsidP="00E607DA">
            <w:pPr>
              <w:jc w:val="right"/>
              <w:rPr>
                <w:rFonts w:ascii="Meta Pro" w:eastAsia="Times New Roman" w:hAnsi="Meta Pro"/>
                <w:sz w:val="16"/>
                <w:szCs w:val="16"/>
                <w:lang w:eastAsia="en-AU"/>
              </w:rPr>
            </w:pPr>
            <w:r w:rsidRPr="0050087B">
              <w:rPr>
                <w:rFonts w:ascii="Meta Pro" w:eastAsia="Times New Roman" w:hAnsi="Meta Pro"/>
                <w:sz w:val="16"/>
                <w:szCs w:val="16"/>
                <w:lang w:eastAsia="en-AU"/>
              </w:rPr>
              <w:t xml:space="preserve">10,050 </w:t>
            </w:r>
          </w:p>
        </w:tc>
      </w:tr>
      <w:tr w:rsidR="00DC351D" w:rsidRPr="0050087B" w14:paraId="2E8B3007" w14:textId="77777777" w:rsidTr="00E607DA">
        <w:trPr>
          <w:trHeight w:val="240"/>
        </w:trPr>
        <w:tc>
          <w:tcPr>
            <w:tcW w:w="7476" w:type="dxa"/>
            <w:tcBorders>
              <w:top w:val="nil"/>
              <w:left w:val="nil"/>
              <w:bottom w:val="nil"/>
              <w:right w:val="nil"/>
            </w:tcBorders>
            <w:shd w:val="clear" w:color="auto" w:fill="auto"/>
            <w:noWrap/>
            <w:vAlign w:val="center"/>
            <w:hideMark/>
          </w:tcPr>
          <w:p w14:paraId="02BB26EE" w14:textId="77777777" w:rsidR="00DC351D" w:rsidRPr="0050087B" w:rsidRDefault="00DC351D" w:rsidP="00E607DA">
            <w:pPr>
              <w:rPr>
                <w:rFonts w:ascii="Meta Pro" w:eastAsia="Times New Roman" w:hAnsi="Meta Pro"/>
                <w:sz w:val="16"/>
                <w:szCs w:val="16"/>
                <w:lang w:eastAsia="en-AU"/>
              </w:rPr>
            </w:pPr>
            <w:r w:rsidRPr="0050087B">
              <w:rPr>
                <w:rFonts w:ascii="Meta Pro" w:eastAsia="Times New Roman" w:hAnsi="Meta Pro"/>
                <w:sz w:val="16"/>
                <w:szCs w:val="16"/>
                <w:lang w:eastAsia="en-AU"/>
              </w:rPr>
              <w:t xml:space="preserve">Increase in allowance recognised in the operating result   </w:t>
            </w:r>
          </w:p>
        </w:tc>
        <w:tc>
          <w:tcPr>
            <w:tcW w:w="1216" w:type="dxa"/>
            <w:tcBorders>
              <w:top w:val="nil"/>
              <w:left w:val="nil"/>
              <w:bottom w:val="nil"/>
              <w:right w:val="nil"/>
            </w:tcBorders>
            <w:shd w:val="clear" w:color="000000" w:fill="C9E3B4"/>
            <w:noWrap/>
            <w:vAlign w:val="center"/>
            <w:hideMark/>
          </w:tcPr>
          <w:p w14:paraId="60D137EC" w14:textId="77777777" w:rsidR="00DC351D" w:rsidRPr="0050087B" w:rsidRDefault="00DC351D" w:rsidP="00E607DA">
            <w:pPr>
              <w:jc w:val="right"/>
              <w:rPr>
                <w:rFonts w:ascii="Meta Pro" w:eastAsia="Times New Roman" w:hAnsi="Meta Pro"/>
                <w:sz w:val="16"/>
                <w:szCs w:val="16"/>
                <w:lang w:eastAsia="en-AU"/>
              </w:rPr>
            </w:pPr>
            <w:r w:rsidRPr="0050087B">
              <w:rPr>
                <w:rFonts w:ascii="Meta Pro" w:eastAsia="Times New Roman" w:hAnsi="Meta Pro"/>
                <w:sz w:val="16"/>
                <w:szCs w:val="16"/>
                <w:lang w:eastAsia="en-AU"/>
              </w:rPr>
              <w:t xml:space="preserve">1,162 </w:t>
            </w:r>
          </w:p>
        </w:tc>
        <w:tc>
          <w:tcPr>
            <w:tcW w:w="216" w:type="dxa"/>
            <w:tcBorders>
              <w:top w:val="nil"/>
              <w:left w:val="nil"/>
              <w:bottom w:val="nil"/>
              <w:right w:val="nil"/>
            </w:tcBorders>
            <w:shd w:val="clear" w:color="auto" w:fill="auto"/>
            <w:noWrap/>
            <w:vAlign w:val="center"/>
            <w:hideMark/>
          </w:tcPr>
          <w:p w14:paraId="555B532B" w14:textId="77777777" w:rsidR="00DC351D" w:rsidRPr="0050087B" w:rsidRDefault="00DC351D" w:rsidP="00E607DA">
            <w:pPr>
              <w:jc w:val="right"/>
              <w:rPr>
                <w:rFonts w:ascii="Meta Pro" w:eastAsia="Times New Roman" w:hAnsi="Meta Pro"/>
                <w:sz w:val="16"/>
                <w:szCs w:val="16"/>
                <w:lang w:eastAsia="en-AU"/>
              </w:rPr>
            </w:pPr>
          </w:p>
        </w:tc>
        <w:tc>
          <w:tcPr>
            <w:tcW w:w="1216" w:type="dxa"/>
            <w:tcBorders>
              <w:top w:val="nil"/>
              <w:left w:val="nil"/>
              <w:bottom w:val="nil"/>
              <w:right w:val="nil"/>
            </w:tcBorders>
            <w:shd w:val="clear" w:color="auto" w:fill="auto"/>
            <w:noWrap/>
            <w:vAlign w:val="center"/>
            <w:hideMark/>
          </w:tcPr>
          <w:p w14:paraId="2B9281D2" w14:textId="77777777" w:rsidR="00DC351D" w:rsidRPr="0050087B" w:rsidRDefault="00DC351D" w:rsidP="00E607DA">
            <w:pPr>
              <w:jc w:val="right"/>
              <w:rPr>
                <w:rFonts w:ascii="Meta Pro" w:eastAsia="Times New Roman" w:hAnsi="Meta Pro"/>
                <w:sz w:val="16"/>
                <w:szCs w:val="16"/>
                <w:lang w:eastAsia="en-AU"/>
              </w:rPr>
            </w:pPr>
            <w:r w:rsidRPr="0050087B">
              <w:rPr>
                <w:rFonts w:ascii="Meta Pro" w:eastAsia="Times New Roman" w:hAnsi="Meta Pro"/>
                <w:sz w:val="16"/>
                <w:szCs w:val="16"/>
                <w:lang w:eastAsia="en-AU"/>
              </w:rPr>
              <w:t xml:space="preserve">2,375 </w:t>
            </w:r>
          </w:p>
        </w:tc>
      </w:tr>
      <w:tr w:rsidR="00DC351D" w:rsidRPr="0050087B" w14:paraId="790BF56E" w14:textId="77777777" w:rsidTr="00E607DA">
        <w:trPr>
          <w:trHeight w:val="240"/>
        </w:trPr>
        <w:tc>
          <w:tcPr>
            <w:tcW w:w="7476" w:type="dxa"/>
            <w:tcBorders>
              <w:top w:val="nil"/>
              <w:left w:val="nil"/>
              <w:bottom w:val="nil"/>
              <w:right w:val="nil"/>
            </w:tcBorders>
            <w:shd w:val="clear" w:color="auto" w:fill="auto"/>
            <w:noWrap/>
            <w:vAlign w:val="center"/>
            <w:hideMark/>
          </w:tcPr>
          <w:p w14:paraId="2CBE551C" w14:textId="77777777" w:rsidR="00DC351D" w:rsidRPr="0050087B" w:rsidRDefault="00DC351D" w:rsidP="00E607DA">
            <w:pPr>
              <w:rPr>
                <w:rFonts w:ascii="Meta Pro" w:eastAsia="Times New Roman" w:hAnsi="Meta Pro"/>
                <w:sz w:val="16"/>
                <w:szCs w:val="16"/>
                <w:lang w:eastAsia="en-AU"/>
              </w:rPr>
            </w:pPr>
            <w:r w:rsidRPr="0050087B">
              <w:rPr>
                <w:rFonts w:ascii="Meta Pro" w:eastAsia="Times New Roman" w:hAnsi="Meta Pro"/>
                <w:sz w:val="16"/>
                <w:szCs w:val="16"/>
                <w:lang w:eastAsia="en-AU"/>
              </w:rPr>
              <w:t>Amounts written off during the year</w:t>
            </w:r>
          </w:p>
        </w:tc>
        <w:tc>
          <w:tcPr>
            <w:tcW w:w="1216" w:type="dxa"/>
            <w:tcBorders>
              <w:top w:val="nil"/>
              <w:left w:val="nil"/>
              <w:bottom w:val="nil"/>
              <w:right w:val="nil"/>
            </w:tcBorders>
            <w:shd w:val="clear" w:color="000000" w:fill="C9E3B4"/>
            <w:noWrap/>
            <w:vAlign w:val="center"/>
            <w:hideMark/>
          </w:tcPr>
          <w:p w14:paraId="1CD3E179" w14:textId="77777777" w:rsidR="00DC351D" w:rsidRPr="0050087B" w:rsidRDefault="00DC351D" w:rsidP="00E607DA">
            <w:pPr>
              <w:jc w:val="right"/>
              <w:rPr>
                <w:rFonts w:ascii="Meta Pro" w:eastAsia="Times New Roman" w:hAnsi="Meta Pro"/>
                <w:sz w:val="16"/>
                <w:szCs w:val="16"/>
                <w:lang w:eastAsia="en-AU"/>
              </w:rPr>
            </w:pPr>
            <w:r w:rsidRPr="0050087B">
              <w:rPr>
                <w:rFonts w:ascii="Meta Pro" w:eastAsia="Times New Roman" w:hAnsi="Meta Pro"/>
                <w:sz w:val="16"/>
                <w:szCs w:val="16"/>
                <w:lang w:eastAsia="en-AU"/>
              </w:rPr>
              <w:t>(613)</w:t>
            </w:r>
          </w:p>
        </w:tc>
        <w:tc>
          <w:tcPr>
            <w:tcW w:w="216" w:type="dxa"/>
            <w:tcBorders>
              <w:top w:val="nil"/>
              <w:left w:val="nil"/>
              <w:bottom w:val="nil"/>
              <w:right w:val="nil"/>
            </w:tcBorders>
            <w:shd w:val="clear" w:color="auto" w:fill="auto"/>
            <w:noWrap/>
            <w:vAlign w:val="center"/>
            <w:hideMark/>
          </w:tcPr>
          <w:p w14:paraId="077DB1AF" w14:textId="77777777" w:rsidR="00DC351D" w:rsidRPr="0050087B" w:rsidRDefault="00DC351D" w:rsidP="00E607DA">
            <w:pPr>
              <w:jc w:val="right"/>
              <w:rPr>
                <w:rFonts w:ascii="Meta Pro" w:eastAsia="Times New Roman" w:hAnsi="Meta Pro"/>
                <w:sz w:val="16"/>
                <w:szCs w:val="16"/>
                <w:lang w:eastAsia="en-AU"/>
              </w:rPr>
            </w:pPr>
          </w:p>
        </w:tc>
        <w:tc>
          <w:tcPr>
            <w:tcW w:w="1216" w:type="dxa"/>
            <w:tcBorders>
              <w:top w:val="nil"/>
              <w:left w:val="nil"/>
              <w:bottom w:val="nil"/>
              <w:right w:val="nil"/>
            </w:tcBorders>
            <w:shd w:val="clear" w:color="auto" w:fill="auto"/>
            <w:noWrap/>
            <w:vAlign w:val="center"/>
            <w:hideMark/>
          </w:tcPr>
          <w:p w14:paraId="7C162810" w14:textId="77777777" w:rsidR="00DC351D" w:rsidRPr="0050087B" w:rsidRDefault="00DC351D" w:rsidP="00E607DA">
            <w:pPr>
              <w:jc w:val="right"/>
              <w:rPr>
                <w:rFonts w:ascii="Meta Pro" w:eastAsia="Times New Roman" w:hAnsi="Meta Pro"/>
                <w:sz w:val="16"/>
                <w:szCs w:val="16"/>
                <w:lang w:eastAsia="en-AU"/>
              </w:rPr>
            </w:pPr>
            <w:r w:rsidRPr="0050087B">
              <w:rPr>
                <w:rFonts w:ascii="Meta Pro" w:eastAsia="Times New Roman" w:hAnsi="Meta Pro"/>
                <w:sz w:val="16"/>
                <w:szCs w:val="16"/>
                <w:lang w:eastAsia="en-AU"/>
              </w:rPr>
              <w:t>(653)</w:t>
            </w:r>
          </w:p>
        </w:tc>
      </w:tr>
      <w:tr w:rsidR="00DC351D" w:rsidRPr="0050087B" w14:paraId="0B09DD22" w14:textId="77777777" w:rsidTr="00E607DA">
        <w:trPr>
          <w:trHeight w:val="240"/>
        </w:trPr>
        <w:tc>
          <w:tcPr>
            <w:tcW w:w="7476" w:type="dxa"/>
            <w:tcBorders>
              <w:top w:val="nil"/>
              <w:left w:val="nil"/>
              <w:bottom w:val="nil"/>
              <w:right w:val="nil"/>
            </w:tcBorders>
            <w:shd w:val="clear" w:color="auto" w:fill="auto"/>
            <w:noWrap/>
            <w:vAlign w:val="center"/>
            <w:hideMark/>
          </w:tcPr>
          <w:p w14:paraId="5AD37478" w14:textId="77777777" w:rsidR="00DC351D" w:rsidRPr="0050087B" w:rsidRDefault="00DC351D" w:rsidP="00E607DA">
            <w:pPr>
              <w:rPr>
                <w:rFonts w:ascii="Meta Pro" w:eastAsia="Times New Roman" w:hAnsi="Meta Pro"/>
                <w:sz w:val="16"/>
                <w:szCs w:val="16"/>
                <w:lang w:eastAsia="en-AU"/>
              </w:rPr>
            </w:pPr>
            <w:r w:rsidRPr="0050087B">
              <w:rPr>
                <w:rFonts w:ascii="Meta Pro" w:eastAsia="Times New Roman" w:hAnsi="Meta Pro"/>
                <w:sz w:val="16"/>
                <w:szCs w:val="16"/>
                <w:lang w:eastAsia="en-AU"/>
              </w:rPr>
              <w:t>Impairment loss reversal (amount recovered) **</w:t>
            </w:r>
          </w:p>
        </w:tc>
        <w:tc>
          <w:tcPr>
            <w:tcW w:w="1216" w:type="dxa"/>
            <w:tcBorders>
              <w:top w:val="nil"/>
              <w:left w:val="nil"/>
              <w:bottom w:val="nil"/>
              <w:right w:val="nil"/>
            </w:tcBorders>
            <w:shd w:val="clear" w:color="000000" w:fill="C9E3B4"/>
            <w:noWrap/>
            <w:vAlign w:val="center"/>
            <w:hideMark/>
          </w:tcPr>
          <w:p w14:paraId="7D281501" w14:textId="77777777" w:rsidR="00DC351D" w:rsidRPr="0050087B" w:rsidRDefault="00DC351D" w:rsidP="00E607DA">
            <w:pPr>
              <w:jc w:val="right"/>
              <w:rPr>
                <w:rFonts w:ascii="Meta Pro" w:eastAsia="Times New Roman" w:hAnsi="Meta Pro"/>
                <w:sz w:val="16"/>
                <w:szCs w:val="16"/>
                <w:lang w:eastAsia="en-AU"/>
              </w:rPr>
            </w:pPr>
            <w:r w:rsidRPr="0050087B">
              <w:rPr>
                <w:rFonts w:ascii="Meta Pro" w:eastAsia="Times New Roman" w:hAnsi="Meta Pro"/>
                <w:sz w:val="16"/>
                <w:szCs w:val="16"/>
                <w:lang w:eastAsia="en-AU"/>
              </w:rPr>
              <w:t>(6,935)</w:t>
            </w:r>
          </w:p>
        </w:tc>
        <w:tc>
          <w:tcPr>
            <w:tcW w:w="216" w:type="dxa"/>
            <w:tcBorders>
              <w:top w:val="nil"/>
              <w:left w:val="nil"/>
              <w:bottom w:val="nil"/>
              <w:right w:val="nil"/>
            </w:tcBorders>
            <w:shd w:val="clear" w:color="auto" w:fill="auto"/>
            <w:noWrap/>
            <w:vAlign w:val="center"/>
            <w:hideMark/>
          </w:tcPr>
          <w:p w14:paraId="05BAB968" w14:textId="77777777" w:rsidR="00DC351D" w:rsidRPr="0050087B" w:rsidRDefault="00DC351D" w:rsidP="00E607DA">
            <w:pPr>
              <w:jc w:val="right"/>
              <w:rPr>
                <w:rFonts w:ascii="Meta Pro" w:eastAsia="Times New Roman" w:hAnsi="Meta Pro"/>
                <w:sz w:val="16"/>
                <w:szCs w:val="16"/>
                <w:lang w:eastAsia="en-AU"/>
              </w:rPr>
            </w:pPr>
          </w:p>
        </w:tc>
        <w:tc>
          <w:tcPr>
            <w:tcW w:w="1216" w:type="dxa"/>
            <w:tcBorders>
              <w:top w:val="nil"/>
              <w:left w:val="nil"/>
              <w:bottom w:val="nil"/>
              <w:right w:val="nil"/>
            </w:tcBorders>
            <w:shd w:val="clear" w:color="auto" w:fill="auto"/>
            <w:noWrap/>
            <w:vAlign w:val="center"/>
            <w:hideMark/>
          </w:tcPr>
          <w:p w14:paraId="67678FF0" w14:textId="77777777" w:rsidR="00DC351D" w:rsidRPr="0050087B" w:rsidRDefault="00DC351D" w:rsidP="00E607DA">
            <w:pPr>
              <w:jc w:val="right"/>
              <w:rPr>
                <w:rFonts w:ascii="Meta Pro" w:eastAsia="Times New Roman" w:hAnsi="Meta Pro"/>
                <w:sz w:val="16"/>
                <w:szCs w:val="16"/>
                <w:lang w:eastAsia="en-AU"/>
              </w:rPr>
            </w:pPr>
            <w:r w:rsidRPr="0050087B">
              <w:rPr>
                <w:rFonts w:ascii="Meta Pro" w:eastAsia="Times New Roman" w:hAnsi="Meta Pro"/>
                <w:sz w:val="16"/>
                <w:szCs w:val="16"/>
                <w:lang w:eastAsia="en-AU"/>
              </w:rPr>
              <w:t xml:space="preserve">- </w:t>
            </w:r>
          </w:p>
        </w:tc>
      </w:tr>
      <w:tr w:rsidR="00DC351D" w:rsidRPr="0050087B" w14:paraId="02EF2126" w14:textId="77777777" w:rsidTr="00E607DA">
        <w:trPr>
          <w:trHeight w:val="240"/>
        </w:trPr>
        <w:tc>
          <w:tcPr>
            <w:tcW w:w="7476" w:type="dxa"/>
            <w:tcBorders>
              <w:top w:val="nil"/>
              <w:left w:val="nil"/>
              <w:bottom w:val="nil"/>
              <w:right w:val="nil"/>
            </w:tcBorders>
            <w:shd w:val="clear" w:color="auto" w:fill="auto"/>
            <w:noWrap/>
            <w:vAlign w:val="center"/>
            <w:hideMark/>
          </w:tcPr>
          <w:p w14:paraId="147506E5" w14:textId="77777777" w:rsidR="00DC351D" w:rsidRPr="0050087B" w:rsidRDefault="00DC351D" w:rsidP="00E607DA">
            <w:pPr>
              <w:rPr>
                <w:rFonts w:ascii="Meta Pro" w:eastAsia="Times New Roman" w:hAnsi="Meta Pro"/>
                <w:sz w:val="16"/>
                <w:szCs w:val="16"/>
                <w:lang w:eastAsia="en-AU"/>
              </w:rPr>
            </w:pPr>
            <w:r w:rsidRPr="0050087B">
              <w:rPr>
                <w:rFonts w:ascii="Meta Pro" w:eastAsia="Times New Roman" w:hAnsi="Meta Pro"/>
                <w:sz w:val="16"/>
                <w:szCs w:val="16"/>
                <w:lang w:eastAsia="en-AU"/>
              </w:rPr>
              <w:t>Amounts recovered during the year previously written off</w:t>
            </w:r>
          </w:p>
        </w:tc>
        <w:tc>
          <w:tcPr>
            <w:tcW w:w="1216" w:type="dxa"/>
            <w:tcBorders>
              <w:top w:val="nil"/>
              <w:left w:val="nil"/>
              <w:bottom w:val="nil"/>
              <w:right w:val="nil"/>
            </w:tcBorders>
            <w:shd w:val="clear" w:color="000000" w:fill="C9E3B4"/>
            <w:noWrap/>
            <w:vAlign w:val="center"/>
            <w:hideMark/>
          </w:tcPr>
          <w:p w14:paraId="689632BD" w14:textId="77777777" w:rsidR="00DC351D" w:rsidRPr="0050087B" w:rsidRDefault="00DC351D" w:rsidP="00E607DA">
            <w:pPr>
              <w:jc w:val="right"/>
              <w:rPr>
                <w:rFonts w:ascii="Meta Pro" w:eastAsia="Times New Roman" w:hAnsi="Meta Pro"/>
                <w:sz w:val="16"/>
                <w:szCs w:val="16"/>
                <w:lang w:eastAsia="en-AU"/>
              </w:rPr>
            </w:pPr>
            <w:r w:rsidRPr="0050087B">
              <w:rPr>
                <w:rFonts w:ascii="Meta Pro" w:eastAsia="Times New Roman" w:hAnsi="Meta Pro"/>
                <w:sz w:val="16"/>
                <w:szCs w:val="16"/>
                <w:lang w:eastAsia="en-AU"/>
              </w:rPr>
              <w:t xml:space="preserve">16 </w:t>
            </w:r>
          </w:p>
        </w:tc>
        <w:tc>
          <w:tcPr>
            <w:tcW w:w="216" w:type="dxa"/>
            <w:tcBorders>
              <w:top w:val="nil"/>
              <w:left w:val="nil"/>
              <w:bottom w:val="nil"/>
              <w:right w:val="nil"/>
            </w:tcBorders>
            <w:shd w:val="clear" w:color="auto" w:fill="auto"/>
            <w:noWrap/>
            <w:vAlign w:val="center"/>
            <w:hideMark/>
          </w:tcPr>
          <w:p w14:paraId="65257BA9" w14:textId="77777777" w:rsidR="00DC351D" w:rsidRPr="0050087B" w:rsidRDefault="00DC351D" w:rsidP="00E607DA">
            <w:pPr>
              <w:jc w:val="right"/>
              <w:rPr>
                <w:rFonts w:ascii="Meta Pro" w:eastAsia="Times New Roman" w:hAnsi="Meta Pro"/>
                <w:sz w:val="16"/>
                <w:szCs w:val="16"/>
                <w:lang w:eastAsia="en-AU"/>
              </w:rPr>
            </w:pPr>
          </w:p>
        </w:tc>
        <w:tc>
          <w:tcPr>
            <w:tcW w:w="1216" w:type="dxa"/>
            <w:tcBorders>
              <w:top w:val="nil"/>
              <w:left w:val="nil"/>
              <w:bottom w:val="nil"/>
              <w:right w:val="nil"/>
            </w:tcBorders>
            <w:shd w:val="clear" w:color="auto" w:fill="auto"/>
            <w:noWrap/>
            <w:vAlign w:val="center"/>
            <w:hideMark/>
          </w:tcPr>
          <w:p w14:paraId="6A05FE06" w14:textId="77777777" w:rsidR="00DC351D" w:rsidRPr="0050087B" w:rsidRDefault="00DC351D" w:rsidP="00E607DA">
            <w:pPr>
              <w:jc w:val="right"/>
              <w:rPr>
                <w:rFonts w:ascii="Meta Pro" w:eastAsia="Times New Roman" w:hAnsi="Meta Pro"/>
                <w:sz w:val="16"/>
                <w:szCs w:val="16"/>
                <w:lang w:eastAsia="en-AU"/>
              </w:rPr>
            </w:pPr>
            <w:r w:rsidRPr="0050087B">
              <w:rPr>
                <w:rFonts w:ascii="Meta Pro" w:eastAsia="Times New Roman" w:hAnsi="Meta Pro"/>
                <w:sz w:val="16"/>
                <w:szCs w:val="16"/>
                <w:lang w:eastAsia="en-AU"/>
              </w:rPr>
              <w:t xml:space="preserve">4 </w:t>
            </w:r>
          </w:p>
        </w:tc>
      </w:tr>
      <w:tr w:rsidR="00DC351D" w:rsidRPr="0050087B" w14:paraId="1881CC34" w14:textId="77777777" w:rsidTr="00E607DA">
        <w:trPr>
          <w:trHeight w:val="240"/>
        </w:trPr>
        <w:tc>
          <w:tcPr>
            <w:tcW w:w="7476" w:type="dxa"/>
            <w:tcBorders>
              <w:top w:val="single" w:sz="4" w:space="0" w:color="auto"/>
              <w:left w:val="nil"/>
              <w:bottom w:val="double" w:sz="6" w:space="0" w:color="auto"/>
              <w:right w:val="nil"/>
            </w:tcBorders>
            <w:shd w:val="clear" w:color="auto" w:fill="auto"/>
            <w:noWrap/>
            <w:vAlign w:val="center"/>
            <w:hideMark/>
          </w:tcPr>
          <w:p w14:paraId="2AD750AD" w14:textId="77777777" w:rsidR="00DC351D" w:rsidRPr="0050087B" w:rsidRDefault="00DC351D" w:rsidP="00E607DA">
            <w:pPr>
              <w:rPr>
                <w:rFonts w:ascii="Meta Pro" w:eastAsia="Times New Roman" w:hAnsi="Meta Pro"/>
                <w:sz w:val="16"/>
                <w:szCs w:val="16"/>
                <w:lang w:eastAsia="en-AU"/>
              </w:rPr>
            </w:pPr>
            <w:r w:rsidRPr="0050087B">
              <w:rPr>
                <w:rFonts w:ascii="Meta Pro" w:eastAsia="Times New Roman" w:hAnsi="Meta Pro"/>
                <w:sz w:val="16"/>
                <w:szCs w:val="16"/>
                <w:lang w:eastAsia="en-AU"/>
              </w:rPr>
              <w:t>Closing balance ***</w:t>
            </w:r>
          </w:p>
        </w:tc>
        <w:tc>
          <w:tcPr>
            <w:tcW w:w="1216" w:type="dxa"/>
            <w:tcBorders>
              <w:top w:val="single" w:sz="4" w:space="0" w:color="auto"/>
              <w:left w:val="nil"/>
              <w:bottom w:val="double" w:sz="6" w:space="0" w:color="auto"/>
              <w:right w:val="nil"/>
            </w:tcBorders>
            <w:shd w:val="clear" w:color="000000" w:fill="C9E3B4"/>
            <w:noWrap/>
            <w:vAlign w:val="center"/>
            <w:hideMark/>
          </w:tcPr>
          <w:p w14:paraId="213EB439" w14:textId="77777777" w:rsidR="00DC351D" w:rsidRPr="0050087B" w:rsidRDefault="00DC351D" w:rsidP="00E607DA">
            <w:pPr>
              <w:jc w:val="right"/>
              <w:rPr>
                <w:rFonts w:ascii="Meta Pro" w:eastAsia="Times New Roman" w:hAnsi="Meta Pro"/>
                <w:sz w:val="16"/>
                <w:szCs w:val="16"/>
                <w:lang w:eastAsia="en-AU"/>
              </w:rPr>
            </w:pPr>
            <w:r w:rsidRPr="0050087B">
              <w:rPr>
                <w:rFonts w:ascii="Meta Pro" w:eastAsia="Times New Roman" w:hAnsi="Meta Pro"/>
                <w:sz w:val="16"/>
                <w:szCs w:val="16"/>
                <w:lang w:eastAsia="en-AU"/>
              </w:rPr>
              <w:t xml:space="preserve">5,406 </w:t>
            </w:r>
          </w:p>
        </w:tc>
        <w:tc>
          <w:tcPr>
            <w:tcW w:w="216" w:type="dxa"/>
            <w:tcBorders>
              <w:top w:val="single" w:sz="4" w:space="0" w:color="auto"/>
              <w:left w:val="nil"/>
              <w:bottom w:val="double" w:sz="6" w:space="0" w:color="auto"/>
              <w:right w:val="nil"/>
            </w:tcBorders>
            <w:shd w:val="clear" w:color="auto" w:fill="auto"/>
            <w:noWrap/>
            <w:vAlign w:val="center"/>
            <w:hideMark/>
          </w:tcPr>
          <w:p w14:paraId="7D94C219" w14:textId="77777777" w:rsidR="00DC351D" w:rsidRPr="0050087B" w:rsidRDefault="00DC351D" w:rsidP="00E607DA">
            <w:pPr>
              <w:jc w:val="right"/>
              <w:rPr>
                <w:rFonts w:ascii="Meta Pro" w:eastAsia="Times New Roman" w:hAnsi="Meta Pro"/>
                <w:sz w:val="16"/>
                <w:szCs w:val="16"/>
                <w:lang w:eastAsia="en-AU"/>
              </w:rPr>
            </w:pPr>
            <w:r w:rsidRPr="0050087B">
              <w:rPr>
                <w:rFonts w:ascii="Meta Pro" w:eastAsia="Times New Roman" w:hAnsi="Meta Pro"/>
                <w:sz w:val="16"/>
                <w:szCs w:val="16"/>
                <w:lang w:eastAsia="en-AU"/>
              </w:rPr>
              <w:t> </w:t>
            </w:r>
          </w:p>
        </w:tc>
        <w:tc>
          <w:tcPr>
            <w:tcW w:w="1216" w:type="dxa"/>
            <w:tcBorders>
              <w:top w:val="single" w:sz="4" w:space="0" w:color="auto"/>
              <w:left w:val="nil"/>
              <w:bottom w:val="double" w:sz="6" w:space="0" w:color="auto"/>
              <w:right w:val="nil"/>
            </w:tcBorders>
            <w:shd w:val="clear" w:color="auto" w:fill="auto"/>
            <w:noWrap/>
            <w:vAlign w:val="center"/>
            <w:hideMark/>
          </w:tcPr>
          <w:p w14:paraId="4EE73FA7" w14:textId="77777777" w:rsidR="00DC351D" w:rsidRPr="0050087B" w:rsidRDefault="00DC351D" w:rsidP="00E607DA">
            <w:pPr>
              <w:jc w:val="right"/>
              <w:rPr>
                <w:rFonts w:ascii="Meta Pro" w:eastAsia="Times New Roman" w:hAnsi="Meta Pro"/>
                <w:sz w:val="16"/>
                <w:szCs w:val="16"/>
                <w:lang w:eastAsia="en-AU"/>
              </w:rPr>
            </w:pPr>
            <w:r w:rsidRPr="0050087B">
              <w:rPr>
                <w:rFonts w:ascii="Meta Pro" w:eastAsia="Times New Roman" w:hAnsi="Meta Pro"/>
                <w:sz w:val="16"/>
                <w:szCs w:val="16"/>
                <w:lang w:eastAsia="en-AU"/>
              </w:rPr>
              <w:t xml:space="preserve">11,776 </w:t>
            </w:r>
          </w:p>
        </w:tc>
      </w:tr>
    </w:tbl>
    <w:p w14:paraId="468394E6" w14:textId="77777777" w:rsidR="00DC351D" w:rsidRPr="00092B22" w:rsidRDefault="00DC351D" w:rsidP="00DC351D">
      <w:pPr>
        <w:spacing w:before="120" w:line="120" w:lineRule="exac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Individually impaired financial assets are more than 90 days overdue. </w:t>
      </w:r>
    </w:p>
    <w:p w14:paraId="40F40343" w14:textId="77777777" w:rsidR="00DC351D" w:rsidRPr="00092B22" w:rsidRDefault="00DC351D" w:rsidP="00DC351D">
      <w:pPr>
        <w:spacing w:before="120"/>
        <w:rPr>
          <w:rFonts w:ascii="Meta Pro" w:eastAsia="Times New Roman" w:hAnsi="Meta Pro"/>
          <w:sz w:val="16"/>
          <w:szCs w:val="16"/>
          <w:lang w:eastAsia="en-AU"/>
        </w:rPr>
      </w:pPr>
      <w:r w:rsidRPr="00092B22">
        <w:rPr>
          <w:rFonts w:ascii="Meta Pro" w:eastAsia="Times New Roman" w:hAnsi="Meta Pro"/>
          <w:sz w:val="16"/>
          <w:szCs w:val="16"/>
          <w:lang w:eastAsia="en-AU"/>
        </w:rPr>
        <w:t>*** Recovery of previously impaired debt following renegotiation of the outstanding amount</w:t>
      </w:r>
      <w:r>
        <w:rPr>
          <w:rFonts w:ascii="Meta Pro" w:eastAsia="Times New Roman" w:hAnsi="Meta Pro"/>
          <w:sz w:val="16"/>
          <w:szCs w:val="16"/>
          <w:lang w:eastAsia="en-AU"/>
        </w:rPr>
        <w:t xml:space="preserve"> with the customer.</w:t>
      </w:r>
    </w:p>
    <w:p w14:paraId="6C2DF4A8" w14:textId="77777777" w:rsidR="00DC351D" w:rsidRPr="00092B22" w:rsidRDefault="00DC351D" w:rsidP="00DC351D">
      <w:pPr>
        <w:rPr>
          <w:rFonts w:ascii="Meta Pro" w:eastAsia="Times New Roman" w:hAnsi="Meta Pro"/>
          <w:sz w:val="16"/>
          <w:szCs w:val="16"/>
          <w:lang w:eastAsia="en-AU"/>
        </w:rPr>
      </w:pPr>
    </w:p>
    <w:p w14:paraId="3A0FD0A3" w14:textId="77777777" w:rsidR="00DC351D" w:rsidRPr="00092B22" w:rsidRDefault="00DC351D" w:rsidP="00DC351D">
      <w:pPr>
        <w:spacing w:after="120"/>
        <w:rPr>
          <w:rFonts w:ascii="Meta Pro" w:hAnsi="Meta Pro" w:cstheme="minorBidi"/>
        </w:rPr>
      </w:pPr>
      <w:r w:rsidRPr="00092B22">
        <w:rPr>
          <w:rFonts w:ascii="Meta Pro" w:eastAsia="Times New Roman" w:hAnsi="Meta Pro"/>
          <w:b/>
          <w:bCs/>
          <w:szCs w:val="18"/>
          <w:lang w:eastAsia="en-AU"/>
        </w:rPr>
        <w:t>Receivables credit risk – ageing analysis</w:t>
      </w:r>
    </w:p>
    <w:tbl>
      <w:tblPr>
        <w:tblW w:w="0" w:type="auto"/>
        <w:tblCellMar>
          <w:left w:w="0" w:type="dxa"/>
        </w:tblCellMar>
        <w:tblLook w:val="04A0" w:firstRow="1" w:lastRow="0" w:firstColumn="1" w:lastColumn="0" w:noHBand="0" w:noVBand="1"/>
      </w:tblPr>
      <w:tblGrid>
        <w:gridCol w:w="2665"/>
        <w:gridCol w:w="1383"/>
        <w:gridCol w:w="1383"/>
        <w:gridCol w:w="1383"/>
        <w:gridCol w:w="1383"/>
        <w:gridCol w:w="1383"/>
      </w:tblGrid>
      <w:tr w:rsidR="00DC351D" w:rsidRPr="00092B22" w14:paraId="6C4B1A0A" w14:textId="77777777" w:rsidTr="00E607DA">
        <w:trPr>
          <w:trHeight w:val="23"/>
        </w:trPr>
        <w:tc>
          <w:tcPr>
            <w:tcW w:w="26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BC3BD95" w14:textId="77777777" w:rsidR="00DC351D" w:rsidRPr="00092B22" w:rsidRDefault="00DC351D" w:rsidP="00E607DA">
            <w:pPr>
              <w:rPr>
                <w:rFonts w:ascii="Meta Pro" w:eastAsia="Times New Roman" w:hAnsi="Meta Pro"/>
                <w:b/>
                <w:bCs/>
                <w:szCs w:val="18"/>
                <w:lang w:eastAsia="en-AU"/>
              </w:rPr>
            </w:pPr>
            <w:r w:rsidRPr="00092B22">
              <w:rPr>
                <w:rFonts w:ascii="Meta Pro" w:eastAsia="Times New Roman" w:hAnsi="Meta Pro"/>
                <w:b/>
                <w:bCs/>
                <w:szCs w:val="18"/>
                <w:lang w:eastAsia="en-AU"/>
              </w:rPr>
              <w:t>Past due but not impaired</w:t>
            </w:r>
          </w:p>
        </w:tc>
        <w:tc>
          <w:tcPr>
            <w:tcW w:w="6915"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6F4CB1BA" w14:textId="77777777" w:rsidR="00DC351D" w:rsidRPr="00092B22" w:rsidRDefault="00DC351D"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Overdue</w:t>
            </w:r>
          </w:p>
        </w:tc>
      </w:tr>
      <w:tr w:rsidR="00DC351D" w:rsidRPr="00092B22" w14:paraId="7E1817EE" w14:textId="77777777" w:rsidTr="00E607DA">
        <w:trPr>
          <w:trHeight w:val="23"/>
        </w:trPr>
        <w:tc>
          <w:tcPr>
            <w:tcW w:w="2665" w:type="dxa"/>
            <w:vMerge/>
            <w:tcBorders>
              <w:top w:val="single" w:sz="8" w:space="0" w:color="auto"/>
              <w:left w:val="single" w:sz="8" w:space="0" w:color="auto"/>
              <w:bottom w:val="single" w:sz="8" w:space="0" w:color="000000"/>
              <w:right w:val="single" w:sz="8" w:space="0" w:color="auto"/>
            </w:tcBorders>
            <w:vAlign w:val="center"/>
            <w:hideMark/>
          </w:tcPr>
          <w:p w14:paraId="1832DA03" w14:textId="77777777" w:rsidR="00DC351D" w:rsidRPr="00092B22" w:rsidRDefault="00DC351D" w:rsidP="00E607DA">
            <w:pPr>
              <w:rPr>
                <w:rFonts w:ascii="Meta Pro" w:eastAsia="Times New Roman" w:hAnsi="Meta Pro"/>
                <w:b/>
                <w:bCs/>
                <w:szCs w:val="18"/>
                <w:lang w:eastAsia="en-AU"/>
              </w:rPr>
            </w:pPr>
          </w:p>
        </w:tc>
        <w:tc>
          <w:tcPr>
            <w:tcW w:w="1383" w:type="dxa"/>
            <w:tcBorders>
              <w:top w:val="nil"/>
              <w:left w:val="nil"/>
              <w:bottom w:val="nil"/>
              <w:right w:val="single" w:sz="8" w:space="0" w:color="auto"/>
            </w:tcBorders>
            <w:shd w:val="clear" w:color="auto" w:fill="auto"/>
            <w:vAlign w:val="center"/>
            <w:hideMark/>
          </w:tcPr>
          <w:p w14:paraId="71E2599D" w14:textId="77777777" w:rsidR="00DC351D" w:rsidRPr="00092B22" w:rsidRDefault="00DC351D"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1-30</w:t>
            </w:r>
          </w:p>
        </w:tc>
        <w:tc>
          <w:tcPr>
            <w:tcW w:w="1383" w:type="dxa"/>
            <w:tcBorders>
              <w:top w:val="nil"/>
              <w:left w:val="nil"/>
              <w:bottom w:val="nil"/>
              <w:right w:val="single" w:sz="8" w:space="0" w:color="auto"/>
            </w:tcBorders>
            <w:shd w:val="clear" w:color="auto" w:fill="auto"/>
            <w:vAlign w:val="center"/>
            <w:hideMark/>
          </w:tcPr>
          <w:p w14:paraId="1394C28A" w14:textId="77777777" w:rsidR="00DC351D" w:rsidRPr="00092B22" w:rsidRDefault="00DC351D"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31-60</w:t>
            </w:r>
          </w:p>
        </w:tc>
        <w:tc>
          <w:tcPr>
            <w:tcW w:w="1383" w:type="dxa"/>
            <w:tcBorders>
              <w:top w:val="nil"/>
              <w:left w:val="nil"/>
              <w:bottom w:val="nil"/>
              <w:right w:val="single" w:sz="8" w:space="0" w:color="auto"/>
            </w:tcBorders>
            <w:shd w:val="clear" w:color="auto" w:fill="auto"/>
            <w:vAlign w:val="center"/>
            <w:hideMark/>
          </w:tcPr>
          <w:p w14:paraId="4CF7EE31" w14:textId="77777777" w:rsidR="00DC351D" w:rsidRPr="00092B22" w:rsidRDefault="00DC351D"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61-90</w:t>
            </w:r>
          </w:p>
        </w:tc>
        <w:tc>
          <w:tcPr>
            <w:tcW w:w="1383" w:type="dxa"/>
            <w:tcBorders>
              <w:top w:val="nil"/>
              <w:left w:val="nil"/>
              <w:bottom w:val="nil"/>
              <w:right w:val="single" w:sz="8" w:space="0" w:color="auto"/>
            </w:tcBorders>
            <w:shd w:val="clear" w:color="auto" w:fill="auto"/>
            <w:vAlign w:val="center"/>
            <w:hideMark/>
          </w:tcPr>
          <w:p w14:paraId="5E79A145" w14:textId="77777777" w:rsidR="00DC351D" w:rsidRPr="00092B22" w:rsidRDefault="00DC351D"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More than</w:t>
            </w:r>
          </w:p>
        </w:tc>
        <w:tc>
          <w:tcPr>
            <w:tcW w:w="1383" w:type="dxa"/>
            <w:tcBorders>
              <w:top w:val="nil"/>
              <w:left w:val="nil"/>
              <w:bottom w:val="nil"/>
              <w:right w:val="single" w:sz="8" w:space="0" w:color="auto"/>
            </w:tcBorders>
            <w:shd w:val="clear" w:color="auto" w:fill="auto"/>
            <w:vAlign w:val="center"/>
            <w:hideMark/>
          </w:tcPr>
          <w:p w14:paraId="7B2CBB3D" w14:textId="77777777" w:rsidR="00DC351D" w:rsidRPr="00092B22" w:rsidRDefault="00DC351D"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Total</w:t>
            </w:r>
          </w:p>
        </w:tc>
      </w:tr>
      <w:tr w:rsidR="00DC351D" w:rsidRPr="00092B22" w14:paraId="6526C59E" w14:textId="77777777" w:rsidTr="00E607DA">
        <w:trPr>
          <w:trHeight w:val="23"/>
        </w:trPr>
        <w:tc>
          <w:tcPr>
            <w:tcW w:w="2665" w:type="dxa"/>
            <w:vMerge/>
            <w:tcBorders>
              <w:top w:val="single" w:sz="8" w:space="0" w:color="auto"/>
              <w:left w:val="single" w:sz="8" w:space="0" w:color="auto"/>
              <w:bottom w:val="single" w:sz="8" w:space="0" w:color="000000"/>
              <w:right w:val="single" w:sz="8" w:space="0" w:color="auto"/>
            </w:tcBorders>
            <w:vAlign w:val="center"/>
            <w:hideMark/>
          </w:tcPr>
          <w:p w14:paraId="7D5B0091" w14:textId="77777777" w:rsidR="00DC351D" w:rsidRPr="00092B22" w:rsidRDefault="00DC351D" w:rsidP="00E607DA">
            <w:pPr>
              <w:rPr>
                <w:rFonts w:ascii="Meta Pro" w:eastAsia="Times New Roman" w:hAnsi="Meta Pro"/>
                <w:b/>
                <w:bCs/>
                <w:szCs w:val="18"/>
                <w:lang w:eastAsia="en-AU"/>
              </w:rPr>
            </w:pPr>
          </w:p>
        </w:tc>
        <w:tc>
          <w:tcPr>
            <w:tcW w:w="1383" w:type="dxa"/>
            <w:tcBorders>
              <w:top w:val="nil"/>
              <w:left w:val="nil"/>
              <w:bottom w:val="nil"/>
              <w:right w:val="single" w:sz="8" w:space="0" w:color="auto"/>
            </w:tcBorders>
            <w:shd w:val="clear" w:color="auto" w:fill="auto"/>
            <w:vAlign w:val="center"/>
            <w:hideMark/>
          </w:tcPr>
          <w:p w14:paraId="2731A54D" w14:textId="77777777" w:rsidR="00DC351D" w:rsidRPr="00092B22" w:rsidRDefault="00DC351D"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days</w:t>
            </w:r>
          </w:p>
        </w:tc>
        <w:tc>
          <w:tcPr>
            <w:tcW w:w="1383" w:type="dxa"/>
            <w:tcBorders>
              <w:top w:val="nil"/>
              <w:left w:val="nil"/>
              <w:bottom w:val="nil"/>
              <w:right w:val="single" w:sz="8" w:space="0" w:color="auto"/>
            </w:tcBorders>
            <w:shd w:val="clear" w:color="auto" w:fill="auto"/>
            <w:vAlign w:val="center"/>
            <w:hideMark/>
          </w:tcPr>
          <w:p w14:paraId="369F40BB" w14:textId="77777777" w:rsidR="00DC351D" w:rsidRPr="00092B22" w:rsidRDefault="00DC351D"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days</w:t>
            </w:r>
          </w:p>
        </w:tc>
        <w:tc>
          <w:tcPr>
            <w:tcW w:w="1383" w:type="dxa"/>
            <w:tcBorders>
              <w:top w:val="nil"/>
              <w:left w:val="nil"/>
              <w:bottom w:val="nil"/>
              <w:right w:val="single" w:sz="8" w:space="0" w:color="auto"/>
            </w:tcBorders>
            <w:shd w:val="clear" w:color="auto" w:fill="auto"/>
            <w:vAlign w:val="center"/>
            <w:hideMark/>
          </w:tcPr>
          <w:p w14:paraId="168323E6" w14:textId="77777777" w:rsidR="00DC351D" w:rsidRPr="00092B22" w:rsidRDefault="00DC351D"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days</w:t>
            </w:r>
          </w:p>
        </w:tc>
        <w:tc>
          <w:tcPr>
            <w:tcW w:w="1383" w:type="dxa"/>
            <w:tcBorders>
              <w:top w:val="nil"/>
              <w:left w:val="nil"/>
              <w:bottom w:val="nil"/>
              <w:right w:val="single" w:sz="8" w:space="0" w:color="auto"/>
            </w:tcBorders>
            <w:shd w:val="clear" w:color="auto" w:fill="auto"/>
            <w:vAlign w:val="center"/>
            <w:hideMark/>
          </w:tcPr>
          <w:p w14:paraId="4004D97D" w14:textId="77777777" w:rsidR="00DC351D" w:rsidRPr="00092B22" w:rsidRDefault="00DC351D"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90 days</w:t>
            </w:r>
          </w:p>
        </w:tc>
        <w:tc>
          <w:tcPr>
            <w:tcW w:w="1383" w:type="dxa"/>
            <w:tcBorders>
              <w:top w:val="nil"/>
              <w:left w:val="nil"/>
              <w:bottom w:val="nil"/>
              <w:right w:val="single" w:sz="8" w:space="0" w:color="auto"/>
            </w:tcBorders>
            <w:shd w:val="clear" w:color="auto" w:fill="auto"/>
            <w:vAlign w:val="center"/>
            <w:hideMark/>
          </w:tcPr>
          <w:p w14:paraId="15186D53" w14:textId="77777777" w:rsidR="00DC351D" w:rsidRPr="00092B22" w:rsidRDefault="00DC351D" w:rsidP="00E607DA">
            <w:pPr>
              <w:jc w:val="center"/>
              <w:rPr>
                <w:rFonts w:ascii="Meta Pro" w:eastAsia="Times New Roman" w:hAnsi="Meta Pro"/>
                <w:sz w:val="20"/>
                <w:szCs w:val="20"/>
                <w:lang w:eastAsia="en-AU"/>
              </w:rPr>
            </w:pPr>
            <w:r w:rsidRPr="00092B22">
              <w:rPr>
                <w:rFonts w:ascii="Meta Pro" w:eastAsia="Times New Roman" w:hAnsi="Meta Pro"/>
                <w:sz w:val="20"/>
                <w:szCs w:val="20"/>
                <w:lang w:eastAsia="en-AU"/>
              </w:rPr>
              <w:t> </w:t>
            </w:r>
          </w:p>
        </w:tc>
      </w:tr>
      <w:tr w:rsidR="00DC351D" w:rsidRPr="00092B22" w14:paraId="632C6475" w14:textId="77777777" w:rsidTr="00E607DA">
        <w:trPr>
          <w:trHeight w:val="23"/>
        </w:trPr>
        <w:tc>
          <w:tcPr>
            <w:tcW w:w="2665" w:type="dxa"/>
            <w:vMerge/>
            <w:tcBorders>
              <w:top w:val="single" w:sz="8" w:space="0" w:color="auto"/>
              <w:left w:val="single" w:sz="8" w:space="0" w:color="auto"/>
              <w:bottom w:val="single" w:sz="8" w:space="0" w:color="000000"/>
              <w:right w:val="single" w:sz="8" w:space="0" w:color="auto"/>
            </w:tcBorders>
            <w:vAlign w:val="center"/>
            <w:hideMark/>
          </w:tcPr>
          <w:p w14:paraId="1B782EA5" w14:textId="77777777" w:rsidR="00DC351D" w:rsidRPr="00092B22" w:rsidRDefault="00DC351D" w:rsidP="00E607DA">
            <w:pPr>
              <w:rPr>
                <w:rFonts w:ascii="Meta Pro" w:eastAsia="Times New Roman" w:hAnsi="Meta Pro"/>
                <w:b/>
                <w:bCs/>
                <w:szCs w:val="18"/>
                <w:lang w:eastAsia="en-AU"/>
              </w:rPr>
            </w:pPr>
          </w:p>
        </w:tc>
        <w:tc>
          <w:tcPr>
            <w:tcW w:w="1383" w:type="dxa"/>
            <w:tcBorders>
              <w:top w:val="nil"/>
              <w:left w:val="nil"/>
              <w:bottom w:val="single" w:sz="8" w:space="0" w:color="000000"/>
              <w:right w:val="single" w:sz="8" w:space="0" w:color="auto"/>
            </w:tcBorders>
            <w:shd w:val="clear" w:color="auto" w:fill="auto"/>
            <w:vAlign w:val="center"/>
            <w:hideMark/>
          </w:tcPr>
          <w:p w14:paraId="6CA22729" w14:textId="77777777" w:rsidR="00DC351D" w:rsidRPr="00092B22" w:rsidRDefault="00DC351D"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$'000</w:t>
            </w:r>
          </w:p>
        </w:tc>
        <w:tc>
          <w:tcPr>
            <w:tcW w:w="1383" w:type="dxa"/>
            <w:tcBorders>
              <w:top w:val="nil"/>
              <w:left w:val="nil"/>
              <w:bottom w:val="single" w:sz="8" w:space="0" w:color="000000"/>
              <w:right w:val="single" w:sz="8" w:space="0" w:color="auto"/>
            </w:tcBorders>
            <w:shd w:val="clear" w:color="auto" w:fill="auto"/>
            <w:vAlign w:val="center"/>
            <w:hideMark/>
          </w:tcPr>
          <w:p w14:paraId="23C54B14" w14:textId="77777777" w:rsidR="00DC351D" w:rsidRPr="00092B22" w:rsidRDefault="00DC351D"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$'000</w:t>
            </w:r>
          </w:p>
        </w:tc>
        <w:tc>
          <w:tcPr>
            <w:tcW w:w="1383" w:type="dxa"/>
            <w:tcBorders>
              <w:top w:val="nil"/>
              <w:left w:val="nil"/>
              <w:bottom w:val="single" w:sz="8" w:space="0" w:color="000000"/>
              <w:right w:val="single" w:sz="8" w:space="0" w:color="auto"/>
            </w:tcBorders>
            <w:shd w:val="clear" w:color="auto" w:fill="auto"/>
            <w:vAlign w:val="center"/>
            <w:hideMark/>
          </w:tcPr>
          <w:p w14:paraId="62DE096B" w14:textId="77777777" w:rsidR="00DC351D" w:rsidRPr="00092B22" w:rsidRDefault="00DC351D"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$'000</w:t>
            </w:r>
          </w:p>
        </w:tc>
        <w:tc>
          <w:tcPr>
            <w:tcW w:w="1383" w:type="dxa"/>
            <w:tcBorders>
              <w:top w:val="nil"/>
              <w:left w:val="nil"/>
              <w:bottom w:val="single" w:sz="8" w:space="0" w:color="000000"/>
              <w:right w:val="single" w:sz="8" w:space="0" w:color="auto"/>
            </w:tcBorders>
            <w:shd w:val="clear" w:color="auto" w:fill="auto"/>
            <w:vAlign w:val="center"/>
            <w:hideMark/>
          </w:tcPr>
          <w:p w14:paraId="7B1C2ED3" w14:textId="77777777" w:rsidR="00DC351D" w:rsidRPr="00092B22" w:rsidRDefault="00DC351D"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$'000</w:t>
            </w:r>
          </w:p>
        </w:tc>
        <w:tc>
          <w:tcPr>
            <w:tcW w:w="1383" w:type="dxa"/>
            <w:tcBorders>
              <w:top w:val="nil"/>
              <w:left w:val="nil"/>
              <w:bottom w:val="single" w:sz="8" w:space="0" w:color="000000"/>
              <w:right w:val="single" w:sz="8" w:space="0" w:color="auto"/>
            </w:tcBorders>
            <w:shd w:val="clear" w:color="auto" w:fill="auto"/>
            <w:vAlign w:val="center"/>
            <w:hideMark/>
          </w:tcPr>
          <w:p w14:paraId="033D5682" w14:textId="77777777" w:rsidR="00DC351D" w:rsidRPr="00092B22" w:rsidRDefault="00DC351D"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$'000</w:t>
            </w:r>
          </w:p>
        </w:tc>
      </w:tr>
      <w:tr w:rsidR="00DC351D" w:rsidRPr="00092B22" w14:paraId="720692E8" w14:textId="77777777" w:rsidTr="00E607DA">
        <w:trPr>
          <w:trHeight w:val="23"/>
        </w:trPr>
        <w:tc>
          <w:tcPr>
            <w:tcW w:w="2665" w:type="dxa"/>
            <w:tcBorders>
              <w:top w:val="nil"/>
              <w:left w:val="single" w:sz="8" w:space="0" w:color="auto"/>
              <w:bottom w:val="nil"/>
              <w:right w:val="nil"/>
            </w:tcBorders>
            <w:shd w:val="clear" w:color="auto" w:fill="auto"/>
            <w:noWrap/>
            <w:vAlign w:val="center"/>
            <w:hideMark/>
          </w:tcPr>
          <w:p w14:paraId="3916D54B" w14:textId="77777777" w:rsidR="00DC351D" w:rsidRPr="00092B22" w:rsidRDefault="00DC351D" w:rsidP="00E607DA">
            <w:pPr>
              <w:rPr>
                <w:rFonts w:ascii="Meta Pro" w:eastAsia="Times New Roman" w:hAnsi="Meta Pro"/>
                <w:b/>
                <w:bCs/>
                <w:szCs w:val="18"/>
                <w:lang w:eastAsia="en-AU"/>
              </w:rPr>
            </w:pPr>
            <w:r w:rsidRPr="00092B22">
              <w:rPr>
                <w:rFonts w:ascii="Meta Pro" w:eastAsia="Times New Roman" w:hAnsi="Meta Pro"/>
                <w:b/>
                <w:bCs/>
                <w:szCs w:val="18"/>
                <w:lang w:eastAsia="en-AU"/>
              </w:rPr>
              <w:t>2022</w:t>
            </w:r>
          </w:p>
        </w:tc>
        <w:tc>
          <w:tcPr>
            <w:tcW w:w="1383" w:type="dxa"/>
            <w:tcBorders>
              <w:top w:val="nil"/>
              <w:left w:val="single" w:sz="8" w:space="0" w:color="auto"/>
              <w:bottom w:val="nil"/>
              <w:right w:val="nil"/>
            </w:tcBorders>
            <w:shd w:val="clear" w:color="000000" w:fill="C9E3B4"/>
            <w:noWrap/>
            <w:vAlign w:val="center"/>
            <w:hideMark/>
          </w:tcPr>
          <w:p w14:paraId="3C01613C" w14:textId="77777777" w:rsidR="00DC351D" w:rsidRPr="00092B22" w:rsidRDefault="00DC351D"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1383" w:type="dxa"/>
            <w:tcBorders>
              <w:top w:val="nil"/>
              <w:left w:val="single" w:sz="8" w:space="0" w:color="auto"/>
              <w:bottom w:val="nil"/>
              <w:right w:val="nil"/>
            </w:tcBorders>
            <w:shd w:val="clear" w:color="000000" w:fill="C9E3B4"/>
            <w:noWrap/>
            <w:vAlign w:val="center"/>
            <w:hideMark/>
          </w:tcPr>
          <w:p w14:paraId="1BFBFD1C" w14:textId="77777777" w:rsidR="00DC351D" w:rsidRPr="00092B22" w:rsidRDefault="00DC351D"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1383" w:type="dxa"/>
            <w:tcBorders>
              <w:top w:val="nil"/>
              <w:left w:val="single" w:sz="8" w:space="0" w:color="auto"/>
              <w:bottom w:val="nil"/>
              <w:right w:val="nil"/>
            </w:tcBorders>
            <w:shd w:val="clear" w:color="000000" w:fill="C9E3B4"/>
            <w:noWrap/>
            <w:vAlign w:val="center"/>
            <w:hideMark/>
          </w:tcPr>
          <w:p w14:paraId="2D29EB7F" w14:textId="77777777" w:rsidR="00DC351D" w:rsidRPr="00092B22" w:rsidRDefault="00DC351D"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1383" w:type="dxa"/>
            <w:tcBorders>
              <w:top w:val="nil"/>
              <w:left w:val="single" w:sz="8" w:space="0" w:color="auto"/>
              <w:bottom w:val="nil"/>
              <w:right w:val="nil"/>
            </w:tcBorders>
            <w:shd w:val="clear" w:color="000000" w:fill="C9E3B4"/>
            <w:noWrap/>
            <w:vAlign w:val="center"/>
            <w:hideMark/>
          </w:tcPr>
          <w:p w14:paraId="3C3C3630" w14:textId="77777777" w:rsidR="00DC351D" w:rsidRPr="00092B22" w:rsidRDefault="00DC351D"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1383" w:type="dxa"/>
            <w:tcBorders>
              <w:top w:val="nil"/>
              <w:left w:val="single" w:sz="8" w:space="0" w:color="auto"/>
              <w:bottom w:val="nil"/>
              <w:right w:val="single" w:sz="8" w:space="0" w:color="auto"/>
            </w:tcBorders>
            <w:shd w:val="clear" w:color="000000" w:fill="C9E3B4"/>
            <w:noWrap/>
            <w:vAlign w:val="center"/>
            <w:hideMark/>
          </w:tcPr>
          <w:p w14:paraId="6CF79B1D" w14:textId="77777777" w:rsidR="00DC351D" w:rsidRPr="00092B22" w:rsidRDefault="00DC351D"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w:t>
            </w:r>
          </w:p>
        </w:tc>
      </w:tr>
      <w:tr w:rsidR="00DC351D" w:rsidRPr="00092B22" w14:paraId="1ED06C60" w14:textId="77777777" w:rsidTr="00E607DA">
        <w:trPr>
          <w:trHeight w:val="23"/>
        </w:trPr>
        <w:tc>
          <w:tcPr>
            <w:tcW w:w="2665" w:type="dxa"/>
            <w:tcBorders>
              <w:top w:val="nil"/>
              <w:left w:val="single" w:sz="8" w:space="0" w:color="auto"/>
              <w:bottom w:val="single" w:sz="8" w:space="0" w:color="auto"/>
              <w:right w:val="nil"/>
            </w:tcBorders>
            <w:shd w:val="clear" w:color="auto" w:fill="auto"/>
            <w:noWrap/>
            <w:vAlign w:val="center"/>
            <w:hideMark/>
          </w:tcPr>
          <w:p w14:paraId="013EB35D" w14:textId="77777777" w:rsidR="00DC351D" w:rsidRPr="00092B22" w:rsidRDefault="00DC351D" w:rsidP="00E607DA">
            <w:pPr>
              <w:rPr>
                <w:rFonts w:ascii="Meta Pro" w:eastAsia="Times New Roman" w:hAnsi="Meta Pro"/>
                <w:szCs w:val="18"/>
                <w:lang w:eastAsia="en-AU"/>
              </w:rPr>
            </w:pPr>
            <w:r w:rsidRPr="00092B22">
              <w:rPr>
                <w:rFonts w:ascii="Meta Pro" w:eastAsia="Times New Roman" w:hAnsi="Meta Pro"/>
                <w:szCs w:val="18"/>
                <w:lang w:eastAsia="en-AU"/>
              </w:rPr>
              <w:t>Trade debtors</w:t>
            </w:r>
          </w:p>
        </w:tc>
        <w:tc>
          <w:tcPr>
            <w:tcW w:w="1383" w:type="dxa"/>
            <w:tcBorders>
              <w:top w:val="nil"/>
              <w:left w:val="single" w:sz="8" w:space="0" w:color="auto"/>
              <w:bottom w:val="single" w:sz="8" w:space="0" w:color="auto"/>
              <w:right w:val="nil"/>
            </w:tcBorders>
            <w:shd w:val="clear" w:color="000000" w:fill="C9E3B4"/>
            <w:noWrap/>
            <w:vAlign w:val="center"/>
            <w:hideMark/>
          </w:tcPr>
          <w:p w14:paraId="5D73AB9C" w14:textId="77777777" w:rsidR="00DC351D" w:rsidRPr="00092B22" w:rsidRDefault="00DC351D"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2,372</w:t>
            </w:r>
          </w:p>
        </w:tc>
        <w:tc>
          <w:tcPr>
            <w:tcW w:w="1383" w:type="dxa"/>
            <w:tcBorders>
              <w:top w:val="nil"/>
              <w:left w:val="single" w:sz="8" w:space="0" w:color="auto"/>
              <w:bottom w:val="single" w:sz="8" w:space="0" w:color="auto"/>
              <w:right w:val="nil"/>
            </w:tcBorders>
            <w:shd w:val="clear" w:color="000000" w:fill="C9E3B4"/>
            <w:noWrap/>
            <w:vAlign w:val="center"/>
            <w:hideMark/>
          </w:tcPr>
          <w:p w14:paraId="398B5BB0" w14:textId="77777777" w:rsidR="00DC351D" w:rsidRPr="00092B22" w:rsidRDefault="00DC351D"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106</w:t>
            </w:r>
          </w:p>
        </w:tc>
        <w:tc>
          <w:tcPr>
            <w:tcW w:w="1383" w:type="dxa"/>
            <w:tcBorders>
              <w:top w:val="nil"/>
              <w:left w:val="single" w:sz="8" w:space="0" w:color="auto"/>
              <w:bottom w:val="single" w:sz="8" w:space="0" w:color="auto"/>
              <w:right w:val="nil"/>
            </w:tcBorders>
            <w:shd w:val="clear" w:color="000000" w:fill="C9E3B4"/>
            <w:noWrap/>
            <w:vAlign w:val="center"/>
            <w:hideMark/>
          </w:tcPr>
          <w:p w14:paraId="32492FFA" w14:textId="77777777" w:rsidR="00DC351D" w:rsidRPr="00092B22" w:rsidRDefault="00DC351D"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406</w:t>
            </w:r>
          </w:p>
        </w:tc>
        <w:tc>
          <w:tcPr>
            <w:tcW w:w="1383" w:type="dxa"/>
            <w:tcBorders>
              <w:top w:val="nil"/>
              <w:left w:val="single" w:sz="8" w:space="0" w:color="auto"/>
              <w:bottom w:val="single" w:sz="8" w:space="0" w:color="auto"/>
              <w:right w:val="nil"/>
            </w:tcBorders>
            <w:shd w:val="clear" w:color="000000" w:fill="C9E3B4"/>
            <w:noWrap/>
            <w:vAlign w:val="center"/>
            <w:hideMark/>
          </w:tcPr>
          <w:p w14:paraId="3CC256C6" w14:textId="77777777" w:rsidR="00DC351D" w:rsidRPr="00092B22" w:rsidRDefault="00DC351D"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1,390</w:t>
            </w:r>
          </w:p>
        </w:tc>
        <w:tc>
          <w:tcPr>
            <w:tcW w:w="1383" w:type="dxa"/>
            <w:tcBorders>
              <w:top w:val="nil"/>
              <w:left w:val="single" w:sz="8" w:space="0" w:color="auto"/>
              <w:bottom w:val="single" w:sz="8" w:space="0" w:color="auto"/>
              <w:right w:val="single" w:sz="8" w:space="0" w:color="auto"/>
            </w:tcBorders>
            <w:shd w:val="clear" w:color="000000" w:fill="C9E3B4"/>
            <w:noWrap/>
            <w:vAlign w:val="center"/>
            <w:hideMark/>
          </w:tcPr>
          <w:p w14:paraId="0687B250" w14:textId="77777777" w:rsidR="00DC351D" w:rsidRPr="00092B22" w:rsidRDefault="00DC351D"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4,274</w:t>
            </w:r>
          </w:p>
        </w:tc>
      </w:tr>
      <w:tr w:rsidR="00DC351D" w:rsidRPr="00092B22" w14:paraId="548AF46C" w14:textId="77777777" w:rsidTr="00E607DA">
        <w:trPr>
          <w:trHeight w:val="23"/>
        </w:trPr>
        <w:tc>
          <w:tcPr>
            <w:tcW w:w="2665" w:type="dxa"/>
            <w:tcBorders>
              <w:top w:val="nil"/>
              <w:left w:val="single" w:sz="8" w:space="0" w:color="auto"/>
              <w:bottom w:val="nil"/>
              <w:right w:val="nil"/>
            </w:tcBorders>
            <w:shd w:val="clear" w:color="auto" w:fill="auto"/>
            <w:noWrap/>
            <w:vAlign w:val="center"/>
            <w:hideMark/>
          </w:tcPr>
          <w:p w14:paraId="3CDA5307" w14:textId="77777777" w:rsidR="00DC351D" w:rsidRPr="00092B22" w:rsidRDefault="00DC351D" w:rsidP="00E607DA">
            <w:pPr>
              <w:rPr>
                <w:rFonts w:ascii="Meta Pro" w:eastAsia="Times New Roman" w:hAnsi="Meta Pro"/>
                <w:b/>
                <w:bCs/>
                <w:szCs w:val="18"/>
                <w:lang w:eastAsia="en-AU"/>
              </w:rPr>
            </w:pPr>
            <w:r w:rsidRPr="00092B22">
              <w:rPr>
                <w:rFonts w:ascii="Meta Pro" w:eastAsia="Times New Roman" w:hAnsi="Meta Pro"/>
                <w:b/>
                <w:bCs/>
                <w:szCs w:val="18"/>
                <w:lang w:eastAsia="en-AU"/>
              </w:rPr>
              <w:t>2021</w:t>
            </w:r>
          </w:p>
        </w:tc>
        <w:tc>
          <w:tcPr>
            <w:tcW w:w="1383" w:type="dxa"/>
            <w:tcBorders>
              <w:top w:val="nil"/>
              <w:left w:val="single" w:sz="8" w:space="0" w:color="auto"/>
              <w:bottom w:val="nil"/>
              <w:right w:val="nil"/>
            </w:tcBorders>
            <w:shd w:val="clear" w:color="000000" w:fill="FFFFFF"/>
            <w:noWrap/>
            <w:vAlign w:val="center"/>
            <w:hideMark/>
          </w:tcPr>
          <w:p w14:paraId="1EAFF735" w14:textId="77777777" w:rsidR="00DC351D" w:rsidRPr="00092B22" w:rsidRDefault="00DC351D"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1383" w:type="dxa"/>
            <w:tcBorders>
              <w:top w:val="nil"/>
              <w:left w:val="single" w:sz="8" w:space="0" w:color="auto"/>
              <w:bottom w:val="nil"/>
              <w:right w:val="nil"/>
            </w:tcBorders>
            <w:shd w:val="clear" w:color="000000" w:fill="FFFFFF"/>
            <w:noWrap/>
            <w:vAlign w:val="center"/>
            <w:hideMark/>
          </w:tcPr>
          <w:p w14:paraId="5FAB608D" w14:textId="77777777" w:rsidR="00DC351D" w:rsidRPr="00092B22" w:rsidRDefault="00DC351D"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1383" w:type="dxa"/>
            <w:tcBorders>
              <w:top w:val="nil"/>
              <w:left w:val="single" w:sz="8" w:space="0" w:color="auto"/>
              <w:bottom w:val="nil"/>
              <w:right w:val="nil"/>
            </w:tcBorders>
            <w:shd w:val="clear" w:color="000000" w:fill="FFFFFF"/>
            <w:noWrap/>
            <w:vAlign w:val="center"/>
            <w:hideMark/>
          </w:tcPr>
          <w:p w14:paraId="4CA3F92F" w14:textId="77777777" w:rsidR="00DC351D" w:rsidRPr="00092B22" w:rsidRDefault="00DC351D"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1383" w:type="dxa"/>
            <w:tcBorders>
              <w:top w:val="nil"/>
              <w:left w:val="single" w:sz="8" w:space="0" w:color="auto"/>
              <w:bottom w:val="nil"/>
              <w:right w:val="nil"/>
            </w:tcBorders>
            <w:shd w:val="clear" w:color="000000" w:fill="FFFFFF"/>
            <w:noWrap/>
            <w:vAlign w:val="center"/>
            <w:hideMark/>
          </w:tcPr>
          <w:p w14:paraId="499B527F" w14:textId="77777777" w:rsidR="00DC351D" w:rsidRPr="00092B22" w:rsidRDefault="00DC351D" w:rsidP="00E607DA">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p>
        </w:tc>
        <w:tc>
          <w:tcPr>
            <w:tcW w:w="1383" w:type="dxa"/>
            <w:tcBorders>
              <w:top w:val="nil"/>
              <w:left w:val="single" w:sz="8" w:space="0" w:color="auto"/>
              <w:bottom w:val="nil"/>
              <w:right w:val="single" w:sz="8" w:space="0" w:color="auto"/>
            </w:tcBorders>
            <w:shd w:val="clear" w:color="000000" w:fill="FFFFFF"/>
            <w:noWrap/>
            <w:vAlign w:val="center"/>
            <w:hideMark/>
          </w:tcPr>
          <w:p w14:paraId="66B8A47B" w14:textId="77777777" w:rsidR="00DC351D" w:rsidRPr="00092B22" w:rsidRDefault="00DC351D" w:rsidP="00E607DA">
            <w:pP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 </w:t>
            </w:r>
          </w:p>
        </w:tc>
      </w:tr>
      <w:tr w:rsidR="00DC351D" w:rsidRPr="00092B22" w14:paraId="64EA18DE" w14:textId="77777777" w:rsidTr="00E607DA">
        <w:trPr>
          <w:trHeight w:val="23"/>
        </w:trPr>
        <w:tc>
          <w:tcPr>
            <w:tcW w:w="2665" w:type="dxa"/>
            <w:tcBorders>
              <w:top w:val="nil"/>
              <w:left w:val="single" w:sz="8" w:space="0" w:color="auto"/>
              <w:bottom w:val="single" w:sz="8" w:space="0" w:color="auto"/>
              <w:right w:val="nil"/>
            </w:tcBorders>
            <w:shd w:val="clear" w:color="auto" w:fill="auto"/>
            <w:noWrap/>
            <w:vAlign w:val="center"/>
            <w:hideMark/>
          </w:tcPr>
          <w:p w14:paraId="71CFC918" w14:textId="77777777" w:rsidR="00DC351D" w:rsidRPr="00092B22" w:rsidRDefault="00DC351D" w:rsidP="00E607DA">
            <w:pPr>
              <w:rPr>
                <w:rFonts w:ascii="Meta Pro" w:eastAsia="Times New Roman" w:hAnsi="Meta Pro"/>
                <w:szCs w:val="18"/>
                <w:lang w:eastAsia="en-AU"/>
              </w:rPr>
            </w:pPr>
            <w:r w:rsidRPr="00092B22">
              <w:rPr>
                <w:rFonts w:ascii="Meta Pro" w:eastAsia="Times New Roman" w:hAnsi="Meta Pro"/>
                <w:szCs w:val="18"/>
                <w:lang w:eastAsia="en-AU"/>
              </w:rPr>
              <w:t>Trade debtors</w:t>
            </w:r>
          </w:p>
        </w:tc>
        <w:tc>
          <w:tcPr>
            <w:tcW w:w="1383" w:type="dxa"/>
            <w:tcBorders>
              <w:top w:val="nil"/>
              <w:left w:val="single" w:sz="8" w:space="0" w:color="auto"/>
              <w:bottom w:val="single" w:sz="8" w:space="0" w:color="auto"/>
              <w:right w:val="nil"/>
            </w:tcBorders>
            <w:shd w:val="clear" w:color="000000" w:fill="FFFFFF"/>
            <w:noWrap/>
            <w:vAlign w:val="center"/>
            <w:hideMark/>
          </w:tcPr>
          <w:p w14:paraId="4B629335" w14:textId="77777777" w:rsidR="00DC351D" w:rsidRPr="00092B22" w:rsidRDefault="00DC351D"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2,093</w:t>
            </w:r>
          </w:p>
        </w:tc>
        <w:tc>
          <w:tcPr>
            <w:tcW w:w="1383" w:type="dxa"/>
            <w:tcBorders>
              <w:top w:val="nil"/>
              <w:left w:val="single" w:sz="8" w:space="0" w:color="auto"/>
              <w:bottom w:val="single" w:sz="8" w:space="0" w:color="auto"/>
              <w:right w:val="nil"/>
            </w:tcBorders>
            <w:shd w:val="clear" w:color="000000" w:fill="FFFFFF"/>
            <w:noWrap/>
            <w:vAlign w:val="center"/>
            <w:hideMark/>
          </w:tcPr>
          <w:p w14:paraId="1FB62AE7" w14:textId="77777777" w:rsidR="00DC351D" w:rsidRPr="00092B22" w:rsidRDefault="00DC351D"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524</w:t>
            </w:r>
          </w:p>
        </w:tc>
        <w:tc>
          <w:tcPr>
            <w:tcW w:w="1383" w:type="dxa"/>
            <w:tcBorders>
              <w:top w:val="nil"/>
              <w:left w:val="single" w:sz="8" w:space="0" w:color="auto"/>
              <w:bottom w:val="single" w:sz="8" w:space="0" w:color="auto"/>
              <w:right w:val="nil"/>
            </w:tcBorders>
            <w:shd w:val="clear" w:color="000000" w:fill="FFFFFF"/>
            <w:noWrap/>
            <w:vAlign w:val="center"/>
            <w:hideMark/>
          </w:tcPr>
          <w:p w14:paraId="2A98A0CF" w14:textId="77777777" w:rsidR="00DC351D" w:rsidRPr="00092B22" w:rsidRDefault="00DC351D"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533</w:t>
            </w:r>
          </w:p>
        </w:tc>
        <w:tc>
          <w:tcPr>
            <w:tcW w:w="1383" w:type="dxa"/>
            <w:tcBorders>
              <w:top w:val="nil"/>
              <w:left w:val="single" w:sz="8" w:space="0" w:color="auto"/>
              <w:bottom w:val="single" w:sz="8" w:space="0" w:color="auto"/>
              <w:right w:val="nil"/>
            </w:tcBorders>
            <w:shd w:val="clear" w:color="000000" w:fill="FFFFFF"/>
            <w:noWrap/>
            <w:vAlign w:val="center"/>
            <w:hideMark/>
          </w:tcPr>
          <w:p w14:paraId="3C5DE437" w14:textId="77777777" w:rsidR="00DC351D" w:rsidRPr="00092B22" w:rsidRDefault="00DC351D" w:rsidP="00E607DA">
            <w:pPr>
              <w:jc w:val="right"/>
              <w:rPr>
                <w:rFonts w:ascii="Meta Pro" w:eastAsia="Times New Roman" w:hAnsi="Meta Pro"/>
                <w:color w:val="000000"/>
                <w:szCs w:val="18"/>
                <w:lang w:eastAsia="en-AU"/>
              </w:rPr>
            </w:pPr>
            <w:r w:rsidRPr="00092B22">
              <w:rPr>
                <w:rFonts w:ascii="Meta Pro" w:eastAsia="Times New Roman" w:hAnsi="Meta Pro"/>
                <w:color w:val="000000"/>
                <w:szCs w:val="18"/>
                <w:lang w:eastAsia="en-AU"/>
              </w:rPr>
              <w:t>1,458</w:t>
            </w:r>
          </w:p>
        </w:tc>
        <w:tc>
          <w:tcPr>
            <w:tcW w:w="1383" w:type="dxa"/>
            <w:tcBorders>
              <w:top w:val="nil"/>
              <w:left w:val="single" w:sz="8" w:space="0" w:color="auto"/>
              <w:bottom w:val="single" w:sz="8" w:space="0" w:color="auto"/>
              <w:right w:val="single" w:sz="8" w:space="0" w:color="auto"/>
            </w:tcBorders>
            <w:shd w:val="clear" w:color="000000" w:fill="FFFFFF"/>
            <w:noWrap/>
            <w:vAlign w:val="center"/>
            <w:hideMark/>
          </w:tcPr>
          <w:p w14:paraId="7908E29A" w14:textId="77777777" w:rsidR="00DC351D" w:rsidRPr="00092B22" w:rsidRDefault="00DC351D" w:rsidP="00E607DA">
            <w:pPr>
              <w:jc w:val="right"/>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4,608</w:t>
            </w:r>
          </w:p>
        </w:tc>
      </w:tr>
    </w:tbl>
    <w:p w14:paraId="03C8DE49" w14:textId="77777777" w:rsidR="00DC351D" w:rsidRPr="00092B22" w:rsidRDefault="00DC351D" w:rsidP="00DC351D">
      <w:pPr>
        <w:ind w:left="113" w:hanging="113"/>
        <w:rPr>
          <w:rFonts w:ascii="Meta Pro" w:eastAsia="Times New Roman" w:hAnsi="Meta Pro"/>
          <w:b/>
          <w:bCs/>
          <w:color w:val="000000"/>
          <w:szCs w:val="18"/>
          <w:lang w:eastAsia="en-AU"/>
        </w:rPr>
      </w:pPr>
    </w:p>
    <w:p w14:paraId="4C043DA2" w14:textId="77777777" w:rsidR="00DC351D" w:rsidRPr="00092B22" w:rsidRDefault="00DC351D" w:rsidP="00DC351D">
      <w:pPr>
        <w:shd w:val="clear" w:color="auto" w:fill="EBEBEB"/>
        <w:spacing w:after="120"/>
        <w:ind w:left="113" w:hanging="113"/>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Accounting policy</w:t>
      </w:r>
    </w:p>
    <w:p w14:paraId="59BD42A5" w14:textId="77777777" w:rsidR="00DC351D" w:rsidRPr="00092B22" w:rsidRDefault="00DC351D" w:rsidP="00DC351D">
      <w:pPr>
        <w:shd w:val="clear" w:color="auto" w:fill="EBEBEB"/>
        <w:spacing w:after="120"/>
        <w:rPr>
          <w:rFonts w:ascii="Meta Pro" w:eastAsia="Times New Roman" w:hAnsi="Meta Pro"/>
          <w:szCs w:val="18"/>
          <w:lang w:eastAsia="en-AU"/>
        </w:rPr>
      </w:pPr>
      <w:r w:rsidRPr="00092B22">
        <w:rPr>
          <w:rFonts w:ascii="Meta Pro" w:eastAsia="Times New Roman" w:hAnsi="Meta Pro"/>
          <w:szCs w:val="18"/>
          <w:lang w:eastAsia="en-AU"/>
        </w:rPr>
        <w:t>Trade debtors are recognised at the amounts due at the time of sale or service delivery. Settlement on these amounts is generally required within 30 days from invoice date.</w:t>
      </w:r>
    </w:p>
    <w:p w14:paraId="4CB2A921" w14:textId="77777777" w:rsidR="00DC351D" w:rsidRPr="00092B22" w:rsidRDefault="00DC351D" w:rsidP="00DC351D">
      <w:pPr>
        <w:shd w:val="clear" w:color="auto" w:fill="EBEBEB"/>
        <w:spacing w:after="120"/>
        <w:rPr>
          <w:rFonts w:ascii="Meta Pro" w:eastAsia="Times New Roman" w:hAnsi="Meta Pro"/>
          <w:szCs w:val="18"/>
          <w:lang w:eastAsia="en-AU"/>
        </w:rPr>
      </w:pPr>
      <w:r w:rsidRPr="00092B22">
        <w:rPr>
          <w:rFonts w:ascii="Meta Pro" w:eastAsia="Times New Roman" w:hAnsi="Meta Pro"/>
          <w:szCs w:val="18"/>
          <w:lang w:eastAsia="en-AU"/>
        </w:rPr>
        <w:t>The collectability of receivables is assessed periodically with an allowance being made for impairment.</w:t>
      </w:r>
    </w:p>
    <w:p w14:paraId="7D0F341F" w14:textId="77777777" w:rsidR="00DC351D" w:rsidRPr="00092B22" w:rsidRDefault="00DC351D" w:rsidP="00DC351D">
      <w:pPr>
        <w:shd w:val="clear" w:color="auto" w:fill="EBEBEB"/>
        <w:spacing w:after="120"/>
        <w:rPr>
          <w:rFonts w:ascii="Meta Pro" w:eastAsia="Times New Roman" w:hAnsi="Meta Pro"/>
          <w:szCs w:val="18"/>
          <w:lang w:eastAsia="en-AU"/>
        </w:rPr>
      </w:pPr>
      <w:r w:rsidRPr="00092B22">
        <w:rPr>
          <w:rFonts w:ascii="Meta Pro" w:eastAsia="Times New Roman" w:hAnsi="Meta Pro"/>
          <w:szCs w:val="18"/>
          <w:lang w:eastAsia="en-AU"/>
        </w:rPr>
        <w:t xml:space="preserve">Under AASB 9 </w:t>
      </w:r>
      <w:r w:rsidRPr="00092B22">
        <w:rPr>
          <w:rFonts w:ascii="Meta Pro" w:eastAsia="Times New Roman" w:hAnsi="Meta Pro"/>
          <w:i/>
          <w:iCs/>
          <w:szCs w:val="18"/>
          <w:lang w:eastAsia="en-AU"/>
        </w:rPr>
        <w:t>Financial instruments</w:t>
      </w:r>
      <w:r w:rsidRPr="00092B22">
        <w:rPr>
          <w:rFonts w:ascii="Meta Pro" w:eastAsia="Times New Roman" w:hAnsi="Meta Pro"/>
          <w:szCs w:val="18"/>
          <w:lang w:eastAsia="en-AU"/>
        </w:rPr>
        <w:t xml:space="preserve"> the department has assessed the historical trend of its receivables to calculate loss rates adjusted for forward-looking information. Historical rates are calculated using credit losses experienced during the past 10 years preceding 30 June 2022, adjusted by the unemployment rate, which is determined to be the most relevant forward-looking indicator for the department. The calculated lifetime expected credit loss allowance is then applied to trade receivables. No additional loss allowance has been recognised in the current financial year based on materiality.</w:t>
      </w:r>
    </w:p>
    <w:p w14:paraId="4B4F80FF" w14:textId="77777777" w:rsidR="00DC351D" w:rsidRPr="00092B22" w:rsidRDefault="00DC351D" w:rsidP="00DC351D">
      <w:pPr>
        <w:shd w:val="clear" w:color="auto" w:fill="EBEBEB"/>
        <w:spacing w:after="120"/>
        <w:rPr>
          <w:rFonts w:ascii="Meta Pro" w:eastAsia="Times New Roman" w:hAnsi="Meta Pro"/>
          <w:szCs w:val="18"/>
          <w:lang w:eastAsia="en-AU"/>
        </w:rPr>
      </w:pPr>
      <w:r w:rsidRPr="00092B22">
        <w:rPr>
          <w:rFonts w:ascii="Meta Pro" w:eastAsia="Times New Roman" w:hAnsi="Meta Pro"/>
          <w:szCs w:val="18"/>
          <w:lang w:eastAsia="en-AU"/>
        </w:rPr>
        <w:t>All known bad debts were written off as at 30 June each year.</w:t>
      </w:r>
    </w:p>
    <w:p w14:paraId="3B2E6DC0" w14:textId="46A46CDE" w:rsidR="00B07A53" w:rsidRDefault="00DC351D" w:rsidP="00DC351D">
      <w:pPr>
        <w:shd w:val="clear" w:color="auto" w:fill="EBEBEB"/>
        <w:rPr>
          <w:rFonts w:ascii="Meta Pro" w:eastAsia="Times New Roman" w:hAnsi="Meta Pro"/>
          <w:szCs w:val="18"/>
          <w:lang w:eastAsia="en-AU"/>
        </w:rPr>
      </w:pPr>
      <w:r w:rsidRPr="00092B22">
        <w:rPr>
          <w:rFonts w:ascii="Meta Pro" w:eastAsia="Times New Roman" w:hAnsi="Meta Pro"/>
          <w:szCs w:val="18"/>
          <w:lang w:eastAsia="en-AU"/>
        </w:rPr>
        <w:t>The department's annual and long service leave receivables relate to the Queensland Government's Annual Leave and Long Service Leave Central Schemes which are administered by QSuper on behalf of the state. Refer to Note 20.</w:t>
      </w:r>
    </w:p>
    <w:tbl>
      <w:tblPr>
        <w:tblW w:w="0" w:type="auto"/>
        <w:tblCellMar>
          <w:left w:w="0" w:type="dxa"/>
        </w:tblCellMar>
        <w:tblLook w:val="04A0" w:firstRow="1" w:lastRow="0" w:firstColumn="1" w:lastColumn="0" w:noHBand="0" w:noVBand="1"/>
      </w:tblPr>
      <w:tblGrid>
        <w:gridCol w:w="7074"/>
        <w:gridCol w:w="1169"/>
        <w:gridCol w:w="226"/>
        <w:gridCol w:w="1169"/>
      </w:tblGrid>
      <w:tr w:rsidR="00B43D75" w:rsidRPr="00092B22" w14:paraId="6EBD876B" w14:textId="77777777" w:rsidTr="00B07A53">
        <w:trPr>
          <w:trHeight w:val="240"/>
        </w:trPr>
        <w:tc>
          <w:tcPr>
            <w:tcW w:w="7090" w:type="dxa"/>
            <w:tcBorders>
              <w:top w:val="nil"/>
              <w:left w:val="nil"/>
              <w:bottom w:val="nil"/>
              <w:right w:val="nil"/>
            </w:tcBorders>
            <w:shd w:val="clear" w:color="auto" w:fill="auto"/>
            <w:noWrap/>
            <w:vAlign w:val="center"/>
            <w:hideMark/>
          </w:tcPr>
          <w:p w14:paraId="719C7027" w14:textId="77777777" w:rsidR="00B43D75" w:rsidRPr="00092B22" w:rsidRDefault="00B43D75" w:rsidP="00E607DA">
            <w:pPr>
              <w:rPr>
                <w:rFonts w:ascii="Meta Pro" w:eastAsia="Times New Roman" w:hAnsi="Meta Pro" w:cs="Times New Roman"/>
                <w:sz w:val="24"/>
                <w:szCs w:val="24"/>
                <w:lang w:eastAsia="en-AU"/>
              </w:rPr>
            </w:pPr>
          </w:p>
        </w:tc>
        <w:tc>
          <w:tcPr>
            <w:tcW w:w="1165" w:type="dxa"/>
            <w:tcBorders>
              <w:top w:val="nil"/>
              <w:left w:val="nil"/>
              <w:bottom w:val="nil"/>
              <w:right w:val="nil"/>
            </w:tcBorders>
            <w:shd w:val="clear" w:color="auto" w:fill="auto"/>
            <w:noWrap/>
            <w:vAlign w:val="center"/>
            <w:hideMark/>
          </w:tcPr>
          <w:p w14:paraId="198770B2" w14:textId="77777777" w:rsidR="00B43D75" w:rsidRPr="00092B22" w:rsidRDefault="00B43D75" w:rsidP="00E607DA">
            <w:pPr>
              <w:jc w:val="center"/>
              <w:rPr>
                <w:rFonts w:ascii="Meta Pro" w:eastAsia="Times New Roman" w:hAnsi="Meta Pro"/>
                <w:b/>
                <w:bCs/>
                <w:color w:val="000000"/>
                <w:lang w:eastAsia="en-AU"/>
              </w:rPr>
            </w:pPr>
            <w:r w:rsidRPr="00092B22">
              <w:rPr>
                <w:rFonts w:ascii="Meta Pro" w:eastAsia="Times New Roman" w:hAnsi="Meta Pro"/>
                <w:b/>
                <w:bCs/>
                <w:color w:val="000000"/>
                <w:lang w:eastAsia="en-AU"/>
              </w:rPr>
              <w:t>2022</w:t>
            </w:r>
          </w:p>
        </w:tc>
        <w:tc>
          <w:tcPr>
            <w:tcW w:w="218" w:type="dxa"/>
            <w:tcBorders>
              <w:top w:val="nil"/>
              <w:left w:val="nil"/>
              <w:bottom w:val="nil"/>
              <w:right w:val="nil"/>
            </w:tcBorders>
            <w:shd w:val="clear" w:color="auto" w:fill="auto"/>
            <w:noWrap/>
            <w:vAlign w:val="center"/>
            <w:hideMark/>
          </w:tcPr>
          <w:p w14:paraId="7BFB1F1F" w14:textId="77777777" w:rsidR="00B43D75" w:rsidRPr="00092B22" w:rsidRDefault="00B43D75" w:rsidP="00E607DA">
            <w:pPr>
              <w:jc w:val="center"/>
              <w:rPr>
                <w:rFonts w:ascii="Meta Pro" w:eastAsia="Times New Roman" w:hAnsi="Meta Pro"/>
                <w:b/>
                <w:bCs/>
                <w:color w:val="000000"/>
                <w:lang w:eastAsia="en-AU"/>
              </w:rPr>
            </w:pPr>
          </w:p>
        </w:tc>
        <w:tc>
          <w:tcPr>
            <w:tcW w:w="1165" w:type="dxa"/>
            <w:tcBorders>
              <w:top w:val="nil"/>
              <w:left w:val="nil"/>
              <w:bottom w:val="nil"/>
              <w:right w:val="nil"/>
            </w:tcBorders>
            <w:shd w:val="clear" w:color="auto" w:fill="auto"/>
            <w:noWrap/>
            <w:vAlign w:val="center"/>
            <w:hideMark/>
          </w:tcPr>
          <w:p w14:paraId="6BE5ECE2" w14:textId="77777777" w:rsidR="00B43D75" w:rsidRPr="00092B22" w:rsidRDefault="00B43D75" w:rsidP="00E607DA">
            <w:pPr>
              <w:jc w:val="center"/>
              <w:rPr>
                <w:rFonts w:ascii="Meta Pro" w:eastAsia="Times New Roman" w:hAnsi="Meta Pro"/>
                <w:b/>
                <w:bCs/>
                <w:lang w:eastAsia="en-AU"/>
              </w:rPr>
            </w:pPr>
            <w:r w:rsidRPr="00092B22">
              <w:rPr>
                <w:rFonts w:ascii="Meta Pro" w:eastAsia="Times New Roman" w:hAnsi="Meta Pro"/>
                <w:b/>
                <w:bCs/>
                <w:lang w:eastAsia="en-AU"/>
              </w:rPr>
              <w:t>2021</w:t>
            </w:r>
          </w:p>
        </w:tc>
      </w:tr>
      <w:tr w:rsidR="00B43D75" w:rsidRPr="00092B22" w14:paraId="02C2CC42" w14:textId="77777777" w:rsidTr="00B07A53">
        <w:trPr>
          <w:trHeight w:val="240"/>
        </w:trPr>
        <w:tc>
          <w:tcPr>
            <w:tcW w:w="7090" w:type="dxa"/>
            <w:tcBorders>
              <w:top w:val="nil"/>
              <w:left w:val="nil"/>
              <w:bottom w:val="nil"/>
              <w:right w:val="nil"/>
            </w:tcBorders>
            <w:shd w:val="clear" w:color="auto" w:fill="auto"/>
            <w:noWrap/>
            <w:vAlign w:val="center"/>
            <w:hideMark/>
          </w:tcPr>
          <w:p w14:paraId="780114AB" w14:textId="77777777" w:rsidR="00B43D75" w:rsidRPr="00092B22" w:rsidRDefault="00B43D75" w:rsidP="00E607DA">
            <w:pPr>
              <w:jc w:val="center"/>
              <w:rPr>
                <w:rFonts w:ascii="Meta Pro" w:eastAsia="Times New Roman" w:hAnsi="Meta Pro"/>
                <w:b/>
                <w:bCs/>
                <w:lang w:eastAsia="en-AU"/>
              </w:rPr>
            </w:pPr>
          </w:p>
        </w:tc>
        <w:tc>
          <w:tcPr>
            <w:tcW w:w="1165" w:type="dxa"/>
            <w:tcBorders>
              <w:top w:val="nil"/>
              <w:left w:val="nil"/>
              <w:bottom w:val="nil"/>
              <w:right w:val="nil"/>
            </w:tcBorders>
            <w:shd w:val="clear" w:color="auto" w:fill="auto"/>
            <w:noWrap/>
            <w:vAlign w:val="center"/>
            <w:hideMark/>
          </w:tcPr>
          <w:p w14:paraId="5C82ED9D" w14:textId="77777777" w:rsidR="00B43D75" w:rsidRPr="00092B22" w:rsidRDefault="00B43D75" w:rsidP="00E607DA">
            <w:pPr>
              <w:jc w:val="center"/>
              <w:rPr>
                <w:rFonts w:ascii="Meta Pro" w:eastAsia="Times New Roman" w:hAnsi="Meta Pro"/>
                <w:b/>
                <w:bCs/>
                <w:lang w:eastAsia="en-AU"/>
              </w:rPr>
            </w:pPr>
            <w:r w:rsidRPr="00092B22">
              <w:rPr>
                <w:rFonts w:ascii="Meta Pro" w:eastAsia="Times New Roman" w:hAnsi="Meta Pro"/>
                <w:b/>
                <w:bCs/>
                <w:lang w:eastAsia="en-AU"/>
              </w:rPr>
              <w:t>$'000</w:t>
            </w:r>
          </w:p>
        </w:tc>
        <w:tc>
          <w:tcPr>
            <w:tcW w:w="218" w:type="dxa"/>
            <w:tcBorders>
              <w:top w:val="nil"/>
              <w:left w:val="nil"/>
              <w:bottom w:val="nil"/>
              <w:right w:val="nil"/>
            </w:tcBorders>
            <w:shd w:val="clear" w:color="auto" w:fill="auto"/>
            <w:noWrap/>
            <w:vAlign w:val="center"/>
            <w:hideMark/>
          </w:tcPr>
          <w:p w14:paraId="25E285DD" w14:textId="77777777" w:rsidR="00B43D75" w:rsidRPr="00092B22" w:rsidRDefault="00B43D75" w:rsidP="00E607DA">
            <w:pPr>
              <w:jc w:val="center"/>
              <w:rPr>
                <w:rFonts w:ascii="Meta Pro" w:eastAsia="Times New Roman" w:hAnsi="Meta Pro"/>
                <w:b/>
                <w:bCs/>
                <w:lang w:eastAsia="en-AU"/>
              </w:rPr>
            </w:pPr>
          </w:p>
        </w:tc>
        <w:tc>
          <w:tcPr>
            <w:tcW w:w="1165" w:type="dxa"/>
            <w:tcBorders>
              <w:top w:val="nil"/>
              <w:left w:val="nil"/>
              <w:bottom w:val="nil"/>
              <w:right w:val="nil"/>
            </w:tcBorders>
            <w:shd w:val="clear" w:color="auto" w:fill="auto"/>
            <w:noWrap/>
            <w:vAlign w:val="center"/>
            <w:hideMark/>
          </w:tcPr>
          <w:p w14:paraId="7E36435A" w14:textId="77777777" w:rsidR="00B43D75" w:rsidRPr="00092B22" w:rsidRDefault="00B43D75" w:rsidP="00E607DA">
            <w:pPr>
              <w:jc w:val="center"/>
              <w:rPr>
                <w:rFonts w:ascii="Meta Pro" w:eastAsia="Times New Roman" w:hAnsi="Meta Pro"/>
                <w:b/>
                <w:bCs/>
                <w:lang w:eastAsia="en-AU"/>
              </w:rPr>
            </w:pPr>
            <w:r w:rsidRPr="00092B22">
              <w:rPr>
                <w:rFonts w:ascii="Meta Pro" w:eastAsia="Times New Roman" w:hAnsi="Meta Pro"/>
                <w:b/>
                <w:bCs/>
                <w:lang w:eastAsia="en-AU"/>
              </w:rPr>
              <w:t>$'000</w:t>
            </w:r>
          </w:p>
        </w:tc>
      </w:tr>
      <w:tr w:rsidR="00B43D75" w:rsidRPr="00092B22" w14:paraId="4A3A12D5" w14:textId="77777777" w:rsidTr="00B07A53">
        <w:trPr>
          <w:trHeight w:val="240"/>
        </w:trPr>
        <w:tc>
          <w:tcPr>
            <w:tcW w:w="7090" w:type="dxa"/>
            <w:tcBorders>
              <w:top w:val="nil"/>
              <w:left w:val="nil"/>
              <w:bottom w:val="nil"/>
              <w:right w:val="nil"/>
            </w:tcBorders>
            <w:shd w:val="clear" w:color="auto" w:fill="auto"/>
            <w:noWrap/>
            <w:vAlign w:val="center"/>
            <w:hideMark/>
          </w:tcPr>
          <w:p w14:paraId="0622BD7F" w14:textId="77777777" w:rsidR="00B43D75" w:rsidRPr="00092B22" w:rsidRDefault="00B43D75" w:rsidP="00E607DA">
            <w:pPr>
              <w:rPr>
                <w:rFonts w:ascii="Meta Pro" w:eastAsia="Times New Roman" w:hAnsi="Meta Pro"/>
                <w:b/>
                <w:bCs/>
                <w:lang w:eastAsia="en-AU"/>
              </w:rPr>
            </w:pPr>
            <w:r w:rsidRPr="00092B22">
              <w:rPr>
                <w:rFonts w:ascii="Meta Pro" w:eastAsia="Times New Roman" w:hAnsi="Meta Pro"/>
                <w:b/>
                <w:bCs/>
                <w:lang w:eastAsia="en-AU"/>
              </w:rPr>
              <w:t>13     PREPAYMENTS</w:t>
            </w:r>
          </w:p>
        </w:tc>
        <w:tc>
          <w:tcPr>
            <w:tcW w:w="1165" w:type="dxa"/>
            <w:tcBorders>
              <w:top w:val="nil"/>
              <w:left w:val="nil"/>
              <w:bottom w:val="nil"/>
              <w:right w:val="nil"/>
            </w:tcBorders>
            <w:shd w:val="clear" w:color="auto" w:fill="auto"/>
            <w:noWrap/>
            <w:vAlign w:val="center"/>
            <w:hideMark/>
          </w:tcPr>
          <w:p w14:paraId="7DCC697B" w14:textId="77777777" w:rsidR="00B43D75" w:rsidRPr="00092B22" w:rsidRDefault="00B43D75" w:rsidP="00E607DA">
            <w:pPr>
              <w:rPr>
                <w:rFonts w:ascii="Meta Pro" w:eastAsia="Times New Roman" w:hAnsi="Meta Pro"/>
                <w:b/>
                <w:bCs/>
                <w:lang w:eastAsia="en-AU"/>
              </w:rPr>
            </w:pPr>
          </w:p>
        </w:tc>
        <w:tc>
          <w:tcPr>
            <w:tcW w:w="218" w:type="dxa"/>
            <w:tcBorders>
              <w:top w:val="nil"/>
              <w:left w:val="nil"/>
              <w:bottom w:val="nil"/>
              <w:right w:val="nil"/>
            </w:tcBorders>
            <w:shd w:val="clear" w:color="auto" w:fill="auto"/>
            <w:noWrap/>
            <w:vAlign w:val="center"/>
            <w:hideMark/>
          </w:tcPr>
          <w:p w14:paraId="25F79B4C" w14:textId="77777777" w:rsidR="00B43D75" w:rsidRPr="00092B22" w:rsidRDefault="00B43D75" w:rsidP="00E607DA">
            <w:pPr>
              <w:jc w:val="right"/>
              <w:rPr>
                <w:rFonts w:ascii="Meta Pro" w:eastAsia="Times New Roman" w:hAnsi="Meta Pro" w:cs="Times New Roman"/>
                <w:sz w:val="20"/>
                <w:szCs w:val="20"/>
                <w:lang w:eastAsia="en-AU"/>
              </w:rPr>
            </w:pPr>
          </w:p>
        </w:tc>
        <w:tc>
          <w:tcPr>
            <w:tcW w:w="1165" w:type="dxa"/>
            <w:tcBorders>
              <w:top w:val="nil"/>
              <w:left w:val="nil"/>
              <w:bottom w:val="nil"/>
              <w:right w:val="nil"/>
            </w:tcBorders>
            <w:shd w:val="clear" w:color="auto" w:fill="auto"/>
            <w:noWrap/>
            <w:vAlign w:val="center"/>
            <w:hideMark/>
          </w:tcPr>
          <w:p w14:paraId="270D7479" w14:textId="77777777" w:rsidR="00B43D75" w:rsidRPr="00092B22" w:rsidRDefault="00B43D75" w:rsidP="00E607DA">
            <w:pPr>
              <w:jc w:val="right"/>
              <w:rPr>
                <w:rFonts w:ascii="Meta Pro" w:eastAsia="Times New Roman" w:hAnsi="Meta Pro" w:cs="Times New Roman"/>
                <w:sz w:val="20"/>
                <w:szCs w:val="20"/>
                <w:lang w:eastAsia="en-AU"/>
              </w:rPr>
            </w:pPr>
          </w:p>
        </w:tc>
      </w:tr>
      <w:tr w:rsidR="00B43D75" w:rsidRPr="00092B22" w14:paraId="4011FE0D" w14:textId="77777777" w:rsidTr="00B07A53">
        <w:trPr>
          <w:trHeight w:val="90"/>
        </w:trPr>
        <w:tc>
          <w:tcPr>
            <w:tcW w:w="7090" w:type="dxa"/>
            <w:tcBorders>
              <w:top w:val="nil"/>
              <w:left w:val="nil"/>
              <w:bottom w:val="nil"/>
              <w:right w:val="nil"/>
            </w:tcBorders>
            <w:shd w:val="clear" w:color="auto" w:fill="auto"/>
            <w:noWrap/>
            <w:vAlign w:val="center"/>
            <w:hideMark/>
          </w:tcPr>
          <w:p w14:paraId="30F15D28" w14:textId="77777777" w:rsidR="00B43D75" w:rsidRPr="00092B22" w:rsidRDefault="00B43D75" w:rsidP="00E607DA">
            <w:pPr>
              <w:jc w:val="right"/>
              <w:rPr>
                <w:rFonts w:ascii="Meta Pro" w:eastAsia="Times New Roman" w:hAnsi="Meta Pro" w:cs="Times New Roman"/>
                <w:sz w:val="20"/>
                <w:szCs w:val="20"/>
                <w:lang w:eastAsia="en-AU"/>
              </w:rPr>
            </w:pPr>
          </w:p>
        </w:tc>
        <w:tc>
          <w:tcPr>
            <w:tcW w:w="1165" w:type="dxa"/>
            <w:tcBorders>
              <w:top w:val="nil"/>
              <w:left w:val="nil"/>
              <w:bottom w:val="nil"/>
              <w:right w:val="nil"/>
            </w:tcBorders>
            <w:shd w:val="clear" w:color="auto" w:fill="auto"/>
            <w:noWrap/>
            <w:vAlign w:val="center"/>
            <w:hideMark/>
          </w:tcPr>
          <w:p w14:paraId="368F90F6" w14:textId="77777777" w:rsidR="00B43D75" w:rsidRPr="00092B22" w:rsidRDefault="00B43D75" w:rsidP="00E607DA">
            <w:pPr>
              <w:rPr>
                <w:rFonts w:ascii="Meta Pro" w:eastAsia="Times New Roman" w:hAnsi="Meta Pro" w:cs="Times New Roman"/>
                <w:sz w:val="20"/>
                <w:szCs w:val="20"/>
                <w:lang w:eastAsia="en-AU"/>
              </w:rPr>
            </w:pPr>
          </w:p>
        </w:tc>
        <w:tc>
          <w:tcPr>
            <w:tcW w:w="218" w:type="dxa"/>
            <w:tcBorders>
              <w:top w:val="nil"/>
              <w:left w:val="nil"/>
              <w:bottom w:val="nil"/>
              <w:right w:val="nil"/>
            </w:tcBorders>
            <w:shd w:val="clear" w:color="auto" w:fill="auto"/>
            <w:noWrap/>
            <w:vAlign w:val="center"/>
            <w:hideMark/>
          </w:tcPr>
          <w:p w14:paraId="3CB90782" w14:textId="77777777" w:rsidR="00B43D75" w:rsidRPr="00092B22" w:rsidRDefault="00B43D75" w:rsidP="00E607DA">
            <w:pPr>
              <w:jc w:val="right"/>
              <w:rPr>
                <w:rFonts w:ascii="Meta Pro" w:eastAsia="Times New Roman" w:hAnsi="Meta Pro" w:cs="Times New Roman"/>
                <w:sz w:val="20"/>
                <w:szCs w:val="20"/>
                <w:lang w:eastAsia="en-AU"/>
              </w:rPr>
            </w:pPr>
          </w:p>
        </w:tc>
        <w:tc>
          <w:tcPr>
            <w:tcW w:w="1165" w:type="dxa"/>
            <w:tcBorders>
              <w:top w:val="nil"/>
              <w:left w:val="nil"/>
              <w:bottom w:val="nil"/>
              <w:right w:val="nil"/>
            </w:tcBorders>
            <w:shd w:val="clear" w:color="auto" w:fill="auto"/>
            <w:noWrap/>
            <w:vAlign w:val="center"/>
            <w:hideMark/>
          </w:tcPr>
          <w:p w14:paraId="2161CD69" w14:textId="77777777" w:rsidR="00B43D75" w:rsidRPr="00092B22" w:rsidRDefault="00B43D75" w:rsidP="00E607DA">
            <w:pPr>
              <w:jc w:val="right"/>
              <w:rPr>
                <w:rFonts w:ascii="Meta Pro" w:eastAsia="Times New Roman" w:hAnsi="Meta Pro" w:cs="Times New Roman"/>
                <w:sz w:val="20"/>
                <w:szCs w:val="20"/>
                <w:lang w:eastAsia="en-AU"/>
              </w:rPr>
            </w:pPr>
          </w:p>
        </w:tc>
      </w:tr>
      <w:tr w:rsidR="00B43D75" w:rsidRPr="00092B22" w14:paraId="3215D386" w14:textId="77777777" w:rsidTr="00B07A53">
        <w:trPr>
          <w:trHeight w:val="240"/>
        </w:trPr>
        <w:tc>
          <w:tcPr>
            <w:tcW w:w="7090" w:type="dxa"/>
            <w:tcBorders>
              <w:top w:val="nil"/>
              <w:left w:val="nil"/>
              <w:bottom w:val="nil"/>
              <w:right w:val="nil"/>
            </w:tcBorders>
            <w:shd w:val="clear" w:color="auto" w:fill="auto"/>
            <w:noWrap/>
            <w:vAlign w:val="center"/>
            <w:hideMark/>
          </w:tcPr>
          <w:p w14:paraId="0D4C0873" w14:textId="77777777" w:rsidR="00B43D75" w:rsidRPr="00092B22" w:rsidRDefault="00B43D75" w:rsidP="00E607DA">
            <w:pPr>
              <w:rPr>
                <w:rFonts w:ascii="Meta Pro" w:eastAsia="Times New Roman" w:hAnsi="Meta Pro"/>
                <w:b/>
                <w:bCs/>
                <w:szCs w:val="18"/>
                <w:lang w:eastAsia="en-AU"/>
              </w:rPr>
            </w:pPr>
            <w:r w:rsidRPr="00092B22">
              <w:rPr>
                <w:rFonts w:ascii="Meta Pro" w:eastAsia="Times New Roman" w:hAnsi="Meta Pro"/>
                <w:b/>
                <w:bCs/>
                <w:szCs w:val="18"/>
                <w:lang w:eastAsia="en-AU"/>
              </w:rPr>
              <w:t>Current</w:t>
            </w:r>
          </w:p>
        </w:tc>
        <w:tc>
          <w:tcPr>
            <w:tcW w:w="1165" w:type="dxa"/>
            <w:tcBorders>
              <w:top w:val="nil"/>
              <w:left w:val="nil"/>
              <w:bottom w:val="nil"/>
              <w:right w:val="nil"/>
            </w:tcBorders>
            <w:shd w:val="clear" w:color="auto" w:fill="auto"/>
            <w:noWrap/>
            <w:vAlign w:val="center"/>
            <w:hideMark/>
          </w:tcPr>
          <w:p w14:paraId="38ECE172" w14:textId="77777777" w:rsidR="00B43D75" w:rsidRPr="00092B22" w:rsidRDefault="00B43D75" w:rsidP="00E607DA">
            <w:pPr>
              <w:rPr>
                <w:rFonts w:ascii="Meta Pro" w:eastAsia="Times New Roman" w:hAnsi="Meta Pro"/>
                <w:b/>
                <w:bCs/>
                <w:szCs w:val="18"/>
                <w:lang w:eastAsia="en-AU"/>
              </w:rPr>
            </w:pPr>
          </w:p>
        </w:tc>
        <w:tc>
          <w:tcPr>
            <w:tcW w:w="218" w:type="dxa"/>
            <w:tcBorders>
              <w:top w:val="nil"/>
              <w:left w:val="nil"/>
              <w:bottom w:val="nil"/>
              <w:right w:val="nil"/>
            </w:tcBorders>
            <w:shd w:val="clear" w:color="auto" w:fill="auto"/>
            <w:noWrap/>
            <w:vAlign w:val="center"/>
            <w:hideMark/>
          </w:tcPr>
          <w:p w14:paraId="729198B2" w14:textId="77777777" w:rsidR="00B43D75" w:rsidRPr="00092B22" w:rsidRDefault="00B43D75" w:rsidP="00E607DA">
            <w:pPr>
              <w:jc w:val="right"/>
              <w:rPr>
                <w:rFonts w:ascii="Meta Pro" w:eastAsia="Times New Roman" w:hAnsi="Meta Pro" w:cs="Times New Roman"/>
                <w:sz w:val="20"/>
                <w:szCs w:val="20"/>
                <w:lang w:eastAsia="en-AU"/>
              </w:rPr>
            </w:pPr>
          </w:p>
        </w:tc>
        <w:tc>
          <w:tcPr>
            <w:tcW w:w="1165" w:type="dxa"/>
            <w:tcBorders>
              <w:top w:val="nil"/>
              <w:left w:val="nil"/>
              <w:bottom w:val="nil"/>
              <w:right w:val="nil"/>
            </w:tcBorders>
            <w:shd w:val="clear" w:color="auto" w:fill="auto"/>
            <w:noWrap/>
            <w:vAlign w:val="center"/>
            <w:hideMark/>
          </w:tcPr>
          <w:p w14:paraId="569BCD0A" w14:textId="77777777" w:rsidR="00B43D75" w:rsidRPr="00092B22" w:rsidRDefault="00B43D75" w:rsidP="00E607DA">
            <w:pPr>
              <w:jc w:val="right"/>
              <w:rPr>
                <w:rFonts w:ascii="Meta Pro" w:eastAsia="Times New Roman" w:hAnsi="Meta Pro" w:cs="Times New Roman"/>
                <w:sz w:val="20"/>
                <w:szCs w:val="20"/>
                <w:lang w:eastAsia="en-AU"/>
              </w:rPr>
            </w:pPr>
          </w:p>
        </w:tc>
      </w:tr>
      <w:tr w:rsidR="00B43D75" w:rsidRPr="00092B22" w14:paraId="7EF653B6" w14:textId="77777777" w:rsidTr="00B07A53">
        <w:trPr>
          <w:trHeight w:val="240"/>
        </w:trPr>
        <w:tc>
          <w:tcPr>
            <w:tcW w:w="7090" w:type="dxa"/>
            <w:tcBorders>
              <w:top w:val="nil"/>
              <w:left w:val="nil"/>
              <w:bottom w:val="nil"/>
              <w:right w:val="nil"/>
            </w:tcBorders>
            <w:shd w:val="clear" w:color="auto" w:fill="auto"/>
            <w:noWrap/>
            <w:vAlign w:val="center"/>
            <w:hideMark/>
          </w:tcPr>
          <w:p w14:paraId="0A607BD2" w14:textId="77777777" w:rsidR="00B43D75" w:rsidRPr="00092B22" w:rsidRDefault="00B43D75" w:rsidP="00E607DA">
            <w:pPr>
              <w:rPr>
                <w:rFonts w:ascii="Meta Pro" w:eastAsia="Times New Roman" w:hAnsi="Meta Pro"/>
                <w:szCs w:val="18"/>
                <w:lang w:eastAsia="en-AU"/>
              </w:rPr>
            </w:pPr>
            <w:r w:rsidRPr="00092B22">
              <w:rPr>
                <w:rFonts w:ascii="Meta Pro" w:eastAsia="Times New Roman" w:hAnsi="Meta Pro"/>
                <w:szCs w:val="18"/>
                <w:lang w:eastAsia="en-AU"/>
              </w:rPr>
              <w:t>Insurance</w:t>
            </w:r>
          </w:p>
        </w:tc>
        <w:tc>
          <w:tcPr>
            <w:tcW w:w="1165" w:type="dxa"/>
            <w:tcBorders>
              <w:top w:val="nil"/>
              <w:left w:val="nil"/>
              <w:bottom w:val="nil"/>
              <w:right w:val="nil"/>
            </w:tcBorders>
            <w:shd w:val="clear" w:color="000000" w:fill="C9E3B4"/>
            <w:noWrap/>
            <w:vAlign w:val="center"/>
            <w:hideMark/>
          </w:tcPr>
          <w:p w14:paraId="327AED59" w14:textId="77777777" w:rsidR="00B43D75" w:rsidRPr="00092B22" w:rsidRDefault="00B43D7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2,805 </w:t>
            </w:r>
          </w:p>
        </w:tc>
        <w:tc>
          <w:tcPr>
            <w:tcW w:w="218" w:type="dxa"/>
            <w:tcBorders>
              <w:top w:val="nil"/>
              <w:left w:val="nil"/>
              <w:bottom w:val="nil"/>
              <w:right w:val="nil"/>
            </w:tcBorders>
            <w:shd w:val="clear" w:color="auto" w:fill="auto"/>
            <w:noWrap/>
            <w:vAlign w:val="center"/>
            <w:hideMark/>
          </w:tcPr>
          <w:p w14:paraId="30F042CE" w14:textId="77777777" w:rsidR="00B43D75" w:rsidRPr="00092B22" w:rsidRDefault="00B43D75" w:rsidP="00E607DA">
            <w:pPr>
              <w:jc w:val="right"/>
              <w:rPr>
                <w:rFonts w:ascii="Meta Pro" w:eastAsia="Times New Roman" w:hAnsi="Meta Pro"/>
                <w:szCs w:val="18"/>
                <w:lang w:eastAsia="en-AU"/>
              </w:rPr>
            </w:pPr>
          </w:p>
        </w:tc>
        <w:tc>
          <w:tcPr>
            <w:tcW w:w="1165" w:type="dxa"/>
            <w:tcBorders>
              <w:top w:val="nil"/>
              <w:left w:val="nil"/>
              <w:bottom w:val="nil"/>
              <w:right w:val="nil"/>
            </w:tcBorders>
            <w:shd w:val="clear" w:color="auto" w:fill="auto"/>
            <w:noWrap/>
            <w:vAlign w:val="center"/>
            <w:hideMark/>
          </w:tcPr>
          <w:p w14:paraId="0C3F99A7" w14:textId="77777777" w:rsidR="00B43D75" w:rsidRPr="00092B22" w:rsidRDefault="00B43D7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3,868 </w:t>
            </w:r>
          </w:p>
        </w:tc>
      </w:tr>
      <w:tr w:rsidR="00B43D75" w:rsidRPr="00092B22" w14:paraId="3D52A7D4" w14:textId="77777777" w:rsidTr="00B07A53">
        <w:trPr>
          <w:trHeight w:val="240"/>
        </w:trPr>
        <w:tc>
          <w:tcPr>
            <w:tcW w:w="7090" w:type="dxa"/>
            <w:tcBorders>
              <w:top w:val="nil"/>
              <w:left w:val="nil"/>
              <w:bottom w:val="nil"/>
              <w:right w:val="nil"/>
            </w:tcBorders>
            <w:shd w:val="clear" w:color="auto" w:fill="auto"/>
            <w:noWrap/>
            <w:vAlign w:val="center"/>
            <w:hideMark/>
          </w:tcPr>
          <w:p w14:paraId="4AF66839" w14:textId="77777777" w:rsidR="00B43D75" w:rsidRPr="00092B22" w:rsidRDefault="00B43D75" w:rsidP="00E607DA">
            <w:pPr>
              <w:rPr>
                <w:rFonts w:ascii="Meta Pro" w:eastAsia="Times New Roman" w:hAnsi="Meta Pro"/>
                <w:szCs w:val="18"/>
                <w:lang w:eastAsia="en-AU"/>
              </w:rPr>
            </w:pPr>
            <w:r w:rsidRPr="00092B22">
              <w:rPr>
                <w:rFonts w:ascii="Meta Pro" w:eastAsia="Times New Roman" w:hAnsi="Meta Pro"/>
                <w:szCs w:val="18"/>
                <w:lang w:eastAsia="en-AU"/>
              </w:rPr>
              <w:t>New Generation Rollingstock accessibility works *</w:t>
            </w:r>
          </w:p>
        </w:tc>
        <w:tc>
          <w:tcPr>
            <w:tcW w:w="1165" w:type="dxa"/>
            <w:tcBorders>
              <w:top w:val="nil"/>
              <w:left w:val="nil"/>
              <w:bottom w:val="nil"/>
              <w:right w:val="nil"/>
            </w:tcBorders>
            <w:shd w:val="clear" w:color="000000" w:fill="C9E3B4"/>
            <w:noWrap/>
            <w:vAlign w:val="center"/>
            <w:hideMark/>
          </w:tcPr>
          <w:p w14:paraId="6A093D54" w14:textId="77777777" w:rsidR="00B43D75" w:rsidRPr="00092B22" w:rsidRDefault="00B43D7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61,109 </w:t>
            </w:r>
          </w:p>
        </w:tc>
        <w:tc>
          <w:tcPr>
            <w:tcW w:w="218" w:type="dxa"/>
            <w:tcBorders>
              <w:top w:val="nil"/>
              <w:left w:val="nil"/>
              <w:bottom w:val="nil"/>
              <w:right w:val="nil"/>
            </w:tcBorders>
            <w:shd w:val="clear" w:color="auto" w:fill="auto"/>
            <w:noWrap/>
            <w:vAlign w:val="center"/>
            <w:hideMark/>
          </w:tcPr>
          <w:p w14:paraId="7F82AB8F" w14:textId="77777777" w:rsidR="00B43D75" w:rsidRPr="00092B22" w:rsidRDefault="00B43D75" w:rsidP="00E607DA">
            <w:pPr>
              <w:jc w:val="right"/>
              <w:rPr>
                <w:rFonts w:ascii="Meta Pro" w:eastAsia="Times New Roman" w:hAnsi="Meta Pro"/>
                <w:szCs w:val="18"/>
                <w:lang w:eastAsia="en-AU"/>
              </w:rPr>
            </w:pPr>
          </w:p>
        </w:tc>
        <w:tc>
          <w:tcPr>
            <w:tcW w:w="1165" w:type="dxa"/>
            <w:tcBorders>
              <w:top w:val="nil"/>
              <w:left w:val="nil"/>
              <w:bottom w:val="nil"/>
              <w:right w:val="nil"/>
            </w:tcBorders>
            <w:shd w:val="clear" w:color="auto" w:fill="auto"/>
            <w:noWrap/>
            <w:vAlign w:val="center"/>
            <w:hideMark/>
          </w:tcPr>
          <w:p w14:paraId="52FC8A4E" w14:textId="77777777" w:rsidR="00B43D75" w:rsidRPr="00092B22" w:rsidRDefault="00B43D7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60,519 </w:t>
            </w:r>
          </w:p>
        </w:tc>
      </w:tr>
      <w:tr w:rsidR="00B43D75" w:rsidRPr="00092B22" w14:paraId="65C13E17" w14:textId="77777777" w:rsidTr="00B07A53">
        <w:trPr>
          <w:trHeight w:val="240"/>
        </w:trPr>
        <w:tc>
          <w:tcPr>
            <w:tcW w:w="7090" w:type="dxa"/>
            <w:tcBorders>
              <w:top w:val="nil"/>
              <w:left w:val="nil"/>
              <w:bottom w:val="nil"/>
              <w:right w:val="nil"/>
            </w:tcBorders>
            <w:shd w:val="clear" w:color="auto" w:fill="auto"/>
            <w:noWrap/>
            <w:vAlign w:val="center"/>
            <w:hideMark/>
          </w:tcPr>
          <w:p w14:paraId="26FD5386" w14:textId="77777777" w:rsidR="00B43D75" w:rsidRPr="00092B22" w:rsidRDefault="00B43D75" w:rsidP="00E607DA">
            <w:pPr>
              <w:rPr>
                <w:rFonts w:ascii="Meta Pro" w:eastAsia="Times New Roman" w:hAnsi="Meta Pro"/>
                <w:szCs w:val="18"/>
                <w:lang w:eastAsia="en-AU"/>
              </w:rPr>
            </w:pPr>
            <w:r w:rsidRPr="00092B22">
              <w:rPr>
                <w:rFonts w:ascii="Meta Pro" w:eastAsia="Times New Roman" w:hAnsi="Meta Pro"/>
                <w:szCs w:val="18"/>
                <w:lang w:eastAsia="en-AU"/>
              </w:rPr>
              <w:t>Pilotage</w:t>
            </w:r>
          </w:p>
        </w:tc>
        <w:tc>
          <w:tcPr>
            <w:tcW w:w="1165" w:type="dxa"/>
            <w:tcBorders>
              <w:top w:val="nil"/>
              <w:left w:val="nil"/>
              <w:bottom w:val="nil"/>
              <w:right w:val="nil"/>
            </w:tcBorders>
            <w:shd w:val="clear" w:color="000000" w:fill="C9E3B4"/>
            <w:noWrap/>
            <w:vAlign w:val="center"/>
            <w:hideMark/>
          </w:tcPr>
          <w:p w14:paraId="5F79F78C" w14:textId="77777777" w:rsidR="00B43D75" w:rsidRPr="00092B22" w:rsidRDefault="00B43D7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1,030 </w:t>
            </w:r>
          </w:p>
        </w:tc>
        <w:tc>
          <w:tcPr>
            <w:tcW w:w="218" w:type="dxa"/>
            <w:tcBorders>
              <w:top w:val="nil"/>
              <w:left w:val="nil"/>
              <w:bottom w:val="nil"/>
              <w:right w:val="nil"/>
            </w:tcBorders>
            <w:shd w:val="clear" w:color="auto" w:fill="auto"/>
            <w:noWrap/>
            <w:vAlign w:val="center"/>
            <w:hideMark/>
          </w:tcPr>
          <w:p w14:paraId="651A94B7" w14:textId="77777777" w:rsidR="00B43D75" w:rsidRPr="00092B22" w:rsidRDefault="00B43D75" w:rsidP="00E607DA">
            <w:pPr>
              <w:jc w:val="right"/>
              <w:rPr>
                <w:rFonts w:ascii="Meta Pro" w:eastAsia="Times New Roman" w:hAnsi="Meta Pro"/>
                <w:szCs w:val="18"/>
                <w:lang w:eastAsia="en-AU"/>
              </w:rPr>
            </w:pPr>
          </w:p>
        </w:tc>
        <w:tc>
          <w:tcPr>
            <w:tcW w:w="1165" w:type="dxa"/>
            <w:tcBorders>
              <w:top w:val="nil"/>
              <w:left w:val="nil"/>
              <w:bottom w:val="nil"/>
              <w:right w:val="nil"/>
            </w:tcBorders>
            <w:shd w:val="clear" w:color="auto" w:fill="auto"/>
            <w:noWrap/>
            <w:vAlign w:val="center"/>
            <w:hideMark/>
          </w:tcPr>
          <w:p w14:paraId="47C82F09" w14:textId="77777777" w:rsidR="00B43D75" w:rsidRPr="00092B22" w:rsidRDefault="00B43D7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2,030 </w:t>
            </w:r>
          </w:p>
        </w:tc>
      </w:tr>
      <w:tr w:rsidR="00B43D75" w:rsidRPr="00092B22" w14:paraId="011075F1" w14:textId="77777777" w:rsidTr="00B07A53">
        <w:trPr>
          <w:trHeight w:val="240"/>
        </w:trPr>
        <w:tc>
          <w:tcPr>
            <w:tcW w:w="7090" w:type="dxa"/>
            <w:tcBorders>
              <w:top w:val="nil"/>
              <w:left w:val="nil"/>
              <w:bottom w:val="nil"/>
              <w:right w:val="nil"/>
            </w:tcBorders>
            <w:shd w:val="clear" w:color="auto" w:fill="auto"/>
            <w:noWrap/>
            <w:vAlign w:val="center"/>
            <w:hideMark/>
          </w:tcPr>
          <w:p w14:paraId="4177DFAF" w14:textId="77777777" w:rsidR="00B43D75" w:rsidRPr="00092B22" w:rsidRDefault="00B43D75" w:rsidP="00E607DA">
            <w:pPr>
              <w:rPr>
                <w:rFonts w:ascii="Meta Pro" w:eastAsia="Times New Roman" w:hAnsi="Meta Pro"/>
                <w:szCs w:val="18"/>
                <w:lang w:eastAsia="en-AU"/>
              </w:rPr>
            </w:pPr>
            <w:r w:rsidRPr="00092B22">
              <w:rPr>
                <w:rFonts w:ascii="Meta Pro" w:eastAsia="Times New Roman" w:hAnsi="Meta Pro"/>
                <w:szCs w:val="18"/>
                <w:lang w:eastAsia="en-AU"/>
              </w:rPr>
              <w:t>Prepaid salaries</w:t>
            </w:r>
          </w:p>
        </w:tc>
        <w:tc>
          <w:tcPr>
            <w:tcW w:w="1165" w:type="dxa"/>
            <w:tcBorders>
              <w:top w:val="nil"/>
              <w:left w:val="nil"/>
              <w:bottom w:val="nil"/>
              <w:right w:val="nil"/>
            </w:tcBorders>
            <w:shd w:val="clear" w:color="000000" w:fill="C9E3B4"/>
            <w:noWrap/>
            <w:vAlign w:val="center"/>
            <w:hideMark/>
          </w:tcPr>
          <w:p w14:paraId="2ECD028F" w14:textId="77777777" w:rsidR="00B43D75" w:rsidRPr="00092B22" w:rsidRDefault="00B43D7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2,941 </w:t>
            </w:r>
          </w:p>
        </w:tc>
        <w:tc>
          <w:tcPr>
            <w:tcW w:w="218" w:type="dxa"/>
            <w:tcBorders>
              <w:top w:val="nil"/>
              <w:left w:val="nil"/>
              <w:bottom w:val="nil"/>
              <w:right w:val="nil"/>
            </w:tcBorders>
            <w:shd w:val="clear" w:color="auto" w:fill="auto"/>
            <w:noWrap/>
            <w:vAlign w:val="center"/>
            <w:hideMark/>
          </w:tcPr>
          <w:p w14:paraId="09E7F474" w14:textId="77777777" w:rsidR="00B43D75" w:rsidRPr="00092B22" w:rsidRDefault="00B43D75" w:rsidP="00E607DA">
            <w:pPr>
              <w:jc w:val="right"/>
              <w:rPr>
                <w:rFonts w:ascii="Meta Pro" w:eastAsia="Times New Roman" w:hAnsi="Meta Pro"/>
                <w:szCs w:val="18"/>
                <w:lang w:eastAsia="en-AU"/>
              </w:rPr>
            </w:pPr>
          </w:p>
        </w:tc>
        <w:tc>
          <w:tcPr>
            <w:tcW w:w="1165" w:type="dxa"/>
            <w:tcBorders>
              <w:top w:val="nil"/>
              <w:left w:val="nil"/>
              <w:bottom w:val="nil"/>
              <w:right w:val="nil"/>
            </w:tcBorders>
            <w:shd w:val="clear" w:color="auto" w:fill="auto"/>
            <w:noWrap/>
            <w:vAlign w:val="center"/>
            <w:hideMark/>
          </w:tcPr>
          <w:p w14:paraId="2299CB14" w14:textId="77777777" w:rsidR="00B43D75" w:rsidRPr="00092B22" w:rsidRDefault="00B43D7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5,582 </w:t>
            </w:r>
          </w:p>
        </w:tc>
      </w:tr>
      <w:tr w:rsidR="00B43D75" w:rsidRPr="00092B22" w14:paraId="1541A0B9" w14:textId="77777777" w:rsidTr="00B07A53">
        <w:trPr>
          <w:trHeight w:val="240"/>
        </w:trPr>
        <w:tc>
          <w:tcPr>
            <w:tcW w:w="7090" w:type="dxa"/>
            <w:tcBorders>
              <w:top w:val="nil"/>
              <w:left w:val="nil"/>
              <w:bottom w:val="nil"/>
              <w:right w:val="nil"/>
            </w:tcBorders>
            <w:shd w:val="clear" w:color="auto" w:fill="auto"/>
            <w:noWrap/>
            <w:vAlign w:val="center"/>
            <w:hideMark/>
          </w:tcPr>
          <w:p w14:paraId="6F895073" w14:textId="77777777" w:rsidR="00B43D75" w:rsidRPr="00092B22" w:rsidRDefault="00B43D75" w:rsidP="00E607DA">
            <w:pPr>
              <w:rPr>
                <w:rFonts w:ascii="Meta Pro" w:eastAsia="Times New Roman" w:hAnsi="Meta Pro"/>
                <w:szCs w:val="18"/>
                <w:lang w:eastAsia="en-AU"/>
              </w:rPr>
            </w:pPr>
            <w:r w:rsidRPr="00092B22">
              <w:rPr>
                <w:rFonts w:ascii="Meta Pro" w:eastAsia="Times New Roman" w:hAnsi="Meta Pro"/>
                <w:szCs w:val="18"/>
                <w:lang w:eastAsia="en-AU"/>
              </w:rPr>
              <w:t xml:space="preserve">Queensland Rail transport services contract </w:t>
            </w:r>
          </w:p>
        </w:tc>
        <w:tc>
          <w:tcPr>
            <w:tcW w:w="1165" w:type="dxa"/>
            <w:tcBorders>
              <w:top w:val="nil"/>
              <w:left w:val="nil"/>
              <w:bottom w:val="nil"/>
              <w:right w:val="nil"/>
            </w:tcBorders>
            <w:shd w:val="clear" w:color="000000" w:fill="C9E3B4"/>
            <w:noWrap/>
            <w:vAlign w:val="center"/>
            <w:hideMark/>
          </w:tcPr>
          <w:p w14:paraId="01E04AF0" w14:textId="77777777" w:rsidR="00B43D75" w:rsidRPr="00092B22" w:rsidRDefault="00B43D7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c>
          <w:tcPr>
            <w:tcW w:w="218" w:type="dxa"/>
            <w:tcBorders>
              <w:top w:val="nil"/>
              <w:left w:val="nil"/>
              <w:bottom w:val="nil"/>
              <w:right w:val="nil"/>
            </w:tcBorders>
            <w:shd w:val="clear" w:color="auto" w:fill="auto"/>
            <w:noWrap/>
            <w:vAlign w:val="center"/>
            <w:hideMark/>
          </w:tcPr>
          <w:p w14:paraId="14A77B48" w14:textId="77777777" w:rsidR="00B43D75" w:rsidRPr="00092B22" w:rsidRDefault="00B43D75" w:rsidP="00E607DA">
            <w:pPr>
              <w:jc w:val="right"/>
              <w:rPr>
                <w:rFonts w:ascii="Meta Pro" w:eastAsia="Times New Roman" w:hAnsi="Meta Pro"/>
                <w:szCs w:val="18"/>
                <w:lang w:eastAsia="en-AU"/>
              </w:rPr>
            </w:pPr>
          </w:p>
        </w:tc>
        <w:tc>
          <w:tcPr>
            <w:tcW w:w="1165" w:type="dxa"/>
            <w:tcBorders>
              <w:top w:val="nil"/>
              <w:left w:val="nil"/>
              <w:bottom w:val="nil"/>
              <w:right w:val="nil"/>
            </w:tcBorders>
            <w:shd w:val="clear" w:color="auto" w:fill="auto"/>
            <w:noWrap/>
            <w:vAlign w:val="center"/>
            <w:hideMark/>
          </w:tcPr>
          <w:p w14:paraId="7831456F" w14:textId="77777777" w:rsidR="00B43D75" w:rsidRPr="00092B22" w:rsidRDefault="00B43D7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17,500 </w:t>
            </w:r>
          </w:p>
        </w:tc>
      </w:tr>
      <w:tr w:rsidR="00B43D75" w:rsidRPr="00092B22" w14:paraId="1B879357" w14:textId="77777777" w:rsidTr="00B07A53">
        <w:trPr>
          <w:trHeight w:val="240"/>
        </w:trPr>
        <w:tc>
          <w:tcPr>
            <w:tcW w:w="7090" w:type="dxa"/>
            <w:tcBorders>
              <w:top w:val="nil"/>
              <w:left w:val="nil"/>
              <w:bottom w:val="nil"/>
              <w:right w:val="nil"/>
            </w:tcBorders>
            <w:shd w:val="clear" w:color="auto" w:fill="auto"/>
            <w:noWrap/>
            <w:vAlign w:val="center"/>
            <w:hideMark/>
          </w:tcPr>
          <w:p w14:paraId="11BF942E" w14:textId="77777777" w:rsidR="00B43D75" w:rsidRPr="00092B22" w:rsidRDefault="00B43D75" w:rsidP="00E607DA">
            <w:pPr>
              <w:rPr>
                <w:rFonts w:ascii="Meta Pro" w:eastAsia="Times New Roman" w:hAnsi="Meta Pro"/>
                <w:szCs w:val="18"/>
                <w:lang w:eastAsia="en-AU"/>
              </w:rPr>
            </w:pPr>
            <w:r w:rsidRPr="00092B22">
              <w:rPr>
                <w:rFonts w:ascii="Meta Pro" w:eastAsia="Times New Roman" w:hAnsi="Meta Pro"/>
                <w:szCs w:val="18"/>
                <w:lang w:eastAsia="en-AU"/>
              </w:rPr>
              <w:lastRenderedPageBreak/>
              <w:t>Software and data agreements **</w:t>
            </w:r>
          </w:p>
        </w:tc>
        <w:tc>
          <w:tcPr>
            <w:tcW w:w="1165" w:type="dxa"/>
            <w:tcBorders>
              <w:top w:val="nil"/>
              <w:left w:val="nil"/>
              <w:bottom w:val="nil"/>
              <w:right w:val="nil"/>
            </w:tcBorders>
            <w:shd w:val="clear" w:color="000000" w:fill="C9E3B4"/>
            <w:noWrap/>
            <w:vAlign w:val="center"/>
            <w:hideMark/>
          </w:tcPr>
          <w:p w14:paraId="7DA45A4F" w14:textId="77777777" w:rsidR="00B43D75" w:rsidRPr="00092B22" w:rsidRDefault="00B43D7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24,996 </w:t>
            </w:r>
          </w:p>
        </w:tc>
        <w:tc>
          <w:tcPr>
            <w:tcW w:w="218" w:type="dxa"/>
            <w:tcBorders>
              <w:top w:val="nil"/>
              <w:left w:val="nil"/>
              <w:bottom w:val="nil"/>
              <w:right w:val="nil"/>
            </w:tcBorders>
            <w:shd w:val="clear" w:color="auto" w:fill="auto"/>
            <w:noWrap/>
            <w:vAlign w:val="center"/>
            <w:hideMark/>
          </w:tcPr>
          <w:p w14:paraId="25299258" w14:textId="77777777" w:rsidR="00B43D75" w:rsidRPr="00092B22" w:rsidRDefault="00B43D75" w:rsidP="00E607DA">
            <w:pPr>
              <w:jc w:val="right"/>
              <w:rPr>
                <w:rFonts w:ascii="Meta Pro" w:eastAsia="Times New Roman" w:hAnsi="Meta Pro"/>
                <w:szCs w:val="18"/>
                <w:lang w:eastAsia="en-AU"/>
              </w:rPr>
            </w:pPr>
          </w:p>
        </w:tc>
        <w:tc>
          <w:tcPr>
            <w:tcW w:w="1165" w:type="dxa"/>
            <w:tcBorders>
              <w:top w:val="nil"/>
              <w:left w:val="nil"/>
              <w:bottom w:val="nil"/>
              <w:right w:val="nil"/>
            </w:tcBorders>
            <w:shd w:val="clear" w:color="auto" w:fill="auto"/>
            <w:noWrap/>
            <w:vAlign w:val="center"/>
            <w:hideMark/>
          </w:tcPr>
          <w:p w14:paraId="46E0075F" w14:textId="77777777" w:rsidR="00B43D75" w:rsidRPr="00092B22" w:rsidRDefault="00B43D7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36,606 </w:t>
            </w:r>
          </w:p>
        </w:tc>
      </w:tr>
      <w:tr w:rsidR="00B43D75" w:rsidRPr="00092B22" w14:paraId="16E38DD3" w14:textId="77777777" w:rsidTr="00B07A53">
        <w:trPr>
          <w:trHeight w:val="240"/>
        </w:trPr>
        <w:tc>
          <w:tcPr>
            <w:tcW w:w="7090" w:type="dxa"/>
            <w:tcBorders>
              <w:top w:val="nil"/>
              <w:left w:val="nil"/>
              <w:bottom w:val="nil"/>
              <w:right w:val="nil"/>
            </w:tcBorders>
            <w:shd w:val="clear" w:color="auto" w:fill="auto"/>
            <w:noWrap/>
            <w:vAlign w:val="center"/>
            <w:hideMark/>
          </w:tcPr>
          <w:p w14:paraId="3B2C438D" w14:textId="77777777" w:rsidR="00B43D75" w:rsidRPr="00092B22" w:rsidRDefault="00B43D75" w:rsidP="00E607DA">
            <w:pPr>
              <w:rPr>
                <w:rFonts w:ascii="Meta Pro" w:eastAsia="Times New Roman" w:hAnsi="Meta Pro"/>
                <w:szCs w:val="18"/>
                <w:lang w:eastAsia="en-AU"/>
              </w:rPr>
            </w:pPr>
            <w:r w:rsidRPr="00092B22">
              <w:rPr>
                <w:rFonts w:ascii="Meta Pro" w:eastAsia="Times New Roman" w:hAnsi="Meta Pro"/>
                <w:szCs w:val="18"/>
                <w:lang w:eastAsia="en-AU"/>
              </w:rPr>
              <w:t>Other</w:t>
            </w:r>
          </w:p>
        </w:tc>
        <w:tc>
          <w:tcPr>
            <w:tcW w:w="1165" w:type="dxa"/>
            <w:tcBorders>
              <w:top w:val="nil"/>
              <w:left w:val="nil"/>
              <w:bottom w:val="nil"/>
              <w:right w:val="nil"/>
            </w:tcBorders>
            <w:shd w:val="clear" w:color="000000" w:fill="C9E3B4"/>
            <w:noWrap/>
            <w:vAlign w:val="center"/>
            <w:hideMark/>
          </w:tcPr>
          <w:p w14:paraId="2C2854FC" w14:textId="77777777" w:rsidR="00B43D75" w:rsidRPr="00092B22" w:rsidRDefault="00B43D7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910 </w:t>
            </w:r>
          </w:p>
        </w:tc>
        <w:tc>
          <w:tcPr>
            <w:tcW w:w="218" w:type="dxa"/>
            <w:tcBorders>
              <w:top w:val="nil"/>
              <w:left w:val="nil"/>
              <w:bottom w:val="nil"/>
              <w:right w:val="nil"/>
            </w:tcBorders>
            <w:shd w:val="clear" w:color="auto" w:fill="auto"/>
            <w:noWrap/>
            <w:vAlign w:val="center"/>
            <w:hideMark/>
          </w:tcPr>
          <w:p w14:paraId="22511C71" w14:textId="77777777" w:rsidR="00B43D75" w:rsidRPr="00092B22" w:rsidRDefault="00B43D75" w:rsidP="00E607DA">
            <w:pPr>
              <w:jc w:val="right"/>
              <w:rPr>
                <w:rFonts w:ascii="Meta Pro" w:eastAsia="Times New Roman" w:hAnsi="Meta Pro"/>
                <w:szCs w:val="18"/>
                <w:lang w:eastAsia="en-AU"/>
              </w:rPr>
            </w:pPr>
          </w:p>
        </w:tc>
        <w:tc>
          <w:tcPr>
            <w:tcW w:w="1165" w:type="dxa"/>
            <w:tcBorders>
              <w:top w:val="nil"/>
              <w:left w:val="nil"/>
              <w:bottom w:val="nil"/>
              <w:right w:val="nil"/>
            </w:tcBorders>
            <w:shd w:val="clear" w:color="auto" w:fill="auto"/>
            <w:noWrap/>
            <w:vAlign w:val="center"/>
            <w:hideMark/>
          </w:tcPr>
          <w:p w14:paraId="1CBCED2D" w14:textId="77777777" w:rsidR="00B43D75" w:rsidRPr="00092B22" w:rsidRDefault="00B43D7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3,446 </w:t>
            </w:r>
          </w:p>
        </w:tc>
      </w:tr>
      <w:tr w:rsidR="00B43D75" w:rsidRPr="00092B22" w14:paraId="665AE29A" w14:textId="77777777" w:rsidTr="00B07A53">
        <w:trPr>
          <w:trHeight w:val="240"/>
        </w:trPr>
        <w:tc>
          <w:tcPr>
            <w:tcW w:w="7090" w:type="dxa"/>
            <w:tcBorders>
              <w:top w:val="single" w:sz="4" w:space="0" w:color="auto"/>
              <w:left w:val="nil"/>
              <w:bottom w:val="double" w:sz="6" w:space="0" w:color="auto"/>
              <w:right w:val="nil"/>
            </w:tcBorders>
            <w:shd w:val="clear" w:color="auto" w:fill="auto"/>
            <w:noWrap/>
            <w:vAlign w:val="center"/>
            <w:hideMark/>
          </w:tcPr>
          <w:p w14:paraId="32C48D27" w14:textId="77777777" w:rsidR="00B43D75" w:rsidRPr="00092B22" w:rsidRDefault="00B43D75" w:rsidP="00E607DA">
            <w:pPr>
              <w:rPr>
                <w:rFonts w:ascii="Meta Pro" w:eastAsia="Times New Roman" w:hAnsi="Meta Pro"/>
                <w:b/>
                <w:bCs/>
                <w:szCs w:val="18"/>
                <w:lang w:eastAsia="en-AU"/>
              </w:rPr>
            </w:pPr>
            <w:r w:rsidRPr="00092B22">
              <w:rPr>
                <w:rFonts w:ascii="Meta Pro" w:eastAsia="Times New Roman" w:hAnsi="Meta Pro"/>
                <w:b/>
                <w:bCs/>
                <w:szCs w:val="18"/>
                <w:lang w:eastAsia="en-AU"/>
              </w:rPr>
              <w:t>Total</w:t>
            </w:r>
          </w:p>
        </w:tc>
        <w:tc>
          <w:tcPr>
            <w:tcW w:w="1165" w:type="dxa"/>
            <w:tcBorders>
              <w:top w:val="single" w:sz="4" w:space="0" w:color="auto"/>
              <w:left w:val="nil"/>
              <w:bottom w:val="double" w:sz="6" w:space="0" w:color="auto"/>
              <w:right w:val="nil"/>
            </w:tcBorders>
            <w:shd w:val="clear" w:color="000000" w:fill="C9E3B4"/>
            <w:noWrap/>
            <w:vAlign w:val="center"/>
            <w:hideMark/>
          </w:tcPr>
          <w:p w14:paraId="3967DF2B" w14:textId="77777777" w:rsidR="00B43D75" w:rsidRPr="00092B22" w:rsidRDefault="00B43D75"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93,791 </w:t>
            </w:r>
          </w:p>
        </w:tc>
        <w:tc>
          <w:tcPr>
            <w:tcW w:w="218" w:type="dxa"/>
            <w:tcBorders>
              <w:top w:val="single" w:sz="4" w:space="0" w:color="auto"/>
              <w:left w:val="nil"/>
              <w:bottom w:val="double" w:sz="6" w:space="0" w:color="auto"/>
              <w:right w:val="nil"/>
            </w:tcBorders>
            <w:shd w:val="clear" w:color="auto" w:fill="auto"/>
            <w:noWrap/>
            <w:vAlign w:val="center"/>
            <w:hideMark/>
          </w:tcPr>
          <w:p w14:paraId="60E951D5" w14:textId="77777777" w:rsidR="00B43D75" w:rsidRPr="00092B22" w:rsidRDefault="00B43D75"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165" w:type="dxa"/>
            <w:tcBorders>
              <w:top w:val="single" w:sz="4" w:space="0" w:color="auto"/>
              <w:left w:val="nil"/>
              <w:bottom w:val="double" w:sz="6" w:space="0" w:color="auto"/>
              <w:right w:val="nil"/>
            </w:tcBorders>
            <w:shd w:val="clear" w:color="auto" w:fill="auto"/>
            <w:noWrap/>
            <w:vAlign w:val="center"/>
            <w:hideMark/>
          </w:tcPr>
          <w:p w14:paraId="71F530B7" w14:textId="77777777" w:rsidR="00B43D75" w:rsidRPr="00092B22" w:rsidRDefault="00B43D75"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129,551 </w:t>
            </w:r>
          </w:p>
        </w:tc>
      </w:tr>
      <w:tr w:rsidR="00B43D75" w:rsidRPr="00092B22" w14:paraId="2C4D1B5D" w14:textId="77777777" w:rsidTr="00B07A53">
        <w:trPr>
          <w:trHeight w:val="90"/>
        </w:trPr>
        <w:tc>
          <w:tcPr>
            <w:tcW w:w="7090" w:type="dxa"/>
            <w:tcBorders>
              <w:top w:val="nil"/>
              <w:left w:val="nil"/>
              <w:bottom w:val="nil"/>
              <w:right w:val="nil"/>
            </w:tcBorders>
            <w:shd w:val="clear" w:color="auto" w:fill="auto"/>
            <w:noWrap/>
            <w:vAlign w:val="center"/>
            <w:hideMark/>
          </w:tcPr>
          <w:p w14:paraId="47B40D2E" w14:textId="77777777" w:rsidR="00B43D75" w:rsidRPr="00092B22" w:rsidRDefault="00B43D75" w:rsidP="00E607DA">
            <w:pPr>
              <w:jc w:val="right"/>
              <w:rPr>
                <w:rFonts w:ascii="Meta Pro" w:eastAsia="Times New Roman" w:hAnsi="Meta Pro"/>
                <w:b/>
                <w:bCs/>
                <w:szCs w:val="18"/>
                <w:lang w:eastAsia="en-AU"/>
              </w:rPr>
            </w:pPr>
          </w:p>
        </w:tc>
        <w:tc>
          <w:tcPr>
            <w:tcW w:w="1165" w:type="dxa"/>
            <w:tcBorders>
              <w:top w:val="nil"/>
              <w:left w:val="nil"/>
              <w:bottom w:val="nil"/>
              <w:right w:val="nil"/>
            </w:tcBorders>
            <w:shd w:val="clear" w:color="auto" w:fill="auto"/>
            <w:noWrap/>
            <w:vAlign w:val="center"/>
            <w:hideMark/>
          </w:tcPr>
          <w:p w14:paraId="616A7261" w14:textId="77777777" w:rsidR="00B43D75" w:rsidRPr="00092B22" w:rsidRDefault="00B43D75" w:rsidP="00E607DA">
            <w:pPr>
              <w:rPr>
                <w:rFonts w:ascii="Meta Pro" w:eastAsia="Times New Roman" w:hAnsi="Meta Pro" w:cs="Times New Roman"/>
                <w:sz w:val="20"/>
                <w:szCs w:val="20"/>
                <w:lang w:eastAsia="en-AU"/>
              </w:rPr>
            </w:pPr>
          </w:p>
        </w:tc>
        <w:tc>
          <w:tcPr>
            <w:tcW w:w="218" w:type="dxa"/>
            <w:tcBorders>
              <w:top w:val="nil"/>
              <w:left w:val="nil"/>
              <w:bottom w:val="nil"/>
              <w:right w:val="nil"/>
            </w:tcBorders>
            <w:shd w:val="clear" w:color="auto" w:fill="auto"/>
            <w:noWrap/>
            <w:vAlign w:val="center"/>
            <w:hideMark/>
          </w:tcPr>
          <w:p w14:paraId="4BB2D6D1" w14:textId="77777777" w:rsidR="00B43D75" w:rsidRPr="00092B22" w:rsidRDefault="00B43D75" w:rsidP="00E607DA">
            <w:pPr>
              <w:jc w:val="right"/>
              <w:rPr>
                <w:rFonts w:ascii="Meta Pro" w:eastAsia="Times New Roman" w:hAnsi="Meta Pro" w:cs="Times New Roman"/>
                <w:sz w:val="20"/>
                <w:szCs w:val="20"/>
                <w:lang w:eastAsia="en-AU"/>
              </w:rPr>
            </w:pPr>
          </w:p>
        </w:tc>
        <w:tc>
          <w:tcPr>
            <w:tcW w:w="1165" w:type="dxa"/>
            <w:tcBorders>
              <w:top w:val="nil"/>
              <w:left w:val="nil"/>
              <w:bottom w:val="nil"/>
              <w:right w:val="nil"/>
            </w:tcBorders>
            <w:shd w:val="clear" w:color="auto" w:fill="auto"/>
            <w:noWrap/>
            <w:vAlign w:val="center"/>
            <w:hideMark/>
          </w:tcPr>
          <w:p w14:paraId="26E7F921" w14:textId="77777777" w:rsidR="00B43D75" w:rsidRPr="00092B22" w:rsidRDefault="00B43D75" w:rsidP="00E607DA">
            <w:pPr>
              <w:jc w:val="right"/>
              <w:rPr>
                <w:rFonts w:ascii="Meta Pro" w:eastAsia="Times New Roman" w:hAnsi="Meta Pro" w:cs="Times New Roman"/>
                <w:sz w:val="20"/>
                <w:szCs w:val="20"/>
                <w:lang w:eastAsia="en-AU"/>
              </w:rPr>
            </w:pPr>
          </w:p>
        </w:tc>
      </w:tr>
      <w:tr w:rsidR="00B43D75" w:rsidRPr="00092B22" w14:paraId="18D9FC21" w14:textId="77777777" w:rsidTr="00B07A53">
        <w:trPr>
          <w:trHeight w:val="240"/>
        </w:trPr>
        <w:tc>
          <w:tcPr>
            <w:tcW w:w="7090" w:type="dxa"/>
            <w:tcBorders>
              <w:top w:val="nil"/>
              <w:left w:val="nil"/>
              <w:bottom w:val="nil"/>
              <w:right w:val="nil"/>
            </w:tcBorders>
            <w:shd w:val="clear" w:color="auto" w:fill="auto"/>
            <w:noWrap/>
            <w:vAlign w:val="center"/>
            <w:hideMark/>
          </w:tcPr>
          <w:p w14:paraId="251F975A" w14:textId="77777777" w:rsidR="00B43D75" w:rsidRPr="00092B22" w:rsidRDefault="00B43D75" w:rsidP="00E607DA">
            <w:pPr>
              <w:rPr>
                <w:rFonts w:ascii="Meta Pro" w:eastAsia="Times New Roman" w:hAnsi="Meta Pro"/>
                <w:b/>
                <w:bCs/>
                <w:szCs w:val="18"/>
                <w:lang w:eastAsia="en-AU"/>
              </w:rPr>
            </w:pPr>
            <w:r w:rsidRPr="00092B22">
              <w:rPr>
                <w:rFonts w:ascii="Meta Pro" w:eastAsia="Times New Roman" w:hAnsi="Meta Pro"/>
                <w:b/>
                <w:bCs/>
                <w:szCs w:val="18"/>
                <w:lang w:eastAsia="en-AU"/>
              </w:rPr>
              <w:t>Non-current</w:t>
            </w:r>
          </w:p>
        </w:tc>
        <w:tc>
          <w:tcPr>
            <w:tcW w:w="1165" w:type="dxa"/>
            <w:tcBorders>
              <w:top w:val="nil"/>
              <w:left w:val="nil"/>
              <w:bottom w:val="nil"/>
              <w:right w:val="nil"/>
            </w:tcBorders>
            <w:shd w:val="clear" w:color="auto" w:fill="auto"/>
            <w:noWrap/>
            <w:vAlign w:val="center"/>
            <w:hideMark/>
          </w:tcPr>
          <w:p w14:paraId="47FE25FF" w14:textId="77777777" w:rsidR="00B43D75" w:rsidRPr="00092B22" w:rsidRDefault="00B43D75" w:rsidP="00E607DA">
            <w:pPr>
              <w:rPr>
                <w:rFonts w:ascii="Meta Pro" w:eastAsia="Times New Roman" w:hAnsi="Meta Pro"/>
                <w:b/>
                <w:bCs/>
                <w:szCs w:val="18"/>
                <w:lang w:eastAsia="en-AU"/>
              </w:rPr>
            </w:pPr>
          </w:p>
        </w:tc>
        <w:tc>
          <w:tcPr>
            <w:tcW w:w="218" w:type="dxa"/>
            <w:tcBorders>
              <w:top w:val="nil"/>
              <w:left w:val="nil"/>
              <w:bottom w:val="nil"/>
              <w:right w:val="nil"/>
            </w:tcBorders>
            <w:shd w:val="clear" w:color="auto" w:fill="auto"/>
            <w:noWrap/>
            <w:vAlign w:val="center"/>
            <w:hideMark/>
          </w:tcPr>
          <w:p w14:paraId="7C047A5B" w14:textId="77777777" w:rsidR="00B43D75" w:rsidRPr="00092B22" w:rsidRDefault="00B43D75" w:rsidP="00E607DA">
            <w:pPr>
              <w:jc w:val="right"/>
              <w:rPr>
                <w:rFonts w:ascii="Meta Pro" w:eastAsia="Times New Roman" w:hAnsi="Meta Pro" w:cs="Times New Roman"/>
                <w:sz w:val="20"/>
                <w:szCs w:val="20"/>
                <w:lang w:eastAsia="en-AU"/>
              </w:rPr>
            </w:pPr>
          </w:p>
        </w:tc>
        <w:tc>
          <w:tcPr>
            <w:tcW w:w="1165" w:type="dxa"/>
            <w:tcBorders>
              <w:top w:val="nil"/>
              <w:left w:val="nil"/>
              <w:bottom w:val="nil"/>
              <w:right w:val="nil"/>
            </w:tcBorders>
            <w:shd w:val="clear" w:color="auto" w:fill="auto"/>
            <w:noWrap/>
            <w:vAlign w:val="center"/>
            <w:hideMark/>
          </w:tcPr>
          <w:p w14:paraId="52D6E347" w14:textId="77777777" w:rsidR="00B43D75" w:rsidRPr="00092B22" w:rsidRDefault="00B43D75" w:rsidP="00E607DA">
            <w:pPr>
              <w:jc w:val="right"/>
              <w:rPr>
                <w:rFonts w:ascii="Meta Pro" w:eastAsia="Times New Roman" w:hAnsi="Meta Pro" w:cs="Times New Roman"/>
                <w:sz w:val="20"/>
                <w:szCs w:val="20"/>
                <w:lang w:eastAsia="en-AU"/>
              </w:rPr>
            </w:pPr>
          </w:p>
        </w:tc>
      </w:tr>
      <w:tr w:rsidR="00B43D75" w:rsidRPr="00092B22" w14:paraId="0D1EF385" w14:textId="77777777" w:rsidTr="00B07A53">
        <w:trPr>
          <w:trHeight w:val="240"/>
        </w:trPr>
        <w:tc>
          <w:tcPr>
            <w:tcW w:w="7090" w:type="dxa"/>
            <w:tcBorders>
              <w:top w:val="nil"/>
              <w:left w:val="nil"/>
              <w:bottom w:val="nil"/>
              <w:right w:val="nil"/>
            </w:tcBorders>
            <w:shd w:val="clear" w:color="auto" w:fill="auto"/>
            <w:noWrap/>
            <w:vAlign w:val="center"/>
            <w:hideMark/>
          </w:tcPr>
          <w:p w14:paraId="7DAA2F96" w14:textId="77777777" w:rsidR="00B43D75" w:rsidRPr="00092B22" w:rsidRDefault="00B43D75" w:rsidP="00E607DA">
            <w:pPr>
              <w:rPr>
                <w:rFonts w:ascii="Meta Pro" w:eastAsia="Times New Roman" w:hAnsi="Meta Pro"/>
                <w:szCs w:val="18"/>
                <w:lang w:eastAsia="en-AU"/>
              </w:rPr>
            </w:pPr>
            <w:r w:rsidRPr="00092B22">
              <w:rPr>
                <w:rFonts w:ascii="Meta Pro" w:eastAsia="Times New Roman" w:hAnsi="Meta Pro"/>
                <w:szCs w:val="18"/>
                <w:lang w:eastAsia="en-AU"/>
              </w:rPr>
              <w:t>Insurance</w:t>
            </w:r>
          </w:p>
        </w:tc>
        <w:tc>
          <w:tcPr>
            <w:tcW w:w="1165" w:type="dxa"/>
            <w:tcBorders>
              <w:top w:val="nil"/>
              <w:left w:val="nil"/>
              <w:bottom w:val="nil"/>
              <w:right w:val="nil"/>
            </w:tcBorders>
            <w:shd w:val="clear" w:color="000000" w:fill="C9E3B4"/>
            <w:noWrap/>
            <w:vAlign w:val="center"/>
            <w:hideMark/>
          </w:tcPr>
          <w:p w14:paraId="04F09724" w14:textId="77777777" w:rsidR="00B43D75" w:rsidRPr="00092B22" w:rsidRDefault="00B43D7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4,019 </w:t>
            </w:r>
          </w:p>
        </w:tc>
        <w:tc>
          <w:tcPr>
            <w:tcW w:w="218" w:type="dxa"/>
            <w:tcBorders>
              <w:top w:val="nil"/>
              <w:left w:val="nil"/>
              <w:bottom w:val="nil"/>
              <w:right w:val="nil"/>
            </w:tcBorders>
            <w:shd w:val="clear" w:color="auto" w:fill="auto"/>
            <w:noWrap/>
            <w:vAlign w:val="center"/>
            <w:hideMark/>
          </w:tcPr>
          <w:p w14:paraId="1CE2E71E" w14:textId="77777777" w:rsidR="00B43D75" w:rsidRPr="00092B22" w:rsidRDefault="00B43D75" w:rsidP="00E607DA">
            <w:pPr>
              <w:jc w:val="right"/>
              <w:rPr>
                <w:rFonts w:ascii="Meta Pro" w:eastAsia="Times New Roman" w:hAnsi="Meta Pro"/>
                <w:szCs w:val="18"/>
                <w:lang w:eastAsia="en-AU"/>
              </w:rPr>
            </w:pPr>
          </w:p>
        </w:tc>
        <w:tc>
          <w:tcPr>
            <w:tcW w:w="1165" w:type="dxa"/>
            <w:tcBorders>
              <w:top w:val="nil"/>
              <w:left w:val="nil"/>
              <w:bottom w:val="nil"/>
              <w:right w:val="nil"/>
            </w:tcBorders>
            <w:shd w:val="clear" w:color="auto" w:fill="auto"/>
            <w:noWrap/>
            <w:vAlign w:val="center"/>
            <w:hideMark/>
          </w:tcPr>
          <w:p w14:paraId="47C935BA" w14:textId="77777777" w:rsidR="00B43D75" w:rsidRPr="00092B22" w:rsidRDefault="00B43D7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5,020 </w:t>
            </w:r>
          </w:p>
        </w:tc>
      </w:tr>
      <w:tr w:rsidR="00B43D75" w:rsidRPr="00092B22" w14:paraId="08D342B7" w14:textId="77777777" w:rsidTr="00B07A53">
        <w:trPr>
          <w:trHeight w:val="240"/>
        </w:trPr>
        <w:tc>
          <w:tcPr>
            <w:tcW w:w="7090" w:type="dxa"/>
            <w:tcBorders>
              <w:top w:val="nil"/>
              <w:left w:val="nil"/>
              <w:bottom w:val="nil"/>
              <w:right w:val="nil"/>
            </w:tcBorders>
            <w:shd w:val="clear" w:color="auto" w:fill="auto"/>
            <w:noWrap/>
            <w:vAlign w:val="center"/>
            <w:hideMark/>
          </w:tcPr>
          <w:p w14:paraId="7770EBB6" w14:textId="77777777" w:rsidR="00B43D75" w:rsidRPr="00092B22" w:rsidRDefault="00B43D75" w:rsidP="00E607DA">
            <w:pPr>
              <w:rPr>
                <w:rFonts w:ascii="Meta Pro" w:eastAsia="Times New Roman" w:hAnsi="Meta Pro"/>
                <w:szCs w:val="18"/>
                <w:lang w:eastAsia="en-AU"/>
              </w:rPr>
            </w:pPr>
            <w:r w:rsidRPr="00092B22">
              <w:rPr>
                <w:rFonts w:ascii="Meta Pro" w:eastAsia="Times New Roman" w:hAnsi="Meta Pro"/>
                <w:szCs w:val="18"/>
                <w:lang w:eastAsia="en-AU"/>
              </w:rPr>
              <w:t>New Generation Rollingstock accessibility works *</w:t>
            </w:r>
          </w:p>
        </w:tc>
        <w:tc>
          <w:tcPr>
            <w:tcW w:w="1165" w:type="dxa"/>
            <w:tcBorders>
              <w:top w:val="nil"/>
              <w:left w:val="nil"/>
              <w:bottom w:val="nil"/>
              <w:right w:val="nil"/>
            </w:tcBorders>
            <w:shd w:val="clear" w:color="000000" w:fill="C9E3B4"/>
            <w:noWrap/>
            <w:vAlign w:val="center"/>
            <w:hideMark/>
          </w:tcPr>
          <w:p w14:paraId="420FA060" w14:textId="77777777" w:rsidR="00B43D75" w:rsidRPr="00092B22" w:rsidRDefault="00B43D7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138,994 </w:t>
            </w:r>
          </w:p>
        </w:tc>
        <w:tc>
          <w:tcPr>
            <w:tcW w:w="218" w:type="dxa"/>
            <w:tcBorders>
              <w:top w:val="nil"/>
              <w:left w:val="nil"/>
              <w:bottom w:val="nil"/>
              <w:right w:val="nil"/>
            </w:tcBorders>
            <w:shd w:val="clear" w:color="auto" w:fill="auto"/>
            <w:noWrap/>
            <w:vAlign w:val="center"/>
            <w:hideMark/>
          </w:tcPr>
          <w:p w14:paraId="6C885512" w14:textId="77777777" w:rsidR="00B43D75" w:rsidRPr="00092B22" w:rsidRDefault="00B43D75" w:rsidP="00E607DA">
            <w:pPr>
              <w:jc w:val="right"/>
              <w:rPr>
                <w:rFonts w:ascii="Meta Pro" w:eastAsia="Times New Roman" w:hAnsi="Meta Pro"/>
                <w:szCs w:val="18"/>
                <w:lang w:eastAsia="en-AU"/>
              </w:rPr>
            </w:pPr>
          </w:p>
        </w:tc>
        <w:tc>
          <w:tcPr>
            <w:tcW w:w="1165" w:type="dxa"/>
            <w:tcBorders>
              <w:top w:val="nil"/>
              <w:left w:val="nil"/>
              <w:bottom w:val="nil"/>
              <w:right w:val="nil"/>
            </w:tcBorders>
            <w:shd w:val="clear" w:color="auto" w:fill="auto"/>
            <w:noWrap/>
            <w:vAlign w:val="center"/>
            <w:hideMark/>
          </w:tcPr>
          <w:p w14:paraId="45347758" w14:textId="77777777" w:rsidR="00B43D75" w:rsidRPr="00092B22" w:rsidRDefault="00B43D7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175,648 </w:t>
            </w:r>
          </w:p>
        </w:tc>
      </w:tr>
      <w:tr w:rsidR="00B43D75" w:rsidRPr="00092B22" w14:paraId="17FD5B44" w14:textId="77777777" w:rsidTr="00B07A53">
        <w:trPr>
          <w:trHeight w:val="240"/>
        </w:trPr>
        <w:tc>
          <w:tcPr>
            <w:tcW w:w="7090" w:type="dxa"/>
            <w:tcBorders>
              <w:top w:val="nil"/>
              <w:left w:val="nil"/>
              <w:bottom w:val="nil"/>
              <w:right w:val="nil"/>
            </w:tcBorders>
            <w:shd w:val="clear" w:color="auto" w:fill="auto"/>
            <w:noWrap/>
            <w:vAlign w:val="center"/>
            <w:hideMark/>
          </w:tcPr>
          <w:p w14:paraId="2BB30E7E" w14:textId="77777777" w:rsidR="00B43D75" w:rsidRPr="00092B22" w:rsidRDefault="00B43D75" w:rsidP="00E607DA">
            <w:pPr>
              <w:rPr>
                <w:rFonts w:ascii="Meta Pro" w:eastAsia="Times New Roman" w:hAnsi="Meta Pro"/>
                <w:szCs w:val="18"/>
                <w:lang w:eastAsia="en-AU"/>
              </w:rPr>
            </w:pPr>
            <w:r w:rsidRPr="00092B22">
              <w:rPr>
                <w:rFonts w:ascii="Meta Pro" w:eastAsia="Times New Roman" w:hAnsi="Meta Pro"/>
                <w:szCs w:val="18"/>
                <w:lang w:eastAsia="en-AU"/>
              </w:rPr>
              <w:t>Software and data agreements</w:t>
            </w:r>
          </w:p>
        </w:tc>
        <w:tc>
          <w:tcPr>
            <w:tcW w:w="1165" w:type="dxa"/>
            <w:tcBorders>
              <w:top w:val="nil"/>
              <w:left w:val="nil"/>
              <w:bottom w:val="nil"/>
              <w:right w:val="nil"/>
            </w:tcBorders>
            <w:shd w:val="clear" w:color="000000" w:fill="C9E3B4"/>
            <w:noWrap/>
            <w:vAlign w:val="center"/>
            <w:hideMark/>
          </w:tcPr>
          <w:p w14:paraId="0F3FD177" w14:textId="77777777" w:rsidR="00B43D75" w:rsidRPr="00092B22" w:rsidRDefault="00B43D7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1,353 </w:t>
            </w:r>
          </w:p>
        </w:tc>
        <w:tc>
          <w:tcPr>
            <w:tcW w:w="218" w:type="dxa"/>
            <w:tcBorders>
              <w:top w:val="nil"/>
              <w:left w:val="nil"/>
              <w:bottom w:val="nil"/>
              <w:right w:val="nil"/>
            </w:tcBorders>
            <w:shd w:val="clear" w:color="auto" w:fill="auto"/>
            <w:noWrap/>
            <w:vAlign w:val="center"/>
            <w:hideMark/>
          </w:tcPr>
          <w:p w14:paraId="1E5385F8" w14:textId="77777777" w:rsidR="00B43D75" w:rsidRPr="00092B22" w:rsidRDefault="00B43D75" w:rsidP="00E607DA">
            <w:pPr>
              <w:jc w:val="right"/>
              <w:rPr>
                <w:rFonts w:ascii="Meta Pro" w:eastAsia="Times New Roman" w:hAnsi="Meta Pro"/>
                <w:szCs w:val="18"/>
                <w:lang w:eastAsia="en-AU"/>
              </w:rPr>
            </w:pPr>
          </w:p>
        </w:tc>
        <w:tc>
          <w:tcPr>
            <w:tcW w:w="1165" w:type="dxa"/>
            <w:tcBorders>
              <w:top w:val="nil"/>
              <w:left w:val="nil"/>
              <w:bottom w:val="nil"/>
              <w:right w:val="nil"/>
            </w:tcBorders>
            <w:shd w:val="clear" w:color="auto" w:fill="auto"/>
            <w:noWrap/>
            <w:vAlign w:val="center"/>
            <w:hideMark/>
          </w:tcPr>
          <w:p w14:paraId="0547365E" w14:textId="77777777" w:rsidR="00B43D75" w:rsidRPr="00092B22" w:rsidRDefault="00B43D7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743 </w:t>
            </w:r>
          </w:p>
        </w:tc>
      </w:tr>
      <w:tr w:rsidR="00B43D75" w:rsidRPr="00092B22" w14:paraId="0FE54492" w14:textId="77777777" w:rsidTr="00B07A53">
        <w:trPr>
          <w:trHeight w:val="240"/>
        </w:trPr>
        <w:tc>
          <w:tcPr>
            <w:tcW w:w="7090" w:type="dxa"/>
            <w:tcBorders>
              <w:top w:val="nil"/>
              <w:left w:val="nil"/>
              <w:bottom w:val="nil"/>
              <w:right w:val="nil"/>
            </w:tcBorders>
            <w:shd w:val="clear" w:color="auto" w:fill="auto"/>
            <w:noWrap/>
            <w:vAlign w:val="center"/>
            <w:hideMark/>
          </w:tcPr>
          <w:p w14:paraId="6DA2EC22" w14:textId="77777777" w:rsidR="00B43D75" w:rsidRPr="00092B22" w:rsidRDefault="00B43D75" w:rsidP="00E607DA">
            <w:pPr>
              <w:rPr>
                <w:rFonts w:ascii="Meta Pro" w:eastAsia="Times New Roman" w:hAnsi="Meta Pro"/>
                <w:szCs w:val="18"/>
                <w:lang w:eastAsia="en-AU"/>
              </w:rPr>
            </w:pPr>
            <w:r w:rsidRPr="00092B22">
              <w:rPr>
                <w:rFonts w:ascii="Meta Pro" w:eastAsia="Times New Roman" w:hAnsi="Meta Pro"/>
                <w:szCs w:val="18"/>
                <w:lang w:eastAsia="en-AU"/>
              </w:rPr>
              <w:t>Other</w:t>
            </w:r>
          </w:p>
        </w:tc>
        <w:tc>
          <w:tcPr>
            <w:tcW w:w="1165" w:type="dxa"/>
            <w:tcBorders>
              <w:top w:val="nil"/>
              <w:left w:val="nil"/>
              <w:bottom w:val="nil"/>
              <w:right w:val="nil"/>
            </w:tcBorders>
            <w:shd w:val="clear" w:color="000000" w:fill="C9E3B4"/>
            <w:noWrap/>
            <w:vAlign w:val="center"/>
            <w:hideMark/>
          </w:tcPr>
          <w:p w14:paraId="1E49C98B" w14:textId="77777777" w:rsidR="00B43D75" w:rsidRPr="00092B22" w:rsidRDefault="00B43D7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61 </w:t>
            </w:r>
          </w:p>
        </w:tc>
        <w:tc>
          <w:tcPr>
            <w:tcW w:w="218" w:type="dxa"/>
            <w:tcBorders>
              <w:top w:val="nil"/>
              <w:left w:val="nil"/>
              <w:bottom w:val="nil"/>
              <w:right w:val="nil"/>
            </w:tcBorders>
            <w:shd w:val="clear" w:color="auto" w:fill="auto"/>
            <w:noWrap/>
            <w:vAlign w:val="center"/>
            <w:hideMark/>
          </w:tcPr>
          <w:p w14:paraId="0FC59046" w14:textId="77777777" w:rsidR="00B43D75" w:rsidRPr="00092B22" w:rsidRDefault="00B43D75" w:rsidP="00E607DA">
            <w:pPr>
              <w:jc w:val="right"/>
              <w:rPr>
                <w:rFonts w:ascii="Meta Pro" w:eastAsia="Times New Roman" w:hAnsi="Meta Pro"/>
                <w:szCs w:val="18"/>
                <w:lang w:eastAsia="en-AU"/>
              </w:rPr>
            </w:pPr>
          </w:p>
        </w:tc>
        <w:tc>
          <w:tcPr>
            <w:tcW w:w="1165" w:type="dxa"/>
            <w:tcBorders>
              <w:top w:val="nil"/>
              <w:left w:val="nil"/>
              <w:bottom w:val="nil"/>
              <w:right w:val="nil"/>
            </w:tcBorders>
            <w:shd w:val="clear" w:color="auto" w:fill="auto"/>
            <w:noWrap/>
            <w:vAlign w:val="center"/>
            <w:hideMark/>
          </w:tcPr>
          <w:p w14:paraId="293C7871" w14:textId="77777777" w:rsidR="00B43D75" w:rsidRPr="00092B22" w:rsidRDefault="00B43D7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348 </w:t>
            </w:r>
          </w:p>
        </w:tc>
      </w:tr>
      <w:tr w:rsidR="00B43D75" w:rsidRPr="00092B22" w14:paraId="5FD74D72" w14:textId="77777777" w:rsidTr="00B07A53">
        <w:trPr>
          <w:trHeight w:val="240"/>
        </w:trPr>
        <w:tc>
          <w:tcPr>
            <w:tcW w:w="7090" w:type="dxa"/>
            <w:tcBorders>
              <w:top w:val="single" w:sz="4" w:space="0" w:color="auto"/>
              <w:left w:val="nil"/>
              <w:bottom w:val="double" w:sz="6" w:space="0" w:color="auto"/>
              <w:right w:val="nil"/>
            </w:tcBorders>
            <w:shd w:val="clear" w:color="auto" w:fill="auto"/>
            <w:noWrap/>
            <w:vAlign w:val="center"/>
            <w:hideMark/>
          </w:tcPr>
          <w:p w14:paraId="69844D62" w14:textId="77777777" w:rsidR="00B43D75" w:rsidRPr="00092B22" w:rsidRDefault="00B43D75" w:rsidP="00E607DA">
            <w:pPr>
              <w:rPr>
                <w:rFonts w:ascii="Meta Pro" w:eastAsia="Times New Roman" w:hAnsi="Meta Pro"/>
                <w:b/>
                <w:bCs/>
                <w:szCs w:val="18"/>
                <w:lang w:eastAsia="en-AU"/>
              </w:rPr>
            </w:pPr>
            <w:r w:rsidRPr="00092B22">
              <w:rPr>
                <w:rFonts w:ascii="Meta Pro" w:eastAsia="Times New Roman" w:hAnsi="Meta Pro"/>
                <w:b/>
                <w:bCs/>
                <w:szCs w:val="18"/>
                <w:lang w:eastAsia="en-AU"/>
              </w:rPr>
              <w:t>Total</w:t>
            </w:r>
          </w:p>
        </w:tc>
        <w:tc>
          <w:tcPr>
            <w:tcW w:w="1165" w:type="dxa"/>
            <w:tcBorders>
              <w:top w:val="single" w:sz="4" w:space="0" w:color="auto"/>
              <w:left w:val="nil"/>
              <w:bottom w:val="double" w:sz="6" w:space="0" w:color="auto"/>
              <w:right w:val="nil"/>
            </w:tcBorders>
            <w:shd w:val="clear" w:color="000000" w:fill="C9E3B4"/>
            <w:noWrap/>
            <w:vAlign w:val="center"/>
            <w:hideMark/>
          </w:tcPr>
          <w:p w14:paraId="13999939" w14:textId="77777777" w:rsidR="00B43D75" w:rsidRPr="00092B22" w:rsidRDefault="00B43D75"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144,427 </w:t>
            </w:r>
          </w:p>
        </w:tc>
        <w:tc>
          <w:tcPr>
            <w:tcW w:w="218" w:type="dxa"/>
            <w:tcBorders>
              <w:top w:val="single" w:sz="4" w:space="0" w:color="auto"/>
              <w:left w:val="nil"/>
              <w:bottom w:val="double" w:sz="6" w:space="0" w:color="auto"/>
              <w:right w:val="nil"/>
            </w:tcBorders>
            <w:shd w:val="clear" w:color="auto" w:fill="auto"/>
            <w:noWrap/>
            <w:vAlign w:val="center"/>
            <w:hideMark/>
          </w:tcPr>
          <w:p w14:paraId="0697D369" w14:textId="77777777" w:rsidR="00B43D75" w:rsidRPr="00092B22" w:rsidRDefault="00B43D75"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165" w:type="dxa"/>
            <w:tcBorders>
              <w:top w:val="single" w:sz="4" w:space="0" w:color="auto"/>
              <w:left w:val="nil"/>
              <w:bottom w:val="double" w:sz="6" w:space="0" w:color="auto"/>
              <w:right w:val="nil"/>
            </w:tcBorders>
            <w:shd w:val="clear" w:color="auto" w:fill="auto"/>
            <w:noWrap/>
            <w:vAlign w:val="center"/>
            <w:hideMark/>
          </w:tcPr>
          <w:p w14:paraId="0996235D" w14:textId="77777777" w:rsidR="00B43D75" w:rsidRPr="00092B22" w:rsidRDefault="00B43D75"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181,759 </w:t>
            </w:r>
          </w:p>
        </w:tc>
      </w:tr>
    </w:tbl>
    <w:p w14:paraId="61C30420" w14:textId="77777777" w:rsidR="00B43D75" w:rsidRPr="00092B22" w:rsidRDefault="00B43D75" w:rsidP="00B43D75">
      <w:pPr>
        <w:spacing w:before="120" w:line="259" w:lineRule="auto"/>
        <w:rPr>
          <w:rFonts w:ascii="Meta Pro" w:eastAsia="Times New Roman" w:hAnsi="Meta Pro"/>
          <w:sz w:val="16"/>
          <w:szCs w:val="16"/>
          <w:lang w:eastAsia="en-AU"/>
        </w:rPr>
      </w:pPr>
      <w:r w:rsidRPr="00092B22">
        <w:rPr>
          <w:rFonts w:ascii="Meta Pro" w:eastAsia="Times New Roman" w:hAnsi="Meta Pro"/>
          <w:sz w:val="16"/>
          <w:szCs w:val="16"/>
          <w:lang w:eastAsia="en-AU"/>
        </w:rPr>
        <w:t>* Milestone payments on rectification works for New Generation Rollingstock train sets made in accordance with the variation deed entered</w:t>
      </w:r>
    </w:p>
    <w:p w14:paraId="1182272E" w14:textId="77777777" w:rsidR="00B43D75" w:rsidRPr="00092B22" w:rsidRDefault="00B43D75" w:rsidP="00B43D75">
      <w:pPr>
        <w:spacing w:line="259" w:lineRule="auto"/>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into with the vendor. Residual payments have been recognised as a provision. Refer to Note 19.</w:t>
      </w:r>
    </w:p>
    <w:p w14:paraId="4925C43C" w14:textId="77777777" w:rsidR="00B43D75" w:rsidRPr="00092B22" w:rsidRDefault="00B43D75" w:rsidP="00B43D75">
      <w:pPr>
        <w:spacing w:before="120"/>
        <w:rPr>
          <w:rFonts w:ascii="Meta Pro" w:eastAsia="Times New Roman" w:hAnsi="Meta Pro"/>
          <w:sz w:val="16"/>
          <w:szCs w:val="16"/>
          <w:lang w:eastAsia="en-AU"/>
        </w:rPr>
      </w:pPr>
      <w:r w:rsidRPr="00092B22">
        <w:rPr>
          <w:rFonts w:ascii="Meta Pro" w:eastAsia="Times New Roman" w:hAnsi="Meta Pro"/>
          <w:sz w:val="16"/>
          <w:szCs w:val="16"/>
          <w:lang w:eastAsia="en-AU"/>
        </w:rPr>
        <w:t>** Comparatives have changed following the reclassification of expenditure associated with departmental cloud computing arrangements</w:t>
      </w:r>
    </w:p>
    <w:p w14:paraId="48E6184C" w14:textId="77777777" w:rsidR="00B43D75" w:rsidRPr="00092B22" w:rsidRDefault="00B43D75" w:rsidP="00B43D75">
      <w:pPr>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due to a change in accounting policy. Refer to Note 1.</w:t>
      </w:r>
    </w:p>
    <w:p w14:paraId="3E3F0808" w14:textId="77777777" w:rsidR="00B43D75" w:rsidRPr="00092B22" w:rsidRDefault="00B43D75" w:rsidP="00B43D75">
      <w:pPr>
        <w:spacing w:line="259" w:lineRule="auto"/>
        <w:rPr>
          <w:rFonts w:ascii="Meta Pro" w:eastAsia="Times New Roman" w:hAnsi="Meta Pro"/>
          <w:sz w:val="16"/>
          <w:szCs w:val="16"/>
          <w:lang w:eastAsia="en-AU"/>
        </w:rPr>
      </w:pPr>
    </w:p>
    <w:p w14:paraId="1323EE61" w14:textId="77777777" w:rsidR="00B43D75" w:rsidRDefault="00B43D75" w:rsidP="00B43D75">
      <w:pPr>
        <w:rPr>
          <w:rFonts w:asciiTheme="minorHAnsi" w:hAnsiTheme="minorHAnsi" w:cstheme="minorBidi"/>
        </w:rPr>
      </w:pPr>
    </w:p>
    <w:tbl>
      <w:tblPr>
        <w:tblW w:w="0" w:type="auto"/>
        <w:tblCellMar>
          <w:left w:w="0" w:type="dxa"/>
        </w:tblCellMar>
        <w:tblLook w:val="04A0" w:firstRow="1" w:lastRow="0" w:firstColumn="1" w:lastColumn="0" w:noHBand="0" w:noVBand="1"/>
      </w:tblPr>
      <w:tblGrid>
        <w:gridCol w:w="3297"/>
        <w:gridCol w:w="1013"/>
        <w:gridCol w:w="197"/>
        <w:gridCol w:w="1013"/>
        <w:gridCol w:w="197"/>
        <w:gridCol w:w="1013"/>
        <w:gridCol w:w="197"/>
        <w:gridCol w:w="1013"/>
        <w:gridCol w:w="197"/>
        <w:gridCol w:w="1013"/>
      </w:tblGrid>
      <w:tr w:rsidR="00B43D75" w:rsidRPr="00135CBD" w14:paraId="20CB0FDC" w14:textId="77777777" w:rsidTr="009A3F2A">
        <w:trPr>
          <w:trHeight w:val="270"/>
        </w:trPr>
        <w:tc>
          <w:tcPr>
            <w:tcW w:w="3289" w:type="dxa"/>
            <w:tcBorders>
              <w:top w:val="nil"/>
              <w:left w:val="nil"/>
              <w:bottom w:val="nil"/>
              <w:right w:val="nil"/>
            </w:tcBorders>
            <w:shd w:val="clear" w:color="auto" w:fill="auto"/>
            <w:noWrap/>
            <w:vAlign w:val="center"/>
            <w:hideMark/>
          </w:tcPr>
          <w:p w14:paraId="647CC00D" w14:textId="77777777" w:rsidR="00B43D75" w:rsidRPr="00135CBD" w:rsidRDefault="00B43D75" w:rsidP="00E607DA">
            <w:pPr>
              <w:rPr>
                <w:rFonts w:ascii="Meta Pro" w:eastAsia="Times New Roman" w:hAnsi="Meta Pro"/>
                <w:b/>
                <w:bCs/>
                <w:sz w:val="24"/>
                <w:szCs w:val="24"/>
                <w:lang w:eastAsia="en-AU"/>
              </w:rPr>
            </w:pPr>
            <w:r w:rsidRPr="00135CBD">
              <w:rPr>
                <w:rFonts w:ascii="Meta Pro" w:eastAsia="Times New Roman" w:hAnsi="Meta Pro"/>
                <w:b/>
                <w:bCs/>
                <w:sz w:val="24"/>
                <w:szCs w:val="24"/>
                <w:lang w:eastAsia="en-AU"/>
              </w:rPr>
              <w:t>14     INTANGIBLE ASSETS</w:t>
            </w:r>
          </w:p>
        </w:tc>
        <w:tc>
          <w:tcPr>
            <w:tcW w:w="1005" w:type="dxa"/>
            <w:tcBorders>
              <w:top w:val="nil"/>
              <w:left w:val="nil"/>
              <w:bottom w:val="nil"/>
              <w:right w:val="nil"/>
            </w:tcBorders>
            <w:shd w:val="clear" w:color="auto" w:fill="auto"/>
            <w:noWrap/>
            <w:vAlign w:val="center"/>
            <w:hideMark/>
          </w:tcPr>
          <w:p w14:paraId="20E09122" w14:textId="77777777" w:rsidR="00B43D75" w:rsidRPr="00135CBD" w:rsidRDefault="00B43D75" w:rsidP="00E607DA">
            <w:pPr>
              <w:rPr>
                <w:rFonts w:ascii="Meta Pro" w:eastAsia="Times New Roman" w:hAnsi="Meta Pro"/>
                <w:b/>
                <w:bCs/>
                <w:sz w:val="24"/>
                <w:szCs w:val="24"/>
                <w:lang w:eastAsia="en-AU"/>
              </w:rPr>
            </w:pPr>
          </w:p>
        </w:tc>
        <w:tc>
          <w:tcPr>
            <w:tcW w:w="189" w:type="dxa"/>
            <w:tcBorders>
              <w:top w:val="nil"/>
              <w:left w:val="nil"/>
              <w:bottom w:val="nil"/>
              <w:right w:val="nil"/>
            </w:tcBorders>
            <w:shd w:val="clear" w:color="auto" w:fill="auto"/>
            <w:noWrap/>
            <w:vAlign w:val="center"/>
            <w:hideMark/>
          </w:tcPr>
          <w:p w14:paraId="622C9A18" w14:textId="77777777" w:rsidR="00B43D75" w:rsidRPr="00135CBD" w:rsidRDefault="00B43D75" w:rsidP="00E607DA">
            <w:pPr>
              <w:jc w:val="right"/>
              <w:rPr>
                <w:rFonts w:eastAsia="Times New Roman" w:cs="Times New Roman"/>
                <w:sz w:val="20"/>
                <w:szCs w:val="20"/>
                <w:lang w:eastAsia="en-AU"/>
              </w:rPr>
            </w:pPr>
          </w:p>
        </w:tc>
        <w:tc>
          <w:tcPr>
            <w:tcW w:w="1005" w:type="dxa"/>
            <w:tcBorders>
              <w:top w:val="nil"/>
              <w:left w:val="nil"/>
              <w:bottom w:val="nil"/>
              <w:right w:val="nil"/>
            </w:tcBorders>
            <w:shd w:val="clear" w:color="auto" w:fill="auto"/>
            <w:noWrap/>
            <w:vAlign w:val="center"/>
            <w:hideMark/>
          </w:tcPr>
          <w:p w14:paraId="64207544" w14:textId="77777777" w:rsidR="00B43D75" w:rsidRPr="00135CBD" w:rsidRDefault="00B43D75" w:rsidP="00E607DA">
            <w:pPr>
              <w:rPr>
                <w:rFonts w:eastAsia="Times New Roman" w:cs="Times New Roman"/>
                <w:sz w:val="20"/>
                <w:szCs w:val="20"/>
                <w:lang w:eastAsia="en-AU"/>
              </w:rPr>
            </w:pPr>
          </w:p>
        </w:tc>
        <w:tc>
          <w:tcPr>
            <w:tcW w:w="189" w:type="dxa"/>
            <w:tcBorders>
              <w:top w:val="nil"/>
              <w:left w:val="nil"/>
              <w:bottom w:val="nil"/>
              <w:right w:val="nil"/>
            </w:tcBorders>
            <w:shd w:val="clear" w:color="auto" w:fill="auto"/>
            <w:noWrap/>
            <w:vAlign w:val="center"/>
            <w:hideMark/>
          </w:tcPr>
          <w:p w14:paraId="4C3F96C8" w14:textId="77777777" w:rsidR="00B43D75" w:rsidRPr="00135CBD" w:rsidRDefault="00B43D75" w:rsidP="00E607DA">
            <w:pPr>
              <w:jc w:val="right"/>
              <w:rPr>
                <w:rFonts w:eastAsia="Times New Roman" w:cs="Times New Roman"/>
                <w:sz w:val="20"/>
                <w:szCs w:val="20"/>
                <w:lang w:eastAsia="en-AU"/>
              </w:rPr>
            </w:pPr>
          </w:p>
        </w:tc>
        <w:tc>
          <w:tcPr>
            <w:tcW w:w="1005" w:type="dxa"/>
            <w:tcBorders>
              <w:top w:val="nil"/>
              <w:left w:val="nil"/>
              <w:bottom w:val="nil"/>
              <w:right w:val="nil"/>
            </w:tcBorders>
            <w:shd w:val="clear" w:color="auto" w:fill="auto"/>
            <w:noWrap/>
            <w:vAlign w:val="center"/>
            <w:hideMark/>
          </w:tcPr>
          <w:p w14:paraId="3E8851C5" w14:textId="77777777" w:rsidR="00B43D75" w:rsidRPr="00135CBD" w:rsidRDefault="00B43D75" w:rsidP="00E607DA">
            <w:pPr>
              <w:rPr>
                <w:rFonts w:eastAsia="Times New Roman" w:cs="Times New Roman"/>
                <w:sz w:val="20"/>
                <w:szCs w:val="20"/>
                <w:lang w:eastAsia="en-AU"/>
              </w:rPr>
            </w:pPr>
          </w:p>
        </w:tc>
        <w:tc>
          <w:tcPr>
            <w:tcW w:w="189" w:type="dxa"/>
            <w:tcBorders>
              <w:top w:val="nil"/>
              <w:left w:val="nil"/>
              <w:bottom w:val="nil"/>
              <w:right w:val="nil"/>
            </w:tcBorders>
            <w:shd w:val="clear" w:color="auto" w:fill="auto"/>
            <w:noWrap/>
            <w:vAlign w:val="center"/>
            <w:hideMark/>
          </w:tcPr>
          <w:p w14:paraId="0EB5C79D" w14:textId="77777777" w:rsidR="00B43D75" w:rsidRPr="00135CBD" w:rsidRDefault="00B43D75" w:rsidP="00E607DA">
            <w:pPr>
              <w:jc w:val="right"/>
              <w:rPr>
                <w:rFonts w:eastAsia="Times New Roman" w:cs="Times New Roman"/>
                <w:sz w:val="20"/>
                <w:szCs w:val="20"/>
                <w:lang w:eastAsia="en-AU"/>
              </w:rPr>
            </w:pPr>
          </w:p>
        </w:tc>
        <w:tc>
          <w:tcPr>
            <w:tcW w:w="1005" w:type="dxa"/>
            <w:tcBorders>
              <w:top w:val="nil"/>
              <w:left w:val="nil"/>
              <w:bottom w:val="nil"/>
              <w:right w:val="nil"/>
            </w:tcBorders>
            <w:shd w:val="clear" w:color="auto" w:fill="auto"/>
            <w:noWrap/>
            <w:vAlign w:val="center"/>
            <w:hideMark/>
          </w:tcPr>
          <w:p w14:paraId="6EB78BBA" w14:textId="77777777" w:rsidR="00B43D75" w:rsidRPr="00135CBD" w:rsidRDefault="00B43D75" w:rsidP="00E607DA">
            <w:pPr>
              <w:rPr>
                <w:rFonts w:eastAsia="Times New Roman" w:cs="Times New Roman"/>
                <w:sz w:val="20"/>
                <w:szCs w:val="20"/>
                <w:lang w:eastAsia="en-AU"/>
              </w:rPr>
            </w:pPr>
          </w:p>
        </w:tc>
        <w:tc>
          <w:tcPr>
            <w:tcW w:w="189" w:type="dxa"/>
            <w:tcBorders>
              <w:top w:val="nil"/>
              <w:left w:val="nil"/>
              <w:bottom w:val="nil"/>
              <w:right w:val="nil"/>
            </w:tcBorders>
            <w:shd w:val="clear" w:color="auto" w:fill="auto"/>
            <w:noWrap/>
            <w:vAlign w:val="center"/>
            <w:hideMark/>
          </w:tcPr>
          <w:p w14:paraId="12785988" w14:textId="77777777" w:rsidR="00B43D75" w:rsidRPr="00135CBD" w:rsidRDefault="00B43D75" w:rsidP="00E607DA">
            <w:pPr>
              <w:jc w:val="right"/>
              <w:rPr>
                <w:rFonts w:eastAsia="Times New Roman" w:cs="Times New Roman"/>
                <w:sz w:val="20"/>
                <w:szCs w:val="20"/>
                <w:lang w:eastAsia="en-AU"/>
              </w:rPr>
            </w:pPr>
          </w:p>
        </w:tc>
        <w:tc>
          <w:tcPr>
            <w:tcW w:w="1005" w:type="dxa"/>
            <w:tcBorders>
              <w:top w:val="nil"/>
              <w:left w:val="nil"/>
              <w:bottom w:val="nil"/>
              <w:right w:val="nil"/>
            </w:tcBorders>
            <w:shd w:val="clear" w:color="auto" w:fill="auto"/>
            <w:noWrap/>
            <w:vAlign w:val="center"/>
            <w:hideMark/>
          </w:tcPr>
          <w:p w14:paraId="2E0F6CBB" w14:textId="77777777" w:rsidR="00B43D75" w:rsidRPr="00135CBD" w:rsidRDefault="00B43D75" w:rsidP="00E607DA">
            <w:pPr>
              <w:rPr>
                <w:rFonts w:eastAsia="Times New Roman" w:cs="Times New Roman"/>
                <w:sz w:val="20"/>
                <w:szCs w:val="20"/>
                <w:lang w:eastAsia="en-AU"/>
              </w:rPr>
            </w:pPr>
          </w:p>
        </w:tc>
      </w:tr>
      <w:tr w:rsidR="00B43D75" w:rsidRPr="00135CBD" w14:paraId="6C9E2A6D" w14:textId="77777777" w:rsidTr="009A3F2A">
        <w:trPr>
          <w:trHeight w:val="240"/>
        </w:trPr>
        <w:tc>
          <w:tcPr>
            <w:tcW w:w="3289" w:type="dxa"/>
            <w:tcBorders>
              <w:top w:val="nil"/>
              <w:left w:val="nil"/>
              <w:bottom w:val="nil"/>
              <w:right w:val="nil"/>
            </w:tcBorders>
            <w:shd w:val="clear" w:color="auto" w:fill="auto"/>
            <w:noWrap/>
            <w:vAlign w:val="center"/>
            <w:hideMark/>
          </w:tcPr>
          <w:p w14:paraId="292C412B" w14:textId="77777777" w:rsidR="00B43D75" w:rsidRPr="00135CBD" w:rsidRDefault="00B43D75" w:rsidP="00E607DA">
            <w:pPr>
              <w:jc w:val="right"/>
              <w:rPr>
                <w:rFonts w:eastAsia="Times New Roman" w:cs="Times New Roman"/>
                <w:sz w:val="20"/>
                <w:szCs w:val="20"/>
                <w:lang w:eastAsia="en-AU"/>
              </w:rPr>
            </w:pPr>
          </w:p>
        </w:tc>
        <w:tc>
          <w:tcPr>
            <w:tcW w:w="1005" w:type="dxa"/>
            <w:tcBorders>
              <w:top w:val="nil"/>
              <w:left w:val="nil"/>
              <w:bottom w:val="nil"/>
              <w:right w:val="nil"/>
            </w:tcBorders>
            <w:shd w:val="clear" w:color="auto" w:fill="auto"/>
            <w:hideMark/>
          </w:tcPr>
          <w:p w14:paraId="21CCC4B9" w14:textId="77777777" w:rsidR="00B43D75" w:rsidRPr="00135CBD" w:rsidRDefault="00B43D75" w:rsidP="00E607DA">
            <w:pPr>
              <w:jc w:val="center"/>
              <w:rPr>
                <w:rFonts w:ascii="Meta Pro" w:eastAsia="Times New Roman" w:hAnsi="Meta Pro"/>
                <w:b/>
                <w:bCs/>
                <w:szCs w:val="18"/>
                <w:lang w:eastAsia="en-AU"/>
              </w:rPr>
            </w:pPr>
            <w:r w:rsidRPr="00135CBD">
              <w:rPr>
                <w:rFonts w:ascii="Meta Pro" w:eastAsia="Times New Roman" w:hAnsi="Meta Pro"/>
                <w:b/>
                <w:bCs/>
                <w:szCs w:val="18"/>
                <w:lang w:eastAsia="en-AU"/>
              </w:rPr>
              <w:t>Software</w:t>
            </w:r>
          </w:p>
        </w:tc>
        <w:tc>
          <w:tcPr>
            <w:tcW w:w="189" w:type="dxa"/>
            <w:tcBorders>
              <w:top w:val="nil"/>
              <w:left w:val="nil"/>
              <w:bottom w:val="nil"/>
              <w:right w:val="nil"/>
            </w:tcBorders>
            <w:shd w:val="clear" w:color="auto" w:fill="auto"/>
            <w:noWrap/>
            <w:vAlign w:val="center"/>
            <w:hideMark/>
          </w:tcPr>
          <w:p w14:paraId="47A3A63A" w14:textId="77777777" w:rsidR="00B43D75" w:rsidRPr="00135CBD" w:rsidRDefault="00B43D75" w:rsidP="00E607DA">
            <w:pPr>
              <w:jc w:val="center"/>
              <w:rPr>
                <w:rFonts w:ascii="Meta Pro" w:eastAsia="Times New Roman" w:hAnsi="Meta Pro"/>
                <w:b/>
                <w:bCs/>
                <w:szCs w:val="18"/>
                <w:lang w:eastAsia="en-AU"/>
              </w:rPr>
            </w:pPr>
          </w:p>
        </w:tc>
        <w:tc>
          <w:tcPr>
            <w:tcW w:w="1005" w:type="dxa"/>
            <w:tcBorders>
              <w:top w:val="nil"/>
              <w:left w:val="nil"/>
              <w:bottom w:val="nil"/>
              <w:right w:val="nil"/>
            </w:tcBorders>
            <w:shd w:val="clear" w:color="auto" w:fill="auto"/>
            <w:hideMark/>
          </w:tcPr>
          <w:p w14:paraId="6C2CE1AC" w14:textId="77777777" w:rsidR="00B43D75" w:rsidRPr="00135CBD" w:rsidRDefault="00B43D75" w:rsidP="00E607DA">
            <w:pPr>
              <w:jc w:val="center"/>
              <w:rPr>
                <w:rFonts w:ascii="Meta Pro" w:eastAsia="Times New Roman" w:hAnsi="Meta Pro"/>
                <w:b/>
                <w:bCs/>
                <w:szCs w:val="18"/>
                <w:lang w:eastAsia="en-AU"/>
              </w:rPr>
            </w:pPr>
            <w:r w:rsidRPr="00135CBD">
              <w:rPr>
                <w:rFonts w:ascii="Meta Pro" w:eastAsia="Times New Roman" w:hAnsi="Meta Pro"/>
                <w:b/>
                <w:bCs/>
                <w:szCs w:val="18"/>
                <w:lang w:eastAsia="en-AU"/>
              </w:rPr>
              <w:t>Software</w:t>
            </w:r>
          </w:p>
        </w:tc>
        <w:tc>
          <w:tcPr>
            <w:tcW w:w="189" w:type="dxa"/>
            <w:tcBorders>
              <w:top w:val="nil"/>
              <w:left w:val="nil"/>
              <w:bottom w:val="nil"/>
              <w:right w:val="nil"/>
            </w:tcBorders>
            <w:shd w:val="clear" w:color="auto" w:fill="auto"/>
            <w:noWrap/>
            <w:vAlign w:val="center"/>
            <w:hideMark/>
          </w:tcPr>
          <w:p w14:paraId="10DA8530" w14:textId="77777777" w:rsidR="00B43D75" w:rsidRPr="00135CBD" w:rsidRDefault="00B43D75" w:rsidP="00E607DA">
            <w:pPr>
              <w:jc w:val="center"/>
              <w:rPr>
                <w:rFonts w:ascii="Meta Pro" w:eastAsia="Times New Roman" w:hAnsi="Meta Pro"/>
                <w:b/>
                <w:bCs/>
                <w:szCs w:val="18"/>
                <w:lang w:eastAsia="en-AU"/>
              </w:rPr>
            </w:pPr>
          </w:p>
        </w:tc>
        <w:tc>
          <w:tcPr>
            <w:tcW w:w="1005" w:type="dxa"/>
            <w:tcBorders>
              <w:top w:val="nil"/>
              <w:left w:val="nil"/>
              <w:bottom w:val="nil"/>
              <w:right w:val="nil"/>
            </w:tcBorders>
            <w:shd w:val="clear" w:color="auto" w:fill="auto"/>
            <w:hideMark/>
          </w:tcPr>
          <w:p w14:paraId="2A344619" w14:textId="77777777" w:rsidR="00B43D75" w:rsidRPr="00135CBD" w:rsidRDefault="00B43D75" w:rsidP="00E607DA">
            <w:pPr>
              <w:jc w:val="center"/>
              <w:rPr>
                <w:rFonts w:ascii="Meta Pro" w:eastAsia="Times New Roman" w:hAnsi="Meta Pro"/>
                <w:b/>
                <w:bCs/>
                <w:szCs w:val="18"/>
                <w:lang w:eastAsia="en-AU"/>
              </w:rPr>
            </w:pPr>
            <w:r w:rsidRPr="00135CBD">
              <w:rPr>
                <w:rFonts w:ascii="Meta Pro" w:eastAsia="Times New Roman" w:hAnsi="Meta Pro"/>
                <w:b/>
                <w:bCs/>
                <w:szCs w:val="18"/>
                <w:lang w:eastAsia="en-AU"/>
              </w:rPr>
              <w:t xml:space="preserve">Software </w:t>
            </w:r>
          </w:p>
        </w:tc>
        <w:tc>
          <w:tcPr>
            <w:tcW w:w="189" w:type="dxa"/>
            <w:tcBorders>
              <w:top w:val="nil"/>
              <w:left w:val="nil"/>
              <w:bottom w:val="nil"/>
              <w:right w:val="nil"/>
            </w:tcBorders>
            <w:shd w:val="clear" w:color="auto" w:fill="auto"/>
            <w:noWrap/>
            <w:hideMark/>
          </w:tcPr>
          <w:p w14:paraId="327207BF" w14:textId="77777777" w:rsidR="00B43D75" w:rsidRPr="00135CBD" w:rsidRDefault="00B43D75" w:rsidP="00E607DA">
            <w:pPr>
              <w:jc w:val="center"/>
              <w:rPr>
                <w:rFonts w:ascii="Meta Pro" w:eastAsia="Times New Roman" w:hAnsi="Meta Pro"/>
                <w:b/>
                <w:bCs/>
                <w:szCs w:val="18"/>
                <w:lang w:eastAsia="en-AU"/>
              </w:rPr>
            </w:pPr>
          </w:p>
        </w:tc>
        <w:tc>
          <w:tcPr>
            <w:tcW w:w="1005" w:type="dxa"/>
            <w:tcBorders>
              <w:top w:val="nil"/>
              <w:left w:val="nil"/>
              <w:bottom w:val="nil"/>
              <w:right w:val="nil"/>
            </w:tcBorders>
            <w:shd w:val="clear" w:color="auto" w:fill="auto"/>
            <w:hideMark/>
          </w:tcPr>
          <w:p w14:paraId="5B9FFBFB" w14:textId="77777777" w:rsidR="00B43D75" w:rsidRPr="00135CBD" w:rsidRDefault="00B43D75" w:rsidP="00E607DA">
            <w:pPr>
              <w:jc w:val="center"/>
              <w:rPr>
                <w:rFonts w:ascii="Meta Pro" w:eastAsia="Times New Roman" w:hAnsi="Meta Pro"/>
                <w:b/>
                <w:bCs/>
                <w:szCs w:val="18"/>
                <w:lang w:eastAsia="en-AU"/>
              </w:rPr>
            </w:pPr>
            <w:r w:rsidRPr="00135CBD">
              <w:rPr>
                <w:rFonts w:ascii="Meta Pro" w:eastAsia="Times New Roman" w:hAnsi="Meta Pro"/>
                <w:b/>
                <w:bCs/>
                <w:szCs w:val="18"/>
                <w:lang w:eastAsia="en-AU"/>
              </w:rPr>
              <w:t>Other</w:t>
            </w:r>
          </w:p>
        </w:tc>
        <w:tc>
          <w:tcPr>
            <w:tcW w:w="189" w:type="dxa"/>
            <w:tcBorders>
              <w:top w:val="nil"/>
              <w:left w:val="nil"/>
              <w:bottom w:val="nil"/>
              <w:right w:val="nil"/>
            </w:tcBorders>
            <w:shd w:val="clear" w:color="auto" w:fill="auto"/>
            <w:noWrap/>
            <w:hideMark/>
          </w:tcPr>
          <w:p w14:paraId="2392C4F8" w14:textId="77777777" w:rsidR="00B43D75" w:rsidRPr="00135CBD" w:rsidRDefault="00B43D75" w:rsidP="00E607DA">
            <w:pPr>
              <w:jc w:val="center"/>
              <w:rPr>
                <w:rFonts w:ascii="Meta Pro" w:eastAsia="Times New Roman" w:hAnsi="Meta Pro"/>
                <w:b/>
                <w:bCs/>
                <w:szCs w:val="18"/>
                <w:lang w:eastAsia="en-AU"/>
              </w:rPr>
            </w:pPr>
          </w:p>
        </w:tc>
        <w:tc>
          <w:tcPr>
            <w:tcW w:w="1005" w:type="dxa"/>
            <w:tcBorders>
              <w:top w:val="nil"/>
              <w:left w:val="nil"/>
              <w:bottom w:val="nil"/>
              <w:right w:val="nil"/>
            </w:tcBorders>
            <w:shd w:val="clear" w:color="auto" w:fill="auto"/>
            <w:hideMark/>
          </w:tcPr>
          <w:p w14:paraId="509B3070" w14:textId="77777777" w:rsidR="00B43D75" w:rsidRPr="00135CBD" w:rsidRDefault="00B43D75" w:rsidP="00E607DA">
            <w:pPr>
              <w:jc w:val="center"/>
              <w:rPr>
                <w:rFonts w:ascii="Meta Pro" w:eastAsia="Times New Roman" w:hAnsi="Meta Pro"/>
                <w:b/>
                <w:bCs/>
                <w:szCs w:val="18"/>
                <w:lang w:eastAsia="en-AU"/>
              </w:rPr>
            </w:pPr>
            <w:r w:rsidRPr="00135CBD">
              <w:rPr>
                <w:rFonts w:ascii="Meta Pro" w:eastAsia="Times New Roman" w:hAnsi="Meta Pro"/>
                <w:b/>
                <w:bCs/>
                <w:szCs w:val="18"/>
                <w:lang w:eastAsia="en-AU"/>
              </w:rPr>
              <w:t>Total</w:t>
            </w:r>
          </w:p>
        </w:tc>
      </w:tr>
      <w:tr w:rsidR="00B43D75" w:rsidRPr="00135CBD" w14:paraId="145CF68D" w14:textId="77777777" w:rsidTr="009A3F2A">
        <w:trPr>
          <w:trHeight w:val="240"/>
        </w:trPr>
        <w:tc>
          <w:tcPr>
            <w:tcW w:w="3289" w:type="dxa"/>
            <w:tcBorders>
              <w:top w:val="nil"/>
              <w:left w:val="nil"/>
              <w:bottom w:val="nil"/>
              <w:right w:val="nil"/>
            </w:tcBorders>
            <w:shd w:val="clear" w:color="auto" w:fill="auto"/>
            <w:noWrap/>
            <w:vAlign w:val="center"/>
            <w:hideMark/>
          </w:tcPr>
          <w:p w14:paraId="0ACE8D77" w14:textId="77777777" w:rsidR="00B43D75" w:rsidRPr="00135CBD" w:rsidRDefault="00B43D75" w:rsidP="00E607DA">
            <w:pPr>
              <w:jc w:val="center"/>
              <w:rPr>
                <w:rFonts w:ascii="Meta Pro" w:eastAsia="Times New Roman" w:hAnsi="Meta Pro"/>
                <w:b/>
                <w:bCs/>
                <w:szCs w:val="18"/>
                <w:lang w:eastAsia="en-AU"/>
              </w:rPr>
            </w:pPr>
          </w:p>
        </w:tc>
        <w:tc>
          <w:tcPr>
            <w:tcW w:w="1005" w:type="dxa"/>
            <w:tcBorders>
              <w:top w:val="nil"/>
              <w:left w:val="nil"/>
              <w:bottom w:val="nil"/>
              <w:right w:val="nil"/>
            </w:tcBorders>
            <w:shd w:val="clear" w:color="auto" w:fill="auto"/>
            <w:hideMark/>
          </w:tcPr>
          <w:p w14:paraId="3115B711" w14:textId="77777777" w:rsidR="00B43D75" w:rsidRPr="00135CBD" w:rsidRDefault="00B43D75" w:rsidP="00E607DA">
            <w:pPr>
              <w:jc w:val="center"/>
              <w:rPr>
                <w:rFonts w:ascii="Meta Pro" w:eastAsia="Times New Roman" w:hAnsi="Meta Pro"/>
                <w:b/>
                <w:bCs/>
                <w:szCs w:val="18"/>
                <w:lang w:eastAsia="en-AU"/>
              </w:rPr>
            </w:pPr>
            <w:r w:rsidRPr="00135CBD">
              <w:rPr>
                <w:rFonts w:ascii="Meta Pro" w:eastAsia="Times New Roman" w:hAnsi="Meta Pro"/>
                <w:b/>
                <w:bCs/>
                <w:szCs w:val="18"/>
                <w:lang w:eastAsia="en-AU"/>
              </w:rPr>
              <w:t>purchased</w:t>
            </w:r>
          </w:p>
        </w:tc>
        <w:tc>
          <w:tcPr>
            <w:tcW w:w="189" w:type="dxa"/>
            <w:tcBorders>
              <w:top w:val="nil"/>
              <w:left w:val="nil"/>
              <w:bottom w:val="nil"/>
              <w:right w:val="nil"/>
            </w:tcBorders>
            <w:shd w:val="clear" w:color="auto" w:fill="auto"/>
            <w:hideMark/>
          </w:tcPr>
          <w:p w14:paraId="291CE0CB" w14:textId="77777777" w:rsidR="00B43D75" w:rsidRPr="00135CBD" w:rsidRDefault="00B43D75" w:rsidP="00E607DA">
            <w:pPr>
              <w:jc w:val="center"/>
              <w:rPr>
                <w:rFonts w:ascii="Meta Pro" w:eastAsia="Times New Roman" w:hAnsi="Meta Pro"/>
                <w:b/>
                <w:bCs/>
                <w:szCs w:val="18"/>
                <w:lang w:eastAsia="en-AU"/>
              </w:rPr>
            </w:pPr>
          </w:p>
        </w:tc>
        <w:tc>
          <w:tcPr>
            <w:tcW w:w="1005" w:type="dxa"/>
            <w:tcBorders>
              <w:top w:val="nil"/>
              <w:left w:val="nil"/>
              <w:bottom w:val="nil"/>
              <w:right w:val="nil"/>
            </w:tcBorders>
            <w:shd w:val="clear" w:color="auto" w:fill="auto"/>
            <w:hideMark/>
          </w:tcPr>
          <w:p w14:paraId="53E88883" w14:textId="77777777" w:rsidR="00B43D75" w:rsidRPr="00135CBD" w:rsidRDefault="00B43D75" w:rsidP="00E607DA">
            <w:pPr>
              <w:jc w:val="center"/>
              <w:rPr>
                <w:rFonts w:ascii="Meta Pro" w:eastAsia="Times New Roman" w:hAnsi="Meta Pro"/>
                <w:b/>
                <w:bCs/>
                <w:szCs w:val="18"/>
                <w:lang w:eastAsia="en-AU"/>
              </w:rPr>
            </w:pPr>
            <w:r w:rsidRPr="00135CBD">
              <w:rPr>
                <w:rFonts w:ascii="Meta Pro" w:eastAsia="Times New Roman" w:hAnsi="Meta Pro"/>
                <w:b/>
                <w:bCs/>
                <w:szCs w:val="18"/>
                <w:lang w:eastAsia="en-AU"/>
              </w:rPr>
              <w:t>internally</w:t>
            </w:r>
          </w:p>
        </w:tc>
        <w:tc>
          <w:tcPr>
            <w:tcW w:w="189" w:type="dxa"/>
            <w:tcBorders>
              <w:top w:val="nil"/>
              <w:left w:val="nil"/>
              <w:bottom w:val="nil"/>
              <w:right w:val="nil"/>
            </w:tcBorders>
            <w:shd w:val="clear" w:color="auto" w:fill="auto"/>
            <w:hideMark/>
          </w:tcPr>
          <w:p w14:paraId="1AC9EF58" w14:textId="77777777" w:rsidR="00B43D75" w:rsidRPr="00135CBD" w:rsidRDefault="00B43D75" w:rsidP="00E607DA">
            <w:pPr>
              <w:jc w:val="center"/>
              <w:rPr>
                <w:rFonts w:ascii="Meta Pro" w:eastAsia="Times New Roman" w:hAnsi="Meta Pro"/>
                <w:b/>
                <w:bCs/>
                <w:szCs w:val="18"/>
                <w:lang w:eastAsia="en-AU"/>
              </w:rPr>
            </w:pPr>
          </w:p>
        </w:tc>
        <w:tc>
          <w:tcPr>
            <w:tcW w:w="1005" w:type="dxa"/>
            <w:tcBorders>
              <w:top w:val="nil"/>
              <w:left w:val="nil"/>
              <w:bottom w:val="nil"/>
              <w:right w:val="nil"/>
            </w:tcBorders>
            <w:shd w:val="clear" w:color="auto" w:fill="auto"/>
            <w:hideMark/>
          </w:tcPr>
          <w:p w14:paraId="4FEFD012" w14:textId="77777777" w:rsidR="00B43D75" w:rsidRPr="00135CBD" w:rsidRDefault="00B43D75" w:rsidP="00E607DA">
            <w:pPr>
              <w:jc w:val="center"/>
              <w:rPr>
                <w:rFonts w:ascii="Meta Pro" w:eastAsia="Times New Roman" w:hAnsi="Meta Pro"/>
                <w:b/>
                <w:bCs/>
                <w:szCs w:val="18"/>
                <w:lang w:eastAsia="en-AU"/>
              </w:rPr>
            </w:pPr>
            <w:r w:rsidRPr="00135CBD">
              <w:rPr>
                <w:rFonts w:ascii="Meta Pro" w:eastAsia="Times New Roman" w:hAnsi="Meta Pro"/>
                <w:b/>
                <w:bCs/>
                <w:szCs w:val="18"/>
                <w:lang w:eastAsia="en-AU"/>
              </w:rPr>
              <w:t xml:space="preserve">work in </w:t>
            </w:r>
          </w:p>
        </w:tc>
        <w:tc>
          <w:tcPr>
            <w:tcW w:w="189" w:type="dxa"/>
            <w:tcBorders>
              <w:top w:val="nil"/>
              <w:left w:val="nil"/>
              <w:bottom w:val="nil"/>
              <w:right w:val="nil"/>
            </w:tcBorders>
            <w:shd w:val="clear" w:color="auto" w:fill="auto"/>
            <w:hideMark/>
          </w:tcPr>
          <w:p w14:paraId="3E0E18DB" w14:textId="77777777" w:rsidR="00B43D75" w:rsidRPr="00135CBD" w:rsidRDefault="00B43D75" w:rsidP="00E607DA">
            <w:pPr>
              <w:jc w:val="center"/>
              <w:rPr>
                <w:rFonts w:ascii="Meta Pro" w:eastAsia="Times New Roman" w:hAnsi="Meta Pro"/>
                <w:b/>
                <w:bCs/>
                <w:szCs w:val="18"/>
                <w:lang w:eastAsia="en-AU"/>
              </w:rPr>
            </w:pPr>
          </w:p>
        </w:tc>
        <w:tc>
          <w:tcPr>
            <w:tcW w:w="1005" w:type="dxa"/>
            <w:tcBorders>
              <w:top w:val="nil"/>
              <w:left w:val="nil"/>
              <w:bottom w:val="nil"/>
              <w:right w:val="nil"/>
            </w:tcBorders>
            <w:shd w:val="clear" w:color="auto" w:fill="auto"/>
            <w:hideMark/>
          </w:tcPr>
          <w:p w14:paraId="3DDC6CFD" w14:textId="77777777" w:rsidR="00B43D75" w:rsidRPr="00135CBD" w:rsidRDefault="00B43D75" w:rsidP="00E607DA">
            <w:pPr>
              <w:jc w:val="center"/>
              <w:rPr>
                <w:rFonts w:eastAsia="Times New Roman" w:cs="Times New Roman"/>
                <w:sz w:val="20"/>
                <w:szCs w:val="20"/>
                <w:lang w:eastAsia="en-AU"/>
              </w:rPr>
            </w:pPr>
          </w:p>
        </w:tc>
        <w:tc>
          <w:tcPr>
            <w:tcW w:w="189" w:type="dxa"/>
            <w:tcBorders>
              <w:top w:val="nil"/>
              <w:left w:val="nil"/>
              <w:bottom w:val="nil"/>
              <w:right w:val="nil"/>
            </w:tcBorders>
            <w:shd w:val="clear" w:color="auto" w:fill="auto"/>
            <w:hideMark/>
          </w:tcPr>
          <w:p w14:paraId="4C4E012C" w14:textId="77777777" w:rsidR="00B43D75" w:rsidRPr="00135CBD" w:rsidRDefault="00B43D75" w:rsidP="00E607DA">
            <w:pPr>
              <w:jc w:val="center"/>
              <w:rPr>
                <w:rFonts w:eastAsia="Times New Roman" w:cs="Times New Roman"/>
                <w:sz w:val="20"/>
                <w:szCs w:val="20"/>
                <w:lang w:eastAsia="en-AU"/>
              </w:rPr>
            </w:pPr>
          </w:p>
        </w:tc>
        <w:tc>
          <w:tcPr>
            <w:tcW w:w="1005" w:type="dxa"/>
            <w:tcBorders>
              <w:top w:val="nil"/>
              <w:left w:val="nil"/>
              <w:bottom w:val="nil"/>
              <w:right w:val="nil"/>
            </w:tcBorders>
            <w:shd w:val="clear" w:color="auto" w:fill="auto"/>
            <w:hideMark/>
          </w:tcPr>
          <w:p w14:paraId="678FD7F6" w14:textId="77777777" w:rsidR="00B43D75" w:rsidRPr="00135CBD" w:rsidRDefault="00B43D75" w:rsidP="00E607DA">
            <w:pPr>
              <w:jc w:val="center"/>
              <w:rPr>
                <w:rFonts w:eastAsia="Times New Roman" w:cs="Times New Roman"/>
                <w:sz w:val="20"/>
                <w:szCs w:val="20"/>
                <w:lang w:eastAsia="en-AU"/>
              </w:rPr>
            </w:pPr>
          </w:p>
        </w:tc>
      </w:tr>
      <w:tr w:rsidR="00B43D75" w:rsidRPr="00135CBD" w14:paraId="2261443C" w14:textId="77777777" w:rsidTr="009A3F2A">
        <w:trPr>
          <w:trHeight w:val="240"/>
        </w:trPr>
        <w:tc>
          <w:tcPr>
            <w:tcW w:w="3289" w:type="dxa"/>
            <w:tcBorders>
              <w:top w:val="nil"/>
              <w:left w:val="nil"/>
              <w:bottom w:val="nil"/>
              <w:right w:val="nil"/>
            </w:tcBorders>
            <w:shd w:val="clear" w:color="auto" w:fill="auto"/>
            <w:noWrap/>
            <w:vAlign w:val="center"/>
            <w:hideMark/>
          </w:tcPr>
          <w:p w14:paraId="4D6B2E34" w14:textId="77777777" w:rsidR="00B43D75" w:rsidRPr="00135CBD" w:rsidRDefault="00B43D75" w:rsidP="00E607DA">
            <w:pPr>
              <w:jc w:val="center"/>
              <w:rPr>
                <w:rFonts w:eastAsia="Times New Roman" w:cs="Times New Roman"/>
                <w:sz w:val="20"/>
                <w:szCs w:val="20"/>
                <w:lang w:eastAsia="en-AU"/>
              </w:rPr>
            </w:pPr>
          </w:p>
        </w:tc>
        <w:tc>
          <w:tcPr>
            <w:tcW w:w="1005" w:type="dxa"/>
            <w:tcBorders>
              <w:top w:val="nil"/>
              <w:left w:val="nil"/>
              <w:bottom w:val="nil"/>
              <w:right w:val="nil"/>
            </w:tcBorders>
            <w:shd w:val="clear" w:color="auto" w:fill="auto"/>
            <w:hideMark/>
          </w:tcPr>
          <w:p w14:paraId="23D85676" w14:textId="77777777" w:rsidR="00B43D75" w:rsidRPr="00135CBD" w:rsidRDefault="00B43D75" w:rsidP="00E607DA">
            <w:pPr>
              <w:rPr>
                <w:rFonts w:eastAsia="Times New Roman" w:cs="Times New Roman"/>
                <w:sz w:val="20"/>
                <w:szCs w:val="20"/>
                <w:lang w:eastAsia="en-AU"/>
              </w:rPr>
            </w:pPr>
          </w:p>
        </w:tc>
        <w:tc>
          <w:tcPr>
            <w:tcW w:w="189" w:type="dxa"/>
            <w:tcBorders>
              <w:top w:val="nil"/>
              <w:left w:val="nil"/>
              <w:bottom w:val="nil"/>
              <w:right w:val="nil"/>
            </w:tcBorders>
            <w:shd w:val="clear" w:color="auto" w:fill="auto"/>
            <w:hideMark/>
          </w:tcPr>
          <w:p w14:paraId="3D79B0FA" w14:textId="77777777" w:rsidR="00B43D75" w:rsidRPr="00135CBD" w:rsidRDefault="00B43D75" w:rsidP="00E607DA">
            <w:pPr>
              <w:jc w:val="center"/>
              <w:rPr>
                <w:rFonts w:eastAsia="Times New Roman" w:cs="Times New Roman"/>
                <w:sz w:val="20"/>
                <w:szCs w:val="20"/>
                <w:lang w:eastAsia="en-AU"/>
              </w:rPr>
            </w:pPr>
          </w:p>
        </w:tc>
        <w:tc>
          <w:tcPr>
            <w:tcW w:w="1005" w:type="dxa"/>
            <w:tcBorders>
              <w:top w:val="nil"/>
              <w:left w:val="nil"/>
              <w:bottom w:val="nil"/>
              <w:right w:val="nil"/>
            </w:tcBorders>
            <w:shd w:val="clear" w:color="auto" w:fill="auto"/>
            <w:hideMark/>
          </w:tcPr>
          <w:p w14:paraId="008744EF" w14:textId="77777777" w:rsidR="00B43D75" w:rsidRPr="00135CBD" w:rsidRDefault="00B43D75" w:rsidP="00E607DA">
            <w:pPr>
              <w:jc w:val="center"/>
              <w:rPr>
                <w:rFonts w:ascii="Meta Pro" w:eastAsia="Times New Roman" w:hAnsi="Meta Pro"/>
                <w:b/>
                <w:bCs/>
                <w:szCs w:val="18"/>
                <w:lang w:eastAsia="en-AU"/>
              </w:rPr>
            </w:pPr>
            <w:r w:rsidRPr="00135CBD">
              <w:rPr>
                <w:rFonts w:ascii="Meta Pro" w:eastAsia="Times New Roman" w:hAnsi="Meta Pro"/>
                <w:b/>
                <w:bCs/>
                <w:szCs w:val="18"/>
                <w:lang w:eastAsia="en-AU"/>
              </w:rPr>
              <w:t xml:space="preserve"> generated*</w:t>
            </w:r>
          </w:p>
        </w:tc>
        <w:tc>
          <w:tcPr>
            <w:tcW w:w="189" w:type="dxa"/>
            <w:tcBorders>
              <w:top w:val="nil"/>
              <w:left w:val="nil"/>
              <w:bottom w:val="nil"/>
              <w:right w:val="nil"/>
            </w:tcBorders>
            <w:shd w:val="clear" w:color="auto" w:fill="auto"/>
            <w:hideMark/>
          </w:tcPr>
          <w:p w14:paraId="606C3DB1" w14:textId="77777777" w:rsidR="00B43D75" w:rsidRPr="00135CBD" w:rsidRDefault="00B43D75" w:rsidP="00E607DA">
            <w:pPr>
              <w:jc w:val="center"/>
              <w:rPr>
                <w:rFonts w:ascii="Meta Pro" w:eastAsia="Times New Roman" w:hAnsi="Meta Pro"/>
                <w:b/>
                <w:bCs/>
                <w:szCs w:val="18"/>
                <w:lang w:eastAsia="en-AU"/>
              </w:rPr>
            </w:pPr>
          </w:p>
        </w:tc>
        <w:tc>
          <w:tcPr>
            <w:tcW w:w="1005" w:type="dxa"/>
            <w:tcBorders>
              <w:top w:val="nil"/>
              <w:left w:val="nil"/>
              <w:bottom w:val="nil"/>
              <w:right w:val="nil"/>
            </w:tcBorders>
            <w:shd w:val="clear" w:color="auto" w:fill="auto"/>
            <w:hideMark/>
          </w:tcPr>
          <w:p w14:paraId="3387AA56" w14:textId="77777777" w:rsidR="00B43D75" w:rsidRPr="00135CBD" w:rsidRDefault="00B43D75" w:rsidP="00E607DA">
            <w:pPr>
              <w:jc w:val="center"/>
              <w:rPr>
                <w:rFonts w:ascii="Meta Pro" w:eastAsia="Times New Roman" w:hAnsi="Meta Pro"/>
                <w:b/>
                <w:bCs/>
                <w:szCs w:val="18"/>
                <w:lang w:eastAsia="en-AU"/>
              </w:rPr>
            </w:pPr>
            <w:r w:rsidRPr="00135CBD">
              <w:rPr>
                <w:rFonts w:ascii="Meta Pro" w:eastAsia="Times New Roman" w:hAnsi="Meta Pro"/>
                <w:b/>
                <w:bCs/>
                <w:szCs w:val="18"/>
                <w:lang w:eastAsia="en-AU"/>
              </w:rPr>
              <w:t>progress</w:t>
            </w:r>
          </w:p>
        </w:tc>
        <w:tc>
          <w:tcPr>
            <w:tcW w:w="189" w:type="dxa"/>
            <w:tcBorders>
              <w:top w:val="nil"/>
              <w:left w:val="nil"/>
              <w:bottom w:val="nil"/>
              <w:right w:val="nil"/>
            </w:tcBorders>
            <w:shd w:val="clear" w:color="auto" w:fill="auto"/>
            <w:hideMark/>
          </w:tcPr>
          <w:p w14:paraId="769E6DEB" w14:textId="77777777" w:rsidR="00B43D75" w:rsidRPr="00135CBD" w:rsidRDefault="00B43D75" w:rsidP="00E607DA">
            <w:pPr>
              <w:jc w:val="center"/>
              <w:rPr>
                <w:rFonts w:ascii="Meta Pro" w:eastAsia="Times New Roman" w:hAnsi="Meta Pro"/>
                <w:b/>
                <w:bCs/>
                <w:szCs w:val="18"/>
                <w:lang w:eastAsia="en-AU"/>
              </w:rPr>
            </w:pPr>
          </w:p>
        </w:tc>
        <w:tc>
          <w:tcPr>
            <w:tcW w:w="1005" w:type="dxa"/>
            <w:tcBorders>
              <w:top w:val="nil"/>
              <w:left w:val="nil"/>
              <w:bottom w:val="nil"/>
              <w:right w:val="nil"/>
            </w:tcBorders>
            <w:shd w:val="clear" w:color="auto" w:fill="auto"/>
            <w:hideMark/>
          </w:tcPr>
          <w:p w14:paraId="36EBD7EB" w14:textId="77777777" w:rsidR="00B43D75" w:rsidRPr="00135CBD" w:rsidRDefault="00B43D75" w:rsidP="00E607DA">
            <w:pPr>
              <w:jc w:val="center"/>
              <w:rPr>
                <w:rFonts w:eastAsia="Times New Roman" w:cs="Times New Roman"/>
                <w:sz w:val="20"/>
                <w:szCs w:val="20"/>
                <w:lang w:eastAsia="en-AU"/>
              </w:rPr>
            </w:pPr>
          </w:p>
        </w:tc>
        <w:tc>
          <w:tcPr>
            <w:tcW w:w="189" w:type="dxa"/>
            <w:tcBorders>
              <w:top w:val="nil"/>
              <w:left w:val="nil"/>
              <w:bottom w:val="nil"/>
              <w:right w:val="nil"/>
            </w:tcBorders>
            <w:shd w:val="clear" w:color="auto" w:fill="auto"/>
            <w:hideMark/>
          </w:tcPr>
          <w:p w14:paraId="10C71C7A" w14:textId="77777777" w:rsidR="00B43D75" w:rsidRPr="00135CBD" w:rsidRDefault="00B43D75" w:rsidP="00E607DA">
            <w:pPr>
              <w:jc w:val="center"/>
              <w:rPr>
                <w:rFonts w:eastAsia="Times New Roman" w:cs="Times New Roman"/>
                <w:sz w:val="20"/>
                <w:szCs w:val="20"/>
                <w:lang w:eastAsia="en-AU"/>
              </w:rPr>
            </w:pPr>
          </w:p>
        </w:tc>
        <w:tc>
          <w:tcPr>
            <w:tcW w:w="1005" w:type="dxa"/>
            <w:tcBorders>
              <w:top w:val="nil"/>
              <w:left w:val="nil"/>
              <w:bottom w:val="nil"/>
              <w:right w:val="nil"/>
            </w:tcBorders>
            <w:shd w:val="clear" w:color="auto" w:fill="auto"/>
            <w:hideMark/>
          </w:tcPr>
          <w:p w14:paraId="419C4073" w14:textId="77777777" w:rsidR="00B43D75" w:rsidRPr="00135CBD" w:rsidRDefault="00B43D75" w:rsidP="00E607DA">
            <w:pPr>
              <w:jc w:val="center"/>
              <w:rPr>
                <w:rFonts w:eastAsia="Times New Roman" w:cs="Times New Roman"/>
                <w:sz w:val="20"/>
                <w:szCs w:val="20"/>
                <w:lang w:eastAsia="en-AU"/>
              </w:rPr>
            </w:pPr>
          </w:p>
        </w:tc>
      </w:tr>
      <w:tr w:rsidR="00B43D75" w:rsidRPr="00135CBD" w14:paraId="6EA31B52" w14:textId="77777777" w:rsidTr="009A3F2A">
        <w:trPr>
          <w:trHeight w:val="240"/>
        </w:trPr>
        <w:tc>
          <w:tcPr>
            <w:tcW w:w="3289" w:type="dxa"/>
            <w:tcBorders>
              <w:top w:val="nil"/>
              <w:left w:val="nil"/>
              <w:bottom w:val="nil"/>
              <w:right w:val="nil"/>
            </w:tcBorders>
            <w:shd w:val="clear" w:color="auto" w:fill="auto"/>
            <w:noWrap/>
            <w:vAlign w:val="center"/>
            <w:hideMark/>
          </w:tcPr>
          <w:p w14:paraId="08837E14" w14:textId="77777777" w:rsidR="00B43D75" w:rsidRPr="00135CBD" w:rsidRDefault="00B43D75" w:rsidP="00E607DA">
            <w:pPr>
              <w:jc w:val="center"/>
              <w:rPr>
                <w:rFonts w:eastAsia="Times New Roman" w:cs="Times New Roman"/>
                <w:sz w:val="20"/>
                <w:szCs w:val="20"/>
                <w:lang w:eastAsia="en-AU"/>
              </w:rPr>
            </w:pPr>
          </w:p>
        </w:tc>
        <w:tc>
          <w:tcPr>
            <w:tcW w:w="1005" w:type="dxa"/>
            <w:tcBorders>
              <w:top w:val="nil"/>
              <w:left w:val="nil"/>
              <w:bottom w:val="nil"/>
              <w:right w:val="nil"/>
            </w:tcBorders>
            <w:shd w:val="clear" w:color="auto" w:fill="auto"/>
            <w:noWrap/>
            <w:vAlign w:val="center"/>
            <w:hideMark/>
          </w:tcPr>
          <w:p w14:paraId="3788754C" w14:textId="77777777" w:rsidR="00B43D75" w:rsidRPr="00135CBD" w:rsidRDefault="00B43D75" w:rsidP="00E607DA">
            <w:pPr>
              <w:jc w:val="center"/>
              <w:rPr>
                <w:rFonts w:ascii="Meta Pro" w:eastAsia="Times New Roman" w:hAnsi="Meta Pro"/>
                <w:b/>
                <w:bCs/>
                <w:lang w:eastAsia="en-AU"/>
              </w:rPr>
            </w:pPr>
            <w:r w:rsidRPr="00135CBD">
              <w:rPr>
                <w:rFonts w:ascii="Meta Pro" w:eastAsia="Times New Roman" w:hAnsi="Meta Pro"/>
                <w:b/>
                <w:bCs/>
                <w:lang w:eastAsia="en-AU"/>
              </w:rPr>
              <w:t>2022</w:t>
            </w:r>
          </w:p>
        </w:tc>
        <w:tc>
          <w:tcPr>
            <w:tcW w:w="189" w:type="dxa"/>
            <w:tcBorders>
              <w:top w:val="nil"/>
              <w:left w:val="nil"/>
              <w:bottom w:val="nil"/>
              <w:right w:val="nil"/>
            </w:tcBorders>
            <w:shd w:val="clear" w:color="auto" w:fill="auto"/>
            <w:noWrap/>
            <w:vAlign w:val="center"/>
            <w:hideMark/>
          </w:tcPr>
          <w:p w14:paraId="0908A8A6" w14:textId="77777777" w:rsidR="00B43D75" w:rsidRPr="00135CBD" w:rsidRDefault="00B43D75" w:rsidP="00E607DA">
            <w:pPr>
              <w:jc w:val="center"/>
              <w:rPr>
                <w:rFonts w:ascii="Meta Pro" w:eastAsia="Times New Roman" w:hAnsi="Meta Pro"/>
                <w:b/>
                <w:bCs/>
                <w:lang w:eastAsia="en-AU"/>
              </w:rPr>
            </w:pPr>
          </w:p>
        </w:tc>
        <w:tc>
          <w:tcPr>
            <w:tcW w:w="1005" w:type="dxa"/>
            <w:tcBorders>
              <w:top w:val="nil"/>
              <w:left w:val="nil"/>
              <w:bottom w:val="nil"/>
              <w:right w:val="nil"/>
            </w:tcBorders>
            <w:shd w:val="clear" w:color="auto" w:fill="auto"/>
            <w:noWrap/>
            <w:vAlign w:val="center"/>
            <w:hideMark/>
          </w:tcPr>
          <w:p w14:paraId="2C3A9916" w14:textId="77777777" w:rsidR="00B43D75" w:rsidRPr="00135CBD" w:rsidRDefault="00B43D75" w:rsidP="00E607DA">
            <w:pPr>
              <w:jc w:val="center"/>
              <w:rPr>
                <w:rFonts w:ascii="Meta Pro" w:eastAsia="Times New Roman" w:hAnsi="Meta Pro"/>
                <w:b/>
                <w:bCs/>
                <w:lang w:eastAsia="en-AU"/>
              </w:rPr>
            </w:pPr>
            <w:r w:rsidRPr="00135CBD">
              <w:rPr>
                <w:rFonts w:ascii="Meta Pro" w:eastAsia="Times New Roman" w:hAnsi="Meta Pro"/>
                <w:b/>
                <w:bCs/>
                <w:lang w:eastAsia="en-AU"/>
              </w:rPr>
              <w:t>2022</w:t>
            </w:r>
          </w:p>
        </w:tc>
        <w:tc>
          <w:tcPr>
            <w:tcW w:w="189" w:type="dxa"/>
            <w:tcBorders>
              <w:top w:val="nil"/>
              <w:left w:val="nil"/>
              <w:bottom w:val="nil"/>
              <w:right w:val="nil"/>
            </w:tcBorders>
            <w:shd w:val="clear" w:color="auto" w:fill="auto"/>
            <w:noWrap/>
            <w:vAlign w:val="center"/>
            <w:hideMark/>
          </w:tcPr>
          <w:p w14:paraId="5F0F9DFB" w14:textId="77777777" w:rsidR="00B43D75" w:rsidRPr="00135CBD" w:rsidRDefault="00B43D75" w:rsidP="00E607DA">
            <w:pPr>
              <w:jc w:val="center"/>
              <w:rPr>
                <w:rFonts w:ascii="Meta Pro" w:eastAsia="Times New Roman" w:hAnsi="Meta Pro"/>
                <w:b/>
                <w:bCs/>
                <w:lang w:eastAsia="en-AU"/>
              </w:rPr>
            </w:pPr>
          </w:p>
        </w:tc>
        <w:tc>
          <w:tcPr>
            <w:tcW w:w="1005" w:type="dxa"/>
            <w:tcBorders>
              <w:top w:val="nil"/>
              <w:left w:val="nil"/>
              <w:bottom w:val="nil"/>
              <w:right w:val="nil"/>
            </w:tcBorders>
            <w:shd w:val="clear" w:color="auto" w:fill="auto"/>
            <w:noWrap/>
            <w:vAlign w:val="center"/>
            <w:hideMark/>
          </w:tcPr>
          <w:p w14:paraId="752CA0D7" w14:textId="77777777" w:rsidR="00B43D75" w:rsidRPr="00135CBD" w:rsidRDefault="00B43D75" w:rsidP="00E607DA">
            <w:pPr>
              <w:jc w:val="center"/>
              <w:rPr>
                <w:rFonts w:ascii="Meta Pro" w:eastAsia="Times New Roman" w:hAnsi="Meta Pro"/>
                <w:b/>
                <w:bCs/>
                <w:lang w:eastAsia="en-AU"/>
              </w:rPr>
            </w:pPr>
            <w:r w:rsidRPr="00135CBD">
              <w:rPr>
                <w:rFonts w:ascii="Meta Pro" w:eastAsia="Times New Roman" w:hAnsi="Meta Pro"/>
                <w:b/>
                <w:bCs/>
                <w:lang w:eastAsia="en-AU"/>
              </w:rPr>
              <w:t>2022</w:t>
            </w:r>
          </w:p>
        </w:tc>
        <w:tc>
          <w:tcPr>
            <w:tcW w:w="189" w:type="dxa"/>
            <w:tcBorders>
              <w:top w:val="nil"/>
              <w:left w:val="nil"/>
              <w:bottom w:val="nil"/>
              <w:right w:val="nil"/>
            </w:tcBorders>
            <w:shd w:val="clear" w:color="auto" w:fill="auto"/>
            <w:noWrap/>
            <w:vAlign w:val="center"/>
            <w:hideMark/>
          </w:tcPr>
          <w:p w14:paraId="4C233F35" w14:textId="77777777" w:rsidR="00B43D75" w:rsidRPr="00135CBD" w:rsidRDefault="00B43D75" w:rsidP="00E607DA">
            <w:pPr>
              <w:jc w:val="center"/>
              <w:rPr>
                <w:rFonts w:ascii="Meta Pro" w:eastAsia="Times New Roman" w:hAnsi="Meta Pro"/>
                <w:b/>
                <w:bCs/>
                <w:lang w:eastAsia="en-AU"/>
              </w:rPr>
            </w:pPr>
          </w:p>
        </w:tc>
        <w:tc>
          <w:tcPr>
            <w:tcW w:w="1005" w:type="dxa"/>
            <w:tcBorders>
              <w:top w:val="nil"/>
              <w:left w:val="nil"/>
              <w:bottom w:val="nil"/>
              <w:right w:val="nil"/>
            </w:tcBorders>
            <w:shd w:val="clear" w:color="auto" w:fill="auto"/>
            <w:noWrap/>
            <w:vAlign w:val="center"/>
            <w:hideMark/>
          </w:tcPr>
          <w:p w14:paraId="7F3CABB1" w14:textId="77777777" w:rsidR="00B43D75" w:rsidRPr="00135CBD" w:rsidRDefault="00B43D75" w:rsidP="00E607DA">
            <w:pPr>
              <w:jc w:val="center"/>
              <w:rPr>
                <w:rFonts w:ascii="Meta Pro" w:eastAsia="Times New Roman" w:hAnsi="Meta Pro"/>
                <w:b/>
                <w:bCs/>
                <w:lang w:eastAsia="en-AU"/>
              </w:rPr>
            </w:pPr>
            <w:r w:rsidRPr="00135CBD">
              <w:rPr>
                <w:rFonts w:ascii="Meta Pro" w:eastAsia="Times New Roman" w:hAnsi="Meta Pro"/>
                <w:b/>
                <w:bCs/>
                <w:lang w:eastAsia="en-AU"/>
              </w:rPr>
              <w:t>2022</w:t>
            </w:r>
          </w:p>
        </w:tc>
        <w:tc>
          <w:tcPr>
            <w:tcW w:w="189" w:type="dxa"/>
            <w:tcBorders>
              <w:top w:val="nil"/>
              <w:left w:val="nil"/>
              <w:bottom w:val="nil"/>
              <w:right w:val="nil"/>
            </w:tcBorders>
            <w:shd w:val="clear" w:color="auto" w:fill="auto"/>
            <w:noWrap/>
            <w:vAlign w:val="center"/>
            <w:hideMark/>
          </w:tcPr>
          <w:p w14:paraId="5593A487" w14:textId="77777777" w:rsidR="00B43D75" w:rsidRPr="00135CBD" w:rsidRDefault="00B43D75" w:rsidP="00E607DA">
            <w:pPr>
              <w:jc w:val="center"/>
              <w:rPr>
                <w:rFonts w:ascii="Meta Pro" w:eastAsia="Times New Roman" w:hAnsi="Meta Pro"/>
                <w:b/>
                <w:bCs/>
                <w:lang w:eastAsia="en-AU"/>
              </w:rPr>
            </w:pPr>
          </w:p>
        </w:tc>
        <w:tc>
          <w:tcPr>
            <w:tcW w:w="1005" w:type="dxa"/>
            <w:tcBorders>
              <w:top w:val="nil"/>
              <w:left w:val="nil"/>
              <w:bottom w:val="nil"/>
              <w:right w:val="nil"/>
            </w:tcBorders>
            <w:shd w:val="clear" w:color="auto" w:fill="auto"/>
            <w:noWrap/>
            <w:vAlign w:val="center"/>
            <w:hideMark/>
          </w:tcPr>
          <w:p w14:paraId="1C1BB95E" w14:textId="77777777" w:rsidR="00B43D75" w:rsidRPr="00135CBD" w:rsidRDefault="00B43D75" w:rsidP="00E607DA">
            <w:pPr>
              <w:jc w:val="center"/>
              <w:rPr>
                <w:rFonts w:ascii="Meta Pro" w:eastAsia="Times New Roman" w:hAnsi="Meta Pro"/>
                <w:b/>
                <w:bCs/>
                <w:lang w:eastAsia="en-AU"/>
              </w:rPr>
            </w:pPr>
            <w:r w:rsidRPr="00135CBD">
              <w:rPr>
                <w:rFonts w:ascii="Meta Pro" w:eastAsia="Times New Roman" w:hAnsi="Meta Pro"/>
                <w:b/>
                <w:bCs/>
                <w:lang w:eastAsia="en-AU"/>
              </w:rPr>
              <w:t>2022</w:t>
            </w:r>
          </w:p>
        </w:tc>
      </w:tr>
      <w:tr w:rsidR="00B43D75" w:rsidRPr="00135CBD" w14:paraId="486A14DB" w14:textId="77777777" w:rsidTr="009A3F2A">
        <w:trPr>
          <w:trHeight w:val="240"/>
        </w:trPr>
        <w:tc>
          <w:tcPr>
            <w:tcW w:w="3289" w:type="dxa"/>
            <w:tcBorders>
              <w:top w:val="nil"/>
              <w:left w:val="nil"/>
              <w:bottom w:val="nil"/>
              <w:right w:val="nil"/>
            </w:tcBorders>
            <w:shd w:val="clear" w:color="auto" w:fill="auto"/>
            <w:noWrap/>
            <w:vAlign w:val="center"/>
            <w:hideMark/>
          </w:tcPr>
          <w:p w14:paraId="025C0045" w14:textId="77777777" w:rsidR="00B43D75" w:rsidRPr="00135CBD" w:rsidRDefault="00B43D75" w:rsidP="00E607DA">
            <w:pPr>
              <w:jc w:val="center"/>
              <w:rPr>
                <w:rFonts w:ascii="Meta Pro" w:eastAsia="Times New Roman" w:hAnsi="Meta Pro"/>
                <w:b/>
                <w:bCs/>
                <w:lang w:eastAsia="en-AU"/>
              </w:rPr>
            </w:pPr>
          </w:p>
        </w:tc>
        <w:tc>
          <w:tcPr>
            <w:tcW w:w="1005" w:type="dxa"/>
            <w:tcBorders>
              <w:top w:val="nil"/>
              <w:left w:val="nil"/>
              <w:bottom w:val="nil"/>
              <w:right w:val="nil"/>
            </w:tcBorders>
            <w:shd w:val="clear" w:color="auto" w:fill="auto"/>
            <w:vAlign w:val="center"/>
            <w:hideMark/>
          </w:tcPr>
          <w:p w14:paraId="1E8304B3" w14:textId="77777777" w:rsidR="00B43D75" w:rsidRPr="00135CBD" w:rsidRDefault="00B43D75" w:rsidP="00E607DA">
            <w:pPr>
              <w:jc w:val="center"/>
              <w:rPr>
                <w:rFonts w:ascii="Meta Pro" w:eastAsia="Times New Roman" w:hAnsi="Meta Pro"/>
                <w:b/>
                <w:bCs/>
                <w:lang w:eastAsia="en-AU"/>
              </w:rPr>
            </w:pPr>
            <w:r w:rsidRPr="00135CBD">
              <w:rPr>
                <w:rFonts w:ascii="Meta Pro" w:eastAsia="Times New Roman" w:hAnsi="Meta Pro"/>
                <w:b/>
                <w:bCs/>
                <w:lang w:eastAsia="en-AU"/>
              </w:rPr>
              <w:t>$'000</w:t>
            </w:r>
          </w:p>
        </w:tc>
        <w:tc>
          <w:tcPr>
            <w:tcW w:w="189" w:type="dxa"/>
            <w:tcBorders>
              <w:top w:val="nil"/>
              <w:left w:val="nil"/>
              <w:bottom w:val="nil"/>
              <w:right w:val="nil"/>
            </w:tcBorders>
            <w:shd w:val="clear" w:color="auto" w:fill="auto"/>
            <w:noWrap/>
            <w:vAlign w:val="center"/>
            <w:hideMark/>
          </w:tcPr>
          <w:p w14:paraId="23581243" w14:textId="77777777" w:rsidR="00B43D75" w:rsidRPr="00135CBD" w:rsidRDefault="00B43D75" w:rsidP="00E607DA">
            <w:pPr>
              <w:jc w:val="center"/>
              <w:rPr>
                <w:rFonts w:ascii="Meta Pro" w:eastAsia="Times New Roman" w:hAnsi="Meta Pro"/>
                <w:b/>
                <w:bCs/>
                <w:lang w:eastAsia="en-AU"/>
              </w:rPr>
            </w:pPr>
          </w:p>
        </w:tc>
        <w:tc>
          <w:tcPr>
            <w:tcW w:w="1005" w:type="dxa"/>
            <w:tcBorders>
              <w:top w:val="nil"/>
              <w:left w:val="nil"/>
              <w:bottom w:val="nil"/>
              <w:right w:val="nil"/>
            </w:tcBorders>
            <w:shd w:val="clear" w:color="auto" w:fill="auto"/>
            <w:vAlign w:val="center"/>
            <w:hideMark/>
          </w:tcPr>
          <w:p w14:paraId="04C1468C" w14:textId="77777777" w:rsidR="00B43D75" w:rsidRPr="00135CBD" w:rsidRDefault="00B43D75" w:rsidP="00E607DA">
            <w:pPr>
              <w:jc w:val="center"/>
              <w:rPr>
                <w:rFonts w:ascii="Meta Pro" w:eastAsia="Times New Roman" w:hAnsi="Meta Pro"/>
                <w:b/>
                <w:bCs/>
                <w:lang w:eastAsia="en-AU"/>
              </w:rPr>
            </w:pPr>
            <w:r w:rsidRPr="00135CBD">
              <w:rPr>
                <w:rFonts w:ascii="Meta Pro" w:eastAsia="Times New Roman" w:hAnsi="Meta Pro"/>
                <w:b/>
                <w:bCs/>
                <w:lang w:eastAsia="en-AU"/>
              </w:rPr>
              <w:t>$'000</w:t>
            </w:r>
          </w:p>
        </w:tc>
        <w:tc>
          <w:tcPr>
            <w:tcW w:w="189" w:type="dxa"/>
            <w:tcBorders>
              <w:top w:val="nil"/>
              <w:left w:val="nil"/>
              <w:bottom w:val="nil"/>
              <w:right w:val="nil"/>
            </w:tcBorders>
            <w:shd w:val="clear" w:color="auto" w:fill="auto"/>
            <w:noWrap/>
            <w:vAlign w:val="center"/>
            <w:hideMark/>
          </w:tcPr>
          <w:p w14:paraId="05BC10CD" w14:textId="77777777" w:rsidR="00B43D75" w:rsidRPr="00135CBD" w:rsidRDefault="00B43D75" w:rsidP="00E607DA">
            <w:pPr>
              <w:jc w:val="center"/>
              <w:rPr>
                <w:rFonts w:ascii="Meta Pro" w:eastAsia="Times New Roman" w:hAnsi="Meta Pro"/>
                <w:b/>
                <w:bCs/>
                <w:lang w:eastAsia="en-AU"/>
              </w:rPr>
            </w:pPr>
          </w:p>
        </w:tc>
        <w:tc>
          <w:tcPr>
            <w:tcW w:w="1005" w:type="dxa"/>
            <w:tcBorders>
              <w:top w:val="nil"/>
              <w:left w:val="nil"/>
              <w:bottom w:val="nil"/>
              <w:right w:val="nil"/>
            </w:tcBorders>
            <w:shd w:val="clear" w:color="auto" w:fill="auto"/>
            <w:vAlign w:val="center"/>
            <w:hideMark/>
          </w:tcPr>
          <w:p w14:paraId="1ADD34D5" w14:textId="77777777" w:rsidR="00B43D75" w:rsidRPr="00135CBD" w:rsidRDefault="00B43D75" w:rsidP="00E607DA">
            <w:pPr>
              <w:jc w:val="center"/>
              <w:rPr>
                <w:rFonts w:ascii="Meta Pro" w:eastAsia="Times New Roman" w:hAnsi="Meta Pro"/>
                <w:b/>
                <w:bCs/>
                <w:lang w:eastAsia="en-AU"/>
              </w:rPr>
            </w:pPr>
            <w:r w:rsidRPr="00135CBD">
              <w:rPr>
                <w:rFonts w:ascii="Meta Pro" w:eastAsia="Times New Roman" w:hAnsi="Meta Pro"/>
                <w:b/>
                <w:bCs/>
                <w:lang w:eastAsia="en-AU"/>
              </w:rPr>
              <w:t>$'000</w:t>
            </w:r>
          </w:p>
        </w:tc>
        <w:tc>
          <w:tcPr>
            <w:tcW w:w="189" w:type="dxa"/>
            <w:tcBorders>
              <w:top w:val="nil"/>
              <w:left w:val="nil"/>
              <w:bottom w:val="nil"/>
              <w:right w:val="nil"/>
            </w:tcBorders>
            <w:shd w:val="clear" w:color="auto" w:fill="auto"/>
            <w:noWrap/>
            <w:vAlign w:val="center"/>
            <w:hideMark/>
          </w:tcPr>
          <w:p w14:paraId="3340973C" w14:textId="77777777" w:rsidR="00B43D75" w:rsidRPr="00135CBD" w:rsidRDefault="00B43D75" w:rsidP="00E607DA">
            <w:pPr>
              <w:jc w:val="center"/>
              <w:rPr>
                <w:rFonts w:ascii="Meta Pro" w:eastAsia="Times New Roman" w:hAnsi="Meta Pro"/>
                <w:b/>
                <w:bCs/>
                <w:lang w:eastAsia="en-AU"/>
              </w:rPr>
            </w:pPr>
          </w:p>
        </w:tc>
        <w:tc>
          <w:tcPr>
            <w:tcW w:w="1005" w:type="dxa"/>
            <w:tcBorders>
              <w:top w:val="nil"/>
              <w:left w:val="nil"/>
              <w:bottom w:val="nil"/>
              <w:right w:val="nil"/>
            </w:tcBorders>
            <w:shd w:val="clear" w:color="auto" w:fill="auto"/>
            <w:vAlign w:val="center"/>
            <w:hideMark/>
          </w:tcPr>
          <w:p w14:paraId="4FF6BA0E" w14:textId="77777777" w:rsidR="00B43D75" w:rsidRPr="00135CBD" w:rsidRDefault="00B43D75" w:rsidP="00E607DA">
            <w:pPr>
              <w:jc w:val="center"/>
              <w:rPr>
                <w:rFonts w:ascii="Meta Pro" w:eastAsia="Times New Roman" w:hAnsi="Meta Pro"/>
                <w:b/>
                <w:bCs/>
                <w:lang w:eastAsia="en-AU"/>
              </w:rPr>
            </w:pPr>
            <w:r w:rsidRPr="00135CBD">
              <w:rPr>
                <w:rFonts w:ascii="Meta Pro" w:eastAsia="Times New Roman" w:hAnsi="Meta Pro"/>
                <w:b/>
                <w:bCs/>
                <w:lang w:eastAsia="en-AU"/>
              </w:rPr>
              <w:t>$'000</w:t>
            </w:r>
          </w:p>
        </w:tc>
        <w:tc>
          <w:tcPr>
            <w:tcW w:w="189" w:type="dxa"/>
            <w:tcBorders>
              <w:top w:val="nil"/>
              <w:left w:val="nil"/>
              <w:bottom w:val="nil"/>
              <w:right w:val="nil"/>
            </w:tcBorders>
            <w:shd w:val="clear" w:color="auto" w:fill="auto"/>
            <w:noWrap/>
            <w:vAlign w:val="center"/>
            <w:hideMark/>
          </w:tcPr>
          <w:p w14:paraId="474C7C15" w14:textId="77777777" w:rsidR="00B43D75" w:rsidRPr="00135CBD" w:rsidRDefault="00B43D75" w:rsidP="00E607DA">
            <w:pPr>
              <w:jc w:val="center"/>
              <w:rPr>
                <w:rFonts w:ascii="Meta Pro" w:eastAsia="Times New Roman" w:hAnsi="Meta Pro"/>
                <w:b/>
                <w:bCs/>
                <w:lang w:eastAsia="en-AU"/>
              </w:rPr>
            </w:pPr>
          </w:p>
        </w:tc>
        <w:tc>
          <w:tcPr>
            <w:tcW w:w="1005" w:type="dxa"/>
            <w:tcBorders>
              <w:top w:val="nil"/>
              <w:left w:val="nil"/>
              <w:bottom w:val="nil"/>
              <w:right w:val="nil"/>
            </w:tcBorders>
            <w:shd w:val="clear" w:color="auto" w:fill="auto"/>
            <w:vAlign w:val="center"/>
            <w:hideMark/>
          </w:tcPr>
          <w:p w14:paraId="5C411907" w14:textId="77777777" w:rsidR="00B43D75" w:rsidRPr="00135CBD" w:rsidRDefault="00B43D75" w:rsidP="00E607DA">
            <w:pPr>
              <w:jc w:val="center"/>
              <w:rPr>
                <w:rFonts w:ascii="Meta Pro" w:eastAsia="Times New Roman" w:hAnsi="Meta Pro"/>
                <w:b/>
                <w:bCs/>
                <w:lang w:eastAsia="en-AU"/>
              </w:rPr>
            </w:pPr>
            <w:r w:rsidRPr="00135CBD">
              <w:rPr>
                <w:rFonts w:ascii="Meta Pro" w:eastAsia="Times New Roman" w:hAnsi="Meta Pro"/>
                <w:b/>
                <w:bCs/>
                <w:lang w:eastAsia="en-AU"/>
              </w:rPr>
              <w:t>$'000</w:t>
            </w:r>
          </w:p>
        </w:tc>
      </w:tr>
      <w:tr w:rsidR="00B43D75" w:rsidRPr="00135CBD" w14:paraId="71F3D432" w14:textId="77777777" w:rsidTr="009A3F2A">
        <w:trPr>
          <w:trHeight w:val="90"/>
        </w:trPr>
        <w:tc>
          <w:tcPr>
            <w:tcW w:w="3289" w:type="dxa"/>
            <w:tcBorders>
              <w:top w:val="nil"/>
              <w:left w:val="nil"/>
              <w:bottom w:val="nil"/>
              <w:right w:val="nil"/>
            </w:tcBorders>
            <w:shd w:val="clear" w:color="auto" w:fill="auto"/>
            <w:noWrap/>
            <w:vAlign w:val="center"/>
            <w:hideMark/>
          </w:tcPr>
          <w:p w14:paraId="28AF044E" w14:textId="77777777" w:rsidR="00B43D75" w:rsidRPr="00135CBD" w:rsidRDefault="00B43D75" w:rsidP="00E607DA">
            <w:pPr>
              <w:jc w:val="center"/>
              <w:rPr>
                <w:rFonts w:ascii="Meta Pro" w:eastAsia="Times New Roman" w:hAnsi="Meta Pro"/>
                <w:b/>
                <w:bCs/>
                <w:lang w:eastAsia="en-AU"/>
              </w:rPr>
            </w:pPr>
          </w:p>
        </w:tc>
        <w:tc>
          <w:tcPr>
            <w:tcW w:w="1005" w:type="dxa"/>
            <w:tcBorders>
              <w:top w:val="nil"/>
              <w:left w:val="nil"/>
              <w:bottom w:val="nil"/>
              <w:right w:val="nil"/>
            </w:tcBorders>
            <w:shd w:val="clear" w:color="auto" w:fill="auto"/>
            <w:vAlign w:val="center"/>
            <w:hideMark/>
          </w:tcPr>
          <w:p w14:paraId="5D44E9A5" w14:textId="77777777" w:rsidR="00B43D75" w:rsidRPr="00135CBD" w:rsidRDefault="00B43D75" w:rsidP="00E607DA">
            <w:pPr>
              <w:rPr>
                <w:rFonts w:eastAsia="Times New Roman" w:cs="Times New Roman"/>
                <w:sz w:val="20"/>
                <w:szCs w:val="20"/>
                <w:lang w:eastAsia="en-AU"/>
              </w:rPr>
            </w:pPr>
          </w:p>
        </w:tc>
        <w:tc>
          <w:tcPr>
            <w:tcW w:w="189" w:type="dxa"/>
            <w:tcBorders>
              <w:top w:val="nil"/>
              <w:left w:val="nil"/>
              <w:bottom w:val="nil"/>
              <w:right w:val="nil"/>
            </w:tcBorders>
            <w:shd w:val="clear" w:color="auto" w:fill="auto"/>
            <w:noWrap/>
            <w:vAlign w:val="center"/>
            <w:hideMark/>
          </w:tcPr>
          <w:p w14:paraId="37C43975" w14:textId="77777777" w:rsidR="00B43D75" w:rsidRPr="00135CBD" w:rsidRDefault="00B43D75" w:rsidP="00E607DA">
            <w:pPr>
              <w:jc w:val="center"/>
              <w:rPr>
                <w:rFonts w:eastAsia="Times New Roman" w:cs="Times New Roman"/>
                <w:sz w:val="20"/>
                <w:szCs w:val="20"/>
                <w:lang w:eastAsia="en-AU"/>
              </w:rPr>
            </w:pPr>
          </w:p>
        </w:tc>
        <w:tc>
          <w:tcPr>
            <w:tcW w:w="1005" w:type="dxa"/>
            <w:tcBorders>
              <w:top w:val="nil"/>
              <w:left w:val="nil"/>
              <w:bottom w:val="nil"/>
              <w:right w:val="nil"/>
            </w:tcBorders>
            <w:shd w:val="clear" w:color="auto" w:fill="auto"/>
            <w:vAlign w:val="center"/>
            <w:hideMark/>
          </w:tcPr>
          <w:p w14:paraId="7DDD0129" w14:textId="77777777" w:rsidR="00B43D75" w:rsidRPr="00135CBD" w:rsidRDefault="00B43D75" w:rsidP="00E607DA">
            <w:pPr>
              <w:rPr>
                <w:rFonts w:eastAsia="Times New Roman" w:cs="Times New Roman"/>
                <w:sz w:val="20"/>
                <w:szCs w:val="20"/>
                <w:lang w:eastAsia="en-AU"/>
              </w:rPr>
            </w:pPr>
          </w:p>
        </w:tc>
        <w:tc>
          <w:tcPr>
            <w:tcW w:w="189" w:type="dxa"/>
            <w:tcBorders>
              <w:top w:val="nil"/>
              <w:left w:val="nil"/>
              <w:bottom w:val="nil"/>
              <w:right w:val="nil"/>
            </w:tcBorders>
            <w:shd w:val="clear" w:color="auto" w:fill="auto"/>
            <w:noWrap/>
            <w:vAlign w:val="center"/>
            <w:hideMark/>
          </w:tcPr>
          <w:p w14:paraId="228282EC" w14:textId="77777777" w:rsidR="00B43D75" w:rsidRPr="00135CBD" w:rsidRDefault="00B43D75" w:rsidP="00E607DA">
            <w:pPr>
              <w:jc w:val="center"/>
              <w:rPr>
                <w:rFonts w:eastAsia="Times New Roman" w:cs="Times New Roman"/>
                <w:sz w:val="20"/>
                <w:szCs w:val="20"/>
                <w:lang w:eastAsia="en-AU"/>
              </w:rPr>
            </w:pPr>
          </w:p>
        </w:tc>
        <w:tc>
          <w:tcPr>
            <w:tcW w:w="1005" w:type="dxa"/>
            <w:tcBorders>
              <w:top w:val="nil"/>
              <w:left w:val="nil"/>
              <w:bottom w:val="nil"/>
              <w:right w:val="nil"/>
            </w:tcBorders>
            <w:shd w:val="clear" w:color="auto" w:fill="auto"/>
            <w:vAlign w:val="center"/>
            <w:hideMark/>
          </w:tcPr>
          <w:p w14:paraId="03E5697C" w14:textId="77777777" w:rsidR="00B43D75" w:rsidRPr="00135CBD" w:rsidRDefault="00B43D75" w:rsidP="00E607DA">
            <w:pPr>
              <w:rPr>
                <w:rFonts w:eastAsia="Times New Roman" w:cs="Times New Roman"/>
                <w:sz w:val="20"/>
                <w:szCs w:val="20"/>
                <w:lang w:eastAsia="en-AU"/>
              </w:rPr>
            </w:pPr>
          </w:p>
        </w:tc>
        <w:tc>
          <w:tcPr>
            <w:tcW w:w="189" w:type="dxa"/>
            <w:tcBorders>
              <w:top w:val="nil"/>
              <w:left w:val="nil"/>
              <w:bottom w:val="nil"/>
              <w:right w:val="nil"/>
            </w:tcBorders>
            <w:shd w:val="clear" w:color="auto" w:fill="auto"/>
            <w:noWrap/>
            <w:vAlign w:val="center"/>
            <w:hideMark/>
          </w:tcPr>
          <w:p w14:paraId="130C740B" w14:textId="77777777" w:rsidR="00B43D75" w:rsidRPr="00135CBD" w:rsidRDefault="00B43D75" w:rsidP="00E607DA">
            <w:pPr>
              <w:jc w:val="center"/>
              <w:rPr>
                <w:rFonts w:eastAsia="Times New Roman" w:cs="Times New Roman"/>
                <w:sz w:val="20"/>
                <w:szCs w:val="20"/>
                <w:lang w:eastAsia="en-AU"/>
              </w:rPr>
            </w:pPr>
          </w:p>
        </w:tc>
        <w:tc>
          <w:tcPr>
            <w:tcW w:w="1005" w:type="dxa"/>
            <w:tcBorders>
              <w:top w:val="nil"/>
              <w:left w:val="nil"/>
              <w:bottom w:val="nil"/>
              <w:right w:val="nil"/>
            </w:tcBorders>
            <w:shd w:val="clear" w:color="auto" w:fill="auto"/>
            <w:vAlign w:val="center"/>
            <w:hideMark/>
          </w:tcPr>
          <w:p w14:paraId="5FCC9419" w14:textId="77777777" w:rsidR="00B43D75" w:rsidRPr="00135CBD" w:rsidRDefault="00B43D75" w:rsidP="00E607DA">
            <w:pPr>
              <w:rPr>
                <w:rFonts w:eastAsia="Times New Roman" w:cs="Times New Roman"/>
                <w:sz w:val="20"/>
                <w:szCs w:val="20"/>
                <w:lang w:eastAsia="en-AU"/>
              </w:rPr>
            </w:pPr>
          </w:p>
        </w:tc>
        <w:tc>
          <w:tcPr>
            <w:tcW w:w="189" w:type="dxa"/>
            <w:tcBorders>
              <w:top w:val="nil"/>
              <w:left w:val="nil"/>
              <w:bottom w:val="nil"/>
              <w:right w:val="nil"/>
            </w:tcBorders>
            <w:shd w:val="clear" w:color="auto" w:fill="auto"/>
            <w:noWrap/>
            <w:vAlign w:val="center"/>
            <w:hideMark/>
          </w:tcPr>
          <w:p w14:paraId="465A7593" w14:textId="77777777" w:rsidR="00B43D75" w:rsidRPr="00135CBD" w:rsidRDefault="00B43D75" w:rsidP="00E607DA">
            <w:pPr>
              <w:jc w:val="center"/>
              <w:rPr>
                <w:rFonts w:eastAsia="Times New Roman" w:cs="Times New Roman"/>
                <w:sz w:val="20"/>
                <w:szCs w:val="20"/>
                <w:lang w:eastAsia="en-AU"/>
              </w:rPr>
            </w:pPr>
          </w:p>
        </w:tc>
        <w:tc>
          <w:tcPr>
            <w:tcW w:w="1005" w:type="dxa"/>
            <w:tcBorders>
              <w:top w:val="nil"/>
              <w:left w:val="nil"/>
              <w:bottom w:val="nil"/>
              <w:right w:val="nil"/>
            </w:tcBorders>
            <w:shd w:val="clear" w:color="auto" w:fill="auto"/>
            <w:vAlign w:val="center"/>
            <w:hideMark/>
          </w:tcPr>
          <w:p w14:paraId="175D50DC" w14:textId="77777777" w:rsidR="00B43D75" w:rsidRPr="00135CBD" w:rsidRDefault="00B43D75" w:rsidP="00E607DA">
            <w:pPr>
              <w:rPr>
                <w:rFonts w:eastAsia="Times New Roman" w:cs="Times New Roman"/>
                <w:sz w:val="20"/>
                <w:szCs w:val="20"/>
                <w:lang w:eastAsia="en-AU"/>
              </w:rPr>
            </w:pPr>
          </w:p>
        </w:tc>
      </w:tr>
      <w:tr w:rsidR="00B43D75" w:rsidRPr="00135CBD" w14:paraId="753E8BBC" w14:textId="77777777" w:rsidTr="009A3F2A">
        <w:trPr>
          <w:trHeight w:val="240"/>
        </w:trPr>
        <w:tc>
          <w:tcPr>
            <w:tcW w:w="3289" w:type="dxa"/>
            <w:tcBorders>
              <w:top w:val="nil"/>
              <w:left w:val="nil"/>
              <w:bottom w:val="nil"/>
              <w:right w:val="nil"/>
            </w:tcBorders>
            <w:shd w:val="clear" w:color="auto" w:fill="auto"/>
            <w:noWrap/>
            <w:vAlign w:val="center"/>
            <w:hideMark/>
          </w:tcPr>
          <w:p w14:paraId="32207EEC" w14:textId="77777777" w:rsidR="00B43D75" w:rsidRPr="00135CBD" w:rsidRDefault="00B43D75" w:rsidP="00E607DA">
            <w:pPr>
              <w:rPr>
                <w:rFonts w:ascii="Meta Pro" w:eastAsia="Times New Roman" w:hAnsi="Meta Pro"/>
                <w:szCs w:val="18"/>
                <w:lang w:eastAsia="en-AU"/>
              </w:rPr>
            </w:pPr>
            <w:r w:rsidRPr="00135CBD">
              <w:rPr>
                <w:rFonts w:ascii="Meta Pro" w:eastAsia="Times New Roman" w:hAnsi="Meta Pro"/>
                <w:szCs w:val="18"/>
                <w:lang w:eastAsia="en-AU"/>
              </w:rPr>
              <w:t>Gross value</w:t>
            </w:r>
          </w:p>
        </w:tc>
        <w:tc>
          <w:tcPr>
            <w:tcW w:w="1005" w:type="dxa"/>
            <w:tcBorders>
              <w:top w:val="nil"/>
              <w:left w:val="nil"/>
              <w:bottom w:val="nil"/>
              <w:right w:val="nil"/>
            </w:tcBorders>
            <w:shd w:val="clear" w:color="000000" w:fill="C9E3B4"/>
            <w:noWrap/>
            <w:vAlign w:val="center"/>
            <w:hideMark/>
          </w:tcPr>
          <w:p w14:paraId="23B1E7D9" w14:textId="77777777" w:rsidR="00B43D75" w:rsidRPr="00135CBD" w:rsidRDefault="00B43D75" w:rsidP="00E607DA">
            <w:pPr>
              <w:jc w:val="right"/>
              <w:rPr>
                <w:rFonts w:ascii="Meta Pro" w:eastAsia="Times New Roman" w:hAnsi="Meta Pro"/>
                <w:szCs w:val="18"/>
                <w:lang w:eastAsia="en-AU"/>
              </w:rPr>
            </w:pPr>
            <w:r w:rsidRPr="00135CBD">
              <w:rPr>
                <w:rFonts w:ascii="Meta Pro" w:eastAsia="Times New Roman" w:hAnsi="Meta Pro"/>
                <w:szCs w:val="18"/>
                <w:lang w:eastAsia="en-AU"/>
              </w:rPr>
              <w:t xml:space="preserve">33,536 </w:t>
            </w:r>
          </w:p>
        </w:tc>
        <w:tc>
          <w:tcPr>
            <w:tcW w:w="189" w:type="dxa"/>
            <w:tcBorders>
              <w:top w:val="nil"/>
              <w:left w:val="nil"/>
              <w:bottom w:val="nil"/>
              <w:right w:val="nil"/>
            </w:tcBorders>
            <w:shd w:val="clear" w:color="auto" w:fill="auto"/>
            <w:noWrap/>
            <w:vAlign w:val="center"/>
            <w:hideMark/>
          </w:tcPr>
          <w:p w14:paraId="7B182793" w14:textId="77777777" w:rsidR="00B43D75" w:rsidRPr="00135CBD" w:rsidRDefault="00B43D75" w:rsidP="00E607DA">
            <w:pPr>
              <w:jc w:val="right"/>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68B337FF" w14:textId="77777777" w:rsidR="00B43D75" w:rsidRPr="00135CBD" w:rsidRDefault="00B43D75" w:rsidP="00E607DA">
            <w:pPr>
              <w:jc w:val="right"/>
              <w:rPr>
                <w:rFonts w:ascii="Meta Pro" w:eastAsia="Times New Roman" w:hAnsi="Meta Pro"/>
                <w:szCs w:val="18"/>
                <w:lang w:eastAsia="en-AU"/>
              </w:rPr>
            </w:pPr>
            <w:r w:rsidRPr="00135CBD">
              <w:rPr>
                <w:rFonts w:ascii="Meta Pro" w:eastAsia="Times New Roman" w:hAnsi="Meta Pro"/>
                <w:szCs w:val="18"/>
                <w:lang w:eastAsia="en-AU"/>
              </w:rPr>
              <w:t xml:space="preserve">281,981 </w:t>
            </w:r>
          </w:p>
        </w:tc>
        <w:tc>
          <w:tcPr>
            <w:tcW w:w="189" w:type="dxa"/>
            <w:tcBorders>
              <w:top w:val="nil"/>
              <w:left w:val="nil"/>
              <w:bottom w:val="nil"/>
              <w:right w:val="nil"/>
            </w:tcBorders>
            <w:shd w:val="clear" w:color="auto" w:fill="auto"/>
            <w:noWrap/>
            <w:vAlign w:val="center"/>
            <w:hideMark/>
          </w:tcPr>
          <w:p w14:paraId="3E782CBF" w14:textId="77777777" w:rsidR="00B43D75" w:rsidRPr="00135CBD" w:rsidRDefault="00B43D75" w:rsidP="00E607DA">
            <w:pPr>
              <w:jc w:val="right"/>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23595F93" w14:textId="77777777" w:rsidR="00B43D75" w:rsidRPr="00135CBD" w:rsidRDefault="00B43D75" w:rsidP="00E607DA">
            <w:pPr>
              <w:jc w:val="right"/>
              <w:rPr>
                <w:rFonts w:ascii="Meta Pro" w:eastAsia="Times New Roman" w:hAnsi="Meta Pro"/>
                <w:szCs w:val="18"/>
                <w:lang w:eastAsia="en-AU"/>
              </w:rPr>
            </w:pPr>
            <w:r w:rsidRPr="00135CBD">
              <w:rPr>
                <w:rFonts w:ascii="Meta Pro" w:eastAsia="Times New Roman" w:hAnsi="Meta Pro"/>
                <w:szCs w:val="18"/>
                <w:lang w:eastAsia="en-AU"/>
              </w:rPr>
              <w:t xml:space="preserve">44,114 </w:t>
            </w:r>
          </w:p>
        </w:tc>
        <w:tc>
          <w:tcPr>
            <w:tcW w:w="189" w:type="dxa"/>
            <w:tcBorders>
              <w:top w:val="nil"/>
              <w:left w:val="nil"/>
              <w:bottom w:val="nil"/>
              <w:right w:val="nil"/>
            </w:tcBorders>
            <w:shd w:val="clear" w:color="auto" w:fill="auto"/>
            <w:noWrap/>
            <w:vAlign w:val="center"/>
            <w:hideMark/>
          </w:tcPr>
          <w:p w14:paraId="36B4491E" w14:textId="77777777" w:rsidR="00B43D75" w:rsidRPr="00135CBD" w:rsidRDefault="00B43D75" w:rsidP="00E607DA">
            <w:pPr>
              <w:jc w:val="right"/>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3D65DF03" w14:textId="77777777" w:rsidR="00B43D75" w:rsidRPr="00135CBD" w:rsidRDefault="00B43D75" w:rsidP="00E607DA">
            <w:pPr>
              <w:jc w:val="right"/>
              <w:rPr>
                <w:rFonts w:ascii="Meta Pro" w:eastAsia="Times New Roman" w:hAnsi="Meta Pro"/>
                <w:szCs w:val="18"/>
                <w:lang w:eastAsia="en-AU"/>
              </w:rPr>
            </w:pPr>
            <w:r w:rsidRPr="00135CBD">
              <w:rPr>
                <w:rFonts w:ascii="Meta Pro" w:eastAsia="Times New Roman" w:hAnsi="Meta Pro"/>
                <w:szCs w:val="18"/>
                <w:lang w:eastAsia="en-AU"/>
              </w:rPr>
              <w:t xml:space="preserve">4,350 </w:t>
            </w:r>
          </w:p>
        </w:tc>
        <w:tc>
          <w:tcPr>
            <w:tcW w:w="189" w:type="dxa"/>
            <w:tcBorders>
              <w:top w:val="nil"/>
              <w:left w:val="nil"/>
              <w:bottom w:val="nil"/>
              <w:right w:val="nil"/>
            </w:tcBorders>
            <w:shd w:val="clear" w:color="auto" w:fill="auto"/>
            <w:noWrap/>
            <w:vAlign w:val="center"/>
            <w:hideMark/>
          </w:tcPr>
          <w:p w14:paraId="08294B23" w14:textId="77777777" w:rsidR="00B43D75" w:rsidRPr="00135CBD" w:rsidRDefault="00B43D75" w:rsidP="00E607DA">
            <w:pPr>
              <w:jc w:val="right"/>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33343769" w14:textId="77777777" w:rsidR="00B43D75" w:rsidRPr="00135CBD" w:rsidRDefault="00B43D75" w:rsidP="00E607DA">
            <w:pPr>
              <w:jc w:val="right"/>
              <w:rPr>
                <w:rFonts w:ascii="Meta Pro" w:eastAsia="Times New Roman" w:hAnsi="Meta Pro"/>
                <w:b/>
                <w:bCs/>
                <w:szCs w:val="18"/>
                <w:lang w:eastAsia="en-AU"/>
              </w:rPr>
            </w:pPr>
            <w:r w:rsidRPr="00135CBD">
              <w:rPr>
                <w:rFonts w:ascii="Meta Pro" w:eastAsia="Times New Roman" w:hAnsi="Meta Pro"/>
                <w:b/>
                <w:bCs/>
                <w:szCs w:val="18"/>
                <w:lang w:eastAsia="en-AU"/>
              </w:rPr>
              <w:t xml:space="preserve">363,981 </w:t>
            </w:r>
          </w:p>
        </w:tc>
      </w:tr>
      <w:tr w:rsidR="00B43D75" w:rsidRPr="00135CBD" w14:paraId="60A3E802" w14:textId="77777777" w:rsidTr="009A3F2A">
        <w:trPr>
          <w:trHeight w:val="240"/>
        </w:trPr>
        <w:tc>
          <w:tcPr>
            <w:tcW w:w="3289" w:type="dxa"/>
            <w:tcBorders>
              <w:top w:val="nil"/>
              <w:left w:val="nil"/>
              <w:bottom w:val="nil"/>
              <w:right w:val="nil"/>
            </w:tcBorders>
            <w:shd w:val="clear" w:color="auto" w:fill="auto"/>
            <w:noWrap/>
            <w:vAlign w:val="center"/>
            <w:hideMark/>
          </w:tcPr>
          <w:p w14:paraId="7B83AE45" w14:textId="77777777" w:rsidR="00B43D75" w:rsidRPr="00135CBD" w:rsidRDefault="00B43D75" w:rsidP="00E607DA">
            <w:pPr>
              <w:rPr>
                <w:rFonts w:ascii="Meta Pro" w:eastAsia="Times New Roman" w:hAnsi="Meta Pro"/>
                <w:szCs w:val="18"/>
                <w:lang w:eastAsia="en-AU"/>
              </w:rPr>
            </w:pPr>
            <w:r w:rsidRPr="00135CBD">
              <w:rPr>
                <w:rFonts w:ascii="Meta Pro" w:eastAsia="Times New Roman" w:hAnsi="Meta Pro"/>
                <w:szCs w:val="18"/>
                <w:lang w:eastAsia="en-AU"/>
              </w:rPr>
              <w:t>Less: Accumulated amortisation</w:t>
            </w:r>
          </w:p>
        </w:tc>
        <w:tc>
          <w:tcPr>
            <w:tcW w:w="1005" w:type="dxa"/>
            <w:tcBorders>
              <w:top w:val="nil"/>
              <w:left w:val="nil"/>
              <w:bottom w:val="nil"/>
              <w:right w:val="nil"/>
            </w:tcBorders>
            <w:shd w:val="clear" w:color="000000" w:fill="C9E3B4"/>
            <w:noWrap/>
            <w:vAlign w:val="center"/>
            <w:hideMark/>
          </w:tcPr>
          <w:p w14:paraId="05C17A64" w14:textId="77777777" w:rsidR="00B43D75" w:rsidRPr="00135CBD" w:rsidRDefault="00B43D75" w:rsidP="00E607DA">
            <w:pPr>
              <w:jc w:val="right"/>
              <w:rPr>
                <w:rFonts w:ascii="Meta Pro" w:eastAsia="Times New Roman" w:hAnsi="Meta Pro"/>
                <w:szCs w:val="18"/>
                <w:lang w:eastAsia="en-AU"/>
              </w:rPr>
            </w:pPr>
            <w:r w:rsidRPr="00135CBD">
              <w:rPr>
                <w:rFonts w:ascii="Meta Pro" w:eastAsia="Times New Roman" w:hAnsi="Meta Pro"/>
                <w:szCs w:val="18"/>
                <w:lang w:eastAsia="en-AU"/>
              </w:rPr>
              <w:t>(19,050)</w:t>
            </w:r>
          </w:p>
        </w:tc>
        <w:tc>
          <w:tcPr>
            <w:tcW w:w="189" w:type="dxa"/>
            <w:tcBorders>
              <w:top w:val="nil"/>
              <w:left w:val="nil"/>
              <w:bottom w:val="nil"/>
              <w:right w:val="nil"/>
            </w:tcBorders>
            <w:shd w:val="clear" w:color="auto" w:fill="auto"/>
            <w:noWrap/>
            <w:vAlign w:val="center"/>
            <w:hideMark/>
          </w:tcPr>
          <w:p w14:paraId="6A810267" w14:textId="77777777" w:rsidR="00B43D75" w:rsidRPr="00135CBD" w:rsidRDefault="00B43D75" w:rsidP="00E607DA">
            <w:pPr>
              <w:jc w:val="right"/>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72460C78" w14:textId="77777777" w:rsidR="00B43D75" w:rsidRPr="00135CBD" w:rsidRDefault="00B43D75" w:rsidP="00E607DA">
            <w:pPr>
              <w:jc w:val="right"/>
              <w:rPr>
                <w:rFonts w:ascii="Meta Pro" w:eastAsia="Times New Roman" w:hAnsi="Meta Pro"/>
                <w:szCs w:val="18"/>
                <w:lang w:eastAsia="en-AU"/>
              </w:rPr>
            </w:pPr>
            <w:r w:rsidRPr="00135CBD">
              <w:rPr>
                <w:rFonts w:ascii="Meta Pro" w:eastAsia="Times New Roman" w:hAnsi="Meta Pro"/>
                <w:szCs w:val="18"/>
                <w:lang w:eastAsia="en-AU"/>
              </w:rPr>
              <w:t>(254,751)</w:t>
            </w:r>
          </w:p>
        </w:tc>
        <w:tc>
          <w:tcPr>
            <w:tcW w:w="189" w:type="dxa"/>
            <w:tcBorders>
              <w:top w:val="nil"/>
              <w:left w:val="nil"/>
              <w:bottom w:val="nil"/>
              <w:right w:val="nil"/>
            </w:tcBorders>
            <w:shd w:val="clear" w:color="auto" w:fill="auto"/>
            <w:noWrap/>
            <w:vAlign w:val="center"/>
            <w:hideMark/>
          </w:tcPr>
          <w:p w14:paraId="04595CBF" w14:textId="77777777" w:rsidR="00B43D75" w:rsidRPr="00135CBD" w:rsidRDefault="00B43D75" w:rsidP="00E607DA">
            <w:pPr>
              <w:jc w:val="right"/>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7347B651" w14:textId="77777777" w:rsidR="00B43D75" w:rsidRPr="00135CBD" w:rsidRDefault="00B43D75" w:rsidP="00E607DA">
            <w:pPr>
              <w:jc w:val="right"/>
              <w:rPr>
                <w:rFonts w:ascii="Meta Pro" w:eastAsia="Times New Roman" w:hAnsi="Meta Pro"/>
                <w:szCs w:val="18"/>
                <w:lang w:eastAsia="en-AU"/>
              </w:rPr>
            </w:pPr>
            <w:r w:rsidRPr="00135CBD">
              <w:rPr>
                <w:rFonts w:ascii="Meta Pro" w:eastAsia="Times New Roman" w:hAnsi="Meta Pro"/>
                <w:szCs w:val="18"/>
                <w:lang w:eastAsia="en-AU"/>
              </w:rPr>
              <w:t xml:space="preserve">- </w:t>
            </w:r>
          </w:p>
        </w:tc>
        <w:tc>
          <w:tcPr>
            <w:tcW w:w="189" w:type="dxa"/>
            <w:tcBorders>
              <w:top w:val="nil"/>
              <w:left w:val="nil"/>
              <w:bottom w:val="nil"/>
              <w:right w:val="nil"/>
            </w:tcBorders>
            <w:shd w:val="clear" w:color="auto" w:fill="auto"/>
            <w:noWrap/>
            <w:vAlign w:val="center"/>
            <w:hideMark/>
          </w:tcPr>
          <w:p w14:paraId="212A44B4" w14:textId="77777777" w:rsidR="00B43D75" w:rsidRPr="00135CBD" w:rsidRDefault="00B43D75" w:rsidP="00E607DA">
            <w:pPr>
              <w:jc w:val="right"/>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6D9A69DB" w14:textId="77777777" w:rsidR="00B43D75" w:rsidRPr="00135CBD" w:rsidRDefault="00B43D75" w:rsidP="00E607DA">
            <w:pPr>
              <w:jc w:val="right"/>
              <w:rPr>
                <w:rFonts w:ascii="Meta Pro" w:eastAsia="Times New Roman" w:hAnsi="Meta Pro"/>
                <w:szCs w:val="18"/>
                <w:lang w:eastAsia="en-AU"/>
              </w:rPr>
            </w:pPr>
            <w:r w:rsidRPr="00135CBD">
              <w:rPr>
                <w:rFonts w:ascii="Meta Pro" w:eastAsia="Times New Roman" w:hAnsi="Meta Pro"/>
                <w:szCs w:val="18"/>
                <w:lang w:eastAsia="en-AU"/>
              </w:rPr>
              <w:t>(4)</w:t>
            </w:r>
          </w:p>
        </w:tc>
        <w:tc>
          <w:tcPr>
            <w:tcW w:w="189" w:type="dxa"/>
            <w:tcBorders>
              <w:top w:val="nil"/>
              <w:left w:val="nil"/>
              <w:bottom w:val="nil"/>
              <w:right w:val="nil"/>
            </w:tcBorders>
            <w:shd w:val="clear" w:color="auto" w:fill="auto"/>
            <w:noWrap/>
            <w:vAlign w:val="center"/>
            <w:hideMark/>
          </w:tcPr>
          <w:p w14:paraId="57DBE6CD" w14:textId="77777777" w:rsidR="00B43D75" w:rsidRPr="00135CBD" w:rsidRDefault="00B43D75" w:rsidP="00E607DA">
            <w:pPr>
              <w:jc w:val="right"/>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2A322436" w14:textId="77777777" w:rsidR="00B43D75" w:rsidRPr="00135CBD" w:rsidRDefault="00B43D75" w:rsidP="00E607DA">
            <w:pPr>
              <w:jc w:val="right"/>
              <w:rPr>
                <w:rFonts w:ascii="Meta Pro" w:eastAsia="Times New Roman" w:hAnsi="Meta Pro"/>
                <w:b/>
                <w:bCs/>
                <w:szCs w:val="18"/>
                <w:lang w:eastAsia="en-AU"/>
              </w:rPr>
            </w:pPr>
            <w:r w:rsidRPr="00135CBD">
              <w:rPr>
                <w:rFonts w:ascii="Meta Pro" w:eastAsia="Times New Roman" w:hAnsi="Meta Pro"/>
                <w:b/>
                <w:bCs/>
                <w:szCs w:val="18"/>
                <w:lang w:eastAsia="en-AU"/>
              </w:rPr>
              <w:t>(273,805)</w:t>
            </w:r>
          </w:p>
        </w:tc>
      </w:tr>
      <w:tr w:rsidR="00B43D75" w:rsidRPr="00135CBD" w14:paraId="3FC236C7" w14:textId="77777777" w:rsidTr="009A3F2A">
        <w:trPr>
          <w:trHeight w:val="240"/>
        </w:trPr>
        <w:tc>
          <w:tcPr>
            <w:tcW w:w="3289" w:type="dxa"/>
            <w:tcBorders>
              <w:top w:val="single" w:sz="4" w:space="0" w:color="auto"/>
              <w:left w:val="nil"/>
              <w:bottom w:val="double" w:sz="6" w:space="0" w:color="auto"/>
              <w:right w:val="nil"/>
            </w:tcBorders>
            <w:shd w:val="clear" w:color="auto" w:fill="auto"/>
            <w:noWrap/>
            <w:vAlign w:val="center"/>
            <w:hideMark/>
          </w:tcPr>
          <w:p w14:paraId="0B087E01" w14:textId="77777777" w:rsidR="00B43D75" w:rsidRPr="00135CBD" w:rsidRDefault="00B43D75" w:rsidP="00E607DA">
            <w:pPr>
              <w:rPr>
                <w:rFonts w:ascii="Meta Pro" w:eastAsia="Times New Roman" w:hAnsi="Meta Pro"/>
                <w:b/>
                <w:bCs/>
                <w:szCs w:val="18"/>
                <w:lang w:eastAsia="en-AU"/>
              </w:rPr>
            </w:pPr>
            <w:r w:rsidRPr="00135CBD">
              <w:rPr>
                <w:rFonts w:ascii="Meta Pro" w:eastAsia="Times New Roman" w:hAnsi="Meta Pro"/>
                <w:b/>
                <w:bCs/>
                <w:szCs w:val="18"/>
                <w:lang w:eastAsia="en-AU"/>
              </w:rPr>
              <w:t>Carrying amount at 30 June</w:t>
            </w:r>
          </w:p>
        </w:tc>
        <w:tc>
          <w:tcPr>
            <w:tcW w:w="1005" w:type="dxa"/>
            <w:tcBorders>
              <w:top w:val="single" w:sz="4" w:space="0" w:color="auto"/>
              <w:left w:val="nil"/>
              <w:bottom w:val="double" w:sz="6" w:space="0" w:color="auto"/>
              <w:right w:val="nil"/>
            </w:tcBorders>
            <w:shd w:val="clear" w:color="000000" w:fill="C9E3B4"/>
            <w:noWrap/>
            <w:vAlign w:val="center"/>
            <w:hideMark/>
          </w:tcPr>
          <w:p w14:paraId="5FD6A7B4" w14:textId="77777777" w:rsidR="00B43D75" w:rsidRPr="00135CBD" w:rsidRDefault="00B43D75" w:rsidP="00E607DA">
            <w:pPr>
              <w:jc w:val="right"/>
              <w:rPr>
                <w:rFonts w:ascii="Meta Pro" w:eastAsia="Times New Roman" w:hAnsi="Meta Pro"/>
                <w:b/>
                <w:bCs/>
                <w:szCs w:val="18"/>
                <w:lang w:eastAsia="en-AU"/>
              </w:rPr>
            </w:pPr>
            <w:r w:rsidRPr="00135CBD">
              <w:rPr>
                <w:rFonts w:ascii="Meta Pro" w:eastAsia="Times New Roman" w:hAnsi="Meta Pro"/>
                <w:b/>
                <w:bCs/>
                <w:szCs w:val="18"/>
                <w:lang w:eastAsia="en-AU"/>
              </w:rPr>
              <w:t xml:space="preserve">14,486 </w:t>
            </w:r>
          </w:p>
        </w:tc>
        <w:tc>
          <w:tcPr>
            <w:tcW w:w="189" w:type="dxa"/>
            <w:tcBorders>
              <w:top w:val="nil"/>
              <w:left w:val="nil"/>
              <w:bottom w:val="nil"/>
              <w:right w:val="nil"/>
            </w:tcBorders>
            <w:shd w:val="clear" w:color="auto" w:fill="auto"/>
            <w:noWrap/>
            <w:vAlign w:val="center"/>
            <w:hideMark/>
          </w:tcPr>
          <w:p w14:paraId="48EC9F33" w14:textId="77777777" w:rsidR="00B43D75" w:rsidRPr="00135CBD" w:rsidRDefault="00B43D75" w:rsidP="00E607DA">
            <w:pPr>
              <w:jc w:val="right"/>
              <w:rPr>
                <w:rFonts w:ascii="Meta Pro" w:eastAsia="Times New Roman" w:hAnsi="Meta Pro"/>
                <w:b/>
                <w:bCs/>
                <w:szCs w:val="18"/>
                <w:lang w:eastAsia="en-AU"/>
              </w:rPr>
            </w:pPr>
          </w:p>
        </w:tc>
        <w:tc>
          <w:tcPr>
            <w:tcW w:w="1005" w:type="dxa"/>
            <w:tcBorders>
              <w:top w:val="single" w:sz="4" w:space="0" w:color="auto"/>
              <w:left w:val="nil"/>
              <w:bottom w:val="double" w:sz="6" w:space="0" w:color="auto"/>
              <w:right w:val="nil"/>
            </w:tcBorders>
            <w:shd w:val="clear" w:color="000000" w:fill="C9E3B4"/>
            <w:noWrap/>
            <w:vAlign w:val="center"/>
            <w:hideMark/>
          </w:tcPr>
          <w:p w14:paraId="38A43634" w14:textId="77777777" w:rsidR="00B43D75" w:rsidRPr="00135CBD" w:rsidRDefault="00B43D75" w:rsidP="00E607DA">
            <w:pPr>
              <w:jc w:val="right"/>
              <w:rPr>
                <w:rFonts w:ascii="Meta Pro" w:eastAsia="Times New Roman" w:hAnsi="Meta Pro"/>
                <w:b/>
                <w:bCs/>
                <w:szCs w:val="18"/>
                <w:lang w:eastAsia="en-AU"/>
              </w:rPr>
            </w:pPr>
            <w:r w:rsidRPr="00135CBD">
              <w:rPr>
                <w:rFonts w:ascii="Meta Pro" w:eastAsia="Times New Roman" w:hAnsi="Meta Pro"/>
                <w:b/>
                <w:bCs/>
                <w:szCs w:val="18"/>
                <w:lang w:eastAsia="en-AU"/>
              </w:rPr>
              <w:t xml:space="preserve">27,230 </w:t>
            </w:r>
          </w:p>
        </w:tc>
        <w:tc>
          <w:tcPr>
            <w:tcW w:w="189" w:type="dxa"/>
            <w:tcBorders>
              <w:top w:val="nil"/>
              <w:left w:val="nil"/>
              <w:bottom w:val="nil"/>
              <w:right w:val="nil"/>
            </w:tcBorders>
            <w:shd w:val="clear" w:color="auto" w:fill="auto"/>
            <w:noWrap/>
            <w:vAlign w:val="center"/>
            <w:hideMark/>
          </w:tcPr>
          <w:p w14:paraId="0EC03818" w14:textId="77777777" w:rsidR="00B43D75" w:rsidRPr="00135CBD" w:rsidRDefault="00B43D75" w:rsidP="00E607DA">
            <w:pPr>
              <w:jc w:val="right"/>
              <w:rPr>
                <w:rFonts w:ascii="Meta Pro" w:eastAsia="Times New Roman" w:hAnsi="Meta Pro"/>
                <w:b/>
                <w:bCs/>
                <w:szCs w:val="18"/>
                <w:lang w:eastAsia="en-AU"/>
              </w:rPr>
            </w:pPr>
          </w:p>
        </w:tc>
        <w:tc>
          <w:tcPr>
            <w:tcW w:w="1005" w:type="dxa"/>
            <w:tcBorders>
              <w:top w:val="single" w:sz="4" w:space="0" w:color="auto"/>
              <w:left w:val="nil"/>
              <w:bottom w:val="double" w:sz="6" w:space="0" w:color="auto"/>
              <w:right w:val="nil"/>
            </w:tcBorders>
            <w:shd w:val="clear" w:color="000000" w:fill="C9E3B4"/>
            <w:noWrap/>
            <w:vAlign w:val="center"/>
            <w:hideMark/>
          </w:tcPr>
          <w:p w14:paraId="7F34A3F7" w14:textId="77777777" w:rsidR="00B43D75" w:rsidRPr="00135CBD" w:rsidRDefault="00B43D75" w:rsidP="00E607DA">
            <w:pPr>
              <w:jc w:val="right"/>
              <w:rPr>
                <w:rFonts w:ascii="Meta Pro" w:eastAsia="Times New Roman" w:hAnsi="Meta Pro"/>
                <w:b/>
                <w:bCs/>
                <w:szCs w:val="18"/>
                <w:lang w:eastAsia="en-AU"/>
              </w:rPr>
            </w:pPr>
            <w:r w:rsidRPr="00135CBD">
              <w:rPr>
                <w:rFonts w:ascii="Meta Pro" w:eastAsia="Times New Roman" w:hAnsi="Meta Pro"/>
                <w:b/>
                <w:bCs/>
                <w:szCs w:val="18"/>
                <w:lang w:eastAsia="en-AU"/>
              </w:rPr>
              <w:t xml:space="preserve">44,114 </w:t>
            </w:r>
          </w:p>
        </w:tc>
        <w:tc>
          <w:tcPr>
            <w:tcW w:w="189" w:type="dxa"/>
            <w:tcBorders>
              <w:top w:val="nil"/>
              <w:left w:val="nil"/>
              <w:bottom w:val="nil"/>
              <w:right w:val="nil"/>
            </w:tcBorders>
            <w:shd w:val="clear" w:color="auto" w:fill="auto"/>
            <w:noWrap/>
            <w:vAlign w:val="center"/>
            <w:hideMark/>
          </w:tcPr>
          <w:p w14:paraId="2183443A" w14:textId="77777777" w:rsidR="00B43D75" w:rsidRPr="00135CBD" w:rsidRDefault="00B43D75" w:rsidP="00E607DA">
            <w:pPr>
              <w:jc w:val="right"/>
              <w:rPr>
                <w:rFonts w:ascii="Meta Pro" w:eastAsia="Times New Roman" w:hAnsi="Meta Pro"/>
                <w:b/>
                <w:bCs/>
                <w:szCs w:val="18"/>
                <w:lang w:eastAsia="en-AU"/>
              </w:rPr>
            </w:pPr>
          </w:p>
        </w:tc>
        <w:tc>
          <w:tcPr>
            <w:tcW w:w="1005" w:type="dxa"/>
            <w:tcBorders>
              <w:top w:val="single" w:sz="4" w:space="0" w:color="auto"/>
              <w:left w:val="nil"/>
              <w:bottom w:val="double" w:sz="6" w:space="0" w:color="auto"/>
              <w:right w:val="nil"/>
            </w:tcBorders>
            <w:shd w:val="clear" w:color="000000" w:fill="C9E3B4"/>
            <w:noWrap/>
            <w:vAlign w:val="center"/>
            <w:hideMark/>
          </w:tcPr>
          <w:p w14:paraId="43DD2489" w14:textId="77777777" w:rsidR="00B43D75" w:rsidRPr="00135CBD" w:rsidRDefault="00B43D75" w:rsidP="00E607DA">
            <w:pPr>
              <w:jc w:val="right"/>
              <w:rPr>
                <w:rFonts w:ascii="Meta Pro" w:eastAsia="Times New Roman" w:hAnsi="Meta Pro"/>
                <w:b/>
                <w:bCs/>
                <w:szCs w:val="18"/>
                <w:lang w:eastAsia="en-AU"/>
              </w:rPr>
            </w:pPr>
            <w:r w:rsidRPr="00135CBD">
              <w:rPr>
                <w:rFonts w:ascii="Meta Pro" w:eastAsia="Times New Roman" w:hAnsi="Meta Pro"/>
                <w:b/>
                <w:bCs/>
                <w:szCs w:val="18"/>
                <w:lang w:eastAsia="en-AU"/>
              </w:rPr>
              <w:t xml:space="preserve">4,346 </w:t>
            </w:r>
          </w:p>
        </w:tc>
        <w:tc>
          <w:tcPr>
            <w:tcW w:w="189" w:type="dxa"/>
            <w:tcBorders>
              <w:top w:val="nil"/>
              <w:left w:val="nil"/>
              <w:bottom w:val="nil"/>
              <w:right w:val="nil"/>
            </w:tcBorders>
            <w:shd w:val="clear" w:color="auto" w:fill="auto"/>
            <w:noWrap/>
            <w:vAlign w:val="center"/>
            <w:hideMark/>
          </w:tcPr>
          <w:p w14:paraId="15CF6FD8" w14:textId="77777777" w:rsidR="00B43D75" w:rsidRPr="00135CBD" w:rsidRDefault="00B43D75" w:rsidP="00E607DA">
            <w:pPr>
              <w:jc w:val="right"/>
              <w:rPr>
                <w:rFonts w:ascii="Meta Pro" w:eastAsia="Times New Roman" w:hAnsi="Meta Pro"/>
                <w:b/>
                <w:bCs/>
                <w:szCs w:val="18"/>
                <w:lang w:eastAsia="en-AU"/>
              </w:rPr>
            </w:pPr>
          </w:p>
        </w:tc>
        <w:tc>
          <w:tcPr>
            <w:tcW w:w="1005" w:type="dxa"/>
            <w:tcBorders>
              <w:top w:val="single" w:sz="4" w:space="0" w:color="auto"/>
              <w:left w:val="nil"/>
              <w:bottom w:val="double" w:sz="6" w:space="0" w:color="auto"/>
              <w:right w:val="nil"/>
            </w:tcBorders>
            <w:shd w:val="clear" w:color="000000" w:fill="C9E3B4"/>
            <w:noWrap/>
            <w:vAlign w:val="center"/>
            <w:hideMark/>
          </w:tcPr>
          <w:p w14:paraId="52025D4D" w14:textId="77777777" w:rsidR="00B43D75" w:rsidRPr="00135CBD" w:rsidRDefault="00B43D75" w:rsidP="00E607DA">
            <w:pPr>
              <w:jc w:val="right"/>
              <w:rPr>
                <w:rFonts w:ascii="Meta Pro" w:eastAsia="Times New Roman" w:hAnsi="Meta Pro"/>
                <w:b/>
                <w:bCs/>
                <w:szCs w:val="18"/>
                <w:lang w:eastAsia="en-AU"/>
              </w:rPr>
            </w:pPr>
            <w:r w:rsidRPr="00135CBD">
              <w:rPr>
                <w:rFonts w:ascii="Meta Pro" w:eastAsia="Times New Roman" w:hAnsi="Meta Pro"/>
                <w:b/>
                <w:bCs/>
                <w:szCs w:val="18"/>
                <w:lang w:eastAsia="en-AU"/>
              </w:rPr>
              <w:t xml:space="preserve">90,176 </w:t>
            </w:r>
          </w:p>
        </w:tc>
      </w:tr>
      <w:tr w:rsidR="00B43D75" w:rsidRPr="00135CBD" w14:paraId="44CE3C9C" w14:textId="77777777" w:rsidTr="009A3F2A">
        <w:trPr>
          <w:trHeight w:val="90"/>
        </w:trPr>
        <w:tc>
          <w:tcPr>
            <w:tcW w:w="3289" w:type="dxa"/>
            <w:tcBorders>
              <w:top w:val="nil"/>
              <w:left w:val="nil"/>
              <w:bottom w:val="nil"/>
              <w:right w:val="nil"/>
            </w:tcBorders>
            <w:shd w:val="clear" w:color="auto" w:fill="auto"/>
            <w:noWrap/>
            <w:vAlign w:val="center"/>
            <w:hideMark/>
          </w:tcPr>
          <w:p w14:paraId="18BC4809" w14:textId="77777777" w:rsidR="00B43D75" w:rsidRPr="00135CBD" w:rsidRDefault="00B43D75" w:rsidP="00E607DA">
            <w:pPr>
              <w:jc w:val="right"/>
              <w:rPr>
                <w:rFonts w:ascii="Meta Pro" w:eastAsia="Times New Roman" w:hAnsi="Meta Pro"/>
                <w:b/>
                <w:bCs/>
                <w:szCs w:val="18"/>
                <w:lang w:eastAsia="en-AU"/>
              </w:rPr>
            </w:pPr>
          </w:p>
        </w:tc>
        <w:tc>
          <w:tcPr>
            <w:tcW w:w="1005" w:type="dxa"/>
            <w:tcBorders>
              <w:top w:val="nil"/>
              <w:left w:val="nil"/>
              <w:bottom w:val="nil"/>
              <w:right w:val="nil"/>
            </w:tcBorders>
            <w:shd w:val="clear" w:color="auto" w:fill="auto"/>
            <w:noWrap/>
            <w:vAlign w:val="center"/>
            <w:hideMark/>
          </w:tcPr>
          <w:p w14:paraId="0A244FA6" w14:textId="77777777" w:rsidR="00B43D75" w:rsidRPr="00135CBD" w:rsidRDefault="00B43D75" w:rsidP="00E607DA">
            <w:pPr>
              <w:rPr>
                <w:rFonts w:eastAsia="Times New Roman" w:cs="Times New Roman"/>
                <w:sz w:val="20"/>
                <w:szCs w:val="20"/>
                <w:lang w:eastAsia="en-AU"/>
              </w:rPr>
            </w:pPr>
          </w:p>
        </w:tc>
        <w:tc>
          <w:tcPr>
            <w:tcW w:w="189" w:type="dxa"/>
            <w:tcBorders>
              <w:top w:val="nil"/>
              <w:left w:val="nil"/>
              <w:bottom w:val="nil"/>
              <w:right w:val="nil"/>
            </w:tcBorders>
            <w:shd w:val="clear" w:color="auto" w:fill="auto"/>
            <w:noWrap/>
            <w:vAlign w:val="center"/>
            <w:hideMark/>
          </w:tcPr>
          <w:p w14:paraId="2E1046A2" w14:textId="77777777" w:rsidR="00B43D75" w:rsidRPr="00135CBD" w:rsidRDefault="00B43D75" w:rsidP="00E607DA">
            <w:pPr>
              <w:jc w:val="right"/>
              <w:rPr>
                <w:rFonts w:eastAsia="Times New Roman" w:cs="Times New Roman"/>
                <w:sz w:val="20"/>
                <w:szCs w:val="20"/>
                <w:lang w:eastAsia="en-AU"/>
              </w:rPr>
            </w:pPr>
          </w:p>
        </w:tc>
        <w:tc>
          <w:tcPr>
            <w:tcW w:w="1005" w:type="dxa"/>
            <w:tcBorders>
              <w:top w:val="nil"/>
              <w:left w:val="nil"/>
              <w:bottom w:val="nil"/>
              <w:right w:val="nil"/>
            </w:tcBorders>
            <w:shd w:val="clear" w:color="auto" w:fill="auto"/>
            <w:noWrap/>
            <w:vAlign w:val="center"/>
            <w:hideMark/>
          </w:tcPr>
          <w:p w14:paraId="41727896" w14:textId="77777777" w:rsidR="00B43D75" w:rsidRPr="00135CBD" w:rsidRDefault="00B43D75" w:rsidP="00E607DA">
            <w:pPr>
              <w:rPr>
                <w:rFonts w:eastAsia="Times New Roman" w:cs="Times New Roman"/>
                <w:sz w:val="20"/>
                <w:szCs w:val="20"/>
                <w:lang w:eastAsia="en-AU"/>
              </w:rPr>
            </w:pPr>
          </w:p>
        </w:tc>
        <w:tc>
          <w:tcPr>
            <w:tcW w:w="189" w:type="dxa"/>
            <w:tcBorders>
              <w:top w:val="nil"/>
              <w:left w:val="nil"/>
              <w:bottom w:val="nil"/>
              <w:right w:val="nil"/>
            </w:tcBorders>
            <w:shd w:val="clear" w:color="auto" w:fill="auto"/>
            <w:noWrap/>
            <w:vAlign w:val="center"/>
            <w:hideMark/>
          </w:tcPr>
          <w:p w14:paraId="5F88F41F" w14:textId="77777777" w:rsidR="00B43D75" w:rsidRPr="00135CBD" w:rsidRDefault="00B43D75" w:rsidP="00E607DA">
            <w:pPr>
              <w:jc w:val="right"/>
              <w:rPr>
                <w:rFonts w:eastAsia="Times New Roman" w:cs="Times New Roman"/>
                <w:sz w:val="20"/>
                <w:szCs w:val="20"/>
                <w:lang w:eastAsia="en-AU"/>
              </w:rPr>
            </w:pPr>
          </w:p>
        </w:tc>
        <w:tc>
          <w:tcPr>
            <w:tcW w:w="1005" w:type="dxa"/>
            <w:tcBorders>
              <w:top w:val="nil"/>
              <w:left w:val="nil"/>
              <w:bottom w:val="nil"/>
              <w:right w:val="nil"/>
            </w:tcBorders>
            <w:shd w:val="clear" w:color="auto" w:fill="auto"/>
            <w:noWrap/>
            <w:vAlign w:val="center"/>
            <w:hideMark/>
          </w:tcPr>
          <w:p w14:paraId="240A3D1A" w14:textId="77777777" w:rsidR="00B43D75" w:rsidRPr="00135CBD" w:rsidRDefault="00B43D75" w:rsidP="00E607DA">
            <w:pPr>
              <w:rPr>
                <w:rFonts w:eastAsia="Times New Roman" w:cs="Times New Roman"/>
                <w:sz w:val="20"/>
                <w:szCs w:val="20"/>
                <w:lang w:eastAsia="en-AU"/>
              </w:rPr>
            </w:pPr>
          </w:p>
        </w:tc>
        <w:tc>
          <w:tcPr>
            <w:tcW w:w="189" w:type="dxa"/>
            <w:tcBorders>
              <w:top w:val="nil"/>
              <w:left w:val="nil"/>
              <w:bottom w:val="nil"/>
              <w:right w:val="nil"/>
            </w:tcBorders>
            <w:shd w:val="clear" w:color="auto" w:fill="auto"/>
            <w:noWrap/>
            <w:vAlign w:val="center"/>
            <w:hideMark/>
          </w:tcPr>
          <w:p w14:paraId="37D6E13E" w14:textId="77777777" w:rsidR="00B43D75" w:rsidRPr="00135CBD" w:rsidRDefault="00B43D75" w:rsidP="00E607DA">
            <w:pPr>
              <w:jc w:val="right"/>
              <w:rPr>
                <w:rFonts w:eastAsia="Times New Roman" w:cs="Times New Roman"/>
                <w:sz w:val="20"/>
                <w:szCs w:val="20"/>
                <w:lang w:eastAsia="en-AU"/>
              </w:rPr>
            </w:pPr>
          </w:p>
        </w:tc>
        <w:tc>
          <w:tcPr>
            <w:tcW w:w="1005" w:type="dxa"/>
            <w:tcBorders>
              <w:top w:val="nil"/>
              <w:left w:val="nil"/>
              <w:bottom w:val="nil"/>
              <w:right w:val="nil"/>
            </w:tcBorders>
            <w:shd w:val="clear" w:color="auto" w:fill="auto"/>
            <w:noWrap/>
            <w:vAlign w:val="center"/>
            <w:hideMark/>
          </w:tcPr>
          <w:p w14:paraId="498BD659" w14:textId="77777777" w:rsidR="00B43D75" w:rsidRPr="00135CBD" w:rsidRDefault="00B43D75" w:rsidP="00E607DA">
            <w:pPr>
              <w:rPr>
                <w:rFonts w:eastAsia="Times New Roman" w:cs="Times New Roman"/>
                <w:sz w:val="20"/>
                <w:szCs w:val="20"/>
                <w:lang w:eastAsia="en-AU"/>
              </w:rPr>
            </w:pPr>
          </w:p>
        </w:tc>
        <w:tc>
          <w:tcPr>
            <w:tcW w:w="189" w:type="dxa"/>
            <w:tcBorders>
              <w:top w:val="nil"/>
              <w:left w:val="nil"/>
              <w:bottom w:val="nil"/>
              <w:right w:val="nil"/>
            </w:tcBorders>
            <w:shd w:val="clear" w:color="auto" w:fill="auto"/>
            <w:noWrap/>
            <w:vAlign w:val="center"/>
            <w:hideMark/>
          </w:tcPr>
          <w:p w14:paraId="14AAF179" w14:textId="77777777" w:rsidR="00B43D75" w:rsidRPr="00135CBD" w:rsidRDefault="00B43D75" w:rsidP="00E607DA">
            <w:pPr>
              <w:jc w:val="right"/>
              <w:rPr>
                <w:rFonts w:eastAsia="Times New Roman" w:cs="Times New Roman"/>
                <w:sz w:val="20"/>
                <w:szCs w:val="20"/>
                <w:lang w:eastAsia="en-AU"/>
              </w:rPr>
            </w:pPr>
          </w:p>
        </w:tc>
        <w:tc>
          <w:tcPr>
            <w:tcW w:w="1005" w:type="dxa"/>
            <w:tcBorders>
              <w:top w:val="nil"/>
              <w:left w:val="nil"/>
              <w:bottom w:val="nil"/>
              <w:right w:val="nil"/>
            </w:tcBorders>
            <w:shd w:val="clear" w:color="auto" w:fill="auto"/>
            <w:noWrap/>
            <w:vAlign w:val="center"/>
            <w:hideMark/>
          </w:tcPr>
          <w:p w14:paraId="7CFE59F6" w14:textId="77777777" w:rsidR="00B43D75" w:rsidRPr="00135CBD" w:rsidRDefault="00B43D75" w:rsidP="00E607DA">
            <w:pPr>
              <w:rPr>
                <w:rFonts w:eastAsia="Times New Roman" w:cs="Times New Roman"/>
                <w:sz w:val="20"/>
                <w:szCs w:val="20"/>
                <w:lang w:eastAsia="en-AU"/>
              </w:rPr>
            </w:pPr>
          </w:p>
        </w:tc>
      </w:tr>
      <w:tr w:rsidR="00B43D75" w:rsidRPr="00135CBD" w14:paraId="6ABAC247" w14:textId="77777777" w:rsidTr="009A3F2A">
        <w:trPr>
          <w:trHeight w:val="240"/>
        </w:trPr>
        <w:tc>
          <w:tcPr>
            <w:tcW w:w="3289" w:type="dxa"/>
            <w:tcBorders>
              <w:top w:val="nil"/>
              <w:left w:val="nil"/>
              <w:bottom w:val="nil"/>
              <w:right w:val="nil"/>
            </w:tcBorders>
            <w:shd w:val="clear" w:color="auto" w:fill="auto"/>
            <w:noWrap/>
            <w:vAlign w:val="center"/>
            <w:hideMark/>
          </w:tcPr>
          <w:p w14:paraId="36F80B75" w14:textId="77777777" w:rsidR="00B43D75" w:rsidRPr="00135CBD" w:rsidRDefault="00B43D75" w:rsidP="00E607DA">
            <w:pPr>
              <w:rPr>
                <w:rFonts w:ascii="Meta Pro" w:eastAsia="Times New Roman" w:hAnsi="Meta Pro"/>
                <w:b/>
                <w:bCs/>
                <w:szCs w:val="18"/>
                <w:lang w:eastAsia="en-AU"/>
              </w:rPr>
            </w:pPr>
            <w:r w:rsidRPr="00135CBD">
              <w:rPr>
                <w:rFonts w:ascii="Meta Pro" w:eastAsia="Times New Roman" w:hAnsi="Meta Pro"/>
                <w:b/>
                <w:bCs/>
                <w:szCs w:val="18"/>
                <w:lang w:eastAsia="en-AU"/>
              </w:rPr>
              <w:t>Reconciliation</w:t>
            </w:r>
          </w:p>
        </w:tc>
        <w:tc>
          <w:tcPr>
            <w:tcW w:w="1005" w:type="dxa"/>
            <w:tcBorders>
              <w:top w:val="nil"/>
              <w:left w:val="nil"/>
              <w:bottom w:val="nil"/>
              <w:right w:val="nil"/>
            </w:tcBorders>
            <w:shd w:val="clear" w:color="auto" w:fill="auto"/>
            <w:noWrap/>
            <w:vAlign w:val="center"/>
            <w:hideMark/>
          </w:tcPr>
          <w:p w14:paraId="64DC58B9" w14:textId="77777777" w:rsidR="00B43D75" w:rsidRPr="00135CBD" w:rsidRDefault="00B43D75" w:rsidP="00E607DA">
            <w:pPr>
              <w:rPr>
                <w:rFonts w:ascii="Meta Pro" w:eastAsia="Times New Roman" w:hAnsi="Meta Pro"/>
                <w:b/>
                <w:bCs/>
                <w:szCs w:val="18"/>
                <w:lang w:eastAsia="en-AU"/>
              </w:rPr>
            </w:pPr>
          </w:p>
        </w:tc>
        <w:tc>
          <w:tcPr>
            <w:tcW w:w="189" w:type="dxa"/>
            <w:tcBorders>
              <w:top w:val="nil"/>
              <w:left w:val="nil"/>
              <w:bottom w:val="nil"/>
              <w:right w:val="nil"/>
            </w:tcBorders>
            <w:shd w:val="clear" w:color="auto" w:fill="auto"/>
            <w:noWrap/>
            <w:vAlign w:val="center"/>
            <w:hideMark/>
          </w:tcPr>
          <w:p w14:paraId="7444AD83" w14:textId="77777777" w:rsidR="00B43D75" w:rsidRPr="00135CBD" w:rsidRDefault="00B43D75" w:rsidP="00E607DA">
            <w:pPr>
              <w:jc w:val="right"/>
              <w:rPr>
                <w:rFonts w:eastAsia="Times New Roman" w:cs="Times New Roman"/>
                <w:sz w:val="20"/>
                <w:szCs w:val="20"/>
                <w:lang w:eastAsia="en-AU"/>
              </w:rPr>
            </w:pPr>
          </w:p>
        </w:tc>
        <w:tc>
          <w:tcPr>
            <w:tcW w:w="1005" w:type="dxa"/>
            <w:tcBorders>
              <w:top w:val="nil"/>
              <w:left w:val="nil"/>
              <w:bottom w:val="nil"/>
              <w:right w:val="nil"/>
            </w:tcBorders>
            <w:shd w:val="clear" w:color="auto" w:fill="auto"/>
            <w:noWrap/>
            <w:vAlign w:val="center"/>
            <w:hideMark/>
          </w:tcPr>
          <w:p w14:paraId="09C1618C" w14:textId="77777777" w:rsidR="00B43D75" w:rsidRPr="00135CBD" w:rsidRDefault="00B43D75" w:rsidP="00E607DA">
            <w:pPr>
              <w:rPr>
                <w:rFonts w:eastAsia="Times New Roman" w:cs="Times New Roman"/>
                <w:sz w:val="20"/>
                <w:szCs w:val="20"/>
                <w:lang w:eastAsia="en-AU"/>
              </w:rPr>
            </w:pPr>
          </w:p>
        </w:tc>
        <w:tc>
          <w:tcPr>
            <w:tcW w:w="189" w:type="dxa"/>
            <w:tcBorders>
              <w:top w:val="nil"/>
              <w:left w:val="nil"/>
              <w:bottom w:val="nil"/>
              <w:right w:val="nil"/>
            </w:tcBorders>
            <w:shd w:val="clear" w:color="auto" w:fill="auto"/>
            <w:noWrap/>
            <w:vAlign w:val="center"/>
            <w:hideMark/>
          </w:tcPr>
          <w:p w14:paraId="5AC7DB26" w14:textId="77777777" w:rsidR="00B43D75" w:rsidRPr="00135CBD" w:rsidRDefault="00B43D75" w:rsidP="00E607DA">
            <w:pPr>
              <w:jc w:val="right"/>
              <w:rPr>
                <w:rFonts w:eastAsia="Times New Roman" w:cs="Times New Roman"/>
                <w:sz w:val="20"/>
                <w:szCs w:val="20"/>
                <w:lang w:eastAsia="en-AU"/>
              </w:rPr>
            </w:pPr>
          </w:p>
        </w:tc>
        <w:tc>
          <w:tcPr>
            <w:tcW w:w="1005" w:type="dxa"/>
            <w:tcBorders>
              <w:top w:val="nil"/>
              <w:left w:val="nil"/>
              <w:bottom w:val="nil"/>
              <w:right w:val="nil"/>
            </w:tcBorders>
            <w:shd w:val="clear" w:color="auto" w:fill="auto"/>
            <w:noWrap/>
            <w:vAlign w:val="center"/>
            <w:hideMark/>
          </w:tcPr>
          <w:p w14:paraId="402F2FD9" w14:textId="77777777" w:rsidR="00B43D75" w:rsidRPr="00135CBD" w:rsidRDefault="00B43D75" w:rsidP="00E607DA">
            <w:pPr>
              <w:rPr>
                <w:rFonts w:eastAsia="Times New Roman" w:cs="Times New Roman"/>
                <w:sz w:val="20"/>
                <w:szCs w:val="20"/>
                <w:lang w:eastAsia="en-AU"/>
              </w:rPr>
            </w:pPr>
          </w:p>
        </w:tc>
        <w:tc>
          <w:tcPr>
            <w:tcW w:w="189" w:type="dxa"/>
            <w:tcBorders>
              <w:top w:val="nil"/>
              <w:left w:val="nil"/>
              <w:bottom w:val="nil"/>
              <w:right w:val="nil"/>
            </w:tcBorders>
            <w:shd w:val="clear" w:color="auto" w:fill="auto"/>
            <w:noWrap/>
            <w:vAlign w:val="center"/>
            <w:hideMark/>
          </w:tcPr>
          <w:p w14:paraId="6D4B7903" w14:textId="77777777" w:rsidR="00B43D75" w:rsidRPr="00135CBD" w:rsidRDefault="00B43D75" w:rsidP="00E607DA">
            <w:pPr>
              <w:jc w:val="right"/>
              <w:rPr>
                <w:rFonts w:eastAsia="Times New Roman" w:cs="Times New Roman"/>
                <w:sz w:val="20"/>
                <w:szCs w:val="20"/>
                <w:lang w:eastAsia="en-AU"/>
              </w:rPr>
            </w:pPr>
          </w:p>
        </w:tc>
        <w:tc>
          <w:tcPr>
            <w:tcW w:w="1005" w:type="dxa"/>
            <w:tcBorders>
              <w:top w:val="nil"/>
              <w:left w:val="nil"/>
              <w:bottom w:val="nil"/>
              <w:right w:val="nil"/>
            </w:tcBorders>
            <w:shd w:val="clear" w:color="auto" w:fill="auto"/>
            <w:noWrap/>
            <w:vAlign w:val="center"/>
            <w:hideMark/>
          </w:tcPr>
          <w:p w14:paraId="036E587C" w14:textId="77777777" w:rsidR="00B43D75" w:rsidRPr="00135CBD" w:rsidRDefault="00B43D75" w:rsidP="00E607DA">
            <w:pPr>
              <w:rPr>
                <w:rFonts w:eastAsia="Times New Roman" w:cs="Times New Roman"/>
                <w:sz w:val="20"/>
                <w:szCs w:val="20"/>
                <w:lang w:eastAsia="en-AU"/>
              </w:rPr>
            </w:pPr>
          </w:p>
        </w:tc>
        <w:tc>
          <w:tcPr>
            <w:tcW w:w="189" w:type="dxa"/>
            <w:tcBorders>
              <w:top w:val="nil"/>
              <w:left w:val="nil"/>
              <w:bottom w:val="nil"/>
              <w:right w:val="nil"/>
            </w:tcBorders>
            <w:shd w:val="clear" w:color="auto" w:fill="auto"/>
            <w:noWrap/>
            <w:vAlign w:val="center"/>
            <w:hideMark/>
          </w:tcPr>
          <w:p w14:paraId="3B455235" w14:textId="77777777" w:rsidR="00B43D75" w:rsidRPr="00135CBD" w:rsidRDefault="00B43D75" w:rsidP="00E607DA">
            <w:pPr>
              <w:jc w:val="right"/>
              <w:rPr>
                <w:rFonts w:eastAsia="Times New Roman" w:cs="Times New Roman"/>
                <w:sz w:val="20"/>
                <w:szCs w:val="20"/>
                <w:lang w:eastAsia="en-AU"/>
              </w:rPr>
            </w:pPr>
          </w:p>
        </w:tc>
        <w:tc>
          <w:tcPr>
            <w:tcW w:w="1005" w:type="dxa"/>
            <w:tcBorders>
              <w:top w:val="nil"/>
              <w:left w:val="nil"/>
              <w:bottom w:val="nil"/>
              <w:right w:val="nil"/>
            </w:tcBorders>
            <w:shd w:val="clear" w:color="auto" w:fill="auto"/>
            <w:noWrap/>
            <w:vAlign w:val="center"/>
            <w:hideMark/>
          </w:tcPr>
          <w:p w14:paraId="6D6F87D4" w14:textId="77777777" w:rsidR="00B43D75" w:rsidRPr="00135CBD" w:rsidRDefault="00B43D75" w:rsidP="00E607DA">
            <w:pPr>
              <w:rPr>
                <w:rFonts w:eastAsia="Times New Roman" w:cs="Times New Roman"/>
                <w:sz w:val="20"/>
                <w:szCs w:val="20"/>
                <w:lang w:eastAsia="en-AU"/>
              </w:rPr>
            </w:pPr>
          </w:p>
        </w:tc>
      </w:tr>
      <w:tr w:rsidR="00B43D75" w:rsidRPr="00135CBD" w14:paraId="01ED2FE9" w14:textId="77777777" w:rsidTr="009A3F2A">
        <w:trPr>
          <w:trHeight w:val="90"/>
        </w:trPr>
        <w:tc>
          <w:tcPr>
            <w:tcW w:w="3289" w:type="dxa"/>
            <w:tcBorders>
              <w:top w:val="nil"/>
              <w:left w:val="nil"/>
              <w:bottom w:val="nil"/>
              <w:right w:val="nil"/>
            </w:tcBorders>
            <w:shd w:val="clear" w:color="auto" w:fill="auto"/>
            <w:noWrap/>
            <w:vAlign w:val="center"/>
            <w:hideMark/>
          </w:tcPr>
          <w:p w14:paraId="19BC1E26" w14:textId="77777777" w:rsidR="00B43D75" w:rsidRPr="00135CBD" w:rsidRDefault="00B43D75" w:rsidP="00E607DA">
            <w:pPr>
              <w:jc w:val="right"/>
              <w:rPr>
                <w:rFonts w:eastAsia="Times New Roman" w:cs="Times New Roman"/>
                <w:sz w:val="20"/>
                <w:szCs w:val="20"/>
                <w:lang w:eastAsia="en-AU"/>
              </w:rPr>
            </w:pPr>
          </w:p>
        </w:tc>
        <w:tc>
          <w:tcPr>
            <w:tcW w:w="1005" w:type="dxa"/>
            <w:tcBorders>
              <w:top w:val="nil"/>
              <w:left w:val="nil"/>
              <w:bottom w:val="nil"/>
              <w:right w:val="nil"/>
            </w:tcBorders>
            <w:shd w:val="clear" w:color="auto" w:fill="auto"/>
            <w:noWrap/>
            <w:vAlign w:val="center"/>
            <w:hideMark/>
          </w:tcPr>
          <w:p w14:paraId="60DD510C" w14:textId="77777777" w:rsidR="00B43D75" w:rsidRPr="00135CBD" w:rsidRDefault="00B43D75" w:rsidP="00E607DA">
            <w:pPr>
              <w:rPr>
                <w:rFonts w:eastAsia="Times New Roman" w:cs="Times New Roman"/>
                <w:sz w:val="20"/>
                <w:szCs w:val="20"/>
                <w:lang w:eastAsia="en-AU"/>
              </w:rPr>
            </w:pPr>
          </w:p>
        </w:tc>
        <w:tc>
          <w:tcPr>
            <w:tcW w:w="189" w:type="dxa"/>
            <w:tcBorders>
              <w:top w:val="nil"/>
              <w:left w:val="nil"/>
              <w:bottom w:val="nil"/>
              <w:right w:val="nil"/>
            </w:tcBorders>
            <w:shd w:val="clear" w:color="auto" w:fill="auto"/>
            <w:noWrap/>
            <w:vAlign w:val="center"/>
            <w:hideMark/>
          </w:tcPr>
          <w:p w14:paraId="257B30DF" w14:textId="77777777" w:rsidR="00B43D75" w:rsidRPr="00135CBD" w:rsidRDefault="00B43D75" w:rsidP="00E607DA">
            <w:pPr>
              <w:jc w:val="right"/>
              <w:rPr>
                <w:rFonts w:eastAsia="Times New Roman" w:cs="Times New Roman"/>
                <w:sz w:val="20"/>
                <w:szCs w:val="20"/>
                <w:lang w:eastAsia="en-AU"/>
              </w:rPr>
            </w:pPr>
          </w:p>
        </w:tc>
        <w:tc>
          <w:tcPr>
            <w:tcW w:w="1005" w:type="dxa"/>
            <w:tcBorders>
              <w:top w:val="nil"/>
              <w:left w:val="nil"/>
              <w:bottom w:val="nil"/>
              <w:right w:val="nil"/>
            </w:tcBorders>
            <w:shd w:val="clear" w:color="auto" w:fill="auto"/>
            <w:noWrap/>
            <w:vAlign w:val="center"/>
            <w:hideMark/>
          </w:tcPr>
          <w:p w14:paraId="020EA9FE" w14:textId="77777777" w:rsidR="00B43D75" w:rsidRPr="00135CBD" w:rsidRDefault="00B43D75" w:rsidP="00E607DA">
            <w:pPr>
              <w:rPr>
                <w:rFonts w:eastAsia="Times New Roman" w:cs="Times New Roman"/>
                <w:sz w:val="20"/>
                <w:szCs w:val="20"/>
                <w:lang w:eastAsia="en-AU"/>
              </w:rPr>
            </w:pPr>
          </w:p>
        </w:tc>
        <w:tc>
          <w:tcPr>
            <w:tcW w:w="189" w:type="dxa"/>
            <w:tcBorders>
              <w:top w:val="nil"/>
              <w:left w:val="nil"/>
              <w:bottom w:val="nil"/>
              <w:right w:val="nil"/>
            </w:tcBorders>
            <w:shd w:val="clear" w:color="auto" w:fill="auto"/>
            <w:noWrap/>
            <w:vAlign w:val="center"/>
            <w:hideMark/>
          </w:tcPr>
          <w:p w14:paraId="079C13A0" w14:textId="77777777" w:rsidR="00B43D75" w:rsidRPr="00135CBD" w:rsidRDefault="00B43D75" w:rsidP="00E607DA">
            <w:pPr>
              <w:jc w:val="right"/>
              <w:rPr>
                <w:rFonts w:eastAsia="Times New Roman" w:cs="Times New Roman"/>
                <w:sz w:val="20"/>
                <w:szCs w:val="20"/>
                <w:lang w:eastAsia="en-AU"/>
              </w:rPr>
            </w:pPr>
          </w:p>
        </w:tc>
        <w:tc>
          <w:tcPr>
            <w:tcW w:w="1005" w:type="dxa"/>
            <w:tcBorders>
              <w:top w:val="nil"/>
              <w:left w:val="nil"/>
              <w:bottom w:val="nil"/>
              <w:right w:val="nil"/>
            </w:tcBorders>
            <w:shd w:val="clear" w:color="auto" w:fill="auto"/>
            <w:noWrap/>
            <w:vAlign w:val="center"/>
            <w:hideMark/>
          </w:tcPr>
          <w:p w14:paraId="09A983E6" w14:textId="77777777" w:rsidR="00B43D75" w:rsidRPr="00135CBD" w:rsidRDefault="00B43D75" w:rsidP="00E607DA">
            <w:pPr>
              <w:rPr>
                <w:rFonts w:eastAsia="Times New Roman" w:cs="Times New Roman"/>
                <w:sz w:val="20"/>
                <w:szCs w:val="20"/>
                <w:lang w:eastAsia="en-AU"/>
              </w:rPr>
            </w:pPr>
          </w:p>
        </w:tc>
        <w:tc>
          <w:tcPr>
            <w:tcW w:w="189" w:type="dxa"/>
            <w:tcBorders>
              <w:top w:val="nil"/>
              <w:left w:val="nil"/>
              <w:bottom w:val="nil"/>
              <w:right w:val="nil"/>
            </w:tcBorders>
            <w:shd w:val="clear" w:color="auto" w:fill="auto"/>
            <w:noWrap/>
            <w:vAlign w:val="center"/>
            <w:hideMark/>
          </w:tcPr>
          <w:p w14:paraId="4735BD73" w14:textId="77777777" w:rsidR="00B43D75" w:rsidRPr="00135CBD" w:rsidRDefault="00B43D75" w:rsidP="00E607DA">
            <w:pPr>
              <w:jc w:val="right"/>
              <w:rPr>
                <w:rFonts w:eastAsia="Times New Roman" w:cs="Times New Roman"/>
                <w:sz w:val="20"/>
                <w:szCs w:val="20"/>
                <w:lang w:eastAsia="en-AU"/>
              </w:rPr>
            </w:pPr>
          </w:p>
        </w:tc>
        <w:tc>
          <w:tcPr>
            <w:tcW w:w="1005" w:type="dxa"/>
            <w:tcBorders>
              <w:top w:val="nil"/>
              <w:left w:val="nil"/>
              <w:bottom w:val="nil"/>
              <w:right w:val="nil"/>
            </w:tcBorders>
            <w:shd w:val="clear" w:color="auto" w:fill="auto"/>
            <w:noWrap/>
            <w:vAlign w:val="center"/>
            <w:hideMark/>
          </w:tcPr>
          <w:p w14:paraId="73B1CA7B" w14:textId="77777777" w:rsidR="00B43D75" w:rsidRPr="00135CBD" w:rsidRDefault="00B43D75" w:rsidP="00E607DA">
            <w:pPr>
              <w:rPr>
                <w:rFonts w:eastAsia="Times New Roman" w:cs="Times New Roman"/>
                <w:sz w:val="20"/>
                <w:szCs w:val="20"/>
                <w:lang w:eastAsia="en-AU"/>
              </w:rPr>
            </w:pPr>
          </w:p>
        </w:tc>
        <w:tc>
          <w:tcPr>
            <w:tcW w:w="189" w:type="dxa"/>
            <w:tcBorders>
              <w:top w:val="nil"/>
              <w:left w:val="nil"/>
              <w:bottom w:val="nil"/>
              <w:right w:val="nil"/>
            </w:tcBorders>
            <w:shd w:val="clear" w:color="auto" w:fill="auto"/>
            <w:noWrap/>
            <w:vAlign w:val="center"/>
            <w:hideMark/>
          </w:tcPr>
          <w:p w14:paraId="06B1C49A" w14:textId="77777777" w:rsidR="00B43D75" w:rsidRPr="00135CBD" w:rsidRDefault="00B43D75" w:rsidP="00E607DA">
            <w:pPr>
              <w:jc w:val="right"/>
              <w:rPr>
                <w:rFonts w:eastAsia="Times New Roman" w:cs="Times New Roman"/>
                <w:sz w:val="20"/>
                <w:szCs w:val="20"/>
                <w:lang w:eastAsia="en-AU"/>
              </w:rPr>
            </w:pPr>
          </w:p>
        </w:tc>
        <w:tc>
          <w:tcPr>
            <w:tcW w:w="1005" w:type="dxa"/>
            <w:tcBorders>
              <w:top w:val="nil"/>
              <w:left w:val="nil"/>
              <w:bottom w:val="nil"/>
              <w:right w:val="nil"/>
            </w:tcBorders>
            <w:shd w:val="clear" w:color="auto" w:fill="auto"/>
            <w:noWrap/>
            <w:vAlign w:val="center"/>
            <w:hideMark/>
          </w:tcPr>
          <w:p w14:paraId="6CCFFB6B" w14:textId="77777777" w:rsidR="00B43D75" w:rsidRPr="00135CBD" w:rsidRDefault="00B43D75" w:rsidP="00E607DA">
            <w:pPr>
              <w:rPr>
                <w:rFonts w:eastAsia="Times New Roman" w:cs="Times New Roman"/>
                <w:sz w:val="20"/>
                <w:szCs w:val="20"/>
                <w:lang w:eastAsia="en-AU"/>
              </w:rPr>
            </w:pPr>
          </w:p>
        </w:tc>
      </w:tr>
      <w:tr w:rsidR="00B43D75" w:rsidRPr="00135CBD" w14:paraId="42635473" w14:textId="77777777" w:rsidTr="009A3F2A">
        <w:trPr>
          <w:trHeight w:val="240"/>
        </w:trPr>
        <w:tc>
          <w:tcPr>
            <w:tcW w:w="3289" w:type="dxa"/>
            <w:tcBorders>
              <w:top w:val="nil"/>
              <w:left w:val="nil"/>
              <w:bottom w:val="nil"/>
              <w:right w:val="nil"/>
            </w:tcBorders>
            <w:shd w:val="clear" w:color="auto" w:fill="auto"/>
            <w:noWrap/>
            <w:vAlign w:val="center"/>
            <w:hideMark/>
          </w:tcPr>
          <w:p w14:paraId="0353B0D3" w14:textId="77777777" w:rsidR="00B43D75" w:rsidRPr="00135CBD" w:rsidRDefault="00B43D75" w:rsidP="00E607DA">
            <w:pPr>
              <w:rPr>
                <w:rFonts w:ascii="Meta Pro" w:eastAsia="Times New Roman" w:hAnsi="Meta Pro"/>
                <w:szCs w:val="18"/>
                <w:lang w:eastAsia="en-AU"/>
              </w:rPr>
            </w:pPr>
            <w:r w:rsidRPr="00135CBD">
              <w:rPr>
                <w:rFonts w:ascii="Meta Pro" w:eastAsia="Times New Roman" w:hAnsi="Meta Pro"/>
                <w:szCs w:val="18"/>
                <w:lang w:eastAsia="en-AU"/>
              </w:rPr>
              <w:lastRenderedPageBreak/>
              <w:t>Carrying amount at 1 July</w:t>
            </w:r>
          </w:p>
        </w:tc>
        <w:tc>
          <w:tcPr>
            <w:tcW w:w="1005" w:type="dxa"/>
            <w:tcBorders>
              <w:top w:val="nil"/>
              <w:left w:val="nil"/>
              <w:bottom w:val="nil"/>
              <w:right w:val="nil"/>
            </w:tcBorders>
            <w:shd w:val="clear" w:color="000000" w:fill="C9E3B4"/>
            <w:noWrap/>
            <w:vAlign w:val="center"/>
            <w:hideMark/>
          </w:tcPr>
          <w:p w14:paraId="3CB34474" w14:textId="77777777" w:rsidR="00B43D75" w:rsidRPr="00135CBD" w:rsidRDefault="00B43D75" w:rsidP="00E607DA">
            <w:pPr>
              <w:jc w:val="right"/>
              <w:rPr>
                <w:rFonts w:ascii="Meta Pro" w:eastAsia="Times New Roman" w:hAnsi="Meta Pro"/>
                <w:szCs w:val="18"/>
                <w:lang w:eastAsia="en-AU"/>
              </w:rPr>
            </w:pPr>
            <w:r w:rsidRPr="00135CBD">
              <w:rPr>
                <w:rFonts w:ascii="Meta Pro" w:eastAsia="Times New Roman" w:hAnsi="Meta Pro"/>
                <w:szCs w:val="18"/>
                <w:lang w:eastAsia="en-AU"/>
              </w:rPr>
              <w:t xml:space="preserve">9,847 </w:t>
            </w:r>
          </w:p>
        </w:tc>
        <w:tc>
          <w:tcPr>
            <w:tcW w:w="189" w:type="dxa"/>
            <w:tcBorders>
              <w:top w:val="nil"/>
              <w:left w:val="nil"/>
              <w:bottom w:val="nil"/>
              <w:right w:val="nil"/>
            </w:tcBorders>
            <w:shd w:val="clear" w:color="auto" w:fill="auto"/>
            <w:noWrap/>
            <w:vAlign w:val="center"/>
            <w:hideMark/>
          </w:tcPr>
          <w:p w14:paraId="4455F0A6" w14:textId="77777777" w:rsidR="00B43D75" w:rsidRPr="00135CBD" w:rsidRDefault="00B43D75" w:rsidP="00E607DA">
            <w:pPr>
              <w:jc w:val="right"/>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2FFDF2B0" w14:textId="77777777" w:rsidR="00B43D75" w:rsidRPr="00135CBD" w:rsidRDefault="00B43D75" w:rsidP="00E607DA">
            <w:pPr>
              <w:jc w:val="right"/>
              <w:rPr>
                <w:rFonts w:ascii="Meta Pro" w:eastAsia="Times New Roman" w:hAnsi="Meta Pro"/>
                <w:szCs w:val="18"/>
                <w:lang w:eastAsia="en-AU"/>
              </w:rPr>
            </w:pPr>
            <w:r w:rsidRPr="00135CBD">
              <w:rPr>
                <w:rFonts w:ascii="Meta Pro" w:eastAsia="Times New Roman" w:hAnsi="Meta Pro"/>
                <w:szCs w:val="18"/>
                <w:lang w:eastAsia="en-AU"/>
              </w:rPr>
              <w:t xml:space="preserve">35,426 </w:t>
            </w:r>
          </w:p>
        </w:tc>
        <w:tc>
          <w:tcPr>
            <w:tcW w:w="189" w:type="dxa"/>
            <w:tcBorders>
              <w:top w:val="nil"/>
              <w:left w:val="nil"/>
              <w:bottom w:val="nil"/>
              <w:right w:val="nil"/>
            </w:tcBorders>
            <w:shd w:val="clear" w:color="auto" w:fill="auto"/>
            <w:noWrap/>
            <w:vAlign w:val="center"/>
            <w:hideMark/>
          </w:tcPr>
          <w:p w14:paraId="3C54105F" w14:textId="77777777" w:rsidR="00B43D75" w:rsidRPr="00135CBD" w:rsidRDefault="00B43D75" w:rsidP="00E607DA">
            <w:pPr>
              <w:jc w:val="right"/>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0004DC77" w14:textId="77777777" w:rsidR="00B43D75" w:rsidRPr="00135CBD" w:rsidRDefault="00B43D75" w:rsidP="00E607DA">
            <w:pPr>
              <w:jc w:val="right"/>
              <w:rPr>
                <w:rFonts w:ascii="Meta Pro" w:eastAsia="Times New Roman" w:hAnsi="Meta Pro"/>
                <w:szCs w:val="18"/>
                <w:lang w:eastAsia="en-AU"/>
              </w:rPr>
            </w:pPr>
            <w:r w:rsidRPr="00135CBD">
              <w:rPr>
                <w:rFonts w:ascii="Meta Pro" w:eastAsia="Times New Roman" w:hAnsi="Meta Pro"/>
                <w:szCs w:val="18"/>
                <w:lang w:eastAsia="en-AU"/>
              </w:rPr>
              <w:t xml:space="preserve">35,935 </w:t>
            </w:r>
          </w:p>
        </w:tc>
        <w:tc>
          <w:tcPr>
            <w:tcW w:w="189" w:type="dxa"/>
            <w:tcBorders>
              <w:top w:val="nil"/>
              <w:left w:val="nil"/>
              <w:bottom w:val="nil"/>
              <w:right w:val="nil"/>
            </w:tcBorders>
            <w:shd w:val="clear" w:color="auto" w:fill="auto"/>
            <w:noWrap/>
            <w:vAlign w:val="center"/>
            <w:hideMark/>
          </w:tcPr>
          <w:p w14:paraId="558A6D70" w14:textId="77777777" w:rsidR="00B43D75" w:rsidRPr="00135CBD" w:rsidRDefault="00B43D75" w:rsidP="00E607DA">
            <w:pPr>
              <w:jc w:val="right"/>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3A9541F9" w14:textId="77777777" w:rsidR="00B43D75" w:rsidRPr="00135CBD" w:rsidRDefault="00B43D75" w:rsidP="00E607DA">
            <w:pPr>
              <w:jc w:val="right"/>
              <w:rPr>
                <w:rFonts w:ascii="Meta Pro" w:eastAsia="Times New Roman" w:hAnsi="Meta Pro"/>
                <w:szCs w:val="18"/>
                <w:lang w:eastAsia="en-AU"/>
              </w:rPr>
            </w:pPr>
            <w:r w:rsidRPr="00135CBD">
              <w:rPr>
                <w:rFonts w:ascii="Meta Pro" w:eastAsia="Times New Roman" w:hAnsi="Meta Pro"/>
                <w:szCs w:val="18"/>
                <w:lang w:eastAsia="en-AU"/>
              </w:rPr>
              <w:t xml:space="preserve">4,346 </w:t>
            </w:r>
          </w:p>
        </w:tc>
        <w:tc>
          <w:tcPr>
            <w:tcW w:w="189" w:type="dxa"/>
            <w:tcBorders>
              <w:top w:val="nil"/>
              <w:left w:val="nil"/>
              <w:bottom w:val="nil"/>
              <w:right w:val="nil"/>
            </w:tcBorders>
            <w:shd w:val="clear" w:color="auto" w:fill="auto"/>
            <w:noWrap/>
            <w:vAlign w:val="center"/>
            <w:hideMark/>
          </w:tcPr>
          <w:p w14:paraId="0B10BE75" w14:textId="77777777" w:rsidR="00B43D75" w:rsidRPr="00135CBD" w:rsidRDefault="00B43D75" w:rsidP="00E607DA">
            <w:pPr>
              <w:jc w:val="right"/>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1C674F8B" w14:textId="77777777" w:rsidR="00B43D75" w:rsidRPr="00135CBD" w:rsidRDefault="00B43D75" w:rsidP="00E607DA">
            <w:pPr>
              <w:jc w:val="right"/>
              <w:rPr>
                <w:rFonts w:ascii="Meta Pro" w:eastAsia="Times New Roman" w:hAnsi="Meta Pro"/>
                <w:b/>
                <w:bCs/>
                <w:szCs w:val="18"/>
                <w:lang w:eastAsia="en-AU"/>
              </w:rPr>
            </w:pPr>
            <w:r w:rsidRPr="00135CBD">
              <w:rPr>
                <w:rFonts w:ascii="Meta Pro" w:eastAsia="Times New Roman" w:hAnsi="Meta Pro"/>
                <w:b/>
                <w:bCs/>
                <w:szCs w:val="18"/>
                <w:lang w:eastAsia="en-AU"/>
              </w:rPr>
              <w:t xml:space="preserve">85,554 </w:t>
            </w:r>
          </w:p>
        </w:tc>
      </w:tr>
      <w:tr w:rsidR="00B43D75" w:rsidRPr="00135CBD" w14:paraId="696F112D" w14:textId="77777777" w:rsidTr="009A3F2A">
        <w:trPr>
          <w:trHeight w:val="240"/>
        </w:trPr>
        <w:tc>
          <w:tcPr>
            <w:tcW w:w="3289" w:type="dxa"/>
            <w:tcBorders>
              <w:top w:val="nil"/>
              <w:left w:val="nil"/>
              <w:bottom w:val="nil"/>
              <w:right w:val="nil"/>
            </w:tcBorders>
            <w:shd w:val="clear" w:color="auto" w:fill="auto"/>
            <w:noWrap/>
            <w:vAlign w:val="center"/>
            <w:hideMark/>
          </w:tcPr>
          <w:p w14:paraId="77AB8828" w14:textId="77777777" w:rsidR="00B43D75" w:rsidRPr="00135CBD" w:rsidRDefault="00B43D75" w:rsidP="00E607DA">
            <w:pPr>
              <w:rPr>
                <w:rFonts w:ascii="Meta Pro" w:eastAsia="Times New Roman" w:hAnsi="Meta Pro"/>
                <w:szCs w:val="18"/>
                <w:lang w:eastAsia="en-AU"/>
              </w:rPr>
            </w:pPr>
            <w:r w:rsidRPr="00135CBD">
              <w:rPr>
                <w:rFonts w:ascii="Meta Pro" w:eastAsia="Times New Roman" w:hAnsi="Meta Pro"/>
                <w:szCs w:val="18"/>
                <w:lang w:eastAsia="en-AU"/>
              </w:rPr>
              <w:t>Acquisitions (including upgrades)</w:t>
            </w:r>
          </w:p>
        </w:tc>
        <w:tc>
          <w:tcPr>
            <w:tcW w:w="1005" w:type="dxa"/>
            <w:tcBorders>
              <w:top w:val="nil"/>
              <w:left w:val="nil"/>
              <w:bottom w:val="nil"/>
              <w:right w:val="nil"/>
            </w:tcBorders>
            <w:shd w:val="clear" w:color="000000" w:fill="C9E3B4"/>
            <w:noWrap/>
            <w:vAlign w:val="center"/>
            <w:hideMark/>
          </w:tcPr>
          <w:p w14:paraId="0A935235" w14:textId="77777777" w:rsidR="00B43D75" w:rsidRPr="00135CBD" w:rsidRDefault="00B43D75" w:rsidP="00E607DA">
            <w:pPr>
              <w:jc w:val="right"/>
              <w:rPr>
                <w:rFonts w:ascii="Meta Pro" w:eastAsia="Times New Roman" w:hAnsi="Meta Pro"/>
                <w:szCs w:val="18"/>
                <w:lang w:eastAsia="en-AU"/>
              </w:rPr>
            </w:pPr>
            <w:r w:rsidRPr="00135CBD">
              <w:rPr>
                <w:rFonts w:ascii="Meta Pro" w:eastAsia="Times New Roman" w:hAnsi="Meta Pro"/>
                <w:szCs w:val="18"/>
                <w:lang w:eastAsia="en-AU"/>
              </w:rPr>
              <w:t xml:space="preserve">- </w:t>
            </w:r>
          </w:p>
        </w:tc>
        <w:tc>
          <w:tcPr>
            <w:tcW w:w="189" w:type="dxa"/>
            <w:tcBorders>
              <w:top w:val="nil"/>
              <w:left w:val="nil"/>
              <w:bottom w:val="nil"/>
              <w:right w:val="nil"/>
            </w:tcBorders>
            <w:shd w:val="clear" w:color="auto" w:fill="auto"/>
            <w:noWrap/>
            <w:vAlign w:val="center"/>
            <w:hideMark/>
          </w:tcPr>
          <w:p w14:paraId="50C56F7A" w14:textId="77777777" w:rsidR="00B43D75" w:rsidRPr="00135CBD" w:rsidRDefault="00B43D75" w:rsidP="00E607DA">
            <w:pPr>
              <w:jc w:val="right"/>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41528C50" w14:textId="77777777" w:rsidR="00B43D75" w:rsidRPr="00135CBD" w:rsidRDefault="00B43D75" w:rsidP="00E607DA">
            <w:pPr>
              <w:jc w:val="right"/>
              <w:rPr>
                <w:rFonts w:ascii="Meta Pro" w:eastAsia="Times New Roman" w:hAnsi="Meta Pro"/>
                <w:szCs w:val="18"/>
                <w:lang w:eastAsia="en-AU"/>
              </w:rPr>
            </w:pPr>
            <w:r w:rsidRPr="00135CBD">
              <w:rPr>
                <w:rFonts w:ascii="Meta Pro" w:eastAsia="Times New Roman" w:hAnsi="Meta Pro"/>
                <w:szCs w:val="18"/>
                <w:lang w:eastAsia="en-AU"/>
              </w:rPr>
              <w:t xml:space="preserve">- </w:t>
            </w:r>
          </w:p>
        </w:tc>
        <w:tc>
          <w:tcPr>
            <w:tcW w:w="189" w:type="dxa"/>
            <w:tcBorders>
              <w:top w:val="nil"/>
              <w:left w:val="nil"/>
              <w:bottom w:val="nil"/>
              <w:right w:val="nil"/>
            </w:tcBorders>
            <w:shd w:val="clear" w:color="auto" w:fill="auto"/>
            <w:noWrap/>
            <w:vAlign w:val="center"/>
            <w:hideMark/>
          </w:tcPr>
          <w:p w14:paraId="16DDAF9C" w14:textId="77777777" w:rsidR="00B43D75" w:rsidRPr="00135CBD" w:rsidRDefault="00B43D75" w:rsidP="00E607DA">
            <w:pPr>
              <w:jc w:val="right"/>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51A69F48" w14:textId="77777777" w:rsidR="00B43D75" w:rsidRPr="00135CBD" w:rsidRDefault="00B43D75" w:rsidP="00E607DA">
            <w:pPr>
              <w:jc w:val="right"/>
              <w:rPr>
                <w:rFonts w:ascii="Meta Pro" w:eastAsia="Times New Roman" w:hAnsi="Meta Pro"/>
                <w:szCs w:val="18"/>
                <w:lang w:eastAsia="en-AU"/>
              </w:rPr>
            </w:pPr>
            <w:r w:rsidRPr="00135CBD">
              <w:rPr>
                <w:rFonts w:ascii="Meta Pro" w:eastAsia="Times New Roman" w:hAnsi="Meta Pro"/>
                <w:szCs w:val="18"/>
                <w:lang w:eastAsia="en-AU"/>
              </w:rPr>
              <w:t xml:space="preserve">17,912 </w:t>
            </w:r>
          </w:p>
        </w:tc>
        <w:tc>
          <w:tcPr>
            <w:tcW w:w="189" w:type="dxa"/>
            <w:tcBorders>
              <w:top w:val="nil"/>
              <w:left w:val="nil"/>
              <w:bottom w:val="nil"/>
              <w:right w:val="nil"/>
            </w:tcBorders>
            <w:shd w:val="clear" w:color="auto" w:fill="auto"/>
            <w:noWrap/>
            <w:vAlign w:val="center"/>
            <w:hideMark/>
          </w:tcPr>
          <w:p w14:paraId="00395C0F" w14:textId="77777777" w:rsidR="00B43D75" w:rsidRPr="00135CBD" w:rsidRDefault="00B43D75" w:rsidP="00E607DA">
            <w:pPr>
              <w:jc w:val="right"/>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338D6931" w14:textId="77777777" w:rsidR="00B43D75" w:rsidRPr="00135CBD" w:rsidRDefault="00B43D75" w:rsidP="00E607DA">
            <w:pPr>
              <w:jc w:val="right"/>
              <w:rPr>
                <w:rFonts w:ascii="Meta Pro" w:eastAsia="Times New Roman" w:hAnsi="Meta Pro"/>
                <w:szCs w:val="18"/>
                <w:lang w:eastAsia="en-AU"/>
              </w:rPr>
            </w:pPr>
            <w:r w:rsidRPr="00135CBD">
              <w:rPr>
                <w:rFonts w:ascii="Meta Pro" w:eastAsia="Times New Roman" w:hAnsi="Meta Pro"/>
                <w:szCs w:val="18"/>
                <w:lang w:eastAsia="en-AU"/>
              </w:rPr>
              <w:t xml:space="preserve">- </w:t>
            </w:r>
          </w:p>
        </w:tc>
        <w:tc>
          <w:tcPr>
            <w:tcW w:w="189" w:type="dxa"/>
            <w:tcBorders>
              <w:top w:val="nil"/>
              <w:left w:val="nil"/>
              <w:bottom w:val="nil"/>
              <w:right w:val="nil"/>
            </w:tcBorders>
            <w:shd w:val="clear" w:color="auto" w:fill="auto"/>
            <w:noWrap/>
            <w:vAlign w:val="center"/>
            <w:hideMark/>
          </w:tcPr>
          <w:p w14:paraId="53094A0D" w14:textId="77777777" w:rsidR="00B43D75" w:rsidRPr="00135CBD" w:rsidRDefault="00B43D75" w:rsidP="00E607DA">
            <w:pPr>
              <w:jc w:val="right"/>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266AC75D" w14:textId="77777777" w:rsidR="00B43D75" w:rsidRPr="00135CBD" w:rsidRDefault="00B43D75" w:rsidP="00E607DA">
            <w:pPr>
              <w:jc w:val="right"/>
              <w:rPr>
                <w:rFonts w:ascii="Meta Pro" w:eastAsia="Times New Roman" w:hAnsi="Meta Pro"/>
                <w:b/>
                <w:bCs/>
                <w:szCs w:val="18"/>
                <w:lang w:eastAsia="en-AU"/>
              </w:rPr>
            </w:pPr>
            <w:r w:rsidRPr="00135CBD">
              <w:rPr>
                <w:rFonts w:ascii="Meta Pro" w:eastAsia="Times New Roman" w:hAnsi="Meta Pro"/>
                <w:b/>
                <w:bCs/>
                <w:szCs w:val="18"/>
                <w:lang w:eastAsia="en-AU"/>
              </w:rPr>
              <w:t xml:space="preserve">17,912 </w:t>
            </w:r>
          </w:p>
        </w:tc>
      </w:tr>
      <w:tr w:rsidR="00B43D75" w:rsidRPr="00135CBD" w14:paraId="713691E1" w14:textId="77777777" w:rsidTr="009A3F2A">
        <w:trPr>
          <w:trHeight w:val="240"/>
        </w:trPr>
        <w:tc>
          <w:tcPr>
            <w:tcW w:w="3289" w:type="dxa"/>
            <w:tcBorders>
              <w:top w:val="nil"/>
              <w:left w:val="nil"/>
              <w:bottom w:val="nil"/>
              <w:right w:val="nil"/>
            </w:tcBorders>
            <w:shd w:val="clear" w:color="auto" w:fill="auto"/>
            <w:noWrap/>
            <w:vAlign w:val="center"/>
            <w:hideMark/>
          </w:tcPr>
          <w:p w14:paraId="64F2D5BE" w14:textId="77777777" w:rsidR="00B43D75" w:rsidRPr="00135CBD" w:rsidRDefault="00B43D75" w:rsidP="00E607DA">
            <w:pPr>
              <w:rPr>
                <w:rFonts w:ascii="Meta Pro" w:eastAsia="Times New Roman" w:hAnsi="Meta Pro"/>
                <w:szCs w:val="18"/>
                <w:lang w:eastAsia="en-AU"/>
              </w:rPr>
            </w:pPr>
            <w:r w:rsidRPr="00135CBD">
              <w:rPr>
                <w:rFonts w:ascii="Meta Pro" w:eastAsia="Times New Roman" w:hAnsi="Meta Pro"/>
                <w:szCs w:val="18"/>
                <w:lang w:eastAsia="en-AU"/>
              </w:rPr>
              <w:t>Transfers between classes</w:t>
            </w:r>
          </w:p>
        </w:tc>
        <w:tc>
          <w:tcPr>
            <w:tcW w:w="1005" w:type="dxa"/>
            <w:tcBorders>
              <w:top w:val="nil"/>
              <w:left w:val="nil"/>
              <w:bottom w:val="nil"/>
              <w:right w:val="nil"/>
            </w:tcBorders>
            <w:shd w:val="clear" w:color="000000" w:fill="C9E3B4"/>
            <w:noWrap/>
            <w:vAlign w:val="center"/>
            <w:hideMark/>
          </w:tcPr>
          <w:p w14:paraId="52FED787" w14:textId="77777777" w:rsidR="00B43D75" w:rsidRPr="00135CBD" w:rsidRDefault="00B43D75" w:rsidP="00E607DA">
            <w:pPr>
              <w:jc w:val="right"/>
              <w:rPr>
                <w:rFonts w:ascii="Meta Pro" w:eastAsia="Times New Roman" w:hAnsi="Meta Pro"/>
                <w:szCs w:val="18"/>
                <w:lang w:eastAsia="en-AU"/>
              </w:rPr>
            </w:pPr>
            <w:r w:rsidRPr="00135CBD">
              <w:rPr>
                <w:rFonts w:ascii="Meta Pro" w:eastAsia="Times New Roman" w:hAnsi="Meta Pro"/>
                <w:szCs w:val="18"/>
                <w:lang w:eastAsia="en-AU"/>
              </w:rPr>
              <w:t xml:space="preserve">7,281 </w:t>
            </w:r>
          </w:p>
        </w:tc>
        <w:tc>
          <w:tcPr>
            <w:tcW w:w="189" w:type="dxa"/>
            <w:tcBorders>
              <w:top w:val="nil"/>
              <w:left w:val="nil"/>
              <w:bottom w:val="nil"/>
              <w:right w:val="nil"/>
            </w:tcBorders>
            <w:shd w:val="clear" w:color="auto" w:fill="auto"/>
            <w:noWrap/>
            <w:vAlign w:val="center"/>
            <w:hideMark/>
          </w:tcPr>
          <w:p w14:paraId="159F3967" w14:textId="77777777" w:rsidR="00B43D75" w:rsidRPr="00135CBD" w:rsidRDefault="00B43D75" w:rsidP="00E607DA">
            <w:pPr>
              <w:jc w:val="right"/>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1869D25A" w14:textId="77777777" w:rsidR="00B43D75" w:rsidRPr="00135CBD" w:rsidRDefault="00B43D75" w:rsidP="00E607DA">
            <w:pPr>
              <w:jc w:val="right"/>
              <w:rPr>
                <w:rFonts w:ascii="Meta Pro" w:eastAsia="Times New Roman" w:hAnsi="Meta Pro"/>
                <w:szCs w:val="18"/>
                <w:lang w:eastAsia="en-AU"/>
              </w:rPr>
            </w:pPr>
            <w:r w:rsidRPr="00135CBD">
              <w:rPr>
                <w:rFonts w:ascii="Meta Pro" w:eastAsia="Times New Roman" w:hAnsi="Meta Pro"/>
                <w:szCs w:val="18"/>
                <w:lang w:eastAsia="en-AU"/>
              </w:rPr>
              <w:t xml:space="preserve">793 </w:t>
            </w:r>
          </w:p>
        </w:tc>
        <w:tc>
          <w:tcPr>
            <w:tcW w:w="189" w:type="dxa"/>
            <w:tcBorders>
              <w:top w:val="nil"/>
              <w:left w:val="nil"/>
              <w:bottom w:val="nil"/>
              <w:right w:val="nil"/>
            </w:tcBorders>
            <w:shd w:val="clear" w:color="auto" w:fill="auto"/>
            <w:noWrap/>
            <w:vAlign w:val="center"/>
            <w:hideMark/>
          </w:tcPr>
          <w:p w14:paraId="2EB7876F" w14:textId="77777777" w:rsidR="00B43D75" w:rsidRPr="00135CBD" w:rsidRDefault="00B43D75" w:rsidP="00E607DA">
            <w:pPr>
              <w:jc w:val="right"/>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51D384C4" w14:textId="77777777" w:rsidR="00B43D75" w:rsidRPr="00135CBD" w:rsidRDefault="00B43D75" w:rsidP="00E607DA">
            <w:pPr>
              <w:jc w:val="right"/>
              <w:rPr>
                <w:rFonts w:ascii="Meta Pro" w:eastAsia="Times New Roman" w:hAnsi="Meta Pro"/>
                <w:szCs w:val="18"/>
                <w:lang w:eastAsia="en-AU"/>
              </w:rPr>
            </w:pPr>
            <w:r w:rsidRPr="00135CBD">
              <w:rPr>
                <w:rFonts w:ascii="Meta Pro" w:eastAsia="Times New Roman" w:hAnsi="Meta Pro"/>
                <w:szCs w:val="18"/>
                <w:lang w:eastAsia="en-AU"/>
              </w:rPr>
              <w:t>(8,074)</w:t>
            </w:r>
          </w:p>
        </w:tc>
        <w:tc>
          <w:tcPr>
            <w:tcW w:w="189" w:type="dxa"/>
            <w:tcBorders>
              <w:top w:val="nil"/>
              <w:left w:val="nil"/>
              <w:bottom w:val="nil"/>
              <w:right w:val="nil"/>
            </w:tcBorders>
            <w:shd w:val="clear" w:color="auto" w:fill="auto"/>
            <w:noWrap/>
            <w:vAlign w:val="center"/>
            <w:hideMark/>
          </w:tcPr>
          <w:p w14:paraId="3A992C12" w14:textId="77777777" w:rsidR="00B43D75" w:rsidRPr="00135CBD" w:rsidRDefault="00B43D75" w:rsidP="00E607DA">
            <w:pPr>
              <w:jc w:val="right"/>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213C725A" w14:textId="77777777" w:rsidR="00B43D75" w:rsidRPr="00135CBD" w:rsidRDefault="00B43D75" w:rsidP="00E607DA">
            <w:pPr>
              <w:jc w:val="right"/>
              <w:rPr>
                <w:rFonts w:ascii="Meta Pro" w:eastAsia="Times New Roman" w:hAnsi="Meta Pro"/>
                <w:szCs w:val="18"/>
                <w:lang w:eastAsia="en-AU"/>
              </w:rPr>
            </w:pPr>
            <w:r w:rsidRPr="00135CBD">
              <w:rPr>
                <w:rFonts w:ascii="Meta Pro" w:eastAsia="Times New Roman" w:hAnsi="Meta Pro"/>
                <w:szCs w:val="18"/>
                <w:lang w:eastAsia="en-AU"/>
              </w:rPr>
              <w:t xml:space="preserve">- </w:t>
            </w:r>
          </w:p>
        </w:tc>
        <w:tc>
          <w:tcPr>
            <w:tcW w:w="189" w:type="dxa"/>
            <w:tcBorders>
              <w:top w:val="nil"/>
              <w:left w:val="nil"/>
              <w:bottom w:val="nil"/>
              <w:right w:val="nil"/>
            </w:tcBorders>
            <w:shd w:val="clear" w:color="auto" w:fill="auto"/>
            <w:noWrap/>
            <w:vAlign w:val="center"/>
            <w:hideMark/>
          </w:tcPr>
          <w:p w14:paraId="26FBA8EF" w14:textId="77777777" w:rsidR="00B43D75" w:rsidRPr="00135CBD" w:rsidRDefault="00B43D75" w:rsidP="00E607DA">
            <w:pPr>
              <w:jc w:val="right"/>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1F8CA22E" w14:textId="77777777" w:rsidR="00B43D75" w:rsidRPr="00135CBD" w:rsidRDefault="00B43D75" w:rsidP="00E607DA">
            <w:pPr>
              <w:jc w:val="right"/>
              <w:rPr>
                <w:rFonts w:ascii="Meta Pro" w:eastAsia="Times New Roman" w:hAnsi="Meta Pro"/>
                <w:b/>
                <w:bCs/>
                <w:szCs w:val="18"/>
                <w:lang w:eastAsia="en-AU"/>
              </w:rPr>
            </w:pPr>
            <w:r w:rsidRPr="00135CBD">
              <w:rPr>
                <w:rFonts w:ascii="Meta Pro" w:eastAsia="Times New Roman" w:hAnsi="Meta Pro"/>
                <w:b/>
                <w:bCs/>
                <w:szCs w:val="18"/>
                <w:lang w:eastAsia="en-AU"/>
              </w:rPr>
              <w:t xml:space="preserve">- </w:t>
            </w:r>
          </w:p>
        </w:tc>
      </w:tr>
      <w:tr w:rsidR="00B43D75" w:rsidRPr="00135CBD" w14:paraId="1B06CDF8" w14:textId="77777777" w:rsidTr="009A3F2A">
        <w:trPr>
          <w:trHeight w:val="240"/>
        </w:trPr>
        <w:tc>
          <w:tcPr>
            <w:tcW w:w="3289" w:type="dxa"/>
            <w:tcBorders>
              <w:top w:val="nil"/>
              <w:left w:val="nil"/>
              <w:bottom w:val="nil"/>
              <w:right w:val="nil"/>
            </w:tcBorders>
            <w:shd w:val="clear" w:color="auto" w:fill="auto"/>
            <w:noWrap/>
            <w:vAlign w:val="center"/>
            <w:hideMark/>
          </w:tcPr>
          <w:p w14:paraId="55875667" w14:textId="77777777" w:rsidR="00B43D75" w:rsidRPr="00135CBD" w:rsidRDefault="00B43D75" w:rsidP="00E607DA">
            <w:pPr>
              <w:rPr>
                <w:rFonts w:ascii="Meta Pro" w:eastAsia="Times New Roman" w:hAnsi="Meta Pro"/>
                <w:szCs w:val="18"/>
                <w:lang w:eastAsia="en-AU"/>
              </w:rPr>
            </w:pPr>
            <w:r w:rsidRPr="00135CBD">
              <w:rPr>
                <w:rFonts w:ascii="Meta Pro" w:eastAsia="Times New Roman" w:hAnsi="Meta Pro"/>
                <w:szCs w:val="18"/>
                <w:lang w:eastAsia="en-AU"/>
              </w:rPr>
              <w:t>Transfers to property, plant and</w:t>
            </w:r>
          </w:p>
        </w:tc>
        <w:tc>
          <w:tcPr>
            <w:tcW w:w="1005" w:type="dxa"/>
            <w:tcBorders>
              <w:top w:val="nil"/>
              <w:left w:val="nil"/>
              <w:bottom w:val="nil"/>
              <w:right w:val="nil"/>
            </w:tcBorders>
            <w:shd w:val="clear" w:color="000000" w:fill="C9E3B4"/>
            <w:noWrap/>
            <w:vAlign w:val="center"/>
            <w:hideMark/>
          </w:tcPr>
          <w:p w14:paraId="440A9C63" w14:textId="77777777" w:rsidR="00B43D75" w:rsidRPr="00135CBD" w:rsidRDefault="00B43D75" w:rsidP="00E607DA">
            <w:pPr>
              <w:rPr>
                <w:rFonts w:ascii="Meta Pro" w:eastAsia="Times New Roman" w:hAnsi="Meta Pro"/>
                <w:szCs w:val="18"/>
                <w:lang w:eastAsia="en-AU"/>
              </w:rPr>
            </w:pPr>
            <w:r w:rsidRPr="00135CBD">
              <w:rPr>
                <w:rFonts w:ascii="Meta Pro" w:eastAsia="Times New Roman" w:hAnsi="Meta Pro"/>
                <w:szCs w:val="18"/>
                <w:lang w:eastAsia="en-AU"/>
              </w:rPr>
              <w:t> </w:t>
            </w:r>
          </w:p>
        </w:tc>
        <w:tc>
          <w:tcPr>
            <w:tcW w:w="189" w:type="dxa"/>
            <w:tcBorders>
              <w:top w:val="nil"/>
              <w:left w:val="nil"/>
              <w:bottom w:val="nil"/>
              <w:right w:val="nil"/>
            </w:tcBorders>
            <w:shd w:val="clear" w:color="auto" w:fill="auto"/>
            <w:noWrap/>
            <w:vAlign w:val="bottom"/>
            <w:hideMark/>
          </w:tcPr>
          <w:p w14:paraId="661E5C2D" w14:textId="77777777" w:rsidR="00B43D75" w:rsidRPr="00135CBD" w:rsidRDefault="00B43D75" w:rsidP="00E607DA">
            <w:pPr>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35C31EDD" w14:textId="77777777" w:rsidR="00B43D75" w:rsidRPr="00135CBD" w:rsidRDefault="00B43D75" w:rsidP="00E607DA">
            <w:pPr>
              <w:rPr>
                <w:rFonts w:ascii="Meta Pro" w:eastAsia="Times New Roman" w:hAnsi="Meta Pro"/>
                <w:szCs w:val="18"/>
                <w:lang w:eastAsia="en-AU"/>
              </w:rPr>
            </w:pPr>
            <w:r w:rsidRPr="00135CBD">
              <w:rPr>
                <w:rFonts w:ascii="Meta Pro" w:eastAsia="Times New Roman" w:hAnsi="Meta Pro"/>
                <w:szCs w:val="18"/>
                <w:lang w:eastAsia="en-AU"/>
              </w:rPr>
              <w:t> </w:t>
            </w:r>
          </w:p>
        </w:tc>
        <w:tc>
          <w:tcPr>
            <w:tcW w:w="189" w:type="dxa"/>
            <w:tcBorders>
              <w:top w:val="nil"/>
              <w:left w:val="nil"/>
              <w:bottom w:val="nil"/>
              <w:right w:val="nil"/>
            </w:tcBorders>
            <w:shd w:val="clear" w:color="auto" w:fill="auto"/>
            <w:noWrap/>
            <w:vAlign w:val="bottom"/>
            <w:hideMark/>
          </w:tcPr>
          <w:p w14:paraId="1983C912" w14:textId="77777777" w:rsidR="00B43D75" w:rsidRPr="00135CBD" w:rsidRDefault="00B43D75" w:rsidP="00E607DA">
            <w:pPr>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6FC587A3" w14:textId="77777777" w:rsidR="00B43D75" w:rsidRPr="00135CBD" w:rsidRDefault="00B43D75" w:rsidP="00E607DA">
            <w:pPr>
              <w:rPr>
                <w:rFonts w:ascii="Meta Pro" w:eastAsia="Times New Roman" w:hAnsi="Meta Pro"/>
                <w:szCs w:val="18"/>
                <w:lang w:eastAsia="en-AU"/>
              </w:rPr>
            </w:pPr>
            <w:r w:rsidRPr="00135CBD">
              <w:rPr>
                <w:rFonts w:ascii="Meta Pro" w:eastAsia="Times New Roman" w:hAnsi="Meta Pro"/>
                <w:szCs w:val="18"/>
                <w:lang w:eastAsia="en-AU"/>
              </w:rPr>
              <w:t> </w:t>
            </w:r>
          </w:p>
        </w:tc>
        <w:tc>
          <w:tcPr>
            <w:tcW w:w="189" w:type="dxa"/>
            <w:tcBorders>
              <w:top w:val="nil"/>
              <w:left w:val="nil"/>
              <w:bottom w:val="nil"/>
              <w:right w:val="nil"/>
            </w:tcBorders>
            <w:shd w:val="clear" w:color="auto" w:fill="auto"/>
            <w:noWrap/>
            <w:vAlign w:val="bottom"/>
            <w:hideMark/>
          </w:tcPr>
          <w:p w14:paraId="07F158BA" w14:textId="77777777" w:rsidR="00B43D75" w:rsidRPr="00135CBD" w:rsidRDefault="00B43D75" w:rsidP="00E607DA">
            <w:pPr>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50E5893F" w14:textId="77777777" w:rsidR="00B43D75" w:rsidRPr="00135CBD" w:rsidRDefault="00B43D75" w:rsidP="00E607DA">
            <w:pPr>
              <w:rPr>
                <w:rFonts w:ascii="Meta Pro" w:eastAsia="Times New Roman" w:hAnsi="Meta Pro"/>
                <w:szCs w:val="18"/>
                <w:lang w:eastAsia="en-AU"/>
              </w:rPr>
            </w:pPr>
            <w:r w:rsidRPr="00135CBD">
              <w:rPr>
                <w:rFonts w:ascii="Meta Pro" w:eastAsia="Times New Roman" w:hAnsi="Meta Pro"/>
                <w:szCs w:val="18"/>
                <w:lang w:eastAsia="en-AU"/>
              </w:rPr>
              <w:t> </w:t>
            </w:r>
          </w:p>
        </w:tc>
        <w:tc>
          <w:tcPr>
            <w:tcW w:w="189" w:type="dxa"/>
            <w:tcBorders>
              <w:top w:val="nil"/>
              <w:left w:val="nil"/>
              <w:bottom w:val="nil"/>
              <w:right w:val="nil"/>
            </w:tcBorders>
            <w:shd w:val="clear" w:color="auto" w:fill="auto"/>
            <w:noWrap/>
            <w:vAlign w:val="bottom"/>
            <w:hideMark/>
          </w:tcPr>
          <w:p w14:paraId="10CF2023" w14:textId="77777777" w:rsidR="00B43D75" w:rsidRPr="00135CBD" w:rsidRDefault="00B43D75" w:rsidP="00E607DA">
            <w:pPr>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bottom"/>
            <w:hideMark/>
          </w:tcPr>
          <w:p w14:paraId="7510A7EB" w14:textId="77777777" w:rsidR="00B43D75" w:rsidRPr="00135CBD" w:rsidRDefault="00B43D75" w:rsidP="00E607DA">
            <w:pPr>
              <w:rPr>
                <w:rFonts w:ascii="Meta Pro" w:eastAsia="Times New Roman" w:hAnsi="Meta Pro"/>
                <w:b/>
                <w:bCs/>
                <w:szCs w:val="18"/>
                <w:lang w:eastAsia="en-AU"/>
              </w:rPr>
            </w:pPr>
            <w:r w:rsidRPr="00135CBD">
              <w:rPr>
                <w:rFonts w:ascii="Meta Pro" w:eastAsia="Times New Roman" w:hAnsi="Meta Pro"/>
                <w:b/>
                <w:bCs/>
                <w:szCs w:val="18"/>
                <w:lang w:eastAsia="en-AU"/>
              </w:rPr>
              <w:t> </w:t>
            </w:r>
          </w:p>
        </w:tc>
      </w:tr>
      <w:tr w:rsidR="00B43D75" w:rsidRPr="00135CBD" w14:paraId="639AD0B9" w14:textId="77777777" w:rsidTr="009A3F2A">
        <w:trPr>
          <w:trHeight w:val="240"/>
        </w:trPr>
        <w:tc>
          <w:tcPr>
            <w:tcW w:w="3289" w:type="dxa"/>
            <w:tcBorders>
              <w:top w:val="nil"/>
              <w:left w:val="nil"/>
              <w:bottom w:val="nil"/>
              <w:right w:val="nil"/>
            </w:tcBorders>
            <w:shd w:val="clear" w:color="auto" w:fill="auto"/>
            <w:noWrap/>
            <w:vAlign w:val="center"/>
            <w:hideMark/>
          </w:tcPr>
          <w:p w14:paraId="6F1876A3" w14:textId="77777777" w:rsidR="00B43D75" w:rsidRPr="00135CBD" w:rsidRDefault="00B43D75" w:rsidP="00E607DA">
            <w:pPr>
              <w:rPr>
                <w:rFonts w:ascii="Meta Pro" w:eastAsia="Times New Roman" w:hAnsi="Meta Pro"/>
                <w:szCs w:val="18"/>
                <w:lang w:eastAsia="en-AU"/>
              </w:rPr>
            </w:pPr>
            <w:r w:rsidRPr="00135CBD">
              <w:rPr>
                <w:rFonts w:ascii="Meta Pro" w:eastAsia="Times New Roman" w:hAnsi="Meta Pro"/>
                <w:szCs w:val="18"/>
                <w:lang w:eastAsia="en-AU"/>
              </w:rPr>
              <w:t>equipment</w:t>
            </w:r>
          </w:p>
        </w:tc>
        <w:tc>
          <w:tcPr>
            <w:tcW w:w="1005" w:type="dxa"/>
            <w:tcBorders>
              <w:top w:val="nil"/>
              <w:left w:val="nil"/>
              <w:bottom w:val="nil"/>
              <w:right w:val="nil"/>
            </w:tcBorders>
            <w:shd w:val="clear" w:color="000000" w:fill="C9E3B4"/>
            <w:noWrap/>
            <w:vAlign w:val="center"/>
            <w:hideMark/>
          </w:tcPr>
          <w:p w14:paraId="188C395D" w14:textId="77777777" w:rsidR="00B43D75" w:rsidRPr="00135CBD" w:rsidRDefault="00B43D75" w:rsidP="00E607DA">
            <w:pPr>
              <w:jc w:val="right"/>
              <w:rPr>
                <w:rFonts w:ascii="Meta Pro" w:eastAsia="Times New Roman" w:hAnsi="Meta Pro"/>
                <w:szCs w:val="18"/>
                <w:lang w:eastAsia="en-AU"/>
              </w:rPr>
            </w:pPr>
            <w:r w:rsidRPr="00135CBD">
              <w:rPr>
                <w:rFonts w:ascii="Meta Pro" w:eastAsia="Times New Roman" w:hAnsi="Meta Pro"/>
                <w:szCs w:val="18"/>
                <w:lang w:eastAsia="en-AU"/>
              </w:rPr>
              <w:t xml:space="preserve">- </w:t>
            </w:r>
          </w:p>
        </w:tc>
        <w:tc>
          <w:tcPr>
            <w:tcW w:w="189" w:type="dxa"/>
            <w:tcBorders>
              <w:top w:val="nil"/>
              <w:left w:val="nil"/>
              <w:bottom w:val="nil"/>
              <w:right w:val="nil"/>
            </w:tcBorders>
            <w:shd w:val="clear" w:color="auto" w:fill="auto"/>
            <w:noWrap/>
            <w:vAlign w:val="bottom"/>
            <w:hideMark/>
          </w:tcPr>
          <w:p w14:paraId="568158DC" w14:textId="77777777" w:rsidR="00B43D75" w:rsidRPr="00135CBD" w:rsidRDefault="00B43D75" w:rsidP="00E607DA">
            <w:pPr>
              <w:jc w:val="right"/>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3B3AD2FA" w14:textId="77777777" w:rsidR="00B43D75" w:rsidRPr="00135CBD" w:rsidRDefault="00B43D75" w:rsidP="00E607DA">
            <w:pPr>
              <w:jc w:val="right"/>
              <w:rPr>
                <w:rFonts w:ascii="Meta Pro" w:eastAsia="Times New Roman" w:hAnsi="Meta Pro"/>
                <w:szCs w:val="18"/>
                <w:lang w:eastAsia="en-AU"/>
              </w:rPr>
            </w:pPr>
            <w:r w:rsidRPr="00135CBD">
              <w:rPr>
                <w:rFonts w:ascii="Meta Pro" w:eastAsia="Times New Roman" w:hAnsi="Meta Pro"/>
                <w:szCs w:val="18"/>
                <w:lang w:eastAsia="en-AU"/>
              </w:rPr>
              <w:t xml:space="preserve">- </w:t>
            </w:r>
          </w:p>
        </w:tc>
        <w:tc>
          <w:tcPr>
            <w:tcW w:w="189" w:type="dxa"/>
            <w:tcBorders>
              <w:top w:val="nil"/>
              <w:left w:val="nil"/>
              <w:bottom w:val="nil"/>
              <w:right w:val="nil"/>
            </w:tcBorders>
            <w:shd w:val="clear" w:color="auto" w:fill="auto"/>
            <w:noWrap/>
            <w:vAlign w:val="bottom"/>
            <w:hideMark/>
          </w:tcPr>
          <w:p w14:paraId="5ABC9F9A" w14:textId="77777777" w:rsidR="00B43D75" w:rsidRPr="00135CBD" w:rsidRDefault="00B43D75" w:rsidP="00E607DA">
            <w:pPr>
              <w:jc w:val="right"/>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1143CE89" w14:textId="77777777" w:rsidR="00B43D75" w:rsidRPr="00135CBD" w:rsidRDefault="00B43D75" w:rsidP="00E607DA">
            <w:pPr>
              <w:jc w:val="right"/>
              <w:rPr>
                <w:rFonts w:ascii="Meta Pro" w:eastAsia="Times New Roman" w:hAnsi="Meta Pro"/>
                <w:szCs w:val="18"/>
                <w:lang w:eastAsia="en-AU"/>
              </w:rPr>
            </w:pPr>
            <w:r w:rsidRPr="00135CBD">
              <w:rPr>
                <w:rFonts w:ascii="Meta Pro" w:eastAsia="Times New Roman" w:hAnsi="Meta Pro"/>
                <w:szCs w:val="18"/>
                <w:lang w:eastAsia="en-AU"/>
              </w:rPr>
              <w:t>(409)</w:t>
            </w:r>
          </w:p>
        </w:tc>
        <w:tc>
          <w:tcPr>
            <w:tcW w:w="189" w:type="dxa"/>
            <w:tcBorders>
              <w:top w:val="nil"/>
              <w:left w:val="nil"/>
              <w:bottom w:val="nil"/>
              <w:right w:val="nil"/>
            </w:tcBorders>
            <w:shd w:val="clear" w:color="auto" w:fill="auto"/>
            <w:noWrap/>
            <w:vAlign w:val="bottom"/>
            <w:hideMark/>
          </w:tcPr>
          <w:p w14:paraId="71570D59" w14:textId="77777777" w:rsidR="00B43D75" w:rsidRPr="00135CBD" w:rsidRDefault="00B43D75" w:rsidP="00E607DA">
            <w:pPr>
              <w:jc w:val="right"/>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33A7F649" w14:textId="77777777" w:rsidR="00B43D75" w:rsidRPr="00135CBD" w:rsidRDefault="00B43D75" w:rsidP="00E607DA">
            <w:pPr>
              <w:jc w:val="right"/>
              <w:rPr>
                <w:rFonts w:ascii="Meta Pro" w:eastAsia="Times New Roman" w:hAnsi="Meta Pro"/>
                <w:szCs w:val="18"/>
                <w:lang w:eastAsia="en-AU"/>
              </w:rPr>
            </w:pPr>
            <w:r w:rsidRPr="00135CBD">
              <w:rPr>
                <w:rFonts w:ascii="Meta Pro" w:eastAsia="Times New Roman" w:hAnsi="Meta Pro"/>
                <w:szCs w:val="18"/>
                <w:lang w:eastAsia="en-AU"/>
              </w:rPr>
              <w:t xml:space="preserve">- </w:t>
            </w:r>
          </w:p>
        </w:tc>
        <w:tc>
          <w:tcPr>
            <w:tcW w:w="189" w:type="dxa"/>
            <w:tcBorders>
              <w:top w:val="nil"/>
              <w:left w:val="nil"/>
              <w:bottom w:val="nil"/>
              <w:right w:val="nil"/>
            </w:tcBorders>
            <w:shd w:val="clear" w:color="auto" w:fill="auto"/>
            <w:noWrap/>
            <w:vAlign w:val="bottom"/>
            <w:hideMark/>
          </w:tcPr>
          <w:p w14:paraId="4DA0182C" w14:textId="77777777" w:rsidR="00B43D75" w:rsidRPr="00135CBD" w:rsidRDefault="00B43D75" w:rsidP="00E607DA">
            <w:pPr>
              <w:jc w:val="right"/>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bottom"/>
            <w:hideMark/>
          </w:tcPr>
          <w:p w14:paraId="11CC3F08" w14:textId="77777777" w:rsidR="00B43D75" w:rsidRPr="00135CBD" w:rsidRDefault="00B43D75" w:rsidP="00E607DA">
            <w:pPr>
              <w:jc w:val="right"/>
              <w:rPr>
                <w:rFonts w:ascii="Meta Pro" w:eastAsia="Times New Roman" w:hAnsi="Meta Pro"/>
                <w:b/>
                <w:bCs/>
                <w:szCs w:val="18"/>
                <w:lang w:eastAsia="en-AU"/>
              </w:rPr>
            </w:pPr>
            <w:r w:rsidRPr="00135CBD">
              <w:rPr>
                <w:rFonts w:ascii="Meta Pro" w:eastAsia="Times New Roman" w:hAnsi="Meta Pro"/>
                <w:b/>
                <w:bCs/>
                <w:szCs w:val="18"/>
                <w:lang w:eastAsia="en-AU"/>
              </w:rPr>
              <w:t>(409)</w:t>
            </w:r>
          </w:p>
        </w:tc>
      </w:tr>
      <w:tr w:rsidR="00B43D75" w:rsidRPr="00135CBD" w14:paraId="5AC45616" w14:textId="77777777" w:rsidTr="009A3F2A">
        <w:trPr>
          <w:trHeight w:val="240"/>
        </w:trPr>
        <w:tc>
          <w:tcPr>
            <w:tcW w:w="3289" w:type="dxa"/>
            <w:tcBorders>
              <w:top w:val="nil"/>
              <w:left w:val="nil"/>
              <w:bottom w:val="nil"/>
              <w:right w:val="nil"/>
            </w:tcBorders>
            <w:shd w:val="clear" w:color="auto" w:fill="auto"/>
            <w:noWrap/>
            <w:vAlign w:val="center"/>
            <w:hideMark/>
          </w:tcPr>
          <w:p w14:paraId="45463999" w14:textId="77777777" w:rsidR="00B43D75" w:rsidRPr="00135CBD" w:rsidRDefault="00B43D75" w:rsidP="00E607DA">
            <w:pPr>
              <w:rPr>
                <w:rFonts w:ascii="Meta Pro" w:eastAsia="Times New Roman" w:hAnsi="Meta Pro"/>
                <w:szCs w:val="18"/>
                <w:lang w:eastAsia="en-AU"/>
              </w:rPr>
            </w:pPr>
            <w:r w:rsidRPr="00135CBD">
              <w:rPr>
                <w:rFonts w:ascii="Meta Pro" w:eastAsia="Times New Roman" w:hAnsi="Meta Pro"/>
                <w:szCs w:val="18"/>
                <w:lang w:eastAsia="en-AU"/>
              </w:rPr>
              <w:t>Projects written off</w:t>
            </w:r>
          </w:p>
        </w:tc>
        <w:tc>
          <w:tcPr>
            <w:tcW w:w="1005" w:type="dxa"/>
            <w:tcBorders>
              <w:top w:val="nil"/>
              <w:left w:val="nil"/>
              <w:bottom w:val="nil"/>
              <w:right w:val="nil"/>
            </w:tcBorders>
            <w:shd w:val="clear" w:color="000000" w:fill="C9E3B4"/>
            <w:noWrap/>
            <w:vAlign w:val="center"/>
            <w:hideMark/>
          </w:tcPr>
          <w:p w14:paraId="321C8E1B" w14:textId="77777777" w:rsidR="00B43D75" w:rsidRPr="00135CBD" w:rsidRDefault="00B43D75" w:rsidP="00E607DA">
            <w:pPr>
              <w:jc w:val="right"/>
              <w:rPr>
                <w:rFonts w:ascii="Meta Pro" w:eastAsia="Times New Roman" w:hAnsi="Meta Pro"/>
                <w:szCs w:val="18"/>
                <w:lang w:eastAsia="en-AU"/>
              </w:rPr>
            </w:pPr>
            <w:r w:rsidRPr="00135CBD">
              <w:rPr>
                <w:rFonts w:ascii="Meta Pro" w:eastAsia="Times New Roman" w:hAnsi="Meta Pro"/>
                <w:szCs w:val="18"/>
                <w:lang w:eastAsia="en-AU"/>
              </w:rPr>
              <w:t xml:space="preserve">- </w:t>
            </w:r>
          </w:p>
        </w:tc>
        <w:tc>
          <w:tcPr>
            <w:tcW w:w="189" w:type="dxa"/>
            <w:tcBorders>
              <w:top w:val="nil"/>
              <w:left w:val="nil"/>
              <w:bottom w:val="nil"/>
              <w:right w:val="nil"/>
            </w:tcBorders>
            <w:shd w:val="clear" w:color="auto" w:fill="auto"/>
            <w:noWrap/>
            <w:vAlign w:val="bottom"/>
            <w:hideMark/>
          </w:tcPr>
          <w:p w14:paraId="0C846E64" w14:textId="77777777" w:rsidR="00B43D75" w:rsidRPr="00135CBD" w:rsidRDefault="00B43D75" w:rsidP="00E607DA">
            <w:pPr>
              <w:jc w:val="right"/>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4F8B97DE" w14:textId="77777777" w:rsidR="00B43D75" w:rsidRPr="00135CBD" w:rsidRDefault="00B43D75" w:rsidP="00E607DA">
            <w:pPr>
              <w:jc w:val="right"/>
              <w:rPr>
                <w:rFonts w:ascii="Meta Pro" w:eastAsia="Times New Roman" w:hAnsi="Meta Pro"/>
                <w:szCs w:val="18"/>
                <w:lang w:eastAsia="en-AU"/>
              </w:rPr>
            </w:pPr>
            <w:r w:rsidRPr="00135CBD">
              <w:rPr>
                <w:rFonts w:ascii="Meta Pro" w:eastAsia="Times New Roman" w:hAnsi="Meta Pro"/>
                <w:szCs w:val="18"/>
                <w:lang w:eastAsia="en-AU"/>
              </w:rPr>
              <w:t xml:space="preserve">- </w:t>
            </w:r>
          </w:p>
        </w:tc>
        <w:tc>
          <w:tcPr>
            <w:tcW w:w="189" w:type="dxa"/>
            <w:tcBorders>
              <w:top w:val="nil"/>
              <w:left w:val="nil"/>
              <w:bottom w:val="nil"/>
              <w:right w:val="nil"/>
            </w:tcBorders>
            <w:shd w:val="clear" w:color="auto" w:fill="auto"/>
            <w:noWrap/>
            <w:vAlign w:val="bottom"/>
            <w:hideMark/>
          </w:tcPr>
          <w:p w14:paraId="394DF990" w14:textId="77777777" w:rsidR="00B43D75" w:rsidRPr="00135CBD" w:rsidRDefault="00B43D75" w:rsidP="00E607DA">
            <w:pPr>
              <w:jc w:val="right"/>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7F6BE1F3" w14:textId="77777777" w:rsidR="00B43D75" w:rsidRPr="00135CBD" w:rsidRDefault="00B43D75" w:rsidP="00E607DA">
            <w:pPr>
              <w:jc w:val="right"/>
              <w:rPr>
                <w:rFonts w:ascii="Meta Pro" w:eastAsia="Times New Roman" w:hAnsi="Meta Pro"/>
                <w:szCs w:val="18"/>
                <w:lang w:eastAsia="en-AU"/>
              </w:rPr>
            </w:pPr>
            <w:r w:rsidRPr="00135CBD">
              <w:rPr>
                <w:rFonts w:ascii="Meta Pro" w:eastAsia="Times New Roman" w:hAnsi="Meta Pro"/>
                <w:szCs w:val="18"/>
                <w:lang w:eastAsia="en-AU"/>
              </w:rPr>
              <w:t>(1,250)</w:t>
            </w:r>
          </w:p>
        </w:tc>
        <w:tc>
          <w:tcPr>
            <w:tcW w:w="189" w:type="dxa"/>
            <w:tcBorders>
              <w:top w:val="nil"/>
              <w:left w:val="nil"/>
              <w:bottom w:val="nil"/>
              <w:right w:val="nil"/>
            </w:tcBorders>
            <w:shd w:val="clear" w:color="auto" w:fill="auto"/>
            <w:noWrap/>
            <w:vAlign w:val="bottom"/>
            <w:hideMark/>
          </w:tcPr>
          <w:p w14:paraId="68C822E8" w14:textId="77777777" w:rsidR="00B43D75" w:rsidRPr="00135CBD" w:rsidRDefault="00B43D75" w:rsidP="00E607DA">
            <w:pPr>
              <w:jc w:val="right"/>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60F01364" w14:textId="77777777" w:rsidR="00B43D75" w:rsidRPr="00135CBD" w:rsidRDefault="00B43D75" w:rsidP="00E607DA">
            <w:pPr>
              <w:jc w:val="right"/>
              <w:rPr>
                <w:rFonts w:ascii="Meta Pro" w:eastAsia="Times New Roman" w:hAnsi="Meta Pro"/>
                <w:szCs w:val="18"/>
                <w:lang w:eastAsia="en-AU"/>
              </w:rPr>
            </w:pPr>
            <w:r w:rsidRPr="00135CBD">
              <w:rPr>
                <w:rFonts w:ascii="Meta Pro" w:eastAsia="Times New Roman" w:hAnsi="Meta Pro"/>
                <w:szCs w:val="18"/>
                <w:lang w:eastAsia="en-AU"/>
              </w:rPr>
              <w:t xml:space="preserve">- </w:t>
            </w:r>
          </w:p>
        </w:tc>
        <w:tc>
          <w:tcPr>
            <w:tcW w:w="189" w:type="dxa"/>
            <w:tcBorders>
              <w:top w:val="nil"/>
              <w:left w:val="nil"/>
              <w:bottom w:val="nil"/>
              <w:right w:val="nil"/>
            </w:tcBorders>
            <w:shd w:val="clear" w:color="auto" w:fill="auto"/>
            <w:noWrap/>
            <w:vAlign w:val="center"/>
            <w:hideMark/>
          </w:tcPr>
          <w:p w14:paraId="7524DFDB" w14:textId="77777777" w:rsidR="00B43D75" w:rsidRPr="00135CBD" w:rsidRDefault="00B43D75" w:rsidP="00E607DA">
            <w:pPr>
              <w:jc w:val="right"/>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22ACD06B" w14:textId="77777777" w:rsidR="00B43D75" w:rsidRPr="00135CBD" w:rsidRDefault="00B43D75" w:rsidP="00E607DA">
            <w:pPr>
              <w:jc w:val="right"/>
              <w:rPr>
                <w:rFonts w:ascii="Meta Pro" w:eastAsia="Times New Roman" w:hAnsi="Meta Pro"/>
                <w:b/>
                <w:bCs/>
                <w:szCs w:val="18"/>
                <w:lang w:eastAsia="en-AU"/>
              </w:rPr>
            </w:pPr>
            <w:r w:rsidRPr="00135CBD">
              <w:rPr>
                <w:rFonts w:ascii="Meta Pro" w:eastAsia="Times New Roman" w:hAnsi="Meta Pro"/>
                <w:b/>
                <w:bCs/>
                <w:szCs w:val="18"/>
                <w:lang w:eastAsia="en-AU"/>
              </w:rPr>
              <w:t>(1,250)</w:t>
            </w:r>
          </w:p>
        </w:tc>
      </w:tr>
      <w:tr w:rsidR="00B43D75" w:rsidRPr="00135CBD" w14:paraId="0D6B1C5A" w14:textId="77777777" w:rsidTr="009A3F2A">
        <w:trPr>
          <w:trHeight w:val="240"/>
        </w:trPr>
        <w:tc>
          <w:tcPr>
            <w:tcW w:w="3289" w:type="dxa"/>
            <w:tcBorders>
              <w:top w:val="nil"/>
              <w:left w:val="nil"/>
              <w:bottom w:val="nil"/>
              <w:right w:val="nil"/>
            </w:tcBorders>
            <w:shd w:val="clear" w:color="auto" w:fill="auto"/>
            <w:noWrap/>
            <w:vAlign w:val="center"/>
            <w:hideMark/>
          </w:tcPr>
          <w:p w14:paraId="39277331" w14:textId="77777777" w:rsidR="00B43D75" w:rsidRPr="00135CBD" w:rsidRDefault="00B43D75" w:rsidP="00E607DA">
            <w:pPr>
              <w:rPr>
                <w:rFonts w:ascii="Meta Pro" w:eastAsia="Times New Roman" w:hAnsi="Meta Pro"/>
                <w:szCs w:val="18"/>
                <w:lang w:eastAsia="en-AU"/>
              </w:rPr>
            </w:pPr>
            <w:r w:rsidRPr="00135CBD">
              <w:rPr>
                <w:rFonts w:ascii="Meta Pro" w:eastAsia="Times New Roman" w:hAnsi="Meta Pro"/>
                <w:szCs w:val="18"/>
                <w:lang w:eastAsia="en-AU"/>
              </w:rPr>
              <w:t>Amortisation</w:t>
            </w:r>
          </w:p>
        </w:tc>
        <w:tc>
          <w:tcPr>
            <w:tcW w:w="1005" w:type="dxa"/>
            <w:tcBorders>
              <w:top w:val="nil"/>
              <w:left w:val="nil"/>
              <w:bottom w:val="nil"/>
              <w:right w:val="nil"/>
            </w:tcBorders>
            <w:shd w:val="clear" w:color="000000" w:fill="C9E3B4"/>
            <w:noWrap/>
            <w:vAlign w:val="center"/>
            <w:hideMark/>
          </w:tcPr>
          <w:p w14:paraId="397AF98A" w14:textId="77777777" w:rsidR="00B43D75" w:rsidRPr="00135CBD" w:rsidRDefault="00B43D75" w:rsidP="00E607DA">
            <w:pPr>
              <w:jc w:val="right"/>
              <w:rPr>
                <w:rFonts w:ascii="Meta Pro" w:eastAsia="Times New Roman" w:hAnsi="Meta Pro"/>
                <w:szCs w:val="18"/>
                <w:lang w:eastAsia="en-AU"/>
              </w:rPr>
            </w:pPr>
            <w:r w:rsidRPr="00135CBD">
              <w:rPr>
                <w:rFonts w:ascii="Meta Pro" w:eastAsia="Times New Roman" w:hAnsi="Meta Pro"/>
                <w:szCs w:val="18"/>
                <w:lang w:eastAsia="en-AU"/>
              </w:rPr>
              <w:t>(2,642)</w:t>
            </w:r>
          </w:p>
        </w:tc>
        <w:tc>
          <w:tcPr>
            <w:tcW w:w="189" w:type="dxa"/>
            <w:tcBorders>
              <w:top w:val="nil"/>
              <w:left w:val="nil"/>
              <w:bottom w:val="nil"/>
              <w:right w:val="nil"/>
            </w:tcBorders>
            <w:shd w:val="clear" w:color="auto" w:fill="auto"/>
            <w:noWrap/>
            <w:vAlign w:val="center"/>
            <w:hideMark/>
          </w:tcPr>
          <w:p w14:paraId="3DC3FBB3" w14:textId="77777777" w:rsidR="00B43D75" w:rsidRPr="00135CBD" w:rsidRDefault="00B43D75" w:rsidP="00E607DA">
            <w:pPr>
              <w:jc w:val="right"/>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229BD054" w14:textId="77777777" w:rsidR="00B43D75" w:rsidRPr="00135CBD" w:rsidRDefault="00B43D75" w:rsidP="00E607DA">
            <w:pPr>
              <w:jc w:val="right"/>
              <w:rPr>
                <w:rFonts w:ascii="Meta Pro" w:eastAsia="Times New Roman" w:hAnsi="Meta Pro"/>
                <w:szCs w:val="18"/>
                <w:lang w:eastAsia="en-AU"/>
              </w:rPr>
            </w:pPr>
            <w:r w:rsidRPr="00135CBD">
              <w:rPr>
                <w:rFonts w:ascii="Meta Pro" w:eastAsia="Times New Roman" w:hAnsi="Meta Pro"/>
                <w:szCs w:val="18"/>
                <w:lang w:eastAsia="en-AU"/>
              </w:rPr>
              <w:t>(8,989)</w:t>
            </w:r>
          </w:p>
        </w:tc>
        <w:tc>
          <w:tcPr>
            <w:tcW w:w="189" w:type="dxa"/>
            <w:tcBorders>
              <w:top w:val="nil"/>
              <w:left w:val="nil"/>
              <w:bottom w:val="nil"/>
              <w:right w:val="nil"/>
            </w:tcBorders>
            <w:shd w:val="clear" w:color="auto" w:fill="auto"/>
            <w:noWrap/>
            <w:vAlign w:val="center"/>
            <w:hideMark/>
          </w:tcPr>
          <w:p w14:paraId="4E93F93C" w14:textId="77777777" w:rsidR="00B43D75" w:rsidRPr="00135CBD" w:rsidRDefault="00B43D75" w:rsidP="00E607DA">
            <w:pPr>
              <w:jc w:val="right"/>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1DCD6105" w14:textId="77777777" w:rsidR="00B43D75" w:rsidRPr="00135CBD" w:rsidRDefault="00B43D75" w:rsidP="00E607DA">
            <w:pPr>
              <w:jc w:val="right"/>
              <w:rPr>
                <w:rFonts w:ascii="Meta Pro" w:eastAsia="Times New Roman" w:hAnsi="Meta Pro"/>
                <w:szCs w:val="18"/>
                <w:lang w:eastAsia="en-AU"/>
              </w:rPr>
            </w:pPr>
            <w:r w:rsidRPr="00135CBD">
              <w:rPr>
                <w:rFonts w:ascii="Meta Pro" w:eastAsia="Times New Roman" w:hAnsi="Meta Pro"/>
                <w:szCs w:val="18"/>
                <w:lang w:eastAsia="en-AU"/>
              </w:rPr>
              <w:t xml:space="preserve">- </w:t>
            </w:r>
          </w:p>
        </w:tc>
        <w:tc>
          <w:tcPr>
            <w:tcW w:w="189" w:type="dxa"/>
            <w:tcBorders>
              <w:top w:val="nil"/>
              <w:left w:val="nil"/>
              <w:bottom w:val="nil"/>
              <w:right w:val="nil"/>
            </w:tcBorders>
            <w:shd w:val="clear" w:color="auto" w:fill="auto"/>
            <w:noWrap/>
            <w:vAlign w:val="center"/>
            <w:hideMark/>
          </w:tcPr>
          <w:p w14:paraId="6B0FB7B5" w14:textId="77777777" w:rsidR="00B43D75" w:rsidRPr="00135CBD" w:rsidRDefault="00B43D75" w:rsidP="00E607DA">
            <w:pPr>
              <w:jc w:val="right"/>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5507921D" w14:textId="77777777" w:rsidR="00B43D75" w:rsidRPr="00135CBD" w:rsidRDefault="00B43D75" w:rsidP="00E607DA">
            <w:pPr>
              <w:jc w:val="right"/>
              <w:rPr>
                <w:rFonts w:ascii="Meta Pro" w:eastAsia="Times New Roman" w:hAnsi="Meta Pro"/>
                <w:szCs w:val="18"/>
                <w:lang w:eastAsia="en-AU"/>
              </w:rPr>
            </w:pPr>
            <w:r w:rsidRPr="00135CBD">
              <w:rPr>
                <w:rFonts w:ascii="Meta Pro" w:eastAsia="Times New Roman" w:hAnsi="Meta Pro"/>
                <w:szCs w:val="18"/>
                <w:lang w:eastAsia="en-AU"/>
              </w:rPr>
              <w:t xml:space="preserve">- </w:t>
            </w:r>
          </w:p>
        </w:tc>
        <w:tc>
          <w:tcPr>
            <w:tcW w:w="189" w:type="dxa"/>
            <w:tcBorders>
              <w:top w:val="nil"/>
              <w:left w:val="nil"/>
              <w:bottom w:val="nil"/>
              <w:right w:val="nil"/>
            </w:tcBorders>
            <w:shd w:val="clear" w:color="auto" w:fill="auto"/>
            <w:noWrap/>
            <w:vAlign w:val="center"/>
            <w:hideMark/>
          </w:tcPr>
          <w:p w14:paraId="1E7D4A03" w14:textId="77777777" w:rsidR="00B43D75" w:rsidRPr="00135CBD" w:rsidRDefault="00B43D75" w:rsidP="00E607DA">
            <w:pPr>
              <w:jc w:val="right"/>
              <w:rPr>
                <w:rFonts w:ascii="Meta Pro" w:eastAsia="Times New Roman" w:hAnsi="Meta Pro"/>
                <w:szCs w:val="18"/>
                <w:lang w:eastAsia="en-AU"/>
              </w:rPr>
            </w:pPr>
          </w:p>
        </w:tc>
        <w:tc>
          <w:tcPr>
            <w:tcW w:w="1005" w:type="dxa"/>
            <w:tcBorders>
              <w:top w:val="nil"/>
              <w:left w:val="nil"/>
              <w:bottom w:val="nil"/>
              <w:right w:val="nil"/>
            </w:tcBorders>
            <w:shd w:val="clear" w:color="000000" w:fill="C9E3B4"/>
            <w:noWrap/>
            <w:vAlign w:val="center"/>
            <w:hideMark/>
          </w:tcPr>
          <w:p w14:paraId="478D2902" w14:textId="77777777" w:rsidR="00B43D75" w:rsidRPr="00135CBD" w:rsidRDefault="00B43D75" w:rsidP="00E607DA">
            <w:pPr>
              <w:jc w:val="right"/>
              <w:rPr>
                <w:rFonts w:ascii="Meta Pro" w:eastAsia="Times New Roman" w:hAnsi="Meta Pro"/>
                <w:b/>
                <w:bCs/>
                <w:szCs w:val="18"/>
                <w:lang w:eastAsia="en-AU"/>
              </w:rPr>
            </w:pPr>
            <w:r w:rsidRPr="00135CBD">
              <w:rPr>
                <w:rFonts w:ascii="Meta Pro" w:eastAsia="Times New Roman" w:hAnsi="Meta Pro"/>
                <w:b/>
                <w:bCs/>
                <w:szCs w:val="18"/>
                <w:lang w:eastAsia="en-AU"/>
              </w:rPr>
              <w:t>(11,631)</w:t>
            </w:r>
          </w:p>
        </w:tc>
      </w:tr>
      <w:tr w:rsidR="00B43D75" w:rsidRPr="00135CBD" w14:paraId="4C1DC845" w14:textId="77777777" w:rsidTr="009A3F2A">
        <w:trPr>
          <w:trHeight w:val="240"/>
        </w:trPr>
        <w:tc>
          <w:tcPr>
            <w:tcW w:w="3289" w:type="dxa"/>
            <w:tcBorders>
              <w:top w:val="single" w:sz="4" w:space="0" w:color="auto"/>
              <w:left w:val="nil"/>
              <w:bottom w:val="double" w:sz="6" w:space="0" w:color="auto"/>
              <w:right w:val="nil"/>
            </w:tcBorders>
            <w:shd w:val="clear" w:color="auto" w:fill="auto"/>
            <w:noWrap/>
            <w:vAlign w:val="center"/>
            <w:hideMark/>
          </w:tcPr>
          <w:p w14:paraId="612B6E60" w14:textId="77777777" w:rsidR="00B43D75" w:rsidRPr="00135CBD" w:rsidRDefault="00B43D75" w:rsidP="00E607DA">
            <w:pPr>
              <w:rPr>
                <w:rFonts w:ascii="Meta Pro" w:eastAsia="Times New Roman" w:hAnsi="Meta Pro"/>
                <w:b/>
                <w:bCs/>
                <w:szCs w:val="18"/>
                <w:lang w:eastAsia="en-AU"/>
              </w:rPr>
            </w:pPr>
            <w:r w:rsidRPr="00135CBD">
              <w:rPr>
                <w:rFonts w:ascii="Meta Pro" w:eastAsia="Times New Roman" w:hAnsi="Meta Pro"/>
                <w:b/>
                <w:bCs/>
                <w:szCs w:val="18"/>
                <w:lang w:eastAsia="en-AU"/>
              </w:rPr>
              <w:t>Carrying amount at 30 June</w:t>
            </w:r>
          </w:p>
        </w:tc>
        <w:tc>
          <w:tcPr>
            <w:tcW w:w="1005" w:type="dxa"/>
            <w:tcBorders>
              <w:top w:val="single" w:sz="4" w:space="0" w:color="auto"/>
              <w:left w:val="nil"/>
              <w:bottom w:val="double" w:sz="6" w:space="0" w:color="auto"/>
              <w:right w:val="nil"/>
            </w:tcBorders>
            <w:shd w:val="clear" w:color="000000" w:fill="C9E3B4"/>
            <w:noWrap/>
            <w:vAlign w:val="center"/>
            <w:hideMark/>
          </w:tcPr>
          <w:p w14:paraId="5A36563B" w14:textId="77777777" w:rsidR="00B43D75" w:rsidRPr="00135CBD" w:rsidRDefault="00B43D75" w:rsidP="00E607DA">
            <w:pPr>
              <w:jc w:val="right"/>
              <w:rPr>
                <w:rFonts w:ascii="Meta Pro" w:eastAsia="Times New Roman" w:hAnsi="Meta Pro"/>
                <w:b/>
                <w:bCs/>
                <w:szCs w:val="18"/>
                <w:lang w:eastAsia="en-AU"/>
              </w:rPr>
            </w:pPr>
            <w:r w:rsidRPr="00135CBD">
              <w:rPr>
                <w:rFonts w:ascii="Meta Pro" w:eastAsia="Times New Roman" w:hAnsi="Meta Pro"/>
                <w:b/>
                <w:bCs/>
                <w:szCs w:val="18"/>
                <w:lang w:eastAsia="en-AU"/>
              </w:rPr>
              <w:t xml:space="preserve">14,486 </w:t>
            </w:r>
          </w:p>
        </w:tc>
        <w:tc>
          <w:tcPr>
            <w:tcW w:w="189" w:type="dxa"/>
            <w:tcBorders>
              <w:top w:val="nil"/>
              <w:left w:val="nil"/>
              <w:bottom w:val="nil"/>
              <w:right w:val="nil"/>
            </w:tcBorders>
            <w:shd w:val="clear" w:color="auto" w:fill="auto"/>
            <w:noWrap/>
            <w:vAlign w:val="center"/>
            <w:hideMark/>
          </w:tcPr>
          <w:p w14:paraId="7196EAD9" w14:textId="77777777" w:rsidR="00B43D75" w:rsidRPr="00135CBD" w:rsidRDefault="00B43D75" w:rsidP="00E607DA">
            <w:pPr>
              <w:jc w:val="right"/>
              <w:rPr>
                <w:rFonts w:ascii="Meta Pro" w:eastAsia="Times New Roman" w:hAnsi="Meta Pro"/>
                <w:b/>
                <w:bCs/>
                <w:szCs w:val="18"/>
                <w:lang w:eastAsia="en-AU"/>
              </w:rPr>
            </w:pPr>
          </w:p>
        </w:tc>
        <w:tc>
          <w:tcPr>
            <w:tcW w:w="1005" w:type="dxa"/>
            <w:tcBorders>
              <w:top w:val="single" w:sz="4" w:space="0" w:color="auto"/>
              <w:left w:val="nil"/>
              <w:bottom w:val="double" w:sz="6" w:space="0" w:color="auto"/>
              <w:right w:val="nil"/>
            </w:tcBorders>
            <w:shd w:val="clear" w:color="000000" w:fill="C9E3B4"/>
            <w:noWrap/>
            <w:vAlign w:val="center"/>
            <w:hideMark/>
          </w:tcPr>
          <w:p w14:paraId="45BC89BB" w14:textId="77777777" w:rsidR="00B43D75" w:rsidRPr="00135CBD" w:rsidRDefault="00B43D75" w:rsidP="00E607DA">
            <w:pPr>
              <w:jc w:val="right"/>
              <w:rPr>
                <w:rFonts w:ascii="Meta Pro" w:eastAsia="Times New Roman" w:hAnsi="Meta Pro"/>
                <w:b/>
                <w:bCs/>
                <w:szCs w:val="18"/>
                <w:lang w:eastAsia="en-AU"/>
              </w:rPr>
            </w:pPr>
            <w:r w:rsidRPr="00135CBD">
              <w:rPr>
                <w:rFonts w:ascii="Meta Pro" w:eastAsia="Times New Roman" w:hAnsi="Meta Pro"/>
                <w:b/>
                <w:bCs/>
                <w:szCs w:val="18"/>
                <w:lang w:eastAsia="en-AU"/>
              </w:rPr>
              <w:t xml:space="preserve">27,230 </w:t>
            </w:r>
          </w:p>
        </w:tc>
        <w:tc>
          <w:tcPr>
            <w:tcW w:w="189" w:type="dxa"/>
            <w:tcBorders>
              <w:top w:val="nil"/>
              <w:left w:val="nil"/>
              <w:bottom w:val="nil"/>
              <w:right w:val="nil"/>
            </w:tcBorders>
            <w:shd w:val="clear" w:color="auto" w:fill="auto"/>
            <w:noWrap/>
            <w:vAlign w:val="center"/>
            <w:hideMark/>
          </w:tcPr>
          <w:p w14:paraId="6CFCB15C" w14:textId="77777777" w:rsidR="00B43D75" w:rsidRPr="00135CBD" w:rsidRDefault="00B43D75" w:rsidP="00E607DA">
            <w:pPr>
              <w:jc w:val="right"/>
              <w:rPr>
                <w:rFonts w:ascii="Meta Pro" w:eastAsia="Times New Roman" w:hAnsi="Meta Pro"/>
                <w:b/>
                <w:bCs/>
                <w:szCs w:val="18"/>
                <w:lang w:eastAsia="en-AU"/>
              </w:rPr>
            </w:pPr>
          </w:p>
        </w:tc>
        <w:tc>
          <w:tcPr>
            <w:tcW w:w="1005" w:type="dxa"/>
            <w:tcBorders>
              <w:top w:val="single" w:sz="4" w:space="0" w:color="auto"/>
              <w:left w:val="nil"/>
              <w:bottom w:val="double" w:sz="6" w:space="0" w:color="auto"/>
              <w:right w:val="nil"/>
            </w:tcBorders>
            <w:shd w:val="clear" w:color="000000" w:fill="C9E3B4"/>
            <w:noWrap/>
            <w:vAlign w:val="center"/>
            <w:hideMark/>
          </w:tcPr>
          <w:p w14:paraId="352CFBE0" w14:textId="77777777" w:rsidR="00B43D75" w:rsidRPr="00135CBD" w:rsidRDefault="00B43D75" w:rsidP="00E607DA">
            <w:pPr>
              <w:jc w:val="right"/>
              <w:rPr>
                <w:rFonts w:ascii="Meta Pro" w:eastAsia="Times New Roman" w:hAnsi="Meta Pro"/>
                <w:b/>
                <w:bCs/>
                <w:szCs w:val="18"/>
                <w:lang w:eastAsia="en-AU"/>
              </w:rPr>
            </w:pPr>
            <w:r w:rsidRPr="00135CBD">
              <w:rPr>
                <w:rFonts w:ascii="Meta Pro" w:eastAsia="Times New Roman" w:hAnsi="Meta Pro"/>
                <w:b/>
                <w:bCs/>
                <w:szCs w:val="18"/>
                <w:lang w:eastAsia="en-AU"/>
              </w:rPr>
              <w:t xml:space="preserve">44,114 </w:t>
            </w:r>
          </w:p>
        </w:tc>
        <w:tc>
          <w:tcPr>
            <w:tcW w:w="189" w:type="dxa"/>
            <w:tcBorders>
              <w:top w:val="nil"/>
              <w:left w:val="nil"/>
              <w:bottom w:val="nil"/>
              <w:right w:val="nil"/>
            </w:tcBorders>
            <w:shd w:val="clear" w:color="auto" w:fill="auto"/>
            <w:noWrap/>
            <w:vAlign w:val="center"/>
            <w:hideMark/>
          </w:tcPr>
          <w:p w14:paraId="19C7981E" w14:textId="77777777" w:rsidR="00B43D75" w:rsidRPr="00135CBD" w:rsidRDefault="00B43D75" w:rsidP="00E607DA">
            <w:pPr>
              <w:jc w:val="right"/>
              <w:rPr>
                <w:rFonts w:ascii="Meta Pro" w:eastAsia="Times New Roman" w:hAnsi="Meta Pro"/>
                <w:b/>
                <w:bCs/>
                <w:szCs w:val="18"/>
                <w:lang w:eastAsia="en-AU"/>
              </w:rPr>
            </w:pPr>
          </w:p>
        </w:tc>
        <w:tc>
          <w:tcPr>
            <w:tcW w:w="1005" w:type="dxa"/>
            <w:tcBorders>
              <w:top w:val="single" w:sz="4" w:space="0" w:color="auto"/>
              <w:left w:val="nil"/>
              <w:bottom w:val="double" w:sz="6" w:space="0" w:color="auto"/>
              <w:right w:val="nil"/>
            </w:tcBorders>
            <w:shd w:val="clear" w:color="000000" w:fill="C9E3B4"/>
            <w:noWrap/>
            <w:vAlign w:val="center"/>
            <w:hideMark/>
          </w:tcPr>
          <w:p w14:paraId="19238547" w14:textId="77777777" w:rsidR="00B43D75" w:rsidRPr="00135CBD" w:rsidRDefault="00B43D75" w:rsidP="00E607DA">
            <w:pPr>
              <w:jc w:val="right"/>
              <w:rPr>
                <w:rFonts w:ascii="Meta Pro" w:eastAsia="Times New Roman" w:hAnsi="Meta Pro"/>
                <w:b/>
                <w:bCs/>
                <w:szCs w:val="18"/>
                <w:lang w:eastAsia="en-AU"/>
              </w:rPr>
            </w:pPr>
            <w:r w:rsidRPr="00135CBD">
              <w:rPr>
                <w:rFonts w:ascii="Meta Pro" w:eastAsia="Times New Roman" w:hAnsi="Meta Pro"/>
                <w:b/>
                <w:bCs/>
                <w:szCs w:val="18"/>
                <w:lang w:eastAsia="en-AU"/>
              </w:rPr>
              <w:t xml:space="preserve">4,346 </w:t>
            </w:r>
          </w:p>
        </w:tc>
        <w:tc>
          <w:tcPr>
            <w:tcW w:w="189" w:type="dxa"/>
            <w:tcBorders>
              <w:top w:val="nil"/>
              <w:left w:val="nil"/>
              <w:bottom w:val="nil"/>
              <w:right w:val="nil"/>
            </w:tcBorders>
            <w:shd w:val="clear" w:color="auto" w:fill="auto"/>
            <w:noWrap/>
            <w:vAlign w:val="center"/>
            <w:hideMark/>
          </w:tcPr>
          <w:p w14:paraId="02BCA81F" w14:textId="77777777" w:rsidR="00B43D75" w:rsidRPr="00135CBD" w:rsidRDefault="00B43D75" w:rsidP="00E607DA">
            <w:pPr>
              <w:jc w:val="right"/>
              <w:rPr>
                <w:rFonts w:ascii="Meta Pro" w:eastAsia="Times New Roman" w:hAnsi="Meta Pro"/>
                <w:b/>
                <w:bCs/>
                <w:szCs w:val="18"/>
                <w:lang w:eastAsia="en-AU"/>
              </w:rPr>
            </w:pPr>
          </w:p>
        </w:tc>
        <w:tc>
          <w:tcPr>
            <w:tcW w:w="1005" w:type="dxa"/>
            <w:tcBorders>
              <w:top w:val="single" w:sz="4" w:space="0" w:color="auto"/>
              <w:left w:val="nil"/>
              <w:bottom w:val="double" w:sz="6" w:space="0" w:color="auto"/>
              <w:right w:val="nil"/>
            </w:tcBorders>
            <w:shd w:val="clear" w:color="000000" w:fill="C9E3B4"/>
            <w:noWrap/>
            <w:vAlign w:val="center"/>
            <w:hideMark/>
          </w:tcPr>
          <w:p w14:paraId="1A8A7100" w14:textId="77777777" w:rsidR="00B43D75" w:rsidRPr="00135CBD" w:rsidRDefault="00B43D75" w:rsidP="00E607DA">
            <w:pPr>
              <w:jc w:val="right"/>
              <w:rPr>
                <w:rFonts w:ascii="Meta Pro" w:eastAsia="Times New Roman" w:hAnsi="Meta Pro"/>
                <w:b/>
                <w:bCs/>
                <w:szCs w:val="18"/>
                <w:lang w:eastAsia="en-AU"/>
              </w:rPr>
            </w:pPr>
            <w:r w:rsidRPr="00135CBD">
              <w:rPr>
                <w:rFonts w:ascii="Meta Pro" w:eastAsia="Times New Roman" w:hAnsi="Meta Pro"/>
                <w:b/>
                <w:bCs/>
                <w:szCs w:val="18"/>
                <w:lang w:eastAsia="en-AU"/>
              </w:rPr>
              <w:t xml:space="preserve">90,176 </w:t>
            </w:r>
          </w:p>
        </w:tc>
      </w:tr>
    </w:tbl>
    <w:p w14:paraId="7F5C8280" w14:textId="77777777" w:rsidR="009A3F2A" w:rsidRDefault="009A3F2A" w:rsidP="009A3F2A">
      <w:pPr>
        <w:spacing w:line="259" w:lineRule="auto"/>
        <w:rPr>
          <w:rFonts w:asciiTheme="minorHAnsi" w:hAnsiTheme="minorHAnsi" w:cstheme="minorBidi"/>
        </w:rPr>
      </w:pPr>
      <w:r w:rsidRPr="00092B22">
        <w:rPr>
          <w:rFonts w:ascii="Meta Pro" w:eastAsia="Times New Roman" w:hAnsi="Meta Pro"/>
          <w:b/>
          <w:bCs/>
          <w:sz w:val="24"/>
          <w:szCs w:val="24"/>
          <w:lang w:eastAsia="en-AU"/>
        </w:rPr>
        <w:t>14     INTANGIBLE ASSETS (continued)</w:t>
      </w:r>
    </w:p>
    <w:tbl>
      <w:tblPr>
        <w:tblW w:w="0" w:type="auto"/>
        <w:tblCellMar>
          <w:left w:w="0" w:type="dxa"/>
        </w:tblCellMar>
        <w:tblLook w:val="04A0" w:firstRow="1" w:lastRow="0" w:firstColumn="1" w:lastColumn="0" w:noHBand="0" w:noVBand="1"/>
      </w:tblPr>
      <w:tblGrid>
        <w:gridCol w:w="3517"/>
        <w:gridCol w:w="1069"/>
        <w:gridCol w:w="194"/>
        <w:gridCol w:w="1069"/>
        <w:gridCol w:w="194"/>
        <w:gridCol w:w="1069"/>
        <w:gridCol w:w="194"/>
        <w:gridCol w:w="1069"/>
        <w:gridCol w:w="194"/>
        <w:gridCol w:w="1069"/>
      </w:tblGrid>
      <w:tr w:rsidR="009A3F2A" w:rsidRPr="00085941" w14:paraId="3FB8788C" w14:textId="77777777" w:rsidTr="00E607DA">
        <w:trPr>
          <w:trHeight w:val="240"/>
        </w:trPr>
        <w:tc>
          <w:tcPr>
            <w:tcW w:w="3969" w:type="dxa"/>
            <w:tcBorders>
              <w:top w:val="nil"/>
              <w:left w:val="nil"/>
              <w:bottom w:val="nil"/>
              <w:right w:val="nil"/>
            </w:tcBorders>
            <w:shd w:val="clear" w:color="auto" w:fill="auto"/>
            <w:noWrap/>
            <w:vAlign w:val="center"/>
            <w:hideMark/>
          </w:tcPr>
          <w:p w14:paraId="1B0762C9" w14:textId="77777777" w:rsidR="009A3F2A" w:rsidRPr="00085941" w:rsidRDefault="009A3F2A" w:rsidP="00E607DA">
            <w:pPr>
              <w:rPr>
                <w:rFonts w:eastAsia="Times New Roman" w:cs="Times New Roman"/>
                <w:sz w:val="24"/>
                <w:szCs w:val="24"/>
                <w:lang w:eastAsia="en-AU"/>
              </w:rPr>
            </w:pPr>
          </w:p>
        </w:tc>
        <w:tc>
          <w:tcPr>
            <w:tcW w:w="1191" w:type="dxa"/>
            <w:tcBorders>
              <w:top w:val="nil"/>
              <w:left w:val="nil"/>
              <w:bottom w:val="nil"/>
              <w:right w:val="nil"/>
            </w:tcBorders>
            <w:shd w:val="clear" w:color="auto" w:fill="auto"/>
            <w:hideMark/>
          </w:tcPr>
          <w:p w14:paraId="05657D48" w14:textId="77777777" w:rsidR="009A3F2A" w:rsidRPr="00085941" w:rsidRDefault="009A3F2A" w:rsidP="00E607DA">
            <w:pPr>
              <w:jc w:val="center"/>
              <w:rPr>
                <w:rFonts w:ascii="Meta Pro" w:eastAsia="Times New Roman" w:hAnsi="Meta Pro"/>
                <w:b/>
                <w:bCs/>
                <w:szCs w:val="18"/>
                <w:lang w:eastAsia="en-AU"/>
              </w:rPr>
            </w:pPr>
            <w:r w:rsidRPr="00085941">
              <w:rPr>
                <w:rFonts w:ascii="Meta Pro" w:eastAsia="Times New Roman" w:hAnsi="Meta Pro"/>
                <w:b/>
                <w:bCs/>
                <w:szCs w:val="18"/>
                <w:lang w:eastAsia="en-AU"/>
              </w:rPr>
              <w:t>Software</w:t>
            </w:r>
          </w:p>
        </w:tc>
        <w:tc>
          <w:tcPr>
            <w:tcW w:w="198" w:type="dxa"/>
            <w:tcBorders>
              <w:top w:val="nil"/>
              <w:left w:val="nil"/>
              <w:bottom w:val="nil"/>
              <w:right w:val="nil"/>
            </w:tcBorders>
            <w:shd w:val="clear" w:color="auto" w:fill="auto"/>
            <w:noWrap/>
            <w:vAlign w:val="center"/>
            <w:hideMark/>
          </w:tcPr>
          <w:p w14:paraId="2183F8D7" w14:textId="77777777" w:rsidR="009A3F2A" w:rsidRPr="00085941" w:rsidRDefault="009A3F2A" w:rsidP="00E607DA">
            <w:pPr>
              <w:jc w:val="center"/>
              <w:rPr>
                <w:rFonts w:ascii="Meta Pro" w:eastAsia="Times New Roman" w:hAnsi="Meta Pro"/>
                <w:b/>
                <w:bCs/>
                <w:szCs w:val="18"/>
                <w:lang w:eastAsia="en-AU"/>
              </w:rPr>
            </w:pPr>
          </w:p>
        </w:tc>
        <w:tc>
          <w:tcPr>
            <w:tcW w:w="1191" w:type="dxa"/>
            <w:tcBorders>
              <w:top w:val="nil"/>
              <w:left w:val="nil"/>
              <w:bottom w:val="nil"/>
              <w:right w:val="nil"/>
            </w:tcBorders>
            <w:shd w:val="clear" w:color="auto" w:fill="auto"/>
            <w:hideMark/>
          </w:tcPr>
          <w:p w14:paraId="5EEE2718" w14:textId="77777777" w:rsidR="009A3F2A" w:rsidRPr="00085941" w:rsidRDefault="009A3F2A" w:rsidP="00E607DA">
            <w:pPr>
              <w:jc w:val="center"/>
              <w:rPr>
                <w:rFonts w:ascii="Meta Pro" w:eastAsia="Times New Roman" w:hAnsi="Meta Pro"/>
                <w:b/>
                <w:bCs/>
                <w:szCs w:val="18"/>
                <w:lang w:eastAsia="en-AU"/>
              </w:rPr>
            </w:pPr>
            <w:r w:rsidRPr="00085941">
              <w:rPr>
                <w:rFonts w:ascii="Meta Pro" w:eastAsia="Times New Roman" w:hAnsi="Meta Pro"/>
                <w:b/>
                <w:bCs/>
                <w:szCs w:val="18"/>
                <w:lang w:eastAsia="en-AU"/>
              </w:rPr>
              <w:t>Software</w:t>
            </w:r>
          </w:p>
        </w:tc>
        <w:tc>
          <w:tcPr>
            <w:tcW w:w="198" w:type="dxa"/>
            <w:tcBorders>
              <w:top w:val="nil"/>
              <w:left w:val="nil"/>
              <w:bottom w:val="nil"/>
              <w:right w:val="nil"/>
            </w:tcBorders>
            <w:shd w:val="clear" w:color="auto" w:fill="auto"/>
            <w:noWrap/>
            <w:vAlign w:val="center"/>
            <w:hideMark/>
          </w:tcPr>
          <w:p w14:paraId="715EBF7F" w14:textId="77777777" w:rsidR="009A3F2A" w:rsidRPr="00085941" w:rsidRDefault="009A3F2A" w:rsidP="00E607DA">
            <w:pPr>
              <w:jc w:val="center"/>
              <w:rPr>
                <w:rFonts w:ascii="Meta Pro" w:eastAsia="Times New Roman" w:hAnsi="Meta Pro"/>
                <w:b/>
                <w:bCs/>
                <w:szCs w:val="18"/>
                <w:lang w:eastAsia="en-AU"/>
              </w:rPr>
            </w:pPr>
          </w:p>
        </w:tc>
        <w:tc>
          <w:tcPr>
            <w:tcW w:w="1191" w:type="dxa"/>
            <w:tcBorders>
              <w:top w:val="nil"/>
              <w:left w:val="nil"/>
              <w:bottom w:val="nil"/>
              <w:right w:val="nil"/>
            </w:tcBorders>
            <w:shd w:val="clear" w:color="auto" w:fill="auto"/>
            <w:hideMark/>
          </w:tcPr>
          <w:p w14:paraId="5AE56E09" w14:textId="77777777" w:rsidR="009A3F2A" w:rsidRPr="00085941" w:rsidRDefault="009A3F2A" w:rsidP="00E607DA">
            <w:pPr>
              <w:jc w:val="center"/>
              <w:rPr>
                <w:rFonts w:ascii="Meta Pro" w:eastAsia="Times New Roman" w:hAnsi="Meta Pro"/>
                <w:b/>
                <w:bCs/>
                <w:szCs w:val="18"/>
                <w:lang w:eastAsia="en-AU"/>
              </w:rPr>
            </w:pPr>
            <w:r w:rsidRPr="00085941">
              <w:rPr>
                <w:rFonts w:ascii="Meta Pro" w:eastAsia="Times New Roman" w:hAnsi="Meta Pro"/>
                <w:b/>
                <w:bCs/>
                <w:szCs w:val="18"/>
                <w:lang w:eastAsia="en-AU"/>
              </w:rPr>
              <w:t xml:space="preserve">Software </w:t>
            </w:r>
          </w:p>
        </w:tc>
        <w:tc>
          <w:tcPr>
            <w:tcW w:w="198" w:type="dxa"/>
            <w:tcBorders>
              <w:top w:val="nil"/>
              <w:left w:val="nil"/>
              <w:bottom w:val="nil"/>
              <w:right w:val="nil"/>
            </w:tcBorders>
            <w:shd w:val="clear" w:color="auto" w:fill="auto"/>
            <w:noWrap/>
            <w:hideMark/>
          </w:tcPr>
          <w:p w14:paraId="2EBB35B3" w14:textId="77777777" w:rsidR="009A3F2A" w:rsidRPr="00085941" w:rsidRDefault="009A3F2A" w:rsidP="00E607DA">
            <w:pPr>
              <w:jc w:val="center"/>
              <w:rPr>
                <w:rFonts w:ascii="Meta Pro" w:eastAsia="Times New Roman" w:hAnsi="Meta Pro"/>
                <w:b/>
                <w:bCs/>
                <w:szCs w:val="18"/>
                <w:lang w:eastAsia="en-AU"/>
              </w:rPr>
            </w:pPr>
          </w:p>
        </w:tc>
        <w:tc>
          <w:tcPr>
            <w:tcW w:w="1191" w:type="dxa"/>
            <w:tcBorders>
              <w:top w:val="nil"/>
              <w:left w:val="nil"/>
              <w:bottom w:val="nil"/>
              <w:right w:val="nil"/>
            </w:tcBorders>
            <w:shd w:val="clear" w:color="auto" w:fill="auto"/>
            <w:hideMark/>
          </w:tcPr>
          <w:p w14:paraId="5F07D31E" w14:textId="77777777" w:rsidR="009A3F2A" w:rsidRPr="00085941" w:rsidRDefault="009A3F2A" w:rsidP="00E607DA">
            <w:pPr>
              <w:jc w:val="center"/>
              <w:rPr>
                <w:rFonts w:ascii="Meta Pro" w:eastAsia="Times New Roman" w:hAnsi="Meta Pro"/>
                <w:b/>
                <w:bCs/>
                <w:szCs w:val="18"/>
                <w:lang w:eastAsia="en-AU"/>
              </w:rPr>
            </w:pPr>
            <w:r w:rsidRPr="00085941">
              <w:rPr>
                <w:rFonts w:ascii="Meta Pro" w:eastAsia="Times New Roman" w:hAnsi="Meta Pro"/>
                <w:b/>
                <w:bCs/>
                <w:szCs w:val="18"/>
                <w:lang w:eastAsia="en-AU"/>
              </w:rPr>
              <w:t>Other</w:t>
            </w:r>
          </w:p>
        </w:tc>
        <w:tc>
          <w:tcPr>
            <w:tcW w:w="198" w:type="dxa"/>
            <w:tcBorders>
              <w:top w:val="nil"/>
              <w:left w:val="nil"/>
              <w:bottom w:val="nil"/>
              <w:right w:val="nil"/>
            </w:tcBorders>
            <w:shd w:val="clear" w:color="auto" w:fill="auto"/>
            <w:noWrap/>
            <w:hideMark/>
          </w:tcPr>
          <w:p w14:paraId="4A3AFD7D" w14:textId="77777777" w:rsidR="009A3F2A" w:rsidRPr="00085941" w:rsidRDefault="009A3F2A" w:rsidP="00E607DA">
            <w:pPr>
              <w:jc w:val="center"/>
              <w:rPr>
                <w:rFonts w:ascii="Meta Pro" w:eastAsia="Times New Roman" w:hAnsi="Meta Pro"/>
                <w:b/>
                <w:bCs/>
                <w:szCs w:val="18"/>
                <w:lang w:eastAsia="en-AU"/>
              </w:rPr>
            </w:pPr>
          </w:p>
        </w:tc>
        <w:tc>
          <w:tcPr>
            <w:tcW w:w="1191" w:type="dxa"/>
            <w:tcBorders>
              <w:top w:val="nil"/>
              <w:left w:val="nil"/>
              <w:bottom w:val="nil"/>
              <w:right w:val="nil"/>
            </w:tcBorders>
            <w:shd w:val="clear" w:color="auto" w:fill="auto"/>
            <w:hideMark/>
          </w:tcPr>
          <w:p w14:paraId="541B8B36" w14:textId="77777777" w:rsidR="009A3F2A" w:rsidRPr="00085941" w:rsidRDefault="009A3F2A" w:rsidP="00E607DA">
            <w:pPr>
              <w:jc w:val="center"/>
              <w:rPr>
                <w:rFonts w:ascii="Meta Pro" w:eastAsia="Times New Roman" w:hAnsi="Meta Pro"/>
                <w:b/>
                <w:bCs/>
                <w:szCs w:val="18"/>
                <w:lang w:eastAsia="en-AU"/>
              </w:rPr>
            </w:pPr>
            <w:r w:rsidRPr="00085941">
              <w:rPr>
                <w:rFonts w:ascii="Meta Pro" w:eastAsia="Times New Roman" w:hAnsi="Meta Pro"/>
                <w:b/>
                <w:bCs/>
                <w:szCs w:val="18"/>
                <w:lang w:eastAsia="en-AU"/>
              </w:rPr>
              <w:t>Total</w:t>
            </w:r>
          </w:p>
        </w:tc>
      </w:tr>
      <w:tr w:rsidR="009A3F2A" w:rsidRPr="00085941" w14:paraId="61E898E5" w14:textId="77777777" w:rsidTr="00E607DA">
        <w:trPr>
          <w:trHeight w:val="240"/>
        </w:trPr>
        <w:tc>
          <w:tcPr>
            <w:tcW w:w="3969" w:type="dxa"/>
            <w:tcBorders>
              <w:top w:val="nil"/>
              <w:left w:val="nil"/>
              <w:bottom w:val="nil"/>
              <w:right w:val="nil"/>
            </w:tcBorders>
            <w:shd w:val="clear" w:color="auto" w:fill="auto"/>
            <w:noWrap/>
            <w:vAlign w:val="center"/>
            <w:hideMark/>
          </w:tcPr>
          <w:p w14:paraId="22F57C36" w14:textId="77777777" w:rsidR="009A3F2A" w:rsidRPr="00085941" w:rsidRDefault="009A3F2A" w:rsidP="00E607DA">
            <w:pPr>
              <w:jc w:val="center"/>
              <w:rPr>
                <w:rFonts w:ascii="Meta Pro" w:eastAsia="Times New Roman" w:hAnsi="Meta Pro"/>
                <w:b/>
                <w:bCs/>
                <w:szCs w:val="18"/>
                <w:lang w:eastAsia="en-AU"/>
              </w:rPr>
            </w:pPr>
          </w:p>
        </w:tc>
        <w:tc>
          <w:tcPr>
            <w:tcW w:w="1191" w:type="dxa"/>
            <w:tcBorders>
              <w:top w:val="nil"/>
              <w:left w:val="nil"/>
              <w:bottom w:val="nil"/>
              <w:right w:val="nil"/>
            </w:tcBorders>
            <w:shd w:val="clear" w:color="auto" w:fill="auto"/>
            <w:hideMark/>
          </w:tcPr>
          <w:p w14:paraId="3EAAE5EE" w14:textId="77777777" w:rsidR="009A3F2A" w:rsidRPr="00085941" w:rsidRDefault="009A3F2A" w:rsidP="00E607DA">
            <w:pPr>
              <w:jc w:val="center"/>
              <w:rPr>
                <w:rFonts w:ascii="Meta Pro" w:eastAsia="Times New Roman" w:hAnsi="Meta Pro"/>
                <w:b/>
                <w:bCs/>
                <w:szCs w:val="18"/>
                <w:lang w:eastAsia="en-AU"/>
              </w:rPr>
            </w:pPr>
            <w:r w:rsidRPr="00085941">
              <w:rPr>
                <w:rFonts w:ascii="Meta Pro" w:eastAsia="Times New Roman" w:hAnsi="Meta Pro"/>
                <w:b/>
                <w:bCs/>
                <w:szCs w:val="18"/>
                <w:lang w:eastAsia="en-AU"/>
              </w:rPr>
              <w:t>purchased</w:t>
            </w:r>
          </w:p>
        </w:tc>
        <w:tc>
          <w:tcPr>
            <w:tcW w:w="198" w:type="dxa"/>
            <w:tcBorders>
              <w:top w:val="nil"/>
              <w:left w:val="nil"/>
              <w:bottom w:val="nil"/>
              <w:right w:val="nil"/>
            </w:tcBorders>
            <w:shd w:val="clear" w:color="auto" w:fill="auto"/>
            <w:hideMark/>
          </w:tcPr>
          <w:p w14:paraId="3D43ABC9" w14:textId="77777777" w:rsidR="009A3F2A" w:rsidRPr="00085941" w:rsidRDefault="009A3F2A" w:rsidP="00E607DA">
            <w:pPr>
              <w:jc w:val="center"/>
              <w:rPr>
                <w:rFonts w:ascii="Meta Pro" w:eastAsia="Times New Roman" w:hAnsi="Meta Pro"/>
                <w:b/>
                <w:bCs/>
                <w:szCs w:val="18"/>
                <w:lang w:eastAsia="en-AU"/>
              </w:rPr>
            </w:pPr>
          </w:p>
        </w:tc>
        <w:tc>
          <w:tcPr>
            <w:tcW w:w="1191" w:type="dxa"/>
            <w:tcBorders>
              <w:top w:val="nil"/>
              <w:left w:val="nil"/>
              <w:bottom w:val="nil"/>
              <w:right w:val="nil"/>
            </w:tcBorders>
            <w:shd w:val="clear" w:color="auto" w:fill="auto"/>
            <w:hideMark/>
          </w:tcPr>
          <w:p w14:paraId="68220D11" w14:textId="77777777" w:rsidR="009A3F2A" w:rsidRPr="00085941" w:rsidRDefault="009A3F2A" w:rsidP="00E607DA">
            <w:pPr>
              <w:jc w:val="center"/>
              <w:rPr>
                <w:rFonts w:ascii="Meta Pro" w:eastAsia="Times New Roman" w:hAnsi="Meta Pro"/>
                <w:b/>
                <w:bCs/>
                <w:szCs w:val="18"/>
                <w:lang w:eastAsia="en-AU"/>
              </w:rPr>
            </w:pPr>
            <w:r w:rsidRPr="00085941">
              <w:rPr>
                <w:rFonts w:ascii="Meta Pro" w:eastAsia="Times New Roman" w:hAnsi="Meta Pro"/>
                <w:b/>
                <w:bCs/>
                <w:szCs w:val="18"/>
                <w:lang w:eastAsia="en-AU"/>
              </w:rPr>
              <w:t>internally</w:t>
            </w:r>
          </w:p>
        </w:tc>
        <w:tc>
          <w:tcPr>
            <w:tcW w:w="198" w:type="dxa"/>
            <w:tcBorders>
              <w:top w:val="nil"/>
              <w:left w:val="nil"/>
              <w:bottom w:val="nil"/>
              <w:right w:val="nil"/>
            </w:tcBorders>
            <w:shd w:val="clear" w:color="auto" w:fill="auto"/>
            <w:hideMark/>
          </w:tcPr>
          <w:p w14:paraId="7D5C3737" w14:textId="77777777" w:rsidR="009A3F2A" w:rsidRPr="00085941" w:rsidRDefault="009A3F2A" w:rsidP="00E607DA">
            <w:pPr>
              <w:jc w:val="center"/>
              <w:rPr>
                <w:rFonts w:ascii="Meta Pro" w:eastAsia="Times New Roman" w:hAnsi="Meta Pro"/>
                <w:b/>
                <w:bCs/>
                <w:szCs w:val="18"/>
                <w:lang w:eastAsia="en-AU"/>
              </w:rPr>
            </w:pPr>
          </w:p>
        </w:tc>
        <w:tc>
          <w:tcPr>
            <w:tcW w:w="1191" w:type="dxa"/>
            <w:tcBorders>
              <w:top w:val="nil"/>
              <w:left w:val="nil"/>
              <w:bottom w:val="nil"/>
              <w:right w:val="nil"/>
            </w:tcBorders>
            <w:shd w:val="clear" w:color="auto" w:fill="auto"/>
            <w:hideMark/>
          </w:tcPr>
          <w:p w14:paraId="55BF245A" w14:textId="77777777" w:rsidR="009A3F2A" w:rsidRPr="00085941" w:rsidRDefault="009A3F2A" w:rsidP="00E607DA">
            <w:pPr>
              <w:jc w:val="center"/>
              <w:rPr>
                <w:rFonts w:ascii="Meta Pro" w:eastAsia="Times New Roman" w:hAnsi="Meta Pro"/>
                <w:b/>
                <w:bCs/>
                <w:szCs w:val="18"/>
                <w:lang w:eastAsia="en-AU"/>
              </w:rPr>
            </w:pPr>
            <w:r w:rsidRPr="00085941">
              <w:rPr>
                <w:rFonts w:ascii="Meta Pro" w:eastAsia="Times New Roman" w:hAnsi="Meta Pro"/>
                <w:b/>
                <w:bCs/>
                <w:szCs w:val="18"/>
                <w:lang w:eastAsia="en-AU"/>
              </w:rPr>
              <w:t xml:space="preserve">work in </w:t>
            </w:r>
          </w:p>
        </w:tc>
        <w:tc>
          <w:tcPr>
            <w:tcW w:w="198" w:type="dxa"/>
            <w:tcBorders>
              <w:top w:val="nil"/>
              <w:left w:val="nil"/>
              <w:bottom w:val="nil"/>
              <w:right w:val="nil"/>
            </w:tcBorders>
            <w:shd w:val="clear" w:color="auto" w:fill="auto"/>
            <w:hideMark/>
          </w:tcPr>
          <w:p w14:paraId="20E275C7" w14:textId="77777777" w:rsidR="009A3F2A" w:rsidRPr="00085941" w:rsidRDefault="009A3F2A" w:rsidP="00E607DA">
            <w:pPr>
              <w:jc w:val="center"/>
              <w:rPr>
                <w:rFonts w:ascii="Meta Pro" w:eastAsia="Times New Roman" w:hAnsi="Meta Pro"/>
                <w:b/>
                <w:bCs/>
                <w:szCs w:val="18"/>
                <w:lang w:eastAsia="en-AU"/>
              </w:rPr>
            </w:pPr>
          </w:p>
        </w:tc>
        <w:tc>
          <w:tcPr>
            <w:tcW w:w="1191" w:type="dxa"/>
            <w:tcBorders>
              <w:top w:val="nil"/>
              <w:left w:val="nil"/>
              <w:bottom w:val="nil"/>
              <w:right w:val="nil"/>
            </w:tcBorders>
            <w:shd w:val="clear" w:color="auto" w:fill="auto"/>
            <w:hideMark/>
          </w:tcPr>
          <w:p w14:paraId="2ACD080B" w14:textId="77777777" w:rsidR="009A3F2A" w:rsidRPr="00085941" w:rsidRDefault="009A3F2A" w:rsidP="00E607DA">
            <w:pPr>
              <w:jc w:val="center"/>
              <w:rPr>
                <w:rFonts w:eastAsia="Times New Roman" w:cs="Times New Roman"/>
                <w:sz w:val="20"/>
                <w:szCs w:val="20"/>
                <w:lang w:eastAsia="en-AU"/>
              </w:rPr>
            </w:pPr>
          </w:p>
        </w:tc>
        <w:tc>
          <w:tcPr>
            <w:tcW w:w="198" w:type="dxa"/>
            <w:tcBorders>
              <w:top w:val="nil"/>
              <w:left w:val="nil"/>
              <w:bottom w:val="nil"/>
              <w:right w:val="nil"/>
            </w:tcBorders>
            <w:shd w:val="clear" w:color="auto" w:fill="auto"/>
            <w:hideMark/>
          </w:tcPr>
          <w:p w14:paraId="16BA630B" w14:textId="77777777" w:rsidR="009A3F2A" w:rsidRPr="00085941" w:rsidRDefault="009A3F2A" w:rsidP="00E607DA">
            <w:pPr>
              <w:jc w:val="center"/>
              <w:rPr>
                <w:rFonts w:eastAsia="Times New Roman" w:cs="Times New Roman"/>
                <w:sz w:val="20"/>
                <w:szCs w:val="20"/>
                <w:lang w:eastAsia="en-AU"/>
              </w:rPr>
            </w:pPr>
          </w:p>
        </w:tc>
        <w:tc>
          <w:tcPr>
            <w:tcW w:w="1191" w:type="dxa"/>
            <w:tcBorders>
              <w:top w:val="nil"/>
              <w:left w:val="nil"/>
              <w:bottom w:val="nil"/>
              <w:right w:val="nil"/>
            </w:tcBorders>
            <w:shd w:val="clear" w:color="auto" w:fill="auto"/>
            <w:hideMark/>
          </w:tcPr>
          <w:p w14:paraId="077656B2" w14:textId="77777777" w:rsidR="009A3F2A" w:rsidRPr="00085941" w:rsidRDefault="009A3F2A" w:rsidP="00E607DA">
            <w:pPr>
              <w:jc w:val="center"/>
              <w:rPr>
                <w:rFonts w:eastAsia="Times New Roman" w:cs="Times New Roman"/>
                <w:sz w:val="20"/>
                <w:szCs w:val="20"/>
                <w:lang w:eastAsia="en-AU"/>
              </w:rPr>
            </w:pPr>
          </w:p>
        </w:tc>
      </w:tr>
      <w:tr w:rsidR="009A3F2A" w:rsidRPr="00085941" w14:paraId="603EDD5F" w14:textId="77777777" w:rsidTr="00E607DA">
        <w:trPr>
          <w:trHeight w:val="240"/>
        </w:trPr>
        <w:tc>
          <w:tcPr>
            <w:tcW w:w="3969" w:type="dxa"/>
            <w:tcBorders>
              <w:top w:val="nil"/>
              <w:left w:val="nil"/>
              <w:bottom w:val="nil"/>
              <w:right w:val="nil"/>
            </w:tcBorders>
            <w:shd w:val="clear" w:color="auto" w:fill="auto"/>
            <w:noWrap/>
            <w:vAlign w:val="center"/>
            <w:hideMark/>
          </w:tcPr>
          <w:p w14:paraId="333E65CE" w14:textId="77777777" w:rsidR="009A3F2A" w:rsidRPr="00085941" w:rsidRDefault="009A3F2A" w:rsidP="00E607DA">
            <w:pPr>
              <w:jc w:val="center"/>
              <w:rPr>
                <w:rFonts w:eastAsia="Times New Roman" w:cs="Times New Roman"/>
                <w:sz w:val="20"/>
                <w:szCs w:val="20"/>
                <w:lang w:eastAsia="en-AU"/>
              </w:rPr>
            </w:pPr>
          </w:p>
        </w:tc>
        <w:tc>
          <w:tcPr>
            <w:tcW w:w="1191" w:type="dxa"/>
            <w:tcBorders>
              <w:top w:val="nil"/>
              <w:left w:val="nil"/>
              <w:bottom w:val="nil"/>
              <w:right w:val="nil"/>
            </w:tcBorders>
            <w:shd w:val="clear" w:color="auto" w:fill="auto"/>
            <w:hideMark/>
          </w:tcPr>
          <w:p w14:paraId="7BD456CA" w14:textId="77777777" w:rsidR="009A3F2A" w:rsidRPr="00085941" w:rsidRDefault="009A3F2A" w:rsidP="00E607DA">
            <w:pPr>
              <w:rPr>
                <w:rFonts w:eastAsia="Times New Roman" w:cs="Times New Roman"/>
                <w:sz w:val="20"/>
                <w:szCs w:val="20"/>
                <w:lang w:eastAsia="en-AU"/>
              </w:rPr>
            </w:pPr>
          </w:p>
        </w:tc>
        <w:tc>
          <w:tcPr>
            <w:tcW w:w="198" w:type="dxa"/>
            <w:tcBorders>
              <w:top w:val="nil"/>
              <w:left w:val="nil"/>
              <w:bottom w:val="nil"/>
              <w:right w:val="nil"/>
            </w:tcBorders>
            <w:shd w:val="clear" w:color="auto" w:fill="auto"/>
            <w:hideMark/>
          </w:tcPr>
          <w:p w14:paraId="1C12841D" w14:textId="77777777" w:rsidR="009A3F2A" w:rsidRPr="00085941" w:rsidRDefault="009A3F2A" w:rsidP="00E607DA">
            <w:pPr>
              <w:jc w:val="center"/>
              <w:rPr>
                <w:rFonts w:eastAsia="Times New Roman" w:cs="Times New Roman"/>
                <w:sz w:val="20"/>
                <w:szCs w:val="20"/>
                <w:lang w:eastAsia="en-AU"/>
              </w:rPr>
            </w:pPr>
          </w:p>
        </w:tc>
        <w:tc>
          <w:tcPr>
            <w:tcW w:w="1191" w:type="dxa"/>
            <w:tcBorders>
              <w:top w:val="nil"/>
              <w:left w:val="nil"/>
              <w:bottom w:val="nil"/>
              <w:right w:val="nil"/>
            </w:tcBorders>
            <w:shd w:val="clear" w:color="auto" w:fill="auto"/>
            <w:hideMark/>
          </w:tcPr>
          <w:p w14:paraId="0D630269" w14:textId="77777777" w:rsidR="009A3F2A" w:rsidRPr="00085941" w:rsidRDefault="009A3F2A" w:rsidP="00E607DA">
            <w:pPr>
              <w:jc w:val="center"/>
              <w:rPr>
                <w:rFonts w:ascii="Meta Pro" w:eastAsia="Times New Roman" w:hAnsi="Meta Pro"/>
                <w:b/>
                <w:bCs/>
                <w:szCs w:val="18"/>
                <w:lang w:eastAsia="en-AU"/>
              </w:rPr>
            </w:pPr>
            <w:r w:rsidRPr="00085941">
              <w:rPr>
                <w:rFonts w:ascii="Meta Pro" w:eastAsia="Times New Roman" w:hAnsi="Meta Pro"/>
                <w:b/>
                <w:bCs/>
                <w:szCs w:val="18"/>
                <w:lang w:eastAsia="en-AU"/>
              </w:rPr>
              <w:t>generated*</w:t>
            </w:r>
          </w:p>
        </w:tc>
        <w:tc>
          <w:tcPr>
            <w:tcW w:w="198" w:type="dxa"/>
            <w:tcBorders>
              <w:top w:val="nil"/>
              <w:left w:val="nil"/>
              <w:bottom w:val="nil"/>
              <w:right w:val="nil"/>
            </w:tcBorders>
            <w:shd w:val="clear" w:color="auto" w:fill="auto"/>
            <w:hideMark/>
          </w:tcPr>
          <w:p w14:paraId="2A6040A0" w14:textId="77777777" w:rsidR="009A3F2A" w:rsidRPr="00085941" w:rsidRDefault="009A3F2A" w:rsidP="00E607DA">
            <w:pPr>
              <w:jc w:val="center"/>
              <w:rPr>
                <w:rFonts w:ascii="Meta Pro" w:eastAsia="Times New Roman" w:hAnsi="Meta Pro"/>
                <w:b/>
                <w:bCs/>
                <w:szCs w:val="18"/>
                <w:lang w:eastAsia="en-AU"/>
              </w:rPr>
            </w:pPr>
          </w:p>
        </w:tc>
        <w:tc>
          <w:tcPr>
            <w:tcW w:w="1191" w:type="dxa"/>
            <w:tcBorders>
              <w:top w:val="nil"/>
              <w:left w:val="nil"/>
              <w:bottom w:val="nil"/>
              <w:right w:val="nil"/>
            </w:tcBorders>
            <w:shd w:val="clear" w:color="auto" w:fill="auto"/>
            <w:hideMark/>
          </w:tcPr>
          <w:p w14:paraId="499C02BB" w14:textId="77777777" w:rsidR="009A3F2A" w:rsidRPr="00085941" w:rsidRDefault="009A3F2A" w:rsidP="00E607DA">
            <w:pPr>
              <w:jc w:val="center"/>
              <w:rPr>
                <w:rFonts w:ascii="Meta Pro" w:eastAsia="Times New Roman" w:hAnsi="Meta Pro"/>
                <w:b/>
                <w:bCs/>
                <w:szCs w:val="18"/>
                <w:lang w:eastAsia="en-AU"/>
              </w:rPr>
            </w:pPr>
            <w:r w:rsidRPr="00085941">
              <w:rPr>
                <w:rFonts w:ascii="Meta Pro" w:eastAsia="Times New Roman" w:hAnsi="Meta Pro"/>
                <w:b/>
                <w:bCs/>
                <w:szCs w:val="18"/>
                <w:lang w:eastAsia="en-AU"/>
              </w:rPr>
              <w:t>progress</w:t>
            </w:r>
          </w:p>
        </w:tc>
        <w:tc>
          <w:tcPr>
            <w:tcW w:w="198" w:type="dxa"/>
            <w:tcBorders>
              <w:top w:val="nil"/>
              <w:left w:val="nil"/>
              <w:bottom w:val="nil"/>
              <w:right w:val="nil"/>
            </w:tcBorders>
            <w:shd w:val="clear" w:color="auto" w:fill="auto"/>
            <w:hideMark/>
          </w:tcPr>
          <w:p w14:paraId="01219A27" w14:textId="77777777" w:rsidR="009A3F2A" w:rsidRPr="00085941" w:rsidRDefault="009A3F2A" w:rsidP="00E607DA">
            <w:pPr>
              <w:jc w:val="center"/>
              <w:rPr>
                <w:rFonts w:ascii="Meta Pro" w:eastAsia="Times New Roman" w:hAnsi="Meta Pro"/>
                <w:b/>
                <w:bCs/>
                <w:szCs w:val="18"/>
                <w:lang w:eastAsia="en-AU"/>
              </w:rPr>
            </w:pPr>
          </w:p>
        </w:tc>
        <w:tc>
          <w:tcPr>
            <w:tcW w:w="1191" w:type="dxa"/>
            <w:tcBorders>
              <w:top w:val="nil"/>
              <w:left w:val="nil"/>
              <w:bottom w:val="nil"/>
              <w:right w:val="nil"/>
            </w:tcBorders>
            <w:shd w:val="clear" w:color="auto" w:fill="auto"/>
            <w:hideMark/>
          </w:tcPr>
          <w:p w14:paraId="012371F6" w14:textId="77777777" w:rsidR="009A3F2A" w:rsidRPr="00085941" w:rsidRDefault="009A3F2A" w:rsidP="00E607DA">
            <w:pPr>
              <w:jc w:val="center"/>
              <w:rPr>
                <w:rFonts w:eastAsia="Times New Roman" w:cs="Times New Roman"/>
                <w:sz w:val="20"/>
                <w:szCs w:val="20"/>
                <w:lang w:eastAsia="en-AU"/>
              </w:rPr>
            </w:pPr>
          </w:p>
        </w:tc>
        <w:tc>
          <w:tcPr>
            <w:tcW w:w="198" w:type="dxa"/>
            <w:tcBorders>
              <w:top w:val="nil"/>
              <w:left w:val="nil"/>
              <w:bottom w:val="nil"/>
              <w:right w:val="nil"/>
            </w:tcBorders>
            <w:shd w:val="clear" w:color="auto" w:fill="auto"/>
            <w:hideMark/>
          </w:tcPr>
          <w:p w14:paraId="47D788CA" w14:textId="77777777" w:rsidR="009A3F2A" w:rsidRPr="00085941" w:rsidRDefault="009A3F2A" w:rsidP="00E607DA">
            <w:pPr>
              <w:jc w:val="center"/>
              <w:rPr>
                <w:rFonts w:eastAsia="Times New Roman" w:cs="Times New Roman"/>
                <w:sz w:val="20"/>
                <w:szCs w:val="20"/>
                <w:lang w:eastAsia="en-AU"/>
              </w:rPr>
            </w:pPr>
          </w:p>
        </w:tc>
        <w:tc>
          <w:tcPr>
            <w:tcW w:w="1191" w:type="dxa"/>
            <w:tcBorders>
              <w:top w:val="nil"/>
              <w:left w:val="nil"/>
              <w:bottom w:val="nil"/>
              <w:right w:val="nil"/>
            </w:tcBorders>
            <w:shd w:val="clear" w:color="auto" w:fill="auto"/>
            <w:hideMark/>
          </w:tcPr>
          <w:p w14:paraId="32A788FB" w14:textId="77777777" w:rsidR="009A3F2A" w:rsidRPr="00085941" w:rsidRDefault="009A3F2A" w:rsidP="00E607DA">
            <w:pPr>
              <w:jc w:val="center"/>
              <w:rPr>
                <w:rFonts w:eastAsia="Times New Roman" w:cs="Times New Roman"/>
                <w:sz w:val="20"/>
                <w:szCs w:val="20"/>
                <w:lang w:eastAsia="en-AU"/>
              </w:rPr>
            </w:pPr>
          </w:p>
        </w:tc>
      </w:tr>
      <w:tr w:rsidR="009A3F2A" w:rsidRPr="00085941" w14:paraId="204FA43D" w14:textId="77777777" w:rsidTr="00E607DA">
        <w:trPr>
          <w:trHeight w:val="240"/>
        </w:trPr>
        <w:tc>
          <w:tcPr>
            <w:tcW w:w="3969" w:type="dxa"/>
            <w:tcBorders>
              <w:top w:val="nil"/>
              <w:left w:val="nil"/>
              <w:bottom w:val="nil"/>
              <w:right w:val="nil"/>
            </w:tcBorders>
            <w:shd w:val="clear" w:color="auto" w:fill="auto"/>
            <w:noWrap/>
            <w:vAlign w:val="center"/>
            <w:hideMark/>
          </w:tcPr>
          <w:p w14:paraId="66BF7DB2" w14:textId="77777777" w:rsidR="009A3F2A" w:rsidRPr="00085941" w:rsidRDefault="009A3F2A" w:rsidP="00E607DA">
            <w:pPr>
              <w:jc w:val="center"/>
              <w:rPr>
                <w:rFonts w:eastAsia="Times New Roman"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5B45FCFD" w14:textId="77777777" w:rsidR="009A3F2A" w:rsidRPr="00085941" w:rsidRDefault="009A3F2A" w:rsidP="00E607DA">
            <w:pPr>
              <w:jc w:val="center"/>
              <w:rPr>
                <w:rFonts w:ascii="Meta Pro" w:eastAsia="Times New Roman" w:hAnsi="Meta Pro"/>
                <w:b/>
                <w:bCs/>
                <w:lang w:eastAsia="en-AU"/>
              </w:rPr>
            </w:pPr>
            <w:r w:rsidRPr="00085941">
              <w:rPr>
                <w:rFonts w:ascii="Meta Pro" w:eastAsia="Times New Roman" w:hAnsi="Meta Pro"/>
                <w:b/>
                <w:bCs/>
                <w:lang w:eastAsia="en-AU"/>
              </w:rPr>
              <w:t>2021</w:t>
            </w:r>
          </w:p>
        </w:tc>
        <w:tc>
          <w:tcPr>
            <w:tcW w:w="198" w:type="dxa"/>
            <w:tcBorders>
              <w:top w:val="nil"/>
              <w:left w:val="nil"/>
              <w:bottom w:val="nil"/>
              <w:right w:val="nil"/>
            </w:tcBorders>
            <w:shd w:val="clear" w:color="auto" w:fill="auto"/>
            <w:noWrap/>
            <w:vAlign w:val="center"/>
            <w:hideMark/>
          </w:tcPr>
          <w:p w14:paraId="27076242" w14:textId="77777777" w:rsidR="009A3F2A" w:rsidRPr="00085941" w:rsidRDefault="009A3F2A" w:rsidP="00E607DA">
            <w:pPr>
              <w:jc w:val="center"/>
              <w:rPr>
                <w:rFonts w:ascii="Meta Pro" w:eastAsia="Times New Roman" w:hAnsi="Meta Pro"/>
                <w:b/>
                <w:bCs/>
                <w:lang w:eastAsia="en-AU"/>
              </w:rPr>
            </w:pPr>
          </w:p>
        </w:tc>
        <w:tc>
          <w:tcPr>
            <w:tcW w:w="1191" w:type="dxa"/>
            <w:tcBorders>
              <w:top w:val="nil"/>
              <w:left w:val="nil"/>
              <w:bottom w:val="nil"/>
              <w:right w:val="nil"/>
            </w:tcBorders>
            <w:shd w:val="clear" w:color="auto" w:fill="auto"/>
            <w:noWrap/>
            <w:vAlign w:val="center"/>
            <w:hideMark/>
          </w:tcPr>
          <w:p w14:paraId="61514A7A" w14:textId="77777777" w:rsidR="009A3F2A" w:rsidRPr="00085941" w:rsidRDefault="009A3F2A" w:rsidP="00E607DA">
            <w:pPr>
              <w:jc w:val="center"/>
              <w:rPr>
                <w:rFonts w:ascii="Meta Pro" w:eastAsia="Times New Roman" w:hAnsi="Meta Pro"/>
                <w:b/>
                <w:bCs/>
                <w:lang w:eastAsia="en-AU"/>
              </w:rPr>
            </w:pPr>
            <w:r w:rsidRPr="00085941">
              <w:rPr>
                <w:rFonts w:ascii="Meta Pro" w:eastAsia="Times New Roman" w:hAnsi="Meta Pro"/>
                <w:b/>
                <w:bCs/>
                <w:lang w:eastAsia="en-AU"/>
              </w:rPr>
              <w:t xml:space="preserve">2021 </w:t>
            </w:r>
            <w:r w:rsidRPr="00085941">
              <w:rPr>
                <w:rFonts w:ascii="Meta Pro" w:eastAsia="Times New Roman" w:hAnsi="Meta Pro"/>
                <w:b/>
                <w:bCs/>
                <w:szCs w:val="18"/>
                <w:lang w:eastAsia="en-AU"/>
              </w:rPr>
              <w:t>**</w:t>
            </w:r>
          </w:p>
        </w:tc>
        <w:tc>
          <w:tcPr>
            <w:tcW w:w="198" w:type="dxa"/>
            <w:tcBorders>
              <w:top w:val="nil"/>
              <w:left w:val="nil"/>
              <w:bottom w:val="nil"/>
              <w:right w:val="nil"/>
            </w:tcBorders>
            <w:shd w:val="clear" w:color="auto" w:fill="auto"/>
            <w:noWrap/>
            <w:vAlign w:val="center"/>
            <w:hideMark/>
          </w:tcPr>
          <w:p w14:paraId="06A3159F" w14:textId="77777777" w:rsidR="009A3F2A" w:rsidRPr="00085941" w:rsidRDefault="009A3F2A" w:rsidP="00E607DA">
            <w:pPr>
              <w:jc w:val="center"/>
              <w:rPr>
                <w:rFonts w:ascii="Meta Pro" w:eastAsia="Times New Roman" w:hAnsi="Meta Pro"/>
                <w:b/>
                <w:bCs/>
                <w:lang w:eastAsia="en-AU"/>
              </w:rPr>
            </w:pPr>
          </w:p>
        </w:tc>
        <w:tc>
          <w:tcPr>
            <w:tcW w:w="1191" w:type="dxa"/>
            <w:tcBorders>
              <w:top w:val="nil"/>
              <w:left w:val="nil"/>
              <w:bottom w:val="nil"/>
              <w:right w:val="nil"/>
            </w:tcBorders>
            <w:shd w:val="clear" w:color="auto" w:fill="auto"/>
            <w:noWrap/>
            <w:vAlign w:val="center"/>
            <w:hideMark/>
          </w:tcPr>
          <w:p w14:paraId="39812C6F" w14:textId="77777777" w:rsidR="009A3F2A" w:rsidRPr="00085941" w:rsidRDefault="009A3F2A" w:rsidP="00E607DA">
            <w:pPr>
              <w:jc w:val="center"/>
              <w:rPr>
                <w:rFonts w:ascii="Meta Pro" w:eastAsia="Times New Roman" w:hAnsi="Meta Pro"/>
                <w:b/>
                <w:bCs/>
                <w:lang w:eastAsia="en-AU"/>
              </w:rPr>
            </w:pPr>
            <w:r w:rsidRPr="00085941">
              <w:rPr>
                <w:rFonts w:ascii="Meta Pro" w:eastAsia="Times New Roman" w:hAnsi="Meta Pro"/>
                <w:b/>
                <w:bCs/>
                <w:lang w:eastAsia="en-AU"/>
              </w:rPr>
              <w:t>2021</w:t>
            </w:r>
          </w:p>
        </w:tc>
        <w:tc>
          <w:tcPr>
            <w:tcW w:w="198" w:type="dxa"/>
            <w:tcBorders>
              <w:top w:val="nil"/>
              <w:left w:val="nil"/>
              <w:bottom w:val="nil"/>
              <w:right w:val="nil"/>
            </w:tcBorders>
            <w:shd w:val="clear" w:color="auto" w:fill="auto"/>
            <w:noWrap/>
            <w:vAlign w:val="center"/>
            <w:hideMark/>
          </w:tcPr>
          <w:p w14:paraId="2B927697" w14:textId="77777777" w:rsidR="009A3F2A" w:rsidRPr="00085941" w:rsidRDefault="009A3F2A" w:rsidP="00E607DA">
            <w:pPr>
              <w:jc w:val="center"/>
              <w:rPr>
                <w:rFonts w:ascii="Meta Pro" w:eastAsia="Times New Roman" w:hAnsi="Meta Pro"/>
                <w:b/>
                <w:bCs/>
                <w:lang w:eastAsia="en-AU"/>
              </w:rPr>
            </w:pPr>
          </w:p>
        </w:tc>
        <w:tc>
          <w:tcPr>
            <w:tcW w:w="1191" w:type="dxa"/>
            <w:tcBorders>
              <w:top w:val="nil"/>
              <w:left w:val="nil"/>
              <w:bottom w:val="nil"/>
              <w:right w:val="nil"/>
            </w:tcBorders>
            <w:shd w:val="clear" w:color="auto" w:fill="auto"/>
            <w:noWrap/>
            <w:vAlign w:val="center"/>
            <w:hideMark/>
          </w:tcPr>
          <w:p w14:paraId="2CDC57A6" w14:textId="77777777" w:rsidR="009A3F2A" w:rsidRPr="00085941" w:rsidRDefault="009A3F2A" w:rsidP="00E607DA">
            <w:pPr>
              <w:jc w:val="center"/>
              <w:rPr>
                <w:rFonts w:ascii="Meta Pro" w:eastAsia="Times New Roman" w:hAnsi="Meta Pro"/>
                <w:b/>
                <w:bCs/>
                <w:lang w:eastAsia="en-AU"/>
              </w:rPr>
            </w:pPr>
            <w:r w:rsidRPr="00085941">
              <w:rPr>
                <w:rFonts w:ascii="Meta Pro" w:eastAsia="Times New Roman" w:hAnsi="Meta Pro"/>
                <w:b/>
                <w:bCs/>
                <w:lang w:eastAsia="en-AU"/>
              </w:rPr>
              <w:t>2021</w:t>
            </w:r>
          </w:p>
        </w:tc>
        <w:tc>
          <w:tcPr>
            <w:tcW w:w="198" w:type="dxa"/>
            <w:tcBorders>
              <w:top w:val="nil"/>
              <w:left w:val="nil"/>
              <w:bottom w:val="nil"/>
              <w:right w:val="nil"/>
            </w:tcBorders>
            <w:shd w:val="clear" w:color="auto" w:fill="auto"/>
            <w:noWrap/>
            <w:vAlign w:val="center"/>
            <w:hideMark/>
          </w:tcPr>
          <w:p w14:paraId="1C1B3826" w14:textId="77777777" w:rsidR="009A3F2A" w:rsidRPr="00085941" w:rsidRDefault="009A3F2A" w:rsidP="00E607DA">
            <w:pPr>
              <w:jc w:val="center"/>
              <w:rPr>
                <w:rFonts w:ascii="Meta Pro" w:eastAsia="Times New Roman" w:hAnsi="Meta Pro"/>
                <w:b/>
                <w:bCs/>
                <w:lang w:eastAsia="en-AU"/>
              </w:rPr>
            </w:pPr>
          </w:p>
        </w:tc>
        <w:tc>
          <w:tcPr>
            <w:tcW w:w="1191" w:type="dxa"/>
            <w:tcBorders>
              <w:top w:val="nil"/>
              <w:left w:val="nil"/>
              <w:bottom w:val="nil"/>
              <w:right w:val="nil"/>
            </w:tcBorders>
            <w:shd w:val="clear" w:color="auto" w:fill="auto"/>
            <w:noWrap/>
            <w:vAlign w:val="center"/>
            <w:hideMark/>
          </w:tcPr>
          <w:p w14:paraId="5B45D029" w14:textId="77777777" w:rsidR="009A3F2A" w:rsidRPr="00085941" w:rsidRDefault="009A3F2A" w:rsidP="00E607DA">
            <w:pPr>
              <w:jc w:val="center"/>
              <w:rPr>
                <w:rFonts w:ascii="Meta Pro" w:eastAsia="Times New Roman" w:hAnsi="Meta Pro"/>
                <w:b/>
                <w:bCs/>
                <w:lang w:eastAsia="en-AU"/>
              </w:rPr>
            </w:pPr>
            <w:r w:rsidRPr="00085941">
              <w:rPr>
                <w:rFonts w:ascii="Meta Pro" w:eastAsia="Times New Roman" w:hAnsi="Meta Pro"/>
                <w:b/>
                <w:bCs/>
                <w:lang w:eastAsia="en-AU"/>
              </w:rPr>
              <w:t>2021</w:t>
            </w:r>
          </w:p>
        </w:tc>
      </w:tr>
      <w:tr w:rsidR="009A3F2A" w:rsidRPr="00085941" w14:paraId="6010E2DB" w14:textId="77777777" w:rsidTr="00E607DA">
        <w:trPr>
          <w:trHeight w:val="240"/>
        </w:trPr>
        <w:tc>
          <w:tcPr>
            <w:tcW w:w="3969" w:type="dxa"/>
            <w:tcBorders>
              <w:top w:val="nil"/>
              <w:left w:val="nil"/>
              <w:bottom w:val="nil"/>
              <w:right w:val="nil"/>
            </w:tcBorders>
            <w:shd w:val="clear" w:color="auto" w:fill="auto"/>
            <w:noWrap/>
            <w:vAlign w:val="center"/>
            <w:hideMark/>
          </w:tcPr>
          <w:p w14:paraId="2A5C8EDB" w14:textId="77777777" w:rsidR="009A3F2A" w:rsidRPr="00085941" w:rsidRDefault="009A3F2A" w:rsidP="00E607DA">
            <w:pPr>
              <w:jc w:val="center"/>
              <w:rPr>
                <w:rFonts w:ascii="Meta Pro" w:eastAsia="Times New Roman" w:hAnsi="Meta Pro"/>
                <w:b/>
                <w:bCs/>
                <w:lang w:eastAsia="en-AU"/>
              </w:rPr>
            </w:pPr>
          </w:p>
        </w:tc>
        <w:tc>
          <w:tcPr>
            <w:tcW w:w="1191" w:type="dxa"/>
            <w:tcBorders>
              <w:top w:val="nil"/>
              <w:left w:val="nil"/>
              <w:bottom w:val="nil"/>
              <w:right w:val="nil"/>
            </w:tcBorders>
            <w:shd w:val="clear" w:color="auto" w:fill="auto"/>
            <w:vAlign w:val="center"/>
            <w:hideMark/>
          </w:tcPr>
          <w:p w14:paraId="3BE1211B" w14:textId="77777777" w:rsidR="009A3F2A" w:rsidRPr="00085941" w:rsidRDefault="009A3F2A" w:rsidP="00E607DA">
            <w:pPr>
              <w:jc w:val="center"/>
              <w:rPr>
                <w:rFonts w:ascii="Meta Pro" w:eastAsia="Times New Roman" w:hAnsi="Meta Pro"/>
                <w:b/>
                <w:bCs/>
                <w:lang w:eastAsia="en-AU"/>
              </w:rPr>
            </w:pPr>
            <w:r w:rsidRPr="00085941">
              <w:rPr>
                <w:rFonts w:ascii="Meta Pro" w:eastAsia="Times New Roman" w:hAnsi="Meta Pro"/>
                <w:b/>
                <w:bCs/>
                <w:lang w:eastAsia="en-AU"/>
              </w:rPr>
              <w:t>$'000</w:t>
            </w:r>
          </w:p>
        </w:tc>
        <w:tc>
          <w:tcPr>
            <w:tcW w:w="198" w:type="dxa"/>
            <w:tcBorders>
              <w:top w:val="nil"/>
              <w:left w:val="nil"/>
              <w:bottom w:val="nil"/>
              <w:right w:val="nil"/>
            </w:tcBorders>
            <w:shd w:val="clear" w:color="auto" w:fill="auto"/>
            <w:noWrap/>
            <w:vAlign w:val="center"/>
            <w:hideMark/>
          </w:tcPr>
          <w:p w14:paraId="46BFCF77" w14:textId="77777777" w:rsidR="009A3F2A" w:rsidRPr="00085941" w:rsidRDefault="009A3F2A" w:rsidP="00E607DA">
            <w:pPr>
              <w:jc w:val="center"/>
              <w:rPr>
                <w:rFonts w:ascii="Meta Pro" w:eastAsia="Times New Roman" w:hAnsi="Meta Pro"/>
                <w:b/>
                <w:bCs/>
                <w:lang w:eastAsia="en-AU"/>
              </w:rPr>
            </w:pPr>
          </w:p>
        </w:tc>
        <w:tc>
          <w:tcPr>
            <w:tcW w:w="1191" w:type="dxa"/>
            <w:tcBorders>
              <w:top w:val="nil"/>
              <w:left w:val="nil"/>
              <w:bottom w:val="nil"/>
              <w:right w:val="nil"/>
            </w:tcBorders>
            <w:shd w:val="clear" w:color="auto" w:fill="auto"/>
            <w:vAlign w:val="center"/>
            <w:hideMark/>
          </w:tcPr>
          <w:p w14:paraId="4786ED15" w14:textId="77777777" w:rsidR="009A3F2A" w:rsidRPr="00085941" w:rsidRDefault="009A3F2A" w:rsidP="00E607DA">
            <w:pPr>
              <w:jc w:val="center"/>
              <w:rPr>
                <w:rFonts w:ascii="Meta Pro" w:eastAsia="Times New Roman" w:hAnsi="Meta Pro"/>
                <w:b/>
                <w:bCs/>
                <w:lang w:eastAsia="en-AU"/>
              </w:rPr>
            </w:pPr>
            <w:r w:rsidRPr="00085941">
              <w:rPr>
                <w:rFonts w:ascii="Meta Pro" w:eastAsia="Times New Roman" w:hAnsi="Meta Pro"/>
                <w:b/>
                <w:bCs/>
                <w:lang w:eastAsia="en-AU"/>
              </w:rPr>
              <w:t>$'000</w:t>
            </w:r>
          </w:p>
        </w:tc>
        <w:tc>
          <w:tcPr>
            <w:tcW w:w="198" w:type="dxa"/>
            <w:tcBorders>
              <w:top w:val="nil"/>
              <w:left w:val="nil"/>
              <w:bottom w:val="nil"/>
              <w:right w:val="nil"/>
            </w:tcBorders>
            <w:shd w:val="clear" w:color="auto" w:fill="auto"/>
            <w:noWrap/>
            <w:vAlign w:val="center"/>
            <w:hideMark/>
          </w:tcPr>
          <w:p w14:paraId="1E422B34" w14:textId="77777777" w:rsidR="009A3F2A" w:rsidRPr="00085941" w:rsidRDefault="009A3F2A" w:rsidP="00E607DA">
            <w:pPr>
              <w:jc w:val="center"/>
              <w:rPr>
                <w:rFonts w:ascii="Meta Pro" w:eastAsia="Times New Roman" w:hAnsi="Meta Pro"/>
                <w:b/>
                <w:bCs/>
                <w:lang w:eastAsia="en-AU"/>
              </w:rPr>
            </w:pPr>
          </w:p>
        </w:tc>
        <w:tc>
          <w:tcPr>
            <w:tcW w:w="1191" w:type="dxa"/>
            <w:tcBorders>
              <w:top w:val="nil"/>
              <w:left w:val="nil"/>
              <w:bottom w:val="nil"/>
              <w:right w:val="nil"/>
            </w:tcBorders>
            <w:shd w:val="clear" w:color="auto" w:fill="auto"/>
            <w:vAlign w:val="center"/>
            <w:hideMark/>
          </w:tcPr>
          <w:p w14:paraId="6B8024EF" w14:textId="77777777" w:rsidR="009A3F2A" w:rsidRPr="00085941" w:rsidRDefault="009A3F2A" w:rsidP="00E607DA">
            <w:pPr>
              <w:jc w:val="center"/>
              <w:rPr>
                <w:rFonts w:ascii="Meta Pro" w:eastAsia="Times New Roman" w:hAnsi="Meta Pro"/>
                <w:b/>
                <w:bCs/>
                <w:lang w:eastAsia="en-AU"/>
              </w:rPr>
            </w:pPr>
            <w:r w:rsidRPr="00085941">
              <w:rPr>
                <w:rFonts w:ascii="Meta Pro" w:eastAsia="Times New Roman" w:hAnsi="Meta Pro"/>
                <w:b/>
                <w:bCs/>
                <w:lang w:eastAsia="en-AU"/>
              </w:rPr>
              <w:t>$'000</w:t>
            </w:r>
          </w:p>
        </w:tc>
        <w:tc>
          <w:tcPr>
            <w:tcW w:w="198" w:type="dxa"/>
            <w:tcBorders>
              <w:top w:val="nil"/>
              <w:left w:val="nil"/>
              <w:bottom w:val="nil"/>
              <w:right w:val="nil"/>
            </w:tcBorders>
            <w:shd w:val="clear" w:color="auto" w:fill="auto"/>
            <w:noWrap/>
            <w:vAlign w:val="center"/>
            <w:hideMark/>
          </w:tcPr>
          <w:p w14:paraId="2E15C3C3" w14:textId="77777777" w:rsidR="009A3F2A" w:rsidRPr="00085941" w:rsidRDefault="009A3F2A" w:rsidP="00E607DA">
            <w:pPr>
              <w:jc w:val="center"/>
              <w:rPr>
                <w:rFonts w:ascii="Meta Pro" w:eastAsia="Times New Roman" w:hAnsi="Meta Pro"/>
                <w:b/>
                <w:bCs/>
                <w:lang w:eastAsia="en-AU"/>
              </w:rPr>
            </w:pPr>
          </w:p>
        </w:tc>
        <w:tc>
          <w:tcPr>
            <w:tcW w:w="1191" w:type="dxa"/>
            <w:tcBorders>
              <w:top w:val="nil"/>
              <w:left w:val="nil"/>
              <w:bottom w:val="nil"/>
              <w:right w:val="nil"/>
            </w:tcBorders>
            <w:shd w:val="clear" w:color="auto" w:fill="auto"/>
            <w:vAlign w:val="center"/>
            <w:hideMark/>
          </w:tcPr>
          <w:p w14:paraId="1403C8B7" w14:textId="77777777" w:rsidR="009A3F2A" w:rsidRPr="00085941" w:rsidRDefault="009A3F2A" w:rsidP="00E607DA">
            <w:pPr>
              <w:jc w:val="center"/>
              <w:rPr>
                <w:rFonts w:ascii="Meta Pro" w:eastAsia="Times New Roman" w:hAnsi="Meta Pro"/>
                <w:b/>
                <w:bCs/>
                <w:lang w:eastAsia="en-AU"/>
              </w:rPr>
            </w:pPr>
            <w:r w:rsidRPr="00085941">
              <w:rPr>
                <w:rFonts w:ascii="Meta Pro" w:eastAsia="Times New Roman" w:hAnsi="Meta Pro"/>
                <w:b/>
                <w:bCs/>
                <w:lang w:eastAsia="en-AU"/>
              </w:rPr>
              <w:t>$'000</w:t>
            </w:r>
          </w:p>
        </w:tc>
        <w:tc>
          <w:tcPr>
            <w:tcW w:w="198" w:type="dxa"/>
            <w:tcBorders>
              <w:top w:val="nil"/>
              <w:left w:val="nil"/>
              <w:bottom w:val="nil"/>
              <w:right w:val="nil"/>
            </w:tcBorders>
            <w:shd w:val="clear" w:color="auto" w:fill="auto"/>
            <w:noWrap/>
            <w:vAlign w:val="center"/>
            <w:hideMark/>
          </w:tcPr>
          <w:p w14:paraId="7037C2C9" w14:textId="77777777" w:rsidR="009A3F2A" w:rsidRPr="00085941" w:rsidRDefault="009A3F2A" w:rsidP="00E607DA">
            <w:pPr>
              <w:jc w:val="center"/>
              <w:rPr>
                <w:rFonts w:ascii="Meta Pro" w:eastAsia="Times New Roman" w:hAnsi="Meta Pro"/>
                <w:b/>
                <w:bCs/>
                <w:lang w:eastAsia="en-AU"/>
              </w:rPr>
            </w:pPr>
          </w:p>
        </w:tc>
        <w:tc>
          <w:tcPr>
            <w:tcW w:w="1191" w:type="dxa"/>
            <w:tcBorders>
              <w:top w:val="nil"/>
              <w:left w:val="nil"/>
              <w:bottom w:val="nil"/>
              <w:right w:val="nil"/>
            </w:tcBorders>
            <w:shd w:val="clear" w:color="auto" w:fill="auto"/>
            <w:vAlign w:val="center"/>
            <w:hideMark/>
          </w:tcPr>
          <w:p w14:paraId="26387C9A" w14:textId="77777777" w:rsidR="009A3F2A" w:rsidRPr="00085941" w:rsidRDefault="009A3F2A" w:rsidP="00E607DA">
            <w:pPr>
              <w:jc w:val="center"/>
              <w:rPr>
                <w:rFonts w:ascii="Meta Pro" w:eastAsia="Times New Roman" w:hAnsi="Meta Pro"/>
                <w:b/>
                <w:bCs/>
                <w:lang w:eastAsia="en-AU"/>
              </w:rPr>
            </w:pPr>
            <w:r w:rsidRPr="00085941">
              <w:rPr>
                <w:rFonts w:ascii="Meta Pro" w:eastAsia="Times New Roman" w:hAnsi="Meta Pro"/>
                <w:b/>
                <w:bCs/>
                <w:lang w:eastAsia="en-AU"/>
              </w:rPr>
              <w:t>$'000</w:t>
            </w:r>
          </w:p>
        </w:tc>
      </w:tr>
      <w:tr w:rsidR="009A3F2A" w:rsidRPr="00085941" w14:paraId="23F937B2" w14:textId="77777777" w:rsidTr="00E607DA">
        <w:trPr>
          <w:trHeight w:val="90"/>
        </w:trPr>
        <w:tc>
          <w:tcPr>
            <w:tcW w:w="3969" w:type="dxa"/>
            <w:tcBorders>
              <w:top w:val="nil"/>
              <w:left w:val="nil"/>
              <w:bottom w:val="nil"/>
              <w:right w:val="nil"/>
            </w:tcBorders>
            <w:shd w:val="clear" w:color="auto" w:fill="auto"/>
            <w:noWrap/>
            <w:vAlign w:val="center"/>
            <w:hideMark/>
          </w:tcPr>
          <w:p w14:paraId="02DBCD45" w14:textId="77777777" w:rsidR="009A3F2A" w:rsidRPr="00085941" w:rsidRDefault="009A3F2A" w:rsidP="00E607DA">
            <w:pPr>
              <w:jc w:val="center"/>
              <w:rPr>
                <w:rFonts w:ascii="Meta Pro" w:eastAsia="Times New Roman" w:hAnsi="Meta Pro"/>
                <w:b/>
                <w:bCs/>
                <w:lang w:eastAsia="en-AU"/>
              </w:rPr>
            </w:pPr>
          </w:p>
        </w:tc>
        <w:tc>
          <w:tcPr>
            <w:tcW w:w="1191" w:type="dxa"/>
            <w:tcBorders>
              <w:top w:val="nil"/>
              <w:left w:val="nil"/>
              <w:bottom w:val="nil"/>
              <w:right w:val="nil"/>
            </w:tcBorders>
            <w:shd w:val="clear" w:color="auto" w:fill="auto"/>
            <w:vAlign w:val="center"/>
            <w:hideMark/>
          </w:tcPr>
          <w:p w14:paraId="455E7E26" w14:textId="77777777" w:rsidR="009A3F2A" w:rsidRPr="00085941" w:rsidRDefault="009A3F2A" w:rsidP="00E607DA">
            <w:pPr>
              <w:rPr>
                <w:rFonts w:eastAsia="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551A467B" w14:textId="77777777" w:rsidR="009A3F2A" w:rsidRPr="00085941" w:rsidRDefault="009A3F2A" w:rsidP="00E607DA">
            <w:pPr>
              <w:jc w:val="center"/>
              <w:rPr>
                <w:rFonts w:eastAsia="Times New Roman" w:cs="Times New Roman"/>
                <w:sz w:val="20"/>
                <w:szCs w:val="20"/>
                <w:lang w:eastAsia="en-AU"/>
              </w:rPr>
            </w:pPr>
          </w:p>
        </w:tc>
        <w:tc>
          <w:tcPr>
            <w:tcW w:w="1191" w:type="dxa"/>
            <w:tcBorders>
              <w:top w:val="nil"/>
              <w:left w:val="nil"/>
              <w:bottom w:val="nil"/>
              <w:right w:val="nil"/>
            </w:tcBorders>
            <w:shd w:val="clear" w:color="auto" w:fill="auto"/>
            <w:vAlign w:val="center"/>
            <w:hideMark/>
          </w:tcPr>
          <w:p w14:paraId="6C0EC2E2" w14:textId="77777777" w:rsidR="009A3F2A" w:rsidRPr="00085941" w:rsidRDefault="009A3F2A" w:rsidP="00E607DA">
            <w:pPr>
              <w:rPr>
                <w:rFonts w:eastAsia="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0D574F04" w14:textId="77777777" w:rsidR="009A3F2A" w:rsidRPr="00085941" w:rsidRDefault="009A3F2A" w:rsidP="00E607DA">
            <w:pPr>
              <w:jc w:val="center"/>
              <w:rPr>
                <w:rFonts w:eastAsia="Times New Roman" w:cs="Times New Roman"/>
                <w:sz w:val="20"/>
                <w:szCs w:val="20"/>
                <w:lang w:eastAsia="en-AU"/>
              </w:rPr>
            </w:pPr>
          </w:p>
        </w:tc>
        <w:tc>
          <w:tcPr>
            <w:tcW w:w="1191" w:type="dxa"/>
            <w:tcBorders>
              <w:top w:val="nil"/>
              <w:left w:val="nil"/>
              <w:bottom w:val="nil"/>
              <w:right w:val="nil"/>
            </w:tcBorders>
            <w:shd w:val="clear" w:color="auto" w:fill="auto"/>
            <w:vAlign w:val="center"/>
            <w:hideMark/>
          </w:tcPr>
          <w:p w14:paraId="697F0A1E" w14:textId="77777777" w:rsidR="009A3F2A" w:rsidRPr="00085941" w:rsidRDefault="009A3F2A" w:rsidP="00E607DA">
            <w:pPr>
              <w:rPr>
                <w:rFonts w:eastAsia="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49B40D8B" w14:textId="77777777" w:rsidR="009A3F2A" w:rsidRPr="00085941" w:rsidRDefault="009A3F2A" w:rsidP="00E607DA">
            <w:pPr>
              <w:jc w:val="center"/>
              <w:rPr>
                <w:rFonts w:eastAsia="Times New Roman" w:cs="Times New Roman"/>
                <w:sz w:val="20"/>
                <w:szCs w:val="20"/>
                <w:lang w:eastAsia="en-AU"/>
              </w:rPr>
            </w:pPr>
          </w:p>
        </w:tc>
        <w:tc>
          <w:tcPr>
            <w:tcW w:w="1191" w:type="dxa"/>
            <w:tcBorders>
              <w:top w:val="nil"/>
              <w:left w:val="nil"/>
              <w:bottom w:val="nil"/>
              <w:right w:val="nil"/>
            </w:tcBorders>
            <w:shd w:val="clear" w:color="auto" w:fill="auto"/>
            <w:vAlign w:val="center"/>
            <w:hideMark/>
          </w:tcPr>
          <w:p w14:paraId="1B7875E0" w14:textId="77777777" w:rsidR="009A3F2A" w:rsidRPr="00085941" w:rsidRDefault="009A3F2A" w:rsidP="00E607DA">
            <w:pPr>
              <w:rPr>
                <w:rFonts w:eastAsia="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774EC6D2" w14:textId="77777777" w:rsidR="009A3F2A" w:rsidRPr="00085941" w:rsidRDefault="009A3F2A" w:rsidP="00E607DA">
            <w:pPr>
              <w:jc w:val="center"/>
              <w:rPr>
                <w:rFonts w:eastAsia="Times New Roman" w:cs="Times New Roman"/>
                <w:sz w:val="20"/>
                <w:szCs w:val="20"/>
                <w:lang w:eastAsia="en-AU"/>
              </w:rPr>
            </w:pPr>
          </w:p>
        </w:tc>
        <w:tc>
          <w:tcPr>
            <w:tcW w:w="1191" w:type="dxa"/>
            <w:tcBorders>
              <w:top w:val="nil"/>
              <w:left w:val="nil"/>
              <w:bottom w:val="nil"/>
              <w:right w:val="nil"/>
            </w:tcBorders>
            <w:shd w:val="clear" w:color="auto" w:fill="auto"/>
            <w:vAlign w:val="center"/>
            <w:hideMark/>
          </w:tcPr>
          <w:p w14:paraId="242E6C30" w14:textId="77777777" w:rsidR="009A3F2A" w:rsidRPr="00085941" w:rsidRDefault="009A3F2A" w:rsidP="00E607DA">
            <w:pPr>
              <w:rPr>
                <w:rFonts w:eastAsia="Times New Roman" w:cs="Times New Roman"/>
                <w:sz w:val="20"/>
                <w:szCs w:val="20"/>
                <w:lang w:eastAsia="en-AU"/>
              </w:rPr>
            </w:pPr>
          </w:p>
        </w:tc>
      </w:tr>
      <w:tr w:rsidR="009A3F2A" w:rsidRPr="00085941" w14:paraId="03B5A371" w14:textId="77777777" w:rsidTr="00E607DA">
        <w:trPr>
          <w:trHeight w:val="240"/>
        </w:trPr>
        <w:tc>
          <w:tcPr>
            <w:tcW w:w="3969" w:type="dxa"/>
            <w:tcBorders>
              <w:top w:val="nil"/>
              <w:left w:val="nil"/>
              <w:bottom w:val="nil"/>
              <w:right w:val="nil"/>
            </w:tcBorders>
            <w:shd w:val="clear" w:color="auto" w:fill="auto"/>
            <w:noWrap/>
            <w:vAlign w:val="center"/>
            <w:hideMark/>
          </w:tcPr>
          <w:p w14:paraId="2ADA5B5E" w14:textId="77777777" w:rsidR="009A3F2A" w:rsidRPr="00085941" w:rsidRDefault="009A3F2A" w:rsidP="00E607DA">
            <w:pPr>
              <w:rPr>
                <w:rFonts w:ascii="Meta Pro" w:eastAsia="Times New Roman" w:hAnsi="Meta Pro"/>
                <w:szCs w:val="18"/>
                <w:lang w:eastAsia="en-AU"/>
              </w:rPr>
            </w:pPr>
            <w:r w:rsidRPr="00085941">
              <w:rPr>
                <w:rFonts w:ascii="Meta Pro" w:eastAsia="Times New Roman" w:hAnsi="Meta Pro"/>
                <w:szCs w:val="18"/>
                <w:lang w:eastAsia="en-AU"/>
              </w:rPr>
              <w:t>Gross value</w:t>
            </w:r>
          </w:p>
        </w:tc>
        <w:tc>
          <w:tcPr>
            <w:tcW w:w="1191" w:type="dxa"/>
            <w:tcBorders>
              <w:top w:val="nil"/>
              <w:left w:val="nil"/>
              <w:bottom w:val="nil"/>
              <w:right w:val="nil"/>
            </w:tcBorders>
            <w:shd w:val="clear" w:color="auto" w:fill="auto"/>
            <w:noWrap/>
            <w:vAlign w:val="center"/>
            <w:hideMark/>
          </w:tcPr>
          <w:p w14:paraId="15EFE55D" w14:textId="77777777" w:rsidR="009A3F2A" w:rsidRPr="00085941" w:rsidRDefault="009A3F2A" w:rsidP="00E607DA">
            <w:pPr>
              <w:jc w:val="right"/>
              <w:rPr>
                <w:rFonts w:ascii="Meta Pro" w:eastAsia="Times New Roman" w:hAnsi="Meta Pro"/>
                <w:szCs w:val="18"/>
                <w:lang w:eastAsia="en-AU"/>
              </w:rPr>
            </w:pPr>
            <w:r w:rsidRPr="00085941">
              <w:rPr>
                <w:rFonts w:ascii="Meta Pro" w:eastAsia="Times New Roman" w:hAnsi="Meta Pro"/>
                <w:szCs w:val="18"/>
                <w:lang w:eastAsia="en-AU"/>
              </w:rPr>
              <w:t xml:space="preserve">26,254 </w:t>
            </w:r>
          </w:p>
        </w:tc>
        <w:tc>
          <w:tcPr>
            <w:tcW w:w="198" w:type="dxa"/>
            <w:tcBorders>
              <w:top w:val="nil"/>
              <w:left w:val="nil"/>
              <w:bottom w:val="nil"/>
              <w:right w:val="nil"/>
            </w:tcBorders>
            <w:shd w:val="clear" w:color="auto" w:fill="auto"/>
            <w:noWrap/>
            <w:vAlign w:val="center"/>
            <w:hideMark/>
          </w:tcPr>
          <w:p w14:paraId="2F3EEDD0" w14:textId="77777777" w:rsidR="009A3F2A" w:rsidRPr="00085941" w:rsidRDefault="009A3F2A" w:rsidP="00E607DA">
            <w:pPr>
              <w:jc w:val="right"/>
              <w:rPr>
                <w:rFonts w:ascii="Meta Pro" w:eastAsia="Times New Roman" w:hAnsi="Meta Pro"/>
                <w:szCs w:val="18"/>
                <w:lang w:eastAsia="en-AU"/>
              </w:rPr>
            </w:pPr>
          </w:p>
        </w:tc>
        <w:tc>
          <w:tcPr>
            <w:tcW w:w="1191" w:type="dxa"/>
            <w:tcBorders>
              <w:top w:val="nil"/>
              <w:left w:val="nil"/>
              <w:bottom w:val="nil"/>
              <w:right w:val="nil"/>
            </w:tcBorders>
            <w:shd w:val="clear" w:color="auto" w:fill="auto"/>
            <w:noWrap/>
            <w:vAlign w:val="center"/>
            <w:hideMark/>
          </w:tcPr>
          <w:p w14:paraId="1C3613EA" w14:textId="77777777" w:rsidR="009A3F2A" w:rsidRPr="00085941" w:rsidRDefault="009A3F2A" w:rsidP="00E607DA">
            <w:pPr>
              <w:jc w:val="right"/>
              <w:rPr>
                <w:rFonts w:ascii="Meta Pro" w:eastAsia="Times New Roman" w:hAnsi="Meta Pro"/>
                <w:szCs w:val="18"/>
                <w:lang w:eastAsia="en-AU"/>
              </w:rPr>
            </w:pPr>
            <w:r w:rsidRPr="00085941">
              <w:rPr>
                <w:rFonts w:ascii="Meta Pro" w:eastAsia="Times New Roman" w:hAnsi="Meta Pro"/>
                <w:szCs w:val="18"/>
                <w:lang w:eastAsia="en-AU"/>
              </w:rPr>
              <w:t xml:space="preserve">282,718 </w:t>
            </w:r>
          </w:p>
        </w:tc>
        <w:tc>
          <w:tcPr>
            <w:tcW w:w="198" w:type="dxa"/>
            <w:tcBorders>
              <w:top w:val="nil"/>
              <w:left w:val="nil"/>
              <w:bottom w:val="nil"/>
              <w:right w:val="nil"/>
            </w:tcBorders>
            <w:shd w:val="clear" w:color="auto" w:fill="auto"/>
            <w:noWrap/>
            <w:vAlign w:val="center"/>
            <w:hideMark/>
          </w:tcPr>
          <w:p w14:paraId="61A6B932" w14:textId="77777777" w:rsidR="009A3F2A" w:rsidRPr="00085941" w:rsidRDefault="009A3F2A" w:rsidP="00E607DA">
            <w:pPr>
              <w:jc w:val="right"/>
              <w:rPr>
                <w:rFonts w:ascii="Meta Pro" w:eastAsia="Times New Roman" w:hAnsi="Meta Pro"/>
                <w:szCs w:val="18"/>
                <w:lang w:eastAsia="en-AU"/>
              </w:rPr>
            </w:pPr>
          </w:p>
        </w:tc>
        <w:tc>
          <w:tcPr>
            <w:tcW w:w="1191" w:type="dxa"/>
            <w:tcBorders>
              <w:top w:val="nil"/>
              <w:left w:val="nil"/>
              <w:bottom w:val="nil"/>
              <w:right w:val="nil"/>
            </w:tcBorders>
            <w:shd w:val="clear" w:color="auto" w:fill="auto"/>
            <w:noWrap/>
            <w:vAlign w:val="center"/>
            <w:hideMark/>
          </w:tcPr>
          <w:p w14:paraId="541B8E0D" w14:textId="77777777" w:rsidR="009A3F2A" w:rsidRPr="00085941" w:rsidRDefault="009A3F2A" w:rsidP="00E607DA">
            <w:pPr>
              <w:jc w:val="right"/>
              <w:rPr>
                <w:rFonts w:ascii="Meta Pro" w:eastAsia="Times New Roman" w:hAnsi="Meta Pro"/>
                <w:szCs w:val="18"/>
                <w:lang w:eastAsia="en-AU"/>
              </w:rPr>
            </w:pPr>
            <w:r w:rsidRPr="00085941">
              <w:rPr>
                <w:rFonts w:ascii="Meta Pro" w:eastAsia="Times New Roman" w:hAnsi="Meta Pro"/>
                <w:szCs w:val="18"/>
                <w:lang w:eastAsia="en-AU"/>
              </w:rPr>
              <w:t xml:space="preserve">35,935 </w:t>
            </w:r>
          </w:p>
        </w:tc>
        <w:tc>
          <w:tcPr>
            <w:tcW w:w="198" w:type="dxa"/>
            <w:tcBorders>
              <w:top w:val="nil"/>
              <w:left w:val="nil"/>
              <w:bottom w:val="nil"/>
              <w:right w:val="nil"/>
            </w:tcBorders>
            <w:shd w:val="clear" w:color="auto" w:fill="auto"/>
            <w:noWrap/>
            <w:vAlign w:val="center"/>
            <w:hideMark/>
          </w:tcPr>
          <w:p w14:paraId="40256F3A" w14:textId="77777777" w:rsidR="009A3F2A" w:rsidRPr="00085941" w:rsidRDefault="009A3F2A" w:rsidP="00E607DA">
            <w:pPr>
              <w:jc w:val="right"/>
              <w:rPr>
                <w:rFonts w:ascii="Meta Pro" w:eastAsia="Times New Roman" w:hAnsi="Meta Pro"/>
                <w:szCs w:val="18"/>
                <w:lang w:eastAsia="en-AU"/>
              </w:rPr>
            </w:pPr>
          </w:p>
        </w:tc>
        <w:tc>
          <w:tcPr>
            <w:tcW w:w="1191" w:type="dxa"/>
            <w:tcBorders>
              <w:top w:val="nil"/>
              <w:left w:val="nil"/>
              <w:bottom w:val="nil"/>
              <w:right w:val="nil"/>
            </w:tcBorders>
            <w:shd w:val="clear" w:color="auto" w:fill="auto"/>
            <w:noWrap/>
            <w:vAlign w:val="center"/>
            <w:hideMark/>
          </w:tcPr>
          <w:p w14:paraId="7728CA20" w14:textId="77777777" w:rsidR="009A3F2A" w:rsidRPr="00085941" w:rsidRDefault="009A3F2A" w:rsidP="00E607DA">
            <w:pPr>
              <w:jc w:val="right"/>
              <w:rPr>
                <w:rFonts w:ascii="Meta Pro" w:eastAsia="Times New Roman" w:hAnsi="Meta Pro"/>
                <w:szCs w:val="18"/>
                <w:lang w:eastAsia="en-AU"/>
              </w:rPr>
            </w:pPr>
            <w:r w:rsidRPr="00085941">
              <w:rPr>
                <w:rFonts w:ascii="Meta Pro" w:eastAsia="Times New Roman" w:hAnsi="Meta Pro"/>
                <w:szCs w:val="18"/>
                <w:lang w:eastAsia="en-AU"/>
              </w:rPr>
              <w:t xml:space="preserve">4,350 </w:t>
            </w:r>
          </w:p>
        </w:tc>
        <w:tc>
          <w:tcPr>
            <w:tcW w:w="198" w:type="dxa"/>
            <w:tcBorders>
              <w:top w:val="nil"/>
              <w:left w:val="nil"/>
              <w:bottom w:val="nil"/>
              <w:right w:val="nil"/>
            </w:tcBorders>
            <w:shd w:val="clear" w:color="auto" w:fill="auto"/>
            <w:noWrap/>
            <w:vAlign w:val="center"/>
            <w:hideMark/>
          </w:tcPr>
          <w:p w14:paraId="72DF2775" w14:textId="77777777" w:rsidR="009A3F2A" w:rsidRPr="00085941" w:rsidRDefault="009A3F2A" w:rsidP="00E607DA">
            <w:pPr>
              <w:jc w:val="right"/>
              <w:rPr>
                <w:rFonts w:ascii="Meta Pro" w:eastAsia="Times New Roman" w:hAnsi="Meta Pro"/>
                <w:szCs w:val="18"/>
                <w:lang w:eastAsia="en-AU"/>
              </w:rPr>
            </w:pPr>
          </w:p>
        </w:tc>
        <w:tc>
          <w:tcPr>
            <w:tcW w:w="1191" w:type="dxa"/>
            <w:tcBorders>
              <w:top w:val="nil"/>
              <w:left w:val="nil"/>
              <w:bottom w:val="nil"/>
              <w:right w:val="nil"/>
            </w:tcBorders>
            <w:shd w:val="clear" w:color="auto" w:fill="auto"/>
            <w:noWrap/>
            <w:vAlign w:val="center"/>
            <w:hideMark/>
          </w:tcPr>
          <w:p w14:paraId="75F99AD4" w14:textId="77777777" w:rsidR="009A3F2A" w:rsidRPr="00085941" w:rsidRDefault="009A3F2A" w:rsidP="00E607DA">
            <w:pPr>
              <w:jc w:val="right"/>
              <w:rPr>
                <w:rFonts w:ascii="Meta Pro" w:eastAsia="Times New Roman" w:hAnsi="Meta Pro"/>
                <w:b/>
                <w:bCs/>
                <w:szCs w:val="18"/>
                <w:lang w:eastAsia="en-AU"/>
              </w:rPr>
            </w:pPr>
            <w:r w:rsidRPr="00085941">
              <w:rPr>
                <w:rFonts w:ascii="Meta Pro" w:eastAsia="Times New Roman" w:hAnsi="Meta Pro"/>
                <w:b/>
                <w:bCs/>
                <w:szCs w:val="18"/>
                <w:lang w:eastAsia="en-AU"/>
              </w:rPr>
              <w:t xml:space="preserve">349,257 </w:t>
            </w:r>
          </w:p>
        </w:tc>
      </w:tr>
      <w:tr w:rsidR="009A3F2A" w:rsidRPr="00085941" w14:paraId="0C99209E" w14:textId="77777777" w:rsidTr="00E607DA">
        <w:trPr>
          <w:trHeight w:val="240"/>
        </w:trPr>
        <w:tc>
          <w:tcPr>
            <w:tcW w:w="3969" w:type="dxa"/>
            <w:tcBorders>
              <w:top w:val="nil"/>
              <w:left w:val="nil"/>
              <w:bottom w:val="nil"/>
              <w:right w:val="nil"/>
            </w:tcBorders>
            <w:shd w:val="clear" w:color="auto" w:fill="auto"/>
            <w:noWrap/>
            <w:vAlign w:val="center"/>
            <w:hideMark/>
          </w:tcPr>
          <w:p w14:paraId="6A4BD33B" w14:textId="77777777" w:rsidR="009A3F2A" w:rsidRPr="00085941" w:rsidRDefault="009A3F2A" w:rsidP="00E607DA">
            <w:pPr>
              <w:rPr>
                <w:rFonts w:ascii="Meta Pro" w:eastAsia="Times New Roman" w:hAnsi="Meta Pro"/>
                <w:szCs w:val="18"/>
                <w:lang w:eastAsia="en-AU"/>
              </w:rPr>
            </w:pPr>
            <w:r w:rsidRPr="00085941">
              <w:rPr>
                <w:rFonts w:ascii="Meta Pro" w:eastAsia="Times New Roman" w:hAnsi="Meta Pro"/>
                <w:szCs w:val="18"/>
                <w:lang w:eastAsia="en-AU"/>
              </w:rPr>
              <w:t>Less: Accumulated amortisation</w:t>
            </w:r>
          </w:p>
        </w:tc>
        <w:tc>
          <w:tcPr>
            <w:tcW w:w="1191" w:type="dxa"/>
            <w:tcBorders>
              <w:top w:val="nil"/>
              <w:left w:val="nil"/>
              <w:bottom w:val="nil"/>
              <w:right w:val="nil"/>
            </w:tcBorders>
            <w:shd w:val="clear" w:color="auto" w:fill="auto"/>
            <w:noWrap/>
            <w:vAlign w:val="center"/>
            <w:hideMark/>
          </w:tcPr>
          <w:p w14:paraId="79F36C93" w14:textId="77777777" w:rsidR="009A3F2A" w:rsidRPr="00085941" w:rsidRDefault="009A3F2A" w:rsidP="00E607DA">
            <w:pPr>
              <w:jc w:val="right"/>
              <w:rPr>
                <w:rFonts w:ascii="Meta Pro" w:eastAsia="Times New Roman" w:hAnsi="Meta Pro"/>
                <w:szCs w:val="18"/>
                <w:lang w:eastAsia="en-AU"/>
              </w:rPr>
            </w:pPr>
            <w:r w:rsidRPr="00085941">
              <w:rPr>
                <w:rFonts w:ascii="Meta Pro" w:eastAsia="Times New Roman" w:hAnsi="Meta Pro"/>
                <w:szCs w:val="18"/>
                <w:lang w:eastAsia="en-AU"/>
              </w:rPr>
              <w:t>(16,407)</w:t>
            </w:r>
          </w:p>
        </w:tc>
        <w:tc>
          <w:tcPr>
            <w:tcW w:w="198" w:type="dxa"/>
            <w:tcBorders>
              <w:top w:val="nil"/>
              <w:left w:val="nil"/>
              <w:bottom w:val="nil"/>
              <w:right w:val="nil"/>
            </w:tcBorders>
            <w:shd w:val="clear" w:color="auto" w:fill="auto"/>
            <w:noWrap/>
            <w:vAlign w:val="center"/>
            <w:hideMark/>
          </w:tcPr>
          <w:p w14:paraId="0A99440F" w14:textId="77777777" w:rsidR="009A3F2A" w:rsidRPr="00085941" w:rsidRDefault="009A3F2A" w:rsidP="00E607DA">
            <w:pPr>
              <w:jc w:val="right"/>
              <w:rPr>
                <w:rFonts w:ascii="Meta Pro" w:eastAsia="Times New Roman" w:hAnsi="Meta Pro"/>
                <w:szCs w:val="18"/>
                <w:lang w:eastAsia="en-AU"/>
              </w:rPr>
            </w:pPr>
          </w:p>
        </w:tc>
        <w:tc>
          <w:tcPr>
            <w:tcW w:w="1191" w:type="dxa"/>
            <w:tcBorders>
              <w:top w:val="nil"/>
              <w:left w:val="nil"/>
              <w:bottom w:val="nil"/>
              <w:right w:val="nil"/>
            </w:tcBorders>
            <w:shd w:val="clear" w:color="auto" w:fill="auto"/>
            <w:noWrap/>
            <w:vAlign w:val="center"/>
            <w:hideMark/>
          </w:tcPr>
          <w:p w14:paraId="34D4A248" w14:textId="77777777" w:rsidR="009A3F2A" w:rsidRPr="00085941" w:rsidRDefault="009A3F2A" w:rsidP="00E607DA">
            <w:pPr>
              <w:jc w:val="right"/>
              <w:rPr>
                <w:rFonts w:ascii="Meta Pro" w:eastAsia="Times New Roman" w:hAnsi="Meta Pro"/>
                <w:szCs w:val="18"/>
                <w:lang w:eastAsia="en-AU"/>
              </w:rPr>
            </w:pPr>
            <w:r w:rsidRPr="00085941">
              <w:rPr>
                <w:rFonts w:ascii="Meta Pro" w:eastAsia="Times New Roman" w:hAnsi="Meta Pro"/>
                <w:szCs w:val="18"/>
                <w:lang w:eastAsia="en-AU"/>
              </w:rPr>
              <w:t>(247,292)</w:t>
            </w:r>
          </w:p>
        </w:tc>
        <w:tc>
          <w:tcPr>
            <w:tcW w:w="198" w:type="dxa"/>
            <w:tcBorders>
              <w:top w:val="nil"/>
              <w:left w:val="nil"/>
              <w:bottom w:val="nil"/>
              <w:right w:val="nil"/>
            </w:tcBorders>
            <w:shd w:val="clear" w:color="auto" w:fill="auto"/>
            <w:noWrap/>
            <w:vAlign w:val="center"/>
            <w:hideMark/>
          </w:tcPr>
          <w:p w14:paraId="5C626BC9" w14:textId="77777777" w:rsidR="009A3F2A" w:rsidRPr="00085941" w:rsidRDefault="009A3F2A" w:rsidP="00E607DA">
            <w:pPr>
              <w:jc w:val="right"/>
              <w:rPr>
                <w:rFonts w:ascii="Meta Pro" w:eastAsia="Times New Roman" w:hAnsi="Meta Pro"/>
                <w:szCs w:val="18"/>
                <w:lang w:eastAsia="en-AU"/>
              </w:rPr>
            </w:pPr>
          </w:p>
        </w:tc>
        <w:tc>
          <w:tcPr>
            <w:tcW w:w="1191" w:type="dxa"/>
            <w:tcBorders>
              <w:top w:val="nil"/>
              <w:left w:val="nil"/>
              <w:bottom w:val="nil"/>
              <w:right w:val="nil"/>
            </w:tcBorders>
            <w:shd w:val="clear" w:color="auto" w:fill="auto"/>
            <w:noWrap/>
            <w:vAlign w:val="center"/>
            <w:hideMark/>
          </w:tcPr>
          <w:p w14:paraId="46CDF0BC" w14:textId="77777777" w:rsidR="009A3F2A" w:rsidRPr="00085941" w:rsidRDefault="009A3F2A" w:rsidP="00E607DA">
            <w:pPr>
              <w:jc w:val="right"/>
              <w:rPr>
                <w:rFonts w:ascii="Meta Pro" w:eastAsia="Times New Roman" w:hAnsi="Meta Pro"/>
                <w:szCs w:val="18"/>
                <w:lang w:eastAsia="en-AU"/>
              </w:rPr>
            </w:pPr>
            <w:r w:rsidRPr="00085941">
              <w:rPr>
                <w:rFonts w:ascii="Meta Pro" w:eastAsia="Times New Roman" w:hAnsi="Meta Pro"/>
                <w:szCs w:val="18"/>
                <w:lang w:eastAsia="en-AU"/>
              </w:rPr>
              <w:t xml:space="preserve">- </w:t>
            </w:r>
          </w:p>
        </w:tc>
        <w:tc>
          <w:tcPr>
            <w:tcW w:w="198" w:type="dxa"/>
            <w:tcBorders>
              <w:top w:val="nil"/>
              <w:left w:val="nil"/>
              <w:bottom w:val="nil"/>
              <w:right w:val="nil"/>
            </w:tcBorders>
            <w:shd w:val="clear" w:color="auto" w:fill="auto"/>
            <w:noWrap/>
            <w:vAlign w:val="center"/>
            <w:hideMark/>
          </w:tcPr>
          <w:p w14:paraId="659939A8" w14:textId="77777777" w:rsidR="009A3F2A" w:rsidRPr="00085941" w:rsidRDefault="009A3F2A" w:rsidP="00E607DA">
            <w:pPr>
              <w:jc w:val="right"/>
              <w:rPr>
                <w:rFonts w:ascii="Meta Pro" w:eastAsia="Times New Roman" w:hAnsi="Meta Pro"/>
                <w:szCs w:val="18"/>
                <w:lang w:eastAsia="en-AU"/>
              </w:rPr>
            </w:pPr>
          </w:p>
        </w:tc>
        <w:tc>
          <w:tcPr>
            <w:tcW w:w="1191" w:type="dxa"/>
            <w:tcBorders>
              <w:top w:val="nil"/>
              <w:left w:val="nil"/>
              <w:bottom w:val="nil"/>
              <w:right w:val="nil"/>
            </w:tcBorders>
            <w:shd w:val="clear" w:color="auto" w:fill="auto"/>
            <w:noWrap/>
            <w:vAlign w:val="center"/>
            <w:hideMark/>
          </w:tcPr>
          <w:p w14:paraId="4245C84F" w14:textId="77777777" w:rsidR="009A3F2A" w:rsidRPr="00085941" w:rsidRDefault="009A3F2A" w:rsidP="00E607DA">
            <w:pPr>
              <w:jc w:val="right"/>
              <w:rPr>
                <w:rFonts w:ascii="Meta Pro" w:eastAsia="Times New Roman" w:hAnsi="Meta Pro"/>
                <w:szCs w:val="18"/>
                <w:lang w:eastAsia="en-AU"/>
              </w:rPr>
            </w:pPr>
            <w:r w:rsidRPr="00085941">
              <w:rPr>
                <w:rFonts w:ascii="Meta Pro" w:eastAsia="Times New Roman" w:hAnsi="Meta Pro"/>
                <w:szCs w:val="18"/>
                <w:lang w:eastAsia="en-AU"/>
              </w:rPr>
              <w:t>(4)</w:t>
            </w:r>
          </w:p>
        </w:tc>
        <w:tc>
          <w:tcPr>
            <w:tcW w:w="198" w:type="dxa"/>
            <w:tcBorders>
              <w:top w:val="nil"/>
              <w:left w:val="nil"/>
              <w:bottom w:val="nil"/>
              <w:right w:val="nil"/>
            </w:tcBorders>
            <w:shd w:val="clear" w:color="auto" w:fill="auto"/>
            <w:noWrap/>
            <w:vAlign w:val="center"/>
            <w:hideMark/>
          </w:tcPr>
          <w:p w14:paraId="0A225638" w14:textId="77777777" w:rsidR="009A3F2A" w:rsidRPr="00085941" w:rsidRDefault="009A3F2A" w:rsidP="00E607DA">
            <w:pPr>
              <w:jc w:val="right"/>
              <w:rPr>
                <w:rFonts w:ascii="Meta Pro" w:eastAsia="Times New Roman" w:hAnsi="Meta Pro"/>
                <w:szCs w:val="18"/>
                <w:lang w:eastAsia="en-AU"/>
              </w:rPr>
            </w:pPr>
          </w:p>
        </w:tc>
        <w:tc>
          <w:tcPr>
            <w:tcW w:w="1191" w:type="dxa"/>
            <w:tcBorders>
              <w:top w:val="nil"/>
              <w:left w:val="nil"/>
              <w:bottom w:val="nil"/>
              <w:right w:val="nil"/>
            </w:tcBorders>
            <w:shd w:val="clear" w:color="auto" w:fill="auto"/>
            <w:noWrap/>
            <w:vAlign w:val="center"/>
            <w:hideMark/>
          </w:tcPr>
          <w:p w14:paraId="62525BD0" w14:textId="77777777" w:rsidR="009A3F2A" w:rsidRPr="00085941" w:rsidRDefault="009A3F2A" w:rsidP="00E607DA">
            <w:pPr>
              <w:jc w:val="right"/>
              <w:rPr>
                <w:rFonts w:ascii="Meta Pro" w:eastAsia="Times New Roman" w:hAnsi="Meta Pro"/>
                <w:b/>
                <w:bCs/>
                <w:szCs w:val="18"/>
                <w:lang w:eastAsia="en-AU"/>
              </w:rPr>
            </w:pPr>
            <w:r w:rsidRPr="00085941">
              <w:rPr>
                <w:rFonts w:ascii="Meta Pro" w:eastAsia="Times New Roman" w:hAnsi="Meta Pro"/>
                <w:b/>
                <w:bCs/>
                <w:szCs w:val="18"/>
                <w:lang w:eastAsia="en-AU"/>
              </w:rPr>
              <w:t>(263,703)</w:t>
            </w:r>
          </w:p>
        </w:tc>
      </w:tr>
      <w:tr w:rsidR="009A3F2A" w:rsidRPr="00085941" w14:paraId="6DB30242" w14:textId="77777777" w:rsidTr="00E607DA">
        <w:trPr>
          <w:trHeight w:val="240"/>
        </w:trPr>
        <w:tc>
          <w:tcPr>
            <w:tcW w:w="3969" w:type="dxa"/>
            <w:tcBorders>
              <w:top w:val="single" w:sz="4" w:space="0" w:color="auto"/>
              <w:left w:val="nil"/>
              <w:bottom w:val="double" w:sz="6" w:space="0" w:color="auto"/>
              <w:right w:val="nil"/>
            </w:tcBorders>
            <w:shd w:val="clear" w:color="auto" w:fill="auto"/>
            <w:noWrap/>
            <w:vAlign w:val="center"/>
            <w:hideMark/>
          </w:tcPr>
          <w:p w14:paraId="69851002" w14:textId="77777777" w:rsidR="009A3F2A" w:rsidRPr="00085941" w:rsidRDefault="009A3F2A" w:rsidP="00E607DA">
            <w:pPr>
              <w:rPr>
                <w:rFonts w:ascii="Meta Pro" w:eastAsia="Times New Roman" w:hAnsi="Meta Pro"/>
                <w:b/>
                <w:bCs/>
                <w:szCs w:val="18"/>
                <w:lang w:eastAsia="en-AU"/>
              </w:rPr>
            </w:pPr>
            <w:r w:rsidRPr="00085941">
              <w:rPr>
                <w:rFonts w:ascii="Meta Pro" w:eastAsia="Times New Roman" w:hAnsi="Meta Pro"/>
                <w:b/>
                <w:bCs/>
                <w:szCs w:val="18"/>
                <w:lang w:eastAsia="en-AU"/>
              </w:rPr>
              <w:t>Carrying amount at 30 June</w:t>
            </w:r>
          </w:p>
        </w:tc>
        <w:tc>
          <w:tcPr>
            <w:tcW w:w="1191" w:type="dxa"/>
            <w:tcBorders>
              <w:top w:val="single" w:sz="4" w:space="0" w:color="auto"/>
              <w:left w:val="nil"/>
              <w:bottom w:val="double" w:sz="6" w:space="0" w:color="auto"/>
              <w:right w:val="nil"/>
            </w:tcBorders>
            <w:shd w:val="clear" w:color="auto" w:fill="auto"/>
            <w:noWrap/>
            <w:vAlign w:val="center"/>
            <w:hideMark/>
          </w:tcPr>
          <w:p w14:paraId="30C408ED" w14:textId="77777777" w:rsidR="009A3F2A" w:rsidRPr="00085941" w:rsidRDefault="009A3F2A" w:rsidP="00E607DA">
            <w:pPr>
              <w:jc w:val="right"/>
              <w:rPr>
                <w:rFonts w:ascii="Meta Pro" w:eastAsia="Times New Roman" w:hAnsi="Meta Pro"/>
                <w:b/>
                <w:bCs/>
                <w:szCs w:val="18"/>
                <w:lang w:eastAsia="en-AU"/>
              </w:rPr>
            </w:pPr>
            <w:r w:rsidRPr="00085941">
              <w:rPr>
                <w:rFonts w:ascii="Meta Pro" w:eastAsia="Times New Roman" w:hAnsi="Meta Pro"/>
                <w:b/>
                <w:bCs/>
                <w:szCs w:val="18"/>
                <w:lang w:eastAsia="en-AU"/>
              </w:rPr>
              <w:t xml:space="preserve">9,847 </w:t>
            </w:r>
          </w:p>
        </w:tc>
        <w:tc>
          <w:tcPr>
            <w:tcW w:w="198" w:type="dxa"/>
            <w:tcBorders>
              <w:top w:val="nil"/>
              <w:left w:val="nil"/>
              <w:bottom w:val="nil"/>
              <w:right w:val="nil"/>
            </w:tcBorders>
            <w:shd w:val="clear" w:color="auto" w:fill="auto"/>
            <w:noWrap/>
            <w:vAlign w:val="center"/>
            <w:hideMark/>
          </w:tcPr>
          <w:p w14:paraId="6B972AA9" w14:textId="77777777" w:rsidR="009A3F2A" w:rsidRPr="00085941" w:rsidRDefault="009A3F2A" w:rsidP="00E607DA">
            <w:pPr>
              <w:jc w:val="right"/>
              <w:rPr>
                <w:rFonts w:ascii="Meta Pro" w:eastAsia="Times New Roman" w:hAnsi="Meta Pro"/>
                <w:b/>
                <w:bCs/>
                <w:szCs w:val="18"/>
                <w:lang w:eastAsia="en-AU"/>
              </w:rPr>
            </w:pPr>
          </w:p>
        </w:tc>
        <w:tc>
          <w:tcPr>
            <w:tcW w:w="1191" w:type="dxa"/>
            <w:tcBorders>
              <w:top w:val="single" w:sz="4" w:space="0" w:color="auto"/>
              <w:left w:val="nil"/>
              <w:bottom w:val="double" w:sz="6" w:space="0" w:color="auto"/>
              <w:right w:val="nil"/>
            </w:tcBorders>
            <w:shd w:val="clear" w:color="auto" w:fill="auto"/>
            <w:noWrap/>
            <w:vAlign w:val="center"/>
            <w:hideMark/>
          </w:tcPr>
          <w:p w14:paraId="214C88F0" w14:textId="77777777" w:rsidR="009A3F2A" w:rsidRPr="00085941" w:rsidRDefault="009A3F2A" w:rsidP="00E607DA">
            <w:pPr>
              <w:jc w:val="right"/>
              <w:rPr>
                <w:rFonts w:ascii="Meta Pro" w:eastAsia="Times New Roman" w:hAnsi="Meta Pro"/>
                <w:b/>
                <w:bCs/>
                <w:szCs w:val="18"/>
                <w:lang w:eastAsia="en-AU"/>
              </w:rPr>
            </w:pPr>
            <w:r w:rsidRPr="00085941">
              <w:rPr>
                <w:rFonts w:ascii="Meta Pro" w:eastAsia="Times New Roman" w:hAnsi="Meta Pro"/>
                <w:b/>
                <w:bCs/>
                <w:szCs w:val="18"/>
                <w:lang w:eastAsia="en-AU"/>
              </w:rPr>
              <w:t xml:space="preserve">35,426 </w:t>
            </w:r>
          </w:p>
        </w:tc>
        <w:tc>
          <w:tcPr>
            <w:tcW w:w="198" w:type="dxa"/>
            <w:tcBorders>
              <w:top w:val="nil"/>
              <w:left w:val="nil"/>
              <w:bottom w:val="nil"/>
              <w:right w:val="nil"/>
            </w:tcBorders>
            <w:shd w:val="clear" w:color="auto" w:fill="auto"/>
            <w:noWrap/>
            <w:vAlign w:val="center"/>
            <w:hideMark/>
          </w:tcPr>
          <w:p w14:paraId="102E1643" w14:textId="77777777" w:rsidR="009A3F2A" w:rsidRPr="00085941" w:rsidRDefault="009A3F2A" w:rsidP="00E607DA">
            <w:pPr>
              <w:jc w:val="right"/>
              <w:rPr>
                <w:rFonts w:ascii="Meta Pro" w:eastAsia="Times New Roman" w:hAnsi="Meta Pro"/>
                <w:b/>
                <w:bCs/>
                <w:szCs w:val="18"/>
                <w:lang w:eastAsia="en-AU"/>
              </w:rPr>
            </w:pPr>
          </w:p>
        </w:tc>
        <w:tc>
          <w:tcPr>
            <w:tcW w:w="1191" w:type="dxa"/>
            <w:tcBorders>
              <w:top w:val="single" w:sz="4" w:space="0" w:color="auto"/>
              <w:left w:val="nil"/>
              <w:bottom w:val="double" w:sz="6" w:space="0" w:color="auto"/>
              <w:right w:val="nil"/>
            </w:tcBorders>
            <w:shd w:val="clear" w:color="auto" w:fill="auto"/>
            <w:noWrap/>
            <w:vAlign w:val="center"/>
            <w:hideMark/>
          </w:tcPr>
          <w:p w14:paraId="5318CF39" w14:textId="77777777" w:rsidR="009A3F2A" w:rsidRPr="00085941" w:rsidRDefault="009A3F2A" w:rsidP="00E607DA">
            <w:pPr>
              <w:jc w:val="right"/>
              <w:rPr>
                <w:rFonts w:ascii="Meta Pro" w:eastAsia="Times New Roman" w:hAnsi="Meta Pro"/>
                <w:b/>
                <w:bCs/>
                <w:szCs w:val="18"/>
                <w:lang w:eastAsia="en-AU"/>
              </w:rPr>
            </w:pPr>
            <w:r w:rsidRPr="00085941">
              <w:rPr>
                <w:rFonts w:ascii="Meta Pro" w:eastAsia="Times New Roman" w:hAnsi="Meta Pro"/>
                <w:b/>
                <w:bCs/>
                <w:szCs w:val="18"/>
                <w:lang w:eastAsia="en-AU"/>
              </w:rPr>
              <w:t xml:space="preserve">35,935 </w:t>
            </w:r>
          </w:p>
        </w:tc>
        <w:tc>
          <w:tcPr>
            <w:tcW w:w="198" w:type="dxa"/>
            <w:tcBorders>
              <w:top w:val="nil"/>
              <w:left w:val="nil"/>
              <w:bottom w:val="nil"/>
              <w:right w:val="nil"/>
            </w:tcBorders>
            <w:shd w:val="clear" w:color="auto" w:fill="auto"/>
            <w:noWrap/>
            <w:vAlign w:val="center"/>
            <w:hideMark/>
          </w:tcPr>
          <w:p w14:paraId="79D29119" w14:textId="77777777" w:rsidR="009A3F2A" w:rsidRPr="00085941" w:rsidRDefault="009A3F2A" w:rsidP="00E607DA">
            <w:pPr>
              <w:jc w:val="right"/>
              <w:rPr>
                <w:rFonts w:ascii="Meta Pro" w:eastAsia="Times New Roman" w:hAnsi="Meta Pro"/>
                <w:b/>
                <w:bCs/>
                <w:szCs w:val="18"/>
                <w:lang w:eastAsia="en-AU"/>
              </w:rPr>
            </w:pPr>
          </w:p>
        </w:tc>
        <w:tc>
          <w:tcPr>
            <w:tcW w:w="1191" w:type="dxa"/>
            <w:tcBorders>
              <w:top w:val="single" w:sz="4" w:space="0" w:color="auto"/>
              <w:left w:val="nil"/>
              <w:bottom w:val="double" w:sz="6" w:space="0" w:color="auto"/>
              <w:right w:val="nil"/>
            </w:tcBorders>
            <w:shd w:val="clear" w:color="auto" w:fill="auto"/>
            <w:noWrap/>
            <w:vAlign w:val="center"/>
            <w:hideMark/>
          </w:tcPr>
          <w:p w14:paraId="1E1572A8" w14:textId="77777777" w:rsidR="009A3F2A" w:rsidRPr="00085941" w:rsidRDefault="009A3F2A" w:rsidP="00E607DA">
            <w:pPr>
              <w:jc w:val="right"/>
              <w:rPr>
                <w:rFonts w:ascii="Meta Pro" w:eastAsia="Times New Roman" w:hAnsi="Meta Pro"/>
                <w:b/>
                <w:bCs/>
                <w:szCs w:val="18"/>
                <w:lang w:eastAsia="en-AU"/>
              </w:rPr>
            </w:pPr>
            <w:r w:rsidRPr="00085941">
              <w:rPr>
                <w:rFonts w:ascii="Meta Pro" w:eastAsia="Times New Roman" w:hAnsi="Meta Pro"/>
                <w:b/>
                <w:bCs/>
                <w:szCs w:val="18"/>
                <w:lang w:eastAsia="en-AU"/>
              </w:rPr>
              <w:t xml:space="preserve">4,346 </w:t>
            </w:r>
          </w:p>
        </w:tc>
        <w:tc>
          <w:tcPr>
            <w:tcW w:w="198" w:type="dxa"/>
            <w:tcBorders>
              <w:top w:val="nil"/>
              <w:left w:val="nil"/>
              <w:bottom w:val="nil"/>
              <w:right w:val="nil"/>
            </w:tcBorders>
            <w:shd w:val="clear" w:color="auto" w:fill="auto"/>
            <w:noWrap/>
            <w:vAlign w:val="center"/>
            <w:hideMark/>
          </w:tcPr>
          <w:p w14:paraId="37DC5333" w14:textId="77777777" w:rsidR="009A3F2A" w:rsidRPr="00085941" w:rsidRDefault="009A3F2A" w:rsidP="00E607DA">
            <w:pPr>
              <w:jc w:val="right"/>
              <w:rPr>
                <w:rFonts w:ascii="Meta Pro" w:eastAsia="Times New Roman" w:hAnsi="Meta Pro"/>
                <w:b/>
                <w:bCs/>
                <w:szCs w:val="18"/>
                <w:lang w:eastAsia="en-AU"/>
              </w:rPr>
            </w:pPr>
          </w:p>
        </w:tc>
        <w:tc>
          <w:tcPr>
            <w:tcW w:w="1191" w:type="dxa"/>
            <w:tcBorders>
              <w:top w:val="single" w:sz="4" w:space="0" w:color="auto"/>
              <w:left w:val="nil"/>
              <w:bottom w:val="double" w:sz="6" w:space="0" w:color="auto"/>
              <w:right w:val="nil"/>
            </w:tcBorders>
            <w:shd w:val="clear" w:color="auto" w:fill="auto"/>
            <w:noWrap/>
            <w:vAlign w:val="center"/>
            <w:hideMark/>
          </w:tcPr>
          <w:p w14:paraId="1A709FE6" w14:textId="77777777" w:rsidR="009A3F2A" w:rsidRPr="00085941" w:rsidRDefault="009A3F2A" w:rsidP="00E607DA">
            <w:pPr>
              <w:jc w:val="right"/>
              <w:rPr>
                <w:rFonts w:ascii="Meta Pro" w:eastAsia="Times New Roman" w:hAnsi="Meta Pro"/>
                <w:b/>
                <w:bCs/>
                <w:szCs w:val="18"/>
                <w:lang w:eastAsia="en-AU"/>
              </w:rPr>
            </w:pPr>
            <w:r w:rsidRPr="00085941">
              <w:rPr>
                <w:rFonts w:ascii="Meta Pro" w:eastAsia="Times New Roman" w:hAnsi="Meta Pro"/>
                <w:b/>
                <w:bCs/>
                <w:szCs w:val="18"/>
                <w:lang w:eastAsia="en-AU"/>
              </w:rPr>
              <w:t xml:space="preserve">85,554 </w:t>
            </w:r>
          </w:p>
        </w:tc>
      </w:tr>
      <w:tr w:rsidR="009A3F2A" w:rsidRPr="00085941" w14:paraId="0F9CBD1B" w14:textId="77777777" w:rsidTr="00E607DA">
        <w:trPr>
          <w:trHeight w:val="90"/>
        </w:trPr>
        <w:tc>
          <w:tcPr>
            <w:tcW w:w="3969" w:type="dxa"/>
            <w:tcBorders>
              <w:top w:val="nil"/>
              <w:left w:val="nil"/>
              <w:bottom w:val="nil"/>
              <w:right w:val="nil"/>
            </w:tcBorders>
            <w:shd w:val="clear" w:color="auto" w:fill="auto"/>
            <w:noWrap/>
            <w:vAlign w:val="center"/>
            <w:hideMark/>
          </w:tcPr>
          <w:p w14:paraId="076A97AA" w14:textId="77777777" w:rsidR="009A3F2A" w:rsidRPr="00085941" w:rsidRDefault="009A3F2A" w:rsidP="00E607DA">
            <w:pPr>
              <w:jc w:val="right"/>
              <w:rPr>
                <w:rFonts w:ascii="Meta Pro" w:eastAsia="Times New Roman" w:hAnsi="Meta Pro"/>
                <w:b/>
                <w:bCs/>
                <w:szCs w:val="18"/>
                <w:lang w:eastAsia="en-AU"/>
              </w:rPr>
            </w:pPr>
          </w:p>
        </w:tc>
        <w:tc>
          <w:tcPr>
            <w:tcW w:w="1191" w:type="dxa"/>
            <w:tcBorders>
              <w:top w:val="nil"/>
              <w:left w:val="nil"/>
              <w:bottom w:val="nil"/>
              <w:right w:val="nil"/>
            </w:tcBorders>
            <w:shd w:val="clear" w:color="auto" w:fill="auto"/>
            <w:noWrap/>
            <w:vAlign w:val="center"/>
            <w:hideMark/>
          </w:tcPr>
          <w:p w14:paraId="1F4907A3" w14:textId="77777777" w:rsidR="009A3F2A" w:rsidRPr="00085941" w:rsidRDefault="009A3F2A" w:rsidP="00E607DA">
            <w:pPr>
              <w:rPr>
                <w:rFonts w:eastAsia="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4FB6B881" w14:textId="77777777" w:rsidR="009A3F2A" w:rsidRPr="00085941" w:rsidRDefault="009A3F2A" w:rsidP="00E607DA">
            <w:pPr>
              <w:jc w:val="right"/>
              <w:rPr>
                <w:rFonts w:eastAsia="Times New Roman"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2FD100DC" w14:textId="77777777" w:rsidR="009A3F2A" w:rsidRPr="00085941" w:rsidRDefault="009A3F2A" w:rsidP="00E607DA">
            <w:pPr>
              <w:rPr>
                <w:rFonts w:eastAsia="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001AC327" w14:textId="77777777" w:rsidR="009A3F2A" w:rsidRPr="00085941" w:rsidRDefault="009A3F2A" w:rsidP="00E607DA">
            <w:pPr>
              <w:jc w:val="right"/>
              <w:rPr>
                <w:rFonts w:eastAsia="Times New Roman"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1DBD70BC" w14:textId="77777777" w:rsidR="009A3F2A" w:rsidRPr="00085941" w:rsidRDefault="009A3F2A" w:rsidP="00E607DA">
            <w:pPr>
              <w:rPr>
                <w:rFonts w:eastAsia="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079A8D4E" w14:textId="77777777" w:rsidR="009A3F2A" w:rsidRPr="00085941" w:rsidRDefault="009A3F2A" w:rsidP="00E607DA">
            <w:pPr>
              <w:jc w:val="right"/>
              <w:rPr>
                <w:rFonts w:eastAsia="Times New Roman"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4F2BA341" w14:textId="77777777" w:rsidR="009A3F2A" w:rsidRPr="00085941" w:rsidRDefault="009A3F2A" w:rsidP="00E607DA">
            <w:pPr>
              <w:rPr>
                <w:rFonts w:eastAsia="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5822DE1C" w14:textId="77777777" w:rsidR="009A3F2A" w:rsidRPr="00085941" w:rsidRDefault="009A3F2A" w:rsidP="00E607DA">
            <w:pPr>
              <w:jc w:val="right"/>
              <w:rPr>
                <w:rFonts w:eastAsia="Times New Roman"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4CAFCEC8" w14:textId="77777777" w:rsidR="009A3F2A" w:rsidRPr="00085941" w:rsidRDefault="009A3F2A" w:rsidP="00E607DA">
            <w:pPr>
              <w:rPr>
                <w:rFonts w:eastAsia="Times New Roman" w:cs="Times New Roman"/>
                <w:sz w:val="20"/>
                <w:szCs w:val="20"/>
                <w:lang w:eastAsia="en-AU"/>
              </w:rPr>
            </w:pPr>
          </w:p>
        </w:tc>
      </w:tr>
      <w:tr w:rsidR="009A3F2A" w:rsidRPr="00085941" w14:paraId="1EB61529" w14:textId="77777777" w:rsidTr="00E607DA">
        <w:trPr>
          <w:trHeight w:val="240"/>
        </w:trPr>
        <w:tc>
          <w:tcPr>
            <w:tcW w:w="3969" w:type="dxa"/>
            <w:tcBorders>
              <w:top w:val="nil"/>
              <w:left w:val="nil"/>
              <w:bottom w:val="nil"/>
              <w:right w:val="nil"/>
            </w:tcBorders>
            <w:shd w:val="clear" w:color="auto" w:fill="auto"/>
            <w:noWrap/>
            <w:vAlign w:val="center"/>
            <w:hideMark/>
          </w:tcPr>
          <w:p w14:paraId="0B0F5E3F" w14:textId="77777777" w:rsidR="009A3F2A" w:rsidRPr="00085941" w:rsidRDefault="009A3F2A" w:rsidP="00E607DA">
            <w:pPr>
              <w:rPr>
                <w:rFonts w:ascii="Meta Pro" w:eastAsia="Times New Roman" w:hAnsi="Meta Pro"/>
                <w:b/>
                <w:bCs/>
                <w:szCs w:val="18"/>
                <w:lang w:eastAsia="en-AU"/>
              </w:rPr>
            </w:pPr>
            <w:r w:rsidRPr="00085941">
              <w:rPr>
                <w:rFonts w:ascii="Meta Pro" w:eastAsia="Times New Roman" w:hAnsi="Meta Pro"/>
                <w:b/>
                <w:bCs/>
                <w:szCs w:val="18"/>
                <w:lang w:eastAsia="en-AU"/>
              </w:rPr>
              <w:t>Reconciliation</w:t>
            </w:r>
          </w:p>
        </w:tc>
        <w:tc>
          <w:tcPr>
            <w:tcW w:w="1191" w:type="dxa"/>
            <w:tcBorders>
              <w:top w:val="nil"/>
              <w:left w:val="nil"/>
              <w:bottom w:val="nil"/>
              <w:right w:val="nil"/>
            </w:tcBorders>
            <w:shd w:val="clear" w:color="auto" w:fill="auto"/>
            <w:noWrap/>
            <w:vAlign w:val="center"/>
            <w:hideMark/>
          </w:tcPr>
          <w:p w14:paraId="679F5B85" w14:textId="77777777" w:rsidR="009A3F2A" w:rsidRPr="00085941" w:rsidRDefault="009A3F2A" w:rsidP="00E607DA">
            <w:pPr>
              <w:rPr>
                <w:rFonts w:ascii="Meta Pro" w:eastAsia="Times New Roman" w:hAnsi="Meta Pro"/>
                <w:b/>
                <w:bCs/>
                <w:szCs w:val="18"/>
                <w:lang w:eastAsia="en-AU"/>
              </w:rPr>
            </w:pPr>
          </w:p>
        </w:tc>
        <w:tc>
          <w:tcPr>
            <w:tcW w:w="198" w:type="dxa"/>
            <w:tcBorders>
              <w:top w:val="nil"/>
              <w:left w:val="nil"/>
              <w:bottom w:val="nil"/>
              <w:right w:val="nil"/>
            </w:tcBorders>
            <w:shd w:val="clear" w:color="auto" w:fill="auto"/>
            <w:noWrap/>
            <w:vAlign w:val="center"/>
            <w:hideMark/>
          </w:tcPr>
          <w:p w14:paraId="6786E5D7" w14:textId="77777777" w:rsidR="009A3F2A" w:rsidRPr="00085941" w:rsidRDefault="009A3F2A" w:rsidP="00E607DA">
            <w:pPr>
              <w:jc w:val="right"/>
              <w:rPr>
                <w:rFonts w:eastAsia="Times New Roman"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3D2C51DB" w14:textId="77777777" w:rsidR="009A3F2A" w:rsidRPr="00085941" w:rsidRDefault="009A3F2A" w:rsidP="00E607DA">
            <w:pPr>
              <w:rPr>
                <w:rFonts w:eastAsia="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684D15D9" w14:textId="77777777" w:rsidR="009A3F2A" w:rsidRPr="00085941" w:rsidRDefault="009A3F2A" w:rsidP="00E607DA">
            <w:pPr>
              <w:jc w:val="right"/>
              <w:rPr>
                <w:rFonts w:eastAsia="Times New Roman"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704C171F" w14:textId="77777777" w:rsidR="009A3F2A" w:rsidRPr="00085941" w:rsidRDefault="009A3F2A" w:rsidP="00E607DA">
            <w:pPr>
              <w:rPr>
                <w:rFonts w:eastAsia="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321FF2AE" w14:textId="77777777" w:rsidR="009A3F2A" w:rsidRPr="00085941" w:rsidRDefault="009A3F2A" w:rsidP="00E607DA">
            <w:pPr>
              <w:jc w:val="right"/>
              <w:rPr>
                <w:rFonts w:eastAsia="Times New Roman"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0EADBEC7" w14:textId="77777777" w:rsidR="009A3F2A" w:rsidRPr="00085941" w:rsidRDefault="009A3F2A" w:rsidP="00E607DA">
            <w:pPr>
              <w:rPr>
                <w:rFonts w:eastAsia="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3A7C894C" w14:textId="77777777" w:rsidR="009A3F2A" w:rsidRPr="00085941" w:rsidRDefault="009A3F2A" w:rsidP="00E607DA">
            <w:pPr>
              <w:jc w:val="right"/>
              <w:rPr>
                <w:rFonts w:eastAsia="Times New Roman"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56ABFA81" w14:textId="77777777" w:rsidR="009A3F2A" w:rsidRPr="00085941" w:rsidRDefault="009A3F2A" w:rsidP="00E607DA">
            <w:pPr>
              <w:rPr>
                <w:rFonts w:eastAsia="Times New Roman" w:cs="Times New Roman"/>
                <w:sz w:val="20"/>
                <w:szCs w:val="20"/>
                <w:lang w:eastAsia="en-AU"/>
              </w:rPr>
            </w:pPr>
          </w:p>
        </w:tc>
      </w:tr>
      <w:tr w:rsidR="009A3F2A" w:rsidRPr="00085941" w14:paraId="1A4AADE8" w14:textId="77777777" w:rsidTr="00E607DA">
        <w:trPr>
          <w:trHeight w:val="90"/>
        </w:trPr>
        <w:tc>
          <w:tcPr>
            <w:tcW w:w="3969" w:type="dxa"/>
            <w:tcBorders>
              <w:top w:val="nil"/>
              <w:left w:val="nil"/>
              <w:bottom w:val="nil"/>
              <w:right w:val="nil"/>
            </w:tcBorders>
            <w:shd w:val="clear" w:color="auto" w:fill="auto"/>
            <w:noWrap/>
            <w:vAlign w:val="center"/>
            <w:hideMark/>
          </w:tcPr>
          <w:p w14:paraId="4A5687C2" w14:textId="77777777" w:rsidR="009A3F2A" w:rsidRPr="00085941" w:rsidRDefault="009A3F2A" w:rsidP="00E607DA">
            <w:pPr>
              <w:jc w:val="right"/>
              <w:rPr>
                <w:rFonts w:eastAsia="Times New Roman"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74A2EA5A" w14:textId="77777777" w:rsidR="009A3F2A" w:rsidRPr="00085941" w:rsidRDefault="009A3F2A" w:rsidP="00E607DA">
            <w:pPr>
              <w:rPr>
                <w:rFonts w:eastAsia="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29056679" w14:textId="77777777" w:rsidR="009A3F2A" w:rsidRPr="00085941" w:rsidRDefault="009A3F2A" w:rsidP="00E607DA">
            <w:pPr>
              <w:jc w:val="right"/>
              <w:rPr>
                <w:rFonts w:eastAsia="Times New Roman"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4F38F976" w14:textId="77777777" w:rsidR="009A3F2A" w:rsidRPr="00085941" w:rsidRDefault="009A3F2A" w:rsidP="00E607DA">
            <w:pPr>
              <w:rPr>
                <w:rFonts w:eastAsia="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57C704F9" w14:textId="77777777" w:rsidR="009A3F2A" w:rsidRPr="00085941" w:rsidRDefault="009A3F2A" w:rsidP="00E607DA">
            <w:pPr>
              <w:jc w:val="right"/>
              <w:rPr>
                <w:rFonts w:eastAsia="Times New Roman"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0916ADE3" w14:textId="77777777" w:rsidR="009A3F2A" w:rsidRPr="00085941" w:rsidRDefault="009A3F2A" w:rsidP="00E607DA">
            <w:pPr>
              <w:rPr>
                <w:rFonts w:eastAsia="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46198062" w14:textId="77777777" w:rsidR="009A3F2A" w:rsidRPr="00085941" w:rsidRDefault="009A3F2A" w:rsidP="00E607DA">
            <w:pPr>
              <w:jc w:val="right"/>
              <w:rPr>
                <w:rFonts w:eastAsia="Times New Roman"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5B5EFBCD" w14:textId="77777777" w:rsidR="009A3F2A" w:rsidRPr="00085941" w:rsidRDefault="009A3F2A" w:rsidP="00E607DA">
            <w:pPr>
              <w:rPr>
                <w:rFonts w:eastAsia="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65EEDD42" w14:textId="77777777" w:rsidR="009A3F2A" w:rsidRPr="00085941" w:rsidRDefault="009A3F2A" w:rsidP="00E607DA">
            <w:pPr>
              <w:jc w:val="right"/>
              <w:rPr>
                <w:rFonts w:eastAsia="Times New Roman"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17AB1B80" w14:textId="77777777" w:rsidR="009A3F2A" w:rsidRPr="00085941" w:rsidRDefault="009A3F2A" w:rsidP="00E607DA">
            <w:pPr>
              <w:rPr>
                <w:rFonts w:eastAsia="Times New Roman" w:cs="Times New Roman"/>
                <w:sz w:val="20"/>
                <w:szCs w:val="20"/>
                <w:lang w:eastAsia="en-AU"/>
              </w:rPr>
            </w:pPr>
          </w:p>
        </w:tc>
      </w:tr>
      <w:tr w:rsidR="009A3F2A" w:rsidRPr="00085941" w14:paraId="76B10F79" w14:textId="77777777" w:rsidTr="00E607DA">
        <w:trPr>
          <w:trHeight w:val="240"/>
        </w:trPr>
        <w:tc>
          <w:tcPr>
            <w:tcW w:w="3969" w:type="dxa"/>
            <w:tcBorders>
              <w:top w:val="nil"/>
              <w:left w:val="nil"/>
              <w:bottom w:val="nil"/>
              <w:right w:val="nil"/>
            </w:tcBorders>
            <w:shd w:val="clear" w:color="auto" w:fill="auto"/>
            <w:noWrap/>
            <w:vAlign w:val="center"/>
            <w:hideMark/>
          </w:tcPr>
          <w:p w14:paraId="3DFE5DCC" w14:textId="77777777" w:rsidR="009A3F2A" w:rsidRPr="00085941" w:rsidRDefault="009A3F2A" w:rsidP="00E607DA">
            <w:pPr>
              <w:rPr>
                <w:rFonts w:ascii="Meta Pro" w:eastAsia="Times New Roman" w:hAnsi="Meta Pro"/>
                <w:szCs w:val="18"/>
                <w:lang w:eastAsia="en-AU"/>
              </w:rPr>
            </w:pPr>
            <w:r w:rsidRPr="00085941">
              <w:rPr>
                <w:rFonts w:ascii="Meta Pro" w:eastAsia="Times New Roman" w:hAnsi="Meta Pro"/>
                <w:szCs w:val="18"/>
                <w:lang w:eastAsia="en-AU"/>
              </w:rPr>
              <w:t>Carrying amount at 1 July</w:t>
            </w:r>
          </w:p>
        </w:tc>
        <w:tc>
          <w:tcPr>
            <w:tcW w:w="1191" w:type="dxa"/>
            <w:tcBorders>
              <w:top w:val="nil"/>
              <w:left w:val="nil"/>
              <w:bottom w:val="nil"/>
              <w:right w:val="nil"/>
            </w:tcBorders>
            <w:shd w:val="clear" w:color="auto" w:fill="auto"/>
            <w:noWrap/>
            <w:vAlign w:val="center"/>
            <w:hideMark/>
          </w:tcPr>
          <w:p w14:paraId="62611DA5" w14:textId="77777777" w:rsidR="009A3F2A" w:rsidRPr="00085941" w:rsidRDefault="009A3F2A" w:rsidP="00E607DA">
            <w:pPr>
              <w:jc w:val="right"/>
              <w:rPr>
                <w:rFonts w:ascii="Meta Pro" w:eastAsia="Times New Roman" w:hAnsi="Meta Pro"/>
                <w:szCs w:val="18"/>
                <w:lang w:eastAsia="en-AU"/>
              </w:rPr>
            </w:pPr>
            <w:r w:rsidRPr="00085941">
              <w:rPr>
                <w:rFonts w:ascii="Meta Pro" w:eastAsia="Times New Roman" w:hAnsi="Meta Pro"/>
                <w:szCs w:val="18"/>
                <w:lang w:eastAsia="en-AU"/>
              </w:rPr>
              <w:t xml:space="preserve">12,039 </w:t>
            </w:r>
          </w:p>
        </w:tc>
        <w:tc>
          <w:tcPr>
            <w:tcW w:w="198" w:type="dxa"/>
            <w:tcBorders>
              <w:top w:val="nil"/>
              <w:left w:val="nil"/>
              <w:bottom w:val="nil"/>
              <w:right w:val="nil"/>
            </w:tcBorders>
            <w:shd w:val="clear" w:color="auto" w:fill="auto"/>
            <w:noWrap/>
            <w:vAlign w:val="center"/>
            <w:hideMark/>
          </w:tcPr>
          <w:p w14:paraId="42BB282B" w14:textId="77777777" w:rsidR="009A3F2A" w:rsidRPr="00085941" w:rsidRDefault="009A3F2A" w:rsidP="00E607DA">
            <w:pPr>
              <w:jc w:val="right"/>
              <w:rPr>
                <w:rFonts w:ascii="Meta Pro" w:eastAsia="Times New Roman" w:hAnsi="Meta Pro"/>
                <w:szCs w:val="18"/>
                <w:lang w:eastAsia="en-AU"/>
              </w:rPr>
            </w:pPr>
          </w:p>
        </w:tc>
        <w:tc>
          <w:tcPr>
            <w:tcW w:w="1191" w:type="dxa"/>
            <w:tcBorders>
              <w:top w:val="nil"/>
              <w:left w:val="nil"/>
              <w:bottom w:val="nil"/>
              <w:right w:val="nil"/>
            </w:tcBorders>
            <w:shd w:val="clear" w:color="auto" w:fill="auto"/>
            <w:noWrap/>
            <w:vAlign w:val="center"/>
            <w:hideMark/>
          </w:tcPr>
          <w:p w14:paraId="2100E2AC" w14:textId="77777777" w:rsidR="009A3F2A" w:rsidRPr="00085941" w:rsidRDefault="009A3F2A" w:rsidP="00E607DA">
            <w:pPr>
              <w:jc w:val="right"/>
              <w:rPr>
                <w:rFonts w:ascii="Meta Pro" w:eastAsia="Times New Roman" w:hAnsi="Meta Pro"/>
                <w:szCs w:val="18"/>
                <w:lang w:eastAsia="en-AU"/>
              </w:rPr>
            </w:pPr>
            <w:r w:rsidRPr="00085941">
              <w:rPr>
                <w:rFonts w:ascii="Meta Pro" w:eastAsia="Times New Roman" w:hAnsi="Meta Pro"/>
                <w:szCs w:val="18"/>
                <w:lang w:eastAsia="en-AU"/>
              </w:rPr>
              <w:t xml:space="preserve">36,662 </w:t>
            </w:r>
          </w:p>
        </w:tc>
        <w:tc>
          <w:tcPr>
            <w:tcW w:w="198" w:type="dxa"/>
            <w:tcBorders>
              <w:top w:val="nil"/>
              <w:left w:val="nil"/>
              <w:bottom w:val="nil"/>
              <w:right w:val="nil"/>
            </w:tcBorders>
            <w:shd w:val="clear" w:color="auto" w:fill="auto"/>
            <w:noWrap/>
            <w:vAlign w:val="center"/>
            <w:hideMark/>
          </w:tcPr>
          <w:p w14:paraId="3A04AD49" w14:textId="77777777" w:rsidR="009A3F2A" w:rsidRPr="00085941" w:rsidRDefault="009A3F2A" w:rsidP="00E607DA">
            <w:pPr>
              <w:jc w:val="right"/>
              <w:rPr>
                <w:rFonts w:ascii="Meta Pro" w:eastAsia="Times New Roman" w:hAnsi="Meta Pro"/>
                <w:szCs w:val="18"/>
                <w:lang w:eastAsia="en-AU"/>
              </w:rPr>
            </w:pPr>
          </w:p>
        </w:tc>
        <w:tc>
          <w:tcPr>
            <w:tcW w:w="1191" w:type="dxa"/>
            <w:tcBorders>
              <w:top w:val="nil"/>
              <w:left w:val="nil"/>
              <w:bottom w:val="nil"/>
              <w:right w:val="nil"/>
            </w:tcBorders>
            <w:shd w:val="clear" w:color="auto" w:fill="auto"/>
            <w:noWrap/>
            <w:vAlign w:val="center"/>
            <w:hideMark/>
          </w:tcPr>
          <w:p w14:paraId="6078AA53" w14:textId="77777777" w:rsidR="009A3F2A" w:rsidRPr="00085941" w:rsidRDefault="009A3F2A" w:rsidP="00E607DA">
            <w:pPr>
              <w:jc w:val="right"/>
              <w:rPr>
                <w:rFonts w:ascii="Meta Pro" w:eastAsia="Times New Roman" w:hAnsi="Meta Pro"/>
                <w:szCs w:val="18"/>
                <w:lang w:eastAsia="en-AU"/>
              </w:rPr>
            </w:pPr>
            <w:r w:rsidRPr="00085941">
              <w:rPr>
                <w:rFonts w:ascii="Meta Pro" w:eastAsia="Times New Roman" w:hAnsi="Meta Pro"/>
                <w:szCs w:val="18"/>
                <w:lang w:eastAsia="en-AU"/>
              </w:rPr>
              <w:t xml:space="preserve">23,290 </w:t>
            </w:r>
          </w:p>
        </w:tc>
        <w:tc>
          <w:tcPr>
            <w:tcW w:w="198" w:type="dxa"/>
            <w:tcBorders>
              <w:top w:val="nil"/>
              <w:left w:val="nil"/>
              <w:bottom w:val="nil"/>
              <w:right w:val="nil"/>
            </w:tcBorders>
            <w:shd w:val="clear" w:color="auto" w:fill="auto"/>
            <w:noWrap/>
            <w:vAlign w:val="center"/>
            <w:hideMark/>
          </w:tcPr>
          <w:p w14:paraId="102B2612" w14:textId="77777777" w:rsidR="009A3F2A" w:rsidRPr="00085941" w:rsidRDefault="009A3F2A" w:rsidP="00E607DA">
            <w:pPr>
              <w:jc w:val="right"/>
              <w:rPr>
                <w:rFonts w:ascii="Meta Pro" w:eastAsia="Times New Roman" w:hAnsi="Meta Pro"/>
                <w:szCs w:val="18"/>
                <w:lang w:eastAsia="en-AU"/>
              </w:rPr>
            </w:pPr>
          </w:p>
        </w:tc>
        <w:tc>
          <w:tcPr>
            <w:tcW w:w="1191" w:type="dxa"/>
            <w:tcBorders>
              <w:top w:val="nil"/>
              <w:left w:val="nil"/>
              <w:bottom w:val="nil"/>
              <w:right w:val="nil"/>
            </w:tcBorders>
            <w:shd w:val="clear" w:color="auto" w:fill="auto"/>
            <w:noWrap/>
            <w:vAlign w:val="center"/>
            <w:hideMark/>
          </w:tcPr>
          <w:p w14:paraId="626033F0" w14:textId="77777777" w:rsidR="009A3F2A" w:rsidRPr="00085941" w:rsidRDefault="009A3F2A" w:rsidP="00E607DA">
            <w:pPr>
              <w:jc w:val="right"/>
              <w:rPr>
                <w:rFonts w:ascii="Meta Pro" w:eastAsia="Times New Roman" w:hAnsi="Meta Pro"/>
                <w:szCs w:val="18"/>
                <w:lang w:eastAsia="en-AU"/>
              </w:rPr>
            </w:pPr>
            <w:r w:rsidRPr="00085941">
              <w:rPr>
                <w:rFonts w:ascii="Meta Pro" w:eastAsia="Times New Roman" w:hAnsi="Meta Pro"/>
                <w:szCs w:val="18"/>
                <w:lang w:eastAsia="en-AU"/>
              </w:rPr>
              <w:t xml:space="preserve">4,207 </w:t>
            </w:r>
          </w:p>
        </w:tc>
        <w:tc>
          <w:tcPr>
            <w:tcW w:w="198" w:type="dxa"/>
            <w:tcBorders>
              <w:top w:val="nil"/>
              <w:left w:val="nil"/>
              <w:bottom w:val="nil"/>
              <w:right w:val="nil"/>
            </w:tcBorders>
            <w:shd w:val="clear" w:color="auto" w:fill="auto"/>
            <w:noWrap/>
            <w:vAlign w:val="center"/>
            <w:hideMark/>
          </w:tcPr>
          <w:p w14:paraId="1FB56F42" w14:textId="77777777" w:rsidR="009A3F2A" w:rsidRPr="00085941" w:rsidRDefault="009A3F2A" w:rsidP="00E607DA">
            <w:pPr>
              <w:jc w:val="right"/>
              <w:rPr>
                <w:rFonts w:ascii="Meta Pro" w:eastAsia="Times New Roman" w:hAnsi="Meta Pro"/>
                <w:szCs w:val="18"/>
                <w:lang w:eastAsia="en-AU"/>
              </w:rPr>
            </w:pPr>
          </w:p>
        </w:tc>
        <w:tc>
          <w:tcPr>
            <w:tcW w:w="1191" w:type="dxa"/>
            <w:tcBorders>
              <w:top w:val="nil"/>
              <w:left w:val="nil"/>
              <w:bottom w:val="nil"/>
              <w:right w:val="nil"/>
            </w:tcBorders>
            <w:shd w:val="clear" w:color="auto" w:fill="auto"/>
            <w:noWrap/>
            <w:vAlign w:val="center"/>
            <w:hideMark/>
          </w:tcPr>
          <w:p w14:paraId="0E79EE21" w14:textId="77777777" w:rsidR="009A3F2A" w:rsidRPr="00085941" w:rsidRDefault="009A3F2A" w:rsidP="00E607DA">
            <w:pPr>
              <w:jc w:val="right"/>
              <w:rPr>
                <w:rFonts w:ascii="Meta Pro" w:eastAsia="Times New Roman" w:hAnsi="Meta Pro"/>
                <w:b/>
                <w:bCs/>
                <w:szCs w:val="18"/>
                <w:lang w:eastAsia="en-AU"/>
              </w:rPr>
            </w:pPr>
            <w:r w:rsidRPr="00085941">
              <w:rPr>
                <w:rFonts w:ascii="Meta Pro" w:eastAsia="Times New Roman" w:hAnsi="Meta Pro"/>
                <w:b/>
                <w:bCs/>
                <w:szCs w:val="18"/>
                <w:lang w:eastAsia="en-AU"/>
              </w:rPr>
              <w:t xml:space="preserve">76,198 </w:t>
            </w:r>
          </w:p>
        </w:tc>
      </w:tr>
      <w:tr w:rsidR="009A3F2A" w:rsidRPr="00085941" w14:paraId="0B6F04DF" w14:textId="77777777" w:rsidTr="00E607DA">
        <w:trPr>
          <w:trHeight w:val="240"/>
        </w:trPr>
        <w:tc>
          <w:tcPr>
            <w:tcW w:w="3969" w:type="dxa"/>
            <w:tcBorders>
              <w:top w:val="nil"/>
              <w:left w:val="nil"/>
              <w:bottom w:val="nil"/>
              <w:right w:val="nil"/>
            </w:tcBorders>
            <w:shd w:val="clear" w:color="auto" w:fill="auto"/>
            <w:noWrap/>
            <w:vAlign w:val="center"/>
            <w:hideMark/>
          </w:tcPr>
          <w:p w14:paraId="01AB8A99" w14:textId="77777777" w:rsidR="009A3F2A" w:rsidRPr="00085941" w:rsidRDefault="009A3F2A" w:rsidP="00E607DA">
            <w:pPr>
              <w:rPr>
                <w:rFonts w:ascii="Meta Pro" w:eastAsia="Times New Roman" w:hAnsi="Meta Pro"/>
                <w:szCs w:val="18"/>
                <w:lang w:eastAsia="en-AU"/>
              </w:rPr>
            </w:pPr>
            <w:r w:rsidRPr="00085941">
              <w:rPr>
                <w:rFonts w:ascii="Meta Pro" w:eastAsia="Times New Roman" w:hAnsi="Meta Pro"/>
                <w:szCs w:val="18"/>
                <w:lang w:eastAsia="en-AU"/>
              </w:rPr>
              <w:t>Acquisitions (including upgrades)</w:t>
            </w:r>
          </w:p>
        </w:tc>
        <w:tc>
          <w:tcPr>
            <w:tcW w:w="1191" w:type="dxa"/>
            <w:tcBorders>
              <w:top w:val="nil"/>
              <w:left w:val="nil"/>
              <w:bottom w:val="nil"/>
              <w:right w:val="nil"/>
            </w:tcBorders>
            <w:shd w:val="clear" w:color="auto" w:fill="auto"/>
            <w:noWrap/>
            <w:vAlign w:val="center"/>
            <w:hideMark/>
          </w:tcPr>
          <w:p w14:paraId="2CF0C9F4" w14:textId="77777777" w:rsidR="009A3F2A" w:rsidRPr="00085941" w:rsidRDefault="009A3F2A" w:rsidP="00E607DA">
            <w:pPr>
              <w:jc w:val="right"/>
              <w:rPr>
                <w:rFonts w:ascii="Meta Pro" w:eastAsia="Times New Roman" w:hAnsi="Meta Pro"/>
                <w:szCs w:val="18"/>
                <w:lang w:eastAsia="en-AU"/>
              </w:rPr>
            </w:pPr>
            <w:r w:rsidRPr="00085941">
              <w:rPr>
                <w:rFonts w:ascii="Meta Pro" w:eastAsia="Times New Roman" w:hAnsi="Meta Pro"/>
                <w:szCs w:val="18"/>
                <w:lang w:eastAsia="en-AU"/>
              </w:rPr>
              <w:t xml:space="preserve">- </w:t>
            </w:r>
          </w:p>
        </w:tc>
        <w:tc>
          <w:tcPr>
            <w:tcW w:w="198" w:type="dxa"/>
            <w:tcBorders>
              <w:top w:val="nil"/>
              <w:left w:val="nil"/>
              <w:bottom w:val="nil"/>
              <w:right w:val="nil"/>
            </w:tcBorders>
            <w:shd w:val="clear" w:color="auto" w:fill="auto"/>
            <w:noWrap/>
            <w:vAlign w:val="center"/>
            <w:hideMark/>
          </w:tcPr>
          <w:p w14:paraId="2C805C3A" w14:textId="77777777" w:rsidR="009A3F2A" w:rsidRPr="00085941" w:rsidRDefault="009A3F2A" w:rsidP="00E607DA">
            <w:pPr>
              <w:jc w:val="right"/>
              <w:rPr>
                <w:rFonts w:ascii="Meta Pro" w:eastAsia="Times New Roman" w:hAnsi="Meta Pro"/>
                <w:szCs w:val="18"/>
                <w:lang w:eastAsia="en-AU"/>
              </w:rPr>
            </w:pPr>
          </w:p>
        </w:tc>
        <w:tc>
          <w:tcPr>
            <w:tcW w:w="1191" w:type="dxa"/>
            <w:tcBorders>
              <w:top w:val="nil"/>
              <w:left w:val="nil"/>
              <w:bottom w:val="nil"/>
              <w:right w:val="nil"/>
            </w:tcBorders>
            <w:shd w:val="clear" w:color="auto" w:fill="auto"/>
            <w:noWrap/>
            <w:vAlign w:val="center"/>
            <w:hideMark/>
          </w:tcPr>
          <w:p w14:paraId="535EEB98" w14:textId="77777777" w:rsidR="009A3F2A" w:rsidRPr="00085941" w:rsidRDefault="009A3F2A" w:rsidP="00E607DA">
            <w:pPr>
              <w:jc w:val="right"/>
              <w:rPr>
                <w:rFonts w:ascii="Meta Pro" w:eastAsia="Times New Roman" w:hAnsi="Meta Pro"/>
                <w:szCs w:val="18"/>
                <w:lang w:eastAsia="en-AU"/>
              </w:rPr>
            </w:pPr>
            <w:r w:rsidRPr="00085941">
              <w:rPr>
                <w:rFonts w:ascii="Meta Pro" w:eastAsia="Times New Roman" w:hAnsi="Meta Pro"/>
                <w:szCs w:val="18"/>
                <w:lang w:eastAsia="en-AU"/>
              </w:rPr>
              <w:t xml:space="preserve">- </w:t>
            </w:r>
          </w:p>
        </w:tc>
        <w:tc>
          <w:tcPr>
            <w:tcW w:w="198" w:type="dxa"/>
            <w:tcBorders>
              <w:top w:val="nil"/>
              <w:left w:val="nil"/>
              <w:bottom w:val="nil"/>
              <w:right w:val="nil"/>
            </w:tcBorders>
            <w:shd w:val="clear" w:color="auto" w:fill="auto"/>
            <w:noWrap/>
            <w:vAlign w:val="center"/>
            <w:hideMark/>
          </w:tcPr>
          <w:p w14:paraId="7B810DD7" w14:textId="77777777" w:rsidR="009A3F2A" w:rsidRPr="00085941" w:rsidRDefault="009A3F2A" w:rsidP="00E607DA">
            <w:pPr>
              <w:jc w:val="right"/>
              <w:rPr>
                <w:rFonts w:ascii="Meta Pro" w:eastAsia="Times New Roman" w:hAnsi="Meta Pro"/>
                <w:szCs w:val="18"/>
                <w:lang w:eastAsia="en-AU"/>
              </w:rPr>
            </w:pPr>
          </w:p>
        </w:tc>
        <w:tc>
          <w:tcPr>
            <w:tcW w:w="1191" w:type="dxa"/>
            <w:tcBorders>
              <w:top w:val="nil"/>
              <w:left w:val="nil"/>
              <w:bottom w:val="nil"/>
              <w:right w:val="nil"/>
            </w:tcBorders>
            <w:shd w:val="clear" w:color="auto" w:fill="auto"/>
            <w:noWrap/>
            <w:vAlign w:val="center"/>
            <w:hideMark/>
          </w:tcPr>
          <w:p w14:paraId="20FCF954" w14:textId="77777777" w:rsidR="009A3F2A" w:rsidRPr="00085941" w:rsidRDefault="009A3F2A" w:rsidP="00E607DA">
            <w:pPr>
              <w:jc w:val="right"/>
              <w:rPr>
                <w:rFonts w:ascii="Meta Pro" w:eastAsia="Times New Roman" w:hAnsi="Meta Pro"/>
                <w:szCs w:val="18"/>
                <w:lang w:eastAsia="en-AU"/>
              </w:rPr>
            </w:pPr>
            <w:r w:rsidRPr="00085941">
              <w:rPr>
                <w:rFonts w:ascii="Meta Pro" w:eastAsia="Times New Roman" w:hAnsi="Meta Pro"/>
                <w:szCs w:val="18"/>
                <w:lang w:eastAsia="en-AU"/>
              </w:rPr>
              <w:t xml:space="preserve">21,963 </w:t>
            </w:r>
          </w:p>
        </w:tc>
        <w:tc>
          <w:tcPr>
            <w:tcW w:w="198" w:type="dxa"/>
            <w:tcBorders>
              <w:top w:val="nil"/>
              <w:left w:val="nil"/>
              <w:bottom w:val="nil"/>
              <w:right w:val="nil"/>
            </w:tcBorders>
            <w:shd w:val="clear" w:color="auto" w:fill="auto"/>
            <w:noWrap/>
            <w:vAlign w:val="center"/>
            <w:hideMark/>
          </w:tcPr>
          <w:p w14:paraId="23F5C7AF" w14:textId="77777777" w:rsidR="009A3F2A" w:rsidRPr="00085941" w:rsidRDefault="009A3F2A" w:rsidP="00E607DA">
            <w:pPr>
              <w:jc w:val="right"/>
              <w:rPr>
                <w:rFonts w:ascii="Meta Pro" w:eastAsia="Times New Roman" w:hAnsi="Meta Pro"/>
                <w:szCs w:val="18"/>
                <w:lang w:eastAsia="en-AU"/>
              </w:rPr>
            </w:pPr>
          </w:p>
        </w:tc>
        <w:tc>
          <w:tcPr>
            <w:tcW w:w="1191" w:type="dxa"/>
            <w:tcBorders>
              <w:top w:val="nil"/>
              <w:left w:val="nil"/>
              <w:bottom w:val="nil"/>
              <w:right w:val="nil"/>
            </w:tcBorders>
            <w:shd w:val="clear" w:color="auto" w:fill="auto"/>
            <w:noWrap/>
            <w:vAlign w:val="center"/>
            <w:hideMark/>
          </w:tcPr>
          <w:p w14:paraId="26FA58F2" w14:textId="77777777" w:rsidR="009A3F2A" w:rsidRPr="00085941" w:rsidRDefault="009A3F2A" w:rsidP="00E607DA">
            <w:pPr>
              <w:jc w:val="right"/>
              <w:rPr>
                <w:rFonts w:ascii="Meta Pro" w:eastAsia="Times New Roman" w:hAnsi="Meta Pro"/>
                <w:szCs w:val="18"/>
                <w:lang w:eastAsia="en-AU"/>
              </w:rPr>
            </w:pPr>
            <w:r w:rsidRPr="00085941">
              <w:rPr>
                <w:rFonts w:ascii="Meta Pro" w:eastAsia="Times New Roman" w:hAnsi="Meta Pro"/>
                <w:szCs w:val="18"/>
                <w:lang w:eastAsia="en-AU"/>
              </w:rPr>
              <w:t xml:space="preserve">- </w:t>
            </w:r>
          </w:p>
        </w:tc>
        <w:tc>
          <w:tcPr>
            <w:tcW w:w="198" w:type="dxa"/>
            <w:tcBorders>
              <w:top w:val="nil"/>
              <w:left w:val="nil"/>
              <w:bottom w:val="nil"/>
              <w:right w:val="nil"/>
            </w:tcBorders>
            <w:shd w:val="clear" w:color="auto" w:fill="auto"/>
            <w:noWrap/>
            <w:vAlign w:val="center"/>
            <w:hideMark/>
          </w:tcPr>
          <w:p w14:paraId="6D33039E" w14:textId="77777777" w:rsidR="009A3F2A" w:rsidRPr="00085941" w:rsidRDefault="009A3F2A" w:rsidP="00E607DA">
            <w:pPr>
              <w:jc w:val="right"/>
              <w:rPr>
                <w:rFonts w:ascii="Meta Pro" w:eastAsia="Times New Roman" w:hAnsi="Meta Pro"/>
                <w:szCs w:val="18"/>
                <w:lang w:eastAsia="en-AU"/>
              </w:rPr>
            </w:pPr>
          </w:p>
        </w:tc>
        <w:tc>
          <w:tcPr>
            <w:tcW w:w="1191" w:type="dxa"/>
            <w:tcBorders>
              <w:top w:val="nil"/>
              <w:left w:val="nil"/>
              <w:bottom w:val="nil"/>
              <w:right w:val="nil"/>
            </w:tcBorders>
            <w:shd w:val="clear" w:color="auto" w:fill="auto"/>
            <w:noWrap/>
            <w:vAlign w:val="center"/>
            <w:hideMark/>
          </w:tcPr>
          <w:p w14:paraId="591EBE15" w14:textId="77777777" w:rsidR="009A3F2A" w:rsidRPr="00085941" w:rsidRDefault="009A3F2A" w:rsidP="00E607DA">
            <w:pPr>
              <w:jc w:val="right"/>
              <w:rPr>
                <w:rFonts w:ascii="Meta Pro" w:eastAsia="Times New Roman" w:hAnsi="Meta Pro"/>
                <w:b/>
                <w:bCs/>
                <w:szCs w:val="18"/>
                <w:lang w:eastAsia="en-AU"/>
              </w:rPr>
            </w:pPr>
            <w:r w:rsidRPr="00085941">
              <w:rPr>
                <w:rFonts w:ascii="Meta Pro" w:eastAsia="Times New Roman" w:hAnsi="Meta Pro"/>
                <w:b/>
                <w:bCs/>
                <w:szCs w:val="18"/>
                <w:lang w:eastAsia="en-AU"/>
              </w:rPr>
              <w:t xml:space="preserve">21,963 </w:t>
            </w:r>
          </w:p>
        </w:tc>
      </w:tr>
      <w:tr w:rsidR="009A3F2A" w:rsidRPr="00085941" w14:paraId="2A203AE6" w14:textId="77777777" w:rsidTr="00E607DA">
        <w:trPr>
          <w:trHeight w:val="240"/>
        </w:trPr>
        <w:tc>
          <w:tcPr>
            <w:tcW w:w="3969" w:type="dxa"/>
            <w:tcBorders>
              <w:top w:val="nil"/>
              <w:left w:val="nil"/>
              <w:bottom w:val="nil"/>
              <w:right w:val="nil"/>
            </w:tcBorders>
            <w:shd w:val="clear" w:color="auto" w:fill="auto"/>
            <w:noWrap/>
            <w:vAlign w:val="center"/>
            <w:hideMark/>
          </w:tcPr>
          <w:p w14:paraId="3D1A9F4D" w14:textId="77777777" w:rsidR="009A3F2A" w:rsidRPr="00085941" w:rsidRDefault="009A3F2A" w:rsidP="00E607DA">
            <w:pPr>
              <w:rPr>
                <w:rFonts w:ascii="Meta Pro" w:eastAsia="Times New Roman" w:hAnsi="Meta Pro"/>
                <w:szCs w:val="18"/>
                <w:lang w:eastAsia="en-AU"/>
              </w:rPr>
            </w:pPr>
            <w:r w:rsidRPr="00085941">
              <w:rPr>
                <w:rFonts w:ascii="Meta Pro" w:eastAsia="Times New Roman" w:hAnsi="Meta Pro"/>
                <w:szCs w:val="18"/>
                <w:lang w:eastAsia="en-AU"/>
              </w:rPr>
              <w:t>Transfers between classes</w:t>
            </w:r>
          </w:p>
        </w:tc>
        <w:tc>
          <w:tcPr>
            <w:tcW w:w="1191" w:type="dxa"/>
            <w:tcBorders>
              <w:top w:val="nil"/>
              <w:left w:val="nil"/>
              <w:bottom w:val="nil"/>
              <w:right w:val="nil"/>
            </w:tcBorders>
            <w:shd w:val="clear" w:color="auto" w:fill="auto"/>
            <w:noWrap/>
            <w:vAlign w:val="bottom"/>
            <w:hideMark/>
          </w:tcPr>
          <w:p w14:paraId="415E20F8" w14:textId="77777777" w:rsidR="009A3F2A" w:rsidRPr="00085941" w:rsidRDefault="009A3F2A" w:rsidP="00E607DA">
            <w:pPr>
              <w:jc w:val="right"/>
              <w:rPr>
                <w:rFonts w:ascii="Meta Pro" w:eastAsia="Times New Roman" w:hAnsi="Meta Pro"/>
                <w:szCs w:val="18"/>
                <w:lang w:eastAsia="en-AU"/>
              </w:rPr>
            </w:pPr>
            <w:r w:rsidRPr="00085941">
              <w:rPr>
                <w:rFonts w:ascii="Meta Pro" w:eastAsia="Times New Roman" w:hAnsi="Meta Pro"/>
                <w:szCs w:val="18"/>
                <w:lang w:eastAsia="en-AU"/>
              </w:rPr>
              <w:t xml:space="preserve">- </w:t>
            </w:r>
          </w:p>
        </w:tc>
        <w:tc>
          <w:tcPr>
            <w:tcW w:w="198" w:type="dxa"/>
            <w:tcBorders>
              <w:top w:val="nil"/>
              <w:left w:val="nil"/>
              <w:bottom w:val="nil"/>
              <w:right w:val="nil"/>
            </w:tcBorders>
            <w:shd w:val="clear" w:color="auto" w:fill="auto"/>
            <w:noWrap/>
            <w:vAlign w:val="bottom"/>
            <w:hideMark/>
          </w:tcPr>
          <w:p w14:paraId="53239552" w14:textId="77777777" w:rsidR="009A3F2A" w:rsidRPr="00085941" w:rsidRDefault="009A3F2A" w:rsidP="00E607DA">
            <w:pPr>
              <w:jc w:val="right"/>
              <w:rPr>
                <w:rFonts w:ascii="Meta Pro" w:eastAsia="Times New Roman" w:hAnsi="Meta Pro"/>
                <w:szCs w:val="18"/>
                <w:lang w:eastAsia="en-AU"/>
              </w:rPr>
            </w:pPr>
          </w:p>
        </w:tc>
        <w:tc>
          <w:tcPr>
            <w:tcW w:w="1191" w:type="dxa"/>
            <w:tcBorders>
              <w:top w:val="nil"/>
              <w:left w:val="nil"/>
              <w:bottom w:val="nil"/>
              <w:right w:val="nil"/>
            </w:tcBorders>
            <w:shd w:val="clear" w:color="auto" w:fill="auto"/>
            <w:noWrap/>
            <w:vAlign w:val="bottom"/>
            <w:hideMark/>
          </w:tcPr>
          <w:p w14:paraId="172452B8" w14:textId="77777777" w:rsidR="009A3F2A" w:rsidRPr="00085941" w:rsidRDefault="009A3F2A" w:rsidP="00E607DA">
            <w:pPr>
              <w:jc w:val="right"/>
              <w:rPr>
                <w:rFonts w:ascii="Meta Pro" w:eastAsia="Times New Roman" w:hAnsi="Meta Pro"/>
                <w:szCs w:val="18"/>
                <w:lang w:eastAsia="en-AU"/>
              </w:rPr>
            </w:pPr>
            <w:r w:rsidRPr="00085941">
              <w:rPr>
                <w:rFonts w:ascii="Meta Pro" w:eastAsia="Times New Roman" w:hAnsi="Meta Pro"/>
                <w:szCs w:val="18"/>
                <w:lang w:eastAsia="en-AU"/>
              </w:rPr>
              <w:t xml:space="preserve">4,473 </w:t>
            </w:r>
          </w:p>
        </w:tc>
        <w:tc>
          <w:tcPr>
            <w:tcW w:w="198" w:type="dxa"/>
            <w:tcBorders>
              <w:top w:val="nil"/>
              <w:left w:val="nil"/>
              <w:bottom w:val="nil"/>
              <w:right w:val="nil"/>
            </w:tcBorders>
            <w:shd w:val="clear" w:color="auto" w:fill="auto"/>
            <w:noWrap/>
            <w:vAlign w:val="bottom"/>
            <w:hideMark/>
          </w:tcPr>
          <w:p w14:paraId="67860DD8" w14:textId="77777777" w:rsidR="009A3F2A" w:rsidRPr="00085941" w:rsidRDefault="009A3F2A" w:rsidP="00E607DA">
            <w:pPr>
              <w:jc w:val="right"/>
              <w:rPr>
                <w:rFonts w:ascii="Meta Pro" w:eastAsia="Times New Roman" w:hAnsi="Meta Pro"/>
                <w:szCs w:val="18"/>
                <w:lang w:eastAsia="en-AU"/>
              </w:rPr>
            </w:pPr>
          </w:p>
        </w:tc>
        <w:tc>
          <w:tcPr>
            <w:tcW w:w="1191" w:type="dxa"/>
            <w:tcBorders>
              <w:top w:val="nil"/>
              <w:left w:val="nil"/>
              <w:bottom w:val="nil"/>
              <w:right w:val="nil"/>
            </w:tcBorders>
            <w:shd w:val="clear" w:color="auto" w:fill="auto"/>
            <w:noWrap/>
            <w:vAlign w:val="bottom"/>
            <w:hideMark/>
          </w:tcPr>
          <w:p w14:paraId="1CCE0FBB" w14:textId="77777777" w:rsidR="009A3F2A" w:rsidRPr="00085941" w:rsidRDefault="009A3F2A" w:rsidP="00E607DA">
            <w:pPr>
              <w:jc w:val="right"/>
              <w:rPr>
                <w:rFonts w:ascii="Meta Pro" w:eastAsia="Times New Roman" w:hAnsi="Meta Pro"/>
                <w:szCs w:val="18"/>
                <w:lang w:eastAsia="en-AU"/>
              </w:rPr>
            </w:pPr>
            <w:r w:rsidRPr="00085941">
              <w:rPr>
                <w:rFonts w:ascii="Meta Pro" w:eastAsia="Times New Roman" w:hAnsi="Meta Pro"/>
                <w:szCs w:val="18"/>
                <w:lang w:eastAsia="en-AU"/>
              </w:rPr>
              <w:t>(4,473)</w:t>
            </w:r>
          </w:p>
        </w:tc>
        <w:tc>
          <w:tcPr>
            <w:tcW w:w="198" w:type="dxa"/>
            <w:tcBorders>
              <w:top w:val="nil"/>
              <w:left w:val="nil"/>
              <w:bottom w:val="nil"/>
              <w:right w:val="nil"/>
            </w:tcBorders>
            <w:shd w:val="clear" w:color="auto" w:fill="auto"/>
            <w:noWrap/>
            <w:vAlign w:val="bottom"/>
            <w:hideMark/>
          </w:tcPr>
          <w:p w14:paraId="283E40DE" w14:textId="77777777" w:rsidR="009A3F2A" w:rsidRPr="00085941" w:rsidRDefault="009A3F2A" w:rsidP="00E607DA">
            <w:pPr>
              <w:jc w:val="right"/>
              <w:rPr>
                <w:rFonts w:ascii="Meta Pro" w:eastAsia="Times New Roman" w:hAnsi="Meta Pro"/>
                <w:szCs w:val="18"/>
                <w:lang w:eastAsia="en-AU"/>
              </w:rPr>
            </w:pPr>
          </w:p>
        </w:tc>
        <w:tc>
          <w:tcPr>
            <w:tcW w:w="1191" w:type="dxa"/>
            <w:tcBorders>
              <w:top w:val="nil"/>
              <w:left w:val="nil"/>
              <w:bottom w:val="nil"/>
              <w:right w:val="nil"/>
            </w:tcBorders>
            <w:shd w:val="clear" w:color="auto" w:fill="auto"/>
            <w:noWrap/>
            <w:vAlign w:val="bottom"/>
            <w:hideMark/>
          </w:tcPr>
          <w:p w14:paraId="774B4682" w14:textId="77777777" w:rsidR="009A3F2A" w:rsidRPr="00085941" w:rsidRDefault="009A3F2A" w:rsidP="00E607DA">
            <w:pPr>
              <w:jc w:val="right"/>
              <w:rPr>
                <w:rFonts w:ascii="Meta Pro" w:eastAsia="Times New Roman" w:hAnsi="Meta Pro"/>
                <w:szCs w:val="18"/>
                <w:lang w:eastAsia="en-AU"/>
              </w:rPr>
            </w:pPr>
            <w:r w:rsidRPr="00085941">
              <w:rPr>
                <w:rFonts w:ascii="Meta Pro" w:eastAsia="Times New Roman" w:hAnsi="Meta Pro"/>
                <w:szCs w:val="18"/>
                <w:lang w:eastAsia="en-AU"/>
              </w:rPr>
              <w:t xml:space="preserve">- </w:t>
            </w:r>
          </w:p>
        </w:tc>
        <w:tc>
          <w:tcPr>
            <w:tcW w:w="198" w:type="dxa"/>
            <w:tcBorders>
              <w:top w:val="nil"/>
              <w:left w:val="nil"/>
              <w:bottom w:val="nil"/>
              <w:right w:val="nil"/>
            </w:tcBorders>
            <w:shd w:val="clear" w:color="auto" w:fill="auto"/>
            <w:noWrap/>
            <w:vAlign w:val="bottom"/>
            <w:hideMark/>
          </w:tcPr>
          <w:p w14:paraId="1DDCDC78" w14:textId="77777777" w:rsidR="009A3F2A" w:rsidRPr="00085941" w:rsidRDefault="009A3F2A" w:rsidP="00E607DA">
            <w:pPr>
              <w:jc w:val="right"/>
              <w:rPr>
                <w:rFonts w:ascii="Meta Pro" w:eastAsia="Times New Roman" w:hAnsi="Meta Pro"/>
                <w:szCs w:val="18"/>
                <w:lang w:eastAsia="en-AU"/>
              </w:rPr>
            </w:pPr>
          </w:p>
        </w:tc>
        <w:tc>
          <w:tcPr>
            <w:tcW w:w="1191" w:type="dxa"/>
            <w:tcBorders>
              <w:top w:val="nil"/>
              <w:left w:val="nil"/>
              <w:bottom w:val="nil"/>
              <w:right w:val="nil"/>
            </w:tcBorders>
            <w:shd w:val="clear" w:color="auto" w:fill="auto"/>
            <w:noWrap/>
            <w:vAlign w:val="bottom"/>
            <w:hideMark/>
          </w:tcPr>
          <w:p w14:paraId="3D02A928" w14:textId="77777777" w:rsidR="009A3F2A" w:rsidRPr="00085941" w:rsidRDefault="009A3F2A" w:rsidP="00E607DA">
            <w:pPr>
              <w:jc w:val="right"/>
              <w:rPr>
                <w:rFonts w:ascii="Meta Pro" w:eastAsia="Times New Roman" w:hAnsi="Meta Pro"/>
                <w:b/>
                <w:bCs/>
                <w:szCs w:val="18"/>
                <w:lang w:eastAsia="en-AU"/>
              </w:rPr>
            </w:pPr>
            <w:r w:rsidRPr="00085941">
              <w:rPr>
                <w:rFonts w:ascii="Meta Pro" w:eastAsia="Times New Roman" w:hAnsi="Meta Pro"/>
                <w:b/>
                <w:bCs/>
                <w:szCs w:val="18"/>
                <w:lang w:eastAsia="en-AU"/>
              </w:rPr>
              <w:t xml:space="preserve">- </w:t>
            </w:r>
          </w:p>
        </w:tc>
      </w:tr>
      <w:tr w:rsidR="009A3F2A" w:rsidRPr="00085941" w14:paraId="7A8393EB" w14:textId="77777777" w:rsidTr="00E607DA">
        <w:trPr>
          <w:trHeight w:val="240"/>
        </w:trPr>
        <w:tc>
          <w:tcPr>
            <w:tcW w:w="3969" w:type="dxa"/>
            <w:tcBorders>
              <w:top w:val="nil"/>
              <w:left w:val="nil"/>
              <w:bottom w:val="nil"/>
              <w:right w:val="nil"/>
            </w:tcBorders>
            <w:shd w:val="clear" w:color="auto" w:fill="auto"/>
            <w:noWrap/>
            <w:vAlign w:val="center"/>
            <w:hideMark/>
          </w:tcPr>
          <w:p w14:paraId="31805B74" w14:textId="77777777" w:rsidR="009A3F2A" w:rsidRPr="00085941" w:rsidRDefault="009A3F2A" w:rsidP="00E607DA">
            <w:pPr>
              <w:rPr>
                <w:rFonts w:ascii="Meta Pro" w:eastAsia="Times New Roman" w:hAnsi="Meta Pro"/>
                <w:szCs w:val="18"/>
                <w:lang w:eastAsia="en-AU"/>
              </w:rPr>
            </w:pPr>
            <w:r w:rsidRPr="00085941">
              <w:rPr>
                <w:rFonts w:ascii="Meta Pro" w:eastAsia="Times New Roman" w:hAnsi="Meta Pro"/>
                <w:szCs w:val="18"/>
                <w:lang w:eastAsia="en-AU"/>
              </w:rPr>
              <w:t>Transfers from/(to) property, plant and</w:t>
            </w:r>
          </w:p>
        </w:tc>
        <w:tc>
          <w:tcPr>
            <w:tcW w:w="1191" w:type="dxa"/>
            <w:tcBorders>
              <w:top w:val="nil"/>
              <w:left w:val="nil"/>
              <w:bottom w:val="nil"/>
              <w:right w:val="nil"/>
            </w:tcBorders>
            <w:shd w:val="clear" w:color="auto" w:fill="auto"/>
            <w:noWrap/>
            <w:vAlign w:val="bottom"/>
            <w:hideMark/>
          </w:tcPr>
          <w:p w14:paraId="24413913" w14:textId="77777777" w:rsidR="009A3F2A" w:rsidRPr="00085941" w:rsidRDefault="009A3F2A" w:rsidP="00E607DA">
            <w:pPr>
              <w:rPr>
                <w:rFonts w:ascii="Meta Pro" w:eastAsia="Times New Roman" w:hAnsi="Meta Pro"/>
                <w:szCs w:val="18"/>
                <w:lang w:eastAsia="en-AU"/>
              </w:rPr>
            </w:pPr>
          </w:p>
        </w:tc>
        <w:tc>
          <w:tcPr>
            <w:tcW w:w="198" w:type="dxa"/>
            <w:tcBorders>
              <w:top w:val="nil"/>
              <w:left w:val="nil"/>
              <w:bottom w:val="nil"/>
              <w:right w:val="nil"/>
            </w:tcBorders>
            <w:shd w:val="clear" w:color="auto" w:fill="auto"/>
            <w:noWrap/>
            <w:vAlign w:val="bottom"/>
            <w:hideMark/>
          </w:tcPr>
          <w:p w14:paraId="75374FC3" w14:textId="77777777" w:rsidR="009A3F2A" w:rsidRPr="00085941" w:rsidRDefault="009A3F2A" w:rsidP="00E607DA">
            <w:pPr>
              <w:rPr>
                <w:rFonts w:eastAsia="Times New Roman" w:cs="Times New Roman"/>
                <w:sz w:val="20"/>
                <w:szCs w:val="20"/>
                <w:lang w:eastAsia="en-AU"/>
              </w:rPr>
            </w:pPr>
          </w:p>
        </w:tc>
        <w:tc>
          <w:tcPr>
            <w:tcW w:w="1191" w:type="dxa"/>
            <w:tcBorders>
              <w:top w:val="nil"/>
              <w:left w:val="nil"/>
              <w:bottom w:val="nil"/>
              <w:right w:val="nil"/>
            </w:tcBorders>
            <w:shd w:val="clear" w:color="auto" w:fill="auto"/>
            <w:noWrap/>
            <w:vAlign w:val="bottom"/>
            <w:hideMark/>
          </w:tcPr>
          <w:p w14:paraId="65FBDF14" w14:textId="77777777" w:rsidR="009A3F2A" w:rsidRPr="00085941" w:rsidRDefault="009A3F2A" w:rsidP="00E607DA">
            <w:pPr>
              <w:rPr>
                <w:rFonts w:eastAsia="Times New Roman" w:cs="Times New Roman"/>
                <w:sz w:val="20"/>
                <w:szCs w:val="20"/>
                <w:lang w:eastAsia="en-AU"/>
              </w:rPr>
            </w:pPr>
          </w:p>
        </w:tc>
        <w:tc>
          <w:tcPr>
            <w:tcW w:w="198" w:type="dxa"/>
            <w:tcBorders>
              <w:top w:val="nil"/>
              <w:left w:val="nil"/>
              <w:bottom w:val="nil"/>
              <w:right w:val="nil"/>
            </w:tcBorders>
            <w:shd w:val="clear" w:color="auto" w:fill="auto"/>
            <w:noWrap/>
            <w:vAlign w:val="bottom"/>
            <w:hideMark/>
          </w:tcPr>
          <w:p w14:paraId="0AA9EA32" w14:textId="77777777" w:rsidR="009A3F2A" w:rsidRPr="00085941" w:rsidRDefault="009A3F2A" w:rsidP="00E607DA">
            <w:pPr>
              <w:rPr>
                <w:rFonts w:eastAsia="Times New Roman" w:cs="Times New Roman"/>
                <w:sz w:val="20"/>
                <w:szCs w:val="20"/>
                <w:lang w:eastAsia="en-AU"/>
              </w:rPr>
            </w:pPr>
          </w:p>
        </w:tc>
        <w:tc>
          <w:tcPr>
            <w:tcW w:w="1191" w:type="dxa"/>
            <w:tcBorders>
              <w:top w:val="nil"/>
              <w:left w:val="nil"/>
              <w:bottom w:val="nil"/>
              <w:right w:val="nil"/>
            </w:tcBorders>
            <w:shd w:val="clear" w:color="auto" w:fill="auto"/>
            <w:noWrap/>
            <w:vAlign w:val="bottom"/>
            <w:hideMark/>
          </w:tcPr>
          <w:p w14:paraId="338A312B" w14:textId="77777777" w:rsidR="009A3F2A" w:rsidRPr="00085941" w:rsidRDefault="009A3F2A" w:rsidP="00E607DA">
            <w:pPr>
              <w:rPr>
                <w:rFonts w:eastAsia="Times New Roman" w:cs="Times New Roman"/>
                <w:sz w:val="20"/>
                <w:szCs w:val="20"/>
                <w:lang w:eastAsia="en-AU"/>
              </w:rPr>
            </w:pPr>
          </w:p>
        </w:tc>
        <w:tc>
          <w:tcPr>
            <w:tcW w:w="198" w:type="dxa"/>
            <w:tcBorders>
              <w:top w:val="nil"/>
              <w:left w:val="nil"/>
              <w:bottom w:val="nil"/>
              <w:right w:val="nil"/>
            </w:tcBorders>
            <w:shd w:val="clear" w:color="auto" w:fill="auto"/>
            <w:noWrap/>
            <w:vAlign w:val="bottom"/>
            <w:hideMark/>
          </w:tcPr>
          <w:p w14:paraId="578D1084" w14:textId="77777777" w:rsidR="009A3F2A" w:rsidRPr="00085941" w:rsidRDefault="009A3F2A" w:rsidP="00E607DA">
            <w:pPr>
              <w:rPr>
                <w:rFonts w:eastAsia="Times New Roman" w:cs="Times New Roman"/>
                <w:sz w:val="20"/>
                <w:szCs w:val="20"/>
                <w:lang w:eastAsia="en-AU"/>
              </w:rPr>
            </w:pPr>
          </w:p>
        </w:tc>
        <w:tc>
          <w:tcPr>
            <w:tcW w:w="1191" w:type="dxa"/>
            <w:tcBorders>
              <w:top w:val="nil"/>
              <w:left w:val="nil"/>
              <w:bottom w:val="nil"/>
              <w:right w:val="nil"/>
            </w:tcBorders>
            <w:shd w:val="clear" w:color="auto" w:fill="auto"/>
            <w:noWrap/>
            <w:vAlign w:val="bottom"/>
            <w:hideMark/>
          </w:tcPr>
          <w:p w14:paraId="59BF863F" w14:textId="77777777" w:rsidR="009A3F2A" w:rsidRPr="00085941" w:rsidRDefault="009A3F2A" w:rsidP="00E607DA">
            <w:pPr>
              <w:rPr>
                <w:rFonts w:eastAsia="Times New Roman" w:cs="Times New Roman"/>
                <w:sz w:val="20"/>
                <w:szCs w:val="20"/>
                <w:lang w:eastAsia="en-AU"/>
              </w:rPr>
            </w:pPr>
          </w:p>
        </w:tc>
        <w:tc>
          <w:tcPr>
            <w:tcW w:w="198" w:type="dxa"/>
            <w:tcBorders>
              <w:top w:val="nil"/>
              <w:left w:val="nil"/>
              <w:bottom w:val="nil"/>
              <w:right w:val="nil"/>
            </w:tcBorders>
            <w:shd w:val="clear" w:color="auto" w:fill="auto"/>
            <w:noWrap/>
            <w:vAlign w:val="bottom"/>
            <w:hideMark/>
          </w:tcPr>
          <w:p w14:paraId="238E071D" w14:textId="77777777" w:rsidR="009A3F2A" w:rsidRPr="00085941" w:rsidRDefault="009A3F2A" w:rsidP="00E607DA">
            <w:pPr>
              <w:rPr>
                <w:rFonts w:eastAsia="Times New Roman" w:cs="Times New Roman"/>
                <w:sz w:val="20"/>
                <w:szCs w:val="20"/>
                <w:lang w:eastAsia="en-AU"/>
              </w:rPr>
            </w:pPr>
          </w:p>
        </w:tc>
        <w:tc>
          <w:tcPr>
            <w:tcW w:w="1191" w:type="dxa"/>
            <w:tcBorders>
              <w:top w:val="nil"/>
              <w:left w:val="nil"/>
              <w:bottom w:val="nil"/>
              <w:right w:val="nil"/>
            </w:tcBorders>
            <w:shd w:val="clear" w:color="auto" w:fill="auto"/>
            <w:noWrap/>
            <w:vAlign w:val="bottom"/>
            <w:hideMark/>
          </w:tcPr>
          <w:p w14:paraId="1AB3B06A" w14:textId="77777777" w:rsidR="009A3F2A" w:rsidRPr="00085941" w:rsidRDefault="009A3F2A" w:rsidP="00E607DA">
            <w:pPr>
              <w:rPr>
                <w:rFonts w:eastAsia="Times New Roman" w:cs="Times New Roman"/>
                <w:sz w:val="20"/>
                <w:szCs w:val="20"/>
                <w:lang w:eastAsia="en-AU"/>
              </w:rPr>
            </w:pPr>
          </w:p>
        </w:tc>
      </w:tr>
      <w:tr w:rsidR="009A3F2A" w:rsidRPr="00085941" w14:paraId="4942B9C9" w14:textId="77777777" w:rsidTr="00E607DA">
        <w:trPr>
          <w:trHeight w:val="240"/>
        </w:trPr>
        <w:tc>
          <w:tcPr>
            <w:tcW w:w="3969" w:type="dxa"/>
            <w:tcBorders>
              <w:top w:val="nil"/>
              <w:left w:val="nil"/>
              <w:bottom w:val="nil"/>
              <w:right w:val="nil"/>
            </w:tcBorders>
            <w:shd w:val="clear" w:color="auto" w:fill="auto"/>
            <w:noWrap/>
            <w:vAlign w:val="center"/>
            <w:hideMark/>
          </w:tcPr>
          <w:p w14:paraId="24CE8E2B" w14:textId="77777777" w:rsidR="009A3F2A" w:rsidRPr="00085941" w:rsidRDefault="009A3F2A" w:rsidP="00E607DA">
            <w:pPr>
              <w:rPr>
                <w:rFonts w:ascii="Meta Pro" w:eastAsia="Times New Roman" w:hAnsi="Meta Pro"/>
                <w:szCs w:val="18"/>
                <w:lang w:eastAsia="en-AU"/>
              </w:rPr>
            </w:pPr>
            <w:r w:rsidRPr="00085941">
              <w:rPr>
                <w:rFonts w:ascii="Meta Pro" w:eastAsia="Times New Roman" w:hAnsi="Meta Pro"/>
                <w:szCs w:val="18"/>
                <w:lang w:eastAsia="en-AU"/>
              </w:rPr>
              <w:t>equipment</w:t>
            </w:r>
          </w:p>
        </w:tc>
        <w:tc>
          <w:tcPr>
            <w:tcW w:w="1191" w:type="dxa"/>
            <w:tcBorders>
              <w:top w:val="nil"/>
              <w:left w:val="nil"/>
              <w:bottom w:val="nil"/>
              <w:right w:val="nil"/>
            </w:tcBorders>
            <w:shd w:val="clear" w:color="auto" w:fill="auto"/>
            <w:noWrap/>
            <w:vAlign w:val="bottom"/>
            <w:hideMark/>
          </w:tcPr>
          <w:p w14:paraId="2330BB66" w14:textId="77777777" w:rsidR="009A3F2A" w:rsidRPr="00085941" w:rsidRDefault="009A3F2A" w:rsidP="00E607DA">
            <w:pPr>
              <w:jc w:val="right"/>
              <w:rPr>
                <w:rFonts w:ascii="Meta Pro" w:eastAsia="Times New Roman" w:hAnsi="Meta Pro"/>
                <w:szCs w:val="18"/>
                <w:lang w:eastAsia="en-AU"/>
              </w:rPr>
            </w:pPr>
            <w:r w:rsidRPr="00085941">
              <w:rPr>
                <w:rFonts w:ascii="Meta Pro" w:eastAsia="Times New Roman" w:hAnsi="Meta Pro"/>
                <w:szCs w:val="18"/>
                <w:lang w:eastAsia="en-AU"/>
              </w:rPr>
              <w:t xml:space="preserve">- </w:t>
            </w:r>
          </w:p>
        </w:tc>
        <w:tc>
          <w:tcPr>
            <w:tcW w:w="198" w:type="dxa"/>
            <w:tcBorders>
              <w:top w:val="nil"/>
              <w:left w:val="nil"/>
              <w:bottom w:val="nil"/>
              <w:right w:val="nil"/>
            </w:tcBorders>
            <w:shd w:val="clear" w:color="auto" w:fill="auto"/>
            <w:noWrap/>
            <w:vAlign w:val="bottom"/>
            <w:hideMark/>
          </w:tcPr>
          <w:p w14:paraId="1F91FF3D" w14:textId="77777777" w:rsidR="009A3F2A" w:rsidRPr="00085941" w:rsidRDefault="009A3F2A" w:rsidP="00E607DA">
            <w:pPr>
              <w:jc w:val="right"/>
              <w:rPr>
                <w:rFonts w:ascii="Meta Pro" w:eastAsia="Times New Roman" w:hAnsi="Meta Pro"/>
                <w:szCs w:val="18"/>
                <w:lang w:eastAsia="en-AU"/>
              </w:rPr>
            </w:pPr>
          </w:p>
        </w:tc>
        <w:tc>
          <w:tcPr>
            <w:tcW w:w="1191" w:type="dxa"/>
            <w:tcBorders>
              <w:top w:val="nil"/>
              <w:left w:val="nil"/>
              <w:bottom w:val="nil"/>
              <w:right w:val="nil"/>
            </w:tcBorders>
            <w:shd w:val="clear" w:color="auto" w:fill="auto"/>
            <w:noWrap/>
            <w:vAlign w:val="bottom"/>
            <w:hideMark/>
          </w:tcPr>
          <w:p w14:paraId="3EF99011" w14:textId="77777777" w:rsidR="009A3F2A" w:rsidRPr="00085941" w:rsidRDefault="009A3F2A" w:rsidP="00E607DA">
            <w:pPr>
              <w:jc w:val="right"/>
              <w:rPr>
                <w:rFonts w:ascii="Meta Pro" w:eastAsia="Times New Roman" w:hAnsi="Meta Pro"/>
                <w:szCs w:val="18"/>
                <w:lang w:eastAsia="en-AU"/>
              </w:rPr>
            </w:pPr>
            <w:r w:rsidRPr="00085941">
              <w:rPr>
                <w:rFonts w:ascii="Meta Pro" w:eastAsia="Times New Roman" w:hAnsi="Meta Pro"/>
                <w:szCs w:val="18"/>
                <w:lang w:eastAsia="en-AU"/>
              </w:rPr>
              <w:t xml:space="preserve">3,110 </w:t>
            </w:r>
          </w:p>
        </w:tc>
        <w:tc>
          <w:tcPr>
            <w:tcW w:w="198" w:type="dxa"/>
            <w:tcBorders>
              <w:top w:val="nil"/>
              <w:left w:val="nil"/>
              <w:bottom w:val="nil"/>
              <w:right w:val="nil"/>
            </w:tcBorders>
            <w:shd w:val="clear" w:color="auto" w:fill="auto"/>
            <w:noWrap/>
            <w:vAlign w:val="bottom"/>
            <w:hideMark/>
          </w:tcPr>
          <w:p w14:paraId="0718ABE7" w14:textId="77777777" w:rsidR="009A3F2A" w:rsidRPr="00085941" w:rsidRDefault="009A3F2A" w:rsidP="00E607DA">
            <w:pPr>
              <w:jc w:val="right"/>
              <w:rPr>
                <w:rFonts w:ascii="Meta Pro" w:eastAsia="Times New Roman" w:hAnsi="Meta Pro"/>
                <w:szCs w:val="18"/>
                <w:lang w:eastAsia="en-AU"/>
              </w:rPr>
            </w:pPr>
          </w:p>
        </w:tc>
        <w:tc>
          <w:tcPr>
            <w:tcW w:w="1191" w:type="dxa"/>
            <w:tcBorders>
              <w:top w:val="nil"/>
              <w:left w:val="nil"/>
              <w:bottom w:val="nil"/>
              <w:right w:val="nil"/>
            </w:tcBorders>
            <w:shd w:val="clear" w:color="auto" w:fill="auto"/>
            <w:noWrap/>
            <w:vAlign w:val="bottom"/>
            <w:hideMark/>
          </w:tcPr>
          <w:p w14:paraId="58877A95" w14:textId="77777777" w:rsidR="009A3F2A" w:rsidRPr="00085941" w:rsidRDefault="009A3F2A" w:rsidP="00E607DA">
            <w:pPr>
              <w:jc w:val="right"/>
              <w:rPr>
                <w:rFonts w:ascii="Meta Pro" w:eastAsia="Times New Roman" w:hAnsi="Meta Pro"/>
                <w:szCs w:val="18"/>
                <w:lang w:eastAsia="en-AU"/>
              </w:rPr>
            </w:pPr>
            <w:r w:rsidRPr="00085941">
              <w:rPr>
                <w:rFonts w:ascii="Meta Pro" w:eastAsia="Times New Roman" w:hAnsi="Meta Pro"/>
                <w:szCs w:val="18"/>
                <w:lang w:eastAsia="en-AU"/>
              </w:rPr>
              <w:t>(4,495)</w:t>
            </w:r>
          </w:p>
        </w:tc>
        <w:tc>
          <w:tcPr>
            <w:tcW w:w="198" w:type="dxa"/>
            <w:tcBorders>
              <w:top w:val="nil"/>
              <w:left w:val="nil"/>
              <w:bottom w:val="nil"/>
              <w:right w:val="nil"/>
            </w:tcBorders>
            <w:shd w:val="clear" w:color="auto" w:fill="auto"/>
            <w:noWrap/>
            <w:vAlign w:val="bottom"/>
            <w:hideMark/>
          </w:tcPr>
          <w:p w14:paraId="607692C6" w14:textId="77777777" w:rsidR="009A3F2A" w:rsidRPr="00085941" w:rsidRDefault="009A3F2A" w:rsidP="00E607DA">
            <w:pPr>
              <w:jc w:val="right"/>
              <w:rPr>
                <w:rFonts w:ascii="Meta Pro" w:eastAsia="Times New Roman" w:hAnsi="Meta Pro"/>
                <w:szCs w:val="18"/>
                <w:lang w:eastAsia="en-AU"/>
              </w:rPr>
            </w:pPr>
          </w:p>
        </w:tc>
        <w:tc>
          <w:tcPr>
            <w:tcW w:w="1191" w:type="dxa"/>
            <w:tcBorders>
              <w:top w:val="nil"/>
              <w:left w:val="nil"/>
              <w:bottom w:val="nil"/>
              <w:right w:val="nil"/>
            </w:tcBorders>
            <w:shd w:val="clear" w:color="auto" w:fill="auto"/>
            <w:noWrap/>
            <w:vAlign w:val="bottom"/>
            <w:hideMark/>
          </w:tcPr>
          <w:p w14:paraId="3FE99E4E" w14:textId="77777777" w:rsidR="009A3F2A" w:rsidRPr="00085941" w:rsidRDefault="009A3F2A" w:rsidP="00E607DA">
            <w:pPr>
              <w:jc w:val="right"/>
              <w:rPr>
                <w:rFonts w:ascii="Meta Pro" w:eastAsia="Times New Roman" w:hAnsi="Meta Pro"/>
                <w:szCs w:val="18"/>
                <w:lang w:eastAsia="en-AU"/>
              </w:rPr>
            </w:pPr>
            <w:r w:rsidRPr="00085941">
              <w:rPr>
                <w:rFonts w:ascii="Meta Pro" w:eastAsia="Times New Roman" w:hAnsi="Meta Pro"/>
                <w:szCs w:val="18"/>
                <w:lang w:eastAsia="en-AU"/>
              </w:rPr>
              <w:t xml:space="preserve">139 </w:t>
            </w:r>
          </w:p>
        </w:tc>
        <w:tc>
          <w:tcPr>
            <w:tcW w:w="198" w:type="dxa"/>
            <w:tcBorders>
              <w:top w:val="nil"/>
              <w:left w:val="nil"/>
              <w:bottom w:val="nil"/>
              <w:right w:val="nil"/>
            </w:tcBorders>
            <w:shd w:val="clear" w:color="auto" w:fill="auto"/>
            <w:noWrap/>
            <w:vAlign w:val="bottom"/>
            <w:hideMark/>
          </w:tcPr>
          <w:p w14:paraId="006AF127" w14:textId="77777777" w:rsidR="009A3F2A" w:rsidRPr="00085941" w:rsidRDefault="009A3F2A" w:rsidP="00E607DA">
            <w:pPr>
              <w:jc w:val="right"/>
              <w:rPr>
                <w:rFonts w:ascii="Meta Pro" w:eastAsia="Times New Roman" w:hAnsi="Meta Pro"/>
                <w:szCs w:val="18"/>
                <w:lang w:eastAsia="en-AU"/>
              </w:rPr>
            </w:pPr>
          </w:p>
        </w:tc>
        <w:tc>
          <w:tcPr>
            <w:tcW w:w="1191" w:type="dxa"/>
            <w:tcBorders>
              <w:top w:val="nil"/>
              <w:left w:val="nil"/>
              <w:bottom w:val="nil"/>
              <w:right w:val="nil"/>
            </w:tcBorders>
            <w:shd w:val="clear" w:color="auto" w:fill="auto"/>
            <w:noWrap/>
            <w:vAlign w:val="bottom"/>
            <w:hideMark/>
          </w:tcPr>
          <w:p w14:paraId="21B21E57" w14:textId="77777777" w:rsidR="009A3F2A" w:rsidRPr="00085941" w:rsidRDefault="009A3F2A" w:rsidP="00E607DA">
            <w:pPr>
              <w:jc w:val="right"/>
              <w:rPr>
                <w:rFonts w:ascii="Meta Pro" w:eastAsia="Times New Roman" w:hAnsi="Meta Pro"/>
                <w:b/>
                <w:bCs/>
                <w:szCs w:val="18"/>
                <w:lang w:eastAsia="en-AU"/>
              </w:rPr>
            </w:pPr>
            <w:r w:rsidRPr="00085941">
              <w:rPr>
                <w:rFonts w:ascii="Meta Pro" w:eastAsia="Times New Roman" w:hAnsi="Meta Pro"/>
                <w:b/>
                <w:bCs/>
                <w:szCs w:val="18"/>
                <w:lang w:eastAsia="en-AU"/>
              </w:rPr>
              <w:t>(1,246)</w:t>
            </w:r>
          </w:p>
        </w:tc>
      </w:tr>
      <w:tr w:rsidR="009A3F2A" w:rsidRPr="00085941" w14:paraId="267CAB2F" w14:textId="77777777" w:rsidTr="00E607DA">
        <w:trPr>
          <w:trHeight w:val="240"/>
        </w:trPr>
        <w:tc>
          <w:tcPr>
            <w:tcW w:w="3969" w:type="dxa"/>
            <w:tcBorders>
              <w:top w:val="nil"/>
              <w:left w:val="nil"/>
              <w:bottom w:val="nil"/>
              <w:right w:val="nil"/>
            </w:tcBorders>
            <w:shd w:val="clear" w:color="auto" w:fill="auto"/>
            <w:noWrap/>
            <w:vAlign w:val="center"/>
            <w:hideMark/>
          </w:tcPr>
          <w:p w14:paraId="1FDE329E" w14:textId="77777777" w:rsidR="009A3F2A" w:rsidRPr="00085941" w:rsidRDefault="009A3F2A" w:rsidP="00E607DA">
            <w:pPr>
              <w:rPr>
                <w:rFonts w:ascii="Meta Pro" w:eastAsia="Times New Roman" w:hAnsi="Meta Pro"/>
                <w:szCs w:val="18"/>
                <w:lang w:eastAsia="en-AU"/>
              </w:rPr>
            </w:pPr>
            <w:r w:rsidRPr="00085941">
              <w:rPr>
                <w:rFonts w:ascii="Meta Pro" w:eastAsia="Times New Roman" w:hAnsi="Meta Pro"/>
                <w:szCs w:val="18"/>
                <w:lang w:eastAsia="en-AU"/>
              </w:rPr>
              <w:t>Projects written off</w:t>
            </w:r>
          </w:p>
        </w:tc>
        <w:tc>
          <w:tcPr>
            <w:tcW w:w="1191" w:type="dxa"/>
            <w:tcBorders>
              <w:top w:val="nil"/>
              <w:left w:val="nil"/>
              <w:bottom w:val="nil"/>
              <w:right w:val="nil"/>
            </w:tcBorders>
            <w:shd w:val="clear" w:color="auto" w:fill="auto"/>
            <w:noWrap/>
            <w:vAlign w:val="center"/>
            <w:hideMark/>
          </w:tcPr>
          <w:p w14:paraId="2A48AA6C" w14:textId="77777777" w:rsidR="009A3F2A" w:rsidRPr="00085941" w:rsidRDefault="009A3F2A" w:rsidP="00E607DA">
            <w:pPr>
              <w:jc w:val="right"/>
              <w:rPr>
                <w:rFonts w:ascii="Meta Pro" w:eastAsia="Times New Roman" w:hAnsi="Meta Pro"/>
                <w:szCs w:val="18"/>
                <w:lang w:eastAsia="en-AU"/>
              </w:rPr>
            </w:pPr>
            <w:r w:rsidRPr="00085941">
              <w:rPr>
                <w:rFonts w:ascii="Meta Pro" w:eastAsia="Times New Roman" w:hAnsi="Meta Pro"/>
                <w:szCs w:val="18"/>
                <w:lang w:eastAsia="en-AU"/>
              </w:rPr>
              <w:t xml:space="preserve">- </w:t>
            </w:r>
          </w:p>
        </w:tc>
        <w:tc>
          <w:tcPr>
            <w:tcW w:w="198" w:type="dxa"/>
            <w:tcBorders>
              <w:top w:val="nil"/>
              <w:left w:val="nil"/>
              <w:bottom w:val="nil"/>
              <w:right w:val="nil"/>
            </w:tcBorders>
            <w:shd w:val="clear" w:color="auto" w:fill="auto"/>
            <w:noWrap/>
            <w:vAlign w:val="center"/>
            <w:hideMark/>
          </w:tcPr>
          <w:p w14:paraId="40BEAE9A" w14:textId="77777777" w:rsidR="009A3F2A" w:rsidRPr="00085941" w:rsidRDefault="009A3F2A" w:rsidP="00E607DA">
            <w:pPr>
              <w:jc w:val="right"/>
              <w:rPr>
                <w:rFonts w:ascii="Meta Pro" w:eastAsia="Times New Roman" w:hAnsi="Meta Pro"/>
                <w:szCs w:val="18"/>
                <w:lang w:eastAsia="en-AU"/>
              </w:rPr>
            </w:pPr>
          </w:p>
        </w:tc>
        <w:tc>
          <w:tcPr>
            <w:tcW w:w="1191" w:type="dxa"/>
            <w:tcBorders>
              <w:top w:val="nil"/>
              <w:left w:val="nil"/>
              <w:bottom w:val="nil"/>
              <w:right w:val="nil"/>
            </w:tcBorders>
            <w:shd w:val="clear" w:color="auto" w:fill="auto"/>
            <w:noWrap/>
            <w:vAlign w:val="center"/>
            <w:hideMark/>
          </w:tcPr>
          <w:p w14:paraId="6E3D1AB7" w14:textId="77777777" w:rsidR="009A3F2A" w:rsidRPr="00085941" w:rsidRDefault="009A3F2A" w:rsidP="00E607DA">
            <w:pPr>
              <w:jc w:val="right"/>
              <w:rPr>
                <w:rFonts w:ascii="Meta Pro" w:eastAsia="Times New Roman" w:hAnsi="Meta Pro"/>
                <w:szCs w:val="18"/>
                <w:lang w:eastAsia="en-AU"/>
              </w:rPr>
            </w:pPr>
            <w:r w:rsidRPr="00085941">
              <w:rPr>
                <w:rFonts w:ascii="Meta Pro" w:eastAsia="Times New Roman" w:hAnsi="Meta Pro"/>
                <w:szCs w:val="18"/>
                <w:lang w:eastAsia="en-AU"/>
              </w:rPr>
              <w:t xml:space="preserve">- </w:t>
            </w:r>
          </w:p>
        </w:tc>
        <w:tc>
          <w:tcPr>
            <w:tcW w:w="198" w:type="dxa"/>
            <w:tcBorders>
              <w:top w:val="nil"/>
              <w:left w:val="nil"/>
              <w:bottom w:val="nil"/>
              <w:right w:val="nil"/>
            </w:tcBorders>
            <w:shd w:val="clear" w:color="auto" w:fill="auto"/>
            <w:noWrap/>
            <w:vAlign w:val="center"/>
            <w:hideMark/>
          </w:tcPr>
          <w:p w14:paraId="3936D757" w14:textId="77777777" w:rsidR="009A3F2A" w:rsidRPr="00085941" w:rsidRDefault="009A3F2A" w:rsidP="00E607DA">
            <w:pPr>
              <w:jc w:val="right"/>
              <w:rPr>
                <w:rFonts w:ascii="Meta Pro" w:eastAsia="Times New Roman" w:hAnsi="Meta Pro"/>
                <w:szCs w:val="18"/>
                <w:lang w:eastAsia="en-AU"/>
              </w:rPr>
            </w:pPr>
          </w:p>
        </w:tc>
        <w:tc>
          <w:tcPr>
            <w:tcW w:w="1191" w:type="dxa"/>
            <w:tcBorders>
              <w:top w:val="nil"/>
              <w:left w:val="nil"/>
              <w:bottom w:val="nil"/>
              <w:right w:val="nil"/>
            </w:tcBorders>
            <w:shd w:val="clear" w:color="auto" w:fill="auto"/>
            <w:noWrap/>
            <w:vAlign w:val="center"/>
            <w:hideMark/>
          </w:tcPr>
          <w:p w14:paraId="07EFFE00" w14:textId="77777777" w:rsidR="009A3F2A" w:rsidRPr="00085941" w:rsidRDefault="009A3F2A" w:rsidP="00E607DA">
            <w:pPr>
              <w:jc w:val="right"/>
              <w:rPr>
                <w:rFonts w:ascii="Meta Pro" w:eastAsia="Times New Roman" w:hAnsi="Meta Pro"/>
                <w:szCs w:val="18"/>
                <w:lang w:eastAsia="en-AU"/>
              </w:rPr>
            </w:pPr>
            <w:r w:rsidRPr="00085941">
              <w:rPr>
                <w:rFonts w:ascii="Meta Pro" w:eastAsia="Times New Roman" w:hAnsi="Meta Pro"/>
                <w:szCs w:val="18"/>
                <w:lang w:eastAsia="en-AU"/>
              </w:rPr>
              <w:t>(350)</w:t>
            </w:r>
          </w:p>
        </w:tc>
        <w:tc>
          <w:tcPr>
            <w:tcW w:w="198" w:type="dxa"/>
            <w:tcBorders>
              <w:top w:val="nil"/>
              <w:left w:val="nil"/>
              <w:bottom w:val="nil"/>
              <w:right w:val="nil"/>
            </w:tcBorders>
            <w:shd w:val="clear" w:color="auto" w:fill="auto"/>
            <w:noWrap/>
            <w:vAlign w:val="center"/>
            <w:hideMark/>
          </w:tcPr>
          <w:p w14:paraId="1CEFEDDD" w14:textId="77777777" w:rsidR="009A3F2A" w:rsidRPr="00085941" w:rsidRDefault="009A3F2A" w:rsidP="00E607DA">
            <w:pPr>
              <w:jc w:val="right"/>
              <w:rPr>
                <w:rFonts w:ascii="Meta Pro" w:eastAsia="Times New Roman" w:hAnsi="Meta Pro"/>
                <w:szCs w:val="18"/>
                <w:lang w:eastAsia="en-AU"/>
              </w:rPr>
            </w:pPr>
          </w:p>
        </w:tc>
        <w:tc>
          <w:tcPr>
            <w:tcW w:w="1191" w:type="dxa"/>
            <w:tcBorders>
              <w:top w:val="nil"/>
              <w:left w:val="nil"/>
              <w:bottom w:val="nil"/>
              <w:right w:val="nil"/>
            </w:tcBorders>
            <w:shd w:val="clear" w:color="auto" w:fill="auto"/>
            <w:noWrap/>
            <w:vAlign w:val="center"/>
            <w:hideMark/>
          </w:tcPr>
          <w:p w14:paraId="3B85030A" w14:textId="77777777" w:rsidR="009A3F2A" w:rsidRPr="00085941" w:rsidRDefault="009A3F2A" w:rsidP="00E607DA">
            <w:pPr>
              <w:jc w:val="right"/>
              <w:rPr>
                <w:rFonts w:ascii="Meta Pro" w:eastAsia="Times New Roman" w:hAnsi="Meta Pro"/>
                <w:szCs w:val="18"/>
                <w:lang w:eastAsia="en-AU"/>
              </w:rPr>
            </w:pPr>
            <w:r w:rsidRPr="00085941">
              <w:rPr>
                <w:rFonts w:ascii="Meta Pro" w:eastAsia="Times New Roman" w:hAnsi="Meta Pro"/>
                <w:szCs w:val="18"/>
                <w:lang w:eastAsia="en-AU"/>
              </w:rPr>
              <w:t xml:space="preserve">- </w:t>
            </w:r>
          </w:p>
        </w:tc>
        <w:tc>
          <w:tcPr>
            <w:tcW w:w="198" w:type="dxa"/>
            <w:tcBorders>
              <w:top w:val="nil"/>
              <w:left w:val="nil"/>
              <w:bottom w:val="nil"/>
              <w:right w:val="nil"/>
            </w:tcBorders>
            <w:shd w:val="clear" w:color="auto" w:fill="auto"/>
            <w:noWrap/>
            <w:vAlign w:val="center"/>
            <w:hideMark/>
          </w:tcPr>
          <w:p w14:paraId="78D2629B" w14:textId="77777777" w:rsidR="009A3F2A" w:rsidRPr="00085941" w:rsidRDefault="009A3F2A" w:rsidP="00E607DA">
            <w:pPr>
              <w:jc w:val="right"/>
              <w:rPr>
                <w:rFonts w:ascii="Meta Pro" w:eastAsia="Times New Roman" w:hAnsi="Meta Pro"/>
                <w:szCs w:val="18"/>
                <w:lang w:eastAsia="en-AU"/>
              </w:rPr>
            </w:pPr>
          </w:p>
        </w:tc>
        <w:tc>
          <w:tcPr>
            <w:tcW w:w="1191" w:type="dxa"/>
            <w:tcBorders>
              <w:top w:val="nil"/>
              <w:left w:val="nil"/>
              <w:bottom w:val="nil"/>
              <w:right w:val="nil"/>
            </w:tcBorders>
            <w:shd w:val="clear" w:color="auto" w:fill="auto"/>
            <w:noWrap/>
            <w:vAlign w:val="center"/>
            <w:hideMark/>
          </w:tcPr>
          <w:p w14:paraId="3A1DDB8E" w14:textId="77777777" w:rsidR="009A3F2A" w:rsidRPr="00085941" w:rsidRDefault="009A3F2A" w:rsidP="00E607DA">
            <w:pPr>
              <w:jc w:val="right"/>
              <w:rPr>
                <w:rFonts w:ascii="Meta Pro" w:eastAsia="Times New Roman" w:hAnsi="Meta Pro"/>
                <w:b/>
                <w:bCs/>
                <w:szCs w:val="18"/>
                <w:lang w:eastAsia="en-AU"/>
              </w:rPr>
            </w:pPr>
            <w:r w:rsidRPr="00085941">
              <w:rPr>
                <w:rFonts w:ascii="Meta Pro" w:eastAsia="Times New Roman" w:hAnsi="Meta Pro"/>
                <w:b/>
                <w:bCs/>
                <w:szCs w:val="18"/>
                <w:lang w:eastAsia="en-AU"/>
              </w:rPr>
              <w:t>(350)</w:t>
            </w:r>
          </w:p>
        </w:tc>
      </w:tr>
      <w:tr w:rsidR="009A3F2A" w:rsidRPr="00085941" w14:paraId="3AC5DDE5" w14:textId="77777777" w:rsidTr="00E607DA">
        <w:trPr>
          <w:trHeight w:val="240"/>
        </w:trPr>
        <w:tc>
          <w:tcPr>
            <w:tcW w:w="3969" w:type="dxa"/>
            <w:tcBorders>
              <w:top w:val="nil"/>
              <w:left w:val="nil"/>
              <w:bottom w:val="nil"/>
              <w:right w:val="nil"/>
            </w:tcBorders>
            <w:shd w:val="clear" w:color="auto" w:fill="auto"/>
            <w:noWrap/>
            <w:vAlign w:val="center"/>
            <w:hideMark/>
          </w:tcPr>
          <w:p w14:paraId="17BFE053" w14:textId="77777777" w:rsidR="009A3F2A" w:rsidRPr="00085941" w:rsidRDefault="009A3F2A" w:rsidP="00E607DA">
            <w:pPr>
              <w:rPr>
                <w:rFonts w:ascii="Meta Pro" w:eastAsia="Times New Roman" w:hAnsi="Meta Pro"/>
                <w:szCs w:val="18"/>
                <w:lang w:eastAsia="en-AU"/>
              </w:rPr>
            </w:pPr>
            <w:r w:rsidRPr="00085941">
              <w:rPr>
                <w:rFonts w:ascii="Meta Pro" w:eastAsia="Times New Roman" w:hAnsi="Meta Pro"/>
                <w:szCs w:val="18"/>
                <w:lang w:eastAsia="en-AU"/>
              </w:rPr>
              <w:lastRenderedPageBreak/>
              <w:t>Amortisation</w:t>
            </w:r>
          </w:p>
        </w:tc>
        <w:tc>
          <w:tcPr>
            <w:tcW w:w="1191" w:type="dxa"/>
            <w:tcBorders>
              <w:top w:val="nil"/>
              <w:left w:val="nil"/>
              <w:bottom w:val="nil"/>
              <w:right w:val="nil"/>
            </w:tcBorders>
            <w:shd w:val="clear" w:color="auto" w:fill="auto"/>
            <w:noWrap/>
            <w:vAlign w:val="center"/>
            <w:hideMark/>
          </w:tcPr>
          <w:p w14:paraId="370D971C" w14:textId="77777777" w:rsidR="009A3F2A" w:rsidRPr="00085941" w:rsidRDefault="009A3F2A" w:rsidP="00E607DA">
            <w:pPr>
              <w:jc w:val="right"/>
              <w:rPr>
                <w:rFonts w:ascii="Meta Pro" w:eastAsia="Times New Roman" w:hAnsi="Meta Pro"/>
                <w:szCs w:val="18"/>
                <w:lang w:eastAsia="en-AU"/>
              </w:rPr>
            </w:pPr>
            <w:r w:rsidRPr="00085941">
              <w:rPr>
                <w:rFonts w:ascii="Meta Pro" w:eastAsia="Times New Roman" w:hAnsi="Meta Pro"/>
                <w:szCs w:val="18"/>
                <w:lang w:eastAsia="en-AU"/>
              </w:rPr>
              <w:t>(2,192)</w:t>
            </w:r>
          </w:p>
        </w:tc>
        <w:tc>
          <w:tcPr>
            <w:tcW w:w="198" w:type="dxa"/>
            <w:tcBorders>
              <w:top w:val="nil"/>
              <w:left w:val="nil"/>
              <w:bottom w:val="nil"/>
              <w:right w:val="nil"/>
            </w:tcBorders>
            <w:shd w:val="clear" w:color="auto" w:fill="auto"/>
            <w:noWrap/>
            <w:vAlign w:val="center"/>
            <w:hideMark/>
          </w:tcPr>
          <w:p w14:paraId="1F6AE78A" w14:textId="77777777" w:rsidR="009A3F2A" w:rsidRPr="00085941" w:rsidRDefault="009A3F2A" w:rsidP="00E607DA">
            <w:pPr>
              <w:jc w:val="right"/>
              <w:rPr>
                <w:rFonts w:ascii="Meta Pro" w:eastAsia="Times New Roman" w:hAnsi="Meta Pro"/>
                <w:szCs w:val="18"/>
                <w:lang w:eastAsia="en-AU"/>
              </w:rPr>
            </w:pPr>
          </w:p>
        </w:tc>
        <w:tc>
          <w:tcPr>
            <w:tcW w:w="1191" w:type="dxa"/>
            <w:tcBorders>
              <w:top w:val="nil"/>
              <w:left w:val="nil"/>
              <w:bottom w:val="nil"/>
              <w:right w:val="nil"/>
            </w:tcBorders>
            <w:shd w:val="clear" w:color="auto" w:fill="auto"/>
            <w:noWrap/>
            <w:vAlign w:val="center"/>
            <w:hideMark/>
          </w:tcPr>
          <w:p w14:paraId="63414EDB" w14:textId="77777777" w:rsidR="009A3F2A" w:rsidRPr="00085941" w:rsidRDefault="009A3F2A" w:rsidP="00E607DA">
            <w:pPr>
              <w:jc w:val="right"/>
              <w:rPr>
                <w:rFonts w:ascii="Meta Pro" w:eastAsia="Times New Roman" w:hAnsi="Meta Pro"/>
                <w:szCs w:val="18"/>
                <w:lang w:eastAsia="en-AU"/>
              </w:rPr>
            </w:pPr>
            <w:r w:rsidRPr="00085941">
              <w:rPr>
                <w:rFonts w:ascii="Meta Pro" w:eastAsia="Times New Roman" w:hAnsi="Meta Pro"/>
                <w:szCs w:val="18"/>
                <w:lang w:eastAsia="en-AU"/>
              </w:rPr>
              <w:t>(8,819)</w:t>
            </w:r>
          </w:p>
        </w:tc>
        <w:tc>
          <w:tcPr>
            <w:tcW w:w="198" w:type="dxa"/>
            <w:tcBorders>
              <w:top w:val="nil"/>
              <w:left w:val="nil"/>
              <w:bottom w:val="nil"/>
              <w:right w:val="nil"/>
            </w:tcBorders>
            <w:shd w:val="clear" w:color="auto" w:fill="auto"/>
            <w:noWrap/>
            <w:vAlign w:val="center"/>
            <w:hideMark/>
          </w:tcPr>
          <w:p w14:paraId="5B7B0A76" w14:textId="77777777" w:rsidR="009A3F2A" w:rsidRPr="00085941" w:rsidRDefault="009A3F2A" w:rsidP="00E607DA">
            <w:pPr>
              <w:jc w:val="right"/>
              <w:rPr>
                <w:rFonts w:ascii="Meta Pro" w:eastAsia="Times New Roman" w:hAnsi="Meta Pro"/>
                <w:szCs w:val="18"/>
                <w:lang w:eastAsia="en-AU"/>
              </w:rPr>
            </w:pPr>
          </w:p>
        </w:tc>
        <w:tc>
          <w:tcPr>
            <w:tcW w:w="1191" w:type="dxa"/>
            <w:tcBorders>
              <w:top w:val="nil"/>
              <w:left w:val="nil"/>
              <w:bottom w:val="nil"/>
              <w:right w:val="nil"/>
            </w:tcBorders>
            <w:shd w:val="clear" w:color="auto" w:fill="auto"/>
            <w:noWrap/>
            <w:vAlign w:val="center"/>
            <w:hideMark/>
          </w:tcPr>
          <w:p w14:paraId="1A4D4815" w14:textId="77777777" w:rsidR="009A3F2A" w:rsidRPr="00085941" w:rsidRDefault="009A3F2A" w:rsidP="00E607DA">
            <w:pPr>
              <w:jc w:val="right"/>
              <w:rPr>
                <w:rFonts w:ascii="Meta Pro" w:eastAsia="Times New Roman" w:hAnsi="Meta Pro"/>
                <w:szCs w:val="18"/>
                <w:lang w:eastAsia="en-AU"/>
              </w:rPr>
            </w:pPr>
            <w:r w:rsidRPr="00085941">
              <w:rPr>
                <w:rFonts w:ascii="Meta Pro" w:eastAsia="Times New Roman" w:hAnsi="Meta Pro"/>
                <w:szCs w:val="18"/>
                <w:lang w:eastAsia="en-AU"/>
              </w:rPr>
              <w:t xml:space="preserve">- </w:t>
            </w:r>
          </w:p>
        </w:tc>
        <w:tc>
          <w:tcPr>
            <w:tcW w:w="198" w:type="dxa"/>
            <w:tcBorders>
              <w:top w:val="nil"/>
              <w:left w:val="nil"/>
              <w:bottom w:val="nil"/>
              <w:right w:val="nil"/>
            </w:tcBorders>
            <w:shd w:val="clear" w:color="auto" w:fill="auto"/>
            <w:noWrap/>
            <w:vAlign w:val="center"/>
            <w:hideMark/>
          </w:tcPr>
          <w:p w14:paraId="21D300BB" w14:textId="77777777" w:rsidR="009A3F2A" w:rsidRPr="00085941" w:rsidRDefault="009A3F2A" w:rsidP="00E607DA">
            <w:pPr>
              <w:jc w:val="right"/>
              <w:rPr>
                <w:rFonts w:ascii="Meta Pro" w:eastAsia="Times New Roman" w:hAnsi="Meta Pro"/>
                <w:szCs w:val="18"/>
                <w:lang w:eastAsia="en-AU"/>
              </w:rPr>
            </w:pPr>
          </w:p>
        </w:tc>
        <w:tc>
          <w:tcPr>
            <w:tcW w:w="1191" w:type="dxa"/>
            <w:tcBorders>
              <w:top w:val="nil"/>
              <w:left w:val="nil"/>
              <w:bottom w:val="nil"/>
              <w:right w:val="nil"/>
            </w:tcBorders>
            <w:shd w:val="clear" w:color="auto" w:fill="auto"/>
            <w:noWrap/>
            <w:vAlign w:val="center"/>
            <w:hideMark/>
          </w:tcPr>
          <w:p w14:paraId="36CFDB21" w14:textId="77777777" w:rsidR="009A3F2A" w:rsidRPr="00085941" w:rsidRDefault="009A3F2A" w:rsidP="00E607DA">
            <w:pPr>
              <w:jc w:val="right"/>
              <w:rPr>
                <w:rFonts w:ascii="Meta Pro" w:eastAsia="Times New Roman" w:hAnsi="Meta Pro"/>
                <w:szCs w:val="18"/>
                <w:lang w:eastAsia="en-AU"/>
              </w:rPr>
            </w:pPr>
            <w:r w:rsidRPr="00085941">
              <w:rPr>
                <w:rFonts w:ascii="Meta Pro" w:eastAsia="Times New Roman" w:hAnsi="Meta Pro"/>
                <w:szCs w:val="18"/>
                <w:lang w:eastAsia="en-AU"/>
              </w:rPr>
              <w:t xml:space="preserve">- </w:t>
            </w:r>
          </w:p>
        </w:tc>
        <w:tc>
          <w:tcPr>
            <w:tcW w:w="198" w:type="dxa"/>
            <w:tcBorders>
              <w:top w:val="nil"/>
              <w:left w:val="nil"/>
              <w:bottom w:val="nil"/>
              <w:right w:val="nil"/>
            </w:tcBorders>
            <w:shd w:val="clear" w:color="auto" w:fill="auto"/>
            <w:noWrap/>
            <w:vAlign w:val="center"/>
            <w:hideMark/>
          </w:tcPr>
          <w:p w14:paraId="5F16489E" w14:textId="77777777" w:rsidR="009A3F2A" w:rsidRPr="00085941" w:rsidRDefault="009A3F2A" w:rsidP="00E607DA">
            <w:pPr>
              <w:jc w:val="right"/>
              <w:rPr>
                <w:rFonts w:ascii="Meta Pro" w:eastAsia="Times New Roman" w:hAnsi="Meta Pro"/>
                <w:szCs w:val="18"/>
                <w:lang w:eastAsia="en-AU"/>
              </w:rPr>
            </w:pPr>
          </w:p>
        </w:tc>
        <w:tc>
          <w:tcPr>
            <w:tcW w:w="1191" w:type="dxa"/>
            <w:tcBorders>
              <w:top w:val="nil"/>
              <w:left w:val="nil"/>
              <w:bottom w:val="nil"/>
              <w:right w:val="nil"/>
            </w:tcBorders>
            <w:shd w:val="clear" w:color="auto" w:fill="auto"/>
            <w:noWrap/>
            <w:vAlign w:val="center"/>
            <w:hideMark/>
          </w:tcPr>
          <w:p w14:paraId="74ECC81C" w14:textId="77777777" w:rsidR="009A3F2A" w:rsidRPr="00085941" w:rsidRDefault="009A3F2A" w:rsidP="00E607DA">
            <w:pPr>
              <w:jc w:val="right"/>
              <w:rPr>
                <w:rFonts w:ascii="Meta Pro" w:eastAsia="Times New Roman" w:hAnsi="Meta Pro"/>
                <w:b/>
                <w:bCs/>
                <w:szCs w:val="18"/>
                <w:lang w:eastAsia="en-AU"/>
              </w:rPr>
            </w:pPr>
            <w:r w:rsidRPr="00085941">
              <w:rPr>
                <w:rFonts w:ascii="Meta Pro" w:eastAsia="Times New Roman" w:hAnsi="Meta Pro"/>
                <w:b/>
                <w:bCs/>
                <w:szCs w:val="18"/>
                <w:lang w:eastAsia="en-AU"/>
              </w:rPr>
              <w:t>(11,011)</w:t>
            </w:r>
          </w:p>
        </w:tc>
      </w:tr>
      <w:tr w:rsidR="009A3F2A" w:rsidRPr="00085941" w14:paraId="14191F6E" w14:textId="77777777" w:rsidTr="00E607DA">
        <w:trPr>
          <w:trHeight w:val="240"/>
        </w:trPr>
        <w:tc>
          <w:tcPr>
            <w:tcW w:w="3969" w:type="dxa"/>
            <w:tcBorders>
              <w:top w:val="single" w:sz="4" w:space="0" w:color="auto"/>
              <w:left w:val="nil"/>
              <w:bottom w:val="double" w:sz="6" w:space="0" w:color="auto"/>
              <w:right w:val="nil"/>
            </w:tcBorders>
            <w:shd w:val="clear" w:color="auto" w:fill="auto"/>
            <w:noWrap/>
            <w:vAlign w:val="center"/>
            <w:hideMark/>
          </w:tcPr>
          <w:p w14:paraId="53DE809E" w14:textId="77777777" w:rsidR="009A3F2A" w:rsidRPr="00085941" w:rsidRDefault="009A3F2A" w:rsidP="00E607DA">
            <w:pPr>
              <w:rPr>
                <w:rFonts w:ascii="Meta Pro" w:eastAsia="Times New Roman" w:hAnsi="Meta Pro"/>
                <w:b/>
                <w:bCs/>
                <w:szCs w:val="18"/>
                <w:lang w:eastAsia="en-AU"/>
              </w:rPr>
            </w:pPr>
            <w:r w:rsidRPr="00085941">
              <w:rPr>
                <w:rFonts w:ascii="Meta Pro" w:eastAsia="Times New Roman" w:hAnsi="Meta Pro"/>
                <w:b/>
                <w:bCs/>
                <w:szCs w:val="18"/>
                <w:lang w:eastAsia="en-AU"/>
              </w:rPr>
              <w:t>Carrying amount at 30 June</w:t>
            </w:r>
          </w:p>
        </w:tc>
        <w:tc>
          <w:tcPr>
            <w:tcW w:w="1191" w:type="dxa"/>
            <w:tcBorders>
              <w:top w:val="single" w:sz="4" w:space="0" w:color="auto"/>
              <w:left w:val="nil"/>
              <w:bottom w:val="double" w:sz="6" w:space="0" w:color="auto"/>
              <w:right w:val="nil"/>
            </w:tcBorders>
            <w:shd w:val="clear" w:color="auto" w:fill="auto"/>
            <w:noWrap/>
            <w:vAlign w:val="center"/>
            <w:hideMark/>
          </w:tcPr>
          <w:p w14:paraId="19F912DB" w14:textId="77777777" w:rsidR="009A3F2A" w:rsidRPr="00085941" w:rsidRDefault="009A3F2A" w:rsidP="00E607DA">
            <w:pPr>
              <w:jc w:val="right"/>
              <w:rPr>
                <w:rFonts w:ascii="Meta Pro" w:eastAsia="Times New Roman" w:hAnsi="Meta Pro"/>
                <w:b/>
                <w:bCs/>
                <w:szCs w:val="18"/>
                <w:lang w:eastAsia="en-AU"/>
              </w:rPr>
            </w:pPr>
            <w:r w:rsidRPr="00085941">
              <w:rPr>
                <w:rFonts w:ascii="Meta Pro" w:eastAsia="Times New Roman" w:hAnsi="Meta Pro"/>
                <w:b/>
                <w:bCs/>
                <w:szCs w:val="18"/>
                <w:lang w:eastAsia="en-AU"/>
              </w:rPr>
              <w:t xml:space="preserve">9,847 </w:t>
            </w:r>
          </w:p>
        </w:tc>
        <w:tc>
          <w:tcPr>
            <w:tcW w:w="198" w:type="dxa"/>
            <w:tcBorders>
              <w:top w:val="nil"/>
              <w:left w:val="nil"/>
              <w:bottom w:val="nil"/>
              <w:right w:val="nil"/>
            </w:tcBorders>
            <w:shd w:val="clear" w:color="auto" w:fill="auto"/>
            <w:noWrap/>
            <w:vAlign w:val="center"/>
            <w:hideMark/>
          </w:tcPr>
          <w:p w14:paraId="03550CCA" w14:textId="77777777" w:rsidR="009A3F2A" w:rsidRPr="00085941" w:rsidRDefault="009A3F2A" w:rsidP="00E607DA">
            <w:pPr>
              <w:jc w:val="right"/>
              <w:rPr>
                <w:rFonts w:ascii="Meta Pro" w:eastAsia="Times New Roman" w:hAnsi="Meta Pro"/>
                <w:b/>
                <w:bCs/>
                <w:szCs w:val="18"/>
                <w:lang w:eastAsia="en-AU"/>
              </w:rPr>
            </w:pPr>
          </w:p>
        </w:tc>
        <w:tc>
          <w:tcPr>
            <w:tcW w:w="1191" w:type="dxa"/>
            <w:tcBorders>
              <w:top w:val="single" w:sz="4" w:space="0" w:color="auto"/>
              <w:left w:val="nil"/>
              <w:bottom w:val="double" w:sz="6" w:space="0" w:color="auto"/>
              <w:right w:val="nil"/>
            </w:tcBorders>
            <w:shd w:val="clear" w:color="auto" w:fill="auto"/>
            <w:noWrap/>
            <w:vAlign w:val="center"/>
            <w:hideMark/>
          </w:tcPr>
          <w:p w14:paraId="70D861D2" w14:textId="77777777" w:rsidR="009A3F2A" w:rsidRPr="00085941" w:rsidRDefault="009A3F2A" w:rsidP="00E607DA">
            <w:pPr>
              <w:jc w:val="right"/>
              <w:rPr>
                <w:rFonts w:ascii="Meta Pro" w:eastAsia="Times New Roman" w:hAnsi="Meta Pro"/>
                <w:b/>
                <w:bCs/>
                <w:szCs w:val="18"/>
                <w:lang w:eastAsia="en-AU"/>
              </w:rPr>
            </w:pPr>
            <w:r w:rsidRPr="00085941">
              <w:rPr>
                <w:rFonts w:ascii="Meta Pro" w:eastAsia="Times New Roman" w:hAnsi="Meta Pro"/>
                <w:b/>
                <w:bCs/>
                <w:szCs w:val="18"/>
                <w:lang w:eastAsia="en-AU"/>
              </w:rPr>
              <w:t xml:space="preserve">35,426 </w:t>
            </w:r>
          </w:p>
        </w:tc>
        <w:tc>
          <w:tcPr>
            <w:tcW w:w="198" w:type="dxa"/>
            <w:tcBorders>
              <w:top w:val="nil"/>
              <w:left w:val="nil"/>
              <w:bottom w:val="nil"/>
              <w:right w:val="nil"/>
            </w:tcBorders>
            <w:shd w:val="clear" w:color="auto" w:fill="auto"/>
            <w:noWrap/>
            <w:vAlign w:val="center"/>
            <w:hideMark/>
          </w:tcPr>
          <w:p w14:paraId="382D9739" w14:textId="77777777" w:rsidR="009A3F2A" w:rsidRPr="00085941" w:rsidRDefault="009A3F2A" w:rsidP="00E607DA">
            <w:pPr>
              <w:jc w:val="right"/>
              <w:rPr>
                <w:rFonts w:ascii="Meta Pro" w:eastAsia="Times New Roman" w:hAnsi="Meta Pro"/>
                <w:b/>
                <w:bCs/>
                <w:szCs w:val="18"/>
                <w:lang w:eastAsia="en-AU"/>
              </w:rPr>
            </w:pPr>
          </w:p>
        </w:tc>
        <w:tc>
          <w:tcPr>
            <w:tcW w:w="1191" w:type="dxa"/>
            <w:tcBorders>
              <w:top w:val="single" w:sz="4" w:space="0" w:color="auto"/>
              <w:left w:val="nil"/>
              <w:bottom w:val="double" w:sz="6" w:space="0" w:color="auto"/>
              <w:right w:val="nil"/>
            </w:tcBorders>
            <w:shd w:val="clear" w:color="auto" w:fill="auto"/>
            <w:noWrap/>
            <w:vAlign w:val="center"/>
            <w:hideMark/>
          </w:tcPr>
          <w:p w14:paraId="480F3FB2" w14:textId="77777777" w:rsidR="009A3F2A" w:rsidRPr="00085941" w:rsidRDefault="009A3F2A" w:rsidP="00E607DA">
            <w:pPr>
              <w:jc w:val="right"/>
              <w:rPr>
                <w:rFonts w:ascii="Meta Pro" w:eastAsia="Times New Roman" w:hAnsi="Meta Pro"/>
                <w:b/>
                <w:bCs/>
                <w:szCs w:val="18"/>
                <w:lang w:eastAsia="en-AU"/>
              </w:rPr>
            </w:pPr>
            <w:r w:rsidRPr="00085941">
              <w:rPr>
                <w:rFonts w:ascii="Meta Pro" w:eastAsia="Times New Roman" w:hAnsi="Meta Pro"/>
                <w:b/>
                <w:bCs/>
                <w:szCs w:val="18"/>
                <w:lang w:eastAsia="en-AU"/>
              </w:rPr>
              <w:t xml:space="preserve">35,935 </w:t>
            </w:r>
          </w:p>
        </w:tc>
        <w:tc>
          <w:tcPr>
            <w:tcW w:w="198" w:type="dxa"/>
            <w:tcBorders>
              <w:top w:val="nil"/>
              <w:left w:val="nil"/>
              <w:bottom w:val="nil"/>
              <w:right w:val="nil"/>
            </w:tcBorders>
            <w:shd w:val="clear" w:color="auto" w:fill="auto"/>
            <w:noWrap/>
            <w:vAlign w:val="center"/>
            <w:hideMark/>
          </w:tcPr>
          <w:p w14:paraId="0C0B6F47" w14:textId="77777777" w:rsidR="009A3F2A" w:rsidRPr="00085941" w:rsidRDefault="009A3F2A" w:rsidP="00E607DA">
            <w:pPr>
              <w:jc w:val="right"/>
              <w:rPr>
                <w:rFonts w:ascii="Meta Pro" w:eastAsia="Times New Roman" w:hAnsi="Meta Pro"/>
                <w:b/>
                <w:bCs/>
                <w:szCs w:val="18"/>
                <w:lang w:eastAsia="en-AU"/>
              </w:rPr>
            </w:pPr>
          </w:p>
        </w:tc>
        <w:tc>
          <w:tcPr>
            <w:tcW w:w="1191" w:type="dxa"/>
            <w:tcBorders>
              <w:top w:val="single" w:sz="4" w:space="0" w:color="auto"/>
              <w:left w:val="nil"/>
              <w:bottom w:val="double" w:sz="6" w:space="0" w:color="auto"/>
              <w:right w:val="nil"/>
            </w:tcBorders>
            <w:shd w:val="clear" w:color="auto" w:fill="auto"/>
            <w:noWrap/>
            <w:vAlign w:val="center"/>
            <w:hideMark/>
          </w:tcPr>
          <w:p w14:paraId="2DB8A194" w14:textId="77777777" w:rsidR="009A3F2A" w:rsidRPr="00085941" w:rsidRDefault="009A3F2A" w:rsidP="00E607DA">
            <w:pPr>
              <w:jc w:val="right"/>
              <w:rPr>
                <w:rFonts w:ascii="Meta Pro" w:eastAsia="Times New Roman" w:hAnsi="Meta Pro"/>
                <w:b/>
                <w:bCs/>
                <w:szCs w:val="18"/>
                <w:lang w:eastAsia="en-AU"/>
              </w:rPr>
            </w:pPr>
            <w:r w:rsidRPr="00085941">
              <w:rPr>
                <w:rFonts w:ascii="Meta Pro" w:eastAsia="Times New Roman" w:hAnsi="Meta Pro"/>
                <w:b/>
                <w:bCs/>
                <w:szCs w:val="18"/>
                <w:lang w:eastAsia="en-AU"/>
              </w:rPr>
              <w:t xml:space="preserve">4,346 </w:t>
            </w:r>
          </w:p>
        </w:tc>
        <w:tc>
          <w:tcPr>
            <w:tcW w:w="198" w:type="dxa"/>
            <w:tcBorders>
              <w:top w:val="nil"/>
              <w:left w:val="nil"/>
              <w:bottom w:val="nil"/>
              <w:right w:val="nil"/>
            </w:tcBorders>
            <w:shd w:val="clear" w:color="auto" w:fill="auto"/>
            <w:noWrap/>
            <w:vAlign w:val="center"/>
            <w:hideMark/>
          </w:tcPr>
          <w:p w14:paraId="1F1B79BE" w14:textId="77777777" w:rsidR="009A3F2A" w:rsidRPr="00085941" w:rsidRDefault="009A3F2A" w:rsidP="00E607DA">
            <w:pPr>
              <w:jc w:val="right"/>
              <w:rPr>
                <w:rFonts w:ascii="Meta Pro" w:eastAsia="Times New Roman" w:hAnsi="Meta Pro"/>
                <w:b/>
                <w:bCs/>
                <w:szCs w:val="18"/>
                <w:lang w:eastAsia="en-AU"/>
              </w:rPr>
            </w:pPr>
          </w:p>
        </w:tc>
        <w:tc>
          <w:tcPr>
            <w:tcW w:w="1191" w:type="dxa"/>
            <w:tcBorders>
              <w:top w:val="single" w:sz="4" w:space="0" w:color="auto"/>
              <w:left w:val="nil"/>
              <w:bottom w:val="double" w:sz="6" w:space="0" w:color="auto"/>
              <w:right w:val="nil"/>
            </w:tcBorders>
            <w:shd w:val="clear" w:color="auto" w:fill="auto"/>
            <w:noWrap/>
            <w:vAlign w:val="center"/>
            <w:hideMark/>
          </w:tcPr>
          <w:p w14:paraId="7C1A32BB" w14:textId="77777777" w:rsidR="009A3F2A" w:rsidRPr="00085941" w:rsidRDefault="009A3F2A" w:rsidP="00E607DA">
            <w:pPr>
              <w:jc w:val="right"/>
              <w:rPr>
                <w:rFonts w:ascii="Meta Pro" w:eastAsia="Times New Roman" w:hAnsi="Meta Pro"/>
                <w:b/>
                <w:bCs/>
                <w:szCs w:val="18"/>
                <w:lang w:eastAsia="en-AU"/>
              </w:rPr>
            </w:pPr>
            <w:r w:rsidRPr="00085941">
              <w:rPr>
                <w:rFonts w:ascii="Meta Pro" w:eastAsia="Times New Roman" w:hAnsi="Meta Pro"/>
                <w:b/>
                <w:bCs/>
                <w:szCs w:val="18"/>
                <w:lang w:eastAsia="en-AU"/>
              </w:rPr>
              <w:t xml:space="preserve">85,554 </w:t>
            </w:r>
          </w:p>
        </w:tc>
      </w:tr>
    </w:tbl>
    <w:p w14:paraId="22D77D3A" w14:textId="77777777" w:rsidR="009A3F2A" w:rsidRPr="00092B22" w:rsidRDefault="009A3F2A" w:rsidP="009A3F2A">
      <w:pPr>
        <w:spacing w:before="120" w:line="259" w:lineRule="auto"/>
        <w:rPr>
          <w:rFonts w:ascii="Meta Pro" w:eastAsia="Times New Roman" w:hAnsi="Meta Pro"/>
          <w:sz w:val="16"/>
          <w:szCs w:val="16"/>
          <w:lang w:eastAsia="en-AU"/>
        </w:rPr>
      </w:pPr>
      <w:r w:rsidRPr="00092B22">
        <w:rPr>
          <w:rFonts w:ascii="Meta Pro" w:eastAsia="Times New Roman" w:hAnsi="Meta Pro"/>
          <w:sz w:val="16"/>
          <w:szCs w:val="16"/>
          <w:lang w:eastAsia="en-AU"/>
        </w:rPr>
        <w:t>* The department holds significant internally generated software assets as follows:</w:t>
      </w:r>
    </w:p>
    <w:p w14:paraId="3FEBF1BD" w14:textId="77777777" w:rsidR="009A3F2A" w:rsidRPr="00092B22" w:rsidRDefault="009A3F2A" w:rsidP="009A3F2A">
      <w:pPr>
        <w:spacing w:before="60"/>
        <w:rPr>
          <w:rFonts w:ascii="Meta Pro" w:eastAsia="Times New Roman" w:hAnsi="Meta Pro"/>
          <w:color w:val="000000"/>
          <w:sz w:val="16"/>
          <w:szCs w:val="16"/>
          <w:lang w:eastAsia="en-AU"/>
        </w:rPr>
      </w:pPr>
      <w:r w:rsidRPr="00092B22">
        <w:rPr>
          <w:rFonts w:ascii="Meta Pro" w:eastAsia="Times New Roman" w:hAnsi="Meta Pro"/>
          <w:color w:val="000000"/>
          <w:sz w:val="16"/>
          <w:szCs w:val="16"/>
          <w:lang w:eastAsia="en-AU"/>
        </w:rPr>
        <w:t xml:space="preserve">    •  Portfolio, Program, Project and Contract Management software that has a carrying amount of $12.533m (2021: $16.710m) and a</w:t>
      </w:r>
    </w:p>
    <w:p w14:paraId="59A5A711" w14:textId="77777777" w:rsidR="009A3F2A" w:rsidRPr="00092B22" w:rsidRDefault="009A3F2A" w:rsidP="009A3F2A">
      <w:pPr>
        <w:rPr>
          <w:rFonts w:ascii="Meta Pro" w:eastAsia="Times New Roman" w:hAnsi="Meta Pro"/>
          <w:color w:val="000000"/>
          <w:sz w:val="16"/>
          <w:szCs w:val="16"/>
          <w:lang w:eastAsia="en-AU"/>
        </w:rPr>
      </w:pPr>
      <w:r w:rsidRPr="00092B22">
        <w:rPr>
          <w:rFonts w:ascii="Meta Pro" w:eastAsia="Times New Roman" w:hAnsi="Meta Pro"/>
          <w:color w:val="000000"/>
          <w:sz w:val="16"/>
          <w:szCs w:val="16"/>
          <w:lang w:eastAsia="en-AU"/>
        </w:rPr>
        <w:t xml:space="preserve">         remaining amortisation period of 3 years.</w:t>
      </w:r>
    </w:p>
    <w:p w14:paraId="430714FC" w14:textId="77777777" w:rsidR="009A3F2A" w:rsidRPr="00092B22" w:rsidRDefault="009A3F2A" w:rsidP="009A3F2A">
      <w:pPr>
        <w:rPr>
          <w:rFonts w:ascii="Meta Pro" w:eastAsia="Times New Roman" w:hAnsi="Meta Pro"/>
          <w:color w:val="000000"/>
          <w:sz w:val="16"/>
          <w:szCs w:val="16"/>
          <w:lang w:eastAsia="en-AU"/>
        </w:rPr>
      </w:pPr>
      <w:r w:rsidRPr="00092B22">
        <w:rPr>
          <w:rFonts w:ascii="Meta Pro" w:eastAsia="Times New Roman" w:hAnsi="Meta Pro"/>
          <w:color w:val="000000"/>
          <w:sz w:val="16"/>
          <w:szCs w:val="16"/>
          <w:lang w:eastAsia="en-AU"/>
        </w:rPr>
        <w:t xml:space="preserve">    •  New Queensland Drivers Licence software that has a carrying amount of $6.382m (2021: $7.654m) and a remaining amortisation</w:t>
      </w:r>
    </w:p>
    <w:p w14:paraId="01BCF146" w14:textId="77777777" w:rsidR="009A3F2A" w:rsidRPr="00092B22" w:rsidRDefault="009A3F2A" w:rsidP="009A3F2A">
      <w:pPr>
        <w:spacing w:after="120"/>
        <w:rPr>
          <w:rFonts w:ascii="Meta Pro" w:eastAsia="Times New Roman" w:hAnsi="Meta Pro"/>
          <w:color w:val="000000"/>
          <w:sz w:val="16"/>
          <w:szCs w:val="16"/>
          <w:lang w:eastAsia="en-AU"/>
        </w:rPr>
      </w:pPr>
      <w:r w:rsidRPr="00092B22">
        <w:rPr>
          <w:rFonts w:ascii="Meta Pro" w:eastAsia="Times New Roman" w:hAnsi="Meta Pro"/>
          <w:color w:val="000000"/>
          <w:sz w:val="16"/>
          <w:szCs w:val="16"/>
          <w:lang w:eastAsia="en-AU"/>
        </w:rPr>
        <w:t xml:space="preserve">        period of 5 years.</w:t>
      </w:r>
    </w:p>
    <w:p w14:paraId="4880C938" w14:textId="77777777" w:rsidR="009A3F2A" w:rsidRPr="00092B22" w:rsidRDefault="009A3F2A" w:rsidP="009A3F2A">
      <w:pPr>
        <w:rPr>
          <w:rFonts w:ascii="Meta Pro" w:eastAsia="Times New Roman" w:hAnsi="Meta Pro"/>
          <w:sz w:val="16"/>
          <w:szCs w:val="16"/>
          <w:lang w:eastAsia="en-AU"/>
        </w:rPr>
      </w:pPr>
      <w:r w:rsidRPr="00092B22">
        <w:rPr>
          <w:rFonts w:ascii="Meta Pro" w:eastAsia="Times New Roman" w:hAnsi="Meta Pro"/>
          <w:sz w:val="16"/>
          <w:szCs w:val="16"/>
          <w:lang w:eastAsia="en-AU"/>
        </w:rPr>
        <w:t>** Comparatives have changed following the reclassification of expenditure associated with departmental cloud computing arrangements</w:t>
      </w:r>
    </w:p>
    <w:p w14:paraId="0FB44B6E" w14:textId="77777777" w:rsidR="009A3F2A" w:rsidRPr="00092B22" w:rsidRDefault="009A3F2A" w:rsidP="009A3F2A">
      <w:pPr>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due to a change in accounting policy. Refer to Note 1.</w:t>
      </w:r>
    </w:p>
    <w:p w14:paraId="30BBF80C" w14:textId="77777777" w:rsidR="009A3F2A" w:rsidRPr="00092B22" w:rsidRDefault="009A3F2A" w:rsidP="009A3F2A">
      <w:pPr>
        <w:shd w:val="clear" w:color="auto" w:fill="EBEBEB"/>
        <w:spacing w:after="60"/>
        <w:jc w:val="both"/>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Accounting policy</w:t>
      </w:r>
    </w:p>
    <w:p w14:paraId="3627B642" w14:textId="77777777" w:rsidR="009A3F2A" w:rsidRPr="00092B22" w:rsidRDefault="009A3F2A" w:rsidP="009A3F2A">
      <w:pPr>
        <w:shd w:val="clear" w:color="auto" w:fill="EBEBEB"/>
        <w:spacing w:after="60"/>
        <w:jc w:val="both"/>
        <w:rPr>
          <w:rFonts w:ascii="Meta Pro" w:eastAsia="Times New Roman" w:hAnsi="Meta Pro"/>
          <w:szCs w:val="18"/>
          <w:lang w:eastAsia="en-AU"/>
        </w:rPr>
      </w:pPr>
      <w:r w:rsidRPr="00092B22">
        <w:rPr>
          <w:rFonts w:ascii="Meta Pro" w:eastAsia="Times New Roman" w:hAnsi="Meta Pro"/>
          <w:szCs w:val="18"/>
          <w:lang w:eastAsia="en-AU"/>
        </w:rPr>
        <w:t>Intangible assets with a cost equal to or greater than $100,000 are recognised in the financial statements. Items with a lesser cost are expensed.</w:t>
      </w:r>
    </w:p>
    <w:p w14:paraId="2C87C9E9" w14:textId="77777777" w:rsidR="009A3F2A" w:rsidRPr="00092B22" w:rsidRDefault="009A3F2A" w:rsidP="009A3F2A">
      <w:pPr>
        <w:shd w:val="clear" w:color="auto" w:fill="EBEBEB"/>
        <w:spacing w:after="60"/>
        <w:jc w:val="both"/>
        <w:rPr>
          <w:rFonts w:ascii="Meta Pro" w:eastAsia="Times New Roman" w:hAnsi="Meta Pro"/>
          <w:szCs w:val="18"/>
          <w:lang w:eastAsia="en-AU"/>
        </w:rPr>
      </w:pPr>
      <w:r w:rsidRPr="00092B22">
        <w:rPr>
          <w:rFonts w:ascii="Meta Pro" w:eastAsia="Times New Roman" w:hAnsi="Meta Pro"/>
          <w:szCs w:val="18"/>
          <w:lang w:eastAsia="en-AU"/>
        </w:rPr>
        <w:t>Expenditure on research activities relating to internally-generated intangible assets is recognised as an expense in the period in which it is incurred. Any training costs are expensed as incurred.</w:t>
      </w:r>
    </w:p>
    <w:p w14:paraId="7059B181" w14:textId="77777777" w:rsidR="009A3F2A" w:rsidRPr="00092B22" w:rsidRDefault="009A3F2A" w:rsidP="009A3F2A">
      <w:pPr>
        <w:shd w:val="clear" w:color="auto" w:fill="EBEBEB"/>
        <w:spacing w:after="60"/>
        <w:jc w:val="both"/>
        <w:rPr>
          <w:rFonts w:ascii="Meta Pro" w:eastAsia="Times New Roman" w:hAnsi="Meta Pro"/>
          <w:szCs w:val="18"/>
          <w:lang w:eastAsia="en-AU"/>
        </w:rPr>
      </w:pPr>
      <w:r w:rsidRPr="00092B22">
        <w:rPr>
          <w:rFonts w:ascii="Meta Pro" w:eastAsia="Times New Roman" w:hAnsi="Meta Pro"/>
          <w:szCs w:val="18"/>
          <w:lang w:eastAsia="en-AU"/>
        </w:rPr>
        <w:t>The department’s intangible assets are not revalued as there is no active market for any of these assets. Such assets are recognised and carried at cost less accumulated amortisation and accumulated impairment losses.</w:t>
      </w:r>
    </w:p>
    <w:p w14:paraId="3BFB951B" w14:textId="77777777" w:rsidR="009A3F2A" w:rsidRPr="00092B22" w:rsidRDefault="009A3F2A" w:rsidP="009A3F2A">
      <w:pPr>
        <w:shd w:val="clear" w:color="auto" w:fill="EBEBEB"/>
        <w:spacing w:after="60"/>
        <w:jc w:val="both"/>
        <w:rPr>
          <w:rFonts w:ascii="Meta Pro" w:eastAsia="Times New Roman" w:hAnsi="Meta Pro"/>
          <w:szCs w:val="18"/>
          <w:lang w:eastAsia="en-AU"/>
        </w:rPr>
      </w:pPr>
      <w:r w:rsidRPr="00092B22">
        <w:rPr>
          <w:rFonts w:ascii="Meta Pro" w:eastAsia="Times New Roman" w:hAnsi="Meta Pro"/>
          <w:szCs w:val="18"/>
          <w:lang w:eastAsia="en-AU"/>
        </w:rPr>
        <w:t>For each class of intangible asset, the following amortisation rates are used:</w:t>
      </w:r>
    </w:p>
    <w:p w14:paraId="3D93EE5F" w14:textId="77777777" w:rsidR="009A3F2A" w:rsidRPr="00092B22" w:rsidRDefault="009A3F2A" w:rsidP="009A3F2A">
      <w:pPr>
        <w:shd w:val="clear" w:color="auto" w:fill="EBEBEB"/>
        <w:spacing w:line="14" w:lineRule="exact"/>
        <w:jc w:val="both"/>
        <w:rPr>
          <w:rFonts w:ascii="Meta Pro" w:eastAsia="Times New Roman" w:hAnsi="Meta Pro"/>
          <w:szCs w:val="18"/>
          <w:lang w:eastAsia="en-AU"/>
        </w:rPr>
      </w:pPr>
    </w:p>
    <w:tbl>
      <w:tblPr>
        <w:tblW w:w="9639" w:type="dxa"/>
        <w:tblCellMar>
          <w:left w:w="0" w:type="dxa"/>
        </w:tblCellMar>
        <w:tblLook w:val="04A0" w:firstRow="1" w:lastRow="0" w:firstColumn="1" w:lastColumn="0" w:noHBand="0" w:noVBand="1"/>
      </w:tblPr>
      <w:tblGrid>
        <w:gridCol w:w="3213"/>
        <w:gridCol w:w="3213"/>
        <w:gridCol w:w="3213"/>
      </w:tblGrid>
      <w:tr w:rsidR="009A3F2A" w:rsidRPr="00092B22" w14:paraId="490CD289" w14:textId="77777777" w:rsidTr="00E607DA">
        <w:trPr>
          <w:cantSplit/>
          <w:trHeight w:val="23"/>
        </w:trPr>
        <w:tc>
          <w:tcPr>
            <w:tcW w:w="3120" w:type="dxa"/>
            <w:tcBorders>
              <w:top w:val="single" w:sz="8" w:space="0" w:color="auto"/>
              <w:left w:val="single" w:sz="8" w:space="0" w:color="auto"/>
              <w:bottom w:val="single" w:sz="8" w:space="0" w:color="auto"/>
              <w:right w:val="single" w:sz="8" w:space="0" w:color="000000"/>
            </w:tcBorders>
            <w:shd w:val="clear" w:color="000000" w:fill="E7E6E6"/>
            <w:noWrap/>
            <w:vAlign w:val="center"/>
            <w:hideMark/>
          </w:tcPr>
          <w:p w14:paraId="6F2C89E0" w14:textId="77777777" w:rsidR="009A3F2A" w:rsidRPr="00092B22" w:rsidRDefault="009A3F2A" w:rsidP="00E607DA">
            <w:pPr>
              <w:jc w:val="center"/>
              <w:rPr>
                <w:rFonts w:ascii="Meta Pro" w:eastAsia="Times New Roman" w:hAnsi="Meta Pro" w:cs="Calibri"/>
                <w:b/>
                <w:bCs/>
                <w:color w:val="000000"/>
                <w:szCs w:val="18"/>
                <w:lang w:eastAsia="en-AU"/>
              </w:rPr>
            </w:pPr>
            <w:r w:rsidRPr="00092B22">
              <w:rPr>
                <w:rFonts w:ascii="Meta Pro" w:eastAsia="Times New Roman" w:hAnsi="Meta Pro" w:cs="Calibri"/>
                <w:b/>
                <w:bCs/>
                <w:color w:val="000000"/>
                <w:szCs w:val="18"/>
                <w:lang w:eastAsia="en-AU"/>
              </w:rPr>
              <w:t>Class</w:t>
            </w:r>
          </w:p>
        </w:tc>
        <w:tc>
          <w:tcPr>
            <w:tcW w:w="3120" w:type="dxa"/>
            <w:tcBorders>
              <w:top w:val="single" w:sz="8" w:space="0" w:color="auto"/>
              <w:left w:val="nil"/>
              <w:bottom w:val="single" w:sz="8" w:space="0" w:color="auto"/>
              <w:right w:val="single" w:sz="8" w:space="0" w:color="000000"/>
            </w:tcBorders>
            <w:shd w:val="clear" w:color="000000" w:fill="E7E6E6"/>
            <w:noWrap/>
            <w:vAlign w:val="center"/>
            <w:hideMark/>
          </w:tcPr>
          <w:p w14:paraId="1AB24EA3" w14:textId="77777777" w:rsidR="009A3F2A" w:rsidRPr="00092B22" w:rsidRDefault="009A3F2A" w:rsidP="00E607DA">
            <w:pPr>
              <w:jc w:val="center"/>
              <w:rPr>
                <w:rFonts w:ascii="Meta Pro" w:eastAsia="Times New Roman" w:hAnsi="Meta Pro" w:cs="Calibri"/>
                <w:b/>
                <w:bCs/>
                <w:color w:val="000000"/>
                <w:szCs w:val="18"/>
                <w:lang w:eastAsia="en-AU"/>
              </w:rPr>
            </w:pPr>
            <w:r w:rsidRPr="00092B22">
              <w:rPr>
                <w:rFonts w:ascii="Meta Pro" w:eastAsia="Times New Roman" w:hAnsi="Meta Pro" w:cs="Calibri"/>
                <w:b/>
                <w:bCs/>
                <w:color w:val="000000"/>
                <w:szCs w:val="18"/>
                <w:lang w:eastAsia="en-AU"/>
              </w:rPr>
              <w:t>Amortisation method</w:t>
            </w:r>
          </w:p>
        </w:tc>
        <w:tc>
          <w:tcPr>
            <w:tcW w:w="3120" w:type="dxa"/>
            <w:tcBorders>
              <w:top w:val="single" w:sz="8" w:space="0" w:color="auto"/>
              <w:left w:val="nil"/>
              <w:bottom w:val="single" w:sz="8" w:space="0" w:color="auto"/>
              <w:right w:val="single" w:sz="8" w:space="0" w:color="000000"/>
            </w:tcBorders>
            <w:shd w:val="clear" w:color="000000" w:fill="E7E6E6"/>
            <w:vAlign w:val="center"/>
            <w:hideMark/>
          </w:tcPr>
          <w:p w14:paraId="457F8B39" w14:textId="77777777" w:rsidR="009A3F2A" w:rsidRPr="00092B22" w:rsidRDefault="009A3F2A" w:rsidP="00E607DA">
            <w:pPr>
              <w:jc w:val="center"/>
              <w:rPr>
                <w:rFonts w:ascii="Meta Pro" w:eastAsia="Times New Roman" w:hAnsi="Meta Pro" w:cs="Calibri"/>
                <w:b/>
                <w:bCs/>
                <w:color w:val="000000"/>
                <w:szCs w:val="18"/>
                <w:lang w:eastAsia="en-AU"/>
              </w:rPr>
            </w:pPr>
            <w:r w:rsidRPr="00092B22">
              <w:rPr>
                <w:rFonts w:ascii="Meta Pro" w:eastAsia="Times New Roman" w:hAnsi="Meta Pro" w:cs="Calibri"/>
                <w:b/>
                <w:bCs/>
                <w:color w:val="000000"/>
                <w:szCs w:val="18"/>
                <w:lang w:eastAsia="en-AU"/>
              </w:rPr>
              <w:t>Average useful life</w:t>
            </w:r>
          </w:p>
        </w:tc>
      </w:tr>
      <w:tr w:rsidR="009A3F2A" w:rsidRPr="00092B22" w14:paraId="6A486F4E" w14:textId="77777777" w:rsidTr="00E607DA">
        <w:trPr>
          <w:cantSplit/>
          <w:trHeight w:val="23"/>
        </w:trPr>
        <w:tc>
          <w:tcPr>
            <w:tcW w:w="3120" w:type="dxa"/>
            <w:tcBorders>
              <w:top w:val="nil"/>
              <w:left w:val="single" w:sz="8" w:space="0" w:color="auto"/>
              <w:bottom w:val="single" w:sz="8" w:space="0" w:color="auto"/>
              <w:right w:val="single" w:sz="8" w:space="0" w:color="000000"/>
            </w:tcBorders>
            <w:shd w:val="clear" w:color="000000" w:fill="E7E6E6"/>
            <w:noWrap/>
            <w:vAlign w:val="center"/>
            <w:hideMark/>
          </w:tcPr>
          <w:p w14:paraId="0BF5C0E4" w14:textId="77777777" w:rsidR="009A3F2A" w:rsidRPr="00092B22" w:rsidRDefault="009A3F2A" w:rsidP="00E607DA">
            <w:pP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Intangibles – purchased</w:t>
            </w:r>
          </w:p>
        </w:tc>
        <w:tc>
          <w:tcPr>
            <w:tcW w:w="3120" w:type="dxa"/>
            <w:tcBorders>
              <w:top w:val="nil"/>
              <w:left w:val="nil"/>
              <w:bottom w:val="single" w:sz="8" w:space="0" w:color="auto"/>
              <w:right w:val="single" w:sz="8" w:space="0" w:color="000000"/>
            </w:tcBorders>
            <w:shd w:val="clear" w:color="000000" w:fill="E7E6E6"/>
            <w:noWrap/>
            <w:vAlign w:val="center"/>
            <w:hideMark/>
          </w:tcPr>
          <w:p w14:paraId="6DF5AC9D" w14:textId="77777777" w:rsidR="009A3F2A" w:rsidRPr="00092B22" w:rsidRDefault="009A3F2A" w:rsidP="00E607DA">
            <w:pPr>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Straight-line</w:t>
            </w:r>
          </w:p>
        </w:tc>
        <w:tc>
          <w:tcPr>
            <w:tcW w:w="3120" w:type="dxa"/>
            <w:tcBorders>
              <w:top w:val="nil"/>
              <w:left w:val="nil"/>
              <w:bottom w:val="single" w:sz="8" w:space="0" w:color="auto"/>
              <w:right w:val="single" w:sz="8" w:space="0" w:color="000000"/>
            </w:tcBorders>
            <w:shd w:val="clear" w:color="000000" w:fill="E7E6E6"/>
            <w:vAlign w:val="center"/>
            <w:hideMark/>
          </w:tcPr>
          <w:p w14:paraId="04EBEF4F" w14:textId="77777777" w:rsidR="009A3F2A" w:rsidRPr="00092B22" w:rsidRDefault="009A3F2A" w:rsidP="00E607DA">
            <w:pPr>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11</w:t>
            </w:r>
          </w:p>
        </w:tc>
      </w:tr>
      <w:tr w:rsidR="009A3F2A" w:rsidRPr="00092B22" w14:paraId="3B13F29B" w14:textId="77777777" w:rsidTr="00E607DA">
        <w:trPr>
          <w:cantSplit/>
          <w:trHeight w:val="23"/>
        </w:trPr>
        <w:tc>
          <w:tcPr>
            <w:tcW w:w="3120" w:type="dxa"/>
            <w:tcBorders>
              <w:top w:val="nil"/>
              <w:left w:val="single" w:sz="8" w:space="0" w:color="auto"/>
              <w:bottom w:val="single" w:sz="8" w:space="0" w:color="auto"/>
              <w:right w:val="single" w:sz="8" w:space="0" w:color="000000"/>
            </w:tcBorders>
            <w:shd w:val="clear" w:color="000000" w:fill="E7E6E6"/>
            <w:noWrap/>
            <w:vAlign w:val="center"/>
            <w:hideMark/>
          </w:tcPr>
          <w:p w14:paraId="77E2F9B8" w14:textId="77777777" w:rsidR="009A3F2A" w:rsidRPr="00092B22" w:rsidRDefault="009A3F2A" w:rsidP="00E607DA">
            <w:pP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Intangibles – internally generated</w:t>
            </w:r>
          </w:p>
        </w:tc>
        <w:tc>
          <w:tcPr>
            <w:tcW w:w="3120" w:type="dxa"/>
            <w:tcBorders>
              <w:top w:val="nil"/>
              <w:left w:val="nil"/>
              <w:bottom w:val="single" w:sz="8" w:space="0" w:color="auto"/>
              <w:right w:val="single" w:sz="8" w:space="0" w:color="000000"/>
            </w:tcBorders>
            <w:shd w:val="clear" w:color="000000" w:fill="E7E6E6"/>
            <w:noWrap/>
            <w:vAlign w:val="center"/>
            <w:hideMark/>
          </w:tcPr>
          <w:p w14:paraId="599307BF" w14:textId="77777777" w:rsidR="009A3F2A" w:rsidRPr="00092B22" w:rsidRDefault="009A3F2A" w:rsidP="00E607DA">
            <w:pPr>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Straight-line</w:t>
            </w:r>
          </w:p>
        </w:tc>
        <w:tc>
          <w:tcPr>
            <w:tcW w:w="3120" w:type="dxa"/>
            <w:tcBorders>
              <w:top w:val="nil"/>
              <w:left w:val="nil"/>
              <w:bottom w:val="single" w:sz="8" w:space="0" w:color="auto"/>
              <w:right w:val="single" w:sz="8" w:space="0" w:color="000000"/>
            </w:tcBorders>
            <w:shd w:val="clear" w:color="000000" w:fill="E7E6E6"/>
            <w:vAlign w:val="center"/>
            <w:hideMark/>
          </w:tcPr>
          <w:p w14:paraId="789D069F" w14:textId="77777777" w:rsidR="009A3F2A" w:rsidRPr="00092B22" w:rsidRDefault="009A3F2A" w:rsidP="00E607DA">
            <w:pPr>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15</w:t>
            </w:r>
          </w:p>
        </w:tc>
      </w:tr>
      <w:tr w:rsidR="009A3F2A" w:rsidRPr="00092B22" w14:paraId="02A07431" w14:textId="77777777" w:rsidTr="00E607DA">
        <w:trPr>
          <w:cantSplit/>
          <w:trHeight w:val="23"/>
        </w:trPr>
        <w:tc>
          <w:tcPr>
            <w:tcW w:w="3120" w:type="dxa"/>
            <w:tcBorders>
              <w:top w:val="nil"/>
              <w:left w:val="single" w:sz="8" w:space="0" w:color="auto"/>
              <w:bottom w:val="single" w:sz="8" w:space="0" w:color="auto"/>
              <w:right w:val="single" w:sz="8" w:space="0" w:color="000000"/>
            </w:tcBorders>
            <w:shd w:val="clear" w:color="000000" w:fill="E7E6E6"/>
            <w:noWrap/>
            <w:vAlign w:val="center"/>
            <w:hideMark/>
          </w:tcPr>
          <w:p w14:paraId="074EED11" w14:textId="77777777" w:rsidR="009A3F2A" w:rsidRPr="00092B22" w:rsidRDefault="009A3F2A" w:rsidP="00E607DA">
            <w:pP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Intangibles – work in progress</w:t>
            </w:r>
          </w:p>
        </w:tc>
        <w:tc>
          <w:tcPr>
            <w:tcW w:w="3120" w:type="dxa"/>
            <w:tcBorders>
              <w:top w:val="nil"/>
              <w:left w:val="nil"/>
              <w:bottom w:val="single" w:sz="8" w:space="0" w:color="auto"/>
              <w:right w:val="single" w:sz="8" w:space="0" w:color="000000"/>
            </w:tcBorders>
            <w:shd w:val="clear" w:color="000000" w:fill="E7E6E6"/>
            <w:vAlign w:val="center"/>
            <w:hideMark/>
          </w:tcPr>
          <w:p w14:paraId="79E966F6" w14:textId="77777777" w:rsidR="009A3F2A" w:rsidRPr="00092B22" w:rsidRDefault="009A3F2A" w:rsidP="00E607DA">
            <w:pPr>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Not amortised</w:t>
            </w:r>
          </w:p>
        </w:tc>
        <w:tc>
          <w:tcPr>
            <w:tcW w:w="3120" w:type="dxa"/>
            <w:tcBorders>
              <w:top w:val="nil"/>
              <w:left w:val="nil"/>
              <w:bottom w:val="single" w:sz="8" w:space="0" w:color="auto"/>
              <w:right w:val="single" w:sz="8" w:space="0" w:color="000000"/>
            </w:tcBorders>
            <w:shd w:val="clear" w:color="000000" w:fill="E7E6E6"/>
            <w:vAlign w:val="center"/>
            <w:hideMark/>
          </w:tcPr>
          <w:p w14:paraId="0A1FD7A4" w14:textId="77777777" w:rsidR="009A3F2A" w:rsidRPr="00092B22" w:rsidRDefault="009A3F2A" w:rsidP="00E607DA">
            <w:pPr>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w:t>
            </w:r>
          </w:p>
        </w:tc>
      </w:tr>
      <w:tr w:rsidR="009A3F2A" w:rsidRPr="00092B22" w14:paraId="2CF60DCC" w14:textId="77777777" w:rsidTr="00E607DA">
        <w:trPr>
          <w:cantSplit/>
          <w:trHeight w:val="23"/>
        </w:trPr>
        <w:tc>
          <w:tcPr>
            <w:tcW w:w="3120" w:type="dxa"/>
            <w:tcBorders>
              <w:top w:val="nil"/>
              <w:left w:val="single" w:sz="8" w:space="0" w:color="auto"/>
              <w:bottom w:val="single" w:sz="8" w:space="0" w:color="auto"/>
              <w:right w:val="single" w:sz="8" w:space="0" w:color="000000"/>
            </w:tcBorders>
            <w:shd w:val="clear" w:color="000000" w:fill="E7E6E6"/>
            <w:noWrap/>
            <w:vAlign w:val="center"/>
            <w:hideMark/>
          </w:tcPr>
          <w:p w14:paraId="60962576" w14:textId="77777777" w:rsidR="009A3F2A" w:rsidRPr="00092B22" w:rsidRDefault="009A3F2A" w:rsidP="00E607DA">
            <w:pP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Intangibles – other</w:t>
            </w:r>
          </w:p>
        </w:tc>
        <w:tc>
          <w:tcPr>
            <w:tcW w:w="3120" w:type="dxa"/>
            <w:tcBorders>
              <w:top w:val="nil"/>
              <w:left w:val="nil"/>
              <w:bottom w:val="single" w:sz="8" w:space="0" w:color="auto"/>
              <w:right w:val="single" w:sz="8" w:space="0" w:color="000000"/>
            </w:tcBorders>
            <w:shd w:val="clear" w:color="000000" w:fill="E7E6E6"/>
            <w:vAlign w:val="center"/>
            <w:hideMark/>
          </w:tcPr>
          <w:p w14:paraId="7B27F968" w14:textId="77777777" w:rsidR="009A3F2A" w:rsidRPr="00092B22" w:rsidRDefault="009A3F2A" w:rsidP="00E607DA">
            <w:pPr>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Not amortised</w:t>
            </w:r>
          </w:p>
        </w:tc>
        <w:tc>
          <w:tcPr>
            <w:tcW w:w="3120" w:type="dxa"/>
            <w:tcBorders>
              <w:top w:val="nil"/>
              <w:left w:val="nil"/>
              <w:bottom w:val="single" w:sz="8" w:space="0" w:color="auto"/>
              <w:right w:val="single" w:sz="8" w:space="0" w:color="000000"/>
            </w:tcBorders>
            <w:shd w:val="clear" w:color="000000" w:fill="E7E6E6"/>
            <w:vAlign w:val="center"/>
            <w:hideMark/>
          </w:tcPr>
          <w:p w14:paraId="4797FDF2" w14:textId="77777777" w:rsidR="009A3F2A" w:rsidRPr="00092B22" w:rsidRDefault="009A3F2A" w:rsidP="00E607DA">
            <w:pPr>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Indefinite life</w:t>
            </w:r>
          </w:p>
        </w:tc>
      </w:tr>
    </w:tbl>
    <w:p w14:paraId="767C1FA0" w14:textId="77777777" w:rsidR="009A3F2A" w:rsidRPr="00092B22" w:rsidRDefault="009A3F2A" w:rsidP="009A3F2A">
      <w:pPr>
        <w:shd w:val="clear" w:color="auto" w:fill="EBEBEB"/>
        <w:spacing w:line="14" w:lineRule="exact"/>
        <w:jc w:val="both"/>
        <w:rPr>
          <w:rFonts w:ascii="Meta Pro" w:eastAsia="Times New Roman" w:hAnsi="Meta Pro"/>
          <w:szCs w:val="18"/>
          <w:lang w:eastAsia="en-AU"/>
        </w:rPr>
      </w:pPr>
    </w:p>
    <w:p w14:paraId="12D63922" w14:textId="77777777" w:rsidR="009A3F2A" w:rsidRPr="00092B22" w:rsidRDefault="009A3F2A" w:rsidP="009A3F2A">
      <w:pPr>
        <w:shd w:val="clear" w:color="auto" w:fill="EBEBEB"/>
        <w:spacing w:before="60"/>
        <w:jc w:val="both"/>
        <w:rPr>
          <w:rFonts w:ascii="Meta Pro" w:eastAsia="Times New Roman" w:hAnsi="Meta Pro"/>
          <w:szCs w:val="18"/>
          <w:lang w:eastAsia="en-AU"/>
        </w:rPr>
        <w:sectPr w:rsidR="009A3F2A" w:rsidRPr="00092B22" w:rsidSect="003A5FC6">
          <w:footerReference w:type="default" r:id="rId136"/>
          <w:pgSz w:w="11906" w:h="16838"/>
          <w:pgMar w:top="232" w:right="1134" w:bottom="0" w:left="1134" w:header="454" w:footer="454" w:gutter="0"/>
          <w:pgNumType w:start="11"/>
          <w:cols w:space="708"/>
          <w:docGrid w:linePitch="360"/>
        </w:sectPr>
      </w:pPr>
      <w:r w:rsidRPr="00092B22">
        <w:rPr>
          <w:rFonts w:ascii="Meta Pro" w:eastAsia="Times New Roman" w:hAnsi="Meta Pro"/>
          <w:szCs w:val="18"/>
          <w:lang w:eastAsia="en-AU"/>
        </w:rPr>
        <w:t>The estimation of useful life and the resulting amortisation rates applied are based on a number of factors including expected usage, obsolescence, past experience and the department's planned replacement program. These are reviewed on an annual basis</w:t>
      </w:r>
      <w:r>
        <w:rPr>
          <w:rFonts w:ascii="Meta Pro" w:eastAsia="Times New Roman" w:hAnsi="Meta Pro"/>
          <w:szCs w:val="18"/>
          <w:lang w:eastAsia="en-AU"/>
        </w:rPr>
        <w:t>.</w:t>
      </w:r>
    </w:p>
    <w:tbl>
      <w:tblPr>
        <w:tblW w:w="0" w:type="auto"/>
        <w:tblCellMar>
          <w:left w:w="0" w:type="dxa"/>
        </w:tblCellMar>
        <w:tblLook w:val="04A0" w:firstRow="1" w:lastRow="0" w:firstColumn="1" w:lastColumn="0" w:noHBand="0" w:noVBand="1"/>
      </w:tblPr>
      <w:tblGrid>
        <w:gridCol w:w="4278"/>
        <w:gridCol w:w="1222"/>
        <w:gridCol w:w="195"/>
        <w:gridCol w:w="1222"/>
        <w:gridCol w:w="195"/>
        <w:gridCol w:w="1222"/>
        <w:gridCol w:w="195"/>
        <w:gridCol w:w="1222"/>
        <w:gridCol w:w="195"/>
        <w:gridCol w:w="1222"/>
        <w:gridCol w:w="195"/>
        <w:gridCol w:w="1222"/>
        <w:gridCol w:w="195"/>
        <w:gridCol w:w="1222"/>
      </w:tblGrid>
      <w:tr w:rsidR="0031548F" w:rsidRPr="00B71ACE" w14:paraId="74CA0FDB" w14:textId="77777777" w:rsidTr="00E607DA">
        <w:trPr>
          <w:trHeight w:val="330"/>
        </w:trPr>
        <w:tc>
          <w:tcPr>
            <w:tcW w:w="198" w:type="dxa"/>
            <w:gridSpan w:val="14"/>
            <w:tcBorders>
              <w:top w:val="nil"/>
              <w:left w:val="nil"/>
              <w:bottom w:val="nil"/>
              <w:right w:val="nil"/>
            </w:tcBorders>
            <w:shd w:val="clear" w:color="auto" w:fill="auto"/>
            <w:noWrap/>
            <w:vAlign w:val="center"/>
            <w:hideMark/>
          </w:tcPr>
          <w:p w14:paraId="1F21F53E" w14:textId="77777777" w:rsidR="0031548F" w:rsidRPr="00B71ACE" w:rsidRDefault="0031548F" w:rsidP="00E607DA">
            <w:pPr>
              <w:rPr>
                <w:rFonts w:ascii="Meta Pro" w:eastAsia="Times New Roman" w:hAnsi="Meta Pro"/>
                <w:b/>
                <w:bCs/>
                <w:sz w:val="20"/>
                <w:szCs w:val="20"/>
                <w:lang w:eastAsia="en-AU"/>
              </w:rPr>
            </w:pPr>
            <w:r w:rsidRPr="00B71ACE">
              <w:rPr>
                <w:rFonts w:ascii="Meta Pro" w:eastAsia="Times New Roman" w:hAnsi="Meta Pro"/>
                <w:b/>
                <w:bCs/>
                <w:sz w:val="20"/>
                <w:szCs w:val="20"/>
                <w:lang w:eastAsia="en-AU"/>
              </w:rPr>
              <w:lastRenderedPageBreak/>
              <w:t>15     PROPERTY, PLANT AND EQUIPMENT</w:t>
            </w:r>
          </w:p>
        </w:tc>
      </w:tr>
      <w:tr w:rsidR="00FC119B" w:rsidRPr="00B71ACE" w14:paraId="49C07105" w14:textId="77777777" w:rsidTr="00E607DA">
        <w:trPr>
          <w:trHeight w:val="90"/>
        </w:trPr>
        <w:tc>
          <w:tcPr>
            <w:tcW w:w="4820" w:type="dxa"/>
            <w:tcBorders>
              <w:top w:val="nil"/>
              <w:left w:val="nil"/>
              <w:bottom w:val="nil"/>
              <w:right w:val="nil"/>
            </w:tcBorders>
            <w:shd w:val="clear" w:color="auto" w:fill="auto"/>
            <w:noWrap/>
            <w:vAlign w:val="center"/>
            <w:hideMark/>
          </w:tcPr>
          <w:p w14:paraId="06CF3794" w14:textId="77777777" w:rsidR="0031548F" w:rsidRPr="00B71ACE" w:rsidRDefault="0031548F" w:rsidP="00E607DA">
            <w:pPr>
              <w:rPr>
                <w:rFonts w:ascii="Meta Pro" w:eastAsia="Times New Roman" w:hAnsi="Meta Pro"/>
                <w:b/>
                <w:bCs/>
                <w:sz w:val="20"/>
                <w:szCs w:val="20"/>
                <w:lang w:eastAsia="en-AU"/>
              </w:rPr>
            </w:pPr>
          </w:p>
        </w:tc>
        <w:tc>
          <w:tcPr>
            <w:tcW w:w="1361" w:type="dxa"/>
            <w:tcBorders>
              <w:top w:val="nil"/>
              <w:left w:val="nil"/>
              <w:bottom w:val="nil"/>
              <w:right w:val="nil"/>
            </w:tcBorders>
            <w:shd w:val="clear" w:color="auto" w:fill="auto"/>
            <w:noWrap/>
            <w:vAlign w:val="center"/>
            <w:hideMark/>
          </w:tcPr>
          <w:p w14:paraId="5693D559" w14:textId="77777777" w:rsidR="0031548F" w:rsidRPr="00B71ACE" w:rsidRDefault="0031548F"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006C9419" w14:textId="77777777" w:rsidR="0031548F" w:rsidRPr="00B71ACE" w:rsidRDefault="0031548F" w:rsidP="00E607DA">
            <w:pP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607A319C" w14:textId="77777777" w:rsidR="0031548F" w:rsidRPr="00B71ACE" w:rsidRDefault="0031548F"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4ACE2628" w14:textId="77777777" w:rsidR="0031548F" w:rsidRPr="00B71ACE" w:rsidRDefault="0031548F" w:rsidP="00E607DA">
            <w:pP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619AB4D4" w14:textId="77777777" w:rsidR="0031548F" w:rsidRPr="00B71ACE" w:rsidRDefault="0031548F"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0718233A" w14:textId="77777777" w:rsidR="0031548F" w:rsidRPr="00B71ACE" w:rsidRDefault="0031548F" w:rsidP="00E607DA">
            <w:pP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440C255D" w14:textId="77777777" w:rsidR="0031548F" w:rsidRPr="00B71ACE" w:rsidRDefault="0031548F"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21022A97" w14:textId="77777777" w:rsidR="0031548F" w:rsidRPr="00B71ACE" w:rsidRDefault="0031548F" w:rsidP="00E607DA">
            <w:pP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6B28B978" w14:textId="77777777" w:rsidR="0031548F" w:rsidRPr="00B71ACE" w:rsidRDefault="0031548F"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14602FE6" w14:textId="77777777" w:rsidR="0031548F" w:rsidRPr="00B71ACE" w:rsidRDefault="0031548F" w:rsidP="00E607DA">
            <w:pP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491A5568" w14:textId="77777777" w:rsidR="0031548F" w:rsidRPr="00B71ACE" w:rsidRDefault="0031548F"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124B623B" w14:textId="77777777" w:rsidR="0031548F" w:rsidRPr="00B71ACE" w:rsidRDefault="0031548F" w:rsidP="00E607DA">
            <w:pP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7104370A" w14:textId="77777777" w:rsidR="0031548F" w:rsidRPr="00B71ACE" w:rsidRDefault="0031548F" w:rsidP="00E607DA">
            <w:pPr>
              <w:rPr>
                <w:rFonts w:ascii="Meta Pro" w:eastAsia="Times New Roman" w:hAnsi="Meta Pro" w:cs="Times New Roman"/>
                <w:sz w:val="20"/>
                <w:szCs w:val="20"/>
                <w:lang w:eastAsia="en-AU"/>
              </w:rPr>
            </w:pPr>
          </w:p>
        </w:tc>
      </w:tr>
      <w:tr w:rsidR="00FC119B" w:rsidRPr="00B71ACE" w14:paraId="765B920D" w14:textId="77777777" w:rsidTr="00E607DA">
        <w:trPr>
          <w:trHeight w:val="23"/>
        </w:trPr>
        <w:tc>
          <w:tcPr>
            <w:tcW w:w="4820" w:type="dxa"/>
            <w:tcBorders>
              <w:top w:val="nil"/>
              <w:left w:val="nil"/>
              <w:bottom w:val="nil"/>
              <w:right w:val="nil"/>
            </w:tcBorders>
            <w:shd w:val="clear" w:color="auto" w:fill="auto"/>
            <w:noWrap/>
            <w:vAlign w:val="center"/>
            <w:hideMark/>
          </w:tcPr>
          <w:p w14:paraId="76BCA65A" w14:textId="77777777" w:rsidR="0031548F" w:rsidRPr="00B71ACE" w:rsidRDefault="0031548F" w:rsidP="00E607DA">
            <w:pP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vAlign w:val="center"/>
            <w:hideMark/>
          </w:tcPr>
          <w:p w14:paraId="3E46CD39" w14:textId="77777777" w:rsidR="0031548F" w:rsidRPr="00B71ACE" w:rsidRDefault="0031548F" w:rsidP="00E607DA">
            <w:pPr>
              <w:jc w:val="center"/>
              <w:rPr>
                <w:rFonts w:ascii="Meta Pro" w:eastAsia="Times New Roman" w:hAnsi="Meta Pro"/>
                <w:b/>
                <w:bCs/>
                <w:sz w:val="16"/>
                <w:szCs w:val="16"/>
                <w:lang w:eastAsia="en-AU"/>
              </w:rPr>
            </w:pPr>
            <w:r w:rsidRPr="00B71ACE">
              <w:rPr>
                <w:rFonts w:ascii="Meta Pro" w:eastAsia="Times New Roman" w:hAnsi="Meta Pro"/>
                <w:b/>
                <w:bCs/>
                <w:sz w:val="16"/>
                <w:szCs w:val="16"/>
                <w:lang w:eastAsia="en-AU"/>
              </w:rPr>
              <w:t>Land</w:t>
            </w:r>
          </w:p>
        </w:tc>
        <w:tc>
          <w:tcPr>
            <w:tcW w:w="198" w:type="dxa"/>
            <w:tcBorders>
              <w:top w:val="nil"/>
              <w:left w:val="nil"/>
              <w:bottom w:val="nil"/>
              <w:right w:val="nil"/>
            </w:tcBorders>
            <w:shd w:val="clear" w:color="auto" w:fill="auto"/>
            <w:vAlign w:val="center"/>
            <w:hideMark/>
          </w:tcPr>
          <w:p w14:paraId="3D3BC75E" w14:textId="77777777" w:rsidR="0031548F" w:rsidRPr="00B71ACE" w:rsidRDefault="0031548F"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vAlign w:val="center"/>
            <w:hideMark/>
          </w:tcPr>
          <w:p w14:paraId="395C3BD0" w14:textId="77777777" w:rsidR="0031548F" w:rsidRPr="00B71ACE" w:rsidRDefault="0031548F" w:rsidP="00E607DA">
            <w:pPr>
              <w:jc w:val="center"/>
              <w:rPr>
                <w:rFonts w:ascii="Meta Pro" w:eastAsia="Times New Roman" w:hAnsi="Meta Pro"/>
                <w:b/>
                <w:bCs/>
                <w:sz w:val="16"/>
                <w:szCs w:val="16"/>
                <w:lang w:eastAsia="en-AU"/>
              </w:rPr>
            </w:pPr>
            <w:r w:rsidRPr="00B71ACE">
              <w:rPr>
                <w:rFonts w:ascii="Meta Pro" w:eastAsia="Times New Roman" w:hAnsi="Meta Pro"/>
                <w:b/>
                <w:bCs/>
                <w:sz w:val="16"/>
                <w:szCs w:val="16"/>
                <w:lang w:eastAsia="en-AU"/>
              </w:rPr>
              <w:t>Buildings</w:t>
            </w:r>
          </w:p>
        </w:tc>
        <w:tc>
          <w:tcPr>
            <w:tcW w:w="198" w:type="dxa"/>
            <w:tcBorders>
              <w:top w:val="nil"/>
              <w:left w:val="nil"/>
              <w:bottom w:val="nil"/>
              <w:right w:val="nil"/>
            </w:tcBorders>
            <w:shd w:val="clear" w:color="auto" w:fill="auto"/>
            <w:vAlign w:val="center"/>
            <w:hideMark/>
          </w:tcPr>
          <w:p w14:paraId="226F6C29" w14:textId="77777777" w:rsidR="0031548F" w:rsidRPr="00B71ACE" w:rsidRDefault="0031548F"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vAlign w:val="center"/>
            <w:hideMark/>
          </w:tcPr>
          <w:p w14:paraId="27953351" w14:textId="77777777" w:rsidR="0031548F" w:rsidRPr="00B71ACE" w:rsidRDefault="0031548F" w:rsidP="00E607DA">
            <w:pPr>
              <w:jc w:val="center"/>
              <w:rPr>
                <w:rFonts w:ascii="Meta Pro" w:eastAsia="Times New Roman" w:hAnsi="Meta Pro"/>
                <w:b/>
                <w:bCs/>
                <w:sz w:val="16"/>
                <w:szCs w:val="16"/>
                <w:lang w:eastAsia="en-AU"/>
              </w:rPr>
            </w:pPr>
            <w:r w:rsidRPr="00B71ACE">
              <w:rPr>
                <w:rFonts w:ascii="Meta Pro" w:eastAsia="Times New Roman" w:hAnsi="Meta Pro"/>
                <w:b/>
                <w:bCs/>
                <w:sz w:val="16"/>
                <w:szCs w:val="16"/>
                <w:lang w:eastAsia="en-AU"/>
              </w:rPr>
              <w:t xml:space="preserve">Plant and </w:t>
            </w:r>
          </w:p>
        </w:tc>
        <w:tc>
          <w:tcPr>
            <w:tcW w:w="198" w:type="dxa"/>
            <w:tcBorders>
              <w:top w:val="nil"/>
              <w:left w:val="nil"/>
              <w:bottom w:val="nil"/>
              <w:right w:val="nil"/>
            </w:tcBorders>
            <w:shd w:val="clear" w:color="auto" w:fill="auto"/>
            <w:vAlign w:val="center"/>
            <w:hideMark/>
          </w:tcPr>
          <w:p w14:paraId="21DE7CC6" w14:textId="77777777" w:rsidR="0031548F" w:rsidRPr="00B71ACE" w:rsidRDefault="0031548F"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vAlign w:val="center"/>
            <w:hideMark/>
          </w:tcPr>
          <w:p w14:paraId="6F65834E" w14:textId="77777777" w:rsidR="0031548F" w:rsidRPr="00B71ACE" w:rsidRDefault="0031548F" w:rsidP="00E607DA">
            <w:pPr>
              <w:jc w:val="center"/>
              <w:rPr>
                <w:rFonts w:ascii="Meta Pro" w:eastAsia="Times New Roman" w:hAnsi="Meta Pro"/>
                <w:b/>
                <w:bCs/>
                <w:sz w:val="16"/>
                <w:szCs w:val="16"/>
                <w:lang w:eastAsia="en-AU"/>
              </w:rPr>
            </w:pPr>
            <w:r w:rsidRPr="00B71ACE">
              <w:rPr>
                <w:rFonts w:ascii="Meta Pro" w:eastAsia="Times New Roman" w:hAnsi="Meta Pro"/>
                <w:b/>
                <w:bCs/>
                <w:sz w:val="16"/>
                <w:szCs w:val="16"/>
                <w:lang w:eastAsia="en-AU"/>
              </w:rPr>
              <w:t>Major plant</w:t>
            </w:r>
          </w:p>
        </w:tc>
        <w:tc>
          <w:tcPr>
            <w:tcW w:w="198" w:type="dxa"/>
            <w:tcBorders>
              <w:top w:val="nil"/>
              <w:left w:val="nil"/>
              <w:bottom w:val="nil"/>
              <w:right w:val="nil"/>
            </w:tcBorders>
            <w:shd w:val="clear" w:color="auto" w:fill="auto"/>
            <w:vAlign w:val="center"/>
            <w:hideMark/>
          </w:tcPr>
          <w:p w14:paraId="246B3D33" w14:textId="77777777" w:rsidR="0031548F" w:rsidRPr="00B71ACE" w:rsidRDefault="0031548F"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vAlign w:val="center"/>
            <w:hideMark/>
          </w:tcPr>
          <w:p w14:paraId="41179CBA" w14:textId="77777777" w:rsidR="0031548F" w:rsidRPr="00B71ACE" w:rsidRDefault="0031548F" w:rsidP="00E607DA">
            <w:pPr>
              <w:jc w:val="center"/>
              <w:rPr>
                <w:rFonts w:ascii="Meta Pro" w:eastAsia="Times New Roman" w:hAnsi="Meta Pro"/>
                <w:b/>
                <w:bCs/>
                <w:sz w:val="16"/>
                <w:szCs w:val="16"/>
                <w:lang w:eastAsia="en-AU"/>
              </w:rPr>
            </w:pPr>
            <w:r w:rsidRPr="00B71ACE">
              <w:rPr>
                <w:rFonts w:ascii="Meta Pro" w:eastAsia="Times New Roman" w:hAnsi="Meta Pro"/>
                <w:b/>
                <w:bCs/>
                <w:sz w:val="16"/>
                <w:szCs w:val="16"/>
                <w:lang w:eastAsia="en-AU"/>
              </w:rPr>
              <w:t>Infrastructure</w:t>
            </w:r>
          </w:p>
        </w:tc>
        <w:tc>
          <w:tcPr>
            <w:tcW w:w="198" w:type="dxa"/>
            <w:tcBorders>
              <w:top w:val="nil"/>
              <w:left w:val="nil"/>
              <w:bottom w:val="nil"/>
              <w:right w:val="nil"/>
            </w:tcBorders>
            <w:shd w:val="clear" w:color="auto" w:fill="auto"/>
            <w:vAlign w:val="center"/>
            <w:hideMark/>
          </w:tcPr>
          <w:p w14:paraId="41E4652F" w14:textId="77777777" w:rsidR="0031548F" w:rsidRPr="00B71ACE" w:rsidRDefault="0031548F"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vAlign w:val="center"/>
            <w:hideMark/>
          </w:tcPr>
          <w:p w14:paraId="720A9F34" w14:textId="77777777" w:rsidR="0031548F" w:rsidRPr="00B71ACE" w:rsidRDefault="0031548F" w:rsidP="00E607DA">
            <w:pPr>
              <w:jc w:val="center"/>
              <w:rPr>
                <w:rFonts w:ascii="Meta Pro" w:eastAsia="Times New Roman" w:hAnsi="Meta Pro"/>
                <w:b/>
                <w:bCs/>
                <w:sz w:val="16"/>
                <w:szCs w:val="16"/>
                <w:lang w:eastAsia="en-AU"/>
              </w:rPr>
            </w:pPr>
            <w:r w:rsidRPr="00B71ACE">
              <w:rPr>
                <w:rFonts w:ascii="Meta Pro" w:eastAsia="Times New Roman" w:hAnsi="Meta Pro"/>
                <w:b/>
                <w:bCs/>
                <w:sz w:val="16"/>
                <w:szCs w:val="16"/>
                <w:lang w:eastAsia="en-AU"/>
              </w:rPr>
              <w:t>Work in</w:t>
            </w:r>
          </w:p>
        </w:tc>
        <w:tc>
          <w:tcPr>
            <w:tcW w:w="198" w:type="dxa"/>
            <w:tcBorders>
              <w:top w:val="nil"/>
              <w:left w:val="nil"/>
              <w:bottom w:val="nil"/>
              <w:right w:val="nil"/>
            </w:tcBorders>
            <w:shd w:val="clear" w:color="auto" w:fill="auto"/>
            <w:vAlign w:val="center"/>
            <w:hideMark/>
          </w:tcPr>
          <w:p w14:paraId="1C8A73A5" w14:textId="77777777" w:rsidR="0031548F" w:rsidRPr="00B71ACE" w:rsidRDefault="0031548F"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vAlign w:val="center"/>
            <w:hideMark/>
          </w:tcPr>
          <w:p w14:paraId="06834E32" w14:textId="77777777" w:rsidR="0031548F" w:rsidRPr="00B71ACE" w:rsidRDefault="0031548F" w:rsidP="00E607DA">
            <w:pPr>
              <w:jc w:val="center"/>
              <w:rPr>
                <w:rFonts w:ascii="Meta Pro" w:eastAsia="Times New Roman" w:hAnsi="Meta Pro"/>
                <w:b/>
                <w:bCs/>
                <w:sz w:val="16"/>
                <w:szCs w:val="16"/>
                <w:lang w:eastAsia="en-AU"/>
              </w:rPr>
            </w:pPr>
            <w:r w:rsidRPr="00B71ACE">
              <w:rPr>
                <w:rFonts w:ascii="Meta Pro" w:eastAsia="Times New Roman" w:hAnsi="Meta Pro"/>
                <w:b/>
                <w:bCs/>
                <w:sz w:val="16"/>
                <w:szCs w:val="16"/>
                <w:lang w:eastAsia="en-AU"/>
              </w:rPr>
              <w:t>Total</w:t>
            </w:r>
          </w:p>
        </w:tc>
      </w:tr>
      <w:tr w:rsidR="00FC119B" w:rsidRPr="00B71ACE" w14:paraId="66E6A557" w14:textId="77777777" w:rsidTr="00E607DA">
        <w:trPr>
          <w:trHeight w:val="23"/>
        </w:trPr>
        <w:tc>
          <w:tcPr>
            <w:tcW w:w="4820" w:type="dxa"/>
            <w:tcBorders>
              <w:top w:val="nil"/>
              <w:left w:val="nil"/>
              <w:bottom w:val="nil"/>
              <w:right w:val="nil"/>
            </w:tcBorders>
            <w:shd w:val="clear" w:color="auto" w:fill="auto"/>
            <w:noWrap/>
            <w:vAlign w:val="center"/>
            <w:hideMark/>
          </w:tcPr>
          <w:p w14:paraId="31FEFE46" w14:textId="77777777" w:rsidR="0031548F" w:rsidRPr="00B71ACE" w:rsidRDefault="0031548F"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vAlign w:val="center"/>
            <w:hideMark/>
          </w:tcPr>
          <w:p w14:paraId="1E6D9F85" w14:textId="77777777" w:rsidR="0031548F" w:rsidRPr="00B71ACE" w:rsidRDefault="0031548F" w:rsidP="00E607DA">
            <w:pPr>
              <w:jc w:val="cente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vAlign w:val="center"/>
            <w:hideMark/>
          </w:tcPr>
          <w:p w14:paraId="6E8D6DDB" w14:textId="77777777" w:rsidR="0031548F" w:rsidRPr="00B71ACE" w:rsidRDefault="0031548F"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vAlign w:val="center"/>
            <w:hideMark/>
          </w:tcPr>
          <w:p w14:paraId="42BC61C5" w14:textId="77777777" w:rsidR="0031548F" w:rsidRPr="00B71ACE" w:rsidRDefault="0031548F" w:rsidP="00E607DA">
            <w:pPr>
              <w:jc w:val="cente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vAlign w:val="center"/>
            <w:hideMark/>
          </w:tcPr>
          <w:p w14:paraId="4FFF9C1B" w14:textId="77777777" w:rsidR="0031548F" w:rsidRPr="00B71ACE" w:rsidRDefault="0031548F"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vAlign w:val="center"/>
            <w:hideMark/>
          </w:tcPr>
          <w:p w14:paraId="1C1493F9" w14:textId="77777777" w:rsidR="0031548F" w:rsidRPr="00B71ACE" w:rsidRDefault="0031548F" w:rsidP="00E607DA">
            <w:pPr>
              <w:jc w:val="center"/>
              <w:rPr>
                <w:rFonts w:ascii="Meta Pro" w:eastAsia="Times New Roman" w:hAnsi="Meta Pro"/>
                <w:b/>
                <w:bCs/>
                <w:sz w:val="16"/>
                <w:szCs w:val="16"/>
                <w:lang w:eastAsia="en-AU"/>
              </w:rPr>
            </w:pPr>
            <w:r w:rsidRPr="00B71ACE">
              <w:rPr>
                <w:rFonts w:ascii="Meta Pro" w:eastAsia="Times New Roman" w:hAnsi="Meta Pro"/>
                <w:b/>
                <w:bCs/>
                <w:sz w:val="16"/>
                <w:szCs w:val="16"/>
                <w:lang w:eastAsia="en-AU"/>
              </w:rPr>
              <w:t>equipment</w:t>
            </w:r>
          </w:p>
        </w:tc>
        <w:tc>
          <w:tcPr>
            <w:tcW w:w="198" w:type="dxa"/>
            <w:tcBorders>
              <w:top w:val="nil"/>
              <w:left w:val="nil"/>
              <w:bottom w:val="nil"/>
              <w:right w:val="nil"/>
            </w:tcBorders>
            <w:shd w:val="clear" w:color="auto" w:fill="auto"/>
            <w:vAlign w:val="center"/>
            <w:hideMark/>
          </w:tcPr>
          <w:p w14:paraId="5C7D7AF7" w14:textId="77777777" w:rsidR="0031548F" w:rsidRPr="00B71ACE" w:rsidRDefault="0031548F"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54E348D2" w14:textId="77777777" w:rsidR="0031548F" w:rsidRPr="00B71ACE" w:rsidRDefault="0031548F" w:rsidP="00E607DA">
            <w:pPr>
              <w:jc w:val="center"/>
              <w:rPr>
                <w:rFonts w:ascii="Meta Pro" w:eastAsia="Times New Roman" w:hAnsi="Meta Pro"/>
                <w:b/>
                <w:bCs/>
                <w:sz w:val="16"/>
                <w:szCs w:val="16"/>
                <w:lang w:eastAsia="en-AU"/>
              </w:rPr>
            </w:pPr>
            <w:r w:rsidRPr="00B71ACE">
              <w:rPr>
                <w:rFonts w:ascii="Meta Pro" w:eastAsia="Times New Roman" w:hAnsi="Meta Pro"/>
                <w:b/>
                <w:bCs/>
                <w:sz w:val="16"/>
                <w:szCs w:val="16"/>
                <w:lang w:eastAsia="en-AU"/>
              </w:rPr>
              <w:t xml:space="preserve"> and</w:t>
            </w:r>
          </w:p>
        </w:tc>
        <w:tc>
          <w:tcPr>
            <w:tcW w:w="198" w:type="dxa"/>
            <w:tcBorders>
              <w:top w:val="nil"/>
              <w:left w:val="nil"/>
              <w:bottom w:val="nil"/>
              <w:right w:val="nil"/>
            </w:tcBorders>
            <w:shd w:val="clear" w:color="auto" w:fill="auto"/>
            <w:vAlign w:val="center"/>
            <w:hideMark/>
          </w:tcPr>
          <w:p w14:paraId="2E6D7A21" w14:textId="77777777" w:rsidR="0031548F" w:rsidRPr="00B71ACE" w:rsidRDefault="0031548F"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vAlign w:val="center"/>
            <w:hideMark/>
          </w:tcPr>
          <w:p w14:paraId="38F315A9" w14:textId="77777777" w:rsidR="0031548F" w:rsidRPr="00B71ACE" w:rsidRDefault="0031548F" w:rsidP="00E607DA">
            <w:pPr>
              <w:jc w:val="center"/>
              <w:rPr>
                <w:rFonts w:ascii="Meta Pro" w:eastAsia="Times New Roman" w:hAnsi="Meta Pro"/>
                <w:b/>
                <w:bCs/>
                <w:sz w:val="16"/>
                <w:szCs w:val="16"/>
                <w:lang w:eastAsia="en-AU"/>
              </w:rPr>
            </w:pPr>
            <w:r w:rsidRPr="00B71ACE">
              <w:rPr>
                <w:rFonts w:ascii="Meta Pro" w:eastAsia="Times New Roman" w:hAnsi="Meta Pro" w:cs="Times New Roman"/>
                <w:b/>
                <w:bCs/>
                <w:sz w:val="16"/>
                <w:szCs w:val="16"/>
                <w:lang w:eastAsia="en-AU"/>
              </w:rPr>
              <w:t>*</w:t>
            </w:r>
            <w:r w:rsidRPr="00B71ACE">
              <w:rPr>
                <w:rFonts w:ascii="Meta Pro" w:eastAsia="Times New Roman" w:hAnsi="Meta Pro"/>
                <w:b/>
                <w:bCs/>
                <w:sz w:val="16"/>
                <w:szCs w:val="16"/>
                <w:lang w:eastAsia="en-AU"/>
              </w:rPr>
              <w:t xml:space="preserve"> **</w:t>
            </w:r>
          </w:p>
        </w:tc>
        <w:tc>
          <w:tcPr>
            <w:tcW w:w="198" w:type="dxa"/>
            <w:tcBorders>
              <w:top w:val="nil"/>
              <w:left w:val="nil"/>
              <w:bottom w:val="nil"/>
              <w:right w:val="nil"/>
            </w:tcBorders>
            <w:shd w:val="clear" w:color="auto" w:fill="auto"/>
            <w:vAlign w:val="center"/>
            <w:hideMark/>
          </w:tcPr>
          <w:p w14:paraId="6092CDC8" w14:textId="77777777" w:rsidR="0031548F" w:rsidRPr="00B71ACE" w:rsidRDefault="0031548F"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vAlign w:val="center"/>
            <w:hideMark/>
          </w:tcPr>
          <w:p w14:paraId="7AED663E" w14:textId="77777777" w:rsidR="0031548F" w:rsidRPr="00B71ACE" w:rsidRDefault="0031548F" w:rsidP="00E607DA">
            <w:pPr>
              <w:jc w:val="center"/>
              <w:rPr>
                <w:rFonts w:ascii="Meta Pro" w:eastAsia="Times New Roman" w:hAnsi="Meta Pro"/>
                <w:b/>
                <w:bCs/>
                <w:sz w:val="16"/>
                <w:szCs w:val="16"/>
                <w:lang w:eastAsia="en-AU"/>
              </w:rPr>
            </w:pPr>
            <w:r w:rsidRPr="00B71ACE">
              <w:rPr>
                <w:rFonts w:ascii="Meta Pro" w:eastAsia="Times New Roman" w:hAnsi="Meta Pro"/>
                <w:b/>
                <w:bCs/>
                <w:sz w:val="16"/>
                <w:szCs w:val="16"/>
                <w:lang w:eastAsia="en-AU"/>
              </w:rPr>
              <w:t>progress</w:t>
            </w:r>
          </w:p>
        </w:tc>
        <w:tc>
          <w:tcPr>
            <w:tcW w:w="198" w:type="dxa"/>
            <w:tcBorders>
              <w:top w:val="nil"/>
              <w:left w:val="nil"/>
              <w:bottom w:val="nil"/>
              <w:right w:val="nil"/>
            </w:tcBorders>
            <w:shd w:val="clear" w:color="auto" w:fill="auto"/>
            <w:vAlign w:val="center"/>
            <w:hideMark/>
          </w:tcPr>
          <w:p w14:paraId="00784AA5" w14:textId="77777777" w:rsidR="0031548F" w:rsidRPr="00B71ACE" w:rsidRDefault="0031548F"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vAlign w:val="center"/>
            <w:hideMark/>
          </w:tcPr>
          <w:p w14:paraId="21D441A2" w14:textId="77777777" w:rsidR="0031548F" w:rsidRPr="00B71ACE" w:rsidRDefault="0031548F" w:rsidP="00E607DA">
            <w:pPr>
              <w:jc w:val="center"/>
              <w:rPr>
                <w:rFonts w:ascii="Meta Pro" w:eastAsia="Times New Roman" w:hAnsi="Meta Pro" w:cs="Times New Roman"/>
                <w:sz w:val="20"/>
                <w:szCs w:val="20"/>
                <w:lang w:eastAsia="en-AU"/>
              </w:rPr>
            </w:pPr>
          </w:p>
        </w:tc>
      </w:tr>
      <w:tr w:rsidR="00FC119B" w:rsidRPr="00B71ACE" w14:paraId="1A3D204D" w14:textId="77777777" w:rsidTr="00E607DA">
        <w:trPr>
          <w:trHeight w:val="23"/>
        </w:trPr>
        <w:tc>
          <w:tcPr>
            <w:tcW w:w="4820" w:type="dxa"/>
            <w:tcBorders>
              <w:top w:val="nil"/>
              <w:left w:val="nil"/>
              <w:bottom w:val="nil"/>
              <w:right w:val="nil"/>
            </w:tcBorders>
            <w:shd w:val="clear" w:color="auto" w:fill="auto"/>
            <w:noWrap/>
            <w:vAlign w:val="center"/>
            <w:hideMark/>
          </w:tcPr>
          <w:p w14:paraId="3961D681" w14:textId="77777777" w:rsidR="0031548F" w:rsidRPr="00B71ACE" w:rsidRDefault="0031548F"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vAlign w:val="center"/>
            <w:hideMark/>
          </w:tcPr>
          <w:p w14:paraId="796EF790" w14:textId="77777777" w:rsidR="0031548F" w:rsidRPr="00B71ACE" w:rsidRDefault="0031548F" w:rsidP="00E607DA">
            <w:pPr>
              <w:jc w:val="cente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vAlign w:val="center"/>
            <w:hideMark/>
          </w:tcPr>
          <w:p w14:paraId="311C5450" w14:textId="77777777" w:rsidR="0031548F" w:rsidRPr="00B71ACE" w:rsidRDefault="0031548F"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vAlign w:val="center"/>
            <w:hideMark/>
          </w:tcPr>
          <w:p w14:paraId="26DB446D" w14:textId="77777777" w:rsidR="0031548F" w:rsidRPr="00B71ACE" w:rsidRDefault="0031548F" w:rsidP="00E607DA">
            <w:pPr>
              <w:jc w:val="cente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vAlign w:val="center"/>
            <w:hideMark/>
          </w:tcPr>
          <w:p w14:paraId="44DCC863" w14:textId="77777777" w:rsidR="0031548F" w:rsidRPr="00B71ACE" w:rsidRDefault="0031548F"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vAlign w:val="center"/>
            <w:hideMark/>
          </w:tcPr>
          <w:p w14:paraId="6500600B" w14:textId="77777777" w:rsidR="0031548F" w:rsidRPr="00B71ACE" w:rsidRDefault="0031548F" w:rsidP="00E607DA">
            <w:pPr>
              <w:jc w:val="cente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vAlign w:val="center"/>
            <w:hideMark/>
          </w:tcPr>
          <w:p w14:paraId="5A717D48" w14:textId="77777777" w:rsidR="0031548F" w:rsidRPr="00B71ACE" w:rsidRDefault="0031548F"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4EE01397" w14:textId="77777777" w:rsidR="0031548F" w:rsidRPr="00B71ACE" w:rsidRDefault="0031548F" w:rsidP="00E607DA">
            <w:pPr>
              <w:jc w:val="center"/>
              <w:rPr>
                <w:rFonts w:ascii="Meta Pro" w:eastAsia="Times New Roman" w:hAnsi="Meta Pro"/>
                <w:b/>
                <w:bCs/>
                <w:sz w:val="16"/>
                <w:szCs w:val="16"/>
                <w:lang w:eastAsia="en-AU"/>
              </w:rPr>
            </w:pPr>
            <w:r w:rsidRPr="00B71ACE">
              <w:rPr>
                <w:rFonts w:ascii="Meta Pro" w:eastAsia="Times New Roman" w:hAnsi="Meta Pro"/>
                <w:b/>
                <w:bCs/>
                <w:sz w:val="16"/>
                <w:szCs w:val="16"/>
                <w:lang w:eastAsia="en-AU"/>
              </w:rPr>
              <w:t>equipment</w:t>
            </w:r>
          </w:p>
        </w:tc>
        <w:tc>
          <w:tcPr>
            <w:tcW w:w="198" w:type="dxa"/>
            <w:tcBorders>
              <w:top w:val="nil"/>
              <w:left w:val="nil"/>
              <w:bottom w:val="nil"/>
              <w:right w:val="nil"/>
            </w:tcBorders>
            <w:shd w:val="clear" w:color="auto" w:fill="auto"/>
            <w:vAlign w:val="center"/>
            <w:hideMark/>
          </w:tcPr>
          <w:p w14:paraId="055C58EF" w14:textId="77777777" w:rsidR="0031548F" w:rsidRPr="00B71ACE" w:rsidRDefault="0031548F"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vAlign w:val="center"/>
            <w:hideMark/>
          </w:tcPr>
          <w:p w14:paraId="42CC6A78" w14:textId="77777777" w:rsidR="0031548F" w:rsidRPr="00B71ACE" w:rsidRDefault="0031548F" w:rsidP="00E607DA">
            <w:pPr>
              <w:jc w:val="cente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vAlign w:val="center"/>
            <w:hideMark/>
          </w:tcPr>
          <w:p w14:paraId="371D466D" w14:textId="77777777" w:rsidR="0031548F" w:rsidRPr="00B71ACE" w:rsidRDefault="0031548F"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vAlign w:val="center"/>
            <w:hideMark/>
          </w:tcPr>
          <w:p w14:paraId="79238C5A" w14:textId="77777777" w:rsidR="0031548F" w:rsidRPr="00B71ACE" w:rsidRDefault="0031548F" w:rsidP="00E607DA">
            <w:pPr>
              <w:jc w:val="cente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vAlign w:val="center"/>
            <w:hideMark/>
          </w:tcPr>
          <w:p w14:paraId="63CC40D8" w14:textId="77777777" w:rsidR="0031548F" w:rsidRPr="00B71ACE" w:rsidRDefault="0031548F"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vAlign w:val="center"/>
            <w:hideMark/>
          </w:tcPr>
          <w:p w14:paraId="2DE08AE4" w14:textId="77777777" w:rsidR="0031548F" w:rsidRPr="00B71ACE" w:rsidRDefault="0031548F" w:rsidP="00E607DA">
            <w:pPr>
              <w:jc w:val="center"/>
              <w:rPr>
                <w:rFonts w:ascii="Meta Pro" w:eastAsia="Times New Roman" w:hAnsi="Meta Pro" w:cs="Times New Roman"/>
                <w:sz w:val="20"/>
                <w:szCs w:val="20"/>
                <w:lang w:eastAsia="en-AU"/>
              </w:rPr>
            </w:pPr>
          </w:p>
        </w:tc>
      </w:tr>
      <w:tr w:rsidR="00FC119B" w:rsidRPr="00B71ACE" w14:paraId="043CE4A2" w14:textId="77777777" w:rsidTr="00E607DA">
        <w:trPr>
          <w:trHeight w:val="23"/>
        </w:trPr>
        <w:tc>
          <w:tcPr>
            <w:tcW w:w="4820" w:type="dxa"/>
            <w:tcBorders>
              <w:top w:val="nil"/>
              <w:left w:val="nil"/>
              <w:bottom w:val="nil"/>
              <w:right w:val="nil"/>
            </w:tcBorders>
            <w:shd w:val="clear" w:color="auto" w:fill="auto"/>
            <w:noWrap/>
            <w:vAlign w:val="center"/>
            <w:hideMark/>
          </w:tcPr>
          <w:p w14:paraId="360CEAC9" w14:textId="77777777" w:rsidR="0031548F" w:rsidRPr="00B71ACE" w:rsidRDefault="0031548F"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2897FF6E" w14:textId="77777777" w:rsidR="0031548F" w:rsidRPr="00B71ACE" w:rsidRDefault="0031548F" w:rsidP="00E607DA">
            <w:pPr>
              <w:jc w:val="center"/>
              <w:rPr>
                <w:rFonts w:ascii="Meta Pro" w:eastAsia="Times New Roman" w:hAnsi="Meta Pro"/>
                <w:b/>
                <w:bCs/>
                <w:sz w:val="16"/>
                <w:szCs w:val="16"/>
                <w:lang w:eastAsia="en-AU"/>
              </w:rPr>
            </w:pPr>
            <w:r w:rsidRPr="00B71ACE">
              <w:rPr>
                <w:rFonts w:ascii="Meta Pro" w:eastAsia="Times New Roman" w:hAnsi="Meta Pro"/>
                <w:b/>
                <w:bCs/>
                <w:sz w:val="16"/>
                <w:szCs w:val="16"/>
                <w:lang w:eastAsia="en-AU"/>
              </w:rPr>
              <w:t>2022</w:t>
            </w:r>
          </w:p>
        </w:tc>
        <w:tc>
          <w:tcPr>
            <w:tcW w:w="198" w:type="dxa"/>
            <w:tcBorders>
              <w:top w:val="nil"/>
              <w:left w:val="nil"/>
              <w:bottom w:val="nil"/>
              <w:right w:val="nil"/>
            </w:tcBorders>
            <w:shd w:val="clear" w:color="auto" w:fill="auto"/>
            <w:noWrap/>
            <w:vAlign w:val="center"/>
            <w:hideMark/>
          </w:tcPr>
          <w:p w14:paraId="6A2EF3B4" w14:textId="77777777" w:rsidR="0031548F" w:rsidRPr="00B71ACE" w:rsidRDefault="0031548F"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26482AF1" w14:textId="77777777" w:rsidR="0031548F" w:rsidRPr="00B71ACE" w:rsidRDefault="0031548F" w:rsidP="00E607DA">
            <w:pPr>
              <w:jc w:val="center"/>
              <w:rPr>
                <w:rFonts w:ascii="Meta Pro" w:eastAsia="Times New Roman" w:hAnsi="Meta Pro"/>
                <w:b/>
                <w:bCs/>
                <w:sz w:val="16"/>
                <w:szCs w:val="16"/>
                <w:lang w:eastAsia="en-AU"/>
              </w:rPr>
            </w:pPr>
            <w:r w:rsidRPr="00B71ACE">
              <w:rPr>
                <w:rFonts w:ascii="Meta Pro" w:eastAsia="Times New Roman" w:hAnsi="Meta Pro"/>
                <w:b/>
                <w:bCs/>
                <w:sz w:val="16"/>
                <w:szCs w:val="16"/>
                <w:lang w:eastAsia="en-AU"/>
              </w:rPr>
              <w:t>2022</w:t>
            </w:r>
          </w:p>
        </w:tc>
        <w:tc>
          <w:tcPr>
            <w:tcW w:w="198" w:type="dxa"/>
            <w:tcBorders>
              <w:top w:val="nil"/>
              <w:left w:val="nil"/>
              <w:bottom w:val="nil"/>
              <w:right w:val="nil"/>
            </w:tcBorders>
            <w:shd w:val="clear" w:color="auto" w:fill="auto"/>
            <w:noWrap/>
            <w:vAlign w:val="center"/>
            <w:hideMark/>
          </w:tcPr>
          <w:p w14:paraId="39A41E44" w14:textId="77777777" w:rsidR="0031548F" w:rsidRPr="00B71ACE" w:rsidRDefault="0031548F"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6829F1D0" w14:textId="77777777" w:rsidR="0031548F" w:rsidRPr="00B71ACE" w:rsidRDefault="0031548F" w:rsidP="00E607DA">
            <w:pPr>
              <w:jc w:val="center"/>
              <w:rPr>
                <w:rFonts w:ascii="Meta Pro" w:eastAsia="Times New Roman" w:hAnsi="Meta Pro"/>
                <w:b/>
                <w:bCs/>
                <w:sz w:val="16"/>
                <w:szCs w:val="16"/>
                <w:lang w:eastAsia="en-AU"/>
              </w:rPr>
            </w:pPr>
            <w:r w:rsidRPr="00B71ACE">
              <w:rPr>
                <w:rFonts w:ascii="Meta Pro" w:eastAsia="Times New Roman" w:hAnsi="Meta Pro"/>
                <w:b/>
                <w:bCs/>
                <w:sz w:val="16"/>
                <w:szCs w:val="16"/>
                <w:lang w:eastAsia="en-AU"/>
              </w:rPr>
              <w:t>2022</w:t>
            </w:r>
          </w:p>
        </w:tc>
        <w:tc>
          <w:tcPr>
            <w:tcW w:w="198" w:type="dxa"/>
            <w:tcBorders>
              <w:top w:val="nil"/>
              <w:left w:val="nil"/>
              <w:bottom w:val="nil"/>
              <w:right w:val="nil"/>
            </w:tcBorders>
            <w:shd w:val="clear" w:color="auto" w:fill="auto"/>
            <w:noWrap/>
            <w:vAlign w:val="center"/>
            <w:hideMark/>
          </w:tcPr>
          <w:p w14:paraId="2C2EB3F9" w14:textId="77777777" w:rsidR="0031548F" w:rsidRPr="00B71ACE" w:rsidRDefault="0031548F"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16BB1128" w14:textId="77777777" w:rsidR="0031548F" w:rsidRPr="00B71ACE" w:rsidRDefault="0031548F" w:rsidP="00E607DA">
            <w:pPr>
              <w:jc w:val="center"/>
              <w:rPr>
                <w:rFonts w:ascii="Meta Pro" w:eastAsia="Times New Roman" w:hAnsi="Meta Pro"/>
                <w:b/>
                <w:bCs/>
                <w:sz w:val="16"/>
                <w:szCs w:val="16"/>
                <w:lang w:eastAsia="en-AU"/>
              </w:rPr>
            </w:pPr>
            <w:r w:rsidRPr="00B71ACE">
              <w:rPr>
                <w:rFonts w:ascii="Meta Pro" w:eastAsia="Times New Roman" w:hAnsi="Meta Pro"/>
                <w:b/>
                <w:bCs/>
                <w:sz w:val="16"/>
                <w:szCs w:val="16"/>
                <w:lang w:eastAsia="en-AU"/>
              </w:rPr>
              <w:t>2022</w:t>
            </w:r>
          </w:p>
        </w:tc>
        <w:tc>
          <w:tcPr>
            <w:tcW w:w="198" w:type="dxa"/>
            <w:tcBorders>
              <w:top w:val="nil"/>
              <w:left w:val="nil"/>
              <w:bottom w:val="nil"/>
              <w:right w:val="nil"/>
            </w:tcBorders>
            <w:shd w:val="clear" w:color="auto" w:fill="auto"/>
            <w:noWrap/>
            <w:vAlign w:val="center"/>
            <w:hideMark/>
          </w:tcPr>
          <w:p w14:paraId="218DD9C4" w14:textId="77777777" w:rsidR="0031548F" w:rsidRPr="00B71ACE" w:rsidRDefault="0031548F"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59E7EA73" w14:textId="77777777" w:rsidR="0031548F" w:rsidRPr="00B71ACE" w:rsidRDefault="0031548F" w:rsidP="00E607DA">
            <w:pPr>
              <w:jc w:val="center"/>
              <w:rPr>
                <w:rFonts w:ascii="Meta Pro" w:eastAsia="Times New Roman" w:hAnsi="Meta Pro"/>
                <w:b/>
                <w:bCs/>
                <w:sz w:val="16"/>
                <w:szCs w:val="16"/>
                <w:lang w:eastAsia="en-AU"/>
              </w:rPr>
            </w:pPr>
            <w:r w:rsidRPr="00B71ACE">
              <w:rPr>
                <w:rFonts w:ascii="Meta Pro" w:eastAsia="Times New Roman" w:hAnsi="Meta Pro"/>
                <w:b/>
                <w:bCs/>
                <w:sz w:val="16"/>
                <w:szCs w:val="16"/>
                <w:lang w:eastAsia="en-AU"/>
              </w:rPr>
              <w:t>2022</w:t>
            </w:r>
          </w:p>
        </w:tc>
        <w:tc>
          <w:tcPr>
            <w:tcW w:w="198" w:type="dxa"/>
            <w:tcBorders>
              <w:top w:val="nil"/>
              <w:left w:val="nil"/>
              <w:bottom w:val="nil"/>
              <w:right w:val="nil"/>
            </w:tcBorders>
            <w:shd w:val="clear" w:color="auto" w:fill="auto"/>
            <w:noWrap/>
            <w:vAlign w:val="center"/>
            <w:hideMark/>
          </w:tcPr>
          <w:p w14:paraId="311A2B19" w14:textId="77777777" w:rsidR="0031548F" w:rsidRPr="00B71ACE" w:rsidRDefault="0031548F"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53F43872" w14:textId="77777777" w:rsidR="0031548F" w:rsidRPr="00B71ACE" w:rsidRDefault="0031548F" w:rsidP="00E607DA">
            <w:pPr>
              <w:jc w:val="center"/>
              <w:rPr>
                <w:rFonts w:ascii="Meta Pro" w:eastAsia="Times New Roman" w:hAnsi="Meta Pro"/>
                <w:b/>
                <w:bCs/>
                <w:sz w:val="16"/>
                <w:szCs w:val="16"/>
                <w:lang w:eastAsia="en-AU"/>
              </w:rPr>
            </w:pPr>
            <w:r w:rsidRPr="00B71ACE">
              <w:rPr>
                <w:rFonts w:ascii="Meta Pro" w:eastAsia="Times New Roman" w:hAnsi="Meta Pro"/>
                <w:b/>
                <w:bCs/>
                <w:sz w:val="16"/>
                <w:szCs w:val="16"/>
                <w:lang w:eastAsia="en-AU"/>
              </w:rPr>
              <w:t>2022</w:t>
            </w:r>
          </w:p>
        </w:tc>
        <w:tc>
          <w:tcPr>
            <w:tcW w:w="198" w:type="dxa"/>
            <w:tcBorders>
              <w:top w:val="nil"/>
              <w:left w:val="nil"/>
              <w:bottom w:val="nil"/>
              <w:right w:val="nil"/>
            </w:tcBorders>
            <w:shd w:val="clear" w:color="auto" w:fill="auto"/>
            <w:noWrap/>
            <w:vAlign w:val="center"/>
            <w:hideMark/>
          </w:tcPr>
          <w:p w14:paraId="5B264980" w14:textId="77777777" w:rsidR="0031548F" w:rsidRPr="00B71ACE" w:rsidRDefault="0031548F"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66DE9667" w14:textId="77777777" w:rsidR="0031548F" w:rsidRPr="00B71ACE" w:rsidRDefault="0031548F" w:rsidP="00E607DA">
            <w:pPr>
              <w:jc w:val="center"/>
              <w:rPr>
                <w:rFonts w:ascii="Meta Pro" w:eastAsia="Times New Roman" w:hAnsi="Meta Pro"/>
                <w:b/>
                <w:bCs/>
                <w:sz w:val="16"/>
                <w:szCs w:val="16"/>
                <w:lang w:eastAsia="en-AU"/>
              </w:rPr>
            </w:pPr>
            <w:r w:rsidRPr="00B71ACE">
              <w:rPr>
                <w:rFonts w:ascii="Meta Pro" w:eastAsia="Times New Roman" w:hAnsi="Meta Pro"/>
                <w:b/>
                <w:bCs/>
                <w:sz w:val="16"/>
                <w:szCs w:val="16"/>
                <w:lang w:eastAsia="en-AU"/>
              </w:rPr>
              <w:t>2022</w:t>
            </w:r>
          </w:p>
        </w:tc>
      </w:tr>
      <w:tr w:rsidR="00FC119B" w:rsidRPr="00B71ACE" w14:paraId="4A26C965" w14:textId="77777777" w:rsidTr="00E607DA">
        <w:trPr>
          <w:trHeight w:val="240"/>
        </w:trPr>
        <w:tc>
          <w:tcPr>
            <w:tcW w:w="4820" w:type="dxa"/>
            <w:tcBorders>
              <w:top w:val="nil"/>
              <w:left w:val="nil"/>
              <w:bottom w:val="nil"/>
              <w:right w:val="nil"/>
            </w:tcBorders>
            <w:shd w:val="clear" w:color="auto" w:fill="auto"/>
            <w:noWrap/>
            <w:vAlign w:val="center"/>
            <w:hideMark/>
          </w:tcPr>
          <w:p w14:paraId="2F1BCDF4" w14:textId="77777777" w:rsidR="0031548F" w:rsidRPr="00B71ACE" w:rsidRDefault="0031548F"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58B8DED5" w14:textId="77777777" w:rsidR="0031548F" w:rsidRPr="00B71ACE" w:rsidRDefault="0031548F" w:rsidP="00E607DA">
            <w:pPr>
              <w:jc w:val="center"/>
              <w:rPr>
                <w:rFonts w:ascii="Meta Pro" w:eastAsia="Times New Roman" w:hAnsi="Meta Pro"/>
                <w:b/>
                <w:bCs/>
                <w:sz w:val="16"/>
                <w:szCs w:val="16"/>
                <w:lang w:eastAsia="en-AU"/>
              </w:rPr>
            </w:pPr>
            <w:r w:rsidRPr="00B71ACE">
              <w:rPr>
                <w:rFonts w:ascii="Meta Pro" w:eastAsia="Times New Roman" w:hAnsi="Meta Pro"/>
                <w:b/>
                <w:bCs/>
                <w:sz w:val="16"/>
                <w:szCs w:val="16"/>
                <w:lang w:eastAsia="en-AU"/>
              </w:rPr>
              <w:t>$'000</w:t>
            </w:r>
          </w:p>
        </w:tc>
        <w:tc>
          <w:tcPr>
            <w:tcW w:w="198" w:type="dxa"/>
            <w:tcBorders>
              <w:top w:val="nil"/>
              <w:left w:val="nil"/>
              <w:bottom w:val="nil"/>
              <w:right w:val="nil"/>
            </w:tcBorders>
            <w:shd w:val="clear" w:color="auto" w:fill="auto"/>
            <w:noWrap/>
            <w:vAlign w:val="center"/>
            <w:hideMark/>
          </w:tcPr>
          <w:p w14:paraId="47497F60" w14:textId="77777777" w:rsidR="0031548F" w:rsidRPr="00B71ACE" w:rsidRDefault="0031548F"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69A8523A" w14:textId="77777777" w:rsidR="0031548F" w:rsidRPr="00B71ACE" w:rsidRDefault="0031548F" w:rsidP="00E607DA">
            <w:pPr>
              <w:jc w:val="center"/>
              <w:rPr>
                <w:rFonts w:ascii="Meta Pro" w:eastAsia="Times New Roman" w:hAnsi="Meta Pro"/>
                <w:b/>
                <w:bCs/>
                <w:sz w:val="16"/>
                <w:szCs w:val="16"/>
                <w:lang w:eastAsia="en-AU"/>
              </w:rPr>
            </w:pPr>
            <w:r w:rsidRPr="00B71ACE">
              <w:rPr>
                <w:rFonts w:ascii="Meta Pro" w:eastAsia="Times New Roman" w:hAnsi="Meta Pro"/>
                <w:b/>
                <w:bCs/>
                <w:sz w:val="16"/>
                <w:szCs w:val="16"/>
                <w:lang w:eastAsia="en-AU"/>
              </w:rPr>
              <w:t>$'000</w:t>
            </w:r>
          </w:p>
        </w:tc>
        <w:tc>
          <w:tcPr>
            <w:tcW w:w="198" w:type="dxa"/>
            <w:tcBorders>
              <w:top w:val="nil"/>
              <w:left w:val="nil"/>
              <w:bottom w:val="nil"/>
              <w:right w:val="nil"/>
            </w:tcBorders>
            <w:shd w:val="clear" w:color="auto" w:fill="auto"/>
            <w:noWrap/>
            <w:vAlign w:val="center"/>
            <w:hideMark/>
          </w:tcPr>
          <w:p w14:paraId="7967586E" w14:textId="77777777" w:rsidR="0031548F" w:rsidRPr="00B71ACE" w:rsidRDefault="0031548F"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0CB85A3E" w14:textId="77777777" w:rsidR="0031548F" w:rsidRPr="00B71ACE" w:rsidRDefault="0031548F" w:rsidP="00E607DA">
            <w:pPr>
              <w:jc w:val="center"/>
              <w:rPr>
                <w:rFonts w:ascii="Meta Pro" w:eastAsia="Times New Roman" w:hAnsi="Meta Pro"/>
                <w:b/>
                <w:bCs/>
                <w:sz w:val="16"/>
                <w:szCs w:val="16"/>
                <w:lang w:eastAsia="en-AU"/>
              </w:rPr>
            </w:pPr>
            <w:r w:rsidRPr="00B71ACE">
              <w:rPr>
                <w:rFonts w:ascii="Meta Pro" w:eastAsia="Times New Roman" w:hAnsi="Meta Pro"/>
                <w:b/>
                <w:bCs/>
                <w:sz w:val="16"/>
                <w:szCs w:val="16"/>
                <w:lang w:eastAsia="en-AU"/>
              </w:rPr>
              <w:t>$'000</w:t>
            </w:r>
          </w:p>
        </w:tc>
        <w:tc>
          <w:tcPr>
            <w:tcW w:w="198" w:type="dxa"/>
            <w:tcBorders>
              <w:top w:val="nil"/>
              <w:left w:val="nil"/>
              <w:bottom w:val="nil"/>
              <w:right w:val="nil"/>
            </w:tcBorders>
            <w:shd w:val="clear" w:color="auto" w:fill="auto"/>
            <w:noWrap/>
            <w:vAlign w:val="center"/>
            <w:hideMark/>
          </w:tcPr>
          <w:p w14:paraId="176AADC1" w14:textId="77777777" w:rsidR="0031548F" w:rsidRPr="00B71ACE" w:rsidRDefault="0031548F"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7298858D" w14:textId="77777777" w:rsidR="0031548F" w:rsidRPr="00B71ACE" w:rsidRDefault="0031548F" w:rsidP="00E607DA">
            <w:pPr>
              <w:jc w:val="center"/>
              <w:rPr>
                <w:rFonts w:ascii="Meta Pro" w:eastAsia="Times New Roman" w:hAnsi="Meta Pro"/>
                <w:b/>
                <w:bCs/>
                <w:sz w:val="16"/>
                <w:szCs w:val="16"/>
                <w:lang w:eastAsia="en-AU"/>
              </w:rPr>
            </w:pPr>
            <w:r w:rsidRPr="00B71ACE">
              <w:rPr>
                <w:rFonts w:ascii="Meta Pro" w:eastAsia="Times New Roman" w:hAnsi="Meta Pro"/>
                <w:b/>
                <w:bCs/>
                <w:sz w:val="16"/>
                <w:szCs w:val="16"/>
                <w:lang w:eastAsia="en-AU"/>
              </w:rPr>
              <w:t>$'000</w:t>
            </w:r>
          </w:p>
        </w:tc>
        <w:tc>
          <w:tcPr>
            <w:tcW w:w="198" w:type="dxa"/>
            <w:tcBorders>
              <w:top w:val="nil"/>
              <w:left w:val="nil"/>
              <w:bottom w:val="nil"/>
              <w:right w:val="nil"/>
            </w:tcBorders>
            <w:shd w:val="clear" w:color="auto" w:fill="auto"/>
            <w:noWrap/>
            <w:vAlign w:val="center"/>
            <w:hideMark/>
          </w:tcPr>
          <w:p w14:paraId="60485427" w14:textId="77777777" w:rsidR="0031548F" w:rsidRPr="00B71ACE" w:rsidRDefault="0031548F"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51D14597" w14:textId="77777777" w:rsidR="0031548F" w:rsidRPr="00B71ACE" w:rsidRDefault="0031548F" w:rsidP="00E607DA">
            <w:pPr>
              <w:jc w:val="center"/>
              <w:rPr>
                <w:rFonts w:ascii="Meta Pro" w:eastAsia="Times New Roman" w:hAnsi="Meta Pro"/>
                <w:b/>
                <w:bCs/>
                <w:sz w:val="16"/>
                <w:szCs w:val="16"/>
                <w:lang w:eastAsia="en-AU"/>
              </w:rPr>
            </w:pPr>
            <w:r w:rsidRPr="00B71ACE">
              <w:rPr>
                <w:rFonts w:ascii="Meta Pro" w:eastAsia="Times New Roman" w:hAnsi="Meta Pro"/>
                <w:b/>
                <w:bCs/>
                <w:sz w:val="16"/>
                <w:szCs w:val="16"/>
                <w:lang w:eastAsia="en-AU"/>
              </w:rPr>
              <w:t>$'000</w:t>
            </w:r>
          </w:p>
        </w:tc>
        <w:tc>
          <w:tcPr>
            <w:tcW w:w="198" w:type="dxa"/>
            <w:tcBorders>
              <w:top w:val="nil"/>
              <w:left w:val="nil"/>
              <w:bottom w:val="nil"/>
              <w:right w:val="nil"/>
            </w:tcBorders>
            <w:shd w:val="clear" w:color="auto" w:fill="auto"/>
            <w:noWrap/>
            <w:vAlign w:val="center"/>
            <w:hideMark/>
          </w:tcPr>
          <w:p w14:paraId="6467A17F" w14:textId="77777777" w:rsidR="0031548F" w:rsidRPr="00B71ACE" w:rsidRDefault="0031548F"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76AB77B3" w14:textId="77777777" w:rsidR="0031548F" w:rsidRPr="00B71ACE" w:rsidRDefault="0031548F" w:rsidP="00E607DA">
            <w:pPr>
              <w:jc w:val="center"/>
              <w:rPr>
                <w:rFonts w:ascii="Meta Pro" w:eastAsia="Times New Roman" w:hAnsi="Meta Pro"/>
                <w:b/>
                <w:bCs/>
                <w:sz w:val="16"/>
                <w:szCs w:val="16"/>
                <w:lang w:eastAsia="en-AU"/>
              </w:rPr>
            </w:pPr>
            <w:r w:rsidRPr="00B71ACE">
              <w:rPr>
                <w:rFonts w:ascii="Meta Pro" w:eastAsia="Times New Roman" w:hAnsi="Meta Pro"/>
                <w:b/>
                <w:bCs/>
                <w:sz w:val="16"/>
                <w:szCs w:val="16"/>
                <w:lang w:eastAsia="en-AU"/>
              </w:rPr>
              <w:t>$'000</w:t>
            </w:r>
          </w:p>
        </w:tc>
        <w:tc>
          <w:tcPr>
            <w:tcW w:w="198" w:type="dxa"/>
            <w:tcBorders>
              <w:top w:val="nil"/>
              <w:left w:val="nil"/>
              <w:bottom w:val="nil"/>
              <w:right w:val="nil"/>
            </w:tcBorders>
            <w:shd w:val="clear" w:color="auto" w:fill="auto"/>
            <w:noWrap/>
            <w:vAlign w:val="center"/>
            <w:hideMark/>
          </w:tcPr>
          <w:p w14:paraId="2B1C03D1" w14:textId="77777777" w:rsidR="0031548F" w:rsidRPr="00B71ACE" w:rsidRDefault="0031548F"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6CCB3114" w14:textId="77777777" w:rsidR="0031548F" w:rsidRPr="00B71ACE" w:rsidRDefault="0031548F" w:rsidP="00E607DA">
            <w:pPr>
              <w:jc w:val="center"/>
              <w:rPr>
                <w:rFonts w:ascii="Meta Pro" w:eastAsia="Times New Roman" w:hAnsi="Meta Pro"/>
                <w:b/>
                <w:bCs/>
                <w:sz w:val="16"/>
                <w:szCs w:val="16"/>
                <w:lang w:eastAsia="en-AU"/>
              </w:rPr>
            </w:pPr>
            <w:r w:rsidRPr="00B71ACE">
              <w:rPr>
                <w:rFonts w:ascii="Meta Pro" w:eastAsia="Times New Roman" w:hAnsi="Meta Pro"/>
                <w:b/>
                <w:bCs/>
                <w:sz w:val="16"/>
                <w:szCs w:val="16"/>
                <w:lang w:eastAsia="en-AU"/>
              </w:rPr>
              <w:t>$'000</w:t>
            </w:r>
          </w:p>
        </w:tc>
      </w:tr>
      <w:tr w:rsidR="00BB6BA7" w:rsidRPr="00B71ACE" w14:paraId="373321CA" w14:textId="77777777" w:rsidTr="00E607DA">
        <w:trPr>
          <w:trHeight w:val="23"/>
        </w:trPr>
        <w:tc>
          <w:tcPr>
            <w:tcW w:w="4820" w:type="dxa"/>
            <w:tcBorders>
              <w:top w:val="nil"/>
              <w:left w:val="nil"/>
              <w:bottom w:val="nil"/>
              <w:right w:val="nil"/>
            </w:tcBorders>
            <w:shd w:val="clear" w:color="auto" w:fill="auto"/>
            <w:vAlign w:val="center"/>
            <w:hideMark/>
          </w:tcPr>
          <w:p w14:paraId="4D090EB8" w14:textId="77777777" w:rsidR="0031548F" w:rsidRPr="00B71ACE" w:rsidRDefault="0031548F" w:rsidP="00E607DA">
            <w:pPr>
              <w:rPr>
                <w:rFonts w:ascii="Meta Pro" w:eastAsia="Times New Roman" w:hAnsi="Meta Pro"/>
                <w:sz w:val="16"/>
                <w:szCs w:val="16"/>
                <w:lang w:eastAsia="en-AU"/>
              </w:rPr>
            </w:pPr>
            <w:r w:rsidRPr="00B71ACE">
              <w:rPr>
                <w:rFonts w:ascii="Meta Pro" w:eastAsia="Times New Roman" w:hAnsi="Meta Pro"/>
                <w:sz w:val="16"/>
                <w:szCs w:val="16"/>
                <w:lang w:eastAsia="en-AU"/>
              </w:rPr>
              <w:t>Gross value</w:t>
            </w:r>
          </w:p>
        </w:tc>
        <w:tc>
          <w:tcPr>
            <w:tcW w:w="1361" w:type="dxa"/>
            <w:tcBorders>
              <w:top w:val="nil"/>
              <w:left w:val="nil"/>
              <w:bottom w:val="nil"/>
              <w:right w:val="nil"/>
            </w:tcBorders>
            <w:shd w:val="clear" w:color="000000" w:fill="C9E3B4"/>
            <w:noWrap/>
            <w:vAlign w:val="center"/>
            <w:hideMark/>
          </w:tcPr>
          <w:p w14:paraId="6F867950"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6,023,069 </w:t>
            </w:r>
          </w:p>
        </w:tc>
        <w:tc>
          <w:tcPr>
            <w:tcW w:w="198" w:type="dxa"/>
            <w:tcBorders>
              <w:top w:val="nil"/>
              <w:left w:val="nil"/>
              <w:bottom w:val="nil"/>
              <w:right w:val="nil"/>
            </w:tcBorders>
            <w:shd w:val="clear" w:color="auto" w:fill="auto"/>
            <w:noWrap/>
            <w:vAlign w:val="center"/>
            <w:hideMark/>
          </w:tcPr>
          <w:p w14:paraId="14E8F56A"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481BA705"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1,108,316 </w:t>
            </w:r>
          </w:p>
        </w:tc>
        <w:tc>
          <w:tcPr>
            <w:tcW w:w="198" w:type="dxa"/>
            <w:tcBorders>
              <w:top w:val="nil"/>
              <w:left w:val="nil"/>
              <w:bottom w:val="nil"/>
              <w:right w:val="nil"/>
            </w:tcBorders>
            <w:shd w:val="clear" w:color="auto" w:fill="auto"/>
            <w:noWrap/>
            <w:vAlign w:val="center"/>
            <w:hideMark/>
          </w:tcPr>
          <w:p w14:paraId="67E3378A"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12D6A957"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679,290 </w:t>
            </w:r>
          </w:p>
        </w:tc>
        <w:tc>
          <w:tcPr>
            <w:tcW w:w="198" w:type="dxa"/>
            <w:tcBorders>
              <w:top w:val="nil"/>
              <w:left w:val="nil"/>
              <w:bottom w:val="nil"/>
              <w:right w:val="nil"/>
            </w:tcBorders>
            <w:shd w:val="clear" w:color="auto" w:fill="auto"/>
            <w:noWrap/>
            <w:vAlign w:val="center"/>
            <w:hideMark/>
          </w:tcPr>
          <w:p w14:paraId="502B19EA"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208DFF66"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1,322,862 </w:t>
            </w:r>
          </w:p>
        </w:tc>
        <w:tc>
          <w:tcPr>
            <w:tcW w:w="198" w:type="dxa"/>
            <w:tcBorders>
              <w:top w:val="nil"/>
              <w:left w:val="nil"/>
              <w:bottom w:val="nil"/>
              <w:right w:val="nil"/>
            </w:tcBorders>
            <w:shd w:val="clear" w:color="auto" w:fill="auto"/>
            <w:noWrap/>
            <w:vAlign w:val="center"/>
            <w:hideMark/>
          </w:tcPr>
          <w:p w14:paraId="028BBA49"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457627E9"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96,904,142 </w:t>
            </w:r>
          </w:p>
        </w:tc>
        <w:tc>
          <w:tcPr>
            <w:tcW w:w="198" w:type="dxa"/>
            <w:tcBorders>
              <w:top w:val="nil"/>
              <w:left w:val="nil"/>
              <w:bottom w:val="nil"/>
              <w:right w:val="nil"/>
            </w:tcBorders>
            <w:shd w:val="clear" w:color="auto" w:fill="auto"/>
            <w:noWrap/>
            <w:vAlign w:val="center"/>
            <w:hideMark/>
          </w:tcPr>
          <w:p w14:paraId="60E5E19F"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6E0D88A5"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5,574,785 </w:t>
            </w:r>
          </w:p>
        </w:tc>
        <w:tc>
          <w:tcPr>
            <w:tcW w:w="198" w:type="dxa"/>
            <w:tcBorders>
              <w:top w:val="nil"/>
              <w:left w:val="nil"/>
              <w:bottom w:val="nil"/>
              <w:right w:val="nil"/>
            </w:tcBorders>
            <w:shd w:val="clear" w:color="auto" w:fill="auto"/>
            <w:noWrap/>
            <w:vAlign w:val="center"/>
            <w:hideMark/>
          </w:tcPr>
          <w:p w14:paraId="184013C3"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6D42D004" w14:textId="77777777" w:rsidR="0031548F" w:rsidRPr="00B71ACE" w:rsidRDefault="0031548F" w:rsidP="00E607DA">
            <w:pPr>
              <w:jc w:val="right"/>
              <w:rPr>
                <w:rFonts w:ascii="Meta Pro" w:eastAsia="Times New Roman" w:hAnsi="Meta Pro"/>
                <w:b/>
                <w:bCs/>
                <w:sz w:val="16"/>
                <w:szCs w:val="16"/>
                <w:lang w:eastAsia="en-AU"/>
              </w:rPr>
            </w:pPr>
            <w:r w:rsidRPr="00B71ACE">
              <w:rPr>
                <w:rFonts w:ascii="Meta Pro" w:eastAsia="Times New Roman" w:hAnsi="Meta Pro"/>
                <w:b/>
                <w:bCs/>
                <w:sz w:val="16"/>
                <w:szCs w:val="16"/>
                <w:lang w:eastAsia="en-AU"/>
              </w:rPr>
              <w:t xml:space="preserve">111,612,464 </w:t>
            </w:r>
          </w:p>
        </w:tc>
      </w:tr>
      <w:tr w:rsidR="00BB6BA7" w:rsidRPr="00B71ACE" w14:paraId="20B0F95F" w14:textId="77777777" w:rsidTr="00E607DA">
        <w:trPr>
          <w:trHeight w:val="23"/>
        </w:trPr>
        <w:tc>
          <w:tcPr>
            <w:tcW w:w="4820" w:type="dxa"/>
            <w:tcBorders>
              <w:top w:val="nil"/>
              <w:left w:val="nil"/>
              <w:bottom w:val="nil"/>
              <w:right w:val="nil"/>
            </w:tcBorders>
            <w:shd w:val="clear" w:color="auto" w:fill="auto"/>
            <w:noWrap/>
            <w:vAlign w:val="center"/>
            <w:hideMark/>
          </w:tcPr>
          <w:p w14:paraId="3FA4116F" w14:textId="77777777" w:rsidR="0031548F" w:rsidRPr="00B71ACE" w:rsidRDefault="0031548F" w:rsidP="00E607DA">
            <w:pPr>
              <w:rPr>
                <w:rFonts w:ascii="Meta Pro" w:eastAsia="Times New Roman" w:hAnsi="Meta Pro"/>
                <w:sz w:val="16"/>
                <w:szCs w:val="16"/>
                <w:lang w:eastAsia="en-AU"/>
              </w:rPr>
            </w:pPr>
            <w:r w:rsidRPr="00B71ACE">
              <w:rPr>
                <w:rFonts w:ascii="Meta Pro" w:eastAsia="Times New Roman" w:hAnsi="Meta Pro"/>
                <w:sz w:val="16"/>
                <w:szCs w:val="16"/>
                <w:lang w:eastAsia="en-AU"/>
              </w:rPr>
              <w:t>Less: Accumulated depreciation</w:t>
            </w:r>
          </w:p>
        </w:tc>
        <w:tc>
          <w:tcPr>
            <w:tcW w:w="1361" w:type="dxa"/>
            <w:tcBorders>
              <w:top w:val="nil"/>
              <w:left w:val="nil"/>
              <w:bottom w:val="nil"/>
              <w:right w:val="nil"/>
            </w:tcBorders>
            <w:shd w:val="clear" w:color="000000" w:fill="C9E3B4"/>
            <w:noWrap/>
            <w:vAlign w:val="center"/>
            <w:hideMark/>
          </w:tcPr>
          <w:p w14:paraId="143D9B01"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1A703A60"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5E7C3383"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(297,630)</w:t>
            </w:r>
          </w:p>
        </w:tc>
        <w:tc>
          <w:tcPr>
            <w:tcW w:w="198" w:type="dxa"/>
            <w:tcBorders>
              <w:top w:val="nil"/>
              <w:left w:val="nil"/>
              <w:bottom w:val="nil"/>
              <w:right w:val="nil"/>
            </w:tcBorders>
            <w:shd w:val="clear" w:color="auto" w:fill="auto"/>
            <w:noWrap/>
            <w:vAlign w:val="center"/>
            <w:hideMark/>
          </w:tcPr>
          <w:p w14:paraId="5DD12319"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3B3C4F3F"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(494,664)</w:t>
            </w:r>
          </w:p>
        </w:tc>
        <w:tc>
          <w:tcPr>
            <w:tcW w:w="198" w:type="dxa"/>
            <w:tcBorders>
              <w:top w:val="nil"/>
              <w:left w:val="nil"/>
              <w:bottom w:val="nil"/>
              <w:right w:val="nil"/>
            </w:tcBorders>
            <w:shd w:val="clear" w:color="auto" w:fill="auto"/>
            <w:noWrap/>
            <w:vAlign w:val="center"/>
            <w:hideMark/>
          </w:tcPr>
          <w:p w14:paraId="13B90393"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3BCAD028"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(153,319)</w:t>
            </w:r>
          </w:p>
        </w:tc>
        <w:tc>
          <w:tcPr>
            <w:tcW w:w="198" w:type="dxa"/>
            <w:tcBorders>
              <w:top w:val="nil"/>
              <w:left w:val="nil"/>
              <w:bottom w:val="nil"/>
              <w:right w:val="nil"/>
            </w:tcBorders>
            <w:shd w:val="clear" w:color="auto" w:fill="auto"/>
            <w:noWrap/>
            <w:vAlign w:val="center"/>
            <w:hideMark/>
          </w:tcPr>
          <w:p w14:paraId="6EA05962"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1891F00D"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(23,667,132)</w:t>
            </w:r>
          </w:p>
        </w:tc>
        <w:tc>
          <w:tcPr>
            <w:tcW w:w="198" w:type="dxa"/>
            <w:tcBorders>
              <w:top w:val="nil"/>
              <w:left w:val="nil"/>
              <w:bottom w:val="nil"/>
              <w:right w:val="nil"/>
            </w:tcBorders>
            <w:shd w:val="clear" w:color="auto" w:fill="auto"/>
            <w:noWrap/>
            <w:vAlign w:val="center"/>
            <w:hideMark/>
          </w:tcPr>
          <w:p w14:paraId="31B2E87B"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378D94A5"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4D8C4F3D"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1AC8B413" w14:textId="77777777" w:rsidR="0031548F" w:rsidRPr="00B71ACE" w:rsidRDefault="0031548F" w:rsidP="00E607DA">
            <w:pPr>
              <w:jc w:val="right"/>
              <w:rPr>
                <w:rFonts w:ascii="Meta Pro" w:eastAsia="Times New Roman" w:hAnsi="Meta Pro"/>
                <w:b/>
                <w:bCs/>
                <w:sz w:val="16"/>
                <w:szCs w:val="16"/>
                <w:lang w:eastAsia="en-AU"/>
              </w:rPr>
            </w:pPr>
            <w:r w:rsidRPr="00B71ACE">
              <w:rPr>
                <w:rFonts w:ascii="Meta Pro" w:eastAsia="Times New Roman" w:hAnsi="Meta Pro"/>
                <w:b/>
                <w:bCs/>
                <w:sz w:val="16"/>
                <w:szCs w:val="16"/>
                <w:lang w:eastAsia="en-AU"/>
              </w:rPr>
              <w:t>(24,612,745)</w:t>
            </w:r>
          </w:p>
        </w:tc>
      </w:tr>
      <w:tr w:rsidR="00BB6BA7" w:rsidRPr="00B71ACE" w14:paraId="53AD75A0" w14:textId="77777777" w:rsidTr="00E607DA">
        <w:trPr>
          <w:trHeight w:val="23"/>
        </w:trPr>
        <w:tc>
          <w:tcPr>
            <w:tcW w:w="4820" w:type="dxa"/>
            <w:tcBorders>
              <w:top w:val="single" w:sz="4" w:space="0" w:color="auto"/>
              <w:left w:val="nil"/>
              <w:bottom w:val="double" w:sz="6" w:space="0" w:color="auto"/>
              <w:right w:val="nil"/>
            </w:tcBorders>
            <w:shd w:val="clear" w:color="auto" w:fill="auto"/>
            <w:noWrap/>
            <w:vAlign w:val="center"/>
            <w:hideMark/>
          </w:tcPr>
          <w:p w14:paraId="405B7B64" w14:textId="77777777" w:rsidR="0031548F" w:rsidRPr="00B71ACE" w:rsidRDefault="0031548F" w:rsidP="00E607DA">
            <w:pPr>
              <w:rPr>
                <w:rFonts w:ascii="Meta Pro" w:eastAsia="Times New Roman" w:hAnsi="Meta Pro"/>
                <w:b/>
                <w:bCs/>
                <w:sz w:val="16"/>
                <w:szCs w:val="16"/>
                <w:lang w:eastAsia="en-AU"/>
              </w:rPr>
            </w:pPr>
            <w:r w:rsidRPr="00B71ACE">
              <w:rPr>
                <w:rFonts w:ascii="Meta Pro" w:eastAsia="Times New Roman" w:hAnsi="Meta Pro"/>
                <w:b/>
                <w:bCs/>
                <w:sz w:val="16"/>
                <w:szCs w:val="16"/>
                <w:lang w:eastAsia="en-AU"/>
              </w:rPr>
              <w:t>Carrying amount at 30 June</w:t>
            </w:r>
          </w:p>
        </w:tc>
        <w:tc>
          <w:tcPr>
            <w:tcW w:w="1361" w:type="dxa"/>
            <w:tcBorders>
              <w:top w:val="single" w:sz="4" w:space="0" w:color="auto"/>
              <w:left w:val="nil"/>
              <w:bottom w:val="double" w:sz="6" w:space="0" w:color="auto"/>
              <w:right w:val="nil"/>
            </w:tcBorders>
            <w:shd w:val="clear" w:color="000000" w:fill="C9E3B4"/>
            <w:noWrap/>
            <w:vAlign w:val="center"/>
            <w:hideMark/>
          </w:tcPr>
          <w:p w14:paraId="109988EB" w14:textId="77777777" w:rsidR="0031548F" w:rsidRPr="00B71ACE" w:rsidRDefault="0031548F" w:rsidP="00E607DA">
            <w:pPr>
              <w:jc w:val="right"/>
              <w:rPr>
                <w:rFonts w:ascii="Meta Pro" w:eastAsia="Times New Roman" w:hAnsi="Meta Pro"/>
                <w:b/>
                <w:bCs/>
                <w:sz w:val="16"/>
                <w:szCs w:val="16"/>
                <w:lang w:eastAsia="en-AU"/>
              </w:rPr>
            </w:pPr>
            <w:r w:rsidRPr="00B71ACE">
              <w:rPr>
                <w:rFonts w:ascii="Meta Pro" w:eastAsia="Times New Roman" w:hAnsi="Meta Pro"/>
                <w:b/>
                <w:bCs/>
                <w:sz w:val="16"/>
                <w:szCs w:val="16"/>
                <w:lang w:eastAsia="en-AU"/>
              </w:rPr>
              <w:t xml:space="preserve">6,023,069 </w:t>
            </w:r>
          </w:p>
        </w:tc>
        <w:tc>
          <w:tcPr>
            <w:tcW w:w="198" w:type="dxa"/>
            <w:tcBorders>
              <w:top w:val="nil"/>
              <w:left w:val="nil"/>
              <w:bottom w:val="nil"/>
              <w:right w:val="nil"/>
            </w:tcBorders>
            <w:shd w:val="clear" w:color="auto" w:fill="auto"/>
            <w:noWrap/>
            <w:vAlign w:val="center"/>
            <w:hideMark/>
          </w:tcPr>
          <w:p w14:paraId="6D264DD3" w14:textId="77777777" w:rsidR="0031548F" w:rsidRPr="00B71ACE" w:rsidRDefault="0031548F" w:rsidP="00E607DA">
            <w:pPr>
              <w:jc w:val="right"/>
              <w:rPr>
                <w:rFonts w:ascii="Meta Pro" w:eastAsia="Times New Roman" w:hAnsi="Meta Pro"/>
                <w:b/>
                <w:bCs/>
                <w:sz w:val="16"/>
                <w:szCs w:val="16"/>
                <w:lang w:eastAsia="en-AU"/>
              </w:rPr>
            </w:pPr>
          </w:p>
        </w:tc>
        <w:tc>
          <w:tcPr>
            <w:tcW w:w="1361" w:type="dxa"/>
            <w:tcBorders>
              <w:top w:val="single" w:sz="4" w:space="0" w:color="auto"/>
              <w:left w:val="nil"/>
              <w:bottom w:val="double" w:sz="6" w:space="0" w:color="auto"/>
              <w:right w:val="nil"/>
            </w:tcBorders>
            <w:shd w:val="clear" w:color="000000" w:fill="C9E3B4"/>
            <w:noWrap/>
            <w:vAlign w:val="center"/>
            <w:hideMark/>
          </w:tcPr>
          <w:p w14:paraId="7184892A" w14:textId="77777777" w:rsidR="0031548F" w:rsidRPr="00B71ACE" w:rsidRDefault="0031548F" w:rsidP="00E607DA">
            <w:pPr>
              <w:jc w:val="right"/>
              <w:rPr>
                <w:rFonts w:ascii="Meta Pro" w:eastAsia="Times New Roman" w:hAnsi="Meta Pro"/>
                <w:b/>
                <w:bCs/>
                <w:sz w:val="16"/>
                <w:szCs w:val="16"/>
                <w:lang w:eastAsia="en-AU"/>
              </w:rPr>
            </w:pPr>
            <w:r w:rsidRPr="00B71ACE">
              <w:rPr>
                <w:rFonts w:ascii="Meta Pro" w:eastAsia="Times New Roman" w:hAnsi="Meta Pro"/>
                <w:b/>
                <w:bCs/>
                <w:sz w:val="16"/>
                <w:szCs w:val="16"/>
                <w:lang w:eastAsia="en-AU"/>
              </w:rPr>
              <w:t xml:space="preserve">810,686 </w:t>
            </w:r>
          </w:p>
        </w:tc>
        <w:tc>
          <w:tcPr>
            <w:tcW w:w="198" w:type="dxa"/>
            <w:tcBorders>
              <w:top w:val="nil"/>
              <w:left w:val="nil"/>
              <w:bottom w:val="nil"/>
              <w:right w:val="nil"/>
            </w:tcBorders>
            <w:shd w:val="clear" w:color="auto" w:fill="auto"/>
            <w:noWrap/>
            <w:vAlign w:val="center"/>
            <w:hideMark/>
          </w:tcPr>
          <w:p w14:paraId="048F17A8" w14:textId="77777777" w:rsidR="0031548F" w:rsidRPr="00B71ACE" w:rsidRDefault="0031548F" w:rsidP="00E607DA">
            <w:pPr>
              <w:jc w:val="right"/>
              <w:rPr>
                <w:rFonts w:ascii="Meta Pro" w:eastAsia="Times New Roman" w:hAnsi="Meta Pro"/>
                <w:b/>
                <w:bCs/>
                <w:sz w:val="16"/>
                <w:szCs w:val="16"/>
                <w:lang w:eastAsia="en-AU"/>
              </w:rPr>
            </w:pPr>
          </w:p>
        </w:tc>
        <w:tc>
          <w:tcPr>
            <w:tcW w:w="1361" w:type="dxa"/>
            <w:tcBorders>
              <w:top w:val="single" w:sz="4" w:space="0" w:color="auto"/>
              <w:left w:val="nil"/>
              <w:bottom w:val="double" w:sz="6" w:space="0" w:color="auto"/>
              <w:right w:val="nil"/>
            </w:tcBorders>
            <w:shd w:val="clear" w:color="000000" w:fill="C9E3B4"/>
            <w:noWrap/>
            <w:vAlign w:val="center"/>
            <w:hideMark/>
          </w:tcPr>
          <w:p w14:paraId="008B4434" w14:textId="77777777" w:rsidR="0031548F" w:rsidRPr="00B71ACE" w:rsidRDefault="0031548F" w:rsidP="00E607DA">
            <w:pPr>
              <w:jc w:val="right"/>
              <w:rPr>
                <w:rFonts w:ascii="Meta Pro" w:eastAsia="Times New Roman" w:hAnsi="Meta Pro"/>
                <w:b/>
                <w:bCs/>
                <w:sz w:val="16"/>
                <w:szCs w:val="16"/>
                <w:lang w:eastAsia="en-AU"/>
              </w:rPr>
            </w:pPr>
            <w:r w:rsidRPr="00B71ACE">
              <w:rPr>
                <w:rFonts w:ascii="Meta Pro" w:eastAsia="Times New Roman" w:hAnsi="Meta Pro"/>
                <w:b/>
                <w:bCs/>
                <w:sz w:val="16"/>
                <w:szCs w:val="16"/>
                <w:lang w:eastAsia="en-AU"/>
              </w:rPr>
              <w:t xml:space="preserve">184,626 </w:t>
            </w:r>
          </w:p>
        </w:tc>
        <w:tc>
          <w:tcPr>
            <w:tcW w:w="198" w:type="dxa"/>
            <w:tcBorders>
              <w:top w:val="nil"/>
              <w:left w:val="nil"/>
              <w:bottom w:val="nil"/>
              <w:right w:val="nil"/>
            </w:tcBorders>
            <w:shd w:val="clear" w:color="auto" w:fill="auto"/>
            <w:noWrap/>
            <w:vAlign w:val="center"/>
            <w:hideMark/>
          </w:tcPr>
          <w:p w14:paraId="79C42CE5" w14:textId="77777777" w:rsidR="0031548F" w:rsidRPr="00B71ACE" w:rsidRDefault="0031548F" w:rsidP="00E607DA">
            <w:pPr>
              <w:jc w:val="right"/>
              <w:rPr>
                <w:rFonts w:ascii="Meta Pro" w:eastAsia="Times New Roman" w:hAnsi="Meta Pro"/>
                <w:b/>
                <w:bCs/>
                <w:sz w:val="16"/>
                <w:szCs w:val="16"/>
                <w:lang w:eastAsia="en-AU"/>
              </w:rPr>
            </w:pPr>
          </w:p>
        </w:tc>
        <w:tc>
          <w:tcPr>
            <w:tcW w:w="1361" w:type="dxa"/>
            <w:tcBorders>
              <w:top w:val="single" w:sz="4" w:space="0" w:color="auto"/>
              <w:left w:val="nil"/>
              <w:bottom w:val="double" w:sz="6" w:space="0" w:color="auto"/>
              <w:right w:val="nil"/>
            </w:tcBorders>
            <w:shd w:val="clear" w:color="000000" w:fill="C9E3B4"/>
            <w:noWrap/>
            <w:vAlign w:val="center"/>
            <w:hideMark/>
          </w:tcPr>
          <w:p w14:paraId="75FB3B42" w14:textId="77777777" w:rsidR="0031548F" w:rsidRPr="00B71ACE" w:rsidRDefault="0031548F" w:rsidP="00E607DA">
            <w:pPr>
              <w:jc w:val="right"/>
              <w:rPr>
                <w:rFonts w:ascii="Meta Pro" w:eastAsia="Times New Roman" w:hAnsi="Meta Pro"/>
                <w:b/>
                <w:bCs/>
                <w:sz w:val="16"/>
                <w:szCs w:val="16"/>
                <w:lang w:eastAsia="en-AU"/>
              </w:rPr>
            </w:pPr>
            <w:r w:rsidRPr="00B71ACE">
              <w:rPr>
                <w:rFonts w:ascii="Meta Pro" w:eastAsia="Times New Roman" w:hAnsi="Meta Pro"/>
                <w:b/>
                <w:bCs/>
                <w:sz w:val="16"/>
                <w:szCs w:val="16"/>
                <w:lang w:eastAsia="en-AU"/>
              </w:rPr>
              <w:t xml:space="preserve">1,169,543 </w:t>
            </w:r>
          </w:p>
        </w:tc>
        <w:tc>
          <w:tcPr>
            <w:tcW w:w="198" w:type="dxa"/>
            <w:tcBorders>
              <w:top w:val="nil"/>
              <w:left w:val="nil"/>
              <w:bottom w:val="nil"/>
              <w:right w:val="nil"/>
            </w:tcBorders>
            <w:shd w:val="clear" w:color="auto" w:fill="auto"/>
            <w:noWrap/>
            <w:vAlign w:val="center"/>
            <w:hideMark/>
          </w:tcPr>
          <w:p w14:paraId="421D5846" w14:textId="77777777" w:rsidR="0031548F" w:rsidRPr="00B71ACE" w:rsidRDefault="0031548F" w:rsidP="00E607DA">
            <w:pPr>
              <w:jc w:val="right"/>
              <w:rPr>
                <w:rFonts w:ascii="Meta Pro" w:eastAsia="Times New Roman" w:hAnsi="Meta Pro"/>
                <w:b/>
                <w:bCs/>
                <w:sz w:val="16"/>
                <w:szCs w:val="16"/>
                <w:lang w:eastAsia="en-AU"/>
              </w:rPr>
            </w:pPr>
          </w:p>
        </w:tc>
        <w:tc>
          <w:tcPr>
            <w:tcW w:w="1361" w:type="dxa"/>
            <w:tcBorders>
              <w:top w:val="single" w:sz="4" w:space="0" w:color="auto"/>
              <w:left w:val="nil"/>
              <w:bottom w:val="double" w:sz="6" w:space="0" w:color="auto"/>
              <w:right w:val="nil"/>
            </w:tcBorders>
            <w:shd w:val="clear" w:color="000000" w:fill="C9E3B4"/>
            <w:noWrap/>
            <w:vAlign w:val="center"/>
            <w:hideMark/>
          </w:tcPr>
          <w:p w14:paraId="7AD054A9" w14:textId="77777777" w:rsidR="0031548F" w:rsidRPr="00B71ACE" w:rsidRDefault="0031548F" w:rsidP="00E607DA">
            <w:pPr>
              <w:jc w:val="right"/>
              <w:rPr>
                <w:rFonts w:ascii="Meta Pro" w:eastAsia="Times New Roman" w:hAnsi="Meta Pro"/>
                <w:b/>
                <w:bCs/>
                <w:sz w:val="16"/>
                <w:szCs w:val="16"/>
                <w:lang w:eastAsia="en-AU"/>
              </w:rPr>
            </w:pPr>
            <w:r w:rsidRPr="00B71ACE">
              <w:rPr>
                <w:rFonts w:ascii="Meta Pro" w:eastAsia="Times New Roman" w:hAnsi="Meta Pro"/>
                <w:b/>
                <w:bCs/>
                <w:sz w:val="16"/>
                <w:szCs w:val="16"/>
                <w:lang w:eastAsia="en-AU"/>
              </w:rPr>
              <w:t xml:space="preserve">73,237,010 </w:t>
            </w:r>
          </w:p>
        </w:tc>
        <w:tc>
          <w:tcPr>
            <w:tcW w:w="198" w:type="dxa"/>
            <w:tcBorders>
              <w:top w:val="nil"/>
              <w:left w:val="nil"/>
              <w:bottom w:val="nil"/>
              <w:right w:val="nil"/>
            </w:tcBorders>
            <w:shd w:val="clear" w:color="auto" w:fill="auto"/>
            <w:noWrap/>
            <w:vAlign w:val="center"/>
            <w:hideMark/>
          </w:tcPr>
          <w:p w14:paraId="254CD26E" w14:textId="77777777" w:rsidR="0031548F" w:rsidRPr="00B71ACE" w:rsidRDefault="0031548F" w:rsidP="00E607DA">
            <w:pPr>
              <w:jc w:val="right"/>
              <w:rPr>
                <w:rFonts w:ascii="Meta Pro" w:eastAsia="Times New Roman" w:hAnsi="Meta Pro"/>
                <w:b/>
                <w:bCs/>
                <w:sz w:val="16"/>
                <w:szCs w:val="16"/>
                <w:lang w:eastAsia="en-AU"/>
              </w:rPr>
            </w:pPr>
          </w:p>
        </w:tc>
        <w:tc>
          <w:tcPr>
            <w:tcW w:w="1361" w:type="dxa"/>
            <w:tcBorders>
              <w:top w:val="single" w:sz="4" w:space="0" w:color="auto"/>
              <w:left w:val="nil"/>
              <w:bottom w:val="double" w:sz="6" w:space="0" w:color="auto"/>
              <w:right w:val="nil"/>
            </w:tcBorders>
            <w:shd w:val="clear" w:color="000000" w:fill="C9E3B4"/>
            <w:noWrap/>
            <w:vAlign w:val="center"/>
            <w:hideMark/>
          </w:tcPr>
          <w:p w14:paraId="0F318355" w14:textId="77777777" w:rsidR="0031548F" w:rsidRPr="00B71ACE" w:rsidRDefault="0031548F" w:rsidP="00E607DA">
            <w:pPr>
              <w:jc w:val="right"/>
              <w:rPr>
                <w:rFonts w:ascii="Meta Pro" w:eastAsia="Times New Roman" w:hAnsi="Meta Pro"/>
                <w:b/>
                <w:bCs/>
                <w:sz w:val="16"/>
                <w:szCs w:val="16"/>
                <w:lang w:eastAsia="en-AU"/>
              </w:rPr>
            </w:pPr>
            <w:r w:rsidRPr="00B71ACE">
              <w:rPr>
                <w:rFonts w:ascii="Meta Pro" w:eastAsia="Times New Roman" w:hAnsi="Meta Pro"/>
                <w:b/>
                <w:bCs/>
                <w:sz w:val="16"/>
                <w:szCs w:val="16"/>
                <w:lang w:eastAsia="en-AU"/>
              </w:rPr>
              <w:t xml:space="preserve">5,574,785 </w:t>
            </w:r>
          </w:p>
        </w:tc>
        <w:tc>
          <w:tcPr>
            <w:tcW w:w="198" w:type="dxa"/>
            <w:tcBorders>
              <w:top w:val="nil"/>
              <w:left w:val="nil"/>
              <w:bottom w:val="nil"/>
              <w:right w:val="nil"/>
            </w:tcBorders>
            <w:shd w:val="clear" w:color="auto" w:fill="auto"/>
            <w:noWrap/>
            <w:vAlign w:val="center"/>
            <w:hideMark/>
          </w:tcPr>
          <w:p w14:paraId="7987FE49" w14:textId="77777777" w:rsidR="0031548F" w:rsidRPr="00B71ACE" w:rsidRDefault="0031548F" w:rsidP="00E607DA">
            <w:pPr>
              <w:jc w:val="right"/>
              <w:rPr>
                <w:rFonts w:ascii="Meta Pro" w:eastAsia="Times New Roman" w:hAnsi="Meta Pro"/>
                <w:b/>
                <w:bCs/>
                <w:sz w:val="16"/>
                <w:szCs w:val="16"/>
                <w:lang w:eastAsia="en-AU"/>
              </w:rPr>
            </w:pPr>
          </w:p>
        </w:tc>
        <w:tc>
          <w:tcPr>
            <w:tcW w:w="1361" w:type="dxa"/>
            <w:tcBorders>
              <w:top w:val="single" w:sz="4" w:space="0" w:color="auto"/>
              <w:left w:val="nil"/>
              <w:bottom w:val="double" w:sz="6" w:space="0" w:color="auto"/>
              <w:right w:val="nil"/>
            </w:tcBorders>
            <w:shd w:val="clear" w:color="000000" w:fill="C9E3B4"/>
            <w:noWrap/>
            <w:vAlign w:val="center"/>
            <w:hideMark/>
          </w:tcPr>
          <w:p w14:paraId="71332F60" w14:textId="77777777" w:rsidR="0031548F" w:rsidRPr="00B71ACE" w:rsidRDefault="0031548F" w:rsidP="00E607DA">
            <w:pPr>
              <w:jc w:val="right"/>
              <w:rPr>
                <w:rFonts w:ascii="Meta Pro" w:eastAsia="Times New Roman" w:hAnsi="Meta Pro"/>
                <w:b/>
                <w:bCs/>
                <w:sz w:val="16"/>
                <w:szCs w:val="16"/>
                <w:lang w:eastAsia="en-AU"/>
              </w:rPr>
            </w:pPr>
            <w:r w:rsidRPr="00B71ACE">
              <w:rPr>
                <w:rFonts w:ascii="Meta Pro" w:eastAsia="Times New Roman" w:hAnsi="Meta Pro"/>
                <w:b/>
                <w:bCs/>
                <w:sz w:val="16"/>
                <w:szCs w:val="16"/>
                <w:lang w:eastAsia="en-AU"/>
              </w:rPr>
              <w:t xml:space="preserve">86,999,719 </w:t>
            </w:r>
          </w:p>
        </w:tc>
      </w:tr>
      <w:tr w:rsidR="00FC119B" w:rsidRPr="00B71ACE" w14:paraId="0392E98E" w14:textId="77777777" w:rsidTr="00E607DA">
        <w:trPr>
          <w:trHeight w:val="23"/>
        </w:trPr>
        <w:tc>
          <w:tcPr>
            <w:tcW w:w="4820" w:type="dxa"/>
            <w:tcBorders>
              <w:top w:val="nil"/>
              <w:left w:val="nil"/>
              <w:bottom w:val="nil"/>
              <w:right w:val="nil"/>
            </w:tcBorders>
            <w:shd w:val="clear" w:color="auto" w:fill="auto"/>
            <w:noWrap/>
            <w:vAlign w:val="center"/>
            <w:hideMark/>
          </w:tcPr>
          <w:p w14:paraId="40866FCA" w14:textId="77777777" w:rsidR="0031548F" w:rsidRPr="00B71ACE" w:rsidRDefault="0031548F" w:rsidP="00E607DA">
            <w:pPr>
              <w:jc w:val="right"/>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007B6B1C" w14:textId="77777777" w:rsidR="0031548F" w:rsidRPr="00B71ACE" w:rsidRDefault="0031548F"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19C8B2AB" w14:textId="77777777" w:rsidR="0031548F" w:rsidRPr="00B71ACE" w:rsidRDefault="0031548F" w:rsidP="00E607DA">
            <w:pP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437B0504" w14:textId="77777777" w:rsidR="0031548F" w:rsidRPr="00B71ACE" w:rsidRDefault="0031548F"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617C46F3" w14:textId="77777777" w:rsidR="0031548F" w:rsidRPr="00B71ACE" w:rsidRDefault="0031548F"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77BACE5C" w14:textId="77777777" w:rsidR="0031548F" w:rsidRPr="00B71ACE" w:rsidRDefault="0031548F"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548BA9D0" w14:textId="77777777" w:rsidR="0031548F" w:rsidRPr="00B71ACE" w:rsidRDefault="0031548F"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0CFE7D49" w14:textId="77777777" w:rsidR="0031548F" w:rsidRPr="00B71ACE" w:rsidRDefault="0031548F"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1A192281" w14:textId="77777777" w:rsidR="0031548F" w:rsidRPr="00B71ACE" w:rsidRDefault="0031548F"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514D5F31" w14:textId="77777777" w:rsidR="0031548F" w:rsidRPr="00B71ACE" w:rsidRDefault="0031548F"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2049BAB6" w14:textId="77777777" w:rsidR="0031548F" w:rsidRPr="00B71ACE" w:rsidRDefault="0031548F"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478C9EC6" w14:textId="77777777" w:rsidR="0031548F" w:rsidRPr="00B71ACE" w:rsidRDefault="0031548F"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78B3F6C8" w14:textId="77777777" w:rsidR="0031548F" w:rsidRPr="00B71ACE" w:rsidRDefault="0031548F"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2B0F433B" w14:textId="77777777" w:rsidR="0031548F" w:rsidRPr="00B71ACE" w:rsidRDefault="0031548F" w:rsidP="00E607DA">
            <w:pPr>
              <w:rPr>
                <w:rFonts w:ascii="Meta Pro" w:eastAsia="Times New Roman" w:hAnsi="Meta Pro" w:cs="Times New Roman"/>
                <w:sz w:val="20"/>
                <w:szCs w:val="20"/>
                <w:lang w:eastAsia="en-AU"/>
              </w:rPr>
            </w:pPr>
          </w:p>
        </w:tc>
      </w:tr>
      <w:tr w:rsidR="00FC119B" w:rsidRPr="00B71ACE" w14:paraId="6A14E4B8" w14:textId="77777777" w:rsidTr="00E607DA">
        <w:trPr>
          <w:trHeight w:val="23"/>
        </w:trPr>
        <w:tc>
          <w:tcPr>
            <w:tcW w:w="4820" w:type="dxa"/>
            <w:tcBorders>
              <w:top w:val="nil"/>
              <w:left w:val="nil"/>
              <w:bottom w:val="nil"/>
              <w:right w:val="nil"/>
            </w:tcBorders>
            <w:shd w:val="clear" w:color="auto" w:fill="auto"/>
            <w:noWrap/>
            <w:vAlign w:val="center"/>
            <w:hideMark/>
          </w:tcPr>
          <w:p w14:paraId="3616AC20" w14:textId="77777777" w:rsidR="0031548F" w:rsidRPr="00B71ACE" w:rsidRDefault="0031548F" w:rsidP="00E607DA">
            <w:pPr>
              <w:rPr>
                <w:rFonts w:ascii="Meta Pro" w:eastAsia="Times New Roman" w:hAnsi="Meta Pro"/>
                <w:b/>
                <w:bCs/>
                <w:sz w:val="16"/>
                <w:szCs w:val="16"/>
                <w:lang w:eastAsia="en-AU"/>
              </w:rPr>
            </w:pPr>
            <w:r w:rsidRPr="00B71ACE">
              <w:rPr>
                <w:rFonts w:ascii="Meta Pro" w:eastAsia="Times New Roman" w:hAnsi="Meta Pro"/>
                <w:b/>
                <w:bCs/>
                <w:sz w:val="16"/>
                <w:szCs w:val="16"/>
                <w:lang w:eastAsia="en-AU"/>
              </w:rPr>
              <w:t>Reconciliation</w:t>
            </w:r>
          </w:p>
        </w:tc>
        <w:tc>
          <w:tcPr>
            <w:tcW w:w="1361" w:type="dxa"/>
            <w:tcBorders>
              <w:top w:val="nil"/>
              <w:left w:val="nil"/>
              <w:bottom w:val="nil"/>
              <w:right w:val="nil"/>
            </w:tcBorders>
            <w:shd w:val="clear" w:color="auto" w:fill="auto"/>
            <w:noWrap/>
            <w:vAlign w:val="center"/>
            <w:hideMark/>
          </w:tcPr>
          <w:p w14:paraId="1ED622AA" w14:textId="77777777" w:rsidR="0031548F" w:rsidRPr="00B71ACE" w:rsidRDefault="0031548F" w:rsidP="00E607DA">
            <w:pPr>
              <w:rPr>
                <w:rFonts w:ascii="Meta Pro" w:eastAsia="Times New Roman" w:hAnsi="Meta Pro"/>
                <w:b/>
                <w:bCs/>
                <w:sz w:val="16"/>
                <w:szCs w:val="16"/>
                <w:lang w:eastAsia="en-AU"/>
              </w:rPr>
            </w:pPr>
          </w:p>
        </w:tc>
        <w:tc>
          <w:tcPr>
            <w:tcW w:w="198" w:type="dxa"/>
            <w:tcBorders>
              <w:top w:val="nil"/>
              <w:left w:val="nil"/>
              <w:bottom w:val="nil"/>
              <w:right w:val="nil"/>
            </w:tcBorders>
            <w:shd w:val="clear" w:color="auto" w:fill="auto"/>
            <w:noWrap/>
            <w:vAlign w:val="center"/>
            <w:hideMark/>
          </w:tcPr>
          <w:p w14:paraId="17FCA1D6" w14:textId="77777777" w:rsidR="0031548F" w:rsidRPr="00B71ACE" w:rsidRDefault="0031548F" w:rsidP="00E607DA">
            <w:pP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51D94C8F" w14:textId="77777777" w:rsidR="0031548F" w:rsidRPr="00B71ACE" w:rsidRDefault="0031548F"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185ADE2C" w14:textId="77777777" w:rsidR="0031548F" w:rsidRPr="00B71ACE" w:rsidRDefault="0031548F"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7109F7C0" w14:textId="77777777" w:rsidR="0031548F" w:rsidRPr="00B71ACE" w:rsidRDefault="0031548F"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267282AD" w14:textId="77777777" w:rsidR="0031548F" w:rsidRPr="00B71ACE" w:rsidRDefault="0031548F"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120BFF7E" w14:textId="77777777" w:rsidR="0031548F" w:rsidRPr="00B71ACE" w:rsidRDefault="0031548F"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715533AD" w14:textId="77777777" w:rsidR="0031548F" w:rsidRPr="00B71ACE" w:rsidRDefault="0031548F"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6CAC68CF" w14:textId="77777777" w:rsidR="0031548F" w:rsidRPr="00B71ACE" w:rsidRDefault="0031548F"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2D3DBBDF" w14:textId="77777777" w:rsidR="0031548F" w:rsidRPr="00B71ACE" w:rsidRDefault="0031548F"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345D186E" w14:textId="77777777" w:rsidR="0031548F" w:rsidRPr="00B71ACE" w:rsidRDefault="0031548F"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727EF333" w14:textId="77777777" w:rsidR="0031548F" w:rsidRPr="00B71ACE" w:rsidRDefault="0031548F"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0B44D10F" w14:textId="77777777" w:rsidR="0031548F" w:rsidRPr="00B71ACE" w:rsidRDefault="0031548F" w:rsidP="00E607DA">
            <w:pPr>
              <w:rPr>
                <w:rFonts w:ascii="Meta Pro" w:eastAsia="Times New Roman" w:hAnsi="Meta Pro" w:cs="Times New Roman"/>
                <w:sz w:val="20"/>
                <w:szCs w:val="20"/>
                <w:lang w:eastAsia="en-AU"/>
              </w:rPr>
            </w:pPr>
          </w:p>
        </w:tc>
      </w:tr>
      <w:tr w:rsidR="00BB6BA7" w:rsidRPr="00B71ACE" w14:paraId="3AE14D93" w14:textId="77777777" w:rsidTr="00E607DA">
        <w:trPr>
          <w:trHeight w:val="23"/>
        </w:trPr>
        <w:tc>
          <w:tcPr>
            <w:tcW w:w="4820" w:type="dxa"/>
            <w:tcBorders>
              <w:top w:val="nil"/>
              <w:left w:val="nil"/>
              <w:bottom w:val="nil"/>
              <w:right w:val="nil"/>
            </w:tcBorders>
            <w:shd w:val="clear" w:color="auto" w:fill="auto"/>
            <w:vAlign w:val="center"/>
            <w:hideMark/>
          </w:tcPr>
          <w:p w14:paraId="3E97507E" w14:textId="77777777" w:rsidR="0031548F" w:rsidRPr="00B71ACE" w:rsidRDefault="0031548F" w:rsidP="00E607DA">
            <w:pPr>
              <w:rPr>
                <w:rFonts w:ascii="Meta Pro" w:eastAsia="Times New Roman" w:hAnsi="Meta Pro"/>
                <w:sz w:val="16"/>
                <w:szCs w:val="16"/>
                <w:lang w:eastAsia="en-AU"/>
              </w:rPr>
            </w:pPr>
            <w:r w:rsidRPr="00B71ACE">
              <w:rPr>
                <w:rFonts w:ascii="Meta Pro" w:eastAsia="Times New Roman" w:hAnsi="Meta Pro"/>
                <w:sz w:val="16"/>
                <w:szCs w:val="16"/>
                <w:lang w:eastAsia="en-AU"/>
              </w:rPr>
              <w:t>Carrying amount at 1 July</w:t>
            </w:r>
          </w:p>
        </w:tc>
        <w:tc>
          <w:tcPr>
            <w:tcW w:w="1361" w:type="dxa"/>
            <w:tcBorders>
              <w:top w:val="nil"/>
              <w:left w:val="nil"/>
              <w:bottom w:val="nil"/>
              <w:right w:val="nil"/>
            </w:tcBorders>
            <w:shd w:val="clear" w:color="000000" w:fill="C9E3B4"/>
            <w:noWrap/>
            <w:vAlign w:val="center"/>
            <w:hideMark/>
          </w:tcPr>
          <w:p w14:paraId="4DF7CFF5"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5,250,177 </w:t>
            </w:r>
          </w:p>
        </w:tc>
        <w:tc>
          <w:tcPr>
            <w:tcW w:w="198" w:type="dxa"/>
            <w:tcBorders>
              <w:top w:val="nil"/>
              <w:left w:val="nil"/>
              <w:bottom w:val="nil"/>
              <w:right w:val="nil"/>
            </w:tcBorders>
            <w:shd w:val="clear" w:color="auto" w:fill="auto"/>
            <w:noWrap/>
            <w:vAlign w:val="center"/>
            <w:hideMark/>
          </w:tcPr>
          <w:p w14:paraId="36F1D035"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75CD51CD"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764,733 </w:t>
            </w:r>
          </w:p>
        </w:tc>
        <w:tc>
          <w:tcPr>
            <w:tcW w:w="198" w:type="dxa"/>
            <w:tcBorders>
              <w:top w:val="nil"/>
              <w:left w:val="nil"/>
              <w:bottom w:val="nil"/>
              <w:right w:val="nil"/>
            </w:tcBorders>
            <w:shd w:val="clear" w:color="auto" w:fill="auto"/>
            <w:noWrap/>
            <w:vAlign w:val="center"/>
            <w:hideMark/>
          </w:tcPr>
          <w:p w14:paraId="60C8096D"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751E806C"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199,372 </w:t>
            </w:r>
          </w:p>
        </w:tc>
        <w:tc>
          <w:tcPr>
            <w:tcW w:w="198" w:type="dxa"/>
            <w:tcBorders>
              <w:top w:val="nil"/>
              <w:left w:val="nil"/>
              <w:bottom w:val="nil"/>
              <w:right w:val="nil"/>
            </w:tcBorders>
            <w:shd w:val="clear" w:color="auto" w:fill="auto"/>
            <w:noWrap/>
            <w:vAlign w:val="center"/>
            <w:hideMark/>
          </w:tcPr>
          <w:p w14:paraId="2E31A9AB"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4246D778"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1,129,823 </w:t>
            </w:r>
          </w:p>
        </w:tc>
        <w:tc>
          <w:tcPr>
            <w:tcW w:w="198" w:type="dxa"/>
            <w:tcBorders>
              <w:top w:val="nil"/>
              <w:left w:val="nil"/>
              <w:bottom w:val="nil"/>
              <w:right w:val="nil"/>
            </w:tcBorders>
            <w:shd w:val="clear" w:color="auto" w:fill="auto"/>
            <w:noWrap/>
            <w:vAlign w:val="center"/>
            <w:hideMark/>
          </w:tcPr>
          <w:p w14:paraId="32C4E1F9"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461DDCF5"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61,106,934 </w:t>
            </w:r>
          </w:p>
        </w:tc>
        <w:tc>
          <w:tcPr>
            <w:tcW w:w="198" w:type="dxa"/>
            <w:tcBorders>
              <w:top w:val="nil"/>
              <w:left w:val="nil"/>
              <w:bottom w:val="nil"/>
              <w:right w:val="nil"/>
            </w:tcBorders>
            <w:shd w:val="clear" w:color="auto" w:fill="auto"/>
            <w:noWrap/>
            <w:vAlign w:val="center"/>
            <w:hideMark/>
          </w:tcPr>
          <w:p w14:paraId="02B27222"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12D12EA3"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6,076,782 </w:t>
            </w:r>
          </w:p>
        </w:tc>
        <w:tc>
          <w:tcPr>
            <w:tcW w:w="198" w:type="dxa"/>
            <w:tcBorders>
              <w:top w:val="nil"/>
              <w:left w:val="nil"/>
              <w:bottom w:val="nil"/>
              <w:right w:val="nil"/>
            </w:tcBorders>
            <w:shd w:val="clear" w:color="auto" w:fill="auto"/>
            <w:noWrap/>
            <w:vAlign w:val="center"/>
            <w:hideMark/>
          </w:tcPr>
          <w:p w14:paraId="7DF6E41A"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0399B5D5" w14:textId="77777777" w:rsidR="0031548F" w:rsidRPr="00B71ACE" w:rsidRDefault="0031548F" w:rsidP="00E607DA">
            <w:pPr>
              <w:jc w:val="right"/>
              <w:rPr>
                <w:rFonts w:ascii="Meta Pro" w:eastAsia="Times New Roman" w:hAnsi="Meta Pro"/>
                <w:b/>
                <w:bCs/>
                <w:sz w:val="16"/>
                <w:szCs w:val="16"/>
                <w:lang w:eastAsia="en-AU"/>
              </w:rPr>
            </w:pPr>
            <w:r w:rsidRPr="00B71ACE">
              <w:rPr>
                <w:rFonts w:ascii="Meta Pro" w:eastAsia="Times New Roman" w:hAnsi="Meta Pro"/>
                <w:b/>
                <w:bCs/>
                <w:sz w:val="16"/>
                <w:szCs w:val="16"/>
                <w:lang w:eastAsia="en-AU"/>
              </w:rPr>
              <w:t xml:space="preserve">74,527,821 </w:t>
            </w:r>
          </w:p>
        </w:tc>
      </w:tr>
      <w:tr w:rsidR="00BB6BA7" w:rsidRPr="00B71ACE" w14:paraId="37DE853A" w14:textId="77777777" w:rsidTr="00E607DA">
        <w:trPr>
          <w:trHeight w:val="23"/>
        </w:trPr>
        <w:tc>
          <w:tcPr>
            <w:tcW w:w="4820" w:type="dxa"/>
            <w:tcBorders>
              <w:top w:val="nil"/>
              <w:left w:val="nil"/>
              <w:bottom w:val="nil"/>
              <w:right w:val="nil"/>
            </w:tcBorders>
            <w:shd w:val="clear" w:color="auto" w:fill="auto"/>
            <w:vAlign w:val="center"/>
            <w:hideMark/>
          </w:tcPr>
          <w:p w14:paraId="7069C5C9" w14:textId="77777777" w:rsidR="0031548F" w:rsidRPr="00B71ACE" w:rsidRDefault="0031548F" w:rsidP="00E607DA">
            <w:pPr>
              <w:rPr>
                <w:rFonts w:ascii="Meta Pro" w:eastAsia="Times New Roman" w:hAnsi="Meta Pro"/>
                <w:sz w:val="16"/>
                <w:szCs w:val="16"/>
                <w:lang w:eastAsia="en-AU"/>
              </w:rPr>
            </w:pPr>
            <w:r w:rsidRPr="00B71ACE">
              <w:rPr>
                <w:rFonts w:ascii="Meta Pro" w:eastAsia="Times New Roman" w:hAnsi="Meta Pro"/>
                <w:sz w:val="16"/>
                <w:szCs w:val="16"/>
                <w:lang w:eastAsia="en-AU"/>
              </w:rPr>
              <w:t>Acquisitions (including upgrades)</w:t>
            </w:r>
          </w:p>
        </w:tc>
        <w:tc>
          <w:tcPr>
            <w:tcW w:w="1361" w:type="dxa"/>
            <w:tcBorders>
              <w:top w:val="nil"/>
              <w:left w:val="nil"/>
              <w:bottom w:val="nil"/>
              <w:right w:val="nil"/>
            </w:tcBorders>
            <w:shd w:val="clear" w:color="000000" w:fill="C9E3B4"/>
            <w:noWrap/>
            <w:vAlign w:val="center"/>
            <w:hideMark/>
          </w:tcPr>
          <w:p w14:paraId="24D59181"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204,348 </w:t>
            </w:r>
          </w:p>
        </w:tc>
        <w:tc>
          <w:tcPr>
            <w:tcW w:w="198" w:type="dxa"/>
            <w:tcBorders>
              <w:top w:val="nil"/>
              <w:left w:val="nil"/>
              <w:bottom w:val="nil"/>
              <w:right w:val="nil"/>
            </w:tcBorders>
            <w:shd w:val="clear" w:color="auto" w:fill="auto"/>
            <w:noWrap/>
            <w:vAlign w:val="center"/>
            <w:hideMark/>
          </w:tcPr>
          <w:p w14:paraId="303BC17B"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7F7A4753"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26,192 </w:t>
            </w:r>
          </w:p>
        </w:tc>
        <w:tc>
          <w:tcPr>
            <w:tcW w:w="198" w:type="dxa"/>
            <w:tcBorders>
              <w:top w:val="nil"/>
              <w:left w:val="nil"/>
              <w:bottom w:val="nil"/>
              <w:right w:val="nil"/>
            </w:tcBorders>
            <w:shd w:val="clear" w:color="auto" w:fill="auto"/>
            <w:noWrap/>
            <w:vAlign w:val="center"/>
            <w:hideMark/>
          </w:tcPr>
          <w:p w14:paraId="110F2B79"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0E037F3A"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16,059 </w:t>
            </w:r>
          </w:p>
        </w:tc>
        <w:tc>
          <w:tcPr>
            <w:tcW w:w="198" w:type="dxa"/>
            <w:tcBorders>
              <w:top w:val="nil"/>
              <w:left w:val="nil"/>
              <w:bottom w:val="nil"/>
              <w:right w:val="nil"/>
            </w:tcBorders>
            <w:shd w:val="clear" w:color="auto" w:fill="auto"/>
            <w:noWrap/>
            <w:vAlign w:val="center"/>
            <w:hideMark/>
          </w:tcPr>
          <w:p w14:paraId="37348560"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74ED7B47"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559F56F7"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5CD82B74"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74 </w:t>
            </w:r>
          </w:p>
        </w:tc>
        <w:tc>
          <w:tcPr>
            <w:tcW w:w="198" w:type="dxa"/>
            <w:tcBorders>
              <w:top w:val="nil"/>
              <w:left w:val="nil"/>
              <w:bottom w:val="nil"/>
              <w:right w:val="nil"/>
            </w:tcBorders>
            <w:shd w:val="clear" w:color="auto" w:fill="auto"/>
            <w:noWrap/>
            <w:vAlign w:val="center"/>
            <w:hideMark/>
          </w:tcPr>
          <w:p w14:paraId="6C07E64B"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061AAD55"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3,650,529 </w:t>
            </w:r>
          </w:p>
        </w:tc>
        <w:tc>
          <w:tcPr>
            <w:tcW w:w="198" w:type="dxa"/>
            <w:tcBorders>
              <w:top w:val="nil"/>
              <w:left w:val="nil"/>
              <w:bottom w:val="nil"/>
              <w:right w:val="nil"/>
            </w:tcBorders>
            <w:shd w:val="clear" w:color="auto" w:fill="auto"/>
            <w:noWrap/>
            <w:vAlign w:val="center"/>
            <w:hideMark/>
          </w:tcPr>
          <w:p w14:paraId="48784083"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484FC8FE" w14:textId="77777777" w:rsidR="0031548F" w:rsidRPr="00B71ACE" w:rsidRDefault="0031548F" w:rsidP="00E607DA">
            <w:pPr>
              <w:jc w:val="right"/>
              <w:rPr>
                <w:rFonts w:ascii="Meta Pro" w:eastAsia="Times New Roman" w:hAnsi="Meta Pro"/>
                <w:b/>
                <w:bCs/>
                <w:sz w:val="16"/>
                <w:szCs w:val="16"/>
                <w:lang w:eastAsia="en-AU"/>
              </w:rPr>
            </w:pPr>
            <w:r w:rsidRPr="00B71ACE">
              <w:rPr>
                <w:rFonts w:ascii="Meta Pro" w:eastAsia="Times New Roman" w:hAnsi="Meta Pro"/>
                <w:b/>
                <w:bCs/>
                <w:sz w:val="16"/>
                <w:szCs w:val="16"/>
                <w:lang w:eastAsia="en-AU"/>
              </w:rPr>
              <w:t xml:space="preserve">3,897,202 </w:t>
            </w:r>
          </w:p>
        </w:tc>
      </w:tr>
      <w:tr w:rsidR="00BB6BA7" w:rsidRPr="00B71ACE" w14:paraId="1D4B8C33" w14:textId="77777777" w:rsidTr="00E607DA">
        <w:trPr>
          <w:trHeight w:val="23"/>
        </w:trPr>
        <w:tc>
          <w:tcPr>
            <w:tcW w:w="4820" w:type="dxa"/>
            <w:tcBorders>
              <w:top w:val="nil"/>
              <w:left w:val="nil"/>
              <w:bottom w:val="nil"/>
              <w:right w:val="nil"/>
            </w:tcBorders>
            <w:shd w:val="clear" w:color="auto" w:fill="auto"/>
            <w:noWrap/>
            <w:vAlign w:val="center"/>
            <w:hideMark/>
          </w:tcPr>
          <w:p w14:paraId="6EA9CA73" w14:textId="77777777" w:rsidR="0031548F" w:rsidRPr="00B71ACE" w:rsidRDefault="0031548F" w:rsidP="00E607DA">
            <w:pPr>
              <w:rPr>
                <w:rFonts w:ascii="Meta Pro" w:eastAsia="Times New Roman" w:hAnsi="Meta Pro"/>
                <w:sz w:val="16"/>
                <w:szCs w:val="16"/>
                <w:lang w:eastAsia="en-AU"/>
              </w:rPr>
            </w:pPr>
            <w:r w:rsidRPr="00B71ACE">
              <w:rPr>
                <w:rFonts w:ascii="Meta Pro" w:eastAsia="Times New Roman" w:hAnsi="Meta Pro"/>
                <w:sz w:val="16"/>
                <w:szCs w:val="16"/>
                <w:lang w:eastAsia="en-AU"/>
              </w:rPr>
              <w:t>Assets received at below fair value</w:t>
            </w:r>
          </w:p>
        </w:tc>
        <w:tc>
          <w:tcPr>
            <w:tcW w:w="1361" w:type="dxa"/>
            <w:tcBorders>
              <w:top w:val="nil"/>
              <w:left w:val="nil"/>
              <w:bottom w:val="nil"/>
              <w:right w:val="nil"/>
            </w:tcBorders>
            <w:shd w:val="clear" w:color="000000" w:fill="C9E3B4"/>
            <w:noWrap/>
            <w:vAlign w:val="center"/>
            <w:hideMark/>
          </w:tcPr>
          <w:p w14:paraId="02C88974"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9,676 </w:t>
            </w:r>
          </w:p>
        </w:tc>
        <w:tc>
          <w:tcPr>
            <w:tcW w:w="198" w:type="dxa"/>
            <w:tcBorders>
              <w:top w:val="nil"/>
              <w:left w:val="nil"/>
              <w:bottom w:val="nil"/>
              <w:right w:val="nil"/>
            </w:tcBorders>
            <w:shd w:val="clear" w:color="auto" w:fill="auto"/>
            <w:noWrap/>
            <w:vAlign w:val="center"/>
            <w:hideMark/>
          </w:tcPr>
          <w:p w14:paraId="624DDB5D"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5FE56FC7"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25 </w:t>
            </w:r>
          </w:p>
        </w:tc>
        <w:tc>
          <w:tcPr>
            <w:tcW w:w="198" w:type="dxa"/>
            <w:tcBorders>
              <w:top w:val="nil"/>
              <w:left w:val="nil"/>
              <w:bottom w:val="nil"/>
              <w:right w:val="nil"/>
            </w:tcBorders>
            <w:shd w:val="clear" w:color="auto" w:fill="auto"/>
            <w:noWrap/>
            <w:vAlign w:val="center"/>
            <w:hideMark/>
          </w:tcPr>
          <w:p w14:paraId="7FFE12D6"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51258B03"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2852C1E4"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09E50C77"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331BF365"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52552C14"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59,643 </w:t>
            </w:r>
          </w:p>
        </w:tc>
        <w:tc>
          <w:tcPr>
            <w:tcW w:w="198" w:type="dxa"/>
            <w:tcBorders>
              <w:top w:val="nil"/>
              <w:left w:val="nil"/>
              <w:bottom w:val="nil"/>
              <w:right w:val="nil"/>
            </w:tcBorders>
            <w:shd w:val="clear" w:color="auto" w:fill="auto"/>
            <w:noWrap/>
            <w:vAlign w:val="center"/>
            <w:hideMark/>
          </w:tcPr>
          <w:p w14:paraId="2888D28F"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240282E1"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2,232 </w:t>
            </w:r>
          </w:p>
        </w:tc>
        <w:tc>
          <w:tcPr>
            <w:tcW w:w="198" w:type="dxa"/>
            <w:tcBorders>
              <w:top w:val="nil"/>
              <w:left w:val="nil"/>
              <w:bottom w:val="nil"/>
              <w:right w:val="nil"/>
            </w:tcBorders>
            <w:shd w:val="clear" w:color="auto" w:fill="auto"/>
            <w:noWrap/>
            <w:vAlign w:val="center"/>
            <w:hideMark/>
          </w:tcPr>
          <w:p w14:paraId="0F63BDCB"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0074D63D" w14:textId="77777777" w:rsidR="0031548F" w:rsidRPr="00B71ACE" w:rsidRDefault="0031548F" w:rsidP="00E607DA">
            <w:pPr>
              <w:jc w:val="right"/>
              <w:rPr>
                <w:rFonts w:ascii="Meta Pro" w:eastAsia="Times New Roman" w:hAnsi="Meta Pro"/>
                <w:b/>
                <w:bCs/>
                <w:sz w:val="16"/>
                <w:szCs w:val="16"/>
                <w:lang w:eastAsia="en-AU"/>
              </w:rPr>
            </w:pPr>
            <w:r w:rsidRPr="00B71ACE">
              <w:rPr>
                <w:rFonts w:ascii="Meta Pro" w:eastAsia="Times New Roman" w:hAnsi="Meta Pro"/>
                <w:b/>
                <w:bCs/>
                <w:sz w:val="16"/>
                <w:szCs w:val="16"/>
                <w:lang w:eastAsia="en-AU"/>
              </w:rPr>
              <w:t xml:space="preserve">71,576 </w:t>
            </w:r>
          </w:p>
        </w:tc>
      </w:tr>
      <w:tr w:rsidR="00BB6BA7" w:rsidRPr="00B71ACE" w14:paraId="14634D50" w14:textId="77777777" w:rsidTr="00E607DA">
        <w:trPr>
          <w:trHeight w:val="23"/>
        </w:trPr>
        <w:tc>
          <w:tcPr>
            <w:tcW w:w="4820" w:type="dxa"/>
            <w:tcBorders>
              <w:top w:val="nil"/>
              <w:left w:val="nil"/>
              <w:bottom w:val="nil"/>
              <w:right w:val="nil"/>
            </w:tcBorders>
            <w:shd w:val="clear" w:color="auto" w:fill="auto"/>
            <w:noWrap/>
            <w:vAlign w:val="center"/>
            <w:hideMark/>
          </w:tcPr>
          <w:p w14:paraId="764E302E" w14:textId="77777777" w:rsidR="0031548F" w:rsidRPr="00B71ACE" w:rsidRDefault="0031548F" w:rsidP="00E607DA">
            <w:pPr>
              <w:rPr>
                <w:rFonts w:ascii="Meta Pro" w:eastAsia="Times New Roman" w:hAnsi="Meta Pro"/>
                <w:sz w:val="16"/>
                <w:szCs w:val="16"/>
                <w:lang w:eastAsia="en-AU"/>
              </w:rPr>
            </w:pPr>
            <w:r w:rsidRPr="00B71ACE">
              <w:rPr>
                <w:rFonts w:ascii="Meta Pro" w:eastAsia="Times New Roman" w:hAnsi="Meta Pro"/>
                <w:sz w:val="16"/>
                <w:szCs w:val="16"/>
                <w:lang w:eastAsia="en-AU"/>
              </w:rPr>
              <w:t>Transfers from/(to) other Queensland Government entities</w:t>
            </w:r>
          </w:p>
        </w:tc>
        <w:tc>
          <w:tcPr>
            <w:tcW w:w="1361" w:type="dxa"/>
            <w:tcBorders>
              <w:top w:val="nil"/>
              <w:left w:val="nil"/>
              <w:bottom w:val="nil"/>
              <w:right w:val="nil"/>
            </w:tcBorders>
            <w:shd w:val="clear" w:color="000000" w:fill="C9E3B4"/>
            <w:noWrap/>
            <w:vAlign w:val="center"/>
            <w:hideMark/>
          </w:tcPr>
          <w:p w14:paraId="309B4E22"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(19,037)</w:t>
            </w:r>
          </w:p>
        </w:tc>
        <w:tc>
          <w:tcPr>
            <w:tcW w:w="198" w:type="dxa"/>
            <w:tcBorders>
              <w:top w:val="nil"/>
              <w:left w:val="nil"/>
              <w:bottom w:val="nil"/>
              <w:right w:val="nil"/>
            </w:tcBorders>
            <w:shd w:val="clear" w:color="auto" w:fill="auto"/>
            <w:noWrap/>
            <w:vAlign w:val="center"/>
            <w:hideMark/>
          </w:tcPr>
          <w:p w14:paraId="5111427F"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1E30DB4E"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5359F8A8"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3DA51D26"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025C05AA"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1F51E97B"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2476D94C"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7E7AF945"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5,056 </w:t>
            </w:r>
          </w:p>
        </w:tc>
        <w:tc>
          <w:tcPr>
            <w:tcW w:w="198" w:type="dxa"/>
            <w:tcBorders>
              <w:top w:val="nil"/>
              <w:left w:val="nil"/>
              <w:bottom w:val="nil"/>
              <w:right w:val="nil"/>
            </w:tcBorders>
            <w:shd w:val="clear" w:color="auto" w:fill="auto"/>
            <w:noWrap/>
            <w:vAlign w:val="center"/>
            <w:hideMark/>
          </w:tcPr>
          <w:p w14:paraId="4EB9C2E7"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4776F50E"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39A3EB75"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608CCB62" w14:textId="77777777" w:rsidR="0031548F" w:rsidRPr="00B71ACE" w:rsidRDefault="0031548F" w:rsidP="00E607DA">
            <w:pPr>
              <w:jc w:val="right"/>
              <w:rPr>
                <w:rFonts w:ascii="Meta Pro" w:eastAsia="Times New Roman" w:hAnsi="Meta Pro"/>
                <w:b/>
                <w:bCs/>
                <w:sz w:val="16"/>
                <w:szCs w:val="16"/>
                <w:lang w:eastAsia="en-AU"/>
              </w:rPr>
            </w:pPr>
            <w:r w:rsidRPr="00B71ACE">
              <w:rPr>
                <w:rFonts w:ascii="Meta Pro" w:eastAsia="Times New Roman" w:hAnsi="Meta Pro"/>
                <w:b/>
                <w:bCs/>
                <w:sz w:val="16"/>
                <w:szCs w:val="16"/>
                <w:lang w:eastAsia="en-AU"/>
              </w:rPr>
              <w:t>(13,981)</w:t>
            </w:r>
          </w:p>
        </w:tc>
      </w:tr>
      <w:tr w:rsidR="00BB6BA7" w:rsidRPr="00B71ACE" w14:paraId="5C73C271" w14:textId="77777777" w:rsidTr="00E607DA">
        <w:trPr>
          <w:trHeight w:val="23"/>
        </w:trPr>
        <w:tc>
          <w:tcPr>
            <w:tcW w:w="4820" w:type="dxa"/>
            <w:tcBorders>
              <w:top w:val="nil"/>
              <w:left w:val="nil"/>
              <w:bottom w:val="nil"/>
              <w:right w:val="nil"/>
            </w:tcBorders>
            <w:shd w:val="clear" w:color="auto" w:fill="auto"/>
            <w:noWrap/>
            <w:vAlign w:val="center"/>
            <w:hideMark/>
          </w:tcPr>
          <w:p w14:paraId="4099C051" w14:textId="77777777" w:rsidR="0031548F" w:rsidRPr="00B71ACE" w:rsidRDefault="0031548F" w:rsidP="00E607DA">
            <w:pPr>
              <w:rPr>
                <w:rFonts w:ascii="Meta Pro" w:eastAsia="Times New Roman" w:hAnsi="Meta Pro"/>
                <w:sz w:val="16"/>
                <w:szCs w:val="16"/>
                <w:lang w:eastAsia="en-AU"/>
              </w:rPr>
            </w:pPr>
            <w:r w:rsidRPr="00B71ACE">
              <w:rPr>
                <w:rFonts w:ascii="Meta Pro" w:eastAsia="Times New Roman" w:hAnsi="Meta Pro"/>
                <w:sz w:val="16"/>
                <w:szCs w:val="16"/>
                <w:lang w:eastAsia="en-AU"/>
              </w:rPr>
              <w:lastRenderedPageBreak/>
              <w:t>Transfers between classes</w:t>
            </w:r>
          </w:p>
        </w:tc>
        <w:tc>
          <w:tcPr>
            <w:tcW w:w="1361" w:type="dxa"/>
            <w:tcBorders>
              <w:top w:val="nil"/>
              <w:left w:val="nil"/>
              <w:bottom w:val="nil"/>
              <w:right w:val="nil"/>
            </w:tcBorders>
            <w:shd w:val="clear" w:color="000000" w:fill="C9E3B4"/>
            <w:noWrap/>
            <w:vAlign w:val="center"/>
            <w:hideMark/>
          </w:tcPr>
          <w:p w14:paraId="6573BD7D"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24394AFD"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44FE98F0"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763DFE89"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435AB552"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9,712 </w:t>
            </w:r>
          </w:p>
        </w:tc>
        <w:tc>
          <w:tcPr>
            <w:tcW w:w="198" w:type="dxa"/>
            <w:tcBorders>
              <w:top w:val="nil"/>
              <w:left w:val="nil"/>
              <w:bottom w:val="nil"/>
              <w:right w:val="nil"/>
            </w:tcBorders>
            <w:shd w:val="clear" w:color="auto" w:fill="auto"/>
            <w:noWrap/>
            <w:vAlign w:val="center"/>
            <w:hideMark/>
          </w:tcPr>
          <w:p w14:paraId="09EAE5D5"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137FC418"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63,716 </w:t>
            </w:r>
          </w:p>
        </w:tc>
        <w:tc>
          <w:tcPr>
            <w:tcW w:w="198" w:type="dxa"/>
            <w:tcBorders>
              <w:top w:val="nil"/>
              <w:left w:val="nil"/>
              <w:bottom w:val="nil"/>
              <w:right w:val="nil"/>
            </w:tcBorders>
            <w:shd w:val="clear" w:color="auto" w:fill="auto"/>
            <w:noWrap/>
            <w:vAlign w:val="center"/>
            <w:hideMark/>
          </w:tcPr>
          <w:p w14:paraId="27928A89"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3BD97DFD"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4,081,330 </w:t>
            </w:r>
          </w:p>
        </w:tc>
        <w:tc>
          <w:tcPr>
            <w:tcW w:w="198" w:type="dxa"/>
            <w:tcBorders>
              <w:top w:val="nil"/>
              <w:left w:val="nil"/>
              <w:bottom w:val="nil"/>
              <w:right w:val="nil"/>
            </w:tcBorders>
            <w:shd w:val="clear" w:color="auto" w:fill="auto"/>
            <w:noWrap/>
            <w:vAlign w:val="center"/>
            <w:hideMark/>
          </w:tcPr>
          <w:p w14:paraId="21C3330C"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588A088F"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(4,154,758)</w:t>
            </w:r>
          </w:p>
        </w:tc>
        <w:tc>
          <w:tcPr>
            <w:tcW w:w="198" w:type="dxa"/>
            <w:tcBorders>
              <w:top w:val="nil"/>
              <w:left w:val="nil"/>
              <w:bottom w:val="nil"/>
              <w:right w:val="nil"/>
            </w:tcBorders>
            <w:shd w:val="clear" w:color="auto" w:fill="auto"/>
            <w:noWrap/>
            <w:vAlign w:val="center"/>
            <w:hideMark/>
          </w:tcPr>
          <w:p w14:paraId="42772E71"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713D6C61" w14:textId="77777777" w:rsidR="0031548F" w:rsidRPr="00B71ACE" w:rsidRDefault="0031548F" w:rsidP="00E607DA">
            <w:pPr>
              <w:jc w:val="right"/>
              <w:rPr>
                <w:rFonts w:ascii="Meta Pro" w:eastAsia="Times New Roman" w:hAnsi="Meta Pro"/>
                <w:b/>
                <w:bCs/>
                <w:sz w:val="16"/>
                <w:szCs w:val="16"/>
                <w:lang w:eastAsia="en-AU"/>
              </w:rPr>
            </w:pPr>
            <w:r w:rsidRPr="00B71ACE">
              <w:rPr>
                <w:rFonts w:ascii="Meta Pro" w:eastAsia="Times New Roman" w:hAnsi="Meta Pro"/>
                <w:b/>
                <w:bCs/>
                <w:sz w:val="16"/>
                <w:szCs w:val="16"/>
                <w:lang w:eastAsia="en-AU"/>
              </w:rPr>
              <w:t xml:space="preserve">- </w:t>
            </w:r>
          </w:p>
        </w:tc>
      </w:tr>
      <w:tr w:rsidR="00BB6BA7" w:rsidRPr="00B71ACE" w14:paraId="388E53A4" w14:textId="77777777" w:rsidTr="00E607DA">
        <w:trPr>
          <w:trHeight w:val="23"/>
        </w:trPr>
        <w:tc>
          <w:tcPr>
            <w:tcW w:w="4820" w:type="dxa"/>
            <w:tcBorders>
              <w:top w:val="nil"/>
              <w:left w:val="nil"/>
              <w:bottom w:val="nil"/>
              <w:right w:val="nil"/>
            </w:tcBorders>
            <w:shd w:val="clear" w:color="auto" w:fill="auto"/>
            <w:noWrap/>
            <w:vAlign w:val="center"/>
            <w:hideMark/>
          </w:tcPr>
          <w:p w14:paraId="5FF756F8" w14:textId="77777777" w:rsidR="0031548F" w:rsidRPr="00B71ACE" w:rsidRDefault="0031548F" w:rsidP="00E607DA">
            <w:pPr>
              <w:rPr>
                <w:rFonts w:ascii="Meta Pro" w:eastAsia="Times New Roman" w:hAnsi="Meta Pro"/>
                <w:sz w:val="16"/>
                <w:szCs w:val="16"/>
                <w:lang w:eastAsia="en-AU"/>
              </w:rPr>
            </w:pPr>
            <w:r w:rsidRPr="00B71ACE">
              <w:rPr>
                <w:rFonts w:ascii="Meta Pro" w:eastAsia="Times New Roman" w:hAnsi="Meta Pro"/>
                <w:sz w:val="16"/>
                <w:szCs w:val="16"/>
                <w:lang w:eastAsia="en-AU"/>
              </w:rPr>
              <w:t>Transfers from intangibles</w:t>
            </w:r>
          </w:p>
        </w:tc>
        <w:tc>
          <w:tcPr>
            <w:tcW w:w="1361" w:type="dxa"/>
            <w:tcBorders>
              <w:top w:val="nil"/>
              <w:left w:val="nil"/>
              <w:bottom w:val="nil"/>
              <w:right w:val="nil"/>
            </w:tcBorders>
            <w:shd w:val="clear" w:color="000000" w:fill="C9E3B4"/>
            <w:noWrap/>
            <w:vAlign w:val="center"/>
            <w:hideMark/>
          </w:tcPr>
          <w:p w14:paraId="2ED053D8"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092D4097"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2813A065"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13FD1DBB"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706A5D02"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409 </w:t>
            </w:r>
          </w:p>
        </w:tc>
        <w:tc>
          <w:tcPr>
            <w:tcW w:w="198" w:type="dxa"/>
            <w:tcBorders>
              <w:top w:val="nil"/>
              <w:left w:val="nil"/>
              <w:bottom w:val="nil"/>
              <w:right w:val="nil"/>
            </w:tcBorders>
            <w:shd w:val="clear" w:color="auto" w:fill="auto"/>
            <w:noWrap/>
            <w:vAlign w:val="center"/>
            <w:hideMark/>
          </w:tcPr>
          <w:p w14:paraId="3B7EF9E8"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11460D94"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4783A781"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20BDD74F"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2DF9A434"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5D1D22B3"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41C915A1"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5A4F8AD8" w14:textId="77777777" w:rsidR="0031548F" w:rsidRPr="00B71ACE" w:rsidRDefault="0031548F" w:rsidP="00E607DA">
            <w:pPr>
              <w:jc w:val="right"/>
              <w:rPr>
                <w:rFonts w:ascii="Meta Pro" w:eastAsia="Times New Roman" w:hAnsi="Meta Pro"/>
                <w:b/>
                <w:bCs/>
                <w:sz w:val="16"/>
                <w:szCs w:val="16"/>
                <w:lang w:eastAsia="en-AU"/>
              </w:rPr>
            </w:pPr>
            <w:r w:rsidRPr="00B71ACE">
              <w:rPr>
                <w:rFonts w:ascii="Meta Pro" w:eastAsia="Times New Roman" w:hAnsi="Meta Pro"/>
                <w:b/>
                <w:bCs/>
                <w:sz w:val="16"/>
                <w:szCs w:val="16"/>
                <w:lang w:eastAsia="en-AU"/>
              </w:rPr>
              <w:t xml:space="preserve">409 </w:t>
            </w:r>
          </w:p>
        </w:tc>
      </w:tr>
      <w:tr w:rsidR="00BB6BA7" w:rsidRPr="00B71ACE" w14:paraId="6E85F2BB" w14:textId="77777777" w:rsidTr="00E607DA">
        <w:trPr>
          <w:trHeight w:val="23"/>
        </w:trPr>
        <w:tc>
          <w:tcPr>
            <w:tcW w:w="4820" w:type="dxa"/>
            <w:tcBorders>
              <w:top w:val="nil"/>
              <w:left w:val="nil"/>
              <w:bottom w:val="nil"/>
              <w:right w:val="nil"/>
            </w:tcBorders>
            <w:shd w:val="clear" w:color="auto" w:fill="auto"/>
            <w:noWrap/>
            <w:vAlign w:val="center"/>
            <w:hideMark/>
          </w:tcPr>
          <w:p w14:paraId="472B85E2" w14:textId="77777777" w:rsidR="0031548F" w:rsidRPr="00B71ACE" w:rsidRDefault="0031548F" w:rsidP="00E607DA">
            <w:pPr>
              <w:rPr>
                <w:rFonts w:ascii="Meta Pro" w:eastAsia="Times New Roman" w:hAnsi="Meta Pro"/>
                <w:sz w:val="16"/>
                <w:szCs w:val="16"/>
                <w:lang w:eastAsia="en-AU"/>
              </w:rPr>
            </w:pPr>
            <w:r w:rsidRPr="00B71ACE">
              <w:rPr>
                <w:rFonts w:ascii="Meta Pro" w:eastAsia="Times New Roman" w:hAnsi="Meta Pro"/>
                <w:sz w:val="16"/>
                <w:szCs w:val="16"/>
                <w:lang w:eastAsia="en-AU"/>
              </w:rPr>
              <w:t>Disposals</w:t>
            </w:r>
          </w:p>
        </w:tc>
        <w:tc>
          <w:tcPr>
            <w:tcW w:w="1361" w:type="dxa"/>
            <w:tcBorders>
              <w:top w:val="nil"/>
              <w:left w:val="nil"/>
              <w:bottom w:val="nil"/>
              <w:right w:val="nil"/>
            </w:tcBorders>
            <w:shd w:val="clear" w:color="000000" w:fill="C9E3B4"/>
            <w:noWrap/>
            <w:vAlign w:val="center"/>
            <w:hideMark/>
          </w:tcPr>
          <w:p w14:paraId="6BBBF7A1"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2517D519"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1E56F26E"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(128)</w:t>
            </w:r>
          </w:p>
        </w:tc>
        <w:tc>
          <w:tcPr>
            <w:tcW w:w="198" w:type="dxa"/>
            <w:tcBorders>
              <w:top w:val="nil"/>
              <w:left w:val="nil"/>
              <w:bottom w:val="nil"/>
              <w:right w:val="nil"/>
            </w:tcBorders>
            <w:shd w:val="clear" w:color="auto" w:fill="auto"/>
            <w:noWrap/>
            <w:vAlign w:val="center"/>
            <w:hideMark/>
          </w:tcPr>
          <w:p w14:paraId="089F3158"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5E34A61A"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(1,632)</w:t>
            </w:r>
          </w:p>
        </w:tc>
        <w:tc>
          <w:tcPr>
            <w:tcW w:w="198" w:type="dxa"/>
            <w:tcBorders>
              <w:top w:val="nil"/>
              <w:left w:val="nil"/>
              <w:bottom w:val="nil"/>
              <w:right w:val="nil"/>
            </w:tcBorders>
            <w:shd w:val="clear" w:color="auto" w:fill="auto"/>
            <w:noWrap/>
            <w:vAlign w:val="center"/>
            <w:hideMark/>
          </w:tcPr>
          <w:p w14:paraId="24D528EF"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20902B79"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55E081D8"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20E220D9"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(2,989)</w:t>
            </w:r>
          </w:p>
        </w:tc>
        <w:tc>
          <w:tcPr>
            <w:tcW w:w="198" w:type="dxa"/>
            <w:tcBorders>
              <w:top w:val="nil"/>
              <w:left w:val="nil"/>
              <w:bottom w:val="nil"/>
              <w:right w:val="nil"/>
            </w:tcBorders>
            <w:shd w:val="clear" w:color="auto" w:fill="auto"/>
            <w:noWrap/>
            <w:vAlign w:val="center"/>
            <w:hideMark/>
          </w:tcPr>
          <w:p w14:paraId="1E12F575"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585F4E10"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5B429D5E"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259C0C05" w14:textId="77777777" w:rsidR="0031548F" w:rsidRPr="00B71ACE" w:rsidRDefault="0031548F" w:rsidP="00E607DA">
            <w:pPr>
              <w:jc w:val="right"/>
              <w:rPr>
                <w:rFonts w:ascii="Meta Pro" w:eastAsia="Times New Roman" w:hAnsi="Meta Pro"/>
                <w:b/>
                <w:bCs/>
                <w:sz w:val="16"/>
                <w:szCs w:val="16"/>
                <w:lang w:eastAsia="en-AU"/>
              </w:rPr>
            </w:pPr>
            <w:r w:rsidRPr="00B71ACE">
              <w:rPr>
                <w:rFonts w:ascii="Meta Pro" w:eastAsia="Times New Roman" w:hAnsi="Meta Pro"/>
                <w:b/>
                <w:bCs/>
                <w:sz w:val="16"/>
                <w:szCs w:val="16"/>
                <w:lang w:eastAsia="en-AU"/>
              </w:rPr>
              <w:t>(4,749)</w:t>
            </w:r>
          </w:p>
        </w:tc>
      </w:tr>
      <w:tr w:rsidR="00BB6BA7" w:rsidRPr="00B71ACE" w14:paraId="4C6AB532" w14:textId="77777777" w:rsidTr="00E607DA">
        <w:trPr>
          <w:trHeight w:val="23"/>
        </w:trPr>
        <w:tc>
          <w:tcPr>
            <w:tcW w:w="4820" w:type="dxa"/>
            <w:tcBorders>
              <w:top w:val="nil"/>
              <w:left w:val="nil"/>
              <w:bottom w:val="nil"/>
              <w:right w:val="nil"/>
            </w:tcBorders>
            <w:shd w:val="clear" w:color="auto" w:fill="auto"/>
            <w:vAlign w:val="center"/>
            <w:hideMark/>
          </w:tcPr>
          <w:p w14:paraId="23BDE4C0" w14:textId="77777777" w:rsidR="0031548F" w:rsidRPr="00B71ACE" w:rsidRDefault="0031548F" w:rsidP="00E607DA">
            <w:pPr>
              <w:rPr>
                <w:rFonts w:ascii="Meta Pro" w:eastAsia="Times New Roman" w:hAnsi="Meta Pro"/>
                <w:sz w:val="16"/>
                <w:szCs w:val="16"/>
                <w:lang w:eastAsia="en-AU"/>
              </w:rPr>
            </w:pPr>
            <w:r w:rsidRPr="00B71ACE">
              <w:rPr>
                <w:rFonts w:ascii="Meta Pro" w:eastAsia="Times New Roman" w:hAnsi="Meta Pro"/>
                <w:sz w:val="16"/>
                <w:szCs w:val="16"/>
                <w:lang w:eastAsia="en-AU"/>
              </w:rPr>
              <w:t>Assets provided to third parties at below fair value</w:t>
            </w:r>
          </w:p>
        </w:tc>
        <w:tc>
          <w:tcPr>
            <w:tcW w:w="1361" w:type="dxa"/>
            <w:tcBorders>
              <w:top w:val="nil"/>
              <w:left w:val="nil"/>
              <w:bottom w:val="nil"/>
              <w:right w:val="nil"/>
            </w:tcBorders>
            <w:shd w:val="clear" w:color="000000" w:fill="C9E3B4"/>
            <w:noWrap/>
            <w:vAlign w:val="center"/>
            <w:hideMark/>
          </w:tcPr>
          <w:p w14:paraId="46FD541E"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7F90EFD7"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764E0F5A"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2BAFE077"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1542F6F2"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450860DB"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6D787B36"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421BB5A9"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3C14F5BA"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(64,742)</w:t>
            </w:r>
          </w:p>
        </w:tc>
        <w:tc>
          <w:tcPr>
            <w:tcW w:w="198" w:type="dxa"/>
            <w:tcBorders>
              <w:top w:val="nil"/>
              <w:left w:val="nil"/>
              <w:bottom w:val="nil"/>
              <w:right w:val="nil"/>
            </w:tcBorders>
            <w:shd w:val="clear" w:color="auto" w:fill="auto"/>
            <w:noWrap/>
            <w:vAlign w:val="center"/>
            <w:hideMark/>
          </w:tcPr>
          <w:p w14:paraId="0B23B88A"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746B430C"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51F8170C"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35991295" w14:textId="77777777" w:rsidR="0031548F" w:rsidRPr="00B71ACE" w:rsidRDefault="0031548F" w:rsidP="00E607DA">
            <w:pPr>
              <w:jc w:val="right"/>
              <w:rPr>
                <w:rFonts w:ascii="Meta Pro" w:eastAsia="Times New Roman" w:hAnsi="Meta Pro"/>
                <w:b/>
                <w:bCs/>
                <w:sz w:val="16"/>
                <w:szCs w:val="16"/>
                <w:lang w:eastAsia="en-AU"/>
              </w:rPr>
            </w:pPr>
            <w:r w:rsidRPr="00B71ACE">
              <w:rPr>
                <w:rFonts w:ascii="Meta Pro" w:eastAsia="Times New Roman" w:hAnsi="Meta Pro"/>
                <w:b/>
                <w:bCs/>
                <w:sz w:val="16"/>
                <w:szCs w:val="16"/>
                <w:lang w:eastAsia="en-AU"/>
              </w:rPr>
              <w:t>(64,742)</w:t>
            </w:r>
          </w:p>
        </w:tc>
      </w:tr>
      <w:tr w:rsidR="00BB6BA7" w:rsidRPr="00B71ACE" w14:paraId="3C42A172" w14:textId="77777777" w:rsidTr="00E607DA">
        <w:trPr>
          <w:trHeight w:val="23"/>
        </w:trPr>
        <w:tc>
          <w:tcPr>
            <w:tcW w:w="4820" w:type="dxa"/>
            <w:tcBorders>
              <w:top w:val="nil"/>
              <w:left w:val="nil"/>
              <w:bottom w:val="nil"/>
              <w:right w:val="nil"/>
            </w:tcBorders>
            <w:shd w:val="clear" w:color="auto" w:fill="auto"/>
            <w:noWrap/>
            <w:vAlign w:val="center"/>
            <w:hideMark/>
          </w:tcPr>
          <w:p w14:paraId="34B61B8D" w14:textId="77777777" w:rsidR="0031548F" w:rsidRPr="00B71ACE" w:rsidRDefault="0031548F" w:rsidP="00E607DA">
            <w:pPr>
              <w:rPr>
                <w:rFonts w:ascii="Meta Pro" w:eastAsia="Times New Roman" w:hAnsi="Meta Pro"/>
                <w:sz w:val="16"/>
                <w:szCs w:val="16"/>
                <w:lang w:eastAsia="en-AU"/>
              </w:rPr>
            </w:pPr>
            <w:r w:rsidRPr="00B71ACE">
              <w:rPr>
                <w:rFonts w:ascii="Meta Pro" w:eastAsia="Times New Roman" w:hAnsi="Meta Pro"/>
                <w:sz w:val="16"/>
                <w:szCs w:val="16"/>
                <w:lang w:eastAsia="en-AU"/>
              </w:rPr>
              <w:t>Assets reclassified as held for sale</w:t>
            </w:r>
          </w:p>
        </w:tc>
        <w:tc>
          <w:tcPr>
            <w:tcW w:w="1361" w:type="dxa"/>
            <w:tcBorders>
              <w:top w:val="nil"/>
              <w:left w:val="nil"/>
              <w:bottom w:val="nil"/>
              <w:right w:val="nil"/>
            </w:tcBorders>
            <w:shd w:val="clear" w:color="000000" w:fill="C9E3B4"/>
            <w:noWrap/>
            <w:vAlign w:val="center"/>
            <w:hideMark/>
          </w:tcPr>
          <w:p w14:paraId="494BC8A3"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(14,915)</w:t>
            </w:r>
          </w:p>
        </w:tc>
        <w:tc>
          <w:tcPr>
            <w:tcW w:w="198" w:type="dxa"/>
            <w:tcBorders>
              <w:top w:val="nil"/>
              <w:left w:val="nil"/>
              <w:bottom w:val="nil"/>
              <w:right w:val="nil"/>
            </w:tcBorders>
            <w:shd w:val="clear" w:color="auto" w:fill="auto"/>
            <w:noWrap/>
            <w:vAlign w:val="center"/>
            <w:hideMark/>
          </w:tcPr>
          <w:p w14:paraId="7B5CFBF0"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393A2784"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(1,212)</w:t>
            </w:r>
          </w:p>
        </w:tc>
        <w:tc>
          <w:tcPr>
            <w:tcW w:w="198" w:type="dxa"/>
            <w:tcBorders>
              <w:top w:val="nil"/>
              <w:left w:val="nil"/>
              <w:bottom w:val="nil"/>
              <w:right w:val="nil"/>
            </w:tcBorders>
            <w:shd w:val="clear" w:color="auto" w:fill="auto"/>
            <w:noWrap/>
            <w:vAlign w:val="center"/>
            <w:hideMark/>
          </w:tcPr>
          <w:p w14:paraId="070ABA37"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4196797E"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44BFA260"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06C52148"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539A89EB"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6AA9D023"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0FA2D1C5"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74561A20"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26353A3C"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6307C5F8" w14:textId="77777777" w:rsidR="0031548F" w:rsidRPr="00B71ACE" w:rsidRDefault="0031548F" w:rsidP="00E607DA">
            <w:pPr>
              <w:jc w:val="right"/>
              <w:rPr>
                <w:rFonts w:ascii="Meta Pro" w:eastAsia="Times New Roman" w:hAnsi="Meta Pro"/>
                <w:b/>
                <w:bCs/>
                <w:sz w:val="16"/>
                <w:szCs w:val="16"/>
                <w:lang w:eastAsia="en-AU"/>
              </w:rPr>
            </w:pPr>
            <w:r w:rsidRPr="00B71ACE">
              <w:rPr>
                <w:rFonts w:ascii="Meta Pro" w:eastAsia="Times New Roman" w:hAnsi="Meta Pro"/>
                <w:b/>
                <w:bCs/>
                <w:sz w:val="16"/>
                <w:szCs w:val="16"/>
                <w:lang w:eastAsia="en-AU"/>
              </w:rPr>
              <w:t>(16,127)</w:t>
            </w:r>
          </w:p>
        </w:tc>
      </w:tr>
      <w:tr w:rsidR="00BB6BA7" w:rsidRPr="00B71ACE" w14:paraId="1205DBA5" w14:textId="77777777" w:rsidTr="00E607DA">
        <w:trPr>
          <w:trHeight w:val="23"/>
        </w:trPr>
        <w:tc>
          <w:tcPr>
            <w:tcW w:w="4820" w:type="dxa"/>
            <w:tcBorders>
              <w:top w:val="nil"/>
              <w:left w:val="nil"/>
              <w:bottom w:val="nil"/>
              <w:right w:val="nil"/>
            </w:tcBorders>
            <w:shd w:val="clear" w:color="auto" w:fill="auto"/>
            <w:vAlign w:val="center"/>
            <w:hideMark/>
          </w:tcPr>
          <w:p w14:paraId="633870E6" w14:textId="77777777" w:rsidR="0031548F" w:rsidRPr="00B71ACE" w:rsidRDefault="0031548F" w:rsidP="00E607DA">
            <w:pPr>
              <w:rPr>
                <w:rFonts w:ascii="Meta Pro" w:eastAsia="Times New Roman" w:hAnsi="Meta Pro"/>
                <w:sz w:val="16"/>
                <w:szCs w:val="16"/>
                <w:lang w:eastAsia="en-AU"/>
              </w:rPr>
            </w:pPr>
            <w:r w:rsidRPr="00B71ACE">
              <w:rPr>
                <w:rFonts w:ascii="Meta Pro" w:eastAsia="Times New Roman" w:hAnsi="Meta Pro"/>
                <w:sz w:val="16"/>
                <w:szCs w:val="16"/>
                <w:lang w:eastAsia="en-AU"/>
              </w:rPr>
              <w:t>Net revaluation increments</w:t>
            </w:r>
          </w:p>
        </w:tc>
        <w:tc>
          <w:tcPr>
            <w:tcW w:w="1361" w:type="dxa"/>
            <w:tcBorders>
              <w:top w:val="nil"/>
              <w:left w:val="nil"/>
              <w:bottom w:val="nil"/>
              <w:right w:val="nil"/>
            </w:tcBorders>
            <w:shd w:val="clear" w:color="000000" w:fill="C9E3B4"/>
            <w:noWrap/>
            <w:vAlign w:val="center"/>
            <w:hideMark/>
          </w:tcPr>
          <w:p w14:paraId="07500345"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592,820 </w:t>
            </w:r>
          </w:p>
        </w:tc>
        <w:tc>
          <w:tcPr>
            <w:tcW w:w="198" w:type="dxa"/>
            <w:tcBorders>
              <w:top w:val="nil"/>
              <w:left w:val="nil"/>
              <w:bottom w:val="nil"/>
              <w:right w:val="nil"/>
            </w:tcBorders>
            <w:shd w:val="clear" w:color="auto" w:fill="auto"/>
            <w:noWrap/>
            <w:vAlign w:val="center"/>
            <w:hideMark/>
          </w:tcPr>
          <w:p w14:paraId="239A2E22"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6CE88D70"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70,026 </w:t>
            </w:r>
          </w:p>
        </w:tc>
        <w:tc>
          <w:tcPr>
            <w:tcW w:w="198" w:type="dxa"/>
            <w:tcBorders>
              <w:top w:val="nil"/>
              <w:left w:val="nil"/>
              <w:bottom w:val="nil"/>
              <w:right w:val="nil"/>
            </w:tcBorders>
            <w:shd w:val="clear" w:color="auto" w:fill="auto"/>
            <w:noWrap/>
            <w:vAlign w:val="center"/>
            <w:hideMark/>
          </w:tcPr>
          <w:p w14:paraId="3086FFA5"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460A1D74"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0D18D40B"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0C8B68DD"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18,539 </w:t>
            </w:r>
          </w:p>
        </w:tc>
        <w:tc>
          <w:tcPr>
            <w:tcW w:w="198" w:type="dxa"/>
            <w:tcBorders>
              <w:top w:val="nil"/>
              <w:left w:val="nil"/>
              <w:bottom w:val="nil"/>
              <w:right w:val="nil"/>
            </w:tcBorders>
            <w:shd w:val="clear" w:color="auto" w:fill="auto"/>
            <w:noWrap/>
            <w:vAlign w:val="center"/>
            <w:hideMark/>
          </w:tcPr>
          <w:p w14:paraId="5B42A8F8"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27592543"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9,090,077 </w:t>
            </w:r>
          </w:p>
        </w:tc>
        <w:tc>
          <w:tcPr>
            <w:tcW w:w="198" w:type="dxa"/>
            <w:tcBorders>
              <w:top w:val="nil"/>
              <w:left w:val="nil"/>
              <w:bottom w:val="nil"/>
              <w:right w:val="nil"/>
            </w:tcBorders>
            <w:shd w:val="clear" w:color="auto" w:fill="auto"/>
            <w:noWrap/>
            <w:vAlign w:val="center"/>
            <w:hideMark/>
          </w:tcPr>
          <w:p w14:paraId="21F735C9"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23D72D93"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10FC13CE"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3190908A" w14:textId="77777777" w:rsidR="0031548F" w:rsidRPr="00B71ACE" w:rsidRDefault="0031548F" w:rsidP="00E607DA">
            <w:pPr>
              <w:jc w:val="right"/>
              <w:rPr>
                <w:rFonts w:ascii="Meta Pro" w:eastAsia="Times New Roman" w:hAnsi="Meta Pro"/>
                <w:b/>
                <w:bCs/>
                <w:sz w:val="16"/>
                <w:szCs w:val="16"/>
                <w:lang w:eastAsia="en-AU"/>
              </w:rPr>
            </w:pPr>
            <w:r w:rsidRPr="00B71ACE">
              <w:rPr>
                <w:rFonts w:ascii="Meta Pro" w:eastAsia="Times New Roman" w:hAnsi="Meta Pro"/>
                <w:b/>
                <w:bCs/>
                <w:sz w:val="16"/>
                <w:szCs w:val="16"/>
                <w:lang w:eastAsia="en-AU"/>
              </w:rPr>
              <w:t xml:space="preserve">9,771,462 </w:t>
            </w:r>
          </w:p>
        </w:tc>
      </w:tr>
      <w:tr w:rsidR="00BB6BA7" w:rsidRPr="00B71ACE" w14:paraId="4E815455" w14:textId="77777777" w:rsidTr="00E607DA">
        <w:trPr>
          <w:trHeight w:val="23"/>
        </w:trPr>
        <w:tc>
          <w:tcPr>
            <w:tcW w:w="4820" w:type="dxa"/>
            <w:tcBorders>
              <w:top w:val="nil"/>
              <w:left w:val="nil"/>
              <w:bottom w:val="nil"/>
              <w:right w:val="nil"/>
            </w:tcBorders>
            <w:shd w:val="clear" w:color="auto" w:fill="auto"/>
            <w:vAlign w:val="center"/>
            <w:hideMark/>
          </w:tcPr>
          <w:p w14:paraId="05C816CC" w14:textId="77777777" w:rsidR="0031548F" w:rsidRPr="00B71ACE" w:rsidRDefault="0031548F" w:rsidP="00E607DA">
            <w:pPr>
              <w:rPr>
                <w:rFonts w:ascii="Meta Pro" w:eastAsia="Times New Roman" w:hAnsi="Meta Pro"/>
                <w:sz w:val="16"/>
                <w:szCs w:val="16"/>
                <w:lang w:eastAsia="en-AU"/>
              </w:rPr>
            </w:pPr>
            <w:r w:rsidRPr="00B71ACE">
              <w:rPr>
                <w:rFonts w:ascii="Meta Pro" w:eastAsia="Times New Roman" w:hAnsi="Meta Pro"/>
                <w:sz w:val="16"/>
                <w:szCs w:val="16"/>
                <w:lang w:eastAsia="en-AU"/>
              </w:rPr>
              <w:t>Depreciation</w:t>
            </w:r>
          </w:p>
        </w:tc>
        <w:tc>
          <w:tcPr>
            <w:tcW w:w="1361" w:type="dxa"/>
            <w:tcBorders>
              <w:top w:val="nil"/>
              <w:left w:val="nil"/>
              <w:bottom w:val="nil"/>
              <w:right w:val="nil"/>
            </w:tcBorders>
            <w:shd w:val="clear" w:color="000000" w:fill="C9E3B4"/>
            <w:noWrap/>
            <w:vAlign w:val="center"/>
            <w:hideMark/>
          </w:tcPr>
          <w:p w14:paraId="681F3905"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10DB5567"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49680910"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(48,950)</w:t>
            </w:r>
          </w:p>
        </w:tc>
        <w:tc>
          <w:tcPr>
            <w:tcW w:w="198" w:type="dxa"/>
            <w:tcBorders>
              <w:top w:val="nil"/>
              <w:left w:val="nil"/>
              <w:bottom w:val="nil"/>
              <w:right w:val="nil"/>
            </w:tcBorders>
            <w:shd w:val="clear" w:color="auto" w:fill="auto"/>
            <w:noWrap/>
            <w:vAlign w:val="center"/>
            <w:hideMark/>
          </w:tcPr>
          <w:p w14:paraId="373090F1"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5D353721"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(39,294)</w:t>
            </w:r>
          </w:p>
        </w:tc>
        <w:tc>
          <w:tcPr>
            <w:tcW w:w="198" w:type="dxa"/>
            <w:tcBorders>
              <w:top w:val="nil"/>
              <w:left w:val="nil"/>
              <w:bottom w:val="nil"/>
              <w:right w:val="nil"/>
            </w:tcBorders>
            <w:shd w:val="clear" w:color="auto" w:fill="auto"/>
            <w:noWrap/>
            <w:vAlign w:val="center"/>
            <w:hideMark/>
          </w:tcPr>
          <w:p w14:paraId="5D90D510"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184AAC1E"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(42,535)</w:t>
            </w:r>
          </w:p>
        </w:tc>
        <w:tc>
          <w:tcPr>
            <w:tcW w:w="198" w:type="dxa"/>
            <w:tcBorders>
              <w:top w:val="nil"/>
              <w:left w:val="nil"/>
              <w:bottom w:val="nil"/>
              <w:right w:val="nil"/>
            </w:tcBorders>
            <w:shd w:val="clear" w:color="auto" w:fill="auto"/>
            <w:noWrap/>
            <w:vAlign w:val="center"/>
            <w:hideMark/>
          </w:tcPr>
          <w:p w14:paraId="03B9C48F"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08B64445"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(1,038,373)</w:t>
            </w:r>
          </w:p>
        </w:tc>
        <w:tc>
          <w:tcPr>
            <w:tcW w:w="198" w:type="dxa"/>
            <w:tcBorders>
              <w:top w:val="nil"/>
              <w:left w:val="nil"/>
              <w:bottom w:val="nil"/>
              <w:right w:val="nil"/>
            </w:tcBorders>
            <w:shd w:val="clear" w:color="auto" w:fill="auto"/>
            <w:noWrap/>
            <w:vAlign w:val="center"/>
            <w:hideMark/>
          </w:tcPr>
          <w:p w14:paraId="5365C5E2"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02655F80" w14:textId="77777777" w:rsidR="0031548F" w:rsidRPr="00B71ACE" w:rsidRDefault="0031548F" w:rsidP="00E607DA">
            <w:pPr>
              <w:jc w:val="right"/>
              <w:rPr>
                <w:rFonts w:ascii="Meta Pro" w:eastAsia="Times New Roman" w:hAnsi="Meta Pro"/>
                <w:sz w:val="16"/>
                <w:szCs w:val="16"/>
                <w:lang w:eastAsia="en-AU"/>
              </w:rPr>
            </w:pPr>
            <w:r w:rsidRPr="00B71ACE">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060D504D" w14:textId="77777777" w:rsidR="0031548F" w:rsidRPr="00B71ACE"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47CE4030" w14:textId="77777777" w:rsidR="0031548F" w:rsidRPr="00B71ACE" w:rsidRDefault="0031548F" w:rsidP="00E607DA">
            <w:pPr>
              <w:jc w:val="right"/>
              <w:rPr>
                <w:rFonts w:ascii="Meta Pro" w:eastAsia="Times New Roman" w:hAnsi="Meta Pro"/>
                <w:b/>
                <w:bCs/>
                <w:sz w:val="16"/>
                <w:szCs w:val="16"/>
                <w:lang w:eastAsia="en-AU"/>
              </w:rPr>
            </w:pPr>
            <w:r w:rsidRPr="00B71ACE">
              <w:rPr>
                <w:rFonts w:ascii="Meta Pro" w:eastAsia="Times New Roman" w:hAnsi="Meta Pro"/>
                <w:b/>
                <w:bCs/>
                <w:sz w:val="16"/>
                <w:szCs w:val="16"/>
                <w:lang w:eastAsia="en-AU"/>
              </w:rPr>
              <w:t>(1,169,152)</w:t>
            </w:r>
          </w:p>
        </w:tc>
      </w:tr>
      <w:tr w:rsidR="00BB6BA7" w:rsidRPr="00B71ACE" w14:paraId="137405B0" w14:textId="77777777" w:rsidTr="00E607DA">
        <w:trPr>
          <w:trHeight w:val="23"/>
        </w:trPr>
        <w:tc>
          <w:tcPr>
            <w:tcW w:w="4820" w:type="dxa"/>
            <w:tcBorders>
              <w:top w:val="single" w:sz="4" w:space="0" w:color="auto"/>
              <w:left w:val="nil"/>
              <w:bottom w:val="double" w:sz="6" w:space="0" w:color="auto"/>
              <w:right w:val="nil"/>
            </w:tcBorders>
            <w:shd w:val="clear" w:color="auto" w:fill="auto"/>
            <w:noWrap/>
            <w:vAlign w:val="center"/>
            <w:hideMark/>
          </w:tcPr>
          <w:p w14:paraId="528D28CE" w14:textId="77777777" w:rsidR="0031548F" w:rsidRPr="00B71ACE" w:rsidRDefault="0031548F" w:rsidP="00E607DA">
            <w:pPr>
              <w:rPr>
                <w:rFonts w:ascii="Meta Pro" w:eastAsia="Times New Roman" w:hAnsi="Meta Pro"/>
                <w:b/>
                <w:bCs/>
                <w:sz w:val="16"/>
                <w:szCs w:val="16"/>
                <w:lang w:eastAsia="en-AU"/>
              </w:rPr>
            </w:pPr>
            <w:r w:rsidRPr="00B71ACE">
              <w:rPr>
                <w:rFonts w:ascii="Meta Pro" w:eastAsia="Times New Roman" w:hAnsi="Meta Pro"/>
                <w:b/>
                <w:bCs/>
                <w:sz w:val="16"/>
                <w:szCs w:val="16"/>
                <w:lang w:eastAsia="en-AU"/>
              </w:rPr>
              <w:t>Carrying amount at 30 June</w:t>
            </w:r>
          </w:p>
        </w:tc>
        <w:tc>
          <w:tcPr>
            <w:tcW w:w="1361" w:type="dxa"/>
            <w:tcBorders>
              <w:top w:val="single" w:sz="4" w:space="0" w:color="auto"/>
              <w:left w:val="nil"/>
              <w:bottom w:val="double" w:sz="6" w:space="0" w:color="auto"/>
              <w:right w:val="nil"/>
            </w:tcBorders>
            <w:shd w:val="clear" w:color="000000" w:fill="C9E3B4"/>
            <w:noWrap/>
            <w:vAlign w:val="center"/>
            <w:hideMark/>
          </w:tcPr>
          <w:p w14:paraId="0C633E35" w14:textId="77777777" w:rsidR="0031548F" w:rsidRPr="00B71ACE" w:rsidRDefault="0031548F" w:rsidP="00E607DA">
            <w:pPr>
              <w:jc w:val="right"/>
              <w:rPr>
                <w:rFonts w:ascii="Meta Pro" w:eastAsia="Times New Roman" w:hAnsi="Meta Pro"/>
                <w:b/>
                <w:bCs/>
                <w:sz w:val="16"/>
                <w:szCs w:val="16"/>
                <w:lang w:eastAsia="en-AU"/>
              </w:rPr>
            </w:pPr>
            <w:r w:rsidRPr="00B71ACE">
              <w:rPr>
                <w:rFonts w:ascii="Meta Pro" w:eastAsia="Times New Roman" w:hAnsi="Meta Pro"/>
                <w:b/>
                <w:bCs/>
                <w:sz w:val="16"/>
                <w:szCs w:val="16"/>
                <w:lang w:eastAsia="en-AU"/>
              </w:rPr>
              <w:t xml:space="preserve">6,023,069 </w:t>
            </w:r>
          </w:p>
        </w:tc>
        <w:tc>
          <w:tcPr>
            <w:tcW w:w="198" w:type="dxa"/>
            <w:tcBorders>
              <w:top w:val="nil"/>
              <w:left w:val="nil"/>
              <w:bottom w:val="nil"/>
              <w:right w:val="nil"/>
            </w:tcBorders>
            <w:shd w:val="clear" w:color="auto" w:fill="auto"/>
            <w:noWrap/>
            <w:vAlign w:val="center"/>
            <w:hideMark/>
          </w:tcPr>
          <w:p w14:paraId="565622C9" w14:textId="77777777" w:rsidR="0031548F" w:rsidRPr="00B71ACE" w:rsidRDefault="0031548F" w:rsidP="00E607DA">
            <w:pPr>
              <w:jc w:val="right"/>
              <w:rPr>
                <w:rFonts w:ascii="Meta Pro" w:eastAsia="Times New Roman" w:hAnsi="Meta Pro"/>
                <w:b/>
                <w:bCs/>
                <w:sz w:val="16"/>
                <w:szCs w:val="16"/>
                <w:lang w:eastAsia="en-AU"/>
              </w:rPr>
            </w:pPr>
          </w:p>
        </w:tc>
        <w:tc>
          <w:tcPr>
            <w:tcW w:w="1361" w:type="dxa"/>
            <w:tcBorders>
              <w:top w:val="single" w:sz="4" w:space="0" w:color="auto"/>
              <w:left w:val="nil"/>
              <w:bottom w:val="double" w:sz="6" w:space="0" w:color="auto"/>
              <w:right w:val="nil"/>
            </w:tcBorders>
            <w:shd w:val="clear" w:color="000000" w:fill="C9E3B4"/>
            <w:noWrap/>
            <w:vAlign w:val="center"/>
            <w:hideMark/>
          </w:tcPr>
          <w:p w14:paraId="41816750" w14:textId="77777777" w:rsidR="0031548F" w:rsidRPr="00B71ACE" w:rsidRDefault="0031548F" w:rsidP="00E607DA">
            <w:pPr>
              <w:jc w:val="right"/>
              <w:rPr>
                <w:rFonts w:ascii="Meta Pro" w:eastAsia="Times New Roman" w:hAnsi="Meta Pro"/>
                <w:b/>
                <w:bCs/>
                <w:sz w:val="16"/>
                <w:szCs w:val="16"/>
                <w:lang w:eastAsia="en-AU"/>
              </w:rPr>
            </w:pPr>
            <w:r w:rsidRPr="00B71ACE">
              <w:rPr>
                <w:rFonts w:ascii="Meta Pro" w:eastAsia="Times New Roman" w:hAnsi="Meta Pro"/>
                <w:b/>
                <w:bCs/>
                <w:sz w:val="16"/>
                <w:szCs w:val="16"/>
                <w:lang w:eastAsia="en-AU"/>
              </w:rPr>
              <w:t xml:space="preserve">810,686 </w:t>
            </w:r>
          </w:p>
        </w:tc>
        <w:tc>
          <w:tcPr>
            <w:tcW w:w="198" w:type="dxa"/>
            <w:tcBorders>
              <w:top w:val="nil"/>
              <w:left w:val="nil"/>
              <w:bottom w:val="nil"/>
              <w:right w:val="nil"/>
            </w:tcBorders>
            <w:shd w:val="clear" w:color="auto" w:fill="auto"/>
            <w:noWrap/>
            <w:vAlign w:val="center"/>
            <w:hideMark/>
          </w:tcPr>
          <w:p w14:paraId="1C65504A" w14:textId="77777777" w:rsidR="0031548F" w:rsidRPr="00B71ACE" w:rsidRDefault="0031548F" w:rsidP="00E607DA">
            <w:pPr>
              <w:jc w:val="right"/>
              <w:rPr>
                <w:rFonts w:ascii="Meta Pro" w:eastAsia="Times New Roman" w:hAnsi="Meta Pro"/>
                <w:b/>
                <w:bCs/>
                <w:sz w:val="16"/>
                <w:szCs w:val="16"/>
                <w:lang w:eastAsia="en-AU"/>
              </w:rPr>
            </w:pPr>
          </w:p>
        </w:tc>
        <w:tc>
          <w:tcPr>
            <w:tcW w:w="1361" w:type="dxa"/>
            <w:tcBorders>
              <w:top w:val="single" w:sz="4" w:space="0" w:color="auto"/>
              <w:left w:val="nil"/>
              <w:bottom w:val="double" w:sz="6" w:space="0" w:color="auto"/>
              <w:right w:val="nil"/>
            </w:tcBorders>
            <w:shd w:val="clear" w:color="000000" w:fill="C9E3B4"/>
            <w:noWrap/>
            <w:vAlign w:val="center"/>
            <w:hideMark/>
          </w:tcPr>
          <w:p w14:paraId="75C5F3C2" w14:textId="77777777" w:rsidR="0031548F" w:rsidRPr="00B71ACE" w:rsidRDefault="0031548F" w:rsidP="00E607DA">
            <w:pPr>
              <w:jc w:val="right"/>
              <w:rPr>
                <w:rFonts w:ascii="Meta Pro" w:eastAsia="Times New Roman" w:hAnsi="Meta Pro"/>
                <w:b/>
                <w:bCs/>
                <w:sz w:val="16"/>
                <w:szCs w:val="16"/>
                <w:lang w:eastAsia="en-AU"/>
              </w:rPr>
            </w:pPr>
            <w:r w:rsidRPr="00B71ACE">
              <w:rPr>
                <w:rFonts w:ascii="Meta Pro" w:eastAsia="Times New Roman" w:hAnsi="Meta Pro"/>
                <w:b/>
                <w:bCs/>
                <w:sz w:val="16"/>
                <w:szCs w:val="16"/>
                <w:lang w:eastAsia="en-AU"/>
              </w:rPr>
              <w:t xml:space="preserve">184,626 </w:t>
            </w:r>
          </w:p>
        </w:tc>
        <w:tc>
          <w:tcPr>
            <w:tcW w:w="198" w:type="dxa"/>
            <w:tcBorders>
              <w:top w:val="nil"/>
              <w:left w:val="nil"/>
              <w:bottom w:val="nil"/>
              <w:right w:val="nil"/>
            </w:tcBorders>
            <w:shd w:val="clear" w:color="auto" w:fill="auto"/>
            <w:noWrap/>
            <w:vAlign w:val="center"/>
            <w:hideMark/>
          </w:tcPr>
          <w:p w14:paraId="46254141" w14:textId="77777777" w:rsidR="0031548F" w:rsidRPr="00B71ACE" w:rsidRDefault="0031548F" w:rsidP="00E607DA">
            <w:pPr>
              <w:jc w:val="right"/>
              <w:rPr>
                <w:rFonts w:ascii="Meta Pro" w:eastAsia="Times New Roman" w:hAnsi="Meta Pro"/>
                <w:b/>
                <w:bCs/>
                <w:sz w:val="16"/>
                <w:szCs w:val="16"/>
                <w:lang w:eastAsia="en-AU"/>
              </w:rPr>
            </w:pPr>
          </w:p>
        </w:tc>
        <w:tc>
          <w:tcPr>
            <w:tcW w:w="1361" w:type="dxa"/>
            <w:tcBorders>
              <w:top w:val="single" w:sz="4" w:space="0" w:color="auto"/>
              <w:left w:val="nil"/>
              <w:bottom w:val="double" w:sz="6" w:space="0" w:color="auto"/>
              <w:right w:val="nil"/>
            </w:tcBorders>
            <w:shd w:val="clear" w:color="000000" w:fill="C9E3B4"/>
            <w:noWrap/>
            <w:vAlign w:val="center"/>
            <w:hideMark/>
          </w:tcPr>
          <w:p w14:paraId="1E45241F" w14:textId="77777777" w:rsidR="0031548F" w:rsidRPr="00B71ACE" w:rsidRDefault="0031548F" w:rsidP="00E607DA">
            <w:pPr>
              <w:jc w:val="right"/>
              <w:rPr>
                <w:rFonts w:ascii="Meta Pro" w:eastAsia="Times New Roman" w:hAnsi="Meta Pro"/>
                <w:b/>
                <w:bCs/>
                <w:sz w:val="16"/>
                <w:szCs w:val="16"/>
                <w:lang w:eastAsia="en-AU"/>
              </w:rPr>
            </w:pPr>
            <w:r w:rsidRPr="00B71ACE">
              <w:rPr>
                <w:rFonts w:ascii="Meta Pro" w:eastAsia="Times New Roman" w:hAnsi="Meta Pro"/>
                <w:b/>
                <w:bCs/>
                <w:sz w:val="16"/>
                <w:szCs w:val="16"/>
                <w:lang w:eastAsia="en-AU"/>
              </w:rPr>
              <w:t xml:space="preserve">1,169,543 </w:t>
            </w:r>
          </w:p>
        </w:tc>
        <w:tc>
          <w:tcPr>
            <w:tcW w:w="198" w:type="dxa"/>
            <w:tcBorders>
              <w:top w:val="nil"/>
              <w:left w:val="nil"/>
              <w:bottom w:val="nil"/>
              <w:right w:val="nil"/>
            </w:tcBorders>
            <w:shd w:val="clear" w:color="auto" w:fill="auto"/>
            <w:noWrap/>
            <w:vAlign w:val="center"/>
            <w:hideMark/>
          </w:tcPr>
          <w:p w14:paraId="5D877401" w14:textId="77777777" w:rsidR="0031548F" w:rsidRPr="00B71ACE" w:rsidRDefault="0031548F" w:rsidP="00E607DA">
            <w:pPr>
              <w:jc w:val="right"/>
              <w:rPr>
                <w:rFonts w:ascii="Meta Pro" w:eastAsia="Times New Roman" w:hAnsi="Meta Pro"/>
                <w:b/>
                <w:bCs/>
                <w:sz w:val="16"/>
                <w:szCs w:val="16"/>
                <w:lang w:eastAsia="en-AU"/>
              </w:rPr>
            </w:pPr>
          </w:p>
        </w:tc>
        <w:tc>
          <w:tcPr>
            <w:tcW w:w="1361" w:type="dxa"/>
            <w:tcBorders>
              <w:top w:val="single" w:sz="4" w:space="0" w:color="auto"/>
              <w:left w:val="nil"/>
              <w:bottom w:val="double" w:sz="6" w:space="0" w:color="auto"/>
              <w:right w:val="nil"/>
            </w:tcBorders>
            <w:shd w:val="clear" w:color="000000" w:fill="C9E3B4"/>
            <w:noWrap/>
            <w:vAlign w:val="center"/>
            <w:hideMark/>
          </w:tcPr>
          <w:p w14:paraId="307A33CA" w14:textId="77777777" w:rsidR="0031548F" w:rsidRPr="00B71ACE" w:rsidRDefault="0031548F" w:rsidP="00E607DA">
            <w:pPr>
              <w:jc w:val="right"/>
              <w:rPr>
                <w:rFonts w:ascii="Meta Pro" w:eastAsia="Times New Roman" w:hAnsi="Meta Pro"/>
                <w:b/>
                <w:bCs/>
                <w:sz w:val="16"/>
                <w:szCs w:val="16"/>
                <w:lang w:eastAsia="en-AU"/>
              </w:rPr>
            </w:pPr>
            <w:r w:rsidRPr="00B71ACE">
              <w:rPr>
                <w:rFonts w:ascii="Meta Pro" w:eastAsia="Times New Roman" w:hAnsi="Meta Pro"/>
                <w:b/>
                <w:bCs/>
                <w:sz w:val="16"/>
                <w:szCs w:val="16"/>
                <w:lang w:eastAsia="en-AU"/>
              </w:rPr>
              <w:t xml:space="preserve">73,237,010 </w:t>
            </w:r>
          </w:p>
        </w:tc>
        <w:tc>
          <w:tcPr>
            <w:tcW w:w="198" w:type="dxa"/>
            <w:tcBorders>
              <w:top w:val="nil"/>
              <w:left w:val="nil"/>
              <w:bottom w:val="nil"/>
              <w:right w:val="nil"/>
            </w:tcBorders>
            <w:shd w:val="clear" w:color="auto" w:fill="auto"/>
            <w:noWrap/>
            <w:vAlign w:val="center"/>
            <w:hideMark/>
          </w:tcPr>
          <w:p w14:paraId="5B2195A9" w14:textId="77777777" w:rsidR="0031548F" w:rsidRPr="00B71ACE" w:rsidRDefault="0031548F" w:rsidP="00E607DA">
            <w:pPr>
              <w:jc w:val="right"/>
              <w:rPr>
                <w:rFonts w:ascii="Meta Pro" w:eastAsia="Times New Roman" w:hAnsi="Meta Pro"/>
                <w:b/>
                <w:bCs/>
                <w:sz w:val="16"/>
                <w:szCs w:val="16"/>
                <w:lang w:eastAsia="en-AU"/>
              </w:rPr>
            </w:pPr>
          </w:p>
        </w:tc>
        <w:tc>
          <w:tcPr>
            <w:tcW w:w="1361" w:type="dxa"/>
            <w:tcBorders>
              <w:top w:val="single" w:sz="4" w:space="0" w:color="auto"/>
              <w:left w:val="nil"/>
              <w:bottom w:val="double" w:sz="6" w:space="0" w:color="auto"/>
              <w:right w:val="nil"/>
            </w:tcBorders>
            <w:shd w:val="clear" w:color="000000" w:fill="C9E3B4"/>
            <w:noWrap/>
            <w:vAlign w:val="center"/>
            <w:hideMark/>
          </w:tcPr>
          <w:p w14:paraId="327766F6" w14:textId="77777777" w:rsidR="0031548F" w:rsidRPr="00B71ACE" w:rsidRDefault="0031548F" w:rsidP="00E607DA">
            <w:pPr>
              <w:jc w:val="right"/>
              <w:rPr>
                <w:rFonts w:ascii="Meta Pro" w:eastAsia="Times New Roman" w:hAnsi="Meta Pro"/>
                <w:b/>
                <w:bCs/>
                <w:sz w:val="16"/>
                <w:szCs w:val="16"/>
                <w:lang w:eastAsia="en-AU"/>
              </w:rPr>
            </w:pPr>
            <w:r w:rsidRPr="00B71ACE">
              <w:rPr>
                <w:rFonts w:ascii="Meta Pro" w:eastAsia="Times New Roman" w:hAnsi="Meta Pro"/>
                <w:b/>
                <w:bCs/>
                <w:sz w:val="16"/>
                <w:szCs w:val="16"/>
                <w:lang w:eastAsia="en-AU"/>
              </w:rPr>
              <w:t xml:space="preserve">5,574,785 </w:t>
            </w:r>
          </w:p>
        </w:tc>
        <w:tc>
          <w:tcPr>
            <w:tcW w:w="198" w:type="dxa"/>
            <w:tcBorders>
              <w:top w:val="nil"/>
              <w:left w:val="nil"/>
              <w:bottom w:val="nil"/>
              <w:right w:val="nil"/>
            </w:tcBorders>
            <w:shd w:val="clear" w:color="auto" w:fill="auto"/>
            <w:noWrap/>
            <w:vAlign w:val="center"/>
            <w:hideMark/>
          </w:tcPr>
          <w:p w14:paraId="29B5BACB" w14:textId="77777777" w:rsidR="0031548F" w:rsidRPr="00B71ACE" w:rsidRDefault="0031548F" w:rsidP="00E607DA">
            <w:pPr>
              <w:jc w:val="right"/>
              <w:rPr>
                <w:rFonts w:ascii="Meta Pro" w:eastAsia="Times New Roman" w:hAnsi="Meta Pro"/>
                <w:b/>
                <w:bCs/>
                <w:sz w:val="16"/>
                <w:szCs w:val="16"/>
                <w:lang w:eastAsia="en-AU"/>
              </w:rPr>
            </w:pPr>
          </w:p>
        </w:tc>
        <w:tc>
          <w:tcPr>
            <w:tcW w:w="1361" w:type="dxa"/>
            <w:tcBorders>
              <w:top w:val="single" w:sz="4" w:space="0" w:color="auto"/>
              <w:left w:val="nil"/>
              <w:bottom w:val="double" w:sz="6" w:space="0" w:color="auto"/>
              <w:right w:val="nil"/>
            </w:tcBorders>
            <w:shd w:val="clear" w:color="000000" w:fill="C9E3B4"/>
            <w:noWrap/>
            <w:vAlign w:val="center"/>
            <w:hideMark/>
          </w:tcPr>
          <w:p w14:paraId="3BCBC5E7" w14:textId="77777777" w:rsidR="0031548F" w:rsidRPr="00B71ACE" w:rsidRDefault="0031548F" w:rsidP="00E607DA">
            <w:pPr>
              <w:jc w:val="right"/>
              <w:rPr>
                <w:rFonts w:ascii="Meta Pro" w:eastAsia="Times New Roman" w:hAnsi="Meta Pro"/>
                <w:b/>
                <w:bCs/>
                <w:sz w:val="16"/>
                <w:szCs w:val="16"/>
                <w:lang w:eastAsia="en-AU"/>
              </w:rPr>
            </w:pPr>
            <w:r w:rsidRPr="00B71ACE">
              <w:rPr>
                <w:rFonts w:ascii="Meta Pro" w:eastAsia="Times New Roman" w:hAnsi="Meta Pro"/>
                <w:b/>
                <w:bCs/>
                <w:sz w:val="16"/>
                <w:szCs w:val="16"/>
                <w:lang w:eastAsia="en-AU"/>
              </w:rPr>
              <w:t xml:space="preserve">86,999,719 </w:t>
            </w:r>
          </w:p>
        </w:tc>
      </w:tr>
    </w:tbl>
    <w:p w14:paraId="650AF173" w14:textId="77777777" w:rsidR="0031548F" w:rsidRPr="00092B22" w:rsidRDefault="0031548F" w:rsidP="0031548F">
      <w:pPr>
        <w:spacing w:before="120" w:after="60"/>
        <w:rPr>
          <w:rFonts w:ascii="Meta Pro" w:eastAsia="Times New Roman" w:hAnsi="Meta Pro"/>
          <w:b/>
          <w:bCs/>
          <w:sz w:val="16"/>
          <w:szCs w:val="16"/>
          <w:lang w:eastAsia="en-AU"/>
        </w:rPr>
      </w:pPr>
      <w:r w:rsidRPr="00092B22">
        <w:rPr>
          <w:rFonts w:ascii="Meta Pro" w:eastAsia="Times New Roman" w:hAnsi="Meta Pro"/>
          <w:b/>
          <w:bCs/>
          <w:sz w:val="16"/>
          <w:szCs w:val="16"/>
          <w:lang w:eastAsia="en-AU"/>
        </w:rPr>
        <w:t>Fair value reconciliation for land and building assets classified as level 3 – fair value substantially derived from unobservable inputs (refer to the following accounting policy)</w:t>
      </w:r>
    </w:p>
    <w:p w14:paraId="6FDDB1AD" w14:textId="77777777" w:rsidR="0031548F" w:rsidRPr="00092B22" w:rsidRDefault="0031548F" w:rsidP="0031548F">
      <w:pPr>
        <w:spacing w:line="14" w:lineRule="exact"/>
        <w:rPr>
          <w:rFonts w:ascii="Meta Pro" w:hAnsi="Meta Pro" w:cstheme="minorBidi"/>
        </w:rPr>
      </w:pPr>
      <w:r w:rsidRPr="00092B22">
        <w:rPr>
          <w:rFonts w:ascii="Meta Pro" w:eastAsia="Times New Roman" w:hAnsi="Meta Pro"/>
          <w:sz w:val="16"/>
          <w:szCs w:val="16"/>
          <w:lang w:eastAsia="en-AU"/>
        </w:rPr>
        <w:t>````````</w:t>
      </w:r>
    </w:p>
    <w:tbl>
      <w:tblPr>
        <w:tblW w:w="0" w:type="auto"/>
        <w:tblCellMar>
          <w:left w:w="0" w:type="dxa"/>
        </w:tblCellMar>
        <w:tblLook w:val="04A0" w:firstRow="1" w:lastRow="0" w:firstColumn="1" w:lastColumn="0" w:noHBand="0" w:noVBand="1"/>
      </w:tblPr>
      <w:tblGrid>
        <w:gridCol w:w="4828"/>
        <w:gridCol w:w="1369"/>
        <w:gridCol w:w="206"/>
        <w:gridCol w:w="1369"/>
      </w:tblGrid>
      <w:tr w:rsidR="0031548F" w:rsidRPr="00092B22" w14:paraId="31F261AD" w14:textId="77777777" w:rsidTr="00E607DA">
        <w:trPr>
          <w:trHeight w:val="23"/>
        </w:trPr>
        <w:tc>
          <w:tcPr>
            <w:tcW w:w="4820" w:type="dxa"/>
            <w:tcBorders>
              <w:top w:val="nil"/>
              <w:left w:val="nil"/>
              <w:bottom w:val="nil"/>
              <w:right w:val="nil"/>
            </w:tcBorders>
            <w:shd w:val="clear" w:color="auto" w:fill="auto"/>
            <w:noWrap/>
            <w:vAlign w:val="center"/>
            <w:hideMark/>
          </w:tcPr>
          <w:p w14:paraId="26F61F14" w14:textId="77777777" w:rsidR="0031548F" w:rsidRPr="00092B22" w:rsidRDefault="0031548F" w:rsidP="00E607DA">
            <w:pPr>
              <w:rPr>
                <w:rFonts w:ascii="Meta Pro" w:eastAsia="Times New Roman" w:hAnsi="Meta Pro" w:cs="Times New Roman"/>
                <w:sz w:val="24"/>
                <w:szCs w:val="24"/>
                <w:lang w:eastAsia="en-AU"/>
              </w:rPr>
            </w:pPr>
          </w:p>
        </w:tc>
        <w:tc>
          <w:tcPr>
            <w:tcW w:w="1361" w:type="dxa"/>
            <w:tcBorders>
              <w:top w:val="nil"/>
              <w:left w:val="nil"/>
              <w:bottom w:val="nil"/>
              <w:right w:val="nil"/>
            </w:tcBorders>
            <w:shd w:val="clear" w:color="auto" w:fill="auto"/>
            <w:vAlign w:val="center"/>
            <w:hideMark/>
          </w:tcPr>
          <w:p w14:paraId="4B130507" w14:textId="77777777" w:rsidR="0031548F" w:rsidRPr="00092B22" w:rsidRDefault="0031548F"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Land</w:t>
            </w:r>
          </w:p>
        </w:tc>
        <w:tc>
          <w:tcPr>
            <w:tcW w:w="198" w:type="dxa"/>
            <w:tcBorders>
              <w:top w:val="nil"/>
              <w:left w:val="nil"/>
              <w:bottom w:val="nil"/>
              <w:right w:val="nil"/>
            </w:tcBorders>
            <w:shd w:val="clear" w:color="auto" w:fill="auto"/>
            <w:vAlign w:val="center"/>
            <w:hideMark/>
          </w:tcPr>
          <w:p w14:paraId="33B4B150" w14:textId="77777777" w:rsidR="0031548F" w:rsidRPr="00092B22" w:rsidRDefault="0031548F"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vAlign w:val="center"/>
            <w:hideMark/>
          </w:tcPr>
          <w:p w14:paraId="360326C0" w14:textId="77777777" w:rsidR="0031548F" w:rsidRPr="00092B22" w:rsidRDefault="0031548F"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Buildings</w:t>
            </w:r>
          </w:p>
        </w:tc>
      </w:tr>
      <w:tr w:rsidR="0031548F" w:rsidRPr="00092B22" w14:paraId="7F64BFAC" w14:textId="77777777" w:rsidTr="00E607DA">
        <w:trPr>
          <w:trHeight w:val="23"/>
        </w:trPr>
        <w:tc>
          <w:tcPr>
            <w:tcW w:w="4820" w:type="dxa"/>
            <w:tcBorders>
              <w:top w:val="nil"/>
              <w:left w:val="nil"/>
              <w:bottom w:val="nil"/>
              <w:right w:val="nil"/>
            </w:tcBorders>
            <w:shd w:val="clear" w:color="auto" w:fill="auto"/>
            <w:noWrap/>
            <w:vAlign w:val="center"/>
            <w:hideMark/>
          </w:tcPr>
          <w:p w14:paraId="3A9A0017" w14:textId="77777777" w:rsidR="0031548F" w:rsidRPr="00092B22" w:rsidRDefault="0031548F"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41024ED1" w14:textId="77777777" w:rsidR="0031548F" w:rsidRPr="00092B22" w:rsidRDefault="0031548F"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2022</w:t>
            </w:r>
          </w:p>
        </w:tc>
        <w:tc>
          <w:tcPr>
            <w:tcW w:w="198" w:type="dxa"/>
            <w:tcBorders>
              <w:top w:val="nil"/>
              <w:left w:val="nil"/>
              <w:bottom w:val="nil"/>
              <w:right w:val="nil"/>
            </w:tcBorders>
            <w:shd w:val="clear" w:color="auto" w:fill="auto"/>
            <w:noWrap/>
            <w:vAlign w:val="center"/>
            <w:hideMark/>
          </w:tcPr>
          <w:p w14:paraId="10968750" w14:textId="77777777" w:rsidR="0031548F" w:rsidRPr="00092B22" w:rsidRDefault="0031548F"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79D1C44D" w14:textId="77777777" w:rsidR="0031548F" w:rsidRPr="00092B22" w:rsidRDefault="0031548F"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2022</w:t>
            </w:r>
          </w:p>
        </w:tc>
      </w:tr>
      <w:tr w:rsidR="0031548F" w:rsidRPr="00092B22" w14:paraId="2AC9725E" w14:textId="77777777" w:rsidTr="00E607DA">
        <w:trPr>
          <w:trHeight w:val="240"/>
        </w:trPr>
        <w:tc>
          <w:tcPr>
            <w:tcW w:w="4820" w:type="dxa"/>
            <w:tcBorders>
              <w:top w:val="nil"/>
              <w:left w:val="nil"/>
              <w:bottom w:val="nil"/>
              <w:right w:val="nil"/>
            </w:tcBorders>
            <w:shd w:val="clear" w:color="auto" w:fill="auto"/>
            <w:noWrap/>
            <w:vAlign w:val="center"/>
            <w:hideMark/>
          </w:tcPr>
          <w:p w14:paraId="571A1382" w14:textId="77777777" w:rsidR="0031548F" w:rsidRPr="00092B22" w:rsidRDefault="0031548F"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1E6B3CF8" w14:textId="77777777" w:rsidR="0031548F" w:rsidRPr="00092B22" w:rsidRDefault="0031548F"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$'000</w:t>
            </w:r>
          </w:p>
        </w:tc>
        <w:tc>
          <w:tcPr>
            <w:tcW w:w="198" w:type="dxa"/>
            <w:tcBorders>
              <w:top w:val="nil"/>
              <w:left w:val="nil"/>
              <w:bottom w:val="nil"/>
              <w:right w:val="nil"/>
            </w:tcBorders>
            <w:shd w:val="clear" w:color="auto" w:fill="auto"/>
            <w:noWrap/>
            <w:vAlign w:val="center"/>
            <w:hideMark/>
          </w:tcPr>
          <w:p w14:paraId="130EA84C" w14:textId="77777777" w:rsidR="0031548F" w:rsidRPr="00092B22" w:rsidRDefault="0031548F"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345B39E9" w14:textId="77777777" w:rsidR="0031548F" w:rsidRPr="00092B22" w:rsidRDefault="0031548F"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$'000</w:t>
            </w:r>
          </w:p>
        </w:tc>
      </w:tr>
      <w:tr w:rsidR="0031548F" w:rsidRPr="00092B22" w14:paraId="1F6DA8B1" w14:textId="77777777" w:rsidTr="00E607DA">
        <w:trPr>
          <w:trHeight w:val="23"/>
        </w:trPr>
        <w:tc>
          <w:tcPr>
            <w:tcW w:w="4820" w:type="dxa"/>
            <w:tcBorders>
              <w:top w:val="nil"/>
              <w:left w:val="nil"/>
              <w:bottom w:val="nil"/>
              <w:right w:val="nil"/>
            </w:tcBorders>
            <w:shd w:val="clear" w:color="auto" w:fill="auto"/>
            <w:vAlign w:val="center"/>
            <w:hideMark/>
          </w:tcPr>
          <w:p w14:paraId="0D354802" w14:textId="77777777" w:rsidR="0031548F" w:rsidRPr="00092B22" w:rsidRDefault="0031548F"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t>Carrying amount at 1 July</w:t>
            </w:r>
          </w:p>
        </w:tc>
        <w:tc>
          <w:tcPr>
            <w:tcW w:w="1361" w:type="dxa"/>
            <w:tcBorders>
              <w:top w:val="nil"/>
              <w:left w:val="nil"/>
              <w:bottom w:val="nil"/>
              <w:right w:val="nil"/>
            </w:tcBorders>
            <w:shd w:val="clear" w:color="000000" w:fill="C9E3B4"/>
            <w:noWrap/>
            <w:vAlign w:val="center"/>
            <w:hideMark/>
          </w:tcPr>
          <w:p w14:paraId="50182F9F" w14:textId="77777777" w:rsidR="0031548F" w:rsidRPr="00092B22" w:rsidRDefault="0031548F"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94,364 </w:t>
            </w:r>
          </w:p>
        </w:tc>
        <w:tc>
          <w:tcPr>
            <w:tcW w:w="198" w:type="dxa"/>
            <w:tcBorders>
              <w:top w:val="nil"/>
              <w:left w:val="nil"/>
              <w:bottom w:val="nil"/>
              <w:right w:val="nil"/>
            </w:tcBorders>
            <w:shd w:val="clear" w:color="auto" w:fill="auto"/>
            <w:noWrap/>
            <w:vAlign w:val="center"/>
            <w:hideMark/>
          </w:tcPr>
          <w:p w14:paraId="4AE7B7C2" w14:textId="77777777" w:rsidR="0031548F" w:rsidRPr="00092B22"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368174E1" w14:textId="77777777" w:rsidR="0031548F" w:rsidRPr="00092B22" w:rsidRDefault="0031548F"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506,442 </w:t>
            </w:r>
          </w:p>
        </w:tc>
      </w:tr>
      <w:tr w:rsidR="0031548F" w:rsidRPr="00092B22" w14:paraId="6128CB1C" w14:textId="77777777" w:rsidTr="00E607DA">
        <w:trPr>
          <w:trHeight w:val="23"/>
        </w:trPr>
        <w:tc>
          <w:tcPr>
            <w:tcW w:w="4820" w:type="dxa"/>
            <w:tcBorders>
              <w:top w:val="nil"/>
              <w:left w:val="nil"/>
              <w:bottom w:val="nil"/>
              <w:right w:val="nil"/>
            </w:tcBorders>
            <w:shd w:val="clear" w:color="auto" w:fill="auto"/>
            <w:vAlign w:val="center"/>
            <w:hideMark/>
          </w:tcPr>
          <w:p w14:paraId="4CED56AE" w14:textId="77777777" w:rsidR="0031548F" w:rsidRPr="00092B22" w:rsidRDefault="0031548F"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lastRenderedPageBreak/>
              <w:t>Acquisitions</w:t>
            </w:r>
          </w:p>
        </w:tc>
        <w:tc>
          <w:tcPr>
            <w:tcW w:w="1361" w:type="dxa"/>
            <w:tcBorders>
              <w:top w:val="nil"/>
              <w:left w:val="nil"/>
              <w:bottom w:val="nil"/>
              <w:right w:val="nil"/>
            </w:tcBorders>
            <w:shd w:val="clear" w:color="000000" w:fill="C9E3B4"/>
            <w:noWrap/>
            <w:vAlign w:val="center"/>
            <w:hideMark/>
          </w:tcPr>
          <w:p w14:paraId="48233CE2" w14:textId="77777777" w:rsidR="0031548F" w:rsidRPr="00092B22" w:rsidRDefault="0031548F"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0AE3849E" w14:textId="77777777" w:rsidR="0031548F" w:rsidRPr="00092B22"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5563650F" w14:textId="77777777" w:rsidR="0031548F" w:rsidRPr="00092B22" w:rsidRDefault="0031548F"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353 </w:t>
            </w:r>
          </w:p>
        </w:tc>
      </w:tr>
      <w:tr w:rsidR="0031548F" w:rsidRPr="00092B22" w14:paraId="295E73A3" w14:textId="77777777" w:rsidTr="00E607DA">
        <w:trPr>
          <w:trHeight w:val="23"/>
        </w:trPr>
        <w:tc>
          <w:tcPr>
            <w:tcW w:w="4820" w:type="dxa"/>
            <w:tcBorders>
              <w:top w:val="nil"/>
              <w:left w:val="nil"/>
              <w:bottom w:val="nil"/>
              <w:right w:val="nil"/>
            </w:tcBorders>
            <w:shd w:val="clear" w:color="auto" w:fill="auto"/>
            <w:vAlign w:val="center"/>
            <w:hideMark/>
          </w:tcPr>
          <w:p w14:paraId="7504E921" w14:textId="77777777" w:rsidR="0031548F" w:rsidRPr="00092B22" w:rsidRDefault="0031548F"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t>Transfer from level 2 to level 3</w:t>
            </w:r>
          </w:p>
        </w:tc>
        <w:tc>
          <w:tcPr>
            <w:tcW w:w="1361" w:type="dxa"/>
            <w:tcBorders>
              <w:top w:val="nil"/>
              <w:left w:val="nil"/>
              <w:bottom w:val="nil"/>
              <w:right w:val="nil"/>
            </w:tcBorders>
            <w:shd w:val="clear" w:color="000000" w:fill="C9E3B4"/>
            <w:noWrap/>
            <w:vAlign w:val="center"/>
            <w:hideMark/>
          </w:tcPr>
          <w:p w14:paraId="58708FC6" w14:textId="77777777" w:rsidR="0031548F" w:rsidRPr="00092B22" w:rsidRDefault="0031548F"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(2,274)</w:t>
            </w:r>
          </w:p>
        </w:tc>
        <w:tc>
          <w:tcPr>
            <w:tcW w:w="198" w:type="dxa"/>
            <w:tcBorders>
              <w:top w:val="nil"/>
              <w:left w:val="nil"/>
              <w:bottom w:val="nil"/>
              <w:right w:val="nil"/>
            </w:tcBorders>
            <w:shd w:val="clear" w:color="auto" w:fill="auto"/>
            <w:noWrap/>
            <w:vAlign w:val="center"/>
            <w:hideMark/>
          </w:tcPr>
          <w:p w14:paraId="71487146" w14:textId="77777777" w:rsidR="0031548F" w:rsidRPr="00092B22"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032E7C2D" w14:textId="77777777" w:rsidR="0031548F" w:rsidRPr="00092B22" w:rsidRDefault="0031548F"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r>
      <w:tr w:rsidR="0031548F" w:rsidRPr="00092B22" w14:paraId="24DAE831" w14:textId="77777777" w:rsidTr="00E607DA">
        <w:trPr>
          <w:trHeight w:val="23"/>
        </w:trPr>
        <w:tc>
          <w:tcPr>
            <w:tcW w:w="4820" w:type="dxa"/>
            <w:tcBorders>
              <w:top w:val="nil"/>
              <w:left w:val="nil"/>
              <w:bottom w:val="nil"/>
              <w:right w:val="nil"/>
            </w:tcBorders>
            <w:shd w:val="clear" w:color="auto" w:fill="auto"/>
            <w:vAlign w:val="center"/>
            <w:hideMark/>
          </w:tcPr>
          <w:p w14:paraId="2786EAEB" w14:textId="77777777" w:rsidR="0031548F" w:rsidRPr="00092B22" w:rsidRDefault="0031548F"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t>Transfer from level 3 to level 2</w:t>
            </w:r>
          </w:p>
        </w:tc>
        <w:tc>
          <w:tcPr>
            <w:tcW w:w="1361" w:type="dxa"/>
            <w:tcBorders>
              <w:top w:val="nil"/>
              <w:left w:val="nil"/>
              <w:bottom w:val="nil"/>
              <w:right w:val="nil"/>
            </w:tcBorders>
            <w:shd w:val="clear" w:color="000000" w:fill="C9E3B4"/>
            <w:noWrap/>
            <w:vAlign w:val="center"/>
            <w:hideMark/>
          </w:tcPr>
          <w:p w14:paraId="7DEEF469" w14:textId="77777777" w:rsidR="0031548F" w:rsidRPr="00092B22" w:rsidRDefault="0031548F"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(6)</w:t>
            </w:r>
          </w:p>
        </w:tc>
        <w:tc>
          <w:tcPr>
            <w:tcW w:w="198" w:type="dxa"/>
            <w:tcBorders>
              <w:top w:val="nil"/>
              <w:left w:val="nil"/>
              <w:bottom w:val="nil"/>
              <w:right w:val="nil"/>
            </w:tcBorders>
            <w:shd w:val="clear" w:color="auto" w:fill="auto"/>
            <w:noWrap/>
            <w:vAlign w:val="center"/>
            <w:hideMark/>
          </w:tcPr>
          <w:p w14:paraId="53236571" w14:textId="77777777" w:rsidR="0031548F" w:rsidRPr="00092B22"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0FF77F4A" w14:textId="77777777" w:rsidR="0031548F" w:rsidRPr="00092B22" w:rsidRDefault="0031548F"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r>
      <w:tr w:rsidR="0031548F" w:rsidRPr="00092B22" w14:paraId="6F513AA1" w14:textId="77777777" w:rsidTr="00E607DA">
        <w:trPr>
          <w:trHeight w:val="23"/>
        </w:trPr>
        <w:tc>
          <w:tcPr>
            <w:tcW w:w="4820" w:type="dxa"/>
            <w:tcBorders>
              <w:top w:val="nil"/>
              <w:left w:val="nil"/>
              <w:bottom w:val="nil"/>
              <w:right w:val="nil"/>
            </w:tcBorders>
            <w:shd w:val="clear" w:color="auto" w:fill="auto"/>
            <w:vAlign w:val="center"/>
            <w:hideMark/>
          </w:tcPr>
          <w:p w14:paraId="7D0A5D04" w14:textId="77777777" w:rsidR="0031548F" w:rsidRPr="00092B22" w:rsidRDefault="0031548F"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t>Transfers to other Queensland Government entities</w:t>
            </w:r>
          </w:p>
        </w:tc>
        <w:tc>
          <w:tcPr>
            <w:tcW w:w="1361" w:type="dxa"/>
            <w:tcBorders>
              <w:top w:val="nil"/>
              <w:left w:val="nil"/>
              <w:bottom w:val="nil"/>
              <w:right w:val="nil"/>
            </w:tcBorders>
            <w:shd w:val="clear" w:color="000000" w:fill="C9E3B4"/>
            <w:noWrap/>
            <w:vAlign w:val="center"/>
            <w:hideMark/>
          </w:tcPr>
          <w:p w14:paraId="119F4BA8" w14:textId="77777777" w:rsidR="0031548F" w:rsidRPr="00092B22" w:rsidRDefault="0031548F"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(13)</w:t>
            </w:r>
          </w:p>
        </w:tc>
        <w:tc>
          <w:tcPr>
            <w:tcW w:w="198" w:type="dxa"/>
            <w:tcBorders>
              <w:top w:val="nil"/>
              <w:left w:val="nil"/>
              <w:bottom w:val="nil"/>
              <w:right w:val="nil"/>
            </w:tcBorders>
            <w:shd w:val="clear" w:color="auto" w:fill="auto"/>
            <w:noWrap/>
            <w:vAlign w:val="center"/>
            <w:hideMark/>
          </w:tcPr>
          <w:p w14:paraId="27262068" w14:textId="77777777" w:rsidR="0031548F" w:rsidRPr="00092B22"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7CB60E58" w14:textId="77777777" w:rsidR="0031548F" w:rsidRPr="00092B22" w:rsidRDefault="0031548F"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r>
      <w:tr w:rsidR="0031548F" w:rsidRPr="00092B22" w14:paraId="757323B7" w14:textId="77777777" w:rsidTr="00E607DA">
        <w:trPr>
          <w:trHeight w:val="23"/>
        </w:trPr>
        <w:tc>
          <w:tcPr>
            <w:tcW w:w="4820" w:type="dxa"/>
            <w:tcBorders>
              <w:top w:val="nil"/>
              <w:left w:val="nil"/>
              <w:bottom w:val="nil"/>
              <w:right w:val="nil"/>
            </w:tcBorders>
            <w:shd w:val="clear" w:color="auto" w:fill="auto"/>
            <w:noWrap/>
            <w:vAlign w:val="center"/>
            <w:hideMark/>
          </w:tcPr>
          <w:p w14:paraId="1A432BA6" w14:textId="77777777" w:rsidR="0031548F" w:rsidRPr="00092B22" w:rsidRDefault="0031548F"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t>Disposals</w:t>
            </w:r>
          </w:p>
        </w:tc>
        <w:tc>
          <w:tcPr>
            <w:tcW w:w="1361" w:type="dxa"/>
            <w:tcBorders>
              <w:top w:val="nil"/>
              <w:left w:val="nil"/>
              <w:bottom w:val="nil"/>
              <w:right w:val="nil"/>
            </w:tcBorders>
            <w:shd w:val="clear" w:color="000000" w:fill="C9E3B4"/>
            <w:noWrap/>
            <w:vAlign w:val="center"/>
            <w:hideMark/>
          </w:tcPr>
          <w:p w14:paraId="1DEE4E35" w14:textId="77777777" w:rsidR="0031548F" w:rsidRPr="00092B22" w:rsidRDefault="0031548F"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5A3B04FE" w14:textId="77777777" w:rsidR="0031548F" w:rsidRPr="00092B22"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253B77E4" w14:textId="77777777" w:rsidR="0031548F" w:rsidRPr="00092B22" w:rsidRDefault="0031548F"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(121)</w:t>
            </w:r>
          </w:p>
        </w:tc>
      </w:tr>
      <w:tr w:rsidR="0031548F" w:rsidRPr="00092B22" w14:paraId="73564E69" w14:textId="77777777" w:rsidTr="00E607DA">
        <w:trPr>
          <w:trHeight w:val="23"/>
        </w:trPr>
        <w:tc>
          <w:tcPr>
            <w:tcW w:w="4820" w:type="dxa"/>
            <w:tcBorders>
              <w:top w:val="nil"/>
              <w:left w:val="nil"/>
              <w:bottom w:val="nil"/>
              <w:right w:val="nil"/>
            </w:tcBorders>
            <w:shd w:val="clear" w:color="auto" w:fill="auto"/>
            <w:noWrap/>
            <w:vAlign w:val="center"/>
            <w:hideMark/>
          </w:tcPr>
          <w:p w14:paraId="5D2E2508" w14:textId="77777777" w:rsidR="0031548F" w:rsidRPr="00092B22" w:rsidRDefault="0031548F"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t>Assets reclassified as held for sale</w:t>
            </w:r>
          </w:p>
        </w:tc>
        <w:tc>
          <w:tcPr>
            <w:tcW w:w="1361" w:type="dxa"/>
            <w:tcBorders>
              <w:top w:val="nil"/>
              <w:left w:val="nil"/>
              <w:bottom w:val="nil"/>
              <w:right w:val="nil"/>
            </w:tcBorders>
            <w:shd w:val="clear" w:color="000000" w:fill="C9E3B4"/>
            <w:noWrap/>
            <w:vAlign w:val="center"/>
            <w:hideMark/>
          </w:tcPr>
          <w:p w14:paraId="4E4F7FFE" w14:textId="77777777" w:rsidR="0031548F" w:rsidRPr="00092B22" w:rsidRDefault="0031548F"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(280)</w:t>
            </w:r>
          </w:p>
        </w:tc>
        <w:tc>
          <w:tcPr>
            <w:tcW w:w="198" w:type="dxa"/>
            <w:tcBorders>
              <w:top w:val="nil"/>
              <w:left w:val="nil"/>
              <w:bottom w:val="nil"/>
              <w:right w:val="nil"/>
            </w:tcBorders>
            <w:shd w:val="clear" w:color="auto" w:fill="auto"/>
            <w:noWrap/>
            <w:vAlign w:val="center"/>
            <w:hideMark/>
          </w:tcPr>
          <w:p w14:paraId="5AEE162D" w14:textId="77777777" w:rsidR="0031548F" w:rsidRPr="00092B22"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7AD5B38E" w14:textId="77777777" w:rsidR="0031548F" w:rsidRPr="00092B22" w:rsidRDefault="0031548F"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r>
      <w:tr w:rsidR="0031548F" w:rsidRPr="00092B22" w14:paraId="03F9EE6D" w14:textId="77777777" w:rsidTr="00E607DA">
        <w:trPr>
          <w:trHeight w:val="23"/>
        </w:trPr>
        <w:tc>
          <w:tcPr>
            <w:tcW w:w="4820" w:type="dxa"/>
            <w:tcBorders>
              <w:top w:val="nil"/>
              <w:left w:val="nil"/>
              <w:bottom w:val="nil"/>
              <w:right w:val="nil"/>
            </w:tcBorders>
            <w:shd w:val="clear" w:color="auto" w:fill="auto"/>
            <w:vAlign w:val="center"/>
            <w:hideMark/>
          </w:tcPr>
          <w:p w14:paraId="510B0DDA" w14:textId="77777777" w:rsidR="0031548F" w:rsidRPr="00092B22" w:rsidRDefault="0031548F"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t>Net revaluation increments</w:t>
            </w:r>
          </w:p>
        </w:tc>
        <w:tc>
          <w:tcPr>
            <w:tcW w:w="1361" w:type="dxa"/>
            <w:tcBorders>
              <w:top w:val="nil"/>
              <w:left w:val="nil"/>
              <w:bottom w:val="nil"/>
              <w:right w:val="nil"/>
            </w:tcBorders>
            <w:shd w:val="clear" w:color="000000" w:fill="C9E3B4"/>
            <w:noWrap/>
            <w:vAlign w:val="center"/>
            <w:hideMark/>
          </w:tcPr>
          <w:p w14:paraId="301F39D7" w14:textId="77777777" w:rsidR="0031548F" w:rsidRPr="00092B22" w:rsidRDefault="0031548F"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13,037 </w:t>
            </w:r>
          </w:p>
        </w:tc>
        <w:tc>
          <w:tcPr>
            <w:tcW w:w="198" w:type="dxa"/>
            <w:tcBorders>
              <w:top w:val="nil"/>
              <w:left w:val="nil"/>
              <w:bottom w:val="nil"/>
              <w:right w:val="nil"/>
            </w:tcBorders>
            <w:shd w:val="clear" w:color="auto" w:fill="auto"/>
            <w:noWrap/>
            <w:vAlign w:val="center"/>
            <w:hideMark/>
          </w:tcPr>
          <w:p w14:paraId="38FAB82F" w14:textId="77777777" w:rsidR="0031548F" w:rsidRPr="00092B22"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0578BD11" w14:textId="77777777" w:rsidR="0031548F" w:rsidRPr="00092B22" w:rsidRDefault="0031548F"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43,956 </w:t>
            </w:r>
          </w:p>
        </w:tc>
      </w:tr>
      <w:tr w:rsidR="0031548F" w:rsidRPr="00092B22" w14:paraId="61D9FB46" w14:textId="77777777" w:rsidTr="00E607DA">
        <w:trPr>
          <w:trHeight w:val="23"/>
        </w:trPr>
        <w:tc>
          <w:tcPr>
            <w:tcW w:w="4820" w:type="dxa"/>
            <w:tcBorders>
              <w:top w:val="nil"/>
              <w:left w:val="nil"/>
              <w:bottom w:val="nil"/>
              <w:right w:val="nil"/>
            </w:tcBorders>
            <w:shd w:val="clear" w:color="auto" w:fill="auto"/>
            <w:vAlign w:val="center"/>
            <w:hideMark/>
          </w:tcPr>
          <w:p w14:paraId="263C7662" w14:textId="77777777" w:rsidR="0031548F" w:rsidRPr="00092B22" w:rsidRDefault="0031548F"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t>Depreciation</w:t>
            </w:r>
          </w:p>
        </w:tc>
        <w:tc>
          <w:tcPr>
            <w:tcW w:w="1361" w:type="dxa"/>
            <w:tcBorders>
              <w:top w:val="nil"/>
              <w:left w:val="nil"/>
              <w:bottom w:val="nil"/>
              <w:right w:val="nil"/>
            </w:tcBorders>
            <w:shd w:val="clear" w:color="000000" w:fill="C9E3B4"/>
            <w:noWrap/>
            <w:vAlign w:val="center"/>
            <w:hideMark/>
          </w:tcPr>
          <w:p w14:paraId="78965C93" w14:textId="77777777" w:rsidR="0031548F" w:rsidRPr="00092B22" w:rsidRDefault="0031548F"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3B6A5E7A" w14:textId="77777777" w:rsidR="0031548F" w:rsidRPr="00092B22" w:rsidRDefault="0031548F"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000000" w:fill="C9E3B4"/>
            <w:noWrap/>
            <w:vAlign w:val="center"/>
            <w:hideMark/>
          </w:tcPr>
          <w:p w14:paraId="7AB73786" w14:textId="77777777" w:rsidR="0031548F" w:rsidRPr="00092B22" w:rsidRDefault="0031548F"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(22,393)</w:t>
            </w:r>
          </w:p>
        </w:tc>
      </w:tr>
      <w:tr w:rsidR="0031548F" w:rsidRPr="00092B22" w14:paraId="031B3A43" w14:textId="77777777" w:rsidTr="00E607DA">
        <w:trPr>
          <w:trHeight w:val="23"/>
        </w:trPr>
        <w:tc>
          <w:tcPr>
            <w:tcW w:w="4820" w:type="dxa"/>
            <w:tcBorders>
              <w:top w:val="single" w:sz="4" w:space="0" w:color="auto"/>
              <w:left w:val="nil"/>
              <w:bottom w:val="double" w:sz="6" w:space="0" w:color="auto"/>
              <w:right w:val="nil"/>
            </w:tcBorders>
            <w:shd w:val="clear" w:color="auto" w:fill="auto"/>
            <w:vAlign w:val="center"/>
            <w:hideMark/>
          </w:tcPr>
          <w:p w14:paraId="0289A658" w14:textId="77777777" w:rsidR="0031548F" w:rsidRPr="00092B22" w:rsidRDefault="0031548F"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t>Carrying amount at 30 June</w:t>
            </w:r>
          </w:p>
        </w:tc>
        <w:tc>
          <w:tcPr>
            <w:tcW w:w="1361" w:type="dxa"/>
            <w:tcBorders>
              <w:top w:val="single" w:sz="4" w:space="0" w:color="auto"/>
              <w:left w:val="nil"/>
              <w:bottom w:val="double" w:sz="6" w:space="0" w:color="auto"/>
              <w:right w:val="nil"/>
            </w:tcBorders>
            <w:shd w:val="clear" w:color="000000" w:fill="C9E3B4"/>
            <w:noWrap/>
            <w:vAlign w:val="center"/>
            <w:hideMark/>
          </w:tcPr>
          <w:p w14:paraId="75BF1F62" w14:textId="77777777" w:rsidR="0031548F" w:rsidRPr="00092B22" w:rsidRDefault="0031548F"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104,828 </w:t>
            </w:r>
          </w:p>
        </w:tc>
        <w:tc>
          <w:tcPr>
            <w:tcW w:w="198" w:type="dxa"/>
            <w:tcBorders>
              <w:top w:val="nil"/>
              <w:left w:val="nil"/>
              <w:bottom w:val="nil"/>
              <w:right w:val="nil"/>
            </w:tcBorders>
            <w:shd w:val="clear" w:color="auto" w:fill="auto"/>
            <w:noWrap/>
            <w:vAlign w:val="center"/>
            <w:hideMark/>
          </w:tcPr>
          <w:p w14:paraId="4023F342" w14:textId="77777777" w:rsidR="0031548F" w:rsidRPr="00092B22" w:rsidRDefault="0031548F" w:rsidP="00E607DA">
            <w:pPr>
              <w:jc w:val="right"/>
              <w:rPr>
                <w:rFonts w:ascii="Meta Pro" w:eastAsia="Times New Roman" w:hAnsi="Meta Pro"/>
                <w:sz w:val="16"/>
                <w:szCs w:val="16"/>
                <w:lang w:eastAsia="en-AU"/>
              </w:rPr>
            </w:pPr>
          </w:p>
        </w:tc>
        <w:tc>
          <w:tcPr>
            <w:tcW w:w="1361" w:type="dxa"/>
            <w:tcBorders>
              <w:top w:val="single" w:sz="4" w:space="0" w:color="auto"/>
              <w:left w:val="nil"/>
              <w:bottom w:val="double" w:sz="6" w:space="0" w:color="auto"/>
              <w:right w:val="nil"/>
            </w:tcBorders>
            <w:shd w:val="clear" w:color="000000" w:fill="C9E3B4"/>
            <w:noWrap/>
            <w:vAlign w:val="center"/>
            <w:hideMark/>
          </w:tcPr>
          <w:p w14:paraId="3E37F0BC" w14:textId="77777777" w:rsidR="0031548F" w:rsidRPr="00092B22" w:rsidRDefault="0031548F"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528,237 </w:t>
            </w:r>
          </w:p>
        </w:tc>
      </w:tr>
    </w:tbl>
    <w:p w14:paraId="4696C746" w14:textId="77777777" w:rsidR="0031548F" w:rsidRPr="00092B22" w:rsidRDefault="0031548F" w:rsidP="0031548F">
      <w:pPr>
        <w:spacing w:line="14" w:lineRule="exact"/>
        <w:rPr>
          <w:rFonts w:ascii="Meta Pro" w:hAnsi="Meta Pro"/>
          <w:sz w:val="16"/>
          <w:szCs w:val="16"/>
          <w:lang w:eastAsia="en-AU"/>
        </w:rPr>
      </w:pPr>
    </w:p>
    <w:p w14:paraId="203EF471" w14:textId="2A47F084" w:rsidR="0031548F" w:rsidRPr="00092B22" w:rsidRDefault="0031548F" w:rsidP="00CE1969">
      <w:pPr>
        <w:spacing w:before="120" w:line="259" w:lineRule="auto"/>
        <w:rPr>
          <w:rFonts w:ascii="Meta Pro" w:hAnsi="Meta Pro"/>
          <w:sz w:val="16"/>
          <w:szCs w:val="16"/>
          <w:lang w:eastAsia="en-AU"/>
        </w:rPr>
      </w:pPr>
      <w:r w:rsidRPr="00092B22">
        <w:rPr>
          <w:rFonts w:ascii="Meta Pro" w:hAnsi="Meta Pro"/>
          <w:sz w:val="16"/>
          <w:szCs w:val="16"/>
          <w:lang w:eastAsia="en-AU"/>
        </w:rPr>
        <w:t xml:space="preserve">* Infrastructure consists of roads with a gross replacement cost </w:t>
      </w:r>
      <w:r>
        <w:rPr>
          <w:rFonts w:ascii="Meta Pro" w:hAnsi="Meta Pro"/>
          <w:sz w:val="16"/>
          <w:szCs w:val="16"/>
          <w:lang w:eastAsia="en-AU"/>
        </w:rPr>
        <w:t xml:space="preserve">of </w:t>
      </w:r>
      <w:r w:rsidRPr="00092B22">
        <w:rPr>
          <w:rFonts w:ascii="Meta Pro" w:hAnsi="Meta Pro"/>
          <w:sz w:val="16"/>
          <w:szCs w:val="16"/>
          <w:lang w:eastAsia="en-AU"/>
        </w:rPr>
        <w:t xml:space="preserve">$76.458b and a current replacement cost </w:t>
      </w:r>
      <w:r>
        <w:rPr>
          <w:rFonts w:ascii="Meta Pro" w:hAnsi="Meta Pro"/>
          <w:sz w:val="16"/>
          <w:szCs w:val="16"/>
          <w:lang w:eastAsia="en-AU"/>
        </w:rPr>
        <w:t xml:space="preserve">of </w:t>
      </w:r>
      <w:r w:rsidRPr="00092B22">
        <w:rPr>
          <w:rFonts w:ascii="Meta Pro" w:hAnsi="Meta Pro"/>
          <w:sz w:val="16"/>
          <w:szCs w:val="16"/>
          <w:lang w:eastAsia="en-AU"/>
        </w:rPr>
        <w:t xml:space="preserve">$60.770b, structures with a gross replacement cost </w:t>
      </w:r>
      <w:r>
        <w:rPr>
          <w:rFonts w:ascii="Meta Pro" w:hAnsi="Meta Pro"/>
          <w:sz w:val="16"/>
          <w:szCs w:val="16"/>
          <w:lang w:eastAsia="en-AU"/>
        </w:rPr>
        <w:t xml:space="preserve">of </w:t>
      </w:r>
      <w:r w:rsidRPr="00092B22">
        <w:rPr>
          <w:rFonts w:ascii="Meta Pro" w:hAnsi="Meta Pro"/>
          <w:sz w:val="16"/>
          <w:szCs w:val="16"/>
          <w:lang w:eastAsia="en-AU"/>
        </w:rPr>
        <w:t xml:space="preserve">$19.612b and </w:t>
      </w:r>
      <w:r>
        <w:rPr>
          <w:rFonts w:ascii="Meta Pro" w:hAnsi="Meta Pro"/>
          <w:sz w:val="16"/>
          <w:szCs w:val="16"/>
          <w:lang w:eastAsia="en-AU"/>
        </w:rPr>
        <w:t xml:space="preserve">a </w:t>
      </w:r>
      <w:r w:rsidRPr="00092B22">
        <w:rPr>
          <w:rFonts w:ascii="Meta Pro" w:hAnsi="Meta Pro"/>
          <w:sz w:val="16"/>
          <w:szCs w:val="16"/>
          <w:lang w:eastAsia="en-AU"/>
        </w:rPr>
        <w:t xml:space="preserve">current replacement cost </w:t>
      </w:r>
      <w:r>
        <w:rPr>
          <w:rFonts w:ascii="Meta Pro" w:hAnsi="Meta Pro"/>
          <w:sz w:val="16"/>
          <w:szCs w:val="16"/>
          <w:lang w:eastAsia="en-AU"/>
        </w:rPr>
        <w:t>of</w:t>
      </w:r>
      <w:r w:rsidRPr="00092B22">
        <w:rPr>
          <w:rFonts w:ascii="Meta Pro" w:hAnsi="Meta Pro"/>
          <w:sz w:val="16"/>
          <w:szCs w:val="16"/>
          <w:lang w:eastAsia="en-AU"/>
        </w:rPr>
        <w:t xml:space="preserve"> $11.978b and other  infrastructure with a gross replacement cost </w:t>
      </w:r>
      <w:r>
        <w:rPr>
          <w:rFonts w:ascii="Meta Pro" w:hAnsi="Meta Pro"/>
          <w:sz w:val="16"/>
          <w:szCs w:val="16"/>
          <w:lang w:eastAsia="en-AU"/>
        </w:rPr>
        <w:t xml:space="preserve">of </w:t>
      </w:r>
      <w:r w:rsidRPr="00092B22">
        <w:rPr>
          <w:rFonts w:ascii="Meta Pro" w:hAnsi="Meta Pro"/>
          <w:sz w:val="16"/>
          <w:szCs w:val="16"/>
          <w:lang w:eastAsia="en-AU"/>
        </w:rPr>
        <w:t xml:space="preserve">$0.834b and a current replacement cost </w:t>
      </w:r>
      <w:r>
        <w:rPr>
          <w:rFonts w:ascii="Meta Pro" w:hAnsi="Meta Pro"/>
          <w:sz w:val="16"/>
          <w:szCs w:val="16"/>
          <w:lang w:eastAsia="en-AU"/>
        </w:rPr>
        <w:t xml:space="preserve">of </w:t>
      </w:r>
      <w:r w:rsidRPr="00092B22">
        <w:rPr>
          <w:rFonts w:ascii="Meta Pro" w:hAnsi="Meta Pro"/>
          <w:sz w:val="16"/>
          <w:szCs w:val="16"/>
          <w:lang w:eastAsia="en-AU"/>
        </w:rPr>
        <w:t>$0.489b.</w:t>
      </w:r>
    </w:p>
    <w:p w14:paraId="5AA8B6B8" w14:textId="6ABD182F" w:rsidR="007269AD" w:rsidRDefault="0031548F" w:rsidP="00CE1969">
      <w:pPr>
        <w:spacing w:before="120" w:line="259" w:lineRule="auto"/>
        <w:rPr>
          <w:rFonts w:ascii="Meta Pro" w:hAnsi="Meta Pro"/>
          <w:sz w:val="16"/>
          <w:szCs w:val="16"/>
          <w:lang w:eastAsia="en-AU"/>
        </w:rPr>
      </w:pPr>
      <w:r w:rsidRPr="00092B22">
        <w:rPr>
          <w:rFonts w:ascii="Meta Pro" w:hAnsi="Meta Pro"/>
          <w:sz w:val="16"/>
          <w:szCs w:val="16"/>
          <w:lang w:eastAsia="en-AU"/>
        </w:rPr>
        <w:t xml:space="preserve">** The department has assessed market sensitivity and the fair value movements from the valuation date to 30 June 2022 for its significant assets. Accordingly an </w:t>
      </w:r>
      <w:r>
        <w:rPr>
          <w:rFonts w:ascii="Meta Pro" w:hAnsi="Meta Pro"/>
          <w:sz w:val="16"/>
          <w:szCs w:val="16"/>
          <w:lang w:eastAsia="en-AU"/>
        </w:rPr>
        <w:t xml:space="preserve">additional </w:t>
      </w:r>
      <w:r w:rsidRPr="00092B22">
        <w:rPr>
          <w:rFonts w:ascii="Meta Pro" w:hAnsi="Meta Pro"/>
          <w:sz w:val="16"/>
          <w:szCs w:val="16"/>
          <w:lang w:eastAsia="en-AU"/>
        </w:rPr>
        <w:t>adjustment of $7.055b has been made to the carrying</w:t>
      </w:r>
      <w:r>
        <w:rPr>
          <w:rFonts w:ascii="Meta Pro" w:hAnsi="Meta Pro"/>
          <w:sz w:val="16"/>
          <w:szCs w:val="16"/>
          <w:lang w:eastAsia="en-AU"/>
        </w:rPr>
        <w:t xml:space="preserve"> </w:t>
      </w:r>
      <w:r w:rsidRPr="00092B22">
        <w:rPr>
          <w:rFonts w:ascii="Meta Pro" w:hAnsi="Meta Pro"/>
          <w:sz w:val="16"/>
          <w:szCs w:val="16"/>
          <w:lang w:eastAsia="en-AU"/>
        </w:rPr>
        <w:t>amount of</w:t>
      </w:r>
      <w:r>
        <w:rPr>
          <w:rFonts w:ascii="Meta Pro" w:hAnsi="Meta Pro"/>
          <w:sz w:val="16"/>
          <w:szCs w:val="16"/>
          <w:lang w:eastAsia="en-AU"/>
        </w:rPr>
        <w:t xml:space="preserve"> </w:t>
      </w:r>
      <w:r w:rsidRPr="00092B22">
        <w:rPr>
          <w:rFonts w:ascii="Meta Pro" w:hAnsi="Meta Pro"/>
          <w:sz w:val="16"/>
          <w:szCs w:val="16"/>
          <w:lang w:eastAsia="en-AU"/>
        </w:rPr>
        <w:t>road assets since the valuation, as a result of significant increases in the market rates of inputs such as raw materials and plant and labour.</w:t>
      </w:r>
    </w:p>
    <w:p w14:paraId="45E98B40" w14:textId="2B8FEA3F" w:rsidR="003E201E" w:rsidRDefault="003E201E" w:rsidP="003E201E">
      <w:pPr>
        <w:rPr>
          <w:lang w:eastAsia="en-AU"/>
        </w:rPr>
      </w:pPr>
    </w:p>
    <w:p w14:paraId="4B1A3E1D" w14:textId="48CDC676" w:rsidR="003E201E" w:rsidRDefault="003E201E" w:rsidP="003E201E">
      <w:pPr>
        <w:rPr>
          <w:lang w:eastAsia="en-AU"/>
        </w:rPr>
      </w:pPr>
    </w:p>
    <w:tbl>
      <w:tblPr>
        <w:tblW w:w="0" w:type="auto"/>
        <w:tblCellMar>
          <w:left w:w="0" w:type="dxa"/>
        </w:tblCellMar>
        <w:tblLook w:val="04A0" w:firstRow="1" w:lastRow="0" w:firstColumn="1" w:lastColumn="0" w:noHBand="0" w:noVBand="1"/>
      </w:tblPr>
      <w:tblGrid>
        <w:gridCol w:w="4278"/>
        <w:gridCol w:w="1222"/>
        <w:gridCol w:w="195"/>
        <w:gridCol w:w="1222"/>
        <w:gridCol w:w="195"/>
        <w:gridCol w:w="1222"/>
        <w:gridCol w:w="195"/>
        <w:gridCol w:w="1222"/>
        <w:gridCol w:w="195"/>
        <w:gridCol w:w="1222"/>
        <w:gridCol w:w="195"/>
        <w:gridCol w:w="1222"/>
        <w:gridCol w:w="195"/>
        <w:gridCol w:w="1222"/>
      </w:tblGrid>
      <w:tr w:rsidR="00B712A0" w:rsidRPr="00092B22" w14:paraId="26E5223A" w14:textId="77777777" w:rsidTr="00E607DA">
        <w:trPr>
          <w:trHeight w:val="240"/>
        </w:trPr>
        <w:tc>
          <w:tcPr>
            <w:tcW w:w="198" w:type="dxa"/>
            <w:gridSpan w:val="14"/>
            <w:tcBorders>
              <w:top w:val="nil"/>
              <w:left w:val="nil"/>
              <w:bottom w:val="nil"/>
              <w:right w:val="nil"/>
            </w:tcBorders>
            <w:shd w:val="clear" w:color="auto" w:fill="auto"/>
            <w:noWrap/>
            <w:vAlign w:val="center"/>
            <w:hideMark/>
          </w:tcPr>
          <w:p w14:paraId="71821824" w14:textId="77777777" w:rsidR="00B712A0" w:rsidRPr="00092B22" w:rsidRDefault="00B712A0" w:rsidP="00E607DA">
            <w:pPr>
              <w:rPr>
                <w:rFonts w:ascii="Meta Pro" w:eastAsia="Times New Roman" w:hAnsi="Meta Pro"/>
                <w:b/>
                <w:bCs/>
                <w:sz w:val="20"/>
                <w:szCs w:val="20"/>
                <w:lang w:eastAsia="en-AU"/>
              </w:rPr>
            </w:pPr>
            <w:r w:rsidRPr="00092B22">
              <w:rPr>
                <w:rFonts w:ascii="Meta Pro" w:eastAsia="Times New Roman" w:hAnsi="Meta Pro"/>
                <w:b/>
                <w:bCs/>
                <w:sz w:val="20"/>
                <w:szCs w:val="20"/>
                <w:lang w:eastAsia="en-AU"/>
              </w:rPr>
              <w:lastRenderedPageBreak/>
              <w:t>15     PROPERTY, PLANT AND EQUIPMENT (continued)</w:t>
            </w:r>
          </w:p>
        </w:tc>
      </w:tr>
      <w:tr w:rsidR="00B712A0" w:rsidRPr="00092B22" w14:paraId="6B96B3C0" w14:textId="77777777" w:rsidTr="00E607DA">
        <w:trPr>
          <w:trHeight w:val="90"/>
        </w:trPr>
        <w:tc>
          <w:tcPr>
            <w:tcW w:w="4820" w:type="dxa"/>
            <w:tcBorders>
              <w:top w:val="nil"/>
              <w:left w:val="nil"/>
              <w:bottom w:val="nil"/>
              <w:right w:val="nil"/>
            </w:tcBorders>
            <w:shd w:val="clear" w:color="auto" w:fill="auto"/>
            <w:noWrap/>
            <w:vAlign w:val="center"/>
            <w:hideMark/>
          </w:tcPr>
          <w:p w14:paraId="3F5EDC5E" w14:textId="77777777" w:rsidR="00B712A0" w:rsidRPr="00092B22" w:rsidRDefault="00B712A0" w:rsidP="00E607DA">
            <w:pPr>
              <w:rPr>
                <w:rFonts w:ascii="Meta Pro" w:eastAsia="Times New Roman" w:hAnsi="Meta Pro"/>
                <w:b/>
                <w:bCs/>
                <w:sz w:val="20"/>
                <w:szCs w:val="20"/>
                <w:lang w:eastAsia="en-AU"/>
              </w:rPr>
            </w:pPr>
          </w:p>
        </w:tc>
        <w:tc>
          <w:tcPr>
            <w:tcW w:w="1361" w:type="dxa"/>
            <w:tcBorders>
              <w:top w:val="nil"/>
              <w:left w:val="nil"/>
              <w:bottom w:val="nil"/>
              <w:right w:val="nil"/>
            </w:tcBorders>
            <w:shd w:val="clear" w:color="auto" w:fill="auto"/>
            <w:noWrap/>
            <w:vAlign w:val="center"/>
            <w:hideMark/>
          </w:tcPr>
          <w:p w14:paraId="3538DF0F" w14:textId="77777777" w:rsidR="00B712A0" w:rsidRPr="00092B22" w:rsidRDefault="00B712A0"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61D22547" w14:textId="77777777" w:rsidR="00B712A0" w:rsidRPr="00092B22" w:rsidRDefault="00B712A0" w:rsidP="00E607DA">
            <w:pP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55ED0509" w14:textId="77777777" w:rsidR="00B712A0" w:rsidRPr="00092B22" w:rsidRDefault="00B712A0"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00E707DC" w14:textId="77777777" w:rsidR="00B712A0" w:rsidRPr="00092B22" w:rsidRDefault="00B712A0" w:rsidP="00E607DA">
            <w:pP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3A253161" w14:textId="77777777" w:rsidR="00B712A0" w:rsidRPr="00092B22" w:rsidRDefault="00B712A0"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3FE42165" w14:textId="77777777" w:rsidR="00B712A0" w:rsidRPr="00092B22" w:rsidRDefault="00B712A0" w:rsidP="00E607DA">
            <w:pP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2DE1E5C0" w14:textId="77777777" w:rsidR="00B712A0" w:rsidRPr="00092B22" w:rsidRDefault="00B712A0"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4E37CA38" w14:textId="77777777" w:rsidR="00B712A0" w:rsidRPr="00092B22" w:rsidRDefault="00B712A0" w:rsidP="00E607DA">
            <w:pP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4D55AD85" w14:textId="77777777" w:rsidR="00B712A0" w:rsidRPr="00092B22" w:rsidRDefault="00B712A0"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6AEEA5B9" w14:textId="77777777" w:rsidR="00B712A0" w:rsidRPr="00092B22" w:rsidRDefault="00B712A0" w:rsidP="00E607DA">
            <w:pP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6058A550" w14:textId="77777777" w:rsidR="00B712A0" w:rsidRPr="00092B22" w:rsidRDefault="00B712A0"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43CAD8B0" w14:textId="77777777" w:rsidR="00B712A0" w:rsidRPr="00092B22" w:rsidRDefault="00B712A0" w:rsidP="00E607DA">
            <w:pP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57E79D9F" w14:textId="77777777" w:rsidR="00B712A0" w:rsidRPr="00092B22" w:rsidRDefault="00B712A0" w:rsidP="00E607DA">
            <w:pPr>
              <w:rPr>
                <w:rFonts w:ascii="Meta Pro" w:eastAsia="Times New Roman" w:hAnsi="Meta Pro" w:cs="Times New Roman"/>
                <w:sz w:val="20"/>
                <w:szCs w:val="20"/>
                <w:lang w:eastAsia="en-AU"/>
              </w:rPr>
            </w:pPr>
          </w:p>
        </w:tc>
      </w:tr>
      <w:tr w:rsidR="00B712A0" w:rsidRPr="00092B22" w14:paraId="121D1A97" w14:textId="77777777" w:rsidTr="00E607DA">
        <w:trPr>
          <w:trHeight w:val="23"/>
        </w:trPr>
        <w:tc>
          <w:tcPr>
            <w:tcW w:w="4820" w:type="dxa"/>
            <w:tcBorders>
              <w:top w:val="nil"/>
              <w:left w:val="nil"/>
              <w:bottom w:val="nil"/>
              <w:right w:val="nil"/>
            </w:tcBorders>
            <w:shd w:val="clear" w:color="auto" w:fill="auto"/>
            <w:noWrap/>
            <w:vAlign w:val="center"/>
            <w:hideMark/>
          </w:tcPr>
          <w:p w14:paraId="0F7AC889" w14:textId="77777777" w:rsidR="00B712A0" w:rsidRPr="00092B22" w:rsidRDefault="00B712A0" w:rsidP="00E607DA">
            <w:pP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vAlign w:val="center"/>
            <w:hideMark/>
          </w:tcPr>
          <w:p w14:paraId="746BE5F1" w14:textId="77777777" w:rsidR="00B712A0" w:rsidRPr="00092B22" w:rsidRDefault="00B712A0"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Land</w:t>
            </w:r>
          </w:p>
        </w:tc>
        <w:tc>
          <w:tcPr>
            <w:tcW w:w="198" w:type="dxa"/>
            <w:tcBorders>
              <w:top w:val="nil"/>
              <w:left w:val="nil"/>
              <w:bottom w:val="nil"/>
              <w:right w:val="nil"/>
            </w:tcBorders>
            <w:shd w:val="clear" w:color="auto" w:fill="auto"/>
            <w:vAlign w:val="center"/>
            <w:hideMark/>
          </w:tcPr>
          <w:p w14:paraId="6A6134E7" w14:textId="77777777" w:rsidR="00B712A0" w:rsidRPr="00092B22" w:rsidRDefault="00B712A0"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vAlign w:val="center"/>
            <w:hideMark/>
          </w:tcPr>
          <w:p w14:paraId="2E37608E" w14:textId="77777777" w:rsidR="00B712A0" w:rsidRPr="00092B22" w:rsidRDefault="00B712A0"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Buildings</w:t>
            </w:r>
          </w:p>
        </w:tc>
        <w:tc>
          <w:tcPr>
            <w:tcW w:w="198" w:type="dxa"/>
            <w:tcBorders>
              <w:top w:val="nil"/>
              <w:left w:val="nil"/>
              <w:bottom w:val="nil"/>
              <w:right w:val="nil"/>
            </w:tcBorders>
            <w:shd w:val="clear" w:color="auto" w:fill="auto"/>
            <w:vAlign w:val="center"/>
            <w:hideMark/>
          </w:tcPr>
          <w:p w14:paraId="1D7FEAE0" w14:textId="77777777" w:rsidR="00B712A0" w:rsidRPr="00092B22" w:rsidRDefault="00B712A0"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vAlign w:val="center"/>
            <w:hideMark/>
          </w:tcPr>
          <w:p w14:paraId="4F624B32" w14:textId="77777777" w:rsidR="00B712A0" w:rsidRPr="00092B22" w:rsidRDefault="00B712A0"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 xml:space="preserve">Plant and </w:t>
            </w:r>
          </w:p>
        </w:tc>
        <w:tc>
          <w:tcPr>
            <w:tcW w:w="198" w:type="dxa"/>
            <w:tcBorders>
              <w:top w:val="nil"/>
              <w:left w:val="nil"/>
              <w:bottom w:val="nil"/>
              <w:right w:val="nil"/>
            </w:tcBorders>
            <w:shd w:val="clear" w:color="auto" w:fill="auto"/>
            <w:vAlign w:val="center"/>
            <w:hideMark/>
          </w:tcPr>
          <w:p w14:paraId="08EBA35F" w14:textId="77777777" w:rsidR="00B712A0" w:rsidRPr="00092B22" w:rsidRDefault="00B712A0"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vAlign w:val="center"/>
            <w:hideMark/>
          </w:tcPr>
          <w:p w14:paraId="52E71DB2" w14:textId="77777777" w:rsidR="00B712A0" w:rsidRPr="00092B22" w:rsidRDefault="00B712A0"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Major plant</w:t>
            </w:r>
          </w:p>
        </w:tc>
        <w:tc>
          <w:tcPr>
            <w:tcW w:w="198" w:type="dxa"/>
            <w:tcBorders>
              <w:top w:val="nil"/>
              <w:left w:val="nil"/>
              <w:bottom w:val="nil"/>
              <w:right w:val="nil"/>
            </w:tcBorders>
            <w:shd w:val="clear" w:color="auto" w:fill="auto"/>
            <w:vAlign w:val="center"/>
            <w:hideMark/>
          </w:tcPr>
          <w:p w14:paraId="076B199F" w14:textId="77777777" w:rsidR="00B712A0" w:rsidRPr="00092B22" w:rsidRDefault="00B712A0"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vAlign w:val="center"/>
            <w:hideMark/>
          </w:tcPr>
          <w:p w14:paraId="32C2A814" w14:textId="77777777" w:rsidR="00B712A0" w:rsidRPr="00092B22" w:rsidRDefault="00B712A0"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Infrastructure **</w:t>
            </w:r>
          </w:p>
        </w:tc>
        <w:tc>
          <w:tcPr>
            <w:tcW w:w="198" w:type="dxa"/>
            <w:tcBorders>
              <w:top w:val="nil"/>
              <w:left w:val="nil"/>
              <w:bottom w:val="nil"/>
              <w:right w:val="nil"/>
            </w:tcBorders>
            <w:shd w:val="clear" w:color="auto" w:fill="auto"/>
            <w:vAlign w:val="center"/>
            <w:hideMark/>
          </w:tcPr>
          <w:p w14:paraId="70B6CD65" w14:textId="77777777" w:rsidR="00B712A0" w:rsidRPr="00092B22" w:rsidRDefault="00B712A0"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vAlign w:val="center"/>
            <w:hideMark/>
          </w:tcPr>
          <w:p w14:paraId="2FF29C7F" w14:textId="77777777" w:rsidR="00B712A0" w:rsidRPr="00092B22" w:rsidRDefault="00B712A0"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Work in</w:t>
            </w:r>
          </w:p>
        </w:tc>
        <w:tc>
          <w:tcPr>
            <w:tcW w:w="198" w:type="dxa"/>
            <w:tcBorders>
              <w:top w:val="nil"/>
              <w:left w:val="nil"/>
              <w:bottom w:val="nil"/>
              <w:right w:val="nil"/>
            </w:tcBorders>
            <w:shd w:val="clear" w:color="auto" w:fill="auto"/>
            <w:vAlign w:val="center"/>
            <w:hideMark/>
          </w:tcPr>
          <w:p w14:paraId="096A70E8" w14:textId="77777777" w:rsidR="00B712A0" w:rsidRPr="00092B22" w:rsidRDefault="00B712A0"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vAlign w:val="center"/>
            <w:hideMark/>
          </w:tcPr>
          <w:p w14:paraId="537A33AB" w14:textId="77777777" w:rsidR="00B712A0" w:rsidRPr="00092B22" w:rsidRDefault="00B712A0"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Total</w:t>
            </w:r>
          </w:p>
        </w:tc>
      </w:tr>
      <w:tr w:rsidR="00B712A0" w:rsidRPr="00092B22" w14:paraId="7474A2B3" w14:textId="77777777" w:rsidTr="00E607DA">
        <w:trPr>
          <w:trHeight w:val="23"/>
        </w:trPr>
        <w:tc>
          <w:tcPr>
            <w:tcW w:w="4820" w:type="dxa"/>
            <w:tcBorders>
              <w:top w:val="nil"/>
              <w:left w:val="nil"/>
              <w:bottom w:val="nil"/>
              <w:right w:val="nil"/>
            </w:tcBorders>
            <w:shd w:val="clear" w:color="auto" w:fill="auto"/>
            <w:noWrap/>
            <w:vAlign w:val="center"/>
            <w:hideMark/>
          </w:tcPr>
          <w:p w14:paraId="0191C2D0" w14:textId="77777777" w:rsidR="00B712A0" w:rsidRPr="00092B22" w:rsidRDefault="00B712A0"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vAlign w:val="center"/>
            <w:hideMark/>
          </w:tcPr>
          <w:p w14:paraId="4FEB62A1" w14:textId="77777777" w:rsidR="00B712A0" w:rsidRPr="00092B22" w:rsidRDefault="00B712A0"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vAlign w:val="center"/>
            <w:hideMark/>
          </w:tcPr>
          <w:p w14:paraId="143395C1" w14:textId="77777777" w:rsidR="00B712A0" w:rsidRPr="00092B22" w:rsidRDefault="00B712A0"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vAlign w:val="center"/>
            <w:hideMark/>
          </w:tcPr>
          <w:p w14:paraId="1A04D532" w14:textId="77777777" w:rsidR="00B712A0" w:rsidRPr="00092B22" w:rsidRDefault="00B712A0" w:rsidP="00E607DA">
            <w:pPr>
              <w:jc w:val="cente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vAlign w:val="center"/>
            <w:hideMark/>
          </w:tcPr>
          <w:p w14:paraId="4673AEF6" w14:textId="77777777" w:rsidR="00B712A0" w:rsidRPr="00092B22" w:rsidRDefault="00B712A0"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5F0BFE5D" w14:textId="77777777" w:rsidR="00B712A0" w:rsidRPr="00092B22" w:rsidRDefault="00B712A0"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equipment *</w:t>
            </w:r>
          </w:p>
        </w:tc>
        <w:tc>
          <w:tcPr>
            <w:tcW w:w="198" w:type="dxa"/>
            <w:tcBorders>
              <w:top w:val="nil"/>
              <w:left w:val="nil"/>
              <w:bottom w:val="nil"/>
              <w:right w:val="nil"/>
            </w:tcBorders>
            <w:shd w:val="clear" w:color="auto" w:fill="auto"/>
            <w:vAlign w:val="center"/>
            <w:hideMark/>
          </w:tcPr>
          <w:p w14:paraId="6A2A1E4F" w14:textId="77777777" w:rsidR="00B712A0" w:rsidRPr="00092B22" w:rsidRDefault="00B712A0"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6CD9A572" w14:textId="77777777" w:rsidR="00B712A0" w:rsidRPr="00092B22" w:rsidRDefault="00B712A0"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 xml:space="preserve"> and</w:t>
            </w:r>
          </w:p>
        </w:tc>
        <w:tc>
          <w:tcPr>
            <w:tcW w:w="198" w:type="dxa"/>
            <w:tcBorders>
              <w:top w:val="nil"/>
              <w:left w:val="nil"/>
              <w:bottom w:val="nil"/>
              <w:right w:val="nil"/>
            </w:tcBorders>
            <w:shd w:val="clear" w:color="auto" w:fill="auto"/>
            <w:vAlign w:val="center"/>
            <w:hideMark/>
          </w:tcPr>
          <w:p w14:paraId="74AD0411" w14:textId="77777777" w:rsidR="00B712A0" w:rsidRPr="00092B22" w:rsidRDefault="00B712A0"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vAlign w:val="center"/>
            <w:hideMark/>
          </w:tcPr>
          <w:p w14:paraId="2C81F18B" w14:textId="77777777" w:rsidR="00B712A0" w:rsidRPr="00092B22" w:rsidRDefault="00B712A0" w:rsidP="00E607DA">
            <w:pPr>
              <w:jc w:val="cente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vAlign w:val="center"/>
            <w:hideMark/>
          </w:tcPr>
          <w:p w14:paraId="101C3498" w14:textId="77777777" w:rsidR="00B712A0" w:rsidRPr="00092B22" w:rsidRDefault="00B712A0"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vAlign w:val="center"/>
            <w:hideMark/>
          </w:tcPr>
          <w:p w14:paraId="251A6F8E" w14:textId="77777777" w:rsidR="00B712A0" w:rsidRPr="00092B22" w:rsidRDefault="00B712A0"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progress ***</w:t>
            </w:r>
          </w:p>
        </w:tc>
        <w:tc>
          <w:tcPr>
            <w:tcW w:w="198" w:type="dxa"/>
            <w:tcBorders>
              <w:top w:val="nil"/>
              <w:left w:val="nil"/>
              <w:bottom w:val="nil"/>
              <w:right w:val="nil"/>
            </w:tcBorders>
            <w:shd w:val="clear" w:color="auto" w:fill="auto"/>
            <w:vAlign w:val="center"/>
            <w:hideMark/>
          </w:tcPr>
          <w:p w14:paraId="0236673E" w14:textId="77777777" w:rsidR="00B712A0" w:rsidRPr="00092B22" w:rsidRDefault="00B712A0"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vAlign w:val="center"/>
            <w:hideMark/>
          </w:tcPr>
          <w:p w14:paraId="7C236207" w14:textId="77777777" w:rsidR="00B712A0" w:rsidRPr="00092B22" w:rsidRDefault="00B712A0" w:rsidP="00E607DA">
            <w:pPr>
              <w:jc w:val="center"/>
              <w:rPr>
                <w:rFonts w:ascii="Meta Pro" w:eastAsia="Times New Roman" w:hAnsi="Meta Pro" w:cs="Times New Roman"/>
                <w:sz w:val="20"/>
                <w:szCs w:val="20"/>
                <w:lang w:eastAsia="en-AU"/>
              </w:rPr>
            </w:pPr>
          </w:p>
        </w:tc>
      </w:tr>
      <w:tr w:rsidR="00B712A0" w:rsidRPr="00092B22" w14:paraId="70DAB8BD" w14:textId="77777777" w:rsidTr="00E607DA">
        <w:trPr>
          <w:trHeight w:val="23"/>
        </w:trPr>
        <w:tc>
          <w:tcPr>
            <w:tcW w:w="4820" w:type="dxa"/>
            <w:tcBorders>
              <w:top w:val="nil"/>
              <w:left w:val="nil"/>
              <w:bottom w:val="nil"/>
              <w:right w:val="nil"/>
            </w:tcBorders>
            <w:shd w:val="clear" w:color="auto" w:fill="auto"/>
            <w:noWrap/>
            <w:vAlign w:val="center"/>
            <w:hideMark/>
          </w:tcPr>
          <w:p w14:paraId="39929D0C" w14:textId="77777777" w:rsidR="00B712A0" w:rsidRPr="00092B22" w:rsidRDefault="00B712A0"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vAlign w:val="center"/>
            <w:hideMark/>
          </w:tcPr>
          <w:p w14:paraId="489F9E1D" w14:textId="77777777" w:rsidR="00B712A0" w:rsidRPr="00092B22" w:rsidRDefault="00B712A0"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vAlign w:val="center"/>
            <w:hideMark/>
          </w:tcPr>
          <w:p w14:paraId="2E81A6B0" w14:textId="77777777" w:rsidR="00B712A0" w:rsidRPr="00092B22" w:rsidRDefault="00B712A0"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vAlign w:val="center"/>
            <w:hideMark/>
          </w:tcPr>
          <w:p w14:paraId="3EE473D9" w14:textId="77777777" w:rsidR="00B712A0" w:rsidRPr="00092B22" w:rsidRDefault="00B712A0" w:rsidP="00E607DA">
            <w:pPr>
              <w:jc w:val="cente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vAlign w:val="center"/>
            <w:hideMark/>
          </w:tcPr>
          <w:p w14:paraId="5D3D115D" w14:textId="77777777" w:rsidR="00B712A0" w:rsidRPr="00092B22" w:rsidRDefault="00B712A0"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0AD00C35" w14:textId="77777777" w:rsidR="00B712A0" w:rsidRPr="00092B22" w:rsidRDefault="00B712A0" w:rsidP="00E607DA">
            <w:pPr>
              <w:jc w:val="cente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vAlign w:val="center"/>
            <w:hideMark/>
          </w:tcPr>
          <w:p w14:paraId="6A71048C" w14:textId="77777777" w:rsidR="00B712A0" w:rsidRPr="00092B22" w:rsidRDefault="00B712A0"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0CC87103" w14:textId="77777777" w:rsidR="00B712A0" w:rsidRPr="00092B22" w:rsidRDefault="00B712A0"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equipment</w:t>
            </w:r>
          </w:p>
        </w:tc>
        <w:tc>
          <w:tcPr>
            <w:tcW w:w="198" w:type="dxa"/>
            <w:tcBorders>
              <w:top w:val="nil"/>
              <w:left w:val="nil"/>
              <w:bottom w:val="nil"/>
              <w:right w:val="nil"/>
            </w:tcBorders>
            <w:shd w:val="clear" w:color="auto" w:fill="auto"/>
            <w:vAlign w:val="center"/>
            <w:hideMark/>
          </w:tcPr>
          <w:p w14:paraId="00A44720" w14:textId="77777777" w:rsidR="00B712A0" w:rsidRPr="00092B22" w:rsidRDefault="00B712A0"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vAlign w:val="center"/>
            <w:hideMark/>
          </w:tcPr>
          <w:p w14:paraId="39495198" w14:textId="77777777" w:rsidR="00B712A0" w:rsidRPr="00092B22" w:rsidRDefault="00B712A0" w:rsidP="00E607DA">
            <w:pPr>
              <w:jc w:val="cente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vAlign w:val="center"/>
            <w:hideMark/>
          </w:tcPr>
          <w:p w14:paraId="4CCC0C2F" w14:textId="77777777" w:rsidR="00B712A0" w:rsidRPr="00092B22" w:rsidRDefault="00B712A0"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vAlign w:val="center"/>
            <w:hideMark/>
          </w:tcPr>
          <w:p w14:paraId="4AFC55D1" w14:textId="77777777" w:rsidR="00B712A0" w:rsidRPr="00092B22" w:rsidRDefault="00B712A0" w:rsidP="00E607DA">
            <w:pPr>
              <w:jc w:val="cente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vAlign w:val="center"/>
            <w:hideMark/>
          </w:tcPr>
          <w:p w14:paraId="4D751E99" w14:textId="77777777" w:rsidR="00B712A0" w:rsidRPr="00092B22" w:rsidRDefault="00B712A0"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vAlign w:val="center"/>
            <w:hideMark/>
          </w:tcPr>
          <w:p w14:paraId="2123AE19" w14:textId="77777777" w:rsidR="00B712A0" w:rsidRPr="00092B22" w:rsidRDefault="00B712A0" w:rsidP="00E607DA">
            <w:pPr>
              <w:jc w:val="center"/>
              <w:rPr>
                <w:rFonts w:ascii="Meta Pro" w:eastAsia="Times New Roman" w:hAnsi="Meta Pro" w:cs="Times New Roman"/>
                <w:sz w:val="20"/>
                <w:szCs w:val="20"/>
                <w:lang w:eastAsia="en-AU"/>
              </w:rPr>
            </w:pPr>
          </w:p>
        </w:tc>
      </w:tr>
      <w:tr w:rsidR="00B712A0" w:rsidRPr="00092B22" w14:paraId="5C8D9BE1" w14:textId="77777777" w:rsidTr="00E607DA">
        <w:trPr>
          <w:trHeight w:val="23"/>
        </w:trPr>
        <w:tc>
          <w:tcPr>
            <w:tcW w:w="4820" w:type="dxa"/>
            <w:tcBorders>
              <w:top w:val="nil"/>
              <w:left w:val="nil"/>
              <w:bottom w:val="nil"/>
              <w:right w:val="nil"/>
            </w:tcBorders>
            <w:shd w:val="clear" w:color="auto" w:fill="auto"/>
            <w:noWrap/>
            <w:vAlign w:val="center"/>
            <w:hideMark/>
          </w:tcPr>
          <w:p w14:paraId="11EE2BB1" w14:textId="77777777" w:rsidR="00B712A0" w:rsidRPr="00092B22" w:rsidRDefault="00B712A0"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790ED0AE" w14:textId="77777777" w:rsidR="00B712A0" w:rsidRPr="00092B22" w:rsidRDefault="00B712A0"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2021</w:t>
            </w:r>
          </w:p>
        </w:tc>
        <w:tc>
          <w:tcPr>
            <w:tcW w:w="198" w:type="dxa"/>
            <w:tcBorders>
              <w:top w:val="nil"/>
              <w:left w:val="nil"/>
              <w:bottom w:val="nil"/>
              <w:right w:val="nil"/>
            </w:tcBorders>
            <w:shd w:val="clear" w:color="auto" w:fill="auto"/>
            <w:noWrap/>
            <w:vAlign w:val="center"/>
            <w:hideMark/>
          </w:tcPr>
          <w:p w14:paraId="4868A9EF" w14:textId="77777777" w:rsidR="00B712A0" w:rsidRPr="00092B22" w:rsidRDefault="00B712A0"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724C0013" w14:textId="77777777" w:rsidR="00B712A0" w:rsidRPr="00092B22" w:rsidRDefault="00B712A0"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2021</w:t>
            </w:r>
          </w:p>
        </w:tc>
        <w:tc>
          <w:tcPr>
            <w:tcW w:w="198" w:type="dxa"/>
            <w:tcBorders>
              <w:top w:val="nil"/>
              <w:left w:val="nil"/>
              <w:bottom w:val="nil"/>
              <w:right w:val="nil"/>
            </w:tcBorders>
            <w:shd w:val="clear" w:color="auto" w:fill="auto"/>
            <w:noWrap/>
            <w:vAlign w:val="center"/>
            <w:hideMark/>
          </w:tcPr>
          <w:p w14:paraId="68ABD954" w14:textId="77777777" w:rsidR="00B712A0" w:rsidRPr="00092B22" w:rsidRDefault="00B712A0"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23BD523F" w14:textId="77777777" w:rsidR="00B712A0" w:rsidRPr="00092B22" w:rsidRDefault="00B712A0"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2021</w:t>
            </w:r>
          </w:p>
        </w:tc>
        <w:tc>
          <w:tcPr>
            <w:tcW w:w="198" w:type="dxa"/>
            <w:tcBorders>
              <w:top w:val="nil"/>
              <w:left w:val="nil"/>
              <w:bottom w:val="nil"/>
              <w:right w:val="nil"/>
            </w:tcBorders>
            <w:shd w:val="clear" w:color="auto" w:fill="auto"/>
            <w:noWrap/>
            <w:vAlign w:val="center"/>
            <w:hideMark/>
          </w:tcPr>
          <w:p w14:paraId="3108EF7D" w14:textId="77777777" w:rsidR="00B712A0" w:rsidRPr="00092B22" w:rsidRDefault="00B712A0"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3ED85584" w14:textId="77777777" w:rsidR="00B712A0" w:rsidRPr="00092B22" w:rsidRDefault="00B712A0"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2021</w:t>
            </w:r>
          </w:p>
        </w:tc>
        <w:tc>
          <w:tcPr>
            <w:tcW w:w="198" w:type="dxa"/>
            <w:tcBorders>
              <w:top w:val="nil"/>
              <w:left w:val="nil"/>
              <w:bottom w:val="nil"/>
              <w:right w:val="nil"/>
            </w:tcBorders>
            <w:shd w:val="clear" w:color="auto" w:fill="auto"/>
            <w:noWrap/>
            <w:vAlign w:val="center"/>
            <w:hideMark/>
          </w:tcPr>
          <w:p w14:paraId="0C559142" w14:textId="77777777" w:rsidR="00B712A0" w:rsidRPr="00092B22" w:rsidRDefault="00B712A0"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49B23E75" w14:textId="77777777" w:rsidR="00B712A0" w:rsidRPr="00092B22" w:rsidRDefault="00B712A0"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2021</w:t>
            </w:r>
          </w:p>
        </w:tc>
        <w:tc>
          <w:tcPr>
            <w:tcW w:w="198" w:type="dxa"/>
            <w:tcBorders>
              <w:top w:val="nil"/>
              <w:left w:val="nil"/>
              <w:bottom w:val="nil"/>
              <w:right w:val="nil"/>
            </w:tcBorders>
            <w:shd w:val="clear" w:color="auto" w:fill="auto"/>
            <w:noWrap/>
            <w:vAlign w:val="center"/>
            <w:hideMark/>
          </w:tcPr>
          <w:p w14:paraId="5612F228" w14:textId="77777777" w:rsidR="00B712A0" w:rsidRPr="00092B22" w:rsidRDefault="00B712A0"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2FE0D8B3" w14:textId="77777777" w:rsidR="00B712A0" w:rsidRPr="00092B22" w:rsidRDefault="00B712A0"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2021</w:t>
            </w:r>
          </w:p>
        </w:tc>
        <w:tc>
          <w:tcPr>
            <w:tcW w:w="198" w:type="dxa"/>
            <w:tcBorders>
              <w:top w:val="nil"/>
              <w:left w:val="nil"/>
              <w:bottom w:val="nil"/>
              <w:right w:val="nil"/>
            </w:tcBorders>
            <w:shd w:val="clear" w:color="auto" w:fill="auto"/>
            <w:noWrap/>
            <w:vAlign w:val="center"/>
            <w:hideMark/>
          </w:tcPr>
          <w:p w14:paraId="5FE621A5" w14:textId="77777777" w:rsidR="00B712A0" w:rsidRPr="00092B22" w:rsidRDefault="00B712A0"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1AA58FE2" w14:textId="77777777" w:rsidR="00B712A0" w:rsidRPr="00092B22" w:rsidRDefault="00B712A0"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2021</w:t>
            </w:r>
          </w:p>
        </w:tc>
      </w:tr>
      <w:tr w:rsidR="00B712A0" w:rsidRPr="00092B22" w14:paraId="683DB851" w14:textId="77777777" w:rsidTr="00E607DA">
        <w:trPr>
          <w:trHeight w:val="240"/>
        </w:trPr>
        <w:tc>
          <w:tcPr>
            <w:tcW w:w="4820" w:type="dxa"/>
            <w:tcBorders>
              <w:top w:val="nil"/>
              <w:left w:val="nil"/>
              <w:bottom w:val="nil"/>
              <w:right w:val="nil"/>
            </w:tcBorders>
            <w:shd w:val="clear" w:color="auto" w:fill="auto"/>
            <w:noWrap/>
            <w:vAlign w:val="center"/>
            <w:hideMark/>
          </w:tcPr>
          <w:p w14:paraId="3FA1EB38" w14:textId="77777777" w:rsidR="00B712A0" w:rsidRPr="00092B22" w:rsidRDefault="00B712A0"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41C98D13" w14:textId="77777777" w:rsidR="00B712A0" w:rsidRPr="00092B22" w:rsidRDefault="00B712A0"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$'000</w:t>
            </w:r>
          </w:p>
        </w:tc>
        <w:tc>
          <w:tcPr>
            <w:tcW w:w="198" w:type="dxa"/>
            <w:tcBorders>
              <w:top w:val="nil"/>
              <w:left w:val="nil"/>
              <w:bottom w:val="nil"/>
              <w:right w:val="nil"/>
            </w:tcBorders>
            <w:shd w:val="clear" w:color="auto" w:fill="auto"/>
            <w:noWrap/>
            <w:vAlign w:val="center"/>
            <w:hideMark/>
          </w:tcPr>
          <w:p w14:paraId="6C35E18C" w14:textId="77777777" w:rsidR="00B712A0" w:rsidRPr="00092B22" w:rsidRDefault="00B712A0"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6A1ABB48" w14:textId="77777777" w:rsidR="00B712A0" w:rsidRPr="00092B22" w:rsidRDefault="00B712A0"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$'000</w:t>
            </w:r>
          </w:p>
        </w:tc>
        <w:tc>
          <w:tcPr>
            <w:tcW w:w="198" w:type="dxa"/>
            <w:tcBorders>
              <w:top w:val="nil"/>
              <w:left w:val="nil"/>
              <w:bottom w:val="nil"/>
              <w:right w:val="nil"/>
            </w:tcBorders>
            <w:shd w:val="clear" w:color="auto" w:fill="auto"/>
            <w:noWrap/>
            <w:vAlign w:val="center"/>
            <w:hideMark/>
          </w:tcPr>
          <w:p w14:paraId="1E8FAA13" w14:textId="77777777" w:rsidR="00B712A0" w:rsidRPr="00092B22" w:rsidRDefault="00B712A0"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087C6A7B" w14:textId="77777777" w:rsidR="00B712A0" w:rsidRPr="00092B22" w:rsidRDefault="00B712A0"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$'000</w:t>
            </w:r>
          </w:p>
        </w:tc>
        <w:tc>
          <w:tcPr>
            <w:tcW w:w="198" w:type="dxa"/>
            <w:tcBorders>
              <w:top w:val="nil"/>
              <w:left w:val="nil"/>
              <w:bottom w:val="nil"/>
              <w:right w:val="nil"/>
            </w:tcBorders>
            <w:shd w:val="clear" w:color="auto" w:fill="auto"/>
            <w:noWrap/>
            <w:vAlign w:val="center"/>
            <w:hideMark/>
          </w:tcPr>
          <w:p w14:paraId="280DA06A" w14:textId="77777777" w:rsidR="00B712A0" w:rsidRPr="00092B22" w:rsidRDefault="00B712A0"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2DCFD109" w14:textId="77777777" w:rsidR="00B712A0" w:rsidRPr="00092B22" w:rsidRDefault="00B712A0"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$'000</w:t>
            </w:r>
          </w:p>
        </w:tc>
        <w:tc>
          <w:tcPr>
            <w:tcW w:w="198" w:type="dxa"/>
            <w:tcBorders>
              <w:top w:val="nil"/>
              <w:left w:val="nil"/>
              <w:bottom w:val="nil"/>
              <w:right w:val="nil"/>
            </w:tcBorders>
            <w:shd w:val="clear" w:color="auto" w:fill="auto"/>
            <w:noWrap/>
            <w:vAlign w:val="center"/>
            <w:hideMark/>
          </w:tcPr>
          <w:p w14:paraId="18930789" w14:textId="77777777" w:rsidR="00B712A0" w:rsidRPr="00092B22" w:rsidRDefault="00B712A0"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5B94CE43" w14:textId="77777777" w:rsidR="00B712A0" w:rsidRPr="00092B22" w:rsidRDefault="00B712A0"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$'000</w:t>
            </w:r>
          </w:p>
        </w:tc>
        <w:tc>
          <w:tcPr>
            <w:tcW w:w="198" w:type="dxa"/>
            <w:tcBorders>
              <w:top w:val="nil"/>
              <w:left w:val="nil"/>
              <w:bottom w:val="nil"/>
              <w:right w:val="nil"/>
            </w:tcBorders>
            <w:shd w:val="clear" w:color="auto" w:fill="auto"/>
            <w:noWrap/>
            <w:vAlign w:val="center"/>
            <w:hideMark/>
          </w:tcPr>
          <w:p w14:paraId="76B9C2B8" w14:textId="77777777" w:rsidR="00B712A0" w:rsidRPr="00092B22" w:rsidRDefault="00B712A0"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4F6FF9A4" w14:textId="77777777" w:rsidR="00B712A0" w:rsidRPr="00092B22" w:rsidRDefault="00B712A0"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$'000</w:t>
            </w:r>
          </w:p>
        </w:tc>
        <w:tc>
          <w:tcPr>
            <w:tcW w:w="198" w:type="dxa"/>
            <w:tcBorders>
              <w:top w:val="nil"/>
              <w:left w:val="nil"/>
              <w:bottom w:val="nil"/>
              <w:right w:val="nil"/>
            </w:tcBorders>
            <w:shd w:val="clear" w:color="auto" w:fill="auto"/>
            <w:noWrap/>
            <w:vAlign w:val="center"/>
            <w:hideMark/>
          </w:tcPr>
          <w:p w14:paraId="15C8D888" w14:textId="77777777" w:rsidR="00B712A0" w:rsidRPr="00092B22" w:rsidRDefault="00B712A0"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5527859D" w14:textId="77777777" w:rsidR="00B712A0" w:rsidRPr="00092B22" w:rsidRDefault="00B712A0"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$'000</w:t>
            </w:r>
          </w:p>
        </w:tc>
      </w:tr>
      <w:tr w:rsidR="00B712A0" w:rsidRPr="00092B22" w14:paraId="14940CDC" w14:textId="77777777" w:rsidTr="00E607DA">
        <w:trPr>
          <w:trHeight w:val="23"/>
        </w:trPr>
        <w:tc>
          <w:tcPr>
            <w:tcW w:w="4820" w:type="dxa"/>
            <w:tcBorders>
              <w:top w:val="nil"/>
              <w:left w:val="nil"/>
              <w:bottom w:val="nil"/>
              <w:right w:val="nil"/>
            </w:tcBorders>
            <w:shd w:val="clear" w:color="auto" w:fill="auto"/>
            <w:vAlign w:val="center"/>
            <w:hideMark/>
          </w:tcPr>
          <w:p w14:paraId="22D4E4ED" w14:textId="77777777" w:rsidR="00B712A0" w:rsidRPr="00092B22" w:rsidRDefault="00B712A0"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t>Gross value</w:t>
            </w:r>
          </w:p>
        </w:tc>
        <w:tc>
          <w:tcPr>
            <w:tcW w:w="1361" w:type="dxa"/>
            <w:tcBorders>
              <w:top w:val="nil"/>
              <w:left w:val="nil"/>
              <w:bottom w:val="nil"/>
              <w:right w:val="nil"/>
            </w:tcBorders>
            <w:shd w:val="clear" w:color="auto" w:fill="auto"/>
            <w:noWrap/>
            <w:vAlign w:val="center"/>
            <w:hideMark/>
          </w:tcPr>
          <w:p w14:paraId="5C5F2858"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5,250,177 </w:t>
            </w:r>
          </w:p>
        </w:tc>
        <w:tc>
          <w:tcPr>
            <w:tcW w:w="198" w:type="dxa"/>
            <w:tcBorders>
              <w:top w:val="nil"/>
              <w:left w:val="nil"/>
              <w:bottom w:val="nil"/>
              <w:right w:val="nil"/>
            </w:tcBorders>
            <w:shd w:val="clear" w:color="auto" w:fill="auto"/>
            <w:noWrap/>
            <w:vAlign w:val="center"/>
            <w:hideMark/>
          </w:tcPr>
          <w:p w14:paraId="499BA66A"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734C004E"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1,039,577 </w:t>
            </w:r>
          </w:p>
        </w:tc>
        <w:tc>
          <w:tcPr>
            <w:tcW w:w="198" w:type="dxa"/>
            <w:tcBorders>
              <w:top w:val="nil"/>
              <w:left w:val="nil"/>
              <w:bottom w:val="nil"/>
              <w:right w:val="nil"/>
            </w:tcBorders>
            <w:shd w:val="clear" w:color="auto" w:fill="auto"/>
            <w:noWrap/>
            <w:vAlign w:val="center"/>
            <w:hideMark/>
          </w:tcPr>
          <w:p w14:paraId="45B49B55"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CB7F468"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671,440 </w:t>
            </w:r>
          </w:p>
        </w:tc>
        <w:tc>
          <w:tcPr>
            <w:tcW w:w="198" w:type="dxa"/>
            <w:tcBorders>
              <w:top w:val="nil"/>
              <w:left w:val="nil"/>
              <w:bottom w:val="nil"/>
              <w:right w:val="nil"/>
            </w:tcBorders>
            <w:shd w:val="clear" w:color="auto" w:fill="auto"/>
            <w:noWrap/>
            <w:vAlign w:val="center"/>
            <w:hideMark/>
          </w:tcPr>
          <w:p w14:paraId="7827FC2A"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101D4EA"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1,234,092 </w:t>
            </w:r>
          </w:p>
        </w:tc>
        <w:tc>
          <w:tcPr>
            <w:tcW w:w="198" w:type="dxa"/>
            <w:tcBorders>
              <w:top w:val="nil"/>
              <w:left w:val="nil"/>
              <w:bottom w:val="nil"/>
              <w:right w:val="nil"/>
            </w:tcBorders>
            <w:shd w:val="clear" w:color="auto" w:fill="auto"/>
            <w:noWrap/>
            <w:vAlign w:val="center"/>
            <w:hideMark/>
          </w:tcPr>
          <w:p w14:paraId="2E51E003"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160BA61D"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81,752,936 </w:t>
            </w:r>
          </w:p>
        </w:tc>
        <w:tc>
          <w:tcPr>
            <w:tcW w:w="198" w:type="dxa"/>
            <w:tcBorders>
              <w:top w:val="nil"/>
              <w:left w:val="nil"/>
              <w:bottom w:val="nil"/>
              <w:right w:val="nil"/>
            </w:tcBorders>
            <w:shd w:val="clear" w:color="auto" w:fill="auto"/>
            <w:noWrap/>
            <w:vAlign w:val="center"/>
            <w:hideMark/>
          </w:tcPr>
          <w:p w14:paraId="57F063E6"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C3565B1"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6,076,782 </w:t>
            </w:r>
          </w:p>
        </w:tc>
        <w:tc>
          <w:tcPr>
            <w:tcW w:w="198" w:type="dxa"/>
            <w:tcBorders>
              <w:top w:val="nil"/>
              <w:left w:val="nil"/>
              <w:bottom w:val="nil"/>
              <w:right w:val="nil"/>
            </w:tcBorders>
            <w:shd w:val="clear" w:color="auto" w:fill="auto"/>
            <w:noWrap/>
            <w:vAlign w:val="center"/>
            <w:hideMark/>
          </w:tcPr>
          <w:p w14:paraId="678B09CB"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5C03B06C" w14:textId="77777777" w:rsidR="00B712A0" w:rsidRPr="00092B22" w:rsidRDefault="00B712A0" w:rsidP="00E607DA">
            <w:pPr>
              <w:jc w:val="right"/>
              <w:rPr>
                <w:rFonts w:ascii="Meta Pro" w:eastAsia="Times New Roman" w:hAnsi="Meta Pro"/>
                <w:b/>
                <w:bCs/>
                <w:sz w:val="16"/>
                <w:szCs w:val="16"/>
                <w:lang w:eastAsia="en-AU"/>
              </w:rPr>
            </w:pPr>
            <w:r w:rsidRPr="00092B22">
              <w:rPr>
                <w:rFonts w:ascii="Meta Pro" w:eastAsia="Times New Roman" w:hAnsi="Meta Pro"/>
                <w:b/>
                <w:bCs/>
                <w:sz w:val="16"/>
                <w:szCs w:val="16"/>
                <w:lang w:eastAsia="en-AU"/>
              </w:rPr>
              <w:t xml:space="preserve">96,025,004 </w:t>
            </w:r>
          </w:p>
        </w:tc>
      </w:tr>
      <w:tr w:rsidR="00B712A0" w:rsidRPr="00092B22" w14:paraId="666AC8DB" w14:textId="77777777" w:rsidTr="00E607DA">
        <w:trPr>
          <w:trHeight w:val="23"/>
        </w:trPr>
        <w:tc>
          <w:tcPr>
            <w:tcW w:w="4820" w:type="dxa"/>
            <w:tcBorders>
              <w:top w:val="nil"/>
              <w:left w:val="nil"/>
              <w:bottom w:val="nil"/>
              <w:right w:val="nil"/>
            </w:tcBorders>
            <w:shd w:val="clear" w:color="auto" w:fill="auto"/>
            <w:noWrap/>
            <w:vAlign w:val="center"/>
            <w:hideMark/>
          </w:tcPr>
          <w:p w14:paraId="0EBDFD6F" w14:textId="77777777" w:rsidR="00B712A0" w:rsidRPr="00092B22" w:rsidRDefault="00B712A0"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t>Less: Accumulated depreciation</w:t>
            </w:r>
          </w:p>
        </w:tc>
        <w:tc>
          <w:tcPr>
            <w:tcW w:w="1361" w:type="dxa"/>
            <w:tcBorders>
              <w:top w:val="nil"/>
              <w:left w:val="nil"/>
              <w:bottom w:val="nil"/>
              <w:right w:val="nil"/>
            </w:tcBorders>
            <w:shd w:val="clear" w:color="auto" w:fill="auto"/>
            <w:noWrap/>
            <w:vAlign w:val="center"/>
            <w:hideMark/>
          </w:tcPr>
          <w:p w14:paraId="29B056EE"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6D03A680"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401765A0"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(274,844)</w:t>
            </w:r>
          </w:p>
        </w:tc>
        <w:tc>
          <w:tcPr>
            <w:tcW w:w="198" w:type="dxa"/>
            <w:tcBorders>
              <w:top w:val="nil"/>
              <w:left w:val="nil"/>
              <w:bottom w:val="nil"/>
              <w:right w:val="nil"/>
            </w:tcBorders>
            <w:shd w:val="clear" w:color="auto" w:fill="auto"/>
            <w:noWrap/>
            <w:vAlign w:val="center"/>
            <w:hideMark/>
          </w:tcPr>
          <w:p w14:paraId="5CA27EF8"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60EDD3BF"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(472,068)</w:t>
            </w:r>
          </w:p>
        </w:tc>
        <w:tc>
          <w:tcPr>
            <w:tcW w:w="198" w:type="dxa"/>
            <w:tcBorders>
              <w:top w:val="nil"/>
              <w:left w:val="nil"/>
              <w:bottom w:val="nil"/>
              <w:right w:val="nil"/>
            </w:tcBorders>
            <w:shd w:val="clear" w:color="auto" w:fill="auto"/>
            <w:noWrap/>
            <w:vAlign w:val="center"/>
            <w:hideMark/>
          </w:tcPr>
          <w:p w14:paraId="1EE1368F"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40F6BC34"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(104,269)</w:t>
            </w:r>
          </w:p>
        </w:tc>
        <w:tc>
          <w:tcPr>
            <w:tcW w:w="198" w:type="dxa"/>
            <w:tcBorders>
              <w:top w:val="nil"/>
              <w:left w:val="nil"/>
              <w:bottom w:val="nil"/>
              <w:right w:val="nil"/>
            </w:tcBorders>
            <w:shd w:val="clear" w:color="auto" w:fill="auto"/>
            <w:noWrap/>
            <w:vAlign w:val="center"/>
            <w:hideMark/>
          </w:tcPr>
          <w:p w14:paraId="549EEFD4"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70638928"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(20,646,002)</w:t>
            </w:r>
          </w:p>
        </w:tc>
        <w:tc>
          <w:tcPr>
            <w:tcW w:w="198" w:type="dxa"/>
            <w:tcBorders>
              <w:top w:val="nil"/>
              <w:left w:val="nil"/>
              <w:bottom w:val="nil"/>
              <w:right w:val="nil"/>
            </w:tcBorders>
            <w:shd w:val="clear" w:color="auto" w:fill="auto"/>
            <w:noWrap/>
            <w:vAlign w:val="center"/>
            <w:hideMark/>
          </w:tcPr>
          <w:p w14:paraId="3591A803"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2FE744E5"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564ADBCF"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10DF6D24" w14:textId="77777777" w:rsidR="00B712A0" w:rsidRPr="00092B22" w:rsidRDefault="00B712A0" w:rsidP="00E607DA">
            <w:pPr>
              <w:jc w:val="right"/>
              <w:rPr>
                <w:rFonts w:ascii="Meta Pro" w:eastAsia="Times New Roman" w:hAnsi="Meta Pro"/>
                <w:b/>
                <w:bCs/>
                <w:sz w:val="16"/>
                <w:szCs w:val="16"/>
                <w:lang w:eastAsia="en-AU"/>
              </w:rPr>
            </w:pPr>
            <w:r w:rsidRPr="00092B22">
              <w:rPr>
                <w:rFonts w:ascii="Meta Pro" w:eastAsia="Times New Roman" w:hAnsi="Meta Pro"/>
                <w:b/>
                <w:bCs/>
                <w:sz w:val="16"/>
                <w:szCs w:val="16"/>
                <w:lang w:eastAsia="en-AU"/>
              </w:rPr>
              <w:t>(21,497,183)</w:t>
            </w:r>
          </w:p>
        </w:tc>
      </w:tr>
      <w:tr w:rsidR="00B712A0" w:rsidRPr="00092B22" w14:paraId="68D8CC80" w14:textId="77777777" w:rsidTr="00E607DA">
        <w:trPr>
          <w:trHeight w:val="23"/>
        </w:trPr>
        <w:tc>
          <w:tcPr>
            <w:tcW w:w="4820" w:type="dxa"/>
            <w:tcBorders>
              <w:top w:val="single" w:sz="4" w:space="0" w:color="auto"/>
              <w:left w:val="nil"/>
              <w:bottom w:val="double" w:sz="6" w:space="0" w:color="auto"/>
              <w:right w:val="nil"/>
            </w:tcBorders>
            <w:shd w:val="clear" w:color="auto" w:fill="auto"/>
            <w:noWrap/>
            <w:vAlign w:val="center"/>
            <w:hideMark/>
          </w:tcPr>
          <w:p w14:paraId="29A85E0A" w14:textId="77777777" w:rsidR="00B712A0" w:rsidRPr="00092B22" w:rsidRDefault="00B712A0" w:rsidP="00E607DA">
            <w:pPr>
              <w:rPr>
                <w:rFonts w:ascii="Meta Pro" w:eastAsia="Times New Roman" w:hAnsi="Meta Pro"/>
                <w:b/>
                <w:bCs/>
                <w:sz w:val="16"/>
                <w:szCs w:val="16"/>
                <w:lang w:eastAsia="en-AU"/>
              </w:rPr>
            </w:pPr>
            <w:r w:rsidRPr="00092B22">
              <w:rPr>
                <w:rFonts w:ascii="Meta Pro" w:eastAsia="Times New Roman" w:hAnsi="Meta Pro"/>
                <w:b/>
                <w:bCs/>
                <w:sz w:val="16"/>
                <w:szCs w:val="16"/>
                <w:lang w:eastAsia="en-AU"/>
              </w:rPr>
              <w:t>Carrying amount at 30 June</w:t>
            </w:r>
          </w:p>
        </w:tc>
        <w:tc>
          <w:tcPr>
            <w:tcW w:w="1361" w:type="dxa"/>
            <w:tcBorders>
              <w:top w:val="single" w:sz="4" w:space="0" w:color="auto"/>
              <w:left w:val="nil"/>
              <w:bottom w:val="double" w:sz="6" w:space="0" w:color="auto"/>
              <w:right w:val="nil"/>
            </w:tcBorders>
            <w:shd w:val="clear" w:color="auto" w:fill="auto"/>
            <w:noWrap/>
            <w:vAlign w:val="center"/>
            <w:hideMark/>
          </w:tcPr>
          <w:p w14:paraId="3B2C6F5D" w14:textId="77777777" w:rsidR="00B712A0" w:rsidRPr="00092B22" w:rsidRDefault="00B712A0" w:rsidP="00E607DA">
            <w:pPr>
              <w:jc w:val="right"/>
              <w:rPr>
                <w:rFonts w:ascii="Meta Pro" w:eastAsia="Times New Roman" w:hAnsi="Meta Pro"/>
                <w:b/>
                <w:bCs/>
                <w:sz w:val="16"/>
                <w:szCs w:val="16"/>
                <w:lang w:eastAsia="en-AU"/>
              </w:rPr>
            </w:pPr>
            <w:r w:rsidRPr="00092B22">
              <w:rPr>
                <w:rFonts w:ascii="Meta Pro" w:eastAsia="Times New Roman" w:hAnsi="Meta Pro"/>
                <w:b/>
                <w:bCs/>
                <w:sz w:val="16"/>
                <w:szCs w:val="16"/>
                <w:lang w:eastAsia="en-AU"/>
              </w:rPr>
              <w:t xml:space="preserve">5,250,177 </w:t>
            </w:r>
          </w:p>
        </w:tc>
        <w:tc>
          <w:tcPr>
            <w:tcW w:w="198" w:type="dxa"/>
            <w:tcBorders>
              <w:top w:val="nil"/>
              <w:left w:val="nil"/>
              <w:bottom w:val="nil"/>
              <w:right w:val="nil"/>
            </w:tcBorders>
            <w:shd w:val="clear" w:color="auto" w:fill="auto"/>
            <w:noWrap/>
            <w:vAlign w:val="center"/>
            <w:hideMark/>
          </w:tcPr>
          <w:p w14:paraId="32B9126F" w14:textId="77777777" w:rsidR="00B712A0" w:rsidRPr="00092B22" w:rsidRDefault="00B712A0" w:rsidP="00E607DA">
            <w:pPr>
              <w:jc w:val="right"/>
              <w:rPr>
                <w:rFonts w:ascii="Meta Pro" w:eastAsia="Times New Roman" w:hAnsi="Meta Pro"/>
                <w:b/>
                <w:bCs/>
                <w:sz w:val="16"/>
                <w:szCs w:val="16"/>
                <w:lang w:eastAsia="en-AU"/>
              </w:rPr>
            </w:pPr>
          </w:p>
        </w:tc>
        <w:tc>
          <w:tcPr>
            <w:tcW w:w="1361" w:type="dxa"/>
            <w:tcBorders>
              <w:top w:val="single" w:sz="4" w:space="0" w:color="auto"/>
              <w:left w:val="nil"/>
              <w:bottom w:val="double" w:sz="6" w:space="0" w:color="auto"/>
              <w:right w:val="nil"/>
            </w:tcBorders>
            <w:shd w:val="clear" w:color="auto" w:fill="auto"/>
            <w:noWrap/>
            <w:vAlign w:val="center"/>
            <w:hideMark/>
          </w:tcPr>
          <w:p w14:paraId="01050964" w14:textId="77777777" w:rsidR="00B712A0" w:rsidRPr="00092B22" w:rsidRDefault="00B712A0" w:rsidP="00E607DA">
            <w:pPr>
              <w:jc w:val="right"/>
              <w:rPr>
                <w:rFonts w:ascii="Meta Pro" w:eastAsia="Times New Roman" w:hAnsi="Meta Pro"/>
                <w:b/>
                <w:bCs/>
                <w:sz w:val="16"/>
                <w:szCs w:val="16"/>
                <w:lang w:eastAsia="en-AU"/>
              </w:rPr>
            </w:pPr>
            <w:r w:rsidRPr="00092B22">
              <w:rPr>
                <w:rFonts w:ascii="Meta Pro" w:eastAsia="Times New Roman" w:hAnsi="Meta Pro"/>
                <w:b/>
                <w:bCs/>
                <w:sz w:val="16"/>
                <w:szCs w:val="16"/>
                <w:lang w:eastAsia="en-AU"/>
              </w:rPr>
              <w:t xml:space="preserve">764,733 </w:t>
            </w:r>
          </w:p>
        </w:tc>
        <w:tc>
          <w:tcPr>
            <w:tcW w:w="198" w:type="dxa"/>
            <w:tcBorders>
              <w:top w:val="nil"/>
              <w:left w:val="nil"/>
              <w:bottom w:val="nil"/>
              <w:right w:val="nil"/>
            </w:tcBorders>
            <w:shd w:val="clear" w:color="auto" w:fill="auto"/>
            <w:noWrap/>
            <w:vAlign w:val="center"/>
            <w:hideMark/>
          </w:tcPr>
          <w:p w14:paraId="3945E55F" w14:textId="77777777" w:rsidR="00B712A0" w:rsidRPr="00092B22" w:rsidRDefault="00B712A0" w:rsidP="00E607DA">
            <w:pPr>
              <w:jc w:val="right"/>
              <w:rPr>
                <w:rFonts w:ascii="Meta Pro" w:eastAsia="Times New Roman" w:hAnsi="Meta Pro"/>
                <w:b/>
                <w:bCs/>
                <w:sz w:val="16"/>
                <w:szCs w:val="16"/>
                <w:lang w:eastAsia="en-AU"/>
              </w:rPr>
            </w:pPr>
          </w:p>
        </w:tc>
        <w:tc>
          <w:tcPr>
            <w:tcW w:w="1361" w:type="dxa"/>
            <w:tcBorders>
              <w:top w:val="single" w:sz="4" w:space="0" w:color="auto"/>
              <w:left w:val="nil"/>
              <w:bottom w:val="double" w:sz="6" w:space="0" w:color="auto"/>
              <w:right w:val="nil"/>
            </w:tcBorders>
            <w:shd w:val="clear" w:color="auto" w:fill="auto"/>
            <w:noWrap/>
            <w:vAlign w:val="center"/>
            <w:hideMark/>
          </w:tcPr>
          <w:p w14:paraId="497D2F26" w14:textId="77777777" w:rsidR="00B712A0" w:rsidRPr="00092B22" w:rsidRDefault="00B712A0" w:rsidP="00E607DA">
            <w:pPr>
              <w:jc w:val="right"/>
              <w:rPr>
                <w:rFonts w:ascii="Meta Pro" w:eastAsia="Times New Roman" w:hAnsi="Meta Pro"/>
                <w:b/>
                <w:bCs/>
                <w:sz w:val="16"/>
                <w:szCs w:val="16"/>
                <w:lang w:eastAsia="en-AU"/>
              </w:rPr>
            </w:pPr>
            <w:r w:rsidRPr="00092B22">
              <w:rPr>
                <w:rFonts w:ascii="Meta Pro" w:eastAsia="Times New Roman" w:hAnsi="Meta Pro"/>
                <w:b/>
                <w:bCs/>
                <w:sz w:val="16"/>
                <w:szCs w:val="16"/>
                <w:lang w:eastAsia="en-AU"/>
              </w:rPr>
              <w:t xml:space="preserve">199,372 </w:t>
            </w:r>
          </w:p>
        </w:tc>
        <w:tc>
          <w:tcPr>
            <w:tcW w:w="198" w:type="dxa"/>
            <w:tcBorders>
              <w:top w:val="nil"/>
              <w:left w:val="nil"/>
              <w:bottom w:val="nil"/>
              <w:right w:val="nil"/>
            </w:tcBorders>
            <w:shd w:val="clear" w:color="auto" w:fill="auto"/>
            <w:noWrap/>
            <w:vAlign w:val="center"/>
            <w:hideMark/>
          </w:tcPr>
          <w:p w14:paraId="6286AE9A" w14:textId="77777777" w:rsidR="00B712A0" w:rsidRPr="00092B22" w:rsidRDefault="00B712A0" w:rsidP="00E607DA">
            <w:pPr>
              <w:jc w:val="right"/>
              <w:rPr>
                <w:rFonts w:ascii="Meta Pro" w:eastAsia="Times New Roman" w:hAnsi="Meta Pro"/>
                <w:b/>
                <w:bCs/>
                <w:sz w:val="16"/>
                <w:szCs w:val="16"/>
                <w:lang w:eastAsia="en-AU"/>
              </w:rPr>
            </w:pPr>
          </w:p>
        </w:tc>
        <w:tc>
          <w:tcPr>
            <w:tcW w:w="1361" w:type="dxa"/>
            <w:tcBorders>
              <w:top w:val="single" w:sz="4" w:space="0" w:color="auto"/>
              <w:left w:val="nil"/>
              <w:bottom w:val="double" w:sz="6" w:space="0" w:color="auto"/>
              <w:right w:val="nil"/>
            </w:tcBorders>
            <w:shd w:val="clear" w:color="auto" w:fill="auto"/>
            <w:noWrap/>
            <w:vAlign w:val="center"/>
            <w:hideMark/>
          </w:tcPr>
          <w:p w14:paraId="63E53611" w14:textId="77777777" w:rsidR="00B712A0" w:rsidRPr="00092B22" w:rsidRDefault="00B712A0" w:rsidP="00E607DA">
            <w:pPr>
              <w:jc w:val="right"/>
              <w:rPr>
                <w:rFonts w:ascii="Meta Pro" w:eastAsia="Times New Roman" w:hAnsi="Meta Pro"/>
                <w:b/>
                <w:bCs/>
                <w:sz w:val="16"/>
                <w:szCs w:val="16"/>
                <w:lang w:eastAsia="en-AU"/>
              </w:rPr>
            </w:pPr>
            <w:r w:rsidRPr="00092B22">
              <w:rPr>
                <w:rFonts w:ascii="Meta Pro" w:eastAsia="Times New Roman" w:hAnsi="Meta Pro"/>
                <w:b/>
                <w:bCs/>
                <w:sz w:val="16"/>
                <w:szCs w:val="16"/>
                <w:lang w:eastAsia="en-AU"/>
              </w:rPr>
              <w:t xml:space="preserve">1,129,823 </w:t>
            </w:r>
          </w:p>
        </w:tc>
        <w:tc>
          <w:tcPr>
            <w:tcW w:w="198" w:type="dxa"/>
            <w:tcBorders>
              <w:top w:val="nil"/>
              <w:left w:val="nil"/>
              <w:bottom w:val="nil"/>
              <w:right w:val="nil"/>
            </w:tcBorders>
            <w:shd w:val="clear" w:color="auto" w:fill="auto"/>
            <w:noWrap/>
            <w:vAlign w:val="center"/>
            <w:hideMark/>
          </w:tcPr>
          <w:p w14:paraId="6B580822" w14:textId="77777777" w:rsidR="00B712A0" w:rsidRPr="00092B22" w:rsidRDefault="00B712A0" w:rsidP="00E607DA">
            <w:pPr>
              <w:jc w:val="right"/>
              <w:rPr>
                <w:rFonts w:ascii="Meta Pro" w:eastAsia="Times New Roman" w:hAnsi="Meta Pro"/>
                <w:b/>
                <w:bCs/>
                <w:sz w:val="16"/>
                <w:szCs w:val="16"/>
                <w:lang w:eastAsia="en-AU"/>
              </w:rPr>
            </w:pPr>
          </w:p>
        </w:tc>
        <w:tc>
          <w:tcPr>
            <w:tcW w:w="1361" w:type="dxa"/>
            <w:tcBorders>
              <w:top w:val="single" w:sz="4" w:space="0" w:color="auto"/>
              <w:left w:val="nil"/>
              <w:bottom w:val="double" w:sz="6" w:space="0" w:color="auto"/>
              <w:right w:val="nil"/>
            </w:tcBorders>
            <w:shd w:val="clear" w:color="auto" w:fill="auto"/>
            <w:noWrap/>
            <w:vAlign w:val="center"/>
            <w:hideMark/>
          </w:tcPr>
          <w:p w14:paraId="2B3CF803" w14:textId="77777777" w:rsidR="00B712A0" w:rsidRPr="00092B22" w:rsidRDefault="00B712A0" w:rsidP="00E607DA">
            <w:pPr>
              <w:jc w:val="right"/>
              <w:rPr>
                <w:rFonts w:ascii="Meta Pro" w:eastAsia="Times New Roman" w:hAnsi="Meta Pro"/>
                <w:b/>
                <w:bCs/>
                <w:sz w:val="16"/>
                <w:szCs w:val="16"/>
                <w:lang w:eastAsia="en-AU"/>
              </w:rPr>
            </w:pPr>
            <w:r w:rsidRPr="00092B22">
              <w:rPr>
                <w:rFonts w:ascii="Meta Pro" w:eastAsia="Times New Roman" w:hAnsi="Meta Pro"/>
                <w:b/>
                <w:bCs/>
                <w:sz w:val="16"/>
                <w:szCs w:val="16"/>
                <w:lang w:eastAsia="en-AU"/>
              </w:rPr>
              <w:t xml:space="preserve">61,106,934 </w:t>
            </w:r>
          </w:p>
        </w:tc>
        <w:tc>
          <w:tcPr>
            <w:tcW w:w="198" w:type="dxa"/>
            <w:tcBorders>
              <w:top w:val="nil"/>
              <w:left w:val="nil"/>
              <w:bottom w:val="nil"/>
              <w:right w:val="nil"/>
            </w:tcBorders>
            <w:shd w:val="clear" w:color="auto" w:fill="auto"/>
            <w:noWrap/>
            <w:vAlign w:val="center"/>
            <w:hideMark/>
          </w:tcPr>
          <w:p w14:paraId="5D036813" w14:textId="77777777" w:rsidR="00B712A0" w:rsidRPr="00092B22" w:rsidRDefault="00B712A0" w:rsidP="00E607DA">
            <w:pPr>
              <w:jc w:val="right"/>
              <w:rPr>
                <w:rFonts w:ascii="Meta Pro" w:eastAsia="Times New Roman" w:hAnsi="Meta Pro"/>
                <w:b/>
                <w:bCs/>
                <w:sz w:val="16"/>
                <w:szCs w:val="16"/>
                <w:lang w:eastAsia="en-AU"/>
              </w:rPr>
            </w:pPr>
          </w:p>
        </w:tc>
        <w:tc>
          <w:tcPr>
            <w:tcW w:w="1361" w:type="dxa"/>
            <w:tcBorders>
              <w:top w:val="single" w:sz="4" w:space="0" w:color="auto"/>
              <w:left w:val="nil"/>
              <w:bottom w:val="double" w:sz="6" w:space="0" w:color="auto"/>
              <w:right w:val="nil"/>
            </w:tcBorders>
            <w:shd w:val="clear" w:color="auto" w:fill="auto"/>
            <w:noWrap/>
            <w:vAlign w:val="center"/>
            <w:hideMark/>
          </w:tcPr>
          <w:p w14:paraId="66BC8AB3" w14:textId="77777777" w:rsidR="00B712A0" w:rsidRPr="00092B22" w:rsidRDefault="00B712A0" w:rsidP="00E607DA">
            <w:pPr>
              <w:jc w:val="right"/>
              <w:rPr>
                <w:rFonts w:ascii="Meta Pro" w:eastAsia="Times New Roman" w:hAnsi="Meta Pro"/>
                <w:b/>
                <w:bCs/>
                <w:sz w:val="16"/>
                <w:szCs w:val="16"/>
                <w:lang w:eastAsia="en-AU"/>
              </w:rPr>
            </w:pPr>
            <w:r w:rsidRPr="00092B22">
              <w:rPr>
                <w:rFonts w:ascii="Meta Pro" w:eastAsia="Times New Roman" w:hAnsi="Meta Pro"/>
                <w:b/>
                <w:bCs/>
                <w:sz w:val="16"/>
                <w:szCs w:val="16"/>
                <w:lang w:eastAsia="en-AU"/>
              </w:rPr>
              <w:t xml:space="preserve">6,076,782 </w:t>
            </w:r>
          </w:p>
        </w:tc>
        <w:tc>
          <w:tcPr>
            <w:tcW w:w="198" w:type="dxa"/>
            <w:tcBorders>
              <w:top w:val="nil"/>
              <w:left w:val="nil"/>
              <w:bottom w:val="nil"/>
              <w:right w:val="nil"/>
            </w:tcBorders>
            <w:shd w:val="clear" w:color="auto" w:fill="auto"/>
            <w:noWrap/>
            <w:vAlign w:val="center"/>
            <w:hideMark/>
          </w:tcPr>
          <w:p w14:paraId="6A21E126" w14:textId="77777777" w:rsidR="00B712A0" w:rsidRPr="00092B22" w:rsidRDefault="00B712A0" w:rsidP="00E607DA">
            <w:pPr>
              <w:jc w:val="right"/>
              <w:rPr>
                <w:rFonts w:ascii="Meta Pro" w:eastAsia="Times New Roman" w:hAnsi="Meta Pro"/>
                <w:b/>
                <w:bCs/>
                <w:sz w:val="16"/>
                <w:szCs w:val="16"/>
                <w:lang w:eastAsia="en-AU"/>
              </w:rPr>
            </w:pPr>
          </w:p>
        </w:tc>
        <w:tc>
          <w:tcPr>
            <w:tcW w:w="1361" w:type="dxa"/>
            <w:tcBorders>
              <w:top w:val="single" w:sz="4" w:space="0" w:color="auto"/>
              <w:left w:val="nil"/>
              <w:bottom w:val="double" w:sz="6" w:space="0" w:color="auto"/>
              <w:right w:val="nil"/>
            </w:tcBorders>
            <w:shd w:val="clear" w:color="auto" w:fill="auto"/>
            <w:noWrap/>
            <w:vAlign w:val="center"/>
            <w:hideMark/>
          </w:tcPr>
          <w:p w14:paraId="30C74CC4" w14:textId="77777777" w:rsidR="00B712A0" w:rsidRPr="00092B22" w:rsidRDefault="00B712A0" w:rsidP="00E607DA">
            <w:pPr>
              <w:jc w:val="right"/>
              <w:rPr>
                <w:rFonts w:ascii="Meta Pro" w:eastAsia="Times New Roman" w:hAnsi="Meta Pro"/>
                <w:b/>
                <w:bCs/>
                <w:sz w:val="16"/>
                <w:szCs w:val="16"/>
                <w:lang w:eastAsia="en-AU"/>
              </w:rPr>
            </w:pPr>
            <w:r w:rsidRPr="00092B22">
              <w:rPr>
                <w:rFonts w:ascii="Meta Pro" w:eastAsia="Times New Roman" w:hAnsi="Meta Pro"/>
                <w:b/>
                <w:bCs/>
                <w:sz w:val="16"/>
                <w:szCs w:val="16"/>
                <w:lang w:eastAsia="en-AU"/>
              </w:rPr>
              <w:t xml:space="preserve">74,527,821 </w:t>
            </w:r>
          </w:p>
        </w:tc>
      </w:tr>
      <w:tr w:rsidR="00B712A0" w:rsidRPr="00092B22" w14:paraId="7D5D792C" w14:textId="77777777" w:rsidTr="00E607DA">
        <w:trPr>
          <w:trHeight w:val="23"/>
        </w:trPr>
        <w:tc>
          <w:tcPr>
            <w:tcW w:w="4820" w:type="dxa"/>
            <w:tcBorders>
              <w:top w:val="nil"/>
              <w:left w:val="nil"/>
              <w:bottom w:val="nil"/>
              <w:right w:val="nil"/>
            </w:tcBorders>
            <w:shd w:val="clear" w:color="auto" w:fill="auto"/>
            <w:noWrap/>
            <w:vAlign w:val="center"/>
            <w:hideMark/>
          </w:tcPr>
          <w:p w14:paraId="602A2769" w14:textId="77777777" w:rsidR="00B712A0" w:rsidRPr="00092B22" w:rsidRDefault="00B712A0" w:rsidP="00E607DA">
            <w:pPr>
              <w:jc w:val="right"/>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4C36C9F9" w14:textId="77777777" w:rsidR="00B712A0" w:rsidRPr="00092B22" w:rsidRDefault="00B712A0"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6CEF45B2" w14:textId="77777777" w:rsidR="00B712A0" w:rsidRPr="00092B22" w:rsidRDefault="00B712A0" w:rsidP="00E607DA">
            <w:pP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3251C19D" w14:textId="77777777" w:rsidR="00B712A0" w:rsidRPr="00092B22" w:rsidRDefault="00B712A0"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057D78EF" w14:textId="77777777" w:rsidR="00B712A0" w:rsidRPr="00092B22" w:rsidRDefault="00B712A0"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39951495" w14:textId="77777777" w:rsidR="00B712A0" w:rsidRPr="00092B22" w:rsidRDefault="00B712A0"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274374F8" w14:textId="77777777" w:rsidR="00B712A0" w:rsidRPr="00092B22" w:rsidRDefault="00B712A0"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61EB0397" w14:textId="77777777" w:rsidR="00B712A0" w:rsidRPr="00092B22" w:rsidRDefault="00B712A0"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0FF5AC39" w14:textId="77777777" w:rsidR="00B712A0" w:rsidRPr="00092B22" w:rsidRDefault="00B712A0"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5EDCBD8E" w14:textId="77777777" w:rsidR="00B712A0" w:rsidRPr="00092B22" w:rsidRDefault="00B712A0"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5560C8ED" w14:textId="77777777" w:rsidR="00B712A0" w:rsidRPr="00092B22" w:rsidRDefault="00B712A0"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7D090BDA" w14:textId="77777777" w:rsidR="00B712A0" w:rsidRPr="00092B22" w:rsidRDefault="00B712A0"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5F18AFA4" w14:textId="77777777" w:rsidR="00B712A0" w:rsidRPr="00092B22" w:rsidRDefault="00B712A0"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511713BF" w14:textId="77777777" w:rsidR="00B712A0" w:rsidRPr="00092B22" w:rsidRDefault="00B712A0" w:rsidP="00E607DA">
            <w:pPr>
              <w:rPr>
                <w:rFonts w:ascii="Meta Pro" w:eastAsia="Times New Roman" w:hAnsi="Meta Pro" w:cs="Times New Roman"/>
                <w:sz w:val="20"/>
                <w:szCs w:val="20"/>
                <w:lang w:eastAsia="en-AU"/>
              </w:rPr>
            </w:pPr>
          </w:p>
        </w:tc>
      </w:tr>
      <w:tr w:rsidR="00B712A0" w:rsidRPr="00092B22" w14:paraId="54F51CF0" w14:textId="77777777" w:rsidTr="00E607DA">
        <w:trPr>
          <w:trHeight w:val="23"/>
        </w:trPr>
        <w:tc>
          <w:tcPr>
            <w:tcW w:w="4820" w:type="dxa"/>
            <w:tcBorders>
              <w:top w:val="nil"/>
              <w:left w:val="nil"/>
              <w:bottom w:val="nil"/>
              <w:right w:val="nil"/>
            </w:tcBorders>
            <w:shd w:val="clear" w:color="auto" w:fill="auto"/>
            <w:noWrap/>
            <w:vAlign w:val="center"/>
            <w:hideMark/>
          </w:tcPr>
          <w:p w14:paraId="05FE97AE" w14:textId="77777777" w:rsidR="00B712A0" w:rsidRPr="00092B22" w:rsidRDefault="00B712A0" w:rsidP="00E607DA">
            <w:pPr>
              <w:rPr>
                <w:rFonts w:ascii="Meta Pro" w:eastAsia="Times New Roman" w:hAnsi="Meta Pro"/>
                <w:b/>
                <w:bCs/>
                <w:sz w:val="16"/>
                <w:szCs w:val="16"/>
                <w:lang w:eastAsia="en-AU"/>
              </w:rPr>
            </w:pPr>
            <w:r w:rsidRPr="00092B22">
              <w:rPr>
                <w:rFonts w:ascii="Meta Pro" w:eastAsia="Times New Roman" w:hAnsi="Meta Pro"/>
                <w:b/>
                <w:bCs/>
                <w:sz w:val="16"/>
                <w:szCs w:val="16"/>
                <w:lang w:eastAsia="en-AU"/>
              </w:rPr>
              <w:t>Reconciliation</w:t>
            </w:r>
          </w:p>
        </w:tc>
        <w:tc>
          <w:tcPr>
            <w:tcW w:w="1361" w:type="dxa"/>
            <w:tcBorders>
              <w:top w:val="nil"/>
              <w:left w:val="nil"/>
              <w:bottom w:val="nil"/>
              <w:right w:val="nil"/>
            </w:tcBorders>
            <w:shd w:val="clear" w:color="auto" w:fill="auto"/>
            <w:noWrap/>
            <w:vAlign w:val="center"/>
            <w:hideMark/>
          </w:tcPr>
          <w:p w14:paraId="130DAA15" w14:textId="77777777" w:rsidR="00B712A0" w:rsidRPr="00092B22" w:rsidRDefault="00B712A0" w:rsidP="00E607DA">
            <w:pPr>
              <w:rPr>
                <w:rFonts w:ascii="Meta Pro" w:eastAsia="Times New Roman" w:hAnsi="Meta Pro"/>
                <w:b/>
                <w:bCs/>
                <w:sz w:val="16"/>
                <w:szCs w:val="16"/>
                <w:lang w:eastAsia="en-AU"/>
              </w:rPr>
            </w:pPr>
          </w:p>
        </w:tc>
        <w:tc>
          <w:tcPr>
            <w:tcW w:w="198" w:type="dxa"/>
            <w:tcBorders>
              <w:top w:val="nil"/>
              <w:left w:val="nil"/>
              <w:bottom w:val="nil"/>
              <w:right w:val="nil"/>
            </w:tcBorders>
            <w:shd w:val="clear" w:color="auto" w:fill="auto"/>
            <w:noWrap/>
            <w:vAlign w:val="center"/>
            <w:hideMark/>
          </w:tcPr>
          <w:p w14:paraId="0E42A021" w14:textId="77777777" w:rsidR="00B712A0" w:rsidRPr="00092B22" w:rsidRDefault="00B712A0" w:rsidP="00E607DA">
            <w:pP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2D05C3D1" w14:textId="77777777" w:rsidR="00B712A0" w:rsidRPr="00092B22" w:rsidRDefault="00B712A0"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5135FABF" w14:textId="77777777" w:rsidR="00B712A0" w:rsidRPr="00092B22" w:rsidRDefault="00B712A0"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1EE158B7" w14:textId="77777777" w:rsidR="00B712A0" w:rsidRPr="00092B22" w:rsidRDefault="00B712A0"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46152A77" w14:textId="77777777" w:rsidR="00B712A0" w:rsidRPr="00092B22" w:rsidRDefault="00B712A0"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350AE3BC" w14:textId="77777777" w:rsidR="00B712A0" w:rsidRPr="00092B22" w:rsidRDefault="00B712A0"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7DCF683A" w14:textId="77777777" w:rsidR="00B712A0" w:rsidRPr="00092B22" w:rsidRDefault="00B712A0"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18DE7D79" w14:textId="77777777" w:rsidR="00B712A0" w:rsidRPr="00092B22" w:rsidRDefault="00B712A0"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2A803CF0" w14:textId="77777777" w:rsidR="00B712A0" w:rsidRPr="00092B22" w:rsidRDefault="00B712A0"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14AE7C96" w14:textId="77777777" w:rsidR="00B712A0" w:rsidRPr="00092B22" w:rsidRDefault="00B712A0"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04EE3F38" w14:textId="77777777" w:rsidR="00B712A0" w:rsidRPr="00092B22" w:rsidRDefault="00B712A0" w:rsidP="00E607DA">
            <w:pPr>
              <w:jc w:val="cente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42FBE7B7" w14:textId="77777777" w:rsidR="00B712A0" w:rsidRPr="00092B22" w:rsidRDefault="00B712A0" w:rsidP="00E607DA">
            <w:pPr>
              <w:rPr>
                <w:rFonts w:ascii="Meta Pro" w:eastAsia="Times New Roman" w:hAnsi="Meta Pro" w:cs="Times New Roman"/>
                <w:sz w:val="20"/>
                <w:szCs w:val="20"/>
                <w:lang w:eastAsia="en-AU"/>
              </w:rPr>
            </w:pPr>
          </w:p>
        </w:tc>
      </w:tr>
      <w:tr w:rsidR="00B712A0" w:rsidRPr="00092B22" w14:paraId="4C7FF64B" w14:textId="77777777" w:rsidTr="00E607DA">
        <w:trPr>
          <w:trHeight w:val="23"/>
        </w:trPr>
        <w:tc>
          <w:tcPr>
            <w:tcW w:w="4820" w:type="dxa"/>
            <w:tcBorders>
              <w:top w:val="nil"/>
              <w:left w:val="nil"/>
              <w:bottom w:val="nil"/>
              <w:right w:val="nil"/>
            </w:tcBorders>
            <w:shd w:val="clear" w:color="auto" w:fill="auto"/>
            <w:vAlign w:val="center"/>
            <w:hideMark/>
          </w:tcPr>
          <w:p w14:paraId="5A640BA3" w14:textId="77777777" w:rsidR="00B712A0" w:rsidRPr="00092B22" w:rsidRDefault="00B712A0"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t>Carrying amount at 1 July</w:t>
            </w:r>
          </w:p>
        </w:tc>
        <w:tc>
          <w:tcPr>
            <w:tcW w:w="1361" w:type="dxa"/>
            <w:tcBorders>
              <w:top w:val="nil"/>
              <w:left w:val="nil"/>
              <w:bottom w:val="nil"/>
              <w:right w:val="nil"/>
            </w:tcBorders>
            <w:shd w:val="clear" w:color="auto" w:fill="auto"/>
            <w:noWrap/>
            <w:vAlign w:val="center"/>
            <w:hideMark/>
          </w:tcPr>
          <w:p w14:paraId="4B1F4DFF"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4,652,623 </w:t>
            </w:r>
          </w:p>
        </w:tc>
        <w:tc>
          <w:tcPr>
            <w:tcW w:w="198" w:type="dxa"/>
            <w:tcBorders>
              <w:top w:val="nil"/>
              <w:left w:val="nil"/>
              <w:bottom w:val="nil"/>
              <w:right w:val="nil"/>
            </w:tcBorders>
            <w:shd w:val="clear" w:color="auto" w:fill="auto"/>
            <w:noWrap/>
            <w:vAlign w:val="center"/>
            <w:hideMark/>
          </w:tcPr>
          <w:p w14:paraId="0B000B0E"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1BB4BC47"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851,886 </w:t>
            </w:r>
          </w:p>
        </w:tc>
        <w:tc>
          <w:tcPr>
            <w:tcW w:w="198" w:type="dxa"/>
            <w:tcBorders>
              <w:top w:val="nil"/>
              <w:left w:val="nil"/>
              <w:bottom w:val="nil"/>
              <w:right w:val="nil"/>
            </w:tcBorders>
            <w:shd w:val="clear" w:color="auto" w:fill="auto"/>
            <w:noWrap/>
            <w:vAlign w:val="center"/>
            <w:hideMark/>
          </w:tcPr>
          <w:p w14:paraId="7FA7BF5D"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61654F3D"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219,170 </w:t>
            </w:r>
          </w:p>
        </w:tc>
        <w:tc>
          <w:tcPr>
            <w:tcW w:w="198" w:type="dxa"/>
            <w:tcBorders>
              <w:top w:val="nil"/>
              <w:left w:val="nil"/>
              <w:bottom w:val="nil"/>
              <w:right w:val="nil"/>
            </w:tcBorders>
            <w:shd w:val="clear" w:color="auto" w:fill="auto"/>
            <w:noWrap/>
            <w:vAlign w:val="center"/>
            <w:hideMark/>
          </w:tcPr>
          <w:p w14:paraId="069DCC21"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6EACAFDA"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1,104,194 </w:t>
            </w:r>
          </w:p>
        </w:tc>
        <w:tc>
          <w:tcPr>
            <w:tcW w:w="198" w:type="dxa"/>
            <w:tcBorders>
              <w:top w:val="nil"/>
              <w:left w:val="nil"/>
              <w:bottom w:val="nil"/>
              <w:right w:val="nil"/>
            </w:tcBorders>
            <w:shd w:val="clear" w:color="auto" w:fill="auto"/>
            <w:noWrap/>
            <w:vAlign w:val="center"/>
            <w:hideMark/>
          </w:tcPr>
          <w:p w14:paraId="71E3424B"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6731A14"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58,745,687 </w:t>
            </w:r>
          </w:p>
        </w:tc>
        <w:tc>
          <w:tcPr>
            <w:tcW w:w="198" w:type="dxa"/>
            <w:tcBorders>
              <w:top w:val="nil"/>
              <w:left w:val="nil"/>
              <w:bottom w:val="nil"/>
              <w:right w:val="nil"/>
            </w:tcBorders>
            <w:shd w:val="clear" w:color="auto" w:fill="auto"/>
            <w:noWrap/>
            <w:vAlign w:val="center"/>
            <w:hideMark/>
          </w:tcPr>
          <w:p w14:paraId="78BC3B37"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6838B7E5"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4,083,868 </w:t>
            </w:r>
          </w:p>
        </w:tc>
        <w:tc>
          <w:tcPr>
            <w:tcW w:w="198" w:type="dxa"/>
            <w:tcBorders>
              <w:top w:val="nil"/>
              <w:left w:val="nil"/>
              <w:bottom w:val="nil"/>
              <w:right w:val="nil"/>
            </w:tcBorders>
            <w:shd w:val="clear" w:color="auto" w:fill="auto"/>
            <w:noWrap/>
            <w:vAlign w:val="center"/>
            <w:hideMark/>
          </w:tcPr>
          <w:p w14:paraId="62F3C367"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C9C1FE2" w14:textId="77777777" w:rsidR="00B712A0" w:rsidRPr="00092B22" w:rsidRDefault="00B712A0" w:rsidP="00E607DA">
            <w:pPr>
              <w:jc w:val="right"/>
              <w:rPr>
                <w:rFonts w:ascii="Meta Pro" w:eastAsia="Times New Roman" w:hAnsi="Meta Pro"/>
                <w:b/>
                <w:bCs/>
                <w:sz w:val="16"/>
                <w:szCs w:val="16"/>
                <w:lang w:eastAsia="en-AU"/>
              </w:rPr>
            </w:pPr>
            <w:r w:rsidRPr="00092B22">
              <w:rPr>
                <w:rFonts w:ascii="Meta Pro" w:eastAsia="Times New Roman" w:hAnsi="Meta Pro"/>
                <w:b/>
                <w:bCs/>
                <w:sz w:val="16"/>
                <w:szCs w:val="16"/>
                <w:lang w:eastAsia="en-AU"/>
              </w:rPr>
              <w:t xml:space="preserve">69,657,428 </w:t>
            </w:r>
          </w:p>
        </w:tc>
      </w:tr>
      <w:tr w:rsidR="00B712A0" w:rsidRPr="00092B22" w14:paraId="2E8E293E" w14:textId="77777777" w:rsidTr="00E607DA">
        <w:trPr>
          <w:trHeight w:val="23"/>
        </w:trPr>
        <w:tc>
          <w:tcPr>
            <w:tcW w:w="4820" w:type="dxa"/>
            <w:tcBorders>
              <w:top w:val="nil"/>
              <w:left w:val="nil"/>
              <w:bottom w:val="nil"/>
              <w:right w:val="nil"/>
            </w:tcBorders>
            <w:shd w:val="clear" w:color="auto" w:fill="auto"/>
            <w:noWrap/>
            <w:vAlign w:val="center"/>
            <w:hideMark/>
          </w:tcPr>
          <w:p w14:paraId="6418893D" w14:textId="77777777" w:rsidR="00B712A0" w:rsidRPr="00092B22" w:rsidRDefault="00B712A0"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t>Acquisitions (including upgrades)</w:t>
            </w:r>
          </w:p>
        </w:tc>
        <w:tc>
          <w:tcPr>
            <w:tcW w:w="1361" w:type="dxa"/>
            <w:tcBorders>
              <w:top w:val="nil"/>
              <w:left w:val="nil"/>
              <w:bottom w:val="nil"/>
              <w:right w:val="nil"/>
            </w:tcBorders>
            <w:shd w:val="clear" w:color="auto" w:fill="auto"/>
            <w:noWrap/>
            <w:vAlign w:val="center"/>
            <w:hideMark/>
          </w:tcPr>
          <w:p w14:paraId="1C55DBE1"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58,868 </w:t>
            </w:r>
          </w:p>
        </w:tc>
        <w:tc>
          <w:tcPr>
            <w:tcW w:w="198" w:type="dxa"/>
            <w:tcBorders>
              <w:top w:val="nil"/>
              <w:left w:val="nil"/>
              <w:bottom w:val="nil"/>
              <w:right w:val="nil"/>
            </w:tcBorders>
            <w:shd w:val="clear" w:color="auto" w:fill="auto"/>
            <w:noWrap/>
            <w:vAlign w:val="center"/>
            <w:hideMark/>
          </w:tcPr>
          <w:p w14:paraId="24E0FDBD"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6672FB92"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81 </w:t>
            </w:r>
          </w:p>
        </w:tc>
        <w:tc>
          <w:tcPr>
            <w:tcW w:w="198" w:type="dxa"/>
            <w:tcBorders>
              <w:top w:val="nil"/>
              <w:left w:val="nil"/>
              <w:bottom w:val="nil"/>
              <w:right w:val="nil"/>
            </w:tcBorders>
            <w:shd w:val="clear" w:color="auto" w:fill="auto"/>
            <w:noWrap/>
            <w:vAlign w:val="center"/>
            <w:hideMark/>
          </w:tcPr>
          <w:p w14:paraId="642A0DEB"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C64D034"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31,995 </w:t>
            </w:r>
          </w:p>
        </w:tc>
        <w:tc>
          <w:tcPr>
            <w:tcW w:w="198" w:type="dxa"/>
            <w:tcBorders>
              <w:top w:val="nil"/>
              <w:left w:val="nil"/>
              <w:bottom w:val="nil"/>
              <w:right w:val="nil"/>
            </w:tcBorders>
            <w:shd w:val="clear" w:color="auto" w:fill="auto"/>
            <w:noWrap/>
            <w:vAlign w:val="center"/>
            <w:hideMark/>
          </w:tcPr>
          <w:p w14:paraId="029440F2"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0C8C4687"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7C7A6EE0"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7FFC834B"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1545D5F3"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32D8EF0"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3,174,622 </w:t>
            </w:r>
          </w:p>
        </w:tc>
        <w:tc>
          <w:tcPr>
            <w:tcW w:w="198" w:type="dxa"/>
            <w:tcBorders>
              <w:top w:val="nil"/>
              <w:left w:val="nil"/>
              <w:bottom w:val="nil"/>
              <w:right w:val="nil"/>
            </w:tcBorders>
            <w:shd w:val="clear" w:color="auto" w:fill="auto"/>
            <w:noWrap/>
            <w:vAlign w:val="center"/>
            <w:hideMark/>
          </w:tcPr>
          <w:p w14:paraId="75D167D9"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7D89E7CA" w14:textId="77777777" w:rsidR="00B712A0" w:rsidRPr="00092B22" w:rsidRDefault="00B712A0" w:rsidP="00E607DA">
            <w:pPr>
              <w:jc w:val="right"/>
              <w:rPr>
                <w:rFonts w:ascii="Meta Pro" w:eastAsia="Times New Roman" w:hAnsi="Meta Pro"/>
                <w:b/>
                <w:bCs/>
                <w:sz w:val="16"/>
                <w:szCs w:val="16"/>
                <w:lang w:eastAsia="en-AU"/>
              </w:rPr>
            </w:pPr>
            <w:r w:rsidRPr="00092B22">
              <w:rPr>
                <w:rFonts w:ascii="Meta Pro" w:eastAsia="Times New Roman" w:hAnsi="Meta Pro"/>
                <w:b/>
                <w:bCs/>
                <w:sz w:val="16"/>
                <w:szCs w:val="16"/>
                <w:lang w:eastAsia="en-AU"/>
              </w:rPr>
              <w:t xml:space="preserve">3,265,566 </w:t>
            </w:r>
          </w:p>
        </w:tc>
      </w:tr>
      <w:tr w:rsidR="00B712A0" w:rsidRPr="00092B22" w14:paraId="18731CF9" w14:textId="77777777" w:rsidTr="00E607DA">
        <w:trPr>
          <w:trHeight w:val="23"/>
        </w:trPr>
        <w:tc>
          <w:tcPr>
            <w:tcW w:w="4820" w:type="dxa"/>
            <w:tcBorders>
              <w:top w:val="nil"/>
              <w:left w:val="nil"/>
              <w:bottom w:val="nil"/>
              <w:right w:val="nil"/>
            </w:tcBorders>
            <w:shd w:val="clear" w:color="auto" w:fill="auto"/>
            <w:noWrap/>
            <w:vAlign w:val="center"/>
            <w:hideMark/>
          </w:tcPr>
          <w:p w14:paraId="1ED108EA" w14:textId="77777777" w:rsidR="00B712A0" w:rsidRPr="00092B22" w:rsidRDefault="00B712A0"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lastRenderedPageBreak/>
              <w:t>Assets received at below fair value</w:t>
            </w:r>
          </w:p>
        </w:tc>
        <w:tc>
          <w:tcPr>
            <w:tcW w:w="1361" w:type="dxa"/>
            <w:tcBorders>
              <w:top w:val="nil"/>
              <w:left w:val="nil"/>
              <w:bottom w:val="nil"/>
              <w:right w:val="nil"/>
            </w:tcBorders>
            <w:shd w:val="clear" w:color="auto" w:fill="auto"/>
            <w:noWrap/>
            <w:vAlign w:val="center"/>
            <w:hideMark/>
          </w:tcPr>
          <w:p w14:paraId="544FC73B"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1,047 </w:t>
            </w:r>
          </w:p>
        </w:tc>
        <w:tc>
          <w:tcPr>
            <w:tcW w:w="198" w:type="dxa"/>
            <w:tcBorders>
              <w:top w:val="nil"/>
              <w:left w:val="nil"/>
              <w:bottom w:val="nil"/>
              <w:right w:val="nil"/>
            </w:tcBorders>
            <w:shd w:val="clear" w:color="auto" w:fill="auto"/>
            <w:noWrap/>
            <w:vAlign w:val="center"/>
            <w:hideMark/>
          </w:tcPr>
          <w:p w14:paraId="139B148D"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F703133"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4E1C5269"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2F925AAA"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1CAD0167"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41B977F"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218FBD21"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2257543C"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0B4752F3"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4A45DCE3"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3,975 </w:t>
            </w:r>
          </w:p>
        </w:tc>
        <w:tc>
          <w:tcPr>
            <w:tcW w:w="198" w:type="dxa"/>
            <w:tcBorders>
              <w:top w:val="nil"/>
              <w:left w:val="nil"/>
              <w:bottom w:val="nil"/>
              <w:right w:val="nil"/>
            </w:tcBorders>
            <w:shd w:val="clear" w:color="auto" w:fill="auto"/>
            <w:noWrap/>
            <w:vAlign w:val="center"/>
            <w:hideMark/>
          </w:tcPr>
          <w:p w14:paraId="7537DB89"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7AEE0642" w14:textId="77777777" w:rsidR="00B712A0" w:rsidRPr="00092B22" w:rsidRDefault="00B712A0" w:rsidP="00E607DA">
            <w:pPr>
              <w:jc w:val="right"/>
              <w:rPr>
                <w:rFonts w:ascii="Meta Pro" w:eastAsia="Times New Roman" w:hAnsi="Meta Pro"/>
                <w:b/>
                <w:bCs/>
                <w:sz w:val="16"/>
                <w:szCs w:val="16"/>
                <w:lang w:eastAsia="en-AU"/>
              </w:rPr>
            </w:pPr>
            <w:r w:rsidRPr="00092B22">
              <w:rPr>
                <w:rFonts w:ascii="Meta Pro" w:eastAsia="Times New Roman" w:hAnsi="Meta Pro"/>
                <w:b/>
                <w:bCs/>
                <w:sz w:val="16"/>
                <w:szCs w:val="16"/>
                <w:lang w:eastAsia="en-AU"/>
              </w:rPr>
              <w:t xml:space="preserve">5,022 </w:t>
            </w:r>
          </w:p>
        </w:tc>
      </w:tr>
      <w:tr w:rsidR="00B712A0" w:rsidRPr="00092B22" w14:paraId="37111F35" w14:textId="77777777" w:rsidTr="00E607DA">
        <w:trPr>
          <w:trHeight w:val="23"/>
        </w:trPr>
        <w:tc>
          <w:tcPr>
            <w:tcW w:w="4820" w:type="dxa"/>
            <w:tcBorders>
              <w:top w:val="nil"/>
              <w:left w:val="nil"/>
              <w:bottom w:val="nil"/>
              <w:right w:val="nil"/>
            </w:tcBorders>
            <w:shd w:val="clear" w:color="auto" w:fill="auto"/>
            <w:vAlign w:val="center"/>
            <w:hideMark/>
          </w:tcPr>
          <w:p w14:paraId="132B2DD6" w14:textId="77777777" w:rsidR="00B712A0" w:rsidRPr="00092B22" w:rsidRDefault="00B712A0"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t>Transfers from/(to) other Queensland Government entities</w:t>
            </w:r>
          </w:p>
        </w:tc>
        <w:tc>
          <w:tcPr>
            <w:tcW w:w="1361" w:type="dxa"/>
            <w:tcBorders>
              <w:top w:val="nil"/>
              <w:left w:val="nil"/>
              <w:bottom w:val="nil"/>
              <w:right w:val="nil"/>
            </w:tcBorders>
            <w:shd w:val="clear" w:color="auto" w:fill="auto"/>
            <w:noWrap/>
            <w:vAlign w:val="center"/>
            <w:hideMark/>
          </w:tcPr>
          <w:p w14:paraId="7A8A391D"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(1,119)</w:t>
            </w:r>
          </w:p>
        </w:tc>
        <w:tc>
          <w:tcPr>
            <w:tcW w:w="198" w:type="dxa"/>
            <w:tcBorders>
              <w:top w:val="nil"/>
              <w:left w:val="nil"/>
              <w:bottom w:val="nil"/>
              <w:right w:val="nil"/>
            </w:tcBorders>
            <w:shd w:val="clear" w:color="auto" w:fill="auto"/>
            <w:noWrap/>
            <w:vAlign w:val="center"/>
            <w:hideMark/>
          </w:tcPr>
          <w:p w14:paraId="23BE0D97"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4D1C1DAA"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4AAAEB5B"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1A13F1C8"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0A2F3278"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4FAFCA88"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25F9B24D"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773A0737"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0833C19E"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44978EF5"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05542E90"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098B10D3" w14:textId="77777777" w:rsidR="00B712A0" w:rsidRPr="00092B22" w:rsidRDefault="00B712A0" w:rsidP="00E607DA">
            <w:pPr>
              <w:jc w:val="right"/>
              <w:rPr>
                <w:rFonts w:ascii="Meta Pro" w:eastAsia="Times New Roman" w:hAnsi="Meta Pro"/>
                <w:b/>
                <w:bCs/>
                <w:sz w:val="16"/>
                <w:szCs w:val="16"/>
                <w:lang w:eastAsia="en-AU"/>
              </w:rPr>
            </w:pPr>
            <w:r w:rsidRPr="00092B22">
              <w:rPr>
                <w:rFonts w:ascii="Meta Pro" w:eastAsia="Times New Roman" w:hAnsi="Meta Pro"/>
                <w:b/>
                <w:bCs/>
                <w:sz w:val="16"/>
                <w:szCs w:val="16"/>
                <w:lang w:eastAsia="en-AU"/>
              </w:rPr>
              <w:t>(1,119)</w:t>
            </w:r>
          </w:p>
        </w:tc>
      </w:tr>
      <w:tr w:rsidR="00B712A0" w:rsidRPr="00092B22" w14:paraId="46D0FB58" w14:textId="77777777" w:rsidTr="00E607DA">
        <w:trPr>
          <w:trHeight w:val="23"/>
        </w:trPr>
        <w:tc>
          <w:tcPr>
            <w:tcW w:w="4820" w:type="dxa"/>
            <w:tcBorders>
              <w:top w:val="nil"/>
              <w:left w:val="nil"/>
              <w:bottom w:val="nil"/>
              <w:right w:val="nil"/>
            </w:tcBorders>
            <w:shd w:val="clear" w:color="auto" w:fill="auto"/>
            <w:noWrap/>
            <w:vAlign w:val="center"/>
            <w:hideMark/>
          </w:tcPr>
          <w:p w14:paraId="26E702B5" w14:textId="77777777" w:rsidR="00B712A0" w:rsidRPr="00092B22" w:rsidRDefault="00B712A0"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t>Transfers between classes</w:t>
            </w:r>
          </w:p>
        </w:tc>
        <w:tc>
          <w:tcPr>
            <w:tcW w:w="1361" w:type="dxa"/>
            <w:tcBorders>
              <w:top w:val="nil"/>
              <w:left w:val="nil"/>
              <w:bottom w:val="nil"/>
              <w:right w:val="nil"/>
            </w:tcBorders>
            <w:shd w:val="clear" w:color="auto" w:fill="auto"/>
            <w:noWrap/>
            <w:vAlign w:val="center"/>
            <w:hideMark/>
          </w:tcPr>
          <w:p w14:paraId="075F940D"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1,792 </w:t>
            </w:r>
          </w:p>
        </w:tc>
        <w:tc>
          <w:tcPr>
            <w:tcW w:w="198" w:type="dxa"/>
            <w:tcBorders>
              <w:top w:val="nil"/>
              <w:left w:val="nil"/>
              <w:bottom w:val="nil"/>
              <w:right w:val="nil"/>
            </w:tcBorders>
            <w:shd w:val="clear" w:color="auto" w:fill="auto"/>
            <w:noWrap/>
            <w:vAlign w:val="center"/>
            <w:hideMark/>
          </w:tcPr>
          <w:p w14:paraId="78BF7655"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642BA33F"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12,808 </w:t>
            </w:r>
          </w:p>
        </w:tc>
        <w:tc>
          <w:tcPr>
            <w:tcW w:w="198" w:type="dxa"/>
            <w:tcBorders>
              <w:top w:val="nil"/>
              <w:left w:val="nil"/>
              <w:bottom w:val="nil"/>
              <w:right w:val="nil"/>
            </w:tcBorders>
            <w:shd w:val="clear" w:color="auto" w:fill="auto"/>
            <w:noWrap/>
            <w:vAlign w:val="center"/>
            <w:hideMark/>
          </w:tcPr>
          <w:p w14:paraId="79229833"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F35E772"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(10,894)</w:t>
            </w:r>
          </w:p>
        </w:tc>
        <w:tc>
          <w:tcPr>
            <w:tcW w:w="198" w:type="dxa"/>
            <w:tcBorders>
              <w:top w:val="nil"/>
              <w:left w:val="nil"/>
              <w:bottom w:val="nil"/>
              <w:right w:val="nil"/>
            </w:tcBorders>
            <w:shd w:val="clear" w:color="auto" w:fill="auto"/>
            <w:noWrap/>
            <w:vAlign w:val="center"/>
            <w:hideMark/>
          </w:tcPr>
          <w:p w14:paraId="11FCD144"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2AF4D0CE"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46,945 </w:t>
            </w:r>
          </w:p>
        </w:tc>
        <w:tc>
          <w:tcPr>
            <w:tcW w:w="198" w:type="dxa"/>
            <w:tcBorders>
              <w:top w:val="nil"/>
              <w:left w:val="nil"/>
              <w:bottom w:val="nil"/>
              <w:right w:val="nil"/>
            </w:tcBorders>
            <w:shd w:val="clear" w:color="auto" w:fill="auto"/>
            <w:noWrap/>
            <w:vAlign w:val="center"/>
            <w:hideMark/>
          </w:tcPr>
          <w:p w14:paraId="0CFB4408"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1E6DAE8A"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1,135,032 </w:t>
            </w:r>
          </w:p>
        </w:tc>
        <w:tc>
          <w:tcPr>
            <w:tcW w:w="198" w:type="dxa"/>
            <w:tcBorders>
              <w:top w:val="nil"/>
              <w:left w:val="nil"/>
              <w:bottom w:val="nil"/>
              <w:right w:val="nil"/>
            </w:tcBorders>
            <w:shd w:val="clear" w:color="auto" w:fill="auto"/>
            <w:noWrap/>
            <w:vAlign w:val="center"/>
            <w:hideMark/>
          </w:tcPr>
          <w:p w14:paraId="70CDB07B"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1DF86269"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(1,185,683)</w:t>
            </w:r>
          </w:p>
        </w:tc>
        <w:tc>
          <w:tcPr>
            <w:tcW w:w="198" w:type="dxa"/>
            <w:tcBorders>
              <w:top w:val="nil"/>
              <w:left w:val="nil"/>
              <w:bottom w:val="nil"/>
              <w:right w:val="nil"/>
            </w:tcBorders>
            <w:shd w:val="clear" w:color="auto" w:fill="auto"/>
            <w:noWrap/>
            <w:vAlign w:val="center"/>
            <w:hideMark/>
          </w:tcPr>
          <w:p w14:paraId="5CE41635"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534D4B5" w14:textId="77777777" w:rsidR="00B712A0" w:rsidRPr="00092B22" w:rsidRDefault="00B712A0" w:rsidP="00E607DA">
            <w:pPr>
              <w:jc w:val="right"/>
              <w:rPr>
                <w:rFonts w:ascii="Meta Pro" w:eastAsia="Times New Roman" w:hAnsi="Meta Pro"/>
                <w:b/>
                <w:bCs/>
                <w:sz w:val="16"/>
                <w:szCs w:val="16"/>
                <w:lang w:eastAsia="en-AU"/>
              </w:rPr>
            </w:pPr>
            <w:r w:rsidRPr="00092B22">
              <w:rPr>
                <w:rFonts w:ascii="Meta Pro" w:eastAsia="Times New Roman" w:hAnsi="Meta Pro"/>
                <w:b/>
                <w:bCs/>
                <w:sz w:val="16"/>
                <w:szCs w:val="16"/>
                <w:lang w:eastAsia="en-AU"/>
              </w:rPr>
              <w:t xml:space="preserve">- </w:t>
            </w:r>
          </w:p>
        </w:tc>
      </w:tr>
      <w:tr w:rsidR="00B712A0" w:rsidRPr="00092B22" w14:paraId="2747BCF9" w14:textId="77777777" w:rsidTr="00E607DA">
        <w:trPr>
          <w:trHeight w:val="23"/>
        </w:trPr>
        <w:tc>
          <w:tcPr>
            <w:tcW w:w="4820" w:type="dxa"/>
            <w:tcBorders>
              <w:top w:val="nil"/>
              <w:left w:val="nil"/>
              <w:bottom w:val="nil"/>
              <w:right w:val="nil"/>
            </w:tcBorders>
            <w:shd w:val="clear" w:color="auto" w:fill="auto"/>
            <w:noWrap/>
            <w:vAlign w:val="center"/>
            <w:hideMark/>
          </w:tcPr>
          <w:p w14:paraId="5A4745C5" w14:textId="77777777" w:rsidR="00B712A0" w:rsidRPr="00092B22" w:rsidRDefault="00B712A0"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t>Transfers from/(to) intangibles</w:t>
            </w:r>
          </w:p>
        </w:tc>
        <w:tc>
          <w:tcPr>
            <w:tcW w:w="1361" w:type="dxa"/>
            <w:tcBorders>
              <w:top w:val="nil"/>
              <w:left w:val="nil"/>
              <w:bottom w:val="nil"/>
              <w:right w:val="nil"/>
            </w:tcBorders>
            <w:shd w:val="clear" w:color="auto" w:fill="auto"/>
            <w:noWrap/>
            <w:vAlign w:val="center"/>
            <w:hideMark/>
          </w:tcPr>
          <w:p w14:paraId="7B4C787F"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(139)</w:t>
            </w:r>
          </w:p>
        </w:tc>
        <w:tc>
          <w:tcPr>
            <w:tcW w:w="198" w:type="dxa"/>
            <w:tcBorders>
              <w:top w:val="nil"/>
              <w:left w:val="nil"/>
              <w:bottom w:val="nil"/>
              <w:right w:val="nil"/>
            </w:tcBorders>
            <w:shd w:val="clear" w:color="auto" w:fill="auto"/>
            <w:noWrap/>
            <w:vAlign w:val="center"/>
            <w:hideMark/>
          </w:tcPr>
          <w:p w14:paraId="3FB7897C"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7F2242DE"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606C4345"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45D9B63"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1,385 </w:t>
            </w:r>
          </w:p>
        </w:tc>
        <w:tc>
          <w:tcPr>
            <w:tcW w:w="198" w:type="dxa"/>
            <w:tcBorders>
              <w:top w:val="nil"/>
              <w:left w:val="nil"/>
              <w:bottom w:val="nil"/>
              <w:right w:val="nil"/>
            </w:tcBorders>
            <w:shd w:val="clear" w:color="auto" w:fill="auto"/>
            <w:noWrap/>
            <w:vAlign w:val="center"/>
            <w:hideMark/>
          </w:tcPr>
          <w:p w14:paraId="061EFF55"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6E36159A"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2BE797DA"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6EB9570A"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574D1A76"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43FCF636"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5A7E4B2F"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A17348C" w14:textId="77777777" w:rsidR="00B712A0" w:rsidRPr="00092B22" w:rsidRDefault="00B712A0" w:rsidP="00E607DA">
            <w:pPr>
              <w:jc w:val="right"/>
              <w:rPr>
                <w:rFonts w:ascii="Meta Pro" w:eastAsia="Times New Roman" w:hAnsi="Meta Pro"/>
                <w:b/>
                <w:bCs/>
                <w:sz w:val="16"/>
                <w:szCs w:val="16"/>
                <w:lang w:eastAsia="en-AU"/>
              </w:rPr>
            </w:pPr>
            <w:r w:rsidRPr="00092B22">
              <w:rPr>
                <w:rFonts w:ascii="Meta Pro" w:eastAsia="Times New Roman" w:hAnsi="Meta Pro"/>
                <w:b/>
                <w:bCs/>
                <w:sz w:val="16"/>
                <w:szCs w:val="16"/>
                <w:lang w:eastAsia="en-AU"/>
              </w:rPr>
              <w:t xml:space="preserve">1,246 </w:t>
            </w:r>
          </w:p>
        </w:tc>
      </w:tr>
      <w:tr w:rsidR="00B712A0" w:rsidRPr="00092B22" w14:paraId="2BDB5DE6" w14:textId="77777777" w:rsidTr="00E607DA">
        <w:trPr>
          <w:trHeight w:val="23"/>
        </w:trPr>
        <w:tc>
          <w:tcPr>
            <w:tcW w:w="4820" w:type="dxa"/>
            <w:tcBorders>
              <w:top w:val="nil"/>
              <w:left w:val="nil"/>
              <w:bottom w:val="nil"/>
              <w:right w:val="nil"/>
            </w:tcBorders>
            <w:shd w:val="clear" w:color="auto" w:fill="auto"/>
            <w:noWrap/>
            <w:vAlign w:val="center"/>
            <w:hideMark/>
          </w:tcPr>
          <w:p w14:paraId="06295555" w14:textId="77777777" w:rsidR="00B712A0" w:rsidRPr="00092B22" w:rsidRDefault="00B712A0"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t>Disposals</w:t>
            </w:r>
          </w:p>
        </w:tc>
        <w:tc>
          <w:tcPr>
            <w:tcW w:w="1361" w:type="dxa"/>
            <w:tcBorders>
              <w:top w:val="nil"/>
              <w:left w:val="nil"/>
              <w:bottom w:val="nil"/>
              <w:right w:val="nil"/>
            </w:tcBorders>
            <w:shd w:val="clear" w:color="auto" w:fill="auto"/>
            <w:noWrap/>
            <w:vAlign w:val="center"/>
            <w:hideMark/>
          </w:tcPr>
          <w:p w14:paraId="7ABB4C2E"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(846)</w:t>
            </w:r>
          </w:p>
        </w:tc>
        <w:tc>
          <w:tcPr>
            <w:tcW w:w="198" w:type="dxa"/>
            <w:tcBorders>
              <w:top w:val="nil"/>
              <w:left w:val="nil"/>
              <w:bottom w:val="nil"/>
              <w:right w:val="nil"/>
            </w:tcBorders>
            <w:shd w:val="clear" w:color="auto" w:fill="auto"/>
            <w:noWrap/>
            <w:vAlign w:val="center"/>
            <w:hideMark/>
          </w:tcPr>
          <w:p w14:paraId="7E668AA7"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EE211F1"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(21,099)</w:t>
            </w:r>
          </w:p>
        </w:tc>
        <w:tc>
          <w:tcPr>
            <w:tcW w:w="198" w:type="dxa"/>
            <w:tcBorders>
              <w:top w:val="nil"/>
              <w:left w:val="nil"/>
              <w:bottom w:val="nil"/>
              <w:right w:val="nil"/>
            </w:tcBorders>
            <w:shd w:val="clear" w:color="auto" w:fill="auto"/>
            <w:noWrap/>
            <w:vAlign w:val="center"/>
            <w:hideMark/>
          </w:tcPr>
          <w:p w14:paraId="01D72C56"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6CC944B"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(1,527)</w:t>
            </w:r>
          </w:p>
        </w:tc>
        <w:tc>
          <w:tcPr>
            <w:tcW w:w="198" w:type="dxa"/>
            <w:tcBorders>
              <w:top w:val="nil"/>
              <w:left w:val="nil"/>
              <w:bottom w:val="nil"/>
              <w:right w:val="nil"/>
            </w:tcBorders>
            <w:shd w:val="clear" w:color="auto" w:fill="auto"/>
            <w:noWrap/>
            <w:vAlign w:val="center"/>
            <w:hideMark/>
          </w:tcPr>
          <w:p w14:paraId="6161CBCD"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7FD45E0C"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1128E5C1"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6902C619"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(2,207)</w:t>
            </w:r>
          </w:p>
        </w:tc>
        <w:tc>
          <w:tcPr>
            <w:tcW w:w="198" w:type="dxa"/>
            <w:tcBorders>
              <w:top w:val="nil"/>
              <w:left w:val="nil"/>
              <w:bottom w:val="nil"/>
              <w:right w:val="nil"/>
            </w:tcBorders>
            <w:shd w:val="clear" w:color="auto" w:fill="auto"/>
            <w:noWrap/>
            <w:vAlign w:val="center"/>
            <w:hideMark/>
          </w:tcPr>
          <w:p w14:paraId="2A7694A2"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2230E5BE"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48EA6A29"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63F79350" w14:textId="77777777" w:rsidR="00B712A0" w:rsidRPr="00092B22" w:rsidRDefault="00B712A0" w:rsidP="00E607DA">
            <w:pPr>
              <w:jc w:val="right"/>
              <w:rPr>
                <w:rFonts w:ascii="Meta Pro" w:eastAsia="Times New Roman" w:hAnsi="Meta Pro"/>
                <w:b/>
                <w:bCs/>
                <w:sz w:val="16"/>
                <w:szCs w:val="16"/>
                <w:lang w:eastAsia="en-AU"/>
              </w:rPr>
            </w:pPr>
            <w:r w:rsidRPr="00092B22">
              <w:rPr>
                <w:rFonts w:ascii="Meta Pro" w:eastAsia="Times New Roman" w:hAnsi="Meta Pro"/>
                <w:b/>
                <w:bCs/>
                <w:sz w:val="16"/>
                <w:szCs w:val="16"/>
                <w:lang w:eastAsia="en-AU"/>
              </w:rPr>
              <w:t>(25,679)</w:t>
            </w:r>
          </w:p>
        </w:tc>
      </w:tr>
      <w:tr w:rsidR="00B712A0" w:rsidRPr="00092B22" w14:paraId="00E0F94F" w14:textId="77777777" w:rsidTr="00E607DA">
        <w:trPr>
          <w:trHeight w:val="23"/>
        </w:trPr>
        <w:tc>
          <w:tcPr>
            <w:tcW w:w="4820" w:type="dxa"/>
            <w:tcBorders>
              <w:top w:val="nil"/>
              <w:left w:val="nil"/>
              <w:bottom w:val="nil"/>
              <w:right w:val="nil"/>
            </w:tcBorders>
            <w:shd w:val="clear" w:color="auto" w:fill="auto"/>
            <w:vAlign w:val="center"/>
            <w:hideMark/>
          </w:tcPr>
          <w:p w14:paraId="19AE015F" w14:textId="77777777" w:rsidR="00B712A0" w:rsidRPr="00092B22" w:rsidRDefault="00B712A0"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t>Assets provided to third parties at below fair value</w:t>
            </w:r>
          </w:p>
        </w:tc>
        <w:tc>
          <w:tcPr>
            <w:tcW w:w="1361" w:type="dxa"/>
            <w:tcBorders>
              <w:top w:val="nil"/>
              <w:left w:val="nil"/>
              <w:bottom w:val="nil"/>
              <w:right w:val="nil"/>
            </w:tcBorders>
            <w:shd w:val="clear" w:color="auto" w:fill="auto"/>
            <w:noWrap/>
            <w:vAlign w:val="center"/>
            <w:hideMark/>
          </w:tcPr>
          <w:p w14:paraId="4377518F"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5380AFB1"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0AE103DA"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(5,485)</w:t>
            </w:r>
          </w:p>
        </w:tc>
        <w:tc>
          <w:tcPr>
            <w:tcW w:w="198" w:type="dxa"/>
            <w:tcBorders>
              <w:top w:val="nil"/>
              <w:left w:val="nil"/>
              <w:bottom w:val="nil"/>
              <w:right w:val="nil"/>
            </w:tcBorders>
            <w:shd w:val="clear" w:color="auto" w:fill="auto"/>
            <w:noWrap/>
            <w:vAlign w:val="center"/>
            <w:hideMark/>
          </w:tcPr>
          <w:p w14:paraId="755D80E8"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1F2745C2"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40ABF885"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2069E660"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19B7C579"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A1F6935"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(7,921)</w:t>
            </w:r>
          </w:p>
        </w:tc>
        <w:tc>
          <w:tcPr>
            <w:tcW w:w="198" w:type="dxa"/>
            <w:tcBorders>
              <w:top w:val="nil"/>
              <w:left w:val="nil"/>
              <w:bottom w:val="nil"/>
              <w:right w:val="nil"/>
            </w:tcBorders>
            <w:shd w:val="clear" w:color="auto" w:fill="auto"/>
            <w:noWrap/>
            <w:vAlign w:val="center"/>
            <w:hideMark/>
          </w:tcPr>
          <w:p w14:paraId="6213DD36"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2F1A3AFB"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1C558B46"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18CCB8F9" w14:textId="77777777" w:rsidR="00B712A0" w:rsidRPr="00092B22" w:rsidRDefault="00B712A0" w:rsidP="00E607DA">
            <w:pPr>
              <w:jc w:val="right"/>
              <w:rPr>
                <w:rFonts w:ascii="Meta Pro" w:eastAsia="Times New Roman" w:hAnsi="Meta Pro"/>
                <w:b/>
                <w:bCs/>
                <w:sz w:val="16"/>
                <w:szCs w:val="16"/>
                <w:lang w:eastAsia="en-AU"/>
              </w:rPr>
            </w:pPr>
            <w:r w:rsidRPr="00092B22">
              <w:rPr>
                <w:rFonts w:ascii="Meta Pro" w:eastAsia="Times New Roman" w:hAnsi="Meta Pro"/>
                <w:b/>
                <w:bCs/>
                <w:sz w:val="16"/>
                <w:szCs w:val="16"/>
                <w:lang w:eastAsia="en-AU"/>
              </w:rPr>
              <w:t>(13,406)</w:t>
            </w:r>
          </w:p>
        </w:tc>
      </w:tr>
      <w:tr w:rsidR="00B712A0" w:rsidRPr="00092B22" w14:paraId="5AD73D4A" w14:textId="77777777" w:rsidTr="00E607DA">
        <w:trPr>
          <w:trHeight w:val="23"/>
        </w:trPr>
        <w:tc>
          <w:tcPr>
            <w:tcW w:w="4820" w:type="dxa"/>
            <w:tcBorders>
              <w:top w:val="nil"/>
              <w:left w:val="nil"/>
              <w:bottom w:val="nil"/>
              <w:right w:val="nil"/>
            </w:tcBorders>
            <w:shd w:val="clear" w:color="auto" w:fill="auto"/>
            <w:noWrap/>
            <w:vAlign w:val="center"/>
            <w:hideMark/>
          </w:tcPr>
          <w:p w14:paraId="51C8FECD" w14:textId="77777777" w:rsidR="00B712A0" w:rsidRPr="00092B22" w:rsidRDefault="00B712A0"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t>Assets reclassified as held for sale</w:t>
            </w:r>
          </w:p>
        </w:tc>
        <w:tc>
          <w:tcPr>
            <w:tcW w:w="1361" w:type="dxa"/>
            <w:tcBorders>
              <w:top w:val="nil"/>
              <w:left w:val="nil"/>
              <w:bottom w:val="nil"/>
              <w:right w:val="nil"/>
            </w:tcBorders>
            <w:shd w:val="clear" w:color="auto" w:fill="auto"/>
            <w:noWrap/>
            <w:vAlign w:val="center"/>
            <w:hideMark/>
          </w:tcPr>
          <w:p w14:paraId="26E3D3AB"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(23,350)</w:t>
            </w:r>
          </w:p>
        </w:tc>
        <w:tc>
          <w:tcPr>
            <w:tcW w:w="198" w:type="dxa"/>
            <w:tcBorders>
              <w:top w:val="nil"/>
              <w:left w:val="nil"/>
              <w:bottom w:val="nil"/>
              <w:right w:val="nil"/>
            </w:tcBorders>
            <w:shd w:val="clear" w:color="auto" w:fill="auto"/>
            <w:noWrap/>
            <w:vAlign w:val="center"/>
            <w:hideMark/>
          </w:tcPr>
          <w:p w14:paraId="0D3C1A38"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55C69AAD"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(851)</w:t>
            </w:r>
          </w:p>
        </w:tc>
        <w:tc>
          <w:tcPr>
            <w:tcW w:w="198" w:type="dxa"/>
            <w:tcBorders>
              <w:top w:val="nil"/>
              <w:left w:val="nil"/>
              <w:bottom w:val="nil"/>
              <w:right w:val="nil"/>
            </w:tcBorders>
            <w:shd w:val="clear" w:color="auto" w:fill="auto"/>
            <w:noWrap/>
            <w:vAlign w:val="center"/>
            <w:hideMark/>
          </w:tcPr>
          <w:p w14:paraId="3F28D1DD"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1C07DE29"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74E27A52"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2F7B9B2B"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33FC925E"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7B880081"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2B884555"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25D89A15"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019BE70F"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54FBCC3E" w14:textId="77777777" w:rsidR="00B712A0" w:rsidRPr="00092B22" w:rsidRDefault="00B712A0" w:rsidP="00E607DA">
            <w:pPr>
              <w:jc w:val="right"/>
              <w:rPr>
                <w:rFonts w:ascii="Meta Pro" w:eastAsia="Times New Roman" w:hAnsi="Meta Pro"/>
                <w:b/>
                <w:bCs/>
                <w:sz w:val="16"/>
                <w:szCs w:val="16"/>
                <w:lang w:eastAsia="en-AU"/>
              </w:rPr>
            </w:pPr>
            <w:r w:rsidRPr="00092B22">
              <w:rPr>
                <w:rFonts w:ascii="Meta Pro" w:eastAsia="Times New Roman" w:hAnsi="Meta Pro"/>
                <w:b/>
                <w:bCs/>
                <w:sz w:val="16"/>
                <w:szCs w:val="16"/>
                <w:lang w:eastAsia="en-AU"/>
              </w:rPr>
              <w:t>(24,201)</w:t>
            </w:r>
          </w:p>
        </w:tc>
      </w:tr>
      <w:tr w:rsidR="00B712A0" w:rsidRPr="00092B22" w14:paraId="7964A354" w14:textId="77777777" w:rsidTr="00E607DA">
        <w:trPr>
          <w:trHeight w:val="23"/>
        </w:trPr>
        <w:tc>
          <w:tcPr>
            <w:tcW w:w="4820" w:type="dxa"/>
            <w:tcBorders>
              <w:top w:val="nil"/>
              <w:left w:val="nil"/>
              <w:bottom w:val="nil"/>
              <w:right w:val="nil"/>
            </w:tcBorders>
            <w:shd w:val="clear" w:color="auto" w:fill="auto"/>
            <w:vAlign w:val="center"/>
            <w:hideMark/>
          </w:tcPr>
          <w:p w14:paraId="0E57323A" w14:textId="77777777" w:rsidR="00B712A0" w:rsidRPr="00092B22" w:rsidRDefault="00B712A0"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t>Net revaluation increments</w:t>
            </w:r>
          </w:p>
        </w:tc>
        <w:tc>
          <w:tcPr>
            <w:tcW w:w="1361" w:type="dxa"/>
            <w:tcBorders>
              <w:top w:val="nil"/>
              <w:left w:val="nil"/>
              <w:bottom w:val="nil"/>
              <w:right w:val="nil"/>
            </w:tcBorders>
            <w:shd w:val="clear" w:color="auto" w:fill="auto"/>
            <w:noWrap/>
            <w:vAlign w:val="center"/>
            <w:hideMark/>
          </w:tcPr>
          <w:p w14:paraId="422E9597"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561,301 </w:t>
            </w:r>
          </w:p>
        </w:tc>
        <w:tc>
          <w:tcPr>
            <w:tcW w:w="198" w:type="dxa"/>
            <w:tcBorders>
              <w:top w:val="nil"/>
              <w:left w:val="nil"/>
              <w:bottom w:val="nil"/>
              <w:right w:val="nil"/>
            </w:tcBorders>
            <w:shd w:val="clear" w:color="auto" w:fill="auto"/>
            <w:noWrap/>
            <w:vAlign w:val="center"/>
            <w:hideMark/>
          </w:tcPr>
          <w:p w14:paraId="102D9661"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FEEB685"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(21,308)</w:t>
            </w:r>
          </w:p>
        </w:tc>
        <w:tc>
          <w:tcPr>
            <w:tcW w:w="198" w:type="dxa"/>
            <w:tcBorders>
              <w:top w:val="nil"/>
              <w:left w:val="nil"/>
              <w:bottom w:val="nil"/>
              <w:right w:val="nil"/>
            </w:tcBorders>
            <w:shd w:val="clear" w:color="auto" w:fill="auto"/>
            <w:noWrap/>
            <w:vAlign w:val="center"/>
            <w:hideMark/>
          </w:tcPr>
          <w:p w14:paraId="43DCD765"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0A4017AF"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343 </w:t>
            </w:r>
          </w:p>
        </w:tc>
        <w:tc>
          <w:tcPr>
            <w:tcW w:w="198" w:type="dxa"/>
            <w:tcBorders>
              <w:top w:val="nil"/>
              <w:left w:val="nil"/>
              <w:bottom w:val="nil"/>
              <w:right w:val="nil"/>
            </w:tcBorders>
            <w:shd w:val="clear" w:color="auto" w:fill="auto"/>
            <w:noWrap/>
            <w:vAlign w:val="center"/>
            <w:hideMark/>
          </w:tcPr>
          <w:p w14:paraId="57D94DD1"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468B4270"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19,244 </w:t>
            </w:r>
          </w:p>
        </w:tc>
        <w:tc>
          <w:tcPr>
            <w:tcW w:w="198" w:type="dxa"/>
            <w:tcBorders>
              <w:top w:val="nil"/>
              <w:left w:val="nil"/>
              <w:bottom w:val="nil"/>
              <w:right w:val="nil"/>
            </w:tcBorders>
            <w:shd w:val="clear" w:color="auto" w:fill="auto"/>
            <w:noWrap/>
            <w:vAlign w:val="center"/>
            <w:hideMark/>
          </w:tcPr>
          <w:p w14:paraId="678091A9"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4A60EB77"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2,187,417 </w:t>
            </w:r>
          </w:p>
        </w:tc>
        <w:tc>
          <w:tcPr>
            <w:tcW w:w="198" w:type="dxa"/>
            <w:tcBorders>
              <w:top w:val="nil"/>
              <w:left w:val="nil"/>
              <w:bottom w:val="nil"/>
              <w:right w:val="nil"/>
            </w:tcBorders>
            <w:shd w:val="clear" w:color="auto" w:fill="auto"/>
            <w:noWrap/>
            <w:vAlign w:val="center"/>
            <w:hideMark/>
          </w:tcPr>
          <w:p w14:paraId="033623BA"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4F0554D6"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1A946D6A"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4B36338E" w14:textId="77777777" w:rsidR="00B712A0" w:rsidRPr="00092B22" w:rsidRDefault="00B712A0" w:rsidP="00E607DA">
            <w:pPr>
              <w:jc w:val="right"/>
              <w:rPr>
                <w:rFonts w:ascii="Meta Pro" w:eastAsia="Times New Roman" w:hAnsi="Meta Pro"/>
                <w:b/>
                <w:bCs/>
                <w:sz w:val="16"/>
                <w:szCs w:val="16"/>
                <w:lang w:eastAsia="en-AU"/>
              </w:rPr>
            </w:pPr>
            <w:r w:rsidRPr="00092B22">
              <w:rPr>
                <w:rFonts w:ascii="Meta Pro" w:eastAsia="Times New Roman" w:hAnsi="Meta Pro"/>
                <w:b/>
                <w:bCs/>
                <w:sz w:val="16"/>
                <w:szCs w:val="16"/>
                <w:lang w:eastAsia="en-AU"/>
              </w:rPr>
              <w:t xml:space="preserve">2,746,997 </w:t>
            </w:r>
          </w:p>
        </w:tc>
      </w:tr>
      <w:tr w:rsidR="00B712A0" w:rsidRPr="00092B22" w14:paraId="7A3D7325" w14:textId="77777777" w:rsidTr="00E607DA">
        <w:trPr>
          <w:trHeight w:val="23"/>
        </w:trPr>
        <w:tc>
          <w:tcPr>
            <w:tcW w:w="4820" w:type="dxa"/>
            <w:tcBorders>
              <w:top w:val="nil"/>
              <w:left w:val="nil"/>
              <w:bottom w:val="nil"/>
              <w:right w:val="nil"/>
            </w:tcBorders>
            <w:shd w:val="clear" w:color="auto" w:fill="auto"/>
            <w:noWrap/>
            <w:vAlign w:val="center"/>
            <w:hideMark/>
          </w:tcPr>
          <w:p w14:paraId="24DAB811" w14:textId="77777777" w:rsidR="00B712A0" w:rsidRPr="00092B22" w:rsidRDefault="00B712A0"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t>Depreciation</w:t>
            </w:r>
          </w:p>
        </w:tc>
        <w:tc>
          <w:tcPr>
            <w:tcW w:w="1361" w:type="dxa"/>
            <w:tcBorders>
              <w:top w:val="nil"/>
              <w:left w:val="nil"/>
              <w:bottom w:val="nil"/>
              <w:right w:val="nil"/>
            </w:tcBorders>
            <w:shd w:val="clear" w:color="auto" w:fill="auto"/>
            <w:noWrap/>
            <w:vAlign w:val="center"/>
            <w:hideMark/>
          </w:tcPr>
          <w:p w14:paraId="75D4230A"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66511FAE"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51394986"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(51,299)</w:t>
            </w:r>
          </w:p>
        </w:tc>
        <w:tc>
          <w:tcPr>
            <w:tcW w:w="198" w:type="dxa"/>
            <w:tcBorders>
              <w:top w:val="nil"/>
              <w:left w:val="nil"/>
              <w:bottom w:val="nil"/>
              <w:right w:val="nil"/>
            </w:tcBorders>
            <w:shd w:val="clear" w:color="auto" w:fill="auto"/>
            <w:noWrap/>
            <w:vAlign w:val="center"/>
            <w:hideMark/>
          </w:tcPr>
          <w:p w14:paraId="1DC6886D"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646C82E8"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(41,100)</w:t>
            </w:r>
          </w:p>
        </w:tc>
        <w:tc>
          <w:tcPr>
            <w:tcW w:w="198" w:type="dxa"/>
            <w:tcBorders>
              <w:top w:val="nil"/>
              <w:left w:val="nil"/>
              <w:bottom w:val="nil"/>
              <w:right w:val="nil"/>
            </w:tcBorders>
            <w:shd w:val="clear" w:color="auto" w:fill="auto"/>
            <w:noWrap/>
            <w:vAlign w:val="center"/>
            <w:hideMark/>
          </w:tcPr>
          <w:p w14:paraId="31E6D8CC"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0017CDC6"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(40,560)</w:t>
            </w:r>
          </w:p>
        </w:tc>
        <w:tc>
          <w:tcPr>
            <w:tcW w:w="198" w:type="dxa"/>
            <w:tcBorders>
              <w:top w:val="nil"/>
              <w:left w:val="nil"/>
              <w:bottom w:val="nil"/>
              <w:right w:val="nil"/>
            </w:tcBorders>
            <w:shd w:val="clear" w:color="auto" w:fill="auto"/>
            <w:noWrap/>
            <w:vAlign w:val="center"/>
            <w:hideMark/>
          </w:tcPr>
          <w:p w14:paraId="2C3DD93B"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single" w:sz="4" w:space="0" w:color="auto"/>
              <w:right w:val="nil"/>
            </w:tcBorders>
            <w:shd w:val="clear" w:color="auto" w:fill="auto"/>
            <w:noWrap/>
            <w:vAlign w:val="center"/>
            <w:hideMark/>
          </w:tcPr>
          <w:p w14:paraId="5BC37E08"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(951,074)</w:t>
            </w:r>
          </w:p>
        </w:tc>
        <w:tc>
          <w:tcPr>
            <w:tcW w:w="198" w:type="dxa"/>
            <w:tcBorders>
              <w:top w:val="nil"/>
              <w:left w:val="nil"/>
              <w:bottom w:val="nil"/>
              <w:right w:val="nil"/>
            </w:tcBorders>
            <w:shd w:val="clear" w:color="auto" w:fill="auto"/>
            <w:noWrap/>
            <w:vAlign w:val="center"/>
            <w:hideMark/>
          </w:tcPr>
          <w:p w14:paraId="75C6D8F6"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687E5053"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50DC5CD7"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0E27208" w14:textId="77777777" w:rsidR="00B712A0" w:rsidRPr="00092B22" w:rsidRDefault="00B712A0" w:rsidP="00E607DA">
            <w:pPr>
              <w:jc w:val="right"/>
              <w:rPr>
                <w:rFonts w:ascii="Meta Pro" w:eastAsia="Times New Roman" w:hAnsi="Meta Pro"/>
                <w:b/>
                <w:bCs/>
                <w:sz w:val="16"/>
                <w:szCs w:val="16"/>
                <w:lang w:eastAsia="en-AU"/>
              </w:rPr>
            </w:pPr>
            <w:r w:rsidRPr="00092B22">
              <w:rPr>
                <w:rFonts w:ascii="Meta Pro" w:eastAsia="Times New Roman" w:hAnsi="Meta Pro"/>
                <w:b/>
                <w:bCs/>
                <w:sz w:val="16"/>
                <w:szCs w:val="16"/>
                <w:lang w:eastAsia="en-AU"/>
              </w:rPr>
              <w:t>(1,084,033)</w:t>
            </w:r>
          </w:p>
        </w:tc>
      </w:tr>
      <w:tr w:rsidR="00B712A0" w:rsidRPr="00092B22" w14:paraId="6983F096" w14:textId="77777777" w:rsidTr="00E607DA">
        <w:trPr>
          <w:trHeight w:val="23"/>
        </w:trPr>
        <w:tc>
          <w:tcPr>
            <w:tcW w:w="4820" w:type="dxa"/>
            <w:tcBorders>
              <w:top w:val="single" w:sz="4" w:space="0" w:color="auto"/>
              <w:left w:val="nil"/>
              <w:bottom w:val="double" w:sz="6" w:space="0" w:color="auto"/>
              <w:right w:val="nil"/>
            </w:tcBorders>
            <w:shd w:val="clear" w:color="auto" w:fill="auto"/>
            <w:noWrap/>
            <w:vAlign w:val="center"/>
            <w:hideMark/>
          </w:tcPr>
          <w:p w14:paraId="22775545" w14:textId="77777777" w:rsidR="00B712A0" w:rsidRPr="00092B22" w:rsidRDefault="00B712A0" w:rsidP="00E607DA">
            <w:pPr>
              <w:rPr>
                <w:rFonts w:ascii="Meta Pro" w:eastAsia="Times New Roman" w:hAnsi="Meta Pro"/>
                <w:b/>
                <w:bCs/>
                <w:sz w:val="16"/>
                <w:szCs w:val="16"/>
                <w:lang w:eastAsia="en-AU"/>
              </w:rPr>
            </w:pPr>
            <w:r w:rsidRPr="00092B22">
              <w:rPr>
                <w:rFonts w:ascii="Meta Pro" w:eastAsia="Times New Roman" w:hAnsi="Meta Pro"/>
                <w:b/>
                <w:bCs/>
                <w:sz w:val="16"/>
                <w:szCs w:val="16"/>
                <w:lang w:eastAsia="en-AU"/>
              </w:rPr>
              <w:t>Carrying amount at 30 June</w:t>
            </w:r>
          </w:p>
        </w:tc>
        <w:tc>
          <w:tcPr>
            <w:tcW w:w="1361" w:type="dxa"/>
            <w:tcBorders>
              <w:top w:val="single" w:sz="4" w:space="0" w:color="auto"/>
              <w:left w:val="nil"/>
              <w:bottom w:val="double" w:sz="6" w:space="0" w:color="auto"/>
              <w:right w:val="nil"/>
            </w:tcBorders>
            <w:shd w:val="clear" w:color="auto" w:fill="auto"/>
            <w:noWrap/>
            <w:vAlign w:val="center"/>
            <w:hideMark/>
          </w:tcPr>
          <w:p w14:paraId="570EF13C" w14:textId="77777777" w:rsidR="00B712A0" w:rsidRPr="00092B22" w:rsidRDefault="00B712A0" w:rsidP="00E607DA">
            <w:pPr>
              <w:jc w:val="right"/>
              <w:rPr>
                <w:rFonts w:ascii="Meta Pro" w:eastAsia="Times New Roman" w:hAnsi="Meta Pro"/>
                <w:b/>
                <w:bCs/>
                <w:sz w:val="16"/>
                <w:szCs w:val="16"/>
                <w:lang w:eastAsia="en-AU"/>
              </w:rPr>
            </w:pPr>
            <w:r w:rsidRPr="00092B22">
              <w:rPr>
                <w:rFonts w:ascii="Meta Pro" w:eastAsia="Times New Roman" w:hAnsi="Meta Pro"/>
                <w:b/>
                <w:bCs/>
                <w:sz w:val="16"/>
                <w:szCs w:val="16"/>
                <w:lang w:eastAsia="en-AU"/>
              </w:rPr>
              <w:t xml:space="preserve">5,250,177 </w:t>
            </w:r>
          </w:p>
        </w:tc>
        <w:tc>
          <w:tcPr>
            <w:tcW w:w="198" w:type="dxa"/>
            <w:tcBorders>
              <w:top w:val="nil"/>
              <w:left w:val="nil"/>
              <w:bottom w:val="nil"/>
              <w:right w:val="nil"/>
            </w:tcBorders>
            <w:shd w:val="clear" w:color="auto" w:fill="auto"/>
            <w:noWrap/>
            <w:vAlign w:val="center"/>
            <w:hideMark/>
          </w:tcPr>
          <w:p w14:paraId="73497B56" w14:textId="77777777" w:rsidR="00B712A0" w:rsidRPr="00092B22" w:rsidRDefault="00B712A0" w:rsidP="00E607DA">
            <w:pPr>
              <w:jc w:val="right"/>
              <w:rPr>
                <w:rFonts w:ascii="Meta Pro" w:eastAsia="Times New Roman" w:hAnsi="Meta Pro"/>
                <w:b/>
                <w:bCs/>
                <w:sz w:val="16"/>
                <w:szCs w:val="16"/>
                <w:lang w:eastAsia="en-AU"/>
              </w:rPr>
            </w:pPr>
          </w:p>
        </w:tc>
        <w:tc>
          <w:tcPr>
            <w:tcW w:w="1361" w:type="dxa"/>
            <w:tcBorders>
              <w:top w:val="single" w:sz="4" w:space="0" w:color="auto"/>
              <w:left w:val="nil"/>
              <w:bottom w:val="double" w:sz="6" w:space="0" w:color="auto"/>
              <w:right w:val="nil"/>
            </w:tcBorders>
            <w:shd w:val="clear" w:color="auto" w:fill="auto"/>
            <w:noWrap/>
            <w:vAlign w:val="center"/>
            <w:hideMark/>
          </w:tcPr>
          <w:p w14:paraId="650D8BB3" w14:textId="77777777" w:rsidR="00B712A0" w:rsidRPr="00092B22" w:rsidRDefault="00B712A0" w:rsidP="00E607DA">
            <w:pPr>
              <w:jc w:val="right"/>
              <w:rPr>
                <w:rFonts w:ascii="Meta Pro" w:eastAsia="Times New Roman" w:hAnsi="Meta Pro"/>
                <w:b/>
                <w:bCs/>
                <w:sz w:val="16"/>
                <w:szCs w:val="16"/>
                <w:lang w:eastAsia="en-AU"/>
              </w:rPr>
            </w:pPr>
            <w:r w:rsidRPr="00092B22">
              <w:rPr>
                <w:rFonts w:ascii="Meta Pro" w:eastAsia="Times New Roman" w:hAnsi="Meta Pro"/>
                <w:b/>
                <w:bCs/>
                <w:sz w:val="16"/>
                <w:szCs w:val="16"/>
                <w:lang w:eastAsia="en-AU"/>
              </w:rPr>
              <w:t xml:space="preserve">764,733 </w:t>
            </w:r>
          </w:p>
        </w:tc>
        <w:tc>
          <w:tcPr>
            <w:tcW w:w="198" w:type="dxa"/>
            <w:tcBorders>
              <w:top w:val="nil"/>
              <w:left w:val="nil"/>
              <w:bottom w:val="nil"/>
              <w:right w:val="nil"/>
            </w:tcBorders>
            <w:shd w:val="clear" w:color="auto" w:fill="auto"/>
            <w:noWrap/>
            <w:vAlign w:val="center"/>
            <w:hideMark/>
          </w:tcPr>
          <w:p w14:paraId="53B53CCD" w14:textId="77777777" w:rsidR="00B712A0" w:rsidRPr="00092B22" w:rsidRDefault="00B712A0" w:rsidP="00E607DA">
            <w:pPr>
              <w:jc w:val="right"/>
              <w:rPr>
                <w:rFonts w:ascii="Meta Pro" w:eastAsia="Times New Roman" w:hAnsi="Meta Pro"/>
                <w:b/>
                <w:bCs/>
                <w:sz w:val="16"/>
                <w:szCs w:val="16"/>
                <w:lang w:eastAsia="en-AU"/>
              </w:rPr>
            </w:pPr>
          </w:p>
        </w:tc>
        <w:tc>
          <w:tcPr>
            <w:tcW w:w="1361" w:type="dxa"/>
            <w:tcBorders>
              <w:top w:val="single" w:sz="4" w:space="0" w:color="auto"/>
              <w:left w:val="nil"/>
              <w:bottom w:val="double" w:sz="6" w:space="0" w:color="auto"/>
              <w:right w:val="nil"/>
            </w:tcBorders>
            <w:shd w:val="clear" w:color="auto" w:fill="auto"/>
            <w:noWrap/>
            <w:vAlign w:val="center"/>
            <w:hideMark/>
          </w:tcPr>
          <w:p w14:paraId="6AEA5817" w14:textId="77777777" w:rsidR="00B712A0" w:rsidRPr="00092B22" w:rsidRDefault="00B712A0" w:rsidP="00E607DA">
            <w:pPr>
              <w:jc w:val="right"/>
              <w:rPr>
                <w:rFonts w:ascii="Meta Pro" w:eastAsia="Times New Roman" w:hAnsi="Meta Pro"/>
                <w:b/>
                <w:bCs/>
                <w:sz w:val="16"/>
                <w:szCs w:val="16"/>
                <w:lang w:eastAsia="en-AU"/>
              </w:rPr>
            </w:pPr>
            <w:r w:rsidRPr="00092B22">
              <w:rPr>
                <w:rFonts w:ascii="Meta Pro" w:eastAsia="Times New Roman" w:hAnsi="Meta Pro"/>
                <w:b/>
                <w:bCs/>
                <w:sz w:val="16"/>
                <w:szCs w:val="16"/>
                <w:lang w:eastAsia="en-AU"/>
              </w:rPr>
              <w:t xml:space="preserve">199,372 </w:t>
            </w:r>
          </w:p>
        </w:tc>
        <w:tc>
          <w:tcPr>
            <w:tcW w:w="198" w:type="dxa"/>
            <w:tcBorders>
              <w:top w:val="nil"/>
              <w:left w:val="nil"/>
              <w:bottom w:val="nil"/>
              <w:right w:val="nil"/>
            </w:tcBorders>
            <w:shd w:val="clear" w:color="auto" w:fill="auto"/>
            <w:noWrap/>
            <w:vAlign w:val="center"/>
            <w:hideMark/>
          </w:tcPr>
          <w:p w14:paraId="3B425F78" w14:textId="77777777" w:rsidR="00B712A0" w:rsidRPr="00092B22" w:rsidRDefault="00B712A0" w:rsidP="00E607DA">
            <w:pPr>
              <w:jc w:val="right"/>
              <w:rPr>
                <w:rFonts w:ascii="Meta Pro" w:eastAsia="Times New Roman" w:hAnsi="Meta Pro"/>
                <w:b/>
                <w:bCs/>
                <w:sz w:val="16"/>
                <w:szCs w:val="16"/>
                <w:lang w:eastAsia="en-AU"/>
              </w:rPr>
            </w:pPr>
          </w:p>
        </w:tc>
        <w:tc>
          <w:tcPr>
            <w:tcW w:w="1361" w:type="dxa"/>
            <w:tcBorders>
              <w:top w:val="single" w:sz="4" w:space="0" w:color="auto"/>
              <w:left w:val="nil"/>
              <w:bottom w:val="double" w:sz="6" w:space="0" w:color="auto"/>
              <w:right w:val="nil"/>
            </w:tcBorders>
            <w:shd w:val="clear" w:color="auto" w:fill="auto"/>
            <w:noWrap/>
            <w:vAlign w:val="center"/>
            <w:hideMark/>
          </w:tcPr>
          <w:p w14:paraId="7C5554D5" w14:textId="77777777" w:rsidR="00B712A0" w:rsidRPr="00092B22" w:rsidRDefault="00B712A0" w:rsidP="00E607DA">
            <w:pPr>
              <w:jc w:val="right"/>
              <w:rPr>
                <w:rFonts w:ascii="Meta Pro" w:eastAsia="Times New Roman" w:hAnsi="Meta Pro"/>
                <w:b/>
                <w:bCs/>
                <w:sz w:val="16"/>
                <w:szCs w:val="16"/>
                <w:lang w:eastAsia="en-AU"/>
              </w:rPr>
            </w:pPr>
            <w:r w:rsidRPr="00092B22">
              <w:rPr>
                <w:rFonts w:ascii="Meta Pro" w:eastAsia="Times New Roman" w:hAnsi="Meta Pro"/>
                <w:b/>
                <w:bCs/>
                <w:sz w:val="16"/>
                <w:szCs w:val="16"/>
                <w:lang w:eastAsia="en-AU"/>
              </w:rPr>
              <w:t xml:space="preserve">1,129,823 </w:t>
            </w:r>
          </w:p>
        </w:tc>
        <w:tc>
          <w:tcPr>
            <w:tcW w:w="198" w:type="dxa"/>
            <w:tcBorders>
              <w:top w:val="nil"/>
              <w:left w:val="nil"/>
              <w:bottom w:val="nil"/>
              <w:right w:val="nil"/>
            </w:tcBorders>
            <w:shd w:val="clear" w:color="auto" w:fill="auto"/>
            <w:noWrap/>
            <w:vAlign w:val="center"/>
            <w:hideMark/>
          </w:tcPr>
          <w:p w14:paraId="70A47233" w14:textId="77777777" w:rsidR="00B712A0" w:rsidRPr="00092B22" w:rsidRDefault="00B712A0" w:rsidP="00E607DA">
            <w:pPr>
              <w:jc w:val="right"/>
              <w:rPr>
                <w:rFonts w:ascii="Meta Pro" w:eastAsia="Times New Roman" w:hAnsi="Meta Pro"/>
                <w:b/>
                <w:bCs/>
                <w:sz w:val="16"/>
                <w:szCs w:val="16"/>
                <w:lang w:eastAsia="en-AU"/>
              </w:rPr>
            </w:pPr>
          </w:p>
        </w:tc>
        <w:tc>
          <w:tcPr>
            <w:tcW w:w="1361" w:type="dxa"/>
            <w:tcBorders>
              <w:top w:val="nil"/>
              <w:left w:val="nil"/>
              <w:bottom w:val="double" w:sz="6" w:space="0" w:color="auto"/>
              <w:right w:val="nil"/>
            </w:tcBorders>
            <w:shd w:val="clear" w:color="auto" w:fill="auto"/>
            <w:noWrap/>
            <w:vAlign w:val="center"/>
            <w:hideMark/>
          </w:tcPr>
          <w:p w14:paraId="6FBE146C" w14:textId="77777777" w:rsidR="00B712A0" w:rsidRPr="00092B22" w:rsidRDefault="00B712A0" w:rsidP="00E607DA">
            <w:pPr>
              <w:jc w:val="right"/>
              <w:rPr>
                <w:rFonts w:ascii="Meta Pro" w:eastAsia="Times New Roman" w:hAnsi="Meta Pro"/>
                <w:b/>
                <w:bCs/>
                <w:sz w:val="16"/>
                <w:szCs w:val="16"/>
                <w:lang w:eastAsia="en-AU"/>
              </w:rPr>
            </w:pPr>
            <w:r w:rsidRPr="00092B22">
              <w:rPr>
                <w:rFonts w:ascii="Meta Pro" w:eastAsia="Times New Roman" w:hAnsi="Meta Pro"/>
                <w:b/>
                <w:bCs/>
                <w:sz w:val="16"/>
                <w:szCs w:val="16"/>
                <w:lang w:eastAsia="en-AU"/>
              </w:rPr>
              <w:t xml:space="preserve">61,106,934 </w:t>
            </w:r>
          </w:p>
        </w:tc>
        <w:tc>
          <w:tcPr>
            <w:tcW w:w="198" w:type="dxa"/>
            <w:tcBorders>
              <w:top w:val="nil"/>
              <w:left w:val="nil"/>
              <w:bottom w:val="nil"/>
              <w:right w:val="nil"/>
            </w:tcBorders>
            <w:shd w:val="clear" w:color="auto" w:fill="auto"/>
            <w:noWrap/>
            <w:vAlign w:val="center"/>
            <w:hideMark/>
          </w:tcPr>
          <w:p w14:paraId="6A2263D9" w14:textId="77777777" w:rsidR="00B712A0" w:rsidRPr="00092B22" w:rsidRDefault="00B712A0" w:rsidP="00E607DA">
            <w:pPr>
              <w:jc w:val="right"/>
              <w:rPr>
                <w:rFonts w:ascii="Meta Pro" w:eastAsia="Times New Roman" w:hAnsi="Meta Pro"/>
                <w:b/>
                <w:bCs/>
                <w:sz w:val="16"/>
                <w:szCs w:val="16"/>
                <w:lang w:eastAsia="en-AU"/>
              </w:rPr>
            </w:pPr>
          </w:p>
        </w:tc>
        <w:tc>
          <w:tcPr>
            <w:tcW w:w="1361" w:type="dxa"/>
            <w:tcBorders>
              <w:top w:val="single" w:sz="4" w:space="0" w:color="auto"/>
              <w:left w:val="nil"/>
              <w:bottom w:val="double" w:sz="6" w:space="0" w:color="auto"/>
              <w:right w:val="nil"/>
            </w:tcBorders>
            <w:shd w:val="clear" w:color="auto" w:fill="auto"/>
            <w:noWrap/>
            <w:vAlign w:val="center"/>
            <w:hideMark/>
          </w:tcPr>
          <w:p w14:paraId="445D7C56" w14:textId="77777777" w:rsidR="00B712A0" w:rsidRPr="00092B22" w:rsidRDefault="00B712A0" w:rsidP="00E607DA">
            <w:pPr>
              <w:jc w:val="right"/>
              <w:rPr>
                <w:rFonts w:ascii="Meta Pro" w:eastAsia="Times New Roman" w:hAnsi="Meta Pro"/>
                <w:b/>
                <w:bCs/>
                <w:sz w:val="16"/>
                <w:szCs w:val="16"/>
                <w:lang w:eastAsia="en-AU"/>
              </w:rPr>
            </w:pPr>
            <w:r w:rsidRPr="00092B22">
              <w:rPr>
                <w:rFonts w:ascii="Meta Pro" w:eastAsia="Times New Roman" w:hAnsi="Meta Pro"/>
                <w:b/>
                <w:bCs/>
                <w:sz w:val="16"/>
                <w:szCs w:val="16"/>
                <w:lang w:eastAsia="en-AU"/>
              </w:rPr>
              <w:t xml:space="preserve">6,076,782 </w:t>
            </w:r>
          </w:p>
        </w:tc>
        <w:tc>
          <w:tcPr>
            <w:tcW w:w="198" w:type="dxa"/>
            <w:tcBorders>
              <w:top w:val="nil"/>
              <w:left w:val="nil"/>
              <w:bottom w:val="nil"/>
              <w:right w:val="nil"/>
            </w:tcBorders>
            <w:shd w:val="clear" w:color="auto" w:fill="auto"/>
            <w:noWrap/>
            <w:vAlign w:val="center"/>
            <w:hideMark/>
          </w:tcPr>
          <w:p w14:paraId="5177B66C" w14:textId="77777777" w:rsidR="00B712A0" w:rsidRPr="00092B22" w:rsidRDefault="00B712A0" w:rsidP="00E607DA">
            <w:pPr>
              <w:jc w:val="right"/>
              <w:rPr>
                <w:rFonts w:ascii="Meta Pro" w:eastAsia="Times New Roman" w:hAnsi="Meta Pro"/>
                <w:b/>
                <w:bCs/>
                <w:sz w:val="16"/>
                <w:szCs w:val="16"/>
                <w:lang w:eastAsia="en-AU"/>
              </w:rPr>
            </w:pPr>
          </w:p>
        </w:tc>
        <w:tc>
          <w:tcPr>
            <w:tcW w:w="1361" w:type="dxa"/>
            <w:tcBorders>
              <w:top w:val="single" w:sz="4" w:space="0" w:color="auto"/>
              <w:left w:val="nil"/>
              <w:bottom w:val="double" w:sz="6" w:space="0" w:color="auto"/>
              <w:right w:val="nil"/>
            </w:tcBorders>
            <w:shd w:val="clear" w:color="auto" w:fill="auto"/>
            <w:noWrap/>
            <w:vAlign w:val="center"/>
            <w:hideMark/>
          </w:tcPr>
          <w:p w14:paraId="789E3C80" w14:textId="77777777" w:rsidR="00B712A0" w:rsidRPr="00092B22" w:rsidRDefault="00B712A0" w:rsidP="00E607DA">
            <w:pPr>
              <w:jc w:val="right"/>
              <w:rPr>
                <w:rFonts w:ascii="Meta Pro" w:eastAsia="Times New Roman" w:hAnsi="Meta Pro"/>
                <w:b/>
                <w:bCs/>
                <w:sz w:val="16"/>
                <w:szCs w:val="16"/>
                <w:lang w:eastAsia="en-AU"/>
              </w:rPr>
            </w:pPr>
            <w:r w:rsidRPr="00092B22">
              <w:rPr>
                <w:rFonts w:ascii="Meta Pro" w:eastAsia="Times New Roman" w:hAnsi="Meta Pro"/>
                <w:b/>
                <w:bCs/>
                <w:sz w:val="16"/>
                <w:szCs w:val="16"/>
                <w:lang w:eastAsia="en-AU"/>
              </w:rPr>
              <w:t xml:space="preserve">74,527,821 </w:t>
            </w:r>
          </w:p>
        </w:tc>
      </w:tr>
    </w:tbl>
    <w:p w14:paraId="05B18E86" w14:textId="77777777" w:rsidR="00B712A0" w:rsidRPr="00092B22" w:rsidRDefault="00B712A0" w:rsidP="00B712A0">
      <w:pPr>
        <w:spacing w:line="14" w:lineRule="auto"/>
        <w:rPr>
          <w:rFonts w:ascii="Meta Pro" w:hAnsi="Meta Pro" w:cstheme="minorBidi"/>
        </w:rPr>
      </w:pPr>
    </w:p>
    <w:p w14:paraId="07B570F7" w14:textId="77777777" w:rsidR="00B712A0" w:rsidRPr="00092B22" w:rsidRDefault="00B712A0" w:rsidP="00B712A0">
      <w:pPr>
        <w:spacing w:before="120" w:after="60" w:line="259" w:lineRule="auto"/>
        <w:rPr>
          <w:rFonts w:ascii="Meta Pro" w:hAnsi="Meta Pro" w:cstheme="minorBidi"/>
        </w:rPr>
      </w:pPr>
      <w:r w:rsidRPr="00092B22">
        <w:rPr>
          <w:rFonts w:ascii="Meta Pro" w:hAnsi="Meta Pro"/>
          <w:b/>
          <w:bCs/>
          <w:sz w:val="16"/>
          <w:szCs w:val="16"/>
        </w:rPr>
        <w:t xml:space="preserve"> </w:t>
      </w:r>
      <w:r w:rsidRPr="00092B22">
        <w:rPr>
          <w:rFonts w:ascii="Meta Pro" w:eastAsia="Times New Roman" w:hAnsi="Meta Pro"/>
          <w:b/>
          <w:bCs/>
          <w:sz w:val="16"/>
          <w:szCs w:val="16"/>
          <w:lang w:eastAsia="en-AU"/>
        </w:rPr>
        <w:t>Fair value reconciliation for land and building assets classified as level 3 – fair value substantially derived from unobservable inputs (refer to the following accounting policy)</w:t>
      </w:r>
    </w:p>
    <w:tbl>
      <w:tblPr>
        <w:tblW w:w="0" w:type="auto"/>
        <w:tblCellMar>
          <w:left w:w="0" w:type="dxa"/>
        </w:tblCellMar>
        <w:tblLook w:val="04A0" w:firstRow="1" w:lastRow="0" w:firstColumn="1" w:lastColumn="0" w:noHBand="0" w:noVBand="1"/>
      </w:tblPr>
      <w:tblGrid>
        <w:gridCol w:w="4828"/>
        <w:gridCol w:w="1369"/>
        <w:gridCol w:w="206"/>
        <w:gridCol w:w="1369"/>
      </w:tblGrid>
      <w:tr w:rsidR="00B712A0" w:rsidRPr="00092B22" w14:paraId="54DFF96C" w14:textId="77777777" w:rsidTr="00E607DA">
        <w:trPr>
          <w:trHeight w:val="23"/>
        </w:trPr>
        <w:tc>
          <w:tcPr>
            <w:tcW w:w="4820" w:type="dxa"/>
            <w:tcBorders>
              <w:top w:val="nil"/>
              <w:left w:val="nil"/>
              <w:bottom w:val="nil"/>
              <w:right w:val="nil"/>
            </w:tcBorders>
            <w:shd w:val="clear" w:color="auto" w:fill="auto"/>
            <w:noWrap/>
            <w:vAlign w:val="center"/>
            <w:hideMark/>
          </w:tcPr>
          <w:p w14:paraId="56BB75BE" w14:textId="77777777" w:rsidR="00B712A0" w:rsidRPr="00092B22" w:rsidRDefault="00B712A0" w:rsidP="00E607DA">
            <w:pPr>
              <w:rPr>
                <w:rFonts w:ascii="Meta Pro" w:eastAsia="Times New Roman" w:hAnsi="Meta Pro" w:cs="Times New Roman"/>
                <w:sz w:val="24"/>
                <w:szCs w:val="24"/>
                <w:lang w:eastAsia="en-AU"/>
              </w:rPr>
            </w:pPr>
          </w:p>
        </w:tc>
        <w:tc>
          <w:tcPr>
            <w:tcW w:w="1361" w:type="dxa"/>
            <w:tcBorders>
              <w:top w:val="nil"/>
              <w:left w:val="nil"/>
              <w:bottom w:val="nil"/>
              <w:right w:val="nil"/>
            </w:tcBorders>
            <w:shd w:val="clear" w:color="auto" w:fill="auto"/>
            <w:vAlign w:val="center"/>
            <w:hideMark/>
          </w:tcPr>
          <w:p w14:paraId="70A0D4D5" w14:textId="77777777" w:rsidR="00B712A0" w:rsidRPr="00092B22" w:rsidRDefault="00B712A0"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Land</w:t>
            </w:r>
          </w:p>
        </w:tc>
        <w:tc>
          <w:tcPr>
            <w:tcW w:w="198" w:type="dxa"/>
            <w:tcBorders>
              <w:top w:val="nil"/>
              <w:left w:val="nil"/>
              <w:bottom w:val="nil"/>
              <w:right w:val="nil"/>
            </w:tcBorders>
            <w:shd w:val="clear" w:color="auto" w:fill="auto"/>
            <w:vAlign w:val="center"/>
            <w:hideMark/>
          </w:tcPr>
          <w:p w14:paraId="6511F546" w14:textId="77777777" w:rsidR="00B712A0" w:rsidRPr="00092B22" w:rsidRDefault="00B712A0"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vAlign w:val="center"/>
            <w:hideMark/>
          </w:tcPr>
          <w:p w14:paraId="7CFB6F0B" w14:textId="77777777" w:rsidR="00B712A0" w:rsidRPr="00092B22" w:rsidRDefault="00B712A0"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Buildings</w:t>
            </w:r>
          </w:p>
        </w:tc>
      </w:tr>
      <w:tr w:rsidR="00B712A0" w:rsidRPr="00092B22" w14:paraId="25D594AE" w14:textId="77777777" w:rsidTr="00E607DA">
        <w:trPr>
          <w:trHeight w:val="23"/>
        </w:trPr>
        <w:tc>
          <w:tcPr>
            <w:tcW w:w="4820" w:type="dxa"/>
            <w:tcBorders>
              <w:top w:val="nil"/>
              <w:left w:val="nil"/>
              <w:bottom w:val="nil"/>
              <w:right w:val="nil"/>
            </w:tcBorders>
            <w:shd w:val="clear" w:color="auto" w:fill="auto"/>
            <w:noWrap/>
            <w:vAlign w:val="center"/>
            <w:hideMark/>
          </w:tcPr>
          <w:p w14:paraId="2F708AF6" w14:textId="77777777" w:rsidR="00B712A0" w:rsidRPr="00092B22" w:rsidRDefault="00B712A0"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0B8FDA55" w14:textId="77777777" w:rsidR="00B712A0" w:rsidRPr="00092B22" w:rsidRDefault="00B712A0"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2021</w:t>
            </w:r>
          </w:p>
        </w:tc>
        <w:tc>
          <w:tcPr>
            <w:tcW w:w="198" w:type="dxa"/>
            <w:tcBorders>
              <w:top w:val="nil"/>
              <w:left w:val="nil"/>
              <w:bottom w:val="nil"/>
              <w:right w:val="nil"/>
            </w:tcBorders>
            <w:shd w:val="clear" w:color="auto" w:fill="auto"/>
            <w:noWrap/>
            <w:vAlign w:val="center"/>
            <w:hideMark/>
          </w:tcPr>
          <w:p w14:paraId="28B7B5FD" w14:textId="77777777" w:rsidR="00B712A0" w:rsidRPr="00092B22" w:rsidRDefault="00B712A0"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2ACD6CD9" w14:textId="77777777" w:rsidR="00B712A0" w:rsidRPr="00092B22" w:rsidRDefault="00B712A0"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2021</w:t>
            </w:r>
          </w:p>
        </w:tc>
      </w:tr>
      <w:tr w:rsidR="00B712A0" w:rsidRPr="00092B22" w14:paraId="6EA58DCC" w14:textId="77777777" w:rsidTr="00E607DA">
        <w:trPr>
          <w:trHeight w:val="240"/>
        </w:trPr>
        <w:tc>
          <w:tcPr>
            <w:tcW w:w="4820" w:type="dxa"/>
            <w:tcBorders>
              <w:top w:val="nil"/>
              <w:left w:val="nil"/>
              <w:bottom w:val="nil"/>
              <w:right w:val="nil"/>
            </w:tcBorders>
            <w:shd w:val="clear" w:color="auto" w:fill="auto"/>
            <w:noWrap/>
            <w:vAlign w:val="center"/>
            <w:hideMark/>
          </w:tcPr>
          <w:p w14:paraId="0DB59481" w14:textId="77777777" w:rsidR="00B712A0" w:rsidRPr="00092B22" w:rsidRDefault="00B712A0"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0A0EE2AC" w14:textId="77777777" w:rsidR="00B712A0" w:rsidRPr="00092B22" w:rsidRDefault="00B712A0"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$'000</w:t>
            </w:r>
          </w:p>
        </w:tc>
        <w:tc>
          <w:tcPr>
            <w:tcW w:w="198" w:type="dxa"/>
            <w:tcBorders>
              <w:top w:val="nil"/>
              <w:left w:val="nil"/>
              <w:bottom w:val="nil"/>
              <w:right w:val="nil"/>
            </w:tcBorders>
            <w:shd w:val="clear" w:color="auto" w:fill="auto"/>
            <w:noWrap/>
            <w:vAlign w:val="center"/>
            <w:hideMark/>
          </w:tcPr>
          <w:p w14:paraId="781A90BC" w14:textId="77777777" w:rsidR="00B712A0" w:rsidRPr="00092B22" w:rsidRDefault="00B712A0" w:rsidP="00E607DA">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2E2F7B9A" w14:textId="77777777" w:rsidR="00B712A0" w:rsidRPr="00092B22" w:rsidRDefault="00B712A0" w:rsidP="00E607DA">
            <w:pPr>
              <w:jc w:val="center"/>
              <w:rPr>
                <w:rFonts w:ascii="Meta Pro" w:eastAsia="Times New Roman" w:hAnsi="Meta Pro"/>
                <w:b/>
                <w:bCs/>
                <w:sz w:val="16"/>
                <w:szCs w:val="16"/>
                <w:lang w:eastAsia="en-AU"/>
              </w:rPr>
            </w:pPr>
            <w:r w:rsidRPr="00092B22">
              <w:rPr>
                <w:rFonts w:ascii="Meta Pro" w:eastAsia="Times New Roman" w:hAnsi="Meta Pro"/>
                <w:b/>
                <w:bCs/>
                <w:sz w:val="16"/>
                <w:szCs w:val="16"/>
                <w:lang w:eastAsia="en-AU"/>
              </w:rPr>
              <w:t>$'000</w:t>
            </w:r>
          </w:p>
        </w:tc>
      </w:tr>
      <w:tr w:rsidR="00B712A0" w:rsidRPr="00092B22" w14:paraId="7C241247" w14:textId="77777777" w:rsidTr="00E607DA">
        <w:trPr>
          <w:trHeight w:val="23"/>
        </w:trPr>
        <w:tc>
          <w:tcPr>
            <w:tcW w:w="4820" w:type="dxa"/>
            <w:tcBorders>
              <w:top w:val="nil"/>
              <w:left w:val="nil"/>
              <w:bottom w:val="nil"/>
              <w:right w:val="nil"/>
            </w:tcBorders>
            <w:shd w:val="clear" w:color="auto" w:fill="auto"/>
            <w:vAlign w:val="center"/>
            <w:hideMark/>
          </w:tcPr>
          <w:p w14:paraId="603DB68E" w14:textId="77777777" w:rsidR="00B712A0" w:rsidRPr="00092B22" w:rsidRDefault="00B712A0"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t>Carrying amount at 1 July</w:t>
            </w:r>
          </w:p>
        </w:tc>
        <w:tc>
          <w:tcPr>
            <w:tcW w:w="1361" w:type="dxa"/>
            <w:tcBorders>
              <w:top w:val="nil"/>
              <w:left w:val="nil"/>
              <w:bottom w:val="nil"/>
              <w:right w:val="nil"/>
            </w:tcBorders>
            <w:shd w:val="clear" w:color="auto" w:fill="auto"/>
            <w:noWrap/>
            <w:vAlign w:val="center"/>
            <w:hideMark/>
          </w:tcPr>
          <w:p w14:paraId="3A9151B5"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12,074 </w:t>
            </w:r>
          </w:p>
        </w:tc>
        <w:tc>
          <w:tcPr>
            <w:tcW w:w="198" w:type="dxa"/>
            <w:tcBorders>
              <w:top w:val="nil"/>
              <w:left w:val="nil"/>
              <w:bottom w:val="nil"/>
              <w:right w:val="nil"/>
            </w:tcBorders>
            <w:shd w:val="clear" w:color="auto" w:fill="auto"/>
            <w:noWrap/>
            <w:vAlign w:val="center"/>
            <w:hideMark/>
          </w:tcPr>
          <w:p w14:paraId="73F86AB6"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1C22BFC8"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564,885 </w:t>
            </w:r>
          </w:p>
        </w:tc>
      </w:tr>
      <w:tr w:rsidR="00B712A0" w:rsidRPr="00092B22" w14:paraId="11C3A94C" w14:textId="77777777" w:rsidTr="00E607DA">
        <w:trPr>
          <w:trHeight w:val="23"/>
        </w:trPr>
        <w:tc>
          <w:tcPr>
            <w:tcW w:w="4820" w:type="dxa"/>
            <w:tcBorders>
              <w:top w:val="nil"/>
              <w:left w:val="nil"/>
              <w:bottom w:val="nil"/>
              <w:right w:val="nil"/>
            </w:tcBorders>
            <w:shd w:val="clear" w:color="auto" w:fill="auto"/>
            <w:vAlign w:val="center"/>
            <w:hideMark/>
          </w:tcPr>
          <w:p w14:paraId="0EDE1798" w14:textId="77777777" w:rsidR="00B712A0" w:rsidRPr="00092B22" w:rsidRDefault="00B712A0"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t>Acquisitions</w:t>
            </w:r>
          </w:p>
        </w:tc>
        <w:tc>
          <w:tcPr>
            <w:tcW w:w="1361" w:type="dxa"/>
            <w:tcBorders>
              <w:top w:val="nil"/>
              <w:left w:val="nil"/>
              <w:bottom w:val="nil"/>
              <w:right w:val="nil"/>
            </w:tcBorders>
            <w:shd w:val="clear" w:color="auto" w:fill="auto"/>
            <w:noWrap/>
            <w:vAlign w:val="center"/>
            <w:hideMark/>
          </w:tcPr>
          <w:p w14:paraId="793BE7F9"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1 </w:t>
            </w:r>
          </w:p>
        </w:tc>
        <w:tc>
          <w:tcPr>
            <w:tcW w:w="198" w:type="dxa"/>
            <w:tcBorders>
              <w:top w:val="nil"/>
              <w:left w:val="nil"/>
              <w:bottom w:val="nil"/>
              <w:right w:val="nil"/>
            </w:tcBorders>
            <w:shd w:val="clear" w:color="auto" w:fill="auto"/>
            <w:noWrap/>
            <w:vAlign w:val="center"/>
            <w:hideMark/>
          </w:tcPr>
          <w:p w14:paraId="0A3F3FC9"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77EAD1B"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r>
      <w:tr w:rsidR="00B712A0" w:rsidRPr="00092B22" w14:paraId="3090E05A" w14:textId="77777777" w:rsidTr="00E607DA">
        <w:trPr>
          <w:trHeight w:val="23"/>
        </w:trPr>
        <w:tc>
          <w:tcPr>
            <w:tcW w:w="4820" w:type="dxa"/>
            <w:tcBorders>
              <w:top w:val="nil"/>
              <w:left w:val="nil"/>
              <w:bottom w:val="nil"/>
              <w:right w:val="nil"/>
            </w:tcBorders>
            <w:shd w:val="clear" w:color="auto" w:fill="auto"/>
            <w:vAlign w:val="center"/>
            <w:hideMark/>
          </w:tcPr>
          <w:p w14:paraId="1A427CD6" w14:textId="77777777" w:rsidR="00B712A0" w:rsidRPr="00092B22" w:rsidRDefault="00B712A0"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t>Transfer from level 2 to level 3</w:t>
            </w:r>
          </w:p>
        </w:tc>
        <w:tc>
          <w:tcPr>
            <w:tcW w:w="1361" w:type="dxa"/>
            <w:tcBorders>
              <w:top w:val="nil"/>
              <w:left w:val="nil"/>
              <w:bottom w:val="nil"/>
              <w:right w:val="nil"/>
            </w:tcBorders>
            <w:shd w:val="clear" w:color="auto" w:fill="auto"/>
            <w:noWrap/>
            <w:vAlign w:val="center"/>
            <w:hideMark/>
          </w:tcPr>
          <w:p w14:paraId="03BBE860"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94,157 </w:t>
            </w:r>
          </w:p>
        </w:tc>
        <w:tc>
          <w:tcPr>
            <w:tcW w:w="198" w:type="dxa"/>
            <w:tcBorders>
              <w:top w:val="nil"/>
              <w:left w:val="nil"/>
              <w:bottom w:val="nil"/>
              <w:right w:val="nil"/>
            </w:tcBorders>
            <w:shd w:val="clear" w:color="auto" w:fill="auto"/>
            <w:noWrap/>
            <w:vAlign w:val="center"/>
            <w:hideMark/>
          </w:tcPr>
          <w:p w14:paraId="5ACE5B0D"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987FA0F"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33,062 </w:t>
            </w:r>
          </w:p>
        </w:tc>
      </w:tr>
      <w:tr w:rsidR="00B712A0" w:rsidRPr="00092B22" w14:paraId="2C49F82C" w14:textId="77777777" w:rsidTr="00E607DA">
        <w:trPr>
          <w:trHeight w:val="23"/>
        </w:trPr>
        <w:tc>
          <w:tcPr>
            <w:tcW w:w="4820" w:type="dxa"/>
            <w:tcBorders>
              <w:top w:val="nil"/>
              <w:left w:val="nil"/>
              <w:bottom w:val="nil"/>
              <w:right w:val="nil"/>
            </w:tcBorders>
            <w:shd w:val="clear" w:color="auto" w:fill="auto"/>
            <w:vAlign w:val="center"/>
            <w:hideMark/>
          </w:tcPr>
          <w:p w14:paraId="40FB9A70" w14:textId="77777777" w:rsidR="00B712A0" w:rsidRPr="00092B22" w:rsidRDefault="00B712A0"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t>Transfer from level 3 to level 2</w:t>
            </w:r>
          </w:p>
        </w:tc>
        <w:tc>
          <w:tcPr>
            <w:tcW w:w="1361" w:type="dxa"/>
            <w:tcBorders>
              <w:top w:val="nil"/>
              <w:left w:val="nil"/>
              <w:bottom w:val="nil"/>
              <w:right w:val="nil"/>
            </w:tcBorders>
            <w:shd w:val="clear" w:color="auto" w:fill="auto"/>
            <w:noWrap/>
            <w:vAlign w:val="center"/>
            <w:hideMark/>
          </w:tcPr>
          <w:p w14:paraId="0F6087F1"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(1,463)</w:t>
            </w:r>
          </w:p>
        </w:tc>
        <w:tc>
          <w:tcPr>
            <w:tcW w:w="198" w:type="dxa"/>
            <w:tcBorders>
              <w:top w:val="nil"/>
              <w:left w:val="nil"/>
              <w:bottom w:val="nil"/>
              <w:right w:val="nil"/>
            </w:tcBorders>
            <w:shd w:val="clear" w:color="auto" w:fill="auto"/>
            <w:noWrap/>
            <w:vAlign w:val="center"/>
            <w:hideMark/>
          </w:tcPr>
          <w:p w14:paraId="054BE672"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4BD4583D"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(425)</w:t>
            </w:r>
          </w:p>
        </w:tc>
      </w:tr>
      <w:tr w:rsidR="00B712A0" w:rsidRPr="00092B22" w14:paraId="1612474B" w14:textId="77777777" w:rsidTr="00E607DA">
        <w:trPr>
          <w:trHeight w:val="23"/>
        </w:trPr>
        <w:tc>
          <w:tcPr>
            <w:tcW w:w="4820" w:type="dxa"/>
            <w:tcBorders>
              <w:top w:val="nil"/>
              <w:left w:val="nil"/>
              <w:bottom w:val="nil"/>
              <w:right w:val="nil"/>
            </w:tcBorders>
            <w:shd w:val="clear" w:color="auto" w:fill="auto"/>
            <w:vAlign w:val="center"/>
            <w:hideMark/>
          </w:tcPr>
          <w:p w14:paraId="2CC28BEC" w14:textId="77777777" w:rsidR="00B712A0" w:rsidRPr="00092B22" w:rsidRDefault="00B712A0"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t>Transfers to other Queensland Government entities</w:t>
            </w:r>
          </w:p>
        </w:tc>
        <w:tc>
          <w:tcPr>
            <w:tcW w:w="1361" w:type="dxa"/>
            <w:tcBorders>
              <w:top w:val="nil"/>
              <w:left w:val="nil"/>
              <w:bottom w:val="nil"/>
              <w:right w:val="nil"/>
            </w:tcBorders>
            <w:shd w:val="clear" w:color="auto" w:fill="auto"/>
            <w:noWrap/>
            <w:vAlign w:val="center"/>
            <w:hideMark/>
          </w:tcPr>
          <w:p w14:paraId="3E7EB1B4"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(58)</w:t>
            </w:r>
          </w:p>
        </w:tc>
        <w:tc>
          <w:tcPr>
            <w:tcW w:w="198" w:type="dxa"/>
            <w:tcBorders>
              <w:top w:val="nil"/>
              <w:left w:val="nil"/>
              <w:bottom w:val="nil"/>
              <w:right w:val="nil"/>
            </w:tcBorders>
            <w:shd w:val="clear" w:color="auto" w:fill="auto"/>
            <w:noWrap/>
            <w:vAlign w:val="center"/>
            <w:hideMark/>
          </w:tcPr>
          <w:p w14:paraId="1D741F7C"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0AE88A67"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r>
      <w:tr w:rsidR="00B712A0" w:rsidRPr="00092B22" w14:paraId="3C4C4617" w14:textId="77777777" w:rsidTr="00E607DA">
        <w:trPr>
          <w:trHeight w:val="23"/>
        </w:trPr>
        <w:tc>
          <w:tcPr>
            <w:tcW w:w="4820" w:type="dxa"/>
            <w:tcBorders>
              <w:top w:val="nil"/>
              <w:left w:val="nil"/>
              <w:bottom w:val="nil"/>
              <w:right w:val="nil"/>
            </w:tcBorders>
            <w:shd w:val="clear" w:color="auto" w:fill="auto"/>
            <w:vAlign w:val="center"/>
            <w:hideMark/>
          </w:tcPr>
          <w:p w14:paraId="5645D2B9" w14:textId="77777777" w:rsidR="00B712A0" w:rsidRPr="00092B22" w:rsidRDefault="00B712A0"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t>Transfers between classes</w:t>
            </w:r>
          </w:p>
        </w:tc>
        <w:tc>
          <w:tcPr>
            <w:tcW w:w="1361" w:type="dxa"/>
            <w:tcBorders>
              <w:top w:val="nil"/>
              <w:left w:val="nil"/>
              <w:bottom w:val="nil"/>
              <w:right w:val="nil"/>
            </w:tcBorders>
            <w:shd w:val="clear" w:color="auto" w:fill="auto"/>
            <w:noWrap/>
            <w:vAlign w:val="center"/>
            <w:hideMark/>
          </w:tcPr>
          <w:p w14:paraId="4FB1F22D"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4,987 </w:t>
            </w:r>
          </w:p>
        </w:tc>
        <w:tc>
          <w:tcPr>
            <w:tcW w:w="198" w:type="dxa"/>
            <w:tcBorders>
              <w:top w:val="nil"/>
              <w:left w:val="nil"/>
              <w:bottom w:val="nil"/>
              <w:right w:val="nil"/>
            </w:tcBorders>
            <w:shd w:val="clear" w:color="auto" w:fill="auto"/>
            <w:noWrap/>
            <w:vAlign w:val="center"/>
            <w:hideMark/>
          </w:tcPr>
          <w:p w14:paraId="78A4828F"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5A319C76"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499 </w:t>
            </w:r>
          </w:p>
        </w:tc>
      </w:tr>
      <w:tr w:rsidR="00B712A0" w:rsidRPr="00092B22" w14:paraId="0B504EF2" w14:textId="77777777" w:rsidTr="00E607DA">
        <w:trPr>
          <w:trHeight w:val="23"/>
        </w:trPr>
        <w:tc>
          <w:tcPr>
            <w:tcW w:w="4820" w:type="dxa"/>
            <w:tcBorders>
              <w:top w:val="nil"/>
              <w:left w:val="nil"/>
              <w:bottom w:val="nil"/>
              <w:right w:val="nil"/>
            </w:tcBorders>
            <w:shd w:val="clear" w:color="auto" w:fill="auto"/>
            <w:vAlign w:val="center"/>
            <w:hideMark/>
          </w:tcPr>
          <w:p w14:paraId="5529B76C" w14:textId="77777777" w:rsidR="00B712A0" w:rsidRPr="00092B22" w:rsidRDefault="00B712A0"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t>Disposals</w:t>
            </w:r>
          </w:p>
        </w:tc>
        <w:tc>
          <w:tcPr>
            <w:tcW w:w="1361" w:type="dxa"/>
            <w:tcBorders>
              <w:top w:val="nil"/>
              <w:left w:val="nil"/>
              <w:bottom w:val="nil"/>
              <w:right w:val="nil"/>
            </w:tcBorders>
            <w:shd w:val="clear" w:color="auto" w:fill="auto"/>
            <w:noWrap/>
            <w:vAlign w:val="center"/>
            <w:hideMark/>
          </w:tcPr>
          <w:p w14:paraId="3C6E869F"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(62)</w:t>
            </w:r>
          </w:p>
        </w:tc>
        <w:tc>
          <w:tcPr>
            <w:tcW w:w="198" w:type="dxa"/>
            <w:tcBorders>
              <w:top w:val="nil"/>
              <w:left w:val="nil"/>
              <w:bottom w:val="nil"/>
              <w:right w:val="nil"/>
            </w:tcBorders>
            <w:shd w:val="clear" w:color="auto" w:fill="auto"/>
            <w:noWrap/>
            <w:vAlign w:val="center"/>
            <w:hideMark/>
          </w:tcPr>
          <w:p w14:paraId="772F5A2D"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6EA35712"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(13,958)</w:t>
            </w:r>
          </w:p>
        </w:tc>
      </w:tr>
      <w:tr w:rsidR="00B712A0" w:rsidRPr="00092B22" w14:paraId="71F47BC6" w14:textId="77777777" w:rsidTr="00E607DA">
        <w:trPr>
          <w:trHeight w:val="23"/>
        </w:trPr>
        <w:tc>
          <w:tcPr>
            <w:tcW w:w="4820" w:type="dxa"/>
            <w:tcBorders>
              <w:top w:val="nil"/>
              <w:left w:val="nil"/>
              <w:bottom w:val="nil"/>
              <w:right w:val="nil"/>
            </w:tcBorders>
            <w:shd w:val="clear" w:color="auto" w:fill="auto"/>
            <w:vAlign w:val="center"/>
            <w:hideMark/>
          </w:tcPr>
          <w:p w14:paraId="22F141B4" w14:textId="77777777" w:rsidR="00B712A0" w:rsidRPr="00092B22" w:rsidRDefault="00B712A0"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t>Assets provided to third parties at below fair value</w:t>
            </w:r>
          </w:p>
        </w:tc>
        <w:tc>
          <w:tcPr>
            <w:tcW w:w="1361" w:type="dxa"/>
            <w:tcBorders>
              <w:top w:val="nil"/>
              <w:left w:val="nil"/>
              <w:bottom w:val="nil"/>
              <w:right w:val="nil"/>
            </w:tcBorders>
            <w:shd w:val="clear" w:color="auto" w:fill="auto"/>
            <w:noWrap/>
            <w:vAlign w:val="center"/>
            <w:hideMark/>
          </w:tcPr>
          <w:p w14:paraId="1C725B2D"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6A209D72"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0044FEED"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(5,485)</w:t>
            </w:r>
          </w:p>
        </w:tc>
      </w:tr>
      <w:tr w:rsidR="00B712A0" w:rsidRPr="00092B22" w14:paraId="457C0B45" w14:textId="77777777" w:rsidTr="00E607DA">
        <w:trPr>
          <w:trHeight w:val="23"/>
        </w:trPr>
        <w:tc>
          <w:tcPr>
            <w:tcW w:w="4820" w:type="dxa"/>
            <w:tcBorders>
              <w:top w:val="nil"/>
              <w:left w:val="nil"/>
              <w:bottom w:val="nil"/>
              <w:right w:val="nil"/>
            </w:tcBorders>
            <w:shd w:val="clear" w:color="auto" w:fill="auto"/>
            <w:vAlign w:val="center"/>
            <w:hideMark/>
          </w:tcPr>
          <w:p w14:paraId="4B3D452E" w14:textId="77777777" w:rsidR="00B712A0" w:rsidRPr="00092B22" w:rsidRDefault="00B712A0"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t>Net revaluation decrements</w:t>
            </w:r>
          </w:p>
        </w:tc>
        <w:tc>
          <w:tcPr>
            <w:tcW w:w="1361" w:type="dxa"/>
            <w:tcBorders>
              <w:top w:val="nil"/>
              <w:left w:val="nil"/>
              <w:bottom w:val="nil"/>
              <w:right w:val="nil"/>
            </w:tcBorders>
            <w:shd w:val="clear" w:color="auto" w:fill="auto"/>
            <w:noWrap/>
            <w:vAlign w:val="center"/>
            <w:hideMark/>
          </w:tcPr>
          <w:p w14:paraId="0893CD4E"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(15,272)</w:t>
            </w:r>
          </w:p>
        </w:tc>
        <w:tc>
          <w:tcPr>
            <w:tcW w:w="198" w:type="dxa"/>
            <w:tcBorders>
              <w:top w:val="nil"/>
              <w:left w:val="nil"/>
              <w:bottom w:val="nil"/>
              <w:right w:val="nil"/>
            </w:tcBorders>
            <w:shd w:val="clear" w:color="auto" w:fill="auto"/>
            <w:noWrap/>
            <w:vAlign w:val="center"/>
            <w:hideMark/>
          </w:tcPr>
          <w:p w14:paraId="2937E9C7"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611032DC"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(54,169)</w:t>
            </w:r>
          </w:p>
        </w:tc>
      </w:tr>
      <w:tr w:rsidR="00B712A0" w:rsidRPr="00092B22" w14:paraId="6A41562A" w14:textId="77777777" w:rsidTr="00CE1969">
        <w:trPr>
          <w:trHeight w:val="465"/>
        </w:trPr>
        <w:tc>
          <w:tcPr>
            <w:tcW w:w="4820" w:type="dxa"/>
            <w:tcBorders>
              <w:top w:val="nil"/>
              <w:left w:val="nil"/>
              <w:bottom w:val="nil"/>
              <w:right w:val="nil"/>
            </w:tcBorders>
            <w:shd w:val="clear" w:color="auto" w:fill="auto"/>
            <w:noWrap/>
            <w:vAlign w:val="center"/>
            <w:hideMark/>
          </w:tcPr>
          <w:p w14:paraId="42C93EBE" w14:textId="77777777" w:rsidR="00B712A0" w:rsidRPr="00092B22" w:rsidRDefault="00B712A0"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t>Depreciation</w:t>
            </w:r>
          </w:p>
        </w:tc>
        <w:tc>
          <w:tcPr>
            <w:tcW w:w="1361" w:type="dxa"/>
            <w:tcBorders>
              <w:top w:val="nil"/>
              <w:left w:val="nil"/>
              <w:bottom w:val="nil"/>
              <w:right w:val="nil"/>
            </w:tcBorders>
            <w:shd w:val="clear" w:color="auto" w:fill="auto"/>
            <w:noWrap/>
            <w:vAlign w:val="center"/>
            <w:hideMark/>
          </w:tcPr>
          <w:p w14:paraId="3D78CF59"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5EB75861"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AC67348"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(17,967)</w:t>
            </w:r>
          </w:p>
        </w:tc>
      </w:tr>
      <w:tr w:rsidR="00B712A0" w:rsidRPr="00092B22" w14:paraId="1FC49F17" w14:textId="77777777" w:rsidTr="00CE1969">
        <w:trPr>
          <w:trHeight w:val="393"/>
        </w:trPr>
        <w:tc>
          <w:tcPr>
            <w:tcW w:w="4820" w:type="dxa"/>
            <w:tcBorders>
              <w:top w:val="single" w:sz="4" w:space="0" w:color="auto"/>
              <w:left w:val="nil"/>
              <w:bottom w:val="double" w:sz="6" w:space="0" w:color="auto"/>
              <w:right w:val="nil"/>
            </w:tcBorders>
            <w:shd w:val="clear" w:color="auto" w:fill="auto"/>
            <w:vAlign w:val="center"/>
            <w:hideMark/>
          </w:tcPr>
          <w:p w14:paraId="67936E42" w14:textId="77777777" w:rsidR="00B712A0" w:rsidRPr="00092B22" w:rsidRDefault="00B712A0" w:rsidP="00E607DA">
            <w:pPr>
              <w:rPr>
                <w:rFonts w:ascii="Meta Pro" w:eastAsia="Times New Roman" w:hAnsi="Meta Pro"/>
                <w:sz w:val="16"/>
                <w:szCs w:val="16"/>
                <w:lang w:eastAsia="en-AU"/>
              </w:rPr>
            </w:pPr>
            <w:r w:rsidRPr="00092B22">
              <w:rPr>
                <w:rFonts w:ascii="Meta Pro" w:eastAsia="Times New Roman" w:hAnsi="Meta Pro"/>
                <w:sz w:val="16"/>
                <w:szCs w:val="16"/>
                <w:lang w:eastAsia="en-AU"/>
              </w:rPr>
              <w:t>Carrying amount at 30 June</w:t>
            </w:r>
          </w:p>
        </w:tc>
        <w:tc>
          <w:tcPr>
            <w:tcW w:w="1361" w:type="dxa"/>
            <w:tcBorders>
              <w:top w:val="single" w:sz="4" w:space="0" w:color="auto"/>
              <w:left w:val="nil"/>
              <w:bottom w:val="double" w:sz="6" w:space="0" w:color="auto"/>
              <w:right w:val="nil"/>
            </w:tcBorders>
            <w:shd w:val="clear" w:color="auto" w:fill="auto"/>
            <w:noWrap/>
            <w:vAlign w:val="center"/>
            <w:hideMark/>
          </w:tcPr>
          <w:p w14:paraId="1DF9D47D"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94,364 </w:t>
            </w:r>
          </w:p>
        </w:tc>
        <w:tc>
          <w:tcPr>
            <w:tcW w:w="198" w:type="dxa"/>
            <w:tcBorders>
              <w:top w:val="nil"/>
              <w:left w:val="nil"/>
              <w:bottom w:val="nil"/>
              <w:right w:val="nil"/>
            </w:tcBorders>
            <w:shd w:val="clear" w:color="auto" w:fill="auto"/>
            <w:noWrap/>
            <w:vAlign w:val="center"/>
            <w:hideMark/>
          </w:tcPr>
          <w:p w14:paraId="14597237" w14:textId="77777777" w:rsidR="00B712A0" w:rsidRPr="00092B22" w:rsidRDefault="00B712A0" w:rsidP="00E607DA">
            <w:pPr>
              <w:jc w:val="right"/>
              <w:rPr>
                <w:rFonts w:ascii="Meta Pro" w:eastAsia="Times New Roman" w:hAnsi="Meta Pro"/>
                <w:sz w:val="16"/>
                <w:szCs w:val="16"/>
                <w:lang w:eastAsia="en-AU"/>
              </w:rPr>
            </w:pPr>
          </w:p>
        </w:tc>
        <w:tc>
          <w:tcPr>
            <w:tcW w:w="1361" w:type="dxa"/>
            <w:tcBorders>
              <w:top w:val="single" w:sz="4" w:space="0" w:color="auto"/>
              <w:left w:val="nil"/>
              <w:bottom w:val="double" w:sz="6" w:space="0" w:color="auto"/>
              <w:right w:val="nil"/>
            </w:tcBorders>
            <w:shd w:val="clear" w:color="auto" w:fill="auto"/>
            <w:noWrap/>
            <w:vAlign w:val="center"/>
            <w:hideMark/>
          </w:tcPr>
          <w:p w14:paraId="467F614D" w14:textId="77777777" w:rsidR="00B712A0" w:rsidRPr="00092B22" w:rsidRDefault="00B712A0" w:rsidP="00E607DA">
            <w:pPr>
              <w:jc w:val="right"/>
              <w:rPr>
                <w:rFonts w:ascii="Meta Pro" w:eastAsia="Times New Roman" w:hAnsi="Meta Pro"/>
                <w:sz w:val="16"/>
                <w:szCs w:val="16"/>
                <w:lang w:eastAsia="en-AU"/>
              </w:rPr>
            </w:pPr>
            <w:r w:rsidRPr="00092B22">
              <w:rPr>
                <w:rFonts w:ascii="Meta Pro" w:eastAsia="Times New Roman" w:hAnsi="Meta Pro"/>
                <w:sz w:val="16"/>
                <w:szCs w:val="16"/>
                <w:lang w:eastAsia="en-AU"/>
              </w:rPr>
              <w:t xml:space="preserve">506,442 </w:t>
            </w:r>
          </w:p>
        </w:tc>
      </w:tr>
    </w:tbl>
    <w:p w14:paraId="2FC0AEC9" w14:textId="261BAAB5" w:rsidR="00B515C3" w:rsidRDefault="00B712A0" w:rsidP="00FC119B">
      <w:pPr>
        <w:spacing w:before="120" w:line="259" w:lineRule="auto"/>
        <w:sectPr w:rsidR="00B515C3" w:rsidSect="00B515C3">
          <w:footerReference w:type="default" r:id="rId137"/>
          <w:pgSz w:w="16838" w:h="11906" w:orient="landscape" w:code="9"/>
          <w:pgMar w:top="1418" w:right="1418" w:bottom="1418" w:left="1418" w:header="454" w:footer="454" w:gutter="0"/>
          <w:cols w:space="708"/>
          <w:titlePg/>
          <w:docGrid w:linePitch="360"/>
        </w:sectPr>
      </w:pPr>
      <w:r w:rsidRPr="00092B22">
        <w:rPr>
          <w:rFonts w:ascii="Meta Pro" w:hAnsi="Meta Pro"/>
          <w:sz w:val="16"/>
          <w:szCs w:val="16"/>
          <w:lang w:eastAsia="en-AU"/>
        </w:rPr>
        <w:t>* The heritage and cultural asset class is no longer separately disclosed in the financial statements due to its insignificant value. These assets are carried at cost under the plant and equipment asset class.</w:t>
      </w:r>
      <w:r w:rsidR="00CE1969">
        <w:rPr>
          <w:rFonts w:ascii="Meta Pro" w:hAnsi="Meta Pro"/>
          <w:sz w:val="16"/>
          <w:szCs w:val="16"/>
          <w:lang w:eastAsia="en-AU"/>
        </w:rPr>
        <w:br/>
      </w:r>
      <w:r w:rsidRPr="00092B22">
        <w:rPr>
          <w:rFonts w:ascii="Meta Pro" w:eastAsia="Times New Roman" w:hAnsi="Meta Pro"/>
          <w:sz w:val="16"/>
          <w:szCs w:val="16"/>
          <w:lang w:eastAsia="en-AU"/>
        </w:rPr>
        <w:t>** Infrastructure consists of roads with a gross replacement cost $62.807b and</w:t>
      </w:r>
      <w:r>
        <w:rPr>
          <w:rFonts w:ascii="Meta Pro" w:eastAsia="Times New Roman" w:hAnsi="Meta Pro"/>
          <w:sz w:val="16"/>
          <w:szCs w:val="16"/>
          <w:lang w:eastAsia="en-AU"/>
        </w:rPr>
        <w:t xml:space="preserve"> a</w:t>
      </w:r>
      <w:r w:rsidRPr="00092B22">
        <w:rPr>
          <w:rFonts w:ascii="Meta Pro" w:eastAsia="Times New Roman" w:hAnsi="Meta Pro"/>
          <w:sz w:val="16"/>
          <w:szCs w:val="16"/>
          <w:lang w:eastAsia="en-AU"/>
        </w:rPr>
        <w:t xml:space="preserve"> current replacement cost</w:t>
      </w:r>
      <w:r>
        <w:rPr>
          <w:rFonts w:ascii="Meta Pro" w:eastAsia="Times New Roman" w:hAnsi="Meta Pro"/>
          <w:sz w:val="16"/>
          <w:szCs w:val="16"/>
          <w:lang w:eastAsia="en-AU"/>
        </w:rPr>
        <w:t xml:space="preserve"> of</w:t>
      </w:r>
      <w:r w:rsidRPr="00092B22">
        <w:rPr>
          <w:rFonts w:ascii="Meta Pro" w:eastAsia="Times New Roman" w:hAnsi="Meta Pro"/>
          <w:sz w:val="16"/>
          <w:szCs w:val="16"/>
          <w:lang w:eastAsia="en-AU"/>
        </w:rPr>
        <w:t xml:space="preserve"> $49.262b, structures with a gross replacement cost </w:t>
      </w:r>
      <w:r>
        <w:rPr>
          <w:rFonts w:ascii="Meta Pro" w:eastAsia="Times New Roman" w:hAnsi="Meta Pro"/>
          <w:sz w:val="16"/>
          <w:szCs w:val="16"/>
          <w:lang w:eastAsia="en-AU"/>
        </w:rPr>
        <w:t xml:space="preserve">of </w:t>
      </w:r>
      <w:r w:rsidRPr="00092B22">
        <w:rPr>
          <w:rFonts w:ascii="Meta Pro" w:eastAsia="Times New Roman" w:hAnsi="Meta Pro"/>
          <w:sz w:val="16"/>
          <w:szCs w:val="16"/>
          <w:lang w:eastAsia="en-AU"/>
        </w:rPr>
        <w:t xml:space="preserve">$18.195b and </w:t>
      </w:r>
      <w:r>
        <w:rPr>
          <w:rFonts w:ascii="Meta Pro" w:eastAsia="Times New Roman" w:hAnsi="Meta Pro"/>
          <w:sz w:val="16"/>
          <w:szCs w:val="16"/>
          <w:lang w:eastAsia="en-AU"/>
        </w:rPr>
        <w:t xml:space="preserve">a </w:t>
      </w:r>
      <w:r w:rsidRPr="00092B22">
        <w:rPr>
          <w:rFonts w:ascii="Meta Pro" w:eastAsia="Times New Roman" w:hAnsi="Meta Pro"/>
          <w:sz w:val="16"/>
          <w:szCs w:val="16"/>
          <w:lang w:eastAsia="en-AU"/>
        </w:rPr>
        <w:t xml:space="preserve">current replacement cost </w:t>
      </w:r>
      <w:r>
        <w:rPr>
          <w:rFonts w:ascii="Meta Pro" w:eastAsia="Times New Roman" w:hAnsi="Meta Pro"/>
          <w:sz w:val="16"/>
          <w:szCs w:val="16"/>
          <w:lang w:eastAsia="en-AU"/>
        </w:rPr>
        <w:t xml:space="preserve">of </w:t>
      </w:r>
      <w:r w:rsidRPr="00092B22">
        <w:rPr>
          <w:rFonts w:ascii="Meta Pro" w:eastAsia="Times New Roman" w:hAnsi="Meta Pro"/>
          <w:sz w:val="16"/>
          <w:szCs w:val="16"/>
          <w:lang w:eastAsia="en-AU"/>
        </w:rPr>
        <w:lastRenderedPageBreak/>
        <w:t xml:space="preserve">$11.410b and other infrastructure with a gross replacement cost </w:t>
      </w:r>
      <w:r>
        <w:rPr>
          <w:rFonts w:ascii="Meta Pro" w:eastAsia="Times New Roman" w:hAnsi="Meta Pro"/>
          <w:sz w:val="16"/>
          <w:szCs w:val="16"/>
          <w:lang w:eastAsia="en-AU"/>
        </w:rPr>
        <w:t xml:space="preserve">of </w:t>
      </w:r>
      <w:r w:rsidRPr="00092B22">
        <w:rPr>
          <w:rFonts w:ascii="Meta Pro" w:eastAsia="Times New Roman" w:hAnsi="Meta Pro"/>
          <w:sz w:val="16"/>
          <w:szCs w:val="16"/>
          <w:lang w:eastAsia="en-AU"/>
        </w:rPr>
        <w:t xml:space="preserve">$0.751b and </w:t>
      </w:r>
      <w:r>
        <w:rPr>
          <w:rFonts w:ascii="Meta Pro" w:eastAsia="Times New Roman" w:hAnsi="Meta Pro"/>
          <w:sz w:val="16"/>
          <w:szCs w:val="16"/>
          <w:lang w:eastAsia="en-AU"/>
        </w:rPr>
        <w:t xml:space="preserve">a </w:t>
      </w:r>
      <w:r w:rsidRPr="00092B22">
        <w:rPr>
          <w:rFonts w:ascii="Meta Pro" w:eastAsia="Times New Roman" w:hAnsi="Meta Pro"/>
          <w:sz w:val="16"/>
          <w:szCs w:val="16"/>
          <w:lang w:eastAsia="en-AU"/>
        </w:rPr>
        <w:t xml:space="preserve">current replacement cost </w:t>
      </w:r>
      <w:r>
        <w:rPr>
          <w:rFonts w:ascii="Meta Pro" w:eastAsia="Times New Roman" w:hAnsi="Meta Pro"/>
          <w:sz w:val="16"/>
          <w:szCs w:val="16"/>
          <w:lang w:eastAsia="en-AU"/>
        </w:rPr>
        <w:t xml:space="preserve">of </w:t>
      </w:r>
      <w:r w:rsidRPr="00092B22">
        <w:rPr>
          <w:rFonts w:ascii="Meta Pro" w:eastAsia="Times New Roman" w:hAnsi="Meta Pro"/>
          <w:sz w:val="16"/>
          <w:szCs w:val="16"/>
          <w:lang w:eastAsia="en-AU"/>
        </w:rPr>
        <w:t>$0.434b.</w:t>
      </w:r>
      <w:r w:rsidR="00CE1969">
        <w:rPr>
          <w:rFonts w:ascii="Meta Pro" w:eastAsia="Times New Roman" w:hAnsi="Meta Pro"/>
          <w:sz w:val="16"/>
          <w:szCs w:val="16"/>
          <w:lang w:eastAsia="en-AU"/>
        </w:rPr>
        <w:br/>
      </w:r>
      <w:r w:rsidRPr="00092B22">
        <w:rPr>
          <w:rFonts w:ascii="Meta Pro" w:eastAsia="Times New Roman" w:hAnsi="Meta Pro"/>
          <w:sz w:val="16"/>
          <w:szCs w:val="16"/>
          <w:lang w:eastAsia="en-AU"/>
        </w:rPr>
        <w:t xml:space="preserve">*** Comparatives have changed following the reclassification of expenditure associated with departmental cloud computing arrangements due to a change in accounting policy. Refer to Note </w:t>
      </w:r>
    </w:p>
    <w:p w14:paraId="3F3AF2B4" w14:textId="77777777" w:rsidR="007E0DA4" w:rsidRPr="00092B22" w:rsidRDefault="007E0DA4" w:rsidP="007E0DA4">
      <w:pPr>
        <w:spacing w:after="120" w:line="259" w:lineRule="auto"/>
        <w:rPr>
          <w:rFonts w:ascii="Meta Pro" w:eastAsia="Times New Roman" w:hAnsi="Meta Pro"/>
          <w:b/>
          <w:bCs/>
          <w:sz w:val="24"/>
          <w:szCs w:val="24"/>
          <w:lang w:eastAsia="en-AU"/>
        </w:rPr>
      </w:pPr>
      <w:r w:rsidRPr="00092B22">
        <w:rPr>
          <w:rFonts w:ascii="Meta Pro" w:eastAsia="Times New Roman" w:hAnsi="Meta Pro"/>
          <w:b/>
          <w:bCs/>
          <w:sz w:val="24"/>
          <w:szCs w:val="24"/>
          <w:lang w:eastAsia="en-AU"/>
        </w:rPr>
        <w:lastRenderedPageBreak/>
        <w:t>15     PROPERTY, PLANT AND EQUIPMENT (continued)</w:t>
      </w:r>
    </w:p>
    <w:p w14:paraId="537DC8C5" w14:textId="77777777" w:rsidR="007E0DA4" w:rsidRPr="00092B22" w:rsidRDefault="007E0DA4" w:rsidP="007E0DA4">
      <w:pPr>
        <w:shd w:val="clear" w:color="auto" w:fill="EBEBEB"/>
        <w:spacing w:after="120"/>
        <w:ind w:left="113" w:hanging="113"/>
        <w:jc w:val="both"/>
        <w:rPr>
          <w:rFonts w:ascii="Meta Pro" w:eastAsia="Times New Roman" w:hAnsi="Meta Pro"/>
          <w:b/>
          <w:bCs/>
          <w:color w:val="000000"/>
          <w:sz w:val="20"/>
          <w:szCs w:val="20"/>
          <w:lang w:eastAsia="en-AU"/>
        </w:rPr>
      </w:pPr>
      <w:r w:rsidRPr="00092B22">
        <w:rPr>
          <w:rFonts w:ascii="Meta Pro" w:eastAsia="Times New Roman" w:hAnsi="Meta Pro"/>
          <w:b/>
          <w:bCs/>
          <w:color w:val="000000"/>
          <w:sz w:val="20"/>
          <w:szCs w:val="20"/>
          <w:lang w:eastAsia="en-AU"/>
        </w:rPr>
        <w:t>Accounting policy</w:t>
      </w:r>
    </w:p>
    <w:p w14:paraId="1B8BFE31" w14:textId="77777777" w:rsidR="007E0DA4" w:rsidRPr="00092B22" w:rsidRDefault="007E0DA4" w:rsidP="007E0DA4">
      <w:pPr>
        <w:shd w:val="clear" w:color="auto" w:fill="EBEBEB"/>
        <w:spacing w:after="120"/>
        <w:jc w:val="both"/>
        <w:rPr>
          <w:rFonts w:ascii="Meta Pro" w:eastAsia="Times New Roman" w:hAnsi="Meta Pro"/>
          <w:b/>
          <w:bCs/>
          <w:i/>
          <w:iCs/>
          <w:szCs w:val="18"/>
          <w:lang w:eastAsia="en-AU"/>
        </w:rPr>
      </w:pPr>
      <w:r w:rsidRPr="00092B22">
        <w:rPr>
          <w:rFonts w:ascii="Meta Pro" w:eastAsia="Times New Roman" w:hAnsi="Meta Pro"/>
          <w:b/>
          <w:bCs/>
          <w:i/>
          <w:iCs/>
          <w:szCs w:val="18"/>
          <w:lang w:eastAsia="en-AU"/>
        </w:rPr>
        <w:t>Recognition threshold</w:t>
      </w:r>
    </w:p>
    <w:p w14:paraId="64A3625C" w14:textId="77777777" w:rsidR="007E0DA4" w:rsidRPr="00092B22" w:rsidRDefault="007E0DA4" w:rsidP="007E0DA4">
      <w:pPr>
        <w:shd w:val="clear" w:color="auto" w:fill="EBEBEB"/>
        <w:jc w:val="both"/>
        <w:rPr>
          <w:rFonts w:ascii="Meta Pro" w:eastAsia="Times New Roman" w:hAnsi="Meta Pro"/>
          <w:szCs w:val="18"/>
          <w:lang w:eastAsia="en-AU"/>
        </w:rPr>
      </w:pPr>
      <w:r w:rsidRPr="00092B22">
        <w:rPr>
          <w:rFonts w:ascii="Meta Pro" w:eastAsia="Times New Roman" w:hAnsi="Meta Pro"/>
          <w:szCs w:val="18"/>
          <w:lang w:eastAsia="en-AU"/>
        </w:rPr>
        <w:t>All items of property, plant and equipment are recognised when the cost exceeds the following thresholds:</w:t>
      </w:r>
    </w:p>
    <w:p w14:paraId="6B0144FA" w14:textId="77777777" w:rsidR="007E0DA4" w:rsidRPr="00092B22" w:rsidRDefault="007E0DA4" w:rsidP="007E0DA4">
      <w:pPr>
        <w:shd w:val="clear" w:color="auto" w:fill="EBEBEB"/>
        <w:jc w:val="both"/>
        <w:rPr>
          <w:rFonts w:ascii="Meta Pro" w:eastAsia="Times New Roman" w:hAnsi="Meta Pro"/>
          <w:szCs w:val="18"/>
          <w:lang w:eastAsia="en-AU"/>
        </w:rPr>
      </w:pPr>
      <w:r w:rsidRPr="00092B22">
        <w:rPr>
          <w:rFonts w:ascii="Meta Pro" w:eastAsia="Times New Roman" w:hAnsi="Meta Pro"/>
          <w:szCs w:val="18"/>
          <w:lang w:eastAsia="en-AU"/>
        </w:rPr>
        <w:t>•   Land</w:t>
      </w:r>
      <w:r w:rsidRPr="00092B22">
        <w:rPr>
          <w:rFonts w:ascii="Meta Pro" w:eastAsia="Times New Roman" w:hAnsi="Meta Pro"/>
          <w:szCs w:val="18"/>
          <w:lang w:eastAsia="en-AU"/>
        </w:rPr>
        <w:tab/>
      </w:r>
      <w:r w:rsidRPr="00092B22">
        <w:rPr>
          <w:rFonts w:ascii="Meta Pro" w:eastAsia="Times New Roman" w:hAnsi="Meta Pro"/>
          <w:szCs w:val="18"/>
          <w:lang w:eastAsia="en-AU"/>
        </w:rPr>
        <w:tab/>
      </w:r>
      <w:r w:rsidRPr="00092B22">
        <w:rPr>
          <w:rFonts w:ascii="Meta Pro" w:eastAsia="Times New Roman" w:hAnsi="Meta Pro"/>
          <w:szCs w:val="18"/>
          <w:lang w:eastAsia="en-AU"/>
        </w:rPr>
        <w:tab/>
      </w:r>
      <w:r w:rsidRPr="00092B22">
        <w:rPr>
          <w:rFonts w:ascii="Meta Pro" w:eastAsia="Times New Roman" w:hAnsi="Meta Pro"/>
          <w:szCs w:val="18"/>
          <w:lang w:eastAsia="en-AU"/>
        </w:rPr>
        <w:tab/>
      </w:r>
      <w:r w:rsidRPr="00092B22">
        <w:rPr>
          <w:rFonts w:ascii="Meta Pro" w:eastAsia="Times New Roman" w:hAnsi="Meta Pro"/>
          <w:szCs w:val="18"/>
          <w:lang w:eastAsia="en-AU"/>
        </w:rPr>
        <w:tab/>
        <w:t>$1</w:t>
      </w:r>
    </w:p>
    <w:p w14:paraId="2AC017B1" w14:textId="77777777" w:rsidR="007E0DA4" w:rsidRPr="00092B22" w:rsidRDefault="007E0DA4" w:rsidP="007E0DA4">
      <w:pPr>
        <w:shd w:val="clear" w:color="auto" w:fill="EBEBEB"/>
        <w:jc w:val="both"/>
        <w:rPr>
          <w:rFonts w:ascii="Meta Pro" w:eastAsia="Times New Roman" w:hAnsi="Meta Pro"/>
          <w:szCs w:val="18"/>
          <w:lang w:eastAsia="en-AU"/>
        </w:rPr>
      </w:pPr>
      <w:r w:rsidRPr="00092B22">
        <w:rPr>
          <w:rFonts w:ascii="Meta Pro" w:eastAsia="Times New Roman" w:hAnsi="Meta Pro"/>
          <w:szCs w:val="18"/>
          <w:lang w:eastAsia="en-AU"/>
        </w:rPr>
        <w:t>•   Buildings</w:t>
      </w:r>
      <w:r w:rsidRPr="00092B22">
        <w:rPr>
          <w:rFonts w:ascii="Meta Pro" w:eastAsia="Times New Roman" w:hAnsi="Meta Pro"/>
          <w:szCs w:val="18"/>
          <w:lang w:eastAsia="en-AU"/>
        </w:rPr>
        <w:tab/>
      </w:r>
      <w:r w:rsidRPr="00092B22">
        <w:rPr>
          <w:rFonts w:ascii="Meta Pro" w:eastAsia="Times New Roman" w:hAnsi="Meta Pro"/>
          <w:szCs w:val="18"/>
          <w:lang w:eastAsia="en-AU"/>
        </w:rPr>
        <w:tab/>
      </w:r>
      <w:r w:rsidRPr="00092B22">
        <w:rPr>
          <w:rFonts w:ascii="Meta Pro" w:eastAsia="Times New Roman" w:hAnsi="Meta Pro"/>
          <w:szCs w:val="18"/>
          <w:lang w:eastAsia="en-AU"/>
        </w:rPr>
        <w:tab/>
      </w:r>
      <w:r w:rsidRPr="00092B22">
        <w:rPr>
          <w:rFonts w:ascii="Meta Pro" w:eastAsia="Times New Roman" w:hAnsi="Meta Pro"/>
          <w:szCs w:val="18"/>
          <w:lang w:eastAsia="en-AU"/>
        </w:rPr>
        <w:tab/>
      </w:r>
      <w:r w:rsidRPr="00092B22">
        <w:rPr>
          <w:rFonts w:ascii="Meta Pro" w:eastAsia="Times New Roman" w:hAnsi="Meta Pro"/>
          <w:szCs w:val="18"/>
          <w:lang w:eastAsia="en-AU"/>
        </w:rPr>
        <w:tab/>
        <w:t>$10,000</w:t>
      </w:r>
    </w:p>
    <w:p w14:paraId="2659B84B" w14:textId="77777777" w:rsidR="007E0DA4" w:rsidRPr="00092B22" w:rsidRDefault="007E0DA4" w:rsidP="007E0DA4">
      <w:pPr>
        <w:shd w:val="clear" w:color="auto" w:fill="EBEBEB"/>
        <w:jc w:val="both"/>
        <w:rPr>
          <w:rFonts w:ascii="Meta Pro" w:eastAsia="Times New Roman" w:hAnsi="Meta Pro"/>
          <w:szCs w:val="18"/>
          <w:lang w:eastAsia="en-AU"/>
        </w:rPr>
      </w:pPr>
      <w:r w:rsidRPr="00092B22">
        <w:rPr>
          <w:rFonts w:ascii="Meta Pro" w:eastAsia="Times New Roman" w:hAnsi="Meta Pro"/>
          <w:szCs w:val="18"/>
          <w:lang w:eastAsia="en-AU"/>
        </w:rPr>
        <w:t>•   Plant and equipment</w:t>
      </w:r>
      <w:r w:rsidRPr="00092B22">
        <w:rPr>
          <w:rFonts w:ascii="Meta Pro" w:eastAsia="Times New Roman" w:hAnsi="Meta Pro"/>
          <w:szCs w:val="18"/>
          <w:lang w:eastAsia="en-AU"/>
        </w:rPr>
        <w:tab/>
      </w:r>
      <w:r w:rsidRPr="00092B22">
        <w:rPr>
          <w:rFonts w:ascii="Meta Pro" w:eastAsia="Times New Roman" w:hAnsi="Meta Pro"/>
          <w:szCs w:val="18"/>
          <w:lang w:eastAsia="en-AU"/>
        </w:rPr>
        <w:tab/>
      </w:r>
      <w:r w:rsidRPr="00092B22">
        <w:rPr>
          <w:rFonts w:ascii="Meta Pro" w:eastAsia="Times New Roman" w:hAnsi="Meta Pro"/>
          <w:szCs w:val="18"/>
          <w:lang w:eastAsia="en-AU"/>
        </w:rPr>
        <w:tab/>
        <w:t>$5000</w:t>
      </w:r>
    </w:p>
    <w:p w14:paraId="5AFFEAAA" w14:textId="77777777" w:rsidR="007E0DA4" w:rsidRPr="00092B22" w:rsidRDefault="007E0DA4" w:rsidP="007E0DA4">
      <w:pPr>
        <w:shd w:val="clear" w:color="auto" w:fill="EBEBEB"/>
        <w:jc w:val="both"/>
        <w:rPr>
          <w:rFonts w:ascii="Meta Pro" w:eastAsia="Times New Roman" w:hAnsi="Meta Pro"/>
          <w:szCs w:val="18"/>
          <w:lang w:eastAsia="en-AU"/>
        </w:rPr>
      </w:pPr>
      <w:r w:rsidRPr="00092B22">
        <w:rPr>
          <w:rFonts w:ascii="Meta Pro" w:eastAsia="Times New Roman" w:hAnsi="Meta Pro"/>
          <w:szCs w:val="18"/>
          <w:lang w:eastAsia="en-AU"/>
        </w:rPr>
        <w:t>•   Major plant and equipment</w:t>
      </w:r>
      <w:r w:rsidRPr="00092B22">
        <w:rPr>
          <w:rFonts w:ascii="Meta Pro" w:eastAsia="Times New Roman" w:hAnsi="Meta Pro"/>
          <w:szCs w:val="18"/>
          <w:lang w:eastAsia="en-AU"/>
        </w:rPr>
        <w:tab/>
      </w:r>
      <w:r w:rsidRPr="00092B22">
        <w:rPr>
          <w:rFonts w:ascii="Meta Pro" w:eastAsia="Times New Roman" w:hAnsi="Meta Pro"/>
          <w:szCs w:val="18"/>
          <w:lang w:eastAsia="en-AU"/>
        </w:rPr>
        <w:tab/>
        <w:t>$5000</w:t>
      </w:r>
    </w:p>
    <w:p w14:paraId="26DA584C" w14:textId="77777777" w:rsidR="007E0DA4" w:rsidRPr="00092B22" w:rsidRDefault="007E0DA4" w:rsidP="007E0DA4">
      <w:pPr>
        <w:shd w:val="clear" w:color="auto" w:fill="EBEBEB"/>
        <w:spacing w:after="120"/>
        <w:jc w:val="both"/>
        <w:rPr>
          <w:rFonts w:ascii="Meta Pro" w:eastAsia="Times New Roman" w:hAnsi="Meta Pro"/>
          <w:szCs w:val="18"/>
          <w:lang w:eastAsia="en-AU"/>
        </w:rPr>
      </w:pPr>
      <w:r w:rsidRPr="00092B22">
        <w:rPr>
          <w:rFonts w:ascii="Meta Pro" w:eastAsia="Times New Roman" w:hAnsi="Meta Pro"/>
          <w:szCs w:val="18"/>
          <w:lang w:eastAsia="en-AU"/>
        </w:rPr>
        <w:t>•   Infrastructure</w:t>
      </w:r>
      <w:r w:rsidRPr="00092B22">
        <w:rPr>
          <w:rFonts w:ascii="Meta Pro" w:eastAsia="Times New Roman" w:hAnsi="Meta Pro"/>
          <w:szCs w:val="18"/>
          <w:lang w:eastAsia="en-AU"/>
        </w:rPr>
        <w:tab/>
      </w:r>
      <w:r w:rsidRPr="00092B22">
        <w:rPr>
          <w:rFonts w:ascii="Meta Pro" w:eastAsia="Times New Roman" w:hAnsi="Meta Pro"/>
          <w:szCs w:val="18"/>
          <w:lang w:eastAsia="en-AU"/>
        </w:rPr>
        <w:tab/>
      </w:r>
      <w:r w:rsidRPr="00092B22">
        <w:rPr>
          <w:rFonts w:ascii="Meta Pro" w:eastAsia="Times New Roman" w:hAnsi="Meta Pro"/>
          <w:szCs w:val="18"/>
          <w:lang w:eastAsia="en-AU"/>
        </w:rPr>
        <w:tab/>
      </w:r>
      <w:r w:rsidRPr="00092B22">
        <w:rPr>
          <w:rFonts w:ascii="Meta Pro" w:eastAsia="Times New Roman" w:hAnsi="Meta Pro"/>
          <w:szCs w:val="18"/>
          <w:lang w:eastAsia="en-AU"/>
        </w:rPr>
        <w:tab/>
        <w:t>$10,000</w:t>
      </w:r>
    </w:p>
    <w:p w14:paraId="217A1B9A" w14:textId="77777777" w:rsidR="007E0DA4" w:rsidRPr="00092B22" w:rsidRDefault="007E0DA4" w:rsidP="007E0DA4">
      <w:pPr>
        <w:shd w:val="clear" w:color="auto" w:fill="EBEBEB"/>
        <w:jc w:val="both"/>
        <w:rPr>
          <w:rFonts w:ascii="Meta Pro" w:eastAsia="Times New Roman" w:hAnsi="Meta Pro"/>
          <w:color w:val="000000"/>
          <w:szCs w:val="18"/>
          <w:lang w:eastAsia="en-AU"/>
        </w:rPr>
      </w:pPr>
      <w:r w:rsidRPr="00092B22">
        <w:rPr>
          <w:rFonts w:ascii="Meta Pro" w:eastAsia="Times New Roman" w:hAnsi="Meta Pro"/>
          <w:color w:val="000000"/>
          <w:szCs w:val="18"/>
          <w:lang w:eastAsia="en-AU"/>
        </w:rPr>
        <w:t>All other items with a cost less than the above thresholds are expensed.</w:t>
      </w:r>
    </w:p>
    <w:p w14:paraId="5B26B6E3" w14:textId="77777777" w:rsidR="007E0DA4" w:rsidRPr="00092B22" w:rsidRDefault="007E0DA4" w:rsidP="007E0DA4">
      <w:pPr>
        <w:shd w:val="clear" w:color="auto" w:fill="EBEBEB"/>
        <w:spacing w:after="120"/>
        <w:jc w:val="both"/>
        <w:rPr>
          <w:rFonts w:ascii="Meta Pro" w:eastAsia="Times New Roman" w:hAnsi="Meta Pro"/>
          <w:b/>
          <w:bCs/>
          <w:i/>
          <w:iCs/>
          <w:szCs w:val="18"/>
          <w:lang w:eastAsia="en-AU"/>
        </w:rPr>
      </w:pPr>
      <w:r w:rsidRPr="00092B22">
        <w:rPr>
          <w:rFonts w:ascii="Meta Pro" w:eastAsia="Times New Roman" w:hAnsi="Meta Pro"/>
          <w:b/>
          <w:bCs/>
          <w:i/>
          <w:iCs/>
          <w:szCs w:val="18"/>
          <w:lang w:eastAsia="en-AU"/>
        </w:rPr>
        <w:t>Acquisition</w:t>
      </w:r>
    </w:p>
    <w:p w14:paraId="774308E4" w14:textId="77777777" w:rsidR="007E0DA4" w:rsidRPr="00092B22" w:rsidRDefault="007E0DA4" w:rsidP="007E0DA4">
      <w:pPr>
        <w:shd w:val="clear" w:color="auto" w:fill="EBEBEB"/>
        <w:spacing w:after="120"/>
        <w:jc w:val="both"/>
        <w:rPr>
          <w:rFonts w:ascii="Meta Pro" w:eastAsia="Times New Roman" w:hAnsi="Meta Pro"/>
          <w:szCs w:val="18"/>
          <w:lang w:eastAsia="en-AU"/>
        </w:rPr>
      </w:pPr>
      <w:r w:rsidRPr="00092B22">
        <w:rPr>
          <w:rFonts w:ascii="Meta Pro" w:eastAsia="Times New Roman" w:hAnsi="Meta Pro"/>
          <w:szCs w:val="18"/>
          <w:lang w:eastAsia="en-AU"/>
        </w:rPr>
        <w:t>Actual cost is used for the initial recording of all non-current physical asset acquisitions. Cost is determined as the value given as consideration plus costs directly attributable to the acquisition, including all other costs incurred in preparing the assets ready for use.</w:t>
      </w:r>
    </w:p>
    <w:p w14:paraId="61B8F848" w14:textId="77777777" w:rsidR="007E0DA4" w:rsidRPr="00092B22" w:rsidRDefault="007E0DA4" w:rsidP="007E0DA4">
      <w:pPr>
        <w:shd w:val="clear" w:color="auto" w:fill="EBEBEB"/>
        <w:spacing w:after="120"/>
        <w:jc w:val="both"/>
        <w:rPr>
          <w:rFonts w:ascii="Meta Pro" w:eastAsia="Times New Roman" w:hAnsi="Meta Pro"/>
          <w:szCs w:val="18"/>
          <w:lang w:eastAsia="en-AU"/>
        </w:rPr>
      </w:pPr>
      <w:r w:rsidRPr="00092B22">
        <w:rPr>
          <w:rFonts w:ascii="Meta Pro" w:eastAsia="Times New Roman" w:hAnsi="Meta Pro"/>
          <w:szCs w:val="18"/>
          <w:lang w:eastAsia="en-AU"/>
        </w:rPr>
        <w:t>Where assets are received free of charge from another Queensland Government entity as a result of a machinery-of-government or other involuntary transfer, the acquisition cost is recognised as the gross carrying amount in the books of the transferor immediately prior to the transfer, together with any accumulated depreciation.</w:t>
      </w:r>
    </w:p>
    <w:p w14:paraId="1019B9E7" w14:textId="77777777" w:rsidR="007E0DA4" w:rsidRPr="00092B22" w:rsidRDefault="007E0DA4" w:rsidP="007E0DA4">
      <w:pPr>
        <w:shd w:val="clear" w:color="auto" w:fill="EBEBEB"/>
        <w:jc w:val="both"/>
        <w:rPr>
          <w:rFonts w:ascii="Meta Pro" w:eastAsia="Times New Roman" w:hAnsi="Meta Pro"/>
          <w:color w:val="000000"/>
          <w:szCs w:val="18"/>
          <w:lang w:eastAsia="en-AU"/>
        </w:rPr>
      </w:pPr>
      <w:r w:rsidRPr="00092B22">
        <w:rPr>
          <w:rFonts w:ascii="Meta Pro" w:eastAsia="Times New Roman" w:hAnsi="Meta Pro"/>
          <w:color w:val="000000"/>
          <w:szCs w:val="18"/>
          <w:lang w:eastAsia="en-AU"/>
        </w:rPr>
        <w:t>Any expenditure that increases the originally assessed capacity or service potential of an asset is capitalised and the new depreciable amount is depreciated over the remaining useful life of the asset.</w:t>
      </w:r>
    </w:p>
    <w:p w14:paraId="2861D627" w14:textId="77777777" w:rsidR="007E0DA4" w:rsidRPr="00092B22" w:rsidRDefault="007E0DA4" w:rsidP="007E0DA4">
      <w:pPr>
        <w:shd w:val="clear" w:color="auto" w:fill="EBEBEB"/>
        <w:spacing w:after="120"/>
        <w:jc w:val="both"/>
        <w:rPr>
          <w:rFonts w:ascii="Meta Pro" w:eastAsia="Times New Roman" w:hAnsi="Meta Pro"/>
          <w:b/>
          <w:bCs/>
          <w:i/>
          <w:iCs/>
          <w:szCs w:val="18"/>
          <w:lang w:eastAsia="en-AU"/>
        </w:rPr>
      </w:pPr>
      <w:r w:rsidRPr="00092B22">
        <w:rPr>
          <w:rFonts w:ascii="Meta Pro" w:eastAsia="Times New Roman" w:hAnsi="Meta Pro"/>
          <w:b/>
          <w:bCs/>
          <w:i/>
          <w:iCs/>
          <w:szCs w:val="18"/>
          <w:lang w:eastAsia="en-AU"/>
        </w:rPr>
        <w:t>Depreciation</w:t>
      </w:r>
    </w:p>
    <w:p w14:paraId="4C6159E7" w14:textId="77777777" w:rsidR="007E0DA4" w:rsidRPr="00092B22" w:rsidRDefault="007E0DA4" w:rsidP="007E0DA4">
      <w:pPr>
        <w:shd w:val="clear" w:color="auto" w:fill="EBEBEB"/>
        <w:jc w:val="both"/>
        <w:rPr>
          <w:rFonts w:ascii="Meta Pro" w:eastAsia="Times New Roman" w:hAnsi="Meta Pro"/>
          <w:szCs w:val="18"/>
          <w:lang w:eastAsia="en-AU"/>
        </w:rPr>
      </w:pPr>
      <w:r w:rsidRPr="00092B22">
        <w:rPr>
          <w:rFonts w:ascii="Meta Pro" w:eastAsia="Times New Roman" w:hAnsi="Meta Pro"/>
          <w:szCs w:val="18"/>
          <w:lang w:eastAsia="en-AU"/>
        </w:rPr>
        <w:t>For each class of property, plant and equipment other than infrastructure assets, the following depreciation rates are used:</w:t>
      </w:r>
    </w:p>
    <w:p w14:paraId="4DC2D48D" w14:textId="77777777" w:rsidR="007E0DA4" w:rsidRPr="00092B22" w:rsidRDefault="007E0DA4" w:rsidP="007E0DA4">
      <w:pPr>
        <w:shd w:val="clear" w:color="auto" w:fill="EBEBEB"/>
        <w:spacing w:line="168" w:lineRule="auto"/>
        <w:jc w:val="both"/>
        <w:rPr>
          <w:rFonts w:ascii="Meta Pro" w:eastAsia="Times New Roman" w:hAnsi="Meta Pro"/>
          <w:szCs w:val="18"/>
          <w:lang w:eastAsia="en-AU"/>
        </w:rPr>
      </w:pPr>
    </w:p>
    <w:tbl>
      <w:tblPr>
        <w:tblW w:w="9639" w:type="dxa"/>
        <w:tblCellMar>
          <w:left w:w="0" w:type="dxa"/>
        </w:tblCellMar>
        <w:tblLook w:val="04A0" w:firstRow="1" w:lastRow="0" w:firstColumn="1" w:lastColumn="0" w:noHBand="0" w:noVBand="1"/>
      </w:tblPr>
      <w:tblGrid>
        <w:gridCol w:w="3392"/>
        <w:gridCol w:w="4395"/>
        <w:gridCol w:w="1852"/>
      </w:tblGrid>
      <w:tr w:rsidR="007E0DA4" w:rsidRPr="00092B22" w14:paraId="57570575" w14:textId="77777777" w:rsidTr="00E607DA">
        <w:trPr>
          <w:cantSplit/>
          <w:trHeight w:val="23"/>
        </w:trPr>
        <w:tc>
          <w:tcPr>
            <w:tcW w:w="3392" w:type="dxa"/>
            <w:tcBorders>
              <w:top w:val="single" w:sz="8" w:space="0" w:color="auto"/>
              <w:left w:val="single" w:sz="8" w:space="0" w:color="auto"/>
              <w:bottom w:val="single" w:sz="8" w:space="0" w:color="auto"/>
              <w:right w:val="single" w:sz="8" w:space="0" w:color="000000"/>
            </w:tcBorders>
            <w:shd w:val="clear" w:color="000000" w:fill="E1E1E1"/>
            <w:noWrap/>
            <w:vAlign w:val="center"/>
            <w:hideMark/>
          </w:tcPr>
          <w:p w14:paraId="4660F2B3" w14:textId="77777777" w:rsidR="007E0DA4" w:rsidRPr="00092B22" w:rsidRDefault="007E0DA4" w:rsidP="00E607DA">
            <w:pPr>
              <w:shd w:val="clear" w:color="auto" w:fill="EBEBEB"/>
              <w:jc w:val="center"/>
              <w:rPr>
                <w:rFonts w:ascii="Meta Pro" w:eastAsia="Times New Roman" w:hAnsi="Meta Pro" w:cs="Calibri"/>
                <w:b/>
                <w:bCs/>
                <w:color w:val="000000"/>
                <w:szCs w:val="18"/>
                <w:lang w:eastAsia="en-AU"/>
              </w:rPr>
            </w:pPr>
            <w:bookmarkStart w:id="23" w:name="_Hlk72142911" w:colFirst="1" w:colLast="2"/>
            <w:r w:rsidRPr="00092B22">
              <w:rPr>
                <w:rFonts w:ascii="Meta Pro" w:eastAsia="Times New Roman" w:hAnsi="Meta Pro" w:cs="Calibri"/>
                <w:b/>
                <w:bCs/>
                <w:color w:val="000000"/>
                <w:szCs w:val="18"/>
                <w:lang w:eastAsia="en-AU"/>
              </w:rPr>
              <w:t>Class</w:t>
            </w:r>
          </w:p>
        </w:tc>
        <w:tc>
          <w:tcPr>
            <w:tcW w:w="4395" w:type="dxa"/>
            <w:tcBorders>
              <w:top w:val="single" w:sz="8" w:space="0" w:color="auto"/>
              <w:left w:val="nil"/>
              <w:bottom w:val="single" w:sz="8" w:space="0" w:color="auto"/>
              <w:right w:val="single" w:sz="8" w:space="0" w:color="000000"/>
            </w:tcBorders>
            <w:shd w:val="clear" w:color="000000" w:fill="E1E1E1"/>
            <w:noWrap/>
            <w:vAlign w:val="center"/>
            <w:hideMark/>
          </w:tcPr>
          <w:p w14:paraId="104B8FD4" w14:textId="77777777" w:rsidR="007E0DA4" w:rsidRPr="00092B22" w:rsidRDefault="007E0DA4" w:rsidP="00E607DA">
            <w:pPr>
              <w:shd w:val="clear" w:color="auto" w:fill="EBEBEB"/>
              <w:jc w:val="center"/>
              <w:rPr>
                <w:rFonts w:ascii="Meta Pro" w:eastAsia="Times New Roman" w:hAnsi="Meta Pro" w:cs="Calibri"/>
                <w:b/>
                <w:bCs/>
                <w:color w:val="000000"/>
                <w:szCs w:val="18"/>
                <w:lang w:eastAsia="en-AU"/>
              </w:rPr>
            </w:pPr>
            <w:r w:rsidRPr="00092B22">
              <w:rPr>
                <w:rFonts w:ascii="Meta Pro" w:eastAsia="Times New Roman" w:hAnsi="Meta Pro" w:cs="Calibri"/>
                <w:b/>
                <w:bCs/>
                <w:color w:val="000000"/>
                <w:szCs w:val="18"/>
                <w:lang w:eastAsia="en-AU"/>
              </w:rPr>
              <w:t>Depreciation method</w:t>
            </w:r>
          </w:p>
        </w:tc>
        <w:tc>
          <w:tcPr>
            <w:tcW w:w="1852" w:type="dxa"/>
            <w:tcBorders>
              <w:top w:val="single" w:sz="8" w:space="0" w:color="auto"/>
              <w:left w:val="nil"/>
              <w:bottom w:val="single" w:sz="8" w:space="0" w:color="auto"/>
              <w:right w:val="single" w:sz="8" w:space="0" w:color="000000"/>
            </w:tcBorders>
            <w:shd w:val="clear" w:color="000000" w:fill="E1E1E1"/>
            <w:vAlign w:val="center"/>
            <w:hideMark/>
          </w:tcPr>
          <w:p w14:paraId="3DD9607A" w14:textId="77777777" w:rsidR="007E0DA4" w:rsidRPr="00092B22" w:rsidRDefault="007E0DA4" w:rsidP="00E607DA">
            <w:pPr>
              <w:shd w:val="clear" w:color="auto" w:fill="EBEBEB"/>
              <w:jc w:val="center"/>
              <w:rPr>
                <w:rFonts w:ascii="Meta Pro" w:eastAsia="Times New Roman" w:hAnsi="Meta Pro" w:cs="Calibri"/>
                <w:b/>
                <w:bCs/>
                <w:color w:val="000000"/>
                <w:szCs w:val="18"/>
                <w:lang w:eastAsia="en-AU"/>
              </w:rPr>
            </w:pPr>
            <w:r w:rsidRPr="00092B22">
              <w:rPr>
                <w:rFonts w:ascii="Meta Pro" w:eastAsia="Times New Roman" w:hAnsi="Meta Pro" w:cs="Calibri"/>
                <w:b/>
                <w:bCs/>
                <w:color w:val="000000"/>
                <w:szCs w:val="18"/>
                <w:lang w:eastAsia="en-AU"/>
              </w:rPr>
              <w:t>Average useful life</w:t>
            </w:r>
          </w:p>
        </w:tc>
      </w:tr>
      <w:tr w:rsidR="007E0DA4" w:rsidRPr="00092B22" w14:paraId="45809568" w14:textId="77777777" w:rsidTr="00E607DA">
        <w:trPr>
          <w:cantSplit/>
          <w:trHeight w:val="23"/>
        </w:trPr>
        <w:tc>
          <w:tcPr>
            <w:tcW w:w="3392" w:type="dxa"/>
            <w:tcBorders>
              <w:top w:val="nil"/>
              <w:left w:val="single" w:sz="8" w:space="0" w:color="auto"/>
              <w:bottom w:val="single" w:sz="8" w:space="0" w:color="auto"/>
              <w:right w:val="single" w:sz="8" w:space="0" w:color="000000"/>
            </w:tcBorders>
            <w:shd w:val="clear" w:color="000000" w:fill="E1E1E1"/>
            <w:noWrap/>
            <w:vAlign w:val="center"/>
            <w:hideMark/>
          </w:tcPr>
          <w:p w14:paraId="40792AE0" w14:textId="77777777" w:rsidR="007E0DA4" w:rsidRPr="00092B22" w:rsidRDefault="007E0DA4" w:rsidP="00E607DA">
            <w:pPr>
              <w:shd w:val="clear" w:color="auto" w:fill="EBEBEB"/>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Land</w:t>
            </w:r>
          </w:p>
        </w:tc>
        <w:tc>
          <w:tcPr>
            <w:tcW w:w="4395" w:type="dxa"/>
            <w:tcBorders>
              <w:top w:val="nil"/>
              <w:left w:val="nil"/>
              <w:bottom w:val="single" w:sz="8" w:space="0" w:color="auto"/>
              <w:right w:val="single" w:sz="8" w:space="0" w:color="000000"/>
            </w:tcBorders>
            <w:shd w:val="clear" w:color="000000" w:fill="E1E1E1"/>
            <w:noWrap/>
            <w:vAlign w:val="center"/>
            <w:hideMark/>
          </w:tcPr>
          <w:p w14:paraId="036EB742" w14:textId="77777777" w:rsidR="007E0DA4" w:rsidRPr="00092B22" w:rsidRDefault="007E0DA4"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Not depreciated</w:t>
            </w:r>
          </w:p>
        </w:tc>
        <w:tc>
          <w:tcPr>
            <w:tcW w:w="1852" w:type="dxa"/>
            <w:tcBorders>
              <w:top w:val="nil"/>
              <w:left w:val="nil"/>
              <w:bottom w:val="single" w:sz="8" w:space="0" w:color="auto"/>
              <w:right w:val="single" w:sz="8" w:space="0" w:color="000000"/>
            </w:tcBorders>
            <w:shd w:val="clear" w:color="000000" w:fill="E1E1E1"/>
            <w:vAlign w:val="center"/>
            <w:hideMark/>
          </w:tcPr>
          <w:p w14:paraId="49791753" w14:textId="77777777" w:rsidR="007E0DA4" w:rsidRPr="00092B22" w:rsidRDefault="007E0DA4"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Indefinite life</w:t>
            </w:r>
          </w:p>
        </w:tc>
      </w:tr>
      <w:tr w:rsidR="007E0DA4" w:rsidRPr="00092B22" w14:paraId="2CD11730" w14:textId="77777777" w:rsidTr="00E607DA">
        <w:trPr>
          <w:cantSplit/>
          <w:trHeight w:val="23"/>
        </w:trPr>
        <w:tc>
          <w:tcPr>
            <w:tcW w:w="3392" w:type="dxa"/>
            <w:tcBorders>
              <w:top w:val="nil"/>
              <w:left w:val="single" w:sz="8" w:space="0" w:color="auto"/>
              <w:bottom w:val="single" w:sz="8" w:space="0" w:color="auto"/>
              <w:right w:val="single" w:sz="8" w:space="0" w:color="000000"/>
            </w:tcBorders>
            <w:shd w:val="clear" w:color="000000" w:fill="E1E1E1"/>
            <w:noWrap/>
            <w:vAlign w:val="center"/>
            <w:hideMark/>
          </w:tcPr>
          <w:p w14:paraId="70F090D8" w14:textId="77777777" w:rsidR="007E0DA4" w:rsidRPr="00092B22" w:rsidRDefault="007E0DA4" w:rsidP="00E607DA">
            <w:pPr>
              <w:shd w:val="clear" w:color="auto" w:fill="EBEBEB"/>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Buildings</w:t>
            </w:r>
          </w:p>
        </w:tc>
        <w:tc>
          <w:tcPr>
            <w:tcW w:w="4395" w:type="dxa"/>
            <w:tcBorders>
              <w:top w:val="nil"/>
              <w:left w:val="nil"/>
              <w:bottom w:val="single" w:sz="8" w:space="0" w:color="auto"/>
              <w:right w:val="single" w:sz="8" w:space="0" w:color="000000"/>
            </w:tcBorders>
            <w:shd w:val="clear" w:color="000000" w:fill="E1E1E1"/>
            <w:noWrap/>
            <w:vAlign w:val="center"/>
            <w:hideMark/>
          </w:tcPr>
          <w:p w14:paraId="57F1950B" w14:textId="77777777" w:rsidR="007E0DA4" w:rsidRPr="00092B22" w:rsidRDefault="007E0DA4"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Straight-line</w:t>
            </w:r>
          </w:p>
        </w:tc>
        <w:tc>
          <w:tcPr>
            <w:tcW w:w="1852" w:type="dxa"/>
            <w:tcBorders>
              <w:top w:val="nil"/>
              <w:left w:val="nil"/>
              <w:bottom w:val="single" w:sz="8" w:space="0" w:color="auto"/>
              <w:right w:val="single" w:sz="8" w:space="0" w:color="000000"/>
            </w:tcBorders>
            <w:shd w:val="clear" w:color="000000" w:fill="E1E1E1"/>
            <w:vAlign w:val="center"/>
            <w:hideMark/>
          </w:tcPr>
          <w:p w14:paraId="69EFBA75" w14:textId="77777777" w:rsidR="007E0DA4" w:rsidRPr="00092B22" w:rsidRDefault="007E0DA4"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37</w:t>
            </w:r>
          </w:p>
        </w:tc>
      </w:tr>
      <w:tr w:rsidR="007E0DA4" w:rsidRPr="00092B22" w14:paraId="4A6824DE" w14:textId="77777777" w:rsidTr="00E607DA">
        <w:trPr>
          <w:cantSplit/>
          <w:trHeight w:val="23"/>
        </w:trPr>
        <w:tc>
          <w:tcPr>
            <w:tcW w:w="3392" w:type="dxa"/>
            <w:tcBorders>
              <w:top w:val="nil"/>
              <w:left w:val="single" w:sz="8" w:space="0" w:color="auto"/>
              <w:bottom w:val="single" w:sz="8" w:space="0" w:color="auto"/>
              <w:right w:val="single" w:sz="8" w:space="0" w:color="000000"/>
            </w:tcBorders>
            <w:shd w:val="clear" w:color="000000" w:fill="E1E1E1"/>
            <w:noWrap/>
            <w:vAlign w:val="center"/>
            <w:hideMark/>
          </w:tcPr>
          <w:p w14:paraId="6C734980" w14:textId="77777777" w:rsidR="007E0DA4" w:rsidRPr="00092B22" w:rsidRDefault="007E0DA4" w:rsidP="00E607DA">
            <w:pPr>
              <w:shd w:val="clear" w:color="auto" w:fill="EBEBEB"/>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Plant and equipment</w:t>
            </w:r>
          </w:p>
        </w:tc>
        <w:tc>
          <w:tcPr>
            <w:tcW w:w="4395" w:type="dxa"/>
            <w:tcBorders>
              <w:top w:val="nil"/>
              <w:left w:val="nil"/>
              <w:bottom w:val="single" w:sz="8" w:space="0" w:color="auto"/>
              <w:right w:val="single" w:sz="8" w:space="0" w:color="000000"/>
            </w:tcBorders>
            <w:shd w:val="clear" w:color="000000" w:fill="E1E1E1"/>
            <w:vAlign w:val="center"/>
            <w:hideMark/>
          </w:tcPr>
          <w:p w14:paraId="1DD7B521" w14:textId="77777777" w:rsidR="007E0DA4" w:rsidRPr="00092B22" w:rsidRDefault="007E0DA4"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Straight-line</w:t>
            </w:r>
          </w:p>
        </w:tc>
        <w:tc>
          <w:tcPr>
            <w:tcW w:w="1852" w:type="dxa"/>
            <w:tcBorders>
              <w:top w:val="nil"/>
              <w:left w:val="nil"/>
              <w:bottom w:val="single" w:sz="8" w:space="0" w:color="auto"/>
              <w:right w:val="single" w:sz="8" w:space="0" w:color="000000"/>
            </w:tcBorders>
            <w:shd w:val="clear" w:color="000000" w:fill="E1E1E1"/>
            <w:vAlign w:val="center"/>
            <w:hideMark/>
          </w:tcPr>
          <w:p w14:paraId="774C6FC1" w14:textId="77777777" w:rsidR="007E0DA4" w:rsidRPr="00092B22" w:rsidRDefault="007E0DA4"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10</w:t>
            </w:r>
          </w:p>
        </w:tc>
      </w:tr>
      <w:tr w:rsidR="007E0DA4" w:rsidRPr="00092B22" w14:paraId="5E593E0D" w14:textId="77777777" w:rsidTr="00E607DA">
        <w:trPr>
          <w:cantSplit/>
          <w:trHeight w:val="23"/>
        </w:trPr>
        <w:tc>
          <w:tcPr>
            <w:tcW w:w="3392" w:type="dxa"/>
            <w:tcBorders>
              <w:top w:val="nil"/>
              <w:left w:val="single" w:sz="8" w:space="0" w:color="auto"/>
              <w:bottom w:val="single" w:sz="8" w:space="0" w:color="auto"/>
              <w:right w:val="single" w:sz="8" w:space="0" w:color="000000"/>
            </w:tcBorders>
            <w:shd w:val="clear" w:color="000000" w:fill="E1E1E1"/>
            <w:noWrap/>
            <w:vAlign w:val="center"/>
            <w:hideMark/>
          </w:tcPr>
          <w:p w14:paraId="185B25E7" w14:textId="77777777" w:rsidR="007E0DA4" w:rsidRPr="00092B22" w:rsidRDefault="007E0DA4" w:rsidP="00E607DA">
            <w:pPr>
              <w:shd w:val="clear" w:color="auto" w:fill="EBEBEB"/>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Major plant and equipment</w:t>
            </w:r>
          </w:p>
        </w:tc>
        <w:tc>
          <w:tcPr>
            <w:tcW w:w="4395" w:type="dxa"/>
            <w:tcBorders>
              <w:top w:val="nil"/>
              <w:left w:val="nil"/>
              <w:bottom w:val="single" w:sz="8" w:space="0" w:color="auto"/>
              <w:right w:val="single" w:sz="8" w:space="0" w:color="000000"/>
            </w:tcBorders>
            <w:shd w:val="clear" w:color="000000" w:fill="E1E1E1"/>
            <w:vAlign w:val="center"/>
            <w:hideMark/>
          </w:tcPr>
          <w:p w14:paraId="7BC9CCCE" w14:textId="77777777" w:rsidR="007E0DA4" w:rsidRPr="00092B22" w:rsidRDefault="007E0DA4"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Straight-line</w:t>
            </w:r>
          </w:p>
        </w:tc>
        <w:tc>
          <w:tcPr>
            <w:tcW w:w="1852" w:type="dxa"/>
            <w:tcBorders>
              <w:top w:val="nil"/>
              <w:left w:val="nil"/>
              <w:bottom w:val="single" w:sz="8" w:space="0" w:color="auto"/>
              <w:right w:val="single" w:sz="8" w:space="0" w:color="000000"/>
            </w:tcBorders>
            <w:shd w:val="clear" w:color="000000" w:fill="E1E1E1"/>
            <w:vAlign w:val="center"/>
            <w:hideMark/>
          </w:tcPr>
          <w:p w14:paraId="07C2FC64" w14:textId="77777777" w:rsidR="007E0DA4" w:rsidRPr="00092B22" w:rsidRDefault="007E0DA4"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30</w:t>
            </w:r>
          </w:p>
        </w:tc>
      </w:tr>
      <w:tr w:rsidR="007E0DA4" w:rsidRPr="00092B22" w14:paraId="05D740F4" w14:textId="77777777" w:rsidTr="00E607DA">
        <w:trPr>
          <w:cantSplit/>
          <w:trHeight w:val="23"/>
        </w:trPr>
        <w:tc>
          <w:tcPr>
            <w:tcW w:w="3392" w:type="dxa"/>
            <w:tcBorders>
              <w:top w:val="nil"/>
              <w:left w:val="single" w:sz="8" w:space="0" w:color="auto"/>
              <w:bottom w:val="single" w:sz="8" w:space="0" w:color="auto"/>
              <w:right w:val="single" w:sz="8" w:space="0" w:color="000000"/>
            </w:tcBorders>
            <w:shd w:val="clear" w:color="000000" w:fill="E1E1E1"/>
            <w:noWrap/>
            <w:vAlign w:val="center"/>
            <w:hideMark/>
          </w:tcPr>
          <w:p w14:paraId="20AE5BA1" w14:textId="77777777" w:rsidR="007E0DA4" w:rsidRPr="00092B22" w:rsidRDefault="007E0DA4" w:rsidP="00E607DA">
            <w:pPr>
              <w:shd w:val="clear" w:color="auto" w:fill="EBEBEB"/>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Work in progress</w:t>
            </w:r>
          </w:p>
        </w:tc>
        <w:tc>
          <w:tcPr>
            <w:tcW w:w="4395" w:type="dxa"/>
            <w:tcBorders>
              <w:top w:val="nil"/>
              <w:left w:val="nil"/>
              <w:bottom w:val="single" w:sz="8" w:space="0" w:color="auto"/>
              <w:right w:val="single" w:sz="8" w:space="0" w:color="000000"/>
            </w:tcBorders>
            <w:shd w:val="clear" w:color="000000" w:fill="E1E1E1"/>
            <w:vAlign w:val="center"/>
            <w:hideMark/>
          </w:tcPr>
          <w:p w14:paraId="5BFE0056" w14:textId="77777777" w:rsidR="007E0DA4" w:rsidRPr="00092B22" w:rsidRDefault="007E0DA4"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Not depreciated</w:t>
            </w:r>
          </w:p>
        </w:tc>
        <w:tc>
          <w:tcPr>
            <w:tcW w:w="1852" w:type="dxa"/>
            <w:tcBorders>
              <w:top w:val="nil"/>
              <w:left w:val="nil"/>
              <w:bottom w:val="single" w:sz="8" w:space="0" w:color="auto"/>
              <w:right w:val="single" w:sz="8" w:space="0" w:color="000000"/>
            </w:tcBorders>
            <w:shd w:val="clear" w:color="000000" w:fill="E1E1E1"/>
            <w:vAlign w:val="center"/>
            <w:hideMark/>
          </w:tcPr>
          <w:p w14:paraId="3A5FBCB5" w14:textId="77777777" w:rsidR="007E0DA4" w:rsidRPr="00092B22" w:rsidRDefault="007E0DA4"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w:t>
            </w:r>
          </w:p>
        </w:tc>
      </w:tr>
      <w:bookmarkEnd w:id="23"/>
    </w:tbl>
    <w:p w14:paraId="2DE371E9" w14:textId="77777777" w:rsidR="007E0DA4" w:rsidRPr="00092B22" w:rsidRDefault="007E0DA4" w:rsidP="007E0DA4">
      <w:pPr>
        <w:shd w:val="clear" w:color="auto" w:fill="EBEBEB"/>
        <w:jc w:val="both"/>
        <w:rPr>
          <w:rFonts w:ascii="Meta Pro" w:eastAsia="Times New Roman" w:hAnsi="Meta Pro"/>
          <w:color w:val="000000"/>
          <w:szCs w:val="18"/>
          <w:lang w:eastAsia="en-AU"/>
        </w:rPr>
      </w:pPr>
    </w:p>
    <w:p w14:paraId="0995C400" w14:textId="77777777" w:rsidR="007E0DA4" w:rsidRPr="00092B22" w:rsidRDefault="007E0DA4" w:rsidP="007E0DA4">
      <w:pPr>
        <w:shd w:val="clear" w:color="auto" w:fill="EBEBEB"/>
        <w:spacing w:after="120"/>
        <w:jc w:val="both"/>
        <w:rPr>
          <w:rFonts w:ascii="Meta Pro" w:eastAsia="Times New Roman" w:hAnsi="Meta Pro"/>
          <w:szCs w:val="18"/>
          <w:lang w:eastAsia="en-AU"/>
        </w:rPr>
      </w:pPr>
      <w:r w:rsidRPr="00092B22">
        <w:rPr>
          <w:rFonts w:ascii="Meta Pro" w:eastAsia="Times New Roman" w:hAnsi="Meta Pro"/>
          <w:szCs w:val="18"/>
          <w:lang w:eastAsia="en-AU"/>
        </w:rPr>
        <w:t>Complex assets consist of significant separately identifiable components with different service lives, which are subject to regular replacement during the life of the complex asset. When the change in depreciation expense from separately identifying significant components is material to the class to which the assets relate, the significant components are separately identified and depreciated. The department's road infrastructure has a componentised structure as shown below.</w:t>
      </w:r>
    </w:p>
    <w:p w14:paraId="518CEAFF" w14:textId="77777777" w:rsidR="007E0DA4" w:rsidRPr="00092B22" w:rsidRDefault="007E0DA4" w:rsidP="007E0DA4">
      <w:pPr>
        <w:shd w:val="clear" w:color="auto" w:fill="EBEBEB"/>
        <w:jc w:val="both"/>
        <w:rPr>
          <w:rFonts w:ascii="Meta Pro" w:eastAsia="Times New Roman" w:hAnsi="Meta Pro"/>
          <w:color w:val="000000"/>
          <w:szCs w:val="18"/>
          <w:lang w:eastAsia="en-AU"/>
        </w:rPr>
      </w:pPr>
      <w:r w:rsidRPr="00092B22">
        <w:rPr>
          <w:rFonts w:ascii="Meta Pro" w:eastAsia="Times New Roman" w:hAnsi="Meta Pro"/>
          <w:color w:val="000000"/>
          <w:szCs w:val="18"/>
          <w:lang w:eastAsia="en-AU"/>
        </w:rPr>
        <w:t>The following depreciation rates are used for infrastructure sub-components:</w:t>
      </w:r>
    </w:p>
    <w:p w14:paraId="26201EEA" w14:textId="77777777" w:rsidR="007E0DA4" w:rsidRPr="00092B22" w:rsidRDefault="007E0DA4" w:rsidP="007E0DA4">
      <w:pPr>
        <w:shd w:val="clear" w:color="auto" w:fill="EBEBEB"/>
        <w:spacing w:line="168" w:lineRule="auto"/>
        <w:jc w:val="both"/>
        <w:rPr>
          <w:rFonts w:ascii="Meta Pro" w:eastAsia="Times New Roman" w:hAnsi="Meta Pro"/>
          <w:color w:val="000000"/>
          <w:szCs w:val="18"/>
          <w:lang w:eastAsia="en-AU"/>
        </w:rPr>
      </w:pPr>
    </w:p>
    <w:tbl>
      <w:tblPr>
        <w:tblW w:w="9640" w:type="dxa"/>
        <w:shd w:val="clear" w:color="auto" w:fill="EBEBEB"/>
        <w:tblCellMar>
          <w:left w:w="0" w:type="dxa"/>
        </w:tblCellMar>
        <w:tblLook w:val="04A0" w:firstRow="1" w:lastRow="0" w:firstColumn="1" w:lastColumn="0" w:noHBand="0" w:noVBand="1"/>
      </w:tblPr>
      <w:tblGrid>
        <w:gridCol w:w="3371"/>
        <w:gridCol w:w="2289"/>
        <w:gridCol w:w="2127"/>
        <w:gridCol w:w="1853"/>
      </w:tblGrid>
      <w:tr w:rsidR="007E0DA4" w:rsidRPr="00092B22" w14:paraId="31DA0A6C" w14:textId="77777777" w:rsidTr="00E607DA">
        <w:trPr>
          <w:cantSplit/>
          <w:trHeight w:val="23"/>
        </w:trPr>
        <w:tc>
          <w:tcPr>
            <w:tcW w:w="3371" w:type="dxa"/>
            <w:tcBorders>
              <w:top w:val="single" w:sz="8" w:space="0" w:color="auto"/>
              <w:left w:val="single" w:sz="8" w:space="0" w:color="auto"/>
              <w:bottom w:val="single" w:sz="8" w:space="0" w:color="auto"/>
              <w:right w:val="single" w:sz="8" w:space="0" w:color="000000"/>
            </w:tcBorders>
            <w:shd w:val="clear" w:color="auto" w:fill="EBEBEB"/>
            <w:noWrap/>
            <w:vAlign w:val="center"/>
            <w:hideMark/>
          </w:tcPr>
          <w:p w14:paraId="394ECE86" w14:textId="77777777" w:rsidR="007E0DA4" w:rsidRPr="00092B22" w:rsidRDefault="007E0DA4" w:rsidP="00E607DA">
            <w:pPr>
              <w:shd w:val="clear" w:color="auto" w:fill="EBEBEB"/>
              <w:jc w:val="center"/>
              <w:rPr>
                <w:rFonts w:ascii="Meta Pro" w:eastAsia="Times New Roman" w:hAnsi="Meta Pro" w:cs="Calibri"/>
                <w:b/>
                <w:bCs/>
                <w:color w:val="000000"/>
                <w:szCs w:val="18"/>
                <w:lang w:eastAsia="en-AU"/>
              </w:rPr>
            </w:pPr>
            <w:bookmarkStart w:id="24" w:name="RANGE!A1"/>
            <w:r w:rsidRPr="00092B22">
              <w:rPr>
                <w:rFonts w:ascii="Meta Pro" w:eastAsia="Times New Roman" w:hAnsi="Meta Pro" w:cs="Calibri"/>
                <w:b/>
                <w:bCs/>
                <w:color w:val="000000"/>
                <w:szCs w:val="18"/>
                <w:lang w:eastAsia="en-AU"/>
              </w:rPr>
              <w:t>Component</w:t>
            </w:r>
            <w:bookmarkEnd w:id="24"/>
          </w:p>
        </w:tc>
        <w:tc>
          <w:tcPr>
            <w:tcW w:w="2289" w:type="dxa"/>
            <w:tcBorders>
              <w:top w:val="single" w:sz="8" w:space="0" w:color="auto"/>
              <w:left w:val="nil"/>
              <w:bottom w:val="single" w:sz="8" w:space="0" w:color="auto"/>
              <w:right w:val="single" w:sz="8" w:space="0" w:color="000000"/>
            </w:tcBorders>
            <w:shd w:val="clear" w:color="auto" w:fill="EBEBEB"/>
            <w:noWrap/>
            <w:vAlign w:val="center"/>
            <w:hideMark/>
          </w:tcPr>
          <w:p w14:paraId="1F55CA84" w14:textId="77777777" w:rsidR="007E0DA4" w:rsidRPr="00092B22" w:rsidRDefault="007E0DA4" w:rsidP="00E607DA">
            <w:pPr>
              <w:shd w:val="clear" w:color="auto" w:fill="EBEBEB"/>
              <w:jc w:val="center"/>
              <w:rPr>
                <w:rFonts w:ascii="Meta Pro" w:eastAsia="Times New Roman" w:hAnsi="Meta Pro" w:cs="Calibri"/>
                <w:b/>
                <w:bCs/>
                <w:color w:val="000000"/>
                <w:szCs w:val="18"/>
                <w:lang w:eastAsia="en-AU"/>
              </w:rPr>
            </w:pPr>
            <w:r w:rsidRPr="00092B22">
              <w:rPr>
                <w:rFonts w:ascii="Meta Pro" w:eastAsia="Times New Roman" w:hAnsi="Meta Pro" w:cs="Calibri"/>
                <w:b/>
                <w:bCs/>
                <w:color w:val="000000"/>
                <w:szCs w:val="18"/>
                <w:lang w:eastAsia="en-AU"/>
              </w:rPr>
              <w:t>Sub-component</w:t>
            </w:r>
          </w:p>
        </w:tc>
        <w:tc>
          <w:tcPr>
            <w:tcW w:w="2127" w:type="dxa"/>
            <w:tcBorders>
              <w:top w:val="single" w:sz="8" w:space="0" w:color="auto"/>
              <w:left w:val="nil"/>
              <w:bottom w:val="single" w:sz="8" w:space="0" w:color="auto"/>
              <w:right w:val="single" w:sz="8" w:space="0" w:color="000000"/>
            </w:tcBorders>
            <w:shd w:val="clear" w:color="auto" w:fill="EBEBEB"/>
            <w:noWrap/>
            <w:vAlign w:val="center"/>
            <w:hideMark/>
          </w:tcPr>
          <w:p w14:paraId="3946E9A5" w14:textId="77777777" w:rsidR="007E0DA4" w:rsidRPr="00092B22" w:rsidRDefault="007E0DA4" w:rsidP="00E607DA">
            <w:pPr>
              <w:shd w:val="clear" w:color="auto" w:fill="EBEBEB"/>
              <w:jc w:val="center"/>
              <w:rPr>
                <w:rFonts w:ascii="Meta Pro" w:eastAsia="Times New Roman" w:hAnsi="Meta Pro" w:cs="Calibri"/>
                <w:b/>
                <w:bCs/>
                <w:color w:val="000000"/>
                <w:szCs w:val="18"/>
                <w:lang w:eastAsia="en-AU"/>
              </w:rPr>
            </w:pPr>
            <w:r w:rsidRPr="00092B22">
              <w:rPr>
                <w:rFonts w:ascii="Meta Pro" w:eastAsia="Times New Roman" w:hAnsi="Meta Pro" w:cs="Calibri"/>
                <w:b/>
                <w:bCs/>
                <w:color w:val="000000"/>
                <w:szCs w:val="18"/>
                <w:lang w:eastAsia="en-AU"/>
              </w:rPr>
              <w:t>Depreciation method</w:t>
            </w:r>
          </w:p>
        </w:tc>
        <w:tc>
          <w:tcPr>
            <w:tcW w:w="1853" w:type="dxa"/>
            <w:tcBorders>
              <w:top w:val="single" w:sz="8" w:space="0" w:color="auto"/>
              <w:left w:val="nil"/>
              <w:bottom w:val="single" w:sz="8" w:space="0" w:color="auto"/>
              <w:right w:val="single" w:sz="8" w:space="0" w:color="000000"/>
            </w:tcBorders>
            <w:shd w:val="clear" w:color="auto" w:fill="EBEBEB"/>
            <w:vAlign w:val="center"/>
            <w:hideMark/>
          </w:tcPr>
          <w:p w14:paraId="707E218D" w14:textId="77777777" w:rsidR="007E0DA4" w:rsidRPr="00092B22" w:rsidRDefault="007E0DA4" w:rsidP="00E607DA">
            <w:pPr>
              <w:shd w:val="clear" w:color="auto" w:fill="EBEBEB"/>
              <w:jc w:val="center"/>
              <w:rPr>
                <w:rFonts w:ascii="Meta Pro" w:eastAsia="Times New Roman" w:hAnsi="Meta Pro" w:cs="Calibri"/>
                <w:b/>
                <w:bCs/>
                <w:color w:val="000000"/>
                <w:szCs w:val="18"/>
                <w:lang w:eastAsia="en-AU"/>
              </w:rPr>
            </w:pPr>
            <w:r w:rsidRPr="00092B22">
              <w:rPr>
                <w:rFonts w:ascii="Meta Pro" w:eastAsia="Times New Roman" w:hAnsi="Meta Pro" w:cs="Calibri"/>
                <w:b/>
                <w:bCs/>
                <w:color w:val="000000"/>
                <w:szCs w:val="18"/>
                <w:lang w:eastAsia="en-AU"/>
              </w:rPr>
              <w:t>Average useful life</w:t>
            </w:r>
          </w:p>
        </w:tc>
      </w:tr>
      <w:tr w:rsidR="007E0DA4" w:rsidRPr="00092B22" w14:paraId="0B1063E6" w14:textId="77777777" w:rsidTr="00E607DA">
        <w:trPr>
          <w:cantSplit/>
          <w:trHeight w:val="23"/>
        </w:trPr>
        <w:tc>
          <w:tcPr>
            <w:tcW w:w="3371" w:type="dxa"/>
            <w:vMerge w:val="restart"/>
            <w:tcBorders>
              <w:top w:val="nil"/>
              <w:left w:val="single" w:sz="8" w:space="0" w:color="auto"/>
              <w:bottom w:val="single" w:sz="8" w:space="0" w:color="000000"/>
              <w:right w:val="single" w:sz="8" w:space="0" w:color="000000"/>
            </w:tcBorders>
            <w:shd w:val="clear" w:color="auto" w:fill="EBEBEB"/>
            <w:noWrap/>
            <w:hideMark/>
          </w:tcPr>
          <w:p w14:paraId="14CE8FCD" w14:textId="77777777" w:rsidR="007E0DA4" w:rsidRPr="00092B22" w:rsidRDefault="007E0DA4" w:rsidP="00E607DA">
            <w:pPr>
              <w:shd w:val="clear" w:color="auto" w:fill="EBEBEB"/>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Roads</w:t>
            </w:r>
          </w:p>
        </w:tc>
        <w:tc>
          <w:tcPr>
            <w:tcW w:w="2289" w:type="dxa"/>
            <w:tcBorders>
              <w:top w:val="nil"/>
              <w:left w:val="nil"/>
              <w:bottom w:val="single" w:sz="8" w:space="0" w:color="auto"/>
              <w:right w:val="single" w:sz="8" w:space="0" w:color="000000"/>
            </w:tcBorders>
            <w:shd w:val="clear" w:color="auto" w:fill="EBEBEB"/>
            <w:noWrap/>
            <w:vAlign w:val="center"/>
            <w:hideMark/>
          </w:tcPr>
          <w:p w14:paraId="536F78A6" w14:textId="77777777" w:rsidR="007E0DA4" w:rsidRPr="00092B22" w:rsidRDefault="007E0DA4"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Surfaces</w:t>
            </w:r>
          </w:p>
        </w:tc>
        <w:tc>
          <w:tcPr>
            <w:tcW w:w="2127" w:type="dxa"/>
            <w:tcBorders>
              <w:top w:val="nil"/>
              <w:left w:val="nil"/>
              <w:bottom w:val="single" w:sz="8" w:space="0" w:color="auto"/>
              <w:right w:val="single" w:sz="8" w:space="0" w:color="000000"/>
            </w:tcBorders>
            <w:shd w:val="clear" w:color="auto" w:fill="EBEBEB"/>
            <w:noWrap/>
            <w:vAlign w:val="center"/>
            <w:hideMark/>
          </w:tcPr>
          <w:p w14:paraId="76745596" w14:textId="77777777" w:rsidR="007E0DA4" w:rsidRPr="00092B22" w:rsidRDefault="007E0DA4"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Straight-line</w:t>
            </w:r>
          </w:p>
        </w:tc>
        <w:tc>
          <w:tcPr>
            <w:tcW w:w="1853" w:type="dxa"/>
            <w:tcBorders>
              <w:top w:val="nil"/>
              <w:left w:val="nil"/>
              <w:bottom w:val="single" w:sz="8" w:space="0" w:color="auto"/>
              <w:right w:val="single" w:sz="8" w:space="0" w:color="000000"/>
            </w:tcBorders>
            <w:shd w:val="clear" w:color="auto" w:fill="EBEBEB"/>
            <w:vAlign w:val="center"/>
            <w:hideMark/>
          </w:tcPr>
          <w:p w14:paraId="6804612A" w14:textId="77777777" w:rsidR="007E0DA4" w:rsidRPr="00092B22" w:rsidRDefault="007E0DA4"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24</w:t>
            </w:r>
          </w:p>
        </w:tc>
      </w:tr>
      <w:tr w:rsidR="007E0DA4" w:rsidRPr="00092B22" w14:paraId="732567E7" w14:textId="77777777" w:rsidTr="00E607DA">
        <w:trPr>
          <w:cantSplit/>
          <w:trHeight w:val="23"/>
        </w:trPr>
        <w:tc>
          <w:tcPr>
            <w:tcW w:w="3371" w:type="dxa"/>
            <w:vMerge/>
            <w:tcBorders>
              <w:top w:val="nil"/>
              <w:left w:val="single" w:sz="8" w:space="0" w:color="auto"/>
              <w:bottom w:val="single" w:sz="8" w:space="0" w:color="000000"/>
              <w:right w:val="single" w:sz="8" w:space="0" w:color="000000"/>
            </w:tcBorders>
            <w:shd w:val="clear" w:color="auto" w:fill="EBEBEB"/>
            <w:vAlign w:val="center"/>
            <w:hideMark/>
          </w:tcPr>
          <w:p w14:paraId="0ED527A7" w14:textId="77777777" w:rsidR="007E0DA4" w:rsidRPr="00092B22" w:rsidRDefault="007E0DA4" w:rsidP="00E607DA">
            <w:pPr>
              <w:shd w:val="clear" w:color="auto" w:fill="EBEBEB"/>
              <w:rPr>
                <w:rFonts w:ascii="Meta Pro" w:eastAsia="Times New Roman" w:hAnsi="Meta Pro" w:cs="Calibri"/>
                <w:color w:val="000000"/>
                <w:szCs w:val="18"/>
                <w:lang w:eastAsia="en-AU"/>
              </w:rPr>
            </w:pPr>
          </w:p>
        </w:tc>
        <w:tc>
          <w:tcPr>
            <w:tcW w:w="2289" w:type="dxa"/>
            <w:tcBorders>
              <w:top w:val="nil"/>
              <w:left w:val="nil"/>
              <w:bottom w:val="single" w:sz="8" w:space="0" w:color="auto"/>
              <w:right w:val="single" w:sz="8" w:space="0" w:color="000000"/>
            </w:tcBorders>
            <w:shd w:val="clear" w:color="auto" w:fill="EBEBEB"/>
            <w:noWrap/>
            <w:vAlign w:val="center"/>
            <w:hideMark/>
          </w:tcPr>
          <w:p w14:paraId="225EF4E1" w14:textId="77777777" w:rsidR="007E0DA4" w:rsidRPr="00092B22" w:rsidRDefault="007E0DA4"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Pavements</w:t>
            </w:r>
          </w:p>
        </w:tc>
        <w:tc>
          <w:tcPr>
            <w:tcW w:w="2127" w:type="dxa"/>
            <w:tcBorders>
              <w:top w:val="nil"/>
              <w:left w:val="nil"/>
              <w:bottom w:val="single" w:sz="8" w:space="0" w:color="auto"/>
              <w:right w:val="single" w:sz="8" w:space="0" w:color="000000"/>
            </w:tcBorders>
            <w:shd w:val="clear" w:color="auto" w:fill="EBEBEB"/>
            <w:noWrap/>
            <w:vAlign w:val="center"/>
            <w:hideMark/>
          </w:tcPr>
          <w:p w14:paraId="2FE532F5" w14:textId="77777777" w:rsidR="007E0DA4" w:rsidRPr="00092B22" w:rsidRDefault="007E0DA4"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Straight-line</w:t>
            </w:r>
          </w:p>
        </w:tc>
        <w:tc>
          <w:tcPr>
            <w:tcW w:w="1853" w:type="dxa"/>
            <w:tcBorders>
              <w:top w:val="nil"/>
              <w:left w:val="nil"/>
              <w:bottom w:val="single" w:sz="8" w:space="0" w:color="auto"/>
              <w:right w:val="single" w:sz="8" w:space="0" w:color="000000"/>
            </w:tcBorders>
            <w:shd w:val="clear" w:color="auto" w:fill="EBEBEB"/>
            <w:vAlign w:val="center"/>
            <w:hideMark/>
          </w:tcPr>
          <w:p w14:paraId="06E0A4F8" w14:textId="77777777" w:rsidR="007E0DA4" w:rsidRPr="00092B22" w:rsidRDefault="007E0DA4"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61</w:t>
            </w:r>
          </w:p>
        </w:tc>
      </w:tr>
      <w:tr w:rsidR="007E0DA4" w:rsidRPr="00092B22" w14:paraId="2FB45455" w14:textId="77777777" w:rsidTr="00E607DA">
        <w:trPr>
          <w:cantSplit/>
          <w:trHeight w:val="23"/>
        </w:trPr>
        <w:tc>
          <w:tcPr>
            <w:tcW w:w="3371" w:type="dxa"/>
            <w:vMerge/>
            <w:tcBorders>
              <w:top w:val="nil"/>
              <w:left w:val="single" w:sz="8" w:space="0" w:color="auto"/>
              <w:bottom w:val="single" w:sz="8" w:space="0" w:color="000000"/>
              <w:right w:val="single" w:sz="8" w:space="0" w:color="000000"/>
            </w:tcBorders>
            <w:shd w:val="clear" w:color="auto" w:fill="EBEBEB"/>
            <w:vAlign w:val="center"/>
            <w:hideMark/>
          </w:tcPr>
          <w:p w14:paraId="7D0FF064" w14:textId="77777777" w:rsidR="007E0DA4" w:rsidRPr="00092B22" w:rsidRDefault="007E0DA4" w:rsidP="00E607DA">
            <w:pPr>
              <w:shd w:val="clear" w:color="auto" w:fill="EBEBEB"/>
              <w:rPr>
                <w:rFonts w:ascii="Meta Pro" w:eastAsia="Times New Roman" w:hAnsi="Meta Pro" w:cs="Calibri"/>
                <w:color w:val="000000"/>
                <w:szCs w:val="18"/>
                <w:lang w:eastAsia="en-AU"/>
              </w:rPr>
            </w:pPr>
          </w:p>
        </w:tc>
        <w:tc>
          <w:tcPr>
            <w:tcW w:w="2289" w:type="dxa"/>
            <w:tcBorders>
              <w:top w:val="nil"/>
              <w:left w:val="nil"/>
              <w:bottom w:val="single" w:sz="8" w:space="0" w:color="auto"/>
              <w:right w:val="single" w:sz="8" w:space="0" w:color="000000"/>
            </w:tcBorders>
            <w:shd w:val="clear" w:color="auto" w:fill="EBEBEB"/>
            <w:noWrap/>
            <w:vAlign w:val="center"/>
            <w:hideMark/>
          </w:tcPr>
          <w:p w14:paraId="678626AF" w14:textId="77777777" w:rsidR="007E0DA4" w:rsidRPr="00092B22" w:rsidRDefault="007E0DA4"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Formation earthworks</w:t>
            </w:r>
          </w:p>
        </w:tc>
        <w:tc>
          <w:tcPr>
            <w:tcW w:w="2127" w:type="dxa"/>
            <w:tcBorders>
              <w:top w:val="nil"/>
              <w:left w:val="nil"/>
              <w:bottom w:val="single" w:sz="8" w:space="0" w:color="auto"/>
              <w:right w:val="single" w:sz="8" w:space="0" w:color="000000"/>
            </w:tcBorders>
            <w:shd w:val="clear" w:color="auto" w:fill="EBEBEB"/>
            <w:noWrap/>
            <w:vAlign w:val="center"/>
            <w:hideMark/>
          </w:tcPr>
          <w:p w14:paraId="2086F93E" w14:textId="77777777" w:rsidR="007E0DA4" w:rsidRPr="00092B22" w:rsidRDefault="007E0DA4"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Not depreciated</w:t>
            </w:r>
          </w:p>
        </w:tc>
        <w:tc>
          <w:tcPr>
            <w:tcW w:w="1853" w:type="dxa"/>
            <w:tcBorders>
              <w:top w:val="nil"/>
              <w:left w:val="nil"/>
              <w:bottom w:val="single" w:sz="8" w:space="0" w:color="auto"/>
              <w:right w:val="single" w:sz="8" w:space="0" w:color="000000"/>
            </w:tcBorders>
            <w:shd w:val="clear" w:color="auto" w:fill="EBEBEB"/>
            <w:vAlign w:val="center"/>
            <w:hideMark/>
          </w:tcPr>
          <w:p w14:paraId="7514880D" w14:textId="77777777" w:rsidR="007E0DA4" w:rsidRPr="00092B22" w:rsidRDefault="007E0DA4"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Indefinite life</w:t>
            </w:r>
          </w:p>
        </w:tc>
      </w:tr>
      <w:tr w:rsidR="007E0DA4" w:rsidRPr="00092B22" w14:paraId="17AA1184" w14:textId="77777777" w:rsidTr="00E607DA">
        <w:trPr>
          <w:cantSplit/>
          <w:trHeight w:val="23"/>
        </w:trPr>
        <w:tc>
          <w:tcPr>
            <w:tcW w:w="3371" w:type="dxa"/>
            <w:vMerge/>
            <w:tcBorders>
              <w:top w:val="nil"/>
              <w:left w:val="single" w:sz="8" w:space="0" w:color="auto"/>
              <w:bottom w:val="single" w:sz="8" w:space="0" w:color="000000"/>
              <w:right w:val="single" w:sz="8" w:space="0" w:color="000000"/>
            </w:tcBorders>
            <w:shd w:val="clear" w:color="auto" w:fill="EBEBEB"/>
            <w:vAlign w:val="center"/>
            <w:hideMark/>
          </w:tcPr>
          <w:p w14:paraId="3414133A" w14:textId="77777777" w:rsidR="007E0DA4" w:rsidRPr="00092B22" w:rsidRDefault="007E0DA4" w:rsidP="00E607DA">
            <w:pPr>
              <w:shd w:val="clear" w:color="auto" w:fill="EBEBEB"/>
              <w:rPr>
                <w:rFonts w:ascii="Meta Pro" w:eastAsia="Times New Roman" w:hAnsi="Meta Pro" w:cs="Calibri"/>
                <w:color w:val="000000"/>
                <w:szCs w:val="18"/>
                <w:lang w:eastAsia="en-AU"/>
              </w:rPr>
            </w:pPr>
          </w:p>
        </w:tc>
        <w:tc>
          <w:tcPr>
            <w:tcW w:w="2289" w:type="dxa"/>
            <w:tcBorders>
              <w:top w:val="nil"/>
              <w:left w:val="nil"/>
              <w:bottom w:val="single" w:sz="8" w:space="0" w:color="auto"/>
              <w:right w:val="single" w:sz="8" w:space="0" w:color="000000"/>
            </w:tcBorders>
            <w:shd w:val="clear" w:color="auto" w:fill="EBEBEB"/>
            <w:noWrap/>
            <w:vAlign w:val="center"/>
            <w:hideMark/>
          </w:tcPr>
          <w:p w14:paraId="01326374" w14:textId="77777777" w:rsidR="007E0DA4" w:rsidRPr="00092B22" w:rsidRDefault="007E0DA4"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Formation earthworks</w:t>
            </w:r>
          </w:p>
        </w:tc>
        <w:tc>
          <w:tcPr>
            <w:tcW w:w="2127" w:type="dxa"/>
            <w:tcBorders>
              <w:top w:val="nil"/>
              <w:left w:val="nil"/>
              <w:bottom w:val="single" w:sz="8" w:space="0" w:color="auto"/>
              <w:right w:val="single" w:sz="8" w:space="0" w:color="000000"/>
            </w:tcBorders>
            <w:shd w:val="clear" w:color="auto" w:fill="EBEBEB"/>
            <w:noWrap/>
            <w:vAlign w:val="center"/>
            <w:hideMark/>
          </w:tcPr>
          <w:p w14:paraId="051E0248" w14:textId="77777777" w:rsidR="007E0DA4" w:rsidRPr="00092B22" w:rsidRDefault="007E0DA4"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Straight-line</w:t>
            </w:r>
          </w:p>
        </w:tc>
        <w:tc>
          <w:tcPr>
            <w:tcW w:w="1853" w:type="dxa"/>
            <w:tcBorders>
              <w:top w:val="nil"/>
              <w:left w:val="nil"/>
              <w:bottom w:val="single" w:sz="8" w:space="0" w:color="auto"/>
              <w:right w:val="single" w:sz="8" w:space="0" w:color="000000"/>
            </w:tcBorders>
            <w:shd w:val="clear" w:color="auto" w:fill="EBEBEB"/>
            <w:vAlign w:val="center"/>
            <w:hideMark/>
          </w:tcPr>
          <w:p w14:paraId="6B4A2CEB" w14:textId="77777777" w:rsidR="007E0DA4" w:rsidRPr="00092B22" w:rsidRDefault="007E0DA4"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27</w:t>
            </w:r>
          </w:p>
        </w:tc>
      </w:tr>
      <w:tr w:rsidR="007E0DA4" w:rsidRPr="00092B22" w14:paraId="3F56959C" w14:textId="77777777" w:rsidTr="00E607DA">
        <w:trPr>
          <w:cantSplit/>
          <w:trHeight w:val="23"/>
        </w:trPr>
        <w:tc>
          <w:tcPr>
            <w:tcW w:w="3371" w:type="dxa"/>
            <w:tcBorders>
              <w:top w:val="nil"/>
              <w:left w:val="single" w:sz="8" w:space="0" w:color="auto"/>
              <w:bottom w:val="single" w:sz="8" w:space="0" w:color="auto"/>
              <w:right w:val="single" w:sz="8" w:space="0" w:color="000000"/>
            </w:tcBorders>
            <w:shd w:val="clear" w:color="auto" w:fill="EBEBEB"/>
            <w:noWrap/>
            <w:vAlign w:val="center"/>
            <w:hideMark/>
          </w:tcPr>
          <w:p w14:paraId="726EBCF5" w14:textId="77777777" w:rsidR="007E0DA4" w:rsidRPr="00092B22" w:rsidRDefault="007E0DA4" w:rsidP="00E607DA">
            <w:pPr>
              <w:shd w:val="clear" w:color="auto" w:fill="EBEBEB"/>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Structures – bridges, tunnels and major culverts</w:t>
            </w:r>
          </w:p>
        </w:tc>
        <w:tc>
          <w:tcPr>
            <w:tcW w:w="2289" w:type="dxa"/>
            <w:tcBorders>
              <w:top w:val="nil"/>
              <w:left w:val="nil"/>
              <w:bottom w:val="single" w:sz="8" w:space="0" w:color="auto"/>
              <w:right w:val="single" w:sz="8" w:space="0" w:color="000000"/>
            </w:tcBorders>
            <w:shd w:val="clear" w:color="auto" w:fill="EBEBEB"/>
            <w:noWrap/>
            <w:vAlign w:val="center"/>
            <w:hideMark/>
          </w:tcPr>
          <w:p w14:paraId="1D53F233" w14:textId="77777777" w:rsidR="007E0DA4" w:rsidRPr="00092B22" w:rsidRDefault="007E0DA4"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w:t>
            </w:r>
          </w:p>
        </w:tc>
        <w:tc>
          <w:tcPr>
            <w:tcW w:w="2127" w:type="dxa"/>
            <w:tcBorders>
              <w:top w:val="nil"/>
              <w:left w:val="nil"/>
              <w:bottom w:val="single" w:sz="8" w:space="0" w:color="auto"/>
              <w:right w:val="single" w:sz="8" w:space="0" w:color="000000"/>
            </w:tcBorders>
            <w:shd w:val="clear" w:color="auto" w:fill="EBEBEB"/>
            <w:noWrap/>
            <w:vAlign w:val="center"/>
            <w:hideMark/>
          </w:tcPr>
          <w:p w14:paraId="387F5749" w14:textId="77777777" w:rsidR="007E0DA4" w:rsidRPr="00092B22" w:rsidRDefault="007E0DA4"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Straight-line</w:t>
            </w:r>
          </w:p>
        </w:tc>
        <w:tc>
          <w:tcPr>
            <w:tcW w:w="1853" w:type="dxa"/>
            <w:tcBorders>
              <w:top w:val="nil"/>
              <w:left w:val="nil"/>
              <w:bottom w:val="single" w:sz="8" w:space="0" w:color="auto"/>
              <w:right w:val="single" w:sz="8" w:space="0" w:color="000000"/>
            </w:tcBorders>
            <w:shd w:val="clear" w:color="auto" w:fill="EBEBEB"/>
            <w:vAlign w:val="center"/>
            <w:hideMark/>
          </w:tcPr>
          <w:p w14:paraId="08444D4F" w14:textId="77777777" w:rsidR="007E0DA4" w:rsidRPr="00092B22" w:rsidRDefault="007E0DA4"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89</w:t>
            </w:r>
          </w:p>
        </w:tc>
      </w:tr>
      <w:tr w:rsidR="007E0DA4" w:rsidRPr="00092B22" w14:paraId="1EE9268B" w14:textId="77777777" w:rsidTr="00E607DA">
        <w:trPr>
          <w:cantSplit/>
          <w:trHeight w:val="23"/>
        </w:trPr>
        <w:tc>
          <w:tcPr>
            <w:tcW w:w="3371" w:type="dxa"/>
            <w:tcBorders>
              <w:top w:val="nil"/>
              <w:left w:val="single" w:sz="8" w:space="0" w:color="auto"/>
              <w:bottom w:val="single" w:sz="8" w:space="0" w:color="auto"/>
              <w:right w:val="single" w:sz="8" w:space="0" w:color="000000"/>
            </w:tcBorders>
            <w:shd w:val="clear" w:color="auto" w:fill="EBEBEB"/>
            <w:noWrap/>
            <w:vAlign w:val="center"/>
            <w:hideMark/>
          </w:tcPr>
          <w:p w14:paraId="77B64734" w14:textId="77777777" w:rsidR="007E0DA4" w:rsidRPr="00092B22" w:rsidRDefault="007E0DA4" w:rsidP="00E607DA">
            <w:pPr>
              <w:shd w:val="clear" w:color="auto" w:fill="EBEBEB"/>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Other – mainly marine infrastructure</w:t>
            </w:r>
          </w:p>
        </w:tc>
        <w:tc>
          <w:tcPr>
            <w:tcW w:w="2289" w:type="dxa"/>
            <w:tcBorders>
              <w:top w:val="nil"/>
              <w:left w:val="nil"/>
              <w:bottom w:val="single" w:sz="8" w:space="0" w:color="auto"/>
              <w:right w:val="single" w:sz="8" w:space="0" w:color="000000"/>
            </w:tcBorders>
            <w:shd w:val="clear" w:color="auto" w:fill="EBEBEB"/>
            <w:noWrap/>
            <w:vAlign w:val="center"/>
            <w:hideMark/>
          </w:tcPr>
          <w:p w14:paraId="26D68550" w14:textId="77777777" w:rsidR="007E0DA4" w:rsidRPr="00092B22" w:rsidRDefault="007E0DA4"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w:t>
            </w:r>
          </w:p>
        </w:tc>
        <w:tc>
          <w:tcPr>
            <w:tcW w:w="2127" w:type="dxa"/>
            <w:tcBorders>
              <w:top w:val="nil"/>
              <w:left w:val="nil"/>
              <w:bottom w:val="single" w:sz="8" w:space="0" w:color="auto"/>
              <w:right w:val="single" w:sz="8" w:space="0" w:color="000000"/>
            </w:tcBorders>
            <w:shd w:val="clear" w:color="auto" w:fill="EBEBEB"/>
            <w:noWrap/>
            <w:vAlign w:val="center"/>
            <w:hideMark/>
          </w:tcPr>
          <w:p w14:paraId="0EC50570" w14:textId="77777777" w:rsidR="007E0DA4" w:rsidRPr="00092B22" w:rsidRDefault="007E0DA4"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Straight-line</w:t>
            </w:r>
          </w:p>
        </w:tc>
        <w:tc>
          <w:tcPr>
            <w:tcW w:w="1853" w:type="dxa"/>
            <w:tcBorders>
              <w:top w:val="nil"/>
              <w:left w:val="nil"/>
              <w:bottom w:val="single" w:sz="8" w:space="0" w:color="auto"/>
              <w:right w:val="single" w:sz="8" w:space="0" w:color="000000"/>
            </w:tcBorders>
            <w:shd w:val="clear" w:color="auto" w:fill="EBEBEB"/>
            <w:vAlign w:val="center"/>
            <w:hideMark/>
          </w:tcPr>
          <w:p w14:paraId="376E5615" w14:textId="77777777" w:rsidR="007E0DA4" w:rsidRPr="00092B22" w:rsidRDefault="007E0DA4"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55</w:t>
            </w:r>
          </w:p>
        </w:tc>
      </w:tr>
    </w:tbl>
    <w:p w14:paraId="71785DD6" w14:textId="77777777" w:rsidR="007E0DA4" w:rsidRPr="00092B22" w:rsidRDefault="007E0DA4" w:rsidP="007E0DA4">
      <w:pPr>
        <w:shd w:val="clear" w:color="auto" w:fill="EBEBEB"/>
        <w:jc w:val="both"/>
        <w:rPr>
          <w:rFonts w:ascii="Meta Pro" w:eastAsia="Times New Roman" w:hAnsi="Meta Pro"/>
          <w:szCs w:val="18"/>
          <w:lang w:eastAsia="en-AU"/>
        </w:rPr>
      </w:pPr>
    </w:p>
    <w:p w14:paraId="31B4D58D" w14:textId="77777777" w:rsidR="007E0DA4" w:rsidRPr="00092B22" w:rsidRDefault="007E0DA4" w:rsidP="007E0DA4">
      <w:pPr>
        <w:shd w:val="clear" w:color="auto" w:fill="EBEBEB"/>
        <w:spacing w:after="120"/>
        <w:jc w:val="both"/>
        <w:rPr>
          <w:rFonts w:ascii="Meta Pro" w:eastAsia="Times New Roman" w:hAnsi="Meta Pro"/>
          <w:szCs w:val="18"/>
          <w:lang w:eastAsia="en-AU"/>
        </w:rPr>
      </w:pPr>
      <w:r w:rsidRPr="00092B22">
        <w:rPr>
          <w:rFonts w:ascii="Meta Pro" w:eastAsia="Times New Roman" w:hAnsi="Meta Pro"/>
          <w:szCs w:val="18"/>
          <w:lang w:eastAsia="en-AU"/>
        </w:rPr>
        <w:t>The estimation of useful life and resulting depreciation rates are based on a number of factors including the department’s past experience, the planned replacement program and expected usage, wear and tear, obsolescence and expected funding availability to the department. Useful lives are reviewed on an annual basis.</w:t>
      </w:r>
    </w:p>
    <w:p w14:paraId="017150FA" w14:textId="77777777" w:rsidR="007E0DA4" w:rsidRPr="00092B22" w:rsidRDefault="007E0DA4" w:rsidP="007E0DA4">
      <w:pPr>
        <w:shd w:val="clear" w:color="auto" w:fill="EBEBEB"/>
        <w:spacing w:after="120"/>
        <w:jc w:val="both"/>
        <w:rPr>
          <w:rFonts w:ascii="Meta Pro" w:eastAsia="Times New Roman" w:hAnsi="Meta Pro"/>
          <w:szCs w:val="18"/>
          <w:lang w:eastAsia="en-AU"/>
        </w:rPr>
      </w:pPr>
      <w:r w:rsidRPr="00092B22">
        <w:rPr>
          <w:rFonts w:ascii="Meta Pro" w:eastAsia="Times New Roman" w:hAnsi="Meta Pro"/>
          <w:szCs w:val="18"/>
          <w:lang w:eastAsia="en-AU"/>
        </w:rPr>
        <w:t>Where the confirmed available funding for the renewal and replacement of the department's road infrastructure assets varies from one year to the next, the sub-component remaining useful lives are subject to change as a consequence of the altered works program.</w:t>
      </w:r>
    </w:p>
    <w:p w14:paraId="733C369F" w14:textId="77777777" w:rsidR="007E0DA4" w:rsidRPr="00092B22" w:rsidRDefault="007E0DA4" w:rsidP="007E0DA4">
      <w:pPr>
        <w:shd w:val="clear" w:color="auto" w:fill="EBEBEB"/>
        <w:spacing w:after="120"/>
        <w:jc w:val="both"/>
        <w:rPr>
          <w:rFonts w:ascii="Meta Pro" w:eastAsia="Times New Roman" w:hAnsi="Meta Pro"/>
          <w:szCs w:val="18"/>
          <w:lang w:eastAsia="en-AU"/>
        </w:rPr>
      </w:pPr>
      <w:r w:rsidRPr="00092B22">
        <w:rPr>
          <w:rFonts w:ascii="Meta Pro" w:eastAsia="Times New Roman" w:hAnsi="Meta Pro"/>
          <w:szCs w:val="18"/>
          <w:lang w:eastAsia="en-AU"/>
        </w:rPr>
        <w:t>Accordingly an increase in funding allocated to asset renewal or replacement is likely to result in a corresponding proportionate increase in depreciation expense, and in accumulated depreciation, with a reduction in useful lives.</w:t>
      </w:r>
    </w:p>
    <w:p w14:paraId="68086D9E" w14:textId="77777777" w:rsidR="007E0DA4" w:rsidRPr="00092B22" w:rsidRDefault="007E0DA4" w:rsidP="007E0DA4">
      <w:pPr>
        <w:shd w:val="clear" w:color="auto" w:fill="EBEBEB"/>
        <w:spacing w:after="120"/>
        <w:jc w:val="both"/>
        <w:rPr>
          <w:rFonts w:ascii="Meta Pro" w:eastAsia="Times New Roman" w:hAnsi="Meta Pro"/>
          <w:szCs w:val="18"/>
          <w:lang w:eastAsia="en-AU"/>
        </w:rPr>
      </w:pPr>
      <w:r w:rsidRPr="00092B22">
        <w:rPr>
          <w:rFonts w:ascii="Meta Pro" w:eastAsia="Times New Roman" w:hAnsi="Meta Pro"/>
          <w:szCs w:val="18"/>
          <w:lang w:eastAsia="en-AU"/>
        </w:rPr>
        <w:t>A reduction in funding is likely to have a similar impact in reducing depreciation expense and accumulated depreciation, and increasing expected useful lives.</w:t>
      </w:r>
    </w:p>
    <w:p w14:paraId="26623585" w14:textId="77777777" w:rsidR="007E0DA4" w:rsidRPr="00092B22" w:rsidRDefault="007E0DA4" w:rsidP="007E0DA4">
      <w:pPr>
        <w:shd w:val="clear" w:color="auto" w:fill="EBEBEB"/>
        <w:spacing w:after="120"/>
        <w:jc w:val="both"/>
        <w:rPr>
          <w:rFonts w:ascii="Meta Pro" w:eastAsia="Times New Roman" w:hAnsi="Meta Pro"/>
          <w:szCs w:val="18"/>
          <w:lang w:eastAsia="en-AU"/>
        </w:rPr>
        <w:sectPr w:rsidR="007E0DA4" w:rsidRPr="00092B22" w:rsidSect="00EF7A0C">
          <w:footerReference w:type="default" r:id="rId138"/>
          <w:pgSz w:w="11906" w:h="16838"/>
          <w:pgMar w:top="232" w:right="1134" w:bottom="567" w:left="1134" w:header="454" w:footer="340" w:gutter="0"/>
          <w:pgNumType w:start="24"/>
          <w:cols w:space="708"/>
          <w:docGrid w:linePitch="360"/>
        </w:sectPr>
      </w:pPr>
    </w:p>
    <w:p w14:paraId="20ABF11B" w14:textId="77777777" w:rsidR="007E0DA4" w:rsidRPr="00092B22" w:rsidRDefault="007E0DA4" w:rsidP="007E0DA4">
      <w:pPr>
        <w:spacing w:line="259" w:lineRule="auto"/>
        <w:rPr>
          <w:rFonts w:ascii="Meta Pro" w:eastAsia="Times New Roman" w:hAnsi="Meta Pro"/>
          <w:b/>
          <w:bCs/>
          <w:lang w:eastAsia="en-AU"/>
        </w:rPr>
      </w:pPr>
    </w:p>
    <w:p w14:paraId="7F4D5EB7" w14:textId="77777777" w:rsidR="007E0DA4" w:rsidRPr="00092B22" w:rsidRDefault="007E0DA4" w:rsidP="007E0DA4">
      <w:pPr>
        <w:spacing w:after="120" w:line="259" w:lineRule="auto"/>
        <w:rPr>
          <w:rFonts w:ascii="Meta Pro" w:eastAsia="Times New Roman" w:hAnsi="Meta Pro"/>
          <w:b/>
          <w:bCs/>
          <w:sz w:val="24"/>
          <w:szCs w:val="24"/>
          <w:lang w:eastAsia="en-AU"/>
        </w:rPr>
      </w:pPr>
      <w:r w:rsidRPr="00092B22">
        <w:rPr>
          <w:rFonts w:ascii="Meta Pro" w:eastAsia="Times New Roman" w:hAnsi="Meta Pro"/>
          <w:b/>
          <w:bCs/>
          <w:sz w:val="24"/>
          <w:szCs w:val="24"/>
          <w:lang w:eastAsia="en-AU"/>
        </w:rPr>
        <w:t>15      PROPERTY, PLANT AND EQUIPMENT (continued)</w:t>
      </w:r>
    </w:p>
    <w:p w14:paraId="0973A6D8" w14:textId="77777777" w:rsidR="003C20EB" w:rsidRPr="00092B22" w:rsidRDefault="003C20EB" w:rsidP="003C20EB">
      <w:pPr>
        <w:shd w:val="clear" w:color="auto" w:fill="EBEBEB"/>
        <w:rPr>
          <w:rFonts w:ascii="Meta Pro" w:eastAsia="Times New Roman" w:hAnsi="Meta Pro"/>
          <w:b/>
          <w:bCs/>
          <w:color w:val="000000"/>
          <w:sz w:val="20"/>
          <w:szCs w:val="20"/>
          <w:lang w:eastAsia="en-AU"/>
        </w:rPr>
      </w:pPr>
      <w:r w:rsidRPr="00092B22">
        <w:rPr>
          <w:rFonts w:ascii="Meta Pro" w:eastAsia="Times New Roman" w:hAnsi="Meta Pro"/>
          <w:b/>
          <w:bCs/>
          <w:color w:val="000000"/>
          <w:sz w:val="20"/>
          <w:szCs w:val="20"/>
          <w:lang w:eastAsia="en-AU"/>
        </w:rPr>
        <w:t>Accounting policy (continued)</w:t>
      </w:r>
    </w:p>
    <w:p w14:paraId="34D45EE6" w14:textId="77777777" w:rsidR="003C20EB" w:rsidRPr="00092B22" w:rsidRDefault="003C20EB" w:rsidP="003C20EB">
      <w:pPr>
        <w:shd w:val="clear" w:color="auto" w:fill="EBEBEB"/>
        <w:spacing w:after="120"/>
        <w:rPr>
          <w:rFonts w:ascii="Meta Pro" w:eastAsia="Times New Roman" w:hAnsi="Meta Pro"/>
          <w:b/>
          <w:bCs/>
          <w:i/>
          <w:iCs/>
          <w:szCs w:val="18"/>
          <w:lang w:eastAsia="en-AU"/>
        </w:rPr>
      </w:pPr>
      <w:r w:rsidRPr="00092B22">
        <w:rPr>
          <w:rFonts w:ascii="Meta Pro" w:eastAsia="Times New Roman" w:hAnsi="Meta Pro"/>
          <w:b/>
          <w:bCs/>
          <w:i/>
          <w:iCs/>
          <w:szCs w:val="18"/>
          <w:lang w:eastAsia="en-AU"/>
        </w:rPr>
        <w:t>Depreciation (continued)</w:t>
      </w:r>
    </w:p>
    <w:p w14:paraId="52495A65" w14:textId="77777777" w:rsidR="003C20EB" w:rsidRPr="00092B22" w:rsidRDefault="003C20EB" w:rsidP="003C20EB">
      <w:pPr>
        <w:shd w:val="clear" w:color="auto" w:fill="EBEBEB"/>
        <w:jc w:val="both"/>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Formation earthworks initially have an indefinite life irrespective of work carried out on the surface and pavement components. Earthworks that are expected to be taken out of service or reconstructed are allocated a limited life and are depreciated in accordance with the requirements of AASB 116 </w:t>
      </w:r>
      <w:r w:rsidRPr="00092B22">
        <w:rPr>
          <w:rFonts w:ascii="Meta Pro" w:eastAsia="Times New Roman" w:hAnsi="Meta Pro"/>
          <w:i/>
          <w:iCs/>
          <w:color w:val="000000"/>
          <w:szCs w:val="18"/>
          <w:lang w:eastAsia="en-AU"/>
        </w:rPr>
        <w:t>Property, Plant and Equipment</w:t>
      </w:r>
      <w:r w:rsidRPr="00092B22">
        <w:rPr>
          <w:rFonts w:ascii="Meta Pro" w:eastAsia="Times New Roman" w:hAnsi="Meta Pro"/>
          <w:color w:val="000000"/>
          <w:szCs w:val="18"/>
          <w:lang w:eastAsia="en-AU"/>
        </w:rPr>
        <w:t>.</w:t>
      </w:r>
    </w:p>
    <w:p w14:paraId="0791C87E" w14:textId="77777777" w:rsidR="003C20EB" w:rsidRPr="00092B22" w:rsidRDefault="003C20EB" w:rsidP="003C20EB">
      <w:pPr>
        <w:shd w:val="clear" w:color="auto" w:fill="EBEBEB"/>
        <w:spacing w:after="120"/>
        <w:rPr>
          <w:rFonts w:ascii="Meta Pro" w:eastAsia="Times New Roman" w:hAnsi="Meta Pro"/>
          <w:b/>
          <w:bCs/>
          <w:i/>
          <w:iCs/>
          <w:szCs w:val="18"/>
          <w:lang w:eastAsia="en-AU"/>
        </w:rPr>
      </w:pPr>
      <w:r w:rsidRPr="00092B22">
        <w:rPr>
          <w:rFonts w:ascii="Meta Pro" w:eastAsia="Times New Roman" w:hAnsi="Meta Pro"/>
          <w:b/>
          <w:bCs/>
          <w:i/>
          <w:iCs/>
          <w:szCs w:val="18"/>
          <w:lang w:eastAsia="en-AU"/>
        </w:rPr>
        <w:t>Land under roads</w:t>
      </w:r>
    </w:p>
    <w:p w14:paraId="7EC53A19" w14:textId="77777777" w:rsidR="003C20EB" w:rsidRPr="00092B22" w:rsidRDefault="003C20EB" w:rsidP="003C20EB">
      <w:pPr>
        <w:shd w:val="clear" w:color="auto" w:fill="EBEBEB"/>
        <w:spacing w:after="120"/>
        <w:rPr>
          <w:rFonts w:ascii="Meta Pro" w:eastAsia="Times New Roman" w:hAnsi="Meta Pro"/>
          <w:szCs w:val="18"/>
          <w:lang w:eastAsia="en-AU"/>
        </w:rPr>
      </w:pPr>
      <w:r w:rsidRPr="00092B22">
        <w:rPr>
          <w:rFonts w:ascii="Meta Pro" w:eastAsia="Times New Roman" w:hAnsi="Meta Pro"/>
          <w:szCs w:val="18"/>
          <w:lang w:eastAsia="en-AU"/>
        </w:rPr>
        <w:t>The aggregate value of land under roads is measured and disclosed as land until road declarations for each land portion are confirmed.</w:t>
      </w:r>
    </w:p>
    <w:p w14:paraId="6F52D75A" w14:textId="77777777" w:rsidR="003C20EB" w:rsidRPr="00092B22" w:rsidRDefault="003C20EB" w:rsidP="003C20EB">
      <w:pPr>
        <w:shd w:val="clear" w:color="auto" w:fill="EBEBEB"/>
        <w:rPr>
          <w:rFonts w:ascii="Meta Pro" w:eastAsia="Times New Roman" w:hAnsi="Meta Pro"/>
          <w:szCs w:val="18"/>
          <w:lang w:eastAsia="en-AU"/>
        </w:rPr>
      </w:pPr>
      <w:r w:rsidRPr="00092B22">
        <w:rPr>
          <w:rFonts w:ascii="Meta Pro" w:eastAsia="Times New Roman" w:hAnsi="Meta Pro"/>
          <w:szCs w:val="18"/>
          <w:lang w:eastAsia="en-AU"/>
        </w:rPr>
        <w:t>Where a road declaration is confirmed, the title is extinguished and ownership reverts to the state represented by the Department of Resources in accordance with Queensland Government policy.</w:t>
      </w:r>
    </w:p>
    <w:p w14:paraId="591C4568" w14:textId="77777777" w:rsidR="003C20EB" w:rsidRPr="00092B22" w:rsidRDefault="003C20EB" w:rsidP="003C20EB">
      <w:pPr>
        <w:shd w:val="clear" w:color="auto" w:fill="EBEBEB"/>
        <w:spacing w:after="120"/>
        <w:rPr>
          <w:rFonts w:ascii="Meta Pro" w:eastAsia="Times New Roman" w:hAnsi="Meta Pro"/>
          <w:b/>
          <w:bCs/>
          <w:i/>
          <w:iCs/>
          <w:szCs w:val="18"/>
          <w:lang w:eastAsia="en-AU"/>
        </w:rPr>
      </w:pPr>
      <w:r w:rsidRPr="00092B22">
        <w:rPr>
          <w:rFonts w:ascii="Meta Pro" w:eastAsia="Times New Roman" w:hAnsi="Meta Pro"/>
          <w:b/>
          <w:bCs/>
          <w:i/>
          <w:iCs/>
          <w:szCs w:val="18"/>
          <w:lang w:eastAsia="en-AU"/>
        </w:rPr>
        <w:t>Non-current assets classified as held for sale</w:t>
      </w:r>
    </w:p>
    <w:p w14:paraId="2C9F9A52" w14:textId="77777777" w:rsidR="003C20EB" w:rsidRPr="00092B22" w:rsidRDefault="003C20EB" w:rsidP="003C20EB">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color w:val="000000"/>
          <w:szCs w:val="18"/>
          <w:lang w:eastAsia="en-AU"/>
        </w:rPr>
        <w:t>Non-current assets held for sale consist of those assets that management has determined are available for immediate sale in their present condition, and for which their sale is highly probable within the next twelve months.</w:t>
      </w:r>
    </w:p>
    <w:p w14:paraId="01F01914" w14:textId="77777777" w:rsidR="003C20EB" w:rsidRPr="00092B22" w:rsidRDefault="003C20EB" w:rsidP="003C20EB">
      <w:pPr>
        <w:shd w:val="clear" w:color="auto" w:fill="EBEBEB"/>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In accordance with AASB 5 </w:t>
      </w:r>
      <w:r w:rsidRPr="00092B22">
        <w:rPr>
          <w:rFonts w:ascii="Meta Pro" w:eastAsia="Times New Roman" w:hAnsi="Meta Pro"/>
          <w:i/>
          <w:iCs/>
          <w:color w:val="000000"/>
          <w:szCs w:val="18"/>
          <w:lang w:eastAsia="en-AU"/>
        </w:rPr>
        <w:t>Non-current Assets Held for Sale and Discontinued Operations</w:t>
      </w:r>
      <w:r w:rsidRPr="00092B22">
        <w:rPr>
          <w:rFonts w:ascii="Meta Pro" w:eastAsia="Times New Roman" w:hAnsi="Meta Pro"/>
          <w:color w:val="000000"/>
          <w:szCs w:val="18"/>
          <w:lang w:eastAsia="en-AU"/>
        </w:rPr>
        <w:t>, when an asset is classified as held for sale its value is measured at the lower of the asset’s carrying amount and fair value less costs to sell. Such assets are no longer amortised or depreciated upon being classified as held for sale.</w:t>
      </w:r>
    </w:p>
    <w:p w14:paraId="34136C42" w14:textId="77777777" w:rsidR="003C20EB" w:rsidRPr="00092B22" w:rsidRDefault="003C20EB" w:rsidP="003C20EB">
      <w:pPr>
        <w:shd w:val="clear" w:color="auto" w:fill="EBEBEB"/>
        <w:spacing w:after="120"/>
        <w:rPr>
          <w:rFonts w:ascii="Meta Pro" w:eastAsia="Times New Roman" w:hAnsi="Meta Pro"/>
          <w:b/>
          <w:bCs/>
          <w:i/>
          <w:iCs/>
          <w:szCs w:val="18"/>
          <w:lang w:eastAsia="en-AU"/>
        </w:rPr>
      </w:pPr>
      <w:r w:rsidRPr="00092B22">
        <w:rPr>
          <w:rFonts w:ascii="Meta Pro" w:eastAsia="Times New Roman" w:hAnsi="Meta Pro"/>
          <w:b/>
          <w:bCs/>
          <w:i/>
          <w:iCs/>
          <w:szCs w:val="18"/>
          <w:lang w:eastAsia="en-AU"/>
        </w:rPr>
        <w:t>Fair value measurement</w:t>
      </w:r>
    </w:p>
    <w:p w14:paraId="682CF013" w14:textId="77777777" w:rsidR="003C20EB" w:rsidRPr="00092B22" w:rsidRDefault="003C20EB" w:rsidP="003C20EB">
      <w:pPr>
        <w:shd w:val="clear" w:color="auto" w:fill="EBEBEB"/>
        <w:rPr>
          <w:rFonts w:ascii="Meta Pro" w:eastAsia="Times New Roman" w:hAnsi="Meta Pro"/>
          <w:szCs w:val="18"/>
          <w:lang w:eastAsia="en-AU"/>
        </w:rPr>
      </w:pPr>
      <w:r w:rsidRPr="00092B22">
        <w:rPr>
          <w:rFonts w:ascii="Meta Pro" w:eastAsia="Times New Roman" w:hAnsi="Meta Pro"/>
          <w:szCs w:val="18"/>
          <w:lang w:eastAsia="en-AU"/>
        </w:rPr>
        <w:t>All assets and liabilities of the department for which fair value is measured or disclosed in the financial statements, are categorised within the following fair value hierarchy, based on the data and assumptions used in the most recent specific appraisals:</w:t>
      </w:r>
    </w:p>
    <w:p w14:paraId="1F02E96A" w14:textId="77777777" w:rsidR="003C20EB" w:rsidRPr="00092B22" w:rsidRDefault="003C20EB" w:rsidP="003C20EB">
      <w:pPr>
        <w:shd w:val="clear" w:color="auto" w:fill="EBEBEB"/>
        <w:rPr>
          <w:rFonts w:ascii="Meta Pro" w:eastAsia="Times New Roman" w:hAnsi="Meta Pro"/>
          <w:szCs w:val="18"/>
          <w:lang w:eastAsia="en-AU"/>
        </w:rPr>
      </w:pPr>
      <w:r w:rsidRPr="00092B22">
        <w:rPr>
          <w:rFonts w:ascii="Meta Pro" w:eastAsia="Times New Roman" w:hAnsi="Meta Pro"/>
          <w:szCs w:val="18"/>
          <w:lang w:eastAsia="en-AU"/>
        </w:rPr>
        <w:t xml:space="preserve">•   Level 1 – represents fair value measurements that reflect unadjusted quoted market prices in active markets for </w:t>
      </w:r>
      <w:r w:rsidRPr="00092B22">
        <w:rPr>
          <w:rFonts w:ascii="Meta Pro" w:eastAsia="Times New Roman" w:hAnsi="Meta Pro"/>
          <w:szCs w:val="18"/>
          <w:lang w:eastAsia="en-AU"/>
        </w:rPr>
        <w:br/>
        <w:t xml:space="preserve">     identical assets and liabilities</w:t>
      </w:r>
    </w:p>
    <w:p w14:paraId="4DC1392F" w14:textId="77777777" w:rsidR="003C20EB" w:rsidRPr="00092B22" w:rsidRDefault="003C20EB" w:rsidP="003C20EB">
      <w:pPr>
        <w:shd w:val="clear" w:color="auto" w:fill="EBEBEB"/>
        <w:rPr>
          <w:rFonts w:ascii="Meta Pro" w:eastAsia="Times New Roman" w:hAnsi="Meta Pro"/>
          <w:szCs w:val="18"/>
          <w:lang w:eastAsia="en-AU"/>
        </w:rPr>
      </w:pPr>
      <w:r w:rsidRPr="00092B22">
        <w:rPr>
          <w:rFonts w:ascii="Meta Pro" w:eastAsia="Times New Roman" w:hAnsi="Meta Pro"/>
          <w:szCs w:val="18"/>
          <w:lang w:eastAsia="en-AU"/>
        </w:rPr>
        <w:t xml:space="preserve">•   Level 2 – represents fair value measurements that are substantially derived from inputs other than quoted prices </w:t>
      </w:r>
      <w:r w:rsidRPr="00092B22">
        <w:rPr>
          <w:rFonts w:ascii="Meta Pro" w:eastAsia="Times New Roman" w:hAnsi="Meta Pro"/>
          <w:szCs w:val="18"/>
          <w:lang w:eastAsia="en-AU"/>
        </w:rPr>
        <w:br/>
        <w:t xml:space="preserve">     included within level 1 that are observable, either directly or indirectly</w:t>
      </w:r>
    </w:p>
    <w:p w14:paraId="08BBAA54" w14:textId="77777777" w:rsidR="003C20EB" w:rsidRPr="00092B22" w:rsidRDefault="003C20EB" w:rsidP="003C20EB">
      <w:pPr>
        <w:shd w:val="clear" w:color="auto" w:fill="EBEBEB"/>
        <w:rPr>
          <w:rFonts w:ascii="Meta Pro" w:eastAsia="Times New Roman" w:hAnsi="Meta Pro"/>
          <w:szCs w:val="18"/>
          <w:lang w:eastAsia="en-AU"/>
        </w:rPr>
      </w:pPr>
      <w:r w:rsidRPr="00092B22">
        <w:rPr>
          <w:rFonts w:ascii="Meta Pro" w:eastAsia="Times New Roman" w:hAnsi="Meta Pro"/>
          <w:szCs w:val="18"/>
          <w:lang w:eastAsia="en-AU"/>
        </w:rPr>
        <w:t>•   Level 3 – represents fair value measurements that are substantially derived from unobservable inputs.</w:t>
      </w:r>
    </w:p>
    <w:p w14:paraId="6F94BDA7" w14:textId="77777777" w:rsidR="003C20EB" w:rsidRPr="00092B22" w:rsidRDefault="003C20EB" w:rsidP="003C20EB">
      <w:pPr>
        <w:shd w:val="clear" w:color="auto" w:fill="EBEBEB"/>
        <w:spacing w:after="120"/>
        <w:rPr>
          <w:rFonts w:ascii="Meta Pro" w:eastAsia="Times New Roman" w:hAnsi="Meta Pro"/>
          <w:b/>
          <w:bCs/>
          <w:i/>
          <w:iCs/>
          <w:szCs w:val="18"/>
          <w:lang w:eastAsia="en-AU"/>
        </w:rPr>
      </w:pPr>
      <w:r w:rsidRPr="00092B22">
        <w:rPr>
          <w:rFonts w:ascii="Meta Pro" w:eastAsia="Times New Roman" w:hAnsi="Meta Pro"/>
          <w:b/>
          <w:bCs/>
          <w:i/>
          <w:iCs/>
          <w:szCs w:val="18"/>
          <w:lang w:eastAsia="en-AU"/>
        </w:rPr>
        <w:t>Valuation of property, plant and equipment</w:t>
      </w:r>
    </w:p>
    <w:p w14:paraId="383CA994" w14:textId="77777777" w:rsidR="003C20EB" w:rsidRPr="00092B22" w:rsidRDefault="003C20EB" w:rsidP="003C20EB">
      <w:pPr>
        <w:shd w:val="clear" w:color="auto" w:fill="EBEBEB"/>
        <w:spacing w:after="120"/>
        <w:rPr>
          <w:rFonts w:ascii="Meta Pro" w:hAnsi="Meta Pro"/>
          <w:b/>
          <w:bCs/>
          <w:sz w:val="24"/>
          <w:szCs w:val="24"/>
          <w:lang w:eastAsia="en-AU"/>
        </w:rPr>
      </w:pPr>
      <w:r w:rsidRPr="00092B22">
        <w:rPr>
          <w:rFonts w:ascii="Meta Pro" w:eastAsia="Times New Roman" w:hAnsi="Meta Pro"/>
          <w:szCs w:val="18"/>
          <w:lang w:eastAsia="en-AU"/>
        </w:rPr>
        <w:t xml:space="preserve">Plant and equipment assets and capital work in progress are measured at cost in accordance with Queensland Treasury’s </w:t>
      </w:r>
      <w:r w:rsidRPr="00092B22">
        <w:rPr>
          <w:rFonts w:ascii="Meta Pro" w:eastAsia="Times New Roman" w:hAnsi="Meta Pro"/>
          <w:i/>
          <w:iCs/>
          <w:szCs w:val="18"/>
          <w:lang w:eastAsia="en-AU"/>
        </w:rPr>
        <w:t>Non-Current Asset Policies for the Queensland Public Sector</w:t>
      </w:r>
      <w:r w:rsidRPr="00092B22">
        <w:rPr>
          <w:rFonts w:ascii="Meta Pro" w:eastAsia="Times New Roman" w:hAnsi="Meta Pro"/>
          <w:szCs w:val="18"/>
          <w:lang w:eastAsia="en-AU"/>
        </w:rPr>
        <w:t>.</w:t>
      </w:r>
    </w:p>
    <w:p w14:paraId="0A425AA0" w14:textId="77777777" w:rsidR="003C20EB" w:rsidRPr="00092B22" w:rsidRDefault="003C20EB" w:rsidP="003C20EB">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color w:val="000000"/>
          <w:szCs w:val="18"/>
          <w:lang w:eastAsia="en-AU"/>
        </w:rPr>
        <w:t>Land, buildings, major plant and equipment and infrastructure assets are measured and reported at their revalued amounts, being the fair value at the date of valuation, less any subsequent relevant accumulated depreciation and accumulated impairment.</w:t>
      </w:r>
    </w:p>
    <w:p w14:paraId="2E9B6705" w14:textId="77777777" w:rsidR="003C20EB" w:rsidRPr="00092B22" w:rsidRDefault="003C20EB" w:rsidP="003C20EB">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color w:val="000000"/>
          <w:szCs w:val="18"/>
          <w:lang w:eastAsia="en-AU"/>
        </w:rPr>
        <w:lastRenderedPageBreak/>
        <w:t>The cost of items acquired during the financial year materially represent their fair value at the end of the reporting period.</w:t>
      </w:r>
    </w:p>
    <w:p w14:paraId="1ACBFBD1" w14:textId="77777777" w:rsidR="003C20EB" w:rsidRPr="00092B22" w:rsidRDefault="003C20EB" w:rsidP="003C20EB">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color w:val="000000"/>
          <w:szCs w:val="18"/>
          <w:lang w:eastAsia="en-AU"/>
        </w:rPr>
        <w:t>Effective from 1 July 2021, heritage and cultural assets are included in the plant and equipment asset class and are no longer revalued as cost is considered to be fair value.</w:t>
      </w:r>
    </w:p>
    <w:p w14:paraId="1E8841F7" w14:textId="77777777" w:rsidR="003C20EB" w:rsidRPr="00092B22" w:rsidRDefault="003C20EB" w:rsidP="003C20EB">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color w:val="000000"/>
          <w:szCs w:val="18"/>
          <w:lang w:eastAsia="en-AU"/>
        </w:rPr>
        <w:t>Road infrastructure assets are valued on an annual basis by suitably qualified departmental officers and external experts. Land, buildings, major plant and equipment and other infrastructure assets are assessed by qualified valuers at least once every five years with appropriate indices being applied in the intervening years.</w:t>
      </w:r>
    </w:p>
    <w:p w14:paraId="6C576DAE" w14:textId="77777777" w:rsidR="003C20EB" w:rsidRPr="00092B22" w:rsidRDefault="003C20EB" w:rsidP="003C20EB">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color w:val="000000"/>
          <w:szCs w:val="18"/>
          <w:lang w:eastAsia="en-AU"/>
        </w:rPr>
        <w:t>During 2021–22 fair values within the land, buildings and major plant and equipment assets class were updated using suitable indices.</w:t>
      </w:r>
    </w:p>
    <w:p w14:paraId="71179AF4" w14:textId="77777777" w:rsidR="003C20EB" w:rsidRPr="00092B22" w:rsidRDefault="003C20EB" w:rsidP="003C20EB">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color w:val="000000"/>
          <w:szCs w:val="18"/>
          <w:lang w:eastAsia="en-AU"/>
        </w:rPr>
        <w:t>Any revaluation increment arising on the revaluation of an asset is credited to the asset revaluation surplus of the appropriate class, except to the extent it reverses a revaluation decrement for the class previously recognised as an expense. A decrease in the carrying amount on revaluation is charged as an expense, to the extent it exceeds the balance, if any, in the revaluation surplus relating to that class.</w:t>
      </w:r>
    </w:p>
    <w:p w14:paraId="31A06E77" w14:textId="77777777" w:rsidR="003C20EB" w:rsidRPr="00092B22" w:rsidRDefault="003C20EB" w:rsidP="003C20EB">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For assets revalued using a cost valuation approach accumulated depreciation is adjusted to equal the difference between the gross amount and carrying amount. </w:t>
      </w:r>
    </w:p>
    <w:p w14:paraId="71F9FFF5" w14:textId="72BA8D64" w:rsidR="00B515C3" w:rsidRDefault="003C20EB" w:rsidP="003C20EB">
      <w:r w:rsidRPr="00092B22">
        <w:rPr>
          <w:rFonts w:ascii="Meta Pro" w:eastAsia="Times New Roman" w:hAnsi="Meta Pro"/>
          <w:color w:val="000000"/>
          <w:szCs w:val="18"/>
          <w:lang w:eastAsia="en-AU"/>
        </w:rPr>
        <w:t>For assets revalued using a market or income based valuation approach accumulated depreciation is eliminated against the gross amount of the asset prior to restating for the revaluation.</w:t>
      </w:r>
    </w:p>
    <w:p w14:paraId="7D48ED1E" w14:textId="77777777" w:rsidR="00DA0770" w:rsidRPr="00092B22" w:rsidRDefault="00DA0770" w:rsidP="00DA0770">
      <w:pPr>
        <w:spacing w:after="160" w:line="259" w:lineRule="auto"/>
        <w:rPr>
          <w:rFonts w:ascii="Meta Pro" w:hAnsi="Meta Pro"/>
          <w:b/>
          <w:bCs/>
          <w:sz w:val="24"/>
          <w:szCs w:val="24"/>
          <w:lang w:eastAsia="en-AU"/>
        </w:rPr>
      </w:pPr>
      <w:r w:rsidRPr="00092B22">
        <w:rPr>
          <w:rFonts w:ascii="Meta Pro" w:hAnsi="Meta Pro"/>
          <w:b/>
          <w:bCs/>
          <w:sz w:val="24"/>
          <w:szCs w:val="24"/>
          <w:lang w:eastAsia="en-AU"/>
        </w:rPr>
        <w:t>15      PROPERTY, PLANT AND EQUIPMENT (continued)</w:t>
      </w:r>
    </w:p>
    <w:p w14:paraId="71BD8238" w14:textId="77777777" w:rsidR="00DA0770" w:rsidRPr="00092B22" w:rsidRDefault="00DA0770" w:rsidP="00DA0770">
      <w:pPr>
        <w:shd w:val="clear" w:color="auto" w:fill="EBEBEB"/>
        <w:rPr>
          <w:rFonts w:ascii="Meta Pro" w:eastAsia="Times New Roman" w:hAnsi="Meta Pro"/>
          <w:b/>
          <w:bCs/>
          <w:color w:val="000000"/>
          <w:sz w:val="20"/>
          <w:szCs w:val="20"/>
          <w:lang w:eastAsia="en-AU"/>
        </w:rPr>
      </w:pPr>
      <w:r w:rsidRPr="00092B22">
        <w:rPr>
          <w:rFonts w:ascii="Meta Pro" w:eastAsia="Times New Roman" w:hAnsi="Meta Pro"/>
          <w:b/>
          <w:bCs/>
          <w:color w:val="000000"/>
          <w:sz w:val="20"/>
          <w:szCs w:val="20"/>
          <w:lang w:eastAsia="en-AU"/>
        </w:rPr>
        <w:t>Accounting policy (continued)</w:t>
      </w:r>
    </w:p>
    <w:p w14:paraId="0E3994F5" w14:textId="77777777" w:rsidR="00DA0770" w:rsidRPr="00092B22" w:rsidRDefault="00DA0770" w:rsidP="00DA0770">
      <w:pPr>
        <w:shd w:val="clear" w:color="auto" w:fill="EBEBEB"/>
        <w:spacing w:after="120"/>
        <w:rPr>
          <w:rFonts w:ascii="Meta Pro" w:eastAsia="Times New Roman" w:hAnsi="Meta Pro"/>
          <w:b/>
          <w:bCs/>
          <w:i/>
          <w:iCs/>
          <w:szCs w:val="18"/>
          <w:lang w:eastAsia="en-AU"/>
        </w:rPr>
      </w:pPr>
      <w:r w:rsidRPr="00092B22">
        <w:rPr>
          <w:rFonts w:ascii="Meta Pro" w:eastAsia="Times New Roman" w:hAnsi="Meta Pro"/>
          <w:b/>
          <w:bCs/>
          <w:i/>
          <w:iCs/>
          <w:szCs w:val="18"/>
          <w:lang w:eastAsia="en-AU"/>
        </w:rPr>
        <w:t>Valuation of property, plant and equipment (continued)</w:t>
      </w:r>
    </w:p>
    <w:p w14:paraId="52144329" w14:textId="77777777" w:rsidR="00DA0770" w:rsidRPr="00092B22" w:rsidRDefault="00DA0770" w:rsidP="00DA0770">
      <w:pPr>
        <w:shd w:val="clear" w:color="auto" w:fill="EBEBEB"/>
        <w:spacing w:after="120"/>
        <w:rPr>
          <w:rFonts w:ascii="Meta Pro" w:eastAsia="Times New Roman" w:hAnsi="Meta Pro"/>
          <w:i/>
          <w:iCs/>
          <w:szCs w:val="18"/>
          <w:u w:val="single"/>
          <w:lang w:eastAsia="en-AU"/>
        </w:rPr>
      </w:pPr>
      <w:r w:rsidRPr="00092B22">
        <w:rPr>
          <w:rFonts w:ascii="Meta Pro" w:eastAsia="Times New Roman" w:hAnsi="Meta Pro"/>
          <w:i/>
          <w:iCs/>
          <w:szCs w:val="18"/>
          <w:u w:val="single"/>
          <w:lang w:eastAsia="en-AU"/>
        </w:rPr>
        <w:t>Land</w:t>
      </w:r>
    </w:p>
    <w:p w14:paraId="6E6152A9" w14:textId="77777777" w:rsidR="00DA0770" w:rsidRPr="00092B22" w:rsidRDefault="00DA0770" w:rsidP="00DA0770">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color w:val="000000"/>
          <w:szCs w:val="18"/>
          <w:lang w:eastAsia="en-AU"/>
        </w:rPr>
        <w:t>The department’s land was last revalued based on specific appraisal by external valuers and the department's Strategic Property Management unit as at September 2020. The fair value of land was based on recent comparable sales of similar land. Factors such as land restrictions, availability of market information and comparable sales were also taken into consideration during this specific appraisal.</w:t>
      </w:r>
    </w:p>
    <w:p w14:paraId="26AD0446" w14:textId="77777777" w:rsidR="00DA0770" w:rsidRPr="00092B22" w:rsidRDefault="00DA0770" w:rsidP="00DA0770">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color w:val="000000"/>
          <w:szCs w:val="18"/>
          <w:lang w:eastAsia="en-AU"/>
        </w:rPr>
        <w:t>The State Valuation Service has provided an individual factor change per property to determine fair value in 2022. In determining indices, the valuation incorporated market sales data, land valuations issued by the Valuer-General, the location of the department's land, its size, shape, street or road frontage and access and any other significant restrictions.</w:t>
      </w:r>
    </w:p>
    <w:p w14:paraId="5689B40A" w14:textId="77777777" w:rsidR="00DA0770" w:rsidRPr="00092B22" w:rsidRDefault="00DA0770" w:rsidP="00DA0770">
      <w:pPr>
        <w:shd w:val="clear" w:color="auto" w:fill="EBEBEB"/>
        <w:spacing w:after="120"/>
        <w:rPr>
          <w:rFonts w:ascii="Meta Pro" w:eastAsia="Times New Roman" w:hAnsi="Meta Pro"/>
          <w:szCs w:val="18"/>
          <w:lang w:eastAsia="en-AU"/>
        </w:rPr>
      </w:pPr>
      <w:r w:rsidRPr="00092B22">
        <w:rPr>
          <w:rFonts w:ascii="Meta Pro" w:eastAsia="Times New Roman" w:hAnsi="Meta Pro"/>
          <w:szCs w:val="18"/>
          <w:lang w:eastAsia="en-AU"/>
        </w:rPr>
        <w:t>In accordance with AASB 13</w:t>
      </w:r>
      <w:r w:rsidRPr="00092B22">
        <w:rPr>
          <w:rFonts w:ascii="Meta Pro" w:eastAsia="Times New Roman" w:hAnsi="Meta Pro"/>
          <w:i/>
          <w:iCs/>
          <w:szCs w:val="18"/>
          <w:lang w:eastAsia="en-AU"/>
        </w:rPr>
        <w:t xml:space="preserve"> Fair Value Measurement,</w:t>
      </w:r>
      <w:r w:rsidRPr="00092B22">
        <w:rPr>
          <w:rFonts w:ascii="Meta Pro" w:eastAsia="Times New Roman" w:hAnsi="Meta Pro"/>
          <w:szCs w:val="18"/>
          <w:lang w:eastAsia="en-AU"/>
        </w:rPr>
        <w:t xml:space="preserve"> the department's land assets are generally categorised as level 2.</w:t>
      </w:r>
    </w:p>
    <w:p w14:paraId="7BCCCFD3" w14:textId="77777777" w:rsidR="00DA0770" w:rsidRPr="00092B22" w:rsidRDefault="00DA0770" w:rsidP="00DA0770">
      <w:pPr>
        <w:shd w:val="clear" w:color="auto" w:fill="EBEBEB"/>
        <w:rPr>
          <w:rFonts w:ascii="Meta Pro" w:eastAsia="Times New Roman" w:hAnsi="Meta Pro"/>
          <w:szCs w:val="18"/>
          <w:lang w:eastAsia="en-AU"/>
        </w:rPr>
      </w:pPr>
      <w:r w:rsidRPr="00092B22">
        <w:rPr>
          <w:rFonts w:ascii="Meta Pro" w:eastAsia="Times New Roman" w:hAnsi="Meta Pro"/>
          <w:szCs w:val="18"/>
          <w:lang w:eastAsia="en-AU"/>
        </w:rPr>
        <w:t xml:space="preserve">Land subject to restrictions due to its size or use, and or ability to be sold, such as land located in areas where there is not an active market, has been classified as level 3. </w:t>
      </w:r>
    </w:p>
    <w:p w14:paraId="7521FD2A" w14:textId="77777777" w:rsidR="00DA0770" w:rsidRPr="00092B22" w:rsidRDefault="00DA0770" w:rsidP="00DA0770">
      <w:pPr>
        <w:shd w:val="clear" w:color="auto" w:fill="EBEBEB"/>
        <w:spacing w:after="120"/>
        <w:rPr>
          <w:rFonts w:ascii="Meta Pro" w:eastAsia="Times New Roman" w:hAnsi="Meta Pro"/>
          <w:i/>
          <w:iCs/>
          <w:szCs w:val="18"/>
          <w:u w:val="single"/>
          <w:lang w:eastAsia="en-AU"/>
        </w:rPr>
      </w:pPr>
      <w:r w:rsidRPr="00092B22">
        <w:rPr>
          <w:rFonts w:ascii="Meta Pro" w:eastAsia="Times New Roman" w:hAnsi="Meta Pro"/>
          <w:i/>
          <w:iCs/>
          <w:szCs w:val="18"/>
          <w:u w:val="single"/>
          <w:lang w:eastAsia="en-AU"/>
        </w:rPr>
        <w:t>Buildings</w:t>
      </w:r>
    </w:p>
    <w:p w14:paraId="33FA1896" w14:textId="77777777" w:rsidR="00DA0770" w:rsidRPr="00092B22" w:rsidRDefault="00DA0770" w:rsidP="00DA0770">
      <w:pPr>
        <w:shd w:val="clear" w:color="auto" w:fill="EBEBEB"/>
        <w:spacing w:after="120"/>
        <w:rPr>
          <w:rFonts w:ascii="Meta Pro" w:eastAsia="Times New Roman" w:hAnsi="Meta Pro"/>
          <w:szCs w:val="18"/>
          <w:lang w:eastAsia="en-AU"/>
        </w:rPr>
      </w:pPr>
      <w:r w:rsidRPr="00092B22">
        <w:rPr>
          <w:rFonts w:ascii="Meta Pro" w:eastAsia="Times New Roman" w:hAnsi="Meta Pro"/>
          <w:szCs w:val="18"/>
          <w:lang w:eastAsia="en-AU"/>
        </w:rPr>
        <w:t xml:space="preserve">The department's buildings were last revalued based on specific appraisal by various external valuers and registered valuers from the departments Strategic Property Management unit effective as at September 2020. The fair value of building assets was based on recent comparable sales. Factors such as current building use, availability of market information and building condition were also taken into consideration during this specific appraisal. </w:t>
      </w:r>
    </w:p>
    <w:p w14:paraId="1C8E14BA" w14:textId="77777777" w:rsidR="00DA0770" w:rsidRPr="00092B22" w:rsidRDefault="00DA0770" w:rsidP="00DA0770">
      <w:pPr>
        <w:shd w:val="clear" w:color="auto" w:fill="EBEBEB"/>
        <w:spacing w:after="120"/>
        <w:rPr>
          <w:rFonts w:ascii="Meta Pro" w:eastAsia="Times New Roman" w:hAnsi="Meta Pro"/>
          <w:szCs w:val="18"/>
          <w:lang w:eastAsia="en-AU"/>
        </w:rPr>
      </w:pPr>
      <w:r w:rsidRPr="00092B22">
        <w:rPr>
          <w:rFonts w:ascii="Meta Pro" w:eastAsia="Times New Roman" w:hAnsi="Meta Pro"/>
          <w:szCs w:val="18"/>
          <w:lang w:eastAsia="en-AU"/>
        </w:rPr>
        <w:lastRenderedPageBreak/>
        <w:t xml:space="preserve">The department's buildings were revalued in 2022 based on indexation information provided by various external valuers. </w:t>
      </w:r>
    </w:p>
    <w:p w14:paraId="11BDDC12" w14:textId="77777777" w:rsidR="00DA0770" w:rsidRPr="00092B22" w:rsidRDefault="00DA0770" w:rsidP="00DA0770">
      <w:pPr>
        <w:shd w:val="clear" w:color="auto" w:fill="EBEBEB"/>
        <w:rPr>
          <w:rFonts w:ascii="Meta Pro" w:eastAsia="Times New Roman" w:hAnsi="Meta Pro"/>
          <w:color w:val="000000"/>
          <w:szCs w:val="18"/>
          <w:lang w:eastAsia="en-AU"/>
        </w:rPr>
      </w:pPr>
      <w:r w:rsidRPr="00092B22">
        <w:rPr>
          <w:rFonts w:ascii="Meta Pro" w:eastAsia="Times New Roman" w:hAnsi="Meta Pro"/>
          <w:szCs w:val="18"/>
          <w:lang w:eastAsia="en-AU"/>
        </w:rPr>
        <w:t xml:space="preserve">The department's building assets are categorised as a combination of level 2 and level 3 in accordance with AASB 13 </w:t>
      </w:r>
      <w:r w:rsidRPr="00092B22">
        <w:rPr>
          <w:rFonts w:ascii="Meta Pro" w:eastAsia="Times New Roman" w:hAnsi="Meta Pro"/>
          <w:i/>
          <w:iCs/>
          <w:szCs w:val="18"/>
          <w:lang w:eastAsia="en-AU"/>
        </w:rPr>
        <w:t>Fair Value Measurement</w:t>
      </w:r>
      <w:r w:rsidRPr="00092B22">
        <w:rPr>
          <w:rFonts w:ascii="Meta Pro" w:eastAsia="Times New Roman" w:hAnsi="Meta Pro"/>
          <w:szCs w:val="18"/>
          <w:lang w:eastAsia="en-AU"/>
        </w:rPr>
        <w:t>. Significant buildings not used for residential purposes without an active market have been classified as level 3.</w:t>
      </w:r>
    </w:p>
    <w:p w14:paraId="7607F7F8" w14:textId="77777777" w:rsidR="00DA0770" w:rsidRPr="00092B22" w:rsidRDefault="00DA0770" w:rsidP="00DA0770">
      <w:pPr>
        <w:shd w:val="clear" w:color="auto" w:fill="EBEBEB"/>
        <w:spacing w:after="120"/>
        <w:rPr>
          <w:rFonts w:ascii="Meta Pro" w:eastAsia="Times New Roman" w:hAnsi="Meta Pro"/>
          <w:i/>
          <w:iCs/>
          <w:szCs w:val="18"/>
          <w:u w:val="single"/>
          <w:lang w:eastAsia="en-AU"/>
        </w:rPr>
      </w:pPr>
      <w:r w:rsidRPr="00092B22">
        <w:rPr>
          <w:rFonts w:ascii="Meta Pro" w:eastAsia="Times New Roman" w:hAnsi="Meta Pro"/>
          <w:i/>
          <w:iCs/>
          <w:szCs w:val="18"/>
          <w:u w:val="single"/>
          <w:lang w:eastAsia="en-AU"/>
        </w:rPr>
        <w:t>Major plant and equipment</w:t>
      </w:r>
    </w:p>
    <w:p w14:paraId="2AC0CC6C" w14:textId="77777777" w:rsidR="00DA0770" w:rsidRPr="00092B22" w:rsidRDefault="00DA0770" w:rsidP="00DA0770">
      <w:pPr>
        <w:shd w:val="clear" w:color="auto" w:fill="EBEBEB"/>
        <w:spacing w:after="120"/>
        <w:rPr>
          <w:rFonts w:ascii="Meta Pro" w:eastAsia="Times New Roman" w:hAnsi="Meta Pro"/>
          <w:szCs w:val="18"/>
          <w:lang w:eastAsia="en-AU"/>
        </w:rPr>
      </w:pPr>
      <w:r w:rsidRPr="00092B22">
        <w:rPr>
          <w:rFonts w:ascii="Meta Pro" w:eastAsia="Times New Roman" w:hAnsi="Meta Pro"/>
          <w:szCs w:val="18"/>
          <w:lang w:eastAsia="en-AU"/>
        </w:rPr>
        <w:t>The department's major plant and equipment was last revalued based on specific appraisal by an external valuer as at September 2020.</w:t>
      </w:r>
    </w:p>
    <w:p w14:paraId="416F114B" w14:textId="77777777" w:rsidR="00DA0770" w:rsidRPr="00092B22" w:rsidRDefault="00DA0770" w:rsidP="00DA0770">
      <w:pPr>
        <w:shd w:val="clear" w:color="auto" w:fill="EBEBEB"/>
        <w:spacing w:after="120"/>
        <w:rPr>
          <w:rFonts w:ascii="Meta Pro" w:eastAsia="Times New Roman" w:hAnsi="Meta Pro"/>
          <w:szCs w:val="18"/>
          <w:lang w:eastAsia="en-AU"/>
        </w:rPr>
      </w:pPr>
      <w:r w:rsidRPr="00092B22">
        <w:rPr>
          <w:rFonts w:ascii="Meta Pro" w:eastAsia="Times New Roman" w:hAnsi="Meta Pro"/>
          <w:szCs w:val="18"/>
          <w:lang w:eastAsia="en-AU"/>
        </w:rPr>
        <w:t>The valuation method used is current replacement cost as there is no active market existing for such assets. The approach consists of reviewing recent local and international rolling stock contracts adjusted for the relevant producer price index and historical exchange rates.</w:t>
      </w:r>
    </w:p>
    <w:p w14:paraId="5CF73DB7" w14:textId="77777777" w:rsidR="00DA0770" w:rsidRPr="00092B22" w:rsidRDefault="00DA0770" w:rsidP="00DA0770">
      <w:pPr>
        <w:shd w:val="clear" w:color="auto" w:fill="EBEBEB"/>
        <w:spacing w:after="120"/>
        <w:rPr>
          <w:rFonts w:ascii="Meta Pro" w:eastAsia="Times New Roman" w:hAnsi="Meta Pro"/>
          <w:szCs w:val="18"/>
          <w:lang w:eastAsia="en-AU"/>
        </w:rPr>
      </w:pPr>
      <w:r w:rsidRPr="00092B22">
        <w:rPr>
          <w:rFonts w:ascii="Meta Pro" w:eastAsia="Times New Roman" w:hAnsi="Meta Pro"/>
          <w:szCs w:val="18"/>
          <w:lang w:eastAsia="en-AU"/>
        </w:rPr>
        <w:t>The department's major plant and equipment was revalued in 2022 based on indexation information provided by an external valuer.</w:t>
      </w:r>
    </w:p>
    <w:p w14:paraId="14077CA9" w14:textId="77777777" w:rsidR="00DA0770" w:rsidRPr="00092B22" w:rsidRDefault="00DA0770" w:rsidP="00DA0770">
      <w:pPr>
        <w:shd w:val="clear" w:color="auto" w:fill="EBEBEB"/>
        <w:spacing w:after="120"/>
        <w:rPr>
          <w:rFonts w:ascii="Meta Pro" w:eastAsia="Times New Roman" w:hAnsi="Meta Pro"/>
          <w:szCs w:val="18"/>
          <w:lang w:eastAsia="en-AU"/>
        </w:rPr>
      </w:pPr>
      <w:r w:rsidRPr="00092B22">
        <w:rPr>
          <w:rFonts w:ascii="Meta Pro" w:eastAsia="Times New Roman" w:hAnsi="Meta Pro"/>
          <w:szCs w:val="18"/>
          <w:lang w:eastAsia="en-AU"/>
        </w:rPr>
        <w:t>Significant judgement is also used to assess the remaining service potential of the assets, including current condition.</w:t>
      </w:r>
    </w:p>
    <w:p w14:paraId="7E461770" w14:textId="77777777" w:rsidR="00DA0770" w:rsidRPr="00092B22" w:rsidRDefault="00DA0770" w:rsidP="00DA0770">
      <w:pPr>
        <w:shd w:val="clear" w:color="auto" w:fill="EBEBEB"/>
        <w:rPr>
          <w:rFonts w:ascii="Meta Pro" w:eastAsia="Times New Roman" w:hAnsi="Meta Pro"/>
          <w:szCs w:val="18"/>
          <w:lang w:eastAsia="en-AU"/>
        </w:rPr>
      </w:pPr>
      <w:r w:rsidRPr="00092B22">
        <w:rPr>
          <w:rFonts w:ascii="Meta Pro" w:eastAsia="Times New Roman" w:hAnsi="Meta Pro"/>
          <w:szCs w:val="18"/>
          <w:lang w:eastAsia="en-AU"/>
        </w:rPr>
        <w:t xml:space="preserve">In accordance with AASB 13 </w:t>
      </w:r>
      <w:r w:rsidRPr="00092B22">
        <w:rPr>
          <w:rFonts w:ascii="Meta Pro" w:eastAsia="Times New Roman" w:hAnsi="Meta Pro"/>
          <w:i/>
          <w:iCs/>
          <w:szCs w:val="18"/>
          <w:lang w:eastAsia="en-AU"/>
        </w:rPr>
        <w:t>Fair Value Measurement</w:t>
      </w:r>
      <w:r w:rsidRPr="00092B22">
        <w:rPr>
          <w:rFonts w:ascii="Meta Pro" w:eastAsia="Times New Roman" w:hAnsi="Meta Pro"/>
          <w:szCs w:val="18"/>
          <w:lang w:eastAsia="en-AU"/>
        </w:rPr>
        <w:t>, major plant and equipment assets are categorised as level 3.</w:t>
      </w:r>
    </w:p>
    <w:p w14:paraId="6CF03C5E" w14:textId="77777777" w:rsidR="00DA0770" w:rsidRPr="00092B22" w:rsidRDefault="00DA0770" w:rsidP="00DA0770">
      <w:pPr>
        <w:shd w:val="clear" w:color="auto" w:fill="EBEBEB"/>
        <w:spacing w:after="120"/>
        <w:rPr>
          <w:rFonts w:ascii="Meta Pro" w:eastAsia="Times New Roman" w:hAnsi="Meta Pro"/>
          <w:i/>
          <w:iCs/>
          <w:szCs w:val="18"/>
          <w:u w:val="single"/>
          <w:lang w:eastAsia="en-AU"/>
        </w:rPr>
      </w:pPr>
      <w:r w:rsidRPr="00092B22">
        <w:rPr>
          <w:rFonts w:ascii="Meta Pro" w:eastAsia="Times New Roman" w:hAnsi="Meta Pro"/>
          <w:i/>
          <w:iCs/>
          <w:szCs w:val="18"/>
          <w:u w:val="single"/>
          <w:lang w:eastAsia="en-AU"/>
        </w:rPr>
        <w:t>Infrastructure</w:t>
      </w:r>
    </w:p>
    <w:p w14:paraId="5748CE32" w14:textId="77777777" w:rsidR="00DA0770" w:rsidRPr="00092B22" w:rsidRDefault="00DA0770" w:rsidP="00DA0770">
      <w:pPr>
        <w:shd w:val="clear" w:color="auto" w:fill="EBEBEB"/>
        <w:spacing w:after="120"/>
        <w:rPr>
          <w:rFonts w:ascii="Meta Pro" w:hAnsi="Meta Pro"/>
          <w:b/>
          <w:bCs/>
          <w:sz w:val="24"/>
          <w:szCs w:val="24"/>
          <w:lang w:eastAsia="en-AU"/>
        </w:rPr>
      </w:pPr>
      <w:r w:rsidRPr="00092B22">
        <w:rPr>
          <w:rFonts w:ascii="Meta Pro" w:eastAsia="Times New Roman" w:hAnsi="Meta Pro"/>
          <w:szCs w:val="18"/>
          <w:lang w:eastAsia="en-AU"/>
        </w:rPr>
        <w:t>A full management valuation of the road infrastructure network asset as at 31 March 2022 was completed by suitably qualified and experienced departmental engineers and staff. The valuation methodology adopted to calculate fair value is based on the cost to acquire the service potential embodied in an asset and adjusted to reflect the asset’s present condition, functionality, technological and economic obsolescence. This is the estimated cost to replace an asset with an appropriate modern equivalent using current construction materials and standards, adjusted for changes in utility and service level.</w:t>
      </w:r>
    </w:p>
    <w:p w14:paraId="1F1B2B4F" w14:textId="77777777" w:rsidR="00DA0770" w:rsidRPr="00092B22" w:rsidRDefault="00DA0770" w:rsidP="00DA0770">
      <w:pPr>
        <w:shd w:val="clear" w:color="auto" w:fill="EBEBEB"/>
        <w:spacing w:after="120"/>
        <w:rPr>
          <w:rFonts w:ascii="Meta Pro" w:eastAsia="Times New Roman" w:hAnsi="Meta Pro"/>
          <w:szCs w:val="18"/>
          <w:lang w:eastAsia="en-AU"/>
        </w:rPr>
      </w:pPr>
      <w:r w:rsidRPr="00092B22">
        <w:rPr>
          <w:rFonts w:ascii="Meta Pro" w:eastAsia="Times New Roman" w:hAnsi="Meta Pro"/>
          <w:szCs w:val="18"/>
          <w:lang w:eastAsia="en-AU"/>
        </w:rPr>
        <w:t>The valuation involves a resource-based assessment to develop unit rates that provide a sound representation of the cost of replacing the service potential embodied in the asset. This process utilises the following key assumptions and judgements:</w:t>
      </w:r>
    </w:p>
    <w:p w14:paraId="705932B0" w14:textId="77777777" w:rsidR="00DA0770" w:rsidRPr="00092B22" w:rsidRDefault="00DA0770" w:rsidP="00DA0770">
      <w:pPr>
        <w:shd w:val="clear" w:color="auto" w:fill="EBEBEB"/>
        <w:rPr>
          <w:rFonts w:ascii="Meta Pro" w:eastAsia="Times New Roman" w:hAnsi="Meta Pro"/>
          <w:szCs w:val="18"/>
          <w:lang w:eastAsia="en-AU"/>
        </w:rPr>
      </w:pPr>
      <w:r w:rsidRPr="00092B22">
        <w:rPr>
          <w:rFonts w:ascii="Meta Pro" w:eastAsia="Times New Roman" w:hAnsi="Meta Pro"/>
          <w:szCs w:val="18"/>
          <w:lang w:eastAsia="en-AU"/>
        </w:rPr>
        <w:t>•   Stereotypical roads – The road network is broken down into stereotypical roads as a way of standardising the</w:t>
      </w:r>
    </w:p>
    <w:p w14:paraId="28FA8499" w14:textId="77777777" w:rsidR="00DA0770" w:rsidRPr="00092B22" w:rsidRDefault="00DA0770" w:rsidP="00DA0770">
      <w:pPr>
        <w:shd w:val="clear" w:color="auto" w:fill="EBEBEB"/>
        <w:rPr>
          <w:rFonts w:ascii="Meta Pro" w:eastAsia="Times New Roman" w:hAnsi="Meta Pro"/>
          <w:szCs w:val="18"/>
          <w:lang w:eastAsia="en-AU"/>
        </w:rPr>
      </w:pPr>
      <w:r w:rsidRPr="00092B22">
        <w:rPr>
          <w:rFonts w:ascii="Meta Pro" w:eastAsia="Times New Roman" w:hAnsi="Meta Pro"/>
          <w:szCs w:val="18"/>
          <w:lang w:eastAsia="en-AU"/>
        </w:rPr>
        <w:t xml:space="preserve">     complexities involved in road construction.</w:t>
      </w:r>
    </w:p>
    <w:p w14:paraId="2DBDA265" w14:textId="77777777" w:rsidR="00DA0770" w:rsidRPr="00092B22" w:rsidRDefault="00DA0770" w:rsidP="00DA0770">
      <w:pPr>
        <w:shd w:val="clear" w:color="auto" w:fill="EBEBEB"/>
        <w:rPr>
          <w:rFonts w:ascii="Meta Pro" w:eastAsia="Times New Roman" w:hAnsi="Meta Pro"/>
          <w:szCs w:val="18"/>
          <w:lang w:eastAsia="en-AU"/>
        </w:rPr>
      </w:pPr>
      <w:r w:rsidRPr="00092B22">
        <w:rPr>
          <w:rFonts w:ascii="Meta Pro" w:eastAsia="Times New Roman" w:hAnsi="Meta Pro"/>
          <w:szCs w:val="18"/>
          <w:lang w:eastAsia="en-AU"/>
        </w:rPr>
        <w:t xml:space="preserve">     The department estimates 13 different road stereotypes based on the road segments' complexity in relation to the</w:t>
      </w:r>
    </w:p>
    <w:p w14:paraId="5F0BDB19" w14:textId="77777777" w:rsidR="00DA0770" w:rsidRPr="00092B22" w:rsidRDefault="00DA0770" w:rsidP="00DA0770">
      <w:pPr>
        <w:shd w:val="clear" w:color="auto" w:fill="EBEBEB"/>
        <w:rPr>
          <w:rFonts w:ascii="Meta Pro" w:eastAsia="Times New Roman" w:hAnsi="Meta Pro"/>
          <w:szCs w:val="18"/>
          <w:lang w:eastAsia="en-AU"/>
        </w:rPr>
      </w:pPr>
      <w:r w:rsidRPr="00092B22">
        <w:rPr>
          <w:rFonts w:ascii="Meta Pro" w:eastAsia="Times New Roman" w:hAnsi="Meta Pro"/>
          <w:szCs w:val="18"/>
          <w:lang w:eastAsia="en-AU"/>
        </w:rPr>
        <w:t xml:space="preserve">     number and width of traffic lanes, standard of construction (based on date), number of carriageways, age of</w:t>
      </w:r>
    </w:p>
    <w:p w14:paraId="64E14930" w14:textId="77777777" w:rsidR="00DA0770" w:rsidRPr="00092B22" w:rsidRDefault="00DA0770" w:rsidP="00DA0770">
      <w:pPr>
        <w:shd w:val="clear" w:color="auto" w:fill="EBEBEB"/>
        <w:rPr>
          <w:rFonts w:ascii="Meta Pro" w:eastAsia="Times New Roman" w:hAnsi="Meta Pro"/>
          <w:szCs w:val="18"/>
          <w:lang w:eastAsia="en-AU"/>
        </w:rPr>
      </w:pPr>
      <w:r w:rsidRPr="00092B22">
        <w:rPr>
          <w:rFonts w:ascii="Meta Pro" w:eastAsia="Times New Roman" w:hAnsi="Meta Pro"/>
          <w:szCs w:val="18"/>
          <w:lang w:eastAsia="en-AU"/>
        </w:rPr>
        <w:t xml:space="preserve">     construction, and location (rural or urban). Stereotypes range from unformed roads through to major motorways and</w:t>
      </w:r>
    </w:p>
    <w:p w14:paraId="31C1A0FD" w14:textId="77777777" w:rsidR="00DA0770" w:rsidRPr="00092B22" w:rsidRDefault="00DA0770" w:rsidP="00DA0770">
      <w:pPr>
        <w:shd w:val="clear" w:color="auto" w:fill="EBEBEB"/>
        <w:rPr>
          <w:rFonts w:ascii="Meta Pro" w:eastAsia="Times New Roman" w:hAnsi="Meta Pro"/>
          <w:szCs w:val="18"/>
          <w:lang w:eastAsia="en-AU"/>
        </w:rPr>
      </w:pPr>
      <w:r w:rsidRPr="00092B22">
        <w:rPr>
          <w:rFonts w:ascii="Meta Pro" w:eastAsia="Times New Roman" w:hAnsi="Meta Pro"/>
          <w:szCs w:val="18"/>
          <w:lang w:eastAsia="en-AU"/>
        </w:rPr>
        <w:t xml:space="preserve">     busways and are further defined by complex category and sub-category mapping (for example, terrain – rolling, level,</w:t>
      </w:r>
    </w:p>
    <w:p w14:paraId="3BD8F2DF" w14:textId="3E9D0C71" w:rsidR="00DA0770" w:rsidRDefault="00DA0770" w:rsidP="00DA0770">
      <w:pPr>
        <w:rPr>
          <w:rFonts w:ascii="Meta Pro" w:eastAsia="Times New Roman" w:hAnsi="Meta Pro"/>
          <w:szCs w:val="18"/>
          <w:lang w:eastAsia="en-AU"/>
        </w:rPr>
      </w:pPr>
      <w:r w:rsidRPr="00092B22">
        <w:rPr>
          <w:rFonts w:ascii="Meta Pro" w:eastAsia="Times New Roman" w:hAnsi="Meta Pro"/>
          <w:szCs w:val="18"/>
          <w:lang w:eastAsia="en-AU"/>
        </w:rPr>
        <w:t xml:space="preserve">     mountainous).</w:t>
      </w:r>
    </w:p>
    <w:p w14:paraId="29F32198" w14:textId="4682F011" w:rsidR="00686630" w:rsidRDefault="00686630" w:rsidP="00DA0770">
      <w:pPr>
        <w:rPr>
          <w:rFonts w:ascii="Meta Pro" w:eastAsia="Times New Roman" w:hAnsi="Meta Pro"/>
          <w:szCs w:val="18"/>
          <w:lang w:eastAsia="en-AU"/>
        </w:rPr>
      </w:pPr>
    </w:p>
    <w:p w14:paraId="28408409" w14:textId="77777777" w:rsidR="0015717A" w:rsidRDefault="0015717A" w:rsidP="00DA0770">
      <w:pPr>
        <w:rPr>
          <w:rFonts w:ascii="Meta Pro" w:eastAsia="Times New Roman" w:hAnsi="Meta Pro"/>
          <w:szCs w:val="18"/>
          <w:lang w:eastAsia="en-AU"/>
        </w:rPr>
      </w:pPr>
    </w:p>
    <w:p w14:paraId="65F9E9EF" w14:textId="77777777" w:rsidR="00305C62" w:rsidRPr="00092B22" w:rsidRDefault="00305C62" w:rsidP="00305C62">
      <w:pPr>
        <w:spacing w:after="160" w:line="259" w:lineRule="auto"/>
        <w:rPr>
          <w:rFonts w:ascii="Meta Pro" w:hAnsi="Meta Pro"/>
          <w:b/>
          <w:bCs/>
          <w:sz w:val="24"/>
          <w:szCs w:val="24"/>
          <w:lang w:eastAsia="en-AU"/>
        </w:rPr>
      </w:pPr>
      <w:r w:rsidRPr="00092B22">
        <w:rPr>
          <w:rFonts w:ascii="Meta Pro" w:hAnsi="Meta Pro"/>
          <w:b/>
          <w:bCs/>
          <w:sz w:val="24"/>
          <w:szCs w:val="24"/>
          <w:lang w:eastAsia="en-AU"/>
        </w:rPr>
        <w:lastRenderedPageBreak/>
        <w:t>15      PROPERTY, PLANT AND EQUIPMENT (continued)</w:t>
      </w:r>
    </w:p>
    <w:p w14:paraId="3F905416" w14:textId="77777777" w:rsidR="00305C62" w:rsidRPr="00092B22" w:rsidRDefault="00305C62" w:rsidP="00305C62">
      <w:pPr>
        <w:shd w:val="clear" w:color="auto" w:fill="EBEBEB"/>
        <w:rPr>
          <w:rFonts w:ascii="Meta Pro" w:eastAsia="Times New Roman" w:hAnsi="Meta Pro"/>
          <w:b/>
          <w:bCs/>
          <w:color w:val="000000"/>
          <w:sz w:val="20"/>
          <w:szCs w:val="20"/>
          <w:lang w:eastAsia="en-AU"/>
        </w:rPr>
      </w:pPr>
      <w:r w:rsidRPr="00092B22">
        <w:rPr>
          <w:rFonts w:ascii="Meta Pro" w:eastAsia="Times New Roman" w:hAnsi="Meta Pro"/>
          <w:b/>
          <w:bCs/>
          <w:color w:val="000000"/>
          <w:sz w:val="20"/>
          <w:szCs w:val="20"/>
          <w:lang w:eastAsia="en-AU"/>
        </w:rPr>
        <w:t>Accounting policy (continued)</w:t>
      </w:r>
    </w:p>
    <w:p w14:paraId="1EF696CD" w14:textId="77777777" w:rsidR="00305C62" w:rsidRPr="00092B22" w:rsidRDefault="00305C62" w:rsidP="00305C62">
      <w:pPr>
        <w:shd w:val="clear" w:color="auto" w:fill="EBEBEB"/>
        <w:spacing w:after="120"/>
        <w:rPr>
          <w:rFonts w:ascii="Meta Pro" w:eastAsia="Times New Roman" w:hAnsi="Meta Pro"/>
          <w:b/>
          <w:bCs/>
          <w:i/>
          <w:iCs/>
          <w:szCs w:val="18"/>
          <w:lang w:eastAsia="en-AU"/>
        </w:rPr>
      </w:pPr>
      <w:r w:rsidRPr="00092B22">
        <w:rPr>
          <w:rFonts w:ascii="Meta Pro" w:eastAsia="Times New Roman" w:hAnsi="Meta Pro"/>
          <w:b/>
          <w:bCs/>
          <w:i/>
          <w:iCs/>
          <w:szCs w:val="18"/>
          <w:lang w:eastAsia="en-AU"/>
        </w:rPr>
        <w:t>Valuation of property, plant and equipment (continued)</w:t>
      </w:r>
    </w:p>
    <w:p w14:paraId="750402E6" w14:textId="77777777" w:rsidR="00305C62" w:rsidRPr="00092B22" w:rsidRDefault="00305C62" w:rsidP="00305C62">
      <w:pPr>
        <w:shd w:val="clear" w:color="auto" w:fill="EBEBEB"/>
        <w:spacing w:after="120"/>
        <w:rPr>
          <w:rFonts w:ascii="Meta Pro" w:eastAsia="Times New Roman" w:hAnsi="Meta Pro"/>
          <w:i/>
          <w:iCs/>
          <w:szCs w:val="18"/>
          <w:u w:val="single"/>
          <w:lang w:eastAsia="en-AU"/>
        </w:rPr>
      </w:pPr>
      <w:r w:rsidRPr="00092B22">
        <w:rPr>
          <w:rFonts w:ascii="Meta Pro" w:eastAsia="Times New Roman" w:hAnsi="Meta Pro"/>
          <w:i/>
          <w:iCs/>
          <w:szCs w:val="18"/>
          <w:u w:val="single"/>
          <w:lang w:eastAsia="en-AU"/>
        </w:rPr>
        <w:t>Infrastructure (continued)</w:t>
      </w:r>
    </w:p>
    <w:p w14:paraId="35F015E2" w14:textId="77777777" w:rsidR="00305C62" w:rsidRPr="00092B22" w:rsidRDefault="00305C62" w:rsidP="00305C62">
      <w:pPr>
        <w:shd w:val="clear" w:color="auto" w:fill="EBEBEB"/>
        <w:ind w:left="255" w:hanging="255"/>
        <w:rPr>
          <w:rFonts w:ascii="Meta Pro" w:eastAsia="Times New Roman" w:hAnsi="Meta Pro"/>
          <w:szCs w:val="18"/>
          <w:lang w:eastAsia="en-AU"/>
        </w:rPr>
      </w:pPr>
      <w:r w:rsidRPr="00092B22">
        <w:rPr>
          <w:rFonts w:ascii="Meta Pro" w:eastAsia="Times New Roman" w:hAnsi="Meta Pro"/>
          <w:szCs w:val="18"/>
          <w:lang w:eastAsia="en-AU"/>
        </w:rPr>
        <w:t>•   Project work breakdown structure (WBS) – Each stereotype is supported by a complex breakdown of WBS schedules</w:t>
      </w:r>
    </w:p>
    <w:p w14:paraId="56846155" w14:textId="77777777" w:rsidR="00305C62" w:rsidRPr="00092B22" w:rsidRDefault="00305C62" w:rsidP="00305C62">
      <w:pPr>
        <w:shd w:val="clear" w:color="auto" w:fill="EBEBEB"/>
        <w:ind w:left="255" w:hanging="255"/>
        <w:rPr>
          <w:rFonts w:ascii="Meta Pro" w:eastAsia="Times New Roman" w:hAnsi="Meta Pro"/>
          <w:szCs w:val="18"/>
          <w:lang w:eastAsia="en-AU"/>
        </w:rPr>
      </w:pPr>
      <w:r w:rsidRPr="00092B22">
        <w:rPr>
          <w:rFonts w:ascii="Meta Pro" w:eastAsia="Times New Roman" w:hAnsi="Meta Pro"/>
          <w:szCs w:val="18"/>
          <w:lang w:eastAsia="en-AU"/>
        </w:rPr>
        <w:t xml:space="preserve">     representing the types of projects that would be undertaken to replace and renew relevant asset components.</w:t>
      </w:r>
    </w:p>
    <w:p w14:paraId="2F96D8BD" w14:textId="77777777" w:rsidR="00305C62" w:rsidRPr="00092B22" w:rsidRDefault="00305C62" w:rsidP="00305C62">
      <w:pPr>
        <w:shd w:val="clear" w:color="auto" w:fill="EBEBEB"/>
        <w:ind w:left="255" w:hanging="255"/>
        <w:rPr>
          <w:rFonts w:ascii="Meta Pro" w:eastAsia="Times New Roman" w:hAnsi="Meta Pro"/>
          <w:szCs w:val="18"/>
          <w:lang w:eastAsia="en-AU"/>
        </w:rPr>
      </w:pPr>
      <w:r w:rsidRPr="00092B22">
        <w:rPr>
          <w:rFonts w:ascii="Meta Pro" w:eastAsia="Times New Roman" w:hAnsi="Meta Pro"/>
          <w:szCs w:val="18"/>
          <w:lang w:eastAsia="en-AU"/>
        </w:rPr>
        <w:t xml:space="preserve">     As WBS represent a standardised road construction, assumptions are made on the area used for each WBS. The areas</w:t>
      </w:r>
    </w:p>
    <w:p w14:paraId="4905A2DA" w14:textId="77777777" w:rsidR="00305C62" w:rsidRPr="00092B22" w:rsidRDefault="00305C62" w:rsidP="00305C62">
      <w:pPr>
        <w:shd w:val="clear" w:color="auto" w:fill="EBEBEB"/>
        <w:ind w:left="255" w:hanging="255"/>
        <w:rPr>
          <w:rFonts w:ascii="Meta Pro" w:eastAsia="Times New Roman" w:hAnsi="Meta Pro"/>
          <w:szCs w:val="18"/>
          <w:lang w:eastAsia="en-AU"/>
        </w:rPr>
      </w:pPr>
      <w:r w:rsidRPr="00092B22">
        <w:rPr>
          <w:rFonts w:ascii="Meta Pro" w:eastAsia="Times New Roman" w:hAnsi="Meta Pro"/>
          <w:szCs w:val="18"/>
          <w:lang w:eastAsia="en-AU"/>
        </w:rPr>
        <w:t xml:space="preserve">     have been determined by a firm of consultant engineers and are reviewed and updated as necessary. There is a small</w:t>
      </w:r>
    </w:p>
    <w:p w14:paraId="78455704" w14:textId="77777777" w:rsidR="00305C62" w:rsidRPr="00092B22" w:rsidRDefault="00305C62" w:rsidP="00305C62">
      <w:pPr>
        <w:shd w:val="clear" w:color="auto" w:fill="EBEBEB"/>
        <w:spacing w:after="120"/>
        <w:ind w:left="255" w:hanging="255"/>
        <w:rPr>
          <w:rFonts w:ascii="Meta Pro" w:eastAsia="Times New Roman" w:hAnsi="Meta Pro"/>
          <w:szCs w:val="18"/>
          <w:lang w:eastAsia="en-AU"/>
        </w:rPr>
      </w:pPr>
      <w:r w:rsidRPr="00092B22">
        <w:rPr>
          <w:rFonts w:ascii="Meta Pro" w:eastAsia="Times New Roman" w:hAnsi="Meta Pro"/>
          <w:szCs w:val="18"/>
          <w:lang w:eastAsia="en-AU"/>
        </w:rPr>
        <w:t xml:space="preserve">     number of derived WBS schedules that are based on other similar WBS instead of their own schedule of work activities.</w:t>
      </w:r>
    </w:p>
    <w:p w14:paraId="17281BC8" w14:textId="77777777" w:rsidR="00305C62" w:rsidRPr="00092B22" w:rsidRDefault="00305C62" w:rsidP="00305C62">
      <w:pPr>
        <w:shd w:val="clear" w:color="auto" w:fill="EBEBEB"/>
        <w:ind w:left="255" w:hanging="255"/>
        <w:rPr>
          <w:rFonts w:ascii="Meta Pro" w:eastAsia="Times New Roman" w:hAnsi="Meta Pro"/>
          <w:szCs w:val="18"/>
          <w:lang w:eastAsia="en-AU"/>
        </w:rPr>
      </w:pPr>
      <w:r w:rsidRPr="00092B22">
        <w:rPr>
          <w:rFonts w:ascii="Meta Pro" w:eastAsia="Times New Roman" w:hAnsi="Meta Pro"/>
          <w:szCs w:val="18"/>
          <w:lang w:eastAsia="en-AU"/>
        </w:rPr>
        <w:t>•   Unit rates – The unit rates applied to stereotypical roads are priced by an expert estimating firm using current market</w:t>
      </w:r>
    </w:p>
    <w:p w14:paraId="78BE8DB6" w14:textId="77777777" w:rsidR="00305C62" w:rsidRPr="00092B22" w:rsidRDefault="00305C62" w:rsidP="00305C62">
      <w:pPr>
        <w:shd w:val="clear" w:color="auto" w:fill="EBEBEB"/>
        <w:ind w:left="255" w:hanging="255"/>
        <w:rPr>
          <w:rFonts w:ascii="Meta Pro" w:eastAsia="Times New Roman" w:hAnsi="Meta Pro"/>
          <w:szCs w:val="18"/>
          <w:lang w:eastAsia="en-AU"/>
        </w:rPr>
      </w:pPr>
      <w:r w:rsidRPr="00092B22">
        <w:rPr>
          <w:rFonts w:ascii="Meta Pro" w:eastAsia="Times New Roman" w:hAnsi="Meta Pro"/>
          <w:szCs w:val="18"/>
          <w:lang w:eastAsia="en-AU"/>
        </w:rPr>
        <w:t xml:space="preserve">     rates of inputs such as raw materials, plant and labour to underpin the detailed WBS schedules representing the way in</w:t>
      </w:r>
    </w:p>
    <w:p w14:paraId="414F78F3" w14:textId="77777777" w:rsidR="00305C62" w:rsidRPr="00092B22" w:rsidRDefault="00305C62" w:rsidP="00305C62">
      <w:pPr>
        <w:shd w:val="clear" w:color="auto" w:fill="EBEBEB"/>
        <w:ind w:left="255" w:hanging="255"/>
        <w:rPr>
          <w:rFonts w:ascii="Meta Pro" w:eastAsia="Times New Roman" w:hAnsi="Meta Pro"/>
          <w:szCs w:val="18"/>
          <w:lang w:eastAsia="en-AU"/>
        </w:rPr>
      </w:pPr>
      <w:r w:rsidRPr="00092B22">
        <w:rPr>
          <w:rFonts w:ascii="Meta Pro" w:eastAsia="Times New Roman" w:hAnsi="Meta Pro"/>
          <w:szCs w:val="18"/>
          <w:lang w:eastAsia="en-AU"/>
        </w:rPr>
        <w:t xml:space="preserve">     which certain stereotypical roads would be replaced. Inputs are sourced directly from suppliers and subcontractors</w:t>
      </w:r>
    </w:p>
    <w:p w14:paraId="20DFE99B" w14:textId="77777777" w:rsidR="00305C62" w:rsidRPr="00092B22" w:rsidRDefault="00305C62" w:rsidP="00305C62">
      <w:pPr>
        <w:shd w:val="clear" w:color="auto" w:fill="EBEBEB"/>
        <w:spacing w:after="120"/>
        <w:ind w:left="255" w:hanging="255"/>
        <w:rPr>
          <w:rFonts w:ascii="Meta Pro" w:eastAsia="Times New Roman" w:hAnsi="Meta Pro"/>
          <w:szCs w:val="18"/>
          <w:lang w:eastAsia="en-AU"/>
        </w:rPr>
      </w:pPr>
      <w:r w:rsidRPr="00092B22">
        <w:rPr>
          <w:rFonts w:ascii="Meta Pro" w:eastAsia="Times New Roman" w:hAnsi="Meta Pro"/>
          <w:szCs w:val="18"/>
          <w:lang w:eastAsia="en-AU"/>
        </w:rPr>
        <w:t xml:space="preserve">     competing in the marketplace in Queensland.</w:t>
      </w:r>
    </w:p>
    <w:p w14:paraId="4911A54B" w14:textId="77777777" w:rsidR="00305C62" w:rsidRPr="00092B22" w:rsidRDefault="00305C62" w:rsidP="00305C62">
      <w:pPr>
        <w:shd w:val="clear" w:color="auto" w:fill="EBEBEB"/>
        <w:ind w:left="255" w:hanging="255"/>
        <w:rPr>
          <w:rFonts w:ascii="Meta Pro" w:eastAsia="Times New Roman" w:hAnsi="Meta Pro"/>
          <w:szCs w:val="18"/>
          <w:lang w:eastAsia="en-AU"/>
        </w:rPr>
      </w:pPr>
      <w:r w:rsidRPr="00092B22">
        <w:rPr>
          <w:rFonts w:ascii="Meta Pro" w:eastAsia="Times New Roman" w:hAnsi="Meta Pro"/>
          <w:szCs w:val="18"/>
          <w:lang w:eastAsia="en-AU"/>
        </w:rPr>
        <w:t xml:space="preserve">     The unit rates, including underlying assumptions and specific details contained in the stereotypes, are ratified annually</w:t>
      </w:r>
    </w:p>
    <w:p w14:paraId="44FEFABF" w14:textId="77777777" w:rsidR="00305C62" w:rsidRPr="00092B22" w:rsidRDefault="00305C62" w:rsidP="00305C62">
      <w:pPr>
        <w:shd w:val="clear" w:color="auto" w:fill="EBEBEB"/>
        <w:rPr>
          <w:rFonts w:ascii="Meta Pro" w:eastAsia="Times New Roman" w:hAnsi="Meta Pro"/>
          <w:szCs w:val="18"/>
          <w:lang w:eastAsia="en-AU"/>
        </w:rPr>
      </w:pPr>
      <w:r w:rsidRPr="00092B22">
        <w:rPr>
          <w:rFonts w:ascii="Meta Pro" w:eastAsia="Times New Roman" w:hAnsi="Meta Pro"/>
          <w:szCs w:val="18"/>
          <w:lang w:eastAsia="en-AU"/>
        </w:rPr>
        <w:t xml:space="preserve">     by an expert panel consisting of engineers and staff from a range of disciplines across the department in conjunction</w:t>
      </w:r>
    </w:p>
    <w:p w14:paraId="04E65CB0" w14:textId="77777777" w:rsidR="00305C62" w:rsidRPr="00092B22" w:rsidRDefault="00305C62" w:rsidP="00305C62">
      <w:pPr>
        <w:shd w:val="clear" w:color="auto" w:fill="EBEBEB"/>
        <w:spacing w:after="120"/>
        <w:rPr>
          <w:rFonts w:ascii="Meta Pro" w:hAnsi="Meta Pro"/>
          <w:b/>
          <w:bCs/>
          <w:sz w:val="24"/>
          <w:szCs w:val="24"/>
          <w:lang w:eastAsia="en-AU"/>
        </w:rPr>
      </w:pPr>
      <w:r w:rsidRPr="00092B22">
        <w:rPr>
          <w:rFonts w:ascii="Meta Pro" w:eastAsia="Times New Roman" w:hAnsi="Meta Pro"/>
          <w:szCs w:val="18"/>
          <w:lang w:eastAsia="en-AU"/>
        </w:rPr>
        <w:t xml:space="preserve">     with local government and industry.</w:t>
      </w:r>
    </w:p>
    <w:p w14:paraId="147E839D" w14:textId="77777777" w:rsidR="00305C62" w:rsidRPr="00092B22" w:rsidRDefault="00305C62" w:rsidP="00305C62">
      <w:pPr>
        <w:shd w:val="clear" w:color="auto" w:fill="EBEBEB"/>
        <w:spacing w:after="120"/>
        <w:rPr>
          <w:rFonts w:ascii="Meta Pro" w:eastAsia="Times New Roman" w:hAnsi="Meta Pro"/>
          <w:szCs w:val="18"/>
          <w:lang w:eastAsia="en-AU"/>
        </w:rPr>
      </w:pPr>
      <w:r w:rsidRPr="00092B22">
        <w:rPr>
          <w:rFonts w:ascii="Meta Pro" w:eastAsia="Times New Roman" w:hAnsi="Meta Pro"/>
          <w:szCs w:val="18"/>
          <w:lang w:eastAsia="en-AU"/>
        </w:rPr>
        <w:t>Remaining useful lives are estimated using past experience as detailed in the department's road condition models and in the extensive rule set that is applied to determine when an appropriate works intervention will occur. Consideration is also given to planned replacement programs as a result of observation of road use deterioration and environmental factors such as:</w:t>
      </w:r>
    </w:p>
    <w:p w14:paraId="548BCFF0" w14:textId="77777777" w:rsidR="00305C62" w:rsidRPr="00092B22" w:rsidRDefault="00305C62" w:rsidP="00305C62">
      <w:pPr>
        <w:shd w:val="clear" w:color="auto" w:fill="EBEBEB"/>
        <w:spacing w:after="120"/>
        <w:rPr>
          <w:rFonts w:ascii="Meta Pro" w:eastAsia="Times New Roman" w:hAnsi="Meta Pro"/>
          <w:szCs w:val="18"/>
          <w:lang w:eastAsia="en-AU"/>
        </w:rPr>
      </w:pPr>
      <w:r w:rsidRPr="00092B22">
        <w:rPr>
          <w:rFonts w:ascii="Meta Pro" w:eastAsia="Times New Roman" w:hAnsi="Meta Pro"/>
          <w:szCs w:val="18"/>
          <w:lang w:eastAsia="en-AU"/>
        </w:rPr>
        <w:t>•   Traffic volume</w:t>
      </w:r>
      <w:r w:rsidRPr="00092B22">
        <w:rPr>
          <w:rFonts w:ascii="Meta Pro" w:eastAsia="Times New Roman" w:hAnsi="Meta Pro"/>
          <w:szCs w:val="18"/>
          <w:lang w:eastAsia="en-AU"/>
        </w:rPr>
        <w:br/>
        <w:t>•   Rutting</w:t>
      </w:r>
      <w:r w:rsidRPr="00092B22">
        <w:rPr>
          <w:rFonts w:ascii="Meta Pro" w:eastAsia="Times New Roman" w:hAnsi="Meta Pro"/>
          <w:szCs w:val="18"/>
          <w:lang w:eastAsia="en-AU"/>
        </w:rPr>
        <w:br/>
        <w:t>•   Cracking</w:t>
      </w:r>
      <w:r w:rsidRPr="00092B22">
        <w:rPr>
          <w:rFonts w:ascii="Meta Pro" w:eastAsia="Times New Roman" w:hAnsi="Meta Pro"/>
          <w:szCs w:val="18"/>
          <w:lang w:eastAsia="en-AU"/>
        </w:rPr>
        <w:br/>
        <w:t>•   Roughness</w:t>
      </w:r>
      <w:r w:rsidRPr="00092B22">
        <w:rPr>
          <w:rFonts w:ascii="Meta Pro" w:eastAsia="Times New Roman" w:hAnsi="Meta Pro"/>
          <w:szCs w:val="18"/>
          <w:lang w:eastAsia="en-AU"/>
        </w:rPr>
        <w:br/>
        <w:t>•   Safety</w:t>
      </w:r>
      <w:r w:rsidRPr="00092B22">
        <w:rPr>
          <w:rFonts w:ascii="Meta Pro" w:eastAsia="Times New Roman" w:hAnsi="Meta Pro"/>
          <w:szCs w:val="18"/>
          <w:lang w:eastAsia="en-AU"/>
        </w:rPr>
        <w:br/>
        <w:t>•   Number of years in use.</w:t>
      </w:r>
    </w:p>
    <w:p w14:paraId="12B502FB" w14:textId="77777777" w:rsidR="00305C62" w:rsidRPr="00092B22" w:rsidRDefault="00305C62" w:rsidP="00305C62">
      <w:pPr>
        <w:shd w:val="clear" w:color="auto" w:fill="EBEBEB"/>
        <w:spacing w:after="120"/>
        <w:rPr>
          <w:rFonts w:ascii="Meta Pro" w:eastAsia="Times New Roman" w:hAnsi="Meta Pro"/>
          <w:szCs w:val="18"/>
          <w:lang w:eastAsia="en-AU"/>
        </w:rPr>
      </w:pPr>
      <w:r w:rsidRPr="00092B22">
        <w:rPr>
          <w:rFonts w:ascii="Meta Pro" w:eastAsia="Times New Roman" w:hAnsi="Meta Pro"/>
          <w:szCs w:val="18"/>
          <w:lang w:eastAsia="en-AU"/>
        </w:rPr>
        <w:t>As there is no active market for the department's infrastructure assets, the valuation approach used is current replacement cost. This is the assets’ measurement of their highest and best use. While the unit rates database consists of market derived component costs which includes raw materials and other costs of construction (level 2 inputs), there are also significant level 3 unobservable inputs such as useful life and asset condition which require extensive professional judgement. Differences in the assessment of these level 3 inputs would not result in material changes in the reported fair value.</w:t>
      </w:r>
    </w:p>
    <w:p w14:paraId="45401406" w14:textId="77777777" w:rsidR="00305C62" w:rsidRPr="00092B22" w:rsidRDefault="00305C62" w:rsidP="00305C62">
      <w:pPr>
        <w:shd w:val="clear" w:color="auto" w:fill="EBEBEB"/>
        <w:spacing w:after="120"/>
        <w:rPr>
          <w:rFonts w:ascii="Meta Pro" w:eastAsia="Times New Roman" w:hAnsi="Meta Pro"/>
          <w:szCs w:val="18"/>
          <w:lang w:eastAsia="en-AU"/>
        </w:rPr>
      </w:pPr>
      <w:r w:rsidRPr="00092B22">
        <w:rPr>
          <w:rFonts w:ascii="Meta Pro" w:eastAsia="Times New Roman" w:hAnsi="Meta Pro"/>
          <w:szCs w:val="18"/>
          <w:lang w:eastAsia="en-AU"/>
        </w:rPr>
        <w:lastRenderedPageBreak/>
        <w:t>The department determines the current replacement cost of structures on the infrastructure network through an approach that takes into consideration an expert review of actual construction costs and resource rates to replace existing bridges, tunnels and major culverts. This is achieved by referencing past works of similar construction method and moderating for changes in market movements through a combination of market indexation and referencing of recent actual construction costs and resource rates.</w:t>
      </w:r>
    </w:p>
    <w:p w14:paraId="464D16E7" w14:textId="77777777" w:rsidR="00305C62" w:rsidRPr="00092B22" w:rsidRDefault="00305C62" w:rsidP="00305C62">
      <w:pPr>
        <w:shd w:val="clear" w:color="auto" w:fill="EBEBEB"/>
        <w:spacing w:after="120"/>
        <w:rPr>
          <w:rFonts w:ascii="Meta Pro" w:eastAsia="Times New Roman" w:hAnsi="Meta Pro"/>
          <w:szCs w:val="18"/>
          <w:lang w:eastAsia="en-AU"/>
        </w:rPr>
      </w:pPr>
      <w:r w:rsidRPr="00092B22">
        <w:rPr>
          <w:rFonts w:ascii="Meta Pro" w:eastAsia="Times New Roman" w:hAnsi="Meta Pro"/>
          <w:szCs w:val="18"/>
          <w:lang w:eastAsia="en-AU"/>
        </w:rPr>
        <w:t>Unit rates for the current replacement cost of bridges and tunnels are derived from a combination of the current and prior four years' project costs and other departmental system reports, and market indexation, moderated by internal engineering experts. Unit rates for the current replacement cost of major culverts are derived from resource rates and use of the Expert Estimation tool, moderated by internal engineering experts. These unit rates are then certified by the department's Deputy Chief Engineer (Structures).</w:t>
      </w:r>
    </w:p>
    <w:p w14:paraId="167464E7" w14:textId="77777777" w:rsidR="00305C62" w:rsidRPr="00092B22" w:rsidRDefault="00305C62" w:rsidP="00305C62">
      <w:pPr>
        <w:shd w:val="clear" w:color="auto" w:fill="EBEBEB"/>
        <w:spacing w:after="120"/>
        <w:rPr>
          <w:rFonts w:ascii="Meta Pro" w:eastAsia="Times New Roman" w:hAnsi="Meta Pro"/>
          <w:szCs w:val="18"/>
          <w:lang w:eastAsia="en-AU"/>
        </w:rPr>
      </w:pPr>
      <w:r w:rsidRPr="00092B22">
        <w:rPr>
          <w:rFonts w:ascii="Meta Pro" w:eastAsia="Times New Roman" w:hAnsi="Meta Pro"/>
          <w:szCs w:val="18"/>
          <w:lang w:eastAsia="en-AU"/>
        </w:rPr>
        <w:t>The department's other infrastructure was revalued as at September 2020 based on specific appraisal by an external valuer using a costing database similar to the unit rates process used for road infrastructure. During 2022 these asset values were indexed using suitable indices supplied by external valuers.</w:t>
      </w:r>
    </w:p>
    <w:p w14:paraId="0A4FA240" w14:textId="77777777" w:rsidR="00305C62" w:rsidRPr="00092B22" w:rsidRDefault="00305C62" w:rsidP="00305C62">
      <w:pPr>
        <w:shd w:val="clear" w:color="auto" w:fill="EBEBEB"/>
        <w:spacing w:after="120"/>
        <w:rPr>
          <w:rFonts w:ascii="Meta Pro" w:eastAsia="Times New Roman" w:hAnsi="Meta Pro"/>
          <w:szCs w:val="18"/>
          <w:lang w:eastAsia="en-AU"/>
        </w:rPr>
      </w:pPr>
      <w:r w:rsidRPr="00092B22">
        <w:rPr>
          <w:rFonts w:ascii="Meta Pro" w:eastAsia="Times New Roman" w:hAnsi="Meta Pro"/>
          <w:szCs w:val="18"/>
          <w:lang w:eastAsia="en-AU"/>
        </w:rPr>
        <w:t>As with the department’s road infrastructure assets, there is no active market for other infrastructure. Therefore current replacement cost is the measurement of the other infrastructure assets highest and best use.</w:t>
      </w:r>
    </w:p>
    <w:p w14:paraId="2C102ACC" w14:textId="77777777" w:rsidR="00305C62" w:rsidRPr="00092B22" w:rsidRDefault="00305C62" w:rsidP="00305C62">
      <w:pPr>
        <w:shd w:val="clear" w:color="auto" w:fill="EBEBEB"/>
        <w:spacing w:after="120"/>
        <w:rPr>
          <w:rFonts w:ascii="Meta Pro" w:eastAsia="Times New Roman" w:hAnsi="Meta Pro"/>
          <w:szCs w:val="18"/>
          <w:lang w:eastAsia="en-AU"/>
        </w:rPr>
      </w:pPr>
      <w:r w:rsidRPr="00092B22">
        <w:rPr>
          <w:rFonts w:ascii="Meta Pro" w:eastAsia="Times New Roman" w:hAnsi="Meta Pro"/>
          <w:szCs w:val="18"/>
          <w:lang w:eastAsia="en-AU"/>
        </w:rPr>
        <w:t xml:space="preserve">In accordance with AASB 13 </w:t>
      </w:r>
      <w:r w:rsidRPr="00092B22">
        <w:rPr>
          <w:rFonts w:ascii="Meta Pro" w:eastAsia="Times New Roman" w:hAnsi="Meta Pro"/>
          <w:i/>
          <w:iCs/>
          <w:szCs w:val="18"/>
          <w:lang w:eastAsia="en-AU"/>
        </w:rPr>
        <w:t>Fair Value Measurement</w:t>
      </w:r>
      <w:r w:rsidRPr="00092B22">
        <w:rPr>
          <w:rFonts w:ascii="Meta Pro" w:eastAsia="Times New Roman" w:hAnsi="Meta Pro"/>
          <w:szCs w:val="18"/>
          <w:lang w:eastAsia="en-AU"/>
        </w:rPr>
        <w:t>, the department's infrastructure assets are categorised as level 3.</w:t>
      </w:r>
    </w:p>
    <w:p w14:paraId="03469AC5" w14:textId="77777777" w:rsidR="00305C62" w:rsidRPr="00092B22" w:rsidRDefault="00305C62" w:rsidP="00305C62">
      <w:pPr>
        <w:shd w:val="clear" w:color="auto" w:fill="EBEBEB"/>
        <w:spacing w:after="120"/>
        <w:rPr>
          <w:rFonts w:ascii="Meta Pro" w:eastAsia="Times New Roman" w:hAnsi="Meta Pro"/>
          <w:szCs w:val="18"/>
          <w:lang w:eastAsia="en-AU"/>
        </w:rPr>
        <w:sectPr w:rsidR="00305C62" w:rsidRPr="00092B22" w:rsidSect="00C23EAD">
          <w:footerReference w:type="default" r:id="rId139"/>
          <w:pgSz w:w="11906" w:h="16838"/>
          <w:pgMar w:top="232" w:right="1134" w:bottom="851" w:left="1134" w:header="454" w:footer="454" w:gutter="0"/>
          <w:pgNumType w:start="24"/>
          <w:cols w:space="708"/>
          <w:docGrid w:linePitch="360"/>
        </w:sectPr>
      </w:pPr>
      <w:r w:rsidRPr="00092B22">
        <w:rPr>
          <w:rFonts w:ascii="Meta Pro" w:eastAsia="Times New Roman" w:hAnsi="Meta Pro"/>
          <w:szCs w:val="18"/>
          <w:lang w:eastAsia="en-AU"/>
        </w:rPr>
        <w:t xml:space="preserve">As the department is a not-for-profit entity with no cash generating units, impairment under AASB 136 </w:t>
      </w:r>
      <w:r w:rsidRPr="00092B22">
        <w:rPr>
          <w:rFonts w:ascii="Meta Pro" w:eastAsia="Times New Roman" w:hAnsi="Meta Pro"/>
          <w:i/>
          <w:iCs/>
          <w:szCs w:val="18"/>
          <w:lang w:eastAsia="en-AU"/>
        </w:rPr>
        <w:t>Impairment of Assets</w:t>
      </w:r>
      <w:r w:rsidRPr="00092B22">
        <w:rPr>
          <w:rFonts w:ascii="Meta Pro" w:eastAsia="Times New Roman" w:hAnsi="Meta Pro"/>
          <w:szCs w:val="18"/>
          <w:lang w:eastAsia="en-AU"/>
        </w:rPr>
        <w:t xml:space="preserve"> is unlikely to arise, since property, plant and equipment is carried at fair value or an amount that approximates fair value in rare circumstances.</w:t>
      </w:r>
    </w:p>
    <w:tbl>
      <w:tblPr>
        <w:tblW w:w="0" w:type="auto"/>
        <w:tblCellMar>
          <w:left w:w="0" w:type="dxa"/>
        </w:tblCellMar>
        <w:tblLook w:val="04A0" w:firstRow="1" w:lastRow="0" w:firstColumn="1" w:lastColumn="0" w:noHBand="0" w:noVBand="1"/>
      </w:tblPr>
      <w:tblGrid>
        <w:gridCol w:w="3928"/>
        <w:gridCol w:w="997"/>
        <w:gridCol w:w="119"/>
        <w:gridCol w:w="1088"/>
        <w:gridCol w:w="119"/>
        <w:gridCol w:w="1043"/>
        <w:gridCol w:w="119"/>
        <w:gridCol w:w="1030"/>
        <w:gridCol w:w="119"/>
        <w:gridCol w:w="1015"/>
        <w:gridCol w:w="119"/>
        <w:gridCol w:w="916"/>
        <w:gridCol w:w="119"/>
        <w:gridCol w:w="997"/>
        <w:gridCol w:w="119"/>
        <w:gridCol w:w="978"/>
        <w:gridCol w:w="119"/>
        <w:gridCol w:w="1058"/>
      </w:tblGrid>
      <w:tr w:rsidR="00913711" w:rsidRPr="00C80475" w14:paraId="52D89371" w14:textId="77777777" w:rsidTr="00E607DA">
        <w:trPr>
          <w:trHeight w:val="198"/>
        </w:trPr>
        <w:tc>
          <w:tcPr>
            <w:tcW w:w="15818" w:type="dxa"/>
            <w:gridSpan w:val="18"/>
            <w:tcBorders>
              <w:top w:val="nil"/>
              <w:left w:val="nil"/>
              <w:bottom w:val="nil"/>
              <w:right w:val="nil"/>
            </w:tcBorders>
            <w:shd w:val="clear" w:color="auto" w:fill="auto"/>
            <w:noWrap/>
            <w:vAlign w:val="center"/>
            <w:hideMark/>
          </w:tcPr>
          <w:p w14:paraId="345C453A" w14:textId="77777777" w:rsidR="00913711" w:rsidRPr="00C80475" w:rsidRDefault="00913711" w:rsidP="00E607DA">
            <w:pPr>
              <w:rPr>
                <w:rFonts w:ascii="Meta Pro" w:eastAsia="Times New Roman" w:hAnsi="Meta Pro"/>
                <w:b/>
                <w:bCs/>
                <w:sz w:val="20"/>
                <w:szCs w:val="20"/>
                <w:lang w:eastAsia="en-AU"/>
              </w:rPr>
            </w:pPr>
            <w:r w:rsidRPr="00C80475">
              <w:rPr>
                <w:rFonts w:ascii="Meta Pro" w:eastAsia="Times New Roman" w:hAnsi="Meta Pro"/>
                <w:b/>
                <w:bCs/>
                <w:sz w:val="20"/>
                <w:szCs w:val="20"/>
                <w:lang w:eastAsia="en-AU"/>
              </w:rPr>
              <w:lastRenderedPageBreak/>
              <w:t>16     PUBLIC PRIVATE PARTNERSHIPS</w:t>
            </w:r>
          </w:p>
        </w:tc>
      </w:tr>
      <w:tr w:rsidR="00913711" w:rsidRPr="00C80475" w14:paraId="7F59532A" w14:textId="77777777" w:rsidTr="00E607DA">
        <w:trPr>
          <w:trHeight w:val="198"/>
        </w:trPr>
        <w:tc>
          <w:tcPr>
            <w:tcW w:w="4540" w:type="dxa"/>
            <w:tcBorders>
              <w:top w:val="nil"/>
              <w:left w:val="nil"/>
              <w:bottom w:val="nil"/>
              <w:right w:val="nil"/>
            </w:tcBorders>
            <w:shd w:val="clear" w:color="auto" w:fill="auto"/>
            <w:noWrap/>
            <w:vAlign w:val="center"/>
            <w:hideMark/>
          </w:tcPr>
          <w:p w14:paraId="599D39EE" w14:textId="77777777" w:rsidR="00913711" w:rsidRPr="00C80475" w:rsidRDefault="00913711" w:rsidP="00E607DA">
            <w:pPr>
              <w:rPr>
                <w:rFonts w:ascii="Meta Pro" w:eastAsia="Times New Roman" w:hAnsi="Meta Pro"/>
                <w:b/>
                <w:bCs/>
                <w:sz w:val="20"/>
                <w:szCs w:val="20"/>
                <w:lang w:eastAsia="en-AU"/>
              </w:rPr>
            </w:pPr>
          </w:p>
        </w:tc>
        <w:tc>
          <w:tcPr>
            <w:tcW w:w="1132" w:type="dxa"/>
            <w:tcBorders>
              <w:top w:val="nil"/>
              <w:left w:val="nil"/>
              <w:bottom w:val="nil"/>
              <w:right w:val="nil"/>
            </w:tcBorders>
            <w:shd w:val="clear" w:color="auto" w:fill="auto"/>
            <w:noWrap/>
            <w:vAlign w:val="center"/>
            <w:hideMark/>
          </w:tcPr>
          <w:p w14:paraId="7FC43E2B"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2691E83D" w14:textId="77777777" w:rsidR="00913711" w:rsidRPr="00C80475" w:rsidRDefault="00913711" w:rsidP="00E607DA">
            <w:pPr>
              <w:rPr>
                <w:rFonts w:ascii="Meta Pro" w:eastAsia="Times New Roman" w:hAnsi="Meta Pro" w:cs="Times New Roman"/>
                <w:sz w:val="20"/>
                <w:szCs w:val="20"/>
                <w:lang w:eastAsia="en-AU"/>
              </w:rPr>
            </w:pPr>
          </w:p>
        </w:tc>
        <w:tc>
          <w:tcPr>
            <w:tcW w:w="1239" w:type="dxa"/>
            <w:tcBorders>
              <w:top w:val="nil"/>
              <w:left w:val="nil"/>
              <w:bottom w:val="nil"/>
              <w:right w:val="nil"/>
            </w:tcBorders>
            <w:shd w:val="clear" w:color="auto" w:fill="auto"/>
            <w:noWrap/>
            <w:vAlign w:val="center"/>
            <w:hideMark/>
          </w:tcPr>
          <w:p w14:paraId="4687464C"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4EA0BF27" w14:textId="77777777" w:rsidR="00913711" w:rsidRPr="00C80475" w:rsidRDefault="00913711" w:rsidP="00E607DA">
            <w:pPr>
              <w:jc w:val="center"/>
              <w:rPr>
                <w:rFonts w:ascii="Meta Pro" w:eastAsia="Times New Roman" w:hAnsi="Meta Pro" w:cs="Times New Roman"/>
                <w:sz w:val="20"/>
                <w:szCs w:val="20"/>
                <w:lang w:eastAsia="en-AU"/>
              </w:rPr>
            </w:pPr>
          </w:p>
        </w:tc>
        <w:tc>
          <w:tcPr>
            <w:tcW w:w="1187" w:type="dxa"/>
            <w:tcBorders>
              <w:top w:val="nil"/>
              <w:left w:val="nil"/>
              <w:bottom w:val="nil"/>
              <w:right w:val="nil"/>
            </w:tcBorders>
            <w:shd w:val="clear" w:color="auto" w:fill="auto"/>
            <w:noWrap/>
            <w:vAlign w:val="center"/>
            <w:hideMark/>
          </w:tcPr>
          <w:p w14:paraId="07D22A71"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24B2DA6A" w14:textId="77777777" w:rsidR="00913711" w:rsidRPr="00C80475" w:rsidRDefault="00913711" w:rsidP="00E607DA">
            <w:pPr>
              <w:jc w:val="center"/>
              <w:rPr>
                <w:rFonts w:ascii="Meta Pro" w:eastAsia="Times New Roman" w:hAnsi="Meta Pro" w:cs="Times New Roman"/>
                <w:sz w:val="20"/>
                <w:szCs w:val="20"/>
                <w:lang w:eastAsia="en-AU"/>
              </w:rPr>
            </w:pPr>
          </w:p>
        </w:tc>
        <w:tc>
          <w:tcPr>
            <w:tcW w:w="1172" w:type="dxa"/>
            <w:tcBorders>
              <w:top w:val="nil"/>
              <w:left w:val="nil"/>
              <w:bottom w:val="nil"/>
              <w:right w:val="nil"/>
            </w:tcBorders>
            <w:shd w:val="clear" w:color="auto" w:fill="auto"/>
            <w:noWrap/>
            <w:vAlign w:val="center"/>
            <w:hideMark/>
          </w:tcPr>
          <w:p w14:paraId="7C71D22C"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3598CEA2" w14:textId="77777777" w:rsidR="00913711" w:rsidRPr="00C80475" w:rsidRDefault="00913711" w:rsidP="00E607DA">
            <w:pPr>
              <w:jc w:val="center"/>
              <w:rPr>
                <w:rFonts w:ascii="Meta Pro" w:eastAsia="Times New Roman" w:hAnsi="Meta Pro" w:cs="Times New Roman"/>
                <w:sz w:val="20"/>
                <w:szCs w:val="20"/>
                <w:lang w:eastAsia="en-AU"/>
              </w:rPr>
            </w:pPr>
          </w:p>
        </w:tc>
        <w:tc>
          <w:tcPr>
            <w:tcW w:w="1155" w:type="dxa"/>
            <w:tcBorders>
              <w:top w:val="nil"/>
              <w:left w:val="nil"/>
              <w:bottom w:val="nil"/>
              <w:right w:val="nil"/>
            </w:tcBorders>
            <w:shd w:val="clear" w:color="auto" w:fill="auto"/>
            <w:noWrap/>
            <w:vAlign w:val="center"/>
            <w:hideMark/>
          </w:tcPr>
          <w:p w14:paraId="423BDF03"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0DE75ED8" w14:textId="77777777" w:rsidR="00913711" w:rsidRPr="00C80475" w:rsidRDefault="00913711" w:rsidP="00E607DA">
            <w:pPr>
              <w:jc w:val="center"/>
              <w:rPr>
                <w:rFonts w:ascii="Meta Pro" w:eastAsia="Times New Roman" w:hAnsi="Meta Pro" w:cs="Times New Roman"/>
                <w:sz w:val="20"/>
                <w:szCs w:val="20"/>
                <w:lang w:eastAsia="en-AU"/>
              </w:rPr>
            </w:pPr>
          </w:p>
        </w:tc>
        <w:tc>
          <w:tcPr>
            <w:tcW w:w="1039" w:type="dxa"/>
            <w:tcBorders>
              <w:top w:val="nil"/>
              <w:left w:val="nil"/>
              <w:bottom w:val="nil"/>
              <w:right w:val="nil"/>
            </w:tcBorders>
            <w:shd w:val="clear" w:color="auto" w:fill="auto"/>
            <w:noWrap/>
            <w:vAlign w:val="center"/>
            <w:hideMark/>
          </w:tcPr>
          <w:p w14:paraId="002E3567"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07C354FD" w14:textId="77777777" w:rsidR="00913711" w:rsidRPr="00C80475" w:rsidRDefault="00913711" w:rsidP="00E607DA">
            <w:pPr>
              <w:jc w:val="cente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6BA01399"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771CCACE" w14:textId="77777777" w:rsidR="00913711" w:rsidRPr="00C80475" w:rsidRDefault="00913711" w:rsidP="00E607DA">
            <w:pPr>
              <w:jc w:val="center"/>
              <w:rPr>
                <w:rFonts w:ascii="Meta Pro" w:eastAsia="Times New Roman" w:hAnsi="Meta Pro" w:cs="Times New Roman"/>
                <w:sz w:val="20"/>
                <w:szCs w:val="20"/>
                <w:lang w:eastAsia="en-AU"/>
              </w:rPr>
            </w:pPr>
          </w:p>
        </w:tc>
        <w:tc>
          <w:tcPr>
            <w:tcW w:w="1111" w:type="dxa"/>
            <w:tcBorders>
              <w:top w:val="nil"/>
              <w:left w:val="nil"/>
              <w:bottom w:val="nil"/>
              <w:right w:val="nil"/>
            </w:tcBorders>
            <w:shd w:val="clear" w:color="auto" w:fill="auto"/>
            <w:noWrap/>
            <w:vAlign w:val="center"/>
            <w:hideMark/>
          </w:tcPr>
          <w:p w14:paraId="269D4A08"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7B2DDEDB" w14:textId="77777777" w:rsidR="00913711" w:rsidRPr="00C80475" w:rsidRDefault="00913711" w:rsidP="00E607DA">
            <w:pPr>
              <w:jc w:val="center"/>
              <w:rPr>
                <w:rFonts w:ascii="Meta Pro" w:eastAsia="Times New Roman" w:hAnsi="Meta Pro" w:cs="Times New Roman"/>
                <w:sz w:val="20"/>
                <w:szCs w:val="20"/>
                <w:lang w:eastAsia="en-AU"/>
              </w:rPr>
            </w:pPr>
          </w:p>
        </w:tc>
        <w:tc>
          <w:tcPr>
            <w:tcW w:w="1205" w:type="dxa"/>
            <w:tcBorders>
              <w:top w:val="nil"/>
              <w:left w:val="nil"/>
              <w:bottom w:val="nil"/>
              <w:right w:val="nil"/>
            </w:tcBorders>
            <w:shd w:val="clear" w:color="auto" w:fill="auto"/>
            <w:noWrap/>
            <w:vAlign w:val="center"/>
            <w:hideMark/>
          </w:tcPr>
          <w:p w14:paraId="29CB827A" w14:textId="77777777" w:rsidR="00913711" w:rsidRPr="00C80475" w:rsidRDefault="00913711" w:rsidP="00E607DA">
            <w:pPr>
              <w:rPr>
                <w:rFonts w:ascii="Meta Pro" w:eastAsia="Times New Roman" w:hAnsi="Meta Pro" w:cs="Times New Roman"/>
                <w:sz w:val="20"/>
                <w:szCs w:val="20"/>
                <w:lang w:eastAsia="en-AU"/>
              </w:rPr>
            </w:pPr>
          </w:p>
        </w:tc>
      </w:tr>
      <w:tr w:rsidR="00913711" w:rsidRPr="00C80475" w14:paraId="2A9D8B56" w14:textId="77777777" w:rsidTr="00E607DA">
        <w:trPr>
          <w:trHeight w:val="198"/>
        </w:trPr>
        <w:tc>
          <w:tcPr>
            <w:tcW w:w="15818" w:type="dxa"/>
            <w:gridSpan w:val="18"/>
            <w:tcBorders>
              <w:top w:val="nil"/>
              <w:left w:val="nil"/>
              <w:bottom w:val="nil"/>
              <w:right w:val="nil"/>
            </w:tcBorders>
            <w:shd w:val="clear" w:color="auto" w:fill="auto"/>
            <w:noWrap/>
            <w:vAlign w:val="center"/>
            <w:hideMark/>
          </w:tcPr>
          <w:p w14:paraId="20D87216" w14:textId="77777777" w:rsidR="00913711" w:rsidRPr="00C80475" w:rsidRDefault="00913711" w:rsidP="00E607DA">
            <w:pPr>
              <w:rPr>
                <w:rFonts w:ascii="Meta Pro" w:eastAsia="Times New Roman" w:hAnsi="Meta Pro"/>
                <w:b/>
                <w:bCs/>
                <w:sz w:val="20"/>
                <w:szCs w:val="20"/>
                <w:lang w:eastAsia="en-AU"/>
              </w:rPr>
            </w:pPr>
            <w:r w:rsidRPr="00C80475">
              <w:rPr>
                <w:rFonts w:ascii="Meta Pro" w:eastAsia="Times New Roman" w:hAnsi="Meta Pro"/>
                <w:b/>
                <w:bCs/>
                <w:sz w:val="20"/>
                <w:szCs w:val="20"/>
                <w:lang w:eastAsia="en-AU"/>
              </w:rPr>
              <w:t>SERVICE CONCESSION ARRANGEMENTS UNDER AASB 1059</w:t>
            </w:r>
          </w:p>
        </w:tc>
      </w:tr>
      <w:tr w:rsidR="00913711" w:rsidRPr="00C80475" w14:paraId="29B673DC" w14:textId="77777777" w:rsidTr="00E607DA">
        <w:trPr>
          <w:trHeight w:val="198"/>
        </w:trPr>
        <w:tc>
          <w:tcPr>
            <w:tcW w:w="4540" w:type="dxa"/>
            <w:tcBorders>
              <w:top w:val="nil"/>
              <w:left w:val="nil"/>
              <w:bottom w:val="nil"/>
              <w:right w:val="nil"/>
            </w:tcBorders>
            <w:shd w:val="clear" w:color="auto" w:fill="auto"/>
            <w:noWrap/>
            <w:vAlign w:val="center"/>
            <w:hideMark/>
          </w:tcPr>
          <w:p w14:paraId="78F737CF" w14:textId="77777777" w:rsidR="00913711" w:rsidRPr="00C80475" w:rsidRDefault="00913711" w:rsidP="00E607DA">
            <w:pPr>
              <w:rPr>
                <w:rFonts w:ascii="Meta Pro" w:eastAsia="Times New Roman" w:hAnsi="Meta Pro"/>
                <w:b/>
                <w:bCs/>
                <w:sz w:val="20"/>
                <w:szCs w:val="20"/>
                <w:lang w:eastAsia="en-AU"/>
              </w:rPr>
            </w:pPr>
          </w:p>
        </w:tc>
        <w:tc>
          <w:tcPr>
            <w:tcW w:w="1132" w:type="dxa"/>
            <w:tcBorders>
              <w:top w:val="nil"/>
              <w:left w:val="nil"/>
              <w:bottom w:val="nil"/>
              <w:right w:val="nil"/>
            </w:tcBorders>
            <w:shd w:val="clear" w:color="auto" w:fill="auto"/>
            <w:noWrap/>
            <w:vAlign w:val="center"/>
            <w:hideMark/>
          </w:tcPr>
          <w:p w14:paraId="3F24EAAC"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064BA6AC" w14:textId="77777777" w:rsidR="00913711" w:rsidRPr="00C80475" w:rsidRDefault="00913711" w:rsidP="00E607DA">
            <w:pPr>
              <w:rPr>
                <w:rFonts w:ascii="Meta Pro" w:eastAsia="Times New Roman" w:hAnsi="Meta Pro" w:cs="Times New Roman"/>
                <w:sz w:val="20"/>
                <w:szCs w:val="20"/>
                <w:lang w:eastAsia="en-AU"/>
              </w:rPr>
            </w:pPr>
          </w:p>
        </w:tc>
        <w:tc>
          <w:tcPr>
            <w:tcW w:w="1239" w:type="dxa"/>
            <w:tcBorders>
              <w:top w:val="nil"/>
              <w:left w:val="nil"/>
              <w:bottom w:val="nil"/>
              <w:right w:val="nil"/>
            </w:tcBorders>
            <w:shd w:val="clear" w:color="auto" w:fill="auto"/>
            <w:noWrap/>
            <w:vAlign w:val="center"/>
            <w:hideMark/>
          </w:tcPr>
          <w:p w14:paraId="1F45D453"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54EF44B3" w14:textId="77777777" w:rsidR="00913711" w:rsidRPr="00C80475" w:rsidRDefault="00913711" w:rsidP="00E607DA">
            <w:pPr>
              <w:jc w:val="center"/>
              <w:rPr>
                <w:rFonts w:ascii="Meta Pro" w:eastAsia="Times New Roman" w:hAnsi="Meta Pro" w:cs="Times New Roman"/>
                <w:sz w:val="20"/>
                <w:szCs w:val="20"/>
                <w:lang w:eastAsia="en-AU"/>
              </w:rPr>
            </w:pPr>
          </w:p>
        </w:tc>
        <w:tc>
          <w:tcPr>
            <w:tcW w:w="1187" w:type="dxa"/>
            <w:tcBorders>
              <w:top w:val="nil"/>
              <w:left w:val="nil"/>
              <w:bottom w:val="nil"/>
              <w:right w:val="nil"/>
            </w:tcBorders>
            <w:shd w:val="clear" w:color="auto" w:fill="auto"/>
            <w:noWrap/>
            <w:vAlign w:val="center"/>
            <w:hideMark/>
          </w:tcPr>
          <w:p w14:paraId="7A2B6AFA"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6EB404DC" w14:textId="77777777" w:rsidR="00913711" w:rsidRPr="00C80475" w:rsidRDefault="00913711" w:rsidP="00E607DA">
            <w:pPr>
              <w:jc w:val="center"/>
              <w:rPr>
                <w:rFonts w:ascii="Meta Pro" w:eastAsia="Times New Roman" w:hAnsi="Meta Pro" w:cs="Times New Roman"/>
                <w:sz w:val="20"/>
                <w:szCs w:val="20"/>
                <w:lang w:eastAsia="en-AU"/>
              </w:rPr>
            </w:pPr>
          </w:p>
        </w:tc>
        <w:tc>
          <w:tcPr>
            <w:tcW w:w="1172" w:type="dxa"/>
            <w:tcBorders>
              <w:top w:val="nil"/>
              <w:left w:val="nil"/>
              <w:bottom w:val="nil"/>
              <w:right w:val="nil"/>
            </w:tcBorders>
            <w:shd w:val="clear" w:color="auto" w:fill="auto"/>
            <w:noWrap/>
            <w:vAlign w:val="center"/>
            <w:hideMark/>
          </w:tcPr>
          <w:p w14:paraId="0B2B587F"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18EEBB42" w14:textId="77777777" w:rsidR="00913711" w:rsidRPr="00C80475" w:rsidRDefault="00913711" w:rsidP="00E607DA">
            <w:pPr>
              <w:jc w:val="center"/>
              <w:rPr>
                <w:rFonts w:ascii="Meta Pro" w:eastAsia="Times New Roman" w:hAnsi="Meta Pro" w:cs="Times New Roman"/>
                <w:sz w:val="20"/>
                <w:szCs w:val="20"/>
                <w:lang w:eastAsia="en-AU"/>
              </w:rPr>
            </w:pPr>
          </w:p>
        </w:tc>
        <w:tc>
          <w:tcPr>
            <w:tcW w:w="1155" w:type="dxa"/>
            <w:tcBorders>
              <w:top w:val="nil"/>
              <w:left w:val="nil"/>
              <w:bottom w:val="nil"/>
              <w:right w:val="nil"/>
            </w:tcBorders>
            <w:shd w:val="clear" w:color="auto" w:fill="auto"/>
            <w:noWrap/>
            <w:vAlign w:val="center"/>
            <w:hideMark/>
          </w:tcPr>
          <w:p w14:paraId="19929285"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270BACFE" w14:textId="77777777" w:rsidR="00913711" w:rsidRPr="00C80475" w:rsidRDefault="00913711" w:rsidP="00E607DA">
            <w:pPr>
              <w:jc w:val="center"/>
              <w:rPr>
                <w:rFonts w:ascii="Meta Pro" w:eastAsia="Times New Roman" w:hAnsi="Meta Pro" w:cs="Times New Roman"/>
                <w:sz w:val="20"/>
                <w:szCs w:val="20"/>
                <w:lang w:eastAsia="en-AU"/>
              </w:rPr>
            </w:pPr>
          </w:p>
        </w:tc>
        <w:tc>
          <w:tcPr>
            <w:tcW w:w="1039" w:type="dxa"/>
            <w:tcBorders>
              <w:top w:val="nil"/>
              <w:left w:val="nil"/>
              <w:bottom w:val="nil"/>
              <w:right w:val="nil"/>
            </w:tcBorders>
            <w:shd w:val="clear" w:color="auto" w:fill="auto"/>
            <w:noWrap/>
            <w:vAlign w:val="center"/>
            <w:hideMark/>
          </w:tcPr>
          <w:p w14:paraId="05F85A5A"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23AEEC83" w14:textId="77777777" w:rsidR="00913711" w:rsidRPr="00C80475" w:rsidRDefault="00913711" w:rsidP="00E607DA">
            <w:pPr>
              <w:jc w:val="cente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08B431D0"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03E7B256" w14:textId="77777777" w:rsidR="00913711" w:rsidRPr="00C80475" w:rsidRDefault="00913711" w:rsidP="00E607DA">
            <w:pPr>
              <w:jc w:val="center"/>
              <w:rPr>
                <w:rFonts w:ascii="Meta Pro" w:eastAsia="Times New Roman" w:hAnsi="Meta Pro" w:cs="Times New Roman"/>
                <w:sz w:val="20"/>
                <w:szCs w:val="20"/>
                <w:lang w:eastAsia="en-AU"/>
              </w:rPr>
            </w:pPr>
          </w:p>
        </w:tc>
        <w:tc>
          <w:tcPr>
            <w:tcW w:w="1111" w:type="dxa"/>
            <w:tcBorders>
              <w:top w:val="nil"/>
              <w:left w:val="nil"/>
              <w:bottom w:val="nil"/>
              <w:right w:val="nil"/>
            </w:tcBorders>
            <w:shd w:val="clear" w:color="auto" w:fill="auto"/>
            <w:noWrap/>
            <w:vAlign w:val="center"/>
            <w:hideMark/>
          </w:tcPr>
          <w:p w14:paraId="6AB14270"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2D4EC18B" w14:textId="77777777" w:rsidR="00913711" w:rsidRPr="00C80475" w:rsidRDefault="00913711" w:rsidP="00E607DA">
            <w:pPr>
              <w:jc w:val="center"/>
              <w:rPr>
                <w:rFonts w:ascii="Meta Pro" w:eastAsia="Times New Roman" w:hAnsi="Meta Pro" w:cs="Times New Roman"/>
                <w:sz w:val="20"/>
                <w:szCs w:val="20"/>
                <w:lang w:eastAsia="en-AU"/>
              </w:rPr>
            </w:pPr>
          </w:p>
        </w:tc>
        <w:tc>
          <w:tcPr>
            <w:tcW w:w="1205" w:type="dxa"/>
            <w:tcBorders>
              <w:top w:val="nil"/>
              <w:left w:val="nil"/>
              <w:bottom w:val="nil"/>
              <w:right w:val="nil"/>
            </w:tcBorders>
            <w:shd w:val="clear" w:color="auto" w:fill="auto"/>
            <w:noWrap/>
            <w:vAlign w:val="center"/>
            <w:hideMark/>
          </w:tcPr>
          <w:p w14:paraId="4163B8D4" w14:textId="77777777" w:rsidR="00913711" w:rsidRPr="00C80475" w:rsidRDefault="00913711" w:rsidP="00E607DA">
            <w:pPr>
              <w:rPr>
                <w:rFonts w:ascii="Meta Pro" w:eastAsia="Times New Roman" w:hAnsi="Meta Pro" w:cs="Times New Roman"/>
                <w:sz w:val="20"/>
                <w:szCs w:val="20"/>
                <w:lang w:eastAsia="en-AU"/>
              </w:rPr>
            </w:pPr>
          </w:p>
        </w:tc>
      </w:tr>
      <w:tr w:rsidR="00913711" w:rsidRPr="00C80475" w14:paraId="7F1C2A94" w14:textId="77777777" w:rsidTr="00E607DA">
        <w:trPr>
          <w:trHeight w:val="198"/>
        </w:trPr>
        <w:tc>
          <w:tcPr>
            <w:tcW w:w="4540" w:type="dxa"/>
            <w:tcBorders>
              <w:top w:val="nil"/>
              <w:left w:val="nil"/>
              <w:bottom w:val="nil"/>
              <w:right w:val="nil"/>
            </w:tcBorders>
            <w:shd w:val="clear" w:color="auto" w:fill="auto"/>
            <w:noWrap/>
            <w:vAlign w:val="center"/>
            <w:hideMark/>
          </w:tcPr>
          <w:p w14:paraId="57878667" w14:textId="77777777" w:rsidR="00913711" w:rsidRPr="00C80475" w:rsidRDefault="00913711" w:rsidP="00E607DA">
            <w:pPr>
              <w:rPr>
                <w:rFonts w:ascii="Meta Pro" w:eastAsia="Times New Roman" w:hAnsi="Meta Pro" w:cs="Times New Roman"/>
                <w:sz w:val="20"/>
                <w:szCs w:val="20"/>
                <w:lang w:eastAsia="en-AU"/>
              </w:rPr>
            </w:pPr>
          </w:p>
        </w:tc>
        <w:tc>
          <w:tcPr>
            <w:tcW w:w="1132" w:type="dxa"/>
            <w:vMerge w:val="restart"/>
            <w:tcBorders>
              <w:top w:val="nil"/>
              <w:left w:val="nil"/>
              <w:bottom w:val="nil"/>
              <w:right w:val="nil"/>
            </w:tcBorders>
            <w:shd w:val="clear" w:color="auto" w:fill="auto"/>
            <w:hideMark/>
          </w:tcPr>
          <w:p w14:paraId="053C0233" w14:textId="77777777" w:rsidR="00913711" w:rsidRPr="00C80475" w:rsidRDefault="00913711" w:rsidP="00E607DA">
            <w:pPr>
              <w:jc w:val="center"/>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Gold Coast Light Rail – G:link </w:t>
            </w:r>
          </w:p>
        </w:tc>
        <w:tc>
          <w:tcPr>
            <w:tcW w:w="113" w:type="dxa"/>
            <w:tcBorders>
              <w:top w:val="nil"/>
              <w:left w:val="nil"/>
              <w:bottom w:val="nil"/>
              <w:right w:val="nil"/>
            </w:tcBorders>
            <w:shd w:val="clear" w:color="auto" w:fill="auto"/>
            <w:hideMark/>
          </w:tcPr>
          <w:p w14:paraId="6A2D1DC4" w14:textId="77777777" w:rsidR="00913711" w:rsidRPr="00C80475" w:rsidRDefault="00913711" w:rsidP="00E607DA">
            <w:pPr>
              <w:jc w:val="center"/>
              <w:rPr>
                <w:rFonts w:ascii="Meta Pro" w:eastAsia="Times New Roman" w:hAnsi="Meta Pro"/>
                <w:b/>
                <w:bCs/>
                <w:sz w:val="16"/>
                <w:szCs w:val="16"/>
                <w:lang w:eastAsia="en-AU"/>
              </w:rPr>
            </w:pPr>
          </w:p>
        </w:tc>
        <w:tc>
          <w:tcPr>
            <w:tcW w:w="1239" w:type="dxa"/>
            <w:vMerge w:val="restart"/>
            <w:tcBorders>
              <w:top w:val="nil"/>
              <w:left w:val="nil"/>
              <w:bottom w:val="nil"/>
              <w:right w:val="nil"/>
            </w:tcBorders>
            <w:shd w:val="clear" w:color="auto" w:fill="auto"/>
            <w:hideMark/>
          </w:tcPr>
          <w:p w14:paraId="5FDBCDBB" w14:textId="77777777" w:rsidR="00913711" w:rsidRPr="00C80475" w:rsidRDefault="00913711" w:rsidP="00E607DA">
            <w:pPr>
              <w:jc w:val="center"/>
              <w:rPr>
                <w:rFonts w:ascii="Meta Pro" w:eastAsia="Times New Roman" w:hAnsi="Meta Pro"/>
                <w:b/>
                <w:bCs/>
                <w:sz w:val="16"/>
                <w:szCs w:val="16"/>
                <w:lang w:eastAsia="en-AU"/>
              </w:rPr>
            </w:pPr>
            <w:r w:rsidRPr="00C80475">
              <w:rPr>
                <w:rFonts w:ascii="Meta Pro" w:eastAsia="Times New Roman" w:hAnsi="Meta Pro"/>
                <w:b/>
                <w:bCs/>
                <w:sz w:val="16"/>
                <w:szCs w:val="16"/>
                <w:lang w:eastAsia="en-AU"/>
              </w:rPr>
              <w:t>Toowoomba Bypass</w:t>
            </w:r>
          </w:p>
        </w:tc>
        <w:tc>
          <w:tcPr>
            <w:tcW w:w="113" w:type="dxa"/>
            <w:tcBorders>
              <w:top w:val="nil"/>
              <w:left w:val="nil"/>
              <w:bottom w:val="nil"/>
              <w:right w:val="nil"/>
            </w:tcBorders>
            <w:shd w:val="clear" w:color="auto" w:fill="auto"/>
            <w:hideMark/>
          </w:tcPr>
          <w:p w14:paraId="0E705D7F" w14:textId="77777777" w:rsidR="00913711" w:rsidRPr="00C80475" w:rsidRDefault="00913711" w:rsidP="00E607DA">
            <w:pPr>
              <w:jc w:val="center"/>
              <w:rPr>
                <w:rFonts w:ascii="Meta Pro" w:eastAsia="Times New Roman" w:hAnsi="Meta Pro"/>
                <w:b/>
                <w:bCs/>
                <w:sz w:val="16"/>
                <w:szCs w:val="16"/>
                <w:lang w:eastAsia="en-AU"/>
              </w:rPr>
            </w:pPr>
          </w:p>
        </w:tc>
        <w:tc>
          <w:tcPr>
            <w:tcW w:w="1187" w:type="dxa"/>
            <w:vMerge w:val="restart"/>
            <w:tcBorders>
              <w:top w:val="nil"/>
              <w:left w:val="nil"/>
              <w:bottom w:val="nil"/>
              <w:right w:val="nil"/>
            </w:tcBorders>
            <w:shd w:val="clear" w:color="auto" w:fill="auto"/>
            <w:hideMark/>
          </w:tcPr>
          <w:p w14:paraId="07BF8D75" w14:textId="77777777" w:rsidR="00913711" w:rsidRPr="00C80475" w:rsidRDefault="00913711" w:rsidP="00E607DA">
            <w:pPr>
              <w:jc w:val="center"/>
              <w:rPr>
                <w:rFonts w:ascii="Meta Pro" w:eastAsia="Times New Roman" w:hAnsi="Meta Pro"/>
                <w:b/>
                <w:bCs/>
                <w:sz w:val="16"/>
                <w:szCs w:val="16"/>
                <w:lang w:eastAsia="en-AU"/>
              </w:rPr>
            </w:pPr>
            <w:r w:rsidRPr="00C80475">
              <w:rPr>
                <w:rFonts w:ascii="Meta Pro" w:eastAsia="Times New Roman" w:hAnsi="Meta Pro"/>
                <w:b/>
                <w:bCs/>
                <w:sz w:val="16"/>
                <w:szCs w:val="16"/>
                <w:lang w:eastAsia="en-AU"/>
              </w:rPr>
              <w:t>Airportlink M7</w:t>
            </w:r>
          </w:p>
        </w:tc>
        <w:tc>
          <w:tcPr>
            <w:tcW w:w="113" w:type="dxa"/>
            <w:tcBorders>
              <w:top w:val="nil"/>
              <w:left w:val="nil"/>
              <w:bottom w:val="nil"/>
              <w:right w:val="nil"/>
            </w:tcBorders>
            <w:shd w:val="clear" w:color="auto" w:fill="auto"/>
            <w:noWrap/>
            <w:hideMark/>
          </w:tcPr>
          <w:p w14:paraId="5AA27D72" w14:textId="77777777" w:rsidR="00913711" w:rsidRPr="00C80475" w:rsidRDefault="00913711" w:rsidP="00E607DA">
            <w:pPr>
              <w:jc w:val="center"/>
              <w:rPr>
                <w:rFonts w:ascii="Meta Pro" w:eastAsia="Times New Roman" w:hAnsi="Meta Pro"/>
                <w:b/>
                <w:bCs/>
                <w:sz w:val="16"/>
                <w:szCs w:val="16"/>
                <w:lang w:eastAsia="en-AU"/>
              </w:rPr>
            </w:pPr>
          </w:p>
        </w:tc>
        <w:tc>
          <w:tcPr>
            <w:tcW w:w="1172" w:type="dxa"/>
            <w:vMerge w:val="restart"/>
            <w:tcBorders>
              <w:top w:val="nil"/>
              <w:left w:val="nil"/>
              <w:bottom w:val="nil"/>
              <w:right w:val="nil"/>
            </w:tcBorders>
            <w:shd w:val="clear" w:color="auto" w:fill="auto"/>
            <w:hideMark/>
          </w:tcPr>
          <w:p w14:paraId="26B3643E" w14:textId="77777777" w:rsidR="00913711" w:rsidRPr="00C80475" w:rsidRDefault="00913711" w:rsidP="00E607DA">
            <w:pPr>
              <w:jc w:val="center"/>
              <w:rPr>
                <w:rFonts w:ascii="Meta Pro" w:eastAsia="Times New Roman" w:hAnsi="Meta Pro"/>
                <w:b/>
                <w:bCs/>
                <w:sz w:val="16"/>
                <w:szCs w:val="16"/>
                <w:lang w:eastAsia="en-AU"/>
              </w:rPr>
            </w:pPr>
            <w:r w:rsidRPr="00C80475">
              <w:rPr>
                <w:rFonts w:ascii="Meta Pro" w:eastAsia="Times New Roman" w:hAnsi="Meta Pro"/>
                <w:b/>
                <w:bCs/>
                <w:sz w:val="16"/>
                <w:szCs w:val="16"/>
                <w:lang w:eastAsia="en-AU"/>
              </w:rPr>
              <w:t>Gateway Motorway</w:t>
            </w:r>
          </w:p>
        </w:tc>
        <w:tc>
          <w:tcPr>
            <w:tcW w:w="113" w:type="dxa"/>
            <w:tcBorders>
              <w:top w:val="nil"/>
              <w:left w:val="nil"/>
              <w:bottom w:val="nil"/>
              <w:right w:val="nil"/>
            </w:tcBorders>
            <w:shd w:val="clear" w:color="auto" w:fill="auto"/>
            <w:noWrap/>
            <w:hideMark/>
          </w:tcPr>
          <w:p w14:paraId="4B197298" w14:textId="77777777" w:rsidR="00913711" w:rsidRPr="00C80475" w:rsidRDefault="00913711" w:rsidP="00E607DA">
            <w:pPr>
              <w:jc w:val="center"/>
              <w:rPr>
                <w:rFonts w:ascii="Meta Pro" w:eastAsia="Times New Roman" w:hAnsi="Meta Pro"/>
                <w:b/>
                <w:bCs/>
                <w:sz w:val="16"/>
                <w:szCs w:val="16"/>
                <w:lang w:eastAsia="en-AU"/>
              </w:rPr>
            </w:pPr>
          </w:p>
        </w:tc>
        <w:tc>
          <w:tcPr>
            <w:tcW w:w="1155" w:type="dxa"/>
            <w:vMerge w:val="restart"/>
            <w:tcBorders>
              <w:top w:val="nil"/>
              <w:left w:val="nil"/>
              <w:bottom w:val="nil"/>
              <w:right w:val="nil"/>
            </w:tcBorders>
            <w:shd w:val="clear" w:color="auto" w:fill="auto"/>
            <w:hideMark/>
          </w:tcPr>
          <w:p w14:paraId="2A4E036B" w14:textId="77777777" w:rsidR="00913711" w:rsidRPr="00C80475" w:rsidRDefault="00913711" w:rsidP="00E607DA">
            <w:pPr>
              <w:jc w:val="center"/>
              <w:rPr>
                <w:rFonts w:ascii="Meta Pro" w:eastAsia="Times New Roman" w:hAnsi="Meta Pro"/>
                <w:b/>
                <w:bCs/>
                <w:sz w:val="16"/>
                <w:szCs w:val="16"/>
                <w:lang w:eastAsia="en-AU"/>
              </w:rPr>
            </w:pPr>
            <w:r w:rsidRPr="00C80475">
              <w:rPr>
                <w:rFonts w:ascii="Meta Pro" w:eastAsia="Times New Roman" w:hAnsi="Meta Pro"/>
                <w:b/>
                <w:bCs/>
                <w:sz w:val="16"/>
                <w:szCs w:val="16"/>
                <w:lang w:eastAsia="en-AU"/>
              </w:rPr>
              <w:t>Logan Motorway</w:t>
            </w:r>
          </w:p>
        </w:tc>
        <w:tc>
          <w:tcPr>
            <w:tcW w:w="113" w:type="dxa"/>
            <w:tcBorders>
              <w:top w:val="nil"/>
              <w:left w:val="nil"/>
              <w:bottom w:val="nil"/>
              <w:right w:val="nil"/>
            </w:tcBorders>
            <w:shd w:val="clear" w:color="auto" w:fill="auto"/>
            <w:hideMark/>
          </w:tcPr>
          <w:p w14:paraId="0DE5DD51" w14:textId="77777777" w:rsidR="00913711" w:rsidRPr="00C80475" w:rsidRDefault="00913711" w:rsidP="00E607DA">
            <w:pPr>
              <w:jc w:val="center"/>
              <w:rPr>
                <w:rFonts w:ascii="Meta Pro" w:eastAsia="Times New Roman" w:hAnsi="Meta Pro"/>
                <w:b/>
                <w:bCs/>
                <w:sz w:val="16"/>
                <w:szCs w:val="16"/>
                <w:lang w:eastAsia="en-AU"/>
              </w:rPr>
            </w:pPr>
          </w:p>
        </w:tc>
        <w:tc>
          <w:tcPr>
            <w:tcW w:w="1039" w:type="dxa"/>
            <w:vMerge w:val="restart"/>
            <w:tcBorders>
              <w:top w:val="nil"/>
              <w:left w:val="nil"/>
              <w:bottom w:val="nil"/>
              <w:right w:val="nil"/>
            </w:tcBorders>
            <w:shd w:val="clear" w:color="auto" w:fill="auto"/>
            <w:hideMark/>
          </w:tcPr>
          <w:p w14:paraId="46681DCE" w14:textId="77777777" w:rsidR="00913711" w:rsidRPr="00C80475" w:rsidRDefault="00913711" w:rsidP="00E607DA">
            <w:pPr>
              <w:jc w:val="center"/>
              <w:rPr>
                <w:rFonts w:ascii="Meta Pro" w:eastAsia="Times New Roman" w:hAnsi="Meta Pro"/>
                <w:b/>
                <w:bCs/>
                <w:sz w:val="16"/>
                <w:szCs w:val="16"/>
                <w:lang w:eastAsia="en-AU"/>
              </w:rPr>
            </w:pPr>
            <w:r w:rsidRPr="00C80475">
              <w:rPr>
                <w:rFonts w:ascii="Meta Pro" w:eastAsia="Times New Roman" w:hAnsi="Meta Pro"/>
                <w:b/>
                <w:bCs/>
                <w:sz w:val="16"/>
                <w:szCs w:val="16"/>
                <w:lang w:eastAsia="en-AU"/>
              </w:rPr>
              <w:t>Port Drive</w:t>
            </w:r>
          </w:p>
        </w:tc>
        <w:tc>
          <w:tcPr>
            <w:tcW w:w="113" w:type="dxa"/>
            <w:tcBorders>
              <w:top w:val="nil"/>
              <w:left w:val="nil"/>
              <w:bottom w:val="nil"/>
              <w:right w:val="nil"/>
            </w:tcBorders>
            <w:shd w:val="clear" w:color="auto" w:fill="auto"/>
            <w:hideMark/>
          </w:tcPr>
          <w:p w14:paraId="234C3637" w14:textId="77777777" w:rsidR="00913711" w:rsidRPr="00C80475" w:rsidRDefault="00913711" w:rsidP="00E607DA">
            <w:pPr>
              <w:jc w:val="center"/>
              <w:rPr>
                <w:rFonts w:ascii="Meta Pro" w:eastAsia="Times New Roman" w:hAnsi="Meta Pro"/>
                <w:b/>
                <w:bCs/>
                <w:sz w:val="16"/>
                <w:szCs w:val="16"/>
                <w:lang w:eastAsia="en-AU"/>
              </w:rPr>
            </w:pPr>
          </w:p>
        </w:tc>
        <w:tc>
          <w:tcPr>
            <w:tcW w:w="1134" w:type="dxa"/>
            <w:vMerge w:val="restart"/>
            <w:tcBorders>
              <w:top w:val="nil"/>
              <w:left w:val="nil"/>
              <w:bottom w:val="nil"/>
              <w:right w:val="nil"/>
            </w:tcBorders>
            <w:shd w:val="clear" w:color="auto" w:fill="auto"/>
            <w:hideMark/>
          </w:tcPr>
          <w:p w14:paraId="3DC88F4F" w14:textId="77777777" w:rsidR="00913711" w:rsidRPr="00C80475" w:rsidRDefault="00913711" w:rsidP="00E607DA">
            <w:pPr>
              <w:jc w:val="center"/>
              <w:rPr>
                <w:rFonts w:ascii="Meta Pro" w:eastAsia="Times New Roman" w:hAnsi="Meta Pro"/>
                <w:b/>
                <w:bCs/>
                <w:sz w:val="16"/>
                <w:szCs w:val="16"/>
                <w:lang w:eastAsia="en-AU"/>
              </w:rPr>
            </w:pPr>
            <w:r w:rsidRPr="00C80475">
              <w:rPr>
                <w:rFonts w:ascii="Meta Pro" w:eastAsia="Times New Roman" w:hAnsi="Meta Pro"/>
                <w:b/>
                <w:bCs/>
                <w:sz w:val="16"/>
                <w:szCs w:val="16"/>
                <w:lang w:eastAsia="en-AU"/>
              </w:rPr>
              <w:t>Brisbane Airport Rail Link</w:t>
            </w:r>
          </w:p>
        </w:tc>
        <w:tc>
          <w:tcPr>
            <w:tcW w:w="113" w:type="dxa"/>
            <w:tcBorders>
              <w:top w:val="nil"/>
              <w:left w:val="nil"/>
              <w:bottom w:val="nil"/>
              <w:right w:val="nil"/>
            </w:tcBorders>
            <w:shd w:val="clear" w:color="auto" w:fill="auto"/>
            <w:hideMark/>
          </w:tcPr>
          <w:p w14:paraId="522E8D6F" w14:textId="77777777" w:rsidR="00913711" w:rsidRPr="00C80475" w:rsidRDefault="00913711" w:rsidP="00E607DA">
            <w:pPr>
              <w:jc w:val="center"/>
              <w:rPr>
                <w:rFonts w:ascii="Meta Pro" w:eastAsia="Times New Roman" w:hAnsi="Meta Pro"/>
                <w:b/>
                <w:bCs/>
                <w:sz w:val="16"/>
                <w:szCs w:val="16"/>
                <w:lang w:eastAsia="en-AU"/>
              </w:rPr>
            </w:pPr>
          </w:p>
        </w:tc>
        <w:tc>
          <w:tcPr>
            <w:tcW w:w="1111" w:type="dxa"/>
            <w:vMerge w:val="restart"/>
            <w:tcBorders>
              <w:top w:val="nil"/>
              <w:left w:val="nil"/>
              <w:bottom w:val="nil"/>
              <w:right w:val="nil"/>
            </w:tcBorders>
            <w:shd w:val="clear" w:color="auto" w:fill="auto"/>
            <w:hideMark/>
          </w:tcPr>
          <w:p w14:paraId="5EF4BCF4" w14:textId="77777777" w:rsidR="00913711" w:rsidRPr="00C80475" w:rsidRDefault="00913711" w:rsidP="00E607DA">
            <w:pPr>
              <w:jc w:val="center"/>
              <w:rPr>
                <w:rFonts w:ascii="Meta Pro" w:eastAsia="Times New Roman" w:hAnsi="Meta Pro"/>
                <w:b/>
                <w:bCs/>
                <w:sz w:val="16"/>
                <w:szCs w:val="16"/>
                <w:lang w:eastAsia="en-AU"/>
              </w:rPr>
            </w:pPr>
            <w:r w:rsidRPr="00C80475">
              <w:rPr>
                <w:rFonts w:ascii="Meta Pro" w:eastAsia="Times New Roman" w:hAnsi="Meta Pro"/>
                <w:b/>
                <w:bCs/>
                <w:sz w:val="16"/>
                <w:szCs w:val="16"/>
                <w:lang w:eastAsia="en-AU"/>
              </w:rPr>
              <w:t>Work in progress *</w:t>
            </w:r>
          </w:p>
        </w:tc>
        <w:tc>
          <w:tcPr>
            <w:tcW w:w="113" w:type="dxa"/>
            <w:tcBorders>
              <w:top w:val="nil"/>
              <w:left w:val="nil"/>
              <w:bottom w:val="nil"/>
              <w:right w:val="nil"/>
            </w:tcBorders>
            <w:shd w:val="clear" w:color="auto" w:fill="auto"/>
            <w:hideMark/>
          </w:tcPr>
          <w:p w14:paraId="6E01D07A" w14:textId="77777777" w:rsidR="00913711" w:rsidRPr="00C80475" w:rsidRDefault="00913711" w:rsidP="00E607DA">
            <w:pPr>
              <w:jc w:val="center"/>
              <w:rPr>
                <w:rFonts w:ascii="Meta Pro" w:eastAsia="Times New Roman" w:hAnsi="Meta Pro"/>
                <w:b/>
                <w:bCs/>
                <w:sz w:val="16"/>
                <w:szCs w:val="16"/>
                <w:lang w:eastAsia="en-AU"/>
              </w:rPr>
            </w:pPr>
          </w:p>
        </w:tc>
        <w:tc>
          <w:tcPr>
            <w:tcW w:w="1205" w:type="dxa"/>
            <w:vMerge w:val="restart"/>
            <w:tcBorders>
              <w:top w:val="nil"/>
              <w:left w:val="nil"/>
              <w:bottom w:val="nil"/>
              <w:right w:val="nil"/>
            </w:tcBorders>
            <w:shd w:val="clear" w:color="auto" w:fill="auto"/>
            <w:hideMark/>
          </w:tcPr>
          <w:p w14:paraId="56A7D17A" w14:textId="77777777" w:rsidR="00913711" w:rsidRPr="00C80475" w:rsidRDefault="00913711" w:rsidP="00E607DA">
            <w:pPr>
              <w:jc w:val="center"/>
              <w:rPr>
                <w:rFonts w:ascii="Meta Pro" w:eastAsia="Times New Roman" w:hAnsi="Meta Pro"/>
                <w:b/>
                <w:bCs/>
                <w:sz w:val="16"/>
                <w:szCs w:val="16"/>
                <w:lang w:eastAsia="en-AU"/>
              </w:rPr>
            </w:pPr>
            <w:r w:rsidRPr="00C80475">
              <w:rPr>
                <w:rFonts w:ascii="Meta Pro" w:eastAsia="Times New Roman" w:hAnsi="Meta Pro"/>
                <w:b/>
                <w:bCs/>
                <w:sz w:val="16"/>
                <w:szCs w:val="16"/>
                <w:lang w:eastAsia="en-AU"/>
              </w:rPr>
              <w:t>Total</w:t>
            </w:r>
          </w:p>
        </w:tc>
      </w:tr>
      <w:tr w:rsidR="00913711" w:rsidRPr="00C80475" w14:paraId="513741DD" w14:textId="77777777" w:rsidTr="00E607DA">
        <w:trPr>
          <w:trHeight w:val="198"/>
        </w:trPr>
        <w:tc>
          <w:tcPr>
            <w:tcW w:w="4540" w:type="dxa"/>
            <w:tcBorders>
              <w:top w:val="nil"/>
              <w:left w:val="nil"/>
              <w:bottom w:val="nil"/>
              <w:right w:val="nil"/>
            </w:tcBorders>
            <w:shd w:val="clear" w:color="auto" w:fill="auto"/>
            <w:noWrap/>
            <w:vAlign w:val="center"/>
            <w:hideMark/>
          </w:tcPr>
          <w:p w14:paraId="769A7A3B" w14:textId="77777777" w:rsidR="00913711" w:rsidRPr="00C80475" w:rsidRDefault="00913711" w:rsidP="00E607DA">
            <w:pPr>
              <w:jc w:val="center"/>
              <w:rPr>
                <w:rFonts w:ascii="Meta Pro" w:eastAsia="Times New Roman" w:hAnsi="Meta Pro"/>
                <w:b/>
                <w:bCs/>
                <w:sz w:val="16"/>
                <w:szCs w:val="16"/>
                <w:lang w:eastAsia="en-AU"/>
              </w:rPr>
            </w:pPr>
          </w:p>
        </w:tc>
        <w:tc>
          <w:tcPr>
            <w:tcW w:w="1132" w:type="dxa"/>
            <w:vMerge/>
            <w:tcBorders>
              <w:top w:val="nil"/>
              <w:left w:val="nil"/>
              <w:bottom w:val="nil"/>
              <w:right w:val="nil"/>
            </w:tcBorders>
            <w:vAlign w:val="center"/>
            <w:hideMark/>
          </w:tcPr>
          <w:p w14:paraId="1F501D0D" w14:textId="77777777" w:rsidR="00913711" w:rsidRPr="00C80475" w:rsidRDefault="00913711" w:rsidP="00E607DA">
            <w:pPr>
              <w:rPr>
                <w:rFonts w:ascii="Meta Pro" w:eastAsia="Times New Roman" w:hAnsi="Meta Pro"/>
                <w:b/>
                <w:bCs/>
                <w:sz w:val="16"/>
                <w:szCs w:val="16"/>
                <w:lang w:eastAsia="en-AU"/>
              </w:rPr>
            </w:pPr>
          </w:p>
        </w:tc>
        <w:tc>
          <w:tcPr>
            <w:tcW w:w="113" w:type="dxa"/>
            <w:tcBorders>
              <w:top w:val="nil"/>
              <w:left w:val="nil"/>
              <w:bottom w:val="nil"/>
              <w:right w:val="nil"/>
            </w:tcBorders>
            <w:shd w:val="clear" w:color="auto" w:fill="auto"/>
            <w:noWrap/>
            <w:hideMark/>
          </w:tcPr>
          <w:p w14:paraId="5F7739B0" w14:textId="77777777" w:rsidR="00913711" w:rsidRPr="00C80475" w:rsidRDefault="00913711" w:rsidP="00E607DA">
            <w:pPr>
              <w:rPr>
                <w:rFonts w:ascii="Meta Pro" w:eastAsia="Times New Roman" w:hAnsi="Meta Pro" w:cs="Times New Roman"/>
                <w:sz w:val="20"/>
                <w:szCs w:val="20"/>
                <w:lang w:eastAsia="en-AU"/>
              </w:rPr>
            </w:pPr>
          </w:p>
        </w:tc>
        <w:tc>
          <w:tcPr>
            <w:tcW w:w="1239" w:type="dxa"/>
            <w:vMerge/>
            <w:tcBorders>
              <w:top w:val="nil"/>
              <w:left w:val="nil"/>
              <w:bottom w:val="nil"/>
              <w:right w:val="nil"/>
            </w:tcBorders>
            <w:vAlign w:val="center"/>
            <w:hideMark/>
          </w:tcPr>
          <w:p w14:paraId="7BECF717" w14:textId="77777777" w:rsidR="00913711" w:rsidRPr="00C80475" w:rsidRDefault="00913711" w:rsidP="00E607DA">
            <w:pPr>
              <w:rPr>
                <w:rFonts w:ascii="Meta Pro" w:eastAsia="Times New Roman" w:hAnsi="Meta Pro"/>
                <w:b/>
                <w:bCs/>
                <w:sz w:val="16"/>
                <w:szCs w:val="16"/>
                <w:lang w:eastAsia="en-AU"/>
              </w:rPr>
            </w:pPr>
          </w:p>
        </w:tc>
        <w:tc>
          <w:tcPr>
            <w:tcW w:w="113" w:type="dxa"/>
            <w:tcBorders>
              <w:top w:val="nil"/>
              <w:left w:val="nil"/>
              <w:bottom w:val="nil"/>
              <w:right w:val="nil"/>
            </w:tcBorders>
            <w:shd w:val="clear" w:color="auto" w:fill="auto"/>
            <w:noWrap/>
            <w:hideMark/>
          </w:tcPr>
          <w:p w14:paraId="4CD02B9C" w14:textId="77777777" w:rsidR="00913711" w:rsidRPr="00C80475" w:rsidRDefault="00913711" w:rsidP="00E607DA">
            <w:pPr>
              <w:jc w:val="center"/>
              <w:rPr>
                <w:rFonts w:ascii="Meta Pro" w:eastAsia="Times New Roman" w:hAnsi="Meta Pro" w:cs="Times New Roman"/>
                <w:sz w:val="20"/>
                <w:szCs w:val="20"/>
                <w:lang w:eastAsia="en-AU"/>
              </w:rPr>
            </w:pPr>
          </w:p>
        </w:tc>
        <w:tc>
          <w:tcPr>
            <w:tcW w:w="1187" w:type="dxa"/>
            <w:vMerge/>
            <w:tcBorders>
              <w:top w:val="nil"/>
              <w:left w:val="nil"/>
              <w:bottom w:val="nil"/>
              <w:right w:val="nil"/>
            </w:tcBorders>
            <w:vAlign w:val="center"/>
            <w:hideMark/>
          </w:tcPr>
          <w:p w14:paraId="6925DC0E" w14:textId="77777777" w:rsidR="00913711" w:rsidRPr="00C80475" w:rsidRDefault="00913711" w:rsidP="00E607DA">
            <w:pPr>
              <w:rPr>
                <w:rFonts w:ascii="Meta Pro" w:eastAsia="Times New Roman" w:hAnsi="Meta Pro"/>
                <w:b/>
                <w:bCs/>
                <w:sz w:val="16"/>
                <w:szCs w:val="16"/>
                <w:lang w:eastAsia="en-AU"/>
              </w:rPr>
            </w:pPr>
          </w:p>
        </w:tc>
        <w:tc>
          <w:tcPr>
            <w:tcW w:w="113" w:type="dxa"/>
            <w:tcBorders>
              <w:top w:val="nil"/>
              <w:left w:val="nil"/>
              <w:bottom w:val="nil"/>
              <w:right w:val="nil"/>
            </w:tcBorders>
            <w:shd w:val="clear" w:color="auto" w:fill="auto"/>
            <w:noWrap/>
            <w:hideMark/>
          </w:tcPr>
          <w:p w14:paraId="6C7803DD" w14:textId="77777777" w:rsidR="00913711" w:rsidRPr="00C80475" w:rsidRDefault="00913711" w:rsidP="00E607DA">
            <w:pPr>
              <w:jc w:val="center"/>
              <w:rPr>
                <w:rFonts w:ascii="Meta Pro" w:eastAsia="Times New Roman" w:hAnsi="Meta Pro" w:cs="Times New Roman"/>
                <w:sz w:val="20"/>
                <w:szCs w:val="20"/>
                <w:lang w:eastAsia="en-AU"/>
              </w:rPr>
            </w:pPr>
          </w:p>
        </w:tc>
        <w:tc>
          <w:tcPr>
            <w:tcW w:w="1172" w:type="dxa"/>
            <w:vMerge/>
            <w:tcBorders>
              <w:top w:val="nil"/>
              <w:left w:val="nil"/>
              <w:bottom w:val="nil"/>
              <w:right w:val="nil"/>
            </w:tcBorders>
            <w:vAlign w:val="center"/>
            <w:hideMark/>
          </w:tcPr>
          <w:p w14:paraId="53391C03" w14:textId="77777777" w:rsidR="00913711" w:rsidRPr="00C80475" w:rsidRDefault="00913711" w:rsidP="00E607DA">
            <w:pPr>
              <w:rPr>
                <w:rFonts w:ascii="Meta Pro" w:eastAsia="Times New Roman" w:hAnsi="Meta Pro"/>
                <w:b/>
                <w:bCs/>
                <w:sz w:val="16"/>
                <w:szCs w:val="16"/>
                <w:lang w:eastAsia="en-AU"/>
              </w:rPr>
            </w:pPr>
          </w:p>
        </w:tc>
        <w:tc>
          <w:tcPr>
            <w:tcW w:w="113" w:type="dxa"/>
            <w:tcBorders>
              <w:top w:val="nil"/>
              <w:left w:val="nil"/>
              <w:bottom w:val="nil"/>
              <w:right w:val="nil"/>
            </w:tcBorders>
            <w:shd w:val="clear" w:color="auto" w:fill="auto"/>
            <w:hideMark/>
          </w:tcPr>
          <w:p w14:paraId="50F47A21" w14:textId="77777777" w:rsidR="00913711" w:rsidRPr="00C80475" w:rsidRDefault="00913711" w:rsidP="00E607DA">
            <w:pPr>
              <w:jc w:val="center"/>
              <w:rPr>
                <w:rFonts w:ascii="Meta Pro" w:eastAsia="Times New Roman" w:hAnsi="Meta Pro" w:cs="Times New Roman"/>
                <w:sz w:val="20"/>
                <w:szCs w:val="20"/>
                <w:lang w:eastAsia="en-AU"/>
              </w:rPr>
            </w:pPr>
          </w:p>
        </w:tc>
        <w:tc>
          <w:tcPr>
            <w:tcW w:w="1155" w:type="dxa"/>
            <w:vMerge/>
            <w:tcBorders>
              <w:top w:val="nil"/>
              <w:left w:val="nil"/>
              <w:bottom w:val="nil"/>
              <w:right w:val="nil"/>
            </w:tcBorders>
            <w:vAlign w:val="center"/>
            <w:hideMark/>
          </w:tcPr>
          <w:p w14:paraId="4DFE1210" w14:textId="77777777" w:rsidR="00913711" w:rsidRPr="00C80475" w:rsidRDefault="00913711" w:rsidP="00E607DA">
            <w:pPr>
              <w:rPr>
                <w:rFonts w:ascii="Meta Pro" w:eastAsia="Times New Roman" w:hAnsi="Meta Pro"/>
                <w:b/>
                <w:bCs/>
                <w:sz w:val="16"/>
                <w:szCs w:val="16"/>
                <w:lang w:eastAsia="en-AU"/>
              </w:rPr>
            </w:pPr>
          </w:p>
        </w:tc>
        <w:tc>
          <w:tcPr>
            <w:tcW w:w="113" w:type="dxa"/>
            <w:tcBorders>
              <w:top w:val="nil"/>
              <w:left w:val="nil"/>
              <w:bottom w:val="nil"/>
              <w:right w:val="nil"/>
            </w:tcBorders>
            <w:shd w:val="clear" w:color="auto" w:fill="auto"/>
            <w:hideMark/>
          </w:tcPr>
          <w:p w14:paraId="2707D3FE" w14:textId="77777777" w:rsidR="00913711" w:rsidRPr="00C80475" w:rsidRDefault="00913711" w:rsidP="00E607DA">
            <w:pPr>
              <w:jc w:val="center"/>
              <w:rPr>
                <w:rFonts w:ascii="Meta Pro" w:eastAsia="Times New Roman" w:hAnsi="Meta Pro" w:cs="Times New Roman"/>
                <w:sz w:val="20"/>
                <w:szCs w:val="20"/>
                <w:lang w:eastAsia="en-AU"/>
              </w:rPr>
            </w:pPr>
          </w:p>
        </w:tc>
        <w:tc>
          <w:tcPr>
            <w:tcW w:w="1039" w:type="dxa"/>
            <w:vMerge/>
            <w:tcBorders>
              <w:top w:val="nil"/>
              <w:left w:val="nil"/>
              <w:bottom w:val="nil"/>
              <w:right w:val="nil"/>
            </w:tcBorders>
            <w:vAlign w:val="center"/>
            <w:hideMark/>
          </w:tcPr>
          <w:p w14:paraId="725C8B7D" w14:textId="77777777" w:rsidR="00913711" w:rsidRPr="00C80475" w:rsidRDefault="00913711" w:rsidP="00E607DA">
            <w:pPr>
              <w:rPr>
                <w:rFonts w:ascii="Meta Pro" w:eastAsia="Times New Roman" w:hAnsi="Meta Pro"/>
                <w:b/>
                <w:bCs/>
                <w:sz w:val="16"/>
                <w:szCs w:val="16"/>
                <w:lang w:eastAsia="en-AU"/>
              </w:rPr>
            </w:pPr>
          </w:p>
        </w:tc>
        <w:tc>
          <w:tcPr>
            <w:tcW w:w="113" w:type="dxa"/>
            <w:tcBorders>
              <w:top w:val="nil"/>
              <w:left w:val="nil"/>
              <w:bottom w:val="nil"/>
              <w:right w:val="nil"/>
            </w:tcBorders>
            <w:shd w:val="clear" w:color="auto" w:fill="auto"/>
            <w:hideMark/>
          </w:tcPr>
          <w:p w14:paraId="636040E8" w14:textId="77777777" w:rsidR="00913711" w:rsidRPr="00C80475" w:rsidRDefault="00913711" w:rsidP="00E607DA">
            <w:pPr>
              <w:jc w:val="center"/>
              <w:rPr>
                <w:rFonts w:ascii="Meta Pro" w:eastAsia="Times New Roman" w:hAnsi="Meta Pro" w:cs="Times New Roman"/>
                <w:sz w:val="20"/>
                <w:szCs w:val="20"/>
                <w:lang w:eastAsia="en-AU"/>
              </w:rPr>
            </w:pPr>
          </w:p>
        </w:tc>
        <w:tc>
          <w:tcPr>
            <w:tcW w:w="1134" w:type="dxa"/>
            <w:vMerge/>
            <w:tcBorders>
              <w:top w:val="nil"/>
              <w:left w:val="nil"/>
              <w:bottom w:val="nil"/>
              <w:right w:val="nil"/>
            </w:tcBorders>
            <w:vAlign w:val="center"/>
            <w:hideMark/>
          </w:tcPr>
          <w:p w14:paraId="7EA6DFEA" w14:textId="77777777" w:rsidR="00913711" w:rsidRPr="00C80475" w:rsidRDefault="00913711" w:rsidP="00E607DA">
            <w:pPr>
              <w:rPr>
                <w:rFonts w:ascii="Meta Pro" w:eastAsia="Times New Roman" w:hAnsi="Meta Pro"/>
                <w:b/>
                <w:bCs/>
                <w:sz w:val="16"/>
                <w:szCs w:val="16"/>
                <w:lang w:eastAsia="en-AU"/>
              </w:rPr>
            </w:pPr>
          </w:p>
        </w:tc>
        <w:tc>
          <w:tcPr>
            <w:tcW w:w="113" w:type="dxa"/>
            <w:tcBorders>
              <w:top w:val="nil"/>
              <w:left w:val="nil"/>
              <w:bottom w:val="nil"/>
              <w:right w:val="nil"/>
            </w:tcBorders>
            <w:shd w:val="clear" w:color="auto" w:fill="auto"/>
            <w:hideMark/>
          </w:tcPr>
          <w:p w14:paraId="62E919D4" w14:textId="77777777" w:rsidR="00913711" w:rsidRPr="00C80475" w:rsidRDefault="00913711" w:rsidP="00E607DA">
            <w:pPr>
              <w:rPr>
                <w:rFonts w:ascii="Meta Pro" w:eastAsia="Times New Roman" w:hAnsi="Meta Pro" w:cs="Times New Roman"/>
                <w:sz w:val="20"/>
                <w:szCs w:val="20"/>
                <w:lang w:eastAsia="en-AU"/>
              </w:rPr>
            </w:pPr>
          </w:p>
        </w:tc>
        <w:tc>
          <w:tcPr>
            <w:tcW w:w="1111" w:type="dxa"/>
            <w:vMerge/>
            <w:tcBorders>
              <w:top w:val="nil"/>
              <w:left w:val="nil"/>
              <w:bottom w:val="nil"/>
              <w:right w:val="nil"/>
            </w:tcBorders>
            <w:vAlign w:val="center"/>
            <w:hideMark/>
          </w:tcPr>
          <w:p w14:paraId="2390C3BE" w14:textId="77777777" w:rsidR="00913711" w:rsidRPr="00C80475" w:rsidRDefault="00913711" w:rsidP="00E607DA">
            <w:pPr>
              <w:rPr>
                <w:rFonts w:ascii="Meta Pro" w:eastAsia="Times New Roman" w:hAnsi="Meta Pro"/>
                <w:b/>
                <w:bCs/>
                <w:sz w:val="16"/>
                <w:szCs w:val="16"/>
                <w:lang w:eastAsia="en-AU"/>
              </w:rPr>
            </w:pPr>
          </w:p>
        </w:tc>
        <w:tc>
          <w:tcPr>
            <w:tcW w:w="113" w:type="dxa"/>
            <w:tcBorders>
              <w:top w:val="nil"/>
              <w:left w:val="nil"/>
              <w:bottom w:val="nil"/>
              <w:right w:val="nil"/>
            </w:tcBorders>
            <w:shd w:val="clear" w:color="auto" w:fill="auto"/>
            <w:hideMark/>
          </w:tcPr>
          <w:p w14:paraId="03B20ED1" w14:textId="77777777" w:rsidR="00913711" w:rsidRPr="00C80475" w:rsidRDefault="00913711" w:rsidP="00E607DA">
            <w:pPr>
              <w:jc w:val="center"/>
              <w:rPr>
                <w:rFonts w:ascii="Meta Pro" w:eastAsia="Times New Roman" w:hAnsi="Meta Pro" w:cs="Times New Roman"/>
                <w:sz w:val="20"/>
                <w:szCs w:val="20"/>
                <w:lang w:eastAsia="en-AU"/>
              </w:rPr>
            </w:pPr>
          </w:p>
        </w:tc>
        <w:tc>
          <w:tcPr>
            <w:tcW w:w="1205" w:type="dxa"/>
            <w:vMerge/>
            <w:tcBorders>
              <w:top w:val="nil"/>
              <w:left w:val="nil"/>
              <w:bottom w:val="nil"/>
              <w:right w:val="nil"/>
            </w:tcBorders>
            <w:vAlign w:val="center"/>
            <w:hideMark/>
          </w:tcPr>
          <w:p w14:paraId="60EF23A4" w14:textId="77777777" w:rsidR="00913711" w:rsidRPr="00C80475" w:rsidRDefault="00913711" w:rsidP="00E607DA">
            <w:pPr>
              <w:rPr>
                <w:rFonts w:ascii="Meta Pro" w:eastAsia="Times New Roman" w:hAnsi="Meta Pro"/>
                <w:b/>
                <w:bCs/>
                <w:sz w:val="16"/>
                <w:szCs w:val="16"/>
                <w:lang w:eastAsia="en-AU"/>
              </w:rPr>
            </w:pPr>
          </w:p>
        </w:tc>
      </w:tr>
      <w:tr w:rsidR="00913711" w:rsidRPr="00C80475" w14:paraId="31858F79" w14:textId="77777777" w:rsidTr="00E607DA">
        <w:trPr>
          <w:trHeight w:val="198"/>
        </w:trPr>
        <w:tc>
          <w:tcPr>
            <w:tcW w:w="4540" w:type="dxa"/>
            <w:tcBorders>
              <w:top w:val="nil"/>
              <w:left w:val="nil"/>
              <w:bottom w:val="nil"/>
              <w:right w:val="nil"/>
            </w:tcBorders>
            <w:shd w:val="clear" w:color="auto" w:fill="auto"/>
            <w:noWrap/>
            <w:vAlign w:val="center"/>
            <w:hideMark/>
          </w:tcPr>
          <w:p w14:paraId="4FE69BB8" w14:textId="77777777" w:rsidR="00913711" w:rsidRPr="00C80475" w:rsidRDefault="00913711" w:rsidP="00E607DA">
            <w:pPr>
              <w:jc w:val="center"/>
              <w:rPr>
                <w:rFonts w:ascii="Meta Pro" w:eastAsia="Times New Roman" w:hAnsi="Meta Pro" w:cs="Times New Roman"/>
                <w:sz w:val="20"/>
                <w:szCs w:val="20"/>
                <w:lang w:eastAsia="en-AU"/>
              </w:rPr>
            </w:pPr>
          </w:p>
        </w:tc>
        <w:tc>
          <w:tcPr>
            <w:tcW w:w="1132" w:type="dxa"/>
            <w:vMerge/>
            <w:tcBorders>
              <w:top w:val="nil"/>
              <w:left w:val="nil"/>
              <w:bottom w:val="nil"/>
              <w:right w:val="nil"/>
            </w:tcBorders>
            <w:vAlign w:val="center"/>
            <w:hideMark/>
          </w:tcPr>
          <w:p w14:paraId="5CF0B2EA" w14:textId="77777777" w:rsidR="00913711" w:rsidRPr="00C80475" w:rsidRDefault="00913711" w:rsidP="00E607DA">
            <w:pPr>
              <w:rPr>
                <w:rFonts w:ascii="Meta Pro" w:eastAsia="Times New Roman" w:hAnsi="Meta Pro"/>
                <w:b/>
                <w:bCs/>
                <w:sz w:val="16"/>
                <w:szCs w:val="16"/>
                <w:lang w:eastAsia="en-AU"/>
              </w:rPr>
            </w:pPr>
          </w:p>
        </w:tc>
        <w:tc>
          <w:tcPr>
            <w:tcW w:w="113" w:type="dxa"/>
            <w:tcBorders>
              <w:top w:val="nil"/>
              <w:left w:val="nil"/>
              <w:bottom w:val="nil"/>
              <w:right w:val="nil"/>
            </w:tcBorders>
            <w:shd w:val="clear" w:color="auto" w:fill="auto"/>
            <w:noWrap/>
            <w:hideMark/>
          </w:tcPr>
          <w:p w14:paraId="190CA961" w14:textId="77777777" w:rsidR="00913711" w:rsidRPr="00C80475" w:rsidRDefault="00913711" w:rsidP="00E607DA">
            <w:pPr>
              <w:rPr>
                <w:rFonts w:ascii="Meta Pro" w:eastAsia="Times New Roman" w:hAnsi="Meta Pro" w:cs="Times New Roman"/>
                <w:sz w:val="20"/>
                <w:szCs w:val="20"/>
                <w:lang w:eastAsia="en-AU"/>
              </w:rPr>
            </w:pPr>
          </w:p>
        </w:tc>
        <w:tc>
          <w:tcPr>
            <w:tcW w:w="1239" w:type="dxa"/>
            <w:vMerge/>
            <w:tcBorders>
              <w:top w:val="nil"/>
              <w:left w:val="nil"/>
              <w:bottom w:val="nil"/>
              <w:right w:val="nil"/>
            </w:tcBorders>
            <w:vAlign w:val="center"/>
            <w:hideMark/>
          </w:tcPr>
          <w:p w14:paraId="15CAB712" w14:textId="77777777" w:rsidR="00913711" w:rsidRPr="00C80475" w:rsidRDefault="00913711" w:rsidP="00E607DA">
            <w:pPr>
              <w:rPr>
                <w:rFonts w:ascii="Meta Pro" w:eastAsia="Times New Roman" w:hAnsi="Meta Pro"/>
                <w:b/>
                <w:bCs/>
                <w:sz w:val="16"/>
                <w:szCs w:val="16"/>
                <w:lang w:eastAsia="en-AU"/>
              </w:rPr>
            </w:pPr>
          </w:p>
        </w:tc>
        <w:tc>
          <w:tcPr>
            <w:tcW w:w="113" w:type="dxa"/>
            <w:tcBorders>
              <w:top w:val="nil"/>
              <w:left w:val="nil"/>
              <w:bottom w:val="nil"/>
              <w:right w:val="nil"/>
            </w:tcBorders>
            <w:shd w:val="clear" w:color="auto" w:fill="auto"/>
            <w:noWrap/>
            <w:hideMark/>
          </w:tcPr>
          <w:p w14:paraId="1CDDF64C" w14:textId="77777777" w:rsidR="00913711" w:rsidRPr="00C80475" w:rsidRDefault="00913711" w:rsidP="00E607DA">
            <w:pPr>
              <w:jc w:val="center"/>
              <w:rPr>
                <w:rFonts w:ascii="Meta Pro" w:eastAsia="Times New Roman" w:hAnsi="Meta Pro" w:cs="Times New Roman"/>
                <w:sz w:val="20"/>
                <w:szCs w:val="20"/>
                <w:lang w:eastAsia="en-AU"/>
              </w:rPr>
            </w:pPr>
          </w:p>
        </w:tc>
        <w:tc>
          <w:tcPr>
            <w:tcW w:w="1187" w:type="dxa"/>
            <w:vMerge/>
            <w:tcBorders>
              <w:top w:val="nil"/>
              <w:left w:val="nil"/>
              <w:bottom w:val="nil"/>
              <w:right w:val="nil"/>
            </w:tcBorders>
            <w:vAlign w:val="center"/>
            <w:hideMark/>
          </w:tcPr>
          <w:p w14:paraId="0A3E8366" w14:textId="77777777" w:rsidR="00913711" w:rsidRPr="00C80475" w:rsidRDefault="00913711" w:rsidP="00E607DA">
            <w:pPr>
              <w:rPr>
                <w:rFonts w:ascii="Meta Pro" w:eastAsia="Times New Roman" w:hAnsi="Meta Pro"/>
                <w:b/>
                <w:bCs/>
                <w:sz w:val="16"/>
                <w:szCs w:val="16"/>
                <w:lang w:eastAsia="en-AU"/>
              </w:rPr>
            </w:pPr>
          </w:p>
        </w:tc>
        <w:tc>
          <w:tcPr>
            <w:tcW w:w="113" w:type="dxa"/>
            <w:tcBorders>
              <w:top w:val="nil"/>
              <w:left w:val="nil"/>
              <w:bottom w:val="nil"/>
              <w:right w:val="nil"/>
            </w:tcBorders>
            <w:shd w:val="clear" w:color="auto" w:fill="auto"/>
            <w:hideMark/>
          </w:tcPr>
          <w:p w14:paraId="1B43A5F7" w14:textId="77777777" w:rsidR="00913711" w:rsidRPr="00C80475" w:rsidRDefault="00913711" w:rsidP="00E607DA">
            <w:pPr>
              <w:jc w:val="center"/>
              <w:rPr>
                <w:rFonts w:ascii="Meta Pro" w:eastAsia="Times New Roman" w:hAnsi="Meta Pro" w:cs="Times New Roman"/>
                <w:sz w:val="20"/>
                <w:szCs w:val="20"/>
                <w:lang w:eastAsia="en-AU"/>
              </w:rPr>
            </w:pPr>
          </w:p>
        </w:tc>
        <w:tc>
          <w:tcPr>
            <w:tcW w:w="1172" w:type="dxa"/>
            <w:vMerge/>
            <w:tcBorders>
              <w:top w:val="nil"/>
              <w:left w:val="nil"/>
              <w:bottom w:val="nil"/>
              <w:right w:val="nil"/>
            </w:tcBorders>
            <w:vAlign w:val="center"/>
            <w:hideMark/>
          </w:tcPr>
          <w:p w14:paraId="0D42BA44" w14:textId="77777777" w:rsidR="00913711" w:rsidRPr="00C80475" w:rsidRDefault="00913711" w:rsidP="00E607DA">
            <w:pPr>
              <w:rPr>
                <w:rFonts w:ascii="Meta Pro" w:eastAsia="Times New Roman" w:hAnsi="Meta Pro"/>
                <w:b/>
                <w:bCs/>
                <w:sz w:val="16"/>
                <w:szCs w:val="16"/>
                <w:lang w:eastAsia="en-AU"/>
              </w:rPr>
            </w:pPr>
          </w:p>
        </w:tc>
        <w:tc>
          <w:tcPr>
            <w:tcW w:w="113" w:type="dxa"/>
            <w:tcBorders>
              <w:top w:val="nil"/>
              <w:left w:val="nil"/>
              <w:bottom w:val="nil"/>
              <w:right w:val="nil"/>
            </w:tcBorders>
            <w:shd w:val="clear" w:color="auto" w:fill="auto"/>
            <w:hideMark/>
          </w:tcPr>
          <w:p w14:paraId="53F08BC2" w14:textId="77777777" w:rsidR="00913711" w:rsidRPr="00C80475" w:rsidRDefault="00913711" w:rsidP="00E607DA">
            <w:pPr>
              <w:jc w:val="center"/>
              <w:rPr>
                <w:rFonts w:ascii="Meta Pro" w:eastAsia="Times New Roman" w:hAnsi="Meta Pro" w:cs="Times New Roman"/>
                <w:sz w:val="20"/>
                <w:szCs w:val="20"/>
                <w:lang w:eastAsia="en-AU"/>
              </w:rPr>
            </w:pPr>
          </w:p>
        </w:tc>
        <w:tc>
          <w:tcPr>
            <w:tcW w:w="1155" w:type="dxa"/>
            <w:vMerge/>
            <w:tcBorders>
              <w:top w:val="nil"/>
              <w:left w:val="nil"/>
              <w:bottom w:val="nil"/>
              <w:right w:val="nil"/>
            </w:tcBorders>
            <w:vAlign w:val="center"/>
            <w:hideMark/>
          </w:tcPr>
          <w:p w14:paraId="4E2E6F23" w14:textId="77777777" w:rsidR="00913711" w:rsidRPr="00C80475" w:rsidRDefault="00913711" w:rsidP="00E607DA">
            <w:pPr>
              <w:rPr>
                <w:rFonts w:ascii="Meta Pro" w:eastAsia="Times New Roman" w:hAnsi="Meta Pro"/>
                <w:b/>
                <w:bCs/>
                <w:sz w:val="16"/>
                <w:szCs w:val="16"/>
                <w:lang w:eastAsia="en-AU"/>
              </w:rPr>
            </w:pPr>
          </w:p>
        </w:tc>
        <w:tc>
          <w:tcPr>
            <w:tcW w:w="113" w:type="dxa"/>
            <w:tcBorders>
              <w:top w:val="nil"/>
              <w:left w:val="nil"/>
              <w:bottom w:val="nil"/>
              <w:right w:val="nil"/>
            </w:tcBorders>
            <w:shd w:val="clear" w:color="auto" w:fill="auto"/>
            <w:hideMark/>
          </w:tcPr>
          <w:p w14:paraId="666A6D80" w14:textId="77777777" w:rsidR="00913711" w:rsidRPr="00C80475" w:rsidRDefault="00913711" w:rsidP="00E607DA">
            <w:pPr>
              <w:jc w:val="center"/>
              <w:rPr>
                <w:rFonts w:ascii="Meta Pro" w:eastAsia="Times New Roman" w:hAnsi="Meta Pro" w:cs="Times New Roman"/>
                <w:sz w:val="20"/>
                <w:szCs w:val="20"/>
                <w:lang w:eastAsia="en-AU"/>
              </w:rPr>
            </w:pPr>
          </w:p>
        </w:tc>
        <w:tc>
          <w:tcPr>
            <w:tcW w:w="1039" w:type="dxa"/>
            <w:vMerge/>
            <w:tcBorders>
              <w:top w:val="nil"/>
              <w:left w:val="nil"/>
              <w:bottom w:val="nil"/>
              <w:right w:val="nil"/>
            </w:tcBorders>
            <w:vAlign w:val="center"/>
            <w:hideMark/>
          </w:tcPr>
          <w:p w14:paraId="1BF7B4E6" w14:textId="77777777" w:rsidR="00913711" w:rsidRPr="00C80475" w:rsidRDefault="00913711" w:rsidP="00E607DA">
            <w:pPr>
              <w:rPr>
                <w:rFonts w:ascii="Meta Pro" w:eastAsia="Times New Roman" w:hAnsi="Meta Pro"/>
                <w:b/>
                <w:bCs/>
                <w:sz w:val="16"/>
                <w:szCs w:val="16"/>
                <w:lang w:eastAsia="en-AU"/>
              </w:rPr>
            </w:pPr>
          </w:p>
        </w:tc>
        <w:tc>
          <w:tcPr>
            <w:tcW w:w="113" w:type="dxa"/>
            <w:tcBorders>
              <w:top w:val="nil"/>
              <w:left w:val="nil"/>
              <w:bottom w:val="nil"/>
              <w:right w:val="nil"/>
            </w:tcBorders>
            <w:shd w:val="clear" w:color="auto" w:fill="auto"/>
            <w:hideMark/>
          </w:tcPr>
          <w:p w14:paraId="08E39687" w14:textId="77777777" w:rsidR="00913711" w:rsidRPr="00C80475" w:rsidRDefault="00913711" w:rsidP="00E607DA">
            <w:pPr>
              <w:jc w:val="center"/>
              <w:rPr>
                <w:rFonts w:ascii="Meta Pro" w:eastAsia="Times New Roman" w:hAnsi="Meta Pro" w:cs="Times New Roman"/>
                <w:sz w:val="20"/>
                <w:szCs w:val="20"/>
                <w:lang w:eastAsia="en-AU"/>
              </w:rPr>
            </w:pPr>
          </w:p>
        </w:tc>
        <w:tc>
          <w:tcPr>
            <w:tcW w:w="1134" w:type="dxa"/>
            <w:vMerge/>
            <w:tcBorders>
              <w:top w:val="nil"/>
              <w:left w:val="nil"/>
              <w:bottom w:val="nil"/>
              <w:right w:val="nil"/>
            </w:tcBorders>
            <w:vAlign w:val="center"/>
            <w:hideMark/>
          </w:tcPr>
          <w:p w14:paraId="1E126AA6" w14:textId="77777777" w:rsidR="00913711" w:rsidRPr="00C80475" w:rsidRDefault="00913711" w:rsidP="00E607DA">
            <w:pPr>
              <w:rPr>
                <w:rFonts w:ascii="Meta Pro" w:eastAsia="Times New Roman" w:hAnsi="Meta Pro"/>
                <w:b/>
                <w:bCs/>
                <w:sz w:val="16"/>
                <w:szCs w:val="16"/>
                <w:lang w:eastAsia="en-AU"/>
              </w:rPr>
            </w:pPr>
          </w:p>
        </w:tc>
        <w:tc>
          <w:tcPr>
            <w:tcW w:w="113" w:type="dxa"/>
            <w:tcBorders>
              <w:top w:val="nil"/>
              <w:left w:val="nil"/>
              <w:bottom w:val="nil"/>
              <w:right w:val="nil"/>
            </w:tcBorders>
            <w:shd w:val="clear" w:color="auto" w:fill="auto"/>
            <w:hideMark/>
          </w:tcPr>
          <w:p w14:paraId="43921F39" w14:textId="77777777" w:rsidR="00913711" w:rsidRPr="00C80475" w:rsidRDefault="00913711" w:rsidP="00E607DA">
            <w:pPr>
              <w:rPr>
                <w:rFonts w:ascii="Meta Pro" w:eastAsia="Times New Roman" w:hAnsi="Meta Pro" w:cs="Times New Roman"/>
                <w:sz w:val="20"/>
                <w:szCs w:val="20"/>
                <w:lang w:eastAsia="en-AU"/>
              </w:rPr>
            </w:pPr>
          </w:p>
        </w:tc>
        <w:tc>
          <w:tcPr>
            <w:tcW w:w="1111" w:type="dxa"/>
            <w:vMerge/>
            <w:tcBorders>
              <w:top w:val="nil"/>
              <w:left w:val="nil"/>
              <w:bottom w:val="nil"/>
              <w:right w:val="nil"/>
            </w:tcBorders>
            <w:vAlign w:val="center"/>
            <w:hideMark/>
          </w:tcPr>
          <w:p w14:paraId="57C49B08" w14:textId="77777777" w:rsidR="00913711" w:rsidRPr="00C80475" w:rsidRDefault="00913711" w:rsidP="00E607DA">
            <w:pPr>
              <w:rPr>
                <w:rFonts w:ascii="Meta Pro" w:eastAsia="Times New Roman" w:hAnsi="Meta Pro"/>
                <w:b/>
                <w:bCs/>
                <w:sz w:val="16"/>
                <w:szCs w:val="16"/>
                <w:lang w:eastAsia="en-AU"/>
              </w:rPr>
            </w:pPr>
          </w:p>
        </w:tc>
        <w:tc>
          <w:tcPr>
            <w:tcW w:w="113" w:type="dxa"/>
            <w:tcBorders>
              <w:top w:val="nil"/>
              <w:left w:val="nil"/>
              <w:bottom w:val="nil"/>
              <w:right w:val="nil"/>
            </w:tcBorders>
            <w:shd w:val="clear" w:color="auto" w:fill="auto"/>
            <w:hideMark/>
          </w:tcPr>
          <w:p w14:paraId="2C7C6D21" w14:textId="77777777" w:rsidR="00913711" w:rsidRPr="00C80475" w:rsidRDefault="00913711" w:rsidP="00E607DA">
            <w:pPr>
              <w:jc w:val="center"/>
              <w:rPr>
                <w:rFonts w:ascii="Meta Pro" w:eastAsia="Times New Roman" w:hAnsi="Meta Pro" w:cs="Times New Roman"/>
                <w:sz w:val="20"/>
                <w:szCs w:val="20"/>
                <w:lang w:eastAsia="en-AU"/>
              </w:rPr>
            </w:pPr>
          </w:p>
        </w:tc>
        <w:tc>
          <w:tcPr>
            <w:tcW w:w="1205" w:type="dxa"/>
            <w:vMerge/>
            <w:tcBorders>
              <w:top w:val="nil"/>
              <w:left w:val="nil"/>
              <w:bottom w:val="nil"/>
              <w:right w:val="nil"/>
            </w:tcBorders>
            <w:vAlign w:val="center"/>
            <w:hideMark/>
          </w:tcPr>
          <w:p w14:paraId="3C73620E" w14:textId="77777777" w:rsidR="00913711" w:rsidRPr="00C80475" w:rsidRDefault="00913711" w:rsidP="00E607DA">
            <w:pPr>
              <w:rPr>
                <w:rFonts w:ascii="Meta Pro" w:eastAsia="Times New Roman" w:hAnsi="Meta Pro"/>
                <w:b/>
                <w:bCs/>
                <w:sz w:val="16"/>
                <w:szCs w:val="16"/>
                <w:lang w:eastAsia="en-AU"/>
              </w:rPr>
            </w:pPr>
          </w:p>
        </w:tc>
      </w:tr>
      <w:tr w:rsidR="00913711" w:rsidRPr="00C80475" w14:paraId="05C1B439" w14:textId="77777777" w:rsidTr="00E607DA">
        <w:trPr>
          <w:trHeight w:val="198"/>
        </w:trPr>
        <w:tc>
          <w:tcPr>
            <w:tcW w:w="4540" w:type="dxa"/>
            <w:tcBorders>
              <w:top w:val="nil"/>
              <w:left w:val="nil"/>
              <w:bottom w:val="nil"/>
              <w:right w:val="nil"/>
            </w:tcBorders>
            <w:shd w:val="clear" w:color="auto" w:fill="auto"/>
            <w:noWrap/>
            <w:vAlign w:val="center"/>
            <w:hideMark/>
          </w:tcPr>
          <w:p w14:paraId="6BDDED5F" w14:textId="77777777" w:rsidR="00913711" w:rsidRPr="00C80475" w:rsidRDefault="00913711" w:rsidP="00E607DA">
            <w:pPr>
              <w:jc w:val="center"/>
              <w:rPr>
                <w:rFonts w:ascii="Meta Pro" w:eastAsia="Times New Roman" w:hAnsi="Meta Pro" w:cs="Times New Roman"/>
                <w:sz w:val="20"/>
                <w:szCs w:val="20"/>
                <w:lang w:eastAsia="en-AU"/>
              </w:rPr>
            </w:pPr>
          </w:p>
        </w:tc>
        <w:tc>
          <w:tcPr>
            <w:tcW w:w="1132" w:type="dxa"/>
            <w:tcBorders>
              <w:top w:val="nil"/>
              <w:left w:val="nil"/>
              <w:bottom w:val="nil"/>
              <w:right w:val="nil"/>
            </w:tcBorders>
            <w:shd w:val="clear" w:color="auto" w:fill="auto"/>
            <w:noWrap/>
            <w:vAlign w:val="center"/>
            <w:hideMark/>
          </w:tcPr>
          <w:p w14:paraId="3BE83C3D" w14:textId="77777777" w:rsidR="00913711" w:rsidRPr="00C80475" w:rsidRDefault="00913711" w:rsidP="00E607DA">
            <w:pPr>
              <w:jc w:val="center"/>
              <w:rPr>
                <w:rFonts w:ascii="Meta Pro" w:eastAsia="Times New Roman" w:hAnsi="Meta Pro"/>
                <w:b/>
                <w:bCs/>
                <w:sz w:val="16"/>
                <w:szCs w:val="16"/>
                <w:lang w:eastAsia="en-AU"/>
              </w:rPr>
            </w:pPr>
            <w:r w:rsidRPr="00C80475">
              <w:rPr>
                <w:rFonts w:ascii="Meta Pro" w:eastAsia="Times New Roman" w:hAnsi="Meta Pro"/>
                <w:b/>
                <w:bCs/>
                <w:sz w:val="16"/>
                <w:szCs w:val="16"/>
                <w:lang w:eastAsia="en-AU"/>
              </w:rPr>
              <w:t>2022</w:t>
            </w:r>
          </w:p>
        </w:tc>
        <w:tc>
          <w:tcPr>
            <w:tcW w:w="113" w:type="dxa"/>
            <w:tcBorders>
              <w:top w:val="nil"/>
              <w:left w:val="nil"/>
              <w:bottom w:val="nil"/>
              <w:right w:val="nil"/>
            </w:tcBorders>
            <w:shd w:val="clear" w:color="auto" w:fill="auto"/>
            <w:noWrap/>
            <w:vAlign w:val="center"/>
            <w:hideMark/>
          </w:tcPr>
          <w:p w14:paraId="575BCB32" w14:textId="77777777" w:rsidR="00913711" w:rsidRPr="00C80475" w:rsidRDefault="00913711" w:rsidP="00E607DA">
            <w:pPr>
              <w:jc w:val="center"/>
              <w:rPr>
                <w:rFonts w:ascii="Meta Pro" w:eastAsia="Times New Roman" w:hAnsi="Meta Pro"/>
                <w:b/>
                <w:bCs/>
                <w:sz w:val="16"/>
                <w:szCs w:val="16"/>
                <w:lang w:eastAsia="en-AU"/>
              </w:rPr>
            </w:pPr>
          </w:p>
        </w:tc>
        <w:tc>
          <w:tcPr>
            <w:tcW w:w="1239" w:type="dxa"/>
            <w:tcBorders>
              <w:top w:val="nil"/>
              <w:left w:val="nil"/>
              <w:bottom w:val="nil"/>
              <w:right w:val="nil"/>
            </w:tcBorders>
            <w:shd w:val="clear" w:color="auto" w:fill="auto"/>
            <w:noWrap/>
            <w:vAlign w:val="center"/>
            <w:hideMark/>
          </w:tcPr>
          <w:p w14:paraId="778F3199" w14:textId="77777777" w:rsidR="00913711" w:rsidRPr="00C80475" w:rsidRDefault="00913711" w:rsidP="00E607DA">
            <w:pPr>
              <w:jc w:val="center"/>
              <w:rPr>
                <w:rFonts w:ascii="Meta Pro" w:eastAsia="Times New Roman" w:hAnsi="Meta Pro"/>
                <w:b/>
                <w:bCs/>
                <w:sz w:val="16"/>
                <w:szCs w:val="16"/>
                <w:lang w:eastAsia="en-AU"/>
              </w:rPr>
            </w:pPr>
            <w:r w:rsidRPr="00C80475">
              <w:rPr>
                <w:rFonts w:ascii="Meta Pro" w:eastAsia="Times New Roman" w:hAnsi="Meta Pro"/>
                <w:b/>
                <w:bCs/>
                <w:sz w:val="16"/>
                <w:szCs w:val="16"/>
                <w:lang w:eastAsia="en-AU"/>
              </w:rPr>
              <w:t>2022</w:t>
            </w:r>
          </w:p>
        </w:tc>
        <w:tc>
          <w:tcPr>
            <w:tcW w:w="113" w:type="dxa"/>
            <w:tcBorders>
              <w:top w:val="nil"/>
              <w:left w:val="nil"/>
              <w:bottom w:val="nil"/>
              <w:right w:val="nil"/>
            </w:tcBorders>
            <w:shd w:val="clear" w:color="auto" w:fill="auto"/>
            <w:noWrap/>
            <w:vAlign w:val="center"/>
            <w:hideMark/>
          </w:tcPr>
          <w:p w14:paraId="4B6EC520" w14:textId="77777777" w:rsidR="00913711" w:rsidRPr="00C80475" w:rsidRDefault="00913711" w:rsidP="00E607DA">
            <w:pPr>
              <w:jc w:val="center"/>
              <w:rPr>
                <w:rFonts w:ascii="Meta Pro" w:eastAsia="Times New Roman" w:hAnsi="Meta Pro"/>
                <w:b/>
                <w:bCs/>
                <w:sz w:val="16"/>
                <w:szCs w:val="16"/>
                <w:lang w:eastAsia="en-AU"/>
              </w:rPr>
            </w:pPr>
          </w:p>
        </w:tc>
        <w:tc>
          <w:tcPr>
            <w:tcW w:w="1187" w:type="dxa"/>
            <w:tcBorders>
              <w:top w:val="nil"/>
              <w:left w:val="nil"/>
              <w:bottom w:val="nil"/>
              <w:right w:val="nil"/>
            </w:tcBorders>
            <w:shd w:val="clear" w:color="auto" w:fill="auto"/>
            <w:noWrap/>
            <w:vAlign w:val="center"/>
            <w:hideMark/>
          </w:tcPr>
          <w:p w14:paraId="738D30EB" w14:textId="77777777" w:rsidR="00913711" w:rsidRPr="00C80475" w:rsidRDefault="00913711" w:rsidP="00E607DA">
            <w:pPr>
              <w:jc w:val="center"/>
              <w:rPr>
                <w:rFonts w:ascii="Meta Pro" w:eastAsia="Times New Roman" w:hAnsi="Meta Pro"/>
                <w:b/>
                <w:bCs/>
                <w:sz w:val="16"/>
                <w:szCs w:val="16"/>
                <w:lang w:eastAsia="en-AU"/>
              </w:rPr>
            </w:pPr>
            <w:r w:rsidRPr="00C80475">
              <w:rPr>
                <w:rFonts w:ascii="Meta Pro" w:eastAsia="Times New Roman" w:hAnsi="Meta Pro"/>
                <w:b/>
                <w:bCs/>
                <w:sz w:val="16"/>
                <w:szCs w:val="16"/>
                <w:lang w:eastAsia="en-AU"/>
              </w:rPr>
              <w:t>2022</w:t>
            </w:r>
          </w:p>
        </w:tc>
        <w:tc>
          <w:tcPr>
            <w:tcW w:w="113" w:type="dxa"/>
            <w:tcBorders>
              <w:top w:val="nil"/>
              <w:left w:val="nil"/>
              <w:bottom w:val="nil"/>
              <w:right w:val="nil"/>
            </w:tcBorders>
            <w:shd w:val="clear" w:color="auto" w:fill="auto"/>
            <w:noWrap/>
            <w:vAlign w:val="center"/>
            <w:hideMark/>
          </w:tcPr>
          <w:p w14:paraId="0A9A8E7A" w14:textId="77777777" w:rsidR="00913711" w:rsidRPr="00C80475" w:rsidRDefault="00913711" w:rsidP="00E607DA">
            <w:pPr>
              <w:jc w:val="center"/>
              <w:rPr>
                <w:rFonts w:ascii="Meta Pro" w:eastAsia="Times New Roman" w:hAnsi="Meta Pro"/>
                <w:b/>
                <w:bCs/>
                <w:sz w:val="16"/>
                <w:szCs w:val="16"/>
                <w:lang w:eastAsia="en-AU"/>
              </w:rPr>
            </w:pPr>
          </w:p>
        </w:tc>
        <w:tc>
          <w:tcPr>
            <w:tcW w:w="1172" w:type="dxa"/>
            <w:tcBorders>
              <w:top w:val="nil"/>
              <w:left w:val="nil"/>
              <w:bottom w:val="nil"/>
              <w:right w:val="nil"/>
            </w:tcBorders>
            <w:shd w:val="clear" w:color="auto" w:fill="auto"/>
            <w:noWrap/>
            <w:vAlign w:val="center"/>
            <w:hideMark/>
          </w:tcPr>
          <w:p w14:paraId="66588F65" w14:textId="77777777" w:rsidR="00913711" w:rsidRPr="00C80475" w:rsidRDefault="00913711" w:rsidP="00E607DA">
            <w:pPr>
              <w:jc w:val="center"/>
              <w:rPr>
                <w:rFonts w:ascii="Meta Pro" w:eastAsia="Times New Roman" w:hAnsi="Meta Pro"/>
                <w:b/>
                <w:bCs/>
                <w:sz w:val="16"/>
                <w:szCs w:val="16"/>
                <w:lang w:eastAsia="en-AU"/>
              </w:rPr>
            </w:pPr>
            <w:r w:rsidRPr="00C80475">
              <w:rPr>
                <w:rFonts w:ascii="Meta Pro" w:eastAsia="Times New Roman" w:hAnsi="Meta Pro"/>
                <w:b/>
                <w:bCs/>
                <w:sz w:val="16"/>
                <w:szCs w:val="16"/>
                <w:lang w:eastAsia="en-AU"/>
              </w:rPr>
              <w:t>2022</w:t>
            </w:r>
          </w:p>
        </w:tc>
        <w:tc>
          <w:tcPr>
            <w:tcW w:w="113" w:type="dxa"/>
            <w:tcBorders>
              <w:top w:val="nil"/>
              <w:left w:val="nil"/>
              <w:bottom w:val="nil"/>
              <w:right w:val="nil"/>
            </w:tcBorders>
            <w:shd w:val="clear" w:color="auto" w:fill="auto"/>
            <w:noWrap/>
            <w:vAlign w:val="center"/>
            <w:hideMark/>
          </w:tcPr>
          <w:p w14:paraId="6E8214EB" w14:textId="77777777" w:rsidR="00913711" w:rsidRPr="00C80475" w:rsidRDefault="00913711" w:rsidP="00E607DA">
            <w:pPr>
              <w:jc w:val="center"/>
              <w:rPr>
                <w:rFonts w:ascii="Meta Pro" w:eastAsia="Times New Roman" w:hAnsi="Meta Pro"/>
                <w:b/>
                <w:bCs/>
                <w:sz w:val="16"/>
                <w:szCs w:val="16"/>
                <w:lang w:eastAsia="en-AU"/>
              </w:rPr>
            </w:pPr>
          </w:p>
        </w:tc>
        <w:tc>
          <w:tcPr>
            <w:tcW w:w="1155" w:type="dxa"/>
            <w:tcBorders>
              <w:top w:val="nil"/>
              <w:left w:val="nil"/>
              <w:bottom w:val="nil"/>
              <w:right w:val="nil"/>
            </w:tcBorders>
            <w:shd w:val="clear" w:color="auto" w:fill="auto"/>
            <w:noWrap/>
            <w:vAlign w:val="center"/>
            <w:hideMark/>
          </w:tcPr>
          <w:p w14:paraId="0F69658C" w14:textId="77777777" w:rsidR="00913711" w:rsidRPr="00C80475" w:rsidRDefault="00913711" w:rsidP="00E607DA">
            <w:pPr>
              <w:jc w:val="center"/>
              <w:rPr>
                <w:rFonts w:ascii="Meta Pro" w:eastAsia="Times New Roman" w:hAnsi="Meta Pro"/>
                <w:b/>
                <w:bCs/>
                <w:sz w:val="16"/>
                <w:szCs w:val="16"/>
                <w:lang w:eastAsia="en-AU"/>
              </w:rPr>
            </w:pPr>
            <w:r w:rsidRPr="00C80475">
              <w:rPr>
                <w:rFonts w:ascii="Meta Pro" w:eastAsia="Times New Roman" w:hAnsi="Meta Pro"/>
                <w:b/>
                <w:bCs/>
                <w:sz w:val="16"/>
                <w:szCs w:val="16"/>
                <w:lang w:eastAsia="en-AU"/>
              </w:rPr>
              <w:t>2022</w:t>
            </w:r>
          </w:p>
        </w:tc>
        <w:tc>
          <w:tcPr>
            <w:tcW w:w="113" w:type="dxa"/>
            <w:tcBorders>
              <w:top w:val="nil"/>
              <w:left w:val="nil"/>
              <w:bottom w:val="nil"/>
              <w:right w:val="nil"/>
            </w:tcBorders>
            <w:shd w:val="clear" w:color="auto" w:fill="auto"/>
            <w:noWrap/>
            <w:vAlign w:val="center"/>
            <w:hideMark/>
          </w:tcPr>
          <w:p w14:paraId="59696E2B" w14:textId="77777777" w:rsidR="00913711" w:rsidRPr="00C80475" w:rsidRDefault="00913711" w:rsidP="00E607DA">
            <w:pPr>
              <w:jc w:val="center"/>
              <w:rPr>
                <w:rFonts w:ascii="Meta Pro" w:eastAsia="Times New Roman" w:hAnsi="Meta Pro"/>
                <w:b/>
                <w:bCs/>
                <w:sz w:val="16"/>
                <w:szCs w:val="16"/>
                <w:lang w:eastAsia="en-AU"/>
              </w:rPr>
            </w:pPr>
          </w:p>
        </w:tc>
        <w:tc>
          <w:tcPr>
            <w:tcW w:w="1039" w:type="dxa"/>
            <w:tcBorders>
              <w:top w:val="nil"/>
              <w:left w:val="nil"/>
              <w:bottom w:val="nil"/>
              <w:right w:val="nil"/>
            </w:tcBorders>
            <w:shd w:val="clear" w:color="auto" w:fill="auto"/>
            <w:noWrap/>
            <w:vAlign w:val="center"/>
            <w:hideMark/>
          </w:tcPr>
          <w:p w14:paraId="3CB45E4F" w14:textId="77777777" w:rsidR="00913711" w:rsidRPr="00C80475" w:rsidRDefault="00913711" w:rsidP="00E607DA">
            <w:pPr>
              <w:jc w:val="center"/>
              <w:rPr>
                <w:rFonts w:ascii="Meta Pro" w:eastAsia="Times New Roman" w:hAnsi="Meta Pro"/>
                <w:b/>
                <w:bCs/>
                <w:sz w:val="16"/>
                <w:szCs w:val="16"/>
                <w:lang w:eastAsia="en-AU"/>
              </w:rPr>
            </w:pPr>
            <w:r w:rsidRPr="00C80475">
              <w:rPr>
                <w:rFonts w:ascii="Meta Pro" w:eastAsia="Times New Roman" w:hAnsi="Meta Pro"/>
                <w:b/>
                <w:bCs/>
                <w:sz w:val="16"/>
                <w:szCs w:val="16"/>
                <w:lang w:eastAsia="en-AU"/>
              </w:rPr>
              <w:t>2022</w:t>
            </w:r>
          </w:p>
        </w:tc>
        <w:tc>
          <w:tcPr>
            <w:tcW w:w="113" w:type="dxa"/>
            <w:tcBorders>
              <w:top w:val="nil"/>
              <w:left w:val="nil"/>
              <w:bottom w:val="nil"/>
              <w:right w:val="nil"/>
            </w:tcBorders>
            <w:shd w:val="clear" w:color="auto" w:fill="auto"/>
            <w:noWrap/>
            <w:vAlign w:val="center"/>
            <w:hideMark/>
          </w:tcPr>
          <w:p w14:paraId="6E92CBBF" w14:textId="77777777" w:rsidR="00913711" w:rsidRPr="00C80475" w:rsidRDefault="00913711" w:rsidP="00E607DA">
            <w:pPr>
              <w:jc w:val="center"/>
              <w:rPr>
                <w:rFonts w:ascii="Meta Pro" w:eastAsia="Times New Roman" w:hAnsi="Meta Pro"/>
                <w:b/>
                <w:bCs/>
                <w:sz w:val="16"/>
                <w:szCs w:val="16"/>
                <w:lang w:eastAsia="en-AU"/>
              </w:rPr>
            </w:pPr>
          </w:p>
        </w:tc>
        <w:tc>
          <w:tcPr>
            <w:tcW w:w="1134" w:type="dxa"/>
            <w:tcBorders>
              <w:top w:val="nil"/>
              <w:left w:val="nil"/>
              <w:bottom w:val="nil"/>
              <w:right w:val="nil"/>
            </w:tcBorders>
            <w:shd w:val="clear" w:color="auto" w:fill="auto"/>
            <w:noWrap/>
            <w:vAlign w:val="center"/>
            <w:hideMark/>
          </w:tcPr>
          <w:p w14:paraId="109F506E" w14:textId="77777777" w:rsidR="00913711" w:rsidRPr="00C80475" w:rsidRDefault="00913711" w:rsidP="00E607DA">
            <w:pPr>
              <w:jc w:val="center"/>
              <w:rPr>
                <w:rFonts w:ascii="Meta Pro" w:eastAsia="Times New Roman" w:hAnsi="Meta Pro"/>
                <w:b/>
                <w:bCs/>
                <w:sz w:val="16"/>
                <w:szCs w:val="16"/>
                <w:lang w:eastAsia="en-AU"/>
              </w:rPr>
            </w:pPr>
            <w:r w:rsidRPr="00C80475">
              <w:rPr>
                <w:rFonts w:ascii="Meta Pro" w:eastAsia="Times New Roman" w:hAnsi="Meta Pro"/>
                <w:b/>
                <w:bCs/>
                <w:sz w:val="16"/>
                <w:szCs w:val="16"/>
                <w:lang w:eastAsia="en-AU"/>
              </w:rPr>
              <w:t>2022</w:t>
            </w:r>
          </w:p>
        </w:tc>
        <w:tc>
          <w:tcPr>
            <w:tcW w:w="113" w:type="dxa"/>
            <w:tcBorders>
              <w:top w:val="nil"/>
              <w:left w:val="nil"/>
              <w:bottom w:val="nil"/>
              <w:right w:val="nil"/>
            </w:tcBorders>
            <w:shd w:val="clear" w:color="auto" w:fill="auto"/>
            <w:noWrap/>
            <w:vAlign w:val="center"/>
            <w:hideMark/>
          </w:tcPr>
          <w:p w14:paraId="4ADD511F" w14:textId="77777777" w:rsidR="00913711" w:rsidRPr="00C80475" w:rsidRDefault="00913711" w:rsidP="00E607DA">
            <w:pPr>
              <w:jc w:val="center"/>
              <w:rPr>
                <w:rFonts w:ascii="Meta Pro" w:eastAsia="Times New Roman" w:hAnsi="Meta Pro"/>
                <w:b/>
                <w:bCs/>
                <w:sz w:val="16"/>
                <w:szCs w:val="16"/>
                <w:lang w:eastAsia="en-AU"/>
              </w:rPr>
            </w:pPr>
          </w:p>
        </w:tc>
        <w:tc>
          <w:tcPr>
            <w:tcW w:w="1111" w:type="dxa"/>
            <w:tcBorders>
              <w:top w:val="nil"/>
              <w:left w:val="nil"/>
              <w:bottom w:val="nil"/>
              <w:right w:val="nil"/>
            </w:tcBorders>
            <w:shd w:val="clear" w:color="auto" w:fill="auto"/>
            <w:noWrap/>
            <w:vAlign w:val="center"/>
            <w:hideMark/>
          </w:tcPr>
          <w:p w14:paraId="277DDED7" w14:textId="77777777" w:rsidR="00913711" w:rsidRPr="00C80475" w:rsidRDefault="00913711" w:rsidP="00E607DA">
            <w:pPr>
              <w:jc w:val="center"/>
              <w:rPr>
                <w:rFonts w:ascii="Meta Pro" w:eastAsia="Times New Roman" w:hAnsi="Meta Pro"/>
                <w:b/>
                <w:bCs/>
                <w:sz w:val="16"/>
                <w:szCs w:val="16"/>
                <w:lang w:eastAsia="en-AU"/>
              </w:rPr>
            </w:pPr>
            <w:r w:rsidRPr="00C80475">
              <w:rPr>
                <w:rFonts w:ascii="Meta Pro" w:eastAsia="Times New Roman" w:hAnsi="Meta Pro"/>
                <w:b/>
                <w:bCs/>
                <w:sz w:val="16"/>
                <w:szCs w:val="16"/>
                <w:lang w:eastAsia="en-AU"/>
              </w:rPr>
              <w:t>2022</w:t>
            </w:r>
          </w:p>
        </w:tc>
        <w:tc>
          <w:tcPr>
            <w:tcW w:w="113" w:type="dxa"/>
            <w:tcBorders>
              <w:top w:val="nil"/>
              <w:left w:val="nil"/>
              <w:bottom w:val="nil"/>
              <w:right w:val="nil"/>
            </w:tcBorders>
            <w:shd w:val="clear" w:color="auto" w:fill="auto"/>
            <w:noWrap/>
            <w:vAlign w:val="center"/>
            <w:hideMark/>
          </w:tcPr>
          <w:p w14:paraId="22DAAA03" w14:textId="77777777" w:rsidR="00913711" w:rsidRPr="00C80475" w:rsidRDefault="00913711" w:rsidP="00E607DA">
            <w:pPr>
              <w:jc w:val="center"/>
              <w:rPr>
                <w:rFonts w:ascii="Meta Pro" w:eastAsia="Times New Roman" w:hAnsi="Meta Pro"/>
                <w:b/>
                <w:bCs/>
                <w:sz w:val="16"/>
                <w:szCs w:val="16"/>
                <w:lang w:eastAsia="en-AU"/>
              </w:rPr>
            </w:pPr>
          </w:p>
        </w:tc>
        <w:tc>
          <w:tcPr>
            <w:tcW w:w="1205" w:type="dxa"/>
            <w:tcBorders>
              <w:top w:val="nil"/>
              <w:left w:val="nil"/>
              <w:bottom w:val="nil"/>
              <w:right w:val="nil"/>
            </w:tcBorders>
            <w:shd w:val="clear" w:color="auto" w:fill="auto"/>
            <w:noWrap/>
            <w:vAlign w:val="center"/>
            <w:hideMark/>
          </w:tcPr>
          <w:p w14:paraId="39B8E8A4" w14:textId="77777777" w:rsidR="00913711" w:rsidRPr="00C80475" w:rsidRDefault="00913711" w:rsidP="00E607DA">
            <w:pPr>
              <w:jc w:val="center"/>
              <w:rPr>
                <w:rFonts w:ascii="Meta Pro" w:eastAsia="Times New Roman" w:hAnsi="Meta Pro"/>
                <w:b/>
                <w:bCs/>
                <w:sz w:val="16"/>
                <w:szCs w:val="16"/>
                <w:lang w:eastAsia="en-AU"/>
              </w:rPr>
            </w:pPr>
            <w:r w:rsidRPr="00C80475">
              <w:rPr>
                <w:rFonts w:ascii="Meta Pro" w:eastAsia="Times New Roman" w:hAnsi="Meta Pro"/>
                <w:b/>
                <w:bCs/>
                <w:sz w:val="16"/>
                <w:szCs w:val="16"/>
                <w:lang w:eastAsia="en-AU"/>
              </w:rPr>
              <w:t>2022</w:t>
            </w:r>
          </w:p>
        </w:tc>
      </w:tr>
      <w:tr w:rsidR="00913711" w:rsidRPr="00C80475" w14:paraId="48592340" w14:textId="77777777" w:rsidTr="00E607DA">
        <w:trPr>
          <w:trHeight w:val="198"/>
        </w:trPr>
        <w:tc>
          <w:tcPr>
            <w:tcW w:w="4540" w:type="dxa"/>
            <w:tcBorders>
              <w:top w:val="nil"/>
              <w:left w:val="nil"/>
              <w:bottom w:val="nil"/>
              <w:right w:val="nil"/>
            </w:tcBorders>
            <w:shd w:val="clear" w:color="auto" w:fill="auto"/>
            <w:noWrap/>
            <w:vAlign w:val="center"/>
            <w:hideMark/>
          </w:tcPr>
          <w:p w14:paraId="732B9D9C" w14:textId="77777777" w:rsidR="00913711" w:rsidRPr="00C80475" w:rsidRDefault="00913711" w:rsidP="00E607DA">
            <w:pPr>
              <w:rPr>
                <w:rFonts w:ascii="Meta Pro" w:eastAsia="Times New Roman" w:hAnsi="Meta Pro"/>
                <w:b/>
                <w:bCs/>
                <w:sz w:val="16"/>
                <w:szCs w:val="16"/>
                <w:lang w:eastAsia="en-AU"/>
              </w:rPr>
            </w:pPr>
            <w:r w:rsidRPr="00C80475">
              <w:rPr>
                <w:rFonts w:ascii="Meta Pro" w:eastAsia="Times New Roman" w:hAnsi="Meta Pro"/>
                <w:b/>
                <w:bCs/>
                <w:sz w:val="16"/>
                <w:szCs w:val="16"/>
                <w:lang w:eastAsia="en-AU"/>
              </w:rPr>
              <w:t>Service concession assets</w:t>
            </w:r>
          </w:p>
        </w:tc>
        <w:tc>
          <w:tcPr>
            <w:tcW w:w="1132" w:type="dxa"/>
            <w:tcBorders>
              <w:top w:val="nil"/>
              <w:left w:val="nil"/>
              <w:bottom w:val="nil"/>
              <w:right w:val="nil"/>
            </w:tcBorders>
            <w:shd w:val="clear" w:color="auto" w:fill="auto"/>
            <w:noWrap/>
            <w:vAlign w:val="center"/>
            <w:hideMark/>
          </w:tcPr>
          <w:p w14:paraId="6B4A5EA2" w14:textId="77777777" w:rsidR="00913711" w:rsidRPr="00C80475" w:rsidRDefault="00913711" w:rsidP="00E607DA">
            <w:pPr>
              <w:jc w:val="center"/>
              <w:rPr>
                <w:rFonts w:ascii="Meta Pro" w:eastAsia="Times New Roman" w:hAnsi="Meta Pro"/>
                <w:b/>
                <w:bCs/>
                <w:sz w:val="16"/>
                <w:szCs w:val="16"/>
                <w:lang w:eastAsia="en-AU"/>
              </w:rPr>
            </w:pPr>
            <w:r w:rsidRPr="00C80475">
              <w:rPr>
                <w:rFonts w:ascii="Meta Pro" w:eastAsia="Times New Roman" w:hAnsi="Meta Pro"/>
                <w:b/>
                <w:bCs/>
                <w:sz w:val="16"/>
                <w:szCs w:val="16"/>
                <w:lang w:eastAsia="en-AU"/>
              </w:rPr>
              <w:t>$'000</w:t>
            </w:r>
          </w:p>
        </w:tc>
        <w:tc>
          <w:tcPr>
            <w:tcW w:w="113" w:type="dxa"/>
            <w:tcBorders>
              <w:top w:val="nil"/>
              <w:left w:val="nil"/>
              <w:bottom w:val="nil"/>
              <w:right w:val="nil"/>
            </w:tcBorders>
            <w:shd w:val="clear" w:color="auto" w:fill="auto"/>
            <w:noWrap/>
            <w:vAlign w:val="center"/>
            <w:hideMark/>
          </w:tcPr>
          <w:p w14:paraId="1F1D5B86" w14:textId="77777777" w:rsidR="00913711" w:rsidRPr="00C80475" w:rsidRDefault="00913711" w:rsidP="00E607DA">
            <w:pPr>
              <w:jc w:val="center"/>
              <w:rPr>
                <w:rFonts w:ascii="Meta Pro" w:eastAsia="Times New Roman" w:hAnsi="Meta Pro"/>
                <w:b/>
                <w:bCs/>
                <w:sz w:val="16"/>
                <w:szCs w:val="16"/>
                <w:lang w:eastAsia="en-AU"/>
              </w:rPr>
            </w:pPr>
          </w:p>
        </w:tc>
        <w:tc>
          <w:tcPr>
            <w:tcW w:w="1239" w:type="dxa"/>
            <w:tcBorders>
              <w:top w:val="nil"/>
              <w:left w:val="nil"/>
              <w:bottom w:val="nil"/>
              <w:right w:val="nil"/>
            </w:tcBorders>
            <w:shd w:val="clear" w:color="auto" w:fill="auto"/>
            <w:noWrap/>
            <w:vAlign w:val="center"/>
            <w:hideMark/>
          </w:tcPr>
          <w:p w14:paraId="444CE218" w14:textId="77777777" w:rsidR="00913711" w:rsidRPr="00C80475" w:rsidRDefault="00913711" w:rsidP="00E607DA">
            <w:pPr>
              <w:jc w:val="center"/>
              <w:rPr>
                <w:rFonts w:ascii="Meta Pro" w:eastAsia="Times New Roman" w:hAnsi="Meta Pro"/>
                <w:b/>
                <w:bCs/>
                <w:sz w:val="16"/>
                <w:szCs w:val="16"/>
                <w:lang w:eastAsia="en-AU"/>
              </w:rPr>
            </w:pPr>
            <w:r w:rsidRPr="00C80475">
              <w:rPr>
                <w:rFonts w:ascii="Meta Pro" w:eastAsia="Times New Roman" w:hAnsi="Meta Pro"/>
                <w:b/>
                <w:bCs/>
                <w:sz w:val="16"/>
                <w:szCs w:val="16"/>
                <w:lang w:eastAsia="en-AU"/>
              </w:rPr>
              <w:t>$'000</w:t>
            </w:r>
          </w:p>
        </w:tc>
        <w:tc>
          <w:tcPr>
            <w:tcW w:w="113" w:type="dxa"/>
            <w:tcBorders>
              <w:top w:val="nil"/>
              <w:left w:val="nil"/>
              <w:bottom w:val="nil"/>
              <w:right w:val="nil"/>
            </w:tcBorders>
            <w:shd w:val="clear" w:color="auto" w:fill="auto"/>
            <w:noWrap/>
            <w:vAlign w:val="center"/>
            <w:hideMark/>
          </w:tcPr>
          <w:p w14:paraId="548A9852" w14:textId="77777777" w:rsidR="00913711" w:rsidRPr="00C80475" w:rsidRDefault="00913711" w:rsidP="00E607DA">
            <w:pPr>
              <w:jc w:val="center"/>
              <w:rPr>
                <w:rFonts w:ascii="Meta Pro" w:eastAsia="Times New Roman" w:hAnsi="Meta Pro"/>
                <w:b/>
                <w:bCs/>
                <w:sz w:val="16"/>
                <w:szCs w:val="16"/>
                <w:lang w:eastAsia="en-AU"/>
              </w:rPr>
            </w:pPr>
          </w:p>
        </w:tc>
        <w:tc>
          <w:tcPr>
            <w:tcW w:w="1187" w:type="dxa"/>
            <w:tcBorders>
              <w:top w:val="nil"/>
              <w:left w:val="nil"/>
              <w:bottom w:val="nil"/>
              <w:right w:val="nil"/>
            </w:tcBorders>
            <w:shd w:val="clear" w:color="auto" w:fill="auto"/>
            <w:noWrap/>
            <w:vAlign w:val="center"/>
            <w:hideMark/>
          </w:tcPr>
          <w:p w14:paraId="64026751" w14:textId="77777777" w:rsidR="00913711" w:rsidRPr="00C80475" w:rsidRDefault="00913711" w:rsidP="00E607DA">
            <w:pPr>
              <w:jc w:val="center"/>
              <w:rPr>
                <w:rFonts w:ascii="Meta Pro" w:eastAsia="Times New Roman" w:hAnsi="Meta Pro"/>
                <w:b/>
                <w:bCs/>
                <w:sz w:val="16"/>
                <w:szCs w:val="16"/>
                <w:lang w:eastAsia="en-AU"/>
              </w:rPr>
            </w:pPr>
            <w:r w:rsidRPr="00C80475">
              <w:rPr>
                <w:rFonts w:ascii="Meta Pro" w:eastAsia="Times New Roman" w:hAnsi="Meta Pro"/>
                <w:b/>
                <w:bCs/>
                <w:sz w:val="16"/>
                <w:szCs w:val="16"/>
                <w:lang w:eastAsia="en-AU"/>
              </w:rPr>
              <w:t>$'000</w:t>
            </w:r>
          </w:p>
        </w:tc>
        <w:tc>
          <w:tcPr>
            <w:tcW w:w="113" w:type="dxa"/>
            <w:tcBorders>
              <w:top w:val="nil"/>
              <w:left w:val="nil"/>
              <w:bottom w:val="nil"/>
              <w:right w:val="nil"/>
            </w:tcBorders>
            <w:shd w:val="clear" w:color="auto" w:fill="auto"/>
            <w:noWrap/>
            <w:vAlign w:val="center"/>
            <w:hideMark/>
          </w:tcPr>
          <w:p w14:paraId="4B426CFC" w14:textId="77777777" w:rsidR="00913711" w:rsidRPr="00C80475" w:rsidRDefault="00913711" w:rsidP="00E607DA">
            <w:pPr>
              <w:jc w:val="center"/>
              <w:rPr>
                <w:rFonts w:ascii="Meta Pro" w:eastAsia="Times New Roman" w:hAnsi="Meta Pro"/>
                <w:b/>
                <w:bCs/>
                <w:sz w:val="16"/>
                <w:szCs w:val="16"/>
                <w:lang w:eastAsia="en-AU"/>
              </w:rPr>
            </w:pPr>
          </w:p>
        </w:tc>
        <w:tc>
          <w:tcPr>
            <w:tcW w:w="1172" w:type="dxa"/>
            <w:tcBorders>
              <w:top w:val="nil"/>
              <w:left w:val="nil"/>
              <w:bottom w:val="nil"/>
              <w:right w:val="nil"/>
            </w:tcBorders>
            <w:shd w:val="clear" w:color="auto" w:fill="auto"/>
            <w:noWrap/>
            <w:vAlign w:val="center"/>
            <w:hideMark/>
          </w:tcPr>
          <w:p w14:paraId="4E5BE23A" w14:textId="77777777" w:rsidR="00913711" w:rsidRPr="00C80475" w:rsidRDefault="00913711" w:rsidP="00E607DA">
            <w:pPr>
              <w:jc w:val="center"/>
              <w:rPr>
                <w:rFonts w:ascii="Meta Pro" w:eastAsia="Times New Roman" w:hAnsi="Meta Pro"/>
                <w:b/>
                <w:bCs/>
                <w:sz w:val="16"/>
                <w:szCs w:val="16"/>
                <w:lang w:eastAsia="en-AU"/>
              </w:rPr>
            </w:pPr>
            <w:r w:rsidRPr="00C80475">
              <w:rPr>
                <w:rFonts w:ascii="Meta Pro" w:eastAsia="Times New Roman" w:hAnsi="Meta Pro"/>
                <w:b/>
                <w:bCs/>
                <w:sz w:val="16"/>
                <w:szCs w:val="16"/>
                <w:lang w:eastAsia="en-AU"/>
              </w:rPr>
              <w:t>$'000</w:t>
            </w:r>
          </w:p>
        </w:tc>
        <w:tc>
          <w:tcPr>
            <w:tcW w:w="113" w:type="dxa"/>
            <w:tcBorders>
              <w:top w:val="nil"/>
              <w:left w:val="nil"/>
              <w:bottom w:val="nil"/>
              <w:right w:val="nil"/>
            </w:tcBorders>
            <w:shd w:val="clear" w:color="auto" w:fill="auto"/>
            <w:noWrap/>
            <w:vAlign w:val="center"/>
            <w:hideMark/>
          </w:tcPr>
          <w:p w14:paraId="3602AD61" w14:textId="77777777" w:rsidR="00913711" w:rsidRPr="00C80475" w:rsidRDefault="00913711" w:rsidP="00E607DA">
            <w:pPr>
              <w:jc w:val="center"/>
              <w:rPr>
                <w:rFonts w:ascii="Meta Pro" w:eastAsia="Times New Roman" w:hAnsi="Meta Pro"/>
                <w:b/>
                <w:bCs/>
                <w:sz w:val="16"/>
                <w:szCs w:val="16"/>
                <w:lang w:eastAsia="en-AU"/>
              </w:rPr>
            </w:pPr>
          </w:p>
        </w:tc>
        <w:tc>
          <w:tcPr>
            <w:tcW w:w="1155" w:type="dxa"/>
            <w:tcBorders>
              <w:top w:val="nil"/>
              <w:left w:val="nil"/>
              <w:bottom w:val="nil"/>
              <w:right w:val="nil"/>
            </w:tcBorders>
            <w:shd w:val="clear" w:color="auto" w:fill="auto"/>
            <w:noWrap/>
            <w:vAlign w:val="center"/>
            <w:hideMark/>
          </w:tcPr>
          <w:p w14:paraId="1FC221B4" w14:textId="77777777" w:rsidR="00913711" w:rsidRPr="00C80475" w:rsidRDefault="00913711" w:rsidP="00E607DA">
            <w:pPr>
              <w:jc w:val="center"/>
              <w:rPr>
                <w:rFonts w:ascii="Meta Pro" w:eastAsia="Times New Roman" w:hAnsi="Meta Pro"/>
                <w:b/>
                <w:bCs/>
                <w:sz w:val="16"/>
                <w:szCs w:val="16"/>
                <w:lang w:eastAsia="en-AU"/>
              </w:rPr>
            </w:pPr>
            <w:r w:rsidRPr="00C80475">
              <w:rPr>
                <w:rFonts w:ascii="Meta Pro" w:eastAsia="Times New Roman" w:hAnsi="Meta Pro"/>
                <w:b/>
                <w:bCs/>
                <w:sz w:val="16"/>
                <w:szCs w:val="16"/>
                <w:lang w:eastAsia="en-AU"/>
              </w:rPr>
              <w:t>$'000</w:t>
            </w:r>
          </w:p>
        </w:tc>
        <w:tc>
          <w:tcPr>
            <w:tcW w:w="113" w:type="dxa"/>
            <w:tcBorders>
              <w:top w:val="nil"/>
              <w:left w:val="nil"/>
              <w:bottom w:val="nil"/>
              <w:right w:val="nil"/>
            </w:tcBorders>
            <w:shd w:val="clear" w:color="auto" w:fill="auto"/>
            <w:noWrap/>
            <w:vAlign w:val="center"/>
            <w:hideMark/>
          </w:tcPr>
          <w:p w14:paraId="7593CA75" w14:textId="77777777" w:rsidR="00913711" w:rsidRPr="00C80475" w:rsidRDefault="00913711" w:rsidP="00E607DA">
            <w:pPr>
              <w:jc w:val="center"/>
              <w:rPr>
                <w:rFonts w:ascii="Meta Pro" w:eastAsia="Times New Roman" w:hAnsi="Meta Pro"/>
                <w:b/>
                <w:bCs/>
                <w:sz w:val="16"/>
                <w:szCs w:val="16"/>
                <w:lang w:eastAsia="en-AU"/>
              </w:rPr>
            </w:pPr>
          </w:p>
        </w:tc>
        <w:tc>
          <w:tcPr>
            <w:tcW w:w="1039" w:type="dxa"/>
            <w:tcBorders>
              <w:top w:val="nil"/>
              <w:left w:val="nil"/>
              <w:bottom w:val="nil"/>
              <w:right w:val="nil"/>
            </w:tcBorders>
            <w:shd w:val="clear" w:color="auto" w:fill="auto"/>
            <w:noWrap/>
            <w:vAlign w:val="center"/>
            <w:hideMark/>
          </w:tcPr>
          <w:p w14:paraId="41CAE310" w14:textId="77777777" w:rsidR="00913711" w:rsidRPr="00C80475" w:rsidRDefault="00913711" w:rsidP="00E607DA">
            <w:pPr>
              <w:jc w:val="center"/>
              <w:rPr>
                <w:rFonts w:ascii="Meta Pro" w:eastAsia="Times New Roman" w:hAnsi="Meta Pro"/>
                <w:b/>
                <w:bCs/>
                <w:sz w:val="16"/>
                <w:szCs w:val="16"/>
                <w:lang w:eastAsia="en-AU"/>
              </w:rPr>
            </w:pPr>
            <w:r w:rsidRPr="00C80475">
              <w:rPr>
                <w:rFonts w:ascii="Meta Pro" w:eastAsia="Times New Roman" w:hAnsi="Meta Pro"/>
                <w:b/>
                <w:bCs/>
                <w:sz w:val="16"/>
                <w:szCs w:val="16"/>
                <w:lang w:eastAsia="en-AU"/>
              </w:rPr>
              <w:t>$'000</w:t>
            </w:r>
          </w:p>
        </w:tc>
        <w:tc>
          <w:tcPr>
            <w:tcW w:w="113" w:type="dxa"/>
            <w:tcBorders>
              <w:top w:val="nil"/>
              <w:left w:val="nil"/>
              <w:bottom w:val="nil"/>
              <w:right w:val="nil"/>
            </w:tcBorders>
            <w:shd w:val="clear" w:color="auto" w:fill="auto"/>
            <w:noWrap/>
            <w:vAlign w:val="center"/>
            <w:hideMark/>
          </w:tcPr>
          <w:p w14:paraId="1F75C0B2" w14:textId="77777777" w:rsidR="00913711" w:rsidRPr="00C80475" w:rsidRDefault="00913711" w:rsidP="00E607DA">
            <w:pPr>
              <w:jc w:val="center"/>
              <w:rPr>
                <w:rFonts w:ascii="Meta Pro" w:eastAsia="Times New Roman" w:hAnsi="Meta Pro"/>
                <w:b/>
                <w:bCs/>
                <w:sz w:val="16"/>
                <w:szCs w:val="16"/>
                <w:lang w:eastAsia="en-AU"/>
              </w:rPr>
            </w:pPr>
          </w:p>
        </w:tc>
        <w:tc>
          <w:tcPr>
            <w:tcW w:w="1134" w:type="dxa"/>
            <w:tcBorders>
              <w:top w:val="nil"/>
              <w:left w:val="nil"/>
              <w:bottom w:val="nil"/>
              <w:right w:val="nil"/>
            </w:tcBorders>
            <w:shd w:val="clear" w:color="auto" w:fill="auto"/>
            <w:noWrap/>
            <w:vAlign w:val="center"/>
            <w:hideMark/>
          </w:tcPr>
          <w:p w14:paraId="036E2504" w14:textId="77777777" w:rsidR="00913711" w:rsidRPr="00C80475" w:rsidRDefault="00913711" w:rsidP="00E607DA">
            <w:pPr>
              <w:jc w:val="center"/>
              <w:rPr>
                <w:rFonts w:ascii="Meta Pro" w:eastAsia="Times New Roman" w:hAnsi="Meta Pro"/>
                <w:b/>
                <w:bCs/>
                <w:sz w:val="16"/>
                <w:szCs w:val="16"/>
                <w:lang w:eastAsia="en-AU"/>
              </w:rPr>
            </w:pPr>
            <w:r w:rsidRPr="00C80475">
              <w:rPr>
                <w:rFonts w:ascii="Meta Pro" w:eastAsia="Times New Roman" w:hAnsi="Meta Pro"/>
                <w:b/>
                <w:bCs/>
                <w:sz w:val="16"/>
                <w:szCs w:val="16"/>
                <w:lang w:eastAsia="en-AU"/>
              </w:rPr>
              <w:t>$'000</w:t>
            </w:r>
          </w:p>
        </w:tc>
        <w:tc>
          <w:tcPr>
            <w:tcW w:w="113" w:type="dxa"/>
            <w:tcBorders>
              <w:top w:val="nil"/>
              <w:left w:val="nil"/>
              <w:bottom w:val="nil"/>
              <w:right w:val="nil"/>
            </w:tcBorders>
            <w:shd w:val="clear" w:color="auto" w:fill="auto"/>
            <w:noWrap/>
            <w:vAlign w:val="center"/>
            <w:hideMark/>
          </w:tcPr>
          <w:p w14:paraId="338EAE58" w14:textId="77777777" w:rsidR="00913711" w:rsidRPr="00C80475" w:rsidRDefault="00913711" w:rsidP="00E607DA">
            <w:pPr>
              <w:jc w:val="center"/>
              <w:rPr>
                <w:rFonts w:ascii="Meta Pro" w:eastAsia="Times New Roman" w:hAnsi="Meta Pro"/>
                <w:b/>
                <w:bCs/>
                <w:sz w:val="16"/>
                <w:szCs w:val="16"/>
                <w:lang w:eastAsia="en-AU"/>
              </w:rPr>
            </w:pPr>
          </w:p>
        </w:tc>
        <w:tc>
          <w:tcPr>
            <w:tcW w:w="1111" w:type="dxa"/>
            <w:tcBorders>
              <w:top w:val="nil"/>
              <w:left w:val="nil"/>
              <w:bottom w:val="nil"/>
              <w:right w:val="nil"/>
            </w:tcBorders>
            <w:shd w:val="clear" w:color="auto" w:fill="auto"/>
            <w:noWrap/>
            <w:vAlign w:val="center"/>
            <w:hideMark/>
          </w:tcPr>
          <w:p w14:paraId="03C34009" w14:textId="77777777" w:rsidR="00913711" w:rsidRPr="00C80475" w:rsidRDefault="00913711" w:rsidP="00E607DA">
            <w:pPr>
              <w:jc w:val="center"/>
              <w:rPr>
                <w:rFonts w:ascii="Meta Pro" w:eastAsia="Times New Roman" w:hAnsi="Meta Pro"/>
                <w:b/>
                <w:bCs/>
                <w:sz w:val="16"/>
                <w:szCs w:val="16"/>
                <w:lang w:eastAsia="en-AU"/>
              </w:rPr>
            </w:pPr>
            <w:r w:rsidRPr="00C80475">
              <w:rPr>
                <w:rFonts w:ascii="Meta Pro" w:eastAsia="Times New Roman" w:hAnsi="Meta Pro"/>
                <w:b/>
                <w:bCs/>
                <w:sz w:val="16"/>
                <w:szCs w:val="16"/>
                <w:lang w:eastAsia="en-AU"/>
              </w:rPr>
              <w:t>$'000</w:t>
            </w:r>
          </w:p>
        </w:tc>
        <w:tc>
          <w:tcPr>
            <w:tcW w:w="113" w:type="dxa"/>
            <w:tcBorders>
              <w:top w:val="nil"/>
              <w:left w:val="nil"/>
              <w:bottom w:val="nil"/>
              <w:right w:val="nil"/>
            </w:tcBorders>
            <w:shd w:val="clear" w:color="auto" w:fill="auto"/>
            <w:noWrap/>
            <w:vAlign w:val="center"/>
            <w:hideMark/>
          </w:tcPr>
          <w:p w14:paraId="747C597B" w14:textId="77777777" w:rsidR="00913711" w:rsidRPr="00C80475" w:rsidRDefault="00913711" w:rsidP="00E607DA">
            <w:pPr>
              <w:jc w:val="center"/>
              <w:rPr>
                <w:rFonts w:ascii="Meta Pro" w:eastAsia="Times New Roman" w:hAnsi="Meta Pro"/>
                <w:b/>
                <w:bCs/>
                <w:sz w:val="16"/>
                <w:szCs w:val="16"/>
                <w:lang w:eastAsia="en-AU"/>
              </w:rPr>
            </w:pPr>
          </w:p>
        </w:tc>
        <w:tc>
          <w:tcPr>
            <w:tcW w:w="1205" w:type="dxa"/>
            <w:tcBorders>
              <w:top w:val="nil"/>
              <w:left w:val="nil"/>
              <w:bottom w:val="nil"/>
              <w:right w:val="nil"/>
            </w:tcBorders>
            <w:shd w:val="clear" w:color="auto" w:fill="auto"/>
            <w:noWrap/>
            <w:vAlign w:val="center"/>
            <w:hideMark/>
          </w:tcPr>
          <w:p w14:paraId="6181B712" w14:textId="77777777" w:rsidR="00913711" w:rsidRPr="00C80475" w:rsidRDefault="00913711" w:rsidP="00E607DA">
            <w:pPr>
              <w:jc w:val="center"/>
              <w:rPr>
                <w:rFonts w:ascii="Meta Pro" w:eastAsia="Times New Roman" w:hAnsi="Meta Pro"/>
                <w:b/>
                <w:bCs/>
                <w:sz w:val="16"/>
                <w:szCs w:val="16"/>
                <w:lang w:eastAsia="en-AU"/>
              </w:rPr>
            </w:pPr>
            <w:r w:rsidRPr="00C80475">
              <w:rPr>
                <w:rFonts w:ascii="Meta Pro" w:eastAsia="Times New Roman" w:hAnsi="Meta Pro"/>
                <w:b/>
                <w:bCs/>
                <w:sz w:val="16"/>
                <w:szCs w:val="16"/>
                <w:lang w:eastAsia="en-AU"/>
              </w:rPr>
              <w:t>$'000</w:t>
            </w:r>
          </w:p>
        </w:tc>
      </w:tr>
      <w:tr w:rsidR="00913711" w:rsidRPr="00C80475" w14:paraId="5B986B72" w14:textId="77777777" w:rsidTr="00E607DA">
        <w:trPr>
          <w:trHeight w:val="198"/>
        </w:trPr>
        <w:tc>
          <w:tcPr>
            <w:tcW w:w="4540" w:type="dxa"/>
            <w:tcBorders>
              <w:top w:val="nil"/>
              <w:left w:val="nil"/>
              <w:bottom w:val="nil"/>
              <w:right w:val="nil"/>
            </w:tcBorders>
            <w:shd w:val="clear" w:color="auto" w:fill="auto"/>
            <w:noWrap/>
            <w:vAlign w:val="center"/>
            <w:hideMark/>
          </w:tcPr>
          <w:p w14:paraId="1EAA35CE" w14:textId="77777777" w:rsidR="00913711" w:rsidRPr="00C80475" w:rsidRDefault="00913711" w:rsidP="00E607DA">
            <w:pPr>
              <w:jc w:val="center"/>
              <w:rPr>
                <w:rFonts w:ascii="Meta Pro" w:eastAsia="Times New Roman" w:hAnsi="Meta Pro"/>
                <w:b/>
                <w:bCs/>
                <w:sz w:val="16"/>
                <w:szCs w:val="16"/>
                <w:lang w:eastAsia="en-AU"/>
              </w:rPr>
            </w:pPr>
          </w:p>
        </w:tc>
        <w:tc>
          <w:tcPr>
            <w:tcW w:w="1132" w:type="dxa"/>
            <w:tcBorders>
              <w:top w:val="nil"/>
              <w:left w:val="nil"/>
              <w:bottom w:val="nil"/>
              <w:right w:val="nil"/>
            </w:tcBorders>
            <w:shd w:val="clear" w:color="auto" w:fill="auto"/>
            <w:noWrap/>
            <w:vAlign w:val="center"/>
            <w:hideMark/>
          </w:tcPr>
          <w:p w14:paraId="02DED45D"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3985B3ED" w14:textId="77777777" w:rsidR="00913711" w:rsidRPr="00C80475" w:rsidRDefault="00913711" w:rsidP="00E607DA">
            <w:pPr>
              <w:rPr>
                <w:rFonts w:ascii="Meta Pro" w:eastAsia="Times New Roman" w:hAnsi="Meta Pro" w:cs="Times New Roman"/>
                <w:sz w:val="20"/>
                <w:szCs w:val="20"/>
                <w:lang w:eastAsia="en-AU"/>
              </w:rPr>
            </w:pPr>
          </w:p>
        </w:tc>
        <w:tc>
          <w:tcPr>
            <w:tcW w:w="1239" w:type="dxa"/>
            <w:tcBorders>
              <w:top w:val="nil"/>
              <w:left w:val="nil"/>
              <w:bottom w:val="nil"/>
              <w:right w:val="nil"/>
            </w:tcBorders>
            <w:shd w:val="clear" w:color="auto" w:fill="auto"/>
            <w:noWrap/>
            <w:vAlign w:val="center"/>
            <w:hideMark/>
          </w:tcPr>
          <w:p w14:paraId="59545128"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12BA5602" w14:textId="77777777" w:rsidR="00913711" w:rsidRPr="00C80475" w:rsidRDefault="00913711" w:rsidP="00E607DA">
            <w:pPr>
              <w:jc w:val="center"/>
              <w:rPr>
                <w:rFonts w:ascii="Meta Pro" w:eastAsia="Times New Roman" w:hAnsi="Meta Pro" w:cs="Times New Roman"/>
                <w:sz w:val="20"/>
                <w:szCs w:val="20"/>
                <w:lang w:eastAsia="en-AU"/>
              </w:rPr>
            </w:pPr>
          </w:p>
        </w:tc>
        <w:tc>
          <w:tcPr>
            <w:tcW w:w="1187" w:type="dxa"/>
            <w:tcBorders>
              <w:top w:val="nil"/>
              <w:left w:val="nil"/>
              <w:bottom w:val="nil"/>
              <w:right w:val="nil"/>
            </w:tcBorders>
            <w:shd w:val="clear" w:color="auto" w:fill="auto"/>
            <w:noWrap/>
            <w:vAlign w:val="center"/>
            <w:hideMark/>
          </w:tcPr>
          <w:p w14:paraId="1182427A"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4D3CFB31" w14:textId="77777777" w:rsidR="00913711" w:rsidRPr="00C80475" w:rsidRDefault="00913711" w:rsidP="00E607DA">
            <w:pPr>
              <w:jc w:val="center"/>
              <w:rPr>
                <w:rFonts w:ascii="Meta Pro" w:eastAsia="Times New Roman" w:hAnsi="Meta Pro" w:cs="Times New Roman"/>
                <w:sz w:val="20"/>
                <w:szCs w:val="20"/>
                <w:lang w:eastAsia="en-AU"/>
              </w:rPr>
            </w:pPr>
          </w:p>
        </w:tc>
        <w:tc>
          <w:tcPr>
            <w:tcW w:w="1172" w:type="dxa"/>
            <w:tcBorders>
              <w:top w:val="nil"/>
              <w:left w:val="nil"/>
              <w:bottom w:val="nil"/>
              <w:right w:val="nil"/>
            </w:tcBorders>
            <w:shd w:val="clear" w:color="auto" w:fill="auto"/>
            <w:noWrap/>
            <w:vAlign w:val="center"/>
            <w:hideMark/>
          </w:tcPr>
          <w:p w14:paraId="377D5B78"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5F2AEE2C" w14:textId="77777777" w:rsidR="00913711" w:rsidRPr="00C80475" w:rsidRDefault="00913711" w:rsidP="00E607DA">
            <w:pPr>
              <w:jc w:val="center"/>
              <w:rPr>
                <w:rFonts w:ascii="Meta Pro" w:eastAsia="Times New Roman" w:hAnsi="Meta Pro" w:cs="Times New Roman"/>
                <w:sz w:val="20"/>
                <w:szCs w:val="20"/>
                <w:lang w:eastAsia="en-AU"/>
              </w:rPr>
            </w:pPr>
          </w:p>
        </w:tc>
        <w:tc>
          <w:tcPr>
            <w:tcW w:w="1155" w:type="dxa"/>
            <w:tcBorders>
              <w:top w:val="nil"/>
              <w:left w:val="nil"/>
              <w:bottom w:val="nil"/>
              <w:right w:val="nil"/>
            </w:tcBorders>
            <w:shd w:val="clear" w:color="auto" w:fill="auto"/>
            <w:noWrap/>
            <w:vAlign w:val="center"/>
            <w:hideMark/>
          </w:tcPr>
          <w:p w14:paraId="0CFFF730"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52BAA0D0" w14:textId="77777777" w:rsidR="00913711" w:rsidRPr="00C80475" w:rsidRDefault="00913711" w:rsidP="00E607DA">
            <w:pPr>
              <w:jc w:val="center"/>
              <w:rPr>
                <w:rFonts w:ascii="Meta Pro" w:eastAsia="Times New Roman" w:hAnsi="Meta Pro" w:cs="Times New Roman"/>
                <w:sz w:val="20"/>
                <w:szCs w:val="20"/>
                <w:lang w:eastAsia="en-AU"/>
              </w:rPr>
            </w:pPr>
          </w:p>
        </w:tc>
        <w:tc>
          <w:tcPr>
            <w:tcW w:w="1039" w:type="dxa"/>
            <w:tcBorders>
              <w:top w:val="nil"/>
              <w:left w:val="nil"/>
              <w:bottom w:val="nil"/>
              <w:right w:val="nil"/>
            </w:tcBorders>
            <w:shd w:val="clear" w:color="auto" w:fill="auto"/>
            <w:noWrap/>
            <w:vAlign w:val="center"/>
            <w:hideMark/>
          </w:tcPr>
          <w:p w14:paraId="5CB82420"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1F4ED44A" w14:textId="77777777" w:rsidR="00913711" w:rsidRPr="00C80475" w:rsidRDefault="00913711" w:rsidP="00E607DA">
            <w:pPr>
              <w:jc w:val="cente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2E32ED9B"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72D21B29" w14:textId="77777777" w:rsidR="00913711" w:rsidRPr="00C80475" w:rsidRDefault="00913711" w:rsidP="00E607DA">
            <w:pPr>
              <w:jc w:val="center"/>
              <w:rPr>
                <w:rFonts w:ascii="Meta Pro" w:eastAsia="Times New Roman" w:hAnsi="Meta Pro" w:cs="Times New Roman"/>
                <w:sz w:val="20"/>
                <w:szCs w:val="20"/>
                <w:lang w:eastAsia="en-AU"/>
              </w:rPr>
            </w:pPr>
          </w:p>
        </w:tc>
        <w:tc>
          <w:tcPr>
            <w:tcW w:w="1111" w:type="dxa"/>
            <w:tcBorders>
              <w:top w:val="nil"/>
              <w:left w:val="nil"/>
              <w:bottom w:val="nil"/>
              <w:right w:val="nil"/>
            </w:tcBorders>
            <w:shd w:val="clear" w:color="auto" w:fill="auto"/>
            <w:noWrap/>
            <w:vAlign w:val="center"/>
            <w:hideMark/>
          </w:tcPr>
          <w:p w14:paraId="0168FB85"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3385C81A" w14:textId="77777777" w:rsidR="00913711" w:rsidRPr="00C80475" w:rsidRDefault="00913711" w:rsidP="00E607DA">
            <w:pPr>
              <w:jc w:val="center"/>
              <w:rPr>
                <w:rFonts w:ascii="Meta Pro" w:eastAsia="Times New Roman" w:hAnsi="Meta Pro" w:cs="Times New Roman"/>
                <w:sz w:val="20"/>
                <w:szCs w:val="20"/>
                <w:lang w:eastAsia="en-AU"/>
              </w:rPr>
            </w:pPr>
          </w:p>
        </w:tc>
        <w:tc>
          <w:tcPr>
            <w:tcW w:w="1205" w:type="dxa"/>
            <w:tcBorders>
              <w:top w:val="nil"/>
              <w:left w:val="nil"/>
              <w:bottom w:val="nil"/>
              <w:right w:val="nil"/>
            </w:tcBorders>
            <w:shd w:val="clear" w:color="auto" w:fill="auto"/>
            <w:noWrap/>
            <w:vAlign w:val="center"/>
            <w:hideMark/>
          </w:tcPr>
          <w:p w14:paraId="2E5A5C6C" w14:textId="77777777" w:rsidR="00913711" w:rsidRPr="00C80475" w:rsidRDefault="00913711" w:rsidP="00E607DA">
            <w:pPr>
              <w:rPr>
                <w:rFonts w:ascii="Meta Pro" w:eastAsia="Times New Roman" w:hAnsi="Meta Pro" w:cs="Times New Roman"/>
                <w:sz w:val="20"/>
                <w:szCs w:val="20"/>
                <w:lang w:eastAsia="en-AU"/>
              </w:rPr>
            </w:pPr>
          </w:p>
        </w:tc>
      </w:tr>
      <w:tr w:rsidR="00913711" w:rsidRPr="00C80475" w14:paraId="2EC9E0EA" w14:textId="77777777" w:rsidTr="00E607DA">
        <w:trPr>
          <w:trHeight w:val="198"/>
        </w:trPr>
        <w:tc>
          <w:tcPr>
            <w:tcW w:w="4540" w:type="dxa"/>
            <w:tcBorders>
              <w:top w:val="nil"/>
              <w:left w:val="nil"/>
              <w:bottom w:val="nil"/>
              <w:right w:val="nil"/>
            </w:tcBorders>
            <w:shd w:val="clear" w:color="auto" w:fill="auto"/>
            <w:vAlign w:val="center"/>
            <w:hideMark/>
          </w:tcPr>
          <w:p w14:paraId="015ECC32" w14:textId="77777777" w:rsidR="00913711" w:rsidRPr="00C80475" w:rsidRDefault="00913711" w:rsidP="00E607DA">
            <w:pPr>
              <w:rPr>
                <w:rFonts w:ascii="Meta Pro" w:eastAsia="Times New Roman" w:hAnsi="Meta Pro"/>
                <w:sz w:val="16"/>
                <w:szCs w:val="16"/>
                <w:lang w:eastAsia="en-AU"/>
              </w:rPr>
            </w:pPr>
            <w:r w:rsidRPr="00C80475">
              <w:rPr>
                <w:rFonts w:ascii="Meta Pro" w:eastAsia="Times New Roman" w:hAnsi="Meta Pro"/>
                <w:sz w:val="16"/>
                <w:szCs w:val="16"/>
                <w:lang w:eastAsia="en-AU"/>
              </w:rPr>
              <w:t>Gross value</w:t>
            </w:r>
          </w:p>
        </w:tc>
        <w:tc>
          <w:tcPr>
            <w:tcW w:w="1132" w:type="dxa"/>
            <w:tcBorders>
              <w:top w:val="nil"/>
              <w:left w:val="nil"/>
              <w:bottom w:val="nil"/>
              <w:right w:val="nil"/>
            </w:tcBorders>
            <w:shd w:val="clear" w:color="000000" w:fill="C9E3B4"/>
            <w:noWrap/>
            <w:vAlign w:val="center"/>
            <w:hideMark/>
          </w:tcPr>
          <w:p w14:paraId="2CCC58CE"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855,582 </w:t>
            </w:r>
          </w:p>
        </w:tc>
        <w:tc>
          <w:tcPr>
            <w:tcW w:w="113" w:type="dxa"/>
            <w:tcBorders>
              <w:top w:val="nil"/>
              <w:left w:val="nil"/>
              <w:bottom w:val="nil"/>
              <w:right w:val="nil"/>
            </w:tcBorders>
            <w:shd w:val="clear" w:color="auto" w:fill="auto"/>
            <w:noWrap/>
            <w:vAlign w:val="center"/>
            <w:hideMark/>
          </w:tcPr>
          <w:p w14:paraId="3677AAFC" w14:textId="77777777" w:rsidR="00913711" w:rsidRPr="00C80475" w:rsidRDefault="00913711" w:rsidP="00E607DA">
            <w:pPr>
              <w:jc w:val="right"/>
              <w:rPr>
                <w:rFonts w:ascii="Meta Pro" w:eastAsia="Times New Roman" w:hAnsi="Meta Pro"/>
                <w:sz w:val="16"/>
                <w:szCs w:val="16"/>
                <w:lang w:eastAsia="en-AU"/>
              </w:rPr>
            </w:pPr>
          </w:p>
        </w:tc>
        <w:tc>
          <w:tcPr>
            <w:tcW w:w="1239" w:type="dxa"/>
            <w:tcBorders>
              <w:top w:val="nil"/>
              <w:left w:val="nil"/>
              <w:bottom w:val="nil"/>
              <w:right w:val="nil"/>
            </w:tcBorders>
            <w:shd w:val="clear" w:color="000000" w:fill="C9E3B4"/>
            <w:noWrap/>
            <w:vAlign w:val="center"/>
            <w:hideMark/>
          </w:tcPr>
          <w:p w14:paraId="27E743DA"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1,499,952 </w:t>
            </w:r>
          </w:p>
        </w:tc>
        <w:tc>
          <w:tcPr>
            <w:tcW w:w="113" w:type="dxa"/>
            <w:tcBorders>
              <w:top w:val="nil"/>
              <w:left w:val="nil"/>
              <w:bottom w:val="nil"/>
              <w:right w:val="nil"/>
            </w:tcBorders>
            <w:shd w:val="clear" w:color="auto" w:fill="auto"/>
            <w:noWrap/>
            <w:vAlign w:val="center"/>
            <w:hideMark/>
          </w:tcPr>
          <w:p w14:paraId="6E22CA20" w14:textId="77777777" w:rsidR="00913711" w:rsidRPr="00C80475" w:rsidRDefault="00913711" w:rsidP="00E607DA">
            <w:pPr>
              <w:jc w:val="right"/>
              <w:rPr>
                <w:rFonts w:ascii="Meta Pro" w:eastAsia="Times New Roman" w:hAnsi="Meta Pro"/>
                <w:sz w:val="16"/>
                <w:szCs w:val="16"/>
                <w:lang w:eastAsia="en-AU"/>
              </w:rPr>
            </w:pPr>
          </w:p>
        </w:tc>
        <w:tc>
          <w:tcPr>
            <w:tcW w:w="1187" w:type="dxa"/>
            <w:tcBorders>
              <w:top w:val="nil"/>
              <w:left w:val="nil"/>
              <w:bottom w:val="nil"/>
              <w:right w:val="nil"/>
            </w:tcBorders>
            <w:shd w:val="clear" w:color="000000" w:fill="C9E3B4"/>
            <w:noWrap/>
            <w:vAlign w:val="center"/>
            <w:hideMark/>
          </w:tcPr>
          <w:p w14:paraId="47B115DA"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6,720,198 </w:t>
            </w:r>
          </w:p>
        </w:tc>
        <w:tc>
          <w:tcPr>
            <w:tcW w:w="113" w:type="dxa"/>
            <w:tcBorders>
              <w:top w:val="nil"/>
              <w:left w:val="nil"/>
              <w:bottom w:val="nil"/>
              <w:right w:val="nil"/>
            </w:tcBorders>
            <w:shd w:val="clear" w:color="auto" w:fill="auto"/>
            <w:noWrap/>
            <w:vAlign w:val="center"/>
            <w:hideMark/>
          </w:tcPr>
          <w:p w14:paraId="6FA01925" w14:textId="77777777" w:rsidR="00913711" w:rsidRPr="00C80475" w:rsidRDefault="00913711" w:rsidP="00E607DA">
            <w:pPr>
              <w:jc w:val="right"/>
              <w:rPr>
                <w:rFonts w:ascii="Meta Pro" w:eastAsia="Times New Roman" w:hAnsi="Meta Pro"/>
                <w:sz w:val="16"/>
                <w:szCs w:val="16"/>
                <w:lang w:eastAsia="en-AU"/>
              </w:rPr>
            </w:pPr>
          </w:p>
        </w:tc>
        <w:tc>
          <w:tcPr>
            <w:tcW w:w="1172" w:type="dxa"/>
            <w:tcBorders>
              <w:top w:val="nil"/>
              <w:left w:val="nil"/>
              <w:bottom w:val="nil"/>
              <w:right w:val="nil"/>
            </w:tcBorders>
            <w:shd w:val="clear" w:color="000000" w:fill="C9E3B4"/>
            <w:noWrap/>
            <w:vAlign w:val="center"/>
            <w:hideMark/>
          </w:tcPr>
          <w:p w14:paraId="6BF18F2F"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3,352,154 </w:t>
            </w:r>
          </w:p>
        </w:tc>
        <w:tc>
          <w:tcPr>
            <w:tcW w:w="113" w:type="dxa"/>
            <w:tcBorders>
              <w:top w:val="nil"/>
              <w:left w:val="nil"/>
              <w:bottom w:val="nil"/>
              <w:right w:val="nil"/>
            </w:tcBorders>
            <w:shd w:val="clear" w:color="auto" w:fill="auto"/>
            <w:noWrap/>
            <w:vAlign w:val="center"/>
            <w:hideMark/>
          </w:tcPr>
          <w:p w14:paraId="2D0EE9E6" w14:textId="77777777" w:rsidR="00913711" w:rsidRPr="00C80475" w:rsidRDefault="00913711" w:rsidP="00E607DA">
            <w:pPr>
              <w:jc w:val="right"/>
              <w:rPr>
                <w:rFonts w:ascii="Meta Pro" w:eastAsia="Times New Roman" w:hAnsi="Meta Pro"/>
                <w:sz w:val="16"/>
                <w:szCs w:val="16"/>
                <w:lang w:eastAsia="en-AU"/>
              </w:rPr>
            </w:pPr>
          </w:p>
        </w:tc>
        <w:tc>
          <w:tcPr>
            <w:tcW w:w="1155" w:type="dxa"/>
            <w:tcBorders>
              <w:top w:val="nil"/>
              <w:left w:val="nil"/>
              <w:bottom w:val="nil"/>
              <w:right w:val="nil"/>
            </w:tcBorders>
            <w:shd w:val="clear" w:color="000000" w:fill="C9E3B4"/>
            <w:noWrap/>
            <w:vAlign w:val="center"/>
            <w:hideMark/>
          </w:tcPr>
          <w:p w14:paraId="302FDEB8"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1,651,864 </w:t>
            </w:r>
          </w:p>
        </w:tc>
        <w:tc>
          <w:tcPr>
            <w:tcW w:w="113" w:type="dxa"/>
            <w:tcBorders>
              <w:top w:val="nil"/>
              <w:left w:val="nil"/>
              <w:bottom w:val="nil"/>
              <w:right w:val="nil"/>
            </w:tcBorders>
            <w:shd w:val="clear" w:color="auto" w:fill="auto"/>
            <w:noWrap/>
            <w:vAlign w:val="center"/>
            <w:hideMark/>
          </w:tcPr>
          <w:p w14:paraId="377FFB3B" w14:textId="77777777" w:rsidR="00913711" w:rsidRPr="00C80475" w:rsidRDefault="00913711" w:rsidP="00E607DA">
            <w:pPr>
              <w:jc w:val="right"/>
              <w:rPr>
                <w:rFonts w:ascii="Meta Pro" w:eastAsia="Times New Roman" w:hAnsi="Meta Pro"/>
                <w:sz w:val="16"/>
                <w:szCs w:val="16"/>
                <w:lang w:eastAsia="en-AU"/>
              </w:rPr>
            </w:pPr>
          </w:p>
        </w:tc>
        <w:tc>
          <w:tcPr>
            <w:tcW w:w="1039" w:type="dxa"/>
            <w:tcBorders>
              <w:top w:val="nil"/>
              <w:left w:val="nil"/>
              <w:bottom w:val="nil"/>
              <w:right w:val="nil"/>
            </w:tcBorders>
            <w:shd w:val="clear" w:color="000000" w:fill="C9E3B4"/>
            <w:noWrap/>
            <w:vAlign w:val="center"/>
            <w:hideMark/>
          </w:tcPr>
          <w:p w14:paraId="43D5DDBA"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48,810 </w:t>
            </w:r>
          </w:p>
        </w:tc>
        <w:tc>
          <w:tcPr>
            <w:tcW w:w="113" w:type="dxa"/>
            <w:tcBorders>
              <w:top w:val="nil"/>
              <w:left w:val="nil"/>
              <w:bottom w:val="nil"/>
              <w:right w:val="nil"/>
            </w:tcBorders>
            <w:shd w:val="clear" w:color="auto" w:fill="auto"/>
            <w:noWrap/>
            <w:vAlign w:val="center"/>
            <w:hideMark/>
          </w:tcPr>
          <w:p w14:paraId="7EA7F37F" w14:textId="77777777" w:rsidR="00913711" w:rsidRPr="00C80475" w:rsidRDefault="00913711" w:rsidP="00E607DA">
            <w:pPr>
              <w:jc w:val="right"/>
              <w:rPr>
                <w:rFonts w:ascii="Meta Pro" w:eastAsia="Times New Roman" w:hAnsi="Meta Pro"/>
                <w:sz w:val="16"/>
                <w:szCs w:val="16"/>
                <w:lang w:eastAsia="en-AU"/>
              </w:rPr>
            </w:pPr>
          </w:p>
        </w:tc>
        <w:tc>
          <w:tcPr>
            <w:tcW w:w="1134" w:type="dxa"/>
            <w:tcBorders>
              <w:top w:val="nil"/>
              <w:left w:val="nil"/>
              <w:bottom w:val="nil"/>
              <w:right w:val="nil"/>
            </w:tcBorders>
            <w:shd w:val="clear" w:color="000000" w:fill="C9E3B4"/>
            <w:noWrap/>
            <w:vAlign w:val="center"/>
            <w:hideMark/>
          </w:tcPr>
          <w:p w14:paraId="0C35418E"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493,813 </w:t>
            </w:r>
          </w:p>
        </w:tc>
        <w:tc>
          <w:tcPr>
            <w:tcW w:w="113" w:type="dxa"/>
            <w:tcBorders>
              <w:top w:val="nil"/>
              <w:left w:val="nil"/>
              <w:bottom w:val="nil"/>
              <w:right w:val="nil"/>
            </w:tcBorders>
            <w:shd w:val="clear" w:color="auto" w:fill="auto"/>
            <w:noWrap/>
            <w:vAlign w:val="center"/>
            <w:hideMark/>
          </w:tcPr>
          <w:p w14:paraId="7220A625" w14:textId="77777777" w:rsidR="00913711" w:rsidRPr="00C80475" w:rsidRDefault="00913711" w:rsidP="00E607DA">
            <w:pPr>
              <w:jc w:val="right"/>
              <w:rPr>
                <w:rFonts w:ascii="Meta Pro" w:eastAsia="Times New Roman" w:hAnsi="Meta Pro"/>
                <w:sz w:val="16"/>
                <w:szCs w:val="16"/>
                <w:lang w:eastAsia="en-AU"/>
              </w:rPr>
            </w:pPr>
          </w:p>
        </w:tc>
        <w:tc>
          <w:tcPr>
            <w:tcW w:w="1111" w:type="dxa"/>
            <w:tcBorders>
              <w:top w:val="nil"/>
              <w:left w:val="nil"/>
              <w:bottom w:val="nil"/>
              <w:right w:val="nil"/>
            </w:tcBorders>
            <w:shd w:val="clear" w:color="000000" w:fill="C9E3B4"/>
            <w:noWrap/>
            <w:vAlign w:val="center"/>
            <w:hideMark/>
          </w:tcPr>
          <w:p w14:paraId="6992D72B"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228,784 </w:t>
            </w:r>
          </w:p>
        </w:tc>
        <w:tc>
          <w:tcPr>
            <w:tcW w:w="113" w:type="dxa"/>
            <w:tcBorders>
              <w:top w:val="nil"/>
              <w:left w:val="nil"/>
              <w:bottom w:val="nil"/>
              <w:right w:val="nil"/>
            </w:tcBorders>
            <w:shd w:val="clear" w:color="auto" w:fill="auto"/>
            <w:noWrap/>
            <w:vAlign w:val="center"/>
            <w:hideMark/>
          </w:tcPr>
          <w:p w14:paraId="41558508" w14:textId="77777777" w:rsidR="00913711" w:rsidRPr="00C80475" w:rsidRDefault="00913711" w:rsidP="00E607DA">
            <w:pPr>
              <w:jc w:val="right"/>
              <w:rPr>
                <w:rFonts w:ascii="Meta Pro" w:eastAsia="Times New Roman" w:hAnsi="Meta Pro"/>
                <w:sz w:val="16"/>
                <w:szCs w:val="16"/>
                <w:lang w:eastAsia="en-AU"/>
              </w:rPr>
            </w:pPr>
          </w:p>
        </w:tc>
        <w:tc>
          <w:tcPr>
            <w:tcW w:w="1205" w:type="dxa"/>
            <w:tcBorders>
              <w:top w:val="nil"/>
              <w:left w:val="nil"/>
              <w:bottom w:val="nil"/>
              <w:right w:val="nil"/>
            </w:tcBorders>
            <w:shd w:val="clear" w:color="000000" w:fill="C9E3B4"/>
            <w:noWrap/>
            <w:vAlign w:val="center"/>
            <w:hideMark/>
          </w:tcPr>
          <w:p w14:paraId="08DD59C7"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14,851,157 </w:t>
            </w:r>
          </w:p>
        </w:tc>
      </w:tr>
      <w:tr w:rsidR="00913711" w:rsidRPr="00C80475" w14:paraId="405792EC" w14:textId="77777777" w:rsidTr="00E607DA">
        <w:trPr>
          <w:trHeight w:val="198"/>
        </w:trPr>
        <w:tc>
          <w:tcPr>
            <w:tcW w:w="4540" w:type="dxa"/>
            <w:tcBorders>
              <w:top w:val="nil"/>
              <w:left w:val="nil"/>
              <w:bottom w:val="single" w:sz="4" w:space="0" w:color="auto"/>
              <w:right w:val="nil"/>
            </w:tcBorders>
            <w:shd w:val="clear" w:color="auto" w:fill="auto"/>
            <w:noWrap/>
            <w:vAlign w:val="center"/>
            <w:hideMark/>
          </w:tcPr>
          <w:p w14:paraId="11C63EA3" w14:textId="77777777" w:rsidR="00913711" w:rsidRPr="00C80475" w:rsidRDefault="00913711" w:rsidP="00E607DA">
            <w:pPr>
              <w:rPr>
                <w:rFonts w:ascii="Meta Pro" w:eastAsia="Times New Roman" w:hAnsi="Meta Pro"/>
                <w:sz w:val="16"/>
                <w:szCs w:val="16"/>
                <w:lang w:eastAsia="en-AU"/>
              </w:rPr>
            </w:pPr>
            <w:r w:rsidRPr="00C80475">
              <w:rPr>
                <w:rFonts w:ascii="Meta Pro" w:eastAsia="Times New Roman" w:hAnsi="Meta Pro"/>
                <w:sz w:val="16"/>
                <w:szCs w:val="16"/>
                <w:lang w:eastAsia="en-AU"/>
              </w:rPr>
              <w:t>Less: Accumulated depreciation</w:t>
            </w:r>
          </w:p>
        </w:tc>
        <w:tc>
          <w:tcPr>
            <w:tcW w:w="1132" w:type="dxa"/>
            <w:tcBorders>
              <w:top w:val="nil"/>
              <w:left w:val="nil"/>
              <w:bottom w:val="nil"/>
              <w:right w:val="nil"/>
            </w:tcBorders>
            <w:shd w:val="clear" w:color="000000" w:fill="C9E3B4"/>
            <w:noWrap/>
            <w:vAlign w:val="center"/>
            <w:hideMark/>
          </w:tcPr>
          <w:p w14:paraId="7D5DAD95"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(126,563)</w:t>
            </w:r>
          </w:p>
        </w:tc>
        <w:tc>
          <w:tcPr>
            <w:tcW w:w="113" w:type="dxa"/>
            <w:tcBorders>
              <w:top w:val="nil"/>
              <w:left w:val="nil"/>
              <w:bottom w:val="nil"/>
              <w:right w:val="nil"/>
            </w:tcBorders>
            <w:shd w:val="clear" w:color="auto" w:fill="auto"/>
            <w:noWrap/>
            <w:vAlign w:val="center"/>
            <w:hideMark/>
          </w:tcPr>
          <w:p w14:paraId="0DD91A14" w14:textId="77777777" w:rsidR="00913711" w:rsidRPr="00C80475" w:rsidRDefault="00913711" w:rsidP="00E607DA">
            <w:pPr>
              <w:jc w:val="right"/>
              <w:rPr>
                <w:rFonts w:ascii="Meta Pro" w:eastAsia="Times New Roman" w:hAnsi="Meta Pro"/>
                <w:sz w:val="16"/>
                <w:szCs w:val="16"/>
                <w:lang w:eastAsia="en-AU"/>
              </w:rPr>
            </w:pPr>
          </w:p>
        </w:tc>
        <w:tc>
          <w:tcPr>
            <w:tcW w:w="1239" w:type="dxa"/>
            <w:tcBorders>
              <w:top w:val="nil"/>
              <w:left w:val="nil"/>
              <w:bottom w:val="nil"/>
              <w:right w:val="nil"/>
            </w:tcBorders>
            <w:shd w:val="clear" w:color="000000" w:fill="C9E3B4"/>
            <w:noWrap/>
            <w:vAlign w:val="center"/>
            <w:hideMark/>
          </w:tcPr>
          <w:p w14:paraId="5CCA28F0"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(63,423)</w:t>
            </w:r>
          </w:p>
        </w:tc>
        <w:tc>
          <w:tcPr>
            <w:tcW w:w="113" w:type="dxa"/>
            <w:tcBorders>
              <w:top w:val="nil"/>
              <w:left w:val="nil"/>
              <w:bottom w:val="nil"/>
              <w:right w:val="nil"/>
            </w:tcBorders>
            <w:shd w:val="clear" w:color="auto" w:fill="auto"/>
            <w:noWrap/>
            <w:vAlign w:val="center"/>
            <w:hideMark/>
          </w:tcPr>
          <w:p w14:paraId="52915774" w14:textId="77777777" w:rsidR="00913711" w:rsidRPr="00C80475" w:rsidRDefault="00913711" w:rsidP="00E607DA">
            <w:pPr>
              <w:jc w:val="right"/>
              <w:rPr>
                <w:rFonts w:ascii="Meta Pro" w:eastAsia="Times New Roman" w:hAnsi="Meta Pro"/>
                <w:sz w:val="16"/>
                <w:szCs w:val="16"/>
                <w:lang w:eastAsia="en-AU"/>
              </w:rPr>
            </w:pPr>
          </w:p>
        </w:tc>
        <w:tc>
          <w:tcPr>
            <w:tcW w:w="1187" w:type="dxa"/>
            <w:tcBorders>
              <w:top w:val="nil"/>
              <w:left w:val="nil"/>
              <w:bottom w:val="nil"/>
              <w:right w:val="nil"/>
            </w:tcBorders>
            <w:shd w:val="clear" w:color="000000" w:fill="C9E3B4"/>
            <w:noWrap/>
            <w:vAlign w:val="center"/>
            <w:hideMark/>
          </w:tcPr>
          <w:p w14:paraId="2CD4D5EF"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(913,410)</w:t>
            </w:r>
          </w:p>
        </w:tc>
        <w:tc>
          <w:tcPr>
            <w:tcW w:w="113" w:type="dxa"/>
            <w:tcBorders>
              <w:top w:val="nil"/>
              <w:left w:val="nil"/>
              <w:bottom w:val="nil"/>
              <w:right w:val="nil"/>
            </w:tcBorders>
            <w:shd w:val="clear" w:color="auto" w:fill="auto"/>
            <w:noWrap/>
            <w:vAlign w:val="center"/>
            <w:hideMark/>
          </w:tcPr>
          <w:p w14:paraId="7C1FEEAA" w14:textId="77777777" w:rsidR="00913711" w:rsidRPr="00C80475" w:rsidRDefault="00913711" w:rsidP="00E607DA">
            <w:pPr>
              <w:jc w:val="right"/>
              <w:rPr>
                <w:rFonts w:ascii="Meta Pro" w:eastAsia="Times New Roman" w:hAnsi="Meta Pro"/>
                <w:sz w:val="16"/>
                <w:szCs w:val="16"/>
                <w:lang w:eastAsia="en-AU"/>
              </w:rPr>
            </w:pPr>
          </w:p>
        </w:tc>
        <w:tc>
          <w:tcPr>
            <w:tcW w:w="1172" w:type="dxa"/>
            <w:tcBorders>
              <w:top w:val="nil"/>
              <w:left w:val="nil"/>
              <w:bottom w:val="nil"/>
              <w:right w:val="nil"/>
            </w:tcBorders>
            <w:shd w:val="clear" w:color="000000" w:fill="C9E3B4"/>
            <w:noWrap/>
            <w:vAlign w:val="center"/>
            <w:hideMark/>
          </w:tcPr>
          <w:p w14:paraId="7013DC7A"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(485,701)</w:t>
            </w:r>
          </w:p>
        </w:tc>
        <w:tc>
          <w:tcPr>
            <w:tcW w:w="113" w:type="dxa"/>
            <w:tcBorders>
              <w:top w:val="nil"/>
              <w:left w:val="nil"/>
              <w:bottom w:val="nil"/>
              <w:right w:val="nil"/>
            </w:tcBorders>
            <w:shd w:val="clear" w:color="auto" w:fill="auto"/>
            <w:noWrap/>
            <w:vAlign w:val="center"/>
            <w:hideMark/>
          </w:tcPr>
          <w:p w14:paraId="44FE23BD" w14:textId="77777777" w:rsidR="00913711" w:rsidRPr="00C80475" w:rsidRDefault="00913711" w:rsidP="00E607DA">
            <w:pPr>
              <w:jc w:val="right"/>
              <w:rPr>
                <w:rFonts w:ascii="Meta Pro" w:eastAsia="Times New Roman" w:hAnsi="Meta Pro"/>
                <w:sz w:val="16"/>
                <w:szCs w:val="16"/>
                <w:lang w:eastAsia="en-AU"/>
              </w:rPr>
            </w:pPr>
          </w:p>
        </w:tc>
        <w:tc>
          <w:tcPr>
            <w:tcW w:w="1155" w:type="dxa"/>
            <w:tcBorders>
              <w:top w:val="nil"/>
              <w:left w:val="nil"/>
              <w:bottom w:val="nil"/>
              <w:right w:val="nil"/>
            </w:tcBorders>
            <w:shd w:val="clear" w:color="000000" w:fill="C9E3B4"/>
            <w:noWrap/>
            <w:vAlign w:val="center"/>
            <w:hideMark/>
          </w:tcPr>
          <w:p w14:paraId="64ADE765"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(179,137)</w:t>
            </w:r>
          </w:p>
        </w:tc>
        <w:tc>
          <w:tcPr>
            <w:tcW w:w="113" w:type="dxa"/>
            <w:tcBorders>
              <w:top w:val="nil"/>
              <w:left w:val="nil"/>
              <w:bottom w:val="nil"/>
              <w:right w:val="nil"/>
            </w:tcBorders>
            <w:shd w:val="clear" w:color="auto" w:fill="auto"/>
            <w:noWrap/>
            <w:vAlign w:val="center"/>
            <w:hideMark/>
          </w:tcPr>
          <w:p w14:paraId="7E92F072" w14:textId="77777777" w:rsidR="00913711" w:rsidRPr="00C80475" w:rsidRDefault="00913711" w:rsidP="00E607DA">
            <w:pPr>
              <w:jc w:val="right"/>
              <w:rPr>
                <w:rFonts w:ascii="Meta Pro" w:eastAsia="Times New Roman" w:hAnsi="Meta Pro"/>
                <w:sz w:val="16"/>
                <w:szCs w:val="16"/>
                <w:lang w:eastAsia="en-AU"/>
              </w:rPr>
            </w:pPr>
          </w:p>
        </w:tc>
        <w:tc>
          <w:tcPr>
            <w:tcW w:w="1039" w:type="dxa"/>
            <w:tcBorders>
              <w:top w:val="nil"/>
              <w:left w:val="nil"/>
              <w:bottom w:val="nil"/>
              <w:right w:val="nil"/>
            </w:tcBorders>
            <w:shd w:val="clear" w:color="000000" w:fill="C9E3B4"/>
            <w:noWrap/>
            <w:vAlign w:val="center"/>
            <w:hideMark/>
          </w:tcPr>
          <w:p w14:paraId="661F2EB0"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(2,241)</w:t>
            </w:r>
          </w:p>
        </w:tc>
        <w:tc>
          <w:tcPr>
            <w:tcW w:w="113" w:type="dxa"/>
            <w:tcBorders>
              <w:top w:val="nil"/>
              <w:left w:val="nil"/>
              <w:bottom w:val="nil"/>
              <w:right w:val="nil"/>
            </w:tcBorders>
            <w:shd w:val="clear" w:color="auto" w:fill="auto"/>
            <w:noWrap/>
            <w:vAlign w:val="center"/>
            <w:hideMark/>
          </w:tcPr>
          <w:p w14:paraId="554EF7B8" w14:textId="77777777" w:rsidR="00913711" w:rsidRPr="00C80475" w:rsidRDefault="00913711" w:rsidP="00E607DA">
            <w:pPr>
              <w:jc w:val="right"/>
              <w:rPr>
                <w:rFonts w:ascii="Meta Pro" w:eastAsia="Times New Roman" w:hAnsi="Meta Pro"/>
                <w:sz w:val="16"/>
                <w:szCs w:val="16"/>
                <w:lang w:eastAsia="en-AU"/>
              </w:rPr>
            </w:pPr>
          </w:p>
        </w:tc>
        <w:tc>
          <w:tcPr>
            <w:tcW w:w="1134" w:type="dxa"/>
            <w:tcBorders>
              <w:top w:val="nil"/>
              <w:left w:val="nil"/>
              <w:bottom w:val="nil"/>
              <w:right w:val="nil"/>
            </w:tcBorders>
            <w:shd w:val="clear" w:color="000000" w:fill="C9E3B4"/>
            <w:noWrap/>
            <w:vAlign w:val="center"/>
            <w:hideMark/>
          </w:tcPr>
          <w:p w14:paraId="51822941"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(163,230)</w:t>
            </w:r>
          </w:p>
        </w:tc>
        <w:tc>
          <w:tcPr>
            <w:tcW w:w="113" w:type="dxa"/>
            <w:tcBorders>
              <w:top w:val="nil"/>
              <w:left w:val="nil"/>
              <w:bottom w:val="nil"/>
              <w:right w:val="nil"/>
            </w:tcBorders>
            <w:shd w:val="clear" w:color="auto" w:fill="auto"/>
            <w:noWrap/>
            <w:vAlign w:val="center"/>
            <w:hideMark/>
          </w:tcPr>
          <w:p w14:paraId="09759389" w14:textId="77777777" w:rsidR="00913711" w:rsidRPr="00C80475" w:rsidRDefault="00913711" w:rsidP="00E607DA">
            <w:pPr>
              <w:jc w:val="right"/>
              <w:rPr>
                <w:rFonts w:ascii="Meta Pro" w:eastAsia="Times New Roman" w:hAnsi="Meta Pro"/>
                <w:sz w:val="16"/>
                <w:szCs w:val="16"/>
                <w:lang w:eastAsia="en-AU"/>
              </w:rPr>
            </w:pPr>
          </w:p>
        </w:tc>
        <w:tc>
          <w:tcPr>
            <w:tcW w:w="1111" w:type="dxa"/>
            <w:tcBorders>
              <w:top w:val="nil"/>
              <w:left w:val="nil"/>
              <w:bottom w:val="nil"/>
              <w:right w:val="nil"/>
            </w:tcBorders>
            <w:shd w:val="clear" w:color="000000" w:fill="C9E3B4"/>
            <w:noWrap/>
            <w:vAlign w:val="center"/>
            <w:hideMark/>
          </w:tcPr>
          <w:p w14:paraId="7EA997FA"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4B384E47" w14:textId="77777777" w:rsidR="00913711" w:rsidRPr="00C80475" w:rsidRDefault="00913711" w:rsidP="00E607DA">
            <w:pPr>
              <w:jc w:val="right"/>
              <w:rPr>
                <w:rFonts w:ascii="Meta Pro" w:eastAsia="Times New Roman" w:hAnsi="Meta Pro"/>
                <w:sz w:val="16"/>
                <w:szCs w:val="16"/>
                <w:lang w:eastAsia="en-AU"/>
              </w:rPr>
            </w:pPr>
          </w:p>
        </w:tc>
        <w:tc>
          <w:tcPr>
            <w:tcW w:w="1205" w:type="dxa"/>
            <w:tcBorders>
              <w:top w:val="nil"/>
              <w:left w:val="nil"/>
              <w:bottom w:val="nil"/>
              <w:right w:val="nil"/>
            </w:tcBorders>
            <w:shd w:val="clear" w:color="000000" w:fill="C9E3B4"/>
            <w:noWrap/>
            <w:vAlign w:val="center"/>
            <w:hideMark/>
          </w:tcPr>
          <w:p w14:paraId="4A1FC864"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(1,933,705)</w:t>
            </w:r>
          </w:p>
        </w:tc>
      </w:tr>
      <w:tr w:rsidR="00913711" w:rsidRPr="00C80475" w14:paraId="3581B946" w14:textId="77777777" w:rsidTr="00E607DA">
        <w:trPr>
          <w:trHeight w:val="198"/>
        </w:trPr>
        <w:tc>
          <w:tcPr>
            <w:tcW w:w="4540" w:type="dxa"/>
            <w:tcBorders>
              <w:top w:val="single" w:sz="4" w:space="0" w:color="auto"/>
              <w:left w:val="nil"/>
              <w:bottom w:val="double" w:sz="6" w:space="0" w:color="auto"/>
              <w:right w:val="nil"/>
            </w:tcBorders>
            <w:shd w:val="clear" w:color="auto" w:fill="auto"/>
            <w:noWrap/>
            <w:vAlign w:val="center"/>
            <w:hideMark/>
          </w:tcPr>
          <w:p w14:paraId="7AAC4577" w14:textId="77777777" w:rsidR="00913711" w:rsidRPr="009E7F09" w:rsidRDefault="00913711" w:rsidP="00E607DA">
            <w:pPr>
              <w:rPr>
                <w:rFonts w:ascii="Meta Pro" w:eastAsia="Times New Roman" w:hAnsi="Meta Pro"/>
                <w:b/>
                <w:bCs/>
                <w:sz w:val="16"/>
                <w:szCs w:val="16"/>
                <w:lang w:eastAsia="en-AU"/>
              </w:rPr>
            </w:pPr>
            <w:r w:rsidRPr="00C80475">
              <w:rPr>
                <w:rFonts w:ascii="Meta Pro" w:eastAsia="Times New Roman" w:hAnsi="Meta Pro"/>
                <w:b/>
                <w:bCs/>
                <w:sz w:val="16"/>
                <w:szCs w:val="16"/>
                <w:lang w:eastAsia="en-AU"/>
              </w:rPr>
              <w:t>Carrying amount at 30 June</w:t>
            </w:r>
          </w:p>
        </w:tc>
        <w:tc>
          <w:tcPr>
            <w:tcW w:w="1132" w:type="dxa"/>
            <w:tcBorders>
              <w:top w:val="single" w:sz="4" w:space="0" w:color="auto"/>
              <w:left w:val="nil"/>
              <w:bottom w:val="double" w:sz="6" w:space="0" w:color="auto"/>
              <w:right w:val="nil"/>
            </w:tcBorders>
            <w:shd w:val="clear" w:color="000000" w:fill="C9E3B4"/>
            <w:noWrap/>
            <w:vAlign w:val="center"/>
            <w:hideMark/>
          </w:tcPr>
          <w:p w14:paraId="3DF1EF5A"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729,019 </w:t>
            </w:r>
          </w:p>
        </w:tc>
        <w:tc>
          <w:tcPr>
            <w:tcW w:w="113" w:type="dxa"/>
            <w:tcBorders>
              <w:top w:val="nil"/>
              <w:left w:val="nil"/>
              <w:bottom w:val="nil"/>
              <w:right w:val="nil"/>
            </w:tcBorders>
            <w:shd w:val="clear" w:color="auto" w:fill="auto"/>
            <w:noWrap/>
            <w:vAlign w:val="center"/>
            <w:hideMark/>
          </w:tcPr>
          <w:p w14:paraId="057812C3" w14:textId="77777777" w:rsidR="00913711" w:rsidRPr="00C80475" w:rsidRDefault="00913711" w:rsidP="00E607DA">
            <w:pPr>
              <w:jc w:val="right"/>
              <w:rPr>
                <w:rFonts w:ascii="Meta Pro" w:eastAsia="Times New Roman" w:hAnsi="Meta Pro"/>
                <w:b/>
                <w:bCs/>
                <w:sz w:val="16"/>
                <w:szCs w:val="16"/>
                <w:lang w:eastAsia="en-AU"/>
              </w:rPr>
            </w:pPr>
          </w:p>
        </w:tc>
        <w:tc>
          <w:tcPr>
            <w:tcW w:w="1239" w:type="dxa"/>
            <w:tcBorders>
              <w:top w:val="single" w:sz="4" w:space="0" w:color="auto"/>
              <w:left w:val="nil"/>
              <w:bottom w:val="double" w:sz="6" w:space="0" w:color="auto"/>
              <w:right w:val="nil"/>
            </w:tcBorders>
            <w:shd w:val="clear" w:color="000000" w:fill="C9E3B4"/>
            <w:noWrap/>
            <w:vAlign w:val="center"/>
            <w:hideMark/>
          </w:tcPr>
          <w:p w14:paraId="6A7465C1"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1,436,529 </w:t>
            </w:r>
          </w:p>
        </w:tc>
        <w:tc>
          <w:tcPr>
            <w:tcW w:w="113" w:type="dxa"/>
            <w:tcBorders>
              <w:top w:val="nil"/>
              <w:left w:val="nil"/>
              <w:bottom w:val="nil"/>
              <w:right w:val="nil"/>
            </w:tcBorders>
            <w:shd w:val="clear" w:color="auto" w:fill="auto"/>
            <w:noWrap/>
            <w:vAlign w:val="center"/>
            <w:hideMark/>
          </w:tcPr>
          <w:p w14:paraId="0E708FAF" w14:textId="77777777" w:rsidR="00913711" w:rsidRPr="00C80475" w:rsidRDefault="00913711" w:rsidP="00E607DA">
            <w:pPr>
              <w:jc w:val="right"/>
              <w:rPr>
                <w:rFonts w:ascii="Meta Pro" w:eastAsia="Times New Roman" w:hAnsi="Meta Pro"/>
                <w:b/>
                <w:bCs/>
                <w:sz w:val="16"/>
                <w:szCs w:val="16"/>
                <w:lang w:eastAsia="en-AU"/>
              </w:rPr>
            </w:pPr>
          </w:p>
        </w:tc>
        <w:tc>
          <w:tcPr>
            <w:tcW w:w="1187" w:type="dxa"/>
            <w:tcBorders>
              <w:top w:val="single" w:sz="4" w:space="0" w:color="auto"/>
              <w:left w:val="nil"/>
              <w:bottom w:val="double" w:sz="6" w:space="0" w:color="auto"/>
              <w:right w:val="nil"/>
            </w:tcBorders>
            <w:shd w:val="clear" w:color="000000" w:fill="C9E3B4"/>
            <w:noWrap/>
            <w:vAlign w:val="center"/>
            <w:hideMark/>
          </w:tcPr>
          <w:p w14:paraId="0F44D5A3"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5,806,788 </w:t>
            </w:r>
          </w:p>
        </w:tc>
        <w:tc>
          <w:tcPr>
            <w:tcW w:w="113" w:type="dxa"/>
            <w:tcBorders>
              <w:top w:val="nil"/>
              <w:left w:val="nil"/>
              <w:bottom w:val="nil"/>
              <w:right w:val="nil"/>
            </w:tcBorders>
            <w:shd w:val="clear" w:color="auto" w:fill="auto"/>
            <w:noWrap/>
            <w:vAlign w:val="center"/>
            <w:hideMark/>
          </w:tcPr>
          <w:p w14:paraId="5EC4965F" w14:textId="77777777" w:rsidR="00913711" w:rsidRPr="00C80475" w:rsidRDefault="00913711" w:rsidP="00E607DA">
            <w:pPr>
              <w:jc w:val="right"/>
              <w:rPr>
                <w:rFonts w:ascii="Meta Pro" w:eastAsia="Times New Roman" w:hAnsi="Meta Pro"/>
                <w:b/>
                <w:bCs/>
                <w:sz w:val="16"/>
                <w:szCs w:val="16"/>
                <w:lang w:eastAsia="en-AU"/>
              </w:rPr>
            </w:pPr>
          </w:p>
        </w:tc>
        <w:tc>
          <w:tcPr>
            <w:tcW w:w="1172" w:type="dxa"/>
            <w:tcBorders>
              <w:top w:val="single" w:sz="4" w:space="0" w:color="auto"/>
              <w:left w:val="nil"/>
              <w:bottom w:val="double" w:sz="6" w:space="0" w:color="auto"/>
              <w:right w:val="nil"/>
            </w:tcBorders>
            <w:shd w:val="clear" w:color="000000" w:fill="C9E3B4"/>
            <w:noWrap/>
            <w:vAlign w:val="center"/>
            <w:hideMark/>
          </w:tcPr>
          <w:p w14:paraId="36C99148"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2,866,453 </w:t>
            </w:r>
          </w:p>
        </w:tc>
        <w:tc>
          <w:tcPr>
            <w:tcW w:w="113" w:type="dxa"/>
            <w:tcBorders>
              <w:top w:val="nil"/>
              <w:left w:val="nil"/>
              <w:bottom w:val="nil"/>
              <w:right w:val="nil"/>
            </w:tcBorders>
            <w:shd w:val="clear" w:color="auto" w:fill="auto"/>
            <w:noWrap/>
            <w:vAlign w:val="center"/>
            <w:hideMark/>
          </w:tcPr>
          <w:p w14:paraId="6DD737AB" w14:textId="77777777" w:rsidR="00913711" w:rsidRPr="00C80475" w:rsidRDefault="00913711" w:rsidP="00E607DA">
            <w:pPr>
              <w:jc w:val="right"/>
              <w:rPr>
                <w:rFonts w:ascii="Meta Pro" w:eastAsia="Times New Roman" w:hAnsi="Meta Pro"/>
                <w:b/>
                <w:bCs/>
                <w:sz w:val="16"/>
                <w:szCs w:val="16"/>
                <w:lang w:eastAsia="en-AU"/>
              </w:rPr>
            </w:pPr>
          </w:p>
        </w:tc>
        <w:tc>
          <w:tcPr>
            <w:tcW w:w="1155" w:type="dxa"/>
            <w:tcBorders>
              <w:top w:val="single" w:sz="4" w:space="0" w:color="auto"/>
              <w:left w:val="nil"/>
              <w:bottom w:val="double" w:sz="6" w:space="0" w:color="auto"/>
              <w:right w:val="nil"/>
            </w:tcBorders>
            <w:shd w:val="clear" w:color="000000" w:fill="C9E3B4"/>
            <w:noWrap/>
            <w:vAlign w:val="center"/>
            <w:hideMark/>
          </w:tcPr>
          <w:p w14:paraId="747F8405"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1,472,727 </w:t>
            </w:r>
          </w:p>
        </w:tc>
        <w:tc>
          <w:tcPr>
            <w:tcW w:w="113" w:type="dxa"/>
            <w:tcBorders>
              <w:top w:val="nil"/>
              <w:left w:val="nil"/>
              <w:bottom w:val="nil"/>
              <w:right w:val="nil"/>
            </w:tcBorders>
            <w:shd w:val="clear" w:color="auto" w:fill="auto"/>
            <w:noWrap/>
            <w:vAlign w:val="center"/>
            <w:hideMark/>
          </w:tcPr>
          <w:p w14:paraId="5AF8990B" w14:textId="77777777" w:rsidR="00913711" w:rsidRPr="00C80475" w:rsidRDefault="00913711" w:rsidP="00E607DA">
            <w:pPr>
              <w:jc w:val="right"/>
              <w:rPr>
                <w:rFonts w:ascii="Meta Pro" w:eastAsia="Times New Roman" w:hAnsi="Meta Pro"/>
                <w:b/>
                <w:bCs/>
                <w:sz w:val="16"/>
                <w:szCs w:val="16"/>
                <w:lang w:eastAsia="en-AU"/>
              </w:rPr>
            </w:pPr>
          </w:p>
        </w:tc>
        <w:tc>
          <w:tcPr>
            <w:tcW w:w="1039" w:type="dxa"/>
            <w:tcBorders>
              <w:top w:val="single" w:sz="4" w:space="0" w:color="auto"/>
              <w:left w:val="nil"/>
              <w:bottom w:val="double" w:sz="6" w:space="0" w:color="auto"/>
              <w:right w:val="nil"/>
            </w:tcBorders>
            <w:shd w:val="clear" w:color="000000" w:fill="C9E3B4"/>
            <w:noWrap/>
            <w:vAlign w:val="center"/>
            <w:hideMark/>
          </w:tcPr>
          <w:p w14:paraId="0E142420"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46,569 </w:t>
            </w:r>
          </w:p>
        </w:tc>
        <w:tc>
          <w:tcPr>
            <w:tcW w:w="113" w:type="dxa"/>
            <w:tcBorders>
              <w:top w:val="nil"/>
              <w:left w:val="nil"/>
              <w:bottom w:val="nil"/>
              <w:right w:val="nil"/>
            </w:tcBorders>
            <w:shd w:val="clear" w:color="auto" w:fill="auto"/>
            <w:noWrap/>
            <w:vAlign w:val="center"/>
            <w:hideMark/>
          </w:tcPr>
          <w:p w14:paraId="35BA8D08" w14:textId="77777777" w:rsidR="00913711" w:rsidRPr="00C80475" w:rsidRDefault="00913711" w:rsidP="00E607DA">
            <w:pPr>
              <w:jc w:val="right"/>
              <w:rPr>
                <w:rFonts w:ascii="Meta Pro" w:eastAsia="Times New Roman" w:hAnsi="Meta Pro"/>
                <w:b/>
                <w:bCs/>
                <w:sz w:val="16"/>
                <w:szCs w:val="16"/>
                <w:lang w:eastAsia="en-AU"/>
              </w:rPr>
            </w:pPr>
          </w:p>
        </w:tc>
        <w:tc>
          <w:tcPr>
            <w:tcW w:w="1134" w:type="dxa"/>
            <w:tcBorders>
              <w:top w:val="single" w:sz="4" w:space="0" w:color="auto"/>
              <w:left w:val="nil"/>
              <w:bottom w:val="double" w:sz="6" w:space="0" w:color="auto"/>
              <w:right w:val="nil"/>
            </w:tcBorders>
            <w:shd w:val="clear" w:color="000000" w:fill="C9E3B4"/>
            <w:noWrap/>
            <w:vAlign w:val="center"/>
            <w:hideMark/>
          </w:tcPr>
          <w:p w14:paraId="50C14898"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330,583 </w:t>
            </w:r>
          </w:p>
        </w:tc>
        <w:tc>
          <w:tcPr>
            <w:tcW w:w="113" w:type="dxa"/>
            <w:tcBorders>
              <w:top w:val="nil"/>
              <w:left w:val="nil"/>
              <w:bottom w:val="nil"/>
              <w:right w:val="nil"/>
            </w:tcBorders>
            <w:shd w:val="clear" w:color="auto" w:fill="auto"/>
            <w:noWrap/>
            <w:vAlign w:val="center"/>
            <w:hideMark/>
          </w:tcPr>
          <w:p w14:paraId="220ABD25" w14:textId="77777777" w:rsidR="00913711" w:rsidRPr="00C80475" w:rsidRDefault="00913711" w:rsidP="00E607DA">
            <w:pPr>
              <w:jc w:val="right"/>
              <w:rPr>
                <w:rFonts w:ascii="Meta Pro" w:eastAsia="Times New Roman" w:hAnsi="Meta Pro"/>
                <w:b/>
                <w:bCs/>
                <w:sz w:val="16"/>
                <w:szCs w:val="16"/>
                <w:lang w:eastAsia="en-AU"/>
              </w:rPr>
            </w:pPr>
          </w:p>
        </w:tc>
        <w:tc>
          <w:tcPr>
            <w:tcW w:w="1111" w:type="dxa"/>
            <w:tcBorders>
              <w:top w:val="single" w:sz="4" w:space="0" w:color="auto"/>
              <w:left w:val="nil"/>
              <w:bottom w:val="double" w:sz="6" w:space="0" w:color="auto"/>
              <w:right w:val="nil"/>
            </w:tcBorders>
            <w:shd w:val="clear" w:color="000000" w:fill="C9E3B4"/>
            <w:noWrap/>
            <w:vAlign w:val="center"/>
            <w:hideMark/>
          </w:tcPr>
          <w:p w14:paraId="11070AB0"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228,784 </w:t>
            </w:r>
          </w:p>
        </w:tc>
        <w:tc>
          <w:tcPr>
            <w:tcW w:w="113" w:type="dxa"/>
            <w:tcBorders>
              <w:top w:val="nil"/>
              <w:left w:val="nil"/>
              <w:bottom w:val="nil"/>
              <w:right w:val="nil"/>
            </w:tcBorders>
            <w:shd w:val="clear" w:color="auto" w:fill="auto"/>
            <w:noWrap/>
            <w:vAlign w:val="center"/>
            <w:hideMark/>
          </w:tcPr>
          <w:p w14:paraId="5631B809" w14:textId="77777777" w:rsidR="00913711" w:rsidRPr="00C80475" w:rsidRDefault="00913711" w:rsidP="00E607DA">
            <w:pPr>
              <w:jc w:val="right"/>
              <w:rPr>
                <w:rFonts w:ascii="Meta Pro" w:eastAsia="Times New Roman" w:hAnsi="Meta Pro"/>
                <w:b/>
                <w:bCs/>
                <w:sz w:val="16"/>
                <w:szCs w:val="16"/>
                <w:lang w:eastAsia="en-AU"/>
              </w:rPr>
            </w:pPr>
          </w:p>
        </w:tc>
        <w:tc>
          <w:tcPr>
            <w:tcW w:w="1205" w:type="dxa"/>
            <w:tcBorders>
              <w:top w:val="single" w:sz="4" w:space="0" w:color="auto"/>
              <w:left w:val="nil"/>
              <w:bottom w:val="double" w:sz="6" w:space="0" w:color="auto"/>
              <w:right w:val="nil"/>
            </w:tcBorders>
            <w:shd w:val="clear" w:color="000000" w:fill="C9E3B4"/>
            <w:noWrap/>
            <w:vAlign w:val="center"/>
            <w:hideMark/>
          </w:tcPr>
          <w:p w14:paraId="4C6E10A7"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12,917,452 </w:t>
            </w:r>
          </w:p>
        </w:tc>
      </w:tr>
      <w:tr w:rsidR="00913711" w:rsidRPr="00C80475" w14:paraId="56FC4A19" w14:textId="77777777" w:rsidTr="00E607DA">
        <w:trPr>
          <w:trHeight w:val="198"/>
        </w:trPr>
        <w:tc>
          <w:tcPr>
            <w:tcW w:w="4540" w:type="dxa"/>
            <w:tcBorders>
              <w:top w:val="double" w:sz="6" w:space="0" w:color="auto"/>
              <w:left w:val="nil"/>
              <w:bottom w:val="nil"/>
              <w:right w:val="nil"/>
            </w:tcBorders>
            <w:shd w:val="clear" w:color="auto" w:fill="auto"/>
            <w:noWrap/>
            <w:vAlign w:val="center"/>
            <w:hideMark/>
          </w:tcPr>
          <w:p w14:paraId="4CAD8DC4" w14:textId="77777777" w:rsidR="00913711" w:rsidRPr="00C80475" w:rsidRDefault="00913711" w:rsidP="00E607DA">
            <w:pPr>
              <w:jc w:val="right"/>
              <w:rPr>
                <w:rFonts w:ascii="Meta Pro" w:eastAsia="Times New Roman" w:hAnsi="Meta Pro"/>
                <w:b/>
                <w:bCs/>
                <w:sz w:val="16"/>
                <w:szCs w:val="16"/>
                <w:lang w:eastAsia="en-AU"/>
              </w:rPr>
            </w:pPr>
          </w:p>
        </w:tc>
        <w:tc>
          <w:tcPr>
            <w:tcW w:w="1132" w:type="dxa"/>
            <w:tcBorders>
              <w:top w:val="nil"/>
              <w:left w:val="nil"/>
              <w:bottom w:val="nil"/>
              <w:right w:val="nil"/>
            </w:tcBorders>
            <w:shd w:val="clear" w:color="auto" w:fill="auto"/>
            <w:vAlign w:val="center"/>
            <w:hideMark/>
          </w:tcPr>
          <w:p w14:paraId="39248227"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48A1E5DD" w14:textId="77777777" w:rsidR="00913711" w:rsidRPr="00C80475" w:rsidRDefault="00913711" w:rsidP="00E607DA">
            <w:pPr>
              <w:rPr>
                <w:rFonts w:ascii="Meta Pro" w:eastAsia="Times New Roman" w:hAnsi="Meta Pro" w:cs="Times New Roman"/>
                <w:sz w:val="20"/>
                <w:szCs w:val="20"/>
                <w:lang w:eastAsia="en-AU"/>
              </w:rPr>
            </w:pPr>
          </w:p>
        </w:tc>
        <w:tc>
          <w:tcPr>
            <w:tcW w:w="1239" w:type="dxa"/>
            <w:tcBorders>
              <w:top w:val="nil"/>
              <w:left w:val="nil"/>
              <w:bottom w:val="nil"/>
              <w:right w:val="nil"/>
            </w:tcBorders>
            <w:shd w:val="clear" w:color="auto" w:fill="auto"/>
            <w:noWrap/>
            <w:vAlign w:val="center"/>
            <w:hideMark/>
          </w:tcPr>
          <w:p w14:paraId="05FC2502"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35246969" w14:textId="77777777" w:rsidR="00913711" w:rsidRPr="00C80475" w:rsidRDefault="00913711" w:rsidP="00E607DA">
            <w:pPr>
              <w:rPr>
                <w:rFonts w:ascii="Meta Pro" w:eastAsia="Times New Roman" w:hAnsi="Meta Pro" w:cs="Times New Roman"/>
                <w:sz w:val="20"/>
                <w:szCs w:val="20"/>
                <w:lang w:eastAsia="en-AU"/>
              </w:rPr>
            </w:pPr>
          </w:p>
        </w:tc>
        <w:tc>
          <w:tcPr>
            <w:tcW w:w="1187" w:type="dxa"/>
            <w:tcBorders>
              <w:top w:val="nil"/>
              <w:left w:val="nil"/>
              <w:bottom w:val="nil"/>
              <w:right w:val="nil"/>
            </w:tcBorders>
            <w:shd w:val="clear" w:color="auto" w:fill="auto"/>
            <w:noWrap/>
            <w:vAlign w:val="center"/>
            <w:hideMark/>
          </w:tcPr>
          <w:p w14:paraId="50ECB703"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2435CE13" w14:textId="77777777" w:rsidR="00913711" w:rsidRPr="00C80475" w:rsidRDefault="00913711" w:rsidP="00E607DA">
            <w:pPr>
              <w:rPr>
                <w:rFonts w:ascii="Meta Pro" w:eastAsia="Times New Roman" w:hAnsi="Meta Pro" w:cs="Times New Roman"/>
                <w:sz w:val="20"/>
                <w:szCs w:val="20"/>
                <w:lang w:eastAsia="en-AU"/>
              </w:rPr>
            </w:pPr>
          </w:p>
        </w:tc>
        <w:tc>
          <w:tcPr>
            <w:tcW w:w="1172" w:type="dxa"/>
            <w:tcBorders>
              <w:top w:val="nil"/>
              <w:left w:val="nil"/>
              <w:bottom w:val="nil"/>
              <w:right w:val="nil"/>
            </w:tcBorders>
            <w:shd w:val="clear" w:color="auto" w:fill="auto"/>
            <w:noWrap/>
            <w:vAlign w:val="center"/>
            <w:hideMark/>
          </w:tcPr>
          <w:p w14:paraId="3F2F7C87"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1BC927C7" w14:textId="77777777" w:rsidR="00913711" w:rsidRPr="00C80475" w:rsidRDefault="00913711" w:rsidP="00E607DA">
            <w:pPr>
              <w:rPr>
                <w:rFonts w:ascii="Meta Pro" w:eastAsia="Times New Roman" w:hAnsi="Meta Pro" w:cs="Times New Roman"/>
                <w:sz w:val="20"/>
                <w:szCs w:val="20"/>
                <w:lang w:eastAsia="en-AU"/>
              </w:rPr>
            </w:pPr>
          </w:p>
        </w:tc>
        <w:tc>
          <w:tcPr>
            <w:tcW w:w="1155" w:type="dxa"/>
            <w:tcBorders>
              <w:top w:val="nil"/>
              <w:left w:val="nil"/>
              <w:bottom w:val="nil"/>
              <w:right w:val="nil"/>
            </w:tcBorders>
            <w:shd w:val="clear" w:color="auto" w:fill="auto"/>
            <w:noWrap/>
            <w:vAlign w:val="center"/>
            <w:hideMark/>
          </w:tcPr>
          <w:p w14:paraId="0F07C3E1"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37F24643" w14:textId="77777777" w:rsidR="00913711" w:rsidRPr="00C80475" w:rsidRDefault="00913711" w:rsidP="00E607DA">
            <w:pPr>
              <w:rPr>
                <w:rFonts w:ascii="Meta Pro" w:eastAsia="Times New Roman" w:hAnsi="Meta Pro" w:cs="Times New Roman"/>
                <w:sz w:val="20"/>
                <w:szCs w:val="20"/>
                <w:lang w:eastAsia="en-AU"/>
              </w:rPr>
            </w:pPr>
          </w:p>
        </w:tc>
        <w:tc>
          <w:tcPr>
            <w:tcW w:w="1039" w:type="dxa"/>
            <w:tcBorders>
              <w:top w:val="nil"/>
              <w:left w:val="nil"/>
              <w:bottom w:val="nil"/>
              <w:right w:val="nil"/>
            </w:tcBorders>
            <w:shd w:val="clear" w:color="auto" w:fill="auto"/>
            <w:noWrap/>
            <w:vAlign w:val="center"/>
            <w:hideMark/>
          </w:tcPr>
          <w:p w14:paraId="647E42AB"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5AD07B27" w14:textId="77777777" w:rsidR="00913711" w:rsidRPr="00C80475" w:rsidRDefault="00913711" w:rsidP="00E607DA">
            <w:pPr>
              <w:jc w:val="cente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0B1169A1"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360DEC87" w14:textId="77777777" w:rsidR="00913711" w:rsidRPr="00C80475" w:rsidRDefault="00913711" w:rsidP="00E607DA">
            <w:pPr>
              <w:rPr>
                <w:rFonts w:ascii="Meta Pro" w:eastAsia="Times New Roman" w:hAnsi="Meta Pro" w:cs="Times New Roman"/>
                <w:sz w:val="20"/>
                <w:szCs w:val="20"/>
                <w:lang w:eastAsia="en-AU"/>
              </w:rPr>
            </w:pPr>
          </w:p>
        </w:tc>
        <w:tc>
          <w:tcPr>
            <w:tcW w:w="1111" w:type="dxa"/>
            <w:tcBorders>
              <w:top w:val="nil"/>
              <w:left w:val="nil"/>
              <w:bottom w:val="nil"/>
              <w:right w:val="nil"/>
            </w:tcBorders>
            <w:shd w:val="clear" w:color="auto" w:fill="auto"/>
            <w:noWrap/>
            <w:vAlign w:val="center"/>
            <w:hideMark/>
          </w:tcPr>
          <w:p w14:paraId="4F37C2DF"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293BB7F6" w14:textId="77777777" w:rsidR="00913711" w:rsidRPr="00C80475" w:rsidRDefault="00913711" w:rsidP="00E607DA">
            <w:pPr>
              <w:rPr>
                <w:rFonts w:ascii="Meta Pro" w:eastAsia="Times New Roman" w:hAnsi="Meta Pro" w:cs="Times New Roman"/>
                <w:sz w:val="20"/>
                <w:szCs w:val="20"/>
                <w:lang w:eastAsia="en-AU"/>
              </w:rPr>
            </w:pPr>
          </w:p>
        </w:tc>
        <w:tc>
          <w:tcPr>
            <w:tcW w:w="1205" w:type="dxa"/>
            <w:tcBorders>
              <w:top w:val="nil"/>
              <w:left w:val="nil"/>
              <w:bottom w:val="nil"/>
              <w:right w:val="nil"/>
            </w:tcBorders>
            <w:shd w:val="clear" w:color="auto" w:fill="auto"/>
            <w:noWrap/>
            <w:vAlign w:val="center"/>
            <w:hideMark/>
          </w:tcPr>
          <w:p w14:paraId="730D0EC3" w14:textId="77777777" w:rsidR="00913711" w:rsidRPr="00C80475" w:rsidRDefault="00913711" w:rsidP="00E607DA">
            <w:pPr>
              <w:rPr>
                <w:rFonts w:ascii="Meta Pro" w:eastAsia="Times New Roman" w:hAnsi="Meta Pro" w:cs="Times New Roman"/>
                <w:sz w:val="20"/>
                <w:szCs w:val="20"/>
                <w:lang w:eastAsia="en-AU"/>
              </w:rPr>
            </w:pPr>
          </w:p>
        </w:tc>
      </w:tr>
      <w:tr w:rsidR="00913711" w:rsidRPr="00C80475" w14:paraId="106DC4F0" w14:textId="77777777" w:rsidTr="00E607DA">
        <w:trPr>
          <w:trHeight w:val="198"/>
        </w:trPr>
        <w:tc>
          <w:tcPr>
            <w:tcW w:w="4540" w:type="dxa"/>
            <w:tcBorders>
              <w:top w:val="nil"/>
              <w:left w:val="nil"/>
              <w:bottom w:val="nil"/>
              <w:right w:val="nil"/>
            </w:tcBorders>
            <w:shd w:val="clear" w:color="auto" w:fill="auto"/>
            <w:noWrap/>
            <w:vAlign w:val="center"/>
            <w:hideMark/>
          </w:tcPr>
          <w:p w14:paraId="27B37348" w14:textId="77777777" w:rsidR="00913711" w:rsidRPr="00C80475" w:rsidRDefault="00913711" w:rsidP="00E607DA">
            <w:pPr>
              <w:rPr>
                <w:rFonts w:ascii="Meta Pro" w:eastAsia="Times New Roman" w:hAnsi="Meta Pro"/>
                <w:b/>
                <w:bCs/>
                <w:sz w:val="16"/>
                <w:szCs w:val="16"/>
                <w:lang w:eastAsia="en-AU"/>
              </w:rPr>
            </w:pPr>
            <w:r w:rsidRPr="00C80475">
              <w:rPr>
                <w:rFonts w:ascii="Meta Pro" w:eastAsia="Times New Roman" w:hAnsi="Meta Pro"/>
                <w:b/>
                <w:bCs/>
                <w:sz w:val="16"/>
                <w:szCs w:val="16"/>
                <w:lang w:eastAsia="en-AU"/>
              </w:rPr>
              <w:t>Reconciliation</w:t>
            </w:r>
          </w:p>
        </w:tc>
        <w:tc>
          <w:tcPr>
            <w:tcW w:w="1132" w:type="dxa"/>
            <w:tcBorders>
              <w:top w:val="nil"/>
              <w:left w:val="nil"/>
              <w:bottom w:val="nil"/>
              <w:right w:val="nil"/>
            </w:tcBorders>
            <w:shd w:val="clear" w:color="auto" w:fill="auto"/>
            <w:noWrap/>
            <w:vAlign w:val="center"/>
            <w:hideMark/>
          </w:tcPr>
          <w:p w14:paraId="2A5A4E99" w14:textId="77777777" w:rsidR="00913711" w:rsidRPr="00C80475" w:rsidRDefault="00913711" w:rsidP="00E607DA">
            <w:pPr>
              <w:rPr>
                <w:rFonts w:ascii="Meta Pro" w:eastAsia="Times New Roman" w:hAnsi="Meta Pro"/>
                <w:b/>
                <w:bCs/>
                <w:sz w:val="16"/>
                <w:szCs w:val="16"/>
                <w:lang w:eastAsia="en-AU"/>
              </w:rPr>
            </w:pPr>
          </w:p>
        </w:tc>
        <w:tc>
          <w:tcPr>
            <w:tcW w:w="113" w:type="dxa"/>
            <w:tcBorders>
              <w:top w:val="nil"/>
              <w:left w:val="nil"/>
              <w:bottom w:val="nil"/>
              <w:right w:val="nil"/>
            </w:tcBorders>
            <w:shd w:val="clear" w:color="auto" w:fill="auto"/>
            <w:noWrap/>
            <w:vAlign w:val="center"/>
            <w:hideMark/>
          </w:tcPr>
          <w:p w14:paraId="65861B52" w14:textId="77777777" w:rsidR="00913711" w:rsidRPr="00C80475" w:rsidRDefault="00913711" w:rsidP="00E607DA">
            <w:pPr>
              <w:rPr>
                <w:rFonts w:ascii="Meta Pro" w:eastAsia="Times New Roman" w:hAnsi="Meta Pro" w:cs="Times New Roman"/>
                <w:sz w:val="20"/>
                <w:szCs w:val="20"/>
                <w:lang w:eastAsia="en-AU"/>
              </w:rPr>
            </w:pPr>
          </w:p>
        </w:tc>
        <w:tc>
          <w:tcPr>
            <w:tcW w:w="1239" w:type="dxa"/>
            <w:tcBorders>
              <w:top w:val="nil"/>
              <w:left w:val="nil"/>
              <w:bottom w:val="nil"/>
              <w:right w:val="nil"/>
            </w:tcBorders>
            <w:shd w:val="clear" w:color="auto" w:fill="auto"/>
            <w:noWrap/>
            <w:vAlign w:val="center"/>
            <w:hideMark/>
          </w:tcPr>
          <w:p w14:paraId="64D30D87"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0FBACDBC" w14:textId="77777777" w:rsidR="00913711" w:rsidRPr="00C80475" w:rsidRDefault="00913711" w:rsidP="00E607DA">
            <w:pPr>
              <w:jc w:val="center"/>
              <w:rPr>
                <w:rFonts w:ascii="Meta Pro" w:eastAsia="Times New Roman" w:hAnsi="Meta Pro" w:cs="Times New Roman"/>
                <w:sz w:val="20"/>
                <w:szCs w:val="20"/>
                <w:lang w:eastAsia="en-AU"/>
              </w:rPr>
            </w:pPr>
          </w:p>
        </w:tc>
        <w:tc>
          <w:tcPr>
            <w:tcW w:w="1187" w:type="dxa"/>
            <w:tcBorders>
              <w:top w:val="nil"/>
              <w:left w:val="nil"/>
              <w:bottom w:val="nil"/>
              <w:right w:val="nil"/>
            </w:tcBorders>
            <w:shd w:val="clear" w:color="auto" w:fill="auto"/>
            <w:noWrap/>
            <w:vAlign w:val="center"/>
            <w:hideMark/>
          </w:tcPr>
          <w:p w14:paraId="0C736909"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4291398A" w14:textId="77777777" w:rsidR="00913711" w:rsidRPr="00C80475" w:rsidRDefault="00913711" w:rsidP="00E607DA">
            <w:pPr>
              <w:jc w:val="center"/>
              <w:rPr>
                <w:rFonts w:ascii="Meta Pro" w:eastAsia="Times New Roman" w:hAnsi="Meta Pro" w:cs="Times New Roman"/>
                <w:sz w:val="20"/>
                <w:szCs w:val="20"/>
                <w:lang w:eastAsia="en-AU"/>
              </w:rPr>
            </w:pPr>
          </w:p>
        </w:tc>
        <w:tc>
          <w:tcPr>
            <w:tcW w:w="1172" w:type="dxa"/>
            <w:tcBorders>
              <w:top w:val="nil"/>
              <w:left w:val="nil"/>
              <w:bottom w:val="nil"/>
              <w:right w:val="nil"/>
            </w:tcBorders>
            <w:shd w:val="clear" w:color="auto" w:fill="auto"/>
            <w:noWrap/>
            <w:vAlign w:val="center"/>
            <w:hideMark/>
          </w:tcPr>
          <w:p w14:paraId="5859309C"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70AAA377" w14:textId="77777777" w:rsidR="00913711" w:rsidRPr="00C80475" w:rsidRDefault="00913711" w:rsidP="00E607DA">
            <w:pPr>
              <w:jc w:val="center"/>
              <w:rPr>
                <w:rFonts w:ascii="Meta Pro" w:eastAsia="Times New Roman" w:hAnsi="Meta Pro" w:cs="Times New Roman"/>
                <w:sz w:val="20"/>
                <w:szCs w:val="20"/>
                <w:lang w:eastAsia="en-AU"/>
              </w:rPr>
            </w:pPr>
          </w:p>
        </w:tc>
        <w:tc>
          <w:tcPr>
            <w:tcW w:w="1155" w:type="dxa"/>
            <w:tcBorders>
              <w:top w:val="nil"/>
              <w:left w:val="nil"/>
              <w:bottom w:val="nil"/>
              <w:right w:val="nil"/>
            </w:tcBorders>
            <w:shd w:val="clear" w:color="auto" w:fill="auto"/>
            <w:noWrap/>
            <w:vAlign w:val="center"/>
            <w:hideMark/>
          </w:tcPr>
          <w:p w14:paraId="5D4E016B"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14994303" w14:textId="77777777" w:rsidR="00913711" w:rsidRPr="00C80475" w:rsidRDefault="00913711" w:rsidP="00E607DA">
            <w:pPr>
              <w:jc w:val="center"/>
              <w:rPr>
                <w:rFonts w:ascii="Meta Pro" w:eastAsia="Times New Roman" w:hAnsi="Meta Pro" w:cs="Times New Roman"/>
                <w:sz w:val="20"/>
                <w:szCs w:val="20"/>
                <w:lang w:eastAsia="en-AU"/>
              </w:rPr>
            </w:pPr>
          </w:p>
        </w:tc>
        <w:tc>
          <w:tcPr>
            <w:tcW w:w="1039" w:type="dxa"/>
            <w:tcBorders>
              <w:top w:val="nil"/>
              <w:left w:val="nil"/>
              <w:bottom w:val="nil"/>
              <w:right w:val="nil"/>
            </w:tcBorders>
            <w:shd w:val="clear" w:color="auto" w:fill="auto"/>
            <w:noWrap/>
            <w:vAlign w:val="center"/>
            <w:hideMark/>
          </w:tcPr>
          <w:p w14:paraId="56AC7519"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311523F6" w14:textId="77777777" w:rsidR="00913711" w:rsidRPr="00C80475" w:rsidRDefault="00913711" w:rsidP="00E607DA">
            <w:pPr>
              <w:jc w:val="cente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13117314"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1F789086" w14:textId="77777777" w:rsidR="00913711" w:rsidRPr="00C80475" w:rsidRDefault="00913711" w:rsidP="00E607DA">
            <w:pPr>
              <w:jc w:val="center"/>
              <w:rPr>
                <w:rFonts w:ascii="Meta Pro" w:eastAsia="Times New Roman" w:hAnsi="Meta Pro" w:cs="Times New Roman"/>
                <w:sz w:val="20"/>
                <w:szCs w:val="20"/>
                <w:lang w:eastAsia="en-AU"/>
              </w:rPr>
            </w:pPr>
          </w:p>
        </w:tc>
        <w:tc>
          <w:tcPr>
            <w:tcW w:w="1111" w:type="dxa"/>
            <w:tcBorders>
              <w:top w:val="nil"/>
              <w:left w:val="nil"/>
              <w:bottom w:val="nil"/>
              <w:right w:val="nil"/>
            </w:tcBorders>
            <w:shd w:val="clear" w:color="auto" w:fill="auto"/>
            <w:noWrap/>
            <w:vAlign w:val="center"/>
            <w:hideMark/>
          </w:tcPr>
          <w:p w14:paraId="6F4D1861"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7BAD27D0" w14:textId="77777777" w:rsidR="00913711" w:rsidRPr="00C80475" w:rsidRDefault="00913711" w:rsidP="00E607DA">
            <w:pPr>
              <w:jc w:val="center"/>
              <w:rPr>
                <w:rFonts w:ascii="Meta Pro" w:eastAsia="Times New Roman" w:hAnsi="Meta Pro" w:cs="Times New Roman"/>
                <w:sz w:val="20"/>
                <w:szCs w:val="20"/>
                <w:lang w:eastAsia="en-AU"/>
              </w:rPr>
            </w:pPr>
          </w:p>
        </w:tc>
        <w:tc>
          <w:tcPr>
            <w:tcW w:w="1205" w:type="dxa"/>
            <w:tcBorders>
              <w:top w:val="nil"/>
              <w:left w:val="nil"/>
              <w:bottom w:val="nil"/>
              <w:right w:val="nil"/>
            </w:tcBorders>
            <w:shd w:val="clear" w:color="auto" w:fill="auto"/>
            <w:noWrap/>
            <w:vAlign w:val="center"/>
            <w:hideMark/>
          </w:tcPr>
          <w:p w14:paraId="3CDD4A07" w14:textId="77777777" w:rsidR="00913711" w:rsidRPr="00C80475" w:rsidRDefault="00913711" w:rsidP="00E607DA">
            <w:pPr>
              <w:rPr>
                <w:rFonts w:ascii="Meta Pro" w:eastAsia="Times New Roman" w:hAnsi="Meta Pro" w:cs="Times New Roman"/>
                <w:sz w:val="20"/>
                <w:szCs w:val="20"/>
                <w:lang w:eastAsia="en-AU"/>
              </w:rPr>
            </w:pPr>
          </w:p>
        </w:tc>
      </w:tr>
      <w:tr w:rsidR="00913711" w:rsidRPr="00C80475" w14:paraId="54462D0A" w14:textId="77777777" w:rsidTr="00E607DA">
        <w:trPr>
          <w:trHeight w:val="198"/>
        </w:trPr>
        <w:tc>
          <w:tcPr>
            <w:tcW w:w="4540" w:type="dxa"/>
            <w:tcBorders>
              <w:top w:val="nil"/>
              <w:left w:val="nil"/>
              <w:bottom w:val="nil"/>
              <w:right w:val="nil"/>
            </w:tcBorders>
            <w:shd w:val="clear" w:color="auto" w:fill="auto"/>
            <w:noWrap/>
            <w:vAlign w:val="center"/>
            <w:hideMark/>
          </w:tcPr>
          <w:p w14:paraId="5E28EF39" w14:textId="77777777" w:rsidR="00913711" w:rsidRPr="00C80475" w:rsidRDefault="00913711" w:rsidP="00E607DA">
            <w:pPr>
              <w:jc w:val="center"/>
              <w:rPr>
                <w:rFonts w:ascii="Meta Pro" w:eastAsia="Times New Roman" w:hAnsi="Meta Pro" w:cs="Times New Roman"/>
                <w:sz w:val="20"/>
                <w:szCs w:val="20"/>
                <w:lang w:eastAsia="en-AU"/>
              </w:rPr>
            </w:pPr>
          </w:p>
        </w:tc>
        <w:tc>
          <w:tcPr>
            <w:tcW w:w="1132" w:type="dxa"/>
            <w:tcBorders>
              <w:top w:val="nil"/>
              <w:left w:val="nil"/>
              <w:bottom w:val="nil"/>
              <w:right w:val="nil"/>
            </w:tcBorders>
            <w:shd w:val="clear" w:color="auto" w:fill="auto"/>
            <w:noWrap/>
            <w:vAlign w:val="center"/>
            <w:hideMark/>
          </w:tcPr>
          <w:p w14:paraId="636E34D9"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15EE4C31" w14:textId="77777777" w:rsidR="00913711" w:rsidRPr="00C80475" w:rsidRDefault="00913711" w:rsidP="00E607DA">
            <w:pPr>
              <w:rPr>
                <w:rFonts w:ascii="Meta Pro" w:eastAsia="Times New Roman" w:hAnsi="Meta Pro" w:cs="Times New Roman"/>
                <w:sz w:val="20"/>
                <w:szCs w:val="20"/>
                <w:lang w:eastAsia="en-AU"/>
              </w:rPr>
            </w:pPr>
          </w:p>
        </w:tc>
        <w:tc>
          <w:tcPr>
            <w:tcW w:w="1239" w:type="dxa"/>
            <w:tcBorders>
              <w:top w:val="nil"/>
              <w:left w:val="nil"/>
              <w:bottom w:val="nil"/>
              <w:right w:val="nil"/>
            </w:tcBorders>
            <w:shd w:val="clear" w:color="auto" w:fill="auto"/>
            <w:noWrap/>
            <w:vAlign w:val="center"/>
            <w:hideMark/>
          </w:tcPr>
          <w:p w14:paraId="71EDA1BB"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44626A09" w14:textId="77777777" w:rsidR="00913711" w:rsidRPr="00C80475" w:rsidRDefault="00913711" w:rsidP="00E607DA">
            <w:pPr>
              <w:jc w:val="center"/>
              <w:rPr>
                <w:rFonts w:ascii="Meta Pro" w:eastAsia="Times New Roman" w:hAnsi="Meta Pro" w:cs="Times New Roman"/>
                <w:sz w:val="20"/>
                <w:szCs w:val="20"/>
                <w:lang w:eastAsia="en-AU"/>
              </w:rPr>
            </w:pPr>
          </w:p>
        </w:tc>
        <w:tc>
          <w:tcPr>
            <w:tcW w:w="1187" w:type="dxa"/>
            <w:tcBorders>
              <w:top w:val="nil"/>
              <w:left w:val="nil"/>
              <w:bottom w:val="nil"/>
              <w:right w:val="nil"/>
            </w:tcBorders>
            <w:shd w:val="clear" w:color="auto" w:fill="auto"/>
            <w:noWrap/>
            <w:vAlign w:val="center"/>
            <w:hideMark/>
          </w:tcPr>
          <w:p w14:paraId="0E8AB2B7"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79F6C8FB" w14:textId="77777777" w:rsidR="00913711" w:rsidRPr="00C80475" w:rsidRDefault="00913711" w:rsidP="00E607DA">
            <w:pPr>
              <w:jc w:val="center"/>
              <w:rPr>
                <w:rFonts w:ascii="Meta Pro" w:eastAsia="Times New Roman" w:hAnsi="Meta Pro" w:cs="Times New Roman"/>
                <w:sz w:val="20"/>
                <w:szCs w:val="20"/>
                <w:lang w:eastAsia="en-AU"/>
              </w:rPr>
            </w:pPr>
          </w:p>
        </w:tc>
        <w:tc>
          <w:tcPr>
            <w:tcW w:w="1172" w:type="dxa"/>
            <w:tcBorders>
              <w:top w:val="nil"/>
              <w:left w:val="nil"/>
              <w:bottom w:val="nil"/>
              <w:right w:val="nil"/>
            </w:tcBorders>
            <w:shd w:val="clear" w:color="auto" w:fill="auto"/>
            <w:noWrap/>
            <w:vAlign w:val="center"/>
            <w:hideMark/>
          </w:tcPr>
          <w:p w14:paraId="0B892F5C"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28EA9EBC" w14:textId="77777777" w:rsidR="00913711" w:rsidRPr="00C80475" w:rsidRDefault="00913711" w:rsidP="00E607DA">
            <w:pPr>
              <w:jc w:val="center"/>
              <w:rPr>
                <w:rFonts w:ascii="Meta Pro" w:eastAsia="Times New Roman" w:hAnsi="Meta Pro" w:cs="Times New Roman"/>
                <w:sz w:val="20"/>
                <w:szCs w:val="20"/>
                <w:lang w:eastAsia="en-AU"/>
              </w:rPr>
            </w:pPr>
          </w:p>
        </w:tc>
        <w:tc>
          <w:tcPr>
            <w:tcW w:w="1155" w:type="dxa"/>
            <w:tcBorders>
              <w:top w:val="nil"/>
              <w:left w:val="nil"/>
              <w:bottom w:val="nil"/>
              <w:right w:val="nil"/>
            </w:tcBorders>
            <w:shd w:val="clear" w:color="auto" w:fill="auto"/>
            <w:noWrap/>
            <w:vAlign w:val="center"/>
            <w:hideMark/>
          </w:tcPr>
          <w:p w14:paraId="4BD8629F"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474C3CD0" w14:textId="77777777" w:rsidR="00913711" w:rsidRPr="00C80475" w:rsidRDefault="00913711" w:rsidP="00E607DA">
            <w:pPr>
              <w:jc w:val="center"/>
              <w:rPr>
                <w:rFonts w:ascii="Meta Pro" w:eastAsia="Times New Roman" w:hAnsi="Meta Pro" w:cs="Times New Roman"/>
                <w:sz w:val="20"/>
                <w:szCs w:val="20"/>
                <w:lang w:eastAsia="en-AU"/>
              </w:rPr>
            </w:pPr>
          </w:p>
        </w:tc>
        <w:tc>
          <w:tcPr>
            <w:tcW w:w="1039" w:type="dxa"/>
            <w:tcBorders>
              <w:top w:val="nil"/>
              <w:left w:val="nil"/>
              <w:bottom w:val="nil"/>
              <w:right w:val="nil"/>
            </w:tcBorders>
            <w:shd w:val="clear" w:color="auto" w:fill="auto"/>
            <w:noWrap/>
            <w:vAlign w:val="center"/>
            <w:hideMark/>
          </w:tcPr>
          <w:p w14:paraId="52C5C33D"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07DFE689" w14:textId="77777777" w:rsidR="00913711" w:rsidRPr="00C80475" w:rsidRDefault="00913711" w:rsidP="00E607DA">
            <w:pPr>
              <w:jc w:val="cente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339BD469"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7C309449" w14:textId="77777777" w:rsidR="00913711" w:rsidRPr="00C80475" w:rsidRDefault="00913711" w:rsidP="00E607DA">
            <w:pPr>
              <w:jc w:val="center"/>
              <w:rPr>
                <w:rFonts w:ascii="Meta Pro" w:eastAsia="Times New Roman" w:hAnsi="Meta Pro" w:cs="Times New Roman"/>
                <w:sz w:val="20"/>
                <w:szCs w:val="20"/>
                <w:lang w:eastAsia="en-AU"/>
              </w:rPr>
            </w:pPr>
          </w:p>
        </w:tc>
        <w:tc>
          <w:tcPr>
            <w:tcW w:w="1111" w:type="dxa"/>
            <w:tcBorders>
              <w:top w:val="nil"/>
              <w:left w:val="nil"/>
              <w:bottom w:val="nil"/>
              <w:right w:val="nil"/>
            </w:tcBorders>
            <w:shd w:val="clear" w:color="auto" w:fill="auto"/>
            <w:noWrap/>
            <w:vAlign w:val="center"/>
            <w:hideMark/>
          </w:tcPr>
          <w:p w14:paraId="6EB5B40C"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4BC91031" w14:textId="77777777" w:rsidR="00913711" w:rsidRPr="00C80475" w:rsidRDefault="00913711" w:rsidP="00E607DA">
            <w:pPr>
              <w:jc w:val="center"/>
              <w:rPr>
                <w:rFonts w:ascii="Meta Pro" w:eastAsia="Times New Roman" w:hAnsi="Meta Pro" w:cs="Times New Roman"/>
                <w:sz w:val="20"/>
                <w:szCs w:val="20"/>
                <w:lang w:eastAsia="en-AU"/>
              </w:rPr>
            </w:pPr>
          </w:p>
        </w:tc>
        <w:tc>
          <w:tcPr>
            <w:tcW w:w="1205" w:type="dxa"/>
            <w:tcBorders>
              <w:top w:val="nil"/>
              <w:left w:val="nil"/>
              <w:bottom w:val="nil"/>
              <w:right w:val="nil"/>
            </w:tcBorders>
            <w:shd w:val="clear" w:color="auto" w:fill="auto"/>
            <w:noWrap/>
            <w:vAlign w:val="center"/>
            <w:hideMark/>
          </w:tcPr>
          <w:p w14:paraId="7B7F0DED" w14:textId="77777777" w:rsidR="00913711" w:rsidRPr="00C80475" w:rsidRDefault="00913711" w:rsidP="00E607DA">
            <w:pPr>
              <w:rPr>
                <w:rFonts w:ascii="Meta Pro" w:eastAsia="Times New Roman" w:hAnsi="Meta Pro" w:cs="Times New Roman"/>
                <w:sz w:val="20"/>
                <w:szCs w:val="20"/>
                <w:lang w:eastAsia="en-AU"/>
              </w:rPr>
            </w:pPr>
          </w:p>
        </w:tc>
      </w:tr>
      <w:tr w:rsidR="00913711" w:rsidRPr="00C80475" w14:paraId="27FA8FA5" w14:textId="77777777" w:rsidTr="00E607DA">
        <w:trPr>
          <w:trHeight w:val="198"/>
        </w:trPr>
        <w:tc>
          <w:tcPr>
            <w:tcW w:w="4540" w:type="dxa"/>
            <w:tcBorders>
              <w:top w:val="nil"/>
              <w:left w:val="nil"/>
              <w:bottom w:val="nil"/>
              <w:right w:val="nil"/>
            </w:tcBorders>
            <w:shd w:val="clear" w:color="auto" w:fill="auto"/>
            <w:vAlign w:val="center"/>
            <w:hideMark/>
          </w:tcPr>
          <w:p w14:paraId="233AC0DC" w14:textId="77777777" w:rsidR="00913711" w:rsidRPr="00C80475" w:rsidRDefault="00913711" w:rsidP="00E607DA">
            <w:pPr>
              <w:rPr>
                <w:rFonts w:ascii="Meta Pro" w:eastAsia="Times New Roman" w:hAnsi="Meta Pro"/>
                <w:sz w:val="16"/>
                <w:szCs w:val="16"/>
                <w:lang w:eastAsia="en-AU"/>
              </w:rPr>
            </w:pPr>
            <w:r w:rsidRPr="00C80475">
              <w:rPr>
                <w:rFonts w:ascii="Meta Pro" w:eastAsia="Times New Roman" w:hAnsi="Meta Pro"/>
                <w:sz w:val="16"/>
                <w:szCs w:val="16"/>
                <w:lang w:eastAsia="en-AU"/>
              </w:rPr>
              <w:t>Carrying amount at 1 July</w:t>
            </w:r>
          </w:p>
        </w:tc>
        <w:tc>
          <w:tcPr>
            <w:tcW w:w="1132" w:type="dxa"/>
            <w:tcBorders>
              <w:top w:val="nil"/>
              <w:left w:val="nil"/>
              <w:bottom w:val="nil"/>
              <w:right w:val="nil"/>
            </w:tcBorders>
            <w:shd w:val="clear" w:color="000000" w:fill="C9E3B4"/>
            <w:noWrap/>
            <w:vAlign w:val="center"/>
            <w:hideMark/>
          </w:tcPr>
          <w:p w14:paraId="200584CD"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650,600 </w:t>
            </w:r>
          </w:p>
        </w:tc>
        <w:tc>
          <w:tcPr>
            <w:tcW w:w="113" w:type="dxa"/>
            <w:tcBorders>
              <w:top w:val="nil"/>
              <w:left w:val="nil"/>
              <w:bottom w:val="nil"/>
              <w:right w:val="nil"/>
            </w:tcBorders>
            <w:shd w:val="clear" w:color="auto" w:fill="auto"/>
            <w:noWrap/>
            <w:vAlign w:val="center"/>
            <w:hideMark/>
          </w:tcPr>
          <w:p w14:paraId="0EC46DE3" w14:textId="77777777" w:rsidR="00913711" w:rsidRPr="00C80475" w:rsidRDefault="00913711" w:rsidP="00E607DA">
            <w:pPr>
              <w:jc w:val="right"/>
              <w:rPr>
                <w:rFonts w:ascii="Meta Pro" w:eastAsia="Times New Roman" w:hAnsi="Meta Pro"/>
                <w:sz w:val="16"/>
                <w:szCs w:val="16"/>
                <w:lang w:eastAsia="en-AU"/>
              </w:rPr>
            </w:pPr>
          </w:p>
        </w:tc>
        <w:tc>
          <w:tcPr>
            <w:tcW w:w="1239" w:type="dxa"/>
            <w:tcBorders>
              <w:top w:val="nil"/>
              <w:left w:val="nil"/>
              <w:bottom w:val="nil"/>
              <w:right w:val="nil"/>
            </w:tcBorders>
            <w:shd w:val="clear" w:color="000000" w:fill="C9E3B4"/>
            <w:noWrap/>
            <w:vAlign w:val="center"/>
            <w:hideMark/>
          </w:tcPr>
          <w:p w14:paraId="20B866E6"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1,313,963 </w:t>
            </w:r>
          </w:p>
        </w:tc>
        <w:tc>
          <w:tcPr>
            <w:tcW w:w="113" w:type="dxa"/>
            <w:tcBorders>
              <w:top w:val="nil"/>
              <w:left w:val="nil"/>
              <w:bottom w:val="nil"/>
              <w:right w:val="nil"/>
            </w:tcBorders>
            <w:shd w:val="clear" w:color="auto" w:fill="auto"/>
            <w:noWrap/>
            <w:vAlign w:val="center"/>
            <w:hideMark/>
          </w:tcPr>
          <w:p w14:paraId="5D503954" w14:textId="77777777" w:rsidR="00913711" w:rsidRPr="00C80475" w:rsidRDefault="00913711" w:rsidP="00E607DA">
            <w:pPr>
              <w:jc w:val="right"/>
              <w:rPr>
                <w:rFonts w:ascii="Meta Pro" w:eastAsia="Times New Roman" w:hAnsi="Meta Pro"/>
                <w:sz w:val="16"/>
                <w:szCs w:val="16"/>
                <w:lang w:eastAsia="en-AU"/>
              </w:rPr>
            </w:pPr>
          </w:p>
        </w:tc>
        <w:tc>
          <w:tcPr>
            <w:tcW w:w="1187" w:type="dxa"/>
            <w:tcBorders>
              <w:top w:val="nil"/>
              <w:left w:val="nil"/>
              <w:bottom w:val="nil"/>
              <w:right w:val="nil"/>
            </w:tcBorders>
            <w:shd w:val="clear" w:color="000000" w:fill="C9E3B4"/>
            <w:noWrap/>
            <w:vAlign w:val="center"/>
            <w:hideMark/>
          </w:tcPr>
          <w:p w14:paraId="69B4390F"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5,334,682 </w:t>
            </w:r>
          </w:p>
        </w:tc>
        <w:tc>
          <w:tcPr>
            <w:tcW w:w="113" w:type="dxa"/>
            <w:tcBorders>
              <w:top w:val="nil"/>
              <w:left w:val="nil"/>
              <w:bottom w:val="nil"/>
              <w:right w:val="nil"/>
            </w:tcBorders>
            <w:shd w:val="clear" w:color="auto" w:fill="auto"/>
            <w:noWrap/>
            <w:vAlign w:val="center"/>
            <w:hideMark/>
          </w:tcPr>
          <w:p w14:paraId="41FDE3B8" w14:textId="77777777" w:rsidR="00913711" w:rsidRPr="00C80475" w:rsidRDefault="00913711" w:rsidP="00E607DA">
            <w:pPr>
              <w:jc w:val="right"/>
              <w:rPr>
                <w:rFonts w:ascii="Meta Pro" w:eastAsia="Times New Roman" w:hAnsi="Meta Pro"/>
                <w:sz w:val="16"/>
                <w:szCs w:val="16"/>
                <w:lang w:eastAsia="en-AU"/>
              </w:rPr>
            </w:pPr>
          </w:p>
        </w:tc>
        <w:tc>
          <w:tcPr>
            <w:tcW w:w="1172" w:type="dxa"/>
            <w:tcBorders>
              <w:top w:val="nil"/>
              <w:left w:val="nil"/>
              <w:bottom w:val="nil"/>
              <w:right w:val="nil"/>
            </w:tcBorders>
            <w:shd w:val="clear" w:color="000000" w:fill="C9E3B4"/>
            <w:noWrap/>
            <w:vAlign w:val="center"/>
            <w:hideMark/>
          </w:tcPr>
          <w:p w14:paraId="4415D991"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2,439,358 </w:t>
            </w:r>
          </w:p>
        </w:tc>
        <w:tc>
          <w:tcPr>
            <w:tcW w:w="113" w:type="dxa"/>
            <w:tcBorders>
              <w:top w:val="nil"/>
              <w:left w:val="nil"/>
              <w:bottom w:val="nil"/>
              <w:right w:val="nil"/>
            </w:tcBorders>
            <w:shd w:val="clear" w:color="auto" w:fill="auto"/>
            <w:noWrap/>
            <w:vAlign w:val="center"/>
            <w:hideMark/>
          </w:tcPr>
          <w:p w14:paraId="154873B5" w14:textId="77777777" w:rsidR="00913711" w:rsidRPr="00C80475" w:rsidRDefault="00913711" w:rsidP="00E607DA">
            <w:pPr>
              <w:jc w:val="right"/>
              <w:rPr>
                <w:rFonts w:ascii="Meta Pro" w:eastAsia="Times New Roman" w:hAnsi="Meta Pro"/>
                <w:sz w:val="16"/>
                <w:szCs w:val="16"/>
                <w:lang w:eastAsia="en-AU"/>
              </w:rPr>
            </w:pPr>
          </w:p>
        </w:tc>
        <w:tc>
          <w:tcPr>
            <w:tcW w:w="1155" w:type="dxa"/>
            <w:tcBorders>
              <w:top w:val="nil"/>
              <w:left w:val="nil"/>
              <w:bottom w:val="nil"/>
              <w:right w:val="nil"/>
            </w:tcBorders>
            <w:shd w:val="clear" w:color="000000" w:fill="C9E3B4"/>
            <w:noWrap/>
            <w:vAlign w:val="center"/>
            <w:hideMark/>
          </w:tcPr>
          <w:p w14:paraId="178BAD0A"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1,775,177 </w:t>
            </w:r>
          </w:p>
        </w:tc>
        <w:tc>
          <w:tcPr>
            <w:tcW w:w="113" w:type="dxa"/>
            <w:tcBorders>
              <w:top w:val="nil"/>
              <w:left w:val="nil"/>
              <w:bottom w:val="nil"/>
              <w:right w:val="nil"/>
            </w:tcBorders>
            <w:shd w:val="clear" w:color="auto" w:fill="auto"/>
            <w:noWrap/>
            <w:vAlign w:val="center"/>
            <w:hideMark/>
          </w:tcPr>
          <w:p w14:paraId="647A1AA5" w14:textId="77777777" w:rsidR="00913711" w:rsidRPr="00C80475" w:rsidRDefault="00913711" w:rsidP="00E607DA">
            <w:pPr>
              <w:jc w:val="right"/>
              <w:rPr>
                <w:rFonts w:ascii="Meta Pro" w:eastAsia="Times New Roman" w:hAnsi="Meta Pro"/>
                <w:sz w:val="16"/>
                <w:szCs w:val="16"/>
                <w:lang w:eastAsia="en-AU"/>
              </w:rPr>
            </w:pPr>
          </w:p>
        </w:tc>
        <w:tc>
          <w:tcPr>
            <w:tcW w:w="1039" w:type="dxa"/>
            <w:tcBorders>
              <w:top w:val="nil"/>
              <w:left w:val="nil"/>
              <w:bottom w:val="nil"/>
              <w:right w:val="nil"/>
            </w:tcBorders>
            <w:shd w:val="clear" w:color="000000" w:fill="C9E3B4"/>
            <w:noWrap/>
            <w:vAlign w:val="center"/>
            <w:hideMark/>
          </w:tcPr>
          <w:p w14:paraId="3B5D06C1"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45,622 </w:t>
            </w:r>
          </w:p>
        </w:tc>
        <w:tc>
          <w:tcPr>
            <w:tcW w:w="113" w:type="dxa"/>
            <w:tcBorders>
              <w:top w:val="nil"/>
              <w:left w:val="nil"/>
              <w:bottom w:val="nil"/>
              <w:right w:val="nil"/>
            </w:tcBorders>
            <w:shd w:val="clear" w:color="auto" w:fill="auto"/>
            <w:noWrap/>
            <w:vAlign w:val="center"/>
            <w:hideMark/>
          </w:tcPr>
          <w:p w14:paraId="7AD8F9A5" w14:textId="77777777" w:rsidR="00913711" w:rsidRPr="00C80475" w:rsidRDefault="00913711" w:rsidP="00E607DA">
            <w:pPr>
              <w:jc w:val="right"/>
              <w:rPr>
                <w:rFonts w:ascii="Meta Pro" w:eastAsia="Times New Roman" w:hAnsi="Meta Pro"/>
                <w:sz w:val="16"/>
                <w:szCs w:val="16"/>
                <w:lang w:eastAsia="en-AU"/>
              </w:rPr>
            </w:pPr>
          </w:p>
        </w:tc>
        <w:tc>
          <w:tcPr>
            <w:tcW w:w="1134" w:type="dxa"/>
            <w:tcBorders>
              <w:top w:val="nil"/>
              <w:left w:val="nil"/>
              <w:bottom w:val="nil"/>
              <w:right w:val="nil"/>
            </w:tcBorders>
            <w:shd w:val="clear" w:color="000000" w:fill="C9E3B4"/>
            <w:noWrap/>
            <w:vAlign w:val="center"/>
            <w:hideMark/>
          </w:tcPr>
          <w:p w14:paraId="70EE1F7B"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317,557 </w:t>
            </w:r>
          </w:p>
        </w:tc>
        <w:tc>
          <w:tcPr>
            <w:tcW w:w="113" w:type="dxa"/>
            <w:tcBorders>
              <w:top w:val="nil"/>
              <w:left w:val="nil"/>
              <w:bottom w:val="nil"/>
              <w:right w:val="nil"/>
            </w:tcBorders>
            <w:shd w:val="clear" w:color="auto" w:fill="auto"/>
            <w:noWrap/>
            <w:vAlign w:val="center"/>
            <w:hideMark/>
          </w:tcPr>
          <w:p w14:paraId="7A3AAB4A" w14:textId="77777777" w:rsidR="00913711" w:rsidRPr="00C80475" w:rsidRDefault="00913711" w:rsidP="00E607DA">
            <w:pPr>
              <w:jc w:val="right"/>
              <w:rPr>
                <w:rFonts w:ascii="Meta Pro" w:eastAsia="Times New Roman" w:hAnsi="Meta Pro"/>
                <w:sz w:val="16"/>
                <w:szCs w:val="16"/>
                <w:lang w:eastAsia="en-AU"/>
              </w:rPr>
            </w:pPr>
          </w:p>
        </w:tc>
        <w:tc>
          <w:tcPr>
            <w:tcW w:w="1111" w:type="dxa"/>
            <w:tcBorders>
              <w:top w:val="nil"/>
              <w:left w:val="nil"/>
              <w:bottom w:val="nil"/>
              <w:right w:val="nil"/>
            </w:tcBorders>
            <w:shd w:val="clear" w:color="000000" w:fill="C9E3B4"/>
            <w:noWrap/>
            <w:vAlign w:val="center"/>
            <w:hideMark/>
          </w:tcPr>
          <w:p w14:paraId="37CA2E98"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626A48AB" w14:textId="77777777" w:rsidR="00913711" w:rsidRPr="00C80475" w:rsidRDefault="00913711" w:rsidP="00E607DA">
            <w:pPr>
              <w:jc w:val="right"/>
              <w:rPr>
                <w:rFonts w:ascii="Meta Pro" w:eastAsia="Times New Roman" w:hAnsi="Meta Pro"/>
                <w:sz w:val="16"/>
                <w:szCs w:val="16"/>
                <w:lang w:eastAsia="en-AU"/>
              </w:rPr>
            </w:pPr>
          </w:p>
        </w:tc>
        <w:tc>
          <w:tcPr>
            <w:tcW w:w="1205" w:type="dxa"/>
            <w:tcBorders>
              <w:top w:val="nil"/>
              <w:left w:val="nil"/>
              <w:bottom w:val="nil"/>
              <w:right w:val="nil"/>
            </w:tcBorders>
            <w:shd w:val="clear" w:color="000000" w:fill="C9E3B4"/>
            <w:noWrap/>
            <w:vAlign w:val="center"/>
            <w:hideMark/>
          </w:tcPr>
          <w:p w14:paraId="2272C4F4"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11,876,959 </w:t>
            </w:r>
          </w:p>
        </w:tc>
      </w:tr>
      <w:tr w:rsidR="00913711" w:rsidRPr="00C80475" w14:paraId="64A010E1" w14:textId="77777777" w:rsidTr="00E607DA">
        <w:trPr>
          <w:trHeight w:val="198"/>
        </w:trPr>
        <w:tc>
          <w:tcPr>
            <w:tcW w:w="4540" w:type="dxa"/>
            <w:tcBorders>
              <w:top w:val="nil"/>
              <w:left w:val="nil"/>
              <w:bottom w:val="nil"/>
              <w:right w:val="nil"/>
            </w:tcBorders>
            <w:shd w:val="clear" w:color="auto" w:fill="auto"/>
            <w:vAlign w:val="center"/>
            <w:hideMark/>
          </w:tcPr>
          <w:p w14:paraId="52657FF6" w14:textId="77777777" w:rsidR="00913711" w:rsidRPr="00C80475" w:rsidRDefault="00913711" w:rsidP="00E607DA">
            <w:pPr>
              <w:rPr>
                <w:rFonts w:ascii="Meta Pro" w:eastAsia="Times New Roman" w:hAnsi="Meta Pro"/>
                <w:sz w:val="16"/>
                <w:szCs w:val="16"/>
                <w:lang w:eastAsia="en-AU"/>
              </w:rPr>
            </w:pPr>
            <w:r w:rsidRPr="00C80475">
              <w:rPr>
                <w:rFonts w:ascii="Meta Pro" w:eastAsia="Times New Roman" w:hAnsi="Meta Pro"/>
                <w:sz w:val="16"/>
                <w:szCs w:val="16"/>
                <w:lang w:eastAsia="en-AU"/>
              </w:rPr>
              <w:t>Acquisitions</w:t>
            </w:r>
          </w:p>
        </w:tc>
        <w:tc>
          <w:tcPr>
            <w:tcW w:w="1132" w:type="dxa"/>
            <w:tcBorders>
              <w:top w:val="nil"/>
              <w:left w:val="nil"/>
              <w:bottom w:val="nil"/>
              <w:right w:val="nil"/>
            </w:tcBorders>
            <w:shd w:val="clear" w:color="000000" w:fill="C9E3B4"/>
            <w:noWrap/>
            <w:vAlign w:val="center"/>
            <w:hideMark/>
          </w:tcPr>
          <w:p w14:paraId="1AEAE419"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403D63DB" w14:textId="77777777" w:rsidR="00913711" w:rsidRPr="00C80475" w:rsidRDefault="00913711" w:rsidP="00E607DA">
            <w:pPr>
              <w:jc w:val="right"/>
              <w:rPr>
                <w:rFonts w:ascii="Meta Pro" w:eastAsia="Times New Roman" w:hAnsi="Meta Pro"/>
                <w:sz w:val="16"/>
                <w:szCs w:val="16"/>
                <w:lang w:eastAsia="en-AU"/>
              </w:rPr>
            </w:pPr>
          </w:p>
        </w:tc>
        <w:tc>
          <w:tcPr>
            <w:tcW w:w="1239" w:type="dxa"/>
            <w:tcBorders>
              <w:top w:val="nil"/>
              <w:left w:val="nil"/>
              <w:bottom w:val="nil"/>
              <w:right w:val="nil"/>
            </w:tcBorders>
            <w:shd w:val="clear" w:color="000000" w:fill="C9E3B4"/>
            <w:noWrap/>
            <w:vAlign w:val="center"/>
            <w:hideMark/>
          </w:tcPr>
          <w:p w14:paraId="0E2C9B0F"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60454166" w14:textId="77777777" w:rsidR="00913711" w:rsidRPr="00C80475" w:rsidRDefault="00913711" w:rsidP="00E607DA">
            <w:pPr>
              <w:jc w:val="right"/>
              <w:rPr>
                <w:rFonts w:ascii="Meta Pro" w:eastAsia="Times New Roman" w:hAnsi="Meta Pro"/>
                <w:sz w:val="16"/>
                <w:szCs w:val="16"/>
                <w:lang w:eastAsia="en-AU"/>
              </w:rPr>
            </w:pPr>
          </w:p>
        </w:tc>
        <w:tc>
          <w:tcPr>
            <w:tcW w:w="1187" w:type="dxa"/>
            <w:tcBorders>
              <w:top w:val="nil"/>
              <w:left w:val="nil"/>
              <w:bottom w:val="nil"/>
              <w:right w:val="nil"/>
            </w:tcBorders>
            <w:shd w:val="clear" w:color="000000" w:fill="C9E3B4"/>
            <w:noWrap/>
            <w:vAlign w:val="center"/>
            <w:hideMark/>
          </w:tcPr>
          <w:p w14:paraId="5BEAD3AC"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5AC763B8" w14:textId="77777777" w:rsidR="00913711" w:rsidRPr="00C80475" w:rsidRDefault="00913711" w:rsidP="00E607DA">
            <w:pPr>
              <w:jc w:val="right"/>
              <w:rPr>
                <w:rFonts w:ascii="Meta Pro" w:eastAsia="Times New Roman" w:hAnsi="Meta Pro"/>
                <w:sz w:val="16"/>
                <w:szCs w:val="16"/>
                <w:lang w:eastAsia="en-AU"/>
              </w:rPr>
            </w:pPr>
          </w:p>
        </w:tc>
        <w:tc>
          <w:tcPr>
            <w:tcW w:w="1172" w:type="dxa"/>
            <w:tcBorders>
              <w:top w:val="nil"/>
              <w:left w:val="nil"/>
              <w:bottom w:val="nil"/>
              <w:right w:val="nil"/>
            </w:tcBorders>
            <w:shd w:val="clear" w:color="000000" w:fill="C9E3B4"/>
            <w:noWrap/>
            <w:vAlign w:val="center"/>
            <w:hideMark/>
          </w:tcPr>
          <w:p w14:paraId="2E497BD0"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541F989A" w14:textId="77777777" w:rsidR="00913711" w:rsidRPr="00C80475" w:rsidRDefault="00913711" w:rsidP="00E607DA">
            <w:pPr>
              <w:jc w:val="right"/>
              <w:rPr>
                <w:rFonts w:ascii="Meta Pro" w:eastAsia="Times New Roman" w:hAnsi="Meta Pro"/>
                <w:sz w:val="16"/>
                <w:szCs w:val="16"/>
                <w:lang w:eastAsia="en-AU"/>
              </w:rPr>
            </w:pPr>
          </w:p>
        </w:tc>
        <w:tc>
          <w:tcPr>
            <w:tcW w:w="1155" w:type="dxa"/>
            <w:tcBorders>
              <w:top w:val="nil"/>
              <w:left w:val="nil"/>
              <w:bottom w:val="nil"/>
              <w:right w:val="nil"/>
            </w:tcBorders>
            <w:shd w:val="clear" w:color="000000" w:fill="C9E3B4"/>
            <w:noWrap/>
            <w:vAlign w:val="center"/>
            <w:hideMark/>
          </w:tcPr>
          <w:p w14:paraId="5B2E3512"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16B6C750" w14:textId="77777777" w:rsidR="00913711" w:rsidRPr="00C80475" w:rsidRDefault="00913711" w:rsidP="00E607DA">
            <w:pPr>
              <w:jc w:val="right"/>
              <w:rPr>
                <w:rFonts w:ascii="Meta Pro" w:eastAsia="Times New Roman" w:hAnsi="Meta Pro"/>
                <w:sz w:val="16"/>
                <w:szCs w:val="16"/>
                <w:lang w:eastAsia="en-AU"/>
              </w:rPr>
            </w:pPr>
          </w:p>
        </w:tc>
        <w:tc>
          <w:tcPr>
            <w:tcW w:w="1039" w:type="dxa"/>
            <w:tcBorders>
              <w:top w:val="nil"/>
              <w:left w:val="nil"/>
              <w:bottom w:val="nil"/>
              <w:right w:val="nil"/>
            </w:tcBorders>
            <w:shd w:val="clear" w:color="000000" w:fill="C9E3B4"/>
            <w:noWrap/>
            <w:vAlign w:val="center"/>
            <w:hideMark/>
          </w:tcPr>
          <w:p w14:paraId="7D08FE62"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5D13E9E4" w14:textId="77777777" w:rsidR="00913711" w:rsidRPr="00C80475" w:rsidRDefault="00913711" w:rsidP="00E607DA">
            <w:pPr>
              <w:jc w:val="right"/>
              <w:rPr>
                <w:rFonts w:ascii="Meta Pro" w:eastAsia="Times New Roman" w:hAnsi="Meta Pro"/>
                <w:sz w:val="16"/>
                <w:szCs w:val="16"/>
                <w:lang w:eastAsia="en-AU"/>
              </w:rPr>
            </w:pPr>
          </w:p>
        </w:tc>
        <w:tc>
          <w:tcPr>
            <w:tcW w:w="1134" w:type="dxa"/>
            <w:tcBorders>
              <w:top w:val="nil"/>
              <w:left w:val="nil"/>
              <w:bottom w:val="nil"/>
              <w:right w:val="nil"/>
            </w:tcBorders>
            <w:shd w:val="clear" w:color="000000" w:fill="C9E3B4"/>
            <w:noWrap/>
            <w:vAlign w:val="center"/>
            <w:hideMark/>
          </w:tcPr>
          <w:p w14:paraId="6000A612"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13EFDD01" w14:textId="77777777" w:rsidR="00913711" w:rsidRPr="00C80475" w:rsidRDefault="00913711" w:rsidP="00E607DA">
            <w:pPr>
              <w:jc w:val="right"/>
              <w:rPr>
                <w:rFonts w:ascii="Meta Pro" w:eastAsia="Times New Roman" w:hAnsi="Meta Pro"/>
                <w:sz w:val="16"/>
                <w:szCs w:val="16"/>
                <w:lang w:eastAsia="en-AU"/>
              </w:rPr>
            </w:pPr>
          </w:p>
        </w:tc>
        <w:tc>
          <w:tcPr>
            <w:tcW w:w="1111" w:type="dxa"/>
            <w:tcBorders>
              <w:top w:val="nil"/>
              <w:left w:val="nil"/>
              <w:bottom w:val="nil"/>
              <w:right w:val="nil"/>
            </w:tcBorders>
            <w:shd w:val="clear" w:color="000000" w:fill="C9E3B4"/>
            <w:noWrap/>
            <w:vAlign w:val="center"/>
            <w:hideMark/>
          </w:tcPr>
          <w:p w14:paraId="73FE2862"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228,784 </w:t>
            </w:r>
          </w:p>
        </w:tc>
        <w:tc>
          <w:tcPr>
            <w:tcW w:w="113" w:type="dxa"/>
            <w:tcBorders>
              <w:top w:val="nil"/>
              <w:left w:val="nil"/>
              <w:bottom w:val="nil"/>
              <w:right w:val="nil"/>
            </w:tcBorders>
            <w:shd w:val="clear" w:color="auto" w:fill="auto"/>
            <w:noWrap/>
            <w:vAlign w:val="center"/>
            <w:hideMark/>
          </w:tcPr>
          <w:p w14:paraId="78601A34" w14:textId="77777777" w:rsidR="00913711" w:rsidRPr="00C80475" w:rsidRDefault="00913711" w:rsidP="00E607DA">
            <w:pPr>
              <w:jc w:val="right"/>
              <w:rPr>
                <w:rFonts w:ascii="Meta Pro" w:eastAsia="Times New Roman" w:hAnsi="Meta Pro"/>
                <w:sz w:val="16"/>
                <w:szCs w:val="16"/>
                <w:lang w:eastAsia="en-AU"/>
              </w:rPr>
            </w:pPr>
          </w:p>
        </w:tc>
        <w:tc>
          <w:tcPr>
            <w:tcW w:w="1205" w:type="dxa"/>
            <w:tcBorders>
              <w:top w:val="nil"/>
              <w:left w:val="nil"/>
              <w:bottom w:val="nil"/>
              <w:right w:val="nil"/>
            </w:tcBorders>
            <w:shd w:val="clear" w:color="000000" w:fill="C9E3B4"/>
            <w:noWrap/>
            <w:vAlign w:val="center"/>
            <w:hideMark/>
          </w:tcPr>
          <w:p w14:paraId="19DA3E98"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228,784 </w:t>
            </w:r>
          </w:p>
        </w:tc>
      </w:tr>
      <w:tr w:rsidR="00913711" w:rsidRPr="00C80475" w14:paraId="3C27EED5" w14:textId="77777777" w:rsidTr="00E607DA">
        <w:trPr>
          <w:trHeight w:val="198"/>
        </w:trPr>
        <w:tc>
          <w:tcPr>
            <w:tcW w:w="4540" w:type="dxa"/>
            <w:tcBorders>
              <w:top w:val="nil"/>
              <w:left w:val="nil"/>
              <w:bottom w:val="nil"/>
              <w:right w:val="nil"/>
            </w:tcBorders>
            <w:shd w:val="clear" w:color="auto" w:fill="auto"/>
            <w:noWrap/>
            <w:vAlign w:val="center"/>
            <w:hideMark/>
          </w:tcPr>
          <w:p w14:paraId="6BB46266" w14:textId="77777777" w:rsidR="00913711" w:rsidRPr="00C80475" w:rsidRDefault="00913711" w:rsidP="00E607DA">
            <w:pPr>
              <w:rPr>
                <w:rFonts w:ascii="Meta Pro" w:eastAsia="Times New Roman" w:hAnsi="Meta Pro"/>
                <w:sz w:val="16"/>
                <w:szCs w:val="16"/>
                <w:lang w:eastAsia="en-AU"/>
              </w:rPr>
            </w:pPr>
            <w:r w:rsidRPr="00C80475">
              <w:rPr>
                <w:rFonts w:ascii="Meta Pro" w:eastAsia="Times New Roman" w:hAnsi="Meta Pro"/>
                <w:sz w:val="16"/>
                <w:szCs w:val="16"/>
                <w:lang w:eastAsia="en-AU"/>
              </w:rPr>
              <w:t>Net revaluation increments/(decrements) **</w:t>
            </w:r>
          </w:p>
        </w:tc>
        <w:tc>
          <w:tcPr>
            <w:tcW w:w="1132" w:type="dxa"/>
            <w:tcBorders>
              <w:top w:val="nil"/>
              <w:left w:val="nil"/>
              <w:bottom w:val="nil"/>
              <w:right w:val="nil"/>
            </w:tcBorders>
            <w:shd w:val="clear" w:color="000000" w:fill="C9E3B4"/>
            <w:noWrap/>
            <w:vAlign w:val="center"/>
            <w:hideMark/>
          </w:tcPr>
          <w:p w14:paraId="022FDB05"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100,698 </w:t>
            </w:r>
          </w:p>
        </w:tc>
        <w:tc>
          <w:tcPr>
            <w:tcW w:w="113" w:type="dxa"/>
            <w:tcBorders>
              <w:top w:val="nil"/>
              <w:left w:val="nil"/>
              <w:bottom w:val="nil"/>
              <w:right w:val="nil"/>
            </w:tcBorders>
            <w:shd w:val="clear" w:color="auto" w:fill="auto"/>
            <w:noWrap/>
            <w:vAlign w:val="center"/>
            <w:hideMark/>
          </w:tcPr>
          <w:p w14:paraId="00F1FAF4" w14:textId="77777777" w:rsidR="00913711" w:rsidRPr="00C80475" w:rsidRDefault="00913711" w:rsidP="00E607DA">
            <w:pPr>
              <w:jc w:val="right"/>
              <w:rPr>
                <w:rFonts w:ascii="Meta Pro" w:eastAsia="Times New Roman" w:hAnsi="Meta Pro"/>
                <w:sz w:val="16"/>
                <w:szCs w:val="16"/>
                <w:lang w:eastAsia="en-AU"/>
              </w:rPr>
            </w:pPr>
          </w:p>
        </w:tc>
        <w:tc>
          <w:tcPr>
            <w:tcW w:w="1239" w:type="dxa"/>
            <w:tcBorders>
              <w:top w:val="nil"/>
              <w:left w:val="nil"/>
              <w:bottom w:val="nil"/>
              <w:right w:val="nil"/>
            </w:tcBorders>
            <w:shd w:val="clear" w:color="000000" w:fill="C9E3B4"/>
            <w:noWrap/>
            <w:vAlign w:val="center"/>
            <w:hideMark/>
          </w:tcPr>
          <w:p w14:paraId="5E351598"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141,198 </w:t>
            </w:r>
          </w:p>
        </w:tc>
        <w:tc>
          <w:tcPr>
            <w:tcW w:w="113" w:type="dxa"/>
            <w:tcBorders>
              <w:top w:val="nil"/>
              <w:left w:val="nil"/>
              <w:bottom w:val="nil"/>
              <w:right w:val="nil"/>
            </w:tcBorders>
            <w:shd w:val="clear" w:color="auto" w:fill="auto"/>
            <w:noWrap/>
            <w:vAlign w:val="center"/>
            <w:hideMark/>
          </w:tcPr>
          <w:p w14:paraId="358A4679" w14:textId="77777777" w:rsidR="00913711" w:rsidRPr="00C80475" w:rsidRDefault="00913711" w:rsidP="00E607DA">
            <w:pPr>
              <w:jc w:val="right"/>
              <w:rPr>
                <w:rFonts w:ascii="Meta Pro" w:eastAsia="Times New Roman" w:hAnsi="Meta Pro"/>
                <w:sz w:val="16"/>
                <w:szCs w:val="16"/>
                <w:lang w:eastAsia="en-AU"/>
              </w:rPr>
            </w:pPr>
          </w:p>
        </w:tc>
        <w:tc>
          <w:tcPr>
            <w:tcW w:w="1187" w:type="dxa"/>
            <w:tcBorders>
              <w:top w:val="nil"/>
              <w:left w:val="nil"/>
              <w:bottom w:val="nil"/>
              <w:right w:val="nil"/>
            </w:tcBorders>
            <w:shd w:val="clear" w:color="000000" w:fill="C9E3B4"/>
            <w:noWrap/>
            <w:vAlign w:val="center"/>
            <w:hideMark/>
          </w:tcPr>
          <w:p w14:paraId="14BE6A06"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557,318 </w:t>
            </w:r>
          </w:p>
        </w:tc>
        <w:tc>
          <w:tcPr>
            <w:tcW w:w="113" w:type="dxa"/>
            <w:tcBorders>
              <w:top w:val="nil"/>
              <w:left w:val="nil"/>
              <w:bottom w:val="nil"/>
              <w:right w:val="nil"/>
            </w:tcBorders>
            <w:shd w:val="clear" w:color="auto" w:fill="auto"/>
            <w:noWrap/>
            <w:vAlign w:val="center"/>
            <w:hideMark/>
          </w:tcPr>
          <w:p w14:paraId="67F62864" w14:textId="77777777" w:rsidR="00913711" w:rsidRPr="00C80475" w:rsidRDefault="00913711" w:rsidP="00E607DA">
            <w:pPr>
              <w:jc w:val="right"/>
              <w:rPr>
                <w:rFonts w:ascii="Meta Pro" w:eastAsia="Times New Roman" w:hAnsi="Meta Pro"/>
                <w:sz w:val="16"/>
                <w:szCs w:val="16"/>
                <w:lang w:eastAsia="en-AU"/>
              </w:rPr>
            </w:pPr>
          </w:p>
        </w:tc>
        <w:tc>
          <w:tcPr>
            <w:tcW w:w="1172" w:type="dxa"/>
            <w:tcBorders>
              <w:top w:val="nil"/>
              <w:left w:val="nil"/>
              <w:bottom w:val="nil"/>
              <w:right w:val="nil"/>
            </w:tcBorders>
            <w:shd w:val="clear" w:color="000000" w:fill="C9E3B4"/>
            <w:noWrap/>
            <w:vAlign w:val="center"/>
            <w:hideMark/>
          </w:tcPr>
          <w:p w14:paraId="697877B7"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454,400 </w:t>
            </w:r>
          </w:p>
        </w:tc>
        <w:tc>
          <w:tcPr>
            <w:tcW w:w="113" w:type="dxa"/>
            <w:tcBorders>
              <w:top w:val="nil"/>
              <w:left w:val="nil"/>
              <w:bottom w:val="nil"/>
              <w:right w:val="nil"/>
            </w:tcBorders>
            <w:shd w:val="clear" w:color="auto" w:fill="auto"/>
            <w:noWrap/>
            <w:vAlign w:val="center"/>
            <w:hideMark/>
          </w:tcPr>
          <w:p w14:paraId="4D959D31" w14:textId="77777777" w:rsidR="00913711" w:rsidRPr="00C80475" w:rsidRDefault="00913711" w:rsidP="00E607DA">
            <w:pPr>
              <w:jc w:val="right"/>
              <w:rPr>
                <w:rFonts w:ascii="Meta Pro" w:eastAsia="Times New Roman" w:hAnsi="Meta Pro"/>
                <w:sz w:val="16"/>
                <w:szCs w:val="16"/>
                <w:lang w:eastAsia="en-AU"/>
              </w:rPr>
            </w:pPr>
          </w:p>
        </w:tc>
        <w:tc>
          <w:tcPr>
            <w:tcW w:w="1155" w:type="dxa"/>
            <w:tcBorders>
              <w:top w:val="nil"/>
              <w:left w:val="nil"/>
              <w:bottom w:val="nil"/>
              <w:right w:val="nil"/>
            </w:tcBorders>
            <w:shd w:val="clear" w:color="000000" w:fill="C9E3B4"/>
            <w:noWrap/>
            <w:vAlign w:val="center"/>
            <w:hideMark/>
          </w:tcPr>
          <w:p w14:paraId="7FBC4859"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(287,539)</w:t>
            </w:r>
          </w:p>
        </w:tc>
        <w:tc>
          <w:tcPr>
            <w:tcW w:w="113" w:type="dxa"/>
            <w:tcBorders>
              <w:top w:val="nil"/>
              <w:left w:val="nil"/>
              <w:bottom w:val="nil"/>
              <w:right w:val="nil"/>
            </w:tcBorders>
            <w:shd w:val="clear" w:color="auto" w:fill="auto"/>
            <w:noWrap/>
            <w:vAlign w:val="center"/>
            <w:hideMark/>
          </w:tcPr>
          <w:p w14:paraId="75307F95" w14:textId="77777777" w:rsidR="00913711" w:rsidRPr="00C80475" w:rsidRDefault="00913711" w:rsidP="00E607DA">
            <w:pPr>
              <w:jc w:val="right"/>
              <w:rPr>
                <w:rFonts w:ascii="Meta Pro" w:eastAsia="Times New Roman" w:hAnsi="Meta Pro"/>
                <w:sz w:val="16"/>
                <w:szCs w:val="16"/>
                <w:lang w:eastAsia="en-AU"/>
              </w:rPr>
            </w:pPr>
          </w:p>
        </w:tc>
        <w:tc>
          <w:tcPr>
            <w:tcW w:w="1039" w:type="dxa"/>
            <w:tcBorders>
              <w:top w:val="nil"/>
              <w:left w:val="nil"/>
              <w:bottom w:val="nil"/>
              <w:right w:val="nil"/>
            </w:tcBorders>
            <w:shd w:val="clear" w:color="000000" w:fill="C9E3B4"/>
            <w:noWrap/>
            <w:vAlign w:val="center"/>
            <w:hideMark/>
          </w:tcPr>
          <w:p w14:paraId="609B5DB4"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1,456 </w:t>
            </w:r>
          </w:p>
        </w:tc>
        <w:tc>
          <w:tcPr>
            <w:tcW w:w="113" w:type="dxa"/>
            <w:tcBorders>
              <w:top w:val="nil"/>
              <w:left w:val="nil"/>
              <w:bottom w:val="nil"/>
              <w:right w:val="nil"/>
            </w:tcBorders>
            <w:shd w:val="clear" w:color="auto" w:fill="auto"/>
            <w:noWrap/>
            <w:vAlign w:val="center"/>
            <w:hideMark/>
          </w:tcPr>
          <w:p w14:paraId="4366B5DB" w14:textId="77777777" w:rsidR="00913711" w:rsidRPr="00C80475" w:rsidRDefault="00913711" w:rsidP="00E607DA">
            <w:pPr>
              <w:jc w:val="right"/>
              <w:rPr>
                <w:rFonts w:ascii="Meta Pro" w:eastAsia="Times New Roman" w:hAnsi="Meta Pro"/>
                <w:sz w:val="16"/>
                <w:szCs w:val="16"/>
                <w:lang w:eastAsia="en-AU"/>
              </w:rPr>
            </w:pPr>
          </w:p>
        </w:tc>
        <w:tc>
          <w:tcPr>
            <w:tcW w:w="1134" w:type="dxa"/>
            <w:tcBorders>
              <w:top w:val="nil"/>
              <w:left w:val="nil"/>
              <w:bottom w:val="nil"/>
              <w:right w:val="nil"/>
            </w:tcBorders>
            <w:shd w:val="clear" w:color="000000" w:fill="C9E3B4"/>
            <w:noWrap/>
            <w:vAlign w:val="center"/>
            <w:hideMark/>
          </w:tcPr>
          <w:p w14:paraId="565B68E0"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18,907 </w:t>
            </w:r>
          </w:p>
        </w:tc>
        <w:tc>
          <w:tcPr>
            <w:tcW w:w="113" w:type="dxa"/>
            <w:tcBorders>
              <w:top w:val="nil"/>
              <w:left w:val="nil"/>
              <w:bottom w:val="nil"/>
              <w:right w:val="nil"/>
            </w:tcBorders>
            <w:shd w:val="clear" w:color="auto" w:fill="auto"/>
            <w:noWrap/>
            <w:vAlign w:val="center"/>
            <w:hideMark/>
          </w:tcPr>
          <w:p w14:paraId="0BD33CCF" w14:textId="77777777" w:rsidR="00913711" w:rsidRPr="00C80475" w:rsidRDefault="00913711" w:rsidP="00E607DA">
            <w:pPr>
              <w:jc w:val="right"/>
              <w:rPr>
                <w:rFonts w:ascii="Meta Pro" w:eastAsia="Times New Roman" w:hAnsi="Meta Pro"/>
                <w:sz w:val="16"/>
                <w:szCs w:val="16"/>
                <w:lang w:eastAsia="en-AU"/>
              </w:rPr>
            </w:pPr>
          </w:p>
        </w:tc>
        <w:tc>
          <w:tcPr>
            <w:tcW w:w="1111" w:type="dxa"/>
            <w:tcBorders>
              <w:top w:val="nil"/>
              <w:left w:val="nil"/>
              <w:bottom w:val="nil"/>
              <w:right w:val="nil"/>
            </w:tcBorders>
            <w:shd w:val="clear" w:color="000000" w:fill="C9E3B4"/>
            <w:noWrap/>
            <w:vAlign w:val="center"/>
            <w:hideMark/>
          </w:tcPr>
          <w:p w14:paraId="41D08619"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77B5500F" w14:textId="77777777" w:rsidR="00913711" w:rsidRPr="00C80475" w:rsidRDefault="00913711" w:rsidP="00E607DA">
            <w:pPr>
              <w:jc w:val="right"/>
              <w:rPr>
                <w:rFonts w:ascii="Meta Pro" w:eastAsia="Times New Roman" w:hAnsi="Meta Pro"/>
                <w:sz w:val="16"/>
                <w:szCs w:val="16"/>
                <w:lang w:eastAsia="en-AU"/>
              </w:rPr>
            </w:pPr>
          </w:p>
        </w:tc>
        <w:tc>
          <w:tcPr>
            <w:tcW w:w="1205" w:type="dxa"/>
            <w:tcBorders>
              <w:top w:val="nil"/>
              <w:left w:val="nil"/>
              <w:bottom w:val="nil"/>
              <w:right w:val="nil"/>
            </w:tcBorders>
            <w:shd w:val="clear" w:color="000000" w:fill="C9E3B4"/>
            <w:noWrap/>
            <w:vAlign w:val="center"/>
            <w:hideMark/>
          </w:tcPr>
          <w:p w14:paraId="01CD4DA2"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986,438 </w:t>
            </w:r>
          </w:p>
        </w:tc>
      </w:tr>
      <w:tr w:rsidR="00913711" w:rsidRPr="00C80475" w14:paraId="79F558E7" w14:textId="77777777" w:rsidTr="00E607DA">
        <w:trPr>
          <w:trHeight w:val="198"/>
        </w:trPr>
        <w:tc>
          <w:tcPr>
            <w:tcW w:w="4540" w:type="dxa"/>
            <w:tcBorders>
              <w:top w:val="nil"/>
              <w:left w:val="nil"/>
              <w:bottom w:val="nil"/>
              <w:right w:val="nil"/>
            </w:tcBorders>
            <w:shd w:val="clear" w:color="auto" w:fill="auto"/>
            <w:vAlign w:val="center"/>
            <w:hideMark/>
          </w:tcPr>
          <w:p w14:paraId="630236F3" w14:textId="77777777" w:rsidR="00913711" w:rsidRPr="00C80475" w:rsidRDefault="00913711" w:rsidP="00E607DA">
            <w:pPr>
              <w:rPr>
                <w:rFonts w:ascii="Meta Pro" w:eastAsia="Times New Roman" w:hAnsi="Meta Pro"/>
                <w:sz w:val="16"/>
                <w:szCs w:val="16"/>
                <w:lang w:eastAsia="en-AU"/>
              </w:rPr>
            </w:pPr>
            <w:r w:rsidRPr="00C80475">
              <w:rPr>
                <w:rFonts w:ascii="Meta Pro" w:eastAsia="Times New Roman" w:hAnsi="Meta Pro"/>
                <w:sz w:val="16"/>
                <w:szCs w:val="16"/>
                <w:lang w:eastAsia="en-AU"/>
              </w:rPr>
              <w:lastRenderedPageBreak/>
              <w:t>Depreciation</w:t>
            </w:r>
          </w:p>
        </w:tc>
        <w:tc>
          <w:tcPr>
            <w:tcW w:w="1132" w:type="dxa"/>
            <w:tcBorders>
              <w:top w:val="nil"/>
              <w:left w:val="nil"/>
              <w:bottom w:val="nil"/>
              <w:right w:val="nil"/>
            </w:tcBorders>
            <w:shd w:val="clear" w:color="000000" w:fill="C9E3B4"/>
            <w:noWrap/>
            <w:vAlign w:val="center"/>
            <w:hideMark/>
          </w:tcPr>
          <w:p w14:paraId="6702E363"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(22,279)</w:t>
            </w:r>
          </w:p>
        </w:tc>
        <w:tc>
          <w:tcPr>
            <w:tcW w:w="113" w:type="dxa"/>
            <w:tcBorders>
              <w:top w:val="nil"/>
              <w:left w:val="nil"/>
              <w:bottom w:val="nil"/>
              <w:right w:val="nil"/>
            </w:tcBorders>
            <w:shd w:val="clear" w:color="auto" w:fill="auto"/>
            <w:noWrap/>
            <w:vAlign w:val="center"/>
            <w:hideMark/>
          </w:tcPr>
          <w:p w14:paraId="74DA485E" w14:textId="77777777" w:rsidR="00913711" w:rsidRPr="00C80475" w:rsidRDefault="00913711" w:rsidP="00E607DA">
            <w:pPr>
              <w:jc w:val="right"/>
              <w:rPr>
                <w:rFonts w:ascii="Meta Pro" w:eastAsia="Times New Roman" w:hAnsi="Meta Pro"/>
                <w:sz w:val="16"/>
                <w:szCs w:val="16"/>
                <w:lang w:eastAsia="en-AU"/>
              </w:rPr>
            </w:pPr>
          </w:p>
        </w:tc>
        <w:tc>
          <w:tcPr>
            <w:tcW w:w="1239" w:type="dxa"/>
            <w:tcBorders>
              <w:top w:val="nil"/>
              <w:left w:val="nil"/>
              <w:bottom w:val="nil"/>
              <w:right w:val="nil"/>
            </w:tcBorders>
            <w:shd w:val="clear" w:color="000000" w:fill="C9E3B4"/>
            <w:noWrap/>
            <w:vAlign w:val="center"/>
            <w:hideMark/>
          </w:tcPr>
          <w:p w14:paraId="75174491"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(18,632)</w:t>
            </w:r>
          </w:p>
        </w:tc>
        <w:tc>
          <w:tcPr>
            <w:tcW w:w="113" w:type="dxa"/>
            <w:tcBorders>
              <w:top w:val="nil"/>
              <w:left w:val="nil"/>
              <w:bottom w:val="nil"/>
              <w:right w:val="nil"/>
            </w:tcBorders>
            <w:shd w:val="clear" w:color="auto" w:fill="auto"/>
            <w:noWrap/>
            <w:vAlign w:val="center"/>
            <w:hideMark/>
          </w:tcPr>
          <w:p w14:paraId="18AE69C9" w14:textId="77777777" w:rsidR="00913711" w:rsidRPr="00C80475" w:rsidRDefault="00913711" w:rsidP="00E607DA">
            <w:pPr>
              <w:jc w:val="right"/>
              <w:rPr>
                <w:rFonts w:ascii="Meta Pro" w:eastAsia="Times New Roman" w:hAnsi="Meta Pro"/>
                <w:sz w:val="16"/>
                <w:szCs w:val="16"/>
                <w:lang w:eastAsia="en-AU"/>
              </w:rPr>
            </w:pPr>
          </w:p>
        </w:tc>
        <w:tc>
          <w:tcPr>
            <w:tcW w:w="1187" w:type="dxa"/>
            <w:tcBorders>
              <w:top w:val="nil"/>
              <w:left w:val="nil"/>
              <w:bottom w:val="nil"/>
              <w:right w:val="nil"/>
            </w:tcBorders>
            <w:shd w:val="clear" w:color="000000" w:fill="C9E3B4"/>
            <w:noWrap/>
            <w:vAlign w:val="center"/>
            <w:hideMark/>
          </w:tcPr>
          <w:p w14:paraId="761D0847"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(85,212)</w:t>
            </w:r>
          </w:p>
        </w:tc>
        <w:tc>
          <w:tcPr>
            <w:tcW w:w="113" w:type="dxa"/>
            <w:tcBorders>
              <w:top w:val="nil"/>
              <w:left w:val="nil"/>
              <w:bottom w:val="nil"/>
              <w:right w:val="nil"/>
            </w:tcBorders>
            <w:shd w:val="clear" w:color="auto" w:fill="auto"/>
            <w:noWrap/>
            <w:vAlign w:val="center"/>
            <w:hideMark/>
          </w:tcPr>
          <w:p w14:paraId="52D377D7" w14:textId="77777777" w:rsidR="00913711" w:rsidRPr="00C80475" w:rsidRDefault="00913711" w:rsidP="00E607DA">
            <w:pPr>
              <w:jc w:val="right"/>
              <w:rPr>
                <w:rFonts w:ascii="Meta Pro" w:eastAsia="Times New Roman" w:hAnsi="Meta Pro"/>
                <w:sz w:val="16"/>
                <w:szCs w:val="16"/>
                <w:lang w:eastAsia="en-AU"/>
              </w:rPr>
            </w:pPr>
          </w:p>
        </w:tc>
        <w:tc>
          <w:tcPr>
            <w:tcW w:w="1172" w:type="dxa"/>
            <w:tcBorders>
              <w:top w:val="nil"/>
              <w:left w:val="nil"/>
              <w:bottom w:val="nil"/>
              <w:right w:val="nil"/>
            </w:tcBorders>
            <w:shd w:val="clear" w:color="000000" w:fill="C9E3B4"/>
            <w:noWrap/>
            <w:vAlign w:val="center"/>
            <w:hideMark/>
          </w:tcPr>
          <w:p w14:paraId="15A94A40"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(27,305)</w:t>
            </w:r>
          </w:p>
        </w:tc>
        <w:tc>
          <w:tcPr>
            <w:tcW w:w="113" w:type="dxa"/>
            <w:tcBorders>
              <w:top w:val="nil"/>
              <w:left w:val="nil"/>
              <w:bottom w:val="nil"/>
              <w:right w:val="nil"/>
            </w:tcBorders>
            <w:shd w:val="clear" w:color="auto" w:fill="auto"/>
            <w:noWrap/>
            <w:vAlign w:val="center"/>
            <w:hideMark/>
          </w:tcPr>
          <w:p w14:paraId="1A92363F" w14:textId="77777777" w:rsidR="00913711" w:rsidRPr="00C80475" w:rsidRDefault="00913711" w:rsidP="00E607DA">
            <w:pPr>
              <w:jc w:val="right"/>
              <w:rPr>
                <w:rFonts w:ascii="Meta Pro" w:eastAsia="Times New Roman" w:hAnsi="Meta Pro"/>
                <w:sz w:val="16"/>
                <w:szCs w:val="16"/>
                <w:lang w:eastAsia="en-AU"/>
              </w:rPr>
            </w:pPr>
          </w:p>
        </w:tc>
        <w:tc>
          <w:tcPr>
            <w:tcW w:w="1155" w:type="dxa"/>
            <w:tcBorders>
              <w:top w:val="nil"/>
              <w:left w:val="nil"/>
              <w:bottom w:val="nil"/>
              <w:right w:val="nil"/>
            </w:tcBorders>
            <w:shd w:val="clear" w:color="000000" w:fill="C9E3B4"/>
            <w:noWrap/>
            <w:vAlign w:val="center"/>
            <w:hideMark/>
          </w:tcPr>
          <w:p w14:paraId="7637BCD1"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(14,911)</w:t>
            </w:r>
          </w:p>
        </w:tc>
        <w:tc>
          <w:tcPr>
            <w:tcW w:w="113" w:type="dxa"/>
            <w:tcBorders>
              <w:top w:val="nil"/>
              <w:left w:val="nil"/>
              <w:bottom w:val="nil"/>
              <w:right w:val="nil"/>
            </w:tcBorders>
            <w:shd w:val="clear" w:color="auto" w:fill="auto"/>
            <w:noWrap/>
            <w:vAlign w:val="center"/>
            <w:hideMark/>
          </w:tcPr>
          <w:p w14:paraId="53538507" w14:textId="77777777" w:rsidR="00913711" w:rsidRPr="00C80475" w:rsidRDefault="00913711" w:rsidP="00E607DA">
            <w:pPr>
              <w:jc w:val="right"/>
              <w:rPr>
                <w:rFonts w:ascii="Meta Pro" w:eastAsia="Times New Roman" w:hAnsi="Meta Pro"/>
                <w:sz w:val="16"/>
                <w:szCs w:val="16"/>
                <w:lang w:eastAsia="en-AU"/>
              </w:rPr>
            </w:pPr>
          </w:p>
        </w:tc>
        <w:tc>
          <w:tcPr>
            <w:tcW w:w="1039" w:type="dxa"/>
            <w:tcBorders>
              <w:top w:val="nil"/>
              <w:left w:val="nil"/>
              <w:bottom w:val="nil"/>
              <w:right w:val="nil"/>
            </w:tcBorders>
            <w:shd w:val="clear" w:color="000000" w:fill="C9E3B4"/>
            <w:noWrap/>
            <w:vAlign w:val="center"/>
            <w:hideMark/>
          </w:tcPr>
          <w:p w14:paraId="462334FC"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(509)</w:t>
            </w:r>
          </w:p>
        </w:tc>
        <w:tc>
          <w:tcPr>
            <w:tcW w:w="113" w:type="dxa"/>
            <w:tcBorders>
              <w:top w:val="nil"/>
              <w:left w:val="nil"/>
              <w:bottom w:val="nil"/>
              <w:right w:val="nil"/>
            </w:tcBorders>
            <w:shd w:val="clear" w:color="auto" w:fill="auto"/>
            <w:noWrap/>
            <w:vAlign w:val="center"/>
            <w:hideMark/>
          </w:tcPr>
          <w:p w14:paraId="4FB48069" w14:textId="77777777" w:rsidR="00913711" w:rsidRPr="00C80475" w:rsidRDefault="00913711" w:rsidP="00E607DA">
            <w:pPr>
              <w:jc w:val="right"/>
              <w:rPr>
                <w:rFonts w:ascii="Meta Pro" w:eastAsia="Times New Roman" w:hAnsi="Meta Pro"/>
                <w:sz w:val="16"/>
                <w:szCs w:val="16"/>
                <w:lang w:eastAsia="en-AU"/>
              </w:rPr>
            </w:pPr>
          </w:p>
        </w:tc>
        <w:tc>
          <w:tcPr>
            <w:tcW w:w="1134" w:type="dxa"/>
            <w:tcBorders>
              <w:top w:val="nil"/>
              <w:left w:val="nil"/>
              <w:bottom w:val="nil"/>
              <w:right w:val="nil"/>
            </w:tcBorders>
            <w:shd w:val="clear" w:color="000000" w:fill="C9E3B4"/>
            <w:noWrap/>
            <w:vAlign w:val="center"/>
            <w:hideMark/>
          </w:tcPr>
          <w:p w14:paraId="5AAF2651"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(5,881)</w:t>
            </w:r>
          </w:p>
        </w:tc>
        <w:tc>
          <w:tcPr>
            <w:tcW w:w="113" w:type="dxa"/>
            <w:tcBorders>
              <w:top w:val="nil"/>
              <w:left w:val="nil"/>
              <w:bottom w:val="nil"/>
              <w:right w:val="nil"/>
            </w:tcBorders>
            <w:shd w:val="clear" w:color="auto" w:fill="auto"/>
            <w:noWrap/>
            <w:vAlign w:val="center"/>
            <w:hideMark/>
          </w:tcPr>
          <w:p w14:paraId="0C5DDA07" w14:textId="77777777" w:rsidR="00913711" w:rsidRPr="00C80475" w:rsidRDefault="00913711" w:rsidP="00E607DA">
            <w:pPr>
              <w:jc w:val="right"/>
              <w:rPr>
                <w:rFonts w:ascii="Meta Pro" w:eastAsia="Times New Roman" w:hAnsi="Meta Pro"/>
                <w:sz w:val="16"/>
                <w:szCs w:val="16"/>
                <w:lang w:eastAsia="en-AU"/>
              </w:rPr>
            </w:pPr>
          </w:p>
        </w:tc>
        <w:tc>
          <w:tcPr>
            <w:tcW w:w="1111" w:type="dxa"/>
            <w:tcBorders>
              <w:top w:val="nil"/>
              <w:left w:val="nil"/>
              <w:bottom w:val="nil"/>
              <w:right w:val="nil"/>
            </w:tcBorders>
            <w:shd w:val="clear" w:color="000000" w:fill="C9E3B4"/>
            <w:noWrap/>
            <w:vAlign w:val="center"/>
            <w:hideMark/>
          </w:tcPr>
          <w:p w14:paraId="078207E7"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2275D5BA" w14:textId="77777777" w:rsidR="00913711" w:rsidRPr="00C80475" w:rsidRDefault="00913711" w:rsidP="00E607DA">
            <w:pPr>
              <w:jc w:val="right"/>
              <w:rPr>
                <w:rFonts w:ascii="Meta Pro" w:eastAsia="Times New Roman" w:hAnsi="Meta Pro"/>
                <w:sz w:val="16"/>
                <w:szCs w:val="16"/>
                <w:lang w:eastAsia="en-AU"/>
              </w:rPr>
            </w:pPr>
          </w:p>
        </w:tc>
        <w:tc>
          <w:tcPr>
            <w:tcW w:w="1205" w:type="dxa"/>
            <w:tcBorders>
              <w:top w:val="nil"/>
              <w:left w:val="nil"/>
              <w:bottom w:val="nil"/>
              <w:right w:val="nil"/>
            </w:tcBorders>
            <w:shd w:val="clear" w:color="000000" w:fill="C9E3B4"/>
            <w:noWrap/>
            <w:vAlign w:val="center"/>
            <w:hideMark/>
          </w:tcPr>
          <w:p w14:paraId="1D950BE0"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(174,729)</w:t>
            </w:r>
          </w:p>
        </w:tc>
      </w:tr>
      <w:tr w:rsidR="00913711" w:rsidRPr="00C80475" w14:paraId="463D3527" w14:textId="77777777" w:rsidTr="00E607DA">
        <w:trPr>
          <w:trHeight w:val="198"/>
        </w:trPr>
        <w:tc>
          <w:tcPr>
            <w:tcW w:w="4540" w:type="dxa"/>
            <w:tcBorders>
              <w:top w:val="single" w:sz="4" w:space="0" w:color="auto"/>
              <w:left w:val="nil"/>
              <w:bottom w:val="double" w:sz="6" w:space="0" w:color="auto"/>
              <w:right w:val="nil"/>
            </w:tcBorders>
            <w:shd w:val="clear" w:color="auto" w:fill="auto"/>
            <w:noWrap/>
            <w:vAlign w:val="center"/>
            <w:hideMark/>
          </w:tcPr>
          <w:p w14:paraId="54608F87" w14:textId="77777777" w:rsidR="00913711" w:rsidRPr="00C80475" w:rsidRDefault="00913711" w:rsidP="00E607DA">
            <w:pPr>
              <w:rPr>
                <w:rFonts w:ascii="Meta Pro" w:eastAsia="Times New Roman" w:hAnsi="Meta Pro"/>
                <w:b/>
                <w:bCs/>
                <w:sz w:val="16"/>
                <w:szCs w:val="16"/>
                <w:lang w:eastAsia="en-AU"/>
              </w:rPr>
            </w:pPr>
            <w:r w:rsidRPr="00C80475">
              <w:rPr>
                <w:rFonts w:ascii="Meta Pro" w:eastAsia="Times New Roman" w:hAnsi="Meta Pro"/>
                <w:b/>
                <w:bCs/>
                <w:sz w:val="16"/>
                <w:szCs w:val="16"/>
                <w:lang w:eastAsia="en-AU"/>
              </w:rPr>
              <w:t>Carrying amount at 30 June</w:t>
            </w:r>
          </w:p>
        </w:tc>
        <w:tc>
          <w:tcPr>
            <w:tcW w:w="1132" w:type="dxa"/>
            <w:tcBorders>
              <w:top w:val="single" w:sz="4" w:space="0" w:color="auto"/>
              <w:left w:val="nil"/>
              <w:bottom w:val="double" w:sz="6" w:space="0" w:color="auto"/>
              <w:right w:val="nil"/>
            </w:tcBorders>
            <w:shd w:val="clear" w:color="000000" w:fill="C9E3B4"/>
            <w:noWrap/>
            <w:vAlign w:val="center"/>
            <w:hideMark/>
          </w:tcPr>
          <w:p w14:paraId="176F0064"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729,019 </w:t>
            </w:r>
          </w:p>
        </w:tc>
        <w:tc>
          <w:tcPr>
            <w:tcW w:w="113" w:type="dxa"/>
            <w:tcBorders>
              <w:top w:val="nil"/>
              <w:left w:val="nil"/>
              <w:bottom w:val="nil"/>
              <w:right w:val="nil"/>
            </w:tcBorders>
            <w:shd w:val="clear" w:color="auto" w:fill="auto"/>
            <w:noWrap/>
            <w:vAlign w:val="center"/>
            <w:hideMark/>
          </w:tcPr>
          <w:p w14:paraId="186EC7B5" w14:textId="77777777" w:rsidR="00913711" w:rsidRPr="00C80475" w:rsidRDefault="00913711" w:rsidP="00E607DA">
            <w:pPr>
              <w:jc w:val="right"/>
              <w:rPr>
                <w:rFonts w:ascii="Meta Pro" w:eastAsia="Times New Roman" w:hAnsi="Meta Pro"/>
                <w:b/>
                <w:bCs/>
                <w:sz w:val="16"/>
                <w:szCs w:val="16"/>
                <w:lang w:eastAsia="en-AU"/>
              </w:rPr>
            </w:pPr>
          </w:p>
        </w:tc>
        <w:tc>
          <w:tcPr>
            <w:tcW w:w="1239" w:type="dxa"/>
            <w:tcBorders>
              <w:top w:val="single" w:sz="4" w:space="0" w:color="auto"/>
              <w:left w:val="nil"/>
              <w:bottom w:val="double" w:sz="6" w:space="0" w:color="auto"/>
              <w:right w:val="nil"/>
            </w:tcBorders>
            <w:shd w:val="clear" w:color="000000" w:fill="C9E3B4"/>
            <w:noWrap/>
            <w:vAlign w:val="center"/>
            <w:hideMark/>
          </w:tcPr>
          <w:p w14:paraId="6CF03A40"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1,436,529 </w:t>
            </w:r>
          </w:p>
        </w:tc>
        <w:tc>
          <w:tcPr>
            <w:tcW w:w="113" w:type="dxa"/>
            <w:tcBorders>
              <w:top w:val="nil"/>
              <w:left w:val="nil"/>
              <w:bottom w:val="nil"/>
              <w:right w:val="nil"/>
            </w:tcBorders>
            <w:shd w:val="clear" w:color="auto" w:fill="auto"/>
            <w:noWrap/>
            <w:vAlign w:val="center"/>
            <w:hideMark/>
          </w:tcPr>
          <w:p w14:paraId="56F79EBD" w14:textId="77777777" w:rsidR="00913711" w:rsidRPr="00C80475" w:rsidRDefault="00913711" w:rsidP="00E607DA">
            <w:pPr>
              <w:jc w:val="right"/>
              <w:rPr>
                <w:rFonts w:ascii="Meta Pro" w:eastAsia="Times New Roman" w:hAnsi="Meta Pro"/>
                <w:b/>
                <w:bCs/>
                <w:sz w:val="16"/>
                <w:szCs w:val="16"/>
                <w:lang w:eastAsia="en-AU"/>
              </w:rPr>
            </w:pPr>
          </w:p>
        </w:tc>
        <w:tc>
          <w:tcPr>
            <w:tcW w:w="1187" w:type="dxa"/>
            <w:tcBorders>
              <w:top w:val="single" w:sz="4" w:space="0" w:color="auto"/>
              <w:left w:val="nil"/>
              <w:bottom w:val="double" w:sz="6" w:space="0" w:color="auto"/>
              <w:right w:val="nil"/>
            </w:tcBorders>
            <w:shd w:val="clear" w:color="000000" w:fill="C9E3B4"/>
            <w:noWrap/>
            <w:vAlign w:val="center"/>
            <w:hideMark/>
          </w:tcPr>
          <w:p w14:paraId="74918B4E"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5,806,788 </w:t>
            </w:r>
          </w:p>
        </w:tc>
        <w:tc>
          <w:tcPr>
            <w:tcW w:w="113" w:type="dxa"/>
            <w:tcBorders>
              <w:top w:val="nil"/>
              <w:left w:val="nil"/>
              <w:bottom w:val="nil"/>
              <w:right w:val="nil"/>
            </w:tcBorders>
            <w:shd w:val="clear" w:color="auto" w:fill="auto"/>
            <w:noWrap/>
            <w:vAlign w:val="center"/>
            <w:hideMark/>
          </w:tcPr>
          <w:p w14:paraId="0E9A1697" w14:textId="77777777" w:rsidR="00913711" w:rsidRPr="00C80475" w:rsidRDefault="00913711" w:rsidP="00E607DA">
            <w:pPr>
              <w:jc w:val="right"/>
              <w:rPr>
                <w:rFonts w:ascii="Meta Pro" w:eastAsia="Times New Roman" w:hAnsi="Meta Pro"/>
                <w:b/>
                <w:bCs/>
                <w:sz w:val="16"/>
                <w:szCs w:val="16"/>
                <w:lang w:eastAsia="en-AU"/>
              </w:rPr>
            </w:pPr>
          </w:p>
        </w:tc>
        <w:tc>
          <w:tcPr>
            <w:tcW w:w="1172" w:type="dxa"/>
            <w:tcBorders>
              <w:top w:val="single" w:sz="4" w:space="0" w:color="auto"/>
              <w:left w:val="nil"/>
              <w:bottom w:val="double" w:sz="6" w:space="0" w:color="auto"/>
              <w:right w:val="nil"/>
            </w:tcBorders>
            <w:shd w:val="clear" w:color="000000" w:fill="C9E3B4"/>
            <w:noWrap/>
            <w:vAlign w:val="center"/>
            <w:hideMark/>
          </w:tcPr>
          <w:p w14:paraId="48615E05"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2,866,453 </w:t>
            </w:r>
          </w:p>
        </w:tc>
        <w:tc>
          <w:tcPr>
            <w:tcW w:w="113" w:type="dxa"/>
            <w:tcBorders>
              <w:top w:val="nil"/>
              <w:left w:val="nil"/>
              <w:bottom w:val="nil"/>
              <w:right w:val="nil"/>
            </w:tcBorders>
            <w:shd w:val="clear" w:color="auto" w:fill="auto"/>
            <w:noWrap/>
            <w:vAlign w:val="center"/>
            <w:hideMark/>
          </w:tcPr>
          <w:p w14:paraId="5A60C460" w14:textId="77777777" w:rsidR="00913711" w:rsidRPr="00C80475" w:rsidRDefault="00913711" w:rsidP="00E607DA">
            <w:pPr>
              <w:jc w:val="right"/>
              <w:rPr>
                <w:rFonts w:ascii="Meta Pro" w:eastAsia="Times New Roman" w:hAnsi="Meta Pro"/>
                <w:b/>
                <w:bCs/>
                <w:sz w:val="16"/>
                <w:szCs w:val="16"/>
                <w:lang w:eastAsia="en-AU"/>
              </w:rPr>
            </w:pPr>
          </w:p>
        </w:tc>
        <w:tc>
          <w:tcPr>
            <w:tcW w:w="1155" w:type="dxa"/>
            <w:tcBorders>
              <w:top w:val="single" w:sz="4" w:space="0" w:color="auto"/>
              <w:left w:val="nil"/>
              <w:bottom w:val="double" w:sz="6" w:space="0" w:color="auto"/>
              <w:right w:val="nil"/>
            </w:tcBorders>
            <w:shd w:val="clear" w:color="000000" w:fill="C9E3B4"/>
            <w:noWrap/>
            <w:vAlign w:val="center"/>
            <w:hideMark/>
          </w:tcPr>
          <w:p w14:paraId="4D5A798E"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1,472,727 </w:t>
            </w:r>
          </w:p>
        </w:tc>
        <w:tc>
          <w:tcPr>
            <w:tcW w:w="113" w:type="dxa"/>
            <w:tcBorders>
              <w:top w:val="nil"/>
              <w:left w:val="nil"/>
              <w:bottom w:val="nil"/>
              <w:right w:val="nil"/>
            </w:tcBorders>
            <w:shd w:val="clear" w:color="auto" w:fill="auto"/>
            <w:noWrap/>
            <w:vAlign w:val="center"/>
            <w:hideMark/>
          </w:tcPr>
          <w:p w14:paraId="22F61EE5" w14:textId="77777777" w:rsidR="00913711" w:rsidRPr="00C80475" w:rsidRDefault="00913711" w:rsidP="00E607DA">
            <w:pPr>
              <w:jc w:val="right"/>
              <w:rPr>
                <w:rFonts w:ascii="Meta Pro" w:eastAsia="Times New Roman" w:hAnsi="Meta Pro"/>
                <w:b/>
                <w:bCs/>
                <w:sz w:val="16"/>
                <w:szCs w:val="16"/>
                <w:lang w:eastAsia="en-AU"/>
              </w:rPr>
            </w:pPr>
          </w:p>
        </w:tc>
        <w:tc>
          <w:tcPr>
            <w:tcW w:w="1039" w:type="dxa"/>
            <w:tcBorders>
              <w:top w:val="single" w:sz="4" w:space="0" w:color="auto"/>
              <w:left w:val="nil"/>
              <w:bottom w:val="double" w:sz="6" w:space="0" w:color="auto"/>
              <w:right w:val="nil"/>
            </w:tcBorders>
            <w:shd w:val="clear" w:color="000000" w:fill="C9E3B4"/>
            <w:noWrap/>
            <w:vAlign w:val="center"/>
            <w:hideMark/>
          </w:tcPr>
          <w:p w14:paraId="570BF6A8"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46,569 </w:t>
            </w:r>
          </w:p>
        </w:tc>
        <w:tc>
          <w:tcPr>
            <w:tcW w:w="113" w:type="dxa"/>
            <w:tcBorders>
              <w:top w:val="nil"/>
              <w:left w:val="nil"/>
              <w:bottom w:val="nil"/>
              <w:right w:val="nil"/>
            </w:tcBorders>
            <w:shd w:val="clear" w:color="auto" w:fill="auto"/>
            <w:noWrap/>
            <w:vAlign w:val="center"/>
            <w:hideMark/>
          </w:tcPr>
          <w:p w14:paraId="01025F1B" w14:textId="77777777" w:rsidR="00913711" w:rsidRPr="00C80475" w:rsidRDefault="00913711" w:rsidP="00E607DA">
            <w:pPr>
              <w:jc w:val="right"/>
              <w:rPr>
                <w:rFonts w:ascii="Meta Pro" w:eastAsia="Times New Roman" w:hAnsi="Meta Pro"/>
                <w:b/>
                <w:bCs/>
                <w:sz w:val="16"/>
                <w:szCs w:val="16"/>
                <w:lang w:eastAsia="en-AU"/>
              </w:rPr>
            </w:pPr>
          </w:p>
        </w:tc>
        <w:tc>
          <w:tcPr>
            <w:tcW w:w="1134" w:type="dxa"/>
            <w:tcBorders>
              <w:top w:val="single" w:sz="4" w:space="0" w:color="auto"/>
              <w:left w:val="nil"/>
              <w:bottom w:val="double" w:sz="6" w:space="0" w:color="auto"/>
              <w:right w:val="nil"/>
            </w:tcBorders>
            <w:shd w:val="clear" w:color="000000" w:fill="C9E3B4"/>
            <w:noWrap/>
            <w:vAlign w:val="center"/>
            <w:hideMark/>
          </w:tcPr>
          <w:p w14:paraId="53073AA4"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330,583 </w:t>
            </w:r>
          </w:p>
        </w:tc>
        <w:tc>
          <w:tcPr>
            <w:tcW w:w="113" w:type="dxa"/>
            <w:tcBorders>
              <w:top w:val="nil"/>
              <w:left w:val="nil"/>
              <w:bottom w:val="nil"/>
              <w:right w:val="nil"/>
            </w:tcBorders>
            <w:shd w:val="clear" w:color="auto" w:fill="auto"/>
            <w:noWrap/>
            <w:vAlign w:val="center"/>
            <w:hideMark/>
          </w:tcPr>
          <w:p w14:paraId="57618962" w14:textId="77777777" w:rsidR="00913711" w:rsidRPr="00C80475" w:rsidRDefault="00913711" w:rsidP="00E607DA">
            <w:pPr>
              <w:jc w:val="right"/>
              <w:rPr>
                <w:rFonts w:ascii="Meta Pro" w:eastAsia="Times New Roman" w:hAnsi="Meta Pro"/>
                <w:b/>
                <w:bCs/>
                <w:sz w:val="16"/>
                <w:szCs w:val="16"/>
                <w:lang w:eastAsia="en-AU"/>
              </w:rPr>
            </w:pPr>
          </w:p>
        </w:tc>
        <w:tc>
          <w:tcPr>
            <w:tcW w:w="1111" w:type="dxa"/>
            <w:tcBorders>
              <w:top w:val="single" w:sz="4" w:space="0" w:color="auto"/>
              <w:left w:val="nil"/>
              <w:bottom w:val="double" w:sz="6" w:space="0" w:color="auto"/>
              <w:right w:val="nil"/>
            </w:tcBorders>
            <w:shd w:val="clear" w:color="000000" w:fill="C9E3B4"/>
            <w:noWrap/>
            <w:vAlign w:val="center"/>
            <w:hideMark/>
          </w:tcPr>
          <w:p w14:paraId="53E057CE"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228,784 </w:t>
            </w:r>
          </w:p>
        </w:tc>
        <w:tc>
          <w:tcPr>
            <w:tcW w:w="113" w:type="dxa"/>
            <w:tcBorders>
              <w:top w:val="nil"/>
              <w:left w:val="nil"/>
              <w:bottom w:val="nil"/>
              <w:right w:val="nil"/>
            </w:tcBorders>
            <w:shd w:val="clear" w:color="auto" w:fill="auto"/>
            <w:noWrap/>
            <w:vAlign w:val="center"/>
            <w:hideMark/>
          </w:tcPr>
          <w:p w14:paraId="6095668E" w14:textId="77777777" w:rsidR="00913711" w:rsidRPr="00C80475" w:rsidRDefault="00913711" w:rsidP="00E607DA">
            <w:pPr>
              <w:jc w:val="right"/>
              <w:rPr>
                <w:rFonts w:ascii="Meta Pro" w:eastAsia="Times New Roman" w:hAnsi="Meta Pro"/>
                <w:b/>
                <w:bCs/>
                <w:sz w:val="16"/>
                <w:szCs w:val="16"/>
                <w:lang w:eastAsia="en-AU"/>
              </w:rPr>
            </w:pPr>
          </w:p>
        </w:tc>
        <w:tc>
          <w:tcPr>
            <w:tcW w:w="1205" w:type="dxa"/>
            <w:tcBorders>
              <w:top w:val="single" w:sz="4" w:space="0" w:color="auto"/>
              <w:left w:val="nil"/>
              <w:bottom w:val="double" w:sz="6" w:space="0" w:color="auto"/>
              <w:right w:val="nil"/>
            </w:tcBorders>
            <w:shd w:val="clear" w:color="000000" w:fill="C9E3B4"/>
            <w:noWrap/>
            <w:vAlign w:val="center"/>
            <w:hideMark/>
          </w:tcPr>
          <w:p w14:paraId="5E8C44EE"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12,917,452 </w:t>
            </w:r>
          </w:p>
        </w:tc>
      </w:tr>
      <w:tr w:rsidR="00913711" w:rsidRPr="00C80475" w14:paraId="05CC98D4" w14:textId="77777777" w:rsidTr="00E607DA">
        <w:trPr>
          <w:trHeight w:val="198"/>
        </w:trPr>
        <w:tc>
          <w:tcPr>
            <w:tcW w:w="4540" w:type="dxa"/>
            <w:tcBorders>
              <w:top w:val="nil"/>
              <w:left w:val="nil"/>
              <w:bottom w:val="nil"/>
              <w:right w:val="nil"/>
            </w:tcBorders>
            <w:shd w:val="clear" w:color="auto" w:fill="auto"/>
            <w:noWrap/>
            <w:vAlign w:val="center"/>
            <w:hideMark/>
          </w:tcPr>
          <w:p w14:paraId="352CF914" w14:textId="77777777" w:rsidR="00913711" w:rsidRPr="00C80475" w:rsidRDefault="00913711" w:rsidP="00E607DA">
            <w:pPr>
              <w:jc w:val="right"/>
              <w:rPr>
                <w:rFonts w:ascii="Meta Pro" w:eastAsia="Times New Roman" w:hAnsi="Meta Pro"/>
                <w:b/>
                <w:bCs/>
                <w:sz w:val="16"/>
                <w:szCs w:val="16"/>
                <w:lang w:eastAsia="en-AU"/>
              </w:rPr>
            </w:pPr>
          </w:p>
        </w:tc>
        <w:tc>
          <w:tcPr>
            <w:tcW w:w="1132" w:type="dxa"/>
            <w:tcBorders>
              <w:top w:val="nil"/>
              <w:left w:val="nil"/>
              <w:bottom w:val="nil"/>
              <w:right w:val="nil"/>
            </w:tcBorders>
            <w:shd w:val="clear" w:color="auto" w:fill="auto"/>
            <w:noWrap/>
            <w:vAlign w:val="center"/>
            <w:hideMark/>
          </w:tcPr>
          <w:p w14:paraId="195C3AED"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024D5498" w14:textId="77777777" w:rsidR="00913711" w:rsidRPr="00C80475" w:rsidRDefault="00913711" w:rsidP="00E607DA">
            <w:pPr>
              <w:rPr>
                <w:rFonts w:ascii="Meta Pro" w:eastAsia="Times New Roman" w:hAnsi="Meta Pro" w:cs="Times New Roman"/>
                <w:sz w:val="20"/>
                <w:szCs w:val="20"/>
                <w:lang w:eastAsia="en-AU"/>
              </w:rPr>
            </w:pPr>
          </w:p>
        </w:tc>
        <w:tc>
          <w:tcPr>
            <w:tcW w:w="1239" w:type="dxa"/>
            <w:tcBorders>
              <w:top w:val="nil"/>
              <w:left w:val="nil"/>
              <w:bottom w:val="nil"/>
              <w:right w:val="nil"/>
            </w:tcBorders>
            <w:shd w:val="clear" w:color="auto" w:fill="auto"/>
            <w:noWrap/>
            <w:vAlign w:val="center"/>
            <w:hideMark/>
          </w:tcPr>
          <w:p w14:paraId="6BB2EB10"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49F0A639" w14:textId="77777777" w:rsidR="00913711" w:rsidRPr="00C80475" w:rsidRDefault="00913711" w:rsidP="00E607DA">
            <w:pPr>
              <w:rPr>
                <w:rFonts w:ascii="Meta Pro" w:eastAsia="Times New Roman" w:hAnsi="Meta Pro" w:cs="Times New Roman"/>
                <w:sz w:val="20"/>
                <w:szCs w:val="20"/>
                <w:lang w:eastAsia="en-AU"/>
              </w:rPr>
            </w:pPr>
          </w:p>
        </w:tc>
        <w:tc>
          <w:tcPr>
            <w:tcW w:w="1187" w:type="dxa"/>
            <w:tcBorders>
              <w:top w:val="nil"/>
              <w:left w:val="nil"/>
              <w:bottom w:val="nil"/>
              <w:right w:val="nil"/>
            </w:tcBorders>
            <w:shd w:val="clear" w:color="auto" w:fill="auto"/>
            <w:noWrap/>
            <w:vAlign w:val="center"/>
            <w:hideMark/>
          </w:tcPr>
          <w:p w14:paraId="3025A85B"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2FB8881F" w14:textId="77777777" w:rsidR="00913711" w:rsidRPr="00C80475" w:rsidRDefault="00913711" w:rsidP="00E607DA">
            <w:pPr>
              <w:rPr>
                <w:rFonts w:ascii="Meta Pro" w:eastAsia="Times New Roman" w:hAnsi="Meta Pro" w:cs="Times New Roman"/>
                <w:sz w:val="20"/>
                <w:szCs w:val="20"/>
                <w:lang w:eastAsia="en-AU"/>
              </w:rPr>
            </w:pPr>
          </w:p>
        </w:tc>
        <w:tc>
          <w:tcPr>
            <w:tcW w:w="1172" w:type="dxa"/>
            <w:tcBorders>
              <w:top w:val="nil"/>
              <w:left w:val="nil"/>
              <w:bottom w:val="nil"/>
              <w:right w:val="nil"/>
            </w:tcBorders>
            <w:shd w:val="clear" w:color="auto" w:fill="auto"/>
            <w:noWrap/>
            <w:vAlign w:val="center"/>
            <w:hideMark/>
          </w:tcPr>
          <w:p w14:paraId="554AD7AA"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33407CC2" w14:textId="77777777" w:rsidR="00913711" w:rsidRPr="00C80475" w:rsidRDefault="00913711" w:rsidP="00E607DA">
            <w:pPr>
              <w:rPr>
                <w:rFonts w:ascii="Meta Pro" w:eastAsia="Times New Roman" w:hAnsi="Meta Pro" w:cs="Times New Roman"/>
                <w:sz w:val="20"/>
                <w:szCs w:val="20"/>
                <w:lang w:eastAsia="en-AU"/>
              </w:rPr>
            </w:pPr>
          </w:p>
        </w:tc>
        <w:tc>
          <w:tcPr>
            <w:tcW w:w="1155" w:type="dxa"/>
            <w:tcBorders>
              <w:top w:val="nil"/>
              <w:left w:val="nil"/>
              <w:bottom w:val="nil"/>
              <w:right w:val="nil"/>
            </w:tcBorders>
            <w:shd w:val="clear" w:color="auto" w:fill="auto"/>
            <w:noWrap/>
            <w:vAlign w:val="center"/>
            <w:hideMark/>
          </w:tcPr>
          <w:p w14:paraId="4BFEFCD0"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10358557" w14:textId="77777777" w:rsidR="00913711" w:rsidRPr="00C80475" w:rsidRDefault="00913711" w:rsidP="00E607DA">
            <w:pPr>
              <w:rPr>
                <w:rFonts w:ascii="Meta Pro" w:eastAsia="Times New Roman" w:hAnsi="Meta Pro" w:cs="Times New Roman"/>
                <w:sz w:val="20"/>
                <w:szCs w:val="20"/>
                <w:lang w:eastAsia="en-AU"/>
              </w:rPr>
            </w:pPr>
          </w:p>
        </w:tc>
        <w:tc>
          <w:tcPr>
            <w:tcW w:w="1039" w:type="dxa"/>
            <w:tcBorders>
              <w:top w:val="nil"/>
              <w:left w:val="nil"/>
              <w:bottom w:val="nil"/>
              <w:right w:val="nil"/>
            </w:tcBorders>
            <w:shd w:val="clear" w:color="auto" w:fill="auto"/>
            <w:noWrap/>
            <w:vAlign w:val="center"/>
            <w:hideMark/>
          </w:tcPr>
          <w:p w14:paraId="704922E9"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40CD2959" w14:textId="77777777" w:rsidR="00913711" w:rsidRPr="00C80475" w:rsidRDefault="00913711" w:rsidP="00E607DA">
            <w:pP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19B819F8"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46C90261" w14:textId="77777777" w:rsidR="00913711" w:rsidRPr="00C80475" w:rsidRDefault="00913711" w:rsidP="00E607DA">
            <w:pPr>
              <w:rPr>
                <w:rFonts w:ascii="Meta Pro" w:eastAsia="Times New Roman" w:hAnsi="Meta Pro" w:cs="Times New Roman"/>
                <w:sz w:val="20"/>
                <w:szCs w:val="20"/>
                <w:lang w:eastAsia="en-AU"/>
              </w:rPr>
            </w:pPr>
          </w:p>
        </w:tc>
        <w:tc>
          <w:tcPr>
            <w:tcW w:w="1111" w:type="dxa"/>
            <w:tcBorders>
              <w:top w:val="nil"/>
              <w:left w:val="nil"/>
              <w:bottom w:val="nil"/>
              <w:right w:val="nil"/>
            </w:tcBorders>
            <w:shd w:val="clear" w:color="auto" w:fill="auto"/>
            <w:noWrap/>
            <w:vAlign w:val="center"/>
            <w:hideMark/>
          </w:tcPr>
          <w:p w14:paraId="286D216D"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7DA8126F" w14:textId="77777777" w:rsidR="00913711" w:rsidRPr="00C80475" w:rsidRDefault="00913711" w:rsidP="00E607DA">
            <w:pPr>
              <w:rPr>
                <w:rFonts w:ascii="Meta Pro" w:eastAsia="Times New Roman" w:hAnsi="Meta Pro" w:cs="Times New Roman"/>
                <w:sz w:val="20"/>
                <w:szCs w:val="20"/>
                <w:lang w:eastAsia="en-AU"/>
              </w:rPr>
            </w:pPr>
          </w:p>
        </w:tc>
        <w:tc>
          <w:tcPr>
            <w:tcW w:w="1205" w:type="dxa"/>
            <w:tcBorders>
              <w:top w:val="nil"/>
              <w:left w:val="nil"/>
              <w:bottom w:val="nil"/>
              <w:right w:val="nil"/>
            </w:tcBorders>
            <w:shd w:val="clear" w:color="auto" w:fill="auto"/>
            <w:noWrap/>
            <w:vAlign w:val="center"/>
            <w:hideMark/>
          </w:tcPr>
          <w:p w14:paraId="33D8233D" w14:textId="77777777" w:rsidR="00913711" w:rsidRPr="00C80475" w:rsidRDefault="00913711" w:rsidP="00E607DA">
            <w:pPr>
              <w:rPr>
                <w:rFonts w:ascii="Meta Pro" w:eastAsia="Times New Roman" w:hAnsi="Meta Pro" w:cs="Times New Roman"/>
                <w:sz w:val="20"/>
                <w:szCs w:val="20"/>
                <w:lang w:eastAsia="en-AU"/>
              </w:rPr>
            </w:pPr>
          </w:p>
        </w:tc>
      </w:tr>
      <w:tr w:rsidR="00913711" w:rsidRPr="00C80475" w14:paraId="4387C294" w14:textId="77777777" w:rsidTr="00E607DA">
        <w:trPr>
          <w:trHeight w:val="198"/>
        </w:trPr>
        <w:tc>
          <w:tcPr>
            <w:tcW w:w="4540" w:type="dxa"/>
            <w:tcBorders>
              <w:top w:val="nil"/>
              <w:left w:val="nil"/>
              <w:bottom w:val="nil"/>
              <w:right w:val="nil"/>
            </w:tcBorders>
            <w:shd w:val="clear" w:color="auto" w:fill="auto"/>
            <w:noWrap/>
            <w:vAlign w:val="bottom"/>
            <w:hideMark/>
          </w:tcPr>
          <w:p w14:paraId="150FC34D" w14:textId="77777777" w:rsidR="00913711" w:rsidRPr="00C80475" w:rsidRDefault="00913711" w:rsidP="00E607DA">
            <w:pPr>
              <w:rPr>
                <w:rFonts w:ascii="Meta Pro" w:eastAsia="Times New Roman" w:hAnsi="Meta Pro"/>
                <w:b/>
                <w:bCs/>
                <w:sz w:val="16"/>
                <w:szCs w:val="16"/>
                <w:lang w:eastAsia="en-AU"/>
              </w:rPr>
            </w:pPr>
            <w:r w:rsidRPr="00C80475">
              <w:rPr>
                <w:rFonts w:ascii="Meta Pro" w:eastAsia="Times New Roman" w:hAnsi="Meta Pro"/>
                <w:b/>
                <w:bCs/>
                <w:sz w:val="16"/>
                <w:szCs w:val="16"/>
                <w:lang w:eastAsia="en-AU"/>
              </w:rPr>
              <w:t>Liabilities</w:t>
            </w:r>
          </w:p>
        </w:tc>
        <w:tc>
          <w:tcPr>
            <w:tcW w:w="1132" w:type="dxa"/>
            <w:tcBorders>
              <w:top w:val="nil"/>
              <w:left w:val="nil"/>
              <w:bottom w:val="nil"/>
              <w:right w:val="nil"/>
            </w:tcBorders>
            <w:shd w:val="clear" w:color="auto" w:fill="auto"/>
            <w:noWrap/>
            <w:vAlign w:val="bottom"/>
            <w:hideMark/>
          </w:tcPr>
          <w:p w14:paraId="18C422FD" w14:textId="77777777" w:rsidR="00913711" w:rsidRPr="00C80475" w:rsidRDefault="00913711" w:rsidP="00E607DA">
            <w:pPr>
              <w:rPr>
                <w:rFonts w:ascii="Meta Pro" w:eastAsia="Times New Roman" w:hAnsi="Meta Pro"/>
                <w:b/>
                <w:bCs/>
                <w:sz w:val="16"/>
                <w:szCs w:val="16"/>
                <w:lang w:eastAsia="en-AU"/>
              </w:rPr>
            </w:pPr>
          </w:p>
        </w:tc>
        <w:tc>
          <w:tcPr>
            <w:tcW w:w="113" w:type="dxa"/>
            <w:tcBorders>
              <w:top w:val="nil"/>
              <w:left w:val="nil"/>
              <w:bottom w:val="nil"/>
              <w:right w:val="nil"/>
            </w:tcBorders>
            <w:shd w:val="clear" w:color="auto" w:fill="auto"/>
            <w:noWrap/>
            <w:vAlign w:val="center"/>
            <w:hideMark/>
          </w:tcPr>
          <w:p w14:paraId="377EF85C" w14:textId="77777777" w:rsidR="00913711" w:rsidRPr="00C80475" w:rsidRDefault="00913711" w:rsidP="00E607DA">
            <w:pPr>
              <w:rPr>
                <w:rFonts w:ascii="Meta Pro" w:eastAsia="Times New Roman" w:hAnsi="Meta Pro" w:cs="Times New Roman"/>
                <w:sz w:val="20"/>
                <w:szCs w:val="20"/>
                <w:lang w:eastAsia="en-AU"/>
              </w:rPr>
            </w:pPr>
          </w:p>
        </w:tc>
        <w:tc>
          <w:tcPr>
            <w:tcW w:w="1239" w:type="dxa"/>
            <w:tcBorders>
              <w:top w:val="nil"/>
              <w:left w:val="nil"/>
              <w:bottom w:val="nil"/>
              <w:right w:val="nil"/>
            </w:tcBorders>
            <w:shd w:val="clear" w:color="auto" w:fill="auto"/>
            <w:noWrap/>
            <w:vAlign w:val="bottom"/>
            <w:hideMark/>
          </w:tcPr>
          <w:p w14:paraId="1D0AC0F5"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4099412F" w14:textId="77777777" w:rsidR="00913711" w:rsidRPr="00C80475" w:rsidRDefault="00913711" w:rsidP="00E607DA">
            <w:pPr>
              <w:rPr>
                <w:rFonts w:ascii="Meta Pro" w:eastAsia="Times New Roman" w:hAnsi="Meta Pro" w:cs="Times New Roman"/>
                <w:sz w:val="20"/>
                <w:szCs w:val="20"/>
                <w:lang w:eastAsia="en-AU"/>
              </w:rPr>
            </w:pPr>
          </w:p>
        </w:tc>
        <w:tc>
          <w:tcPr>
            <w:tcW w:w="1187" w:type="dxa"/>
            <w:tcBorders>
              <w:top w:val="nil"/>
              <w:left w:val="nil"/>
              <w:bottom w:val="nil"/>
              <w:right w:val="nil"/>
            </w:tcBorders>
            <w:shd w:val="clear" w:color="auto" w:fill="auto"/>
            <w:noWrap/>
            <w:vAlign w:val="bottom"/>
            <w:hideMark/>
          </w:tcPr>
          <w:p w14:paraId="52667B2B"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bottom"/>
            <w:hideMark/>
          </w:tcPr>
          <w:p w14:paraId="40900B52" w14:textId="77777777" w:rsidR="00913711" w:rsidRPr="00C80475" w:rsidRDefault="00913711" w:rsidP="00E607DA">
            <w:pPr>
              <w:rPr>
                <w:rFonts w:ascii="Meta Pro" w:eastAsia="Times New Roman" w:hAnsi="Meta Pro" w:cs="Times New Roman"/>
                <w:sz w:val="20"/>
                <w:szCs w:val="20"/>
                <w:lang w:eastAsia="en-AU"/>
              </w:rPr>
            </w:pPr>
          </w:p>
        </w:tc>
        <w:tc>
          <w:tcPr>
            <w:tcW w:w="1172" w:type="dxa"/>
            <w:tcBorders>
              <w:top w:val="nil"/>
              <w:left w:val="nil"/>
              <w:bottom w:val="nil"/>
              <w:right w:val="nil"/>
            </w:tcBorders>
            <w:shd w:val="clear" w:color="auto" w:fill="auto"/>
            <w:noWrap/>
            <w:vAlign w:val="bottom"/>
            <w:hideMark/>
          </w:tcPr>
          <w:p w14:paraId="710F1570"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bottom"/>
            <w:hideMark/>
          </w:tcPr>
          <w:p w14:paraId="6AB662EB" w14:textId="77777777" w:rsidR="00913711" w:rsidRPr="00C80475" w:rsidRDefault="00913711" w:rsidP="00E607DA">
            <w:pPr>
              <w:rPr>
                <w:rFonts w:ascii="Meta Pro" w:eastAsia="Times New Roman" w:hAnsi="Meta Pro" w:cs="Times New Roman"/>
                <w:sz w:val="20"/>
                <w:szCs w:val="20"/>
                <w:lang w:eastAsia="en-AU"/>
              </w:rPr>
            </w:pPr>
          </w:p>
        </w:tc>
        <w:tc>
          <w:tcPr>
            <w:tcW w:w="1155" w:type="dxa"/>
            <w:tcBorders>
              <w:top w:val="nil"/>
              <w:left w:val="nil"/>
              <w:bottom w:val="nil"/>
              <w:right w:val="nil"/>
            </w:tcBorders>
            <w:shd w:val="clear" w:color="auto" w:fill="auto"/>
            <w:noWrap/>
            <w:vAlign w:val="bottom"/>
            <w:hideMark/>
          </w:tcPr>
          <w:p w14:paraId="71FDCDAD"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bottom"/>
            <w:hideMark/>
          </w:tcPr>
          <w:p w14:paraId="30C84CCD" w14:textId="77777777" w:rsidR="00913711" w:rsidRPr="00C80475" w:rsidRDefault="00913711" w:rsidP="00E607DA">
            <w:pPr>
              <w:rPr>
                <w:rFonts w:ascii="Meta Pro" w:eastAsia="Times New Roman" w:hAnsi="Meta Pro" w:cs="Times New Roman"/>
                <w:sz w:val="20"/>
                <w:szCs w:val="20"/>
                <w:lang w:eastAsia="en-AU"/>
              </w:rPr>
            </w:pPr>
          </w:p>
        </w:tc>
        <w:tc>
          <w:tcPr>
            <w:tcW w:w="1039" w:type="dxa"/>
            <w:tcBorders>
              <w:top w:val="nil"/>
              <w:left w:val="nil"/>
              <w:bottom w:val="nil"/>
              <w:right w:val="nil"/>
            </w:tcBorders>
            <w:shd w:val="clear" w:color="auto" w:fill="auto"/>
            <w:noWrap/>
            <w:vAlign w:val="bottom"/>
            <w:hideMark/>
          </w:tcPr>
          <w:p w14:paraId="0F371E21"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bottom"/>
            <w:hideMark/>
          </w:tcPr>
          <w:p w14:paraId="508BA0AB" w14:textId="77777777" w:rsidR="00913711" w:rsidRPr="00C80475" w:rsidRDefault="00913711" w:rsidP="00E607DA">
            <w:pP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bottom"/>
            <w:hideMark/>
          </w:tcPr>
          <w:p w14:paraId="179FA14E"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bottom"/>
            <w:hideMark/>
          </w:tcPr>
          <w:p w14:paraId="61FBF75D" w14:textId="77777777" w:rsidR="00913711" w:rsidRPr="00C80475" w:rsidRDefault="00913711" w:rsidP="00E607DA">
            <w:pPr>
              <w:rPr>
                <w:rFonts w:ascii="Meta Pro" w:eastAsia="Times New Roman" w:hAnsi="Meta Pro" w:cs="Times New Roman"/>
                <w:sz w:val="20"/>
                <w:szCs w:val="20"/>
                <w:lang w:eastAsia="en-AU"/>
              </w:rPr>
            </w:pPr>
          </w:p>
        </w:tc>
        <w:tc>
          <w:tcPr>
            <w:tcW w:w="1111" w:type="dxa"/>
            <w:tcBorders>
              <w:top w:val="nil"/>
              <w:left w:val="nil"/>
              <w:bottom w:val="nil"/>
              <w:right w:val="nil"/>
            </w:tcBorders>
            <w:shd w:val="clear" w:color="auto" w:fill="auto"/>
            <w:noWrap/>
            <w:vAlign w:val="bottom"/>
            <w:hideMark/>
          </w:tcPr>
          <w:p w14:paraId="1A4D964F"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bottom"/>
            <w:hideMark/>
          </w:tcPr>
          <w:p w14:paraId="2D8C2147" w14:textId="77777777" w:rsidR="00913711" w:rsidRPr="00C80475" w:rsidRDefault="00913711" w:rsidP="00E607DA">
            <w:pPr>
              <w:rPr>
                <w:rFonts w:ascii="Meta Pro" w:eastAsia="Times New Roman" w:hAnsi="Meta Pro" w:cs="Times New Roman"/>
                <w:sz w:val="20"/>
                <w:szCs w:val="20"/>
                <w:lang w:eastAsia="en-AU"/>
              </w:rPr>
            </w:pPr>
          </w:p>
        </w:tc>
        <w:tc>
          <w:tcPr>
            <w:tcW w:w="1205" w:type="dxa"/>
            <w:tcBorders>
              <w:top w:val="nil"/>
              <w:left w:val="nil"/>
              <w:bottom w:val="nil"/>
              <w:right w:val="nil"/>
            </w:tcBorders>
            <w:shd w:val="clear" w:color="auto" w:fill="auto"/>
            <w:noWrap/>
            <w:vAlign w:val="bottom"/>
            <w:hideMark/>
          </w:tcPr>
          <w:p w14:paraId="73E56CB1" w14:textId="77777777" w:rsidR="00913711" w:rsidRPr="00C80475" w:rsidRDefault="00913711" w:rsidP="00E607DA">
            <w:pPr>
              <w:rPr>
                <w:rFonts w:ascii="Meta Pro" w:eastAsia="Times New Roman" w:hAnsi="Meta Pro" w:cs="Times New Roman"/>
                <w:sz w:val="20"/>
                <w:szCs w:val="20"/>
                <w:lang w:eastAsia="en-AU"/>
              </w:rPr>
            </w:pPr>
          </w:p>
        </w:tc>
      </w:tr>
      <w:tr w:rsidR="00913711" w:rsidRPr="00C80475" w14:paraId="1E8F9497" w14:textId="77777777" w:rsidTr="00E607DA">
        <w:trPr>
          <w:trHeight w:val="198"/>
        </w:trPr>
        <w:tc>
          <w:tcPr>
            <w:tcW w:w="4540" w:type="dxa"/>
            <w:tcBorders>
              <w:top w:val="nil"/>
              <w:left w:val="nil"/>
              <w:bottom w:val="nil"/>
              <w:right w:val="nil"/>
            </w:tcBorders>
            <w:shd w:val="clear" w:color="auto" w:fill="auto"/>
            <w:noWrap/>
            <w:vAlign w:val="center"/>
            <w:hideMark/>
          </w:tcPr>
          <w:p w14:paraId="4A408068" w14:textId="77777777" w:rsidR="00913711" w:rsidRPr="00C80475" w:rsidRDefault="00913711" w:rsidP="00E607DA">
            <w:pPr>
              <w:rPr>
                <w:rFonts w:ascii="Meta Pro" w:eastAsia="Times New Roman" w:hAnsi="Meta Pro" w:cs="Times New Roman"/>
                <w:sz w:val="20"/>
                <w:szCs w:val="20"/>
                <w:lang w:eastAsia="en-AU"/>
              </w:rPr>
            </w:pPr>
          </w:p>
        </w:tc>
        <w:tc>
          <w:tcPr>
            <w:tcW w:w="1132" w:type="dxa"/>
            <w:tcBorders>
              <w:top w:val="nil"/>
              <w:left w:val="nil"/>
              <w:bottom w:val="nil"/>
              <w:right w:val="nil"/>
            </w:tcBorders>
            <w:shd w:val="clear" w:color="auto" w:fill="auto"/>
            <w:noWrap/>
            <w:vAlign w:val="center"/>
            <w:hideMark/>
          </w:tcPr>
          <w:p w14:paraId="278AEB0D"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17682053" w14:textId="77777777" w:rsidR="00913711" w:rsidRPr="00C80475" w:rsidRDefault="00913711" w:rsidP="00E607DA">
            <w:pPr>
              <w:rPr>
                <w:rFonts w:ascii="Meta Pro" w:eastAsia="Times New Roman" w:hAnsi="Meta Pro" w:cs="Times New Roman"/>
                <w:sz w:val="20"/>
                <w:szCs w:val="20"/>
                <w:lang w:eastAsia="en-AU"/>
              </w:rPr>
            </w:pPr>
          </w:p>
        </w:tc>
        <w:tc>
          <w:tcPr>
            <w:tcW w:w="1239" w:type="dxa"/>
            <w:tcBorders>
              <w:top w:val="nil"/>
              <w:left w:val="nil"/>
              <w:bottom w:val="nil"/>
              <w:right w:val="nil"/>
            </w:tcBorders>
            <w:shd w:val="clear" w:color="auto" w:fill="auto"/>
            <w:noWrap/>
            <w:vAlign w:val="center"/>
            <w:hideMark/>
          </w:tcPr>
          <w:p w14:paraId="10ACD863"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51F60556" w14:textId="77777777" w:rsidR="00913711" w:rsidRPr="00C80475" w:rsidRDefault="00913711" w:rsidP="00E607DA">
            <w:pPr>
              <w:jc w:val="center"/>
              <w:rPr>
                <w:rFonts w:ascii="Meta Pro" w:eastAsia="Times New Roman" w:hAnsi="Meta Pro" w:cs="Times New Roman"/>
                <w:sz w:val="20"/>
                <w:szCs w:val="20"/>
                <w:lang w:eastAsia="en-AU"/>
              </w:rPr>
            </w:pPr>
          </w:p>
        </w:tc>
        <w:tc>
          <w:tcPr>
            <w:tcW w:w="1187" w:type="dxa"/>
            <w:tcBorders>
              <w:top w:val="nil"/>
              <w:left w:val="nil"/>
              <w:bottom w:val="nil"/>
              <w:right w:val="nil"/>
            </w:tcBorders>
            <w:shd w:val="clear" w:color="auto" w:fill="auto"/>
            <w:noWrap/>
            <w:vAlign w:val="center"/>
            <w:hideMark/>
          </w:tcPr>
          <w:p w14:paraId="663796FF"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7DA89DE8" w14:textId="77777777" w:rsidR="00913711" w:rsidRPr="00C80475" w:rsidRDefault="00913711" w:rsidP="00E607DA">
            <w:pPr>
              <w:jc w:val="center"/>
              <w:rPr>
                <w:rFonts w:ascii="Meta Pro" w:eastAsia="Times New Roman" w:hAnsi="Meta Pro" w:cs="Times New Roman"/>
                <w:sz w:val="20"/>
                <w:szCs w:val="20"/>
                <w:lang w:eastAsia="en-AU"/>
              </w:rPr>
            </w:pPr>
          </w:p>
        </w:tc>
        <w:tc>
          <w:tcPr>
            <w:tcW w:w="1172" w:type="dxa"/>
            <w:tcBorders>
              <w:top w:val="nil"/>
              <w:left w:val="nil"/>
              <w:bottom w:val="nil"/>
              <w:right w:val="nil"/>
            </w:tcBorders>
            <w:shd w:val="clear" w:color="auto" w:fill="auto"/>
            <w:noWrap/>
            <w:vAlign w:val="center"/>
            <w:hideMark/>
          </w:tcPr>
          <w:p w14:paraId="48BED55A"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5C0BB223" w14:textId="77777777" w:rsidR="00913711" w:rsidRPr="00C80475" w:rsidRDefault="00913711" w:rsidP="00E607DA">
            <w:pPr>
              <w:jc w:val="center"/>
              <w:rPr>
                <w:rFonts w:ascii="Meta Pro" w:eastAsia="Times New Roman" w:hAnsi="Meta Pro" w:cs="Times New Roman"/>
                <w:sz w:val="20"/>
                <w:szCs w:val="20"/>
                <w:lang w:eastAsia="en-AU"/>
              </w:rPr>
            </w:pPr>
          </w:p>
        </w:tc>
        <w:tc>
          <w:tcPr>
            <w:tcW w:w="1155" w:type="dxa"/>
            <w:tcBorders>
              <w:top w:val="nil"/>
              <w:left w:val="nil"/>
              <w:bottom w:val="nil"/>
              <w:right w:val="nil"/>
            </w:tcBorders>
            <w:shd w:val="clear" w:color="auto" w:fill="auto"/>
            <w:noWrap/>
            <w:vAlign w:val="center"/>
            <w:hideMark/>
          </w:tcPr>
          <w:p w14:paraId="47BDDDC1"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59F10450" w14:textId="77777777" w:rsidR="00913711" w:rsidRPr="00C80475" w:rsidRDefault="00913711" w:rsidP="00E607DA">
            <w:pPr>
              <w:jc w:val="center"/>
              <w:rPr>
                <w:rFonts w:ascii="Meta Pro" w:eastAsia="Times New Roman" w:hAnsi="Meta Pro" w:cs="Times New Roman"/>
                <w:sz w:val="20"/>
                <w:szCs w:val="20"/>
                <w:lang w:eastAsia="en-AU"/>
              </w:rPr>
            </w:pPr>
          </w:p>
        </w:tc>
        <w:tc>
          <w:tcPr>
            <w:tcW w:w="1039" w:type="dxa"/>
            <w:tcBorders>
              <w:top w:val="nil"/>
              <w:left w:val="nil"/>
              <w:bottom w:val="nil"/>
              <w:right w:val="nil"/>
            </w:tcBorders>
            <w:shd w:val="clear" w:color="auto" w:fill="auto"/>
            <w:noWrap/>
            <w:vAlign w:val="center"/>
            <w:hideMark/>
          </w:tcPr>
          <w:p w14:paraId="0E3F4AAE"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2D20B1FB" w14:textId="77777777" w:rsidR="00913711" w:rsidRPr="00C80475" w:rsidRDefault="00913711" w:rsidP="00E607DA">
            <w:pPr>
              <w:jc w:val="cente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5A58A992"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166E3982" w14:textId="77777777" w:rsidR="00913711" w:rsidRPr="00C80475" w:rsidRDefault="00913711" w:rsidP="00E607DA">
            <w:pPr>
              <w:jc w:val="center"/>
              <w:rPr>
                <w:rFonts w:ascii="Meta Pro" w:eastAsia="Times New Roman" w:hAnsi="Meta Pro" w:cs="Times New Roman"/>
                <w:sz w:val="20"/>
                <w:szCs w:val="20"/>
                <w:lang w:eastAsia="en-AU"/>
              </w:rPr>
            </w:pPr>
          </w:p>
        </w:tc>
        <w:tc>
          <w:tcPr>
            <w:tcW w:w="1111" w:type="dxa"/>
            <w:tcBorders>
              <w:top w:val="nil"/>
              <w:left w:val="nil"/>
              <w:bottom w:val="nil"/>
              <w:right w:val="nil"/>
            </w:tcBorders>
            <w:shd w:val="clear" w:color="auto" w:fill="auto"/>
            <w:noWrap/>
            <w:vAlign w:val="center"/>
            <w:hideMark/>
          </w:tcPr>
          <w:p w14:paraId="1DA0E02F" w14:textId="77777777" w:rsidR="00913711" w:rsidRPr="00C80475" w:rsidRDefault="00913711" w:rsidP="00E607DA">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3FC52824" w14:textId="77777777" w:rsidR="00913711" w:rsidRPr="00C80475" w:rsidRDefault="00913711" w:rsidP="00E607DA">
            <w:pPr>
              <w:jc w:val="center"/>
              <w:rPr>
                <w:rFonts w:ascii="Meta Pro" w:eastAsia="Times New Roman" w:hAnsi="Meta Pro" w:cs="Times New Roman"/>
                <w:sz w:val="20"/>
                <w:szCs w:val="20"/>
                <w:lang w:eastAsia="en-AU"/>
              </w:rPr>
            </w:pPr>
          </w:p>
        </w:tc>
        <w:tc>
          <w:tcPr>
            <w:tcW w:w="1205" w:type="dxa"/>
            <w:tcBorders>
              <w:top w:val="nil"/>
              <w:left w:val="nil"/>
              <w:bottom w:val="nil"/>
              <w:right w:val="nil"/>
            </w:tcBorders>
            <w:shd w:val="clear" w:color="auto" w:fill="auto"/>
            <w:noWrap/>
            <w:vAlign w:val="center"/>
            <w:hideMark/>
          </w:tcPr>
          <w:p w14:paraId="09A1C858" w14:textId="77777777" w:rsidR="00913711" w:rsidRPr="00C80475" w:rsidRDefault="00913711" w:rsidP="00E607DA">
            <w:pPr>
              <w:rPr>
                <w:rFonts w:ascii="Meta Pro" w:eastAsia="Times New Roman" w:hAnsi="Meta Pro" w:cs="Times New Roman"/>
                <w:sz w:val="20"/>
                <w:szCs w:val="20"/>
                <w:lang w:eastAsia="en-AU"/>
              </w:rPr>
            </w:pPr>
          </w:p>
        </w:tc>
      </w:tr>
      <w:tr w:rsidR="00913711" w:rsidRPr="00C80475" w14:paraId="05DB5A47" w14:textId="77777777" w:rsidTr="00E607DA">
        <w:trPr>
          <w:trHeight w:val="198"/>
        </w:trPr>
        <w:tc>
          <w:tcPr>
            <w:tcW w:w="4540" w:type="dxa"/>
            <w:tcBorders>
              <w:top w:val="nil"/>
              <w:left w:val="nil"/>
              <w:bottom w:val="nil"/>
              <w:right w:val="nil"/>
            </w:tcBorders>
            <w:shd w:val="clear" w:color="auto" w:fill="auto"/>
            <w:vAlign w:val="center"/>
            <w:hideMark/>
          </w:tcPr>
          <w:p w14:paraId="05441650" w14:textId="77777777" w:rsidR="00913711" w:rsidRPr="00C80475" w:rsidRDefault="00913711" w:rsidP="00E607DA">
            <w:pPr>
              <w:rPr>
                <w:rFonts w:ascii="Meta Pro" w:eastAsia="Times New Roman" w:hAnsi="Meta Pro"/>
                <w:sz w:val="16"/>
                <w:szCs w:val="16"/>
                <w:lang w:eastAsia="en-AU"/>
              </w:rPr>
            </w:pPr>
            <w:r w:rsidRPr="00C80475">
              <w:rPr>
                <w:rFonts w:ascii="Meta Pro" w:eastAsia="Times New Roman" w:hAnsi="Meta Pro"/>
                <w:sz w:val="16"/>
                <w:szCs w:val="16"/>
                <w:lang w:eastAsia="en-AU"/>
              </w:rPr>
              <w:t>Financial liabilities</w:t>
            </w:r>
          </w:p>
        </w:tc>
        <w:tc>
          <w:tcPr>
            <w:tcW w:w="1132" w:type="dxa"/>
            <w:tcBorders>
              <w:top w:val="nil"/>
              <w:left w:val="nil"/>
              <w:bottom w:val="nil"/>
              <w:right w:val="nil"/>
            </w:tcBorders>
            <w:shd w:val="clear" w:color="000000" w:fill="C9E3B4"/>
            <w:noWrap/>
            <w:vAlign w:val="center"/>
            <w:hideMark/>
          </w:tcPr>
          <w:p w14:paraId="2018AA0B"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256,069 </w:t>
            </w:r>
          </w:p>
        </w:tc>
        <w:tc>
          <w:tcPr>
            <w:tcW w:w="113" w:type="dxa"/>
            <w:tcBorders>
              <w:top w:val="nil"/>
              <w:left w:val="nil"/>
              <w:bottom w:val="nil"/>
              <w:right w:val="nil"/>
            </w:tcBorders>
            <w:shd w:val="clear" w:color="auto" w:fill="auto"/>
            <w:noWrap/>
            <w:vAlign w:val="center"/>
            <w:hideMark/>
          </w:tcPr>
          <w:p w14:paraId="6D403D90" w14:textId="77777777" w:rsidR="00913711" w:rsidRPr="00C80475" w:rsidRDefault="00913711" w:rsidP="00E607DA">
            <w:pPr>
              <w:jc w:val="right"/>
              <w:rPr>
                <w:rFonts w:ascii="Meta Pro" w:eastAsia="Times New Roman" w:hAnsi="Meta Pro"/>
                <w:sz w:val="16"/>
                <w:szCs w:val="16"/>
                <w:lang w:eastAsia="en-AU"/>
              </w:rPr>
            </w:pPr>
          </w:p>
        </w:tc>
        <w:tc>
          <w:tcPr>
            <w:tcW w:w="1239" w:type="dxa"/>
            <w:tcBorders>
              <w:top w:val="nil"/>
              <w:left w:val="nil"/>
              <w:bottom w:val="nil"/>
              <w:right w:val="nil"/>
            </w:tcBorders>
            <w:shd w:val="clear" w:color="000000" w:fill="C9E3B4"/>
            <w:noWrap/>
            <w:vAlign w:val="center"/>
            <w:hideMark/>
          </w:tcPr>
          <w:p w14:paraId="5486A7C9"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404,922 </w:t>
            </w:r>
          </w:p>
        </w:tc>
        <w:tc>
          <w:tcPr>
            <w:tcW w:w="113" w:type="dxa"/>
            <w:tcBorders>
              <w:top w:val="nil"/>
              <w:left w:val="nil"/>
              <w:bottom w:val="nil"/>
              <w:right w:val="nil"/>
            </w:tcBorders>
            <w:shd w:val="clear" w:color="auto" w:fill="auto"/>
            <w:noWrap/>
            <w:vAlign w:val="center"/>
            <w:hideMark/>
          </w:tcPr>
          <w:p w14:paraId="4CDFA834" w14:textId="77777777" w:rsidR="00913711" w:rsidRPr="00C80475" w:rsidRDefault="00913711" w:rsidP="00E607DA">
            <w:pPr>
              <w:jc w:val="right"/>
              <w:rPr>
                <w:rFonts w:ascii="Meta Pro" w:eastAsia="Times New Roman" w:hAnsi="Meta Pro"/>
                <w:sz w:val="16"/>
                <w:szCs w:val="16"/>
                <w:lang w:eastAsia="en-AU"/>
              </w:rPr>
            </w:pPr>
          </w:p>
        </w:tc>
        <w:tc>
          <w:tcPr>
            <w:tcW w:w="1187" w:type="dxa"/>
            <w:tcBorders>
              <w:top w:val="nil"/>
              <w:left w:val="nil"/>
              <w:bottom w:val="nil"/>
              <w:right w:val="nil"/>
            </w:tcBorders>
            <w:shd w:val="clear" w:color="000000" w:fill="C9E3B4"/>
            <w:noWrap/>
            <w:vAlign w:val="center"/>
            <w:hideMark/>
          </w:tcPr>
          <w:p w14:paraId="3B44B918"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567D9E44" w14:textId="77777777" w:rsidR="00913711" w:rsidRPr="00C80475" w:rsidRDefault="00913711" w:rsidP="00E607DA">
            <w:pPr>
              <w:jc w:val="right"/>
              <w:rPr>
                <w:rFonts w:ascii="Meta Pro" w:eastAsia="Times New Roman" w:hAnsi="Meta Pro"/>
                <w:sz w:val="16"/>
                <w:szCs w:val="16"/>
                <w:lang w:eastAsia="en-AU"/>
              </w:rPr>
            </w:pPr>
          </w:p>
        </w:tc>
        <w:tc>
          <w:tcPr>
            <w:tcW w:w="1172" w:type="dxa"/>
            <w:tcBorders>
              <w:top w:val="nil"/>
              <w:left w:val="nil"/>
              <w:bottom w:val="nil"/>
              <w:right w:val="nil"/>
            </w:tcBorders>
            <w:shd w:val="clear" w:color="000000" w:fill="C9E3B4"/>
            <w:noWrap/>
            <w:vAlign w:val="center"/>
            <w:hideMark/>
          </w:tcPr>
          <w:p w14:paraId="2C2D7AA9"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67C764B5" w14:textId="77777777" w:rsidR="00913711" w:rsidRPr="00C80475" w:rsidRDefault="00913711" w:rsidP="00E607DA">
            <w:pPr>
              <w:jc w:val="right"/>
              <w:rPr>
                <w:rFonts w:ascii="Meta Pro" w:eastAsia="Times New Roman" w:hAnsi="Meta Pro"/>
                <w:sz w:val="16"/>
                <w:szCs w:val="16"/>
                <w:lang w:eastAsia="en-AU"/>
              </w:rPr>
            </w:pPr>
          </w:p>
        </w:tc>
        <w:tc>
          <w:tcPr>
            <w:tcW w:w="1155" w:type="dxa"/>
            <w:tcBorders>
              <w:top w:val="nil"/>
              <w:left w:val="nil"/>
              <w:bottom w:val="nil"/>
              <w:right w:val="nil"/>
            </w:tcBorders>
            <w:shd w:val="clear" w:color="000000" w:fill="C9E3B4"/>
            <w:noWrap/>
            <w:vAlign w:val="center"/>
            <w:hideMark/>
          </w:tcPr>
          <w:p w14:paraId="676F603F"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36CC51B0" w14:textId="77777777" w:rsidR="00913711" w:rsidRPr="00C80475" w:rsidRDefault="00913711" w:rsidP="00E607DA">
            <w:pPr>
              <w:jc w:val="right"/>
              <w:rPr>
                <w:rFonts w:ascii="Meta Pro" w:eastAsia="Times New Roman" w:hAnsi="Meta Pro"/>
                <w:sz w:val="16"/>
                <w:szCs w:val="16"/>
                <w:lang w:eastAsia="en-AU"/>
              </w:rPr>
            </w:pPr>
          </w:p>
        </w:tc>
        <w:tc>
          <w:tcPr>
            <w:tcW w:w="1039" w:type="dxa"/>
            <w:tcBorders>
              <w:top w:val="nil"/>
              <w:left w:val="nil"/>
              <w:bottom w:val="nil"/>
              <w:right w:val="nil"/>
            </w:tcBorders>
            <w:shd w:val="clear" w:color="000000" w:fill="C9E3B4"/>
            <w:noWrap/>
            <w:vAlign w:val="center"/>
            <w:hideMark/>
          </w:tcPr>
          <w:p w14:paraId="5766AFFE"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197A820F" w14:textId="77777777" w:rsidR="00913711" w:rsidRPr="00C80475" w:rsidRDefault="00913711" w:rsidP="00E607DA">
            <w:pPr>
              <w:jc w:val="right"/>
              <w:rPr>
                <w:rFonts w:ascii="Meta Pro" w:eastAsia="Times New Roman" w:hAnsi="Meta Pro"/>
                <w:sz w:val="16"/>
                <w:szCs w:val="16"/>
                <w:lang w:eastAsia="en-AU"/>
              </w:rPr>
            </w:pPr>
          </w:p>
        </w:tc>
        <w:tc>
          <w:tcPr>
            <w:tcW w:w="1134" w:type="dxa"/>
            <w:tcBorders>
              <w:top w:val="nil"/>
              <w:left w:val="nil"/>
              <w:bottom w:val="nil"/>
              <w:right w:val="nil"/>
            </w:tcBorders>
            <w:shd w:val="clear" w:color="000000" w:fill="C9E3B4"/>
            <w:noWrap/>
            <w:vAlign w:val="center"/>
            <w:hideMark/>
          </w:tcPr>
          <w:p w14:paraId="0BDC4AAD"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1D297E6E" w14:textId="77777777" w:rsidR="00913711" w:rsidRPr="00C80475" w:rsidRDefault="00913711" w:rsidP="00E607DA">
            <w:pPr>
              <w:jc w:val="right"/>
              <w:rPr>
                <w:rFonts w:ascii="Meta Pro" w:eastAsia="Times New Roman" w:hAnsi="Meta Pro"/>
                <w:sz w:val="16"/>
                <w:szCs w:val="16"/>
                <w:lang w:eastAsia="en-AU"/>
              </w:rPr>
            </w:pPr>
          </w:p>
        </w:tc>
        <w:tc>
          <w:tcPr>
            <w:tcW w:w="1111" w:type="dxa"/>
            <w:tcBorders>
              <w:top w:val="nil"/>
              <w:left w:val="nil"/>
              <w:bottom w:val="nil"/>
              <w:right w:val="nil"/>
            </w:tcBorders>
            <w:shd w:val="clear" w:color="000000" w:fill="C9E3B4"/>
            <w:noWrap/>
            <w:vAlign w:val="center"/>
            <w:hideMark/>
          </w:tcPr>
          <w:p w14:paraId="5BE4028C"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76,367 </w:t>
            </w:r>
          </w:p>
        </w:tc>
        <w:tc>
          <w:tcPr>
            <w:tcW w:w="113" w:type="dxa"/>
            <w:tcBorders>
              <w:top w:val="nil"/>
              <w:left w:val="nil"/>
              <w:bottom w:val="nil"/>
              <w:right w:val="nil"/>
            </w:tcBorders>
            <w:shd w:val="clear" w:color="auto" w:fill="auto"/>
            <w:noWrap/>
            <w:vAlign w:val="center"/>
            <w:hideMark/>
          </w:tcPr>
          <w:p w14:paraId="5542A4BA" w14:textId="77777777" w:rsidR="00913711" w:rsidRPr="00C80475" w:rsidRDefault="00913711" w:rsidP="00E607DA">
            <w:pPr>
              <w:jc w:val="right"/>
              <w:rPr>
                <w:rFonts w:ascii="Meta Pro" w:eastAsia="Times New Roman" w:hAnsi="Meta Pro"/>
                <w:sz w:val="16"/>
                <w:szCs w:val="16"/>
                <w:lang w:eastAsia="en-AU"/>
              </w:rPr>
            </w:pPr>
          </w:p>
        </w:tc>
        <w:tc>
          <w:tcPr>
            <w:tcW w:w="1205" w:type="dxa"/>
            <w:tcBorders>
              <w:top w:val="nil"/>
              <w:left w:val="nil"/>
              <w:bottom w:val="nil"/>
              <w:right w:val="nil"/>
            </w:tcBorders>
            <w:shd w:val="clear" w:color="000000" w:fill="C9E3B4"/>
            <w:noWrap/>
            <w:vAlign w:val="center"/>
            <w:hideMark/>
          </w:tcPr>
          <w:p w14:paraId="78B654AD"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737,358 </w:t>
            </w:r>
          </w:p>
        </w:tc>
      </w:tr>
      <w:tr w:rsidR="00913711" w:rsidRPr="00C80475" w14:paraId="7F3D51D8" w14:textId="77777777" w:rsidTr="00E607DA">
        <w:trPr>
          <w:trHeight w:val="198"/>
        </w:trPr>
        <w:tc>
          <w:tcPr>
            <w:tcW w:w="4540" w:type="dxa"/>
            <w:tcBorders>
              <w:top w:val="nil"/>
              <w:left w:val="nil"/>
              <w:bottom w:val="nil"/>
              <w:right w:val="nil"/>
            </w:tcBorders>
            <w:shd w:val="clear" w:color="auto" w:fill="auto"/>
            <w:vAlign w:val="center"/>
            <w:hideMark/>
          </w:tcPr>
          <w:p w14:paraId="4B22F8C9" w14:textId="77777777" w:rsidR="00913711" w:rsidRPr="00C80475" w:rsidRDefault="00913711" w:rsidP="00E607DA">
            <w:pPr>
              <w:rPr>
                <w:rFonts w:ascii="Meta Pro" w:eastAsia="Times New Roman" w:hAnsi="Meta Pro"/>
                <w:sz w:val="16"/>
                <w:szCs w:val="16"/>
                <w:lang w:eastAsia="en-AU"/>
              </w:rPr>
            </w:pPr>
            <w:r w:rsidRPr="00C80475">
              <w:rPr>
                <w:rFonts w:ascii="Meta Pro" w:eastAsia="Times New Roman" w:hAnsi="Meta Pro"/>
                <w:sz w:val="16"/>
                <w:szCs w:val="16"/>
                <w:lang w:eastAsia="en-AU"/>
              </w:rPr>
              <w:t>Unearned revenue</w:t>
            </w:r>
          </w:p>
        </w:tc>
        <w:tc>
          <w:tcPr>
            <w:tcW w:w="1132" w:type="dxa"/>
            <w:tcBorders>
              <w:top w:val="nil"/>
              <w:left w:val="nil"/>
              <w:bottom w:val="nil"/>
              <w:right w:val="nil"/>
            </w:tcBorders>
            <w:shd w:val="clear" w:color="000000" w:fill="C9E3B4"/>
            <w:noWrap/>
            <w:vAlign w:val="center"/>
            <w:hideMark/>
          </w:tcPr>
          <w:p w14:paraId="17AF0A31"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3126C51B" w14:textId="77777777" w:rsidR="00913711" w:rsidRPr="00C80475" w:rsidRDefault="00913711" w:rsidP="00E607DA">
            <w:pPr>
              <w:jc w:val="right"/>
              <w:rPr>
                <w:rFonts w:ascii="Meta Pro" w:eastAsia="Times New Roman" w:hAnsi="Meta Pro"/>
                <w:sz w:val="16"/>
                <w:szCs w:val="16"/>
                <w:lang w:eastAsia="en-AU"/>
              </w:rPr>
            </w:pPr>
          </w:p>
        </w:tc>
        <w:tc>
          <w:tcPr>
            <w:tcW w:w="1239" w:type="dxa"/>
            <w:tcBorders>
              <w:top w:val="nil"/>
              <w:left w:val="nil"/>
              <w:bottom w:val="nil"/>
              <w:right w:val="nil"/>
            </w:tcBorders>
            <w:shd w:val="clear" w:color="000000" w:fill="C9E3B4"/>
            <w:noWrap/>
            <w:vAlign w:val="center"/>
            <w:hideMark/>
          </w:tcPr>
          <w:p w14:paraId="37646557"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21908DDA" w14:textId="77777777" w:rsidR="00913711" w:rsidRPr="00C80475" w:rsidRDefault="00913711" w:rsidP="00E607DA">
            <w:pPr>
              <w:jc w:val="right"/>
              <w:rPr>
                <w:rFonts w:ascii="Meta Pro" w:eastAsia="Times New Roman" w:hAnsi="Meta Pro"/>
                <w:sz w:val="16"/>
                <w:szCs w:val="16"/>
                <w:lang w:eastAsia="en-AU"/>
              </w:rPr>
            </w:pPr>
          </w:p>
        </w:tc>
        <w:tc>
          <w:tcPr>
            <w:tcW w:w="1187" w:type="dxa"/>
            <w:tcBorders>
              <w:top w:val="nil"/>
              <w:left w:val="nil"/>
              <w:bottom w:val="nil"/>
              <w:right w:val="nil"/>
            </w:tcBorders>
            <w:shd w:val="clear" w:color="000000" w:fill="C9E3B4"/>
            <w:noWrap/>
            <w:vAlign w:val="center"/>
            <w:hideMark/>
          </w:tcPr>
          <w:p w14:paraId="419EB678"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4,111,070 </w:t>
            </w:r>
          </w:p>
        </w:tc>
        <w:tc>
          <w:tcPr>
            <w:tcW w:w="113" w:type="dxa"/>
            <w:tcBorders>
              <w:top w:val="nil"/>
              <w:left w:val="nil"/>
              <w:bottom w:val="nil"/>
              <w:right w:val="nil"/>
            </w:tcBorders>
            <w:shd w:val="clear" w:color="auto" w:fill="auto"/>
            <w:noWrap/>
            <w:vAlign w:val="center"/>
            <w:hideMark/>
          </w:tcPr>
          <w:p w14:paraId="00CADE02" w14:textId="77777777" w:rsidR="00913711" w:rsidRPr="00C80475" w:rsidRDefault="00913711" w:rsidP="00E607DA">
            <w:pPr>
              <w:jc w:val="right"/>
              <w:rPr>
                <w:rFonts w:ascii="Meta Pro" w:eastAsia="Times New Roman" w:hAnsi="Meta Pro"/>
                <w:sz w:val="16"/>
                <w:szCs w:val="16"/>
                <w:lang w:eastAsia="en-AU"/>
              </w:rPr>
            </w:pPr>
          </w:p>
        </w:tc>
        <w:tc>
          <w:tcPr>
            <w:tcW w:w="1172" w:type="dxa"/>
            <w:tcBorders>
              <w:top w:val="nil"/>
              <w:left w:val="nil"/>
              <w:bottom w:val="nil"/>
              <w:right w:val="nil"/>
            </w:tcBorders>
            <w:shd w:val="clear" w:color="000000" w:fill="C9E3B4"/>
            <w:noWrap/>
            <w:vAlign w:val="center"/>
            <w:hideMark/>
          </w:tcPr>
          <w:p w14:paraId="01B39FFD"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1,737,302 </w:t>
            </w:r>
          </w:p>
        </w:tc>
        <w:tc>
          <w:tcPr>
            <w:tcW w:w="113" w:type="dxa"/>
            <w:tcBorders>
              <w:top w:val="nil"/>
              <w:left w:val="nil"/>
              <w:bottom w:val="nil"/>
              <w:right w:val="nil"/>
            </w:tcBorders>
            <w:shd w:val="clear" w:color="auto" w:fill="auto"/>
            <w:noWrap/>
            <w:vAlign w:val="center"/>
            <w:hideMark/>
          </w:tcPr>
          <w:p w14:paraId="630D554C" w14:textId="77777777" w:rsidR="00913711" w:rsidRPr="00C80475" w:rsidRDefault="00913711" w:rsidP="00E607DA">
            <w:pPr>
              <w:jc w:val="right"/>
              <w:rPr>
                <w:rFonts w:ascii="Meta Pro" w:eastAsia="Times New Roman" w:hAnsi="Meta Pro"/>
                <w:sz w:val="16"/>
                <w:szCs w:val="16"/>
                <w:lang w:eastAsia="en-AU"/>
              </w:rPr>
            </w:pPr>
          </w:p>
        </w:tc>
        <w:tc>
          <w:tcPr>
            <w:tcW w:w="1155" w:type="dxa"/>
            <w:tcBorders>
              <w:top w:val="nil"/>
              <w:left w:val="nil"/>
              <w:bottom w:val="nil"/>
              <w:right w:val="nil"/>
            </w:tcBorders>
            <w:shd w:val="clear" w:color="000000" w:fill="C9E3B4"/>
            <w:noWrap/>
            <w:vAlign w:val="center"/>
            <w:hideMark/>
          </w:tcPr>
          <w:p w14:paraId="118E2647"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1,370,952 </w:t>
            </w:r>
          </w:p>
        </w:tc>
        <w:tc>
          <w:tcPr>
            <w:tcW w:w="113" w:type="dxa"/>
            <w:tcBorders>
              <w:top w:val="nil"/>
              <w:left w:val="nil"/>
              <w:bottom w:val="nil"/>
              <w:right w:val="nil"/>
            </w:tcBorders>
            <w:shd w:val="clear" w:color="auto" w:fill="auto"/>
            <w:noWrap/>
            <w:vAlign w:val="center"/>
            <w:hideMark/>
          </w:tcPr>
          <w:p w14:paraId="155F3EF9" w14:textId="77777777" w:rsidR="00913711" w:rsidRPr="00C80475" w:rsidRDefault="00913711" w:rsidP="00E607DA">
            <w:pPr>
              <w:jc w:val="right"/>
              <w:rPr>
                <w:rFonts w:ascii="Meta Pro" w:eastAsia="Times New Roman" w:hAnsi="Meta Pro"/>
                <w:sz w:val="16"/>
                <w:szCs w:val="16"/>
                <w:lang w:eastAsia="en-AU"/>
              </w:rPr>
            </w:pPr>
          </w:p>
        </w:tc>
        <w:tc>
          <w:tcPr>
            <w:tcW w:w="1039" w:type="dxa"/>
            <w:tcBorders>
              <w:top w:val="nil"/>
              <w:left w:val="nil"/>
              <w:bottom w:val="nil"/>
              <w:right w:val="nil"/>
            </w:tcBorders>
            <w:shd w:val="clear" w:color="000000" w:fill="C9E3B4"/>
            <w:noWrap/>
            <w:vAlign w:val="center"/>
            <w:hideMark/>
          </w:tcPr>
          <w:p w14:paraId="01FF8D62"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41,451 </w:t>
            </w:r>
          </w:p>
        </w:tc>
        <w:tc>
          <w:tcPr>
            <w:tcW w:w="113" w:type="dxa"/>
            <w:tcBorders>
              <w:top w:val="nil"/>
              <w:left w:val="nil"/>
              <w:bottom w:val="nil"/>
              <w:right w:val="nil"/>
            </w:tcBorders>
            <w:shd w:val="clear" w:color="auto" w:fill="auto"/>
            <w:noWrap/>
            <w:vAlign w:val="center"/>
            <w:hideMark/>
          </w:tcPr>
          <w:p w14:paraId="43DFA18C" w14:textId="77777777" w:rsidR="00913711" w:rsidRPr="00C80475" w:rsidRDefault="00913711" w:rsidP="00E607DA">
            <w:pPr>
              <w:jc w:val="right"/>
              <w:rPr>
                <w:rFonts w:ascii="Meta Pro" w:eastAsia="Times New Roman" w:hAnsi="Meta Pro"/>
                <w:sz w:val="16"/>
                <w:szCs w:val="16"/>
                <w:lang w:eastAsia="en-AU"/>
              </w:rPr>
            </w:pPr>
          </w:p>
        </w:tc>
        <w:tc>
          <w:tcPr>
            <w:tcW w:w="1134" w:type="dxa"/>
            <w:tcBorders>
              <w:top w:val="nil"/>
              <w:left w:val="nil"/>
              <w:bottom w:val="nil"/>
              <w:right w:val="nil"/>
            </w:tcBorders>
            <w:shd w:val="clear" w:color="000000" w:fill="C9E3B4"/>
            <w:noWrap/>
            <w:vAlign w:val="center"/>
            <w:hideMark/>
          </w:tcPr>
          <w:p w14:paraId="7545537F"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126,719 </w:t>
            </w:r>
          </w:p>
        </w:tc>
        <w:tc>
          <w:tcPr>
            <w:tcW w:w="113" w:type="dxa"/>
            <w:tcBorders>
              <w:top w:val="nil"/>
              <w:left w:val="nil"/>
              <w:bottom w:val="nil"/>
              <w:right w:val="nil"/>
            </w:tcBorders>
            <w:shd w:val="clear" w:color="auto" w:fill="auto"/>
            <w:noWrap/>
            <w:vAlign w:val="center"/>
            <w:hideMark/>
          </w:tcPr>
          <w:p w14:paraId="7FA12598" w14:textId="77777777" w:rsidR="00913711" w:rsidRPr="00C80475" w:rsidRDefault="00913711" w:rsidP="00E607DA">
            <w:pPr>
              <w:jc w:val="right"/>
              <w:rPr>
                <w:rFonts w:ascii="Meta Pro" w:eastAsia="Times New Roman" w:hAnsi="Meta Pro"/>
                <w:sz w:val="16"/>
                <w:szCs w:val="16"/>
                <w:lang w:eastAsia="en-AU"/>
              </w:rPr>
            </w:pPr>
          </w:p>
        </w:tc>
        <w:tc>
          <w:tcPr>
            <w:tcW w:w="1111" w:type="dxa"/>
            <w:tcBorders>
              <w:top w:val="nil"/>
              <w:left w:val="nil"/>
              <w:bottom w:val="nil"/>
              <w:right w:val="nil"/>
            </w:tcBorders>
            <w:shd w:val="clear" w:color="000000" w:fill="C9E3B4"/>
            <w:noWrap/>
            <w:vAlign w:val="center"/>
            <w:hideMark/>
          </w:tcPr>
          <w:p w14:paraId="642C3F2A" w14:textId="77777777" w:rsidR="00913711" w:rsidRPr="00C80475" w:rsidRDefault="00913711" w:rsidP="00E607DA">
            <w:pPr>
              <w:jc w:val="right"/>
              <w:rPr>
                <w:rFonts w:ascii="Meta Pro" w:eastAsia="Times New Roman" w:hAnsi="Meta Pro"/>
                <w:sz w:val="16"/>
                <w:szCs w:val="16"/>
                <w:lang w:eastAsia="en-AU"/>
              </w:rPr>
            </w:pPr>
            <w:r w:rsidRPr="00C80475">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10800D58" w14:textId="77777777" w:rsidR="00913711" w:rsidRPr="00C80475" w:rsidRDefault="00913711" w:rsidP="00E607DA">
            <w:pPr>
              <w:jc w:val="right"/>
              <w:rPr>
                <w:rFonts w:ascii="Meta Pro" w:eastAsia="Times New Roman" w:hAnsi="Meta Pro"/>
                <w:sz w:val="16"/>
                <w:szCs w:val="16"/>
                <w:lang w:eastAsia="en-AU"/>
              </w:rPr>
            </w:pPr>
          </w:p>
        </w:tc>
        <w:tc>
          <w:tcPr>
            <w:tcW w:w="1205" w:type="dxa"/>
            <w:tcBorders>
              <w:top w:val="nil"/>
              <w:left w:val="nil"/>
              <w:bottom w:val="nil"/>
              <w:right w:val="nil"/>
            </w:tcBorders>
            <w:shd w:val="clear" w:color="000000" w:fill="C9E3B4"/>
            <w:noWrap/>
            <w:vAlign w:val="center"/>
            <w:hideMark/>
          </w:tcPr>
          <w:p w14:paraId="1B8CAFB4"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7,387,494 </w:t>
            </w:r>
          </w:p>
        </w:tc>
      </w:tr>
      <w:tr w:rsidR="00913711" w:rsidRPr="00C80475" w14:paraId="6F14790A" w14:textId="77777777" w:rsidTr="00E607DA">
        <w:trPr>
          <w:trHeight w:val="198"/>
        </w:trPr>
        <w:tc>
          <w:tcPr>
            <w:tcW w:w="4540" w:type="dxa"/>
            <w:tcBorders>
              <w:top w:val="single" w:sz="4" w:space="0" w:color="auto"/>
              <w:left w:val="nil"/>
              <w:bottom w:val="double" w:sz="6" w:space="0" w:color="auto"/>
              <w:right w:val="nil"/>
            </w:tcBorders>
            <w:shd w:val="clear" w:color="auto" w:fill="auto"/>
            <w:noWrap/>
            <w:vAlign w:val="center"/>
            <w:hideMark/>
          </w:tcPr>
          <w:p w14:paraId="6E79DA48" w14:textId="77777777" w:rsidR="00913711" w:rsidRPr="00C80475" w:rsidRDefault="00913711" w:rsidP="00E607DA">
            <w:pPr>
              <w:rPr>
                <w:rFonts w:ascii="Meta Pro" w:eastAsia="Times New Roman" w:hAnsi="Meta Pro"/>
                <w:b/>
                <w:bCs/>
                <w:sz w:val="16"/>
                <w:szCs w:val="16"/>
                <w:lang w:eastAsia="en-AU"/>
              </w:rPr>
            </w:pPr>
            <w:r w:rsidRPr="00C80475">
              <w:rPr>
                <w:rFonts w:ascii="Meta Pro" w:eastAsia="Times New Roman" w:hAnsi="Meta Pro"/>
                <w:b/>
                <w:bCs/>
                <w:sz w:val="16"/>
                <w:szCs w:val="16"/>
                <w:lang w:eastAsia="en-AU"/>
              </w:rPr>
              <w:t>Total</w:t>
            </w:r>
          </w:p>
        </w:tc>
        <w:tc>
          <w:tcPr>
            <w:tcW w:w="1132" w:type="dxa"/>
            <w:tcBorders>
              <w:top w:val="single" w:sz="4" w:space="0" w:color="auto"/>
              <w:left w:val="nil"/>
              <w:bottom w:val="double" w:sz="6" w:space="0" w:color="auto"/>
              <w:right w:val="nil"/>
            </w:tcBorders>
            <w:shd w:val="clear" w:color="000000" w:fill="C9E3B4"/>
            <w:noWrap/>
            <w:vAlign w:val="center"/>
            <w:hideMark/>
          </w:tcPr>
          <w:p w14:paraId="53B7DE16"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256,069 </w:t>
            </w:r>
          </w:p>
        </w:tc>
        <w:tc>
          <w:tcPr>
            <w:tcW w:w="113" w:type="dxa"/>
            <w:tcBorders>
              <w:top w:val="nil"/>
              <w:left w:val="nil"/>
              <w:bottom w:val="nil"/>
              <w:right w:val="nil"/>
            </w:tcBorders>
            <w:shd w:val="clear" w:color="auto" w:fill="auto"/>
            <w:noWrap/>
            <w:vAlign w:val="center"/>
            <w:hideMark/>
          </w:tcPr>
          <w:p w14:paraId="4FCFDB6A" w14:textId="77777777" w:rsidR="00913711" w:rsidRPr="00C80475" w:rsidRDefault="00913711" w:rsidP="00E607DA">
            <w:pPr>
              <w:jc w:val="right"/>
              <w:rPr>
                <w:rFonts w:ascii="Meta Pro" w:eastAsia="Times New Roman" w:hAnsi="Meta Pro"/>
                <w:b/>
                <w:bCs/>
                <w:sz w:val="16"/>
                <w:szCs w:val="16"/>
                <w:lang w:eastAsia="en-AU"/>
              </w:rPr>
            </w:pPr>
          </w:p>
        </w:tc>
        <w:tc>
          <w:tcPr>
            <w:tcW w:w="1239" w:type="dxa"/>
            <w:tcBorders>
              <w:top w:val="single" w:sz="4" w:space="0" w:color="auto"/>
              <w:left w:val="nil"/>
              <w:bottom w:val="double" w:sz="6" w:space="0" w:color="auto"/>
              <w:right w:val="nil"/>
            </w:tcBorders>
            <w:shd w:val="clear" w:color="000000" w:fill="C9E3B4"/>
            <w:noWrap/>
            <w:vAlign w:val="center"/>
            <w:hideMark/>
          </w:tcPr>
          <w:p w14:paraId="74216126"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404,922 </w:t>
            </w:r>
          </w:p>
        </w:tc>
        <w:tc>
          <w:tcPr>
            <w:tcW w:w="113" w:type="dxa"/>
            <w:tcBorders>
              <w:top w:val="nil"/>
              <w:left w:val="nil"/>
              <w:bottom w:val="nil"/>
              <w:right w:val="nil"/>
            </w:tcBorders>
            <w:shd w:val="clear" w:color="auto" w:fill="auto"/>
            <w:noWrap/>
            <w:vAlign w:val="center"/>
            <w:hideMark/>
          </w:tcPr>
          <w:p w14:paraId="3F98E15F" w14:textId="77777777" w:rsidR="00913711" w:rsidRPr="00C80475" w:rsidRDefault="00913711" w:rsidP="00E607DA">
            <w:pPr>
              <w:jc w:val="right"/>
              <w:rPr>
                <w:rFonts w:ascii="Meta Pro" w:eastAsia="Times New Roman" w:hAnsi="Meta Pro"/>
                <w:b/>
                <w:bCs/>
                <w:sz w:val="16"/>
                <w:szCs w:val="16"/>
                <w:lang w:eastAsia="en-AU"/>
              </w:rPr>
            </w:pPr>
          </w:p>
        </w:tc>
        <w:tc>
          <w:tcPr>
            <w:tcW w:w="1187" w:type="dxa"/>
            <w:tcBorders>
              <w:top w:val="single" w:sz="4" w:space="0" w:color="auto"/>
              <w:left w:val="nil"/>
              <w:bottom w:val="double" w:sz="6" w:space="0" w:color="auto"/>
              <w:right w:val="nil"/>
            </w:tcBorders>
            <w:shd w:val="clear" w:color="000000" w:fill="C9E3B4"/>
            <w:noWrap/>
            <w:vAlign w:val="center"/>
            <w:hideMark/>
          </w:tcPr>
          <w:p w14:paraId="670AC902"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4,111,070 </w:t>
            </w:r>
          </w:p>
        </w:tc>
        <w:tc>
          <w:tcPr>
            <w:tcW w:w="113" w:type="dxa"/>
            <w:tcBorders>
              <w:top w:val="nil"/>
              <w:left w:val="nil"/>
              <w:bottom w:val="nil"/>
              <w:right w:val="nil"/>
            </w:tcBorders>
            <w:shd w:val="clear" w:color="auto" w:fill="auto"/>
            <w:noWrap/>
            <w:vAlign w:val="center"/>
            <w:hideMark/>
          </w:tcPr>
          <w:p w14:paraId="23CE4737" w14:textId="77777777" w:rsidR="00913711" w:rsidRPr="00C80475" w:rsidRDefault="00913711" w:rsidP="00E607DA">
            <w:pPr>
              <w:jc w:val="right"/>
              <w:rPr>
                <w:rFonts w:ascii="Meta Pro" w:eastAsia="Times New Roman" w:hAnsi="Meta Pro"/>
                <w:b/>
                <w:bCs/>
                <w:sz w:val="16"/>
                <w:szCs w:val="16"/>
                <w:lang w:eastAsia="en-AU"/>
              </w:rPr>
            </w:pPr>
          </w:p>
        </w:tc>
        <w:tc>
          <w:tcPr>
            <w:tcW w:w="1172" w:type="dxa"/>
            <w:tcBorders>
              <w:top w:val="single" w:sz="4" w:space="0" w:color="auto"/>
              <w:left w:val="nil"/>
              <w:bottom w:val="double" w:sz="6" w:space="0" w:color="auto"/>
              <w:right w:val="nil"/>
            </w:tcBorders>
            <w:shd w:val="clear" w:color="000000" w:fill="C9E3B4"/>
            <w:noWrap/>
            <w:vAlign w:val="center"/>
            <w:hideMark/>
          </w:tcPr>
          <w:p w14:paraId="3B8EDBA1"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1,737,302 </w:t>
            </w:r>
          </w:p>
        </w:tc>
        <w:tc>
          <w:tcPr>
            <w:tcW w:w="113" w:type="dxa"/>
            <w:tcBorders>
              <w:top w:val="nil"/>
              <w:left w:val="nil"/>
              <w:bottom w:val="nil"/>
              <w:right w:val="nil"/>
            </w:tcBorders>
            <w:shd w:val="clear" w:color="auto" w:fill="auto"/>
            <w:noWrap/>
            <w:vAlign w:val="center"/>
            <w:hideMark/>
          </w:tcPr>
          <w:p w14:paraId="728C7060" w14:textId="77777777" w:rsidR="00913711" w:rsidRPr="00C80475" w:rsidRDefault="00913711" w:rsidP="00E607DA">
            <w:pPr>
              <w:jc w:val="right"/>
              <w:rPr>
                <w:rFonts w:ascii="Meta Pro" w:eastAsia="Times New Roman" w:hAnsi="Meta Pro"/>
                <w:b/>
                <w:bCs/>
                <w:sz w:val="16"/>
                <w:szCs w:val="16"/>
                <w:lang w:eastAsia="en-AU"/>
              </w:rPr>
            </w:pPr>
          </w:p>
        </w:tc>
        <w:tc>
          <w:tcPr>
            <w:tcW w:w="1155" w:type="dxa"/>
            <w:tcBorders>
              <w:top w:val="single" w:sz="4" w:space="0" w:color="auto"/>
              <w:left w:val="nil"/>
              <w:bottom w:val="double" w:sz="6" w:space="0" w:color="auto"/>
              <w:right w:val="nil"/>
            </w:tcBorders>
            <w:shd w:val="clear" w:color="000000" w:fill="C9E3B4"/>
            <w:noWrap/>
            <w:vAlign w:val="center"/>
            <w:hideMark/>
          </w:tcPr>
          <w:p w14:paraId="10BFF842"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1,370,952 </w:t>
            </w:r>
          </w:p>
        </w:tc>
        <w:tc>
          <w:tcPr>
            <w:tcW w:w="113" w:type="dxa"/>
            <w:tcBorders>
              <w:top w:val="nil"/>
              <w:left w:val="nil"/>
              <w:bottom w:val="nil"/>
              <w:right w:val="nil"/>
            </w:tcBorders>
            <w:shd w:val="clear" w:color="auto" w:fill="auto"/>
            <w:noWrap/>
            <w:vAlign w:val="center"/>
            <w:hideMark/>
          </w:tcPr>
          <w:p w14:paraId="2FA3A650" w14:textId="77777777" w:rsidR="00913711" w:rsidRPr="00C80475" w:rsidRDefault="00913711" w:rsidP="00E607DA">
            <w:pPr>
              <w:jc w:val="right"/>
              <w:rPr>
                <w:rFonts w:ascii="Meta Pro" w:eastAsia="Times New Roman" w:hAnsi="Meta Pro"/>
                <w:b/>
                <w:bCs/>
                <w:sz w:val="16"/>
                <w:szCs w:val="16"/>
                <w:lang w:eastAsia="en-AU"/>
              </w:rPr>
            </w:pPr>
          </w:p>
        </w:tc>
        <w:tc>
          <w:tcPr>
            <w:tcW w:w="1039" w:type="dxa"/>
            <w:tcBorders>
              <w:top w:val="single" w:sz="4" w:space="0" w:color="auto"/>
              <w:left w:val="nil"/>
              <w:bottom w:val="double" w:sz="6" w:space="0" w:color="auto"/>
              <w:right w:val="nil"/>
            </w:tcBorders>
            <w:shd w:val="clear" w:color="000000" w:fill="C9E3B4"/>
            <w:noWrap/>
            <w:vAlign w:val="center"/>
            <w:hideMark/>
          </w:tcPr>
          <w:p w14:paraId="34301697"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41,451 </w:t>
            </w:r>
          </w:p>
        </w:tc>
        <w:tc>
          <w:tcPr>
            <w:tcW w:w="113" w:type="dxa"/>
            <w:tcBorders>
              <w:top w:val="nil"/>
              <w:left w:val="nil"/>
              <w:bottom w:val="nil"/>
              <w:right w:val="nil"/>
            </w:tcBorders>
            <w:shd w:val="clear" w:color="auto" w:fill="auto"/>
            <w:noWrap/>
            <w:vAlign w:val="center"/>
            <w:hideMark/>
          </w:tcPr>
          <w:p w14:paraId="33DF7C4B" w14:textId="77777777" w:rsidR="00913711" w:rsidRPr="00C80475" w:rsidRDefault="00913711" w:rsidP="00E607DA">
            <w:pPr>
              <w:jc w:val="right"/>
              <w:rPr>
                <w:rFonts w:ascii="Meta Pro" w:eastAsia="Times New Roman" w:hAnsi="Meta Pro"/>
                <w:b/>
                <w:bCs/>
                <w:sz w:val="16"/>
                <w:szCs w:val="16"/>
                <w:lang w:eastAsia="en-AU"/>
              </w:rPr>
            </w:pPr>
          </w:p>
        </w:tc>
        <w:tc>
          <w:tcPr>
            <w:tcW w:w="1134" w:type="dxa"/>
            <w:tcBorders>
              <w:top w:val="single" w:sz="4" w:space="0" w:color="auto"/>
              <w:left w:val="nil"/>
              <w:bottom w:val="double" w:sz="6" w:space="0" w:color="auto"/>
              <w:right w:val="nil"/>
            </w:tcBorders>
            <w:shd w:val="clear" w:color="000000" w:fill="C9E3B4"/>
            <w:noWrap/>
            <w:vAlign w:val="center"/>
            <w:hideMark/>
          </w:tcPr>
          <w:p w14:paraId="1FB01021"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126,719 </w:t>
            </w:r>
          </w:p>
        </w:tc>
        <w:tc>
          <w:tcPr>
            <w:tcW w:w="113" w:type="dxa"/>
            <w:tcBorders>
              <w:top w:val="nil"/>
              <w:left w:val="nil"/>
              <w:bottom w:val="nil"/>
              <w:right w:val="nil"/>
            </w:tcBorders>
            <w:shd w:val="clear" w:color="auto" w:fill="auto"/>
            <w:noWrap/>
            <w:vAlign w:val="center"/>
            <w:hideMark/>
          </w:tcPr>
          <w:p w14:paraId="40679562" w14:textId="77777777" w:rsidR="00913711" w:rsidRPr="00C80475" w:rsidRDefault="00913711" w:rsidP="00E607DA">
            <w:pPr>
              <w:jc w:val="right"/>
              <w:rPr>
                <w:rFonts w:ascii="Meta Pro" w:eastAsia="Times New Roman" w:hAnsi="Meta Pro"/>
                <w:b/>
                <w:bCs/>
                <w:sz w:val="16"/>
                <w:szCs w:val="16"/>
                <w:lang w:eastAsia="en-AU"/>
              </w:rPr>
            </w:pPr>
          </w:p>
        </w:tc>
        <w:tc>
          <w:tcPr>
            <w:tcW w:w="1111" w:type="dxa"/>
            <w:tcBorders>
              <w:top w:val="single" w:sz="4" w:space="0" w:color="auto"/>
              <w:left w:val="nil"/>
              <w:bottom w:val="double" w:sz="6" w:space="0" w:color="auto"/>
              <w:right w:val="nil"/>
            </w:tcBorders>
            <w:shd w:val="clear" w:color="000000" w:fill="C9E3B4"/>
            <w:noWrap/>
            <w:vAlign w:val="center"/>
            <w:hideMark/>
          </w:tcPr>
          <w:p w14:paraId="60DAB0CF"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76,367 </w:t>
            </w:r>
          </w:p>
        </w:tc>
        <w:tc>
          <w:tcPr>
            <w:tcW w:w="113" w:type="dxa"/>
            <w:tcBorders>
              <w:top w:val="nil"/>
              <w:left w:val="nil"/>
              <w:bottom w:val="nil"/>
              <w:right w:val="nil"/>
            </w:tcBorders>
            <w:shd w:val="clear" w:color="auto" w:fill="auto"/>
            <w:noWrap/>
            <w:vAlign w:val="center"/>
            <w:hideMark/>
          </w:tcPr>
          <w:p w14:paraId="40BDD7BB" w14:textId="77777777" w:rsidR="00913711" w:rsidRPr="00C80475" w:rsidRDefault="00913711" w:rsidP="00E607DA">
            <w:pPr>
              <w:jc w:val="right"/>
              <w:rPr>
                <w:rFonts w:ascii="Meta Pro" w:eastAsia="Times New Roman" w:hAnsi="Meta Pro"/>
                <w:b/>
                <w:bCs/>
                <w:sz w:val="16"/>
                <w:szCs w:val="16"/>
                <w:lang w:eastAsia="en-AU"/>
              </w:rPr>
            </w:pPr>
          </w:p>
        </w:tc>
        <w:tc>
          <w:tcPr>
            <w:tcW w:w="1205" w:type="dxa"/>
            <w:tcBorders>
              <w:top w:val="single" w:sz="4" w:space="0" w:color="auto"/>
              <w:left w:val="nil"/>
              <w:bottom w:val="double" w:sz="6" w:space="0" w:color="auto"/>
              <w:right w:val="nil"/>
            </w:tcBorders>
            <w:shd w:val="clear" w:color="000000" w:fill="C9E3B4"/>
            <w:noWrap/>
            <w:vAlign w:val="center"/>
            <w:hideMark/>
          </w:tcPr>
          <w:p w14:paraId="4E09F54D" w14:textId="77777777" w:rsidR="00913711" w:rsidRPr="00C80475" w:rsidRDefault="00913711" w:rsidP="00E607DA">
            <w:pPr>
              <w:jc w:val="right"/>
              <w:rPr>
                <w:rFonts w:ascii="Meta Pro" w:eastAsia="Times New Roman" w:hAnsi="Meta Pro"/>
                <w:b/>
                <w:bCs/>
                <w:sz w:val="16"/>
                <w:szCs w:val="16"/>
                <w:lang w:eastAsia="en-AU"/>
              </w:rPr>
            </w:pPr>
            <w:r w:rsidRPr="00C80475">
              <w:rPr>
                <w:rFonts w:ascii="Meta Pro" w:eastAsia="Times New Roman" w:hAnsi="Meta Pro"/>
                <w:b/>
                <w:bCs/>
                <w:sz w:val="16"/>
                <w:szCs w:val="16"/>
                <w:lang w:eastAsia="en-AU"/>
              </w:rPr>
              <w:t xml:space="preserve">8,124,852 </w:t>
            </w:r>
          </w:p>
        </w:tc>
      </w:tr>
    </w:tbl>
    <w:p w14:paraId="7F746E50" w14:textId="77777777" w:rsidR="00913711" w:rsidRPr="00092B22" w:rsidRDefault="00913711" w:rsidP="00913711">
      <w:pPr>
        <w:spacing w:before="60"/>
        <w:rPr>
          <w:rFonts w:ascii="Meta Pro" w:eastAsia="Times New Roman" w:hAnsi="Meta Pro"/>
          <w:sz w:val="16"/>
          <w:szCs w:val="16"/>
          <w:lang w:eastAsia="en-AU"/>
        </w:rPr>
      </w:pPr>
      <w:r w:rsidRPr="00092B22">
        <w:rPr>
          <w:rFonts w:ascii="Meta Pro" w:eastAsia="Times New Roman" w:hAnsi="Meta Pro"/>
          <w:sz w:val="16"/>
          <w:szCs w:val="16"/>
          <w:lang w:eastAsia="en-AU"/>
        </w:rPr>
        <w:t>* Work in progress relates to the Gold Coast Light Rail stage 3 assets.</w:t>
      </w:r>
    </w:p>
    <w:p w14:paraId="30B8F2AB" w14:textId="77777777" w:rsidR="00913711" w:rsidRDefault="00913711" w:rsidP="00913711">
      <w:pPr>
        <w:spacing w:before="60"/>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The department has assessed market sensitivity and fair value movements from the valuation date to 30 June 2022 for its significant assets. Accordingly an </w:t>
      </w:r>
      <w:r>
        <w:rPr>
          <w:rFonts w:ascii="Meta Pro" w:eastAsia="Times New Roman" w:hAnsi="Meta Pro"/>
          <w:sz w:val="16"/>
          <w:szCs w:val="16"/>
          <w:lang w:eastAsia="en-AU"/>
        </w:rPr>
        <w:t xml:space="preserve">additional </w:t>
      </w:r>
      <w:r w:rsidRPr="00092B22">
        <w:rPr>
          <w:rFonts w:ascii="Meta Pro" w:eastAsia="Times New Roman" w:hAnsi="Meta Pro"/>
          <w:sz w:val="16"/>
          <w:szCs w:val="16"/>
          <w:lang w:eastAsia="en-AU"/>
        </w:rPr>
        <w:t>adjustment of $329.530m has been made to the carrying</w:t>
      </w:r>
    </w:p>
    <w:p w14:paraId="7C7AA247" w14:textId="09F8DA78" w:rsidR="00305C62" w:rsidRDefault="00913711" w:rsidP="00913711">
      <w:pPr>
        <w:rPr>
          <w:rFonts w:ascii="Meta Pro" w:eastAsia="Times New Roman" w:hAnsi="Meta Pro"/>
          <w:sz w:val="16"/>
          <w:szCs w:val="16"/>
          <w:lang w:eastAsia="en-AU"/>
        </w:rPr>
      </w:pPr>
      <w:r>
        <w:rPr>
          <w:rFonts w:ascii="Meta Pro" w:eastAsia="Times New Roman" w:hAnsi="Meta Pro"/>
          <w:sz w:val="16"/>
          <w:szCs w:val="16"/>
          <w:lang w:eastAsia="en-AU"/>
        </w:rPr>
        <w:t xml:space="preserve">     </w:t>
      </w:r>
      <w:r w:rsidRPr="00092B22">
        <w:rPr>
          <w:rFonts w:ascii="Meta Pro" w:eastAsia="Times New Roman" w:hAnsi="Meta Pro"/>
          <w:sz w:val="16"/>
          <w:szCs w:val="16"/>
          <w:lang w:eastAsia="en-AU"/>
        </w:rPr>
        <w:t>amount of</w:t>
      </w:r>
      <w:r>
        <w:rPr>
          <w:rFonts w:ascii="Meta Pro" w:eastAsia="Times New Roman" w:hAnsi="Meta Pro"/>
          <w:sz w:val="16"/>
          <w:szCs w:val="16"/>
          <w:lang w:eastAsia="en-AU"/>
        </w:rPr>
        <w:t xml:space="preserve"> </w:t>
      </w:r>
      <w:r w:rsidRPr="00092B22">
        <w:rPr>
          <w:rFonts w:ascii="Meta Pro" w:eastAsia="Times New Roman" w:hAnsi="Meta Pro"/>
          <w:sz w:val="16"/>
          <w:szCs w:val="16"/>
          <w:lang w:eastAsia="en-AU"/>
        </w:rPr>
        <w:t>the Toowoomba Bypass, AirportLink, Gateway and Logan motorway assets since the valuation, as a result of significant increases in the market rates of inputs such as raw materials, plant and labour.</w:t>
      </w:r>
    </w:p>
    <w:p w14:paraId="2AE1DB14" w14:textId="359E4B8F" w:rsidR="00913711" w:rsidRDefault="00913711" w:rsidP="00913711">
      <w:pPr>
        <w:rPr>
          <w:rFonts w:ascii="Meta Pro" w:eastAsia="Times New Roman" w:hAnsi="Meta Pro"/>
          <w:sz w:val="16"/>
          <w:szCs w:val="16"/>
          <w:lang w:eastAsia="en-AU"/>
        </w:rPr>
      </w:pPr>
    </w:p>
    <w:p w14:paraId="14C576C2" w14:textId="7669A0BA" w:rsidR="00913711" w:rsidRDefault="00913711" w:rsidP="00913711">
      <w:pPr>
        <w:rPr>
          <w:rFonts w:ascii="Meta Pro" w:eastAsia="Times New Roman" w:hAnsi="Meta Pro"/>
          <w:sz w:val="16"/>
          <w:szCs w:val="16"/>
          <w:lang w:eastAsia="en-AU"/>
        </w:rPr>
      </w:pPr>
    </w:p>
    <w:p w14:paraId="4D47FEDF" w14:textId="5E09A23A" w:rsidR="00913711" w:rsidRDefault="00913711" w:rsidP="00913711">
      <w:pPr>
        <w:rPr>
          <w:rFonts w:ascii="Meta Pro" w:eastAsia="Times New Roman" w:hAnsi="Meta Pro"/>
          <w:sz w:val="16"/>
          <w:szCs w:val="16"/>
          <w:lang w:eastAsia="en-AU"/>
        </w:rPr>
      </w:pPr>
    </w:p>
    <w:p w14:paraId="32A17685" w14:textId="77777777" w:rsidR="00913711" w:rsidRDefault="00913711" w:rsidP="00913711">
      <w:pPr>
        <w:rPr>
          <w:rFonts w:ascii="Meta Pro" w:hAnsi="Meta Pro"/>
          <w:b/>
          <w:bCs/>
          <w:szCs w:val="18"/>
          <w:lang w:eastAsia="en-AU"/>
        </w:rPr>
      </w:pPr>
    </w:p>
    <w:p w14:paraId="1979AA67" w14:textId="77777777" w:rsidR="00305C62" w:rsidRDefault="00305C62" w:rsidP="00DA0770">
      <w:pPr>
        <w:rPr>
          <w:rFonts w:ascii="Meta Pro" w:hAnsi="Meta Pro"/>
          <w:b/>
          <w:bCs/>
          <w:szCs w:val="18"/>
          <w:lang w:eastAsia="en-AU"/>
        </w:rPr>
      </w:pPr>
    </w:p>
    <w:tbl>
      <w:tblPr>
        <w:tblW w:w="0" w:type="auto"/>
        <w:tblCellMar>
          <w:left w:w="0" w:type="dxa"/>
        </w:tblCellMar>
        <w:tblLook w:val="04A0" w:firstRow="1" w:lastRow="0" w:firstColumn="1" w:lastColumn="0" w:noHBand="0" w:noVBand="1"/>
      </w:tblPr>
      <w:tblGrid>
        <w:gridCol w:w="3693"/>
        <w:gridCol w:w="1000"/>
        <w:gridCol w:w="112"/>
        <w:gridCol w:w="1125"/>
        <w:gridCol w:w="113"/>
        <w:gridCol w:w="1078"/>
        <w:gridCol w:w="113"/>
        <w:gridCol w:w="1060"/>
        <w:gridCol w:w="113"/>
        <w:gridCol w:w="1056"/>
        <w:gridCol w:w="113"/>
        <w:gridCol w:w="943"/>
        <w:gridCol w:w="113"/>
        <w:gridCol w:w="25"/>
        <w:gridCol w:w="1007"/>
        <w:gridCol w:w="113"/>
        <w:gridCol w:w="1010"/>
        <w:gridCol w:w="113"/>
        <w:gridCol w:w="1102"/>
      </w:tblGrid>
      <w:tr w:rsidR="00F65618" w:rsidRPr="00701B39" w14:paraId="7ED43A48" w14:textId="77777777" w:rsidTr="00E607DA">
        <w:trPr>
          <w:gridAfter w:val="5"/>
          <w:wAfter w:w="1263" w:type="dxa"/>
          <w:trHeight w:val="113"/>
        </w:trPr>
        <w:tc>
          <w:tcPr>
            <w:tcW w:w="1247" w:type="dxa"/>
            <w:gridSpan w:val="14"/>
            <w:tcBorders>
              <w:top w:val="nil"/>
              <w:left w:val="nil"/>
              <w:bottom w:val="nil"/>
              <w:right w:val="nil"/>
            </w:tcBorders>
            <w:shd w:val="clear" w:color="auto" w:fill="auto"/>
            <w:noWrap/>
            <w:vAlign w:val="center"/>
            <w:hideMark/>
          </w:tcPr>
          <w:p w14:paraId="1007304A" w14:textId="77777777" w:rsidR="00F65618" w:rsidRPr="00701B39" w:rsidRDefault="00F65618" w:rsidP="00E607DA">
            <w:pPr>
              <w:rPr>
                <w:rFonts w:ascii="Meta Pro" w:eastAsia="Times New Roman" w:hAnsi="Meta Pro"/>
                <w:b/>
                <w:bCs/>
                <w:sz w:val="20"/>
                <w:szCs w:val="20"/>
                <w:lang w:eastAsia="en-AU"/>
              </w:rPr>
            </w:pPr>
            <w:r w:rsidRPr="00701B39">
              <w:rPr>
                <w:rFonts w:ascii="Meta Pro" w:eastAsia="Times New Roman" w:hAnsi="Meta Pro"/>
                <w:b/>
                <w:bCs/>
                <w:sz w:val="20"/>
                <w:szCs w:val="20"/>
                <w:lang w:eastAsia="en-AU"/>
              </w:rPr>
              <w:lastRenderedPageBreak/>
              <w:t>16     PUBLIC PRIVATE PARTNERSHIPS (continued)</w:t>
            </w:r>
          </w:p>
        </w:tc>
      </w:tr>
      <w:tr w:rsidR="00F65618" w:rsidRPr="00701B39" w14:paraId="38A58CC3" w14:textId="77777777" w:rsidTr="00E607DA">
        <w:trPr>
          <w:trHeight w:val="113"/>
        </w:trPr>
        <w:tc>
          <w:tcPr>
            <w:tcW w:w="4759" w:type="dxa"/>
            <w:tcBorders>
              <w:top w:val="nil"/>
              <w:left w:val="nil"/>
              <w:bottom w:val="nil"/>
              <w:right w:val="nil"/>
            </w:tcBorders>
            <w:shd w:val="clear" w:color="auto" w:fill="auto"/>
            <w:noWrap/>
            <w:vAlign w:val="center"/>
            <w:hideMark/>
          </w:tcPr>
          <w:p w14:paraId="2ECCCD39" w14:textId="77777777" w:rsidR="00F65618" w:rsidRPr="00701B39" w:rsidRDefault="00F65618" w:rsidP="00E607DA">
            <w:pPr>
              <w:rPr>
                <w:rFonts w:ascii="Meta Pro" w:eastAsia="Times New Roman" w:hAnsi="Meta Pro"/>
                <w:b/>
                <w:bCs/>
                <w:sz w:val="20"/>
                <w:szCs w:val="20"/>
                <w:lang w:eastAsia="en-AU"/>
              </w:rPr>
            </w:pPr>
          </w:p>
        </w:tc>
        <w:tc>
          <w:tcPr>
            <w:tcW w:w="1260" w:type="dxa"/>
            <w:tcBorders>
              <w:top w:val="nil"/>
              <w:left w:val="nil"/>
              <w:bottom w:val="nil"/>
              <w:right w:val="nil"/>
            </w:tcBorders>
            <w:shd w:val="clear" w:color="auto" w:fill="auto"/>
            <w:noWrap/>
            <w:vAlign w:val="center"/>
            <w:hideMark/>
          </w:tcPr>
          <w:p w14:paraId="01E9E14C"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0474CF12" w14:textId="77777777" w:rsidR="00F65618" w:rsidRPr="00701B39" w:rsidRDefault="00F65618" w:rsidP="00E607DA">
            <w:pPr>
              <w:rPr>
                <w:rFonts w:ascii="Meta Pro" w:eastAsia="Times New Roman" w:hAnsi="Meta Pro" w:cs="Times New Roman"/>
                <w:sz w:val="20"/>
                <w:szCs w:val="20"/>
                <w:lang w:eastAsia="en-AU"/>
              </w:rPr>
            </w:pPr>
          </w:p>
        </w:tc>
        <w:tc>
          <w:tcPr>
            <w:tcW w:w="1421" w:type="dxa"/>
            <w:tcBorders>
              <w:top w:val="nil"/>
              <w:left w:val="nil"/>
              <w:bottom w:val="nil"/>
              <w:right w:val="nil"/>
            </w:tcBorders>
            <w:shd w:val="clear" w:color="auto" w:fill="auto"/>
            <w:noWrap/>
            <w:vAlign w:val="center"/>
            <w:hideMark/>
          </w:tcPr>
          <w:p w14:paraId="10388A56"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641FB077" w14:textId="77777777" w:rsidR="00F65618" w:rsidRPr="00701B39" w:rsidRDefault="00F65618" w:rsidP="00E607DA">
            <w:pPr>
              <w:jc w:val="center"/>
              <w:rPr>
                <w:rFonts w:ascii="Meta Pro" w:eastAsia="Times New Roman" w:hAnsi="Meta Pro" w:cs="Times New Roman"/>
                <w:sz w:val="20"/>
                <w:szCs w:val="20"/>
                <w:lang w:eastAsia="en-AU"/>
              </w:rPr>
            </w:pPr>
          </w:p>
        </w:tc>
        <w:tc>
          <w:tcPr>
            <w:tcW w:w="1360" w:type="dxa"/>
            <w:tcBorders>
              <w:top w:val="nil"/>
              <w:left w:val="nil"/>
              <w:bottom w:val="nil"/>
              <w:right w:val="nil"/>
            </w:tcBorders>
            <w:shd w:val="clear" w:color="auto" w:fill="auto"/>
            <w:noWrap/>
            <w:vAlign w:val="center"/>
            <w:hideMark/>
          </w:tcPr>
          <w:p w14:paraId="2EC1AEC5"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575A7C27" w14:textId="77777777" w:rsidR="00F65618" w:rsidRPr="00701B39" w:rsidRDefault="00F65618" w:rsidP="00E607DA">
            <w:pPr>
              <w:jc w:val="center"/>
              <w:rPr>
                <w:rFonts w:ascii="Meta Pro" w:eastAsia="Times New Roman" w:hAnsi="Meta Pro" w:cs="Times New Roman"/>
                <w:sz w:val="20"/>
                <w:szCs w:val="20"/>
                <w:lang w:eastAsia="en-AU"/>
              </w:rPr>
            </w:pPr>
          </w:p>
        </w:tc>
        <w:tc>
          <w:tcPr>
            <w:tcW w:w="1337" w:type="dxa"/>
            <w:tcBorders>
              <w:top w:val="nil"/>
              <w:left w:val="nil"/>
              <w:bottom w:val="nil"/>
              <w:right w:val="nil"/>
            </w:tcBorders>
            <w:shd w:val="clear" w:color="auto" w:fill="auto"/>
            <w:noWrap/>
            <w:vAlign w:val="center"/>
            <w:hideMark/>
          </w:tcPr>
          <w:p w14:paraId="4559D409"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22283E61" w14:textId="77777777" w:rsidR="00F65618" w:rsidRPr="00701B39" w:rsidRDefault="00F65618" w:rsidP="00E607DA">
            <w:pPr>
              <w:jc w:val="center"/>
              <w:rPr>
                <w:rFonts w:ascii="Meta Pro" w:eastAsia="Times New Roman" w:hAnsi="Meta Pro" w:cs="Times New Roman"/>
                <w:sz w:val="20"/>
                <w:szCs w:val="20"/>
                <w:lang w:eastAsia="en-AU"/>
              </w:rPr>
            </w:pPr>
          </w:p>
        </w:tc>
        <w:tc>
          <w:tcPr>
            <w:tcW w:w="1332" w:type="dxa"/>
            <w:tcBorders>
              <w:top w:val="nil"/>
              <w:left w:val="nil"/>
              <w:bottom w:val="nil"/>
              <w:right w:val="nil"/>
            </w:tcBorders>
            <w:shd w:val="clear" w:color="auto" w:fill="auto"/>
            <w:noWrap/>
            <w:vAlign w:val="center"/>
            <w:hideMark/>
          </w:tcPr>
          <w:p w14:paraId="7CEDD24C"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4AA99D41" w14:textId="77777777" w:rsidR="00F65618" w:rsidRPr="00701B39" w:rsidRDefault="00F65618" w:rsidP="00E607DA">
            <w:pPr>
              <w:jc w:val="center"/>
              <w:rPr>
                <w:rFonts w:ascii="Meta Pro" w:eastAsia="Times New Roman" w:hAnsi="Meta Pro" w:cs="Times New Roman"/>
                <w:sz w:val="20"/>
                <w:szCs w:val="20"/>
                <w:lang w:eastAsia="en-AU"/>
              </w:rPr>
            </w:pPr>
          </w:p>
        </w:tc>
        <w:tc>
          <w:tcPr>
            <w:tcW w:w="1185" w:type="dxa"/>
            <w:tcBorders>
              <w:top w:val="nil"/>
              <w:left w:val="nil"/>
              <w:bottom w:val="nil"/>
              <w:right w:val="nil"/>
            </w:tcBorders>
            <w:shd w:val="clear" w:color="auto" w:fill="auto"/>
            <w:noWrap/>
            <w:vAlign w:val="center"/>
            <w:hideMark/>
          </w:tcPr>
          <w:p w14:paraId="680292F7"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45CCEB17" w14:textId="77777777" w:rsidR="00F65618" w:rsidRPr="00701B39" w:rsidRDefault="00F65618" w:rsidP="00E607DA">
            <w:pPr>
              <w:jc w:val="center"/>
              <w:rPr>
                <w:rFonts w:ascii="Meta Pro" w:eastAsia="Times New Roman" w:hAnsi="Meta Pro" w:cs="Times New Roman"/>
                <w:sz w:val="20"/>
                <w:szCs w:val="20"/>
                <w:lang w:eastAsia="en-AU"/>
              </w:rPr>
            </w:pPr>
          </w:p>
        </w:tc>
        <w:tc>
          <w:tcPr>
            <w:tcW w:w="1300" w:type="dxa"/>
            <w:gridSpan w:val="2"/>
            <w:tcBorders>
              <w:top w:val="nil"/>
              <w:left w:val="nil"/>
              <w:bottom w:val="nil"/>
              <w:right w:val="nil"/>
            </w:tcBorders>
            <w:shd w:val="clear" w:color="auto" w:fill="auto"/>
            <w:noWrap/>
            <w:vAlign w:val="center"/>
            <w:hideMark/>
          </w:tcPr>
          <w:p w14:paraId="6163B7A2"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4988995E" w14:textId="77777777" w:rsidR="00F65618" w:rsidRPr="00701B39" w:rsidRDefault="00F65618" w:rsidP="00E607DA">
            <w:pPr>
              <w:jc w:val="center"/>
              <w:rPr>
                <w:rFonts w:ascii="Meta Pro" w:eastAsia="Times New Roman" w:hAnsi="Meta Pro" w:cs="Times New Roman"/>
                <w:sz w:val="20"/>
                <w:szCs w:val="20"/>
                <w:lang w:eastAsia="en-AU"/>
              </w:rPr>
            </w:pPr>
          </w:p>
        </w:tc>
        <w:tc>
          <w:tcPr>
            <w:tcW w:w="1272" w:type="dxa"/>
            <w:tcBorders>
              <w:top w:val="nil"/>
              <w:left w:val="nil"/>
              <w:bottom w:val="nil"/>
              <w:right w:val="nil"/>
            </w:tcBorders>
            <w:shd w:val="clear" w:color="auto" w:fill="auto"/>
            <w:noWrap/>
            <w:vAlign w:val="center"/>
            <w:hideMark/>
          </w:tcPr>
          <w:p w14:paraId="18708AFC"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3090A53D" w14:textId="77777777" w:rsidR="00F65618" w:rsidRPr="00701B39" w:rsidRDefault="00F65618" w:rsidP="00E607DA">
            <w:pPr>
              <w:jc w:val="center"/>
              <w:rPr>
                <w:rFonts w:ascii="Meta Pro" w:eastAsia="Times New Roman" w:hAnsi="Meta Pro" w:cs="Times New Roman"/>
                <w:sz w:val="20"/>
                <w:szCs w:val="20"/>
                <w:lang w:eastAsia="en-AU"/>
              </w:rPr>
            </w:pPr>
          </w:p>
        </w:tc>
        <w:tc>
          <w:tcPr>
            <w:tcW w:w="1391" w:type="dxa"/>
            <w:tcBorders>
              <w:top w:val="nil"/>
              <w:left w:val="nil"/>
              <w:bottom w:val="nil"/>
              <w:right w:val="nil"/>
            </w:tcBorders>
            <w:shd w:val="clear" w:color="auto" w:fill="auto"/>
            <w:noWrap/>
            <w:vAlign w:val="center"/>
            <w:hideMark/>
          </w:tcPr>
          <w:p w14:paraId="381FD7C6" w14:textId="77777777" w:rsidR="00F65618" w:rsidRPr="00701B39" w:rsidRDefault="00F65618" w:rsidP="00E607DA">
            <w:pPr>
              <w:rPr>
                <w:rFonts w:ascii="Meta Pro" w:eastAsia="Times New Roman" w:hAnsi="Meta Pro" w:cs="Times New Roman"/>
                <w:sz w:val="20"/>
                <w:szCs w:val="20"/>
                <w:lang w:eastAsia="en-AU"/>
              </w:rPr>
            </w:pPr>
          </w:p>
        </w:tc>
      </w:tr>
      <w:tr w:rsidR="00F65618" w:rsidRPr="00701B39" w14:paraId="601BC7BE" w14:textId="77777777" w:rsidTr="00E607DA">
        <w:trPr>
          <w:gridAfter w:val="5"/>
          <w:wAfter w:w="1263" w:type="dxa"/>
          <w:trHeight w:val="113"/>
        </w:trPr>
        <w:tc>
          <w:tcPr>
            <w:tcW w:w="1247" w:type="dxa"/>
            <w:gridSpan w:val="14"/>
            <w:tcBorders>
              <w:top w:val="nil"/>
              <w:left w:val="nil"/>
              <w:bottom w:val="nil"/>
              <w:right w:val="nil"/>
            </w:tcBorders>
            <w:shd w:val="clear" w:color="auto" w:fill="auto"/>
            <w:noWrap/>
            <w:vAlign w:val="center"/>
            <w:hideMark/>
          </w:tcPr>
          <w:p w14:paraId="4215F9C5" w14:textId="77777777" w:rsidR="00F65618" w:rsidRPr="00701B39" w:rsidRDefault="00F65618" w:rsidP="00E607DA">
            <w:pPr>
              <w:rPr>
                <w:rFonts w:ascii="Meta Pro" w:eastAsia="Times New Roman" w:hAnsi="Meta Pro"/>
                <w:b/>
                <w:bCs/>
                <w:sz w:val="20"/>
                <w:szCs w:val="20"/>
                <w:lang w:eastAsia="en-AU"/>
              </w:rPr>
            </w:pPr>
            <w:r w:rsidRPr="00701B39">
              <w:rPr>
                <w:rFonts w:ascii="Meta Pro" w:eastAsia="Times New Roman" w:hAnsi="Meta Pro"/>
                <w:b/>
                <w:bCs/>
                <w:sz w:val="20"/>
                <w:szCs w:val="20"/>
                <w:lang w:eastAsia="en-AU"/>
              </w:rPr>
              <w:t>SERVICE CONCESSION ARRANGEMENTS UNDER AASB 1059 (continued)</w:t>
            </w:r>
          </w:p>
        </w:tc>
      </w:tr>
      <w:tr w:rsidR="00F65618" w:rsidRPr="00701B39" w14:paraId="193ABAFF" w14:textId="77777777" w:rsidTr="00E607DA">
        <w:trPr>
          <w:trHeight w:val="113"/>
        </w:trPr>
        <w:tc>
          <w:tcPr>
            <w:tcW w:w="4759" w:type="dxa"/>
            <w:tcBorders>
              <w:top w:val="nil"/>
              <w:left w:val="nil"/>
              <w:bottom w:val="nil"/>
              <w:right w:val="nil"/>
            </w:tcBorders>
            <w:shd w:val="clear" w:color="auto" w:fill="auto"/>
            <w:noWrap/>
            <w:vAlign w:val="center"/>
            <w:hideMark/>
          </w:tcPr>
          <w:p w14:paraId="24CAA150" w14:textId="77777777" w:rsidR="00F65618" w:rsidRPr="00701B39" w:rsidRDefault="00F65618" w:rsidP="00E607DA">
            <w:pPr>
              <w:rPr>
                <w:rFonts w:ascii="Meta Pro" w:eastAsia="Times New Roman" w:hAnsi="Meta Pro"/>
                <w:b/>
                <w:bCs/>
                <w:sz w:val="20"/>
                <w:szCs w:val="20"/>
                <w:lang w:eastAsia="en-AU"/>
              </w:rPr>
            </w:pPr>
          </w:p>
        </w:tc>
        <w:tc>
          <w:tcPr>
            <w:tcW w:w="1260" w:type="dxa"/>
            <w:tcBorders>
              <w:top w:val="nil"/>
              <w:left w:val="nil"/>
              <w:bottom w:val="nil"/>
              <w:right w:val="nil"/>
            </w:tcBorders>
            <w:shd w:val="clear" w:color="auto" w:fill="auto"/>
            <w:noWrap/>
            <w:vAlign w:val="center"/>
            <w:hideMark/>
          </w:tcPr>
          <w:p w14:paraId="0C9B3303"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3900AF5D" w14:textId="77777777" w:rsidR="00F65618" w:rsidRPr="00701B39" w:rsidRDefault="00F65618" w:rsidP="00E607DA">
            <w:pPr>
              <w:rPr>
                <w:rFonts w:ascii="Meta Pro" w:eastAsia="Times New Roman" w:hAnsi="Meta Pro" w:cs="Times New Roman"/>
                <w:sz w:val="20"/>
                <w:szCs w:val="20"/>
                <w:lang w:eastAsia="en-AU"/>
              </w:rPr>
            </w:pPr>
          </w:p>
        </w:tc>
        <w:tc>
          <w:tcPr>
            <w:tcW w:w="1421" w:type="dxa"/>
            <w:tcBorders>
              <w:top w:val="nil"/>
              <w:left w:val="nil"/>
              <w:bottom w:val="nil"/>
              <w:right w:val="nil"/>
            </w:tcBorders>
            <w:shd w:val="clear" w:color="auto" w:fill="auto"/>
            <w:noWrap/>
            <w:vAlign w:val="center"/>
            <w:hideMark/>
          </w:tcPr>
          <w:p w14:paraId="6A54623E"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4249CE19" w14:textId="77777777" w:rsidR="00F65618" w:rsidRPr="00701B39" w:rsidRDefault="00F65618" w:rsidP="00E607DA">
            <w:pPr>
              <w:jc w:val="center"/>
              <w:rPr>
                <w:rFonts w:ascii="Meta Pro" w:eastAsia="Times New Roman" w:hAnsi="Meta Pro" w:cs="Times New Roman"/>
                <w:sz w:val="20"/>
                <w:szCs w:val="20"/>
                <w:lang w:eastAsia="en-AU"/>
              </w:rPr>
            </w:pPr>
          </w:p>
        </w:tc>
        <w:tc>
          <w:tcPr>
            <w:tcW w:w="1360" w:type="dxa"/>
            <w:tcBorders>
              <w:top w:val="nil"/>
              <w:left w:val="nil"/>
              <w:bottom w:val="nil"/>
              <w:right w:val="nil"/>
            </w:tcBorders>
            <w:shd w:val="clear" w:color="auto" w:fill="auto"/>
            <w:noWrap/>
            <w:vAlign w:val="center"/>
            <w:hideMark/>
          </w:tcPr>
          <w:p w14:paraId="24746C4D"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216B89EF" w14:textId="77777777" w:rsidR="00F65618" w:rsidRPr="00701B39" w:rsidRDefault="00F65618" w:rsidP="00E607DA">
            <w:pPr>
              <w:jc w:val="center"/>
              <w:rPr>
                <w:rFonts w:ascii="Meta Pro" w:eastAsia="Times New Roman" w:hAnsi="Meta Pro" w:cs="Times New Roman"/>
                <w:sz w:val="20"/>
                <w:szCs w:val="20"/>
                <w:lang w:eastAsia="en-AU"/>
              </w:rPr>
            </w:pPr>
          </w:p>
        </w:tc>
        <w:tc>
          <w:tcPr>
            <w:tcW w:w="1337" w:type="dxa"/>
            <w:tcBorders>
              <w:top w:val="nil"/>
              <w:left w:val="nil"/>
              <w:bottom w:val="nil"/>
              <w:right w:val="nil"/>
            </w:tcBorders>
            <w:shd w:val="clear" w:color="auto" w:fill="auto"/>
            <w:noWrap/>
            <w:vAlign w:val="center"/>
            <w:hideMark/>
          </w:tcPr>
          <w:p w14:paraId="35976600"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0C30CF1E" w14:textId="77777777" w:rsidR="00F65618" w:rsidRPr="00701B39" w:rsidRDefault="00F65618" w:rsidP="00E607DA">
            <w:pPr>
              <w:jc w:val="center"/>
              <w:rPr>
                <w:rFonts w:ascii="Meta Pro" w:eastAsia="Times New Roman" w:hAnsi="Meta Pro" w:cs="Times New Roman"/>
                <w:sz w:val="20"/>
                <w:szCs w:val="20"/>
                <w:lang w:eastAsia="en-AU"/>
              </w:rPr>
            </w:pPr>
          </w:p>
        </w:tc>
        <w:tc>
          <w:tcPr>
            <w:tcW w:w="1332" w:type="dxa"/>
            <w:tcBorders>
              <w:top w:val="nil"/>
              <w:left w:val="nil"/>
              <w:bottom w:val="nil"/>
              <w:right w:val="nil"/>
            </w:tcBorders>
            <w:shd w:val="clear" w:color="auto" w:fill="auto"/>
            <w:noWrap/>
            <w:vAlign w:val="center"/>
            <w:hideMark/>
          </w:tcPr>
          <w:p w14:paraId="47865F74"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0908CFC4" w14:textId="77777777" w:rsidR="00F65618" w:rsidRPr="00701B39" w:rsidRDefault="00F65618" w:rsidP="00E607DA">
            <w:pPr>
              <w:jc w:val="center"/>
              <w:rPr>
                <w:rFonts w:ascii="Meta Pro" w:eastAsia="Times New Roman" w:hAnsi="Meta Pro" w:cs="Times New Roman"/>
                <w:sz w:val="20"/>
                <w:szCs w:val="20"/>
                <w:lang w:eastAsia="en-AU"/>
              </w:rPr>
            </w:pPr>
          </w:p>
        </w:tc>
        <w:tc>
          <w:tcPr>
            <w:tcW w:w="1185" w:type="dxa"/>
            <w:tcBorders>
              <w:top w:val="nil"/>
              <w:left w:val="nil"/>
              <w:bottom w:val="nil"/>
              <w:right w:val="nil"/>
            </w:tcBorders>
            <w:shd w:val="clear" w:color="auto" w:fill="auto"/>
            <w:noWrap/>
            <w:vAlign w:val="center"/>
            <w:hideMark/>
          </w:tcPr>
          <w:p w14:paraId="321757E3"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44937675" w14:textId="77777777" w:rsidR="00F65618" w:rsidRPr="00701B39" w:rsidRDefault="00F65618" w:rsidP="00E607DA">
            <w:pPr>
              <w:jc w:val="center"/>
              <w:rPr>
                <w:rFonts w:ascii="Meta Pro" w:eastAsia="Times New Roman" w:hAnsi="Meta Pro" w:cs="Times New Roman"/>
                <w:sz w:val="20"/>
                <w:szCs w:val="20"/>
                <w:lang w:eastAsia="en-AU"/>
              </w:rPr>
            </w:pPr>
          </w:p>
        </w:tc>
        <w:tc>
          <w:tcPr>
            <w:tcW w:w="1300" w:type="dxa"/>
            <w:gridSpan w:val="2"/>
            <w:tcBorders>
              <w:top w:val="nil"/>
              <w:left w:val="nil"/>
              <w:bottom w:val="nil"/>
              <w:right w:val="nil"/>
            </w:tcBorders>
            <w:shd w:val="clear" w:color="auto" w:fill="auto"/>
            <w:noWrap/>
            <w:vAlign w:val="center"/>
            <w:hideMark/>
          </w:tcPr>
          <w:p w14:paraId="68343BEC"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36EBA946" w14:textId="77777777" w:rsidR="00F65618" w:rsidRPr="00701B39" w:rsidRDefault="00F65618" w:rsidP="00E607DA">
            <w:pPr>
              <w:jc w:val="center"/>
              <w:rPr>
                <w:rFonts w:ascii="Meta Pro" w:eastAsia="Times New Roman" w:hAnsi="Meta Pro" w:cs="Times New Roman"/>
                <w:sz w:val="20"/>
                <w:szCs w:val="20"/>
                <w:lang w:eastAsia="en-AU"/>
              </w:rPr>
            </w:pPr>
          </w:p>
        </w:tc>
        <w:tc>
          <w:tcPr>
            <w:tcW w:w="1272" w:type="dxa"/>
            <w:tcBorders>
              <w:top w:val="nil"/>
              <w:left w:val="nil"/>
              <w:bottom w:val="nil"/>
              <w:right w:val="nil"/>
            </w:tcBorders>
            <w:shd w:val="clear" w:color="auto" w:fill="auto"/>
            <w:noWrap/>
            <w:vAlign w:val="center"/>
            <w:hideMark/>
          </w:tcPr>
          <w:p w14:paraId="09C9A26C"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1768C15C" w14:textId="77777777" w:rsidR="00F65618" w:rsidRPr="00701B39" w:rsidRDefault="00F65618" w:rsidP="00E607DA">
            <w:pPr>
              <w:jc w:val="center"/>
              <w:rPr>
                <w:rFonts w:ascii="Meta Pro" w:eastAsia="Times New Roman" w:hAnsi="Meta Pro" w:cs="Times New Roman"/>
                <w:sz w:val="20"/>
                <w:szCs w:val="20"/>
                <w:lang w:eastAsia="en-AU"/>
              </w:rPr>
            </w:pPr>
          </w:p>
        </w:tc>
        <w:tc>
          <w:tcPr>
            <w:tcW w:w="1391" w:type="dxa"/>
            <w:tcBorders>
              <w:top w:val="nil"/>
              <w:left w:val="nil"/>
              <w:bottom w:val="nil"/>
              <w:right w:val="nil"/>
            </w:tcBorders>
            <w:shd w:val="clear" w:color="auto" w:fill="auto"/>
            <w:noWrap/>
            <w:vAlign w:val="center"/>
            <w:hideMark/>
          </w:tcPr>
          <w:p w14:paraId="28CE9BC6" w14:textId="77777777" w:rsidR="00F65618" w:rsidRPr="00701B39" w:rsidRDefault="00F65618" w:rsidP="00E607DA">
            <w:pPr>
              <w:rPr>
                <w:rFonts w:ascii="Meta Pro" w:eastAsia="Times New Roman" w:hAnsi="Meta Pro" w:cs="Times New Roman"/>
                <w:sz w:val="20"/>
                <w:szCs w:val="20"/>
                <w:lang w:eastAsia="en-AU"/>
              </w:rPr>
            </w:pPr>
          </w:p>
        </w:tc>
      </w:tr>
      <w:tr w:rsidR="00F65618" w:rsidRPr="00701B39" w14:paraId="02432AE4" w14:textId="77777777" w:rsidTr="00E607DA">
        <w:trPr>
          <w:trHeight w:val="113"/>
        </w:trPr>
        <w:tc>
          <w:tcPr>
            <w:tcW w:w="4759" w:type="dxa"/>
            <w:tcBorders>
              <w:top w:val="nil"/>
              <w:left w:val="nil"/>
              <w:bottom w:val="nil"/>
              <w:right w:val="nil"/>
            </w:tcBorders>
            <w:shd w:val="clear" w:color="auto" w:fill="auto"/>
            <w:noWrap/>
            <w:vAlign w:val="center"/>
            <w:hideMark/>
          </w:tcPr>
          <w:p w14:paraId="7D2487B9" w14:textId="77777777" w:rsidR="00F65618" w:rsidRPr="00701B39" w:rsidRDefault="00F65618" w:rsidP="00E607DA">
            <w:pPr>
              <w:rPr>
                <w:rFonts w:ascii="Meta Pro" w:eastAsia="Times New Roman" w:hAnsi="Meta Pro" w:cs="Times New Roman"/>
                <w:sz w:val="20"/>
                <w:szCs w:val="20"/>
                <w:lang w:eastAsia="en-AU"/>
              </w:rPr>
            </w:pPr>
          </w:p>
        </w:tc>
        <w:tc>
          <w:tcPr>
            <w:tcW w:w="1260" w:type="dxa"/>
            <w:vMerge w:val="restart"/>
            <w:tcBorders>
              <w:top w:val="nil"/>
              <w:left w:val="nil"/>
              <w:bottom w:val="nil"/>
              <w:right w:val="nil"/>
            </w:tcBorders>
            <w:shd w:val="clear" w:color="auto" w:fill="auto"/>
            <w:hideMark/>
          </w:tcPr>
          <w:p w14:paraId="7D77C228" w14:textId="77777777" w:rsidR="00F65618" w:rsidRPr="00701B39" w:rsidRDefault="00F65618" w:rsidP="00E607DA">
            <w:pPr>
              <w:jc w:val="center"/>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Gold Coast Light Rail – G:link </w:t>
            </w:r>
          </w:p>
        </w:tc>
        <w:tc>
          <w:tcPr>
            <w:tcW w:w="58" w:type="dxa"/>
            <w:tcBorders>
              <w:top w:val="nil"/>
              <w:left w:val="nil"/>
              <w:bottom w:val="nil"/>
              <w:right w:val="nil"/>
            </w:tcBorders>
            <w:shd w:val="clear" w:color="auto" w:fill="auto"/>
            <w:noWrap/>
            <w:vAlign w:val="center"/>
            <w:hideMark/>
          </w:tcPr>
          <w:p w14:paraId="766085C5" w14:textId="77777777" w:rsidR="00F65618" w:rsidRPr="00701B39" w:rsidRDefault="00F65618" w:rsidP="00E607DA">
            <w:pPr>
              <w:jc w:val="center"/>
              <w:rPr>
                <w:rFonts w:ascii="Meta Pro" w:eastAsia="Times New Roman" w:hAnsi="Meta Pro"/>
                <w:b/>
                <w:bCs/>
                <w:sz w:val="16"/>
                <w:szCs w:val="16"/>
                <w:lang w:eastAsia="en-AU"/>
              </w:rPr>
            </w:pPr>
          </w:p>
        </w:tc>
        <w:tc>
          <w:tcPr>
            <w:tcW w:w="1421" w:type="dxa"/>
            <w:vMerge w:val="restart"/>
            <w:tcBorders>
              <w:top w:val="nil"/>
              <w:left w:val="nil"/>
              <w:bottom w:val="nil"/>
              <w:right w:val="nil"/>
            </w:tcBorders>
            <w:shd w:val="clear" w:color="auto" w:fill="auto"/>
            <w:hideMark/>
          </w:tcPr>
          <w:p w14:paraId="6FF8BF8A" w14:textId="77777777" w:rsidR="00F65618" w:rsidRPr="00701B39" w:rsidRDefault="00F65618" w:rsidP="00E607DA">
            <w:pPr>
              <w:jc w:val="center"/>
              <w:rPr>
                <w:rFonts w:ascii="Meta Pro" w:eastAsia="Times New Roman" w:hAnsi="Meta Pro"/>
                <w:b/>
                <w:bCs/>
                <w:sz w:val="16"/>
                <w:szCs w:val="16"/>
                <w:lang w:eastAsia="en-AU"/>
              </w:rPr>
            </w:pPr>
            <w:r w:rsidRPr="00701B39">
              <w:rPr>
                <w:rFonts w:ascii="Meta Pro" w:eastAsia="Times New Roman" w:hAnsi="Meta Pro"/>
                <w:b/>
                <w:bCs/>
                <w:sz w:val="16"/>
                <w:szCs w:val="16"/>
                <w:lang w:eastAsia="en-AU"/>
              </w:rPr>
              <w:t>Toowoomba Bypass</w:t>
            </w:r>
          </w:p>
        </w:tc>
        <w:tc>
          <w:tcPr>
            <w:tcW w:w="58" w:type="dxa"/>
            <w:tcBorders>
              <w:top w:val="nil"/>
              <w:left w:val="nil"/>
              <w:bottom w:val="nil"/>
              <w:right w:val="nil"/>
            </w:tcBorders>
            <w:shd w:val="clear" w:color="auto" w:fill="auto"/>
            <w:noWrap/>
            <w:vAlign w:val="center"/>
            <w:hideMark/>
          </w:tcPr>
          <w:p w14:paraId="34D8FD68" w14:textId="77777777" w:rsidR="00F65618" w:rsidRPr="00701B39" w:rsidRDefault="00F65618" w:rsidP="00E607DA">
            <w:pPr>
              <w:jc w:val="center"/>
              <w:rPr>
                <w:rFonts w:ascii="Meta Pro" w:eastAsia="Times New Roman" w:hAnsi="Meta Pro"/>
                <w:b/>
                <w:bCs/>
                <w:sz w:val="16"/>
                <w:szCs w:val="16"/>
                <w:lang w:eastAsia="en-AU"/>
              </w:rPr>
            </w:pPr>
          </w:p>
        </w:tc>
        <w:tc>
          <w:tcPr>
            <w:tcW w:w="1360" w:type="dxa"/>
            <w:vMerge w:val="restart"/>
            <w:tcBorders>
              <w:top w:val="nil"/>
              <w:left w:val="nil"/>
              <w:bottom w:val="nil"/>
              <w:right w:val="nil"/>
            </w:tcBorders>
            <w:shd w:val="clear" w:color="auto" w:fill="auto"/>
            <w:hideMark/>
          </w:tcPr>
          <w:p w14:paraId="037E4465" w14:textId="77777777" w:rsidR="00F65618" w:rsidRPr="00701B39" w:rsidRDefault="00F65618" w:rsidP="00E607DA">
            <w:pPr>
              <w:jc w:val="center"/>
              <w:rPr>
                <w:rFonts w:ascii="Meta Pro" w:eastAsia="Times New Roman" w:hAnsi="Meta Pro"/>
                <w:b/>
                <w:bCs/>
                <w:sz w:val="16"/>
                <w:szCs w:val="16"/>
                <w:lang w:eastAsia="en-AU"/>
              </w:rPr>
            </w:pPr>
            <w:r w:rsidRPr="00701B39">
              <w:rPr>
                <w:rFonts w:ascii="Meta Pro" w:eastAsia="Times New Roman" w:hAnsi="Meta Pro"/>
                <w:b/>
                <w:bCs/>
                <w:sz w:val="16"/>
                <w:szCs w:val="16"/>
                <w:lang w:eastAsia="en-AU"/>
              </w:rPr>
              <w:t>Airportlink M7</w:t>
            </w:r>
          </w:p>
        </w:tc>
        <w:tc>
          <w:tcPr>
            <w:tcW w:w="58" w:type="dxa"/>
            <w:tcBorders>
              <w:top w:val="nil"/>
              <w:left w:val="nil"/>
              <w:bottom w:val="nil"/>
              <w:right w:val="nil"/>
            </w:tcBorders>
            <w:shd w:val="clear" w:color="auto" w:fill="auto"/>
            <w:noWrap/>
            <w:hideMark/>
          </w:tcPr>
          <w:p w14:paraId="1E12805B" w14:textId="77777777" w:rsidR="00F65618" w:rsidRPr="00701B39" w:rsidRDefault="00F65618" w:rsidP="00E607DA">
            <w:pPr>
              <w:jc w:val="center"/>
              <w:rPr>
                <w:rFonts w:ascii="Meta Pro" w:eastAsia="Times New Roman" w:hAnsi="Meta Pro"/>
                <w:b/>
                <w:bCs/>
                <w:sz w:val="16"/>
                <w:szCs w:val="16"/>
                <w:lang w:eastAsia="en-AU"/>
              </w:rPr>
            </w:pPr>
          </w:p>
        </w:tc>
        <w:tc>
          <w:tcPr>
            <w:tcW w:w="1337" w:type="dxa"/>
            <w:vMerge w:val="restart"/>
            <w:tcBorders>
              <w:top w:val="nil"/>
              <w:left w:val="nil"/>
              <w:bottom w:val="nil"/>
              <w:right w:val="nil"/>
            </w:tcBorders>
            <w:shd w:val="clear" w:color="auto" w:fill="auto"/>
            <w:hideMark/>
          </w:tcPr>
          <w:p w14:paraId="46D2D63C" w14:textId="77777777" w:rsidR="00F65618" w:rsidRPr="00701B39" w:rsidRDefault="00F65618" w:rsidP="00E607DA">
            <w:pPr>
              <w:jc w:val="center"/>
              <w:rPr>
                <w:rFonts w:ascii="Meta Pro" w:eastAsia="Times New Roman" w:hAnsi="Meta Pro"/>
                <w:b/>
                <w:bCs/>
                <w:sz w:val="16"/>
                <w:szCs w:val="16"/>
                <w:lang w:eastAsia="en-AU"/>
              </w:rPr>
            </w:pPr>
            <w:r w:rsidRPr="00701B39">
              <w:rPr>
                <w:rFonts w:ascii="Meta Pro" w:eastAsia="Times New Roman" w:hAnsi="Meta Pro"/>
                <w:b/>
                <w:bCs/>
                <w:sz w:val="16"/>
                <w:szCs w:val="16"/>
                <w:lang w:eastAsia="en-AU"/>
              </w:rPr>
              <w:t>Gateway Motorway</w:t>
            </w:r>
          </w:p>
        </w:tc>
        <w:tc>
          <w:tcPr>
            <w:tcW w:w="58" w:type="dxa"/>
            <w:tcBorders>
              <w:top w:val="nil"/>
              <w:left w:val="nil"/>
              <w:bottom w:val="nil"/>
              <w:right w:val="nil"/>
            </w:tcBorders>
            <w:shd w:val="clear" w:color="auto" w:fill="auto"/>
            <w:noWrap/>
            <w:vAlign w:val="center"/>
            <w:hideMark/>
          </w:tcPr>
          <w:p w14:paraId="217197F6" w14:textId="77777777" w:rsidR="00F65618" w:rsidRPr="00701B39" w:rsidRDefault="00F65618" w:rsidP="00E607DA">
            <w:pPr>
              <w:jc w:val="center"/>
              <w:rPr>
                <w:rFonts w:ascii="Meta Pro" w:eastAsia="Times New Roman" w:hAnsi="Meta Pro"/>
                <w:b/>
                <w:bCs/>
                <w:sz w:val="16"/>
                <w:szCs w:val="16"/>
                <w:lang w:eastAsia="en-AU"/>
              </w:rPr>
            </w:pPr>
          </w:p>
        </w:tc>
        <w:tc>
          <w:tcPr>
            <w:tcW w:w="1332" w:type="dxa"/>
            <w:vMerge w:val="restart"/>
            <w:tcBorders>
              <w:top w:val="nil"/>
              <w:left w:val="nil"/>
              <w:bottom w:val="nil"/>
              <w:right w:val="nil"/>
            </w:tcBorders>
            <w:shd w:val="clear" w:color="auto" w:fill="auto"/>
            <w:hideMark/>
          </w:tcPr>
          <w:p w14:paraId="1DDF7BE1" w14:textId="77777777" w:rsidR="00F65618" w:rsidRPr="00701B39" w:rsidRDefault="00F65618" w:rsidP="00E607DA">
            <w:pPr>
              <w:jc w:val="center"/>
              <w:rPr>
                <w:rFonts w:ascii="Meta Pro" w:eastAsia="Times New Roman" w:hAnsi="Meta Pro"/>
                <w:b/>
                <w:bCs/>
                <w:sz w:val="16"/>
                <w:szCs w:val="16"/>
                <w:lang w:eastAsia="en-AU"/>
              </w:rPr>
            </w:pPr>
            <w:r w:rsidRPr="00701B39">
              <w:rPr>
                <w:rFonts w:ascii="Meta Pro" w:eastAsia="Times New Roman" w:hAnsi="Meta Pro"/>
                <w:b/>
                <w:bCs/>
                <w:sz w:val="16"/>
                <w:szCs w:val="16"/>
                <w:lang w:eastAsia="en-AU"/>
              </w:rPr>
              <w:t>Logan Motorway</w:t>
            </w:r>
          </w:p>
        </w:tc>
        <w:tc>
          <w:tcPr>
            <w:tcW w:w="58" w:type="dxa"/>
            <w:tcBorders>
              <w:top w:val="nil"/>
              <w:left w:val="nil"/>
              <w:bottom w:val="nil"/>
              <w:right w:val="nil"/>
            </w:tcBorders>
            <w:shd w:val="clear" w:color="auto" w:fill="auto"/>
            <w:hideMark/>
          </w:tcPr>
          <w:p w14:paraId="21A03378" w14:textId="77777777" w:rsidR="00F65618" w:rsidRPr="00701B39" w:rsidRDefault="00F65618" w:rsidP="00E607DA">
            <w:pPr>
              <w:jc w:val="center"/>
              <w:rPr>
                <w:rFonts w:ascii="Meta Pro" w:eastAsia="Times New Roman" w:hAnsi="Meta Pro"/>
                <w:b/>
                <w:bCs/>
                <w:sz w:val="16"/>
                <w:szCs w:val="16"/>
                <w:lang w:eastAsia="en-AU"/>
              </w:rPr>
            </w:pPr>
          </w:p>
        </w:tc>
        <w:tc>
          <w:tcPr>
            <w:tcW w:w="1185" w:type="dxa"/>
            <w:vMerge w:val="restart"/>
            <w:tcBorders>
              <w:top w:val="nil"/>
              <w:left w:val="nil"/>
              <w:bottom w:val="nil"/>
              <w:right w:val="nil"/>
            </w:tcBorders>
            <w:shd w:val="clear" w:color="auto" w:fill="auto"/>
            <w:hideMark/>
          </w:tcPr>
          <w:p w14:paraId="19E33612" w14:textId="77777777" w:rsidR="00F65618" w:rsidRPr="00701B39" w:rsidRDefault="00F65618" w:rsidP="00E607DA">
            <w:pPr>
              <w:jc w:val="center"/>
              <w:rPr>
                <w:rFonts w:ascii="Meta Pro" w:eastAsia="Times New Roman" w:hAnsi="Meta Pro"/>
                <w:b/>
                <w:bCs/>
                <w:sz w:val="16"/>
                <w:szCs w:val="16"/>
                <w:lang w:eastAsia="en-AU"/>
              </w:rPr>
            </w:pPr>
            <w:r w:rsidRPr="00701B39">
              <w:rPr>
                <w:rFonts w:ascii="Meta Pro" w:eastAsia="Times New Roman" w:hAnsi="Meta Pro"/>
                <w:b/>
                <w:bCs/>
                <w:sz w:val="16"/>
                <w:szCs w:val="16"/>
                <w:lang w:eastAsia="en-AU"/>
              </w:rPr>
              <w:t>Port Drive</w:t>
            </w:r>
          </w:p>
        </w:tc>
        <w:tc>
          <w:tcPr>
            <w:tcW w:w="58" w:type="dxa"/>
            <w:tcBorders>
              <w:top w:val="nil"/>
              <w:left w:val="nil"/>
              <w:bottom w:val="nil"/>
              <w:right w:val="nil"/>
            </w:tcBorders>
            <w:shd w:val="clear" w:color="auto" w:fill="auto"/>
            <w:hideMark/>
          </w:tcPr>
          <w:p w14:paraId="3C9E2236" w14:textId="77777777" w:rsidR="00F65618" w:rsidRPr="00701B39" w:rsidRDefault="00F65618" w:rsidP="00E607DA">
            <w:pPr>
              <w:jc w:val="center"/>
              <w:rPr>
                <w:rFonts w:ascii="Meta Pro" w:eastAsia="Times New Roman" w:hAnsi="Meta Pro"/>
                <w:b/>
                <w:bCs/>
                <w:sz w:val="16"/>
                <w:szCs w:val="16"/>
                <w:lang w:eastAsia="en-AU"/>
              </w:rPr>
            </w:pPr>
          </w:p>
        </w:tc>
        <w:tc>
          <w:tcPr>
            <w:tcW w:w="1300" w:type="dxa"/>
            <w:gridSpan w:val="2"/>
            <w:vMerge w:val="restart"/>
            <w:tcBorders>
              <w:top w:val="nil"/>
              <w:left w:val="nil"/>
              <w:bottom w:val="nil"/>
              <w:right w:val="nil"/>
            </w:tcBorders>
            <w:shd w:val="clear" w:color="auto" w:fill="auto"/>
            <w:hideMark/>
          </w:tcPr>
          <w:p w14:paraId="19934B02" w14:textId="77777777" w:rsidR="00F65618" w:rsidRPr="00701B39" w:rsidRDefault="00F65618" w:rsidP="00E607DA">
            <w:pPr>
              <w:jc w:val="center"/>
              <w:rPr>
                <w:rFonts w:ascii="Meta Pro" w:eastAsia="Times New Roman" w:hAnsi="Meta Pro"/>
                <w:b/>
                <w:bCs/>
                <w:sz w:val="16"/>
                <w:szCs w:val="16"/>
                <w:lang w:eastAsia="en-AU"/>
              </w:rPr>
            </w:pPr>
            <w:r w:rsidRPr="00701B39">
              <w:rPr>
                <w:rFonts w:ascii="Meta Pro" w:eastAsia="Times New Roman" w:hAnsi="Meta Pro"/>
                <w:b/>
                <w:bCs/>
                <w:sz w:val="16"/>
                <w:szCs w:val="16"/>
                <w:lang w:eastAsia="en-AU"/>
              </w:rPr>
              <w:t>Brisbane Airport Rail Link</w:t>
            </w:r>
          </w:p>
        </w:tc>
        <w:tc>
          <w:tcPr>
            <w:tcW w:w="58" w:type="dxa"/>
            <w:tcBorders>
              <w:top w:val="nil"/>
              <w:left w:val="nil"/>
              <w:bottom w:val="nil"/>
              <w:right w:val="nil"/>
            </w:tcBorders>
            <w:shd w:val="clear" w:color="auto" w:fill="auto"/>
            <w:hideMark/>
          </w:tcPr>
          <w:p w14:paraId="42B159F4" w14:textId="77777777" w:rsidR="00F65618" w:rsidRPr="00701B39" w:rsidRDefault="00F65618" w:rsidP="00E607DA">
            <w:pPr>
              <w:jc w:val="center"/>
              <w:rPr>
                <w:rFonts w:ascii="Meta Pro" w:eastAsia="Times New Roman" w:hAnsi="Meta Pro"/>
                <w:b/>
                <w:bCs/>
                <w:sz w:val="16"/>
                <w:szCs w:val="16"/>
                <w:lang w:eastAsia="en-AU"/>
              </w:rPr>
            </w:pPr>
          </w:p>
        </w:tc>
        <w:tc>
          <w:tcPr>
            <w:tcW w:w="1272" w:type="dxa"/>
            <w:vMerge w:val="restart"/>
            <w:tcBorders>
              <w:top w:val="nil"/>
              <w:left w:val="nil"/>
              <w:bottom w:val="nil"/>
              <w:right w:val="nil"/>
            </w:tcBorders>
            <w:shd w:val="clear" w:color="auto" w:fill="auto"/>
            <w:hideMark/>
          </w:tcPr>
          <w:p w14:paraId="28D4B165" w14:textId="77777777" w:rsidR="00F65618" w:rsidRPr="00701B39" w:rsidRDefault="00F65618" w:rsidP="00E607DA">
            <w:pPr>
              <w:jc w:val="center"/>
              <w:rPr>
                <w:rFonts w:ascii="Meta Pro" w:eastAsia="Times New Roman" w:hAnsi="Meta Pro"/>
                <w:b/>
                <w:bCs/>
                <w:sz w:val="16"/>
                <w:szCs w:val="16"/>
                <w:lang w:eastAsia="en-AU"/>
              </w:rPr>
            </w:pPr>
            <w:r w:rsidRPr="00701B39">
              <w:rPr>
                <w:rFonts w:ascii="Meta Pro" w:eastAsia="Times New Roman" w:hAnsi="Meta Pro"/>
                <w:b/>
                <w:bCs/>
                <w:sz w:val="16"/>
                <w:szCs w:val="16"/>
                <w:lang w:eastAsia="en-AU"/>
              </w:rPr>
              <w:t>Work in progress</w:t>
            </w:r>
          </w:p>
        </w:tc>
        <w:tc>
          <w:tcPr>
            <w:tcW w:w="58" w:type="dxa"/>
            <w:tcBorders>
              <w:top w:val="nil"/>
              <w:left w:val="nil"/>
              <w:bottom w:val="nil"/>
              <w:right w:val="nil"/>
            </w:tcBorders>
            <w:shd w:val="clear" w:color="auto" w:fill="auto"/>
            <w:hideMark/>
          </w:tcPr>
          <w:p w14:paraId="02A63BAC" w14:textId="77777777" w:rsidR="00F65618" w:rsidRPr="00701B39" w:rsidRDefault="00F65618" w:rsidP="00E607DA">
            <w:pPr>
              <w:jc w:val="center"/>
              <w:rPr>
                <w:rFonts w:ascii="Meta Pro" w:eastAsia="Times New Roman" w:hAnsi="Meta Pro"/>
                <w:b/>
                <w:bCs/>
                <w:sz w:val="16"/>
                <w:szCs w:val="16"/>
                <w:lang w:eastAsia="en-AU"/>
              </w:rPr>
            </w:pPr>
          </w:p>
        </w:tc>
        <w:tc>
          <w:tcPr>
            <w:tcW w:w="1391" w:type="dxa"/>
            <w:vMerge w:val="restart"/>
            <w:tcBorders>
              <w:top w:val="nil"/>
              <w:left w:val="nil"/>
              <w:bottom w:val="nil"/>
              <w:right w:val="nil"/>
            </w:tcBorders>
            <w:shd w:val="clear" w:color="auto" w:fill="auto"/>
            <w:hideMark/>
          </w:tcPr>
          <w:p w14:paraId="3E4BF001" w14:textId="77777777" w:rsidR="00F65618" w:rsidRPr="00701B39" w:rsidRDefault="00F65618" w:rsidP="00E607DA">
            <w:pPr>
              <w:jc w:val="center"/>
              <w:rPr>
                <w:rFonts w:ascii="Meta Pro" w:eastAsia="Times New Roman" w:hAnsi="Meta Pro"/>
                <w:b/>
                <w:bCs/>
                <w:sz w:val="16"/>
                <w:szCs w:val="16"/>
                <w:lang w:eastAsia="en-AU"/>
              </w:rPr>
            </w:pPr>
            <w:r w:rsidRPr="00701B39">
              <w:rPr>
                <w:rFonts w:ascii="Meta Pro" w:eastAsia="Times New Roman" w:hAnsi="Meta Pro"/>
                <w:b/>
                <w:bCs/>
                <w:sz w:val="16"/>
                <w:szCs w:val="16"/>
                <w:lang w:eastAsia="en-AU"/>
              </w:rPr>
              <w:t>Total</w:t>
            </w:r>
          </w:p>
        </w:tc>
      </w:tr>
      <w:tr w:rsidR="00F65618" w:rsidRPr="00701B39" w14:paraId="11EE9EE9" w14:textId="77777777" w:rsidTr="00E607DA">
        <w:trPr>
          <w:trHeight w:val="113"/>
        </w:trPr>
        <w:tc>
          <w:tcPr>
            <w:tcW w:w="4759" w:type="dxa"/>
            <w:tcBorders>
              <w:top w:val="nil"/>
              <w:left w:val="nil"/>
              <w:bottom w:val="nil"/>
              <w:right w:val="nil"/>
            </w:tcBorders>
            <w:shd w:val="clear" w:color="auto" w:fill="auto"/>
            <w:noWrap/>
            <w:vAlign w:val="center"/>
            <w:hideMark/>
          </w:tcPr>
          <w:p w14:paraId="65D10CBF" w14:textId="77777777" w:rsidR="00F65618" w:rsidRPr="00701B39" w:rsidRDefault="00F65618" w:rsidP="00E607DA">
            <w:pPr>
              <w:jc w:val="center"/>
              <w:rPr>
                <w:rFonts w:ascii="Meta Pro" w:eastAsia="Times New Roman" w:hAnsi="Meta Pro"/>
                <w:b/>
                <w:bCs/>
                <w:sz w:val="16"/>
                <w:szCs w:val="16"/>
                <w:lang w:eastAsia="en-AU"/>
              </w:rPr>
            </w:pPr>
          </w:p>
        </w:tc>
        <w:tc>
          <w:tcPr>
            <w:tcW w:w="1260" w:type="dxa"/>
            <w:vMerge/>
            <w:tcBorders>
              <w:top w:val="nil"/>
              <w:left w:val="nil"/>
              <w:bottom w:val="nil"/>
              <w:right w:val="nil"/>
            </w:tcBorders>
            <w:vAlign w:val="center"/>
            <w:hideMark/>
          </w:tcPr>
          <w:p w14:paraId="1FE2E3C4" w14:textId="77777777" w:rsidR="00F65618" w:rsidRPr="00701B39" w:rsidRDefault="00F65618" w:rsidP="00E607DA">
            <w:pPr>
              <w:rPr>
                <w:rFonts w:ascii="Meta Pro" w:eastAsia="Times New Roman" w:hAnsi="Meta Pro"/>
                <w:b/>
                <w:bCs/>
                <w:sz w:val="16"/>
                <w:szCs w:val="16"/>
                <w:lang w:eastAsia="en-AU"/>
              </w:rPr>
            </w:pPr>
          </w:p>
        </w:tc>
        <w:tc>
          <w:tcPr>
            <w:tcW w:w="58" w:type="dxa"/>
            <w:tcBorders>
              <w:top w:val="nil"/>
              <w:left w:val="nil"/>
              <w:bottom w:val="nil"/>
              <w:right w:val="nil"/>
            </w:tcBorders>
            <w:shd w:val="clear" w:color="auto" w:fill="auto"/>
            <w:noWrap/>
            <w:vAlign w:val="center"/>
            <w:hideMark/>
          </w:tcPr>
          <w:p w14:paraId="5E48A1A8" w14:textId="77777777" w:rsidR="00F65618" w:rsidRPr="00701B39" w:rsidRDefault="00F65618" w:rsidP="00E607DA">
            <w:pPr>
              <w:rPr>
                <w:rFonts w:ascii="Meta Pro" w:eastAsia="Times New Roman" w:hAnsi="Meta Pro" w:cs="Times New Roman"/>
                <w:sz w:val="20"/>
                <w:szCs w:val="20"/>
                <w:lang w:eastAsia="en-AU"/>
              </w:rPr>
            </w:pPr>
          </w:p>
        </w:tc>
        <w:tc>
          <w:tcPr>
            <w:tcW w:w="1421" w:type="dxa"/>
            <w:vMerge/>
            <w:tcBorders>
              <w:top w:val="nil"/>
              <w:left w:val="nil"/>
              <w:bottom w:val="nil"/>
              <w:right w:val="nil"/>
            </w:tcBorders>
            <w:vAlign w:val="center"/>
            <w:hideMark/>
          </w:tcPr>
          <w:p w14:paraId="236E8080" w14:textId="77777777" w:rsidR="00F65618" w:rsidRPr="00701B39" w:rsidRDefault="00F65618" w:rsidP="00E607DA">
            <w:pPr>
              <w:rPr>
                <w:rFonts w:ascii="Meta Pro" w:eastAsia="Times New Roman" w:hAnsi="Meta Pro"/>
                <w:b/>
                <w:bCs/>
                <w:sz w:val="16"/>
                <w:szCs w:val="16"/>
                <w:lang w:eastAsia="en-AU"/>
              </w:rPr>
            </w:pPr>
          </w:p>
        </w:tc>
        <w:tc>
          <w:tcPr>
            <w:tcW w:w="58" w:type="dxa"/>
            <w:tcBorders>
              <w:top w:val="nil"/>
              <w:left w:val="nil"/>
              <w:bottom w:val="nil"/>
              <w:right w:val="nil"/>
            </w:tcBorders>
            <w:shd w:val="clear" w:color="auto" w:fill="auto"/>
            <w:noWrap/>
            <w:vAlign w:val="center"/>
            <w:hideMark/>
          </w:tcPr>
          <w:p w14:paraId="61447980" w14:textId="77777777" w:rsidR="00F65618" w:rsidRPr="00701B39" w:rsidRDefault="00F65618" w:rsidP="00E607DA">
            <w:pPr>
              <w:rPr>
                <w:rFonts w:ascii="Meta Pro" w:eastAsia="Times New Roman" w:hAnsi="Meta Pro" w:cs="Times New Roman"/>
                <w:sz w:val="20"/>
                <w:szCs w:val="20"/>
                <w:lang w:eastAsia="en-AU"/>
              </w:rPr>
            </w:pPr>
          </w:p>
        </w:tc>
        <w:tc>
          <w:tcPr>
            <w:tcW w:w="1360" w:type="dxa"/>
            <w:vMerge/>
            <w:tcBorders>
              <w:top w:val="nil"/>
              <w:left w:val="nil"/>
              <w:bottom w:val="nil"/>
              <w:right w:val="nil"/>
            </w:tcBorders>
            <w:vAlign w:val="center"/>
            <w:hideMark/>
          </w:tcPr>
          <w:p w14:paraId="1AF61CE3" w14:textId="77777777" w:rsidR="00F65618" w:rsidRPr="00701B39" w:rsidRDefault="00F65618" w:rsidP="00E607DA">
            <w:pPr>
              <w:rPr>
                <w:rFonts w:ascii="Meta Pro" w:eastAsia="Times New Roman" w:hAnsi="Meta Pro"/>
                <w:b/>
                <w:bCs/>
                <w:sz w:val="16"/>
                <w:szCs w:val="16"/>
                <w:lang w:eastAsia="en-AU"/>
              </w:rPr>
            </w:pPr>
          </w:p>
        </w:tc>
        <w:tc>
          <w:tcPr>
            <w:tcW w:w="58" w:type="dxa"/>
            <w:tcBorders>
              <w:top w:val="nil"/>
              <w:left w:val="nil"/>
              <w:bottom w:val="nil"/>
              <w:right w:val="nil"/>
            </w:tcBorders>
            <w:shd w:val="clear" w:color="auto" w:fill="auto"/>
            <w:noWrap/>
            <w:hideMark/>
          </w:tcPr>
          <w:p w14:paraId="6EBEEDD4" w14:textId="77777777" w:rsidR="00F65618" w:rsidRPr="00701B39" w:rsidRDefault="00F65618" w:rsidP="00E607DA">
            <w:pPr>
              <w:rPr>
                <w:rFonts w:ascii="Meta Pro" w:eastAsia="Times New Roman" w:hAnsi="Meta Pro" w:cs="Times New Roman"/>
                <w:sz w:val="20"/>
                <w:szCs w:val="20"/>
                <w:lang w:eastAsia="en-AU"/>
              </w:rPr>
            </w:pPr>
          </w:p>
        </w:tc>
        <w:tc>
          <w:tcPr>
            <w:tcW w:w="1337" w:type="dxa"/>
            <w:vMerge/>
            <w:tcBorders>
              <w:top w:val="nil"/>
              <w:left w:val="nil"/>
              <w:bottom w:val="nil"/>
              <w:right w:val="nil"/>
            </w:tcBorders>
            <w:vAlign w:val="center"/>
            <w:hideMark/>
          </w:tcPr>
          <w:p w14:paraId="2DB6D527" w14:textId="77777777" w:rsidR="00F65618" w:rsidRPr="00701B39" w:rsidRDefault="00F65618" w:rsidP="00E607DA">
            <w:pPr>
              <w:rPr>
                <w:rFonts w:ascii="Meta Pro" w:eastAsia="Times New Roman" w:hAnsi="Meta Pro"/>
                <w:b/>
                <w:bCs/>
                <w:sz w:val="16"/>
                <w:szCs w:val="16"/>
                <w:lang w:eastAsia="en-AU"/>
              </w:rPr>
            </w:pPr>
          </w:p>
        </w:tc>
        <w:tc>
          <w:tcPr>
            <w:tcW w:w="58" w:type="dxa"/>
            <w:tcBorders>
              <w:top w:val="nil"/>
              <w:left w:val="nil"/>
              <w:bottom w:val="nil"/>
              <w:right w:val="nil"/>
            </w:tcBorders>
            <w:shd w:val="clear" w:color="auto" w:fill="auto"/>
            <w:hideMark/>
          </w:tcPr>
          <w:p w14:paraId="5A1C0BD0" w14:textId="77777777" w:rsidR="00F65618" w:rsidRPr="00701B39" w:rsidRDefault="00F65618" w:rsidP="00E607DA">
            <w:pPr>
              <w:rPr>
                <w:rFonts w:ascii="Meta Pro" w:eastAsia="Times New Roman" w:hAnsi="Meta Pro" w:cs="Times New Roman"/>
                <w:sz w:val="20"/>
                <w:szCs w:val="20"/>
                <w:lang w:eastAsia="en-AU"/>
              </w:rPr>
            </w:pPr>
          </w:p>
        </w:tc>
        <w:tc>
          <w:tcPr>
            <w:tcW w:w="1332" w:type="dxa"/>
            <w:vMerge/>
            <w:tcBorders>
              <w:top w:val="nil"/>
              <w:left w:val="nil"/>
              <w:bottom w:val="nil"/>
              <w:right w:val="nil"/>
            </w:tcBorders>
            <w:vAlign w:val="center"/>
            <w:hideMark/>
          </w:tcPr>
          <w:p w14:paraId="00FE11D1" w14:textId="77777777" w:rsidR="00F65618" w:rsidRPr="00701B39" w:rsidRDefault="00F65618" w:rsidP="00E607DA">
            <w:pPr>
              <w:rPr>
                <w:rFonts w:ascii="Meta Pro" w:eastAsia="Times New Roman" w:hAnsi="Meta Pro"/>
                <w:b/>
                <w:bCs/>
                <w:sz w:val="16"/>
                <w:szCs w:val="16"/>
                <w:lang w:eastAsia="en-AU"/>
              </w:rPr>
            </w:pPr>
          </w:p>
        </w:tc>
        <w:tc>
          <w:tcPr>
            <w:tcW w:w="58" w:type="dxa"/>
            <w:tcBorders>
              <w:top w:val="nil"/>
              <w:left w:val="nil"/>
              <w:bottom w:val="nil"/>
              <w:right w:val="nil"/>
            </w:tcBorders>
            <w:shd w:val="clear" w:color="auto" w:fill="auto"/>
            <w:hideMark/>
          </w:tcPr>
          <w:p w14:paraId="2DFE3DF1" w14:textId="77777777" w:rsidR="00F65618" w:rsidRPr="00701B39" w:rsidRDefault="00F65618" w:rsidP="00E607DA">
            <w:pPr>
              <w:rPr>
                <w:rFonts w:ascii="Meta Pro" w:eastAsia="Times New Roman" w:hAnsi="Meta Pro" w:cs="Times New Roman"/>
                <w:sz w:val="20"/>
                <w:szCs w:val="20"/>
                <w:lang w:eastAsia="en-AU"/>
              </w:rPr>
            </w:pPr>
          </w:p>
        </w:tc>
        <w:tc>
          <w:tcPr>
            <w:tcW w:w="1185" w:type="dxa"/>
            <w:vMerge/>
            <w:tcBorders>
              <w:top w:val="nil"/>
              <w:left w:val="nil"/>
              <w:bottom w:val="nil"/>
              <w:right w:val="nil"/>
            </w:tcBorders>
            <w:vAlign w:val="center"/>
            <w:hideMark/>
          </w:tcPr>
          <w:p w14:paraId="0D9B172E" w14:textId="77777777" w:rsidR="00F65618" w:rsidRPr="00701B39" w:rsidRDefault="00F65618" w:rsidP="00E607DA">
            <w:pPr>
              <w:rPr>
                <w:rFonts w:ascii="Meta Pro" w:eastAsia="Times New Roman" w:hAnsi="Meta Pro"/>
                <w:b/>
                <w:bCs/>
                <w:sz w:val="16"/>
                <w:szCs w:val="16"/>
                <w:lang w:eastAsia="en-AU"/>
              </w:rPr>
            </w:pPr>
          </w:p>
        </w:tc>
        <w:tc>
          <w:tcPr>
            <w:tcW w:w="58" w:type="dxa"/>
            <w:tcBorders>
              <w:top w:val="nil"/>
              <w:left w:val="nil"/>
              <w:bottom w:val="nil"/>
              <w:right w:val="nil"/>
            </w:tcBorders>
            <w:shd w:val="clear" w:color="auto" w:fill="auto"/>
            <w:hideMark/>
          </w:tcPr>
          <w:p w14:paraId="11D4E969" w14:textId="77777777" w:rsidR="00F65618" w:rsidRPr="00701B39" w:rsidRDefault="00F65618" w:rsidP="00E607DA">
            <w:pPr>
              <w:rPr>
                <w:rFonts w:ascii="Meta Pro" w:eastAsia="Times New Roman" w:hAnsi="Meta Pro" w:cs="Times New Roman"/>
                <w:sz w:val="20"/>
                <w:szCs w:val="20"/>
                <w:lang w:eastAsia="en-AU"/>
              </w:rPr>
            </w:pPr>
          </w:p>
        </w:tc>
        <w:tc>
          <w:tcPr>
            <w:tcW w:w="1300" w:type="dxa"/>
            <w:gridSpan w:val="2"/>
            <w:vMerge/>
            <w:tcBorders>
              <w:top w:val="nil"/>
              <w:left w:val="nil"/>
              <w:bottom w:val="nil"/>
              <w:right w:val="nil"/>
            </w:tcBorders>
            <w:vAlign w:val="center"/>
            <w:hideMark/>
          </w:tcPr>
          <w:p w14:paraId="300B2AFD" w14:textId="77777777" w:rsidR="00F65618" w:rsidRPr="00701B39" w:rsidRDefault="00F65618" w:rsidP="00E607DA">
            <w:pPr>
              <w:rPr>
                <w:rFonts w:ascii="Meta Pro" w:eastAsia="Times New Roman" w:hAnsi="Meta Pro"/>
                <w:b/>
                <w:bCs/>
                <w:sz w:val="16"/>
                <w:szCs w:val="16"/>
                <w:lang w:eastAsia="en-AU"/>
              </w:rPr>
            </w:pPr>
          </w:p>
        </w:tc>
        <w:tc>
          <w:tcPr>
            <w:tcW w:w="58" w:type="dxa"/>
            <w:tcBorders>
              <w:top w:val="nil"/>
              <w:left w:val="nil"/>
              <w:bottom w:val="nil"/>
              <w:right w:val="nil"/>
            </w:tcBorders>
            <w:shd w:val="clear" w:color="auto" w:fill="auto"/>
            <w:hideMark/>
          </w:tcPr>
          <w:p w14:paraId="377CF2D5" w14:textId="77777777" w:rsidR="00F65618" w:rsidRPr="00701B39" w:rsidRDefault="00F65618" w:rsidP="00E607DA">
            <w:pPr>
              <w:rPr>
                <w:rFonts w:ascii="Meta Pro" w:eastAsia="Times New Roman" w:hAnsi="Meta Pro" w:cs="Times New Roman"/>
                <w:sz w:val="20"/>
                <w:szCs w:val="20"/>
                <w:lang w:eastAsia="en-AU"/>
              </w:rPr>
            </w:pPr>
          </w:p>
        </w:tc>
        <w:tc>
          <w:tcPr>
            <w:tcW w:w="1272" w:type="dxa"/>
            <w:vMerge/>
            <w:tcBorders>
              <w:top w:val="nil"/>
              <w:left w:val="nil"/>
              <w:bottom w:val="nil"/>
              <w:right w:val="nil"/>
            </w:tcBorders>
            <w:vAlign w:val="center"/>
            <w:hideMark/>
          </w:tcPr>
          <w:p w14:paraId="4F7C9913" w14:textId="77777777" w:rsidR="00F65618" w:rsidRPr="00701B39" w:rsidRDefault="00F65618" w:rsidP="00E607DA">
            <w:pPr>
              <w:rPr>
                <w:rFonts w:ascii="Meta Pro" w:eastAsia="Times New Roman" w:hAnsi="Meta Pro"/>
                <w:b/>
                <w:bCs/>
                <w:sz w:val="16"/>
                <w:szCs w:val="16"/>
                <w:lang w:eastAsia="en-AU"/>
              </w:rPr>
            </w:pPr>
          </w:p>
        </w:tc>
        <w:tc>
          <w:tcPr>
            <w:tcW w:w="58" w:type="dxa"/>
            <w:tcBorders>
              <w:top w:val="nil"/>
              <w:left w:val="nil"/>
              <w:bottom w:val="nil"/>
              <w:right w:val="nil"/>
            </w:tcBorders>
            <w:shd w:val="clear" w:color="auto" w:fill="auto"/>
            <w:hideMark/>
          </w:tcPr>
          <w:p w14:paraId="7A095F31" w14:textId="77777777" w:rsidR="00F65618" w:rsidRPr="00701B39" w:rsidRDefault="00F65618" w:rsidP="00E607DA">
            <w:pPr>
              <w:jc w:val="center"/>
              <w:rPr>
                <w:rFonts w:ascii="Meta Pro" w:eastAsia="Times New Roman" w:hAnsi="Meta Pro" w:cs="Times New Roman"/>
                <w:sz w:val="20"/>
                <w:szCs w:val="20"/>
                <w:lang w:eastAsia="en-AU"/>
              </w:rPr>
            </w:pPr>
          </w:p>
        </w:tc>
        <w:tc>
          <w:tcPr>
            <w:tcW w:w="1391" w:type="dxa"/>
            <w:vMerge/>
            <w:tcBorders>
              <w:top w:val="nil"/>
              <w:left w:val="nil"/>
              <w:bottom w:val="nil"/>
              <w:right w:val="nil"/>
            </w:tcBorders>
            <w:vAlign w:val="center"/>
            <w:hideMark/>
          </w:tcPr>
          <w:p w14:paraId="5495CD37" w14:textId="77777777" w:rsidR="00F65618" w:rsidRPr="00701B39" w:rsidRDefault="00F65618" w:rsidP="00E607DA">
            <w:pPr>
              <w:rPr>
                <w:rFonts w:ascii="Meta Pro" w:eastAsia="Times New Roman" w:hAnsi="Meta Pro"/>
                <w:b/>
                <w:bCs/>
                <w:sz w:val="16"/>
                <w:szCs w:val="16"/>
                <w:lang w:eastAsia="en-AU"/>
              </w:rPr>
            </w:pPr>
          </w:p>
        </w:tc>
      </w:tr>
      <w:tr w:rsidR="00F65618" w:rsidRPr="00701B39" w14:paraId="473F8195" w14:textId="77777777" w:rsidTr="00E607DA">
        <w:trPr>
          <w:trHeight w:val="113"/>
        </w:trPr>
        <w:tc>
          <w:tcPr>
            <w:tcW w:w="4759" w:type="dxa"/>
            <w:tcBorders>
              <w:top w:val="nil"/>
              <w:left w:val="nil"/>
              <w:bottom w:val="nil"/>
              <w:right w:val="nil"/>
            </w:tcBorders>
            <w:shd w:val="clear" w:color="auto" w:fill="auto"/>
            <w:noWrap/>
            <w:vAlign w:val="center"/>
            <w:hideMark/>
          </w:tcPr>
          <w:p w14:paraId="0A5301A7" w14:textId="77777777" w:rsidR="00F65618" w:rsidRPr="00701B39" w:rsidRDefault="00F65618" w:rsidP="00E607DA">
            <w:pPr>
              <w:jc w:val="center"/>
              <w:rPr>
                <w:rFonts w:ascii="Meta Pro" w:eastAsia="Times New Roman" w:hAnsi="Meta Pro" w:cs="Times New Roman"/>
                <w:sz w:val="20"/>
                <w:szCs w:val="20"/>
                <w:lang w:eastAsia="en-AU"/>
              </w:rPr>
            </w:pPr>
          </w:p>
        </w:tc>
        <w:tc>
          <w:tcPr>
            <w:tcW w:w="1260" w:type="dxa"/>
            <w:vMerge/>
            <w:tcBorders>
              <w:top w:val="nil"/>
              <w:left w:val="nil"/>
              <w:bottom w:val="nil"/>
              <w:right w:val="nil"/>
            </w:tcBorders>
            <w:vAlign w:val="center"/>
            <w:hideMark/>
          </w:tcPr>
          <w:p w14:paraId="2D730F34" w14:textId="77777777" w:rsidR="00F65618" w:rsidRPr="00701B39" w:rsidRDefault="00F65618" w:rsidP="00E607DA">
            <w:pPr>
              <w:rPr>
                <w:rFonts w:ascii="Meta Pro" w:eastAsia="Times New Roman" w:hAnsi="Meta Pro"/>
                <w:b/>
                <w:bCs/>
                <w:sz w:val="16"/>
                <w:szCs w:val="16"/>
                <w:lang w:eastAsia="en-AU"/>
              </w:rPr>
            </w:pPr>
          </w:p>
        </w:tc>
        <w:tc>
          <w:tcPr>
            <w:tcW w:w="58" w:type="dxa"/>
            <w:tcBorders>
              <w:top w:val="nil"/>
              <w:left w:val="nil"/>
              <w:bottom w:val="nil"/>
              <w:right w:val="nil"/>
            </w:tcBorders>
            <w:shd w:val="clear" w:color="auto" w:fill="auto"/>
            <w:noWrap/>
            <w:vAlign w:val="center"/>
            <w:hideMark/>
          </w:tcPr>
          <w:p w14:paraId="321B05D3" w14:textId="77777777" w:rsidR="00F65618" w:rsidRPr="00701B39" w:rsidRDefault="00F65618" w:rsidP="00E607DA">
            <w:pPr>
              <w:rPr>
                <w:rFonts w:ascii="Meta Pro" w:eastAsia="Times New Roman" w:hAnsi="Meta Pro" w:cs="Times New Roman"/>
                <w:sz w:val="20"/>
                <w:szCs w:val="20"/>
                <w:lang w:eastAsia="en-AU"/>
              </w:rPr>
            </w:pPr>
          </w:p>
        </w:tc>
        <w:tc>
          <w:tcPr>
            <w:tcW w:w="1421" w:type="dxa"/>
            <w:vMerge/>
            <w:tcBorders>
              <w:top w:val="nil"/>
              <w:left w:val="nil"/>
              <w:bottom w:val="nil"/>
              <w:right w:val="nil"/>
            </w:tcBorders>
            <w:vAlign w:val="center"/>
            <w:hideMark/>
          </w:tcPr>
          <w:p w14:paraId="51BB3183" w14:textId="77777777" w:rsidR="00F65618" w:rsidRPr="00701B39" w:rsidRDefault="00F65618" w:rsidP="00E607DA">
            <w:pPr>
              <w:rPr>
                <w:rFonts w:ascii="Meta Pro" w:eastAsia="Times New Roman" w:hAnsi="Meta Pro"/>
                <w:b/>
                <w:bCs/>
                <w:sz w:val="16"/>
                <w:szCs w:val="16"/>
                <w:lang w:eastAsia="en-AU"/>
              </w:rPr>
            </w:pPr>
          </w:p>
        </w:tc>
        <w:tc>
          <w:tcPr>
            <w:tcW w:w="58" w:type="dxa"/>
            <w:tcBorders>
              <w:top w:val="nil"/>
              <w:left w:val="nil"/>
              <w:bottom w:val="nil"/>
              <w:right w:val="nil"/>
            </w:tcBorders>
            <w:shd w:val="clear" w:color="auto" w:fill="auto"/>
            <w:noWrap/>
            <w:vAlign w:val="center"/>
            <w:hideMark/>
          </w:tcPr>
          <w:p w14:paraId="156761D5" w14:textId="77777777" w:rsidR="00F65618" w:rsidRPr="00701B39" w:rsidRDefault="00F65618" w:rsidP="00E607DA">
            <w:pPr>
              <w:rPr>
                <w:rFonts w:ascii="Meta Pro" w:eastAsia="Times New Roman" w:hAnsi="Meta Pro" w:cs="Times New Roman"/>
                <w:sz w:val="20"/>
                <w:szCs w:val="20"/>
                <w:lang w:eastAsia="en-AU"/>
              </w:rPr>
            </w:pPr>
          </w:p>
        </w:tc>
        <w:tc>
          <w:tcPr>
            <w:tcW w:w="1360" w:type="dxa"/>
            <w:vMerge/>
            <w:tcBorders>
              <w:top w:val="nil"/>
              <w:left w:val="nil"/>
              <w:bottom w:val="nil"/>
              <w:right w:val="nil"/>
            </w:tcBorders>
            <w:vAlign w:val="center"/>
            <w:hideMark/>
          </w:tcPr>
          <w:p w14:paraId="3A20E9CB" w14:textId="77777777" w:rsidR="00F65618" w:rsidRPr="00701B39" w:rsidRDefault="00F65618" w:rsidP="00E607DA">
            <w:pPr>
              <w:rPr>
                <w:rFonts w:ascii="Meta Pro" w:eastAsia="Times New Roman" w:hAnsi="Meta Pro"/>
                <w:b/>
                <w:bCs/>
                <w:sz w:val="16"/>
                <w:szCs w:val="16"/>
                <w:lang w:eastAsia="en-AU"/>
              </w:rPr>
            </w:pPr>
          </w:p>
        </w:tc>
        <w:tc>
          <w:tcPr>
            <w:tcW w:w="58" w:type="dxa"/>
            <w:tcBorders>
              <w:top w:val="nil"/>
              <w:left w:val="nil"/>
              <w:bottom w:val="nil"/>
              <w:right w:val="nil"/>
            </w:tcBorders>
            <w:shd w:val="clear" w:color="auto" w:fill="auto"/>
            <w:hideMark/>
          </w:tcPr>
          <w:p w14:paraId="1BB5DA2E" w14:textId="77777777" w:rsidR="00F65618" w:rsidRPr="00701B39" w:rsidRDefault="00F65618" w:rsidP="00E607DA">
            <w:pPr>
              <w:rPr>
                <w:rFonts w:ascii="Meta Pro" w:eastAsia="Times New Roman" w:hAnsi="Meta Pro" w:cs="Times New Roman"/>
                <w:sz w:val="20"/>
                <w:szCs w:val="20"/>
                <w:lang w:eastAsia="en-AU"/>
              </w:rPr>
            </w:pPr>
          </w:p>
        </w:tc>
        <w:tc>
          <w:tcPr>
            <w:tcW w:w="1337" w:type="dxa"/>
            <w:vMerge/>
            <w:tcBorders>
              <w:top w:val="nil"/>
              <w:left w:val="nil"/>
              <w:bottom w:val="nil"/>
              <w:right w:val="nil"/>
            </w:tcBorders>
            <w:vAlign w:val="center"/>
            <w:hideMark/>
          </w:tcPr>
          <w:p w14:paraId="2A7FCA7D" w14:textId="77777777" w:rsidR="00F65618" w:rsidRPr="00701B39" w:rsidRDefault="00F65618" w:rsidP="00E607DA">
            <w:pPr>
              <w:rPr>
                <w:rFonts w:ascii="Meta Pro" w:eastAsia="Times New Roman" w:hAnsi="Meta Pro"/>
                <w:b/>
                <w:bCs/>
                <w:sz w:val="16"/>
                <w:szCs w:val="16"/>
                <w:lang w:eastAsia="en-AU"/>
              </w:rPr>
            </w:pPr>
          </w:p>
        </w:tc>
        <w:tc>
          <w:tcPr>
            <w:tcW w:w="58" w:type="dxa"/>
            <w:tcBorders>
              <w:top w:val="nil"/>
              <w:left w:val="nil"/>
              <w:bottom w:val="nil"/>
              <w:right w:val="nil"/>
            </w:tcBorders>
            <w:shd w:val="clear" w:color="auto" w:fill="auto"/>
            <w:hideMark/>
          </w:tcPr>
          <w:p w14:paraId="0387E499" w14:textId="77777777" w:rsidR="00F65618" w:rsidRPr="00701B39" w:rsidRDefault="00F65618" w:rsidP="00E607DA">
            <w:pPr>
              <w:jc w:val="center"/>
              <w:rPr>
                <w:rFonts w:ascii="Meta Pro" w:eastAsia="Times New Roman" w:hAnsi="Meta Pro" w:cs="Times New Roman"/>
                <w:sz w:val="20"/>
                <w:szCs w:val="20"/>
                <w:lang w:eastAsia="en-AU"/>
              </w:rPr>
            </w:pPr>
          </w:p>
        </w:tc>
        <w:tc>
          <w:tcPr>
            <w:tcW w:w="1332" w:type="dxa"/>
            <w:vMerge/>
            <w:tcBorders>
              <w:top w:val="nil"/>
              <w:left w:val="nil"/>
              <w:bottom w:val="nil"/>
              <w:right w:val="nil"/>
            </w:tcBorders>
            <w:vAlign w:val="center"/>
            <w:hideMark/>
          </w:tcPr>
          <w:p w14:paraId="0F596421" w14:textId="77777777" w:rsidR="00F65618" w:rsidRPr="00701B39" w:rsidRDefault="00F65618" w:rsidP="00E607DA">
            <w:pPr>
              <w:rPr>
                <w:rFonts w:ascii="Meta Pro" w:eastAsia="Times New Roman" w:hAnsi="Meta Pro"/>
                <w:b/>
                <w:bCs/>
                <w:sz w:val="16"/>
                <w:szCs w:val="16"/>
                <w:lang w:eastAsia="en-AU"/>
              </w:rPr>
            </w:pPr>
          </w:p>
        </w:tc>
        <w:tc>
          <w:tcPr>
            <w:tcW w:w="58" w:type="dxa"/>
            <w:tcBorders>
              <w:top w:val="nil"/>
              <w:left w:val="nil"/>
              <w:bottom w:val="nil"/>
              <w:right w:val="nil"/>
            </w:tcBorders>
            <w:shd w:val="clear" w:color="auto" w:fill="auto"/>
            <w:hideMark/>
          </w:tcPr>
          <w:p w14:paraId="7362EF59" w14:textId="77777777" w:rsidR="00F65618" w:rsidRPr="00701B39" w:rsidRDefault="00F65618" w:rsidP="00E607DA">
            <w:pPr>
              <w:rPr>
                <w:rFonts w:ascii="Meta Pro" w:eastAsia="Times New Roman" w:hAnsi="Meta Pro" w:cs="Times New Roman"/>
                <w:sz w:val="20"/>
                <w:szCs w:val="20"/>
                <w:lang w:eastAsia="en-AU"/>
              </w:rPr>
            </w:pPr>
          </w:p>
        </w:tc>
        <w:tc>
          <w:tcPr>
            <w:tcW w:w="1185" w:type="dxa"/>
            <w:vMerge/>
            <w:tcBorders>
              <w:top w:val="nil"/>
              <w:left w:val="nil"/>
              <w:bottom w:val="nil"/>
              <w:right w:val="nil"/>
            </w:tcBorders>
            <w:vAlign w:val="center"/>
            <w:hideMark/>
          </w:tcPr>
          <w:p w14:paraId="35850D5D" w14:textId="77777777" w:rsidR="00F65618" w:rsidRPr="00701B39" w:rsidRDefault="00F65618" w:rsidP="00E607DA">
            <w:pPr>
              <w:rPr>
                <w:rFonts w:ascii="Meta Pro" w:eastAsia="Times New Roman" w:hAnsi="Meta Pro"/>
                <w:b/>
                <w:bCs/>
                <w:sz w:val="16"/>
                <w:szCs w:val="16"/>
                <w:lang w:eastAsia="en-AU"/>
              </w:rPr>
            </w:pPr>
          </w:p>
        </w:tc>
        <w:tc>
          <w:tcPr>
            <w:tcW w:w="58" w:type="dxa"/>
            <w:tcBorders>
              <w:top w:val="nil"/>
              <w:left w:val="nil"/>
              <w:bottom w:val="nil"/>
              <w:right w:val="nil"/>
            </w:tcBorders>
            <w:shd w:val="clear" w:color="auto" w:fill="auto"/>
            <w:hideMark/>
          </w:tcPr>
          <w:p w14:paraId="4C5E6F24" w14:textId="77777777" w:rsidR="00F65618" w:rsidRPr="00701B39" w:rsidRDefault="00F65618" w:rsidP="00E607DA">
            <w:pPr>
              <w:rPr>
                <w:rFonts w:ascii="Meta Pro" w:eastAsia="Times New Roman" w:hAnsi="Meta Pro" w:cs="Times New Roman"/>
                <w:sz w:val="20"/>
                <w:szCs w:val="20"/>
                <w:lang w:eastAsia="en-AU"/>
              </w:rPr>
            </w:pPr>
          </w:p>
        </w:tc>
        <w:tc>
          <w:tcPr>
            <w:tcW w:w="1300" w:type="dxa"/>
            <w:gridSpan w:val="2"/>
            <w:vMerge/>
            <w:tcBorders>
              <w:top w:val="nil"/>
              <w:left w:val="nil"/>
              <w:bottom w:val="nil"/>
              <w:right w:val="nil"/>
            </w:tcBorders>
            <w:vAlign w:val="center"/>
            <w:hideMark/>
          </w:tcPr>
          <w:p w14:paraId="5DDAA76C" w14:textId="77777777" w:rsidR="00F65618" w:rsidRPr="00701B39" w:rsidRDefault="00F65618" w:rsidP="00E607DA">
            <w:pPr>
              <w:rPr>
                <w:rFonts w:ascii="Meta Pro" w:eastAsia="Times New Roman" w:hAnsi="Meta Pro"/>
                <w:b/>
                <w:bCs/>
                <w:sz w:val="16"/>
                <w:szCs w:val="16"/>
                <w:lang w:eastAsia="en-AU"/>
              </w:rPr>
            </w:pPr>
          </w:p>
        </w:tc>
        <w:tc>
          <w:tcPr>
            <w:tcW w:w="58" w:type="dxa"/>
            <w:tcBorders>
              <w:top w:val="nil"/>
              <w:left w:val="nil"/>
              <w:bottom w:val="nil"/>
              <w:right w:val="nil"/>
            </w:tcBorders>
            <w:shd w:val="clear" w:color="auto" w:fill="auto"/>
            <w:hideMark/>
          </w:tcPr>
          <w:p w14:paraId="2855B0EE" w14:textId="77777777" w:rsidR="00F65618" w:rsidRPr="00701B39" w:rsidRDefault="00F65618" w:rsidP="00E607DA">
            <w:pPr>
              <w:rPr>
                <w:rFonts w:ascii="Meta Pro" w:eastAsia="Times New Roman" w:hAnsi="Meta Pro" w:cs="Times New Roman"/>
                <w:sz w:val="20"/>
                <w:szCs w:val="20"/>
                <w:lang w:eastAsia="en-AU"/>
              </w:rPr>
            </w:pPr>
          </w:p>
        </w:tc>
        <w:tc>
          <w:tcPr>
            <w:tcW w:w="1272" w:type="dxa"/>
            <w:vMerge/>
            <w:tcBorders>
              <w:top w:val="nil"/>
              <w:left w:val="nil"/>
              <w:bottom w:val="nil"/>
              <w:right w:val="nil"/>
            </w:tcBorders>
            <w:vAlign w:val="center"/>
            <w:hideMark/>
          </w:tcPr>
          <w:p w14:paraId="7A715401" w14:textId="77777777" w:rsidR="00F65618" w:rsidRPr="00701B39" w:rsidRDefault="00F65618" w:rsidP="00E607DA">
            <w:pPr>
              <w:rPr>
                <w:rFonts w:ascii="Meta Pro" w:eastAsia="Times New Roman" w:hAnsi="Meta Pro"/>
                <w:b/>
                <w:bCs/>
                <w:sz w:val="16"/>
                <w:szCs w:val="16"/>
                <w:lang w:eastAsia="en-AU"/>
              </w:rPr>
            </w:pPr>
          </w:p>
        </w:tc>
        <w:tc>
          <w:tcPr>
            <w:tcW w:w="58" w:type="dxa"/>
            <w:tcBorders>
              <w:top w:val="nil"/>
              <w:left w:val="nil"/>
              <w:bottom w:val="nil"/>
              <w:right w:val="nil"/>
            </w:tcBorders>
            <w:shd w:val="clear" w:color="auto" w:fill="auto"/>
            <w:hideMark/>
          </w:tcPr>
          <w:p w14:paraId="68B09762" w14:textId="77777777" w:rsidR="00F65618" w:rsidRPr="00701B39" w:rsidRDefault="00F65618" w:rsidP="00E607DA">
            <w:pPr>
              <w:jc w:val="center"/>
              <w:rPr>
                <w:rFonts w:ascii="Meta Pro" w:eastAsia="Times New Roman" w:hAnsi="Meta Pro" w:cs="Times New Roman"/>
                <w:sz w:val="20"/>
                <w:szCs w:val="20"/>
                <w:lang w:eastAsia="en-AU"/>
              </w:rPr>
            </w:pPr>
          </w:p>
        </w:tc>
        <w:tc>
          <w:tcPr>
            <w:tcW w:w="1391" w:type="dxa"/>
            <w:vMerge/>
            <w:tcBorders>
              <w:top w:val="nil"/>
              <w:left w:val="nil"/>
              <w:bottom w:val="nil"/>
              <w:right w:val="nil"/>
            </w:tcBorders>
            <w:vAlign w:val="center"/>
            <w:hideMark/>
          </w:tcPr>
          <w:p w14:paraId="59AC6F87" w14:textId="77777777" w:rsidR="00F65618" w:rsidRPr="00701B39" w:rsidRDefault="00F65618" w:rsidP="00E607DA">
            <w:pPr>
              <w:rPr>
                <w:rFonts w:ascii="Meta Pro" w:eastAsia="Times New Roman" w:hAnsi="Meta Pro"/>
                <w:b/>
                <w:bCs/>
                <w:sz w:val="16"/>
                <w:szCs w:val="16"/>
                <w:lang w:eastAsia="en-AU"/>
              </w:rPr>
            </w:pPr>
          </w:p>
        </w:tc>
      </w:tr>
      <w:tr w:rsidR="00F65618" w:rsidRPr="00701B39" w14:paraId="385681F5" w14:textId="77777777" w:rsidTr="00E607DA">
        <w:trPr>
          <w:trHeight w:val="113"/>
        </w:trPr>
        <w:tc>
          <w:tcPr>
            <w:tcW w:w="4759" w:type="dxa"/>
            <w:tcBorders>
              <w:top w:val="nil"/>
              <w:left w:val="nil"/>
              <w:bottom w:val="nil"/>
              <w:right w:val="nil"/>
            </w:tcBorders>
            <w:shd w:val="clear" w:color="auto" w:fill="auto"/>
            <w:noWrap/>
            <w:vAlign w:val="center"/>
            <w:hideMark/>
          </w:tcPr>
          <w:p w14:paraId="6A5B0E6A" w14:textId="77777777" w:rsidR="00F65618" w:rsidRPr="00701B39" w:rsidRDefault="00F65618" w:rsidP="00E607DA">
            <w:pPr>
              <w:jc w:val="center"/>
              <w:rPr>
                <w:rFonts w:ascii="Meta Pro" w:eastAsia="Times New Roman" w:hAnsi="Meta Pro" w:cs="Times New Roman"/>
                <w:sz w:val="20"/>
                <w:szCs w:val="20"/>
                <w:lang w:eastAsia="en-AU"/>
              </w:rPr>
            </w:pPr>
          </w:p>
        </w:tc>
        <w:tc>
          <w:tcPr>
            <w:tcW w:w="1260" w:type="dxa"/>
            <w:tcBorders>
              <w:top w:val="nil"/>
              <w:left w:val="nil"/>
              <w:bottom w:val="nil"/>
              <w:right w:val="nil"/>
            </w:tcBorders>
            <w:shd w:val="clear" w:color="auto" w:fill="auto"/>
            <w:noWrap/>
            <w:vAlign w:val="center"/>
            <w:hideMark/>
          </w:tcPr>
          <w:p w14:paraId="4244D7D1" w14:textId="77777777" w:rsidR="00F65618" w:rsidRPr="00701B39" w:rsidRDefault="00F65618" w:rsidP="00E607DA">
            <w:pPr>
              <w:jc w:val="center"/>
              <w:rPr>
                <w:rFonts w:ascii="Meta Pro" w:eastAsia="Times New Roman" w:hAnsi="Meta Pro"/>
                <w:b/>
                <w:bCs/>
                <w:sz w:val="16"/>
                <w:szCs w:val="16"/>
                <w:lang w:eastAsia="en-AU"/>
              </w:rPr>
            </w:pPr>
            <w:r w:rsidRPr="00701B39">
              <w:rPr>
                <w:rFonts w:ascii="Meta Pro" w:eastAsia="Times New Roman" w:hAnsi="Meta Pro"/>
                <w:b/>
                <w:bCs/>
                <w:sz w:val="16"/>
                <w:szCs w:val="16"/>
                <w:lang w:eastAsia="en-AU"/>
              </w:rPr>
              <w:t>2021</w:t>
            </w:r>
          </w:p>
        </w:tc>
        <w:tc>
          <w:tcPr>
            <w:tcW w:w="58" w:type="dxa"/>
            <w:tcBorders>
              <w:top w:val="nil"/>
              <w:left w:val="nil"/>
              <w:bottom w:val="nil"/>
              <w:right w:val="nil"/>
            </w:tcBorders>
            <w:shd w:val="clear" w:color="auto" w:fill="auto"/>
            <w:noWrap/>
            <w:vAlign w:val="center"/>
            <w:hideMark/>
          </w:tcPr>
          <w:p w14:paraId="66184890" w14:textId="77777777" w:rsidR="00F65618" w:rsidRPr="00701B39" w:rsidRDefault="00F65618" w:rsidP="00E607DA">
            <w:pPr>
              <w:jc w:val="center"/>
              <w:rPr>
                <w:rFonts w:ascii="Meta Pro" w:eastAsia="Times New Roman" w:hAnsi="Meta Pro"/>
                <w:b/>
                <w:bCs/>
                <w:sz w:val="16"/>
                <w:szCs w:val="16"/>
                <w:lang w:eastAsia="en-AU"/>
              </w:rPr>
            </w:pPr>
          </w:p>
        </w:tc>
        <w:tc>
          <w:tcPr>
            <w:tcW w:w="1421" w:type="dxa"/>
            <w:tcBorders>
              <w:top w:val="nil"/>
              <w:left w:val="nil"/>
              <w:bottom w:val="nil"/>
              <w:right w:val="nil"/>
            </w:tcBorders>
            <w:shd w:val="clear" w:color="auto" w:fill="auto"/>
            <w:noWrap/>
            <w:vAlign w:val="center"/>
            <w:hideMark/>
          </w:tcPr>
          <w:p w14:paraId="4CA49BC5" w14:textId="77777777" w:rsidR="00F65618" w:rsidRPr="00701B39" w:rsidRDefault="00F65618" w:rsidP="00E607DA">
            <w:pPr>
              <w:jc w:val="center"/>
              <w:rPr>
                <w:rFonts w:ascii="Meta Pro" w:eastAsia="Times New Roman" w:hAnsi="Meta Pro"/>
                <w:b/>
                <w:bCs/>
                <w:sz w:val="16"/>
                <w:szCs w:val="16"/>
                <w:lang w:eastAsia="en-AU"/>
              </w:rPr>
            </w:pPr>
            <w:r w:rsidRPr="00701B39">
              <w:rPr>
                <w:rFonts w:ascii="Meta Pro" w:eastAsia="Times New Roman" w:hAnsi="Meta Pro"/>
                <w:b/>
                <w:bCs/>
                <w:sz w:val="16"/>
                <w:szCs w:val="16"/>
                <w:lang w:eastAsia="en-AU"/>
              </w:rPr>
              <w:t>2021</w:t>
            </w:r>
          </w:p>
        </w:tc>
        <w:tc>
          <w:tcPr>
            <w:tcW w:w="58" w:type="dxa"/>
            <w:tcBorders>
              <w:top w:val="nil"/>
              <w:left w:val="nil"/>
              <w:bottom w:val="nil"/>
              <w:right w:val="nil"/>
            </w:tcBorders>
            <w:shd w:val="clear" w:color="auto" w:fill="auto"/>
            <w:noWrap/>
            <w:vAlign w:val="center"/>
            <w:hideMark/>
          </w:tcPr>
          <w:p w14:paraId="61F8BE23" w14:textId="77777777" w:rsidR="00F65618" w:rsidRPr="00701B39" w:rsidRDefault="00F65618" w:rsidP="00E607DA">
            <w:pPr>
              <w:jc w:val="center"/>
              <w:rPr>
                <w:rFonts w:ascii="Meta Pro" w:eastAsia="Times New Roman" w:hAnsi="Meta Pro"/>
                <w:b/>
                <w:bCs/>
                <w:sz w:val="16"/>
                <w:szCs w:val="16"/>
                <w:lang w:eastAsia="en-AU"/>
              </w:rPr>
            </w:pPr>
          </w:p>
        </w:tc>
        <w:tc>
          <w:tcPr>
            <w:tcW w:w="1360" w:type="dxa"/>
            <w:tcBorders>
              <w:top w:val="nil"/>
              <w:left w:val="nil"/>
              <w:bottom w:val="nil"/>
              <w:right w:val="nil"/>
            </w:tcBorders>
            <w:shd w:val="clear" w:color="auto" w:fill="auto"/>
            <w:noWrap/>
            <w:vAlign w:val="center"/>
            <w:hideMark/>
          </w:tcPr>
          <w:p w14:paraId="1EA3424C" w14:textId="77777777" w:rsidR="00F65618" w:rsidRPr="00701B39" w:rsidRDefault="00F65618" w:rsidP="00E607DA">
            <w:pPr>
              <w:jc w:val="center"/>
              <w:rPr>
                <w:rFonts w:ascii="Meta Pro" w:eastAsia="Times New Roman" w:hAnsi="Meta Pro"/>
                <w:b/>
                <w:bCs/>
                <w:sz w:val="16"/>
                <w:szCs w:val="16"/>
                <w:lang w:eastAsia="en-AU"/>
              </w:rPr>
            </w:pPr>
            <w:r w:rsidRPr="00701B39">
              <w:rPr>
                <w:rFonts w:ascii="Meta Pro" w:eastAsia="Times New Roman" w:hAnsi="Meta Pro"/>
                <w:b/>
                <w:bCs/>
                <w:sz w:val="16"/>
                <w:szCs w:val="16"/>
                <w:lang w:eastAsia="en-AU"/>
              </w:rPr>
              <w:t>2021</w:t>
            </w:r>
          </w:p>
        </w:tc>
        <w:tc>
          <w:tcPr>
            <w:tcW w:w="58" w:type="dxa"/>
            <w:tcBorders>
              <w:top w:val="nil"/>
              <w:left w:val="nil"/>
              <w:bottom w:val="nil"/>
              <w:right w:val="nil"/>
            </w:tcBorders>
            <w:shd w:val="clear" w:color="auto" w:fill="auto"/>
            <w:noWrap/>
            <w:vAlign w:val="center"/>
            <w:hideMark/>
          </w:tcPr>
          <w:p w14:paraId="78332191" w14:textId="77777777" w:rsidR="00F65618" w:rsidRPr="00701B39" w:rsidRDefault="00F65618" w:rsidP="00E607DA">
            <w:pPr>
              <w:jc w:val="center"/>
              <w:rPr>
                <w:rFonts w:ascii="Meta Pro" w:eastAsia="Times New Roman" w:hAnsi="Meta Pro"/>
                <w:b/>
                <w:bCs/>
                <w:sz w:val="16"/>
                <w:szCs w:val="16"/>
                <w:lang w:eastAsia="en-AU"/>
              </w:rPr>
            </w:pPr>
          </w:p>
        </w:tc>
        <w:tc>
          <w:tcPr>
            <w:tcW w:w="1337" w:type="dxa"/>
            <w:tcBorders>
              <w:top w:val="nil"/>
              <w:left w:val="nil"/>
              <w:bottom w:val="nil"/>
              <w:right w:val="nil"/>
            </w:tcBorders>
            <w:shd w:val="clear" w:color="auto" w:fill="auto"/>
            <w:noWrap/>
            <w:vAlign w:val="center"/>
            <w:hideMark/>
          </w:tcPr>
          <w:p w14:paraId="5C9BAE36" w14:textId="77777777" w:rsidR="00F65618" w:rsidRPr="00701B39" w:rsidRDefault="00F65618" w:rsidP="00E607DA">
            <w:pPr>
              <w:jc w:val="center"/>
              <w:rPr>
                <w:rFonts w:ascii="Meta Pro" w:eastAsia="Times New Roman" w:hAnsi="Meta Pro"/>
                <w:b/>
                <w:bCs/>
                <w:sz w:val="16"/>
                <w:szCs w:val="16"/>
                <w:lang w:eastAsia="en-AU"/>
              </w:rPr>
            </w:pPr>
            <w:r w:rsidRPr="00701B39">
              <w:rPr>
                <w:rFonts w:ascii="Meta Pro" w:eastAsia="Times New Roman" w:hAnsi="Meta Pro"/>
                <w:b/>
                <w:bCs/>
                <w:sz w:val="16"/>
                <w:szCs w:val="16"/>
                <w:lang w:eastAsia="en-AU"/>
              </w:rPr>
              <w:t>2021</w:t>
            </w:r>
          </w:p>
        </w:tc>
        <w:tc>
          <w:tcPr>
            <w:tcW w:w="58" w:type="dxa"/>
            <w:tcBorders>
              <w:top w:val="nil"/>
              <w:left w:val="nil"/>
              <w:bottom w:val="nil"/>
              <w:right w:val="nil"/>
            </w:tcBorders>
            <w:shd w:val="clear" w:color="auto" w:fill="auto"/>
            <w:noWrap/>
            <w:vAlign w:val="center"/>
            <w:hideMark/>
          </w:tcPr>
          <w:p w14:paraId="5B77353E" w14:textId="77777777" w:rsidR="00F65618" w:rsidRPr="00701B39" w:rsidRDefault="00F65618" w:rsidP="00E607DA">
            <w:pPr>
              <w:jc w:val="center"/>
              <w:rPr>
                <w:rFonts w:ascii="Meta Pro" w:eastAsia="Times New Roman" w:hAnsi="Meta Pro"/>
                <w:b/>
                <w:bCs/>
                <w:sz w:val="16"/>
                <w:szCs w:val="16"/>
                <w:lang w:eastAsia="en-AU"/>
              </w:rPr>
            </w:pPr>
          </w:p>
        </w:tc>
        <w:tc>
          <w:tcPr>
            <w:tcW w:w="1332" w:type="dxa"/>
            <w:tcBorders>
              <w:top w:val="nil"/>
              <w:left w:val="nil"/>
              <w:bottom w:val="nil"/>
              <w:right w:val="nil"/>
            </w:tcBorders>
            <w:shd w:val="clear" w:color="auto" w:fill="auto"/>
            <w:noWrap/>
            <w:vAlign w:val="center"/>
            <w:hideMark/>
          </w:tcPr>
          <w:p w14:paraId="07426D62" w14:textId="77777777" w:rsidR="00F65618" w:rsidRPr="00701B39" w:rsidRDefault="00F65618" w:rsidP="00E607DA">
            <w:pPr>
              <w:jc w:val="center"/>
              <w:rPr>
                <w:rFonts w:ascii="Meta Pro" w:eastAsia="Times New Roman" w:hAnsi="Meta Pro"/>
                <w:b/>
                <w:bCs/>
                <w:sz w:val="16"/>
                <w:szCs w:val="16"/>
                <w:lang w:eastAsia="en-AU"/>
              </w:rPr>
            </w:pPr>
            <w:r w:rsidRPr="00701B39">
              <w:rPr>
                <w:rFonts w:ascii="Meta Pro" w:eastAsia="Times New Roman" w:hAnsi="Meta Pro"/>
                <w:b/>
                <w:bCs/>
                <w:sz w:val="16"/>
                <w:szCs w:val="16"/>
                <w:lang w:eastAsia="en-AU"/>
              </w:rPr>
              <w:t>2021</w:t>
            </w:r>
          </w:p>
        </w:tc>
        <w:tc>
          <w:tcPr>
            <w:tcW w:w="58" w:type="dxa"/>
            <w:tcBorders>
              <w:top w:val="nil"/>
              <w:left w:val="nil"/>
              <w:bottom w:val="nil"/>
              <w:right w:val="nil"/>
            </w:tcBorders>
            <w:shd w:val="clear" w:color="auto" w:fill="auto"/>
            <w:noWrap/>
            <w:vAlign w:val="center"/>
            <w:hideMark/>
          </w:tcPr>
          <w:p w14:paraId="1A6B049F" w14:textId="77777777" w:rsidR="00F65618" w:rsidRPr="00701B39" w:rsidRDefault="00F65618" w:rsidP="00E607DA">
            <w:pPr>
              <w:jc w:val="center"/>
              <w:rPr>
                <w:rFonts w:ascii="Meta Pro" w:eastAsia="Times New Roman" w:hAnsi="Meta Pro"/>
                <w:b/>
                <w:bCs/>
                <w:sz w:val="16"/>
                <w:szCs w:val="16"/>
                <w:lang w:eastAsia="en-AU"/>
              </w:rPr>
            </w:pPr>
          </w:p>
        </w:tc>
        <w:tc>
          <w:tcPr>
            <w:tcW w:w="1185" w:type="dxa"/>
            <w:tcBorders>
              <w:top w:val="nil"/>
              <w:left w:val="nil"/>
              <w:bottom w:val="nil"/>
              <w:right w:val="nil"/>
            </w:tcBorders>
            <w:shd w:val="clear" w:color="auto" w:fill="auto"/>
            <w:noWrap/>
            <w:vAlign w:val="center"/>
            <w:hideMark/>
          </w:tcPr>
          <w:p w14:paraId="169D0E32" w14:textId="77777777" w:rsidR="00F65618" w:rsidRPr="00701B39" w:rsidRDefault="00F65618" w:rsidP="00E607DA">
            <w:pPr>
              <w:jc w:val="center"/>
              <w:rPr>
                <w:rFonts w:ascii="Meta Pro" w:eastAsia="Times New Roman" w:hAnsi="Meta Pro"/>
                <w:b/>
                <w:bCs/>
                <w:sz w:val="16"/>
                <w:szCs w:val="16"/>
                <w:lang w:eastAsia="en-AU"/>
              </w:rPr>
            </w:pPr>
            <w:r w:rsidRPr="00701B39">
              <w:rPr>
                <w:rFonts w:ascii="Meta Pro" w:eastAsia="Times New Roman" w:hAnsi="Meta Pro"/>
                <w:b/>
                <w:bCs/>
                <w:sz w:val="16"/>
                <w:szCs w:val="16"/>
                <w:lang w:eastAsia="en-AU"/>
              </w:rPr>
              <w:t>2021</w:t>
            </w:r>
          </w:p>
        </w:tc>
        <w:tc>
          <w:tcPr>
            <w:tcW w:w="58" w:type="dxa"/>
            <w:tcBorders>
              <w:top w:val="nil"/>
              <w:left w:val="nil"/>
              <w:bottom w:val="nil"/>
              <w:right w:val="nil"/>
            </w:tcBorders>
            <w:shd w:val="clear" w:color="auto" w:fill="auto"/>
            <w:noWrap/>
            <w:vAlign w:val="center"/>
            <w:hideMark/>
          </w:tcPr>
          <w:p w14:paraId="2236641D" w14:textId="77777777" w:rsidR="00F65618" w:rsidRPr="00701B39" w:rsidRDefault="00F65618" w:rsidP="00E607DA">
            <w:pPr>
              <w:jc w:val="center"/>
              <w:rPr>
                <w:rFonts w:ascii="Meta Pro" w:eastAsia="Times New Roman" w:hAnsi="Meta Pro"/>
                <w:b/>
                <w:bCs/>
                <w:sz w:val="16"/>
                <w:szCs w:val="16"/>
                <w:lang w:eastAsia="en-AU"/>
              </w:rPr>
            </w:pPr>
          </w:p>
        </w:tc>
        <w:tc>
          <w:tcPr>
            <w:tcW w:w="1300" w:type="dxa"/>
            <w:gridSpan w:val="2"/>
            <w:tcBorders>
              <w:top w:val="nil"/>
              <w:left w:val="nil"/>
              <w:bottom w:val="nil"/>
              <w:right w:val="nil"/>
            </w:tcBorders>
            <w:shd w:val="clear" w:color="auto" w:fill="auto"/>
            <w:noWrap/>
            <w:vAlign w:val="center"/>
            <w:hideMark/>
          </w:tcPr>
          <w:p w14:paraId="1BAB7F1C" w14:textId="77777777" w:rsidR="00F65618" w:rsidRPr="00701B39" w:rsidRDefault="00F65618" w:rsidP="00E607DA">
            <w:pPr>
              <w:jc w:val="center"/>
              <w:rPr>
                <w:rFonts w:ascii="Meta Pro" w:eastAsia="Times New Roman" w:hAnsi="Meta Pro"/>
                <w:b/>
                <w:bCs/>
                <w:sz w:val="16"/>
                <w:szCs w:val="16"/>
                <w:lang w:eastAsia="en-AU"/>
              </w:rPr>
            </w:pPr>
            <w:r w:rsidRPr="00701B39">
              <w:rPr>
                <w:rFonts w:ascii="Meta Pro" w:eastAsia="Times New Roman" w:hAnsi="Meta Pro"/>
                <w:b/>
                <w:bCs/>
                <w:sz w:val="16"/>
                <w:szCs w:val="16"/>
                <w:lang w:eastAsia="en-AU"/>
              </w:rPr>
              <w:t>2021</w:t>
            </w:r>
          </w:p>
        </w:tc>
        <w:tc>
          <w:tcPr>
            <w:tcW w:w="58" w:type="dxa"/>
            <w:tcBorders>
              <w:top w:val="nil"/>
              <w:left w:val="nil"/>
              <w:bottom w:val="nil"/>
              <w:right w:val="nil"/>
            </w:tcBorders>
            <w:shd w:val="clear" w:color="auto" w:fill="auto"/>
            <w:noWrap/>
            <w:vAlign w:val="center"/>
            <w:hideMark/>
          </w:tcPr>
          <w:p w14:paraId="1D380F18" w14:textId="77777777" w:rsidR="00F65618" w:rsidRPr="00701B39" w:rsidRDefault="00F65618" w:rsidP="00E607DA">
            <w:pPr>
              <w:jc w:val="center"/>
              <w:rPr>
                <w:rFonts w:ascii="Meta Pro" w:eastAsia="Times New Roman" w:hAnsi="Meta Pro"/>
                <w:b/>
                <w:bCs/>
                <w:sz w:val="16"/>
                <w:szCs w:val="16"/>
                <w:lang w:eastAsia="en-AU"/>
              </w:rPr>
            </w:pPr>
          </w:p>
        </w:tc>
        <w:tc>
          <w:tcPr>
            <w:tcW w:w="1272" w:type="dxa"/>
            <w:tcBorders>
              <w:top w:val="nil"/>
              <w:left w:val="nil"/>
              <w:bottom w:val="nil"/>
              <w:right w:val="nil"/>
            </w:tcBorders>
            <w:shd w:val="clear" w:color="auto" w:fill="auto"/>
            <w:noWrap/>
            <w:vAlign w:val="center"/>
            <w:hideMark/>
          </w:tcPr>
          <w:p w14:paraId="0AA7CEDC" w14:textId="77777777" w:rsidR="00F65618" w:rsidRPr="00701B39" w:rsidRDefault="00F65618" w:rsidP="00E607DA">
            <w:pPr>
              <w:jc w:val="center"/>
              <w:rPr>
                <w:rFonts w:ascii="Meta Pro" w:eastAsia="Times New Roman" w:hAnsi="Meta Pro"/>
                <w:b/>
                <w:bCs/>
                <w:sz w:val="16"/>
                <w:szCs w:val="16"/>
                <w:lang w:eastAsia="en-AU"/>
              </w:rPr>
            </w:pPr>
            <w:r w:rsidRPr="00701B39">
              <w:rPr>
                <w:rFonts w:ascii="Meta Pro" w:eastAsia="Times New Roman" w:hAnsi="Meta Pro"/>
                <w:b/>
                <w:bCs/>
                <w:sz w:val="16"/>
                <w:szCs w:val="16"/>
                <w:lang w:eastAsia="en-AU"/>
              </w:rPr>
              <w:t>2021</w:t>
            </w:r>
          </w:p>
        </w:tc>
        <w:tc>
          <w:tcPr>
            <w:tcW w:w="58" w:type="dxa"/>
            <w:tcBorders>
              <w:top w:val="nil"/>
              <w:left w:val="nil"/>
              <w:bottom w:val="nil"/>
              <w:right w:val="nil"/>
            </w:tcBorders>
            <w:shd w:val="clear" w:color="auto" w:fill="auto"/>
            <w:noWrap/>
            <w:vAlign w:val="center"/>
            <w:hideMark/>
          </w:tcPr>
          <w:p w14:paraId="62B777CE" w14:textId="77777777" w:rsidR="00F65618" w:rsidRPr="00701B39" w:rsidRDefault="00F65618" w:rsidP="00E607DA">
            <w:pPr>
              <w:jc w:val="center"/>
              <w:rPr>
                <w:rFonts w:ascii="Meta Pro" w:eastAsia="Times New Roman" w:hAnsi="Meta Pro"/>
                <w:b/>
                <w:bCs/>
                <w:sz w:val="16"/>
                <w:szCs w:val="16"/>
                <w:lang w:eastAsia="en-AU"/>
              </w:rPr>
            </w:pPr>
          </w:p>
        </w:tc>
        <w:tc>
          <w:tcPr>
            <w:tcW w:w="1391" w:type="dxa"/>
            <w:tcBorders>
              <w:top w:val="nil"/>
              <w:left w:val="nil"/>
              <w:bottom w:val="nil"/>
              <w:right w:val="nil"/>
            </w:tcBorders>
            <w:shd w:val="clear" w:color="auto" w:fill="auto"/>
            <w:noWrap/>
            <w:vAlign w:val="center"/>
            <w:hideMark/>
          </w:tcPr>
          <w:p w14:paraId="337C0848" w14:textId="77777777" w:rsidR="00F65618" w:rsidRPr="00701B39" w:rsidRDefault="00F65618" w:rsidP="00E607DA">
            <w:pPr>
              <w:jc w:val="center"/>
              <w:rPr>
                <w:rFonts w:ascii="Meta Pro" w:eastAsia="Times New Roman" w:hAnsi="Meta Pro"/>
                <w:b/>
                <w:bCs/>
                <w:sz w:val="16"/>
                <w:szCs w:val="16"/>
                <w:lang w:eastAsia="en-AU"/>
              </w:rPr>
            </w:pPr>
            <w:r w:rsidRPr="00701B39">
              <w:rPr>
                <w:rFonts w:ascii="Meta Pro" w:eastAsia="Times New Roman" w:hAnsi="Meta Pro"/>
                <w:b/>
                <w:bCs/>
                <w:sz w:val="16"/>
                <w:szCs w:val="16"/>
                <w:lang w:eastAsia="en-AU"/>
              </w:rPr>
              <w:t>2021</w:t>
            </w:r>
          </w:p>
        </w:tc>
      </w:tr>
      <w:tr w:rsidR="00F65618" w:rsidRPr="00701B39" w14:paraId="739F1F74" w14:textId="77777777" w:rsidTr="00E607DA">
        <w:trPr>
          <w:trHeight w:val="113"/>
        </w:trPr>
        <w:tc>
          <w:tcPr>
            <w:tcW w:w="4759" w:type="dxa"/>
            <w:tcBorders>
              <w:top w:val="nil"/>
              <w:left w:val="nil"/>
              <w:bottom w:val="nil"/>
              <w:right w:val="nil"/>
            </w:tcBorders>
            <w:shd w:val="clear" w:color="auto" w:fill="auto"/>
            <w:noWrap/>
            <w:vAlign w:val="center"/>
            <w:hideMark/>
          </w:tcPr>
          <w:p w14:paraId="69C458A3" w14:textId="77777777" w:rsidR="00F65618" w:rsidRPr="00701B39" w:rsidRDefault="00F65618" w:rsidP="00E607DA">
            <w:pPr>
              <w:rPr>
                <w:rFonts w:ascii="Meta Pro" w:eastAsia="Times New Roman" w:hAnsi="Meta Pro"/>
                <w:b/>
                <w:bCs/>
                <w:sz w:val="16"/>
                <w:szCs w:val="16"/>
                <w:lang w:eastAsia="en-AU"/>
              </w:rPr>
            </w:pPr>
            <w:r w:rsidRPr="00701B39">
              <w:rPr>
                <w:rFonts w:ascii="Meta Pro" w:eastAsia="Times New Roman" w:hAnsi="Meta Pro"/>
                <w:b/>
                <w:bCs/>
                <w:sz w:val="16"/>
                <w:szCs w:val="16"/>
                <w:lang w:eastAsia="en-AU"/>
              </w:rPr>
              <w:t>Service concession assets</w:t>
            </w:r>
          </w:p>
        </w:tc>
        <w:tc>
          <w:tcPr>
            <w:tcW w:w="1260" w:type="dxa"/>
            <w:tcBorders>
              <w:top w:val="nil"/>
              <w:left w:val="nil"/>
              <w:bottom w:val="nil"/>
              <w:right w:val="nil"/>
            </w:tcBorders>
            <w:shd w:val="clear" w:color="auto" w:fill="auto"/>
            <w:noWrap/>
            <w:vAlign w:val="center"/>
            <w:hideMark/>
          </w:tcPr>
          <w:p w14:paraId="2C894DBE" w14:textId="77777777" w:rsidR="00F65618" w:rsidRPr="00701B39" w:rsidRDefault="00F65618" w:rsidP="00E607DA">
            <w:pPr>
              <w:jc w:val="center"/>
              <w:rPr>
                <w:rFonts w:ascii="Meta Pro" w:eastAsia="Times New Roman" w:hAnsi="Meta Pro"/>
                <w:b/>
                <w:bCs/>
                <w:sz w:val="16"/>
                <w:szCs w:val="16"/>
                <w:lang w:eastAsia="en-AU"/>
              </w:rPr>
            </w:pPr>
            <w:r w:rsidRPr="00701B39">
              <w:rPr>
                <w:rFonts w:ascii="Meta Pro" w:eastAsia="Times New Roman" w:hAnsi="Meta Pro"/>
                <w:b/>
                <w:bCs/>
                <w:sz w:val="16"/>
                <w:szCs w:val="16"/>
                <w:lang w:eastAsia="en-AU"/>
              </w:rPr>
              <w:t>$'000</w:t>
            </w:r>
          </w:p>
        </w:tc>
        <w:tc>
          <w:tcPr>
            <w:tcW w:w="58" w:type="dxa"/>
            <w:tcBorders>
              <w:top w:val="nil"/>
              <w:left w:val="nil"/>
              <w:bottom w:val="nil"/>
              <w:right w:val="nil"/>
            </w:tcBorders>
            <w:shd w:val="clear" w:color="auto" w:fill="auto"/>
            <w:noWrap/>
            <w:vAlign w:val="center"/>
            <w:hideMark/>
          </w:tcPr>
          <w:p w14:paraId="2A783469" w14:textId="77777777" w:rsidR="00F65618" w:rsidRPr="00701B39" w:rsidRDefault="00F65618" w:rsidP="00E607DA">
            <w:pPr>
              <w:jc w:val="center"/>
              <w:rPr>
                <w:rFonts w:ascii="Meta Pro" w:eastAsia="Times New Roman" w:hAnsi="Meta Pro"/>
                <w:b/>
                <w:bCs/>
                <w:sz w:val="16"/>
                <w:szCs w:val="16"/>
                <w:lang w:eastAsia="en-AU"/>
              </w:rPr>
            </w:pPr>
          </w:p>
        </w:tc>
        <w:tc>
          <w:tcPr>
            <w:tcW w:w="1421" w:type="dxa"/>
            <w:tcBorders>
              <w:top w:val="nil"/>
              <w:left w:val="nil"/>
              <w:bottom w:val="nil"/>
              <w:right w:val="nil"/>
            </w:tcBorders>
            <w:shd w:val="clear" w:color="auto" w:fill="auto"/>
            <w:noWrap/>
            <w:vAlign w:val="center"/>
            <w:hideMark/>
          </w:tcPr>
          <w:p w14:paraId="607F776F" w14:textId="77777777" w:rsidR="00F65618" w:rsidRPr="00701B39" w:rsidRDefault="00F65618" w:rsidP="00E607DA">
            <w:pPr>
              <w:jc w:val="center"/>
              <w:rPr>
                <w:rFonts w:ascii="Meta Pro" w:eastAsia="Times New Roman" w:hAnsi="Meta Pro"/>
                <w:b/>
                <w:bCs/>
                <w:sz w:val="16"/>
                <w:szCs w:val="16"/>
                <w:lang w:eastAsia="en-AU"/>
              </w:rPr>
            </w:pPr>
            <w:r w:rsidRPr="00701B39">
              <w:rPr>
                <w:rFonts w:ascii="Meta Pro" w:eastAsia="Times New Roman" w:hAnsi="Meta Pro"/>
                <w:b/>
                <w:bCs/>
                <w:sz w:val="16"/>
                <w:szCs w:val="16"/>
                <w:lang w:eastAsia="en-AU"/>
              </w:rPr>
              <w:t>$'000</w:t>
            </w:r>
          </w:p>
        </w:tc>
        <w:tc>
          <w:tcPr>
            <w:tcW w:w="58" w:type="dxa"/>
            <w:tcBorders>
              <w:top w:val="nil"/>
              <w:left w:val="nil"/>
              <w:bottom w:val="nil"/>
              <w:right w:val="nil"/>
            </w:tcBorders>
            <w:shd w:val="clear" w:color="auto" w:fill="auto"/>
            <w:noWrap/>
            <w:vAlign w:val="center"/>
            <w:hideMark/>
          </w:tcPr>
          <w:p w14:paraId="1515CE9E" w14:textId="77777777" w:rsidR="00F65618" w:rsidRPr="00701B39" w:rsidRDefault="00F65618" w:rsidP="00E607DA">
            <w:pPr>
              <w:jc w:val="center"/>
              <w:rPr>
                <w:rFonts w:ascii="Meta Pro" w:eastAsia="Times New Roman" w:hAnsi="Meta Pro"/>
                <w:b/>
                <w:bCs/>
                <w:sz w:val="16"/>
                <w:szCs w:val="16"/>
                <w:lang w:eastAsia="en-AU"/>
              </w:rPr>
            </w:pPr>
          </w:p>
        </w:tc>
        <w:tc>
          <w:tcPr>
            <w:tcW w:w="1360" w:type="dxa"/>
            <w:tcBorders>
              <w:top w:val="nil"/>
              <w:left w:val="nil"/>
              <w:bottom w:val="nil"/>
              <w:right w:val="nil"/>
            </w:tcBorders>
            <w:shd w:val="clear" w:color="auto" w:fill="auto"/>
            <w:noWrap/>
            <w:vAlign w:val="center"/>
            <w:hideMark/>
          </w:tcPr>
          <w:p w14:paraId="00A44F74" w14:textId="77777777" w:rsidR="00F65618" w:rsidRPr="00701B39" w:rsidRDefault="00F65618" w:rsidP="00E607DA">
            <w:pPr>
              <w:jc w:val="center"/>
              <w:rPr>
                <w:rFonts w:ascii="Meta Pro" w:eastAsia="Times New Roman" w:hAnsi="Meta Pro"/>
                <w:b/>
                <w:bCs/>
                <w:sz w:val="16"/>
                <w:szCs w:val="16"/>
                <w:lang w:eastAsia="en-AU"/>
              </w:rPr>
            </w:pPr>
            <w:r w:rsidRPr="00701B39">
              <w:rPr>
                <w:rFonts w:ascii="Meta Pro" w:eastAsia="Times New Roman" w:hAnsi="Meta Pro"/>
                <w:b/>
                <w:bCs/>
                <w:sz w:val="16"/>
                <w:szCs w:val="16"/>
                <w:lang w:eastAsia="en-AU"/>
              </w:rPr>
              <w:t>$'000</w:t>
            </w:r>
          </w:p>
        </w:tc>
        <w:tc>
          <w:tcPr>
            <w:tcW w:w="58" w:type="dxa"/>
            <w:tcBorders>
              <w:top w:val="nil"/>
              <w:left w:val="nil"/>
              <w:bottom w:val="nil"/>
              <w:right w:val="nil"/>
            </w:tcBorders>
            <w:shd w:val="clear" w:color="auto" w:fill="auto"/>
            <w:noWrap/>
            <w:vAlign w:val="center"/>
            <w:hideMark/>
          </w:tcPr>
          <w:p w14:paraId="3A88D6A1" w14:textId="77777777" w:rsidR="00F65618" w:rsidRPr="00701B39" w:rsidRDefault="00F65618" w:rsidP="00E607DA">
            <w:pPr>
              <w:jc w:val="center"/>
              <w:rPr>
                <w:rFonts w:ascii="Meta Pro" w:eastAsia="Times New Roman" w:hAnsi="Meta Pro"/>
                <w:b/>
                <w:bCs/>
                <w:sz w:val="16"/>
                <w:szCs w:val="16"/>
                <w:lang w:eastAsia="en-AU"/>
              </w:rPr>
            </w:pPr>
          </w:p>
        </w:tc>
        <w:tc>
          <w:tcPr>
            <w:tcW w:w="1337" w:type="dxa"/>
            <w:tcBorders>
              <w:top w:val="nil"/>
              <w:left w:val="nil"/>
              <w:bottom w:val="nil"/>
              <w:right w:val="nil"/>
            </w:tcBorders>
            <w:shd w:val="clear" w:color="auto" w:fill="auto"/>
            <w:noWrap/>
            <w:vAlign w:val="center"/>
            <w:hideMark/>
          </w:tcPr>
          <w:p w14:paraId="2E9EAEE4" w14:textId="77777777" w:rsidR="00F65618" w:rsidRPr="00701B39" w:rsidRDefault="00F65618" w:rsidP="00E607DA">
            <w:pPr>
              <w:jc w:val="center"/>
              <w:rPr>
                <w:rFonts w:ascii="Meta Pro" w:eastAsia="Times New Roman" w:hAnsi="Meta Pro"/>
                <w:b/>
                <w:bCs/>
                <w:sz w:val="16"/>
                <w:szCs w:val="16"/>
                <w:lang w:eastAsia="en-AU"/>
              </w:rPr>
            </w:pPr>
            <w:r w:rsidRPr="00701B39">
              <w:rPr>
                <w:rFonts w:ascii="Meta Pro" w:eastAsia="Times New Roman" w:hAnsi="Meta Pro"/>
                <w:b/>
                <w:bCs/>
                <w:sz w:val="16"/>
                <w:szCs w:val="16"/>
                <w:lang w:eastAsia="en-AU"/>
              </w:rPr>
              <w:t>$'000</w:t>
            </w:r>
          </w:p>
        </w:tc>
        <w:tc>
          <w:tcPr>
            <w:tcW w:w="58" w:type="dxa"/>
            <w:tcBorders>
              <w:top w:val="nil"/>
              <w:left w:val="nil"/>
              <w:bottom w:val="nil"/>
              <w:right w:val="nil"/>
            </w:tcBorders>
            <w:shd w:val="clear" w:color="auto" w:fill="auto"/>
            <w:noWrap/>
            <w:vAlign w:val="center"/>
            <w:hideMark/>
          </w:tcPr>
          <w:p w14:paraId="18A81BF3" w14:textId="77777777" w:rsidR="00F65618" w:rsidRPr="00701B39" w:rsidRDefault="00F65618" w:rsidP="00E607DA">
            <w:pPr>
              <w:jc w:val="center"/>
              <w:rPr>
                <w:rFonts w:ascii="Meta Pro" w:eastAsia="Times New Roman" w:hAnsi="Meta Pro"/>
                <w:b/>
                <w:bCs/>
                <w:sz w:val="16"/>
                <w:szCs w:val="16"/>
                <w:lang w:eastAsia="en-AU"/>
              </w:rPr>
            </w:pPr>
          </w:p>
        </w:tc>
        <w:tc>
          <w:tcPr>
            <w:tcW w:w="1332" w:type="dxa"/>
            <w:tcBorders>
              <w:top w:val="nil"/>
              <w:left w:val="nil"/>
              <w:bottom w:val="nil"/>
              <w:right w:val="nil"/>
            </w:tcBorders>
            <w:shd w:val="clear" w:color="auto" w:fill="auto"/>
            <w:noWrap/>
            <w:vAlign w:val="center"/>
            <w:hideMark/>
          </w:tcPr>
          <w:p w14:paraId="0444F8D2" w14:textId="77777777" w:rsidR="00F65618" w:rsidRPr="00701B39" w:rsidRDefault="00F65618" w:rsidP="00E607DA">
            <w:pPr>
              <w:jc w:val="center"/>
              <w:rPr>
                <w:rFonts w:ascii="Meta Pro" w:eastAsia="Times New Roman" w:hAnsi="Meta Pro"/>
                <w:b/>
                <w:bCs/>
                <w:sz w:val="16"/>
                <w:szCs w:val="16"/>
                <w:lang w:eastAsia="en-AU"/>
              </w:rPr>
            </w:pPr>
            <w:r w:rsidRPr="00701B39">
              <w:rPr>
                <w:rFonts w:ascii="Meta Pro" w:eastAsia="Times New Roman" w:hAnsi="Meta Pro"/>
                <w:b/>
                <w:bCs/>
                <w:sz w:val="16"/>
                <w:szCs w:val="16"/>
                <w:lang w:eastAsia="en-AU"/>
              </w:rPr>
              <w:t>$'000</w:t>
            </w:r>
          </w:p>
        </w:tc>
        <w:tc>
          <w:tcPr>
            <w:tcW w:w="58" w:type="dxa"/>
            <w:tcBorders>
              <w:top w:val="nil"/>
              <w:left w:val="nil"/>
              <w:bottom w:val="nil"/>
              <w:right w:val="nil"/>
            </w:tcBorders>
            <w:shd w:val="clear" w:color="auto" w:fill="auto"/>
            <w:noWrap/>
            <w:vAlign w:val="center"/>
            <w:hideMark/>
          </w:tcPr>
          <w:p w14:paraId="650A44F6" w14:textId="77777777" w:rsidR="00F65618" w:rsidRPr="00701B39" w:rsidRDefault="00F65618" w:rsidP="00E607DA">
            <w:pPr>
              <w:jc w:val="center"/>
              <w:rPr>
                <w:rFonts w:ascii="Meta Pro" w:eastAsia="Times New Roman" w:hAnsi="Meta Pro"/>
                <w:b/>
                <w:bCs/>
                <w:sz w:val="16"/>
                <w:szCs w:val="16"/>
                <w:lang w:eastAsia="en-AU"/>
              </w:rPr>
            </w:pPr>
          </w:p>
        </w:tc>
        <w:tc>
          <w:tcPr>
            <w:tcW w:w="1185" w:type="dxa"/>
            <w:tcBorders>
              <w:top w:val="nil"/>
              <w:left w:val="nil"/>
              <w:bottom w:val="nil"/>
              <w:right w:val="nil"/>
            </w:tcBorders>
            <w:shd w:val="clear" w:color="auto" w:fill="auto"/>
            <w:noWrap/>
            <w:vAlign w:val="center"/>
            <w:hideMark/>
          </w:tcPr>
          <w:p w14:paraId="560485CE" w14:textId="77777777" w:rsidR="00F65618" w:rsidRPr="00701B39" w:rsidRDefault="00F65618" w:rsidP="00E607DA">
            <w:pPr>
              <w:jc w:val="center"/>
              <w:rPr>
                <w:rFonts w:ascii="Meta Pro" w:eastAsia="Times New Roman" w:hAnsi="Meta Pro"/>
                <w:b/>
                <w:bCs/>
                <w:sz w:val="16"/>
                <w:szCs w:val="16"/>
                <w:lang w:eastAsia="en-AU"/>
              </w:rPr>
            </w:pPr>
            <w:r w:rsidRPr="00701B39">
              <w:rPr>
                <w:rFonts w:ascii="Meta Pro" w:eastAsia="Times New Roman" w:hAnsi="Meta Pro"/>
                <w:b/>
                <w:bCs/>
                <w:sz w:val="16"/>
                <w:szCs w:val="16"/>
                <w:lang w:eastAsia="en-AU"/>
              </w:rPr>
              <w:t>$'000</w:t>
            </w:r>
          </w:p>
        </w:tc>
        <w:tc>
          <w:tcPr>
            <w:tcW w:w="58" w:type="dxa"/>
            <w:tcBorders>
              <w:top w:val="nil"/>
              <w:left w:val="nil"/>
              <w:bottom w:val="nil"/>
              <w:right w:val="nil"/>
            </w:tcBorders>
            <w:shd w:val="clear" w:color="auto" w:fill="auto"/>
            <w:noWrap/>
            <w:vAlign w:val="center"/>
            <w:hideMark/>
          </w:tcPr>
          <w:p w14:paraId="068E1405" w14:textId="77777777" w:rsidR="00F65618" w:rsidRPr="00701B39" w:rsidRDefault="00F65618" w:rsidP="00E607DA">
            <w:pPr>
              <w:jc w:val="center"/>
              <w:rPr>
                <w:rFonts w:ascii="Meta Pro" w:eastAsia="Times New Roman" w:hAnsi="Meta Pro"/>
                <w:b/>
                <w:bCs/>
                <w:sz w:val="16"/>
                <w:szCs w:val="16"/>
                <w:lang w:eastAsia="en-AU"/>
              </w:rPr>
            </w:pPr>
          </w:p>
        </w:tc>
        <w:tc>
          <w:tcPr>
            <w:tcW w:w="1300" w:type="dxa"/>
            <w:gridSpan w:val="2"/>
            <w:tcBorders>
              <w:top w:val="nil"/>
              <w:left w:val="nil"/>
              <w:bottom w:val="nil"/>
              <w:right w:val="nil"/>
            </w:tcBorders>
            <w:shd w:val="clear" w:color="auto" w:fill="auto"/>
            <w:noWrap/>
            <w:vAlign w:val="center"/>
            <w:hideMark/>
          </w:tcPr>
          <w:p w14:paraId="13A2B1AD" w14:textId="77777777" w:rsidR="00F65618" w:rsidRPr="00701B39" w:rsidRDefault="00F65618" w:rsidP="00E607DA">
            <w:pPr>
              <w:jc w:val="center"/>
              <w:rPr>
                <w:rFonts w:ascii="Meta Pro" w:eastAsia="Times New Roman" w:hAnsi="Meta Pro"/>
                <w:b/>
                <w:bCs/>
                <w:sz w:val="16"/>
                <w:szCs w:val="16"/>
                <w:lang w:eastAsia="en-AU"/>
              </w:rPr>
            </w:pPr>
            <w:r w:rsidRPr="00701B39">
              <w:rPr>
                <w:rFonts w:ascii="Meta Pro" w:eastAsia="Times New Roman" w:hAnsi="Meta Pro"/>
                <w:b/>
                <w:bCs/>
                <w:sz w:val="16"/>
                <w:szCs w:val="16"/>
                <w:lang w:eastAsia="en-AU"/>
              </w:rPr>
              <w:t>$'000</w:t>
            </w:r>
          </w:p>
        </w:tc>
        <w:tc>
          <w:tcPr>
            <w:tcW w:w="58" w:type="dxa"/>
            <w:tcBorders>
              <w:top w:val="nil"/>
              <w:left w:val="nil"/>
              <w:bottom w:val="nil"/>
              <w:right w:val="nil"/>
            </w:tcBorders>
            <w:shd w:val="clear" w:color="auto" w:fill="auto"/>
            <w:noWrap/>
            <w:vAlign w:val="center"/>
            <w:hideMark/>
          </w:tcPr>
          <w:p w14:paraId="6386F39E" w14:textId="77777777" w:rsidR="00F65618" w:rsidRPr="00701B39" w:rsidRDefault="00F65618" w:rsidP="00E607DA">
            <w:pPr>
              <w:jc w:val="center"/>
              <w:rPr>
                <w:rFonts w:ascii="Meta Pro" w:eastAsia="Times New Roman" w:hAnsi="Meta Pro"/>
                <w:b/>
                <w:bCs/>
                <w:sz w:val="16"/>
                <w:szCs w:val="16"/>
                <w:lang w:eastAsia="en-AU"/>
              </w:rPr>
            </w:pPr>
          </w:p>
        </w:tc>
        <w:tc>
          <w:tcPr>
            <w:tcW w:w="1272" w:type="dxa"/>
            <w:tcBorders>
              <w:top w:val="nil"/>
              <w:left w:val="nil"/>
              <w:bottom w:val="nil"/>
              <w:right w:val="nil"/>
            </w:tcBorders>
            <w:shd w:val="clear" w:color="auto" w:fill="auto"/>
            <w:noWrap/>
            <w:vAlign w:val="center"/>
            <w:hideMark/>
          </w:tcPr>
          <w:p w14:paraId="4B3CCFF6" w14:textId="77777777" w:rsidR="00F65618" w:rsidRPr="00701B39" w:rsidRDefault="00F65618" w:rsidP="00E607DA">
            <w:pPr>
              <w:jc w:val="center"/>
              <w:rPr>
                <w:rFonts w:ascii="Meta Pro" w:eastAsia="Times New Roman" w:hAnsi="Meta Pro"/>
                <w:b/>
                <w:bCs/>
                <w:sz w:val="16"/>
                <w:szCs w:val="16"/>
                <w:lang w:eastAsia="en-AU"/>
              </w:rPr>
            </w:pPr>
            <w:r w:rsidRPr="00701B39">
              <w:rPr>
                <w:rFonts w:ascii="Meta Pro" w:eastAsia="Times New Roman" w:hAnsi="Meta Pro"/>
                <w:b/>
                <w:bCs/>
                <w:sz w:val="16"/>
                <w:szCs w:val="16"/>
                <w:lang w:eastAsia="en-AU"/>
              </w:rPr>
              <w:t>$'000</w:t>
            </w:r>
          </w:p>
        </w:tc>
        <w:tc>
          <w:tcPr>
            <w:tcW w:w="58" w:type="dxa"/>
            <w:tcBorders>
              <w:top w:val="nil"/>
              <w:left w:val="nil"/>
              <w:bottom w:val="nil"/>
              <w:right w:val="nil"/>
            </w:tcBorders>
            <w:shd w:val="clear" w:color="auto" w:fill="auto"/>
            <w:noWrap/>
            <w:vAlign w:val="center"/>
            <w:hideMark/>
          </w:tcPr>
          <w:p w14:paraId="7702E8DB" w14:textId="77777777" w:rsidR="00F65618" w:rsidRPr="00701B39" w:rsidRDefault="00F65618" w:rsidP="00E607DA">
            <w:pPr>
              <w:jc w:val="center"/>
              <w:rPr>
                <w:rFonts w:ascii="Meta Pro" w:eastAsia="Times New Roman" w:hAnsi="Meta Pro"/>
                <w:b/>
                <w:bCs/>
                <w:sz w:val="16"/>
                <w:szCs w:val="16"/>
                <w:lang w:eastAsia="en-AU"/>
              </w:rPr>
            </w:pPr>
          </w:p>
        </w:tc>
        <w:tc>
          <w:tcPr>
            <w:tcW w:w="1391" w:type="dxa"/>
            <w:tcBorders>
              <w:top w:val="nil"/>
              <w:left w:val="nil"/>
              <w:bottom w:val="nil"/>
              <w:right w:val="nil"/>
            </w:tcBorders>
            <w:shd w:val="clear" w:color="auto" w:fill="auto"/>
            <w:noWrap/>
            <w:vAlign w:val="center"/>
            <w:hideMark/>
          </w:tcPr>
          <w:p w14:paraId="45AC0741" w14:textId="77777777" w:rsidR="00F65618" w:rsidRPr="00701B39" w:rsidRDefault="00F65618" w:rsidP="00E607DA">
            <w:pPr>
              <w:jc w:val="center"/>
              <w:rPr>
                <w:rFonts w:ascii="Meta Pro" w:eastAsia="Times New Roman" w:hAnsi="Meta Pro"/>
                <w:b/>
                <w:bCs/>
                <w:sz w:val="16"/>
                <w:szCs w:val="16"/>
                <w:lang w:eastAsia="en-AU"/>
              </w:rPr>
            </w:pPr>
            <w:r w:rsidRPr="00701B39">
              <w:rPr>
                <w:rFonts w:ascii="Meta Pro" w:eastAsia="Times New Roman" w:hAnsi="Meta Pro"/>
                <w:b/>
                <w:bCs/>
                <w:sz w:val="16"/>
                <w:szCs w:val="16"/>
                <w:lang w:eastAsia="en-AU"/>
              </w:rPr>
              <w:t>$'000</w:t>
            </w:r>
          </w:p>
        </w:tc>
      </w:tr>
      <w:tr w:rsidR="00F65618" w:rsidRPr="00701B39" w14:paraId="658A36CA" w14:textId="77777777" w:rsidTr="00E607DA">
        <w:trPr>
          <w:trHeight w:val="113"/>
        </w:trPr>
        <w:tc>
          <w:tcPr>
            <w:tcW w:w="4759" w:type="dxa"/>
            <w:tcBorders>
              <w:top w:val="nil"/>
              <w:left w:val="nil"/>
              <w:bottom w:val="nil"/>
              <w:right w:val="nil"/>
            </w:tcBorders>
            <w:shd w:val="clear" w:color="auto" w:fill="auto"/>
            <w:noWrap/>
            <w:vAlign w:val="center"/>
            <w:hideMark/>
          </w:tcPr>
          <w:p w14:paraId="3A8692FC" w14:textId="77777777" w:rsidR="00F65618" w:rsidRPr="00701B39" w:rsidRDefault="00F65618" w:rsidP="00E607DA">
            <w:pPr>
              <w:jc w:val="center"/>
              <w:rPr>
                <w:rFonts w:ascii="Meta Pro" w:eastAsia="Times New Roman" w:hAnsi="Meta Pro"/>
                <w:b/>
                <w:bCs/>
                <w:sz w:val="16"/>
                <w:szCs w:val="16"/>
                <w:lang w:eastAsia="en-AU"/>
              </w:rPr>
            </w:pPr>
          </w:p>
        </w:tc>
        <w:tc>
          <w:tcPr>
            <w:tcW w:w="1260" w:type="dxa"/>
            <w:tcBorders>
              <w:top w:val="nil"/>
              <w:left w:val="nil"/>
              <w:bottom w:val="nil"/>
              <w:right w:val="nil"/>
            </w:tcBorders>
            <w:shd w:val="clear" w:color="auto" w:fill="auto"/>
            <w:noWrap/>
            <w:vAlign w:val="center"/>
            <w:hideMark/>
          </w:tcPr>
          <w:p w14:paraId="57C1B279"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3CE8BF7F" w14:textId="77777777" w:rsidR="00F65618" w:rsidRPr="00701B39" w:rsidRDefault="00F65618" w:rsidP="00E607DA">
            <w:pPr>
              <w:rPr>
                <w:rFonts w:ascii="Meta Pro" w:eastAsia="Times New Roman" w:hAnsi="Meta Pro" w:cs="Times New Roman"/>
                <w:sz w:val="20"/>
                <w:szCs w:val="20"/>
                <w:lang w:eastAsia="en-AU"/>
              </w:rPr>
            </w:pPr>
          </w:p>
        </w:tc>
        <w:tc>
          <w:tcPr>
            <w:tcW w:w="1421" w:type="dxa"/>
            <w:tcBorders>
              <w:top w:val="nil"/>
              <w:left w:val="nil"/>
              <w:bottom w:val="nil"/>
              <w:right w:val="nil"/>
            </w:tcBorders>
            <w:shd w:val="clear" w:color="auto" w:fill="auto"/>
            <w:noWrap/>
            <w:vAlign w:val="center"/>
            <w:hideMark/>
          </w:tcPr>
          <w:p w14:paraId="4807486C"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5A72368B" w14:textId="77777777" w:rsidR="00F65618" w:rsidRPr="00701B39" w:rsidRDefault="00F65618" w:rsidP="00E607DA">
            <w:pPr>
              <w:jc w:val="center"/>
              <w:rPr>
                <w:rFonts w:ascii="Meta Pro" w:eastAsia="Times New Roman" w:hAnsi="Meta Pro" w:cs="Times New Roman"/>
                <w:sz w:val="20"/>
                <w:szCs w:val="20"/>
                <w:lang w:eastAsia="en-AU"/>
              </w:rPr>
            </w:pPr>
          </w:p>
        </w:tc>
        <w:tc>
          <w:tcPr>
            <w:tcW w:w="1360" w:type="dxa"/>
            <w:tcBorders>
              <w:top w:val="nil"/>
              <w:left w:val="nil"/>
              <w:bottom w:val="nil"/>
              <w:right w:val="nil"/>
            </w:tcBorders>
            <w:shd w:val="clear" w:color="auto" w:fill="auto"/>
            <w:noWrap/>
            <w:vAlign w:val="center"/>
            <w:hideMark/>
          </w:tcPr>
          <w:p w14:paraId="6AA34E22"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15F94DD0" w14:textId="77777777" w:rsidR="00F65618" w:rsidRPr="00701B39" w:rsidRDefault="00F65618" w:rsidP="00E607DA">
            <w:pPr>
              <w:jc w:val="center"/>
              <w:rPr>
                <w:rFonts w:ascii="Meta Pro" w:eastAsia="Times New Roman" w:hAnsi="Meta Pro" w:cs="Times New Roman"/>
                <w:sz w:val="20"/>
                <w:szCs w:val="20"/>
                <w:lang w:eastAsia="en-AU"/>
              </w:rPr>
            </w:pPr>
          </w:p>
        </w:tc>
        <w:tc>
          <w:tcPr>
            <w:tcW w:w="1337" w:type="dxa"/>
            <w:tcBorders>
              <w:top w:val="nil"/>
              <w:left w:val="nil"/>
              <w:bottom w:val="nil"/>
              <w:right w:val="nil"/>
            </w:tcBorders>
            <w:shd w:val="clear" w:color="auto" w:fill="auto"/>
            <w:noWrap/>
            <w:vAlign w:val="center"/>
            <w:hideMark/>
          </w:tcPr>
          <w:p w14:paraId="182AE7C7"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410A6E25" w14:textId="77777777" w:rsidR="00F65618" w:rsidRPr="00701B39" w:rsidRDefault="00F65618" w:rsidP="00E607DA">
            <w:pPr>
              <w:jc w:val="center"/>
              <w:rPr>
                <w:rFonts w:ascii="Meta Pro" w:eastAsia="Times New Roman" w:hAnsi="Meta Pro" w:cs="Times New Roman"/>
                <w:sz w:val="20"/>
                <w:szCs w:val="20"/>
                <w:lang w:eastAsia="en-AU"/>
              </w:rPr>
            </w:pPr>
          </w:p>
        </w:tc>
        <w:tc>
          <w:tcPr>
            <w:tcW w:w="1332" w:type="dxa"/>
            <w:tcBorders>
              <w:top w:val="nil"/>
              <w:left w:val="nil"/>
              <w:bottom w:val="nil"/>
              <w:right w:val="nil"/>
            </w:tcBorders>
            <w:shd w:val="clear" w:color="auto" w:fill="auto"/>
            <w:noWrap/>
            <w:vAlign w:val="center"/>
            <w:hideMark/>
          </w:tcPr>
          <w:p w14:paraId="48306BC4"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04A30E61" w14:textId="77777777" w:rsidR="00F65618" w:rsidRPr="00701B39" w:rsidRDefault="00F65618" w:rsidP="00E607DA">
            <w:pPr>
              <w:jc w:val="center"/>
              <w:rPr>
                <w:rFonts w:ascii="Meta Pro" w:eastAsia="Times New Roman" w:hAnsi="Meta Pro" w:cs="Times New Roman"/>
                <w:sz w:val="20"/>
                <w:szCs w:val="20"/>
                <w:lang w:eastAsia="en-AU"/>
              </w:rPr>
            </w:pPr>
          </w:p>
        </w:tc>
        <w:tc>
          <w:tcPr>
            <w:tcW w:w="1185" w:type="dxa"/>
            <w:tcBorders>
              <w:top w:val="nil"/>
              <w:left w:val="nil"/>
              <w:bottom w:val="nil"/>
              <w:right w:val="nil"/>
            </w:tcBorders>
            <w:shd w:val="clear" w:color="auto" w:fill="auto"/>
            <w:noWrap/>
            <w:vAlign w:val="center"/>
            <w:hideMark/>
          </w:tcPr>
          <w:p w14:paraId="7E6B6059"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785C309D" w14:textId="77777777" w:rsidR="00F65618" w:rsidRPr="00701B39" w:rsidRDefault="00F65618" w:rsidP="00E607DA">
            <w:pPr>
              <w:jc w:val="center"/>
              <w:rPr>
                <w:rFonts w:ascii="Meta Pro" w:eastAsia="Times New Roman" w:hAnsi="Meta Pro" w:cs="Times New Roman"/>
                <w:sz w:val="20"/>
                <w:szCs w:val="20"/>
                <w:lang w:eastAsia="en-AU"/>
              </w:rPr>
            </w:pPr>
          </w:p>
        </w:tc>
        <w:tc>
          <w:tcPr>
            <w:tcW w:w="1300" w:type="dxa"/>
            <w:gridSpan w:val="2"/>
            <w:tcBorders>
              <w:top w:val="nil"/>
              <w:left w:val="nil"/>
              <w:bottom w:val="nil"/>
              <w:right w:val="nil"/>
            </w:tcBorders>
            <w:shd w:val="clear" w:color="auto" w:fill="auto"/>
            <w:noWrap/>
            <w:vAlign w:val="center"/>
            <w:hideMark/>
          </w:tcPr>
          <w:p w14:paraId="03C1E1AA"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3FFAD627" w14:textId="77777777" w:rsidR="00F65618" w:rsidRPr="00701B39" w:rsidRDefault="00F65618" w:rsidP="00E607DA">
            <w:pPr>
              <w:jc w:val="center"/>
              <w:rPr>
                <w:rFonts w:ascii="Meta Pro" w:eastAsia="Times New Roman" w:hAnsi="Meta Pro" w:cs="Times New Roman"/>
                <w:sz w:val="20"/>
                <w:szCs w:val="20"/>
                <w:lang w:eastAsia="en-AU"/>
              </w:rPr>
            </w:pPr>
          </w:p>
        </w:tc>
        <w:tc>
          <w:tcPr>
            <w:tcW w:w="1272" w:type="dxa"/>
            <w:tcBorders>
              <w:top w:val="nil"/>
              <w:left w:val="nil"/>
              <w:bottom w:val="nil"/>
              <w:right w:val="nil"/>
            </w:tcBorders>
            <w:shd w:val="clear" w:color="auto" w:fill="auto"/>
            <w:noWrap/>
            <w:vAlign w:val="center"/>
            <w:hideMark/>
          </w:tcPr>
          <w:p w14:paraId="14F67422"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4DD1E749" w14:textId="77777777" w:rsidR="00F65618" w:rsidRPr="00701B39" w:rsidRDefault="00F65618" w:rsidP="00E607DA">
            <w:pPr>
              <w:jc w:val="center"/>
              <w:rPr>
                <w:rFonts w:ascii="Meta Pro" w:eastAsia="Times New Roman" w:hAnsi="Meta Pro" w:cs="Times New Roman"/>
                <w:sz w:val="20"/>
                <w:szCs w:val="20"/>
                <w:lang w:eastAsia="en-AU"/>
              </w:rPr>
            </w:pPr>
          </w:p>
        </w:tc>
        <w:tc>
          <w:tcPr>
            <w:tcW w:w="1391" w:type="dxa"/>
            <w:tcBorders>
              <w:top w:val="nil"/>
              <w:left w:val="nil"/>
              <w:bottom w:val="nil"/>
              <w:right w:val="nil"/>
            </w:tcBorders>
            <w:shd w:val="clear" w:color="auto" w:fill="auto"/>
            <w:noWrap/>
            <w:vAlign w:val="center"/>
            <w:hideMark/>
          </w:tcPr>
          <w:p w14:paraId="08A2B86F" w14:textId="77777777" w:rsidR="00F65618" w:rsidRPr="00701B39" w:rsidRDefault="00F65618" w:rsidP="00E607DA">
            <w:pPr>
              <w:rPr>
                <w:rFonts w:ascii="Meta Pro" w:eastAsia="Times New Roman" w:hAnsi="Meta Pro" w:cs="Times New Roman"/>
                <w:sz w:val="20"/>
                <w:szCs w:val="20"/>
                <w:lang w:eastAsia="en-AU"/>
              </w:rPr>
            </w:pPr>
          </w:p>
        </w:tc>
      </w:tr>
      <w:tr w:rsidR="00F65618" w:rsidRPr="00701B39" w14:paraId="775E5F9D" w14:textId="77777777" w:rsidTr="00E607DA">
        <w:trPr>
          <w:trHeight w:val="113"/>
        </w:trPr>
        <w:tc>
          <w:tcPr>
            <w:tcW w:w="4759" w:type="dxa"/>
            <w:tcBorders>
              <w:top w:val="nil"/>
              <w:left w:val="nil"/>
              <w:bottom w:val="nil"/>
              <w:right w:val="nil"/>
            </w:tcBorders>
            <w:shd w:val="clear" w:color="auto" w:fill="auto"/>
            <w:vAlign w:val="center"/>
            <w:hideMark/>
          </w:tcPr>
          <w:p w14:paraId="0264D3A1" w14:textId="77777777" w:rsidR="00F65618" w:rsidRPr="00701B39" w:rsidRDefault="00F65618" w:rsidP="00E607DA">
            <w:pPr>
              <w:rPr>
                <w:rFonts w:ascii="Meta Pro" w:eastAsia="Times New Roman" w:hAnsi="Meta Pro"/>
                <w:sz w:val="16"/>
                <w:szCs w:val="16"/>
                <w:lang w:eastAsia="en-AU"/>
              </w:rPr>
            </w:pPr>
            <w:r w:rsidRPr="00701B39">
              <w:rPr>
                <w:rFonts w:ascii="Meta Pro" w:eastAsia="Times New Roman" w:hAnsi="Meta Pro"/>
                <w:sz w:val="16"/>
                <w:szCs w:val="16"/>
                <w:lang w:eastAsia="en-AU"/>
              </w:rPr>
              <w:t>Gross value</w:t>
            </w:r>
          </w:p>
        </w:tc>
        <w:tc>
          <w:tcPr>
            <w:tcW w:w="1260" w:type="dxa"/>
            <w:tcBorders>
              <w:top w:val="nil"/>
              <w:left w:val="nil"/>
              <w:bottom w:val="nil"/>
              <w:right w:val="nil"/>
            </w:tcBorders>
            <w:shd w:val="clear" w:color="auto" w:fill="auto"/>
            <w:noWrap/>
            <w:vAlign w:val="center"/>
            <w:hideMark/>
          </w:tcPr>
          <w:p w14:paraId="71177EB5"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 xml:space="preserve">741,279 </w:t>
            </w:r>
          </w:p>
        </w:tc>
        <w:tc>
          <w:tcPr>
            <w:tcW w:w="58" w:type="dxa"/>
            <w:tcBorders>
              <w:top w:val="nil"/>
              <w:left w:val="nil"/>
              <w:bottom w:val="nil"/>
              <w:right w:val="nil"/>
            </w:tcBorders>
            <w:shd w:val="clear" w:color="auto" w:fill="auto"/>
            <w:noWrap/>
            <w:vAlign w:val="center"/>
            <w:hideMark/>
          </w:tcPr>
          <w:p w14:paraId="2D64E0F1" w14:textId="77777777" w:rsidR="00F65618" w:rsidRPr="00701B39" w:rsidRDefault="00F65618" w:rsidP="00E607DA">
            <w:pPr>
              <w:jc w:val="right"/>
              <w:rPr>
                <w:rFonts w:ascii="Meta Pro" w:eastAsia="Times New Roman" w:hAnsi="Meta Pro"/>
                <w:sz w:val="16"/>
                <w:szCs w:val="16"/>
                <w:lang w:eastAsia="en-AU"/>
              </w:rPr>
            </w:pPr>
          </w:p>
        </w:tc>
        <w:tc>
          <w:tcPr>
            <w:tcW w:w="1421" w:type="dxa"/>
            <w:tcBorders>
              <w:top w:val="nil"/>
              <w:left w:val="nil"/>
              <w:bottom w:val="nil"/>
              <w:right w:val="nil"/>
            </w:tcBorders>
            <w:shd w:val="clear" w:color="auto" w:fill="auto"/>
            <w:noWrap/>
            <w:vAlign w:val="center"/>
            <w:hideMark/>
          </w:tcPr>
          <w:p w14:paraId="1216396C"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 xml:space="preserve">1,352,856 </w:t>
            </w:r>
          </w:p>
        </w:tc>
        <w:tc>
          <w:tcPr>
            <w:tcW w:w="58" w:type="dxa"/>
            <w:tcBorders>
              <w:top w:val="nil"/>
              <w:left w:val="nil"/>
              <w:bottom w:val="nil"/>
              <w:right w:val="nil"/>
            </w:tcBorders>
            <w:shd w:val="clear" w:color="auto" w:fill="auto"/>
            <w:noWrap/>
            <w:vAlign w:val="center"/>
            <w:hideMark/>
          </w:tcPr>
          <w:p w14:paraId="79A59CBA" w14:textId="77777777" w:rsidR="00F65618" w:rsidRPr="00701B39" w:rsidRDefault="00F65618" w:rsidP="00E607DA">
            <w:pPr>
              <w:jc w:val="right"/>
              <w:rPr>
                <w:rFonts w:ascii="Meta Pro" w:eastAsia="Times New Roman" w:hAnsi="Meta Pro"/>
                <w:sz w:val="16"/>
                <w:szCs w:val="16"/>
                <w:lang w:eastAsia="en-AU"/>
              </w:rPr>
            </w:pPr>
          </w:p>
        </w:tc>
        <w:tc>
          <w:tcPr>
            <w:tcW w:w="1360" w:type="dxa"/>
            <w:tcBorders>
              <w:top w:val="nil"/>
              <w:left w:val="nil"/>
              <w:bottom w:val="nil"/>
              <w:right w:val="nil"/>
            </w:tcBorders>
            <w:shd w:val="clear" w:color="auto" w:fill="auto"/>
            <w:noWrap/>
            <w:vAlign w:val="center"/>
            <w:hideMark/>
          </w:tcPr>
          <w:p w14:paraId="617A8A1F"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 xml:space="preserve">6,085,425 </w:t>
            </w:r>
          </w:p>
        </w:tc>
        <w:tc>
          <w:tcPr>
            <w:tcW w:w="58" w:type="dxa"/>
            <w:tcBorders>
              <w:top w:val="nil"/>
              <w:left w:val="nil"/>
              <w:bottom w:val="nil"/>
              <w:right w:val="nil"/>
            </w:tcBorders>
            <w:shd w:val="clear" w:color="auto" w:fill="auto"/>
            <w:noWrap/>
            <w:vAlign w:val="center"/>
            <w:hideMark/>
          </w:tcPr>
          <w:p w14:paraId="3511BF86" w14:textId="77777777" w:rsidR="00F65618" w:rsidRPr="00701B39" w:rsidRDefault="00F65618" w:rsidP="00E607DA">
            <w:pPr>
              <w:jc w:val="right"/>
              <w:rPr>
                <w:rFonts w:ascii="Meta Pro" w:eastAsia="Times New Roman" w:hAnsi="Meta Pro"/>
                <w:sz w:val="16"/>
                <w:szCs w:val="16"/>
                <w:lang w:eastAsia="en-AU"/>
              </w:rPr>
            </w:pPr>
          </w:p>
        </w:tc>
        <w:tc>
          <w:tcPr>
            <w:tcW w:w="1337" w:type="dxa"/>
            <w:tcBorders>
              <w:top w:val="nil"/>
              <w:left w:val="nil"/>
              <w:bottom w:val="nil"/>
              <w:right w:val="nil"/>
            </w:tcBorders>
            <w:shd w:val="clear" w:color="auto" w:fill="auto"/>
            <w:noWrap/>
            <w:vAlign w:val="center"/>
            <w:hideMark/>
          </w:tcPr>
          <w:p w14:paraId="04ED3F9D"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 xml:space="preserve">2,943,032 </w:t>
            </w:r>
          </w:p>
        </w:tc>
        <w:tc>
          <w:tcPr>
            <w:tcW w:w="58" w:type="dxa"/>
            <w:tcBorders>
              <w:top w:val="nil"/>
              <w:left w:val="nil"/>
              <w:bottom w:val="nil"/>
              <w:right w:val="nil"/>
            </w:tcBorders>
            <w:shd w:val="clear" w:color="auto" w:fill="auto"/>
            <w:noWrap/>
            <w:vAlign w:val="center"/>
            <w:hideMark/>
          </w:tcPr>
          <w:p w14:paraId="1CAE2BE6" w14:textId="77777777" w:rsidR="00F65618" w:rsidRPr="00701B39" w:rsidRDefault="00F65618" w:rsidP="00E607DA">
            <w:pPr>
              <w:jc w:val="right"/>
              <w:rPr>
                <w:rFonts w:ascii="Meta Pro" w:eastAsia="Times New Roman" w:hAnsi="Meta Pro"/>
                <w:sz w:val="16"/>
                <w:szCs w:val="16"/>
                <w:lang w:eastAsia="en-AU"/>
              </w:rPr>
            </w:pPr>
          </w:p>
        </w:tc>
        <w:tc>
          <w:tcPr>
            <w:tcW w:w="1332" w:type="dxa"/>
            <w:tcBorders>
              <w:top w:val="nil"/>
              <w:left w:val="nil"/>
              <w:bottom w:val="nil"/>
              <w:right w:val="nil"/>
            </w:tcBorders>
            <w:shd w:val="clear" w:color="auto" w:fill="auto"/>
            <w:noWrap/>
            <w:vAlign w:val="center"/>
            <w:hideMark/>
          </w:tcPr>
          <w:p w14:paraId="60D6E36E"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 xml:space="preserve">1,980,490 </w:t>
            </w:r>
          </w:p>
        </w:tc>
        <w:tc>
          <w:tcPr>
            <w:tcW w:w="58" w:type="dxa"/>
            <w:tcBorders>
              <w:top w:val="nil"/>
              <w:left w:val="nil"/>
              <w:bottom w:val="nil"/>
              <w:right w:val="nil"/>
            </w:tcBorders>
            <w:shd w:val="clear" w:color="auto" w:fill="auto"/>
            <w:noWrap/>
            <w:vAlign w:val="center"/>
            <w:hideMark/>
          </w:tcPr>
          <w:p w14:paraId="2EDFDABD" w14:textId="77777777" w:rsidR="00F65618" w:rsidRPr="00701B39" w:rsidRDefault="00F65618" w:rsidP="00E607DA">
            <w:pPr>
              <w:jc w:val="right"/>
              <w:rPr>
                <w:rFonts w:ascii="Meta Pro" w:eastAsia="Times New Roman" w:hAnsi="Meta Pro"/>
                <w:sz w:val="16"/>
                <w:szCs w:val="16"/>
                <w:lang w:eastAsia="en-AU"/>
              </w:rPr>
            </w:pPr>
          </w:p>
        </w:tc>
        <w:tc>
          <w:tcPr>
            <w:tcW w:w="1185" w:type="dxa"/>
            <w:tcBorders>
              <w:top w:val="nil"/>
              <w:left w:val="nil"/>
              <w:bottom w:val="nil"/>
              <w:right w:val="nil"/>
            </w:tcBorders>
            <w:shd w:val="clear" w:color="auto" w:fill="auto"/>
            <w:noWrap/>
            <w:vAlign w:val="center"/>
            <w:hideMark/>
          </w:tcPr>
          <w:p w14:paraId="5CD74E17"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 xml:space="preserve">47,557 </w:t>
            </w:r>
          </w:p>
        </w:tc>
        <w:tc>
          <w:tcPr>
            <w:tcW w:w="58" w:type="dxa"/>
            <w:tcBorders>
              <w:top w:val="nil"/>
              <w:left w:val="nil"/>
              <w:bottom w:val="nil"/>
              <w:right w:val="nil"/>
            </w:tcBorders>
            <w:shd w:val="clear" w:color="auto" w:fill="auto"/>
            <w:noWrap/>
            <w:vAlign w:val="center"/>
            <w:hideMark/>
          </w:tcPr>
          <w:p w14:paraId="4ADBA27E" w14:textId="77777777" w:rsidR="00F65618" w:rsidRPr="00701B39" w:rsidRDefault="00F65618" w:rsidP="00E607DA">
            <w:pPr>
              <w:jc w:val="right"/>
              <w:rPr>
                <w:rFonts w:ascii="Meta Pro" w:eastAsia="Times New Roman" w:hAnsi="Meta Pro"/>
                <w:sz w:val="16"/>
                <w:szCs w:val="16"/>
                <w:lang w:eastAsia="en-AU"/>
              </w:rPr>
            </w:pPr>
          </w:p>
        </w:tc>
        <w:tc>
          <w:tcPr>
            <w:tcW w:w="1300" w:type="dxa"/>
            <w:gridSpan w:val="2"/>
            <w:tcBorders>
              <w:top w:val="nil"/>
              <w:left w:val="nil"/>
              <w:bottom w:val="nil"/>
              <w:right w:val="nil"/>
            </w:tcBorders>
            <w:shd w:val="clear" w:color="auto" w:fill="auto"/>
            <w:noWrap/>
            <w:vAlign w:val="center"/>
            <w:hideMark/>
          </w:tcPr>
          <w:p w14:paraId="66F5A951"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 xml:space="preserve">465,906 </w:t>
            </w:r>
          </w:p>
        </w:tc>
        <w:tc>
          <w:tcPr>
            <w:tcW w:w="58" w:type="dxa"/>
            <w:tcBorders>
              <w:top w:val="nil"/>
              <w:left w:val="nil"/>
              <w:bottom w:val="nil"/>
              <w:right w:val="nil"/>
            </w:tcBorders>
            <w:shd w:val="clear" w:color="auto" w:fill="auto"/>
            <w:noWrap/>
            <w:vAlign w:val="center"/>
            <w:hideMark/>
          </w:tcPr>
          <w:p w14:paraId="796D77B1" w14:textId="77777777" w:rsidR="00F65618" w:rsidRPr="00701B39" w:rsidRDefault="00F65618" w:rsidP="00E607DA">
            <w:pPr>
              <w:jc w:val="right"/>
              <w:rPr>
                <w:rFonts w:ascii="Meta Pro" w:eastAsia="Times New Roman" w:hAnsi="Meta Pro"/>
                <w:sz w:val="16"/>
                <w:szCs w:val="16"/>
                <w:lang w:eastAsia="en-AU"/>
              </w:rPr>
            </w:pPr>
          </w:p>
        </w:tc>
        <w:tc>
          <w:tcPr>
            <w:tcW w:w="1272" w:type="dxa"/>
            <w:tcBorders>
              <w:top w:val="nil"/>
              <w:left w:val="nil"/>
              <w:bottom w:val="nil"/>
              <w:right w:val="nil"/>
            </w:tcBorders>
            <w:shd w:val="clear" w:color="auto" w:fill="auto"/>
            <w:noWrap/>
            <w:vAlign w:val="center"/>
            <w:hideMark/>
          </w:tcPr>
          <w:p w14:paraId="7795B762"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 </w:t>
            </w:r>
          </w:p>
        </w:tc>
        <w:tc>
          <w:tcPr>
            <w:tcW w:w="58" w:type="dxa"/>
            <w:tcBorders>
              <w:top w:val="nil"/>
              <w:left w:val="nil"/>
              <w:bottom w:val="nil"/>
              <w:right w:val="nil"/>
            </w:tcBorders>
            <w:shd w:val="clear" w:color="auto" w:fill="auto"/>
            <w:noWrap/>
            <w:vAlign w:val="center"/>
            <w:hideMark/>
          </w:tcPr>
          <w:p w14:paraId="45A934FE" w14:textId="77777777" w:rsidR="00F65618" w:rsidRPr="00701B39" w:rsidRDefault="00F65618" w:rsidP="00E607DA">
            <w:pPr>
              <w:jc w:val="right"/>
              <w:rPr>
                <w:rFonts w:ascii="Meta Pro" w:eastAsia="Times New Roman" w:hAnsi="Meta Pro"/>
                <w:sz w:val="16"/>
                <w:szCs w:val="16"/>
                <w:lang w:eastAsia="en-AU"/>
              </w:rPr>
            </w:pPr>
          </w:p>
        </w:tc>
        <w:tc>
          <w:tcPr>
            <w:tcW w:w="1391" w:type="dxa"/>
            <w:tcBorders>
              <w:top w:val="nil"/>
              <w:left w:val="nil"/>
              <w:bottom w:val="nil"/>
              <w:right w:val="nil"/>
            </w:tcBorders>
            <w:shd w:val="clear" w:color="auto" w:fill="auto"/>
            <w:noWrap/>
            <w:vAlign w:val="center"/>
            <w:hideMark/>
          </w:tcPr>
          <w:p w14:paraId="0762E100"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13,616,545 </w:t>
            </w:r>
          </w:p>
        </w:tc>
      </w:tr>
      <w:tr w:rsidR="00F65618" w:rsidRPr="00701B39" w14:paraId="63095C5D" w14:textId="77777777" w:rsidTr="00E607DA">
        <w:trPr>
          <w:trHeight w:val="113"/>
        </w:trPr>
        <w:tc>
          <w:tcPr>
            <w:tcW w:w="4759" w:type="dxa"/>
            <w:tcBorders>
              <w:top w:val="nil"/>
              <w:left w:val="nil"/>
              <w:bottom w:val="single" w:sz="4" w:space="0" w:color="auto"/>
              <w:right w:val="nil"/>
            </w:tcBorders>
            <w:shd w:val="clear" w:color="auto" w:fill="auto"/>
            <w:noWrap/>
            <w:vAlign w:val="center"/>
            <w:hideMark/>
          </w:tcPr>
          <w:p w14:paraId="7A870716" w14:textId="77777777" w:rsidR="00F65618" w:rsidRPr="00701B39" w:rsidRDefault="00F65618" w:rsidP="00E607DA">
            <w:pPr>
              <w:rPr>
                <w:rFonts w:ascii="Meta Pro" w:eastAsia="Times New Roman" w:hAnsi="Meta Pro"/>
                <w:sz w:val="16"/>
                <w:szCs w:val="16"/>
                <w:lang w:eastAsia="en-AU"/>
              </w:rPr>
            </w:pPr>
            <w:r w:rsidRPr="00701B39">
              <w:rPr>
                <w:rFonts w:ascii="Meta Pro" w:eastAsia="Times New Roman" w:hAnsi="Meta Pro"/>
                <w:sz w:val="16"/>
                <w:szCs w:val="16"/>
                <w:lang w:eastAsia="en-AU"/>
              </w:rPr>
              <w:t>Less: Accumulated depreciation</w:t>
            </w:r>
          </w:p>
        </w:tc>
        <w:tc>
          <w:tcPr>
            <w:tcW w:w="1260" w:type="dxa"/>
            <w:tcBorders>
              <w:top w:val="nil"/>
              <w:left w:val="nil"/>
              <w:bottom w:val="nil"/>
              <w:right w:val="nil"/>
            </w:tcBorders>
            <w:shd w:val="clear" w:color="auto" w:fill="auto"/>
            <w:noWrap/>
            <w:vAlign w:val="center"/>
            <w:hideMark/>
          </w:tcPr>
          <w:p w14:paraId="2927DD57"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(90,679)</w:t>
            </w:r>
          </w:p>
        </w:tc>
        <w:tc>
          <w:tcPr>
            <w:tcW w:w="58" w:type="dxa"/>
            <w:tcBorders>
              <w:top w:val="nil"/>
              <w:left w:val="nil"/>
              <w:bottom w:val="nil"/>
              <w:right w:val="nil"/>
            </w:tcBorders>
            <w:shd w:val="clear" w:color="auto" w:fill="auto"/>
            <w:noWrap/>
            <w:vAlign w:val="center"/>
            <w:hideMark/>
          </w:tcPr>
          <w:p w14:paraId="7963204E" w14:textId="77777777" w:rsidR="00F65618" w:rsidRPr="00701B39" w:rsidRDefault="00F65618" w:rsidP="00E607DA">
            <w:pPr>
              <w:jc w:val="right"/>
              <w:rPr>
                <w:rFonts w:ascii="Meta Pro" w:eastAsia="Times New Roman" w:hAnsi="Meta Pro"/>
                <w:sz w:val="16"/>
                <w:szCs w:val="16"/>
                <w:lang w:eastAsia="en-AU"/>
              </w:rPr>
            </w:pPr>
          </w:p>
        </w:tc>
        <w:tc>
          <w:tcPr>
            <w:tcW w:w="1421" w:type="dxa"/>
            <w:tcBorders>
              <w:top w:val="nil"/>
              <w:left w:val="nil"/>
              <w:bottom w:val="nil"/>
              <w:right w:val="nil"/>
            </w:tcBorders>
            <w:shd w:val="clear" w:color="auto" w:fill="auto"/>
            <w:noWrap/>
            <w:vAlign w:val="center"/>
            <w:hideMark/>
          </w:tcPr>
          <w:p w14:paraId="6ADB3809"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(38,893)</w:t>
            </w:r>
          </w:p>
        </w:tc>
        <w:tc>
          <w:tcPr>
            <w:tcW w:w="58" w:type="dxa"/>
            <w:tcBorders>
              <w:top w:val="nil"/>
              <w:left w:val="nil"/>
              <w:bottom w:val="nil"/>
              <w:right w:val="nil"/>
            </w:tcBorders>
            <w:shd w:val="clear" w:color="auto" w:fill="auto"/>
            <w:noWrap/>
            <w:vAlign w:val="center"/>
            <w:hideMark/>
          </w:tcPr>
          <w:p w14:paraId="77019A17" w14:textId="77777777" w:rsidR="00F65618" w:rsidRPr="00701B39" w:rsidRDefault="00F65618" w:rsidP="00E607DA">
            <w:pPr>
              <w:jc w:val="right"/>
              <w:rPr>
                <w:rFonts w:ascii="Meta Pro" w:eastAsia="Times New Roman" w:hAnsi="Meta Pro"/>
                <w:sz w:val="16"/>
                <w:szCs w:val="16"/>
                <w:lang w:eastAsia="en-AU"/>
              </w:rPr>
            </w:pPr>
          </w:p>
        </w:tc>
        <w:tc>
          <w:tcPr>
            <w:tcW w:w="1360" w:type="dxa"/>
            <w:tcBorders>
              <w:top w:val="nil"/>
              <w:left w:val="nil"/>
              <w:bottom w:val="nil"/>
              <w:right w:val="nil"/>
            </w:tcBorders>
            <w:shd w:val="clear" w:color="auto" w:fill="auto"/>
            <w:noWrap/>
            <w:vAlign w:val="center"/>
            <w:hideMark/>
          </w:tcPr>
          <w:p w14:paraId="1381690E"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(750,743)</w:t>
            </w:r>
          </w:p>
        </w:tc>
        <w:tc>
          <w:tcPr>
            <w:tcW w:w="58" w:type="dxa"/>
            <w:tcBorders>
              <w:top w:val="nil"/>
              <w:left w:val="nil"/>
              <w:bottom w:val="nil"/>
              <w:right w:val="nil"/>
            </w:tcBorders>
            <w:shd w:val="clear" w:color="auto" w:fill="auto"/>
            <w:noWrap/>
            <w:vAlign w:val="center"/>
            <w:hideMark/>
          </w:tcPr>
          <w:p w14:paraId="66A80BEF" w14:textId="77777777" w:rsidR="00F65618" w:rsidRPr="00701B39" w:rsidRDefault="00F65618" w:rsidP="00E607DA">
            <w:pPr>
              <w:jc w:val="right"/>
              <w:rPr>
                <w:rFonts w:ascii="Meta Pro" w:eastAsia="Times New Roman" w:hAnsi="Meta Pro"/>
                <w:sz w:val="16"/>
                <w:szCs w:val="16"/>
                <w:lang w:eastAsia="en-AU"/>
              </w:rPr>
            </w:pPr>
          </w:p>
        </w:tc>
        <w:tc>
          <w:tcPr>
            <w:tcW w:w="1337" w:type="dxa"/>
            <w:tcBorders>
              <w:top w:val="nil"/>
              <w:left w:val="nil"/>
              <w:bottom w:val="nil"/>
              <w:right w:val="nil"/>
            </w:tcBorders>
            <w:shd w:val="clear" w:color="auto" w:fill="auto"/>
            <w:noWrap/>
            <w:vAlign w:val="center"/>
            <w:hideMark/>
          </w:tcPr>
          <w:p w14:paraId="57DEC576"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(503,674)</w:t>
            </w:r>
          </w:p>
        </w:tc>
        <w:tc>
          <w:tcPr>
            <w:tcW w:w="58" w:type="dxa"/>
            <w:tcBorders>
              <w:top w:val="nil"/>
              <w:left w:val="nil"/>
              <w:bottom w:val="nil"/>
              <w:right w:val="nil"/>
            </w:tcBorders>
            <w:shd w:val="clear" w:color="auto" w:fill="auto"/>
            <w:noWrap/>
            <w:vAlign w:val="center"/>
            <w:hideMark/>
          </w:tcPr>
          <w:p w14:paraId="184A2074" w14:textId="77777777" w:rsidR="00F65618" w:rsidRPr="00701B39" w:rsidRDefault="00F65618" w:rsidP="00E607DA">
            <w:pPr>
              <w:jc w:val="right"/>
              <w:rPr>
                <w:rFonts w:ascii="Meta Pro" w:eastAsia="Times New Roman" w:hAnsi="Meta Pro"/>
                <w:sz w:val="16"/>
                <w:szCs w:val="16"/>
                <w:lang w:eastAsia="en-AU"/>
              </w:rPr>
            </w:pPr>
          </w:p>
        </w:tc>
        <w:tc>
          <w:tcPr>
            <w:tcW w:w="1332" w:type="dxa"/>
            <w:tcBorders>
              <w:top w:val="nil"/>
              <w:left w:val="nil"/>
              <w:bottom w:val="nil"/>
              <w:right w:val="nil"/>
            </w:tcBorders>
            <w:shd w:val="clear" w:color="auto" w:fill="auto"/>
            <w:noWrap/>
            <w:vAlign w:val="center"/>
            <w:hideMark/>
          </w:tcPr>
          <w:p w14:paraId="6ECBBAC9"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(205,313)</w:t>
            </w:r>
          </w:p>
        </w:tc>
        <w:tc>
          <w:tcPr>
            <w:tcW w:w="58" w:type="dxa"/>
            <w:tcBorders>
              <w:top w:val="nil"/>
              <w:left w:val="nil"/>
              <w:bottom w:val="nil"/>
              <w:right w:val="nil"/>
            </w:tcBorders>
            <w:shd w:val="clear" w:color="auto" w:fill="auto"/>
            <w:noWrap/>
            <w:vAlign w:val="center"/>
            <w:hideMark/>
          </w:tcPr>
          <w:p w14:paraId="18C99726" w14:textId="77777777" w:rsidR="00F65618" w:rsidRPr="00701B39" w:rsidRDefault="00F65618" w:rsidP="00E607DA">
            <w:pPr>
              <w:jc w:val="right"/>
              <w:rPr>
                <w:rFonts w:ascii="Meta Pro" w:eastAsia="Times New Roman" w:hAnsi="Meta Pro"/>
                <w:sz w:val="16"/>
                <w:szCs w:val="16"/>
                <w:lang w:eastAsia="en-AU"/>
              </w:rPr>
            </w:pPr>
          </w:p>
        </w:tc>
        <w:tc>
          <w:tcPr>
            <w:tcW w:w="1185" w:type="dxa"/>
            <w:tcBorders>
              <w:top w:val="nil"/>
              <w:left w:val="nil"/>
              <w:bottom w:val="nil"/>
              <w:right w:val="nil"/>
            </w:tcBorders>
            <w:shd w:val="clear" w:color="auto" w:fill="auto"/>
            <w:noWrap/>
            <w:vAlign w:val="center"/>
            <w:hideMark/>
          </w:tcPr>
          <w:p w14:paraId="08B85677"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(1,935)</w:t>
            </w:r>
          </w:p>
        </w:tc>
        <w:tc>
          <w:tcPr>
            <w:tcW w:w="58" w:type="dxa"/>
            <w:tcBorders>
              <w:top w:val="nil"/>
              <w:left w:val="nil"/>
              <w:bottom w:val="nil"/>
              <w:right w:val="nil"/>
            </w:tcBorders>
            <w:shd w:val="clear" w:color="auto" w:fill="auto"/>
            <w:noWrap/>
            <w:vAlign w:val="center"/>
            <w:hideMark/>
          </w:tcPr>
          <w:p w14:paraId="22D9B58D" w14:textId="77777777" w:rsidR="00F65618" w:rsidRPr="00701B39" w:rsidRDefault="00F65618" w:rsidP="00E607DA">
            <w:pPr>
              <w:jc w:val="right"/>
              <w:rPr>
                <w:rFonts w:ascii="Meta Pro" w:eastAsia="Times New Roman" w:hAnsi="Meta Pro"/>
                <w:sz w:val="16"/>
                <w:szCs w:val="16"/>
                <w:lang w:eastAsia="en-AU"/>
              </w:rPr>
            </w:pPr>
          </w:p>
        </w:tc>
        <w:tc>
          <w:tcPr>
            <w:tcW w:w="1300" w:type="dxa"/>
            <w:gridSpan w:val="2"/>
            <w:tcBorders>
              <w:top w:val="nil"/>
              <w:left w:val="nil"/>
              <w:bottom w:val="nil"/>
              <w:right w:val="nil"/>
            </w:tcBorders>
            <w:shd w:val="clear" w:color="auto" w:fill="auto"/>
            <w:noWrap/>
            <w:vAlign w:val="center"/>
            <w:hideMark/>
          </w:tcPr>
          <w:p w14:paraId="15169D0B"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(148,349)</w:t>
            </w:r>
          </w:p>
        </w:tc>
        <w:tc>
          <w:tcPr>
            <w:tcW w:w="58" w:type="dxa"/>
            <w:tcBorders>
              <w:top w:val="nil"/>
              <w:left w:val="nil"/>
              <w:bottom w:val="nil"/>
              <w:right w:val="nil"/>
            </w:tcBorders>
            <w:shd w:val="clear" w:color="auto" w:fill="auto"/>
            <w:noWrap/>
            <w:vAlign w:val="center"/>
            <w:hideMark/>
          </w:tcPr>
          <w:p w14:paraId="1F937907" w14:textId="77777777" w:rsidR="00F65618" w:rsidRPr="00701B39" w:rsidRDefault="00F65618" w:rsidP="00E607DA">
            <w:pPr>
              <w:jc w:val="right"/>
              <w:rPr>
                <w:rFonts w:ascii="Meta Pro" w:eastAsia="Times New Roman" w:hAnsi="Meta Pro"/>
                <w:sz w:val="16"/>
                <w:szCs w:val="16"/>
                <w:lang w:eastAsia="en-AU"/>
              </w:rPr>
            </w:pPr>
          </w:p>
        </w:tc>
        <w:tc>
          <w:tcPr>
            <w:tcW w:w="1272" w:type="dxa"/>
            <w:tcBorders>
              <w:top w:val="nil"/>
              <w:left w:val="nil"/>
              <w:bottom w:val="nil"/>
              <w:right w:val="nil"/>
            </w:tcBorders>
            <w:shd w:val="clear" w:color="auto" w:fill="auto"/>
            <w:noWrap/>
            <w:vAlign w:val="center"/>
            <w:hideMark/>
          </w:tcPr>
          <w:p w14:paraId="7796C6B3"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 </w:t>
            </w:r>
          </w:p>
        </w:tc>
        <w:tc>
          <w:tcPr>
            <w:tcW w:w="58" w:type="dxa"/>
            <w:tcBorders>
              <w:top w:val="nil"/>
              <w:left w:val="nil"/>
              <w:bottom w:val="nil"/>
              <w:right w:val="nil"/>
            </w:tcBorders>
            <w:shd w:val="clear" w:color="auto" w:fill="auto"/>
            <w:noWrap/>
            <w:vAlign w:val="center"/>
            <w:hideMark/>
          </w:tcPr>
          <w:p w14:paraId="6E51B3F7" w14:textId="77777777" w:rsidR="00F65618" w:rsidRPr="00701B39" w:rsidRDefault="00F65618" w:rsidP="00E607DA">
            <w:pPr>
              <w:jc w:val="right"/>
              <w:rPr>
                <w:rFonts w:ascii="Meta Pro" w:eastAsia="Times New Roman" w:hAnsi="Meta Pro"/>
                <w:sz w:val="16"/>
                <w:szCs w:val="16"/>
                <w:lang w:eastAsia="en-AU"/>
              </w:rPr>
            </w:pPr>
          </w:p>
        </w:tc>
        <w:tc>
          <w:tcPr>
            <w:tcW w:w="1391" w:type="dxa"/>
            <w:tcBorders>
              <w:top w:val="nil"/>
              <w:left w:val="nil"/>
              <w:bottom w:val="nil"/>
              <w:right w:val="nil"/>
            </w:tcBorders>
            <w:shd w:val="clear" w:color="auto" w:fill="auto"/>
            <w:noWrap/>
            <w:vAlign w:val="center"/>
            <w:hideMark/>
          </w:tcPr>
          <w:p w14:paraId="4F71FD25"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(1,739,586)</w:t>
            </w:r>
          </w:p>
        </w:tc>
      </w:tr>
      <w:tr w:rsidR="00F65618" w:rsidRPr="00701B39" w14:paraId="1E1DC78F" w14:textId="77777777" w:rsidTr="00E607DA">
        <w:trPr>
          <w:trHeight w:val="113"/>
        </w:trPr>
        <w:tc>
          <w:tcPr>
            <w:tcW w:w="4759" w:type="dxa"/>
            <w:tcBorders>
              <w:top w:val="single" w:sz="4" w:space="0" w:color="auto"/>
              <w:left w:val="nil"/>
              <w:bottom w:val="double" w:sz="6" w:space="0" w:color="auto"/>
              <w:right w:val="nil"/>
            </w:tcBorders>
            <w:shd w:val="clear" w:color="auto" w:fill="auto"/>
            <w:noWrap/>
            <w:vAlign w:val="center"/>
            <w:hideMark/>
          </w:tcPr>
          <w:p w14:paraId="79295983" w14:textId="77777777" w:rsidR="00F65618" w:rsidRPr="00701B39" w:rsidRDefault="00F65618" w:rsidP="00E607DA">
            <w:pPr>
              <w:rPr>
                <w:rFonts w:ascii="Meta Pro" w:eastAsia="Times New Roman" w:hAnsi="Meta Pro"/>
                <w:b/>
                <w:bCs/>
                <w:sz w:val="16"/>
                <w:szCs w:val="16"/>
                <w:lang w:eastAsia="en-AU"/>
              </w:rPr>
            </w:pPr>
            <w:r w:rsidRPr="00701B39">
              <w:rPr>
                <w:rFonts w:ascii="Meta Pro" w:eastAsia="Times New Roman" w:hAnsi="Meta Pro"/>
                <w:b/>
                <w:bCs/>
                <w:sz w:val="16"/>
                <w:szCs w:val="16"/>
                <w:lang w:eastAsia="en-AU"/>
              </w:rPr>
              <w:t>Carrying amount at 30 June</w:t>
            </w:r>
          </w:p>
        </w:tc>
        <w:tc>
          <w:tcPr>
            <w:tcW w:w="1260" w:type="dxa"/>
            <w:tcBorders>
              <w:top w:val="single" w:sz="4" w:space="0" w:color="auto"/>
              <w:left w:val="nil"/>
              <w:bottom w:val="double" w:sz="6" w:space="0" w:color="auto"/>
              <w:right w:val="nil"/>
            </w:tcBorders>
            <w:shd w:val="clear" w:color="auto" w:fill="auto"/>
            <w:noWrap/>
            <w:vAlign w:val="center"/>
            <w:hideMark/>
          </w:tcPr>
          <w:p w14:paraId="425BEEDA"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650,600 </w:t>
            </w:r>
          </w:p>
        </w:tc>
        <w:tc>
          <w:tcPr>
            <w:tcW w:w="58" w:type="dxa"/>
            <w:tcBorders>
              <w:top w:val="nil"/>
              <w:left w:val="nil"/>
              <w:bottom w:val="nil"/>
              <w:right w:val="nil"/>
            </w:tcBorders>
            <w:shd w:val="clear" w:color="auto" w:fill="auto"/>
            <w:noWrap/>
            <w:vAlign w:val="center"/>
            <w:hideMark/>
          </w:tcPr>
          <w:p w14:paraId="5BE6E933" w14:textId="77777777" w:rsidR="00F65618" w:rsidRPr="00701B39" w:rsidRDefault="00F65618" w:rsidP="00E607DA">
            <w:pPr>
              <w:jc w:val="right"/>
              <w:rPr>
                <w:rFonts w:ascii="Meta Pro" w:eastAsia="Times New Roman" w:hAnsi="Meta Pro"/>
                <w:b/>
                <w:bCs/>
                <w:sz w:val="16"/>
                <w:szCs w:val="16"/>
                <w:lang w:eastAsia="en-AU"/>
              </w:rPr>
            </w:pPr>
          </w:p>
        </w:tc>
        <w:tc>
          <w:tcPr>
            <w:tcW w:w="1421" w:type="dxa"/>
            <w:tcBorders>
              <w:top w:val="single" w:sz="4" w:space="0" w:color="auto"/>
              <w:left w:val="nil"/>
              <w:bottom w:val="double" w:sz="6" w:space="0" w:color="auto"/>
              <w:right w:val="nil"/>
            </w:tcBorders>
            <w:shd w:val="clear" w:color="auto" w:fill="auto"/>
            <w:noWrap/>
            <w:vAlign w:val="center"/>
            <w:hideMark/>
          </w:tcPr>
          <w:p w14:paraId="448D38B9"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1,313,963 </w:t>
            </w:r>
          </w:p>
        </w:tc>
        <w:tc>
          <w:tcPr>
            <w:tcW w:w="58" w:type="dxa"/>
            <w:tcBorders>
              <w:top w:val="nil"/>
              <w:left w:val="nil"/>
              <w:bottom w:val="nil"/>
              <w:right w:val="nil"/>
            </w:tcBorders>
            <w:shd w:val="clear" w:color="auto" w:fill="auto"/>
            <w:noWrap/>
            <w:vAlign w:val="center"/>
            <w:hideMark/>
          </w:tcPr>
          <w:p w14:paraId="78C5D9F6" w14:textId="77777777" w:rsidR="00F65618" w:rsidRPr="00701B39" w:rsidRDefault="00F65618" w:rsidP="00E607DA">
            <w:pPr>
              <w:jc w:val="right"/>
              <w:rPr>
                <w:rFonts w:ascii="Meta Pro" w:eastAsia="Times New Roman" w:hAnsi="Meta Pro"/>
                <w:b/>
                <w:bCs/>
                <w:sz w:val="16"/>
                <w:szCs w:val="16"/>
                <w:lang w:eastAsia="en-AU"/>
              </w:rPr>
            </w:pPr>
          </w:p>
        </w:tc>
        <w:tc>
          <w:tcPr>
            <w:tcW w:w="1360" w:type="dxa"/>
            <w:tcBorders>
              <w:top w:val="single" w:sz="4" w:space="0" w:color="auto"/>
              <w:left w:val="nil"/>
              <w:bottom w:val="double" w:sz="6" w:space="0" w:color="auto"/>
              <w:right w:val="nil"/>
            </w:tcBorders>
            <w:shd w:val="clear" w:color="auto" w:fill="auto"/>
            <w:noWrap/>
            <w:vAlign w:val="center"/>
            <w:hideMark/>
          </w:tcPr>
          <w:p w14:paraId="59479A84"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5,334,682 </w:t>
            </w:r>
          </w:p>
        </w:tc>
        <w:tc>
          <w:tcPr>
            <w:tcW w:w="58" w:type="dxa"/>
            <w:tcBorders>
              <w:top w:val="nil"/>
              <w:left w:val="nil"/>
              <w:bottom w:val="nil"/>
              <w:right w:val="nil"/>
            </w:tcBorders>
            <w:shd w:val="clear" w:color="auto" w:fill="auto"/>
            <w:noWrap/>
            <w:vAlign w:val="center"/>
            <w:hideMark/>
          </w:tcPr>
          <w:p w14:paraId="2AFFA660" w14:textId="77777777" w:rsidR="00F65618" w:rsidRPr="00701B39" w:rsidRDefault="00F65618" w:rsidP="00E607DA">
            <w:pPr>
              <w:jc w:val="right"/>
              <w:rPr>
                <w:rFonts w:ascii="Meta Pro" w:eastAsia="Times New Roman" w:hAnsi="Meta Pro"/>
                <w:b/>
                <w:bCs/>
                <w:sz w:val="16"/>
                <w:szCs w:val="16"/>
                <w:lang w:eastAsia="en-AU"/>
              </w:rPr>
            </w:pPr>
          </w:p>
        </w:tc>
        <w:tc>
          <w:tcPr>
            <w:tcW w:w="1337" w:type="dxa"/>
            <w:tcBorders>
              <w:top w:val="single" w:sz="4" w:space="0" w:color="auto"/>
              <w:left w:val="nil"/>
              <w:bottom w:val="double" w:sz="6" w:space="0" w:color="auto"/>
              <w:right w:val="nil"/>
            </w:tcBorders>
            <w:shd w:val="clear" w:color="auto" w:fill="auto"/>
            <w:noWrap/>
            <w:vAlign w:val="center"/>
            <w:hideMark/>
          </w:tcPr>
          <w:p w14:paraId="2C9E8459"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2,439,358 </w:t>
            </w:r>
          </w:p>
        </w:tc>
        <w:tc>
          <w:tcPr>
            <w:tcW w:w="58" w:type="dxa"/>
            <w:tcBorders>
              <w:top w:val="nil"/>
              <w:left w:val="nil"/>
              <w:bottom w:val="nil"/>
              <w:right w:val="nil"/>
            </w:tcBorders>
            <w:shd w:val="clear" w:color="auto" w:fill="auto"/>
            <w:noWrap/>
            <w:vAlign w:val="center"/>
            <w:hideMark/>
          </w:tcPr>
          <w:p w14:paraId="58480B25" w14:textId="77777777" w:rsidR="00F65618" w:rsidRPr="00701B39" w:rsidRDefault="00F65618" w:rsidP="00E607DA">
            <w:pPr>
              <w:jc w:val="right"/>
              <w:rPr>
                <w:rFonts w:ascii="Meta Pro" w:eastAsia="Times New Roman" w:hAnsi="Meta Pro"/>
                <w:b/>
                <w:bCs/>
                <w:sz w:val="16"/>
                <w:szCs w:val="16"/>
                <w:lang w:eastAsia="en-AU"/>
              </w:rPr>
            </w:pPr>
          </w:p>
        </w:tc>
        <w:tc>
          <w:tcPr>
            <w:tcW w:w="1332" w:type="dxa"/>
            <w:tcBorders>
              <w:top w:val="single" w:sz="4" w:space="0" w:color="auto"/>
              <w:left w:val="nil"/>
              <w:bottom w:val="double" w:sz="6" w:space="0" w:color="auto"/>
              <w:right w:val="nil"/>
            </w:tcBorders>
            <w:shd w:val="clear" w:color="auto" w:fill="auto"/>
            <w:noWrap/>
            <w:vAlign w:val="center"/>
            <w:hideMark/>
          </w:tcPr>
          <w:p w14:paraId="5EE068D9"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1,775,177 </w:t>
            </w:r>
          </w:p>
        </w:tc>
        <w:tc>
          <w:tcPr>
            <w:tcW w:w="58" w:type="dxa"/>
            <w:tcBorders>
              <w:top w:val="nil"/>
              <w:left w:val="nil"/>
              <w:bottom w:val="nil"/>
              <w:right w:val="nil"/>
            </w:tcBorders>
            <w:shd w:val="clear" w:color="auto" w:fill="auto"/>
            <w:noWrap/>
            <w:vAlign w:val="center"/>
            <w:hideMark/>
          </w:tcPr>
          <w:p w14:paraId="622347F0" w14:textId="77777777" w:rsidR="00F65618" w:rsidRPr="00701B39" w:rsidRDefault="00F65618" w:rsidP="00E607DA">
            <w:pPr>
              <w:jc w:val="right"/>
              <w:rPr>
                <w:rFonts w:ascii="Meta Pro" w:eastAsia="Times New Roman" w:hAnsi="Meta Pro"/>
                <w:b/>
                <w:bCs/>
                <w:sz w:val="16"/>
                <w:szCs w:val="16"/>
                <w:lang w:eastAsia="en-AU"/>
              </w:rPr>
            </w:pPr>
          </w:p>
        </w:tc>
        <w:tc>
          <w:tcPr>
            <w:tcW w:w="1185" w:type="dxa"/>
            <w:tcBorders>
              <w:top w:val="single" w:sz="4" w:space="0" w:color="auto"/>
              <w:left w:val="nil"/>
              <w:bottom w:val="double" w:sz="6" w:space="0" w:color="auto"/>
              <w:right w:val="nil"/>
            </w:tcBorders>
            <w:shd w:val="clear" w:color="auto" w:fill="auto"/>
            <w:noWrap/>
            <w:vAlign w:val="center"/>
            <w:hideMark/>
          </w:tcPr>
          <w:p w14:paraId="7E8BACBB"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45,622 </w:t>
            </w:r>
          </w:p>
        </w:tc>
        <w:tc>
          <w:tcPr>
            <w:tcW w:w="58" w:type="dxa"/>
            <w:tcBorders>
              <w:top w:val="nil"/>
              <w:left w:val="nil"/>
              <w:bottom w:val="nil"/>
              <w:right w:val="nil"/>
            </w:tcBorders>
            <w:shd w:val="clear" w:color="auto" w:fill="auto"/>
            <w:noWrap/>
            <w:vAlign w:val="center"/>
            <w:hideMark/>
          </w:tcPr>
          <w:p w14:paraId="4F6E8D60" w14:textId="77777777" w:rsidR="00F65618" w:rsidRPr="00701B39" w:rsidRDefault="00F65618" w:rsidP="00E607DA">
            <w:pPr>
              <w:jc w:val="right"/>
              <w:rPr>
                <w:rFonts w:ascii="Meta Pro" w:eastAsia="Times New Roman" w:hAnsi="Meta Pro"/>
                <w:b/>
                <w:bCs/>
                <w:sz w:val="16"/>
                <w:szCs w:val="16"/>
                <w:lang w:eastAsia="en-AU"/>
              </w:rPr>
            </w:pPr>
          </w:p>
        </w:tc>
        <w:tc>
          <w:tcPr>
            <w:tcW w:w="1300" w:type="dxa"/>
            <w:gridSpan w:val="2"/>
            <w:tcBorders>
              <w:top w:val="single" w:sz="4" w:space="0" w:color="auto"/>
              <w:left w:val="nil"/>
              <w:bottom w:val="double" w:sz="6" w:space="0" w:color="auto"/>
              <w:right w:val="nil"/>
            </w:tcBorders>
            <w:shd w:val="clear" w:color="auto" w:fill="auto"/>
            <w:noWrap/>
            <w:vAlign w:val="center"/>
            <w:hideMark/>
          </w:tcPr>
          <w:p w14:paraId="5F327710"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317,557 </w:t>
            </w:r>
          </w:p>
        </w:tc>
        <w:tc>
          <w:tcPr>
            <w:tcW w:w="58" w:type="dxa"/>
            <w:tcBorders>
              <w:top w:val="nil"/>
              <w:left w:val="nil"/>
              <w:bottom w:val="nil"/>
              <w:right w:val="nil"/>
            </w:tcBorders>
            <w:shd w:val="clear" w:color="auto" w:fill="auto"/>
            <w:noWrap/>
            <w:vAlign w:val="center"/>
            <w:hideMark/>
          </w:tcPr>
          <w:p w14:paraId="2E0E7CD3" w14:textId="77777777" w:rsidR="00F65618" w:rsidRPr="00701B39" w:rsidRDefault="00F65618" w:rsidP="00E607DA">
            <w:pPr>
              <w:jc w:val="right"/>
              <w:rPr>
                <w:rFonts w:ascii="Meta Pro" w:eastAsia="Times New Roman" w:hAnsi="Meta Pro"/>
                <w:b/>
                <w:bCs/>
                <w:sz w:val="16"/>
                <w:szCs w:val="16"/>
                <w:lang w:eastAsia="en-AU"/>
              </w:rPr>
            </w:pPr>
          </w:p>
        </w:tc>
        <w:tc>
          <w:tcPr>
            <w:tcW w:w="1272" w:type="dxa"/>
            <w:tcBorders>
              <w:top w:val="single" w:sz="4" w:space="0" w:color="auto"/>
              <w:left w:val="nil"/>
              <w:bottom w:val="double" w:sz="6" w:space="0" w:color="auto"/>
              <w:right w:val="nil"/>
            </w:tcBorders>
            <w:shd w:val="clear" w:color="auto" w:fill="auto"/>
            <w:noWrap/>
            <w:vAlign w:val="center"/>
            <w:hideMark/>
          </w:tcPr>
          <w:p w14:paraId="7CD78696"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 </w:t>
            </w:r>
          </w:p>
        </w:tc>
        <w:tc>
          <w:tcPr>
            <w:tcW w:w="58" w:type="dxa"/>
            <w:tcBorders>
              <w:top w:val="nil"/>
              <w:left w:val="nil"/>
              <w:bottom w:val="nil"/>
              <w:right w:val="nil"/>
            </w:tcBorders>
            <w:shd w:val="clear" w:color="auto" w:fill="auto"/>
            <w:noWrap/>
            <w:vAlign w:val="center"/>
            <w:hideMark/>
          </w:tcPr>
          <w:p w14:paraId="735323D2" w14:textId="77777777" w:rsidR="00F65618" w:rsidRPr="00701B39" w:rsidRDefault="00F65618" w:rsidP="00E607DA">
            <w:pPr>
              <w:jc w:val="right"/>
              <w:rPr>
                <w:rFonts w:ascii="Meta Pro" w:eastAsia="Times New Roman" w:hAnsi="Meta Pro"/>
                <w:b/>
                <w:bCs/>
                <w:sz w:val="16"/>
                <w:szCs w:val="16"/>
                <w:lang w:eastAsia="en-AU"/>
              </w:rPr>
            </w:pPr>
          </w:p>
        </w:tc>
        <w:tc>
          <w:tcPr>
            <w:tcW w:w="1391" w:type="dxa"/>
            <w:tcBorders>
              <w:top w:val="single" w:sz="4" w:space="0" w:color="auto"/>
              <w:left w:val="nil"/>
              <w:bottom w:val="double" w:sz="6" w:space="0" w:color="auto"/>
              <w:right w:val="nil"/>
            </w:tcBorders>
            <w:shd w:val="clear" w:color="auto" w:fill="auto"/>
            <w:noWrap/>
            <w:vAlign w:val="center"/>
            <w:hideMark/>
          </w:tcPr>
          <w:p w14:paraId="57922EE4"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11,876,959 </w:t>
            </w:r>
          </w:p>
        </w:tc>
      </w:tr>
      <w:tr w:rsidR="00F65618" w:rsidRPr="00701B39" w14:paraId="3E354D7C" w14:textId="77777777" w:rsidTr="00E607DA">
        <w:trPr>
          <w:trHeight w:val="113"/>
        </w:trPr>
        <w:tc>
          <w:tcPr>
            <w:tcW w:w="4759" w:type="dxa"/>
            <w:tcBorders>
              <w:top w:val="double" w:sz="6" w:space="0" w:color="auto"/>
              <w:left w:val="nil"/>
              <w:bottom w:val="nil"/>
              <w:right w:val="nil"/>
            </w:tcBorders>
            <w:shd w:val="clear" w:color="auto" w:fill="auto"/>
            <w:noWrap/>
            <w:vAlign w:val="center"/>
            <w:hideMark/>
          </w:tcPr>
          <w:p w14:paraId="777D6D8C" w14:textId="77777777" w:rsidR="00F65618" w:rsidRPr="00701B39" w:rsidRDefault="00F65618" w:rsidP="00E607DA">
            <w:pPr>
              <w:jc w:val="right"/>
              <w:rPr>
                <w:rFonts w:ascii="Meta Pro" w:eastAsia="Times New Roman" w:hAnsi="Meta Pro"/>
                <w:b/>
                <w:bCs/>
                <w:sz w:val="16"/>
                <w:szCs w:val="16"/>
                <w:lang w:eastAsia="en-AU"/>
              </w:rPr>
            </w:pPr>
          </w:p>
        </w:tc>
        <w:tc>
          <w:tcPr>
            <w:tcW w:w="1260" w:type="dxa"/>
            <w:tcBorders>
              <w:top w:val="nil"/>
              <w:left w:val="nil"/>
              <w:bottom w:val="nil"/>
              <w:right w:val="nil"/>
            </w:tcBorders>
            <w:shd w:val="clear" w:color="auto" w:fill="auto"/>
            <w:vAlign w:val="center"/>
            <w:hideMark/>
          </w:tcPr>
          <w:p w14:paraId="21E08155"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3CCE5BE4" w14:textId="77777777" w:rsidR="00F65618" w:rsidRPr="00701B39" w:rsidRDefault="00F65618" w:rsidP="00E607DA">
            <w:pPr>
              <w:rPr>
                <w:rFonts w:ascii="Meta Pro" w:eastAsia="Times New Roman" w:hAnsi="Meta Pro" w:cs="Times New Roman"/>
                <w:sz w:val="20"/>
                <w:szCs w:val="20"/>
                <w:lang w:eastAsia="en-AU"/>
              </w:rPr>
            </w:pPr>
          </w:p>
        </w:tc>
        <w:tc>
          <w:tcPr>
            <w:tcW w:w="1421" w:type="dxa"/>
            <w:tcBorders>
              <w:top w:val="nil"/>
              <w:left w:val="nil"/>
              <w:bottom w:val="nil"/>
              <w:right w:val="nil"/>
            </w:tcBorders>
            <w:shd w:val="clear" w:color="auto" w:fill="auto"/>
            <w:noWrap/>
            <w:vAlign w:val="center"/>
            <w:hideMark/>
          </w:tcPr>
          <w:p w14:paraId="53A814A4"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722CB71C" w14:textId="77777777" w:rsidR="00F65618" w:rsidRPr="00701B39" w:rsidRDefault="00F65618" w:rsidP="00E607DA">
            <w:pPr>
              <w:rPr>
                <w:rFonts w:ascii="Meta Pro" w:eastAsia="Times New Roman" w:hAnsi="Meta Pro" w:cs="Times New Roman"/>
                <w:sz w:val="20"/>
                <w:szCs w:val="20"/>
                <w:lang w:eastAsia="en-AU"/>
              </w:rPr>
            </w:pPr>
          </w:p>
        </w:tc>
        <w:tc>
          <w:tcPr>
            <w:tcW w:w="1360" w:type="dxa"/>
            <w:tcBorders>
              <w:top w:val="nil"/>
              <w:left w:val="nil"/>
              <w:bottom w:val="nil"/>
              <w:right w:val="nil"/>
            </w:tcBorders>
            <w:shd w:val="clear" w:color="auto" w:fill="auto"/>
            <w:noWrap/>
            <w:vAlign w:val="center"/>
            <w:hideMark/>
          </w:tcPr>
          <w:p w14:paraId="38799DB7"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2CA448BA" w14:textId="77777777" w:rsidR="00F65618" w:rsidRPr="00701B39" w:rsidRDefault="00F65618" w:rsidP="00E607DA">
            <w:pPr>
              <w:rPr>
                <w:rFonts w:ascii="Meta Pro" w:eastAsia="Times New Roman" w:hAnsi="Meta Pro" w:cs="Times New Roman"/>
                <w:sz w:val="20"/>
                <w:szCs w:val="20"/>
                <w:lang w:eastAsia="en-AU"/>
              </w:rPr>
            </w:pPr>
          </w:p>
        </w:tc>
        <w:tc>
          <w:tcPr>
            <w:tcW w:w="1337" w:type="dxa"/>
            <w:tcBorders>
              <w:top w:val="nil"/>
              <w:left w:val="nil"/>
              <w:bottom w:val="nil"/>
              <w:right w:val="nil"/>
            </w:tcBorders>
            <w:shd w:val="clear" w:color="auto" w:fill="auto"/>
            <w:noWrap/>
            <w:vAlign w:val="center"/>
            <w:hideMark/>
          </w:tcPr>
          <w:p w14:paraId="3586D9D8"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115FF7E2" w14:textId="77777777" w:rsidR="00F65618" w:rsidRPr="00701B39" w:rsidRDefault="00F65618" w:rsidP="00E607DA">
            <w:pPr>
              <w:rPr>
                <w:rFonts w:ascii="Meta Pro" w:eastAsia="Times New Roman" w:hAnsi="Meta Pro" w:cs="Times New Roman"/>
                <w:sz w:val="20"/>
                <w:szCs w:val="20"/>
                <w:lang w:eastAsia="en-AU"/>
              </w:rPr>
            </w:pPr>
          </w:p>
        </w:tc>
        <w:tc>
          <w:tcPr>
            <w:tcW w:w="1332" w:type="dxa"/>
            <w:tcBorders>
              <w:top w:val="nil"/>
              <w:left w:val="nil"/>
              <w:bottom w:val="nil"/>
              <w:right w:val="nil"/>
            </w:tcBorders>
            <w:shd w:val="clear" w:color="auto" w:fill="auto"/>
            <w:noWrap/>
            <w:vAlign w:val="center"/>
            <w:hideMark/>
          </w:tcPr>
          <w:p w14:paraId="29B5465C"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2A59062C" w14:textId="77777777" w:rsidR="00F65618" w:rsidRPr="00701B39" w:rsidRDefault="00F65618" w:rsidP="00E607DA">
            <w:pPr>
              <w:rPr>
                <w:rFonts w:ascii="Meta Pro" w:eastAsia="Times New Roman" w:hAnsi="Meta Pro" w:cs="Times New Roman"/>
                <w:sz w:val="20"/>
                <w:szCs w:val="20"/>
                <w:lang w:eastAsia="en-AU"/>
              </w:rPr>
            </w:pPr>
          </w:p>
        </w:tc>
        <w:tc>
          <w:tcPr>
            <w:tcW w:w="1185" w:type="dxa"/>
            <w:tcBorders>
              <w:top w:val="nil"/>
              <w:left w:val="nil"/>
              <w:bottom w:val="nil"/>
              <w:right w:val="nil"/>
            </w:tcBorders>
            <w:shd w:val="clear" w:color="auto" w:fill="auto"/>
            <w:noWrap/>
            <w:vAlign w:val="center"/>
            <w:hideMark/>
          </w:tcPr>
          <w:p w14:paraId="344E9C27"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46C959A9" w14:textId="77777777" w:rsidR="00F65618" w:rsidRPr="00701B39" w:rsidRDefault="00F65618" w:rsidP="00E607DA">
            <w:pPr>
              <w:jc w:val="center"/>
              <w:rPr>
                <w:rFonts w:ascii="Meta Pro" w:eastAsia="Times New Roman" w:hAnsi="Meta Pro" w:cs="Times New Roman"/>
                <w:sz w:val="20"/>
                <w:szCs w:val="20"/>
                <w:lang w:eastAsia="en-AU"/>
              </w:rPr>
            </w:pPr>
          </w:p>
        </w:tc>
        <w:tc>
          <w:tcPr>
            <w:tcW w:w="1300" w:type="dxa"/>
            <w:gridSpan w:val="2"/>
            <w:tcBorders>
              <w:top w:val="nil"/>
              <w:left w:val="nil"/>
              <w:bottom w:val="nil"/>
              <w:right w:val="nil"/>
            </w:tcBorders>
            <w:shd w:val="clear" w:color="auto" w:fill="auto"/>
            <w:noWrap/>
            <w:vAlign w:val="center"/>
            <w:hideMark/>
          </w:tcPr>
          <w:p w14:paraId="35818BE6"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45E0D8C9" w14:textId="77777777" w:rsidR="00F65618" w:rsidRPr="00701B39" w:rsidRDefault="00F65618" w:rsidP="00E607DA">
            <w:pPr>
              <w:rPr>
                <w:rFonts w:ascii="Meta Pro" w:eastAsia="Times New Roman" w:hAnsi="Meta Pro" w:cs="Times New Roman"/>
                <w:sz w:val="20"/>
                <w:szCs w:val="20"/>
                <w:lang w:eastAsia="en-AU"/>
              </w:rPr>
            </w:pPr>
          </w:p>
        </w:tc>
        <w:tc>
          <w:tcPr>
            <w:tcW w:w="1272" w:type="dxa"/>
            <w:tcBorders>
              <w:top w:val="nil"/>
              <w:left w:val="nil"/>
              <w:bottom w:val="nil"/>
              <w:right w:val="nil"/>
            </w:tcBorders>
            <w:shd w:val="clear" w:color="auto" w:fill="auto"/>
            <w:noWrap/>
            <w:vAlign w:val="center"/>
            <w:hideMark/>
          </w:tcPr>
          <w:p w14:paraId="5DE975E1"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605C10ED" w14:textId="77777777" w:rsidR="00F65618" w:rsidRPr="00701B39" w:rsidRDefault="00F65618" w:rsidP="00E607DA">
            <w:pPr>
              <w:rPr>
                <w:rFonts w:ascii="Meta Pro" w:eastAsia="Times New Roman" w:hAnsi="Meta Pro" w:cs="Times New Roman"/>
                <w:sz w:val="20"/>
                <w:szCs w:val="20"/>
                <w:lang w:eastAsia="en-AU"/>
              </w:rPr>
            </w:pPr>
          </w:p>
        </w:tc>
        <w:tc>
          <w:tcPr>
            <w:tcW w:w="1391" w:type="dxa"/>
            <w:tcBorders>
              <w:top w:val="nil"/>
              <w:left w:val="nil"/>
              <w:bottom w:val="nil"/>
              <w:right w:val="nil"/>
            </w:tcBorders>
            <w:shd w:val="clear" w:color="auto" w:fill="auto"/>
            <w:noWrap/>
            <w:vAlign w:val="center"/>
            <w:hideMark/>
          </w:tcPr>
          <w:p w14:paraId="47024C48" w14:textId="77777777" w:rsidR="00F65618" w:rsidRPr="00701B39" w:rsidRDefault="00F65618" w:rsidP="00E607DA">
            <w:pPr>
              <w:rPr>
                <w:rFonts w:ascii="Meta Pro" w:eastAsia="Times New Roman" w:hAnsi="Meta Pro" w:cs="Times New Roman"/>
                <w:sz w:val="20"/>
                <w:szCs w:val="20"/>
                <w:lang w:eastAsia="en-AU"/>
              </w:rPr>
            </w:pPr>
          </w:p>
        </w:tc>
      </w:tr>
      <w:tr w:rsidR="00F65618" w:rsidRPr="00701B39" w14:paraId="7B293FAC" w14:textId="77777777" w:rsidTr="00E607DA">
        <w:trPr>
          <w:trHeight w:val="113"/>
        </w:trPr>
        <w:tc>
          <w:tcPr>
            <w:tcW w:w="4759" w:type="dxa"/>
            <w:tcBorders>
              <w:top w:val="nil"/>
              <w:left w:val="nil"/>
              <w:bottom w:val="nil"/>
              <w:right w:val="nil"/>
            </w:tcBorders>
            <w:shd w:val="clear" w:color="auto" w:fill="auto"/>
            <w:noWrap/>
            <w:vAlign w:val="center"/>
            <w:hideMark/>
          </w:tcPr>
          <w:p w14:paraId="1DEA5408" w14:textId="77777777" w:rsidR="00F65618" w:rsidRPr="00701B39" w:rsidRDefault="00F65618" w:rsidP="00E607DA">
            <w:pPr>
              <w:rPr>
                <w:rFonts w:ascii="Meta Pro" w:eastAsia="Times New Roman" w:hAnsi="Meta Pro"/>
                <w:b/>
                <w:bCs/>
                <w:sz w:val="16"/>
                <w:szCs w:val="16"/>
                <w:lang w:eastAsia="en-AU"/>
              </w:rPr>
            </w:pPr>
            <w:r w:rsidRPr="00701B39">
              <w:rPr>
                <w:rFonts w:ascii="Meta Pro" w:eastAsia="Times New Roman" w:hAnsi="Meta Pro"/>
                <w:b/>
                <w:bCs/>
                <w:sz w:val="16"/>
                <w:szCs w:val="16"/>
                <w:lang w:eastAsia="en-AU"/>
              </w:rPr>
              <w:t>Reconciliation</w:t>
            </w:r>
          </w:p>
        </w:tc>
        <w:tc>
          <w:tcPr>
            <w:tcW w:w="1260" w:type="dxa"/>
            <w:tcBorders>
              <w:top w:val="nil"/>
              <w:left w:val="nil"/>
              <w:bottom w:val="nil"/>
              <w:right w:val="nil"/>
            </w:tcBorders>
            <w:shd w:val="clear" w:color="auto" w:fill="auto"/>
            <w:noWrap/>
            <w:vAlign w:val="center"/>
            <w:hideMark/>
          </w:tcPr>
          <w:p w14:paraId="41A68369" w14:textId="77777777" w:rsidR="00F65618" w:rsidRPr="00701B39" w:rsidRDefault="00F65618" w:rsidP="00E607DA">
            <w:pPr>
              <w:rPr>
                <w:rFonts w:ascii="Meta Pro" w:eastAsia="Times New Roman" w:hAnsi="Meta Pro"/>
                <w:b/>
                <w:bCs/>
                <w:sz w:val="16"/>
                <w:szCs w:val="16"/>
                <w:lang w:eastAsia="en-AU"/>
              </w:rPr>
            </w:pPr>
          </w:p>
        </w:tc>
        <w:tc>
          <w:tcPr>
            <w:tcW w:w="58" w:type="dxa"/>
            <w:tcBorders>
              <w:top w:val="nil"/>
              <w:left w:val="nil"/>
              <w:bottom w:val="nil"/>
              <w:right w:val="nil"/>
            </w:tcBorders>
            <w:shd w:val="clear" w:color="auto" w:fill="auto"/>
            <w:noWrap/>
            <w:vAlign w:val="center"/>
            <w:hideMark/>
          </w:tcPr>
          <w:p w14:paraId="2C0C1815" w14:textId="77777777" w:rsidR="00F65618" w:rsidRPr="00701B39" w:rsidRDefault="00F65618" w:rsidP="00E607DA">
            <w:pPr>
              <w:rPr>
                <w:rFonts w:ascii="Meta Pro" w:eastAsia="Times New Roman" w:hAnsi="Meta Pro" w:cs="Times New Roman"/>
                <w:sz w:val="20"/>
                <w:szCs w:val="20"/>
                <w:lang w:eastAsia="en-AU"/>
              </w:rPr>
            </w:pPr>
          </w:p>
        </w:tc>
        <w:tc>
          <w:tcPr>
            <w:tcW w:w="1421" w:type="dxa"/>
            <w:tcBorders>
              <w:top w:val="nil"/>
              <w:left w:val="nil"/>
              <w:bottom w:val="nil"/>
              <w:right w:val="nil"/>
            </w:tcBorders>
            <w:shd w:val="clear" w:color="auto" w:fill="auto"/>
            <w:noWrap/>
            <w:vAlign w:val="center"/>
            <w:hideMark/>
          </w:tcPr>
          <w:p w14:paraId="6704954C"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35E0833D" w14:textId="77777777" w:rsidR="00F65618" w:rsidRPr="00701B39" w:rsidRDefault="00F65618" w:rsidP="00E607DA">
            <w:pPr>
              <w:jc w:val="center"/>
              <w:rPr>
                <w:rFonts w:ascii="Meta Pro" w:eastAsia="Times New Roman" w:hAnsi="Meta Pro" w:cs="Times New Roman"/>
                <w:sz w:val="20"/>
                <w:szCs w:val="20"/>
                <w:lang w:eastAsia="en-AU"/>
              </w:rPr>
            </w:pPr>
          </w:p>
        </w:tc>
        <w:tc>
          <w:tcPr>
            <w:tcW w:w="1360" w:type="dxa"/>
            <w:tcBorders>
              <w:top w:val="nil"/>
              <w:left w:val="nil"/>
              <w:bottom w:val="nil"/>
              <w:right w:val="nil"/>
            </w:tcBorders>
            <w:shd w:val="clear" w:color="auto" w:fill="auto"/>
            <w:noWrap/>
            <w:vAlign w:val="center"/>
            <w:hideMark/>
          </w:tcPr>
          <w:p w14:paraId="011793F4"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0093B47D" w14:textId="77777777" w:rsidR="00F65618" w:rsidRPr="00701B39" w:rsidRDefault="00F65618" w:rsidP="00E607DA">
            <w:pPr>
              <w:jc w:val="center"/>
              <w:rPr>
                <w:rFonts w:ascii="Meta Pro" w:eastAsia="Times New Roman" w:hAnsi="Meta Pro" w:cs="Times New Roman"/>
                <w:sz w:val="20"/>
                <w:szCs w:val="20"/>
                <w:lang w:eastAsia="en-AU"/>
              </w:rPr>
            </w:pPr>
          </w:p>
        </w:tc>
        <w:tc>
          <w:tcPr>
            <w:tcW w:w="1337" w:type="dxa"/>
            <w:tcBorders>
              <w:top w:val="nil"/>
              <w:left w:val="nil"/>
              <w:bottom w:val="nil"/>
              <w:right w:val="nil"/>
            </w:tcBorders>
            <w:shd w:val="clear" w:color="auto" w:fill="auto"/>
            <w:noWrap/>
            <w:vAlign w:val="center"/>
            <w:hideMark/>
          </w:tcPr>
          <w:p w14:paraId="3D7FBF68"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68DECD42" w14:textId="77777777" w:rsidR="00F65618" w:rsidRPr="00701B39" w:rsidRDefault="00F65618" w:rsidP="00E607DA">
            <w:pPr>
              <w:jc w:val="center"/>
              <w:rPr>
                <w:rFonts w:ascii="Meta Pro" w:eastAsia="Times New Roman" w:hAnsi="Meta Pro" w:cs="Times New Roman"/>
                <w:sz w:val="20"/>
                <w:szCs w:val="20"/>
                <w:lang w:eastAsia="en-AU"/>
              </w:rPr>
            </w:pPr>
          </w:p>
        </w:tc>
        <w:tc>
          <w:tcPr>
            <w:tcW w:w="1332" w:type="dxa"/>
            <w:tcBorders>
              <w:top w:val="nil"/>
              <w:left w:val="nil"/>
              <w:bottom w:val="nil"/>
              <w:right w:val="nil"/>
            </w:tcBorders>
            <w:shd w:val="clear" w:color="auto" w:fill="auto"/>
            <w:noWrap/>
            <w:vAlign w:val="center"/>
            <w:hideMark/>
          </w:tcPr>
          <w:p w14:paraId="467551B7"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1DCCB32C" w14:textId="77777777" w:rsidR="00F65618" w:rsidRPr="00701B39" w:rsidRDefault="00F65618" w:rsidP="00E607DA">
            <w:pPr>
              <w:jc w:val="center"/>
              <w:rPr>
                <w:rFonts w:ascii="Meta Pro" w:eastAsia="Times New Roman" w:hAnsi="Meta Pro" w:cs="Times New Roman"/>
                <w:sz w:val="20"/>
                <w:szCs w:val="20"/>
                <w:lang w:eastAsia="en-AU"/>
              </w:rPr>
            </w:pPr>
          </w:p>
        </w:tc>
        <w:tc>
          <w:tcPr>
            <w:tcW w:w="1185" w:type="dxa"/>
            <w:tcBorders>
              <w:top w:val="nil"/>
              <w:left w:val="nil"/>
              <w:bottom w:val="nil"/>
              <w:right w:val="nil"/>
            </w:tcBorders>
            <w:shd w:val="clear" w:color="auto" w:fill="auto"/>
            <w:noWrap/>
            <w:vAlign w:val="center"/>
            <w:hideMark/>
          </w:tcPr>
          <w:p w14:paraId="510262B8"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63920E79" w14:textId="77777777" w:rsidR="00F65618" w:rsidRPr="00701B39" w:rsidRDefault="00F65618" w:rsidP="00E607DA">
            <w:pPr>
              <w:jc w:val="center"/>
              <w:rPr>
                <w:rFonts w:ascii="Meta Pro" w:eastAsia="Times New Roman" w:hAnsi="Meta Pro" w:cs="Times New Roman"/>
                <w:sz w:val="20"/>
                <w:szCs w:val="20"/>
                <w:lang w:eastAsia="en-AU"/>
              </w:rPr>
            </w:pPr>
          </w:p>
        </w:tc>
        <w:tc>
          <w:tcPr>
            <w:tcW w:w="1300" w:type="dxa"/>
            <w:gridSpan w:val="2"/>
            <w:tcBorders>
              <w:top w:val="nil"/>
              <w:left w:val="nil"/>
              <w:bottom w:val="nil"/>
              <w:right w:val="nil"/>
            </w:tcBorders>
            <w:shd w:val="clear" w:color="auto" w:fill="auto"/>
            <w:noWrap/>
            <w:vAlign w:val="center"/>
            <w:hideMark/>
          </w:tcPr>
          <w:p w14:paraId="75422BCB"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069703E9" w14:textId="77777777" w:rsidR="00F65618" w:rsidRPr="00701B39" w:rsidRDefault="00F65618" w:rsidP="00E607DA">
            <w:pPr>
              <w:jc w:val="center"/>
              <w:rPr>
                <w:rFonts w:ascii="Meta Pro" w:eastAsia="Times New Roman" w:hAnsi="Meta Pro" w:cs="Times New Roman"/>
                <w:sz w:val="20"/>
                <w:szCs w:val="20"/>
                <w:lang w:eastAsia="en-AU"/>
              </w:rPr>
            </w:pPr>
          </w:p>
        </w:tc>
        <w:tc>
          <w:tcPr>
            <w:tcW w:w="1272" w:type="dxa"/>
            <w:tcBorders>
              <w:top w:val="nil"/>
              <w:left w:val="nil"/>
              <w:bottom w:val="nil"/>
              <w:right w:val="nil"/>
            </w:tcBorders>
            <w:shd w:val="clear" w:color="auto" w:fill="auto"/>
            <w:noWrap/>
            <w:vAlign w:val="center"/>
            <w:hideMark/>
          </w:tcPr>
          <w:p w14:paraId="6A7DAA2E"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71F68AD0" w14:textId="77777777" w:rsidR="00F65618" w:rsidRPr="00701B39" w:rsidRDefault="00F65618" w:rsidP="00E607DA">
            <w:pPr>
              <w:jc w:val="center"/>
              <w:rPr>
                <w:rFonts w:ascii="Meta Pro" w:eastAsia="Times New Roman" w:hAnsi="Meta Pro" w:cs="Times New Roman"/>
                <w:sz w:val="20"/>
                <w:szCs w:val="20"/>
                <w:lang w:eastAsia="en-AU"/>
              </w:rPr>
            </w:pPr>
          </w:p>
        </w:tc>
        <w:tc>
          <w:tcPr>
            <w:tcW w:w="1391" w:type="dxa"/>
            <w:tcBorders>
              <w:top w:val="nil"/>
              <w:left w:val="nil"/>
              <w:bottom w:val="nil"/>
              <w:right w:val="nil"/>
            </w:tcBorders>
            <w:shd w:val="clear" w:color="auto" w:fill="auto"/>
            <w:noWrap/>
            <w:vAlign w:val="center"/>
            <w:hideMark/>
          </w:tcPr>
          <w:p w14:paraId="1A38412E" w14:textId="77777777" w:rsidR="00F65618" w:rsidRPr="00701B39" w:rsidRDefault="00F65618" w:rsidP="00E607DA">
            <w:pPr>
              <w:rPr>
                <w:rFonts w:ascii="Meta Pro" w:eastAsia="Times New Roman" w:hAnsi="Meta Pro" w:cs="Times New Roman"/>
                <w:sz w:val="20"/>
                <w:szCs w:val="20"/>
                <w:lang w:eastAsia="en-AU"/>
              </w:rPr>
            </w:pPr>
          </w:p>
        </w:tc>
      </w:tr>
      <w:tr w:rsidR="00F65618" w:rsidRPr="00701B39" w14:paraId="05CADD7B" w14:textId="77777777" w:rsidTr="00E607DA">
        <w:trPr>
          <w:trHeight w:val="113"/>
        </w:trPr>
        <w:tc>
          <w:tcPr>
            <w:tcW w:w="4759" w:type="dxa"/>
            <w:tcBorders>
              <w:top w:val="nil"/>
              <w:left w:val="nil"/>
              <w:bottom w:val="nil"/>
              <w:right w:val="nil"/>
            </w:tcBorders>
            <w:shd w:val="clear" w:color="auto" w:fill="auto"/>
            <w:noWrap/>
            <w:vAlign w:val="center"/>
            <w:hideMark/>
          </w:tcPr>
          <w:p w14:paraId="787CB200" w14:textId="77777777" w:rsidR="00F65618" w:rsidRPr="00701B39" w:rsidRDefault="00F65618" w:rsidP="00E607DA">
            <w:pPr>
              <w:jc w:val="center"/>
              <w:rPr>
                <w:rFonts w:ascii="Meta Pro" w:eastAsia="Times New Roman" w:hAnsi="Meta Pro" w:cs="Times New Roman"/>
                <w:sz w:val="20"/>
                <w:szCs w:val="20"/>
                <w:lang w:eastAsia="en-AU"/>
              </w:rPr>
            </w:pPr>
          </w:p>
        </w:tc>
        <w:tc>
          <w:tcPr>
            <w:tcW w:w="1260" w:type="dxa"/>
            <w:tcBorders>
              <w:top w:val="nil"/>
              <w:left w:val="nil"/>
              <w:bottom w:val="nil"/>
              <w:right w:val="nil"/>
            </w:tcBorders>
            <w:shd w:val="clear" w:color="auto" w:fill="auto"/>
            <w:noWrap/>
            <w:vAlign w:val="center"/>
            <w:hideMark/>
          </w:tcPr>
          <w:p w14:paraId="62C5A867"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53DA61BE" w14:textId="77777777" w:rsidR="00F65618" w:rsidRPr="00701B39" w:rsidRDefault="00F65618" w:rsidP="00E607DA">
            <w:pPr>
              <w:rPr>
                <w:rFonts w:ascii="Meta Pro" w:eastAsia="Times New Roman" w:hAnsi="Meta Pro" w:cs="Times New Roman"/>
                <w:sz w:val="20"/>
                <w:szCs w:val="20"/>
                <w:lang w:eastAsia="en-AU"/>
              </w:rPr>
            </w:pPr>
          </w:p>
        </w:tc>
        <w:tc>
          <w:tcPr>
            <w:tcW w:w="1421" w:type="dxa"/>
            <w:tcBorders>
              <w:top w:val="nil"/>
              <w:left w:val="nil"/>
              <w:bottom w:val="nil"/>
              <w:right w:val="nil"/>
            </w:tcBorders>
            <w:shd w:val="clear" w:color="auto" w:fill="auto"/>
            <w:noWrap/>
            <w:vAlign w:val="center"/>
            <w:hideMark/>
          </w:tcPr>
          <w:p w14:paraId="7BE48632"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08FD13A5" w14:textId="77777777" w:rsidR="00F65618" w:rsidRPr="00701B39" w:rsidRDefault="00F65618" w:rsidP="00E607DA">
            <w:pPr>
              <w:jc w:val="center"/>
              <w:rPr>
                <w:rFonts w:ascii="Meta Pro" w:eastAsia="Times New Roman" w:hAnsi="Meta Pro" w:cs="Times New Roman"/>
                <w:sz w:val="20"/>
                <w:szCs w:val="20"/>
                <w:lang w:eastAsia="en-AU"/>
              </w:rPr>
            </w:pPr>
          </w:p>
        </w:tc>
        <w:tc>
          <w:tcPr>
            <w:tcW w:w="1360" w:type="dxa"/>
            <w:tcBorders>
              <w:top w:val="nil"/>
              <w:left w:val="nil"/>
              <w:bottom w:val="nil"/>
              <w:right w:val="nil"/>
            </w:tcBorders>
            <w:shd w:val="clear" w:color="auto" w:fill="auto"/>
            <w:noWrap/>
            <w:vAlign w:val="center"/>
            <w:hideMark/>
          </w:tcPr>
          <w:p w14:paraId="6FE74E92"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17BE28A2" w14:textId="77777777" w:rsidR="00F65618" w:rsidRPr="00701B39" w:rsidRDefault="00F65618" w:rsidP="00E607DA">
            <w:pPr>
              <w:jc w:val="center"/>
              <w:rPr>
                <w:rFonts w:ascii="Meta Pro" w:eastAsia="Times New Roman" w:hAnsi="Meta Pro" w:cs="Times New Roman"/>
                <w:sz w:val="20"/>
                <w:szCs w:val="20"/>
                <w:lang w:eastAsia="en-AU"/>
              </w:rPr>
            </w:pPr>
          </w:p>
        </w:tc>
        <w:tc>
          <w:tcPr>
            <w:tcW w:w="1337" w:type="dxa"/>
            <w:tcBorders>
              <w:top w:val="nil"/>
              <w:left w:val="nil"/>
              <w:bottom w:val="nil"/>
              <w:right w:val="nil"/>
            </w:tcBorders>
            <w:shd w:val="clear" w:color="auto" w:fill="auto"/>
            <w:noWrap/>
            <w:vAlign w:val="center"/>
            <w:hideMark/>
          </w:tcPr>
          <w:p w14:paraId="75299069"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569609E0" w14:textId="77777777" w:rsidR="00F65618" w:rsidRPr="00701B39" w:rsidRDefault="00F65618" w:rsidP="00E607DA">
            <w:pPr>
              <w:jc w:val="center"/>
              <w:rPr>
                <w:rFonts w:ascii="Meta Pro" w:eastAsia="Times New Roman" w:hAnsi="Meta Pro" w:cs="Times New Roman"/>
                <w:sz w:val="20"/>
                <w:szCs w:val="20"/>
                <w:lang w:eastAsia="en-AU"/>
              </w:rPr>
            </w:pPr>
          </w:p>
        </w:tc>
        <w:tc>
          <w:tcPr>
            <w:tcW w:w="1332" w:type="dxa"/>
            <w:tcBorders>
              <w:top w:val="nil"/>
              <w:left w:val="nil"/>
              <w:bottom w:val="nil"/>
              <w:right w:val="nil"/>
            </w:tcBorders>
            <w:shd w:val="clear" w:color="auto" w:fill="auto"/>
            <w:noWrap/>
            <w:vAlign w:val="center"/>
            <w:hideMark/>
          </w:tcPr>
          <w:p w14:paraId="5505A86C"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551B0D1A" w14:textId="77777777" w:rsidR="00F65618" w:rsidRPr="00701B39" w:rsidRDefault="00F65618" w:rsidP="00E607DA">
            <w:pPr>
              <w:jc w:val="center"/>
              <w:rPr>
                <w:rFonts w:ascii="Meta Pro" w:eastAsia="Times New Roman" w:hAnsi="Meta Pro" w:cs="Times New Roman"/>
                <w:sz w:val="20"/>
                <w:szCs w:val="20"/>
                <w:lang w:eastAsia="en-AU"/>
              </w:rPr>
            </w:pPr>
          </w:p>
        </w:tc>
        <w:tc>
          <w:tcPr>
            <w:tcW w:w="1185" w:type="dxa"/>
            <w:tcBorders>
              <w:top w:val="nil"/>
              <w:left w:val="nil"/>
              <w:bottom w:val="nil"/>
              <w:right w:val="nil"/>
            </w:tcBorders>
            <w:shd w:val="clear" w:color="auto" w:fill="auto"/>
            <w:noWrap/>
            <w:vAlign w:val="center"/>
            <w:hideMark/>
          </w:tcPr>
          <w:p w14:paraId="09D27E6F"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6B490F96" w14:textId="77777777" w:rsidR="00F65618" w:rsidRPr="00701B39" w:rsidRDefault="00F65618" w:rsidP="00E607DA">
            <w:pPr>
              <w:jc w:val="center"/>
              <w:rPr>
                <w:rFonts w:ascii="Meta Pro" w:eastAsia="Times New Roman" w:hAnsi="Meta Pro" w:cs="Times New Roman"/>
                <w:sz w:val="20"/>
                <w:szCs w:val="20"/>
                <w:lang w:eastAsia="en-AU"/>
              </w:rPr>
            </w:pPr>
          </w:p>
        </w:tc>
        <w:tc>
          <w:tcPr>
            <w:tcW w:w="1300" w:type="dxa"/>
            <w:gridSpan w:val="2"/>
            <w:tcBorders>
              <w:top w:val="nil"/>
              <w:left w:val="nil"/>
              <w:bottom w:val="nil"/>
              <w:right w:val="nil"/>
            </w:tcBorders>
            <w:shd w:val="clear" w:color="auto" w:fill="auto"/>
            <w:noWrap/>
            <w:vAlign w:val="center"/>
            <w:hideMark/>
          </w:tcPr>
          <w:p w14:paraId="6CE7CE39"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13DF4DBB" w14:textId="77777777" w:rsidR="00F65618" w:rsidRPr="00701B39" w:rsidRDefault="00F65618" w:rsidP="00E607DA">
            <w:pPr>
              <w:jc w:val="center"/>
              <w:rPr>
                <w:rFonts w:ascii="Meta Pro" w:eastAsia="Times New Roman" w:hAnsi="Meta Pro" w:cs="Times New Roman"/>
                <w:sz w:val="20"/>
                <w:szCs w:val="20"/>
                <w:lang w:eastAsia="en-AU"/>
              </w:rPr>
            </w:pPr>
          </w:p>
        </w:tc>
        <w:tc>
          <w:tcPr>
            <w:tcW w:w="1272" w:type="dxa"/>
            <w:tcBorders>
              <w:top w:val="nil"/>
              <w:left w:val="nil"/>
              <w:bottom w:val="nil"/>
              <w:right w:val="nil"/>
            </w:tcBorders>
            <w:shd w:val="clear" w:color="auto" w:fill="auto"/>
            <w:noWrap/>
            <w:vAlign w:val="center"/>
            <w:hideMark/>
          </w:tcPr>
          <w:p w14:paraId="78B5BD7F"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6F33A4AC" w14:textId="77777777" w:rsidR="00F65618" w:rsidRPr="00701B39" w:rsidRDefault="00F65618" w:rsidP="00E607DA">
            <w:pPr>
              <w:jc w:val="center"/>
              <w:rPr>
                <w:rFonts w:ascii="Meta Pro" w:eastAsia="Times New Roman" w:hAnsi="Meta Pro" w:cs="Times New Roman"/>
                <w:sz w:val="20"/>
                <w:szCs w:val="20"/>
                <w:lang w:eastAsia="en-AU"/>
              </w:rPr>
            </w:pPr>
          </w:p>
        </w:tc>
        <w:tc>
          <w:tcPr>
            <w:tcW w:w="1391" w:type="dxa"/>
            <w:tcBorders>
              <w:top w:val="nil"/>
              <w:left w:val="nil"/>
              <w:bottom w:val="nil"/>
              <w:right w:val="nil"/>
            </w:tcBorders>
            <w:shd w:val="clear" w:color="auto" w:fill="auto"/>
            <w:noWrap/>
            <w:vAlign w:val="center"/>
            <w:hideMark/>
          </w:tcPr>
          <w:p w14:paraId="2B415E49" w14:textId="77777777" w:rsidR="00F65618" w:rsidRPr="00701B39" w:rsidRDefault="00F65618" w:rsidP="00E607DA">
            <w:pPr>
              <w:rPr>
                <w:rFonts w:ascii="Meta Pro" w:eastAsia="Times New Roman" w:hAnsi="Meta Pro" w:cs="Times New Roman"/>
                <w:sz w:val="20"/>
                <w:szCs w:val="20"/>
                <w:lang w:eastAsia="en-AU"/>
              </w:rPr>
            </w:pPr>
          </w:p>
        </w:tc>
      </w:tr>
      <w:tr w:rsidR="00F65618" w:rsidRPr="00701B39" w14:paraId="407185E2" w14:textId="77777777" w:rsidTr="00E607DA">
        <w:trPr>
          <w:trHeight w:val="113"/>
        </w:trPr>
        <w:tc>
          <w:tcPr>
            <w:tcW w:w="4759" w:type="dxa"/>
            <w:tcBorders>
              <w:top w:val="nil"/>
              <w:left w:val="nil"/>
              <w:bottom w:val="nil"/>
              <w:right w:val="nil"/>
            </w:tcBorders>
            <w:shd w:val="clear" w:color="auto" w:fill="auto"/>
            <w:vAlign w:val="center"/>
            <w:hideMark/>
          </w:tcPr>
          <w:p w14:paraId="529F6BAF" w14:textId="77777777" w:rsidR="00F65618" w:rsidRPr="00701B39" w:rsidRDefault="00F65618" w:rsidP="00E607DA">
            <w:pPr>
              <w:rPr>
                <w:rFonts w:ascii="Meta Pro" w:eastAsia="Times New Roman" w:hAnsi="Meta Pro"/>
                <w:sz w:val="16"/>
                <w:szCs w:val="16"/>
                <w:lang w:eastAsia="en-AU"/>
              </w:rPr>
            </w:pPr>
            <w:r w:rsidRPr="00701B39">
              <w:rPr>
                <w:rFonts w:ascii="Meta Pro" w:eastAsia="Times New Roman" w:hAnsi="Meta Pro"/>
                <w:sz w:val="16"/>
                <w:szCs w:val="16"/>
                <w:lang w:eastAsia="en-AU"/>
              </w:rPr>
              <w:t>Carrying amount at 1 July</w:t>
            </w:r>
          </w:p>
        </w:tc>
        <w:tc>
          <w:tcPr>
            <w:tcW w:w="1260" w:type="dxa"/>
            <w:tcBorders>
              <w:top w:val="nil"/>
              <w:left w:val="nil"/>
              <w:bottom w:val="nil"/>
              <w:right w:val="nil"/>
            </w:tcBorders>
            <w:shd w:val="clear" w:color="auto" w:fill="auto"/>
            <w:noWrap/>
            <w:vAlign w:val="center"/>
            <w:hideMark/>
          </w:tcPr>
          <w:p w14:paraId="48F2F4A9"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 xml:space="preserve">753,451 </w:t>
            </w:r>
          </w:p>
        </w:tc>
        <w:tc>
          <w:tcPr>
            <w:tcW w:w="58" w:type="dxa"/>
            <w:tcBorders>
              <w:top w:val="nil"/>
              <w:left w:val="nil"/>
              <w:bottom w:val="nil"/>
              <w:right w:val="nil"/>
            </w:tcBorders>
            <w:shd w:val="clear" w:color="auto" w:fill="auto"/>
            <w:noWrap/>
            <w:vAlign w:val="center"/>
            <w:hideMark/>
          </w:tcPr>
          <w:p w14:paraId="2BA0DA4D" w14:textId="77777777" w:rsidR="00F65618" w:rsidRPr="00701B39" w:rsidRDefault="00F65618" w:rsidP="00E607DA">
            <w:pPr>
              <w:jc w:val="right"/>
              <w:rPr>
                <w:rFonts w:ascii="Meta Pro" w:eastAsia="Times New Roman" w:hAnsi="Meta Pro"/>
                <w:sz w:val="16"/>
                <w:szCs w:val="16"/>
                <w:lang w:eastAsia="en-AU"/>
              </w:rPr>
            </w:pPr>
          </w:p>
        </w:tc>
        <w:tc>
          <w:tcPr>
            <w:tcW w:w="1421" w:type="dxa"/>
            <w:tcBorders>
              <w:top w:val="nil"/>
              <w:left w:val="nil"/>
              <w:bottom w:val="nil"/>
              <w:right w:val="nil"/>
            </w:tcBorders>
            <w:shd w:val="clear" w:color="auto" w:fill="auto"/>
            <w:noWrap/>
            <w:vAlign w:val="center"/>
            <w:hideMark/>
          </w:tcPr>
          <w:p w14:paraId="54E38CD2"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 xml:space="preserve">1,116,267 </w:t>
            </w:r>
          </w:p>
        </w:tc>
        <w:tc>
          <w:tcPr>
            <w:tcW w:w="58" w:type="dxa"/>
            <w:tcBorders>
              <w:top w:val="nil"/>
              <w:left w:val="nil"/>
              <w:bottom w:val="nil"/>
              <w:right w:val="nil"/>
            </w:tcBorders>
            <w:shd w:val="clear" w:color="auto" w:fill="auto"/>
            <w:noWrap/>
            <w:vAlign w:val="center"/>
            <w:hideMark/>
          </w:tcPr>
          <w:p w14:paraId="389E2DC1" w14:textId="77777777" w:rsidR="00F65618" w:rsidRPr="00701B39" w:rsidRDefault="00F65618" w:rsidP="00E607DA">
            <w:pPr>
              <w:jc w:val="right"/>
              <w:rPr>
                <w:rFonts w:ascii="Meta Pro" w:eastAsia="Times New Roman" w:hAnsi="Meta Pro"/>
                <w:sz w:val="16"/>
                <w:szCs w:val="16"/>
                <w:lang w:eastAsia="en-AU"/>
              </w:rPr>
            </w:pPr>
          </w:p>
        </w:tc>
        <w:tc>
          <w:tcPr>
            <w:tcW w:w="1360" w:type="dxa"/>
            <w:tcBorders>
              <w:top w:val="nil"/>
              <w:left w:val="nil"/>
              <w:bottom w:val="nil"/>
              <w:right w:val="nil"/>
            </w:tcBorders>
            <w:shd w:val="clear" w:color="auto" w:fill="auto"/>
            <w:noWrap/>
            <w:vAlign w:val="center"/>
            <w:hideMark/>
          </w:tcPr>
          <w:p w14:paraId="274E1A4F"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 xml:space="preserve">5,401,408 </w:t>
            </w:r>
          </w:p>
        </w:tc>
        <w:tc>
          <w:tcPr>
            <w:tcW w:w="58" w:type="dxa"/>
            <w:tcBorders>
              <w:top w:val="nil"/>
              <w:left w:val="nil"/>
              <w:bottom w:val="nil"/>
              <w:right w:val="nil"/>
            </w:tcBorders>
            <w:shd w:val="clear" w:color="auto" w:fill="auto"/>
            <w:noWrap/>
            <w:vAlign w:val="center"/>
            <w:hideMark/>
          </w:tcPr>
          <w:p w14:paraId="7A541054" w14:textId="77777777" w:rsidR="00F65618" w:rsidRPr="00701B39" w:rsidRDefault="00F65618" w:rsidP="00E607DA">
            <w:pPr>
              <w:jc w:val="right"/>
              <w:rPr>
                <w:rFonts w:ascii="Meta Pro" w:eastAsia="Times New Roman" w:hAnsi="Meta Pro"/>
                <w:sz w:val="16"/>
                <w:szCs w:val="16"/>
                <w:lang w:eastAsia="en-AU"/>
              </w:rPr>
            </w:pPr>
          </w:p>
        </w:tc>
        <w:tc>
          <w:tcPr>
            <w:tcW w:w="1337" w:type="dxa"/>
            <w:tcBorders>
              <w:top w:val="nil"/>
              <w:left w:val="nil"/>
              <w:bottom w:val="nil"/>
              <w:right w:val="nil"/>
            </w:tcBorders>
            <w:shd w:val="clear" w:color="auto" w:fill="auto"/>
            <w:noWrap/>
            <w:vAlign w:val="center"/>
            <w:hideMark/>
          </w:tcPr>
          <w:p w14:paraId="0603593C"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 xml:space="preserve">2,430,539 </w:t>
            </w:r>
          </w:p>
        </w:tc>
        <w:tc>
          <w:tcPr>
            <w:tcW w:w="58" w:type="dxa"/>
            <w:tcBorders>
              <w:top w:val="nil"/>
              <w:left w:val="nil"/>
              <w:bottom w:val="nil"/>
              <w:right w:val="nil"/>
            </w:tcBorders>
            <w:shd w:val="clear" w:color="auto" w:fill="auto"/>
            <w:noWrap/>
            <w:vAlign w:val="center"/>
            <w:hideMark/>
          </w:tcPr>
          <w:p w14:paraId="498309DE" w14:textId="77777777" w:rsidR="00F65618" w:rsidRPr="00701B39" w:rsidRDefault="00F65618" w:rsidP="00E607DA">
            <w:pPr>
              <w:jc w:val="right"/>
              <w:rPr>
                <w:rFonts w:ascii="Meta Pro" w:eastAsia="Times New Roman" w:hAnsi="Meta Pro"/>
                <w:sz w:val="16"/>
                <w:szCs w:val="16"/>
                <w:lang w:eastAsia="en-AU"/>
              </w:rPr>
            </w:pPr>
          </w:p>
        </w:tc>
        <w:tc>
          <w:tcPr>
            <w:tcW w:w="1332" w:type="dxa"/>
            <w:tcBorders>
              <w:top w:val="nil"/>
              <w:left w:val="nil"/>
              <w:bottom w:val="nil"/>
              <w:right w:val="nil"/>
            </w:tcBorders>
            <w:shd w:val="clear" w:color="auto" w:fill="auto"/>
            <w:noWrap/>
            <w:vAlign w:val="center"/>
            <w:hideMark/>
          </w:tcPr>
          <w:p w14:paraId="431E76E5"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 xml:space="preserve">1,770,778 </w:t>
            </w:r>
          </w:p>
        </w:tc>
        <w:tc>
          <w:tcPr>
            <w:tcW w:w="58" w:type="dxa"/>
            <w:tcBorders>
              <w:top w:val="nil"/>
              <w:left w:val="nil"/>
              <w:bottom w:val="nil"/>
              <w:right w:val="nil"/>
            </w:tcBorders>
            <w:shd w:val="clear" w:color="auto" w:fill="auto"/>
            <w:noWrap/>
            <w:vAlign w:val="center"/>
            <w:hideMark/>
          </w:tcPr>
          <w:p w14:paraId="02C40297" w14:textId="77777777" w:rsidR="00F65618" w:rsidRPr="00701B39" w:rsidRDefault="00F65618" w:rsidP="00E607DA">
            <w:pPr>
              <w:jc w:val="right"/>
              <w:rPr>
                <w:rFonts w:ascii="Meta Pro" w:eastAsia="Times New Roman" w:hAnsi="Meta Pro"/>
                <w:sz w:val="16"/>
                <w:szCs w:val="16"/>
                <w:lang w:eastAsia="en-AU"/>
              </w:rPr>
            </w:pPr>
          </w:p>
        </w:tc>
        <w:tc>
          <w:tcPr>
            <w:tcW w:w="1185" w:type="dxa"/>
            <w:tcBorders>
              <w:top w:val="nil"/>
              <w:left w:val="nil"/>
              <w:bottom w:val="nil"/>
              <w:right w:val="nil"/>
            </w:tcBorders>
            <w:shd w:val="clear" w:color="auto" w:fill="auto"/>
            <w:noWrap/>
            <w:vAlign w:val="center"/>
            <w:hideMark/>
          </w:tcPr>
          <w:p w14:paraId="34A414B3"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 xml:space="preserve">47,133 </w:t>
            </w:r>
          </w:p>
        </w:tc>
        <w:tc>
          <w:tcPr>
            <w:tcW w:w="58" w:type="dxa"/>
            <w:tcBorders>
              <w:top w:val="nil"/>
              <w:left w:val="nil"/>
              <w:bottom w:val="nil"/>
              <w:right w:val="nil"/>
            </w:tcBorders>
            <w:shd w:val="clear" w:color="auto" w:fill="auto"/>
            <w:noWrap/>
            <w:vAlign w:val="center"/>
            <w:hideMark/>
          </w:tcPr>
          <w:p w14:paraId="15BAF990" w14:textId="77777777" w:rsidR="00F65618" w:rsidRPr="00701B39" w:rsidRDefault="00F65618" w:rsidP="00E607DA">
            <w:pPr>
              <w:jc w:val="right"/>
              <w:rPr>
                <w:rFonts w:ascii="Meta Pro" w:eastAsia="Times New Roman" w:hAnsi="Meta Pro"/>
                <w:sz w:val="16"/>
                <w:szCs w:val="16"/>
                <w:lang w:eastAsia="en-AU"/>
              </w:rPr>
            </w:pPr>
          </w:p>
        </w:tc>
        <w:tc>
          <w:tcPr>
            <w:tcW w:w="1300" w:type="dxa"/>
            <w:gridSpan w:val="2"/>
            <w:tcBorders>
              <w:top w:val="nil"/>
              <w:left w:val="nil"/>
              <w:bottom w:val="nil"/>
              <w:right w:val="nil"/>
            </w:tcBorders>
            <w:shd w:val="clear" w:color="auto" w:fill="auto"/>
            <w:noWrap/>
            <w:vAlign w:val="center"/>
            <w:hideMark/>
          </w:tcPr>
          <w:p w14:paraId="4104CE52"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 xml:space="preserve">320,462 </w:t>
            </w:r>
          </w:p>
        </w:tc>
        <w:tc>
          <w:tcPr>
            <w:tcW w:w="58" w:type="dxa"/>
            <w:tcBorders>
              <w:top w:val="nil"/>
              <w:left w:val="nil"/>
              <w:bottom w:val="nil"/>
              <w:right w:val="nil"/>
            </w:tcBorders>
            <w:shd w:val="clear" w:color="auto" w:fill="auto"/>
            <w:noWrap/>
            <w:vAlign w:val="center"/>
            <w:hideMark/>
          </w:tcPr>
          <w:p w14:paraId="706C04CA" w14:textId="77777777" w:rsidR="00F65618" w:rsidRPr="00701B39" w:rsidRDefault="00F65618" w:rsidP="00E607DA">
            <w:pPr>
              <w:jc w:val="right"/>
              <w:rPr>
                <w:rFonts w:ascii="Meta Pro" w:eastAsia="Times New Roman" w:hAnsi="Meta Pro"/>
                <w:sz w:val="16"/>
                <w:szCs w:val="16"/>
                <w:lang w:eastAsia="en-AU"/>
              </w:rPr>
            </w:pPr>
          </w:p>
        </w:tc>
        <w:tc>
          <w:tcPr>
            <w:tcW w:w="1272" w:type="dxa"/>
            <w:tcBorders>
              <w:top w:val="nil"/>
              <w:left w:val="nil"/>
              <w:bottom w:val="nil"/>
              <w:right w:val="nil"/>
            </w:tcBorders>
            <w:shd w:val="clear" w:color="auto" w:fill="auto"/>
            <w:noWrap/>
            <w:vAlign w:val="center"/>
            <w:hideMark/>
          </w:tcPr>
          <w:p w14:paraId="7B00B3E3"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 </w:t>
            </w:r>
          </w:p>
        </w:tc>
        <w:tc>
          <w:tcPr>
            <w:tcW w:w="58" w:type="dxa"/>
            <w:tcBorders>
              <w:top w:val="nil"/>
              <w:left w:val="nil"/>
              <w:bottom w:val="nil"/>
              <w:right w:val="nil"/>
            </w:tcBorders>
            <w:shd w:val="clear" w:color="auto" w:fill="auto"/>
            <w:noWrap/>
            <w:vAlign w:val="center"/>
            <w:hideMark/>
          </w:tcPr>
          <w:p w14:paraId="65020B11" w14:textId="77777777" w:rsidR="00F65618" w:rsidRPr="00701B39" w:rsidRDefault="00F65618" w:rsidP="00E607DA">
            <w:pPr>
              <w:jc w:val="right"/>
              <w:rPr>
                <w:rFonts w:ascii="Meta Pro" w:eastAsia="Times New Roman" w:hAnsi="Meta Pro"/>
                <w:sz w:val="16"/>
                <w:szCs w:val="16"/>
                <w:lang w:eastAsia="en-AU"/>
              </w:rPr>
            </w:pPr>
          </w:p>
        </w:tc>
        <w:tc>
          <w:tcPr>
            <w:tcW w:w="1391" w:type="dxa"/>
            <w:tcBorders>
              <w:top w:val="nil"/>
              <w:left w:val="nil"/>
              <w:bottom w:val="nil"/>
              <w:right w:val="nil"/>
            </w:tcBorders>
            <w:shd w:val="clear" w:color="auto" w:fill="auto"/>
            <w:noWrap/>
            <w:vAlign w:val="center"/>
            <w:hideMark/>
          </w:tcPr>
          <w:p w14:paraId="1A6F71E8"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11,840,038 </w:t>
            </w:r>
          </w:p>
        </w:tc>
      </w:tr>
      <w:tr w:rsidR="00F65618" w:rsidRPr="00701B39" w14:paraId="01A1D7DE" w14:textId="77777777" w:rsidTr="00E607DA">
        <w:trPr>
          <w:trHeight w:val="113"/>
        </w:trPr>
        <w:tc>
          <w:tcPr>
            <w:tcW w:w="4759" w:type="dxa"/>
            <w:tcBorders>
              <w:top w:val="nil"/>
              <w:left w:val="nil"/>
              <w:bottom w:val="nil"/>
              <w:right w:val="nil"/>
            </w:tcBorders>
            <w:shd w:val="clear" w:color="auto" w:fill="auto"/>
            <w:vAlign w:val="center"/>
            <w:hideMark/>
          </w:tcPr>
          <w:p w14:paraId="5E29F635" w14:textId="77777777" w:rsidR="00F65618" w:rsidRPr="00701B39" w:rsidRDefault="00F65618" w:rsidP="00E607DA">
            <w:pPr>
              <w:rPr>
                <w:rFonts w:ascii="Meta Pro" w:eastAsia="Times New Roman" w:hAnsi="Meta Pro"/>
                <w:sz w:val="16"/>
                <w:szCs w:val="16"/>
                <w:lang w:eastAsia="en-AU"/>
              </w:rPr>
            </w:pPr>
            <w:r w:rsidRPr="00701B39">
              <w:rPr>
                <w:rFonts w:ascii="Meta Pro" w:eastAsia="Times New Roman" w:hAnsi="Meta Pro"/>
                <w:sz w:val="16"/>
                <w:szCs w:val="16"/>
                <w:lang w:eastAsia="en-AU"/>
              </w:rPr>
              <w:t>Net revaluation increments/(decrements)</w:t>
            </w:r>
          </w:p>
        </w:tc>
        <w:tc>
          <w:tcPr>
            <w:tcW w:w="1260" w:type="dxa"/>
            <w:tcBorders>
              <w:top w:val="nil"/>
              <w:left w:val="nil"/>
              <w:bottom w:val="nil"/>
              <w:right w:val="nil"/>
            </w:tcBorders>
            <w:shd w:val="clear" w:color="auto" w:fill="auto"/>
            <w:noWrap/>
            <w:vAlign w:val="center"/>
            <w:hideMark/>
          </w:tcPr>
          <w:p w14:paraId="0AD7378F"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(80,762)</w:t>
            </w:r>
          </w:p>
        </w:tc>
        <w:tc>
          <w:tcPr>
            <w:tcW w:w="58" w:type="dxa"/>
            <w:tcBorders>
              <w:top w:val="nil"/>
              <w:left w:val="nil"/>
              <w:bottom w:val="nil"/>
              <w:right w:val="nil"/>
            </w:tcBorders>
            <w:shd w:val="clear" w:color="auto" w:fill="auto"/>
            <w:vAlign w:val="center"/>
            <w:hideMark/>
          </w:tcPr>
          <w:p w14:paraId="7D7B166D" w14:textId="77777777" w:rsidR="00F65618" w:rsidRPr="00701B39" w:rsidRDefault="00F65618" w:rsidP="00E607DA">
            <w:pPr>
              <w:jc w:val="right"/>
              <w:rPr>
                <w:rFonts w:ascii="Meta Pro" w:eastAsia="Times New Roman" w:hAnsi="Meta Pro"/>
                <w:sz w:val="16"/>
                <w:szCs w:val="16"/>
                <w:lang w:eastAsia="en-AU"/>
              </w:rPr>
            </w:pPr>
          </w:p>
        </w:tc>
        <w:tc>
          <w:tcPr>
            <w:tcW w:w="1421" w:type="dxa"/>
            <w:tcBorders>
              <w:top w:val="nil"/>
              <w:left w:val="nil"/>
              <w:bottom w:val="nil"/>
              <w:right w:val="nil"/>
            </w:tcBorders>
            <w:shd w:val="clear" w:color="auto" w:fill="auto"/>
            <w:noWrap/>
            <w:vAlign w:val="center"/>
            <w:hideMark/>
          </w:tcPr>
          <w:p w14:paraId="76185D9D"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 xml:space="preserve">212,417 </w:t>
            </w:r>
          </w:p>
        </w:tc>
        <w:tc>
          <w:tcPr>
            <w:tcW w:w="58" w:type="dxa"/>
            <w:tcBorders>
              <w:top w:val="nil"/>
              <w:left w:val="nil"/>
              <w:bottom w:val="nil"/>
              <w:right w:val="nil"/>
            </w:tcBorders>
            <w:shd w:val="clear" w:color="auto" w:fill="auto"/>
            <w:vAlign w:val="center"/>
            <w:hideMark/>
          </w:tcPr>
          <w:p w14:paraId="1FCC405B" w14:textId="77777777" w:rsidR="00F65618" w:rsidRPr="00701B39" w:rsidRDefault="00F65618" w:rsidP="00E607DA">
            <w:pPr>
              <w:jc w:val="right"/>
              <w:rPr>
                <w:rFonts w:ascii="Meta Pro" w:eastAsia="Times New Roman" w:hAnsi="Meta Pro"/>
                <w:sz w:val="16"/>
                <w:szCs w:val="16"/>
                <w:lang w:eastAsia="en-AU"/>
              </w:rPr>
            </w:pPr>
          </w:p>
        </w:tc>
        <w:tc>
          <w:tcPr>
            <w:tcW w:w="1360" w:type="dxa"/>
            <w:tcBorders>
              <w:top w:val="nil"/>
              <w:left w:val="nil"/>
              <w:bottom w:val="nil"/>
              <w:right w:val="nil"/>
            </w:tcBorders>
            <w:shd w:val="clear" w:color="auto" w:fill="auto"/>
            <w:noWrap/>
            <w:vAlign w:val="center"/>
            <w:hideMark/>
          </w:tcPr>
          <w:p w14:paraId="79CDA152"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 xml:space="preserve">16,755 </w:t>
            </w:r>
          </w:p>
        </w:tc>
        <w:tc>
          <w:tcPr>
            <w:tcW w:w="58" w:type="dxa"/>
            <w:tcBorders>
              <w:top w:val="nil"/>
              <w:left w:val="nil"/>
              <w:bottom w:val="nil"/>
              <w:right w:val="nil"/>
            </w:tcBorders>
            <w:shd w:val="clear" w:color="auto" w:fill="auto"/>
            <w:noWrap/>
            <w:vAlign w:val="center"/>
            <w:hideMark/>
          </w:tcPr>
          <w:p w14:paraId="60B2C4D1" w14:textId="77777777" w:rsidR="00F65618" w:rsidRPr="00701B39" w:rsidRDefault="00F65618" w:rsidP="00E607DA">
            <w:pPr>
              <w:jc w:val="right"/>
              <w:rPr>
                <w:rFonts w:ascii="Meta Pro" w:eastAsia="Times New Roman" w:hAnsi="Meta Pro"/>
                <w:sz w:val="16"/>
                <w:szCs w:val="16"/>
                <w:lang w:eastAsia="en-AU"/>
              </w:rPr>
            </w:pPr>
          </w:p>
        </w:tc>
        <w:tc>
          <w:tcPr>
            <w:tcW w:w="1337" w:type="dxa"/>
            <w:tcBorders>
              <w:top w:val="nil"/>
              <w:left w:val="nil"/>
              <w:bottom w:val="nil"/>
              <w:right w:val="nil"/>
            </w:tcBorders>
            <w:shd w:val="clear" w:color="auto" w:fill="auto"/>
            <w:noWrap/>
            <w:vAlign w:val="center"/>
            <w:hideMark/>
          </w:tcPr>
          <w:p w14:paraId="453573D8"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 xml:space="preserve">36,190 </w:t>
            </w:r>
          </w:p>
        </w:tc>
        <w:tc>
          <w:tcPr>
            <w:tcW w:w="58" w:type="dxa"/>
            <w:tcBorders>
              <w:top w:val="nil"/>
              <w:left w:val="nil"/>
              <w:bottom w:val="nil"/>
              <w:right w:val="nil"/>
            </w:tcBorders>
            <w:shd w:val="clear" w:color="auto" w:fill="auto"/>
            <w:noWrap/>
            <w:vAlign w:val="center"/>
            <w:hideMark/>
          </w:tcPr>
          <w:p w14:paraId="2EAA1138" w14:textId="77777777" w:rsidR="00F65618" w:rsidRPr="00701B39" w:rsidRDefault="00F65618" w:rsidP="00E607DA">
            <w:pPr>
              <w:jc w:val="right"/>
              <w:rPr>
                <w:rFonts w:ascii="Meta Pro" w:eastAsia="Times New Roman" w:hAnsi="Meta Pro"/>
                <w:sz w:val="16"/>
                <w:szCs w:val="16"/>
                <w:lang w:eastAsia="en-AU"/>
              </w:rPr>
            </w:pPr>
          </w:p>
        </w:tc>
        <w:tc>
          <w:tcPr>
            <w:tcW w:w="1332" w:type="dxa"/>
            <w:tcBorders>
              <w:top w:val="nil"/>
              <w:left w:val="nil"/>
              <w:bottom w:val="nil"/>
              <w:right w:val="nil"/>
            </w:tcBorders>
            <w:shd w:val="clear" w:color="auto" w:fill="auto"/>
            <w:noWrap/>
            <w:vAlign w:val="center"/>
            <w:hideMark/>
          </w:tcPr>
          <w:p w14:paraId="4D634C76"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 xml:space="preserve">20,228 </w:t>
            </w:r>
          </w:p>
        </w:tc>
        <w:tc>
          <w:tcPr>
            <w:tcW w:w="58" w:type="dxa"/>
            <w:tcBorders>
              <w:top w:val="nil"/>
              <w:left w:val="nil"/>
              <w:bottom w:val="nil"/>
              <w:right w:val="nil"/>
            </w:tcBorders>
            <w:shd w:val="clear" w:color="auto" w:fill="auto"/>
            <w:noWrap/>
            <w:vAlign w:val="center"/>
            <w:hideMark/>
          </w:tcPr>
          <w:p w14:paraId="757930C4" w14:textId="77777777" w:rsidR="00F65618" w:rsidRPr="00701B39" w:rsidRDefault="00F65618" w:rsidP="00E607DA">
            <w:pPr>
              <w:jc w:val="right"/>
              <w:rPr>
                <w:rFonts w:ascii="Meta Pro" w:eastAsia="Times New Roman" w:hAnsi="Meta Pro"/>
                <w:sz w:val="16"/>
                <w:szCs w:val="16"/>
                <w:lang w:eastAsia="en-AU"/>
              </w:rPr>
            </w:pPr>
          </w:p>
        </w:tc>
        <w:tc>
          <w:tcPr>
            <w:tcW w:w="1185" w:type="dxa"/>
            <w:tcBorders>
              <w:top w:val="nil"/>
              <w:left w:val="nil"/>
              <w:bottom w:val="nil"/>
              <w:right w:val="nil"/>
            </w:tcBorders>
            <w:shd w:val="clear" w:color="auto" w:fill="auto"/>
            <w:noWrap/>
            <w:vAlign w:val="center"/>
            <w:hideMark/>
          </w:tcPr>
          <w:p w14:paraId="4550D09B"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(907)</w:t>
            </w:r>
          </w:p>
        </w:tc>
        <w:tc>
          <w:tcPr>
            <w:tcW w:w="58" w:type="dxa"/>
            <w:tcBorders>
              <w:top w:val="nil"/>
              <w:left w:val="nil"/>
              <w:bottom w:val="nil"/>
              <w:right w:val="nil"/>
            </w:tcBorders>
            <w:shd w:val="clear" w:color="auto" w:fill="auto"/>
            <w:noWrap/>
            <w:vAlign w:val="center"/>
            <w:hideMark/>
          </w:tcPr>
          <w:p w14:paraId="485F9875" w14:textId="77777777" w:rsidR="00F65618" w:rsidRPr="00701B39" w:rsidRDefault="00F65618" w:rsidP="00E607DA">
            <w:pPr>
              <w:jc w:val="right"/>
              <w:rPr>
                <w:rFonts w:ascii="Meta Pro" w:eastAsia="Times New Roman" w:hAnsi="Meta Pro"/>
                <w:sz w:val="16"/>
                <w:szCs w:val="16"/>
                <w:lang w:eastAsia="en-AU"/>
              </w:rPr>
            </w:pPr>
          </w:p>
        </w:tc>
        <w:tc>
          <w:tcPr>
            <w:tcW w:w="1300" w:type="dxa"/>
            <w:gridSpan w:val="2"/>
            <w:tcBorders>
              <w:top w:val="nil"/>
              <w:left w:val="nil"/>
              <w:bottom w:val="nil"/>
              <w:right w:val="nil"/>
            </w:tcBorders>
            <w:shd w:val="clear" w:color="auto" w:fill="auto"/>
            <w:noWrap/>
            <w:vAlign w:val="center"/>
            <w:hideMark/>
          </w:tcPr>
          <w:p w14:paraId="1668ABA7"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 xml:space="preserve">2,770 </w:t>
            </w:r>
          </w:p>
        </w:tc>
        <w:tc>
          <w:tcPr>
            <w:tcW w:w="58" w:type="dxa"/>
            <w:tcBorders>
              <w:top w:val="nil"/>
              <w:left w:val="nil"/>
              <w:bottom w:val="nil"/>
              <w:right w:val="nil"/>
            </w:tcBorders>
            <w:shd w:val="clear" w:color="auto" w:fill="auto"/>
            <w:noWrap/>
            <w:vAlign w:val="center"/>
            <w:hideMark/>
          </w:tcPr>
          <w:p w14:paraId="488DF5C4" w14:textId="77777777" w:rsidR="00F65618" w:rsidRPr="00701B39" w:rsidRDefault="00F65618" w:rsidP="00E607DA">
            <w:pPr>
              <w:jc w:val="right"/>
              <w:rPr>
                <w:rFonts w:ascii="Meta Pro" w:eastAsia="Times New Roman" w:hAnsi="Meta Pro"/>
                <w:sz w:val="16"/>
                <w:szCs w:val="16"/>
                <w:lang w:eastAsia="en-AU"/>
              </w:rPr>
            </w:pPr>
          </w:p>
        </w:tc>
        <w:tc>
          <w:tcPr>
            <w:tcW w:w="1272" w:type="dxa"/>
            <w:tcBorders>
              <w:top w:val="nil"/>
              <w:left w:val="nil"/>
              <w:bottom w:val="nil"/>
              <w:right w:val="nil"/>
            </w:tcBorders>
            <w:shd w:val="clear" w:color="auto" w:fill="auto"/>
            <w:noWrap/>
            <w:vAlign w:val="center"/>
            <w:hideMark/>
          </w:tcPr>
          <w:p w14:paraId="091A40B7"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 </w:t>
            </w:r>
          </w:p>
        </w:tc>
        <w:tc>
          <w:tcPr>
            <w:tcW w:w="58" w:type="dxa"/>
            <w:tcBorders>
              <w:top w:val="nil"/>
              <w:left w:val="nil"/>
              <w:bottom w:val="nil"/>
              <w:right w:val="nil"/>
            </w:tcBorders>
            <w:shd w:val="clear" w:color="auto" w:fill="auto"/>
            <w:noWrap/>
            <w:vAlign w:val="center"/>
            <w:hideMark/>
          </w:tcPr>
          <w:p w14:paraId="4F315E28" w14:textId="77777777" w:rsidR="00F65618" w:rsidRPr="00701B39" w:rsidRDefault="00F65618" w:rsidP="00E607DA">
            <w:pPr>
              <w:jc w:val="right"/>
              <w:rPr>
                <w:rFonts w:ascii="Meta Pro" w:eastAsia="Times New Roman" w:hAnsi="Meta Pro"/>
                <w:sz w:val="16"/>
                <w:szCs w:val="16"/>
                <w:lang w:eastAsia="en-AU"/>
              </w:rPr>
            </w:pPr>
          </w:p>
        </w:tc>
        <w:tc>
          <w:tcPr>
            <w:tcW w:w="1391" w:type="dxa"/>
            <w:tcBorders>
              <w:top w:val="nil"/>
              <w:left w:val="nil"/>
              <w:bottom w:val="nil"/>
              <w:right w:val="nil"/>
            </w:tcBorders>
            <w:shd w:val="clear" w:color="auto" w:fill="auto"/>
            <w:noWrap/>
            <w:vAlign w:val="center"/>
            <w:hideMark/>
          </w:tcPr>
          <w:p w14:paraId="33F60EC8"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206,691 </w:t>
            </w:r>
          </w:p>
        </w:tc>
      </w:tr>
      <w:tr w:rsidR="00F65618" w:rsidRPr="00701B39" w14:paraId="3D511B24" w14:textId="77777777" w:rsidTr="00E607DA">
        <w:trPr>
          <w:trHeight w:val="113"/>
        </w:trPr>
        <w:tc>
          <w:tcPr>
            <w:tcW w:w="4759" w:type="dxa"/>
            <w:tcBorders>
              <w:top w:val="nil"/>
              <w:left w:val="nil"/>
              <w:bottom w:val="nil"/>
              <w:right w:val="nil"/>
            </w:tcBorders>
            <w:shd w:val="clear" w:color="auto" w:fill="auto"/>
            <w:vAlign w:val="center"/>
            <w:hideMark/>
          </w:tcPr>
          <w:p w14:paraId="38E2FE85" w14:textId="77777777" w:rsidR="00F65618" w:rsidRPr="00701B39" w:rsidRDefault="00F65618" w:rsidP="00E607DA">
            <w:pPr>
              <w:rPr>
                <w:rFonts w:ascii="Meta Pro" w:eastAsia="Times New Roman" w:hAnsi="Meta Pro"/>
                <w:sz w:val="16"/>
                <w:szCs w:val="16"/>
                <w:lang w:eastAsia="en-AU"/>
              </w:rPr>
            </w:pPr>
            <w:r w:rsidRPr="00701B39">
              <w:rPr>
                <w:rFonts w:ascii="Meta Pro" w:eastAsia="Times New Roman" w:hAnsi="Meta Pro"/>
                <w:sz w:val="16"/>
                <w:szCs w:val="16"/>
                <w:lang w:eastAsia="en-AU"/>
              </w:rPr>
              <w:t>Depreciation</w:t>
            </w:r>
          </w:p>
        </w:tc>
        <w:tc>
          <w:tcPr>
            <w:tcW w:w="1260" w:type="dxa"/>
            <w:tcBorders>
              <w:top w:val="nil"/>
              <w:left w:val="nil"/>
              <w:bottom w:val="nil"/>
              <w:right w:val="nil"/>
            </w:tcBorders>
            <w:shd w:val="clear" w:color="auto" w:fill="auto"/>
            <w:noWrap/>
            <w:vAlign w:val="center"/>
            <w:hideMark/>
          </w:tcPr>
          <w:p w14:paraId="774B07DC"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(22,089)</w:t>
            </w:r>
          </w:p>
        </w:tc>
        <w:tc>
          <w:tcPr>
            <w:tcW w:w="58" w:type="dxa"/>
            <w:tcBorders>
              <w:top w:val="nil"/>
              <w:left w:val="nil"/>
              <w:bottom w:val="nil"/>
              <w:right w:val="nil"/>
            </w:tcBorders>
            <w:shd w:val="clear" w:color="auto" w:fill="auto"/>
            <w:vAlign w:val="center"/>
            <w:hideMark/>
          </w:tcPr>
          <w:p w14:paraId="14797C89" w14:textId="77777777" w:rsidR="00F65618" w:rsidRPr="00701B39" w:rsidRDefault="00F65618" w:rsidP="00E607DA">
            <w:pPr>
              <w:jc w:val="right"/>
              <w:rPr>
                <w:rFonts w:ascii="Meta Pro" w:eastAsia="Times New Roman" w:hAnsi="Meta Pro"/>
                <w:sz w:val="16"/>
                <w:szCs w:val="16"/>
                <w:lang w:eastAsia="en-AU"/>
              </w:rPr>
            </w:pPr>
          </w:p>
        </w:tc>
        <w:tc>
          <w:tcPr>
            <w:tcW w:w="1421" w:type="dxa"/>
            <w:tcBorders>
              <w:top w:val="nil"/>
              <w:left w:val="nil"/>
              <w:bottom w:val="nil"/>
              <w:right w:val="nil"/>
            </w:tcBorders>
            <w:shd w:val="clear" w:color="auto" w:fill="auto"/>
            <w:noWrap/>
            <w:vAlign w:val="center"/>
            <w:hideMark/>
          </w:tcPr>
          <w:p w14:paraId="13AB3FC1"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(14,721)</w:t>
            </w:r>
          </w:p>
        </w:tc>
        <w:tc>
          <w:tcPr>
            <w:tcW w:w="58" w:type="dxa"/>
            <w:tcBorders>
              <w:top w:val="nil"/>
              <w:left w:val="nil"/>
              <w:bottom w:val="nil"/>
              <w:right w:val="nil"/>
            </w:tcBorders>
            <w:shd w:val="clear" w:color="auto" w:fill="auto"/>
            <w:vAlign w:val="center"/>
            <w:hideMark/>
          </w:tcPr>
          <w:p w14:paraId="2BB99A7E" w14:textId="77777777" w:rsidR="00F65618" w:rsidRPr="00701B39" w:rsidRDefault="00F65618" w:rsidP="00E607DA">
            <w:pPr>
              <w:jc w:val="right"/>
              <w:rPr>
                <w:rFonts w:ascii="Meta Pro" w:eastAsia="Times New Roman" w:hAnsi="Meta Pro"/>
                <w:sz w:val="16"/>
                <w:szCs w:val="16"/>
                <w:lang w:eastAsia="en-AU"/>
              </w:rPr>
            </w:pPr>
          </w:p>
        </w:tc>
        <w:tc>
          <w:tcPr>
            <w:tcW w:w="1360" w:type="dxa"/>
            <w:tcBorders>
              <w:top w:val="nil"/>
              <w:left w:val="nil"/>
              <w:bottom w:val="nil"/>
              <w:right w:val="nil"/>
            </w:tcBorders>
            <w:shd w:val="clear" w:color="auto" w:fill="auto"/>
            <w:noWrap/>
            <w:vAlign w:val="center"/>
            <w:hideMark/>
          </w:tcPr>
          <w:p w14:paraId="0A68A347"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(83,481)</w:t>
            </w:r>
          </w:p>
        </w:tc>
        <w:tc>
          <w:tcPr>
            <w:tcW w:w="58" w:type="dxa"/>
            <w:tcBorders>
              <w:top w:val="nil"/>
              <w:left w:val="nil"/>
              <w:bottom w:val="nil"/>
              <w:right w:val="nil"/>
            </w:tcBorders>
            <w:shd w:val="clear" w:color="auto" w:fill="auto"/>
            <w:noWrap/>
            <w:vAlign w:val="center"/>
            <w:hideMark/>
          </w:tcPr>
          <w:p w14:paraId="6B4C838D" w14:textId="77777777" w:rsidR="00F65618" w:rsidRPr="00701B39" w:rsidRDefault="00F65618" w:rsidP="00E607DA">
            <w:pPr>
              <w:jc w:val="right"/>
              <w:rPr>
                <w:rFonts w:ascii="Meta Pro" w:eastAsia="Times New Roman" w:hAnsi="Meta Pro"/>
                <w:sz w:val="16"/>
                <w:szCs w:val="16"/>
                <w:lang w:eastAsia="en-AU"/>
              </w:rPr>
            </w:pPr>
          </w:p>
        </w:tc>
        <w:tc>
          <w:tcPr>
            <w:tcW w:w="1337" w:type="dxa"/>
            <w:tcBorders>
              <w:top w:val="nil"/>
              <w:left w:val="nil"/>
              <w:bottom w:val="nil"/>
              <w:right w:val="nil"/>
            </w:tcBorders>
            <w:shd w:val="clear" w:color="auto" w:fill="auto"/>
            <w:noWrap/>
            <w:vAlign w:val="center"/>
            <w:hideMark/>
          </w:tcPr>
          <w:p w14:paraId="715FB13B"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(27,371)</w:t>
            </w:r>
          </w:p>
        </w:tc>
        <w:tc>
          <w:tcPr>
            <w:tcW w:w="58" w:type="dxa"/>
            <w:tcBorders>
              <w:top w:val="nil"/>
              <w:left w:val="nil"/>
              <w:bottom w:val="nil"/>
              <w:right w:val="nil"/>
            </w:tcBorders>
            <w:shd w:val="clear" w:color="auto" w:fill="auto"/>
            <w:noWrap/>
            <w:vAlign w:val="center"/>
            <w:hideMark/>
          </w:tcPr>
          <w:p w14:paraId="7F1F0BC2" w14:textId="77777777" w:rsidR="00F65618" w:rsidRPr="00701B39" w:rsidRDefault="00F65618" w:rsidP="00E607DA">
            <w:pPr>
              <w:jc w:val="right"/>
              <w:rPr>
                <w:rFonts w:ascii="Meta Pro" w:eastAsia="Times New Roman" w:hAnsi="Meta Pro"/>
                <w:sz w:val="16"/>
                <w:szCs w:val="16"/>
                <w:lang w:eastAsia="en-AU"/>
              </w:rPr>
            </w:pPr>
          </w:p>
        </w:tc>
        <w:tc>
          <w:tcPr>
            <w:tcW w:w="1332" w:type="dxa"/>
            <w:tcBorders>
              <w:top w:val="nil"/>
              <w:left w:val="nil"/>
              <w:bottom w:val="nil"/>
              <w:right w:val="nil"/>
            </w:tcBorders>
            <w:shd w:val="clear" w:color="auto" w:fill="auto"/>
            <w:noWrap/>
            <w:vAlign w:val="center"/>
            <w:hideMark/>
          </w:tcPr>
          <w:p w14:paraId="6512FDE5"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(15,829)</w:t>
            </w:r>
          </w:p>
        </w:tc>
        <w:tc>
          <w:tcPr>
            <w:tcW w:w="58" w:type="dxa"/>
            <w:tcBorders>
              <w:top w:val="nil"/>
              <w:left w:val="nil"/>
              <w:bottom w:val="nil"/>
              <w:right w:val="nil"/>
            </w:tcBorders>
            <w:shd w:val="clear" w:color="auto" w:fill="auto"/>
            <w:noWrap/>
            <w:vAlign w:val="center"/>
            <w:hideMark/>
          </w:tcPr>
          <w:p w14:paraId="24A3341A" w14:textId="77777777" w:rsidR="00F65618" w:rsidRPr="00701B39" w:rsidRDefault="00F65618" w:rsidP="00E607DA">
            <w:pPr>
              <w:jc w:val="right"/>
              <w:rPr>
                <w:rFonts w:ascii="Meta Pro" w:eastAsia="Times New Roman" w:hAnsi="Meta Pro"/>
                <w:sz w:val="16"/>
                <w:szCs w:val="16"/>
                <w:lang w:eastAsia="en-AU"/>
              </w:rPr>
            </w:pPr>
          </w:p>
        </w:tc>
        <w:tc>
          <w:tcPr>
            <w:tcW w:w="1185" w:type="dxa"/>
            <w:tcBorders>
              <w:top w:val="nil"/>
              <w:left w:val="nil"/>
              <w:bottom w:val="nil"/>
              <w:right w:val="nil"/>
            </w:tcBorders>
            <w:shd w:val="clear" w:color="auto" w:fill="auto"/>
            <w:noWrap/>
            <w:vAlign w:val="center"/>
            <w:hideMark/>
          </w:tcPr>
          <w:p w14:paraId="2412913B"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(604)</w:t>
            </w:r>
          </w:p>
        </w:tc>
        <w:tc>
          <w:tcPr>
            <w:tcW w:w="58" w:type="dxa"/>
            <w:tcBorders>
              <w:top w:val="nil"/>
              <w:left w:val="nil"/>
              <w:bottom w:val="nil"/>
              <w:right w:val="nil"/>
            </w:tcBorders>
            <w:shd w:val="clear" w:color="auto" w:fill="auto"/>
            <w:noWrap/>
            <w:vAlign w:val="center"/>
            <w:hideMark/>
          </w:tcPr>
          <w:p w14:paraId="775A385B" w14:textId="77777777" w:rsidR="00F65618" w:rsidRPr="00701B39" w:rsidRDefault="00F65618" w:rsidP="00E607DA">
            <w:pPr>
              <w:jc w:val="right"/>
              <w:rPr>
                <w:rFonts w:ascii="Meta Pro" w:eastAsia="Times New Roman" w:hAnsi="Meta Pro"/>
                <w:sz w:val="16"/>
                <w:szCs w:val="16"/>
                <w:lang w:eastAsia="en-AU"/>
              </w:rPr>
            </w:pPr>
          </w:p>
        </w:tc>
        <w:tc>
          <w:tcPr>
            <w:tcW w:w="1300" w:type="dxa"/>
            <w:gridSpan w:val="2"/>
            <w:tcBorders>
              <w:top w:val="nil"/>
              <w:left w:val="nil"/>
              <w:bottom w:val="nil"/>
              <w:right w:val="nil"/>
            </w:tcBorders>
            <w:shd w:val="clear" w:color="auto" w:fill="auto"/>
            <w:noWrap/>
            <w:vAlign w:val="center"/>
            <w:hideMark/>
          </w:tcPr>
          <w:p w14:paraId="5B30F68A"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(5,675)</w:t>
            </w:r>
          </w:p>
        </w:tc>
        <w:tc>
          <w:tcPr>
            <w:tcW w:w="58" w:type="dxa"/>
            <w:tcBorders>
              <w:top w:val="nil"/>
              <w:left w:val="nil"/>
              <w:bottom w:val="nil"/>
              <w:right w:val="nil"/>
            </w:tcBorders>
            <w:shd w:val="clear" w:color="auto" w:fill="auto"/>
            <w:noWrap/>
            <w:vAlign w:val="center"/>
            <w:hideMark/>
          </w:tcPr>
          <w:p w14:paraId="006EF32A" w14:textId="77777777" w:rsidR="00F65618" w:rsidRPr="00701B39" w:rsidRDefault="00F65618" w:rsidP="00E607DA">
            <w:pPr>
              <w:jc w:val="right"/>
              <w:rPr>
                <w:rFonts w:ascii="Meta Pro" w:eastAsia="Times New Roman" w:hAnsi="Meta Pro"/>
                <w:sz w:val="16"/>
                <w:szCs w:val="16"/>
                <w:lang w:eastAsia="en-AU"/>
              </w:rPr>
            </w:pPr>
          </w:p>
        </w:tc>
        <w:tc>
          <w:tcPr>
            <w:tcW w:w="1272" w:type="dxa"/>
            <w:tcBorders>
              <w:top w:val="nil"/>
              <w:left w:val="nil"/>
              <w:bottom w:val="nil"/>
              <w:right w:val="nil"/>
            </w:tcBorders>
            <w:shd w:val="clear" w:color="auto" w:fill="auto"/>
            <w:noWrap/>
            <w:vAlign w:val="center"/>
            <w:hideMark/>
          </w:tcPr>
          <w:p w14:paraId="3B733C5E"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 </w:t>
            </w:r>
          </w:p>
        </w:tc>
        <w:tc>
          <w:tcPr>
            <w:tcW w:w="58" w:type="dxa"/>
            <w:tcBorders>
              <w:top w:val="nil"/>
              <w:left w:val="nil"/>
              <w:bottom w:val="nil"/>
              <w:right w:val="nil"/>
            </w:tcBorders>
            <w:shd w:val="clear" w:color="auto" w:fill="auto"/>
            <w:noWrap/>
            <w:vAlign w:val="center"/>
            <w:hideMark/>
          </w:tcPr>
          <w:p w14:paraId="4EDFBF23" w14:textId="77777777" w:rsidR="00F65618" w:rsidRPr="00701B39" w:rsidRDefault="00F65618" w:rsidP="00E607DA">
            <w:pPr>
              <w:jc w:val="right"/>
              <w:rPr>
                <w:rFonts w:ascii="Meta Pro" w:eastAsia="Times New Roman" w:hAnsi="Meta Pro"/>
                <w:sz w:val="16"/>
                <w:szCs w:val="16"/>
                <w:lang w:eastAsia="en-AU"/>
              </w:rPr>
            </w:pPr>
          </w:p>
        </w:tc>
        <w:tc>
          <w:tcPr>
            <w:tcW w:w="1391" w:type="dxa"/>
            <w:tcBorders>
              <w:top w:val="nil"/>
              <w:left w:val="nil"/>
              <w:bottom w:val="nil"/>
              <w:right w:val="nil"/>
            </w:tcBorders>
            <w:shd w:val="clear" w:color="auto" w:fill="auto"/>
            <w:noWrap/>
            <w:vAlign w:val="center"/>
            <w:hideMark/>
          </w:tcPr>
          <w:p w14:paraId="78B4709C"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(169,770)</w:t>
            </w:r>
          </w:p>
        </w:tc>
      </w:tr>
      <w:tr w:rsidR="00F65618" w:rsidRPr="00701B39" w14:paraId="282463B4" w14:textId="77777777" w:rsidTr="00E607DA">
        <w:trPr>
          <w:trHeight w:val="113"/>
        </w:trPr>
        <w:tc>
          <w:tcPr>
            <w:tcW w:w="4759" w:type="dxa"/>
            <w:tcBorders>
              <w:top w:val="single" w:sz="4" w:space="0" w:color="auto"/>
              <w:left w:val="nil"/>
              <w:bottom w:val="double" w:sz="6" w:space="0" w:color="auto"/>
              <w:right w:val="nil"/>
            </w:tcBorders>
            <w:shd w:val="clear" w:color="auto" w:fill="auto"/>
            <w:noWrap/>
            <w:vAlign w:val="center"/>
            <w:hideMark/>
          </w:tcPr>
          <w:p w14:paraId="6B8B0154" w14:textId="77777777" w:rsidR="00F65618" w:rsidRPr="00701B39" w:rsidRDefault="00F65618" w:rsidP="00E607DA">
            <w:pPr>
              <w:rPr>
                <w:rFonts w:ascii="Meta Pro" w:eastAsia="Times New Roman" w:hAnsi="Meta Pro"/>
                <w:b/>
                <w:bCs/>
                <w:sz w:val="16"/>
                <w:szCs w:val="16"/>
                <w:lang w:eastAsia="en-AU"/>
              </w:rPr>
            </w:pPr>
            <w:r w:rsidRPr="00701B39">
              <w:rPr>
                <w:rFonts w:ascii="Meta Pro" w:eastAsia="Times New Roman" w:hAnsi="Meta Pro"/>
                <w:b/>
                <w:bCs/>
                <w:sz w:val="16"/>
                <w:szCs w:val="16"/>
                <w:lang w:eastAsia="en-AU"/>
              </w:rPr>
              <w:lastRenderedPageBreak/>
              <w:t>Carrying amount at 30 June</w:t>
            </w:r>
          </w:p>
        </w:tc>
        <w:tc>
          <w:tcPr>
            <w:tcW w:w="1260" w:type="dxa"/>
            <w:tcBorders>
              <w:top w:val="single" w:sz="4" w:space="0" w:color="auto"/>
              <w:left w:val="nil"/>
              <w:bottom w:val="double" w:sz="6" w:space="0" w:color="auto"/>
              <w:right w:val="nil"/>
            </w:tcBorders>
            <w:shd w:val="clear" w:color="auto" w:fill="auto"/>
            <w:noWrap/>
            <w:vAlign w:val="center"/>
            <w:hideMark/>
          </w:tcPr>
          <w:p w14:paraId="4EBED7C5"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650,600 </w:t>
            </w:r>
          </w:p>
        </w:tc>
        <w:tc>
          <w:tcPr>
            <w:tcW w:w="58" w:type="dxa"/>
            <w:tcBorders>
              <w:top w:val="nil"/>
              <w:left w:val="nil"/>
              <w:bottom w:val="nil"/>
              <w:right w:val="nil"/>
            </w:tcBorders>
            <w:shd w:val="clear" w:color="auto" w:fill="auto"/>
            <w:noWrap/>
            <w:vAlign w:val="center"/>
            <w:hideMark/>
          </w:tcPr>
          <w:p w14:paraId="0A687BE8" w14:textId="77777777" w:rsidR="00F65618" w:rsidRPr="00701B39" w:rsidRDefault="00F65618" w:rsidP="00E607DA">
            <w:pPr>
              <w:jc w:val="right"/>
              <w:rPr>
                <w:rFonts w:ascii="Meta Pro" w:eastAsia="Times New Roman" w:hAnsi="Meta Pro"/>
                <w:b/>
                <w:bCs/>
                <w:sz w:val="16"/>
                <w:szCs w:val="16"/>
                <w:lang w:eastAsia="en-AU"/>
              </w:rPr>
            </w:pPr>
          </w:p>
        </w:tc>
        <w:tc>
          <w:tcPr>
            <w:tcW w:w="1421" w:type="dxa"/>
            <w:tcBorders>
              <w:top w:val="single" w:sz="4" w:space="0" w:color="auto"/>
              <w:left w:val="nil"/>
              <w:bottom w:val="double" w:sz="6" w:space="0" w:color="auto"/>
              <w:right w:val="nil"/>
            </w:tcBorders>
            <w:shd w:val="clear" w:color="auto" w:fill="auto"/>
            <w:noWrap/>
            <w:vAlign w:val="center"/>
            <w:hideMark/>
          </w:tcPr>
          <w:p w14:paraId="656636DD"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1,313,963 </w:t>
            </w:r>
          </w:p>
        </w:tc>
        <w:tc>
          <w:tcPr>
            <w:tcW w:w="58" w:type="dxa"/>
            <w:tcBorders>
              <w:top w:val="nil"/>
              <w:left w:val="nil"/>
              <w:bottom w:val="nil"/>
              <w:right w:val="nil"/>
            </w:tcBorders>
            <w:shd w:val="clear" w:color="auto" w:fill="auto"/>
            <w:noWrap/>
            <w:vAlign w:val="center"/>
            <w:hideMark/>
          </w:tcPr>
          <w:p w14:paraId="1D53B659" w14:textId="77777777" w:rsidR="00F65618" w:rsidRPr="00701B39" w:rsidRDefault="00F65618" w:rsidP="00E607DA">
            <w:pPr>
              <w:jc w:val="right"/>
              <w:rPr>
                <w:rFonts w:ascii="Meta Pro" w:eastAsia="Times New Roman" w:hAnsi="Meta Pro"/>
                <w:b/>
                <w:bCs/>
                <w:sz w:val="16"/>
                <w:szCs w:val="16"/>
                <w:lang w:eastAsia="en-AU"/>
              </w:rPr>
            </w:pPr>
          </w:p>
        </w:tc>
        <w:tc>
          <w:tcPr>
            <w:tcW w:w="1360" w:type="dxa"/>
            <w:tcBorders>
              <w:top w:val="single" w:sz="4" w:space="0" w:color="auto"/>
              <w:left w:val="nil"/>
              <w:bottom w:val="double" w:sz="6" w:space="0" w:color="auto"/>
              <w:right w:val="nil"/>
            </w:tcBorders>
            <w:shd w:val="clear" w:color="auto" w:fill="auto"/>
            <w:noWrap/>
            <w:vAlign w:val="center"/>
            <w:hideMark/>
          </w:tcPr>
          <w:p w14:paraId="2F8723B0"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5,334,682 </w:t>
            </w:r>
          </w:p>
        </w:tc>
        <w:tc>
          <w:tcPr>
            <w:tcW w:w="58" w:type="dxa"/>
            <w:tcBorders>
              <w:top w:val="nil"/>
              <w:left w:val="nil"/>
              <w:bottom w:val="nil"/>
              <w:right w:val="nil"/>
            </w:tcBorders>
            <w:shd w:val="clear" w:color="auto" w:fill="auto"/>
            <w:noWrap/>
            <w:vAlign w:val="center"/>
            <w:hideMark/>
          </w:tcPr>
          <w:p w14:paraId="6E70E8FB" w14:textId="77777777" w:rsidR="00F65618" w:rsidRPr="00701B39" w:rsidRDefault="00F65618" w:rsidP="00E607DA">
            <w:pPr>
              <w:jc w:val="right"/>
              <w:rPr>
                <w:rFonts w:ascii="Meta Pro" w:eastAsia="Times New Roman" w:hAnsi="Meta Pro"/>
                <w:b/>
                <w:bCs/>
                <w:sz w:val="16"/>
                <w:szCs w:val="16"/>
                <w:lang w:eastAsia="en-AU"/>
              </w:rPr>
            </w:pPr>
          </w:p>
        </w:tc>
        <w:tc>
          <w:tcPr>
            <w:tcW w:w="1337" w:type="dxa"/>
            <w:tcBorders>
              <w:top w:val="single" w:sz="4" w:space="0" w:color="auto"/>
              <w:left w:val="nil"/>
              <w:bottom w:val="double" w:sz="6" w:space="0" w:color="auto"/>
              <w:right w:val="nil"/>
            </w:tcBorders>
            <w:shd w:val="clear" w:color="auto" w:fill="auto"/>
            <w:noWrap/>
            <w:vAlign w:val="center"/>
            <w:hideMark/>
          </w:tcPr>
          <w:p w14:paraId="7CA6E169"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2,439,358 </w:t>
            </w:r>
          </w:p>
        </w:tc>
        <w:tc>
          <w:tcPr>
            <w:tcW w:w="58" w:type="dxa"/>
            <w:tcBorders>
              <w:top w:val="nil"/>
              <w:left w:val="nil"/>
              <w:bottom w:val="nil"/>
              <w:right w:val="nil"/>
            </w:tcBorders>
            <w:shd w:val="clear" w:color="auto" w:fill="auto"/>
            <w:noWrap/>
            <w:vAlign w:val="center"/>
            <w:hideMark/>
          </w:tcPr>
          <w:p w14:paraId="29227FA4" w14:textId="77777777" w:rsidR="00F65618" w:rsidRPr="00701B39" w:rsidRDefault="00F65618" w:rsidP="00E607DA">
            <w:pPr>
              <w:jc w:val="right"/>
              <w:rPr>
                <w:rFonts w:ascii="Meta Pro" w:eastAsia="Times New Roman" w:hAnsi="Meta Pro"/>
                <w:b/>
                <w:bCs/>
                <w:sz w:val="16"/>
                <w:szCs w:val="16"/>
                <w:lang w:eastAsia="en-AU"/>
              </w:rPr>
            </w:pPr>
          </w:p>
        </w:tc>
        <w:tc>
          <w:tcPr>
            <w:tcW w:w="1332" w:type="dxa"/>
            <w:tcBorders>
              <w:top w:val="single" w:sz="4" w:space="0" w:color="auto"/>
              <w:left w:val="nil"/>
              <w:bottom w:val="double" w:sz="6" w:space="0" w:color="auto"/>
              <w:right w:val="nil"/>
            </w:tcBorders>
            <w:shd w:val="clear" w:color="auto" w:fill="auto"/>
            <w:noWrap/>
            <w:vAlign w:val="center"/>
            <w:hideMark/>
          </w:tcPr>
          <w:p w14:paraId="2B879238"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1,775,177 </w:t>
            </w:r>
          </w:p>
        </w:tc>
        <w:tc>
          <w:tcPr>
            <w:tcW w:w="58" w:type="dxa"/>
            <w:tcBorders>
              <w:top w:val="nil"/>
              <w:left w:val="nil"/>
              <w:bottom w:val="nil"/>
              <w:right w:val="nil"/>
            </w:tcBorders>
            <w:shd w:val="clear" w:color="auto" w:fill="auto"/>
            <w:noWrap/>
            <w:vAlign w:val="center"/>
            <w:hideMark/>
          </w:tcPr>
          <w:p w14:paraId="0B012771" w14:textId="77777777" w:rsidR="00F65618" w:rsidRPr="00701B39" w:rsidRDefault="00F65618" w:rsidP="00E607DA">
            <w:pPr>
              <w:jc w:val="right"/>
              <w:rPr>
                <w:rFonts w:ascii="Meta Pro" w:eastAsia="Times New Roman" w:hAnsi="Meta Pro"/>
                <w:b/>
                <w:bCs/>
                <w:sz w:val="16"/>
                <w:szCs w:val="16"/>
                <w:lang w:eastAsia="en-AU"/>
              </w:rPr>
            </w:pPr>
          </w:p>
        </w:tc>
        <w:tc>
          <w:tcPr>
            <w:tcW w:w="1185" w:type="dxa"/>
            <w:tcBorders>
              <w:top w:val="single" w:sz="4" w:space="0" w:color="auto"/>
              <w:left w:val="nil"/>
              <w:bottom w:val="double" w:sz="6" w:space="0" w:color="auto"/>
              <w:right w:val="nil"/>
            </w:tcBorders>
            <w:shd w:val="clear" w:color="auto" w:fill="auto"/>
            <w:noWrap/>
            <w:vAlign w:val="center"/>
            <w:hideMark/>
          </w:tcPr>
          <w:p w14:paraId="4652DD43"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45,622 </w:t>
            </w:r>
          </w:p>
        </w:tc>
        <w:tc>
          <w:tcPr>
            <w:tcW w:w="58" w:type="dxa"/>
            <w:tcBorders>
              <w:top w:val="nil"/>
              <w:left w:val="nil"/>
              <w:bottom w:val="nil"/>
              <w:right w:val="nil"/>
            </w:tcBorders>
            <w:shd w:val="clear" w:color="auto" w:fill="auto"/>
            <w:noWrap/>
            <w:vAlign w:val="center"/>
            <w:hideMark/>
          </w:tcPr>
          <w:p w14:paraId="73FF2A8E" w14:textId="77777777" w:rsidR="00F65618" w:rsidRPr="00701B39" w:rsidRDefault="00F65618" w:rsidP="00E607DA">
            <w:pPr>
              <w:jc w:val="right"/>
              <w:rPr>
                <w:rFonts w:ascii="Meta Pro" w:eastAsia="Times New Roman" w:hAnsi="Meta Pro"/>
                <w:b/>
                <w:bCs/>
                <w:sz w:val="16"/>
                <w:szCs w:val="16"/>
                <w:lang w:eastAsia="en-AU"/>
              </w:rPr>
            </w:pPr>
          </w:p>
        </w:tc>
        <w:tc>
          <w:tcPr>
            <w:tcW w:w="1300" w:type="dxa"/>
            <w:gridSpan w:val="2"/>
            <w:tcBorders>
              <w:top w:val="single" w:sz="4" w:space="0" w:color="auto"/>
              <w:left w:val="nil"/>
              <w:bottom w:val="double" w:sz="6" w:space="0" w:color="auto"/>
              <w:right w:val="nil"/>
            </w:tcBorders>
            <w:shd w:val="clear" w:color="auto" w:fill="auto"/>
            <w:noWrap/>
            <w:vAlign w:val="center"/>
            <w:hideMark/>
          </w:tcPr>
          <w:p w14:paraId="1F1073E9"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317,557 </w:t>
            </w:r>
          </w:p>
        </w:tc>
        <w:tc>
          <w:tcPr>
            <w:tcW w:w="58" w:type="dxa"/>
            <w:tcBorders>
              <w:top w:val="nil"/>
              <w:left w:val="nil"/>
              <w:bottom w:val="nil"/>
              <w:right w:val="nil"/>
            </w:tcBorders>
            <w:shd w:val="clear" w:color="auto" w:fill="auto"/>
            <w:noWrap/>
            <w:vAlign w:val="center"/>
            <w:hideMark/>
          </w:tcPr>
          <w:p w14:paraId="553B81E4" w14:textId="77777777" w:rsidR="00F65618" w:rsidRPr="00701B39" w:rsidRDefault="00F65618" w:rsidP="00E607DA">
            <w:pPr>
              <w:jc w:val="right"/>
              <w:rPr>
                <w:rFonts w:ascii="Meta Pro" w:eastAsia="Times New Roman" w:hAnsi="Meta Pro"/>
                <w:b/>
                <w:bCs/>
                <w:sz w:val="16"/>
                <w:szCs w:val="16"/>
                <w:lang w:eastAsia="en-AU"/>
              </w:rPr>
            </w:pPr>
          </w:p>
        </w:tc>
        <w:tc>
          <w:tcPr>
            <w:tcW w:w="1272" w:type="dxa"/>
            <w:tcBorders>
              <w:top w:val="single" w:sz="4" w:space="0" w:color="auto"/>
              <w:left w:val="nil"/>
              <w:bottom w:val="double" w:sz="6" w:space="0" w:color="auto"/>
              <w:right w:val="nil"/>
            </w:tcBorders>
            <w:shd w:val="clear" w:color="auto" w:fill="auto"/>
            <w:noWrap/>
            <w:vAlign w:val="center"/>
            <w:hideMark/>
          </w:tcPr>
          <w:p w14:paraId="66F2F645"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 </w:t>
            </w:r>
          </w:p>
        </w:tc>
        <w:tc>
          <w:tcPr>
            <w:tcW w:w="58" w:type="dxa"/>
            <w:tcBorders>
              <w:top w:val="nil"/>
              <w:left w:val="nil"/>
              <w:bottom w:val="nil"/>
              <w:right w:val="nil"/>
            </w:tcBorders>
            <w:shd w:val="clear" w:color="auto" w:fill="auto"/>
            <w:noWrap/>
            <w:vAlign w:val="center"/>
            <w:hideMark/>
          </w:tcPr>
          <w:p w14:paraId="11DEAB3B" w14:textId="77777777" w:rsidR="00F65618" w:rsidRPr="00701B39" w:rsidRDefault="00F65618" w:rsidP="00E607DA">
            <w:pPr>
              <w:jc w:val="right"/>
              <w:rPr>
                <w:rFonts w:ascii="Meta Pro" w:eastAsia="Times New Roman" w:hAnsi="Meta Pro"/>
                <w:b/>
                <w:bCs/>
                <w:sz w:val="16"/>
                <w:szCs w:val="16"/>
                <w:lang w:eastAsia="en-AU"/>
              </w:rPr>
            </w:pPr>
          </w:p>
        </w:tc>
        <w:tc>
          <w:tcPr>
            <w:tcW w:w="1391" w:type="dxa"/>
            <w:tcBorders>
              <w:top w:val="single" w:sz="4" w:space="0" w:color="auto"/>
              <w:left w:val="nil"/>
              <w:bottom w:val="double" w:sz="6" w:space="0" w:color="auto"/>
              <w:right w:val="nil"/>
            </w:tcBorders>
            <w:shd w:val="clear" w:color="auto" w:fill="auto"/>
            <w:noWrap/>
            <w:vAlign w:val="center"/>
            <w:hideMark/>
          </w:tcPr>
          <w:p w14:paraId="265BBB12"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11,876,959 </w:t>
            </w:r>
          </w:p>
        </w:tc>
      </w:tr>
      <w:tr w:rsidR="00F65618" w:rsidRPr="00701B39" w14:paraId="65369E1E" w14:textId="77777777" w:rsidTr="00E607DA">
        <w:trPr>
          <w:trHeight w:val="113"/>
        </w:trPr>
        <w:tc>
          <w:tcPr>
            <w:tcW w:w="4759" w:type="dxa"/>
            <w:tcBorders>
              <w:top w:val="nil"/>
              <w:left w:val="nil"/>
              <w:bottom w:val="nil"/>
              <w:right w:val="nil"/>
            </w:tcBorders>
            <w:shd w:val="clear" w:color="auto" w:fill="auto"/>
            <w:noWrap/>
            <w:vAlign w:val="center"/>
            <w:hideMark/>
          </w:tcPr>
          <w:p w14:paraId="1711B2C8" w14:textId="77777777" w:rsidR="00F65618" w:rsidRPr="00701B39" w:rsidRDefault="00F65618" w:rsidP="00E607DA">
            <w:pPr>
              <w:jc w:val="right"/>
              <w:rPr>
                <w:rFonts w:ascii="Meta Pro" w:eastAsia="Times New Roman" w:hAnsi="Meta Pro"/>
                <w:b/>
                <w:bCs/>
                <w:sz w:val="16"/>
                <w:szCs w:val="16"/>
                <w:lang w:eastAsia="en-AU"/>
              </w:rPr>
            </w:pPr>
          </w:p>
        </w:tc>
        <w:tc>
          <w:tcPr>
            <w:tcW w:w="1260" w:type="dxa"/>
            <w:tcBorders>
              <w:top w:val="nil"/>
              <w:left w:val="nil"/>
              <w:bottom w:val="nil"/>
              <w:right w:val="nil"/>
            </w:tcBorders>
            <w:shd w:val="clear" w:color="auto" w:fill="auto"/>
            <w:noWrap/>
            <w:vAlign w:val="center"/>
            <w:hideMark/>
          </w:tcPr>
          <w:p w14:paraId="1D045396"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4A076C6C" w14:textId="77777777" w:rsidR="00F65618" w:rsidRPr="00701B39" w:rsidRDefault="00F65618" w:rsidP="00E607DA">
            <w:pPr>
              <w:rPr>
                <w:rFonts w:ascii="Meta Pro" w:eastAsia="Times New Roman" w:hAnsi="Meta Pro" w:cs="Times New Roman"/>
                <w:sz w:val="20"/>
                <w:szCs w:val="20"/>
                <w:lang w:eastAsia="en-AU"/>
              </w:rPr>
            </w:pPr>
          </w:p>
        </w:tc>
        <w:tc>
          <w:tcPr>
            <w:tcW w:w="1421" w:type="dxa"/>
            <w:tcBorders>
              <w:top w:val="nil"/>
              <w:left w:val="nil"/>
              <w:bottom w:val="nil"/>
              <w:right w:val="nil"/>
            </w:tcBorders>
            <w:shd w:val="clear" w:color="auto" w:fill="auto"/>
            <w:noWrap/>
            <w:vAlign w:val="center"/>
            <w:hideMark/>
          </w:tcPr>
          <w:p w14:paraId="19D7374A" w14:textId="77777777" w:rsidR="00F65618" w:rsidRPr="00701B39" w:rsidRDefault="00F65618" w:rsidP="00E607DA">
            <w:pPr>
              <w:jc w:val="cente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7070D35E" w14:textId="77777777" w:rsidR="00F65618" w:rsidRPr="00701B39" w:rsidRDefault="00F65618" w:rsidP="00E607DA">
            <w:pPr>
              <w:rPr>
                <w:rFonts w:ascii="Meta Pro" w:eastAsia="Times New Roman" w:hAnsi="Meta Pro" w:cs="Times New Roman"/>
                <w:sz w:val="20"/>
                <w:szCs w:val="20"/>
                <w:lang w:eastAsia="en-AU"/>
              </w:rPr>
            </w:pPr>
          </w:p>
        </w:tc>
        <w:tc>
          <w:tcPr>
            <w:tcW w:w="1360" w:type="dxa"/>
            <w:tcBorders>
              <w:top w:val="nil"/>
              <w:left w:val="nil"/>
              <w:bottom w:val="nil"/>
              <w:right w:val="nil"/>
            </w:tcBorders>
            <w:shd w:val="clear" w:color="auto" w:fill="auto"/>
            <w:noWrap/>
            <w:vAlign w:val="center"/>
            <w:hideMark/>
          </w:tcPr>
          <w:p w14:paraId="3369B3E9" w14:textId="77777777" w:rsidR="00F65618" w:rsidRPr="00701B39" w:rsidRDefault="00F65618" w:rsidP="00E607DA">
            <w:pPr>
              <w:jc w:val="cente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7927C7BC" w14:textId="77777777" w:rsidR="00F65618" w:rsidRPr="00701B39" w:rsidRDefault="00F65618" w:rsidP="00E607DA">
            <w:pPr>
              <w:rPr>
                <w:rFonts w:ascii="Meta Pro" w:eastAsia="Times New Roman" w:hAnsi="Meta Pro" w:cs="Times New Roman"/>
                <w:sz w:val="20"/>
                <w:szCs w:val="20"/>
                <w:lang w:eastAsia="en-AU"/>
              </w:rPr>
            </w:pPr>
          </w:p>
        </w:tc>
        <w:tc>
          <w:tcPr>
            <w:tcW w:w="1337" w:type="dxa"/>
            <w:tcBorders>
              <w:top w:val="nil"/>
              <w:left w:val="nil"/>
              <w:bottom w:val="nil"/>
              <w:right w:val="nil"/>
            </w:tcBorders>
            <w:shd w:val="clear" w:color="auto" w:fill="auto"/>
            <w:noWrap/>
            <w:vAlign w:val="center"/>
            <w:hideMark/>
          </w:tcPr>
          <w:p w14:paraId="06266C30"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0B112EB4" w14:textId="77777777" w:rsidR="00F65618" w:rsidRPr="00701B39" w:rsidRDefault="00F65618" w:rsidP="00E607DA">
            <w:pPr>
              <w:rPr>
                <w:rFonts w:ascii="Meta Pro" w:eastAsia="Times New Roman" w:hAnsi="Meta Pro" w:cs="Times New Roman"/>
                <w:sz w:val="20"/>
                <w:szCs w:val="20"/>
                <w:lang w:eastAsia="en-AU"/>
              </w:rPr>
            </w:pPr>
          </w:p>
        </w:tc>
        <w:tc>
          <w:tcPr>
            <w:tcW w:w="1332" w:type="dxa"/>
            <w:tcBorders>
              <w:top w:val="nil"/>
              <w:left w:val="nil"/>
              <w:bottom w:val="nil"/>
              <w:right w:val="nil"/>
            </w:tcBorders>
            <w:shd w:val="clear" w:color="auto" w:fill="auto"/>
            <w:noWrap/>
            <w:vAlign w:val="center"/>
            <w:hideMark/>
          </w:tcPr>
          <w:p w14:paraId="2D396AE3"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0EC6427C" w14:textId="77777777" w:rsidR="00F65618" w:rsidRPr="00701B39" w:rsidRDefault="00F65618" w:rsidP="00E607DA">
            <w:pPr>
              <w:rPr>
                <w:rFonts w:ascii="Meta Pro" w:eastAsia="Times New Roman" w:hAnsi="Meta Pro" w:cs="Times New Roman"/>
                <w:sz w:val="20"/>
                <w:szCs w:val="20"/>
                <w:lang w:eastAsia="en-AU"/>
              </w:rPr>
            </w:pPr>
          </w:p>
        </w:tc>
        <w:tc>
          <w:tcPr>
            <w:tcW w:w="1185" w:type="dxa"/>
            <w:tcBorders>
              <w:top w:val="nil"/>
              <w:left w:val="nil"/>
              <w:bottom w:val="nil"/>
              <w:right w:val="nil"/>
            </w:tcBorders>
            <w:shd w:val="clear" w:color="auto" w:fill="auto"/>
            <w:noWrap/>
            <w:vAlign w:val="center"/>
            <w:hideMark/>
          </w:tcPr>
          <w:p w14:paraId="66F1557A"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53691FA2" w14:textId="77777777" w:rsidR="00F65618" w:rsidRPr="00701B39" w:rsidRDefault="00F65618" w:rsidP="00E607DA">
            <w:pPr>
              <w:rPr>
                <w:rFonts w:ascii="Meta Pro" w:eastAsia="Times New Roman" w:hAnsi="Meta Pro" w:cs="Times New Roman"/>
                <w:sz w:val="20"/>
                <w:szCs w:val="20"/>
                <w:lang w:eastAsia="en-AU"/>
              </w:rPr>
            </w:pPr>
          </w:p>
        </w:tc>
        <w:tc>
          <w:tcPr>
            <w:tcW w:w="1300" w:type="dxa"/>
            <w:gridSpan w:val="2"/>
            <w:tcBorders>
              <w:top w:val="nil"/>
              <w:left w:val="nil"/>
              <w:bottom w:val="nil"/>
              <w:right w:val="nil"/>
            </w:tcBorders>
            <w:shd w:val="clear" w:color="auto" w:fill="auto"/>
            <w:noWrap/>
            <w:vAlign w:val="center"/>
            <w:hideMark/>
          </w:tcPr>
          <w:p w14:paraId="02EF5C6D"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33B97B85" w14:textId="77777777" w:rsidR="00F65618" w:rsidRPr="00701B39" w:rsidRDefault="00F65618" w:rsidP="00E607DA">
            <w:pPr>
              <w:rPr>
                <w:rFonts w:ascii="Meta Pro" w:eastAsia="Times New Roman" w:hAnsi="Meta Pro" w:cs="Times New Roman"/>
                <w:sz w:val="20"/>
                <w:szCs w:val="20"/>
                <w:lang w:eastAsia="en-AU"/>
              </w:rPr>
            </w:pPr>
          </w:p>
        </w:tc>
        <w:tc>
          <w:tcPr>
            <w:tcW w:w="1272" w:type="dxa"/>
            <w:tcBorders>
              <w:top w:val="nil"/>
              <w:left w:val="nil"/>
              <w:bottom w:val="nil"/>
              <w:right w:val="nil"/>
            </w:tcBorders>
            <w:shd w:val="clear" w:color="auto" w:fill="auto"/>
            <w:noWrap/>
            <w:vAlign w:val="center"/>
            <w:hideMark/>
          </w:tcPr>
          <w:p w14:paraId="6DC46074"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21B52965" w14:textId="77777777" w:rsidR="00F65618" w:rsidRPr="00701B39" w:rsidRDefault="00F65618" w:rsidP="00E607DA">
            <w:pPr>
              <w:rPr>
                <w:rFonts w:ascii="Meta Pro" w:eastAsia="Times New Roman" w:hAnsi="Meta Pro" w:cs="Times New Roman"/>
                <w:sz w:val="20"/>
                <w:szCs w:val="20"/>
                <w:lang w:eastAsia="en-AU"/>
              </w:rPr>
            </w:pPr>
          </w:p>
        </w:tc>
        <w:tc>
          <w:tcPr>
            <w:tcW w:w="1391" w:type="dxa"/>
            <w:tcBorders>
              <w:top w:val="nil"/>
              <w:left w:val="nil"/>
              <w:bottom w:val="nil"/>
              <w:right w:val="nil"/>
            </w:tcBorders>
            <w:shd w:val="clear" w:color="auto" w:fill="auto"/>
            <w:noWrap/>
            <w:vAlign w:val="center"/>
            <w:hideMark/>
          </w:tcPr>
          <w:p w14:paraId="3E01C6DB" w14:textId="77777777" w:rsidR="00F65618" w:rsidRPr="00701B39" w:rsidRDefault="00F65618" w:rsidP="00E607DA">
            <w:pPr>
              <w:rPr>
                <w:rFonts w:ascii="Meta Pro" w:eastAsia="Times New Roman" w:hAnsi="Meta Pro" w:cs="Times New Roman"/>
                <w:sz w:val="20"/>
                <w:szCs w:val="20"/>
                <w:lang w:eastAsia="en-AU"/>
              </w:rPr>
            </w:pPr>
          </w:p>
        </w:tc>
      </w:tr>
      <w:tr w:rsidR="00F65618" w:rsidRPr="00701B39" w14:paraId="2E9AC257" w14:textId="77777777" w:rsidTr="00E607DA">
        <w:trPr>
          <w:trHeight w:val="113"/>
        </w:trPr>
        <w:tc>
          <w:tcPr>
            <w:tcW w:w="4759" w:type="dxa"/>
            <w:tcBorders>
              <w:top w:val="nil"/>
              <w:left w:val="nil"/>
              <w:bottom w:val="nil"/>
              <w:right w:val="nil"/>
            </w:tcBorders>
            <w:shd w:val="clear" w:color="auto" w:fill="auto"/>
            <w:noWrap/>
            <w:vAlign w:val="bottom"/>
            <w:hideMark/>
          </w:tcPr>
          <w:p w14:paraId="7B5CC793" w14:textId="77777777" w:rsidR="00F65618" w:rsidRPr="00701B39" w:rsidRDefault="00F65618" w:rsidP="00E607DA">
            <w:pPr>
              <w:rPr>
                <w:rFonts w:ascii="Meta Pro" w:eastAsia="Times New Roman" w:hAnsi="Meta Pro"/>
                <w:b/>
                <w:bCs/>
                <w:sz w:val="16"/>
                <w:szCs w:val="16"/>
                <w:lang w:eastAsia="en-AU"/>
              </w:rPr>
            </w:pPr>
            <w:r w:rsidRPr="00701B39">
              <w:rPr>
                <w:rFonts w:ascii="Meta Pro" w:eastAsia="Times New Roman" w:hAnsi="Meta Pro"/>
                <w:b/>
                <w:bCs/>
                <w:sz w:val="16"/>
                <w:szCs w:val="16"/>
                <w:lang w:eastAsia="en-AU"/>
              </w:rPr>
              <w:t>Liabilities</w:t>
            </w:r>
          </w:p>
        </w:tc>
        <w:tc>
          <w:tcPr>
            <w:tcW w:w="1260" w:type="dxa"/>
            <w:tcBorders>
              <w:top w:val="nil"/>
              <w:left w:val="nil"/>
              <w:bottom w:val="nil"/>
              <w:right w:val="nil"/>
            </w:tcBorders>
            <w:shd w:val="clear" w:color="auto" w:fill="auto"/>
            <w:noWrap/>
            <w:vAlign w:val="bottom"/>
            <w:hideMark/>
          </w:tcPr>
          <w:p w14:paraId="31615B13" w14:textId="77777777" w:rsidR="00F65618" w:rsidRPr="00701B39" w:rsidRDefault="00F65618" w:rsidP="00E607DA">
            <w:pPr>
              <w:rPr>
                <w:rFonts w:ascii="Meta Pro" w:eastAsia="Times New Roman" w:hAnsi="Meta Pro"/>
                <w:b/>
                <w:bCs/>
                <w:sz w:val="16"/>
                <w:szCs w:val="16"/>
                <w:lang w:eastAsia="en-AU"/>
              </w:rPr>
            </w:pPr>
          </w:p>
        </w:tc>
        <w:tc>
          <w:tcPr>
            <w:tcW w:w="58" w:type="dxa"/>
            <w:tcBorders>
              <w:top w:val="nil"/>
              <w:left w:val="nil"/>
              <w:bottom w:val="nil"/>
              <w:right w:val="nil"/>
            </w:tcBorders>
            <w:shd w:val="clear" w:color="auto" w:fill="auto"/>
            <w:noWrap/>
            <w:vAlign w:val="center"/>
            <w:hideMark/>
          </w:tcPr>
          <w:p w14:paraId="7EEFA75D" w14:textId="77777777" w:rsidR="00F65618" w:rsidRPr="00701B39" w:rsidRDefault="00F65618" w:rsidP="00E607DA">
            <w:pPr>
              <w:rPr>
                <w:rFonts w:ascii="Meta Pro" w:eastAsia="Times New Roman" w:hAnsi="Meta Pro" w:cs="Times New Roman"/>
                <w:sz w:val="20"/>
                <w:szCs w:val="20"/>
                <w:lang w:eastAsia="en-AU"/>
              </w:rPr>
            </w:pPr>
          </w:p>
        </w:tc>
        <w:tc>
          <w:tcPr>
            <w:tcW w:w="1421" w:type="dxa"/>
            <w:tcBorders>
              <w:top w:val="nil"/>
              <w:left w:val="nil"/>
              <w:bottom w:val="nil"/>
              <w:right w:val="nil"/>
            </w:tcBorders>
            <w:shd w:val="clear" w:color="auto" w:fill="auto"/>
            <w:noWrap/>
            <w:vAlign w:val="bottom"/>
            <w:hideMark/>
          </w:tcPr>
          <w:p w14:paraId="4AF49538"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240D57B1" w14:textId="77777777" w:rsidR="00F65618" w:rsidRPr="00701B39" w:rsidRDefault="00F65618" w:rsidP="00E607DA">
            <w:pPr>
              <w:rPr>
                <w:rFonts w:ascii="Meta Pro" w:eastAsia="Times New Roman" w:hAnsi="Meta Pro" w:cs="Times New Roman"/>
                <w:sz w:val="20"/>
                <w:szCs w:val="20"/>
                <w:lang w:eastAsia="en-AU"/>
              </w:rPr>
            </w:pPr>
          </w:p>
        </w:tc>
        <w:tc>
          <w:tcPr>
            <w:tcW w:w="1360" w:type="dxa"/>
            <w:tcBorders>
              <w:top w:val="nil"/>
              <w:left w:val="nil"/>
              <w:bottom w:val="nil"/>
              <w:right w:val="nil"/>
            </w:tcBorders>
            <w:shd w:val="clear" w:color="auto" w:fill="auto"/>
            <w:noWrap/>
            <w:vAlign w:val="bottom"/>
            <w:hideMark/>
          </w:tcPr>
          <w:p w14:paraId="2EE9ECAE"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bottom"/>
            <w:hideMark/>
          </w:tcPr>
          <w:p w14:paraId="5F299EB5" w14:textId="77777777" w:rsidR="00F65618" w:rsidRPr="00701B39" w:rsidRDefault="00F65618" w:rsidP="00E607DA">
            <w:pPr>
              <w:rPr>
                <w:rFonts w:ascii="Meta Pro" w:eastAsia="Times New Roman" w:hAnsi="Meta Pro" w:cs="Times New Roman"/>
                <w:sz w:val="20"/>
                <w:szCs w:val="20"/>
                <w:lang w:eastAsia="en-AU"/>
              </w:rPr>
            </w:pPr>
          </w:p>
        </w:tc>
        <w:tc>
          <w:tcPr>
            <w:tcW w:w="1337" w:type="dxa"/>
            <w:tcBorders>
              <w:top w:val="nil"/>
              <w:left w:val="nil"/>
              <w:bottom w:val="nil"/>
              <w:right w:val="nil"/>
            </w:tcBorders>
            <w:shd w:val="clear" w:color="auto" w:fill="auto"/>
            <w:noWrap/>
            <w:vAlign w:val="bottom"/>
            <w:hideMark/>
          </w:tcPr>
          <w:p w14:paraId="5ABA7B3D"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bottom"/>
            <w:hideMark/>
          </w:tcPr>
          <w:p w14:paraId="3F16CC2B" w14:textId="77777777" w:rsidR="00F65618" w:rsidRPr="00701B39" w:rsidRDefault="00F65618" w:rsidP="00E607DA">
            <w:pPr>
              <w:rPr>
                <w:rFonts w:ascii="Meta Pro" w:eastAsia="Times New Roman" w:hAnsi="Meta Pro" w:cs="Times New Roman"/>
                <w:sz w:val="20"/>
                <w:szCs w:val="20"/>
                <w:lang w:eastAsia="en-AU"/>
              </w:rPr>
            </w:pPr>
          </w:p>
        </w:tc>
        <w:tc>
          <w:tcPr>
            <w:tcW w:w="1332" w:type="dxa"/>
            <w:tcBorders>
              <w:top w:val="nil"/>
              <w:left w:val="nil"/>
              <w:bottom w:val="nil"/>
              <w:right w:val="nil"/>
            </w:tcBorders>
            <w:shd w:val="clear" w:color="auto" w:fill="auto"/>
            <w:noWrap/>
            <w:vAlign w:val="bottom"/>
            <w:hideMark/>
          </w:tcPr>
          <w:p w14:paraId="68A374DF"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bottom"/>
            <w:hideMark/>
          </w:tcPr>
          <w:p w14:paraId="61C77463" w14:textId="77777777" w:rsidR="00F65618" w:rsidRPr="00701B39" w:rsidRDefault="00F65618" w:rsidP="00E607DA">
            <w:pPr>
              <w:rPr>
                <w:rFonts w:ascii="Meta Pro" w:eastAsia="Times New Roman" w:hAnsi="Meta Pro" w:cs="Times New Roman"/>
                <w:sz w:val="20"/>
                <w:szCs w:val="20"/>
                <w:lang w:eastAsia="en-AU"/>
              </w:rPr>
            </w:pPr>
          </w:p>
        </w:tc>
        <w:tc>
          <w:tcPr>
            <w:tcW w:w="1185" w:type="dxa"/>
            <w:tcBorders>
              <w:top w:val="nil"/>
              <w:left w:val="nil"/>
              <w:bottom w:val="nil"/>
              <w:right w:val="nil"/>
            </w:tcBorders>
            <w:shd w:val="clear" w:color="auto" w:fill="auto"/>
            <w:noWrap/>
            <w:vAlign w:val="bottom"/>
            <w:hideMark/>
          </w:tcPr>
          <w:p w14:paraId="3BC8F0F4"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bottom"/>
            <w:hideMark/>
          </w:tcPr>
          <w:p w14:paraId="26D08534" w14:textId="77777777" w:rsidR="00F65618" w:rsidRPr="00701B39" w:rsidRDefault="00F65618" w:rsidP="00E607DA">
            <w:pPr>
              <w:rPr>
                <w:rFonts w:ascii="Meta Pro" w:eastAsia="Times New Roman" w:hAnsi="Meta Pro" w:cs="Times New Roman"/>
                <w:sz w:val="20"/>
                <w:szCs w:val="20"/>
                <w:lang w:eastAsia="en-AU"/>
              </w:rPr>
            </w:pPr>
          </w:p>
        </w:tc>
        <w:tc>
          <w:tcPr>
            <w:tcW w:w="1300" w:type="dxa"/>
            <w:gridSpan w:val="2"/>
            <w:tcBorders>
              <w:top w:val="nil"/>
              <w:left w:val="nil"/>
              <w:bottom w:val="nil"/>
              <w:right w:val="nil"/>
            </w:tcBorders>
            <w:shd w:val="clear" w:color="auto" w:fill="auto"/>
            <w:noWrap/>
            <w:vAlign w:val="bottom"/>
            <w:hideMark/>
          </w:tcPr>
          <w:p w14:paraId="2892D716"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bottom"/>
            <w:hideMark/>
          </w:tcPr>
          <w:p w14:paraId="24522D80" w14:textId="77777777" w:rsidR="00F65618" w:rsidRPr="00701B39" w:rsidRDefault="00F65618" w:rsidP="00E607DA">
            <w:pPr>
              <w:rPr>
                <w:rFonts w:ascii="Meta Pro" w:eastAsia="Times New Roman" w:hAnsi="Meta Pro" w:cs="Times New Roman"/>
                <w:sz w:val="20"/>
                <w:szCs w:val="20"/>
                <w:lang w:eastAsia="en-AU"/>
              </w:rPr>
            </w:pPr>
          </w:p>
        </w:tc>
        <w:tc>
          <w:tcPr>
            <w:tcW w:w="1272" w:type="dxa"/>
            <w:tcBorders>
              <w:top w:val="nil"/>
              <w:left w:val="nil"/>
              <w:bottom w:val="nil"/>
              <w:right w:val="nil"/>
            </w:tcBorders>
            <w:shd w:val="clear" w:color="auto" w:fill="auto"/>
            <w:noWrap/>
            <w:vAlign w:val="bottom"/>
            <w:hideMark/>
          </w:tcPr>
          <w:p w14:paraId="7FA85E6A"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bottom"/>
            <w:hideMark/>
          </w:tcPr>
          <w:p w14:paraId="793AFD51" w14:textId="77777777" w:rsidR="00F65618" w:rsidRPr="00701B39" w:rsidRDefault="00F65618" w:rsidP="00E607DA">
            <w:pPr>
              <w:rPr>
                <w:rFonts w:ascii="Meta Pro" w:eastAsia="Times New Roman" w:hAnsi="Meta Pro" w:cs="Times New Roman"/>
                <w:sz w:val="20"/>
                <w:szCs w:val="20"/>
                <w:lang w:eastAsia="en-AU"/>
              </w:rPr>
            </w:pPr>
          </w:p>
        </w:tc>
        <w:tc>
          <w:tcPr>
            <w:tcW w:w="1391" w:type="dxa"/>
            <w:tcBorders>
              <w:top w:val="nil"/>
              <w:left w:val="nil"/>
              <w:bottom w:val="nil"/>
              <w:right w:val="nil"/>
            </w:tcBorders>
            <w:shd w:val="clear" w:color="auto" w:fill="auto"/>
            <w:noWrap/>
            <w:vAlign w:val="bottom"/>
            <w:hideMark/>
          </w:tcPr>
          <w:p w14:paraId="67151385" w14:textId="77777777" w:rsidR="00F65618" w:rsidRPr="00701B39" w:rsidRDefault="00F65618" w:rsidP="00E607DA">
            <w:pPr>
              <w:rPr>
                <w:rFonts w:ascii="Meta Pro" w:eastAsia="Times New Roman" w:hAnsi="Meta Pro" w:cs="Times New Roman"/>
                <w:sz w:val="20"/>
                <w:szCs w:val="20"/>
                <w:lang w:eastAsia="en-AU"/>
              </w:rPr>
            </w:pPr>
          </w:p>
        </w:tc>
      </w:tr>
      <w:tr w:rsidR="00F65618" w:rsidRPr="00701B39" w14:paraId="738F141F" w14:textId="77777777" w:rsidTr="00E607DA">
        <w:trPr>
          <w:trHeight w:val="113"/>
        </w:trPr>
        <w:tc>
          <w:tcPr>
            <w:tcW w:w="4759" w:type="dxa"/>
            <w:tcBorders>
              <w:top w:val="nil"/>
              <w:left w:val="nil"/>
              <w:bottom w:val="nil"/>
              <w:right w:val="nil"/>
            </w:tcBorders>
            <w:shd w:val="clear" w:color="auto" w:fill="auto"/>
            <w:noWrap/>
            <w:vAlign w:val="center"/>
            <w:hideMark/>
          </w:tcPr>
          <w:p w14:paraId="021E421A" w14:textId="77777777" w:rsidR="00F65618" w:rsidRPr="00701B39" w:rsidRDefault="00F65618" w:rsidP="00E607DA">
            <w:pPr>
              <w:rPr>
                <w:rFonts w:ascii="Meta Pro" w:eastAsia="Times New Roman" w:hAnsi="Meta Pro" w:cs="Times New Roman"/>
                <w:sz w:val="20"/>
                <w:szCs w:val="20"/>
                <w:lang w:eastAsia="en-AU"/>
              </w:rPr>
            </w:pPr>
          </w:p>
        </w:tc>
        <w:tc>
          <w:tcPr>
            <w:tcW w:w="1260" w:type="dxa"/>
            <w:tcBorders>
              <w:top w:val="nil"/>
              <w:left w:val="nil"/>
              <w:bottom w:val="nil"/>
              <w:right w:val="nil"/>
            </w:tcBorders>
            <w:shd w:val="clear" w:color="auto" w:fill="auto"/>
            <w:noWrap/>
            <w:vAlign w:val="center"/>
            <w:hideMark/>
          </w:tcPr>
          <w:p w14:paraId="5DDA7F4A"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22521B4B" w14:textId="77777777" w:rsidR="00F65618" w:rsidRPr="00701B39" w:rsidRDefault="00F65618" w:rsidP="00E607DA">
            <w:pPr>
              <w:rPr>
                <w:rFonts w:ascii="Meta Pro" w:eastAsia="Times New Roman" w:hAnsi="Meta Pro" w:cs="Times New Roman"/>
                <w:sz w:val="20"/>
                <w:szCs w:val="20"/>
                <w:lang w:eastAsia="en-AU"/>
              </w:rPr>
            </w:pPr>
          </w:p>
        </w:tc>
        <w:tc>
          <w:tcPr>
            <w:tcW w:w="1421" w:type="dxa"/>
            <w:tcBorders>
              <w:top w:val="nil"/>
              <w:left w:val="nil"/>
              <w:bottom w:val="nil"/>
              <w:right w:val="nil"/>
            </w:tcBorders>
            <w:shd w:val="clear" w:color="auto" w:fill="auto"/>
            <w:noWrap/>
            <w:vAlign w:val="center"/>
            <w:hideMark/>
          </w:tcPr>
          <w:p w14:paraId="42EDDBD2"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3A16DD62" w14:textId="77777777" w:rsidR="00F65618" w:rsidRPr="00701B39" w:rsidRDefault="00F65618" w:rsidP="00E607DA">
            <w:pPr>
              <w:jc w:val="center"/>
              <w:rPr>
                <w:rFonts w:ascii="Meta Pro" w:eastAsia="Times New Roman" w:hAnsi="Meta Pro" w:cs="Times New Roman"/>
                <w:sz w:val="20"/>
                <w:szCs w:val="20"/>
                <w:lang w:eastAsia="en-AU"/>
              </w:rPr>
            </w:pPr>
          </w:p>
        </w:tc>
        <w:tc>
          <w:tcPr>
            <w:tcW w:w="1360" w:type="dxa"/>
            <w:tcBorders>
              <w:top w:val="nil"/>
              <w:left w:val="nil"/>
              <w:bottom w:val="nil"/>
              <w:right w:val="nil"/>
            </w:tcBorders>
            <w:shd w:val="clear" w:color="auto" w:fill="auto"/>
            <w:noWrap/>
            <w:vAlign w:val="center"/>
            <w:hideMark/>
          </w:tcPr>
          <w:p w14:paraId="1A37C721"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68DEFE40" w14:textId="77777777" w:rsidR="00F65618" w:rsidRPr="00701B39" w:rsidRDefault="00F65618" w:rsidP="00E607DA">
            <w:pPr>
              <w:jc w:val="center"/>
              <w:rPr>
                <w:rFonts w:ascii="Meta Pro" w:eastAsia="Times New Roman" w:hAnsi="Meta Pro" w:cs="Times New Roman"/>
                <w:sz w:val="20"/>
                <w:szCs w:val="20"/>
                <w:lang w:eastAsia="en-AU"/>
              </w:rPr>
            </w:pPr>
          </w:p>
        </w:tc>
        <w:tc>
          <w:tcPr>
            <w:tcW w:w="1337" w:type="dxa"/>
            <w:tcBorders>
              <w:top w:val="nil"/>
              <w:left w:val="nil"/>
              <w:bottom w:val="nil"/>
              <w:right w:val="nil"/>
            </w:tcBorders>
            <w:shd w:val="clear" w:color="auto" w:fill="auto"/>
            <w:noWrap/>
            <w:vAlign w:val="center"/>
            <w:hideMark/>
          </w:tcPr>
          <w:p w14:paraId="4DCCBF1B"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42CC5131" w14:textId="77777777" w:rsidR="00F65618" w:rsidRPr="00701B39" w:rsidRDefault="00F65618" w:rsidP="00E607DA">
            <w:pPr>
              <w:jc w:val="center"/>
              <w:rPr>
                <w:rFonts w:ascii="Meta Pro" w:eastAsia="Times New Roman" w:hAnsi="Meta Pro" w:cs="Times New Roman"/>
                <w:sz w:val="20"/>
                <w:szCs w:val="20"/>
                <w:lang w:eastAsia="en-AU"/>
              </w:rPr>
            </w:pPr>
          </w:p>
        </w:tc>
        <w:tc>
          <w:tcPr>
            <w:tcW w:w="1332" w:type="dxa"/>
            <w:tcBorders>
              <w:top w:val="nil"/>
              <w:left w:val="nil"/>
              <w:bottom w:val="nil"/>
              <w:right w:val="nil"/>
            </w:tcBorders>
            <w:shd w:val="clear" w:color="auto" w:fill="auto"/>
            <w:noWrap/>
            <w:vAlign w:val="center"/>
            <w:hideMark/>
          </w:tcPr>
          <w:p w14:paraId="33538B3C"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27114CBF" w14:textId="77777777" w:rsidR="00F65618" w:rsidRPr="00701B39" w:rsidRDefault="00F65618" w:rsidP="00E607DA">
            <w:pPr>
              <w:jc w:val="center"/>
              <w:rPr>
                <w:rFonts w:ascii="Meta Pro" w:eastAsia="Times New Roman" w:hAnsi="Meta Pro" w:cs="Times New Roman"/>
                <w:sz w:val="20"/>
                <w:szCs w:val="20"/>
                <w:lang w:eastAsia="en-AU"/>
              </w:rPr>
            </w:pPr>
          </w:p>
        </w:tc>
        <w:tc>
          <w:tcPr>
            <w:tcW w:w="1185" w:type="dxa"/>
            <w:tcBorders>
              <w:top w:val="nil"/>
              <w:left w:val="nil"/>
              <w:bottom w:val="nil"/>
              <w:right w:val="nil"/>
            </w:tcBorders>
            <w:shd w:val="clear" w:color="auto" w:fill="auto"/>
            <w:noWrap/>
            <w:vAlign w:val="center"/>
            <w:hideMark/>
          </w:tcPr>
          <w:p w14:paraId="5DBA0DF5"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45B65049" w14:textId="77777777" w:rsidR="00F65618" w:rsidRPr="00701B39" w:rsidRDefault="00F65618" w:rsidP="00E607DA">
            <w:pPr>
              <w:jc w:val="center"/>
              <w:rPr>
                <w:rFonts w:ascii="Meta Pro" w:eastAsia="Times New Roman" w:hAnsi="Meta Pro" w:cs="Times New Roman"/>
                <w:sz w:val="20"/>
                <w:szCs w:val="20"/>
                <w:lang w:eastAsia="en-AU"/>
              </w:rPr>
            </w:pPr>
          </w:p>
        </w:tc>
        <w:tc>
          <w:tcPr>
            <w:tcW w:w="1300" w:type="dxa"/>
            <w:gridSpan w:val="2"/>
            <w:tcBorders>
              <w:top w:val="nil"/>
              <w:left w:val="nil"/>
              <w:bottom w:val="nil"/>
              <w:right w:val="nil"/>
            </w:tcBorders>
            <w:shd w:val="clear" w:color="auto" w:fill="auto"/>
            <w:noWrap/>
            <w:vAlign w:val="center"/>
            <w:hideMark/>
          </w:tcPr>
          <w:p w14:paraId="7E32EA04"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02489212" w14:textId="77777777" w:rsidR="00F65618" w:rsidRPr="00701B39" w:rsidRDefault="00F65618" w:rsidP="00E607DA">
            <w:pPr>
              <w:jc w:val="center"/>
              <w:rPr>
                <w:rFonts w:ascii="Meta Pro" w:eastAsia="Times New Roman" w:hAnsi="Meta Pro" w:cs="Times New Roman"/>
                <w:sz w:val="20"/>
                <w:szCs w:val="20"/>
                <w:lang w:eastAsia="en-AU"/>
              </w:rPr>
            </w:pPr>
          </w:p>
        </w:tc>
        <w:tc>
          <w:tcPr>
            <w:tcW w:w="1272" w:type="dxa"/>
            <w:tcBorders>
              <w:top w:val="nil"/>
              <w:left w:val="nil"/>
              <w:bottom w:val="nil"/>
              <w:right w:val="nil"/>
            </w:tcBorders>
            <w:shd w:val="clear" w:color="auto" w:fill="auto"/>
            <w:noWrap/>
            <w:vAlign w:val="center"/>
            <w:hideMark/>
          </w:tcPr>
          <w:p w14:paraId="35185E55" w14:textId="77777777" w:rsidR="00F65618" w:rsidRPr="00701B39" w:rsidRDefault="00F65618" w:rsidP="00E607DA">
            <w:pPr>
              <w:rPr>
                <w:rFonts w:ascii="Meta Pro" w:eastAsia="Times New Roman" w:hAnsi="Meta Pro" w:cs="Times New Roman"/>
                <w:sz w:val="20"/>
                <w:szCs w:val="20"/>
                <w:lang w:eastAsia="en-AU"/>
              </w:rPr>
            </w:pPr>
          </w:p>
        </w:tc>
        <w:tc>
          <w:tcPr>
            <w:tcW w:w="58" w:type="dxa"/>
            <w:tcBorders>
              <w:top w:val="nil"/>
              <w:left w:val="nil"/>
              <w:bottom w:val="nil"/>
              <w:right w:val="nil"/>
            </w:tcBorders>
            <w:shd w:val="clear" w:color="auto" w:fill="auto"/>
            <w:noWrap/>
            <w:vAlign w:val="center"/>
            <w:hideMark/>
          </w:tcPr>
          <w:p w14:paraId="02E7B9A7" w14:textId="77777777" w:rsidR="00F65618" w:rsidRPr="00701B39" w:rsidRDefault="00F65618" w:rsidP="00E607DA">
            <w:pPr>
              <w:jc w:val="center"/>
              <w:rPr>
                <w:rFonts w:ascii="Meta Pro" w:eastAsia="Times New Roman" w:hAnsi="Meta Pro" w:cs="Times New Roman"/>
                <w:sz w:val="20"/>
                <w:szCs w:val="20"/>
                <w:lang w:eastAsia="en-AU"/>
              </w:rPr>
            </w:pPr>
          </w:p>
        </w:tc>
        <w:tc>
          <w:tcPr>
            <w:tcW w:w="1391" w:type="dxa"/>
            <w:tcBorders>
              <w:top w:val="nil"/>
              <w:left w:val="nil"/>
              <w:bottom w:val="nil"/>
              <w:right w:val="nil"/>
            </w:tcBorders>
            <w:shd w:val="clear" w:color="auto" w:fill="auto"/>
            <w:noWrap/>
            <w:vAlign w:val="center"/>
            <w:hideMark/>
          </w:tcPr>
          <w:p w14:paraId="0EC9ECD3" w14:textId="77777777" w:rsidR="00F65618" w:rsidRPr="00701B39" w:rsidRDefault="00F65618" w:rsidP="00E607DA">
            <w:pPr>
              <w:rPr>
                <w:rFonts w:ascii="Meta Pro" w:eastAsia="Times New Roman" w:hAnsi="Meta Pro" w:cs="Times New Roman"/>
                <w:sz w:val="20"/>
                <w:szCs w:val="20"/>
                <w:lang w:eastAsia="en-AU"/>
              </w:rPr>
            </w:pPr>
          </w:p>
        </w:tc>
      </w:tr>
      <w:tr w:rsidR="00F65618" w:rsidRPr="00701B39" w14:paraId="3CD471E8" w14:textId="77777777" w:rsidTr="00E607DA">
        <w:trPr>
          <w:trHeight w:val="113"/>
        </w:trPr>
        <w:tc>
          <w:tcPr>
            <w:tcW w:w="4759" w:type="dxa"/>
            <w:tcBorders>
              <w:top w:val="nil"/>
              <w:left w:val="nil"/>
              <w:bottom w:val="nil"/>
              <w:right w:val="nil"/>
            </w:tcBorders>
            <w:shd w:val="clear" w:color="auto" w:fill="auto"/>
            <w:vAlign w:val="center"/>
            <w:hideMark/>
          </w:tcPr>
          <w:p w14:paraId="5303E651" w14:textId="77777777" w:rsidR="00F65618" w:rsidRPr="00701B39" w:rsidRDefault="00F65618" w:rsidP="00E607DA">
            <w:pPr>
              <w:rPr>
                <w:rFonts w:ascii="Meta Pro" w:eastAsia="Times New Roman" w:hAnsi="Meta Pro"/>
                <w:sz w:val="16"/>
                <w:szCs w:val="16"/>
                <w:lang w:eastAsia="en-AU"/>
              </w:rPr>
            </w:pPr>
            <w:r w:rsidRPr="00701B39">
              <w:rPr>
                <w:rFonts w:ascii="Meta Pro" w:eastAsia="Times New Roman" w:hAnsi="Meta Pro"/>
                <w:sz w:val="16"/>
                <w:szCs w:val="16"/>
                <w:lang w:eastAsia="en-AU"/>
              </w:rPr>
              <w:t>Financial liabilities</w:t>
            </w:r>
          </w:p>
        </w:tc>
        <w:tc>
          <w:tcPr>
            <w:tcW w:w="1260" w:type="dxa"/>
            <w:tcBorders>
              <w:top w:val="nil"/>
              <w:left w:val="nil"/>
              <w:bottom w:val="nil"/>
              <w:right w:val="nil"/>
            </w:tcBorders>
            <w:shd w:val="clear" w:color="auto" w:fill="auto"/>
            <w:noWrap/>
            <w:vAlign w:val="center"/>
            <w:hideMark/>
          </w:tcPr>
          <w:p w14:paraId="57A79168"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 xml:space="preserve">279,787 </w:t>
            </w:r>
          </w:p>
        </w:tc>
        <w:tc>
          <w:tcPr>
            <w:tcW w:w="58" w:type="dxa"/>
            <w:tcBorders>
              <w:top w:val="nil"/>
              <w:left w:val="nil"/>
              <w:bottom w:val="nil"/>
              <w:right w:val="nil"/>
            </w:tcBorders>
            <w:shd w:val="clear" w:color="auto" w:fill="auto"/>
            <w:noWrap/>
            <w:vAlign w:val="center"/>
            <w:hideMark/>
          </w:tcPr>
          <w:p w14:paraId="528236C5" w14:textId="77777777" w:rsidR="00F65618" w:rsidRPr="00701B39" w:rsidRDefault="00F65618" w:rsidP="00E607DA">
            <w:pPr>
              <w:jc w:val="right"/>
              <w:rPr>
                <w:rFonts w:ascii="Meta Pro" w:eastAsia="Times New Roman" w:hAnsi="Meta Pro"/>
                <w:sz w:val="16"/>
                <w:szCs w:val="16"/>
                <w:lang w:eastAsia="en-AU"/>
              </w:rPr>
            </w:pPr>
          </w:p>
        </w:tc>
        <w:tc>
          <w:tcPr>
            <w:tcW w:w="1421" w:type="dxa"/>
            <w:tcBorders>
              <w:top w:val="nil"/>
              <w:left w:val="nil"/>
              <w:bottom w:val="nil"/>
              <w:right w:val="nil"/>
            </w:tcBorders>
            <w:shd w:val="clear" w:color="auto" w:fill="auto"/>
            <w:noWrap/>
            <w:vAlign w:val="center"/>
            <w:hideMark/>
          </w:tcPr>
          <w:p w14:paraId="687C044C"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 xml:space="preserve">414,622 </w:t>
            </w:r>
          </w:p>
        </w:tc>
        <w:tc>
          <w:tcPr>
            <w:tcW w:w="58" w:type="dxa"/>
            <w:tcBorders>
              <w:top w:val="nil"/>
              <w:left w:val="nil"/>
              <w:bottom w:val="nil"/>
              <w:right w:val="nil"/>
            </w:tcBorders>
            <w:shd w:val="clear" w:color="auto" w:fill="auto"/>
            <w:noWrap/>
            <w:vAlign w:val="center"/>
            <w:hideMark/>
          </w:tcPr>
          <w:p w14:paraId="78BDC48D" w14:textId="77777777" w:rsidR="00F65618" w:rsidRPr="00701B39" w:rsidRDefault="00F65618" w:rsidP="00E607DA">
            <w:pPr>
              <w:jc w:val="right"/>
              <w:rPr>
                <w:rFonts w:ascii="Meta Pro" w:eastAsia="Times New Roman" w:hAnsi="Meta Pro"/>
                <w:sz w:val="16"/>
                <w:szCs w:val="16"/>
                <w:lang w:eastAsia="en-AU"/>
              </w:rPr>
            </w:pPr>
          </w:p>
        </w:tc>
        <w:tc>
          <w:tcPr>
            <w:tcW w:w="1360" w:type="dxa"/>
            <w:tcBorders>
              <w:top w:val="nil"/>
              <w:left w:val="nil"/>
              <w:bottom w:val="nil"/>
              <w:right w:val="nil"/>
            </w:tcBorders>
            <w:shd w:val="clear" w:color="auto" w:fill="auto"/>
            <w:noWrap/>
            <w:vAlign w:val="center"/>
            <w:hideMark/>
          </w:tcPr>
          <w:p w14:paraId="232A5979"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 xml:space="preserve">- </w:t>
            </w:r>
          </w:p>
        </w:tc>
        <w:tc>
          <w:tcPr>
            <w:tcW w:w="58" w:type="dxa"/>
            <w:tcBorders>
              <w:top w:val="nil"/>
              <w:left w:val="nil"/>
              <w:bottom w:val="nil"/>
              <w:right w:val="nil"/>
            </w:tcBorders>
            <w:shd w:val="clear" w:color="auto" w:fill="auto"/>
            <w:noWrap/>
            <w:vAlign w:val="center"/>
            <w:hideMark/>
          </w:tcPr>
          <w:p w14:paraId="2AB7415D" w14:textId="77777777" w:rsidR="00F65618" w:rsidRPr="00701B39" w:rsidRDefault="00F65618" w:rsidP="00E607DA">
            <w:pPr>
              <w:jc w:val="right"/>
              <w:rPr>
                <w:rFonts w:ascii="Meta Pro" w:eastAsia="Times New Roman" w:hAnsi="Meta Pro"/>
                <w:sz w:val="16"/>
                <w:szCs w:val="16"/>
                <w:lang w:eastAsia="en-AU"/>
              </w:rPr>
            </w:pPr>
          </w:p>
        </w:tc>
        <w:tc>
          <w:tcPr>
            <w:tcW w:w="1337" w:type="dxa"/>
            <w:tcBorders>
              <w:top w:val="nil"/>
              <w:left w:val="nil"/>
              <w:bottom w:val="nil"/>
              <w:right w:val="nil"/>
            </w:tcBorders>
            <w:shd w:val="clear" w:color="auto" w:fill="auto"/>
            <w:noWrap/>
            <w:vAlign w:val="center"/>
            <w:hideMark/>
          </w:tcPr>
          <w:p w14:paraId="53534E6C"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 xml:space="preserve">- </w:t>
            </w:r>
          </w:p>
        </w:tc>
        <w:tc>
          <w:tcPr>
            <w:tcW w:w="58" w:type="dxa"/>
            <w:tcBorders>
              <w:top w:val="nil"/>
              <w:left w:val="nil"/>
              <w:bottom w:val="nil"/>
              <w:right w:val="nil"/>
            </w:tcBorders>
            <w:shd w:val="clear" w:color="auto" w:fill="auto"/>
            <w:noWrap/>
            <w:vAlign w:val="center"/>
            <w:hideMark/>
          </w:tcPr>
          <w:p w14:paraId="3DF46392" w14:textId="77777777" w:rsidR="00F65618" w:rsidRPr="00701B39" w:rsidRDefault="00F65618" w:rsidP="00E607DA">
            <w:pPr>
              <w:jc w:val="right"/>
              <w:rPr>
                <w:rFonts w:ascii="Meta Pro" w:eastAsia="Times New Roman" w:hAnsi="Meta Pro"/>
                <w:sz w:val="16"/>
                <w:szCs w:val="16"/>
                <w:lang w:eastAsia="en-AU"/>
              </w:rPr>
            </w:pPr>
          </w:p>
        </w:tc>
        <w:tc>
          <w:tcPr>
            <w:tcW w:w="1332" w:type="dxa"/>
            <w:tcBorders>
              <w:top w:val="nil"/>
              <w:left w:val="nil"/>
              <w:bottom w:val="nil"/>
              <w:right w:val="nil"/>
            </w:tcBorders>
            <w:shd w:val="clear" w:color="auto" w:fill="auto"/>
            <w:noWrap/>
            <w:vAlign w:val="center"/>
            <w:hideMark/>
          </w:tcPr>
          <w:p w14:paraId="639CA5D0"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 xml:space="preserve">- </w:t>
            </w:r>
          </w:p>
        </w:tc>
        <w:tc>
          <w:tcPr>
            <w:tcW w:w="58" w:type="dxa"/>
            <w:tcBorders>
              <w:top w:val="nil"/>
              <w:left w:val="nil"/>
              <w:bottom w:val="nil"/>
              <w:right w:val="nil"/>
            </w:tcBorders>
            <w:shd w:val="clear" w:color="auto" w:fill="auto"/>
            <w:noWrap/>
            <w:vAlign w:val="center"/>
            <w:hideMark/>
          </w:tcPr>
          <w:p w14:paraId="0B920B3C" w14:textId="77777777" w:rsidR="00F65618" w:rsidRPr="00701B39" w:rsidRDefault="00F65618" w:rsidP="00E607DA">
            <w:pPr>
              <w:jc w:val="right"/>
              <w:rPr>
                <w:rFonts w:ascii="Meta Pro" w:eastAsia="Times New Roman" w:hAnsi="Meta Pro"/>
                <w:sz w:val="16"/>
                <w:szCs w:val="16"/>
                <w:lang w:eastAsia="en-AU"/>
              </w:rPr>
            </w:pPr>
          </w:p>
        </w:tc>
        <w:tc>
          <w:tcPr>
            <w:tcW w:w="1185" w:type="dxa"/>
            <w:tcBorders>
              <w:top w:val="nil"/>
              <w:left w:val="nil"/>
              <w:bottom w:val="nil"/>
              <w:right w:val="nil"/>
            </w:tcBorders>
            <w:shd w:val="clear" w:color="auto" w:fill="auto"/>
            <w:noWrap/>
            <w:vAlign w:val="center"/>
            <w:hideMark/>
          </w:tcPr>
          <w:p w14:paraId="7CC5BB22"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 xml:space="preserve">- </w:t>
            </w:r>
          </w:p>
        </w:tc>
        <w:tc>
          <w:tcPr>
            <w:tcW w:w="58" w:type="dxa"/>
            <w:tcBorders>
              <w:top w:val="nil"/>
              <w:left w:val="nil"/>
              <w:bottom w:val="nil"/>
              <w:right w:val="nil"/>
            </w:tcBorders>
            <w:shd w:val="clear" w:color="auto" w:fill="auto"/>
            <w:noWrap/>
            <w:vAlign w:val="center"/>
            <w:hideMark/>
          </w:tcPr>
          <w:p w14:paraId="48A90C59" w14:textId="77777777" w:rsidR="00F65618" w:rsidRPr="00701B39" w:rsidRDefault="00F65618" w:rsidP="00E607DA">
            <w:pPr>
              <w:jc w:val="right"/>
              <w:rPr>
                <w:rFonts w:ascii="Meta Pro" w:eastAsia="Times New Roman" w:hAnsi="Meta Pro"/>
                <w:sz w:val="16"/>
                <w:szCs w:val="16"/>
                <w:lang w:eastAsia="en-AU"/>
              </w:rPr>
            </w:pPr>
          </w:p>
        </w:tc>
        <w:tc>
          <w:tcPr>
            <w:tcW w:w="1300" w:type="dxa"/>
            <w:gridSpan w:val="2"/>
            <w:tcBorders>
              <w:top w:val="nil"/>
              <w:left w:val="nil"/>
              <w:bottom w:val="nil"/>
              <w:right w:val="nil"/>
            </w:tcBorders>
            <w:shd w:val="clear" w:color="auto" w:fill="auto"/>
            <w:noWrap/>
            <w:vAlign w:val="center"/>
            <w:hideMark/>
          </w:tcPr>
          <w:p w14:paraId="184B9C0F"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 xml:space="preserve">- </w:t>
            </w:r>
          </w:p>
        </w:tc>
        <w:tc>
          <w:tcPr>
            <w:tcW w:w="58" w:type="dxa"/>
            <w:tcBorders>
              <w:top w:val="nil"/>
              <w:left w:val="nil"/>
              <w:bottom w:val="nil"/>
              <w:right w:val="nil"/>
            </w:tcBorders>
            <w:shd w:val="clear" w:color="auto" w:fill="auto"/>
            <w:noWrap/>
            <w:vAlign w:val="center"/>
            <w:hideMark/>
          </w:tcPr>
          <w:p w14:paraId="27AEAA3E" w14:textId="77777777" w:rsidR="00F65618" w:rsidRPr="00701B39" w:rsidRDefault="00F65618" w:rsidP="00E607DA">
            <w:pPr>
              <w:jc w:val="right"/>
              <w:rPr>
                <w:rFonts w:ascii="Meta Pro" w:eastAsia="Times New Roman" w:hAnsi="Meta Pro"/>
                <w:sz w:val="16"/>
                <w:szCs w:val="16"/>
                <w:lang w:eastAsia="en-AU"/>
              </w:rPr>
            </w:pPr>
          </w:p>
        </w:tc>
        <w:tc>
          <w:tcPr>
            <w:tcW w:w="1272" w:type="dxa"/>
            <w:tcBorders>
              <w:top w:val="nil"/>
              <w:left w:val="nil"/>
              <w:bottom w:val="nil"/>
              <w:right w:val="nil"/>
            </w:tcBorders>
            <w:shd w:val="clear" w:color="auto" w:fill="auto"/>
            <w:noWrap/>
            <w:vAlign w:val="center"/>
            <w:hideMark/>
          </w:tcPr>
          <w:p w14:paraId="72C5C83D"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 </w:t>
            </w:r>
          </w:p>
        </w:tc>
        <w:tc>
          <w:tcPr>
            <w:tcW w:w="58" w:type="dxa"/>
            <w:tcBorders>
              <w:top w:val="nil"/>
              <w:left w:val="nil"/>
              <w:bottom w:val="nil"/>
              <w:right w:val="nil"/>
            </w:tcBorders>
            <w:shd w:val="clear" w:color="auto" w:fill="auto"/>
            <w:noWrap/>
            <w:vAlign w:val="center"/>
            <w:hideMark/>
          </w:tcPr>
          <w:p w14:paraId="289FC373" w14:textId="77777777" w:rsidR="00F65618" w:rsidRPr="00701B39" w:rsidRDefault="00F65618" w:rsidP="00E607DA">
            <w:pPr>
              <w:jc w:val="right"/>
              <w:rPr>
                <w:rFonts w:ascii="Meta Pro" w:eastAsia="Times New Roman" w:hAnsi="Meta Pro"/>
                <w:sz w:val="16"/>
                <w:szCs w:val="16"/>
                <w:lang w:eastAsia="en-AU"/>
              </w:rPr>
            </w:pPr>
          </w:p>
        </w:tc>
        <w:tc>
          <w:tcPr>
            <w:tcW w:w="1391" w:type="dxa"/>
            <w:tcBorders>
              <w:top w:val="nil"/>
              <w:left w:val="nil"/>
              <w:bottom w:val="nil"/>
              <w:right w:val="nil"/>
            </w:tcBorders>
            <w:shd w:val="clear" w:color="auto" w:fill="auto"/>
            <w:noWrap/>
            <w:vAlign w:val="center"/>
            <w:hideMark/>
          </w:tcPr>
          <w:p w14:paraId="1419CCDA"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694,409 </w:t>
            </w:r>
          </w:p>
        </w:tc>
      </w:tr>
      <w:tr w:rsidR="00F65618" w:rsidRPr="00701B39" w14:paraId="39ACDC53" w14:textId="77777777" w:rsidTr="00E607DA">
        <w:trPr>
          <w:trHeight w:val="113"/>
        </w:trPr>
        <w:tc>
          <w:tcPr>
            <w:tcW w:w="4759" w:type="dxa"/>
            <w:tcBorders>
              <w:top w:val="nil"/>
              <w:left w:val="nil"/>
              <w:bottom w:val="nil"/>
              <w:right w:val="nil"/>
            </w:tcBorders>
            <w:shd w:val="clear" w:color="auto" w:fill="auto"/>
            <w:vAlign w:val="center"/>
            <w:hideMark/>
          </w:tcPr>
          <w:p w14:paraId="3D22994A" w14:textId="77777777" w:rsidR="00F65618" w:rsidRPr="00701B39" w:rsidRDefault="00F65618" w:rsidP="00E607DA">
            <w:pPr>
              <w:rPr>
                <w:rFonts w:ascii="Meta Pro" w:eastAsia="Times New Roman" w:hAnsi="Meta Pro"/>
                <w:sz w:val="16"/>
                <w:szCs w:val="16"/>
                <w:lang w:eastAsia="en-AU"/>
              </w:rPr>
            </w:pPr>
            <w:r w:rsidRPr="00701B39">
              <w:rPr>
                <w:rFonts w:ascii="Meta Pro" w:eastAsia="Times New Roman" w:hAnsi="Meta Pro"/>
                <w:sz w:val="16"/>
                <w:szCs w:val="16"/>
                <w:lang w:eastAsia="en-AU"/>
              </w:rPr>
              <w:t>Unearned revenue</w:t>
            </w:r>
          </w:p>
        </w:tc>
        <w:tc>
          <w:tcPr>
            <w:tcW w:w="1260" w:type="dxa"/>
            <w:tcBorders>
              <w:top w:val="nil"/>
              <w:left w:val="nil"/>
              <w:bottom w:val="nil"/>
              <w:right w:val="nil"/>
            </w:tcBorders>
            <w:shd w:val="clear" w:color="auto" w:fill="auto"/>
            <w:noWrap/>
            <w:vAlign w:val="center"/>
            <w:hideMark/>
          </w:tcPr>
          <w:p w14:paraId="735F74B6"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 xml:space="preserve">- </w:t>
            </w:r>
          </w:p>
        </w:tc>
        <w:tc>
          <w:tcPr>
            <w:tcW w:w="58" w:type="dxa"/>
            <w:tcBorders>
              <w:top w:val="nil"/>
              <w:left w:val="nil"/>
              <w:bottom w:val="nil"/>
              <w:right w:val="nil"/>
            </w:tcBorders>
            <w:shd w:val="clear" w:color="auto" w:fill="auto"/>
            <w:noWrap/>
            <w:vAlign w:val="center"/>
            <w:hideMark/>
          </w:tcPr>
          <w:p w14:paraId="300D593D" w14:textId="77777777" w:rsidR="00F65618" w:rsidRPr="00701B39" w:rsidRDefault="00F65618" w:rsidP="00E607DA">
            <w:pPr>
              <w:jc w:val="right"/>
              <w:rPr>
                <w:rFonts w:ascii="Meta Pro" w:eastAsia="Times New Roman" w:hAnsi="Meta Pro"/>
                <w:sz w:val="16"/>
                <w:szCs w:val="16"/>
                <w:lang w:eastAsia="en-AU"/>
              </w:rPr>
            </w:pPr>
          </w:p>
        </w:tc>
        <w:tc>
          <w:tcPr>
            <w:tcW w:w="1421" w:type="dxa"/>
            <w:tcBorders>
              <w:top w:val="nil"/>
              <w:left w:val="nil"/>
              <w:bottom w:val="nil"/>
              <w:right w:val="nil"/>
            </w:tcBorders>
            <w:shd w:val="clear" w:color="auto" w:fill="auto"/>
            <w:noWrap/>
            <w:vAlign w:val="center"/>
            <w:hideMark/>
          </w:tcPr>
          <w:p w14:paraId="0B253B07"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 xml:space="preserve">- </w:t>
            </w:r>
          </w:p>
        </w:tc>
        <w:tc>
          <w:tcPr>
            <w:tcW w:w="58" w:type="dxa"/>
            <w:tcBorders>
              <w:top w:val="nil"/>
              <w:left w:val="nil"/>
              <w:bottom w:val="nil"/>
              <w:right w:val="nil"/>
            </w:tcBorders>
            <w:shd w:val="clear" w:color="auto" w:fill="auto"/>
            <w:noWrap/>
            <w:vAlign w:val="center"/>
            <w:hideMark/>
          </w:tcPr>
          <w:p w14:paraId="2E56220F" w14:textId="77777777" w:rsidR="00F65618" w:rsidRPr="00701B39" w:rsidRDefault="00F65618" w:rsidP="00E607DA">
            <w:pPr>
              <w:jc w:val="right"/>
              <w:rPr>
                <w:rFonts w:ascii="Meta Pro" w:eastAsia="Times New Roman" w:hAnsi="Meta Pro"/>
                <w:sz w:val="16"/>
                <w:szCs w:val="16"/>
                <w:lang w:eastAsia="en-AU"/>
              </w:rPr>
            </w:pPr>
          </w:p>
        </w:tc>
        <w:tc>
          <w:tcPr>
            <w:tcW w:w="1360" w:type="dxa"/>
            <w:tcBorders>
              <w:top w:val="nil"/>
              <w:left w:val="nil"/>
              <w:bottom w:val="nil"/>
              <w:right w:val="nil"/>
            </w:tcBorders>
            <w:shd w:val="clear" w:color="auto" w:fill="auto"/>
            <w:noWrap/>
            <w:vAlign w:val="center"/>
            <w:hideMark/>
          </w:tcPr>
          <w:p w14:paraId="39655ADD"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 xml:space="preserve">4,228,247 </w:t>
            </w:r>
          </w:p>
        </w:tc>
        <w:tc>
          <w:tcPr>
            <w:tcW w:w="58" w:type="dxa"/>
            <w:tcBorders>
              <w:top w:val="nil"/>
              <w:left w:val="nil"/>
              <w:bottom w:val="nil"/>
              <w:right w:val="nil"/>
            </w:tcBorders>
            <w:shd w:val="clear" w:color="auto" w:fill="auto"/>
            <w:noWrap/>
            <w:vAlign w:val="center"/>
            <w:hideMark/>
          </w:tcPr>
          <w:p w14:paraId="005B99B8" w14:textId="77777777" w:rsidR="00F65618" w:rsidRPr="00701B39" w:rsidRDefault="00F65618" w:rsidP="00E607DA">
            <w:pPr>
              <w:jc w:val="right"/>
              <w:rPr>
                <w:rFonts w:ascii="Meta Pro" w:eastAsia="Times New Roman" w:hAnsi="Meta Pro"/>
                <w:sz w:val="16"/>
                <w:szCs w:val="16"/>
                <w:lang w:eastAsia="en-AU"/>
              </w:rPr>
            </w:pPr>
          </w:p>
        </w:tc>
        <w:tc>
          <w:tcPr>
            <w:tcW w:w="1337" w:type="dxa"/>
            <w:tcBorders>
              <w:top w:val="nil"/>
              <w:left w:val="nil"/>
              <w:bottom w:val="nil"/>
              <w:right w:val="nil"/>
            </w:tcBorders>
            <w:shd w:val="clear" w:color="auto" w:fill="auto"/>
            <w:noWrap/>
            <w:vAlign w:val="center"/>
            <w:hideMark/>
          </w:tcPr>
          <w:p w14:paraId="5524DB9E"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 xml:space="preserve">1,796,195 </w:t>
            </w:r>
          </w:p>
        </w:tc>
        <w:tc>
          <w:tcPr>
            <w:tcW w:w="58" w:type="dxa"/>
            <w:tcBorders>
              <w:top w:val="nil"/>
              <w:left w:val="nil"/>
              <w:bottom w:val="nil"/>
              <w:right w:val="nil"/>
            </w:tcBorders>
            <w:shd w:val="clear" w:color="auto" w:fill="auto"/>
            <w:noWrap/>
            <w:vAlign w:val="center"/>
            <w:hideMark/>
          </w:tcPr>
          <w:p w14:paraId="020A29F3" w14:textId="77777777" w:rsidR="00F65618" w:rsidRPr="00701B39" w:rsidRDefault="00F65618" w:rsidP="00E607DA">
            <w:pPr>
              <w:jc w:val="right"/>
              <w:rPr>
                <w:rFonts w:ascii="Meta Pro" w:eastAsia="Times New Roman" w:hAnsi="Meta Pro"/>
                <w:sz w:val="16"/>
                <w:szCs w:val="16"/>
                <w:lang w:eastAsia="en-AU"/>
              </w:rPr>
            </w:pPr>
          </w:p>
        </w:tc>
        <w:tc>
          <w:tcPr>
            <w:tcW w:w="1332" w:type="dxa"/>
            <w:tcBorders>
              <w:top w:val="nil"/>
              <w:left w:val="nil"/>
              <w:bottom w:val="nil"/>
              <w:right w:val="nil"/>
            </w:tcBorders>
            <w:shd w:val="clear" w:color="auto" w:fill="auto"/>
            <w:noWrap/>
            <w:vAlign w:val="center"/>
            <w:hideMark/>
          </w:tcPr>
          <w:p w14:paraId="5AF80034"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 xml:space="preserve">1,417,426 </w:t>
            </w:r>
          </w:p>
        </w:tc>
        <w:tc>
          <w:tcPr>
            <w:tcW w:w="58" w:type="dxa"/>
            <w:tcBorders>
              <w:top w:val="nil"/>
              <w:left w:val="nil"/>
              <w:bottom w:val="nil"/>
              <w:right w:val="nil"/>
            </w:tcBorders>
            <w:shd w:val="clear" w:color="auto" w:fill="auto"/>
            <w:noWrap/>
            <w:vAlign w:val="center"/>
            <w:hideMark/>
          </w:tcPr>
          <w:p w14:paraId="772CBC2E" w14:textId="77777777" w:rsidR="00F65618" w:rsidRPr="00701B39" w:rsidRDefault="00F65618" w:rsidP="00E607DA">
            <w:pPr>
              <w:jc w:val="right"/>
              <w:rPr>
                <w:rFonts w:ascii="Meta Pro" w:eastAsia="Times New Roman" w:hAnsi="Meta Pro"/>
                <w:sz w:val="16"/>
                <w:szCs w:val="16"/>
                <w:lang w:eastAsia="en-AU"/>
              </w:rPr>
            </w:pPr>
          </w:p>
        </w:tc>
        <w:tc>
          <w:tcPr>
            <w:tcW w:w="1185" w:type="dxa"/>
            <w:tcBorders>
              <w:top w:val="nil"/>
              <w:left w:val="nil"/>
              <w:bottom w:val="nil"/>
              <w:right w:val="nil"/>
            </w:tcBorders>
            <w:shd w:val="clear" w:color="auto" w:fill="auto"/>
            <w:noWrap/>
            <w:vAlign w:val="center"/>
            <w:hideMark/>
          </w:tcPr>
          <w:p w14:paraId="0A3C3A22"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 xml:space="preserve">41,927 </w:t>
            </w:r>
          </w:p>
        </w:tc>
        <w:tc>
          <w:tcPr>
            <w:tcW w:w="58" w:type="dxa"/>
            <w:tcBorders>
              <w:top w:val="nil"/>
              <w:left w:val="nil"/>
              <w:bottom w:val="nil"/>
              <w:right w:val="nil"/>
            </w:tcBorders>
            <w:shd w:val="clear" w:color="auto" w:fill="auto"/>
            <w:noWrap/>
            <w:vAlign w:val="center"/>
            <w:hideMark/>
          </w:tcPr>
          <w:p w14:paraId="438EE2EC" w14:textId="77777777" w:rsidR="00F65618" w:rsidRPr="00701B39" w:rsidRDefault="00F65618" w:rsidP="00E607DA">
            <w:pPr>
              <w:jc w:val="right"/>
              <w:rPr>
                <w:rFonts w:ascii="Meta Pro" w:eastAsia="Times New Roman" w:hAnsi="Meta Pro"/>
                <w:sz w:val="16"/>
                <w:szCs w:val="16"/>
                <w:lang w:eastAsia="en-AU"/>
              </w:rPr>
            </w:pPr>
          </w:p>
        </w:tc>
        <w:tc>
          <w:tcPr>
            <w:tcW w:w="1300" w:type="dxa"/>
            <w:gridSpan w:val="2"/>
            <w:tcBorders>
              <w:top w:val="nil"/>
              <w:left w:val="nil"/>
              <w:bottom w:val="nil"/>
              <w:right w:val="nil"/>
            </w:tcBorders>
            <w:shd w:val="clear" w:color="auto" w:fill="auto"/>
            <w:noWrap/>
            <w:vAlign w:val="center"/>
            <w:hideMark/>
          </w:tcPr>
          <w:p w14:paraId="5BA456E4" w14:textId="77777777" w:rsidR="00F65618" w:rsidRPr="00701B39" w:rsidRDefault="00F65618" w:rsidP="00E607DA">
            <w:pPr>
              <w:jc w:val="right"/>
              <w:rPr>
                <w:rFonts w:ascii="Meta Pro" w:eastAsia="Times New Roman" w:hAnsi="Meta Pro"/>
                <w:sz w:val="16"/>
                <w:szCs w:val="16"/>
                <w:lang w:eastAsia="en-AU"/>
              </w:rPr>
            </w:pPr>
            <w:r w:rsidRPr="00701B39">
              <w:rPr>
                <w:rFonts w:ascii="Meta Pro" w:eastAsia="Times New Roman" w:hAnsi="Meta Pro"/>
                <w:sz w:val="16"/>
                <w:szCs w:val="16"/>
                <w:lang w:eastAsia="en-AU"/>
              </w:rPr>
              <w:t xml:space="preserve">135,878 </w:t>
            </w:r>
          </w:p>
        </w:tc>
        <w:tc>
          <w:tcPr>
            <w:tcW w:w="58" w:type="dxa"/>
            <w:tcBorders>
              <w:top w:val="nil"/>
              <w:left w:val="nil"/>
              <w:bottom w:val="nil"/>
              <w:right w:val="nil"/>
            </w:tcBorders>
            <w:shd w:val="clear" w:color="auto" w:fill="auto"/>
            <w:noWrap/>
            <w:vAlign w:val="center"/>
            <w:hideMark/>
          </w:tcPr>
          <w:p w14:paraId="4AA65CE4" w14:textId="77777777" w:rsidR="00F65618" w:rsidRPr="00701B39" w:rsidRDefault="00F65618" w:rsidP="00E607DA">
            <w:pPr>
              <w:jc w:val="right"/>
              <w:rPr>
                <w:rFonts w:ascii="Meta Pro" w:eastAsia="Times New Roman" w:hAnsi="Meta Pro"/>
                <w:sz w:val="16"/>
                <w:szCs w:val="16"/>
                <w:lang w:eastAsia="en-AU"/>
              </w:rPr>
            </w:pPr>
          </w:p>
        </w:tc>
        <w:tc>
          <w:tcPr>
            <w:tcW w:w="1272" w:type="dxa"/>
            <w:tcBorders>
              <w:top w:val="nil"/>
              <w:left w:val="nil"/>
              <w:bottom w:val="nil"/>
              <w:right w:val="nil"/>
            </w:tcBorders>
            <w:shd w:val="clear" w:color="auto" w:fill="auto"/>
            <w:noWrap/>
            <w:vAlign w:val="center"/>
            <w:hideMark/>
          </w:tcPr>
          <w:p w14:paraId="6B467E87"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 </w:t>
            </w:r>
          </w:p>
        </w:tc>
        <w:tc>
          <w:tcPr>
            <w:tcW w:w="58" w:type="dxa"/>
            <w:tcBorders>
              <w:top w:val="nil"/>
              <w:left w:val="nil"/>
              <w:bottom w:val="nil"/>
              <w:right w:val="nil"/>
            </w:tcBorders>
            <w:shd w:val="clear" w:color="auto" w:fill="auto"/>
            <w:noWrap/>
            <w:vAlign w:val="center"/>
            <w:hideMark/>
          </w:tcPr>
          <w:p w14:paraId="0A70E9DF" w14:textId="77777777" w:rsidR="00F65618" w:rsidRPr="00701B39" w:rsidRDefault="00F65618" w:rsidP="00E607DA">
            <w:pPr>
              <w:jc w:val="right"/>
              <w:rPr>
                <w:rFonts w:ascii="Meta Pro" w:eastAsia="Times New Roman" w:hAnsi="Meta Pro"/>
                <w:sz w:val="16"/>
                <w:szCs w:val="16"/>
                <w:lang w:eastAsia="en-AU"/>
              </w:rPr>
            </w:pPr>
          </w:p>
        </w:tc>
        <w:tc>
          <w:tcPr>
            <w:tcW w:w="1391" w:type="dxa"/>
            <w:tcBorders>
              <w:top w:val="nil"/>
              <w:left w:val="nil"/>
              <w:bottom w:val="nil"/>
              <w:right w:val="nil"/>
            </w:tcBorders>
            <w:shd w:val="clear" w:color="auto" w:fill="auto"/>
            <w:noWrap/>
            <w:vAlign w:val="center"/>
            <w:hideMark/>
          </w:tcPr>
          <w:p w14:paraId="28C8C7FC"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7,619,673 </w:t>
            </w:r>
          </w:p>
        </w:tc>
      </w:tr>
      <w:tr w:rsidR="00F65618" w:rsidRPr="00092B22" w14:paraId="2CC0628D" w14:textId="77777777" w:rsidTr="00E607DA">
        <w:trPr>
          <w:trHeight w:val="113"/>
        </w:trPr>
        <w:tc>
          <w:tcPr>
            <w:tcW w:w="4759" w:type="dxa"/>
            <w:tcBorders>
              <w:top w:val="single" w:sz="4" w:space="0" w:color="auto"/>
              <w:left w:val="nil"/>
              <w:bottom w:val="double" w:sz="6" w:space="0" w:color="auto"/>
              <w:right w:val="nil"/>
            </w:tcBorders>
            <w:shd w:val="clear" w:color="auto" w:fill="auto"/>
            <w:noWrap/>
            <w:vAlign w:val="center"/>
            <w:hideMark/>
          </w:tcPr>
          <w:p w14:paraId="378D2476" w14:textId="77777777" w:rsidR="00F65618" w:rsidRPr="00701B39" w:rsidRDefault="00F65618" w:rsidP="00E607DA">
            <w:pPr>
              <w:rPr>
                <w:rFonts w:ascii="Meta Pro" w:eastAsia="Times New Roman" w:hAnsi="Meta Pro"/>
                <w:b/>
                <w:bCs/>
                <w:sz w:val="16"/>
                <w:szCs w:val="16"/>
                <w:lang w:eastAsia="en-AU"/>
              </w:rPr>
            </w:pPr>
            <w:r w:rsidRPr="00701B39">
              <w:rPr>
                <w:rFonts w:ascii="Meta Pro" w:eastAsia="Times New Roman" w:hAnsi="Meta Pro"/>
                <w:b/>
                <w:bCs/>
                <w:sz w:val="16"/>
                <w:szCs w:val="16"/>
                <w:lang w:eastAsia="en-AU"/>
              </w:rPr>
              <w:t>Total</w:t>
            </w:r>
          </w:p>
        </w:tc>
        <w:tc>
          <w:tcPr>
            <w:tcW w:w="1260" w:type="dxa"/>
            <w:tcBorders>
              <w:top w:val="single" w:sz="4" w:space="0" w:color="auto"/>
              <w:left w:val="nil"/>
              <w:bottom w:val="double" w:sz="6" w:space="0" w:color="auto"/>
              <w:right w:val="nil"/>
            </w:tcBorders>
            <w:shd w:val="clear" w:color="auto" w:fill="auto"/>
            <w:noWrap/>
            <w:vAlign w:val="center"/>
            <w:hideMark/>
          </w:tcPr>
          <w:p w14:paraId="3CBC8135"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279,787 </w:t>
            </w:r>
          </w:p>
        </w:tc>
        <w:tc>
          <w:tcPr>
            <w:tcW w:w="58" w:type="dxa"/>
            <w:tcBorders>
              <w:top w:val="nil"/>
              <w:left w:val="nil"/>
              <w:bottom w:val="nil"/>
              <w:right w:val="nil"/>
            </w:tcBorders>
            <w:shd w:val="clear" w:color="auto" w:fill="auto"/>
            <w:noWrap/>
            <w:vAlign w:val="center"/>
            <w:hideMark/>
          </w:tcPr>
          <w:p w14:paraId="26B5ACE4" w14:textId="77777777" w:rsidR="00F65618" w:rsidRPr="00701B39" w:rsidRDefault="00F65618" w:rsidP="00E607DA">
            <w:pPr>
              <w:jc w:val="right"/>
              <w:rPr>
                <w:rFonts w:ascii="Meta Pro" w:eastAsia="Times New Roman" w:hAnsi="Meta Pro"/>
                <w:b/>
                <w:bCs/>
                <w:sz w:val="16"/>
                <w:szCs w:val="16"/>
                <w:lang w:eastAsia="en-AU"/>
              </w:rPr>
            </w:pPr>
          </w:p>
        </w:tc>
        <w:tc>
          <w:tcPr>
            <w:tcW w:w="1421" w:type="dxa"/>
            <w:tcBorders>
              <w:top w:val="single" w:sz="4" w:space="0" w:color="auto"/>
              <w:left w:val="nil"/>
              <w:bottom w:val="double" w:sz="6" w:space="0" w:color="auto"/>
              <w:right w:val="nil"/>
            </w:tcBorders>
            <w:shd w:val="clear" w:color="auto" w:fill="auto"/>
            <w:noWrap/>
            <w:vAlign w:val="center"/>
            <w:hideMark/>
          </w:tcPr>
          <w:p w14:paraId="22B66A1E"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414,622 </w:t>
            </w:r>
          </w:p>
        </w:tc>
        <w:tc>
          <w:tcPr>
            <w:tcW w:w="58" w:type="dxa"/>
            <w:tcBorders>
              <w:top w:val="nil"/>
              <w:left w:val="nil"/>
              <w:bottom w:val="nil"/>
              <w:right w:val="nil"/>
            </w:tcBorders>
            <w:shd w:val="clear" w:color="auto" w:fill="auto"/>
            <w:noWrap/>
            <w:vAlign w:val="center"/>
            <w:hideMark/>
          </w:tcPr>
          <w:p w14:paraId="4B11B8B8" w14:textId="77777777" w:rsidR="00F65618" w:rsidRPr="00701B39" w:rsidRDefault="00F65618" w:rsidP="00E607DA">
            <w:pPr>
              <w:jc w:val="right"/>
              <w:rPr>
                <w:rFonts w:ascii="Meta Pro" w:eastAsia="Times New Roman" w:hAnsi="Meta Pro"/>
                <w:b/>
                <w:bCs/>
                <w:sz w:val="16"/>
                <w:szCs w:val="16"/>
                <w:lang w:eastAsia="en-AU"/>
              </w:rPr>
            </w:pPr>
          </w:p>
        </w:tc>
        <w:tc>
          <w:tcPr>
            <w:tcW w:w="1360" w:type="dxa"/>
            <w:tcBorders>
              <w:top w:val="single" w:sz="4" w:space="0" w:color="auto"/>
              <w:left w:val="nil"/>
              <w:bottom w:val="double" w:sz="6" w:space="0" w:color="auto"/>
              <w:right w:val="nil"/>
            </w:tcBorders>
            <w:shd w:val="clear" w:color="auto" w:fill="auto"/>
            <w:noWrap/>
            <w:vAlign w:val="center"/>
            <w:hideMark/>
          </w:tcPr>
          <w:p w14:paraId="01E8510D"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4,228,247 </w:t>
            </w:r>
          </w:p>
        </w:tc>
        <w:tc>
          <w:tcPr>
            <w:tcW w:w="58" w:type="dxa"/>
            <w:tcBorders>
              <w:top w:val="nil"/>
              <w:left w:val="nil"/>
              <w:bottom w:val="nil"/>
              <w:right w:val="nil"/>
            </w:tcBorders>
            <w:shd w:val="clear" w:color="auto" w:fill="auto"/>
            <w:noWrap/>
            <w:vAlign w:val="center"/>
            <w:hideMark/>
          </w:tcPr>
          <w:p w14:paraId="487A09E8" w14:textId="77777777" w:rsidR="00F65618" w:rsidRPr="00701B39" w:rsidRDefault="00F65618" w:rsidP="00E607DA">
            <w:pPr>
              <w:jc w:val="right"/>
              <w:rPr>
                <w:rFonts w:ascii="Meta Pro" w:eastAsia="Times New Roman" w:hAnsi="Meta Pro"/>
                <w:b/>
                <w:bCs/>
                <w:sz w:val="16"/>
                <w:szCs w:val="16"/>
                <w:lang w:eastAsia="en-AU"/>
              </w:rPr>
            </w:pPr>
          </w:p>
        </w:tc>
        <w:tc>
          <w:tcPr>
            <w:tcW w:w="1337" w:type="dxa"/>
            <w:tcBorders>
              <w:top w:val="single" w:sz="4" w:space="0" w:color="auto"/>
              <w:left w:val="nil"/>
              <w:bottom w:val="double" w:sz="6" w:space="0" w:color="auto"/>
              <w:right w:val="nil"/>
            </w:tcBorders>
            <w:shd w:val="clear" w:color="auto" w:fill="auto"/>
            <w:noWrap/>
            <w:vAlign w:val="center"/>
            <w:hideMark/>
          </w:tcPr>
          <w:p w14:paraId="0CDAED3E"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1,796,195 </w:t>
            </w:r>
          </w:p>
        </w:tc>
        <w:tc>
          <w:tcPr>
            <w:tcW w:w="58" w:type="dxa"/>
            <w:tcBorders>
              <w:top w:val="nil"/>
              <w:left w:val="nil"/>
              <w:bottom w:val="nil"/>
              <w:right w:val="nil"/>
            </w:tcBorders>
            <w:shd w:val="clear" w:color="auto" w:fill="auto"/>
            <w:noWrap/>
            <w:vAlign w:val="center"/>
            <w:hideMark/>
          </w:tcPr>
          <w:p w14:paraId="45CC137A" w14:textId="77777777" w:rsidR="00F65618" w:rsidRPr="00701B39" w:rsidRDefault="00F65618" w:rsidP="00E607DA">
            <w:pPr>
              <w:jc w:val="right"/>
              <w:rPr>
                <w:rFonts w:ascii="Meta Pro" w:eastAsia="Times New Roman" w:hAnsi="Meta Pro"/>
                <w:b/>
                <w:bCs/>
                <w:sz w:val="16"/>
                <w:szCs w:val="16"/>
                <w:lang w:eastAsia="en-AU"/>
              </w:rPr>
            </w:pPr>
          </w:p>
        </w:tc>
        <w:tc>
          <w:tcPr>
            <w:tcW w:w="1332" w:type="dxa"/>
            <w:tcBorders>
              <w:top w:val="single" w:sz="4" w:space="0" w:color="auto"/>
              <w:left w:val="nil"/>
              <w:bottom w:val="double" w:sz="6" w:space="0" w:color="auto"/>
              <w:right w:val="nil"/>
            </w:tcBorders>
            <w:shd w:val="clear" w:color="auto" w:fill="auto"/>
            <w:noWrap/>
            <w:vAlign w:val="center"/>
            <w:hideMark/>
          </w:tcPr>
          <w:p w14:paraId="411412C0"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1,417,426 </w:t>
            </w:r>
          </w:p>
        </w:tc>
        <w:tc>
          <w:tcPr>
            <w:tcW w:w="58" w:type="dxa"/>
            <w:tcBorders>
              <w:top w:val="nil"/>
              <w:left w:val="nil"/>
              <w:bottom w:val="nil"/>
              <w:right w:val="nil"/>
            </w:tcBorders>
            <w:shd w:val="clear" w:color="auto" w:fill="auto"/>
            <w:noWrap/>
            <w:vAlign w:val="center"/>
            <w:hideMark/>
          </w:tcPr>
          <w:p w14:paraId="3A202B03" w14:textId="77777777" w:rsidR="00F65618" w:rsidRPr="00701B39" w:rsidRDefault="00F65618" w:rsidP="00E607DA">
            <w:pPr>
              <w:jc w:val="right"/>
              <w:rPr>
                <w:rFonts w:ascii="Meta Pro" w:eastAsia="Times New Roman" w:hAnsi="Meta Pro"/>
                <w:b/>
                <w:bCs/>
                <w:sz w:val="16"/>
                <w:szCs w:val="16"/>
                <w:lang w:eastAsia="en-AU"/>
              </w:rPr>
            </w:pPr>
          </w:p>
        </w:tc>
        <w:tc>
          <w:tcPr>
            <w:tcW w:w="1185" w:type="dxa"/>
            <w:tcBorders>
              <w:top w:val="single" w:sz="4" w:space="0" w:color="auto"/>
              <w:left w:val="nil"/>
              <w:bottom w:val="double" w:sz="6" w:space="0" w:color="auto"/>
              <w:right w:val="nil"/>
            </w:tcBorders>
            <w:shd w:val="clear" w:color="auto" w:fill="auto"/>
            <w:noWrap/>
            <w:vAlign w:val="center"/>
            <w:hideMark/>
          </w:tcPr>
          <w:p w14:paraId="7F1EF511"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41,927 </w:t>
            </w:r>
          </w:p>
        </w:tc>
        <w:tc>
          <w:tcPr>
            <w:tcW w:w="58" w:type="dxa"/>
            <w:tcBorders>
              <w:top w:val="nil"/>
              <w:left w:val="nil"/>
              <w:bottom w:val="nil"/>
              <w:right w:val="nil"/>
            </w:tcBorders>
            <w:shd w:val="clear" w:color="auto" w:fill="auto"/>
            <w:noWrap/>
            <w:vAlign w:val="center"/>
            <w:hideMark/>
          </w:tcPr>
          <w:p w14:paraId="61AC8B5A" w14:textId="77777777" w:rsidR="00F65618" w:rsidRPr="00701B39" w:rsidRDefault="00F65618" w:rsidP="00E607DA">
            <w:pPr>
              <w:jc w:val="right"/>
              <w:rPr>
                <w:rFonts w:ascii="Meta Pro" w:eastAsia="Times New Roman" w:hAnsi="Meta Pro"/>
                <w:b/>
                <w:bCs/>
                <w:sz w:val="16"/>
                <w:szCs w:val="16"/>
                <w:lang w:eastAsia="en-AU"/>
              </w:rPr>
            </w:pPr>
          </w:p>
        </w:tc>
        <w:tc>
          <w:tcPr>
            <w:tcW w:w="1300" w:type="dxa"/>
            <w:gridSpan w:val="2"/>
            <w:tcBorders>
              <w:top w:val="single" w:sz="4" w:space="0" w:color="auto"/>
              <w:left w:val="nil"/>
              <w:bottom w:val="double" w:sz="6" w:space="0" w:color="auto"/>
              <w:right w:val="nil"/>
            </w:tcBorders>
            <w:shd w:val="clear" w:color="auto" w:fill="auto"/>
            <w:noWrap/>
            <w:vAlign w:val="center"/>
            <w:hideMark/>
          </w:tcPr>
          <w:p w14:paraId="336AF767"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135,878 </w:t>
            </w:r>
          </w:p>
        </w:tc>
        <w:tc>
          <w:tcPr>
            <w:tcW w:w="58" w:type="dxa"/>
            <w:tcBorders>
              <w:top w:val="nil"/>
              <w:left w:val="nil"/>
              <w:bottom w:val="nil"/>
              <w:right w:val="nil"/>
            </w:tcBorders>
            <w:shd w:val="clear" w:color="auto" w:fill="auto"/>
            <w:noWrap/>
            <w:vAlign w:val="center"/>
            <w:hideMark/>
          </w:tcPr>
          <w:p w14:paraId="29A1FFFD" w14:textId="77777777" w:rsidR="00F65618" w:rsidRPr="00701B39" w:rsidRDefault="00F65618" w:rsidP="00E607DA">
            <w:pPr>
              <w:jc w:val="right"/>
              <w:rPr>
                <w:rFonts w:ascii="Meta Pro" w:eastAsia="Times New Roman" w:hAnsi="Meta Pro"/>
                <w:b/>
                <w:bCs/>
                <w:sz w:val="16"/>
                <w:szCs w:val="16"/>
                <w:lang w:eastAsia="en-AU"/>
              </w:rPr>
            </w:pPr>
          </w:p>
        </w:tc>
        <w:tc>
          <w:tcPr>
            <w:tcW w:w="1272" w:type="dxa"/>
            <w:tcBorders>
              <w:top w:val="single" w:sz="4" w:space="0" w:color="auto"/>
              <w:left w:val="nil"/>
              <w:bottom w:val="double" w:sz="6" w:space="0" w:color="auto"/>
              <w:right w:val="nil"/>
            </w:tcBorders>
            <w:shd w:val="clear" w:color="auto" w:fill="auto"/>
            <w:noWrap/>
            <w:vAlign w:val="center"/>
            <w:hideMark/>
          </w:tcPr>
          <w:p w14:paraId="46E65105" w14:textId="77777777" w:rsidR="00F65618" w:rsidRPr="00701B39"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 xml:space="preserve">- </w:t>
            </w:r>
          </w:p>
        </w:tc>
        <w:tc>
          <w:tcPr>
            <w:tcW w:w="58" w:type="dxa"/>
            <w:tcBorders>
              <w:top w:val="nil"/>
              <w:left w:val="nil"/>
              <w:bottom w:val="nil"/>
              <w:right w:val="nil"/>
            </w:tcBorders>
            <w:shd w:val="clear" w:color="auto" w:fill="auto"/>
            <w:noWrap/>
            <w:vAlign w:val="center"/>
            <w:hideMark/>
          </w:tcPr>
          <w:p w14:paraId="0CBF0AEE" w14:textId="77777777" w:rsidR="00F65618" w:rsidRPr="00701B39" w:rsidRDefault="00F65618" w:rsidP="00E607DA">
            <w:pPr>
              <w:jc w:val="right"/>
              <w:rPr>
                <w:rFonts w:ascii="Meta Pro" w:eastAsia="Times New Roman" w:hAnsi="Meta Pro"/>
                <w:b/>
                <w:bCs/>
                <w:sz w:val="16"/>
                <w:szCs w:val="16"/>
                <w:lang w:eastAsia="en-AU"/>
              </w:rPr>
            </w:pPr>
          </w:p>
        </w:tc>
        <w:tc>
          <w:tcPr>
            <w:tcW w:w="1391" w:type="dxa"/>
            <w:tcBorders>
              <w:top w:val="single" w:sz="4" w:space="0" w:color="auto"/>
              <w:left w:val="nil"/>
              <w:bottom w:val="double" w:sz="6" w:space="0" w:color="auto"/>
              <w:right w:val="nil"/>
            </w:tcBorders>
            <w:shd w:val="clear" w:color="auto" w:fill="auto"/>
            <w:noWrap/>
            <w:vAlign w:val="center"/>
            <w:hideMark/>
          </w:tcPr>
          <w:p w14:paraId="18130556" w14:textId="77777777" w:rsidR="00F65618" w:rsidRPr="00092B22" w:rsidRDefault="00F65618" w:rsidP="00E607DA">
            <w:pPr>
              <w:jc w:val="right"/>
              <w:rPr>
                <w:rFonts w:ascii="Meta Pro" w:eastAsia="Times New Roman" w:hAnsi="Meta Pro"/>
                <w:b/>
                <w:bCs/>
                <w:sz w:val="16"/>
                <w:szCs w:val="16"/>
                <w:lang w:eastAsia="en-AU"/>
              </w:rPr>
            </w:pPr>
            <w:r w:rsidRPr="00701B39">
              <w:rPr>
                <w:rFonts w:ascii="Meta Pro" w:eastAsia="Times New Roman" w:hAnsi="Meta Pro"/>
                <w:b/>
                <w:bCs/>
                <w:sz w:val="16"/>
                <w:szCs w:val="16"/>
                <w:lang w:eastAsia="en-AU"/>
              </w:rPr>
              <w:t>8,314,082</w:t>
            </w:r>
            <w:r w:rsidRPr="00092B22">
              <w:rPr>
                <w:rFonts w:ascii="Meta Pro" w:eastAsia="Times New Roman" w:hAnsi="Meta Pro"/>
                <w:b/>
                <w:bCs/>
                <w:sz w:val="16"/>
                <w:szCs w:val="16"/>
                <w:lang w:eastAsia="en-AU"/>
              </w:rPr>
              <w:t xml:space="preserve"> </w:t>
            </w:r>
          </w:p>
        </w:tc>
      </w:tr>
    </w:tbl>
    <w:p w14:paraId="46CFB244" w14:textId="77777777" w:rsidR="00305C62" w:rsidRDefault="00305C62" w:rsidP="00DA0770">
      <w:pPr>
        <w:rPr>
          <w:rFonts w:ascii="Meta Pro" w:hAnsi="Meta Pro"/>
          <w:b/>
          <w:bCs/>
          <w:szCs w:val="18"/>
          <w:lang w:eastAsia="en-AU"/>
        </w:rPr>
        <w:sectPr w:rsidR="00305C62" w:rsidSect="00305C62">
          <w:pgSz w:w="16838" w:h="11906" w:orient="landscape" w:code="9"/>
          <w:pgMar w:top="1418" w:right="1418" w:bottom="1418" w:left="1418" w:header="454" w:footer="454" w:gutter="0"/>
          <w:cols w:space="708"/>
          <w:titlePg/>
          <w:docGrid w:linePitch="360"/>
        </w:sectPr>
      </w:pPr>
    </w:p>
    <w:p w14:paraId="4A940449" w14:textId="77777777" w:rsidR="005931FF" w:rsidRPr="00092B22" w:rsidRDefault="005931FF" w:rsidP="005931FF">
      <w:pPr>
        <w:spacing w:after="120" w:line="259" w:lineRule="auto"/>
        <w:rPr>
          <w:rFonts w:ascii="Meta Pro" w:hAnsi="Meta Pro"/>
          <w:b/>
          <w:bCs/>
          <w:lang w:eastAsia="en-AU"/>
        </w:rPr>
      </w:pPr>
      <w:r w:rsidRPr="00092B22">
        <w:rPr>
          <w:rFonts w:ascii="Meta Pro" w:hAnsi="Meta Pro"/>
          <w:b/>
          <w:bCs/>
          <w:lang w:eastAsia="en-AU"/>
        </w:rPr>
        <w:lastRenderedPageBreak/>
        <w:t>16      PUBLIC PRIVATE PARTNERSHIPS (continued)</w:t>
      </w:r>
    </w:p>
    <w:p w14:paraId="2B754CF9" w14:textId="77777777" w:rsidR="005931FF" w:rsidRPr="00092B22" w:rsidRDefault="005931FF" w:rsidP="005931FF">
      <w:pPr>
        <w:spacing w:after="120" w:line="259" w:lineRule="auto"/>
        <w:rPr>
          <w:rFonts w:ascii="Meta Pro" w:hAnsi="Meta Pro"/>
          <w:b/>
          <w:bCs/>
          <w:szCs w:val="18"/>
          <w:lang w:eastAsia="en-AU"/>
        </w:rPr>
      </w:pPr>
      <w:r w:rsidRPr="00092B22">
        <w:rPr>
          <w:rFonts w:ascii="Meta Pro" w:hAnsi="Meta Pro"/>
          <w:b/>
          <w:bCs/>
          <w:szCs w:val="18"/>
          <w:lang w:eastAsia="en-AU"/>
        </w:rPr>
        <w:t>SERVICE CONCESSION ARRANGEMENTS UNDER AASB 1059 (continued)</w:t>
      </w:r>
    </w:p>
    <w:p w14:paraId="4E16A7E0" w14:textId="77777777" w:rsidR="005931FF" w:rsidRPr="00092B22" w:rsidRDefault="005931FF" w:rsidP="005931FF">
      <w:pPr>
        <w:shd w:val="clear" w:color="auto" w:fill="EBEBEB"/>
        <w:spacing w:after="120"/>
        <w:ind w:left="113" w:hanging="113"/>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Accounting policy</w:t>
      </w:r>
    </w:p>
    <w:p w14:paraId="563317C9" w14:textId="77777777" w:rsidR="005931FF" w:rsidRPr="00092B22" w:rsidRDefault="005931FF" w:rsidP="005931FF">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color w:val="000000"/>
          <w:szCs w:val="18"/>
          <w:lang w:eastAsia="en-AU"/>
        </w:rPr>
        <w:t>Service concession assets are measured at current replacement cost on initial recognition or reclassification, and are subsequently measured at fair value determined using current replacement cost.</w:t>
      </w:r>
    </w:p>
    <w:p w14:paraId="01246AF1" w14:textId="77777777" w:rsidR="005931FF" w:rsidRPr="00092B22" w:rsidRDefault="005931FF" w:rsidP="005931FF">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Assets under service concession arrangements were last revalued by suitably qualified and experienced departmental engineers and various external valuers during the 2020–21 financial year. Assets under service concession arrangements consist of major plant and equipment, plant and equipment, buildings and infrastructure asset classes. </w:t>
      </w:r>
    </w:p>
    <w:p w14:paraId="6D2748C2" w14:textId="77777777" w:rsidR="005931FF" w:rsidRPr="00092B22" w:rsidRDefault="005931FF" w:rsidP="005931FF">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color w:val="000000"/>
          <w:szCs w:val="18"/>
          <w:lang w:eastAsia="en-AU"/>
        </w:rPr>
        <w:t>During 2021–22, fair values of assets under Gold Coast Light Rail - G:link, Toowoomba Bypass, Airportlink and Brisbane Airport Rail Link were remeasured using suitable indices. A full management valuation as at 31 March 2022 was completed by suitably qualified and experienced departmental engineers and staff for assets under Gateway Motorway, Logan Motorway and Port Drive.</w:t>
      </w:r>
    </w:p>
    <w:p w14:paraId="171F36F0" w14:textId="77777777" w:rsidR="005931FF" w:rsidRPr="00092B22" w:rsidRDefault="005931FF" w:rsidP="005931FF">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color w:val="000000"/>
          <w:szCs w:val="18"/>
          <w:lang w:eastAsia="en-AU"/>
        </w:rPr>
        <w:t>Major plant and equipment, plant and equipment, buildings and infrastructure asset measurement and valuation methodologies are disclosed in Note 15.</w:t>
      </w:r>
    </w:p>
    <w:p w14:paraId="238B48F7" w14:textId="77777777" w:rsidR="005931FF" w:rsidRPr="00092B22" w:rsidRDefault="005931FF" w:rsidP="005931FF">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color w:val="000000"/>
          <w:szCs w:val="18"/>
          <w:lang w:eastAsia="en-AU"/>
        </w:rPr>
        <w:t>The current replacement cost valuation of infrastructure assets undertaken by external valuers takes into consideration the cost of a similar standard asset providing the same functionality in the same location. The new asset is assumed to be constructed to current standards however with no additional functionality.</w:t>
      </w:r>
    </w:p>
    <w:p w14:paraId="317AF2EA" w14:textId="77777777" w:rsidR="005931FF" w:rsidRPr="00092B22" w:rsidRDefault="005931FF" w:rsidP="005931FF">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In accordance with AASB 13 </w:t>
      </w:r>
      <w:r w:rsidRPr="00092B22">
        <w:rPr>
          <w:rFonts w:ascii="Meta Pro" w:eastAsia="Times New Roman" w:hAnsi="Meta Pro"/>
          <w:i/>
          <w:iCs/>
          <w:color w:val="000000"/>
          <w:szCs w:val="18"/>
          <w:lang w:eastAsia="en-AU"/>
        </w:rPr>
        <w:t>Fair Value Measurement</w:t>
      </w:r>
      <w:r w:rsidRPr="00092B22">
        <w:rPr>
          <w:rFonts w:ascii="Meta Pro" w:eastAsia="Times New Roman" w:hAnsi="Meta Pro"/>
          <w:color w:val="000000"/>
          <w:szCs w:val="18"/>
          <w:lang w:eastAsia="en-AU"/>
        </w:rPr>
        <w:t>, the department's service concession assets are categorised as level 3.</w:t>
      </w:r>
    </w:p>
    <w:p w14:paraId="54C5C3E9" w14:textId="77777777" w:rsidR="005931FF" w:rsidRPr="00092B22" w:rsidRDefault="005931FF" w:rsidP="005931FF">
      <w:pPr>
        <w:shd w:val="clear" w:color="auto" w:fill="EBEBEB"/>
        <w:jc w:val="both"/>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Straight-line depreciation has been applied to all depreciable asset components and the following depreciation rates are applied in each arrangement: </w:t>
      </w:r>
    </w:p>
    <w:p w14:paraId="41F9B7BB" w14:textId="77777777" w:rsidR="005931FF" w:rsidRPr="00092B22" w:rsidRDefault="005931FF" w:rsidP="005931FF">
      <w:pPr>
        <w:shd w:val="clear" w:color="auto" w:fill="EBEBEB"/>
        <w:spacing w:line="168" w:lineRule="auto"/>
        <w:jc w:val="both"/>
        <w:rPr>
          <w:rFonts w:ascii="Meta Pro" w:eastAsia="Times New Roman" w:hAnsi="Meta Pro"/>
          <w:szCs w:val="18"/>
          <w:lang w:eastAsia="en-AU"/>
        </w:rPr>
      </w:pPr>
    </w:p>
    <w:tbl>
      <w:tblPr>
        <w:tblW w:w="9639" w:type="dxa"/>
        <w:shd w:val="clear" w:color="auto" w:fill="EBEBEB"/>
        <w:tblCellMar>
          <w:left w:w="0" w:type="dxa"/>
        </w:tblCellMar>
        <w:tblLook w:val="04A0" w:firstRow="1" w:lastRow="0" w:firstColumn="1" w:lastColumn="0" w:noHBand="0" w:noVBand="1"/>
      </w:tblPr>
      <w:tblGrid>
        <w:gridCol w:w="3392"/>
        <w:gridCol w:w="4395"/>
        <w:gridCol w:w="1852"/>
      </w:tblGrid>
      <w:tr w:rsidR="005931FF" w:rsidRPr="00092B22" w14:paraId="7B084D0A" w14:textId="77777777" w:rsidTr="00E607DA">
        <w:trPr>
          <w:cantSplit/>
          <w:trHeight w:val="23"/>
        </w:trPr>
        <w:tc>
          <w:tcPr>
            <w:tcW w:w="3392" w:type="dxa"/>
            <w:tcBorders>
              <w:top w:val="single" w:sz="8" w:space="0" w:color="auto"/>
              <w:left w:val="single" w:sz="8" w:space="0" w:color="auto"/>
              <w:bottom w:val="single" w:sz="8" w:space="0" w:color="auto"/>
              <w:right w:val="single" w:sz="8" w:space="0" w:color="000000"/>
            </w:tcBorders>
            <w:shd w:val="clear" w:color="auto" w:fill="EBEBEB"/>
            <w:noWrap/>
            <w:vAlign w:val="center"/>
            <w:hideMark/>
          </w:tcPr>
          <w:p w14:paraId="240A64F7" w14:textId="77777777" w:rsidR="005931FF" w:rsidRPr="00092B22" w:rsidRDefault="005931FF" w:rsidP="00E607DA">
            <w:pPr>
              <w:shd w:val="clear" w:color="auto" w:fill="EBEBEB"/>
              <w:jc w:val="center"/>
              <w:rPr>
                <w:rFonts w:ascii="Meta Pro" w:eastAsia="Times New Roman" w:hAnsi="Meta Pro" w:cs="Calibri"/>
                <w:b/>
                <w:bCs/>
                <w:color w:val="000000"/>
                <w:szCs w:val="18"/>
                <w:lang w:eastAsia="en-AU"/>
              </w:rPr>
            </w:pPr>
            <w:r w:rsidRPr="00092B22">
              <w:rPr>
                <w:rFonts w:ascii="Meta Pro" w:eastAsia="Times New Roman" w:hAnsi="Meta Pro" w:cs="Calibri"/>
                <w:b/>
                <w:bCs/>
                <w:color w:val="000000"/>
                <w:szCs w:val="18"/>
                <w:lang w:eastAsia="en-AU"/>
              </w:rPr>
              <w:t>Component</w:t>
            </w:r>
          </w:p>
        </w:tc>
        <w:tc>
          <w:tcPr>
            <w:tcW w:w="4395" w:type="dxa"/>
            <w:tcBorders>
              <w:top w:val="single" w:sz="8" w:space="0" w:color="auto"/>
              <w:left w:val="nil"/>
              <w:bottom w:val="single" w:sz="8" w:space="0" w:color="auto"/>
              <w:right w:val="single" w:sz="8" w:space="0" w:color="000000"/>
            </w:tcBorders>
            <w:shd w:val="clear" w:color="auto" w:fill="EBEBEB"/>
            <w:noWrap/>
            <w:vAlign w:val="center"/>
            <w:hideMark/>
          </w:tcPr>
          <w:p w14:paraId="3DD01E03" w14:textId="77777777" w:rsidR="005931FF" w:rsidRPr="00092B22" w:rsidRDefault="005931FF" w:rsidP="00E607DA">
            <w:pPr>
              <w:shd w:val="clear" w:color="auto" w:fill="EBEBEB"/>
              <w:jc w:val="center"/>
              <w:rPr>
                <w:rFonts w:ascii="Meta Pro" w:eastAsia="Times New Roman" w:hAnsi="Meta Pro" w:cs="Calibri"/>
                <w:b/>
                <w:bCs/>
                <w:color w:val="000000"/>
                <w:szCs w:val="18"/>
                <w:lang w:eastAsia="en-AU"/>
              </w:rPr>
            </w:pPr>
            <w:r w:rsidRPr="00092B22">
              <w:rPr>
                <w:rFonts w:ascii="Meta Pro" w:eastAsia="Times New Roman" w:hAnsi="Meta Pro" w:cs="Calibri"/>
                <w:b/>
                <w:bCs/>
                <w:color w:val="000000"/>
                <w:szCs w:val="18"/>
                <w:lang w:eastAsia="en-AU"/>
              </w:rPr>
              <w:t>Service concession arrangement</w:t>
            </w:r>
          </w:p>
        </w:tc>
        <w:tc>
          <w:tcPr>
            <w:tcW w:w="1852" w:type="dxa"/>
            <w:tcBorders>
              <w:top w:val="single" w:sz="8" w:space="0" w:color="auto"/>
              <w:left w:val="nil"/>
              <w:bottom w:val="single" w:sz="8" w:space="0" w:color="auto"/>
              <w:right w:val="single" w:sz="8" w:space="0" w:color="000000"/>
            </w:tcBorders>
            <w:shd w:val="clear" w:color="auto" w:fill="EBEBEB"/>
            <w:vAlign w:val="center"/>
            <w:hideMark/>
          </w:tcPr>
          <w:p w14:paraId="741C4176" w14:textId="77777777" w:rsidR="005931FF" w:rsidRPr="00092B22" w:rsidRDefault="005931FF" w:rsidP="00E607DA">
            <w:pPr>
              <w:shd w:val="clear" w:color="auto" w:fill="EBEBEB"/>
              <w:jc w:val="center"/>
              <w:rPr>
                <w:rFonts w:ascii="Meta Pro" w:eastAsia="Times New Roman" w:hAnsi="Meta Pro" w:cs="Calibri"/>
                <w:b/>
                <w:bCs/>
                <w:color w:val="000000"/>
                <w:szCs w:val="18"/>
                <w:lang w:eastAsia="en-AU"/>
              </w:rPr>
            </w:pPr>
            <w:r w:rsidRPr="00092B22">
              <w:rPr>
                <w:rFonts w:ascii="Meta Pro" w:eastAsia="Times New Roman" w:hAnsi="Meta Pro" w:cs="Calibri"/>
                <w:b/>
                <w:bCs/>
                <w:color w:val="000000"/>
                <w:szCs w:val="18"/>
                <w:lang w:eastAsia="en-AU"/>
              </w:rPr>
              <w:t>Average useful life</w:t>
            </w:r>
          </w:p>
        </w:tc>
      </w:tr>
      <w:tr w:rsidR="005931FF" w:rsidRPr="00092B22" w14:paraId="68670114" w14:textId="77777777" w:rsidTr="00E607DA">
        <w:trPr>
          <w:cantSplit/>
          <w:trHeight w:val="23"/>
        </w:trPr>
        <w:tc>
          <w:tcPr>
            <w:tcW w:w="3392" w:type="dxa"/>
            <w:tcBorders>
              <w:top w:val="nil"/>
              <w:left w:val="single" w:sz="8" w:space="0" w:color="auto"/>
              <w:bottom w:val="single" w:sz="8" w:space="0" w:color="auto"/>
              <w:right w:val="single" w:sz="8" w:space="0" w:color="000000"/>
            </w:tcBorders>
            <w:shd w:val="clear" w:color="auto" w:fill="EBEBEB"/>
            <w:noWrap/>
            <w:vAlign w:val="center"/>
            <w:hideMark/>
          </w:tcPr>
          <w:p w14:paraId="08807E89" w14:textId="77777777" w:rsidR="005931FF" w:rsidRPr="00092B22" w:rsidRDefault="005931FF" w:rsidP="00E607DA">
            <w:pPr>
              <w:shd w:val="clear" w:color="auto" w:fill="EBEBEB"/>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Buildings</w:t>
            </w:r>
          </w:p>
        </w:tc>
        <w:tc>
          <w:tcPr>
            <w:tcW w:w="4395" w:type="dxa"/>
            <w:tcBorders>
              <w:top w:val="nil"/>
              <w:left w:val="nil"/>
              <w:bottom w:val="single" w:sz="8" w:space="0" w:color="auto"/>
              <w:right w:val="single" w:sz="8" w:space="0" w:color="000000"/>
            </w:tcBorders>
            <w:shd w:val="clear" w:color="auto" w:fill="EBEBEB"/>
            <w:noWrap/>
            <w:vAlign w:val="center"/>
            <w:hideMark/>
          </w:tcPr>
          <w:p w14:paraId="4482F1A9" w14:textId="77777777" w:rsidR="005931FF" w:rsidRPr="00092B22" w:rsidRDefault="005931FF"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 xml:space="preserve">Gold Coast Light Rail </w:t>
            </w:r>
            <w:r w:rsidRPr="00092B22">
              <w:rPr>
                <w:rFonts w:ascii="Meta Pro" w:eastAsia="Times New Roman" w:hAnsi="Meta Pro"/>
                <w:b/>
                <w:bCs/>
                <w:szCs w:val="18"/>
                <w:lang w:eastAsia="en-AU"/>
              </w:rPr>
              <w:t xml:space="preserve">– </w:t>
            </w:r>
            <w:r w:rsidRPr="00092B22">
              <w:rPr>
                <w:rFonts w:ascii="Meta Pro" w:eastAsia="Times New Roman" w:hAnsi="Meta Pro" w:cs="Calibri"/>
                <w:color w:val="000000"/>
                <w:szCs w:val="18"/>
                <w:lang w:eastAsia="en-AU"/>
              </w:rPr>
              <w:t>G:link</w:t>
            </w:r>
          </w:p>
        </w:tc>
        <w:tc>
          <w:tcPr>
            <w:tcW w:w="1852" w:type="dxa"/>
            <w:tcBorders>
              <w:top w:val="nil"/>
              <w:left w:val="nil"/>
              <w:bottom w:val="single" w:sz="8" w:space="0" w:color="auto"/>
              <w:right w:val="single" w:sz="8" w:space="0" w:color="000000"/>
            </w:tcBorders>
            <w:shd w:val="clear" w:color="auto" w:fill="EBEBEB"/>
            <w:vAlign w:val="center"/>
          </w:tcPr>
          <w:p w14:paraId="6E7DBA75" w14:textId="77777777" w:rsidR="005931FF" w:rsidRPr="00092B22" w:rsidRDefault="005931FF"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29</w:t>
            </w:r>
          </w:p>
        </w:tc>
      </w:tr>
      <w:tr w:rsidR="005931FF" w:rsidRPr="00092B22" w14:paraId="29CC877A" w14:textId="77777777" w:rsidTr="00E607DA">
        <w:trPr>
          <w:cantSplit/>
          <w:trHeight w:val="23"/>
        </w:trPr>
        <w:tc>
          <w:tcPr>
            <w:tcW w:w="3392" w:type="dxa"/>
            <w:tcBorders>
              <w:top w:val="nil"/>
              <w:left w:val="single" w:sz="8" w:space="0" w:color="auto"/>
              <w:bottom w:val="single" w:sz="8" w:space="0" w:color="auto"/>
              <w:right w:val="single" w:sz="8" w:space="0" w:color="000000"/>
            </w:tcBorders>
            <w:shd w:val="clear" w:color="auto" w:fill="EBEBEB"/>
            <w:noWrap/>
            <w:vAlign w:val="center"/>
          </w:tcPr>
          <w:p w14:paraId="52A14FBB" w14:textId="77777777" w:rsidR="005931FF" w:rsidRPr="00092B22" w:rsidRDefault="005931FF" w:rsidP="00E607DA">
            <w:pPr>
              <w:shd w:val="clear" w:color="auto" w:fill="EBEBEB"/>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Plant and equipment</w:t>
            </w:r>
          </w:p>
        </w:tc>
        <w:tc>
          <w:tcPr>
            <w:tcW w:w="4395" w:type="dxa"/>
            <w:tcBorders>
              <w:top w:val="nil"/>
              <w:left w:val="nil"/>
              <w:bottom w:val="single" w:sz="8" w:space="0" w:color="auto"/>
              <w:right w:val="single" w:sz="8" w:space="0" w:color="000000"/>
            </w:tcBorders>
            <w:shd w:val="clear" w:color="auto" w:fill="EBEBEB"/>
            <w:noWrap/>
            <w:vAlign w:val="center"/>
          </w:tcPr>
          <w:p w14:paraId="117C8F41" w14:textId="77777777" w:rsidR="005931FF" w:rsidRPr="00092B22" w:rsidRDefault="005931FF"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 xml:space="preserve">Gold Coast Light Rail </w:t>
            </w:r>
            <w:r w:rsidRPr="00092B22">
              <w:rPr>
                <w:rFonts w:ascii="Meta Pro" w:eastAsia="Times New Roman" w:hAnsi="Meta Pro"/>
                <w:b/>
                <w:bCs/>
                <w:szCs w:val="18"/>
                <w:lang w:eastAsia="en-AU"/>
              </w:rPr>
              <w:t xml:space="preserve">– </w:t>
            </w:r>
            <w:r w:rsidRPr="00092B22">
              <w:rPr>
                <w:rFonts w:ascii="Meta Pro" w:eastAsia="Times New Roman" w:hAnsi="Meta Pro" w:cs="Calibri"/>
                <w:color w:val="000000"/>
                <w:szCs w:val="18"/>
                <w:lang w:eastAsia="en-AU"/>
              </w:rPr>
              <w:t>G:link</w:t>
            </w:r>
          </w:p>
        </w:tc>
        <w:tc>
          <w:tcPr>
            <w:tcW w:w="1852" w:type="dxa"/>
            <w:tcBorders>
              <w:top w:val="nil"/>
              <w:left w:val="nil"/>
              <w:bottom w:val="single" w:sz="8" w:space="0" w:color="auto"/>
              <w:right w:val="single" w:sz="8" w:space="0" w:color="000000"/>
            </w:tcBorders>
            <w:shd w:val="clear" w:color="auto" w:fill="EBEBEB"/>
            <w:vAlign w:val="center"/>
          </w:tcPr>
          <w:p w14:paraId="72906DAD" w14:textId="77777777" w:rsidR="005931FF" w:rsidRPr="00092B22" w:rsidRDefault="005931FF"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29</w:t>
            </w:r>
          </w:p>
        </w:tc>
      </w:tr>
      <w:tr w:rsidR="005931FF" w:rsidRPr="00092B22" w14:paraId="0EE596BB" w14:textId="77777777" w:rsidTr="00E607DA">
        <w:trPr>
          <w:cantSplit/>
          <w:trHeight w:val="23"/>
        </w:trPr>
        <w:tc>
          <w:tcPr>
            <w:tcW w:w="3392" w:type="dxa"/>
            <w:tcBorders>
              <w:top w:val="nil"/>
              <w:left w:val="single" w:sz="8" w:space="0" w:color="auto"/>
              <w:bottom w:val="single" w:sz="8" w:space="0" w:color="auto"/>
              <w:right w:val="single" w:sz="8" w:space="0" w:color="000000"/>
            </w:tcBorders>
            <w:shd w:val="clear" w:color="auto" w:fill="EBEBEB"/>
            <w:noWrap/>
            <w:vAlign w:val="center"/>
          </w:tcPr>
          <w:p w14:paraId="26761017" w14:textId="77777777" w:rsidR="005931FF" w:rsidRPr="00092B22" w:rsidRDefault="005931FF" w:rsidP="00E607DA">
            <w:pPr>
              <w:shd w:val="clear" w:color="auto" w:fill="EBEBEB"/>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Major plant and equipment</w:t>
            </w:r>
          </w:p>
        </w:tc>
        <w:tc>
          <w:tcPr>
            <w:tcW w:w="4395" w:type="dxa"/>
            <w:tcBorders>
              <w:top w:val="nil"/>
              <w:left w:val="nil"/>
              <w:bottom w:val="single" w:sz="8" w:space="0" w:color="auto"/>
              <w:right w:val="single" w:sz="8" w:space="0" w:color="000000"/>
            </w:tcBorders>
            <w:shd w:val="clear" w:color="auto" w:fill="EBEBEB"/>
            <w:noWrap/>
            <w:vAlign w:val="center"/>
          </w:tcPr>
          <w:p w14:paraId="1A5401BF" w14:textId="77777777" w:rsidR="005931FF" w:rsidRPr="00092B22" w:rsidRDefault="005931FF"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 xml:space="preserve">Gold Coast Light Rail </w:t>
            </w:r>
            <w:r w:rsidRPr="00092B22">
              <w:rPr>
                <w:rFonts w:ascii="Meta Pro" w:eastAsia="Times New Roman" w:hAnsi="Meta Pro"/>
                <w:b/>
                <w:bCs/>
                <w:szCs w:val="18"/>
                <w:lang w:eastAsia="en-AU"/>
              </w:rPr>
              <w:t>–</w:t>
            </w:r>
            <w:r w:rsidRPr="00092B22">
              <w:rPr>
                <w:rFonts w:ascii="Meta Pro" w:eastAsia="Times New Roman" w:hAnsi="Meta Pro" w:cs="Calibri"/>
                <w:color w:val="000000"/>
                <w:szCs w:val="18"/>
                <w:lang w:eastAsia="en-AU"/>
              </w:rPr>
              <w:t xml:space="preserve"> G:link</w:t>
            </w:r>
          </w:p>
        </w:tc>
        <w:tc>
          <w:tcPr>
            <w:tcW w:w="1852" w:type="dxa"/>
            <w:tcBorders>
              <w:top w:val="nil"/>
              <w:left w:val="nil"/>
              <w:bottom w:val="single" w:sz="8" w:space="0" w:color="auto"/>
              <w:right w:val="single" w:sz="8" w:space="0" w:color="000000"/>
            </w:tcBorders>
            <w:shd w:val="clear" w:color="auto" w:fill="EBEBEB"/>
            <w:vAlign w:val="center"/>
          </w:tcPr>
          <w:p w14:paraId="23D3C97D" w14:textId="77777777" w:rsidR="005931FF" w:rsidRPr="00092B22" w:rsidRDefault="005931FF"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33</w:t>
            </w:r>
          </w:p>
        </w:tc>
      </w:tr>
      <w:tr w:rsidR="005931FF" w:rsidRPr="00092B22" w14:paraId="5B4F729B" w14:textId="77777777" w:rsidTr="00E607DA">
        <w:trPr>
          <w:cantSplit/>
          <w:trHeight w:val="23"/>
        </w:trPr>
        <w:tc>
          <w:tcPr>
            <w:tcW w:w="3392" w:type="dxa"/>
            <w:vMerge w:val="restart"/>
            <w:tcBorders>
              <w:top w:val="nil"/>
              <w:left w:val="single" w:sz="8" w:space="0" w:color="auto"/>
              <w:right w:val="single" w:sz="8" w:space="0" w:color="000000"/>
            </w:tcBorders>
            <w:shd w:val="clear" w:color="auto" w:fill="EBEBEB"/>
            <w:noWrap/>
            <w:hideMark/>
          </w:tcPr>
          <w:p w14:paraId="18D44101" w14:textId="77777777" w:rsidR="005931FF" w:rsidRPr="00092B22" w:rsidRDefault="005931FF" w:rsidP="00E607DA">
            <w:pPr>
              <w:shd w:val="clear" w:color="auto" w:fill="EBEBEB"/>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Infrastructure</w:t>
            </w:r>
          </w:p>
        </w:tc>
        <w:tc>
          <w:tcPr>
            <w:tcW w:w="4395" w:type="dxa"/>
            <w:tcBorders>
              <w:top w:val="nil"/>
              <w:left w:val="nil"/>
              <w:bottom w:val="single" w:sz="8" w:space="0" w:color="auto"/>
              <w:right w:val="single" w:sz="8" w:space="0" w:color="000000"/>
            </w:tcBorders>
            <w:shd w:val="clear" w:color="auto" w:fill="EBEBEB"/>
            <w:noWrap/>
            <w:vAlign w:val="center"/>
            <w:hideMark/>
          </w:tcPr>
          <w:p w14:paraId="21CE7844" w14:textId="77777777" w:rsidR="005931FF" w:rsidRPr="00092B22" w:rsidRDefault="005931FF"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 xml:space="preserve">Gold Coast Light Rail </w:t>
            </w:r>
            <w:r w:rsidRPr="00092B22">
              <w:rPr>
                <w:rFonts w:ascii="Meta Pro" w:eastAsia="Times New Roman" w:hAnsi="Meta Pro"/>
                <w:b/>
                <w:bCs/>
                <w:szCs w:val="18"/>
                <w:lang w:eastAsia="en-AU"/>
              </w:rPr>
              <w:t xml:space="preserve">– </w:t>
            </w:r>
            <w:r w:rsidRPr="00092B22">
              <w:rPr>
                <w:rFonts w:ascii="Meta Pro" w:eastAsia="Times New Roman" w:hAnsi="Meta Pro" w:cs="Calibri"/>
                <w:color w:val="000000"/>
                <w:szCs w:val="18"/>
                <w:lang w:eastAsia="en-AU"/>
              </w:rPr>
              <w:t>G:link</w:t>
            </w:r>
          </w:p>
        </w:tc>
        <w:tc>
          <w:tcPr>
            <w:tcW w:w="1852" w:type="dxa"/>
            <w:tcBorders>
              <w:top w:val="nil"/>
              <w:left w:val="nil"/>
              <w:bottom w:val="single" w:sz="8" w:space="0" w:color="auto"/>
              <w:right w:val="single" w:sz="8" w:space="0" w:color="000000"/>
            </w:tcBorders>
            <w:shd w:val="clear" w:color="auto" w:fill="EBEBEB"/>
            <w:vAlign w:val="center"/>
          </w:tcPr>
          <w:p w14:paraId="08E88553" w14:textId="77777777" w:rsidR="005931FF" w:rsidRPr="00092B22" w:rsidRDefault="005931FF"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78</w:t>
            </w:r>
          </w:p>
        </w:tc>
      </w:tr>
      <w:tr w:rsidR="005931FF" w:rsidRPr="00092B22" w14:paraId="6DC8962D" w14:textId="77777777" w:rsidTr="00E607DA">
        <w:trPr>
          <w:cantSplit/>
          <w:trHeight w:val="23"/>
        </w:trPr>
        <w:tc>
          <w:tcPr>
            <w:tcW w:w="3392" w:type="dxa"/>
            <w:vMerge/>
            <w:tcBorders>
              <w:left w:val="single" w:sz="8" w:space="0" w:color="auto"/>
              <w:right w:val="single" w:sz="8" w:space="0" w:color="000000"/>
            </w:tcBorders>
            <w:shd w:val="clear" w:color="auto" w:fill="EBEBEB"/>
            <w:noWrap/>
            <w:vAlign w:val="center"/>
          </w:tcPr>
          <w:p w14:paraId="11EC79A8" w14:textId="77777777" w:rsidR="005931FF" w:rsidRPr="00092B22" w:rsidRDefault="005931FF" w:rsidP="00E607DA">
            <w:pPr>
              <w:shd w:val="clear" w:color="auto" w:fill="EBEBEB"/>
              <w:rPr>
                <w:rFonts w:ascii="Meta Pro" w:eastAsia="Times New Roman" w:hAnsi="Meta Pro" w:cs="Calibri"/>
                <w:color w:val="000000"/>
                <w:szCs w:val="18"/>
                <w:lang w:eastAsia="en-AU"/>
              </w:rPr>
            </w:pPr>
          </w:p>
        </w:tc>
        <w:tc>
          <w:tcPr>
            <w:tcW w:w="4395" w:type="dxa"/>
            <w:tcBorders>
              <w:top w:val="nil"/>
              <w:left w:val="nil"/>
              <w:bottom w:val="single" w:sz="8" w:space="0" w:color="auto"/>
              <w:right w:val="single" w:sz="8" w:space="0" w:color="000000"/>
            </w:tcBorders>
            <w:shd w:val="clear" w:color="auto" w:fill="EBEBEB"/>
            <w:noWrap/>
            <w:vAlign w:val="center"/>
          </w:tcPr>
          <w:p w14:paraId="3803D13D" w14:textId="77777777" w:rsidR="005931FF" w:rsidRPr="00092B22" w:rsidRDefault="005931FF"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Toowoomba Bypass *</w:t>
            </w:r>
          </w:p>
        </w:tc>
        <w:tc>
          <w:tcPr>
            <w:tcW w:w="1852" w:type="dxa"/>
            <w:tcBorders>
              <w:top w:val="nil"/>
              <w:left w:val="nil"/>
              <w:bottom w:val="single" w:sz="8" w:space="0" w:color="auto"/>
              <w:right w:val="single" w:sz="8" w:space="0" w:color="000000"/>
            </w:tcBorders>
            <w:shd w:val="clear" w:color="auto" w:fill="EBEBEB"/>
            <w:vAlign w:val="center"/>
          </w:tcPr>
          <w:p w14:paraId="057ED546" w14:textId="77777777" w:rsidR="005931FF" w:rsidRPr="00092B22" w:rsidRDefault="005931FF"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82</w:t>
            </w:r>
          </w:p>
        </w:tc>
      </w:tr>
      <w:tr w:rsidR="005931FF" w:rsidRPr="00092B22" w14:paraId="4CDE2307" w14:textId="77777777" w:rsidTr="00E607DA">
        <w:trPr>
          <w:cantSplit/>
          <w:trHeight w:val="23"/>
        </w:trPr>
        <w:tc>
          <w:tcPr>
            <w:tcW w:w="3392" w:type="dxa"/>
            <w:vMerge/>
            <w:tcBorders>
              <w:left w:val="single" w:sz="8" w:space="0" w:color="auto"/>
              <w:right w:val="single" w:sz="8" w:space="0" w:color="000000"/>
            </w:tcBorders>
            <w:shd w:val="clear" w:color="auto" w:fill="EBEBEB"/>
            <w:noWrap/>
            <w:vAlign w:val="center"/>
          </w:tcPr>
          <w:p w14:paraId="43361B95" w14:textId="77777777" w:rsidR="005931FF" w:rsidRPr="00092B22" w:rsidRDefault="005931FF" w:rsidP="00E607DA">
            <w:pPr>
              <w:shd w:val="clear" w:color="auto" w:fill="EBEBEB"/>
              <w:rPr>
                <w:rFonts w:ascii="Meta Pro" w:eastAsia="Times New Roman" w:hAnsi="Meta Pro" w:cs="Calibri"/>
                <w:color w:val="000000"/>
                <w:szCs w:val="18"/>
                <w:lang w:eastAsia="en-AU"/>
              </w:rPr>
            </w:pPr>
          </w:p>
        </w:tc>
        <w:tc>
          <w:tcPr>
            <w:tcW w:w="4395" w:type="dxa"/>
            <w:tcBorders>
              <w:top w:val="nil"/>
              <w:left w:val="nil"/>
              <w:bottom w:val="single" w:sz="8" w:space="0" w:color="auto"/>
              <w:right w:val="single" w:sz="8" w:space="0" w:color="000000"/>
            </w:tcBorders>
            <w:shd w:val="clear" w:color="auto" w:fill="EBEBEB"/>
            <w:noWrap/>
            <w:vAlign w:val="center"/>
          </w:tcPr>
          <w:p w14:paraId="0DCCF7E0" w14:textId="77777777" w:rsidR="005931FF" w:rsidRPr="00092B22" w:rsidRDefault="005931FF"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Airportlink M7 *</w:t>
            </w:r>
          </w:p>
        </w:tc>
        <w:tc>
          <w:tcPr>
            <w:tcW w:w="1852" w:type="dxa"/>
            <w:tcBorders>
              <w:top w:val="nil"/>
              <w:left w:val="nil"/>
              <w:bottom w:val="single" w:sz="8" w:space="0" w:color="auto"/>
              <w:right w:val="single" w:sz="8" w:space="0" w:color="000000"/>
            </w:tcBorders>
            <w:shd w:val="clear" w:color="auto" w:fill="EBEBEB"/>
            <w:vAlign w:val="center"/>
          </w:tcPr>
          <w:p w14:paraId="0B4E1090" w14:textId="77777777" w:rsidR="005931FF" w:rsidRPr="00092B22" w:rsidRDefault="005931FF"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46</w:t>
            </w:r>
          </w:p>
        </w:tc>
      </w:tr>
      <w:tr w:rsidR="005931FF" w:rsidRPr="00092B22" w14:paraId="6DB63D7F" w14:textId="77777777" w:rsidTr="00E607DA">
        <w:trPr>
          <w:cantSplit/>
          <w:trHeight w:val="23"/>
        </w:trPr>
        <w:tc>
          <w:tcPr>
            <w:tcW w:w="3392" w:type="dxa"/>
            <w:vMerge/>
            <w:tcBorders>
              <w:left w:val="single" w:sz="8" w:space="0" w:color="auto"/>
              <w:right w:val="single" w:sz="8" w:space="0" w:color="000000"/>
            </w:tcBorders>
            <w:shd w:val="clear" w:color="auto" w:fill="EBEBEB"/>
            <w:noWrap/>
            <w:vAlign w:val="center"/>
          </w:tcPr>
          <w:p w14:paraId="00F29EA9" w14:textId="77777777" w:rsidR="005931FF" w:rsidRPr="00092B22" w:rsidRDefault="005931FF" w:rsidP="00E607DA">
            <w:pPr>
              <w:shd w:val="clear" w:color="auto" w:fill="EBEBEB"/>
              <w:rPr>
                <w:rFonts w:ascii="Meta Pro" w:eastAsia="Times New Roman" w:hAnsi="Meta Pro" w:cs="Calibri"/>
                <w:color w:val="000000"/>
                <w:szCs w:val="18"/>
                <w:lang w:eastAsia="en-AU"/>
              </w:rPr>
            </w:pPr>
          </w:p>
        </w:tc>
        <w:tc>
          <w:tcPr>
            <w:tcW w:w="4395" w:type="dxa"/>
            <w:tcBorders>
              <w:top w:val="nil"/>
              <w:left w:val="nil"/>
              <w:bottom w:val="single" w:sz="8" w:space="0" w:color="auto"/>
              <w:right w:val="single" w:sz="8" w:space="0" w:color="000000"/>
            </w:tcBorders>
            <w:shd w:val="clear" w:color="auto" w:fill="EBEBEB"/>
            <w:noWrap/>
            <w:vAlign w:val="center"/>
          </w:tcPr>
          <w:p w14:paraId="76BD6812" w14:textId="77777777" w:rsidR="005931FF" w:rsidRPr="00092B22" w:rsidRDefault="005931FF"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Gateway Motorway *</w:t>
            </w:r>
          </w:p>
        </w:tc>
        <w:tc>
          <w:tcPr>
            <w:tcW w:w="1852" w:type="dxa"/>
            <w:tcBorders>
              <w:top w:val="nil"/>
              <w:left w:val="nil"/>
              <w:bottom w:val="single" w:sz="8" w:space="0" w:color="auto"/>
              <w:right w:val="single" w:sz="8" w:space="0" w:color="000000"/>
            </w:tcBorders>
            <w:shd w:val="clear" w:color="auto" w:fill="EBEBEB"/>
            <w:vAlign w:val="center"/>
          </w:tcPr>
          <w:p w14:paraId="5B4E80F6" w14:textId="77777777" w:rsidR="005931FF" w:rsidRPr="00092B22" w:rsidRDefault="005931FF"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78</w:t>
            </w:r>
          </w:p>
        </w:tc>
      </w:tr>
      <w:tr w:rsidR="005931FF" w:rsidRPr="00092B22" w14:paraId="04C132C0" w14:textId="77777777" w:rsidTr="00E607DA">
        <w:trPr>
          <w:cantSplit/>
          <w:trHeight w:val="23"/>
        </w:trPr>
        <w:tc>
          <w:tcPr>
            <w:tcW w:w="3392" w:type="dxa"/>
            <w:vMerge/>
            <w:tcBorders>
              <w:left w:val="single" w:sz="8" w:space="0" w:color="auto"/>
              <w:right w:val="single" w:sz="8" w:space="0" w:color="000000"/>
            </w:tcBorders>
            <w:shd w:val="clear" w:color="auto" w:fill="EBEBEB"/>
            <w:noWrap/>
            <w:vAlign w:val="center"/>
          </w:tcPr>
          <w:p w14:paraId="03623311" w14:textId="77777777" w:rsidR="005931FF" w:rsidRPr="00092B22" w:rsidRDefault="005931FF" w:rsidP="00E607DA">
            <w:pPr>
              <w:shd w:val="clear" w:color="auto" w:fill="EBEBEB"/>
              <w:rPr>
                <w:rFonts w:ascii="Meta Pro" w:eastAsia="Times New Roman" w:hAnsi="Meta Pro" w:cs="Calibri"/>
                <w:color w:val="000000"/>
                <w:szCs w:val="18"/>
                <w:lang w:eastAsia="en-AU"/>
              </w:rPr>
            </w:pPr>
          </w:p>
        </w:tc>
        <w:tc>
          <w:tcPr>
            <w:tcW w:w="4395" w:type="dxa"/>
            <w:tcBorders>
              <w:top w:val="nil"/>
              <w:left w:val="nil"/>
              <w:bottom w:val="single" w:sz="8" w:space="0" w:color="auto"/>
              <w:right w:val="single" w:sz="8" w:space="0" w:color="000000"/>
            </w:tcBorders>
            <w:shd w:val="clear" w:color="auto" w:fill="EBEBEB"/>
            <w:noWrap/>
            <w:vAlign w:val="center"/>
          </w:tcPr>
          <w:p w14:paraId="694DC573" w14:textId="77777777" w:rsidR="005931FF" w:rsidRPr="00092B22" w:rsidRDefault="005931FF"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Logan Motorway *</w:t>
            </w:r>
          </w:p>
        </w:tc>
        <w:tc>
          <w:tcPr>
            <w:tcW w:w="1852" w:type="dxa"/>
            <w:tcBorders>
              <w:top w:val="nil"/>
              <w:left w:val="nil"/>
              <w:bottom w:val="single" w:sz="8" w:space="0" w:color="auto"/>
              <w:right w:val="single" w:sz="8" w:space="0" w:color="000000"/>
            </w:tcBorders>
            <w:shd w:val="clear" w:color="auto" w:fill="EBEBEB"/>
            <w:vAlign w:val="center"/>
          </w:tcPr>
          <w:p w14:paraId="679CC868" w14:textId="77777777" w:rsidR="005931FF" w:rsidRPr="00092B22" w:rsidRDefault="005931FF"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67</w:t>
            </w:r>
          </w:p>
        </w:tc>
      </w:tr>
      <w:tr w:rsidR="005931FF" w:rsidRPr="00092B22" w14:paraId="3D4A3316" w14:textId="77777777" w:rsidTr="00E607DA">
        <w:trPr>
          <w:cantSplit/>
          <w:trHeight w:val="23"/>
        </w:trPr>
        <w:tc>
          <w:tcPr>
            <w:tcW w:w="3392" w:type="dxa"/>
            <w:vMerge/>
            <w:tcBorders>
              <w:left w:val="single" w:sz="8" w:space="0" w:color="auto"/>
              <w:right w:val="single" w:sz="8" w:space="0" w:color="000000"/>
            </w:tcBorders>
            <w:shd w:val="clear" w:color="auto" w:fill="EBEBEB"/>
            <w:noWrap/>
            <w:vAlign w:val="center"/>
          </w:tcPr>
          <w:p w14:paraId="02C4919F" w14:textId="77777777" w:rsidR="005931FF" w:rsidRPr="00092B22" w:rsidRDefault="005931FF" w:rsidP="00E607DA">
            <w:pPr>
              <w:shd w:val="clear" w:color="auto" w:fill="EBEBEB"/>
              <w:rPr>
                <w:rFonts w:ascii="Meta Pro" w:eastAsia="Times New Roman" w:hAnsi="Meta Pro" w:cs="Calibri"/>
                <w:color w:val="000000"/>
                <w:szCs w:val="18"/>
                <w:lang w:eastAsia="en-AU"/>
              </w:rPr>
            </w:pPr>
          </w:p>
        </w:tc>
        <w:tc>
          <w:tcPr>
            <w:tcW w:w="4395" w:type="dxa"/>
            <w:tcBorders>
              <w:top w:val="nil"/>
              <w:left w:val="nil"/>
              <w:bottom w:val="single" w:sz="8" w:space="0" w:color="auto"/>
              <w:right w:val="single" w:sz="8" w:space="0" w:color="000000"/>
            </w:tcBorders>
            <w:shd w:val="clear" w:color="auto" w:fill="EBEBEB"/>
            <w:noWrap/>
            <w:vAlign w:val="center"/>
          </w:tcPr>
          <w:p w14:paraId="4A133822" w14:textId="77777777" w:rsidR="005931FF" w:rsidRPr="00092B22" w:rsidRDefault="005931FF"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Port Drive *</w:t>
            </w:r>
          </w:p>
        </w:tc>
        <w:tc>
          <w:tcPr>
            <w:tcW w:w="1852" w:type="dxa"/>
            <w:tcBorders>
              <w:top w:val="nil"/>
              <w:left w:val="nil"/>
              <w:bottom w:val="single" w:sz="8" w:space="0" w:color="auto"/>
              <w:right w:val="single" w:sz="8" w:space="0" w:color="000000"/>
            </w:tcBorders>
            <w:shd w:val="clear" w:color="auto" w:fill="EBEBEB"/>
            <w:vAlign w:val="center"/>
          </w:tcPr>
          <w:p w14:paraId="5E5D531C" w14:textId="77777777" w:rsidR="005931FF" w:rsidRPr="00092B22" w:rsidRDefault="005931FF"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44</w:t>
            </w:r>
          </w:p>
        </w:tc>
      </w:tr>
      <w:tr w:rsidR="005931FF" w:rsidRPr="00092B22" w14:paraId="34EF0084" w14:textId="77777777" w:rsidTr="00E607DA">
        <w:trPr>
          <w:cantSplit/>
          <w:trHeight w:val="23"/>
        </w:trPr>
        <w:tc>
          <w:tcPr>
            <w:tcW w:w="3392" w:type="dxa"/>
            <w:vMerge/>
            <w:tcBorders>
              <w:left w:val="single" w:sz="8" w:space="0" w:color="auto"/>
              <w:bottom w:val="single" w:sz="8" w:space="0" w:color="auto"/>
              <w:right w:val="single" w:sz="8" w:space="0" w:color="000000"/>
            </w:tcBorders>
            <w:shd w:val="clear" w:color="auto" w:fill="EBEBEB"/>
            <w:noWrap/>
            <w:vAlign w:val="center"/>
          </w:tcPr>
          <w:p w14:paraId="6296ABA1" w14:textId="77777777" w:rsidR="005931FF" w:rsidRPr="00092B22" w:rsidRDefault="005931FF" w:rsidP="00E607DA">
            <w:pPr>
              <w:shd w:val="clear" w:color="auto" w:fill="EBEBEB"/>
              <w:rPr>
                <w:rFonts w:ascii="Meta Pro" w:eastAsia="Times New Roman" w:hAnsi="Meta Pro" w:cs="Calibri"/>
                <w:color w:val="000000"/>
                <w:szCs w:val="18"/>
                <w:lang w:eastAsia="en-AU"/>
              </w:rPr>
            </w:pPr>
          </w:p>
        </w:tc>
        <w:tc>
          <w:tcPr>
            <w:tcW w:w="4395" w:type="dxa"/>
            <w:tcBorders>
              <w:top w:val="nil"/>
              <w:left w:val="nil"/>
              <w:bottom w:val="single" w:sz="8" w:space="0" w:color="auto"/>
              <w:right w:val="single" w:sz="8" w:space="0" w:color="000000"/>
            </w:tcBorders>
            <w:shd w:val="clear" w:color="auto" w:fill="EBEBEB"/>
            <w:noWrap/>
            <w:vAlign w:val="center"/>
          </w:tcPr>
          <w:p w14:paraId="49433B1F" w14:textId="77777777" w:rsidR="005931FF" w:rsidRPr="00092B22" w:rsidRDefault="005931FF"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Brisbane Airport Rail Link</w:t>
            </w:r>
          </w:p>
        </w:tc>
        <w:tc>
          <w:tcPr>
            <w:tcW w:w="1852" w:type="dxa"/>
            <w:tcBorders>
              <w:top w:val="nil"/>
              <w:left w:val="nil"/>
              <w:bottom w:val="single" w:sz="8" w:space="0" w:color="auto"/>
              <w:right w:val="single" w:sz="8" w:space="0" w:color="000000"/>
            </w:tcBorders>
            <w:shd w:val="clear" w:color="auto" w:fill="EBEBEB"/>
            <w:vAlign w:val="center"/>
          </w:tcPr>
          <w:p w14:paraId="333FE2DD" w14:textId="77777777" w:rsidR="005931FF" w:rsidRPr="00092B22" w:rsidRDefault="005931FF" w:rsidP="00E607DA">
            <w:pPr>
              <w:shd w:val="clear" w:color="auto" w:fill="EBEBEB"/>
              <w:jc w:val="center"/>
              <w:rPr>
                <w:rFonts w:ascii="Meta Pro" w:eastAsia="Times New Roman" w:hAnsi="Meta Pro" w:cs="Calibri"/>
                <w:color w:val="000000"/>
                <w:szCs w:val="18"/>
                <w:lang w:eastAsia="en-AU"/>
              </w:rPr>
            </w:pPr>
            <w:r w:rsidRPr="00092B22">
              <w:rPr>
                <w:rFonts w:ascii="Meta Pro" w:eastAsia="Times New Roman" w:hAnsi="Meta Pro" w:cs="Calibri"/>
                <w:color w:val="000000"/>
                <w:szCs w:val="18"/>
                <w:lang w:eastAsia="en-AU"/>
              </w:rPr>
              <w:t>46</w:t>
            </w:r>
          </w:p>
        </w:tc>
      </w:tr>
    </w:tbl>
    <w:p w14:paraId="4FF3A5B0" w14:textId="77777777" w:rsidR="005931FF" w:rsidRPr="00092B22" w:rsidRDefault="005931FF" w:rsidP="005931FF">
      <w:pPr>
        <w:shd w:val="clear" w:color="auto" w:fill="EBEBEB"/>
        <w:spacing w:line="14" w:lineRule="exact"/>
        <w:jc w:val="both"/>
        <w:rPr>
          <w:rFonts w:ascii="Meta Pro" w:eastAsia="Times New Roman" w:hAnsi="Meta Pro"/>
          <w:color w:val="000000"/>
          <w:szCs w:val="18"/>
          <w:lang w:eastAsia="en-AU"/>
        </w:rPr>
      </w:pPr>
    </w:p>
    <w:p w14:paraId="512833B1" w14:textId="77777777" w:rsidR="005931FF" w:rsidRPr="00573B6B" w:rsidRDefault="005931FF" w:rsidP="005931FF">
      <w:pPr>
        <w:shd w:val="clear" w:color="auto" w:fill="EBEBEB"/>
        <w:spacing w:before="60"/>
        <w:rPr>
          <w:rFonts w:ascii="Meta Pro" w:eastAsia="Times New Roman" w:hAnsi="Meta Pro"/>
          <w:color w:val="000000"/>
          <w:szCs w:val="18"/>
          <w:lang w:eastAsia="en-AU"/>
        </w:rPr>
      </w:pPr>
      <w:r w:rsidRPr="00573B6B">
        <w:rPr>
          <w:rFonts w:ascii="Meta Pro" w:eastAsia="Times New Roman" w:hAnsi="Meta Pro"/>
          <w:color w:val="000000"/>
          <w:szCs w:val="18"/>
          <w:lang w:eastAsia="en-AU"/>
        </w:rPr>
        <w:t>* Arrangements containing formation earthworks asset components which are non-depreciable.</w:t>
      </w:r>
    </w:p>
    <w:p w14:paraId="4627471C" w14:textId="77777777" w:rsidR="005931FF" w:rsidRPr="00092B22" w:rsidRDefault="005931FF" w:rsidP="005931FF">
      <w:pPr>
        <w:spacing w:after="120"/>
        <w:rPr>
          <w:rFonts w:ascii="Meta Pro" w:eastAsia="Times New Roman" w:hAnsi="Meta Pro"/>
          <w:b/>
          <w:bCs/>
          <w:szCs w:val="18"/>
          <w:lang w:eastAsia="en-AU"/>
        </w:rPr>
      </w:pPr>
      <w:r w:rsidRPr="00092B22">
        <w:rPr>
          <w:rFonts w:ascii="Meta Pro" w:eastAsia="Times New Roman" w:hAnsi="Meta Pro"/>
          <w:b/>
          <w:bCs/>
          <w:szCs w:val="18"/>
          <w:lang w:eastAsia="en-AU"/>
        </w:rPr>
        <w:t>Gold Coast Light Rail – G:link</w:t>
      </w:r>
    </w:p>
    <w:p w14:paraId="6BDFD19D" w14:textId="77777777" w:rsidR="005931FF" w:rsidRPr="00092B22" w:rsidRDefault="005931FF" w:rsidP="005931FF">
      <w:pPr>
        <w:spacing w:after="120"/>
        <w:rPr>
          <w:rFonts w:ascii="Meta Pro" w:eastAsia="Times New Roman" w:hAnsi="Meta Pro"/>
          <w:szCs w:val="18"/>
          <w:lang w:eastAsia="en-AU"/>
        </w:rPr>
      </w:pPr>
      <w:r w:rsidRPr="00092B22">
        <w:rPr>
          <w:rFonts w:ascii="Meta Pro" w:eastAsia="Times New Roman" w:hAnsi="Meta Pro"/>
          <w:szCs w:val="18"/>
          <w:lang w:eastAsia="en-AU"/>
        </w:rPr>
        <w:t xml:space="preserve">In May 2011 the department entered into a contractual arrangement with GoldLinQ Consortium to finance, design, build, operate and maintain a 13 kilometre light rail system linking key activity centres from Griffith University (Gold Coast Campus) and the Gold Coast University Hospital to Broadbeach via Southport. On 20 July 2014 construction was completed and the G:link commenced operations. </w:t>
      </w:r>
    </w:p>
    <w:p w14:paraId="04796914" w14:textId="77777777" w:rsidR="005931FF" w:rsidRPr="00092B22" w:rsidRDefault="005931FF" w:rsidP="005931FF">
      <w:pPr>
        <w:spacing w:after="120"/>
        <w:rPr>
          <w:rFonts w:ascii="Meta Pro" w:eastAsia="Times New Roman" w:hAnsi="Meta Pro"/>
          <w:szCs w:val="18"/>
          <w:lang w:eastAsia="en-AU"/>
        </w:rPr>
      </w:pPr>
      <w:r w:rsidRPr="00092B22">
        <w:rPr>
          <w:rFonts w:ascii="Meta Pro" w:eastAsia="Times New Roman" w:hAnsi="Meta Pro"/>
          <w:szCs w:val="18"/>
          <w:lang w:eastAsia="en-AU"/>
        </w:rPr>
        <w:t>On 28 April 2016 the department entered into a contractual arrangement with GoldLinQ for stage two of the Gold Coast Light Rail system. The 7.3km stage two route connects the existing light rail system at Gold Coast University Hospital to heavy rail at Helensvale station. Stage two of the system commenced operations on 18 December 2017.</w:t>
      </w:r>
    </w:p>
    <w:p w14:paraId="40C0CD40" w14:textId="77777777" w:rsidR="005931FF" w:rsidRPr="00092B22" w:rsidRDefault="005931FF" w:rsidP="005931FF">
      <w:pPr>
        <w:spacing w:after="120"/>
        <w:rPr>
          <w:rFonts w:ascii="Meta Pro" w:eastAsia="Times New Roman" w:hAnsi="Meta Pro"/>
          <w:szCs w:val="18"/>
          <w:lang w:eastAsia="en-AU"/>
        </w:rPr>
      </w:pPr>
      <w:r w:rsidRPr="00092B22">
        <w:rPr>
          <w:rFonts w:ascii="Meta Pro" w:eastAsia="Times New Roman" w:hAnsi="Meta Pro"/>
          <w:szCs w:val="18"/>
          <w:lang w:eastAsia="en-AU"/>
        </w:rPr>
        <w:t xml:space="preserve">During the 15 year operations period, at an implicit rate of 9.23%, GoldLinQ is paid monthly performance based payments for operations, maintenance and repayment of the debt finance used to construct the light rail system. The state receives fare-box and advertising revenue generated by the light rail system. </w:t>
      </w:r>
    </w:p>
    <w:p w14:paraId="3F8EF7CD" w14:textId="77777777" w:rsidR="005931FF" w:rsidRPr="00092B22" w:rsidRDefault="005931FF" w:rsidP="005931FF">
      <w:pPr>
        <w:spacing w:after="120"/>
        <w:rPr>
          <w:rFonts w:ascii="Meta Pro" w:eastAsia="Times New Roman" w:hAnsi="Meta Pro"/>
          <w:szCs w:val="18"/>
          <w:lang w:eastAsia="en-AU"/>
        </w:rPr>
      </w:pPr>
      <w:r w:rsidRPr="00092B22">
        <w:rPr>
          <w:rFonts w:ascii="Meta Pro" w:eastAsia="Times New Roman" w:hAnsi="Meta Pro"/>
          <w:szCs w:val="18"/>
          <w:lang w:eastAsia="en-AU"/>
        </w:rPr>
        <w:t>In March 2022 the department entered into a contractual arrangement with GoldLinQ for stage three of the Gold Coast Light Rail system. Early works have been completed and construction on Stage three of the system has commenced. Stage three will extend the light rail from Broadbeach to Burleigh Heads. The 6.7km extension south of the existing tram network will link Helensvale to Burleigh Heads and provide eight additional stations and 5 new light rail vehicles.</w:t>
      </w:r>
    </w:p>
    <w:p w14:paraId="6AC54E5C" w14:textId="77777777" w:rsidR="005931FF" w:rsidRPr="00092B22" w:rsidRDefault="005931FF" w:rsidP="005931FF">
      <w:pPr>
        <w:spacing w:after="120"/>
        <w:rPr>
          <w:rFonts w:ascii="Meta Pro" w:eastAsia="Times New Roman" w:hAnsi="Meta Pro"/>
          <w:szCs w:val="18"/>
          <w:lang w:eastAsia="en-AU"/>
        </w:rPr>
      </w:pPr>
      <w:r w:rsidRPr="00092B22">
        <w:rPr>
          <w:rFonts w:ascii="Meta Pro" w:eastAsia="Times New Roman" w:hAnsi="Meta Pro"/>
          <w:szCs w:val="18"/>
          <w:lang w:eastAsia="en-AU"/>
        </w:rPr>
        <w:t>Planning has begun for the Gold Coast Light Rail Stage four, a 13km extension south of the light rail Stage three, linking Burleigh Heads to Coolangatta via the Gold Coast Airport.</w:t>
      </w:r>
      <w:r w:rsidRPr="00092B22">
        <w:rPr>
          <w:rFonts w:ascii="Meta Pro" w:eastAsia="Times New Roman" w:hAnsi="Meta Pro"/>
          <w:szCs w:val="18"/>
          <w:lang w:eastAsia="en-AU"/>
        </w:rPr>
        <w:tab/>
      </w:r>
      <w:r w:rsidRPr="00092B22">
        <w:rPr>
          <w:rFonts w:ascii="Meta Pro" w:eastAsia="Times New Roman" w:hAnsi="Meta Pro"/>
          <w:szCs w:val="18"/>
          <w:lang w:eastAsia="en-AU"/>
        </w:rPr>
        <w:tab/>
      </w:r>
      <w:r w:rsidRPr="00092B22">
        <w:rPr>
          <w:rFonts w:ascii="Meta Pro" w:eastAsia="Times New Roman" w:hAnsi="Meta Pro"/>
          <w:szCs w:val="18"/>
          <w:lang w:eastAsia="en-AU"/>
        </w:rPr>
        <w:tab/>
      </w:r>
    </w:p>
    <w:p w14:paraId="4C9B3E6C" w14:textId="2E5C05ED" w:rsidR="00305C62" w:rsidRDefault="005931FF" w:rsidP="005931FF">
      <w:pPr>
        <w:rPr>
          <w:rFonts w:ascii="Meta Pro" w:hAnsi="Meta Pro"/>
          <w:b/>
          <w:bCs/>
          <w:szCs w:val="18"/>
          <w:lang w:eastAsia="en-AU"/>
        </w:rPr>
      </w:pPr>
      <w:r w:rsidRPr="00092B22">
        <w:rPr>
          <w:rFonts w:ascii="Meta Pro" w:eastAsia="Times New Roman" w:hAnsi="Meta Pro"/>
          <w:szCs w:val="18"/>
          <w:lang w:eastAsia="en-AU"/>
        </w:rPr>
        <w:t>At the expiry of the concession period the department will retain ownership of the light rail system.</w:t>
      </w:r>
    </w:p>
    <w:tbl>
      <w:tblPr>
        <w:tblW w:w="0" w:type="auto"/>
        <w:tblLook w:val="04A0" w:firstRow="1" w:lastRow="0" w:firstColumn="1" w:lastColumn="0" w:noHBand="0" w:noVBand="1"/>
      </w:tblPr>
      <w:tblGrid>
        <w:gridCol w:w="6096"/>
        <w:gridCol w:w="992"/>
        <w:gridCol w:w="1134"/>
        <w:gridCol w:w="327"/>
        <w:gridCol w:w="1089"/>
      </w:tblGrid>
      <w:tr w:rsidR="00FD595C" w:rsidRPr="00092B22" w14:paraId="6AC389D0" w14:textId="77777777" w:rsidTr="00E607DA">
        <w:trPr>
          <w:trHeight w:val="240"/>
        </w:trPr>
        <w:tc>
          <w:tcPr>
            <w:tcW w:w="6096" w:type="dxa"/>
            <w:tcBorders>
              <w:top w:val="nil"/>
              <w:left w:val="nil"/>
              <w:bottom w:val="nil"/>
              <w:right w:val="nil"/>
            </w:tcBorders>
            <w:shd w:val="clear" w:color="auto" w:fill="auto"/>
            <w:noWrap/>
            <w:vAlign w:val="center"/>
            <w:hideMark/>
          </w:tcPr>
          <w:p w14:paraId="58D62AF9" w14:textId="77777777" w:rsidR="00FD595C" w:rsidRPr="00092B22" w:rsidRDefault="00FD595C" w:rsidP="00E607DA">
            <w:pPr>
              <w:spacing w:before="240"/>
              <w:rPr>
                <w:rFonts w:ascii="Meta Pro" w:eastAsia="Times New Roman" w:hAnsi="Meta Pro" w:cs="Times New Roman"/>
                <w:sz w:val="24"/>
                <w:szCs w:val="24"/>
                <w:lang w:eastAsia="en-AU"/>
              </w:rPr>
            </w:pPr>
          </w:p>
        </w:tc>
        <w:tc>
          <w:tcPr>
            <w:tcW w:w="992" w:type="dxa"/>
            <w:tcBorders>
              <w:top w:val="nil"/>
              <w:left w:val="nil"/>
              <w:bottom w:val="nil"/>
              <w:right w:val="nil"/>
            </w:tcBorders>
            <w:shd w:val="clear" w:color="auto" w:fill="auto"/>
            <w:noWrap/>
            <w:vAlign w:val="center"/>
            <w:hideMark/>
          </w:tcPr>
          <w:p w14:paraId="2B3B6E8C" w14:textId="77777777" w:rsidR="00FD595C" w:rsidRPr="00092B22" w:rsidRDefault="00FD595C" w:rsidP="00E607DA">
            <w:pPr>
              <w:spacing w:before="240"/>
              <w:jc w:val="center"/>
              <w:rPr>
                <w:rFonts w:ascii="Meta Pro" w:eastAsia="Times New Roman" w:hAnsi="Meta Pro"/>
                <w:b/>
                <w:bCs/>
                <w:color w:val="000000"/>
                <w:lang w:eastAsia="en-AU"/>
              </w:rPr>
            </w:pPr>
            <w:r w:rsidRPr="00092B22">
              <w:rPr>
                <w:rFonts w:ascii="Meta Pro" w:eastAsia="Times New Roman" w:hAnsi="Meta Pro"/>
                <w:b/>
                <w:bCs/>
                <w:color w:val="000000"/>
                <w:lang w:eastAsia="en-AU"/>
              </w:rPr>
              <w:t>Note</w:t>
            </w:r>
          </w:p>
        </w:tc>
        <w:tc>
          <w:tcPr>
            <w:tcW w:w="1134" w:type="dxa"/>
            <w:tcBorders>
              <w:top w:val="nil"/>
              <w:left w:val="nil"/>
              <w:bottom w:val="nil"/>
              <w:right w:val="nil"/>
            </w:tcBorders>
            <w:shd w:val="clear" w:color="auto" w:fill="auto"/>
            <w:noWrap/>
            <w:vAlign w:val="center"/>
            <w:hideMark/>
          </w:tcPr>
          <w:p w14:paraId="220CAD67" w14:textId="77777777" w:rsidR="00FD595C" w:rsidRPr="00092B22" w:rsidRDefault="00FD595C" w:rsidP="00E607DA">
            <w:pPr>
              <w:spacing w:before="240"/>
              <w:jc w:val="center"/>
              <w:rPr>
                <w:rFonts w:ascii="Meta Pro" w:eastAsia="Times New Roman" w:hAnsi="Meta Pro"/>
                <w:b/>
                <w:bCs/>
                <w:color w:val="000000"/>
                <w:lang w:eastAsia="en-AU"/>
              </w:rPr>
            </w:pPr>
            <w:r w:rsidRPr="00092B22">
              <w:rPr>
                <w:rFonts w:ascii="Meta Pro" w:eastAsia="Times New Roman" w:hAnsi="Meta Pro"/>
                <w:b/>
                <w:bCs/>
                <w:color w:val="000000"/>
                <w:lang w:eastAsia="en-AU"/>
              </w:rPr>
              <w:t>2022</w:t>
            </w:r>
          </w:p>
        </w:tc>
        <w:tc>
          <w:tcPr>
            <w:tcW w:w="327" w:type="dxa"/>
            <w:tcBorders>
              <w:top w:val="nil"/>
              <w:left w:val="nil"/>
              <w:bottom w:val="nil"/>
              <w:right w:val="nil"/>
            </w:tcBorders>
            <w:shd w:val="clear" w:color="auto" w:fill="auto"/>
            <w:noWrap/>
            <w:vAlign w:val="center"/>
            <w:hideMark/>
          </w:tcPr>
          <w:p w14:paraId="5B651944" w14:textId="77777777" w:rsidR="00FD595C" w:rsidRPr="00092B22" w:rsidRDefault="00FD595C" w:rsidP="00E607DA">
            <w:pPr>
              <w:spacing w:before="240"/>
              <w:jc w:val="center"/>
              <w:rPr>
                <w:rFonts w:ascii="Meta Pro" w:eastAsia="Times New Roman" w:hAnsi="Meta Pro"/>
                <w:b/>
                <w:bCs/>
                <w:color w:val="000000"/>
                <w:lang w:eastAsia="en-AU"/>
              </w:rPr>
            </w:pPr>
          </w:p>
        </w:tc>
        <w:tc>
          <w:tcPr>
            <w:tcW w:w="1089" w:type="dxa"/>
            <w:tcBorders>
              <w:top w:val="nil"/>
              <w:left w:val="nil"/>
              <w:bottom w:val="nil"/>
              <w:right w:val="nil"/>
            </w:tcBorders>
            <w:shd w:val="clear" w:color="auto" w:fill="auto"/>
            <w:noWrap/>
            <w:vAlign w:val="center"/>
            <w:hideMark/>
          </w:tcPr>
          <w:p w14:paraId="50871F2B" w14:textId="77777777" w:rsidR="00FD595C" w:rsidRPr="00092B22" w:rsidRDefault="00FD595C" w:rsidP="00E607DA">
            <w:pPr>
              <w:spacing w:before="240"/>
              <w:jc w:val="center"/>
              <w:rPr>
                <w:rFonts w:ascii="Meta Pro" w:eastAsia="Times New Roman" w:hAnsi="Meta Pro"/>
                <w:b/>
                <w:bCs/>
                <w:lang w:eastAsia="en-AU"/>
              </w:rPr>
            </w:pPr>
            <w:r w:rsidRPr="00092B22">
              <w:rPr>
                <w:rFonts w:ascii="Meta Pro" w:eastAsia="Times New Roman" w:hAnsi="Meta Pro"/>
                <w:b/>
                <w:bCs/>
                <w:lang w:eastAsia="en-AU"/>
              </w:rPr>
              <w:t>2021</w:t>
            </w:r>
          </w:p>
        </w:tc>
      </w:tr>
      <w:tr w:rsidR="00FD595C" w:rsidRPr="00092B22" w14:paraId="15801C20" w14:textId="77777777" w:rsidTr="00E607DA">
        <w:trPr>
          <w:trHeight w:val="240"/>
        </w:trPr>
        <w:tc>
          <w:tcPr>
            <w:tcW w:w="6096" w:type="dxa"/>
            <w:tcBorders>
              <w:top w:val="nil"/>
              <w:left w:val="nil"/>
              <w:bottom w:val="nil"/>
              <w:right w:val="nil"/>
            </w:tcBorders>
            <w:shd w:val="clear" w:color="auto" w:fill="auto"/>
            <w:noWrap/>
            <w:vAlign w:val="center"/>
            <w:hideMark/>
          </w:tcPr>
          <w:p w14:paraId="6A8ADE8E" w14:textId="77777777" w:rsidR="00FD595C" w:rsidRPr="00092B22" w:rsidRDefault="00FD595C" w:rsidP="00E607DA">
            <w:pPr>
              <w:jc w:val="center"/>
              <w:rPr>
                <w:rFonts w:ascii="Meta Pro" w:eastAsia="Times New Roman" w:hAnsi="Meta Pro"/>
                <w:b/>
                <w:bCs/>
                <w:lang w:eastAsia="en-AU"/>
              </w:rPr>
            </w:pPr>
          </w:p>
        </w:tc>
        <w:tc>
          <w:tcPr>
            <w:tcW w:w="992" w:type="dxa"/>
            <w:tcBorders>
              <w:top w:val="nil"/>
              <w:left w:val="nil"/>
              <w:bottom w:val="nil"/>
              <w:right w:val="nil"/>
            </w:tcBorders>
            <w:shd w:val="clear" w:color="auto" w:fill="auto"/>
            <w:noWrap/>
            <w:vAlign w:val="center"/>
            <w:hideMark/>
          </w:tcPr>
          <w:p w14:paraId="6C88E04C" w14:textId="77777777" w:rsidR="00FD595C" w:rsidRPr="00092B22" w:rsidRDefault="00FD595C" w:rsidP="00E607DA">
            <w:pP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5A11C755" w14:textId="77777777" w:rsidR="00FD595C" w:rsidRPr="00092B22" w:rsidRDefault="00FD595C" w:rsidP="00E607DA">
            <w:pPr>
              <w:jc w:val="center"/>
              <w:rPr>
                <w:rFonts w:ascii="Meta Pro" w:eastAsia="Times New Roman" w:hAnsi="Meta Pro"/>
                <w:b/>
                <w:bCs/>
                <w:lang w:eastAsia="en-AU"/>
              </w:rPr>
            </w:pPr>
            <w:r w:rsidRPr="00092B22">
              <w:rPr>
                <w:rFonts w:ascii="Meta Pro" w:eastAsia="Times New Roman" w:hAnsi="Meta Pro"/>
                <w:b/>
                <w:bCs/>
                <w:lang w:eastAsia="en-AU"/>
              </w:rPr>
              <w:t>$'000</w:t>
            </w:r>
          </w:p>
        </w:tc>
        <w:tc>
          <w:tcPr>
            <w:tcW w:w="327" w:type="dxa"/>
            <w:tcBorders>
              <w:top w:val="nil"/>
              <w:left w:val="nil"/>
              <w:bottom w:val="nil"/>
              <w:right w:val="nil"/>
            </w:tcBorders>
            <w:shd w:val="clear" w:color="auto" w:fill="auto"/>
            <w:noWrap/>
            <w:vAlign w:val="center"/>
            <w:hideMark/>
          </w:tcPr>
          <w:p w14:paraId="7718EE4E" w14:textId="77777777" w:rsidR="00FD595C" w:rsidRPr="00092B22" w:rsidRDefault="00FD595C" w:rsidP="00E607DA">
            <w:pPr>
              <w:jc w:val="center"/>
              <w:rPr>
                <w:rFonts w:ascii="Meta Pro" w:eastAsia="Times New Roman" w:hAnsi="Meta Pro"/>
                <w:b/>
                <w:bCs/>
                <w:lang w:eastAsia="en-AU"/>
              </w:rPr>
            </w:pPr>
          </w:p>
        </w:tc>
        <w:tc>
          <w:tcPr>
            <w:tcW w:w="1089" w:type="dxa"/>
            <w:tcBorders>
              <w:top w:val="nil"/>
              <w:left w:val="nil"/>
              <w:bottom w:val="nil"/>
              <w:right w:val="nil"/>
            </w:tcBorders>
            <w:shd w:val="clear" w:color="auto" w:fill="auto"/>
            <w:noWrap/>
            <w:vAlign w:val="center"/>
            <w:hideMark/>
          </w:tcPr>
          <w:p w14:paraId="127B0BCB" w14:textId="77777777" w:rsidR="00FD595C" w:rsidRPr="00092B22" w:rsidRDefault="00FD595C" w:rsidP="00E607DA">
            <w:pPr>
              <w:jc w:val="center"/>
              <w:rPr>
                <w:rFonts w:ascii="Meta Pro" w:eastAsia="Times New Roman" w:hAnsi="Meta Pro"/>
                <w:b/>
                <w:bCs/>
                <w:lang w:eastAsia="en-AU"/>
              </w:rPr>
            </w:pPr>
            <w:r w:rsidRPr="00092B22">
              <w:rPr>
                <w:rFonts w:ascii="Meta Pro" w:eastAsia="Times New Roman" w:hAnsi="Meta Pro"/>
                <w:b/>
                <w:bCs/>
                <w:lang w:eastAsia="en-AU"/>
              </w:rPr>
              <w:t>$'000</w:t>
            </w:r>
          </w:p>
        </w:tc>
      </w:tr>
    </w:tbl>
    <w:p w14:paraId="6EC3C5FF" w14:textId="77777777" w:rsidR="00FD595C" w:rsidRPr="00092B22" w:rsidRDefault="00FD595C" w:rsidP="00FD595C">
      <w:pPr>
        <w:spacing w:after="120" w:line="259" w:lineRule="auto"/>
        <w:rPr>
          <w:rFonts w:ascii="Meta Pro" w:hAnsi="Meta Pro"/>
          <w:b/>
          <w:bCs/>
          <w:lang w:eastAsia="en-AU"/>
        </w:rPr>
      </w:pPr>
      <w:r w:rsidRPr="00092B22">
        <w:rPr>
          <w:rFonts w:ascii="Meta Pro" w:hAnsi="Meta Pro"/>
          <w:b/>
          <w:bCs/>
          <w:lang w:eastAsia="en-AU"/>
        </w:rPr>
        <w:t>16      PUBLIC PRIVATE PARTNERSHIPS (continued)</w:t>
      </w:r>
    </w:p>
    <w:p w14:paraId="678FC7B0" w14:textId="77777777" w:rsidR="00FD595C" w:rsidRPr="00092B22" w:rsidRDefault="00FD595C" w:rsidP="00FD595C">
      <w:pPr>
        <w:spacing w:after="120" w:line="259" w:lineRule="auto"/>
        <w:rPr>
          <w:rFonts w:ascii="Meta Pro" w:hAnsi="Meta Pro"/>
          <w:b/>
          <w:bCs/>
          <w:szCs w:val="18"/>
          <w:lang w:eastAsia="en-AU"/>
        </w:rPr>
      </w:pPr>
      <w:r w:rsidRPr="00092B22">
        <w:rPr>
          <w:rFonts w:ascii="Meta Pro" w:hAnsi="Meta Pro"/>
          <w:b/>
          <w:bCs/>
          <w:szCs w:val="18"/>
          <w:lang w:eastAsia="en-AU"/>
        </w:rPr>
        <w:t>SERVICE CONCESSION ARRANGEMENTS UNDER AASB 1059 (continued)</w:t>
      </w:r>
    </w:p>
    <w:p w14:paraId="11EC951D" w14:textId="77777777" w:rsidR="00FD595C" w:rsidRPr="00092B22" w:rsidRDefault="00FD595C" w:rsidP="00FD595C">
      <w:pPr>
        <w:spacing w:after="120"/>
        <w:rPr>
          <w:rFonts w:ascii="Meta Pro" w:eastAsia="Times New Roman" w:hAnsi="Meta Pro"/>
          <w:b/>
          <w:bCs/>
          <w:szCs w:val="18"/>
          <w:lang w:eastAsia="en-AU"/>
        </w:rPr>
      </w:pPr>
      <w:r w:rsidRPr="00092B22">
        <w:rPr>
          <w:rFonts w:ascii="Meta Pro" w:eastAsia="Times New Roman" w:hAnsi="Meta Pro"/>
          <w:b/>
          <w:bCs/>
          <w:szCs w:val="18"/>
          <w:lang w:eastAsia="en-AU"/>
        </w:rPr>
        <w:t>Gold Coast Light Rail – G:link (continued)</w:t>
      </w:r>
      <w:r w:rsidRPr="00092B22">
        <w:rPr>
          <w:rFonts w:ascii="Meta Pro" w:eastAsia="Times New Roman" w:hAnsi="Meta Pro"/>
          <w:b/>
          <w:bCs/>
          <w:szCs w:val="18"/>
          <w:lang w:eastAsia="en-AU"/>
        </w:rPr>
        <w:tab/>
      </w:r>
      <w:r w:rsidRPr="00092B22">
        <w:rPr>
          <w:rFonts w:ascii="Meta Pro" w:eastAsia="Times New Roman" w:hAnsi="Meta Pro"/>
          <w:szCs w:val="18"/>
          <w:lang w:eastAsia="en-AU"/>
        </w:rPr>
        <w:tab/>
      </w:r>
      <w:r w:rsidRPr="00092B22">
        <w:rPr>
          <w:rFonts w:ascii="Meta Pro" w:eastAsia="Times New Roman" w:hAnsi="Meta Pro"/>
          <w:szCs w:val="18"/>
          <w:lang w:eastAsia="en-AU"/>
        </w:rPr>
        <w:tab/>
      </w:r>
      <w:r w:rsidRPr="00092B22">
        <w:rPr>
          <w:rFonts w:ascii="Meta Pro" w:eastAsia="Times New Roman" w:hAnsi="Meta Pro"/>
          <w:szCs w:val="18"/>
          <w:lang w:eastAsia="en-AU"/>
        </w:rPr>
        <w:tab/>
      </w:r>
      <w:r w:rsidRPr="00092B22">
        <w:rPr>
          <w:rFonts w:ascii="Meta Pro" w:eastAsia="Times New Roman" w:hAnsi="Meta Pro"/>
          <w:szCs w:val="18"/>
          <w:lang w:eastAsia="en-AU"/>
        </w:rPr>
        <w:tab/>
      </w:r>
    </w:p>
    <w:p w14:paraId="3C213BC6" w14:textId="77777777" w:rsidR="00FD595C" w:rsidRPr="00092B22" w:rsidRDefault="00FD595C" w:rsidP="00FD595C">
      <w:pPr>
        <w:spacing w:after="120"/>
        <w:rPr>
          <w:rFonts w:ascii="Meta Pro" w:hAnsi="Meta Pro" w:cstheme="minorBidi"/>
        </w:rPr>
      </w:pPr>
      <w:r w:rsidRPr="00092B22">
        <w:rPr>
          <w:rFonts w:ascii="Meta Pro" w:eastAsia="Times New Roman" w:hAnsi="Meta Pro"/>
          <w:szCs w:val="18"/>
          <w:lang w:eastAsia="en-AU"/>
        </w:rPr>
        <w:t>The estimated future cash flows excluding GST are detailed below:</w:t>
      </w:r>
    </w:p>
    <w:tbl>
      <w:tblPr>
        <w:tblW w:w="0" w:type="auto"/>
        <w:tblCellMar>
          <w:left w:w="0" w:type="dxa"/>
        </w:tblCellMar>
        <w:tblLook w:val="04A0" w:firstRow="1" w:lastRow="0" w:firstColumn="1" w:lastColumn="0" w:noHBand="0" w:noVBand="1"/>
      </w:tblPr>
      <w:tblGrid>
        <w:gridCol w:w="6090"/>
        <w:gridCol w:w="1030"/>
        <w:gridCol w:w="1148"/>
        <w:gridCol w:w="222"/>
        <w:gridCol w:w="1148"/>
      </w:tblGrid>
      <w:tr w:rsidR="00FD595C" w:rsidRPr="00092B22" w14:paraId="7D29BBF7" w14:textId="77777777" w:rsidTr="00E607DA">
        <w:trPr>
          <w:trHeight w:val="23"/>
        </w:trPr>
        <w:tc>
          <w:tcPr>
            <w:tcW w:w="6176" w:type="dxa"/>
            <w:tcBorders>
              <w:top w:val="nil"/>
              <w:left w:val="nil"/>
              <w:bottom w:val="nil"/>
              <w:right w:val="nil"/>
            </w:tcBorders>
            <w:shd w:val="clear" w:color="auto" w:fill="auto"/>
            <w:noWrap/>
            <w:vAlign w:val="center"/>
            <w:hideMark/>
          </w:tcPr>
          <w:p w14:paraId="61FEE448" w14:textId="77777777" w:rsidR="00FD595C" w:rsidRPr="00092B22" w:rsidRDefault="00FD595C" w:rsidP="00E607DA">
            <w:pPr>
              <w:rPr>
                <w:rFonts w:ascii="Meta Pro" w:eastAsia="Times New Roman" w:hAnsi="Meta Pro"/>
                <w:b/>
                <w:bCs/>
                <w:szCs w:val="18"/>
                <w:lang w:eastAsia="en-AU"/>
              </w:rPr>
            </w:pPr>
            <w:r w:rsidRPr="00092B22">
              <w:rPr>
                <w:rFonts w:ascii="Meta Pro" w:eastAsia="Times New Roman" w:hAnsi="Meta Pro"/>
                <w:b/>
                <w:bCs/>
                <w:szCs w:val="18"/>
                <w:lang w:eastAsia="en-AU"/>
              </w:rPr>
              <w:t>Estimated cash flows</w:t>
            </w:r>
          </w:p>
        </w:tc>
        <w:tc>
          <w:tcPr>
            <w:tcW w:w="1036" w:type="dxa"/>
            <w:tcBorders>
              <w:top w:val="nil"/>
              <w:left w:val="nil"/>
              <w:bottom w:val="nil"/>
              <w:right w:val="nil"/>
            </w:tcBorders>
            <w:shd w:val="clear" w:color="auto" w:fill="auto"/>
            <w:noWrap/>
            <w:vAlign w:val="center"/>
            <w:hideMark/>
          </w:tcPr>
          <w:p w14:paraId="0A8897B2" w14:textId="77777777" w:rsidR="00FD595C" w:rsidRPr="00092B22" w:rsidRDefault="00FD595C" w:rsidP="00E607DA">
            <w:pPr>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35302C9B" w14:textId="77777777" w:rsidR="00FD595C" w:rsidRPr="00092B22" w:rsidRDefault="00FD595C" w:rsidP="00E607DA">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142BFED8" w14:textId="77777777" w:rsidR="00FD595C" w:rsidRPr="00092B22" w:rsidRDefault="00FD595C" w:rsidP="00E607DA">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76DC5159" w14:textId="77777777" w:rsidR="00FD595C" w:rsidRPr="00092B22" w:rsidRDefault="00FD595C" w:rsidP="00E607DA">
            <w:pPr>
              <w:jc w:val="right"/>
              <w:rPr>
                <w:rFonts w:ascii="Meta Pro" w:eastAsia="Times New Roman" w:hAnsi="Meta Pro" w:cs="Times New Roman"/>
                <w:sz w:val="20"/>
                <w:szCs w:val="20"/>
                <w:lang w:eastAsia="en-AU"/>
              </w:rPr>
            </w:pPr>
          </w:p>
        </w:tc>
      </w:tr>
      <w:tr w:rsidR="00FD595C" w:rsidRPr="00092B22" w14:paraId="7ABDD1FD" w14:textId="77777777" w:rsidTr="00E607DA">
        <w:trPr>
          <w:trHeight w:val="23"/>
        </w:trPr>
        <w:tc>
          <w:tcPr>
            <w:tcW w:w="6176" w:type="dxa"/>
            <w:tcBorders>
              <w:top w:val="nil"/>
              <w:left w:val="nil"/>
              <w:bottom w:val="nil"/>
              <w:right w:val="nil"/>
            </w:tcBorders>
            <w:shd w:val="clear" w:color="auto" w:fill="auto"/>
            <w:noWrap/>
            <w:vAlign w:val="center"/>
            <w:hideMark/>
          </w:tcPr>
          <w:p w14:paraId="451CDDA7" w14:textId="77777777" w:rsidR="00FD595C" w:rsidRPr="00092B22" w:rsidRDefault="00FD595C" w:rsidP="00E607DA">
            <w:pPr>
              <w:rPr>
                <w:rFonts w:ascii="Meta Pro" w:eastAsia="Times New Roman" w:hAnsi="Meta Pro"/>
                <w:i/>
                <w:iCs/>
                <w:szCs w:val="18"/>
                <w:lang w:eastAsia="en-AU"/>
              </w:rPr>
            </w:pPr>
            <w:r w:rsidRPr="00092B22">
              <w:rPr>
                <w:rFonts w:ascii="Meta Pro" w:eastAsia="Times New Roman" w:hAnsi="Meta Pro"/>
                <w:i/>
                <w:iCs/>
                <w:szCs w:val="18"/>
                <w:lang w:eastAsia="en-AU"/>
              </w:rPr>
              <w:t>Inflows:</w:t>
            </w:r>
          </w:p>
        </w:tc>
        <w:tc>
          <w:tcPr>
            <w:tcW w:w="1036" w:type="dxa"/>
            <w:tcBorders>
              <w:top w:val="nil"/>
              <w:left w:val="nil"/>
              <w:bottom w:val="nil"/>
              <w:right w:val="nil"/>
            </w:tcBorders>
            <w:shd w:val="clear" w:color="auto" w:fill="auto"/>
            <w:noWrap/>
            <w:vAlign w:val="center"/>
            <w:hideMark/>
          </w:tcPr>
          <w:p w14:paraId="7F70314C" w14:textId="77777777" w:rsidR="00FD595C" w:rsidRPr="00092B22" w:rsidRDefault="00FD595C" w:rsidP="00E607DA">
            <w:pPr>
              <w:rPr>
                <w:rFonts w:ascii="Meta Pro" w:eastAsia="Times New Roman" w:hAnsi="Meta Pro"/>
                <w:i/>
                <w:iCs/>
                <w:szCs w:val="18"/>
                <w:lang w:eastAsia="en-AU"/>
              </w:rPr>
            </w:pPr>
          </w:p>
        </w:tc>
        <w:tc>
          <w:tcPr>
            <w:tcW w:w="1156" w:type="dxa"/>
            <w:tcBorders>
              <w:top w:val="nil"/>
              <w:left w:val="nil"/>
              <w:bottom w:val="nil"/>
              <w:right w:val="nil"/>
            </w:tcBorders>
            <w:shd w:val="clear" w:color="auto" w:fill="auto"/>
            <w:noWrap/>
            <w:vAlign w:val="center"/>
            <w:hideMark/>
          </w:tcPr>
          <w:p w14:paraId="0E202474" w14:textId="77777777" w:rsidR="00FD595C" w:rsidRPr="00092B22" w:rsidRDefault="00FD595C" w:rsidP="00E607DA">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022322BA" w14:textId="77777777" w:rsidR="00FD595C" w:rsidRPr="00092B22" w:rsidRDefault="00FD595C" w:rsidP="00E607DA">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18F7EFF9" w14:textId="77777777" w:rsidR="00FD595C" w:rsidRPr="00092B22" w:rsidRDefault="00FD595C" w:rsidP="00E607DA">
            <w:pPr>
              <w:jc w:val="right"/>
              <w:rPr>
                <w:rFonts w:ascii="Meta Pro" w:eastAsia="Times New Roman" w:hAnsi="Meta Pro" w:cs="Times New Roman"/>
                <w:sz w:val="20"/>
                <w:szCs w:val="20"/>
                <w:lang w:eastAsia="en-AU"/>
              </w:rPr>
            </w:pPr>
          </w:p>
        </w:tc>
      </w:tr>
      <w:tr w:rsidR="00FD595C" w:rsidRPr="00092B22" w14:paraId="7FA092D1" w14:textId="77777777" w:rsidTr="00E607DA">
        <w:trPr>
          <w:trHeight w:val="23"/>
        </w:trPr>
        <w:tc>
          <w:tcPr>
            <w:tcW w:w="6176" w:type="dxa"/>
            <w:tcBorders>
              <w:top w:val="nil"/>
              <w:left w:val="nil"/>
              <w:bottom w:val="nil"/>
              <w:right w:val="nil"/>
            </w:tcBorders>
            <w:shd w:val="clear" w:color="auto" w:fill="auto"/>
            <w:noWrap/>
            <w:vAlign w:val="center"/>
            <w:hideMark/>
          </w:tcPr>
          <w:p w14:paraId="5F2DC008" w14:textId="77777777" w:rsidR="00FD595C" w:rsidRPr="00092B22" w:rsidRDefault="00FD595C" w:rsidP="00E607DA">
            <w:pPr>
              <w:rPr>
                <w:rFonts w:ascii="Meta Pro" w:eastAsia="Times New Roman" w:hAnsi="Meta Pro"/>
                <w:szCs w:val="18"/>
                <w:lang w:eastAsia="en-AU"/>
              </w:rPr>
            </w:pPr>
            <w:r w:rsidRPr="00092B22">
              <w:rPr>
                <w:rFonts w:ascii="Meta Pro" w:eastAsia="Times New Roman" w:hAnsi="Meta Pro"/>
                <w:szCs w:val="18"/>
                <w:lang w:eastAsia="en-AU"/>
              </w:rPr>
              <w:t>Not later than one year</w:t>
            </w:r>
          </w:p>
        </w:tc>
        <w:tc>
          <w:tcPr>
            <w:tcW w:w="1036" w:type="dxa"/>
            <w:tcBorders>
              <w:top w:val="nil"/>
              <w:left w:val="nil"/>
              <w:bottom w:val="nil"/>
              <w:right w:val="nil"/>
            </w:tcBorders>
            <w:shd w:val="clear" w:color="auto" w:fill="auto"/>
            <w:noWrap/>
            <w:vAlign w:val="center"/>
            <w:hideMark/>
          </w:tcPr>
          <w:p w14:paraId="792CED1C" w14:textId="77777777" w:rsidR="00FD595C" w:rsidRPr="00092B22" w:rsidRDefault="00FD595C" w:rsidP="00E607DA">
            <w:pPr>
              <w:rPr>
                <w:rFonts w:ascii="Meta Pro" w:eastAsia="Times New Roman" w:hAnsi="Meta Pro"/>
                <w:szCs w:val="18"/>
                <w:lang w:eastAsia="en-AU"/>
              </w:rPr>
            </w:pPr>
          </w:p>
        </w:tc>
        <w:tc>
          <w:tcPr>
            <w:tcW w:w="1156" w:type="dxa"/>
            <w:tcBorders>
              <w:top w:val="nil"/>
              <w:left w:val="nil"/>
              <w:bottom w:val="nil"/>
              <w:right w:val="nil"/>
            </w:tcBorders>
            <w:shd w:val="clear" w:color="000000" w:fill="C9E3B4"/>
            <w:noWrap/>
            <w:vAlign w:val="center"/>
            <w:hideMark/>
          </w:tcPr>
          <w:p w14:paraId="4B915530"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17,721 </w:t>
            </w:r>
          </w:p>
        </w:tc>
        <w:tc>
          <w:tcPr>
            <w:tcW w:w="216" w:type="dxa"/>
            <w:tcBorders>
              <w:top w:val="nil"/>
              <w:left w:val="nil"/>
              <w:bottom w:val="nil"/>
              <w:right w:val="nil"/>
            </w:tcBorders>
            <w:shd w:val="clear" w:color="auto" w:fill="auto"/>
            <w:noWrap/>
            <w:vAlign w:val="center"/>
            <w:hideMark/>
          </w:tcPr>
          <w:p w14:paraId="217E02C2" w14:textId="77777777" w:rsidR="00FD595C" w:rsidRPr="00092B22" w:rsidRDefault="00FD595C"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7A3C8AAA"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21,996 </w:t>
            </w:r>
          </w:p>
        </w:tc>
      </w:tr>
      <w:tr w:rsidR="00FD595C" w:rsidRPr="00092B22" w14:paraId="572BAAB3" w14:textId="77777777" w:rsidTr="00E607DA">
        <w:trPr>
          <w:trHeight w:val="23"/>
        </w:trPr>
        <w:tc>
          <w:tcPr>
            <w:tcW w:w="6176" w:type="dxa"/>
            <w:tcBorders>
              <w:top w:val="nil"/>
              <w:left w:val="nil"/>
              <w:bottom w:val="nil"/>
              <w:right w:val="nil"/>
            </w:tcBorders>
            <w:shd w:val="clear" w:color="auto" w:fill="auto"/>
            <w:noWrap/>
            <w:vAlign w:val="center"/>
            <w:hideMark/>
          </w:tcPr>
          <w:p w14:paraId="4E2D4DE4" w14:textId="77777777" w:rsidR="00FD595C" w:rsidRPr="00092B22" w:rsidRDefault="00FD595C" w:rsidP="00E607DA">
            <w:pPr>
              <w:rPr>
                <w:rFonts w:ascii="Meta Pro" w:eastAsia="Times New Roman" w:hAnsi="Meta Pro"/>
                <w:szCs w:val="18"/>
                <w:lang w:eastAsia="en-AU"/>
              </w:rPr>
            </w:pPr>
            <w:r w:rsidRPr="00092B22">
              <w:rPr>
                <w:rFonts w:ascii="Meta Pro" w:eastAsia="Times New Roman" w:hAnsi="Meta Pro"/>
                <w:szCs w:val="18"/>
                <w:lang w:eastAsia="en-AU"/>
              </w:rPr>
              <w:lastRenderedPageBreak/>
              <w:t>Later than one year but not later than five years</w:t>
            </w:r>
          </w:p>
        </w:tc>
        <w:tc>
          <w:tcPr>
            <w:tcW w:w="1036" w:type="dxa"/>
            <w:tcBorders>
              <w:top w:val="nil"/>
              <w:left w:val="nil"/>
              <w:bottom w:val="nil"/>
              <w:right w:val="nil"/>
            </w:tcBorders>
            <w:shd w:val="clear" w:color="auto" w:fill="auto"/>
            <w:noWrap/>
            <w:vAlign w:val="center"/>
            <w:hideMark/>
          </w:tcPr>
          <w:p w14:paraId="3B12084F" w14:textId="77777777" w:rsidR="00FD595C" w:rsidRPr="00092B22" w:rsidRDefault="00FD595C" w:rsidP="00E607DA">
            <w:pPr>
              <w:rPr>
                <w:rFonts w:ascii="Meta Pro" w:eastAsia="Times New Roman" w:hAnsi="Meta Pro"/>
                <w:szCs w:val="18"/>
                <w:lang w:eastAsia="en-AU"/>
              </w:rPr>
            </w:pPr>
          </w:p>
        </w:tc>
        <w:tc>
          <w:tcPr>
            <w:tcW w:w="1156" w:type="dxa"/>
            <w:tcBorders>
              <w:top w:val="nil"/>
              <w:left w:val="nil"/>
              <w:bottom w:val="nil"/>
              <w:right w:val="nil"/>
            </w:tcBorders>
            <w:shd w:val="clear" w:color="000000" w:fill="C9E3B4"/>
            <w:noWrap/>
            <w:vAlign w:val="center"/>
            <w:hideMark/>
          </w:tcPr>
          <w:p w14:paraId="3DD5886E"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96,732 </w:t>
            </w:r>
          </w:p>
        </w:tc>
        <w:tc>
          <w:tcPr>
            <w:tcW w:w="216" w:type="dxa"/>
            <w:tcBorders>
              <w:top w:val="nil"/>
              <w:left w:val="nil"/>
              <w:bottom w:val="nil"/>
              <w:right w:val="nil"/>
            </w:tcBorders>
            <w:shd w:val="clear" w:color="auto" w:fill="auto"/>
            <w:noWrap/>
            <w:vAlign w:val="center"/>
            <w:hideMark/>
          </w:tcPr>
          <w:p w14:paraId="43DFB39C" w14:textId="77777777" w:rsidR="00FD595C" w:rsidRPr="00092B22" w:rsidRDefault="00FD595C"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77FA44BB"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94,230 </w:t>
            </w:r>
          </w:p>
        </w:tc>
      </w:tr>
      <w:tr w:rsidR="00FD595C" w:rsidRPr="00092B22" w14:paraId="0C3748C1" w14:textId="77777777" w:rsidTr="00E607DA">
        <w:trPr>
          <w:trHeight w:val="23"/>
        </w:trPr>
        <w:tc>
          <w:tcPr>
            <w:tcW w:w="6176" w:type="dxa"/>
            <w:tcBorders>
              <w:top w:val="nil"/>
              <w:left w:val="nil"/>
              <w:bottom w:val="nil"/>
              <w:right w:val="nil"/>
            </w:tcBorders>
            <w:shd w:val="clear" w:color="auto" w:fill="auto"/>
            <w:noWrap/>
            <w:vAlign w:val="center"/>
            <w:hideMark/>
          </w:tcPr>
          <w:p w14:paraId="41407D1A" w14:textId="77777777" w:rsidR="00FD595C" w:rsidRPr="00092B22" w:rsidRDefault="00FD595C" w:rsidP="00E607DA">
            <w:pPr>
              <w:rPr>
                <w:rFonts w:ascii="Meta Pro" w:eastAsia="Times New Roman" w:hAnsi="Meta Pro"/>
                <w:szCs w:val="18"/>
                <w:lang w:eastAsia="en-AU"/>
              </w:rPr>
            </w:pPr>
            <w:r w:rsidRPr="00092B22">
              <w:rPr>
                <w:rFonts w:ascii="Meta Pro" w:eastAsia="Times New Roman" w:hAnsi="Meta Pro"/>
                <w:szCs w:val="18"/>
                <w:lang w:eastAsia="en-AU"/>
              </w:rPr>
              <w:t>Later than five years but not later than ten years</w:t>
            </w:r>
          </w:p>
        </w:tc>
        <w:tc>
          <w:tcPr>
            <w:tcW w:w="1036" w:type="dxa"/>
            <w:tcBorders>
              <w:top w:val="nil"/>
              <w:left w:val="nil"/>
              <w:bottom w:val="nil"/>
              <w:right w:val="nil"/>
            </w:tcBorders>
            <w:shd w:val="clear" w:color="auto" w:fill="auto"/>
            <w:noWrap/>
            <w:vAlign w:val="center"/>
            <w:hideMark/>
          </w:tcPr>
          <w:p w14:paraId="620C33BF" w14:textId="77777777" w:rsidR="00FD595C" w:rsidRPr="00092B22" w:rsidRDefault="00FD595C" w:rsidP="00E607DA">
            <w:pPr>
              <w:rPr>
                <w:rFonts w:ascii="Meta Pro" w:eastAsia="Times New Roman" w:hAnsi="Meta Pro"/>
                <w:szCs w:val="18"/>
                <w:lang w:eastAsia="en-AU"/>
              </w:rPr>
            </w:pPr>
          </w:p>
        </w:tc>
        <w:tc>
          <w:tcPr>
            <w:tcW w:w="1156" w:type="dxa"/>
            <w:tcBorders>
              <w:top w:val="nil"/>
              <w:left w:val="nil"/>
              <w:bottom w:val="nil"/>
              <w:right w:val="nil"/>
            </w:tcBorders>
            <w:shd w:val="clear" w:color="000000" w:fill="C9E3B4"/>
            <w:noWrap/>
            <w:vAlign w:val="center"/>
            <w:hideMark/>
          </w:tcPr>
          <w:p w14:paraId="092A1668"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103,165 </w:t>
            </w:r>
          </w:p>
        </w:tc>
        <w:tc>
          <w:tcPr>
            <w:tcW w:w="216" w:type="dxa"/>
            <w:tcBorders>
              <w:top w:val="nil"/>
              <w:left w:val="nil"/>
              <w:bottom w:val="nil"/>
              <w:right w:val="nil"/>
            </w:tcBorders>
            <w:shd w:val="clear" w:color="auto" w:fill="auto"/>
            <w:noWrap/>
            <w:vAlign w:val="center"/>
            <w:hideMark/>
          </w:tcPr>
          <w:p w14:paraId="2EAA5C77" w14:textId="77777777" w:rsidR="00FD595C" w:rsidRPr="00092B22" w:rsidRDefault="00FD595C"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58A9FC0C"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128,290 </w:t>
            </w:r>
          </w:p>
        </w:tc>
      </w:tr>
      <w:tr w:rsidR="00FD595C" w:rsidRPr="00092B22" w14:paraId="25E54DB8" w14:textId="77777777" w:rsidTr="00E607DA">
        <w:trPr>
          <w:trHeight w:val="23"/>
        </w:trPr>
        <w:tc>
          <w:tcPr>
            <w:tcW w:w="6176" w:type="dxa"/>
            <w:tcBorders>
              <w:top w:val="nil"/>
              <w:left w:val="nil"/>
              <w:bottom w:val="nil"/>
              <w:right w:val="nil"/>
            </w:tcBorders>
            <w:shd w:val="clear" w:color="auto" w:fill="auto"/>
            <w:noWrap/>
            <w:vAlign w:val="center"/>
            <w:hideMark/>
          </w:tcPr>
          <w:p w14:paraId="3FEED946" w14:textId="77777777" w:rsidR="00FD595C" w:rsidRPr="00092B22" w:rsidRDefault="00FD595C" w:rsidP="00E607DA">
            <w:pPr>
              <w:rPr>
                <w:rFonts w:ascii="Meta Pro" w:eastAsia="Times New Roman" w:hAnsi="Meta Pro"/>
                <w:i/>
                <w:iCs/>
                <w:szCs w:val="18"/>
                <w:lang w:eastAsia="en-AU"/>
              </w:rPr>
            </w:pPr>
            <w:r w:rsidRPr="00092B22">
              <w:rPr>
                <w:rFonts w:ascii="Meta Pro" w:eastAsia="Times New Roman" w:hAnsi="Meta Pro"/>
                <w:i/>
                <w:iCs/>
                <w:szCs w:val="18"/>
                <w:lang w:eastAsia="en-AU"/>
              </w:rPr>
              <w:t>Outflows:</w:t>
            </w:r>
          </w:p>
        </w:tc>
        <w:tc>
          <w:tcPr>
            <w:tcW w:w="1036" w:type="dxa"/>
            <w:tcBorders>
              <w:top w:val="nil"/>
              <w:left w:val="nil"/>
              <w:bottom w:val="nil"/>
              <w:right w:val="nil"/>
            </w:tcBorders>
            <w:shd w:val="clear" w:color="auto" w:fill="auto"/>
            <w:noWrap/>
            <w:vAlign w:val="center"/>
            <w:hideMark/>
          </w:tcPr>
          <w:p w14:paraId="49121F02" w14:textId="77777777" w:rsidR="00FD595C" w:rsidRPr="00092B22" w:rsidRDefault="00FD595C" w:rsidP="00E607DA">
            <w:pPr>
              <w:rPr>
                <w:rFonts w:ascii="Meta Pro" w:eastAsia="Times New Roman" w:hAnsi="Meta Pro"/>
                <w:i/>
                <w:iCs/>
                <w:szCs w:val="18"/>
                <w:lang w:eastAsia="en-AU"/>
              </w:rPr>
            </w:pPr>
          </w:p>
        </w:tc>
        <w:tc>
          <w:tcPr>
            <w:tcW w:w="1156" w:type="dxa"/>
            <w:tcBorders>
              <w:top w:val="nil"/>
              <w:left w:val="nil"/>
              <w:bottom w:val="nil"/>
              <w:right w:val="nil"/>
            </w:tcBorders>
            <w:shd w:val="clear" w:color="000000" w:fill="C9E3B4"/>
            <w:noWrap/>
            <w:vAlign w:val="center"/>
            <w:hideMark/>
          </w:tcPr>
          <w:p w14:paraId="573C5BA1" w14:textId="77777777" w:rsidR="00FD595C" w:rsidRPr="00092B22" w:rsidRDefault="00FD595C" w:rsidP="00E607DA">
            <w:pPr>
              <w:rPr>
                <w:rFonts w:ascii="Meta Pro" w:eastAsia="Times New Roman" w:hAnsi="Meta Pro"/>
                <w:i/>
                <w:iCs/>
                <w:szCs w:val="18"/>
                <w:lang w:eastAsia="en-AU"/>
              </w:rPr>
            </w:pPr>
            <w:r w:rsidRPr="00092B22">
              <w:rPr>
                <w:rFonts w:ascii="Meta Pro" w:eastAsia="Times New Roman" w:hAnsi="Meta Pro"/>
                <w:i/>
                <w:iCs/>
                <w:szCs w:val="18"/>
                <w:lang w:eastAsia="en-AU"/>
              </w:rPr>
              <w:t> </w:t>
            </w:r>
          </w:p>
        </w:tc>
        <w:tc>
          <w:tcPr>
            <w:tcW w:w="216" w:type="dxa"/>
            <w:tcBorders>
              <w:top w:val="nil"/>
              <w:left w:val="nil"/>
              <w:bottom w:val="nil"/>
              <w:right w:val="nil"/>
            </w:tcBorders>
            <w:shd w:val="clear" w:color="auto" w:fill="auto"/>
            <w:noWrap/>
            <w:vAlign w:val="center"/>
            <w:hideMark/>
          </w:tcPr>
          <w:p w14:paraId="41940967" w14:textId="77777777" w:rsidR="00FD595C" w:rsidRPr="00092B22" w:rsidRDefault="00FD595C" w:rsidP="00E607DA">
            <w:pPr>
              <w:rPr>
                <w:rFonts w:ascii="Meta Pro" w:eastAsia="Times New Roman" w:hAnsi="Meta Pro"/>
                <w:i/>
                <w:iCs/>
                <w:szCs w:val="18"/>
                <w:lang w:eastAsia="en-AU"/>
              </w:rPr>
            </w:pPr>
          </w:p>
        </w:tc>
        <w:tc>
          <w:tcPr>
            <w:tcW w:w="1156" w:type="dxa"/>
            <w:tcBorders>
              <w:top w:val="nil"/>
              <w:left w:val="nil"/>
              <w:bottom w:val="nil"/>
              <w:right w:val="nil"/>
            </w:tcBorders>
            <w:shd w:val="clear" w:color="auto" w:fill="auto"/>
            <w:noWrap/>
            <w:vAlign w:val="center"/>
            <w:hideMark/>
          </w:tcPr>
          <w:p w14:paraId="67398D0E" w14:textId="77777777" w:rsidR="00FD595C" w:rsidRPr="00092B22" w:rsidRDefault="00FD595C" w:rsidP="00E607DA">
            <w:pPr>
              <w:jc w:val="right"/>
              <w:rPr>
                <w:rFonts w:ascii="Meta Pro" w:eastAsia="Times New Roman" w:hAnsi="Meta Pro" w:cs="Times New Roman"/>
                <w:sz w:val="20"/>
                <w:szCs w:val="20"/>
                <w:lang w:eastAsia="en-AU"/>
              </w:rPr>
            </w:pPr>
          </w:p>
        </w:tc>
      </w:tr>
      <w:tr w:rsidR="00FD595C" w:rsidRPr="00092B22" w14:paraId="04DAD1F2" w14:textId="77777777" w:rsidTr="00E607DA">
        <w:trPr>
          <w:trHeight w:val="23"/>
        </w:trPr>
        <w:tc>
          <w:tcPr>
            <w:tcW w:w="6176" w:type="dxa"/>
            <w:tcBorders>
              <w:top w:val="nil"/>
              <w:left w:val="nil"/>
              <w:bottom w:val="nil"/>
              <w:right w:val="nil"/>
            </w:tcBorders>
            <w:shd w:val="clear" w:color="auto" w:fill="auto"/>
            <w:noWrap/>
            <w:vAlign w:val="center"/>
            <w:hideMark/>
          </w:tcPr>
          <w:p w14:paraId="68E35A71" w14:textId="77777777" w:rsidR="00FD595C" w:rsidRPr="00092B22" w:rsidRDefault="00FD595C" w:rsidP="00E607DA">
            <w:pPr>
              <w:rPr>
                <w:rFonts w:ascii="Meta Pro" w:eastAsia="Times New Roman" w:hAnsi="Meta Pro"/>
                <w:szCs w:val="18"/>
                <w:lang w:eastAsia="en-AU"/>
              </w:rPr>
            </w:pPr>
            <w:r w:rsidRPr="00092B22">
              <w:rPr>
                <w:rFonts w:ascii="Meta Pro" w:eastAsia="Times New Roman" w:hAnsi="Meta Pro"/>
                <w:szCs w:val="18"/>
                <w:lang w:eastAsia="en-AU"/>
              </w:rPr>
              <w:t>Not later than one year</w:t>
            </w:r>
          </w:p>
        </w:tc>
        <w:tc>
          <w:tcPr>
            <w:tcW w:w="1036" w:type="dxa"/>
            <w:tcBorders>
              <w:top w:val="nil"/>
              <w:left w:val="nil"/>
              <w:bottom w:val="nil"/>
              <w:right w:val="nil"/>
            </w:tcBorders>
            <w:shd w:val="clear" w:color="auto" w:fill="auto"/>
            <w:noWrap/>
            <w:vAlign w:val="center"/>
            <w:hideMark/>
          </w:tcPr>
          <w:p w14:paraId="75118FA4" w14:textId="77777777" w:rsidR="00FD595C" w:rsidRPr="00092B22" w:rsidRDefault="00FD595C" w:rsidP="00E607DA">
            <w:pPr>
              <w:rPr>
                <w:rFonts w:ascii="Meta Pro" w:eastAsia="Times New Roman" w:hAnsi="Meta Pro"/>
                <w:szCs w:val="18"/>
                <w:lang w:eastAsia="en-AU"/>
              </w:rPr>
            </w:pPr>
          </w:p>
        </w:tc>
        <w:tc>
          <w:tcPr>
            <w:tcW w:w="1156" w:type="dxa"/>
            <w:tcBorders>
              <w:top w:val="nil"/>
              <w:left w:val="nil"/>
              <w:bottom w:val="nil"/>
              <w:right w:val="nil"/>
            </w:tcBorders>
            <w:shd w:val="clear" w:color="000000" w:fill="C9E3B4"/>
            <w:noWrap/>
            <w:vAlign w:val="center"/>
            <w:hideMark/>
          </w:tcPr>
          <w:p w14:paraId="3DC08AAD"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(111,650)</w:t>
            </w:r>
          </w:p>
        </w:tc>
        <w:tc>
          <w:tcPr>
            <w:tcW w:w="216" w:type="dxa"/>
            <w:tcBorders>
              <w:top w:val="nil"/>
              <w:left w:val="nil"/>
              <w:bottom w:val="nil"/>
              <w:right w:val="nil"/>
            </w:tcBorders>
            <w:shd w:val="clear" w:color="auto" w:fill="auto"/>
            <w:noWrap/>
            <w:vAlign w:val="center"/>
            <w:hideMark/>
          </w:tcPr>
          <w:p w14:paraId="1E94F1AE" w14:textId="77777777" w:rsidR="00FD595C" w:rsidRPr="00092B22" w:rsidRDefault="00FD595C"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53086A17"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(111,048)</w:t>
            </w:r>
          </w:p>
        </w:tc>
      </w:tr>
      <w:tr w:rsidR="00FD595C" w:rsidRPr="00092B22" w14:paraId="6EC152D9" w14:textId="77777777" w:rsidTr="00E607DA">
        <w:trPr>
          <w:trHeight w:val="23"/>
        </w:trPr>
        <w:tc>
          <w:tcPr>
            <w:tcW w:w="6176" w:type="dxa"/>
            <w:tcBorders>
              <w:top w:val="nil"/>
              <w:left w:val="nil"/>
              <w:bottom w:val="nil"/>
              <w:right w:val="nil"/>
            </w:tcBorders>
            <w:shd w:val="clear" w:color="auto" w:fill="auto"/>
            <w:noWrap/>
            <w:vAlign w:val="center"/>
            <w:hideMark/>
          </w:tcPr>
          <w:p w14:paraId="59B4DF5E" w14:textId="77777777" w:rsidR="00FD595C" w:rsidRPr="00092B22" w:rsidRDefault="00FD595C" w:rsidP="00E607DA">
            <w:pPr>
              <w:rPr>
                <w:rFonts w:ascii="Meta Pro" w:eastAsia="Times New Roman" w:hAnsi="Meta Pro"/>
                <w:szCs w:val="18"/>
                <w:lang w:eastAsia="en-AU"/>
              </w:rPr>
            </w:pPr>
            <w:r w:rsidRPr="00092B22">
              <w:rPr>
                <w:rFonts w:ascii="Meta Pro" w:eastAsia="Times New Roman" w:hAnsi="Meta Pro"/>
                <w:szCs w:val="18"/>
                <w:lang w:eastAsia="en-AU"/>
              </w:rPr>
              <w:t>Later than one year but not later than five years</w:t>
            </w:r>
          </w:p>
        </w:tc>
        <w:tc>
          <w:tcPr>
            <w:tcW w:w="1036" w:type="dxa"/>
            <w:tcBorders>
              <w:top w:val="nil"/>
              <w:left w:val="nil"/>
              <w:bottom w:val="nil"/>
              <w:right w:val="nil"/>
            </w:tcBorders>
            <w:shd w:val="clear" w:color="auto" w:fill="auto"/>
            <w:noWrap/>
            <w:vAlign w:val="center"/>
            <w:hideMark/>
          </w:tcPr>
          <w:p w14:paraId="0AEA0AAB" w14:textId="77777777" w:rsidR="00FD595C" w:rsidRPr="00092B22" w:rsidRDefault="00FD595C" w:rsidP="00E607DA">
            <w:pPr>
              <w:rPr>
                <w:rFonts w:ascii="Meta Pro" w:eastAsia="Times New Roman" w:hAnsi="Meta Pro"/>
                <w:szCs w:val="18"/>
                <w:lang w:eastAsia="en-AU"/>
              </w:rPr>
            </w:pPr>
          </w:p>
        </w:tc>
        <w:tc>
          <w:tcPr>
            <w:tcW w:w="1156" w:type="dxa"/>
            <w:tcBorders>
              <w:top w:val="nil"/>
              <w:left w:val="nil"/>
              <w:bottom w:val="nil"/>
              <w:right w:val="nil"/>
            </w:tcBorders>
            <w:shd w:val="clear" w:color="000000" w:fill="C9E3B4"/>
            <w:noWrap/>
            <w:vAlign w:val="center"/>
            <w:hideMark/>
          </w:tcPr>
          <w:p w14:paraId="4FA7FCB7"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(506,474)</w:t>
            </w:r>
          </w:p>
        </w:tc>
        <w:tc>
          <w:tcPr>
            <w:tcW w:w="216" w:type="dxa"/>
            <w:tcBorders>
              <w:top w:val="nil"/>
              <w:left w:val="nil"/>
              <w:bottom w:val="nil"/>
              <w:right w:val="nil"/>
            </w:tcBorders>
            <w:shd w:val="clear" w:color="auto" w:fill="auto"/>
            <w:noWrap/>
            <w:vAlign w:val="center"/>
            <w:hideMark/>
          </w:tcPr>
          <w:p w14:paraId="7A96D3F7" w14:textId="77777777" w:rsidR="00FD595C" w:rsidRPr="00092B22" w:rsidRDefault="00FD595C"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74EA29F"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(460,676)</w:t>
            </w:r>
          </w:p>
        </w:tc>
      </w:tr>
      <w:tr w:rsidR="00FD595C" w:rsidRPr="00092B22" w14:paraId="7A19A848" w14:textId="77777777" w:rsidTr="00E607DA">
        <w:trPr>
          <w:trHeight w:val="23"/>
        </w:trPr>
        <w:tc>
          <w:tcPr>
            <w:tcW w:w="6176" w:type="dxa"/>
            <w:tcBorders>
              <w:top w:val="nil"/>
              <w:left w:val="nil"/>
              <w:bottom w:val="nil"/>
              <w:right w:val="nil"/>
            </w:tcBorders>
            <w:shd w:val="clear" w:color="auto" w:fill="auto"/>
            <w:noWrap/>
            <w:vAlign w:val="center"/>
            <w:hideMark/>
          </w:tcPr>
          <w:p w14:paraId="09944BAB" w14:textId="77777777" w:rsidR="00FD595C" w:rsidRPr="00092B22" w:rsidRDefault="00FD595C" w:rsidP="00E607DA">
            <w:pPr>
              <w:rPr>
                <w:rFonts w:ascii="Meta Pro" w:eastAsia="Times New Roman" w:hAnsi="Meta Pro"/>
                <w:szCs w:val="18"/>
                <w:lang w:eastAsia="en-AU"/>
              </w:rPr>
            </w:pPr>
            <w:r w:rsidRPr="00092B22">
              <w:rPr>
                <w:rFonts w:ascii="Meta Pro" w:eastAsia="Times New Roman" w:hAnsi="Meta Pro"/>
                <w:szCs w:val="18"/>
                <w:lang w:eastAsia="en-AU"/>
              </w:rPr>
              <w:t>Later than five years but not later than ten years</w:t>
            </w:r>
          </w:p>
        </w:tc>
        <w:tc>
          <w:tcPr>
            <w:tcW w:w="1036" w:type="dxa"/>
            <w:tcBorders>
              <w:top w:val="nil"/>
              <w:left w:val="nil"/>
              <w:bottom w:val="nil"/>
              <w:right w:val="nil"/>
            </w:tcBorders>
            <w:shd w:val="clear" w:color="auto" w:fill="auto"/>
            <w:noWrap/>
            <w:vAlign w:val="center"/>
            <w:hideMark/>
          </w:tcPr>
          <w:p w14:paraId="192783EA" w14:textId="77777777" w:rsidR="00FD595C" w:rsidRPr="00092B22" w:rsidRDefault="00FD595C" w:rsidP="00E607DA">
            <w:pPr>
              <w:rPr>
                <w:rFonts w:ascii="Meta Pro" w:eastAsia="Times New Roman" w:hAnsi="Meta Pro"/>
                <w:szCs w:val="18"/>
                <w:lang w:eastAsia="en-AU"/>
              </w:rPr>
            </w:pPr>
          </w:p>
        </w:tc>
        <w:tc>
          <w:tcPr>
            <w:tcW w:w="1156" w:type="dxa"/>
            <w:tcBorders>
              <w:top w:val="nil"/>
              <w:left w:val="nil"/>
              <w:bottom w:val="nil"/>
              <w:right w:val="nil"/>
            </w:tcBorders>
            <w:shd w:val="clear" w:color="000000" w:fill="C9E3B4"/>
            <w:noWrap/>
            <w:vAlign w:val="center"/>
            <w:hideMark/>
          </w:tcPr>
          <w:p w14:paraId="1BFC629B"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(281,783)</w:t>
            </w:r>
          </w:p>
        </w:tc>
        <w:tc>
          <w:tcPr>
            <w:tcW w:w="216" w:type="dxa"/>
            <w:tcBorders>
              <w:top w:val="nil"/>
              <w:left w:val="nil"/>
              <w:bottom w:val="nil"/>
              <w:right w:val="nil"/>
            </w:tcBorders>
            <w:shd w:val="clear" w:color="auto" w:fill="auto"/>
            <w:noWrap/>
            <w:vAlign w:val="center"/>
            <w:hideMark/>
          </w:tcPr>
          <w:p w14:paraId="3C5F896F" w14:textId="77777777" w:rsidR="00FD595C" w:rsidRPr="00092B22" w:rsidRDefault="00FD595C"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382838D9"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(384,376)</w:t>
            </w:r>
          </w:p>
        </w:tc>
      </w:tr>
      <w:tr w:rsidR="00FD595C" w:rsidRPr="00092B22" w14:paraId="31D20FFF" w14:textId="77777777" w:rsidTr="00E607DA">
        <w:trPr>
          <w:trHeight w:val="23"/>
        </w:trPr>
        <w:tc>
          <w:tcPr>
            <w:tcW w:w="6176" w:type="dxa"/>
            <w:tcBorders>
              <w:top w:val="single" w:sz="4" w:space="0" w:color="auto"/>
              <w:left w:val="nil"/>
              <w:bottom w:val="double" w:sz="6" w:space="0" w:color="auto"/>
              <w:right w:val="nil"/>
            </w:tcBorders>
            <w:shd w:val="clear" w:color="auto" w:fill="auto"/>
            <w:noWrap/>
            <w:vAlign w:val="center"/>
            <w:hideMark/>
          </w:tcPr>
          <w:p w14:paraId="4559CEFD" w14:textId="77777777" w:rsidR="00FD595C" w:rsidRPr="00092B22" w:rsidRDefault="00FD595C" w:rsidP="00E607DA">
            <w:pPr>
              <w:rPr>
                <w:rFonts w:ascii="Meta Pro" w:eastAsia="Times New Roman" w:hAnsi="Meta Pro"/>
                <w:b/>
                <w:bCs/>
                <w:szCs w:val="18"/>
                <w:lang w:eastAsia="en-AU"/>
              </w:rPr>
            </w:pPr>
            <w:r w:rsidRPr="00092B22">
              <w:rPr>
                <w:rFonts w:ascii="Meta Pro" w:eastAsia="Times New Roman" w:hAnsi="Meta Pro"/>
                <w:b/>
                <w:bCs/>
                <w:szCs w:val="18"/>
                <w:lang w:eastAsia="en-AU"/>
              </w:rPr>
              <w:t>Estimated net cash flow</w:t>
            </w:r>
          </w:p>
        </w:tc>
        <w:tc>
          <w:tcPr>
            <w:tcW w:w="1036" w:type="dxa"/>
            <w:tcBorders>
              <w:top w:val="single" w:sz="4" w:space="0" w:color="auto"/>
              <w:left w:val="nil"/>
              <w:bottom w:val="double" w:sz="6" w:space="0" w:color="auto"/>
              <w:right w:val="nil"/>
            </w:tcBorders>
            <w:shd w:val="clear" w:color="auto" w:fill="auto"/>
            <w:noWrap/>
            <w:vAlign w:val="center"/>
            <w:hideMark/>
          </w:tcPr>
          <w:p w14:paraId="21668B11" w14:textId="77777777" w:rsidR="00FD595C" w:rsidRPr="00092B22" w:rsidRDefault="00FD595C" w:rsidP="00E607DA">
            <w:pPr>
              <w:jc w:val="center"/>
              <w:rPr>
                <w:rFonts w:ascii="Meta Pro" w:eastAsia="Times New Roman" w:hAnsi="Meta Pro"/>
                <w:szCs w:val="18"/>
                <w:lang w:eastAsia="en-AU"/>
              </w:rPr>
            </w:pPr>
            <w:r w:rsidRPr="00092B22">
              <w:rPr>
                <w:rFonts w:ascii="Meta Pro" w:eastAsia="Times New Roman" w:hAnsi="Meta Pro"/>
                <w:szCs w:val="18"/>
                <w:lang w:eastAsia="en-AU"/>
              </w:rPr>
              <w:t> </w:t>
            </w:r>
          </w:p>
        </w:tc>
        <w:tc>
          <w:tcPr>
            <w:tcW w:w="1156" w:type="dxa"/>
            <w:tcBorders>
              <w:top w:val="single" w:sz="4" w:space="0" w:color="auto"/>
              <w:left w:val="nil"/>
              <w:bottom w:val="double" w:sz="6" w:space="0" w:color="auto"/>
              <w:right w:val="nil"/>
            </w:tcBorders>
            <w:shd w:val="clear" w:color="000000" w:fill="C9E3B4"/>
            <w:noWrap/>
            <w:vAlign w:val="center"/>
            <w:hideMark/>
          </w:tcPr>
          <w:p w14:paraId="75F1C5C4" w14:textId="77777777" w:rsidR="00FD595C" w:rsidRPr="00092B22" w:rsidRDefault="00FD595C"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(682,289)</w:t>
            </w:r>
          </w:p>
        </w:tc>
        <w:tc>
          <w:tcPr>
            <w:tcW w:w="216" w:type="dxa"/>
            <w:tcBorders>
              <w:top w:val="single" w:sz="4" w:space="0" w:color="auto"/>
              <w:left w:val="nil"/>
              <w:bottom w:val="double" w:sz="6" w:space="0" w:color="auto"/>
              <w:right w:val="nil"/>
            </w:tcBorders>
            <w:shd w:val="clear" w:color="auto" w:fill="auto"/>
            <w:noWrap/>
            <w:vAlign w:val="center"/>
            <w:hideMark/>
          </w:tcPr>
          <w:p w14:paraId="573CF20E"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581ED4AF" w14:textId="77777777" w:rsidR="00FD595C" w:rsidRPr="00092B22" w:rsidRDefault="00FD595C"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(711,584)</w:t>
            </w:r>
          </w:p>
        </w:tc>
      </w:tr>
      <w:tr w:rsidR="00FD595C" w:rsidRPr="00092B22" w14:paraId="33B26C11" w14:textId="77777777" w:rsidTr="00E607DA">
        <w:trPr>
          <w:trHeight w:val="270"/>
        </w:trPr>
        <w:tc>
          <w:tcPr>
            <w:tcW w:w="6176" w:type="dxa"/>
            <w:tcBorders>
              <w:top w:val="nil"/>
              <w:left w:val="nil"/>
              <w:bottom w:val="nil"/>
              <w:right w:val="nil"/>
            </w:tcBorders>
            <w:shd w:val="clear" w:color="auto" w:fill="auto"/>
            <w:noWrap/>
            <w:vAlign w:val="center"/>
            <w:hideMark/>
          </w:tcPr>
          <w:p w14:paraId="62BC7BFB" w14:textId="77777777" w:rsidR="00FD595C" w:rsidRPr="00092B22" w:rsidRDefault="00FD595C" w:rsidP="00E607DA">
            <w:pPr>
              <w:jc w:val="right"/>
              <w:rPr>
                <w:rFonts w:ascii="Meta Pro" w:eastAsia="Times New Roman" w:hAnsi="Meta Pro"/>
                <w:b/>
                <w:bCs/>
                <w:szCs w:val="18"/>
                <w:lang w:eastAsia="en-AU"/>
              </w:rPr>
            </w:pPr>
          </w:p>
        </w:tc>
        <w:tc>
          <w:tcPr>
            <w:tcW w:w="1036" w:type="dxa"/>
            <w:tcBorders>
              <w:top w:val="nil"/>
              <w:left w:val="nil"/>
              <w:bottom w:val="nil"/>
              <w:right w:val="nil"/>
            </w:tcBorders>
            <w:shd w:val="clear" w:color="auto" w:fill="auto"/>
            <w:vAlign w:val="center"/>
            <w:hideMark/>
          </w:tcPr>
          <w:p w14:paraId="73ED3DEC" w14:textId="77777777" w:rsidR="00FD595C" w:rsidRPr="00092B22" w:rsidRDefault="00FD595C" w:rsidP="00E607DA">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vAlign w:val="center"/>
            <w:hideMark/>
          </w:tcPr>
          <w:p w14:paraId="6F6D7C98" w14:textId="77777777" w:rsidR="00FD595C" w:rsidRPr="00092B22" w:rsidRDefault="00FD595C" w:rsidP="00E607DA">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5651C8C8" w14:textId="77777777" w:rsidR="00FD595C" w:rsidRPr="00092B22" w:rsidRDefault="00FD595C" w:rsidP="00E607DA">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vAlign w:val="center"/>
            <w:hideMark/>
          </w:tcPr>
          <w:p w14:paraId="1A907A59" w14:textId="77777777" w:rsidR="00FD595C" w:rsidRPr="00092B22" w:rsidRDefault="00FD595C" w:rsidP="00E607DA">
            <w:pPr>
              <w:jc w:val="right"/>
              <w:rPr>
                <w:rFonts w:ascii="Meta Pro" w:eastAsia="Times New Roman" w:hAnsi="Meta Pro" w:cs="Times New Roman"/>
                <w:sz w:val="20"/>
                <w:szCs w:val="20"/>
                <w:lang w:eastAsia="en-AU"/>
              </w:rPr>
            </w:pPr>
          </w:p>
        </w:tc>
      </w:tr>
      <w:tr w:rsidR="00FD595C" w:rsidRPr="00092B22" w14:paraId="1DF8110E" w14:textId="77777777" w:rsidTr="00E607DA">
        <w:trPr>
          <w:trHeight w:val="23"/>
        </w:trPr>
        <w:tc>
          <w:tcPr>
            <w:tcW w:w="6176" w:type="dxa"/>
            <w:tcBorders>
              <w:top w:val="nil"/>
              <w:left w:val="nil"/>
              <w:bottom w:val="nil"/>
              <w:right w:val="nil"/>
            </w:tcBorders>
            <w:shd w:val="clear" w:color="auto" w:fill="auto"/>
            <w:noWrap/>
            <w:vAlign w:val="center"/>
            <w:hideMark/>
          </w:tcPr>
          <w:p w14:paraId="5EE8A9CE" w14:textId="77777777" w:rsidR="00FD595C" w:rsidRPr="00092B22" w:rsidRDefault="00FD595C" w:rsidP="00E607DA">
            <w:pPr>
              <w:rPr>
                <w:rFonts w:ascii="Meta Pro" w:eastAsia="Times New Roman" w:hAnsi="Meta Pro"/>
                <w:b/>
                <w:bCs/>
                <w:szCs w:val="18"/>
                <w:lang w:eastAsia="en-AU"/>
              </w:rPr>
            </w:pPr>
            <w:r w:rsidRPr="00092B22">
              <w:rPr>
                <w:rFonts w:ascii="Meta Pro" w:eastAsia="Times New Roman" w:hAnsi="Meta Pro"/>
                <w:b/>
                <w:bCs/>
                <w:szCs w:val="18"/>
                <w:lang w:eastAsia="en-AU"/>
              </w:rPr>
              <w:t>Operating statement impact</w:t>
            </w:r>
          </w:p>
        </w:tc>
        <w:tc>
          <w:tcPr>
            <w:tcW w:w="1036" w:type="dxa"/>
            <w:tcBorders>
              <w:top w:val="nil"/>
              <w:left w:val="nil"/>
              <w:bottom w:val="nil"/>
              <w:right w:val="nil"/>
            </w:tcBorders>
            <w:shd w:val="clear" w:color="auto" w:fill="auto"/>
            <w:noWrap/>
            <w:vAlign w:val="center"/>
            <w:hideMark/>
          </w:tcPr>
          <w:p w14:paraId="1EC737AD" w14:textId="77777777" w:rsidR="00FD595C" w:rsidRPr="00092B22" w:rsidRDefault="00FD595C" w:rsidP="00E607DA">
            <w:pPr>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5BAFBAA4" w14:textId="77777777" w:rsidR="00FD595C" w:rsidRPr="00092B22" w:rsidRDefault="00FD595C" w:rsidP="00E607DA">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7F981AC3" w14:textId="77777777" w:rsidR="00FD595C" w:rsidRPr="00092B22" w:rsidRDefault="00FD595C" w:rsidP="00E607DA">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0947AE58" w14:textId="77777777" w:rsidR="00FD595C" w:rsidRPr="00092B22" w:rsidRDefault="00FD595C" w:rsidP="00E607DA">
            <w:pPr>
              <w:jc w:val="right"/>
              <w:rPr>
                <w:rFonts w:ascii="Meta Pro" w:eastAsia="Times New Roman" w:hAnsi="Meta Pro" w:cs="Times New Roman"/>
                <w:sz w:val="20"/>
                <w:szCs w:val="20"/>
                <w:lang w:eastAsia="en-AU"/>
              </w:rPr>
            </w:pPr>
          </w:p>
        </w:tc>
      </w:tr>
      <w:tr w:rsidR="00FD595C" w:rsidRPr="00092B22" w14:paraId="64E01314" w14:textId="77777777" w:rsidTr="00E607DA">
        <w:trPr>
          <w:trHeight w:val="23"/>
        </w:trPr>
        <w:tc>
          <w:tcPr>
            <w:tcW w:w="6176" w:type="dxa"/>
            <w:tcBorders>
              <w:top w:val="nil"/>
              <w:left w:val="nil"/>
              <w:bottom w:val="nil"/>
              <w:right w:val="nil"/>
            </w:tcBorders>
            <w:shd w:val="clear" w:color="auto" w:fill="auto"/>
            <w:noWrap/>
            <w:vAlign w:val="center"/>
            <w:hideMark/>
          </w:tcPr>
          <w:p w14:paraId="50B30A92" w14:textId="77777777" w:rsidR="00FD595C" w:rsidRPr="00092B22" w:rsidRDefault="00FD595C" w:rsidP="00E607DA">
            <w:pPr>
              <w:rPr>
                <w:rFonts w:ascii="Meta Pro" w:eastAsia="Times New Roman" w:hAnsi="Meta Pro"/>
                <w:b/>
                <w:bCs/>
                <w:szCs w:val="18"/>
                <w:lang w:eastAsia="en-AU"/>
              </w:rPr>
            </w:pPr>
            <w:r w:rsidRPr="00092B22">
              <w:rPr>
                <w:rFonts w:ascii="Meta Pro" w:eastAsia="Times New Roman" w:hAnsi="Meta Pro"/>
                <w:b/>
                <w:bCs/>
                <w:szCs w:val="18"/>
                <w:lang w:eastAsia="en-AU"/>
              </w:rPr>
              <w:t>Revenue</w:t>
            </w:r>
          </w:p>
        </w:tc>
        <w:tc>
          <w:tcPr>
            <w:tcW w:w="1036" w:type="dxa"/>
            <w:tcBorders>
              <w:top w:val="nil"/>
              <w:left w:val="nil"/>
              <w:bottom w:val="nil"/>
              <w:right w:val="nil"/>
            </w:tcBorders>
            <w:shd w:val="clear" w:color="auto" w:fill="auto"/>
            <w:noWrap/>
            <w:vAlign w:val="center"/>
            <w:hideMark/>
          </w:tcPr>
          <w:p w14:paraId="7FA95DA0" w14:textId="77777777" w:rsidR="00FD595C" w:rsidRPr="00092B22" w:rsidRDefault="00FD595C" w:rsidP="00E607DA">
            <w:pPr>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1F79B41F" w14:textId="77777777" w:rsidR="00FD595C" w:rsidRPr="00092B22" w:rsidRDefault="00FD595C" w:rsidP="00E607DA">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1AFFB971" w14:textId="77777777" w:rsidR="00FD595C" w:rsidRPr="00092B22" w:rsidRDefault="00FD595C" w:rsidP="00E607DA">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5F79F605" w14:textId="77777777" w:rsidR="00FD595C" w:rsidRPr="00092B22" w:rsidRDefault="00FD595C" w:rsidP="00E607DA">
            <w:pPr>
              <w:jc w:val="right"/>
              <w:rPr>
                <w:rFonts w:ascii="Meta Pro" w:eastAsia="Times New Roman" w:hAnsi="Meta Pro" w:cs="Times New Roman"/>
                <w:sz w:val="20"/>
                <w:szCs w:val="20"/>
                <w:lang w:eastAsia="en-AU"/>
              </w:rPr>
            </w:pPr>
          </w:p>
        </w:tc>
      </w:tr>
      <w:tr w:rsidR="00FD595C" w:rsidRPr="00092B22" w14:paraId="3F4E6C9E" w14:textId="77777777" w:rsidTr="00E607DA">
        <w:trPr>
          <w:trHeight w:val="23"/>
        </w:trPr>
        <w:tc>
          <w:tcPr>
            <w:tcW w:w="6176" w:type="dxa"/>
            <w:tcBorders>
              <w:top w:val="nil"/>
              <w:left w:val="nil"/>
              <w:bottom w:val="nil"/>
              <w:right w:val="nil"/>
            </w:tcBorders>
            <w:shd w:val="clear" w:color="auto" w:fill="auto"/>
            <w:noWrap/>
            <w:vAlign w:val="center"/>
            <w:hideMark/>
          </w:tcPr>
          <w:p w14:paraId="0348CA60" w14:textId="77777777" w:rsidR="00FD595C" w:rsidRPr="00092B22" w:rsidRDefault="00FD595C" w:rsidP="00E607DA">
            <w:pPr>
              <w:rPr>
                <w:rFonts w:ascii="Meta Pro" w:eastAsia="Times New Roman" w:hAnsi="Meta Pro"/>
                <w:szCs w:val="18"/>
                <w:lang w:eastAsia="en-AU"/>
              </w:rPr>
            </w:pPr>
            <w:r w:rsidRPr="00092B22">
              <w:rPr>
                <w:rFonts w:ascii="Meta Pro" w:eastAsia="Times New Roman" w:hAnsi="Meta Pro"/>
                <w:szCs w:val="18"/>
                <w:lang w:eastAsia="en-AU"/>
              </w:rPr>
              <w:t>Advertising</w:t>
            </w:r>
          </w:p>
        </w:tc>
        <w:tc>
          <w:tcPr>
            <w:tcW w:w="1036" w:type="dxa"/>
            <w:tcBorders>
              <w:top w:val="nil"/>
              <w:left w:val="nil"/>
              <w:bottom w:val="nil"/>
              <w:right w:val="nil"/>
            </w:tcBorders>
            <w:shd w:val="clear" w:color="auto" w:fill="auto"/>
            <w:noWrap/>
            <w:vAlign w:val="center"/>
            <w:hideMark/>
          </w:tcPr>
          <w:p w14:paraId="1A886BC4" w14:textId="77777777" w:rsidR="00FD595C" w:rsidRPr="00092B22" w:rsidRDefault="00FD595C" w:rsidP="00E607DA">
            <w:pPr>
              <w:rPr>
                <w:rFonts w:ascii="Meta Pro" w:eastAsia="Times New Roman" w:hAnsi="Meta Pro"/>
                <w:szCs w:val="18"/>
                <w:lang w:eastAsia="en-AU"/>
              </w:rPr>
            </w:pPr>
          </w:p>
        </w:tc>
        <w:tc>
          <w:tcPr>
            <w:tcW w:w="1156" w:type="dxa"/>
            <w:tcBorders>
              <w:top w:val="nil"/>
              <w:left w:val="nil"/>
              <w:bottom w:val="nil"/>
              <w:right w:val="nil"/>
            </w:tcBorders>
            <w:shd w:val="clear" w:color="000000" w:fill="C9E3B4"/>
            <w:noWrap/>
            <w:vAlign w:val="center"/>
            <w:hideMark/>
          </w:tcPr>
          <w:p w14:paraId="7E9AFC18"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458 </w:t>
            </w:r>
          </w:p>
        </w:tc>
        <w:tc>
          <w:tcPr>
            <w:tcW w:w="216" w:type="dxa"/>
            <w:tcBorders>
              <w:top w:val="nil"/>
              <w:left w:val="nil"/>
              <w:bottom w:val="nil"/>
              <w:right w:val="nil"/>
            </w:tcBorders>
            <w:shd w:val="clear" w:color="auto" w:fill="auto"/>
            <w:noWrap/>
            <w:vAlign w:val="center"/>
            <w:hideMark/>
          </w:tcPr>
          <w:p w14:paraId="1AC616E9" w14:textId="77777777" w:rsidR="00FD595C" w:rsidRPr="00092B22" w:rsidRDefault="00FD595C"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3C69BB97"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271 </w:t>
            </w:r>
          </w:p>
        </w:tc>
      </w:tr>
      <w:tr w:rsidR="00FD595C" w:rsidRPr="00092B22" w14:paraId="11FF40A8" w14:textId="77777777" w:rsidTr="00E607DA">
        <w:trPr>
          <w:trHeight w:val="23"/>
        </w:trPr>
        <w:tc>
          <w:tcPr>
            <w:tcW w:w="6176" w:type="dxa"/>
            <w:tcBorders>
              <w:top w:val="nil"/>
              <w:left w:val="nil"/>
              <w:bottom w:val="nil"/>
              <w:right w:val="nil"/>
            </w:tcBorders>
            <w:shd w:val="clear" w:color="auto" w:fill="auto"/>
            <w:noWrap/>
            <w:vAlign w:val="center"/>
            <w:hideMark/>
          </w:tcPr>
          <w:p w14:paraId="3EA9BE4B" w14:textId="77777777" w:rsidR="00FD595C" w:rsidRPr="00092B22" w:rsidRDefault="00FD595C" w:rsidP="00E607DA">
            <w:pPr>
              <w:spacing w:after="100"/>
              <w:rPr>
                <w:rFonts w:ascii="Meta Pro" w:eastAsia="Times New Roman" w:hAnsi="Meta Pro"/>
                <w:szCs w:val="18"/>
                <w:lang w:eastAsia="en-AU"/>
              </w:rPr>
            </w:pPr>
            <w:r w:rsidRPr="00092B22">
              <w:rPr>
                <w:rFonts w:ascii="Meta Pro" w:eastAsia="Times New Roman" w:hAnsi="Meta Pro"/>
                <w:szCs w:val="18"/>
                <w:lang w:eastAsia="en-AU"/>
              </w:rPr>
              <w:t>Fare revenue</w:t>
            </w:r>
          </w:p>
        </w:tc>
        <w:tc>
          <w:tcPr>
            <w:tcW w:w="1036" w:type="dxa"/>
            <w:tcBorders>
              <w:top w:val="nil"/>
              <w:left w:val="nil"/>
              <w:bottom w:val="nil"/>
              <w:right w:val="nil"/>
            </w:tcBorders>
            <w:shd w:val="clear" w:color="auto" w:fill="auto"/>
            <w:noWrap/>
            <w:vAlign w:val="center"/>
            <w:hideMark/>
          </w:tcPr>
          <w:p w14:paraId="10F6155F" w14:textId="77777777" w:rsidR="00FD595C" w:rsidRPr="00092B22" w:rsidRDefault="00FD595C" w:rsidP="00E607DA">
            <w:pPr>
              <w:jc w:val="center"/>
              <w:rPr>
                <w:rFonts w:ascii="Meta Pro" w:eastAsia="Times New Roman" w:hAnsi="Meta Pro"/>
                <w:szCs w:val="18"/>
                <w:lang w:eastAsia="en-AU"/>
              </w:rPr>
            </w:pPr>
            <w:r w:rsidRPr="00092B22">
              <w:rPr>
                <w:rFonts w:ascii="Meta Pro" w:eastAsia="Times New Roman" w:hAnsi="Meta Pro"/>
                <w:szCs w:val="18"/>
                <w:lang w:eastAsia="en-AU"/>
              </w:rPr>
              <w:t>3</w:t>
            </w:r>
          </w:p>
        </w:tc>
        <w:tc>
          <w:tcPr>
            <w:tcW w:w="1156" w:type="dxa"/>
            <w:tcBorders>
              <w:top w:val="nil"/>
              <w:left w:val="nil"/>
              <w:bottom w:val="nil"/>
              <w:right w:val="nil"/>
            </w:tcBorders>
            <w:shd w:val="clear" w:color="000000" w:fill="C9E3B4"/>
            <w:noWrap/>
            <w:vAlign w:val="center"/>
            <w:hideMark/>
          </w:tcPr>
          <w:p w14:paraId="4B9E93FC"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11,813 </w:t>
            </w:r>
          </w:p>
        </w:tc>
        <w:tc>
          <w:tcPr>
            <w:tcW w:w="216" w:type="dxa"/>
            <w:tcBorders>
              <w:top w:val="nil"/>
              <w:left w:val="nil"/>
              <w:bottom w:val="nil"/>
              <w:right w:val="nil"/>
            </w:tcBorders>
            <w:shd w:val="clear" w:color="auto" w:fill="auto"/>
            <w:noWrap/>
            <w:vAlign w:val="center"/>
            <w:hideMark/>
          </w:tcPr>
          <w:p w14:paraId="1DA00669" w14:textId="77777777" w:rsidR="00FD595C" w:rsidRPr="00092B22" w:rsidRDefault="00FD595C"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1F22B826"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10,890 </w:t>
            </w:r>
          </w:p>
        </w:tc>
      </w:tr>
      <w:tr w:rsidR="00FD595C" w:rsidRPr="00092B22" w14:paraId="28984B3B" w14:textId="77777777" w:rsidTr="00E607DA">
        <w:trPr>
          <w:trHeight w:hRule="exact" w:val="23"/>
        </w:trPr>
        <w:tc>
          <w:tcPr>
            <w:tcW w:w="6176" w:type="dxa"/>
            <w:tcBorders>
              <w:top w:val="nil"/>
              <w:left w:val="nil"/>
              <w:bottom w:val="nil"/>
              <w:right w:val="nil"/>
            </w:tcBorders>
            <w:shd w:val="clear" w:color="auto" w:fill="auto"/>
            <w:noWrap/>
            <w:vAlign w:val="center"/>
            <w:hideMark/>
          </w:tcPr>
          <w:p w14:paraId="08601F03" w14:textId="77777777" w:rsidR="00FD595C" w:rsidRPr="00092B22" w:rsidRDefault="00FD595C" w:rsidP="00E607DA">
            <w:pPr>
              <w:jc w:val="right"/>
              <w:rPr>
                <w:rFonts w:ascii="Meta Pro" w:eastAsia="Times New Roman" w:hAnsi="Meta Pro"/>
                <w:szCs w:val="18"/>
                <w:lang w:eastAsia="en-AU"/>
              </w:rPr>
            </w:pPr>
          </w:p>
        </w:tc>
        <w:tc>
          <w:tcPr>
            <w:tcW w:w="1036" w:type="dxa"/>
            <w:tcBorders>
              <w:top w:val="nil"/>
              <w:left w:val="nil"/>
              <w:bottom w:val="nil"/>
              <w:right w:val="nil"/>
            </w:tcBorders>
            <w:shd w:val="clear" w:color="auto" w:fill="auto"/>
            <w:noWrap/>
            <w:vAlign w:val="center"/>
            <w:hideMark/>
          </w:tcPr>
          <w:p w14:paraId="6A926F7C" w14:textId="77777777" w:rsidR="00FD595C" w:rsidRPr="00092B22" w:rsidRDefault="00FD595C" w:rsidP="00E607DA">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000000" w:fill="C9E3B4"/>
            <w:noWrap/>
            <w:vAlign w:val="center"/>
            <w:hideMark/>
          </w:tcPr>
          <w:p w14:paraId="0ECBC722" w14:textId="77777777" w:rsidR="00FD595C" w:rsidRPr="00092B22" w:rsidRDefault="00FD595C" w:rsidP="00E607DA">
            <w:pPr>
              <w:rPr>
                <w:rFonts w:ascii="Meta Pro" w:eastAsia="Times New Roman" w:hAnsi="Meta Pro"/>
                <w:szCs w:val="18"/>
                <w:lang w:eastAsia="en-AU"/>
              </w:rPr>
            </w:pPr>
            <w:r w:rsidRPr="00092B22">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3AA32A16" w14:textId="77777777" w:rsidR="00FD595C" w:rsidRPr="00092B22" w:rsidRDefault="00FD595C" w:rsidP="00E607DA">
            <w:pPr>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20925374" w14:textId="77777777" w:rsidR="00FD595C" w:rsidRPr="00092B22" w:rsidRDefault="00FD595C" w:rsidP="00E607DA">
            <w:pPr>
              <w:jc w:val="right"/>
              <w:rPr>
                <w:rFonts w:ascii="Meta Pro" w:eastAsia="Times New Roman" w:hAnsi="Meta Pro" w:cs="Times New Roman"/>
                <w:sz w:val="20"/>
                <w:szCs w:val="20"/>
                <w:lang w:eastAsia="en-AU"/>
              </w:rPr>
            </w:pPr>
          </w:p>
        </w:tc>
      </w:tr>
      <w:tr w:rsidR="00FD595C" w:rsidRPr="00092B22" w14:paraId="7ADB7188" w14:textId="77777777" w:rsidTr="00E607DA">
        <w:trPr>
          <w:trHeight w:val="23"/>
        </w:trPr>
        <w:tc>
          <w:tcPr>
            <w:tcW w:w="6176" w:type="dxa"/>
            <w:tcBorders>
              <w:top w:val="nil"/>
              <w:left w:val="nil"/>
              <w:bottom w:val="nil"/>
              <w:right w:val="nil"/>
            </w:tcBorders>
            <w:shd w:val="clear" w:color="auto" w:fill="auto"/>
            <w:noWrap/>
            <w:vAlign w:val="center"/>
            <w:hideMark/>
          </w:tcPr>
          <w:p w14:paraId="758AD1D9" w14:textId="77777777" w:rsidR="00FD595C" w:rsidRPr="00092B22" w:rsidRDefault="00FD595C" w:rsidP="00E607DA">
            <w:pPr>
              <w:rPr>
                <w:rFonts w:ascii="Meta Pro" w:eastAsia="Times New Roman" w:hAnsi="Meta Pro"/>
                <w:b/>
                <w:bCs/>
                <w:szCs w:val="18"/>
                <w:lang w:eastAsia="en-AU"/>
              </w:rPr>
            </w:pPr>
            <w:r w:rsidRPr="00092B22">
              <w:rPr>
                <w:rFonts w:ascii="Meta Pro" w:eastAsia="Times New Roman" w:hAnsi="Meta Pro"/>
                <w:b/>
                <w:bCs/>
                <w:szCs w:val="18"/>
                <w:lang w:eastAsia="en-AU"/>
              </w:rPr>
              <w:t>Expenses</w:t>
            </w:r>
          </w:p>
        </w:tc>
        <w:tc>
          <w:tcPr>
            <w:tcW w:w="1036" w:type="dxa"/>
            <w:tcBorders>
              <w:top w:val="nil"/>
              <w:left w:val="nil"/>
              <w:bottom w:val="nil"/>
              <w:right w:val="nil"/>
            </w:tcBorders>
            <w:shd w:val="clear" w:color="auto" w:fill="auto"/>
            <w:noWrap/>
            <w:vAlign w:val="center"/>
            <w:hideMark/>
          </w:tcPr>
          <w:p w14:paraId="69A1739B" w14:textId="77777777" w:rsidR="00FD595C" w:rsidRPr="00092B22" w:rsidRDefault="00FD595C" w:rsidP="00E607DA">
            <w:pPr>
              <w:rPr>
                <w:rFonts w:ascii="Meta Pro" w:eastAsia="Times New Roman" w:hAnsi="Meta Pro"/>
                <w:b/>
                <w:bCs/>
                <w:szCs w:val="18"/>
                <w:lang w:eastAsia="en-AU"/>
              </w:rPr>
            </w:pPr>
          </w:p>
        </w:tc>
        <w:tc>
          <w:tcPr>
            <w:tcW w:w="1156" w:type="dxa"/>
            <w:tcBorders>
              <w:top w:val="nil"/>
              <w:left w:val="nil"/>
              <w:bottom w:val="nil"/>
              <w:right w:val="nil"/>
            </w:tcBorders>
            <w:shd w:val="clear" w:color="000000" w:fill="C9E3B4"/>
            <w:noWrap/>
            <w:vAlign w:val="center"/>
            <w:hideMark/>
          </w:tcPr>
          <w:p w14:paraId="71DCF239" w14:textId="77777777" w:rsidR="00FD595C" w:rsidRPr="00092B22" w:rsidRDefault="00FD595C" w:rsidP="00E607DA">
            <w:pPr>
              <w:rPr>
                <w:rFonts w:ascii="Meta Pro" w:eastAsia="Times New Roman" w:hAnsi="Meta Pro"/>
                <w:szCs w:val="18"/>
                <w:lang w:eastAsia="en-AU"/>
              </w:rPr>
            </w:pPr>
            <w:r w:rsidRPr="00092B22">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44456AA5" w14:textId="77777777" w:rsidR="00FD595C" w:rsidRPr="00092B22" w:rsidRDefault="00FD595C" w:rsidP="00E607DA">
            <w:pPr>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3619122F" w14:textId="77777777" w:rsidR="00FD595C" w:rsidRPr="00092B22" w:rsidRDefault="00FD595C" w:rsidP="00E607DA">
            <w:pPr>
              <w:jc w:val="right"/>
              <w:rPr>
                <w:rFonts w:ascii="Meta Pro" w:eastAsia="Times New Roman" w:hAnsi="Meta Pro" w:cs="Times New Roman"/>
                <w:sz w:val="20"/>
                <w:szCs w:val="20"/>
                <w:lang w:eastAsia="en-AU"/>
              </w:rPr>
            </w:pPr>
          </w:p>
        </w:tc>
      </w:tr>
      <w:tr w:rsidR="00FD595C" w:rsidRPr="00092B22" w14:paraId="67682556" w14:textId="77777777" w:rsidTr="00E607DA">
        <w:trPr>
          <w:trHeight w:val="23"/>
        </w:trPr>
        <w:tc>
          <w:tcPr>
            <w:tcW w:w="6176" w:type="dxa"/>
            <w:tcBorders>
              <w:top w:val="nil"/>
              <w:left w:val="nil"/>
              <w:bottom w:val="nil"/>
              <w:right w:val="nil"/>
            </w:tcBorders>
            <w:shd w:val="clear" w:color="auto" w:fill="auto"/>
            <w:noWrap/>
            <w:vAlign w:val="center"/>
            <w:hideMark/>
          </w:tcPr>
          <w:p w14:paraId="4F9F7427" w14:textId="77777777" w:rsidR="00FD595C" w:rsidRPr="00092B22" w:rsidRDefault="00FD595C" w:rsidP="00E607DA">
            <w:pPr>
              <w:rPr>
                <w:rFonts w:ascii="Meta Pro" w:eastAsia="Times New Roman" w:hAnsi="Meta Pro"/>
                <w:szCs w:val="18"/>
                <w:lang w:eastAsia="en-AU"/>
              </w:rPr>
            </w:pPr>
            <w:r w:rsidRPr="00092B22">
              <w:rPr>
                <w:rFonts w:ascii="Meta Pro" w:eastAsia="Times New Roman" w:hAnsi="Meta Pro"/>
                <w:szCs w:val="18"/>
                <w:lang w:eastAsia="en-AU"/>
              </w:rPr>
              <w:t>Depreciation</w:t>
            </w:r>
          </w:p>
        </w:tc>
        <w:tc>
          <w:tcPr>
            <w:tcW w:w="1036" w:type="dxa"/>
            <w:tcBorders>
              <w:top w:val="nil"/>
              <w:left w:val="nil"/>
              <w:bottom w:val="nil"/>
              <w:right w:val="nil"/>
            </w:tcBorders>
            <w:shd w:val="clear" w:color="auto" w:fill="auto"/>
            <w:noWrap/>
            <w:vAlign w:val="center"/>
            <w:hideMark/>
          </w:tcPr>
          <w:p w14:paraId="3337DEDA" w14:textId="77777777" w:rsidR="00FD595C" w:rsidRPr="00092B22" w:rsidRDefault="00FD595C" w:rsidP="00E607DA">
            <w:pPr>
              <w:jc w:val="center"/>
              <w:rPr>
                <w:rFonts w:ascii="Meta Pro" w:eastAsia="Times New Roman" w:hAnsi="Meta Pro"/>
                <w:szCs w:val="18"/>
                <w:lang w:eastAsia="en-AU"/>
              </w:rPr>
            </w:pPr>
            <w:r w:rsidRPr="00092B22">
              <w:rPr>
                <w:rFonts w:ascii="Meta Pro" w:eastAsia="Times New Roman" w:hAnsi="Meta Pro"/>
                <w:szCs w:val="18"/>
                <w:lang w:eastAsia="en-AU"/>
              </w:rPr>
              <w:t>10</w:t>
            </w:r>
          </w:p>
        </w:tc>
        <w:tc>
          <w:tcPr>
            <w:tcW w:w="1156" w:type="dxa"/>
            <w:tcBorders>
              <w:top w:val="nil"/>
              <w:left w:val="nil"/>
              <w:bottom w:val="nil"/>
              <w:right w:val="nil"/>
            </w:tcBorders>
            <w:shd w:val="clear" w:color="000000" w:fill="C9E3B4"/>
            <w:noWrap/>
            <w:vAlign w:val="center"/>
            <w:hideMark/>
          </w:tcPr>
          <w:p w14:paraId="016D0D24"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22,279 </w:t>
            </w:r>
          </w:p>
        </w:tc>
        <w:tc>
          <w:tcPr>
            <w:tcW w:w="216" w:type="dxa"/>
            <w:tcBorders>
              <w:top w:val="nil"/>
              <w:left w:val="nil"/>
              <w:bottom w:val="nil"/>
              <w:right w:val="nil"/>
            </w:tcBorders>
            <w:shd w:val="clear" w:color="auto" w:fill="auto"/>
            <w:noWrap/>
            <w:vAlign w:val="center"/>
            <w:hideMark/>
          </w:tcPr>
          <w:p w14:paraId="4F9DDD8B" w14:textId="77777777" w:rsidR="00FD595C" w:rsidRPr="00092B22" w:rsidRDefault="00FD595C"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7648F190"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22,089 </w:t>
            </w:r>
          </w:p>
        </w:tc>
      </w:tr>
      <w:tr w:rsidR="00FD595C" w:rsidRPr="00092B22" w14:paraId="7E02C5B7" w14:textId="77777777" w:rsidTr="00E607DA">
        <w:trPr>
          <w:trHeight w:val="23"/>
        </w:trPr>
        <w:tc>
          <w:tcPr>
            <w:tcW w:w="6176" w:type="dxa"/>
            <w:tcBorders>
              <w:top w:val="nil"/>
              <w:left w:val="nil"/>
              <w:bottom w:val="nil"/>
              <w:right w:val="nil"/>
            </w:tcBorders>
            <w:shd w:val="clear" w:color="auto" w:fill="auto"/>
            <w:noWrap/>
            <w:vAlign w:val="center"/>
            <w:hideMark/>
          </w:tcPr>
          <w:p w14:paraId="216D302E" w14:textId="77777777" w:rsidR="00FD595C" w:rsidRPr="00092B22" w:rsidRDefault="00FD595C" w:rsidP="00E607DA">
            <w:pPr>
              <w:rPr>
                <w:rFonts w:ascii="Meta Pro" w:eastAsia="Times New Roman" w:hAnsi="Meta Pro"/>
                <w:szCs w:val="18"/>
                <w:lang w:eastAsia="en-AU"/>
              </w:rPr>
            </w:pPr>
            <w:r w:rsidRPr="00092B22">
              <w:rPr>
                <w:rFonts w:ascii="Meta Pro" w:eastAsia="Times New Roman" w:hAnsi="Meta Pro"/>
                <w:szCs w:val="18"/>
                <w:lang w:eastAsia="en-AU"/>
              </w:rPr>
              <w:t>Interest</w:t>
            </w:r>
          </w:p>
        </w:tc>
        <w:tc>
          <w:tcPr>
            <w:tcW w:w="1036" w:type="dxa"/>
            <w:tcBorders>
              <w:top w:val="nil"/>
              <w:left w:val="nil"/>
              <w:bottom w:val="nil"/>
              <w:right w:val="nil"/>
            </w:tcBorders>
            <w:shd w:val="clear" w:color="auto" w:fill="auto"/>
            <w:noWrap/>
            <w:vAlign w:val="center"/>
            <w:hideMark/>
          </w:tcPr>
          <w:p w14:paraId="74DE29AD" w14:textId="77777777" w:rsidR="00FD595C" w:rsidRPr="00092B22" w:rsidRDefault="00FD595C" w:rsidP="00E607DA">
            <w:pPr>
              <w:jc w:val="center"/>
              <w:rPr>
                <w:rFonts w:ascii="Meta Pro" w:eastAsia="Times New Roman" w:hAnsi="Meta Pro"/>
                <w:szCs w:val="18"/>
                <w:lang w:eastAsia="en-AU"/>
              </w:rPr>
            </w:pPr>
            <w:r w:rsidRPr="00092B22">
              <w:rPr>
                <w:rFonts w:ascii="Meta Pro" w:eastAsia="Times New Roman" w:hAnsi="Meta Pro"/>
                <w:szCs w:val="18"/>
                <w:lang w:eastAsia="en-AU"/>
              </w:rPr>
              <w:t>9</w:t>
            </w:r>
          </w:p>
        </w:tc>
        <w:tc>
          <w:tcPr>
            <w:tcW w:w="1156" w:type="dxa"/>
            <w:tcBorders>
              <w:top w:val="nil"/>
              <w:left w:val="nil"/>
              <w:bottom w:val="nil"/>
              <w:right w:val="nil"/>
            </w:tcBorders>
            <w:shd w:val="clear" w:color="000000" w:fill="C9E3B4"/>
            <w:noWrap/>
            <w:vAlign w:val="center"/>
            <w:hideMark/>
          </w:tcPr>
          <w:p w14:paraId="09F1D14E"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24,204 </w:t>
            </w:r>
          </w:p>
        </w:tc>
        <w:tc>
          <w:tcPr>
            <w:tcW w:w="216" w:type="dxa"/>
            <w:tcBorders>
              <w:top w:val="nil"/>
              <w:left w:val="nil"/>
              <w:bottom w:val="nil"/>
              <w:right w:val="nil"/>
            </w:tcBorders>
            <w:shd w:val="clear" w:color="auto" w:fill="auto"/>
            <w:noWrap/>
            <w:vAlign w:val="center"/>
            <w:hideMark/>
          </w:tcPr>
          <w:p w14:paraId="1CF74FC4" w14:textId="77777777" w:rsidR="00FD595C" w:rsidRPr="00092B22" w:rsidRDefault="00FD595C"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56BBCF0B"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26,193 </w:t>
            </w:r>
          </w:p>
        </w:tc>
      </w:tr>
      <w:tr w:rsidR="00FD595C" w:rsidRPr="00092B22" w14:paraId="2ECE0896" w14:textId="77777777" w:rsidTr="00E607DA">
        <w:trPr>
          <w:trHeight w:val="23"/>
        </w:trPr>
        <w:tc>
          <w:tcPr>
            <w:tcW w:w="6176" w:type="dxa"/>
            <w:tcBorders>
              <w:top w:val="nil"/>
              <w:left w:val="nil"/>
              <w:bottom w:val="nil"/>
              <w:right w:val="nil"/>
            </w:tcBorders>
            <w:shd w:val="clear" w:color="auto" w:fill="auto"/>
            <w:noWrap/>
            <w:vAlign w:val="center"/>
            <w:hideMark/>
          </w:tcPr>
          <w:p w14:paraId="4B67ECD3" w14:textId="77777777" w:rsidR="00FD595C" w:rsidRPr="00092B22" w:rsidRDefault="00FD595C" w:rsidP="00E607DA">
            <w:pPr>
              <w:rPr>
                <w:rFonts w:ascii="Meta Pro" w:eastAsia="Times New Roman" w:hAnsi="Meta Pro"/>
                <w:szCs w:val="18"/>
                <w:lang w:eastAsia="en-AU"/>
              </w:rPr>
            </w:pPr>
            <w:r w:rsidRPr="00092B22">
              <w:rPr>
                <w:rFonts w:ascii="Meta Pro" w:eastAsia="Times New Roman" w:hAnsi="Meta Pro"/>
                <w:szCs w:val="18"/>
                <w:lang w:eastAsia="en-AU"/>
              </w:rPr>
              <w:t>Service expenses</w:t>
            </w:r>
          </w:p>
        </w:tc>
        <w:tc>
          <w:tcPr>
            <w:tcW w:w="1036" w:type="dxa"/>
            <w:tcBorders>
              <w:top w:val="nil"/>
              <w:left w:val="nil"/>
              <w:bottom w:val="nil"/>
              <w:right w:val="nil"/>
            </w:tcBorders>
            <w:shd w:val="clear" w:color="auto" w:fill="auto"/>
            <w:noWrap/>
            <w:vAlign w:val="center"/>
            <w:hideMark/>
          </w:tcPr>
          <w:p w14:paraId="6CF5317E" w14:textId="77777777" w:rsidR="00FD595C" w:rsidRPr="00092B22" w:rsidRDefault="00FD595C" w:rsidP="00E607DA">
            <w:pPr>
              <w:rPr>
                <w:rFonts w:ascii="Meta Pro" w:eastAsia="Times New Roman" w:hAnsi="Meta Pro"/>
                <w:szCs w:val="18"/>
                <w:lang w:eastAsia="en-AU"/>
              </w:rPr>
            </w:pPr>
          </w:p>
        </w:tc>
        <w:tc>
          <w:tcPr>
            <w:tcW w:w="1156" w:type="dxa"/>
            <w:tcBorders>
              <w:top w:val="nil"/>
              <w:left w:val="nil"/>
              <w:bottom w:val="nil"/>
              <w:right w:val="nil"/>
            </w:tcBorders>
            <w:shd w:val="clear" w:color="000000" w:fill="C9E3B4"/>
            <w:noWrap/>
            <w:vAlign w:val="center"/>
            <w:hideMark/>
          </w:tcPr>
          <w:p w14:paraId="15789C9F"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62,553 </w:t>
            </w:r>
          </w:p>
        </w:tc>
        <w:tc>
          <w:tcPr>
            <w:tcW w:w="216" w:type="dxa"/>
            <w:tcBorders>
              <w:top w:val="nil"/>
              <w:left w:val="nil"/>
              <w:bottom w:val="nil"/>
              <w:right w:val="nil"/>
            </w:tcBorders>
            <w:shd w:val="clear" w:color="auto" w:fill="auto"/>
            <w:noWrap/>
            <w:vAlign w:val="center"/>
            <w:hideMark/>
          </w:tcPr>
          <w:p w14:paraId="4F1D3E54" w14:textId="77777777" w:rsidR="00FD595C" w:rsidRPr="00092B22" w:rsidRDefault="00FD595C"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2FECE9B1"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60,810 </w:t>
            </w:r>
          </w:p>
        </w:tc>
      </w:tr>
      <w:tr w:rsidR="00FD595C" w:rsidRPr="00092B22" w14:paraId="1B8D4FDF" w14:textId="77777777" w:rsidTr="00E607DA">
        <w:trPr>
          <w:trHeight w:val="23"/>
        </w:trPr>
        <w:tc>
          <w:tcPr>
            <w:tcW w:w="6176" w:type="dxa"/>
            <w:tcBorders>
              <w:top w:val="single" w:sz="4" w:space="0" w:color="auto"/>
              <w:left w:val="nil"/>
              <w:bottom w:val="double" w:sz="6" w:space="0" w:color="auto"/>
              <w:right w:val="nil"/>
            </w:tcBorders>
            <w:shd w:val="clear" w:color="auto" w:fill="auto"/>
            <w:noWrap/>
            <w:vAlign w:val="center"/>
            <w:hideMark/>
          </w:tcPr>
          <w:p w14:paraId="312C41CD" w14:textId="77777777" w:rsidR="00FD595C" w:rsidRPr="00092B22" w:rsidRDefault="00FD595C" w:rsidP="00E607DA">
            <w:pPr>
              <w:rPr>
                <w:rFonts w:ascii="Meta Pro" w:eastAsia="Times New Roman" w:hAnsi="Meta Pro"/>
                <w:b/>
                <w:bCs/>
                <w:szCs w:val="18"/>
                <w:lang w:eastAsia="en-AU"/>
              </w:rPr>
            </w:pPr>
            <w:r w:rsidRPr="00092B22">
              <w:rPr>
                <w:rFonts w:ascii="Meta Pro" w:eastAsia="Times New Roman" w:hAnsi="Meta Pro"/>
                <w:b/>
                <w:bCs/>
                <w:szCs w:val="18"/>
                <w:lang w:eastAsia="en-AU"/>
              </w:rPr>
              <w:t>Net impact on operating result</w:t>
            </w:r>
          </w:p>
        </w:tc>
        <w:tc>
          <w:tcPr>
            <w:tcW w:w="1036" w:type="dxa"/>
            <w:tcBorders>
              <w:top w:val="single" w:sz="4" w:space="0" w:color="auto"/>
              <w:left w:val="nil"/>
              <w:bottom w:val="double" w:sz="6" w:space="0" w:color="auto"/>
              <w:right w:val="nil"/>
            </w:tcBorders>
            <w:shd w:val="clear" w:color="auto" w:fill="auto"/>
            <w:noWrap/>
            <w:vAlign w:val="center"/>
            <w:hideMark/>
          </w:tcPr>
          <w:p w14:paraId="09E5311D" w14:textId="77777777" w:rsidR="00FD595C" w:rsidRPr="00092B22" w:rsidRDefault="00FD595C" w:rsidP="00E607DA">
            <w:pPr>
              <w:jc w:val="center"/>
              <w:rPr>
                <w:rFonts w:ascii="Meta Pro" w:eastAsia="Times New Roman" w:hAnsi="Meta Pro"/>
                <w:szCs w:val="18"/>
                <w:lang w:eastAsia="en-AU"/>
              </w:rPr>
            </w:pPr>
            <w:r w:rsidRPr="00092B22">
              <w:rPr>
                <w:rFonts w:ascii="Meta Pro" w:eastAsia="Times New Roman" w:hAnsi="Meta Pro"/>
                <w:szCs w:val="18"/>
                <w:lang w:eastAsia="en-AU"/>
              </w:rPr>
              <w:t> </w:t>
            </w:r>
          </w:p>
        </w:tc>
        <w:tc>
          <w:tcPr>
            <w:tcW w:w="1156" w:type="dxa"/>
            <w:tcBorders>
              <w:top w:val="single" w:sz="4" w:space="0" w:color="auto"/>
              <w:left w:val="nil"/>
              <w:bottom w:val="double" w:sz="6" w:space="0" w:color="auto"/>
              <w:right w:val="nil"/>
            </w:tcBorders>
            <w:shd w:val="clear" w:color="000000" w:fill="C9E3B4"/>
            <w:noWrap/>
            <w:vAlign w:val="center"/>
            <w:hideMark/>
          </w:tcPr>
          <w:p w14:paraId="3899DEA2" w14:textId="77777777" w:rsidR="00FD595C" w:rsidRPr="00092B22" w:rsidRDefault="00FD595C"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(96,765)</w:t>
            </w:r>
          </w:p>
        </w:tc>
        <w:tc>
          <w:tcPr>
            <w:tcW w:w="216" w:type="dxa"/>
            <w:tcBorders>
              <w:top w:val="single" w:sz="4" w:space="0" w:color="auto"/>
              <w:left w:val="nil"/>
              <w:bottom w:val="double" w:sz="6" w:space="0" w:color="auto"/>
              <w:right w:val="nil"/>
            </w:tcBorders>
            <w:shd w:val="clear" w:color="auto" w:fill="auto"/>
            <w:vAlign w:val="center"/>
            <w:hideMark/>
          </w:tcPr>
          <w:p w14:paraId="01FEB011" w14:textId="77777777" w:rsidR="00FD595C" w:rsidRPr="00092B22" w:rsidRDefault="00FD595C" w:rsidP="00E607DA">
            <w:pPr>
              <w:rPr>
                <w:rFonts w:ascii="Meta Pro" w:eastAsia="Times New Roman" w:hAnsi="Meta Pro"/>
                <w:szCs w:val="18"/>
                <w:lang w:eastAsia="en-AU"/>
              </w:rPr>
            </w:pPr>
            <w:r w:rsidRPr="00092B22">
              <w:rPr>
                <w:rFonts w:ascii="Meta Pro" w:eastAsia="Times New Roman" w:hAnsi="Meta Pro"/>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22B52D08" w14:textId="77777777" w:rsidR="00FD595C" w:rsidRPr="00092B22" w:rsidRDefault="00FD595C"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(97,931)</w:t>
            </w:r>
          </w:p>
        </w:tc>
      </w:tr>
    </w:tbl>
    <w:p w14:paraId="173DDED4" w14:textId="77777777" w:rsidR="00FD595C" w:rsidRPr="00092B22" w:rsidRDefault="00FD595C" w:rsidP="00FD595C">
      <w:pPr>
        <w:rPr>
          <w:rFonts w:ascii="Meta Pro" w:eastAsia="Times New Roman" w:hAnsi="Meta Pro"/>
          <w:szCs w:val="18"/>
          <w:lang w:eastAsia="en-AU"/>
        </w:rPr>
      </w:pPr>
    </w:p>
    <w:p w14:paraId="3B9A2310" w14:textId="77777777" w:rsidR="00FD595C" w:rsidRPr="00092B22" w:rsidRDefault="00FD595C" w:rsidP="00FD595C">
      <w:pPr>
        <w:spacing w:after="120"/>
        <w:rPr>
          <w:rFonts w:ascii="Meta Pro" w:eastAsia="Times New Roman" w:hAnsi="Meta Pro"/>
          <w:b/>
          <w:bCs/>
          <w:szCs w:val="18"/>
          <w:lang w:eastAsia="en-AU"/>
        </w:rPr>
      </w:pPr>
      <w:r w:rsidRPr="00092B22">
        <w:rPr>
          <w:rFonts w:ascii="Meta Pro" w:eastAsia="Times New Roman" w:hAnsi="Meta Pro"/>
          <w:b/>
          <w:bCs/>
          <w:szCs w:val="18"/>
          <w:lang w:eastAsia="en-AU"/>
        </w:rPr>
        <w:t>Toowoomba Bypass</w:t>
      </w:r>
    </w:p>
    <w:p w14:paraId="233FF18F" w14:textId="77777777" w:rsidR="00FD595C" w:rsidRPr="00092B22" w:rsidRDefault="00FD595C" w:rsidP="00FD595C">
      <w:pPr>
        <w:spacing w:after="120"/>
        <w:rPr>
          <w:rFonts w:ascii="Meta Pro" w:eastAsia="Times New Roman" w:hAnsi="Meta Pro"/>
          <w:szCs w:val="18"/>
          <w:lang w:eastAsia="en-AU"/>
        </w:rPr>
      </w:pPr>
      <w:r w:rsidRPr="00092B22">
        <w:rPr>
          <w:rFonts w:ascii="Meta Pro" w:eastAsia="Times New Roman" w:hAnsi="Meta Pro"/>
          <w:szCs w:val="18"/>
          <w:lang w:eastAsia="en-AU"/>
        </w:rPr>
        <w:t>In August 2015 the department entered into a contractual arrangement with Nexus Infrastructure Consortium to finance, design, build, operate and maintain a range crossing connecting the Warrego Highway at Helidon Spa in the east with the Gore Highway at Athol in the west, via Charlton. The bypass opened to traffic in September 2019 and toll collection commenced in December 2019, with Transurban Queensland contracted to provide the tolling collection service on behalf of the department.</w:t>
      </w:r>
      <w:r w:rsidRPr="00092B22">
        <w:rPr>
          <w:rFonts w:ascii="Meta Pro" w:eastAsia="Times New Roman" w:hAnsi="Meta Pro"/>
          <w:szCs w:val="18"/>
          <w:lang w:eastAsia="en-AU"/>
        </w:rPr>
        <w:tab/>
      </w:r>
    </w:p>
    <w:p w14:paraId="6722BF22" w14:textId="77777777" w:rsidR="00FD595C" w:rsidRPr="00092B22" w:rsidRDefault="00FD595C" w:rsidP="00FD595C">
      <w:pPr>
        <w:spacing w:after="120"/>
        <w:rPr>
          <w:rFonts w:ascii="Meta Pro" w:eastAsia="Times New Roman" w:hAnsi="Meta Pro"/>
          <w:szCs w:val="18"/>
          <w:lang w:eastAsia="en-AU"/>
        </w:rPr>
      </w:pPr>
      <w:r w:rsidRPr="00092B22">
        <w:rPr>
          <w:rFonts w:ascii="Meta Pro" w:eastAsia="Times New Roman" w:hAnsi="Meta Pro"/>
          <w:szCs w:val="18"/>
          <w:lang w:eastAsia="en-AU"/>
        </w:rPr>
        <w:t xml:space="preserve">The department will make ongoing quarterly service payments over the 25 year operation and maintenance period at an implicit interest rate of 5.32%, which includes repayment of the debt finance used to construct the bypass. Maintenance payments are expensed during the relevant year. </w:t>
      </w:r>
    </w:p>
    <w:p w14:paraId="3B0B606E" w14:textId="77777777" w:rsidR="00FD595C" w:rsidRPr="00092B22" w:rsidRDefault="00FD595C" w:rsidP="00FD595C">
      <w:pPr>
        <w:spacing w:after="120"/>
        <w:rPr>
          <w:rFonts w:ascii="Meta Pro" w:eastAsia="Times New Roman" w:hAnsi="Meta Pro"/>
          <w:szCs w:val="18"/>
          <w:lang w:eastAsia="en-AU"/>
        </w:rPr>
      </w:pPr>
      <w:r w:rsidRPr="00092B22">
        <w:rPr>
          <w:rFonts w:ascii="Meta Pro" w:eastAsia="Times New Roman" w:hAnsi="Meta Pro"/>
          <w:szCs w:val="18"/>
          <w:lang w:eastAsia="en-AU"/>
        </w:rPr>
        <w:t>At the expiry of the concession period the department will retain ownership of the road infrastructure.</w:t>
      </w:r>
    </w:p>
    <w:p w14:paraId="3170A8F2" w14:textId="544F3F4E" w:rsidR="00FD595C" w:rsidRPr="00092B22" w:rsidRDefault="007571ED" w:rsidP="00FD595C">
      <w:pPr>
        <w:spacing w:after="120"/>
        <w:rPr>
          <w:rFonts w:ascii="Meta Pro" w:hAnsi="Meta Pro" w:cstheme="minorBidi"/>
        </w:rPr>
      </w:pPr>
      <w:r>
        <w:rPr>
          <w:rFonts w:ascii="Meta Pro" w:eastAsia="Times New Roman" w:hAnsi="Meta Pro"/>
          <w:szCs w:val="18"/>
          <w:lang w:eastAsia="en-AU"/>
        </w:rPr>
        <w:lastRenderedPageBreak/>
        <w:t>T</w:t>
      </w:r>
      <w:r w:rsidR="00FD595C" w:rsidRPr="00092B22">
        <w:rPr>
          <w:rFonts w:ascii="Meta Pro" w:eastAsia="Times New Roman" w:hAnsi="Meta Pro"/>
          <w:szCs w:val="18"/>
          <w:lang w:eastAsia="en-AU"/>
        </w:rPr>
        <w:t>he estimated future cash flows excluding GST are detailed below:</w:t>
      </w:r>
    </w:p>
    <w:tbl>
      <w:tblPr>
        <w:tblW w:w="0" w:type="auto"/>
        <w:tblCellMar>
          <w:left w:w="0" w:type="dxa"/>
        </w:tblCellMar>
        <w:tblLook w:val="04A0" w:firstRow="1" w:lastRow="0" w:firstColumn="1" w:lastColumn="0" w:noHBand="0" w:noVBand="1"/>
      </w:tblPr>
      <w:tblGrid>
        <w:gridCol w:w="5640"/>
        <w:gridCol w:w="332"/>
        <w:gridCol w:w="640"/>
        <w:gridCol w:w="344"/>
        <w:gridCol w:w="736"/>
        <w:gridCol w:w="153"/>
        <w:gridCol w:w="228"/>
        <w:gridCol w:w="496"/>
        <w:gridCol w:w="514"/>
        <w:gridCol w:w="555"/>
      </w:tblGrid>
      <w:tr w:rsidR="00FD595C" w:rsidRPr="00092B22" w14:paraId="738455EA" w14:textId="77777777" w:rsidTr="00FD5C35">
        <w:trPr>
          <w:gridAfter w:val="1"/>
          <w:wAfter w:w="568" w:type="dxa"/>
          <w:trHeight w:val="23"/>
        </w:trPr>
        <w:tc>
          <w:tcPr>
            <w:tcW w:w="5763" w:type="dxa"/>
            <w:tcBorders>
              <w:top w:val="nil"/>
              <w:left w:val="nil"/>
              <w:bottom w:val="nil"/>
              <w:right w:val="nil"/>
            </w:tcBorders>
            <w:shd w:val="clear" w:color="auto" w:fill="auto"/>
            <w:noWrap/>
            <w:vAlign w:val="center"/>
            <w:hideMark/>
          </w:tcPr>
          <w:p w14:paraId="4A0E2BF9" w14:textId="77777777" w:rsidR="00FD595C" w:rsidRPr="00092B22" w:rsidRDefault="00FD595C" w:rsidP="00E607DA">
            <w:pPr>
              <w:rPr>
                <w:rFonts w:ascii="Meta Pro" w:eastAsia="Times New Roman" w:hAnsi="Meta Pro"/>
                <w:b/>
                <w:bCs/>
                <w:szCs w:val="18"/>
                <w:lang w:eastAsia="en-AU"/>
              </w:rPr>
            </w:pPr>
            <w:r w:rsidRPr="00092B22">
              <w:rPr>
                <w:rFonts w:ascii="Meta Pro" w:eastAsia="Times New Roman" w:hAnsi="Meta Pro"/>
                <w:b/>
                <w:bCs/>
                <w:szCs w:val="18"/>
                <w:lang w:eastAsia="en-AU"/>
              </w:rPr>
              <w:t>Estimated cash flows</w:t>
            </w:r>
          </w:p>
        </w:tc>
        <w:tc>
          <w:tcPr>
            <w:tcW w:w="979" w:type="dxa"/>
            <w:gridSpan w:val="2"/>
            <w:tcBorders>
              <w:top w:val="nil"/>
              <w:left w:val="nil"/>
              <w:bottom w:val="nil"/>
              <w:right w:val="nil"/>
            </w:tcBorders>
            <w:shd w:val="clear" w:color="auto" w:fill="auto"/>
            <w:noWrap/>
            <w:vAlign w:val="center"/>
            <w:hideMark/>
          </w:tcPr>
          <w:p w14:paraId="1CB9C40E" w14:textId="77777777" w:rsidR="00FD595C" w:rsidRPr="00092B22" w:rsidRDefault="00FD595C" w:rsidP="00E607DA">
            <w:pPr>
              <w:rPr>
                <w:rFonts w:ascii="Meta Pro" w:eastAsia="Times New Roman" w:hAnsi="Meta Pro"/>
                <w:b/>
                <w:bCs/>
                <w:szCs w:val="18"/>
                <w:lang w:eastAsia="en-AU"/>
              </w:rPr>
            </w:pPr>
          </w:p>
        </w:tc>
        <w:tc>
          <w:tcPr>
            <w:tcW w:w="1091" w:type="dxa"/>
            <w:gridSpan w:val="2"/>
            <w:tcBorders>
              <w:top w:val="nil"/>
              <w:left w:val="nil"/>
              <w:bottom w:val="nil"/>
              <w:right w:val="nil"/>
            </w:tcBorders>
            <w:shd w:val="clear" w:color="auto" w:fill="auto"/>
            <w:noWrap/>
            <w:vAlign w:val="center"/>
            <w:hideMark/>
          </w:tcPr>
          <w:p w14:paraId="1DA30356" w14:textId="77777777" w:rsidR="00FD595C" w:rsidRPr="00092B22" w:rsidRDefault="00FD595C" w:rsidP="00E607DA">
            <w:pPr>
              <w:jc w:val="center"/>
              <w:rPr>
                <w:rFonts w:ascii="Meta Pro" w:eastAsia="Times New Roman" w:hAnsi="Meta Pro" w:cs="Times New Roman"/>
                <w:sz w:val="20"/>
                <w:szCs w:val="20"/>
                <w:lang w:eastAsia="en-AU"/>
              </w:rPr>
            </w:pPr>
          </w:p>
        </w:tc>
        <w:tc>
          <w:tcPr>
            <w:tcW w:w="146" w:type="dxa"/>
            <w:tcBorders>
              <w:top w:val="nil"/>
              <w:left w:val="nil"/>
              <w:bottom w:val="nil"/>
              <w:right w:val="nil"/>
            </w:tcBorders>
            <w:shd w:val="clear" w:color="auto" w:fill="auto"/>
            <w:vAlign w:val="center"/>
            <w:hideMark/>
          </w:tcPr>
          <w:p w14:paraId="11C3C134" w14:textId="77777777" w:rsidR="00FD595C" w:rsidRPr="00092B22" w:rsidRDefault="00FD595C" w:rsidP="00E607DA">
            <w:pPr>
              <w:rPr>
                <w:rFonts w:ascii="Meta Pro" w:eastAsia="Times New Roman" w:hAnsi="Meta Pro" w:cs="Times New Roman"/>
                <w:sz w:val="20"/>
                <w:szCs w:val="20"/>
                <w:lang w:eastAsia="en-AU"/>
              </w:rPr>
            </w:pPr>
          </w:p>
        </w:tc>
        <w:tc>
          <w:tcPr>
            <w:tcW w:w="1091" w:type="dxa"/>
            <w:gridSpan w:val="3"/>
            <w:tcBorders>
              <w:top w:val="nil"/>
              <w:left w:val="nil"/>
              <w:bottom w:val="nil"/>
              <w:right w:val="nil"/>
            </w:tcBorders>
            <w:shd w:val="clear" w:color="auto" w:fill="auto"/>
            <w:noWrap/>
            <w:vAlign w:val="center"/>
            <w:hideMark/>
          </w:tcPr>
          <w:p w14:paraId="1DD79BE5" w14:textId="77777777" w:rsidR="00FD595C" w:rsidRPr="00092B22" w:rsidRDefault="00FD595C" w:rsidP="00E607DA">
            <w:pPr>
              <w:rPr>
                <w:rFonts w:ascii="Meta Pro" w:eastAsia="Times New Roman" w:hAnsi="Meta Pro" w:cs="Times New Roman"/>
                <w:sz w:val="20"/>
                <w:szCs w:val="20"/>
                <w:lang w:eastAsia="en-AU"/>
              </w:rPr>
            </w:pPr>
          </w:p>
        </w:tc>
      </w:tr>
      <w:tr w:rsidR="00FD595C" w:rsidRPr="00092B22" w14:paraId="1FFFA895" w14:textId="77777777" w:rsidTr="00FD5C35">
        <w:trPr>
          <w:gridAfter w:val="1"/>
          <w:wAfter w:w="568" w:type="dxa"/>
          <w:trHeight w:val="23"/>
        </w:trPr>
        <w:tc>
          <w:tcPr>
            <w:tcW w:w="5763" w:type="dxa"/>
            <w:tcBorders>
              <w:top w:val="nil"/>
              <w:left w:val="nil"/>
              <w:bottom w:val="nil"/>
              <w:right w:val="nil"/>
            </w:tcBorders>
            <w:shd w:val="clear" w:color="auto" w:fill="auto"/>
            <w:noWrap/>
            <w:vAlign w:val="center"/>
            <w:hideMark/>
          </w:tcPr>
          <w:p w14:paraId="36E0D4EA" w14:textId="77777777" w:rsidR="00FD595C" w:rsidRPr="00092B22" w:rsidRDefault="00FD595C" w:rsidP="00E607DA">
            <w:pPr>
              <w:rPr>
                <w:rFonts w:ascii="Meta Pro" w:eastAsia="Times New Roman" w:hAnsi="Meta Pro"/>
                <w:i/>
                <w:iCs/>
                <w:szCs w:val="18"/>
                <w:lang w:eastAsia="en-AU"/>
              </w:rPr>
            </w:pPr>
            <w:r w:rsidRPr="00092B22">
              <w:rPr>
                <w:rFonts w:ascii="Meta Pro" w:eastAsia="Times New Roman" w:hAnsi="Meta Pro"/>
                <w:i/>
                <w:iCs/>
                <w:szCs w:val="18"/>
                <w:lang w:eastAsia="en-AU"/>
              </w:rPr>
              <w:t>Inflows:</w:t>
            </w:r>
          </w:p>
        </w:tc>
        <w:tc>
          <w:tcPr>
            <w:tcW w:w="979" w:type="dxa"/>
            <w:gridSpan w:val="2"/>
            <w:tcBorders>
              <w:top w:val="nil"/>
              <w:left w:val="nil"/>
              <w:bottom w:val="nil"/>
              <w:right w:val="nil"/>
            </w:tcBorders>
            <w:shd w:val="clear" w:color="auto" w:fill="auto"/>
            <w:noWrap/>
            <w:vAlign w:val="center"/>
            <w:hideMark/>
          </w:tcPr>
          <w:p w14:paraId="6A54E5DA" w14:textId="77777777" w:rsidR="00FD595C" w:rsidRPr="00092B22" w:rsidRDefault="00FD595C" w:rsidP="00E607DA">
            <w:pPr>
              <w:rPr>
                <w:rFonts w:ascii="Meta Pro" w:eastAsia="Times New Roman" w:hAnsi="Meta Pro"/>
                <w:i/>
                <w:iCs/>
                <w:szCs w:val="18"/>
                <w:lang w:eastAsia="en-AU"/>
              </w:rPr>
            </w:pPr>
          </w:p>
        </w:tc>
        <w:tc>
          <w:tcPr>
            <w:tcW w:w="1091" w:type="dxa"/>
            <w:gridSpan w:val="2"/>
            <w:tcBorders>
              <w:top w:val="nil"/>
              <w:left w:val="nil"/>
              <w:bottom w:val="nil"/>
              <w:right w:val="nil"/>
            </w:tcBorders>
            <w:shd w:val="clear" w:color="auto" w:fill="auto"/>
            <w:noWrap/>
            <w:vAlign w:val="center"/>
            <w:hideMark/>
          </w:tcPr>
          <w:p w14:paraId="5602DC06" w14:textId="77777777" w:rsidR="00FD595C" w:rsidRPr="00092B22" w:rsidRDefault="00FD595C" w:rsidP="00E607DA">
            <w:pPr>
              <w:jc w:val="center"/>
              <w:rPr>
                <w:rFonts w:ascii="Meta Pro" w:eastAsia="Times New Roman" w:hAnsi="Meta Pro" w:cs="Times New Roman"/>
                <w:sz w:val="20"/>
                <w:szCs w:val="20"/>
                <w:lang w:eastAsia="en-AU"/>
              </w:rPr>
            </w:pPr>
          </w:p>
        </w:tc>
        <w:tc>
          <w:tcPr>
            <w:tcW w:w="146" w:type="dxa"/>
            <w:tcBorders>
              <w:top w:val="nil"/>
              <w:left w:val="nil"/>
              <w:bottom w:val="nil"/>
              <w:right w:val="nil"/>
            </w:tcBorders>
            <w:shd w:val="clear" w:color="auto" w:fill="auto"/>
            <w:noWrap/>
            <w:vAlign w:val="center"/>
            <w:hideMark/>
          </w:tcPr>
          <w:p w14:paraId="46BFA760" w14:textId="77777777" w:rsidR="00FD595C" w:rsidRPr="00092B22" w:rsidRDefault="00FD595C" w:rsidP="00E607DA">
            <w:pPr>
              <w:jc w:val="right"/>
              <w:rPr>
                <w:rFonts w:ascii="Meta Pro" w:eastAsia="Times New Roman" w:hAnsi="Meta Pro" w:cs="Times New Roman"/>
                <w:sz w:val="20"/>
                <w:szCs w:val="20"/>
                <w:lang w:eastAsia="en-AU"/>
              </w:rPr>
            </w:pPr>
          </w:p>
        </w:tc>
        <w:tc>
          <w:tcPr>
            <w:tcW w:w="1091" w:type="dxa"/>
            <w:gridSpan w:val="3"/>
            <w:tcBorders>
              <w:top w:val="nil"/>
              <w:left w:val="nil"/>
              <w:bottom w:val="nil"/>
              <w:right w:val="nil"/>
            </w:tcBorders>
            <w:shd w:val="clear" w:color="auto" w:fill="auto"/>
            <w:noWrap/>
            <w:vAlign w:val="center"/>
            <w:hideMark/>
          </w:tcPr>
          <w:p w14:paraId="4184D582" w14:textId="77777777" w:rsidR="00FD595C" w:rsidRPr="00092B22" w:rsidRDefault="00FD595C" w:rsidP="00E607DA">
            <w:pPr>
              <w:jc w:val="right"/>
              <w:rPr>
                <w:rFonts w:ascii="Meta Pro" w:eastAsia="Times New Roman" w:hAnsi="Meta Pro" w:cs="Times New Roman"/>
                <w:sz w:val="20"/>
                <w:szCs w:val="20"/>
                <w:lang w:eastAsia="en-AU"/>
              </w:rPr>
            </w:pPr>
          </w:p>
        </w:tc>
      </w:tr>
      <w:tr w:rsidR="00FD595C" w:rsidRPr="00092B22" w14:paraId="27F7841B" w14:textId="77777777" w:rsidTr="00FD5C35">
        <w:trPr>
          <w:gridAfter w:val="1"/>
          <w:wAfter w:w="568" w:type="dxa"/>
          <w:trHeight w:val="23"/>
        </w:trPr>
        <w:tc>
          <w:tcPr>
            <w:tcW w:w="5763" w:type="dxa"/>
            <w:tcBorders>
              <w:top w:val="nil"/>
              <w:left w:val="nil"/>
              <w:bottom w:val="nil"/>
              <w:right w:val="nil"/>
            </w:tcBorders>
            <w:shd w:val="clear" w:color="auto" w:fill="auto"/>
            <w:noWrap/>
            <w:vAlign w:val="center"/>
            <w:hideMark/>
          </w:tcPr>
          <w:p w14:paraId="2DF31321" w14:textId="77777777" w:rsidR="00FD595C" w:rsidRPr="00092B22" w:rsidRDefault="00FD595C" w:rsidP="00E607DA">
            <w:pPr>
              <w:rPr>
                <w:rFonts w:ascii="Meta Pro" w:eastAsia="Times New Roman" w:hAnsi="Meta Pro"/>
                <w:szCs w:val="18"/>
                <w:lang w:eastAsia="en-AU"/>
              </w:rPr>
            </w:pPr>
            <w:r w:rsidRPr="00092B22">
              <w:rPr>
                <w:rFonts w:ascii="Meta Pro" w:eastAsia="Times New Roman" w:hAnsi="Meta Pro"/>
                <w:szCs w:val="18"/>
                <w:lang w:eastAsia="en-AU"/>
              </w:rPr>
              <w:t>Not later than one year</w:t>
            </w:r>
          </w:p>
        </w:tc>
        <w:tc>
          <w:tcPr>
            <w:tcW w:w="979" w:type="dxa"/>
            <w:gridSpan w:val="2"/>
            <w:tcBorders>
              <w:top w:val="nil"/>
              <w:left w:val="nil"/>
              <w:bottom w:val="nil"/>
              <w:right w:val="nil"/>
            </w:tcBorders>
            <w:shd w:val="clear" w:color="auto" w:fill="auto"/>
            <w:noWrap/>
            <w:vAlign w:val="center"/>
            <w:hideMark/>
          </w:tcPr>
          <w:p w14:paraId="613198E7" w14:textId="77777777" w:rsidR="00FD595C" w:rsidRPr="00092B22" w:rsidRDefault="00FD595C" w:rsidP="00E607DA">
            <w:pPr>
              <w:rPr>
                <w:rFonts w:ascii="Meta Pro" w:eastAsia="Times New Roman" w:hAnsi="Meta Pro"/>
                <w:szCs w:val="18"/>
                <w:lang w:eastAsia="en-AU"/>
              </w:rPr>
            </w:pPr>
          </w:p>
        </w:tc>
        <w:tc>
          <w:tcPr>
            <w:tcW w:w="1091" w:type="dxa"/>
            <w:gridSpan w:val="2"/>
            <w:tcBorders>
              <w:top w:val="nil"/>
              <w:left w:val="nil"/>
              <w:bottom w:val="nil"/>
              <w:right w:val="nil"/>
            </w:tcBorders>
            <w:shd w:val="clear" w:color="000000" w:fill="C9E3B4"/>
            <w:noWrap/>
            <w:vAlign w:val="center"/>
            <w:hideMark/>
          </w:tcPr>
          <w:p w14:paraId="46C3AD6F"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19,269 </w:t>
            </w:r>
          </w:p>
        </w:tc>
        <w:tc>
          <w:tcPr>
            <w:tcW w:w="146" w:type="dxa"/>
            <w:tcBorders>
              <w:top w:val="nil"/>
              <w:left w:val="nil"/>
              <w:bottom w:val="nil"/>
              <w:right w:val="nil"/>
            </w:tcBorders>
            <w:shd w:val="clear" w:color="auto" w:fill="auto"/>
            <w:vAlign w:val="center"/>
            <w:hideMark/>
          </w:tcPr>
          <w:p w14:paraId="5BE15B28" w14:textId="77777777" w:rsidR="00FD595C" w:rsidRPr="00092B22" w:rsidRDefault="00FD595C" w:rsidP="00E607DA">
            <w:pPr>
              <w:jc w:val="right"/>
              <w:rPr>
                <w:rFonts w:ascii="Meta Pro" w:eastAsia="Times New Roman" w:hAnsi="Meta Pro"/>
                <w:szCs w:val="18"/>
                <w:lang w:eastAsia="en-AU"/>
              </w:rPr>
            </w:pPr>
          </w:p>
        </w:tc>
        <w:tc>
          <w:tcPr>
            <w:tcW w:w="1091" w:type="dxa"/>
            <w:gridSpan w:val="3"/>
            <w:tcBorders>
              <w:top w:val="nil"/>
              <w:left w:val="nil"/>
              <w:bottom w:val="nil"/>
              <w:right w:val="nil"/>
            </w:tcBorders>
            <w:shd w:val="clear" w:color="auto" w:fill="auto"/>
            <w:noWrap/>
            <w:vAlign w:val="center"/>
            <w:hideMark/>
          </w:tcPr>
          <w:p w14:paraId="6F72F395"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17,571 </w:t>
            </w:r>
          </w:p>
        </w:tc>
      </w:tr>
      <w:tr w:rsidR="00FD595C" w:rsidRPr="00092B22" w14:paraId="6DA4ED92" w14:textId="77777777" w:rsidTr="00FD5C35">
        <w:trPr>
          <w:gridAfter w:val="1"/>
          <w:wAfter w:w="568" w:type="dxa"/>
          <w:trHeight w:val="23"/>
        </w:trPr>
        <w:tc>
          <w:tcPr>
            <w:tcW w:w="5763" w:type="dxa"/>
            <w:tcBorders>
              <w:top w:val="nil"/>
              <w:left w:val="nil"/>
              <w:bottom w:val="nil"/>
              <w:right w:val="nil"/>
            </w:tcBorders>
            <w:shd w:val="clear" w:color="auto" w:fill="auto"/>
            <w:noWrap/>
            <w:vAlign w:val="center"/>
            <w:hideMark/>
          </w:tcPr>
          <w:p w14:paraId="5D93C5B7" w14:textId="77777777" w:rsidR="00FD595C" w:rsidRPr="00092B22" w:rsidRDefault="00FD595C" w:rsidP="00E607DA">
            <w:pPr>
              <w:rPr>
                <w:rFonts w:ascii="Meta Pro" w:eastAsia="Times New Roman" w:hAnsi="Meta Pro"/>
                <w:szCs w:val="18"/>
                <w:lang w:eastAsia="en-AU"/>
              </w:rPr>
            </w:pPr>
            <w:r w:rsidRPr="00092B22">
              <w:rPr>
                <w:rFonts w:ascii="Meta Pro" w:eastAsia="Times New Roman" w:hAnsi="Meta Pro"/>
                <w:szCs w:val="18"/>
                <w:lang w:eastAsia="en-AU"/>
              </w:rPr>
              <w:t>Later than one year but not later than five years</w:t>
            </w:r>
          </w:p>
        </w:tc>
        <w:tc>
          <w:tcPr>
            <w:tcW w:w="979" w:type="dxa"/>
            <w:gridSpan w:val="2"/>
            <w:tcBorders>
              <w:top w:val="nil"/>
              <w:left w:val="nil"/>
              <w:bottom w:val="nil"/>
              <w:right w:val="nil"/>
            </w:tcBorders>
            <w:shd w:val="clear" w:color="auto" w:fill="auto"/>
            <w:noWrap/>
            <w:vAlign w:val="center"/>
            <w:hideMark/>
          </w:tcPr>
          <w:p w14:paraId="0914E962" w14:textId="77777777" w:rsidR="00FD595C" w:rsidRPr="00092B22" w:rsidRDefault="00FD595C" w:rsidP="00E607DA">
            <w:pPr>
              <w:rPr>
                <w:rFonts w:ascii="Meta Pro" w:eastAsia="Times New Roman" w:hAnsi="Meta Pro"/>
                <w:szCs w:val="18"/>
                <w:lang w:eastAsia="en-AU"/>
              </w:rPr>
            </w:pPr>
          </w:p>
        </w:tc>
        <w:tc>
          <w:tcPr>
            <w:tcW w:w="1091" w:type="dxa"/>
            <w:gridSpan w:val="2"/>
            <w:tcBorders>
              <w:top w:val="nil"/>
              <w:left w:val="nil"/>
              <w:bottom w:val="nil"/>
              <w:right w:val="nil"/>
            </w:tcBorders>
            <w:shd w:val="clear" w:color="000000" w:fill="C9E3B4"/>
            <w:noWrap/>
            <w:vAlign w:val="center"/>
            <w:hideMark/>
          </w:tcPr>
          <w:p w14:paraId="0249F74C"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87,467 </w:t>
            </w:r>
          </w:p>
        </w:tc>
        <w:tc>
          <w:tcPr>
            <w:tcW w:w="146" w:type="dxa"/>
            <w:tcBorders>
              <w:top w:val="nil"/>
              <w:left w:val="nil"/>
              <w:bottom w:val="nil"/>
              <w:right w:val="nil"/>
            </w:tcBorders>
            <w:shd w:val="clear" w:color="auto" w:fill="auto"/>
            <w:noWrap/>
            <w:vAlign w:val="center"/>
            <w:hideMark/>
          </w:tcPr>
          <w:p w14:paraId="6AA0D5E7" w14:textId="77777777" w:rsidR="00FD595C" w:rsidRPr="00092B22" w:rsidRDefault="00FD595C" w:rsidP="00E607DA">
            <w:pPr>
              <w:jc w:val="right"/>
              <w:rPr>
                <w:rFonts w:ascii="Meta Pro" w:eastAsia="Times New Roman" w:hAnsi="Meta Pro"/>
                <w:szCs w:val="18"/>
                <w:lang w:eastAsia="en-AU"/>
              </w:rPr>
            </w:pPr>
          </w:p>
        </w:tc>
        <w:tc>
          <w:tcPr>
            <w:tcW w:w="1091" w:type="dxa"/>
            <w:gridSpan w:val="3"/>
            <w:tcBorders>
              <w:top w:val="nil"/>
              <w:left w:val="nil"/>
              <w:bottom w:val="nil"/>
              <w:right w:val="nil"/>
            </w:tcBorders>
            <w:shd w:val="clear" w:color="auto" w:fill="auto"/>
            <w:noWrap/>
            <w:vAlign w:val="center"/>
            <w:hideMark/>
          </w:tcPr>
          <w:p w14:paraId="373B0112"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75,656 </w:t>
            </w:r>
          </w:p>
        </w:tc>
      </w:tr>
      <w:tr w:rsidR="00FD595C" w:rsidRPr="00092B22" w14:paraId="670F6A0C" w14:textId="77777777" w:rsidTr="00FD5C35">
        <w:trPr>
          <w:gridAfter w:val="1"/>
          <w:wAfter w:w="568" w:type="dxa"/>
          <w:trHeight w:val="23"/>
        </w:trPr>
        <w:tc>
          <w:tcPr>
            <w:tcW w:w="5763" w:type="dxa"/>
            <w:tcBorders>
              <w:top w:val="nil"/>
              <w:left w:val="nil"/>
              <w:bottom w:val="nil"/>
              <w:right w:val="nil"/>
            </w:tcBorders>
            <w:shd w:val="clear" w:color="auto" w:fill="auto"/>
            <w:noWrap/>
            <w:vAlign w:val="center"/>
            <w:hideMark/>
          </w:tcPr>
          <w:p w14:paraId="6B3AF8AA" w14:textId="77777777" w:rsidR="00FD595C" w:rsidRPr="00092B22" w:rsidRDefault="00FD595C" w:rsidP="00E607DA">
            <w:pPr>
              <w:rPr>
                <w:rFonts w:ascii="Meta Pro" w:eastAsia="Times New Roman" w:hAnsi="Meta Pro"/>
                <w:szCs w:val="18"/>
                <w:lang w:eastAsia="en-AU"/>
              </w:rPr>
            </w:pPr>
            <w:r w:rsidRPr="00092B22">
              <w:rPr>
                <w:rFonts w:ascii="Meta Pro" w:eastAsia="Times New Roman" w:hAnsi="Meta Pro"/>
                <w:szCs w:val="18"/>
                <w:lang w:eastAsia="en-AU"/>
              </w:rPr>
              <w:t>Later than five years but not later than ten years</w:t>
            </w:r>
          </w:p>
        </w:tc>
        <w:tc>
          <w:tcPr>
            <w:tcW w:w="979" w:type="dxa"/>
            <w:gridSpan w:val="2"/>
            <w:tcBorders>
              <w:top w:val="nil"/>
              <w:left w:val="nil"/>
              <w:bottom w:val="nil"/>
              <w:right w:val="nil"/>
            </w:tcBorders>
            <w:shd w:val="clear" w:color="auto" w:fill="auto"/>
            <w:noWrap/>
            <w:vAlign w:val="center"/>
            <w:hideMark/>
          </w:tcPr>
          <w:p w14:paraId="5062910F" w14:textId="77777777" w:rsidR="00FD595C" w:rsidRPr="00092B22" w:rsidRDefault="00FD595C" w:rsidP="00E607DA">
            <w:pPr>
              <w:rPr>
                <w:rFonts w:ascii="Meta Pro" w:eastAsia="Times New Roman" w:hAnsi="Meta Pro"/>
                <w:szCs w:val="18"/>
                <w:lang w:eastAsia="en-AU"/>
              </w:rPr>
            </w:pPr>
          </w:p>
        </w:tc>
        <w:tc>
          <w:tcPr>
            <w:tcW w:w="1091" w:type="dxa"/>
            <w:gridSpan w:val="2"/>
            <w:tcBorders>
              <w:top w:val="nil"/>
              <w:left w:val="nil"/>
              <w:bottom w:val="nil"/>
              <w:right w:val="nil"/>
            </w:tcBorders>
            <w:shd w:val="clear" w:color="000000" w:fill="C9E3B4"/>
            <w:noWrap/>
            <w:vAlign w:val="center"/>
            <w:hideMark/>
          </w:tcPr>
          <w:p w14:paraId="7063DDAA"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129,186 </w:t>
            </w:r>
          </w:p>
        </w:tc>
        <w:tc>
          <w:tcPr>
            <w:tcW w:w="146" w:type="dxa"/>
            <w:tcBorders>
              <w:top w:val="nil"/>
              <w:left w:val="nil"/>
              <w:bottom w:val="nil"/>
              <w:right w:val="nil"/>
            </w:tcBorders>
            <w:shd w:val="clear" w:color="auto" w:fill="auto"/>
            <w:noWrap/>
            <w:vAlign w:val="center"/>
            <w:hideMark/>
          </w:tcPr>
          <w:p w14:paraId="423BAE35" w14:textId="77777777" w:rsidR="00FD595C" w:rsidRPr="00092B22" w:rsidRDefault="00FD595C" w:rsidP="00E607DA">
            <w:pPr>
              <w:jc w:val="right"/>
              <w:rPr>
                <w:rFonts w:ascii="Meta Pro" w:eastAsia="Times New Roman" w:hAnsi="Meta Pro"/>
                <w:szCs w:val="18"/>
                <w:lang w:eastAsia="en-AU"/>
              </w:rPr>
            </w:pPr>
          </w:p>
        </w:tc>
        <w:tc>
          <w:tcPr>
            <w:tcW w:w="1091" w:type="dxa"/>
            <w:gridSpan w:val="3"/>
            <w:tcBorders>
              <w:top w:val="nil"/>
              <w:left w:val="nil"/>
              <w:bottom w:val="nil"/>
              <w:right w:val="nil"/>
            </w:tcBorders>
            <w:shd w:val="clear" w:color="auto" w:fill="auto"/>
            <w:noWrap/>
            <w:vAlign w:val="center"/>
            <w:hideMark/>
          </w:tcPr>
          <w:p w14:paraId="0696ED04"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108,246 </w:t>
            </w:r>
          </w:p>
        </w:tc>
      </w:tr>
      <w:tr w:rsidR="00FD595C" w:rsidRPr="00092B22" w14:paraId="50B31D47" w14:textId="77777777" w:rsidTr="00FD5C35">
        <w:trPr>
          <w:gridAfter w:val="1"/>
          <w:wAfter w:w="568" w:type="dxa"/>
          <w:trHeight w:val="23"/>
        </w:trPr>
        <w:tc>
          <w:tcPr>
            <w:tcW w:w="5763" w:type="dxa"/>
            <w:tcBorders>
              <w:top w:val="nil"/>
              <w:left w:val="nil"/>
              <w:bottom w:val="nil"/>
              <w:right w:val="nil"/>
            </w:tcBorders>
            <w:shd w:val="clear" w:color="auto" w:fill="auto"/>
            <w:noWrap/>
            <w:vAlign w:val="center"/>
            <w:hideMark/>
          </w:tcPr>
          <w:p w14:paraId="55644605" w14:textId="77777777" w:rsidR="00FD595C" w:rsidRPr="00092B22" w:rsidRDefault="00FD595C" w:rsidP="00E607DA">
            <w:pPr>
              <w:rPr>
                <w:rFonts w:ascii="Meta Pro" w:eastAsia="Times New Roman" w:hAnsi="Meta Pro"/>
                <w:szCs w:val="18"/>
                <w:lang w:eastAsia="en-AU"/>
              </w:rPr>
            </w:pPr>
            <w:r w:rsidRPr="00092B22">
              <w:rPr>
                <w:rFonts w:ascii="Meta Pro" w:eastAsia="Times New Roman" w:hAnsi="Meta Pro"/>
                <w:szCs w:val="18"/>
                <w:lang w:eastAsia="en-AU"/>
              </w:rPr>
              <w:t>Later than ten years</w:t>
            </w:r>
          </w:p>
        </w:tc>
        <w:tc>
          <w:tcPr>
            <w:tcW w:w="979" w:type="dxa"/>
            <w:gridSpan w:val="2"/>
            <w:tcBorders>
              <w:top w:val="nil"/>
              <w:left w:val="nil"/>
              <w:bottom w:val="nil"/>
              <w:right w:val="nil"/>
            </w:tcBorders>
            <w:shd w:val="clear" w:color="auto" w:fill="auto"/>
            <w:noWrap/>
            <w:vAlign w:val="center"/>
            <w:hideMark/>
          </w:tcPr>
          <w:p w14:paraId="02DF0ABB" w14:textId="77777777" w:rsidR="00FD595C" w:rsidRPr="00092B22" w:rsidRDefault="00FD595C" w:rsidP="00E607DA">
            <w:pPr>
              <w:rPr>
                <w:rFonts w:ascii="Meta Pro" w:eastAsia="Times New Roman" w:hAnsi="Meta Pro"/>
                <w:szCs w:val="18"/>
                <w:lang w:eastAsia="en-AU"/>
              </w:rPr>
            </w:pPr>
          </w:p>
        </w:tc>
        <w:tc>
          <w:tcPr>
            <w:tcW w:w="1091" w:type="dxa"/>
            <w:gridSpan w:val="2"/>
            <w:tcBorders>
              <w:top w:val="nil"/>
              <w:left w:val="nil"/>
              <w:bottom w:val="nil"/>
              <w:right w:val="nil"/>
            </w:tcBorders>
            <w:shd w:val="clear" w:color="000000" w:fill="C9E3B4"/>
            <w:noWrap/>
            <w:vAlign w:val="center"/>
            <w:hideMark/>
          </w:tcPr>
          <w:p w14:paraId="41AB6467"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453,455 </w:t>
            </w:r>
          </w:p>
        </w:tc>
        <w:tc>
          <w:tcPr>
            <w:tcW w:w="146" w:type="dxa"/>
            <w:tcBorders>
              <w:top w:val="nil"/>
              <w:left w:val="nil"/>
              <w:bottom w:val="nil"/>
              <w:right w:val="nil"/>
            </w:tcBorders>
            <w:shd w:val="clear" w:color="auto" w:fill="auto"/>
            <w:noWrap/>
            <w:vAlign w:val="center"/>
            <w:hideMark/>
          </w:tcPr>
          <w:p w14:paraId="67378D4C" w14:textId="77777777" w:rsidR="00FD595C" w:rsidRPr="00092B22" w:rsidRDefault="00FD595C" w:rsidP="00E607DA">
            <w:pPr>
              <w:jc w:val="right"/>
              <w:rPr>
                <w:rFonts w:ascii="Meta Pro" w:eastAsia="Times New Roman" w:hAnsi="Meta Pro"/>
                <w:szCs w:val="18"/>
                <w:lang w:eastAsia="en-AU"/>
              </w:rPr>
            </w:pPr>
          </w:p>
        </w:tc>
        <w:tc>
          <w:tcPr>
            <w:tcW w:w="1091" w:type="dxa"/>
            <w:gridSpan w:val="3"/>
            <w:tcBorders>
              <w:top w:val="nil"/>
              <w:left w:val="nil"/>
              <w:bottom w:val="nil"/>
              <w:right w:val="nil"/>
            </w:tcBorders>
            <w:shd w:val="clear" w:color="auto" w:fill="auto"/>
            <w:noWrap/>
            <w:vAlign w:val="center"/>
            <w:hideMark/>
          </w:tcPr>
          <w:p w14:paraId="59349132"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395,529 </w:t>
            </w:r>
          </w:p>
        </w:tc>
      </w:tr>
      <w:tr w:rsidR="00FD595C" w:rsidRPr="00092B22" w14:paraId="6B9883D2" w14:textId="77777777" w:rsidTr="00FD5C35">
        <w:trPr>
          <w:gridAfter w:val="1"/>
          <w:wAfter w:w="568" w:type="dxa"/>
          <w:trHeight w:val="23"/>
        </w:trPr>
        <w:tc>
          <w:tcPr>
            <w:tcW w:w="5763" w:type="dxa"/>
            <w:tcBorders>
              <w:top w:val="nil"/>
              <w:left w:val="nil"/>
              <w:bottom w:val="nil"/>
              <w:right w:val="nil"/>
            </w:tcBorders>
            <w:shd w:val="clear" w:color="auto" w:fill="auto"/>
            <w:noWrap/>
            <w:vAlign w:val="center"/>
            <w:hideMark/>
          </w:tcPr>
          <w:p w14:paraId="02771F23" w14:textId="77777777" w:rsidR="00FD595C" w:rsidRPr="00092B22" w:rsidRDefault="00FD595C" w:rsidP="00E607DA">
            <w:pPr>
              <w:rPr>
                <w:rFonts w:ascii="Meta Pro" w:eastAsia="Times New Roman" w:hAnsi="Meta Pro"/>
                <w:i/>
                <w:iCs/>
                <w:szCs w:val="18"/>
                <w:lang w:eastAsia="en-AU"/>
              </w:rPr>
            </w:pPr>
            <w:r w:rsidRPr="00092B22">
              <w:rPr>
                <w:rFonts w:ascii="Meta Pro" w:eastAsia="Times New Roman" w:hAnsi="Meta Pro"/>
                <w:i/>
                <w:iCs/>
                <w:szCs w:val="18"/>
                <w:lang w:eastAsia="en-AU"/>
              </w:rPr>
              <w:t>Outflows:</w:t>
            </w:r>
          </w:p>
        </w:tc>
        <w:tc>
          <w:tcPr>
            <w:tcW w:w="979" w:type="dxa"/>
            <w:gridSpan w:val="2"/>
            <w:tcBorders>
              <w:top w:val="nil"/>
              <w:left w:val="nil"/>
              <w:bottom w:val="nil"/>
              <w:right w:val="nil"/>
            </w:tcBorders>
            <w:shd w:val="clear" w:color="auto" w:fill="auto"/>
            <w:noWrap/>
            <w:vAlign w:val="center"/>
            <w:hideMark/>
          </w:tcPr>
          <w:p w14:paraId="2EF23C3C" w14:textId="77777777" w:rsidR="00FD595C" w:rsidRPr="00092B22" w:rsidRDefault="00FD595C" w:rsidP="00E607DA">
            <w:pPr>
              <w:rPr>
                <w:rFonts w:ascii="Meta Pro" w:eastAsia="Times New Roman" w:hAnsi="Meta Pro"/>
                <w:i/>
                <w:iCs/>
                <w:szCs w:val="18"/>
                <w:lang w:eastAsia="en-AU"/>
              </w:rPr>
            </w:pPr>
          </w:p>
        </w:tc>
        <w:tc>
          <w:tcPr>
            <w:tcW w:w="1091" w:type="dxa"/>
            <w:gridSpan w:val="2"/>
            <w:tcBorders>
              <w:top w:val="nil"/>
              <w:left w:val="nil"/>
              <w:bottom w:val="nil"/>
              <w:right w:val="nil"/>
            </w:tcBorders>
            <w:shd w:val="clear" w:color="000000" w:fill="C9E3B4"/>
            <w:noWrap/>
            <w:vAlign w:val="center"/>
            <w:hideMark/>
          </w:tcPr>
          <w:p w14:paraId="1DFD9E52" w14:textId="77777777" w:rsidR="00FD595C" w:rsidRPr="00092B22" w:rsidRDefault="00FD595C" w:rsidP="00E607DA">
            <w:pPr>
              <w:rPr>
                <w:rFonts w:ascii="Meta Pro" w:eastAsia="Times New Roman" w:hAnsi="Meta Pro"/>
                <w:i/>
                <w:iCs/>
                <w:szCs w:val="18"/>
                <w:lang w:eastAsia="en-AU"/>
              </w:rPr>
            </w:pPr>
            <w:r w:rsidRPr="00092B22">
              <w:rPr>
                <w:rFonts w:ascii="Meta Pro" w:eastAsia="Times New Roman" w:hAnsi="Meta Pro"/>
                <w:i/>
                <w:iCs/>
                <w:szCs w:val="18"/>
                <w:lang w:eastAsia="en-AU"/>
              </w:rPr>
              <w:t> </w:t>
            </w:r>
          </w:p>
        </w:tc>
        <w:tc>
          <w:tcPr>
            <w:tcW w:w="146" w:type="dxa"/>
            <w:tcBorders>
              <w:top w:val="nil"/>
              <w:left w:val="nil"/>
              <w:bottom w:val="nil"/>
              <w:right w:val="nil"/>
            </w:tcBorders>
            <w:shd w:val="clear" w:color="auto" w:fill="auto"/>
            <w:noWrap/>
            <w:vAlign w:val="center"/>
            <w:hideMark/>
          </w:tcPr>
          <w:p w14:paraId="25AF7613" w14:textId="77777777" w:rsidR="00FD595C" w:rsidRPr="00092B22" w:rsidRDefault="00FD595C" w:rsidP="00E607DA">
            <w:pPr>
              <w:rPr>
                <w:rFonts w:ascii="Meta Pro" w:eastAsia="Times New Roman" w:hAnsi="Meta Pro"/>
                <w:i/>
                <w:iCs/>
                <w:szCs w:val="18"/>
                <w:lang w:eastAsia="en-AU"/>
              </w:rPr>
            </w:pPr>
          </w:p>
        </w:tc>
        <w:tc>
          <w:tcPr>
            <w:tcW w:w="1091" w:type="dxa"/>
            <w:gridSpan w:val="3"/>
            <w:tcBorders>
              <w:top w:val="nil"/>
              <w:left w:val="nil"/>
              <w:bottom w:val="nil"/>
              <w:right w:val="nil"/>
            </w:tcBorders>
            <w:shd w:val="clear" w:color="auto" w:fill="auto"/>
            <w:noWrap/>
            <w:vAlign w:val="center"/>
            <w:hideMark/>
          </w:tcPr>
          <w:p w14:paraId="575178EA" w14:textId="77777777" w:rsidR="00FD595C" w:rsidRPr="00092B22" w:rsidRDefault="00FD595C" w:rsidP="00E607DA">
            <w:pPr>
              <w:jc w:val="right"/>
              <w:rPr>
                <w:rFonts w:ascii="Meta Pro" w:eastAsia="Times New Roman" w:hAnsi="Meta Pro" w:cs="Times New Roman"/>
                <w:sz w:val="20"/>
                <w:szCs w:val="20"/>
                <w:lang w:eastAsia="en-AU"/>
              </w:rPr>
            </w:pPr>
          </w:p>
        </w:tc>
      </w:tr>
      <w:tr w:rsidR="00FD595C" w:rsidRPr="00092B22" w14:paraId="4573B8D0" w14:textId="77777777" w:rsidTr="00FD5C35">
        <w:trPr>
          <w:gridAfter w:val="1"/>
          <w:wAfter w:w="568" w:type="dxa"/>
          <w:trHeight w:val="23"/>
        </w:trPr>
        <w:tc>
          <w:tcPr>
            <w:tcW w:w="5763" w:type="dxa"/>
            <w:tcBorders>
              <w:top w:val="nil"/>
              <w:left w:val="nil"/>
              <w:bottom w:val="nil"/>
              <w:right w:val="nil"/>
            </w:tcBorders>
            <w:shd w:val="clear" w:color="auto" w:fill="auto"/>
            <w:noWrap/>
            <w:vAlign w:val="center"/>
            <w:hideMark/>
          </w:tcPr>
          <w:p w14:paraId="5505EED2" w14:textId="77777777" w:rsidR="00FD595C" w:rsidRPr="00092B22" w:rsidRDefault="00FD595C" w:rsidP="00E607DA">
            <w:pPr>
              <w:rPr>
                <w:rFonts w:ascii="Meta Pro" w:eastAsia="Times New Roman" w:hAnsi="Meta Pro"/>
                <w:szCs w:val="18"/>
                <w:lang w:eastAsia="en-AU"/>
              </w:rPr>
            </w:pPr>
            <w:r w:rsidRPr="00092B22">
              <w:rPr>
                <w:rFonts w:ascii="Meta Pro" w:eastAsia="Times New Roman" w:hAnsi="Meta Pro"/>
                <w:szCs w:val="18"/>
                <w:lang w:eastAsia="en-AU"/>
              </w:rPr>
              <w:t>Not later than one year</w:t>
            </w:r>
          </w:p>
        </w:tc>
        <w:tc>
          <w:tcPr>
            <w:tcW w:w="979" w:type="dxa"/>
            <w:gridSpan w:val="2"/>
            <w:tcBorders>
              <w:top w:val="nil"/>
              <w:left w:val="nil"/>
              <w:bottom w:val="nil"/>
              <w:right w:val="nil"/>
            </w:tcBorders>
            <w:shd w:val="clear" w:color="auto" w:fill="auto"/>
            <w:noWrap/>
            <w:vAlign w:val="center"/>
            <w:hideMark/>
          </w:tcPr>
          <w:p w14:paraId="5FA7DEE8" w14:textId="77777777" w:rsidR="00FD595C" w:rsidRPr="00092B22" w:rsidRDefault="00FD595C" w:rsidP="00E607DA">
            <w:pPr>
              <w:rPr>
                <w:rFonts w:ascii="Meta Pro" w:eastAsia="Times New Roman" w:hAnsi="Meta Pro"/>
                <w:szCs w:val="18"/>
                <w:lang w:eastAsia="en-AU"/>
              </w:rPr>
            </w:pPr>
          </w:p>
        </w:tc>
        <w:tc>
          <w:tcPr>
            <w:tcW w:w="1091" w:type="dxa"/>
            <w:gridSpan w:val="2"/>
            <w:tcBorders>
              <w:top w:val="nil"/>
              <w:left w:val="nil"/>
              <w:bottom w:val="nil"/>
              <w:right w:val="nil"/>
            </w:tcBorders>
            <w:shd w:val="clear" w:color="000000" w:fill="C9E3B4"/>
            <w:noWrap/>
            <w:vAlign w:val="center"/>
            <w:hideMark/>
          </w:tcPr>
          <w:p w14:paraId="461F4458"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(46,997)</w:t>
            </w:r>
          </w:p>
        </w:tc>
        <w:tc>
          <w:tcPr>
            <w:tcW w:w="146" w:type="dxa"/>
            <w:tcBorders>
              <w:top w:val="nil"/>
              <w:left w:val="nil"/>
              <w:bottom w:val="nil"/>
              <w:right w:val="nil"/>
            </w:tcBorders>
            <w:shd w:val="clear" w:color="auto" w:fill="auto"/>
            <w:noWrap/>
            <w:vAlign w:val="center"/>
            <w:hideMark/>
          </w:tcPr>
          <w:p w14:paraId="388DCA8C" w14:textId="77777777" w:rsidR="00FD595C" w:rsidRPr="00092B22" w:rsidRDefault="00FD595C" w:rsidP="00E607DA">
            <w:pPr>
              <w:jc w:val="right"/>
              <w:rPr>
                <w:rFonts w:ascii="Meta Pro" w:eastAsia="Times New Roman" w:hAnsi="Meta Pro"/>
                <w:szCs w:val="18"/>
                <w:lang w:eastAsia="en-AU"/>
              </w:rPr>
            </w:pPr>
          </w:p>
        </w:tc>
        <w:tc>
          <w:tcPr>
            <w:tcW w:w="1091" w:type="dxa"/>
            <w:gridSpan w:val="3"/>
            <w:tcBorders>
              <w:top w:val="nil"/>
              <w:left w:val="nil"/>
              <w:bottom w:val="nil"/>
              <w:right w:val="nil"/>
            </w:tcBorders>
            <w:shd w:val="clear" w:color="auto" w:fill="auto"/>
            <w:noWrap/>
            <w:vAlign w:val="center"/>
            <w:hideMark/>
          </w:tcPr>
          <w:p w14:paraId="32A029E3"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(47,297)</w:t>
            </w:r>
          </w:p>
        </w:tc>
      </w:tr>
      <w:tr w:rsidR="00FD595C" w:rsidRPr="00092B22" w14:paraId="5300451C" w14:textId="77777777" w:rsidTr="00FD5C35">
        <w:trPr>
          <w:gridAfter w:val="1"/>
          <w:wAfter w:w="568" w:type="dxa"/>
          <w:trHeight w:val="23"/>
        </w:trPr>
        <w:tc>
          <w:tcPr>
            <w:tcW w:w="5763" w:type="dxa"/>
            <w:tcBorders>
              <w:top w:val="nil"/>
              <w:left w:val="nil"/>
              <w:bottom w:val="nil"/>
              <w:right w:val="nil"/>
            </w:tcBorders>
            <w:shd w:val="clear" w:color="auto" w:fill="auto"/>
            <w:noWrap/>
            <w:vAlign w:val="center"/>
            <w:hideMark/>
          </w:tcPr>
          <w:p w14:paraId="0385EB1E" w14:textId="77777777" w:rsidR="00FD595C" w:rsidRPr="00092B22" w:rsidRDefault="00FD595C" w:rsidP="00E607DA">
            <w:pPr>
              <w:rPr>
                <w:rFonts w:ascii="Meta Pro" w:eastAsia="Times New Roman" w:hAnsi="Meta Pro"/>
                <w:szCs w:val="18"/>
                <w:lang w:eastAsia="en-AU"/>
              </w:rPr>
            </w:pPr>
            <w:r w:rsidRPr="00092B22">
              <w:rPr>
                <w:rFonts w:ascii="Meta Pro" w:eastAsia="Times New Roman" w:hAnsi="Meta Pro"/>
                <w:szCs w:val="18"/>
                <w:lang w:eastAsia="en-AU"/>
              </w:rPr>
              <w:t>Later than one year but not later than five years</w:t>
            </w:r>
          </w:p>
        </w:tc>
        <w:tc>
          <w:tcPr>
            <w:tcW w:w="979" w:type="dxa"/>
            <w:gridSpan w:val="2"/>
            <w:tcBorders>
              <w:top w:val="nil"/>
              <w:left w:val="nil"/>
              <w:bottom w:val="nil"/>
              <w:right w:val="nil"/>
            </w:tcBorders>
            <w:shd w:val="clear" w:color="auto" w:fill="auto"/>
            <w:noWrap/>
            <w:vAlign w:val="center"/>
            <w:hideMark/>
          </w:tcPr>
          <w:p w14:paraId="4399926C" w14:textId="77777777" w:rsidR="00FD595C" w:rsidRPr="00092B22" w:rsidRDefault="00FD595C" w:rsidP="00E607DA">
            <w:pPr>
              <w:rPr>
                <w:rFonts w:ascii="Meta Pro" w:eastAsia="Times New Roman" w:hAnsi="Meta Pro"/>
                <w:szCs w:val="18"/>
                <w:lang w:eastAsia="en-AU"/>
              </w:rPr>
            </w:pPr>
          </w:p>
        </w:tc>
        <w:tc>
          <w:tcPr>
            <w:tcW w:w="1091" w:type="dxa"/>
            <w:gridSpan w:val="2"/>
            <w:tcBorders>
              <w:top w:val="nil"/>
              <w:left w:val="nil"/>
              <w:bottom w:val="nil"/>
              <w:right w:val="nil"/>
            </w:tcBorders>
            <w:shd w:val="clear" w:color="000000" w:fill="C9E3B4"/>
            <w:noWrap/>
            <w:vAlign w:val="center"/>
            <w:hideMark/>
          </w:tcPr>
          <w:p w14:paraId="75931FBC"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(202,062)</w:t>
            </w:r>
          </w:p>
        </w:tc>
        <w:tc>
          <w:tcPr>
            <w:tcW w:w="146" w:type="dxa"/>
            <w:tcBorders>
              <w:top w:val="nil"/>
              <w:left w:val="nil"/>
              <w:bottom w:val="nil"/>
              <w:right w:val="nil"/>
            </w:tcBorders>
            <w:shd w:val="clear" w:color="auto" w:fill="auto"/>
            <w:vAlign w:val="center"/>
            <w:hideMark/>
          </w:tcPr>
          <w:p w14:paraId="28355BB8" w14:textId="77777777" w:rsidR="00FD595C" w:rsidRPr="00092B22" w:rsidRDefault="00FD595C" w:rsidP="00E607DA">
            <w:pPr>
              <w:jc w:val="right"/>
              <w:rPr>
                <w:rFonts w:ascii="Meta Pro" w:eastAsia="Times New Roman" w:hAnsi="Meta Pro"/>
                <w:szCs w:val="18"/>
                <w:lang w:eastAsia="en-AU"/>
              </w:rPr>
            </w:pPr>
          </w:p>
        </w:tc>
        <w:tc>
          <w:tcPr>
            <w:tcW w:w="1091" w:type="dxa"/>
            <w:gridSpan w:val="3"/>
            <w:tcBorders>
              <w:top w:val="nil"/>
              <w:left w:val="nil"/>
              <w:bottom w:val="nil"/>
              <w:right w:val="nil"/>
            </w:tcBorders>
            <w:shd w:val="clear" w:color="auto" w:fill="auto"/>
            <w:noWrap/>
            <w:vAlign w:val="center"/>
            <w:hideMark/>
          </w:tcPr>
          <w:p w14:paraId="220C7564"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(198,206)</w:t>
            </w:r>
          </w:p>
        </w:tc>
      </w:tr>
      <w:tr w:rsidR="00FD595C" w:rsidRPr="00092B22" w14:paraId="3C8255F6" w14:textId="77777777" w:rsidTr="00FD5C35">
        <w:trPr>
          <w:gridAfter w:val="1"/>
          <w:wAfter w:w="568" w:type="dxa"/>
          <w:trHeight w:val="23"/>
        </w:trPr>
        <w:tc>
          <w:tcPr>
            <w:tcW w:w="5763" w:type="dxa"/>
            <w:tcBorders>
              <w:top w:val="nil"/>
              <w:left w:val="nil"/>
              <w:bottom w:val="nil"/>
              <w:right w:val="nil"/>
            </w:tcBorders>
            <w:shd w:val="clear" w:color="auto" w:fill="auto"/>
            <w:noWrap/>
            <w:vAlign w:val="center"/>
            <w:hideMark/>
          </w:tcPr>
          <w:p w14:paraId="4C681D76" w14:textId="77777777" w:rsidR="00FD595C" w:rsidRPr="00092B22" w:rsidRDefault="00FD595C" w:rsidP="00E607DA">
            <w:pPr>
              <w:rPr>
                <w:rFonts w:ascii="Meta Pro" w:eastAsia="Times New Roman" w:hAnsi="Meta Pro"/>
                <w:szCs w:val="18"/>
                <w:lang w:eastAsia="en-AU"/>
              </w:rPr>
            </w:pPr>
            <w:r w:rsidRPr="00092B22">
              <w:rPr>
                <w:rFonts w:ascii="Meta Pro" w:eastAsia="Times New Roman" w:hAnsi="Meta Pro"/>
                <w:szCs w:val="18"/>
                <w:lang w:eastAsia="en-AU"/>
              </w:rPr>
              <w:t>Later than five years but not later than ten years</w:t>
            </w:r>
          </w:p>
        </w:tc>
        <w:tc>
          <w:tcPr>
            <w:tcW w:w="979" w:type="dxa"/>
            <w:gridSpan w:val="2"/>
            <w:tcBorders>
              <w:top w:val="nil"/>
              <w:left w:val="nil"/>
              <w:bottom w:val="nil"/>
              <w:right w:val="nil"/>
            </w:tcBorders>
            <w:shd w:val="clear" w:color="auto" w:fill="auto"/>
            <w:noWrap/>
            <w:vAlign w:val="center"/>
            <w:hideMark/>
          </w:tcPr>
          <w:p w14:paraId="513F0CFC" w14:textId="77777777" w:rsidR="00FD595C" w:rsidRPr="00092B22" w:rsidRDefault="00FD595C" w:rsidP="00E607DA">
            <w:pPr>
              <w:rPr>
                <w:rFonts w:ascii="Meta Pro" w:eastAsia="Times New Roman" w:hAnsi="Meta Pro"/>
                <w:szCs w:val="18"/>
                <w:lang w:eastAsia="en-AU"/>
              </w:rPr>
            </w:pPr>
          </w:p>
        </w:tc>
        <w:tc>
          <w:tcPr>
            <w:tcW w:w="1091" w:type="dxa"/>
            <w:gridSpan w:val="2"/>
            <w:tcBorders>
              <w:top w:val="nil"/>
              <w:left w:val="nil"/>
              <w:bottom w:val="nil"/>
              <w:right w:val="nil"/>
            </w:tcBorders>
            <w:shd w:val="clear" w:color="000000" w:fill="C9E3B4"/>
            <w:noWrap/>
            <w:vAlign w:val="center"/>
            <w:hideMark/>
          </w:tcPr>
          <w:p w14:paraId="7AE20692"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(296,108)</w:t>
            </w:r>
          </w:p>
        </w:tc>
        <w:tc>
          <w:tcPr>
            <w:tcW w:w="146" w:type="dxa"/>
            <w:tcBorders>
              <w:top w:val="nil"/>
              <w:left w:val="nil"/>
              <w:bottom w:val="nil"/>
              <w:right w:val="nil"/>
            </w:tcBorders>
            <w:shd w:val="clear" w:color="auto" w:fill="auto"/>
            <w:noWrap/>
            <w:vAlign w:val="center"/>
            <w:hideMark/>
          </w:tcPr>
          <w:p w14:paraId="4C2305E0" w14:textId="77777777" w:rsidR="00FD595C" w:rsidRPr="00092B22" w:rsidRDefault="00FD595C" w:rsidP="00E607DA">
            <w:pPr>
              <w:jc w:val="right"/>
              <w:rPr>
                <w:rFonts w:ascii="Meta Pro" w:eastAsia="Times New Roman" w:hAnsi="Meta Pro"/>
                <w:szCs w:val="18"/>
                <w:lang w:eastAsia="en-AU"/>
              </w:rPr>
            </w:pPr>
          </w:p>
        </w:tc>
        <w:tc>
          <w:tcPr>
            <w:tcW w:w="1091" w:type="dxa"/>
            <w:gridSpan w:val="3"/>
            <w:tcBorders>
              <w:top w:val="nil"/>
              <w:left w:val="nil"/>
              <w:bottom w:val="nil"/>
              <w:right w:val="nil"/>
            </w:tcBorders>
            <w:shd w:val="clear" w:color="auto" w:fill="auto"/>
            <w:noWrap/>
            <w:vAlign w:val="center"/>
            <w:hideMark/>
          </w:tcPr>
          <w:p w14:paraId="76A53F82"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(289,753)</w:t>
            </w:r>
          </w:p>
        </w:tc>
      </w:tr>
      <w:tr w:rsidR="00FD595C" w:rsidRPr="00092B22" w14:paraId="7BA9F5C0" w14:textId="77777777" w:rsidTr="00FD5C35">
        <w:trPr>
          <w:gridAfter w:val="1"/>
          <w:wAfter w:w="568" w:type="dxa"/>
          <w:trHeight w:val="23"/>
        </w:trPr>
        <w:tc>
          <w:tcPr>
            <w:tcW w:w="5763" w:type="dxa"/>
            <w:tcBorders>
              <w:top w:val="nil"/>
              <w:left w:val="nil"/>
              <w:bottom w:val="nil"/>
              <w:right w:val="nil"/>
            </w:tcBorders>
            <w:shd w:val="clear" w:color="auto" w:fill="auto"/>
            <w:noWrap/>
            <w:vAlign w:val="center"/>
            <w:hideMark/>
          </w:tcPr>
          <w:p w14:paraId="6F28A265" w14:textId="77777777" w:rsidR="00FD595C" w:rsidRPr="00092B22" w:rsidRDefault="00FD595C" w:rsidP="00E607DA">
            <w:pPr>
              <w:rPr>
                <w:rFonts w:ascii="Meta Pro" w:eastAsia="Times New Roman" w:hAnsi="Meta Pro"/>
                <w:szCs w:val="18"/>
                <w:lang w:eastAsia="en-AU"/>
              </w:rPr>
            </w:pPr>
            <w:r w:rsidRPr="00092B22">
              <w:rPr>
                <w:rFonts w:ascii="Meta Pro" w:eastAsia="Times New Roman" w:hAnsi="Meta Pro"/>
                <w:szCs w:val="18"/>
                <w:lang w:eastAsia="en-AU"/>
              </w:rPr>
              <w:t>Later than ten years</w:t>
            </w:r>
          </w:p>
        </w:tc>
        <w:tc>
          <w:tcPr>
            <w:tcW w:w="979" w:type="dxa"/>
            <w:gridSpan w:val="2"/>
            <w:tcBorders>
              <w:top w:val="nil"/>
              <w:left w:val="nil"/>
              <w:bottom w:val="nil"/>
              <w:right w:val="nil"/>
            </w:tcBorders>
            <w:shd w:val="clear" w:color="auto" w:fill="auto"/>
            <w:noWrap/>
            <w:vAlign w:val="center"/>
            <w:hideMark/>
          </w:tcPr>
          <w:p w14:paraId="04EAE957" w14:textId="77777777" w:rsidR="00FD595C" w:rsidRPr="00092B22" w:rsidRDefault="00FD595C" w:rsidP="00E607DA">
            <w:pPr>
              <w:rPr>
                <w:rFonts w:ascii="Meta Pro" w:eastAsia="Times New Roman" w:hAnsi="Meta Pro"/>
                <w:szCs w:val="18"/>
                <w:lang w:eastAsia="en-AU"/>
              </w:rPr>
            </w:pPr>
          </w:p>
        </w:tc>
        <w:tc>
          <w:tcPr>
            <w:tcW w:w="1091" w:type="dxa"/>
            <w:gridSpan w:val="2"/>
            <w:tcBorders>
              <w:top w:val="nil"/>
              <w:left w:val="nil"/>
              <w:bottom w:val="nil"/>
              <w:right w:val="nil"/>
            </w:tcBorders>
            <w:shd w:val="clear" w:color="000000" w:fill="C9E3B4"/>
            <w:noWrap/>
            <w:vAlign w:val="center"/>
            <w:hideMark/>
          </w:tcPr>
          <w:p w14:paraId="430670C4"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(748,988)</w:t>
            </w:r>
          </w:p>
        </w:tc>
        <w:tc>
          <w:tcPr>
            <w:tcW w:w="146" w:type="dxa"/>
            <w:tcBorders>
              <w:top w:val="nil"/>
              <w:left w:val="nil"/>
              <w:bottom w:val="nil"/>
              <w:right w:val="nil"/>
            </w:tcBorders>
            <w:shd w:val="clear" w:color="auto" w:fill="auto"/>
            <w:noWrap/>
            <w:vAlign w:val="center"/>
            <w:hideMark/>
          </w:tcPr>
          <w:p w14:paraId="6920F7F3" w14:textId="77777777" w:rsidR="00FD595C" w:rsidRPr="00092B22" w:rsidRDefault="00FD595C" w:rsidP="00E607DA">
            <w:pPr>
              <w:jc w:val="right"/>
              <w:rPr>
                <w:rFonts w:ascii="Meta Pro" w:eastAsia="Times New Roman" w:hAnsi="Meta Pro"/>
                <w:szCs w:val="18"/>
                <w:lang w:eastAsia="en-AU"/>
              </w:rPr>
            </w:pPr>
          </w:p>
        </w:tc>
        <w:tc>
          <w:tcPr>
            <w:tcW w:w="1091" w:type="dxa"/>
            <w:gridSpan w:val="3"/>
            <w:tcBorders>
              <w:top w:val="nil"/>
              <w:left w:val="nil"/>
              <w:bottom w:val="nil"/>
              <w:right w:val="nil"/>
            </w:tcBorders>
            <w:shd w:val="clear" w:color="auto" w:fill="auto"/>
            <w:noWrap/>
            <w:vAlign w:val="center"/>
            <w:hideMark/>
          </w:tcPr>
          <w:p w14:paraId="30D522EF" w14:textId="77777777" w:rsidR="00FD595C" w:rsidRPr="00092B22" w:rsidRDefault="00FD595C" w:rsidP="00E607DA">
            <w:pPr>
              <w:jc w:val="right"/>
              <w:rPr>
                <w:rFonts w:ascii="Meta Pro" w:eastAsia="Times New Roman" w:hAnsi="Meta Pro"/>
                <w:szCs w:val="18"/>
                <w:lang w:eastAsia="en-AU"/>
              </w:rPr>
            </w:pPr>
            <w:r w:rsidRPr="00092B22">
              <w:rPr>
                <w:rFonts w:ascii="Meta Pro" w:eastAsia="Times New Roman" w:hAnsi="Meta Pro"/>
                <w:szCs w:val="18"/>
                <w:lang w:eastAsia="en-AU"/>
              </w:rPr>
              <w:t>(807,120)</w:t>
            </w:r>
          </w:p>
        </w:tc>
      </w:tr>
      <w:tr w:rsidR="00FD595C" w:rsidRPr="00092B22" w14:paraId="2109157B" w14:textId="77777777" w:rsidTr="00FD5C35">
        <w:trPr>
          <w:gridAfter w:val="1"/>
          <w:wAfter w:w="568" w:type="dxa"/>
          <w:trHeight w:val="23"/>
        </w:trPr>
        <w:tc>
          <w:tcPr>
            <w:tcW w:w="5763" w:type="dxa"/>
            <w:tcBorders>
              <w:top w:val="single" w:sz="4" w:space="0" w:color="auto"/>
              <w:left w:val="nil"/>
              <w:bottom w:val="double" w:sz="6" w:space="0" w:color="auto"/>
              <w:right w:val="nil"/>
            </w:tcBorders>
            <w:shd w:val="clear" w:color="auto" w:fill="auto"/>
            <w:noWrap/>
            <w:vAlign w:val="center"/>
            <w:hideMark/>
          </w:tcPr>
          <w:p w14:paraId="4245B92A" w14:textId="77777777" w:rsidR="00FD595C" w:rsidRPr="00092B22" w:rsidRDefault="00FD595C" w:rsidP="00E607DA">
            <w:pPr>
              <w:rPr>
                <w:rFonts w:ascii="Meta Pro" w:eastAsia="Times New Roman" w:hAnsi="Meta Pro"/>
                <w:b/>
                <w:bCs/>
                <w:szCs w:val="18"/>
                <w:lang w:eastAsia="en-AU"/>
              </w:rPr>
            </w:pPr>
            <w:r w:rsidRPr="00092B22">
              <w:rPr>
                <w:rFonts w:ascii="Meta Pro" w:eastAsia="Times New Roman" w:hAnsi="Meta Pro"/>
                <w:b/>
                <w:bCs/>
                <w:szCs w:val="18"/>
                <w:lang w:eastAsia="en-AU"/>
              </w:rPr>
              <w:t>Estimated net cash flow</w:t>
            </w:r>
          </w:p>
        </w:tc>
        <w:tc>
          <w:tcPr>
            <w:tcW w:w="979" w:type="dxa"/>
            <w:gridSpan w:val="2"/>
            <w:tcBorders>
              <w:top w:val="single" w:sz="4" w:space="0" w:color="auto"/>
              <w:left w:val="nil"/>
              <w:bottom w:val="double" w:sz="6" w:space="0" w:color="auto"/>
              <w:right w:val="nil"/>
            </w:tcBorders>
            <w:shd w:val="clear" w:color="auto" w:fill="auto"/>
            <w:noWrap/>
            <w:vAlign w:val="center"/>
            <w:hideMark/>
          </w:tcPr>
          <w:p w14:paraId="07DD6830" w14:textId="77777777" w:rsidR="00FD595C" w:rsidRPr="00092B22" w:rsidRDefault="00FD595C" w:rsidP="00E607DA">
            <w:pPr>
              <w:jc w:val="center"/>
              <w:rPr>
                <w:rFonts w:ascii="Meta Pro" w:eastAsia="Times New Roman" w:hAnsi="Meta Pro"/>
                <w:szCs w:val="18"/>
                <w:lang w:eastAsia="en-AU"/>
              </w:rPr>
            </w:pPr>
            <w:r w:rsidRPr="00092B22">
              <w:rPr>
                <w:rFonts w:ascii="Meta Pro" w:eastAsia="Times New Roman" w:hAnsi="Meta Pro"/>
                <w:szCs w:val="18"/>
                <w:lang w:eastAsia="en-AU"/>
              </w:rPr>
              <w:t> </w:t>
            </w:r>
          </w:p>
        </w:tc>
        <w:tc>
          <w:tcPr>
            <w:tcW w:w="1091" w:type="dxa"/>
            <w:gridSpan w:val="2"/>
            <w:tcBorders>
              <w:top w:val="single" w:sz="4" w:space="0" w:color="auto"/>
              <w:left w:val="nil"/>
              <w:bottom w:val="double" w:sz="6" w:space="0" w:color="auto"/>
              <w:right w:val="nil"/>
            </w:tcBorders>
            <w:shd w:val="clear" w:color="000000" w:fill="C9E3B4"/>
            <w:noWrap/>
            <w:vAlign w:val="center"/>
            <w:hideMark/>
          </w:tcPr>
          <w:p w14:paraId="53F2AA71" w14:textId="77777777" w:rsidR="00FD595C" w:rsidRPr="00092B22" w:rsidRDefault="00FD595C"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(604,778)</w:t>
            </w:r>
          </w:p>
        </w:tc>
        <w:tc>
          <w:tcPr>
            <w:tcW w:w="146" w:type="dxa"/>
            <w:tcBorders>
              <w:top w:val="single" w:sz="4" w:space="0" w:color="auto"/>
              <w:left w:val="nil"/>
              <w:bottom w:val="double" w:sz="6" w:space="0" w:color="auto"/>
              <w:right w:val="nil"/>
            </w:tcBorders>
            <w:shd w:val="clear" w:color="auto" w:fill="auto"/>
            <w:noWrap/>
            <w:hideMark/>
          </w:tcPr>
          <w:p w14:paraId="1F8182F3" w14:textId="77777777" w:rsidR="00FD595C" w:rsidRPr="00092B22" w:rsidRDefault="00FD595C" w:rsidP="00E607DA">
            <w:pPr>
              <w:rPr>
                <w:rFonts w:ascii="Meta Pro" w:eastAsia="Times New Roman" w:hAnsi="Meta Pro"/>
                <w:szCs w:val="18"/>
                <w:lang w:eastAsia="en-AU"/>
              </w:rPr>
            </w:pPr>
            <w:r w:rsidRPr="00092B22">
              <w:rPr>
                <w:rFonts w:ascii="Meta Pro" w:eastAsia="Times New Roman" w:hAnsi="Meta Pro"/>
                <w:szCs w:val="18"/>
                <w:lang w:eastAsia="en-AU"/>
              </w:rPr>
              <w:t> </w:t>
            </w:r>
          </w:p>
        </w:tc>
        <w:tc>
          <w:tcPr>
            <w:tcW w:w="1091" w:type="dxa"/>
            <w:gridSpan w:val="3"/>
            <w:tcBorders>
              <w:top w:val="single" w:sz="4" w:space="0" w:color="auto"/>
              <w:left w:val="nil"/>
              <w:bottom w:val="double" w:sz="6" w:space="0" w:color="auto"/>
              <w:right w:val="nil"/>
            </w:tcBorders>
            <w:shd w:val="clear" w:color="auto" w:fill="auto"/>
            <w:noWrap/>
            <w:vAlign w:val="center"/>
            <w:hideMark/>
          </w:tcPr>
          <w:p w14:paraId="46896C35" w14:textId="77777777" w:rsidR="00FD595C" w:rsidRPr="00092B22" w:rsidRDefault="00FD595C"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(745,374)</w:t>
            </w:r>
          </w:p>
        </w:tc>
      </w:tr>
      <w:tr w:rsidR="00FD5C35" w:rsidRPr="00092B22" w14:paraId="4BFB5A85" w14:textId="77777777" w:rsidTr="00E607DA">
        <w:tblPrEx>
          <w:tblCellMar>
            <w:left w:w="108" w:type="dxa"/>
          </w:tblCellMar>
        </w:tblPrEx>
        <w:trPr>
          <w:trHeight w:val="240"/>
        </w:trPr>
        <w:tc>
          <w:tcPr>
            <w:tcW w:w="6096" w:type="dxa"/>
            <w:gridSpan w:val="2"/>
            <w:tcBorders>
              <w:top w:val="nil"/>
              <w:left w:val="nil"/>
              <w:bottom w:val="nil"/>
              <w:right w:val="nil"/>
            </w:tcBorders>
            <w:shd w:val="clear" w:color="auto" w:fill="auto"/>
            <w:noWrap/>
            <w:vAlign w:val="center"/>
            <w:hideMark/>
          </w:tcPr>
          <w:p w14:paraId="1BF46F31" w14:textId="77777777" w:rsidR="00FD5C35" w:rsidRPr="00092B22" w:rsidRDefault="00FD5C35" w:rsidP="00E607DA">
            <w:pPr>
              <w:spacing w:before="240"/>
              <w:rPr>
                <w:rFonts w:ascii="Meta Pro" w:eastAsia="Times New Roman" w:hAnsi="Meta Pro" w:cs="Times New Roman"/>
                <w:sz w:val="24"/>
                <w:szCs w:val="24"/>
                <w:lang w:eastAsia="en-AU"/>
              </w:rPr>
            </w:pPr>
          </w:p>
        </w:tc>
        <w:tc>
          <w:tcPr>
            <w:tcW w:w="992" w:type="dxa"/>
            <w:gridSpan w:val="2"/>
            <w:tcBorders>
              <w:top w:val="nil"/>
              <w:left w:val="nil"/>
              <w:bottom w:val="nil"/>
              <w:right w:val="nil"/>
            </w:tcBorders>
            <w:shd w:val="clear" w:color="auto" w:fill="auto"/>
            <w:noWrap/>
            <w:vAlign w:val="center"/>
            <w:hideMark/>
          </w:tcPr>
          <w:p w14:paraId="0B5A6E17" w14:textId="77777777" w:rsidR="00FD5C35" w:rsidRPr="00092B22" w:rsidRDefault="00FD5C35" w:rsidP="00E607DA">
            <w:pPr>
              <w:spacing w:before="240"/>
              <w:jc w:val="center"/>
              <w:rPr>
                <w:rFonts w:ascii="Meta Pro" w:eastAsia="Times New Roman" w:hAnsi="Meta Pro"/>
                <w:b/>
                <w:bCs/>
                <w:color w:val="000000"/>
                <w:lang w:eastAsia="en-AU"/>
              </w:rPr>
            </w:pPr>
            <w:r w:rsidRPr="00092B22">
              <w:rPr>
                <w:rFonts w:ascii="Meta Pro" w:eastAsia="Times New Roman" w:hAnsi="Meta Pro"/>
                <w:b/>
                <w:bCs/>
                <w:color w:val="000000"/>
                <w:lang w:eastAsia="en-AU"/>
              </w:rPr>
              <w:t>Note</w:t>
            </w:r>
          </w:p>
        </w:tc>
        <w:tc>
          <w:tcPr>
            <w:tcW w:w="1134" w:type="dxa"/>
            <w:gridSpan w:val="3"/>
            <w:tcBorders>
              <w:top w:val="nil"/>
              <w:left w:val="nil"/>
              <w:bottom w:val="nil"/>
              <w:right w:val="nil"/>
            </w:tcBorders>
            <w:shd w:val="clear" w:color="auto" w:fill="auto"/>
            <w:noWrap/>
            <w:vAlign w:val="center"/>
            <w:hideMark/>
          </w:tcPr>
          <w:p w14:paraId="273E202E" w14:textId="77777777" w:rsidR="00FD5C35" w:rsidRPr="00092B22" w:rsidRDefault="00FD5C35" w:rsidP="00E607DA">
            <w:pPr>
              <w:spacing w:before="240"/>
              <w:jc w:val="center"/>
              <w:rPr>
                <w:rFonts w:ascii="Meta Pro" w:eastAsia="Times New Roman" w:hAnsi="Meta Pro"/>
                <w:b/>
                <w:bCs/>
                <w:color w:val="000000"/>
                <w:lang w:eastAsia="en-AU"/>
              </w:rPr>
            </w:pPr>
            <w:r w:rsidRPr="00092B22">
              <w:rPr>
                <w:rFonts w:ascii="Meta Pro" w:eastAsia="Times New Roman" w:hAnsi="Meta Pro"/>
                <w:b/>
                <w:bCs/>
                <w:color w:val="000000"/>
                <w:lang w:eastAsia="en-AU"/>
              </w:rPr>
              <w:t>2022</w:t>
            </w:r>
          </w:p>
        </w:tc>
        <w:tc>
          <w:tcPr>
            <w:tcW w:w="327" w:type="dxa"/>
            <w:tcBorders>
              <w:top w:val="nil"/>
              <w:left w:val="nil"/>
              <w:bottom w:val="nil"/>
              <w:right w:val="nil"/>
            </w:tcBorders>
            <w:shd w:val="clear" w:color="auto" w:fill="auto"/>
            <w:noWrap/>
            <w:vAlign w:val="center"/>
            <w:hideMark/>
          </w:tcPr>
          <w:p w14:paraId="1565448E" w14:textId="77777777" w:rsidR="00FD5C35" w:rsidRPr="00092B22" w:rsidRDefault="00FD5C35" w:rsidP="00E607DA">
            <w:pPr>
              <w:spacing w:before="240"/>
              <w:jc w:val="center"/>
              <w:rPr>
                <w:rFonts w:ascii="Meta Pro" w:eastAsia="Times New Roman" w:hAnsi="Meta Pro"/>
                <w:b/>
                <w:bCs/>
                <w:color w:val="000000"/>
                <w:lang w:eastAsia="en-AU"/>
              </w:rPr>
            </w:pPr>
          </w:p>
        </w:tc>
        <w:tc>
          <w:tcPr>
            <w:tcW w:w="1089" w:type="dxa"/>
            <w:gridSpan w:val="2"/>
            <w:tcBorders>
              <w:top w:val="nil"/>
              <w:left w:val="nil"/>
              <w:bottom w:val="nil"/>
              <w:right w:val="nil"/>
            </w:tcBorders>
            <w:shd w:val="clear" w:color="auto" w:fill="auto"/>
            <w:noWrap/>
            <w:vAlign w:val="center"/>
            <w:hideMark/>
          </w:tcPr>
          <w:p w14:paraId="6903A5C5" w14:textId="77777777" w:rsidR="00FD5C35" w:rsidRPr="00092B22" w:rsidRDefault="00FD5C35" w:rsidP="00E607DA">
            <w:pPr>
              <w:spacing w:before="240"/>
              <w:jc w:val="center"/>
              <w:rPr>
                <w:rFonts w:ascii="Meta Pro" w:eastAsia="Times New Roman" w:hAnsi="Meta Pro"/>
                <w:b/>
                <w:bCs/>
                <w:lang w:eastAsia="en-AU"/>
              </w:rPr>
            </w:pPr>
            <w:r w:rsidRPr="00092B22">
              <w:rPr>
                <w:rFonts w:ascii="Meta Pro" w:eastAsia="Times New Roman" w:hAnsi="Meta Pro"/>
                <w:b/>
                <w:bCs/>
                <w:lang w:eastAsia="en-AU"/>
              </w:rPr>
              <w:t>2021</w:t>
            </w:r>
          </w:p>
        </w:tc>
      </w:tr>
      <w:tr w:rsidR="00FD5C35" w:rsidRPr="00092B22" w14:paraId="56ABB741" w14:textId="77777777" w:rsidTr="00E607DA">
        <w:tblPrEx>
          <w:tblCellMar>
            <w:left w:w="108" w:type="dxa"/>
          </w:tblCellMar>
        </w:tblPrEx>
        <w:trPr>
          <w:trHeight w:val="240"/>
        </w:trPr>
        <w:tc>
          <w:tcPr>
            <w:tcW w:w="6096" w:type="dxa"/>
            <w:gridSpan w:val="2"/>
            <w:tcBorders>
              <w:top w:val="nil"/>
              <w:left w:val="nil"/>
              <w:bottom w:val="nil"/>
              <w:right w:val="nil"/>
            </w:tcBorders>
            <w:shd w:val="clear" w:color="auto" w:fill="auto"/>
            <w:noWrap/>
            <w:vAlign w:val="center"/>
            <w:hideMark/>
          </w:tcPr>
          <w:p w14:paraId="04CC85FF" w14:textId="77777777" w:rsidR="00FD5C35" w:rsidRPr="00092B22" w:rsidRDefault="00FD5C35" w:rsidP="00E607DA">
            <w:pPr>
              <w:jc w:val="center"/>
              <w:rPr>
                <w:rFonts w:ascii="Meta Pro" w:eastAsia="Times New Roman" w:hAnsi="Meta Pro"/>
                <w:b/>
                <w:bCs/>
                <w:lang w:eastAsia="en-AU"/>
              </w:rPr>
            </w:pPr>
          </w:p>
        </w:tc>
        <w:tc>
          <w:tcPr>
            <w:tcW w:w="992" w:type="dxa"/>
            <w:gridSpan w:val="2"/>
            <w:tcBorders>
              <w:top w:val="nil"/>
              <w:left w:val="nil"/>
              <w:bottom w:val="nil"/>
              <w:right w:val="nil"/>
            </w:tcBorders>
            <w:shd w:val="clear" w:color="auto" w:fill="auto"/>
            <w:noWrap/>
            <w:vAlign w:val="center"/>
            <w:hideMark/>
          </w:tcPr>
          <w:p w14:paraId="353D4DC5" w14:textId="77777777" w:rsidR="00FD5C35" w:rsidRPr="00092B22" w:rsidRDefault="00FD5C35" w:rsidP="00E607DA">
            <w:pPr>
              <w:rPr>
                <w:rFonts w:ascii="Meta Pro" w:eastAsia="Times New Roman" w:hAnsi="Meta Pro" w:cs="Times New Roman"/>
                <w:sz w:val="20"/>
                <w:szCs w:val="20"/>
                <w:lang w:eastAsia="en-AU"/>
              </w:rPr>
            </w:pPr>
          </w:p>
        </w:tc>
        <w:tc>
          <w:tcPr>
            <w:tcW w:w="1134" w:type="dxa"/>
            <w:gridSpan w:val="3"/>
            <w:tcBorders>
              <w:top w:val="nil"/>
              <w:left w:val="nil"/>
              <w:bottom w:val="nil"/>
              <w:right w:val="nil"/>
            </w:tcBorders>
            <w:shd w:val="clear" w:color="auto" w:fill="auto"/>
            <w:noWrap/>
            <w:vAlign w:val="center"/>
            <w:hideMark/>
          </w:tcPr>
          <w:p w14:paraId="0BDD5902" w14:textId="77777777" w:rsidR="00FD5C35" w:rsidRPr="00092B22" w:rsidRDefault="00FD5C35" w:rsidP="00E607DA">
            <w:pPr>
              <w:jc w:val="center"/>
              <w:rPr>
                <w:rFonts w:ascii="Meta Pro" w:eastAsia="Times New Roman" w:hAnsi="Meta Pro"/>
                <w:b/>
                <w:bCs/>
                <w:lang w:eastAsia="en-AU"/>
              </w:rPr>
            </w:pPr>
            <w:r w:rsidRPr="00092B22">
              <w:rPr>
                <w:rFonts w:ascii="Meta Pro" w:eastAsia="Times New Roman" w:hAnsi="Meta Pro"/>
                <w:b/>
                <w:bCs/>
                <w:lang w:eastAsia="en-AU"/>
              </w:rPr>
              <w:t>$'000</w:t>
            </w:r>
          </w:p>
        </w:tc>
        <w:tc>
          <w:tcPr>
            <w:tcW w:w="327" w:type="dxa"/>
            <w:tcBorders>
              <w:top w:val="nil"/>
              <w:left w:val="nil"/>
              <w:bottom w:val="nil"/>
              <w:right w:val="nil"/>
            </w:tcBorders>
            <w:shd w:val="clear" w:color="auto" w:fill="auto"/>
            <w:noWrap/>
            <w:vAlign w:val="center"/>
            <w:hideMark/>
          </w:tcPr>
          <w:p w14:paraId="45AC5E6B" w14:textId="77777777" w:rsidR="00FD5C35" w:rsidRPr="00092B22" w:rsidRDefault="00FD5C35" w:rsidP="00E607DA">
            <w:pPr>
              <w:jc w:val="center"/>
              <w:rPr>
                <w:rFonts w:ascii="Meta Pro" w:eastAsia="Times New Roman" w:hAnsi="Meta Pro"/>
                <w:b/>
                <w:bCs/>
                <w:lang w:eastAsia="en-AU"/>
              </w:rPr>
            </w:pPr>
          </w:p>
        </w:tc>
        <w:tc>
          <w:tcPr>
            <w:tcW w:w="1089" w:type="dxa"/>
            <w:gridSpan w:val="2"/>
            <w:tcBorders>
              <w:top w:val="nil"/>
              <w:left w:val="nil"/>
              <w:bottom w:val="nil"/>
              <w:right w:val="nil"/>
            </w:tcBorders>
            <w:shd w:val="clear" w:color="auto" w:fill="auto"/>
            <w:noWrap/>
            <w:vAlign w:val="center"/>
            <w:hideMark/>
          </w:tcPr>
          <w:p w14:paraId="00AF0DA9" w14:textId="77777777" w:rsidR="00FD5C35" w:rsidRPr="00092B22" w:rsidRDefault="00FD5C35" w:rsidP="00E607DA">
            <w:pPr>
              <w:jc w:val="center"/>
              <w:rPr>
                <w:rFonts w:ascii="Meta Pro" w:eastAsia="Times New Roman" w:hAnsi="Meta Pro"/>
                <w:b/>
                <w:bCs/>
                <w:lang w:eastAsia="en-AU"/>
              </w:rPr>
            </w:pPr>
            <w:r w:rsidRPr="00092B22">
              <w:rPr>
                <w:rFonts w:ascii="Meta Pro" w:eastAsia="Times New Roman" w:hAnsi="Meta Pro"/>
                <w:b/>
                <w:bCs/>
                <w:lang w:eastAsia="en-AU"/>
              </w:rPr>
              <w:t>$'000</w:t>
            </w:r>
          </w:p>
        </w:tc>
      </w:tr>
    </w:tbl>
    <w:p w14:paraId="14A20E8F" w14:textId="77777777" w:rsidR="00FD5C35" w:rsidRPr="00092B22" w:rsidRDefault="00FD5C35" w:rsidP="00FD5C35">
      <w:pPr>
        <w:spacing w:after="120" w:line="259" w:lineRule="auto"/>
        <w:rPr>
          <w:rFonts w:ascii="Meta Pro" w:hAnsi="Meta Pro"/>
          <w:b/>
          <w:bCs/>
          <w:lang w:eastAsia="en-AU"/>
        </w:rPr>
      </w:pPr>
      <w:r w:rsidRPr="00092B22">
        <w:rPr>
          <w:rFonts w:ascii="Meta Pro" w:hAnsi="Meta Pro"/>
          <w:b/>
          <w:bCs/>
          <w:lang w:eastAsia="en-AU"/>
        </w:rPr>
        <w:t>16      PUBLIC PRIVATE PARTNERSHIPS (continued)</w:t>
      </w:r>
    </w:p>
    <w:p w14:paraId="28155001" w14:textId="77777777" w:rsidR="00FD5C35" w:rsidRPr="00092B22" w:rsidRDefault="00FD5C35" w:rsidP="00FD5C35">
      <w:pPr>
        <w:spacing w:after="120" w:line="259" w:lineRule="auto"/>
        <w:rPr>
          <w:rFonts w:ascii="Meta Pro" w:hAnsi="Meta Pro"/>
          <w:b/>
          <w:bCs/>
          <w:szCs w:val="18"/>
          <w:lang w:eastAsia="en-AU"/>
        </w:rPr>
      </w:pPr>
      <w:r w:rsidRPr="00092B22">
        <w:rPr>
          <w:rFonts w:ascii="Meta Pro" w:hAnsi="Meta Pro"/>
          <w:b/>
          <w:bCs/>
          <w:szCs w:val="18"/>
          <w:lang w:eastAsia="en-AU"/>
        </w:rPr>
        <w:t>SERVICE CONCESSION ARRANGEMENTS UNDER AASB 1059 (continued)</w:t>
      </w:r>
    </w:p>
    <w:p w14:paraId="54AAF7DA" w14:textId="77777777" w:rsidR="00FD5C35" w:rsidRPr="00092B22" w:rsidRDefault="00FD5C35" w:rsidP="00FD5C35">
      <w:pPr>
        <w:spacing w:after="120"/>
        <w:rPr>
          <w:rFonts w:ascii="Meta Pro" w:hAnsi="Meta Pro" w:cstheme="minorBidi"/>
        </w:rPr>
      </w:pPr>
      <w:r w:rsidRPr="00092B22">
        <w:rPr>
          <w:rFonts w:ascii="Meta Pro" w:eastAsia="Times New Roman" w:hAnsi="Meta Pro"/>
          <w:b/>
          <w:bCs/>
          <w:szCs w:val="18"/>
          <w:lang w:eastAsia="en-AU"/>
        </w:rPr>
        <w:t>Toowoomba Bypass (continued)</w:t>
      </w:r>
      <w:r w:rsidRPr="00092B22">
        <w:rPr>
          <w:rFonts w:ascii="Meta Pro" w:eastAsia="Times New Roman" w:hAnsi="Meta Pro"/>
          <w:b/>
          <w:bCs/>
          <w:szCs w:val="18"/>
          <w:lang w:eastAsia="en-AU"/>
        </w:rPr>
        <w:tab/>
      </w:r>
    </w:p>
    <w:tbl>
      <w:tblPr>
        <w:tblW w:w="0" w:type="auto"/>
        <w:tblCellMar>
          <w:left w:w="0" w:type="dxa"/>
        </w:tblCellMar>
        <w:tblLook w:val="04A0" w:firstRow="1" w:lastRow="0" w:firstColumn="1" w:lastColumn="0" w:noHBand="0" w:noVBand="1"/>
      </w:tblPr>
      <w:tblGrid>
        <w:gridCol w:w="6089"/>
        <w:gridCol w:w="1031"/>
        <w:gridCol w:w="1148"/>
        <w:gridCol w:w="222"/>
        <w:gridCol w:w="1148"/>
      </w:tblGrid>
      <w:tr w:rsidR="00FD5C35" w:rsidRPr="00092B22" w14:paraId="075DEB21" w14:textId="77777777" w:rsidTr="00E607DA">
        <w:trPr>
          <w:trHeight w:val="20"/>
        </w:trPr>
        <w:tc>
          <w:tcPr>
            <w:tcW w:w="6175" w:type="dxa"/>
            <w:tcBorders>
              <w:top w:val="nil"/>
              <w:left w:val="nil"/>
              <w:bottom w:val="nil"/>
              <w:right w:val="nil"/>
            </w:tcBorders>
            <w:shd w:val="clear" w:color="auto" w:fill="auto"/>
            <w:noWrap/>
            <w:vAlign w:val="center"/>
            <w:hideMark/>
          </w:tcPr>
          <w:p w14:paraId="3DF33698" w14:textId="77777777" w:rsidR="00FD5C35" w:rsidRPr="00092B22" w:rsidRDefault="00FD5C35" w:rsidP="00E607DA">
            <w:pPr>
              <w:rPr>
                <w:rFonts w:ascii="Meta Pro" w:eastAsia="Times New Roman" w:hAnsi="Meta Pro"/>
                <w:b/>
                <w:bCs/>
                <w:szCs w:val="18"/>
                <w:lang w:eastAsia="en-AU"/>
              </w:rPr>
            </w:pPr>
            <w:r w:rsidRPr="00092B22">
              <w:rPr>
                <w:rFonts w:ascii="Meta Pro" w:eastAsia="Times New Roman" w:hAnsi="Meta Pro"/>
                <w:b/>
                <w:bCs/>
                <w:szCs w:val="18"/>
                <w:lang w:eastAsia="en-AU"/>
              </w:rPr>
              <w:t>Operating statement impact</w:t>
            </w:r>
          </w:p>
        </w:tc>
        <w:tc>
          <w:tcPr>
            <w:tcW w:w="1038" w:type="dxa"/>
            <w:tcBorders>
              <w:top w:val="nil"/>
              <w:left w:val="nil"/>
              <w:bottom w:val="nil"/>
              <w:right w:val="nil"/>
            </w:tcBorders>
            <w:shd w:val="clear" w:color="auto" w:fill="auto"/>
            <w:noWrap/>
            <w:vAlign w:val="center"/>
            <w:hideMark/>
          </w:tcPr>
          <w:p w14:paraId="36823B3D" w14:textId="77777777" w:rsidR="00FD5C35" w:rsidRPr="00092B22" w:rsidRDefault="00FD5C35" w:rsidP="00E607DA">
            <w:pPr>
              <w:rPr>
                <w:rFonts w:ascii="Meta Pro" w:eastAsia="Times New Roman" w:hAnsi="Meta Pro"/>
                <w:b/>
                <w:bCs/>
                <w:szCs w:val="18"/>
                <w:lang w:eastAsia="en-AU"/>
              </w:rPr>
            </w:pPr>
          </w:p>
        </w:tc>
        <w:tc>
          <w:tcPr>
            <w:tcW w:w="1157" w:type="dxa"/>
            <w:tcBorders>
              <w:top w:val="nil"/>
              <w:left w:val="nil"/>
              <w:bottom w:val="nil"/>
              <w:right w:val="nil"/>
            </w:tcBorders>
            <w:shd w:val="clear" w:color="auto" w:fill="auto"/>
            <w:noWrap/>
            <w:vAlign w:val="center"/>
            <w:hideMark/>
          </w:tcPr>
          <w:p w14:paraId="3D275AB8" w14:textId="77777777" w:rsidR="00FD5C35" w:rsidRPr="00092B22" w:rsidRDefault="00FD5C35" w:rsidP="00E607DA">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hideMark/>
          </w:tcPr>
          <w:p w14:paraId="29D00A3B" w14:textId="77777777" w:rsidR="00FD5C35" w:rsidRPr="00092B22" w:rsidRDefault="00FD5C35" w:rsidP="00E607DA">
            <w:pPr>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2D25348E" w14:textId="77777777" w:rsidR="00FD5C35" w:rsidRPr="00092B22" w:rsidRDefault="00FD5C35" w:rsidP="00E607DA">
            <w:pPr>
              <w:rPr>
                <w:rFonts w:ascii="Meta Pro" w:eastAsia="Times New Roman" w:hAnsi="Meta Pro" w:cs="Times New Roman"/>
                <w:sz w:val="20"/>
                <w:szCs w:val="20"/>
                <w:lang w:eastAsia="en-AU"/>
              </w:rPr>
            </w:pPr>
          </w:p>
        </w:tc>
      </w:tr>
      <w:tr w:rsidR="00FD5C35" w:rsidRPr="00092B22" w14:paraId="3497A9C0" w14:textId="77777777" w:rsidTr="00E607DA">
        <w:trPr>
          <w:trHeight w:val="20"/>
        </w:trPr>
        <w:tc>
          <w:tcPr>
            <w:tcW w:w="6175" w:type="dxa"/>
            <w:tcBorders>
              <w:top w:val="nil"/>
              <w:left w:val="nil"/>
              <w:bottom w:val="nil"/>
              <w:right w:val="nil"/>
            </w:tcBorders>
            <w:shd w:val="clear" w:color="auto" w:fill="auto"/>
            <w:noWrap/>
            <w:vAlign w:val="center"/>
            <w:hideMark/>
          </w:tcPr>
          <w:p w14:paraId="391205AA" w14:textId="77777777" w:rsidR="00FD5C35" w:rsidRPr="00092B22" w:rsidRDefault="00FD5C35" w:rsidP="00E607DA">
            <w:pPr>
              <w:rPr>
                <w:rFonts w:ascii="Meta Pro" w:eastAsia="Times New Roman" w:hAnsi="Meta Pro"/>
                <w:b/>
                <w:bCs/>
                <w:szCs w:val="18"/>
                <w:lang w:eastAsia="en-AU"/>
              </w:rPr>
            </w:pPr>
            <w:r w:rsidRPr="00092B22">
              <w:rPr>
                <w:rFonts w:ascii="Meta Pro" w:eastAsia="Times New Roman" w:hAnsi="Meta Pro"/>
                <w:b/>
                <w:bCs/>
                <w:szCs w:val="18"/>
                <w:lang w:eastAsia="en-AU"/>
              </w:rPr>
              <w:t>Revenue</w:t>
            </w:r>
          </w:p>
        </w:tc>
        <w:tc>
          <w:tcPr>
            <w:tcW w:w="1038" w:type="dxa"/>
            <w:tcBorders>
              <w:top w:val="nil"/>
              <w:left w:val="nil"/>
              <w:bottom w:val="nil"/>
              <w:right w:val="nil"/>
            </w:tcBorders>
            <w:shd w:val="clear" w:color="auto" w:fill="auto"/>
            <w:noWrap/>
            <w:vAlign w:val="center"/>
            <w:hideMark/>
          </w:tcPr>
          <w:p w14:paraId="037018D6" w14:textId="77777777" w:rsidR="00FD5C35" w:rsidRPr="00092B22" w:rsidRDefault="00FD5C35" w:rsidP="00E607DA">
            <w:pPr>
              <w:rPr>
                <w:rFonts w:ascii="Meta Pro" w:eastAsia="Times New Roman" w:hAnsi="Meta Pro"/>
                <w:b/>
                <w:bCs/>
                <w:szCs w:val="18"/>
                <w:lang w:eastAsia="en-AU"/>
              </w:rPr>
            </w:pPr>
          </w:p>
        </w:tc>
        <w:tc>
          <w:tcPr>
            <w:tcW w:w="1157" w:type="dxa"/>
            <w:tcBorders>
              <w:top w:val="nil"/>
              <w:left w:val="nil"/>
              <w:bottom w:val="nil"/>
              <w:right w:val="nil"/>
            </w:tcBorders>
            <w:shd w:val="clear" w:color="auto" w:fill="auto"/>
            <w:noWrap/>
            <w:vAlign w:val="center"/>
            <w:hideMark/>
          </w:tcPr>
          <w:p w14:paraId="7E75878E" w14:textId="77777777" w:rsidR="00FD5C35" w:rsidRPr="00092B22" w:rsidRDefault="00FD5C35" w:rsidP="00E607DA">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hideMark/>
          </w:tcPr>
          <w:p w14:paraId="7DDE4D2A" w14:textId="77777777" w:rsidR="00FD5C35" w:rsidRPr="00092B22" w:rsidRDefault="00FD5C35" w:rsidP="00E607DA">
            <w:pPr>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54434AC1" w14:textId="77777777" w:rsidR="00FD5C35" w:rsidRPr="00092B22" w:rsidRDefault="00FD5C35" w:rsidP="00E607DA">
            <w:pPr>
              <w:rPr>
                <w:rFonts w:ascii="Meta Pro" w:eastAsia="Times New Roman" w:hAnsi="Meta Pro" w:cs="Times New Roman"/>
                <w:sz w:val="20"/>
                <w:szCs w:val="20"/>
                <w:lang w:eastAsia="en-AU"/>
              </w:rPr>
            </w:pPr>
          </w:p>
        </w:tc>
      </w:tr>
      <w:tr w:rsidR="00FD5C35" w:rsidRPr="00092B22" w14:paraId="4487C0F1" w14:textId="77777777" w:rsidTr="00E607DA">
        <w:trPr>
          <w:trHeight w:val="20"/>
        </w:trPr>
        <w:tc>
          <w:tcPr>
            <w:tcW w:w="6175" w:type="dxa"/>
            <w:tcBorders>
              <w:top w:val="nil"/>
              <w:left w:val="nil"/>
              <w:bottom w:val="nil"/>
              <w:right w:val="nil"/>
            </w:tcBorders>
            <w:shd w:val="clear" w:color="auto" w:fill="auto"/>
            <w:noWrap/>
            <w:vAlign w:val="center"/>
            <w:hideMark/>
          </w:tcPr>
          <w:p w14:paraId="39580A36" w14:textId="77777777" w:rsidR="00FD5C35" w:rsidRPr="00092B22" w:rsidRDefault="00FD5C35" w:rsidP="00E607DA">
            <w:pPr>
              <w:rPr>
                <w:rFonts w:ascii="Meta Pro" w:eastAsia="Times New Roman" w:hAnsi="Meta Pro"/>
                <w:szCs w:val="18"/>
                <w:lang w:eastAsia="en-AU"/>
              </w:rPr>
            </w:pPr>
            <w:r w:rsidRPr="00092B22">
              <w:rPr>
                <w:rFonts w:ascii="Meta Pro" w:eastAsia="Times New Roman" w:hAnsi="Meta Pro"/>
                <w:szCs w:val="18"/>
                <w:lang w:eastAsia="en-AU"/>
              </w:rPr>
              <w:t>Interest rate adjustment</w:t>
            </w:r>
          </w:p>
        </w:tc>
        <w:tc>
          <w:tcPr>
            <w:tcW w:w="1038" w:type="dxa"/>
            <w:tcBorders>
              <w:top w:val="nil"/>
              <w:left w:val="nil"/>
              <w:bottom w:val="nil"/>
              <w:right w:val="nil"/>
            </w:tcBorders>
            <w:shd w:val="clear" w:color="auto" w:fill="auto"/>
            <w:noWrap/>
            <w:vAlign w:val="center"/>
            <w:hideMark/>
          </w:tcPr>
          <w:p w14:paraId="018C7CD5" w14:textId="77777777" w:rsidR="00FD5C35" w:rsidRPr="00092B22" w:rsidRDefault="00FD5C35" w:rsidP="00E607DA">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059DA83C" w14:textId="77777777" w:rsidR="00FD5C35" w:rsidRPr="00092B22" w:rsidRDefault="00FD5C3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13,496 </w:t>
            </w:r>
          </w:p>
        </w:tc>
        <w:tc>
          <w:tcPr>
            <w:tcW w:w="216" w:type="dxa"/>
            <w:tcBorders>
              <w:top w:val="nil"/>
              <w:left w:val="nil"/>
              <w:bottom w:val="nil"/>
              <w:right w:val="nil"/>
            </w:tcBorders>
            <w:shd w:val="clear" w:color="auto" w:fill="auto"/>
            <w:noWrap/>
            <w:vAlign w:val="center"/>
            <w:hideMark/>
          </w:tcPr>
          <w:p w14:paraId="0C4BC9C3" w14:textId="77777777" w:rsidR="00FD5C35" w:rsidRPr="00092B22" w:rsidRDefault="00FD5C35" w:rsidP="00E607DA">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5287F325" w14:textId="77777777" w:rsidR="00FD5C35" w:rsidRPr="00092B22" w:rsidRDefault="00FD5C3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6,931 </w:t>
            </w:r>
          </w:p>
        </w:tc>
      </w:tr>
      <w:tr w:rsidR="00FD5C35" w:rsidRPr="00092B22" w14:paraId="6028E698" w14:textId="77777777" w:rsidTr="00E607DA">
        <w:trPr>
          <w:trHeight w:val="20"/>
        </w:trPr>
        <w:tc>
          <w:tcPr>
            <w:tcW w:w="6175" w:type="dxa"/>
            <w:tcBorders>
              <w:top w:val="nil"/>
              <w:left w:val="nil"/>
              <w:bottom w:val="nil"/>
              <w:right w:val="nil"/>
            </w:tcBorders>
            <w:shd w:val="clear" w:color="auto" w:fill="auto"/>
            <w:noWrap/>
            <w:vAlign w:val="center"/>
            <w:hideMark/>
          </w:tcPr>
          <w:p w14:paraId="2701BC30" w14:textId="77777777" w:rsidR="00FD5C35" w:rsidRPr="00092B22" w:rsidRDefault="00FD5C35" w:rsidP="00E607DA">
            <w:pPr>
              <w:rPr>
                <w:rFonts w:ascii="Meta Pro" w:eastAsia="Times New Roman" w:hAnsi="Meta Pro"/>
                <w:szCs w:val="18"/>
                <w:lang w:eastAsia="en-AU"/>
              </w:rPr>
            </w:pPr>
            <w:r w:rsidRPr="00092B22">
              <w:rPr>
                <w:rFonts w:ascii="Meta Pro" w:eastAsia="Times New Roman" w:hAnsi="Meta Pro"/>
                <w:szCs w:val="18"/>
                <w:lang w:eastAsia="en-AU"/>
              </w:rPr>
              <w:t>Toll revenue</w:t>
            </w:r>
          </w:p>
        </w:tc>
        <w:tc>
          <w:tcPr>
            <w:tcW w:w="1038" w:type="dxa"/>
            <w:tcBorders>
              <w:top w:val="nil"/>
              <w:left w:val="nil"/>
              <w:bottom w:val="nil"/>
              <w:right w:val="nil"/>
            </w:tcBorders>
            <w:shd w:val="clear" w:color="auto" w:fill="auto"/>
            <w:noWrap/>
            <w:vAlign w:val="center"/>
            <w:hideMark/>
          </w:tcPr>
          <w:p w14:paraId="089D40BA" w14:textId="77777777" w:rsidR="00FD5C35" w:rsidRPr="00092B22" w:rsidRDefault="00FD5C35" w:rsidP="00E607DA">
            <w:pPr>
              <w:jc w:val="center"/>
              <w:rPr>
                <w:rFonts w:ascii="Meta Pro" w:eastAsia="Times New Roman" w:hAnsi="Meta Pro"/>
                <w:szCs w:val="18"/>
                <w:lang w:eastAsia="en-AU"/>
              </w:rPr>
            </w:pPr>
            <w:r w:rsidRPr="00092B22">
              <w:rPr>
                <w:rFonts w:ascii="Meta Pro" w:eastAsia="Times New Roman" w:hAnsi="Meta Pro"/>
                <w:szCs w:val="18"/>
                <w:lang w:eastAsia="en-AU"/>
              </w:rPr>
              <w:t>3</w:t>
            </w:r>
          </w:p>
        </w:tc>
        <w:tc>
          <w:tcPr>
            <w:tcW w:w="1157" w:type="dxa"/>
            <w:tcBorders>
              <w:top w:val="nil"/>
              <w:left w:val="nil"/>
              <w:bottom w:val="nil"/>
              <w:right w:val="nil"/>
            </w:tcBorders>
            <w:shd w:val="clear" w:color="000000" w:fill="C9E3B4"/>
            <w:noWrap/>
            <w:vAlign w:val="center"/>
            <w:hideMark/>
          </w:tcPr>
          <w:p w14:paraId="13C8D765" w14:textId="77777777" w:rsidR="00FD5C35" w:rsidRPr="00092B22" w:rsidRDefault="00FD5C3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19,727 </w:t>
            </w:r>
          </w:p>
        </w:tc>
        <w:tc>
          <w:tcPr>
            <w:tcW w:w="216" w:type="dxa"/>
            <w:tcBorders>
              <w:top w:val="nil"/>
              <w:left w:val="nil"/>
              <w:bottom w:val="nil"/>
              <w:right w:val="nil"/>
            </w:tcBorders>
            <w:shd w:val="clear" w:color="auto" w:fill="auto"/>
            <w:noWrap/>
            <w:vAlign w:val="center"/>
            <w:hideMark/>
          </w:tcPr>
          <w:p w14:paraId="1AFBFD88" w14:textId="77777777" w:rsidR="00FD5C35" w:rsidRPr="00092B22" w:rsidRDefault="00FD5C35" w:rsidP="00E607DA">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503A1AF4" w14:textId="77777777" w:rsidR="00FD5C35" w:rsidRPr="00092B22" w:rsidRDefault="00FD5C3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18,748 </w:t>
            </w:r>
          </w:p>
        </w:tc>
      </w:tr>
      <w:tr w:rsidR="00FD5C35" w:rsidRPr="00092B22" w14:paraId="3ACCD51C" w14:textId="77777777" w:rsidTr="00E607DA">
        <w:trPr>
          <w:trHeight w:val="90"/>
        </w:trPr>
        <w:tc>
          <w:tcPr>
            <w:tcW w:w="6175" w:type="dxa"/>
            <w:tcBorders>
              <w:top w:val="nil"/>
              <w:left w:val="nil"/>
              <w:bottom w:val="nil"/>
              <w:right w:val="nil"/>
            </w:tcBorders>
            <w:shd w:val="clear" w:color="auto" w:fill="auto"/>
            <w:noWrap/>
            <w:vAlign w:val="center"/>
            <w:hideMark/>
          </w:tcPr>
          <w:p w14:paraId="1C233AE6" w14:textId="77777777" w:rsidR="00FD5C35" w:rsidRPr="00092B22" w:rsidRDefault="00FD5C35" w:rsidP="00E607DA">
            <w:pPr>
              <w:jc w:val="right"/>
              <w:rPr>
                <w:rFonts w:ascii="Meta Pro" w:eastAsia="Times New Roman" w:hAnsi="Meta Pro"/>
                <w:szCs w:val="18"/>
                <w:lang w:eastAsia="en-AU"/>
              </w:rPr>
            </w:pPr>
          </w:p>
        </w:tc>
        <w:tc>
          <w:tcPr>
            <w:tcW w:w="1038" w:type="dxa"/>
            <w:tcBorders>
              <w:top w:val="nil"/>
              <w:left w:val="nil"/>
              <w:bottom w:val="nil"/>
              <w:right w:val="nil"/>
            </w:tcBorders>
            <w:shd w:val="clear" w:color="auto" w:fill="auto"/>
            <w:noWrap/>
            <w:vAlign w:val="center"/>
            <w:hideMark/>
          </w:tcPr>
          <w:p w14:paraId="0E974FB1" w14:textId="77777777" w:rsidR="00FD5C35" w:rsidRPr="00092B22" w:rsidRDefault="00FD5C35" w:rsidP="00E607DA">
            <w:pPr>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000000" w:fill="C9E3B4"/>
            <w:noWrap/>
            <w:vAlign w:val="center"/>
            <w:hideMark/>
          </w:tcPr>
          <w:p w14:paraId="5DD8ED60" w14:textId="77777777" w:rsidR="00FD5C35" w:rsidRPr="00092B22" w:rsidRDefault="00FD5C35" w:rsidP="00E607DA">
            <w:pPr>
              <w:jc w:val="right"/>
              <w:rPr>
                <w:rFonts w:ascii="Meta Pro" w:eastAsia="Times New Roman" w:hAnsi="Meta Pro"/>
                <w:szCs w:val="18"/>
                <w:lang w:eastAsia="en-AU"/>
              </w:rPr>
            </w:pPr>
            <w:r w:rsidRPr="00092B22">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66175EEE" w14:textId="77777777" w:rsidR="00FD5C35" w:rsidRPr="00092B22" w:rsidRDefault="00FD5C35" w:rsidP="00E607DA">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29A1AF3F" w14:textId="77777777" w:rsidR="00FD5C35" w:rsidRPr="00092B22" w:rsidRDefault="00FD5C35" w:rsidP="00E607DA">
            <w:pPr>
              <w:jc w:val="right"/>
              <w:rPr>
                <w:rFonts w:ascii="Meta Pro" w:eastAsia="Times New Roman" w:hAnsi="Meta Pro" w:cs="Times New Roman"/>
                <w:sz w:val="20"/>
                <w:szCs w:val="20"/>
                <w:lang w:eastAsia="en-AU"/>
              </w:rPr>
            </w:pPr>
          </w:p>
        </w:tc>
      </w:tr>
      <w:tr w:rsidR="00FD5C35" w:rsidRPr="00092B22" w14:paraId="7D4B7DA5" w14:textId="77777777" w:rsidTr="00E607DA">
        <w:trPr>
          <w:trHeight w:val="20"/>
        </w:trPr>
        <w:tc>
          <w:tcPr>
            <w:tcW w:w="6175" w:type="dxa"/>
            <w:tcBorders>
              <w:top w:val="nil"/>
              <w:left w:val="nil"/>
              <w:bottom w:val="nil"/>
              <w:right w:val="nil"/>
            </w:tcBorders>
            <w:shd w:val="clear" w:color="auto" w:fill="auto"/>
            <w:noWrap/>
            <w:vAlign w:val="center"/>
            <w:hideMark/>
          </w:tcPr>
          <w:p w14:paraId="5F18691D" w14:textId="77777777" w:rsidR="00FD5C35" w:rsidRPr="00092B22" w:rsidRDefault="00FD5C35" w:rsidP="00E607DA">
            <w:pPr>
              <w:rPr>
                <w:rFonts w:ascii="Meta Pro" w:eastAsia="Times New Roman" w:hAnsi="Meta Pro"/>
                <w:b/>
                <w:bCs/>
                <w:szCs w:val="18"/>
                <w:lang w:eastAsia="en-AU"/>
              </w:rPr>
            </w:pPr>
            <w:r w:rsidRPr="00092B22">
              <w:rPr>
                <w:rFonts w:ascii="Meta Pro" w:eastAsia="Times New Roman" w:hAnsi="Meta Pro"/>
                <w:b/>
                <w:bCs/>
                <w:szCs w:val="18"/>
                <w:lang w:eastAsia="en-AU"/>
              </w:rPr>
              <w:t>Expenses</w:t>
            </w:r>
          </w:p>
        </w:tc>
        <w:tc>
          <w:tcPr>
            <w:tcW w:w="1038" w:type="dxa"/>
            <w:tcBorders>
              <w:top w:val="nil"/>
              <w:left w:val="nil"/>
              <w:bottom w:val="nil"/>
              <w:right w:val="nil"/>
            </w:tcBorders>
            <w:shd w:val="clear" w:color="auto" w:fill="auto"/>
            <w:noWrap/>
            <w:vAlign w:val="center"/>
            <w:hideMark/>
          </w:tcPr>
          <w:p w14:paraId="4685647D" w14:textId="77777777" w:rsidR="00FD5C35" w:rsidRPr="00092B22" w:rsidRDefault="00FD5C35" w:rsidP="00E607DA">
            <w:pPr>
              <w:rPr>
                <w:rFonts w:ascii="Meta Pro" w:eastAsia="Times New Roman" w:hAnsi="Meta Pro"/>
                <w:b/>
                <w:bCs/>
                <w:szCs w:val="18"/>
                <w:lang w:eastAsia="en-AU"/>
              </w:rPr>
            </w:pPr>
          </w:p>
        </w:tc>
        <w:tc>
          <w:tcPr>
            <w:tcW w:w="1157" w:type="dxa"/>
            <w:tcBorders>
              <w:top w:val="nil"/>
              <w:left w:val="nil"/>
              <w:bottom w:val="nil"/>
              <w:right w:val="nil"/>
            </w:tcBorders>
            <w:shd w:val="clear" w:color="000000" w:fill="C9E3B4"/>
            <w:noWrap/>
            <w:vAlign w:val="center"/>
            <w:hideMark/>
          </w:tcPr>
          <w:p w14:paraId="066CD8EB" w14:textId="77777777" w:rsidR="00FD5C35" w:rsidRPr="00092B22" w:rsidRDefault="00FD5C35" w:rsidP="00E607DA">
            <w:pPr>
              <w:rPr>
                <w:rFonts w:ascii="Meta Pro" w:eastAsia="Times New Roman" w:hAnsi="Meta Pro"/>
                <w:szCs w:val="18"/>
                <w:lang w:eastAsia="en-AU"/>
              </w:rPr>
            </w:pPr>
            <w:r w:rsidRPr="00092B22">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18CA6A1E" w14:textId="77777777" w:rsidR="00FD5C35" w:rsidRPr="00092B22" w:rsidRDefault="00FD5C35" w:rsidP="00E607DA">
            <w:pPr>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2855C3F6" w14:textId="77777777" w:rsidR="00FD5C35" w:rsidRPr="00092B22" w:rsidRDefault="00FD5C35" w:rsidP="00E607DA">
            <w:pPr>
              <w:jc w:val="right"/>
              <w:rPr>
                <w:rFonts w:ascii="Meta Pro" w:eastAsia="Times New Roman" w:hAnsi="Meta Pro" w:cs="Times New Roman"/>
                <w:sz w:val="20"/>
                <w:szCs w:val="20"/>
                <w:lang w:eastAsia="en-AU"/>
              </w:rPr>
            </w:pPr>
          </w:p>
        </w:tc>
      </w:tr>
      <w:tr w:rsidR="00FD5C35" w:rsidRPr="00092B22" w14:paraId="2EFEF0A8" w14:textId="77777777" w:rsidTr="00E607DA">
        <w:trPr>
          <w:trHeight w:val="20"/>
        </w:trPr>
        <w:tc>
          <w:tcPr>
            <w:tcW w:w="6175" w:type="dxa"/>
            <w:tcBorders>
              <w:top w:val="nil"/>
              <w:left w:val="nil"/>
              <w:bottom w:val="nil"/>
              <w:right w:val="nil"/>
            </w:tcBorders>
            <w:shd w:val="clear" w:color="auto" w:fill="auto"/>
            <w:noWrap/>
            <w:vAlign w:val="center"/>
            <w:hideMark/>
          </w:tcPr>
          <w:p w14:paraId="54201582" w14:textId="77777777" w:rsidR="00FD5C35" w:rsidRPr="00092B22" w:rsidRDefault="00FD5C35" w:rsidP="00E607DA">
            <w:pPr>
              <w:rPr>
                <w:rFonts w:ascii="Meta Pro" w:eastAsia="Times New Roman" w:hAnsi="Meta Pro"/>
                <w:szCs w:val="18"/>
                <w:lang w:eastAsia="en-AU"/>
              </w:rPr>
            </w:pPr>
            <w:r w:rsidRPr="00092B22">
              <w:rPr>
                <w:rFonts w:ascii="Meta Pro" w:eastAsia="Times New Roman" w:hAnsi="Meta Pro"/>
                <w:szCs w:val="18"/>
                <w:lang w:eastAsia="en-AU"/>
              </w:rPr>
              <w:lastRenderedPageBreak/>
              <w:t>Depreciation</w:t>
            </w:r>
          </w:p>
        </w:tc>
        <w:tc>
          <w:tcPr>
            <w:tcW w:w="1038" w:type="dxa"/>
            <w:tcBorders>
              <w:top w:val="nil"/>
              <w:left w:val="nil"/>
              <w:bottom w:val="nil"/>
              <w:right w:val="nil"/>
            </w:tcBorders>
            <w:shd w:val="clear" w:color="auto" w:fill="auto"/>
            <w:noWrap/>
            <w:vAlign w:val="center"/>
            <w:hideMark/>
          </w:tcPr>
          <w:p w14:paraId="6DE5EBB9" w14:textId="77777777" w:rsidR="00FD5C35" w:rsidRPr="00092B22" w:rsidRDefault="00FD5C35" w:rsidP="00E607DA">
            <w:pPr>
              <w:jc w:val="center"/>
              <w:rPr>
                <w:rFonts w:ascii="Meta Pro" w:eastAsia="Times New Roman" w:hAnsi="Meta Pro"/>
                <w:szCs w:val="18"/>
                <w:lang w:eastAsia="en-AU"/>
              </w:rPr>
            </w:pPr>
            <w:r w:rsidRPr="00092B22">
              <w:rPr>
                <w:rFonts w:ascii="Meta Pro" w:eastAsia="Times New Roman" w:hAnsi="Meta Pro"/>
                <w:szCs w:val="18"/>
                <w:lang w:eastAsia="en-AU"/>
              </w:rPr>
              <w:t>10</w:t>
            </w:r>
          </w:p>
        </w:tc>
        <w:tc>
          <w:tcPr>
            <w:tcW w:w="1157" w:type="dxa"/>
            <w:tcBorders>
              <w:top w:val="nil"/>
              <w:left w:val="nil"/>
              <w:bottom w:val="nil"/>
              <w:right w:val="nil"/>
            </w:tcBorders>
            <w:shd w:val="clear" w:color="000000" w:fill="C9E3B4"/>
            <w:noWrap/>
            <w:vAlign w:val="center"/>
            <w:hideMark/>
          </w:tcPr>
          <w:p w14:paraId="28910DB2" w14:textId="77777777" w:rsidR="00FD5C35" w:rsidRPr="00092B22" w:rsidRDefault="00FD5C3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18,632 </w:t>
            </w:r>
          </w:p>
        </w:tc>
        <w:tc>
          <w:tcPr>
            <w:tcW w:w="216" w:type="dxa"/>
            <w:tcBorders>
              <w:top w:val="nil"/>
              <w:left w:val="nil"/>
              <w:bottom w:val="nil"/>
              <w:right w:val="nil"/>
            </w:tcBorders>
            <w:shd w:val="clear" w:color="auto" w:fill="auto"/>
            <w:noWrap/>
            <w:vAlign w:val="center"/>
            <w:hideMark/>
          </w:tcPr>
          <w:p w14:paraId="5FC7384F" w14:textId="77777777" w:rsidR="00FD5C35" w:rsidRPr="00092B22" w:rsidRDefault="00FD5C35" w:rsidP="00E607DA">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78C815F2" w14:textId="77777777" w:rsidR="00FD5C35" w:rsidRPr="00092B22" w:rsidRDefault="00FD5C3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14,721 </w:t>
            </w:r>
          </w:p>
        </w:tc>
      </w:tr>
      <w:tr w:rsidR="00FD5C35" w:rsidRPr="00092B22" w14:paraId="2057A2DF" w14:textId="77777777" w:rsidTr="00E607DA">
        <w:trPr>
          <w:trHeight w:val="20"/>
        </w:trPr>
        <w:tc>
          <w:tcPr>
            <w:tcW w:w="6175" w:type="dxa"/>
            <w:tcBorders>
              <w:top w:val="nil"/>
              <w:left w:val="nil"/>
              <w:bottom w:val="nil"/>
              <w:right w:val="nil"/>
            </w:tcBorders>
            <w:shd w:val="clear" w:color="auto" w:fill="auto"/>
            <w:noWrap/>
            <w:vAlign w:val="center"/>
            <w:hideMark/>
          </w:tcPr>
          <w:p w14:paraId="05632DBC" w14:textId="77777777" w:rsidR="00FD5C35" w:rsidRPr="00092B22" w:rsidRDefault="00FD5C35" w:rsidP="00E607DA">
            <w:pPr>
              <w:rPr>
                <w:rFonts w:ascii="Meta Pro" w:eastAsia="Times New Roman" w:hAnsi="Meta Pro"/>
                <w:szCs w:val="18"/>
                <w:lang w:eastAsia="en-AU"/>
              </w:rPr>
            </w:pPr>
            <w:r w:rsidRPr="00092B22">
              <w:rPr>
                <w:rFonts w:ascii="Meta Pro" w:eastAsia="Times New Roman" w:hAnsi="Meta Pro"/>
                <w:szCs w:val="18"/>
                <w:lang w:eastAsia="en-AU"/>
              </w:rPr>
              <w:t>Interest</w:t>
            </w:r>
          </w:p>
        </w:tc>
        <w:tc>
          <w:tcPr>
            <w:tcW w:w="1038" w:type="dxa"/>
            <w:tcBorders>
              <w:top w:val="nil"/>
              <w:left w:val="nil"/>
              <w:bottom w:val="nil"/>
              <w:right w:val="nil"/>
            </w:tcBorders>
            <w:shd w:val="clear" w:color="auto" w:fill="auto"/>
            <w:noWrap/>
            <w:vAlign w:val="center"/>
            <w:hideMark/>
          </w:tcPr>
          <w:p w14:paraId="48DE2A76" w14:textId="77777777" w:rsidR="00FD5C35" w:rsidRPr="00092B22" w:rsidRDefault="00FD5C35" w:rsidP="00E607DA">
            <w:pPr>
              <w:jc w:val="center"/>
              <w:rPr>
                <w:rFonts w:ascii="Meta Pro" w:eastAsia="Times New Roman" w:hAnsi="Meta Pro"/>
                <w:szCs w:val="18"/>
                <w:lang w:eastAsia="en-AU"/>
              </w:rPr>
            </w:pPr>
            <w:r w:rsidRPr="00092B22">
              <w:rPr>
                <w:rFonts w:ascii="Meta Pro" w:eastAsia="Times New Roman" w:hAnsi="Meta Pro"/>
                <w:szCs w:val="18"/>
                <w:lang w:eastAsia="en-AU"/>
              </w:rPr>
              <w:t>9</w:t>
            </w:r>
          </w:p>
        </w:tc>
        <w:tc>
          <w:tcPr>
            <w:tcW w:w="1157" w:type="dxa"/>
            <w:tcBorders>
              <w:top w:val="nil"/>
              <w:left w:val="nil"/>
              <w:bottom w:val="nil"/>
              <w:right w:val="nil"/>
            </w:tcBorders>
            <w:shd w:val="clear" w:color="000000" w:fill="C9E3B4"/>
            <w:noWrap/>
            <w:vAlign w:val="center"/>
            <w:hideMark/>
          </w:tcPr>
          <w:p w14:paraId="0E0FCE4E" w14:textId="77777777" w:rsidR="00FD5C35" w:rsidRPr="00092B22" w:rsidRDefault="00FD5C3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21,675 </w:t>
            </w:r>
          </w:p>
        </w:tc>
        <w:tc>
          <w:tcPr>
            <w:tcW w:w="216" w:type="dxa"/>
            <w:tcBorders>
              <w:top w:val="nil"/>
              <w:left w:val="nil"/>
              <w:bottom w:val="nil"/>
              <w:right w:val="nil"/>
            </w:tcBorders>
            <w:shd w:val="clear" w:color="auto" w:fill="auto"/>
            <w:vAlign w:val="center"/>
            <w:hideMark/>
          </w:tcPr>
          <w:p w14:paraId="0F6A4D39" w14:textId="77777777" w:rsidR="00FD5C35" w:rsidRPr="00092B22" w:rsidRDefault="00FD5C35" w:rsidP="00E607DA">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7C2130BC" w14:textId="77777777" w:rsidR="00FD5C35" w:rsidRPr="00092B22" w:rsidRDefault="00FD5C3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22,176 </w:t>
            </w:r>
          </w:p>
        </w:tc>
      </w:tr>
      <w:tr w:rsidR="00FD5C35" w:rsidRPr="00092B22" w14:paraId="2FED1DE0" w14:textId="77777777" w:rsidTr="00E607DA">
        <w:trPr>
          <w:trHeight w:val="20"/>
        </w:trPr>
        <w:tc>
          <w:tcPr>
            <w:tcW w:w="6175" w:type="dxa"/>
            <w:tcBorders>
              <w:top w:val="nil"/>
              <w:left w:val="nil"/>
              <w:bottom w:val="nil"/>
              <w:right w:val="nil"/>
            </w:tcBorders>
            <w:shd w:val="clear" w:color="auto" w:fill="auto"/>
            <w:noWrap/>
            <w:vAlign w:val="center"/>
            <w:hideMark/>
          </w:tcPr>
          <w:p w14:paraId="5D10012D" w14:textId="77777777" w:rsidR="00FD5C35" w:rsidRPr="00092B22" w:rsidRDefault="00FD5C35" w:rsidP="00E607DA">
            <w:pPr>
              <w:rPr>
                <w:rFonts w:ascii="Meta Pro" w:eastAsia="Times New Roman" w:hAnsi="Meta Pro"/>
                <w:szCs w:val="18"/>
                <w:lang w:eastAsia="en-AU"/>
              </w:rPr>
            </w:pPr>
            <w:r w:rsidRPr="00092B22">
              <w:rPr>
                <w:rFonts w:ascii="Meta Pro" w:eastAsia="Times New Roman" w:hAnsi="Meta Pro"/>
                <w:szCs w:val="18"/>
                <w:lang w:eastAsia="en-AU"/>
              </w:rPr>
              <w:t>Service expenses</w:t>
            </w:r>
          </w:p>
        </w:tc>
        <w:tc>
          <w:tcPr>
            <w:tcW w:w="1038" w:type="dxa"/>
            <w:tcBorders>
              <w:top w:val="nil"/>
              <w:left w:val="nil"/>
              <w:bottom w:val="nil"/>
              <w:right w:val="nil"/>
            </w:tcBorders>
            <w:shd w:val="clear" w:color="auto" w:fill="auto"/>
            <w:noWrap/>
            <w:vAlign w:val="center"/>
            <w:hideMark/>
          </w:tcPr>
          <w:p w14:paraId="4A0A1614" w14:textId="77777777" w:rsidR="00FD5C35" w:rsidRPr="00092B22" w:rsidRDefault="00FD5C35" w:rsidP="00E607DA">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7FFDEB55" w14:textId="77777777" w:rsidR="00FD5C35" w:rsidRPr="00092B22" w:rsidRDefault="00FD5C3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8,579 </w:t>
            </w:r>
          </w:p>
        </w:tc>
        <w:tc>
          <w:tcPr>
            <w:tcW w:w="216" w:type="dxa"/>
            <w:tcBorders>
              <w:top w:val="nil"/>
              <w:left w:val="nil"/>
              <w:bottom w:val="nil"/>
              <w:right w:val="nil"/>
            </w:tcBorders>
            <w:shd w:val="clear" w:color="auto" w:fill="auto"/>
            <w:noWrap/>
            <w:vAlign w:val="center"/>
            <w:hideMark/>
          </w:tcPr>
          <w:p w14:paraId="4B3A1590" w14:textId="77777777" w:rsidR="00FD5C35" w:rsidRPr="00092B22" w:rsidRDefault="00FD5C35" w:rsidP="00E607DA">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0E5A0E8E" w14:textId="77777777" w:rsidR="00FD5C35" w:rsidRPr="00092B22" w:rsidRDefault="00FD5C3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24,267 </w:t>
            </w:r>
          </w:p>
        </w:tc>
      </w:tr>
      <w:tr w:rsidR="00FD5C35" w:rsidRPr="00092B22" w14:paraId="4C08CCF6" w14:textId="77777777" w:rsidTr="00E607DA">
        <w:trPr>
          <w:trHeight w:val="20"/>
        </w:trPr>
        <w:tc>
          <w:tcPr>
            <w:tcW w:w="6175" w:type="dxa"/>
            <w:tcBorders>
              <w:top w:val="nil"/>
              <w:left w:val="nil"/>
              <w:bottom w:val="nil"/>
              <w:right w:val="nil"/>
            </w:tcBorders>
            <w:shd w:val="clear" w:color="auto" w:fill="auto"/>
            <w:noWrap/>
            <w:vAlign w:val="center"/>
            <w:hideMark/>
          </w:tcPr>
          <w:p w14:paraId="369FEE5F" w14:textId="77777777" w:rsidR="00FD5C35" w:rsidRPr="00092B22" w:rsidRDefault="00FD5C35" w:rsidP="00E607DA">
            <w:pPr>
              <w:rPr>
                <w:rFonts w:ascii="Meta Pro" w:eastAsia="Times New Roman" w:hAnsi="Meta Pro"/>
                <w:szCs w:val="18"/>
                <w:lang w:eastAsia="en-AU"/>
              </w:rPr>
            </w:pPr>
            <w:r w:rsidRPr="00092B22">
              <w:rPr>
                <w:rFonts w:ascii="Meta Pro" w:eastAsia="Times New Roman" w:hAnsi="Meta Pro"/>
                <w:szCs w:val="18"/>
                <w:lang w:eastAsia="en-AU"/>
              </w:rPr>
              <w:t>Tolling operations</w:t>
            </w:r>
          </w:p>
        </w:tc>
        <w:tc>
          <w:tcPr>
            <w:tcW w:w="1038" w:type="dxa"/>
            <w:tcBorders>
              <w:top w:val="nil"/>
              <w:left w:val="nil"/>
              <w:bottom w:val="nil"/>
              <w:right w:val="nil"/>
            </w:tcBorders>
            <w:shd w:val="clear" w:color="auto" w:fill="auto"/>
            <w:noWrap/>
            <w:vAlign w:val="center"/>
            <w:hideMark/>
          </w:tcPr>
          <w:p w14:paraId="30887DBE" w14:textId="77777777" w:rsidR="00FD5C35" w:rsidRPr="00092B22" w:rsidRDefault="00FD5C35" w:rsidP="00E607DA">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7F4CA395" w14:textId="77777777" w:rsidR="00FD5C35" w:rsidRPr="00092B22" w:rsidRDefault="00FD5C3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1,687 </w:t>
            </w:r>
          </w:p>
        </w:tc>
        <w:tc>
          <w:tcPr>
            <w:tcW w:w="216" w:type="dxa"/>
            <w:tcBorders>
              <w:top w:val="nil"/>
              <w:left w:val="nil"/>
              <w:bottom w:val="nil"/>
              <w:right w:val="nil"/>
            </w:tcBorders>
            <w:shd w:val="clear" w:color="auto" w:fill="auto"/>
            <w:noWrap/>
            <w:vAlign w:val="center"/>
            <w:hideMark/>
          </w:tcPr>
          <w:p w14:paraId="3A2C88DC" w14:textId="77777777" w:rsidR="00FD5C35" w:rsidRPr="00092B22" w:rsidRDefault="00FD5C35" w:rsidP="00E607DA">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598B31F8" w14:textId="77777777" w:rsidR="00FD5C35" w:rsidRPr="00092B22" w:rsidRDefault="00FD5C3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1,674 </w:t>
            </w:r>
          </w:p>
        </w:tc>
      </w:tr>
      <w:tr w:rsidR="00FD5C35" w:rsidRPr="00092B22" w14:paraId="47569724" w14:textId="77777777" w:rsidTr="00E607DA">
        <w:trPr>
          <w:trHeight w:val="20"/>
        </w:trPr>
        <w:tc>
          <w:tcPr>
            <w:tcW w:w="6175" w:type="dxa"/>
            <w:tcBorders>
              <w:top w:val="single" w:sz="4" w:space="0" w:color="auto"/>
              <w:left w:val="nil"/>
              <w:bottom w:val="double" w:sz="6" w:space="0" w:color="auto"/>
              <w:right w:val="nil"/>
            </w:tcBorders>
            <w:shd w:val="clear" w:color="auto" w:fill="auto"/>
            <w:noWrap/>
            <w:vAlign w:val="center"/>
            <w:hideMark/>
          </w:tcPr>
          <w:p w14:paraId="08ABD95B" w14:textId="77777777" w:rsidR="00FD5C35" w:rsidRPr="00092B22" w:rsidRDefault="00FD5C35" w:rsidP="00E607DA">
            <w:pPr>
              <w:rPr>
                <w:rFonts w:ascii="Meta Pro" w:eastAsia="Times New Roman" w:hAnsi="Meta Pro"/>
                <w:b/>
                <w:bCs/>
                <w:szCs w:val="18"/>
                <w:lang w:eastAsia="en-AU"/>
              </w:rPr>
            </w:pPr>
            <w:r w:rsidRPr="00092B22">
              <w:rPr>
                <w:rFonts w:ascii="Meta Pro" w:eastAsia="Times New Roman" w:hAnsi="Meta Pro"/>
                <w:b/>
                <w:bCs/>
                <w:szCs w:val="18"/>
                <w:lang w:eastAsia="en-AU"/>
              </w:rPr>
              <w:t>Net impact on operating result</w:t>
            </w:r>
          </w:p>
        </w:tc>
        <w:tc>
          <w:tcPr>
            <w:tcW w:w="1038" w:type="dxa"/>
            <w:tcBorders>
              <w:top w:val="single" w:sz="4" w:space="0" w:color="auto"/>
              <w:left w:val="nil"/>
              <w:bottom w:val="double" w:sz="6" w:space="0" w:color="auto"/>
              <w:right w:val="nil"/>
            </w:tcBorders>
            <w:shd w:val="clear" w:color="auto" w:fill="auto"/>
            <w:noWrap/>
            <w:vAlign w:val="center"/>
            <w:hideMark/>
          </w:tcPr>
          <w:p w14:paraId="43BE1F52" w14:textId="77777777" w:rsidR="00FD5C35" w:rsidRPr="00092B22" w:rsidRDefault="00FD5C35" w:rsidP="00E607DA">
            <w:pPr>
              <w:jc w:val="center"/>
              <w:rPr>
                <w:rFonts w:ascii="Meta Pro" w:eastAsia="Times New Roman" w:hAnsi="Meta Pro"/>
                <w:szCs w:val="18"/>
                <w:lang w:eastAsia="en-AU"/>
              </w:rPr>
            </w:pPr>
            <w:r w:rsidRPr="00092B22">
              <w:rPr>
                <w:rFonts w:ascii="Meta Pro" w:eastAsia="Times New Roman" w:hAnsi="Meta Pro"/>
                <w:szCs w:val="18"/>
                <w:lang w:eastAsia="en-AU"/>
              </w:rPr>
              <w:t> </w:t>
            </w:r>
          </w:p>
        </w:tc>
        <w:tc>
          <w:tcPr>
            <w:tcW w:w="1157" w:type="dxa"/>
            <w:tcBorders>
              <w:top w:val="single" w:sz="4" w:space="0" w:color="auto"/>
              <w:left w:val="nil"/>
              <w:bottom w:val="double" w:sz="6" w:space="0" w:color="auto"/>
              <w:right w:val="nil"/>
            </w:tcBorders>
            <w:shd w:val="clear" w:color="000000" w:fill="C9E3B4"/>
            <w:noWrap/>
            <w:vAlign w:val="center"/>
            <w:hideMark/>
          </w:tcPr>
          <w:p w14:paraId="6FC46D85" w14:textId="77777777" w:rsidR="00FD5C35" w:rsidRPr="00092B22" w:rsidRDefault="00FD5C35"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(17,350)</w:t>
            </w:r>
          </w:p>
        </w:tc>
        <w:tc>
          <w:tcPr>
            <w:tcW w:w="216" w:type="dxa"/>
            <w:tcBorders>
              <w:top w:val="single" w:sz="4" w:space="0" w:color="auto"/>
              <w:left w:val="nil"/>
              <w:bottom w:val="double" w:sz="6" w:space="0" w:color="auto"/>
              <w:right w:val="nil"/>
            </w:tcBorders>
            <w:shd w:val="clear" w:color="auto" w:fill="auto"/>
            <w:noWrap/>
            <w:vAlign w:val="center"/>
            <w:hideMark/>
          </w:tcPr>
          <w:p w14:paraId="5DAA7443" w14:textId="77777777" w:rsidR="00FD5C35" w:rsidRPr="00092B22" w:rsidRDefault="00FD5C35" w:rsidP="00E607DA">
            <w:pPr>
              <w:jc w:val="right"/>
              <w:rPr>
                <w:rFonts w:ascii="Meta Pro" w:eastAsia="Times New Roman" w:hAnsi="Meta Pro"/>
                <w:szCs w:val="18"/>
                <w:lang w:eastAsia="en-AU"/>
              </w:rPr>
            </w:pPr>
            <w:r w:rsidRPr="00092B22">
              <w:rPr>
                <w:rFonts w:ascii="Meta Pro" w:eastAsia="Times New Roman" w:hAnsi="Meta Pro"/>
                <w:szCs w:val="18"/>
                <w:lang w:eastAsia="en-AU"/>
              </w:rPr>
              <w:t> </w:t>
            </w:r>
          </w:p>
        </w:tc>
        <w:tc>
          <w:tcPr>
            <w:tcW w:w="1157" w:type="dxa"/>
            <w:tcBorders>
              <w:top w:val="single" w:sz="4" w:space="0" w:color="auto"/>
              <w:left w:val="nil"/>
              <w:bottom w:val="double" w:sz="6" w:space="0" w:color="auto"/>
              <w:right w:val="nil"/>
            </w:tcBorders>
            <w:shd w:val="clear" w:color="auto" w:fill="auto"/>
            <w:noWrap/>
            <w:vAlign w:val="center"/>
            <w:hideMark/>
          </w:tcPr>
          <w:p w14:paraId="6F3B0C5F" w14:textId="77777777" w:rsidR="00FD5C35" w:rsidRPr="00092B22" w:rsidRDefault="00FD5C35"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(37,159)</w:t>
            </w:r>
          </w:p>
        </w:tc>
      </w:tr>
    </w:tbl>
    <w:p w14:paraId="5FF11904" w14:textId="77777777" w:rsidR="00FD5C35" w:rsidRPr="00092B22" w:rsidRDefault="00FD5C35" w:rsidP="00FD5C35">
      <w:pPr>
        <w:rPr>
          <w:rFonts w:ascii="Meta Pro" w:eastAsia="Times New Roman" w:hAnsi="Meta Pro"/>
          <w:szCs w:val="18"/>
          <w:lang w:eastAsia="en-AU"/>
        </w:rPr>
      </w:pPr>
    </w:p>
    <w:p w14:paraId="3F599F98" w14:textId="77777777" w:rsidR="00FD5C35" w:rsidRPr="00092B22" w:rsidRDefault="00FD5C35" w:rsidP="00FD5C35">
      <w:pPr>
        <w:spacing w:after="120"/>
        <w:rPr>
          <w:rFonts w:ascii="Meta Pro" w:eastAsia="Times New Roman" w:hAnsi="Meta Pro"/>
          <w:szCs w:val="18"/>
          <w:lang w:eastAsia="en-AU"/>
        </w:rPr>
      </w:pPr>
      <w:r w:rsidRPr="00092B22">
        <w:rPr>
          <w:rFonts w:ascii="Meta Pro" w:eastAsia="Times New Roman" w:hAnsi="Meta Pro"/>
          <w:b/>
          <w:bCs/>
          <w:szCs w:val="18"/>
          <w:lang w:eastAsia="en-AU"/>
        </w:rPr>
        <w:t>Airportlink M7</w:t>
      </w:r>
    </w:p>
    <w:p w14:paraId="6C4C6EB2" w14:textId="209448A9" w:rsidR="00FD5C35" w:rsidRPr="00092B22" w:rsidRDefault="00FD5C35" w:rsidP="00FD5C35">
      <w:pPr>
        <w:spacing w:after="120"/>
        <w:rPr>
          <w:rFonts w:ascii="Meta Pro" w:eastAsia="Times New Roman" w:hAnsi="Meta Pro"/>
          <w:szCs w:val="18"/>
          <w:lang w:eastAsia="en-AU"/>
        </w:rPr>
      </w:pPr>
      <w:r w:rsidRPr="00092B22">
        <w:rPr>
          <w:rFonts w:ascii="Meta Pro" w:eastAsia="Times New Roman" w:hAnsi="Meta Pro"/>
          <w:szCs w:val="18"/>
          <w:lang w:eastAsia="en-AU"/>
        </w:rPr>
        <w:t xml:space="preserve">In 2008 the state </w:t>
      </w:r>
      <w:r w:rsidR="00534251" w:rsidRPr="00092B22">
        <w:rPr>
          <w:rFonts w:ascii="Meta Pro" w:eastAsia="Times New Roman" w:hAnsi="Meta Pro"/>
          <w:szCs w:val="18"/>
          <w:lang w:eastAsia="en-AU"/>
        </w:rPr>
        <w:t>entered</w:t>
      </w:r>
      <w:r w:rsidRPr="00092B22">
        <w:rPr>
          <w:rFonts w:ascii="Meta Pro" w:eastAsia="Times New Roman" w:hAnsi="Meta Pro"/>
          <w:szCs w:val="18"/>
          <w:lang w:eastAsia="en-AU"/>
        </w:rPr>
        <w:t xml:space="preserve"> a 45 year service concession arrangement with BrisConnections to design, construct and maintain Airportlink, a 6.7km toll road, connecting the Clem 7 Tunnel, Inner City Bypass and local road network at Bowen Hills, to the northern arterials of Gympie Road and Stafford Road at Kedron, Sandgate Road and the East West Arterial leading to the airport. In April 2016 Transurban Queensland assumed responsibility for Airportlink and now operates Airportlink under a service concession arrangement.</w:t>
      </w:r>
    </w:p>
    <w:p w14:paraId="4B3F92C2" w14:textId="77777777" w:rsidR="00FD5C35" w:rsidRPr="00092B22" w:rsidRDefault="00FD5C35" w:rsidP="00FD5C35">
      <w:pPr>
        <w:spacing w:after="120"/>
        <w:rPr>
          <w:rFonts w:ascii="Meta Pro" w:eastAsia="Times New Roman" w:hAnsi="Meta Pro"/>
          <w:szCs w:val="18"/>
          <w:lang w:eastAsia="en-AU"/>
        </w:rPr>
      </w:pPr>
      <w:r w:rsidRPr="00092B22">
        <w:rPr>
          <w:rFonts w:ascii="Meta Pro" w:eastAsia="Times New Roman" w:hAnsi="Meta Pro"/>
          <w:szCs w:val="18"/>
          <w:lang w:eastAsia="en-AU"/>
        </w:rPr>
        <w:t>In return for collecting the tolls, Transurban Queensland must maintain, operate and manage the toll road for the concession period and also assume the demand and patronage risk.</w:t>
      </w:r>
    </w:p>
    <w:p w14:paraId="60EDEC20" w14:textId="77777777" w:rsidR="00FD5C35" w:rsidRPr="00092B22" w:rsidRDefault="00FD5C35" w:rsidP="00FD5C35">
      <w:pPr>
        <w:spacing w:after="120"/>
        <w:rPr>
          <w:rFonts w:ascii="Meta Pro" w:hAnsi="Meta Pro" w:cstheme="minorBidi"/>
        </w:rPr>
      </w:pPr>
      <w:r w:rsidRPr="00092B22">
        <w:rPr>
          <w:rFonts w:ascii="Meta Pro" w:eastAsia="Times New Roman" w:hAnsi="Meta Pro"/>
          <w:szCs w:val="18"/>
          <w:lang w:eastAsia="en-AU"/>
        </w:rPr>
        <w:t>At the expiry of the concession period, the department will retain ownership of the toll road assets.</w:t>
      </w:r>
    </w:p>
    <w:tbl>
      <w:tblPr>
        <w:tblW w:w="0" w:type="auto"/>
        <w:tblCellMar>
          <w:left w:w="0" w:type="dxa"/>
        </w:tblCellMar>
        <w:tblLook w:val="04A0" w:firstRow="1" w:lastRow="0" w:firstColumn="1" w:lastColumn="0" w:noHBand="0" w:noVBand="1"/>
      </w:tblPr>
      <w:tblGrid>
        <w:gridCol w:w="6090"/>
        <w:gridCol w:w="1030"/>
        <w:gridCol w:w="1148"/>
        <w:gridCol w:w="222"/>
        <w:gridCol w:w="1148"/>
      </w:tblGrid>
      <w:tr w:rsidR="00FD5C35" w:rsidRPr="00092B22" w14:paraId="1C40D127" w14:textId="77777777" w:rsidTr="00E607DA">
        <w:trPr>
          <w:trHeight w:val="20"/>
        </w:trPr>
        <w:tc>
          <w:tcPr>
            <w:tcW w:w="6176" w:type="dxa"/>
            <w:tcBorders>
              <w:top w:val="nil"/>
              <w:left w:val="nil"/>
              <w:bottom w:val="nil"/>
              <w:right w:val="nil"/>
            </w:tcBorders>
            <w:shd w:val="clear" w:color="auto" w:fill="auto"/>
            <w:noWrap/>
            <w:vAlign w:val="center"/>
            <w:hideMark/>
          </w:tcPr>
          <w:p w14:paraId="228864B0" w14:textId="77777777" w:rsidR="00FD5C35" w:rsidRPr="00092B22" w:rsidRDefault="00FD5C35" w:rsidP="00E607DA">
            <w:pPr>
              <w:rPr>
                <w:rFonts w:ascii="Meta Pro" w:eastAsia="Times New Roman" w:hAnsi="Meta Pro"/>
                <w:b/>
                <w:bCs/>
                <w:szCs w:val="18"/>
                <w:lang w:eastAsia="en-AU"/>
              </w:rPr>
            </w:pPr>
            <w:r w:rsidRPr="00092B22">
              <w:rPr>
                <w:rFonts w:ascii="Meta Pro" w:eastAsia="Times New Roman" w:hAnsi="Meta Pro"/>
                <w:b/>
                <w:bCs/>
                <w:szCs w:val="18"/>
                <w:lang w:eastAsia="en-AU"/>
              </w:rPr>
              <w:t>Operating statement impact</w:t>
            </w:r>
          </w:p>
        </w:tc>
        <w:tc>
          <w:tcPr>
            <w:tcW w:w="1036" w:type="dxa"/>
            <w:tcBorders>
              <w:top w:val="nil"/>
              <w:left w:val="nil"/>
              <w:bottom w:val="nil"/>
              <w:right w:val="nil"/>
            </w:tcBorders>
            <w:shd w:val="clear" w:color="auto" w:fill="auto"/>
            <w:noWrap/>
            <w:vAlign w:val="center"/>
            <w:hideMark/>
          </w:tcPr>
          <w:p w14:paraId="658B7E57" w14:textId="77777777" w:rsidR="00FD5C35" w:rsidRPr="00092B22" w:rsidRDefault="00FD5C35" w:rsidP="00E607DA">
            <w:pPr>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337AB79B" w14:textId="77777777" w:rsidR="00FD5C35" w:rsidRPr="00092B22" w:rsidRDefault="00FD5C35" w:rsidP="00E607DA">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05E293A6" w14:textId="77777777" w:rsidR="00FD5C35" w:rsidRPr="00092B22" w:rsidRDefault="00FD5C35" w:rsidP="00E607DA">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6046EEB7" w14:textId="77777777" w:rsidR="00FD5C35" w:rsidRPr="00092B22" w:rsidRDefault="00FD5C35" w:rsidP="00E607DA">
            <w:pPr>
              <w:jc w:val="right"/>
              <w:rPr>
                <w:rFonts w:ascii="Meta Pro" w:eastAsia="Times New Roman" w:hAnsi="Meta Pro" w:cs="Times New Roman"/>
                <w:sz w:val="20"/>
                <w:szCs w:val="20"/>
                <w:lang w:eastAsia="en-AU"/>
              </w:rPr>
            </w:pPr>
          </w:p>
        </w:tc>
      </w:tr>
      <w:tr w:rsidR="00FD5C35" w:rsidRPr="00092B22" w14:paraId="61970765" w14:textId="77777777" w:rsidTr="00E607DA">
        <w:trPr>
          <w:trHeight w:val="20"/>
        </w:trPr>
        <w:tc>
          <w:tcPr>
            <w:tcW w:w="6176" w:type="dxa"/>
            <w:tcBorders>
              <w:top w:val="nil"/>
              <w:left w:val="nil"/>
              <w:bottom w:val="nil"/>
              <w:right w:val="nil"/>
            </w:tcBorders>
            <w:shd w:val="clear" w:color="auto" w:fill="auto"/>
            <w:noWrap/>
            <w:vAlign w:val="center"/>
            <w:hideMark/>
          </w:tcPr>
          <w:p w14:paraId="7DA48381" w14:textId="77777777" w:rsidR="00FD5C35" w:rsidRPr="00092B22" w:rsidRDefault="00FD5C35" w:rsidP="00E607DA">
            <w:pPr>
              <w:rPr>
                <w:rFonts w:ascii="Meta Pro" w:eastAsia="Times New Roman" w:hAnsi="Meta Pro"/>
                <w:b/>
                <w:bCs/>
                <w:szCs w:val="18"/>
                <w:lang w:eastAsia="en-AU"/>
              </w:rPr>
            </w:pPr>
            <w:r w:rsidRPr="00092B22">
              <w:rPr>
                <w:rFonts w:ascii="Meta Pro" w:eastAsia="Times New Roman" w:hAnsi="Meta Pro"/>
                <w:b/>
                <w:bCs/>
                <w:szCs w:val="18"/>
                <w:lang w:eastAsia="en-AU"/>
              </w:rPr>
              <w:t>Revenue</w:t>
            </w:r>
          </w:p>
        </w:tc>
        <w:tc>
          <w:tcPr>
            <w:tcW w:w="1036" w:type="dxa"/>
            <w:tcBorders>
              <w:top w:val="nil"/>
              <w:left w:val="nil"/>
              <w:bottom w:val="nil"/>
              <w:right w:val="nil"/>
            </w:tcBorders>
            <w:shd w:val="clear" w:color="auto" w:fill="auto"/>
            <w:noWrap/>
            <w:vAlign w:val="center"/>
            <w:hideMark/>
          </w:tcPr>
          <w:p w14:paraId="2B55F0DD" w14:textId="77777777" w:rsidR="00FD5C35" w:rsidRPr="00092B22" w:rsidRDefault="00FD5C35" w:rsidP="00E607DA">
            <w:pPr>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1B0611A6" w14:textId="77777777" w:rsidR="00FD5C35" w:rsidRPr="00092B22" w:rsidRDefault="00FD5C35" w:rsidP="00E607DA">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52DFCC18" w14:textId="77777777" w:rsidR="00FD5C35" w:rsidRPr="00092B22" w:rsidRDefault="00FD5C35" w:rsidP="00E607DA">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6EA596CC" w14:textId="77777777" w:rsidR="00FD5C35" w:rsidRPr="00092B22" w:rsidRDefault="00FD5C35" w:rsidP="00E607DA">
            <w:pPr>
              <w:jc w:val="right"/>
              <w:rPr>
                <w:rFonts w:ascii="Meta Pro" w:eastAsia="Times New Roman" w:hAnsi="Meta Pro" w:cs="Times New Roman"/>
                <w:sz w:val="20"/>
                <w:szCs w:val="20"/>
                <w:lang w:eastAsia="en-AU"/>
              </w:rPr>
            </w:pPr>
          </w:p>
        </w:tc>
      </w:tr>
      <w:tr w:rsidR="00FD5C35" w:rsidRPr="00092B22" w14:paraId="68A137D8" w14:textId="77777777" w:rsidTr="00E607DA">
        <w:trPr>
          <w:trHeight w:val="20"/>
        </w:trPr>
        <w:tc>
          <w:tcPr>
            <w:tcW w:w="6176" w:type="dxa"/>
            <w:tcBorders>
              <w:top w:val="nil"/>
              <w:left w:val="nil"/>
              <w:bottom w:val="nil"/>
              <w:right w:val="nil"/>
            </w:tcBorders>
            <w:shd w:val="clear" w:color="auto" w:fill="auto"/>
            <w:noWrap/>
            <w:vAlign w:val="center"/>
            <w:hideMark/>
          </w:tcPr>
          <w:p w14:paraId="7A038E1F" w14:textId="77777777" w:rsidR="00FD5C35" w:rsidRPr="00092B22" w:rsidRDefault="00FD5C35" w:rsidP="00E607DA">
            <w:pPr>
              <w:rPr>
                <w:rFonts w:ascii="Meta Pro" w:eastAsia="Times New Roman" w:hAnsi="Meta Pro"/>
                <w:szCs w:val="18"/>
                <w:lang w:eastAsia="en-AU"/>
              </w:rPr>
            </w:pPr>
            <w:r w:rsidRPr="00092B22">
              <w:rPr>
                <w:rFonts w:ascii="Meta Pro" w:eastAsia="Times New Roman" w:hAnsi="Meta Pro"/>
                <w:szCs w:val="18"/>
                <w:lang w:eastAsia="en-AU"/>
              </w:rPr>
              <w:t xml:space="preserve">Amortisation of unearned revenue </w:t>
            </w:r>
          </w:p>
        </w:tc>
        <w:tc>
          <w:tcPr>
            <w:tcW w:w="1036" w:type="dxa"/>
            <w:tcBorders>
              <w:top w:val="nil"/>
              <w:left w:val="nil"/>
              <w:bottom w:val="nil"/>
              <w:right w:val="nil"/>
            </w:tcBorders>
            <w:shd w:val="clear" w:color="auto" w:fill="auto"/>
            <w:noWrap/>
            <w:vAlign w:val="center"/>
            <w:hideMark/>
          </w:tcPr>
          <w:p w14:paraId="757032B2" w14:textId="77777777" w:rsidR="00FD5C35" w:rsidRPr="00092B22" w:rsidRDefault="00FD5C35" w:rsidP="00E607DA">
            <w:pPr>
              <w:rPr>
                <w:rFonts w:ascii="Meta Pro" w:eastAsia="Times New Roman" w:hAnsi="Meta Pro"/>
                <w:szCs w:val="18"/>
                <w:lang w:eastAsia="en-AU"/>
              </w:rPr>
            </w:pPr>
          </w:p>
        </w:tc>
        <w:tc>
          <w:tcPr>
            <w:tcW w:w="1156" w:type="dxa"/>
            <w:tcBorders>
              <w:top w:val="nil"/>
              <w:left w:val="nil"/>
              <w:bottom w:val="nil"/>
              <w:right w:val="nil"/>
            </w:tcBorders>
            <w:shd w:val="clear" w:color="000000" w:fill="C9E3B4"/>
            <w:noWrap/>
            <w:vAlign w:val="center"/>
            <w:hideMark/>
          </w:tcPr>
          <w:p w14:paraId="6C55C52E" w14:textId="77777777" w:rsidR="00FD5C35" w:rsidRPr="00092B22" w:rsidRDefault="00FD5C3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117,181 </w:t>
            </w:r>
          </w:p>
        </w:tc>
        <w:tc>
          <w:tcPr>
            <w:tcW w:w="216" w:type="dxa"/>
            <w:tcBorders>
              <w:top w:val="nil"/>
              <w:left w:val="nil"/>
              <w:bottom w:val="nil"/>
              <w:right w:val="nil"/>
            </w:tcBorders>
            <w:shd w:val="clear" w:color="auto" w:fill="auto"/>
            <w:noWrap/>
            <w:vAlign w:val="center"/>
            <w:hideMark/>
          </w:tcPr>
          <w:p w14:paraId="317A72EB" w14:textId="77777777" w:rsidR="00FD5C35" w:rsidRPr="00092B22" w:rsidRDefault="00FD5C35"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419768EE" w14:textId="77777777" w:rsidR="00FD5C35" w:rsidRPr="00092B22" w:rsidRDefault="00FD5C3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117,181 </w:t>
            </w:r>
          </w:p>
        </w:tc>
      </w:tr>
      <w:tr w:rsidR="00FD5C35" w:rsidRPr="00092B22" w14:paraId="30722199" w14:textId="77777777" w:rsidTr="00E607DA">
        <w:trPr>
          <w:trHeight w:val="20"/>
        </w:trPr>
        <w:tc>
          <w:tcPr>
            <w:tcW w:w="6176" w:type="dxa"/>
            <w:tcBorders>
              <w:top w:val="nil"/>
              <w:left w:val="nil"/>
              <w:bottom w:val="nil"/>
              <w:right w:val="nil"/>
            </w:tcBorders>
            <w:shd w:val="clear" w:color="auto" w:fill="auto"/>
            <w:noWrap/>
            <w:vAlign w:val="center"/>
            <w:hideMark/>
          </w:tcPr>
          <w:p w14:paraId="0BE83AF4" w14:textId="77777777" w:rsidR="00FD5C35" w:rsidRPr="00092B22" w:rsidRDefault="00FD5C35" w:rsidP="00E607DA">
            <w:pPr>
              <w:jc w:val="right"/>
              <w:rPr>
                <w:rFonts w:ascii="Meta Pro" w:eastAsia="Times New Roman" w:hAnsi="Meta Pro"/>
                <w:szCs w:val="18"/>
                <w:lang w:eastAsia="en-AU"/>
              </w:rPr>
            </w:pPr>
          </w:p>
        </w:tc>
        <w:tc>
          <w:tcPr>
            <w:tcW w:w="1036" w:type="dxa"/>
            <w:tcBorders>
              <w:top w:val="nil"/>
              <w:left w:val="nil"/>
              <w:bottom w:val="nil"/>
              <w:right w:val="nil"/>
            </w:tcBorders>
            <w:shd w:val="clear" w:color="auto" w:fill="auto"/>
            <w:noWrap/>
            <w:vAlign w:val="center"/>
            <w:hideMark/>
          </w:tcPr>
          <w:p w14:paraId="672A622E" w14:textId="77777777" w:rsidR="00FD5C35" w:rsidRPr="00092B22" w:rsidRDefault="00FD5C35" w:rsidP="00E607DA">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000000" w:fill="C9E3B4"/>
            <w:noWrap/>
            <w:vAlign w:val="center"/>
            <w:hideMark/>
          </w:tcPr>
          <w:p w14:paraId="600559BF" w14:textId="77777777" w:rsidR="00FD5C35" w:rsidRPr="00092B22" w:rsidRDefault="00FD5C35" w:rsidP="00E607DA">
            <w:pPr>
              <w:jc w:val="right"/>
              <w:rPr>
                <w:rFonts w:ascii="Meta Pro" w:eastAsia="Times New Roman" w:hAnsi="Meta Pro"/>
                <w:szCs w:val="18"/>
                <w:lang w:eastAsia="en-AU"/>
              </w:rPr>
            </w:pPr>
            <w:r w:rsidRPr="00092B22">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4850E8D3" w14:textId="77777777" w:rsidR="00FD5C35" w:rsidRPr="00092B22" w:rsidRDefault="00FD5C35"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6300CAD4" w14:textId="77777777" w:rsidR="00FD5C35" w:rsidRPr="00092B22" w:rsidRDefault="00FD5C35" w:rsidP="00E607DA">
            <w:pPr>
              <w:jc w:val="right"/>
              <w:rPr>
                <w:rFonts w:ascii="Meta Pro" w:eastAsia="Times New Roman" w:hAnsi="Meta Pro" w:cs="Times New Roman"/>
                <w:sz w:val="20"/>
                <w:szCs w:val="20"/>
                <w:lang w:eastAsia="en-AU"/>
              </w:rPr>
            </w:pPr>
          </w:p>
        </w:tc>
      </w:tr>
      <w:tr w:rsidR="00FD5C35" w:rsidRPr="00092B22" w14:paraId="17DA1135" w14:textId="77777777" w:rsidTr="00E607DA">
        <w:trPr>
          <w:trHeight w:val="20"/>
        </w:trPr>
        <w:tc>
          <w:tcPr>
            <w:tcW w:w="6176" w:type="dxa"/>
            <w:tcBorders>
              <w:top w:val="nil"/>
              <w:left w:val="nil"/>
              <w:bottom w:val="nil"/>
              <w:right w:val="nil"/>
            </w:tcBorders>
            <w:shd w:val="clear" w:color="auto" w:fill="auto"/>
            <w:noWrap/>
            <w:vAlign w:val="center"/>
            <w:hideMark/>
          </w:tcPr>
          <w:p w14:paraId="257FCAB8" w14:textId="77777777" w:rsidR="00FD5C35" w:rsidRPr="00092B22" w:rsidRDefault="00FD5C35" w:rsidP="00E607DA">
            <w:pPr>
              <w:rPr>
                <w:rFonts w:ascii="Meta Pro" w:eastAsia="Times New Roman" w:hAnsi="Meta Pro"/>
                <w:b/>
                <w:bCs/>
                <w:szCs w:val="18"/>
                <w:lang w:eastAsia="en-AU"/>
              </w:rPr>
            </w:pPr>
            <w:r w:rsidRPr="00092B22">
              <w:rPr>
                <w:rFonts w:ascii="Meta Pro" w:eastAsia="Times New Roman" w:hAnsi="Meta Pro"/>
                <w:b/>
                <w:bCs/>
                <w:szCs w:val="18"/>
                <w:lang w:eastAsia="en-AU"/>
              </w:rPr>
              <w:t>Expenses</w:t>
            </w:r>
          </w:p>
        </w:tc>
        <w:tc>
          <w:tcPr>
            <w:tcW w:w="1036" w:type="dxa"/>
            <w:tcBorders>
              <w:top w:val="nil"/>
              <w:left w:val="nil"/>
              <w:bottom w:val="nil"/>
              <w:right w:val="nil"/>
            </w:tcBorders>
            <w:shd w:val="clear" w:color="auto" w:fill="auto"/>
            <w:noWrap/>
            <w:vAlign w:val="center"/>
            <w:hideMark/>
          </w:tcPr>
          <w:p w14:paraId="3290AA0B" w14:textId="77777777" w:rsidR="00FD5C35" w:rsidRPr="00092B22" w:rsidRDefault="00FD5C35" w:rsidP="00E607DA">
            <w:pPr>
              <w:rPr>
                <w:rFonts w:ascii="Meta Pro" w:eastAsia="Times New Roman" w:hAnsi="Meta Pro"/>
                <w:b/>
                <w:bCs/>
                <w:szCs w:val="18"/>
                <w:lang w:eastAsia="en-AU"/>
              </w:rPr>
            </w:pPr>
          </w:p>
        </w:tc>
        <w:tc>
          <w:tcPr>
            <w:tcW w:w="1156" w:type="dxa"/>
            <w:tcBorders>
              <w:top w:val="nil"/>
              <w:left w:val="nil"/>
              <w:bottom w:val="nil"/>
              <w:right w:val="nil"/>
            </w:tcBorders>
            <w:shd w:val="clear" w:color="000000" w:fill="C9E3B4"/>
            <w:noWrap/>
            <w:vAlign w:val="center"/>
            <w:hideMark/>
          </w:tcPr>
          <w:p w14:paraId="72D8407C" w14:textId="77777777" w:rsidR="00FD5C35" w:rsidRPr="00092B22" w:rsidRDefault="00FD5C35" w:rsidP="00E607DA">
            <w:pPr>
              <w:rPr>
                <w:rFonts w:ascii="Meta Pro" w:eastAsia="Times New Roman" w:hAnsi="Meta Pro"/>
                <w:szCs w:val="18"/>
                <w:lang w:eastAsia="en-AU"/>
              </w:rPr>
            </w:pPr>
            <w:r w:rsidRPr="00092B22">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6D2EC2BD" w14:textId="77777777" w:rsidR="00FD5C35" w:rsidRPr="00092B22" w:rsidRDefault="00FD5C35" w:rsidP="00E607DA">
            <w:pPr>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35F1C9DE" w14:textId="77777777" w:rsidR="00FD5C35" w:rsidRPr="00092B22" w:rsidRDefault="00FD5C35" w:rsidP="00E607DA">
            <w:pPr>
              <w:jc w:val="right"/>
              <w:rPr>
                <w:rFonts w:ascii="Meta Pro" w:eastAsia="Times New Roman" w:hAnsi="Meta Pro" w:cs="Times New Roman"/>
                <w:sz w:val="20"/>
                <w:szCs w:val="20"/>
                <w:lang w:eastAsia="en-AU"/>
              </w:rPr>
            </w:pPr>
          </w:p>
        </w:tc>
      </w:tr>
      <w:tr w:rsidR="00FD5C35" w:rsidRPr="00092B22" w14:paraId="791FE9E9" w14:textId="77777777" w:rsidTr="00E607DA">
        <w:trPr>
          <w:trHeight w:val="20"/>
        </w:trPr>
        <w:tc>
          <w:tcPr>
            <w:tcW w:w="6176" w:type="dxa"/>
            <w:tcBorders>
              <w:top w:val="nil"/>
              <w:left w:val="nil"/>
              <w:bottom w:val="nil"/>
              <w:right w:val="nil"/>
            </w:tcBorders>
            <w:shd w:val="clear" w:color="auto" w:fill="auto"/>
            <w:noWrap/>
            <w:vAlign w:val="center"/>
            <w:hideMark/>
          </w:tcPr>
          <w:p w14:paraId="23D2E3A4" w14:textId="77777777" w:rsidR="00FD5C35" w:rsidRPr="00092B22" w:rsidRDefault="00FD5C35" w:rsidP="00E607DA">
            <w:pPr>
              <w:rPr>
                <w:rFonts w:ascii="Meta Pro" w:eastAsia="Times New Roman" w:hAnsi="Meta Pro"/>
                <w:szCs w:val="18"/>
                <w:lang w:eastAsia="en-AU"/>
              </w:rPr>
            </w:pPr>
            <w:r w:rsidRPr="00092B22">
              <w:rPr>
                <w:rFonts w:ascii="Meta Pro" w:eastAsia="Times New Roman" w:hAnsi="Meta Pro"/>
                <w:szCs w:val="18"/>
                <w:lang w:eastAsia="en-AU"/>
              </w:rPr>
              <w:t>Depreciation</w:t>
            </w:r>
          </w:p>
        </w:tc>
        <w:tc>
          <w:tcPr>
            <w:tcW w:w="1036" w:type="dxa"/>
            <w:tcBorders>
              <w:top w:val="nil"/>
              <w:left w:val="nil"/>
              <w:bottom w:val="single" w:sz="4" w:space="0" w:color="auto"/>
              <w:right w:val="nil"/>
            </w:tcBorders>
            <w:shd w:val="clear" w:color="auto" w:fill="auto"/>
            <w:noWrap/>
            <w:vAlign w:val="center"/>
            <w:hideMark/>
          </w:tcPr>
          <w:p w14:paraId="6C73C5B2" w14:textId="77777777" w:rsidR="00FD5C35" w:rsidRPr="00092B22" w:rsidRDefault="00FD5C35" w:rsidP="00E607DA">
            <w:pPr>
              <w:jc w:val="center"/>
              <w:rPr>
                <w:rFonts w:ascii="Meta Pro" w:eastAsia="Times New Roman" w:hAnsi="Meta Pro"/>
                <w:szCs w:val="18"/>
                <w:lang w:eastAsia="en-AU"/>
              </w:rPr>
            </w:pPr>
            <w:r w:rsidRPr="00092B22">
              <w:rPr>
                <w:rFonts w:ascii="Meta Pro" w:eastAsia="Times New Roman" w:hAnsi="Meta Pro"/>
                <w:szCs w:val="18"/>
                <w:lang w:eastAsia="en-AU"/>
              </w:rPr>
              <w:t>10</w:t>
            </w:r>
          </w:p>
        </w:tc>
        <w:tc>
          <w:tcPr>
            <w:tcW w:w="1156" w:type="dxa"/>
            <w:tcBorders>
              <w:top w:val="nil"/>
              <w:left w:val="nil"/>
              <w:bottom w:val="nil"/>
              <w:right w:val="nil"/>
            </w:tcBorders>
            <w:shd w:val="clear" w:color="000000" w:fill="C9E3B4"/>
            <w:noWrap/>
            <w:vAlign w:val="center"/>
            <w:hideMark/>
          </w:tcPr>
          <w:p w14:paraId="30742391" w14:textId="77777777" w:rsidR="00FD5C35" w:rsidRPr="00092B22" w:rsidRDefault="00FD5C3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85,212 </w:t>
            </w:r>
          </w:p>
        </w:tc>
        <w:tc>
          <w:tcPr>
            <w:tcW w:w="216" w:type="dxa"/>
            <w:tcBorders>
              <w:top w:val="nil"/>
              <w:left w:val="nil"/>
              <w:bottom w:val="nil"/>
              <w:right w:val="nil"/>
            </w:tcBorders>
            <w:shd w:val="clear" w:color="auto" w:fill="auto"/>
            <w:noWrap/>
            <w:vAlign w:val="center"/>
            <w:hideMark/>
          </w:tcPr>
          <w:p w14:paraId="72854CB6" w14:textId="77777777" w:rsidR="00FD5C35" w:rsidRPr="00092B22" w:rsidRDefault="00FD5C35"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7EDCD68D" w14:textId="77777777" w:rsidR="00FD5C35" w:rsidRPr="00092B22" w:rsidRDefault="00FD5C3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83,481 </w:t>
            </w:r>
          </w:p>
        </w:tc>
      </w:tr>
      <w:tr w:rsidR="00FD5C35" w:rsidRPr="00092B22" w14:paraId="737999C9" w14:textId="77777777" w:rsidTr="00E607DA">
        <w:trPr>
          <w:trHeight w:val="20"/>
        </w:trPr>
        <w:tc>
          <w:tcPr>
            <w:tcW w:w="6176" w:type="dxa"/>
            <w:tcBorders>
              <w:top w:val="single" w:sz="4" w:space="0" w:color="auto"/>
              <w:left w:val="nil"/>
              <w:bottom w:val="double" w:sz="6" w:space="0" w:color="auto"/>
              <w:right w:val="nil"/>
            </w:tcBorders>
            <w:shd w:val="clear" w:color="auto" w:fill="auto"/>
            <w:noWrap/>
            <w:vAlign w:val="center"/>
            <w:hideMark/>
          </w:tcPr>
          <w:p w14:paraId="585D983D" w14:textId="77777777" w:rsidR="00FD5C35" w:rsidRPr="00092B22" w:rsidRDefault="00FD5C35" w:rsidP="00E607DA">
            <w:pPr>
              <w:rPr>
                <w:rFonts w:ascii="Meta Pro" w:eastAsia="Times New Roman" w:hAnsi="Meta Pro"/>
                <w:b/>
                <w:bCs/>
                <w:szCs w:val="18"/>
                <w:lang w:eastAsia="en-AU"/>
              </w:rPr>
            </w:pPr>
            <w:r w:rsidRPr="00092B22">
              <w:rPr>
                <w:rFonts w:ascii="Meta Pro" w:eastAsia="Times New Roman" w:hAnsi="Meta Pro"/>
                <w:b/>
                <w:bCs/>
                <w:szCs w:val="18"/>
                <w:lang w:eastAsia="en-AU"/>
              </w:rPr>
              <w:t>Net impact on operating result</w:t>
            </w:r>
          </w:p>
        </w:tc>
        <w:tc>
          <w:tcPr>
            <w:tcW w:w="1036" w:type="dxa"/>
            <w:tcBorders>
              <w:top w:val="nil"/>
              <w:left w:val="nil"/>
              <w:bottom w:val="double" w:sz="6" w:space="0" w:color="auto"/>
              <w:right w:val="nil"/>
            </w:tcBorders>
            <w:shd w:val="clear" w:color="auto" w:fill="auto"/>
            <w:noWrap/>
            <w:vAlign w:val="center"/>
            <w:hideMark/>
          </w:tcPr>
          <w:p w14:paraId="19A63B19" w14:textId="77777777" w:rsidR="00FD5C35" w:rsidRPr="00092B22" w:rsidRDefault="00FD5C35" w:rsidP="00E607DA">
            <w:pPr>
              <w:jc w:val="center"/>
              <w:rPr>
                <w:rFonts w:ascii="Meta Pro" w:eastAsia="Times New Roman" w:hAnsi="Meta Pro"/>
                <w:szCs w:val="18"/>
                <w:lang w:eastAsia="en-AU"/>
              </w:rPr>
            </w:pPr>
            <w:r w:rsidRPr="00092B22">
              <w:rPr>
                <w:rFonts w:ascii="Meta Pro" w:eastAsia="Times New Roman" w:hAnsi="Meta Pro"/>
                <w:szCs w:val="18"/>
                <w:lang w:eastAsia="en-AU"/>
              </w:rPr>
              <w:t> </w:t>
            </w:r>
          </w:p>
        </w:tc>
        <w:tc>
          <w:tcPr>
            <w:tcW w:w="1156" w:type="dxa"/>
            <w:tcBorders>
              <w:top w:val="single" w:sz="4" w:space="0" w:color="auto"/>
              <w:left w:val="nil"/>
              <w:bottom w:val="double" w:sz="6" w:space="0" w:color="auto"/>
              <w:right w:val="nil"/>
            </w:tcBorders>
            <w:shd w:val="clear" w:color="000000" w:fill="C9E3B4"/>
            <w:noWrap/>
            <w:vAlign w:val="center"/>
            <w:hideMark/>
          </w:tcPr>
          <w:p w14:paraId="1935E6E1" w14:textId="77777777" w:rsidR="00FD5C35" w:rsidRPr="00092B22" w:rsidRDefault="00FD5C35"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31,969 </w:t>
            </w:r>
          </w:p>
        </w:tc>
        <w:tc>
          <w:tcPr>
            <w:tcW w:w="216" w:type="dxa"/>
            <w:tcBorders>
              <w:top w:val="single" w:sz="4" w:space="0" w:color="auto"/>
              <w:left w:val="nil"/>
              <w:bottom w:val="double" w:sz="6" w:space="0" w:color="auto"/>
              <w:right w:val="nil"/>
            </w:tcBorders>
            <w:shd w:val="clear" w:color="auto" w:fill="auto"/>
            <w:noWrap/>
            <w:vAlign w:val="center"/>
            <w:hideMark/>
          </w:tcPr>
          <w:p w14:paraId="43E71370" w14:textId="77777777" w:rsidR="00FD5C35" w:rsidRPr="00092B22" w:rsidRDefault="00FD5C35" w:rsidP="00E607DA">
            <w:pPr>
              <w:jc w:val="right"/>
              <w:rPr>
                <w:rFonts w:ascii="Meta Pro" w:eastAsia="Times New Roman" w:hAnsi="Meta Pro"/>
                <w:szCs w:val="18"/>
                <w:lang w:eastAsia="en-AU"/>
              </w:rPr>
            </w:pPr>
            <w:r w:rsidRPr="00092B22">
              <w:rPr>
                <w:rFonts w:ascii="Meta Pro" w:eastAsia="Times New Roman" w:hAnsi="Meta Pro"/>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12E19764" w14:textId="77777777" w:rsidR="00FD5C35" w:rsidRPr="00092B22" w:rsidRDefault="00FD5C35"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33,700 </w:t>
            </w:r>
          </w:p>
        </w:tc>
      </w:tr>
    </w:tbl>
    <w:p w14:paraId="1B0DB8A5" w14:textId="77777777" w:rsidR="00FD5C35" w:rsidRPr="00092B22" w:rsidRDefault="00FD5C35" w:rsidP="00FD5C35">
      <w:pPr>
        <w:spacing w:line="14" w:lineRule="exact"/>
        <w:rPr>
          <w:rFonts w:ascii="Meta Pro" w:eastAsia="Times New Roman" w:hAnsi="Meta Pro"/>
          <w:szCs w:val="18"/>
          <w:lang w:eastAsia="en-AU"/>
        </w:rPr>
        <w:sectPr w:rsidR="00FD5C35" w:rsidRPr="00092B22" w:rsidSect="000D5A37">
          <w:footerReference w:type="default" r:id="rId140"/>
          <w:pgSz w:w="11906" w:h="16838"/>
          <w:pgMar w:top="232" w:right="1134" w:bottom="1134" w:left="1134" w:header="454" w:footer="454" w:gutter="0"/>
          <w:pgNumType w:start="30"/>
          <w:cols w:space="708"/>
          <w:docGrid w:linePitch="360"/>
        </w:sectPr>
      </w:pPr>
    </w:p>
    <w:p w14:paraId="787158E5" w14:textId="77777777" w:rsidR="00FD5C35" w:rsidRPr="00092B22" w:rsidRDefault="00FD5C35" w:rsidP="00FD5C35">
      <w:pPr>
        <w:spacing w:line="14" w:lineRule="exact"/>
        <w:rPr>
          <w:rFonts w:ascii="Meta Pro" w:hAnsi="Meta Pro"/>
          <w:b/>
          <w:bCs/>
          <w:lang w:eastAsia="en-AU"/>
        </w:rPr>
      </w:pPr>
    </w:p>
    <w:p w14:paraId="2F6C49EB" w14:textId="77777777" w:rsidR="00FD5C35" w:rsidRPr="00092B22" w:rsidRDefault="00FD5C35" w:rsidP="00FD5C35">
      <w:pPr>
        <w:rPr>
          <w:rFonts w:ascii="Meta Pro" w:eastAsia="Times New Roman" w:hAnsi="Meta Pro"/>
          <w:b/>
          <w:bCs/>
          <w:szCs w:val="18"/>
          <w:lang w:eastAsia="en-AU"/>
        </w:rPr>
      </w:pPr>
    </w:p>
    <w:p w14:paraId="685C989B" w14:textId="77777777" w:rsidR="00FD5C35" w:rsidRPr="00092B22" w:rsidRDefault="00FD5C35" w:rsidP="00FD5C35">
      <w:pPr>
        <w:spacing w:after="120"/>
        <w:rPr>
          <w:rFonts w:ascii="Meta Pro" w:eastAsia="Times New Roman" w:hAnsi="Meta Pro"/>
          <w:b/>
          <w:bCs/>
          <w:szCs w:val="18"/>
          <w:lang w:eastAsia="en-AU"/>
        </w:rPr>
      </w:pPr>
      <w:r w:rsidRPr="00092B22">
        <w:rPr>
          <w:rFonts w:ascii="Meta Pro" w:eastAsia="Times New Roman" w:hAnsi="Meta Pro"/>
          <w:b/>
          <w:bCs/>
          <w:szCs w:val="18"/>
          <w:lang w:eastAsia="en-AU"/>
        </w:rPr>
        <w:t>Gateway and Logan Motorways</w:t>
      </w:r>
    </w:p>
    <w:p w14:paraId="43576327" w14:textId="77777777" w:rsidR="00FD5C35" w:rsidRPr="00092B22" w:rsidRDefault="00FD5C35" w:rsidP="00FD5C35">
      <w:pPr>
        <w:spacing w:after="120"/>
        <w:rPr>
          <w:rFonts w:ascii="Meta Pro" w:eastAsia="Times New Roman" w:hAnsi="Meta Pro"/>
          <w:szCs w:val="18"/>
          <w:lang w:eastAsia="en-AU"/>
        </w:rPr>
      </w:pPr>
      <w:r w:rsidRPr="00092B22">
        <w:rPr>
          <w:rFonts w:ascii="Meta Pro" w:eastAsia="Times New Roman" w:hAnsi="Meta Pro"/>
          <w:szCs w:val="18"/>
          <w:lang w:eastAsia="en-AU"/>
        </w:rPr>
        <w:t>A Road Franchise Agreement (RFA) was established between the state and Queensland Motorways Limited (QML) in 2011 to operate, maintain and manage the Gateway and Logan motorways including the Gateway Extension for a period of 40 years. In 2014, Transurban Queensland acquired QML and now operates the Gateway Motorway and Logan Motorway toll roads under the RFA with the state.</w:t>
      </w:r>
      <w:r w:rsidRPr="00092B22">
        <w:rPr>
          <w:rFonts w:ascii="Meta Pro" w:eastAsia="Times New Roman" w:hAnsi="Meta Pro"/>
          <w:szCs w:val="18"/>
          <w:lang w:eastAsia="en-AU"/>
        </w:rPr>
        <w:tab/>
      </w:r>
      <w:r w:rsidRPr="00092B22">
        <w:rPr>
          <w:rFonts w:ascii="Meta Pro" w:eastAsia="Times New Roman" w:hAnsi="Meta Pro"/>
          <w:szCs w:val="18"/>
          <w:lang w:eastAsia="en-AU"/>
        </w:rPr>
        <w:tab/>
      </w:r>
      <w:r w:rsidRPr="00092B22">
        <w:rPr>
          <w:rFonts w:ascii="Meta Pro" w:eastAsia="Times New Roman" w:hAnsi="Meta Pro"/>
          <w:szCs w:val="18"/>
          <w:lang w:eastAsia="en-AU"/>
        </w:rPr>
        <w:tab/>
      </w:r>
      <w:r w:rsidRPr="00092B22">
        <w:rPr>
          <w:rFonts w:ascii="Meta Pro" w:eastAsia="Times New Roman" w:hAnsi="Meta Pro"/>
          <w:szCs w:val="18"/>
          <w:lang w:eastAsia="en-AU"/>
        </w:rPr>
        <w:tab/>
      </w:r>
    </w:p>
    <w:p w14:paraId="0A8397C7" w14:textId="77777777" w:rsidR="00FD5C35" w:rsidRPr="00092B22" w:rsidRDefault="00FD5C35" w:rsidP="00FD5C35">
      <w:pPr>
        <w:spacing w:after="120"/>
        <w:rPr>
          <w:rFonts w:ascii="Meta Pro" w:eastAsia="Times New Roman" w:hAnsi="Meta Pro"/>
          <w:szCs w:val="18"/>
          <w:lang w:eastAsia="en-AU"/>
        </w:rPr>
      </w:pPr>
      <w:r w:rsidRPr="00092B22">
        <w:rPr>
          <w:rFonts w:ascii="Meta Pro" w:eastAsia="Times New Roman" w:hAnsi="Meta Pro"/>
          <w:szCs w:val="18"/>
          <w:lang w:eastAsia="en-AU"/>
        </w:rPr>
        <w:t>In return for collecting the tolls, Transurban Queensland must maintain, operate and manage the toll roads for the period of the franchise and also assume the demand and patronage risk for the franchise period.</w:t>
      </w:r>
      <w:r w:rsidRPr="00092B22">
        <w:rPr>
          <w:rFonts w:ascii="Meta Pro" w:eastAsia="Times New Roman" w:hAnsi="Meta Pro"/>
          <w:szCs w:val="18"/>
          <w:lang w:eastAsia="en-AU"/>
        </w:rPr>
        <w:tab/>
      </w:r>
      <w:r w:rsidRPr="00092B22">
        <w:rPr>
          <w:rFonts w:ascii="Meta Pro" w:eastAsia="Times New Roman" w:hAnsi="Meta Pro"/>
          <w:szCs w:val="18"/>
          <w:lang w:eastAsia="en-AU"/>
        </w:rPr>
        <w:tab/>
      </w:r>
      <w:r w:rsidRPr="00092B22">
        <w:rPr>
          <w:rFonts w:ascii="Meta Pro" w:eastAsia="Times New Roman" w:hAnsi="Meta Pro"/>
          <w:szCs w:val="18"/>
          <w:lang w:eastAsia="en-AU"/>
        </w:rPr>
        <w:tab/>
      </w:r>
      <w:r w:rsidRPr="00092B22">
        <w:rPr>
          <w:rFonts w:ascii="Meta Pro" w:eastAsia="Times New Roman" w:hAnsi="Meta Pro"/>
          <w:szCs w:val="18"/>
          <w:lang w:eastAsia="en-AU"/>
        </w:rPr>
        <w:tab/>
      </w:r>
      <w:r w:rsidRPr="00092B22">
        <w:rPr>
          <w:rFonts w:ascii="Meta Pro" w:eastAsia="Times New Roman" w:hAnsi="Meta Pro"/>
          <w:szCs w:val="18"/>
          <w:lang w:eastAsia="en-AU"/>
        </w:rPr>
        <w:tab/>
      </w:r>
    </w:p>
    <w:p w14:paraId="75626124" w14:textId="77777777" w:rsidR="00FD5C35" w:rsidRPr="00092B22" w:rsidRDefault="00FD5C35" w:rsidP="00FD5C35">
      <w:pPr>
        <w:spacing w:after="120"/>
        <w:rPr>
          <w:rFonts w:ascii="Meta Pro" w:hAnsi="Meta Pro" w:cstheme="minorBidi"/>
        </w:rPr>
      </w:pPr>
      <w:r w:rsidRPr="00092B22">
        <w:rPr>
          <w:rFonts w:ascii="Meta Pro" w:eastAsia="Times New Roman" w:hAnsi="Meta Pro"/>
          <w:szCs w:val="18"/>
          <w:lang w:eastAsia="en-AU"/>
        </w:rPr>
        <w:t>At the expiry of the concession period, the department will retain ownership of the toll road assets.</w:t>
      </w:r>
    </w:p>
    <w:tbl>
      <w:tblPr>
        <w:tblW w:w="9638" w:type="dxa"/>
        <w:tblCellMar>
          <w:left w:w="0" w:type="dxa"/>
        </w:tblCellMar>
        <w:tblLook w:val="04A0" w:firstRow="1" w:lastRow="0" w:firstColumn="1" w:lastColumn="0" w:noHBand="0" w:noVBand="1"/>
      </w:tblPr>
      <w:tblGrid>
        <w:gridCol w:w="5596"/>
        <w:gridCol w:w="377"/>
        <w:gridCol w:w="588"/>
        <w:gridCol w:w="396"/>
        <w:gridCol w:w="677"/>
        <w:gridCol w:w="220"/>
        <w:gridCol w:w="220"/>
        <w:gridCol w:w="495"/>
        <w:gridCol w:w="514"/>
        <w:gridCol w:w="555"/>
      </w:tblGrid>
      <w:tr w:rsidR="00FD5C35" w:rsidRPr="00092B22" w14:paraId="417023A0" w14:textId="77777777" w:rsidTr="00963042">
        <w:trPr>
          <w:gridAfter w:val="1"/>
          <w:wAfter w:w="568" w:type="dxa"/>
          <w:trHeight w:val="23"/>
        </w:trPr>
        <w:tc>
          <w:tcPr>
            <w:tcW w:w="5717" w:type="dxa"/>
            <w:tcBorders>
              <w:top w:val="nil"/>
              <w:left w:val="nil"/>
              <w:bottom w:val="nil"/>
              <w:right w:val="nil"/>
            </w:tcBorders>
            <w:shd w:val="clear" w:color="auto" w:fill="auto"/>
            <w:noWrap/>
            <w:vAlign w:val="center"/>
            <w:hideMark/>
          </w:tcPr>
          <w:p w14:paraId="5A359697" w14:textId="77777777" w:rsidR="00FD5C35" w:rsidRPr="00092B22" w:rsidRDefault="00FD5C35" w:rsidP="00E607DA">
            <w:pPr>
              <w:rPr>
                <w:rFonts w:ascii="Meta Pro" w:eastAsia="Times New Roman" w:hAnsi="Meta Pro"/>
                <w:b/>
                <w:bCs/>
                <w:szCs w:val="18"/>
                <w:lang w:eastAsia="en-AU"/>
              </w:rPr>
            </w:pPr>
            <w:r w:rsidRPr="00092B22">
              <w:rPr>
                <w:rFonts w:ascii="Meta Pro" w:eastAsia="Times New Roman" w:hAnsi="Meta Pro"/>
                <w:b/>
                <w:bCs/>
                <w:szCs w:val="18"/>
                <w:lang w:eastAsia="en-AU"/>
              </w:rPr>
              <w:t>Operating statement impact</w:t>
            </w:r>
          </w:p>
        </w:tc>
        <w:tc>
          <w:tcPr>
            <w:tcW w:w="972" w:type="dxa"/>
            <w:gridSpan w:val="2"/>
            <w:tcBorders>
              <w:top w:val="nil"/>
              <w:left w:val="nil"/>
              <w:bottom w:val="nil"/>
              <w:right w:val="nil"/>
            </w:tcBorders>
            <w:shd w:val="clear" w:color="auto" w:fill="auto"/>
            <w:noWrap/>
            <w:vAlign w:val="center"/>
            <w:hideMark/>
          </w:tcPr>
          <w:p w14:paraId="54DF0A14" w14:textId="77777777" w:rsidR="00FD5C35" w:rsidRPr="00092B22" w:rsidRDefault="00FD5C35" w:rsidP="00E607DA">
            <w:pPr>
              <w:rPr>
                <w:rFonts w:ascii="Meta Pro" w:eastAsia="Times New Roman" w:hAnsi="Meta Pro"/>
                <w:b/>
                <w:bCs/>
                <w:szCs w:val="18"/>
                <w:lang w:eastAsia="en-AU"/>
              </w:rPr>
            </w:pPr>
          </w:p>
        </w:tc>
        <w:tc>
          <w:tcPr>
            <w:tcW w:w="1083" w:type="dxa"/>
            <w:gridSpan w:val="2"/>
            <w:tcBorders>
              <w:top w:val="nil"/>
              <w:left w:val="nil"/>
              <w:bottom w:val="nil"/>
              <w:right w:val="nil"/>
            </w:tcBorders>
            <w:shd w:val="clear" w:color="auto" w:fill="auto"/>
            <w:noWrap/>
            <w:vAlign w:val="center"/>
            <w:hideMark/>
          </w:tcPr>
          <w:p w14:paraId="0B927856" w14:textId="77777777" w:rsidR="00FD5C35" w:rsidRPr="00092B22" w:rsidRDefault="00FD5C35" w:rsidP="00E607DA">
            <w:pPr>
              <w:jc w:val="cente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0D1F3145" w14:textId="77777777" w:rsidR="00FD5C35" w:rsidRPr="00092B22" w:rsidRDefault="00FD5C35" w:rsidP="00E607DA">
            <w:pPr>
              <w:rPr>
                <w:rFonts w:ascii="Meta Pro" w:eastAsia="Times New Roman" w:hAnsi="Meta Pro" w:cs="Times New Roman"/>
                <w:sz w:val="20"/>
                <w:szCs w:val="20"/>
                <w:lang w:eastAsia="en-AU"/>
              </w:rPr>
            </w:pPr>
          </w:p>
        </w:tc>
        <w:tc>
          <w:tcPr>
            <w:tcW w:w="1083" w:type="dxa"/>
            <w:gridSpan w:val="3"/>
            <w:tcBorders>
              <w:top w:val="nil"/>
              <w:left w:val="nil"/>
              <w:bottom w:val="nil"/>
              <w:right w:val="nil"/>
            </w:tcBorders>
            <w:shd w:val="clear" w:color="auto" w:fill="auto"/>
            <w:noWrap/>
            <w:vAlign w:val="center"/>
            <w:hideMark/>
          </w:tcPr>
          <w:p w14:paraId="00B1D61F" w14:textId="77777777" w:rsidR="00FD5C35" w:rsidRPr="00092B22" w:rsidRDefault="00FD5C35" w:rsidP="00E607DA">
            <w:pPr>
              <w:jc w:val="right"/>
              <w:rPr>
                <w:rFonts w:ascii="Meta Pro" w:eastAsia="Times New Roman" w:hAnsi="Meta Pro" w:cs="Times New Roman"/>
                <w:sz w:val="20"/>
                <w:szCs w:val="20"/>
                <w:lang w:eastAsia="en-AU"/>
              </w:rPr>
            </w:pPr>
          </w:p>
        </w:tc>
      </w:tr>
      <w:tr w:rsidR="00FD5C35" w:rsidRPr="00092B22" w14:paraId="3681B9BB" w14:textId="77777777" w:rsidTr="00963042">
        <w:trPr>
          <w:gridAfter w:val="1"/>
          <w:wAfter w:w="568" w:type="dxa"/>
          <w:trHeight w:val="23"/>
        </w:trPr>
        <w:tc>
          <w:tcPr>
            <w:tcW w:w="5717" w:type="dxa"/>
            <w:tcBorders>
              <w:top w:val="nil"/>
              <w:left w:val="nil"/>
              <w:bottom w:val="nil"/>
              <w:right w:val="nil"/>
            </w:tcBorders>
            <w:shd w:val="clear" w:color="auto" w:fill="auto"/>
            <w:noWrap/>
            <w:vAlign w:val="center"/>
            <w:hideMark/>
          </w:tcPr>
          <w:p w14:paraId="06138C18" w14:textId="77777777" w:rsidR="00FD5C35" w:rsidRPr="00092B22" w:rsidRDefault="00FD5C35" w:rsidP="00E607DA">
            <w:pPr>
              <w:rPr>
                <w:rFonts w:ascii="Meta Pro" w:eastAsia="Times New Roman" w:hAnsi="Meta Pro"/>
                <w:b/>
                <w:bCs/>
                <w:szCs w:val="18"/>
                <w:lang w:eastAsia="en-AU"/>
              </w:rPr>
            </w:pPr>
            <w:r w:rsidRPr="00092B22">
              <w:rPr>
                <w:rFonts w:ascii="Meta Pro" w:eastAsia="Times New Roman" w:hAnsi="Meta Pro"/>
                <w:b/>
                <w:bCs/>
                <w:szCs w:val="18"/>
                <w:lang w:eastAsia="en-AU"/>
              </w:rPr>
              <w:t>Revenue</w:t>
            </w:r>
          </w:p>
        </w:tc>
        <w:tc>
          <w:tcPr>
            <w:tcW w:w="972" w:type="dxa"/>
            <w:gridSpan w:val="2"/>
            <w:tcBorders>
              <w:top w:val="nil"/>
              <w:left w:val="nil"/>
              <w:bottom w:val="nil"/>
              <w:right w:val="nil"/>
            </w:tcBorders>
            <w:shd w:val="clear" w:color="auto" w:fill="auto"/>
            <w:noWrap/>
            <w:vAlign w:val="center"/>
            <w:hideMark/>
          </w:tcPr>
          <w:p w14:paraId="36F220ED" w14:textId="77777777" w:rsidR="00FD5C35" w:rsidRPr="00092B22" w:rsidRDefault="00FD5C35" w:rsidP="00E607DA">
            <w:pPr>
              <w:rPr>
                <w:rFonts w:ascii="Meta Pro" w:eastAsia="Times New Roman" w:hAnsi="Meta Pro"/>
                <w:b/>
                <w:bCs/>
                <w:szCs w:val="18"/>
                <w:lang w:eastAsia="en-AU"/>
              </w:rPr>
            </w:pPr>
          </w:p>
        </w:tc>
        <w:tc>
          <w:tcPr>
            <w:tcW w:w="1083" w:type="dxa"/>
            <w:gridSpan w:val="2"/>
            <w:tcBorders>
              <w:top w:val="nil"/>
              <w:left w:val="nil"/>
              <w:bottom w:val="nil"/>
              <w:right w:val="nil"/>
            </w:tcBorders>
            <w:shd w:val="clear" w:color="auto" w:fill="auto"/>
            <w:noWrap/>
            <w:vAlign w:val="center"/>
            <w:hideMark/>
          </w:tcPr>
          <w:p w14:paraId="01E60462" w14:textId="77777777" w:rsidR="00FD5C35" w:rsidRPr="00092B22" w:rsidRDefault="00FD5C35" w:rsidP="00E607DA">
            <w:pPr>
              <w:jc w:val="cente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7042E6BC" w14:textId="77777777" w:rsidR="00FD5C35" w:rsidRPr="00092B22" w:rsidRDefault="00FD5C35" w:rsidP="00E607DA">
            <w:pPr>
              <w:rPr>
                <w:rFonts w:ascii="Meta Pro" w:eastAsia="Times New Roman" w:hAnsi="Meta Pro" w:cs="Times New Roman"/>
                <w:sz w:val="20"/>
                <w:szCs w:val="20"/>
                <w:lang w:eastAsia="en-AU"/>
              </w:rPr>
            </w:pPr>
          </w:p>
        </w:tc>
        <w:tc>
          <w:tcPr>
            <w:tcW w:w="1083" w:type="dxa"/>
            <w:gridSpan w:val="3"/>
            <w:tcBorders>
              <w:top w:val="nil"/>
              <w:left w:val="nil"/>
              <w:bottom w:val="nil"/>
              <w:right w:val="nil"/>
            </w:tcBorders>
            <w:shd w:val="clear" w:color="auto" w:fill="auto"/>
            <w:noWrap/>
            <w:vAlign w:val="center"/>
            <w:hideMark/>
          </w:tcPr>
          <w:p w14:paraId="519AB0E9" w14:textId="77777777" w:rsidR="00FD5C35" w:rsidRPr="00092B22" w:rsidRDefault="00FD5C35" w:rsidP="00E607DA">
            <w:pPr>
              <w:jc w:val="right"/>
              <w:rPr>
                <w:rFonts w:ascii="Meta Pro" w:eastAsia="Times New Roman" w:hAnsi="Meta Pro" w:cs="Times New Roman"/>
                <w:sz w:val="20"/>
                <w:szCs w:val="20"/>
                <w:lang w:eastAsia="en-AU"/>
              </w:rPr>
            </w:pPr>
          </w:p>
        </w:tc>
      </w:tr>
      <w:tr w:rsidR="00FD5C35" w:rsidRPr="00092B22" w14:paraId="1D3AF32B" w14:textId="77777777" w:rsidTr="00963042">
        <w:trPr>
          <w:gridAfter w:val="1"/>
          <w:wAfter w:w="568" w:type="dxa"/>
          <w:trHeight w:val="23"/>
        </w:trPr>
        <w:tc>
          <w:tcPr>
            <w:tcW w:w="5717" w:type="dxa"/>
            <w:tcBorders>
              <w:top w:val="nil"/>
              <w:left w:val="nil"/>
              <w:bottom w:val="nil"/>
              <w:right w:val="nil"/>
            </w:tcBorders>
            <w:shd w:val="clear" w:color="auto" w:fill="auto"/>
            <w:noWrap/>
            <w:vAlign w:val="center"/>
            <w:hideMark/>
          </w:tcPr>
          <w:p w14:paraId="29BF01AB" w14:textId="77777777" w:rsidR="00FD5C35" w:rsidRPr="00092B22" w:rsidRDefault="00FD5C35" w:rsidP="00E607DA">
            <w:pPr>
              <w:rPr>
                <w:rFonts w:ascii="Meta Pro" w:eastAsia="Times New Roman" w:hAnsi="Meta Pro"/>
                <w:szCs w:val="18"/>
                <w:lang w:eastAsia="en-AU"/>
              </w:rPr>
            </w:pPr>
            <w:r w:rsidRPr="00092B22">
              <w:rPr>
                <w:rFonts w:ascii="Meta Pro" w:eastAsia="Times New Roman" w:hAnsi="Meta Pro"/>
                <w:szCs w:val="18"/>
                <w:lang w:eastAsia="en-AU"/>
              </w:rPr>
              <w:t xml:space="preserve">Amortisation of unearned revenue </w:t>
            </w:r>
          </w:p>
        </w:tc>
        <w:tc>
          <w:tcPr>
            <w:tcW w:w="972" w:type="dxa"/>
            <w:gridSpan w:val="2"/>
            <w:tcBorders>
              <w:top w:val="nil"/>
              <w:left w:val="nil"/>
              <w:bottom w:val="nil"/>
              <w:right w:val="nil"/>
            </w:tcBorders>
            <w:shd w:val="clear" w:color="auto" w:fill="auto"/>
            <w:noWrap/>
            <w:vAlign w:val="center"/>
            <w:hideMark/>
          </w:tcPr>
          <w:p w14:paraId="1FAFC295" w14:textId="77777777" w:rsidR="00FD5C35" w:rsidRPr="00092B22" w:rsidRDefault="00FD5C35" w:rsidP="00E607DA">
            <w:pPr>
              <w:rPr>
                <w:rFonts w:ascii="Meta Pro" w:eastAsia="Times New Roman" w:hAnsi="Meta Pro"/>
                <w:szCs w:val="18"/>
                <w:lang w:eastAsia="en-AU"/>
              </w:rPr>
            </w:pPr>
          </w:p>
        </w:tc>
        <w:tc>
          <w:tcPr>
            <w:tcW w:w="1083" w:type="dxa"/>
            <w:gridSpan w:val="2"/>
            <w:tcBorders>
              <w:top w:val="nil"/>
              <w:left w:val="nil"/>
              <w:bottom w:val="nil"/>
              <w:right w:val="nil"/>
            </w:tcBorders>
            <w:shd w:val="clear" w:color="000000" w:fill="C9E3B4"/>
            <w:noWrap/>
            <w:vAlign w:val="center"/>
            <w:hideMark/>
          </w:tcPr>
          <w:p w14:paraId="34C89037" w14:textId="77777777" w:rsidR="00FD5C35" w:rsidRPr="00092B22" w:rsidRDefault="00FD5C3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105,365 </w:t>
            </w:r>
          </w:p>
        </w:tc>
        <w:tc>
          <w:tcPr>
            <w:tcW w:w="215" w:type="dxa"/>
            <w:tcBorders>
              <w:top w:val="nil"/>
              <w:left w:val="nil"/>
              <w:bottom w:val="nil"/>
              <w:right w:val="nil"/>
            </w:tcBorders>
            <w:shd w:val="clear" w:color="auto" w:fill="auto"/>
            <w:noWrap/>
            <w:vAlign w:val="center"/>
            <w:hideMark/>
          </w:tcPr>
          <w:p w14:paraId="0D516FC4" w14:textId="77777777" w:rsidR="00FD5C35" w:rsidRPr="00092B22" w:rsidRDefault="00FD5C35" w:rsidP="00E607DA">
            <w:pPr>
              <w:jc w:val="right"/>
              <w:rPr>
                <w:rFonts w:ascii="Meta Pro" w:eastAsia="Times New Roman" w:hAnsi="Meta Pro"/>
                <w:szCs w:val="18"/>
                <w:lang w:eastAsia="en-AU"/>
              </w:rPr>
            </w:pPr>
          </w:p>
        </w:tc>
        <w:tc>
          <w:tcPr>
            <w:tcW w:w="1083" w:type="dxa"/>
            <w:gridSpan w:val="3"/>
            <w:tcBorders>
              <w:top w:val="nil"/>
              <w:left w:val="nil"/>
              <w:bottom w:val="nil"/>
              <w:right w:val="nil"/>
            </w:tcBorders>
            <w:shd w:val="clear" w:color="auto" w:fill="auto"/>
            <w:noWrap/>
            <w:vAlign w:val="center"/>
            <w:hideMark/>
          </w:tcPr>
          <w:p w14:paraId="08396742" w14:textId="77777777" w:rsidR="00FD5C35" w:rsidRPr="00092B22" w:rsidRDefault="00FD5C3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105,365 </w:t>
            </w:r>
          </w:p>
        </w:tc>
      </w:tr>
      <w:tr w:rsidR="00FD5C35" w:rsidRPr="00092B22" w14:paraId="1D9BB645" w14:textId="77777777" w:rsidTr="00963042">
        <w:trPr>
          <w:gridAfter w:val="1"/>
          <w:wAfter w:w="568" w:type="dxa"/>
          <w:trHeight w:val="23"/>
        </w:trPr>
        <w:tc>
          <w:tcPr>
            <w:tcW w:w="5717" w:type="dxa"/>
            <w:tcBorders>
              <w:top w:val="nil"/>
              <w:left w:val="nil"/>
              <w:bottom w:val="nil"/>
              <w:right w:val="nil"/>
            </w:tcBorders>
            <w:shd w:val="clear" w:color="auto" w:fill="auto"/>
            <w:noWrap/>
            <w:vAlign w:val="center"/>
            <w:hideMark/>
          </w:tcPr>
          <w:p w14:paraId="798F8831" w14:textId="77777777" w:rsidR="00FD5C35" w:rsidRPr="00092B22" w:rsidRDefault="00FD5C35" w:rsidP="00E607DA">
            <w:pPr>
              <w:jc w:val="right"/>
              <w:rPr>
                <w:rFonts w:ascii="Meta Pro" w:eastAsia="Times New Roman" w:hAnsi="Meta Pro"/>
                <w:szCs w:val="18"/>
                <w:lang w:eastAsia="en-AU"/>
              </w:rPr>
            </w:pPr>
          </w:p>
        </w:tc>
        <w:tc>
          <w:tcPr>
            <w:tcW w:w="972" w:type="dxa"/>
            <w:gridSpan w:val="2"/>
            <w:tcBorders>
              <w:top w:val="nil"/>
              <w:left w:val="nil"/>
              <w:bottom w:val="nil"/>
              <w:right w:val="nil"/>
            </w:tcBorders>
            <w:shd w:val="clear" w:color="auto" w:fill="auto"/>
            <w:noWrap/>
            <w:vAlign w:val="center"/>
            <w:hideMark/>
          </w:tcPr>
          <w:p w14:paraId="1268BC43" w14:textId="77777777" w:rsidR="00FD5C35" w:rsidRPr="00092B22" w:rsidRDefault="00FD5C35" w:rsidP="00E607DA">
            <w:pPr>
              <w:rPr>
                <w:rFonts w:ascii="Meta Pro" w:eastAsia="Times New Roman" w:hAnsi="Meta Pro" w:cs="Times New Roman"/>
                <w:sz w:val="20"/>
                <w:szCs w:val="20"/>
                <w:lang w:eastAsia="en-AU"/>
              </w:rPr>
            </w:pPr>
          </w:p>
        </w:tc>
        <w:tc>
          <w:tcPr>
            <w:tcW w:w="1083" w:type="dxa"/>
            <w:gridSpan w:val="2"/>
            <w:tcBorders>
              <w:top w:val="nil"/>
              <w:left w:val="nil"/>
              <w:bottom w:val="nil"/>
              <w:right w:val="nil"/>
            </w:tcBorders>
            <w:shd w:val="clear" w:color="000000" w:fill="C9E3B4"/>
            <w:noWrap/>
            <w:vAlign w:val="center"/>
            <w:hideMark/>
          </w:tcPr>
          <w:p w14:paraId="570AFE93" w14:textId="77777777" w:rsidR="00FD5C35" w:rsidRPr="00092B22" w:rsidRDefault="00FD5C35" w:rsidP="00E607DA">
            <w:pPr>
              <w:jc w:val="right"/>
              <w:rPr>
                <w:rFonts w:ascii="Meta Pro" w:eastAsia="Times New Roman" w:hAnsi="Meta Pro"/>
                <w:szCs w:val="18"/>
                <w:lang w:eastAsia="en-AU"/>
              </w:rPr>
            </w:pPr>
            <w:r w:rsidRPr="00092B22">
              <w:rPr>
                <w:rFonts w:ascii="Meta Pro" w:eastAsia="Times New Roman" w:hAnsi="Meta Pro"/>
                <w:szCs w:val="18"/>
                <w:lang w:eastAsia="en-AU"/>
              </w:rPr>
              <w:t> </w:t>
            </w:r>
          </w:p>
        </w:tc>
        <w:tc>
          <w:tcPr>
            <w:tcW w:w="215" w:type="dxa"/>
            <w:tcBorders>
              <w:top w:val="nil"/>
              <w:left w:val="nil"/>
              <w:bottom w:val="nil"/>
              <w:right w:val="nil"/>
            </w:tcBorders>
            <w:shd w:val="clear" w:color="auto" w:fill="auto"/>
            <w:noWrap/>
            <w:vAlign w:val="center"/>
            <w:hideMark/>
          </w:tcPr>
          <w:p w14:paraId="5BD53BFF" w14:textId="77777777" w:rsidR="00FD5C35" w:rsidRPr="00092B22" w:rsidRDefault="00FD5C35" w:rsidP="00E607DA">
            <w:pPr>
              <w:jc w:val="right"/>
              <w:rPr>
                <w:rFonts w:ascii="Meta Pro" w:eastAsia="Times New Roman" w:hAnsi="Meta Pro"/>
                <w:szCs w:val="18"/>
                <w:lang w:eastAsia="en-AU"/>
              </w:rPr>
            </w:pPr>
          </w:p>
        </w:tc>
        <w:tc>
          <w:tcPr>
            <w:tcW w:w="1083" w:type="dxa"/>
            <w:gridSpan w:val="3"/>
            <w:tcBorders>
              <w:top w:val="nil"/>
              <w:left w:val="nil"/>
              <w:bottom w:val="nil"/>
              <w:right w:val="nil"/>
            </w:tcBorders>
            <w:shd w:val="clear" w:color="auto" w:fill="auto"/>
            <w:noWrap/>
            <w:vAlign w:val="center"/>
            <w:hideMark/>
          </w:tcPr>
          <w:p w14:paraId="1E6B8360" w14:textId="77777777" w:rsidR="00FD5C35" w:rsidRPr="00092B22" w:rsidRDefault="00FD5C35" w:rsidP="00E607DA">
            <w:pPr>
              <w:jc w:val="right"/>
              <w:rPr>
                <w:rFonts w:ascii="Meta Pro" w:eastAsia="Times New Roman" w:hAnsi="Meta Pro" w:cs="Times New Roman"/>
                <w:sz w:val="20"/>
                <w:szCs w:val="20"/>
                <w:lang w:eastAsia="en-AU"/>
              </w:rPr>
            </w:pPr>
          </w:p>
        </w:tc>
      </w:tr>
      <w:tr w:rsidR="00FD5C35" w:rsidRPr="00092B22" w14:paraId="0B47686B" w14:textId="77777777" w:rsidTr="00963042">
        <w:trPr>
          <w:gridAfter w:val="1"/>
          <w:wAfter w:w="568" w:type="dxa"/>
          <w:trHeight w:val="23"/>
        </w:trPr>
        <w:tc>
          <w:tcPr>
            <w:tcW w:w="5717" w:type="dxa"/>
            <w:tcBorders>
              <w:top w:val="nil"/>
              <w:left w:val="nil"/>
              <w:bottom w:val="nil"/>
              <w:right w:val="nil"/>
            </w:tcBorders>
            <w:shd w:val="clear" w:color="auto" w:fill="auto"/>
            <w:noWrap/>
            <w:vAlign w:val="center"/>
            <w:hideMark/>
          </w:tcPr>
          <w:p w14:paraId="79AC37F9" w14:textId="77777777" w:rsidR="00FD5C35" w:rsidRPr="00092B22" w:rsidRDefault="00FD5C35" w:rsidP="00E607DA">
            <w:pPr>
              <w:rPr>
                <w:rFonts w:ascii="Meta Pro" w:eastAsia="Times New Roman" w:hAnsi="Meta Pro"/>
                <w:b/>
                <w:bCs/>
                <w:szCs w:val="18"/>
                <w:lang w:eastAsia="en-AU"/>
              </w:rPr>
            </w:pPr>
            <w:r w:rsidRPr="00092B22">
              <w:rPr>
                <w:rFonts w:ascii="Meta Pro" w:eastAsia="Times New Roman" w:hAnsi="Meta Pro"/>
                <w:b/>
                <w:bCs/>
                <w:szCs w:val="18"/>
                <w:lang w:eastAsia="en-AU"/>
              </w:rPr>
              <w:t>Expenses</w:t>
            </w:r>
          </w:p>
        </w:tc>
        <w:tc>
          <w:tcPr>
            <w:tcW w:w="972" w:type="dxa"/>
            <w:gridSpan w:val="2"/>
            <w:tcBorders>
              <w:top w:val="nil"/>
              <w:left w:val="nil"/>
              <w:bottom w:val="nil"/>
              <w:right w:val="nil"/>
            </w:tcBorders>
            <w:shd w:val="clear" w:color="auto" w:fill="auto"/>
            <w:noWrap/>
            <w:vAlign w:val="center"/>
            <w:hideMark/>
          </w:tcPr>
          <w:p w14:paraId="5EEC5386" w14:textId="77777777" w:rsidR="00FD5C35" w:rsidRPr="00092B22" w:rsidRDefault="00FD5C35" w:rsidP="00E607DA">
            <w:pPr>
              <w:rPr>
                <w:rFonts w:ascii="Meta Pro" w:eastAsia="Times New Roman" w:hAnsi="Meta Pro"/>
                <w:b/>
                <w:bCs/>
                <w:szCs w:val="18"/>
                <w:lang w:eastAsia="en-AU"/>
              </w:rPr>
            </w:pPr>
          </w:p>
        </w:tc>
        <w:tc>
          <w:tcPr>
            <w:tcW w:w="1083" w:type="dxa"/>
            <w:gridSpan w:val="2"/>
            <w:tcBorders>
              <w:top w:val="nil"/>
              <w:left w:val="nil"/>
              <w:bottom w:val="nil"/>
              <w:right w:val="nil"/>
            </w:tcBorders>
            <w:shd w:val="clear" w:color="000000" w:fill="C9E3B4"/>
            <w:noWrap/>
            <w:vAlign w:val="center"/>
            <w:hideMark/>
          </w:tcPr>
          <w:p w14:paraId="2B4D367D" w14:textId="77777777" w:rsidR="00FD5C35" w:rsidRPr="00092B22" w:rsidRDefault="00FD5C35" w:rsidP="00E607DA">
            <w:pPr>
              <w:rPr>
                <w:rFonts w:ascii="Meta Pro" w:eastAsia="Times New Roman" w:hAnsi="Meta Pro"/>
                <w:szCs w:val="18"/>
                <w:lang w:eastAsia="en-AU"/>
              </w:rPr>
            </w:pPr>
            <w:r w:rsidRPr="00092B22">
              <w:rPr>
                <w:rFonts w:ascii="Meta Pro" w:eastAsia="Times New Roman" w:hAnsi="Meta Pro"/>
                <w:szCs w:val="18"/>
                <w:lang w:eastAsia="en-AU"/>
              </w:rPr>
              <w:t> </w:t>
            </w:r>
          </w:p>
        </w:tc>
        <w:tc>
          <w:tcPr>
            <w:tcW w:w="215" w:type="dxa"/>
            <w:tcBorders>
              <w:top w:val="nil"/>
              <w:left w:val="nil"/>
              <w:bottom w:val="nil"/>
              <w:right w:val="nil"/>
            </w:tcBorders>
            <w:shd w:val="clear" w:color="auto" w:fill="auto"/>
            <w:noWrap/>
            <w:vAlign w:val="center"/>
            <w:hideMark/>
          </w:tcPr>
          <w:p w14:paraId="4C302816" w14:textId="77777777" w:rsidR="00FD5C35" w:rsidRPr="00092B22" w:rsidRDefault="00FD5C35" w:rsidP="00E607DA">
            <w:pPr>
              <w:rPr>
                <w:rFonts w:ascii="Meta Pro" w:eastAsia="Times New Roman" w:hAnsi="Meta Pro"/>
                <w:szCs w:val="18"/>
                <w:lang w:eastAsia="en-AU"/>
              </w:rPr>
            </w:pPr>
          </w:p>
        </w:tc>
        <w:tc>
          <w:tcPr>
            <w:tcW w:w="1083" w:type="dxa"/>
            <w:gridSpan w:val="3"/>
            <w:tcBorders>
              <w:top w:val="nil"/>
              <w:left w:val="nil"/>
              <w:bottom w:val="nil"/>
              <w:right w:val="nil"/>
            </w:tcBorders>
            <w:shd w:val="clear" w:color="auto" w:fill="auto"/>
            <w:noWrap/>
            <w:vAlign w:val="center"/>
            <w:hideMark/>
          </w:tcPr>
          <w:p w14:paraId="6E7EA330" w14:textId="77777777" w:rsidR="00FD5C35" w:rsidRPr="00092B22" w:rsidRDefault="00FD5C35" w:rsidP="00E607DA">
            <w:pPr>
              <w:jc w:val="right"/>
              <w:rPr>
                <w:rFonts w:ascii="Meta Pro" w:eastAsia="Times New Roman" w:hAnsi="Meta Pro" w:cs="Times New Roman"/>
                <w:sz w:val="20"/>
                <w:szCs w:val="20"/>
                <w:lang w:eastAsia="en-AU"/>
              </w:rPr>
            </w:pPr>
          </w:p>
        </w:tc>
      </w:tr>
      <w:tr w:rsidR="00FD5C35" w:rsidRPr="00092B22" w14:paraId="66C73FCC" w14:textId="77777777" w:rsidTr="00963042">
        <w:trPr>
          <w:gridAfter w:val="1"/>
          <w:wAfter w:w="568" w:type="dxa"/>
          <w:trHeight w:val="23"/>
        </w:trPr>
        <w:tc>
          <w:tcPr>
            <w:tcW w:w="5717" w:type="dxa"/>
            <w:tcBorders>
              <w:top w:val="nil"/>
              <w:left w:val="nil"/>
              <w:bottom w:val="nil"/>
              <w:right w:val="nil"/>
            </w:tcBorders>
            <w:shd w:val="clear" w:color="auto" w:fill="auto"/>
            <w:noWrap/>
            <w:vAlign w:val="center"/>
            <w:hideMark/>
          </w:tcPr>
          <w:p w14:paraId="4D7D8DA3" w14:textId="77777777" w:rsidR="00FD5C35" w:rsidRPr="00092B22" w:rsidRDefault="00FD5C35" w:rsidP="00E607DA">
            <w:pPr>
              <w:rPr>
                <w:rFonts w:ascii="Meta Pro" w:eastAsia="Times New Roman" w:hAnsi="Meta Pro"/>
                <w:szCs w:val="18"/>
                <w:lang w:eastAsia="en-AU"/>
              </w:rPr>
            </w:pPr>
            <w:r w:rsidRPr="00092B22">
              <w:rPr>
                <w:rFonts w:ascii="Meta Pro" w:eastAsia="Times New Roman" w:hAnsi="Meta Pro"/>
                <w:szCs w:val="18"/>
                <w:lang w:eastAsia="en-AU"/>
              </w:rPr>
              <w:t>Depreciation</w:t>
            </w:r>
          </w:p>
        </w:tc>
        <w:tc>
          <w:tcPr>
            <w:tcW w:w="972" w:type="dxa"/>
            <w:gridSpan w:val="2"/>
            <w:tcBorders>
              <w:top w:val="nil"/>
              <w:left w:val="nil"/>
              <w:bottom w:val="single" w:sz="4" w:space="0" w:color="auto"/>
              <w:right w:val="nil"/>
            </w:tcBorders>
            <w:shd w:val="clear" w:color="auto" w:fill="auto"/>
            <w:noWrap/>
            <w:vAlign w:val="center"/>
            <w:hideMark/>
          </w:tcPr>
          <w:p w14:paraId="64AF8BF7" w14:textId="77777777" w:rsidR="00FD5C35" w:rsidRPr="00092B22" w:rsidRDefault="00FD5C35" w:rsidP="00E607DA">
            <w:pPr>
              <w:jc w:val="center"/>
              <w:rPr>
                <w:rFonts w:ascii="Meta Pro" w:eastAsia="Times New Roman" w:hAnsi="Meta Pro"/>
                <w:szCs w:val="18"/>
                <w:lang w:eastAsia="en-AU"/>
              </w:rPr>
            </w:pPr>
            <w:r w:rsidRPr="00092B22">
              <w:rPr>
                <w:rFonts w:ascii="Meta Pro" w:eastAsia="Times New Roman" w:hAnsi="Meta Pro"/>
                <w:szCs w:val="18"/>
                <w:lang w:eastAsia="en-AU"/>
              </w:rPr>
              <w:t>10</w:t>
            </w:r>
          </w:p>
        </w:tc>
        <w:tc>
          <w:tcPr>
            <w:tcW w:w="1083" w:type="dxa"/>
            <w:gridSpan w:val="2"/>
            <w:tcBorders>
              <w:top w:val="nil"/>
              <w:left w:val="nil"/>
              <w:bottom w:val="nil"/>
              <w:right w:val="nil"/>
            </w:tcBorders>
            <w:shd w:val="clear" w:color="000000" w:fill="C9E3B4"/>
            <w:noWrap/>
            <w:vAlign w:val="center"/>
            <w:hideMark/>
          </w:tcPr>
          <w:p w14:paraId="3D997632" w14:textId="77777777" w:rsidR="00FD5C35" w:rsidRPr="00092B22" w:rsidRDefault="00FD5C3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42,216 </w:t>
            </w:r>
          </w:p>
        </w:tc>
        <w:tc>
          <w:tcPr>
            <w:tcW w:w="215" w:type="dxa"/>
            <w:tcBorders>
              <w:top w:val="nil"/>
              <w:left w:val="nil"/>
              <w:bottom w:val="nil"/>
              <w:right w:val="nil"/>
            </w:tcBorders>
            <w:shd w:val="clear" w:color="auto" w:fill="auto"/>
            <w:noWrap/>
            <w:vAlign w:val="center"/>
            <w:hideMark/>
          </w:tcPr>
          <w:p w14:paraId="4358327B" w14:textId="77777777" w:rsidR="00FD5C35" w:rsidRPr="00092B22" w:rsidRDefault="00FD5C35" w:rsidP="00E607DA">
            <w:pPr>
              <w:jc w:val="right"/>
              <w:rPr>
                <w:rFonts w:ascii="Meta Pro" w:eastAsia="Times New Roman" w:hAnsi="Meta Pro"/>
                <w:szCs w:val="18"/>
                <w:lang w:eastAsia="en-AU"/>
              </w:rPr>
            </w:pPr>
          </w:p>
        </w:tc>
        <w:tc>
          <w:tcPr>
            <w:tcW w:w="1083" w:type="dxa"/>
            <w:gridSpan w:val="3"/>
            <w:tcBorders>
              <w:top w:val="nil"/>
              <w:left w:val="nil"/>
              <w:bottom w:val="nil"/>
              <w:right w:val="nil"/>
            </w:tcBorders>
            <w:shd w:val="clear" w:color="auto" w:fill="auto"/>
            <w:noWrap/>
            <w:vAlign w:val="center"/>
            <w:hideMark/>
          </w:tcPr>
          <w:p w14:paraId="29957C1D" w14:textId="77777777" w:rsidR="00FD5C35" w:rsidRPr="00092B22" w:rsidRDefault="00FD5C35"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43,200 </w:t>
            </w:r>
          </w:p>
        </w:tc>
      </w:tr>
      <w:tr w:rsidR="00FD5C35" w:rsidRPr="00092B22" w14:paraId="2260628F" w14:textId="77777777" w:rsidTr="00963042">
        <w:trPr>
          <w:gridAfter w:val="1"/>
          <w:wAfter w:w="568" w:type="dxa"/>
          <w:trHeight w:val="23"/>
        </w:trPr>
        <w:tc>
          <w:tcPr>
            <w:tcW w:w="5717" w:type="dxa"/>
            <w:tcBorders>
              <w:top w:val="single" w:sz="4" w:space="0" w:color="auto"/>
              <w:left w:val="nil"/>
              <w:bottom w:val="double" w:sz="6" w:space="0" w:color="auto"/>
              <w:right w:val="nil"/>
            </w:tcBorders>
            <w:shd w:val="clear" w:color="auto" w:fill="auto"/>
            <w:noWrap/>
            <w:vAlign w:val="center"/>
            <w:hideMark/>
          </w:tcPr>
          <w:p w14:paraId="04E75818" w14:textId="77777777" w:rsidR="00FD5C35" w:rsidRPr="00092B22" w:rsidRDefault="00FD5C35" w:rsidP="00E607DA">
            <w:pPr>
              <w:rPr>
                <w:rFonts w:ascii="Meta Pro" w:eastAsia="Times New Roman" w:hAnsi="Meta Pro"/>
                <w:b/>
                <w:bCs/>
                <w:szCs w:val="18"/>
                <w:lang w:eastAsia="en-AU"/>
              </w:rPr>
            </w:pPr>
            <w:r w:rsidRPr="00092B22">
              <w:rPr>
                <w:rFonts w:ascii="Meta Pro" w:eastAsia="Times New Roman" w:hAnsi="Meta Pro"/>
                <w:b/>
                <w:bCs/>
                <w:szCs w:val="18"/>
                <w:lang w:eastAsia="en-AU"/>
              </w:rPr>
              <w:t>Net impact on operating result</w:t>
            </w:r>
          </w:p>
        </w:tc>
        <w:tc>
          <w:tcPr>
            <w:tcW w:w="972" w:type="dxa"/>
            <w:gridSpan w:val="2"/>
            <w:tcBorders>
              <w:top w:val="nil"/>
              <w:left w:val="nil"/>
              <w:bottom w:val="double" w:sz="6" w:space="0" w:color="auto"/>
              <w:right w:val="nil"/>
            </w:tcBorders>
            <w:shd w:val="clear" w:color="auto" w:fill="auto"/>
            <w:noWrap/>
            <w:vAlign w:val="center"/>
            <w:hideMark/>
          </w:tcPr>
          <w:p w14:paraId="3A2B422C" w14:textId="77777777" w:rsidR="00FD5C35" w:rsidRPr="00092B22" w:rsidRDefault="00FD5C35" w:rsidP="00E607DA">
            <w:pPr>
              <w:jc w:val="center"/>
              <w:rPr>
                <w:rFonts w:ascii="Meta Pro" w:eastAsia="Times New Roman" w:hAnsi="Meta Pro"/>
                <w:szCs w:val="18"/>
                <w:lang w:eastAsia="en-AU"/>
              </w:rPr>
            </w:pPr>
            <w:r w:rsidRPr="00092B22">
              <w:rPr>
                <w:rFonts w:ascii="Meta Pro" w:eastAsia="Times New Roman" w:hAnsi="Meta Pro"/>
                <w:szCs w:val="18"/>
                <w:lang w:eastAsia="en-AU"/>
              </w:rPr>
              <w:t> </w:t>
            </w:r>
          </w:p>
        </w:tc>
        <w:tc>
          <w:tcPr>
            <w:tcW w:w="1083" w:type="dxa"/>
            <w:gridSpan w:val="2"/>
            <w:tcBorders>
              <w:top w:val="single" w:sz="4" w:space="0" w:color="auto"/>
              <w:left w:val="nil"/>
              <w:bottom w:val="double" w:sz="6" w:space="0" w:color="auto"/>
              <w:right w:val="nil"/>
            </w:tcBorders>
            <w:shd w:val="clear" w:color="000000" w:fill="C9E3B4"/>
            <w:noWrap/>
            <w:vAlign w:val="center"/>
            <w:hideMark/>
          </w:tcPr>
          <w:p w14:paraId="28966754" w14:textId="77777777" w:rsidR="00FD5C35" w:rsidRPr="00092B22" w:rsidRDefault="00FD5C35"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63,149 </w:t>
            </w:r>
          </w:p>
        </w:tc>
        <w:tc>
          <w:tcPr>
            <w:tcW w:w="215" w:type="dxa"/>
            <w:tcBorders>
              <w:top w:val="single" w:sz="4" w:space="0" w:color="auto"/>
              <w:left w:val="nil"/>
              <w:bottom w:val="double" w:sz="6" w:space="0" w:color="auto"/>
              <w:right w:val="nil"/>
            </w:tcBorders>
            <w:shd w:val="clear" w:color="auto" w:fill="auto"/>
            <w:noWrap/>
            <w:vAlign w:val="center"/>
            <w:hideMark/>
          </w:tcPr>
          <w:p w14:paraId="2D06D716" w14:textId="77777777" w:rsidR="00FD5C35" w:rsidRPr="00092B22" w:rsidRDefault="00FD5C35" w:rsidP="00E607DA">
            <w:pPr>
              <w:jc w:val="right"/>
              <w:rPr>
                <w:rFonts w:ascii="Meta Pro" w:eastAsia="Times New Roman" w:hAnsi="Meta Pro"/>
                <w:szCs w:val="18"/>
                <w:lang w:eastAsia="en-AU"/>
              </w:rPr>
            </w:pPr>
            <w:r w:rsidRPr="00092B22">
              <w:rPr>
                <w:rFonts w:ascii="Meta Pro" w:eastAsia="Times New Roman" w:hAnsi="Meta Pro"/>
                <w:szCs w:val="18"/>
                <w:lang w:eastAsia="en-AU"/>
              </w:rPr>
              <w:t> </w:t>
            </w:r>
          </w:p>
        </w:tc>
        <w:tc>
          <w:tcPr>
            <w:tcW w:w="1083" w:type="dxa"/>
            <w:gridSpan w:val="3"/>
            <w:tcBorders>
              <w:top w:val="single" w:sz="4" w:space="0" w:color="auto"/>
              <w:left w:val="nil"/>
              <w:bottom w:val="double" w:sz="6" w:space="0" w:color="auto"/>
              <w:right w:val="nil"/>
            </w:tcBorders>
            <w:shd w:val="clear" w:color="auto" w:fill="auto"/>
            <w:noWrap/>
            <w:vAlign w:val="center"/>
            <w:hideMark/>
          </w:tcPr>
          <w:p w14:paraId="7A762B19" w14:textId="77777777" w:rsidR="00FD5C35" w:rsidRPr="00092B22" w:rsidRDefault="00FD5C35"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62,165 </w:t>
            </w:r>
          </w:p>
        </w:tc>
      </w:tr>
      <w:tr w:rsidR="00963042" w:rsidRPr="00092B22" w14:paraId="7A1911B9" w14:textId="77777777" w:rsidTr="00963042">
        <w:tblPrEx>
          <w:tblCellMar>
            <w:left w:w="108" w:type="dxa"/>
          </w:tblCellMar>
        </w:tblPrEx>
        <w:trPr>
          <w:trHeight w:val="240"/>
        </w:trPr>
        <w:tc>
          <w:tcPr>
            <w:tcW w:w="6096" w:type="dxa"/>
            <w:gridSpan w:val="2"/>
            <w:tcBorders>
              <w:top w:val="nil"/>
              <w:left w:val="nil"/>
              <w:bottom w:val="nil"/>
              <w:right w:val="nil"/>
            </w:tcBorders>
            <w:shd w:val="clear" w:color="auto" w:fill="auto"/>
            <w:noWrap/>
            <w:vAlign w:val="center"/>
            <w:hideMark/>
          </w:tcPr>
          <w:p w14:paraId="1FCA8904" w14:textId="77777777" w:rsidR="00963042" w:rsidRPr="00092B22" w:rsidRDefault="00963042" w:rsidP="00E607DA">
            <w:pPr>
              <w:spacing w:before="240"/>
              <w:rPr>
                <w:rFonts w:ascii="Meta Pro" w:eastAsia="Times New Roman" w:hAnsi="Meta Pro" w:cs="Times New Roman"/>
                <w:sz w:val="24"/>
                <w:szCs w:val="24"/>
                <w:lang w:eastAsia="en-AU"/>
              </w:rPr>
            </w:pPr>
          </w:p>
        </w:tc>
        <w:tc>
          <w:tcPr>
            <w:tcW w:w="992" w:type="dxa"/>
            <w:gridSpan w:val="2"/>
            <w:tcBorders>
              <w:top w:val="nil"/>
              <w:left w:val="nil"/>
              <w:bottom w:val="nil"/>
              <w:right w:val="nil"/>
            </w:tcBorders>
            <w:shd w:val="clear" w:color="auto" w:fill="auto"/>
            <w:noWrap/>
            <w:vAlign w:val="center"/>
            <w:hideMark/>
          </w:tcPr>
          <w:p w14:paraId="37F716F3" w14:textId="77777777" w:rsidR="00963042" w:rsidRPr="00092B22" w:rsidRDefault="00963042" w:rsidP="00E607DA">
            <w:pPr>
              <w:spacing w:before="240"/>
              <w:jc w:val="center"/>
              <w:rPr>
                <w:rFonts w:ascii="Meta Pro" w:eastAsia="Times New Roman" w:hAnsi="Meta Pro"/>
                <w:b/>
                <w:bCs/>
                <w:color w:val="000000"/>
                <w:lang w:eastAsia="en-AU"/>
              </w:rPr>
            </w:pPr>
            <w:r w:rsidRPr="00092B22">
              <w:rPr>
                <w:rFonts w:ascii="Meta Pro" w:eastAsia="Times New Roman" w:hAnsi="Meta Pro"/>
                <w:b/>
                <w:bCs/>
                <w:color w:val="000000"/>
                <w:lang w:eastAsia="en-AU"/>
              </w:rPr>
              <w:t>Note</w:t>
            </w:r>
          </w:p>
        </w:tc>
        <w:tc>
          <w:tcPr>
            <w:tcW w:w="1134" w:type="dxa"/>
            <w:gridSpan w:val="3"/>
            <w:tcBorders>
              <w:top w:val="nil"/>
              <w:left w:val="nil"/>
              <w:bottom w:val="nil"/>
              <w:right w:val="nil"/>
            </w:tcBorders>
            <w:shd w:val="clear" w:color="auto" w:fill="auto"/>
            <w:noWrap/>
            <w:vAlign w:val="center"/>
            <w:hideMark/>
          </w:tcPr>
          <w:p w14:paraId="1D384078" w14:textId="77777777" w:rsidR="00963042" w:rsidRPr="00092B22" w:rsidRDefault="00963042" w:rsidP="00E607DA">
            <w:pPr>
              <w:spacing w:before="240"/>
              <w:jc w:val="center"/>
              <w:rPr>
                <w:rFonts w:ascii="Meta Pro" w:eastAsia="Times New Roman" w:hAnsi="Meta Pro"/>
                <w:b/>
                <w:bCs/>
                <w:color w:val="000000"/>
                <w:lang w:eastAsia="en-AU"/>
              </w:rPr>
            </w:pPr>
            <w:r w:rsidRPr="00092B22">
              <w:rPr>
                <w:rFonts w:ascii="Meta Pro" w:eastAsia="Times New Roman" w:hAnsi="Meta Pro"/>
                <w:b/>
                <w:bCs/>
                <w:color w:val="000000"/>
                <w:lang w:eastAsia="en-AU"/>
              </w:rPr>
              <w:t>2022</w:t>
            </w:r>
          </w:p>
        </w:tc>
        <w:tc>
          <w:tcPr>
            <w:tcW w:w="327" w:type="dxa"/>
            <w:tcBorders>
              <w:top w:val="nil"/>
              <w:left w:val="nil"/>
              <w:bottom w:val="nil"/>
              <w:right w:val="nil"/>
            </w:tcBorders>
            <w:shd w:val="clear" w:color="auto" w:fill="auto"/>
            <w:noWrap/>
            <w:vAlign w:val="center"/>
            <w:hideMark/>
          </w:tcPr>
          <w:p w14:paraId="120E0D6B" w14:textId="77777777" w:rsidR="00963042" w:rsidRPr="00092B22" w:rsidRDefault="00963042" w:rsidP="00E607DA">
            <w:pPr>
              <w:spacing w:before="240"/>
              <w:jc w:val="center"/>
              <w:rPr>
                <w:rFonts w:ascii="Meta Pro" w:eastAsia="Times New Roman" w:hAnsi="Meta Pro"/>
                <w:b/>
                <w:bCs/>
                <w:color w:val="000000"/>
                <w:lang w:eastAsia="en-AU"/>
              </w:rPr>
            </w:pPr>
          </w:p>
        </w:tc>
        <w:tc>
          <w:tcPr>
            <w:tcW w:w="1089" w:type="dxa"/>
            <w:gridSpan w:val="2"/>
            <w:tcBorders>
              <w:top w:val="nil"/>
              <w:left w:val="nil"/>
              <w:bottom w:val="nil"/>
              <w:right w:val="nil"/>
            </w:tcBorders>
            <w:shd w:val="clear" w:color="auto" w:fill="auto"/>
            <w:noWrap/>
            <w:vAlign w:val="center"/>
            <w:hideMark/>
          </w:tcPr>
          <w:p w14:paraId="402582D6" w14:textId="77777777" w:rsidR="00963042" w:rsidRPr="00092B22" w:rsidRDefault="00963042" w:rsidP="00E607DA">
            <w:pPr>
              <w:spacing w:before="240"/>
              <w:jc w:val="center"/>
              <w:rPr>
                <w:rFonts w:ascii="Meta Pro" w:eastAsia="Times New Roman" w:hAnsi="Meta Pro"/>
                <w:b/>
                <w:bCs/>
                <w:lang w:eastAsia="en-AU"/>
              </w:rPr>
            </w:pPr>
            <w:r w:rsidRPr="00092B22">
              <w:rPr>
                <w:rFonts w:ascii="Meta Pro" w:eastAsia="Times New Roman" w:hAnsi="Meta Pro"/>
                <w:b/>
                <w:bCs/>
                <w:lang w:eastAsia="en-AU"/>
              </w:rPr>
              <w:t>2021</w:t>
            </w:r>
          </w:p>
        </w:tc>
      </w:tr>
      <w:tr w:rsidR="00963042" w:rsidRPr="00092B22" w14:paraId="675FB262" w14:textId="77777777" w:rsidTr="00963042">
        <w:tblPrEx>
          <w:tblCellMar>
            <w:left w:w="108" w:type="dxa"/>
          </w:tblCellMar>
        </w:tblPrEx>
        <w:trPr>
          <w:trHeight w:val="240"/>
        </w:trPr>
        <w:tc>
          <w:tcPr>
            <w:tcW w:w="6096" w:type="dxa"/>
            <w:gridSpan w:val="2"/>
            <w:tcBorders>
              <w:top w:val="nil"/>
              <w:left w:val="nil"/>
              <w:bottom w:val="nil"/>
              <w:right w:val="nil"/>
            </w:tcBorders>
            <w:shd w:val="clear" w:color="auto" w:fill="auto"/>
            <w:noWrap/>
            <w:vAlign w:val="center"/>
            <w:hideMark/>
          </w:tcPr>
          <w:p w14:paraId="2EC9D913" w14:textId="77777777" w:rsidR="00963042" w:rsidRPr="00092B22" w:rsidRDefault="00963042" w:rsidP="00E607DA">
            <w:pPr>
              <w:jc w:val="center"/>
              <w:rPr>
                <w:rFonts w:ascii="Meta Pro" w:eastAsia="Times New Roman" w:hAnsi="Meta Pro"/>
                <w:b/>
                <w:bCs/>
                <w:lang w:eastAsia="en-AU"/>
              </w:rPr>
            </w:pPr>
          </w:p>
        </w:tc>
        <w:tc>
          <w:tcPr>
            <w:tcW w:w="992" w:type="dxa"/>
            <w:gridSpan w:val="2"/>
            <w:tcBorders>
              <w:top w:val="nil"/>
              <w:left w:val="nil"/>
              <w:bottom w:val="nil"/>
              <w:right w:val="nil"/>
            </w:tcBorders>
            <w:shd w:val="clear" w:color="auto" w:fill="auto"/>
            <w:noWrap/>
            <w:vAlign w:val="center"/>
            <w:hideMark/>
          </w:tcPr>
          <w:p w14:paraId="109972EA" w14:textId="77777777" w:rsidR="00963042" w:rsidRPr="00092B22" w:rsidRDefault="00963042" w:rsidP="00E607DA">
            <w:pPr>
              <w:rPr>
                <w:rFonts w:ascii="Meta Pro" w:eastAsia="Times New Roman" w:hAnsi="Meta Pro" w:cs="Times New Roman"/>
                <w:sz w:val="20"/>
                <w:szCs w:val="20"/>
                <w:lang w:eastAsia="en-AU"/>
              </w:rPr>
            </w:pPr>
          </w:p>
        </w:tc>
        <w:tc>
          <w:tcPr>
            <w:tcW w:w="1134" w:type="dxa"/>
            <w:gridSpan w:val="3"/>
            <w:tcBorders>
              <w:top w:val="nil"/>
              <w:left w:val="nil"/>
              <w:bottom w:val="nil"/>
              <w:right w:val="nil"/>
            </w:tcBorders>
            <w:shd w:val="clear" w:color="auto" w:fill="auto"/>
            <w:noWrap/>
            <w:vAlign w:val="center"/>
            <w:hideMark/>
          </w:tcPr>
          <w:p w14:paraId="69DA39A5" w14:textId="77777777" w:rsidR="00963042" w:rsidRPr="00092B22" w:rsidRDefault="00963042" w:rsidP="00E607DA">
            <w:pPr>
              <w:jc w:val="center"/>
              <w:rPr>
                <w:rFonts w:ascii="Meta Pro" w:eastAsia="Times New Roman" w:hAnsi="Meta Pro"/>
                <w:b/>
                <w:bCs/>
                <w:lang w:eastAsia="en-AU"/>
              </w:rPr>
            </w:pPr>
            <w:r w:rsidRPr="00092B22">
              <w:rPr>
                <w:rFonts w:ascii="Meta Pro" w:eastAsia="Times New Roman" w:hAnsi="Meta Pro"/>
                <w:b/>
                <w:bCs/>
                <w:lang w:eastAsia="en-AU"/>
              </w:rPr>
              <w:t>$'000</w:t>
            </w:r>
          </w:p>
        </w:tc>
        <w:tc>
          <w:tcPr>
            <w:tcW w:w="327" w:type="dxa"/>
            <w:tcBorders>
              <w:top w:val="nil"/>
              <w:left w:val="nil"/>
              <w:bottom w:val="nil"/>
              <w:right w:val="nil"/>
            </w:tcBorders>
            <w:shd w:val="clear" w:color="auto" w:fill="auto"/>
            <w:noWrap/>
            <w:vAlign w:val="center"/>
            <w:hideMark/>
          </w:tcPr>
          <w:p w14:paraId="73E26972" w14:textId="77777777" w:rsidR="00963042" w:rsidRPr="00092B22" w:rsidRDefault="00963042" w:rsidP="00E607DA">
            <w:pPr>
              <w:jc w:val="center"/>
              <w:rPr>
                <w:rFonts w:ascii="Meta Pro" w:eastAsia="Times New Roman" w:hAnsi="Meta Pro"/>
                <w:b/>
                <w:bCs/>
                <w:lang w:eastAsia="en-AU"/>
              </w:rPr>
            </w:pPr>
          </w:p>
        </w:tc>
        <w:tc>
          <w:tcPr>
            <w:tcW w:w="1089" w:type="dxa"/>
            <w:gridSpan w:val="2"/>
            <w:tcBorders>
              <w:top w:val="nil"/>
              <w:left w:val="nil"/>
              <w:bottom w:val="nil"/>
              <w:right w:val="nil"/>
            </w:tcBorders>
            <w:shd w:val="clear" w:color="auto" w:fill="auto"/>
            <w:noWrap/>
            <w:vAlign w:val="center"/>
            <w:hideMark/>
          </w:tcPr>
          <w:p w14:paraId="4FF439F1" w14:textId="77777777" w:rsidR="00963042" w:rsidRPr="00092B22" w:rsidRDefault="00963042" w:rsidP="00E607DA">
            <w:pPr>
              <w:jc w:val="center"/>
              <w:rPr>
                <w:rFonts w:ascii="Meta Pro" w:eastAsia="Times New Roman" w:hAnsi="Meta Pro"/>
                <w:b/>
                <w:bCs/>
                <w:lang w:eastAsia="en-AU"/>
              </w:rPr>
            </w:pPr>
            <w:r w:rsidRPr="00092B22">
              <w:rPr>
                <w:rFonts w:ascii="Meta Pro" w:eastAsia="Times New Roman" w:hAnsi="Meta Pro"/>
                <w:b/>
                <w:bCs/>
                <w:lang w:eastAsia="en-AU"/>
              </w:rPr>
              <w:t>$'000</w:t>
            </w:r>
          </w:p>
        </w:tc>
      </w:tr>
    </w:tbl>
    <w:p w14:paraId="5D4B3FA7" w14:textId="77777777" w:rsidR="00963042" w:rsidRPr="00092B22" w:rsidRDefault="00963042" w:rsidP="00963042">
      <w:pPr>
        <w:spacing w:after="120"/>
        <w:rPr>
          <w:rFonts w:ascii="Meta Pro" w:hAnsi="Meta Pro"/>
          <w:b/>
          <w:bCs/>
          <w:lang w:eastAsia="en-AU"/>
        </w:rPr>
      </w:pPr>
      <w:r w:rsidRPr="00092B22">
        <w:rPr>
          <w:rFonts w:ascii="Meta Pro" w:hAnsi="Meta Pro"/>
          <w:b/>
          <w:bCs/>
          <w:lang w:eastAsia="en-AU"/>
        </w:rPr>
        <w:t>16      PUBLIC PRIVATE PARTNERSHIPS (continued)</w:t>
      </w:r>
    </w:p>
    <w:p w14:paraId="2AD5D2A5" w14:textId="77777777" w:rsidR="00963042" w:rsidRPr="00092B22" w:rsidRDefault="00963042" w:rsidP="00963042">
      <w:pPr>
        <w:spacing w:after="120" w:line="259" w:lineRule="auto"/>
        <w:rPr>
          <w:rFonts w:ascii="Meta Pro" w:hAnsi="Meta Pro"/>
          <w:b/>
          <w:bCs/>
          <w:szCs w:val="18"/>
          <w:lang w:eastAsia="en-AU"/>
        </w:rPr>
      </w:pPr>
      <w:r w:rsidRPr="00092B22">
        <w:rPr>
          <w:rFonts w:ascii="Meta Pro" w:hAnsi="Meta Pro"/>
          <w:b/>
          <w:bCs/>
          <w:szCs w:val="18"/>
          <w:lang w:eastAsia="en-AU"/>
        </w:rPr>
        <w:t>SERVICE CONCESSION ARRANGEMENTS UNDER AASB 1059 (continued)</w:t>
      </w:r>
    </w:p>
    <w:p w14:paraId="67FEC9C6" w14:textId="77777777" w:rsidR="00963042" w:rsidRPr="00092B22" w:rsidRDefault="00963042" w:rsidP="00963042">
      <w:pPr>
        <w:spacing w:after="120"/>
        <w:rPr>
          <w:rFonts w:ascii="Meta Pro" w:eastAsia="Times New Roman" w:hAnsi="Meta Pro"/>
          <w:b/>
          <w:bCs/>
          <w:szCs w:val="18"/>
          <w:lang w:eastAsia="en-AU"/>
        </w:rPr>
      </w:pPr>
      <w:r w:rsidRPr="00092B22">
        <w:rPr>
          <w:rFonts w:ascii="Meta Pro" w:eastAsia="Times New Roman" w:hAnsi="Meta Pro"/>
          <w:b/>
          <w:bCs/>
          <w:szCs w:val="18"/>
          <w:lang w:eastAsia="en-AU"/>
        </w:rPr>
        <w:t>Port Drive</w:t>
      </w:r>
    </w:p>
    <w:p w14:paraId="348F95DC" w14:textId="77777777" w:rsidR="00963042" w:rsidRPr="00092B22" w:rsidRDefault="00963042" w:rsidP="00963042">
      <w:pPr>
        <w:spacing w:after="120"/>
        <w:rPr>
          <w:rFonts w:ascii="Meta Pro" w:eastAsia="Times New Roman" w:hAnsi="Meta Pro"/>
          <w:szCs w:val="18"/>
          <w:lang w:eastAsia="en-AU"/>
        </w:rPr>
      </w:pPr>
      <w:r w:rsidRPr="00092B22">
        <w:rPr>
          <w:rFonts w:ascii="Meta Pro" w:eastAsia="Times New Roman" w:hAnsi="Meta Pro"/>
          <w:szCs w:val="18"/>
          <w:lang w:eastAsia="en-AU"/>
        </w:rPr>
        <w:t>A Road Franchise Agreement (RFA) was established between the state and Port of Brisbane Pty Ltd in November 2000 to maintain and manage the Port Drive motorway. In 2010, APH Consortium signed a 99 year lease over the port, which included an agreement to fund a major upgrade to the motorway.</w:t>
      </w:r>
    </w:p>
    <w:p w14:paraId="0374E61A" w14:textId="77777777" w:rsidR="00963042" w:rsidRPr="00092B22" w:rsidRDefault="00963042" w:rsidP="00963042">
      <w:pPr>
        <w:spacing w:after="120"/>
        <w:rPr>
          <w:rFonts w:ascii="Meta Pro" w:eastAsia="Times New Roman" w:hAnsi="Meta Pro"/>
          <w:szCs w:val="18"/>
          <w:lang w:eastAsia="en-AU"/>
        </w:rPr>
      </w:pPr>
      <w:r w:rsidRPr="00092B22">
        <w:rPr>
          <w:rFonts w:ascii="Meta Pro" w:eastAsia="Times New Roman" w:hAnsi="Meta Pro"/>
          <w:szCs w:val="18"/>
          <w:lang w:eastAsia="en-AU"/>
        </w:rPr>
        <w:t>The Port Drive motorway is a franchised road, but is not a toll road. The operator obtains indirect benefits of ongoing maintenance of the road infrastructure through increased capacity and access to the port precinct.</w:t>
      </w:r>
    </w:p>
    <w:p w14:paraId="36AC2A5E" w14:textId="77777777" w:rsidR="00963042" w:rsidRPr="00092B22" w:rsidRDefault="00963042" w:rsidP="00963042">
      <w:pPr>
        <w:spacing w:after="120"/>
        <w:rPr>
          <w:rFonts w:ascii="Meta Pro" w:hAnsi="Meta Pro" w:cstheme="minorBidi"/>
        </w:rPr>
      </w:pPr>
      <w:r w:rsidRPr="00092B22">
        <w:rPr>
          <w:rFonts w:ascii="Meta Pro" w:eastAsia="Times New Roman" w:hAnsi="Meta Pro"/>
          <w:szCs w:val="18"/>
          <w:lang w:eastAsia="en-AU"/>
        </w:rPr>
        <w:t>At the expiry of the concession period the department will retain ownership of the motorway assets.</w:t>
      </w:r>
    </w:p>
    <w:tbl>
      <w:tblPr>
        <w:tblW w:w="0" w:type="auto"/>
        <w:tblCellMar>
          <w:left w:w="0" w:type="dxa"/>
        </w:tblCellMar>
        <w:tblLook w:val="04A0" w:firstRow="1" w:lastRow="0" w:firstColumn="1" w:lastColumn="0" w:noHBand="0" w:noVBand="1"/>
      </w:tblPr>
      <w:tblGrid>
        <w:gridCol w:w="6090"/>
        <w:gridCol w:w="1030"/>
        <w:gridCol w:w="1148"/>
        <w:gridCol w:w="222"/>
        <w:gridCol w:w="1148"/>
      </w:tblGrid>
      <w:tr w:rsidR="00963042" w:rsidRPr="00092B22" w14:paraId="48991C66" w14:textId="77777777" w:rsidTr="00E607DA">
        <w:trPr>
          <w:trHeight w:val="23"/>
        </w:trPr>
        <w:tc>
          <w:tcPr>
            <w:tcW w:w="6176" w:type="dxa"/>
            <w:tcBorders>
              <w:top w:val="nil"/>
              <w:left w:val="nil"/>
              <w:bottom w:val="nil"/>
              <w:right w:val="nil"/>
            </w:tcBorders>
            <w:shd w:val="clear" w:color="auto" w:fill="auto"/>
            <w:noWrap/>
            <w:vAlign w:val="center"/>
            <w:hideMark/>
          </w:tcPr>
          <w:p w14:paraId="05E23776" w14:textId="77777777" w:rsidR="00963042" w:rsidRPr="00092B22" w:rsidRDefault="00963042" w:rsidP="00E607DA">
            <w:pPr>
              <w:rPr>
                <w:rFonts w:ascii="Meta Pro" w:eastAsia="Times New Roman" w:hAnsi="Meta Pro"/>
                <w:b/>
                <w:bCs/>
                <w:szCs w:val="18"/>
                <w:lang w:eastAsia="en-AU"/>
              </w:rPr>
            </w:pPr>
            <w:r w:rsidRPr="00092B22">
              <w:rPr>
                <w:rFonts w:ascii="Meta Pro" w:eastAsia="Times New Roman" w:hAnsi="Meta Pro"/>
                <w:b/>
                <w:bCs/>
                <w:szCs w:val="18"/>
                <w:lang w:eastAsia="en-AU"/>
              </w:rPr>
              <w:t>Operating statement impact</w:t>
            </w:r>
          </w:p>
        </w:tc>
        <w:tc>
          <w:tcPr>
            <w:tcW w:w="1036" w:type="dxa"/>
            <w:tcBorders>
              <w:top w:val="nil"/>
              <w:left w:val="nil"/>
              <w:bottom w:val="nil"/>
              <w:right w:val="nil"/>
            </w:tcBorders>
            <w:shd w:val="clear" w:color="auto" w:fill="auto"/>
            <w:noWrap/>
            <w:vAlign w:val="center"/>
            <w:hideMark/>
          </w:tcPr>
          <w:p w14:paraId="52765F24" w14:textId="77777777" w:rsidR="00963042" w:rsidRPr="00092B22" w:rsidRDefault="00963042" w:rsidP="00E607DA">
            <w:pPr>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222CC78A" w14:textId="77777777" w:rsidR="00963042" w:rsidRPr="00092B22" w:rsidRDefault="00963042" w:rsidP="00E607DA">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2AEFBC58" w14:textId="77777777" w:rsidR="00963042" w:rsidRPr="00092B22" w:rsidRDefault="00963042" w:rsidP="00E607DA">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4A19532F" w14:textId="77777777" w:rsidR="00963042" w:rsidRPr="00092B22" w:rsidRDefault="00963042" w:rsidP="00E607DA">
            <w:pPr>
              <w:jc w:val="right"/>
              <w:rPr>
                <w:rFonts w:ascii="Meta Pro" w:eastAsia="Times New Roman" w:hAnsi="Meta Pro" w:cs="Times New Roman"/>
                <w:sz w:val="20"/>
                <w:szCs w:val="20"/>
                <w:lang w:eastAsia="en-AU"/>
              </w:rPr>
            </w:pPr>
          </w:p>
        </w:tc>
      </w:tr>
      <w:tr w:rsidR="00963042" w:rsidRPr="00092B22" w14:paraId="0ADD53F4" w14:textId="77777777" w:rsidTr="00E607DA">
        <w:trPr>
          <w:trHeight w:val="23"/>
        </w:trPr>
        <w:tc>
          <w:tcPr>
            <w:tcW w:w="6176" w:type="dxa"/>
            <w:tcBorders>
              <w:top w:val="nil"/>
              <w:left w:val="nil"/>
              <w:bottom w:val="nil"/>
              <w:right w:val="nil"/>
            </w:tcBorders>
            <w:shd w:val="clear" w:color="auto" w:fill="auto"/>
            <w:noWrap/>
            <w:vAlign w:val="center"/>
            <w:hideMark/>
          </w:tcPr>
          <w:p w14:paraId="34E3453B" w14:textId="77777777" w:rsidR="00963042" w:rsidRPr="00092B22" w:rsidRDefault="00963042" w:rsidP="00E607DA">
            <w:pPr>
              <w:rPr>
                <w:rFonts w:ascii="Meta Pro" w:eastAsia="Times New Roman" w:hAnsi="Meta Pro"/>
                <w:b/>
                <w:bCs/>
                <w:szCs w:val="18"/>
                <w:lang w:eastAsia="en-AU"/>
              </w:rPr>
            </w:pPr>
            <w:r w:rsidRPr="00092B22">
              <w:rPr>
                <w:rFonts w:ascii="Meta Pro" w:eastAsia="Times New Roman" w:hAnsi="Meta Pro"/>
                <w:b/>
                <w:bCs/>
                <w:szCs w:val="18"/>
                <w:lang w:eastAsia="en-AU"/>
              </w:rPr>
              <w:lastRenderedPageBreak/>
              <w:t>Revenue</w:t>
            </w:r>
          </w:p>
        </w:tc>
        <w:tc>
          <w:tcPr>
            <w:tcW w:w="1036" w:type="dxa"/>
            <w:tcBorders>
              <w:top w:val="nil"/>
              <w:left w:val="nil"/>
              <w:bottom w:val="nil"/>
              <w:right w:val="nil"/>
            </w:tcBorders>
            <w:shd w:val="clear" w:color="auto" w:fill="auto"/>
            <w:noWrap/>
            <w:vAlign w:val="center"/>
            <w:hideMark/>
          </w:tcPr>
          <w:p w14:paraId="0DE3A98D" w14:textId="77777777" w:rsidR="00963042" w:rsidRPr="00092B22" w:rsidRDefault="00963042" w:rsidP="00E607DA">
            <w:pPr>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71EC33C7" w14:textId="77777777" w:rsidR="00963042" w:rsidRPr="00092B22" w:rsidRDefault="00963042" w:rsidP="00E607DA">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0D8B43EB" w14:textId="77777777" w:rsidR="00963042" w:rsidRPr="00092B22" w:rsidRDefault="00963042" w:rsidP="00E607DA">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32B95421" w14:textId="77777777" w:rsidR="00963042" w:rsidRPr="00092B22" w:rsidRDefault="00963042" w:rsidP="00E607DA">
            <w:pPr>
              <w:jc w:val="right"/>
              <w:rPr>
                <w:rFonts w:ascii="Meta Pro" w:eastAsia="Times New Roman" w:hAnsi="Meta Pro" w:cs="Times New Roman"/>
                <w:sz w:val="20"/>
                <w:szCs w:val="20"/>
                <w:lang w:eastAsia="en-AU"/>
              </w:rPr>
            </w:pPr>
          </w:p>
        </w:tc>
      </w:tr>
      <w:tr w:rsidR="00963042" w:rsidRPr="00092B22" w14:paraId="66E55C71" w14:textId="77777777" w:rsidTr="00E607DA">
        <w:trPr>
          <w:trHeight w:val="23"/>
        </w:trPr>
        <w:tc>
          <w:tcPr>
            <w:tcW w:w="6176" w:type="dxa"/>
            <w:tcBorders>
              <w:top w:val="nil"/>
              <w:left w:val="nil"/>
              <w:bottom w:val="nil"/>
              <w:right w:val="nil"/>
            </w:tcBorders>
            <w:shd w:val="clear" w:color="auto" w:fill="auto"/>
            <w:noWrap/>
            <w:vAlign w:val="center"/>
            <w:hideMark/>
          </w:tcPr>
          <w:p w14:paraId="67EA6293" w14:textId="77777777" w:rsidR="00963042" w:rsidRPr="00092B22" w:rsidRDefault="00963042" w:rsidP="00E607DA">
            <w:pPr>
              <w:rPr>
                <w:rFonts w:ascii="Meta Pro" w:eastAsia="Times New Roman" w:hAnsi="Meta Pro"/>
                <w:szCs w:val="18"/>
                <w:lang w:eastAsia="en-AU"/>
              </w:rPr>
            </w:pPr>
            <w:r w:rsidRPr="00092B22">
              <w:rPr>
                <w:rFonts w:ascii="Meta Pro" w:eastAsia="Times New Roman" w:hAnsi="Meta Pro"/>
                <w:szCs w:val="18"/>
                <w:lang w:eastAsia="en-AU"/>
              </w:rPr>
              <w:t xml:space="preserve">Amortisation of unearned revenue </w:t>
            </w:r>
          </w:p>
        </w:tc>
        <w:tc>
          <w:tcPr>
            <w:tcW w:w="1036" w:type="dxa"/>
            <w:tcBorders>
              <w:top w:val="nil"/>
              <w:left w:val="nil"/>
              <w:bottom w:val="nil"/>
              <w:right w:val="nil"/>
            </w:tcBorders>
            <w:shd w:val="clear" w:color="auto" w:fill="auto"/>
            <w:noWrap/>
            <w:vAlign w:val="center"/>
            <w:hideMark/>
          </w:tcPr>
          <w:p w14:paraId="25D47E51" w14:textId="77777777" w:rsidR="00963042" w:rsidRPr="00092B22" w:rsidRDefault="00963042" w:rsidP="00E607DA">
            <w:pPr>
              <w:rPr>
                <w:rFonts w:ascii="Meta Pro" w:eastAsia="Times New Roman" w:hAnsi="Meta Pro"/>
                <w:szCs w:val="18"/>
                <w:lang w:eastAsia="en-AU"/>
              </w:rPr>
            </w:pPr>
          </w:p>
        </w:tc>
        <w:tc>
          <w:tcPr>
            <w:tcW w:w="1156" w:type="dxa"/>
            <w:tcBorders>
              <w:top w:val="nil"/>
              <w:left w:val="nil"/>
              <w:bottom w:val="nil"/>
              <w:right w:val="nil"/>
            </w:tcBorders>
            <w:shd w:val="clear" w:color="000000" w:fill="C9E3B4"/>
            <w:noWrap/>
            <w:vAlign w:val="center"/>
            <w:hideMark/>
          </w:tcPr>
          <w:p w14:paraId="63FEA5E4" w14:textId="77777777" w:rsidR="00963042" w:rsidRPr="00092B22" w:rsidRDefault="0096304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474 </w:t>
            </w:r>
          </w:p>
        </w:tc>
        <w:tc>
          <w:tcPr>
            <w:tcW w:w="216" w:type="dxa"/>
            <w:tcBorders>
              <w:top w:val="nil"/>
              <w:left w:val="nil"/>
              <w:bottom w:val="nil"/>
              <w:right w:val="nil"/>
            </w:tcBorders>
            <w:shd w:val="clear" w:color="auto" w:fill="auto"/>
            <w:noWrap/>
            <w:vAlign w:val="center"/>
            <w:hideMark/>
          </w:tcPr>
          <w:p w14:paraId="3B2F0C12" w14:textId="77777777" w:rsidR="00963042" w:rsidRPr="00092B22" w:rsidRDefault="00963042"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16EEEC21" w14:textId="77777777" w:rsidR="00963042" w:rsidRPr="00092B22" w:rsidRDefault="0096304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474 </w:t>
            </w:r>
          </w:p>
        </w:tc>
      </w:tr>
      <w:tr w:rsidR="00963042" w:rsidRPr="00092B22" w14:paraId="57CEF284" w14:textId="77777777" w:rsidTr="00E607DA">
        <w:trPr>
          <w:trHeight w:val="23"/>
        </w:trPr>
        <w:tc>
          <w:tcPr>
            <w:tcW w:w="6176" w:type="dxa"/>
            <w:tcBorders>
              <w:top w:val="nil"/>
              <w:left w:val="nil"/>
              <w:bottom w:val="nil"/>
              <w:right w:val="nil"/>
            </w:tcBorders>
            <w:shd w:val="clear" w:color="auto" w:fill="auto"/>
            <w:noWrap/>
            <w:vAlign w:val="center"/>
            <w:hideMark/>
          </w:tcPr>
          <w:p w14:paraId="08184C92" w14:textId="77777777" w:rsidR="00963042" w:rsidRPr="00092B22" w:rsidRDefault="00963042" w:rsidP="00E607DA">
            <w:pPr>
              <w:jc w:val="right"/>
              <w:rPr>
                <w:rFonts w:ascii="Meta Pro" w:eastAsia="Times New Roman" w:hAnsi="Meta Pro"/>
                <w:szCs w:val="18"/>
                <w:lang w:eastAsia="en-AU"/>
              </w:rPr>
            </w:pPr>
          </w:p>
        </w:tc>
        <w:tc>
          <w:tcPr>
            <w:tcW w:w="1036" w:type="dxa"/>
            <w:tcBorders>
              <w:top w:val="nil"/>
              <w:left w:val="nil"/>
              <w:bottom w:val="nil"/>
              <w:right w:val="nil"/>
            </w:tcBorders>
            <w:shd w:val="clear" w:color="auto" w:fill="auto"/>
            <w:noWrap/>
            <w:vAlign w:val="center"/>
            <w:hideMark/>
          </w:tcPr>
          <w:p w14:paraId="273E37A3" w14:textId="77777777" w:rsidR="00963042" w:rsidRPr="00092B22" w:rsidRDefault="00963042" w:rsidP="00E607DA">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000000" w:fill="C9E3B4"/>
            <w:noWrap/>
            <w:vAlign w:val="center"/>
            <w:hideMark/>
          </w:tcPr>
          <w:p w14:paraId="18E91D57" w14:textId="77777777" w:rsidR="00963042" w:rsidRPr="00092B22" w:rsidRDefault="00963042" w:rsidP="00E607DA">
            <w:pPr>
              <w:jc w:val="right"/>
              <w:rPr>
                <w:rFonts w:ascii="Meta Pro" w:eastAsia="Times New Roman" w:hAnsi="Meta Pro"/>
                <w:szCs w:val="18"/>
                <w:lang w:eastAsia="en-AU"/>
              </w:rPr>
            </w:pPr>
            <w:r w:rsidRPr="00092B22">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42176421" w14:textId="77777777" w:rsidR="00963042" w:rsidRPr="00092B22" w:rsidRDefault="00963042"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16691172" w14:textId="77777777" w:rsidR="00963042" w:rsidRPr="00092B22" w:rsidRDefault="00963042" w:rsidP="00E607DA">
            <w:pPr>
              <w:jc w:val="right"/>
              <w:rPr>
                <w:rFonts w:ascii="Meta Pro" w:eastAsia="Times New Roman" w:hAnsi="Meta Pro" w:cs="Times New Roman"/>
                <w:sz w:val="20"/>
                <w:szCs w:val="20"/>
                <w:lang w:eastAsia="en-AU"/>
              </w:rPr>
            </w:pPr>
          </w:p>
        </w:tc>
      </w:tr>
      <w:tr w:rsidR="00963042" w:rsidRPr="00092B22" w14:paraId="33A084A3" w14:textId="77777777" w:rsidTr="00E607DA">
        <w:trPr>
          <w:trHeight w:val="23"/>
        </w:trPr>
        <w:tc>
          <w:tcPr>
            <w:tcW w:w="6176" w:type="dxa"/>
            <w:tcBorders>
              <w:top w:val="nil"/>
              <w:left w:val="nil"/>
              <w:bottom w:val="nil"/>
              <w:right w:val="nil"/>
            </w:tcBorders>
            <w:shd w:val="clear" w:color="auto" w:fill="auto"/>
            <w:noWrap/>
            <w:vAlign w:val="center"/>
            <w:hideMark/>
          </w:tcPr>
          <w:p w14:paraId="393AA352" w14:textId="77777777" w:rsidR="00963042" w:rsidRPr="00092B22" w:rsidRDefault="00963042" w:rsidP="00E607DA">
            <w:pPr>
              <w:rPr>
                <w:rFonts w:ascii="Meta Pro" w:eastAsia="Times New Roman" w:hAnsi="Meta Pro"/>
                <w:b/>
                <w:bCs/>
                <w:szCs w:val="18"/>
                <w:lang w:eastAsia="en-AU"/>
              </w:rPr>
            </w:pPr>
            <w:r w:rsidRPr="00092B22">
              <w:rPr>
                <w:rFonts w:ascii="Meta Pro" w:eastAsia="Times New Roman" w:hAnsi="Meta Pro"/>
                <w:b/>
                <w:bCs/>
                <w:szCs w:val="18"/>
                <w:lang w:eastAsia="en-AU"/>
              </w:rPr>
              <w:t>Expenses</w:t>
            </w:r>
          </w:p>
        </w:tc>
        <w:tc>
          <w:tcPr>
            <w:tcW w:w="1036" w:type="dxa"/>
            <w:tcBorders>
              <w:top w:val="nil"/>
              <w:left w:val="nil"/>
              <w:bottom w:val="nil"/>
              <w:right w:val="nil"/>
            </w:tcBorders>
            <w:shd w:val="clear" w:color="auto" w:fill="auto"/>
            <w:noWrap/>
            <w:vAlign w:val="center"/>
            <w:hideMark/>
          </w:tcPr>
          <w:p w14:paraId="199853D0" w14:textId="77777777" w:rsidR="00963042" w:rsidRPr="00092B22" w:rsidRDefault="00963042" w:rsidP="00E607DA">
            <w:pPr>
              <w:rPr>
                <w:rFonts w:ascii="Meta Pro" w:eastAsia="Times New Roman" w:hAnsi="Meta Pro"/>
                <w:b/>
                <w:bCs/>
                <w:szCs w:val="18"/>
                <w:lang w:eastAsia="en-AU"/>
              </w:rPr>
            </w:pPr>
          </w:p>
        </w:tc>
        <w:tc>
          <w:tcPr>
            <w:tcW w:w="1156" w:type="dxa"/>
            <w:tcBorders>
              <w:top w:val="nil"/>
              <w:left w:val="nil"/>
              <w:bottom w:val="nil"/>
              <w:right w:val="nil"/>
            </w:tcBorders>
            <w:shd w:val="clear" w:color="000000" w:fill="C9E3B4"/>
            <w:noWrap/>
            <w:vAlign w:val="center"/>
            <w:hideMark/>
          </w:tcPr>
          <w:p w14:paraId="03D40FEF" w14:textId="77777777" w:rsidR="00963042" w:rsidRPr="00092B22" w:rsidRDefault="00963042" w:rsidP="00E607DA">
            <w:pPr>
              <w:rPr>
                <w:rFonts w:ascii="Meta Pro" w:eastAsia="Times New Roman" w:hAnsi="Meta Pro"/>
                <w:szCs w:val="18"/>
                <w:lang w:eastAsia="en-AU"/>
              </w:rPr>
            </w:pPr>
            <w:r w:rsidRPr="00092B22">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7973EE3B" w14:textId="77777777" w:rsidR="00963042" w:rsidRPr="00092B22" w:rsidRDefault="00963042" w:rsidP="00E607DA">
            <w:pPr>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6F87464A" w14:textId="77777777" w:rsidR="00963042" w:rsidRPr="00092B22" w:rsidRDefault="00963042" w:rsidP="00E607DA">
            <w:pPr>
              <w:jc w:val="right"/>
              <w:rPr>
                <w:rFonts w:ascii="Meta Pro" w:eastAsia="Times New Roman" w:hAnsi="Meta Pro" w:cs="Times New Roman"/>
                <w:sz w:val="20"/>
                <w:szCs w:val="20"/>
                <w:lang w:eastAsia="en-AU"/>
              </w:rPr>
            </w:pPr>
          </w:p>
        </w:tc>
      </w:tr>
      <w:tr w:rsidR="00963042" w:rsidRPr="00092B22" w14:paraId="34F9A973" w14:textId="77777777" w:rsidTr="00E607DA">
        <w:trPr>
          <w:trHeight w:val="23"/>
        </w:trPr>
        <w:tc>
          <w:tcPr>
            <w:tcW w:w="6176" w:type="dxa"/>
            <w:tcBorders>
              <w:top w:val="nil"/>
              <w:left w:val="nil"/>
              <w:bottom w:val="nil"/>
              <w:right w:val="nil"/>
            </w:tcBorders>
            <w:shd w:val="clear" w:color="auto" w:fill="auto"/>
            <w:noWrap/>
            <w:vAlign w:val="center"/>
            <w:hideMark/>
          </w:tcPr>
          <w:p w14:paraId="300D2F84" w14:textId="77777777" w:rsidR="00963042" w:rsidRPr="00092B22" w:rsidRDefault="00963042" w:rsidP="00E607DA">
            <w:pPr>
              <w:rPr>
                <w:rFonts w:ascii="Meta Pro" w:eastAsia="Times New Roman" w:hAnsi="Meta Pro"/>
                <w:szCs w:val="18"/>
                <w:lang w:eastAsia="en-AU"/>
              </w:rPr>
            </w:pPr>
            <w:r w:rsidRPr="00092B22">
              <w:rPr>
                <w:rFonts w:ascii="Meta Pro" w:eastAsia="Times New Roman" w:hAnsi="Meta Pro"/>
                <w:szCs w:val="18"/>
                <w:lang w:eastAsia="en-AU"/>
              </w:rPr>
              <w:t>Depreciation</w:t>
            </w:r>
          </w:p>
        </w:tc>
        <w:tc>
          <w:tcPr>
            <w:tcW w:w="1036" w:type="dxa"/>
            <w:tcBorders>
              <w:top w:val="nil"/>
              <w:left w:val="nil"/>
              <w:bottom w:val="single" w:sz="4" w:space="0" w:color="auto"/>
              <w:right w:val="nil"/>
            </w:tcBorders>
            <w:shd w:val="clear" w:color="auto" w:fill="auto"/>
            <w:noWrap/>
            <w:vAlign w:val="center"/>
            <w:hideMark/>
          </w:tcPr>
          <w:p w14:paraId="04E4ADAE" w14:textId="77777777" w:rsidR="00963042" w:rsidRPr="00092B22" w:rsidRDefault="00963042" w:rsidP="00E607DA">
            <w:pPr>
              <w:jc w:val="center"/>
              <w:rPr>
                <w:rFonts w:ascii="Meta Pro" w:eastAsia="Times New Roman" w:hAnsi="Meta Pro"/>
                <w:szCs w:val="18"/>
                <w:lang w:eastAsia="en-AU"/>
              </w:rPr>
            </w:pPr>
            <w:r w:rsidRPr="00092B22">
              <w:rPr>
                <w:rFonts w:ascii="Meta Pro" w:eastAsia="Times New Roman" w:hAnsi="Meta Pro"/>
                <w:szCs w:val="18"/>
                <w:lang w:eastAsia="en-AU"/>
              </w:rPr>
              <w:t>10</w:t>
            </w:r>
          </w:p>
        </w:tc>
        <w:tc>
          <w:tcPr>
            <w:tcW w:w="1156" w:type="dxa"/>
            <w:tcBorders>
              <w:top w:val="nil"/>
              <w:left w:val="nil"/>
              <w:bottom w:val="nil"/>
              <w:right w:val="nil"/>
            </w:tcBorders>
            <w:shd w:val="clear" w:color="000000" w:fill="C9E3B4"/>
            <w:noWrap/>
            <w:vAlign w:val="center"/>
            <w:hideMark/>
          </w:tcPr>
          <w:p w14:paraId="53E78DB4" w14:textId="77777777" w:rsidR="00963042" w:rsidRPr="00092B22" w:rsidRDefault="0096304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509 </w:t>
            </w:r>
          </w:p>
        </w:tc>
        <w:tc>
          <w:tcPr>
            <w:tcW w:w="216" w:type="dxa"/>
            <w:tcBorders>
              <w:top w:val="nil"/>
              <w:left w:val="nil"/>
              <w:bottom w:val="nil"/>
              <w:right w:val="nil"/>
            </w:tcBorders>
            <w:shd w:val="clear" w:color="auto" w:fill="auto"/>
            <w:noWrap/>
            <w:vAlign w:val="center"/>
            <w:hideMark/>
          </w:tcPr>
          <w:p w14:paraId="753413A5" w14:textId="77777777" w:rsidR="00963042" w:rsidRPr="00092B22" w:rsidRDefault="00963042"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69E2984D" w14:textId="77777777" w:rsidR="00963042" w:rsidRPr="00092B22" w:rsidRDefault="0096304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604 </w:t>
            </w:r>
          </w:p>
        </w:tc>
      </w:tr>
      <w:tr w:rsidR="00963042" w:rsidRPr="00092B22" w14:paraId="3729AF74" w14:textId="77777777" w:rsidTr="00E607DA">
        <w:trPr>
          <w:trHeight w:val="23"/>
        </w:trPr>
        <w:tc>
          <w:tcPr>
            <w:tcW w:w="6176" w:type="dxa"/>
            <w:tcBorders>
              <w:top w:val="single" w:sz="4" w:space="0" w:color="auto"/>
              <w:left w:val="nil"/>
              <w:bottom w:val="double" w:sz="6" w:space="0" w:color="auto"/>
              <w:right w:val="nil"/>
            </w:tcBorders>
            <w:shd w:val="clear" w:color="auto" w:fill="auto"/>
            <w:noWrap/>
            <w:vAlign w:val="center"/>
            <w:hideMark/>
          </w:tcPr>
          <w:p w14:paraId="68E674B2" w14:textId="77777777" w:rsidR="00963042" w:rsidRPr="00092B22" w:rsidRDefault="00963042" w:rsidP="00E607DA">
            <w:pPr>
              <w:rPr>
                <w:rFonts w:ascii="Meta Pro" w:eastAsia="Times New Roman" w:hAnsi="Meta Pro"/>
                <w:b/>
                <w:bCs/>
                <w:szCs w:val="18"/>
                <w:lang w:eastAsia="en-AU"/>
              </w:rPr>
            </w:pPr>
            <w:r w:rsidRPr="00092B22">
              <w:rPr>
                <w:rFonts w:ascii="Meta Pro" w:eastAsia="Times New Roman" w:hAnsi="Meta Pro"/>
                <w:b/>
                <w:bCs/>
                <w:szCs w:val="18"/>
                <w:lang w:eastAsia="en-AU"/>
              </w:rPr>
              <w:t>Net impact on operating result</w:t>
            </w:r>
          </w:p>
        </w:tc>
        <w:tc>
          <w:tcPr>
            <w:tcW w:w="1036" w:type="dxa"/>
            <w:tcBorders>
              <w:top w:val="nil"/>
              <w:left w:val="nil"/>
              <w:bottom w:val="double" w:sz="6" w:space="0" w:color="auto"/>
              <w:right w:val="nil"/>
            </w:tcBorders>
            <w:shd w:val="clear" w:color="auto" w:fill="auto"/>
            <w:noWrap/>
            <w:vAlign w:val="center"/>
            <w:hideMark/>
          </w:tcPr>
          <w:p w14:paraId="6C17BB49" w14:textId="77777777" w:rsidR="00963042" w:rsidRPr="00092B22" w:rsidRDefault="00963042" w:rsidP="00E607DA">
            <w:pPr>
              <w:jc w:val="center"/>
              <w:rPr>
                <w:rFonts w:ascii="Meta Pro" w:eastAsia="Times New Roman" w:hAnsi="Meta Pro"/>
                <w:szCs w:val="18"/>
                <w:lang w:eastAsia="en-AU"/>
              </w:rPr>
            </w:pPr>
            <w:r w:rsidRPr="00092B22">
              <w:rPr>
                <w:rFonts w:ascii="Meta Pro" w:eastAsia="Times New Roman" w:hAnsi="Meta Pro"/>
                <w:szCs w:val="18"/>
                <w:lang w:eastAsia="en-AU"/>
              </w:rPr>
              <w:t> </w:t>
            </w:r>
          </w:p>
        </w:tc>
        <w:tc>
          <w:tcPr>
            <w:tcW w:w="1156" w:type="dxa"/>
            <w:tcBorders>
              <w:top w:val="single" w:sz="4" w:space="0" w:color="auto"/>
              <w:left w:val="nil"/>
              <w:bottom w:val="double" w:sz="6" w:space="0" w:color="auto"/>
              <w:right w:val="nil"/>
            </w:tcBorders>
            <w:shd w:val="clear" w:color="000000" w:fill="C9E3B4"/>
            <w:noWrap/>
            <w:vAlign w:val="center"/>
            <w:hideMark/>
          </w:tcPr>
          <w:p w14:paraId="6578CB90" w14:textId="77777777" w:rsidR="00963042" w:rsidRPr="00092B22" w:rsidRDefault="00963042"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(35)</w:t>
            </w:r>
          </w:p>
        </w:tc>
        <w:tc>
          <w:tcPr>
            <w:tcW w:w="216" w:type="dxa"/>
            <w:tcBorders>
              <w:top w:val="single" w:sz="4" w:space="0" w:color="auto"/>
              <w:left w:val="nil"/>
              <w:bottom w:val="double" w:sz="6" w:space="0" w:color="auto"/>
              <w:right w:val="nil"/>
            </w:tcBorders>
            <w:shd w:val="clear" w:color="auto" w:fill="auto"/>
            <w:noWrap/>
            <w:vAlign w:val="center"/>
            <w:hideMark/>
          </w:tcPr>
          <w:p w14:paraId="662650D1" w14:textId="77777777" w:rsidR="00963042" w:rsidRPr="00092B22" w:rsidRDefault="00963042" w:rsidP="00E607DA">
            <w:pPr>
              <w:jc w:val="right"/>
              <w:rPr>
                <w:rFonts w:ascii="Meta Pro" w:eastAsia="Times New Roman" w:hAnsi="Meta Pro"/>
                <w:szCs w:val="18"/>
                <w:lang w:eastAsia="en-AU"/>
              </w:rPr>
            </w:pPr>
            <w:r w:rsidRPr="00092B22">
              <w:rPr>
                <w:rFonts w:ascii="Meta Pro" w:eastAsia="Times New Roman" w:hAnsi="Meta Pro"/>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66F74547" w14:textId="77777777" w:rsidR="00963042" w:rsidRPr="00092B22" w:rsidRDefault="00963042"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(130)</w:t>
            </w:r>
          </w:p>
        </w:tc>
      </w:tr>
    </w:tbl>
    <w:p w14:paraId="553CB5E1" w14:textId="77777777" w:rsidR="00963042" w:rsidRPr="00092B22" w:rsidRDefault="00963042" w:rsidP="00963042">
      <w:pPr>
        <w:rPr>
          <w:rFonts w:ascii="Meta Pro" w:eastAsia="Times New Roman" w:hAnsi="Meta Pro"/>
          <w:szCs w:val="18"/>
          <w:lang w:eastAsia="en-AU"/>
        </w:rPr>
      </w:pPr>
    </w:p>
    <w:p w14:paraId="151A502F" w14:textId="77777777" w:rsidR="00963042" w:rsidRPr="00092B22" w:rsidRDefault="00963042" w:rsidP="00963042">
      <w:pPr>
        <w:spacing w:after="120"/>
        <w:rPr>
          <w:rFonts w:ascii="Meta Pro" w:eastAsia="Times New Roman" w:hAnsi="Meta Pro"/>
          <w:b/>
          <w:bCs/>
          <w:szCs w:val="18"/>
          <w:lang w:eastAsia="en-AU"/>
        </w:rPr>
      </w:pPr>
      <w:r w:rsidRPr="00092B22">
        <w:rPr>
          <w:rFonts w:ascii="Meta Pro" w:eastAsia="Times New Roman" w:hAnsi="Meta Pro"/>
          <w:b/>
          <w:bCs/>
          <w:szCs w:val="18"/>
          <w:lang w:eastAsia="en-AU"/>
        </w:rPr>
        <w:t>Brisbane Airport Rail Link (Airtrain)</w:t>
      </w:r>
    </w:p>
    <w:p w14:paraId="2D82CD94" w14:textId="77777777" w:rsidR="00963042" w:rsidRPr="00092B22" w:rsidRDefault="00963042" w:rsidP="00963042">
      <w:pPr>
        <w:spacing w:after="120"/>
        <w:rPr>
          <w:rFonts w:ascii="Meta Pro" w:eastAsia="Times New Roman" w:hAnsi="Meta Pro"/>
          <w:szCs w:val="18"/>
          <w:lang w:eastAsia="en-AU"/>
        </w:rPr>
      </w:pPr>
      <w:r w:rsidRPr="00092B22">
        <w:rPr>
          <w:rFonts w:ascii="Meta Pro" w:eastAsia="Times New Roman" w:hAnsi="Meta Pro"/>
          <w:szCs w:val="18"/>
          <w:lang w:eastAsia="en-AU"/>
        </w:rPr>
        <w:t>In 1998, the state entered into a 35 year concession arrangement with Airtrain Citylink Limited to design, construct, maintain and operate the Brisbane Airport Rail Link (BARL), a public passenger rail system connecting the Queensland Rail City network to the Brisbane Domestic and International Airports. The BARL is currently in the maintain and operate phase of the agreement after the commencement of operations on 7 May 2001.</w:t>
      </w:r>
    </w:p>
    <w:p w14:paraId="0E156A94" w14:textId="77777777" w:rsidR="00963042" w:rsidRPr="00092B22" w:rsidRDefault="00963042" w:rsidP="00963042">
      <w:pPr>
        <w:spacing w:after="120"/>
        <w:rPr>
          <w:rFonts w:ascii="Meta Pro" w:eastAsia="Times New Roman" w:hAnsi="Meta Pro"/>
          <w:szCs w:val="18"/>
          <w:lang w:eastAsia="en-AU"/>
        </w:rPr>
      </w:pPr>
      <w:r w:rsidRPr="00092B22">
        <w:rPr>
          <w:rFonts w:ascii="Meta Pro" w:eastAsia="Times New Roman" w:hAnsi="Meta Pro"/>
          <w:szCs w:val="18"/>
          <w:lang w:eastAsia="en-AU"/>
        </w:rPr>
        <w:t>In return for collecting passenger fares, Airtrain Citylink Limited must maintain, operate and manage the rail link for the period of the concession and also assume the demand and patronage risk for the concession period.</w:t>
      </w:r>
      <w:r w:rsidRPr="00092B22">
        <w:rPr>
          <w:rFonts w:ascii="Meta Pro" w:eastAsia="Times New Roman" w:hAnsi="Meta Pro"/>
          <w:szCs w:val="18"/>
          <w:lang w:eastAsia="en-AU"/>
        </w:rPr>
        <w:tab/>
      </w:r>
    </w:p>
    <w:p w14:paraId="66A67200" w14:textId="77777777" w:rsidR="00963042" w:rsidRPr="00092B22" w:rsidRDefault="00963042" w:rsidP="00963042">
      <w:pPr>
        <w:spacing w:after="120"/>
        <w:rPr>
          <w:rFonts w:ascii="Meta Pro" w:hAnsi="Meta Pro" w:cstheme="minorBidi"/>
        </w:rPr>
      </w:pPr>
      <w:r w:rsidRPr="00092B22">
        <w:rPr>
          <w:rFonts w:ascii="Meta Pro" w:eastAsia="Times New Roman" w:hAnsi="Meta Pro"/>
          <w:szCs w:val="18"/>
          <w:lang w:eastAsia="en-AU"/>
        </w:rPr>
        <w:t>At the expiry of the concession period the department will retain ownership of the rail system.</w:t>
      </w:r>
    </w:p>
    <w:tbl>
      <w:tblPr>
        <w:tblW w:w="0" w:type="auto"/>
        <w:tblCellMar>
          <w:left w:w="0" w:type="dxa"/>
        </w:tblCellMar>
        <w:tblLook w:val="04A0" w:firstRow="1" w:lastRow="0" w:firstColumn="1" w:lastColumn="0" w:noHBand="0" w:noVBand="1"/>
      </w:tblPr>
      <w:tblGrid>
        <w:gridCol w:w="6090"/>
        <w:gridCol w:w="1030"/>
        <w:gridCol w:w="1148"/>
        <w:gridCol w:w="222"/>
        <w:gridCol w:w="1148"/>
      </w:tblGrid>
      <w:tr w:rsidR="00963042" w:rsidRPr="00092B22" w14:paraId="10E2F7BB" w14:textId="77777777" w:rsidTr="00E607DA">
        <w:trPr>
          <w:trHeight w:val="23"/>
        </w:trPr>
        <w:tc>
          <w:tcPr>
            <w:tcW w:w="6176" w:type="dxa"/>
            <w:tcBorders>
              <w:top w:val="nil"/>
              <w:left w:val="nil"/>
              <w:bottom w:val="nil"/>
              <w:right w:val="nil"/>
            </w:tcBorders>
            <w:shd w:val="clear" w:color="auto" w:fill="auto"/>
            <w:noWrap/>
            <w:vAlign w:val="center"/>
            <w:hideMark/>
          </w:tcPr>
          <w:p w14:paraId="1A7059B8" w14:textId="77777777" w:rsidR="00963042" w:rsidRPr="00092B22" w:rsidRDefault="00963042" w:rsidP="00E607DA">
            <w:pPr>
              <w:rPr>
                <w:rFonts w:ascii="Meta Pro" w:eastAsia="Times New Roman" w:hAnsi="Meta Pro"/>
                <w:b/>
                <w:bCs/>
                <w:szCs w:val="18"/>
                <w:lang w:eastAsia="en-AU"/>
              </w:rPr>
            </w:pPr>
            <w:r w:rsidRPr="00092B22">
              <w:rPr>
                <w:rFonts w:ascii="Meta Pro" w:eastAsia="Times New Roman" w:hAnsi="Meta Pro"/>
                <w:b/>
                <w:bCs/>
                <w:szCs w:val="18"/>
                <w:lang w:eastAsia="en-AU"/>
              </w:rPr>
              <w:t>Operating statement impact</w:t>
            </w:r>
          </w:p>
        </w:tc>
        <w:tc>
          <w:tcPr>
            <w:tcW w:w="1036" w:type="dxa"/>
            <w:tcBorders>
              <w:top w:val="nil"/>
              <w:left w:val="nil"/>
              <w:bottom w:val="nil"/>
              <w:right w:val="nil"/>
            </w:tcBorders>
            <w:shd w:val="clear" w:color="auto" w:fill="auto"/>
            <w:noWrap/>
            <w:vAlign w:val="center"/>
            <w:hideMark/>
          </w:tcPr>
          <w:p w14:paraId="632EBB03" w14:textId="77777777" w:rsidR="00963042" w:rsidRPr="00092B22" w:rsidRDefault="00963042" w:rsidP="00E607DA">
            <w:pPr>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12C953C2" w14:textId="77777777" w:rsidR="00963042" w:rsidRPr="00092B22" w:rsidRDefault="00963042" w:rsidP="00E607DA">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509F0202" w14:textId="77777777" w:rsidR="00963042" w:rsidRPr="00092B22" w:rsidRDefault="00963042" w:rsidP="00E607DA">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7F1CD9F8" w14:textId="77777777" w:rsidR="00963042" w:rsidRPr="00092B22" w:rsidRDefault="00963042" w:rsidP="00E607DA">
            <w:pPr>
              <w:jc w:val="right"/>
              <w:rPr>
                <w:rFonts w:ascii="Meta Pro" w:eastAsia="Times New Roman" w:hAnsi="Meta Pro" w:cs="Times New Roman"/>
                <w:sz w:val="20"/>
                <w:szCs w:val="20"/>
                <w:lang w:eastAsia="en-AU"/>
              </w:rPr>
            </w:pPr>
          </w:p>
        </w:tc>
      </w:tr>
      <w:tr w:rsidR="00963042" w:rsidRPr="00092B22" w14:paraId="7C1D0D48" w14:textId="77777777" w:rsidTr="00E607DA">
        <w:trPr>
          <w:trHeight w:val="23"/>
        </w:trPr>
        <w:tc>
          <w:tcPr>
            <w:tcW w:w="6176" w:type="dxa"/>
            <w:tcBorders>
              <w:top w:val="nil"/>
              <w:left w:val="nil"/>
              <w:bottom w:val="nil"/>
              <w:right w:val="nil"/>
            </w:tcBorders>
            <w:shd w:val="clear" w:color="auto" w:fill="auto"/>
            <w:noWrap/>
            <w:vAlign w:val="center"/>
            <w:hideMark/>
          </w:tcPr>
          <w:p w14:paraId="6E46857E" w14:textId="77777777" w:rsidR="00963042" w:rsidRPr="00092B22" w:rsidRDefault="00963042" w:rsidP="00E607DA">
            <w:pPr>
              <w:rPr>
                <w:rFonts w:ascii="Meta Pro" w:eastAsia="Times New Roman" w:hAnsi="Meta Pro"/>
                <w:b/>
                <w:bCs/>
                <w:szCs w:val="18"/>
                <w:lang w:eastAsia="en-AU"/>
              </w:rPr>
            </w:pPr>
            <w:r w:rsidRPr="00092B22">
              <w:rPr>
                <w:rFonts w:ascii="Meta Pro" w:eastAsia="Times New Roman" w:hAnsi="Meta Pro"/>
                <w:b/>
                <w:bCs/>
                <w:szCs w:val="18"/>
                <w:lang w:eastAsia="en-AU"/>
              </w:rPr>
              <w:t>Revenue</w:t>
            </w:r>
          </w:p>
        </w:tc>
        <w:tc>
          <w:tcPr>
            <w:tcW w:w="1036" w:type="dxa"/>
            <w:tcBorders>
              <w:top w:val="nil"/>
              <w:left w:val="nil"/>
              <w:bottom w:val="nil"/>
              <w:right w:val="nil"/>
            </w:tcBorders>
            <w:shd w:val="clear" w:color="auto" w:fill="auto"/>
            <w:noWrap/>
            <w:vAlign w:val="center"/>
            <w:hideMark/>
          </w:tcPr>
          <w:p w14:paraId="227C1455" w14:textId="77777777" w:rsidR="00963042" w:rsidRPr="00092B22" w:rsidRDefault="00963042" w:rsidP="00E607DA">
            <w:pPr>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0D24C78A" w14:textId="77777777" w:rsidR="00963042" w:rsidRPr="00092B22" w:rsidRDefault="00963042" w:rsidP="00E607DA">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5707B79F" w14:textId="77777777" w:rsidR="00963042" w:rsidRPr="00092B22" w:rsidRDefault="00963042" w:rsidP="00E607DA">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5E1C3B55" w14:textId="77777777" w:rsidR="00963042" w:rsidRPr="00092B22" w:rsidRDefault="00963042" w:rsidP="00E607DA">
            <w:pPr>
              <w:jc w:val="right"/>
              <w:rPr>
                <w:rFonts w:ascii="Meta Pro" w:eastAsia="Times New Roman" w:hAnsi="Meta Pro" w:cs="Times New Roman"/>
                <w:sz w:val="20"/>
                <w:szCs w:val="20"/>
                <w:lang w:eastAsia="en-AU"/>
              </w:rPr>
            </w:pPr>
          </w:p>
        </w:tc>
      </w:tr>
      <w:tr w:rsidR="00963042" w:rsidRPr="00092B22" w14:paraId="2CEF3C67" w14:textId="77777777" w:rsidTr="00E607DA">
        <w:trPr>
          <w:trHeight w:val="23"/>
        </w:trPr>
        <w:tc>
          <w:tcPr>
            <w:tcW w:w="6176" w:type="dxa"/>
            <w:tcBorders>
              <w:top w:val="nil"/>
              <w:left w:val="nil"/>
              <w:bottom w:val="nil"/>
              <w:right w:val="nil"/>
            </w:tcBorders>
            <w:shd w:val="clear" w:color="auto" w:fill="auto"/>
            <w:noWrap/>
            <w:vAlign w:val="center"/>
            <w:hideMark/>
          </w:tcPr>
          <w:p w14:paraId="01938875" w14:textId="77777777" w:rsidR="00963042" w:rsidRPr="00092B22" w:rsidRDefault="00963042" w:rsidP="00E607DA">
            <w:pPr>
              <w:rPr>
                <w:rFonts w:ascii="Meta Pro" w:eastAsia="Times New Roman" w:hAnsi="Meta Pro"/>
                <w:szCs w:val="18"/>
                <w:lang w:eastAsia="en-AU"/>
              </w:rPr>
            </w:pPr>
            <w:r w:rsidRPr="00092B22">
              <w:rPr>
                <w:rFonts w:ascii="Meta Pro" w:eastAsia="Times New Roman" w:hAnsi="Meta Pro"/>
                <w:szCs w:val="18"/>
                <w:lang w:eastAsia="en-AU"/>
              </w:rPr>
              <w:t xml:space="preserve">Amortisation of unearned revenue </w:t>
            </w:r>
          </w:p>
        </w:tc>
        <w:tc>
          <w:tcPr>
            <w:tcW w:w="1036" w:type="dxa"/>
            <w:tcBorders>
              <w:top w:val="nil"/>
              <w:left w:val="nil"/>
              <w:bottom w:val="nil"/>
              <w:right w:val="nil"/>
            </w:tcBorders>
            <w:shd w:val="clear" w:color="auto" w:fill="auto"/>
            <w:noWrap/>
            <w:vAlign w:val="center"/>
            <w:hideMark/>
          </w:tcPr>
          <w:p w14:paraId="13E6A961" w14:textId="77777777" w:rsidR="00963042" w:rsidRPr="00092B22" w:rsidRDefault="00963042" w:rsidP="00E607DA">
            <w:pPr>
              <w:rPr>
                <w:rFonts w:ascii="Meta Pro" w:eastAsia="Times New Roman" w:hAnsi="Meta Pro"/>
                <w:szCs w:val="18"/>
                <w:lang w:eastAsia="en-AU"/>
              </w:rPr>
            </w:pPr>
          </w:p>
        </w:tc>
        <w:tc>
          <w:tcPr>
            <w:tcW w:w="1156" w:type="dxa"/>
            <w:tcBorders>
              <w:top w:val="nil"/>
              <w:left w:val="nil"/>
              <w:bottom w:val="nil"/>
              <w:right w:val="nil"/>
            </w:tcBorders>
            <w:shd w:val="clear" w:color="000000" w:fill="C9E3B4"/>
            <w:noWrap/>
            <w:vAlign w:val="center"/>
            <w:hideMark/>
          </w:tcPr>
          <w:p w14:paraId="12FC9C8C" w14:textId="77777777" w:rsidR="00963042" w:rsidRPr="00092B22" w:rsidRDefault="0096304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9,160 </w:t>
            </w:r>
          </w:p>
        </w:tc>
        <w:tc>
          <w:tcPr>
            <w:tcW w:w="216" w:type="dxa"/>
            <w:tcBorders>
              <w:top w:val="nil"/>
              <w:left w:val="nil"/>
              <w:bottom w:val="nil"/>
              <w:right w:val="nil"/>
            </w:tcBorders>
            <w:shd w:val="clear" w:color="auto" w:fill="auto"/>
            <w:noWrap/>
            <w:vAlign w:val="center"/>
            <w:hideMark/>
          </w:tcPr>
          <w:p w14:paraId="000E6F95" w14:textId="77777777" w:rsidR="00963042" w:rsidRPr="00092B22" w:rsidRDefault="00963042"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44DB5240" w14:textId="77777777" w:rsidR="00963042" w:rsidRPr="00092B22" w:rsidRDefault="0096304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9,160 </w:t>
            </w:r>
          </w:p>
        </w:tc>
      </w:tr>
      <w:tr w:rsidR="00963042" w:rsidRPr="00092B22" w14:paraId="00496292" w14:textId="77777777" w:rsidTr="00E607DA">
        <w:trPr>
          <w:trHeight w:val="23"/>
        </w:trPr>
        <w:tc>
          <w:tcPr>
            <w:tcW w:w="6176" w:type="dxa"/>
            <w:tcBorders>
              <w:top w:val="nil"/>
              <w:left w:val="nil"/>
              <w:bottom w:val="nil"/>
              <w:right w:val="nil"/>
            </w:tcBorders>
            <w:shd w:val="clear" w:color="auto" w:fill="auto"/>
            <w:noWrap/>
            <w:vAlign w:val="center"/>
            <w:hideMark/>
          </w:tcPr>
          <w:p w14:paraId="70ED0E70" w14:textId="77777777" w:rsidR="00963042" w:rsidRPr="00092B22" w:rsidRDefault="00963042" w:rsidP="00E607DA">
            <w:pPr>
              <w:jc w:val="right"/>
              <w:rPr>
                <w:rFonts w:ascii="Meta Pro" w:eastAsia="Times New Roman" w:hAnsi="Meta Pro"/>
                <w:szCs w:val="18"/>
                <w:lang w:eastAsia="en-AU"/>
              </w:rPr>
            </w:pPr>
          </w:p>
        </w:tc>
        <w:tc>
          <w:tcPr>
            <w:tcW w:w="1036" w:type="dxa"/>
            <w:tcBorders>
              <w:top w:val="nil"/>
              <w:left w:val="nil"/>
              <w:bottom w:val="nil"/>
              <w:right w:val="nil"/>
            </w:tcBorders>
            <w:shd w:val="clear" w:color="auto" w:fill="auto"/>
            <w:noWrap/>
            <w:vAlign w:val="center"/>
            <w:hideMark/>
          </w:tcPr>
          <w:p w14:paraId="514FC26B" w14:textId="77777777" w:rsidR="00963042" w:rsidRPr="00092B22" w:rsidRDefault="00963042" w:rsidP="00E607DA">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000000" w:fill="C9E3B4"/>
            <w:noWrap/>
            <w:vAlign w:val="center"/>
            <w:hideMark/>
          </w:tcPr>
          <w:p w14:paraId="7BE253B7" w14:textId="77777777" w:rsidR="00963042" w:rsidRPr="00092B22" w:rsidRDefault="00963042" w:rsidP="00E607DA">
            <w:pPr>
              <w:jc w:val="right"/>
              <w:rPr>
                <w:rFonts w:ascii="Meta Pro" w:eastAsia="Times New Roman" w:hAnsi="Meta Pro"/>
                <w:szCs w:val="18"/>
                <w:lang w:eastAsia="en-AU"/>
              </w:rPr>
            </w:pPr>
            <w:r w:rsidRPr="00092B22">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34B2934F" w14:textId="77777777" w:rsidR="00963042" w:rsidRPr="00092B22" w:rsidRDefault="00963042"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41CA130B" w14:textId="77777777" w:rsidR="00963042" w:rsidRPr="00092B22" w:rsidRDefault="00963042" w:rsidP="00E607DA">
            <w:pPr>
              <w:jc w:val="right"/>
              <w:rPr>
                <w:rFonts w:ascii="Meta Pro" w:eastAsia="Times New Roman" w:hAnsi="Meta Pro" w:cs="Times New Roman"/>
                <w:sz w:val="20"/>
                <w:szCs w:val="20"/>
                <w:lang w:eastAsia="en-AU"/>
              </w:rPr>
            </w:pPr>
          </w:p>
        </w:tc>
      </w:tr>
      <w:tr w:rsidR="00963042" w:rsidRPr="00092B22" w14:paraId="3C84F530" w14:textId="77777777" w:rsidTr="00E607DA">
        <w:trPr>
          <w:trHeight w:val="23"/>
        </w:trPr>
        <w:tc>
          <w:tcPr>
            <w:tcW w:w="6176" w:type="dxa"/>
            <w:tcBorders>
              <w:top w:val="nil"/>
              <w:left w:val="nil"/>
              <w:bottom w:val="nil"/>
              <w:right w:val="nil"/>
            </w:tcBorders>
            <w:shd w:val="clear" w:color="auto" w:fill="auto"/>
            <w:noWrap/>
            <w:vAlign w:val="center"/>
            <w:hideMark/>
          </w:tcPr>
          <w:p w14:paraId="1A5718CA" w14:textId="77777777" w:rsidR="00963042" w:rsidRPr="00092B22" w:rsidRDefault="00963042" w:rsidP="00E607DA">
            <w:pPr>
              <w:rPr>
                <w:rFonts w:ascii="Meta Pro" w:eastAsia="Times New Roman" w:hAnsi="Meta Pro"/>
                <w:b/>
                <w:bCs/>
                <w:szCs w:val="18"/>
                <w:lang w:eastAsia="en-AU"/>
              </w:rPr>
            </w:pPr>
            <w:r w:rsidRPr="00092B22">
              <w:rPr>
                <w:rFonts w:ascii="Meta Pro" w:eastAsia="Times New Roman" w:hAnsi="Meta Pro"/>
                <w:b/>
                <w:bCs/>
                <w:szCs w:val="18"/>
                <w:lang w:eastAsia="en-AU"/>
              </w:rPr>
              <w:t>Expenses</w:t>
            </w:r>
          </w:p>
        </w:tc>
        <w:tc>
          <w:tcPr>
            <w:tcW w:w="1036" w:type="dxa"/>
            <w:tcBorders>
              <w:top w:val="nil"/>
              <w:left w:val="nil"/>
              <w:bottom w:val="nil"/>
              <w:right w:val="nil"/>
            </w:tcBorders>
            <w:shd w:val="clear" w:color="auto" w:fill="auto"/>
            <w:noWrap/>
            <w:vAlign w:val="center"/>
            <w:hideMark/>
          </w:tcPr>
          <w:p w14:paraId="1A5EB522" w14:textId="77777777" w:rsidR="00963042" w:rsidRPr="00092B22" w:rsidRDefault="00963042" w:rsidP="00E607DA">
            <w:pPr>
              <w:rPr>
                <w:rFonts w:ascii="Meta Pro" w:eastAsia="Times New Roman" w:hAnsi="Meta Pro"/>
                <w:b/>
                <w:bCs/>
                <w:szCs w:val="18"/>
                <w:lang w:eastAsia="en-AU"/>
              </w:rPr>
            </w:pPr>
          </w:p>
        </w:tc>
        <w:tc>
          <w:tcPr>
            <w:tcW w:w="1156" w:type="dxa"/>
            <w:tcBorders>
              <w:top w:val="nil"/>
              <w:left w:val="nil"/>
              <w:bottom w:val="nil"/>
              <w:right w:val="nil"/>
            </w:tcBorders>
            <w:shd w:val="clear" w:color="000000" w:fill="C9E3B4"/>
            <w:noWrap/>
            <w:vAlign w:val="center"/>
            <w:hideMark/>
          </w:tcPr>
          <w:p w14:paraId="3E57A097" w14:textId="77777777" w:rsidR="00963042" w:rsidRPr="00092B22" w:rsidRDefault="00963042" w:rsidP="00E607DA">
            <w:pPr>
              <w:rPr>
                <w:rFonts w:ascii="Meta Pro" w:eastAsia="Times New Roman" w:hAnsi="Meta Pro"/>
                <w:szCs w:val="18"/>
                <w:lang w:eastAsia="en-AU"/>
              </w:rPr>
            </w:pPr>
            <w:r w:rsidRPr="00092B22">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42B89894" w14:textId="77777777" w:rsidR="00963042" w:rsidRPr="00092B22" w:rsidRDefault="00963042" w:rsidP="00E607DA">
            <w:pPr>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3EC23C02" w14:textId="77777777" w:rsidR="00963042" w:rsidRPr="00092B22" w:rsidRDefault="00963042" w:rsidP="00E607DA">
            <w:pPr>
              <w:jc w:val="right"/>
              <w:rPr>
                <w:rFonts w:ascii="Meta Pro" w:eastAsia="Times New Roman" w:hAnsi="Meta Pro" w:cs="Times New Roman"/>
                <w:sz w:val="20"/>
                <w:szCs w:val="20"/>
                <w:lang w:eastAsia="en-AU"/>
              </w:rPr>
            </w:pPr>
          </w:p>
        </w:tc>
      </w:tr>
      <w:tr w:rsidR="00963042" w:rsidRPr="00092B22" w14:paraId="7F0FCDCF" w14:textId="77777777" w:rsidTr="00E607DA">
        <w:trPr>
          <w:trHeight w:val="23"/>
        </w:trPr>
        <w:tc>
          <w:tcPr>
            <w:tcW w:w="6176" w:type="dxa"/>
            <w:tcBorders>
              <w:top w:val="nil"/>
              <w:left w:val="nil"/>
              <w:bottom w:val="nil"/>
              <w:right w:val="nil"/>
            </w:tcBorders>
            <w:shd w:val="clear" w:color="auto" w:fill="auto"/>
            <w:noWrap/>
            <w:vAlign w:val="center"/>
            <w:hideMark/>
          </w:tcPr>
          <w:p w14:paraId="53BF11D2" w14:textId="77777777" w:rsidR="00963042" w:rsidRPr="00092B22" w:rsidRDefault="00963042" w:rsidP="00E607DA">
            <w:pPr>
              <w:rPr>
                <w:rFonts w:ascii="Meta Pro" w:eastAsia="Times New Roman" w:hAnsi="Meta Pro"/>
                <w:szCs w:val="18"/>
                <w:lang w:eastAsia="en-AU"/>
              </w:rPr>
            </w:pPr>
            <w:r w:rsidRPr="00092B22">
              <w:rPr>
                <w:rFonts w:ascii="Meta Pro" w:eastAsia="Times New Roman" w:hAnsi="Meta Pro"/>
                <w:szCs w:val="18"/>
                <w:lang w:eastAsia="en-AU"/>
              </w:rPr>
              <w:t>Depreciation</w:t>
            </w:r>
          </w:p>
        </w:tc>
        <w:tc>
          <w:tcPr>
            <w:tcW w:w="1036" w:type="dxa"/>
            <w:tcBorders>
              <w:top w:val="nil"/>
              <w:left w:val="nil"/>
              <w:bottom w:val="single" w:sz="4" w:space="0" w:color="auto"/>
              <w:right w:val="nil"/>
            </w:tcBorders>
            <w:shd w:val="clear" w:color="auto" w:fill="auto"/>
            <w:noWrap/>
            <w:vAlign w:val="center"/>
            <w:hideMark/>
          </w:tcPr>
          <w:p w14:paraId="641B87E5" w14:textId="77777777" w:rsidR="00963042" w:rsidRPr="00092B22" w:rsidRDefault="00963042" w:rsidP="00E607DA">
            <w:pPr>
              <w:jc w:val="center"/>
              <w:rPr>
                <w:rFonts w:ascii="Meta Pro" w:eastAsia="Times New Roman" w:hAnsi="Meta Pro"/>
                <w:szCs w:val="18"/>
                <w:lang w:eastAsia="en-AU"/>
              </w:rPr>
            </w:pPr>
            <w:r w:rsidRPr="00092B22">
              <w:rPr>
                <w:rFonts w:ascii="Meta Pro" w:eastAsia="Times New Roman" w:hAnsi="Meta Pro"/>
                <w:szCs w:val="18"/>
                <w:lang w:eastAsia="en-AU"/>
              </w:rPr>
              <w:t>10</w:t>
            </w:r>
          </w:p>
        </w:tc>
        <w:tc>
          <w:tcPr>
            <w:tcW w:w="1156" w:type="dxa"/>
            <w:tcBorders>
              <w:top w:val="nil"/>
              <w:left w:val="nil"/>
              <w:bottom w:val="nil"/>
              <w:right w:val="nil"/>
            </w:tcBorders>
            <w:shd w:val="clear" w:color="000000" w:fill="C9E3B4"/>
            <w:noWrap/>
            <w:vAlign w:val="center"/>
            <w:hideMark/>
          </w:tcPr>
          <w:p w14:paraId="0F393788" w14:textId="77777777" w:rsidR="00963042" w:rsidRPr="00092B22" w:rsidRDefault="0096304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5,881 </w:t>
            </w:r>
          </w:p>
        </w:tc>
        <w:tc>
          <w:tcPr>
            <w:tcW w:w="216" w:type="dxa"/>
            <w:tcBorders>
              <w:top w:val="nil"/>
              <w:left w:val="nil"/>
              <w:bottom w:val="nil"/>
              <w:right w:val="nil"/>
            </w:tcBorders>
            <w:shd w:val="clear" w:color="auto" w:fill="auto"/>
            <w:noWrap/>
            <w:vAlign w:val="center"/>
            <w:hideMark/>
          </w:tcPr>
          <w:p w14:paraId="21141FFE" w14:textId="77777777" w:rsidR="00963042" w:rsidRPr="00092B22" w:rsidRDefault="00963042"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1C1C26F9" w14:textId="77777777" w:rsidR="00963042" w:rsidRPr="00092B22" w:rsidRDefault="0096304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5,675 </w:t>
            </w:r>
          </w:p>
        </w:tc>
      </w:tr>
      <w:tr w:rsidR="00963042" w:rsidRPr="00092B22" w14:paraId="09474777" w14:textId="77777777" w:rsidTr="00E607DA">
        <w:trPr>
          <w:trHeight w:val="23"/>
        </w:trPr>
        <w:tc>
          <w:tcPr>
            <w:tcW w:w="6176" w:type="dxa"/>
            <w:tcBorders>
              <w:top w:val="single" w:sz="4" w:space="0" w:color="auto"/>
              <w:left w:val="nil"/>
              <w:bottom w:val="double" w:sz="6" w:space="0" w:color="auto"/>
              <w:right w:val="nil"/>
            </w:tcBorders>
            <w:shd w:val="clear" w:color="auto" w:fill="auto"/>
            <w:noWrap/>
            <w:vAlign w:val="center"/>
            <w:hideMark/>
          </w:tcPr>
          <w:p w14:paraId="1C57769D" w14:textId="77777777" w:rsidR="00963042" w:rsidRPr="00092B22" w:rsidRDefault="00963042" w:rsidP="00E607DA">
            <w:pPr>
              <w:rPr>
                <w:rFonts w:ascii="Meta Pro" w:eastAsia="Times New Roman" w:hAnsi="Meta Pro"/>
                <w:b/>
                <w:bCs/>
                <w:szCs w:val="18"/>
                <w:lang w:eastAsia="en-AU"/>
              </w:rPr>
            </w:pPr>
            <w:r w:rsidRPr="00092B22">
              <w:rPr>
                <w:rFonts w:ascii="Meta Pro" w:eastAsia="Times New Roman" w:hAnsi="Meta Pro"/>
                <w:b/>
                <w:bCs/>
                <w:szCs w:val="18"/>
                <w:lang w:eastAsia="en-AU"/>
              </w:rPr>
              <w:t>Net impact on operating result</w:t>
            </w:r>
          </w:p>
        </w:tc>
        <w:tc>
          <w:tcPr>
            <w:tcW w:w="1036" w:type="dxa"/>
            <w:tcBorders>
              <w:top w:val="nil"/>
              <w:left w:val="nil"/>
              <w:bottom w:val="double" w:sz="6" w:space="0" w:color="auto"/>
              <w:right w:val="nil"/>
            </w:tcBorders>
            <w:shd w:val="clear" w:color="auto" w:fill="auto"/>
            <w:noWrap/>
            <w:vAlign w:val="center"/>
            <w:hideMark/>
          </w:tcPr>
          <w:p w14:paraId="626E149D" w14:textId="77777777" w:rsidR="00963042" w:rsidRPr="00092B22" w:rsidRDefault="00963042" w:rsidP="00E607DA">
            <w:pPr>
              <w:jc w:val="center"/>
              <w:rPr>
                <w:rFonts w:ascii="Meta Pro" w:eastAsia="Times New Roman" w:hAnsi="Meta Pro"/>
                <w:szCs w:val="18"/>
                <w:lang w:eastAsia="en-AU"/>
              </w:rPr>
            </w:pPr>
            <w:r w:rsidRPr="00092B22">
              <w:rPr>
                <w:rFonts w:ascii="Meta Pro" w:eastAsia="Times New Roman" w:hAnsi="Meta Pro"/>
                <w:szCs w:val="18"/>
                <w:lang w:eastAsia="en-AU"/>
              </w:rPr>
              <w:t> </w:t>
            </w:r>
          </w:p>
        </w:tc>
        <w:tc>
          <w:tcPr>
            <w:tcW w:w="1156" w:type="dxa"/>
            <w:tcBorders>
              <w:top w:val="single" w:sz="4" w:space="0" w:color="auto"/>
              <w:left w:val="nil"/>
              <w:bottom w:val="double" w:sz="6" w:space="0" w:color="auto"/>
              <w:right w:val="nil"/>
            </w:tcBorders>
            <w:shd w:val="clear" w:color="000000" w:fill="C9E3B4"/>
            <w:noWrap/>
            <w:vAlign w:val="center"/>
            <w:hideMark/>
          </w:tcPr>
          <w:p w14:paraId="3419B1FD" w14:textId="77777777" w:rsidR="00963042" w:rsidRPr="00092B22" w:rsidRDefault="00963042"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3,279 </w:t>
            </w:r>
          </w:p>
        </w:tc>
        <w:tc>
          <w:tcPr>
            <w:tcW w:w="216" w:type="dxa"/>
            <w:tcBorders>
              <w:top w:val="single" w:sz="4" w:space="0" w:color="auto"/>
              <w:left w:val="nil"/>
              <w:bottom w:val="double" w:sz="6" w:space="0" w:color="auto"/>
              <w:right w:val="nil"/>
            </w:tcBorders>
            <w:shd w:val="clear" w:color="auto" w:fill="auto"/>
            <w:noWrap/>
            <w:vAlign w:val="center"/>
            <w:hideMark/>
          </w:tcPr>
          <w:p w14:paraId="58CE006A" w14:textId="77777777" w:rsidR="00963042" w:rsidRPr="00092B22" w:rsidRDefault="00963042" w:rsidP="00E607DA">
            <w:pPr>
              <w:jc w:val="right"/>
              <w:rPr>
                <w:rFonts w:ascii="Meta Pro" w:eastAsia="Times New Roman" w:hAnsi="Meta Pro"/>
                <w:szCs w:val="18"/>
                <w:lang w:eastAsia="en-AU"/>
              </w:rPr>
            </w:pPr>
            <w:r w:rsidRPr="00092B22">
              <w:rPr>
                <w:rFonts w:ascii="Meta Pro" w:eastAsia="Times New Roman" w:hAnsi="Meta Pro"/>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71F2C39D" w14:textId="77777777" w:rsidR="00963042" w:rsidRPr="00092B22" w:rsidRDefault="00963042"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3,485 </w:t>
            </w:r>
          </w:p>
        </w:tc>
      </w:tr>
    </w:tbl>
    <w:p w14:paraId="0E8D433A" w14:textId="77777777" w:rsidR="00963042" w:rsidRDefault="00963042" w:rsidP="00963042">
      <w:pPr>
        <w:spacing w:after="120"/>
        <w:rPr>
          <w:rFonts w:ascii="Meta Pro" w:eastAsia="Times New Roman" w:hAnsi="Meta Pro"/>
          <w:szCs w:val="18"/>
          <w:lang w:eastAsia="en-AU"/>
        </w:rPr>
      </w:pPr>
    </w:p>
    <w:p w14:paraId="5C58B4E0" w14:textId="77777777" w:rsidR="00963042" w:rsidRPr="00092B22" w:rsidRDefault="00963042" w:rsidP="00963042">
      <w:pPr>
        <w:spacing w:after="120"/>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PUBLIC PRIVATE PARTNERSHIPS OUTSIDE OF THE SCOPE OF AASB 1059</w:t>
      </w:r>
    </w:p>
    <w:p w14:paraId="521FE70A" w14:textId="77777777" w:rsidR="00963042" w:rsidRPr="00092B22" w:rsidRDefault="00963042" w:rsidP="00963042">
      <w:pPr>
        <w:spacing w:after="120"/>
        <w:rPr>
          <w:rFonts w:ascii="Meta Pro" w:eastAsia="Times New Roman" w:hAnsi="Meta Pro"/>
          <w:b/>
          <w:bCs/>
          <w:szCs w:val="18"/>
          <w:lang w:eastAsia="en-AU"/>
        </w:rPr>
      </w:pPr>
      <w:r w:rsidRPr="00092B22">
        <w:rPr>
          <w:rFonts w:ascii="Meta Pro" w:eastAsia="Times New Roman" w:hAnsi="Meta Pro"/>
          <w:b/>
          <w:bCs/>
          <w:szCs w:val="18"/>
          <w:lang w:eastAsia="en-AU"/>
        </w:rPr>
        <w:t>New Generation Rollingstock (NGR)</w:t>
      </w:r>
    </w:p>
    <w:p w14:paraId="2CEF5987" w14:textId="77777777" w:rsidR="00963042" w:rsidRPr="00092B22" w:rsidRDefault="00963042" w:rsidP="00963042">
      <w:pPr>
        <w:spacing w:after="120"/>
        <w:rPr>
          <w:rFonts w:ascii="Meta Pro" w:eastAsia="Times New Roman" w:hAnsi="Meta Pro"/>
          <w:szCs w:val="18"/>
          <w:lang w:eastAsia="en-AU"/>
        </w:rPr>
      </w:pPr>
      <w:r w:rsidRPr="00092B22">
        <w:rPr>
          <w:rFonts w:ascii="Meta Pro" w:eastAsia="Times New Roman" w:hAnsi="Meta Pro"/>
          <w:szCs w:val="18"/>
          <w:lang w:eastAsia="en-AU"/>
        </w:rPr>
        <w:t xml:space="preserve">In January 2014 the department entered into a contractual arrangement with NGR Project Company Pty Ltd (Bombardier NGR Consortium) for the design, construction and maintenance of 75 new six-car train sets for south-east Queensland and a new purpose-built maintenance centre at Wulkuraka in Ipswich, over 32 years at an implicit rate of 12.21%. The arrangement involves </w:t>
      </w:r>
      <w:r w:rsidRPr="00092B22">
        <w:rPr>
          <w:rFonts w:ascii="Meta Pro" w:eastAsia="Times New Roman" w:hAnsi="Meta Pro"/>
          <w:szCs w:val="18"/>
          <w:lang w:eastAsia="en-AU"/>
        </w:rPr>
        <w:lastRenderedPageBreak/>
        <w:t>the department paying the consortium a series of availability payments over the concession period. The project was refinanced from July 2021 to a floating interest rate. The interest rates for 2021–22 ranged from 5.90% to 6.12%. Alstom acquired Bombardier Transportation in January 2021.</w:t>
      </w:r>
    </w:p>
    <w:p w14:paraId="754A6349" w14:textId="77777777" w:rsidR="00963042" w:rsidRPr="00092B22" w:rsidRDefault="00963042" w:rsidP="00963042">
      <w:pPr>
        <w:spacing w:after="120"/>
        <w:rPr>
          <w:rFonts w:ascii="Meta Pro" w:eastAsia="Times New Roman" w:hAnsi="Meta Pro"/>
          <w:szCs w:val="18"/>
          <w:lang w:eastAsia="en-AU"/>
        </w:rPr>
      </w:pPr>
      <w:r w:rsidRPr="00092B22">
        <w:rPr>
          <w:rFonts w:ascii="Meta Pro" w:eastAsia="Times New Roman" w:hAnsi="Meta Pro"/>
          <w:szCs w:val="18"/>
          <w:lang w:eastAsia="en-AU"/>
        </w:rPr>
        <w:t>In June 2016 the maintenance centre was accepted by the department and a lease asset and lease liability was recognised. All 75 train sets were accepted and recognised by December 2019.</w:t>
      </w:r>
    </w:p>
    <w:p w14:paraId="41CFE028" w14:textId="77777777" w:rsidR="00963042" w:rsidRPr="00092B22" w:rsidRDefault="00963042" w:rsidP="00963042">
      <w:pPr>
        <w:spacing w:after="120"/>
        <w:rPr>
          <w:rFonts w:ascii="Meta Pro" w:eastAsia="Times New Roman" w:hAnsi="Meta Pro"/>
          <w:szCs w:val="18"/>
          <w:lang w:eastAsia="en-AU"/>
        </w:rPr>
      </w:pPr>
      <w:r w:rsidRPr="00092B22">
        <w:rPr>
          <w:rFonts w:ascii="Meta Pro" w:eastAsia="Times New Roman" w:hAnsi="Meta Pro"/>
          <w:szCs w:val="18"/>
          <w:lang w:eastAsia="en-AU"/>
        </w:rPr>
        <w:t xml:space="preserve">Upon the application of AASB 1059 </w:t>
      </w:r>
      <w:r w:rsidRPr="00092B22">
        <w:rPr>
          <w:rFonts w:ascii="Meta Pro" w:eastAsia="Times New Roman" w:hAnsi="Meta Pro"/>
          <w:i/>
          <w:iCs/>
          <w:szCs w:val="18"/>
          <w:lang w:eastAsia="en-AU"/>
        </w:rPr>
        <w:t>Service Concession Arrangements: Grantors</w:t>
      </w:r>
      <w:r w:rsidRPr="00092B22">
        <w:rPr>
          <w:rFonts w:ascii="Meta Pro" w:eastAsia="Times New Roman" w:hAnsi="Meta Pro"/>
          <w:szCs w:val="18"/>
          <w:lang w:eastAsia="en-AU"/>
        </w:rPr>
        <w:t>, the NGR public private partnership was assessed and determined to be out of scope of the accounting standard, as the provider of the assets does not operate or manage the passenger train services provided by the train sets. Accordingly, the department accounts for the arrangement as an outsourced service contract with the payment stream representing availability payments and borrowing repayments.</w:t>
      </w:r>
    </w:p>
    <w:p w14:paraId="5CC9F774" w14:textId="5ED72317" w:rsidR="00F65618" w:rsidRDefault="00963042" w:rsidP="00963042">
      <w:pPr>
        <w:rPr>
          <w:rFonts w:ascii="Meta Pro" w:hAnsi="Meta Pro"/>
          <w:b/>
          <w:bCs/>
          <w:szCs w:val="18"/>
          <w:lang w:eastAsia="en-AU"/>
        </w:rPr>
      </w:pPr>
      <w:r w:rsidRPr="00092B22">
        <w:rPr>
          <w:rFonts w:ascii="Meta Pro" w:eastAsia="Times New Roman" w:hAnsi="Meta Pro"/>
          <w:szCs w:val="18"/>
          <w:lang w:eastAsia="en-AU"/>
        </w:rPr>
        <w:t>The train sets are recognised as major plant and equipment assets, while the maintenance centre, associated rail infrastructure and technical equipment are classified as buildings, infrastructure, plant and equipment and work in progress respectively in Note 15.</w:t>
      </w:r>
    </w:p>
    <w:tbl>
      <w:tblPr>
        <w:tblW w:w="0" w:type="auto"/>
        <w:tblLook w:val="04A0" w:firstRow="1" w:lastRow="0" w:firstColumn="1" w:lastColumn="0" w:noHBand="0" w:noVBand="1"/>
      </w:tblPr>
      <w:tblGrid>
        <w:gridCol w:w="6096"/>
        <w:gridCol w:w="992"/>
        <w:gridCol w:w="1134"/>
        <w:gridCol w:w="327"/>
        <w:gridCol w:w="1089"/>
      </w:tblGrid>
      <w:tr w:rsidR="007E3E32" w:rsidRPr="00092B22" w14:paraId="4D5065EC" w14:textId="77777777" w:rsidTr="00E607DA">
        <w:trPr>
          <w:trHeight w:val="240"/>
        </w:trPr>
        <w:tc>
          <w:tcPr>
            <w:tcW w:w="6096" w:type="dxa"/>
            <w:tcBorders>
              <w:top w:val="nil"/>
              <w:left w:val="nil"/>
              <w:bottom w:val="nil"/>
              <w:right w:val="nil"/>
            </w:tcBorders>
            <w:shd w:val="clear" w:color="auto" w:fill="auto"/>
            <w:noWrap/>
            <w:vAlign w:val="center"/>
            <w:hideMark/>
          </w:tcPr>
          <w:p w14:paraId="4ED5FC52" w14:textId="77777777" w:rsidR="007E3E32" w:rsidRPr="00092B22" w:rsidRDefault="007E3E32" w:rsidP="00E607DA">
            <w:pPr>
              <w:spacing w:before="240"/>
              <w:rPr>
                <w:rFonts w:ascii="Meta Pro" w:eastAsia="Times New Roman" w:hAnsi="Meta Pro" w:cs="Times New Roman"/>
                <w:sz w:val="24"/>
                <w:szCs w:val="24"/>
                <w:lang w:eastAsia="en-AU"/>
              </w:rPr>
            </w:pPr>
          </w:p>
        </w:tc>
        <w:tc>
          <w:tcPr>
            <w:tcW w:w="992" w:type="dxa"/>
            <w:tcBorders>
              <w:top w:val="nil"/>
              <w:left w:val="nil"/>
              <w:bottom w:val="nil"/>
              <w:right w:val="nil"/>
            </w:tcBorders>
            <w:shd w:val="clear" w:color="auto" w:fill="auto"/>
            <w:noWrap/>
            <w:vAlign w:val="center"/>
            <w:hideMark/>
          </w:tcPr>
          <w:p w14:paraId="023DA764" w14:textId="77777777" w:rsidR="007E3E32" w:rsidRPr="00092B22" w:rsidRDefault="007E3E32" w:rsidP="00E607DA">
            <w:pPr>
              <w:spacing w:before="240"/>
              <w:jc w:val="center"/>
              <w:rPr>
                <w:rFonts w:ascii="Meta Pro" w:eastAsia="Times New Roman" w:hAnsi="Meta Pro"/>
                <w:b/>
                <w:bCs/>
                <w:color w:val="000000"/>
                <w:lang w:eastAsia="en-AU"/>
              </w:rPr>
            </w:pPr>
            <w:r w:rsidRPr="00092B22">
              <w:rPr>
                <w:rFonts w:ascii="Meta Pro" w:eastAsia="Times New Roman" w:hAnsi="Meta Pro"/>
                <w:b/>
                <w:bCs/>
                <w:color w:val="000000"/>
                <w:lang w:eastAsia="en-AU"/>
              </w:rPr>
              <w:t>Note</w:t>
            </w:r>
          </w:p>
        </w:tc>
        <w:tc>
          <w:tcPr>
            <w:tcW w:w="1134" w:type="dxa"/>
            <w:tcBorders>
              <w:top w:val="nil"/>
              <w:left w:val="nil"/>
              <w:bottom w:val="nil"/>
              <w:right w:val="nil"/>
            </w:tcBorders>
            <w:shd w:val="clear" w:color="auto" w:fill="auto"/>
            <w:noWrap/>
            <w:vAlign w:val="center"/>
            <w:hideMark/>
          </w:tcPr>
          <w:p w14:paraId="124B5364" w14:textId="77777777" w:rsidR="007E3E32" w:rsidRPr="00092B22" w:rsidRDefault="007E3E32" w:rsidP="00E607DA">
            <w:pPr>
              <w:spacing w:before="240"/>
              <w:jc w:val="center"/>
              <w:rPr>
                <w:rFonts w:ascii="Meta Pro" w:eastAsia="Times New Roman" w:hAnsi="Meta Pro"/>
                <w:b/>
                <w:bCs/>
                <w:color w:val="000000"/>
                <w:lang w:eastAsia="en-AU"/>
              </w:rPr>
            </w:pPr>
            <w:r w:rsidRPr="00092B22">
              <w:rPr>
                <w:rFonts w:ascii="Meta Pro" w:eastAsia="Times New Roman" w:hAnsi="Meta Pro"/>
                <w:b/>
                <w:bCs/>
                <w:color w:val="000000"/>
                <w:lang w:eastAsia="en-AU"/>
              </w:rPr>
              <w:t>2022</w:t>
            </w:r>
          </w:p>
        </w:tc>
        <w:tc>
          <w:tcPr>
            <w:tcW w:w="327" w:type="dxa"/>
            <w:tcBorders>
              <w:top w:val="nil"/>
              <w:left w:val="nil"/>
              <w:bottom w:val="nil"/>
              <w:right w:val="nil"/>
            </w:tcBorders>
            <w:shd w:val="clear" w:color="auto" w:fill="auto"/>
            <w:noWrap/>
            <w:vAlign w:val="center"/>
            <w:hideMark/>
          </w:tcPr>
          <w:p w14:paraId="6ECACF50" w14:textId="77777777" w:rsidR="007E3E32" w:rsidRPr="00092B22" w:rsidRDefault="007E3E32" w:rsidP="00E607DA">
            <w:pPr>
              <w:spacing w:before="240"/>
              <w:jc w:val="center"/>
              <w:rPr>
                <w:rFonts w:ascii="Meta Pro" w:eastAsia="Times New Roman" w:hAnsi="Meta Pro"/>
                <w:b/>
                <w:bCs/>
                <w:color w:val="000000"/>
                <w:lang w:eastAsia="en-AU"/>
              </w:rPr>
            </w:pPr>
          </w:p>
        </w:tc>
        <w:tc>
          <w:tcPr>
            <w:tcW w:w="1089" w:type="dxa"/>
            <w:tcBorders>
              <w:top w:val="nil"/>
              <w:left w:val="nil"/>
              <w:bottom w:val="nil"/>
              <w:right w:val="nil"/>
            </w:tcBorders>
            <w:shd w:val="clear" w:color="auto" w:fill="auto"/>
            <w:noWrap/>
            <w:vAlign w:val="center"/>
            <w:hideMark/>
          </w:tcPr>
          <w:p w14:paraId="75801271" w14:textId="77777777" w:rsidR="007E3E32" w:rsidRPr="00092B22" w:rsidRDefault="007E3E32" w:rsidP="00E607DA">
            <w:pPr>
              <w:spacing w:before="240"/>
              <w:jc w:val="center"/>
              <w:rPr>
                <w:rFonts w:ascii="Meta Pro" w:eastAsia="Times New Roman" w:hAnsi="Meta Pro"/>
                <w:b/>
                <w:bCs/>
                <w:lang w:eastAsia="en-AU"/>
              </w:rPr>
            </w:pPr>
            <w:r w:rsidRPr="00092B22">
              <w:rPr>
                <w:rFonts w:ascii="Meta Pro" w:eastAsia="Times New Roman" w:hAnsi="Meta Pro"/>
                <w:b/>
                <w:bCs/>
                <w:lang w:eastAsia="en-AU"/>
              </w:rPr>
              <w:t>2021</w:t>
            </w:r>
          </w:p>
        </w:tc>
      </w:tr>
      <w:tr w:rsidR="007E3E32" w:rsidRPr="00092B22" w14:paraId="23754AA7" w14:textId="77777777" w:rsidTr="00E607DA">
        <w:trPr>
          <w:trHeight w:val="240"/>
        </w:trPr>
        <w:tc>
          <w:tcPr>
            <w:tcW w:w="6096" w:type="dxa"/>
            <w:tcBorders>
              <w:top w:val="nil"/>
              <w:left w:val="nil"/>
              <w:bottom w:val="nil"/>
              <w:right w:val="nil"/>
            </w:tcBorders>
            <w:shd w:val="clear" w:color="auto" w:fill="auto"/>
            <w:noWrap/>
            <w:vAlign w:val="center"/>
            <w:hideMark/>
          </w:tcPr>
          <w:p w14:paraId="2062E5BA" w14:textId="77777777" w:rsidR="007E3E32" w:rsidRPr="00092B22" w:rsidRDefault="007E3E32" w:rsidP="00E607DA">
            <w:pPr>
              <w:jc w:val="center"/>
              <w:rPr>
                <w:rFonts w:ascii="Meta Pro" w:eastAsia="Times New Roman" w:hAnsi="Meta Pro"/>
                <w:b/>
                <w:bCs/>
                <w:lang w:eastAsia="en-AU"/>
              </w:rPr>
            </w:pPr>
          </w:p>
        </w:tc>
        <w:tc>
          <w:tcPr>
            <w:tcW w:w="992" w:type="dxa"/>
            <w:tcBorders>
              <w:top w:val="nil"/>
              <w:left w:val="nil"/>
              <w:bottom w:val="nil"/>
              <w:right w:val="nil"/>
            </w:tcBorders>
            <w:shd w:val="clear" w:color="auto" w:fill="auto"/>
            <w:noWrap/>
            <w:vAlign w:val="center"/>
            <w:hideMark/>
          </w:tcPr>
          <w:p w14:paraId="0D13E5FE" w14:textId="77777777" w:rsidR="007E3E32" w:rsidRPr="00092B22" w:rsidRDefault="007E3E32" w:rsidP="00E607DA">
            <w:pP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4F6AF772" w14:textId="77777777" w:rsidR="007E3E32" w:rsidRPr="00092B22" w:rsidRDefault="007E3E32" w:rsidP="00E607DA">
            <w:pPr>
              <w:jc w:val="center"/>
              <w:rPr>
                <w:rFonts w:ascii="Meta Pro" w:eastAsia="Times New Roman" w:hAnsi="Meta Pro"/>
                <w:b/>
                <w:bCs/>
                <w:lang w:eastAsia="en-AU"/>
              </w:rPr>
            </w:pPr>
            <w:r w:rsidRPr="00092B22">
              <w:rPr>
                <w:rFonts w:ascii="Meta Pro" w:eastAsia="Times New Roman" w:hAnsi="Meta Pro"/>
                <w:b/>
                <w:bCs/>
                <w:lang w:eastAsia="en-AU"/>
              </w:rPr>
              <w:t>$'000</w:t>
            </w:r>
          </w:p>
        </w:tc>
        <w:tc>
          <w:tcPr>
            <w:tcW w:w="327" w:type="dxa"/>
            <w:tcBorders>
              <w:top w:val="nil"/>
              <w:left w:val="nil"/>
              <w:bottom w:val="nil"/>
              <w:right w:val="nil"/>
            </w:tcBorders>
            <w:shd w:val="clear" w:color="auto" w:fill="auto"/>
            <w:noWrap/>
            <w:vAlign w:val="center"/>
            <w:hideMark/>
          </w:tcPr>
          <w:p w14:paraId="55A3B6C4" w14:textId="77777777" w:rsidR="007E3E32" w:rsidRPr="00092B22" w:rsidRDefault="007E3E32" w:rsidP="00E607DA">
            <w:pPr>
              <w:jc w:val="center"/>
              <w:rPr>
                <w:rFonts w:ascii="Meta Pro" w:eastAsia="Times New Roman" w:hAnsi="Meta Pro"/>
                <w:b/>
                <w:bCs/>
                <w:lang w:eastAsia="en-AU"/>
              </w:rPr>
            </w:pPr>
          </w:p>
        </w:tc>
        <w:tc>
          <w:tcPr>
            <w:tcW w:w="1089" w:type="dxa"/>
            <w:tcBorders>
              <w:top w:val="nil"/>
              <w:left w:val="nil"/>
              <w:bottom w:val="nil"/>
              <w:right w:val="nil"/>
            </w:tcBorders>
            <w:shd w:val="clear" w:color="auto" w:fill="auto"/>
            <w:noWrap/>
            <w:vAlign w:val="center"/>
            <w:hideMark/>
          </w:tcPr>
          <w:p w14:paraId="04A75BB1" w14:textId="77777777" w:rsidR="007E3E32" w:rsidRPr="00092B22" w:rsidRDefault="007E3E32" w:rsidP="00E607DA">
            <w:pPr>
              <w:jc w:val="center"/>
              <w:rPr>
                <w:rFonts w:ascii="Meta Pro" w:eastAsia="Times New Roman" w:hAnsi="Meta Pro"/>
                <w:b/>
                <w:bCs/>
                <w:lang w:eastAsia="en-AU"/>
              </w:rPr>
            </w:pPr>
            <w:r w:rsidRPr="00092B22">
              <w:rPr>
                <w:rFonts w:ascii="Meta Pro" w:eastAsia="Times New Roman" w:hAnsi="Meta Pro"/>
                <w:b/>
                <w:bCs/>
                <w:lang w:eastAsia="en-AU"/>
              </w:rPr>
              <w:t>$'000</w:t>
            </w:r>
          </w:p>
        </w:tc>
      </w:tr>
    </w:tbl>
    <w:p w14:paraId="65BDA8BB" w14:textId="77777777" w:rsidR="007E3E32" w:rsidRPr="00092B22" w:rsidRDefault="007E3E32" w:rsidP="007E3E32">
      <w:pPr>
        <w:spacing w:after="120" w:line="259" w:lineRule="auto"/>
        <w:rPr>
          <w:rFonts w:ascii="Meta Pro" w:hAnsi="Meta Pro"/>
          <w:b/>
          <w:bCs/>
          <w:lang w:eastAsia="en-AU"/>
        </w:rPr>
      </w:pPr>
      <w:r w:rsidRPr="00092B22">
        <w:rPr>
          <w:rFonts w:ascii="Meta Pro" w:hAnsi="Meta Pro"/>
          <w:b/>
          <w:bCs/>
          <w:lang w:eastAsia="en-AU"/>
        </w:rPr>
        <w:t>16      PUBLIC PRIVATE PARTNERSHIPS (continued)</w:t>
      </w:r>
    </w:p>
    <w:p w14:paraId="37FEF363" w14:textId="77777777" w:rsidR="007E3E32" w:rsidRPr="00092B22" w:rsidRDefault="007E3E32" w:rsidP="007E3E32">
      <w:pPr>
        <w:spacing w:after="120" w:line="259" w:lineRule="auto"/>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PUBLIC PRIVATE PARTNERSHIPS OUTSIDE OF THE SCOPE OF AASB 1059 (continued)</w:t>
      </w:r>
    </w:p>
    <w:p w14:paraId="4ACBF48E" w14:textId="77777777" w:rsidR="007E3E32" w:rsidRPr="00092B22" w:rsidRDefault="007E3E32" w:rsidP="007E3E32">
      <w:pPr>
        <w:spacing w:after="120"/>
        <w:rPr>
          <w:rFonts w:ascii="Meta Pro" w:eastAsia="Times New Roman" w:hAnsi="Meta Pro"/>
          <w:b/>
          <w:bCs/>
          <w:szCs w:val="18"/>
          <w:lang w:eastAsia="en-AU"/>
        </w:rPr>
      </w:pPr>
      <w:r w:rsidRPr="00092B22">
        <w:rPr>
          <w:rFonts w:ascii="Meta Pro" w:eastAsia="Times New Roman" w:hAnsi="Meta Pro"/>
          <w:b/>
          <w:bCs/>
          <w:szCs w:val="18"/>
          <w:lang w:eastAsia="en-AU"/>
        </w:rPr>
        <w:t>New Generation Rollingstock (NGR) (continued)</w:t>
      </w:r>
    </w:p>
    <w:tbl>
      <w:tblPr>
        <w:tblW w:w="0" w:type="auto"/>
        <w:tblCellMar>
          <w:left w:w="0" w:type="dxa"/>
        </w:tblCellMar>
        <w:tblLook w:val="04A0" w:firstRow="1" w:lastRow="0" w:firstColumn="1" w:lastColumn="0" w:noHBand="0" w:noVBand="1"/>
      </w:tblPr>
      <w:tblGrid>
        <w:gridCol w:w="6090"/>
        <w:gridCol w:w="1030"/>
        <w:gridCol w:w="1148"/>
        <w:gridCol w:w="222"/>
        <w:gridCol w:w="1148"/>
      </w:tblGrid>
      <w:tr w:rsidR="007E3E32" w:rsidRPr="00092B22" w14:paraId="26DCFDBB" w14:textId="77777777" w:rsidTr="00E607DA">
        <w:trPr>
          <w:trHeight w:val="23"/>
        </w:trPr>
        <w:tc>
          <w:tcPr>
            <w:tcW w:w="6176" w:type="dxa"/>
            <w:tcBorders>
              <w:top w:val="nil"/>
              <w:left w:val="nil"/>
              <w:bottom w:val="nil"/>
              <w:right w:val="nil"/>
            </w:tcBorders>
            <w:shd w:val="clear" w:color="auto" w:fill="auto"/>
            <w:noWrap/>
            <w:vAlign w:val="center"/>
            <w:hideMark/>
          </w:tcPr>
          <w:p w14:paraId="0D71D264" w14:textId="77777777" w:rsidR="007E3E32" w:rsidRPr="00092B22" w:rsidRDefault="007E3E32" w:rsidP="00E607DA">
            <w:pPr>
              <w:rPr>
                <w:rFonts w:ascii="Meta Pro" w:eastAsia="Times New Roman" w:hAnsi="Meta Pro"/>
                <w:b/>
                <w:bCs/>
                <w:szCs w:val="18"/>
                <w:lang w:eastAsia="en-AU"/>
              </w:rPr>
            </w:pPr>
            <w:r w:rsidRPr="00092B22">
              <w:rPr>
                <w:rFonts w:ascii="Meta Pro" w:eastAsia="Times New Roman" w:hAnsi="Meta Pro"/>
                <w:b/>
                <w:bCs/>
                <w:szCs w:val="18"/>
                <w:lang w:eastAsia="en-AU"/>
              </w:rPr>
              <w:t>Assets</w:t>
            </w:r>
          </w:p>
        </w:tc>
        <w:tc>
          <w:tcPr>
            <w:tcW w:w="1036" w:type="dxa"/>
            <w:tcBorders>
              <w:top w:val="nil"/>
              <w:left w:val="nil"/>
              <w:bottom w:val="nil"/>
              <w:right w:val="nil"/>
            </w:tcBorders>
            <w:shd w:val="clear" w:color="auto" w:fill="auto"/>
            <w:noWrap/>
            <w:vAlign w:val="center"/>
            <w:hideMark/>
          </w:tcPr>
          <w:p w14:paraId="62A101E5" w14:textId="77777777" w:rsidR="007E3E32" w:rsidRPr="00092B22" w:rsidRDefault="007E3E32" w:rsidP="00E607DA">
            <w:pPr>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55D2978A" w14:textId="77777777" w:rsidR="007E3E32" w:rsidRPr="00092B22" w:rsidRDefault="007E3E32" w:rsidP="00E607DA">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0B0C71D0" w14:textId="77777777" w:rsidR="007E3E32" w:rsidRPr="00092B22" w:rsidRDefault="007E3E32" w:rsidP="00E607DA">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7776E285" w14:textId="77777777" w:rsidR="007E3E32" w:rsidRPr="00092B22" w:rsidRDefault="007E3E32" w:rsidP="00E607DA">
            <w:pPr>
              <w:jc w:val="right"/>
              <w:rPr>
                <w:rFonts w:ascii="Meta Pro" w:eastAsia="Times New Roman" w:hAnsi="Meta Pro" w:cs="Times New Roman"/>
                <w:sz w:val="20"/>
                <w:szCs w:val="20"/>
                <w:lang w:eastAsia="en-AU"/>
              </w:rPr>
            </w:pPr>
          </w:p>
        </w:tc>
      </w:tr>
      <w:tr w:rsidR="007E3E32" w:rsidRPr="00092B22" w14:paraId="726E83C9" w14:textId="77777777" w:rsidTr="00E607DA">
        <w:trPr>
          <w:trHeight w:val="23"/>
        </w:trPr>
        <w:tc>
          <w:tcPr>
            <w:tcW w:w="6176" w:type="dxa"/>
            <w:tcBorders>
              <w:top w:val="nil"/>
              <w:left w:val="nil"/>
              <w:bottom w:val="nil"/>
              <w:right w:val="nil"/>
            </w:tcBorders>
            <w:shd w:val="clear" w:color="auto" w:fill="auto"/>
            <w:noWrap/>
            <w:vAlign w:val="center"/>
            <w:hideMark/>
          </w:tcPr>
          <w:p w14:paraId="06FEBAB1" w14:textId="77777777" w:rsidR="007E3E32" w:rsidRPr="00092B22" w:rsidRDefault="007E3E32" w:rsidP="00E607DA">
            <w:pPr>
              <w:rPr>
                <w:rFonts w:ascii="Meta Pro" w:eastAsia="Times New Roman" w:hAnsi="Meta Pro"/>
                <w:szCs w:val="18"/>
                <w:lang w:eastAsia="en-AU"/>
              </w:rPr>
            </w:pPr>
            <w:r w:rsidRPr="00092B22">
              <w:rPr>
                <w:rFonts w:ascii="Meta Pro" w:eastAsia="Times New Roman" w:hAnsi="Meta Pro"/>
                <w:szCs w:val="18"/>
                <w:lang w:eastAsia="en-AU"/>
              </w:rPr>
              <w:t>Buildings</w:t>
            </w:r>
          </w:p>
        </w:tc>
        <w:tc>
          <w:tcPr>
            <w:tcW w:w="1036" w:type="dxa"/>
            <w:tcBorders>
              <w:top w:val="nil"/>
              <w:left w:val="nil"/>
              <w:bottom w:val="nil"/>
              <w:right w:val="nil"/>
            </w:tcBorders>
            <w:shd w:val="clear" w:color="auto" w:fill="auto"/>
            <w:noWrap/>
            <w:vAlign w:val="center"/>
            <w:hideMark/>
          </w:tcPr>
          <w:p w14:paraId="754CBDE9" w14:textId="77777777" w:rsidR="007E3E32" w:rsidRPr="00092B22" w:rsidRDefault="007E3E32" w:rsidP="00E607DA">
            <w:pPr>
              <w:rPr>
                <w:rFonts w:ascii="Meta Pro" w:eastAsia="Times New Roman" w:hAnsi="Meta Pro"/>
                <w:szCs w:val="18"/>
                <w:lang w:eastAsia="en-AU"/>
              </w:rPr>
            </w:pPr>
          </w:p>
        </w:tc>
        <w:tc>
          <w:tcPr>
            <w:tcW w:w="1156" w:type="dxa"/>
            <w:tcBorders>
              <w:top w:val="nil"/>
              <w:left w:val="nil"/>
              <w:bottom w:val="nil"/>
              <w:right w:val="nil"/>
            </w:tcBorders>
            <w:shd w:val="clear" w:color="000000" w:fill="C9E3B4"/>
            <w:noWrap/>
            <w:vAlign w:val="center"/>
            <w:hideMark/>
          </w:tcPr>
          <w:p w14:paraId="1C1E9AE5"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174,818 </w:t>
            </w:r>
          </w:p>
        </w:tc>
        <w:tc>
          <w:tcPr>
            <w:tcW w:w="216" w:type="dxa"/>
            <w:tcBorders>
              <w:top w:val="nil"/>
              <w:left w:val="nil"/>
              <w:bottom w:val="nil"/>
              <w:right w:val="nil"/>
            </w:tcBorders>
            <w:shd w:val="clear" w:color="auto" w:fill="auto"/>
            <w:noWrap/>
            <w:vAlign w:val="center"/>
            <w:hideMark/>
          </w:tcPr>
          <w:p w14:paraId="5D28F16C" w14:textId="77777777" w:rsidR="007E3E32" w:rsidRPr="00092B22" w:rsidRDefault="007E3E32"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6C298D9"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166,022 </w:t>
            </w:r>
          </w:p>
        </w:tc>
      </w:tr>
      <w:tr w:rsidR="007E3E32" w:rsidRPr="00092B22" w14:paraId="6F3EE6BA" w14:textId="77777777" w:rsidTr="00E607DA">
        <w:trPr>
          <w:trHeight w:val="23"/>
        </w:trPr>
        <w:tc>
          <w:tcPr>
            <w:tcW w:w="6176" w:type="dxa"/>
            <w:tcBorders>
              <w:top w:val="nil"/>
              <w:left w:val="nil"/>
              <w:bottom w:val="nil"/>
              <w:right w:val="nil"/>
            </w:tcBorders>
            <w:shd w:val="clear" w:color="auto" w:fill="auto"/>
            <w:noWrap/>
            <w:vAlign w:val="center"/>
            <w:hideMark/>
          </w:tcPr>
          <w:p w14:paraId="14C2B6C0" w14:textId="77777777" w:rsidR="007E3E32" w:rsidRPr="00092B22" w:rsidRDefault="007E3E32" w:rsidP="00E607DA">
            <w:pPr>
              <w:rPr>
                <w:rFonts w:ascii="Meta Pro" w:eastAsia="Times New Roman" w:hAnsi="Meta Pro"/>
                <w:szCs w:val="18"/>
                <w:lang w:eastAsia="en-AU"/>
              </w:rPr>
            </w:pPr>
            <w:r w:rsidRPr="00092B22">
              <w:rPr>
                <w:rFonts w:ascii="Meta Pro" w:eastAsia="Times New Roman" w:hAnsi="Meta Pro"/>
                <w:szCs w:val="18"/>
                <w:lang w:eastAsia="en-AU"/>
              </w:rPr>
              <w:t>Major plant and equipment</w:t>
            </w:r>
          </w:p>
        </w:tc>
        <w:tc>
          <w:tcPr>
            <w:tcW w:w="1036" w:type="dxa"/>
            <w:tcBorders>
              <w:top w:val="nil"/>
              <w:left w:val="nil"/>
              <w:bottom w:val="nil"/>
              <w:right w:val="nil"/>
            </w:tcBorders>
            <w:shd w:val="clear" w:color="auto" w:fill="auto"/>
            <w:noWrap/>
            <w:vAlign w:val="center"/>
            <w:hideMark/>
          </w:tcPr>
          <w:p w14:paraId="0CE999A0" w14:textId="77777777" w:rsidR="007E3E32" w:rsidRPr="00092B22" w:rsidRDefault="007E3E32" w:rsidP="00E607DA">
            <w:pPr>
              <w:rPr>
                <w:rFonts w:ascii="Meta Pro" w:eastAsia="Times New Roman" w:hAnsi="Meta Pro"/>
                <w:szCs w:val="18"/>
                <w:lang w:eastAsia="en-AU"/>
              </w:rPr>
            </w:pPr>
          </w:p>
        </w:tc>
        <w:tc>
          <w:tcPr>
            <w:tcW w:w="1156" w:type="dxa"/>
            <w:tcBorders>
              <w:top w:val="nil"/>
              <w:left w:val="nil"/>
              <w:bottom w:val="nil"/>
              <w:right w:val="nil"/>
            </w:tcBorders>
            <w:shd w:val="clear" w:color="000000" w:fill="C9E3B4"/>
            <w:noWrap/>
            <w:vAlign w:val="center"/>
            <w:hideMark/>
          </w:tcPr>
          <w:p w14:paraId="78B7599A"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1,149,491 </w:t>
            </w:r>
          </w:p>
        </w:tc>
        <w:tc>
          <w:tcPr>
            <w:tcW w:w="216" w:type="dxa"/>
            <w:tcBorders>
              <w:top w:val="nil"/>
              <w:left w:val="nil"/>
              <w:bottom w:val="nil"/>
              <w:right w:val="nil"/>
            </w:tcBorders>
            <w:shd w:val="clear" w:color="auto" w:fill="auto"/>
            <w:noWrap/>
            <w:vAlign w:val="center"/>
            <w:hideMark/>
          </w:tcPr>
          <w:p w14:paraId="2CF557EA" w14:textId="77777777" w:rsidR="007E3E32" w:rsidRPr="00092B22" w:rsidRDefault="007E3E32"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5B3A864C"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1,111,413 </w:t>
            </w:r>
          </w:p>
        </w:tc>
      </w:tr>
      <w:tr w:rsidR="007E3E32" w:rsidRPr="00092B22" w14:paraId="5B8A041D" w14:textId="77777777" w:rsidTr="00E607DA">
        <w:trPr>
          <w:trHeight w:val="23"/>
        </w:trPr>
        <w:tc>
          <w:tcPr>
            <w:tcW w:w="6176" w:type="dxa"/>
            <w:tcBorders>
              <w:top w:val="nil"/>
              <w:left w:val="nil"/>
              <w:bottom w:val="nil"/>
              <w:right w:val="nil"/>
            </w:tcBorders>
            <w:shd w:val="clear" w:color="auto" w:fill="auto"/>
            <w:noWrap/>
            <w:vAlign w:val="center"/>
            <w:hideMark/>
          </w:tcPr>
          <w:p w14:paraId="5B265498" w14:textId="77777777" w:rsidR="007E3E32" w:rsidRPr="00092B22" w:rsidRDefault="007E3E32" w:rsidP="00E607DA">
            <w:pPr>
              <w:rPr>
                <w:rFonts w:ascii="Meta Pro" w:eastAsia="Times New Roman" w:hAnsi="Meta Pro"/>
                <w:szCs w:val="18"/>
                <w:lang w:eastAsia="en-AU"/>
              </w:rPr>
            </w:pPr>
            <w:r w:rsidRPr="00092B22">
              <w:rPr>
                <w:rFonts w:ascii="Meta Pro" w:eastAsia="Times New Roman" w:hAnsi="Meta Pro"/>
                <w:szCs w:val="18"/>
                <w:lang w:eastAsia="en-AU"/>
              </w:rPr>
              <w:t>Infrastructure</w:t>
            </w:r>
          </w:p>
        </w:tc>
        <w:tc>
          <w:tcPr>
            <w:tcW w:w="1036" w:type="dxa"/>
            <w:tcBorders>
              <w:top w:val="nil"/>
              <w:left w:val="nil"/>
              <w:bottom w:val="nil"/>
              <w:right w:val="nil"/>
            </w:tcBorders>
            <w:shd w:val="clear" w:color="auto" w:fill="auto"/>
            <w:noWrap/>
            <w:vAlign w:val="center"/>
            <w:hideMark/>
          </w:tcPr>
          <w:p w14:paraId="68884221" w14:textId="77777777" w:rsidR="007E3E32" w:rsidRPr="00092B22" w:rsidRDefault="007E3E32" w:rsidP="00E607DA">
            <w:pPr>
              <w:rPr>
                <w:rFonts w:ascii="Meta Pro" w:eastAsia="Times New Roman" w:hAnsi="Meta Pro"/>
                <w:szCs w:val="18"/>
                <w:lang w:eastAsia="en-AU"/>
              </w:rPr>
            </w:pPr>
          </w:p>
        </w:tc>
        <w:tc>
          <w:tcPr>
            <w:tcW w:w="1156" w:type="dxa"/>
            <w:tcBorders>
              <w:top w:val="nil"/>
              <w:left w:val="nil"/>
              <w:bottom w:val="nil"/>
              <w:right w:val="nil"/>
            </w:tcBorders>
            <w:shd w:val="clear" w:color="000000" w:fill="C9E3B4"/>
            <w:noWrap/>
            <w:vAlign w:val="center"/>
            <w:hideMark/>
          </w:tcPr>
          <w:p w14:paraId="4E5DCFF1"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41,184 </w:t>
            </w:r>
          </w:p>
        </w:tc>
        <w:tc>
          <w:tcPr>
            <w:tcW w:w="216" w:type="dxa"/>
            <w:tcBorders>
              <w:top w:val="nil"/>
              <w:left w:val="nil"/>
              <w:bottom w:val="nil"/>
              <w:right w:val="nil"/>
            </w:tcBorders>
            <w:shd w:val="clear" w:color="auto" w:fill="auto"/>
            <w:noWrap/>
            <w:vAlign w:val="center"/>
            <w:hideMark/>
          </w:tcPr>
          <w:p w14:paraId="7FFF363A" w14:textId="77777777" w:rsidR="007E3E32" w:rsidRPr="00092B22" w:rsidRDefault="007E3E32"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7CD03B90"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37,394 </w:t>
            </w:r>
          </w:p>
        </w:tc>
      </w:tr>
      <w:tr w:rsidR="007E3E32" w:rsidRPr="00092B22" w14:paraId="63C8E447" w14:textId="77777777" w:rsidTr="00E607DA">
        <w:trPr>
          <w:trHeight w:val="23"/>
        </w:trPr>
        <w:tc>
          <w:tcPr>
            <w:tcW w:w="6176" w:type="dxa"/>
            <w:tcBorders>
              <w:top w:val="nil"/>
              <w:left w:val="nil"/>
              <w:bottom w:val="nil"/>
              <w:right w:val="nil"/>
            </w:tcBorders>
            <w:shd w:val="clear" w:color="auto" w:fill="auto"/>
            <w:noWrap/>
            <w:vAlign w:val="center"/>
            <w:hideMark/>
          </w:tcPr>
          <w:p w14:paraId="58CCAFAA" w14:textId="77777777" w:rsidR="007E3E32" w:rsidRPr="00092B22" w:rsidRDefault="007E3E32" w:rsidP="00E607DA">
            <w:pPr>
              <w:rPr>
                <w:rFonts w:ascii="Meta Pro" w:eastAsia="Times New Roman" w:hAnsi="Meta Pro"/>
                <w:szCs w:val="18"/>
                <w:lang w:eastAsia="en-AU"/>
              </w:rPr>
            </w:pPr>
            <w:r w:rsidRPr="00092B22">
              <w:rPr>
                <w:rFonts w:ascii="Meta Pro" w:eastAsia="Times New Roman" w:hAnsi="Meta Pro"/>
                <w:szCs w:val="18"/>
                <w:lang w:eastAsia="en-AU"/>
              </w:rPr>
              <w:t>Plant and equipment</w:t>
            </w:r>
          </w:p>
        </w:tc>
        <w:tc>
          <w:tcPr>
            <w:tcW w:w="1036" w:type="dxa"/>
            <w:tcBorders>
              <w:top w:val="nil"/>
              <w:left w:val="nil"/>
              <w:bottom w:val="nil"/>
              <w:right w:val="nil"/>
            </w:tcBorders>
            <w:shd w:val="clear" w:color="auto" w:fill="auto"/>
            <w:noWrap/>
            <w:vAlign w:val="center"/>
            <w:hideMark/>
          </w:tcPr>
          <w:p w14:paraId="3F7BF283" w14:textId="77777777" w:rsidR="007E3E32" w:rsidRPr="00092B22" w:rsidRDefault="007E3E32" w:rsidP="00E607DA">
            <w:pPr>
              <w:rPr>
                <w:rFonts w:ascii="Meta Pro" w:eastAsia="Times New Roman" w:hAnsi="Meta Pro"/>
                <w:szCs w:val="18"/>
                <w:lang w:eastAsia="en-AU"/>
              </w:rPr>
            </w:pPr>
          </w:p>
        </w:tc>
        <w:tc>
          <w:tcPr>
            <w:tcW w:w="1156" w:type="dxa"/>
            <w:tcBorders>
              <w:top w:val="nil"/>
              <w:left w:val="nil"/>
              <w:bottom w:val="nil"/>
              <w:right w:val="nil"/>
            </w:tcBorders>
            <w:shd w:val="clear" w:color="000000" w:fill="C9E3B4"/>
            <w:noWrap/>
            <w:vAlign w:val="center"/>
            <w:hideMark/>
          </w:tcPr>
          <w:p w14:paraId="111358B2"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11,531 </w:t>
            </w:r>
          </w:p>
        </w:tc>
        <w:tc>
          <w:tcPr>
            <w:tcW w:w="216" w:type="dxa"/>
            <w:tcBorders>
              <w:top w:val="nil"/>
              <w:left w:val="nil"/>
              <w:bottom w:val="nil"/>
              <w:right w:val="nil"/>
            </w:tcBorders>
            <w:shd w:val="clear" w:color="auto" w:fill="auto"/>
            <w:noWrap/>
            <w:vAlign w:val="center"/>
            <w:hideMark/>
          </w:tcPr>
          <w:p w14:paraId="2E3E549F" w14:textId="77777777" w:rsidR="007E3E32" w:rsidRPr="00092B22" w:rsidRDefault="007E3E32"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284114D4"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13,488 </w:t>
            </w:r>
          </w:p>
        </w:tc>
      </w:tr>
      <w:tr w:rsidR="007E3E32" w:rsidRPr="00092B22" w14:paraId="25146292" w14:textId="77777777" w:rsidTr="00E607DA">
        <w:trPr>
          <w:trHeight w:val="23"/>
        </w:trPr>
        <w:tc>
          <w:tcPr>
            <w:tcW w:w="6176" w:type="dxa"/>
            <w:tcBorders>
              <w:top w:val="nil"/>
              <w:left w:val="nil"/>
              <w:bottom w:val="nil"/>
              <w:right w:val="nil"/>
            </w:tcBorders>
            <w:shd w:val="clear" w:color="auto" w:fill="auto"/>
            <w:noWrap/>
            <w:vAlign w:val="center"/>
            <w:hideMark/>
          </w:tcPr>
          <w:p w14:paraId="2CEA5AC6" w14:textId="77777777" w:rsidR="007E3E32" w:rsidRPr="00092B22" w:rsidRDefault="007E3E32" w:rsidP="00E607DA">
            <w:pPr>
              <w:rPr>
                <w:rFonts w:ascii="Meta Pro" w:eastAsia="Times New Roman" w:hAnsi="Meta Pro"/>
                <w:szCs w:val="18"/>
                <w:lang w:eastAsia="en-AU"/>
              </w:rPr>
            </w:pPr>
            <w:r w:rsidRPr="00092B22">
              <w:rPr>
                <w:rFonts w:ascii="Meta Pro" w:eastAsia="Times New Roman" w:hAnsi="Meta Pro"/>
                <w:szCs w:val="18"/>
                <w:lang w:eastAsia="en-AU"/>
              </w:rPr>
              <w:t>Work in progress</w:t>
            </w:r>
          </w:p>
        </w:tc>
        <w:tc>
          <w:tcPr>
            <w:tcW w:w="1036" w:type="dxa"/>
            <w:tcBorders>
              <w:top w:val="nil"/>
              <w:left w:val="nil"/>
              <w:bottom w:val="nil"/>
              <w:right w:val="nil"/>
            </w:tcBorders>
            <w:shd w:val="clear" w:color="auto" w:fill="auto"/>
            <w:noWrap/>
            <w:vAlign w:val="center"/>
            <w:hideMark/>
          </w:tcPr>
          <w:p w14:paraId="35A935BF" w14:textId="77777777" w:rsidR="007E3E32" w:rsidRPr="00092B22" w:rsidRDefault="007E3E32" w:rsidP="00E607DA">
            <w:pPr>
              <w:rPr>
                <w:rFonts w:ascii="Meta Pro" w:eastAsia="Times New Roman" w:hAnsi="Meta Pro"/>
                <w:szCs w:val="18"/>
                <w:lang w:eastAsia="en-AU"/>
              </w:rPr>
            </w:pPr>
          </w:p>
        </w:tc>
        <w:tc>
          <w:tcPr>
            <w:tcW w:w="1156" w:type="dxa"/>
            <w:tcBorders>
              <w:top w:val="nil"/>
              <w:left w:val="nil"/>
              <w:bottom w:val="nil"/>
              <w:right w:val="nil"/>
            </w:tcBorders>
            <w:shd w:val="clear" w:color="000000" w:fill="C9E3B4"/>
            <w:noWrap/>
            <w:vAlign w:val="center"/>
            <w:hideMark/>
          </w:tcPr>
          <w:p w14:paraId="377FB5BB"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46,199 </w:t>
            </w:r>
          </w:p>
        </w:tc>
        <w:tc>
          <w:tcPr>
            <w:tcW w:w="216" w:type="dxa"/>
            <w:tcBorders>
              <w:top w:val="nil"/>
              <w:left w:val="nil"/>
              <w:bottom w:val="nil"/>
              <w:right w:val="nil"/>
            </w:tcBorders>
            <w:shd w:val="clear" w:color="auto" w:fill="auto"/>
            <w:noWrap/>
            <w:vAlign w:val="center"/>
            <w:hideMark/>
          </w:tcPr>
          <w:p w14:paraId="396B9C81" w14:textId="77777777" w:rsidR="007E3E32" w:rsidRPr="00092B22" w:rsidRDefault="007E3E32"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705FC4F8"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67,581 </w:t>
            </w:r>
          </w:p>
        </w:tc>
      </w:tr>
      <w:tr w:rsidR="007E3E32" w:rsidRPr="00092B22" w14:paraId="4C88C679" w14:textId="77777777" w:rsidTr="00E607DA">
        <w:trPr>
          <w:trHeight w:val="23"/>
        </w:trPr>
        <w:tc>
          <w:tcPr>
            <w:tcW w:w="6176" w:type="dxa"/>
            <w:tcBorders>
              <w:top w:val="single" w:sz="4" w:space="0" w:color="auto"/>
              <w:left w:val="nil"/>
              <w:bottom w:val="double" w:sz="6" w:space="0" w:color="auto"/>
              <w:right w:val="nil"/>
            </w:tcBorders>
            <w:shd w:val="clear" w:color="auto" w:fill="auto"/>
            <w:noWrap/>
            <w:vAlign w:val="center"/>
            <w:hideMark/>
          </w:tcPr>
          <w:p w14:paraId="1A1633EA" w14:textId="77777777" w:rsidR="007E3E32" w:rsidRPr="00092B22" w:rsidRDefault="007E3E32" w:rsidP="00E607DA">
            <w:pPr>
              <w:rPr>
                <w:rFonts w:ascii="Meta Pro" w:eastAsia="Times New Roman" w:hAnsi="Meta Pro"/>
                <w:b/>
                <w:bCs/>
                <w:szCs w:val="18"/>
                <w:lang w:eastAsia="en-AU"/>
              </w:rPr>
            </w:pPr>
            <w:r w:rsidRPr="00092B22">
              <w:rPr>
                <w:rFonts w:ascii="Meta Pro" w:eastAsia="Times New Roman" w:hAnsi="Meta Pro"/>
                <w:b/>
                <w:bCs/>
                <w:szCs w:val="18"/>
                <w:lang w:eastAsia="en-AU"/>
              </w:rPr>
              <w:t>Closing balance</w:t>
            </w:r>
          </w:p>
        </w:tc>
        <w:tc>
          <w:tcPr>
            <w:tcW w:w="1036" w:type="dxa"/>
            <w:tcBorders>
              <w:top w:val="single" w:sz="4" w:space="0" w:color="auto"/>
              <w:left w:val="nil"/>
              <w:bottom w:val="double" w:sz="6" w:space="0" w:color="auto"/>
              <w:right w:val="nil"/>
            </w:tcBorders>
            <w:shd w:val="clear" w:color="auto" w:fill="auto"/>
            <w:noWrap/>
            <w:vAlign w:val="center"/>
            <w:hideMark/>
          </w:tcPr>
          <w:p w14:paraId="60D24650" w14:textId="77777777" w:rsidR="007E3E32" w:rsidRPr="00092B22" w:rsidRDefault="007E3E32" w:rsidP="00E607DA">
            <w:pPr>
              <w:jc w:val="center"/>
              <w:rPr>
                <w:rFonts w:ascii="Meta Pro" w:eastAsia="Times New Roman" w:hAnsi="Meta Pro"/>
                <w:szCs w:val="18"/>
                <w:lang w:eastAsia="en-AU"/>
              </w:rPr>
            </w:pPr>
            <w:r w:rsidRPr="00092B22">
              <w:rPr>
                <w:rFonts w:ascii="Meta Pro" w:eastAsia="Times New Roman" w:hAnsi="Meta Pro"/>
                <w:szCs w:val="18"/>
                <w:lang w:eastAsia="en-AU"/>
              </w:rPr>
              <w:t> </w:t>
            </w:r>
          </w:p>
        </w:tc>
        <w:tc>
          <w:tcPr>
            <w:tcW w:w="1156" w:type="dxa"/>
            <w:tcBorders>
              <w:top w:val="single" w:sz="4" w:space="0" w:color="auto"/>
              <w:left w:val="nil"/>
              <w:bottom w:val="double" w:sz="6" w:space="0" w:color="auto"/>
              <w:right w:val="nil"/>
            </w:tcBorders>
            <w:shd w:val="clear" w:color="000000" w:fill="C9E3B4"/>
            <w:noWrap/>
            <w:vAlign w:val="center"/>
            <w:hideMark/>
          </w:tcPr>
          <w:p w14:paraId="7DE04EA4" w14:textId="77777777" w:rsidR="007E3E32" w:rsidRPr="00092B22" w:rsidRDefault="007E3E32"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1,423,223 </w:t>
            </w:r>
          </w:p>
        </w:tc>
        <w:tc>
          <w:tcPr>
            <w:tcW w:w="216" w:type="dxa"/>
            <w:tcBorders>
              <w:top w:val="single" w:sz="4" w:space="0" w:color="auto"/>
              <w:left w:val="nil"/>
              <w:bottom w:val="double" w:sz="6" w:space="0" w:color="auto"/>
              <w:right w:val="nil"/>
            </w:tcBorders>
            <w:shd w:val="clear" w:color="auto" w:fill="auto"/>
            <w:noWrap/>
            <w:vAlign w:val="center"/>
            <w:hideMark/>
          </w:tcPr>
          <w:p w14:paraId="2135D2C8"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28E3F708" w14:textId="77777777" w:rsidR="007E3E32" w:rsidRPr="00092B22" w:rsidRDefault="007E3E32"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1,395,898 </w:t>
            </w:r>
          </w:p>
        </w:tc>
      </w:tr>
      <w:tr w:rsidR="007E3E32" w:rsidRPr="00092B22" w14:paraId="1553F75A" w14:textId="77777777" w:rsidTr="00E607DA">
        <w:trPr>
          <w:trHeight w:val="270"/>
        </w:trPr>
        <w:tc>
          <w:tcPr>
            <w:tcW w:w="6176" w:type="dxa"/>
            <w:tcBorders>
              <w:top w:val="nil"/>
              <w:left w:val="nil"/>
              <w:bottom w:val="nil"/>
              <w:right w:val="nil"/>
            </w:tcBorders>
            <w:shd w:val="clear" w:color="auto" w:fill="auto"/>
            <w:noWrap/>
            <w:vAlign w:val="center"/>
            <w:hideMark/>
          </w:tcPr>
          <w:p w14:paraId="3632DE42" w14:textId="77777777" w:rsidR="007E3E32" w:rsidRPr="00092B22" w:rsidRDefault="007E3E32" w:rsidP="00E607DA">
            <w:pPr>
              <w:jc w:val="right"/>
              <w:rPr>
                <w:rFonts w:ascii="Meta Pro" w:eastAsia="Times New Roman" w:hAnsi="Meta Pro"/>
                <w:b/>
                <w:bCs/>
                <w:szCs w:val="18"/>
                <w:lang w:eastAsia="en-AU"/>
              </w:rPr>
            </w:pPr>
          </w:p>
        </w:tc>
        <w:tc>
          <w:tcPr>
            <w:tcW w:w="1036" w:type="dxa"/>
            <w:tcBorders>
              <w:top w:val="nil"/>
              <w:left w:val="nil"/>
              <w:bottom w:val="nil"/>
              <w:right w:val="nil"/>
            </w:tcBorders>
            <w:shd w:val="clear" w:color="auto" w:fill="auto"/>
            <w:noWrap/>
            <w:vAlign w:val="center"/>
            <w:hideMark/>
          </w:tcPr>
          <w:p w14:paraId="58855CB2" w14:textId="77777777" w:rsidR="007E3E32" w:rsidRPr="00092B22" w:rsidRDefault="007E3E32" w:rsidP="00E607DA">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0F4206E3" w14:textId="77777777" w:rsidR="007E3E32" w:rsidRPr="00092B22" w:rsidRDefault="007E3E32" w:rsidP="00E607DA">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730EED5B" w14:textId="77777777" w:rsidR="007E3E32" w:rsidRPr="00092B22" w:rsidRDefault="007E3E32" w:rsidP="00E607DA">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1EB4B36C" w14:textId="77777777" w:rsidR="007E3E32" w:rsidRPr="00092B22" w:rsidRDefault="007E3E32" w:rsidP="00E607DA">
            <w:pPr>
              <w:jc w:val="right"/>
              <w:rPr>
                <w:rFonts w:ascii="Meta Pro" w:eastAsia="Times New Roman" w:hAnsi="Meta Pro" w:cs="Times New Roman"/>
                <w:sz w:val="20"/>
                <w:szCs w:val="20"/>
                <w:lang w:eastAsia="en-AU"/>
              </w:rPr>
            </w:pPr>
          </w:p>
        </w:tc>
      </w:tr>
      <w:tr w:rsidR="007E3E32" w:rsidRPr="00092B22" w14:paraId="63375721" w14:textId="77777777" w:rsidTr="00E607DA">
        <w:trPr>
          <w:trHeight w:val="23"/>
        </w:trPr>
        <w:tc>
          <w:tcPr>
            <w:tcW w:w="6176" w:type="dxa"/>
            <w:tcBorders>
              <w:top w:val="nil"/>
              <w:left w:val="nil"/>
              <w:bottom w:val="nil"/>
              <w:right w:val="nil"/>
            </w:tcBorders>
            <w:shd w:val="clear" w:color="auto" w:fill="auto"/>
            <w:noWrap/>
            <w:vAlign w:val="center"/>
            <w:hideMark/>
          </w:tcPr>
          <w:p w14:paraId="5144E540" w14:textId="77777777" w:rsidR="007E3E32" w:rsidRPr="00092B22" w:rsidRDefault="007E3E32" w:rsidP="00E607DA">
            <w:pPr>
              <w:rPr>
                <w:rFonts w:ascii="Meta Pro" w:eastAsia="Times New Roman" w:hAnsi="Meta Pro"/>
                <w:b/>
                <w:bCs/>
                <w:szCs w:val="18"/>
                <w:lang w:eastAsia="en-AU"/>
              </w:rPr>
            </w:pPr>
            <w:r w:rsidRPr="00092B22">
              <w:rPr>
                <w:rFonts w:ascii="Meta Pro" w:eastAsia="Times New Roman" w:hAnsi="Meta Pro"/>
                <w:b/>
                <w:bCs/>
                <w:szCs w:val="18"/>
                <w:lang w:eastAsia="en-AU"/>
              </w:rPr>
              <w:t>Liabilities</w:t>
            </w:r>
          </w:p>
        </w:tc>
        <w:tc>
          <w:tcPr>
            <w:tcW w:w="1036" w:type="dxa"/>
            <w:tcBorders>
              <w:top w:val="nil"/>
              <w:left w:val="nil"/>
              <w:bottom w:val="nil"/>
              <w:right w:val="nil"/>
            </w:tcBorders>
            <w:shd w:val="clear" w:color="auto" w:fill="auto"/>
            <w:noWrap/>
            <w:vAlign w:val="center"/>
            <w:hideMark/>
          </w:tcPr>
          <w:p w14:paraId="5B1BB2DF" w14:textId="77777777" w:rsidR="007E3E32" w:rsidRPr="00092B22" w:rsidRDefault="007E3E32" w:rsidP="00E607DA">
            <w:pPr>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50AA010F" w14:textId="77777777" w:rsidR="007E3E32" w:rsidRPr="00092B22" w:rsidRDefault="007E3E32" w:rsidP="00E607DA">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24F77371" w14:textId="77777777" w:rsidR="007E3E32" w:rsidRPr="00092B22" w:rsidRDefault="007E3E32" w:rsidP="00E607DA">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44148B78" w14:textId="77777777" w:rsidR="007E3E32" w:rsidRPr="00092B22" w:rsidRDefault="007E3E32" w:rsidP="00E607DA">
            <w:pPr>
              <w:jc w:val="right"/>
              <w:rPr>
                <w:rFonts w:ascii="Meta Pro" w:eastAsia="Times New Roman" w:hAnsi="Meta Pro" w:cs="Times New Roman"/>
                <w:sz w:val="20"/>
                <w:szCs w:val="20"/>
                <w:lang w:eastAsia="en-AU"/>
              </w:rPr>
            </w:pPr>
          </w:p>
        </w:tc>
      </w:tr>
      <w:tr w:rsidR="007E3E32" w:rsidRPr="00092B22" w14:paraId="716A7CCB" w14:textId="77777777" w:rsidTr="00E607DA">
        <w:trPr>
          <w:trHeight w:val="23"/>
        </w:trPr>
        <w:tc>
          <w:tcPr>
            <w:tcW w:w="6176" w:type="dxa"/>
            <w:tcBorders>
              <w:top w:val="nil"/>
              <w:left w:val="nil"/>
              <w:bottom w:val="nil"/>
              <w:right w:val="nil"/>
            </w:tcBorders>
            <w:shd w:val="clear" w:color="auto" w:fill="auto"/>
            <w:noWrap/>
            <w:vAlign w:val="center"/>
            <w:hideMark/>
          </w:tcPr>
          <w:p w14:paraId="5D167357" w14:textId="77777777" w:rsidR="007E3E32" w:rsidRPr="00092B22" w:rsidRDefault="007E3E32" w:rsidP="00E607DA">
            <w:pPr>
              <w:rPr>
                <w:rFonts w:ascii="Meta Pro" w:eastAsia="Times New Roman" w:hAnsi="Meta Pro"/>
                <w:szCs w:val="18"/>
                <w:lang w:eastAsia="en-AU"/>
              </w:rPr>
            </w:pPr>
            <w:r w:rsidRPr="00092B22">
              <w:rPr>
                <w:rFonts w:ascii="Meta Pro" w:eastAsia="Times New Roman" w:hAnsi="Meta Pro"/>
                <w:szCs w:val="18"/>
                <w:lang w:eastAsia="en-AU"/>
              </w:rPr>
              <w:t>Financial liabilities</w:t>
            </w:r>
          </w:p>
        </w:tc>
        <w:tc>
          <w:tcPr>
            <w:tcW w:w="1036" w:type="dxa"/>
            <w:tcBorders>
              <w:top w:val="nil"/>
              <w:left w:val="nil"/>
              <w:bottom w:val="nil"/>
              <w:right w:val="nil"/>
            </w:tcBorders>
            <w:shd w:val="clear" w:color="auto" w:fill="auto"/>
            <w:noWrap/>
            <w:vAlign w:val="center"/>
            <w:hideMark/>
          </w:tcPr>
          <w:p w14:paraId="4153AF17" w14:textId="77777777" w:rsidR="007E3E32" w:rsidRPr="00092B22" w:rsidRDefault="007E3E32" w:rsidP="00E607DA">
            <w:pPr>
              <w:jc w:val="center"/>
              <w:rPr>
                <w:rFonts w:ascii="Meta Pro" w:eastAsia="Times New Roman" w:hAnsi="Meta Pro"/>
                <w:szCs w:val="18"/>
                <w:lang w:eastAsia="en-AU"/>
              </w:rPr>
            </w:pPr>
            <w:r w:rsidRPr="00092B22">
              <w:rPr>
                <w:rFonts w:ascii="Meta Pro" w:eastAsia="Times New Roman" w:hAnsi="Meta Pro"/>
                <w:szCs w:val="18"/>
                <w:lang w:eastAsia="en-AU"/>
              </w:rPr>
              <w:t>18</w:t>
            </w:r>
          </w:p>
        </w:tc>
        <w:tc>
          <w:tcPr>
            <w:tcW w:w="1156" w:type="dxa"/>
            <w:tcBorders>
              <w:top w:val="nil"/>
              <w:left w:val="nil"/>
              <w:bottom w:val="nil"/>
              <w:right w:val="nil"/>
            </w:tcBorders>
            <w:shd w:val="clear" w:color="000000" w:fill="C9E3B4"/>
            <w:noWrap/>
            <w:vAlign w:val="center"/>
            <w:hideMark/>
          </w:tcPr>
          <w:p w14:paraId="4270E111"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554,873 </w:t>
            </w:r>
          </w:p>
        </w:tc>
        <w:tc>
          <w:tcPr>
            <w:tcW w:w="216" w:type="dxa"/>
            <w:tcBorders>
              <w:top w:val="nil"/>
              <w:left w:val="nil"/>
              <w:bottom w:val="nil"/>
              <w:right w:val="nil"/>
            </w:tcBorders>
            <w:shd w:val="clear" w:color="auto" w:fill="auto"/>
            <w:noWrap/>
            <w:vAlign w:val="center"/>
            <w:hideMark/>
          </w:tcPr>
          <w:p w14:paraId="7F772F99" w14:textId="77777777" w:rsidR="007E3E32" w:rsidRPr="00092B22" w:rsidRDefault="007E3E32"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1A6A0C67"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557,974 </w:t>
            </w:r>
          </w:p>
        </w:tc>
      </w:tr>
      <w:tr w:rsidR="007E3E32" w:rsidRPr="00092B22" w14:paraId="46492706" w14:textId="77777777" w:rsidTr="00E607DA">
        <w:trPr>
          <w:trHeight w:val="23"/>
        </w:trPr>
        <w:tc>
          <w:tcPr>
            <w:tcW w:w="6176" w:type="dxa"/>
            <w:tcBorders>
              <w:top w:val="single" w:sz="4" w:space="0" w:color="auto"/>
              <w:left w:val="nil"/>
              <w:bottom w:val="double" w:sz="6" w:space="0" w:color="auto"/>
              <w:right w:val="nil"/>
            </w:tcBorders>
            <w:shd w:val="clear" w:color="auto" w:fill="auto"/>
            <w:noWrap/>
            <w:vAlign w:val="center"/>
            <w:hideMark/>
          </w:tcPr>
          <w:p w14:paraId="1D426C7D" w14:textId="77777777" w:rsidR="007E3E32" w:rsidRPr="00092B22" w:rsidRDefault="007E3E32" w:rsidP="00E607DA">
            <w:pPr>
              <w:rPr>
                <w:rFonts w:ascii="Meta Pro" w:eastAsia="Times New Roman" w:hAnsi="Meta Pro"/>
                <w:b/>
                <w:bCs/>
                <w:szCs w:val="18"/>
                <w:lang w:eastAsia="en-AU"/>
              </w:rPr>
            </w:pPr>
            <w:r w:rsidRPr="00092B22">
              <w:rPr>
                <w:rFonts w:ascii="Meta Pro" w:eastAsia="Times New Roman" w:hAnsi="Meta Pro"/>
                <w:b/>
                <w:bCs/>
                <w:szCs w:val="18"/>
                <w:lang w:eastAsia="en-AU"/>
              </w:rPr>
              <w:t>Total</w:t>
            </w:r>
          </w:p>
        </w:tc>
        <w:tc>
          <w:tcPr>
            <w:tcW w:w="1036" w:type="dxa"/>
            <w:tcBorders>
              <w:top w:val="single" w:sz="4" w:space="0" w:color="auto"/>
              <w:left w:val="nil"/>
              <w:bottom w:val="double" w:sz="6" w:space="0" w:color="auto"/>
              <w:right w:val="nil"/>
            </w:tcBorders>
            <w:shd w:val="clear" w:color="auto" w:fill="auto"/>
            <w:noWrap/>
            <w:vAlign w:val="center"/>
            <w:hideMark/>
          </w:tcPr>
          <w:p w14:paraId="1848AAE3" w14:textId="77777777" w:rsidR="007E3E32" w:rsidRPr="00092B22" w:rsidRDefault="007E3E32" w:rsidP="00E607DA">
            <w:pPr>
              <w:jc w:val="center"/>
              <w:rPr>
                <w:rFonts w:ascii="Meta Pro" w:eastAsia="Times New Roman" w:hAnsi="Meta Pro"/>
                <w:szCs w:val="18"/>
                <w:lang w:eastAsia="en-AU"/>
              </w:rPr>
            </w:pPr>
            <w:r w:rsidRPr="00092B22">
              <w:rPr>
                <w:rFonts w:ascii="Meta Pro" w:eastAsia="Times New Roman" w:hAnsi="Meta Pro"/>
                <w:szCs w:val="18"/>
                <w:lang w:eastAsia="en-AU"/>
              </w:rPr>
              <w:t> </w:t>
            </w:r>
          </w:p>
        </w:tc>
        <w:tc>
          <w:tcPr>
            <w:tcW w:w="1156" w:type="dxa"/>
            <w:tcBorders>
              <w:top w:val="single" w:sz="4" w:space="0" w:color="auto"/>
              <w:left w:val="nil"/>
              <w:bottom w:val="double" w:sz="6" w:space="0" w:color="auto"/>
              <w:right w:val="nil"/>
            </w:tcBorders>
            <w:shd w:val="clear" w:color="000000" w:fill="C9E3B4"/>
            <w:noWrap/>
            <w:vAlign w:val="center"/>
            <w:hideMark/>
          </w:tcPr>
          <w:p w14:paraId="36D09823" w14:textId="77777777" w:rsidR="007E3E32" w:rsidRPr="00092B22" w:rsidRDefault="007E3E32"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554,873 </w:t>
            </w:r>
          </w:p>
        </w:tc>
        <w:tc>
          <w:tcPr>
            <w:tcW w:w="216" w:type="dxa"/>
            <w:tcBorders>
              <w:top w:val="single" w:sz="4" w:space="0" w:color="auto"/>
              <w:left w:val="nil"/>
              <w:bottom w:val="double" w:sz="6" w:space="0" w:color="auto"/>
              <w:right w:val="nil"/>
            </w:tcBorders>
            <w:shd w:val="clear" w:color="auto" w:fill="auto"/>
            <w:noWrap/>
            <w:vAlign w:val="center"/>
            <w:hideMark/>
          </w:tcPr>
          <w:p w14:paraId="7B69501A"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1232EA09" w14:textId="77777777" w:rsidR="007E3E32" w:rsidRPr="00092B22" w:rsidRDefault="007E3E32"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557,974 </w:t>
            </w:r>
          </w:p>
        </w:tc>
      </w:tr>
    </w:tbl>
    <w:p w14:paraId="7F6ADD27" w14:textId="77777777" w:rsidR="007E3E32" w:rsidRPr="00092B22" w:rsidRDefault="007E3E32" w:rsidP="007E3E32">
      <w:pPr>
        <w:spacing w:before="120" w:after="120"/>
        <w:rPr>
          <w:rFonts w:ascii="Meta Pro" w:eastAsia="Times New Roman" w:hAnsi="Meta Pro"/>
          <w:szCs w:val="18"/>
          <w:lang w:eastAsia="en-AU"/>
        </w:rPr>
      </w:pPr>
      <w:r w:rsidRPr="00092B22">
        <w:rPr>
          <w:rFonts w:ascii="Meta Pro" w:eastAsia="Times New Roman" w:hAnsi="Meta Pro"/>
          <w:szCs w:val="18"/>
          <w:lang w:eastAsia="en-AU"/>
        </w:rPr>
        <w:t xml:space="preserve">In March 2019, an amendment deed was signed by NGR Project Company Pty Ltd to rectify the trains in accordance with the </w:t>
      </w:r>
      <w:r w:rsidRPr="00092B22">
        <w:rPr>
          <w:rFonts w:ascii="Meta Pro" w:eastAsia="Times New Roman" w:hAnsi="Meta Pro"/>
          <w:i/>
          <w:iCs/>
          <w:szCs w:val="18"/>
          <w:lang w:eastAsia="en-AU"/>
        </w:rPr>
        <w:t>Disability Standards for Accessible Public Transport 2002 (Cth).</w:t>
      </w:r>
      <w:r w:rsidRPr="00092B22">
        <w:rPr>
          <w:rFonts w:ascii="Meta Pro" w:eastAsia="Times New Roman" w:hAnsi="Meta Pro"/>
          <w:szCs w:val="18"/>
          <w:lang w:eastAsia="en-AU"/>
        </w:rPr>
        <w:t xml:space="preserve"> Rectification of the trains is expected to be completed by 2024. Rectification works have been completed for fifteen trains in 2021–22, with a total of 18 units upgraded to date under this agreement. Refer to Note 19.</w:t>
      </w:r>
    </w:p>
    <w:p w14:paraId="41B3286A" w14:textId="77777777" w:rsidR="007E3E32" w:rsidRPr="00092B22" w:rsidRDefault="007E3E32" w:rsidP="007E3E32">
      <w:pPr>
        <w:spacing w:after="120"/>
        <w:rPr>
          <w:rFonts w:ascii="Meta Pro" w:eastAsia="Times New Roman" w:hAnsi="Meta Pro"/>
          <w:szCs w:val="18"/>
          <w:lang w:eastAsia="en-AU"/>
        </w:rPr>
      </w:pPr>
      <w:r w:rsidRPr="00092B22">
        <w:rPr>
          <w:rFonts w:ascii="Meta Pro" w:eastAsia="Times New Roman" w:hAnsi="Meta Pro"/>
          <w:szCs w:val="18"/>
          <w:lang w:eastAsia="en-AU"/>
        </w:rPr>
        <w:t>Ownership of the train sets and maintenance centre resides with the department during the period of the arrangement.</w:t>
      </w:r>
    </w:p>
    <w:p w14:paraId="11223F1B" w14:textId="77777777" w:rsidR="007E3E32" w:rsidRPr="00092B22" w:rsidRDefault="007E3E32" w:rsidP="007E3E32">
      <w:pPr>
        <w:spacing w:after="120"/>
        <w:rPr>
          <w:rFonts w:ascii="Meta Pro" w:hAnsi="Meta Pro" w:cstheme="minorBidi"/>
        </w:rPr>
      </w:pPr>
      <w:r w:rsidRPr="00092B22">
        <w:rPr>
          <w:rFonts w:ascii="Meta Pro" w:eastAsia="Times New Roman" w:hAnsi="Meta Pro"/>
          <w:szCs w:val="18"/>
          <w:lang w:eastAsia="en-AU"/>
        </w:rPr>
        <w:lastRenderedPageBreak/>
        <w:t>The estimated future cash flows excluding GST are detailed below:</w:t>
      </w:r>
    </w:p>
    <w:tbl>
      <w:tblPr>
        <w:tblW w:w="0" w:type="auto"/>
        <w:tblCellMar>
          <w:left w:w="0" w:type="dxa"/>
        </w:tblCellMar>
        <w:tblLook w:val="04A0" w:firstRow="1" w:lastRow="0" w:firstColumn="1" w:lastColumn="0" w:noHBand="0" w:noVBand="1"/>
      </w:tblPr>
      <w:tblGrid>
        <w:gridCol w:w="6090"/>
        <w:gridCol w:w="1030"/>
        <w:gridCol w:w="1148"/>
        <w:gridCol w:w="222"/>
        <w:gridCol w:w="1148"/>
      </w:tblGrid>
      <w:tr w:rsidR="007E3E32" w:rsidRPr="00092B22" w14:paraId="76447A1F" w14:textId="77777777" w:rsidTr="00E607DA">
        <w:trPr>
          <w:trHeight w:val="23"/>
        </w:trPr>
        <w:tc>
          <w:tcPr>
            <w:tcW w:w="6176" w:type="dxa"/>
            <w:tcBorders>
              <w:top w:val="nil"/>
              <w:left w:val="nil"/>
              <w:bottom w:val="nil"/>
              <w:right w:val="nil"/>
            </w:tcBorders>
            <w:shd w:val="clear" w:color="auto" w:fill="auto"/>
            <w:noWrap/>
            <w:vAlign w:val="center"/>
            <w:hideMark/>
          </w:tcPr>
          <w:p w14:paraId="69DBA50E" w14:textId="77777777" w:rsidR="007E3E32" w:rsidRPr="00092B22" w:rsidRDefault="007E3E32" w:rsidP="00E607DA">
            <w:pPr>
              <w:rPr>
                <w:rFonts w:ascii="Meta Pro" w:eastAsia="Times New Roman" w:hAnsi="Meta Pro"/>
                <w:b/>
                <w:bCs/>
                <w:szCs w:val="18"/>
                <w:lang w:eastAsia="en-AU"/>
              </w:rPr>
            </w:pPr>
            <w:r w:rsidRPr="00092B22">
              <w:rPr>
                <w:rFonts w:ascii="Meta Pro" w:eastAsia="Times New Roman" w:hAnsi="Meta Pro"/>
                <w:b/>
                <w:bCs/>
                <w:szCs w:val="18"/>
                <w:lang w:eastAsia="en-AU"/>
              </w:rPr>
              <w:t>Estimated cash flows</w:t>
            </w:r>
          </w:p>
        </w:tc>
        <w:tc>
          <w:tcPr>
            <w:tcW w:w="1036" w:type="dxa"/>
            <w:tcBorders>
              <w:top w:val="nil"/>
              <w:left w:val="nil"/>
              <w:bottom w:val="nil"/>
              <w:right w:val="nil"/>
            </w:tcBorders>
            <w:shd w:val="clear" w:color="auto" w:fill="auto"/>
            <w:noWrap/>
            <w:vAlign w:val="center"/>
            <w:hideMark/>
          </w:tcPr>
          <w:p w14:paraId="2A57F768" w14:textId="77777777" w:rsidR="007E3E32" w:rsidRPr="00092B22" w:rsidRDefault="007E3E32" w:rsidP="00E607DA">
            <w:pPr>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0BBB2B26" w14:textId="77777777" w:rsidR="007E3E32" w:rsidRPr="00092B22" w:rsidRDefault="007E3E32" w:rsidP="00E607DA">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26730688" w14:textId="77777777" w:rsidR="007E3E32" w:rsidRPr="00092B22" w:rsidRDefault="007E3E32" w:rsidP="00E607DA">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25CE4BF3" w14:textId="77777777" w:rsidR="007E3E32" w:rsidRPr="00092B22" w:rsidRDefault="007E3E32" w:rsidP="00E607DA">
            <w:pPr>
              <w:jc w:val="right"/>
              <w:rPr>
                <w:rFonts w:ascii="Meta Pro" w:eastAsia="Times New Roman" w:hAnsi="Meta Pro" w:cs="Times New Roman"/>
                <w:sz w:val="20"/>
                <w:szCs w:val="20"/>
                <w:lang w:eastAsia="en-AU"/>
              </w:rPr>
            </w:pPr>
          </w:p>
        </w:tc>
      </w:tr>
      <w:tr w:rsidR="007E3E32" w:rsidRPr="00092B22" w14:paraId="21B6A629" w14:textId="77777777" w:rsidTr="00E607DA">
        <w:trPr>
          <w:trHeight w:val="23"/>
        </w:trPr>
        <w:tc>
          <w:tcPr>
            <w:tcW w:w="6176" w:type="dxa"/>
            <w:tcBorders>
              <w:top w:val="nil"/>
              <w:left w:val="nil"/>
              <w:bottom w:val="nil"/>
              <w:right w:val="nil"/>
            </w:tcBorders>
            <w:shd w:val="clear" w:color="auto" w:fill="auto"/>
            <w:noWrap/>
            <w:vAlign w:val="center"/>
            <w:hideMark/>
          </w:tcPr>
          <w:p w14:paraId="3C0DF717" w14:textId="77777777" w:rsidR="007E3E32" w:rsidRPr="00092B22" w:rsidRDefault="007E3E32" w:rsidP="00E607DA">
            <w:pPr>
              <w:rPr>
                <w:rFonts w:ascii="Meta Pro" w:eastAsia="Times New Roman" w:hAnsi="Meta Pro"/>
                <w:i/>
                <w:iCs/>
                <w:szCs w:val="18"/>
                <w:lang w:eastAsia="en-AU"/>
              </w:rPr>
            </w:pPr>
            <w:r w:rsidRPr="00092B22">
              <w:rPr>
                <w:rFonts w:ascii="Meta Pro" w:eastAsia="Times New Roman" w:hAnsi="Meta Pro"/>
                <w:i/>
                <w:iCs/>
                <w:szCs w:val="18"/>
                <w:lang w:eastAsia="en-AU"/>
              </w:rPr>
              <w:t>Inflows:</w:t>
            </w:r>
          </w:p>
        </w:tc>
        <w:tc>
          <w:tcPr>
            <w:tcW w:w="1036" w:type="dxa"/>
            <w:tcBorders>
              <w:top w:val="nil"/>
              <w:left w:val="nil"/>
              <w:bottom w:val="nil"/>
              <w:right w:val="nil"/>
            </w:tcBorders>
            <w:shd w:val="clear" w:color="auto" w:fill="auto"/>
            <w:noWrap/>
            <w:vAlign w:val="center"/>
            <w:hideMark/>
          </w:tcPr>
          <w:p w14:paraId="7ECD02B2" w14:textId="77777777" w:rsidR="007E3E32" w:rsidRPr="00092B22" w:rsidRDefault="007E3E32" w:rsidP="00E607DA">
            <w:pPr>
              <w:rPr>
                <w:rFonts w:ascii="Meta Pro" w:eastAsia="Times New Roman" w:hAnsi="Meta Pro"/>
                <w:i/>
                <w:iCs/>
                <w:szCs w:val="18"/>
                <w:lang w:eastAsia="en-AU"/>
              </w:rPr>
            </w:pPr>
          </w:p>
        </w:tc>
        <w:tc>
          <w:tcPr>
            <w:tcW w:w="1156" w:type="dxa"/>
            <w:tcBorders>
              <w:top w:val="nil"/>
              <w:left w:val="nil"/>
              <w:bottom w:val="nil"/>
              <w:right w:val="nil"/>
            </w:tcBorders>
            <w:shd w:val="clear" w:color="auto" w:fill="auto"/>
            <w:noWrap/>
            <w:vAlign w:val="center"/>
            <w:hideMark/>
          </w:tcPr>
          <w:p w14:paraId="19ED6299" w14:textId="77777777" w:rsidR="007E3E32" w:rsidRPr="00092B22" w:rsidRDefault="007E3E32" w:rsidP="00E607DA">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42EC4BD8" w14:textId="77777777" w:rsidR="007E3E32" w:rsidRPr="00092B22" w:rsidRDefault="007E3E32" w:rsidP="00E607DA">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7E266326" w14:textId="77777777" w:rsidR="007E3E32" w:rsidRPr="00092B22" w:rsidRDefault="007E3E32" w:rsidP="00E607DA">
            <w:pPr>
              <w:jc w:val="right"/>
              <w:rPr>
                <w:rFonts w:ascii="Meta Pro" w:eastAsia="Times New Roman" w:hAnsi="Meta Pro" w:cs="Times New Roman"/>
                <w:sz w:val="20"/>
                <w:szCs w:val="20"/>
                <w:lang w:eastAsia="en-AU"/>
              </w:rPr>
            </w:pPr>
          </w:p>
        </w:tc>
      </w:tr>
      <w:tr w:rsidR="007E3E32" w:rsidRPr="00092B22" w14:paraId="379D5085" w14:textId="77777777" w:rsidTr="00E607DA">
        <w:trPr>
          <w:trHeight w:val="23"/>
        </w:trPr>
        <w:tc>
          <w:tcPr>
            <w:tcW w:w="6176" w:type="dxa"/>
            <w:tcBorders>
              <w:top w:val="nil"/>
              <w:left w:val="nil"/>
              <w:bottom w:val="nil"/>
              <w:right w:val="nil"/>
            </w:tcBorders>
            <w:shd w:val="clear" w:color="auto" w:fill="auto"/>
            <w:noWrap/>
            <w:vAlign w:val="center"/>
            <w:hideMark/>
          </w:tcPr>
          <w:p w14:paraId="77114862" w14:textId="77777777" w:rsidR="007E3E32" w:rsidRPr="00092B22" w:rsidRDefault="007E3E32" w:rsidP="00E607DA">
            <w:pPr>
              <w:rPr>
                <w:rFonts w:ascii="Meta Pro" w:eastAsia="Times New Roman" w:hAnsi="Meta Pro"/>
                <w:szCs w:val="18"/>
                <w:lang w:eastAsia="en-AU"/>
              </w:rPr>
            </w:pPr>
            <w:r w:rsidRPr="00092B22">
              <w:rPr>
                <w:rFonts w:ascii="Meta Pro" w:eastAsia="Times New Roman" w:hAnsi="Meta Pro"/>
                <w:szCs w:val="18"/>
                <w:lang w:eastAsia="en-AU"/>
              </w:rPr>
              <w:t>Not later than one year</w:t>
            </w:r>
          </w:p>
        </w:tc>
        <w:tc>
          <w:tcPr>
            <w:tcW w:w="1036" w:type="dxa"/>
            <w:tcBorders>
              <w:top w:val="nil"/>
              <w:left w:val="nil"/>
              <w:bottom w:val="nil"/>
              <w:right w:val="nil"/>
            </w:tcBorders>
            <w:shd w:val="clear" w:color="auto" w:fill="auto"/>
            <w:noWrap/>
            <w:vAlign w:val="center"/>
            <w:hideMark/>
          </w:tcPr>
          <w:p w14:paraId="6D12E178" w14:textId="77777777" w:rsidR="007E3E32" w:rsidRPr="00092B22" w:rsidRDefault="007E3E32" w:rsidP="00E607DA">
            <w:pPr>
              <w:rPr>
                <w:rFonts w:ascii="Meta Pro" w:eastAsia="Times New Roman" w:hAnsi="Meta Pro"/>
                <w:szCs w:val="18"/>
                <w:lang w:eastAsia="en-AU"/>
              </w:rPr>
            </w:pPr>
          </w:p>
        </w:tc>
        <w:tc>
          <w:tcPr>
            <w:tcW w:w="1156" w:type="dxa"/>
            <w:tcBorders>
              <w:top w:val="nil"/>
              <w:left w:val="nil"/>
              <w:bottom w:val="nil"/>
              <w:right w:val="nil"/>
            </w:tcBorders>
            <w:shd w:val="clear" w:color="000000" w:fill="C9E3B4"/>
            <w:noWrap/>
            <w:vAlign w:val="center"/>
            <w:hideMark/>
          </w:tcPr>
          <w:p w14:paraId="08609AD4"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c>
          <w:tcPr>
            <w:tcW w:w="216" w:type="dxa"/>
            <w:tcBorders>
              <w:top w:val="nil"/>
              <w:left w:val="nil"/>
              <w:bottom w:val="nil"/>
              <w:right w:val="nil"/>
            </w:tcBorders>
            <w:shd w:val="clear" w:color="auto" w:fill="auto"/>
            <w:noWrap/>
            <w:vAlign w:val="center"/>
            <w:hideMark/>
          </w:tcPr>
          <w:p w14:paraId="7D206F95" w14:textId="77777777" w:rsidR="007E3E32" w:rsidRPr="00092B22" w:rsidRDefault="007E3E32"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6065ACA6"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r>
      <w:tr w:rsidR="007E3E32" w:rsidRPr="00092B22" w14:paraId="2FEC983B" w14:textId="77777777" w:rsidTr="00E607DA">
        <w:trPr>
          <w:trHeight w:val="23"/>
        </w:trPr>
        <w:tc>
          <w:tcPr>
            <w:tcW w:w="6176" w:type="dxa"/>
            <w:tcBorders>
              <w:top w:val="nil"/>
              <w:left w:val="nil"/>
              <w:bottom w:val="nil"/>
              <w:right w:val="nil"/>
            </w:tcBorders>
            <w:shd w:val="clear" w:color="auto" w:fill="auto"/>
            <w:noWrap/>
            <w:vAlign w:val="center"/>
            <w:hideMark/>
          </w:tcPr>
          <w:p w14:paraId="2926CD98" w14:textId="77777777" w:rsidR="007E3E32" w:rsidRPr="00092B22" w:rsidRDefault="007E3E32" w:rsidP="00E607DA">
            <w:pPr>
              <w:rPr>
                <w:rFonts w:ascii="Meta Pro" w:eastAsia="Times New Roman" w:hAnsi="Meta Pro"/>
                <w:szCs w:val="18"/>
                <w:lang w:eastAsia="en-AU"/>
              </w:rPr>
            </w:pPr>
            <w:r w:rsidRPr="00092B22">
              <w:rPr>
                <w:rFonts w:ascii="Meta Pro" w:eastAsia="Times New Roman" w:hAnsi="Meta Pro"/>
                <w:szCs w:val="18"/>
                <w:lang w:eastAsia="en-AU"/>
              </w:rPr>
              <w:t>Later than one year but not later than five years</w:t>
            </w:r>
          </w:p>
        </w:tc>
        <w:tc>
          <w:tcPr>
            <w:tcW w:w="1036" w:type="dxa"/>
            <w:tcBorders>
              <w:top w:val="nil"/>
              <w:left w:val="nil"/>
              <w:bottom w:val="nil"/>
              <w:right w:val="nil"/>
            </w:tcBorders>
            <w:shd w:val="clear" w:color="auto" w:fill="auto"/>
            <w:noWrap/>
            <w:vAlign w:val="center"/>
            <w:hideMark/>
          </w:tcPr>
          <w:p w14:paraId="50A9FA70" w14:textId="77777777" w:rsidR="007E3E32" w:rsidRPr="00092B22" w:rsidRDefault="007E3E32" w:rsidP="00E607DA">
            <w:pPr>
              <w:rPr>
                <w:rFonts w:ascii="Meta Pro" w:eastAsia="Times New Roman" w:hAnsi="Meta Pro"/>
                <w:szCs w:val="18"/>
                <w:lang w:eastAsia="en-AU"/>
              </w:rPr>
            </w:pPr>
          </w:p>
        </w:tc>
        <w:tc>
          <w:tcPr>
            <w:tcW w:w="1156" w:type="dxa"/>
            <w:tcBorders>
              <w:top w:val="nil"/>
              <w:left w:val="nil"/>
              <w:bottom w:val="nil"/>
              <w:right w:val="nil"/>
            </w:tcBorders>
            <w:shd w:val="clear" w:color="000000" w:fill="C9E3B4"/>
            <w:noWrap/>
            <w:vAlign w:val="center"/>
            <w:hideMark/>
          </w:tcPr>
          <w:p w14:paraId="23F979B3"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c>
          <w:tcPr>
            <w:tcW w:w="216" w:type="dxa"/>
            <w:tcBorders>
              <w:top w:val="nil"/>
              <w:left w:val="nil"/>
              <w:bottom w:val="nil"/>
              <w:right w:val="nil"/>
            </w:tcBorders>
            <w:shd w:val="clear" w:color="auto" w:fill="auto"/>
            <w:noWrap/>
            <w:vAlign w:val="center"/>
            <w:hideMark/>
          </w:tcPr>
          <w:p w14:paraId="34BE87CB" w14:textId="77777777" w:rsidR="007E3E32" w:rsidRPr="00092B22" w:rsidRDefault="007E3E32"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C6C4054"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r>
      <w:tr w:rsidR="007E3E32" w:rsidRPr="00092B22" w14:paraId="7C677F65" w14:textId="77777777" w:rsidTr="00E607DA">
        <w:trPr>
          <w:trHeight w:val="23"/>
        </w:trPr>
        <w:tc>
          <w:tcPr>
            <w:tcW w:w="6176" w:type="dxa"/>
            <w:tcBorders>
              <w:top w:val="nil"/>
              <w:left w:val="nil"/>
              <w:bottom w:val="nil"/>
              <w:right w:val="nil"/>
            </w:tcBorders>
            <w:shd w:val="clear" w:color="auto" w:fill="auto"/>
            <w:noWrap/>
            <w:vAlign w:val="center"/>
            <w:hideMark/>
          </w:tcPr>
          <w:p w14:paraId="2298CE60" w14:textId="77777777" w:rsidR="007E3E32" w:rsidRPr="00092B22" w:rsidRDefault="007E3E32" w:rsidP="00E607DA">
            <w:pPr>
              <w:rPr>
                <w:rFonts w:ascii="Meta Pro" w:eastAsia="Times New Roman" w:hAnsi="Meta Pro"/>
                <w:szCs w:val="18"/>
                <w:lang w:eastAsia="en-AU"/>
              </w:rPr>
            </w:pPr>
            <w:r w:rsidRPr="00092B22">
              <w:rPr>
                <w:rFonts w:ascii="Meta Pro" w:eastAsia="Times New Roman" w:hAnsi="Meta Pro"/>
                <w:szCs w:val="18"/>
                <w:lang w:eastAsia="en-AU"/>
              </w:rPr>
              <w:t>Later than five years but not later than ten years</w:t>
            </w:r>
          </w:p>
        </w:tc>
        <w:tc>
          <w:tcPr>
            <w:tcW w:w="1036" w:type="dxa"/>
            <w:tcBorders>
              <w:top w:val="nil"/>
              <w:left w:val="nil"/>
              <w:bottom w:val="nil"/>
              <w:right w:val="nil"/>
            </w:tcBorders>
            <w:shd w:val="clear" w:color="auto" w:fill="auto"/>
            <w:noWrap/>
            <w:vAlign w:val="center"/>
            <w:hideMark/>
          </w:tcPr>
          <w:p w14:paraId="5B320287" w14:textId="77777777" w:rsidR="007E3E32" w:rsidRPr="00092B22" w:rsidRDefault="007E3E32" w:rsidP="00E607DA">
            <w:pPr>
              <w:rPr>
                <w:rFonts w:ascii="Meta Pro" w:eastAsia="Times New Roman" w:hAnsi="Meta Pro"/>
                <w:szCs w:val="18"/>
                <w:lang w:eastAsia="en-AU"/>
              </w:rPr>
            </w:pPr>
          </w:p>
        </w:tc>
        <w:tc>
          <w:tcPr>
            <w:tcW w:w="1156" w:type="dxa"/>
            <w:tcBorders>
              <w:top w:val="nil"/>
              <w:left w:val="nil"/>
              <w:bottom w:val="nil"/>
              <w:right w:val="nil"/>
            </w:tcBorders>
            <w:shd w:val="clear" w:color="000000" w:fill="C9E3B4"/>
            <w:noWrap/>
            <w:vAlign w:val="center"/>
            <w:hideMark/>
          </w:tcPr>
          <w:p w14:paraId="2897E417"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c>
          <w:tcPr>
            <w:tcW w:w="216" w:type="dxa"/>
            <w:tcBorders>
              <w:top w:val="nil"/>
              <w:left w:val="nil"/>
              <w:bottom w:val="nil"/>
              <w:right w:val="nil"/>
            </w:tcBorders>
            <w:shd w:val="clear" w:color="auto" w:fill="auto"/>
            <w:noWrap/>
            <w:vAlign w:val="center"/>
            <w:hideMark/>
          </w:tcPr>
          <w:p w14:paraId="6616012C" w14:textId="77777777" w:rsidR="007E3E32" w:rsidRPr="00092B22" w:rsidRDefault="007E3E32"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7537E560"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r>
      <w:tr w:rsidR="007E3E32" w:rsidRPr="00092B22" w14:paraId="51D981A0" w14:textId="77777777" w:rsidTr="00E607DA">
        <w:trPr>
          <w:trHeight w:val="23"/>
        </w:trPr>
        <w:tc>
          <w:tcPr>
            <w:tcW w:w="6176" w:type="dxa"/>
            <w:tcBorders>
              <w:top w:val="nil"/>
              <w:left w:val="nil"/>
              <w:bottom w:val="nil"/>
              <w:right w:val="nil"/>
            </w:tcBorders>
            <w:shd w:val="clear" w:color="auto" w:fill="auto"/>
            <w:noWrap/>
            <w:vAlign w:val="center"/>
            <w:hideMark/>
          </w:tcPr>
          <w:p w14:paraId="298F38B5" w14:textId="77777777" w:rsidR="007E3E32" w:rsidRPr="00092B22" w:rsidRDefault="007E3E32" w:rsidP="00E607DA">
            <w:pPr>
              <w:rPr>
                <w:rFonts w:ascii="Meta Pro" w:eastAsia="Times New Roman" w:hAnsi="Meta Pro"/>
                <w:szCs w:val="18"/>
                <w:lang w:eastAsia="en-AU"/>
              </w:rPr>
            </w:pPr>
            <w:r w:rsidRPr="00092B22">
              <w:rPr>
                <w:rFonts w:ascii="Meta Pro" w:eastAsia="Times New Roman" w:hAnsi="Meta Pro"/>
                <w:szCs w:val="18"/>
                <w:lang w:eastAsia="en-AU"/>
              </w:rPr>
              <w:t>Later than ten years</w:t>
            </w:r>
          </w:p>
        </w:tc>
        <w:tc>
          <w:tcPr>
            <w:tcW w:w="1036" w:type="dxa"/>
            <w:tcBorders>
              <w:top w:val="nil"/>
              <w:left w:val="nil"/>
              <w:bottom w:val="nil"/>
              <w:right w:val="nil"/>
            </w:tcBorders>
            <w:shd w:val="clear" w:color="auto" w:fill="auto"/>
            <w:noWrap/>
            <w:vAlign w:val="center"/>
            <w:hideMark/>
          </w:tcPr>
          <w:p w14:paraId="767F4AB2" w14:textId="77777777" w:rsidR="007E3E32" w:rsidRPr="00092B22" w:rsidRDefault="007E3E32" w:rsidP="00E607DA">
            <w:pPr>
              <w:rPr>
                <w:rFonts w:ascii="Meta Pro" w:eastAsia="Times New Roman" w:hAnsi="Meta Pro"/>
                <w:szCs w:val="18"/>
                <w:lang w:eastAsia="en-AU"/>
              </w:rPr>
            </w:pPr>
          </w:p>
        </w:tc>
        <w:tc>
          <w:tcPr>
            <w:tcW w:w="1156" w:type="dxa"/>
            <w:tcBorders>
              <w:top w:val="nil"/>
              <w:left w:val="nil"/>
              <w:bottom w:val="nil"/>
              <w:right w:val="nil"/>
            </w:tcBorders>
            <w:shd w:val="clear" w:color="000000" w:fill="C9E3B4"/>
            <w:noWrap/>
            <w:vAlign w:val="center"/>
            <w:hideMark/>
          </w:tcPr>
          <w:p w14:paraId="0C6191CB"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c>
          <w:tcPr>
            <w:tcW w:w="216" w:type="dxa"/>
            <w:tcBorders>
              <w:top w:val="nil"/>
              <w:left w:val="nil"/>
              <w:bottom w:val="nil"/>
              <w:right w:val="nil"/>
            </w:tcBorders>
            <w:shd w:val="clear" w:color="auto" w:fill="auto"/>
            <w:noWrap/>
            <w:vAlign w:val="center"/>
            <w:hideMark/>
          </w:tcPr>
          <w:p w14:paraId="1622C76E" w14:textId="77777777" w:rsidR="007E3E32" w:rsidRPr="00092B22" w:rsidRDefault="007E3E32"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4F4980A8"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r>
      <w:tr w:rsidR="007E3E32" w:rsidRPr="00092B22" w14:paraId="05D4D937" w14:textId="77777777" w:rsidTr="00E607DA">
        <w:trPr>
          <w:trHeight w:val="23"/>
        </w:trPr>
        <w:tc>
          <w:tcPr>
            <w:tcW w:w="6176" w:type="dxa"/>
            <w:tcBorders>
              <w:top w:val="nil"/>
              <w:left w:val="nil"/>
              <w:bottom w:val="nil"/>
              <w:right w:val="nil"/>
            </w:tcBorders>
            <w:shd w:val="clear" w:color="auto" w:fill="auto"/>
            <w:noWrap/>
            <w:vAlign w:val="center"/>
            <w:hideMark/>
          </w:tcPr>
          <w:p w14:paraId="204EB3BD" w14:textId="77777777" w:rsidR="007E3E32" w:rsidRPr="00092B22" w:rsidRDefault="007E3E32" w:rsidP="00E607DA">
            <w:pPr>
              <w:rPr>
                <w:rFonts w:ascii="Meta Pro" w:eastAsia="Times New Roman" w:hAnsi="Meta Pro"/>
                <w:i/>
                <w:iCs/>
                <w:szCs w:val="18"/>
                <w:lang w:eastAsia="en-AU"/>
              </w:rPr>
            </w:pPr>
            <w:r w:rsidRPr="00092B22">
              <w:rPr>
                <w:rFonts w:ascii="Meta Pro" w:eastAsia="Times New Roman" w:hAnsi="Meta Pro"/>
                <w:i/>
                <w:iCs/>
                <w:szCs w:val="18"/>
                <w:lang w:eastAsia="en-AU"/>
              </w:rPr>
              <w:t>Outflows:</w:t>
            </w:r>
          </w:p>
        </w:tc>
        <w:tc>
          <w:tcPr>
            <w:tcW w:w="1036" w:type="dxa"/>
            <w:tcBorders>
              <w:top w:val="nil"/>
              <w:left w:val="nil"/>
              <w:bottom w:val="nil"/>
              <w:right w:val="nil"/>
            </w:tcBorders>
            <w:shd w:val="clear" w:color="auto" w:fill="auto"/>
            <w:noWrap/>
            <w:vAlign w:val="center"/>
            <w:hideMark/>
          </w:tcPr>
          <w:p w14:paraId="0652209F" w14:textId="77777777" w:rsidR="007E3E32" w:rsidRPr="00092B22" w:rsidRDefault="007E3E32" w:rsidP="00E607DA">
            <w:pPr>
              <w:rPr>
                <w:rFonts w:ascii="Meta Pro" w:eastAsia="Times New Roman" w:hAnsi="Meta Pro"/>
                <w:i/>
                <w:iCs/>
                <w:szCs w:val="18"/>
                <w:lang w:eastAsia="en-AU"/>
              </w:rPr>
            </w:pPr>
          </w:p>
        </w:tc>
        <w:tc>
          <w:tcPr>
            <w:tcW w:w="1156" w:type="dxa"/>
            <w:tcBorders>
              <w:top w:val="nil"/>
              <w:left w:val="nil"/>
              <w:bottom w:val="nil"/>
              <w:right w:val="nil"/>
            </w:tcBorders>
            <w:shd w:val="clear" w:color="000000" w:fill="C9E3B4"/>
            <w:noWrap/>
            <w:vAlign w:val="center"/>
            <w:hideMark/>
          </w:tcPr>
          <w:p w14:paraId="17BA27C4" w14:textId="77777777" w:rsidR="007E3E32" w:rsidRPr="00092B22" w:rsidRDefault="007E3E32" w:rsidP="00E607DA">
            <w:pPr>
              <w:rPr>
                <w:rFonts w:ascii="Meta Pro" w:eastAsia="Times New Roman" w:hAnsi="Meta Pro"/>
                <w:i/>
                <w:iCs/>
                <w:szCs w:val="18"/>
                <w:lang w:eastAsia="en-AU"/>
              </w:rPr>
            </w:pPr>
            <w:r w:rsidRPr="00092B22">
              <w:rPr>
                <w:rFonts w:ascii="Meta Pro" w:eastAsia="Times New Roman" w:hAnsi="Meta Pro"/>
                <w:i/>
                <w:iCs/>
                <w:szCs w:val="18"/>
                <w:lang w:eastAsia="en-AU"/>
              </w:rPr>
              <w:t> </w:t>
            </w:r>
          </w:p>
        </w:tc>
        <w:tc>
          <w:tcPr>
            <w:tcW w:w="216" w:type="dxa"/>
            <w:tcBorders>
              <w:top w:val="nil"/>
              <w:left w:val="nil"/>
              <w:bottom w:val="nil"/>
              <w:right w:val="nil"/>
            </w:tcBorders>
            <w:shd w:val="clear" w:color="auto" w:fill="auto"/>
            <w:noWrap/>
            <w:vAlign w:val="center"/>
            <w:hideMark/>
          </w:tcPr>
          <w:p w14:paraId="5B943FED" w14:textId="77777777" w:rsidR="007E3E32" w:rsidRPr="00092B22" w:rsidRDefault="007E3E32" w:rsidP="00E607DA">
            <w:pPr>
              <w:rPr>
                <w:rFonts w:ascii="Meta Pro" w:eastAsia="Times New Roman" w:hAnsi="Meta Pro"/>
                <w:i/>
                <w:iCs/>
                <w:szCs w:val="18"/>
                <w:lang w:eastAsia="en-AU"/>
              </w:rPr>
            </w:pPr>
          </w:p>
        </w:tc>
        <w:tc>
          <w:tcPr>
            <w:tcW w:w="1156" w:type="dxa"/>
            <w:tcBorders>
              <w:top w:val="nil"/>
              <w:left w:val="nil"/>
              <w:bottom w:val="nil"/>
              <w:right w:val="nil"/>
            </w:tcBorders>
            <w:shd w:val="clear" w:color="auto" w:fill="auto"/>
            <w:noWrap/>
            <w:vAlign w:val="center"/>
            <w:hideMark/>
          </w:tcPr>
          <w:p w14:paraId="61654A00" w14:textId="77777777" w:rsidR="007E3E32" w:rsidRPr="00092B22" w:rsidRDefault="007E3E32" w:rsidP="00E607DA">
            <w:pPr>
              <w:jc w:val="right"/>
              <w:rPr>
                <w:rFonts w:ascii="Meta Pro" w:eastAsia="Times New Roman" w:hAnsi="Meta Pro" w:cs="Times New Roman"/>
                <w:sz w:val="20"/>
                <w:szCs w:val="20"/>
                <w:lang w:eastAsia="en-AU"/>
              </w:rPr>
            </w:pPr>
          </w:p>
        </w:tc>
      </w:tr>
      <w:tr w:rsidR="007E3E32" w:rsidRPr="00092B22" w14:paraId="78B14CC9" w14:textId="77777777" w:rsidTr="00E607DA">
        <w:trPr>
          <w:trHeight w:val="23"/>
        </w:trPr>
        <w:tc>
          <w:tcPr>
            <w:tcW w:w="6176" w:type="dxa"/>
            <w:tcBorders>
              <w:top w:val="nil"/>
              <w:left w:val="nil"/>
              <w:bottom w:val="nil"/>
              <w:right w:val="nil"/>
            </w:tcBorders>
            <w:shd w:val="clear" w:color="auto" w:fill="auto"/>
            <w:noWrap/>
            <w:vAlign w:val="center"/>
            <w:hideMark/>
          </w:tcPr>
          <w:p w14:paraId="519DC615" w14:textId="77777777" w:rsidR="007E3E32" w:rsidRPr="00092B22" w:rsidRDefault="007E3E32" w:rsidP="00E607DA">
            <w:pPr>
              <w:rPr>
                <w:rFonts w:ascii="Meta Pro" w:eastAsia="Times New Roman" w:hAnsi="Meta Pro"/>
                <w:szCs w:val="18"/>
                <w:lang w:eastAsia="en-AU"/>
              </w:rPr>
            </w:pPr>
            <w:r w:rsidRPr="00092B22">
              <w:rPr>
                <w:rFonts w:ascii="Meta Pro" w:eastAsia="Times New Roman" w:hAnsi="Meta Pro"/>
                <w:szCs w:val="18"/>
                <w:lang w:eastAsia="en-AU"/>
              </w:rPr>
              <w:t>Not later than one year</w:t>
            </w:r>
          </w:p>
        </w:tc>
        <w:tc>
          <w:tcPr>
            <w:tcW w:w="1036" w:type="dxa"/>
            <w:tcBorders>
              <w:top w:val="nil"/>
              <w:left w:val="nil"/>
              <w:bottom w:val="nil"/>
              <w:right w:val="nil"/>
            </w:tcBorders>
            <w:shd w:val="clear" w:color="auto" w:fill="auto"/>
            <w:noWrap/>
            <w:vAlign w:val="center"/>
            <w:hideMark/>
          </w:tcPr>
          <w:p w14:paraId="2CC4E8D3" w14:textId="77777777" w:rsidR="007E3E32" w:rsidRPr="00092B22" w:rsidRDefault="007E3E32" w:rsidP="00E607DA">
            <w:pPr>
              <w:rPr>
                <w:rFonts w:ascii="Meta Pro" w:eastAsia="Times New Roman" w:hAnsi="Meta Pro"/>
                <w:szCs w:val="18"/>
                <w:lang w:eastAsia="en-AU"/>
              </w:rPr>
            </w:pPr>
          </w:p>
        </w:tc>
        <w:tc>
          <w:tcPr>
            <w:tcW w:w="1156" w:type="dxa"/>
            <w:tcBorders>
              <w:top w:val="nil"/>
              <w:left w:val="nil"/>
              <w:bottom w:val="nil"/>
              <w:right w:val="nil"/>
            </w:tcBorders>
            <w:shd w:val="clear" w:color="000000" w:fill="C9E3B4"/>
            <w:noWrap/>
            <w:vAlign w:val="center"/>
            <w:hideMark/>
          </w:tcPr>
          <w:p w14:paraId="1924AE49"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(46,764)</w:t>
            </w:r>
          </w:p>
        </w:tc>
        <w:tc>
          <w:tcPr>
            <w:tcW w:w="216" w:type="dxa"/>
            <w:tcBorders>
              <w:top w:val="nil"/>
              <w:left w:val="nil"/>
              <w:bottom w:val="nil"/>
              <w:right w:val="nil"/>
            </w:tcBorders>
            <w:shd w:val="clear" w:color="auto" w:fill="auto"/>
            <w:noWrap/>
            <w:vAlign w:val="center"/>
            <w:hideMark/>
          </w:tcPr>
          <w:p w14:paraId="2F3EF2DF" w14:textId="77777777" w:rsidR="007E3E32" w:rsidRPr="00092B22" w:rsidRDefault="007E3E32"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1CF83260"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(98,656)</w:t>
            </w:r>
          </w:p>
        </w:tc>
      </w:tr>
      <w:tr w:rsidR="007E3E32" w:rsidRPr="00092B22" w14:paraId="6FA20AAC" w14:textId="77777777" w:rsidTr="00E607DA">
        <w:trPr>
          <w:trHeight w:val="23"/>
        </w:trPr>
        <w:tc>
          <w:tcPr>
            <w:tcW w:w="6176" w:type="dxa"/>
            <w:tcBorders>
              <w:top w:val="nil"/>
              <w:left w:val="nil"/>
              <w:bottom w:val="nil"/>
              <w:right w:val="nil"/>
            </w:tcBorders>
            <w:shd w:val="clear" w:color="auto" w:fill="auto"/>
            <w:noWrap/>
            <w:vAlign w:val="center"/>
            <w:hideMark/>
          </w:tcPr>
          <w:p w14:paraId="44DBB8E6" w14:textId="77777777" w:rsidR="007E3E32" w:rsidRPr="00092B22" w:rsidRDefault="007E3E32" w:rsidP="00E607DA">
            <w:pPr>
              <w:rPr>
                <w:rFonts w:ascii="Meta Pro" w:eastAsia="Times New Roman" w:hAnsi="Meta Pro"/>
                <w:szCs w:val="18"/>
                <w:lang w:eastAsia="en-AU"/>
              </w:rPr>
            </w:pPr>
            <w:r w:rsidRPr="00092B22">
              <w:rPr>
                <w:rFonts w:ascii="Meta Pro" w:eastAsia="Times New Roman" w:hAnsi="Meta Pro"/>
                <w:szCs w:val="18"/>
                <w:lang w:eastAsia="en-AU"/>
              </w:rPr>
              <w:t>Later than one year but not later than five years</w:t>
            </w:r>
          </w:p>
        </w:tc>
        <w:tc>
          <w:tcPr>
            <w:tcW w:w="1036" w:type="dxa"/>
            <w:tcBorders>
              <w:top w:val="nil"/>
              <w:left w:val="nil"/>
              <w:bottom w:val="nil"/>
              <w:right w:val="nil"/>
            </w:tcBorders>
            <w:shd w:val="clear" w:color="auto" w:fill="auto"/>
            <w:noWrap/>
            <w:vAlign w:val="center"/>
            <w:hideMark/>
          </w:tcPr>
          <w:p w14:paraId="3C512F63" w14:textId="77777777" w:rsidR="007E3E32" w:rsidRPr="00092B22" w:rsidRDefault="007E3E32" w:rsidP="00E607DA">
            <w:pPr>
              <w:rPr>
                <w:rFonts w:ascii="Meta Pro" w:eastAsia="Times New Roman" w:hAnsi="Meta Pro"/>
                <w:szCs w:val="18"/>
                <w:lang w:eastAsia="en-AU"/>
              </w:rPr>
            </w:pPr>
          </w:p>
        </w:tc>
        <w:tc>
          <w:tcPr>
            <w:tcW w:w="1156" w:type="dxa"/>
            <w:tcBorders>
              <w:top w:val="nil"/>
              <w:left w:val="nil"/>
              <w:bottom w:val="nil"/>
              <w:right w:val="nil"/>
            </w:tcBorders>
            <w:shd w:val="clear" w:color="000000" w:fill="C9E3B4"/>
            <w:noWrap/>
            <w:vAlign w:val="center"/>
            <w:hideMark/>
          </w:tcPr>
          <w:p w14:paraId="1193CF05"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(356,386)</w:t>
            </w:r>
          </w:p>
        </w:tc>
        <w:tc>
          <w:tcPr>
            <w:tcW w:w="216" w:type="dxa"/>
            <w:tcBorders>
              <w:top w:val="nil"/>
              <w:left w:val="nil"/>
              <w:bottom w:val="nil"/>
              <w:right w:val="nil"/>
            </w:tcBorders>
            <w:shd w:val="clear" w:color="auto" w:fill="auto"/>
            <w:noWrap/>
            <w:vAlign w:val="center"/>
            <w:hideMark/>
          </w:tcPr>
          <w:p w14:paraId="6E79B56D" w14:textId="77777777" w:rsidR="007E3E32" w:rsidRPr="00092B22" w:rsidRDefault="007E3E32"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4E3202CB"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(666,892)</w:t>
            </w:r>
          </w:p>
        </w:tc>
      </w:tr>
      <w:tr w:rsidR="007E3E32" w:rsidRPr="00092B22" w14:paraId="150A776D" w14:textId="77777777" w:rsidTr="00E607DA">
        <w:trPr>
          <w:trHeight w:val="23"/>
        </w:trPr>
        <w:tc>
          <w:tcPr>
            <w:tcW w:w="6176" w:type="dxa"/>
            <w:tcBorders>
              <w:top w:val="nil"/>
              <w:left w:val="nil"/>
              <w:bottom w:val="nil"/>
              <w:right w:val="nil"/>
            </w:tcBorders>
            <w:shd w:val="clear" w:color="auto" w:fill="auto"/>
            <w:noWrap/>
            <w:vAlign w:val="center"/>
            <w:hideMark/>
          </w:tcPr>
          <w:p w14:paraId="36805C06" w14:textId="77777777" w:rsidR="007E3E32" w:rsidRPr="00092B22" w:rsidRDefault="007E3E32" w:rsidP="00E607DA">
            <w:pPr>
              <w:rPr>
                <w:rFonts w:ascii="Meta Pro" w:eastAsia="Times New Roman" w:hAnsi="Meta Pro"/>
                <w:szCs w:val="18"/>
                <w:lang w:eastAsia="en-AU"/>
              </w:rPr>
            </w:pPr>
            <w:r w:rsidRPr="00092B22">
              <w:rPr>
                <w:rFonts w:ascii="Meta Pro" w:eastAsia="Times New Roman" w:hAnsi="Meta Pro"/>
                <w:szCs w:val="18"/>
                <w:lang w:eastAsia="en-AU"/>
              </w:rPr>
              <w:t>Later than five years but not later than ten years</w:t>
            </w:r>
          </w:p>
        </w:tc>
        <w:tc>
          <w:tcPr>
            <w:tcW w:w="1036" w:type="dxa"/>
            <w:tcBorders>
              <w:top w:val="nil"/>
              <w:left w:val="nil"/>
              <w:bottom w:val="nil"/>
              <w:right w:val="nil"/>
            </w:tcBorders>
            <w:shd w:val="clear" w:color="auto" w:fill="auto"/>
            <w:noWrap/>
            <w:vAlign w:val="center"/>
            <w:hideMark/>
          </w:tcPr>
          <w:p w14:paraId="75572F9D" w14:textId="77777777" w:rsidR="007E3E32" w:rsidRPr="00092B22" w:rsidRDefault="007E3E32" w:rsidP="00E607DA">
            <w:pPr>
              <w:rPr>
                <w:rFonts w:ascii="Meta Pro" w:eastAsia="Times New Roman" w:hAnsi="Meta Pro"/>
                <w:szCs w:val="18"/>
                <w:lang w:eastAsia="en-AU"/>
              </w:rPr>
            </w:pPr>
          </w:p>
        </w:tc>
        <w:tc>
          <w:tcPr>
            <w:tcW w:w="1156" w:type="dxa"/>
            <w:tcBorders>
              <w:top w:val="nil"/>
              <w:left w:val="nil"/>
              <w:bottom w:val="nil"/>
              <w:right w:val="nil"/>
            </w:tcBorders>
            <w:shd w:val="clear" w:color="000000" w:fill="C9E3B4"/>
            <w:noWrap/>
            <w:vAlign w:val="center"/>
            <w:hideMark/>
          </w:tcPr>
          <w:p w14:paraId="2CCA8748"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(812,509)</w:t>
            </w:r>
          </w:p>
        </w:tc>
        <w:tc>
          <w:tcPr>
            <w:tcW w:w="216" w:type="dxa"/>
            <w:tcBorders>
              <w:top w:val="nil"/>
              <w:left w:val="nil"/>
              <w:bottom w:val="nil"/>
              <w:right w:val="nil"/>
            </w:tcBorders>
            <w:shd w:val="clear" w:color="auto" w:fill="auto"/>
            <w:noWrap/>
            <w:vAlign w:val="center"/>
            <w:hideMark/>
          </w:tcPr>
          <w:p w14:paraId="70B4A8B3" w14:textId="77777777" w:rsidR="007E3E32" w:rsidRPr="00092B22" w:rsidRDefault="007E3E32"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5DB8C92C"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(723,933)</w:t>
            </w:r>
          </w:p>
        </w:tc>
      </w:tr>
      <w:tr w:rsidR="007E3E32" w:rsidRPr="00092B22" w14:paraId="72A91415" w14:textId="77777777" w:rsidTr="00E607DA">
        <w:trPr>
          <w:trHeight w:val="23"/>
        </w:trPr>
        <w:tc>
          <w:tcPr>
            <w:tcW w:w="6176" w:type="dxa"/>
            <w:tcBorders>
              <w:top w:val="nil"/>
              <w:left w:val="nil"/>
              <w:bottom w:val="nil"/>
              <w:right w:val="nil"/>
            </w:tcBorders>
            <w:shd w:val="clear" w:color="auto" w:fill="auto"/>
            <w:noWrap/>
            <w:vAlign w:val="center"/>
            <w:hideMark/>
          </w:tcPr>
          <w:p w14:paraId="4D944D4A" w14:textId="77777777" w:rsidR="007E3E32" w:rsidRPr="00092B22" w:rsidRDefault="007E3E32" w:rsidP="00E607DA">
            <w:pPr>
              <w:rPr>
                <w:rFonts w:ascii="Meta Pro" w:eastAsia="Times New Roman" w:hAnsi="Meta Pro"/>
                <w:szCs w:val="18"/>
                <w:lang w:eastAsia="en-AU"/>
              </w:rPr>
            </w:pPr>
            <w:r w:rsidRPr="00092B22">
              <w:rPr>
                <w:rFonts w:ascii="Meta Pro" w:eastAsia="Times New Roman" w:hAnsi="Meta Pro"/>
                <w:szCs w:val="18"/>
                <w:lang w:eastAsia="en-AU"/>
              </w:rPr>
              <w:t>Later than ten years</w:t>
            </w:r>
          </w:p>
        </w:tc>
        <w:tc>
          <w:tcPr>
            <w:tcW w:w="1036" w:type="dxa"/>
            <w:tcBorders>
              <w:top w:val="nil"/>
              <w:left w:val="nil"/>
              <w:bottom w:val="nil"/>
              <w:right w:val="nil"/>
            </w:tcBorders>
            <w:shd w:val="clear" w:color="auto" w:fill="auto"/>
            <w:noWrap/>
            <w:vAlign w:val="center"/>
            <w:hideMark/>
          </w:tcPr>
          <w:p w14:paraId="4D65EEAB" w14:textId="77777777" w:rsidR="007E3E32" w:rsidRPr="00092B22" w:rsidRDefault="007E3E32" w:rsidP="00E607DA">
            <w:pPr>
              <w:rPr>
                <w:rFonts w:ascii="Meta Pro" w:eastAsia="Times New Roman" w:hAnsi="Meta Pro"/>
                <w:szCs w:val="18"/>
                <w:lang w:eastAsia="en-AU"/>
              </w:rPr>
            </w:pPr>
          </w:p>
        </w:tc>
        <w:tc>
          <w:tcPr>
            <w:tcW w:w="1156" w:type="dxa"/>
            <w:tcBorders>
              <w:top w:val="nil"/>
              <w:left w:val="nil"/>
              <w:bottom w:val="nil"/>
              <w:right w:val="nil"/>
            </w:tcBorders>
            <w:shd w:val="clear" w:color="000000" w:fill="C9E3B4"/>
            <w:noWrap/>
            <w:vAlign w:val="center"/>
            <w:hideMark/>
          </w:tcPr>
          <w:p w14:paraId="5A81E758"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(2,512,194)</w:t>
            </w:r>
          </w:p>
        </w:tc>
        <w:tc>
          <w:tcPr>
            <w:tcW w:w="216" w:type="dxa"/>
            <w:tcBorders>
              <w:top w:val="nil"/>
              <w:left w:val="nil"/>
              <w:bottom w:val="nil"/>
              <w:right w:val="nil"/>
            </w:tcBorders>
            <w:shd w:val="clear" w:color="auto" w:fill="auto"/>
            <w:noWrap/>
            <w:vAlign w:val="center"/>
            <w:hideMark/>
          </w:tcPr>
          <w:p w14:paraId="4494F0E9" w14:textId="77777777" w:rsidR="007E3E32" w:rsidRPr="00092B22" w:rsidRDefault="007E3E32"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20EB0199"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(2,385,094)</w:t>
            </w:r>
          </w:p>
        </w:tc>
      </w:tr>
      <w:tr w:rsidR="007E3E32" w:rsidRPr="00092B22" w14:paraId="786294FD" w14:textId="77777777" w:rsidTr="00E607DA">
        <w:trPr>
          <w:trHeight w:val="23"/>
        </w:trPr>
        <w:tc>
          <w:tcPr>
            <w:tcW w:w="6176" w:type="dxa"/>
            <w:tcBorders>
              <w:top w:val="single" w:sz="4" w:space="0" w:color="auto"/>
              <w:left w:val="nil"/>
              <w:bottom w:val="double" w:sz="6" w:space="0" w:color="auto"/>
              <w:right w:val="nil"/>
            </w:tcBorders>
            <w:shd w:val="clear" w:color="auto" w:fill="auto"/>
            <w:noWrap/>
            <w:vAlign w:val="center"/>
            <w:hideMark/>
          </w:tcPr>
          <w:p w14:paraId="5B747119" w14:textId="77777777" w:rsidR="007E3E32" w:rsidRPr="00092B22" w:rsidRDefault="007E3E32" w:rsidP="00E607DA">
            <w:pPr>
              <w:rPr>
                <w:rFonts w:ascii="Meta Pro" w:eastAsia="Times New Roman" w:hAnsi="Meta Pro"/>
                <w:b/>
                <w:bCs/>
                <w:szCs w:val="18"/>
                <w:lang w:eastAsia="en-AU"/>
              </w:rPr>
            </w:pPr>
            <w:r w:rsidRPr="00092B22">
              <w:rPr>
                <w:rFonts w:ascii="Meta Pro" w:eastAsia="Times New Roman" w:hAnsi="Meta Pro"/>
                <w:b/>
                <w:bCs/>
                <w:szCs w:val="18"/>
                <w:lang w:eastAsia="en-AU"/>
              </w:rPr>
              <w:t>Estimated net cash flow</w:t>
            </w:r>
          </w:p>
        </w:tc>
        <w:tc>
          <w:tcPr>
            <w:tcW w:w="1036" w:type="dxa"/>
            <w:tcBorders>
              <w:top w:val="single" w:sz="4" w:space="0" w:color="auto"/>
              <w:left w:val="nil"/>
              <w:bottom w:val="double" w:sz="6" w:space="0" w:color="auto"/>
              <w:right w:val="nil"/>
            </w:tcBorders>
            <w:shd w:val="clear" w:color="auto" w:fill="auto"/>
            <w:noWrap/>
            <w:vAlign w:val="center"/>
            <w:hideMark/>
          </w:tcPr>
          <w:p w14:paraId="1D23B582" w14:textId="77777777" w:rsidR="007E3E32" w:rsidRPr="00092B22" w:rsidRDefault="007E3E32" w:rsidP="00E607DA">
            <w:pPr>
              <w:jc w:val="center"/>
              <w:rPr>
                <w:rFonts w:ascii="Meta Pro" w:eastAsia="Times New Roman" w:hAnsi="Meta Pro"/>
                <w:szCs w:val="18"/>
                <w:lang w:eastAsia="en-AU"/>
              </w:rPr>
            </w:pPr>
            <w:r w:rsidRPr="00092B22">
              <w:rPr>
                <w:rFonts w:ascii="Meta Pro" w:eastAsia="Times New Roman" w:hAnsi="Meta Pro"/>
                <w:szCs w:val="18"/>
                <w:lang w:eastAsia="en-AU"/>
              </w:rPr>
              <w:t> </w:t>
            </w:r>
          </w:p>
        </w:tc>
        <w:tc>
          <w:tcPr>
            <w:tcW w:w="1156" w:type="dxa"/>
            <w:tcBorders>
              <w:top w:val="single" w:sz="4" w:space="0" w:color="auto"/>
              <w:left w:val="nil"/>
              <w:bottom w:val="double" w:sz="6" w:space="0" w:color="auto"/>
              <w:right w:val="nil"/>
            </w:tcBorders>
            <w:shd w:val="clear" w:color="000000" w:fill="C9E3B4"/>
            <w:noWrap/>
            <w:vAlign w:val="center"/>
            <w:hideMark/>
          </w:tcPr>
          <w:p w14:paraId="7DF70581" w14:textId="77777777" w:rsidR="007E3E32" w:rsidRPr="00092B22" w:rsidRDefault="007E3E32"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(3,727,853)</w:t>
            </w:r>
          </w:p>
        </w:tc>
        <w:tc>
          <w:tcPr>
            <w:tcW w:w="216" w:type="dxa"/>
            <w:tcBorders>
              <w:top w:val="single" w:sz="4" w:space="0" w:color="auto"/>
              <w:left w:val="nil"/>
              <w:bottom w:val="double" w:sz="6" w:space="0" w:color="auto"/>
              <w:right w:val="nil"/>
            </w:tcBorders>
            <w:shd w:val="clear" w:color="auto" w:fill="auto"/>
            <w:noWrap/>
            <w:vAlign w:val="center"/>
            <w:hideMark/>
          </w:tcPr>
          <w:p w14:paraId="089B186F"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41050376" w14:textId="77777777" w:rsidR="007E3E32" w:rsidRPr="00092B22" w:rsidRDefault="007E3E32"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(3,874,575)</w:t>
            </w:r>
          </w:p>
        </w:tc>
      </w:tr>
      <w:tr w:rsidR="007E3E32" w:rsidRPr="00092B22" w14:paraId="0D968269" w14:textId="77777777" w:rsidTr="00E607DA">
        <w:trPr>
          <w:trHeight w:val="270"/>
        </w:trPr>
        <w:tc>
          <w:tcPr>
            <w:tcW w:w="6176" w:type="dxa"/>
            <w:tcBorders>
              <w:top w:val="nil"/>
              <w:left w:val="nil"/>
              <w:bottom w:val="nil"/>
              <w:right w:val="nil"/>
            </w:tcBorders>
            <w:shd w:val="clear" w:color="auto" w:fill="auto"/>
            <w:noWrap/>
            <w:vAlign w:val="center"/>
            <w:hideMark/>
          </w:tcPr>
          <w:p w14:paraId="78FAA6EB" w14:textId="77777777" w:rsidR="007E3E32" w:rsidRPr="00092B22" w:rsidRDefault="007E3E32" w:rsidP="00E607DA">
            <w:pPr>
              <w:jc w:val="right"/>
              <w:rPr>
                <w:rFonts w:ascii="Meta Pro" w:eastAsia="Times New Roman" w:hAnsi="Meta Pro"/>
                <w:b/>
                <w:bCs/>
                <w:szCs w:val="18"/>
                <w:lang w:eastAsia="en-AU"/>
              </w:rPr>
            </w:pPr>
          </w:p>
        </w:tc>
        <w:tc>
          <w:tcPr>
            <w:tcW w:w="1036" w:type="dxa"/>
            <w:tcBorders>
              <w:top w:val="nil"/>
              <w:left w:val="nil"/>
              <w:bottom w:val="nil"/>
              <w:right w:val="nil"/>
            </w:tcBorders>
            <w:shd w:val="clear" w:color="auto" w:fill="auto"/>
            <w:vAlign w:val="center"/>
            <w:hideMark/>
          </w:tcPr>
          <w:p w14:paraId="42E26CB3" w14:textId="77777777" w:rsidR="007E3E32" w:rsidRPr="00092B22" w:rsidRDefault="007E3E32" w:rsidP="00E607DA">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vAlign w:val="center"/>
            <w:hideMark/>
          </w:tcPr>
          <w:p w14:paraId="0370D517" w14:textId="77777777" w:rsidR="007E3E32" w:rsidRPr="00092B22" w:rsidRDefault="007E3E32" w:rsidP="00E607DA">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1AAB8077" w14:textId="77777777" w:rsidR="007E3E32" w:rsidRPr="00092B22" w:rsidRDefault="007E3E32" w:rsidP="00E607DA">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vAlign w:val="center"/>
            <w:hideMark/>
          </w:tcPr>
          <w:p w14:paraId="406C160B" w14:textId="77777777" w:rsidR="007E3E32" w:rsidRPr="00092B22" w:rsidRDefault="007E3E32" w:rsidP="00E607DA">
            <w:pPr>
              <w:jc w:val="right"/>
              <w:rPr>
                <w:rFonts w:ascii="Meta Pro" w:eastAsia="Times New Roman" w:hAnsi="Meta Pro" w:cs="Times New Roman"/>
                <w:sz w:val="20"/>
                <w:szCs w:val="20"/>
                <w:lang w:eastAsia="en-AU"/>
              </w:rPr>
            </w:pPr>
          </w:p>
        </w:tc>
      </w:tr>
      <w:tr w:rsidR="007E3E32" w:rsidRPr="00092B22" w14:paraId="70296574" w14:textId="77777777" w:rsidTr="00E607DA">
        <w:trPr>
          <w:trHeight w:val="23"/>
        </w:trPr>
        <w:tc>
          <w:tcPr>
            <w:tcW w:w="6176" w:type="dxa"/>
            <w:tcBorders>
              <w:top w:val="nil"/>
              <w:left w:val="nil"/>
              <w:bottom w:val="nil"/>
              <w:right w:val="nil"/>
            </w:tcBorders>
            <w:shd w:val="clear" w:color="auto" w:fill="auto"/>
            <w:noWrap/>
            <w:vAlign w:val="center"/>
            <w:hideMark/>
          </w:tcPr>
          <w:p w14:paraId="6215A486" w14:textId="77777777" w:rsidR="007E3E32" w:rsidRPr="00092B22" w:rsidRDefault="007E3E32" w:rsidP="00E607DA">
            <w:pPr>
              <w:rPr>
                <w:rFonts w:ascii="Meta Pro" w:eastAsia="Times New Roman" w:hAnsi="Meta Pro"/>
                <w:b/>
                <w:bCs/>
                <w:szCs w:val="18"/>
                <w:lang w:eastAsia="en-AU"/>
              </w:rPr>
            </w:pPr>
            <w:r w:rsidRPr="00092B22">
              <w:rPr>
                <w:rFonts w:ascii="Meta Pro" w:eastAsia="Times New Roman" w:hAnsi="Meta Pro"/>
                <w:b/>
                <w:bCs/>
                <w:szCs w:val="18"/>
                <w:lang w:eastAsia="en-AU"/>
              </w:rPr>
              <w:t>Operating statement impact</w:t>
            </w:r>
          </w:p>
        </w:tc>
        <w:tc>
          <w:tcPr>
            <w:tcW w:w="1036" w:type="dxa"/>
            <w:tcBorders>
              <w:top w:val="nil"/>
              <w:left w:val="nil"/>
              <w:bottom w:val="nil"/>
              <w:right w:val="nil"/>
            </w:tcBorders>
            <w:shd w:val="clear" w:color="auto" w:fill="auto"/>
            <w:noWrap/>
            <w:vAlign w:val="center"/>
            <w:hideMark/>
          </w:tcPr>
          <w:p w14:paraId="7355933A" w14:textId="77777777" w:rsidR="007E3E32" w:rsidRPr="00092B22" w:rsidRDefault="007E3E32" w:rsidP="00E607DA">
            <w:pPr>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34FDFD26" w14:textId="77777777" w:rsidR="007E3E32" w:rsidRPr="00092B22" w:rsidRDefault="007E3E32" w:rsidP="00E607DA">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0EE575FF" w14:textId="77777777" w:rsidR="007E3E32" w:rsidRPr="00092B22" w:rsidRDefault="007E3E32" w:rsidP="00E607DA">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13EC6D4A" w14:textId="77777777" w:rsidR="007E3E32" w:rsidRPr="00092B22" w:rsidRDefault="007E3E32" w:rsidP="00E607DA">
            <w:pPr>
              <w:jc w:val="right"/>
              <w:rPr>
                <w:rFonts w:ascii="Meta Pro" w:eastAsia="Times New Roman" w:hAnsi="Meta Pro" w:cs="Times New Roman"/>
                <w:sz w:val="20"/>
                <w:szCs w:val="20"/>
                <w:lang w:eastAsia="en-AU"/>
              </w:rPr>
            </w:pPr>
          </w:p>
        </w:tc>
      </w:tr>
      <w:tr w:rsidR="007E3E32" w:rsidRPr="00092B22" w14:paraId="2480C942" w14:textId="77777777" w:rsidTr="00E607DA">
        <w:trPr>
          <w:trHeight w:val="23"/>
        </w:trPr>
        <w:tc>
          <w:tcPr>
            <w:tcW w:w="6176" w:type="dxa"/>
            <w:tcBorders>
              <w:top w:val="nil"/>
              <w:left w:val="nil"/>
              <w:bottom w:val="nil"/>
              <w:right w:val="nil"/>
            </w:tcBorders>
            <w:shd w:val="clear" w:color="auto" w:fill="auto"/>
            <w:noWrap/>
            <w:vAlign w:val="center"/>
            <w:hideMark/>
          </w:tcPr>
          <w:p w14:paraId="7F260E78" w14:textId="77777777" w:rsidR="007E3E32" w:rsidRPr="00092B22" w:rsidRDefault="007E3E32" w:rsidP="00E607DA">
            <w:pPr>
              <w:rPr>
                <w:rFonts w:ascii="Meta Pro" w:eastAsia="Times New Roman" w:hAnsi="Meta Pro"/>
                <w:b/>
                <w:bCs/>
                <w:szCs w:val="18"/>
                <w:lang w:eastAsia="en-AU"/>
              </w:rPr>
            </w:pPr>
            <w:r w:rsidRPr="00092B22">
              <w:rPr>
                <w:rFonts w:ascii="Meta Pro" w:eastAsia="Times New Roman" w:hAnsi="Meta Pro"/>
                <w:b/>
                <w:bCs/>
                <w:szCs w:val="18"/>
                <w:lang w:eastAsia="en-AU"/>
              </w:rPr>
              <w:t>Expenses</w:t>
            </w:r>
          </w:p>
        </w:tc>
        <w:tc>
          <w:tcPr>
            <w:tcW w:w="1036" w:type="dxa"/>
            <w:tcBorders>
              <w:top w:val="nil"/>
              <w:left w:val="nil"/>
              <w:bottom w:val="nil"/>
              <w:right w:val="nil"/>
            </w:tcBorders>
            <w:shd w:val="clear" w:color="auto" w:fill="auto"/>
            <w:noWrap/>
            <w:vAlign w:val="center"/>
            <w:hideMark/>
          </w:tcPr>
          <w:p w14:paraId="72061132" w14:textId="77777777" w:rsidR="007E3E32" w:rsidRPr="00092B22" w:rsidRDefault="007E3E32" w:rsidP="00E607DA">
            <w:pPr>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6DCE91E3" w14:textId="77777777" w:rsidR="007E3E32" w:rsidRPr="00092B22" w:rsidRDefault="007E3E32" w:rsidP="00E607DA">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28BFB2DE" w14:textId="77777777" w:rsidR="007E3E32" w:rsidRPr="00092B22" w:rsidRDefault="007E3E32" w:rsidP="00E607DA">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5D3DBCCC" w14:textId="77777777" w:rsidR="007E3E32" w:rsidRPr="00092B22" w:rsidRDefault="007E3E32" w:rsidP="00E607DA">
            <w:pPr>
              <w:jc w:val="right"/>
              <w:rPr>
                <w:rFonts w:ascii="Meta Pro" w:eastAsia="Times New Roman" w:hAnsi="Meta Pro" w:cs="Times New Roman"/>
                <w:sz w:val="20"/>
                <w:szCs w:val="20"/>
                <w:lang w:eastAsia="en-AU"/>
              </w:rPr>
            </w:pPr>
          </w:p>
        </w:tc>
      </w:tr>
      <w:tr w:rsidR="007E3E32" w:rsidRPr="00092B22" w14:paraId="16D2D2BC" w14:textId="77777777" w:rsidTr="00E607DA">
        <w:trPr>
          <w:trHeight w:val="23"/>
        </w:trPr>
        <w:tc>
          <w:tcPr>
            <w:tcW w:w="6176" w:type="dxa"/>
            <w:tcBorders>
              <w:top w:val="nil"/>
              <w:left w:val="nil"/>
              <w:bottom w:val="nil"/>
              <w:right w:val="nil"/>
            </w:tcBorders>
            <w:shd w:val="clear" w:color="auto" w:fill="auto"/>
            <w:noWrap/>
            <w:vAlign w:val="center"/>
            <w:hideMark/>
          </w:tcPr>
          <w:p w14:paraId="7BB5B912" w14:textId="77777777" w:rsidR="007E3E32" w:rsidRPr="00092B22" w:rsidRDefault="007E3E32" w:rsidP="00E607DA">
            <w:pPr>
              <w:rPr>
                <w:rFonts w:ascii="Meta Pro" w:eastAsia="Times New Roman" w:hAnsi="Meta Pro"/>
                <w:szCs w:val="18"/>
                <w:lang w:eastAsia="en-AU"/>
              </w:rPr>
            </w:pPr>
            <w:r w:rsidRPr="00092B22">
              <w:rPr>
                <w:rFonts w:ascii="Meta Pro" w:eastAsia="Times New Roman" w:hAnsi="Meta Pro"/>
                <w:szCs w:val="18"/>
                <w:lang w:eastAsia="en-AU"/>
              </w:rPr>
              <w:t>Depreciation</w:t>
            </w:r>
          </w:p>
        </w:tc>
        <w:tc>
          <w:tcPr>
            <w:tcW w:w="1036" w:type="dxa"/>
            <w:tcBorders>
              <w:top w:val="nil"/>
              <w:left w:val="nil"/>
              <w:bottom w:val="nil"/>
              <w:right w:val="nil"/>
            </w:tcBorders>
            <w:shd w:val="clear" w:color="auto" w:fill="auto"/>
            <w:noWrap/>
            <w:vAlign w:val="center"/>
            <w:hideMark/>
          </w:tcPr>
          <w:p w14:paraId="0589EE6A" w14:textId="77777777" w:rsidR="007E3E32" w:rsidRPr="00092B22" w:rsidRDefault="007E3E32" w:rsidP="00E607DA">
            <w:pPr>
              <w:jc w:val="center"/>
              <w:rPr>
                <w:rFonts w:ascii="Meta Pro" w:eastAsia="Times New Roman" w:hAnsi="Meta Pro"/>
                <w:szCs w:val="18"/>
                <w:lang w:eastAsia="en-AU"/>
              </w:rPr>
            </w:pPr>
            <w:r w:rsidRPr="00092B22">
              <w:rPr>
                <w:rFonts w:ascii="Meta Pro" w:eastAsia="Times New Roman" w:hAnsi="Meta Pro"/>
                <w:szCs w:val="18"/>
                <w:lang w:eastAsia="en-AU"/>
              </w:rPr>
              <w:t xml:space="preserve">10 </w:t>
            </w:r>
          </w:p>
        </w:tc>
        <w:tc>
          <w:tcPr>
            <w:tcW w:w="1156" w:type="dxa"/>
            <w:tcBorders>
              <w:top w:val="nil"/>
              <w:left w:val="nil"/>
              <w:bottom w:val="nil"/>
              <w:right w:val="nil"/>
            </w:tcBorders>
            <w:shd w:val="clear" w:color="000000" w:fill="C9E3B4"/>
            <w:noWrap/>
            <w:vAlign w:val="center"/>
            <w:hideMark/>
          </w:tcPr>
          <w:p w14:paraId="178C0A30"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49,659 </w:t>
            </w:r>
          </w:p>
        </w:tc>
        <w:tc>
          <w:tcPr>
            <w:tcW w:w="216" w:type="dxa"/>
            <w:tcBorders>
              <w:top w:val="nil"/>
              <w:left w:val="nil"/>
              <w:bottom w:val="nil"/>
              <w:right w:val="nil"/>
            </w:tcBorders>
            <w:shd w:val="clear" w:color="auto" w:fill="auto"/>
            <w:noWrap/>
            <w:vAlign w:val="center"/>
            <w:hideMark/>
          </w:tcPr>
          <w:p w14:paraId="726F9752" w14:textId="77777777" w:rsidR="007E3E32" w:rsidRPr="00092B22" w:rsidRDefault="007E3E32"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3E0D145C"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47,718 </w:t>
            </w:r>
          </w:p>
        </w:tc>
      </w:tr>
      <w:tr w:rsidR="007E3E32" w:rsidRPr="00092B22" w14:paraId="0FEB6378" w14:textId="77777777" w:rsidTr="00E607DA">
        <w:trPr>
          <w:trHeight w:val="23"/>
        </w:trPr>
        <w:tc>
          <w:tcPr>
            <w:tcW w:w="6176" w:type="dxa"/>
            <w:tcBorders>
              <w:top w:val="nil"/>
              <w:left w:val="nil"/>
              <w:bottom w:val="nil"/>
              <w:right w:val="nil"/>
            </w:tcBorders>
            <w:shd w:val="clear" w:color="auto" w:fill="auto"/>
            <w:noWrap/>
            <w:vAlign w:val="center"/>
            <w:hideMark/>
          </w:tcPr>
          <w:p w14:paraId="30EB2A73" w14:textId="77777777" w:rsidR="007E3E32" w:rsidRPr="00092B22" w:rsidRDefault="007E3E32" w:rsidP="00E607DA">
            <w:pPr>
              <w:rPr>
                <w:rFonts w:ascii="Meta Pro" w:eastAsia="Times New Roman" w:hAnsi="Meta Pro"/>
                <w:szCs w:val="18"/>
                <w:lang w:eastAsia="en-AU"/>
              </w:rPr>
            </w:pPr>
            <w:r w:rsidRPr="00092B22">
              <w:rPr>
                <w:rFonts w:ascii="Meta Pro" w:eastAsia="Times New Roman" w:hAnsi="Meta Pro"/>
                <w:szCs w:val="18"/>
                <w:lang w:eastAsia="en-AU"/>
              </w:rPr>
              <w:t>Interest</w:t>
            </w:r>
          </w:p>
        </w:tc>
        <w:tc>
          <w:tcPr>
            <w:tcW w:w="1036" w:type="dxa"/>
            <w:tcBorders>
              <w:top w:val="nil"/>
              <w:left w:val="nil"/>
              <w:bottom w:val="nil"/>
              <w:right w:val="nil"/>
            </w:tcBorders>
            <w:shd w:val="clear" w:color="auto" w:fill="auto"/>
            <w:noWrap/>
            <w:vAlign w:val="center"/>
            <w:hideMark/>
          </w:tcPr>
          <w:p w14:paraId="48C84170" w14:textId="77777777" w:rsidR="007E3E32" w:rsidRPr="00092B22" w:rsidRDefault="007E3E32" w:rsidP="00E607DA">
            <w:pPr>
              <w:jc w:val="center"/>
              <w:rPr>
                <w:rFonts w:ascii="Meta Pro" w:eastAsia="Times New Roman" w:hAnsi="Meta Pro"/>
                <w:szCs w:val="18"/>
                <w:lang w:eastAsia="en-AU"/>
              </w:rPr>
            </w:pPr>
            <w:r w:rsidRPr="00092B22">
              <w:rPr>
                <w:rFonts w:ascii="Meta Pro" w:eastAsia="Times New Roman" w:hAnsi="Meta Pro"/>
                <w:szCs w:val="18"/>
                <w:lang w:eastAsia="en-AU"/>
              </w:rPr>
              <w:t xml:space="preserve">9 </w:t>
            </w:r>
          </w:p>
        </w:tc>
        <w:tc>
          <w:tcPr>
            <w:tcW w:w="1156" w:type="dxa"/>
            <w:tcBorders>
              <w:top w:val="nil"/>
              <w:left w:val="nil"/>
              <w:bottom w:val="nil"/>
              <w:right w:val="nil"/>
            </w:tcBorders>
            <w:shd w:val="clear" w:color="000000" w:fill="C9E3B4"/>
            <w:noWrap/>
            <w:vAlign w:val="center"/>
            <w:hideMark/>
          </w:tcPr>
          <w:p w14:paraId="4583405A"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33,228 </w:t>
            </w:r>
          </w:p>
        </w:tc>
        <w:tc>
          <w:tcPr>
            <w:tcW w:w="216" w:type="dxa"/>
            <w:tcBorders>
              <w:top w:val="nil"/>
              <w:left w:val="nil"/>
              <w:bottom w:val="nil"/>
              <w:right w:val="nil"/>
            </w:tcBorders>
            <w:shd w:val="clear" w:color="auto" w:fill="auto"/>
            <w:noWrap/>
            <w:vAlign w:val="center"/>
            <w:hideMark/>
          </w:tcPr>
          <w:p w14:paraId="57488E4B" w14:textId="77777777" w:rsidR="007E3E32" w:rsidRPr="00092B22" w:rsidRDefault="007E3E32"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1587A5AC"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69,418 </w:t>
            </w:r>
          </w:p>
        </w:tc>
      </w:tr>
      <w:tr w:rsidR="007E3E32" w:rsidRPr="00092B22" w14:paraId="066E2AB3" w14:textId="77777777" w:rsidTr="00E607DA">
        <w:trPr>
          <w:trHeight w:val="23"/>
        </w:trPr>
        <w:tc>
          <w:tcPr>
            <w:tcW w:w="6176" w:type="dxa"/>
            <w:tcBorders>
              <w:top w:val="nil"/>
              <w:left w:val="nil"/>
              <w:bottom w:val="nil"/>
              <w:right w:val="nil"/>
            </w:tcBorders>
            <w:shd w:val="clear" w:color="auto" w:fill="auto"/>
            <w:noWrap/>
            <w:vAlign w:val="center"/>
            <w:hideMark/>
          </w:tcPr>
          <w:p w14:paraId="5453BDF8" w14:textId="77777777" w:rsidR="007E3E32" w:rsidRPr="00092B22" w:rsidRDefault="007E3E32" w:rsidP="00E607DA">
            <w:pPr>
              <w:rPr>
                <w:rFonts w:ascii="Meta Pro" w:eastAsia="Times New Roman" w:hAnsi="Meta Pro"/>
                <w:szCs w:val="18"/>
                <w:lang w:eastAsia="en-AU"/>
              </w:rPr>
            </w:pPr>
            <w:r w:rsidRPr="00092B22">
              <w:rPr>
                <w:rFonts w:ascii="Meta Pro" w:eastAsia="Times New Roman" w:hAnsi="Meta Pro"/>
                <w:szCs w:val="18"/>
                <w:lang w:eastAsia="en-AU"/>
              </w:rPr>
              <w:t>Service expenses</w:t>
            </w:r>
          </w:p>
        </w:tc>
        <w:tc>
          <w:tcPr>
            <w:tcW w:w="1036" w:type="dxa"/>
            <w:tcBorders>
              <w:top w:val="nil"/>
              <w:left w:val="nil"/>
              <w:bottom w:val="nil"/>
              <w:right w:val="nil"/>
            </w:tcBorders>
            <w:shd w:val="clear" w:color="auto" w:fill="auto"/>
            <w:noWrap/>
            <w:vAlign w:val="center"/>
            <w:hideMark/>
          </w:tcPr>
          <w:p w14:paraId="2BABC8F5" w14:textId="77777777" w:rsidR="007E3E32" w:rsidRPr="00092B22" w:rsidRDefault="007E3E32" w:rsidP="00E607DA">
            <w:pPr>
              <w:rPr>
                <w:rFonts w:ascii="Meta Pro" w:eastAsia="Times New Roman" w:hAnsi="Meta Pro"/>
                <w:szCs w:val="18"/>
                <w:lang w:eastAsia="en-AU"/>
              </w:rPr>
            </w:pPr>
          </w:p>
        </w:tc>
        <w:tc>
          <w:tcPr>
            <w:tcW w:w="1156" w:type="dxa"/>
            <w:tcBorders>
              <w:top w:val="nil"/>
              <w:left w:val="nil"/>
              <w:bottom w:val="nil"/>
              <w:right w:val="nil"/>
            </w:tcBorders>
            <w:shd w:val="clear" w:color="000000" w:fill="C9E3B4"/>
            <w:noWrap/>
            <w:vAlign w:val="center"/>
            <w:hideMark/>
          </w:tcPr>
          <w:p w14:paraId="78492E20"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46,048 </w:t>
            </w:r>
          </w:p>
        </w:tc>
        <w:tc>
          <w:tcPr>
            <w:tcW w:w="216" w:type="dxa"/>
            <w:tcBorders>
              <w:top w:val="nil"/>
              <w:left w:val="nil"/>
              <w:bottom w:val="nil"/>
              <w:right w:val="nil"/>
            </w:tcBorders>
            <w:shd w:val="clear" w:color="auto" w:fill="auto"/>
            <w:noWrap/>
            <w:vAlign w:val="center"/>
            <w:hideMark/>
          </w:tcPr>
          <w:p w14:paraId="2A7B7AA3" w14:textId="77777777" w:rsidR="007E3E32" w:rsidRPr="00092B22" w:rsidRDefault="007E3E32" w:rsidP="00E607DA">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5E1C802D"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45,516 </w:t>
            </w:r>
          </w:p>
        </w:tc>
      </w:tr>
      <w:tr w:rsidR="007E3E32" w:rsidRPr="00092B22" w14:paraId="522FCB15" w14:textId="77777777" w:rsidTr="00E607DA">
        <w:trPr>
          <w:trHeight w:val="23"/>
        </w:trPr>
        <w:tc>
          <w:tcPr>
            <w:tcW w:w="6176" w:type="dxa"/>
            <w:tcBorders>
              <w:top w:val="single" w:sz="4" w:space="0" w:color="auto"/>
              <w:left w:val="nil"/>
              <w:bottom w:val="double" w:sz="6" w:space="0" w:color="auto"/>
              <w:right w:val="nil"/>
            </w:tcBorders>
            <w:shd w:val="clear" w:color="auto" w:fill="auto"/>
            <w:noWrap/>
            <w:vAlign w:val="center"/>
            <w:hideMark/>
          </w:tcPr>
          <w:p w14:paraId="4B68BB2A" w14:textId="77777777" w:rsidR="007E3E32" w:rsidRPr="00092B22" w:rsidRDefault="007E3E32" w:rsidP="00E607DA">
            <w:pPr>
              <w:rPr>
                <w:rFonts w:ascii="Meta Pro" w:eastAsia="Times New Roman" w:hAnsi="Meta Pro"/>
                <w:b/>
                <w:bCs/>
                <w:szCs w:val="18"/>
                <w:lang w:eastAsia="en-AU"/>
              </w:rPr>
            </w:pPr>
            <w:r w:rsidRPr="00092B22">
              <w:rPr>
                <w:rFonts w:ascii="Meta Pro" w:eastAsia="Times New Roman" w:hAnsi="Meta Pro"/>
                <w:b/>
                <w:bCs/>
                <w:szCs w:val="18"/>
                <w:lang w:eastAsia="en-AU"/>
              </w:rPr>
              <w:t>Net impact on operating result</w:t>
            </w:r>
          </w:p>
        </w:tc>
        <w:tc>
          <w:tcPr>
            <w:tcW w:w="1036" w:type="dxa"/>
            <w:tcBorders>
              <w:top w:val="single" w:sz="4" w:space="0" w:color="auto"/>
              <w:left w:val="nil"/>
              <w:bottom w:val="double" w:sz="6" w:space="0" w:color="auto"/>
              <w:right w:val="nil"/>
            </w:tcBorders>
            <w:shd w:val="clear" w:color="auto" w:fill="auto"/>
            <w:noWrap/>
            <w:vAlign w:val="center"/>
            <w:hideMark/>
          </w:tcPr>
          <w:p w14:paraId="0BE1258F" w14:textId="77777777" w:rsidR="007E3E32" w:rsidRPr="00092B22" w:rsidRDefault="007E3E32" w:rsidP="00E607DA">
            <w:pPr>
              <w:jc w:val="center"/>
              <w:rPr>
                <w:rFonts w:ascii="Meta Pro" w:eastAsia="Times New Roman" w:hAnsi="Meta Pro"/>
                <w:szCs w:val="18"/>
                <w:lang w:eastAsia="en-AU"/>
              </w:rPr>
            </w:pPr>
            <w:r w:rsidRPr="00092B22">
              <w:rPr>
                <w:rFonts w:ascii="Meta Pro" w:eastAsia="Times New Roman" w:hAnsi="Meta Pro"/>
                <w:szCs w:val="18"/>
                <w:lang w:eastAsia="en-AU"/>
              </w:rPr>
              <w:t> </w:t>
            </w:r>
          </w:p>
        </w:tc>
        <w:tc>
          <w:tcPr>
            <w:tcW w:w="1156" w:type="dxa"/>
            <w:tcBorders>
              <w:top w:val="single" w:sz="4" w:space="0" w:color="auto"/>
              <w:left w:val="nil"/>
              <w:bottom w:val="double" w:sz="6" w:space="0" w:color="auto"/>
              <w:right w:val="nil"/>
            </w:tcBorders>
            <w:shd w:val="clear" w:color="000000" w:fill="C9E3B4"/>
            <w:noWrap/>
            <w:vAlign w:val="center"/>
            <w:hideMark/>
          </w:tcPr>
          <w:p w14:paraId="576A969F" w14:textId="77777777" w:rsidR="007E3E32" w:rsidRPr="00092B22" w:rsidRDefault="007E3E32"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(128,935)</w:t>
            </w:r>
          </w:p>
        </w:tc>
        <w:tc>
          <w:tcPr>
            <w:tcW w:w="216" w:type="dxa"/>
            <w:tcBorders>
              <w:top w:val="single" w:sz="4" w:space="0" w:color="auto"/>
              <w:left w:val="nil"/>
              <w:bottom w:val="double" w:sz="6" w:space="0" w:color="auto"/>
              <w:right w:val="nil"/>
            </w:tcBorders>
            <w:shd w:val="clear" w:color="auto" w:fill="auto"/>
            <w:noWrap/>
            <w:vAlign w:val="center"/>
            <w:hideMark/>
          </w:tcPr>
          <w:p w14:paraId="2F212A07"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26562756" w14:textId="77777777" w:rsidR="007E3E32" w:rsidRPr="00092B22" w:rsidRDefault="007E3E32"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(162,652)</w:t>
            </w:r>
          </w:p>
        </w:tc>
      </w:tr>
    </w:tbl>
    <w:p w14:paraId="180232AE" w14:textId="77777777" w:rsidR="007E3E32" w:rsidRPr="00092B22" w:rsidRDefault="007E3E32" w:rsidP="007E3E32">
      <w:pPr>
        <w:rPr>
          <w:rFonts w:ascii="Meta Pro" w:hAnsi="Meta Pro" w:cstheme="minorBidi"/>
        </w:rPr>
      </w:pPr>
    </w:p>
    <w:tbl>
      <w:tblPr>
        <w:tblW w:w="9638" w:type="dxa"/>
        <w:tblCellMar>
          <w:left w:w="0" w:type="dxa"/>
        </w:tblCellMar>
        <w:tblLook w:val="04A0" w:firstRow="1" w:lastRow="0" w:firstColumn="1" w:lastColumn="0" w:noHBand="0" w:noVBand="1"/>
      </w:tblPr>
      <w:tblGrid>
        <w:gridCol w:w="7101"/>
        <w:gridCol w:w="1157"/>
        <w:gridCol w:w="223"/>
        <w:gridCol w:w="1157"/>
      </w:tblGrid>
      <w:tr w:rsidR="007E3E32" w:rsidRPr="00092B22" w14:paraId="4F4D28C2" w14:textId="77777777" w:rsidTr="00E607DA">
        <w:trPr>
          <w:trHeight w:val="240"/>
        </w:trPr>
        <w:tc>
          <w:tcPr>
            <w:tcW w:w="7117" w:type="dxa"/>
            <w:tcBorders>
              <w:top w:val="nil"/>
              <w:left w:val="nil"/>
              <w:bottom w:val="nil"/>
              <w:right w:val="nil"/>
            </w:tcBorders>
            <w:shd w:val="clear" w:color="auto" w:fill="auto"/>
            <w:noWrap/>
            <w:vAlign w:val="center"/>
            <w:hideMark/>
          </w:tcPr>
          <w:p w14:paraId="275EED8B" w14:textId="77777777" w:rsidR="007E3E32" w:rsidRPr="00092B22" w:rsidRDefault="007E3E32" w:rsidP="00E607DA">
            <w:pPr>
              <w:rPr>
                <w:rFonts w:ascii="Meta Pro" w:eastAsia="Times New Roman" w:hAnsi="Meta Pro"/>
                <w:b/>
                <w:bCs/>
                <w:lang w:eastAsia="en-AU"/>
              </w:rPr>
            </w:pPr>
            <w:r w:rsidRPr="00092B22">
              <w:rPr>
                <w:rFonts w:ascii="Meta Pro" w:eastAsia="Times New Roman" w:hAnsi="Meta Pro"/>
                <w:b/>
                <w:bCs/>
                <w:lang w:eastAsia="en-AU"/>
              </w:rPr>
              <w:t>17     PAYABLES</w:t>
            </w:r>
          </w:p>
        </w:tc>
        <w:tc>
          <w:tcPr>
            <w:tcW w:w="1153" w:type="dxa"/>
            <w:tcBorders>
              <w:top w:val="nil"/>
              <w:left w:val="nil"/>
              <w:bottom w:val="nil"/>
              <w:right w:val="nil"/>
            </w:tcBorders>
            <w:shd w:val="clear" w:color="auto" w:fill="auto"/>
            <w:noWrap/>
            <w:vAlign w:val="center"/>
            <w:hideMark/>
          </w:tcPr>
          <w:p w14:paraId="7FCBA70A" w14:textId="77777777" w:rsidR="007E3E32" w:rsidRPr="00092B22" w:rsidRDefault="007E3E32" w:rsidP="00E607DA">
            <w:pPr>
              <w:rPr>
                <w:rFonts w:ascii="Meta Pro" w:eastAsia="Times New Roman" w:hAnsi="Meta Pro"/>
                <w:b/>
                <w:bCs/>
                <w:lang w:eastAsia="en-AU"/>
              </w:rPr>
            </w:pPr>
          </w:p>
        </w:tc>
        <w:tc>
          <w:tcPr>
            <w:tcW w:w="215" w:type="dxa"/>
            <w:tcBorders>
              <w:top w:val="nil"/>
              <w:left w:val="nil"/>
              <w:bottom w:val="nil"/>
              <w:right w:val="nil"/>
            </w:tcBorders>
            <w:shd w:val="clear" w:color="auto" w:fill="auto"/>
            <w:noWrap/>
            <w:vAlign w:val="center"/>
            <w:hideMark/>
          </w:tcPr>
          <w:p w14:paraId="42D417A7" w14:textId="77777777" w:rsidR="007E3E32" w:rsidRPr="00092B22" w:rsidRDefault="007E3E32" w:rsidP="00E607DA">
            <w:pPr>
              <w:jc w:val="right"/>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5D9C4698" w14:textId="77777777" w:rsidR="007E3E32" w:rsidRPr="00092B22" w:rsidRDefault="007E3E32" w:rsidP="00E607DA">
            <w:pPr>
              <w:jc w:val="right"/>
              <w:rPr>
                <w:rFonts w:ascii="Meta Pro" w:eastAsia="Times New Roman" w:hAnsi="Meta Pro" w:cs="Times New Roman"/>
                <w:sz w:val="20"/>
                <w:szCs w:val="20"/>
                <w:lang w:eastAsia="en-AU"/>
              </w:rPr>
            </w:pPr>
          </w:p>
        </w:tc>
      </w:tr>
      <w:tr w:rsidR="007E3E32" w:rsidRPr="00092B22" w14:paraId="6AF78ECC" w14:textId="77777777" w:rsidTr="00E607DA">
        <w:trPr>
          <w:trHeight w:val="90"/>
        </w:trPr>
        <w:tc>
          <w:tcPr>
            <w:tcW w:w="7117" w:type="dxa"/>
            <w:tcBorders>
              <w:top w:val="nil"/>
              <w:left w:val="nil"/>
              <w:bottom w:val="nil"/>
              <w:right w:val="nil"/>
            </w:tcBorders>
            <w:shd w:val="clear" w:color="auto" w:fill="auto"/>
            <w:noWrap/>
            <w:vAlign w:val="center"/>
            <w:hideMark/>
          </w:tcPr>
          <w:p w14:paraId="5E2177C3" w14:textId="77777777" w:rsidR="007E3E32" w:rsidRPr="00092B22" w:rsidRDefault="007E3E32" w:rsidP="00E607DA">
            <w:pPr>
              <w:jc w:val="right"/>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44FC5326" w14:textId="77777777" w:rsidR="007E3E32" w:rsidRPr="00092B22" w:rsidRDefault="007E3E32" w:rsidP="00E607DA">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1F0EB472" w14:textId="77777777" w:rsidR="007E3E32" w:rsidRPr="00092B22" w:rsidRDefault="007E3E32" w:rsidP="00E607DA">
            <w:pPr>
              <w:jc w:val="right"/>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122D3283" w14:textId="77777777" w:rsidR="007E3E32" w:rsidRPr="00092B22" w:rsidRDefault="007E3E32" w:rsidP="00E607DA">
            <w:pPr>
              <w:jc w:val="right"/>
              <w:rPr>
                <w:rFonts w:ascii="Meta Pro" w:eastAsia="Times New Roman" w:hAnsi="Meta Pro" w:cs="Times New Roman"/>
                <w:sz w:val="20"/>
                <w:szCs w:val="20"/>
                <w:lang w:eastAsia="en-AU"/>
              </w:rPr>
            </w:pPr>
          </w:p>
        </w:tc>
      </w:tr>
      <w:tr w:rsidR="007E3E32" w:rsidRPr="00092B22" w14:paraId="383DF619" w14:textId="77777777" w:rsidTr="00E607DA">
        <w:trPr>
          <w:trHeight w:val="240"/>
        </w:trPr>
        <w:tc>
          <w:tcPr>
            <w:tcW w:w="7117" w:type="dxa"/>
            <w:tcBorders>
              <w:top w:val="nil"/>
              <w:left w:val="nil"/>
              <w:bottom w:val="nil"/>
              <w:right w:val="nil"/>
            </w:tcBorders>
            <w:shd w:val="clear" w:color="auto" w:fill="auto"/>
            <w:noWrap/>
            <w:vAlign w:val="center"/>
            <w:hideMark/>
          </w:tcPr>
          <w:p w14:paraId="362E25B1" w14:textId="77777777" w:rsidR="007E3E32" w:rsidRPr="00092B22" w:rsidRDefault="007E3E32" w:rsidP="00E607DA">
            <w:pPr>
              <w:rPr>
                <w:rFonts w:ascii="Meta Pro" w:eastAsia="Times New Roman" w:hAnsi="Meta Pro"/>
                <w:b/>
                <w:bCs/>
                <w:szCs w:val="18"/>
                <w:lang w:eastAsia="en-AU"/>
              </w:rPr>
            </w:pPr>
            <w:r w:rsidRPr="00092B22">
              <w:rPr>
                <w:rFonts w:ascii="Meta Pro" w:eastAsia="Times New Roman" w:hAnsi="Meta Pro"/>
                <w:b/>
                <w:bCs/>
                <w:szCs w:val="18"/>
                <w:lang w:eastAsia="en-AU"/>
              </w:rPr>
              <w:t>Current</w:t>
            </w:r>
          </w:p>
        </w:tc>
        <w:tc>
          <w:tcPr>
            <w:tcW w:w="1153" w:type="dxa"/>
            <w:tcBorders>
              <w:top w:val="nil"/>
              <w:left w:val="nil"/>
              <w:bottom w:val="nil"/>
              <w:right w:val="nil"/>
            </w:tcBorders>
            <w:shd w:val="clear" w:color="auto" w:fill="auto"/>
            <w:noWrap/>
            <w:vAlign w:val="center"/>
            <w:hideMark/>
          </w:tcPr>
          <w:p w14:paraId="2368BB43" w14:textId="77777777" w:rsidR="007E3E32" w:rsidRPr="00092B22" w:rsidRDefault="007E3E32" w:rsidP="00E607DA">
            <w:pPr>
              <w:rPr>
                <w:rFonts w:ascii="Meta Pro" w:eastAsia="Times New Roman" w:hAnsi="Meta Pro"/>
                <w:b/>
                <w:bCs/>
                <w:szCs w:val="18"/>
                <w:lang w:eastAsia="en-AU"/>
              </w:rPr>
            </w:pPr>
          </w:p>
        </w:tc>
        <w:tc>
          <w:tcPr>
            <w:tcW w:w="215" w:type="dxa"/>
            <w:tcBorders>
              <w:top w:val="nil"/>
              <w:left w:val="nil"/>
              <w:bottom w:val="nil"/>
              <w:right w:val="nil"/>
            </w:tcBorders>
            <w:shd w:val="clear" w:color="auto" w:fill="auto"/>
            <w:noWrap/>
            <w:vAlign w:val="center"/>
            <w:hideMark/>
          </w:tcPr>
          <w:p w14:paraId="03E4C984" w14:textId="77777777" w:rsidR="007E3E32" w:rsidRPr="00092B22" w:rsidRDefault="007E3E32" w:rsidP="00E607DA">
            <w:pPr>
              <w:jc w:val="right"/>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7B138E10" w14:textId="77777777" w:rsidR="007E3E32" w:rsidRPr="00092B22" w:rsidRDefault="007E3E32" w:rsidP="00E607DA">
            <w:pPr>
              <w:jc w:val="right"/>
              <w:rPr>
                <w:rFonts w:ascii="Meta Pro" w:eastAsia="Times New Roman" w:hAnsi="Meta Pro" w:cs="Times New Roman"/>
                <w:sz w:val="20"/>
                <w:szCs w:val="20"/>
                <w:lang w:eastAsia="en-AU"/>
              </w:rPr>
            </w:pPr>
          </w:p>
        </w:tc>
      </w:tr>
      <w:tr w:rsidR="007E3E32" w:rsidRPr="00092B22" w14:paraId="6AFA8F19" w14:textId="77777777" w:rsidTr="00E607DA">
        <w:trPr>
          <w:trHeight w:val="240"/>
        </w:trPr>
        <w:tc>
          <w:tcPr>
            <w:tcW w:w="7117" w:type="dxa"/>
            <w:tcBorders>
              <w:top w:val="nil"/>
              <w:left w:val="nil"/>
              <w:bottom w:val="nil"/>
              <w:right w:val="nil"/>
            </w:tcBorders>
            <w:shd w:val="clear" w:color="auto" w:fill="auto"/>
            <w:noWrap/>
            <w:vAlign w:val="center"/>
            <w:hideMark/>
          </w:tcPr>
          <w:p w14:paraId="3C16E158" w14:textId="77777777" w:rsidR="007E3E32" w:rsidRPr="00092B22" w:rsidRDefault="007E3E32" w:rsidP="00E607DA">
            <w:pPr>
              <w:rPr>
                <w:rFonts w:ascii="Meta Pro" w:eastAsia="Times New Roman" w:hAnsi="Meta Pro"/>
                <w:szCs w:val="18"/>
                <w:lang w:eastAsia="en-AU"/>
              </w:rPr>
            </w:pPr>
            <w:r w:rsidRPr="00092B22">
              <w:rPr>
                <w:rFonts w:ascii="Meta Pro" w:eastAsia="Times New Roman" w:hAnsi="Meta Pro"/>
                <w:szCs w:val="18"/>
                <w:lang w:eastAsia="en-AU"/>
              </w:rPr>
              <w:t xml:space="preserve">Grants and subsidies payable </w:t>
            </w:r>
          </w:p>
        </w:tc>
        <w:tc>
          <w:tcPr>
            <w:tcW w:w="1153" w:type="dxa"/>
            <w:tcBorders>
              <w:top w:val="nil"/>
              <w:left w:val="nil"/>
              <w:bottom w:val="nil"/>
              <w:right w:val="nil"/>
            </w:tcBorders>
            <w:shd w:val="clear" w:color="000000" w:fill="C9E3B4"/>
            <w:noWrap/>
            <w:vAlign w:val="center"/>
            <w:hideMark/>
          </w:tcPr>
          <w:p w14:paraId="54CFB2A7"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75,092 </w:t>
            </w:r>
          </w:p>
        </w:tc>
        <w:tc>
          <w:tcPr>
            <w:tcW w:w="215" w:type="dxa"/>
            <w:tcBorders>
              <w:top w:val="nil"/>
              <w:left w:val="nil"/>
              <w:bottom w:val="nil"/>
              <w:right w:val="nil"/>
            </w:tcBorders>
            <w:shd w:val="clear" w:color="auto" w:fill="auto"/>
            <w:noWrap/>
            <w:vAlign w:val="center"/>
            <w:hideMark/>
          </w:tcPr>
          <w:p w14:paraId="3F0587A9" w14:textId="77777777" w:rsidR="007E3E32" w:rsidRPr="00092B22" w:rsidRDefault="007E3E32" w:rsidP="00E607DA">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523233D0"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42,890 </w:t>
            </w:r>
          </w:p>
        </w:tc>
      </w:tr>
      <w:tr w:rsidR="007E3E32" w:rsidRPr="00092B22" w14:paraId="30679D66" w14:textId="77777777" w:rsidTr="00E607DA">
        <w:trPr>
          <w:trHeight w:val="240"/>
        </w:trPr>
        <w:tc>
          <w:tcPr>
            <w:tcW w:w="7117" w:type="dxa"/>
            <w:tcBorders>
              <w:top w:val="nil"/>
              <w:left w:val="nil"/>
              <w:bottom w:val="nil"/>
              <w:right w:val="nil"/>
            </w:tcBorders>
            <w:shd w:val="clear" w:color="auto" w:fill="auto"/>
            <w:noWrap/>
            <w:vAlign w:val="center"/>
            <w:hideMark/>
          </w:tcPr>
          <w:p w14:paraId="29509870" w14:textId="77777777" w:rsidR="007E3E32" w:rsidRPr="00092B22" w:rsidRDefault="007E3E32" w:rsidP="00E607DA">
            <w:pPr>
              <w:rPr>
                <w:rFonts w:ascii="Meta Pro" w:eastAsia="Times New Roman" w:hAnsi="Meta Pro"/>
                <w:szCs w:val="18"/>
                <w:lang w:eastAsia="en-AU"/>
              </w:rPr>
            </w:pPr>
            <w:r w:rsidRPr="00092B22">
              <w:rPr>
                <w:rFonts w:ascii="Meta Pro" w:eastAsia="Times New Roman" w:hAnsi="Meta Pro"/>
                <w:szCs w:val="18"/>
                <w:lang w:eastAsia="en-AU"/>
              </w:rPr>
              <w:t xml:space="preserve">Trade creditors </w:t>
            </w:r>
          </w:p>
        </w:tc>
        <w:tc>
          <w:tcPr>
            <w:tcW w:w="1153" w:type="dxa"/>
            <w:tcBorders>
              <w:top w:val="nil"/>
              <w:left w:val="nil"/>
              <w:bottom w:val="nil"/>
              <w:right w:val="nil"/>
            </w:tcBorders>
            <w:shd w:val="clear" w:color="000000" w:fill="C9E3B4"/>
            <w:noWrap/>
            <w:vAlign w:val="center"/>
            <w:hideMark/>
          </w:tcPr>
          <w:p w14:paraId="13F4B8F6"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575,496 </w:t>
            </w:r>
          </w:p>
        </w:tc>
        <w:tc>
          <w:tcPr>
            <w:tcW w:w="215" w:type="dxa"/>
            <w:tcBorders>
              <w:top w:val="nil"/>
              <w:left w:val="nil"/>
              <w:bottom w:val="nil"/>
              <w:right w:val="nil"/>
            </w:tcBorders>
            <w:shd w:val="clear" w:color="auto" w:fill="auto"/>
            <w:noWrap/>
            <w:vAlign w:val="center"/>
            <w:hideMark/>
          </w:tcPr>
          <w:p w14:paraId="2E6878A7" w14:textId="77777777" w:rsidR="007E3E32" w:rsidRPr="00092B22" w:rsidRDefault="007E3E32" w:rsidP="00E607DA">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78E97CDA"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608,343 </w:t>
            </w:r>
          </w:p>
        </w:tc>
      </w:tr>
      <w:tr w:rsidR="007E3E32" w:rsidRPr="00092B22" w14:paraId="42C6F5E6" w14:textId="77777777" w:rsidTr="00E607DA">
        <w:trPr>
          <w:trHeight w:val="240"/>
        </w:trPr>
        <w:tc>
          <w:tcPr>
            <w:tcW w:w="7117" w:type="dxa"/>
            <w:tcBorders>
              <w:top w:val="nil"/>
              <w:left w:val="nil"/>
              <w:bottom w:val="nil"/>
              <w:right w:val="nil"/>
            </w:tcBorders>
            <w:shd w:val="clear" w:color="auto" w:fill="auto"/>
            <w:noWrap/>
            <w:vAlign w:val="center"/>
            <w:hideMark/>
          </w:tcPr>
          <w:p w14:paraId="120E229B" w14:textId="77777777" w:rsidR="007E3E32" w:rsidRPr="00092B22" w:rsidRDefault="007E3E32" w:rsidP="00E607DA">
            <w:pPr>
              <w:rPr>
                <w:rFonts w:ascii="Meta Pro" w:eastAsia="Times New Roman" w:hAnsi="Meta Pro"/>
                <w:szCs w:val="18"/>
                <w:lang w:eastAsia="en-AU"/>
              </w:rPr>
            </w:pPr>
            <w:r w:rsidRPr="00092B22">
              <w:rPr>
                <w:rFonts w:ascii="Meta Pro" w:eastAsia="Times New Roman" w:hAnsi="Meta Pro"/>
                <w:szCs w:val="18"/>
                <w:lang w:eastAsia="en-AU"/>
              </w:rPr>
              <w:lastRenderedPageBreak/>
              <w:t xml:space="preserve">Other </w:t>
            </w:r>
          </w:p>
        </w:tc>
        <w:tc>
          <w:tcPr>
            <w:tcW w:w="1153" w:type="dxa"/>
            <w:tcBorders>
              <w:top w:val="nil"/>
              <w:left w:val="nil"/>
              <w:bottom w:val="nil"/>
              <w:right w:val="nil"/>
            </w:tcBorders>
            <w:shd w:val="clear" w:color="000000" w:fill="C9E3B4"/>
            <w:noWrap/>
            <w:vAlign w:val="center"/>
            <w:hideMark/>
          </w:tcPr>
          <w:p w14:paraId="435251E6"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32,649 </w:t>
            </w:r>
          </w:p>
        </w:tc>
        <w:tc>
          <w:tcPr>
            <w:tcW w:w="215" w:type="dxa"/>
            <w:tcBorders>
              <w:top w:val="nil"/>
              <w:left w:val="nil"/>
              <w:bottom w:val="nil"/>
              <w:right w:val="nil"/>
            </w:tcBorders>
            <w:shd w:val="clear" w:color="auto" w:fill="auto"/>
            <w:noWrap/>
            <w:vAlign w:val="center"/>
            <w:hideMark/>
          </w:tcPr>
          <w:p w14:paraId="481CCA3B" w14:textId="77777777" w:rsidR="007E3E32" w:rsidRPr="00092B22" w:rsidRDefault="007E3E32" w:rsidP="00E607DA">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138725EF" w14:textId="77777777" w:rsidR="007E3E32" w:rsidRPr="00092B22" w:rsidRDefault="007E3E32"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35,934 </w:t>
            </w:r>
          </w:p>
        </w:tc>
      </w:tr>
      <w:tr w:rsidR="007E3E32" w:rsidRPr="00092B22" w14:paraId="5639B09D" w14:textId="77777777" w:rsidTr="00E607DA">
        <w:trPr>
          <w:trHeight w:val="240"/>
        </w:trPr>
        <w:tc>
          <w:tcPr>
            <w:tcW w:w="7117" w:type="dxa"/>
            <w:tcBorders>
              <w:top w:val="single" w:sz="4" w:space="0" w:color="auto"/>
              <w:left w:val="nil"/>
              <w:bottom w:val="double" w:sz="6" w:space="0" w:color="auto"/>
              <w:right w:val="nil"/>
            </w:tcBorders>
            <w:shd w:val="clear" w:color="auto" w:fill="auto"/>
            <w:noWrap/>
            <w:vAlign w:val="center"/>
            <w:hideMark/>
          </w:tcPr>
          <w:p w14:paraId="65D45B9C" w14:textId="77777777" w:rsidR="007E3E32" w:rsidRPr="00092B22" w:rsidRDefault="007E3E32" w:rsidP="00E607DA">
            <w:pPr>
              <w:rPr>
                <w:rFonts w:ascii="Meta Pro" w:eastAsia="Times New Roman" w:hAnsi="Meta Pro"/>
                <w:b/>
                <w:bCs/>
                <w:szCs w:val="18"/>
                <w:lang w:eastAsia="en-AU"/>
              </w:rPr>
            </w:pPr>
            <w:r w:rsidRPr="00092B22">
              <w:rPr>
                <w:rFonts w:ascii="Meta Pro" w:eastAsia="Times New Roman" w:hAnsi="Meta Pro"/>
                <w:b/>
                <w:bCs/>
                <w:szCs w:val="18"/>
                <w:lang w:eastAsia="en-AU"/>
              </w:rPr>
              <w:t>Total</w:t>
            </w:r>
          </w:p>
        </w:tc>
        <w:tc>
          <w:tcPr>
            <w:tcW w:w="1153" w:type="dxa"/>
            <w:tcBorders>
              <w:top w:val="single" w:sz="4" w:space="0" w:color="auto"/>
              <w:left w:val="nil"/>
              <w:bottom w:val="double" w:sz="6" w:space="0" w:color="auto"/>
              <w:right w:val="nil"/>
            </w:tcBorders>
            <w:shd w:val="clear" w:color="000000" w:fill="C9E3B4"/>
            <w:noWrap/>
            <w:vAlign w:val="center"/>
            <w:hideMark/>
          </w:tcPr>
          <w:p w14:paraId="1ECB4E75" w14:textId="77777777" w:rsidR="007E3E32" w:rsidRPr="00092B22" w:rsidRDefault="007E3E32"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683,237 </w:t>
            </w:r>
          </w:p>
        </w:tc>
        <w:tc>
          <w:tcPr>
            <w:tcW w:w="215" w:type="dxa"/>
            <w:tcBorders>
              <w:top w:val="single" w:sz="4" w:space="0" w:color="auto"/>
              <w:left w:val="nil"/>
              <w:bottom w:val="double" w:sz="6" w:space="0" w:color="auto"/>
              <w:right w:val="nil"/>
            </w:tcBorders>
            <w:shd w:val="clear" w:color="auto" w:fill="auto"/>
            <w:noWrap/>
            <w:vAlign w:val="center"/>
            <w:hideMark/>
          </w:tcPr>
          <w:p w14:paraId="788DAFB9" w14:textId="77777777" w:rsidR="007E3E32" w:rsidRPr="00092B22" w:rsidRDefault="007E3E32"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153" w:type="dxa"/>
            <w:tcBorders>
              <w:top w:val="single" w:sz="4" w:space="0" w:color="auto"/>
              <w:left w:val="nil"/>
              <w:bottom w:val="double" w:sz="6" w:space="0" w:color="auto"/>
              <w:right w:val="nil"/>
            </w:tcBorders>
            <w:shd w:val="clear" w:color="auto" w:fill="auto"/>
            <w:noWrap/>
            <w:vAlign w:val="center"/>
            <w:hideMark/>
          </w:tcPr>
          <w:p w14:paraId="6E9B4883" w14:textId="77777777" w:rsidR="007E3E32" w:rsidRPr="00092B22" w:rsidRDefault="007E3E32"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687,167 </w:t>
            </w:r>
          </w:p>
        </w:tc>
      </w:tr>
    </w:tbl>
    <w:p w14:paraId="7E396DF1" w14:textId="77777777" w:rsidR="007E3E32" w:rsidRPr="00092B22" w:rsidRDefault="007E3E32" w:rsidP="007E3E32">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w:t>
      </w:r>
    </w:p>
    <w:p w14:paraId="7C3BC0DD" w14:textId="77777777" w:rsidR="007E3E32" w:rsidRPr="00092B22" w:rsidRDefault="007E3E32" w:rsidP="007E3E32">
      <w:pPr>
        <w:shd w:val="clear" w:color="auto" w:fill="EBEBEB"/>
        <w:spacing w:after="120"/>
        <w:ind w:left="113" w:hanging="113"/>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Accounting policy</w:t>
      </w:r>
    </w:p>
    <w:p w14:paraId="1B62EA7B" w14:textId="77777777" w:rsidR="007E3E32" w:rsidRPr="00092B22" w:rsidRDefault="007E3E32" w:rsidP="007E3E32">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Trade creditors are recognised on receipt of the goods or services ordered and are measured at the agreed purchase or contract price, gross of applicable trade and other discounts. Amounts owing are unsecured and are generally settled on 28 day terms, with the exception of a range of transport service contracts which have varying settlement terms. </w:t>
      </w:r>
    </w:p>
    <w:p w14:paraId="0A8CA091" w14:textId="2CCD8E6E" w:rsidR="007E3E32" w:rsidRDefault="007E3E32" w:rsidP="007E3E32">
      <w:pPr>
        <w:shd w:val="clear" w:color="auto" w:fill="EBEBEB"/>
        <w:rPr>
          <w:rFonts w:ascii="Meta Pro" w:eastAsia="Times New Roman" w:hAnsi="Meta Pro"/>
          <w:color w:val="000000"/>
          <w:szCs w:val="18"/>
          <w:lang w:eastAsia="en-AU"/>
        </w:rPr>
      </w:pPr>
      <w:r w:rsidRPr="00092B22">
        <w:rPr>
          <w:rFonts w:ascii="Meta Pro" w:eastAsia="Times New Roman" w:hAnsi="Meta Pro"/>
          <w:color w:val="000000"/>
          <w:szCs w:val="18"/>
          <w:lang w:eastAsia="en-AU"/>
        </w:rPr>
        <w:t>Other payables such as grants and subsidies and property resumptions have varying settlement terms.</w:t>
      </w:r>
    </w:p>
    <w:tbl>
      <w:tblPr>
        <w:tblW w:w="9638" w:type="dxa"/>
        <w:tblCellMar>
          <w:left w:w="0" w:type="dxa"/>
        </w:tblCellMar>
        <w:tblLook w:val="04A0" w:firstRow="1" w:lastRow="0" w:firstColumn="1" w:lastColumn="0" w:noHBand="0" w:noVBand="1"/>
      </w:tblPr>
      <w:tblGrid>
        <w:gridCol w:w="7101"/>
        <w:gridCol w:w="1157"/>
        <w:gridCol w:w="223"/>
        <w:gridCol w:w="1157"/>
      </w:tblGrid>
      <w:tr w:rsidR="00186196" w:rsidRPr="00092B22" w14:paraId="32ABB7EF" w14:textId="77777777" w:rsidTr="00E607DA">
        <w:trPr>
          <w:trHeight w:val="240"/>
        </w:trPr>
        <w:tc>
          <w:tcPr>
            <w:tcW w:w="7117" w:type="dxa"/>
            <w:tcBorders>
              <w:top w:val="nil"/>
              <w:left w:val="nil"/>
              <w:bottom w:val="nil"/>
              <w:right w:val="nil"/>
            </w:tcBorders>
            <w:shd w:val="clear" w:color="auto" w:fill="auto"/>
            <w:noWrap/>
            <w:vAlign w:val="center"/>
            <w:hideMark/>
          </w:tcPr>
          <w:p w14:paraId="040512A4" w14:textId="77777777" w:rsidR="00186196" w:rsidRPr="00092B22" w:rsidRDefault="00186196" w:rsidP="00E607DA">
            <w:pPr>
              <w:rPr>
                <w:rFonts w:ascii="Meta Pro" w:eastAsia="Times New Roman" w:hAnsi="Meta Pro" w:cs="Times New Roman"/>
                <w:sz w:val="24"/>
                <w:szCs w:val="24"/>
                <w:lang w:eastAsia="en-AU"/>
              </w:rPr>
            </w:pPr>
          </w:p>
        </w:tc>
        <w:tc>
          <w:tcPr>
            <w:tcW w:w="1153" w:type="dxa"/>
            <w:tcBorders>
              <w:top w:val="nil"/>
              <w:left w:val="nil"/>
              <w:bottom w:val="nil"/>
              <w:right w:val="nil"/>
            </w:tcBorders>
            <w:shd w:val="clear" w:color="auto" w:fill="auto"/>
            <w:noWrap/>
            <w:vAlign w:val="center"/>
            <w:hideMark/>
          </w:tcPr>
          <w:p w14:paraId="51A8C7D6" w14:textId="77777777" w:rsidR="00186196" w:rsidRPr="00092B22" w:rsidRDefault="00186196" w:rsidP="00E607DA">
            <w:pPr>
              <w:jc w:val="center"/>
              <w:rPr>
                <w:rFonts w:ascii="Meta Pro" w:eastAsia="Times New Roman" w:hAnsi="Meta Pro"/>
                <w:b/>
                <w:bCs/>
                <w:color w:val="000000"/>
                <w:lang w:eastAsia="en-AU"/>
              </w:rPr>
            </w:pPr>
            <w:r w:rsidRPr="00092B22">
              <w:rPr>
                <w:rFonts w:ascii="Meta Pro" w:eastAsia="Times New Roman" w:hAnsi="Meta Pro"/>
                <w:b/>
                <w:bCs/>
                <w:color w:val="000000"/>
                <w:lang w:eastAsia="en-AU"/>
              </w:rPr>
              <w:t>2022</w:t>
            </w:r>
          </w:p>
        </w:tc>
        <w:tc>
          <w:tcPr>
            <w:tcW w:w="215" w:type="dxa"/>
            <w:tcBorders>
              <w:top w:val="nil"/>
              <w:left w:val="nil"/>
              <w:bottom w:val="nil"/>
              <w:right w:val="nil"/>
            </w:tcBorders>
            <w:shd w:val="clear" w:color="auto" w:fill="auto"/>
            <w:noWrap/>
            <w:vAlign w:val="center"/>
            <w:hideMark/>
          </w:tcPr>
          <w:p w14:paraId="530747AA" w14:textId="77777777" w:rsidR="00186196" w:rsidRPr="00092B22" w:rsidRDefault="00186196" w:rsidP="00E607DA">
            <w:pPr>
              <w:jc w:val="center"/>
              <w:rPr>
                <w:rFonts w:ascii="Meta Pro" w:eastAsia="Times New Roman" w:hAnsi="Meta Pro"/>
                <w:b/>
                <w:bCs/>
                <w:color w:val="000000"/>
                <w:lang w:eastAsia="en-AU"/>
              </w:rPr>
            </w:pPr>
          </w:p>
        </w:tc>
        <w:tc>
          <w:tcPr>
            <w:tcW w:w="1153" w:type="dxa"/>
            <w:tcBorders>
              <w:top w:val="nil"/>
              <w:left w:val="nil"/>
              <w:bottom w:val="nil"/>
              <w:right w:val="nil"/>
            </w:tcBorders>
            <w:shd w:val="clear" w:color="auto" w:fill="auto"/>
            <w:noWrap/>
            <w:vAlign w:val="center"/>
            <w:hideMark/>
          </w:tcPr>
          <w:p w14:paraId="59552650" w14:textId="77777777" w:rsidR="00186196" w:rsidRPr="00092B22" w:rsidRDefault="00186196" w:rsidP="00E607DA">
            <w:pPr>
              <w:jc w:val="center"/>
              <w:rPr>
                <w:rFonts w:ascii="Meta Pro" w:eastAsia="Times New Roman" w:hAnsi="Meta Pro"/>
                <w:b/>
                <w:bCs/>
                <w:lang w:eastAsia="en-AU"/>
              </w:rPr>
            </w:pPr>
            <w:r w:rsidRPr="00092B22">
              <w:rPr>
                <w:rFonts w:ascii="Meta Pro" w:eastAsia="Times New Roman" w:hAnsi="Meta Pro"/>
                <w:b/>
                <w:bCs/>
                <w:lang w:eastAsia="en-AU"/>
              </w:rPr>
              <w:t>2021</w:t>
            </w:r>
          </w:p>
        </w:tc>
      </w:tr>
      <w:tr w:rsidR="00186196" w:rsidRPr="00092B22" w14:paraId="668D7175" w14:textId="77777777" w:rsidTr="00E607DA">
        <w:trPr>
          <w:trHeight w:val="240"/>
        </w:trPr>
        <w:tc>
          <w:tcPr>
            <w:tcW w:w="7117" w:type="dxa"/>
            <w:tcBorders>
              <w:top w:val="nil"/>
              <w:left w:val="nil"/>
              <w:bottom w:val="nil"/>
              <w:right w:val="nil"/>
            </w:tcBorders>
            <w:shd w:val="clear" w:color="auto" w:fill="auto"/>
            <w:noWrap/>
            <w:vAlign w:val="center"/>
            <w:hideMark/>
          </w:tcPr>
          <w:p w14:paraId="00BC22BF" w14:textId="77777777" w:rsidR="00186196" w:rsidRPr="00092B22" w:rsidRDefault="00186196" w:rsidP="00E607DA">
            <w:pPr>
              <w:jc w:val="center"/>
              <w:rPr>
                <w:rFonts w:ascii="Meta Pro" w:eastAsia="Times New Roman" w:hAnsi="Meta Pro"/>
                <w:b/>
                <w:bCs/>
                <w:lang w:eastAsia="en-AU"/>
              </w:rPr>
            </w:pPr>
          </w:p>
        </w:tc>
        <w:tc>
          <w:tcPr>
            <w:tcW w:w="1153" w:type="dxa"/>
            <w:tcBorders>
              <w:top w:val="nil"/>
              <w:left w:val="nil"/>
              <w:bottom w:val="nil"/>
              <w:right w:val="nil"/>
            </w:tcBorders>
            <w:shd w:val="clear" w:color="auto" w:fill="auto"/>
            <w:noWrap/>
            <w:vAlign w:val="center"/>
            <w:hideMark/>
          </w:tcPr>
          <w:p w14:paraId="4C8DA179" w14:textId="77777777" w:rsidR="00186196" w:rsidRPr="00092B22" w:rsidRDefault="00186196" w:rsidP="00E607DA">
            <w:pPr>
              <w:jc w:val="center"/>
              <w:rPr>
                <w:rFonts w:ascii="Meta Pro" w:eastAsia="Times New Roman" w:hAnsi="Meta Pro"/>
                <w:b/>
                <w:bCs/>
                <w:lang w:eastAsia="en-AU"/>
              </w:rPr>
            </w:pPr>
            <w:r w:rsidRPr="00092B22">
              <w:rPr>
                <w:rFonts w:ascii="Meta Pro" w:eastAsia="Times New Roman" w:hAnsi="Meta Pro"/>
                <w:b/>
                <w:bCs/>
                <w:lang w:eastAsia="en-AU"/>
              </w:rPr>
              <w:t>$'000</w:t>
            </w:r>
          </w:p>
        </w:tc>
        <w:tc>
          <w:tcPr>
            <w:tcW w:w="215" w:type="dxa"/>
            <w:tcBorders>
              <w:top w:val="nil"/>
              <w:left w:val="nil"/>
              <w:bottom w:val="nil"/>
              <w:right w:val="nil"/>
            </w:tcBorders>
            <w:shd w:val="clear" w:color="auto" w:fill="auto"/>
            <w:noWrap/>
            <w:vAlign w:val="center"/>
            <w:hideMark/>
          </w:tcPr>
          <w:p w14:paraId="70787F9D" w14:textId="77777777" w:rsidR="00186196" w:rsidRPr="00092B22" w:rsidRDefault="00186196" w:rsidP="00E607DA">
            <w:pPr>
              <w:jc w:val="center"/>
              <w:rPr>
                <w:rFonts w:ascii="Meta Pro" w:eastAsia="Times New Roman" w:hAnsi="Meta Pro"/>
                <w:b/>
                <w:bCs/>
                <w:lang w:eastAsia="en-AU"/>
              </w:rPr>
            </w:pPr>
          </w:p>
        </w:tc>
        <w:tc>
          <w:tcPr>
            <w:tcW w:w="1153" w:type="dxa"/>
            <w:tcBorders>
              <w:top w:val="nil"/>
              <w:left w:val="nil"/>
              <w:bottom w:val="nil"/>
              <w:right w:val="nil"/>
            </w:tcBorders>
            <w:shd w:val="clear" w:color="auto" w:fill="auto"/>
            <w:noWrap/>
            <w:vAlign w:val="center"/>
            <w:hideMark/>
          </w:tcPr>
          <w:p w14:paraId="59C49B7A" w14:textId="77777777" w:rsidR="00186196" w:rsidRPr="00092B22" w:rsidRDefault="00186196" w:rsidP="00E607DA">
            <w:pPr>
              <w:jc w:val="center"/>
              <w:rPr>
                <w:rFonts w:ascii="Meta Pro" w:eastAsia="Times New Roman" w:hAnsi="Meta Pro"/>
                <w:b/>
                <w:bCs/>
                <w:lang w:eastAsia="en-AU"/>
              </w:rPr>
            </w:pPr>
            <w:r w:rsidRPr="00092B22">
              <w:rPr>
                <w:rFonts w:ascii="Meta Pro" w:eastAsia="Times New Roman" w:hAnsi="Meta Pro"/>
                <w:b/>
                <w:bCs/>
                <w:lang w:eastAsia="en-AU"/>
              </w:rPr>
              <w:t>$'000</w:t>
            </w:r>
          </w:p>
        </w:tc>
      </w:tr>
      <w:tr w:rsidR="00186196" w:rsidRPr="00092B22" w14:paraId="21DEDF97" w14:textId="77777777" w:rsidTr="00E607DA">
        <w:trPr>
          <w:trHeight w:val="240"/>
        </w:trPr>
        <w:tc>
          <w:tcPr>
            <w:tcW w:w="7117" w:type="dxa"/>
            <w:tcBorders>
              <w:top w:val="nil"/>
              <w:left w:val="nil"/>
              <w:bottom w:val="nil"/>
              <w:right w:val="nil"/>
            </w:tcBorders>
            <w:shd w:val="clear" w:color="auto" w:fill="auto"/>
            <w:noWrap/>
            <w:vAlign w:val="center"/>
            <w:hideMark/>
          </w:tcPr>
          <w:p w14:paraId="5B46830C" w14:textId="77777777" w:rsidR="00186196" w:rsidRPr="00092B22" w:rsidRDefault="00186196" w:rsidP="00E607DA">
            <w:pPr>
              <w:rPr>
                <w:rFonts w:ascii="Meta Pro" w:eastAsia="Times New Roman" w:hAnsi="Meta Pro"/>
                <w:b/>
                <w:bCs/>
                <w:lang w:eastAsia="en-AU"/>
              </w:rPr>
            </w:pPr>
            <w:r w:rsidRPr="00092B22">
              <w:rPr>
                <w:rFonts w:ascii="Meta Pro" w:eastAsia="Times New Roman" w:hAnsi="Meta Pro"/>
                <w:b/>
                <w:bCs/>
                <w:lang w:eastAsia="en-AU"/>
              </w:rPr>
              <w:t>18     BORROWINGS</w:t>
            </w:r>
          </w:p>
        </w:tc>
        <w:tc>
          <w:tcPr>
            <w:tcW w:w="1153" w:type="dxa"/>
            <w:tcBorders>
              <w:top w:val="nil"/>
              <w:left w:val="nil"/>
              <w:bottom w:val="nil"/>
              <w:right w:val="nil"/>
            </w:tcBorders>
            <w:shd w:val="clear" w:color="auto" w:fill="auto"/>
            <w:noWrap/>
            <w:vAlign w:val="center"/>
            <w:hideMark/>
          </w:tcPr>
          <w:p w14:paraId="3B1E52A1" w14:textId="77777777" w:rsidR="00186196" w:rsidRPr="00092B22" w:rsidRDefault="00186196" w:rsidP="00E607DA">
            <w:pPr>
              <w:rPr>
                <w:rFonts w:ascii="Meta Pro" w:eastAsia="Times New Roman" w:hAnsi="Meta Pro"/>
                <w:b/>
                <w:bCs/>
                <w:lang w:eastAsia="en-AU"/>
              </w:rPr>
            </w:pPr>
          </w:p>
        </w:tc>
        <w:tc>
          <w:tcPr>
            <w:tcW w:w="215" w:type="dxa"/>
            <w:tcBorders>
              <w:top w:val="nil"/>
              <w:left w:val="nil"/>
              <w:bottom w:val="nil"/>
              <w:right w:val="nil"/>
            </w:tcBorders>
            <w:shd w:val="clear" w:color="auto" w:fill="auto"/>
            <w:noWrap/>
            <w:vAlign w:val="center"/>
            <w:hideMark/>
          </w:tcPr>
          <w:p w14:paraId="1554BA37" w14:textId="77777777" w:rsidR="00186196" w:rsidRPr="00092B22" w:rsidRDefault="00186196" w:rsidP="00E607DA">
            <w:pPr>
              <w:jc w:val="right"/>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6E788DA5" w14:textId="77777777" w:rsidR="00186196" w:rsidRPr="00092B22" w:rsidRDefault="00186196" w:rsidP="00E607DA">
            <w:pPr>
              <w:jc w:val="right"/>
              <w:rPr>
                <w:rFonts w:ascii="Meta Pro" w:eastAsia="Times New Roman" w:hAnsi="Meta Pro" w:cs="Times New Roman"/>
                <w:sz w:val="20"/>
                <w:szCs w:val="20"/>
                <w:lang w:eastAsia="en-AU"/>
              </w:rPr>
            </w:pPr>
          </w:p>
        </w:tc>
      </w:tr>
      <w:tr w:rsidR="00186196" w:rsidRPr="00092B22" w14:paraId="35048633" w14:textId="77777777" w:rsidTr="00E607DA">
        <w:trPr>
          <w:trHeight w:val="90"/>
        </w:trPr>
        <w:tc>
          <w:tcPr>
            <w:tcW w:w="7117" w:type="dxa"/>
            <w:tcBorders>
              <w:top w:val="nil"/>
              <w:left w:val="nil"/>
              <w:bottom w:val="nil"/>
              <w:right w:val="nil"/>
            </w:tcBorders>
            <w:shd w:val="clear" w:color="auto" w:fill="auto"/>
            <w:noWrap/>
            <w:vAlign w:val="center"/>
            <w:hideMark/>
          </w:tcPr>
          <w:p w14:paraId="7E346604" w14:textId="77777777" w:rsidR="00186196" w:rsidRPr="00092B22" w:rsidRDefault="00186196" w:rsidP="00E607DA">
            <w:pPr>
              <w:jc w:val="right"/>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3B3A9034" w14:textId="77777777" w:rsidR="00186196" w:rsidRPr="00092B22" w:rsidRDefault="00186196" w:rsidP="00E607DA">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50BAF255" w14:textId="77777777" w:rsidR="00186196" w:rsidRPr="00092B22" w:rsidRDefault="00186196" w:rsidP="00E607DA">
            <w:pPr>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2EEF7FBF" w14:textId="77777777" w:rsidR="00186196" w:rsidRPr="00092B22" w:rsidRDefault="00186196" w:rsidP="00E607DA">
            <w:pPr>
              <w:rPr>
                <w:rFonts w:ascii="Meta Pro" w:eastAsia="Times New Roman" w:hAnsi="Meta Pro" w:cs="Times New Roman"/>
                <w:sz w:val="20"/>
                <w:szCs w:val="20"/>
                <w:lang w:eastAsia="en-AU"/>
              </w:rPr>
            </w:pPr>
          </w:p>
        </w:tc>
      </w:tr>
      <w:tr w:rsidR="00186196" w:rsidRPr="00092B22" w14:paraId="19565836" w14:textId="77777777" w:rsidTr="00E607DA">
        <w:trPr>
          <w:trHeight w:val="240"/>
        </w:trPr>
        <w:tc>
          <w:tcPr>
            <w:tcW w:w="7117" w:type="dxa"/>
            <w:tcBorders>
              <w:top w:val="nil"/>
              <w:left w:val="nil"/>
              <w:bottom w:val="nil"/>
              <w:right w:val="nil"/>
            </w:tcBorders>
            <w:shd w:val="clear" w:color="auto" w:fill="auto"/>
            <w:noWrap/>
            <w:vAlign w:val="center"/>
            <w:hideMark/>
          </w:tcPr>
          <w:p w14:paraId="099D14C5" w14:textId="77777777" w:rsidR="00186196" w:rsidRPr="00092B22" w:rsidRDefault="00186196" w:rsidP="00E607DA">
            <w:pPr>
              <w:rPr>
                <w:rFonts w:ascii="Meta Pro" w:eastAsia="Times New Roman" w:hAnsi="Meta Pro"/>
                <w:b/>
                <w:bCs/>
                <w:szCs w:val="18"/>
                <w:lang w:eastAsia="en-AU"/>
              </w:rPr>
            </w:pPr>
            <w:r w:rsidRPr="00092B22">
              <w:rPr>
                <w:rFonts w:ascii="Meta Pro" w:eastAsia="Times New Roman" w:hAnsi="Meta Pro"/>
                <w:b/>
                <w:bCs/>
                <w:szCs w:val="18"/>
                <w:lang w:eastAsia="en-AU"/>
              </w:rPr>
              <w:t>Current</w:t>
            </w:r>
          </w:p>
        </w:tc>
        <w:tc>
          <w:tcPr>
            <w:tcW w:w="1153" w:type="dxa"/>
            <w:tcBorders>
              <w:top w:val="nil"/>
              <w:left w:val="nil"/>
              <w:bottom w:val="nil"/>
              <w:right w:val="nil"/>
            </w:tcBorders>
            <w:shd w:val="clear" w:color="auto" w:fill="auto"/>
            <w:noWrap/>
            <w:vAlign w:val="center"/>
            <w:hideMark/>
          </w:tcPr>
          <w:p w14:paraId="6A326C8E" w14:textId="77777777" w:rsidR="00186196" w:rsidRPr="00092B22" w:rsidRDefault="00186196" w:rsidP="00E607DA">
            <w:pPr>
              <w:rPr>
                <w:rFonts w:ascii="Meta Pro" w:eastAsia="Times New Roman" w:hAnsi="Meta Pro"/>
                <w:b/>
                <w:bCs/>
                <w:szCs w:val="18"/>
                <w:lang w:eastAsia="en-AU"/>
              </w:rPr>
            </w:pPr>
          </w:p>
        </w:tc>
        <w:tc>
          <w:tcPr>
            <w:tcW w:w="215" w:type="dxa"/>
            <w:tcBorders>
              <w:top w:val="nil"/>
              <w:left w:val="nil"/>
              <w:bottom w:val="nil"/>
              <w:right w:val="nil"/>
            </w:tcBorders>
            <w:shd w:val="clear" w:color="auto" w:fill="auto"/>
            <w:noWrap/>
            <w:vAlign w:val="center"/>
            <w:hideMark/>
          </w:tcPr>
          <w:p w14:paraId="2B7B7D1F" w14:textId="77777777" w:rsidR="00186196" w:rsidRPr="00092B22" w:rsidRDefault="00186196" w:rsidP="00E607DA">
            <w:pPr>
              <w:jc w:val="right"/>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3B7BD991" w14:textId="77777777" w:rsidR="00186196" w:rsidRPr="00092B22" w:rsidRDefault="00186196" w:rsidP="00E607DA">
            <w:pPr>
              <w:jc w:val="right"/>
              <w:rPr>
                <w:rFonts w:ascii="Meta Pro" w:eastAsia="Times New Roman" w:hAnsi="Meta Pro" w:cs="Times New Roman"/>
                <w:sz w:val="20"/>
                <w:szCs w:val="20"/>
                <w:lang w:eastAsia="en-AU"/>
              </w:rPr>
            </w:pPr>
          </w:p>
        </w:tc>
      </w:tr>
      <w:tr w:rsidR="00186196" w:rsidRPr="00092B22" w14:paraId="2F4A34D2" w14:textId="77777777" w:rsidTr="00E607DA">
        <w:trPr>
          <w:trHeight w:val="240"/>
        </w:trPr>
        <w:tc>
          <w:tcPr>
            <w:tcW w:w="7117" w:type="dxa"/>
            <w:tcBorders>
              <w:top w:val="nil"/>
              <w:left w:val="nil"/>
              <w:bottom w:val="nil"/>
              <w:right w:val="nil"/>
            </w:tcBorders>
            <w:shd w:val="clear" w:color="auto" w:fill="auto"/>
            <w:noWrap/>
            <w:vAlign w:val="center"/>
            <w:hideMark/>
          </w:tcPr>
          <w:p w14:paraId="2082BC80" w14:textId="77777777" w:rsidR="00186196" w:rsidRPr="00092B22" w:rsidRDefault="00186196" w:rsidP="00E607DA">
            <w:pPr>
              <w:rPr>
                <w:rFonts w:ascii="Meta Pro" w:eastAsia="Times New Roman" w:hAnsi="Meta Pro"/>
                <w:szCs w:val="18"/>
                <w:lang w:eastAsia="en-AU"/>
              </w:rPr>
            </w:pPr>
            <w:r w:rsidRPr="00092B22">
              <w:rPr>
                <w:rFonts w:ascii="Meta Pro" w:eastAsia="Times New Roman" w:hAnsi="Meta Pro"/>
                <w:szCs w:val="18"/>
                <w:lang w:eastAsia="en-AU"/>
              </w:rPr>
              <w:t>Lease liabilities</w:t>
            </w:r>
          </w:p>
        </w:tc>
        <w:tc>
          <w:tcPr>
            <w:tcW w:w="1153" w:type="dxa"/>
            <w:tcBorders>
              <w:top w:val="nil"/>
              <w:left w:val="nil"/>
              <w:bottom w:val="nil"/>
              <w:right w:val="nil"/>
            </w:tcBorders>
            <w:shd w:val="clear" w:color="000000" w:fill="C9E3B4"/>
            <w:noWrap/>
            <w:vAlign w:val="center"/>
            <w:hideMark/>
          </w:tcPr>
          <w:p w14:paraId="52864CC5"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96 </w:t>
            </w:r>
          </w:p>
        </w:tc>
        <w:tc>
          <w:tcPr>
            <w:tcW w:w="215" w:type="dxa"/>
            <w:tcBorders>
              <w:top w:val="nil"/>
              <w:left w:val="nil"/>
              <w:bottom w:val="nil"/>
              <w:right w:val="nil"/>
            </w:tcBorders>
            <w:shd w:val="clear" w:color="auto" w:fill="auto"/>
            <w:noWrap/>
            <w:vAlign w:val="center"/>
            <w:hideMark/>
          </w:tcPr>
          <w:p w14:paraId="053C0C58" w14:textId="77777777" w:rsidR="00186196" w:rsidRPr="00092B22" w:rsidRDefault="00186196" w:rsidP="00E607DA">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6BB23939"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238 </w:t>
            </w:r>
          </w:p>
        </w:tc>
      </w:tr>
      <w:tr w:rsidR="00186196" w:rsidRPr="00092B22" w14:paraId="70E864ED" w14:textId="77777777" w:rsidTr="00E607DA">
        <w:trPr>
          <w:trHeight w:val="240"/>
        </w:trPr>
        <w:tc>
          <w:tcPr>
            <w:tcW w:w="7117" w:type="dxa"/>
            <w:tcBorders>
              <w:top w:val="nil"/>
              <w:left w:val="nil"/>
              <w:bottom w:val="nil"/>
              <w:right w:val="nil"/>
            </w:tcBorders>
            <w:shd w:val="clear" w:color="auto" w:fill="auto"/>
            <w:noWrap/>
            <w:vAlign w:val="center"/>
            <w:hideMark/>
          </w:tcPr>
          <w:p w14:paraId="4CD93288" w14:textId="77777777" w:rsidR="00186196" w:rsidRPr="00092B22" w:rsidRDefault="00186196" w:rsidP="00E607DA">
            <w:pPr>
              <w:rPr>
                <w:rFonts w:ascii="Meta Pro" w:eastAsia="Times New Roman" w:hAnsi="Meta Pro"/>
                <w:szCs w:val="18"/>
                <w:lang w:eastAsia="en-AU"/>
              </w:rPr>
            </w:pPr>
            <w:r w:rsidRPr="00092B22">
              <w:rPr>
                <w:rFonts w:ascii="Meta Pro" w:eastAsia="Times New Roman" w:hAnsi="Meta Pro"/>
                <w:szCs w:val="18"/>
                <w:lang w:eastAsia="en-AU"/>
              </w:rPr>
              <w:t>Financial liabilities – Service concession arrangements</w:t>
            </w:r>
          </w:p>
        </w:tc>
        <w:tc>
          <w:tcPr>
            <w:tcW w:w="1153" w:type="dxa"/>
            <w:tcBorders>
              <w:top w:val="nil"/>
              <w:left w:val="nil"/>
              <w:bottom w:val="nil"/>
              <w:right w:val="nil"/>
            </w:tcBorders>
            <w:shd w:val="clear" w:color="000000" w:fill="C9E3B4"/>
            <w:noWrap/>
            <w:vAlign w:val="center"/>
            <w:hideMark/>
          </w:tcPr>
          <w:p w14:paraId="437467DE"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36,775 </w:t>
            </w:r>
          </w:p>
        </w:tc>
        <w:tc>
          <w:tcPr>
            <w:tcW w:w="215" w:type="dxa"/>
            <w:tcBorders>
              <w:top w:val="nil"/>
              <w:left w:val="nil"/>
              <w:bottom w:val="nil"/>
              <w:right w:val="nil"/>
            </w:tcBorders>
            <w:shd w:val="clear" w:color="auto" w:fill="auto"/>
            <w:noWrap/>
            <w:vAlign w:val="center"/>
            <w:hideMark/>
          </w:tcPr>
          <w:p w14:paraId="63C18F08" w14:textId="77777777" w:rsidR="00186196" w:rsidRPr="00092B22" w:rsidRDefault="00186196" w:rsidP="00E607DA">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13990884"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33,417 </w:t>
            </w:r>
          </w:p>
        </w:tc>
      </w:tr>
      <w:tr w:rsidR="00186196" w:rsidRPr="00092B22" w14:paraId="3EDEB2D6" w14:textId="77777777" w:rsidTr="00E607DA">
        <w:trPr>
          <w:trHeight w:val="240"/>
        </w:trPr>
        <w:tc>
          <w:tcPr>
            <w:tcW w:w="7117" w:type="dxa"/>
            <w:tcBorders>
              <w:top w:val="nil"/>
              <w:left w:val="nil"/>
              <w:bottom w:val="nil"/>
              <w:right w:val="nil"/>
            </w:tcBorders>
            <w:shd w:val="clear" w:color="auto" w:fill="auto"/>
            <w:noWrap/>
            <w:vAlign w:val="center"/>
            <w:hideMark/>
          </w:tcPr>
          <w:p w14:paraId="1E74C20C" w14:textId="77777777" w:rsidR="00186196" w:rsidRPr="00092B22" w:rsidRDefault="00186196" w:rsidP="00E607DA">
            <w:pPr>
              <w:rPr>
                <w:rFonts w:ascii="Meta Pro" w:eastAsia="Times New Roman" w:hAnsi="Meta Pro"/>
                <w:szCs w:val="18"/>
                <w:lang w:eastAsia="en-AU"/>
              </w:rPr>
            </w:pPr>
            <w:r w:rsidRPr="00092B22">
              <w:rPr>
                <w:rFonts w:ascii="Meta Pro" w:eastAsia="Times New Roman" w:hAnsi="Meta Pro"/>
                <w:szCs w:val="18"/>
                <w:lang w:eastAsia="en-AU"/>
              </w:rPr>
              <w:t>New Generation Rollingstock arrangement</w:t>
            </w:r>
          </w:p>
        </w:tc>
        <w:tc>
          <w:tcPr>
            <w:tcW w:w="1153" w:type="dxa"/>
            <w:tcBorders>
              <w:top w:val="nil"/>
              <w:left w:val="nil"/>
              <w:bottom w:val="nil"/>
              <w:right w:val="nil"/>
            </w:tcBorders>
            <w:shd w:val="clear" w:color="000000" w:fill="C9E3B4"/>
            <w:noWrap/>
            <w:vAlign w:val="center"/>
            <w:hideMark/>
          </w:tcPr>
          <w:p w14:paraId="00451A35"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3,501 </w:t>
            </w:r>
          </w:p>
        </w:tc>
        <w:tc>
          <w:tcPr>
            <w:tcW w:w="215" w:type="dxa"/>
            <w:tcBorders>
              <w:top w:val="nil"/>
              <w:left w:val="nil"/>
              <w:bottom w:val="nil"/>
              <w:right w:val="nil"/>
            </w:tcBorders>
            <w:shd w:val="clear" w:color="auto" w:fill="auto"/>
            <w:noWrap/>
            <w:vAlign w:val="center"/>
            <w:hideMark/>
          </w:tcPr>
          <w:p w14:paraId="760B208B" w14:textId="77777777" w:rsidR="00186196" w:rsidRPr="00092B22" w:rsidRDefault="00186196" w:rsidP="00E607DA">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23EC64AB"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3,061 </w:t>
            </w:r>
          </w:p>
        </w:tc>
      </w:tr>
      <w:tr w:rsidR="00186196" w:rsidRPr="00092B22" w14:paraId="453279D4" w14:textId="77777777" w:rsidTr="00E607DA">
        <w:trPr>
          <w:trHeight w:val="240"/>
        </w:trPr>
        <w:tc>
          <w:tcPr>
            <w:tcW w:w="7117" w:type="dxa"/>
            <w:tcBorders>
              <w:top w:val="single" w:sz="4" w:space="0" w:color="auto"/>
              <w:left w:val="nil"/>
              <w:bottom w:val="double" w:sz="6" w:space="0" w:color="auto"/>
              <w:right w:val="nil"/>
            </w:tcBorders>
            <w:shd w:val="clear" w:color="auto" w:fill="auto"/>
            <w:noWrap/>
            <w:vAlign w:val="center"/>
            <w:hideMark/>
          </w:tcPr>
          <w:p w14:paraId="007F96DC" w14:textId="77777777" w:rsidR="00186196" w:rsidRPr="00092B22" w:rsidRDefault="00186196" w:rsidP="00E607DA">
            <w:pPr>
              <w:rPr>
                <w:rFonts w:ascii="Meta Pro" w:eastAsia="Times New Roman" w:hAnsi="Meta Pro"/>
                <w:b/>
                <w:bCs/>
                <w:szCs w:val="18"/>
                <w:lang w:eastAsia="en-AU"/>
              </w:rPr>
            </w:pPr>
            <w:r w:rsidRPr="00092B22">
              <w:rPr>
                <w:rFonts w:ascii="Meta Pro" w:eastAsia="Times New Roman" w:hAnsi="Meta Pro"/>
                <w:b/>
                <w:bCs/>
                <w:szCs w:val="18"/>
                <w:lang w:eastAsia="en-AU"/>
              </w:rPr>
              <w:t>Total</w:t>
            </w:r>
          </w:p>
        </w:tc>
        <w:tc>
          <w:tcPr>
            <w:tcW w:w="1153" w:type="dxa"/>
            <w:tcBorders>
              <w:top w:val="single" w:sz="4" w:space="0" w:color="auto"/>
              <w:left w:val="nil"/>
              <w:bottom w:val="double" w:sz="6" w:space="0" w:color="auto"/>
              <w:right w:val="nil"/>
            </w:tcBorders>
            <w:shd w:val="clear" w:color="000000" w:fill="C9E3B4"/>
            <w:noWrap/>
            <w:vAlign w:val="center"/>
            <w:hideMark/>
          </w:tcPr>
          <w:p w14:paraId="39CB249A" w14:textId="77777777" w:rsidR="00186196" w:rsidRPr="00092B22" w:rsidRDefault="00186196"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40,372 </w:t>
            </w:r>
          </w:p>
        </w:tc>
        <w:tc>
          <w:tcPr>
            <w:tcW w:w="215" w:type="dxa"/>
            <w:tcBorders>
              <w:top w:val="single" w:sz="4" w:space="0" w:color="auto"/>
              <w:left w:val="nil"/>
              <w:bottom w:val="double" w:sz="6" w:space="0" w:color="auto"/>
              <w:right w:val="nil"/>
            </w:tcBorders>
            <w:shd w:val="clear" w:color="auto" w:fill="auto"/>
            <w:noWrap/>
            <w:vAlign w:val="center"/>
            <w:hideMark/>
          </w:tcPr>
          <w:p w14:paraId="41480801" w14:textId="77777777" w:rsidR="00186196" w:rsidRPr="00092B22" w:rsidRDefault="00186196"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153" w:type="dxa"/>
            <w:tcBorders>
              <w:top w:val="single" w:sz="4" w:space="0" w:color="auto"/>
              <w:left w:val="nil"/>
              <w:bottom w:val="double" w:sz="6" w:space="0" w:color="auto"/>
              <w:right w:val="nil"/>
            </w:tcBorders>
            <w:shd w:val="clear" w:color="auto" w:fill="auto"/>
            <w:noWrap/>
            <w:vAlign w:val="center"/>
            <w:hideMark/>
          </w:tcPr>
          <w:p w14:paraId="0367EE6D" w14:textId="77777777" w:rsidR="00186196" w:rsidRPr="00092B22" w:rsidRDefault="00186196"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36,716 </w:t>
            </w:r>
          </w:p>
        </w:tc>
      </w:tr>
      <w:tr w:rsidR="00186196" w:rsidRPr="00092B22" w14:paraId="686701E2" w14:textId="77777777" w:rsidTr="00E607DA">
        <w:trPr>
          <w:trHeight w:val="90"/>
        </w:trPr>
        <w:tc>
          <w:tcPr>
            <w:tcW w:w="7117" w:type="dxa"/>
            <w:tcBorders>
              <w:top w:val="nil"/>
              <w:left w:val="nil"/>
              <w:bottom w:val="nil"/>
              <w:right w:val="nil"/>
            </w:tcBorders>
            <w:shd w:val="clear" w:color="auto" w:fill="auto"/>
            <w:noWrap/>
            <w:vAlign w:val="center"/>
            <w:hideMark/>
          </w:tcPr>
          <w:p w14:paraId="3C7896A1" w14:textId="77777777" w:rsidR="00186196" w:rsidRPr="00092B22" w:rsidRDefault="00186196" w:rsidP="00E607DA">
            <w:pPr>
              <w:jc w:val="right"/>
              <w:rPr>
                <w:rFonts w:ascii="Meta Pro" w:eastAsia="Times New Roman" w:hAnsi="Meta Pro"/>
                <w:b/>
                <w:bCs/>
                <w:szCs w:val="18"/>
                <w:lang w:eastAsia="en-AU"/>
              </w:rPr>
            </w:pPr>
          </w:p>
        </w:tc>
        <w:tc>
          <w:tcPr>
            <w:tcW w:w="1153" w:type="dxa"/>
            <w:tcBorders>
              <w:top w:val="nil"/>
              <w:left w:val="nil"/>
              <w:bottom w:val="nil"/>
              <w:right w:val="nil"/>
            </w:tcBorders>
            <w:shd w:val="clear" w:color="auto" w:fill="auto"/>
            <w:noWrap/>
            <w:vAlign w:val="center"/>
            <w:hideMark/>
          </w:tcPr>
          <w:p w14:paraId="79376571" w14:textId="77777777" w:rsidR="00186196" w:rsidRPr="00092B22" w:rsidRDefault="00186196" w:rsidP="00E607DA">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5D3BA0C7" w14:textId="77777777" w:rsidR="00186196" w:rsidRPr="00092B22" w:rsidRDefault="00186196" w:rsidP="00E607DA">
            <w:pPr>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5393CE87" w14:textId="77777777" w:rsidR="00186196" w:rsidRPr="00092B22" w:rsidRDefault="00186196" w:rsidP="00E607DA">
            <w:pPr>
              <w:rPr>
                <w:rFonts w:ascii="Meta Pro" w:eastAsia="Times New Roman" w:hAnsi="Meta Pro" w:cs="Times New Roman"/>
                <w:sz w:val="20"/>
                <w:szCs w:val="20"/>
                <w:lang w:eastAsia="en-AU"/>
              </w:rPr>
            </w:pPr>
          </w:p>
        </w:tc>
      </w:tr>
      <w:tr w:rsidR="00186196" w:rsidRPr="00092B22" w14:paraId="735F9CA8" w14:textId="77777777" w:rsidTr="00E607DA">
        <w:trPr>
          <w:trHeight w:val="240"/>
        </w:trPr>
        <w:tc>
          <w:tcPr>
            <w:tcW w:w="7117" w:type="dxa"/>
            <w:tcBorders>
              <w:top w:val="nil"/>
              <w:left w:val="nil"/>
              <w:bottom w:val="nil"/>
              <w:right w:val="nil"/>
            </w:tcBorders>
            <w:shd w:val="clear" w:color="auto" w:fill="auto"/>
            <w:noWrap/>
            <w:vAlign w:val="center"/>
            <w:hideMark/>
          </w:tcPr>
          <w:p w14:paraId="52C02A12" w14:textId="77777777" w:rsidR="00186196" w:rsidRPr="00092B22" w:rsidRDefault="00186196" w:rsidP="00E607DA">
            <w:pPr>
              <w:rPr>
                <w:rFonts w:ascii="Meta Pro" w:eastAsia="Times New Roman" w:hAnsi="Meta Pro"/>
                <w:b/>
                <w:bCs/>
                <w:szCs w:val="18"/>
                <w:lang w:eastAsia="en-AU"/>
              </w:rPr>
            </w:pPr>
            <w:r w:rsidRPr="00092B22">
              <w:rPr>
                <w:rFonts w:ascii="Meta Pro" w:eastAsia="Times New Roman" w:hAnsi="Meta Pro"/>
                <w:b/>
                <w:bCs/>
                <w:szCs w:val="18"/>
                <w:lang w:eastAsia="en-AU"/>
              </w:rPr>
              <w:t>Non-current</w:t>
            </w:r>
          </w:p>
        </w:tc>
        <w:tc>
          <w:tcPr>
            <w:tcW w:w="1153" w:type="dxa"/>
            <w:tcBorders>
              <w:top w:val="nil"/>
              <w:left w:val="nil"/>
              <w:bottom w:val="nil"/>
              <w:right w:val="nil"/>
            </w:tcBorders>
            <w:shd w:val="clear" w:color="auto" w:fill="auto"/>
            <w:noWrap/>
            <w:vAlign w:val="center"/>
            <w:hideMark/>
          </w:tcPr>
          <w:p w14:paraId="311ACEC1" w14:textId="77777777" w:rsidR="00186196" w:rsidRPr="00092B22" w:rsidRDefault="00186196" w:rsidP="00E607DA">
            <w:pPr>
              <w:rPr>
                <w:rFonts w:ascii="Meta Pro" w:eastAsia="Times New Roman" w:hAnsi="Meta Pro"/>
                <w:b/>
                <w:bCs/>
                <w:szCs w:val="18"/>
                <w:lang w:eastAsia="en-AU"/>
              </w:rPr>
            </w:pPr>
          </w:p>
        </w:tc>
        <w:tc>
          <w:tcPr>
            <w:tcW w:w="215" w:type="dxa"/>
            <w:tcBorders>
              <w:top w:val="nil"/>
              <w:left w:val="nil"/>
              <w:bottom w:val="nil"/>
              <w:right w:val="nil"/>
            </w:tcBorders>
            <w:shd w:val="clear" w:color="auto" w:fill="auto"/>
            <w:noWrap/>
            <w:vAlign w:val="center"/>
            <w:hideMark/>
          </w:tcPr>
          <w:p w14:paraId="6C7A9043" w14:textId="77777777" w:rsidR="00186196" w:rsidRPr="00092B22" w:rsidRDefault="00186196" w:rsidP="00E607DA">
            <w:pPr>
              <w:jc w:val="right"/>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34FD457D" w14:textId="77777777" w:rsidR="00186196" w:rsidRPr="00092B22" w:rsidRDefault="00186196" w:rsidP="00E607DA">
            <w:pPr>
              <w:jc w:val="right"/>
              <w:rPr>
                <w:rFonts w:ascii="Meta Pro" w:eastAsia="Times New Roman" w:hAnsi="Meta Pro" w:cs="Times New Roman"/>
                <w:sz w:val="20"/>
                <w:szCs w:val="20"/>
                <w:lang w:eastAsia="en-AU"/>
              </w:rPr>
            </w:pPr>
          </w:p>
        </w:tc>
      </w:tr>
      <w:tr w:rsidR="00186196" w:rsidRPr="00092B22" w14:paraId="7DF70AA2" w14:textId="77777777" w:rsidTr="00E607DA">
        <w:trPr>
          <w:trHeight w:val="240"/>
        </w:trPr>
        <w:tc>
          <w:tcPr>
            <w:tcW w:w="7117" w:type="dxa"/>
            <w:tcBorders>
              <w:top w:val="nil"/>
              <w:left w:val="nil"/>
              <w:bottom w:val="nil"/>
              <w:right w:val="nil"/>
            </w:tcBorders>
            <w:shd w:val="clear" w:color="auto" w:fill="auto"/>
            <w:noWrap/>
            <w:vAlign w:val="center"/>
            <w:hideMark/>
          </w:tcPr>
          <w:p w14:paraId="3609C77A" w14:textId="77777777" w:rsidR="00186196" w:rsidRPr="00092B22" w:rsidRDefault="00186196" w:rsidP="00E607DA">
            <w:pPr>
              <w:rPr>
                <w:rFonts w:ascii="Meta Pro" w:eastAsia="Times New Roman" w:hAnsi="Meta Pro"/>
                <w:szCs w:val="18"/>
                <w:lang w:eastAsia="en-AU"/>
              </w:rPr>
            </w:pPr>
            <w:r w:rsidRPr="00092B22">
              <w:rPr>
                <w:rFonts w:ascii="Meta Pro" w:eastAsia="Times New Roman" w:hAnsi="Meta Pro"/>
                <w:szCs w:val="18"/>
                <w:lang w:eastAsia="en-AU"/>
              </w:rPr>
              <w:t>Lease liabilities</w:t>
            </w:r>
          </w:p>
        </w:tc>
        <w:tc>
          <w:tcPr>
            <w:tcW w:w="1153" w:type="dxa"/>
            <w:tcBorders>
              <w:top w:val="nil"/>
              <w:left w:val="nil"/>
              <w:bottom w:val="nil"/>
              <w:right w:val="nil"/>
            </w:tcBorders>
            <w:shd w:val="clear" w:color="000000" w:fill="C9E3B4"/>
            <w:noWrap/>
            <w:vAlign w:val="center"/>
            <w:hideMark/>
          </w:tcPr>
          <w:p w14:paraId="30366345"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3,274 </w:t>
            </w:r>
          </w:p>
        </w:tc>
        <w:tc>
          <w:tcPr>
            <w:tcW w:w="215" w:type="dxa"/>
            <w:tcBorders>
              <w:top w:val="nil"/>
              <w:left w:val="nil"/>
              <w:bottom w:val="nil"/>
              <w:right w:val="nil"/>
            </w:tcBorders>
            <w:shd w:val="clear" w:color="auto" w:fill="auto"/>
            <w:noWrap/>
            <w:vAlign w:val="center"/>
            <w:hideMark/>
          </w:tcPr>
          <w:p w14:paraId="318B20A3" w14:textId="77777777" w:rsidR="00186196" w:rsidRPr="00092B22" w:rsidRDefault="00186196" w:rsidP="00E607DA">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416FED7F"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3,229 </w:t>
            </w:r>
          </w:p>
        </w:tc>
      </w:tr>
      <w:tr w:rsidR="00186196" w:rsidRPr="00092B22" w14:paraId="0A06D61A" w14:textId="77777777" w:rsidTr="00E607DA">
        <w:trPr>
          <w:trHeight w:val="240"/>
        </w:trPr>
        <w:tc>
          <w:tcPr>
            <w:tcW w:w="7117" w:type="dxa"/>
            <w:tcBorders>
              <w:top w:val="nil"/>
              <w:left w:val="nil"/>
              <w:bottom w:val="nil"/>
              <w:right w:val="nil"/>
            </w:tcBorders>
            <w:shd w:val="clear" w:color="auto" w:fill="auto"/>
            <w:noWrap/>
            <w:vAlign w:val="center"/>
            <w:hideMark/>
          </w:tcPr>
          <w:p w14:paraId="095FDF77" w14:textId="77777777" w:rsidR="00186196" w:rsidRPr="00092B22" w:rsidRDefault="00186196" w:rsidP="00E607DA">
            <w:pPr>
              <w:rPr>
                <w:rFonts w:ascii="Meta Pro" w:eastAsia="Times New Roman" w:hAnsi="Meta Pro"/>
                <w:szCs w:val="18"/>
                <w:lang w:eastAsia="en-AU"/>
              </w:rPr>
            </w:pPr>
            <w:r w:rsidRPr="00092B22">
              <w:rPr>
                <w:rFonts w:ascii="Meta Pro" w:eastAsia="Times New Roman" w:hAnsi="Meta Pro"/>
                <w:szCs w:val="18"/>
                <w:lang w:eastAsia="en-AU"/>
              </w:rPr>
              <w:t>Financial liabilities – Service concession arrangements</w:t>
            </w:r>
          </w:p>
        </w:tc>
        <w:tc>
          <w:tcPr>
            <w:tcW w:w="1153" w:type="dxa"/>
            <w:tcBorders>
              <w:top w:val="nil"/>
              <w:left w:val="nil"/>
              <w:bottom w:val="nil"/>
              <w:right w:val="nil"/>
            </w:tcBorders>
            <w:shd w:val="clear" w:color="000000" w:fill="C9E3B4"/>
            <w:noWrap/>
            <w:vAlign w:val="center"/>
            <w:hideMark/>
          </w:tcPr>
          <w:p w14:paraId="3E0CA063"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700,583 </w:t>
            </w:r>
          </w:p>
        </w:tc>
        <w:tc>
          <w:tcPr>
            <w:tcW w:w="215" w:type="dxa"/>
            <w:tcBorders>
              <w:top w:val="nil"/>
              <w:left w:val="nil"/>
              <w:bottom w:val="nil"/>
              <w:right w:val="nil"/>
            </w:tcBorders>
            <w:shd w:val="clear" w:color="auto" w:fill="auto"/>
            <w:noWrap/>
            <w:vAlign w:val="center"/>
            <w:hideMark/>
          </w:tcPr>
          <w:p w14:paraId="0571CCBC" w14:textId="77777777" w:rsidR="00186196" w:rsidRPr="00092B22" w:rsidRDefault="00186196" w:rsidP="00E607DA">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79C808CF"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660,992 </w:t>
            </w:r>
          </w:p>
        </w:tc>
      </w:tr>
      <w:tr w:rsidR="00186196" w:rsidRPr="00092B22" w14:paraId="4AE6F967" w14:textId="77777777" w:rsidTr="00E607DA">
        <w:trPr>
          <w:trHeight w:val="240"/>
        </w:trPr>
        <w:tc>
          <w:tcPr>
            <w:tcW w:w="7117" w:type="dxa"/>
            <w:tcBorders>
              <w:top w:val="nil"/>
              <w:left w:val="nil"/>
              <w:bottom w:val="nil"/>
              <w:right w:val="nil"/>
            </w:tcBorders>
            <w:shd w:val="clear" w:color="auto" w:fill="auto"/>
            <w:noWrap/>
            <w:vAlign w:val="center"/>
            <w:hideMark/>
          </w:tcPr>
          <w:p w14:paraId="4350624F" w14:textId="77777777" w:rsidR="00186196" w:rsidRPr="00092B22" w:rsidRDefault="00186196" w:rsidP="00E607DA">
            <w:pPr>
              <w:rPr>
                <w:rFonts w:ascii="Meta Pro" w:eastAsia="Times New Roman" w:hAnsi="Meta Pro"/>
                <w:szCs w:val="18"/>
                <w:lang w:eastAsia="en-AU"/>
              </w:rPr>
            </w:pPr>
            <w:r w:rsidRPr="00092B22">
              <w:rPr>
                <w:rFonts w:ascii="Meta Pro" w:eastAsia="Times New Roman" w:hAnsi="Meta Pro"/>
                <w:szCs w:val="18"/>
                <w:lang w:eastAsia="en-AU"/>
              </w:rPr>
              <w:t>New Generation Rollingstock arrangement</w:t>
            </w:r>
          </w:p>
        </w:tc>
        <w:tc>
          <w:tcPr>
            <w:tcW w:w="1153" w:type="dxa"/>
            <w:tcBorders>
              <w:top w:val="nil"/>
              <w:left w:val="nil"/>
              <w:bottom w:val="nil"/>
              <w:right w:val="nil"/>
            </w:tcBorders>
            <w:shd w:val="clear" w:color="000000" w:fill="C9E3B4"/>
            <w:noWrap/>
            <w:vAlign w:val="center"/>
            <w:hideMark/>
          </w:tcPr>
          <w:p w14:paraId="7DD859BF"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551,372 </w:t>
            </w:r>
          </w:p>
        </w:tc>
        <w:tc>
          <w:tcPr>
            <w:tcW w:w="215" w:type="dxa"/>
            <w:tcBorders>
              <w:top w:val="nil"/>
              <w:left w:val="nil"/>
              <w:bottom w:val="nil"/>
              <w:right w:val="nil"/>
            </w:tcBorders>
            <w:shd w:val="clear" w:color="auto" w:fill="auto"/>
            <w:noWrap/>
            <w:vAlign w:val="center"/>
            <w:hideMark/>
          </w:tcPr>
          <w:p w14:paraId="6FF7E78D" w14:textId="77777777" w:rsidR="00186196" w:rsidRPr="00092B22" w:rsidRDefault="00186196" w:rsidP="00E607DA">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147AED1C"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554,913 </w:t>
            </w:r>
          </w:p>
        </w:tc>
      </w:tr>
      <w:tr w:rsidR="00186196" w:rsidRPr="00092B22" w14:paraId="4715513C" w14:textId="77777777" w:rsidTr="00E607DA">
        <w:trPr>
          <w:trHeight w:val="240"/>
        </w:trPr>
        <w:tc>
          <w:tcPr>
            <w:tcW w:w="7117" w:type="dxa"/>
            <w:tcBorders>
              <w:top w:val="single" w:sz="4" w:space="0" w:color="auto"/>
              <w:left w:val="nil"/>
              <w:bottom w:val="double" w:sz="6" w:space="0" w:color="auto"/>
              <w:right w:val="nil"/>
            </w:tcBorders>
            <w:shd w:val="clear" w:color="auto" w:fill="auto"/>
            <w:noWrap/>
            <w:vAlign w:val="center"/>
            <w:hideMark/>
          </w:tcPr>
          <w:p w14:paraId="19FAC108" w14:textId="77777777" w:rsidR="00186196" w:rsidRPr="00092B22" w:rsidRDefault="00186196" w:rsidP="00E607DA">
            <w:pPr>
              <w:rPr>
                <w:rFonts w:ascii="Meta Pro" w:eastAsia="Times New Roman" w:hAnsi="Meta Pro"/>
                <w:b/>
                <w:bCs/>
                <w:szCs w:val="18"/>
                <w:lang w:eastAsia="en-AU"/>
              </w:rPr>
            </w:pPr>
            <w:r w:rsidRPr="00092B22">
              <w:rPr>
                <w:rFonts w:ascii="Meta Pro" w:eastAsia="Times New Roman" w:hAnsi="Meta Pro"/>
                <w:b/>
                <w:bCs/>
                <w:szCs w:val="18"/>
                <w:lang w:eastAsia="en-AU"/>
              </w:rPr>
              <w:t>Total</w:t>
            </w:r>
          </w:p>
        </w:tc>
        <w:tc>
          <w:tcPr>
            <w:tcW w:w="1153" w:type="dxa"/>
            <w:tcBorders>
              <w:top w:val="single" w:sz="4" w:space="0" w:color="auto"/>
              <w:left w:val="nil"/>
              <w:bottom w:val="double" w:sz="6" w:space="0" w:color="auto"/>
              <w:right w:val="nil"/>
            </w:tcBorders>
            <w:shd w:val="clear" w:color="000000" w:fill="C9E3B4"/>
            <w:noWrap/>
            <w:vAlign w:val="center"/>
            <w:hideMark/>
          </w:tcPr>
          <w:p w14:paraId="43CC16DD" w14:textId="77777777" w:rsidR="00186196" w:rsidRPr="00092B22" w:rsidRDefault="00186196"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1,255,229 </w:t>
            </w:r>
          </w:p>
        </w:tc>
        <w:tc>
          <w:tcPr>
            <w:tcW w:w="215" w:type="dxa"/>
            <w:tcBorders>
              <w:top w:val="single" w:sz="4" w:space="0" w:color="auto"/>
              <w:left w:val="nil"/>
              <w:bottom w:val="double" w:sz="6" w:space="0" w:color="auto"/>
              <w:right w:val="nil"/>
            </w:tcBorders>
            <w:shd w:val="clear" w:color="auto" w:fill="auto"/>
            <w:noWrap/>
            <w:vAlign w:val="center"/>
            <w:hideMark/>
          </w:tcPr>
          <w:p w14:paraId="0795F6A7" w14:textId="77777777" w:rsidR="00186196" w:rsidRPr="00092B22" w:rsidRDefault="00186196"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153" w:type="dxa"/>
            <w:tcBorders>
              <w:top w:val="single" w:sz="4" w:space="0" w:color="auto"/>
              <w:left w:val="nil"/>
              <w:bottom w:val="double" w:sz="6" w:space="0" w:color="auto"/>
              <w:right w:val="nil"/>
            </w:tcBorders>
            <w:shd w:val="clear" w:color="auto" w:fill="auto"/>
            <w:noWrap/>
            <w:vAlign w:val="center"/>
            <w:hideMark/>
          </w:tcPr>
          <w:p w14:paraId="1F241A65" w14:textId="77777777" w:rsidR="00186196" w:rsidRPr="00092B22" w:rsidRDefault="00186196"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1,219,134 </w:t>
            </w:r>
          </w:p>
        </w:tc>
      </w:tr>
    </w:tbl>
    <w:p w14:paraId="2A2F0268" w14:textId="77777777" w:rsidR="00186196" w:rsidRPr="00092B22" w:rsidRDefault="00186196" w:rsidP="00186196">
      <w:pPr>
        <w:rPr>
          <w:rFonts w:ascii="Meta Pro" w:hAnsi="Meta Pro" w:cstheme="minorBidi"/>
        </w:rPr>
      </w:pPr>
      <w:r w:rsidRPr="00092B22">
        <w:rPr>
          <w:rFonts w:ascii="Meta Pro" w:hAnsi="Meta Pro"/>
          <w:lang w:eastAsia="en-AU"/>
        </w:rPr>
        <w:tab/>
      </w:r>
    </w:p>
    <w:tbl>
      <w:tblPr>
        <w:tblW w:w="0" w:type="auto"/>
        <w:tblCellMar>
          <w:left w:w="0" w:type="dxa"/>
        </w:tblCellMar>
        <w:tblLook w:val="04A0" w:firstRow="1" w:lastRow="0" w:firstColumn="1" w:lastColumn="0" w:noHBand="0" w:noVBand="1"/>
      </w:tblPr>
      <w:tblGrid>
        <w:gridCol w:w="7101"/>
        <w:gridCol w:w="1157"/>
        <w:gridCol w:w="223"/>
        <w:gridCol w:w="1157"/>
      </w:tblGrid>
      <w:tr w:rsidR="00186196" w:rsidRPr="00092B22" w14:paraId="32DFF993" w14:textId="77777777" w:rsidTr="00E607DA">
        <w:trPr>
          <w:trHeight w:val="240"/>
        </w:trPr>
        <w:tc>
          <w:tcPr>
            <w:tcW w:w="7117" w:type="dxa"/>
            <w:tcBorders>
              <w:top w:val="nil"/>
              <w:left w:val="nil"/>
              <w:bottom w:val="nil"/>
              <w:right w:val="nil"/>
            </w:tcBorders>
            <w:shd w:val="clear" w:color="auto" w:fill="auto"/>
            <w:noWrap/>
            <w:vAlign w:val="center"/>
            <w:hideMark/>
          </w:tcPr>
          <w:p w14:paraId="687C24F9" w14:textId="77777777" w:rsidR="00186196" w:rsidRPr="00092B22" w:rsidRDefault="00186196" w:rsidP="00E607DA">
            <w:pPr>
              <w:rPr>
                <w:rFonts w:ascii="Meta Pro" w:eastAsia="Times New Roman" w:hAnsi="Meta Pro"/>
                <w:b/>
                <w:bCs/>
                <w:lang w:eastAsia="en-AU"/>
              </w:rPr>
            </w:pPr>
            <w:r w:rsidRPr="00092B22">
              <w:rPr>
                <w:rFonts w:ascii="Meta Pro" w:eastAsia="Times New Roman" w:hAnsi="Meta Pro"/>
                <w:b/>
                <w:bCs/>
                <w:lang w:eastAsia="en-AU"/>
              </w:rPr>
              <w:t>19     PROVISIONS</w:t>
            </w:r>
          </w:p>
        </w:tc>
        <w:tc>
          <w:tcPr>
            <w:tcW w:w="1153" w:type="dxa"/>
            <w:tcBorders>
              <w:top w:val="nil"/>
              <w:left w:val="nil"/>
              <w:bottom w:val="nil"/>
              <w:right w:val="nil"/>
            </w:tcBorders>
            <w:shd w:val="clear" w:color="auto" w:fill="auto"/>
            <w:noWrap/>
            <w:vAlign w:val="center"/>
            <w:hideMark/>
          </w:tcPr>
          <w:p w14:paraId="7DA35273" w14:textId="77777777" w:rsidR="00186196" w:rsidRPr="00092B22" w:rsidRDefault="00186196" w:rsidP="00E607DA">
            <w:pPr>
              <w:rPr>
                <w:rFonts w:ascii="Meta Pro" w:eastAsia="Times New Roman" w:hAnsi="Meta Pro"/>
                <w:b/>
                <w:bCs/>
                <w:lang w:eastAsia="en-AU"/>
              </w:rPr>
            </w:pPr>
          </w:p>
        </w:tc>
        <w:tc>
          <w:tcPr>
            <w:tcW w:w="215" w:type="dxa"/>
            <w:tcBorders>
              <w:top w:val="nil"/>
              <w:left w:val="nil"/>
              <w:bottom w:val="nil"/>
              <w:right w:val="nil"/>
            </w:tcBorders>
            <w:shd w:val="clear" w:color="auto" w:fill="auto"/>
            <w:noWrap/>
            <w:vAlign w:val="center"/>
            <w:hideMark/>
          </w:tcPr>
          <w:p w14:paraId="7D9EF87D" w14:textId="77777777" w:rsidR="00186196" w:rsidRPr="00092B22" w:rsidRDefault="00186196" w:rsidP="00E607DA">
            <w:pPr>
              <w:jc w:val="right"/>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56AFD735" w14:textId="77777777" w:rsidR="00186196" w:rsidRPr="00092B22" w:rsidRDefault="00186196" w:rsidP="00E607DA">
            <w:pPr>
              <w:jc w:val="right"/>
              <w:rPr>
                <w:rFonts w:ascii="Meta Pro" w:eastAsia="Times New Roman" w:hAnsi="Meta Pro" w:cs="Times New Roman"/>
                <w:sz w:val="20"/>
                <w:szCs w:val="20"/>
                <w:lang w:eastAsia="en-AU"/>
              </w:rPr>
            </w:pPr>
          </w:p>
        </w:tc>
      </w:tr>
      <w:tr w:rsidR="00186196" w:rsidRPr="00092B22" w14:paraId="67C98CE5" w14:textId="77777777" w:rsidTr="00E607DA">
        <w:trPr>
          <w:trHeight w:val="90"/>
        </w:trPr>
        <w:tc>
          <w:tcPr>
            <w:tcW w:w="7117" w:type="dxa"/>
            <w:tcBorders>
              <w:top w:val="nil"/>
              <w:left w:val="nil"/>
              <w:bottom w:val="nil"/>
              <w:right w:val="nil"/>
            </w:tcBorders>
            <w:shd w:val="clear" w:color="auto" w:fill="auto"/>
            <w:noWrap/>
            <w:vAlign w:val="center"/>
            <w:hideMark/>
          </w:tcPr>
          <w:p w14:paraId="557656C4" w14:textId="77777777" w:rsidR="00186196" w:rsidRPr="00092B22" w:rsidRDefault="00186196" w:rsidP="00E607DA">
            <w:pPr>
              <w:jc w:val="right"/>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37EB794A" w14:textId="77777777" w:rsidR="00186196" w:rsidRPr="00092B22" w:rsidRDefault="00186196" w:rsidP="00E607DA">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5F98EEC9" w14:textId="77777777" w:rsidR="00186196" w:rsidRPr="00092B22" w:rsidRDefault="00186196" w:rsidP="00E607DA">
            <w:pPr>
              <w:jc w:val="right"/>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090D8C3C" w14:textId="77777777" w:rsidR="00186196" w:rsidRPr="00092B22" w:rsidRDefault="00186196" w:rsidP="00E607DA">
            <w:pPr>
              <w:jc w:val="right"/>
              <w:rPr>
                <w:rFonts w:ascii="Meta Pro" w:eastAsia="Times New Roman" w:hAnsi="Meta Pro" w:cs="Times New Roman"/>
                <w:sz w:val="20"/>
                <w:szCs w:val="20"/>
                <w:lang w:eastAsia="en-AU"/>
              </w:rPr>
            </w:pPr>
          </w:p>
        </w:tc>
      </w:tr>
      <w:tr w:rsidR="00186196" w:rsidRPr="00092B22" w14:paraId="5847D86D" w14:textId="77777777" w:rsidTr="00E607DA">
        <w:trPr>
          <w:trHeight w:val="240"/>
        </w:trPr>
        <w:tc>
          <w:tcPr>
            <w:tcW w:w="7117" w:type="dxa"/>
            <w:tcBorders>
              <w:top w:val="nil"/>
              <w:left w:val="nil"/>
              <w:bottom w:val="nil"/>
              <w:right w:val="nil"/>
            </w:tcBorders>
            <w:shd w:val="clear" w:color="auto" w:fill="auto"/>
            <w:noWrap/>
            <w:vAlign w:val="center"/>
            <w:hideMark/>
          </w:tcPr>
          <w:p w14:paraId="3A2F28C0" w14:textId="77777777" w:rsidR="00186196" w:rsidRPr="00092B22" w:rsidRDefault="00186196" w:rsidP="00E607DA">
            <w:pPr>
              <w:rPr>
                <w:rFonts w:ascii="Meta Pro" w:eastAsia="Times New Roman" w:hAnsi="Meta Pro"/>
                <w:b/>
                <w:bCs/>
                <w:szCs w:val="18"/>
                <w:lang w:eastAsia="en-AU"/>
              </w:rPr>
            </w:pPr>
            <w:r w:rsidRPr="00092B22">
              <w:rPr>
                <w:rFonts w:ascii="Meta Pro" w:eastAsia="Times New Roman" w:hAnsi="Meta Pro"/>
                <w:b/>
                <w:bCs/>
                <w:szCs w:val="18"/>
                <w:lang w:eastAsia="en-AU"/>
              </w:rPr>
              <w:t>Current</w:t>
            </w:r>
          </w:p>
        </w:tc>
        <w:tc>
          <w:tcPr>
            <w:tcW w:w="1153" w:type="dxa"/>
            <w:tcBorders>
              <w:top w:val="nil"/>
              <w:left w:val="nil"/>
              <w:bottom w:val="nil"/>
              <w:right w:val="nil"/>
            </w:tcBorders>
            <w:shd w:val="clear" w:color="auto" w:fill="auto"/>
            <w:noWrap/>
            <w:vAlign w:val="center"/>
            <w:hideMark/>
          </w:tcPr>
          <w:p w14:paraId="3E3B1562" w14:textId="77777777" w:rsidR="00186196" w:rsidRPr="00092B22" w:rsidRDefault="00186196" w:rsidP="00E607DA">
            <w:pPr>
              <w:rPr>
                <w:rFonts w:ascii="Meta Pro" w:eastAsia="Times New Roman" w:hAnsi="Meta Pro"/>
                <w:b/>
                <w:bCs/>
                <w:szCs w:val="18"/>
                <w:lang w:eastAsia="en-AU"/>
              </w:rPr>
            </w:pPr>
          </w:p>
        </w:tc>
        <w:tc>
          <w:tcPr>
            <w:tcW w:w="215" w:type="dxa"/>
            <w:tcBorders>
              <w:top w:val="nil"/>
              <w:left w:val="nil"/>
              <w:bottom w:val="nil"/>
              <w:right w:val="nil"/>
            </w:tcBorders>
            <w:shd w:val="clear" w:color="auto" w:fill="auto"/>
            <w:noWrap/>
            <w:vAlign w:val="center"/>
            <w:hideMark/>
          </w:tcPr>
          <w:p w14:paraId="7BB01CF3" w14:textId="77777777" w:rsidR="00186196" w:rsidRPr="00092B22" w:rsidRDefault="00186196" w:rsidP="00E607DA">
            <w:pPr>
              <w:jc w:val="right"/>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2E539A01" w14:textId="77777777" w:rsidR="00186196" w:rsidRPr="00092B22" w:rsidRDefault="00186196" w:rsidP="00E607DA">
            <w:pPr>
              <w:jc w:val="right"/>
              <w:rPr>
                <w:rFonts w:ascii="Meta Pro" w:eastAsia="Times New Roman" w:hAnsi="Meta Pro" w:cs="Times New Roman"/>
                <w:sz w:val="20"/>
                <w:szCs w:val="20"/>
                <w:lang w:eastAsia="en-AU"/>
              </w:rPr>
            </w:pPr>
          </w:p>
        </w:tc>
      </w:tr>
      <w:tr w:rsidR="00186196" w:rsidRPr="00092B22" w14:paraId="77C37754" w14:textId="77777777" w:rsidTr="00E607DA">
        <w:trPr>
          <w:trHeight w:val="240"/>
        </w:trPr>
        <w:tc>
          <w:tcPr>
            <w:tcW w:w="7117" w:type="dxa"/>
            <w:tcBorders>
              <w:top w:val="nil"/>
              <w:left w:val="nil"/>
              <w:bottom w:val="nil"/>
              <w:right w:val="nil"/>
            </w:tcBorders>
            <w:shd w:val="clear" w:color="auto" w:fill="auto"/>
            <w:noWrap/>
            <w:vAlign w:val="center"/>
            <w:hideMark/>
          </w:tcPr>
          <w:p w14:paraId="5746B30D" w14:textId="77777777" w:rsidR="00186196" w:rsidRPr="00092B22" w:rsidRDefault="00186196" w:rsidP="00E607DA">
            <w:pPr>
              <w:rPr>
                <w:rFonts w:ascii="Meta Pro" w:eastAsia="Times New Roman" w:hAnsi="Meta Pro"/>
                <w:szCs w:val="18"/>
                <w:lang w:eastAsia="en-AU"/>
              </w:rPr>
            </w:pPr>
            <w:r w:rsidRPr="00092B22">
              <w:rPr>
                <w:rFonts w:ascii="Meta Pro" w:eastAsia="Times New Roman" w:hAnsi="Meta Pro"/>
                <w:szCs w:val="18"/>
                <w:lang w:eastAsia="en-AU"/>
              </w:rPr>
              <w:t>Property resumptions</w:t>
            </w:r>
          </w:p>
        </w:tc>
        <w:tc>
          <w:tcPr>
            <w:tcW w:w="1153" w:type="dxa"/>
            <w:tcBorders>
              <w:top w:val="nil"/>
              <w:left w:val="nil"/>
              <w:bottom w:val="nil"/>
              <w:right w:val="nil"/>
            </w:tcBorders>
            <w:shd w:val="clear" w:color="000000" w:fill="C9E3B4"/>
            <w:noWrap/>
            <w:vAlign w:val="center"/>
            <w:hideMark/>
          </w:tcPr>
          <w:p w14:paraId="4E4FD150"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182,203 </w:t>
            </w:r>
          </w:p>
        </w:tc>
        <w:tc>
          <w:tcPr>
            <w:tcW w:w="215" w:type="dxa"/>
            <w:tcBorders>
              <w:top w:val="nil"/>
              <w:left w:val="nil"/>
              <w:bottom w:val="nil"/>
              <w:right w:val="nil"/>
            </w:tcBorders>
            <w:shd w:val="clear" w:color="auto" w:fill="auto"/>
            <w:noWrap/>
            <w:vAlign w:val="center"/>
            <w:hideMark/>
          </w:tcPr>
          <w:p w14:paraId="671DD0DD" w14:textId="77777777" w:rsidR="00186196" w:rsidRPr="00092B22" w:rsidRDefault="00186196" w:rsidP="00E607DA">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7DE29037"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148,582 </w:t>
            </w:r>
          </w:p>
        </w:tc>
      </w:tr>
      <w:tr w:rsidR="00186196" w:rsidRPr="00092B22" w14:paraId="3B7B62FE" w14:textId="77777777" w:rsidTr="00E607DA">
        <w:trPr>
          <w:trHeight w:val="240"/>
        </w:trPr>
        <w:tc>
          <w:tcPr>
            <w:tcW w:w="7117" w:type="dxa"/>
            <w:tcBorders>
              <w:top w:val="nil"/>
              <w:left w:val="nil"/>
              <w:bottom w:val="nil"/>
              <w:right w:val="nil"/>
            </w:tcBorders>
            <w:shd w:val="clear" w:color="auto" w:fill="auto"/>
            <w:noWrap/>
            <w:vAlign w:val="center"/>
            <w:hideMark/>
          </w:tcPr>
          <w:p w14:paraId="20C5BA58" w14:textId="77777777" w:rsidR="00186196" w:rsidRPr="00092B22" w:rsidRDefault="00186196" w:rsidP="00E607DA">
            <w:pPr>
              <w:rPr>
                <w:rFonts w:ascii="Meta Pro" w:eastAsia="Times New Roman" w:hAnsi="Meta Pro"/>
                <w:szCs w:val="18"/>
                <w:lang w:eastAsia="en-AU"/>
              </w:rPr>
            </w:pPr>
            <w:r w:rsidRPr="00092B22">
              <w:rPr>
                <w:rFonts w:ascii="Meta Pro" w:eastAsia="Times New Roman" w:hAnsi="Meta Pro"/>
                <w:szCs w:val="18"/>
                <w:lang w:eastAsia="en-AU"/>
              </w:rPr>
              <w:lastRenderedPageBreak/>
              <w:t>New Generation Rollingstock rectification works</w:t>
            </w:r>
          </w:p>
        </w:tc>
        <w:tc>
          <w:tcPr>
            <w:tcW w:w="1153" w:type="dxa"/>
            <w:tcBorders>
              <w:top w:val="nil"/>
              <w:left w:val="nil"/>
              <w:bottom w:val="nil"/>
              <w:right w:val="nil"/>
            </w:tcBorders>
            <w:shd w:val="clear" w:color="000000" w:fill="C9E3B4"/>
            <w:noWrap/>
            <w:vAlign w:val="center"/>
            <w:hideMark/>
          </w:tcPr>
          <w:p w14:paraId="5C8A79F0"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46,515 </w:t>
            </w:r>
          </w:p>
        </w:tc>
        <w:tc>
          <w:tcPr>
            <w:tcW w:w="215" w:type="dxa"/>
            <w:tcBorders>
              <w:top w:val="nil"/>
              <w:left w:val="nil"/>
              <w:bottom w:val="nil"/>
              <w:right w:val="nil"/>
            </w:tcBorders>
            <w:shd w:val="clear" w:color="auto" w:fill="auto"/>
            <w:noWrap/>
            <w:vAlign w:val="center"/>
            <w:hideMark/>
          </w:tcPr>
          <w:p w14:paraId="4774E054" w14:textId="77777777" w:rsidR="00186196" w:rsidRPr="00092B22" w:rsidRDefault="00186196" w:rsidP="00E607DA">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69CEBED2"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46,515 </w:t>
            </w:r>
          </w:p>
        </w:tc>
      </w:tr>
      <w:tr w:rsidR="00186196" w:rsidRPr="00092B22" w14:paraId="4CA18CDC" w14:textId="77777777" w:rsidTr="00E607DA">
        <w:trPr>
          <w:trHeight w:val="240"/>
        </w:trPr>
        <w:tc>
          <w:tcPr>
            <w:tcW w:w="7117" w:type="dxa"/>
            <w:tcBorders>
              <w:top w:val="single" w:sz="4" w:space="0" w:color="auto"/>
              <w:left w:val="nil"/>
              <w:bottom w:val="double" w:sz="6" w:space="0" w:color="auto"/>
              <w:right w:val="nil"/>
            </w:tcBorders>
            <w:shd w:val="clear" w:color="auto" w:fill="auto"/>
            <w:noWrap/>
            <w:vAlign w:val="center"/>
            <w:hideMark/>
          </w:tcPr>
          <w:p w14:paraId="079188E9" w14:textId="77777777" w:rsidR="00186196" w:rsidRPr="00092B22" w:rsidRDefault="00186196" w:rsidP="00E607DA">
            <w:pPr>
              <w:rPr>
                <w:rFonts w:ascii="Meta Pro" w:eastAsia="Times New Roman" w:hAnsi="Meta Pro"/>
                <w:b/>
                <w:bCs/>
                <w:szCs w:val="18"/>
                <w:lang w:eastAsia="en-AU"/>
              </w:rPr>
            </w:pPr>
            <w:r w:rsidRPr="00092B22">
              <w:rPr>
                <w:rFonts w:ascii="Meta Pro" w:eastAsia="Times New Roman" w:hAnsi="Meta Pro"/>
                <w:b/>
                <w:bCs/>
                <w:szCs w:val="18"/>
                <w:lang w:eastAsia="en-AU"/>
              </w:rPr>
              <w:t>Total</w:t>
            </w:r>
          </w:p>
        </w:tc>
        <w:tc>
          <w:tcPr>
            <w:tcW w:w="1153" w:type="dxa"/>
            <w:tcBorders>
              <w:top w:val="single" w:sz="4" w:space="0" w:color="auto"/>
              <w:left w:val="nil"/>
              <w:bottom w:val="double" w:sz="6" w:space="0" w:color="auto"/>
              <w:right w:val="nil"/>
            </w:tcBorders>
            <w:shd w:val="clear" w:color="000000" w:fill="C9E3B4"/>
            <w:noWrap/>
            <w:vAlign w:val="center"/>
            <w:hideMark/>
          </w:tcPr>
          <w:p w14:paraId="753E15ED" w14:textId="77777777" w:rsidR="00186196" w:rsidRPr="00092B22" w:rsidRDefault="00186196"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228,718 </w:t>
            </w:r>
          </w:p>
        </w:tc>
        <w:tc>
          <w:tcPr>
            <w:tcW w:w="215" w:type="dxa"/>
            <w:tcBorders>
              <w:top w:val="single" w:sz="4" w:space="0" w:color="auto"/>
              <w:left w:val="nil"/>
              <w:bottom w:val="double" w:sz="6" w:space="0" w:color="auto"/>
              <w:right w:val="nil"/>
            </w:tcBorders>
            <w:shd w:val="clear" w:color="auto" w:fill="auto"/>
            <w:noWrap/>
            <w:vAlign w:val="center"/>
            <w:hideMark/>
          </w:tcPr>
          <w:p w14:paraId="69DC29A5" w14:textId="77777777" w:rsidR="00186196" w:rsidRPr="00092B22" w:rsidRDefault="00186196"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153" w:type="dxa"/>
            <w:tcBorders>
              <w:top w:val="single" w:sz="4" w:space="0" w:color="auto"/>
              <w:left w:val="nil"/>
              <w:bottom w:val="double" w:sz="6" w:space="0" w:color="auto"/>
              <w:right w:val="nil"/>
            </w:tcBorders>
            <w:shd w:val="clear" w:color="auto" w:fill="auto"/>
            <w:noWrap/>
            <w:vAlign w:val="center"/>
            <w:hideMark/>
          </w:tcPr>
          <w:p w14:paraId="3E368538" w14:textId="77777777" w:rsidR="00186196" w:rsidRPr="00092B22" w:rsidRDefault="00186196"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195,097 </w:t>
            </w:r>
          </w:p>
        </w:tc>
      </w:tr>
      <w:tr w:rsidR="00186196" w:rsidRPr="00092B22" w14:paraId="4D30C133" w14:textId="77777777" w:rsidTr="00E607DA">
        <w:trPr>
          <w:trHeight w:val="90"/>
        </w:trPr>
        <w:tc>
          <w:tcPr>
            <w:tcW w:w="7117" w:type="dxa"/>
            <w:tcBorders>
              <w:top w:val="nil"/>
              <w:left w:val="nil"/>
              <w:bottom w:val="nil"/>
              <w:right w:val="nil"/>
            </w:tcBorders>
            <w:shd w:val="clear" w:color="auto" w:fill="auto"/>
            <w:noWrap/>
            <w:vAlign w:val="center"/>
            <w:hideMark/>
          </w:tcPr>
          <w:p w14:paraId="6CA5B3C1" w14:textId="77777777" w:rsidR="00186196" w:rsidRPr="00092B22" w:rsidRDefault="00186196" w:rsidP="00E607DA">
            <w:pPr>
              <w:jc w:val="right"/>
              <w:rPr>
                <w:rFonts w:ascii="Meta Pro" w:eastAsia="Times New Roman" w:hAnsi="Meta Pro"/>
                <w:b/>
                <w:bCs/>
                <w:szCs w:val="18"/>
                <w:lang w:eastAsia="en-AU"/>
              </w:rPr>
            </w:pPr>
          </w:p>
        </w:tc>
        <w:tc>
          <w:tcPr>
            <w:tcW w:w="1153" w:type="dxa"/>
            <w:tcBorders>
              <w:top w:val="nil"/>
              <w:left w:val="nil"/>
              <w:bottom w:val="nil"/>
              <w:right w:val="nil"/>
            </w:tcBorders>
            <w:shd w:val="clear" w:color="auto" w:fill="auto"/>
            <w:noWrap/>
            <w:vAlign w:val="center"/>
            <w:hideMark/>
          </w:tcPr>
          <w:p w14:paraId="2BEDD92B" w14:textId="77777777" w:rsidR="00186196" w:rsidRPr="00092B22" w:rsidRDefault="00186196" w:rsidP="00E607DA">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5EB10961" w14:textId="77777777" w:rsidR="00186196" w:rsidRPr="00092B22" w:rsidRDefault="00186196" w:rsidP="00E607DA">
            <w:pPr>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48C1C85F" w14:textId="77777777" w:rsidR="00186196" w:rsidRPr="00092B22" w:rsidRDefault="00186196" w:rsidP="00E607DA">
            <w:pPr>
              <w:jc w:val="right"/>
              <w:rPr>
                <w:rFonts w:ascii="Meta Pro" w:eastAsia="Times New Roman" w:hAnsi="Meta Pro" w:cs="Times New Roman"/>
                <w:sz w:val="20"/>
                <w:szCs w:val="20"/>
                <w:lang w:eastAsia="en-AU"/>
              </w:rPr>
            </w:pPr>
          </w:p>
        </w:tc>
      </w:tr>
      <w:tr w:rsidR="00186196" w:rsidRPr="00092B22" w14:paraId="19A034C6" w14:textId="77777777" w:rsidTr="00E607DA">
        <w:trPr>
          <w:trHeight w:val="240"/>
        </w:trPr>
        <w:tc>
          <w:tcPr>
            <w:tcW w:w="7117" w:type="dxa"/>
            <w:tcBorders>
              <w:top w:val="nil"/>
              <w:left w:val="nil"/>
              <w:bottom w:val="nil"/>
              <w:right w:val="nil"/>
            </w:tcBorders>
            <w:shd w:val="clear" w:color="auto" w:fill="auto"/>
            <w:noWrap/>
            <w:vAlign w:val="center"/>
            <w:hideMark/>
          </w:tcPr>
          <w:p w14:paraId="62708F73" w14:textId="77777777" w:rsidR="00186196" w:rsidRPr="00092B22" w:rsidRDefault="00186196" w:rsidP="00E607DA">
            <w:pPr>
              <w:rPr>
                <w:rFonts w:ascii="Meta Pro" w:eastAsia="Times New Roman" w:hAnsi="Meta Pro"/>
                <w:b/>
                <w:bCs/>
                <w:szCs w:val="18"/>
                <w:lang w:eastAsia="en-AU"/>
              </w:rPr>
            </w:pPr>
            <w:r w:rsidRPr="00092B22">
              <w:rPr>
                <w:rFonts w:ascii="Meta Pro" w:eastAsia="Times New Roman" w:hAnsi="Meta Pro"/>
                <w:b/>
                <w:bCs/>
                <w:szCs w:val="18"/>
                <w:lang w:eastAsia="en-AU"/>
              </w:rPr>
              <w:t>Non-current</w:t>
            </w:r>
          </w:p>
        </w:tc>
        <w:tc>
          <w:tcPr>
            <w:tcW w:w="1153" w:type="dxa"/>
            <w:tcBorders>
              <w:top w:val="nil"/>
              <w:left w:val="nil"/>
              <w:bottom w:val="nil"/>
              <w:right w:val="nil"/>
            </w:tcBorders>
            <w:shd w:val="clear" w:color="auto" w:fill="auto"/>
            <w:noWrap/>
            <w:vAlign w:val="center"/>
            <w:hideMark/>
          </w:tcPr>
          <w:p w14:paraId="133C2B63" w14:textId="77777777" w:rsidR="00186196" w:rsidRPr="00092B22" w:rsidRDefault="00186196" w:rsidP="00E607DA">
            <w:pPr>
              <w:rPr>
                <w:rFonts w:ascii="Meta Pro" w:eastAsia="Times New Roman" w:hAnsi="Meta Pro"/>
                <w:b/>
                <w:bCs/>
                <w:szCs w:val="18"/>
                <w:lang w:eastAsia="en-AU"/>
              </w:rPr>
            </w:pPr>
          </w:p>
        </w:tc>
        <w:tc>
          <w:tcPr>
            <w:tcW w:w="215" w:type="dxa"/>
            <w:tcBorders>
              <w:top w:val="nil"/>
              <w:left w:val="nil"/>
              <w:bottom w:val="nil"/>
              <w:right w:val="nil"/>
            </w:tcBorders>
            <w:shd w:val="clear" w:color="auto" w:fill="auto"/>
            <w:noWrap/>
            <w:vAlign w:val="center"/>
            <w:hideMark/>
          </w:tcPr>
          <w:p w14:paraId="06592B11" w14:textId="77777777" w:rsidR="00186196" w:rsidRPr="00092B22" w:rsidRDefault="00186196" w:rsidP="00E607DA">
            <w:pPr>
              <w:jc w:val="right"/>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25D5E433" w14:textId="77777777" w:rsidR="00186196" w:rsidRPr="00092B22" w:rsidRDefault="00186196" w:rsidP="00E607DA">
            <w:pPr>
              <w:jc w:val="right"/>
              <w:rPr>
                <w:rFonts w:ascii="Meta Pro" w:eastAsia="Times New Roman" w:hAnsi="Meta Pro" w:cs="Times New Roman"/>
                <w:sz w:val="20"/>
                <w:szCs w:val="20"/>
                <w:lang w:eastAsia="en-AU"/>
              </w:rPr>
            </w:pPr>
          </w:p>
        </w:tc>
      </w:tr>
      <w:tr w:rsidR="00186196" w:rsidRPr="00092B22" w14:paraId="7762E1DA" w14:textId="77777777" w:rsidTr="00E607DA">
        <w:trPr>
          <w:trHeight w:val="240"/>
        </w:trPr>
        <w:tc>
          <w:tcPr>
            <w:tcW w:w="7117" w:type="dxa"/>
            <w:tcBorders>
              <w:top w:val="nil"/>
              <w:left w:val="nil"/>
              <w:bottom w:val="nil"/>
              <w:right w:val="nil"/>
            </w:tcBorders>
            <w:shd w:val="clear" w:color="auto" w:fill="auto"/>
            <w:noWrap/>
            <w:vAlign w:val="center"/>
            <w:hideMark/>
          </w:tcPr>
          <w:p w14:paraId="321544E8" w14:textId="77777777" w:rsidR="00186196" w:rsidRPr="00092B22" w:rsidRDefault="00186196" w:rsidP="00E607DA">
            <w:pPr>
              <w:rPr>
                <w:rFonts w:ascii="Meta Pro" w:eastAsia="Times New Roman" w:hAnsi="Meta Pro"/>
                <w:szCs w:val="18"/>
                <w:lang w:eastAsia="en-AU"/>
              </w:rPr>
            </w:pPr>
            <w:r w:rsidRPr="00092B22">
              <w:rPr>
                <w:rFonts w:ascii="Meta Pro" w:eastAsia="Times New Roman" w:hAnsi="Meta Pro"/>
                <w:szCs w:val="18"/>
                <w:lang w:eastAsia="en-AU"/>
              </w:rPr>
              <w:t>Property resumptions</w:t>
            </w:r>
          </w:p>
        </w:tc>
        <w:tc>
          <w:tcPr>
            <w:tcW w:w="1153" w:type="dxa"/>
            <w:tcBorders>
              <w:top w:val="nil"/>
              <w:left w:val="nil"/>
              <w:bottom w:val="nil"/>
              <w:right w:val="nil"/>
            </w:tcBorders>
            <w:shd w:val="clear" w:color="000000" w:fill="C9E3B4"/>
            <w:noWrap/>
            <w:vAlign w:val="center"/>
            <w:hideMark/>
          </w:tcPr>
          <w:p w14:paraId="75013BDD"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122,271 </w:t>
            </w:r>
          </w:p>
        </w:tc>
        <w:tc>
          <w:tcPr>
            <w:tcW w:w="215" w:type="dxa"/>
            <w:tcBorders>
              <w:top w:val="nil"/>
              <w:left w:val="nil"/>
              <w:bottom w:val="nil"/>
              <w:right w:val="nil"/>
            </w:tcBorders>
            <w:shd w:val="clear" w:color="auto" w:fill="auto"/>
            <w:noWrap/>
            <w:vAlign w:val="center"/>
            <w:hideMark/>
          </w:tcPr>
          <w:p w14:paraId="4B628758" w14:textId="77777777" w:rsidR="00186196" w:rsidRPr="00092B22" w:rsidRDefault="00186196" w:rsidP="00E607DA">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1DEF10C4"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151,027 </w:t>
            </w:r>
          </w:p>
        </w:tc>
      </w:tr>
      <w:tr w:rsidR="00186196" w:rsidRPr="00092B22" w14:paraId="298B0853" w14:textId="77777777" w:rsidTr="00E607DA">
        <w:trPr>
          <w:trHeight w:val="240"/>
        </w:trPr>
        <w:tc>
          <w:tcPr>
            <w:tcW w:w="7117" w:type="dxa"/>
            <w:tcBorders>
              <w:top w:val="nil"/>
              <w:left w:val="nil"/>
              <w:bottom w:val="nil"/>
              <w:right w:val="nil"/>
            </w:tcBorders>
            <w:shd w:val="clear" w:color="auto" w:fill="auto"/>
            <w:noWrap/>
            <w:vAlign w:val="center"/>
            <w:hideMark/>
          </w:tcPr>
          <w:p w14:paraId="277F604F" w14:textId="77777777" w:rsidR="00186196" w:rsidRPr="00092B22" w:rsidRDefault="00186196" w:rsidP="00E607DA">
            <w:pPr>
              <w:rPr>
                <w:rFonts w:ascii="Meta Pro" w:eastAsia="Times New Roman" w:hAnsi="Meta Pro"/>
                <w:szCs w:val="18"/>
                <w:lang w:eastAsia="en-AU"/>
              </w:rPr>
            </w:pPr>
            <w:r w:rsidRPr="00092B22">
              <w:rPr>
                <w:rFonts w:ascii="Meta Pro" w:eastAsia="Times New Roman" w:hAnsi="Meta Pro"/>
                <w:szCs w:val="18"/>
                <w:lang w:eastAsia="en-AU"/>
              </w:rPr>
              <w:t>New Generation Rollingstock rectification works</w:t>
            </w:r>
          </w:p>
        </w:tc>
        <w:tc>
          <w:tcPr>
            <w:tcW w:w="1153" w:type="dxa"/>
            <w:tcBorders>
              <w:top w:val="nil"/>
              <w:left w:val="nil"/>
              <w:bottom w:val="nil"/>
              <w:right w:val="nil"/>
            </w:tcBorders>
            <w:shd w:val="clear" w:color="000000" w:fill="C9E3B4"/>
            <w:noWrap/>
            <w:vAlign w:val="center"/>
            <w:hideMark/>
          </w:tcPr>
          <w:p w14:paraId="5C9E70C4"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59,539 </w:t>
            </w:r>
          </w:p>
        </w:tc>
        <w:tc>
          <w:tcPr>
            <w:tcW w:w="215" w:type="dxa"/>
            <w:tcBorders>
              <w:top w:val="nil"/>
              <w:left w:val="nil"/>
              <w:bottom w:val="nil"/>
              <w:right w:val="nil"/>
            </w:tcBorders>
            <w:shd w:val="clear" w:color="auto" w:fill="auto"/>
            <w:noWrap/>
            <w:vAlign w:val="center"/>
            <w:hideMark/>
          </w:tcPr>
          <w:p w14:paraId="455906A4" w14:textId="77777777" w:rsidR="00186196" w:rsidRPr="00092B22" w:rsidRDefault="00186196" w:rsidP="00E607DA">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03608997"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87,447 </w:t>
            </w:r>
          </w:p>
        </w:tc>
      </w:tr>
      <w:tr w:rsidR="00186196" w:rsidRPr="00092B22" w14:paraId="13D860CF" w14:textId="77777777" w:rsidTr="00E607DA">
        <w:trPr>
          <w:trHeight w:val="240"/>
        </w:trPr>
        <w:tc>
          <w:tcPr>
            <w:tcW w:w="7117" w:type="dxa"/>
            <w:tcBorders>
              <w:top w:val="single" w:sz="4" w:space="0" w:color="auto"/>
              <w:left w:val="nil"/>
              <w:bottom w:val="double" w:sz="6" w:space="0" w:color="auto"/>
              <w:right w:val="nil"/>
            </w:tcBorders>
            <w:shd w:val="clear" w:color="auto" w:fill="auto"/>
            <w:noWrap/>
            <w:vAlign w:val="center"/>
            <w:hideMark/>
          </w:tcPr>
          <w:p w14:paraId="55CB20E8" w14:textId="77777777" w:rsidR="00186196" w:rsidRPr="00092B22" w:rsidRDefault="00186196" w:rsidP="00E607DA">
            <w:pPr>
              <w:rPr>
                <w:rFonts w:ascii="Meta Pro" w:eastAsia="Times New Roman" w:hAnsi="Meta Pro"/>
                <w:b/>
                <w:bCs/>
                <w:szCs w:val="18"/>
                <w:lang w:eastAsia="en-AU"/>
              </w:rPr>
            </w:pPr>
            <w:r w:rsidRPr="00092B22">
              <w:rPr>
                <w:rFonts w:ascii="Meta Pro" w:eastAsia="Times New Roman" w:hAnsi="Meta Pro"/>
                <w:b/>
                <w:bCs/>
                <w:szCs w:val="18"/>
                <w:lang w:eastAsia="en-AU"/>
              </w:rPr>
              <w:t>Total</w:t>
            </w:r>
          </w:p>
        </w:tc>
        <w:tc>
          <w:tcPr>
            <w:tcW w:w="1153" w:type="dxa"/>
            <w:tcBorders>
              <w:top w:val="single" w:sz="4" w:space="0" w:color="auto"/>
              <w:left w:val="nil"/>
              <w:bottom w:val="double" w:sz="6" w:space="0" w:color="auto"/>
              <w:right w:val="nil"/>
            </w:tcBorders>
            <w:shd w:val="clear" w:color="000000" w:fill="C9E3B4"/>
            <w:noWrap/>
            <w:vAlign w:val="center"/>
            <w:hideMark/>
          </w:tcPr>
          <w:p w14:paraId="6CBA4C6E" w14:textId="77777777" w:rsidR="00186196" w:rsidRPr="00092B22" w:rsidRDefault="00186196"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181,810 </w:t>
            </w:r>
          </w:p>
        </w:tc>
        <w:tc>
          <w:tcPr>
            <w:tcW w:w="215" w:type="dxa"/>
            <w:tcBorders>
              <w:top w:val="single" w:sz="4" w:space="0" w:color="auto"/>
              <w:left w:val="nil"/>
              <w:bottom w:val="double" w:sz="6" w:space="0" w:color="auto"/>
              <w:right w:val="nil"/>
            </w:tcBorders>
            <w:shd w:val="clear" w:color="auto" w:fill="auto"/>
            <w:noWrap/>
            <w:vAlign w:val="center"/>
            <w:hideMark/>
          </w:tcPr>
          <w:p w14:paraId="4213043C" w14:textId="77777777" w:rsidR="00186196" w:rsidRPr="00092B22" w:rsidRDefault="00186196"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153" w:type="dxa"/>
            <w:tcBorders>
              <w:top w:val="single" w:sz="4" w:space="0" w:color="auto"/>
              <w:left w:val="nil"/>
              <w:bottom w:val="double" w:sz="6" w:space="0" w:color="auto"/>
              <w:right w:val="nil"/>
            </w:tcBorders>
            <w:shd w:val="clear" w:color="auto" w:fill="auto"/>
            <w:noWrap/>
            <w:vAlign w:val="center"/>
            <w:hideMark/>
          </w:tcPr>
          <w:p w14:paraId="6E963767" w14:textId="77777777" w:rsidR="00186196" w:rsidRPr="00092B22" w:rsidRDefault="00186196"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238,474 </w:t>
            </w:r>
          </w:p>
        </w:tc>
      </w:tr>
      <w:tr w:rsidR="00186196" w:rsidRPr="00092B22" w14:paraId="5250E530" w14:textId="77777777" w:rsidTr="00E607DA">
        <w:trPr>
          <w:trHeight w:val="240"/>
        </w:trPr>
        <w:tc>
          <w:tcPr>
            <w:tcW w:w="7117" w:type="dxa"/>
            <w:tcBorders>
              <w:top w:val="nil"/>
              <w:left w:val="nil"/>
              <w:bottom w:val="nil"/>
              <w:right w:val="nil"/>
            </w:tcBorders>
            <w:shd w:val="clear" w:color="auto" w:fill="auto"/>
            <w:noWrap/>
            <w:vAlign w:val="center"/>
            <w:hideMark/>
          </w:tcPr>
          <w:p w14:paraId="6F06985F" w14:textId="77777777" w:rsidR="00186196" w:rsidRPr="00092B22" w:rsidRDefault="00186196" w:rsidP="00E607DA">
            <w:pPr>
              <w:jc w:val="right"/>
              <w:rPr>
                <w:rFonts w:ascii="Meta Pro" w:eastAsia="Times New Roman" w:hAnsi="Meta Pro"/>
                <w:b/>
                <w:bCs/>
                <w:szCs w:val="18"/>
                <w:lang w:eastAsia="en-AU"/>
              </w:rPr>
            </w:pPr>
          </w:p>
        </w:tc>
        <w:tc>
          <w:tcPr>
            <w:tcW w:w="1153" w:type="dxa"/>
            <w:tcBorders>
              <w:top w:val="nil"/>
              <w:left w:val="nil"/>
              <w:bottom w:val="nil"/>
              <w:right w:val="nil"/>
            </w:tcBorders>
            <w:shd w:val="clear" w:color="auto" w:fill="auto"/>
            <w:noWrap/>
            <w:vAlign w:val="center"/>
            <w:hideMark/>
          </w:tcPr>
          <w:p w14:paraId="6B107709" w14:textId="77777777" w:rsidR="00186196" w:rsidRPr="00092B22" w:rsidRDefault="00186196" w:rsidP="00E607DA">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71B37E4A" w14:textId="77777777" w:rsidR="00186196" w:rsidRPr="00092B22" w:rsidRDefault="00186196" w:rsidP="00E607DA">
            <w:pPr>
              <w:jc w:val="right"/>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0E00DDFD" w14:textId="77777777" w:rsidR="00186196" w:rsidRPr="00092B22" w:rsidRDefault="00186196" w:rsidP="00E607DA">
            <w:pPr>
              <w:jc w:val="right"/>
              <w:rPr>
                <w:rFonts w:ascii="Meta Pro" w:eastAsia="Times New Roman" w:hAnsi="Meta Pro" w:cs="Times New Roman"/>
                <w:sz w:val="20"/>
                <w:szCs w:val="20"/>
                <w:lang w:eastAsia="en-AU"/>
              </w:rPr>
            </w:pPr>
          </w:p>
        </w:tc>
      </w:tr>
      <w:tr w:rsidR="00186196" w:rsidRPr="00092B22" w14:paraId="2F57C43B" w14:textId="77777777" w:rsidTr="00E607DA">
        <w:trPr>
          <w:trHeight w:val="240"/>
        </w:trPr>
        <w:tc>
          <w:tcPr>
            <w:tcW w:w="7117" w:type="dxa"/>
            <w:tcBorders>
              <w:top w:val="nil"/>
              <w:left w:val="nil"/>
              <w:bottom w:val="nil"/>
              <w:right w:val="nil"/>
            </w:tcBorders>
            <w:shd w:val="clear" w:color="auto" w:fill="auto"/>
            <w:noWrap/>
            <w:vAlign w:val="center"/>
            <w:hideMark/>
          </w:tcPr>
          <w:p w14:paraId="047537B6" w14:textId="77777777" w:rsidR="00186196" w:rsidRPr="00092B22" w:rsidRDefault="00186196" w:rsidP="00E607DA">
            <w:pPr>
              <w:rPr>
                <w:rFonts w:ascii="Meta Pro" w:eastAsia="Times New Roman" w:hAnsi="Meta Pro"/>
                <w:b/>
                <w:bCs/>
                <w:szCs w:val="18"/>
                <w:lang w:eastAsia="en-AU"/>
              </w:rPr>
            </w:pPr>
            <w:r w:rsidRPr="00092B22">
              <w:rPr>
                <w:rFonts w:ascii="Meta Pro" w:eastAsia="Times New Roman" w:hAnsi="Meta Pro"/>
                <w:b/>
                <w:bCs/>
                <w:szCs w:val="18"/>
                <w:lang w:eastAsia="en-AU"/>
              </w:rPr>
              <w:t>Movements in provision for property resumptions</w:t>
            </w:r>
          </w:p>
        </w:tc>
        <w:tc>
          <w:tcPr>
            <w:tcW w:w="1153" w:type="dxa"/>
            <w:tcBorders>
              <w:top w:val="nil"/>
              <w:left w:val="nil"/>
              <w:bottom w:val="nil"/>
              <w:right w:val="nil"/>
            </w:tcBorders>
            <w:shd w:val="clear" w:color="auto" w:fill="auto"/>
            <w:noWrap/>
            <w:vAlign w:val="center"/>
            <w:hideMark/>
          </w:tcPr>
          <w:p w14:paraId="1FE6E95B" w14:textId="77777777" w:rsidR="00186196" w:rsidRPr="00092B22" w:rsidRDefault="00186196" w:rsidP="00E607DA">
            <w:pPr>
              <w:rPr>
                <w:rFonts w:ascii="Meta Pro" w:eastAsia="Times New Roman" w:hAnsi="Meta Pro"/>
                <w:b/>
                <w:bCs/>
                <w:szCs w:val="18"/>
                <w:lang w:eastAsia="en-AU"/>
              </w:rPr>
            </w:pPr>
          </w:p>
        </w:tc>
        <w:tc>
          <w:tcPr>
            <w:tcW w:w="215" w:type="dxa"/>
            <w:tcBorders>
              <w:top w:val="nil"/>
              <w:left w:val="nil"/>
              <w:bottom w:val="nil"/>
              <w:right w:val="nil"/>
            </w:tcBorders>
            <w:shd w:val="clear" w:color="auto" w:fill="auto"/>
            <w:noWrap/>
            <w:vAlign w:val="center"/>
            <w:hideMark/>
          </w:tcPr>
          <w:p w14:paraId="78931049" w14:textId="77777777" w:rsidR="00186196" w:rsidRPr="00092B22" w:rsidRDefault="00186196" w:rsidP="00E607DA">
            <w:pPr>
              <w:jc w:val="right"/>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3CE4C49E" w14:textId="77777777" w:rsidR="00186196" w:rsidRPr="00092B22" w:rsidRDefault="00186196" w:rsidP="00E607DA">
            <w:pPr>
              <w:jc w:val="right"/>
              <w:rPr>
                <w:rFonts w:ascii="Meta Pro" w:eastAsia="Times New Roman" w:hAnsi="Meta Pro" w:cs="Times New Roman"/>
                <w:sz w:val="20"/>
                <w:szCs w:val="20"/>
                <w:lang w:eastAsia="en-AU"/>
              </w:rPr>
            </w:pPr>
          </w:p>
        </w:tc>
      </w:tr>
      <w:tr w:rsidR="00186196" w:rsidRPr="00092B22" w14:paraId="4F7A7540" w14:textId="77777777" w:rsidTr="00E607DA">
        <w:trPr>
          <w:trHeight w:val="90"/>
        </w:trPr>
        <w:tc>
          <w:tcPr>
            <w:tcW w:w="7117" w:type="dxa"/>
            <w:tcBorders>
              <w:top w:val="nil"/>
              <w:left w:val="nil"/>
              <w:bottom w:val="nil"/>
              <w:right w:val="nil"/>
            </w:tcBorders>
            <w:shd w:val="clear" w:color="auto" w:fill="auto"/>
            <w:noWrap/>
            <w:vAlign w:val="center"/>
            <w:hideMark/>
          </w:tcPr>
          <w:p w14:paraId="550FD550" w14:textId="77777777" w:rsidR="00186196" w:rsidRPr="00092B22" w:rsidRDefault="00186196" w:rsidP="00E607DA">
            <w:pPr>
              <w:jc w:val="right"/>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5B773BA6" w14:textId="77777777" w:rsidR="00186196" w:rsidRPr="00092B22" w:rsidRDefault="00186196" w:rsidP="00E607DA">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08382421" w14:textId="77777777" w:rsidR="00186196" w:rsidRPr="00092B22" w:rsidRDefault="00186196" w:rsidP="00E607DA">
            <w:pPr>
              <w:jc w:val="right"/>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6CCEAAC7" w14:textId="77777777" w:rsidR="00186196" w:rsidRPr="00092B22" w:rsidRDefault="00186196" w:rsidP="00E607DA">
            <w:pPr>
              <w:jc w:val="right"/>
              <w:rPr>
                <w:rFonts w:ascii="Meta Pro" w:eastAsia="Times New Roman" w:hAnsi="Meta Pro" w:cs="Times New Roman"/>
                <w:sz w:val="20"/>
                <w:szCs w:val="20"/>
                <w:lang w:eastAsia="en-AU"/>
              </w:rPr>
            </w:pPr>
          </w:p>
        </w:tc>
      </w:tr>
      <w:tr w:rsidR="00186196" w:rsidRPr="00092B22" w14:paraId="42E56555" w14:textId="77777777" w:rsidTr="00E607DA">
        <w:trPr>
          <w:trHeight w:val="240"/>
        </w:trPr>
        <w:tc>
          <w:tcPr>
            <w:tcW w:w="7117" w:type="dxa"/>
            <w:tcBorders>
              <w:top w:val="nil"/>
              <w:left w:val="nil"/>
              <w:bottom w:val="nil"/>
              <w:right w:val="nil"/>
            </w:tcBorders>
            <w:shd w:val="clear" w:color="auto" w:fill="auto"/>
            <w:noWrap/>
            <w:vAlign w:val="center"/>
            <w:hideMark/>
          </w:tcPr>
          <w:p w14:paraId="27F0F3E4" w14:textId="77777777" w:rsidR="00186196" w:rsidRPr="00092B22" w:rsidRDefault="00186196" w:rsidP="00E607DA">
            <w:pPr>
              <w:rPr>
                <w:rFonts w:ascii="Meta Pro" w:eastAsia="Times New Roman" w:hAnsi="Meta Pro"/>
                <w:b/>
                <w:bCs/>
                <w:szCs w:val="18"/>
                <w:lang w:eastAsia="en-AU"/>
              </w:rPr>
            </w:pPr>
            <w:r w:rsidRPr="00092B22">
              <w:rPr>
                <w:rFonts w:ascii="Meta Pro" w:eastAsia="Times New Roman" w:hAnsi="Meta Pro"/>
                <w:b/>
                <w:bCs/>
                <w:szCs w:val="18"/>
                <w:lang w:eastAsia="en-AU"/>
              </w:rPr>
              <w:t>Current</w:t>
            </w:r>
          </w:p>
        </w:tc>
        <w:tc>
          <w:tcPr>
            <w:tcW w:w="1153" w:type="dxa"/>
            <w:tcBorders>
              <w:top w:val="nil"/>
              <w:left w:val="nil"/>
              <w:bottom w:val="nil"/>
              <w:right w:val="nil"/>
            </w:tcBorders>
            <w:shd w:val="clear" w:color="auto" w:fill="auto"/>
            <w:noWrap/>
            <w:vAlign w:val="center"/>
            <w:hideMark/>
          </w:tcPr>
          <w:p w14:paraId="61C92AEC" w14:textId="77777777" w:rsidR="00186196" w:rsidRPr="00092B22" w:rsidRDefault="00186196" w:rsidP="00E607DA">
            <w:pPr>
              <w:rPr>
                <w:rFonts w:ascii="Meta Pro" w:eastAsia="Times New Roman" w:hAnsi="Meta Pro"/>
                <w:b/>
                <w:bCs/>
                <w:szCs w:val="18"/>
                <w:lang w:eastAsia="en-AU"/>
              </w:rPr>
            </w:pPr>
          </w:p>
        </w:tc>
        <w:tc>
          <w:tcPr>
            <w:tcW w:w="215" w:type="dxa"/>
            <w:tcBorders>
              <w:top w:val="nil"/>
              <w:left w:val="nil"/>
              <w:bottom w:val="nil"/>
              <w:right w:val="nil"/>
            </w:tcBorders>
            <w:shd w:val="clear" w:color="auto" w:fill="auto"/>
            <w:noWrap/>
            <w:vAlign w:val="center"/>
            <w:hideMark/>
          </w:tcPr>
          <w:p w14:paraId="7D80894E" w14:textId="77777777" w:rsidR="00186196" w:rsidRPr="00092B22" w:rsidRDefault="00186196" w:rsidP="00E607DA">
            <w:pPr>
              <w:jc w:val="right"/>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472072EA" w14:textId="77777777" w:rsidR="00186196" w:rsidRPr="00092B22" w:rsidRDefault="00186196" w:rsidP="00E607DA">
            <w:pPr>
              <w:jc w:val="right"/>
              <w:rPr>
                <w:rFonts w:ascii="Meta Pro" w:eastAsia="Times New Roman" w:hAnsi="Meta Pro" w:cs="Times New Roman"/>
                <w:sz w:val="20"/>
                <w:szCs w:val="20"/>
                <w:lang w:eastAsia="en-AU"/>
              </w:rPr>
            </w:pPr>
          </w:p>
        </w:tc>
      </w:tr>
      <w:tr w:rsidR="00186196" w:rsidRPr="00092B22" w14:paraId="20A3A714" w14:textId="77777777" w:rsidTr="00E607DA">
        <w:trPr>
          <w:trHeight w:val="240"/>
        </w:trPr>
        <w:tc>
          <w:tcPr>
            <w:tcW w:w="7117" w:type="dxa"/>
            <w:tcBorders>
              <w:top w:val="nil"/>
              <w:left w:val="nil"/>
              <w:bottom w:val="nil"/>
              <w:right w:val="nil"/>
            </w:tcBorders>
            <w:shd w:val="clear" w:color="auto" w:fill="auto"/>
            <w:noWrap/>
            <w:vAlign w:val="center"/>
            <w:hideMark/>
          </w:tcPr>
          <w:p w14:paraId="756D3E0D" w14:textId="77777777" w:rsidR="00186196" w:rsidRPr="00092B22" w:rsidRDefault="00186196" w:rsidP="00E607DA">
            <w:pPr>
              <w:rPr>
                <w:rFonts w:ascii="Meta Pro" w:eastAsia="Times New Roman" w:hAnsi="Meta Pro"/>
                <w:szCs w:val="18"/>
                <w:lang w:eastAsia="en-AU"/>
              </w:rPr>
            </w:pPr>
            <w:r w:rsidRPr="00092B22">
              <w:rPr>
                <w:rFonts w:ascii="Meta Pro" w:eastAsia="Times New Roman" w:hAnsi="Meta Pro"/>
                <w:szCs w:val="18"/>
                <w:lang w:eastAsia="en-AU"/>
              </w:rPr>
              <w:t>Opening balance</w:t>
            </w:r>
          </w:p>
        </w:tc>
        <w:tc>
          <w:tcPr>
            <w:tcW w:w="1153" w:type="dxa"/>
            <w:tcBorders>
              <w:top w:val="nil"/>
              <w:left w:val="nil"/>
              <w:bottom w:val="nil"/>
              <w:right w:val="nil"/>
            </w:tcBorders>
            <w:shd w:val="clear" w:color="000000" w:fill="C9E3B4"/>
            <w:noWrap/>
            <w:vAlign w:val="center"/>
            <w:hideMark/>
          </w:tcPr>
          <w:p w14:paraId="7AF26032"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148,582 </w:t>
            </w:r>
          </w:p>
        </w:tc>
        <w:tc>
          <w:tcPr>
            <w:tcW w:w="215" w:type="dxa"/>
            <w:tcBorders>
              <w:top w:val="nil"/>
              <w:left w:val="nil"/>
              <w:bottom w:val="nil"/>
              <w:right w:val="nil"/>
            </w:tcBorders>
            <w:shd w:val="clear" w:color="auto" w:fill="auto"/>
            <w:noWrap/>
            <w:vAlign w:val="center"/>
            <w:hideMark/>
          </w:tcPr>
          <w:p w14:paraId="3F615886" w14:textId="77777777" w:rsidR="00186196" w:rsidRPr="00092B22" w:rsidRDefault="00186196" w:rsidP="00E607DA">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148DD7FC"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161,065 </w:t>
            </w:r>
          </w:p>
        </w:tc>
      </w:tr>
      <w:tr w:rsidR="00186196" w:rsidRPr="00092B22" w14:paraId="7259FD44" w14:textId="77777777" w:rsidTr="00E607DA">
        <w:trPr>
          <w:trHeight w:val="240"/>
        </w:trPr>
        <w:tc>
          <w:tcPr>
            <w:tcW w:w="7117" w:type="dxa"/>
            <w:tcBorders>
              <w:top w:val="nil"/>
              <w:left w:val="nil"/>
              <w:bottom w:val="nil"/>
              <w:right w:val="nil"/>
            </w:tcBorders>
            <w:shd w:val="clear" w:color="auto" w:fill="auto"/>
            <w:noWrap/>
            <w:vAlign w:val="center"/>
            <w:hideMark/>
          </w:tcPr>
          <w:p w14:paraId="414D7D83" w14:textId="77777777" w:rsidR="00186196" w:rsidRPr="00092B22" w:rsidRDefault="00186196" w:rsidP="00E607DA">
            <w:pPr>
              <w:rPr>
                <w:rFonts w:ascii="Meta Pro" w:eastAsia="Times New Roman" w:hAnsi="Meta Pro"/>
                <w:szCs w:val="18"/>
                <w:lang w:eastAsia="en-AU"/>
              </w:rPr>
            </w:pPr>
            <w:r w:rsidRPr="00092B22">
              <w:rPr>
                <w:rFonts w:ascii="Meta Pro" w:eastAsia="Times New Roman" w:hAnsi="Meta Pro"/>
                <w:szCs w:val="18"/>
                <w:lang w:eastAsia="en-AU"/>
              </w:rPr>
              <w:t>Restatement of provision</w:t>
            </w:r>
          </w:p>
        </w:tc>
        <w:tc>
          <w:tcPr>
            <w:tcW w:w="1153" w:type="dxa"/>
            <w:tcBorders>
              <w:top w:val="nil"/>
              <w:left w:val="nil"/>
              <w:bottom w:val="nil"/>
              <w:right w:val="nil"/>
            </w:tcBorders>
            <w:shd w:val="clear" w:color="000000" w:fill="C9E3B4"/>
            <w:noWrap/>
            <w:vAlign w:val="center"/>
            <w:hideMark/>
          </w:tcPr>
          <w:p w14:paraId="54D4DCDC"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6,009 </w:t>
            </w:r>
          </w:p>
        </w:tc>
        <w:tc>
          <w:tcPr>
            <w:tcW w:w="215" w:type="dxa"/>
            <w:tcBorders>
              <w:top w:val="nil"/>
              <w:left w:val="nil"/>
              <w:bottom w:val="nil"/>
              <w:right w:val="nil"/>
            </w:tcBorders>
            <w:shd w:val="clear" w:color="auto" w:fill="auto"/>
            <w:noWrap/>
            <w:vAlign w:val="center"/>
            <w:hideMark/>
          </w:tcPr>
          <w:p w14:paraId="0529CEB3" w14:textId="77777777" w:rsidR="00186196" w:rsidRPr="00092B22" w:rsidRDefault="00186196" w:rsidP="00E607DA">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2FEB5649"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7,787 </w:t>
            </w:r>
          </w:p>
        </w:tc>
      </w:tr>
      <w:tr w:rsidR="00186196" w:rsidRPr="00092B22" w14:paraId="109300A5" w14:textId="77777777" w:rsidTr="00E607DA">
        <w:trPr>
          <w:trHeight w:val="240"/>
        </w:trPr>
        <w:tc>
          <w:tcPr>
            <w:tcW w:w="7117" w:type="dxa"/>
            <w:tcBorders>
              <w:top w:val="nil"/>
              <w:left w:val="nil"/>
              <w:bottom w:val="nil"/>
              <w:right w:val="nil"/>
            </w:tcBorders>
            <w:shd w:val="clear" w:color="auto" w:fill="auto"/>
            <w:noWrap/>
            <w:vAlign w:val="center"/>
            <w:hideMark/>
          </w:tcPr>
          <w:p w14:paraId="0156163D" w14:textId="77777777" w:rsidR="00186196" w:rsidRPr="00092B22" w:rsidRDefault="00186196" w:rsidP="00E607DA">
            <w:pPr>
              <w:rPr>
                <w:rFonts w:ascii="Meta Pro" w:eastAsia="Times New Roman" w:hAnsi="Meta Pro"/>
                <w:szCs w:val="18"/>
                <w:lang w:eastAsia="en-AU"/>
              </w:rPr>
            </w:pPr>
            <w:r w:rsidRPr="00092B22">
              <w:rPr>
                <w:rFonts w:ascii="Meta Pro" w:eastAsia="Times New Roman" w:hAnsi="Meta Pro"/>
                <w:szCs w:val="18"/>
                <w:lang w:eastAsia="en-AU"/>
              </w:rPr>
              <w:t>Additional provision recognised</w:t>
            </w:r>
          </w:p>
        </w:tc>
        <w:tc>
          <w:tcPr>
            <w:tcW w:w="1153" w:type="dxa"/>
            <w:tcBorders>
              <w:top w:val="nil"/>
              <w:left w:val="nil"/>
              <w:bottom w:val="nil"/>
              <w:right w:val="nil"/>
            </w:tcBorders>
            <w:shd w:val="clear" w:color="000000" w:fill="C9E3B4"/>
            <w:noWrap/>
            <w:vAlign w:val="center"/>
            <w:hideMark/>
          </w:tcPr>
          <w:p w14:paraId="5E9FD170"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11,686 </w:t>
            </w:r>
          </w:p>
        </w:tc>
        <w:tc>
          <w:tcPr>
            <w:tcW w:w="215" w:type="dxa"/>
            <w:tcBorders>
              <w:top w:val="nil"/>
              <w:left w:val="nil"/>
              <w:bottom w:val="nil"/>
              <w:right w:val="nil"/>
            </w:tcBorders>
            <w:shd w:val="clear" w:color="auto" w:fill="auto"/>
            <w:noWrap/>
            <w:vAlign w:val="center"/>
            <w:hideMark/>
          </w:tcPr>
          <w:p w14:paraId="3432A722" w14:textId="77777777" w:rsidR="00186196" w:rsidRPr="00092B22" w:rsidRDefault="00186196" w:rsidP="00E607DA">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16428272"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31,926 </w:t>
            </w:r>
          </w:p>
        </w:tc>
      </w:tr>
      <w:tr w:rsidR="00186196" w:rsidRPr="00092B22" w14:paraId="78D7A4C7" w14:textId="77777777" w:rsidTr="00E607DA">
        <w:trPr>
          <w:trHeight w:val="240"/>
        </w:trPr>
        <w:tc>
          <w:tcPr>
            <w:tcW w:w="7117" w:type="dxa"/>
            <w:tcBorders>
              <w:top w:val="nil"/>
              <w:left w:val="nil"/>
              <w:bottom w:val="nil"/>
              <w:right w:val="nil"/>
            </w:tcBorders>
            <w:shd w:val="clear" w:color="auto" w:fill="auto"/>
            <w:noWrap/>
            <w:vAlign w:val="center"/>
            <w:hideMark/>
          </w:tcPr>
          <w:p w14:paraId="728C7A61" w14:textId="77777777" w:rsidR="00186196" w:rsidRPr="00092B22" w:rsidRDefault="00186196" w:rsidP="00E607DA">
            <w:pPr>
              <w:rPr>
                <w:rFonts w:ascii="Meta Pro" w:eastAsia="Times New Roman" w:hAnsi="Meta Pro"/>
                <w:szCs w:val="18"/>
                <w:lang w:eastAsia="en-AU"/>
              </w:rPr>
            </w:pPr>
            <w:r w:rsidRPr="00092B22">
              <w:rPr>
                <w:rFonts w:ascii="Meta Pro" w:eastAsia="Times New Roman" w:hAnsi="Meta Pro"/>
                <w:szCs w:val="18"/>
                <w:lang w:eastAsia="en-AU"/>
              </w:rPr>
              <w:t>Reduction in provision as a result of payments</w:t>
            </w:r>
          </w:p>
        </w:tc>
        <w:tc>
          <w:tcPr>
            <w:tcW w:w="1153" w:type="dxa"/>
            <w:tcBorders>
              <w:top w:val="nil"/>
              <w:left w:val="nil"/>
              <w:bottom w:val="nil"/>
              <w:right w:val="nil"/>
            </w:tcBorders>
            <w:shd w:val="clear" w:color="000000" w:fill="C9E3B4"/>
            <w:noWrap/>
            <w:vAlign w:val="center"/>
            <w:hideMark/>
          </w:tcPr>
          <w:p w14:paraId="123FBD2C"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(29,857)</w:t>
            </w:r>
          </w:p>
        </w:tc>
        <w:tc>
          <w:tcPr>
            <w:tcW w:w="215" w:type="dxa"/>
            <w:tcBorders>
              <w:top w:val="nil"/>
              <w:left w:val="nil"/>
              <w:bottom w:val="nil"/>
              <w:right w:val="nil"/>
            </w:tcBorders>
            <w:shd w:val="clear" w:color="auto" w:fill="auto"/>
            <w:noWrap/>
            <w:vAlign w:val="center"/>
            <w:hideMark/>
          </w:tcPr>
          <w:p w14:paraId="3249040C" w14:textId="77777777" w:rsidR="00186196" w:rsidRPr="00092B22" w:rsidRDefault="00186196" w:rsidP="00E607DA">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362D09A4"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(41,897)</w:t>
            </w:r>
          </w:p>
        </w:tc>
      </w:tr>
      <w:tr w:rsidR="00186196" w:rsidRPr="00092B22" w14:paraId="1B19252B" w14:textId="77777777" w:rsidTr="00E607DA">
        <w:trPr>
          <w:trHeight w:val="240"/>
        </w:trPr>
        <w:tc>
          <w:tcPr>
            <w:tcW w:w="7117" w:type="dxa"/>
            <w:tcBorders>
              <w:top w:val="nil"/>
              <w:left w:val="nil"/>
              <w:bottom w:val="nil"/>
              <w:right w:val="nil"/>
            </w:tcBorders>
            <w:shd w:val="clear" w:color="auto" w:fill="auto"/>
            <w:noWrap/>
            <w:vAlign w:val="center"/>
            <w:hideMark/>
          </w:tcPr>
          <w:p w14:paraId="03D95C16" w14:textId="77777777" w:rsidR="00186196" w:rsidRPr="00092B22" w:rsidRDefault="00186196" w:rsidP="00E607DA">
            <w:pPr>
              <w:rPr>
                <w:rFonts w:ascii="Meta Pro" w:eastAsia="Times New Roman" w:hAnsi="Meta Pro"/>
                <w:szCs w:val="18"/>
                <w:lang w:eastAsia="en-AU"/>
              </w:rPr>
            </w:pPr>
            <w:r w:rsidRPr="00092B22">
              <w:rPr>
                <w:rFonts w:ascii="Meta Pro" w:eastAsia="Times New Roman" w:hAnsi="Meta Pro"/>
                <w:szCs w:val="18"/>
                <w:lang w:eastAsia="en-AU"/>
              </w:rPr>
              <w:t>Reclassification from/(to) non-current provision</w:t>
            </w:r>
          </w:p>
        </w:tc>
        <w:tc>
          <w:tcPr>
            <w:tcW w:w="1153" w:type="dxa"/>
            <w:tcBorders>
              <w:top w:val="nil"/>
              <w:left w:val="nil"/>
              <w:bottom w:val="single" w:sz="4" w:space="0" w:color="auto"/>
              <w:right w:val="nil"/>
            </w:tcBorders>
            <w:shd w:val="clear" w:color="000000" w:fill="C9E3B4"/>
            <w:noWrap/>
            <w:vAlign w:val="center"/>
            <w:hideMark/>
          </w:tcPr>
          <w:p w14:paraId="44AE59C9"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45,783 </w:t>
            </w:r>
          </w:p>
        </w:tc>
        <w:tc>
          <w:tcPr>
            <w:tcW w:w="215" w:type="dxa"/>
            <w:tcBorders>
              <w:top w:val="nil"/>
              <w:left w:val="nil"/>
              <w:bottom w:val="nil"/>
              <w:right w:val="nil"/>
            </w:tcBorders>
            <w:shd w:val="clear" w:color="auto" w:fill="auto"/>
            <w:noWrap/>
            <w:vAlign w:val="center"/>
            <w:hideMark/>
          </w:tcPr>
          <w:p w14:paraId="6FB74AC9" w14:textId="77777777" w:rsidR="00186196" w:rsidRPr="00092B22" w:rsidRDefault="00186196" w:rsidP="00E607DA">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65BCE7E5"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(10,299)</w:t>
            </w:r>
          </w:p>
        </w:tc>
      </w:tr>
      <w:tr w:rsidR="00186196" w:rsidRPr="00092B22" w14:paraId="01E40584" w14:textId="77777777" w:rsidTr="00E607DA">
        <w:trPr>
          <w:trHeight w:val="240"/>
        </w:trPr>
        <w:tc>
          <w:tcPr>
            <w:tcW w:w="7117" w:type="dxa"/>
            <w:tcBorders>
              <w:top w:val="single" w:sz="4" w:space="0" w:color="auto"/>
              <w:left w:val="nil"/>
              <w:bottom w:val="double" w:sz="6" w:space="0" w:color="auto"/>
              <w:right w:val="nil"/>
            </w:tcBorders>
            <w:shd w:val="clear" w:color="auto" w:fill="auto"/>
            <w:noWrap/>
            <w:vAlign w:val="center"/>
            <w:hideMark/>
          </w:tcPr>
          <w:p w14:paraId="2EB3A875" w14:textId="77777777" w:rsidR="00186196" w:rsidRPr="00092B22" w:rsidRDefault="00186196" w:rsidP="00E607DA">
            <w:pPr>
              <w:rPr>
                <w:rFonts w:ascii="Meta Pro" w:eastAsia="Times New Roman" w:hAnsi="Meta Pro"/>
                <w:szCs w:val="18"/>
                <w:lang w:eastAsia="en-AU"/>
              </w:rPr>
            </w:pPr>
            <w:r w:rsidRPr="00092B22">
              <w:rPr>
                <w:rFonts w:ascii="Meta Pro" w:eastAsia="Times New Roman" w:hAnsi="Meta Pro"/>
                <w:szCs w:val="18"/>
                <w:lang w:eastAsia="en-AU"/>
              </w:rPr>
              <w:t>Closing balance</w:t>
            </w:r>
          </w:p>
        </w:tc>
        <w:tc>
          <w:tcPr>
            <w:tcW w:w="1153" w:type="dxa"/>
            <w:tcBorders>
              <w:top w:val="nil"/>
              <w:left w:val="nil"/>
              <w:bottom w:val="double" w:sz="6" w:space="0" w:color="auto"/>
              <w:right w:val="nil"/>
            </w:tcBorders>
            <w:shd w:val="clear" w:color="000000" w:fill="C9E3B4"/>
            <w:noWrap/>
            <w:vAlign w:val="center"/>
            <w:hideMark/>
          </w:tcPr>
          <w:p w14:paraId="3D524F12"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182,203 </w:t>
            </w:r>
          </w:p>
        </w:tc>
        <w:tc>
          <w:tcPr>
            <w:tcW w:w="215" w:type="dxa"/>
            <w:tcBorders>
              <w:top w:val="single" w:sz="4" w:space="0" w:color="auto"/>
              <w:left w:val="nil"/>
              <w:bottom w:val="double" w:sz="6" w:space="0" w:color="auto"/>
              <w:right w:val="nil"/>
            </w:tcBorders>
            <w:shd w:val="clear" w:color="auto" w:fill="auto"/>
            <w:noWrap/>
            <w:vAlign w:val="center"/>
            <w:hideMark/>
          </w:tcPr>
          <w:p w14:paraId="19B032B8" w14:textId="77777777" w:rsidR="00186196" w:rsidRPr="00092B22" w:rsidRDefault="00186196"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153" w:type="dxa"/>
            <w:tcBorders>
              <w:top w:val="single" w:sz="4" w:space="0" w:color="auto"/>
              <w:left w:val="nil"/>
              <w:bottom w:val="double" w:sz="6" w:space="0" w:color="auto"/>
              <w:right w:val="nil"/>
            </w:tcBorders>
            <w:shd w:val="clear" w:color="auto" w:fill="auto"/>
            <w:noWrap/>
            <w:vAlign w:val="center"/>
            <w:hideMark/>
          </w:tcPr>
          <w:p w14:paraId="179673C5"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148,582 </w:t>
            </w:r>
          </w:p>
        </w:tc>
      </w:tr>
      <w:tr w:rsidR="00186196" w:rsidRPr="00092B22" w14:paraId="438C23DE" w14:textId="77777777" w:rsidTr="00E607DA">
        <w:trPr>
          <w:trHeight w:val="90"/>
        </w:trPr>
        <w:tc>
          <w:tcPr>
            <w:tcW w:w="7117" w:type="dxa"/>
            <w:tcBorders>
              <w:top w:val="nil"/>
              <w:left w:val="nil"/>
              <w:bottom w:val="nil"/>
              <w:right w:val="nil"/>
            </w:tcBorders>
            <w:shd w:val="clear" w:color="auto" w:fill="auto"/>
            <w:noWrap/>
            <w:vAlign w:val="center"/>
            <w:hideMark/>
          </w:tcPr>
          <w:p w14:paraId="23B44E3B" w14:textId="77777777" w:rsidR="00186196" w:rsidRPr="00092B22" w:rsidRDefault="00186196" w:rsidP="00E607DA">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5729E688" w14:textId="77777777" w:rsidR="00186196" w:rsidRPr="00092B22" w:rsidRDefault="00186196" w:rsidP="00E607DA">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7D7DC99E" w14:textId="77777777" w:rsidR="00186196" w:rsidRPr="00092B22" w:rsidRDefault="00186196" w:rsidP="00E607DA">
            <w:pPr>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5DACA6E9" w14:textId="77777777" w:rsidR="00186196" w:rsidRPr="00092B22" w:rsidRDefault="00186196" w:rsidP="00E607DA">
            <w:pPr>
              <w:jc w:val="right"/>
              <w:rPr>
                <w:rFonts w:ascii="Meta Pro" w:eastAsia="Times New Roman" w:hAnsi="Meta Pro" w:cs="Times New Roman"/>
                <w:sz w:val="20"/>
                <w:szCs w:val="20"/>
                <w:lang w:eastAsia="en-AU"/>
              </w:rPr>
            </w:pPr>
          </w:p>
        </w:tc>
      </w:tr>
      <w:tr w:rsidR="00186196" w:rsidRPr="00092B22" w14:paraId="5ADA0DDB" w14:textId="77777777" w:rsidTr="00E607DA">
        <w:trPr>
          <w:trHeight w:val="240"/>
        </w:trPr>
        <w:tc>
          <w:tcPr>
            <w:tcW w:w="7117" w:type="dxa"/>
            <w:tcBorders>
              <w:top w:val="nil"/>
              <w:left w:val="nil"/>
              <w:bottom w:val="nil"/>
              <w:right w:val="nil"/>
            </w:tcBorders>
            <w:shd w:val="clear" w:color="auto" w:fill="auto"/>
            <w:noWrap/>
            <w:vAlign w:val="center"/>
            <w:hideMark/>
          </w:tcPr>
          <w:p w14:paraId="7248D2B6" w14:textId="77777777" w:rsidR="00186196" w:rsidRPr="00092B22" w:rsidRDefault="00186196" w:rsidP="00E607DA">
            <w:pPr>
              <w:rPr>
                <w:rFonts w:ascii="Meta Pro" w:eastAsia="Times New Roman" w:hAnsi="Meta Pro"/>
                <w:b/>
                <w:bCs/>
                <w:szCs w:val="18"/>
                <w:lang w:eastAsia="en-AU"/>
              </w:rPr>
            </w:pPr>
            <w:r w:rsidRPr="00092B22">
              <w:rPr>
                <w:rFonts w:ascii="Meta Pro" w:eastAsia="Times New Roman" w:hAnsi="Meta Pro"/>
                <w:b/>
                <w:bCs/>
                <w:szCs w:val="18"/>
                <w:lang w:eastAsia="en-AU"/>
              </w:rPr>
              <w:t>Non-current</w:t>
            </w:r>
          </w:p>
        </w:tc>
        <w:tc>
          <w:tcPr>
            <w:tcW w:w="1153" w:type="dxa"/>
            <w:tcBorders>
              <w:top w:val="nil"/>
              <w:left w:val="nil"/>
              <w:bottom w:val="nil"/>
              <w:right w:val="nil"/>
            </w:tcBorders>
            <w:shd w:val="clear" w:color="auto" w:fill="auto"/>
            <w:noWrap/>
            <w:vAlign w:val="center"/>
            <w:hideMark/>
          </w:tcPr>
          <w:p w14:paraId="6EC892DD" w14:textId="77777777" w:rsidR="00186196" w:rsidRPr="00092B22" w:rsidRDefault="00186196" w:rsidP="00E607DA">
            <w:pPr>
              <w:rPr>
                <w:rFonts w:ascii="Meta Pro" w:eastAsia="Times New Roman" w:hAnsi="Meta Pro"/>
                <w:b/>
                <w:bCs/>
                <w:szCs w:val="18"/>
                <w:lang w:eastAsia="en-AU"/>
              </w:rPr>
            </w:pPr>
          </w:p>
        </w:tc>
        <w:tc>
          <w:tcPr>
            <w:tcW w:w="215" w:type="dxa"/>
            <w:tcBorders>
              <w:top w:val="nil"/>
              <w:left w:val="nil"/>
              <w:bottom w:val="nil"/>
              <w:right w:val="nil"/>
            </w:tcBorders>
            <w:shd w:val="clear" w:color="auto" w:fill="auto"/>
            <w:noWrap/>
            <w:vAlign w:val="center"/>
            <w:hideMark/>
          </w:tcPr>
          <w:p w14:paraId="1FB72724" w14:textId="77777777" w:rsidR="00186196" w:rsidRPr="00092B22" w:rsidRDefault="00186196" w:rsidP="00E607DA">
            <w:pPr>
              <w:jc w:val="right"/>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5065577C" w14:textId="77777777" w:rsidR="00186196" w:rsidRPr="00092B22" w:rsidRDefault="00186196" w:rsidP="00E607DA">
            <w:pPr>
              <w:jc w:val="right"/>
              <w:rPr>
                <w:rFonts w:ascii="Meta Pro" w:eastAsia="Times New Roman" w:hAnsi="Meta Pro" w:cs="Times New Roman"/>
                <w:sz w:val="20"/>
                <w:szCs w:val="20"/>
                <w:lang w:eastAsia="en-AU"/>
              </w:rPr>
            </w:pPr>
          </w:p>
        </w:tc>
      </w:tr>
      <w:tr w:rsidR="00186196" w:rsidRPr="00092B22" w14:paraId="4D7C7E21" w14:textId="77777777" w:rsidTr="00E607DA">
        <w:trPr>
          <w:trHeight w:val="240"/>
        </w:trPr>
        <w:tc>
          <w:tcPr>
            <w:tcW w:w="7117" w:type="dxa"/>
            <w:tcBorders>
              <w:top w:val="nil"/>
              <w:left w:val="nil"/>
              <w:bottom w:val="nil"/>
              <w:right w:val="nil"/>
            </w:tcBorders>
            <w:shd w:val="clear" w:color="auto" w:fill="auto"/>
            <w:noWrap/>
            <w:vAlign w:val="center"/>
            <w:hideMark/>
          </w:tcPr>
          <w:p w14:paraId="7A527447" w14:textId="77777777" w:rsidR="00186196" w:rsidRPr="00092B22" w:rsidRDefault="00186196" w:rsidP="00E607DA">
            <w:pPr>
              <w:rPr>
                <w:rFonts w:ascii="Meta Pro" w:eastAsia="Times New Roman" w:hAnsi="Meta Pro"/>
                <w:szCs w:val="18"/>
                <w:lang w:eastAsia="en-AU"/>
              </w:rPr>
            </w:pPr>
            <w:r w:rsidRPr="00092B22">
              <w:rPr>
                <w:rFonts w:ascii="Meta Pro" w:eastAsia="Times New Roman" w:hAnsi="Meta Pro"/>
                <w:szCs w:val="18"/>
                <w:lang w:eastAsia="en-AU"/>
              </w:rPr>
              <w:t>Opening balance</w:t>
            </w:r>
          </w:p>
        </w:tc>
        <w:tc>
          <w:tcPr>
            <w:tcW w:w="1153" w:type="dxa"/>
            <w:tcBorders>
              <w:top w:val="nil"/>
              <w:left w:val="nil"/>
              <w:bottom w:val="nil"/>
              <w:right w:val="nil"/>
            </w:tcBorders>
            <w:shd w:val="clear" w:color="000000" w:fill="C9E3B4"/>
            <w:noWrap/>
            <w:vAlign w:val="center"/>
            <w:hideMark/>
          </w:tcPr>
          <w:p w14:paraId="4843D34F"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151,027 </w:t>
            </w:r>
          </w:p>
        </w:tc>
        <w:tc>
          <w:tcPr>
            <w:tcW w:w="215" w:type="dxa"/>
            <w:tcBorders>
              <w:top w:val="nil"/>
              <w:left w:val="nil"/>
              <w:bottom w:val="nil"/>
              <w:right w:val="nil"/>
            </w:tcBorders>
            <w:shd w:val="clear" w:color="auto" w:fill="auto"/>
            <w:noWrap/>
            <w:vAlign w:val="center"/>
            <w:hideMark/>
          </w:tcPr>
          <w:p w14:paraId="6D0E5FEE" w14:textId="77777777" w:rsidR="00186196" w:rsidRPr="00092B22" w:rsidRDefault="00186196" w:rsidP="00E607DA">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5B830C52"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120,605 </w:t>
            </w:r>
          </w:p>
        </w:tc>
      </w:tr>
      <w:tr w:rsidR="00186196" w:rsidRPr="00092B22" w14:paraId="7FC91EEC" w14:textId="77777777" w:rsidTr="00E607DA">
        <w:trPr>
          <w:trHeight w:val="240"/>
        </w:trPr>
        <w:tc>
          <w:tcPr>
            <w:tcW w:w="7117" w:type="dxa"/>
            <w:tcBorders>
              <w:top w:val="nil"/>
              <w:left w:val="nil"/>
              <w:bottom w:val="nil"/>
              <w:right w:val="nil"/>
            </w:tcBorders>
            <w:shd w:val="clear" w:color="auto" w:fill="auto"/>
            <w:noWrap/>
            <w:vAlign w:val="center"/>
            <w:hideMark/>
          </w:tcPr>
          <w:p w14:paraId="3BFF97BF" w14:textId="77777777" w:rsidR="00186196" w:rsidRPr="00092B22" w:rsidRDefault="00186196" w:rsidP="00E607DA">
            <w:pPr>
              <w:rPr>
                <w:rFonts w:ascii="Meta Pro" w:eastAsia="Times New Roman" w:hAnsi="Meta Pro"/>
                <w:szCs w:val="18"/>
                <w:lang w:eastAsia="en-AU"/>
              </w:rPr>
            </w:pPr>
            <w:r w:rsidRPr="00092B22">
              <w:rPr>
                <w:rFonts w:ascii="Meta Pro" w:eastAsia="Times New Roman" w:hAnsi="Meta Pro"/>
                <w:szCs w:val="18"/>
                <w:lang w:eastAsia="en-AU"/>
              </w:rPr>
              <w:t>Restatement of provision</w:t>
            </w:r>
          </w:p>
        </w:tc>
        <w:tc>
          <w:tcPr>
            <w:tcW w:w="1153" w:type="dxa"/>
            <w:tcBorders>
              <w:top w:val="nil"/>
              <w:left w:val="nil"/>
              <w:bottom w:val="nil"/>
              <w:right w:val="nil"/>
            </w:tcBorders>
            <w:shd w:val="clear" w:color="000000" w:fill="C9E3B4"/>
            <w:noWrap/>
            <w:vAlign w:val="center"/>
            <w:hideMark/>
          </w:tcPr>
          <w:p w14:paraId="576D5978"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(9,584)</w:t>
            </w:r>
          </w:p>
        </w:tc>
        <w:tc>
          <w:tcPr>
            <w:tcW w:w="215" w:type="dxa"/>
            <w:tcBorders>
              <w:top w:val="nil"/>
              <w:left w:val="nil"/>
              <w:bottom w:val="nil"/>
              <w:right w:val="nil"/>
            </w:tcBorders>
            <w:shd w:val="clear" w:color="auto" w:fill="auto"/>
            <w:noWrap/>
            <w:vAlign w:val="center"/>
            <w:hideMark/>
          </w:tcPr>
          <w:p w14:paraId="190E3DB1" w14:textId="77777777" w:rsidR="00186196" w:rsidRPr="00092B22" w:rsidRDefault="00186196" w:rsidP="00E607DA">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526174C2"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(15,850)</w:t>
            </w:r>
          </w:p>
        </w:tc>
      </w:tr>
      <w:tr w:rsidR="00186196" w:rsidRPr="00092B22" w14:paraId="23BAD2F4" w14:textId="77777777" w:rsidTr="00E607DA">
        <w:trPr>
          <w:trHeight w:val="240"/>
        </w:trPr>
        <w:tc>
          <w:tcPr>
            <w:tcW w:w="7117" w:type="dxa"/>
            <w:tcBorders>
              <w:top w:val="nil"/>
              <w:left w:val="nil"/>
              <w:bottom w:val="nil"/>
              <w:right w:val="nil"/>
            </w:tcBorders>
            <w:shd w:val="clear" w:color="auto" w:fill="auto"/>
            <w:noWrap/>
            <w:vAlign w:val="center"/>
            <w:hideMark/>
          </w:tcPr>
          <w:p w14:paraId="61B44BE1" w14:textId="77777777" w:rsidR="00186196" w:rsidRPr="00092B22" w:rsidRDefault="00186196" w:rsidP="00E607DA">
            <w:pPr>
              <w:rPr>
                <w:rFonts w:ascii="Meta Pro" w:eastAsia="Times New Roman" w:hAnsi="Meta Pro"/>
                <w:szCs w:val="18"/>
                <w:lang w:eastAsia="en-AU"/>
              </w:rPr>
            </w:pPr>
            <w:r w:rsidRPr="00092B22">
              <w:rPr>
                <w:rFonts w:ascii="Meta Pro" w:eastAsia="Times New Roman" w:hAnsi="Meta Pro"/>
                <w:szCs w:val="18"/>
                <w:lang w:eastAsia="en-AU"/>
              </w:rPr>
              <w:t>Additional provision recognised</w:t>
            </w:r>
          </w:p>
        </w:tc>
        <w:tc>
          <w:tcPr>
            <w:tcW w:w="1153" w:type="dxa"/>
            <w:tcBorders>
              <w:top w:val="nil"/>
              <w:left w:val="nil"/>
              <w:bottom w:val="nil"/>
              <w:right w:val="nil"/>
            </w:tcBorders>
            <w:shd w:val="clear" w:color="000000" w:fill="C9E3B4"/>
            <w:noWrap/>
            <w:vAlign w:val="center"/>
            <w:hideMark/>
          </w:tcPr>
          <w:p w14:paraId="5CCFD239"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27,269 </w:t>
            </w:r>
          </w:p>
        </w:tc>
        <w:tc>
          <w:tcPr>
            <w:tcW w:w="215" w:type="dxa"/>
            <w:tcBorders>
              <w:top w:val="nil"/>
              <w:left w:val="nil"/>
              <w:bottom w:val="nil"/>
              <w:right w:val="nil"/>
            </w:tcBorders>
            <w:shd w:val="clear" w:color="auto" w:fill="auto"/>
            <w:noWrap/>
            <w:vAlign w:val="center"/>
            <w:hideMark/>
          </w:tcPr>
          <w:p w14:paraId="2BC0CC98" w14:textId="77777777" w:rsidR="00186196" w:rsidRPr="00092B22" w:rsidRDefault="00186196" w:rsidP="00E607DA">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1E75AEAD"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40,630 </w:t>
            </w:r>
          </w:p>
        </w:tc>
      </w:tr>
      <w:tr w:rsidR="00186196" w:rsidRPr="00092B22" w14:paraId="2C2C7100" w14:textId="77777777" w:rsidTr="00E607DA">
        <w:trPr>
          <w:trHeight w:val="240"/>
        </w:trPr>
        <w:tc>
          <w:tcPr>
            <w:tcW w:w="7117" w:type="dxa"/>
            <w:tcBorders>
              <w:top w:val="nil"/>
              <w:left w:val="nil"/>
              <w:bottom w:val="nil"/>
              <w:right w:val="nil"/>
            </w:tcBorders>
            <w:shd w:val="clear" w:color="auto" w:fill="auto"/>
            <w:noWrap/>
            <w:vAlign w:val="center"/>
            <w:hideMark/>
          </w:tcPr>
          <w:p w14:paraId="513BA5A5" w14:textId="77777777" w:rsidR="00186196" w:rsidRPr="00092B22" w:rsidRDefault="00186196" w:rsidP="00E607DA">
            <w:pPr>
              <w:rPr>
                <w:rFonts w:ascii="Meta Pro" w:eastAsia="Times New Roman" w:hAnsi="Meta Pro"/>
                <w:szCs w:val="18"/>
                <w:lang w:eastAsia="en-AU"/>
              </w:rPr>
            </w:pPr>
            <w:r w:rsidRPr="00092B22">
              <w:rPr>
                <w:rFonts w:ascii="Meta Pro" w:eastAsia="Times New Roman" w:hAnsi="Meta Pro"/>
                <w:szCs w:val="18"/>
                <w:lang w:eastAsia="en-AU"/>
              </w:rPr>
              <w:t>Reduction in provision as a result of payments</w:t>
            </w:r>
          </w:p>
        </w:tc>
        <w:tc>
          <w:tcPr>
            <w:tcW w:w="1153" w:type="dxa"/>
            <w:tcBorders>
              <w:top w:val="nil"/>
              <w:left w:val="nil"/>
              <w:bottom w:val="nil"/>
              <w:right w:val="nil"/>
            </w:tcBorders>
            <w:shd w:val="clear" w:color="000000" w:fill="C9E3B4"/>
            <w:noWrap/>
            <w:vAlign w:val="center"/>
            <w:hideMark/>
          </w:tcPr>
          <w:p w14:paraId="784E7DF5"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(658)</w:t>
            </w:r>
          </w:p>
        </w:tc>
        <w:tc>
          <w:tcPr>
            <w:tcW w:w="215" w:type="dxa"/>
            <w:tcBorders>
              <w:top w:val="nil"/>
              <w:left w:val="nil"/>
              <w:bottom w:val="nil"/>
              <w:right w:val="nil"/>
            </w:tcBorders>
            <w:shd w:val="clear" w:color="auto" w:fill="auto"/>
            <w:noWrap/>
            <w:vAlign w:val="center"/>
            <w:hideMark/>
          </w:tcPr>
          <w:p w14:paraId="76432A18" w14:textId="77777777" w:rsidR="00186196" w:rsidRPr="00092B22" w:rsidRDefault="00186196" w:rsidP="00E607DA">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09B2D1EF"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(4,657)</w:t>
            </w:r>
          </w:p>
        </w:tc>
      </w:tr>
      <w:tr w:rsidR="00186196" w:rsidRPr="00092B22" w14:paraId="537259AA" w14:textId="77777777" w:rsidTr="00E607DA">
        <w:trPr>
          <w:trHeight w:val="240"/>
        </w:trPr>
        <w:tc>
          <w:tcPr>
            <w:tcW w:w="7117" w:type="dxa"/>
            <w:tcBorders>
              <w:top w:val="nil"/>
              <w:left w:val="nil"/>
              <w:bottom w:val="nil"/>
              <w:right w:val="nil"/>
            </w:tcBorders>
            <w:shd w:val="clear" w:color="auto" w:fill="auto"/>
            <w:noWrap/>
            <w:vAlign w:val="center"/>
            <w:hideMark/>
          </w:tcPr>
          <w:p w14:paraId="3FF7E92A" w14:textId="77777777" w:rsidR="00186196" w:rsidRPr="00092B22" w:rsidRDefault="00186196" w:rsidP="00E607DA">
            <w:pPr>
              <w:rPr>
                <w:rFonts w:ascii="Meta Pro" w:eastAsia="Times New Roman" w:hAnsi="Meta Pro"/>
                <w:szCs w:val="18"/>
                <w:lang w:eastAsia="en-AU"/>
              </w:rPr>
            </w:pPr>
            <w:r w:rsidRPr="00092B22">
              <w:rPr>
                <w:rFonts w:ascii="Meta Pro" w:eastAsia="Times New Roman" w:hAnsi="Meta Pro"/>
                <w:szCs w:val="18"/>
                <w:lang w:eastAsia="en-AU"/>
              </w:rPr>
              <w:t>Reclassification (to)/from current provision</w:t>
            </w:r>
          </w:p>
        </w:tc>
        <w:tc>
          <w:tcPr>
            <w:tcW w:w="1153" w:type="dxa"/>
            <w:tcBorders>
              <w:top w:val="nil"/>
              <w:left w:val="nil"/>
              <w:bottom w:val="nil"/>
              <w:right w:val="nil"/>
            </w:tcBorders>
            <w:shd w:val="clear" w:color="000000" w:fill="C9E3B4"/>
            <w:noWrap/>
            <w:vAlign w:val="center"/>
            <w:hideMark/>
          </w:tcPr>
          <w:p w14:paraId="24B8B3C5"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(45,783)</w:t>
            </w:r>
          </w:p>
        </w:tc>
        <w:tc>
          <w:tcPr>
            <w:tcW w:w="215" w:type="dxa"/>
            <w:tcBorders>
              <w:top w:val="nil"/>
              <w:left w:val="nil"/>
              <w:bottom w:val="nil"/>
              <w:right w:val="nil"/>
            </w:tcBorders>
            <w:shd w:val="clear" w:color="auto" w:fill="auto"/>
            <w:noWrap/>
            <w:vAlign w:val="center"/>
            <w:hideMark/>
          </w:tcPr>
          <w:p w14:paraId="5CD5594B" w14:textId="77777777" w:rsidR="00186196" w:rsidRPr="00092B22" w:rsidRDefault="00186196" w:rsidP="00E607DA">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7FCF6C15"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10,299 </w:t>
            </w:r>
          </w:p>
        </w:tc>
      </w:tr>
      <w:tr w:rsidR="00186196" w:rsidRPr="00092B22" w14:paraId="6B990500" w14:textId="77777777" w:rsidTr="00E607DA">
        <w:trPr>
          <w:trHeight w:val="240"/>
        </w:trPr>
        <w:tc>
          <w:tcPr>
            <w:tcW w:w="7117" w:type="dxa"/>
            <w:tcBorders>
              <w:top w:val="single" w:sz="4" w:space="0" w:color="auto"/>
              <w:left w:val="nil"/>
              <w:bottom w:val="double" w:sz="6" w:space="0" w:color="auto"/>
              <w:right w:val="nil"/>
            </w:tcBorders>
            <w:shd w:val="clear" w:color="auto" w:fill="auto"/>
            <w:noWrap/>
            <w:vAlign w:val="center"/>
            <w:hideMark/>
          </w:tcPr>
          <w:p w14:paraId="64E6A84C" w14:textId="77777777" w:rsidR="00186196" w:rsidRPr="00092B22" w:rsidRDefault="00186196" w:rsidP="00E607DA">
            <w:pPr>
              <w:rPr>
                <w:rFonts w:ascii="Meta Pro" w:eastAsia="Times New Roman" w:hAnsi="Meta Pro"/>
                <w:szCs w:val="18"/>
                <w:lang w:eastAsia="en-AU"/>
              </w:rPr>
            </w:pPr>
            <w:r w:rsidRPr="00092B22">
              <w:rPr>
                <w:rFonts w:ascii="Meta Pro" w:eastAsia="Times New Roman" w:hAnsi="Meta Pro"/>
                <w:szCs w:val="18"/>
                <w:lang w:eastAsia="en-AU"/>
              </w:rPr>
              <w:t>Closing balance</w:t>
            </w:r>
          </w:p>
        </w:tc>
        <w:tc>
          <w:tcPr>
            <w:tcW w:w="1153" w:type="dxa"/>
            <w:tcBorders>
              <w:top w:val="single" w:sz="4" w:space="0" w:color="auto"/>
              <w:left w:val="nil"/>
              <w:bottom w:val="double" w:sz="6" w:space="0" w:color="auto"/>
              <w:right w:val="nil"/>
            </w:tcBorders>
            <w:shd w:val="clear" w:color="000000" w:fill="C9E3B4"/>
            <w:noWrap/>
            <w:vAlign w:val="center"/>
            <w:hideMark/>
          </w:tcPr>
          <w:p w14:paraId="7FD347C5"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122,271 </w:t>
            </w:r>
          </w:p>
        </w:tc>
        <w:tc>
          <w:tcPr>
            <w:tcW w:w="215" w:type="dxa"/>
            <w:tcBorders>
              <w:top w:val="single" w:sz="4" w:space="0" w:color="auto"/>
              <w:left w:val="nil"/>
              <w:bottom w:val="double" w:sz="6" w:space="0" w:color="auto"/>
              <w:right w:val="nil"/>
            </w:tcBorders>
            <w:shd w:val="clear" w:color="auto" w:fill="auto"/>
            <w:noWrap/>
            <w:vAlign w:val="center"/>
            <w:hideMark/>
          </w:tcPr>
          <w:p w14:paraId="67753A70" w14:textId="77777777" w:rsidR="00186196" w:rsidRPr="00092B22" w:rsidRDefault="00186196"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153" w:type="dxa"/>
            <w:tcBorders>
              <w:top w:val="single" w:sz="4" w:space="0" w:color="auto"/>
              <w:left w:val="nil"/>
              <w:bottom w:val="double" w:sz="6" w:space="0" w:color="auto"/>
              <w:right w:val="nil"/>
            </w:tcBorders>
            <w:shd w:val="clear" w:color="auto" w:fill="auto"/>
            <w:noWrap/>
            <w:vAlign w:val="center"/>
            <w:hideMark/>
          </w:tcPr>
          <w:p w14:paraId="174FCDDB" w14:textId="77777777" w:rsidR="00186196" w:rsidRPr="00092B22" w:rsidRDefault="00186196"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151,027 </w:t>
            </w:r>
          </w:p>
        </w:tc>
      </w:tr>
    </w:tbl>
    <w:p w14:paraId="76C83C80" w14:textId="77777777" w:rsidR="00186196" w:rsidRPr="00092B22" w:rsidRDefault="00186196" w:rsidP="00186196">
      <w:pPr>
        <w:spacing w:after="120"/>
        <w:rPr>
          <w:rFonts w:ascii="Meta Pro" w:eastAsia="Times New Roman" w:hAnsi="Meta Pro"/>
          <w:b/>
          <w:bCs/>
          <w:szCs w:val="18"/>
          <w:lang w:eastAsia="en-AU"/>
        </w:rPr>
      </w:pPr>
      <w:r w:rsidRPr="00092B22">
        <w:rPr>
          <w:rFonts w:ascii="Meta Pro" w:eastAsia="Times New Roman" w:hAnsi="Meta Pro"/>
          <w:b/>
          <w:bCs/>
          <w:szCs w:val="18"/>
          <w:lang w:eastAsia="en-AU"/>
        </w:rPr>
        <w:t>Provision for property resumptions</w:t>
      </w:r>
    </w:p>
    <w:p w14:paraId="72CB4DC7" w14:textId="77777777" w:rsidR="007E3E32" w:rsidRDefault="00186196" w:rsidP="00186196">
      <w:pPr>
        <w:shd w:val="clear" w:color="auto" w:fill="EBEBEB"/>
        <w:rPr>
          <w:rFonts w:ascii="Meta Pro" w:eastAsia="Times New Roman" w:hAnsi="Meta Pro"/>
          <w:szCs w:val="18"/>
          <w:lang w:eastAsia="en-AU"/>
        </w:rPr>
      </w:pPr>
      <w:r w:rsidRPr="00092B22">
        <w:rPr>
          <w:rFonts w:ascii="Meta Pro" w:eastAsia="Times New Roman" w:hAnsi="Meta Pro"/>
          <w:szCs w:val="18"/>
          <w:lang w:eastAsia="en-AU"/>
        </w:rPr>
        <w:t xml:space="preserve">The department acquires property through compulsory acquisition in accordance with the </w:t>
      </w:r>
      <w:r w:rsidRPr="00092B22">
        <w:rPr>
          <w:rFonts w:ascii="Meta Pro" w:eastAsia="Times New Roman" w:hAnsi="Meta Pro"/>
          <w:i/>
          <w:iCs/>
          <w:szCs w:val="18"/>
          <w:lang w:eastAsia="en-AU"/>
        </w:rPr>
        <w:t>Acquisition of Land Act 1967</w:t>
      </w:r>
      <w:r w:rsidRPr="00092B22">
        <w:rPr>
          <w:rFonts w:ascii="Meta Pro" w:eastAsia="Times New Roman" w:hAnsi="Meta Pro"/>
          <w:szCs w:val="18"/>
          <w:lang w:eastAsia="en-AU"/>
        </w:rPr>
        <w:t xml:space="preserve">, the </w:t>
      </w:r>
      <w:r w:rsidRPr="00092B22">
        <w:rPr>
          <w:rFonts w:ascii="Meta Pro" w:eastAsia="Times New Roman" w:hAnsi="Meta Pro"/>
          <w:i/>
          <w:iCs/>
          <w:szCs w:val="18"/>
          <w:lang w:eastAsia="en-AU"/>
        </w:rPr>
        <w:t>Transport Infrastructure Act 1994</w:t>
      </w:r>
      <w:r w:rsidRPr="00092B22">
        <w:rPr>
          <w:rFonts w:ascii="Meta Pro" w:eastAsia="Times New Roman" w:hAnsi="Meta Pro"/>
          <w:szCs w:val="18"/>
          <w:lang w:eastAsia="en-AU"/>
        </w:rPr>
        <w:t xml:space="preserve"> and the </w:t>
      </w:r>
      <w:r w:rsidRPr="00092B22">
        <w:rPr>
          <w:rFonts w:ascii="Meta Pro" w:eastAsia="Times New Roman" w:hAnsi="Meta Pro"/>
          <w:i/>
          <w:iCs/>
          <w:szCs w:val="18"/>
          <w:lang w:eastAsia="en-AU"/>
        </w:rPr>
        <w:t>Transport Planning and Coordination Act 1994</w:t>
      </w:r>
      <w:r w:rsidRPr="00092B22">
        <w:rPr>
          <w:rFonts w:ascii="Meta Pro" w:eastAsia="Times New Roman" w:hAnsi="Meta Pro"/>
          <w:szCs w:val="18"/>
          <w:lang w:eastAsia="en-AU"/>
        </w:rPr>
        <w:t xml:space="preserve">. The department recognises a provision to </w:t>
      </w:r>
      <w:r w:rsidRPr="00092B22">
        <w:rPr>
          <w:rFonts w:ascii="Meta Pro" w:eastAsia="Times New Roman" w:hAnsi="Meta Pro"/>
          <w:szCs w:val="18"/>
          <w:lang w:eastAsia="en-AU"/>
        </w:rPr>
        <w:lastRenderedPageBreak/>
        <w:t>account for compensation it expects to pay for all property resumptions, with the exception of hardship resumptions which are recognised immediately as a payable. The department's advisors determine a value for the acquisition amount which, with timing of the settlement, is dependent on the outcome of negotiation between both parties.</w:t>
      </w:r>
    </w:p>
    <w:tbl>
      <w:tblPr>
        <w:tblW w:w="0" w:type="auto"/>
        <w:tblLook w:val="04A0" w:firstRow="1" w:lastRow="0" w:firstColumn="1" w:lastColumn="0" w:noHBand="0" w:noVBand="1"/>
      </w:tblPr>
      <w:tblGrid>
        <w:gridCol w:w="6096"/>
        <w:gridCol w:w="992"/>
        <w:gridCol w:w="1134"/>
        <w:gridCol w:w="327"/>
        <w:gridCol w:w="1089"/>
      </w:tblGrid>
      <w:tr w:rsidR="005F65B4" w:rsidRPr="00092B22" w14:paraId="668E2F3C" w14:textId="77777777" w:rsidTr="00E607DA">
        <w:trPr>
          <w:trHeight w:val="240"/>
        </w:trPr>
        <w:tc>
          <w:tcPr>
            <w:tcW w:w="6096" w:type="dxa"/>
            <w:tcBorders>
              <w:top w:val="nil"/>
              <w:left w:val="nil"/>
              <w:bottom w:val="nil"/>
              <w:right w:val="nil"/>
            </w:tcBorders>
            <w:shd w:val="clear" w:color="auto" w:fill="auto"/>
            <w:noWrap/>
            <w:vAlign w:val="center"/>
            <w:hideMark/>
          </w:tcPr>
          <w:p w14:paraId="77A6FB57" w14:textId="77777777" w:rsidR="005F65B4" w:rsidRPr="00092B22" w:rsidRDefault="005F65B4" w:rsidP="00E607DA">
            <w:pPr>
              <w:spacing w:before="240"/>
              <w:rPr>
                <w:rFonts w:ascii="Meta Pro" w:eastAsia="Times New Roman" w:hAnsi="Meta Pro" w:cs="Times New Roman"/>
                <w:sz w:val="24"/>
                <w:szCs w:val="24"/>
                <w:lang w:eastAsia="en-AU"/>
              </w:rPr>
            </w:pPr>
          </w:p>
        </w:tc>
        <w:tc>
          <w:tcPr>
            <w:tcW w:w="992" w:type="dxa"/>
            <w:tcBorders>
              <w:top w:val="nil"/>
              <w:left w:val="nil"/>
              <w:bottom w:val="nil"/>
              <w:right w:val="nil"/>
            </w:tcBorders>
            <w:shd w:val="clear" w:color="auto" w:fill="auto"/>
            <w:noWrap/>
            <w:vAlign w:val="center"/>
            <w:hideMark/>
          </w:tcPr>
          <w:p w14:paraId="5C053356" w14:textId="77777777" w:rsidR="005F65B4" w:rsidRPr="00092B22" w:rsidRDefault="005F65B4" w:rsidP="00E607DA">
            <w:pPr>
              <w:spacing w:before="240"/>
              <w:jc w:val="center"/>
              <w:rPr>
                <w:rFonts w:ascii="Meta Pro" w:eastAsia="Times New Roman" w:hAnsi="Meta Pro"/>
                <w:b/>
                <w:bCs/>
                <w:color w:val="000000"/>
                <w:lang w:eastAsia="en-AU"/>
              </w:rPr>
            </w:pPr>
          </w:p>
        </w:tc>
        <w:tc>
          <w:tcPr>
            <w:tcW w:w="1134" w:type="dxa"/>
            <w:tcBorders>
              <w:top w:val="nil"/>
              <w:left w:val="nil"/>
              <w:bottom w:val="nil"/>
              <w:right w:val="nil"/>
            </w:tcBorders>
            <w:shd w:val="clear" w:color="auto" w:fill="auto"/>
            <w:noWrap/>
            <w:vAlign w:val="center"/>
            <w:hideMark/>
          </w:tcPr>
          <w:p w14:paraId="4E8F5876" w14:textId="77777777" w:rsidR="005F65B4" w:rsidRPr="00092B22" w:rsidRDefault="005F65B4" w:rsidP="00E607DA">
            <w:pPr>
              <w:spacing w:before="240"/>
              <w:jc w:val="center"/>
              <w:rPr>
                <w:rFonts w:ascii="Meta Pro" w:eastAsia="Times New Roman" w:hAnsi="Meta Pro"/>
                <w:b/>
                <w:bCs/>
                <w:color w:val="000000"/>
                <w:lang w:eastAsia="en-AU"/>
              </w:rPr>
            </w:pPr>
            <w:r w:rsidRPr="00092B22">
              <w:rPr>
                <w:rFonts w:ascii="Meta Pro" w:eastAsia="Times New Roman" w:hAnsi="Meta Pro"/>
                <w:b/>
                <w:bCs/>
                <w:color w:val="000000"/>
                <w:lang w:eastAsia="en-AU"/>
              </w:rPr>
              <w:t>2022</w:t>
            </w:r>
          </w:p>
        </w:tc>
        <w:tc>
          <w:tcPr>
            <w:tcW w:w="327" w:type="dxa"/>
            <w:tcBorders>
              <w:top w:val="nil"/>
              <w:left w:val="nil"/>
              <w:bottom w:val="nil"/>
              <w:right w:val="nil"/>
            </w:tcBorders>
            <w:shd w:val="clear" w:color="auto" w:fill="auto"/>
            <w:noWrap/>
            <w:vAlign w:val="center"/>
            <w:hideMark/>
          </w:tcPr>
          <w:p w14:paraId="6C41881F" w14:textId="77777777" w:rsidR="005F65B4" w:rsidRPr="00092B22" w:rsidRDefault="005F65B4" w:rsidP="00E607DA">
            <w:pPr>
              <w:spacing w:before="240"/>
              <w:jc w:val="center"/>
              <w:rPr>
                <w:rFonts w:ascii="Meta Pro" w:eastAsia="Times New Roman" w:hAnsi="Meta Pro"/>
                <w:b/>
                <w:bCs/>
                <w:color w:val="000000"/>
                <w:lang w:eastAsia="en-AU"/>
              </w:rPr>
            </w:pPr>
          </w:p>
        </w:tc>
        <w:tc>
          <w:tcPr>
            <w:tcW w:w="1089" w:type="dxa"/>
            <w:tcBorders>
              <w:top w:val="nil"/>
              <w:left w:val="nil"/>
              <w:bottom w:val="nil"/>
              <w:right w:val="nil"/>
            </w:tcBorders>
            <w:shd w:val="clear" w:color="auto" w:fill="auto"/>
            <w:noWrap/>
            <w:vAlign w:val="center"/>
            <w:hideMark/>
          </w:tcPr>
          <w:p w14:paraId="291004A0" w14:textId="77777777" w:rsidR="005F65B4" w:rsidRPr="00092B22" w:rsidRDefault="005F65B4" w:rsidP="00E607DA">
            <w:pPr>
              <w:spacing w:before="240"/>
              <w:jc w:val="center"/>
              <w:rPr>
                <w:rFonts w:ascii="Meta Pro" w:eastAsia="Times New Roman" w:hAnsi="Meta Pro"/>
                <w:b/>
                <w:bCs/>
                <w:lang w:eastAsia="en-AU"/>
              </w:rPr>
            </w:pPr>
            <w:r w:rsidRPr="00092B22">
              <w:rPr>
                <w:rFonts w:ascii="Meta Pro" w:eastAsia="Times New Roman" w:hAnsi="Meta Pro"/>
                <w:b/>
                <w:bCs/>
                <w:lang w:eastAsia="en-AU"/>
              </w:rPr>
              <w:t>2021</w:t>
            </w:r>
          </w:p>
        </w:tc>
      </w:tr>
      <w:tr w:rsidR="005F65B4" w:rsidRPr="00092B22" w14:paraId="5C105C99" w14:textId="77777777" w:rsidTr="00E607DA">
        <w:trPr>
          <w:trHeight w:val="240"/>
        </w:trPr>
        <w:tc>
          <w:tcPr>
            <w:tcW w:w="6096" w:type="dxa"/>
            <w:tcBorders>
              <w:top w:val="nil"/>
              <w:left w:val="nil"/>
              <w:bottom w:val="nil"/>
              <w:right w:val="nil"/>
            </w:tcBorders>
            <w:shd w:val="clear" w:color="auto" w:fill="auto"/>
            <w:noWrap/>
            <w:vAlign w:val="center"/>
            <w:hideMark/>
          </w:tcPr>
          <w:p w14:paraId="77B70B14" w14:textId="77777777" w:rsidR="005F65B4" w:rsidRPr="00092B22" w:rsidRDefault="005F65B4" w:rsidP="00E607DA">
            <w:pPr>
              <w:jc w:val="center"/>
              <w:rPr>
                <w:rFonts w:ascii="Meta Pro" w:eastAsia="Times New Roman" w:hAnsi="Meta Pro"/>
                <w:b/>
                <w:bCs/>
                <w:lang w:eastAsia="en-AU"/>
              </w:rPr>
            </w:pPr>
          </w:p>
        </w:tc>
        <w:tc>
          <w:tcPr>
            <w:tcW w:w="992" w:type="dxa"/>
            <w:tcBorders>
              <w:top w:val="nil"/>
              <w:left w:val="nil"/>
              <w:bottom w:val="nil"/>
              <w:right w:val="nil"/>
            </w:tcBorders>
            <w:shd w:val="clear" w:color="auto" w:fill="auto"/>
            <w:noWrap/>
            <w:vAlign w:val="center"/>
            <w:hideMark/>
          </w:tcPr>
          <w:p w14:paraId="4430E8E3" w14:textId="77777777" w:rsidR="005F65B4" w:rsidRPr="00092B22" w:rsidRDefault="005F65B4" w:rsidP="00E607DA">
            <w:pP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23633897" w14:textId="77777777" w:rsidR="005F65B4" w:rsidRPr="00092B22" w:rsidRDefault="005F65B4" w:rsidP="00E607DA">
            <w:pPr>
              <w:jc w:val="center"/>
              <w:rPr>
                <w:rFonts w:ascii="Meta Pro" w:eastAsia="Times New Roman" w:hAnsi="Meta Pro"/>
                <w:b/>
                <w:bCs/>
                <w:lang w:eastAsia="en-AU"/>
              </w:rPr>
            </w:pPr>
            <w:r w:rsidRPr="00092B22">
              <w:rPr>
                <w:rFonts w:ascii="Meta Pro" w:eastAsia="Times New Roman" w:hAnsi="Meta Pro"/>
                <w:b/>
                <w:bCs/>
                <w:lang w:eastAsia="en-AU"/>
              </w:rPr>
              <w:t>$'000</w:t>
            </w:r>
          </w:p>
        </w:tc>
        <w:tc>
          <w:tcPr>
            <w:tcW w:w="327" w:type="dxa"/>
            <w:tcBorders>
              <w:top w:val="nil"/>
              <w:left w:val="nil"/>
              <w:bottom w:val="nil"/>
              <w:right w:val="nil"/>
            </w:tcBorders>
            <w:shd w:val="clear" w:color="auto" w:fill="auto"/>
            <w:noWrap/>
            <w:vAlign w:val="center"/>
            <w:hideMark/>
          </w:tcPr>
          <w:p w14:paraId="307EB074" w14:textId="77777777" w:rsidR="005F65B4" w:rsidRPr="00092B22" w:rsidRDefault="005F65B4" w:rsidP="00E607DA">
            <w:pPr>
              <w:jc w:val="center"/>
              <w:rPr>
                <w:rFonts w:ascii="Meta Pro" w:eastAsia="Times New Roman" w:hAnsi="Meta Pro"/>
                <w:b/>
                <w:bCs/>
                <w:lang w:eastAsia="en-AU"/>
              </w:rPr>
            </w:pPr>
          </w:p>
        </w:tc>
        <w:tc>
          <w:tcPr>
            <w:tcW w:w="1089" w:type="dxa"/>
            <w:tcBorders>
              <w:top w:val="nil"/>
              <w:left w:val="nil"/>
              <w:bottom w:val="nil"/>
              <w:right w:val="nil"/>
            </w:tcBorders>
            <w:shd w:val="clear" w:color="auto" w:fill="auto"/>
            <w:noWrap/>
            <w:vAlign w:val="center"/>
            <w:hideMark/>
          </w:tcPr>
          <w:p w14:paraId="07442371" w14:textId="77777777" w:rsidR="005F65B4" w:rsidRPr="00092B22" w:rsidRDefault="005F65B4" w:rsidP="00E607DA">
            <w:pPr>
              <w:jc w:val="center"/>
              <w:rPr>
                <w:rFonts w:ascii="Meta Pro" w:eastAsia="Times New Roman" w:hAnsi="Meta Pro"/>
                <w:b/>
                <w:bCs/>
                <w:lang w:eastAsia="en-AU"/>
              </w:rPr>
            </w:pPr>
            <w:r w:rsidRPr="00092B22">
              <w:rPr>
                <w:rFonts w:ascii="Meta Pro" w:eastAsia="Times New Roman" w:hAnsi="Meta Pro"/>
                <w:b/>
                <w:bCs/>
                <w:lang w:eastAsia="en-AU"/>
              </w:rPr>
              <w:t>$'000</w:t>
            </w:r>
          </w:p>
        </w:tc>
      </w:tr>
    </w:tbl>
    <w:p w14:paraId="7ABD3C69" w14:textId="77777777" w:rsidR="005F65B4" w:rsidRPr="00092B22" w:rsidRDefault="005F65B4" w:rsidP="005F65B4">
      <w:pPr>
        <w:rPr>
          <w:rFonts w:ascii="Meta Pro" w:eastAsia="Times New Roman" w:hAnsi="Meta Pro"/>
          <w:b/>
          <w:bCs/>
          <w:lang w:eastAsia="en-AU"/>
        </w:rPr>
      </w:pPr>
    </w:p>
    <w:p w14:paraId="48C37863" w14:textId="77777777" w:rsidR="005F65B4" w:rsidRPr="00092B22" w:rsidRDefault="005F65B4" w:rsidP="005F65B4">
      <w:pPr>
        <w:spacing w:after="120"/>
        <w:rPr>
          <w:rFonts w:ascii="Meta Pro" w:hAnsi="Meta Pro"/>
          <w:b/>
          <w:bCs/>
          <w:lang w:eastAsia="en-AU"/>
        </w:rPr>
      </w:pPr>
      <w:r w:rsidRPr="00092B22">
        <w:rPr>
          <w:rFonts w:ascii="Meta Pro" w:eastAsia="Times New Roman" w:hAnsi="Meta Pro"/>
          <w:b/>
          <w:bCs/>
          <w:lang w:eastAsia="en-AU"/>
        </w:rPr>
        <w:t>19     PROVISIONS</w:t>
      </w:r>
      <w:r w:rsidRPr="00092B22">
        <w:rPr>
          <w:rFonts w:ascii="Meta Pro" w:hAnsi="Meta Pro"/>
          <w:b/>
          <w:bCs/>
          <w:lang w:eastAsia="en-AU"/>
        </w:rPr>
        <w:t xml:space="preserve"> (continued)</w:t>
      </w:r>
    </w:p>
    <w:tbl>
      <w:tblPr>
        <w:tblW w:w="0" w:type="auto"/>
        <w:tblCellMar>
          <w:left w:w="0" w:type="dxa"/>
        </w:tblCellMar>
        <w:tblLook w:val="04A0" w:firstRow="1" w:lastRow="0" w:firstColumn="1" w:lastColumn="0" w:noHBand="0" w:noVBand="1"/>
      </w:tblPr>
      <w:tblGrid>
        <w:gridCol w:w="7090"/>
        <w:gridCol w:w="1165"/>
        <w:gridCol w:w="218"/>
        <w:gridCol w:w="1165"/>
      </w:tblGrid>
      <w:tr w:rsidR="005F65B4" w:rsidRPr="00092B22" w14:paraId="682C8F10" w14:textId="77777777" w:rsidTr="00E607DA">
        <w:trPr>
          <w:trHeight w:val="240"/>
        </w:trPr>
        <w:tc>
          <w:tcPr>
            <w:tcW w:w="7476" w:type="dxa"/>
            <w:tcBorders>
              <w:top w:val="nil"/>
              <w:left w:val="nil"/>
              <w:bottom w:val="nil"/>
              <w:right w:val="nil"/>
            </w:tcBorders>
            <w:shd w:val="clear" w:color="auto" w:fill="auto"/>
            <w:noWrap/>
            <w:vAlign w:val="center"/>
            <w:hideMark/>
          </w:tcPr>
          <w:p w14:paraId="0DEE4BB4" w14:textId="77777777" w:rsidR="005F65B4" w:rsidRPr="00092B22" w:rsidRDefault="005F65B4" w:rsidP="00E607DA">
            <w:pPr>
              <w:rPr>
                <w:rFonts w:ascii="Meta Pro" w:eastAsia="Times New Roman" w:hAnsi="Meta Pro"/>
                <w:b/>
                <w:bCs/>
                <w:szCs w:val="18"/>
                <w:lang w:eastAsia="en-AU"/>
              </w:rPr>
            </w:pPr>
            <w:r w:rsidRPr="00092B22">
              <w:rPr>
                <w:rFonts w:ascii="Meta Pro" w:eastAsia="Times New Roman" w:hAnsi="Meta Pro"/>
                <w:b/>
                <w:bCs/>
                <w:szCs w:val="18"/>
                <w:lang w:eastAsia="en-AU"/>
              </w:rPr>
              <w:t>Movements in provision for New Generation Rollingstock rectification works</w:t>
            </w:r>
          </w:p>
        </w:tc>
        <w:tc>
          <w:tcPr>
            <w:tcW w:w="1216" w:type="dxa"/>
            <w:tcBorders>
              <w:top w:val="nil"/>
              <w:left w:val="nil"/>
              <w:bottom w:val="nil"/>
              <w:right w:val="nil"/>
            </w:tcBorders>
            <w:shd w:val="clear" w:color="auto" w:fill="auto"/>
            <w:noWrap/>
            <w:vAlign w:val="center"/>
            <w:hideMark/>
          </w:tcPr>
          <w:p w14:paraId="09DAF4C9" w14:textId="77777777" w:rsidR="005F65B4" w:rsidRPr="00092B22" w:rsidRDefault="005F65B4" w:rsidP="00E607DA">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2FED85EF" w14:textId="77777777" w:rsidR="005F65B4" w:rsidRPr="00092B22" w:rsidRDefault="005F65B4"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4637DD2B" w14:textId="77777777" w:rsidR="005F65B4" w:rsidRPr="00092B22" w:rsidRDefault="005F65B4" w:rsidP="00E607DA">
            <w:pPr>
              <w:jc w:val="right"/>
              <w:rPr>
                <w:rFonts w:ascii="Meta Pro" w:eastAsia="Times New Roman" w:hAnsi="Meta Pro" w:cs="Times New Roman"/>
                <w:sz w:val="20"/>
                <w:szCs w:val="20"/>
                <w:lang w:eastAsia="en-AU"/>
              </w:rPr>
            </w:pPr>
          </w:p>
        </w:tc>
      </w:tr>
      <w:tr w:rsidR="005F65B4" w:rsidRPr="00092B22" w14:paraId="0D193CFD" w14:textId="77777777" w:rsidTr="00E607DA">
        <w:trPr>
          <w:trHeight w:val="90"/>
        </w:trPr>
        <w:tc>
          <w:tcPr>
            <w:tcW w:w="7476" w:type="dxa"/>
            <w:tcBorders>
              <w:top w:val="nil"/>
              <w:left w:val="nil"/>
              <w:bottom w:val="nil"/>
              <w:right w:val="nil"/>
            </w:tcBorders>
            <w:shd w:val="clear" w:color="auto" w:fill="auto"/>
            <w:noWrap/>
            <w:vAlign w:val="center"/>
            <w:hideMark/>
          </w:tcPr>
          <w:p w14:paraId="10794DDB" w14:textId="77777777" w:rsidR="005F65B4" w:rsidRPr="00092B22" w:rsidRDefault="005F65B4"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18AC7366" w14:textId="77777777" w:rsidR="005F65B4" w:rsidRPr="00092B22" w:rsidRDefault="005F65B4" w:rsidP="00E607DA">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2AD3C34F" w14:textId="77777777" w:rsidR="005F65B4" w:rsidRPr="00092B22" w:rsidRDefault="005F65B4"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18F86A78" w14:textId="77777777" w:rsidR="005F65B4" w:rsidRPr="00092B22" w:rsidRDefault="005F65B4" w:rsidP="00E607DA">
            <w:pPr>
              <w:jc w:val="right"/>
              <w:rPr>
                <w:rFonts w:ascii="Meta Pro" w:eastAsia="Times New Roman" w:hAnsi="Meta Pro" w:cs="Times New Roman"/>
                <w:sz w:val="20"/>
                <w:szCs w:val="20"/>
                <w:lang w:eastAsia="en-AU"/>
              </w:rPr>
            </w:pPr>
          </w:p>
        </w:tc>
      </w:tr>
      <w:tr w:rsidR="005F65B4" w:rsidRPr="00092B22" w14:paraId="617728CB" w14:textId="77777777" w:rsidTr="00E607DA">
        <w:trPr>
          <w:trHeight w:val="240"/>
        </w:trPr>
        <w:tc>
          <w:tcPr>
            <w:tcW w:w="7476" w:type="dxa"/>
            <w:tcBorders>
              <w:top w:val="nil"/>
              <w:left w:val="nil"/>
              <w:bottom w:val="nil"/>
              <w:right w:val="nil"/>
            </w:tcBorders>
            <w:shd w:val="clear" w:color="auto" w:fill="auto"/>
            <w:noWrap/>
            <w:vAlign w:val="center"/>
            <w:hideMark/>
          </w:tcPr>
          <w:p w14:paraId="1C455CA7" w14:textId="77777777" w:rsidR="005F65B4" w:rsidRPr="00092B22" w:rsidRDefault="005F65B4" w:rsidP="00E607DA">
            <w:pPr>
              <w:rPr>
                <w:rFonts w:ascii="Meta Pro" w:eastAsia="Times New Roman" w:hAnsi="Meta Pro"/>
                <w:b/>
                <w:bCs/>
                <w:szCs w:val="18"/>
                <w:lang w:eastAsia="en-AU"/>
              </w:rPr>
            </w:pPr>
            <w:r w:rsidRPr="00092B22">
              <w:rPr>
                <w:rFonts w:ascii="Meta Pro" w:eastAsia="Times New Roman" w:hAnsi="Meta Pro"/>
                <w:b/>
                <w:bCs/>
                <w:szCs w:val="18"/>
                <w:lang w:eastAsia="en-AU"/>
              </w:rPr>
              <w:t>Current</w:t>
            </w:r>
          </w:p>
        </w:tc>
        <w:tc>
          <w:tcPr>
            <w:tcW w:w="1216" w:type="dxa"/>
            <w:tcBorders>
              <w:top w:val="nil"/>
              <w:left w:val="nil"/>
              <w:bottom w:val="nil"/>
              <w:right w:val="nil"/>
            </w:tcBorders>
            <w:shd w:val="clear" w:color="auto" w:fill="auto"/>
            <w:noWrap/>
            <w:vAlign w:val="center"/>
            <w:hideMark/>
          </w:tcPr>
          <w:p w14:paraId="2C0022A0" w14:textId="77777777" w:rsidR="005F65B4" w:rsidRPr="00092B22" w:rsidRDefault="005F65B4" w:rsidP="00E607DA">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1C3D1132" w14:textId="77777777" w:rsidR="005F65B4" w:rsidRPr="00092B22" w:rsidRDefault="005F65B4"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6DC96010" w14:textId="77777777" w:rsidR="005F65B4" w:rsidRPr="00092B22" w:rsidRDefault="005F65B4" w:rsidP="00E607DA">
            <w:pPr>
              <w:jc w:val="right"/>
              <w:rPr>
                <w:rFonts w:ascii="Meta Pro" w:eastAsia="Times New Roman" w:hAnsi="Meta Pro" w:cs="Times New Roman"/>
                <w:sz w:val="20"/>
                <w:szCs w:val="20"/>
                <w:lang w:eastAsia="en-AU"/>
              </w:rPr>
            </w:pPr>
          </w:p>
        </w:tc>
      </w:tr>
      <w:tr w:rsidR="005F65B4" w:rsidRPr="00092B22" w14:paraId="05C1A092" w14:textId="77777777" w:rsidTr="00E607DA">
        <w:trPr>
          <w:trHeight w:val="240"/>
        </w:trPr>
        <w:tc>
          <w:tcPr>
            <w:tcW w:w="7476" w:type="dxa"/>
            <w:tcBorders>
              <w:top w:val="nil"/>
              <w:left w:val="nil"/>
              <w:bottom w:val="nil"/>
              <w:right w:val="nil"/>
            </w:tcBorders>
            <w:shd w:val="clear" w:color="auto" w:fill="auto"/>
            <w:noWrap/>
            <w:vAlign w:val="center"/>
            <w:hideMark/>
          </w:tcPr>
          <w:p w14:paraId="3364CBA3" w14:textId="77777777" w:rsidR="005F65B4" w:rsidRPr="00092B22" w:rsidRDefault="005F65B4" w:rsidP="00E607DA">
            <w:pPr>
              <w:rPr>
                <w:rFonts w:ascii="Meta Pro" w:eastAsia="Times New Roman" w:hAnsi="Meta Pro"/>
                <w:szCs w:val="18"/>
                <w:lang w:eastAsia="en-AU"/>
              </w:rPr>
            </w:pPr>
            <w:r w:rsidRPr="00092B22">
              <w:rPr>
                <w:rFonts w:ascii="Meta Pro" w:eastAsia="Times New Roman" w:hAnsi="Meta Pro"/>
                <w:szCs w:val="18"/>
                <w:lang w:eastAsia="en-AU"/>
              </w:rPr>
              <w:t>Opening balance</w:t>
            </w:r>
          </w:p>
        </w:tc>
        <w:tc>
          <w:tcPr>
            <w:tcW w:w="1216" w:type="dxa"/>
            <w:tcBorders>
              <w:top w:val="nil"/>
              <w:left w:val="nil"/>
              <w:bottom w:val="nil"/>
              <w:right w:val="nil"/>
            </w:tcBorders>
            <w:shd w:val="clear" w:color="000000" w:fill="C9E3B4"/>
            <w:noWrap/>
            <w:vAlign w:val="center"/>
            <w:hideMark/>
          </w:tcPr>
          <w:p w14:paraId="3CE50887" w14:textId="77777777" w:rsidR="005F65B4" w:rsidRPr="00092B22" w:rsidRDefault="005F65B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46,515 </w:t>
            </w:r>
          </w:p>
        </w:tc>
        <w:tc>
          <w:tcPr>
            <w:tcW w:w="216" w:type="dxa"/>
            <w:tcBorders>
              <w:top w:val="nil"/>
              <w:left w:val="nil"/>
              <w:bottom w:val="nil"/>
              <w:right w:val="nil"/>
            </w:tcBorders>
            <w:shd w:val="clear" w:color="auto" w:fill="auto"/>
            <w:noWrap/>
            <w:vAlign w:val="center"/>
            <w:hideMark/>
          </w:tcPr>
          <w:p w14:paraId="3984F47E" w14:textId="77777777" w:rsidR="005F65B4" w:rsidRPr="00092B22" w:rsidRDefault="005F65B4"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3CA44A42" w14:textId="77777777" w:rsidR="005F65B4" w:rsidRPr="00092B22" w:rsidRDefault="005F65B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67,375 </w:t>
            </w:r>
          </w:p>
        </w:tc>
      </w:tr>
      <w:tr w:rsidR="005F65B4" w:rsidRPr="00092B22" w14:paraId="56504C51" w14:textId="77777777" w:rsidTr="00E607DA">
        <w:trPr>
          <w:trHeight w:val="240"/>
        </w:trPr>
        <w:tc>
          <w:tcPr>
            <w:tcW w:w="7476" w:type="dxa"/>
            <w:tcBorders>
              <w:top w:val="nil"/>
              <w:left w:val="nil"/>
              <w:bottom w:val="nil"/>
              <w:right w:val="nil"/>
            </w:tcBorders>
            <w:shd w:val="clear" w:color="auto" w:fill="auto"/>
            <w:noWrap/>
            <w:vAlign w:val="center"/>
            <w:hideMark/>
          </w:tcPr>
          <w:p w14:paraId="7039A54D" w14:textId="77777777" w:rsidR="005F65B4" w:rsidRPr="00092B22" w:rsidRDefault="005F65B4" w:rsidP="00E607DA">
            <w:pPr>
              <w:rPr>
                <w:rFonts w:ascii="Meta Pro" w:eastAsia="Times New Roman" w:hAnsi="Meta Pro"/>
                <w:szCs w:val="18"/>
                <w:lang w:eastAsia="en-AU"/>
              </w:rPr>
            </w:pPr>
            <w:r w:rsidRPr="00092B22">
              <w:rPr>
                <w:rFonts w:ascii="Meta Pro" w:eastAsia="Times New Roman" w:hAnsi="Meta Pro"/>
                <w:szCs w:val="18"/>
                <w:lang w:eastAsia="en-AU"/>
              </w:rPr>
              <w:t>Reduction in provision as a result of payments</w:t>
            </w:r>
          </w:p>
        </w:tc>
        <w:tc>
          <w:tcPr>
            <w:tcW w:w="1216" w:type="dxa"/>
            <w:tcBorders>
              <w:top w:val="nil"/>
              <w:left w:val="nil"/>
              <w:bottom w:val="nil"/>
              <w:right w:val="nil"/>
            </w:tcBorders>
            <w:shd w:val="clear" w:color="000000" w:fill="C9E3B4"/>
            <w:noWrap/>
            <w:vAlign w:val="center"/>
            <w:hideMark/>
          </w:tcPr>
          <w:p w14:paraId="6E8777E0" w14:textId="77777777" w:rsidR="005F65B4" w:rsidRPr="00092B22" w:rsidRDefault="005F65B4" w:rsidP="00E607DA">
            <w:pPr>
              <w:jc w:val="right"/>
              <w:rPr>
                <w:rFonts w:ascii="Meta Pro" w:eastAsia="Times New Roman" w:hAnsi="Meta Pro"/>
                <w:szCs w:val="18"/>
                <w:lang w:eastAsia="en-AU"/>
              </w:rPr>
            </w:pPr>
            <w:r w:rsidRPr="00092B22">
              <w:rPr>
                <w:rFonts w:ascii="Meta Pro" w:eastAsia="Times New Roman" w:hAnsi="Meta Pro"/>
                <w:szCs w:val="18"/>
                <w:lang w:eastAsia="en-AU"/>
              </w:rPr>
              <w:t>(27,908)</w:t>
            </w:r>
          </w:p>
        </w:tc>
        <w:tc>
          <w:tcPr>
            <w:tcW w:w="216" w:type="dxa"/>
            <w:tcBorders>
              <w:top w:val="nil"/>
              <w:left w:val="nil"/>
              <w:bottom w:val="nil"/>
              <w:right w:val="nil"/>
            </w:tcBorders>
            <w:shd w:val="clear" w:color="auto" w:fill="auto"/>
            <w:noWrap/>
            <w:vAlign w:val="center"/>
            <w:hideMark/>
          </w:tcPr>
          <w:p w14:paraId="5E0EC4C9" w14:textId="77777777" w:rsidR="005F65B4" w:rsidRPr="00092B22" w:rsidRDefault="005F65B4"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77A028F6" w14:textId="77777777" w:rsidR="005F65B4" w:rsidRPr="00092B22" w:rsidRDefault="005F65B4" w:rsidP="00E607DA">
            <w:pPr>
              <w:jc w:val="right"/>
              <w:rPr>
                <w:rFonts w:ascii="Meta Pro" w:eastAsia="Times New Roman" w:hAnsi="Meta Pro"/>
                <w:szCs w:val="18"/>
                <w:lang w:eastAsia="en-AU"/>
              </w:rPr>
            </w:pPr>
            <w:r w:rsidRPr="00092B22">
              <w:rPr>
                <w:rFonts w:ascii="Meta Pro" w:eastAsia="Times New Roman" w:hAnsi="Meta Pro"/>
                <w:szCs w:val="18"/>
                <w:lang w:eastAsia="en-AU"/>
              </w:rPr>
              <w:t>(67,375)</w:t>
            </w:r>
          </w:p>
        </w:tc>
      </w:tr>
      <w:tr w:rsidR="005F65B4" w:rsidRPr="00092B22" w14:paraId="2A43B04F" w14:textId="77777777" w:rsidTr="00E607DA">
        <w:trPr>
          <w:trHeight w:val="240"/>
        </w:trPr>
        <w:tc>
          <w:tcPr>
            <w:tcW w:w="7476" w:type="dxa"/>
            <w:tcBorders>
              <w:top w:val="nil"/>
              <w:left w:val="nil"/>
              <w:bottom w:val="nil"/>
              <w:right w:val="nil"/>
            </w:tcBorders>
            <w:shd w:val="clear" w:color="auto" w:fill="auto"/>
            <w:noWrap/>
            <w:vAlign w:val="center"/>
            <w:hideMark/>
          </w:tcPr>
          <w:p w14:paraId="618CAF71" w14:textId="77777777" w:rsidR="005F65B4" w:rsidRPr="00092B22" w:rsidRDefault="005F65B4" w:rsidP="00E607DA">
            <w:pPr>
              <w:rPr>
                <w:rFonts w:ascii="Meta Pro" w:eastAsia="Times New Roman" w:hAnsi="Meta Pro"/>
                <w:szCs w:val="18"/>
                <w:lang w:eastAsia="en-AU"/>
              </w:rPr>
            </w:pPr>
            <w:r w:rsidRPr="00092B22">
              <w:rPr>
                <w:rFonts w:ascii="Meta Pro" w:eastAsia="Times New Roman" w:hAnsi="Meta Pro"/>
                <w:szCs w:val="18"/>
                <w:lang w:eastAsia="en-AU"/>
              </w:rPr>
              <w:t>Reclassification from/(to) non-current provision</w:t>
            </w:r>
          </w:p>
        </w:tc>
        <w:tc>
          <w:tcPr>
            <w:tcW w:w="1216" w:type="dxa"/>
            <w:tcBorders>
              <w:top w:val="nil"/>
              <w:left w:val="nil"/>
              <w:bottom w:val="nil"/>
              <w:right w:val="nil"/>
            </w:tcBorders>
            <w:shd w:val="clear" w:color="000000" w:fill="C9E3B4"/>
            <w:noWrap/>
            <w:vAlign w:val="center"/>
            <w:hideMark/>
          </w:tcPr>
          <w:p w14:paraId="6D337118" w14:textId="77777777" w:rsidR="005F65B4" w:rsidRPr="00092B22" w:rsidRDefault="005F65B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27,908 </w:t>
            </w:r>
          </w:p>
        </w:tc>
        <w:tc>
          <w:tcPr>
            <w:tcW w:w="216" w:type="dxa"/>
            <w:tcBorders>
              <w:top w:val="nil"/>
              <w:left w:val="nil"/>
              <w:bottom w:val="nil"/>
              <w:right w:val="nil"/>
            </w:tcBorders>
            <w:shd w:val="clear" w:color="auto" w:fill="auto"/>
            <w:noWrap/>
            <w:vAlign w:val="center"/>
            <w:hideMark/>
          </w:tcPr>
          <w:p w14:paraId="698686E6" w14:textId="77777777" w:rsidR="005F65B4" w:rsidRPr="00092B22" w:rsidRDefault="005F65B4"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68F21605" w14:textId="77777777" w:rsidR="005F65B4" w:rsidRPr="00092B22" w:rsidRDefault="005F65B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46,515 </w:t>
            </w:r>
          </w:p>
        </w:tc>
      </w:tr>
      <w:tr w:rsidR="005F65B4" w:rsidRPr="00092B22" w14:paraId="6C5D300D" w14:textId="77777777" w:rsidTr="00E607DA">
        <w:trPr>
          <w:trHeight w:val="240"/>
        </w:trPr>
        <w:tc>
          <w:tcPr>
            <w:tcW w:w="7476" w:type="dxa"/>
            <w:tcBorders>
              <w:top w:val="single" w:sz="4" w:space="0" w:color="auto"/>
              <w:left w:val="nil"/>
              <w:bottom w:val="double" w:sz="6" w:space="0" w:color="auto"/>
              <w:right w:val="nil"/>
            </w:tcBorders>
            <w:shd w:val="clear" w:color="auto" w:fill="auto"/>
            <w:noWrap/>
            <w:vAlign w:val="center"/>
            <w:hideMark/>
          </w:tcPr>
          <w:p w14:paraId="01CF8F29" w14:textId="77777777" w:rsidR="005F65B4" w:rsidRPr="00092B22" w:rsidRDefault="005F65B4" w:rsidP="00E607DA">
            <w:pPr>
              <w:rPr>
                <w:rFonts w:ascii="Meta Pro" w:eastAsia="Times New Roman" w:hAnsi="Meta Pro"/>
                <w:szCs w:val="18"/>
                <w:lang w:eastAsia="en-AU"/>
              </w:rPr>
            </w:pPr>
            <w:r w:rsidRPr="00092B22">
              <w:rPr>
                <w:rFonts w:ascii="Meta Pro" w:eastAsia="Times New Roman" w:hAnsi="Meta Pro"/>
                <w:szCs w:val="18"/>
                <w:lang w:eastAsia="en-AU"/>
              </w:rPr>
              <w:t>Closing balance</w:t>
            </w:r>
          </w:p>
        </w:tc>
        <w:tc>
          <w:tcPr>
            <w:tcW w:w="1216" w:type="dxa"/>
            <w:tcBorders>
              <w:top w:val="single" w:sz="4" w:space="0" w:color="auto"/>
              <w:left w:val="nil"/>
              <w:bottom w:val="double" w:sz="6" w:space="0" w:color="auto"/>
              <w:right w:val="nil"/>
            </w:tcBorders>
            <w:shd w:val="clear" w:color="000000" w:fill="C9E3B4"/>
            <w:noWrap/>
            <w:vAlign w:val="center"/>
            <w:hideMark/>
          </w:tcPr>
          <w:p w14:paraId="12B3BDD0" w14:textId="77777777" w:rsidR="005F65B4" w:rsidRPr="00092B22" w:rsidRDefault="005F65B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46,515 </w:t>
            </w:r>
          </w:p>
        </w:tc>
        <w:tc>
          <w:tcPr>
            <w:tcW w:w="216" w:type="dxa"/>
            <w:tcBorders>
              <w:top w:val="single" w:sz="4" w:space="0" w:color="auto"/>
              <w:left w:val="nil"/>
              <w:bottom w:val="double" w:sz="6" w:space="0" w:color="auto"/>
              <w:right w:val="nil"/>
            </w:tcBorders>
            <w:shd w:val="clear" w:color="auto" w:fill="auto"/>
            <w:noWrap/>
            <w:vAlign w:val="center"/>
            <w:hideMark/>
          </w:tcPr>
          <w:p w14:paraId="14858499" w14:textId="77777777" w:rsidR="005F65B4" w:rsidRPr="00092B22" w:rsidRDefault="005F65B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216" w:type="dxa"/>
            <w:tcBorders>
              <w:top w:val="single" w:sz="4" w:space="0" w:color="auto"/>
              <w:left w:val="nil"/>
              <w:bottom w:val="double" w:sz="6" w:space="0" w:color="auto"/>
              <w:right w:val="nil"/>
            </w:tcBorders>
            <w:shd w:val="clear" w:color="auto" w:fill="auto"/>
            <w:noWrap/>
            <w:vAlign w:val="center"/>
            <w:hideMark/>
          </w:tcPr>
          <w:p w14:paraId="613C9641" w14:textId="77777777" w:rsidR="005F65B4" w:rsidRPr="00092B22" w:rsidRDefault="005F65B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46,515 </w:t>
            </w:r>
          </w:p>
        </w:tc>
      </w:tr>
      <w:tr w:rsidR="005F65B4" w:rsidRPr="00092B22" w14:paraId="7D3D1962" w14:textId="77777777" w:rsidTr="00E607DA">
        <w:trPr>
          <w:trHeight w:val="90"/>
        </w:trPr>
        <w:tc>
          <w:tcPr>
            <w:tcW w:w="7476" w:type="dxa"/>
            <w:tcBorders>
              <w:top w:val="nil"/>
              <w:left w:val="nil"/>
              <w:bottom w:val="nil"/>
              <w:right w:val="nil"/>
            </w:tcBorders>
            <w:shd w:val="clear" w:color="auto" w:fill="auto"/>
            <w:noWrap/>
            <w:vAlign w:val="center"/>
            <w:hideMark/>
          </w:tcPr>
          <w:p w14:paraId="4E0946E7" w14:textId="77777777" w:rsidR="005F65B4" w:rsidRPr="00092B22" w:rsidRDefault="005F65B4"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54F1E036" w14:textId="77777777" w:rsidR="005F65B4" w:rsidRPr="00092B22" w:rsidRDefault="005F65B4" w:rsidP="00E607DA">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5E335EB8" w14:textId="77777777" w:rsidR="005F65B4" w:rsidRPr="00092B22" w:rsidRDefault="005F65B4" w:rsidP="00E607DA">
            <w:pPr>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73C59048" w14:textId="77777777" w:rsidR="005F65B4" w:rsidRPr="00092B22" w:rsidRDefault="005F65B4" w:rsidP="00E607DA">
            <w:pPr>
              <w:jc w:val="right"/>
              <w:rPr>
                <w:rFonts w:ascii="Meta Pro" w:eastAsia="Times New Roman" w:hAnsi="Meta Pro" w:cs="Times New Roman"/>
                <w:sz w:val="20"/>
                <w:szCs w:val="20"/>
                <w:lang w:eastAsia="en-AU"/>
              </w:rPr>
            </w:pPr>
          </w:p>
        </w:tc>
      </w:tr>
      <w:tr w:rsidR="005F65B4" w:rsidRPr="00092B22" w14:paraId="582D8555" w14:textId="77777777" w:rsidTr="00E607DA">
        <w:trPr>
          <w:trHeight w:val="240"/>
        </w:trPr>
        <w:tc>
          <w:tcPr>
            <w:tcW w:w="7476" w:type="dxa"/>
            <w:tcBorders>
              <w:top w:val="nil"/>
              <w:left w:val="nil"/>
              <w:bottom w:val="nil"/>
              <w:right w:val="nil"/>
            </w:tcBorders>
            <w:shd w:val="clear" w:color="auto" w:fill="auto"/>
            <w:noWrap/>
            <w:vAlign w:val="center"/>
            <w:hideMark/>
          </w:tcPr>
          <w:p w14:paraId="2C03AEED" w14:textId="77777777" w:rsidR="005F65B4" w:rsidRPr="00092B22" w:rsidRDefault="005F65B4" w:rsidP="00E607DA">
            <w:pPr>
              <w:rPr>
                <w:rFonts w:ascii="Meta Pro" w:eastAsia="Times New Roman" w:hAnsi="Meta Pro"/>
                <w:b/>
                <w:bCs/>
                <w:szCs w:val="18"/>
                <w:lang w:eastAsia="en-AU"/>
              </w:rPr>
            </w:pPr>
            <w:r w:rsidRPr="00092B22">
              <w:rPr>
                <w:rFonts w:ascii="Meta Pro" w:eastAsia="Times New Roman" w:hAnsi="Meta Pro"/>
                <w:b/>
                <w:bCs/>
                <w:szCs w:val="18"/>
                <w:lang w:eastAsia="en-AU"/>
              </w:rPr>
              <w:t>Non-current</w:t>
            </w:r>
          </w:p>
        </w:tc>
        <w:tc>
          <w:tcPr>
            <w:tcW w:w="1216" w:type="dxa"/>
            <w:tcBorders>
              <w:top w:val="nil"/>
              <w:left w:val="nil"/>
              <w:bottom w:val="nil"/>
              <w:right w:val="nil"/>
            </w:tcBorders>
            <w:shd w:val="clear" w:color="auto" w:fill="auto"/>
            <w:noWrap/>
            <w:vAlign w:val="center"/>
            <w:hideMark/>
          </w:tcPr>
          <w:p w14:paraId="245A8A59" w14:textId="77777777" w:rsidR="005F65B4" w:rsidRPr="00092B22" w:rsidRDefault="005F65B4" w:rsidP="00E607DA">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407A406A" w14:textId="77777777" w:rsidR="005F65B4" w:rsidRPr="00092B22" w:rsidRDefault="005F65B4"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2D05F24F" w14:textId="77777777" w:rsidR="005F65B4" w:rsidRPr="00092B22" w:rsidRDefault="005F65B4" w:rsidP="00E607DA">
            <w:pPr>
              <w:jc w:val="right"/>
              <w:rPr>
                <w:rFonts w:ascii="Meta Pro" w:eastAsia="Times New Roman" w:hAnsi="Meta Pro" w:cs="Times New Roman"/>
                <w:sz w:val="20"/>
                <w:szCs w:val="20"/>
                <w:lang w:eastAsia="en-AU"/>
              </w:rPr>
            </w:pPr>
          </w:p>
        </w:tc>
      </w:tr>
      <w:tr w:rsidR="005F65B4" w:rsidRPr="00092B22" w14:paraId="07D1683E" w14:textId="77777777" w:rsidTr="00E607DA">
        <w:trPr>
          <w:trHeight w:val="240"/>
        </w:trPr>
        <w:tc>
          <w:tcPr>
            <w:tcW w:w="7476" w:type="dxa"/>
            <w:tcBorders>
              <w:top w:val="nil"/>
              <w:left w:val="nil"/>
              <w:bottom w:val="nil"/>
              <w:right w:val="nil"/>
            </w:tcBorders>
            <w:shd w:val="clear" w:color="auto" w:fill="auto"/>
            <w:noWrap/>
            <w:vAlign w:val="center"/>
            <w:hideMark/>
          </w:tcPr>
          <w:p w14:paraId="6560F667" w14:textId="77777777" w:rsidR="005F65B4" w:rsidRPr="00092B22" w:rsidRDefault="005F65B4" w:rsidP="00E607DA">
            <w:pPr>
              <w:rPr>
                <w:rFonts w:ascii="Meta Pro" w:eastAsia="Times New Roman" w:hAnsi="Meta Pro"/>
                <w:szCs w:val="18"/>
                <w:lang w:eastAsia="en-AU"/>
              </w:rPr>
            </w:pPr>
            <w:r w:rsidRPr="00092B22">
              <w:rPr>
                <w:rFonts w:ascii="Meta Pro" w:eastAsia="Times New Roman" w:hAnsi="Meta Pro"/>
                <w:szCs w:val="18"/>
                <w:lang w:eastAsia="en-AU"/>
              </w:rPr>
              <w:t>Opening balance</w:t>
            </w:r>
          </w:p>
        </w:tc>
        <w:tc>
          <w:tcPr>
            <w:tcW w:w="1216" w:type="dxa"/>
            <w:tcBorders>
              <w:top w:val="nil"/>
              <w:left w:val="nil"/>
              <w:bottom w:val="nil"/>
              <w:right w:val="nil"/>
            </w:tcBorders>
            <w:shd w:val="clear" w:color="000000" w:fill="C9E3B4"/>
            <w:noWrap/>
            <w:vAlign w:val="center"/>
            <w:hideMark/>
          </w:tcPr>
          <w:p w14:paraId="53D9B62B" w14:textId="77777777" w:rsidR="005F65B4" w:rsidRPr="00092B22" w:rsidRDefault="005F65B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87,447 </w:t>
            </w:r>
          </w:p>
        </w:tc>
        <w:tc>
          <w:tcPr>
            <w:tcW w:w="216" w:type="dxa"/>
            <w:tcBorders>
              <w:top w:val="nil"/>
              <w:left w:val="nil"/>
              <w:bottom w:val="nil"/>
              <w:right w:val="nil"/>
            </w:tcBorders>
            <w:shd w:val="clear" w:color="auto" w:fill="auto"/>
            <w:noWrap/>
            <w:vAlign w:val="center"/>
            <w:hideMark/>
          </w:tcPr>
          <w:p w14:paraId="622E66E9" w14:textId="77777777" w:rsidR="005F65B4" w:rsidRPr="00092B22" w:rsidRDefault="005F65B4"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292EE9F0" w14:textId="77777777" w:rsidR="005F65B4" w:rsidRPr="00092B22" w:rsidRDefault="005F65B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133,962 </w:t>
            </w:r>
          </w:p>
        </w:tc>
      </w:tr>
      <w:tr w:rsidR="005F65B4" w:rsidRPr="00092B22" w14:paraId="633546B3" w14:textId="77777777" w:rsidTr="00E607DA">
        <w:trPr>
          <w:trHeight w:val="240"/>
        </w:trPr>
        <w:tc>
          <w:tcPr>
            <w:tcW w:w="7476" w:type="dxa"/>
            <w:tcBorders>
              <w:top w:val="nil"/>
              <w:left w:val="nil"/>
              <w:bottom w:val="nil"/>
              <w:right w:val="nil"/>
            </w:tcBorders>
            <w:shd w:val="clear" w:color="auto" w:fill="auto"/>
            <w:noWrap/>
            <w:vAlign w:val="center"/>
            <w:hideMark/>
          </w:tcPr>
          <w:p w14:paraId="0798D404" w14:textId="77777777" w:rsidR="005F65B4" w:rsidRPr="00092B22" w:rsidRDefault="005F65B4" w:rsidP="00E607DA">
            <w:pPr>
              <w:rPr>
                <w:rFonts w:ascii="Meta Pro" w:eastAsia="Times New Roman" w:hAnsi="Meta Pro"/>
                <w:szCs w:val="18"/>
                <w:lang w:eastAsia="en-AU"/>
              </w:rPr>
            </w:pPr>
            <w:r w:rsidRPr="00092B22">
              <w:rPr>
                <w:rFonts w:ascii="Meta Pro" w:eastAsia="Times New Roman" w:hAnsi="Meta Pro"/>
                <w:szCs w:val="18"/>
                <w:lang w:eastAsia="en-AU"/>
              </w:rPr>
              <w:t>Reclassification (to)/from current provision</w:t>
            </w:r>
          </w:p>
        </w:tc>
        <w:tc>
          <w:tcPr>
            <w:tcW w:w="1216" w:type="dxa"/>
            <w:tcBorders>
              <w:top w:val="nil"/>
              <w:left w:val="nil"/>
              <w:bottom w:val="nil"/>
              <w:right w:val="nil"/>
            </w:tcBorders>
            <w:shd w:val="clear" w:color="000000" w:fill="C9E3B4"/>
            <w:noWrap/>
            <w:vAlign w:val="center"/>
            <w:hideMark/>
          </w:tcPr>
          <w:p w14:paraId="0D0A477E" w14:textId="77777777" w:rsidR="005F65B4" w:rsidRPr="00092B22" w:rsidRDefault="005F65B4" w:rsidP="00E607DA">
            <w:pPr>
              <w:jc w:val="right"/>
              <w:rPr>
                <w:rFonts w:ascii="Meta Pro" w:eastAsia="Times New Roman" w:hAnsi="Meta Pro"/>
                <w:szCs w:val="18"/>
                <w:lang w:eastAsia="en-AU"/>
              </w:rPr>
            </w:pPr>
            <w:r w:rsidRPr="00092B22">
              <w:rPr>
                <w:rFonts w:ascii="Meta Pro" w:eastAsia="Times New Roman" w:hAnsi="Meta Pro"/>
                <w:szCs w:val="18"/>
                <w:lang w:eastAsia="en-AU"/>
              </w:rPr>
              <w:t>(27,908)</w:t>
            </w:r>
          </w:p>
        </w:tc>
        <w:tc>
          <w:tcPr>
            <w:tcW w:w="216" w:type="dxa"/>
            <w:tcBorders>
              <w:top w:val="nil"/>
              <w:left w:val="nil"/>
              <w:bottom w:val="nil"/>
              <w:right w:val="nil"/>
            </w:tcBorders>
            <w:shd w:val="clear" w:color="auto" w:fill="auto"/>
            <w:noWrap/>
            <w:vAlign w:val="center"/>
            <w:hideMark/>
          </w:tcPr>
          <w:p w14:paraId="5E655C6D" w14:textId="77777777" w:rsidR="005F65B4" w:rsidRPr="00092B22" w:rsidRDefault="005F65B4"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7197AF84" w14:textId="77777777" w:rsidR="005F65B4" w:rsidRPr="00092B22" w:rsidRDefault="005F65B4" w:rsidP="00E607DA">
            <w:pPr>
              <w:jc w:val="right"/>
              <w:rPr>
                <w:rFonts w:ascii="Meta Pro" w:eastAsia="Times New Roman" w:hAnsi="Meta Pro"/>
                <w:szCs w:val="18"/>
                <w:lang w:eastAsia="en-AU"/>
              </w:rPr>
            </w:pPr>
            <w:r w:rsidRPr="00092B22">
              <w:rPr>
                <w:rFonts w:ascii="Meta Pro" w:eastAsia="Times New Roman" w:hAnsi="Meta Pro"/>
                <w:szCs w:val="18"/>
                <w:lang w:eastAsia="en-AU"/>
              </w:rPr>
              <w:t>(46,515)</w:t>
            </w:r>
          </w:p>
        </w:tc>
      </w:tr>
      <w:tr w:rsidR="005F65B4" w:rsidRPr="00092B22" w14:paraId="5A170E50" w14:textId="77777777" w:rsidTr="00E607DA">
        <w:trPr>
          <w:trHeight w:val="240"/>
        </w:trPr>
        <w:tc>
          <w:tcPr>
            <w:tcW w:w="7476" w:type="dxa"/>
            <w:tcBorders>
              <w:top w:val="single" w:sz="4" w:space="0" w:color="auto"/>
              <w:left w:val="nil"/>
              <w:bottom w:val="double" w:sz="6" w:space="0" w:color="auto"/>
              <w:right w:val="nil"/>
            </w:tcBorders>
            <w:shd w:val="clear" w:color="auto" w:fill="auto"/>
            <w:noWrap/>
            <w:vAlign w:val="center"/>
            <w:hideMark/>
          </w:tcPr>
          <w:p w14:paraId="0DE622AA" w14:textId="77777777" w:rsidR="005F65B4" w:rsidRPr="00092B22" w:rsidRDefault="005F65B4" w:rsidP="00E607DA">
            <w:pPr>
              <w:rPr>
                <w:rFonts w:ascii="Meta Pro" w:eastAsia="Times New Roman" w:hAnsi="Meta Pro"/>
                <w:szCs w:val="18"/>
                <w:lang w:eastAsia="en-AU"/>
              </w:rPr>
            </w:pPr>
            <w:r w:rsidRPr="00092B22">
              <w:rPr>
                <w:rFonts w:ascii="Meta Pro" w:eastAsia="Times New Roman" w:hAnsi="Meta Pro"/>
                <w:szCs w:val="18"/>
                <w:lang w:eastAsia="en-AU"/>
              </w:rPr>
              <w:t>Closing balance</w:t>
            </w:r>
          </w:p>
        </w:tc>
        <w:tc>
          <w:tcPr>
            <w:tcW w:w="1216" w:type="dxa"/>
            <w:tcBorders>
              <w:top w:val="single" w:sz="4" w:space="0" w:color="auto"/>
              <w:left w:val="nil"/>
              <w:bottom w:val="double" w:sz="6" w:space="0" w:color="auto"/>
              <w:right w:val="nil"/>
            </w:tcBorders>
            <w:shd w:val="clear" w:color="000000" w:fill="C9E3B4"/>
            <w:noWrap/>
            <w:vAlign w:val="center"/>
            <w:hideMark/>
          </w:tcPr>
          <w:p w14:paraId="50CC7ADF" w14:textId="77777777" w:rsidR="005F65B4" w:rsidRPr="00092B22" w:rsidRDefault="005F65B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59,539 </w:t>
            </w:r>
          </w:p>
        </w:tc>
        <w:tc>
          <w:tcPr>
            <w:tcW w:w="216" w:type="dxa"/>
            <w:tcBorders>
              <w:top w:val="single" w:sz="4" w:space="0" w:color="auto"/>
              <w:left w:val="nil"/>
              <w:bottom w:val="double" w:sz="6" w:space="0" w:color="auto"/>
              <w:right w:val="nil"/>
            </w:tcBorders>
            <w:shd w:val="clear" w:color="auto" w:fill="auto"/>
            <w:noWrap/>
            <w:vAlign w:val="center"/>
            <w:hideMark/>
          </w:tcPr>
          <w:p w14:paraId="4F928FCF" w14:textId="77777777" w:rsidR="005F65B4" w:rsidRPr="00092B22" w:rsidRDefault="005F65B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216" w:type="dxa"/>
            <w:tcBorders>
              <w:top w:val="single" w:sz="4" w:space="0" w:color="auto"/>
              <w:left w:val="nil"/>
              <w:bottom w:val="double" w:sz="6" w:space="0" w:color="auto"/>
              <w:right w:val="nil"/>
            </w:tcBorders>
            <w:shd w:val="clear" w:color="auto" w:fill="auto"/>
            <w:noWrap/>
            <w:vAlign w:val="center"/>
            <w:hideMark/>
          </w:tcPr>
          <w:p w14:paraId="44A3C706" w14:textId="77777777" w:rsidR="005F65B4" w:rsidRPr="00092B22" w:rsidRDefault="005F65B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87,447 </w:t>
            </w:r>
          </w:p>
        </w:tc>
      </w:tr>
    </w:tbl>
    <w:p w14:paraId="418D0ACC" w14:textId="77777777" w:rsidR="005F65B4" w:rsidRPr="00092B22" w:rsidRDefault="005F65B4" w:rsidP="005F65B4">
      <w:pPr>
        <w:rPr>
          <w:rFonts w:ascii="Meta Pro" w:eastAsia="Times New Roman" w:hAnsi="Meta Pro"/>
          <w:szCs w:val="18"/>
          <w:lang w:eastAsia="en-AU"/>
        </w:rPr>
      </w:pPr>
    </w:p>
    <w:p w14:paraId="5AE417FD" w14:textId="77777777" w:rsidR="005F65B4" w:rsidRPr="00092B22" w:rsidRDefault="005F65B4" w:rsidP="005F65B4">
      <w:pPr>
        <w:spacing w:after="120"/>
        <w:rPr>
          <w:rFonts w:ascii="Meta Pro" w:eastAsia="Times New Roman" w:hAnsi="Meta Pro"/>
          <w:b/>
          <w:bCs/>
          <w:szCs w:val="18"/>
          <w:lang w:eastAsia="en-AU"/>
        </w:rPr>
      </w:pPr>
      <w:r w:rsidRPr="00092B22">
        <w:rPr>
          <w:rFonts w:ascii="Meta Pro" w:eastAsia="Times New Roman" w:hAnsi="Meta Pro"/>
          <w:b/>
          <w:bCs/>
          <w:szCs w:val="18"/>
          <w:lang w:eastAsia="en-AU"/>
        </w:rPr>
        <w:t xml:space="preserve">Provision for New Generation Rollingstock rectification works </w:t>
      </w:r>
    </w:p>
    <w:p w14:paraId="71585503" w14:textId="0696F867" w:rsidR="005F65B4" w:rsidRPr="00092B22" w:rsidRDefault="005F65B4" w:rsidP="005F65B4">
      <w:pPr>
        <w:rPr>
          <w:rFonts w:ascii="Meta Pro" w:eastAsia="Times New Roman" w:hAnsi="Meta Pro"/>
          <w:szCs w:val="18"/>
          <w:lang w:eastAsia="en-AU"/>
        </w:rPr>
      </w:pPr>
      <w:r w:rsidRPr="00092B22">
        <w:rPr>
          <w:rFonts w:ascii="Meta Pro" w:eastAsia="Times New Roman" w:hAnsi="Meta Pro"/>
          <w:szCs w:val="18"/>
          <w:lang w:eastAsia="en-AU"/>
        </w:rPr>
        <w:t xml:space="preserve">The department undertook a review of the New Generation Rollingstock (NGR) train sets’ compliance with the disability legislation and functional requirements in June 2017 and it was identified that the train sets required rectification works to be undertaken to ensure compliance with the </w:t>
      </w:r>
      <w:r w:rsidRPr="00092B22">
        <w:rPr>
          <w:rFonts w:ascii="Meta Pro" w:eastAsia="Times New Roman" w:hAnsi="Meta Pro"/>
          <w:i/>
          <w:iCs/>
          <w:szCs w:val="18"/>
          <w:lang w:eastAsia="en-AU"/>
        </w:rPr>
        <w:t>Disability Standards for Accessible Public Transport 2002 (Cth)</w:t>
      </w:r>
      <w:r w:rsidRPr="00092B22">
        <w:rPr>
          <w:rFonts w:ascii="Meta Pro" w:eastAsia="Times New Roman" w:hAnsi="Meta Pro"/>
          <w:szCs w:val="18"/>
          <w:lang w:eastAsia="en-AU"/>
        </w:rPr>
        <w:t>. In 2018 the Minister for Transport and Main Roads committed to working with the disability sector to modify the trains. Rectification works are scheduled to be completed by 2024. This gives rise to a constructive obligation as there is an expectation that the department will honour this commitment. The department recognises a provision to account for the remainder of the rectification works it expects to pay for NGR train sets based on the variation deed entered into with the vendor.</w:t>
      </w:r>
    </w:p>
    <w:p w14:paraId="64C25497" w14:textId="77777777" w:rsidR="005F65B4" w:rsidRPr="00092B22" w:rsidRDefault="005F65B4" w:rsidP="005F65B4">
      <w:pPr>
        <w:shd w:val="clear" w:color="auto" w:fill="EBEBEB"/>
        <w:spacing w:after="120"/>
        <w:ind w:left="113" w:hanging="113"/>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Accounting policy</w:t>
      </w:r>
    </w:p>
    <w:p w14:paraId="0E34127B" w14:textId="77777777" w:rsidR="005F65B4" w:rsidRPr="00092B22" w:rsidRDefault="005F65B4" w:rsidP="005F65B4">
      <w:pPr>
        <w:shd w:val="clear" w:color="auto" w:fill="EBEBEB"/>
        <w:rPr>
          <w:rFonts w:ascii="Meta Pro" w:eastAsia="Times New Roman" w:hAnsi="Meta Pro"/>
          <w:szCs w:val="18"/>
          <w:lang w:eastAsia="en-AU"/>
        </w:rPr>
      </w:pPr>
      <w:r w:rsidRPr="00092B22">
        <w:rPr>
          <w:rFonts w:ascii="Meta Pro" w:eastAsia="Times New Roman" w:hAnsi="Meta Pro"/>
          <w:szCs w:val="18"/>
          <w:lang w:eastAsia="en-AU"/>
        </w:rPr>
        <w:t>Provisions are recorded when the department has a present obligation, either legal or constructive as a result of a past event. They are recognised at the amount expected at reporting date for which the obligation will be settled in a future period. Provisions are reviewed at each reporting date to ensure the amounts accurately reflect the best estimate available.</w:t>
      </w:r>
    </w:p>
    <w:tbl>
      <w:tblPr>
        <w:tblW w:w="9638" w:type="dxa"/>
        <w:tblCellMar>
          <w:left w:w="0" w:type="dxa"/>
        </w:tblCellMar>
        <w:tblLook w:val="04A0" w:firstRow="1" w:lastRow="0" w:firstColumn="1" w:lastColumn="0" w:noHBand="0" w:noVBand="1"/>
      </w:tblPr>
      <w:tblGrid>
        <w:gridCol w:w="7085"/>
        <w:gridCol w:w="1161"/>
        <w:gridCol w:w="231"/>
        <w:gridCol w:w="1161"/>
      </w:tblGrid>
      <w:tr w:rsidR="005F65B4" w:rsidRPr="00092B22" w14:paraId="59982B13" w14:textId="77777777" w:rsidTr="00B07A53">
        <w:trPr>
          <w:trHeight w:val="240"/>
        </w:trPr>
        <w:tc>
          <w:tcPr>
            <w:tcW w:w="7101" w:type="dxa"/>
            <w:tcBorders>
              <w:top w:val="nil"/>
              <w:left w:val="nil"/>
              <w:bottom w:val="nil"/>
              <w:right w:val="nil"/>
            </w:tcBorders>
            <w:shd w:val="clear" w:color="auto" w:fill="auto"/>
            <w:noWrap/>
            <w:vAlign w:val="center"/>
            <w:hideMark/>
          </w:tcPr>
          <w:p w14:paraId="6794FAAE" w14:textId="77777777" w:rsidR="005F65B4" w:rsidRPr="00092B22" w:rsidRDefault="005F65B4" w:rsidP="00E607DA">
            <w:pPr>
              <w:rPr>
                <w:rFonts w:ascii="Meta Pro" w:eastAsia="Times New Roman" w:hAnsi="Meta Pro"/>
                <w:b/>
                <w:bCs/>
                <w:lang w:eastAsia="en-AU"/>
              </w:rPr>
            </w:pPr>
            <w:r w:rsidRPr="00092B22">
              <w:rPr>
                <w:rFonts w:ascii="Meta Pro" w:eastAsia="Times New Roman" w:hAnsi="Meta Pro"/>
                <w:b/>
                <w:bCs/>
                <w:lang w:eastAsia="en-AU"/>
              </w:rPr>
              <w:lastRenderedPageBreak/>
              <w:t>20     ACCRUED EMPLOYEE BENEFITS</w:t>
            </w:r>
          </w:p>
        </w:tc>
        <w:tc>
          <w:tcPr>
            <w:tcW w:w="1157" w:type="dxa"/>
            <w:tcBorders>
              <w:top w:val="nil"/>
              <w:left w:val="nil"/>
              <w:bottom w:val="nil"/>
              <w:right w:val="nil"/>
            </w:tcBorders>
            <w:shd w:val="clear" w:color="auto" w:fill="auto"/>
            <w:noWrap/>
            <w:vAlign w:val="center"/>
            <w:hideMark/>
          </w:tcPr>
          <w:p w14:paraId="5961D54D" w14:textId="77777777" w:rsidR="005F65B4" w:rsidRPr="00092B22" w:rsidRDefault="005F65B4" w:rsidP="00E607DA">
            <w:pPr>
              <w:rPr>
                <w:rFonts w:ascii="Meta Pro" w:eastAsia="Times New Roman" w:hAnsi="Meta Pro"/>
                <w:b/>
                <w:bCs/>
                <w:lang w:eastAsia="en-AU"/>
              </w:rPr>
            </w:pPr>
          </w:p>
        </w:tc>
        <w:tc>
          <w:tcPr>
            <w:tcW w:w="223" w:type="dxa"/>
            <w:tcBorders>
              <w:top w:val="nil"/>
              <w:left w:val="nil"/>
              <w:bottom w:val="nil"/>
              <w:right w:val="nil"/>
            </w:tcBorders>
            <w:shd w:val="clear" w:color="auto" w:fill="auto"/>
            <w:noWrap/>
            <w:vAlign w:val="center"/>
            <w:hideMark/>
          </w:tcPr>
          <w:p w14:paraId="1940E0FD" w14:textId="77777777" w:rsidR="005F65B4" w:rsidRPr="00092B22" w:rsidRDefault="005F65B4" w:rsidP="00E607DA">
            <w:pPr>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6904009B" w14:textId="77777777" w:rsidR="005F65B4" w:rsidRPr="00092B22" w:rsidRDefault="005F65B4" w:rsidP="00E607DA">
            <w:pPr>
              <w:rPr>
                <w:rFonts w:ascii="Meta Pro" w:eastAsia="Times New Roman" w:hAnsi="Meta Pro" w:cs="Times New Roman"/>
                <w:sz w:val="20"/>
                <w:szCs w:val="20"/>
                <w:lang w:eastAsia="en-AU"/>
              </w:rPr>
            </w:pPr>
          </w:p>
        </w:tc>
      </w:tr>
      <w:tr w:rsidR="005F65B4" w:rsidRPr="00092B22" w14:paraId="60027D8E" w14:textId="77777777" w:rsidTr="00B07A53">
        <w:trPr>
          <w:trHeight w:val="90"/>
        </w:trPr>
        <w:tc>
          <w:tcPr>
            <w:tcW w:w="7101" w:type="dxa"/>
            <w:tcBorders>
              <w:top w:val="nil"/>
              <w:left w:val="nil"/>
              <w:bottom w:val="nil"/>
              <w:right w:val="nil"/>
            </w:tcBorders>
            <w:shd w:val="clear" w:color="auto" w:fill="auto"/>
            <w:noWrap/>
            <w:vAlign w:val="center"/>
            <w:hideMark/>
          </w:tcPr>
          <w:p w14:paraId="3DB95FE7" w14:textId="77777777" w:rsidR="005F65B4" w:rsidRPr="00092B22" w:rsidRDefault="005F65B4" w:rsidP="00E607DA">
            <w:pPr>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0BA0FF42" w14:textId="77777777" w:rsidR="005F65B4" w:rsidRPr="00092B22" w:rsidRDefault="005F65B4" w:rsidP="00E607DA">
            <w:pPr>
              <w:rPr>
                <w:rFonts w:ascii="Meta Pro" w:eastAsia="Times New Roman" w:hAnsi="Meta Pro" w:cs="Times New Roman"/>
                <w:sz w:val="20"/>
                <w:szCs w:val="20"/>
                <w:lang w:eastAsia="en-AU"/>
              </w:rPr>
            </w:pPr>
          </w:p>
        </w:tc>
        <w:tc>
          <w:tcPr>
            <w:tcW w:w="223" w:type="dxa"/>
            <w:tcBorders>
              <w:top w:val="nil"/>
              <w:left w:val="nil"/>
              <w:bottom w:val="nil"/>
              <w:right w:val="nil"/>
            </w:tcBorders>
            <w:shd w:val="clear" w:color="auto" w:fill="auto"/>
            <w:noWrap/>
            <w:vAlign w:val="center"/>
            <w:hideMark/>
          </w:tcPr>
          <w:p w14:paraId="3A6D2E64" w14:textId="77777777" w:rsidR="005F65B4" w:rsidRPr="00092B22" w:rsidRDefault="005F65B4" w:rsidP="00E607DA">
            <w:pPr>
              <w:jc w:val="right"/>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09997AA3" w14:textId="77777777" w:rsidR="005F65B4" w:rsidRPr="00092B22" w:rsidRDefault="005F65B4" w:rsidP="00E607DA">
            <w:pPr>
              <w:jc w:val="right"/>
              <w:rPr>
                <w:rFonts w:ascii="Meta Pro" w:eastAsia="Times New Roman" w:hAnsi="Meta Pro" w:cs="Times New Roman"/>
                <w:sz w:val="20"/>
                <w:szCs w:val="20"/>
                <w:lang w:eastAsia="en-AU"/>
              </w:rPr>
            </w:pPr>
          </w:p>
        </w:tc>
      </w:tr>
      <w:tr w:rsidR="005F65B4" w:rsidRPr="00092B22" w14:paraId="7314044D" w14:textId="77777777" w:rsidTr="00B07A53">
        <w:trPr>
          <w:trHeight w:val="240"/>
        </w:trPr>
        <w:tc>
          <w:tcPr>
            <w:tcW w:w="7101" w:type="dxa"/>
            <w:tcBorders>
              <w:top w:val="nil"/>
              <w:left w:val="nil"/>
              <w:bottom w:val="nil"/>
              <w:right w:val="nil"/>
            </w:tcBorders>
            <w:shd w:val="clear" w:color="auto" w:fill="auto"/>
            <w:noWrap/>
            <w:vAlign w:val="center"/>
            <w:hideMark/>
          </w:tcPr>
          <w:p w14:paraId="5A978F38" w14:textId="77777777" w:rsidR="005F65B4" w:rsidRPr="00092B22" w:rsidRDefault="005F65B4" w:rsidP="00E607DA">
            <w:pPr>
              <w:rPr>
                <w:rFonts w:ascii="Meta Pro" w:eastAsia="Times New Roman" w:hAnsi="Meta Pro"/>
                <w:b/>
                <w:bCs/>
                <w:szCs w:val="18"/>
                <w:lang w:eastAsia="en-AU"/>
              </w:rPr>
            </w:pPr>
            <w:r w:rsidRPr="00092B22">
              <w:rPr>
                <w:rFonts w:ascii="Meta Pro" w:eastAsia="Times New Roman" w:hAnsi="Meta Pro"/>
                <w:b/>
                <w:bCs/>
                <w:szCs w:val="18"/>
                <w:lang w:eastAsia="en-AU"/>
              </w:rPr>
              <w:t>Current</w:t>
            </w:r>
          </w:p>
        </w:tc>
        <w:tc>
          <w:tcPr>
            <w:tcW w:w="1157" w:type="dxa"/>
            <w:tcBorders>
              <w:top w:val="nil"/>
              <w:left w:val="nil"/>
              <w:bottom w:val="nil"/>
              <w:right w:val="nil"/>
            </w:tcBorders>
            <w:shd w:val="clear" w:color="auto" w:fill="auto"/>
            <w:noWrap/>
            <w:vAlign w:val="center"/>
            <w:hideMark/>
          </w:tcPr>
          <w:p w14:paraId="035E40FF" w14:textId="77777777" w:rsidR="005F65B4" w:rsidRPr="00092B22" w:rsidRDefault="005F65B4" w:rsidP="00E607DA">
            <w:pPr>
              <w:rPr>
                <w:rFonts w:ascii="Meta Pro" w:eastAsia="Times New Roman" w:hAnsi="Meta Pro"/>
                <w:b/>
                <w:bCs/>
                <w:szCs w:val="18"/>
                <w:lang w:eastAsia="en-AU"/>
              </w:rPr>
            </w:pPr>
          </w:p>
        </w:tc>
        <w:tc>
          <w:tcPr>
            <w:tcW w:w="223" w:type="dxa"/>
            <w:tcBorders>
              <w:top w:val="nil"/>
              <w:left w:val="nil"/>
              <w:bottom w:val="nil"/>
              <w:right w:val="nil"/>
            </w:tcBorders>
            <w:shd w:val="clear" w:color="auto" w:fill="auto"/>
            <w:noWrap/>
            <w:vAlign w:val="center"/>
            <w:hideMark/>
          </w:tcPr>
          <w:p w14:paraId="51F02E75" w14:textId="77777777" w:rsidR="005F65B4" w:rsidRPr="00092B22" w:rsidRDefault="005F65B4" w:rsidP="00E607DA">
            <w:pPr>
              <w:jc w:val="right"/>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063324B6" w14:textId="77777777" w:rsidR="005F65B4" w:rsidRPr="00092B22" w:rsidRDefault="005F65B4" w:rsidP="00E607DA">
            <w:pPr>
              <w:jc w:val="right"/>
              <w:rPr>
                <w:rFonts w:ascii="Meta Pro" w:eastAsia="Times New Roman" w:hAnsi="Meta Pro" w:cs="Times New Roman"/>
                <w:sz w:val="20"/>
                <w:szCs w:val="20"/>
                <w:lang w:eastAsia="en-AU"/>
              </w:rPr>
            </w:pPr>
          </w:p>
        </w:tc>
      </w:tr>
      <w:tr w:rsidR="005F65B4" w:rsidRPr="00092B22" w14:paraId="6B4862CE" w14:textId="77777777" w:rsidTr="00B07A53">
        <w:trPr>
          <w:trHeight w:val="240"/>
        </w:trPr>
        <w:tc>
          <w:tcPr>
            <w:tcW w:w="7101" w:type="dxa"/>
            <w:tcBorders>
              <w:top w:val="nil"/>
              <w:left w:val="nil"/>
              <w:bottom w:val="nil"/>
              <w:right w:val="nil"/>
            </w:tcBorders>
            <w:shd w:val="clear" w:color="auto" w:fill="auto"/>
            <w:noWrap/>
            <w:vAlign w:val="center"/>
            <w:hideMark/>
          </w:tcPr>
          <w:p w14:paraId="61F5E1ED" w14:textId="77777777" w:rsidR="005F65B4" w:rsidRPr="00092B22" w:rsidRDefault="005F65B4" w:rsidP="00E607DA">
            <w:pPr>
              <w:rPr>
                <w:rFonts w:ascii="Meta Pro" w:eastAsia="Times New Roman" w:hAnsi="Meta Pro"/>
                <w:szCs w:val="18"/>
                <w:lang w:eastAsia="en-AU"/>
              </w:rPr>
            </w:pPr>
            <w:r w:rsidRPr="00092B22">
              <w:rPr>
                <w:rFonts w:ascii="Meta Pro" w:eastAsia="Times New Roman" w:hAnsi="Meta Pro"/>
                <w:szCs w:val="18"/>
                <w:lang w:eastAsia="en-AU"/>
              </w:rPr>
              <w:t>Annual leave levy payable</w:t>
            </w:r>
          </w:p>
        </w:tc>
        <w:tc>
          <w:tcPr>
            <w:tcW w:w="1157" w:type="dxa"/>
            <w:tcBorders>
              <w:top w:val="nil"/>
              <w:left w:val="nil"/>
              <w:bottom w:val="nil"/>
              <w:right w:val="nil"/>
            </w:tcBorders>
            <w:shd w:val="clear" w:color="000000" w:fill="C9E3B4"/>
            <w:noWrap/>
            <w:vAlign w:val="center"/>
            <w:hideMark/>
          </w:tcPr>
          <w:p w14:paraId="30E926ED" w14:textId="77777777" w:rsidR="005F65B4" w:rsidRPr="00092B22" w:rsidRDefault="005F65B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18,078 </w:t>
            </w:r>
          </w:p>
        </w:tc>
        <w:tc>
          <w:tcPr>
            <w:tcW w:w="223" w:type="dxa"/>
            <w:tcBorders>
              <w:top w:val="nil"/>
              <w:left w:val="nil"/>
              <w:bottom w:val="nil"/>
              <w:right w:val="nil"/>
            </w:tcBorders>
            <w:shd w:val="clear" w:color="auto" w:fill="auto"/>
            <w:noWrap/>
            <w:vAlign w:val="center"/>
            <w:hideMark/>
          </w:tcPr>
          <w:p w14:paraId="7B87262A" w14:textId="77777777" w:rsidR="005F65B4" w:rsidRPr="00092B22" w:rsidRDefault="005F65B4" w:rsidP="00E607DA">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0AD011D2" w14:textId="77777777" w:rsidR="005F65B4" w:rsidRPr="00092B22" w:rsidRDefault="005F65B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19,056 </w:t>
            </w:r>
          </w:p>
        </w:tc>
      </w:tr>
      <w:tr w:rsidR="005F65B4" w:rsidRPr="00092B22" w14:paraId="4F4517EC" w14:textId="77777777" w:rsidTr="00B07A53">
        <w:trPr>
          <w:trHeight w:val="240"/>
        </w:trPr>
        <w:tc>
          <w:tcPr>
            <w:tcW w:w="7101" w:type="dxa"/>
            <w:tcBorders>
              <w:top w:val="nil"/>
              <w:left w:val="nil"/>
              <w:bottom w:val="nil"/>
              <w:right w:val="nil"/>
            </w:tcBorders>
            <w:shd w:val="clear" w:color="auto" w:fill="auto"/>
            <w:noWrap/>
            <w:vAlign w:val="center"/>
            <w:hideMark/>
          </w:tcPr>
          <w:p w14:paraId="5303578B" w14:textId="77777777" w:rsidR="005F65B4" w:rsidRPr="00092B22" w:rsidRDefault="005F65B4" w:rsidP="00E607DA">
            <w:pPr>
              <w:rPr>
                <w:rFonts w:ascii="Meta Pro" w:eastAsia="Times New Roman" w:hAnsi="Meta Pro"/>
                <w:szCs w:val="18"/>
                <w:lang w:eastAsia="en-AU"/>
              </w:rPr>
            </w:pPr>
            <w:r w:rsidRPr="00092B22">
              <w:rPr>
                <w:rFonts w:ascii="Meta Pro" w:eastAsia="Times New Roman" w:hAnsi="Meta Pro"/>
                <w:szCs w:val="18"/>
                <w:lang w:eastAsia="en-AU"/>
              </w:rPr>
              <w:t>Long service leave levy payable</w:t>
            </w:r>
          </w:p>
        </w:tc>
        <w:tc>
          <w:tcPr>
            <w:tcW w:w="1157" w:type="dxa"/>
            <w:tcBorders>
              <w:top w:val="nil"/>
              <w:left w:val="nil"/>
              <w:bottom w:val="nil"/>
              <w:right w:val="nil"/>
            </w:tcBorders>
            <w:shd w:val="clear" w:color="000000" w:fill="C9E3B4"/>
            <w:noWrap/>
            <w:vAlign w:val="center"/>
            <w:hideMark/>
          </w:tcPr>
          <w:p w14:paraId="4242601D" w14:textId="77777777" w:rsidR="005F65B4" w:rsidRPr="00092B22" w:rsidRDefault="005F65B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5,078 </w:t>
            </w:r>
          </w:p>
        </w:tc>
        <w:tc>
          <w:tcPr>
            <w:tcW w:w="223" w:type="dxa"/>
            <w:tcBorders>
              <w:top w:val="nil"/>
              <w:left w:val="nil"/>
              <w:bottom w:val="nil"/>
              <w:right w:val="nil"/>
            </w:tcBorders>
            <w:shd w:val="clear" w:color="auto" w:fill="auto"/>
            <w:noWrap/>
            <w:vAlign w:val="center"/>
            <w:hideMark/>
          </w:tcPr>
          <w:p w14:paraId="076E129A" w14:textId="77777777" w:rsidR="005F65B4" w:rsidRPr="00092B22" w:rsidRDefault="005F65B4" w:rsidP="00E607DA">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24CC5E29" w14:textId="77777777" w:rsidR="005F65B4" w:rsidRPr="00092B22" w:rsidRDefault="005F65B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4,457 </w:t>
            </w:r>
          </w:p>
        </w:tc>
      </w:tr>
      <w:tr w:rsidR="005F65B4" w:rsidRPr="00092B22" w14:paraId="5ED2560C" w14:textId="77777777" w:rsidTr="00B07A53">
        <w:trPr>
          <w:trHeight w:val="240"/>
        </w:trPr>
        <w:tc>
          <w:tcPr>
            <w:tcW w:w="7101" w:type="dxa"/>
            <w:tcBorders>
              <w:top w:val="nil"/>
              <w:left w:val="nil"/>
              <w:bottom w:val="nil"/>
              <w:right w:val="nil"/>
            </w:tcBorders>
            <w:shd w:val="clear" w:color="auto" w:fill="auto"/>
            <w:noWrap/>
            <w:vAlign w:val="center"/>
            <w:hideMark/>
          </w:tcPr>
          <w:p w14:paraId="28B38816" w14:textId="77777777" w:rsidR="005F65B4" w:rsidRPr="00092B22" w:rsidRDefault="005F65B4" w:rsidP="00E607DA">
            <w:pPr>
              <w:rPr>
                <w:rFonts w:ascii="Meta Pro" w:eastAsia="Times New Roman" w:hAnsi="Meta Pro"/>
                <w:szCs w:val="18"/>
                <w:lang w:eastAsia="en-AU"/>
              </w:rPr>
            </w:pPr>
            <w:r w:rsidRPr="00092B22">
              <w:rPr>
                <w:rFonts w:ascii="Meta Pro" w:eastAsia="Times New Roman" w:hAnsi="Meta Pro"/>
                <w:szCs w:val="18"/>
                <w:lang w:eastAsia="en-AU"/>
              </w:rPr>
              <w:t>Salaries and wages outstanding</w:t>
            </w:r>
          </w:p>
        </w:tc>
        <w:tc>
          <w:tcPr>
            <w:tcW w:w="1157" w:type="dxa"/>
            <w:tcBorders>
              <w:top w:val="nil"/>
              <w:left w:val="nil"/>
              <w:bottom w:val="nil"/>
              <w:right w:val="nil"/>
            </w:tcBorders>
            <w:shd w:val="clear" w:color="000000" w:fill="C9E3B4"/>
            <w:noWrap/>
            <w:vAlign w:val="center"/>
            <w:hideMark/>
          </w:tcPr>
          <w:p w14:paraId="0A78752F" w14:textId="77777777" w:rsidR="005F65B4" w:rsidRPr="00092B22" w:rsidRDefault="005F65B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6,087 </w:t>
            </w:r>
          </w:p>
        </w:tc>
        <w:tc>
          <w:tcPr>
            <w:tcW w:w="223" w:type="dxa"/>
            <w:tcBorders>
              <w:top w:val="nil"/>
              <w:left w:val="nil"/>
              <w:bottom w:val="nil"/>
              <w:right w:val="nil"/>
            </w:tcBorders>
            <w:shd w:val="clear" w:color="auto" w:fill="auto"/>
            <w:noWrap/>
            <w:vAlign w:val="center"/>
            <w:hideMark/>
          </w:tcPr>
          <w:p w14:paraId="4A344099" w14:textId="77777777" w:rsidR="005F65B4" w:rsidRPr="00092B22" w:rsidRDefault="005F65B4" w:rsidP="00E607DA">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519F1415" w14:textId="77777777" w:rsidR="005F65B4" w:rsidRPr="00092B22" w:rsidRDefault="005F65B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5,340 </w:t>
            </w:r>
          </w:p>
        </w:tc>
      </w:tr>
      <w:tr w:rsidR="005F65B4" w:rsidRPr="00092B22" w14:paraId="06315BE6" w14:textId="77777777" w:rsidTr="00B07A53">
        <w:trPr>
          <w:trHeight w:val="240"/>
        </w:trPr>
        <w:tc>
          <w:tcPr>
            <w:tcW w:w="7101" w:type="dxa"/>
            <w:tcBorders>
              <w:top w:val="nil"/>
              <w:left w:val="nil"/>
              <w:bottom w:val="nil"/>
              <w:right w:val="nil"/>
            </w:tcBorders>
            <w:shd w:val="clear" w:color="auto" w:fill="auto"/>
            <w:noWrap/>
            <w:vAlign w:val="center"/>
            <w:hideMark/>
          </w:tcPr>
          <w:p w14:paraId="463C0431" w14:textId="77777777" w:rsidR="005F65B4" w:rsidRPr="00092B22" w:rsidRDefault="005F65B4" w:rsidP="00E607DA">
            <w:pPr>
              <w:rPr>
                <w:rFonts w:ascii="Meta Pro" w:eastAsia="Times New Roman" w:hAnsi="Meta Pro"/>
                <w:szCs w:val="18"/>
                <w:lang w:eastAsia="en-AU"/>
              </w:rPr>
            </w:pPr>
            <w:r w:rsidRPr="00092B22">
              <w:rPr>
                <w:rFonts w:ascii="Meta Pro" w:eastAsia="Times New Roman" w:hAnsi="Meta Pro"/>
                <w:szCs w:val="18"/>
                <w:lang w:eastAsia="en-AU"/>
              </w:rPr>
              <w:t>Other</w:t>
            </w:r>
          </w:p>
        </w:tc>
        <w:tc>
          <w:tcPr>
            <w:tcW w:w="1157" w:type="dxa"/>
            <w:tcBorders>
              <w:top w:val="nil"/>
              <w:left w:val="nil"/>
              <w:bottom w:val="nil"/>
              <w:right w:val="nil"/>
            </w:tcBorders>
            <w:shd w:val="clear" w:color="000000" w:fill="C9E3B4"/>
            <w:noWrap/>
            <w:vAlign w:val="center"/>
            <w:hideMark/>
          </w:tcPr>
          <w:p w14:paraId="0779B2FB" w14:textId="77777777" w:rsidR="005F65B4" w:rsidRPr="00092B22" w:rsidRDefault="005F65B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2,616 </w:t>
            </w:r>
          </w:p>
        </w:tc>
        <w:tc>
          <w:tcPr>
            <w:tcW w:w="223" w:type="dxa"/>
            <w:tcBorders>
              <w:top w:val="nil"/>
              <w:left w:val="nil"/>
              <w:bottom w:val="nil"/>
              <w:right w:val="nil"/>
            </w:tcBorders>
            <w:shd w:val="clear" w:color="auto" w:fill="auto"/>
            <w:noWrap/>
            <w:vAlign w:val="center"/>
            <w:hideMark/>
          </w:tcPr>
          <w:p w14:paraId="62D3FF3A" w14:textId="77777777" w:rsidR="005F65B4" w:rsidRPr="00092B22" w:rsidRDefault="005F65B4" w:rsidP="00E607DA">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79F34F2D" w14:textId="77777777" w:rsidR="005F65B4" w:rsidRPr="00092B22" w:rsidRDefault="005F65B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2,378 </w:t>
            </w:r>
          </w:p>
        </w:tc>
      </w:tr>
      <w:tr w:rsidR="005F65B4" w:rsidRPr="00092B22" w14:paraId="352BC751" w14:textId="77777777" w:rsidTr="00B07A53">
        <w:trPr>
          <w:trHeight w:val="240"/>
        </w:trPr>
        <w:tc>
          <w:tcPr>
            <w:tcW w:w="7101" w:type="dxa"/>
            <w:tcBorders>
              <w:top w:val="single" w:sz="4" w:space="0" w:color="auto"/>
              <w:left w:val="nil"/>
              <w:bottom w:val="double" w:sz="6" w:space="0" w:color="auto"/>
              <w:right w:val="nil"/>
            </w:tcBorders>
            <w:shd w:val="clear" w:color="auto" w:fill="auto"/>
            <w:noWrap/>
            <w:vAlign w:val="center"/>
            <w:hideMark/>
          </w:tcPr>
          <w:p w14:paraId="2E9F456C" w14:textId="77777777" w:rsidR="005F65B4" w:rsidRPr="00092B22" w:rsidRDefault="005F65B4" w:rsidP="00E607DA">
            <w:pPr>
              <w:rPr>
                <w:rFonts w:ascii="Meta Pro" w:eastAsia="Times New Roman" w:hAnsi="Meta Pro"/>
                <w:b/>
                <w:bCs/>
                <w:szCs w:val="18"/>
                <w:lang w:eastAsia="en-AU"/>
              </w:rPr>
            </w:pPr>
            <w:r w:rsidRPr="00092B22">
              <w:rPr>
                <w:rFonts w:ascii="Meta Pro" w:eastAsia="Times New Roman" w:hAnsi="Meta Pro"/>
                <w:b/>
                <w:bCs/>
                <w:szCs w:val="18"/>
                <w:lang w:eastAsia="en-AU"/>
              </w:rPr>
              <w:t>Total</w:t>
            </w:r>
          </w:p>
        </w:tc>
        <w:tc>
          <w:tcPr>
            <w:tcW w:w="1157" w:type="dxa"/>
            <w:tcBorders>
              <w:top w:val="single" w:sz="4" w:space="0" w:color="auto"/>
              <w:left w:val="nil"/>
              <w:bottom w:val="double" w:sz="6" w:space="0" w:color="auto"/>
              <w:right w:val="nil"/>
            </w:tcBorders>
            <w:shd w:val="clear" w:color="000000" w:fill="C9E3B4"/>
            <w:noWrap/>
            <w:vAlign w:val="center"/>
            <w:hideMark/>
          </w:tcPr>
          <w:p w14:paraId="2F3702EC" w14:textId="77777777" w:rsidR="005F65B4" w:rsidRPr="00092B22" w:rsidRDefault="005F65B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31,859 </w:t>
            </w:r>
          </w:p>
        </w:tc>
        <w:tc>
          <w:tcPr>
            <w:tcW w:w="223" w:type="dxa"/>
            <w:tcBorders>
              <w:top w:val="single" w:sz="4" w:space="0" w:color="auto"/>
              <w:left w:val="nil"/>
              <w:bottom w:val="double" w:sz="6" w:space="0" w:color="auto"/>
              <w:right w:val="nil"/>
            </w:tcBorders>
            <w:shd w:val="clear" w:color="auto" w:fill="auto"/>
            <w:noWrap/>
            <w:vAlign w:val="center"/>
            <w:hideMark/>
          </w:tcPr>
          <w:p w14:paraId="6C77E489" w14:textId="77777777" w:rsidR="005F65B4" w:rsidRPr="00092B22" w:rsidRDefault="005F65B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157" w:type="dxa"/>
            <w:tcBorders>
              <w:top w:val="single" w:sz="4" w:space="0" w:color="auto"/>
              <w:left w:val="nil"/>
              <w:bottom w:val="double" w:sz="6" w:space="0" w:color="auto"/>
              <w:right w:val="nil"/>
            </w:tcBorders>
            <w:shd w:val="clear" w:color="auto" w:fill="auto"/>
            <w:noWrap/>
            <w:vAlign w:val="center"/>
            <w:hideMark/>
          </w:tcPr>
          <w:p w14:paraId="4E873C94" w14:textId="77777777" w:rsidR="005F65B4" w:rsidRPr="00092B22" w:rsidRDefault="005F65B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31,231 </w:t>
            </w:r>
          </w:p>
        </w:tc>
      </w:tr>
    </w:tbl>
    <w:p w14:paraId="6B8A4830" w14:textId="77777777" w:rsidR="005F65B4" w:rsidRPr="00092B22" w:rsidRDefault="005F65B4" w:rsidP="005F65B4">
      <w:pPr>
        <w:rPr>
          <w:rFonts w:ascii="Meta Pro" w:eastAsia="Times New Roman" w:hAnsi="Meta Pro"/>
          <w:szCs w:val="18"/>
          <w:lang w:eastAsia="en-AU"/>
        </w:rPr>
      </w:pPr>
    </w:p>
    <w:p w14:paraId="33004A81" w14:textId="77777777" w:rsidR="005F65B4" w:rsidRPr="00092B22" w:rsidRDefault="005F65B4" w:rsidP="005F65B4">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b/>
          <w:bCs/>
          <w:color w:val="000000"/>
          <w:szCs w:val="18"/>
          <w:lang w:eastAsia="en-AU"/>
        </w:rPr>
        <w:t xml:space="preserve">Accounting policy </w:t>
      </w:r>
    </w:p>
    <w:p w14:paraId="2D371473" w14:textId="77777777" w:rsidR="005F65B4" w:rsidRPr="00092B22" w:rsidRDefault="005F65B4" w:rsidP="005F65B4">
      <w:pPr>
        <w:shd w:val="clear" w:color="auto" w:fill="EBEBEB"/>
        <w:spacing w:after="120"/>
        <w:ind w:left="113" w:hanging="113"/>
        <w:rPr>
          <w:rFonts w:ascii="Meta Pro" w:eastAsia="Times New Roman" w:hAnsi="Meta Pro"/>
          <w:b/>
          <w:bCs/>
          <w:i/>
          <w:iCs/>
          <w:color w:val="000000"/>
          <w:szCs w:val="18"/>
          <w:lang w:eastAsia="en-AU"/>
        </w:rPr>
      </w:pPr>
      <w:r w:rsidRPr="00092B22">
        <w:rPr>
          <w:rFonts w:ascii="Meta Pro" w:eastAsia="Times New Roman" w:hAnsi="Meta Pro"/>
          <w:b/>
          <w:bCs/>
          <w:i/>
          <w:iCs/>
          <w:color w:val="000000"/>
          <w:szCs w:val="18"/>
          <w:lang w:eastAsia="en-AU"/>
        </w:rPr>
        <w:t>Annual leave and long service leave</w:t>
      </w:r>
    </w:p>
    <w:p w14:paraId="35185499" w14:textId="77777777" w:rsidR="005F65B4" w:rsidRPr="00092B22" w:rsidRDefault="005F65B4" w:rsidP="005F65B4">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color w:val="000000"/>
          <w:szCs w:val="18"/>
          <w:lang w:eastAsia="en-AU"/>
        </w:rPr>
        <w:t>Under the Queensland Government’s Annual Leave Central Scheme and Long Service Leave Central Scheme, a levy is made on the department to cover the cost of employees' annual leave and long service leave entitlements. The levies are expensed in the period in which they are payable. Amounts paid to employees for annual leave and long service leave are claimed from the schemes quarterly in arrears. These schemes are administered by QSuper on behalf of the Queensland Government.</w:t>
      </w:r>
    </w:p>
    <w:p w14:paraId="01723CBD" w14:textId="77777777" w:rsidR="005F65B4" w:rsidRPr="00092B22" w:rsidRDefault="005F65B4" w:rsidP="005F65B4">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No provision for annual leave or long service leave is recognised in these financial statements. The liabilities are held on a whole-of-government basis and are reported by Queensland Treasury. </w:t>
      </w:r>
    </w:p>
    <w:p w14:paraId="0C88F081" w14:textId="77777777" w:rsidR="00DA5BCA" w:rsidRPr="00092B22" w:rsidRDefault="00DA5BCA" w:rsidP="00DA5BCA">
      <w:pPr>
        <w:spacing w:after="120"/>
        <w:ind w:left="113" w:hanging="113"/>
        <w:rPr>
          <w:rFonts w:ascii="Meta Pro" w:eastAsia="Times New Roman" w:hAnsi="Meta Pro"/>
          <w:b/>
          <w:bCs/>
          <w:i/>
          <w:iCs/>
          <w:color w:val="000000"/>
          <w:szCs w:val="18"/>
          <w:lang w:eastAsia="en-AU"/>
        </w:rPr>
      </w:pPr>
      <w:r w:rsidRPr="00092B22">
        <w:rPr>
          <w:rFonts w:ascii="Meta Pro" w:eastAsia="Times New Roman" w:hAnsi="Meta Pro"/>
          <w:b/>
          <w:bCs/>
          <w:lang w:eastAsia="en-AU"/>
        </w:rPr>
        <w:t>20     ACCRUED EMPLOYEE BENEFITS (continued)</w:t>
      </w:r>
    </w:p>
    <w:p w14:paraId="7C7F38DC" w14:textId="77777777" w:rsidR="00DA5BCA" w:rsidRPr="00092B22" w:rsidRDefault="00DA5BCA" w:rsidP="00DA5BCA">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b/>
          <w:bCs/>
          <w:color w:val="000000"/>
          <w:szCs w:val="18"/>
          <w:lang w:eastAsia="en-AU"/>
        </w:rPr>
        <w:t>Accounting policy (continued)</w:t>
      </w:r>
    </w:p>
    <w:p w14:paraId="37B5525F" w14:textId="77777777" w:rsidR="00DA5BCA" w:rsidRPr="00092B22" w:rsidRDefault="00DA5BCA" w:rsidP="00DA5BCA">
      <w:pPr>
        <w:shd w:val="clear" w:color="auto" w:fill="EBEBEB"/>
        <w:spacing w:after="120"/>
        <w:ind w:left="113" w:hanging="113"/>
        <w:rPr>
          <w:rFonts w:ascii="Meta Pro" w:eastAsia="Times New Roman" w:hAnsi="Meta Pro"/>
          <w:b/>
          <w:bCs/>
          <w:i/>
          <w:iCs/>
          <w:color w:val="000000"/>
          <w:szCs w:val="18"/>
          <w:lang w:eastAsia="en-AU"/>
        </w:rPr>
      </w:pPr>
      <w:r w:rsidRPr="00092B22">
        <w:rPr>
          <w:rFonts w:ascii="Meta Pro" w:eastAsia="Times New Roman" w:hAnsi="Meta Pro"/>
          <w:b/>
          <w:bCs/>
          <w:i/>
          <w:iCs/>
          <w:color w:val="000000"/>
          <w:szCs w:val="18"/>
          <w:lang w:eastAsia="en-AU"/>
        </w:rPr>
        <w:t>Sick leave</w:t>
      </w:r>
    </w:p>
    <w:p w14:paraId="4225E97E" w14:textId="77777777" w:rsidR="00DA5BCA" w:rsidRPr="00092B22" w:rsidRDefault="00DA5BCA" w:rsidP="00DA5BCA">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color w:val="000000"/>
          <w:szCs w:val="18"/>
          <w:lang w:eastAsia="en-AU"/>
        </w:rPr>
        <w:t>Prior history indicates that on average, sick leave taken each reporting period is less than the entitlement accrued. This is expected to continue in future periods. Accordingly, it is unlikely that existing accumulated entitlements will be used by employees and no liability for unused sick leave entitlements is recognised.</w:t>
      </w:r>
    </w:p>
    <w:p w14:paraId="437B5E97" w14:textId="77777777" w:rsidR="00DA5BCA" w:rsidRPr="00092B22" w:rsidRDefault="00DA5BCA" w:rsidP="00DA5BCA">
      <w:pPr>
        <w:shd w:val="clear" w:color="auto" w:fill="EBEBEB"/>
        <w:spacing w:after="120"/>
        <w:ind w:left="113" w:hanging="113"/>
        <w:rPr>
          <w:rFonts w:ascii="Meta Pro" w:eastAsia="Times New Roman" w:hAnsi="Meta Pro"/>
          <w:color w:val="000000"/>
          <w:szCs w:val="18"/>
          <w:lang w:eastAsia="en-AU"/>
        </w:rPr>
      </w:pPr>
      <w:r w:rsidRPr="00092B22">
        <w:rPr>
          <w:rFonts w:ascii="Meta Pro" w:eastAsia="Times New Roman" w:hAnsi="Meta Pro"/>
          <w:color w:val="000000"/>
          <w:szCs w:val="18"/>
          <w:lang w:eastAsia="en-AU"/>
        </w:rPr>
        <w:t>As sick leave is non-vesting, an expense is recognised for this leave as it is taken.</w:t>
      </w:r>
    </w:p>
    <w:p w14:paraId="6EE89C32" w14:textId="77777777" w:rsidR="00DA5BCA" w:rsidRPr="00092B22" w:rsidRDefault="00DA5BCA" w:rsidP="00DA5BCA">
      <w:pPr>
        <w:shd w:val="clear" w:color="auto" w:fill="EBEBEB"/>
        <w:spacing w:after="120"/>
        <w:ind w:left="113" w:hanging="113"/>
        <w:rPr>
          <w:rFonts w:ascii="Meta Pro" w:eastAsia="Times New Roman" w:hAnsi="Meta Pro"/>
          <w:b/>
          <w:bCs/>
          <w:i/>
          <w:iCs/>
          <w:color w:val="000000"/>
          <w:szCs w:val="18"/>
          <w:lang w:eastAsia="en-AU"/>
        </w:rPr>
      </w:pPr>
      <w:r w:rsidRPr="00092B22">
        <w:rPr>
          <w:rFonts w:ascii="Meta Pro" w:eastAsia="Times New Roman" w:hAnsi="Meta Pro"/>
          <w:b/>
          <w:bCs/>
          <w:i/>
          <w:iCs/>
          <w:color w:val="000000"/>
          <w:szCs w:val="18"/>
          <w:lang w:eastAsia="en-AU"/>
        </w:rPr>
        <w:t>Superannuation</w:t>
      </w:r>
    </w:p>
    <w:p w14:paraId="6CBD2618" w14:textId="77777777" w:rsidR="00DA5BCA" w:rsidRPr="00092B22" w:rsidRDefault="00DA5BCA" w:rsidP="00DA5BCA">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color w:val="000000"/>
          <w:szCs w:val="18"/>
          <w:lang w:eastAsia="en-AU"/>
        </w:rPr>
        <w:t>Post-employment benefits for superannuation are provided through defined contribution (accumulation) plans or the Queensland Government's QSuper defined benefit plan as determined by the employee's conditions of employment. The former QSuper defined benefit categories are now administered by Australian Retirement Trust.</w:t>
      </w:r>
    </w:p>
    <w:p w14:paraId="2F6B5158" w14:textId="77777777" w:rsidR="00DA5BCA" w:rsidRPr="00092B22" w:rsidRDefault="00DA5BCA" w:rsidP="00DA5BCA">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color w:val="000000"/>
          <w:szCs w:val="18"/>
          <w:lang w:eastAsia="en-AU"/>
        </w:rPr>
        <w:t>Contributions are made to eligible complying superannuation funds based on the rates specified in the relevant enterprise bargaining agreement or other conditions of employment. Contributions are expensed when they are paid or become payable following completion of the employee's service each pay period.</w:t>
      </w:r>
    </w:p>
    <w:p w14:paraId="431C62BA" w14:textId="77777777" w:rsidR="00DA5BCA" w:rsidRPr="00092B22" w:rsidRDefault="00DA5BCA" w:rsidP="00DA5BCA">
      <w:pPr>
        <w:shd w:val="clear" w:color="auto" w:fill="EBEBEB"/>
        <w:rPr>
          <w:rFonts w:ascii="Meta Pro" w:eastAsia="Times New Roman" w:hAnsi="Meta Pro"/>
          <w:color w:val="000000"/>
          <w:szCs w:val="18"/>
          <w:lang w:eastAsia="en-AU"/>
        </w:rPr>
      </w:pPr>
      <w:r w:rsidRPr="00092B22">
        <w:rPr>
          <w:rFonts w:ascii="Meta Pro" w:eastAsia="Times New Roman" w:hAnsi="Meta Pro"/>
          <w:color w:val="000000"/>
          <w:szCs w:val="18"/>
          <w:lang w:eastAsia="en-AU"/>
        </w:rPr>
        <w:lastRenderedPageBreak/>
        <w:t xml:space="preserve">The liability for defined benefits is held on a whole-of-government basis and reported in those financial statements pursuant to AASB 1049 </w:t>
      </w:r>
      <w:r w:rsidRPr="00092B22">
        <w:rPr>
          <w:rFonts w:ascii="Meta Pro" w:eastAsia="Times New Roman" w:hAnsi="Meta Pro"/>
          <w:i/>
          <w:iCs/>
          <w:color w:val="000000"/>
          <w:szCs w:val="18"/>
          <w:lang w:eastAsia="en-AU"/>
        </w:rPr>
        <w:t>Whole of Government and General Government Sector Financial Reporting</w:t>
      </w:r>
      <w:r w:rsidRPr="00092B22">
        <w:rPr>
          <w:rFonts w:ascii="Meta Pro" w:eastAsia="Times New Roman" w:hAnsi="Meta Pro"/>
          <w:color w:val="000000"/>
          <w:szCs w:val="18"/>
          <w:lang w:eastAsia="en-AU"/>
        </w:rPr>
        <w:t>. The amount of contributions for defined benefit plan obligations is based upon the rates determined on the advice of the State Actuary. Contributions are paid by the department at the specified rate following completion of the employee's service each pay period. The department's obligations are limited to those contributions paid.</w:t>
      </w:r>
    </w:p>
    <w:tbl>
      <w:tblPr>
        <w:tblW w:w="0" w:type="auto"/>
        <w:tblCellMar>
          <w:left w:w="0" w:type="dxa"/>
        </w:tblCellMar>
        <w:tblLook w:val="04A0" w:firstRow="1" w:lastRow="0" w:firstColumn="1" w:lastColumn="0" w:noHBand="0" w:noVBand="1"/>
      </w:tblPr>
      <w:tblGrid>
        <w:gridCol w:w="7074"/>
        <w:gridCol w:w="1169"/>
        <w:gridCol w:w="226"/>
        <w:gridCol w:w="1169"/>
      </w:tblGrid>
      <w:tr w:rsidR="00DA5BCA" w:rsidRPr="00092B22" w14:paraId="1E06C5FF" w14:textId="77777777" w:rsidTr="00B07A53">
        <w:trPr>
          <w:trHeight w:val="240"/>
        </w:trPr>
        <w:tc>
          <w:tcPr>
            <w:tcW w:w="7090" w:type="dxa"/>
            <w:tcBorders>
              <w:top w:val="nil"/>
              <w:left w:val="nil"/>
              <w:bottom w:val="nil"/>
              <w:right w:val="nil"/>
            </w:tcBorders>
            <w:shd w:val="clear" w:color="auto" w:fill="auto"/>
            <w:noWrap/>
            <w:vAlign w:val="center"/>
            <w:hideMark/>
          </w:tcPr>
          <w:p w14:paraId="0F464F4E" w14:textId="77777777" w:rsidR="00DA5BCA" w:rsidRPr="00092B22" w:rsidRDefault="00DA5BCA" w:rsidP="00E607DA">
            <w:pPr>
              <w:rPr>
                <w:rFonts w:ascii="Meta Pro" w:eastAsia="Times New Roman" w:hAnsi="Meta Pro" w:cs="Times New Roman"/>
                <w:sz w:val="24"/>
                <w:szCs w:val="24"/>
                <w:lang w:eastAsia="en-AU"/>
              </w:rPr>
            </w:pPr>
          </w:p>
        </w:tc>
        <w:tc>
          <w:tcPr>
            <w:tcW w:w="1165" w:type="dxa"/>
            <w:tcBorders>
              <w:top w:val="nil"/>
              <w:left w:val="nil"/>
              <w:bottom w:val="nil"/>
              <w:right w:val="nil"/>
            </w:tcBorders>
            <w:shd w:val="clear" w:color="auto" w:fill="auto"/>
            <w:noWrap/>
            <w:vAlign w:val="center"/>
            <w:hideMark/>
          </w:tcPr>
          <w:p w14:paraId="175D1FCE" w14:textId="77777777" w:rsidR="00DA5BCA" w:rsidRPr="00092B22" w:rsidRDefault="00DA5BCA" w:rsidP="00E607DA">
            <w:pPr>
              <w:jc w:val="center"/>
              <w:rPr>
                <w:rFonts w:ascii="Meta Pro" w:eastAsia="Times New Roman" w:hAnsi="Meta Pro"/>
                <w:b/>
                <w:bCs/>
                <w:lang w:eastAsia="en-AU"/>
              </w:rPr>
            </w:pPr>
            <w:r w:rsidRPr="00092B22">
              <w:rPr>
                <w:rFonts w:ascii="Meta Pro" w:eastAsia="Times New Roman" w:hAnsi="Meta Pro"/>
                <w:b/>
                <w:bCs/>
                <w:lang w:eastAsia="en-AU"/>
              </w:rPr>
              <w:t>2022</w:t>
            </w:r>
          </w:p>
        </w:tc>
        <w:tc>
          <w:tcPr>
            <w:tcW w:w="218" w:type="dxa"/>
            <w:tcBorders>
              <w:top w:val="nil"/>
              <w:left w:val="nil"/>
              <w:bottom w:val="nil"/>
              <w:right w:val="nil"/>
            </w:tcBorders>
            <w:shd w:val="clear" w:color="auto" w:fill="auto"/>
            <w:noWrap/>
            <w:vAlign w:val="center"/>
            <w:hideMark/>
          </w:tcPr>
          <w:p w14:paraId="6A99EBB7" w14:textId="77777777" w:rsidR="00DA5BCA" w:rsidRPr="00092B22" w:rsidRDefault="00DA5BCA" w:rsidP="00E607DA">
            <w:pPr>
              <w:jc w:val="center"/>
              <w:rPr>
                <w:rFonts w:ascii="Meta Pro" w:eastAsia="Times New Roman" w:hAnsi="Meta Pro"/>
                <w:b/>
                <w:bCs/>
                <w:lang w:eastAsia="en-AU"/>
              </w:rPr>
            </w:pPr>
          </w:p>
        </w:tc>
        <w:tc>
          <w:tcPr>
            <w:tcW w:w="1165" w:type="dxa"/>
            <w:tcBorders>
              <w:top w:val="nil"/>
              <w:left w:val="nil"/>
              <w:bottom w:val="nil"/>
              <w:right w:val="nil"/>
            </w:tcBorders>
            <w:shd w:val="clear" w:color="auto" w:fill="auto"/>
            <w:noWrap/>
            <w:vAlign w:val="center"/>
            <w:hideMark/>
          </w:tcPr>
          <w:p w14:paraId="2DF4A911" w14:textId="77777777" w:rsidR="00DA5BCA" w:rsidRPr="00092B22" w:rsidRDefault="00DA5BCA" w:rsidP="00E607DA">
            <w:pPr>
              <w:jc w:val="center"/>
              <w:rPr>
                <w:rFonts w:ascii="Meta Pro" w:eastAsia="Times New Roman" w:hAnsi="Meta Pro"/>
                <w:b/>
                <w:bCs/>
                <w:lang w:eastAsia="en-AU"/>
              </w:rPr>
            </w:pPr>
            <w:r w:rsidRPr="00092B22">
              <w:rPr>
                <w:rFonts w:ascii="Meta Pro" w:eastAsia="Times New Roman" w:hAnsi="Meta Pro"/>
                <w:b/>
                <w:bCs/>
                <w:lang w:eastAsia="en-AU"/>
              </w:rPr>
              <w:t>2021</w:t>
            </w:r>
          </w:p>
        </w:tc>
      </w:tr>
      <w:tr w:rsidR="00DA5BCA" w:rsidRPr="00092B22" w14:paraId="34B154FA" w14:textId="77777777" w:rsidTr="00B07A53">
        <w:trPr>
          <w:trHeight w:val="240"/>
        </w:trPr>
        <w:tc>
          <w:tcPr>
            <w:tcW w:w="7090" w:type="dxa"/>
            <w:tcBorders>
              <w:top w:val="nil"/>
              <w:left w:val="nil"/>
              <w:bottom w:val="nil"/>
              <w:right w:val="nil"/>
            </w:tcBorders>
            <w:shd w:val="clear" w:color="auto" w:fill="auto"/>
            <w:noWrap/>
            <w:vAlign w:val="center"/>
            <w:hideMark/>
          </w:tcPr>
          <w:p w14:paraId="04E692CB" w14:textId="77777777" w:rsidR="00DA5BCA" w:rsidRPr="00092B22" w:rsidRDefault="00DA5BCA" w:rsidP="00E607DA">
            <w:pPr>
              <w:jc w:val="center"/>
              <w:rPr>
                <w:rFonts w:ascii="Meta Pro" w:eastAsia="Times New Roman" w:hAnsi="Meta Pro"/>
                <w:b/>
                <w:bCs/>
                <w:lang w:eastAsia="en-AU"/>
              </w:rPr>
            </w:pPr>
          </w:p>
        </w:tc>
        <w:tc>
          <w:tcPr>
            <w:tcW w:w="1165" w:type="dxa"/>
            <w:tcBorders>
              <w:top w:val="nil"/>
              <w:left w:val="nil"/>
              <w:bottom w:val="nil"/>
              <w:right w:val="nil"/>
            </w:tcBorders>
            <w:shd w:val="clear" w:color="auto" w:fill="auto"/>
            <w:noWrap/>
            <w:vAlign w:val="center"/>
            <w:hideMark/>
          </w:tcPr>
          <w:p w14:paraId="1C9A3058" w14:textId="77777777" w:rsidR="00DA5BCA" w:rsidRPr="00092B22" w:rsidRDefault="00DA5BCA" w:rsidP="00E607DA">
            <w:pPr>
              <w:jc w:val="center"/>
              <w:rPr>
                <w:rFonts w:ascii="Meta Pro" w:eastAsia="Times New Roman" w:hAnsi="Meta Pro"/>
                <w:b/>
                <w:bCs/>
                <w:lang w:eastAsia="en-AU"/>
              </w:rPr>
            </w:pPr>
            <w:r w:rsidRPr="00092B22">
              <w:rPr>
                <w:rFonts w:ascii="Meta Pro" w:eastAsia="Times New Roman" w:hAnsi="Meta Pro"/>
                <w:b/>
                <w:bCs/>
                <w:lang w:eastAsia="en-AU"/>
              </w:rPr>
              <w:t>$'000</w:t>
            </w:r>
          </w:p>
        </w:tc>
        <w:tc>
          <w:tcPr>
            <w:tcW w:w="218" w:type="dxa"/>
            <w:tcBorders>
              <w:top w:val="nil"/>
              <w:left w:val="nil"/>
              <w:bottom w:val="nil"/>
              <w:right w:val="nil"/>
            </w:tcBorders>
            <w:shd w:val="clear" w:color="auto" w:fill="auto"/>
            <w:noWrap/>
            <w:vAlign w:val="center"/>
            <w:hideMark/>
          </w:tcPr>
          <w:p w14:paraId="623D5517" w14:textId="77777777" w:rsidR="00DA5BCA" w:rsidRPr="00092B22" w:rsidRDefault="00DA5BCA" w:rsidP="00E607DA">
            <w:pPr>
              <w:jc w:val="center"/>
              <w:rPr>
                <w:rFonts w:ascii="Meta Pro" w:eastAsia="Times New Roman" w:hAnsi="Meta Pro"/>
                <w:b/>
                <w:bCs/>
                <w:lang w:eastAsia="en-AU"/>
              </w:rPr>
            </w:pPr>
          </w:p>
        </w:tc>
        <w:tc>
          <w:tcPr>
            <w:tcW w:w="1165" w:type="dxa"/>
            <w:tcBorders>
              <w:top w:val="nil"/>
              <w:left w:val="nil"/>
              <w:bottom w:val="nil"/>
              <w:right w:val="nil"/>
            </w:tcBorders>
            <w:shd w:val="clear" w:color="auto" w:fill="auto"/>
            <w:noWrap/>
            <w:vAlign w:val="center"/>
            <w:hideMark/>
          </w:tcPr>
          <w:p w14:paraId="65F64B3D" w14:textId="77777777" w:rsidR="00DA5BCA" w:rsidRPr="00092B22" w:rsidRDefault="00DA5BCA" w:rsidP="00E607DA">
            <w:pPr>
              <w:jc w:val="center"/>
              <w:rPr>
                <w:rFonts w:ascii="Meta Pro" w:eastAsia="Times New Roman" w:hAnsi="Meta Pro"/>
                <w:b/>
                <w:bCs/>
                <w:lang w:eastAsia="en-AU"/>
              </w:rPr>
            </w:pPr>
            <w:r w:rsidRPr="00092B22">
              <w:rPr>
                <w:rFonts w:ascii="Meta Pro" w:eastAsia="Times New Roman" w:hAnsi="Meta Pro"/>
                <w:b/>
                <w:bCs/>
                <w:lang w:eastAsia="en-AU"/>
              </w:rPr>
              <w:t>$'000</w:t>
            </w:r>
          </w:p>
        </w:tc>
      </w:tr>
      <w:tr w:rsidR="00DA5BCA" w:rsidRPr="00092B22" w14:paraId="44111011" w14:textId="77777777" w:rsidTr="00B07A53">
        <w:trPr>
          <w:trHeight w:val="240"/>
        </w:trPr>
        <w:tc>
          <w:tcPr>
            <w:tcW w:w="7090" w:type="dxa"/>
            <w:tcBorders>
              <w:top w:val="nil"/>
              <w:left w:val="nil"/>
              <w:bottom w:val="nil"/>
              <w:right w:val="nil"/>
            </w:tcBorders>
            <w:shd w:val="clear" w:color="auto" w:fill="auto"/>
            <w:noWrap/>
            <w:vAlign w:val="center"/>
            <w:hideMark/>
          </w:tcPr>
          <w:p w14:paraId="1215D14A" w14:textId="77777777" w:rsidR="00DA5BCA" w:rsidRPr="00092B22" w:rsidRDefault="00DA5BCA" w:rsidP="00E607DA">
            <w:pPr>
              <w:rPr>
                <w:rFonts w:ascii="Meta Pro" w:eastAsia="Times New Roman" w:hAnsi="Meta Pro"/>
                <w:b/>
                <w:bCs/>
                <w:lang w:eastAsia="en-AU"/>
              </w:rPr>
            </w:pPr>
            <w:r w:rsidRPr="00092B22">
              <w:rPr>
                <w:rFonts w:ascii="Meta Pro" w:eastAsia="Times New Roman" w:hAnsi="Meta Pro"/>
                <w:b/>
                <w:bCs/>
                <w:lang w:eastAsia="en-AU"/>
              </w:rPr>
              <w:t>21     OTHER LIABILITIES</w:t>
            </w:r>
          </w:p>
        </w:tc>
        <w:tc>
          <w:tcPr>
            <w:tcW w:w="1165" w:type="dxa"/>
            <w:tcBorders>
              <w:top w:val="nil"/>
              <w:left w:val="nil"/>
              <w:bottom w:val="nil"/>
              <w:right w:val="nil"/>
            </w:tcBorders>
            <w:shd w:val="clear" w:color="auto" w:fill="auto"/>
            <w:noWrap/>
            <w:vAlign w:val="center"/>
            <w:hideMark/>
          </w:tcPr>
          <w:p w14:paraId="6A0ACEE2" w14:textId="77777777" w:rsidR="00DA5BCA" w:rsidRPr="00092B22" w:rsidRDefault="00DA5BCA" w:rsidP="00E607DA">
            <w:pPr>
              <w:rPr>
                <w:rFonts w:ascii="Meta Pro" w:eastAsia="Times New Roman" w:hAnsi="Meta Pro"/>
                <w:b/>
                <w:bCs/>
                <w:lang w:eastAsia="en-AU"/>
              </w:rPr>
            </w:pPr>
          </w:p>
        </w:tc>
        <w:tc>
          <w:tcPr>
            <w:tcW w:w="218" w:type="dxa"/>
            <w:tcBorders>
              <w:top w:val="nil"/>
              <w:left w:val="nil"/>
              <w:bottom w:val="nil"/>
              <w:right w:val="nil"/>
            </w:tcBorders>
            <w:shd w:val="clear" w:color="auto" w:fill="auto"/>
            <w:noWrap/>
            <w:vAlign w:val="center"/>
            <w:hideMark/>
          </w:tcPr>
          <w:p w14:paraId="3BAFAD7C" w14:textId="77777777" w:rsidR="00DA5BCA" w:rsidRPr="00092B22" w:rsidRDefault="00DA5BCA" w:rsidP="00E607DA">
            <w:pPr>
              <w:jc w:val="right"/>
              <w:rPr>
                <w:rFonts w:ascii="Meta Pro" w:eastAsia="Times New Roman" w:hAnsi="Meta Pro" w:cs="Times New Roman"/>
                <w:sz w:val="20"/>
                <w:szCs w:val="20"/>
                <w:lang w:eastAsia="en-AU"/>
              </w:rPr>
            </w:pPr>
          </w:p>
        </w:tc>
        <w:tc>
          <w:tcPr>
            <w:tcW w:w="1165" w:type="dxa"/>
            <w:tcBorders>
              <w:top w:val="nil"/>
              <w:left w:val="nil"/>
              <w:bottom w:val="nil"/>
              <w:right w:val="nil"/>
            </w:tcBorders>
            <w:shd w:val="clear" w:color="auto" w:fill="auto"/>
            <w:noWrap/>
            <w:vAlign w:val="center"/>
            <w:hideMark/>
          </w:tcPr>
          <w:p w14:paraId="5D9F51C6" w14:textId="77777777" w:rsidR="00DA5BCA" w:rsidRPr="00092B22" w:rsidRDefault="00DA5BCA" w:rsidP="00E607DA">
            <w:pPr>
              <w:jc w:val="right"/>
              <w:rPr>
                <w:rFonts w:ascii="Meta Pro" w:eastAsia="Times New Roman" w:hAnsi="Meta Pro" w:cs="Times New Roman"/>
                <w:sz w:val="20"/>
                <w:szCs w:val="20"/>
                <w:lang w:eastAsia="en-AU"/>
              </w:rPr>
            </w:pPr>
          </w:p>
        </w:tc>
      </w:tr>
      <w:tr w:rsidR="00DA5BCA" w:rsidRPr="00092B22" w14:paraId="6E6B91CD" w14:textId="77777777" w:rsidTr="00B07A53">
        <w:trPr>
          <w:trHeight w:val="90"/>
        </w:trPr>
        <w:tc>
          <w:tcPr>
            <w:tcW w:w="7090" w:type="dxa"/>
            <w:tcBorders>
              <w:top w:val="nil"/>
              <w:left w:val="nil"/>
              <w:bottom w:val="nil"/>
              <w:right w:val="nil"/>
            </w:tcBorders>
            <w:shd w:val="clear" w:color="auto" w:fill="auto"/>
            <w:noWrap/>
            <w:vAlign w:val="center"/>
            <w:hideMark/>
          </w:tcPr>
          <w:p w14:paraId="5DA22EAC" w14:textId="77777777" w:rsidR="00DA5BCA" w:rsidRPr="00092B22" w:rsidRDefault="00DA5BCA" w:rsidP="00E607DA">
            <w:pPr>
              <w:jc w:val="right"/>
              <w:rPr>
                <w:rFonts w:ascii="Meta Pro" w:eastAsia="Times New Roman" w:hAnsi="Meta Pro" w:cs="Times New Roman"/>
                <w:sz w:val="20"/>
                <w:szCs w:val="20"/>
                <w:lang w:eastAsia="en-AU"/>
              </w:rPr>
            </w:pPr>
          </w:p>
        </w:tc>
        <w:tc>
          <w:tcPr>
            <w:tcW w:w="1165" w:type="dxa"/>
            <w:tcBorders>
              <w:top w:val="nil"/>
              <w:left w:val="nil"/>
              <w:bottom w:val="nil"/>
              <w:right w:val="nil"/>
            </w:tcBorders>
            <w:shd w:val="clear" w:color="auto" w:fill="auto"/>
            <w:noWrap/>
            <w:vAlign w:val="center"/>
            <w:hideMark/>
          </w:tcPr>
          <w:p w14:paraId="31E555CD" w14:textId="77777777" w:rsidR="00DA5BCA" w:rsidRPr="00092B22" w:rsidRDefault="00DA5BCA" w:rsidP="00E607DA">
            <w:pPr>
              <w:rPr>
                <w:rFonts w:ascii="Meta Pro" w:eastAsia="Times New Roman" w:hAnsi="Meta Pro" w:cs="Times New Roman"/>
                <w:sz w:val="20"/>
                <w:szCs w:val="20"/>
                <w:lang w:eastAsia="en-AU"/>
              </w:rPr>
            </w:pPr>
          </w:p>
        </w:tc>
        <w:tc>
          <w:tcPr>
            <w:tcW w:w="218" w:type="dxa"/>
            <w:tcBorders>
              <w:top w:val="nil"/>
              <w:left w:val="nil"/>
              <w:bottom w:val="nil"/>
              <w:right w:val="nil"/>
            </w:tcBorders>
            <w:shd w:val="clear" w:color="auto" w:fill="auto"/>
            <w:noWrap/>
            <w:vAlign w:val="center"/>
            <w:hideMark/>
          </w:tcPr>
          <w:p w14:paraId="461960BB" w14:textId="77777777" w:rsidR="00DA5BCA" w:rsidRPr="00092B22" w:rsidRDefault="00DA5BCA" w:rsidP="00E607DA">
            <w:pPr>
              <w:jc w:val="right"/>
              <w:rPr>
                <w:rFonts w:ascii="Meta Pro" w:eastAsia="Times New Roman" w:hAnsi="Meta Pro" w:cs="Times New Roman"/>
                <w:sz w:val="20"/>
                <w:szCs w:val="20"/>
                <w:lang w:eastAsia="en-AU"/>
              </w:rPr>
            </w:pPr>
          </w:p>
        </w:tc>
        <w:tc>
          <w:tcPr>
            <w:tcW w:w="1165" w:type="dxa"/>
            <w:tcBorders>
              <w:top w:val="nil"/>
              <w:left w:val="nil"/>
              <w:bottom w:val="nil"/>
              <w:right w:val="nil"/>
            </w:tcBorders>
            <w:shd w:val="clear" w:color="auto" w:fill="auto"/>
            <w:noWrap/>
            <w:vAlign w:val="center"/>
            <w:hideMark/>
          </w:tcPr>
          <w:p w14:paraId="56A0B5CE" w14:textId="77777777" w:rsidR="00DA5BCA" w:rsidRPr="00092B22" w:rsidRDefault="00DA5BCA" w:rsidP="00E607DA">
            <w:pPr>
              <w:jc w:val="right"/>
              <w:rPr>
                <w:rFonts w:ascii="Meta Pro" w:eastAsia="Times New Roman" w:hAnsi="Meta Pro" w:cs="Times New Roman"/>
                <w:sz w:val="20"/>
                <w:szCs w:val="20"/>
                <w:lang w:eastAsia="en-AU"/>
              </w:rPr>
            </w:pPr>
          </w:p>
        </w:tc>
      </w:tr>
      <w:tr w:rsidR="00DA5BCA" w:rsidRPr="00092B22" w14:paraId="356CCE0A" w14:textId="77777777" w:rsidTr="00B07A53">
        <w:trPr>
          <w:trHeight w:val="240"/>
        </w:trPr>
        <w:tc>
          <w:tcPr>
            <w:tcW w:w="7090" w:type="dxa"/>
            <w:tcBorders>
              <w:top w:val="nil"/>
              <w:left w:val="nil"/>
              <w:bottom w:val="nil"/>
              <w:right w:val="nil"/>
            </w:tcBorders>
            <w:shd w:val="clear" w:color="auto" w:fill="auto"/>
            <w:noWrap/>
            <w:vAlign w:val="center"/>
            <w:hideMark/>
          </w:tcPr>
          <w:p w14:paraId="2FC549E1" w14:textId="77777777" w:rsidR="00DA5BCA" w:rsidRPr="00092B22" w:rsidRDefault="00DA5BCA" w:rsidP="00E607DA">
            <w:pPr>
              <w:rPr>
                <w:rFonts w:ascii="Meta Pro" w:eastAsia="Times New Roman" w:hAnsi="Meta Pro"/>
                <w:b/>
                <w:bCs/>
                <w:szCs w:val="18"/>
                <w:lang w:eastAsia="en-AU"/>
              </w:rPr>
            </w:pPr>
            <w:r w:rsidRPr="00092B22">
              <w:rPr>
                <w:rFonts w:ascii="Meta Pro" w:eastAsia="Times New Roman" w:hAnsi="Meta Pro"/>
                <w:b/>
                <w:bCs/>
                <w:szCs w:val="18"/>
                <w:lang w:eastAsia="en-AU"/>
              </w:rPr>
              <w:t>Current</w:t>
            </w:r>
          </w:p>
        </w:tc>
        <w:tc>
          <w:tcPr>
            <w:tcW w:w="1165" w:type="dxa"/>
            <w:tcBorders>
              <w:top w:val="nil"/>
              <w:left w:val="nil"/>
              <w:bottom w:val="nil"/>
              <w:right w:val="nil"/>
            </w:tcBorders>
            <w:shd w:val="clear" w:color="auto" w:fill="auto"/>
            <w:noWrap/>
            <w:vAlign w:val="center"/>
            <w:hideMark/>
          </w:tcPr>
          <w:p w14:paraId="3EAFFF80" w14:textId="77777777" w:rsidR="00DA5BCA" w:rsidRPr="00092B22" w:rsidRDefault="00DA5BCA" w:rsidP="00E607DA">
            <w:pPr>
              <w:rPr>
                <w:rFonts w:ascii="Meta Pro" w:eastAsia="Times New Roman" w:hAnsi="Meta Pro"/>
                <w:b/>
                <w:bCs/>
                <w:szCs w:val="18"/>
                <w:lang w:eastAsia="en-AU"/>
              </w:rPr>
            </w:pPr>
          </w:p>
        </w:tc>
        <w:tc>
          <w:tcPr>
            <w:tcW w:w="218" w:type="dxa"/>
            <w:tcBorders>
              <w:top w:val="nil"/>
              <w:left w:val="nil"/>
              <w:bottom w:val="nil"/>
              <w:right w:val="nil"/>
            </w:tcBorders>
            <w:shd w:val="clear" w:color="auto" w:fill="auto"/>
            <w:noWrap/>
            <w:vAlign w:val="center"/>
            <w:hideMark/>
          </w:tcPr>
          <w:p w14:paraId="00E9A546" w14:textId="77777777" w:rsidR="00DA5BCA" w:rsidRPr="00092B22" w:rsidRDefault="00DA5BCA" w:rsidP="00E607DA">
            <w:pPr>
              <w:rPr>
                <w:rFonts w:ascii="Meta Pro" w:eastAsia="Times New Roman" w:hAnsi="Meta Pro" w:cs="Times New Roman"/>
                <w:sz w:val="20"/>
                <w:szCs w:val="20"/>
                <w:lang w:eastAsia="en-AU"/>
              </w:rPr>
            </w:pPr>
          </w:p>
        </w:tc>
        <w:tc>
          <w:tcPr>
            <w:tcW w:w="1165" w:type="dxa"/>
            <w:tcBorders>
              <w:top w:val="nil"/>
              <w:left w:val="nil"/>
              <w:bottom w:val="nil"/>
              <w:right w:val="nil"/>
            </w:tcBorders>
            <w:shd w:val="clear" w:color="auto" w:fill="auto"/>
            <w:noWrap/>
            <w:vAlign w:val="center"/>
            <w:hideMark/>
          </w:tcPr>
          <w:p w14:paraId="1E7624C1" w14:textId="77777777" w:rsidR="00DA5BCA" w:rsidRPr="00092B22" w:rsidRDefault="00DA5BCA" w:rsidP="00E607DA">
            <w:pPr>
              <w:jc w:val="right"/>
              <w:rPr>
                <w:rFonts w:ascii="Meta Pro" w:eastAsia="Times New Roman" w:hAnsi="Meta Pro" w:cs="Times New Roman"/>
                <w:sz w:val="20"/>
                <w:szCs w:val="20"/>
                <w:lang w:eastAsia="en-AU"/>
              </w:rPr>
            </w:pPr>
          </w:p>
        </w:tc>
      </w:tr>
      <w:tr w:rsidR="00DA5BCA" w:rsidRPr="00092B22" w14:paraId="1E9CA904" w14:textId="77777777" w:rsidTr="00B07A53">
        <w:trPr>
          <w:trHeight w:val="240"/>
        </w:trPr>
        <w:tc>
          <w:tcPr>
            <w:tcW w:w="7090" w:type="dxa"/>
            <w:tcBorders>
              <w:top w:val="nil"/>
              <w:left w:val="nil"/>
              <w:bottom w:val="nil"/>
              <w:right w:val="nil"/>
            </w:tcBorders>
            <w:shd w:val="clear" w:color="auto" w:fill="auto"/>
            <w:noWrap/>
            <w:vAlign w:val="center"/>
            <w:hideMark/>
          </w:tcPr>
          <w:p w14:paraId="2A293761" w14:textId="77777777" w:rsidR="00DA5BCA" w:rsidRPr="00092B22" w:rsidRDefault="00DA5BCA" w:rsidP="00E607DA">
            <w:pPr>
              <w:rPr>
                <w:rFonts w:ascii="Meta Pro" w:eastAsia="Times New Roman" w:hAnsi="Meta Pro"/>
                <w:szCs w:val="18"/>
                <w:lang w:eastAsia="en-AU"/>
              </w:rPr>
            </w:pPr>
            <w:r w:rsidRPr="00092B22">
              <w:rPr>
                <w:rFonts w:ascii="Meta Pro" w:eastAsia="Times New Roman" w:hAnsi="Meta Pro"/>
                <w:szCs w:val="18"/>
                <w:lang w:eastAsia="en-AU"/>
              </w:rPr>
              <w:t>Advance payments by Queensland Reconstruction Authority *</w:t>
            </w:r>
          </w:p>
        </w:tc>
        <w:tc>
          <w:tcPr>
            <w:tcW w:w="1165" w:type="dxa"/>
            <w:tcBorders>
              <w:top w:val="nil"/>
              <w:left w:val="nil"/>
              <w:bottom w:val="nil"/>
              <w:right w:val="nil"/>
            </w:tcBorders>
            <w:shd w:val="clear" w:color="000000" w:fill="C9E3B4"/>
            <w:noWrap/>
            <w:vAlign w:val="center"/>
            <w:hideMark/>
          </w:tcPr>
          <w:p w14:paraId="0A3E4907" w14:textId="77777777" w:rsidR="00DA5BCA" w:rsidRPr="00092B22" w:rsidRDefault="00DA5BC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29,286 </w:t>
            </w:r>
          </w:p>
        </w:tc>
        <w:tc>
          <w:tcPr>
            <w:tcW w:w="218" w:type="dxa"/>
            <w:tcBorders>
              <w:top w:val="nil"/>
              <w:left w:val="nil"/>
              <w:bottom w:val="nil"/>
              <w:right w:val="nil"/>
            </w:tcBorders>
            <w:shd w:val="clear" w:color="auto" w:fill="auto"/>
            <w:noWrap/>
            <w:vAlign w:val="center"/>
            <w:hideMark/>
          </w:tcPr>
          <w:p w14:paraId="12843B48" w14:textId="77777777" w:rsidR="00DA5BCA" w:rsidRPr="00092B22" w:rsidRDefault="00DA5BCA" w:rsidP="00E607DA">
            <w:pPr>
              <w:jc w:val="right"/>
              <w:rPr>
                <w:rFonts w:ascii="Meta Pro" w:eastAsia="Times New Roman" w:hAnsi="Meta Pro"/>
                <w:szCs w:val="18"/>
                <w:lang w:eastAsia="en-AU"/>
              </w:rPr>
            </w:pPr>
          </w:p>
        </w:tc>
        <w:tc>
          <w:tcPr>
            <w:tcW w:w="1165" w:type="dxa"/>
            <w:tcBorders>
              <w:top w:val="nil"/>
              <w:left w:val="nil"/>
              <w:bottom w:val="nil"/>
              <w:right w:val="nil"/>
            </w:tcBorders>
            <w:shd w:val="clear" w:color="auto" w:fill="auto"/>
            <w:noWrap/>
            <w:vAlign w:val="center"/>
            <w:hideMark/>
          </w:tcPr>
          <w:p w14:paraId="75E2F34C" w14:textId="77777777" w:rsidR="00DA5BCA" w:rsidRPr="00092B22" w:rsidRDefault="00DA5BC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25,761 </w:t>
            </w:r>
          </w:p>
        </w:tc>
      </w:tr>
      <w:tr w:rsidR="00DA5BCA" w:rsidRPr="00092B22" w14:paraId="44CE3D1D" w14:textId="77777777" w:rsidTr="00B07A53">
        <w:trPr>
          <w:trHeight w:val="240"/>
        </w:trPr>
        <w:tc>
          <w:tcPr>
            <w:tcW w:w="7090" w:type="dxa"/>
            <w:tcBorders>
              <w:top w:val="nil"/>
              <w:left w:val="nil"/>
              <w:bottom w:val="nil"/>
              <w:right w:val="nil"/>
            </w:tcBorders>
            <w:shd w:val="clear" w:color="auto" w:fill="auto"/>
            <w:noWrap/>
            <w:vAlign w:val="center"/>
            <w:hideMark/>
          </w:tcPr>
          <w:p w14:paraId="7B0CC269" w14:textId="77777777" w:rsidR="00DA5BCA" w:rsidRPr="00092B22" w:rsidRDefault="00DA5BCA" w:rsidP="00E607DA">
            <w:pPr>
              <w:rPr>
                <w:rFonts w:ascii="Meta Pro" w:eastAsia="Times New Roman" w:hAnsi="Meta Pro"/>
                <w:szCs w:val="18"/>
                <w:lang w:eastAsia="en-AU"/>
              </w:rPr>
            </w:pPr>
            <w:r w:rsidRPr="00092B22">
              <w:rPr>
                <w:rFonts w:ascii="Meta Pro" w:eastAsia="Times New Roman" w:hAnsi="Meta Pro"/>
                <w:szCs w:val="18"/>
                <w:lang w:eastAsia="en-AU"/>
              </w:rPr>
              <w:t>Advance payments by Australian Rail Track Corporation **</w:t>
            </w:r>
          </w:p>
        </w:tc>
        <w:tc>
          <w:tcPr>
            <w:tcW w:w="1165" w:type="dxa"/>
            <w:tcBorders>
              <w:top w:val="nil"/>
              <w:left w:val="nil"/>
              <w:bottom w:val="nil"/>
              <w:right w:val="nil"/>
            </w:tcBorders>
            <w:shd w:val="clear" w:color="000000" w:fill="C9E3B4"/>
            <w:noWrap/>
            <w:vAlign w:val="center"/>
            <w:hideMark/>
          </w:tcPr>
          <w:p w14:paraId="338B2CAF" w14:textId="77777777" w:rsidR="00DA5BCA" w:rsidRPr="00092B22" w:rsidRDefault="00DA5BC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103,740 </w:t>
            </w:r>
          </w:p>
        </w:tc>
        <w:tc>
          <w:tcPr>
            <w:tcW w:w="218" w:type="dxa"/>
            <w:tcBorders>
              <w:top w:val="nil"/>
              <w:left w:val="nil"/>
              <w:bottom w:val="nil"/>
              <w:right w:val="nil"/>
            </w:tcBorders>
            <w:shd w:val="clear" w:color="auto" w:fill="auto"/>
            <w:noWrap/>
            <w:vAlign w:val="center"/>
            <w:hideMark/>
          </w:tcPr>
          <w:p w14:paraId="7D3DF6D5" w14:textId="77777777" w:rsidR="00DA5BCA" w:rsidRPr="00092B22" w:rsidRDefault="00DA5BCA" w:rsidP="00E607DA">
            <w:pPr>
              <w:jc w:val="right"/>
              <w:rPr>
                <w:rFonts w:ascii="Meta Pro" w:eastAsia="Times New Roman" w:hAnsi="Meta Pro"/>
                <w:szCs w:val="18"/>
                <w:lang w:eastAsia="en-AU"/>
              </w:rPr>
            </w:pPr>
          </w:p>
        </w:tc>
        <w:tc>
          <w:tcPr>
            <w:tcW w:w="1165" w:type="dxa"/>
            <w:tcBorders>
              <w:top w:val="nil"/>
              <w:left w:val="nil"/>
              <w:bottom w:val="nil"/>
              <w:right w:val="nil"/>
            </w:tcBorders>
            <w:shd w:val="clear" w:color="auto" w:fill="auto"/>
            <w:noWrap/>
            <w:vAlign w:val="center"/>
            <w:hideMark/>
          </w:tcPr>
          <w:p w14:paraId="4D335199" w14:textId="77777777" w:rsidR="00DA5BCA" w:rsidRPr="00092B22" w:rsidRDefault="00DA5BC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67,524 </w:t>
            </w:r>
          </w:p>
        </w:tc>
      </w:tr>
      <w:tr w:rsidR="00DA5BCA" w:rsidRPr="00092B22" w14:paraId="5A801E23" w14:textId="77777777" w:rsidTr="00B07A53">
        <w:trPr>
          <w:trHeight w:val="240"/>
        </w:trPr>
        <w:tc>
          <w:tcPr>
            <w:tcW w:w="7090" w:type="dxa"/>
            <w:tcBorders>
              <w:top w:val="nil"/>
              <w:left w:val="nil"/>
              <w:bottom w:val="nil"/>
              <w:right w:val="nil"/>
            </w:tcBorders>
            <w:shd w:val="clear" w:color="auto" w:fill="auto"/>
            <w:noWrap/>
            <w:vAlign w:val="center"/>
            <w:hideMark/>
          </w:tcPr>
          <w:p w14:paraId="370B55E8" w14:textId="77777777" w:rsidR="00DA5BCA" w:rsidRPr="00092B22" w:rsidRDefault="00DA5BCA" w:rsidP="00E607DA">
            <w:pPr>
              <w:rPr>
                <w:rFonts w:ascii="Meta Pro" w:eastAsia="Times New Roman" w:hAnsi="Meta Pro"/>
                <w:szCs w:val="18"/>
                <w:lang w:eastAsia="en-AU"/>
              </w:rPr>
            </w:pPr>
            <w:r w:rsidRPr="00092B22">
              <w:rPr>
                <w:rFonts w:ascii="Meta Pro" w:eastAsia="Times New Roman" w:hAnsi="Meta Pro"/>
                <w:i/>
                <w:iCs/>
                <w:szCs w:val="18"/>
                <w:lang w:eastAsia="en-AU"/>
              </w:rPr>
              <w:t>go</w:t>
            </w:r>
            <w:r w:rsidRPr="00092B22">
              <w:rPr>
                <w:rFonts w:ascii="Meta Pro" w:eastAsia="Times New Roman" w:hAnsi="Meta Pro"/>
                <w:szCs w:val="18"/>
                <w:lang w:eastAsia="en-AU"/>
              </w:rPr>
              <w:t xml:space="preserve"> card deposits held </w:t>
            </w:r>
          </w:p>
        </w:tc>
        <w:tc>
          <w:tcPr>
            <w:tcW w:w="1165" w:type="dxa"/>
            <w:tcBorders>
              <w:top w:val="nil"/>
              <w:left w:val="nil"/>
              <w:bottom w:val="nil"/>
              <w:right w:val="nil"/>
            </w:tcBorders>
            <w:shd w:val="clear" w:color="000000" w:fill="C9E3B4"/>
            <w:noWrap/>
            <w:vAlign w:val="center"/>
            <w:hideMark/>
          </w:tcPr>
          <w:p w14:paraId="48EB6CFD" w14:textId="77777777" w:rsidR="00DA5BCA" w:rsidRPr="00092B22" w:rsidRDefault="00DA5BC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43,940 </w:t>
            </w:r>
          </w:p>
        </w:tc>
        <w:tc>
          <w:tcPr>
            <w:tcW w:w="218" w:type="dxa"/>
            <w:tcBorders>
              <w:top w:val="nil"/>
              <w:left w:val="nil"/>
              <w:bottom w:val="nil"/>
              <w:right w:val="nil"/>
            </w:tcBorders>
            <w:shd w:val="clear" w:color="auto" w:fill="auto"/>
            <w:noWrap/>
            <w:vAlign w:val="center"/>
            <w:hideMark/>
          </w:tcPr>
          <w:p w14:paraId="0AC0F93C" w14:textId="77777777" w:rsidR="00DA5BCA" w:rsidRPr="00092B22" w:rsidRDefault="00DA5BCA" w:rsidP="00E607DA">
            <w:pPr>
              <w:jc w:val="right"/>
              <w:rPr>
                <w:rFonts w:ascii="Meta Pro" w:eastAsia="Times New Roman" w:hAnsi="Meta Pro"/>
                <w:szCs w:val="18"/>
                <w:lang w:eastAsia="en-AU"/>
              </w:rPr>
            </w:pPr>
          </w:p>
        </w:tc>
        <w:tc>
          <w:tcPr>
            <w:tcW w:w="1165" w:type="dxa"/>
            <w:tcBorders>
              <w:top w:val="nil"/>
              <w:left w:val="nil"/>
              <w:bottom w:val="nil"/>
              <w:right w:val="nil"/>
            </w:tcBorders>
            <w:shd w:val="clear" w:color="auto" w:fill="auto"/>
            <w:noWrap/>
            <w:vAlign w:val="center"/>
            <w:hideMark/>
          </w:tcPr>
          <w:p w14:paraId="282625AD" w14:textId="77777777" w:rsidR="00DA5BCA" w:rsidRPr="00092B22" w:rsidRDefault="00DA5BC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44,150 </w:t>
            </w:r>
          </w:p>
        </w:tc>
      </w:tr>
      <w:tr w:rsidR="00DA5BCA" w:rsidRPr="00092B22" w14:paraId="6A68CC4E" w14:textId="77777777" w:rsidTr="00B07A53">
        <w:trPr>
          <w:trHeight w:val="240"/>
        </w:trPr>
        <w:tc>
          <w:tcPr>
            <w:tcW w:w="7090" w:type="dxa"/>
            <w:tcBorders>
              <w:top w:val="nil"/>
              <w:left w:val="nil"/>
              <w:bottom w:val="nil"/>
              <w:right w:val="nil"/>
            </w:tcBorders>
            <w:shd w:val="clear" w:color="auto" w:fill="auto"/>
            <w:noWrap/>
            <w:vAlign w:val="center"/>
            <w:hideMark/>
          </w:tcPr>
          <w:p w14:paraId="0010F8B7" w14:textId="77777777" w:rsidR="00DA5BCA" w:rsidRPr="00092B22" w:rsidRDefault="00DA5BCA" w:rsidP="00E607DA">
            <w:pPr>
              <w:rPr>
                <w:rFonts w:ascii="Meta Pro" w:eastAsia="Times New Roman" w:hAnsi="Meta Pro"/>
                <w:szCs w:val="18"/>
                <w:lang w:eastAsia="en-AU"/>
              </w:rPr>
            </w:pPr>
            <w:r w:rsidRPr="00092B22">
              <w:rPr>
                <w:rFonts w:ascii="Meta Pro" w:eastAsia="Times New Roman" w:hAnsi="Meta Pro"/>
                <w:i/>
                <w:iCs/>
                <w:szCs w:val="18"/>
                <w:lang w:eastAsia="en-AU"/>
              </w:rPr>
              <w:t>go</w:t>
            </w:r>
            <w:r w:rsidRPr="00092B22">
              <w:rPr>
                <w:rFonts w:ascii="Meta Pro" w:eastAsia="Times New Roman" w:hAnsi="Meta Pro"/>
                <w:szCs w:val="18"/>
                <w:lang w:eastAsia="en-AU"/>
              </w:rPr>
              <w:t xml:space="preserve"> card stored value – unearned revenue ***</w:t>
            </w:r>
          </w:p>
        </w:tc>
        <w:tc>
          <w:tcPr>
            <w:tcW w:w="1165" w:type="dxa"/>
            <w:tcBorders>
              <w:top w:val="nil"/>
              <w:left w:val="nil"/>
              <w:bottom w:val="nil"/>
              <w:right w:val="nil"/>
            </w:tcBorders>
            <w:shd w:val="clear" w:color="000000" w:fill="C9E3B4"/>
            <w:noWrap/>
            <w:vAlign w:val="center"/>
            <w:hideMark/>
          </w:tcPr>
          <w:p w14:paraId="26222959" w14:textId="77777777" w:rsidR="00DA5BCA" w:rsidRPr="00092B22" w:rsidRDefault="00DA5BC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51,005 </w:t>
            </w:r>
          </w:p>
        </w:tc>
        <w:tc>
          <w:tcPr>
            <w:tcW w:w="218" w:type="dxa"/>
            <w:tcBorders>
              <w:top w:val="nil"/>
              <w:left w:val="nil"/>
              <w:bottom w:val="nil"/>
              <w:right w:val="nil"/>
            </w:tcBorders>
            <w:shd w:val="clear" w:color="auto" w:fill="auto"/>
            <w:noWrap/>
            <w:vAlign w:val="center"/>
            <w:hideMark/>
          </w:tcPr>
          <w:p w14:paraId="0798FCE6" w14:textId="77777777" w:rsidR="00DA5BCA" w:rsidRPr="00092B22" w:rsidRDefault="00DA5BCA" w:rsidP="00E607DA">
            <w:pPr>
              <w:jc w:val="right"/>
              <w:rPr>
                <w:rFonts w:ascii="Meta Pro" w:eastAsia="Times New Roman" w:hAnsi="Meta Pro"/>
                <w:szCs w:val="18"/>
                <w:lang w:eastAsia="en-AU"/>
              </w:rPr>
            </w:pPr>
          </w:p>
        </w:tc>
        <w:tc>
          <w:tcPr>
            <w:tcW w:w="1165" w:type="dxa"/>
            <w:tcBorders>
              <w:top w:val="nil"/>
              <w:left w:val="nil"/>
              <w:bottom w:val="nil"/>
              <w:right w:val="nil"/>
            </w:tcBorders>
            <w:shd w:val="clear" w:color="auto" w:fill="auto"/>
            <w:noWrap/>
            <w:vAlign w:val="center"/>
            <w:hideMark/>
          </w:tcPr>
          <w:p w14:paraId="132AC233" w14:textId="77777777" w:rsidR="00DA5BCA" w:rsidRPr="00092B22" w:rsidRDefault="00DA5BC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49,416 </w:t>
            </w:r>
          </w:p>
        </w:tc>
      </w:tr>
      <w:tr w:rsidR="00DA5BCA" w:rsidRPr="00092B22" w14:paraId="59F13F1D" w14:textId="77777777" w:rsidTr="00B07A53">
        <w:trPr>
          <w:trHeight w:val="240"/>
        </w:trPr>
        <w:tc>
          <w:tcPr>
            <w:tcW w:w="7090" w:type="dxa"/>
            <w:tcBorders>
              <w:top w:val="nil"/>
              <w:left w:val="nil"/>
              <w:bottom w:val="nil"/>
              <w:right w:val="nil"/>
            </w:tcBorders>
            <w:shd w:val="clear" w:color="auto" w:fill="auto"/>
            <w:noWrap/>
            <w:vAlign w:val="center"/>
            <w:hideMark/>
          </w:tcPr>
          <w:p w14:paraId="5172CBDD" w14:textId="77777777" w:rsidR="00DA5BCA" w:rsidRPr="00092B22" w:rsidRDefault="00DA5BCA" w:rsidP="00E607DA">
            <w:pPr>
              <w:rPr>
                <w:rFonts w:ascii="Meta Pro" w:eastAsia="Times New Roman" w:hAnsi="Meta Pro"/>
                <w:szCs w:val="18"/>
                <w:lang w:eastAsia="en-AU"/>
              </w:rPr>
            </w:pPr>
            <w:r w:rsidRPr="00092B22">
              <w:rPr>
                <w:rFonts w:ascii="Meta Pro" w:eastAsia="Times New Roman" w:hAnsi="Meta Pro"/>
                <w:szCs w:val="18"/>
                <w:lang w:eastAsia="en-AU"/>
              </w:rPr>
              <w:t>Other</w:t>
            </w:r>
          </w:p>
        </w:tc>
        <w:tc>
          <w:tcPr>
            <w:tcW w:w="1165" w:type="dxa"/>
            <w:tcBorders>
              <w:top w:val="nil"/>
              <w:left w:val="nil"/>
              <w:bottom w:val="nil"/>
              <w:right w:val="nil"/>
            </w:tcBorders>
            <w:shd w:val="clear" w:color="000000" w:fill="C9E3B4"/>
            <w:noWrap/>
            <w:vAlign w:val="center"/>
            <w:hideMark/>
          </w:tcPr>
          <w:p w14:paraId="3C03BCF8" w14:textId="77777777" w:rsidR="00DA5BCA" w:rsidRPr="00092B22" w:rsidRDefault="00DA5BC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6,223 </w:t>
            </w:r>
          </w:p>
        </w:tc>
        <w:tc>
          <w:tcPr>
            <w:tcW w:w="218" w:type="dxa"/>
            <w:tcBorders>
              <w:top w:val="nil"/>
              <w:left w:val="nil"/>
              <w:bottom w:val="nil"/>
              <w:right w:val="nil"/>
            </w:tcBorders>
            <w:shd w:val="clear" w:color="auto" w:fill="auto"/>
            <w:noWrap/>
            <w:vAlign w:val="center"/>
            <w:hideMark/>
          </w:tcPr>
          <w:p w14:paraId="76754E35" w14:textId="77777777" w:rsidR="00DA5BCA" w:rsidRPr="00092B22" w:rsidRDefault="00DA5BCA" w:rsidP="00E607DA">
            <w:pPr>
              <w:jc w:val="right"/>
              <w:rPr>
                <w:rFonts w:ascii="Meta Pro" w:eastAsia="Times New Roman" w:hAnsi="Meta Pro"/>
                <w:szCs w:val="18"/>
                <w:lang w:eastAsia="en-AU"/>
              </w:rPr>
            </w:pPr>
          </w:p>
        </w:tc>
        <w:tc>
          <w:tcPr>
            <w:tcW w:w="1165" w:type="dxa"/>
            <w:tcBorders>
              <w:top w:val="nil"/>
              <w:left w:val="nil"/>
              <w:bottom w:val="single" w:sz="4" w:space="0" w:color="auto"/>
              <w:right w:val="nil"/>
            </w:tcBorders>
            <w:shd w:val="clear" w:color="auto" w:fill="auto"/>
            <w:noWrap/>
            <w:vAlign w:val="center"/>
            <w:hideMark/>
          </w:tcPr>
          <w:p w14:paraId="0D463879" w14:textId="77777777" w:rsidR="00DA5BCA" w:rsidRPr="00092B22" w:rsidRDefault="00DA5BCA"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4,267 </w:t>
            </w:r>
          </w:p>
        </w:tc>
      </w:tr>
      <w:tr w:rsidR="00DA5BCA" w:rsidRPr="00092B22" w14:paraId="0DB836B1" w14:textId="77777777" w:rsidTr="00B07A53">
        <w:trPr>
          <w:trHeight w:val="240"/>
        </w:trPr>
        <w:tc>
          <w:tcPr>
            <w:tcW w:w="7090" w:type="dxa"/>
            <w:tcBorders>
              <w:top w:val="single" w:sz="4" w:space="0" w:color="auto"/>
              <w:left w:val="nil"/>
              <w:bottom w:val="double" w:sz="6" w:space="0" w:color="auto"/>
              <w:right w:val="nil"/>
            </w:tcBorders>
            <w:shd w:val="clear" w:color="auto" w:fill="auto"/>
            <w:noWrap/>
            <w:vAlign w:val="center"/>
            <w:hideMark/>
          </w:tcPr>
          <w:p w14:paraId="170F2E7A" w14:textId="77777777" w:rsidR="00DA5BCA" w:rsidRPr="00092B22" w:rsidRDefault="00DA5BCA" w:rsidP="00E607DA">
            <w:pPr>
              <w:rPr>
                <w:rFonts w:ascii="Meta Pro" w:eastAsia="Times New Roman" w:hAnsi="Meta Pro"/>
                <w:b/>
                <w:bCs/>
                <w:szCs w:val="18"/>
                <w:lang w:eastAsia="en-AU"/>
              </w:rPr>
            </w:pPr>
            <w:r w:rsidRPr="00092B22">
              <w:rPr>
                <w:rFonts w:ascii="Meta Pro" w:eastAsia="Times New Roman" w:hAnsi="Meta Pro"/>
                <w:b/>
                <w:bCs/>
                <w:szCs w:val="18"/>
                <w:lang w:eastAsia="en-AU"/>
              </w:rPr>
              <w:t>Total</w:t>
            </w:r>
          </w:p>
        </w:tc>
        <w:tc>
          <w:tcPr>
            <w:tcW w:w="1165" w:type="dxa"/>
            <w:tcBorders>
              <w:top w:val="single" w:sz="4" w:space="0" w:color="auto"/>
              <w:left w:val="nil"/>
              <w:bottom w:val="double" w:sz="6" w:space="0" w:color="auto"/>
              <w:right w:val="nil"/>
            </w:tcBorders>
            <w:shd w:val="clear" w:color="000000" w:fill="C9E3B4"/>
            <w:noWrap/>
            <w:vAlign w:val="center"/>
            <w:hideMark/>
          </w:tcPr>
          <w:p w14:paraId="3C76CA39" w14:textId="77777777" w:rsidR="00DA5BCA" w:rsidRPr="00092B22" w:rsidRDefault="00DA5BCA"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234,194 </w:t>
            </w:r>
          </w:p>
        </w:tc>
        <w:tc>
          <w:tcPr>
            <w:tcW w:w="218" w:type="dxa"/>
            <w:tcBorders>
              <w:top w:val="single" w:sz="4" w:space="0" w:color="auto"/>
              <w:left w:val="nil"/>
              <w:bottom w:val="double" w:sz="6" w:space="0" w:color="auto"/>
              <w:right w:val="nil"/>
            </w:tcBorders>
            <w:shd w:val="clear" w:color="auto" w:fill="auto"/>
            <w:noWrap/>
            <w:vAlign w:val="center"/>
            <w:hideMark/>
          </w:tcPr>
          <w:p w14:paraId="3438C69F" w14:textId="77777777" w:rsidR="00DA5BCA" w:rsidRPr="00092B22" w:rsidRDefault="00DA5BCA" w:rsidP="00E607DA">
            <w:pPr>
              <w:jc w:val="right"/>
              <w:rPr>
                <w:rFonts w:ascii="Meta Pro" w:eastAsia="Times New Roman" w:hAnsi="Meta Pro"/>
                <w:szCs w:val="18"/>
                <w:lang w:eastAsia="en-AU"/>
              </w:rPr>
            </w:pPr>
            <w:r w:rsidRPr="00092B22">
              <w:rPr>
                <w:rFonts w:ascii="Meta Pro" w:eastAsia="Times New Roman" w:hAnsi="Meta Pro"/>
                <w:szCs w:val="18"/>
                <w:lang w:eastAsia="en-AU"/>
              </w:rPr>
              <w:t> </w:t>
            </w:r>
          </w:p>
        </w:tc>
        <w:tc>
          <w:tcPr>
            <w:tcW w:w="1165" w:type="dxa"/>
            <w:tcBorders>
              <w:top w:val="nil"/>
              <w:left w:val="nil"/>
              <w:bottom w:val="double" w:sz="6" w:space="0" w:color="auto"/>
              <w:right w:val="nil"/>
            </w:tcBorders>
            <w:shd w:val="clear" w:color="auto" w:fill="auto"/>
            <w:noWrap/>
            <w:vAlign w:val="center"/>
            <w:hideMark/>
          </w:tcPr>
          <w:p w14:paraId="01289A68" w14:textId="77777777" w:rsidR="00DA5BCA" w:rsidRPr="00092B22" w:rsidRDefault="00DA5BCA"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191,118 </w:t>
            </w:r>
          </w:p>
        </w:tc>
      </w:tr>
    </w:tbl>
    <w:p w14:paraId="6F16CC89" w14:textId="77777777" w:rsidR="00DA5BCA" w:rsidRPr="00092B22" w:rsidRDefault="00DA5BCA" w:rsidP="00DA5BCA">
      <w:pPr>
        <w:spacing w:before="120"/>
        <w:rPr>
          <w:rFonts w:ascii="Meta Pro" w:eastAsia="Times New Roman" w:hAnsi="Meta Pro"/>
          <w:sz w:val="16"/>
          <w:szCs w:val="16"/>
          <w:lang w:eastAsia="en-AU"/>
        </w:rPr>
      </w:pPr>
      <w:r w:rsidRPr="00092B22">
        <w:rPr>
          <w:rFonts w:ascii="Meta Pro" w:eastAsia="Times New Roman" w:hAnsi="Meta Pro"/>
          <w:sz w:val="16"/>
          <w:szCs w:val="16"/>
          <w:lang w:eastAsia="en-AU"/>
        </w:rPr>
        <w:t>* Advance payments received from Queensland Reconstruction Authority for projects relating to natural disasters.</w:t>
      </w:r>
    </w:p>
    <w:p w14:paraId="164CEF1C" w14:textId="77777777" w:rsidR="006E2A4F" w:rsidRDefault="00DA5BCA" w:rsidP="00DA5BCA">
      <w:pPr>
        <w:spacing w:before="120"/>
        <w:rPr>
          <w:rFonts w:ascii="Meta Pro" w:eastAsia="Times New Roman" w:hAnsi="Meta Pro"/>
          <w:sz w:val="16"/>
          <w:szCs w:val="16"/>
          <w:lang w:eastAsia="en-AU"/>
        </w:rPr>
      </w:pPr>
      <w:r w:rsidRPr="00092B22">
        <w:rPr>
          <w:rFonts w:ascii="Meta Pro" w:eastAsia="Times New Roman" w:hAnsi="Meta Pro"/>
          <w:sz w:val="16"/>
          <w:szCs w:val="16"/>
          <w:lang w:eastAsia="en-AU"/>
        </w:rPr>
        <w:t>** Land acquisition payments received from the Australian Rail Track Corporation (ARTC) for the Inland Rail project.</w:t>
      </w:r>
    </w:p>
    <w:p w14:paraId="310213B5" w14:textId="37280B79" w:rsidR="00DA5BCA" w:rsidRPr="00092B22" w:rsidRDefault="00DA5BCA" w:rsidP="00DA5BCA">
      <w:pPr>
        <w:spacing w:before="120"/>
        <w:rPr>
          <w:rFonts w:ascii="Meta Pro" w:eastAsia="Times New Roman" w:hAnsi="Meta Pro"/>
          <w:sz w:val="16"/>
          <w:szCs w:val="16"/>
          <w:lang w:eastAsia="en-AU"/>
        </w:rPr>
      </w:pPr>
      <w:r w:rsidRPr="00092B22">
        <w:rPr>
          <w:rFonts w:ascii="Meta Pro" w:eastAsia="Times New Roman" w:hAnsi="Meta Pro"/>
          <w:sz w:val="16"/>
          <w:szCs w:val="16"/>
          <w:lang w:eastAsia="en-AU"/>
        </w:rPr>
        <w:t xml:space="preserve">*** Represents unused </w:t>
      </w:r>
      <w:r w:rsidRPr="00092B22">
        <w:rPr>
          <w:rFonts w:ascii="Meta Pro" w:eastAsia="Times New Roman" w:hAnsi="Meta Pro"/>
          <w:i/>
          <w:iCs/>
          <w:sz w:val="16"/>
          <w:szCs w:val="16"/>
          <w:lang w:eastAsia="en-AU"/>
        </w:rPr>
        <w:t>go</w:t>
      </w:r>
      <w:r w:rsidRPr="00092B22">
        <w:rPr>
          <w:rFonts w:ascii="Meta Pro" w:eastAsia="Times New Roman" w:hAnsi="Meta Pro"/>
          <w:sz w:val="16"/>
          <w:szCs w:val="16"/>
          <w:lang w:eastAsia="en-AU"/>
        </w:rPr>
        <w:t xml:space="preserve"> card balances which are recognised as revenue as patrons undertake travel.</w:t>
      </w:r>
    </w:p>
    <w:p w14:paraId="4EF2F2C4" w14:textId="77777777" w:rsidR="00F248B0" w:rsidRPr="00A7631E" w:rsidRDefault="00F248B0" w:rsidP="00F248B0">
      <w:pPr>
        <w:rPr>
          <w:rFonts w:ascii="Meta Pro" w:hAnsi="Meta Pro" w:cstheme="minorBidi"/>
        </w:rPr>
      </w:pPr>
    </w:p>
    <w:tbl>
      <w:tblPr>
        <w:tblW w:w="0" w:type="auto"/>
        <w:tblCellMar>
          <w:left w:w="0" w:type="dxa"/>
        </w:tblCellMar>
        <w:tblLook w:val="04A0" w:firstRow="1" w:lastRow="0" w:firstColumn="1" w:lastColumn="0" w:noHBand="0" w:noVBand="1"/>
      </w:tblPr>
      <w:tblGrid>
        <w:gridCol w:w="7090"/>
        <w:gridCol w:w="1165"/>
        <w:gridCol w:w="218"/>
        <w:gridCol w:w="1165"/>
      </w:tblGrid>
      <w:tr w:rsidR="00F248B0" w:rsidRPr="00A7631E" w14:paraId="554217DA" w14:textId="77777777" w:rsidTr="00E607DA">
        <w:trPr>
          <w:trHeight w:val="240"/>
        </w:trPr>
        <w:tc>
          <w:tcPr>
            <w:tcW w:w="7476" w:type="dxa"/>
            <w:tcBorders>
              <w:top w:val="nil"/>
              <w:left w:val="nil"/>
              <w:bottom w:val="nil"/>
              <w:right w:val="nil"/>
            </w:tcBorders>
            <w:shd w:val="clear" w:color="auto" w:fill="auto"/>
            <w:noWrap/>
            <w:vAlign w:val="center"/>
            <w:hideMark/>
          </w:tcPr>
          <w:p w14:paraId="595839D2" w14:textId="77777777" w:rsidR="00F248B0" w:rsidRPr="00A7631E" w:rsidRDefault="00F248B0" w:rsidP="00E607DA">
            <w:pPr>
              <w:rPr>
                <w:rFonts w:ascii="Meta Pro" w:eastAsia="Times New Roman" w:hAnsi="Meta Pro" w:cs="Times New Roman"/>
                <w:sz w:val="24"/>
                <w:szCs w:val="24"/>
                <w:lang w:eastAsia="en-AU"/>
              </w:rPr>
            </w:pPr>
          </w:p>
        </w:tc>
        <w:tc>
          <w:tcPr>
            <w:tcW w:w="1216" w:type="dxa"/>
            <w:tcBorders>
              <w:top w:val="nil"/>
              <w:left w:val="nil"/>
              <w:bottom w:val="nil"/>
              <w:right w:val="nil"/>
            </w:tcBorders>
            <w:shd w:val="clear" w:color="auto" w:fill="auto"/>
            <w:noWrap/>
            <w:vAlign w:val="center"/>
            <w:hideMark/>
          </w:tcPr>
          <w:p w14:paraId="28AF075B" w14:textId="77777777" w:rsidR="00F248B0" w:rsidRPr="00A7631E" w:rsidRDefault="00F248B0" w:rsidP="00E607DA">
            <w:pPr>
              <w:jc w:val="center"/>
              <w:rPr>
                <w:rFonts w:ascii="Meta Pro" w:eastAsia="Times New Roman" w:hAnsi="Meta Pro"/>
                <w:b/>
                <w:bCs/>
                <w:lang w:eastAsia="en-AU"/>
              </w:rPr>
            </w:pPr>
            <w:r w:rsidRPr="00A7631E">
              <w:rPr>
                <w:rFonts w:ascii="Meta Pro" w:eastAsia="Times New Roman" w:hAnsi="Meta Pro"/>
                <w:b/>
                <w:bCs/>
                <w:lang w:eastAsia="en-AU"/>
              </w:rPr>
              <w:t>2022</w:t>
            </w:r>
          </w:p>
        </w:tc>
        <w:tc>
          <w:tcPr>
            <w:tcW w:w="216" w:type="dxa"/>
            <w:tcBorders>
              <w:top w:val="nil"/>
              <w:left w:val="nil"/>
              <w:bottom w:val="nil"/>
              <w:right w:val="nil"/>
            </w:tcBorders>
            <w:shd w:val="clear" w:color="auto" w:fill="auto"/>
            <w:noWrap/>
            <w:vAlign w:val="center"/>
            <w:hideMark/>
          </w:tcPr>
          <w:p w14:paraId="5DB9EE45" w14:textId="77777777" w:rsidR="00F248B0" w:rsidRPr="00A7631E" w:rsidRDefault="00F248B0" w:rsidP="00E607DA">
            <w:pPr>
              <w:jc w:val="center"/>
              <w:rPr>
                <w:rFonts w:ascii="Meta Pro" w:eastAsia="Times New Roman" w:hAnsi="Meta Pro"/>
                <w:b/>
                <w:bCs/>
                <w:lang w:eastAsia="en-AU"/>
              </w:rPr>
            </w:pPr>
          </w:p>
        </w:tc>
        <w:tc>
          <w:tcPr>
            <w:tcW w:w="1216" w:type="dxa"/>
            <w:tcBorders>
              <w:top w:val="nil"/>
              <w:left w:val="nil"/>
              <w:bottom w:val="nil"/>
              <w:right w:val="nil"/>
            </w:tcBorders>
            <w:shd w:val="clear" w:color="auto" w:fill="auto"/>
            <w:noWrap/>
            <w:vAlign w:val="center"/>
            <w:hideMark/>
          </w:tcPr>
          <w:p w14:paraId="40F6C075" w14:textId="77777777" w:rsidR="00F248B0" w:rsidRPr="00A7631E" w:rsidRDefault="00F248B0" w:rsidP="00E607DA">
            <w:pPr>
              <w:jc w:val="center"/>
              <w:rPr>
                <w:rFonts w:ascii="Meta Pro" w:eastAsia="Times New Roman" w:hAnsi="Meta Pro"/>
                <w:b/>
                <w:bCs/>
                <w:lang w:eastAsia="en-AU"/>
              </w:rPr>
            </w:pPr>
            <w:r w:rsidRPr="00A7631E">
              <w:rPr>
                <w:rFonts w:ascii="Meta Pro" w:eastAsia="Times New Roman" w:hAnsi="Meta Pro"/>
                <w:b/>
                <w:bCs/>
                <w:lang w:eastAsia="en-AU"/>
              </w:rPr>
              <w:t>2021</w:t>
            </w:r>
          </w:p>
        </w:tc>
      </w:tr>
      <w:tr w:rsidR="00F248B0" w:rsidRPr="00A7631E" w14:paraId="74B1C992" w14:textId="77777777" w:rsidTr="00E607DA">
        <w:trPr>
          <w:trHeight w:val="240"/>
        </w:trPr>
        <w:tc>
          <w:tcPr>
            <w:tcW w:w="7476" w:type="dxa"/>
            <w:tcBorders>
              <w:top w:val="nil"/>
              <w:left w:val="nil"/>
              <w:bottom w:val="nil"/>
              <w:right w:val="nil"/>
            </w:tcBorders>
            <w:shd w:val="clear" w:color="auto" w:fill="auto"/>
            <w:noWrap/>
            <w:vAlign w:val="center"/>
            <w:hideMark/>
          </w:tcPr>
          <w:p w14:paraId="6399EDBF" w14:textId="77777777" w:rsidR="00F248B0" w:rsidRPr="00A7631E" w:rsidRDefault="00F248B0" w:rsidP="00E607DA">
            <w:pPr>
              <w:jc w:val="center"/>
              <w:rPr>
                <w:rFonts w:ascii="Meta Pro" w:eastAsia="Times New Roman" w:hAnsi="Meta Pro"/>
                <w:b/>
                <w:bCs/>
                <w:lang w:eastAsia="en-AU"/>
              </w:rPr>
            </w:pPr>
          </w:p>
        </w:tc>
        <w:tc>
          <w:tcPr>
            <w:tcW w:w="1216" w:type="dxa"/>
            <w:tcBorders>
              <w:top w:val="nil"/>
              <w:left w:val="nil"/>
              <w:bottom w:val="nil"/>
              <w:right w:val="nil"/>
            </w:tcBorders>
            <w:shd w:val="clear" w:color="auto" w:fill="auto"/>
            <w:noWrap/>
            <w:vAlign w:val="center"/>
            <w:hideMark/>
          </w:tcPr>
          <w:p w14:paraId="23429347" w14:textId="77777777" w:rsidR="00F248B0" w:rsidRPr="00A7631E" w:rsidRDefault="00F248B0" w:rsidP="00E607DA">
            <w:pPr>
              <w:jc w:val="center"/>
              <w:rPr>
                <w:rFonts w:ascii="Meta Pro" w:eastAsia="Times New Roman" w:hAnsi="Meta Pro"/>
                <w:b/>
                <w:bCs/>
                <w:lang w:eastAsia="en-AU"/>
              </w:rPr>
            </w:pPr>
            <w:r w:rsidRPr="00A7631E">
              <w:rPr>
                <w:rFonts w:ascii="Meta Pro" w:eastAsia="Times New Roman" w:hAnsi="Meta Pro"/>
                <w:b/>
                <w:bCs/>
                <w:lang w:eastAsia="en-AU"/>
              </w:rPr>
              <w:t>$'000</w:t>
            </w:r>
          </w:p>
        </w:tc>
        <w:tc>
          <w:tcPr>
            <w:tcW w:w="216" w:type="dxa"/>
            <w:tcBorders>
              <w:top w:val="nil"/>
              <w:left w:val="nil"/>
              <w:bottom w:val="nil"/>
              <w:right w:val="nil"/>
            </w:tcBorders>
            <w:shd w:val="clear" w:color="auto" w:fill="auto"/>
            <w:noWrap/>
            <w:vAlign w:val="center"/>
            <w:hideMark/>
          </w:tcPr>
          <w:p w14:paraId="4C18CAEE" w14:textId="77777777" w:rsidR="00F248B0" w:rsidRPr="00A7631E" w:rsidRDefault="00F248B0" w:rsidP="00E607DA">
            <w:pPr>
              <w:jc w:val="center"/>
              <w:rPr>
                <w:rFonts w:ascii="Meta Pro" w:eastAsia="Times New Roman" w:hAnsi="Meta Pro"/>
                <w:b/>
                <w:bCs/>
                <w:lang w:eastAsia="en-AU"/>
              </w:rPr>
            </w:pPr>
          </w:p>
        </w:tc>
        <w:tc>
          <w:tcPr>
            <w:tcW w:w="1216" w:type="dxa"/>
            <w:tcBorders>
              <w:top w:val="nil"/>
              <w:left w:val="nil"/>
              <w:bottom w:val="nil"/>
              <w:right w:val="nil"/>
            </w:tcBorders>
            <w:shd w:val="clear" w:color="auto" w:fill="auto"/>
            <w:noWrap/>
            <w:vAlign w:val="center"/>
            <w:hideMark/>
          </w:tcPr>
          <w:p w14:paraId="6E2DF8E1" w14:textId="77777777" w:rsidR="00F248B0" w:rsidRPr="00A7631E" w:rsidRDefault="00F248B0" w:rsidP="00E607DA">
            <w:pPr>
              <w:jc w:val="center"/>
              <w:rPr>
                <w:rFonts w:ascii="Meta Pro" w:eastAsia="Times New Roman" w:hAnsi="Meta Pro"/>
                <w:b/>
                <w:bCs/>
                <w:lang w:eastAsia="en-AU"/>
              </w:rPr>
            </w:pPr>
            <w:r w:rsidRPr="00A7631E">
              <w:rPr>
                <w:rFonts w:ascii="Meta Pro" w:eastAsia="Times New Roman" w:hAnsi="Meta Pro"/>
                <w:b/>
                <w:bCs/>
                <w:lang w:eastAsia="en-AU"/>
              </w:rPr>
              <w:t>$'000</w:t>
            </w:r>
          </w:p>
        </w:tc>
      </w:tr>
      <w:tr w:rsidR="00F248B0" w:rsidRPr="00A7631E" w14:paraId="081BFAD5" w14:textId="77777777" w:rsidTr="00E607DA">
        <w:trPr>
          <w:trHeight w:val="240"/>
        </w:trPr>
        <w:tc>
          <w:tcPr>
            <w:tcW w:w="7476" w:type="dxa"/>
            <w:tcBorders>
              <w:top w:val="nil"/>
              <w:left w:val="nil"/>
              <w:bottom w:val="nil"/>
              <w:right w:val="nil"/>
            </w:tcBorders>
            <w:shd w:val="clear" w:color="auto" w:fill="auto"/>
            <w:noWrap/>
            <w:vAlign w:val="center"/>
            <w:hideMark/>
          </w:tcPr>
          <w:p w14:paraId="638ECD5D" w14:textId="77777777" w:rsidR="00F248B0" w:rsidRPr="00A7631E" w:rsidRDefault="00F248B0" w:rsidP="00E607DA">
            <w:pPr>
              <w:rPr>
                <w:rFonts w:ascii="Meta Pro" w:eastAsia="Times New Roman" w:hAnsi="Meta Pro"/>
                <w:b/>
                <w:bCs/>
                <w:lang w:eastAsia="en-AU"/>
              </w:rPr>
            </w:pPr>
            <w:r w:rsidRPr="00A7631E">
              <w:rPr>
                <w:rFonts w:ascii="Meta Pro" w:eastAsia="Times New Roman" w:hAnsi="Meta Pro"/>
                <w:b/>
                <w:bCs/>
                <w:lang w:eastAsia="en-AU"/>
              </w:rPr>
              <w:t>22    INCOME TAX EQUIVALENTS</w:t>
            </w:r>
          </w:p>
        </w:tc>
        <w:tc>
          <w:tcPr>
            <w:tcW w:w="1216" w:type="dxa"/>
            <w:tcBorders>
              <w:top w:val="nil"/>
              <w:left w:val="nil"/>
              <w:bottom w:val="nil"/>
              <w:right w:val="nil"/>
            </w:tcBorders>
            <w:shd w:val="clear" w:color="auto" w:fill="auto"/>
            <w:noWrap/>
            <w:vAlign w:val="center"/>
            <w:hideMark/>
          </w:tcPr>
          <w:p w14:paraId="78695534" w14:textId="77777777" w:rsidR="00F248B0" w:rsidRPr="00A7631E" w:rsidRDefault="00F248B0" w:rsidP="00E607DA">
            <w:pPr>
              <w:rPr>
                <w:rFonts w:ascii="Meta Pro" w:eastAsia="Times New Roman" w:hAnsi="Meta Pro"/>
                <w:b/>
                <w:bCs/>
                <w:lang w:eastAsia="en-AU"/>
              </w:rPr>
            </w:pPr>
          </w:p>
        </w:tc>
        <w:tc>
          <w:tcPr>
            <w:tcW w:w="216" w:type="dxa"/>
            <w:tcBorders>
              <w:top w:val="nil"/>
              <w:left w:val="nil"/>
              <w:bottom w:val="nil"/>
              <w:right w:val="nil"/>
            </w:tcBorders>
            <w:shd w:val="clear" w:color="auto" w:fill="auto"/>
            <w:noWrap/>
            <w:vAlign w:val="center"/>
            <w:hideMark/>
          </w:tcPr>
          <w:p w14:paraId="7BF6A5B9" w14:textId="77777777" w:rsidR="00F248B0" w:rsidRPr="00A7631E" w:rsidRDefault="00F248B0" w:rsidP="00E607DA">
            <w:pPr>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40409189" w14:textId="77777777" w:rsidR="00F248B0" w:rsidRPr="00A7631E" w:rsidRDefault="00F248B0" w:rsidP="00E607DA">
            <w:pPr>
              <w:rPr>
                <w:rFonts w:ascii="Meta Pro" w:eastAsia="Times New Roman" w:hAnsi="Meta Pro" w:cs="Times New Roman"/>
                <w:sz w:val="20"/>
                <w:szCs w:val="20"/>
                <w:lang w:eastAsia="en-AU"/>
              </w:rPr>
            </w:pPr>
          </w:p>
        </w:tc>
      </w:tr>
      <w:tr w:rsidR="00F248B0" w:rsidRPr="00A7631E" w14:paraId="5AA30C20" w14:textId="77777777" w:rsidTr="00E607DA">
        <w:trPr>
          <w:trHeight w:val="90"/>
        </w:trPr>
        <w:tc>
          <w:tcPr>
            <w:tcW w:w="7476" w:type="dxa"/>
            <w:tcBorders>
              <w:top w:val="nil"/>
              <w:left w:val="nil"/>
              <w:bottom w:val="nil"/>
              <w:right w:val="nil"/>
            </w:tcBorders>
            <w:shd w:val="clear" w:color="auto" w:fill="auto"/>
            <w:noWrap/>
            <w:vAlign w:val="center"/>
            <w:hideMark/>
          </w:tcPr>
          <w:p w14:paraId="34726A7D" w14:textId="77777777" w:rsidR="00F248B0" w:rsidRPr="00A7631E" w:rsidRDefault="00F248B0" w:rsidP="00E607DA">
            <w:pPr>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246BFE3A" w14:textId="77777777" w:rsidR="00F248B0" w:rsidRPr="00A7631E" w:rsidRDefault="00F248B0" w:rsidP="00E607DA">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5E04AF1D" w14:textId="77777777" w:rsidR="00F248B0" w:rsidRPr="00A7631E" w:rsidRDefault="00F248B0" w:rsidP="00E607DA">
            <w:pPr>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74BEE6A4" w14:textId="77777777" w:rsidR="00F248B0" w:rsidRPr="00A7631E" w:rsidRDefault="00F248B0" w:rsidP="00E607DA">
            <w:pPr>
              <w:rPr>
                <w:rFonts w:ascii="Meta Pro" w:eastAsia="Times New Roman" w:hAnsi="Meta Pro" w:cs="Times New Roman"/>
                <w:sz w:val="20"/>
                <w:szCs w:val="20"/>
                <w:lang w:eastAsia="en-AU"/>
              </w:rPr>
            </w:pPr>
          </w:p>
        </w:tc>
      </w:tr>
      <w:tr w:rsidR="00F248B0" w:rsidRPr="00A7631E" w14:paraId="22F141F1" w14:textId="77777777" w:rsidTr="00E607DA">
        <w:trPr>
          <w:trHeight w:val="240"/>
        </w:trPr>
        <w:tc>
          <w:tcPr>
            <w:tcW w:w="7476" w:type="dxa"/>
            <w:tcBorders>
              <w:top w:val="nil"/>
              <w:left w:val="nil"/>
              <w:bottom w:val="nil"/>
              <w:right w:val="nil"/>
            </w:tcBorders>
            <w:shd w:val="clear" w:color="auto" w:fill="auto"/>
            <w:noWrap/>
            <w:vAlign w:val="center"/>
            <w:hideMark/>
          </w:tcPr>
          <w:p w14:paraId="3C150CDB" w14:textId="77777777" w:rsidR="00F248B0" w:rsidRPr="00A7631E" w:rsidRDefault="00F248B0" w:rsidP="00E607DA">
            <w:pPr>
              <w:rPr>
                <w:rFonts w:ascii="Meta Pro" w:eastAsia="Times New Roman" w:hAnsi="Meta Pro"/>
                <w:b/>
                <w:bCs/>
                <w:szCs w:val="18"/>
                <w:lang w:eastAsia="en-AU"/>
              </w:rPr>
            </w:pPr>
            <w:r w:rsidRPr="00A7631E">
              <w:rPr>
                <w:rFonts w:ascii="Meta Pro" w:eastAsia="Times New Roman" w:hAnsi="Meta Pro"/>
                <w:b/>
                <w:bCs/>
                <w:szCs w:val="18"/>
                <w:lang w:eastAsia="en-AU"/>
              </w:rPr>
              <w:t>Income tax equivalent expense</w:t>
            </w:r>
          </w:p>
        </w:tc>
        <w:tc>
          <w:tcPr>
            <w:tcW w:w="1216" w:type="dxa"/>
            <w:tcBorders>
              <w:top w:val="nil"/>
              <w:left w:val="nil"/>
              <w:bottom w:val="nil"/>
              <w:right w:val="nil"/>
            </w:tcBorders>
            <w:shd w:val="clear" w:color="auto" w:fill="auto"/>
            <w:noWrap/>
            <w:vAlign w:val="center"/>
            <w:hideMark/>
          </w:tcPr>
          <w:p w14:paraId="0E9AF040" w14:textId="77777777" w:rsidR="00F248B0" w:rsidRPr="00A7631E" w:rsidRDefault="00F248B0" w:rsidP="00E607DA">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68FF6DB0" w14:textId="77777777" w:rsidR="00F248B0" w:rsidRPr="00A7631E" w:rsidRDefault="00F248B0"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2A1FD9BF" w14:textId="77777777" w:rsidR="00F248B0" w:rsidRPr="00A7631E" w:rsidRDefault="00F248B0" w:rsidP="00E607DA">
            <w:pPr>
              <w:jc w:val="right"/>
              <w:rPr>
                <w:rFonts w:ascii="Meta Pro" w:eastAsia="Times New Roman" w:hAnsi="Meta Pro" w:cs="Times New Roman"/>
                <w:sz w:val="20"/>
                <w:szCs w:val="20"/>
                <w:lang w:eastAsia="en-AU"/>
              </w:rPr>
            </w:pPr>
          </w:p>
        </w:tc>
      </w:tr>
      <w:tr w:rsidR="00F248B0" w:rsidRPr="00A7631E" w14:paraId="701D1C0B" w14:textId="77777777" w:rsidTr="00E607DA">
        <w:trPr>
          <w:trHeight w:val="90"/>
        </w:trPr>
        <w:tc>
          <w:tcPr>
            <w:tcW w:w="7476" w:type="dxa"/>
            <w:tcBorders>
              <w:top w:val="nil"/>
              <w:left w:val="nil"/>
              <w:bottom w:val="nil"/>
              <w:right w:val="nil"/>
            </w:tcBorders>
            <w:shd w:val="clear" w:color="auto" w:fill="auto"/>
            <w:noWrap/>
            <w:vAlign w:val="center"/>
            <w:hideMark/>
          </w:tcPr>
          <w:p w14:paraId="1C7B6DF4" w14:textId="77777777" w:rsidR="00F248B0" w:rsidRPr="00A7631E" w:rsidRDefault="00F248B0"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4635F458" w14:textId="77777777" w:rsidR="00F248B0" w:rsidRPr="00A7631E" w:rsidRDefault="00F248B0" w:rsidP="00E607DA">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1EEBB17B" w14:textId="77777777" w:rsidR="00F248B0" w:rsidRPr="00A7631E" w:rsidRDefault="00F248B0"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53048989" w14:textId="77777777" w:rsidR="00F248B0" w:rsidRPr="00A7631E" w:rsidRDefault="00F248B0" w:rsidP="00E607DA">
            <w:pPr>
              <w:jc w:val="right"/>
              <w:rPr>
                <w:rFonts w:ascii="Meta Pro" w:eastAsia="Times New Roman" w:hAnsi="Meta Pro" w:cs="Times New Roman"/>
                <w:sz w:val="20"/>
                <w:szCs w:val="20"/>
                <w:lang w:eastAsia="en-AU"/>
              </w:rPr>
            </w:pPr>
          </w:p>
        </w:tc>
      </w:tr>
      <w:tr w:rsidR="00F248B0" w:rsidRPr="00A7631E" w14:paraId="0DB4B9D3" w14:textId="77777777" w:rsidTr="00E607DA">
        <w:trPr>
          <w:trHeight w:val="240"/>
        </w:trPr>
        <w:tc>
          <w:tcPr>
            <w:tcW w:w="7476" w:type="dxa"/>
            <w:tcBorders>
              <w:top w:val="nil"/>
              <w:left w:val="nil"/>
              <w:bottom w:val="nil"/>
              <w:right w:val="nil"/>
            </w:tcBorders>
            <w:shd w:val="clear" w:color="auto" w:fill="auto"/>
            <w:noWrap/>
            <w:vAlign w:val="center"/>
            <w:hideMark/>
          </w:tcPr>
          <w:p w14:paraId="27C9B295" w14:textId="77777777" w:rsidR="00F248B0" w:rsidRPr="00A7631E" w:rsidRDefault="00F248B0" w:rsidP="00E607DA">
            <w:pPr>
              <w:rPr>
                <w:rFonts w:ascii="Meta Pro" w:eastAsia="Times New Roman" w:hAnsi="Meta Pro"/>
                <w:szCs w:val="18"/>
                <w:lang w:eastAsia="en-AU"/>
              </w:rPr>
            </w:pPr>
            <w:r w:rsidRPr="00A7631E">
              <w:rPr>
                <w:rFonts w:ascii="Meta Pro" w:eastAsia="Times New Roman" w:hAnsi="Meta Pro"/>
                <w:szCs w:val="18"/>
                <w:lang w:eastAsia="en-AU"/>
              </w:rPr>
              <w:t xml:space="preserve">Current tax equivalents </w:t>
            </w:r>
          </w:p>
        </w:tc>
        <w:tc>
          <w:tcPr>
            <w:tcW w:w="1216" w:type="dxa"/>
            <w:tcBorders>
              <w:top w:val="nil"/>
              <w:left w:val="nil"/>
              <w:bottom w:val="nil"/>
              <w:right w:val="nil"/>
            </w:tcBorders>
            <w:shd w:val="clear" w:color="000000" w:fill="C9E3B4"/>
            <w:noWrap/>
            <w:vAlign w:val="center"/>
            <w:hideMark/>
          </w:tcPr>
          <w:p w14:paraId="7FD4B6D9" w14:textId="77777777" w:rsidR="00F248B0" w:rsidRPr="00A7631E" w:rsidRDefault="00F248B0" w:rsidP="00E607DA">
            <w:pPr>
              <w:jc w:val="right"/>
              <w:rPr>
                <w:rFonts w:ascii="Meta Pro" w:eastAsia="Times New Roman" w:hAnsi="Meta Pro"/>
                <w:szCs w:val="18"/>
                <w:lang w:eastAsia="en-AU"/>
              </w:rPr>
            </w:pPr>
            <w:r w:rsidRPr="00A7631E">
              <w:rPr>
                <w:rFonts w:ascii="Meta Pro" w:eastAsia="Times New Roman" w:hAnsi="Meta Pro"/>
                <w:szCs w:val="18"/>
                <w:lang w:eastAsia="en-AU"/>
              </w:rPr>
              <w:t xml:space="preserve">9,500 </w:t>
            </w:r>
          </w:p>
        </w:tc>
        <w:tc>
          <w:tcPr>
            <w:tcW w:w="216" w:type="dxa"/>
            <w:tcBorders>
              <w:top w:val="nil"/>
              <w:left w:val="nil"/>
              <w:bottom w:val="nil"/>
              <w:right w:val="nil"/>
            </w:tcBorders>
            <w:shd w:val="clear" w:color="auto" w:fill="auto"/>
            <w:noWrap/>
            <w:vAlign w:val="center"/>
            <w:hideMark/>
          </w:tcPr>
          <w:p w14:paraId="1E778FEE" w14:textId="77777777" w:rsidR="00F248B0" w:rsidRPr="00A7631E" w:rsidRDefault="00F248B0"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6BD962EB" w14:textId="77777777" w:rsidR="00F248B0" w:rsidRPr="00A7631E" w:rsidRDefault="00F248B0" w:rsidP="00E607DA">
            <w:pPr>
              <w:jc w:val="right"/>
              <w:rPr>
                <w:rFonts w:ascii="Meta Pro" w:eastAsia="Times New Roman" w:hAnsi="Meta Pro"/>
                <w:szCs w:val="18"/>
                <w:lang w:eastAsia="en-AU"/>
              </w:rPr>
            </w:pPr>
            <w:r w:rsidRPr="00A7631E">
              <w:rPr>
                <w:rFonts w:ascii="Meta Pro" w:eastAsia="Times New Roman" w:hAnsi="Meta Pro"/>
                <w:szCs w:val="18"/>
                <w:lang w:eastAsia="en-AU"/>
              </w:rPr>
              <w:t xml:space="preserve">5,840 </w:t>
            </w:r>
          </w:p>
        </w:tc>
      </w:tr>
      <w:tr w:rsidR="00F248B0" w:rsidRPr="00A7631E" w14:paraId="0334C37F" w14:textId="77777777" w:rsidTr="00E607DA">
        <w:trPr>
          <w:trHeight w:val="240"/>
        </w:trPr>
        <w:tc>
          <w:tcPr>
            <w:tcW w:w="7476" w:type="dxa"/>
            <w:tcBorders>
              <w:top w:val="nil"/>
              <w:left w:val="nil"/>
              <w:bottom w:val="nil"/>
              <w:right w:val="nil"/>
            </w:tcBorders>
            <w:shd w:val="clear" w:color="auto" w:fill="auto"/>
            <w:noWrap/>
            <w:vAlign w:val="center"/>
            <w:hideMark/>
          </w:tcPr>
          <w:p w14:paraId="69498F38" w14:textId="77777777" w:rsidR="00F248B0" w:rsidRPr="00A7631E" w:rsidRDefault="00F248B0" w:rsidP="00E607DA">
            <w:pPr>
              <w:rPr>
                <w:rFonts w:ascii="Meta Pro" w:eastAsia="Times New Roman" w:hAnsi="Meta Pro"/>
                <w:szCs w:val="18"/>
                <w:lang w:eastAsia="en-AU"/>
              </w:rPr>
            </w:pPr>
            <w:r w:rsidRPr="00A7631E">
              <w:rPr>
                <w:rFonts w:ascii="Meta Pro" w:eastAsia="Times New Roman" w:hAnsi="Meta Pro"/>
                <w:szCs w:val="18"/>
                <w:lang w:eastAsia="en-AU"/>
              </w:rPr>
              <w:t>Deferred tax equivalent expense relating to temporary differences</w:t>
            </w:r>
          </w:p>
        </w:tc>
        <w:tc>
          <w:tcPr>
            <w:tcW w:w="1216" w:type="dxa"/>
            <w:tcBorders>
              <w:top w:val="nil"/>
              <w:left w:val="nil"/>
              <w:bottom w:val="nil"/>
              <w:right w:val="nil"/>
            </w:tcBorders>
            <w:shd w:val="clear" w:color="000000" w:fill="C9E3B4"/>
            <w:noWrap/>
            <w:vAlign w:val="center"/>
            <w:hideMark/>
          </w:tcPr>
          <w:p w14:paraId="460840B1" w14:textId="77777777" w:rsidR="00F248B0" w:rsidRPr="00A7631E" w:rsidRDefault="00F248B0" w:rsidP="00E607DA">
            <w:pPr>
              <w:jc w:val="right"/>
              <w:rPr>
                <w:rFonts w:ascii="Meta Pro" w:eastAsia="Times New Roman" w:hAnsi="Meta Pro"/>
                <w:szCs w:val="18"/>
                <w:lang w:eastAsia="en-AU"/>
              </w:rPr>
            </w:pPr>
            <w:r w:rsidRPr="00A7631E">
              <w:rPr>
                <w:rFonts w:ascii="Meta Pro" w:eastAsia="Times New Roman" w:hAnsi="Meta Pro"/>
                <w:szCs w:val="18"/>
                <w:lang w:eastAsia="en-AU"/>
              </w:rPr>
              <w:t xml:space="preserve">556 </w:t>
            </w:r>
          </w:p>
        </w:tc>
        <w:tc>
          <w:tcPr>
            <w:tcW w:w="216" w:type="dxa"/>
            <w:tcBorders>
              <w:top w:val="nil"/>
              <w:left w:val="nil"/>
              <w:bottom w:val="nil"/>
              <w:right w:val="nil"/>
            </w:tcBorders>
            <w:shd w:val="clear" w:color="auto" w:fill="auto"/>
            <w:noWrap/>
            <w:vAlign w:val="center"/>
            <w:hideMark/>
          </w:tcPr>
          <w:p w14:paraId="45A6AEFA" w14:textId="77777777" w:rsidR="00F248B0" w:rsidRPr="00A7631E" w:rsidRDefault="00F248B0"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26937D25" w14:textId="77777777" w:rsidR="00F248B0" w:rsidRPr="00A7631E" w:rsidRDefault="00F248B0" w:rsidP="00E607DA">
            <w:pPr>
              <w:jc w:val="right"/>
              <w:rPr>
                <w:rFonts w:ascii="Meta Pro" w:eastAsia="Times New Roman" w:hAnsi="Meta Pro"/>
                <w:szCs w:val="18"/>
                <w:lang w:eastAsia="en-AU"/>
              </w:rPr>
            </w:pPr>
            <w:r w:rsidRPr="00A7631E">
              <w:rPr>
                <w:rFonts w:ascii="Meta Pro" w:eastAsia="Times New Roman" w:hAnsi="Meta Pro"/>
                <w:szCs w:val="18"/>
                <w:lang w:eastAsia="en-AU"/>
              </w:rPr>
              <w:t xml:space="preserve">2,090 </w:t>
            </w:r>
          </w:p>
        </w:tc>
      </w:tr>
      <w:tr w:rsidR="00F248B0" w:rsidRPr="00A7631E" w14:paraId="1E972792" w14:textId="77777777" w:rsidTr="00E607DA">
        <w:trPr>
          <w:trHeight w:val="240"/>
        </w:trPr>
        <w:tc>
          <w:tcPr>
            <w:tcW w:w="7476" w:type="dxa"/>
            <w:tcBorders>
              <w:top w:val="nil"/>
              <w:left w:val="nil"/>
              <w:bottom w:val="nil"/>
              <w:right w:val="nil"/>
            </w:tcBorders>
            <w:shd w:val="clear" w:color="auto" w:fill="auto"/>
            <w:noWrap/>
            <w:vAlign w:val="center"/>
            <w:hideMark/>
          </w:tcPr>
          <w:p w14:paraId="1A3C8474" w14:textId="77777777" w:rsidR="00F248B0" w:rsidRPr="00A7631E" w:rsidRDefault="00F248B0" w:rsidP="00E607DA">
            <w:pPr>
              <w:rPr>
                <w:rFonts w:ascii="Meta Pro" w:eastAsia="Times New Roman" w:hAnsi="Meta Pro"/>
                <w:szCs w:val="18"/>
                <w:lang w:eastAsia="en-AU"/>
              </w:rPr>
            </w:pPr>
            <w:r w:rsidRPr="00A7631E">
              <w:rPr>
                <w:rFonts w:ascii="Meta Pro" w:eastAsia="Times New Roman" w:hAnsi="Meta Pro"/>
                <w:szCs w:val="18"/>
                <w:lang w:eastAsia="en-AU"/>
              </w:rPr>
              <w:t>Under provision in previous years</w:t>
            </w:r>
          </w:p>
        </w:tc>
        <w:tc>
          <w:tcPr>
            <w:tcW w:w="1216" w:type="dxa"/>
            <w:tcBorders>
              <w:top w:val="nil"/>
              <w:left w:val="nil"/>
              <w:bottom w:val="nil"/>
              <w:right w:val="nil"/>
            </w:tcBorders>
            <w:shd w:val="clear" w:color="000000" w:fill="C9E3B4"/>
            <w:noWrap/>
            <w:vAlign w:val="center"/>
            <w:hideMark/>
          </w:tcPr>
          <w:p w14:paraId="1EB21B27" w14:textId="77777777" w:rsidR="00F248B0" w:rsidRPr="00A7631E" w:rsidRDefault="00F248B0" w:rsidP="00E607DA">
            <w:pPr>
              <w:jc w:val="right"/>
              <w:rPr>
                <w:rFonts w:ascii="Meta Pro" w:eastAsia="Times New Roman" w:hAnsi="Meta Pro"/>
                <w:szCs w:val="18"/>
                <w:lang w:eastAsia="en-AU"/>
              </w:rPr>
            </w:pPr>
            <w:r w:rsidRPr="00A7631E">
              <w:rPr>
                <w:rFonts w:ascii="Meta Pro" w:eastAsia="Times New Roman" w:hAnsi="Meta Pro"/>
                <w:szCs w:val="18"/>
                <w:lang w:eastAsia="en-AU"/>
              </w:rPr>
              <w:t xml:space="preserve">6,204 </w:t>
            </w:r>
          </w:p>
        </w:tc>
        <w:tc>
          <w:tcPr>
            <w:tcW w:w="216" w:type="dxa"/>
            <w:tcBorders>
              <w:top w:val="nil"/>
              <w:left w:val="nil"/>
              <w:bottom w:val="nil"/>
              <w:right w:val="nil"/>
            </w:tcBorders>
            <w:shd w:val="clear" w:color="auto" w:fill="auto"/>
            <w:noWrap/>
            <w:vAlign w:val="center"/>
            <w:hideMark/>
          </w:tcPr>
          <w:p w14:paraId="31C87CD0" w14:textId="77777777" w:rsidR="00F248B0" w:rsidRPr="00A7631E" w:rsidRDefault="00F248B0"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736902A3" w14:textId="77777777" w:rsidR="00F248B0" w:rsidRPr="00A7631E" w:rsidRDefault="00F248B0" w:rsidP="00E607DA">
            <w:pPr>
              <w:jc w:val="right"/>
              <w:rPr>
                <w:rFonts w:ascii="Meta Pro" w:eastAsia="Times New Roman" w:hAnsi="Meta Pro"/>
                <w:szCs w:val="18"/>
                <w:lang w:eastAsia="en-AU"/>
              </w:rPr>
            </w:pPr>
            <w:r w:rsidRPr="00A7631E">
              <w:rPr>
                <w:rFonts w:ascii="Meta Pro" w:eastAsia="Times New Roman" w:hAnsi="Meta Pro"/>
                <w:szCs w:val="18"/>
                <w:lang w:eastAsia="en-AU"/>
              </w:rPr>
              <w:t xml:space="preserve">- </w:t>
            </w:r>
          </w:p>
        </w:tc>
      </w:tr>
      <w:tr w:rsidR="00F248B0" w:rsidRPr="00A7631E" w14:paraId="3D656465" w14:textId="77777777" w:rsidTr="00E607DA">
        <w:trPr>
          <w:trHeight w:val="240"/>
        </w:trPr>
        <w:tc>
          <w:tcPr>
            <w:tcW w:w="7476" w:type="dxa"/>
            <w:tcBorders>
              <w:top w:val="single" w:sz="4" w:space="0" w:color="auto"/>
              <w:left w:val="nil"/>
              <w:bottom w:val="double" w:sz="6" w:space="0" w:color="auto"/>
              <w:right w:val="nil"/>
            </w:tcBorders>
            <w:shd w:val="clear" w:color="auto" w:fill="auto"/>
            <w:noWrap/>
            <w:vAlign w:val="center"/>
            <w:hideMark/>
          </w:tcPr>
          <w:p w14:paraId="27D5C55C" w14:textId="77777777" w:rsidR="00F248B0" w:rsidRPr="00A7631E" w:rsidRDefault="00F248B0" w:rsidP="00E607DA">
            <w:pPr>
              <w:rPr>
                <w:rFonts w:ascii="Meta Pro" w:eastAsia="Times New Roman" w:hAnsi="Meta Pro"/>
                <w:b/>
                <w:bCs/>
                <w:szCs w:val="18"/>
                <w:lang w:eastAsia="en-AU"/>
              </w:rPr>
            </w:pPr>
            <w:r w:rsidRPr="00A7631E">
              <w:rPr>
                <w:rFonts w:ascii="Meta Pro" w:eastAsia="Times New Roman" w:hAnsi="Meta Pro"/>
                <w:b/>
                <w:bCs/>
                <w:szCs w:val="18"/>
                <w:lang w:eastAsia="en-AU"/>
              </w:rPr>
              <w:t xml:space="preserve">Income tax equivalent expense attributable to profit from ordinary activities </w:t>
            </w:r>
          </w:p>
        </w:tc>
        <w:tc>
          <w:tcPr>
            <w:tcW w:w="1216" w:type="dxa"/>
            <w:tcBorders>
              <w:top w:val="single" w:sz="4" w:space="0" w:color="auto"/>
              <w:left w:val="nil"/>
              <w:bottom w:val="double" w:sz="6" w:space="0" w:color="auto"/>
              <w:right w:val="nil"/>
            </w:tcBorders>
            <w:shd w:val="clear" w:color="000000" w:fill="C9E3B4"/>
            <w:noWrap/>
            <w:vAlign w:val="center"/>
            <w:hideMark/>
          </w:tcPr>
          <w:p w14:paraId="4F013289" w14:textId="77777777" w:rsidR="00F248B0" w:rsidRPr="00A7631E" w:rsidRDefault="00F248B0" w:rsidP="00E607DA">
            <w:pPr>
              <w:jc w:val="right"/>
              <w:rPr>
                <w:rFonts w:ascii="Meta Pro" w:eastAsia="Times New Roman" w:hAnsi="Meta Pro"/>
                <w:b/>
                <w:bCs/>
                <w:szCs w:val="18"/>
                <w:lang w:eastAsia="en-AU"/>
              </w:rPr>
            </w:pPr>
            <w:r w:rsidRPr="00A7631E">
              <w:rPr>
                <w:rFonts w:ascii="Meta Pro" w:eastAsia="Times New Roman" w:hAnsi="Meta Pro"/>
                <w:b/>
                <w:bCs/>
                <w:szCs w:val="18"/>
                <w:lang w:eastAsia="en-AU"/>
              </w:rPr>
              <w:t xml:space="preserve">16,260 </w:t>
            </w:r>
          </w:p>
        </w:tc>
        <w:tc>
          <w:tcPr>
            <w:tcW w:w="216" w:type="dxa"/>
            <w:tcBorders>
              <w:top w:val="single" w:sz="4" w:space="0" w:color="auto"/>
              <w:left w:val="nil"/>
              <w:bottom w:val="double" w:sz="6" w:space="0" w:color="auto"/>
              <w:right w:val="nil"/>
            </w:tcBorders>
            <w:shd w:val="clear" w:color="auto" w:fill="auto"/>
            <w:noWrap/>
            <w:vAlign w:val="center"/>
            <w:hideMark/>
          </w:tcPr>
          <w:p w14:paraId="7BFCA2FC" w14:textId="77777777" w:rsidR="00F248B0" w:rsidRPr="00A7631E" w:rsidRDefault="00F248B0" w:rsidP="00E607DA">
            <w:pPr>
              <w:jc w:val="right"/>
              <w:rPr>
                <w:rFonts w:ascii="Meta Pro" w:eastAsia="Times New Roman" w:hAnsi="Meta Pro"/>
                <w:b/>
                <w:bCs/>
                <w:szCs w:val="18"/>
                <w:lang w:eastAsia="en-AU"/>
              </w:rPr>
            </w:pPr>
            <w:r w:rsidRPr="00A7631E">
              <w:rPr>
                <w:rFonts w:ascii="Meta Pro" w:eastAsia="Times New Roman" w:hAnsi="Meta Pro"/>
                <w:b/>
                <w:bCs/>
                <w:szCs w:val="18"/>
                <w:lang w:eastAsia="en-AU"/>
              </w:rPr>
              <w:t> </w:t>
            </w:r>
          </w:p>
        </w:tc>
        <w:tc>
          <w:tcPr>
            <w:tcW w:w="1216" w:type="dxa"/>
            <w:tcBorders>
              <w:top w:val="single" w:sz="4" w:space="0" w:color="auto"/>
              <w:left w:val="nil"/>
              <w:bottom w:val="double" w:sz="6" w:space="0" w:color="auto"/>
              <w:right w:val="nil"/>
            </w:tcBorders>
            <w:shd w:val="clear" w:color="auto" w:fill="auto"/>
            <w:noWrap/>
            <w:vAlign w:val="center"/>
            <w:hideMark/>
          </w:tcPr>
          <w:p w14:paraId="260588FF" w14:textId="77777777" w:rsidR="00F248B0" w:rsidRPr="00A7631E" w:rsidRDefault="00F248B0" w:rsidP="00E607DA">
            <w:pPr>
              <w:jc w:val="right"/>
              <w:rPr>
                <w:rFonts w:ascii="Meta Pro" w:eastAsia="Times New Roman" w:hAnsi="Meta Pro"/>
                <w:b/>
                <w:bCs/>
                <w:szCs w:val="18"/>
                <w:lang w:eastAsia="en-AU"/>
              </w:rPr>
            </w:pPr>
            <w:r w:rsidRPr="00A7631E">
              <w:rPr>
                <w:rFonts w:ascii="Meta Pro" w:eastAsia="Times New Roman" w:hAnsi="Meta Pro"/>
                <w:b/>
                <w:bCs/>
                <w:szCs w:val="18"/>
                <w:lang w:eastAsia="en-AU"/>
              </w:rPr>
              <w:t xml:space="preserve">7,930 </w:t>
            </w:r>
          </w:p>
        </w:tc>
      </w:tr>
      <w:tr w:rsidR="00F248B0" w:rsidRPr="00A7631E" w14:paraId="38EA74EA" w14:textId="77777777" w:rsidTr="00E607DA">
        <w:trPr>
          <w:trHeight w:val="240"/>
        </w:trPr>
        <w:tc>
          <w:tcPr>
            <w:tcW w:w="7476" w:type="dxa"/>
            <w:tcBorders>
              <w:top w:val="nil"/>
              <w:left w:val="nil"/>
              <w:bottom w:val="nil"/>
              <w:right w:val="nil"/>
            </w:tcBorders>
            <w:shd w:val="clear" w:color="auto" w:fill="auto"/>
            <w:noWrap/>
            <w:vAlign w:val="center"/>
            <w:hideMark/>
          </w:tcPr>
          <w:p w14:paraId="75C954A6" w14:textId="77777777" w:rsidR="00F248B0" w:rsidRPr="00A7631E" w:rsidRDefault="00F248B0" w:rsidP="00E607DA">
            <w:pPr>
              <w:jc w:val="right"/>
              <w:rPr>
                <w:rFonts w:ascii="Meta Pro" w:eastAsia="Times New Roman" w:hAnsi="Meta Pro"/>
                <w:b/>
                <w:bCs/>
                <w:szCs w:val="18"/>
                <w:lang w:eastAsia="en-AU"/>
              </w:rPr>
            </w:pPr>
          </w:p>
        </w:tc>
        <w:tc>
          <w:tcPr>
            <w:tcW w:w="1216" w:type="dxa"/>
            <w:tcBorders>
              <w:top w:val="nil"/>
              <w:left w:val="nil"/>
              <w:bottom w:val="nil"/>
              <w:right w:val="nil"/>
            </w:tcBorders>
            <w:shd w:val="clear" w:color="auto" w:fill="auto"/>
            <w:noWrap/>
            <w:vAlign w:val="center"/>
            <w:hideMark/>
          </w:tcPr>
          <w:p w14:paraId="47C15BF7" w14:textId="77777777" w:rsidR="00F248B0" w:rsidRPr="00A7631E" w:rsidRDefault="00F248B0" w:rsidP="00E607DA">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5FF1EFB7" w14:textId="77777777" w:rsidR="00F248B0" w:rsidRPr="00A7631E" w:rsidRDefault="00F248B0"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5F862947" w14:textId="77777777" w:rsidR="00F248B0" w:rsidRPr="00A7631E" w:rsidRDefault="00F248B0" w:rsidP="00E607DA">
            <w:pPr>
              <w:jc w:val="right"/>
              <w:rPr>
                <w:rFonts w:ascii="Meta Pro" w:eastAsia="Times New Roman" w:hAnsi="Meta Pro" w:cs="Times New Roman"/>
                <w:sz w:val="20"/>
                <w:szCs w:val="20"/>
                <w:lang w:eastAsia="en-AU"/>
              </w:rPr>
            </w:pPr>
          </w:p>
        </w:tc>
      </w:tr>
      <w:tr w:rsidR="00F248B0" w:rsidRPr="00A7631E" w14:paraId="5C5C0227" w14:textId="77777777" w:rsidTr="00E607DA">
        <w:trPr>
          <w:trHeight w:val="240"/>
        </w:trPr>
        <w:tc>
          <w:tcPr>
            <w:tcW w:w="7476" w:type="dxa"/>
            <w:tcBorders>
              <w:top w:val="nil"/>
              <w:left w:val="nil"/>
              <w:bottom w:val="nil"/>
              <w:right w:val="nil"/>
            </w:tcBorders>
            <w:shd w:val="clear" w:color="auto" w:fill="auto"/>
            <w:noWrap/>
            <w:vAlign w:val="center"/>
            <w:hideMark/>
          </w:tcPr>
          <w:p w14:paraId="159412F9" w14:textId="77777777" w:rsidR="00F248B0" w:rsidRPr="00A7631E" w:rsidRDefault="00F248B0" w:rsidP="00E607DA">
            <w:pPr>
              <w:rPr>
                <w:rFonts w:ascii="Meta Pro" w:eastAsia="Times New Roman" w:hAnsi="Meta Pro"/>
                <w:b/>
                <w:bCs/>
                <w:szCs w:val="18"/>
                <w:lang w:eastAsia="en-AU"/>
              </w:rPr>
            </w:pPr>
            <w:r w:rsidRPr="00A7631E">
              <w:rPr>
                <w:rFonts w:ascii="Meta Pro" w:eastAsia="Times New Roman" w:hAnsi="Meta Pro"/>
                <w:b/>
                <w:bCs/>
                <w:szCs w:val="18"/>
                <w:lang w:eastAsia="en-AU"/>
              </w:rPr>
              <w:t>Numerical reconciliation of income tax equivalent expense to</w:t>
            </w:r>
          </w:p>
        </w:tc>
        <w:tc>
          <w:tcPr>
            <w:tcW w:w="1216" w:type="dxa"/>
            <w:tcBorders>
              <w:top w:val="nil"/>
              <w:left w:val="nil"/>
              <w:bottom w:val="nil"/>
              <w:right w:val="nil"/>
            </w:tcBorders>
            <w:shd w:val="clear" w:color="auto" w:fill="auto"/>
            <w:noWrap/>
            <w:vAlign w:val="center"/>
            <w:hideMark/>
          </w:tcPr>
          <w:p w14:paraId="6CA88563" w14:textId="77777777" w:rsidR="00F248B0" w:rsidRPr="00A7631E" w:rsidRDefault="00F248B0" w:rsidP="00E607DA">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18122A3E" w14:textId="77777777" w:rsidR="00F248B0" w:rsidRPr="00A7631E" w:rsidRDefault="00F248B0" w:rsidP="00E607DA">
            <w:pPr>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0BEB48FE" w14:textId="77777777" w:rsidR="00F248B0" w:rsidRPr="00A7631E" w:rsidRDefault="00F248B0" w:rsidP="00E607DA">
            <w:pPr>
              <w:rPr>
                <w:rFonts w:ascii="Meta Pro" w:eastAsia="Times New Roman" w:hAnsi="Meta Pro" w:cs="Times New Roman"/>
                <w:sz w:val="20"/>
                <w:szCs w:val="20"/>
                <w:lang w:eastAsia="en-AU"/>
              </w:rPr>
            </w:pPr>
          </w:p>
        </w:tc>
      </w:tr>
      <w:tr w:rsidR="00F248B0" w:rsidRPr="00A7631E" w14:paraId="6B865AC7" w14:textId="77777777" w:rsidTr="00E607DA">
        <w:trPr>
          <w:trHeight w:val="240"/>
        </w:trPr>
        <w:tc>
          <w:tcPr>
            <w:tcW w:w="7476" w:type="dxa"/>
            <w:tcBorders>
              <w:top w:val="nil"/>
              <w:left w:val="nil"/>
              <w:bottom w:val="nil"/>
              <w:right w:val="nil"/>
            </w:tcBorders>
            <w:shd w:val="clear" w:color="auto" w:fill="auto"/>
            <w:noWrap/>
            <w:vAlign w:val="center"/>
            <w:hideMark/>
          </w:tcPr>
          <w:p w14:paraId="50CB6FC1" w14:textId="77777777" w:rsidR="00F248B0" w:rsidRPr="00A7631E" w:rsidRDefault="00F248B0" w:rsidP="00E607DA">
            <w:pPr>
              <w:rPr>
                <w:rFonts w:ascii="Meta Pro" w:eastAsia="Times New Roman" w:hAnsi="Meta Pro"/>
                <w:b/>
                <w:bCs/>
                <w:szCs w:val="18"/>
                <w:lang w:eastAsia="en-AU"/>
              </w:rPr>
            </w:pPr>
            <w:r w:rsidRPr="00A7631E">
              <w:rPr>
                <w:rFonts w:ascii="Meta Pro" w:eastAsia="Times New Roman" w:hAnsi="Meta Pro"/>
                <w:b/>
                <w:bCs/>
                <w:szCs w:val="18"/>
                <w:lang w:eastAsia="en-AU"/>
              </w:rPr>
              <w:lastRenderedPageBreak/>
              <w:t>prima facie tax payable</w:t>
            </w:r>
          </w:p>
        </w:tc>
        <w:tc>
          <w:tcPr>
            <w:tcW w:w="1216" w:type="dxa"/>
            <w:tcBorders>
              <w:top w:val="nil"/>
              <w:left w:val="nil"/>
              <w:bottom w:val="nil"/>
              <w:right w:val="nil"/>
            </w:tcBorders>
            <w:shd w:val="clear" w:color="auto" w:fill="auto"/>
            <w:noWrap/>
            <w:vAlign w:val="center"/>
            <w:hideMark/>
          </w:tcPr>
          <w:p w14:paraId="278B13EF" w14:textId="77777777" w:rsidR="00F248B0" w:rsidRPr="00A7631E" w:rsidRDefault="00F248B0" w:rsidP="00E607DA">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1D8882FB" w14:textId="77777777" w:rsidR="00F248B0" w:rsidRPr="00A7631E" w:rsidRDefault="00F248B0"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191591C8" w14:textId="77777777" w:rsidR="00F248B0" w:rsidRPr="00A7631E" w:rsidRDefault="00F248B0" w:rsidP="00E607DA">
            <w:pPr>
              <w:rPr>
                <w:rFonts w:ascii="Meta Pro" w:eastAsia="Times New Roman" w:hAnsi="Meta Pro" w:cs="Times New Roman"/>
                <w:sz w:val="20"/>
                <w:szCs w:val="20"/>
                <w:lang w:eastAsia="en-AU"/>
              </w:rPr>
            </w:pPr>
          </w:p>
        </w:tc>
      </w:tr>
      <w:tr w:rsidR="00F248B0" w:rsidRPr="00A7631E" w14:paraId="0217316D" w14:textId="77777777" w:rsidTr="00E607DA">
        <w:trPr>
          <w:trHeight w:val="90"/>
        </w:trPr>
        <w:tc>
          <w:tcPr>
            <w:tcW w:w="7476" w:type="dxa"/>
            <w:tcBorders>
              <w:top w:val="nil"/>
              <w:left w:val="nil"/>
              <w:bottom w:val="nil"/>
              <w:right w:val="nil"/>
            </w:tcBorders>
            <w:shd w:val="clear" w:color="auto" w:fill="auto"/>
            <w:noWrap/>
            <w:vAlign w:val="center"/>
            <w:hideMark/>
          </w:tcPr>
          <w:p w14:paraId="1C557C2E" w14:textId="77777777" w:rsidR="00F248B0" w:rsidRPr="00A7631E" w:rsidRDefault="00F248B0" w:rsidP="00E607DA">
            <w:pPr>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1689BC2B" w14:textId="77777777" w:rsidR="00F248B0" w:rsidRPr="00A7631E" w:rsidRDefault="00F248B0" w:rsidP="00E607DA">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3D046DBA" w14:textId="77777777" w:rsidR="00F248B0" w:rsidRPr="00A7631E" w:rsidRDefault="00F248B0"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6DF24392" w14:textId="77777777" w:rsidR="00F248B0" w:rsidRPr="00A7631E" w:rsidRDefault="00F248B0" w:rsidP="00E607DA">
            <w:pPr>
              <w:jc w:val="right"/>
              <w:rPr>
                <w:rFonts w:ascii="Meta Pro" w:eastAsia="Times New Roman" w:hAnsi="Meta Pro" w:cs="Times New Roman"/>
                <w:sz w:val="20"/>
                <w:szCs w:val="20"/>
                <w:lang w:eastAsia="en-AU"/>
              </w:rPr>
            </w:pPr>
          </w:p>
        </w:tc>
      </w:tr>
      <w:tr w:rsidR="00F248B0" w:rsidRPr="00A7631E" w14:paraId="5463C25A" w14:textId="77777777" w:rsidTr="00E607DA">
        <w:trPr>
          <w:trHeight w:val="240"/>
        </w:trPr>
        <w:tc>
          <w:tcPr>
            <w:tcW w:w="7476" w:type="dxa"/>
            <w:tcBorders>
              <w:top w:val="nil"/>
              <w:left w:val="nil"/>
              <w:bottom w:val="nil"/>
              <w:right w:val="nil"/>
            </w:tcBorders>
            <w:shd w:val="clear" w:color="auto" w:fill="auto"/>
            <w:noWrap/>
            <w:vAlign w:val="center"/>
            <w:hideMark/>
          </w:tcPr>
          <w:p w14:paraId="4ECFDFF7" w14:textId="77777777" w:rsidR="00F248B0" w:rsidRPr="00A7631E" w:rsidRDefault="00F248B0" w:rsidP="00E607DA">
            <w:pPr>
              <w:rPr>
                <w:rFonts w:ascii="Meta Pro" w:eastAsia="Times New Roman" w:hAnsi="Meta Pro"/>
                <w:szCs w:val="18"/>
                <w:lang w:eastAsia="en-AU"/>
              </w:rPr>
            </w:pPr>
            <w:r w:rsidRPr="00A7631E">
              <w:rPr>
                <w:rFonts w:ascii="Meta Pro" w:eastAsia="Times New Roman" w:hAnsi="Meta Pro"/>
                <w:szCs w:val="18"/>
                <w:lang w:eastAsia="en-AU"/>
              </w:rPr>
              <w:t xml:space="preserve">Accounting profit before tax </w:t>
            </w:r>
          </w:p>
        </w:tc>
        <w:tc>
          <w:tcPr>
            <w:tcW w:w="1216" w:type="dxa"/>
            <w:tcBorders>
              <w:top w:val="nil"/>
              <w:left w:val="nil"/>
              <w:bottom w:val="single" w:sz="4" w:space="0" w:color="auto"/>
              <w:right w:val="nil"/>
            </w:tcBorders>
            <w:shd w:val="clear" w:color="000000" w:fill="C9E3B4"/>
            <w:noWrap/>
            <w:vAlign w:val="center"/>
            <w:hideMark/>
          </w:tcPr>
          <w:p w14:paraId="17CFD782" w14:textId="77777777" w:rsidR="00F248B0" w:rsidRPr="00A7631E" w:rsidRDefault="00F248B0" w:rsidP="00E607DA">
            <w:pPr>
              <w:jc w:val="right"/>
              <w:rPr>
                <w:rFonts w:ascii="Meta Pro" w:eastAsia="Times New Roman" w:hAnsi="Meta Pro"/>
                <w:szCs w:val="18"/>
                <w:lang w:eastAsia="en-AU"/>
              </w:rPr>
            </w:pPr>
            <w:r w:rsidRPr="00A7631E">
              <w:rPr>
                <w:rFonts w:ascii="Meta Pro" w:eastAsia="Times New Roman" w:hAnsi="Meta Pro"/>
                <w:szCs w:val="18"/>
                <w:lang w:eastAsia="en-AU"/>
              </w:rPr>
              <w:t xml:space="preserve">33,580 </w:t>
            </w:r>
          </w:p>
        </w:tc>
        <w:tc>
          <w:tcPr>
            <w:tcW w:w="216" w:type="dxa"/>
            <w:tcBorders>
              <w:top w:val="nil"/>
              <w:left w:val="nil"/>
              <w:bottom w:val="nil"/>
              <w:right w:val="nil"/>
            </w:tcBorders>
            <w:shd w:val="clear" w:color="auto" w:fill="auto"/>
            <w:noWrap/>
            <w:vAlign w:val="center"/>
            <w:hideMark/>
          </w:tcPr>
          <w:p w14:paraId="1B8B595D" w14:textId="77777777" w:rsidR="00F248B0" w:rsidRPr="00A7631E" w:rsidRDefault="00F248B0"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4BF01508" w14:textId="77777777" w:rsidR="00F248B0" w:rsidRPr="00A7631E" w:rsidRDefault="00F248B0" w:rsidP="00E607DA">
            <w:pPr>
              <w:jc w:val="right"/>
              <w:rPr>
                <w:rFonts w:ascii="Meta Pro" w:eastAsia="Times New Roman" w:hAnsi="Meta Pro"/>
                <w:szCs w:val="18"/>
                <w:lang w:eastAsia="en-AU"/>
              </w:rPr>
            </w:pPr>
            <w:r w:rsidRPr="00A7631E">
              <w:rPr>
                <w:rFonts w:ascii="Meta Pro" w:eastAsia="Times New Roman" w:hAnsi="Meta Pro"/>
                <w:szCs w:val="18"/>
                <w:lang w:eastAsia="en-AU"/>
              </w:rPr>
              <w:t xml:space="preserve">26,437 </w:t>
            </w:r>
          </w:p>
        </w:tc>
      </w:tr>
      <w:tr w:rsidR="00F248B0" w:rsidRPr="00A7631E" w14:paraId="0DE7FD9B" w14:textId="77777777" w:rsidTr="00E607DA">
        <w:trPr>
          <w:trHeight w:val="240"/>
        </w:trPr>
        <w:tc>
          <w:tcPr>
            <w:tcW w:w="7476" w:type="dxa"/>
            <w:tcBorders>
              <w:top w:val="single" w:sz="4" w:space="0" w:color="auto"/>
              <w:left w:val="nil"/>
              <w:bottom w:val="nil"/>
              <w:right w:val="nil"/>
            </w:tcBorders>
            <w:shd w:val="clear" w:color="auto" w:fill="auto"/>
            <w:noWrap/>
            <w:vAlign w:val="center"/>
            <w:hideMark/>
          </w:tcPr>
          <w:p w14:paraId="1223C67F" w14:textId="77777777" w:rsidR="00F248B0" w:rsidRPr="00A7631E" w:rsidRDefault="00F248B0" w:rsidP="00E607DA">
            <w:pPr>
              <w:rPr>
                <w:rFonts w:ascii="Meta Pro" w:eastAsia="Times New Roman" w:hAnsi="Meta Pro"/>
                <w:szCs w:val="18"/>
                <w:lang w:eastAsia="en-AU"/>
              </w:rPr>
            </w:pPr>
            <w:r w:rsidRPr="00A7631E">
              <w:rPr>
                <w:rFonts w:ascii="Meta Pro" w:eastAsia="Times New Roman" w:hAnsi="Meta Pro"/>
                <w:szCs w:val="18"/>
                <w:lang w:eastAsia="en-AU"/>
              </w:rPr>
              <w:t>Prima facie tax at applicable rate of 30%</w:t>
            </w:r>
          </w:p>
        </w:tc>
        <w:tc>
          <w:tcPr>
            <w:tcW w:w="1216" w:type="dxa"/>
            <w:tcBorders>
              <w:top w:val="nil"/>
              <w:left w:val="nil"/>
              <w:bottom w:val="nil"/>
              <w:right w:val="nil"/>
            </w:tcBorders>
            <w:shd w:val="clear" w:color="000000" w:fill="C9E3B4"/>
            <w:noWrap/>
            <w:vAlign w:val="center"/>
            <w:hideMark/>
          </w:tcPr>
          <w:p w14:paraId="0182BAC6" w14:textId="77777777" w:rsidR="00F248B0" w:rsidRPr="00A7631E" w:rsidRDefault="00F248B0" w:rsidP="00E607DA">
            <w:pPr>
              <w:jc w:val="right"/>
              <w:rPr>
                <w:rFonts w:ascii="Meta Pro" w:eastAsia="Times New Roman" w:hAnsi="Meta Pro"/>
                <w:szCs w:val="18"/>
                <w:lang w:eastAsia="en-AU"/>
              </w:rPr>
            </w:pPr>
            <w:r w:rsidRPr="00A7631E">
              <w:rPr>
                <w:rFonts w:ascii="Meta Pro" w:eastAsia="Times New Roman" w:hAnsi="Meta Pro"/>
                <w:szCs w:val="18"/>
                <w:lang w:eastAsia="en-AU"/>
              </w:rPr>
              <w:t xml:space="preserve">10,074 </w:t>
            </w:r>
          </w:p>
        </w:tc>
        <w:tc>
          <w:tcPr>
            <w:tcW w:w="216" w:type="dxa"/>
            <w:tcBorders>
              <w:top w:val="single" w:sz="4" w:space="0" w:color="auto"/>
              <w:left w:val="nil"/>
              <w:bottom w:val="nil"/>
              <w:right w:val="nil"/>
            </w:tcBorders>
            <w:shd w:val="clear" w:color="auto" w:fill="auto"/>
            <w:noWrap/>
            <w:vAlign w:val="center"/>
            <w:hideMark/>
          </w:tcPr>
          <w:p w14:paraId="0F440018" w14:textId="77777777" w:rsidR="00F248B0" w:rsidRPr="00A7631E" w:rsidRDefault="00F248B0" w:rsidP="00E607DA">
            <w:pPr>
              <w:jc w:val="right"/>
              <w:rPr>
                <w:rFonts w:ascii="Meta Pro" w:eastAsia="Times New Roman" w:hAnsi="Meta Pro"/>
                <w:szCs w:val="18"/>
                <w:lang w:eastAsia="en-AU"/>
              </w:rPr>
            </w:pPr>
            <w:r w:rsidRPr="00A7631E">
              <w:rPr>
                <w:rFonts w:ascii="Meta Pro" w:eastAsia="Times New Roman" w:hAnsi="Meta Pro"/>
                <w:szCs w:val="18"/>
                <w:lang w:eastAsia="en-AU"/>
              </w:rPr>
              <w:t> </w:t>
            </w:r>
          </w:p>
        </w:tc>
        <w:tc>
          <w:tcPr>
            <w:tcW w:w="1216" w:type="dxa"/>
            <w:tcBorders>
              <w:top w:val="single" w:sz="4" w:space="0" w:color="auto"/>
              <w:left w:val="nil"/>
              <w:bottom w:val="nil"/>
              <w:right w:val="nil"/>
            </w:tcBorders>
            <w:shd w:val="clear" w:color="auto" w:fill="auto"/>
            <w:noWrap/>
            <w:vAlign w:val="center"/>
            <w:hideMark/>
          </w:tcPr>
          <w:p w14:paraId="3EC45B1B" w14:textId="77777777" w:rsidR="00F248B0" w:rsidRPr="00A7631E" w:rsidRDefault="00F248B0" w:rsidP="00E607DA">
            <w:pPr>
              <w:jc w:val="right"/>
              <w:rPr>
                <w:rFonts w:ascii="Meta Pro" w:eastAsia="Times New Roman" w:hAnsi="Meta Pro"/>
                <w:szCs w:val="18"/>
                <w:lang w:eastAsia="en-AU"/>
              </w:rPr>
            </w:pPr>
            <w:r w:rsidRPr="00A7631E">
              <w:rPr>
                <w:rFonts w:ascii="Meta Pro" w:eastAsia="Times New Roman" w:hAnsi="Meta Pro"/>
                <w:szCs w:val="18"/>
                <w:lang w:eastAsia="en-AU"/>
              </w:rPr>
              <w:t xml:space="preserve">7,930 </w:t>
            </w:r>
          </w:p>
        </w:tc>
      </w:tr>
      <w:tr w:rsidR="00F248B0" w:rsidRPr="00A7631E" w14:paraId="52A401B0" w14:textId="77777777" w:rsidTr="00E607DA">
        <w:trPr>
          <w:trHeight w:val="240"/>
        </w:trPr>
        <w:tc>
          <w:tcPr>
            <w:tcW w:w="7476" w:type="dxa"/>
            <w:tcBorders>
              <w:top w:val="nil"/>
              <w:left w:val="nil"/>
              <w:bottom w:val="nil"/>
              <w:right w:val="nil"/>
            </w:tcBorders>
            <w:shd w:val="clear" w:color="auto" w:fill="auto"/>
            <w:noWrap/>
            <w:vAlign w:val="center"/>
            <w:hideMark/>
          </w:tcPr>
          <w:p w14:paraId="17F8D690" w14:textId="77777777" w:rsidR="00F248B0" w:rsidRPr="00A7631E" w:rsidRDefault="00F248B0" w:rsidP="00E607DA">
            <w:pPr>
              <w:rPr>
                <w:rFonts w:ascii="Meta Pro" w:eastAsia="Times New Roman" w:hAnsi="Meta Pro"/>
                <w:szCs w:val="18"/>
                <w:lang w:eastAsia="en-AU"/>
              </w:rPr>
            </w:pPr>
            <w:r w:rsidRPr="00A7631E">
              <w:rPr>
                <w:rFonts w:ascii="Meta Pro" w:eastAsia="Times New Roman" w:hAnsi="Meta Pro"/>
                <w:szCs w:val="18"/>
                <w:lang w:eastAsia="en-AU"/>
              </w:rPr>
              <w:t>Adjustments for non-temporary differences and excluded temporary differences:</w:t>
            </w:r>
          </w:p>
        </w:tc>
        <w:tc>
          <w:tcPr>
            <w:tcW w:w="1216" w:type="dxa"/>
            <w:tcBorders>
              <w:top w:val="nil"/>
              <w:left w:val="nil"/>
              <w:bottom w:val="nil"/>
              <w:right w:val="nil"/>
            </w:tcBorders>
            <w:shd w:val="clear" w:color="000000" w:fill="C9E3B4"/>
            <w:noWrap/>
            <w:vAlign w:val="center"/>
            <w:hideMark/>
          </w:tcPr>
          <w:p w14:paraId="404C0F14" w14:textId="77777777" w:rsidR="00F248B0" w:rsidRPr="00A7631E" w:rsidRDefault="00F248B0" w:rsidP="00E607DA">
            <w:pPr>
              <w:rPr>
                <w:rFonts w:ascii="Meta Pro" w:eastAsia="Times New Roman" w:hAnsi="Meta Pro"/>
                <w:szCs w:val="18"/>
                <w:lang w:eastAsia="en-AU"/>
              </w:rPr>
            </w:pPr>
            <w:r w:rsidRPr="00A7631E">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40EB5805" w14:textId="77777777" w:rsidR="00F248B0" w:rsidRPr="00A7631E" w:rsidRDefault="00F248B0" w:rsidP="00E607DA">
            <w:pPr>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1F9C84EC" w14:textId="77777777" w:rsidR="00F248B0" w:rsidRPr="00A7631E" w:rsidRDefault="00F248B0" w:rsidP="00E607DA">
            <w:pPr>
              <w:jc w:val="right"/>
              <w:rPr>
                <w:rFonts w:ascii="Meta Pro" w:eastAsia="Times New Roman" w:hAnsi="Meta Pro" w:cs="Times New Roman"/>
                <w:sz w:val="20"/>
                <w:szCs w:val="20"/>
                <w:lang w:eastAsia="en-AU"/>
              </w:rPr>
            </w:pPr>
          </w:p>
        </w:tc>
      </w:tr>
      <w:tr w:rsidR="00F248B0" w:rsidRPr="00A7631E" w14:paraId="2583122E" w14:textId="77777777" w:rsidTr="00E607DA">
        <w:trPr>
          <w:trHeight w:val="240"/>
        </w:trPr>
        <w:tc>
          <w:tcPr>
            <w:tcW w:w="7476" w:type="dxa"/>
            <w:tcBorders>
              <w:top w:val="nil"/>
              <w:left w:val="nil"/>
              <w:bottom w:val="nil"/>
              <w:right w:val="nil"/>
            </w:tcBorders>
            <w:shd w:val="clear" w:color="auto" w:fill="auto"/>
            <w:noWrap/>
            <w:vAlign w:val="center"/>
            <w:hideMark/>
          </w:tcPr>
          <w:p w14:paraId="78E1A05D" w14:textId="77777777" w:rsidR="00F248B0" w:rsidRPr="00A7631E" w:rsidRDefault="00F248B0" w:rsidP="00E607DA">
            <w:pPr>
              <w:rPr>
                <w:rFonts w:ascii="Meta Pro" w:eastAsia="Times New Roman" w:hAnsi="Meta Pro"/>
                <w:szCs w:val="18"/>
                <w:lang w:eastAsia="en-AU"/>
              </w:rPr>
            </w:pPr>
            <w:r w:rsidRPr="00A7631E">
              <w:rPr>
                <w:rFonts w:ascii="Meta Pro" w:eastAsia="Times New Roman" w:hAnsi="Meta Pro"/>
                <w:szCs w:val="18"/>
                <w:lang w:eastAsia="en-AU"/>
              </w:rPr>
              <w:t xml:space="preserve">  Other non-deductible expenses</w:t>
            </w:r>
          </w:p>
        </w:tc>
        <w:tc>
          <w:tcPr>
            <w:tcW w:w="1216" w:type="dxa"/>
            <w:tcBorders>
              <w:top w:val="nil"/>
              <w:left w:val="nil"/>
              <w:bottom w:val="nil"/>
              <w:right w:val="nil"/>
            </w:tcBorders>
            <w:shd w:val="clear" w:color="000000" w:fill="C9E3B4"/>
            <w:noWrap/>
            <w:vAlign w:val="center"/>
            <w:hideMark/>
          </w:tcPr>
          <w:p w14:paraId="02D2116A" w14:textId="77777777" w:rsidR="00F248B0" w:rsidRPr="00A7631E" w:rsidRDefault="00F248B0" w:rsidP="00E607DA">
            <w:pPr>
              <w:jc w:val="right"/>
              <w:rPr>
                <w:rFonts w:ascii="Meta Pro" w:eastAsia="Times New Roman" w:hAnsi="Meta Pro"/>
                <w:szCs w:val="18"/>
                <w:lang w:eastAsia="en-AU"/>
              </w:rPr>
            </w:pPr>
            <w:r w:rsidRPr="00A7631E">
              <w:rPr>
                <w:rFonts w:ascii="Meta Pro" w:eastAsia="Times New Roman" w:hAnsi="Meta Pro"/>
                <w:szCs w:val="18"/>
                <w:lang w:eastAsia="en-AU"/>
              </w:rPr>
              <w:t>(18)</w:t>
            </w:r>
          </w:p>
        </w:tc>
        <w:tc>
          <w:tcPr>
            <w:tcW w:w="216" w:type="dxa"/>
            <w:tcBorders>
              <w:top w:val="nil"/>
              <w:left w:val="nil"/>
              <w:bottom w:val="nil"/>
              <w:right w:val="nil"/>
            </w:tcBorders>
            <w:shd w:val="clear" w:color="auto" w:fill="auto"/>
            <w:noWrap/>
            <w:vAlign w:val="center"/>
            <w:hideMark/>
          </w:tcPr>
          <w:p w14:paraId="4FF2CC46" w14:textId="77777777" w:rsidR="00F248B0" w:rsidRPr="00A7631E" w:rsidRDefault="00F248B0"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30937F30" w14:textId="77777777" w:rsidR="00F248B0" w:rsidRPr="00A7631E" w:rsidRDefault="00F248B0" w:rsidP="00E607DA">
            <w:pPr>
              <w:jc w:val="right"/>
              <w:rPr>
                <w:rFonts w:ascii="Meta Pro" w:eastAsia="Times New Roman" w:hAnsi="Meta Pro"/>
                <w:szCs w:val="18"/>
                <w:lang w:eastAsia="en-AU"/>
              </w:rPr>
            </w:pPr>
            <w:r w:rsidRPr="00A7631E">
              <w:rPr>
                <w:rFonts w:ascii="Meta Pro" w:eastAsia="Times New Roman" w:hAnsi="Meta Pro"/>
                <w:szCs w:val="18"/>
                <w:lang w:eastAsia="en-AU"/>
              </w:rPr>
              <w:t xml:space="preserve">- </w:t>
            </w:r>
          </w:p>
        </w:tc>
      </w:tr>
      <w:tr w:rsidR="00F248B0" w:rsidRPr="00A7631E" w14:paraId="5B3FEED2" w14:textId="77777777" w:rsidTr="00E607DA">
        <w:trPr>
          <w:trHeight w:val="240"/>
        </w:trPr>
        <w:tc>
          <w:tcPr>
            <w:tcW w:w="7476" w:type="dxa"/>
            <w:tcBorders>
              <w:top w:val="nil"/>
              <w:left w:val="nil"/>
              <w:bottom w:val="nil"/>
              <w:right w:val="nil"/>
            </w:tcBorders>
            <w:shd w:val="clear" w:color="auto" w:fill="auto"/>
            <w:noWrap/>
            <w:vAlign w:val="center"/>
            <w:hideMark/>
          </w:tcPr>
          <w:p w14:paraId="305D3BF7" w14:textId="77777777" w:rsidR="00F248B0" w:rsidRPr="00A7631E" w:rsidRDefault="00F248B0" w:rsidP="00E607DA">
            <w:pPr>
              <w:rPr>
                <w:rFonts w:ascii="Meta Pro" w:eastAsia="Times New Roman" w:hAnsi="Meta Pro"/>
                <w:szCs w:val="18"/>
                <w:lang w:eastAsia="en-AU"/>
              </w:rPr>
            </w:pPr>
            <w:r w:rsidRPr="00A7631E">
              <w:rPr>
                <w:rFonts w:ascii="Meta Pro" w:eastAsia="Times New Roman" w:hAnsi="Meta Pro"/>
                <w:szCs w:val="18"/>
                <w:lang w:eastAsia="en-AU"/>
              </w:rPr>
              <w:t xml:space="preserve">  Under provision in previous years</w:t>
            </w:r>
          </w:p>
        </w:tc>
        <w:tc>
          <w:tcPr>
            <w:tcW w:w="1216" w:type="dxa"/>
            <w:tcBorders>
              <w:top w:val="nil"/>
              <w:left w:val="nil"/>
              <w:bottom w:val="nil"/>
              <w:right w:val="nil"/>
            </w:tcBorders>
            <w:shd w:val="clear" w:color="000000" w:fill="C9E3B4"/>
            <w:noWrap/>
            <w:vAlign w:val="center"/>
            <w:hideMark/>
          </w:tcPr>
          <w:p w14:paraId="03D230A0" w14:textId="77777777" w:rsidR="00F248B0" w:rsidRPr="00A7631E" w:rsidRDefault="00F248B0" w:rsidP="00E607DA">
            <w:pPr>
              <w:jc w:val="right"/>
              <w:rPr>
                <w:rFonts w:ascii="Meta Pro" w:eastAsia="Times New Roman" w:hAnsi="Meta Pro"/>
                <w:szCs w:val="18"/>
                <w:lang w:eastAsia="en-AU"/>
              </w:rPr>
            </w:pPr>
            <w:r w:rsidRPr="00A7631E">
              <w:rPr>
                <w:rFonts w:ascii="Meta Pro" w:eastAsia="Times New Roman" w:hAnsi="Meta Pro"/>
                <w:szCs w:val="18"/>
                <w:lang w:eastAsia="en-AU"/>
              </w:rPr>
              <w:t xml:space="preserve">6,204 </w:t>
            </w:r>
          </w:p>
        </w:tc>
        <w:tc>
          <w:tcPr>
            <w:tcW w:w="216" w:type="dxa"/>
            <w:tcBorders>
              <w:top w:val="nil"/>
              <w:left w:val="nil"/>
              <w:bottom w:val="nil"/>
              <w:right w:val="nil"/>
            </w:tcBorders>
            <w:shd w:val="clear" w:color="auto" w:fill="auto"/>
            <w:noWrap/>
            <w:vAlign w:val="center"/>
            <w:hideMark/>
          </w:tcPr>
          <w:p w14:paraId="31A01EF3" w14:textId="77777777" w:rsidR="00F248B0" w:rsidRPr="00A7631E" w:rsidRDefault="00F248B0"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66D02C4A" w14:textId="77777777" w:rsidR="00F248B0" w:rsidRPr="00A7631E" w:rsidRDefault="00F248B0" w:rsidP="00E607DA">
            <w:pPr>
              <w:jc w:val="right"/>
              <w:rPr>
                <w:rFonts w:ascii="Meta Pro" w:eastAsia="Times New Roman" w:hAnsi="Meta Pro"/>
                <w:szCs w:val="18"/>
                <w:lang w:eastAsia="en-AU"/>
              </w:rPr>
            </w:pPr>
            <w:r w:rsidRPr="00A7631E">
              <w:rPr>
                <w:rFonts w:ascii="Meta Pro" w:eastAsia="Times New Roman" w:hAnsi="Meta Pro"/>
                <w:szCs w:val="18"/>
                <w:lang w:eastAsia="en-AU"/>
              </w:rPr>
              <w:t xml:space="preserve">- </w:t>
            </w:r>
          </w:p>
        </w:tc>
      </w:tr>
      <w:tr w:rsidR="00F248B0" w:rsidRPr="00A7631E" w14:paraId="134F49A8" w14:textId="77777777" w:rsidTr="00E607DA">
        <w:trPr>
          <w:trHeight w:val="240"/>
        </w:trPr>
        <w:tc>
          <w:tcPr>
            <w:tcW w:w="7476" w:type="dxa"/>
            <w:tcBorders>
              <w:top w:val="single" w:sz="4" w:space="0" w:color="auto"/>
              <w:left w:val="nil"/>
              <w:bottom w:val="double" w:sz="6" w:space="0" w:color="auto"/>
              <w:right w:val="nil"/>
            </w:tcBorders>
            <w:shd w:val="clear" w:color="auto" w:fill="auto"/>
            <w:noWrap/>
            <w:vAlign w:val="center"/>
            <w:hideMark/>
          </w:tcPr>
          <w:p w14:paraId="3EB9C342" w14:textId="77777777" w:rsidR="00F248B0" w:rsidRPr="00A7631E" w:rsidRDefault="00F248B0" w:rsidP="00E607DA">
            <w:pPr>
              <w:rPr>
                <w:rFonts w:ascii="Meta Pro" w:eastAsia="Times New Roman" w:hAnsi="Meta Pro"/>
                <w:b/>
                <w:bCs/>
                <w:szCs w:val="18"/>
                <w:lang w:eastAsia="en-AU"/>
              </w:rPr>
            </w:pPr>
            <w:r w:rsidRPr="00A7631E">
              <w:rPr>
                <w:rFonts w:ascii="Meta Pro" w:eastAsia="Times New Roman" w:hAnsi="Meta Pro"/>
                <w:b/>
                <w:bCs/>
                <w:szCs w:val="18"/>
                <w:lang w:eastAsia="en-AU"/>
              </w:rPr>
              <w:t xml:space="preserve">Income tax equivalent expense attributable to profit from ordinary activities </w:t>
            </w:r>
          </w:p>
        </w:tc>
        <w:tc>
          <w:tcPr>
            <w:tcW w:w="1216" w:type="dxa"/>
            <w:tcBorders>
              <w:top w:val="single" w:sz="4" w:space="0" w:color="auto"/>
              <w:left w:val="nil"/>
              <w:bottom w:val="double" w:sz="6" w:space="0" w:color="auto"/>
              <w:right w:val="nil"/>
            </w:tcBorders>
            <w:shd w:val="clear" w:color="000000" w:fill="C9E3B4"/>
            <w:noWrap/>
            <w:vAlign w:val="center"/>
            <w:hideMark/>
          </w:tcPr>
          <w:p w14:paraId="77849410" w14:textId="77777777" w:rsidR="00F248B0" w:rsidRPr="00A7631E" w:rsidRDefault="00F248B0" w:rsidP="00E607DA">
            <w:pPr>
              <w:jc w:val="right"/>
              <w:rPr>
                <w:rFonts w:ascii="Meta Pro" w:eastAsia="Times New Roman" w:hAnsi="Meta Pro"/>
                <w:b/>
                <w:bCs/>
                <w:szCs w:val="18"/>
                <w:lang w:eastAsia="en-AU"/>
              </w:rPr>
            </w:pPr>
            <w:r w:rsidRPr="00A7631E">
              <w:rPr>
                <w:rFonts w:ascii="Meta Pro" w:eastAsia="Times New Roman" w:hAnsi="Meta Pro"/>
                <w:b/>
                <w:bCs/>
                <w:szCs w:val="18"/>
                <w:lang w:eastAsia="en-AU"/>
              </w:rPr>
              <w:t xml:space="preserve">16,260 </w:t>
            </w:r>
          </w:p>
        </w:tc>
        <w:tc>
          <w:tcPr>
            <w:tcW w:w="216" w:type="dxa"/>
            <w:tcBorders>
              <w:top w:val="single" w:sz="4" w:space="0" w:color="auto"/>
              <w:left w:val="nil"/>
              <w:bottom w:val="double" w:sz="6" w:space="0" w:color="auto"/>
              <w:right w:val="nil"/>
            </w:tcBorders>
            <w:shd w:val="clear" w:color="auto" w:fill="auto"/>
            <w:noWrap/>
            <w:vAlign w:val="center"/>
            <w:hideMark/>
          </w:tcPr>
          <w:p w14:paraId="343128E4" w14:textId="77777777" w:rsidR="00F248B0" w:rsidRPr="00A7631E" w:rsidRDefault="00F248B0" w:rsidP="00E607DA">
            <w:pPr>
              <w:jc w:val="right"/>
              <w:rPr>
                <w:rFonts w:ascii="Meta Pro" w:eastAsia="Times New Roman" w:hAnsi="Meta Pro"/>
                <w:szCs w:val="18"/>
                <w:lang w:eastAsia="en-AU"/>
              </w:rPr>
            </w:pPr>
            <w:r w:rsidRPr="00A7631E">
              <w:rPr>
                <w:rFonts w:ascii="Meta Pro" w:eastAsia="Times New Roman" w:hAnsi="Meta Pro"/>
                <w:szCs w:val="18"/>
                <w:lang w:eastAsia="en-AU"/>
              </w:rPr>
              <w:t> </w:t>
            </w:r>
          </w:p>
        </w:tc>
        <w:tc>
          <w:tcPr>
            <w:tcW w:w="1216" w:type="dxa"/>
            <w:tcBorders>
              <w:top w:val="single" w:sz="4" w:space="0" w:color="auto"/>
              <w:left w:val="nil"/>
              <w:bottom w:val="double" w:sz="6" w:space="0" w:color="auto"/>
              <w:right w:val="nil"/>
            </w:tcBorders>
            <w:shd w:val="clear" w:color="auto" w:fill="auto"/>
            <w:noWrap/>
            <w:vAlign w:val="center"/>
            <w:hideMark/>
          </w:tcPr>
          <w:p w14:paraId="5CFA8F10" w14:textId="77777777" w:rsidR="00F248B0" w:rsidRPr="00A7631E" w:rsidRDefault="00F248B0" w:rsidP="00E607DA">
            <w:pPr>
              <w:jc w:val="right"/>
              <w:rPr>
                <w:rFonts w:ascii="Meta Pro" w:eastAsia="Times New Roman" w:hAnsi="Meta Pro"/>
                <w:b/>
                <w:bCs/>
                <w:szCs w:val="18"/>
                <w:lang w:eastAsia="en-AU"/>
              </w:rPr>
            </w:pPr>
            <w:r w:rsidRPr="00A7631E">
              <w:rPr>
                <w:rFonts w:ascii="Meta Pro" w:eastAsia="Times New Roman" w:hAnsi="Meta Pro"/>
                <w:b/>
                <w:bCs/>
                <w:szCs w:val="18"/>
                <w:lang w:eastAsia="en-AU"/>
              </w:rPr>
              <w:t xml:space="preserve">7,930 </w:t>
            </w:r>
          </w:p>
        </w:tc>
      </w:tr>
      <w:tr w:rsidR="00F248B0" w:rsidRPr="00A7631E" w14:paraId="0E04B9E4" w14:textId="77777777" w:rsidTr="00E607DA">
        <w:trPr>
          <w:trHeight w:val="240"/>
        </w:trPr>
        <w:tc>
          <w:tcPr>
            <w:tcW w:w="7476" w:type="dxa"/>
            <w:tcBorders>
              <w:top w:val="nil"/>
              <w:left w:val="nil"/>
              <w:bottom w:val="nil"/>
              <w:right w:val="nil"/>
            </w:tcBorders>
            <w:shd w:val="clear" w:color="auto" w:fill="auto"/>
            <w:noWrap/>
            <w:vAlign w:val="center"/>
            <w:hideMark/>
          </w:tcPr>
          <w:p w14:paraId="63C97AA3" w14:textId="77777777" w:rsidR="00F248B0" w:rsidRPr="00A7631E" w:rsidRDefault="00F248B0" w:rsidP="00E607DA">
            <w:pPr>
              <w:jc w:val="right"/>
              <w:rPr>
                <w:rFonts w:ascii="Meta Pro" w:eastAsia="Times New Roman" w:hAnsi="Meta Pro"/>
                <w:b/>
                <w:bCs/>
                <w:szCs w:val="18"/>
                <w:lang w:eastAsia="en-AU"/>
              </w:rPr>
            </w:pPr>
          </w:p>
        </w:tc>
        <w:tc>
          <w:tcPr>
            <w:tcW w:w="1216" w:type="dxa"/>
            <w:tcBorders>
              <w:top w:val="nil"/>
              <w:left w:val="nil"/>
              <w:bottom w:val="nil"/>
              <w:right w:val="nil"/>
            </w:tcBorders>
            <w:shd w:val="clear" w:color="auto" w:fill="auto"/>
            <w:noWrap/>
            <w:vAlign w:val="center"/>
            <w:hideMark/>
          </w:tcPr>
          <w:p w14:paraId="4372996E" w14:textId="77777777" w:rsidR="00F248B0" w:rsidRPr="00A7631E" w:rsidRDefault="00F248B0" w:rsidP="00E607DA">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1E74DF1D" w14:textId="77777777" w:rsidR="00F248B0" w:rsidRPr="00A7631E" w:rsidRDefault="00F248B0"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04A02053" w14:textId="77777777" w:rsidR="00F248B0" w:rsidRPr="00A7631E" w:rsidRDefault="00F248B0" w:rsidP="00E607DA">
            <w:pPr>
              <w:jc w:val="right"/>
              <w:rPr>
                <w:rFonts w:ascii="Meta Pro" w:eastAsia="Times New Roman" w:hAnsi="Meta Pro" w:cs="Times New Roman"/>
                <w:sz w:val="20"/>
                <w:szCs w:val="20"/>
                <w:lang w:eastAsia="en-AU"/>
              </w:rPr>
            </w:pPr>
          </w:p>
        </w:tc>
      </w:tr>
      <w:tr w:rsidR="00F248B0" w:rsidRPr="00A7631E" w14:paraId="6BF51308" w14:textId="77777777" w:rsidTr="00E607DA">
        <w:trPr>
          <w:trHeight w:val="240"/>
        </w:trPr>
        <w:tc>
          <w:tcPr>
            <w:tcW w:w="7476" w:type="dxa"/>
            <w:tcBorders>
              <w:top w:val="nil"/>
              <w:left w:val="nil"/>
              <w:bottom w:val="nil"/>
              <w:right w:val="nil"/>
            </w:tcBorders>
            <w:shd w:val="clear" w:color="auto" w:fill="auto"/>
            <w:noWrap/>
            <w:vAlign w:val="center"/>
            <w:hideMark/>
          </w:tcPr>
          <w:p w14:paraId="665C19F8" w14:textId="77777777" w:rsidR="00F248B0" w:rsidRPr="00A7631E" w:rsidRDefault="00F248B0" w:rsidP="00E607DA">
            <w:pPr>
              <w:rPr>
                <w:rFonts w:ascii="Meta Pro" w:eastAsia="Times New Roman" w:hAnsi="Meta Pro"/>
                <w:b/>
                <w:bCs/>
                <w:szCs w:val="18"/>
                <w:lang w:eastAsia="en-AU"/>
              </w:rPr>
            </w:pPr>
            <w:r w:rsidRPr="00A7631E">
              <w:rPr>
                <w:rFonts w:ascii="Meta Pro" w:eastAsia="Times New Roman" w:hAnsi="Meta Pro"/>
                <w:b/>
                <w:bCs/>
                <w:szCs w:val="18"/>
                <w:lang w:eastAsia="en-AU"/>
              </w:rPr>
              <w:t>Deferred tax equivalent expense/(income) included in income tax</w:t>
            </w:r>
          </w:p>
        </w:tc>
        <w:tc>
          <w:tcPr>
            <w:tcW w:w="1216" w:type="dxa"/>
            <w:tcBorders>
              <w:top w:val="nil"/>
              <w:left w:val="nil"/>
              <w:bottom w:val="nil"/>
              <w:right w:val="nil"/>
            </w:tcBorders>
            <w:shd w:val="clear" w:color="auto" w:fill="auto"/>
            <w:noWrap/>
            <w:vAlign w:val="center"/>
            <w:hideMark/>
          </w:tcPr>
          <w:p w14:paraId="765D3D7F" w14:textId="77777777" w:rsidR="00F248B0" w:rsidRPr="00A7631E" w:rsidRDefault="00F248B0" w:rsidP="00E607DA">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720D1B62" w14:textId="77777777" w:rsidR="00F248B0" w:rsidRPr="00A7631E" w:rsidRDefault="00F248B0"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7BE06E51" w14:textId="77777777" w:rsidR="00F248B0" w:rsidRPr="00A7631E" w:rsidRDefault="00F248B0" w:rsidP="00E607DA">
            <w:pPr>
              <w:jc w:val="right"/>
              <w:rPr>
                <w:rFonts w:ascii="Meta Pro" w:eastAsia="Times New Roman" w:hAnsi="Meta Pro" w:cs="Times New Roman"/>
                <w:sz w:val="20"/>
                <w:szCs w:val="20"/>
                <w:lang w:eastAsia="en-AU"/>
              </w:rPr>
            </w:pPr>
          </w:p>
        </w:tc>
      </w:tr>
      <w:tr w:rsidR="00F248B0" w:rsidRPr="00A7631E" w14:paraId="414B12DC" w14:textId="77777777" w:rsidTr="00E607DA">
        <w:trPr>
          <w:trHeight w:val="240"/>
        </w:trPr>
        <w:tc>
          <w:tcPr>
            <w:tcW w:w="7476" w:type="dxa"/>
            <w:tcBorders>
              <w:top w:val="nil"/>
              <w:left w:val="nil"/>
              <w:bottom w:val="nil"/>
              <w:right w:val="nil"/>
            </w:tcBorders>
            <w:shd w:val="clear" w:color="auto" w:fill="auto"/>
            <w:noWrap/>
            <w:vAlign w:val="center"/>
            <w:hideMark/>
          </w:tcPr>
          <w:p w14:paraId="33E8129E" w14:textId="77777777" w:rsidR="00F248B0" w:rsidRPr="00A7631E" w:rsidRDefault="00F248B0" w:rsidP="00E607DA">
            <w:pPr>
              <w:rPr>
                <w:rFonts w:ascii="Meta Pro" w:eastAsia="Times New Roman" w:hAnsi="Meta Pro"/>
                <w:b/>
                <w:bCs/>
                <w:szCs w:val="18"/>
                <w:lang w:eastAsia="en-AU"/>
              </w:rPr>
            </w:pPr>
            <w:r w:rsidRPr="00A7631E">
              <w:rPr>
                <w:rFonts w:ascii="Meta Pro" w:eastAsia="Times New Roman" w:hAnsi="Meta Pro"/>
                <w:b/>
                <w:bCs/>
                <w:szCs w:val="18"/>
                <w:lang w:eastAsia="en-AU"/>
              </w:rPr>
              <w:t>equivalent expense comprises:</w:t>
            </w:r>
          </w:p>
        </w:tc>
        <w:tc>
          <w:tcPr>
            <w:tcW w:w="1216" w:type="dxa"/>
            <w:tcBorders>
              <w:top w:val="nil"/>
              <w:left w:val="nil"/>
              <w:bottom w:val="nil"/>
              <w:right w:val="nil"/>
            </w:tcBorders>
            <w:shd w:val="clear" w:color="auto" w:fill="auto"/>
            <w:noWrap/>
            <w:vAlign w:val="center"/>
            <w:hideMark/>
          </w:tcPr>
          <w:p w14:paraId="691F02D9" w14:textId="77777777" w:rsidR="00F248B0" w:rsidRPr="00A7631E" w:rsidRDefault="00F248B0" w:rsidP="00E607DA">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65BD3BA9" w14:textId="77777777" w:rsidR="00F248B0" w:rsidRPr="00A7631E" w:rsidRDefault="00F248B0"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27A6B3C3" w14:textId="77777777" w:rsidR="00F248B0" w:rsidRPr="00A7631E" w:rsidRDefault="00F248B0" w:rsidP="00E607DA">
            <w:pPr>
              <w:jc w:val="right"/>
              <w:rPr>
                <w:rFonts w:ascii="Meta Pro" w:eastAsia="Times New Roman" w:hAnsi="Meta Pro" w:cs="Times New Roman"/>
                <w:sz w:val="20"/>
                <w:szCs w:val="20"/>
                <w:lang w:eastAsia="en-AU"/>
              </w:rPr>
            </w:pPr>
          </w:p>
        </w:tc>
      </w:tr>
      <w:tr w:rsidR="00F248B0" w:rsidRPr="00A7631E" w14:paraId="39358E89" w14:textId="77777777" w:rsidTr="00E607DA">
        <w:trPr>
          <w:trHeight w:val="90"/>
        </w:trPr>
        <w:tc>
          <w:tcPr>
            <w:tcW w:w="7476" w:type="dxa"/>
            <w:tcBorders>
              <w:top w:val="nil"/>
              <w:left w:val="nil"/>
              <w:bottom w:val="nil"/>
              <w:right w:val="nil"/>
            </w:tcBorders>
            <w:shd w:val="clear" w:color="auto" w:fill="auto"/>
            <w:noWrap/>
            <w:vAlign w:val="center"/>
            <w:hideMark/>
          </w:tcPr>
          <w:p w14:paraId="781F65A6" w14:textId="77777777" w:rsidR="00F248B0" w:rsidRPr="00A7631E" w:rsidRDefault="00F248B0"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678B8870" w14:textId="77777777" w:rsidR="00F248B0" w:rsidRPr="00A7631E" w:rsidRDefault="00F248B0" w:rsidP="00E607DA">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6EFE29B2" w14:textId="77777777" w:rsidR="00F248B0" w:rsidRPr="00A7631E" w:rsidRDefault="00F248B0"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279278EB" w14:textId="77777777" w:rsidR="00F248B0" w:rsidRPr="00A7631E" w:rsidRDefault="00F248B0" w:rsidP="00E607DA">
            <w:pPr>
              <w:jc w:val="right"/>
              <w:rPr>
                <w:rFonts w:ascii="Meta Pro" w:eastAsia="Times New Roman" w:hAnsi="Meta Pro" w:cs="Times New Roman"/>
                <w:sz w:val="20"/>
                <w:szCs w:val="20"/>
                <w:lang w:eastAsia="en-AU"/>
              </w:rPr>
            </w:pPr>
          </w:p>
        </w:tc>
      </w:tr>
      <w:tr w:rsidR="00F248B0" w:rsidRPr="00A7631E" w14:paraId="46CC394E" w14:textId="77777777" w:rsidTr="00E607DA">
        <w:trPr>
          <w:trHeight w:val="240"/>
        </w:trPr>
        <w:tc>
          <w:tcPr>
            <w:tcW w:w="7476" w:type="dxa"/>
            <w:tcBorders>
              <w:top w:val="nil"/>
              <w:left w:val="nil"/>
              <w:bottom w:val="nil"/>
              <w:right w:val="nil"/>
            </w:tcBorders>
            <w:shd w:val="clear" w:color="auto" w:fill="auto"/>
            <w:noWrap/>
            <w:vAlign w:val="center"/>
            <w:hideMark/>
          </w:tcPr>
          <w:p w14:paraId="56A9FC54" w14:textId="77777777" w:rsidR="00F248B0" w:rsidRPr="00A7631E" w:rsidRDefault="00F248B0" w:rsidP="00E607DA">
            <w:pPr>
              <w:rPr>
                <w:rFonts w:ascii="Meta Pro" w:eastAsia="Times New Roman" w:hAnsi="Meta Pro"/>
                <w:szCs w:val="18"/>
                <w:lang w:eastAsia="en-AU"/>
              </w:rPr>
            </w:pPr>
            <w:r w:rsidRPr="00A7631E">
              <w:rPr>
                <w:rFonts w:ascii="Meta Pro" w:eastAsia="Times New Roman" w:hAnsi="Meta Pro"/>
                <w:szCs w:val="18"/>
                <w:lang w:eastAsia="en-AU"/>
              </w:rPr>
              <w:t>Deferred tax assets opening balance</w:t>
            </w:r>
          </w:p>
        </w:tc>
        <w:tc>
          <w:tcPr>
            <w:tcW w:w="1216" w:type="dxa"/>
            <w:tcBorders>
              <w:top w:val="nil"/>
              <w:left w:val="nil"/>
              <w:bottom w:val="nil"/>
              <w:right w:val="nil"/>
            </w:tcBorders>
            <w:shd w:val="clear" w:color="000000" w:fill="C9E3B4"/>
            <w:noWrap/>
            <w:vAlign w:val="center"/>
            <w:hideMark/>
          </w:tcPr>
          <w:p w14:paraId="52420532" w14:textId="77777777" w:rsidR="00F248B0" w:rsidRPr="00A7631E" w:rsidRDefault="00F248B0" w:rsidP="00E607DA">
            <w:pPr>
              <w:jc w:val="right"/>
              <w:rPr>
                <w:rFonts w:ascii="Meta Pro" w:eastAsia="Times New Roman" w:hAnsi="Meta Pro"/>
                <w:szCs w:val="18"/>
                <w:lang w:eastAsia="en-AU"/>
              </w:rPr>
            </w:pPr>
            <w:r w:rsidRPr="00A7631E">
              <w:rPr>
                <w:rFonts w:ascii="Meta Pro" w:eastAsia="Times New Roman" w:hAnsi="Meta Pro"/>
                <w:szCs w:val="18"/>
                <w:lang w:eastAsia="en-AU"/>
              </w:rPr>
              <w:t xml:space="preserve">3,852 </w:t>
            </w:r>
          </w:p>
        </w:tc>
        <w:tc>
          <w:tcPr>
            <w:tcW w:w="216" w:type="dxa"/>
            <w:tcBorders>
              <w:top w:val="nil"/>
              <w:left w:val="nil"/>
              <w:bottom w:val="nil"/>
              <w:right w:val="nil"/>
            </w:tcBorders>
            <w:shd w:val="clear" w:color="auto" w:fill="auto"/>
            <w:noWrap/>
            <w:vAlign w:val="center"/>
            <w:hideMark/>
          </w:tcPr>
          <w:p w14:paraId="49CE3178" w14:textId="77777777" w:rsidR="00F248B0" w:rsidRPr="00A7631E" w:rsidRDefault="00F248B0"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064CAE6D" w14:textId="77777777" w:rsidR="00F248B0" w:rsidRPr="00A7631E" w:rsidRDefault="00F248B0" w:rsidP="00E607DA">
            <w:pPr>
              <w:jc w:val="right"/>
              <w:rPr>
                <w:rFonts w:ascii="Meta Pro" w:eastAsia="Times New Roman" w:hAnsi="Meta Pro"/>
                <w:szCs w:val="18"/>
                <w:lang w:eastAsia="en-AU"/>
              </w:rPr>
            </w:pPr>
            <w:r w:rsidRPr="00A7631E">
              <w:rPr>
                <w:rFonts w:ascii="Meta Pro" w:eastAsia="Times New Roman" w:hAnsi="Meta Pro"/>
                <w:szCs w:val="18"/>
                <w:lang w:eastAsia="en-AU"/>
              </w:rPr>
              <w:t xml:space="preserve">5,942 </w:t>
            </w:r>
          </w:p>
        </w:tc>
      </w:tr>
      <w:tr w:rsidR="00F248B0" w:rsidRPr="00A7631E" w14:paraId="51EF0DAB" w14:textId="77777777" w:rsidTr="00E607DA">
        <w:trPr>
          <w:trHeight w:val="240"/>
        </w:trPr>
        <w:tc>
          <w:tcPr>
            <w:tcW w:w="7476" w:type="dxa"/>
            <w:tcBorders>
              <w:top w:val="nil"/>
              <w:left w:val="nil"/>
              <w:bottom w:val="nil"/>
              <w:right w:val="nil"/>
            </w:tcBorders>
            <w:shd w:val="clear" w:color="auto" w:fill="auto"/>
            <w:noWrap/>
            <w:vAlign w:val="center"/>
            <w:hideMark/>
          </w:tcPr>
          <w:p w14:paraId="23BF3789" w14:textId="77777777" w:rsidR="00F248B0" w:rsidRPr="00A7631E" w:rsidRDefault="00F248B0" w:rsidP="00E607DA">
            <w:pPr>
              <w:rPr>
                <w:rFonts w:ascii="Meta Pro" w:eastAsia="Times New Roman" w:hAnsi="Meta Pro"/>
                <w:szCs w:val="18"/>
                <w:lang w:eastAsia="en-AU"/>
              </w:rPr>
            </w:pPr>
            <w:r w:rsidRPr="00A7631E">
              <w:rPr>
                <w:rFonts w:ascii="Meta Pro" w:eastAsia="Times New Roman" w:hAnsi="Meta Pro"/>
                <w:szCs w:val="18"/>
                <w:lang w:eastAsia="en-AU"/>
              </w:rPr>
              <w:t>Decrease in deferred tax assets</w:t>
            </w:r>
          </w:p>
        </w:tc>
        <w:tc>
          <w:tcPr>
            <w:tcW w:w="1216" w:type="dxa"/>
            <w:tcBorders>
              <w:top w:val="nil"/>
              <w:left w:val="nil"/>
              <w:bottom w:val="nil"/>
              <w:right w:val="nil"/>
            </w:tcBorders>
            <w:shd w:val="clear" w:color="000000" w:fill="C9E3B4"/>
            <w:noWrap/>
            <w:vAlign w:val="center"/>
            <w:hideMark/>
          </w:tcPr>
          <w:p w14:paraId="79C24035" w14:textId="77777777" w:rsidR="00F248B0" w:rsidRPr="00A7631E" w:rsidRDefault="00F248B0" w:rsidP="00E607DA">
            <w:pPr>
              <w:jc w:val="right"/>
              <w:rPr>
                <w:rFonts w:ascii="Meta Pro" w:eastAsia="Times New Roman" w:hAnsi="Meta Pro"/>
                <w:szCs w:val="18"/>
                <w:lang w:eastAsia="en-AU"/>
              </w:rPr>
            </w:pPr>
            <w:r w:rsidRPr="00A7631E">
              <w:rPr>
                <w:rFonts w:ascii="Meta Pro" w:eastAsia="Times New Roman" w:hAnsi="Meta Pro"/>
                <w:szCs w:val="18"/>
                <w:lang w:eastAsia="en-AU"/>
              </w:rPr>
              <w:t>(556)</w:t>
            </w:r>
          </w:p>
        </w:tc>
        <w:tc>
          <w:tcPr>
            <w:tcW w:w="216" w:type="dxa"/>
            <w:tcBorders>
              <w:top w:val="nil"/>
              <w:left w:val="nil"/>
              <w:bottom w:val="nil"/>
              <w:right w:val="nil"/>
            </w:tcBorders>
            <w:shd w:val="clear" w:color="auto" w:fill="auto"/>
            <w:noWrap/>
            <w:vAlign w:val="center"/>
            <w:hideMark/>
          </w:tcPr>
          <w:p w14:paraId="2C262F5C" w14:textId="77777777" w:rsidR="00F248B0" w:rsidRPr="00A7631E" w:rsidRDefault="00F248B0"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4FF3AADF" w14:textId="77777777" w:rsidR="00F248B0" w:rsidRPr="00A7631E" w:rsidRDefault="00F248B0" w:rsidP="00E607DA">
            <w:pPr>
              <w:jc w:val="right"/>
              <w:rPr>
                <w:rFonts w:ascii="Meta Pro" w:eastAsia="Times New Roman" w:hAnsi="Meta Pro"/>
                <w:szCs w:val="18"/>
                <w:lang w:eastAsia="en-AU"/>
              </w:rPr>
            </w:pPr>
            <w:r w:rsidRPr="00A7631E">
              <w:rPr>
                <w:rFonts w:ascii="Meta Pro" w:eastAsia="Times New Roman" w:hAnsi="Meta Pro"/>
                <w:szCs w:val="18"/>
                <w:lang w:eastAsia="en-AU"/>
              </w:rPr>
              <w:t>(2,090)</w:t>
            </w:r>
          </w:p>
        </w:tc>
      </w:tr>
      <w:tr w:rsidR="00F248B0" w:rsidRPr="00A7631E" w14:paraId="7F332D4F" w14:textId="77777777" w:rsidTr="00E607DA">
        <w:trPr>
          <w:trHeight w:val="240"/>
        </w:trPr>
        <w:tc>
          <w:tcPr>
            <w:tcW w:w="7476" w:type="dxa"/>
            <w:tcBorders>
              <w:top w:val="single" w:sz="4" w:space="0" w:color="auto"/>
              <w:left w:val="nil"/>
              <w:bottom w:val="double" w:sz="6" w:space="0" w:color="auto"/>
              <w:right w:val="nil"/>
            </w:tcBorders>
            <w:shd w:val="clear" w:color="auto" w:fill="auto"/>
            <w:noWrap/>
            <w:vAlign w:val="center"/>
            <w:hideMark/>
          </w:tcPr>
          <w:p w14:paraId="5AEC3F19" w14:textId="77777777" w:rsidR="00F248B0" w:rsidRPr="00A7631E" w:rsidRDefault="00F248B0" w:rsidP="00E607DA">
            <w:pPr>
              <w:rPr>
                <w:rFonts w:ascii="Meta Pro" w:eastAsia="Times New Roman" w:hAnsi="Meta Pro"/>
                <w:b/>
                <w:bCs/>
                <w:szCs w:val="18"/>
                <w:lang w:eastAsia="en-AU"/>
              </w:rPr>
            </w:pPr>
            <w:r w:rsidRPr="00A7631E">
              <w:rPr>
                <w:rFonts w:ascii="Meta Pro" w:eastAsia="Times New Roman" w:hAnsi="Meta Pro"/>
                <w:b/>
                <w:bCs/>
                <w:szCs w:val="18"/>
                <w:lang w:eastAsia="en-AU"/>
              </w:rPr>
              <w:t xml:space="preserve">Deferred tax assets at 30 June </w:t>
            </w:r>
          </w:p>
        </w:tc>
        <w:tc>
          <w:tcPr>
            <w:tcW w:w="1216" w:type="dxa"/>
            <w:tcBorders>
              <w:top w:val="single" w:sz="4" w:space="0" w:color="auto"/>
              <w:left w:val="nil"/>
              <w:bottom w:val="double" w:sz="6" w:space="0" w:color="auto"/>
              <w:right w:val="nil"/>
            </w:tcBorders>
            <w:shd w:val="clear" w:color="000000" w:fill="C9E3B4"/>
            <w:noWrap/>
            <w:vAlign w:val="center"/>
            <w:hideMark/>
          </w:tcPr>
          <w:p w14:paraId="343D8417" w14:textId="77777777" w:rsidR="00F248B0" w:rsidRPr="00A7631E" w:rsidRDefault="00F248B0" w:rsidP="00E607DA">
            <w:pPr>
              <w:jc w:val="right"/>
              <w:rPr>
                <w:rFonts w:ascii="Meta Pro" w:eastAsia="Times New Roman" w:hAnsi="Meta Pro"/>
                <w:b/>
                <w:bCs/>
                <w:szCs w:val="18"/>
                <w:lang w:eastAsia="en-AU"/>
              </w:rPr>
            </w:pPr>
            <w:r w:rsidRPr="00A7631E">
              <w:rPr>
                <w:rFonts w:ascii="Meta Pro" w:eastAsia="Times New Roman" w:hAnsi="Meta Pro"/>
                <w:b/>
                <w:bCs/>
                <w:szCs w:val="18"/>
                <w:lang w:eastAsia="en-AU"/>
              </w:rPr>
              <w:t xml:space="preserve">3,296 </w:t>
            </w:r>
          </w:p>
        </w:tc>
        <w:tc>
          <w:tcPr>
            <w:tcW w:w="216" w:type="dxa"/>
            <w:tcBorders>
              <w:top w:val="single" w:sz="4" w:space="0" w:color="auto"/>
              <w:left w:val="nil"/>
              <w:bottom w:val="double" w:sz="6" w:space="0" w:color="auto"/>
              <w:right w:val="nil"/>
            </w:tcBorders>
            <w:shd w:val="clear" w:color="auto" w:fill="auto"/>
            <w:noWrap/>
            <w:vAlign w:val="center"/>
            <w:hideMark/>
          </w:tcPr>
          <w:p w14:paraId="37013050" w14:textId="77777777" w:rsidR="00F248B0" w:rsidRPr="00A7631E" w:rsidRDefault="00F248B0" w:rsidP="00E607DA">
            <w:pPr>
              <w:jc w:val="right"/>
              <w:rPr>
                <w:rFonts w:ascii="Meta Pro" w:eastAsia="Times New Roman" w:hAnsi="Meta Pro"/>
                <w:b/>
                <w:bCs/>
                <w:szCs w:val="18"/>
                <w:lang w:eastAsia="en-AU"/>
              </w:rPr>
            </w:pPr>
            <w:r w:rsidRPr="00A7631E">
              <w:rPr>
                <w:rFonts w:ascii="Meta Pro" w:eastAsia="Times New Roman" w:hAnsi="Meta Pro"/>
                <w:b/>
                <w:bCs/>
                <w:szCs w:val="18"/>
                <w:lang w:eastAsia="en-AU"/>
              </w:rPr>
              <w:t> </w:t>
            </w:r>
          </w:p>
        </w:tc>
        <w:tc>
          <w:tcPr>
            <w:tcW w:w="1216" w:type="dxa"/>
            <w:tcBorders>
              <w:top w:val="single" w:sz="4" w:space="0" w:color="auto"/>
              <w:left w:val="nil"/>
              <w:bottom w:val="double" w:sz="6" w:space="0" w:color="auto"/>
              <w:right w:val="nil"/>
            </w:tcBorders>
            <w:shd w:val="clear" w:color="auto" w:fill="auto"/>
            <w:noWrap/>
            <w:vAlign w:val="center"/>
            <w:hideMark/>
          </w:tcPr>
          <w:p w14:paraId="43A72B41" w14:textId="77777777" w:rsidR="00F248B0" w:rsidRPr="00A7631E" w:rsidRDefault="00F248B0" w:rsidP="00E607DA">
            <w:pPr>
              <w:jc w:val="right"/>
              <w:rPr>
                <w:rFonts w:ascii="Meta Pro" w:eastAsia="Times New Roman" w:hAnsi="Meta Pro"/>
                <w:b/>
                <w:bCs/>
                <w:szCs w:val="18"/>
                <w:lang w:eastAsia="en-AU"/>
              </w:rPr>
            </w:pPr>
            <w:r w:rsidRPr="00A7631E">
              <w:rPr>
                <w:rFonts w:ascii="Meta Pro" w:eastAsia="Times New Roman" w:hAnsi="Meta Pro"/>
                <w:b/>
                <w:bCs/>
                <w:szCs w:val="18"/>
                <w:lang w:eastAsia="en-AU"/>
              </w:rPr>
              <w:t xml:space="preserve">3,852 </w:t>
            </w:r>
          </w:p>
        </w:tc>
      </w:tr>
      <w:tr w:rsidR="00F248B0" w:rsidRPr="00A7631E" w14:paraId="31DEABD0" w14:textId="77777777" w:rsidTr="00E607DA">
        <w:trPr>
          <w:trHeight w:val="240"/>
        </w:trPr>
        <w:tc>
          <w:tcPr>
            <w:tcW w:w="7476" w:type="dxa"/>
            <w:tcBorders>
              <w:top w:val="nil"/>
              <w:left w:val="nil"/>
              <w:bottom w:val="nil"/>
              <w:right w:val="nil"/>
            </w:tcBorders>
            <w:shd w:val="clear" w:color="auto" w:fill="auto"/>
            <w:noWrap/>
            <w:vAlign w:val="center"/>
            <w:hideMark/>
          </w:tcPr>
          <w:p w14:paraId="695E2197" w14:textId="77777777" w:rsidR="00F248B0" w:rsidRPr="00A7631E" w:rsidRDefault="00F248B0" w:rsidP="00E607DA">
            <w:pPr>
              <w:jc w:val="right"/>
              <w:rPr>
                <w:rFonts w:ascii="Meta Pro" w:eastAsia="Times New Roman" w:hAnsi="Meta Pro"/>
                <w:b/>
                <w:bCs/>
                <w:szCs w:val="18"/>
                <w:lang w:eastAsia="en-AU"/>
              </w:rPr>
            </w:pPr>
          </w:p>
        </w:tc>
        <w:tc>
          <w:tcPr>
            <w:tcW w:w="1216" w:type="dxa"/>
            <w:tcBorders>
              <w:top w:val="nil"/>
              <w:left w:val="nil"/>
              <w:bottom w:val="nil"/>
              <w:right w:val="nil"/>
            </w:tcBorders>
            <w:shd w:val="clear" w:color="auto" w:fill="auto"/>
            <w:noWrap/>
            <w:vAlign w:val="center"/>
            <w:hideMark/>
          </w:tcPr>
          <w:p w14:paraId="5B3B7B4A" w14:textId="77777777" w:rsidR="00F248B0" w:rsidRPr="00A7631E" w:rsidRDefault="00F248B0" w:rsidP="00E607DA">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13F5B322" w14:textId="77777777" w:rsidR="00F248B0" w:rsidRPr="00A7631E" w:rsidRDefault="00F248B0"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53E5CC62" w14:textId="77777777" w:rsidR="00F248B0" w:rsidRPr="00A7631E" w:rsidRDefault="00F248B0" w:rsidP="00E607DA">
            <w:pPr>
              <w:jc w:val="right"/>
              <w:rPr>
                <w:rFonts w:ascii="Meta Pro" w:eastAsia="Times New Roman" w:hAnsi="Meta Pro" w:cs="Times New Roman"/>
                <w:sz w:val="20"/>
                <w:szCs w:val="20"/>
                <w:lang w:eastAsia="en-AU"/>
              </w:rPr>
            </w:pPr>
          </w:p>
        </w:tc>
      </w:tr>
      <w:tr w:rsidR="00F248B0" w:rsidRPr="00A7631E" w14:paraId="37BC51AB" w14:textId="77777777" w:rsidTr="00E607DA">
        <w:trPr>
          <w:trHeight w:val="240"/>
        </w:trPr>
        <w:tc>
          <w:tcPr>
            <w:tcW w:w="7476" w:type="dxa"/>
            <w:tcBorders>
              <w:top w:val="nil"/>
              <w:left w:val="nil"/>
              <w:bottom w:val="nil"/>
              <w:right w:val="nil"/>
            </w:tcBorders>
            <w:shd w:val="clear" w:color="auto" w:fill="auto"/>
            <w:noWrap/>
            <w:vAlign w:val="center"/>
            <w:hideMark/>
          </w:tcPr>
          <w:p w14:paraId="467206BB" w14:textId="77777777" w:rsidR="00F248B0" w:rsidRPr="00A7631E" w:rsidRDefault="00F248B0" w:rsidP="00E607DA">
            <w:pPr>
              <w:rPr>
                <w:rFonts w:ascii="Meta Pro" w:eastAsia="Times New Roman" w:hAnsi="Meta Pro"/>
                <w:b/>
                <w:bCs/>
                <w:szCs w:val="18"/>
                <w:lang w:eastAsia="en-AU"/>
              </w:rPr>
            </w:pPr>
            <w:r w:rsidRPr="00A7631E">
              <w:rPr>
                <w:rFonts w:ascii="Meta Pro" w:eastAsia="Times New Roman" w:hAnsi="Meta Pro"/>
                <w:b/>
                <w:bCs/>
                <w:szCs w:val="18"/>
                <w:lang w:eastAsia="en-AU"/>
              </w:rPr>
              <w:t>Proof of deferred tax assets</w:t>
            </w:r>
          </w:p>
        </w:tc>
        <w:tc>
          <w:tcPr>
            <w:tcW w:w="1216" w:type="dxa"/>
            <w:tcBorders>
              <w:top w:val="nil"/>
              <w:left w:val="nil"/>
              <w:bottom w:val="nil"/>
              <w:right w:val="nil"/>
            </w:tcBorders>
            <w:shd w:val="clear" w:color="auto" w:fill="auto"/>
            <w:noWrap/>
            <w:vAlign w:val="center"/>
            <w:hideMark/>
          </w:tcPr>
          <w:p w14:paraId="1F79084E" w14:textId="77777777" w:rsidR="00F248B0" w:rsidRPr="00A7631E" w:rsidRDefault="00F248B0" w:rsidP="00E607DA">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0140600C" w14:textId="77777777" w:rsidR="00F248B0" w:rsidRPr="00A7631E" w:rsidRDefault="00F248B0"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1DB15952" w14:textId="77777777" w:rsidR="00F248B0" w:rsidRPr="00A7631E" w:rsidRDefault="00F248B0" w:rsidP="00E607DA">
            <w:pPr>
              <w:jc w:val="right"/>
              <w:rPr>
                <w:rFonts w:ascii="Meta Pro" w:eastAsia="Times New Roman" w:hAnsi="Meta Pro" w:cs="Times New Roman"/>
                <w:sz w:val="20"/>
                <w:szCs w:val="20"/>
                <w:lang w:eastAsia="en-AU"/>
              </w:rPr>
            </w:pPr>
          </w:p>
        </w:tc>
      </w:tr>
      <w:tr w:rsidR="00F248B0" w:rsidRPr="00A7631E" w14:paraId="65EEF1BE" w14:textId="77777777" w:rsidTr="00E607DA">
        <w:trPr>
          <w:trHeight w:val="90"/>
        </w:trPr>
        <w:tc>
          <w:tcPr>
            <w:tcW w:w="7476" w:type="dxa"/>
            <w:tcBorders>
              <w:top w:val="nil"/>
              <w:left w:val="nil"/>
              <w:bottom w:val="nil"/>
              <w:right w:val="nil"/>
            </w:tcBorders>
            <w:shd w:val="clear" w:color="auto" w:fill="auto"/>
            <w:noWrap/>
            <w:vAlign w:val="center"/>
            <w:hideMark/>
          </w:tcPr>
          <w:p w14:paraId="4E95D8E9" w14:textId="77777777" w:rsidR="00F248B0" w:rsidRPr="00A7631E" w:rsidRDefault="00F248B0"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65AF4540" w14:textId="77777777" w:rsidR="00F248B0" w:rsidRPr="00A7631E" w:rsidRDefault="00F248B0" w:rsidP="00E607DA">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10008397" w14:textId="77777777" w:rsidR="00F248B0" w:rsidRPr="00A7631E" w:rsidRDefault="00F248B0"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7EC4FB70" w14:textId="77777777" w:rsidR="00F248B0" w:rsidRPr="00A7631E" w:rsidRDefault="00F248B0" w:rsidP="00E607DA">
            <w:pPr>
              <w:jc w:val="right"/>
              <w:rPr>
                <w:rFonts w:ascii="Meta Pro" w:eastAsia="Times New Roman" w:hAnsi="Meta Pro" w:cs="Times New Roman"/>
                <w:sz w:val="20"/>
                <w:szCs w:val="20"/>
                <w:lang w:eastAsia="en-AU"/>
              </w:rPr>
            </w:pPr>
          </w:p>
        </w:tc>
      </w:tr>
      <w:tr w:rsidR="00F248B0" w:rsidRPr="00A7631E" w14:paraId="707A4C1F" w14:textId="77777777" w:rsidTr="00E607DA">
        <w:trPr>
          <w:trHeight w:val="240"/>
        </w:trPr>
        <w:tc>
          <w:tcPr>
            <w:tcW w:w="7476" w:type="dxa"/>
            <w:tcBorders>
              <w:top w:val="nil"/>
              <w:left w:val="nil"/>
              <w:bottom w:val="nil"/>
              <w:right w:val="nil"/>
            </w:tcBorders>
            <w:shd w:val="clear" w:color="auto" w:fill="auto"/>
            <w:noWrap/>
            <w:vAlign w:val="center"/>
            <w:hideMark/>
          </w:tcPr>
          <w:p w14:paraId="1ABD022F" w14:textId="77777777" w:rsidR="00F248B0" w:rsidRPr="00A7631E" w:rsidRDefault="00F248B0" w:rsidP="00E607DA">
            <w:pPr>
              <w:rPr>
                <w:rFonts w:ascii="Meta Pro" w:eastAsia="Times New Roman" w:hAnsi="Meta Pro"/>
                <w:szCs w:val="18"/>
                <w:lang w:eastAsia="en-AU"/>
              </w:rPr>
            </w:pPr>
            <w:r w:rsidRPr="00A7631E">
              <w:rPr>
                <w:rFonts w:ascii="Meta Pro" w:eastAsia="Times New Roman" w:hAnsi="Meta Pro"/>
                <w:szCs w:val="18"/>
                <w:lang w:eastAsia="en-AU"/>
              </w:rPr>
              <w:t>Deferred tax assets:</w:t>
            </w:r>
          </w:p>
        </w:tc>
        <w:tc>
          <w:tcPr>
            <w:tcW w:w="1216" w:type="dxa"/>
            <w:tcBorders>
              <w:top w:val="nil"/>
              <w:left w:val="nil"/>
              <w:bottom w:val="nil"/>
              <w:right w:val="nil"/>
            </w:tcBorders>
            <w:shd w:val="clear" w:color="auto" w:fill="auto"/>
            <w:noWrap/>
            <w:vAlign w:val="center"/>
            <w:hideMark/>
          </w:tcPr>
          <w:p w14:paraId="600977B9" w14:textId="77777777" w:rsidR="00F248B0" w:rsidRPr="00A7631E" w:rsidRDefault="00F248B0" w:rsidP="00E607DA">
            <w:pPr>
              <w:rPr>
                <w:rFonts w:ascii="Meta Pro" w:eastAsia="Times New Roman" w:hAnsi="Meta Pro"/>
                <w:szCs w:val="18"/>
                <w:lang w:eastAsia="en-AU"/>
              </w:rPr>
            </w:pPr>
          </w:p>
        </w:tc>
        <w:tc>
          <w:tcPr>
            <w:tcW w:w="216" w:type="dxa"/>
            <w:tcBorders>
              <w:top w:val="nil"/>
              <w:left w:val="nil"/>
              <w:bottom w:val="nil"/>
              <w:right w:val="nil"/>
            </w:tcBorders>
            <w:shd w:val="clear" w:color="auto" w:fill="auto"/>
            <w:noWrap/>
            <w:vAlign w:val="center"/>
            <w:hideMark/>
          </w:tcPr>
          <w:p w14:paraId="6642EC51" w14:textId="77777777" w:rsidR="00F248B0" w:rsidRPr="00A7631E" w:rsidRDefault="00F248B0" w:rsidP="00E607DA">
            <w:pPr>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3070BFC9" w14:textId="77777777" w:rsidR="00F248B0" w:rsidRPr="00A7631E" w:rsidRDefault="00F248B0" w:rsidP="00E607DA">
            <w:pPr>
              <w:jc w:val="right"/>
              <w:rPr>
                <w:rFonts w:ascii="Meta Pro" w:eastAsia="Times New Roman" w:hAnsi="Meta Pro" w:cs="Times New Roman"/>
                <w:sz w:val="20"/>
                <w:szCs w:val="20"/>
                <w:lang w:eastAsia="en-AU"/>
              </w:rPr>
            </w:pPr>
          </w:p>
        </w:tc>
      </w:tr>
      <w:tr w:rsidR="00F248B0" w:rsidRPr="00A7631E" w14:paraId="41BDAD66" w14:textId="77777777" w:rsidTr="00E607DA">
        <w:trPr>
          <w:trHeight w:val="240"/>
        </w:trPr>
        <w:tc>
          <w:tcPr>
            <w:tcW w:w="7476" w:type="dxa"/>
            <w:tcBorders>
              <w:top w:val="nil"/>
              <w:left w:val="nil"/>
              <w:bottom w:val="nil"/>
              <w:right w:val="nil"/>
            </w:tcBorders>
            <w:shd w:val="clear" w:color="auto" w:fill="auto"/>
            <w:noWrap/>
            <w:vAlign w:val="center"/>
            <w:hideMark/>
          </w:tcPr>
          <w:p w14:paraId="1EC733C1" w14:textId="77777777" w:rsidR="00F248B0" w:rsidRPr="00A7631E" w:rsidRDefault="00F248B0" w:rsidP="00E607DA">
            <w:pPr>
              <w:rPr>
                <w:rFonts w:ascii="Meta Pro" w:eastAsia="Times New Roman" w:hAnsi="Meta Pro"/>
                <w:szCs w:val="18"/>
                <w:lang w:eastAsia="en-AU"/>
              </w:rPr>
            </w:pPr>
            <w:r w:rsidRPr="00A7631E">
              <w:rPr>
                <w:rFonts w:ascii="Meta Pro" w:eastAsia="Times New Roman" w:hAnsi="Meta Pro"/>
                <w:szCs w:val="18"/>
                <w:lang w:eastAsia="en-AU"/>
              </w:rPr>
              <w:t xml:space="preserve">  Property, plant and equipment</w:t>
            </w:r>
          </w:p>
        </w:tc>
        <w:tc>
          <w:tcPr>
            <w:tcW w:w="1216" w:type="dxa"/>
            <w:tcBorders>
              <w:top w:val="nil"/>
              <w:left w:val="nil"/>
              <w:bottom w:val="nil"/>
              <w:right w:val="nil"/>
            </w:tcBorders>
            <w:shd w:val="clear" w:color="000000" w:fill="C9E3B4"/>
            <w:noWrap/>
            <w:vAlign w:val="center"/>
            <w:hideMark/>
          </w:tcPr>
          <w:p w14:paraId="5B193B91" w14:textId="77777777" w:rsidR="00F248B0" w:rsidRPr="00A7631E" w:rsidRDefault="00F248B0" w:rsidP="00E607DA">
            <w:pPr>
              <w:jc w:val="right"/>
              <w:rPr>
                <w:rFonts w:ascii="Meta Pro" w:eastAsia="Times New Roman" w:hAnsi="Meta Pro"/>
                <w:szCs w:val="18"/>
                <w:lang w:eastAsia="en-AU"/>
              </w:rPr>
            </w:pPr>
            <w:r w:rsidRPr="00A7631E">
              <w:rPr>
                <w:rFonts w:ascii="Meta Pro" w:eastAsia="Times New Roman" w:hAnsi="Meta Pro"/>
                <w:szCs w:val="18"/>
                <w:lang w:eastAsia="en-AU"/>
              </w:rPr>
              <w:t xml:space="preserve">3,153 </w:t>
            </w:r>
          </w:p>
        </w:tc>
        <w:tc>
          <w:tcPr>
            <w:tcW w:w="216" w:type="dxa"/>
            <w:tcBorders>
              <w:top w:val="nil"/>
              <w:left w:val="nil"/>
              <w:bottom w:val="nil"/>
              <w:right w:val="nil"/>
            </w:tcBorders>
            <w:shd w:val="clear" w:color="auto" w:fill="auto"/>
            <w:noWrap/>
            <w:vAlign w:val="center"/>
            <w:hideMark/>
          </w:tcPr>
          <w:p w14:paraId="720F1C50" w14:textId="77777777" w:rsidR="00F248B0" w:rsidRPr="00A7631E" w:rsidRDefault="00F248B0"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48BE25D1" w14:textId="77777777" w:rsidR="00F248B0" w:rsidRPr="00A7631E" w:rsidRDefault="00F248B0" w:rsidP="00E607DA">
            <w:pPr>
              <w:jc w:val="right"/>
              <w:rPr>
                <w:rFonts w:ascii="Meta Pro" w:eastAsia="Times New Roman" w:hAnsi="Meta Pro"/>
                <w:szCs w:val="18"/>
                <w:lang w:eastAsia="en-AU"/>
              </w:rPr>
            </w:pPr>
            <w:r w:rsidRPr="00A7631E">
              <w:rPr>
                <w:rFonts w:ascii="Meta Pro" w:eastAsia="Times New Roman" w:hAnsi="Meta Pro"/>
                <w:szCs w:val="18"/>
                <w:lang w:eastAsia="en-AU"/>
              </w:rPr>
              <w:t xml:space="preserve">3,734 </w:t>
            </w:r>
          </w:p>
        </w:tc>
      </w:tr>
      <w:tr w:rsidR="00F248B0" w:rsidRPr="00A7631E" w14:paraId="12EC0BB1" w14:textId="77777777" w:rsidTr="00E607DA">
        <w:trPr>
          <w:trHeight w:val="240"/>
        </w:trPr>
        <w:tc>
          <w:tcPr>
            <w:tcW w:w="7476" w:type="dxa"/>
            <w:tcBorders>
              <w:top w:val="nil"/>
              <w:left w:val="nil"/>
              <w:bottom w:val="nil"/>
              <w:right w:val="nil"/>
            </w:tcBorders>
            <w:shd w:val="clear" w:color="auto" w:fill="auto"/>
            <w:noWrap/>
            <w:vAlign w:val="center"/>
            <w:hideMark/>
          </w:tcPr>
          <w:p w14:paraId="24B2002B" w14:textId="77777777" w:rsidR="00F248B0" w:rsidRPr="00A7631E" w:rsidRDefault="00F248B0" w:rsidP="00E607DA">
            <w:pPr>
              <w:rPr>
                <w:rFonts w:ascii="Meta Pro" w:eastAsia="Times New Roman" w:hAnsi="Meta Pro"/>
                <w:szCs w:val="18"/>
                <w:lang w:eastAsia="en-AU"/>
              </w:rPr>
            </w:pPr>
            <w:r w:rsidRPr="00A7631E">
              <w:rPr>
                <w:rFonts w:ascii="Meta Pro" w:eastAsia="Times New Roman" w:hAnsi="Meta Pro"/>
                <w:szCs w:val="18"/>
                <w:lang w:eastAsia="en-AU"/>
              </w:rPr>
              <w:t xml:space="preserve">  Other items</w:t>
            </w:r>
          </w:p>
        </w:tc>
        <w:tc>
          <w:tcPr>
            <w:tcW w:w="1216" w:type="dxa"/>
            <w:tcBorders>
              <w:top w:val="nil"/>
              <w:left w:val="nil"/>
              <w:bottom w:val="nil"/>
              <w:right w:val="nil"/>
            </w:tcBorders>
            <w:shd w:val="clear" w:color="000000" w:fill="C9E3B4"/>
            <w:noWrap/>
            <w:vAlign w:val="center"/>
            <w:hideMark/>
          </w:tcPr>
          <w:p w14:paraId="5BBD2A7E" w14:textId="77777777" w:rsidR="00F248B0" w:rsidRPr="00A7631E" w:rsidRDefault="00F248B0" w:rsidP="00E607DA">
            <w:pPr>
              <w:jc w:val="right"/>
              <w:rPr>
                <w:rFonts w:ascii="Meta Pro" w:eastAsia="Times New Roman" w:hAnsi="Meta Pro"/>
                <w:szCs w:val="18"/>
                <w:lang w:eastAsia="en-AU"/>
              </w:rPr>
            </w:pPr>
            <w:r w:rsidRPr="00A7631E">
              <w:rPr>
                <w:rFonts w:ascii="Meta Pro" w:eastAsia="Times New Roman" w:hAnsi="Meta Pro"/>
                <w:szCs w:val="18"/>
                <w:lang w:eastAsia="en-AU"/>
              </w:rPr>
              <w:t xml:space="preserve">143 </w:t>
            </w:r>
          </w:p>
        </w:tc>
        <w:tc>
          <w:tcPr>
            <w:tcW w:w="216" w:type="dxa"/>
            <w:tcBorders>
              <w:top w:val="nil"/>
              <w:left w:val="nil"/>
              <w:bottom w:val="nil"/>
              <w:right w:val="nil"/>
            </w:tcBorders>
            <w:shd w:val="clear" w:color="auto" w:fill="auto"/>
            <w:noWrap/>
            <w:vAlign w:val="center"/>
            <w:hideMark/>
          </w:tcPr>
          <w:p w14:paraId="0313F872" w14:textId="77777777" w:rsidR="00F248B0" w:rsidRPr="00A7631E" w:rsidRDefault="00F248B0"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302EEAA2" w14:textId="77777777" w:rsidR="00F248B0" w:rsidRPr="00A7631E" w:rsidRDefault="00F248B0" w:rsidP="00E607DA">
            <w:pPr>
              <w:jc w:val="right"/>
              <w:rPr>
                <w:rFonts w:ascii="Meta Pro" w:eastAsia="Times New Roman" w:hAnsi="Meta Pro"/>
                <w:szCs w:val="18"/>
                <w:lang w:eastAsia="en-AU"/>
              </w:rPr>
            </w:pPr>
            <w:r w:rsidRPr="00A7631E">
              <w:rPr>
                <w:rFonts w:ascii="Meta Pro" w:eastAsia="Times New Roman" w:hAnsi="Meta Pro"/>
                <w:szCs w:val="18"/>
                <w:lang w:eastAsia="en-AU"/>
              </w:rPr>
              <w:t xml:space="preserve">118 </w:t>
            </w:r>
          </w:p>
        </w:tc>
      </w:tr>
      <w:tr w:rsidR="00F248B0" w:rsidRPr="00A7631E" w14:paraId="710018DF" w14:textId="77777777" w:rsidTr="00E607DA">
        <w:trPr>
          <w:trHeight w:val="240"/>
        </w:trPr>
        <w:tc>
          <w:tcPr>
            <w:tcW w:w="7476" w:type="dxa"/>
            <w:tcBorders>
              <w:top w:val="single" w:sz="4" w:space="0" w:color="auto"/>
              <w:left w:val="nil"/>
              <w:bottom w:val="double" w:sz="6" w:space="0" w:color="auto"/>
              <w:right w:val="nil"/>
            </w:tcBorders>
            <w:shd w:val="clear" w:color="auto" w:fill="auto"/>
            <w:noWrap/>
            <w:vAlign w:val="center"/>
            <w:hideMark/>
          </w:tcPr>
          <w:p w14:paraId="048950AF" w14:textId="77777777" w:rsidR="00F248B0" w:rsidRPr="00A7631E" w:rsidRDefault="00F248B0" w:rsidP="00E607DA">
            <w:pPr>
              <w:rPr>
                <w:rFonts w:ascii="Meta Pro" w:eastAsia="Times New Roman" w:hAnsi="Meta Pro"/>
                <w:b/>
                <w:bCs/>
                <w:szCs w:val="18"/>
                <w:lang w:eastAsia="en-AU"/>
              </w:rPr>
            </w:pPr>
            <w:r w:rsidRPr="00A7631E">
              <w:rPr>
                <w:rFonts w:ascii="Meta Pro" w:eastAsia="Times New Roman" w:hAnsi="Meta Pro"/>
                <w:b/>
                <w:bCs/>
                <w:szCs w:val="18"/>
                <w:lang w:eastAsia="en-AU"/>
              </w:rPr>
              <w:t xml:space="preserve">Net deferred tax assets at 30 June </w:t>
            </w:r>
          </w:p>
        </w:tc>
        <w:tc>
          <w:tcPr>
            <w:tcW w:w="1216" w:type="dxa"/>
            <w:tcBorders>
              <w:top w:val="single" w:sz="4" w:space="0" w:color="auto"/>
              <w:left w:val="nil"/>
              <w:bottom w:val="double" w:sz="6" w:space="0" w:color="auto"/>
              <w:right w:val="nil"/>
            </w:tcBorders>
            <w:shd w:val="clear" w:color="000000" w:fill="C9E3B4"/>
            <w:noWrap/>
            <w:vAlign w:val="center"/>
            <w:hideMark/>
          </w:tcPr>
          <w:p w14:paraId="22E8F2B6" w14:textId="77777777" w:rsidR="00F248B0" w:rsidRPr="00A7631E" w:rsidRDefault="00F248B0" w:rsidP="00E607DA">
            <w:pPr>
              <w:jc w:val="right"/>
              <w:rPr>
                <w:rFonts w:ascii="Meta Pro" w:eastAsia="Times New Roman" w:hAnsi="Meta Pro"/>
                <w:b/>
                <w:bCs/>
                <w:szCs w:val="18"/>
                <w:lang w:eastAsia="en-AU"/>
              </w:rPr>
            </w:pPr>
            <w:r w:rsidRPr="00A7631E">
              <w:rPr>
                <w:rFonts w:ascii="Meta Pro" w:eastAsia="Times New Roman" w:hAnsi="Meta Pro"/>
                <w:b/>
                <w:bCs/>
                <w:szCs w:val="18"/>
                <w:lang w:eastAsia="en-AU"/>
              </w:rPr>
              <w:t xml:space="preserve">3,296 </w:t>
            </w:r>
          </w:p>
        </w:tc>
        <w:tc>
          <w:tcPr>
            <w:tcW w:w="216" w:type="dxa"/>
            <w:tcBorders>
              <w:top w:val="single" w:sz="4" w:space="0" w:color="auto"/>
              <w:left w:val="nil"/>
              <w:bottom w:val="double" w:sz="6" w:space="0" w:color="auto"/>
              <w:right w:val="nil"/>
            </w:tcBorders>
            <w:shd w:val="clear" w:color="auto" w:fill="auto"/>
            <w:noWrap/>
            <w:vAlign w:val="center"/>
            <w:hideMark/>
          </w:tcPr>
          <w:p w14:paraId="5DB3FF3D" w14:textId="77777777" w:rsidR="00F248B0" w:rsidRPr="00A7631E" w:rsidRDefault="00F248B0" w:rsidP="00E607DA">
            <w:pPr>
              <w:jc w:val="right"/>
              <w:rPr>
                <w:rFonts w:ascii="Meta Pro" w:eastAsia="Times New Roman" w:hAnsi="Meta Pro"/>
                <w:b/>
                <w:bCs/>
                <w:szCs w:val="18"/>
                <w:lang w:eastAsia="en-AU"/>
              </w:rPr>
            </w:pPr>
            <w:r w:rsidRPr="00A7631E">
              <w:rPr>
                <w:rFonts w:ascii="Meta Pro" w:eastAsia="Times New Roman" w:hAnsi="Meta Pro"/>
                <w:b/>
                <w:bCs/>
                <w:szCs w:val="18"/>
                <w:lang w:eastAsia="en-AU"/>
              </w:rPr>
              <w:t> </w:t>
            </w:r>
          </w:p>
        </w:tc>
        <w:tc>
          <w:tcPr>
            <w:tcW w:w="1216" w:type="dxa"/>
            <w:tcBorders>
              <w:top w:val="single" w:sz="4" w:space="0" w:color="auto"/>
              <w:left w:val="nil"/>
              <w:bottom w:val="double" w:sz="6" w:space="0" w:color="auto"/>
              <w:right w:val="nil"/>
            </w:tcBorders>
            <w:shd w:val="clear" w:color="auto" w:fill="auto"/>
            <w:noWrap/>
            <w:vAlign w:val="center"/>
            <w:hideMark/>
          </w:tcPr>
          <w:p w14:paraId="5D53C02B" w14:textId="77777777" w:rsidR="00F248B0" w:rsidRPr="00A7631E" w:rsidRDefault="00F248B0" w:rsidP="00E607DA">
            <w:pPr>
              <w:jc w:val="right"/>
              <w:rPr>
                <w:rFonts w:ascii="Meta Pro" w:eastAsia="Times New Roman" w:hAnsi="Meta Pro"/>
                <w:b/>
                <w:bCs/>
                <w:szCs w:val="18"/>
                <w:lang w:eastAsia="en-AU"/>
              </w:rPr>
            </w:pPr>
            <w:r w:rsidRPr="00A7631E">
              <w:rPr>
                <w:rFonts w:ascii="Meta Pro" w:eastAsia="Times New Roman" w:hAnsi="Meta Pro"/>
                <w:b/>
                <w:bCs/>
                <w:szCs w:val="18"/>
                <w:lang w:eastAsia="en-AU"/>
              </w:rPr>
              <w:t xml:space="preserve">3,852 </w:t>
            </w:r>
          </w:p>
        </w:tc>
      </w:tr>
      <w:tr w:rsidR="00F248B0" w:rsidRPr="00A7631E" w14:paraId="65D251B3" w14:textId="77777777" w:rsidTr="00E607DA">
        <w:trPr>
          <w:trHeight w:val="240"/>
        </w:trPr>
        <w:tc>
          <w:tcPr>
            <w:tcW w:w="7476" w:type="dxa"/>
            <w:tcBorders>
              <w:top w:val="nil"/>
              <w:left w:val="nil"/>
              <w:bottom w:val="nil"/>
              <w:right w:val="nil"/>
            </w:tcBorders>
            <w:shd w:val="clear" w:color="auto" w:fill="auto"/>
            <w:noWrap/>
            <w:vAlign w:val="center"/>
            <w:hideMark/>
          </w:tcPr>
          <w:p w14:paraId="2BC70864" w14:textId="77777777" w:rsidR="00F248B0" w:rsidRPr="00A7631E" w:rsidRDefault="00F248B0" w:rsidP="00E607DA">
            <w:pPr>
              <w:jc w:val="right"/>
              <w:rPr>
                <w:rFonts w:ascii="Meta Pro" w:eastAsia="Times New Roman" w:hAnsi="Meta Pro"/>
                <w:b/>
                <w:bCs/>
                <w:szCs w:val="18"/>
                <w:lang w:eastAsia="en-AU"/>
              </w:rPr>
            </w:pPr>
          </w:p>
        </w:tc>
        <w:tc>
          <w:tcPr>
            <w:tcW w:w="1216" w:type="dxa"/>
            <w:tcBorders>
              <w:top w:val="nil"/>
              <w:left w:val="nil"/>
              <w:bottom w:val="nil"/>
              <w:right w:val="nil"/>
            </w:tcBorders>
            <w:shd w:val="clear" w:color="auto" w:fill="auto"/>
            <w:noWrap/>
            <w:vAlign w:val="center"/>
            <w:hideMark/>
          </w:tcPr>
          <w:p w14:paraId="0D99B508" w14:textId="77777777" w:rsidR="00F248B0" w:rsidRPr="00A7631E" w:rsidRDefault="00F248B0" w:rsidP="00E607DA">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5CC29912" w14:textId="77777777" w:rsidR="00F248B0" w:rsidRPr="00A7631E" w:rsidRDefault="00F248B0"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307724FA" w14:textId="77777777" w:rsidR="00F248B0" w:rsidRPr="00A7631E" w:rsidRDefault="00F248B0" w:rsidP="00E607DA">
            <w:pPr>
              <w:jc w:val="right"/>
              <w:rPr>
                <w:rFonts w:ascii="Meta Pro" w:eastAsia="Times New Roman" w:hAnsi="Meta Pro" w:cs="Times New Roman"/>
                <w:sz w:val="20"/>
                <w:szCs w:val="20"/>
                <w:lang w:eastAsia="en-AU"/>
              </w:rPr>
            </w:pPr>
          </w:p>
        </w:tc>
      </w:tr>
      <w:tr w:rsidR="00F248B0" w:rsidRPr="00A7631E" w14:paraId="69DD2221" w14:textId="77777777" w:rsidTr="00E607DA">
        <w:trPr>
          <w:trHeight w:val="240"/>
        </w:trPr>
        <w:tc>
          <w:tcPr>
            <w:tcW w:w="7476" w:type="dxa"/>
            <w:tcBorders>
              <w:top w:val="nil"/>
              <w:left w:val="nil"/>
              <w:bottom w:val="nil"/>
              <w:right w:val="nil"/>
            </w:tcBorders>
            <w:shd w:val="clear" w:color="auto" w:fill="auto"/>
            <w:noWrap/>
            <w:vAlign w:val="center"/>
            <w:hideMark/>
          </w:tcPr>
          <w:p w14:paraId="509539C9" w14:textId="77777777" w:rsidR="00F248B0" w:rsidRPr="00A7631E" w:rsidRDefault="00F248B0" w:rsidP="00E607DA">
            <w:pPr>
              <w:rPr>
                <w:rFonts w:ascii="Meta Pro" w:eastAsia="Times New Roman" w:hAnsi="Meta Pro"/>
                <w:b/>
                <w:bCs/>
                <w:szCs w:val="18"/>
                <w:lang w:eastAsia="en-AU"/>
              </w:rPr>
            </w:pPr>
            <w:r w:rsidRPr="00A7631E">
              <w:rPr>
                <w:rFonts w:ascii="Meta Pro" w:eastAsia="Times New Roman" w:hAnsi="Meta Pro"/>
                <w:b/>
                <w:bCs/>
                <w:szCs w:val="18"/>
                <w:lang w:eastAsia="en-AU"/>
              </w:rPr>
              <w:t>Reconciliation of current tax (receivable)/payable</w:t>
            </w:r>
          </w:p>
        </w:tc>
        <w:tc>
          <w:tcPr>
            <w:tcW w:w="1216" w:type="dxa"/>
            <w:tcBorders>
              <w:top w:val="nil"/>
              <w:left w:val="nil"/>
              <w:bottom w:val="nil"/>
              <w:right w:val="nil"/>
            </w:tcBorders>
            <w:shd w:val="clear" w:color="auto" w:fill="auto"/>
            <w:noWrap/>
            <w:vAlign w:val="center"/>
            <w:hideMark/>
          </w:tcPr>
          <w:p w14:paraId="07D6B43B" w14:textId="77777777" w:rsidR="00F248B0" w:rsidRPr="00A7631E" w:rsidRDefault="00F248B0" w:rsidP="00E607DA">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52CCF79A" w14:textId="77777777" w:rsidR="00F248B0" w:rsidRPr="00A7631E" w:rsidRDefault="00F248B0"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1C43A351" w14:textId="77777777" w:rsidR="00F248B0" w:rsidRPr="00A7631E" w:rsidRDefault="00F248B0" w:rsidP="00E607DA">
            <w:pPr>
              <w:jc w:val="right"/>
              <w:rPr>
                <w:rFonts w:ascii="Meta Pro" w:eastAsia="Times New Roman" w:hAnsi="Meta Pro" w:cs="Times New Roman"/>
                <w:sz w:val="20"/>
                <w:szCs w:val="20"/>
                <w:lang w:eastAsia="en-AU"/>
              </w:rPr>
            </w:pPr>
          </w:p>
        </w:tc>
      </w:tr>
      <w:tr w:rsidR="00F248B0" w:rsidRPr="00A7631E" w14:paraId="2B14089A" w14:textId="77777777" w:rsidTr="00E607DA">
        <w:trPr>
          <w:trHeight w:val="90"/>
        </w:trPr>
        <w:tc>
          <w:tcPr>
            <w:tcW w:w="7476" w:type="dxa"/>
            <w:tcBorders>
              <w:top w:val="nil"/>
              <w:left w:val="nil"/>
              <w:bottom w:val="nil"/>
              <w:right w:val="nil"/>
            </w:tcBorders>
            <w:shd w:val="clear" w:color="auto" w:fill="auto"/>
            <w:noWrap/>
            <w:vAlign w:val="center"/>
            <w:hideMark/>
          </w:tcPr>
          <w:p w14:paraId="637345AC" w14:textId="77777777" w:rsidR="00F248B0" w:rsidRPr="00A7631E" w:rsidRDefault="00F248B0"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5844B0B9" w14:textId="77777777" w:rsidR="00F248B0" w:rsidRPr="00A7631E" w:rsidRDefault="00F248B0" w:rsidP="00E607DA">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5E3C8FDB" w14:textId="77777777" w:rsidR="00F248B0" w:rsidRPr="00A7631E" w:rsidRDefault="00F248B0" w:rsidP="00E607DA">
            <w:pPr>
              <w:jc w:val="right"/>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5467BEEA" w14:textId="77777777" w:rsidR="00F248B0" w:rsidRPr="00A7631E" w:rsidRDefault="00F248B0" w:rsidP="00E607DA">
            <w:pPr>
              <w:jc w:val="right"/>
              <w:rPr>
                <w:rFonts w:ascii="Meta Pro" w:eastAsia="Times New Roman" w:hAnsi="Meta Pro" w:cs="Times New Roman"/>
                <w:sz w:val="20"/>
                <w:szCs w:val="20"/>
                <w:lang w:eastAsia="en-AU"/>
              </w:rPr>
            </w:pPr>
          </w:p>
        </w:tc>
      </w:tr>
      <w:tr w:rsidR="00F248B0" w:rsidRPr="00A7631E" w14:paraId="56D0233D" w14:textId="77777777" w:rsidTr="00E607DA">
        <w:trPr>
          <w:trHeight w:val="240"/>
        </w:trPr>
        <w:tc>
          <w:tcPr>
            <w:tcW w:w="7476" w:type="dxa"/>
            <w:tcBorders>
              <w:top w:val="nil"/>
              <w:left w:val="nil"/>
              <w:bottom w:val="nil"/>
              <w:right w:val="nil"/>
            </w:tcBorders>
            <w:shd w:val="clear" w:color="auto" w:fill="auto"/>
            <w:noWrap/>
            <w:vAlign w:val="center"/>
            <w:hideMark/>
          </w:tcPr>
          <w:p w14:paraId="3A9ABD82" w14:textId="77777777" w:rsidR="00F248B0" w:rsidRPr="00A7631E" w:rsidRDefault="00F248B0" w:rsidP="00E607DA">
            <w:pPr>
              <w:rPr>
                <w:rFonts w:ascii="Meta Pro" w:eastAsia="Times New Roman" w:hAnsi="Meta Pro"/>
                <w:szCs w:val="18"/>
                <w:lang w:eastAsia="en-AU"/>
              </w:rPr>
            </w:pPr>
            <w:r w:rsidRPr="00A7631E">
              <w:rPr>
                <w:rFonts w:ascii="Meta Pro" w:eastAsia="Times New Roman" w:hAnsi="Meta Pro"/>
                <w:szCs w:val="18"/>
                <w:lang w:eastAsia="en-AU"/>
              </w:rPr>
              <w:t>Opening balance</w:t>
            </w:r>
          </w:p>
        </w:tc>
        <w:tc>
          <w:tcPr>
            <w:tcW w:w="1216" w:type="dxa"/>
            <w:tcBorders>
              <w:top w:val="nil"/>
              <w:left w:val="nil"/>
              <w:bottom w:val="nil"/>
              <w:right w:val="nil"/>
            </w:tcBorders>
            <w:shd w:val="clear" w:color="000000" w:fill="C9E3B4"/>
            <w:noWrap/>
            <w:vAlign w:val="center"/>
            <w:hideMark/>
          </w:tcPr>
          <w:p w14:paraId="5D64FB97" w14:textId="77777777" w:rsidR="00F248B0" w:rsidRPr="00A7631E" w:rsidRDefault="00F248B0" w:rsidP="00E607DA">
            <w:pPr>
              <w:jc w:val="right"/>
              <w:rPr>
                <w:rFonts w:ascii="Meta Pro" w:eastAsia="Times New Roman" w:hAnsi="Meta Pro"/>
                <w:szCs w:val="18"/>
                <w:lang w:eastAsia="en-AU"/>
              </w:rPr>
            </w:pPr>
            <w:r w:rsidRPr="00A7631E">
              <w:rPr>
                <w:rFonts w:ascii="Meta Pro" w:eastAsia="Times New Roman" w:hAnsi="Meta Pro"/>
                <w:szCs w:val="18"/>
                <w:lang w:eastAsia="en-AU"/>
              </w:rPr>
              <w:t>(2,486)</w:t>
            </w:r>
          </w:p>
        </w:tc>
        <w:tc>
          <w:tcPr>
            <w:tcW w:w="216" w:type="dxa"/>
            <w:tcBorders>
              <w:top w:val="nil"/>
              <w:left w:val="nil"/>
              <w:bottom w:val="nil"/>
              <w:right w:val="nil"/>
            </w:tcBorders>
            <w:shd w:val="clear" w:color="auto" w:fill="auto"/>
            <w:noWrap/>
            <w:vAlign w:val="center"/>
            <w:hideMark/>
          </w:tcPr>
          <w:p w14:paraId="0614C81F" w14:textId="77777777" w:rsidR="00F248B0" w:rsidRPr="00A7631E" w:rsidRDefault="00F248B0"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664DEED4" w14:textId="77777777" w:rsidR="00F248B0" w:rsidRPr="00A7631E" w:rsidRDefault="00F248B0" w:rsidP="00E607DA">
            <w:pPr>
              <w:jc w:val="right"/>
              <w:rPr>
                <w:rFonts w:ascii="Meta Pro" w:eastAsia="Times New Roman" w:hAnsi="Meta Pro"/>
                <w:szCs w:val="18"/>
                <w:lang w:eastAsia="en-AU"/>
              </w:rPr>
            </w:pPr>
            <w:r w:rsidRPr="00A7631E">
              <w:rPr>
                <w:rFonts w:ascii="Meta Pro" w:eastAsia="Times New Roman" w:hAnsi="Meta Pro"/>
                <w:szCs w:val="18"/>
                <w:lang w:eastAsia="en-AU"/>
              </w:rPr>
              <w:t xml:space="preserve">473 </w:t>
            </w:r>
          </w:p>
        </w:tc>
      </w:tr>
      <w:tr w:rsidR="00F248B0" w:rsidRPr="00A7631E" w14:paraId="1FDC45CA" w14:textId="77777777" w:rsidTr="00E607DA">
        <w:trPr>
          <w:trHeight w:val="240"/>
        </w:trPr>
        <w:tc>
          <w:tcPr>
            <w:tcW w:w="7476" w:type="dxa"/>
            <w:tcBorders>
              <w:top w:val="nil"/>
              <w:left w:val="nil"/>
              <w:bottom w:val="nil"/>
              <w:right w:val="nil"/>
            </w:tcBorders>
            <w:shd w:val="clear" w:color="auto" w:fill="auto"/>
            <w:noWrap/>
            <w:vAlign w:val="center"/>
            <w:hideMark/>
          </w:tcPr>
          <w:p w14:paraId="09E4CE67" w14:textId="77777777" w:rsidR="00F248B0" w:rsidRPr="00A7631E" w:rsidRDefault="00F248B0" w:rsidP="00E607DA">
            <w:pPr>
              <w:rPr>
                <w:rFonts w:ascii="Meta Pro" w:eastAsia="Times New Roman" w:hAnsi="Meta Pro"/>
                <w:szCs w:val="18"/>
                <w:lang w:eastAsia="en-AU"/>
              </w:rPr>
            </w:pPr>
            <w:r w:rsidRPr="00A7631E">
              <w:rPr>
                <w:rFonts w:ascii="Meta Pro" w:eastAsia="Times New Roman" w:hAnsi="Meta Pro"/>
                <w:szCs w:val="18"/>
                <w:lang w:eastAsia="en-AU"/>
              </w:rPr>
              <w:t>Net movements</w:t>
            </w:r>
          </w:p>
        </w:tc>
        <w:tc>
          <w:tcPr>
            <w:tcW w:w="1216" w:type="dxa"/>
            <w:tcBorders>
              <w:top w:val="nil"/>
              <w:left w:val="nil"/>
              <w:bottom w:val="nil"/>
              <w:right w:val="nil"/>
            </w:tcBorders>
            <w:shd w:val="clear" w:color="000000" w:fill="C9E3B4"/>
            <w:noWrap/>
            <w:vAlign w:val="center"/>
            <w:hideMark/>
          </w:tcPr>
          <w:p w14:paraId="29CF06D5" w14:textId="77777777" w:rsidR="00F248B0" w:rsidRPr="00A7631E" w:rsidRDefault="00F248B0" w:rsidP="00E607DA">
            <w:pPr>
              <w:jc w:val="right"/>
              <w:rPr>
                <w:rFonts w:ascii="Meta Pro" w:eastAsia="Times New Roman" w:hAnsi="Meta Pro"/>
                <w:szCs w:val="18"/>
                <w:lang w:eastAsia="en-AU"/>
              </w:rPr>
            </w:pPr>
            <w:r w:rsidRPr="00A7631E">
              <w:rPr>
                <w:rFonts w:ascii="Meta Pro" w:eastAsia="Times New Roman" w:hAnsi="Meta Pro"/>
                <w:szCs w:val="18"/>
                <w:lang w:eastAsia="en-AU"/>
              </w:rPr>
              <w:t xml:space="preserve">1,185 </w:t>
            </w:r>
          </w:p>
        </w:tc>
        <w:tc>
          <w:tcPr>
            <w:tcW w:w="216" w:type="dxa"/>
            <w:tcBorders>
              <w:top w:val="nil"/>
              <w:left w:val="nil"/>
              <w:bottom w:val="nil"/>
              <w:right w:val="nil"/>
            </w:tcBorders>
            <w:shd w:val="clear" w:color="auto" w:fill="auto"/>
            <w:noWrap/>
            <w:vAlign w:val="center"/>
            <w:hideMark/>
          </w:tcPr>
          <w:p w14:paraId="0645E2D0" w14:textId="77777777" w:rsidR="00F248B0" w:rsidRPr="00A7631E" w:rsidRDefault="00F248B0"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421AF957" w14:textId="77777777" w:rsidR="00F248B0" w:rsidRPr="00A7631E" w:rsidRDefault="00F248B0" w:rsidP="00E607DA">
            <w:pPr>
              <w:jc w:val="right"/>
              <w:rPr>
                <w:rFonts w:ascii="Meta Pro" w:eastAsia="Times New Roman" w:hAnsi="Meta Pro"/>
                <w:szCs w:val="18"/>
                <w:lang w:eastAsia="en-AU"/>
              </w:rPr>
            </w:pPr>
            <w:r w:rsidRPr="00A7631E">
              <w:rPr>
                <w:rFonts w:ascii="Meta Pro" w:eastAsia="Times New Roman" w:hAnsi="Meta Pro"/>
                <w:szCs w:val="18"/>
                <w:lang w:eastAsia="en-AU"/>
              </w:rPr>
              <w:t>(2,959)</w:t>
            </w:r>
          </w:p>
        </w:tc>
      </w:tr>
      <w:tr w:rsidR="00F248B0" w:rsidRPr="00A7631E" w14:paraId="51555AB6" w14:textId="77777777" w:rsidTr="00E607DA">
        <w:trPr>
          <w:trHeight w:val="240"/>
        </w:trPr>
        <w:tc>
          <w:tcPr>
            <w:tcW w:w="7476" w:type="dxa"/>
            <w:tcBorders>
              <w:top w:val="single" w:sz="4" w:space="0" w:color="auto"/>
              <w:left w:val="nil"/>
              <w:bottom w:val="double" w:sz="6" w:space="0" w:color="auto"/>
              <w:right w:val="nil"/>
            </w:tcBorders>
            <w:shd w:val="clear" w:color="auto" w:fill="auto"/>
            <w:noWrap/>
            <w:vAlign w:val="center"/>
            <w:hideMark/>
          </w:tcPr>
          <w:p w14:paraId="606E1F49" w14:textId="77777777" w:rsidR="00F248B0" w:rsidRPr="00A7631E" w:rsidRDefault="00F248B0" w:rsidP="00E607DA">
            <w:pPr>
              <w:rPr>
                <w:rFonts w:ascii="Meta Pro" w:eastAsia="Times New Roman" w:hAnsi="Meta Pro"/>
                <w:b/>
                <w:bCs/>
                <w:szCs w:val="18"/>
                <w:lang w:eastAsia="en-AU"/>
              </w:rPr>
            </w:pPr>
            <w:r w:rsidRPr="00A7631E">
              <w:rPr>
                <w:rFonts w:ascii="Meta Pro" w:eastAsia="Times New Roman" w:hAnsi="Meta Pro"/>
                <w:b/>
                <w:bCs/>
                <w:szCs w:val="18"/>
                <w:lang w:eastAsia="en-AU"/>
              </w:rPr>
              <w:t>Current tax receivable at 30 June</w:t>
            </w:r>
          </w:p>
        </w:tc>
        <w:tc>
          <w:tcPr>
            <w:tcW w:w="1216" w:type="dxa"/>
            <w:tcBorders>
              <w:top w:val="single" w:sz="4" w:space="0" w:color="auto"/>
              <w:left w:val="nil"/>
              <w:bottom w:val="double" w:sz="6" w:space="0" w:color="auto"/>
              <w:right w:val="nil"/>
            </w:tcBorders>
            <w:shd w:val="clear" w:color="000000" w:fill="C9E3B4"/>
            <w:noWrap/>
            <w:vAlign w:val="center"/>
            <w:hideMark/>
          </w:tcPr>
          <w:p w14:paraId="7BB3299A" w14:textId="77777777" w:rsidR="00F248B0" w:rsidRPr="00A7631E" w:rsidRDefault="00F248B0" w:rsidP="00E607DA">
            <w:pPr>
              <w:jc w:val="right"/>
              <w:rPr>
                <w:rFonts w:ascii="Meta Pro" w:eastAsia="Times New Roman" w:hAnsi="Meta Pro"/>
                <w:b/>
                <w:bCs/>
                <w:szCs w:val="18"/>
                <w:lang w:eastAsia="en-AU"/>
              </w:rPr>
            </w:pPr>
            <w:r w:rsidRPr="00A7631E">
              <w:rPr>
                <w:rFonts w:ascii="Meta Pro" w:eastAsia="Times New Roman" w:hAnsi="Meta Pro"/>
                <w:b/>
                <w:bCs/>
                <w:szCs w:val="18"/>
                <w:lang w:eastAsia="en-AU"/>
              </w:rPr>
              <w:t>(1,301)</w:t>
            </w:r>
          </w:p>
        </w:tc>
        <w:tc>
          <w:tcPr>
            <w:tcW w:w="216" w:type="dxa"/>
            <w:tcBorders>
              <w:top w:val="single" w:sz="4" w:space="0" w:color="auto"/>
              <w:left w:val="nil"/>
              <w:bottom w:val="double" w:sz="6" w:space="0" w:color="auto"/>
              <w:right w:val="nil"/>
            </w:tcBorders>
            <w:shd w:val="clear" w:color="auto" w:fill="auto"/>
            <w:noWrap/>
            <w:vAlign w:val="center"/>
            <w:hideMark/>
          </w:tcPr>
          <w:p w14:paraId="23500357" w14:textId="77777777" w:rsidR="00F248B0" w:rsidRPr="00A7631E" w:rsidRDefault="00F248B0" w:rsidP="00E607DA">
            <w:pPr>
              <w:jc w:val="right"/>
              <w:rPr>
                <w:rFonts w:ascii="Meta Pro" w:eastAsia="Times New Roman" w:hAnsi="Meta Pro"/>
                <w:szCs w:val="18"/>
                <w:lang w:eastAsia="en-AU"/>
              </w:rPr>
            </w:pPr>
            <w:r w:rsidRPr="00A7631E">
              <w:rPr>
                <w:rFonts w:ascii="Meta Pro" w:eastAsia="Times New Roman" w:hAnsi="Meta Pro"/>
                <w:szCs w:val="18"/>
                <w:lang w:eastAsia="en-AU"/>
              </w:rPr>
              <w:t> </w:t>
            </w:r>
          </w:p>
        </w:tc>
        <w:tc>
          <w:tcPr>
            <w:tcW w:w="1216" w:type="dxa"/>
            <w:tcBorders>
              <w:top w:val="single" w:sz="4" w:space="0" w:color="auto"/>
              <w:left w:val="nil"/>
              <w:bottom w:val="double" w:sz="6" w:space="0" w:color="auto"/>
              <w:right w:val="nil"/>
            </w:tcBorders>
            <w:shd w:val="clear" w:color="auto" w:fill="auto"/>
            <w:noWrap/>
            <w:vAlign w:val="center"/>
            <w:hideMark/>
          </w:tcPr>
          <w:p w14:paraId="4F9CE6F6" w14:textId="77777777" w:rsidR="00F248B0" w:rsidRPr="00A7631E" w:rsidRDefault="00F248B0" w:rsidP="00E607DA">
            <w:pPr>
              <w:jc w:val="right"/>
              <w:rPr>
                <w:rFonts w:ascii="Meta Pro" w:eastAsia="Times New Roman" w:hAnsi="Meta Pro"/>
                <w:b/>
                <w:bCs/>
                <w:szCs w:val="18"/>
                <w:lang w:eastAsia="en-AU"/>
              </w:rPr>
            </w:pPr>
            <w:r w:rsidRPr="00A7631E">
              <w:rPr>
                <w:rFonts w:ascii="Meta Pro" w:eastAsia="Times New Roman" w:hAnsi="Meta Pro"/>
                <w:b/>
                <w:bCs/>
                <w:szCs w:val="18"/>
                <w:lang w:eastAsia="en-AU"/>
              </w:rPr>
              <w:t>(2,486)</w:t>
            </w:r>
          </w:p>
        </w:tc>
      </w:tr>
    </w:tbl>
    <w:p w14:paraId="4D337C6C" w14:textId="77777777" w:rsidR="007571ED" w:rsidRDefault="007571ED" w:rsidP="00F248B0">
      <w:pPr>
        <w:shd w:val="clear" w:color="auto" w:fill="EBEBEB"/>
        <w:spacing w:after="120"/>
        <w:ind w:left="113" w:hanging="113"/>
        <w:rPr>
          <w:rFonts w:ascii="Meta Pro" w:eastAsia="Times New Roman" w:hAnsi="Meta Pro"/>
          <w:b/>
          <w:bCs/>
          <w:color w:val="000000"/>
          <w:szCs w:val="18"/>
          <w:lang w:eastAsia="en-AU"/>
        </w:rPr>
      </w:pPr>
    </w:p>
    <w:p w14:paraId="725BBB1B" w14:textId="68C4490E" w:rsidR="00F248B0" w:rsidRPr="00092B22" w:rsidRDefault="00F248B0" w:rsidP="00F248B0">
      <w:pPr>
        <w:shd w:val="clear" w:color="auto" w:fill="EBEBEB"/>
        <w:spacing w:after="120"/>
        <w:ind w:left="113" w:hanging="113"/>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lastRenderedPageBreak/>
        <w:t xml:space="preserve">Accounting policy </w:t>
      </w:r>
    </w:p>
    <w:p w14:paraId="4425E7D4" w14:textId="77777777" w:rsidR="00F248B0" w:rsidRPr="00092B22" w:rsidRDefault="00F248B0" w:rsidP="00F248B0">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The department is a State body as defined under the </w:t>
      </w:r>
      <w:r w:rsidRPr="00092B22">
        <w:rPr>
          <w:rFonts w:ascii="Meta Pro" w:eastAsia="Times New Roman" w:hAnsi="Meta Pro"/>
          <w:i/>
          <w:iCs/>
          <w:color w:val="000000"/>
          <w:szCs w:val="18"/>
          <w:lang w:eastAsia="en-AU"/>
        </w:rPr>
        <w:t>Income Tax Assessment Act 1936</w:t>
      </w:r>
      <w:r w:rsidRPr="00092B22">
        <w:rPr>
          <w:rFonts w:ascii="Meta Pro" w:eastAsia="Times New Roman" w:hAnsi="Meta Pro"/>
          <w:color w:val="000000"/>
          <w:szCs w:val="18"/>
          <w:lang w:eastAsia="en-AU"/>
        </w:rPr>
        <w:t xml:space="preserve"> and is generally exempt from Australian Government taxation with the exception of Fringe Benefits Tax (FBT) and Goods and Services Tax (GST). </w:t>
      </w:r>
    </w:p>
    <w:p w14:paraId="7D3B94F1" w14:textId="77777777" w:rsidR="00F248B0" w:rsidRPr="00092B22" w:rsidRDefault="00F248B0" w:rsidP="00F248B0">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color w:val="000000"/>
          <w:szCs w:val="18"/>
          <w:lang w:eastAsia="en-AU"/>
        </w:rPr>
        <w:t>The RoadTek business unit is subject to the requirements of the National Tax Equivalents Regime (NTER). The liability for income tax equivalents under NTER is calculated substantially on the same basis as a corporate tax payer. The department remits its tax equivalents to Queensland Treasury in accordance with NTER arrangements.</w:t>
      </w:r>
    </w:p>
    <w:p w14:paraId="71CDD516" w14:textId="77777777" w:rsidR="00F248B0" w:rsidRPr="00092B22" w:rsidRDefault="00F248B0" w:rsidP="00F248B0">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color w:val="000000"/>
          <w:szCs w:val="18"/>
          <w:lang w:eastAsia="en-AU"/>
        </w:rPr>
        <w:t>The amount of deferred tax provided is based on the expected manner of realisation or settlement of the carrying amount of assets and liabilities compared to their respective tax bases, in the ordinary course of business.</w:t>
      </w:r>
    </w:p>
    <w:p w14:paraId="0074B0CC" w14:textId="77777777" w:rsidR="00F248B0" w:rsidRPr="00092B22" w:rsidRDefault="00F248B0" w:rsidP="00F248B0">
      <w:pPr>
        <w:shd w:val="clear" w:color="auto" w:fill="EBEBEB"/>
        <w:spacing w:after="120"/>
        <w:rPr>
          <w:rFonts w:ascii="Meta Pro" w:eastAsia="Times New Roman" w:hAnsi="Meta Pro"/>
          <w:color w:val="000000"/>
          <w:szCs w:val="18"/>
          <w:lang w:eastAsia="en-AU"/>
        </w:rPr>
      </w:pPr>
      <w:r w:rsidRPr="00092B22">
        <w:rPr>
          <w:rFonts w:ascii="Meta Pro" w:eastAsia="Times New Roman" w:hAnsi="Meta Pro"/>
          <w:color w:val="000000"/>
          <w:szCs w:val="18"/>
          <w:lang w:eastAsia="en-AU"/>
        </w:rPr>
        <w:t>A deferred tax asset is recognised only to the extent that it is probable that future taxable profits will be available against which the tax asset can be used.  Deferred tax assets and liabilities are set off on the basis that they relate to income taxes levied by the same taxation authority and the department has a legally enforceable right to set off current tax assets against current tax liabilities.</w:t>
      </w:r>
    </w:p>
    <w:tbl>
      <w:tblPr>
        <w:tblW w:w="9638" w:type="dxa"/>
        <w:tblCellMar>
          <w:left w:w="0" w:type="dxa"/>
        </w:tblCellMar>
        <w:tblLook w:val="04A0" w:firstRow="1" w:lastRow="0" w:firstColumn="1" w:lastColumn="0" w:noHBand="0" w:noVBand="1"/>
      </w:tblPr>
      <w:tblGrid>
        <w:gridCol w:w="7069"/>
        <w:gridCol w:w="1152"/>
        <w:gridCol w:w="265"/>
        <w:gridCol w:w="1152"/>
      </w:tblGrid>
      <w:tr w:rsidR="00E23160" w:rsidRPr="00092B22" w14:paraId="3DB780EF" w14:textId="77777777" w:rsidTr="00E607DA">
        <w:trPr>
          <w:trHeight w:val="240"/>
        </w:trPr>
        <w:tc>
          <w:tcPr>
            <w:tcW w:w="7084" w:type="dxa"/>
            <w:tcBorders>
              <w:top w:val="nil"/>
              <w:left w:val="nil"/>
              <w:bottom w:val="nil"/>
              <w:right w:val="nil"/>
            </w:tcBorders>
            <w:shd w:val="clear" w:color="auto" w:fill="auto"/>
            <w:noWrap/>
            <w:vAlign w:val="center"/>
            <w:hideMark/>
          </w:tcPr>
          <w:p w14:paraId="5CC24F0F" w14:textId="77777777" w:rsidR="00E23160" w:rsidRPr="00092B22" w:rsidRDefault="00E23160" w:rsidP="00E607DA">
            <w:pPr>
              <w:spacing w:before="240"/>
              <w:rPr>
                <w:rFonts w:ascii="Meta Pro" w:eastAsia="Times New Roman" w:hAnsi="Meta Pro" w:cs="Times New Roman"/>
                <w:sz w:val="24"/>
                <w:szCs w:val="24"/>
                <w:lang w:eastAsia="en-AU"/>
              </w:rPr>
            </w:pPr>
          </w:p>
        </w:tc>
        <w:tc>
          <w:tcPr>
            <w:tcW w:w="1148" w:type="dxa"/>
            <w:tcBorders>
              <w:top w:val="nil"/>
              <w:left w:val="nil"/>
              <w:bottom w:val="nil"/>
              <w:right w:val="nil"/>
            </w:tcBorders>
            <w:shd w:val="clear" w:color="auto" w:fill="auto"/>
            <w:noWrap/>
            <w:vAlign w:val="center"/>
            <w:hideMark/>
          </w:tcPr>
          <w:p w14:paraId="255FC94B" w14:textId="77777777" w:rsidR="00E23160" w:rsidRPr="00092B22" w:rsidRDefault="00E23160" w:rsidP="00E607DA">
            <w:pPr>
              <w:spacing w:before="240"/>
              <w:jc w:val="center"/>
              <w:rPr>
                <w:rFonts w:ascii="Meta Pro" w:eastAsia="Times New Roman" w:hAnsi="Meta Pro"/>
                <w:b/>
                <w:bCs/>
                <w:color w:val="000000"/>
                <w:lang w:eastAsia="en-AU"/>
              </w:rPr>
            </w:pPr>
            <w:r w:rsidRPr="00092B22">
              <w:rPr>
                <w:rFonts w:ascii="Meta Pro" w:eastAsia="Times New Roman" w:hAnsi="Meta Pro"/>
                <w:b/>
                <w:bCs/>
                <w:color w:val="000000"/>
                <w:lang w:eastAsia="en-AU"/>
              </w:rPr>
              <w:t>2022</w:t>
            </w:r>
          </w:p>
        </w:tc>
        <w:tc>
          <w:tcPr>
            <w:tcW w:w="258" w:type="dxa"/>
            <w:tcBorders>
              <w:top w:val="nil"/>
              <w:left w:val="nil"/>
              <w:bottom w:val="nil"/>
              <w:right w:val="nil"/>
            </w:tcBorders>
            <w:shd w:val="clear" w:color="auto" w:fill="auto"/>
            <w:noWrap/>
            <w:vAlign w:val="center"/>
            <w:hideMark/>
          </w:tcPr>
          <w:p w14:paraId="66BA09BA" w14:textId="77777777" w:rsidR="00E23160" w:rsidRPr="00092B22" w:rsidRDefault="00E23160" w:rsidP="00E607DA">
            <w:pPr>
              <w:spacing w:before="240"/>
              <w:jc w:val="center"/>
              <w:rPr>
                <w:rFonts w:ascii="Meta Pro" w:eastAsia="Times New Roman" w:hAnsi="Meta Pro"/>
                <w:b/>
                <w:bCs/>
                <w:color w:val="000000"/>
                <w:lang w:eastAsia="en-AU"/>
              </w:rPr>
            </w:pPr>
          </w:p>
        </w:tc>
        <w:tc>
          <w:tcPr>
            <w:tcW w:w="1148" w:type="dxa"/>
            <w:tcBorders>
              <w:top w:val="nil"/>
              <w:left w:val="nil"/>
              <w:bottom w:val="nil"/>
              <w:right w:val="nil"/>
            </w:tcBorders>
            <w:shd w:val="clear" w:color="auto" w:fill="auto"/>
            <w:noWrap/>
            <w:vAlign w:val="center"/>
            <w:hideMark/>
          </w:tcPr>
          <w:p w14:paraId="0A14095A" w14:textId="77777777" w:rsidR="00E23160" w:rsidRPr="00092B22" w:rsidRDefault="00E23160" w:rsidP="00E607DA">
            <w:pPr>
              <w:spacing w:before="240"/>
              <w:jc w:val="center"/>
              <w:rPr>
                <w:rFonts w:ascii="Meta Pro" w:eastAsia="Times New Roman" w:hAnsi="Meta Pro"/>
                <w:b/>
                <w:bCs/>
                <w:lang w:eastAsia="en-AU"/>
              </w:rPr>
            </w:pPr>
            <w:r w:rsidRPr="00092B22">
              <w:rPr>
                <w:rFonts w:ascii="Meta Pro" w:eastAsia="Times New Roman" w:hAnsi="Meta Pro"/>
                <w:b/>
                <w:bCs/>
                <w:lang w:eastAsia="en-AU"/>
              </w:rPr>
              <w:t>2021</w:t>
            </w:r>
          </w:p>
        </w:tc>
      </w:tr>
      <w:tr w:rsidR="00E23160" w:rsidRPr="00092B22" w14:paraId="70DEC70C" w14:textId="77777777" w:rsidTr="00E607DA">
        <w:trPr>
          <w:trHeight w:val="240"/>
        </w:trPr>
        <w:tc>
          <w:tcPr>
            <w:tcW w:w="7084" w:type="dxa"/>
            <w:tcBorders>
              <w:top w:val="nil"/>
              <w:left w:val="nil"/>
              <w:bottom w:val="nil"/>
              <w:right w:val="nil"/>
            </w:tcBorders>
            <w:shd w:val="clear" w:color="auto" w:fill="auto"/>
            <w:noWrap/>
            <w:vAlign w:val="center"/>
            <w:hideMark/>
          </w:tcPr>
          <w:p w14:paraId="43DA365A" w14:textId="77777777" w:rsidR="00E23160" w:rsidRPr="00092B22" w:rsidRDefault="00E23160" w:rsidP="00E607DA">
            <w:pPr>
              <w:jc w:val="center"/>
              <w:rPr>
                <w:rFonts w:ascii="Meta Pro" w:eastAsia="Times New Roman" w:hAnsi="Meta Pro"/>
                <w:b/>
                <w:bCs/>
                <w:lang w:eastAsia="en-AU"/>
              </w:rPr>
            </w:pPr>
          </w:p>
        </w:tc>
        <w:tc>
          <w:tcPr>
            <w:tcW w:w="1148" w:type="dxa"/>
            <w:tcBorders>
              <w:top w:val="nil"/>
              <w:left w:val="nil"/>
              <w:bottom w:val="nil"/>
              <w:right w:val="nil"/>
            </w:tcBorders>
            <w:shd w:val="clear" w:color="auto" w:fill="auto"/>
            <w:noWrap/>
            <w:vAlign w:val="center"/>
            <w:hideMark/>
          </w:tcPr>
          <w:p w14:paraId="2563F942" w14:textId="77777777" w:rsidR="00E23160" w:rsidRPr="00092B22" w:rsidRDefault="00E23160" w:rsidP="00E607DA">
            <w:pPr>
              <w:jc w:val="center"/>
              <w:rPr>
                <w:rFonts w:ascii="Meta Pro" w:eastAsia="Times New Roman" w:hAnsi="Meta Pro"/>
                <w:b/>
                <w:bCs/>
                <w:lang w:eastAsia="en-AU"/>
              </w:rPr>
            </w:pPr>
            <w:r w:rsidRPr="00092B22">
              <w:rPr>
                <w:rFonts w:ascii="Meta Pro" w:eastAsia="Times New Roman" w:hAnsi="Meta Pro"/>
                <w:b/>
                <w:bCs/>
                <w:lang w:eastAsia="en-AU"/>
              </w:rPr>
              <w:t>$'000</w:t>
            </w:r>
          </w:p>
        </w:tc>
        <w:tc>
          <w:tcPr>
            <w:tcW w:w="258" w:type="dxa"/>
            <w:tcBorders>
              <w:top w:val="nil"/>
              <w:left w:val="nil"/>
              <w:bottom w:val="nil"/>
              <w:right w:val="nil"/>
            </w:tcBorders>
            <w:shd w:val="clear" w:color="auto" w:fill="auto"/>
            <w:noWrap/>
            <w:vAlign w:val="center"/>
            <w:hideMark/>
          </w:tcPr>
          <w:p w14:paraId="075E154C" w14:textId="77777777" w:rsidR="00E23160" w:rsidRPr="00092B22" w:rsidRDefault="00E23160" w:rsidP="00E607DA">
            <w:pPr>
              <w:jc w:val="center"/>
              <w:rPr>
                <w:rFonts w:ascii="Meta Pro" w:eastAsia="Times New Roman" w:hAnsi="Meta Pro"/>
                <w:b/>
                <w:bCs/>
                <w:lang w:eastAsia="en-AU"/>
              </w:rPr>
            </w:pPr>
          </w:p>
        </w:tc>
        <w:tc>
          <w:tcPr>
            <w:tcW w:w="1148" w:type="dxa"/>
            <w:tcBorders>
              <w:top w:val="nil"/>
              <w:left w:val="nil"/>
              <w:bottom w:val="nil"/>
              <w:right w:val="nil"/>
            </w:tcBorders>
            <w:shd w:val="clear" w:color="auto" w:fill="auto"/>
            <w:noWrap/>
            <w:vAlign w:val="center"/>
            <w:hideMark/>
          </w:tcPr>
          <w:p w14:paraId="3F63C08D" w14:textId="77777777" w:rsidR="00E23160" w:rsidRPr="00092B22" w:rsidRDefault="00E23160" w:rsidP="00E607DA">
            <w:pPr>
              <w:jc w:val="center"/>
              <w:rPr>
                <w:rFonts w:ascii="Meta Pro" w:eastAsia="Times New Roman" w:hAnsi="Meta Pro"/>
                <w:b/>
                <w:bCs/>
                <w:lang w:eastAsia="en-AU"/>
              </w:rPr>
            </w:pPr>
            <w:r w:rsidRPr="00092B22">
              <w:rPr>
                <w:rFonts w:ascii="Meta Pro" w:eastAsia="Times New Roman" w:hAnsi="Meta Pro"/>
                <w:b/>
                <w:bCs/>
                <w:lang w:eastAsia="en-AU"/>
              </w:rPr>
              <w:t>$'000</w:t>
            </w:r>
          </w:p>
        </w:tc>
      </w:tr>
      <w:tr w:rsidR="00E23160" w:rsidRPr="00092B22" w14:paraId="68515440" w14:textId="77777777" w:rsidTr="00E607DA">
        <w:trPr>
          <w:trHeight w:val="240"/>
        </w:trPr>
        <w:tc>
          <w:tcPr>
            <w:tcW w:w="7084" w:type="dxa"/>
            <w:tcBorders>
              <w:top w:val="nil"/>
              <w:left w:val="nil"/>
              <w:bottom w:val="nil"/>
              <w:right w:val="nil"/>
            </w:tcBorders>
            <w:shd w:val="clear" w:color="auto" w:fill="auto"/>
            <w:noWrap/>
            <w:vAlign w:val="center"/>
            <w:hideMark/>
          </w:tcPr>
          <w:p w14:paraId="2D8711CB" w14:textId="77777777" w:rsidR="00E23160" w:rsidRPr="00092B22" w:rsidRDefault="00E23160" w:rsidP="00E607DA">
            <w:pPr>
              <w:rPr>
                <w:rFonts w:ascii="Meta Pro" w:eastAsia="Times New Roman" w:hAnsi="Meta Pro"/>
                <w:b/>
                <w:bCs/>
                <w:lang w:eastAsia="en-AU"/>
              </w:rPr>
            </w:pPr>
            <w:r w:rsidRPr="00092B22">
              <w:rPr>
                <w:rFonts w:ascii="Meta Pro" w:eastAsia="Times New Roman" w:hAnsi="Meta Pro"/>
                <w:b/>
                <w:bCs/>
                <w:lang w:eastAsia="en-AU"/>
              </w:rPr>
              <w:t>23     COMMITMENTS FOR EXPENDITURE</w:t>
            </w:r>
          </w:p>
        </w:tc>
        <w:tc>
          <w:tcPr>
            <w:tcW w:w="1148" w:type="dxa"/>
            <w:tcBorders>
              <w:top w:val="nil"/>
              <w:left w:val="nil"/>
              <w:bottom w:val="nil"/>
              <w:right w:val="nil"/>
            </w:tcBorders>
            <w:shd w:val="clear" w:color="auto" w:fill="auto"/>
            <w:noWrap/>
            <w:vAlign w:val="center"/>
            <w:hideMark/>
          </w:tcPr>
          <w:p w14:paraId="31C26B18" w14:textId="77777777" w:rsidR="00E23160" w:rsidRPr="00092B22" w:rsidRDefault="00E23160" w:rsidP="00E607DA">
            <w:pPr>
              <w:rPr>
                <w:rFonts w:ascii="Meta Pro" w:eastAsia="Times New Roman" w:hAnsi="Meta Pro"/>
                <w:b/>
                <w:bCs/>
                <w:lang w:eastAsia="en-AU"/>
              </w:rPr>
            </w:pPr>
          </w:p>
        </w:tc>
        <w:tc>
          <w:tcPr>
            <w:tcW w:w="258" w:type="dxa"/>
            <w:tcBorders>
              <w:top w:val="nil"/>
              <w:left w:val="nil"/>
              <w:bottom w:val="nil"/>
              <w:right w:val="nil"/>
            </w:tcBorders>
            <w:shd w:val="clear" w:color="auto" w:fill="auto"/>
            <w:noWrap/>
            <w:vAlign w:val="center"/>
            <w:hideMark/>
          </w:tcPr>
          <w:p w14:paraId="0A93431A" w14:textId="77777777" w:rsidR="00E23160" w:rsidRPr="00092B22" w:rsidRDefault="00E23160" w:rsidP="00E607DA">
            <w:pPr>
              <w:jc w:val="right"/>
              <w:rPr>
                <w:rFonts w:ascii="Meta Pro" w:eastAsia="Times New Roman" w:hAnsi="Meta Pro" w:cs="Times New Roman"/>
                <w:sz w:val="20"/>
                <w:szCs w:val="20"/>
                <w:lang w:eastAsia="en-AU"/>
              </w:rPr>
            </w:pPr>
          </w:p>
        </w:tc>
        <w:tc>
          <w:tcPr>
            <w:tcW w:w="1148" w:type="dxa"/>
            <w:tcBorders>
              <w:top w:val="nil"/>
              <w:left w:val="nil"/>
              <w:bottom w:val="nil"/>
              <w:right w:val="nil"/>
            </w:tcBorders>
            <w:shd w:val="clear" w:color="auto" w:fill="auto"/>
            <w:noWrap/>
            <w:vAlign w:val="center"/>
            <w:hideMark/>
          </w:tcPr>
          <w:p w14:paraId="4E81E595" w14:textId="77777777" w:rsidR="00E23160" w:rsidRPr="00092B22" w:rsidRDefault="00E23160" w:rsidP="00E607DA">
            <w:pPr>
              <w:jc w:val="right"/>
              <w:rPr>
                <w:rFonts w:ascii="Meta Pro" w:eastAsia="Times New Roman" w:hAnsi="Meta Pro" w:cs="Times New Roman"/>
                <w:sz w:val="20"/>
                <w:szCs w:val="20"/>
                <w:lang w:eastAsia="en-AU"/>
              </w:rPr>
            </w:pPr>
          </w:p>
        </w:tc>
      </w:tr>
      <w:tr w:rsidR="00E23160" w:rsidRPr="00092B22" w14:paraId="45DFA0FA" w14:textId="77777777" w:rsidTr="00E607DA">
        <w:trPr>
          <w:trHeight w:val="90"/>
        </w:trPr>
        <w:tc>
          <w:tcPr>
            <w:tcW w:w="7084" w:type="dxa"/>
            <w:tcBorders>
              <w:top w:val="nil"/>
              <w:left w:val="nil"/>
              <w:bottom w:val="nil"/>
              <w:right w:val="nil"/>
            </w:tcBorders>
            <w:shd w:val="clear" w:color="auto" w:fill="auto"/>
            <w:noWrap/>
            <w:vAlign w:val="center"/>
            <w:hideMark/>
          </w:tcPr>
          <w:p w14:paraId="131A1443" w14:textId="77777777" w:rsidR="00E23160" w:rsidRPr="00092B22" w:rsidRDefault="00E23160" w:rsidP="00E607DA">
            <w:pPr>
              <w:jc w:val="right"/>
              <w:rPr>
                <w:rFonts w:ascii="Meta Pro" w:eastAsia="Times New Roman" w:hAnsi="Meta Pro" w:cs="Times New Roman"/>
                <w:sz w:val="20"/>
                <w:szCs w:val="20"/>
                <w:lang w:eastAsia="en-AU"/>
              </w:rPr>
            </w:pPr>
          </w:p>
        </w:tc>
        <w:tc>
          <w:tcPr>
            <w:tcW w:w="1148" w:type="dxa"/>
            <w:tcBorders>
              <w:top w:val="nil"/>
              <w:left w:val="nil"/>
              <w:bottom w:val="nil"/>
              <w:right w:val="nil"/>
            </w:tcBorders>
            <w:shd w:val="clear" w:color="auto" w:fill="auto"/>
            <w:noWrap/>
            <w:vAlign w:val="center"/>
            <w:hideMark/>
          </w:tcPr>
          <w:p w14:paraId="6A880F3A" w14:textId="77777777" w:rsidR="00E23160" w:rsidRPr="00092B22" w:rsidRDefault="00E23160" w:rsidP="00E607DA">
            <w:pPr>
              <w:rPr>
                <w:rFonts w:ascii="Meta Pro" w:eastAsia="Times New Roman" w:hAnsi="Meta Pro" w:cs="Times New Roman"/>
                <w:sz w:val="20"/>
                <w:szCs w:val="20"/>
                <w:lang w:eastAsia="en-AU"/>
              </w:rPr>
            </w:pPr>
          </w:p>
        </w:tc>
        <w:tc>
          <w:tcPr>
            <w:tcW w:w="258" w:type="dxa"/>
            <w:tcBorders>
              <w:top w:val="nil"/>
              <w:left w:val="nil"/>
              <w:bottom w:val="nil"/>
              <w:right w:val="nil"/>
            </w:tcBorders>
            <w:shd w:val="clear" w:color="auto" w:fill="auto"/>
            <w:noWrap/>
            <w:vAlign w:val="center"/>
            <w:hideMark/>
          </w:tcPr>
          <w:p w14:paraId="00BD0974" w14:textId="77777777" w:rsidR="00E23160" w:rsidRPr="00092B22" w:rsidRDefault="00E23160" w:rsidP="00E607DA">
            <w:pPr>
              <w:jc w:val="right"/>
              <w:rPr>
                <w:rFonts w:ascii="Meta Pro" w:eastAsia="Times New Roman" w:hAnsi="Meta Pro" w:cs="Times New Roman"/>
                <w:sz w:val="20"/>
                <w:szCs w:val="20"/>
                <w:lang w:eastAsia="en-AU"/>
              </w:rPr>
            </w:pPr>
          </w:p>
        </w:tc>
        <w:tc>
          <w:tcPr>
            <w:tcW w:w="1148" w:type="dxa"/>
            <w:tcBorders>
              <w:top w:val="nil"/>
              <w:left w:val="nil"/>
              <w:bottom w:val="nil"/>
              <w:right w:val="nil"/>
            </w:tcBorders>
            <w:shd w:val="clear" w:color="auto" w:fill="auto"/>
            <w:noWrap/>
            <w:vAlign w:val="center"/>
            <w:hideMark/>
          </w:tcPr>
          <w:p w14:paraId="6F205166" w14:textId="77777777" w:rsidR="00E23160" w:rsidRPr="00092B22" w:rsidRDefault="00E23160" w:rsidP="00E607DA">
            <w:pPr>
              <w:jc w:val="right"/>
              <w:rPr>
                <w:rFonts w:ascii="Meta Pro" w:eastAsia="Times New Roman" w:hAnsi="Meta Pro" w:cs="Times New Roman"/>
                <w:sz w:val="20"/>
                <w:szCs w:val="20"/>
                <w:lang w:eastAsia="en-AU"/>
              </w:rPr>
            </w:pPr>
          </w:p>
        </w:tc>
      </w:tr>
      <w:tr w:rsidR="00E23160" w:rsidRPr="00092B22" w14:paraId="2C1C54DF" w14:textId="77777777" w:rsidTr="00E607DA">
        <w:trPr>
          <w:trHeight w:val="240"/>
        </w:trPr>
        <w:tc>
          <w:tcPr>
            <w:tcW w:w="7084" w:type="dxa"/>
            <w:tcBorders>
              <w:top w:val="nil"/>
              <w:left w:val="nil"/>
              <w:bottom w:val="nil"/>
              <w:right w:val="nil"/>
            </w:tcBorders>
            <w:shd w:val="clear" w:color="auto" w:fill="auto"/>
            <w:noWrap/>
            <w:vAlign w:val="center"/>
            <w:hideMark/>
          </w:tcPr>
          <w:p w14:paraId="2F2F83FE" w14:textId="77777777" w:rsidR="00E23160" w:rsidRPr="00092B22" w:rsidRDefault="00E23160" w:rsidP="00E607DA">
            <w:pPr>
              <w:rPr>
                <w:rFonts w:ascii="Meta Pro" w:eastAsia="Times New Roman" w:hAnsi="Meta Pro"/>
                <w:szCs w:val="18"/>
                <w:lang w:eastAsia="en-AU"/>
              </w:rPr>
            </w:pPr>
            <w:r w:rsidRPr="00092B22">
              <w:rPr>
                <w:rFonts w:ascii="Meta Pro" w:eastAsia="Times New Roman" w:hAnsi="Meta Pro"/>
                <w:szCs w:val="18"/>
                <w:lang w:eastAsia="en-AU"/>
              </w:rPr>
              <w:t>Commitments inclusive of non-recoverable GST input tax credits are payable as follows:</w:t>
            </w:r>
          </w:p>
        </w:tc>
        <w:tc>
          <w:tcPr>
            <w:tcW w:w="1148" w:type="dxa"/>
            <w:tcBorders>
              <w:top w:val="nil"/>
              <w:left w:val="nil"/>
              <w:bottom w:val="nil"/>
              <w:right w:val="nil"/>
            </w:tcBorders>
            <w:shd w:val="clear" w:color="auto" w:fill="auto"/>
            <w:noWrap/>
            <w:vAlign w:val="center"/>
            <w:hideMark/>
          </w:tcPr>
          <w:p w14:paraId="4CE773B3" w14:textId="77777777" w:rsidR="00E23160" w:rsidRPr="00092B22" w:rsidRDefault="00E23160" w:rsidP="00E607DA">
            <w:pPr>
              <w:rPr>
                <w:rFonts w:ascii="Meta Pro" w:eastAsia="Times New Roman" w:hAnsi="Meta Pro"/>
                <w:szCs w:val="18"/>
                <w:lang w:eastAsia="en-AU"/>
              </w:rPr>
            </w:pPr>
          </w:p>
        </w:tc>
        <w:tc>
          <w:tcPr>
            <w:tcW w:w="258" w:type="dxa"/>
            <w:tcBorders>
              <w:top w:val="nil"/>
              <w:left w:val="nil"/>
              <w:bottom w:val="nil"/>
              <w:right w:val="nil"/>
            </w:tcBorders>
            <w:shd w:val="clear" w:color="auto" w:fill="auto"/>
            <w:noWrap/>
            <w:vAlign w:val="center"/>
            <w:hideMark/>
          </w:tcPr>
          <w:p w14:paraId="664E7E5B" w14:textId="77777777" w:rsidR="00E23160" w:rsidRPr="00092B22" w:rsidRDefault="00E23160" w:rsidP="00E607DA">
            <w:pPr>
              <w:rPr>
                <w:rFonts w:ascii="Meta Pro" w:eastAsia="Times New Roman" w:hAnsi="Meta Pro" w:cs="Times New Roman"/>
                <w:sz w:val="20"/>
                <w:szCs w:val="20"/>
                <w:lang w:eastAsia="en-AU"/>
              </w:rPr>
            </w:pPr>
          </w:p>
        </w:tc>
        <w:tc>
          <w:tcPr>
            <w:tcW w:w="1148" w:type="dxa"/>
            <w:tcBorders>
              <w:top w:val="nil"/>
              <w:left w:val="nil"/>
              <w:bottom w:val="nil"/>
              <w:right w:val="nil"/>
            </w:tcBorders>
            <w:shd w:val="clear" w:color="auto" w:fill="auto"/>
            <w:noWrap/>
            <w:vAlign w:val="center"/>
            <w:hideMark/>
          </w:tcPr>
          <w:p w14:paraId="6C524B36" w14:textId="77777777" w:rsidR="00E23160" w:rsidRPr="00092B22" w:rsidRDefault="00E23160" w:rsidP="00E607DA">
            <w:pPr>
              <w:rPr>
                <w:rFonts w:ascii="Meta Pro" w:eastAsia="Times New Roman" w:hAnsi="Meta Pro" w:cs="Times New Roman"/>
                <w:sz w:val="20"/>
                <w:szCs w:val="20"/>
                <w:lang w:eastAsia="en-AU"/>
              </w:rPr>
            </w:pPr>
          </w:p>
        </w:tc>
      </w:tr>
      <w:tr w:rsidR="00E23160" w:rsidRPr="00092B22" w14:paraId="04549939" w14:textId="77777777" w:rsidTr="00E607DA">
        <w:trPr>
          <w:trHeight w:val="90"/>
        </w:trPr>
        <w:tc>
          <w:tcPr>
            <w:tcW w:w="7084" w:type="dxa"/>
            <w:tcBorders>
              <w:top w:val="nil"/>
              <w:left w:val="nil"/>
              <w:bottom w:val="nil"/>
              <w:right w:val="nil"/>
            </w:tcBorders>
            <w:shd w:val="clear" w:color="auto" w:fill="auto"/>
            <w:noWrap/>
            <w:vAlign w:val="center"/>
            <w:hideMark/>
          </w:tcPr>
          <w:p w14:paraId="55F0CB66" w14:textId="77777777" w:rsidR="00E23160" w:rsidRPr="00092B22" w:rsidRDefault="00E23160" w:rsidP="00E607DA">
            <w:pPr>
              <w:rPr>
                <w:rFonts w:ascii="Meta Pro" w:eastAsia="Times New Roman" w:hAnsi="Meta Pro" w:cs="Times New Roman"/>
                <w:sz w:val="20"/>
                <w:szCs w:val="20"/>
                <w:lang w:eastAsia="en-AU"/>
              </w:rPr>
            </w:pPr>
          </w:p>
        </w:tc>
        <w:tc>
          <w:tcPr>
            <w:tcW w:w="1148" w:type="dxa"/>
            <w:tcBorders>
              <w:top w:val="nil"/>
              <w:left w:val="nil"/>
              <w:bottom w:val="nil"/>
              <w:right w:val="nil"/>
            </w:tcBorders>
            <w:shd w:val="clear" w:color="auto" w:fill="auto"/>
            <w:noWrap/>
            <w:vAlign w:val="center"/>
            <w:hideMark/>
          </w:tcPr>
          <w:p w14:paraId="11B7E079" w14:textId="77777777" w:rsidR="00E23160" w:rsidRPr="00092B22" w:rsidRDefault="00E23160" w:rsidP="00E607DA">
            <w:pPr>
              <w:rPr>
                <w:rFonts w:ascii="Meta Pro" w:eastAsia="Times New Roman" w:hAnsi="Meta Pro" w:cs="Times New Roman"/>
                <w:sz w:val="20"/>
                <w:szCs w:val="20"/>
                <w:lang w:eastAsia="en-AU"/>
              </w:rPr>
            </w:pPr>
          </w:p>
        </w:tc>
        <w:tc>
          <w:tcPr>
            <w:tcW w:w="258" w:type="dxa"/>
            <w:tcBorders>
              <w:top w:val="nil"/>
              <w:left w:val="nil"/>
              <w:bottom w:val="nil"/>
              <w:right w:val="nil"/>
            </w:tcBorders>
            <w:shd w:val="clear" w:color="auto" w:fill="auto"/>
            <w:noWrap/>
            <w:vAlign w:val="center"/>
            <w:hideMark/>
          </w:tcPr>
          <w:p w14:paraId="562B4252" w14:textId="77777777" w:rsidR="00E23160" w:rsidRPr="00092B22" w:rsidRDefault="00E23160" w:rsidP="00E607DA">
            <w:pPr>
              <w:jc w:val="right"/>
              <w:rPr>
                <w:rFonts w:ascii="Meta Pro" w:eastAsia="Times New Roman" w:hAnsi="Meta Pro" w:cs="Times New Roman"/>
                <w:sz w:val="20"/>
                <w:szCs w:val="20"/>
                <w:lang w:eastAsia="en-AU"/>
              </w:rPr>
            </w:pPr>
          </w:p>
        </w:tc>
        <w:tc>
          <w:tcPr>
            <w:tcW w:w="1148" w:type="dxa"/>
            <w:tcBorders>
              <w:top w:val="nil"/>
              <w:left w:val="nil"/>
              <w:bottom w:val="nil"/>
              <w:right w:val="nil"/>
            </w:tcBorders>
            <w:shd w:val="clear" w:color="auto" w:fill="auto"/>
            <w:noWrap/>
            <w:vAlign w:val="center"/>
            <w:hideMark/>
          </w:tcPr>
          <w:p w14:paraId="549C1EC0" w14:textId="77777777" w:rsidR="00E23160" w:rsidRPr="00092B22" w:rsidRDefault="00E23160" w:rsidP="00E607DA">
            <w:pPr>
              <w:jc w:val="right"/>
              <w:rPr>
                <w:rFonts w:ascii="Meta Pro" w:eastAsia="Times New Roman" w:hAnsi="Meta Pro" w:cs="Times New Roman"/>
                <w:sz w:val="20"/>
                <w:szCs w:val="20"/>
                <w:lang w:eastAsia="en-AU"/>
              </w:rPr>
            </w:pPr>
          </w:p>
        </w:tc>
      </w:tr>
      <w:tr w:rsidR="00E23160" w:rsidRPr="00092B22" w14:paraId="2E00FF49" w14:textId="77777777" w:rsidTr="00E607DA">
        <w:trPr>
          <w:trHeight w:val="240"/>
        </w:trPr>
        <w:tc>
          <w:tcPr>
            <w:tcW w:w="7084" w:type="dxa"/>
            <w:tcBorders>
              <w:top w:val="nil"/>
              <w:left w:val="nil"/>
              <w:bottom w:val="nil"/>
              <w:right w:val="nil"/>
            </w:tcBorders>
            <w:shd w:val="clear" w:color="auto" w:fill="auto"/>
            <w:noWrap/>
            <w:vAlign w:val="center"/>
            <w:hideMark/>
          </w:tcPr>
          <w:p w14:paraId="3C86E1A5" w14:textId="77777777" w:rsidR="00E23160" w:rsidRPr="00092B22" w:rsidRDefault="00E23160" w:rsidP="00E607DA">
            <w:pPr>
              <w:rPr>
                <w:rFonts w:ascii="Meta Pro" w:eastAsia="Times New Roman" w:hAnsi="Meta Pro"/>
                <w:szCs w:val="18"/>
                <w:lang w:eastAsia="en-AU"/>
              </w:rPr>
            </w:pPr>
            <w:r w:rsidRPr="00092B22">
              <w:rPr>
                <w:rFonts w:ascii="Meta Pro" w:eastAsia="Times New Roman" w:hAnsi="Meta Pro"/>
                <w:szCs w:val="18"/>
                <w:lang w:eastAsia="en-AU"/>
              </w:rPr>
              <w:t>Refer to Note 16 for commitments related to service concession arrangements.</w:t>
            </w:r>
          </w:p>
        </w:tc>
        <w:tc>
          <w:tcPr>
            <w:tcW w:w="1148" w:type="dxa"/>
            <w:tcBorders>
              <w:top w:val="nil"/>
              <w:left w:val="nil"/>
              <w:bottom w:val="nil"/>
              <w:right w:val="nil"/>
            </w:tcBorders>
            <w:shd w:val="clear" w:color="auto" w:fill="auto"/>
            <w:noWrap/>
            <w:vAlign w:val="center"/>
            <w:hideMark/>
          </w:tcPr>
          <w:p w14:paraId="1D8B4ACA" w14:textId="77777777" w:rsidR="00E23160" w:rsidRPr="00092B22" w:rsidRDefault="00E23160" w:rsidP="00E607DA">
            <w:pPr>
              <w:rPr>
                <w:rFonts w:ascii="Meta Pro" w:eastAsia="Times New Roman" w:hAnsi="Meta Pro"/>
                <w:szCs w:val="18"/>
                <w:lang w:eastAsia="en-AU"/>
              </w:rPr>
            </w:pPr>
          </w:p>
        </w:tc>
        <w:tc>
          <w:tcPr>
            <w:tcW w:w="258" w:type="dxa"/>
            <w:tcBorders>
              <w:top w:val="nil"/>
              <w:left w:val="nil"/>
              <w:bottom w:val="nil"/>
              <w:right w:val="nil"/>
            </w:tcBorders>
            <w:shd w:val="clear" w:color="auto" w:fill="auto"/>
            <w:noWrap/>
            <w:vAlign w:val="center"/>
            <w:hideMark/>
          </w:tcPr>
          <w:p w14:paraId="03C0E4AE" w14:textId="77777777" w:rsidR="00E23160" w:rsidRPr="00092B22" w:rsidRDefault="00E23160" w:rsidP="00E607DA">
            <w:pPr>
              <w:rPr>
                <w:rFonts w:ascii="Meta Pro" w:eastAsia="Times New Roman" w:hAnsi="Meta Pro" w:cs="Times New Roman"/>
                <w:sz w:val="20"/>
                <w:szCs w:val="20"/>
                <w:lang w:eastAsia="en-AU"/>
              </w:rPr>
            </w:pPr>
          </w:p>
        </w:tc>
        <w:tc>
          <w:tcPr>
            <w:tcW w:w="1148" w:type="dxa"/>
            <w:tcBorders>
              <w:top w:val="nil"/>
              <w:left w:val="nil"/>
              <w:bottom w:val="nil"/>
              <w:right w:val="nil"/>
            </w:tcBorders>
            <w:shd w:val="clear" w:color="auto" w:fill="auto"/>
            <w:noWrap/>
            <w:vAlign w:val="center"/>
            <w:hideMark/>
          </w:tcPr>
          <w:p w14:paraId="1A118AA8" w14:textId="77777777" w:rsidR="00E23160" w:rsidRPr="00092B22" w:rsidRDefault="00E23160" w:rsidP="00E607DA">
            <w:pPr>
              <w:rPr>
                <w:rFonts w:ascii="Meta Pro" w:eastAsia="Times New Roman" w:hAnsi="Meta Pro" w:cs="Times New Roman"/>
                <w:sz w:val="20"/>
                <w:szCs w:val="20"/>
                <w:lang w:eastAsia="en-AU"/>
              </w:rPr>
            </w:pPr>
          </w:p>
        </w:tc>
      </w:tr>
      <w:tr w:rsidR="00E23160" w:rsidRPr="00092B22" w14:paraId="1BDE562A" w14:textId="77777777" w:rsidTr="00E607DA">
        <w:trPr>
          <w:trHeight w:val="240"/>
        </w:trPr>
        <w:tc>
          <w:tcPr>
            <w:tcW w:w="7084" w:type="dxa"/>
            <w:tcBorders>
              <w:top w:val="nil"/>
              <w:left w:val="nil"/>
              <w:bottom w:val="nil"/>
              <w:right w:val="nil"/>
            </w:tcBorders>
            <w:shd w:val="clear" w:color="auto" w:fill="auto"/>
            <w:noWrap/>
            <w:vAlign w:val="center"/>
            <w:hideMark/>
          </w:tcPr>
          <w:p w14:paraId="774E6C75" w14:textId="77777777" w:rsidR="00E23160" w:rsidRPr="00092B22" w:rsidRDefault="00E23160" w:rsidP="00E607DA">
            <w:pPr>
              <w:rPr>
                <w:rFonts w:ascii="Meta Pro" w:eastAsia="Times New Roman" w:hAnsi="Meta Pro" w:cs="Times New Roman"/>
                <w:sz w:val="20"/>
                <w:szCs w:val="20"/>
                <w:lang w:eastAsia="en-AU"/>
              </w:rPr>
            </w:pPr>
          </w:p>
        </w:tc>
        <w:tc>
          <w:tcPr>
            <w:tcW w:w="1148" w:type="dxa"/>
            <w:tcBorders>
              <w:top w:val="nil"/>
              <w:left w:val="nil"/>
              <w:bottom w:val="nil"/>
              <w:right w:val="nil"/>
            </w:tcBorders>
            <w:shd w:val="clear" w:color="auto" w:fill="auto"/>
            <w:noWrap/>
            <w:vAlign w:val="center"/>
            <w:hideMark/>
          </w:tcPr>
          <w:p w14:paraId="16A3B5A6" w14:textId="77777777" w:rsidR="00E23160" w:rsidRPr="00092B22" w:rsidRDefault="00E23160" w:rsidP="00E607DA">
            <w:pPr>
              <w:rPr>
                <w:rFonts w:ascii="Meta Pro" w:eastAsia="Times New Roman" w:hAnsi="Meta Pro" w:cs="Times New Roman"/>
                <w:sz w:val="20"/>
                <w:szCs w:val="20"/>
                <w:lang w:eastAsia="en-AU"/>
              </w:rPr>
            </w:pPr>
          </w:p>
        </w:tc>
        <w:tc>
          <w:tcPr>
            <w:tcW w:w="258" w:type="dxa"/>
            <w:tcBorders>
              <w:top w:val="nil"/>
              <w:left w:val="nil"/>
              <w:bottom w:val="nil"/>
              <w:right w:val="nil"/>
            </w:tcBorders>
            <w:shd w:val="clear" w:color="auto" w:fill="auto"/>
            <w:noWrap/>
            <w:vAlign w:val="center"/>
            <w:hideMark/>
          </w:tcPr>
          <w:p w14:paraId="217C5F93" w14:textId="77777777" w:rsidR="00E23160" w:rsidRPr="00092B22" w:rsidRDefault="00E23160" w:rsidP="00E607DA">
            <w:pPr>
              <w:jc w:val="right"/>
              <w:rPr>
                <w:rFonts w:ascii="Meta Pro" w:eastAsia="Times New Roman" w:hAnsi="Meta Pro" w:cs="Times New Roman"/>
                <w:sz w:val="20"/>
                <w:szCs w:val="20"/>
                <w:lang w:eastAsia="en-AU"/>
              </w:rPr>
            </w:pPr>
          </w:p>
        </w:tc>
        <w:tc>
          <w:tcPr>
            <w:tcW w:w="1148" w:type="dxa"/>
            <w:tcBorders>
              <w:top w:val="nil"/>
              <w:left w:val="nil"/>
              <w:bottom w:val="nil"/>
              <w:right w:val="nil"/>
            </w:tcBorders>
            <w:shd w:val="clear" w:color="auto" w:fill="auto"/>
            <w:noWrap/>
            <w:vAlign w:val="center"/>
            <w:hideMark/>
          </w:tcPr>
          <w:p w14:paraId="3B6B3BB5" w14:textId="77777777" w:rsidR="00E23160" w:rsidRPr="00092B22" w:rsidRDefault="00E23160" w:rsidP="00E607DA">
            <w:pPr>
              <w:jc w:val="right"/>
              <w:rPr>
                <w:rFonts w:ascii="Meta Pro" w:eastAsia="Times New Roman" w:hAnsi="Meta Pro" w:cs="Times New Roman"/>
                <w:sz w:val="20"/>
                <w:szCs w:val="20"/>
                <w:lang w:eastAsia="en-AU"/>
              </w:rPr>
            </w:pPr>
          </w:p>
        </w:tc>
      </w:tr>
      <w:tr w:rsidR="00E23160" w:rsidRPr="00092B22" w14:paraId="1C23DE7C" w14:textId="77777777" w:rsidTr="00E607DA">
        <w:trPr>
          <w:trHeight w:val="240"/>
        </w:trPr>
        <w:tc>
          <w:tcPr>
            <w:tcW w:w="7084" w:type="dxa"/>
            <w:tcBorders>
              <w:top w:val="nil"/>
              <w:left w:val="nil"/>
              <w:bottom w:val="nil"/>
              <w:right w:val="nil"/>
            </w:tcBorders>
            <w:shd w:val="clear" w:color="auto" w:fill="auto"/>
            <w:noWrap/>
            <w:vAlign w:val="center"/>
            <w:hideMark/>
          </w:tcPr>
          <w:p w14:paraId="3B9C40B5" w14:textId="77777777" w:rsidR="00E23160" w:rsidRPr="00092B22" w:rsidRDefault="00E23160" w:rsidP="00E607DA">
            <w:pPr>
              <w:rPr>
                <w:rFonts w:ascii="Meta Pro" w:eastAsia="Times New Roman" w:hAnsi="Meta Pro"/>
                <w:b/>
                <w:bCs/>
                <w:szCs w:val="18"/>
                <w:lang w:eastAsia="en-AU"/>
              </w:rPr>
            </w:pPr>
            <w:r w:rsidRPr="00092B22">
              <w:rPr>
                <w:rFonts w:ascii="Meta Pro" w:eastAsia="Times New Roman" w:hAnsi="Meta Pro"/>
                <w:b/>
                <w:bCs/>
                <w:szCs w:val="18"/>
                <w:lang w:eastAsia="en-AU"/>
              </w:rPr>
              <w:t>Property, plant and equipment commitments *</w:t>
            </w:r>
          </w:p>
        </w:tc>
        <w:tc>
          <w:tcPr>
            <w:tcW w:w="1148" w:type="dxa"/>
            <w:tcBorders>
              <w:top w:val="nil"/>
              <w:left w:val="nil"/>
              <w:bottom w:val="nil"/>
              <w:right w:val="nil"/>
            </w:tcBorders>
            <w:shd w:val="clear" w:color="auto" w:fill="auto"/>
            <w:noWrap/>
            <w:vAlign w:val="center"/>
            <w:hideMark/>
          </w:tcPr>
          <w:p w14:paraId="746B231D" w14:textId="77777777" w:rsidR="00E23160" w:rsidRPr="00092B22" w:rsidRDefault="00E23160" w:rsidP="00E607DA">
            <w:pPr>
              <w:rPr>
                <w:rFonts w:ascii="Meta Pro" w:eastAsia="Times New Roman" w:hAnsi="Meta Pro"/>
                <w:b/>
                <w:bCs/>
                <w:szCs w:val="18"/>
                <w:lang w:eastAsia="en-AU"/>
              </w:rPr>
            </w:pPr>
          </w:p>
        </w:tc>
        <w:tc>
          <w:tcPr>
            <w:tcW w:w="258" w:type="dxa"/>
            <w:tcBorders>
              <w:top w:val="nil"/>
              <w:left w:val="nil"/>
              <w:bottom w:val="nil"/>
              <w:right w:val="nil"/>
            </w:tcBorders>
            <w:shd w:val="clear" w:color="auto" w:fill="auto"/>
            <w:noWrap/>
            <w:vAlign w:val="center"/>
            <w:hideMark/>
          </w:tcPr>
          <w:p w14:paraId="4D2EF4B0" w14:textId="77777777" w:rsidR="00E23160" w:rsidRPr="00092B22" w:rsidRDefault="00E23160" w:rsidP="00E607DA">
            <w:pPr>
              <w:jc w:val="right"/>
              <w:rPr>
                <w:rFonts w:ascii="Meta Pro" w:eastAsia="Times New Roman" w:hAnsi="Meta Pro" w:cs="Times New Roman"/>
                <w:sz w:val="20"/>
                <w:szCs w:val="20"/>
                <w:lang w:eastAsia="en-AU"/>
              </w:rPr>
            </w:pPr>
          </w:p>
        </w:tc>
        <w:tc>
          <w:tcPr>
            <w:tcW w:w="1148" w:type="dxa"/>
            <w:tcBorders>
              <w:top w:val="nil"/>
              <w:left w:val="nil"/>
              <w:bottom w:val="nil"/>
              <w:right w:val="nil"/>
            </w:tcBorders>
            <w:shd w:val="clear" w:color="auto" w:fill="auto"/>
            <w:noWrap/>
            <w:vAlign w:val="center"/>
            <w:hideMark/>
          </w:tcPr>
          <w:p w14:paraId="1D6DE62C" w14:textId="77777777" w:rsidR="00E23160" w:rsidRPr="00092B22" w:rsidRDefault="00E23160" w:rsidP="00E607DA">
            <w:pPr>
              <w:rPr>
                <w:rFonts w:ascii="Meta Pro" w:eastAsia="Times New Roman" w:hAnsi="Meta Pro" w:cs="Times New Roman"/>
                <w:sz w:val="20"/>
                <w:szCs w:val="20"/>
                <w:lang w:eastAsia="en-AU"/>
              </w:rPr>
            </w:pPr>
          </w:p>
        </w:tc>
      </w:tr>
      <w:tr w:rsidR="00E23160" w:rsidRPr="00092B22" w14:paraId="753671FA" w14:textId="77777777" w:rsidTr="00E607DA">
        <w:trPr>
          <w:trHeight w:val="90"/>
        </w:trPr>
        <w:tc>
          <w:tcPr>
            <w:tcW w:w="7084" w:type="dxa"/>
            <w:tcBorders>
              <w:top w:val="nil"/>
              <w:left w:val="nil"/>
              <w:bottom w:val="nil"/>
              <w:right w:val="nil"/>
            </w:tcBorders>
            <w:shd w:val="clear" w:color="auto" w:fill="auto"/>
            <w:noWrap/>
            <w:vAlign w:val="center"/>
            <w:hideMark/>
          </w:tcPr>
          <w:p w14:paraId="271AECE0" w14:textId="77777777" w:rsidR="00E23160" w:rsidRPr="00092B22" w:rsidRDefault="00E23160" w:rsidP="00E607DA">
            <w:pPr>
              <w:rPr>
                <w:rFonts w:ascii="Meta Pro" w:eastAsia="Times New Roman" w:hAnsi="Meta Pro" w:cs="Times New Roman"/>
                <w:sz w:val="20"/>
                <w:szCs w:val="20"/>
                <w:lang w:eastAsia="en-AU"/>
              </w:rPr>
            </w:pPr>
          </w:p>
        </w:tc>
        <w:tc>
          <w:tcPr>
            <w:tcW w:w="1148" w:type="dxa"/>
            <w:tcBorders>
              <w:top w:val="nil"/>
              <w:left w:val="nil"/>
              <w:bottom w:val="nil"/>
              <w:right w:val="nil"/>
            </w:tcBorders>
            <w:shd w:val="clear" w:color="auto" w:fill="auto"/>
            <w:noWrap/>
            <w:vAlign w:val="center"/>
            <w:hideMark/>
          </w:tcPr>
          <w:p w14:paraId="4EFE1F32" w14:textId="77777777" w:rsidR="00E23160" w:rsidRPr="00092B22" w:rsidRDefault="00E23160" w:rsidP="00E607DA">
            <w:pPr>
              <w:rPr>
                <w:rFonts w:ascii="Meta Pro" w:eastAsia="Times New Roman" w:hAnsi="Meta Pro" w:cs="Times New Roman"/>
                <w:sz w:val="20"/>
                <w:szCs w:val="20"/>
                <w:lang w:eastAsia="en-AU"/>
              </w:rPr>
            </w:pPr>
          </w:p>
        </w:tc>
        <w:tc>
          <w:tcPr>
            <w:tcW w:w="258" w:type="dxa"/>
            <w:tcBorders>
              <w:top w:val="nil"/>
              <w:left w:val="nil"/>
              <w:bottom w:val="nil"/>
              <w:right w:val="nil"/>
            </w:tcBorders>
            <w:shd w:val="clear" w:color="auto" w:fill="auto"/>
            <w:noWrap/>
            <w:vAlign w:val="center"/>
            <w:hideMark/>
          </w:tcPr>
          <w:p w14:paraId="05FFA87E" w14:textId="77777777" w:rsidR="00E23160" w:rsidRPr="00092B22" w:rsidRDefault="00E23160" w:rsidP="00E607DA">
            <w:pPr>
              <w:jc w:val="right"/>
              <w:rPr>
                <w:rFonts w:ascii="Meta Pro" w:eastAsia="Times New Roman" w:hAnsi="Meta Pro" w:cs="Times New Roman"/>
                <w:sz w:val="20"/>
                <w:szCs w:val="20"/>
                <w:lang w:eastAsia="en-AU"/>
              </w:rPr>
            </w:pPr>
          </w:p>
        </w:tc>
        <w:tc>
          <w:tcPr>
            <w:tcW w:w="1148" w:type="dxa"/>
            <w:tcBorders>
              <w:top w:val="nil"/>
              <w:left w:val="nil"/>
              <w:bottom w:val="nil"/>
              <w:right w:val="nil"/>
            </w:tcBorders>
            <w:shd w:val="clear" w:color="auto" w:fill="auto"/>
            <w:noWrap/>
            <w:vAlign w:val="center"/>
            <w:hideMark/>
          </w:tcPr>
          <w:p w14:paraId="3BEFAFC2" w14:textId="77777777" w:rsidR="00E23160" w:rsidRPr="00092B22" w:rsidRDefault="00E23160" w:rsidP="00E607DA">
            <w:pPr>
              <w:jc w:val="right"/>
              <w:rPr>
                <w:rFonts w:ascii="Meta Pro" w:eastAsia="Times New Roman" w:hAnsi="Meta Pro" w:cs="Times New Roman"/>
                <w:sz w:val="20"/>
                <w:szCs w:val="20"/>
                <w:lang w:eastAsia="en-AU"/>
              </w:rPr>
            </w:pPr>
          </w:p>
        </w:tc>
      </w:tr>
      <w:tr w:rsidR="00E23160" w:rsidRPr="00092B22" w14:paraId="29488964" w14:textId="77777777" w:rsidTr="00E607DA">
        <w:trPr>
          <w:trHeight w:val="240"/>
        </w:trPr>
        <w:tc>
          <w:tcPr>
            <w:tcW w:w="7084" w:type="dxa"/>
            <w:tcBorders>
              <w:top w:val="nil"/>
              <w:left w:val="nil"/>
              <w:bottom w:val="nil"/>
              <w:right w:val="nil"/>
            </w:tcBorders>
            <w:shd w:val="clear" w:color="auto" w:fill="auto"/>
            <w:noWrap/>
            <w:vAlign w:val="center"/>
            <w:hideMark/>
          </w:tcPr>
          <w:p w14:paraId="44BF6F1E" w14:textId="77777777" w:rsidR="00E23160" w:rsidRPr="00092B22" w:rsidRDefault="00E23160" w:rsidP="00E607DA">
            <w:pPr>
              <w:rPr>
                <w:rFonts w:ascii="Meta Pro" w:eastAsia="Times New Roman" w:hAnsi="Meta Pro"/>
                <w:szCs w:val="18"/>
                <w:lang w:eastAsia="en-AU"/>
              </w:rPr>
            </w:pPr>
            <w:r w:rsidRPr="00092B22">
              <w:rPr>
                <w:rFonts w:ascii="Meta Pro" w:eastAsia="Times New Roman" w:hAnsi="Meta Pro"/>
                <w:szCs w:val="18"/>
                <w:lang w:eastAsia="en-AU"/>
              </w:rPr>
              <w:t>Not later than one year</w:t>
            </w:r>
          </w:p>
        </w:tc>
        <w:tc>
          <w:tcPr>
            <w:tcW w:w="1148" w:type="dxa"/>
            <w:tcBorders>
              <w:top w:val="nil"/>
              <w:left w:val="nil"/>
              <w:bottom w:val="nil"/>
              <w:right w:val="nil"/>
            </w:tcBorders>
            <w:shd w:val="clear" w:color="000000" w:fill="C9E3B4"/>
            <w:noWrap/>
            <w:vAlign w:val="center"/>
            <w:hideMark/>
          </w:tcPr>
          <w:p w14:paraId="7F16AFEE" w14:textId="77777777" w:rsidR="00E23160" w:rsidRPr="00092B22" w:rsidRDefault="00E23160"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1,242,285 </w:t>
            </w:r>
          </w:p>
        </w:tc>
        <w:tc>
          <w:tcPr>
            <w:tcW w:w="258" w:type="dxa"/>
            <w:tcBorders>
              <w:top w:val="nil"/>
              <w:left w:val="nil"/>
              <w:bottom w:val="nil"/>
              <w:right w:val="nil"/>
            </w:tcBorders>
            <w:shd w:val="clear" w:color="auto" w:fill="auto"/>
            <w:noWrap/>
            <w:vAlign w:val="center"/>
            <w:hideMark/>
          </w:tcPr>
          <w:p w14:paraId="24683C17" w14:textId="77777777" w:rsidR="00E23160" w:rsidRPr="00092B22" w:rsidRDefault="00E23160" w:rsidP="00E607DA">
            <w:pPr>
              <w:jc w:val="right"/>
              <w:rPr>
                <w:rFonts w:ascii="Meta Pro" w:eastAsia="Times New Roman" w:hAnsi="Meta Pro"/>
                <w:szCs w:val="18"/>
                <w:lang w:eastAsia="en-AU"/>
              </w:rPr>
            </w:pPr>
          </w:p>
        </w:tc>
        <w:tc>
          <w:tcPr>
            <w:tcW w:w="1148" w:type="dxa"/>
            <w:tcBorders>
              <w:top w:val="nil"/>
              <w:left w:val="nil"/>
              <w:bottom w:val="nil"/>
              <w:right w:val="nil"/>
            </w:tcBorders>
            <w:shd w:val="clear" w:color="auto" w:fill="auto"/>
            <w:noWrap/>
            <w:vAlign w:val="center"/>
            <w:hideMark/>
          </w:tcPr>
          <w:p w14:paraId="4DD6174B" w14:textId="77777777" w:rsidR="00E23160" w:rsidRPr="00092B22" w:rsidRDefault="00E23160"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575,229 </w:t>
            </w:r>
          </w:p>
        </w:tc>
      </w:tr>
      <w:tr w:rsidR="00E23160" w:rsidRPr="00092B22" w14:paraId="5E650346" w14:textId="77777777" w:rsidTr="00E607DA">
        <w:trPr>
          <w:trHeight w:val="240"/>
        </w:trPr>
        <w:tc>
          <w:tcPr>
            <w:tcW w:w="7084" w:type="dxa"/>
            <w:tcBorders>
              <w:top w:val="nil"/>
              <w:left w:val="nil"/>
              <w:bottom w:val="nil"/>
              <w:right w:val="nil"/>
            </w:tcBorders>
            <w:shd w:val="clear" w:color="auto" w:fill="auto"/>
            <w:noWrap/>
            <w:vAlign w:val="center"/>
            <w:hideMark/>
          </w:tcPr>
          <w:p w14:paraId="5ECB7F71" w14:textId="77777777" w:rsidR="00E23160" w:rsidRPr="00092B22" w:rsidRDefault="00E23160" w:rsidP="00E607DA">
            <w:pPr>
              <w:rPr>
                <w:rFonts w:ascii="Meta Pro" w:eastAsia="Times New Roman" w:hAnsi="Meta Pro"/>
                <w:szCs w:val="18"/>
                <w:lang w:eastAsia="en-AU"/>
              </w:rPr>
            </w:pPr>
            <w:r w:rsidRPr="00092B22">
              <w:rPr>
                <w:rFonts w:ascii="Meta Pro" w:eastAsia="Times New Roman" w:hAnsi="Meta Pro"/>
                <w:szCs w:val="18"/>
                <w:lang w:eastAsia="en-AU"/>
              </w:rPr>
              <w:t>Later than one year and not later than five years</w:t>
            </w:r>
          </w:p>
        </w:tc>
        <w:tc>
          <w:tcPr>
            <w:tcW w:w="1148" w:type="dxa"/>
            <w:tcBorders>
              <w:top w:val="nil"/>
              <w:left w:val="nil"/>
              <w:bottom w:val="nil"/>
              <w:right w:val="nil"/>
            </w:tcBorders>
            <w:shd w:val="clear" w:color="000000" w:fill="C9E3B4"/>
            <w:noWrap/>
            <w:vAlign w:val="center"/>
            <w:hideMark/>
          </w:tcPr>
          <w:p w14:paraId="3FE50225" w14:textId="77777777" w:rsidR="00E23160" w:rsidRPr="00092B22" w:rsidRDefault="00E23160"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2,761,947 </w:t>
            </w:r>
          </w:p>
        </w:tc>
        <w:tc>
          <w:tcPr>
            <w:tcW w:w="258" w:type="dxa"/>
            <w:tcBorders>
              <w:top w:val="nil"/>
              <w:left w:val="nil"/>
              <w:bottom w:val="nil"/>
              <w:right w:val="nil"/>
            </w:tcBorders>
            <w:shd w:val="clear" w:color="auto" w:fill="auto"/>
            <w:noWrap/>
            <w:vAlign w:val="center"/>
            <w:hideMark/>
          </w:tcPr>
          <w:p w14:paraId="4F901517" w14:textId="77777777" w:rsidR="00E23160" w:rsidRPr="00092B22" w:rsidRDefault="00E23160" w:rsidP="00E607DA">
            <w:pPr>
              <w:jc w:val="right"/>
              <w:rPr>
                <w:rFonts w:ascii="Meta Pro" w:eastAsia="Times New Roman" w:hAnsi="Meta Pro"/>
                <w:szCs w:val="18"/>
                <w:lang w:eastAsia="en-AU"/>
              </w:rPr>
            </w:pPr>
          </w:p>
        </w:tc>
        <w:tc>
          <w:tcPr>
            <w:tcW w:w="1148" w:type="dxa"/>
            <w:tcBorders>
              <w:top w:val="nil"/>
              <w:left w:val="nil"/>
              <w:bottom w:val="nil"/>
              <w:right w:val="nil"/>
            </w:tcBorders>
            <w:shd w:val="clear" w:color="auto" w:fill="auto"/>
            <w:noWrap/>
            <w:vAlign w:val="center"/>
            <w:hideMark/>
          </w:tcPr>
          <w:p w14:paraId="6585F06A" w14:textId="77777777" w:rsidR="00E23160" w:rsidRPr="00092B22" w:rsidRDefault="00E23160"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3,047,635 </w:t>
            </w:r>
          </w:p>
        </w:tc>
      </w:tr>
      <w:tr w:rsidR="00E23160" w:rsidRPr="00092B22" w14:paraId="261618D9" w14:textId="77777777" w:rsidTr="00E607DA">
        <w:trPr>
          <w:trHeight w:val="240"/>
        </w:trPr>
        <w:tc>
          <w:tcPr>
            <w:tcW w:w="7084" w:type="dxa"/>
            <w:tcBorders>
              <w:top w:val="nil"/>
              <w:left w:val="nil"/>
              <w:bottom w:val="nil"/>
              <w:right w:val="nil"/>
            </w:tcBorders>
            <w:shd w:val="clear" w:color="auto" w:fill="auto"/>
            <w:noWrap/>
            <w:vAlign w:val="center"/>
            <w:hideMark/>
          </w:tcPr>
          <w:p w14:paraId="643B7C6E" w14:textId="77777777" w:rsidR="00E23160" w:rsidRPr="00092B22" w:rsidRDefault="00E23160" w:rsidP="00E607DA">
            <w:pPr>
              <w:rPr>
                <w:rFonts w:ascii="Meta Pro" w:eastAsia="Times New Roman" w:hAnsi="Meta Pro"/>
                <w:szCs w:val="18"/>
                <w:lang w:eastAsia="en-AU"/>
              </w:rPr>
            </w:pPr>
            <w:r w:rsidRPr="00092B22">
              <w:rPr>
                <w:rFonts w:ascii="Meta Pro" w:eastAsia="Times New Roman" w:hAnsi="Meta Pro"/>
                <w:szCs w:val="18"/>
                <w:lang w:eastAsia="en-AU"/>
              </w:rPr>
              <w:t>Later than five years</w:t>
            </w:r>
          </w:p>
        </w:tc>
        <w:tc>
          <w:tcPr>
            <w:tcW w:w="1148" w:type="dxa"/>
            <w:tcBorders>
              <w:top w:val="nil"/>
              <w:left w:val="nil"/>
              <w:bottom w:val="nil"/>
              <w:right w:val="nil"/>
            </w:tcBorders>
            <w:shd w:val="clear" w:color="000000" w:fill="C9E3B4"/>
            <w:noWrap/>
            <w:vAlign w:val="center"/>
            <w:hideMark/>
          </w:tcPr>
          <w:p w14:paraId="5921664B" w14:textId="77777777" w:rsidR="00E23160" w:rsidRPr="00092B22" w:rsidRDefault="00E23160"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c>
          <w:tcPr>
            <w:tcW w:w="258" w:type="dxa"/>
            <w:tcBorders>
              <w:top w:val="nil"/>
              <w:left w:val="nil"/>
              <w:bottom w:val="nil"/>
              <w:right w:val="nil"/>
            </w:tcBorders>
            <w:shd w:val="clear" w:color="auto" w:fill="auto"/>
            <w:noWrap/>
            <w:vAlign w:val="center"/>
            <w:hideMark/>
          </w:tcPr>
          <w:p w14:paraId="715E3F62" w14:textId="77777777" w:rsidR="00E23160" w:rsidRPr="00092B22" w:rsidRDefault="00E23160" w:rsidP="00E607DA">
            <w:pPr>
              <w:jc w:val="right"/>
              <w:rPr>
                <w:rFonts w:ascii="Meta Pro" w:eastAsia="Times New Roman" w:hAnsi="Meta Pro"/>
                <w:szCs w:val="18"/>
                <w:lang w:eastAsia="en-AU"/>
              </w:rPr>
            </w:pPr>
          </w:p>
        </w:tc>
        <w:tc>
          <w:tcPr>
            <w:tcW w:w="1148" w:type="dxa"/>
            <w:tcBorders>
              <w:top w:val="nil"/>
              <w:left w:val="nil"/>
              <w:bottom w:val="nil"/>
              <w:right w:val="nil"/>
            </w:tcBorders>
            <w:shd w:val="clear" w:color="auto" w:fill="auto"/>
            <w:noWrap/>
            <w:vAlign w:val="center"/>
            <w:hideMark/>
          </w:tcPr>
          <w:p w14:paraId="47B28145" w14:textId="77777777" w:rsidR="00E23160" w:rsidRPr="00092B22" w:rsidRDefault="00E23160"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r>
      <w:tr w:rsidR="00E23160" w:rsidRPr="00092B22" w14:paraId="77FF5D20" w14:textId="77777777" w:rsidTr="00E607DA">
        <w:trPr>
          <w:trHeight w:val="240"/>
        </w:trPr>
        <w:tc>
          <w:tcPr>
            <w:tcW w:w="7084" w:type="dxa"/>
            <w:tcBorders>
              <w:top w:val="single" w:sz="4" w:space="0" w:color="auto"/>
              <w:left w:val="nil"/>
              <w:bottom w:val="double" w:sz="6" w:space="0" w:color="auto"/>
              <w:right w:val="nil"/>
            </w:tcBorders>
            <w:shd w:val="clear" w:color="auto" w:fill="auto"/>
            <w:noWrap/>
            <w:vAlign w:val="center"/>
            <w:hideMark/>
          </w:tcPr>
          <w:p w14:paraId="38C3FC13" w14:textId="77777777" w:rsidR="00E23160" w:rsidRPr="00092B22" w:rsidRDefault="00E23160" w:rsidP="00E607DA">
            <w:pPr>
              <w:rPr>
                <w:rFonts w:ascii="Meta Pro" w:eastAsia="Times New Roman" w:hAnsi="Meta Pro"/>
                <w:b/>
                <w:bCs/>
                <w:szCs w:val="18"/>
                <w:lang w:eastAsia="en-AU"/>
              </w:rPr>
            </w:pPr>
            <w:r w:rsidRPr="00092B22">
              <w:rPr>
                <w:rFonts w:ascii="Meta Pro" w:eastAsia="Times New Roman" w:hAnsi="Meta Pro"/>
                <w:b/>
                <w:bCs/>
                <w:szCs w:val="18"/>
                <w:lang w:eastAsia="en-AU"/>
              </w:rPr>
              <w:t>Total</w:t>
            </w:r>
          </w:p>
        </w:tc>
        <w:tc>
          <w:tcPr>
            <w:tcW w:w="1148" w:type="dxa"/>
            <w:tcBorders>
              <w:top w:val="single" w:sz="4" w:space="0" w:color="auto"/>
              <w:left w:val="nil"/>
              <w:bottom w:val="double" w:sz="6" w:space="0" w:color="auto"/>
              <w:right w:val="nil"/>
            </w:tcBorders>
            <w:shd w:val="clear" w:color="000000" w:fill="C9E3B4"/>
            <w:noWrap/>
            <w:vAlign w:val="center"/>
            <w:hideMark/>
          </w:tcPr>
          <w:p w14:paraId="51AA2411" w14:textId="77777777" w:rsidR="00E23160" w:rsidRPr="00092B22" w:rsidRDefault="00E23160"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4,004,232 </w:t>
            </w:r>
          </w:p>
        </w:tc>
        <w:tc>
          <w:tcPr>
            <w:tcW w:w="258" w:type="dxa"/>
            <w:tcBorders>
              <w:top w:val="single" w:sz="4" w:space="0" w:color="auto"/>
              <w:left w:val="nil"/>
              <w:bottom w:val="double" w:sz="6" w:space="0" w:color="auto"/>
              <w:right w:val="nil"/>
            </w:tcBorders>
            <w:shd w:val="clear" w:color="auto" w:fill="auto"/>
            <w:noWrap/>
            <w:vAlign w:val="center"/>
            <w:hideMark/>
          </w:tcPr>
          <w:p w14:paraId="07367EBD" w14:textId="77777777" w:rsidR="00E23160" w:rsidRPr="00092B22" w:rsidRDefault="00E23160" w:rsidP="00E607DA">
            <w:pPr>
              <w:jc w:val="right"/>
              <w:rPr>
                <w:rFonts w:ascii="Meta Pro" w:eastAsia="Times New Roman" w:hAnsi="Meta Pro"/>
                <w:szCs w:val="18"/>
                <w:lang w:eastAsia="en-AU"/>
              </w:rPr>
            </w:pPr>
            <w:r w:rsidRPr="00092B22">
              <w:rPr>
                <w:rFonts w:ascii="Meta Pro" w:eastAsia="Times New Roman" w:hAnsi="Meta Pro"/>
                <w:szCs w:val="18"/>
                <w:lang w:eastAsia="en-AU"/>
              </w:rPr>
              <w:t> </w:t>
            </w:r>
          </w:p>
        </w:tc>
        <w:tc>
          <w:tcPr>
            <w:tcW w:w="1148" w:type="dxa"/>
            <w:tcBorders>
              <w:top w:val="single" w:sz="4" w:space="0" w:color="auto"/>
              <w:left w:val="nil"/>
              <w:bottom w:val="double" w:sz="6" w:space="0" w:color="auto"/>
              <w:right w:val="nil"/>
            </w:tcBorders>
            <w:shd w:val="clear" w:color="auto" w:fill="auto"/>
            <w:noWrap/>
            <w:vAlign w:val="center"/>
            <w:hideMark/>
          </w:tcPr>
          <w:p w14:paraId="50A8D4FA" w14:textId="77777777" w:rsidR="00E23160" w:rsidRPr="00092B22" w:rsidRDefault="00E23160"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3,622,864 </w:t>
            </w:r>
          </w:p>
        </w:tc>
      </w:tr>
      <w:tr w:rsidR="00E23160" w:rsidRPr="00092B22" w14:paraId="63374A17" w14:textId="77777777" w:rsidTr="00E607DA">
        <w:trPr>
          <w:trHeight w:val="240"/>
        </w:trPr>
        <w:tc>
          <w:tcPr>
            <w:tcW w:w="7084" w:type="dxa"/>
            <w:tcBorders>
              <w:top w:val="nil"/>
              <w:left w:val="nil"/>
              <w:bottom w:val="nil"/>
              <w:right w:val="nil"/>
            </w:tcBorders>
            <w:shd w:val="clear" w:color="auto" w:fill="auto"/>
            <w:noWrap/>
            <w:vAlign w:val="center"/>
            <w:hideMark/>
          </w:tcPr>
          <w:p w14:paraId="1AA47A75" w14:textId="77777777" w:rsidR="00E23160" w:rsidRPr="00092B22" w:rsidRDefault="00E23160" w:rsidP="00E607DA">
            <w:pPr>
              <w:jc w:val="right"/>
              <w:rPr>
                <w:rFonts w:ascii="Meta Pro" w:eastAsia="Times New Roman" w:hAnsi="Meta Pro"/>
                <w:b/>
                <w:bCs/>
                <w:szCs w:val="18"/>
                <w:lang w:eastAsia="en-AU"/>
              </w:rPr>
            </w:pPr>
          </w:p>
        </w:tc>
        <w:tc>
          <w:tcPr>
            <w:tcW w:w="1148" w:type="dxa"/>
            <w:tcBorders>
              <w:top w:val="nil"/>
              <w:left w:val="nil"/>
              <w:bottom w:val="nil"/>
              <w:right w:val="nil"/>
            </w:tcBorders>
            <w:shd w:val="clear" w:color="auto" w:fill="auto"/>
            <w:noWrap/>
            <w:vAlign w:val="center"/>
            <w:hideMark/>
          </w:tcPr>
          <w:p w14:paraId="32FA8849" w14:textId="77777777" w:rsidR="00E23160" w:rsidRPr="00092B22" w:rsidRDefault="00E23160" w:rsidP="00E607DA">
            <w:pPr>
              <w:rPr>
                <w:rFonts w:ascii="Meta Pro" w:eastAsia="Times New Roman" w:hAnsi="Meta Pro" w:cs="Times New Roman"/>
                <w:sz w:val="20"/>
                <w:szCs w:val="20"/>
                <w:lang w:eastAsia="en-AU"/>
              </w:rPr>
            </w:pPr>
          </w:p>
        </w:tc>
        <w:tc>
          <w:tcPr>
            <w:tcW w:w="258" w:type="dxa"/>
            <w:tcBorders>
              <w:top w:val="nil"/>
              <w:left w:val="nil"/>
              <w:bottom w:val="nil"/>
              <w:right w:val="nil"/>
            </w:tcBorders>
            <w:shd w:val="clear" w:color="auto" w:fill="auto"/>
            <w:noWrap/>
            <w:vAlign w:val="center"/>
            <w:hideMark/>
          </w:tcPr>
          <w:p w14:paraId="504B31AF" w14:textId="77777777" w:rsidR="00E23160" w:rsidRPr="00092B22" w:rsidRDefault="00E23160" w:rsidP="00E607DA">
            <w:pPr>
              <w:jc w:val="right"/>
              <w:rPr>
                <w:rFonts w:ascii="Meta Pro" w:eastAsia="Times New Roman" w:hAnsi="Meta Pro" w:cs="Times New Roman"/>
                <w:sz w:val="20"/>
                <w:szCs w:val="20"/>
                <w:lang w:eastAsia="en-AU"/>
              </w:rPr>
            </w:pPr>
          </w:p>
        </w:tc>
        <w:tc>
          <w:tcPr>
            <w:tcW w:w="1148" w:type="dxa"/>
            <w:tcBorders>
              <w:top w:val="nil"/>
              <w:left w:val="nil"/>
              <w:bottom w:val="nil"/>
              <w:right w:val="nil"/>
            </w:tcBorders>
            <w:shd w:val="clear" w:color="auto" w:fill="auto"/>
            <w:noWrap/>
            <w:vAlign w:val="center"/>
            <w:hideMark/>
          </w:tcPr>
          <w:p w14:paraId="6FBDE641" w14:textId="77777777" w:rsidR="00E23160" w:rsidRPr="00092B22" w:rsidRDefault="00E23160" w:rsidP="00E607DA">
            <w:pPr>
              <w:jc w:val="right"/>
              <w:rPr>
                <w:rFonts w:ascii="Meta Pro" w:eastAsia="Times New Roman" w:hAnsi="Meta Pro" w:cs="Times New Roman"/>
                <w:sz w:val="20"/>
                <w:szCs w:val="20"/>
                <w:lang w:eastAsia="en-AU"/>
              </w:rPr>
            </w:pPr>
          </w:p>
        </w:tc>
      </w:tr>
      <w:tr w:rsidR="00E23160" w:rsidRPr="00092B22" w14:paraId="6B189EA4" w14:textId="77777777" w:rsidTr="00E607DA">
        <w:trPr>
          <w:trHeight w:val="240"/>
        </w:trPr>
        <w:tc>
          <w:tcPr>
            <w:tcW w:w="7084" w:type="dxa"/>
            <w:tcBorders>
              <w:top w:val="nil"/>
              <w:left w:val="nil"/>
              <w:bottom w:val="nil"/>
              <w:right w:val="nil"/>
            </w:tcBorders>
            <w:shd w:val="clear" w:color="auto" w:fill="auto"/>
            <w:noWrap/>
            <w:vAlign w:val="center"/>
            <w:hideMark/>
          </w:tcPr>
          <w:p w14:paraId="5B224592" w14:textId="77777777" w:rsidR="00E23160" w:rsidRPr="00092B22" w:rsidRDefault="00E23160" w:rsidP="00E607DA">
            <w:pPr>
              <w:rPr>
                <w:rFonts w:ascii="Meta Pro" w:eastAsia="Times New Roman" w:hAnsi="Meta Pro"/>
                <w:b/>
                <w:bCs/>
                <w:szCs w:val="18"/>
                <w:lang w:eastAsia="en-AU"/>
              </w:rPr>
            </w:pPr>
            <w:r w:rsidRPr="00092B22">
              <w:rPr>
                <w:rFonts w:ascii="Meta Pro" w:eastAsia="Times New Roman" w:hAnsi="Meta Pro"/>
                <w:b/>
                <w:bCs/>
                <w:szCs w:val="18"/>
                <w:lang w:eastAsia="en-AU"/>
              </w:rPr>
              <w:t>Grants and subsidies commitments **</w:t>
            </w:r>
          </w:p>
        </w:tc>
        <w:tc>
          <w:tcPr>
            <w:tcW w:w="1148" w:type="dxa"/>
            <w:tcBorders>
              <w:top w:val="nil"/>
              <w:left w:val="nil"/>
              <w:bottom w:val="nil"/>
              <w:right w:val="nil"/>
            </w:tcBorders>
            <w:shd w:val="clear" w:color="auto" w:fill="auto"/>
            <w:noWrap/>
            <w:vAlign w:val="center"/>
            <w:hideMark/>
          </w:tcPr>
          <w:p w14:paraId="4CD3DD7C" w14:textId="77777777" w:rsidR="00E23160" w:rsidRPr="00092B22" w:rsidRDefault="00E23160" w:rsidP="00E607DA">
            <w:pPr>
              <w:rPr>
                <w:rFonts w:ascii="Meta Pro" w:eastAsia="Times New Roman" w:hAnsi="Meta Pro"/>
                <w:b/>
                <w:bCs/>
                <w:szCs w:val="18"/>
                <w:lang w:eastAsia="en-AU"/>
              </w:rPr>
            </w:pPr>
          </w:p>
        </w:tc>
        <w:tc>
          <w:tcPr>
            <w:tcW w:w="258" w:type="dxa"/>
            <w:tcBorders>
              <w:top w:val="nil"/>
              <w:left w:val="nil"/>
              <w:bottom w:val="nil"/>
              <w:right w:val="nil"/>
            </w:tcBorders>
            <w:shd w:val="clear" w:color="auto" w:fill="auto"/>
            <w:noWrap/>
            <w:vAlign w:val="center"/>
            <w:hideMark/>
          </w:tcPr>
          <w:p w14:paraId="76E4CA04" w14:textId="77777777" w:rsidR="00E23160" w:rsidRPr="00092B22" w:rsidRDefault="00E23160" w:rsidP="00E607DA">
            <w:pPr>
              <w:rPr>
                <w:rFonts w:ascii="Meta Pro" w:eastAsia="Times New Roman" w:hAnsi="Meta Pro" w:cs="Times New Roman"/>
                <w:sz w:val="20"/>
                <w:szCs w:val="20"/>
                <w:lang w:eastAsia="en-AU"/>
              </w:rPr>
            </w:pPr>
          </w:p>
        </w:tc>
        <w:tc>
          <w:tcPr>
            <w:tcW w:w="1148" w:type="dxa"/>
            <w:tcBorders>
              <w:top w:val="nil"/>
              <w:left w:val="nil"/>
              <w:bottom w:val="nil"/>
              <w:right w:val="nil"/>
            </w:tcBorders>
            <w:shd w:val="clear" w:color="auto" w:fill="auto"/>
            <w:noWrap/>
            <w:vAlign w:val="center"/>
            <w:hideMark/>
          </w:tcPr>
          <w:p w14:paraId="4226F1D7" w14:textId="77777777" w:rsidR="00E23160" w:rsidRPr="00092B22" w:rsidRDefault="00E23160" w:rsidP="00E607DA">
            <w:pPr>
              <w:rPr>
                <w:rFonts w:ascii="Meta Pro" w:eastAsia="Times New Roman" w:hAnsi="Meta Pro" w:cs="Times New Roman"/>
                <w:sz w:val="20"/>
                <w:szCs w:val="20"/>
                <w:lang w:eastAsia="en-AU"/>
              </w:rPr>
            </w:pPr>
          </w:p>
        </w:tc>
      </w:tr>
      <w:tr w:rsidR="00E23160" w:rsidRPr="00092B22" w14:paraId="775C67E5" w14:textId="77777777" w:rsidTr="00E607DA">
        <w:trPr>
          <w:trHeight w:val="90"/>
        </w:trPr>
        <w:tc>
          <w:tcPr>
            <w:tcW w:w="7084" w:type="dxa"/>
            <w:tcBorders>
              <w:top w:val="nil"/>
              <w:left w:val="nil"/>
              <w:bottom w:val="nil"/>
              <w:right w:val="nil"/>
            </w:tcBorders>
            <w:shd w:val="clear" w:color="auto" w:fill="auto"/>
            <w:noWrap/>
            <w:vAlign w:val="center"/>
            <w:hideMark/>
          </w:tcPr>
          <w:p w14:paraId="2A8AFC1B" w14:textId="77777777" w:rsidR="00E23160" w:rsidRPr="00092B22" w:rsidRDefault="00E23160" w:rsidP="00E607DA">
            <w:pPr>
              <w:rPr>
                <w:rFonts w:ascii="Meta Pro" w:eastAsia="Times New Roman" w:hAnsi="Meta Pro" w:cs="Times New Roman"/>
                <w:sz w:val="20"/>
                <w:szCs w:val="20"/>
                <w:lang w:eastAsia="en-AU"/>
              </w:rPr>
            </w:pPr>
          </w:p>
        </w:tc>
        <w:tc>
          <w:tcPr>
            <w:tcW w:w="1148" w:type="dxa"/>
            <w:tcBorders>
              <w:top w:val="nil"/>
              <w:left w:val="nil"/>
              <w:bottom w:val="nil"/>
              <w:right w:val="nil"/>
            </w:tcBorders>
            <w:shd w:val="clear" w:color="auto" w:fill="auto"/>
            <w:noWrap/>
            <w:vAlign w:val="center"/>
            <w:hideMark/>
          </w:tcPr>
          <w:p w14:paraId="30F65B78" w14:textId="77777777" w:rsidR="00E23160" w:rsidRPr="00092B22" w:rsidRDefault="00E23160" w:rsidP="00E607DA">
            <w:pPr>
              <w:rPr>
                <w:rFonts w:ascii="Meta Pro" w:eastAsia="Times New Roman" w:hAnsi="Meta Pro" w:cs="Times New Roman"/>
                <w:sz w:val="20"/>
                <w:szCs w:val="20"/>
                <w:lang w:eastAsia="en-AU"/>
              </w:rPr>
            </w:pPr>
          </w:p>
        </w:tc>
        <w:tc>
          <w:tcPr>
            <w:tcW w:w="258" w:type="dxa"/>
            <w:tcBorders>
              <w:top w:val="nil"/>
              <w:left w:val="nil"/>
              <w:bottom w:val="nil"/>
              <w:right w:val="nil"/>
            </w:tcBorders>
            <w:shd w:val="clear" w:color="auto" w:fill="auto"/>
            <w:noWrap/>
            <w:vAlign w:val="center"/>
            <w:hideMark/>
          </w:tcPr>
          <w:p w14:paraId="761FE541" w14:textId="77777777" w:rsidR="00E23160" w:rsidRPr="00092B22" w:rsidRDefault="00E23160" w:rsidP="00E607DA">
            <w:pPr>
              <w:rPr>
                <w:rFonts w:ascii="Meta Pro" w:eastAsia="Times New Roman" w:hAnsi="Meta Pro" w:cs="Times New Roman"/>
                <w:sz w:val="20"/>
                <w:szCs w:val="20"/>
                <w:lang w:eastAsia="en-AU"/>
              </w:rPr>
            </w:pPr>
          </w:p>
        </w:tc>
        <w:tc>
          <w:tcPr>
            <w:tcW w:w="1148" w:type="dxa"/>
            <w:tcBorders>
              <w:top w:val="nil"/>
              <w:left w:val="nil"/>
              <w:bottom w:val="nil"/>
              <w:right w:val="nil"/>
            </w:tcBorders>
            <w:shd w:val="clear" w:color="auto" w:fill="auto"/>
            <w:noWrap/>
            <w:vAlign w:val="center"/>
            <w:hideMark/>
          </w:tcPr>
          <w:p w14:paraId="40AAE693" w14:textId="77777777" w:rsidR="00E23160" w:rsidRPr="00092B22" w:rsidRDefault="00E23160" w:rsidP="00E607DA">
            <w:pPr>
              <w:rPr>
                <w:rFonts w:ascii="Meta Pro" w:eastAsia="Times New Roman" w:hAnsi="Meta Pro" w:cs="Times New Roman"/>
                <w:sz w:val="20"/>
                <w:szCs w:val="20"/>
                <w:lang w:eastAsia="en-AU"/>
              </w:rPr>
            </w:pPr>
          </w:p>
        </w:tc>
      </w:tr>
      <w:tr w:rsidR="00E23160" w:rsidRPr="00092B22" w14:paraId="629EDC92" w14:textId="77777777" w:rsidTr="00E607DA">
        <w:trPr>
          <w:trHeight w:val="240"/>
        </w:trPr>
        <w:tc>
          <w:tcPr>
            <w:tcW w:w="7084" w:type="dxa"/>
            <w:tcBorders>
              <w:top w:val="nil"/>
              <w:left w:val="nil"/>
              <w:bottom w:val="nil"/>
              <w:right w:val="nil"/>
            </w:tcBorders>
            <w:shd w:val="clear" w:color="auto" w:fill="auto"/>
            <w:noWrap/>
            <w:vAlign w:val="center"/>
            <w:hideMark/>
          </w:tcPr>
          <w:p w14:paraId="2F0ABBDF" w14:textId="77777777" w:rsidR="00E23160" w:rsidRPr="00092B22" w:rsidRDefault="00E23160" w:rsidP="00E607DA">
            <w:pPr>
              <w:rPr>
                <w:rFonts w:ascii="Meta Pro" w:eastAsia="Times New Roman" w:hAnsi="Meta Pro"/>
                <w:szCs w:val="18"/>
                <w:lang w:eastAsia="en-AU"/>
              </w:rPr>
            </w:pPr>
            <w:r w:rsidRPr="00092B22">
              <w:rPr>
                <w:rFonts w:ascii="Meta Pro" w:eastAsia="Times New Roman" w:hAnsi="Meta Pro"/>
                <w:szCs w:val="18"/>
                <w:lang w:eastAsia="en-AU"/>
              </w:rPr>
              <w:t>Not later than one year</w:t>
            </w:r>
          </w:p>
        </w:tc>
        <w:tc>
          <w:tcPr>
            <w:tcW w:w="1148" w:type="dxa"/>
            <w:tcBorders>
              <w:top w:val="nil"/>
              <w:left w:val="nil"/>
              <w:bottom w:val="nil"/>
              <w:right w:val="nil"/>
            </w:tcBorders>
            <w:shd w:val="clear" w:color="000000" w:fill="C9E3B4"/>
            <w:noWrap/>
            <w:vAlign w:val="center"/>
            <w:hideMark/>
          </w:tcPr>
          <w:p w14:paraId="49D62145" w14:textId="77777777" w:rsidR="00E23160" w:rsidRPr="00092B22" w:rsidRDefault="00E23160"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580,511 </w:t>
            </w:r>
          </w:p>
        </w:tc>
        <w:tc>
          <w:tcPr>
            <w:tcW w:w="258" w:type="dxa"/>
            <w:tcBorders>
              <w:top w:val="nil"/>
              <w:left w:val="nil"/>
              <w:bottom w:val="nil"/>
              <w:right w:val="nil"/>
            </w:tcBorders>
            <w:shd w:val="clear" w:color="auto" w:fill="auto"/>
            <w:noWrap/>
            <w:vAlign w:val="center"/>
            <w:hideMark/>
          </w:tcPr>
          <w:p w14:paraId="36C723F1" w14:textId="77777777" w:rsidR="00E23160" w:rsidRPr="00092B22" w:rsidRDefault="00E23160" w:rsidP="00E607DA">
            <w:pPr>
              <w:jc w:val="right"/>
              <w:rPr>
                <w:rFonts w:ascii="Meta Pro" w:eastAsia="Times New Roman" w:hAnsi="Meta Pro"/>
                <w:szCs w:val="18"/>
                <w:lang w:eastAsia="en-AU"/>
              </w:rPr>
            </w:pPr>
          </w:p>
        </w:tc>
        <w:tc>
          <w:tcPr>
            <w:tcW w:w="1148" w:type="dxa"/>
            <w:tcBorders>
              <w:top w:val="nil"/>
              <w:left w:val="nil"/>
              <w:bottom w:val="nil"/>
              <w:right w:val="nil"/>
            </w:tcBorders>
            <w:shd w:val="clear" w:color="auto" w:fill="auto"/>
            <w:noWrap/>
            <w:vAlign w:val="center"/>
            <w:hideMark/>
          </w:tcPr>
          <w:p w14:paraId="10BAA028" w14:textId="77777777" w:rsidR="00E23160" w:rsidRPr="00092B22" w:rsidRDefault="00E23160"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525,038 </w:t>
            </w:r>
          </w:p>
        </w:tc>
      </w:tr>
      <w:tr w:rsidR="00E23160" w:rsidRPr="00092B22" w14:paraId="6C4F9288" w14:textId="77777777" w:rsidTr="00E607DA">
        <w:trPr>
          <w:trHeight w:val="240"/>
        </w:trPr>
        <w:tc>
          <w:tcPr>
            <w:tcW w:w="7084" w:type="dxa"/>
            <w:tcBorders>
              <w:top w:val="nil"/>
              <w:left w:val="nil"/>
              <w:bottom w:val="nil"/>
              <w:right w:val="nil"/>
            </w:tcBorders>
            <w:shd w:val="clear" w:color="auto" w:fill="auto"/>
            <w:noWrap/>
            <w:vAlign w:val="center"/>
            <w:hideMark/>
          </w:tcPr>
          <w:p w14:paraId="0380B62B" w14:textId="77777777" w:rsidR="00E23160" w:rsidRPr="00092B22" w:rsidRDefault="00E23160" w:rsidP="00E607DA">
            <w:pPr>
              <w:rPr>
                <w:rFonts w:ascii="Meta Pro" w:eastAsia="Times New Roman" w:hAnsi="Meta Pro"/>
                <w:szCs w:val="18"/>
                <w:lang w:eastAsia="en-AU"/>
              </w:rPr>
            </w:pPr>
            <w:r w:rsidRPr="00092B22">
              <w:rPr>
                <w:rFonts w:ascii="Meta Pro" w:eastAsia="Times New Roman" w:hAnsi="Meta Pro"/>
                <w:szCs w:val="18"/>
                <w:lang w:eastAsia="en-AU"/>
              </w:rPr>
              <w:t>Later than one year and not later than five years</w:t>
            </w:r>
          </w:p>
        </w:tc>
        <w:tc>
          <w:tcPr>
            <w:tcW w:w="1148" w:type="dxa"/>
            <w:tcBorders>
              <w:top w:val="nil"/>
              <w:left w:val="nil"/>
              <w:bottom w:val="nil"/>
              <w:right w:val="nil"/>
            </w:tcBorders>
            <w:shd w:val="clear" w:color="000000" w:fill="C9E3B4"/>
            <w:noWrap/>
            <w:vAlign w:val="center"/>
            <w:hideMark/>
          </w:tcPr>
          <w:p w14:paraId="7BD93D06" w14:textId="77777777" w:rsidR="00E23160" w:rsidRPr="00092B22" w:rsidRDefault="00E23160"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1,427,412 </w:t>
            </w:r>
          </w:p>
        </w:tc>
        <w:tc>
          <w:tcPr>
            <w:tcW w:w="258" w:type="dxa"/>
            <w:tcBorders>
              <w:top w:val="nil"/>
              <w:left w:val="nil"/>
              <w:bottom w:val="nil"/>
              <w:right w:val="nil"/>
            </w:tcBorders>
            <w:shd w:val="clear" w:color="auto" w:fill="auto"/>
            <w:noWrap/>
            <w:vAlign w:val="center"/>
            <w:hideMark/>
          </w:tcPr>
          <w:p w14:paraId="5807123A" w14:textId="77777777" w:rsidR="00E23160" w:rsidRPr="00092B22" w:rsidRDefault="00E23160" w:rsidP="00E607DA">
            <w:pPr>
              <w:jc w:val="right"/>
              <w:rPr>
                <w:rFonts w:ascii="Meta Pro" w:eastAsia="Times New Roman" w:hAnsi="Meta Pro"/>
                <w:szCs w:val="18"/>
                <w:lang w:eastAsia="en-AU"/>
              </w:rPr>
            </w:pPr>
          </w:p>
        </w:tc>
        <w:tc>
          <w:tcPr>
            <w:tcW w:w="1148" w:type="dxa"/>
            <w:tcBorders>
              <w:top w:val="nil"/>
              <w:left w:val="nil"/>
              <w:bottom w:val="nil"/>
              <w:right w:val="nil"/>
            </w:tcBorders>
            <w:shd w:val="clear" w:color="auto" w:fill="auto"/>
            <w:noWrap/>
            <w:vAlign w:val="center"/>
            <w:hideMark/>
          </w:tcPr>
          <w:p w14:paraId="22532F70" w14:textId="77777777" w:rsidR="00E23160" w:rsidRPr="00092B22" w:rsidRDefault="00E23160"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1,123,278 </w:t>
            </w:r>
          </w:p>
        </w:tc>
      </w:tr>
      <w:tr w:rsidR="00E23160" w:rsidRPr="00092B22" w14:paraId="45F869E1" w14:textId="77777777" w:rsidTr="00E607DA">
        <w:trPr>
          <w:trHeight w:val="240"/>
        </w:trPr>
        <w:tc>
          <w:tcPr>
            <w:tcW w:w="7084" w:type="dxa"/>
            <w:tcBorders>
              <w:top w:val="nil"/>
              <w:left w:val="nil"/>
              <w:bottom w:val="nil"/>
              <w:right w:val="nil"/>
            </w:tcBorders>
            <w:shd w:val="clear" w:color="auto" w:fill="auto"/>
            <w:noWrap/>
            <w:vAlign w:val="center"/>
            <w:hideMark/>
          </w:tcPr>
          <w:p w14:paraId="43B56A1C" w14:textId="77777777" w:rsidR="00E23160" w:rsidRPr="00092B22" w:rsidRDefault="00E23160" w:rsidP="00E607DA">
            <w:pPr>
              <w:rPr>
                <w:rFonts w:ascii="Meta Pro" w:eastAsia="Times New Roman" w:hAnsi="Meta Pro"/>
                <w:szCs w:val="18"/>
                <w:lang w:eastAsia="en-AU"/>
              </w:rPr>
            </w:pPr>
            <w:r w:rsidRPr="00092B22">
              <w:rPr>
                <w:rFonts w:ascii="Meta Pro" w:eastAsia="Times New Roman" w:hAnsi="Meta Pro"/>
                <w:szCs w:val="18"/>
                <w:lang w:eastAsia="en-AU"/>
              </w:rPr>
              <w:t>Later than five years</w:t>
            </w:r>
          </w:p>
        </w:tc>
        <w:tc>
          <w:tcPr>
            <w:tcW w:w="1148" w:type="dxa"/>
            <w:tcBorders>
              <w:top w:val="nil"/>
              <w:left w:val="nil"/>
              <w:bottom w:val="nil"/>
              <w:right w:val="nil"/>
            </w:tcBorders>
            <w:shd w:val="clear" w:color="000000" w:fill="C9E3B4"/>
            <w:noWrap/>
            <w:vAlign w:val="center"/>
            <w:hideMark/>
          </w:tcPr>
          <w:p w14:paraId="21B49402" w14:textId="77777777" w:rsidR="00E23160" w:rsidRPr="00092B22" w:rsidRDefault="00E23160"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32,500 </w:t>
            </w:r>
          </w:p>
        </w:tc>
        <w:tc>
          <w:tcPr>
            <w:tcW w:w="258" w:type="dxa"/>
            <w:tcBorders>
              <w:top w:val="nil"/>
              <w:left w:val="nil"/>
              <w:bottom w:val="nil"/>
              <w:right w:val="nil"/>
            </w:tcBorders>
            <w:shd w:val="clear" w:color="auto" w:fill="auto"/>
            <w:noWrap/>
            <w:vAlign w:val="center"/>
            <w:hideMark/>
          </w:tcPr>
          <w:p w14:paraId="279ED06B" w14:textId="77777777" w:rsidR="00E23160" w:rsidRPr="00092B22" w:rsidRDefault="00E23160" w:rsidP="00E607DA">
            <w:pPr>
              <w:jc w:val="right"/>
              <w:rPr>
                <w:rFonts w:ascii="Meta Pro" w:eastAsia="Times New Roman" w:hAnsi="Meta Pro"/>
                <w:szCs w:val="18"/>
                <w:lang w:eastAsia="en-AU"/>
              </w:rPr>
            </w:pPr>
          </w:p>
        </w:tc>
        <w:tc>
          <w:tcPr>
            <w:tcW w:w="1148" w:type="dxa"/>
            <w:tcBorders>
              <w:top w:val="nil"/>
              <w:left w:val="nil"/>
              <w:bottom w:val="nil"/>
              <w:right w:val="nil"/>
            </w:tcBorders>
            <w:shd w:val="clear" w:color="auto" w:fill="auto"/>
            <w:noWrap/>
            <w:vAlign w:val="center"/>
            <w:hideMark/>
          </w:tcPr>
          <w:p w14:paraId="12AE5B7C" w14:textId="77777777" w:rsidR="00E23160" w:rsidRPr="00092B22" w:rsidRDefault="00E23160"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r>
      <w:tr w:rsidR="00E23160" w:rsidRPr="00092B22" w14:paraId="517D6C23" w14:textId="77777777" w:rsidTr="00E607DA">
        <w:trPr>
          <w:trHeight w:val="240"/>
        </w:trPr>
        <w:tc>
          <w:tcPr>
            <w:tcW w:w="7084" w:type="dxa"/>
            <w:tcBorders>
              <w:top w:val="single" w:sz="4" w:space="0" w:color="auto"/>
              <w:left w:val="nil"/>
              <w:bottom w:val="double" w:sz="6" w:space="0" w:color="auto"/>
              <w:right w:val="nil"/>
            </w:tcBorders>
            <w:shd w:val="clear" w:color="auto" w:fill="auto"/>
            <w:noWrap/>
            <w:vAlign w:val="center"/>
            <w:hideMark/>
          </w:tcPr>
          <w:p w14:paraId="6602C1AA" w14:textId="77777777" w:rsidR="00E23160" w:rsidRPr="00092B22" w:rsidRDefault="00E23160" w:rsidP="00E607DA">
            <w:pPr>
              <w:rPr>
                <w:rFonts w:ascii="Meta Pro" w:eastAsia="Times New Roman" w:hAnsi="Meta Pro"/>
                <w:b/>
                <w:bCs/>
                <w:szCs w:val="18"/>
                <w:lang w:eastAsia="en-AU"/>
              </w:rPr>
            </w:pPr>
            <w:r w:rsidRPr="00092B22">
              <w:rPr>
                <w:rFonts w:ascii="Meta Pro" w:eastAsia="Times New Roman" w:hAnsi="Meta Pro"/>
                <w:b/>
                <w:bCs/>
                <w:szCs w:val="18"/>
                <w:lang w:eastAsia="en-AU"/>
              </w:rPr>
              <w:t xml:space="preserve">Total </w:t>
            </w:r>
          </w:p>
        </w:tc>
        <w:tc>
          <w:tcPr>
            <w:tcW w:w="1148" w:type="dxa"/>
            <w:tcBorders>
              <w:top w:val="single" w:sz="4" w:space="0" w:color="auto"/>
              <w:left w:val="nil"/>
              <w:bottom w:val="double" w:sz="6" w:space="0" w:color="auto"/>
              <w:right w:val="nil"/>
            </w:tcBorders>
            <w:shd w:val="clear" w:color="000000" w:fill="C9E3B4"/>
            <w:noWrap/>
            <w:vAlign w:val="center"/>
            <w:hideMark/>
          </w:tcPr>
          <w:p w14:paraId="12CC8A4D" w14:textId="77777777" w:rsidR="00E23160" w:rsidRPr="00092B22" w:rsidRDefault="00E23160"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2,040,423 </w:t>
            </w:r>
          </w:p>
        </w:tc>
        <w:tc>
          <w:tcPr>
            <w:tcW w:w="258" w:type="dxa"/>
            <w:tcBorders>
              <w:top w:val="single" w:sz="4" w:space="0" w:color="auto"/>
              <w:left w:val="nil"/>
              <w:bottom w:val="double" w:sz="6" w:space="0" w:color="auto"/>
              <w:right w:val="nil"/>
            </w:tcBorders>
            <w:shd w:val="clear" w:color="auto" w:fill="auto"/>
            <w:noWrap/>
            <w:vAlign w:val="center"/>
            <w:hideMark/>
          </w:tcPr>
          <w:p w14:paraId="4BE262E5" w14:textId="77777777" w:rsidR="00E23160" w:rsidRPr="00092B22" w:rsidRDefault="00E23160" w:rsidP="00E607DA">
            <w:pPr>
              <w:jc w:val="right"/>
              <w:rPr>
                <w:rFonts w:ascii="Meta Pro" w:eastAsia="Times New Roman" w:hAnsi="Meta Pro"/>
                <w:szCs w:val="18"/>
                <w:lang w:eastAsia="en-AU"/>
              </w:rPr>
            </w:pPr>
            <w:r w:rsidRPr="00092B22">
              <w:rPr>
                <w:rFonts w:ascii="Meta Pro" w:eastAsia="Times New Roman" w:hAnsi="Meta Pro"/>
                <w:szCs w:val="18"/>
                <w:lang w:eastAsia="en-AU"/>
              </w:rPr>
              <w:t> </w:t>
            </w:r>
          </w:p>
        </w:tc>
        <w:tc>
          <w:tcPr>
            <w:tcW w:w="1148" w:type="dxa"/>
            <w:tcBorders>
              <w:top w:val="single" w:sz="4" w:space="0" w:color="auto"/>
              <w:left w:val="nil"/>
              <w:bottom w:val="double" w:sz="6" w:space="0" w:color="auto"/>
              <w:right w:val="nil"/>
            </w:tcBorders>
            <w:shd w:val="clear" w:color="auto" w:fill="auto"/>
            <w:noWrap/>
            <w:vAlign w:val="center"/>
            <w:hideMark/>
          </w:tcPr>
          <w:p w14:paraId="46F8CA80" w14:textId="77777777" w:rsidR="00E23160" w:rsidRPr="00092B22" w:rsidRDefault="00E23160"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1,648,316 </w:t>
            </w:r>
          </w:p>
        </w:tc>
      </w:tr>
      <w:tr w:rsidR="00E23160" w:rsidRPr="00092B22" w14:paraId="10479161" w14:textId="77777777" w:rsidTr="00E607DA">
        <w:trPr>
          <w:trHeight w:val="240"/>
        </w:trPr>
        <w:tc>
          <w:tcPr>
            <w:tcW w:w="7084" w:type="dxa"/>
            <w:tcBorders>
              <w:top w:val="nil"/>
              <w:left w:val="nil"/>
              <w:bottom w:val="nil"/>
              <w:right w:val="nil"/>
            </w:tcBorders>
            <w:shd w:val="clear" w:color="auto" w:fill="auto"/>
            <w:noWrap/>
            <w:vAlign w:val="center"/>
            <w:hideMark/>
          </w:tcPr>
          <w:p w14:paraId="53AA5A2C" w14:textId="77777777" w:rsidR="00E23160" w:rsidRPr="00092B22" w:rsidRDefault="00E23160" w:rsidP="00E607DA">
            <w:pPr>
              <w:jc w:val="right"/>
              <w:rPr>
                <w:rFonts w:ascii="Meta Pro" w:eastAsia="Times New Roman" w:hAnsi="Meta Pro"/>
                <w:b/>
                <w:bCs/>
                <w:szCs w:val="18"/>
                <w:lang w:eastAsia="en-AU"/>
              </w:rPr>
            </w:pPr>
          </w:p>
        </w:tc>
        <w:tc>
          <w:tcPr>
            <w:tcW w:w="1148" w:type="dxa"/>
            <w:tcBorders>
              <w:top w:val="nil"/>
              <w:left w:val="nil"/>
              <w:bottom w:val="nil"/>
              <w:right w:val="nil"/>
            </w:tcBorders>
            <w:shd w:val="clear" w:color="auto" w:fill="auto"/>
            <w:noWrap/>
            <w:vAlign w:val="center"/>
            <w:hideMark/>
          </w:tcPr>
          <w:p w14:paraId="4952338F" w14:textId="77777777" w:rsidR="00E23160" w:rsidRPr="00092B22" w:rsidRDefault="00E23160" w:rsidP="00E607DA">
            <w:pPr>
              <w:rPr>
                <w:rFonts w:ascii="Meta Pro" w:eastAsia="Times New Roman" w:hAnsi="Meta Pro" w:cs="Times New Roman"/>
                <w:sz w:val="20"/>
                <w:szCs w:val="20"/>
                <w:lang w:eastAsia="en-AU"/>
              </w:rPr>
            </w:pPr>
          </w:p>
        </w:tc>
        <w:tc>
          <w:tcPr>
            <w:tcW w:w="258" w:type="dxa"/>
            <w:tcBorders>
              <w:top w:val="nil"/>
              <w:left w:val="nil"/>
              <w:bottom w:val="nil"/>
              <w:right w:val="nil"/>
            </w:tcBorders>
            <w:shd w:val="clear" w:color="auto" w:fill="auto"/>
            <w:noWrap/>
            <w:vAlign w:val="center"/>
            <w:hideMark/>
          </w:tcPr>
          <w:p w14:paraId="7190CC2A" w14:textId="77777777" w:rsidR="00E23160" w:rsidRPr="00092B22" w:rsidRDefault="00E23160" w:rsidP="00E607DA">
            <w:pPr>
              <w:jc w:val="right"/>
              <w:rPr>
                <w:rFonts w:ascii="Meta Pro" w:eastAsia="Times New Roman" w:hAnsi="Meta Pro" w:cs="Times New Roman"/>
                <w:sz w:val="20"/>
                <w:szCs w:val="20"/>
                <w:lang w:eastAsia="en-AU"/>
              </w:rPr>
            </w:pPr>
          </w:p>
        </w:tc>
        <w:tc>
          <w:tcPr>
            <w:tcW w:w="1148" w:type="dxa"/>
            <w:tcBorders>
              <w:top w:val="nil"/>
              <w:left w:val="nil"/>
              <w:bottom w:val="nil"/>
              <w:right w:val="nil"/>
            </w:tcBorders>
            <w:shd w:val="clear" w:color="auto" w:fill="auto"/>
            <w:noWrap/>
            <w:vAlign w:val="center"/>
            <w:hideMark/>
          </w:tcPr>
          <w:p w14:paraId="5AF55194" w14:textId="77777777" w:rsidR="00E23160" w:rsidRPr="00092B22" w:rsidRDefault="00E23160" w:rsidP="00E607DA">
            <w:pPr>
              <w:jc w:val="right"/>
              <w:rPr>
                <w:rFonts w:ascii="Meta Pro" w:eastAsia="Times New Roman" w:hAnsi="Meta Pro" w:cs="Times New Roman"/>
                <w:sz w:val="20"/>
                <w:szCs w:val="20"/>
                <w:lang w:eastAsia="en-AU"/>
              </w:rPr>
            </w:pPr>
          </w:p>
        </w:tc>
      </w:tr>
      <w:tr w:rsidR="00E23160" w:rsidRPr="00092B22" w14:paraId="1EE31894" w14:textId="77777777" w:rsidTr="00E607DA">
        <w:trPr>
          <w:trHeight w:val="240"/>
        </w:trPr>
        <w:tc>
          <w:tcPr>
            <w:tcW w:w="7084" w:type="dxa"/>
            <w:tcBorders>
              <w:top w:val="nil"/>
              <w:left w:val="nil"/>
              <w:bottom w:val="nil"/>
              <w:right w:val="nil"/>
            </w:tcBorders>
            <w:shd w:val="clear" w:color="auto" w:fill="auto"/>
            <w:noWrap/>
            <w:vAlign w:val="center"/>
            <w:hideMark/>
          </w:tcPr>
          <w:p w14:paraId="24A0FE52" w14:textId="77777777" w:rsidR="00E23160" w:rsidRPr="00092B22" w:rsidRDefault="00E23160" w:rsidP="00E607DA">
            <w:pPr>
              <w:rPr>
                <w:rFonts w:ascii="Meta Pro" w:eastAsia="Times New Roman" w:hAnsi="Meta Pro"/>
                <w:b/>
                <w:bCs/>
                <w:szCs w:val="18"/>
                <w:lang w:eastAsia="en-AU"/>
              </w:rPr>
            </w:pPr>
            <w:r w:rsidRPr="00092B22">
              <w:rPr>
                <w:rFonts w:ascii="Meta Pro" w:eastAsia="Times New Roman" w:hAnsi="Meta Pro"/>
                <w:b/>
                <w:bCs/>
                <w:szCs w:val="18"/>
                <w:lang w:eastAsia="en-AU"/>
              </w:rPr>
              <w:t>Other commitments ***</w:t>
            </w:r>
          </w:p>
        </w:tc>
        <w:tc>
          <w:tcPr>
            <w:tcW w:w="1148" w:type="dxa"/>
            <w:tcBorders>
              <w:top w:val="nil"/>
              <w:left w:val="nil"/>
              <w:bottom w:val="nil"/>
              <w:right w:val="nil"/>
            </w:tcBorders>
            <w:shd w:val="clear" w:color="auto" w:fill="auto"/>
            <w:noWrap/>
            <w:vAlign w:val="center"/>
            <w:hideMark/>
          </w:tcPr>
          <w:p w14:paraId="4F495F96" w14:textId="77777777" w:rsidR="00E23160" w:rsidRPr="00092B22" w:rsidRDefault="00E23160" w:rsidP="00E607DA">
            <w:pPr>
              <w:rPr>
                <w:rFonts w:ascii="Meta Pro" w:eastAsia="Times New Roman" w:hAnsi="Meta Pro"/>
                <w:b/>
                <w:bCs/>
                <w:szCs w:val="18"/>
                <w:lang w:eastAsia="en-AU"/>
              </w:rPr>
            </w:pPr>
          </w:p>
        </w:tc>
        <w:tc>
          <w:tcPr>
            <w:tcW w:w="258" w:type="dxa"/>
            <w:tcBorders>
              <w:top w:val="nil"/>
              <w:left w:val="nil"/>
              <w:bottom w:val="nil"/>
              <w:right w:val="nil"/>
            </w:tcBorders>
            <w:shd w:val="clear" w:color="auto" w:fill="auto"/>
            <w:noWrap/>
            <w:vAlign w:val="center"/>
            <w:hideMark/>
          </w:tcPr>
          <w:p w14:paraId="4CE4E87D" w14:textId="77777777" w:rsidR="00E23160" w:rsidRPr="00092B22" w:rsidRDefault="00E23160" w:rsidP="00E607DA">
            <w:pPr>
              <w:rPr>
                <w:rFonts w:ascii="Meta Pro" w:eastAsia="Times New Roman" w:hAnsi="Meta Pro" w:cs="Times New Roman"/>
                <w:sz w:val="20"/>
                <w:szCs w:val="20"/>
                <w:lang w:eastAsia="en-AU"/>
              </w:rPr>
            </w:pPr>
          </w:p>
        </w:tc>
        <w:tc>
          <w:tcPr>
            <w:tcW w:w="1148" w:type="dxa"/>
            <w:tcBorders>
              <w:top w:val="nil"/>
              <w:left w:val="nil"/>
              <w:bottom w:val="nil"/>
              <w:right w:val="nil"/>
            </w:tcBorders>
            <w:shd w:val="clear" w:color="auto" w:fill="auto"/>
            <w:noWrap/>
            <w:vAlign w:val="center"/>
            <w:hideMark/>
          </w:tcPr>
          <w:p w14:paraId="04B7EBF0" w14:textId="77777777" w:rsidR="00E23160" w:rsidRPr="00092B22" w:rsidRDefault="00E23160" w:rsidP="00E607DA">
            <w:pPr>
              <w:rPr>
                <w:rFonts w:ascii="Meta Pro" w:eastAsia="Times New Roman" w:hAnsi="Meta Pro" w:cs="Times New Roman"/>
                <w:sz w:val="20"/>
                <w:szCs w:val="20"/>
                <w:lang w:eastAsia="en-AU"/>
              </w:rPr>
            </w:pPr>
          </w:p>
        </w:tc>
      </w:tr>
      <w:tr w:rsidR="00E23160" w:rsidRPr="00092B22" w14:paraId="33B1A1A4" w14:textId="77777777" w:rsidTr="00E607DA">
        <w:trPr>
          <w:trHeight w:val="90"/>
        </w:trPr>
        <w:tc>
          <w:tcPr>
            <w:tcW w:w="7084" w:type="dxa"/>
            <w:tcBorders>
              <w:top w:val="nil"/>
              <w:left w:val="nil"/>
              <w:bottom w:val="nil"/>
              <w:right w:val="nil"/>
            </w:tcBorders>
            <w:shd w:val="clear" w:color="auto" w:fill="auto"/>
            <w:noWrap/>
            <w:vAlign w:val="center"/>
            <w:hideMark/>
          </w:tcPr>
          <w:p w14:paraId="093296B3" w14:textId="77777777" w:rsidR="00E23160" w:rsidRPr="00092B22" w:rsidRDefault="00E23160" w:rsidP="00E607DA">
            <w:pPr>
              <w:rPr>
                <w:rFonts w:ascii="Meta Pro" w:eastAsia="Times New Roman" w:hAnsi="Meta Pro" w:cs="Times New Roman"/>
                <w:sz w:val="20"/>
                <w:szCs w:val="20"/>
                <w:lang w:eastAsia="en-AU"/>
              </w:rPr>
            </w:pPr>
          </w:p>
        </w:tc>
        <w:tc>
          <w:tcPr>
            <w:tcW w:w="1148" w:type="dxa"/>
            <w:tcBorders>
              <w:top w:val="nil"/>
              <w:left w:val="nil"/>
              <w:bottom w:val="nil"/>
              <w:right w:val="nil"/>
            </w:tcBorders>
            <w:shd w:val="clear" w:color="auto" w:fill="auto"/>
            <w:noWrap/>
            <w:vAlign w:val="center"/>
            <w:hideMark/>
          </w:tcPr>
          <w:p w14:paraId="74CBF597" w14:textId="77777777" w:rsidR="00E23160" w:rsidRPr="00092B22" w:rsidRDefault="00E23160" w:rsidP="00E607DA">
            <w:pPr>
              <w:rPr>
                <w:rFonts w:ascii="Meta Pro" w:eastAsia="Times New Roman" w:hAnsi="Meta Pro" w:cs="Times New Roman"/>
                <w:sz w:val="20"/>
                <w:szCs w:val="20"/>
                <w:lang w:eastAsia="en-AU"/>
              </w:rPr>
            </w:pPr>
          </w:p>
        </w:tc>
        <w:tc>
          <w:tcPr>
            <w:tcW w:w="258" w:type="dxa"/>
            <w:tcBorders>
              <w:top w:val="nil"/>
              <w:left w:val="nil"/>
              <w:bottom w:val="nil"/>
              <w:right w:val="nil"/>
            </w:tcBorders>
            <w:shd w:val="clear" w:color="auto" w:fill="auto"/>
            <w:noWrap/>
            <w:vAlign w:val="center"/>
            <w:hideMark/>
          </w:tcPr>
          <w:p w14:paraId="4F999445" w14:textId="77777777" w:rsidR="00E23160" w:rsidRPr="00092B22" w:rsidRDefault="00E23160" w:rsidP="00E607DA">
            <w:pPr>
              <w:rPr>
                <w:rFonts w:ascii="Meta Pro" w:eastAsia="Times New Roman" w:hAnsi="Meta Pro" w:cs="Times New Roman"/>
                <w:sz w:val="20"/>
                <w:szCs w:val="20"/>
                <w:lang w:eastAsia="en-AU"/>
              </w:rPr>
            </w:pPr>
          </w:p>
        </w:tc>
        <w:tc>
          <w:tcPr>
            <w:tcW w:w="1148" w:type="dxa"/>
            <w:tcBorders>
              <w:top w:val="nil"/>
              <w:left w:val="nil"/>
              <w:bottom w:val="nil"/>
              <w:right w:val="nil"/>
            </w:tcBorders>
            <w:shd w:val="clear" w:color="auto" w:fill="auto"/>
            <w:noWrap/>
            <w:vAlign w:val="center"/>
            <w:hideMark/>
          </w:tcPr>
          <w:p w14:paraId="51DA02FE" w14:textId="77777777" w:rsidR="00E23160" w:rsidRPr="00092B22" w:rsidRDefault="00E23160" w:rsidP="00E607DA">
            <w:pPr>
              <w:rPr>
                <w:rFonts w:ascii="Meta Pro" w:eastAsia="Times New Roman" w:hAnsi="Meta Pro" w:cs="Times New Roman"/>
                <w:sz w:val="20"/>
                <w:szCs w:val="20"/>
                <w:lang w:eastAsia="en-AU"/>
              </w:rPr>
            </w:pPr>
          </w:p>
        </w:tc>
      </w:tr>
      <w:tr w:rsidR="00E23160" w:rsidRPr="00092B22" w14:paraId="40DD8FF1" w14:textId="77777777" w:rsidTr="00E607DA">
        <w:trPr>
          <w:trHeight w:val="240"/>
        </w:trPr>
        <w:tc>
          <w:tcPr>
            <w:tcW w:w="7084" w:type="dxa"/>
            <w:tcBorders>
              <w:top w:val="nil"/>
              <w:left w:val="nil"/>
              <w:bottom w:val="nil"/>
              <w:right w:val="nil"/>
            </w:tcBorders>
            <w:shd w:val="clear" w:color="auto" w:fill="auto"/>
            <w:noWrap/>
            <w:vAlign w:val="center"/>
            <w:hideMark/>
          </w:tcPr>
          <w:p w14:paraId="4092E27A" w14:textId="77777777" w:rsidR="00E23160" w:rsidRPr="00092B22" w:rsidRDefault="00E23160" w:rsidP="00E607DA">
            <w:pPr>
              <w:rPr>
                <w:rFonts w:ascii="Meta Pro" w:eastAsia="Times New Roman" w:hAnsi="Meta Pro"/>
                <w:szCs w:val="18"/>
                <w:lang w:eastAsia="en-AU"/>
              </w:rPr>
            </w:pPr>
            <w:r w:rsidRPr="00092B22">
              <w:rPr>
                <w:rFonts w:ascii="Meta Pro" w:eastAsia="Times New Roman" w:hAnsi="Meta Pro"/>
                <w:szCs w:val="18"/>
                <w:lang w:eastAsia="en-AU"/>
              </w:rPr>
              <w:t>Not later than one year</w:t>
            </w:r>
          </w:p>
        </w:tc>
        <w:tc>
          <w:tcPr>
            <w:tcW w:w="1148" w:type="dxa"/>
            <w:tcBorders>
              <w:top w:val="nil"/>
              <w:left w:val="nil"/>
              <w:bottom w:val="nil"/>
              <w:right w:val="nil"/>
            </w:tcBorders>
            <w:shd w:val="clear" w:color="000000" w:fill="C9E3B4"/>
            <w:noWrap/>
            <w:vAlign w:val="center"/>
            <w:hideMark/>
          </w:tcPr>
          <w:p w14:paraId="5E072A40" w14:textId="77777777" w:rsidR="00E23160" w:rsidRPr="00092B22" w:rsidRDefault="00E23160"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4,135,391 </w:t>
            </w:r>
          </w:p>
        </w:tc>
        <w:tc>
          <w:tcPr>
            <w:tcW w:w="258" w:type="dxa"/>
            <w:tcBorders>
              <w:top w:val="nil"/>
              <w:left w:val="nil"/>
              <w:bottom w:val="nil"/>
              <w:right w:val="nil"/>
            </w:tcBorders>
            <w:shd w:val="clear" w:color="auto" w:fill="auto"/>
            <w:noWrap/>
            <w:vAlign w:val="center"/>
            <w:hideMark/>
          </w:tcPr>
          <w:p w14:paraId="53ECC179" w14:textId="77777777" w:rsidR="00E23160" w:rsidRPr="00092B22" w:rsidRDefault="00E23160" w:rsidP="00E607DA">
            <w:pPr>
              <w:jc w:val="right"/>
              <w:rPr>
                <w:rFonts w:ascii="Meta Pro" w:eastAsia="Times New Roman" w:hAnsi="Meta Pro"/>
                <w:szCs w:val="18"/>
                <w:lang w:eastAsia="en-AU"/>
              </w:rPr>
            </w:pPr>
          </w:p>
        </w:tc>
        <w:tc>
          <w:tcPr>
            <w:tcW w:w="1148" w:type="dxa"/>
            <w:tcBorders>
              <w:top w:val="nil"/>
              <w:left w:val="nil"/>
              <w:bottom w:val="nil"/>
              <w:right w:val="nil"/>
            </w:tcBorders>
            <w:shd w:val="clear" w:color="auto" w:fill="auto"/>
            <w:noWrap/>
            <w:vAlign w:val="center"/>
            <w:hideMark/>
          </w:tcPr>
          <w:p w14:paraId="3CC73232" w14:textId="77777777" w:rsidR="00E23160" w:rsidRPr="00092B22" w:rsidRDefault="00E23160"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3,840,719 </w:t>
            </w:r>
          </w:p>
        </w:tc>
      </w:tr>
      <w:tr w:rsidR="00E23160" w:rsidRPr="00092B22" w14:paraId="4DE66845" w14:textId="77777777" w:rsidTr="00E607DA">
        <w:trPr>
          <w:trHeight w:val="240"/>
        </w:trPr>
        <w:tc>
          <w:tcPr>
            <w:tcW w:w="7084" w:type="dxa"/>
            <w:tcBorders>
              <w:top w:val="nil"/>
              <w:left w:val="nil"/>
              <w:bottom w:val="nil"/>
              <w:right w:val="nil"/>
            </w:tcBorders>
            <w:shd w:val="clear" w:color="auto" w:fill="auto"/>
            <w:noWrap/>
            <w:vAlign w:val="center"/>
            <w:hideMark/>
          </w:tcPr>
          <w:p w14:paraId="0EE7D9FC" w14:textId="77777777" w:rsidR="00E23160" w:rsidRPr="00092B22" w:rsidRDefault="00E23160" w:rsidP="00E607DA">
            <w:pPr>
              <w:rPr>
                <w:rFonts w:ascii="Meta Pro" w:eastAsia="Times New Roman" w:hAnsi="Meta Pro"/>
                <w:szCs w:val="18"/>
                <w:lang w:eastAsia="en-AU"/>
              </w:rPr>
            </w:pPr>
            <w:r w:rsidRPr="00092B22">
              <w:rPr>
                <w:rFonts w:ascii="Meta Pro" w:eastAsia="Times New Roman" w:hAnsi="Meta Pro"/>
                <w:szCs w:val="18"/>
                <w:lang w:eastAsia="en-AU"/>
              </w:rPr>
              <w:t>Later than one year and not later than five years</w:t>
            </w:r>
          </w:p>
        </w:tc>
        <w:tc>
          <w:tcPr>
            <w:tcW w:w="1148" w:type="dxa"/>
            <w:tcBorders>
              <w:top w:val="nil"/>
              <w:left w:val="nil"/>
              <w:bottom w:val="nil"/>
              <w:right w:val="nil"/>
            </w:tcBorders>
            <w:shd w:val="clear" w:color="000000" w:fill="C9E3B4"/>
            <w:noWrap/>
            <w:vAlign w:val="center"/>
            <w:hideMark/>
          </w:tcPr>
          <w:p w14:paraId="6FA24C52" w14:textId="77777777" w:rsidR="00E23160" w:rsidRPr="00092B22" w:rsidRDefault="00E23160"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9,488,934 </w:t>
            </w:r>
          </w:p>
        </w:tc>
        <w:tc>
          <w:tcPr>
            <w:tcW w:w="258" w:type="dxa"/>
            <w:tcBorders>
              <w:top w:val="nil"/>
              <w:left w:val="nil"/>
              <w:bottom w:val="nil"/>
              <w:right w:val="nil"/>
            </w:tcBorders>
            <w:shd w:val="clear" w:color="auto" w:fill="auto"/>
            <w:noWrap/>
            <w:vAlign w:val="center"/>
            <w:hideMark/>
          </w:tcPr>
          <w:p w14:paraId="4056D356" w14:textId="77777777" w:rsidR="00E23160" w:rsidRPr="00092B22" w:rsidRDefault="00E23160" w:rsidP="00E607DA">
            <w:pPr>
              <w:jc w:val="right"/>
              <w:rPr>
                <w:rFonts w:ascii="Meta Pro" w:eastAsia="Times New Roman" w:hAnsi="Meta Pro"/>
                <w:szCs w:val="18"/>
                <w:lang w:eastAsia="en-AU"/>
              </w:rPr>
            </w:pPr>
          </w:p>
        </w:tc>
        <w:tc>
          <w:tcPr>
            <w:tcW w:w="1148" w:type="dxa"/>
            <w:tcBorders>
              <w:top w:val="nil"/>
              <w:left w:val="nil"/>
              <w:bottom w:val="nil"/>
              <w:right w:val="nil"/>
            </w:tcBorders>
            <w:shd w:val="clear" w:color="auto" w:fill="auto"/>
            <w:noWrap/>
            <w:vAlign w:val="center"/>
            <w:hideMark/>
          </w:tcPr>
          <w:p w14:paraId="5DF6534C" w14:textId="77777777" w:rsidR="00E23160" w:rsidRPr="00092B22" w:rsidRDefault="00E23160"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2,196,961 </w:t>
            </w:r>
          </w:p>
        </w:tc>
      </w:tr>
      <w:tr w:rsidR="00E23160" w:rsidRPr="00092B22" w14:paraId="12F4BBB3" w14:textId="77777777" w:rsidTr="00E607DA">
        <w:trPr>
          <w:trHeight w:val="240"/>
        </w:trPr>
        <w:tc>
          <w:tcPr>
            <w:tcW w:w="7084" w:type="dxa"/>
            <w:tcBorders>
              <w:top w:val="nil"/>
              <w:left w:val="nil"/>
              <w:bottom w:val="nil"/>
              <w:right w:val="nil"/>
            </w:tcBorders>
            <w:shd w:val="clear" w:color="auto" w:fill="auto"/>
            <w:noWrap/>
            <w:vAlign w:val="center"/>
            <w:hideMark/>
          </w:tcPr>
          <w:p w14:paraId="1B3AFADB" w14:textId="77777777" w:rsidR="00E23160" w:rsidRPr="00092B22" w:rsidRDefault="00E23160" w:rsidP="00E607DA">
            <w:pPr>
              <w:rPr>
                <w:rFonts w:ascii="Meta Pro" w:eastAsia="Times New Roman" w:hAnsi="Meta Pro"/>
                <w:szCs w:val="18"/>
                <w:lang w:eastAsia="en-AU"/>
              </w:rPr>
            </w:pPr>
            <w:r w:rsidRPr="00092B22">
              <w:rPr>
                <w:rFonts w:ascii="Meta Pro" w:eastAsia="Times New Roman" w:hAnsi="Meta Pro"/>
                <w:szCs w:val="18"/>
                <w:lang w:eastAsia="en-AU"/>
              </w:rPr>
              <w:t>Later than five years</w:t>
            </w:r>
          </w:p>
        </w:tc>
        <w:tc>
          <w:tcPr>
            <w:tcW w:w="1148" w:type="dxa"/>
            <w:tcBorders>
              <w:top w:val="nil"/>
              <w:left w:val="nil"/>
              <w:bottom w:val="nil"/>
              <w:right w:val="nil"/>
            </w:tcBorders>
            <w:shd w:val="clear" w:color="000000" w:fill="C9E3B4"/>
            <w:noWrap/>
            <w:vAlign w:val="center"/>
            <w:hideMark/>
          </w:tcPr>
          <w:p w14:paraId="40B66A97" w14:textId="77777777" w:rsidR="00E23160" w:rsidRPr="00092B22" w:rsidRDefault="00E23160"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3,485,431 </w:t>
            </w:r>
          </w:p>
        </w:tc>
        <w:tc>
          <w:tcPr>
            <w:tcW w:w="258" w:type="dxa"/>
            <w:tcBorders>
              <w:top w:val="nil"/>
              <w:left w:val="nil"/>
              <w:bottom w:val="nil"/>
              <w:right w:val="nil"/>
            </w:tcBorders>
            <w:shd w:val="clear" w:color="auto" w:fill="auto"/>
            <w:noWrap/>
            <w:vAlign w:val="center"/>
            <w:hideMark/>
          </w:tcPr>
          <w:p w14:paraId="31240430" w14:textId="77777777" w:rsidR="00E23160" w:rsidRPr="00092B22" w:rsidRDefault="00E23160" w:rsidP="00E607DA">
            <w:pPr>
              <w:jc w:val="right"/>
              <w:rPr>
                <w:rFonts w:ascii="Meta Pro" w:eastAsia="Times New Roman" w:hAnsi="Meta Pro"/>
                <w:szCs w:val="18"/>
                <w:lang w:eastAsia="en-AU"/>
              </w:rPr>
            </w:pPr>
          </w:p>
        </w:tc>
        <w:tc>
          <w:tcPr>
            <w:tcW w:w="1148" w:type="dxa"/>
            <w:tcBorders>
              <w:top w:val="nil"/>
              <w:left w:val="nil"/>
              <w:bottom w:val="nil"/>
              <w:right w:val="nil"/>
            </w:tcBorders>
            <w:shd w:val="clear" w:color="auto" w:fill="auto"/>
            <w:noWrap/>
            <w:vAlign w:val="center"/>
            <w:hideMark/>
          </w:tcPr>
          <w:p w14:paraId="4DC17D67" w14:textId="77777777" w:rsidR="00E23160" w:rsidRPr="00092B22" w:rsidRDefault="00E23160"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3,076,671 </w:t>
            </w:r>
          </w:p>
        </w:tc>
      </w:tr>
      <w:tr w:rsidR="00E23160" w:rsidRPr="00092B22" w14:paraId="2A042210" w14:textId="77777777" w:rsidTr="00E607DA">
        <w:trPr>
          <w:trHeight w:val="240"/>
        </w:trPr>
        <w:tc>
          <w:tcPr>
            <w:tcW w:w="7084" w:type="dxa"/>
            <w:tcBorders>
              <w:top w:val="single" w:sz="4" w:space="0" w:color="auto"/>
              <w:left w:val="nil"/>
              <w:bottom w:val="double" w:sz="6" w:space="0" w:color="auto"/>
              <w:right w:val="nil"/>
            </w:tcBorders>
            <w:shd w:val="clear" w:color="auto" w:fill="auto"/>
            <w:noWrap/>
            <w:vAlign w:val="center"/>
            <w:hideMark/>
          </w:tcPr>
          <w:p w14:paraId="51D18F5A" w14:textId="77777777" w:rsidR="00E23160" w:rsidRPr="00092B22" w:rsidRDefault="00E23160" w:rsidP="00E607DA">
            <w:pPr>
              <w:rPr>
                <w:rFonts w:ascii="Meta Pro" w:eastAsia="Times New Roman" w:hAnsi="Meta Pro"/>
                <w:b/>
                <w:bCs/>
                <w:szCs w:val="18"/>
                <w:lang w:eastAsia="en-AU"/>
              </w:rPr>
            </w:pPr>
            <w:r w:rsidRPr="00092B22">
              <w:rPr>
                <w:rFonts w:ascii="Meta Pro" w:eastAsia="Times New Roman" w:hAnsi="Meta Pro"/>
                <w:b/>
                <w:bCs/>
                <w:szCs w:val="18"/>
                <w:lang w:eastAsia="en-AU"/>
              </w:rPr>
              <w:t>Total</w:t>
            </w:r>
          </w:p>
        </w:tc>
        <w:tc>
          <w:tcPr>
            <w:tcW w:w="1148" w:type="dxa"/>
            <w:tcBorders>
              <w:top w:val="single" w:sz="4" w:space="0" w:color="auto"/>
              <w:left w:val="nil"/>
              <w:bottom w:val="double" w:sz="6" w:space="0" w:color="auto"/>
              <w:right w:val="nil"/>
            </w:tcBorders>
            <w:shd w:val="clear" w:color="000000" w:fill="C9E3B4"/>
            <w:noWrap/>
            <w:vAlign w:val="center"/>
            <w:hideMark/>
          </w:tcPr>
          <w:p w14:paraId="6F755AEA" w14:textId="77777777" w:rsidR="00E23160" w:rsidRPr="00092B22" w:rsidRDefault="00E23160"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17,109,756 </w:t>
            </w:r>
          </w:p>
        </w:tc>
        <w:tc>
          <w:tcPr>
            <w:tcW w:w="258" w:type="dxa"/>
            <w:tcBorders>
              <w:top w:val="single" w:sz="4" w:space="0" w:color="auto"/>
              <w:left w:val="nil"/>
              <w:bottom w:val="double" w:sz="6" w:space="0" w:color="auto"/>
              <w:right w:val="nil"/>
            </w:tcBorders>
            <w:shd w:val="clear" w:color="auto" w:fill="auto"/>
            <w:noWrap/>
            <w:vAlign w:val="center"/>
            <w:hideMark/>
          </w:tcPr>
          <w:p w14:paraId="042DC071" w14:textId="77777777" w:rsidR="00E23160" w:rsidRPr="00092B22" w:rsidRDefault="00E23160" w:rsidP="00E607DA">
            <w:pPr>
              <w:jc w:val="right"/>
              <w:rPr>
                <w:rFonts w:ascii="Meta Pro" w:eastAsia="Times New Roman" w:hAnsi="Meta Pro"/>
                <w:szCs w:val="18"/>
                <w:lang w:eastAsia="en-AU"/>
              </w:rPr>
            </w:pPr>
            <w:r w:rsidRPr="00092B22">
              <w:rPr>
                <w:rFonts w:ascii="Meta Pro" w:eastAsia="Times New Roman" w:hAnsi="Meta Pro"/>
                <w:szCs w:val="18"/>
                <w:lang w:eastAsia="en-AU"/>
              </w:rPr>
              <w:t> </w:t>
            </w:r>
          </w:p>
        </w:tc>
        <w:tc>
          <w:tcPr>
            <w:tcW w:w="1148" w:type="dxa"/>
            <w:tcBorders>
              <w:top w:val="single" w:sz="4" w:space="0" w:color="auto"/>
              <w:left w:val="nil"/>
              <w:bottom w:val="double" w:sz="6" w:space="0" w:color="auto"/>
              <w:right w:val="nil"/>
            </w:tcBorders>
            <w:shd w:val="clear" w:color="auto" w:fill="auto"/>
            <w:noWrap/>
            <w:vAlign w:val="center"/>
            <w:hideMark/>
          </w:tcPr>
          <w:p w14:paraId="6A3C6539" w14:textId="77777777" w:rsidR="00E23160" w:rsidRPr="00092B22" w:rsidRDefault="00E23160"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9,114,351 </w:t>
            </w:r>
          </w:p>
        </w:tc>
      </w:tr>
    </w:tbl>
    <w:p w14:paraId="7B9B77EE" w14:textId="77777777" w:rsidR="00E23160" w:rsidRPr="00092B22" w:rsidRDefault="00E23160" w:rsidP="00E23160">
      <w:pPr>
        <w:spacing w:before="120" w:line="259" w:lineRule="auto"/>
        <w:rPr>
          <w:rFonts w:ascii="Meta Pro" w:eastAsia="Times New Roman" w:hAnsi="Meta Pro"/>
          <w:color w:val="000000"/>
          <w:sz w:val="16"/>
          <w:szCs w:val="16"/>
          <w:lang w:eastAsia="en-AU"/>
        </w:rPr>
      </w:pPr>
      <w:r w:rsidRPr="00092B22">
        <w:rPr>
          <w:rFonts w:ascii="Meta Pro" w:eastAsia="Times New Roman" w:hAnsi="Meta Pro"/>
          <w:color w:val="000000"/>
          <w:sz w:val="16"/>
          <w:szCs w:val="16"/>
          <w:lang w:eastAsia="en-AU"/>
        </w:rPr>
        <w:t>* Increase relates</w:t>
      </w:r>
      <w:r>
        <w:rPr>
          <w:rFonts w:ascii="Meta Pro" w:eastAsia="Times New Roman" w:hAnsi="Meta Pro"/>
          <w:color w:val="000000"/>
          <w:sz w:val="16"/>
          <w:szCs w:val="16"/>
          <w:lang w:eastAsia="en-AU"/>
        </w:rPr>
        <w:t xml:space="preserve"> mainly</w:t>
      </w:r>
      <w:r w:rsidRPr="00092B22">
        <w:rPr>
          <w:rFonts w:ascii="Meta Pro" w:eastAsia="Times New Roman" w:hAnsi="Meta Pro"/>
          <w:color w:val="000000"/>
          <w:sz w:val="16"/>
          <w:szCs w:val="16"/>
          <w:lang w:eastAsia="en-AU"/>
        </w:rPr>
        <w:t xml:space="preserve"> to upgrade programs on various sections of the Bruce Highway and Pacific Motorway.</w:t>
      </w:r>
    </w:p>
    <w:p w14:paraId="1654E78A" w14:textId="77777777" w:rsidR="00E23160" w:rsidRPr="00092B22" w:rsidRDefault="00E23160" w:rsidP="00E23160">
      <w:pPr>
        <w:spacing w:before="120" w:line="259" w:lineRule="auto"/>
        <w:rPr>
          <w:rFonts w:ascii="Meta Pro" w:eastAsia="Times New Roman" w:hAnsi="Meta Pro"/>
          <w:color w:val="000000"/>
          <w:sz w:val="16"/>
          <w:szCs w:val="16"/>
          <w:lang w:eastAsia="en-AU"/>
        </w:rPr>
      </w:pPr>
      <w:r w:rsidRPr="00092B22">
        <w:rPr>
          <w:rFonts w:ascii="Meta Pro" w:eastAsia="Times New Roman" w:hAnsi="Meta Pro"/>
          <w:color w:val="000000"/>
          <w:sz w:val="16"/>
          <w:szCs w:val="16"/>
          <w:lang w:eastAsia="en-AU"/>
        </w:rPr>
        <w:t>** Increase mainly due to $200.0m for the Brisbane Metro project.</w:t>
      </w:r>
    </w:p>
    <w:p w14:paraId="52435932" w14:textId="77777777" w:rsidR="00E23160" w:rsidRPr="00092B22" w:rsidRDefault="00E23160" w:rsidP="00E23160">
      <w:pPr>
        <w:spacing w:before="120" w:line="259" w:lineRule="auto"/>
        <w:rPr>
          <w:rFonts w:ascii="Meta Pro" w:eastAsia="Times New Roman" w:hAnsi="Meta Pro"/>
          <w:color w:val="000000"/>
          <w:sz w:val="16"/>
          <w:szCs w:val="16"/>
          <w:lang w:eastAsia="en-AU"/>
        </w:rPr>
      </w:pPr>
      <w:r w:rsidRPr="009536B6">
        <w:rPr>
          <w:rFonts w:ascii="Meta Pro" w:eastAsia="Times New Roman" w:hAnsi="Meta Pro"/>
          <w:color w:val="000000"/>
          <w:sz w:val="16"/>
          <w:szCs w:val="16"/>
          <w:lang w:eastAsia="en-AU"/>
        </w:rPr>
        <w:t xml:space="preserve">*** </w:t>
      </w:r>
      <w:r>
        <w:rPr>
          <w:rFonts w:ascii="Meta Pro" w:eastAsia="Times New Roman" w:hAnsi="Meta Pro"/>
          <w:color w:val="000000"/>
          <w:sz w:val="16"/>
          <w:szCs w:val="16"/>
          <w:lang w:eastAsia="en-AU"/>
        </w:rPr>
        <w:t>I</w:t>
      </w:r>
      <w:r w:rsidRPr="009536B6">
        <w:rPr>
          <w:rFonts w:ascii="Meta Pro" w:eastAsia="Times New Roman" w:hAnsi="Meta Pro"/>
          <w:color w:val="000000"/>
          <w:sz w:val="16"/>
          <w:szCs w:val="16"/>
          <w:lang w:eastAsia="en-AU"/>
        </w:rPr>
        <w:t>ncrease in 2022 relates</w:t>
      </w:r>
      <w:r>
        <w:rPr>
          <w:rFonts w:ascii="Meta Pro" w:eastAsia="Times New Roman" w:hAnsi="Meta Pro"/>
          <w:color w:val="000000"/>
          <w:sz w:val="16"/>
          <w:szCs w:val="16"/>
          <w:lang w:eastAsia="en-AU"/>
        </w:rPr>
        <w:t xml:space="preserve"> mainly</w:t>
      </w:r>
      <w:r w:rsidRPr="009536B6">
        <w:rPr>
          <w:rFonts w:ascii="Meta Pro" w:eastAsia="Times New Roman" w:hAnsi="Meta Pro"/>
          <w:color w:val="000000"/>
          <w:sz w:val="16"/>
          <w:szCs w:val="16"/>
          <w:lang w:eastAsia="en-AU"/>
        </w:rPr>
        <w:t xml:space="preserve"> to the renewal of the transport service contract with Queensland Rail for </w:t>
      </w:r>
      <w:r>
        <w:rPr>
          <w:rFonts w:ascii="Meta Pro" w:eastAsia="Times New Roman" w:hAnsi="Meta Pro"/>
          <w:color w:val="000000"/>
          <w:sz w:val="16"/>
          <w:szCs w:val="16"/>
          <w:lang w:eastAsia="en-AU"/>
        </w:rPr>
        <w:t>the provision of rail services</w:t>
      </w:r>
      <w:r w:rsidRPr="009536B6">
        <w:rPr>
          <w:rFonts w:ascii="Meta Pro" w:eastAsia="Times New Roman" w:hAnsi="Meta Pro"/>
          <w:color w:val="000000"/>
          <w:sz w:val="16"/>
          <w:szCs w:val="16"/>
          <w:lang w:eastAsia="en-AU"/>
        </w:rPr>
        <w:t>.</w:t>
      </w:r>
    </w:p>
    <w:p w14:paraId="24003CCA" w14:textId="77777777" w:rsidR="00E23160" w:rsidRPr="00092B22" w:rsidRDefault="00E23160" w:rsidP="00E23160">
      <w:pPr>
        <w:spacing w:line="259" w:lineRule="auto"/>
        <w:rPr>
          <w:rFonts w:ascii="Meta Pro" w:eastAsia="Times New Roman" w:hAnsi="Meta Pro"/>
          <w:b/>
          <w:bCs/>
          <w:color w:val="000000"/>
          <w:lang w:eastAsia="en-AU"/>
        </w:rPr>
      </w:pPr>
      <w:r w:rsidRPr="00092B22">
        <w:rPr>
          <w:rFonts w:ascii="Meta Pro" w:eastAsia="Times New Roman" w:hAnsi="Meta Pro"/>
          <w:b/>
          <w:bCs/>
          <w:color w:val="000000"/>
          <w:lang w:eastAsia="en-AU"/>
        </w:rPr>
        <w:t>24     CONTINGENCIES</w:t>
      </w:r>
    </w:p>
    <w:p w14:paraId="3828D3EC" w14:textId="77777777" w:rsidR="00E23160" w:rsidRPr="00092B22" w:rsidRDefault="00E23160" w:rsidP="00E23160">
      <w:pPr>
        <w:spacing w:before="120" w:line="259" w:lineRule="auto"/>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Contingent liabilities</w:t>
      </w:r>
    </w:p>
    <w:p w14:paraId="1156C39A" w14:textId="77777777" w:rsidR="00E23160" w:rsidRPr="00092B22" w:rsidRDefault="00E23160" w:rsidP="00E23160">
      <w:pPr>
        <w:spacing w:before="120"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At balance date the department has been named as defendant in </w:t>
      </w:r>
      <w:r>
        <w:rPr>
          <w:rFonts w:ascii="Meta Pro" w:eastAsia="Times New Roman" w:hAnsi="Meta Pro"/>
          <w:color w:val="000000"/>
          <w:szCs w:val="18"/>
          <w:lang w:eastAsia="en-AU"/>
        </w:rPr>
        <w:t>four</w:t>
      </w:r>
      <w:r w:rsidRPr="00092B22">
        <w:rPr>
          <w:rFonts w:ascii="Meta Pro" w:eastAsia="Times New Roman" w:hAnsi="Meta Pro"/>
          <w:color w:val="000000"/>
          <w:szCs w:val="18"/>
          <w:lang w:eastAsia="en-AU"/>
        </w:rPr>
        <w:t xml:space="preserve"> cases and 76 other claims not yet subject to court action. The department's legal advisers and management believe it would be misleading to estimate the final amounts payable for litigation filed in the courts.</w:t>
      </w:r>
    </w:p>
    <w:p w14:paraId="489AADA2" w14:textId="77777777" w:rsidR="00E23160" w:rsidRPr="00092B22" w:rsidRDefault="00E23160" w:rsidP="00E23160">
      <w:pPr>
        <w:spacing w:before="120"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The Queensland Government Insurance Fund limits the department's liability in a majority of these cases to $10,000.</w:t>
      </w:r>
    </w:p>
    <w:p w14:paraId="4D7E4CDF" w14:textId="77777777" w:rsidR="00E23160" w:rsidRPr="00092B22" w:rsidRDefault="00E23160" w:rsidP="00E23160">
      <w:pPr>
        <w:spacing w:line="259" w:lineRule="auto"/>
        <w:rPr>
          <w:rFonts w:ascii="Meta Pro" w:eastAsia="Times New Roman" w:hAnsi="Meta Pro"/>
          <w:b/>
          <w:bCs/>
          <w:color w:val="000000"/>
          <w:lang w:eastAsia="en-AU"/>
        </w:rPr>
      </w:pPr>
      <w:r w:rsidRPr="00092B22">
        <w:rPr>
          <w:rFonts w:ascii="Meta Pro" w:eastAsia="Times New Roman" w:hAnsi="Meta Pro"/>
          <w:b/>
          <w:bCs/>
          <w:color w:val="000000"/>
          <w:lang w:eastAsia="en-AU"/>
        </w:rPr>
        <w:t xml:space="preserve">25     INVESTMENT IN SUBSIDIARY </w:t>
      </w:r>
    </w:p>
    <w:p w14:paraId="0157E0C8" w14:textId="77777777" w:rsidR="00E23160" w:rsidRPr="00092B22" w:rsidRDefault="00E23160" w:rsidP="00E23160">
      <w:pPr>
        <w:spacing w:before="120" w:line="259" w:lineRule="auto"/>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Transmax Pty Ltd</w:t>
      </w:r>
    </w:p>
    <w:p w14:paraId="2356FD00" w14:textId="77777777" w:rsidR="00E23160" w:rsidRPr="00092B22" w:rsidRDefault="00E23160" w:rsidP="00E23160">
      <w:pPr>
        <w:spacing w:before="120"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Transmax Pty Ltd (Transmax) was established to enhance and market the STREAMS traffic management system. STREAMS is a multifunctional intelligent transport system that provides freeway, traffic signal and incident management as well as driver and passenger information capabilities.</w:t>
      </w:r>
    </w:p>
    <w:p w14:paraId="5B34A026" w14:textId="77777777" w:rsidR="00E23160" w:rsidRDefault="00E23160" w:rsidP="00E23160">
      <w:pPr>
        <w:spacing w:before="120" w:line="259" w:lineRule="auto"/>
        <w:rPr>
          <w:rFonts w:ascii="Meta Pro" w:eastAsia="Times New Roman" w:hAnsi="Meta Pro"/>
          <w:i/>
          <w:iCs/>
          <w:color w:val="000000"/>
          <w:szCs w:val="18"/>
          <w:lang w:eastAsia="en-AU"/>
        </w:rPr>
      </w:pPr>
      <w:r w:rsidRPr="00092B22">
        <w:rPr>
          <w:rFonts w:ascii="Meta Pro" w:eastAsia="Times New Roman" w:hAnsi="Meta Pro"/>
          <w:color w:val="000000"/>
          <w:szCs w:val="18"/>
          <w:lang w:eastAsia="en-AU"/>
        </w:rPr>
        <w:t xml:space="preserve">The department exercises control over Transmax through 100 percent ownership of all its issued shares. This investment is recognised at cost and is valued at $5.601m (2021: $5.601m). The amount of the investment and transactions relating to Transmax are not material to these financial statements, and the department has elected not to prepare consolidated financial statements in accordance with AASB 127 </w:t>
      </w:r>
      <w:r w:rsidRPr="00092B22">
        <w:rPr>
          <w:rFonts w:ascii="Meta Pro" w:eastAsia="Times New Roman" w:hAnsi="Meta Pro"/>
          <w:i/>
          <w:iCs/>
          <w:color w:val="000000"/>
          <w:szCs w:val="18"/>
          <w:lang w:eastAsia="en-AU"/>
        </w:rPr>
        <w:t>Separate Financial Statements.</w:t>
      </w:r>
      <w:r>
        <w:rPr>
          <w:rFonts w:ascii="Meta Pro" w:eastAsia="Times New Roman" w:hAnsi="Meta Pro"/>
          <w:i/>
          <w:iCs/>
          <w:color w:val="000000"/>
          <w:szCs w:val="18"/>
          <w:lang w:eastAsia="en-AU"/>
        </w:rPr>
        <w:t xml:space="preserve"> </w:t>
      </w:r>
    </w:p>
    <w:p w14:paraId="0CF0AB29" w14:textId="77777777" w:rsidR="00E23160" w:rsidRPr="00092B22" w:rsidRDefault="00E23160" w:rsidP="00E23160">
      <w:pPr>
        <w:spacing w:before="120"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The department engaged Transmax for the provision of software licencing, technical support and related professional services to the value of $23.240m (2021: $16.700m) GST inclusive during the financial year.</w:t>
      </w:r>
    </w:p>
    <w:p w14:paraId="7D928413" w14:textId="07E2FB7F" w:rsidR="00186196" w:rsidRDefault="00E23160" w:rsidP="00E23160">
      <w:pPr>
        <w:shd w:val="clear" w:color="auto" w:fill="EBEBEB"/>
        <w:rPr>
          <w:rFonts w:ascii="Meta Pro" w:eastAsia="Times New Roman" w:hAnsi="Meta Pro"/>
          <w:szCs w:val="18"/>
          <w:lang w:eastAsia="en-AU"/>
        </w:rPr>
      </w:pPr>
      <w:r w:rsidRPr="00092B22">
        <w:rPr>
          <w:rFonts w:ascii="Meta Pro" w:eastAsia="Times New Roman" w:hAnsi="Meta Pro"/>
          <w:color w:val="000000"/>
          <w:szCs w:val="18"/>
          <w:lang w:eastAsia="en-AU"/>
        </w:rPr>
        <w:t>Transmax prepares separate financial statements which are audited by the Queensland Audit Office and are tabled in parliament in accordance with government policy</w:t>
      </w:r>
      <w:r>
        <w:rPr>
          <w:rFonts w:ascii="Meta Pro" w:eastAsia="Times New Roman" w:hAnsi="Meta Pro"/>
          <w:color w:val="000000"/>
          <w:szCs w:val="18"/>
          <w:lang w:eastAsia="en-AU"/>
        </w:rPr>
        <w:t>.</w:t>
      </w:r>
    </w:p>
    <w:p w14:paraId="30D45753" w14:textId="77777777" w:rsidR="00EF7859" w:rsidRPr="00092B22" w:rsidRDefault="00EF7859" w:rsidP="00EF7859">
      <w:pPr>
        <w:spacing w:line="259" w:lineRule="auto"/>
        <w:rPr>
          <w:rFonts w:ascii="Meta Pro" w:eastAsia="Times New Roman" w:hAnsi="Meta Pro"/>
          <w:color w:val="000000"/>
          <w:szCs w:val="18"/>
          <w:lang w:eastAsia="en-AU"/>
        </w:rPr>
        <w:sectPr w:rsidR="00EF7859" w:rsidRPr="00092B22" w:rsidSect="000D5A37">
          <w:footerReference w:type="default" r:id="rId141"/>
          <w:pgSz w:w="11906" w:h="16838"/>
          <w:pgMar w:top="232" w:right="1134" w:bottom="1134" w:left="1134" w:header="454" w:footer="454" w:gutter="0"/>
          <w:pgNumType w:start="30"/>
          <w:cols w:space="708"/>
          <w:docGrid w:linePitch="360"/>
        </w:sectPr>
      </w:pPr>
    </w:p>
    <w:tbl>
      <w:tblPr>
        <w:tblW w:w="0" w:type="auto"/>
        <w:tblLook w:val="04A0" w:firstRow="1" w:lastRow="0" w:firstColumn="1" w:lastColumn="0" w:noHBand="0" w:noVBand="1"/>
      </w:tblPr>
      <w:tblGrid>
        <w:gridCol w:w="6096"/>
        <w:gridCol w:w="992"/>
        <w:gridCol w:w="1134"/>
        <w:gridCol w:w="327"/>
        <w:gridCol w:w="1089"/>
      </w:tblGrid>
      <w:tr w:rsidR="00EF7859" w:rsidRPr="00092B22" w14:paraId="0A26C2EB" w14:textId="77777777" w:rsidTr="00E607DA">
        <w:trPr>
          <w:trHeight w:val="240"/>
        </w:trPr>
        <w:tc>
          <w:tcPr>
            <w:tcW w:w="6096" w:type="dxa"/>
            <w:tcBorders>
              <w:top w:val="nil"/>
              <w:left w:val="nil"/>
              <w:bottom w:val="nil"/>
              <w:right w:val="nil"/>
            </w:tcBorders>
            <w:shd w:val="clear" w:color="auto" w:fill="auto"/>
            <w:noWrap/>
            <w:vAlign w:val="center"/>
            <w:hideMark/>
          </w:tcPr>
          <w:p w14:paraId="5D26CC6A" w14:textId="77777777" w:rsidR="00EF7859" w:rsidRPr="00092B22" w:rsidRDefault="00EF7859" w:rsidP="00E607DA">
            <w:pPr>
              <w:rPr>
                <w:rFonts w:ascii="Meta Pro" w:eastAsia="Times New Roman" w:hAnsi="Meta Pro" w:cs="Times New Roman"/>
                <w:sz w:val="24"/>
                <w:szCs w:val="24"/>
                <w:lang w:eastAsia="en-AU"/>
              </w:rPr>
            </w:pPr>
          </w:p>
        </w:tc>
        <w:tc>
          <w:tcPr>
            <w:tcW w:w="992" w:type="dxa"/>
            <w:tcBorders>
              <w:top w:val="nil"/>
              <w:left w:val="nil"/>
              <w:bottom w:val="nil"/>
              <w:right w:val="nil"/>
            </w:tcBorders>
            <w:shd w:val="clear" w:color="auto" w:fill="auto"/>
            <w:noWrap/>
            <w:vAlign w:val="center"/>
            <w:hideMark/>
          </w:tcPr>
          <w:p w14:paraId="347CE05D" w14:textId="77777777" w:rsidR="00EF7859" w:rsidRPr="00092B22" w:rsidRDefault="00EF7859" w:rsidP="00E607DA">
            <w:pPr>
              <w:jc w:val="center"/>
              <w:rPr>
                <w:rFonts w:ascii="Meta Pro" w:eastAsia="Times New Roman" w:hAnsi="Meta Pro"/>
                <w:b/>
                <w:bCs/>
                <w:color w:val="000000"/>
                <w:lang w:eastAsia="en-AU"/>
              </w:rPr>
            </w:pPr>
            <w:r w:rsidRPr="00092B22">
              <w:rPr>
                <w:rFonts w:ascii="Meta Pro" w:eastAsia="Times New Roman" w:hAnsi="Meta Pro"/>
                <w:b/>
                <w:bCs/>
                <w:color w:val="000000"/>
                <w:lang w:eastAsia="en-AU"/>
              </w:rPr>
              <w:t>Note</w:t>
            </w:r>
          </w:p>
        </w:tc>
        <w:tc>
          <w:tcPr>
            <w:tcW w:w="1134" w:type="dxa"/>
            <w:tcBorders>
              <w:top w:val="nil"/>
              <w:left w:val="nil"/>
              <w:bottom w:val="nil"/>
              <w:right w:val="nil"/>
            </w:tcBorders>
            <w:shd w:val="clear" w:color="auto" w:fill="auto"/>
            <w:noWrap/>
            <w:vAlign w:val="center"/>
            <w:hideMark/>
          </w:tcPr>
          <w:p w14:paraId="35B8322B" w14:textId="77777777" w:rsidR="00EF7859" w:rsidRPr="00092B22" w:rsidRDefault="00EF7859" w:rsidP="00E607DA">
            <w:pPr>
              <w:jc w:val="center"/>
              <w:rPr>
                <w:rFonts w:ascii="Meta Pro" w:eastAsia="Times New Roman" w:hAnsi="Meta Pro"/>
                <w:b/>
                <w:bCs/>
                <w:color w:val="000000"/>
                <w:lang w:eastAsia="en-AU"/>
              </w:rPr>
            </w:pPr>
            <w:r w:rsidRPr="00092B22">
              <w:rPr>
                <w:rFonts w:ascii="Meta Pro" w:eastAsia="Times New Roman" w:hAnsi="Meta Pro"/>
                <w:b/>
                <w:bCs/>
                <w:color w:val="000000"/>
                <w:lang w:eastAsia="en-AU"/>
              </w:rPr>
              <w:t>2022</w:t>
            </w:r>
          </w:p>
        </w:tc>
        <w:tc>
          <w:tcPr>
            <w:tcW w:w="327" w:type="dxa"/>
            <w:tcBorders>
              <w:top w:val="nil"/>
              <w:left w:val="nil"/>
              <w:bottom w:val="nil"/>
              <w:right w:val="nil"/>
            </w:tcBorders>
            <w:shd w:val="clear" w:color="auto" w:fill="auto"/>
            <w:noWrap/>
            <w:vAlign w:val="center"/>
            <w:hideMark/>
          </w:tcPr>
          <w:p w14:paraId="7669620D" w14:textId="77777777" w:rsidR="00EF7859" w:rsidRPr="00092B22" w:rsidRDefault="00EF7859" w:rsidP="00E607DA">
            <w:pPr>
              <w:jc w:val="center"/>
              <w:rPr>
                <w:rFonts w:ascii="Meta Pro" w:eastAsia="Times New Roman" w:hAnsi="Meta Pro"/>
                <w:b/>
                <w:bCs/>
                <w:color w:val="000000"/>
                <w:lang w:eastAsia="en-AU"/>
              </w:rPr>
            </w:pPr>
          </w:p>
        </w:tc>
        <w:tc>
          <w:tcPr>
            <w:tcW w:w="1089" w:type="dxa"/>
            <w:tcBorders>
              <w:top w:val="nil"/>
              <w:left w:val="nil"/>
              <w:bottom w:val="nil"/>
              <w:right w:val="nil"/>
            </w:tcBorders>
            <w:shd w:val="clear" w:color="auto" w:fill="auto"/>
            <w:noWrap/>
            <w:vAlign w:val="center"/>
            <w:hideMark/>
          </w:tcPr>
          <w:p w14:paraId="43E38309" w14:textId="77777777" w:rsidR="00EF7859" w:rsidRPr="00092B22" w:rsidRDefault="00EF7859" w:rsidP="00E607DA">
            <w:pPr>
              <w:jc w:val="center"/>
              <w:rPr>
                <w:rFonts w:ascii="Meta Pro" w:eastAsia="Times New Roman" w:hAnsi="Meta Pro"/>
                <w:b/>
                <w:bCs/>
                <w:lang w:eastAsia="en-AU"/>
              </w:rPr>
            </w:pPr>
            <w:r w:rsidRPr="00092B22">
              <w:rPr>
                <w:rFonts w:ascii="Meta Pro" w:eastAsia="Times New Roman" w:hAnsi="Meta Pro"/>
                <w:b/>
                <w:bCs/>
                <w:lang w:eastAsia="en-AU"/>
              </w:rPr>
              <w:t>2021</w:t>
            </w:r>
          </w:p>
        </w:tc>
      </w:tr>
      <w:tr w:rsidR="00EF7859" w:rsidRPr="00092B22" w14:paraId="569A5619" w14:textId="77777777" w:rsidTr="00E607DA">
        <w:trPr>
          <w:trHeight w:val="240"/>
        </w:trPr>
        <w:tc>
          <w:tcPr>
            <w:tcW w:w="6096" w:type="dxa"/>
            <w:tcBorders>
              <w:top w:val="nil"/>
              <w:left w:val="nil"/>
              <w:bottom w:val="nil"/>
              <w:right w:val="nil"/>
            </w:tcBorders>
            <w:shd w:val="clear" w:color="auto" w:fill="auto"/>
            <w:noWrap/>
            <w:vAlign w:val="center"/>
            <w:hideMark/>
          </w:tcPr>
          <w:p w14:paraId="0C107243" w14:textId="77777777" w:rsidR="00EF7859" w:rsidRPr="00092B22" w:rsidRDefault="00EF7859" w:rsidP="00E607DA">
            <w:pPr>
              <w:jc w:val="center"/>
              <w:rPr>
                <w:rFonts w:ascii="Meta Pro" w:eastAsia="Times New Roman" w:hAnsi="Meta Pro"/>
                <w:b/>
                <w:bCs/>
                <w:lang w:eastAsia="en-AU"/>
              </w:rPr>
            </w:pPr>
          </w:p>
        </w:tc>
        <w:tc>
          <w:tcPr>
            <w:tcW w:w="992" w:type="dxa"/>
            <w:tcBorders>
              <w:top w:val="nil"/>
              <w:left w:val="nil"/>
              <w:bottom w:val="nil"/>
              <w:right w:val="nil"/>
            </w:tcBorders>
            <w:shd w:val="clear" w:color="auto" w:fill="auto"/>
            <w:noWrap/>
            <w:vAlign w:val="center"/>
            <w:hideMark/>
          </w:tcPr>
          <w:p w14:paraId="6DFC335A" w14:textId="77777777" w:rsidR="00EF7859" w:rsidRPr="00092B22" w:rsidRDefault="00EF7859" w:rsidP="00E607DA">
            <w:pP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7F4AFAAE" w14:textId="77777777" w:rsidR="00EF7859" w:rsidRPr="00092B22" w:rsidRDefault="00EF7859" w:rsidP="00E607DA">
            <w:pPr>
              <w:jc w:val="center"/>
              <w:rPr>
                <w:rFonts w:ascii="Meta Pro" w:eastAsia="Times New Roman" w:hAnsi="Meta Pro"/>
                <w:b/>
                <w:bCs/>
                <w:lang w:eastAsia="en-AU"/>
              </w:rPr>
            </w:pPr>
            <w:r w:rsidRPr="00092B22">
              <w:rPr>
                <w:rFonts w:ascii="Meta Pro" w:eastAsia="Times New Roman" w:hAnsi="Meta Pro"/>
                <w:b/>
                <w:bCs/>
                <w:lang w:eastAsia="en-AU"/>
              </w:rPr>
              <w:t>$'000</w:t>
            </w:r>
          </w:p>
        </w:tc>
        <w:tc>
          <w:tcPr>
            <w:tcW w:w="327" w:type="dxa"/>
            <w:tcBorders>
              <w:top w:val="nil"/>
              <w:left w:val="nil"/>
              <w:bottom w:val="nil"/>
              <w:right w:val="nil"/>
            </w:tcBorders>
            <w:shd w:val="clear" w:color="auto" w:fill="auto"/>
            <w:noWrap/>
            <w:vAlign w:val="center"/>
            <w:hideMark/>
          </w:tcPr>
          <w:p w14:paraId="7A7FD021" w14:textId="77777777" w:rsidR="00EF7859" w:rsidRPr="00092B22" w:rsidRDefault="00EF7859" w:rsidP="00E607DA">
            <w:pPr>
              <w:jc w:val="center"/>
              <w:rPr>
                <w:rFonts w:ascii="Meta Pro" w:eastAsia="Times New Roman" w:hAnsi="Meta Pro"/>
                <w:b/>
                <w:bCs/>
                <w:lang w:eastAsia="en-AU"/>
              </w:rPr>
            </w:pPr>
          </w:p>
        </w:tc>
        <w:tc>
          <w:tcPr>
            <w:tcW w:w="1089" w:type="dxa"/>
            <w:tcBorders>
              <w:top w:val="nil"/>
              <w:left w:val="nil"/>
              <w:bottom w:val="nil"/>
              <w:right w:val="nil"/>
            </w:tcBorders>
            <w:shd w:val="clear" w:color="auto" w:fill="auto"/>
            <w:noWrap/>
            <w:vAlign w:val="center"/>
            <w:hideMark/>
          </w:tcPr>
          <w:p w14:paraId="146089FC" w14:textId="77777777" w:rsidR="00EF7859" w:rsidRPr="00092B22" w:rsidRDefault="00EF7859" w:rsidP="00E607DA">
            <w:pPr>
              <w:jc w:val="center"/>
              <w:rPr>
                <w:rFonts w:ascii="Meta Pro" w:eastAsia="Times New Roman" w:hAnsi="Meta Pro"/>
                <w:b/>
                <w:bCs/>
                <w:lang w:eastAsia="en-AU"/>
              </w:rPr>
            </w:pPr>
            <w:r w:rsidRPr="00092B22">
              <w:rPr>
                <w:rFonts w:ascii="Meta Pro" w:eastAsia="Times New Roman" w:hAnsi="Meta Pro"/>
                <w:b/>
                <w:bCs/>
                <w:lang w:eastAsia="en-AU"/>
              </w:rPr>
              <w:t>$'000</w:t>
            </w:r>
          </w:p>
        </w:tc>
      </w:tr>
    </w:tbl>
    <w:p w14:paraId="79E5D6D8" w14:textId="77777777" w:rsidR="00EF7859" w:rsidRDefault="00EF7859" w:rsidP="00EF7859">
      <w:pPr>
        <w:spacing w:line="259" w:lineRule="auto"/>
        <w:rPr>
          <w:rFonts w:ascii="Meta Pro" w:eastAsia="Times New Roman" w:hAnsi="Meta Pro"/>
          <w:b/>
          <w:bCs/>
          <w:lang w:eastAsia="en-AU"/>
        </w:rPr>
      </w:pPr>
      <w:r w:rsidRPr="00092B22">
        <w:rPr>
          <w:rFonts w:ascii="Meta Pro" w:eastAsia="Times New Roman" w:hAnsi="Meta Pro"/>
          <w:b/>
          <w:bCs/>
          <w:lang w:eastAsia="en-AU"/>
        </w:rPr>
        <w:t>26     FINANCIAL INSTRUMENTS</w:t>
      </w:r>
    </w:p>
    <w:p w14:paraId="01700D8A" w14:textId="77777777" w:rsidR="00EF7859" w:rsidRDefault="00EF7859" w:rsidP="00EF7859">
      <w:pPr>
        <w:rPr>
          <w:rFonts w:ascii="Meta Pro" w:eastAsia="Times New Roman" w:hAnsi="Meta Pro"/>
          <w:color w:val="000000"/>
          <w:szCs w:val="18"/>
          <w:lang w:eastAsia="en-AU"/>
        </w:rPr>
      </w:pPr>
      <w:r w:rsidRPr="0045588B">
        <w:rPr>
          <w:rFonts w:ascii="Meta Pro" w:eastAsia="Times New Roman" w:hAnsi="Meta Pro"/>
          <w:color w:val="000000"/>
          <w:szCs w:val="18"/>
          <w:lang w:eastAsia="en-AU"/>
        </w:rPr>
        <w:t>Financial assets and financial liabilities are recognised in the Statement of financial position when the department becomes party to the contractual provisions of the financial instrument.</w:t>
      </w:r>
    </w:p>
    <w:p w14:paraId="42C41E5B" w14:textId="77777777" w:rsidR="00EF7859" w:rsidRDefault="00EF7859" w:rsidP="00EF7859">
      <w:pPr>
        <w:rPr>
          <w:rFonts w:ascii="Meta Pro" w:eastAsia="Times New Roman" w:hAnsi="Meta Pro"/>
          <w:color w:val="000000"/>
          <w:szCs w:val="18"/>
          <w:lang w:eastAsia="en-AU"/>
        </w:rPr>
      </w:pPr>
    </w:p>
    <w:tbl>
      <w:tblPr>
        <w:tblW w:w="0" w:type="auto"/>
        <w:tblLayout w:type="fixed"/>
        <w:tblCellMar>
          <w:left w:w="0" w:type="dxa"/>
        </w:tblCellMar>
        <w:tblLook w:val="04A0" w:firstRow="1" w:lastRow="0" w:firstColumn="1" w:lastColumn="0" w:noHBand="0" w:noVBand="1"/>
      </w:tblPr>
      <w:tblGrid>
        <w:gridCol w:w="9639"/>
      </w:tblGrid>
      <w:tr w:rsidR="00EF7859" w:rsidRPr="0045588B" w14:paraId="7997575A" w14:textId="77777777" w:rsidTr="00E607DA">
        <w:trPr>
          <w:trHeight w:val="240"/>
        </w:trPr>
        <w:tc>
          <w:tcPr>
            <w:tcW w:w="9639" w:type="dxa"/>
            <w:tcBorders>
              <w:top w:val="nil"/>
              <w:left w:val="nil"/>
              <w:bottom w:val="nil"/>
              <w:right w:val="nil"/>
            </w:tcBorders>
            <w:shd w:val="clear" w:color="auto" w:fill="auto"/>
            <w:noWrap/>
            <w:vAlign w:val="center"/>
            <w:hideMark/>
          </w:tcPr>
          <w:p w14:paraId="78CD5DE0" w14:textId="77777777" w:rsidR="00EF7859" w:rsidRPr="0045588B" w:rsidRDefault="00EF7859" w:rsidP="00E607DA">
            <w:pPr>
              <w:rPr>
                <w:rFonts w:ascii="Meta Pro" w:eastAsia="Times New Roman" w:hAnsi="Meta Pro"/>
                <w:b/>
                <w:bCs/>
                <w:szCs w:val="18"/>
                <w:lang w:eastAsia="en-AU"/>
              </w:rPr>
            </w:pPr>
            <w:r w:rsidRPr="0045588B">
              <w:rPr>
                <w:rFonts w:ascii="Meta Pro" w:eastAsia="Times New Roman" w:hAnsi="Meta Pro"/>
                <w:b/>
                <w:bCs/>
                <w:szCs w:val="18"/>
                <w:lang w:eastAsia="en-AU"/>
              </w:rPr>
              <w:t>CATEGORISATION OF FINANCIAL INSTRUMENTS</w:t>
            </w:r>
          </w:p>
        </w:tc>
      </w:tr>
      <w:tr w:rsidR="00EF7859" w:rsidRPr="0045588B" w14:paraId="7E2225DA" w14:textId="77777777" w:rsidTr="00E607DA">
        <w:trPr>
          <w:trHeight w:val="90"/>
        </w:trPr>
        <w:tc>
          <w:tcPr>
            <w:tcW w:w="9639" w:type="dxa"/>
            <w:tcBorders>
              <w:top w:val="nil"/>
              <w:left w:val="nil"/>
              <w:bottom w:val="nil"/>
              <w:right w:val="nil"/>
            </w:tcBorders>
            <w:shd w:val="clear" w:color="auto" w:fill="auto"/>
            <w:noWrap/>
            <w:vAlign w:val="center"/>
            <w:hideMark/>
          </w:tcPr>
          <w:p w14:paraId="3DFF1700" w14:textId="77777777" w:rsidR="00EF7859" w:rsidRPr="0045588B" w:rsidRDefault="00EF7859" w:rsidP="00E607DA">
            <w:pPr>
              <w:jc w:val="right"/>
              <w:rPr>
                <w:rFonts w:eastAsia="Times New Roman" w:cs="Times New Roman"/>
                <w:sz w:val="20"/>
                <w:szCs w:val="20"/>
                <w:lang w:eastAsia="en-AU"/>
              </w:rPr>
            </w:pPr>
          </w:p>
        </w:tc>
      </w:tr>
      <w:tr w:rsidR="00EF7859" w:rsidRPr="0045588B" w14:paraId="18190AB4" w14:textId="77777777" w:rsidTr="00E607DA">
        <w:trPr>
          <w:trHeight w:val="240"/>
        </w:trPr>
        <w:tc>
          <w:tcPr>
            <w:tcW w:w="9639" w:type="dxa"/>
            <w:tcBorders>
              <w:top w:val="nil"/>
              <w:left w:val="nil"/>
              <w:bottom w:val="nil"/>
              <w:right w:val="nil"/>
            </w:tcBorders>
            <w:shd w:val="clear" w:color="auto" w:fill="auto"/>
            <w:noWrap/>
            <w:vAlign w:val="center"/>
            <w:hideMark/>
          </w:tcPr>
          <w:p w14:paraId="7F1307A4" w14:textId="77777777" w:rsidR="00EF7859" w:rsidRPr="0045588B" w:rsidRDefault="00EF7859" w:rsidP="00E607DA">
            <w:pPr>
              <w:rPr>
                <w:rFonts w:ascii="Meta Pro" w:eastAsia="Times New Roman" w:hAnsi="Meta Pro"/>
                <w:szCs w:val="18"/>
                <w:lang w:eastAsia="en-AU"/>
              </w:rPr>
            </w:pPr>
            <w:r w:rsidRPr="0045588B">
              <w:rPr>
                <w:rFonts w:ascii="Meta Pro" w:eastAsia="Times New Roman" w:hAnsi="Meta Pro"/>
                <w:szCs w:val="18"/>
                <w:lang w:eastAsia="en-AU"/>
              </w:rPr>
              <w:t>The department has the following categories of financial assets and financial</w:t>
            </w:r>
            <w:r>
              <w:rPr>
                <w:rFonts w:ascii="Meta Pro" w:eastAsia="Times New Roman" w:hAnsi="Meta Pro"/>
                <w:szCs w:val="18"/>
                <w:lang w:eastAsia="en-AU"/>
              </w:rPr>
              <w:t xml:space="preserve"> </w:t>
            </w:r>
            <w:r w:rsidRPr="0045588B">
              <w:rPr>
                <w:rFonts w:ascii="Meta Pro" w:eastAsia="Times New Roman" w:hAnsi="Meta Pro"/>
                <w:szCs w:val="18"/>
                <w:lang w:eastAsia="en-AU"/>
              </w:rPr>
              <w:t>liabilities:</w:t>
            </w:r>
          </w:p>
        </w:tc>
      </w:tr>
    </w:tbl>
    <w:p w14:paraId="13BC5311" w14:textId="77777777" w:rsidR="00EF7859" w:rsidRDefault="00EF7859" w:rsidP="00EF7859">
      <w:pPr>
        <w:spacing w:line="144" w:lineRule="auto"/>
        <w:rPr>
          <w:rFonts w:asciiTheme="minorHAnsi" w:hAnsiTheme="minorHAnsi" w:cstheme="minorBidi"/>
        </w:rPr>
      </w:pPr>
    </w:p>
    <w:tbl>
      <w:tblPr>
        <w:tblW w:w="0" w:type="auto"/>
        <w:tblCellMar>
          <w:left w:w="0" w:type="dxa"/>
        </w:tblCellMar>
        <w:tblLook w:val="04A0" w:firstRow="1" w:lastRow="0" w:firstColumn="1" w:lastColumn="0" w:noHBand="0" w:noVBand="1"/>
      </w:tblPr>
      <w:tblGrid>
        <w:gridCol w:w="6075"/>
        <w:gridCol w:w="1040"/>
        <w:gridCol w:w="1153"/>
        <w:gridCol w:w="217"/>
        <w:gridCol w:w="1153"/>
      </w:tblGrid>
      <w:tr w:rsidR="00EF7859" w:rsidRPr="00747D82" w14:paraId="672E0472" w14:textId="77777777" w:rsidTr="00E607DA">
        <w:trPr>
          <w:trHeight w:val="240"/>
        </w:trPr>
        <w:tc>
          <w:tcPr>
            <w:tcW w:w="6476" w:type="dxa"/>
            <w:tcBorders>
              <w:top w:val="nil"/>
              <w:left w:val="nil"/>
              <w:bottom w:val="nil"/>
              <w:right w:val="nil"/>
            </w:tcBorders>
            <w:shd w:val="clear" w:color="auto" w:fill="auto"/>
            <w:noWrap/>
            <w:vAlign w:val="center"/>
            <w:hideMark/>
          </w:tcPr>
          <w:p w14:paraId="3ACB6514" w14:textId="77777777" w:rsidR="00EF7859" w:rsidRPr="00747D82" w:rsidRDefault="00EF7859" w:rsidP="00E607DA">
            <w:pPr>
              <w:rPr>
                <w:rFonts w:ascii="Meta Pro" w:eastAsia="Times New Roman" w:hAnsi="Meta Pro"/>
                <w:b/>
                <w:bCs/>
                <w:szCs w:val="18"/>
                <w:lang w:eastAsia="en-AU"/>
              </w:rPr>
            </w:pPr>
            <w:r w:rsidRPr="00747D82">
              <w:rPr>
                <w:rFonts w:ascii="Meta Pro" w:eastAsia="Times New Roman" w:hAnsi="Meta Pro"/>
                <w:b/>
                <w:bCs/>
                <w:szCs w:val="18"/>
                <w:lang w:eastAsia="en-AU"/>
              </w:rPr>
              <w:lastRenderedPageBreak/>
              <w:t>Financial assets</w:t>
            </w:r>
          </w:p>
        </w:tc>
        <w:tc>
          <w:tcPr>
            <w:tcW w:w="1096" w:type="dxa"/>
            <w:tcBorders>
              <w:top w:val="nil"/>
              <w:left w:val="nil"/>
              <w:bottom w:val="nil"/>
              <w:right w:val="nil"/>
            </w:tcBorders>
            <w:shd w:val="clear" w:color="auto" w:fill="auto"/>
            <w:noWrap/>
            <w:vAlign w:val="center"/>
            <w:hideMark/>
          </w:tcPr>
          <w:p w14:paraId="27F1890F" w14:textId="77777777" w:rsidR="00EF7859" w:rsidRPr="00747D82" w:rsidRDefault="00EF7859" w:rsidP="00E607DA">
            <w:pPr>
              <w:rPr>
                <w:rFonts w:ascii="Meta Pro" w:eastAsia="Times New Roman" w:hAnsi="Meta Pro"/>
                <w:b/>
                <w:bCs/>
                <w:szCs w:val="18"/>
                <w:lang w:eastAsia="en-AU"/>
              </w:rPr>
            </w:pPr>
          </w:p>
        </w:tc>
        <w:tc>
          <w:tcPr>
            <w:tcW w:w="1216" w:type="dxa"/>
            <w:tcBorders>
              <w:top w:val="nil"/>
              <w:left w:val="nil"/>
              <w:bottom w:val="nil"/>
              <w:right w:val="nil"/>
            </w:tcBorders>
            <w:shd w:val="clear" w:color="auto" w:fill="auto"/>
            <w:noWrap/>
            <w:vAlign w:val="center"/>
            <w:hideMark/>
          </w:tcPr>
          <w:p w14:paraId="7823C14A" w14:textId="77777777" w:rsidR="00EF7859" w:rsidRPr="00747D82" w:rsidRDefault="00EF7859" w:rsidP="00E607DA">
            <w:pPr>
              <w:rPr>
                <w:rFonts w:eastAsia="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0EBB209B" w14:textId="77777777" w:rsidR="00EF7859" w:rsidRPr="00747D82" w:rsidRDefault="00EF7859" w:rsidP="00E607DA">
            <w:pPr>
              <w:rPr>
                <w:rFonts w:eastAsia="Times New Roman"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3BDEA35D" w14:textId="77777777" w:rsidR="00EF7859" w:rsidRPr="00747D82" w:rsidRDefault="00EF7859" w:rsidP="00E607DA">
            <w:pPr>
              <w:jc w:val="right"/>
              <w:rPr>
                <w:rFonts w:eastAsia="Times New Roman" w:cs="Times New Roman"/>
                <w:sz w:val="20"/>
                <w:szCs w:val="20"/>
                <w:lang w:eastAsia="en-AU"/>
              </w:rPr>
            </w:pPr>
          </w:p>
        </w:tc>
      </w:tr>
      <w:tr w:rsidR="00EF7859" w:rsidRPr="00747D82" w14:paraId="781B1F7C" w14:textId="77777777" w:rsidTr="00E607DA">
        <w:trPr>
          <w:trHeight w:val="240"/>
        </w:trPr>
        <w:tc>
          <w:tcPr>
            <w:tcW w:w="6476" w:type="dxa"/>
            <w:tcBorders>
              <w:top w:val="nil"/>
              <w:left w:val="nil"/>
              <w:bottom w:val="nil"/>
              <w:right w:val="nil"/>
            </w:tcBorders>
            <w:shd w:val="clear" w:color="auto" w:fill="auto"/>
            <w:noWrap/>
            <w:vAlign w:val="center"/>
            <w:hideMark/>
          </w:tcPr>
          <w:p w14:paraId="6B6D6533" w14:textId="77777777" w:rsidR="00EF7859" w:rsidRPr="00747D82" w:rsidRDefault="00EF7859" w:rsidP="00E607DA">
            <w:pPr>
              <w:rPr>
                <w:rFonts w:ascii="Meta Pro" w:eastAsia="Times New Roman" w:hAnsi="Meta Pro"/>
                <w:szCs w:val="18"/>
                <w:lang w:eastAsia="en-AU"/>
              </w:rPr>
            </w:pPr>
            <w:r w:rsidRPr="00747D82">
              <w:rPr>
                <w:rFonts w:ascii="Meta Pro" w:eastAsia="Times New Roman" w:hAnsi="Meta Pro"/>
                <w:szCs w:val="18"/>
                <w:lang w:eastAsia="en-AU"/>
              </w:rPr>
              <w:t>Cash</w:t>
            </w:r>
          </w:p>
        </w:tc>
        <w:tc>
          <w:tcPr>
            <w:tcW w:w="1096" w:type="dxa"/>
            <w:tcBorders>
              <w:top w:val="nil"/>
              <w:left w:val="nil"/>
              <w:bottom w:val="nil"/>
              <w:right w:val="nil"/>
            </w:tcBorders>
            <w:shd w:val="clear" w:color="auto" w:fill="auto"/>
            <w:noWrap/>
            <w:vAlign w:val="center"/>
            <w:hideMark/>
          </w:tcPr>
          <w:p w14:paraId="5ED042EC" w14:textId="77777777" w:rsidR="00EF7859" w:rsidRPr="00747D82" w:rsidRDefault="00EF7859" w:rsidP="00E607DA">
            <w:pPr>
              <w:rPr>
                <w:rFonts w:ascii="Meta Pro" w:eastAsia="Times New Roman" w:hAnsi="Meta Pro"/>
                <w:szCs w:val="18"/>
                <w:lang w:eastAsia="en-AU"/>
              </w:rPr>
            </w:pPr>
          </w:p>
        </w:tc>
        <w:tc>
          <w:tcPr>
            <w:tcW w:w="1216" w:type="dxa"/>
            <w:tcBorders>
              <w:top w:val="nil"/>
              <w:left w:val="nil"/>
              <w:bottom w:val="nil"/>
              <w:right w:val="nil"/>
            </w:tcBorders>
            <w:shd w:val="clear" w:color="000000" w:fill="C9E3B4"/>
            <w:noWrap/>
            <w:vAlign w:val="center"/>
            <w:hideMark/>
          </w:tcPr>
          <w:p w14:paraId="76A43910" w14:textId="77777777" w:rsidR="00EF7859" w:rsidRPr="00747D82" w:rsidRDefault="00EF7859" w:rsidP="00E607DA">
            <w:pPr>
              <w:jc w:val="right"/>
              <w:rPr>
                <w:rFonts w:ascii="Meta Pro" w:eastAsia="Times New Roman" w:hAnsi="Meta Pro"/>
                <w:szCs w:val="18"/>
                <w:lang w:eastAsia="en-AU"/>
              </w:rPr>
            </w:pPr>
            <w:r w:rsidRPr="00747D82">
              <w:rPr>
                <w:rFonts w:ascii="Meta Pro" w:eastAsia="Times New Roman" w:hAnsi="Meta Pro"/>
                <w:szCs w:val="18"/>
                <w:lang w:eastAsia="en-AU"/>
              </w:rPr>
              <w:t xml:space="preserve">245,430 </w:t>
            </w:r>
          </w:p>
        </w:tc>
        <w:tc>
          <w:tcPr>
            <w:tcW w:w="216" w:type="dxa"/>
            <w:tcBorders>
              <w:top w:val="nil"/>
              <w:left w:val="nil"/>
              <w:bottom w:val="nil"/>
              <w:right w:val="nil"/>
            </w:tcBorders>
            <w:shd w:val="clear" w:color="auto" w:fill="auto"/>
            <w:noWrap/>
            <w:vAlign w:val="center"/>
            <w:hideMark/>
          </w:tcPr>
          <w:p w14:paraId="152E1925" w14:textId="77777777" w:rsidR="00EF7859" w:rsidRPr="00747D82" w:rsidRDefault="00EF7859"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24875D83" w14:textId="77777777" w:rsidR="00EF7859" w:rsidRPr="00747D82" w:rsidRDefault="00EF7859" w:rsidP="00E607DA">
            <w:pPr>
              <w:jc w:val="right"/>
              <w:rPr>
                <w:rFonts w:ascii="Meta Pro" w:eastAsia="Times New Roman" w:hAnsi="Meta Pro"/>
                <w:szCs w:val="18"/>
                <w:lang w:eastAsia="en-AU"/>
              </w:rPr>
            </w:pPr>
            <w:r w:rsidRPr="00747D82">
              <w:rPr>
                <w:rFonts w:ascii="Meta Pro" w:eastAsia="Times New Roman" w:hAnsi="Meta Pro"/>
                <w:szCs w:val="18"/>
                <w:lang w:eastAsia="en-AU"/>
              </w:rPr>
              <w:t xml:space="preserve">344,348 </w:t>
            </w:r>
          </w:p>
        </w:tc>
      </w:tr>
      <w:tr w:rsidR="00EF7859" w:rsidRPr="00747D82" w14:paraId="42E6E236" w14:textId="77777777" w:rsidTr="00E607DA">
        <w:trPr>
          <w:trHeight w:val="240"/>
        </w:trPr>
        <w:tc>
          <w:tcPr>
            <w:tcW w:w="6476" w:type="dxa"/>
            <w:tcBorders>
              <w:top w:val="nil"/>
              <w:left w:val="nil"/>
              <w:bottom w:val="nil"/>
              <w:right w:val="nil"/>
            </w:tcBorders>
            <w:shd w:val="clear" w:color="auto" w:fill="auto"/>
            <w:noWrap/>
            <w:vAlign w:val="center"/>
            <w:hideMark/>
          </w:tcPr>
          <w:p w14:paraId="4393E164" w14:textId="77777777" w:rsidR="00EF7859" w:rsidRPr="00747D82" w:rsidRDefault="00EF7859" w:rsidP="00E607DA">
            <w:pPr>
              <w:rPr>
                <w:rFonts w:ascii="Meta Pro" w:eastAsia="Times New Roman" w:hAnsi="Meta Pro"/>
                <w:szCs w:val="18"/>
                <w:lang w:eastAsia="en-AU"/>
              </w:rPr>
            </w:pPr>
            <w:r w:rsidRPr="00747D82">
              <w:rPr>
                <w:rFonts w:ascii="Meta Pro" w:eastAsia="Times New Roman" w:hAnsi="Meta Pro"/>
                <w:szCs w:val="18"/>
                <w:lang w:eastAsia="en-AU"/>
              </w:rPr>
              <w:t>Financial assets at amortised cost:</w:t>
            </w:r>
          </w:p>
        </w:tc>
        <w:tc>
          <w:tcPr>
            <w:tcW w:w="1096" w:type="dxa"/>
            <w:tcBorders>
              <w:top w:val="nil"/>
              <w:left w:val="nil"/>
              <w:bottom w:val="nil"/>
              <w:right w:val="nil"/>
            </w:tcBorders>
            <w:shd w:val="clear" w:color="auto" w:fill="auto"/>
            <w:noWrap/>
            <w:vAlign w:val="center"/>
            <w:hideMark/>
          </w:tcPr>
          <w:p w14:paraId="1B3A9139" w14:textId="77777777" w:rsidR="00EF7859" w:rsidRPr="00747D82" w:rsidRDefault="00EF7859" w:rsidP="00E607DA">
            <w:pPr>
              <w:rPr>
                <w:rFonts w:ascii="Meta Pro" w:eastAsia="Times New Roman" w:hAnsi="Meta Pro"/>
                <w:szCs w:val="18"/>
                <w:lang w:eastAsia="en-AU"/>
              </w:rPr>
            </w:pPr>
          </w:p>
        </w:tc>
        <w:tc>
          <w:tcPr>
            <w:tcW w:w="1216" w:type="dxa"/>
            <w:tcBorders>
              <w:top w:val="nil"/>
              <w:left w:val="nil"/>
              <w:bottom w:val="nil"/>
              <w:right w:val="nil"/>
            </w:tcBorders>
            <w:shd w:val="clear" w:color="000000" w:fill="C9E3B4"/>
            <w:noWrap/>
            <w:vAlign w:val="center"/>
            <w:hideMark/>
          </w:tcPr>
          <w:p w14:paraId="30E1EDA8" w14:textId="77777777" w:rsidR="00EF7859" w:rsidRPr="00747D82" w:rsidRDefault="00EF7859" w:rsidP="00E607DA">
            <w:pPr>
              <w:jc w:val="right"/>
              <w:rPr>
                <w:rFonts w:ascii="Meta Pro" w:eastAsia="Times New Roman" w:hAnsi="Meta Pro"/>
                <w:szCs w:val="18"/>
                <w:lang w:eastAsia="en-AU"/>
              </w:rPr>
            </w:pPr>
            <w:r w:rsidRPr="00747D82">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6667177A" w14:textId="77777777" w:rsidR="00EF7859" w:rsidRPr="00747D82" w:rsidRDefault="00EF7859"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1BFC8E2C" w14:textId="77777777" w:rsidR="00EF7859" w:rsidRPr="00747D82" w:rsidRDefault="00EF7859" w:rsidP="00E607DA">
            <w:pPr>
              <w:jc w:val="right"/>
              <w:rPr>
                <w:rFonts w:eastAsia="Times New Roman" w:cs="Times New Roman"/>
                <w:sz w:val="20"/>
                <w:szCs w:val="20"/>
                <w:lang w:eastAsia="en-AU"/>
              </w:rPr>
            </w:pPr>
          </w:p>
        </w:tc>
      </w:tr>
      <w:tr w:rsidR="00EF7859" w:rsidRPr="00747D82" w14:paraId="44AC8551" w14:textId="77777777" w:rsidTr="00E607DA">
        <w:trPr>
          <w:trHeight w:val="240"/>
        </w:trPr>
        <w:tc>
          <w:tcPr>
            <w:tcW w:w="6476" w:type="dxa"/>
            <w:tcBorders>
              <w:top w:val="nil"/>
              <w:left w:val="nil"/>
              <w:bottom w:val="nil"/>
              <w:right w:val="nil"/>
            </w:tcBorders>
            <w:shd w:val="clear" w:color="auto" w:fill="auto"/>
            <w:noWrap/>
            <w:vAlign w:val="center"/>
            <w:hideMark/>
          </w:tcPr>
          <w:p w14:paraId="2E80FC3F" w14:textId="77777777" w:rsidR="00EF7859" w:rsidRPr="00747D82" w:rsidRDefault="00EF7859" w:rsidP="00E607DA">
            <w:pPr>
              <w:rPr>
                <w:rFonts w:ascii="Meta Pro" w:eastAsia="Times New Roman" w:hAnsi="Meta Pro"/>
                <w:szCs w:val="18"/>
                <w:lang w:eastAsia="en-AU"/>
              </w:rPr>
            </w:pPr>
            <w:r w:rsidRPr="00747D82">
              <w:rPr>
                <w:rFonts w:ascii="Meta Pro" w:eastAsia="Times New Roman" w:hAnsi="Meta Pro"/>
                <w:szCs w:val="18"/>
                <w:lang w:eastAsia="en-AU"/>
              </w:rPr>
              <w:t xml:space="preserve">  Receivables</w:t>
            </w:r>
          </w:p>
        </w:tc>
        <w:tc>
          <w:tcPr>
            <w:tcW w:w="1096" w:type="dxa"/>
            <w:tcBorders>
              <w:top w:val="nil"/>
              <w:left w:val="nil"/>
              <w:bottom w:val="nil"/>
              <w:right w:val="nil"/>
            </w:tcBorders>
            <w:shd w:val="clear" w:color="auto" w:fill="auto"/>
            <w:noWrap/>
            <w:vAlign w:val="center"/>
            <w:hideMark/>
          </w:tcPr>
          <w:p w14:paraId="2559D36E" w14:textId="77777777" w:rsidR="00EF7859" w:rsidRPr="00747D82" w:rsidRDefault="00EF7859" w:rsidP="00E607DA">
            <w:pPr>
              <w:jc w:val="center"/>
              <w:rPr>
                <w:rFonts w:ascii="Meta Pro" w:eastAsia="Times New Roman" w:hAnsi="Meta Pro"/>
                <w:szCs w:val="18"/>
                <w:lang w:eastAsia="en-AU"/>
              </w:rPr>
            </w:pPr>
            <w:r w:rsidRPr="00747D82">
              <w:rPr>
                <w:rFonts w:ascii="Meta Pro" w:eastAsia="Times New Roman" w:hAnsi="Meta Pro"/>
                <w:szCs w:val="18"/>
                <w:lang w:eastAsia="en-AU"/>
              </w:rPr>
              <w:t>12</w:t>
            </w:r>
          </w:p>
        </w:tc>
        <w:tc>
          <w:tcPr>
            <w:tcW w:w="1216" w:type="dxa"/>
            <w:tcBorders>
              <w:top w:val="nil"/>
              <w:left w:val="nil"/>
              <w:bottom w:val="single" w:sz="4" w:space="0" w:color="auto"/>
              <w:right w:val="nil"/>
            </w:tcBorders>
            <w:shd w:val="clear" w:color="000000" w:fill="C9E3B4"/>
            <w:noWrap/>
            <w:vAlign w:val="center"/>
            <w:hideMark/>
          </w:tcPr>
          <w:p w14:paraId="0210F4F0" w14:textId="77777777" w:rsidR="00EF7859" w:rsidRPr="00747D82" w:rsidRDefault="00EF7859" w:rsidP="00E607DA">
            <w:pPr>
              <w:jc w:val="right"/>
              <w:rPr>
                <w:rFonts w:ascii="Meta Pro" w:eastAsia="Times New Roman" w:hAnsi="Meta Pro"/>
                <w:szCs w:val="18"/>
                <w:lang w:eastAsia="en-AU"/>
              </w:rPr>
            </w:pPr>
            <w:r w:rsidRPr="00747D82">
              <w:rPr>
                <w:rFonts w:ascii="Meta Pro" w:eastAsia="Times New Roman" w:hAnsi="Meta Pro"/>
                <w:szCs w:val="18"/>
                <w:lang w:eastAsia="en-AU"/>
              </w:rPr>
              <w:t xml:space="preserve">229,987 </w:t>
            </w:r>
          </w:p>
        </w:tc>
        <w:tc>
          <w:tcPr>
            <w:tcW w:w="216" w:type="dxa"/>
            <w:tcBorders>
              <w:top w:val="nil"/>
              <w:left w:val="nil"/>
              <w:bottom w:val="nil"/>
              <w:right w:val="nil"/>
            </w:tcBorders>
            <w:shd w:val="clear" w:color="auto" w:fill="auto"/>
            <w:noWrap/>
            <w:vAlign w:val="center"/>
            <w:hideMark/>
          </w:tcPr>
          <w:p w14:paraId="5F9143B9" w14:textId="77777777" w:rsidR="00EF7859" w:rsidRPr="00747D82" w:rsidRDefault="00EF7859" w:rsidP="00E607DA">
            <w:pPr>
              <w:jc w:val="right"/>
              <w:rPr>
                <w:rFonts w:ascii="Meta Pro" w:eastAsia="Times New Roman" w:hAnsi="Meta Pro"/>
                <w:szCs w:val="18"/>
                <w:lang w:eastAsia="en-AU"/>
              </w:rPr>
            </w:pPr>
          </w:p>
        </w:tc>
        <w:tc>
          <w:tcPr>
            <w:tcW w:w="1216" w:type="dxa"/>
            <w:tcBorders>
              <w:top w:val="nil"/>
              <w:left w:val="nil"/>
              <w:bottom w:val="single" w:sz="4" w:space="0" w:color="auto"/>
              <w:right w:val="nil"/>
            </w:tcBorders>
            <w:shd w:val="clear" w:color="auto" w:fill="auto"/>
            <w:noWrap/>
            <w:vAlign w:val="center"/>
            <w:hideMark/>
          </w:tcPr>
          <w:p w14:paraId="62DFF450" w14:textId="77777777" w:rsidR="00EF7859" w:rsidRPr="00747D82" w:rsidRDefault="00EF7859" w:rsidP="00E607DA">
            <w:pPr>
              <w:jc w:val="right"/>
              <w:rPr>
                <w:rFonts w:ascii="Meta Pro" w:eastAsia="Times New Roman" w:hAnsi="Meta Pro"/>
                <w:szCs w:val="18"/>
                <w:lang w:eastAsia="en-AU"/>
              </w:rPr>
            </w:pPr>
            <w:r w:rsidRPr="00747D82">
              <w:rPr>
                <w:rFonts w:ascii="Meta Pro" w:eastAsia="Times New Roman" w:hAnsi="Meta Pro"/>
                <w:szCs w:val="18"/>
                <w:lang w:eastAsia="en-AU"/>
              </w:rPr>
              <w:t xml:space="preserve">226,069 </w:t>
            </w:r>
          </w:p>
        </w:tc>
      </w:tr>
      <w:tr w:rsidR="00EF7859" w:rsidRPr="00747D82" w14:paraId="46CE0E46" w14:textId="77777777" w:rsidTr="00E607DA">
        <w:trPr>
          <w:trHeight w:val="240"/>
        </w:trPr>
        <w:tc>
          <w:tcPr>
            <w:tcW w:w="6476" w:type="dxa"/>
            <w:tcBorders>
              <w:top w:val="single" w:sz="4" w:space="0" w:color="auto"/>
              <w:left w:val="nil"/>
              <w:bottom w:val="double" w:sz="6" w:space="0" w:color="auto"/>
              <w:right w:val="nil"/>
            </w:tcBorders>
            <w:shd w:val="clear" w:color="auto" w:fill="auto"/>
            <w:noWrap/>
            <w:vAlign w:val="center"/>
            <w:hideMark/>
          </w:tcPr>
          <w:p w14:paraId="29834F9D" w14:textId="77777777" w:rsidR="00EF7859" w:rsidRPr="00747D82" w:rsidRDefault="00EF7859" w:rsidP="00E607DA">
            <w:pPr>
              <w:rPr>
                <w:rFonts w:ascii="Meta Pro" w:eastAsia="Times New Roman" w:hAnsi="Meta Pro"/>
                <w:b/>
                <w:bCs/>
                <w:szCs w:val="18"/>
                <w:lang w:eastAsia="en-AU"/>
              </w:rPr>
            </w:pPr>
            <w:r w:rsidRPr="00747D82">
              <w:rPr>
                <w:rFonts w:ascii="Meta Pro" w:eastAsia="Times New Roman" w:hAnsi="Meta Pro"/>
                <w:b/>
                <w:bCs/>
                <w:szCs w:val="18"/>
                <w:lang w:eastAsia="en-AU"/>
              </w:rPr>
              <w:t>Total</w:t>
            </w:r>
          </w:p>
        </w:tc>
        <w:tc>
          <w:tcPr>
            <w:tcW w:w="1096" w:type="dxa"/>
            <w:tcBorders>
              <w:top w:val="single" w:sz="4" w:space="0" w:color="auto"/>
              <w:left w:val="nil"/>
              <w:bottom w:val="double" w:sz="6" w:space="0" w:color="auto"/>
              <w:right w:val="nil"/>
            </w:tcBorders>
            <w:shd w:val="clear" w:color="auto" w:fill="auto"/>
            <w:noWrap/>
            <w:vAlign w:val="center"/>
            <w:hideMark/>
          </w:tcPr>
          <w:p w14:paraId="2D92160C" w14:textId="77777777" w:rsidR="00EF7859" w:rsidRPr="00747D82" w:rsidRDefault="00EF7859" w:rsidP="00E607DA">
            <w:pPr>
              <w:rPr>
                <w:rFonts w:ascii="Meta Pro" w:eastAsia="Times New Roman" w:hAnsi="Meta Pro"/>
                <w:b/>
                <w:bCs/>
                <w:szCs w:val="18"/>
                <w:lang w:eastAsia="en-AU"/>
              </w:rPr>
            </w:pPr>
            <w:r w:rsidRPr="00747D82">
              <w:rPr>
                <w:rFonts w:ascii="Meta Pro" w:eastAsia="Times New Roman" w:hAnsi="Meta Pro"/>
                <w:b/>
                <w:bCs/>
                <w:szCs w:val="18"/>
                <w:lang w:eastAsia="en-AU"/>
              </w:rPr>
              <w:t> </w:t>
            </w:r>
          </w:p>
        </w:tc>
        <w:tc>
          <w:tcPr>
            <w:tcW w:w="1216" w:type="dxa"/>
            <w:tcBorders>
              <w:top w:val="nil"/>
              <w:left w:val="nil"/>
              <w:bottom w:val="double" w:sz="6" w:space="0" w:color="auto"/>
              <w:right w:val="nil"/>
            </w:tcBorders>
            <w:shd w:val="clear" w:color="000000" w:fill="C9E3B4"/>
            <w:noWrap/>
            <w:vAlign w:val="center"/>
            <w:hideMark/>
          </w:tcPr>
          <w:p w14:paraId="5864A64C" w14:textId="77777777" w:rsidR="00EF7859" w:rsidRPr="00747D82" w:rsidRDefault="00EF7859" w:rsidP="00E607DA">
            <w:pPr>
              <w:jc w:val="right"/>
              <w:rPr>
                <w:rFonts w:ascii="Meta Pro" w:eastAsia="Times New Roman" w:hAnsi="Meta Pro"/>
                <w:b/>
                <w:bCs/>
                <w:szCs w:val="18"/>
                <w:lang w:eastAsia="en-AU"/>
              </w:rPr>
            </w:pPr>
            <w:r w:rsidRPr="00747D82">
              <w:rPr>
                <w:rFonts w:ascii="Meta Pro" w:eastAsia="Times New Roman" w:hAnsi="Meta Pro"/>
                <w:b/>
                <w:bCs/>
                <w:szCs w:val="18"/>
                <w:lang w:eastAsia="en-AU"/>
              </w:rPr>
              <w:t xml:space="preserve">475,417 </w:t>
            </w:r>
          </w:p>
        </w:tc>
        <w:tc>
          <w:tcPr>
            <w:tcW w:w="216" w:type="dxa"/>
            <w:tcBorders>
              <w:top w:val="single" w:sz="4" w:space="0" w:color="auto"/>
              <w:left w:val="nil"/>
              <w:bottom w:val="double" w:sz="6" w:space="0" w:color="auto"/>
              <w:right w:val="nil"/>
            </w:tcBorders>
            <w:shd w:val="clear" w:color="auto" w:fill="auto"/>
            <w:noWrap/>
            <w:vAlign w:val="center"/>
            <w:hideMark/>
          </w:tcPr>
          <w:p w14:paraId="284C8694" w14:textId="77777777" w:rsidR="00EF7859" w:rsidRPr="00747D82" w:rsidRDefault="00EF7859" w:rsidP="00E607DA">
            <w:pPr>
              <w:jc w:val="right"/>
              <w:rPr>
                <w:rFonts w:ascii="Meta Pro" w:eastAsia="Times New Roman" w:hAnsi="Meta Pro"/>
                <w:b/>
                <w:bCs/>
                <w:szCs w:val="18"/>
                <w:lang w:eastAsia="en-AU"/>
              </w:rPr>
            </w:pPr>
            <w:r w:rsidRPr="00747D82">
              <w:rPr>
                <w:rFonts w:ascii="Meta Pro" w:eastAsia="Times New Roman" w:hAnsi="Meta Pro"/>
                <w:b/>
                <w:bCs/>
                <w:szCs w:val="18"/>
                <w:lang w:eastAsia="en-AU"/>
              </w:rPr>
              <w:t> </w:t>
            </w:r>
          </w:p>
        </w:tc>
        <w:tc>
          <w:tcPr>
            <w:tcW w:w="1216" w:type="dxa"/>
            <w:tcBorders>
              <w:top w:val="nil"/>
              <w:left w:val="nil"/>
              <w:bottom w:val="double" w:sz="6" w:space="0" w:color="auto"/>
              <w:right w:val="nil"/>
            </w:tcBorders>
            <w:shd w:val="clear" w:color="auto" w:fill="auto"/>
            <w:noWrap/>
            <w:vAlign w:val="center"/>
            <w:hideMark/>
          </w:tcPr>
          <w:p w14:paraId="1AD3B4DC" w14:textId="77777777" w:rsidR="00EF7859" w:rsidRPr="00747D82" w:rsidRDefault="00EF7859" w:rsidP="00E607DA">
            <w:pPr>
              <w:jc w:val="right"/>
              <w:rPr>
                <w:rFonts w:ascii="Meta Pro" w:eastAsia="Times New Roman" w:hAnsi="Meta Pro"/>
                <w:b/>
                <w:bCs/>
                <w:szCs w:val="18"/>
                <w:lang w:eastAsia="en-AU"/>
              </w:rPr>
            </w:pPr>
            <w:r w:rsidRPr="00747D82">
              <w:rPr>
                <w:rFonts w:ascii="Meta Pro" w:eastAsia="Times New Roman" w:hAnsi="Meta Pro"/>
                <w:b/>
                <w:bCs/>
                <w:szCs w:val="18"/>
                <w:lang w:eastAsia="en-AU"/>
              </w:rPr>
              <w:t xml:space="preserve">570,417 </w:t>
            </w:r>
          </w:p>
        </w:tc>
      </w:tr>
      <w:tr w:rsidR="00EF7859" w:rsidRPr="00747D82" w14:paraId="143C26E5" w14:textId="77777777" w:rsidTr="00E607DA">
        <w:trPr>
          <w:trHeight w:val="240"/>
        </w:trPr>
        <w:tc>
          <w:tcPr>
            <w:tcW w:w="6476" w:type="dxa"/>
            <w:tcBorders>
              <w:top w:val="nil"/>
              <w:left w:val="nil"/>
              <w:bottom w:val="nil"/>
              <w:right w:val="nil"/>
            </w:tcBorders>
            <w:shd w:val="clear" w:color="auto" w:fill="auto"/>
            <w:noWrap/>
            <w:vAlign w:val="center"/>
            <w:hideMark/>
          </w:tcPr>
          <w:p w14:paraId="6A066FAA" w14:textId="77777777" w:rsidR="00EF7859" w:rsidRPr="00747D82" w:rsidRDefault="00EF7859" w:rsidP="00E607DA">
            <w:pPr>
              <w:jc w:val="right"/>
              <w:rPr>
                <w:rFonts w:ascii="Meta Pro" w:eastAsia="Times New Roman" w:hAnsi="Meta Pro"/>
                <w:b/>
                <w:bCs/>
                <w:szCs w:val="18"/>
                <w:lang w:eastAsia="en-AU"/>
              </w:rPr>
            </w:pPr>
          </w:p>
        </w:tc>
        <w:tc>
          <w:tcPr>
            <w:tcW w:w="1096" w:type="dxa"/>
            <w:tcBorders>
              <w:top w:val="nil"/>
              <w:left w:val="nil"/>
              <w:bottom w:val="nil"/>
              <w:right w:val="nil"/>
            </w:tcBorders>
            <w:shd w:val="clear" w:color="auto" w:fill="auto"/>
            <w:noWrap/>
            <w:vAlign w:val="center"/>
            <w:hideMark/>
          </w:tcPr>
          <w:p w14:paraId="13F6BD9A" w14:textId="77777777" w:rsidR="00EF7859" w:rsidRPr="00747D82" w:rsidRDefault="00EF7859" w:rsidP="00E607DA">
            <w:pPr>
              <w:rPr>
                <w:rFonts w:eastAsia="Times New Roman"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7BD4858C" w14:textId="77777777" w:rsidR="00EF7859" w:rsidRPr="00747D82" w:rsidRDefault="00EF7859" w:rsidP="00E607DA">
            <w:pPr>
              <w:rPr>
                <w:rFonts w:eastAsia="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23144C70" w14:textId="77777777" w:rsidR="00EF7859" w:rsidRPr="00747D82" w:rsidRDefault="00EF7859" w:rsidP="00E607DA">
            <w:pPr>
              <w:rPr>
                <w:rFonts w:eastAsia="Times New Roman"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5CC532D6" w14:textId="77777777" w:rsidR="00EF7859" w:rsidRPr="00747D82" w:rsidRDefault="00EF7859" w:rsidP="00E607DA">
            <w:pPr>
              <w:jc w:val="right"/>
              <w:rPr>
                <w:rFonts w:eastAsia="Times New Roman" w:cs="Times New Roman"/>
                <w:sz w:val="20"/>
                <w:szCs w:val="20"/>
                <w:lang w:eastAsia="en-AU"/>
              </w:rPr>
            </w:pPr>
          </w:p>
        </w:tc>
      </w:tr>
      <w:tr w:rsidR="00EF7859" w:rsidRPr="00747D82" w14:paraId="79625737" w14:textId="77777777" w:rsidTr="00E607DA">
        <w:trPr>
          <w:trHeight w:val="240"/>
        </w:trPr>
        <w:tc>
          <w:tcPr>
            <w:tcW w:w="6476" w:type="dxa"/>
            <w:tcBorders>
              <w:top w:val="nil"/>
              <w:left w:val="nil"/>
              <w:bottom w:val="nil"/>
              <w:right w:val="nil"/>
            </w:tcBorders>
            <w:shd w:val="clear" w:color="auto" w:fill="auto"/>
            <w:noWrap/>
            <w:vAlign w:val="center"/>
            <w:hideMark/>
          </w:tcPr>
          <w:p w14:paraId="62ACC8ED" w14:textId="77777777" w:rsidR="00EF7859" w:rsidRPr="00747D82" w:rsidRDefault="00EF7859" w:rsidP="00E607DA">
            <w:pPr>
              <w:rPr>
                <w:rFonts w:ascii="Meta Pro" w:eastAsia="Times New Roman" w:hAnsi="Meta Pro"/>
                <w:b/>
                <w:bCs/>
                <w:szCs w:val="18"/>
                <w:lang w:eastAsia="en-AU"/>
              </w:rPr>
            </w:pPr>
            <w:r w:rsidRPr="00747D82">
              <w:rPr>
                <w:rFonts w:ascii="Meta Pro" w:eastAsia="Times New Roman" w:hAnsi="Meta Pro"/>
                <w:b/>
                <w:bCs/>
                <w:szCs w:val="18"/>
                <w:lang w:eastAsia="en-AU"/>
              </w:rPr>
              <w:t>Financial liabilities</w:t>
            </w:r>
          </w:p>
        </w:tc>
        <w:tc>
          <w:tcPr>
            <w:tcW w:w="1096" w:type="dxa"/>
            <w:tcBorders>
              <w:top w:val="nil"/>
              <w:left w:val="nil"/>
              <w:bottom w:val="nil"/>
              <w:right w:val="nil"/>
            </w:tcBorders>
            <w:shd w:val="clear" w:color="auto" w:fill="auto"/>
            <w:noWrap/>
            <w:vAlign w:val="center"/>
            <w:hideMark/>
          </w:tcPr>
          <w:p w14:paraId="19A50C9C" w14:textId="77777777" w:rsidR="00EF7859" w:rsidRPr="00747D82" w:rsidRDefault="00EF7859" w:rsidP="00E607DA">
            <w:pPr>
              <w:rPr>
                <w:rFonts w:ascii="Meta Pro" w:eastAsia="Times New Roman" w:hAnsi="Meta Pro"/>
                <w:b/>
                <w:bCs/>
                <w:szCs w:val="18"/>
                <w:lang w:eastAsia="en-AU"/>
              </w:rPr>
            </w:pPr>
          </w:p>
        </w:tc>
        <w:tc>
          <w:tcPr>
            <w:tcW w:w="1216" w:type="dxa"/>
            <w:tcBorders>
              <w:top w:val="nil"/>
              <w:left w:val="nil"/>
              <w:bottom w:val="nil"/>
              <w:right w:val="nil"/>
            </w:tcBorders>
            <w:shd w:val="clear" w:color="auto" w:fill="auto"/>
            <w:noWrap/>
            <w:vAlign w:val="center"/>
            <w:hideMark/>
          </w:tcPr>
          <w:p w14:paraId="6BE16E59" w14:textId="77777777" w:rsidR="00EF7859" w:rsidRPr="00747D82" w:rsidRDefault="00EF7859" w:rsidP="00E607DA">
            <w:pPr>
              <w:rPr>
                <w:rFonts w:eastAsia="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42533695" w14:textId="77777777" w:rsidR="00EF7859" w:rsidRPr="00747D82" w:rsidRDefault="00EF7859" w:rsidP="00E607DA">
            <w:pPr>
              <w:rPr>
                <w:rFonts w:eastAsia="Times New Roman"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0D61BB7D" w14:textId="77777777" w:rsidR="00EF7859" w:rsidRPr="00747D82" w:rsidRDefault="00EF7859" w:rsidP="00E607DA">
            <w:pPr>
              <w:jc w:val="right"/>
              <w:rPr>
                <w:rFonts w:eastAsia="Times New Roman" w:cs="Times New Roman"/>
                <w:sz w:val="20"/>
                <w:szCs w:val="20"/>
                <w:lang w:eastAsia="en-AU"/>
              </w:rPr>
            </w:pPr>
          </w:p>
        </w:tc>
      </w:tr>
      <w:tr w:rsidR="00EF7859" w:rsidRPr="00747D82" w14:paraId="5A128CE8" w14:textId="77777777" w:rsidTr="00E607DA">
        <w:trPr>
          <w:trHeight w:val="240"/>
        </w:trPr>
        <w:tc>
          <w:tcPr>
            <w:tcW w:w="6476" w:type="dxa"/>
            <w:tcBorders>
              <w:top w:val="nil"/>
              <w:left w:val="nil"/>
              <w:bottom w:val="nil"/>
              <w:right w:val="nil"/>
            </w:tcBorders>
            <w:shd w:val="clear" w:color="auto" w:fill="auto"/>
            <w:noWrap/>
            <w:vAlign w:val="center"/>
            <w:hideMark/>
          </w:tcPr>
          <w:p w14:paraId="4CB8CAA5" w14:textId="77777777" w:rsidR="00EF7859" w:rsidRPr="00747D82" w:rsidRDefault="00EF7859" w:rsidP="00E607DA">
            <w:pPr>
              <w:rPr>
                <w:rFonts w:ascii="Meta Pro" w:eastAsia="Times New Roman" w:hAnsi="Meta Pro"/>
                <w:szCs w:val="18"/>
                <w:lang w:eastAsia="en-AU"/>
              </w:rPr>
            </w:pPr>
            <w:r w:rsidRPr="00747D82">
              <w:rPr>
                <w:rFonts w:ascii="Meta Pro" w:eastAsia="Times New Roman" w:hAnsi="Meta Pro"/>
                <w:szCs w:val="18"/>
                <w:lang w:eastAsia="en-AU"/>
              </w:rPr>
              <w:t>Financial liabilities measured at amortised cost:</w:t>
            </w:r>
          </w:p>
        </w:tc>
        <w:tc>
          <w:tcPr>
            <w:tcW w:w="1096" w:type="dxa"/>
            <w:tcBorders>
              <w:top w:val="nil"/>
              <w:left w:val="nil"/>
              <w:bottom w:val="nil"/>
              <w:right w:val="nil"/>
            </w:tcBorders>
            <w:shd w:val="clear" w:color="auto" w:fill="auto"/>
            <w:noWrap/>
            <w:vAlign w:val="center"/>
            <w:hideMark/>
          </w:tcPr>
          <w:p w14:paraId="68430AE8" w14:textId="77777777" w:rsidR="00EF7859" w:rsidRPr="00747D82" w:rsidRDefault="00EF7859" w:rsidP="00E607DA">
            <w:pPr>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6F0666DB" w14:textId="77777777" w:rsidR="00EF7859" w:rsidRPr="00747D82" w:rsidRDefault="00EF7859" w:rsidP="00E607DA">
            <w:pPr>
              <w:rPr>
                <w:rFonts w:eastAsia="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63A4D412" w14:textId="77777777" w:rsidR="00EF7859" w:rsidRPr="00747D82" w:rsidRDefault="00EF7859" w:rsidP="00E607DA">
            <w:pPr>
              <w:rPr>
                <w:rFonts w:eastAsia="Times New Roman"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4568A1C3" w14:textId="77777777" w:rsidR="00EF7859" w:rsidRPr="00747D82" w:rsidRDefault="00EF7859" w:rsidP="00E607DA">
            <w:pPr>
              <w:jc w:val="right"/>
              <w:rPr>
                <w:rFonts w:eastAsia="Times New Roman" w:cs="Times New Roman"/>
                <w:sz w:val="20"/>
                <w:szCs w:val="20"/>
                <w:lang w:eastAsia="en-AU"/>
              </w:rPr>
            </w:pPr>
          </w:p>
        </w:tc>
      </w:tr>
      <w:tr w:rsidR="00EF7859" w:rsidRPr="00747D82" w14:paraId="7E0D1469" w14:textId="77777777" w:rsidTr="00E607DA">
        <w:trPr>
          <w:trHeight w:val="240"/>
        </w:trPr>
        <w:tc>
          <w:tcPr>
            <w:tcW w:w="6476" w:type="dxa"/>
            <w:tcBorders>
              <w:top w:val="nil"/>
              <w:left w:val="nil"/>
              <w:bottom w:val="nil"/>
              <w:right w:val="nil"/>
            </w:tcBorders>
            <w:shd w:val="clear" w:color="auto" w:fill="auto"/>
            <w:noWrap/>
            <w:vAlign w:val="center"/>
            <w:hideMark/>
          </w:tcPr>
          <w:p w14:paraId="14B47CAC" w14:textId="77777777" w:rsidR="00EF7859" w:rsidRPr="00747D82" w:rsidRDefault="00EF7859" w:rsidP="00E607DA">
            <w:pPr>
              <w:rPr>
                <w:rFonts w:ascii="Meta Pro" w:eastAsia="Times New Roman" w:hAnsi="Meta Pro"/>
                <w:szCs w:val="18"/>
                <w:lang w:eastAsia="en-AU"/>
              </w:rPr>
            </w:pPr>
            <w:r w:rsidRPr="00747D82">
              <w:rPr>
                <w:rFonts w:ascii="Meta Pro" w:eastAsia="Times New Roman" w:hAnsi="Meta Pro"/>
                <w:szCs w:val="18"/>
                <w:lang w:eastAsia="en-AU"/>
              </w:rPr>
              <w:t xml:space="preserve">  Payables</w:t>
            </w:r>
          </w:p>
        </w:tc>
        <w:tc>
          <w:tcPr>
            <w:tcW w:w="1096" w:type="dxa"/>
            <w:tcBorders>
              <w:top w:val="nil"/>
              <w:left w:val="nil"/>
              <w:bottom w:val="nil"/>
              <w:right w:val="nil"/>
            </w:tcBorders>
            <w:shd w:val="clear" w:color="auto" w:fill="auto"/>
            <w:noWrap/>
            <w:vAlign w:val="center"/>
            <w:hideMark/>
          </w:tcPr>
          <w:p w14:paraId="6B1F8489" w14:textId="77777777" w:rsidR="00EF7859" w:rsidRPr="00747D82" w:rsidRDefault="00EF7859" w:rsidP="00E607DA">
            <w:pPr>
              <w:jc w:val="center"/>
              <w:rPr>
                <w:rFonts w:ascii="Meta Pro" w:eastAsia="Times New Roman" w:hAnsi="Meta Pro"/>
                <w:szCs w:val="18"/>
                <w:lang w:eastAsia="en-AU"/>
              </w:rPr>
            </w:pPr>
            <w:r w:rsidRPr="00747D82">
              <w:rPr>
                <w:rFonts w:ascii="Meta Pro" w:eastAsia="Times New Roman" w:hAnsi="Meta Pro"/>
                <w:szCs w:val="18"/>
                <w:lang w:eastAsia="en-AU"/>
              </w:rPr>
              <w:t>17</w:t>
            </w:r>
          </w:p>
        </w:tc>
        <w:tc>
          <w:tcPr>
            <w:tcW w:w="1216" w:type="dxa"/>
            <w:tcBorders>
              <w:top w:val="nil"/>
              <w:left w:val="nil"/>
              <w:bottom w:val="nil"/>
              <w:right w:val="nil"/>
            </w:tcBorders>
            <w:shd w:val="clear" w:color="000000" w:fill="C9E3B4"/>
            <w:noWrap/>
            <w:vAlign w:val="center"/>
            <w:hideMark/>
          </w:tcPr>
          <w:p w14:paraId="332C627F" w14:textId="77777777" w:rsidR="00EF7859" w:rsidRPr="00747D82" w:rsidRDefault="00EF7859" w:rsidP="00E607DA">
            <w:pPr>
              <w:jc w:val="right"/>
              <w:rPr>
                <w:rFonts w:ascii="Meta Pro" w:eastAsia="Times New Roman" w:hAnsi="Meta Pro"/>
                <w:szCs w:val="18"/>
                <w:lang w:eastAsia="en-AU"/>
              </w:rPr>
            </w:pPr>
            <w:r w:rsidRPr="00747D82">
              <w:rPr>
                <w:rFonts w:ascii="Meta Pro" w:eastAsia="Times New Roman" w:hAnsi="Meta Pro"/>
                <w:szCs w:val="18"/>
                <w:lang w:eastAsia="en-AU"/>
              </w:rPr>
              <w:t xml:space="preserve">683,237 </w:t>
            </w:r>
          </w:p>
        </w:tc>
        <w:tc>
          <w:tcPr>
            <w:tcW w:w="216" w:type="dxa"/>
            <w:tcBorders>
              <w:top w:val="nil"/>
              <w:left w:val="nil"/>
              <w:bottom w:val="nil"/>
              <w:right w:val="nil"/>
            </w:tcBorders>
            <w:shd w:val="clear" w:color="auto" w:fill="auto"/>
            <w:noWrap/>
            <w:vAlign w:val="center"/>
            <w:hideMark/>
          </w:tcPr>
          <w:p w14:paraId="48CB7D2D" w14:textId="77777777" w:rsidR="00EF7859" w:rsidRPr="00747D82" w:rsidRDefault="00EF7859"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418DF56C" w14:textId="77777777" w:rsidR="00EF7859" w:rsidRPr="00747D82" w:rsidRDefault="00EF7859" w:rsidP="00E607DA">
            <w:pPr>
              <w:jc w:val="right"/>
              <w:rPr>
                <w:rFonts w:ascii="Meta Pro" w:eastAsia="Times New Roman" w:hAnsi="Meta Pro"/>
                <w:szCs w:val="18"/>
                <w:lang w:eastAsia="en-AU"/>
              </w:rPr>
            </w:pPr>
            <w:r w:rsidRPr="00747D82">
              <w:rPr>
                <w:rFonts w:ascii="Meta Pro" w:eastAsia="Times New Roman" w:hAnsi="Meta Pro"/>
                <w:szCs w:val="18"/>
                <w:lang w:eastAsia="en-AU"/>
              </w:rPr>
              <w:t xml:space="preserve">687,167 </w:t>
            </w:r>
          </w:p>
        </w:tc>
      </w:tr>
      <w:tr w:rsidR="00EF7859" w:rsidRPr="00747D82" w14:paraId="4C59E95C" w14:textId="77777777" w:rsidTr="00E607DA">
        <w:trPr>
          <w:trHeight w:val="240"/>
        </w:trPr>
        <w:tc>
          <w:tcPr>
            <w:tcW w:w="6476" w:type="dxa"/>
            <w:tcBorders>
              <w:top w:val="nil"/>
              <w:left w:val="nil"/>
              <w:bottom w:val="nil"/>
              <w:right w:val="nil"/>
            </w:tcBorders>
            <w:shd w:val="clear" w:color="auto" w:fill="auto"/>
            <w:noWrap/>
            <w:vAlign w:val="center"/>
            <w:hideMark/>
          </w:tcPr>
          <w:p w14:paraId="56D4FABA" w14:textId="77777777" w:rsidR="00EF7859" w:rsidRPr="00747D82" w:rsidRDefault="00EF7859" w:rsidP="00E607DA">
            <w:pPr>
              <w:rPr>
                <w:rFonts w:ascii="Meta Pro" w:eastAsia="Times New Roman" w:hAnsi="Meta Pro"/>
                <w:szCs w:val="18"/>
                <w:lang w:eastAsia="en-AU"/>
              </w:rPr>
            </w:pPr>
            <w:r w:rsidRPr="00747D82">
              <w:rPr>
                <w:rFonts w:ascii="Meta Pro" w:eastAsia="Times New Roman" w:hAnsi="Meta Pro"/>
                <w:szCs w:val="18"/>
                <w:lang w:eastAsia="en-AU"/>
              </w:rPr>
              <w:t xml:space="preserve">  Lease liabilities</w:t>
            </w:r>
          </w:p>
        </w:tc>
        <w:tc>
          <w:tcPr>
            <w:tcW w:w="1096" w:type="dxa"/>
            <w:tcBorders>
              <w:top w:val="nil"/>
              <w:left w:val="nil"/>
              <w:bottom w:val="nil"/>
              <w:right w:val="nil"/>
            </w:tcBorders>
            <w:shd w:val="clear" w:color="auto" w:fill="auto"/>
            <w:noWrap/>
            <w:vAlign w:val="center"/>
            <w:hideMark/>
          </w:tcPr>
          <w:p w14:paraId="43A391B4" w14:textId="77777777" w:rsidR="00EF7859" w:rsidRPr="00747D82" w:rsidRDefault="00EF7859" w:rsidP="00E607DA">
            <w:pPr>
              <w:jc w:val="center"/>
              <w:rPr>
                <w:rFonts w:ascii="Meta Pro" w:eastAsia="Times New Roman" w:hAnsi="Meta Pro"/>
                <w:szCs w:val="18"/>
                <w:lang w:eastAsia="en-AU"/>
              </w:rPr>
            </w:pPr>
            <w:r w:rsidRPr="00747D82">
              <w:rPr>
                <w:rFonts w:ascii="Meta Pro" w:eastAsia="Times New Roman" w:hAnsi="Meta Pro"/>
                <w:szCs w:val="18"/>
                <w:lang w:eastAsia="en-AU"/>
              </w:rPr>
              <w:t>18</w:t>
            </w:r>
          </w:p>
        </w:tc>
        <w:tc>
          <w:tcPr>
            <w:tcW w:w="1216" w:type="dxa"/>
            <w:tcBorders>
              <w:top w:val="nil"/>
              <w:left w:val="nil"/>
              <w:bottom w:val="nil"/>
              <w:right w:val="nil"/>
            </w:tcBorders>
            <w:shd w:val="clear" w:color="000000" w:fill="C9E3B4"/>
            <w:noWrap/>
            <w:vAlign w:val="center"/>
            <w:hideMark/>
          </w:tcPr>
          <w:p w14:paraId="751981F3" w14:textId="77777777" w:rsidR="00EF7859" w:rsidRPr="00747D82" w:rsidRDefault="00EF7859" w:rsidP="00E607DA">
            <w:pPr>
              <w:jc w:val="right"/>
              <w:rPr>
                <w:rFonts w:ascii="Meta Pro" w:eastAsia="Times New Roman" w:hAnsi="Meta Pro"/>
                <w:szCs w:val="18"/>
                <w:lang w:eastAsia="en-AU"/>
              </w:rPr>
            </w:pPr>
            <w:r w:rsidRPr="00747D82">
              <w:rPr>
                <w:rFonts w:ascii="Meta Pro" w:eastAsia="Times New Roman" w:hAnsi="Meta Pro"/>
                <w:szCs w:val="18"/>
                <w:lang w:eastAsia="en-AU"/>
              </w:rPr>
              <w:t xml:space="preserve">3,370 </w:t>
            </w:r>
          </w:p>
        </w:tc>
        <w:tc>
          <w:tcPr>
            <w:tcW w:w="216" w:type="dxa"/>
            <w:tcBorders>
              <w:top w:val="nil"/>
              <w:left w:val="nil"/>
              <w:bottom w:val="nil"/>
              <w:right w:val="nil"/>
            </w:tcBorders>
            <w:shd w:val="clear" w:color="auto" w:fill="auto"/>
            <w:noWrap/>
            <w:vAlign w:val="center"/>
            <w:hideMark/>
          </w:tcPr>
          <w:p w14:paraId="6E9B4621" w14:textId="77777777" w:rsidR="00EF7859" w:rsidRPr="00747D82" w:rsidRDefault="00EF7859"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55DE4DC2" w14:textId="77777777" w:rsidR="00EF7859" w:rsidRPr="00747D82" w:rsidRDefault="00EF7859" w:rsidP="00E607DA">
            <w:pPr>
              <w:jc w:val="right"/>
              <w:rPr>
                <w:rFonts w:ascii="Meta Pro" w:eastAsia="Times New Roman" w:hAnsi="Meta Pro"/>
                <w:szCs w:val="18"/>
                <w:lang w:eastAsia="en-AU"/>
              </w:rPr>
            </w:pPr>
            <w:r w:rsidRPr="00747D82">
              <w:rPr>
                <w:rFonts w:ascii="Meta Pro" w:eastAsia="Times New Roman" w:hAnsi="Meta Pro"/>
                <w:szCs w:val="18"/>
                <w:lang w:eastAsia="en-AU"/>
              </w:rPr>
              <w:t xml:space="preserve">3,467 </w:t>
            </w:r>
          </w:p>
        </w:tc>
      </w:tr>
      <w:tr w:rsidR="00EF7859" w:rsidRPr="00747D82" w14:paraId="5061C57F" w14:textId="77777777" w:rsidTr="00E607DA">
        <w:trPr>
          <w:trHeight w:val="240"/>
        </w:trPr>
        <w:tc>
          <w:tcPr>
            <w:tcW w:w="6476" w:type="dxa"/>
            <w:tcBorders>
              <w:top w:val="nil"/>
              <w:left w:val="nil"/>
              <w:bottom w:val="nil"/>
              <w:right w:val="nil"/>
            </w:tcBorders>
            <w:shd w:val="clear" w:color="auto" w:fill="auto"/>
            <w:noWrap/>
            <w:vAlign w:val="center"/>
            <w:hideMark/>
          </w:tcPr>
          <w:p w14:paraId="305A5F1E" w14:textId="77777777" w:rsidR="00EF7859" w:rsidRPr="00747D82" w:rsidRDefault="00EF7859" w:rsidP="00E607DA">
            <w:pPr>
              <w:rPr>
                <w:rFonts w:ascii="Meta Pro" w:eastAsia="Times New Roman" w:hAnsi="Meta Pro"/>
                <w:szCs w:val="18"/>
                <w:lang w:eastAsia="en-AU"/>
              </w:rPr>
            </w:pPr>
            <w:r w:rsidRPr="00747D82">
              <w:rPr>
                <w:rFonts w:ascii="Meta Pro" w:eastAsia="Times New Roman" w:hAnsi="Meta Pro"/>
                <w:szCs w:val="18"/>
                <w:lang w:eastAsia="en-AU"/>
              </w:rPr>
              <w:t xml:space="preserve">  Service concession arrangements</w:t>
            </w:r>
          </w:p>
        </w:tc>
        <w:tc>
          <w:tcPr>
            <w:tcW w:w="1096" w:type="dxa"/>
            <w:tcBorders>
              <w:top w:val="nil"/>
              <w:left w:val="nil"/>
              <w:bottom w:val="nil"/>
              <w:right w:val="nil"/>
            </w:tcBorders>
            <w:shd w:val="clear" w:color="auto" w:fill="auto"/>
            <w:noWrap/>
            <w:vAlign w:val="center"/>
            <w:hideMark/>
          </w:tcPr>
          <w:p w14:paraId="15FFBC92" w14:textId="77777777" w:rsidR="00EF7859" w:rsidRPr="00747D82" w:rsidRDefault="00EF7859" w:rsidP="00E607DA">
            <w:pPr>
              <w:jc w:val="center"/>
              <w:rPr>
                <w:rFonts w:ascii="Meta Pro" w:eastAsia="Times New Roman" w:hAnsi="Meta Pro"/>
                <w:szCs w:val="18"/>
                <w:lang w:eastAsia="en-AU"/>
              </w:rPr>
            </w:pPr>
            <w:r w:rsidRPr="00747D82">
              <w:rPr>
                <w:rFonts w:ascii="Meta Pro" w:eastAsia="Times New Roman" w:hAnsi="Meta Pro"/>
                <w:szCs w:val="18"/>
                <w:lang w:eastAsia="en-AU"/>
              </w:rPr>
              <w:t>18</w:t>
            </w:r>
          </w:p>
        </w:tc>
        <w:tc>
          <w:tcPr>
            <w:tcW w:w="1216" w:type="dxa"/>
            <w:tcBorders>
              <w:top w:val="nil"/>
              <w:left w:val="nil"/>
              <w:bottom w:val="nil"/>
              <w:right w:val="nil"/>
            </w:tcBorders>
            <w:shd w:val="clear" w:color="000000" w:fill="C9E3B4"/>
            <w:noWrap/>
            <w:vAlign w:val="center"/>
            <w:hideMark/>
          </w:tcPr>
          <w:p w14:paraId="0EF1E923" w14:textId="77777777" w:rsidR="00EF7859" w:rsidRPr="00747D82" w:rsidRDefault="00EF7859" w:rsidP="00E607DA">
            <w:pPr>
              <w:jc w:val="right"/>
              <w:rPr>
                <w:rFonts w:ascii="Meta Pro" w:eastAsia="Times New Roman" w:hAnsi="Meta Pro"/>
                <w:szCs w:val="18"/>
                <w:lang w:eastAsia="en-AU"/>
              </w:rPr>
            </w:pPr>
            <w:r w:rsidRPr="00747D82">
              <w:rPr>
                <w:rFonts w:ascii="Meta Pro" w:eastAsia="Times New Roman" w:hAnsi="Meta Pro"/>
                <w:szCs w:val="18"/>
                <w:lang w:eastAsia="en-AU"/>
              </w:rPr>
              <w:t xml:space="preserve">737,358 </w:t>
            </w:r>
          </w:p>
        </w:tc>
        <w:tc>
          <w:tcPr>
            <w:tcW w:w="216" w:type="dxa"/>
            <w:tcBorders>
              <w:top w:val="nil"/>
              <w:left w:val="nil"/>
              <w:bottom w:val="nil"/>
              <w:right w:val="nil"/>
            </w:tcBorders>
            <w:shd w:val="clear" w:color="auto" w:fill="auto"/>
            <w:noWrap/>
            <w:vAlign w:val="center"/>
            <w:hideMark/>
          </w:tcPr>
          <w:p w14:paraId="71898AC0" w14:textId="77777777" w:rsidR="00EF7859" w:rsidRPr="00747D82" w:rsidRDefault="00EF7859"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449CD9F1" w14:textId="77777777" w:rsidR="00EF7859" w:rsidRPr="00747D82" w:rsidRDefault="00EF7859" w:rsidP="00E607DA">
            <w:pPr>
              <w:jc w:val="right"/>
              <w:rPr>
                <w:rFonts w:ascii="Meta Pro" w:eastAsia="Times New Roman" w:hAnsi="Meta Pro"/>
                <w:szCs w:val="18"/>
                <w:lang w:eastAsia="en-AU"/>
              </w:rPr>
            </w:pPr>
            <w:r w:rsidRPr="00747D82">
              <w:rPr>
                <w:rFonts w:ascii="Meta Pro" w:eastAsia="Times New Roman" w:hAnsi="Meta Pro"/>
                <w:szCs w:val="18"/>
                <w:lang w:eastAsia="en-AU"/>
              </w:rPr>
              <w:t xml:space="preserve">694,409 </w:t>
            </w:r>
          </w:p>
        </w:tc>
      </w:tr>
      <w:tr w:rsidR="00EF7859" w:rsidRPr="00747D82" w14:paraId="1FF02FCE" w14:textId="77777777" w:rsidTr="00E607DA">
        <w:trPr>
          <w:trHeight w:val="240"/>
        </w:trPr>
        <w:tc>
          <w:tcPr>
            <w:tcW w:w="6476" w:type="dxa"/>
            <w:tcBorders>
              <w:top w:val="nil"/>
              <w:left w:val="nil"/>
              <w:bottom w:val="nil"/>
              <w:right w:val="nil"/>
            </w:tcBorders>
            <w:shd w:val="clear" w:color="auto" w:fill="auto"/>
            <w:noWrap/>
            <w:vAlign w:val="center"/>
            <w:hideMark/>
          </w:tcPr>
          <w:p w14:paraId="51E275E6" w14:textId="77777777" w:rsidR="00EF7859" w:rsidRPr="00747D82" w:rsidRDefault="00EF7859" w:rsidP="00E607DA">
            <w:pPr>
              <w:rPr>
                <w:rFonts w:ascii="Meta Pro" w:eastAsia="Times New Roman" w:hAnsi="Meta Pro"/>
                <w:szCs w:val="18"/>
                <w:lang w:eastAsia="en-AU"/>
              </w:rPr>
            </w:pPr>
            <w:r w:rsidRPr="00747D82">
              <w:rPr>
                <w:rFonts w:ascii="Meta Pro" w:eastAsia="Times New Roman" w:hAnsi="Meta Pro"/>
                <w:szCs w:val="18"/>
                <w:lang w:eastAsia="en-AU"/>
              </w:rPr>
              <w:t xml:space="preserve">  New Generation Rollingstock arrangement</w:t>
            </w:r>
          </w:p>
        </w:tc>
        <w:tc>
          <w:tcPr>
            <w:tcW w:w="1096" w:type="dxa"/>
            <w:tcBorders>
              <w:top w:val="nil"/>
              <w:left w:val="nil"/>
              <w:bottom w:val="nil"/>
              <w:right w:val="nil"/>
            </w:tcBorders>
            <w:shd w:val="clear" w:color="auto" w:fill="auto"/>
            <w:noWrap/>
            <w:vAlign w:val="center"/>
            <w:hideMark/>
          </w:tcPr>
          <w:p w14:paraId="77D1CD72" w14:textId="77777777" w:rsidR="00EF7859" w:rsidRPr="00747D82" w:rsidRDefault="00EF7859" w:rsidP="00E607DA">
            <w:pPr>
              <w:jc w:val="center"/>
              <w:rPr>
                <w:rFonts w:ascii="Meta Pro" w:eastAsia="Times New Roman" w:hAnsi="Meta Pro"/>
                <w:szCs w:val="18"/>
                <w:lang w:eastAsia="en-AU"/>
              </w:rPr>
            </w:pPr>
            <w:r w:rsidRPr="00747D82">
              <w:rPr>
                <w:rFonts w:ascii="Meta Pro" w:eastAsia="Times New Roman" w:hAnsi="Meta Pro"/>
                <w:szCs w:val="18"/>
                <w:lang w:eastAsia="en-AU"/>
              </w:rPr>
              <w:t>18</w:t>
            </w:r>
          </w:p>
        </w:tc>
        <w:tc>
          <w:tcPr>
            <w:tcW w:w="1216" w:type="dxa"/>
            <w:tcBorders>
              <w:top w:val="nil"/>
              <w:left w:val="nil"/>
              <w:bottom w:val="nil"/>
              <w:right w:val="nil"/>
            </w:tcBorders>
            <w:shd w:val="clear" w:color="000000" w:fill="C9E3B4"/>
            <w:noWrap/>
            <w:vAlign w:val="center"/>
            <w:hideMark/>
          </w:tcPr>
          <w:p w14:paraId="46C386E6" w14:textId="77777777" w:rsidR="00EF7859" w:rsidRPr="00747D82" w:rsidRDefault="00EF7859" w:rsidP="00E607DA">
            <w:pPr>
              <w:jc w:val="right"/>
              <w:rPr>
                <w:rFonts w:ascii="Meta Pro" w:eastAsia="Times New Roman" w:hAnsi="Meta Pro"/>
                <w:szCs w:val="18"/>
                <w:lang w:eastAsia="en-AU"/>
              </w:rPr>
            </w:pPr>
            <w:r w:rsidRPr="00747D82">
              <w:rPr>
                <w:rFonts w:ascii="Meta Pro" w:eastAsia="Times New Roman" w:hAnsi="Meta Pro"/>
                <w:szCs w:val="18"/>
                <w:lang w:eastAsia="en-AU"/>
              </w:rPr>
              <w:t xml:space="preserve">554,873 </w:t>
            </w:r>
          </w:p>
        </w:tc>
        <w:tc>
          <w:tcPr>
            <w:tcW w:w="216" w:type="dxa"/>
            <w:tcBorders>
              <w:top w:val="nil"/>
              <w:left w:val="nil"/>
              <w:bottom w:val="nil"/>
              <w:right w:val="nil"/>
            </w:tcBorders>
            <w:shd w:val="clear" w:color="auto" w:fill="auto"/>
            <w:noWrap/>
            <w:vAlign w:val="center"/>
            <w:hideMark/>
          </w:tcPr>
          <w:p w14:paraId="561B0264" w14:textId="77777777" w:rsidR="00EF7859" w:rsidRPr="00747D82" w:rsidRDefault="00EF7859"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65379230" w14:textId="77777777" w:rsidR="00EF7859" w:rsidRPr="00747D82" w:rsidRDefault="00EF7859" w:rsidP="00E607DA">
            <w:pPr>
              <w:jc w:val="right"/>
              <w:rPr>
                <w:rFonts w:ascii="Meta Pro" w:eastAsia="Times New Roman" w:hAnsi="Meta Pro"/>
                <w:szCs w:val="18"/>
                <w:lang w:eastAsia="en-AU"/>
              </w:rPr>
            </w:pPr>
            <w:r w:rsidRPr="00747D82">
              <w:rPr>
                <w:rFonts w:ascii="Meta Pro" w:eastAsia="Times New Roman" w:hAnsi="Meta Pro"/>
                <w:szCs w:val="18"/>
                <w:lang w:eastAsia="en-AU"/>
              </w:rPr>
              <w:t xml:space="preserve">557,974 </w:t>
            </w:r>
          </w:p>
        </w:tc>
      </w:tr>
      <w:tr w:rsidR="00EF7859" w:rsidRPr="00747D82" w14:paraId="302662BB" w14:textId="77777777" w:rsidTr="00E607DA">
        <w:trPr>
          <w:trHeight w:val="240"/>
        </w:trPr>
        <w:tc>
          <w:tcPr>
            <w:tcW w:w="6476" w:type="dxa"/>
            <w:tcBorders>
              <w:top w:val="single" w:sz="4" w:space="0" w:color="auto"/>
              <w:left w:val="nil"/>
              <w:bottom w:val="double" w:sz="6" w:space="0" w:color="auto"/>
              <w:right w:val="nil"/>
            </w:tcBorders>
            <w:shd w:val="clear" w:color="auto" w:fill="auto"/>
            <w:noWrap/>
            <w:vAlign w:val="center"/>
            <w:hideMark/>
          </w:tcPr>
          <w:p w14:paraId="5C66A8AF" w14:textId="77777777" w:rsidR="00EF7859" w:rsidRPr="00747D82" w:rsidRDefault="00EF7859" w:rsidP="00E607DA">
            <w:pPr>
              <w:rPr>
                <w:rFonts w:ascii="Meta Pro" w:eastAsia="Times New Roman" w:hAnsi="Meta Pro"/>
                <w:b/>
                <w:bCs/>
                <w:szCs w:val="18"/>
                <w:lang w:eastAsia="en-AU"/>
              </w:rPr>
            </w:pPr>
            <w:r w:rsidRPr="00747D82">
              <w:rPr>
                <w:rFonts w:ascii="Meta Pro" w:eastAsia="Times New Roman" w:hAnsi="Meta Pro"/>
                <w:b/>
                <w:bCs/>
                <w:szCs w:val="18"/>
                <w:lang w:eastAsia="en-AU"/>
              </w:rPr>
              <w:t>Total</w:t>
            </w:r>
          </w:p>
        </w:tc>
        <w:tc>
          <w:tcPr>
            <w:tcW w:w="1096" w:type="dxa"/>
            <w:tcBorders>
              <w:top w:val="single" w:sz="4" w:space="0" w:color="auto"/>
              <w:left w:val="nil"/>
              <w:bottom w:val="double" w:sz="6" w:space="0" w:color="auto"/>
              <w:right w:val="nil"/>
            </w:tcBorders>
            <w:shd w:val="clear" w:color="auto" w:fill="auto"/>
            <w:noWrap/>
            <w:vAlign w:val="center"/>
            <w:hideMark/>
          </w:tcPr>
          <w:p w14:paraId="696219EA" w14:textId="77777777" w:rsidR="00EF7859" w:rsidRPr="00747D82" w:rsidRDefault="00EF7859" w:rsidP="00E607DA">
            <w:pPr>
              <w:rPr>
                <w:rFonts w:ascii="Meta Pro" w:eastAsia="Times New Roman" w:hAnsi="Meta Pro"/>
                <w:b/>
                <w:bCs/>
                <w:szCs w:val="18"/>
                <w:lang w:eastAsia="en-AU"/>
              </w:rPr>
            </w:pPr>
            <w:r w:rsidRPr="00747D82">
              <w:rPr>
                <w:rFonts w:ascii="Meta Pro" w:eastAsia="Times New Roman" w:hAnsi="Meta Pro"/>
                <w:b/>
                <w:bCs/>
                <w:szCs w:val="18"/>
                <w:lang w:eastAsia="en-AU"/>
              </w:rPr>
              <w:t> </w:t>
            </w:r>
          </w:p>
        </w:tc>
        <w:tc>
          <w:tcPr>
            <w:tcW w:w="1216" w:type="dxa"/>
            <w:tcBorders>
              <w:top w:val="single" w:sz="4" w:space="0" w:color="auto"/>
              <w:left w:val="nil"/>
              <w:bottom w:val="double" w:sz="6" w:space="0" w:color="auto"/>
              <w:right w:val="nil"/>
            </w:tcBorders>
            <w:shd w:val="clear" w:color="000000" w:fill="C9E3B4"/>
            <w:noWrap/>
            <w:vAlign w:val="center"/>
            <w:hideMark/>
          </w:tcPr>
          <w:p w14:paraId="738905C3" w14:textId="77777777" w:rsidR="00EF7859" w:rsidRPr="00747D82" w:rsidRDefault="00EF7859" w:rsidP="00E607DA">
            <w:pPr>
              <w:jc w:val="right"/>
              <w:rPr>
                <w:rFonts w:ascii="Meta Pro" w:eastAsia="Times New Roman" w:hAnsi="Meta Pro"/>
                <w:b/>
                <w:bCs/>
                <w:szCs w:val="18"/>
                <w:lang w:eastAsia="en-AU"/>
              </w:rPr>
            </w:pPr>
            <w:r w:rsidRPr="00747D82">
              <w:rPr>
                <w:rFonts w:ascii="Meta Pro" w:eastAsia="Times New Roman" w:hAnsi="Meta Pro"/>
                <w:b/>
                <w:bCs/>
                <w:szCs w:val="18"/>
                <w:lang w:eastAsia="en-AU"/>
              </w:rPr>
              <w:t xml:space="preserve">1,978,838 </w:t>
            </w:r>
          </w:p>
        </w:tc>
        <w:tc>
          <w:tcPr>
            <w:tcW w:w="216" w:type="dxa"/>
            <w:tcBorders>
              <w:top w:val="single" w:sz="4" w:space="0" w:color="auto"/>
              <w:left w:val="nil"/>
              <w:bottom w:val="double" w:sz="6" w:space="0" w:color="auto"/>
              <w:right w:val="nil"/>
            </w:tcBorders>
            <w:shd w:val="clear" w:color="auto" w:fill="auto"/>
            <w:noWrap/>
            <w:vAlign w:val="center"/>
            <w:hideMark/>
          </w:tcPr>
          <w:p w14:paraId="6AAF0F49" w14:textId="77777777" w:rsidR="00EF7859" w:rsidRPr="00747D82" w:rsidRDefault="00EF7859" w:rsidP="00E607DA">
            <w:pPr>
              <w:jc w:val="right"/>
              <w:rPr>
                <w:rFonts w:ascii="Meta Pro" w:eastAsia="Times New Roman" w:hAnsi="Meta Pro"/>
                <w:b/>
                <w:bCs/>
                <w:szCs w:val="18"/>
                <w:lang w:eastAsia="en-AU"/>
              </w:rPr>
            </w:pPr>
            <w:r w:rsidRPr="00747D82">
              <w:rPr>
                <w:rFonts w:ascii="Meta Pro" w:eastAsia="Times New Roman" w:hAnsi="Meta Pro"/>
                <w:b/>
                <w:bCs/>
                <w:szCs w:val="18"/>
                <w:lang w:eastAsia="en-AU"/>
              </w:rPr>
              <w:t> </w:t>
            </w:r>
          </w:p>
        </w:tc>
        <w:tc>
          <w:tcPr>
            <w:tcW w:w="1216" w:type="dxa"/>
            <w:tcBorders>
              <w:top w:val="single" w:sz="4" w:space="0" w:color="auto"/>
              <w:left w:val="nil"/>
              <w:bottom w:val="double" w:sz="6" w:space="0" w:color="auto"/>
              <w:right w:val="nil"/>
            </w:tcBorders>
            <w:shd w:val="clear" w:color="auto" w:fill="auto"/>
            <w:noWrap/>
            <w:vAlign w:val="center"/>
            <w:hideMark/>
          </w:tcPr>
          <w:p w14:paraId="58EA50B0" w14:textId="77777777" w:rsidR="00EF7859" w:rsidRPr="00747D82" w:rsidRDefault="00EF7859" w:rsidP="00E607DA">
            <w:pPr>
              <w:jc w:val="right"/>
              <w:rPr>
                <w:rFonts w:ascii="Meta Pro" w:eastAsia="Times New Roman" w:hAnsi="Meta Pro"/>
                <w:b/>
                <w:bCs/>
                <w:szCs w:val="18"/>
                <w:lang w:eastAsia="en-AU"/>
              </w:rPr>
            </w:pPr>
            <w:r w:rsidRPr="00747D82">
              <w:rPr>
                <w:rFonts w:ascii="Meta Pro" w:eastAsia="Times New Roman" w:hAnsi="Meta Pro"/>
                <w:b/>
                <w:bCs/>
                <w:szCs w:val="18"/>
                <w:lang w:eastAsia="en-AU"/>
              </w:rPr>
              <w:t xml:space="preserve">1,943,017 </w:t>
            </w:r>
          </w:p>
        </w:tc>
      </w:tr>
    </w:tbl>
    <w:p w14:paraId="4BA65DE6" w14:textId="77777777" w:rsidR="00EF7859" w:rsidRPr="00092B22" w:rsidRDefault="00EF7859" w:rsidP="00EF7859">
      <w:pPr>
        <w:rPr>
          <w:rFonts w:ascii="Meta Pro" w:eastAsia="Times New Roman" w:hAnsi="Meta Pro"/>
          <w:color w:val="000000"/>
          <w:szCs w:val="18"/>
          <w:lang w:eastAsia="en-AU"/>
        </w:rPr>
      </w:pPr>
    </w:p>
    <w:p w14:paraId="486D22B6" w14:textId="77777777" w:rsidR="00EF7859" w:rsidRPr="00092B22" w:rsidRDefault="00EF7859" w:rsidP="00EF7859">
      <w:pPr>
        <w:rPr>
          <w:rFonts w:ascii="Meta Pro" w:eastAsia="Times New Roman" w:hAnsi="Meta Pro"/>
          <w:b/>
          <w:bCs/>
          <w:szCs w:val="18"/>
          <w:lang w:eastAsia="en-AU"/>
        </w:rPr>
      </w:pPr>
      <w:r w:rsidRPr="00092B22">
        <w:rPr>
          <w:rFonts w:ascii="Meta Pro" w:eastAsia="Times New Roman" w:hAnsi="Meta Pro"/>
          <w:b/>
          <w:bCs/>
          <w:szCs w:val="18"/>
          <w:lang w:eastAsia="en-AU"/>
        </w:rPr>
        <w:t>FINANCIAL RISK MANAGEMENT</w:t>
      </w:r>
    </w:p>
    <w:p w14:paraId="1DD97803" w14:textId="77777777" w:rsidR="00EF7859" w:rsidRPr="00092B22" w:rsidRDefault="00EF7859" w:rsidP="00EF7859">
      <w:pPr>
        <w:spacing w:before="120" w:line="259" w:lineRule="auto"/>
        <w:rPr>
          <w:rFonts w:ascii="Meta Pro" w:eastAsia="Times New Roman" w:hAnsi="Meta Pro"/>
          <w:color w:val="000000"/>
          <w:szCs w:val="18"/>
          <w:lang w:eastAsia="en-AU"/>
        </w:rPr>
      </w:pPr>
      <w:r w:rsidRPr="00092B22">
        <w:rPr>
          <w:rFonts w:ascii="Meta Pro" w:eastAsia="Times New Roman" w:hAnsi="Meta Pro"/>
          <w:szCs w:val="18"/>
          <w:lang w:eastAsia="en-AU"/>
        </w:rPr>
        <w:t>The department's activities have the potential to expose it to a variety of financial risks such as interest rate risk, credit risk, liquidity risk and market risk. Financial risk management is implemented pursuant to government and departmental policy and seeks to minimise possible adverse effects on the financial performance of the department</w:t>
      </w:r>
      <w:r w:rsidRPr="00092B22">
        <w:rPr>
          <w:rFonts w:ascii="Meta Pro" w:eastAsia="Times New Roman" w:hAnsi="Meta Pro"/>
          <w:color w:val="000000"/>
          <w:szCs w:val="18"/>
          <w:lang w:eastAsia="en-AU"/>
        </w:rPr>
        <w:t>.</w:t>
      </w:r>
    </w:p>
    <w:p w14:paraId="3ADDC10A" w14:textId="77777777" w:rsidR="00EF7859" w:rsidRPr="00092B22" w:rsidRDefault="00EF7859" w:rsidP="00EF7859">
      <w:pPr>
        <w:spacing w:before="120" w:line="259" w:lineRule="auto"/>
        <w:rPr>
          <w:rFonts w:ascii="Meta Pro" w:eastAsia="Times New Roman" w:hAnsi="Meta Pro"/>
          <w:szCs w:val="18"/>
          <w:lang w:eastAsia="en-AU"/>
        </w:rPr>
      </w:pPr>
      <w:r w:rsidRPr="00092B22">
        <w:rPr>
          <w:rFonts w:ascii="Meta Pro" w:eastAsia="Times New Roman" w:hAnsi="Meta Pro"/>
          <w:color w:val="000000"/>
          <w:szCs w:val="18"/>
          <w:lang w:eastAsia="en-AU"/>
        </w:rPr>
        <w:t>All financial risk is managed by each division under policy established by the Finance and Procurement Branch</w:t>
      </w:r>
      <w:r w:rsidRPr="00092B22">
        <w:rPr>
          <w:rFonts w:ascii="Meta Pro" w:eastAsia="Times New Roman" w:hAnsi="Meta Pro"/>
          <w:szCs w:val="18"/>
          <w:lang w:eastAsia="en-AU"/>
        </w:rPr>
        <w:t>.</w:t>
      </w:r>
    </w:p>
    <w:p w14:paraId="7DE2E01C" w14:textId="77777777" w:rsidR="00EF7859" w:rsidRPr="00092B22" w:rsidRDefault="00EF7859" w:rsidP="00EF7859">
      <w:pPr>
        <w:rPr>
          <w:rFonts w:ascii="Meta Pro" w:eastAsia="Times New Roman" w:hAnsi="Meta Pro"/>
          <w:b/>
          <w:bCs/>
          <w:szCs w:val="18"/>
          <w:lang w:eastAsia="en-AU"/>
        </w:rPr>
      </w:pPr>
      <w:r w:rsidRPr="00092B22">
        <w:rPr>
          <w:rFonts w:ascii="Meta Pro" w:eastAsia="Times New Roman" w:hAnsi="Meta Pro"/>
          <w:b/>
          <w:bCs/>
          <w:szCs w:val="18"/>
          <w:lang w:eastAsia="en-AU"/>
        </w:rPr>
        <w:t>CREDIT RISK EXPOSURE</w:t>
      </w:r>
    </w:p>
    <w:p w14:paraId="03BC9321" w14:textId="77777777" w:rsidR="00EF7859" w:rsidRPr="00092B22" w:rsidRDefault="00EF7859" w:rsidP="00EF7859">
      <w:pPr>
        <w:spacing w:before="120"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Credit risk exposure refers to the situation where the department may incur financial loss as a result of another party to a financial instrument failing to discharge their obligation.</w:t>
      </w:r>
    </w:p>
    <w:p w14:paraId="7464FD53" w14:textId="77777777" w:rsidR="00EF7859" w:rsidRPr="00092B22" w:rsidRDefault="00EF7859" w:rsidP="00EF7859">
      <w:pPr>
        <w:spacing w:before="120"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The maximum exposure to credit risk at balance date in relation to each class of recognised financial asset is the gross carrying amount of those assets inclusive of any provision for impairment less any collateral held as security, such as deposits.</w:t>
      </w:r>
    </w:p>
    <w:p w14:paraId="61575D06" w14:textId="77777777" w:rsidR="00EF7859" w:rsidRPr="00092B22" w:rsidRDefault="00EF7859" w:rsidP="00EF7859">
      <w:pPr>
        <w:spacing w:before="120"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The department manages credit risk through the use of a credit management strategy. This strategy aims to reduce the exposure to credit default by ensuring the department invests in secure assets and monitors all funds owed. Exposure to credit risk is monitored on an ongoing basis.</w:t>
      </w:r>
    </w:p>
    <w:p w14:paraId="6F98A364" w14:textId="77777777" w:rsidR="00EF7859" w:rsidRPr="00092B22" w:rsidRDefault="00EF7859" w:rsidP="00EF7859">
      <w:pPr>
        <w:spacing w:before="120"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Refer to Note 12 for receivables credit risk ageing analysis.</w:t>
      </w:r>
    </w:p>
    <w:p w14:paraId="064D6C77" w14:textId="77777777" w:rsidR="00EF7859" w:rsidRPr="00092B22" w:rsidRDefault="00EF7859" w:rsidP="00EF7859">
      <w:pPr>
        <w:rPr>
          <w:rFonts w:ascii="Meta Pro" w:eastAsia="Times New Roman" w:hAnsi="Meta Pro"/>
          <w:b/>
          <w:bCs/>
          <w:szCs w:val="18"/>
          <w:lang w:eastAsia="en-AU"/>
        </w:rPr>
      </w:pPr>
      <w:r w:rsidRPr="00092B22">
        <w:rPr>
          <w:rFonts w:ascii="Meta Pro" w:eastAsia="Times New Roman" w:hAnsi="Meta Pro"/>
          <w:b/>
          <w:bCs/>
          <w:szCs w:val="18"/>
          <w:lang w:eastAsia="en-AU"/>
        </w:rPr>
        <w:t>LIQUIDITY RISK</w:t>
      </w:r>
    </w:p>
    <w:p w14:paraId="6346D7D0" w14:textId="146B37C8" w:rsidR="00EF7859" w:rsidRDefault="00EF7859" w:rsidP="00EF7859">
      <w:pPr>
        <w:spacing w:before="120"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The department manages liquidity risk through regular fortnightly appropriation payments from the Consolidated Fund. This strategy reduces the exposure to liquidity risk by ensuring the department has sufficient funds available to meet its obligations when they fall due.</w:t>
      </w:r>
    </w:p>
    <w:p w14:paraId="7047A961" w14:textId="77777777" w:rsidR="002A161D" w:rsidRPr="00092B22" w:rsidRDefault="002A161D" w:rsidP="00EF7859">
      <w:pPr>
        <w:spacing w:before="120" w:line="259" w:lineRule="auto"/>
        <w:rPr>
          <w:rFonts w:ascii="Meta Pro" w:eastAsia="Times New Roman" w:hAnsi="Meta Pro"/>
          <w:color w:val="000000"/>
          <w:szCs w:val="18"/>
          <w:lang w:eastAsia="en-AU"/>
        </w:rPr>
      </w:pPr>
    </w:p>
    <w:p w14:paraId="4F3D922A" w14:textId="77777777" w:rsidR="00851F4F" w:rsidRPr="00092B22" w:rsidRDefault="00851F4F" w:rsidP="00851F4F">
      <w:pPr>
        <w:spacing w:after="120" w:line="259" w:lineRule="auto"/>
        <w:rPr>
          <w:rFonts w:ascii="Meta Pro" w:eastAsia="Times New Roman" w:hAnsi="Meta Pro"/>
          <w:b/>
          <w:bCs/>
          <w:lang w:eastAsia="en-AU"/>
        </w:rPr>
      </w:pPr>
      <w:r w:rsidRPr="00092B22">
        <w:rPr>
          <w:rFonts w:ascii="Meta Pro" w:eastAsia="Times New Roman" w:hAnsi="Meta Pro"/>
          <w:b/>
          <w:bCs/>
          <w:lang w:eastAsia="en-AU"/>
        </w:rPr>
        <w:lastRenderedPageBreak/>
        <w:t>26     FINANCIAL INSTRUMENTS (continued)</w:t>
      </w:r>
    </w:p>
    <w:p w14:paraId="081D473A" w14:textId="77777777" w:rsidR="00851F4F" w:rsidRPr="00092B22" w:rsidRDefault="00851F4F" w:rsidP="00851F4F">
      <w:pPr>
        <w:spacing w:after="120"/>
        <w:rPr>
          <w:rFonts w:ascii="Meta Pro" w:eastAsia="Times New Roman" w:hAnsi="Meta Pro"/>
          <w:b/>
          <w:bCs/>
          <w:szCs w:val="18"/>
          <w:lang w:eastAsia="en-AU"/>
        </w:rPr>
      </w:pPr>
      <w:r w:rsidRPr="00092B22">
        <w:rPr>
          <w:rFonts w:ascii="Meta Pro" w:eastAsia="Times New Roman" w:hAnsi="Meta Pro"/>
          <w:b/>
          <w:bCs/>
          <w:szCs w:val="18"/>
          <w:lang w:eastAsia="en-AU"/>
        </w:rPr>
        <w:t>LIQUIDITY RISK (continued)</w:t>
      </w:r>
    </w:p>
    <w:p w14:paraId="66423A1C" w14:textId="77777777" w:rsidR="00851F4F" w:rsidRPr="00092B22" w:rsidRDefault="00851F4F" w:rsidP="00851F4F">
      <w:pPr>
        <w:rPr>
          <w:rFonts w:ascii="Meta Pro" w:hAnsi="Meta Pro" w:cstheme="minorBidi"/>
        </w:rPr>
      </w:pPr>
      <w:r w:rsidRPr="00092B22">
        <w:rPr>
          <w:rFonts w:ascii="Meta Pro" w:eastAsia="Times New Roman" w:hAnsi="Meta Pro"/>
          <w:color w:val="000000"/>
          <w:szCs w:val="18"/>
          <w:lang w:eastAsia="en-AU"/>
        </w:rPr>
        <w:t>The following maturity analysis measures the liquidity risk of financial liabilities held by the department:</w:t>
      </w:r>
    </w:p>
    <w:tbl>
      <w:tblPr>
        <w:tblW w:w="0" w:type="auto"/>
        <w:tblCellMar>
          <w:left w:w="0" w:type="dxa"/>
        </w:tblCellMar>
        <w:tblLook w:val="04A0" w:firstRow="1" w:lastRow="0" w:firstColumn="1" w:lastColumn="0" w:noHBand="0" w:noVBand="1"/>
      </w:tblPr>
      <w:tblGrid>
        <w:gridCol w:w="3398"/>
        <w:gridCol w:w="1246"/>
        <w:gridCol w:w="1246"/>
        <w:gridCol w:w="1246"/>
        <w:gridCol w:w="1246"/>
        <w:gridCol w:w="1246"/>
      </w:tblGrid>
      <w:tr w:rsidR="00851F4F" w:rsidRPr="00092B22" w14:paraId="3B951319" w14:textId="77777777" w:rsidTr="00E607DA">
        <w:trPr>
          <w:trHeight w:val="240"/>
        </w:trPr>
        <w:tc>
          <w:tcPr>
            <w:tcW w:w="3402" w:type="dxa"/>
            <w:tcBorders>
              <w:top w:val="single" w:sz="4" w:space="0" w:color="auto"/>
              <w:left w:val="single" w:sz="4" w:space="0" w:color="auto"/>
              <w:bottom w:val="nil"/>
              <w:right w:val="nil"/>
            </w:tcBorders>
            <w:shd w:val="clear" w:color="auto" w:fill="auto"/>
            <w:noWrap/>
            <w:vAlign w:val="center"/>
            <w:hideMark/>
          </w:tcPr>
          <w:p w14:paraId="15BC2D4D" w14:textId="77777777" w:rsidR="00851F4F" w:rsidRPr="00092B22" w:rsidRDefault="00851F4F" w:rsidP="00E607DA">
            <w:pPr>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24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F229060" w14:textId="77777777" w:rsidR="00851F4F" w:rsidRPr="00092B22" w:rsidRDefault="00851F4F"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Note</w:t>
            </w:r>
          </w:p>
        </w:tc>
        <w:tc>
          <w:tcPr>
            <w:tcW w:w="1247" w:type="dxa"/>
            <w:gridSpan w:val="4"/>
            <w:tcBorders>
              <w:top w:val="single" w:sz="4" w:space="0" w:color="auto"/>
              <w:left w:val="nil"/>
              <w:bottom w:val="single" w:sz="4" w:space="0" w:color="auto"/>
              <w:right w:val="single" w:sz="4" w:space="0" w:color="auto"/>
            </w:tcBorders>
            <w:shd w:val="clear" w:color="auto" w:fill="auto"/>
            <w:noWrap/>
            <w:vAlign w:val="center"/>
            <w:hideMark/>
          </w:tcPr>
          <w:p w14:paraId="1C09B5ED" w14:textId="77777777" w:rsidR="00851F4F" w:rsidRPr="00092B22" w:rsidRDefault="00851F4F"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Payable in</w:t>
            </w:r>
          </w:p>
        </w:tc>
      </w:tr>
      <w:tr w:rsidR="00851F4F" w:rsidRPr="00092B22" w14:paraId="5CA3C4A6" w14:textId="77777777" w:rsidTr="00E607DA">
        <w:trPr>
          <w:trHeight w:val="240"/>
        </w:trPr>
        <w:tc>
          <w:tcPr>
            <w:tcW w:w="3402" w:type="dxa"/>
            <w:tcBorders>
              <w:top w:val="nil"/>
              <w:left w:val="single" w:sz="4" w:space="0" w:color="auto"/>
              <w:bottom w:val="nil"/>
              <w:right w:val="nil"/>
            </w:tcBorders>
            <w:shd w:val="clear" w:color="auto" w:fill="auto"/>
            <w:noWrap/>
            <w:vAlign w:val="center"/>
            <w:hideMark/>
          </w:tcPr>
          <w:p w14:paraId="610A834B" w14:textId="77777777" w:rsidR="00851F4F" w:rsidRPr="00092B22" w:rsidRDefault="00851F4F" w:rsidP="00E607DA">
            <w:pPr>
              <w:rPr>
                <w:rFonts w:ascii="Meta Pro" w:eastAsia="Times New Roman" w:hAnsi="Meta Pro"/>
                <w:b/>
                <w:bCs/>
                <w:szCs w:val="18"/>
                <w:lang w:eastAsia="en-AU"/>
              </w:rPr>
            </w:pPr>
            <w:r w:rsidRPr="00092B22">
              <w:rPr>
                <w:rFonts w:ascii="Meta Pro" w:eastAsia="Times New Roman" w:hAnsi="Meta Pro"/>
                <w:b/>
                <w:bCs/>
                <w:szCs w:val="18"/>
                <w:lang w:eastAsia="en-AU"/>
              </w:rPr>
              <w:t>Financial liabilities</w:t>
            </w:r>
          </w:p>
        </w:tc>
        <w:tc>
          <w:tcPr>
            <w:tcW w:w="1247" w:type="dxa"/>
            <w:vMerge/>
            <w:tcBorders>
              <w:top w:val="single" w:sz="4" w:space="0" w:color="auto"/>
              <w:left w:val="single" w:sz="4" w:space="0" w:color="auto"/>
              <w:bottom w:val="single" w:sz="4" w:space="0" w:color="000000"/>
              <w:right w:val="single" w:sz="4" w:space="0" w:color="auto"/>
            </w:tcBorders>
            <w:vAlign w:val="center"/>
            <w:hideMark/>
          </w:tcPr>
          <w:p w14:paraId="6B5BAC96" w14:textId="77777777" w:rsidR="00851F4F" w:rsidRPr="00092B22" w:rsidRDefault="00851F4F" w:rsidP="00E607DA">
            <w:pPr>
              <w:rPr>
                <w:rFonts w:ascii="Meta Pro" w:eastAsia="Times New Roman" w:hAnsi="Meta Pro"/>
                <w:b/>
                <w:bCs/>
                <w:szCs w:val="18"/>
                <w:lang w:eastAsia="en-AU"/>
              </w:rPr>
            </w:pPr>
          </w:p>
        </w:tc>
        <w:tc>
          <w:tcPr>
            <w:tcW w:w="1247" w:type="dxa"/>
            <w:tcBorders>
              <w:top w:val="nil"/>
              <w:left w:val="nil"/>
              <w:bottom w:val="nil"/>
              <w:right w:val="single" w:sz="4" w:space="0" w:color="auto"/>
            </w:tcBorders>
            <w:shd w:val="clear" w:color="auto" w:fill="auto"/>
            <w:vAlign w:val="center"/>
            <w:hideMark/>
          </w:tcPr>
          <w:p w14:paraId="36F8D640" w14:textId="77777777" w:rsidR="00851F4F" w:rsidRPr="00092B22" w:rsidRDefault="00851F4F"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&lt;1 year</w:t>
            </w:r>
          </w:p>
        </w:tc>
        <w:tc>
          <w:tcPr>
            <w:tcW w:w="1247" w:type="dxa"/>
            <w:tcBorders>
              <w:top w:val="nil"/>
              <w:left w:val="nil"/>
              <w:bottom w:val="nil"/>
              <w:right w:val="single" w:sz="4" w:space="0" w:color="auto"/>
            </w:tcBorders>
            <w:shd w:val="clear" w:color="auto" w:fill="auto"/>
            <w:vAlign w:val="center"/>
            <w:hideMark/>
          </w:tcPr>
          <w:p w14:paraId="0340347D" w14:textId="77777777" w:rsidR="00851F4F" w:rsidRPr="00092B22" w:rsidRDefault="00851F4F"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1-5 years</w:t>
            </w:r>
          </w:p>
        </w:tc>
        <w:tc>
          <w:tcPr>
            <w:tcW w:w="1247" w:type="dxa"/>
            <w:tcBorders>
              <w:top w:val="nil"/>
              <w:left w:val="nil"/>
              <w:bottom w:val="nil"/>
              <w:right w:val="single" w:sz="4" w:space="0" w:color="auto"/>
            </w:tcBorders>
            <w:shd w:val="clear" w:color="auto" w:fill="auto"/>
            <w:vAlign w:val="center"/>
            <w:hideMark/>
          </w:tcPr>
          <w:p w14:paraId="512A4DB7" w14:textId="77777777" w:rsidR="00851F4F" w:rsidRPr="00092B22" w:rsidRDefault="00851F4F"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&gt;5 years</w:t>
            </w:r>
          </w:p>
        </w:tc>
        <w:tc>
          <w:tcPr>
            <w:tcW w:w="1247" w:type="dxa"/>
            <w:tcBorders>
              <w:top w:val="nil"/>
              <w:left w:val="nil"/>
              <w:bottom w:val="nil"/>
              <w:right w:val="single" w:sz="4" w:space="0" w:color="auto"/>
            </w:tcBorders>
            <w:shd w:val="clear" w:color="auto" w:fill="auto"/>
            <w:vAlign w:val="center"/>
            <w:hideMark/>
          </w:tcPr>
          <w:p w14:paraId="5EF44910" w14:textId="77777777" w:rsidR="00851F4F" w:rsidRPr="00092B22" w:rsidRDefault="00851F4F"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Total</w:t>
            </w:r>
          </w:p>
        </w:tc>
      </w:tr>
      <w:tr w:rsidR="00851F4F" w:rsidRPr="00092B22" w14:paraId="1146A479" w14:textId="77777777" w:rsidTr="00E607DA">
        <w:trPr>
          <w:trHeight w:val="240"/>
        </w:trPr>
        <w:tc>
          <w:tcPr>
            <w:tcW w:w="3402" w:type="dxa"/>
            <w:tcBorders>
              <w:top w:val="nil"/>
              <w:left w:val="single" w:sz="4" w:space="0" w:color="auto"/>
              <w:bottom w:val="single" w:sz="4" w:space="0" w:color="auto"/>
              <w:right w:val="nil"/>
            </w:tcBorders>
            <w:shd w:val="clear" w:color="auto" w:fill="auto"/>
            <w:noWrap/>
            <w:vAlign w:val="center"/>
            <w:hideMark/>
          </w:tcPr>
          <w:p w14:paraId="11BC0C58" w14:textId="77777777" w:rsidR="00851F4F" w:rsidRPr="00092B22" w:rsidRDefault="00851F4F" w:rsidP="00E607DA">
            <w:pPr>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247" w:type="dxa"/>
            <w:vMerge/>
            <w:tcBorders>
              <w:top w:val="single" w:sz="4" w:space="0" w:color="auto"/>
              <w:left w:val="single" w:sz="4" w:space="0" w:color="auto"/>
              <w:bottom w:val="single" w:sz="4" w:space="0" w:color="000000"/>
              <w:right w:val="single" w:sz="4" w:space="0" w:color="auto"/>
            </w:tcBorders>
            <w:vAlign w:val="center"/>
            <w:hideMark/>
          </w:tcPr>
          <w:p w14:paraId="76323EFE" w14:textId="77777777" w:rsidR="00851F4F" w:rsidRPr="00092B22" w:rsidRDefault="00851F4F" w:rsidP="00E607DA">
            <w:pPr>
              <w:rPr>
                <w:rFonts w:ascii="Meta Pro" w:eastAsia="Times New Roman" w:hAnsi="Meta Pro"/>
                <w:b/>
                <w:bCs/>
                <w:szCs w:val="18"/>
                <w:lang w:eastAsia="en-AU"/>
              </w:rPr>
            </w:pPr>
          </w:p>
        </w:tc>
        <w:tc>
          <w:tcPr>
            <w:tcW w:w="1247" w:type="dxa"/>
            <w:tcBorders>
              <w:top w:val="nil"/>
              <w:left w:val="nil"/>
              <w:bottom w:val="single" w:sz="4" w:space="0" w:color="auto"/>
              <w:right w:val="single" w:sz="4" w:space="0" w:color="auto"/>
            </w:tcBorders>
            <w:shd w:val="clear" w:color="auto" w:fill="auto"/>
            <w:vAlign w:val="center"/>
            <w:hideMark/>
          </w:tcPr>
          <w:p w14:paraId="00A78ADE" w14:textId="77777777" w:rsidR="00851F4F" w:rsidRPr="00092B22" w:rsidRDefault="00851F4F"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$'000</w:t>
            </w:r>
          </w:p>
        </w:tc>
        <w:tc>
          <w:tcPr>
            <w:tcW w:w="1247" w:type="dxa"/>
            <w:tcBorders>
              <w:top w:val="nil"/>
              <w:left w:val="nil"/>
              <w:bottom w:val="single" w:sz="4" w:space="0" w:color="auto"/>
              <w:right w:val="single" w:sz="4" w:space="0" w:color="auto"/>
            </w:tcBorders>
            <w:shd w:val="clear" w:color="auto" w:fill="auto"/>
            <w:vAlign w:val="center"/>
            <w:hideMark/>
          </w:tcPr>
          <w:p w14:paraId="36870C0A" w14:textId="77777777" w:rsidR="00851F4F" w:rsidRPr="00092B22" w:rsidRDefault="00851F4F"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$'000</w:t>
            </w:r>
          </w:p>
        </w:tc>
        <w:tc>
          <w:tcPr>
            <w:tcW w:w="1247" w:type="dxa"/>
            <w:tcBorders>
              <w:top w:val="nil"/>
              <w:left w:val="nil"/>
              <w:bottom w:val="single" w:sz="4" w:space="0" w:color="auto"/>
              <w:right w:val="single" w:sz="4" w:space="0" w:color="auto"/>
            </w:tcBorders>
            <w:shd w:val="clear" w:color="auto" w:fill="auto"/>
            <w:vAlign w:val="center"/>
            <w:hideMark/>
          </w:tcPr>
          <w:p w14:paraId="75E5A79C" w14:textId="77777777" w:rsidR="00851F4F" w:rsidRPr="00092B22" w:rsidRDefault="00851F4F"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$'000</w:t>
            </w:r>
          </w:p>
        </w:tc>
        <w:tc>
          <w:tcPr>
            <w:tcW w:w="1247" w:type="dxa"/>
            <w:tcBorders>
              <w:top w:val="nil"/>
              <w:left w:val="nil"/>
              <w:bottom w:val="single" w:sz="4" w:space="0" w:color="auto"/>
              <w:right w:val="single" w:sz="4" w:space="0" w:color="auto"/>
            </w:tcBorders>
            <w:shd w:val="clear" w:color="auto" w:fill="auto"/>
            <w:vAlign w:val="center"/>
            <w:hideMark/>
          </w:tcPr>
          <w:p w14:paraId="065BF806" w14:textId="77777777" w:rsidR="00851F4F" w:rsidRPr="00092B22" w:rsidRDefault="00851F4F"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$'000</w:t>
            </w:r>
          </w:p>
        </w:tc>
      </w:tr>
      <w:tr w:rsidR="00851F4F" w:rsidRPr="00092B22" w14:paraId="66F1DFE9" w14:textId="77777777" w:rsidTr="00E607DA">
        <w:trPr>
          <w:trHeight w:val="240"/>
        </w:trPr>
        <w:tc>
          <w:tcPr>
            <w:tcW w:w="3402" w:type="dxa"/>
            <w:tcBorders>
              <w:top w:val="nil"/>
              <w:left w:val="single" w:sz="4" w:space="0" w:color="auto"/>
              <w:bottom w:val="nil"/>
              <w:right w:val="nil"/>
            </w:tcBorders>
            <w:shd w:val="clear" w:color="auto" w:fill="auto"/>
            <w:noWrap/>
            <w:vAlign w:val="center"/>
            <w:hideMark/>
          </w:tcPr>
          <w:p w14:paraId="5E206277" w14:textId="77777777" w:rsidR="00851F4F" w:rsidRPr="00092B22" w:rsidRDefault="00851F4F" w:rsidP="00E607DA">
            <w:pPr>
              <w:rPr>
                <w:rFonts w:ascii="Meta Pro" w:eastAsia="Times New Roman" w:hAnsi="Meta Pro"/>
                <w:b/>
                <w:bCs/>
                <w:szCs w:val="18"/>
                <w:lang w:eastAsia="en-AU"/>
              </w:rPr>
            </w:pPr>
            <w:r w:rsidRPr="00092B22">
              <w:rPr>
                <w:rFonts w:ascii="Meta Pro" w:eastAsia="Times New Roman" w:hAnsi="Meta Pro"/>
                <w:b/>
                <w:bCs/>
                <w:szCs w:val="18"/>
                <w:lang w:eastAsia="en-AU"/>
              </w:rPr>
              <w:t>2022</w:t>
            </w:r>
          </w:p>
        </w:tc>
        <w:tc>
          <w:tcPr>
            <w:tcW w:w="1247" w:type="dxa"/>
            <w:tcBorders>
              <w:top w:val="nil"/>
              <w:left w:val="single" w:sz="4" w:space="0" w:color="auto"/>
              <w:bottom w:val="nil"/>
              <w:right w:val="single" w:sz="4" w:space="0" w:color="auto"/>
            </w:tcBorders>
            <w:shd w:val="clear" w:color="auto" w:fill="auto"/>
            <w:noWrap/>
            <w:vAlign w:val="center"/>
            <w:hideMark/>
          </w:tcPr>
          <w:p w14:paraId="1B6E4507" w14:textId="77777777" w:rsidR="00851F4F" w:rsidRPr="00092B22" w:rsidRDefault="00851F4F" w:rsidP="00E607DA">
            <w:pPr>
              <w:jc w:val="center"/>
              <w:rPr>
                <w:rFonts w:ascii="Meta Pro" w:eastAsia="Times New Roman" w:hAnsi="Meta Pro"/>
                <w:szCs w:val="18"/>
                <w:lang w:eastAsia="en-AU"/>
              </w:rPr>
            </w:pPr>
            <w:r w:rsidRPr="00092B22">
              <w:rPr>
                <w:rFonts w:ascii="Meta Pro" w:eastAsia="Times New Roman" w:hAnsi="Meta Pro"/>
                <w:szCs w:val="18"/>
                <w:lang w:eastAsia="en-AU"/>
              </w:rPr>
              <w:t> </w:t>
            </w:r>
          </w:p>
        </w:tc>
        <w:tc>
          <w:tcPr>
            <w:tcW w:w="1247" w:type="dxa"/>
            <w:gridSpan w:val="4"/>
            <w:tcBorders>
              <w:top w:val="single" w:sz="4" w:space="0" w:color="auto"/>
              <w:left w:val="nil"/>
              <w:bottom w:val="single" w:sz="4" w:space="0" w:color="auto"/>
              <w:right w:val="single" w:sz="4" w:space="0" w:color="000000"/>
            </w:tcBorders>
            <w:shd w:val="clear" w:color="000000" w:fill="FFFFFF"/>
            <w:noWrap/>
            <w:vAlign w:val="center"/>
            <w:hideMark/>
          </w:tcPr>
          <w:p w14:paraId="705AD031" w14:textId="77777777" w:rsidR="00851F4F" w:rsidRPr="00092B22" w:rsidRDefault="00851F4F" w:rsidP="00E607DA">
            <w:pPr>
              <w:jc w:val="right"/>
              <w:rPr>
                <w:rFonts w:ascii="Meta Pro" w:eastAsia="Times New Roman" w:hAnsi="Meta Pro"/>
                <w:szCs w:val="18"/>
                <w:lang w:eastAsia="en-AU"/>
              </w:rPr>
            </w:pPr>
            <w:r w:rsidRPr="00092B22">
              <w:rPr>
                <w:rFonts w:ascii="Meta Pro" w:eastAsia="Times New Roman" w:hAnsi="Meta Pro"/>
                <w:szCs w:val="18"/>
                <w:lang w:eastAsia="en-AU"/>
              </w:rPr>
              <w:t> </w:t>
            </w:r>
          </w:p>
        </w:tc>
      </w:tr>
      <w:tr w:rsidR="00851F4F" w:rsidRPr="00092B22" w14:paraId="6C5850F2" w14:textId="77777777" w:rsidTr="00E607DA">
        <w:trPr>
          <w:trHeight w:val="240"/>
        </w:trPr>
        <w:tc>
          <w:tcPr>
            <w:tcW w:w="3402" w:type="dxa"/>
            <w:tcBorders>
              <w:top w:val="nil"/>
              <w:left w:val="single" w:sz="4" w:space="0" w:color="auto"/>
              <w:bottom w:val="nil"/>
              <w:right w:val="nil"/>
            </w:tcBorders>
            <w:shd w:val="clear" w:color="auto" w:fill="auto"/>
            <w:noWrap/>
            <w:vAlign w:val="center"/>
            <w:hideMark/>
          </w:tcPr>
          <w:p w14:paraId="6827CE13" w14:textId="77777777" w:rsidR="00851F4F" w:rsidRPr="00092B22" w:rsidRDefault="00851F4F" w:rsidP="00E607DA">
            <w:pPr>
              <w:rPr>
                <w:rFonts w:ascii="Meta Pro" w:eastAsia="Times New Roman" w:hAnsi="Meta Pro"/>
                <w:szCs w:val="18"/>
                <w:lang w:eastAsia="en-AU"/>
              </w:rPr>
            </w:pPr>
            <w:r w:rsidRPr="00092B22">
              <w:rPr>
                <w:rFonts w:ascii="Meta Pro" w:eastAsia="Times New Roman" w:hAnsi="Meta Pro"/>
                <w:szCs w:val="18"/>
                <w:lang w:eastAsia="en-AU"/>
              </w:rPr>
              <w:t>Payables</w:t>
            </w:r>
          </w:p>
        </w:tc>
        <w:tc>
          <w:tcPr>
            <w:tcW w:w="1247" w:type="dxa"/>
            <w:tcBorders>
              <w:top w:val="nil"/>
              <w:left w:val="single" w:sz="4" w:space="0" w:color="auto"/>
              <w:bottom w:val="nil"/>
              <w:right w:val="single" w:sz="4" w:space="0" w:color="auto"/>
            </w:tcBorders>
            <w:shd w:val="clear" w:color="auto" w:fill="auto"/>
            <w:noWrap/>
            <w:vAlign w:val="center"/>
            <w:hideMark/>
          </w:tcPr>
          <w:p w14:paraId="5A19A656" w14:textId="77777777" w:rsidR="00851F4F" w:rsidRPr="00092B22" w:rsidRDefault="00851F4F" w:rsidP="00E607DA">
            <w:pPr>
              <w:jc w:val="center"/>
              <w:rPr>
                <w:rFonts w:ascii="Meta Pro" w:eastAsia="Times New Roman" w:hAnsi="Meta Pro"/>
                <w:szCs w:val="18"/>
                <w:lang w:eastAsia="en-AU"/>
              </w:rPr>
            </w:pPr>
            <w:r w:rsidRPr="00092B22">
              <w:rPr>
                <w:rFonts w:ascii="Meta Pro" w:eastAsia="Times New Roman" w:hAnsi="Meta Pro"/>
                <w:szCs w:val="18"/>
                <w:lang w:eastAsia="en-AU"/>
              </w:rPr>
              <w:t>17</w:t>
            </w:r>
          </w:p>
        </w:tc>
        <w:tc>
          <w:tcPr>
            <w:tcW w:w="1247" w:type="dxa"/>
            <w:tcBorders>
              <w:top w:val="nil"/>
              <w:left w:val="nil"/>
              <w:bottom w:val="single" w:sz="4" w:space="0" w:color="auto"/>
              <w:right w:val="single" w:sz="4" w:space="0" w:color="auto"/>
            </w:tcBorders>
            <w:shd w:val="clear" w:color="000000" w:fill="C6E0B4"/>
            <w:noWrap/>
            <w:vAlign w:val="center"/>
            <w:hideMark/>
          </w:tcPr>
          <w:p w14:paraId="250F1F9D" w14:textId="77777777" w:rsidR="00851F4F" w:rsidRPr="00092B22" w:rsidRDefault="00851F4F" w:rsidP="00E607DA">
            <w:pPr>
              <w:jc w:val="right"/>
              <w:rPr>
                <w:rFonts w:ascii="Meta Pro" w:eastAsia="Times New Roman" w:hAnsi="Meta Pro"/>
                <w:szCs w:val="18"/>
                <w:lang w:eastAsia="en-AU"/>
              </w:rPr>
            </w:pPr>
            <w:r w:rsidRPr="00092B22">
              <w:rPr>
                <w:rFonts w:ascii="Meta Pro" w:eastAsia="Times New Roman" w:hAnsi="Meta Pro"/>
                <w:szCs w:val="18"/>
                <w:lang w:eastAsia="en-AU"/>
              </w:rPr>
              <w:t>683,237</w:t>
            </w:r>
          </w:p>
        </w:tc>
        <w:tc>
          <w:tcPr>
            <w:tcW w:w="1247" w:type="dxa"/>
            <w:tcBorders>
              <w:top w:val="nil"/>
              <w:left w:val="nil"/>
              <w:bottom w:val="single" w:sz="4" w:space="0" w:color="auto"/>
              <w:right w:val="single" w:sz="4" w:space="0" w:color="auto"/>
            </w:tcBorders>
            <w:shd w:val="clear" w:color="000000" w:fill="C9E3B4"/>
            <w:noWrap/>
            <w:vAlign w:val="center"/>
            <w:hideMark/>
          </w:tcPr>
          <w:p w14:paraId="503C92DD" w14:textId="77777777" w:rsidR="00851F4F" w:rsidRPr="00092B22" w:rsidRDefault="00851F4F"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c>
          <w:tcPr>
            <w:tcW w:w="1247" w:type="dxa"/>
            <w:tcBorders>
              <w:top w:val="nil"/>
              <w:left w:val="nil"/>
              <w:bottom w:val="single" w:sz="4" w:space="0" w:color="auto"/>
              <w:right w:val="single" w:sz="4" w:space="0" w:color="auto"/>
            </w:tcBorders>
            <w:shd w:val="clear" w:color="000000" w:fill="C9E3B4"/>
            <w:noWrap/>
            <w:vAlign w:val="center"/>
            <w:hideMark/>
          </w:tcPr>
          <w:p w14:paraId="3EDB1767" w14:textId="77777777" w:rsidR="00851F4F" w:rsidRPr="00092B22" w:rsidRDefault="00851F4F"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c>
          <w:tcPr>
            <w:tcW w:w="1247" w:type="dxa"/>
            <w:tcBorders>
              <w:top w:val="nil"/>
              <w:left w:val="nil"/>
              <w:bottom w:val="single" w:sz="4" w:space="0" w:color="auto"/>
              <w:right w:val="single" w:sz="4" w:space="0" w:color="auto"/>
            </w:tcBorders>
            <w:shd w:val="clear" w:color="000000" w:fill="C6E0B4"/>
            <w:noWrap/>
            <w:vAlign w:val="center"/>
            <w:hideMark/>
          </w:tcPr>
          <w:p w14:paraId="761DB291" w14:textId="77777777" w:rsidR="00851F4F" w:rsidRPr="00092B22" w:rsidRDefault="00851F4F"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683,237</w:t>
            </w:r>
          </w:p>
        </w:tc>
      </w:tr>
      <w:tr w:rsidR="00851F4F" w:rsidRPr="00092B22" w14:paraId="43033861" w14:textId="77777777" w:rsidTr="00E607DA">
        <w:trPr>
          <w:trHeight w:val="240"/>
        </w:trPr>
        <w:tc>
          <w:tcPr>
            <w:tcW w:w="3402" w:type="dxa"/>
            <w:tcBorders>
              <w:top w:val="nil"/>
              <w:left w:val="single" w:sz="4" w:space="0" w:color="auto"/>
              <w:bottom w:val="nil"/>
              <w:right w:val="nil"/>
            </w:tcBorders>
            <w:shd w:val="clear" w:color="auto" w:fill="auto"/>
            <w:noWrap/>
            <w:vAlign w:val="center"/>
            <w:hideMark/>
          </w:tcPr>
          <w:p w14:paraId="13263FE4" w14:textId="77777777" w:rsidR="00851F4F" w:rsidRPr="00092B22" w:rsidRDefault="00851F4F" w:rsidP="00E607DA">
            <w:pPr>
              <w:rPr>
                <w:rFonts w:ascii="Meta Pro" w:eastAsia="Times New Roman" w:hAnsi="Meta Pro"/>
                <w:szCs w:val="18"/>
                <w:lang w:eastAsia="en-AU"/>
              </w:rPr>
            </w:pPr>
            <w:r w:rsidRPr="00092B22">
              <w:rPr>
                <w:rFonts w:ascii="Meta Pro" w:eastAsia="Times New Roman" w:hAnsi="Meta Pro"/>
                <w:szCs w:val="18"/>
                <w:lang w:eastAsia="en-AU"/>
              </w:rPr>
              <w:t>Lease liabilities</w:t>
            </w:r>
          </w:p>
        </w:tc>
        <w:tc>
          <w:tcPr>
            <w:tcW w:w="1247" w:type="dxa"/>
            <w:tcBorders>
              <w:top w:val="nil"/>
              <w:left w:val="single" w:sz="4" w:space="0" w:color="auto"/>
              <w:bottom w:val="nil"/>
              <w:right w:val="single" w:sz="4" w:space="0" w:color="auto"/>
            </w:tcBorders>
            <w:shd w:val="clear" w:color="auto" w:fill="auto"/>
            <w:noWrap/>
            <w:vAlign w:val="center"/>
            <w:hideMark/>
          </w:tcPr>
          <w:p w14:paraId="3D6DB790" w14:textId="77777777" w:rsidR="00851F4F" w:rsidRPr="00092B22" w:rsidRDefault="00851F4F" w:rsidP="00E607DA">
            <w:pPr>
              <w:jc w:val="center"/>
              <w:rPr>
                <w:rFonts w:ascii="Meta Pro" w:eastAsia="Times New Roman" w:hAnsi="Meta Pro"/>
                <w:szCs w:val="18"/>
                <w:lang w:eastAsia="en-AU"/>
              </w:rPr>
            </w:pPr>
            <w:r w:rsidRPr="00092B22">
              <w:rPr>
                <w:rFonts w:ascii="Meta Pro" w:eastAsia="Times New Roman" w:hAnsi="Meta Pro"/>
                <w:szCs w:val="18"/>
                <w:lang w:eastAsia="en-AU"/>
              </w:rPr>
              <w:t> </w:t>
            </w:r>
          </w:p>
        </w:tc>
        <w:tc>
          <w:tcPr>
            <w:tcW w:w="1247" w:type="dxa"/>
            <w:tcBorders>
              <w:top w:val="nil"/>
              <w:left w:val="nil"/>
              <w:bottom w:val="single" w:sz="4" w:space="0" w:color="auto"/>
              <w:right w:val="single" w:sz="4" w:space="0" w:color="auto"/>
            </w:tcBorders>
            <w:shd w:val="clear" w:color="000000" w:fill="C6E0B4"/>
            <w:noWrap/>
            <w:vAlign w:val="center"/>
            <w:hideMark/>
          </w:tcPr>
          <w:p w14:paraId="3527EFD2" w14:textId="77777777" w:rsidR="00851F4F" w:rsidRPr="00092B22" w:rsidRDefault="00851F4F" w:rsidP="00E607DA">
            <w:pPr>
              <w:jc w:val="right"/>
              <w:rPr>
                <w:rFonts w:ascii="Meta Pro" w:eastAsia="Times New Roman" w:hAnsi="Meta Pro"/>
                <w:szCs w:val="18"/>
                <w:lang w:eastAsia="en-AU"/>
              </w:rPr>
            </w:pPr>
            <w:r w:rsidRPr="00092B22">
              <w:rPr>
                <w:rFonts w:ascii="Meta Pro" w:eastAsia="Times New Roman" w:hAnsi="Meta Pro"/>
                <w:szCs w:val="18"/>
                <w:lang w:eastAsia="en-AU"/>
              </w:rPr>
              <w:t>185</w:t>
            </w:r>
          </w:p>
        </w:tc>
        <w:tc>
          <w:tcPr>
            <w:tcW w:w="1247" w:type="dxa"/>
            <w:tcBorders>
              <w:top w:val="nil"/>
              <w:left w:val="nil"/>
              <w:bottom w:val="single" w:sz="4" w:space="0" w:color="auto"/>
              <w:right w:val="single" w:sz="4" w:space="0" w:color="auto"/>
            </w:tcBorders>
            <w:shd w:val="clear" w:color="000000" w:fill="C6E0B4"/>
            <w:noWrap/>
            <w:vAlign w:val="center"/>
            <w:hideMark/>
          </w:tcPr>
          <w:p w14:paraId="58282354" w14:textId="77777777" w:rsidR="00851F4F" w:rsidRPr="00092B22" w:rsidRDefault="00851F4F" w:rsidP="00E607DA">
            <w:pPr>
              <w:jc w:val="right"/>
              <w:rPr>
                <w:rFonts w:ascii="Meta Pro" w:eastAsia="Times New Roman" w:hAnsi="Meta Pro"/>
                <w:szCs w:val="18"/>
                <w:lang w:eastAsia="en-AU"/>
              </w:rPr>
            </w:pPr>
            <w:r w:rsidRPr="00092B22">
              <w:rPr>
                <w:rFonts w:ascii="Meta Pro" w:eastAsia="Times New Roman" w:hAnsi="Meta Pro"/>
                <w:szCs w:val="18"/>
                <w:lang w:eastAsia="en-AU"/>
              </w:rPr>
              <w:t>924</w:t>
            </w:r>
          </w:p>
        </w:tc>
        <w:tc>
          <w:tcPr>
            <w:tcW w:w="1247" w:type="dxa"/>
            <w:tcBorders>
              <w:top w:val="nil"/>
              <w:left w:val="nil"/>
              <w:bottom w:val="single" w:sz="4" w:space="0" w:color="auto"/>
              <w:right w:val="single" w:sz="4" w:space="0" w:color="auto"/>
            </w:tcBorders>
            <w:shd w:val="clear" w:color="000000" w:fill="C6E0B4"/>
            <w:noWrap/>
            <w:vAlign w:val="center"/>
            <w:hideMark/>
          </w:tcPr>
          <w:p w14:paraId="16E037C4" w14:textId="77777777" w:rsidR="00851F4F" w:rsidRPr="00092B22" w:rsidRDefault="00851F4F" w:rsidP="00E607DA">
            <w:pPr>
              <w:jc w:val="right"/>
              <w:rPr>
                <w:rFonts w:ascii="Meta Pro" w:eastAsia="Times New Roman" w:hAnsi="Meta Pro"/>
                <w:szCs w:val="18"/>
                <w:lang w:eastAsia="en-AU"/>
              </w:rPr>
            </w:pPr>
            <w:r w:rsidRPr="00092B22">
              <w:rPr>
                <w:rFonts w:ascii="Meta Pro" w:eastAsia="Times New Roman" w:hAnsi="Meta Pro"/>
                <w:szCs w:val="18"/>
                <w:lang w:eastAsia="en-AU"/>
              </w:rPr>
              <w:t>3,492</w:t>
            </w:r>
          </w:p>
        </w:tc>
        <w:tc>
          <w:tcPr>
            <w:tcW w:w="1247" w:type="dxa"/>
            <w:tcBorders>
              <w:top w:val="nil"/>
              <w:left w:val="nil"/>
              <w:bottom w:val="single" w:sz="4" w:space="0" w:color="auto"/>
              <w:right w:val="single" w:sz="4" w:space="0" w:color="auto"/>
            </w:tcBorders>
            <w:shd w:val="clear" w:color="000000" w:fill="C6E0B4"/>
            <w:noWrap/>
            <w:vAlign w:val="center"/>
            <w:hideMark/>
          </w:tcPr>
          <w:p w14:paraId="32C82369" w14:textId="77777777" w:rsidR="00851F4F" w:rsidRPr="00092B22" w:rsidRDefault="00851F4F"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4,601</w:t>
            </w:r>
          </w:p>
        </w:tc>
      </w:tr>
      <w:tr w:rsidR="00851F4F" w:rsidRPr="00092B22" w14:paraId="7FEF02BD" w14:textId="77777777" w:rsidTr="00E607DA">
        <w:trPr>
          <w:trHeight w:val="240"/>
        </w:trPr>
        <w:tc>
          <w:tcPr>
            <w:tcW w:w="3402" w:type="dxa"/>
            <w:tcBorders>
              <w:top w:val="nil"/>
              <w:left w:val="single" w:sz="4" w:space="0" w:color="auto"/>
              <w:bottom w:val="nil"/>
              <w:right w:val="nil"/>
            </w:tcBorders>
            <w:shd w:val="clear" w:color="auto" w:fill="auto"/>
            <w:noWrap/>
            <w:vAlign w:val="center"/>
            <w:hideMark/>
          </w:tcPr>
          <w:p w14:paraId="6D96B4C8" w14:textId="77777777" w:rsidR="00851F4F" w:rsidRPr="00092B22" w:rsidRDefault="00851F4F" w:rsidP="00E607DA">
            <w:pPr>
              <w:rPr>
                <w:rFonts w:ascii="Meta Pro" w:eastAsia="Times New Roman" w:hAnsi="Meta Pro"/>
                <w:szCs w:val="18"/>
                <w:lang w:eastAsia="en-AU"/>
              </w:rPr>
            </w:pPr>
            <w:r w:rsidRPr="00092B22">
              <w:rPr>
                <w:rFonts w:ascii="Meta Pro" w:eastAsia="Times New Roman" w:hAnsi="Meta Pro"/>
                <w:szCs w:val="18"/>
                <w:lang w:eastAsia="en-AU"/>
              </w:rPr>
              <w:t>Service concession arrangements</w:t>
            </w:r>
          </w:p>
        </w:tc>
        <w:tc>
          <w:tcPr>
            <w:tcW w:w="1247" w:type="dxa"/>
            <w:tcBorders>
              <w:top w:val="nil"/>
              <w:left w:val="single" w:sz="4" w:space="0" w:color="auto"/>
              <w:bottom w:val="nil"/>
              <w:right w:val="single" w:sz="4" w:space="0" w:color="auto"/>
            </w:tcBorders>
            <w:shd w:val="clear" w:color="auto" w:fill="auto"/>
            <w:noWrap/>
            <w:vAlign w:val="center"/>
            <w:hideMark/>
          </w:tcPr>
          <w:p w14:paraId="49A24ACD" w14:textId="77777777" w:rsidR="00851F4F" w:rsidRPr="00092B22" w:rsidRDefault="00851F4F" w:rsidP="00E607DA">
            <w:pPr>
              <w:jc w:val="center"/>
              <w:rPr>
                <w:rFonts w:ascii="Meta Pro" w:eastAsia="Times New Roman" w:hAnsi="Meta Pro"/>
                <w:szCs w:val="18"/>
                <w:lang w:eastAsia="en-AU"/>
              </w:rPr>
            </w:pPr>
            <w:r w:rsidRPr="00092B22">
              <w:rPr>
                <w:rFonts w:ascii="Meta Pro" w:eastAsia="Times New Roman" w:hAnsi="Meta Pro"/>
                <w:szCs w:val="18"/>
                <w:lang w:eastAsia="en-AU"/>
              </w:rPr>
              <w:t> </w:t>
            </w:r>
          </w:p>
        </w:tc>
        <w:tc>
          <w:tcPr>
            <w:tcW w:w="1247" w:type="dxa"/>
            <w:tcBorders>
              <w:top w:val="nil"/>
              <w:left w:val="nil"/>
              <w:bottom w:val="single" w:sz="4" w:space="0" w:color="auto"/>
              <w:right w:val="single" w:sz="4" w:space="0" w:color="auto"/>
            </w:tcBorders>
            <w:shd w:val="clear" w:color="000000" w:fill="C6E0B4"/>
            <w:noWrap/>
            <w:vAlign w:val="center"/>
            <w:hideMark/>
          </w:tcPr>
          <w:p w14:paraId="721C74E9" w14:textId="77777777" w:rsidR="00851F4F" w:rsidRPr="00092B22" w:rsidRDefault="00851F4F" w:rsidP="00E607DA">
            <w:pPr>
              <w:jc w:val="right"/>
              <w:rPr>
                <w:rFonts w:ascii="Meta Pro" w:eastAsia="Times New Roman" w:hAnsi="Meta Pro"/>
                <w:szCs w:val="18"/>
                <w:lang w:eastAsia="en-AU"/>
              </w:rPr>
            </w:pPr>
            <w:r w:rsidRPr="00092B22">
              <w:rPr>
                <w:rFonts w:ascii="Meta Pro" w:eastAsia="Times New Roman" w:hAnsi="Meta Pro"/>
                <w:szCs w:val="18"/>
                <w:lang w:eastAsia="en-AU"/>
              </w:rPr>
              <w:t>155,483</w:t>
            </w:r>
          </w:p>
        </w:tc>
        <w:tc>
          <w:tcPr>
            <w:tcW w:w="1247" w:type="dxa"/>
            <w:tcBorders>
              <w:top w:val="nil"/>
              <w:left w:val="nil"/>
              <w:bottom w:val="single" w:sz="4" w:space="0" w:color="auto"/>
              <w:right w:val="single" w:sz="4" w:space="0" w:color="auto"/>
            </w:tcBorders>
            <w:shd w:val="clear" w:color="000000" w:fill="C6E0B4"/>
            <w:noWrap/>
            <w:vAlign w:val="center"/>
            <w:hideMark/>
          </w:tcPr>
          <w:p w14:paraId="48BDF1B3" w14:textId="77777777" w:rsidR="00851F4F" w:rsidRPr="00092B22" w:rsidRDefault="00851F4F" w:rsidP="00E607DA">
            <w:pPr>
              <w:jc w:val="right"/>
              <w:rPr>
                <w:rFonts w:ascii="Meta Pro" w:eastAsia="Times New Roman" w:hAnsi="Meta Pro"/>
                <w:szCs w:val="18"/>
                <w:lang w:eastAsia="en-AU"/>
              </w:rPr>
            </w:pPr>
            <w:r w:rsidRPr="00092B22">
              <w:rPr>
                <w:rFonts w:ascii="Meta Pro" w:eastAsia="Times New Roman" w:hAnsi="Meta Pro"/>
                <w:szCs w:val="18"/>
                <w:lang w:eastAsia="en-AU"/>
              </w:rPr>
              <w:t>324,932</w:t>
            </w:r>
          </w:p>
        </w:tc>
        <w:tc>
          <w:tcPr>
            <w:tcW w:w="1247" w:type="dxa"/>
            <w:tcBorders>
              <w:top w:val="nil"/>
              <w:left w:val="nil"/>
              <w:bottom w:val="single" w:sz="4" w:space="0" w:color="auto"/>
              <w:right w:val="single" w:sz="4" w:space="0" w:color="auto"/>
            </w:tcBorders>
            <w:shd w:val="clear" w:color="000000" w:fill="C6E0B4"/>
            <w:noWrap/>
            <w:vAlign w:val="center"/>
            <w:hideMark/>
          </w:tcPr>
          <w:p w14:paraId="39EE3EF6" w14:textId="77777777" w:rsidR="00851F4F" w:rsidRPr="00092B22" w:rsidRDefault="00851F4F" w:rsidP="00E607DA">
            <w:pPr>
              <w:jc w:val="right"/>
              <w:rPr>
                <w:rFonts w:ascii="Meta Pro" w:eastAsia="Times New Roman" w:hAnsi="Meta Pro"/>
                <w:szCs w:val="18"/>
                <w:lang w:eastAsia="en-AU"/>
              </w:rPr>
            </w:pPr>
            <w:r w:rsidRPr="00092B22">
              <w:rPr>
                <w:rFonts w:ascii="Meta Pro" w:eastAsia="Times New Roman" w:hAnsi="Meta Pro"/>
                <w:szCs w:val="18"/>
                <w:lang w:eastAsia="en-AU"/>
              </w:rPr>
              <w:t>621,218</w:t>
            </w:r>
          </w:p>
        </w:tc>
        <w:tc>
          <w:tcPr>
            <w:tcW w:w="1247" w:type="dxa"/>
            <w:tcBorders>
              <w:top w:val="nil"/>
              <w:left w:val="nil"/>
              <w:bottom w:val="single" w:sz="4" w:space="0" w:color="auto"/>
              <w:right w:val="single" w:sz="4" w:space="0" w:color="auto"/>
            </w:tcBorders>
            <w:shd w:val="clear" w:color="000000" w:fill="C6E0B4"/>
            <w:noWrap/>
            <w:vAlign w:val="center"/>
            <w:hideMark/>
          </w:tcPr>
          <w:p w14:paraId="03F24288" w14:textId="77777777" w:rsidR="00851F4F" w:rsidRPr="00092B22" w:rsidRDefault="00851F4F"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1,101,633</w:t>
            </w:r>
          </w:p>
        </w:tc>
      </w:tr>
      <w:tr w:rsidR="00851F4F" w:rsidRPr="00092B22" w14:paraId="7FA9B2D5" w14:textId="77777777" w:rsidTr="00E607DA">
        <w:trPr>
          <w:trHeight w:val="240"/>
        </w:trPr>
        <w:tc>
          <w:tcPr>
            <w:tcW w:w="3402" w:type="dxa"/>
            <w:tcBorders>
              <w:top w:val="nil"/>
              <w:left w:val="single" w:sz="4" w:space="0" w:color="auto"/>
              <w:bottom w:val="nil"/>
              <w:right w:val="nil"/>
            </w:tcBorders>
            <w:shd w:val="clear" w:color="auto" w:fill="auto"/>
            <w:noWrap/>
            <w:vAlign w:val="center"/>
            <w:hideMark/>
          </w:tcPr>
          <w:p w14:paraId="0F491ABA" w14:textId="77777777" w:rsidR="00851F4F" w:rsidRPr="00092B22" w:rsidRDefault="00851F4F" w:rsidP="00E607DA">
            <w:pPr>
              <w:rPr>
                <w:rFonts w:ascii="Meta Pro" w:eastAsia="Times New Roman" w:hAnsi="Meta Pro"/>
                <w:szCs w:val="18"/>
                <w:lang w:eastAsia="en-AU"/>
              </w:rPr>
            </w:pPr>
            <w:r w:rsidRPr="00092B22">
              <w:rPr>
                <w:rFonts w:ascii="Meta Pro" w:eastAsia="Times New Roman" w:hAnsi="Meta Pro"/>
                <w:szCs w:val="18"/>
                <w:lang w:eastAsia="en-AU"/>
              </w:rPr>
              <w:t>New Generation Rollingstock arrangement</w:t>
            </w:r>
          </w:p>
        </w:tc>
        <w:tc>
          <w:tcPr>
            <w:tcW w:w="1247" w:type="dxa"/>
            <w:tcBorders>
              <w:top w:val="nil"/>
              <w:left w:val="single" w:sz="4" w:space="0" w:color="auto"/>
              <w:bottom w:val="nil"/>
              <w:right w:val="single" w:sz="4" w:space="0" w:color="auto"/>
            </w:tcBorders>
            <w:shd w:val="clear" w:color="auto" w:fill="auto"/>
            <w:noWrap/>
            <w:vAlign w:val="center"/>
            <w:hideMark/>
          </w:tcPr>
          <w:p w14:paraId="02931409" w14:textId="77777777" w:rsidR="00851F4F" w:rsidRPr="00092B22" w:rsidRDefault="00851F4F" w:rsidP="00E607DA">
            <w:pPr>
              <w:jc w:val="center"/>
              <w:rPr>
                <w:rFonts w:ascii="Meta Pro" w:eastAsia="Times New Roman" w:hAnsi="Meta Pro"/>
                <w:szCs w:val="18"/>
                <w:lang w:eastAsia="en-AU"/>
              </w:rPr>
            </w:pPr>
            <w:r w:rsidRPr="00092B22">
              <w:rPr>
                <w:rFonts w:ascii="Meta Pro" w:eastAsia="Times New Roman" w:hAnsi="Meta Pro"/>
                <w:szCs w:val="18"/>
                <w:lang w:eastAsia="en-AU"/>
              </w:rPr>
              <w:t> </w:t>
            </w:r>
          </w:p>
        </w:tc>
        <w:tc>
          <w:tcPr>
            <w:tcW w:w="1247" w:type="dxa"/>
            <w:tcBorders>
              <w:top w:val="nil"/>
              <w:left w:val="nil"/>
              <w:bottom w:val="single" w:sz="4" w:space="0" w:color="auto"/>
              <w:right w:val="single" w:sz="4" w:space="0" w:color="auto"/>
            </w:tcBorders>
            <w:shd w:val="clear" w:color="000000" w:fill="C6E0B4"/>
            <w:noWrap/>
            <w:vAlign w:val="center"/>
            <w:hideMark/>
          </w:tcPr>
          <w:p w14:paraId="5F74552A" w14:textId="77777777" w:rsidR="00851F4F" w:rsidRPr="00092B22" w:rsidRDefault="00851F4F" w:rsidP="00E607DA">
            <w:pPr>
              <w:jc w:val="right"/>
              <w:rPr>
                <w:rFonts w:ascii="Meta Pro" w:eastAsia="Times New Roman" w:hAnsi="Meta Pro"/>
                <w:szCs w:val="18"/>
                <w:lang w:eastAsia="en-AU"/>
              </w:rPr>
            </w:pPr>
            <w:r w:rsidRPr="00092B22">
              <w:rPr>
                <w:rFonts w:ascii="Meta Pro" w:eastAsia="Times New Roman" w:hAnsi="Meta Pro"/>
                <w:szCs w:val="18"/>
                <w:lang w:eastAsia="en-AU"/>
              </w:rPr>
              <w:t>35,870</w:t>
            </w:r>
          </w:p>
        </w:tc>
        <w:tc>
          <w:tcPr>
            <w:tcW w:w="1247" w:type="dxa"/>
            <w:tcBorders>
              <w:top w:val="nil"/>
              <w:left w:val="nil"/>
              <w:bottom w:val="single" w:sz="4" w:space="0" w:color="auto"/>
              <w:right w:val="single" w:sz="4" w:space="0" w:color="auto"/>
            </w:tcBorders>
            <w:shd w:val="clear" w:color="000000" w:fill="C6E0B4"/>
            <w:noWrap/>
            <w:vAlign w:val="center"/>
            <w:hideMark/>
          </w:tcPr>
          <w:p w14:paraId="0CF4196F" w14:textId="77777777" w:rsidR="00851F4F" w:rsidRPr="00092B22" w:rsidRDefault="00851F4F" w:rsidP="00E607DA">
            <w:pPr>
              <w:jc w:val="right"/>
              <w:rPr>
                <w:rFonts w:ascii="Meta Pro" w:eastAsia="Times New Roman" w:hAnsi="Meta Pro"/>
                <w:szCs w:val="18"/>
                <w:lang w:eastAsia="en-AU"/>
              </w:rPr>
            </w:pPr>
            <w:r w:rsidRPr="00092B22">
              <w:rPr>
                <w:rFonts w:ascii="Meta Pro" w:eastAsia="Times New Roman" w:hAnsi="Meta Pro"/>
                <w:szCs w:val="18"/>
                <w:lang w:eastAsia="en-AU"/>
              </w:rPr>
              <w:t>181,619</w:t>
            </w:r>
          </w:p>
        </w:tc>
        <w:tc>
          <w:tcPr>
            <w:tcW w:w="1247" w:type="dxa"/>
            <w:tcBorders>
              <w:top w:val="nil"/>
              <w:left w:val="nil"/>
              <w:bottom w:val="single" w:sz="4" w:space="0" w:color="auto"/>
              <w:right w:val="single" w:sz="4" w:space="0" w:color="auto"/>
            </w:tcBorders>
            <w:shd w:val="clear" w:color="000000" w:fill="C6E0B4"/>
            <w:noWrap/>
            <w:vAlign w:val="center"/>
            <w:hideMark/>
          </w:tcPr>
          <w:p w14:paraId="0B807465" w14:textId="77777777" w:rsidR="00851F4F" w:rsidRPr="00092B22" w:rsidRDefault="00851F4F" w:rsidP="00E607DA">
            <w:pPr>
              <w:jc w:val="right"/>
              <w:rPr>
                <w:rFonts w:ascii="Meta Pro" w:eastAsia="Times New Roman" w:hAnsi="Meta Pro"/>
                <w:szCs w:val="18"/>
                <w:lang w:eastAsia="en-AU"/>
              </w:rPr>
            </w:pPr>
            <w:r w:rsidRPr="00092B22">
              <w:rPr>
                <w:rFonts w:ascii="Meta Pro" w:eastAsia="Times New Roman" w:hAnsi="Meta Pro"/>
                <w:szCs w:val="18"/>
                <w:lang w:eastAsia="en-AU"/>
              </w:rPr>
              <w:t>1,346,314</w:t>
            </w:r>
          </w:p>
        </w:tc>
        <w:tc>
          <w:tcPr>
            <w:tcW w:w="1247" w:type="dxa"/>
            <w:tcBorders>
              <w:top w:val="nil"/>
              <w:left w:val="nil"/>
              <w:bottom w:val="single" w:sz="4" w:space="0" w:color="auto"/>
              <w:right w:val="single" w:sz="4" w:space="0" w:color="auto"/>
            </w:tcBorders>
            <w:shd w:val="clear" w:color="000000" w:fill="C6E0B4"/>
            <w:noWrap/>
            <w:vAlign w:val="center"/>
            <w:hideMark/>
          </w:tcPr>
          <w:p w14:paraId="59FDFB97" w14:textId="77777777" w:rsidR="00851F4F" w:rsidRPr="00092B22" w:rsidRDefault="00851F4F"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1,563,803</w:t>
            </w:r>
          </w:p>
        </w:tc>
      </w:tr>
      <w:tr w:rsidR="00851F4F" w:rsidRPr="00092B22" w14:paraId="554A1008" w14:textId="77777777" w:rsidTr="00E607DA">
        <w:trPr>
          <w:trHeight w:val="240"/>
        </w:trPr>
        <w:tc>
          <w:tcPr>
            <w:tcW w:w="3402" w:type="dxa"/>
            <w:tcBorders>
              <w:top w:val="nil"/>
              <w:left w:val="single" w:sz="4" w:space="0" w:color="auto"/>
              <w:bottom w:val="single" w:sz="4" w:space="0" w:color="auto"/>
              <w:right w:val="nil"/>
            </w:tcBorders>
            <w:shd w:val="clear" w:color="auto" w:fill="auto"/>
            <w:noWrap/>
            <w:vAlign w:val="center"/>
            <w:hideMark/>
          </w:tcPr>
          <w:p w14:paraId="2C3E938F" w14:textId="77777777" w:rsidR="00851F4F" w:rsidRPr="00092B22" w:rsidRDefault="00851F4F" w:rsidP="00E607DA">
            <w:pPr>
              <w:rPr>
                <w:rFonts w:ascii="Meta Pro" w:eastAsia="Times New Roman" w:hAnsi="Meta Pro"/>
                <w:b/>
                <w:bCs/>
                <w:szCs w:val="18"/>
                <w:lang w:eastAsia="en-AU"/>
              </w:rPr>
            </w:pPr>
            <w:r w:rsidRPr="00092B22">
              <w:rPr>
                <w:rFonts w:ascii="Meta Pro" w:eastAsia="Times New Roman" w:hAnsi="Meta Pro"/>
                <w:b/>
                <w:bCs/>
                <w:szCs w:val="18"/>
                <w:lang w:eastAsia="en-AU"/>
              </w:rPr>
              <w:t>Total</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7AFAA4A" w14:textId="77777777" w:rsidR="00851F4F" w:rsidRPr="00092B22" w:rsidRDefault="00851F4F" w:rsidP="00E607DA">
            <w:pPr>
              <w:jc w:val="center"/>
              <w:rPr>
                <w:rFonts w:ascii="Meta Pro" w:eastAsia="Times New Roman" w:hAnsi="Meta Pro"/>
                <w:szCs w:val="18"/>
                <w:lang w:eastAsia="en-AU"/>
              </w:rPr>
            </w:pPr>
            <w:r w:rsidRPr="00092B22">
              <w:rPr>
                <w:rFonts w:ascii="Meta Pro" w:eastAsia="Times New Roman" w:hAnsi="Meta Pro"/>
                <w:szCs w:val="18"/>
                <w:lang w:eastAsia="en-AU"/>
              </w:rPr>
              <w:t> </w:t>
            </w:r>
          </w:p>
        </w:tc>
        <w:tc>
          <w:tcPr>
            <w:tcW w:w="1247" w:type="dxa"/>
            <w:tcBorders>
              <w:top w:val="single" w:sz="4" w:space="0" w:color="auto"/>
              <w:left w:val="nil"/>
              <w:bottom w:val="single" w:sz="4" w:space="0" w:color="auto"/>
              <w:right w:val="single" w:sz="4" w:space="0" w:color="auto"/>
            </w:tcBorders>
            <w:shd w:val="clear" w:color="000000" w:fill="C6E0B4"/>
            <w:noWrap/>
            <w:vAlign w:val="center"/>
            <w:hideMark/>
          </w:tcPr>
          <w:p w14:paraId="2924D4D1" w14:textId="77777777" w:rsidR="00851F4F" w:rsidRPr="00092B22" w:rsidRDefault="00851F4F"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874,775</w:t>
            </w:r>
          </w:p>
        </w:tc>
        <w:tc>
          <w:tcPr>
            <w:tcW w:w="1247" w:type="dxa"/>
            <w:tcBorders>
              <w:top w:val="single" w:sz="4" w:space="0" w:color="auto"/>
              <w:left w:val="nil"/>
              <w:bottom w:val="single" w:sz="4" w:space="0" w:color="auto"/>
              <w:right w:val="single" w:sz="4" w:space="0" w:color="auto"/>
            </w:tcBorders>
            <w:shd w:val="clear" w:color="000000" w:fill="C6E0B4"/>
            <w:noWrap/>
            <w:vAlign w:val="center"/>
            <w:hideMark/>
          </w:tcPr>
          <w:p w14:paraId="05051A30" w14:textId="77777777" w:rsidR="00851F4F" w:rsidRPr="00092B22" w:rsidRDefault="00851F4F"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507,475</w:t>
            </w:r>
          </w:p>
        </w:tc>
        <w:tc>
          <w:tcPr>
            <w:tcW w:w="1247" w:type="dxa"/>
            <w:tcBorders>
              <w:top w:val="single" w:sz="4" w:space="0" w:color="auto"/>
              <w:left w:val="nil"/>
              <w:bottom w:val="single" w:sz="4" w:space="0" w:color="auto"/>
              <w:right w:val="single" w:sz="4" w:space="0" w:color="auto"/>
            </w:tcBorders>
            <w:shd w:val="clear" w:color="000000" w:fill="C6E0B4"/>
            <w:noWrap/>
            <w:vAlign w:val="center"/>
            <w:hideMark/>
          </w:tcPr>
          <w:p w14:paraId="2FCA691F" w14:textId="77777777" w:rsidR="00851F4F" w:rsidRPr="00092B22" w:rsidRDefault="00851F4F"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1,971,024</w:t>
            </w:r>
          </w:p>
        </w:tc>
        <w:tc>
          <w:tcPr>
            <w:tcW w:w="1247" w:type="dxa"/>
            <w:tcBorders>
              <w:top w:val="nil"/>
              <w:left w:val="single" w:sz="4" w:space="0" w:color="auto"/>
              <w:bottom w:val="single" w:sz="4" w:space="0" w:color="auto"/>
              <w:right w:val="single" w:sz="4" w:space="0" w:color="auto"/>
            </w:tcBorders>
            <w:shd w:val="clear" w:color="000000" w:fill="C6E0B4"/>
            <w:noWrap/>
            <w:vAlign w:val="center"/>
            <w:hideMark/>
          </w:tcPr>
          <w:p w14:paraId="032FA142" w14:textId="77777777" w:rsidR="00851F4F" w:rsidRPr="00092B22" w:rsidRDefault="00851F4F"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3,353,274</w:t>
            </w:r>
          </w:p>
        </w:tc>
      </w:tr>
      <w:tr w:rsidR="00851F4F" w:rsidRPr="00092B22" w14:paraId="6FE90710" w14:textId="77777777" w:rsidTr="00E607DA">
        <w:trPr>
          <w:trHeight w:val="240"/>
        </w:trPr>
        <w:tc>
          <w:tcPr>
            <w:tcW w:w="3402" w:type="dxa"/>
            <w:tcBorders>
              <w:top w:val="nil"/>
              <w:left w:val="single" w:sz="4" w:space="0" w:color="auto"/>
              <w:bottom w:val="nil"/>
              <w:right w:val="nil"/>
            </w:tcBorders>
            <w:shd w:val="clear" w:color="auto" w:fill="auto"/>
            <w:noWrap/>
            <w:vAlign w:val="center"/>
            <w:hideMark/>
          </w:tcPr>
          <w:p w14:paraId="1555DF73" w14:textId="77777777" w:rsidR="00851F4F" w:rsidRPr="00092B22" w:rsidRDefault="00851F4F" w:rsidP="00E607DA">
            <w:pPr>
              <w:rPr>
                <w:rFonts w:ascii="Meta Pro" w:eastAsia="Times New Roman" w:hAnsi="Meta Pro"/>
                <w:b/>
                <w:bCs/>
                <w:szCs w:val="18"/>
                <w:lang w:eastAsia="en-AU"/>
              </w:rPr>
            </w:pPr>
            <w:r w:rsidRPr="00092B22">
              <w:rPr>
                <w:rFonts w:ascii="Meta Pro" w:eastAsia="Times New Roman" w:hAnsi="Meta Pro"/>
                <w:b/>
                <w:bCs/>
                <w:szCs w:val="18"/>
                <w:lang w:eastAsia="en-AU"/>
              </w:rPr>
              <w:t>2021</w:t>
            </w:r>
          </w:p>
        </w:tc>
        <w:tc>
          <w:tcPr>
            <w:tcW w:w="1247" w:type="dxa"/>
            <w:tcBorders>
              <w:top w:val="nil"/>
              <w:left w:val="single" w:sz="4" w:space="0" w:color="auto"/>
              <w:bottom w:val="nil"/>
              <w:right w:val="single" w:sz="4" w:space="0" w:color="auto"/>
            </w:tcBorders>
            <w:shd w:val="clear" w:color="auto" w:fill="auto"/>
            <w:noWrap/>
            <w:vAlign w:val="center"/>
            <w:hideMark/>
          </w:tcPr>
          <w:p w14:paraId="1A69EF69" w14:textId="77777777" w:rsidR="00851F4F" w:rsidRPr="00092B22" w:rsidRDefault="00851F4F" w:rsidP="00E607DA">
            <w:pPr>
              <w:jc w:val="center"/>
              <w:rPr>
                <w:rFonts w:ascii="Meta Pro" w:eastAsia="Times New Roman" w:hAnsi="Meta Pro"/>
                <w:szCs w:val="18"/>
                <w:lang w:eastAsia="en-AU"/>
              </w:rPr>
            </w:pPr>
            <w:r w:rsidRPr="00092B22">
              <w:rPr>
                <w:rFonts w:ascii="Meta Pro" w:eastAsia="Times New Roman" w:hAnsi="Meta Pro"/>
                <w:szCs w:val="18"/>
                <w:lang w:eastAsia="en-AU"/>
              </w:rPr>
              <w:t> </w:t>
            </w:r>
          </w:p>
        </w:tc>
        <w:tc>
          <w:tcPr>
            <w:tcW w:w="1247"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6D123E32" w14:textId="77777777" w:rsidR="00851F4F" w:rsidRPr="00092B22" w:rsidRDefault="00851F4F" w:rsidP="00E607DA">
            <w:pPr>
              <w:jc w:val="right"/>
              <w:rPr>
                <w:rFonts w:ascii="Meta Pro" w:eastAsia="Times New Roman" w:hAnsi="Meta Pro"/>
                <w:szCs w:val="18"/>
                <w:lang w:eastAsia="en-AU"/>
              </w:rPr>
            </w:pPr>
            <w:r w:rsidRPr="00092B22">
              <w:rPr>
                <w:rFonts w:ascii="Meta Pro" w:eastAsia="Times New Roman" w:hAnsi="Meta Pro"/>
                <w:szCs w:val="18"/>
                <w:lang w:eastAsia="en-AU"/>
              </w:rPr>
              <w:t> </w:t>
            </w:r>
          </w:p>
        </w:tc>
      </w:tr>
      <w:tr w:rsidR="00851F4F" w:rsidRPr="00092B22" w14:paraId="6D5C494C" w14:textId="77777777" w:rsidTr="00E607DA">
        <w:trPr>
          <w:trHeight w:val="240"/>
        </w:trPr>
        <w:tc>
          <w:tcPr>
            <w:tcW w:w="3402" w:type="dxa"/>
            <w:tcBorders>
              <w:top w:val="nil"/>
              <w:left w:val="single" w:sz="4" w:space="0" w:color="auto"/>
              <w:bottom w:val="nil"/>
              <w:right w:val="nil"/>
            </w:tcBorders>
            <w:shd w:val="clear" w:color="auto" w:fill="auto"/>
            <w:noWrap/>
            <w:vAlign w:val="center"/>
            <w:hideMark/>
          </w:tcPr>
          <w:p w14:paraId="59C0D73D" w14:textId="77777777" w:rsidR="00851F4F" w:rsidRPr="00092B22" w:rsidRDefault="00851F4F" w:rsidP="00E607DA">
            <w:pPr>
              <w:rPr>
                <w:rFonts w:ascii="Meta Pro" w:eastAsia="Times New Roman" w:hAnsi="Meta Pro"/>
                <w:szCs w:val="18"/>
                <w:lang w:eastAsia="en-AU"/>
              </w:rPr>
            </w:pPr>
            <w:r w:rsidRPr="00092B22">
              <w:rPr>
                <w:rFonts w:ascii="Meta Pro" w:eastAsia="Times New Roman" w:hAnsi="Meta Pro"/>
                <w:szCs w:val="18"/>
                <w:lang w:eastAsia="en-AU"/>
              </w:rPr>
              <w:t xml:space="preserve">Payables </w:t>
            </w:r>
          </w:p>
        </w:tc>
        <w:tc>
          <w:tcPr>
            <w:tcW w:w="1247" w:type="dxa"/>
            <w:tcBorders>
              <w:top w:val="nil"/>
              <w:left w:val="single" w:sz="4" w:space="0" w:color="auto"/>
              <w:bottom w:val="nil"/>
              <w:right w:val="single" w:sz="4" w:space="0" w:color="auto"/>
            </w:tcBorders>
            <w:shd w:val="clear" w:color="auto" w:fill="auto"/>
            <w:noWrap/>
            <w:vAlign w:val="center"/>
            <w:hideMark/>
          </w:tcPr>
          <w:p w14:paraId="560E24B0" w14:textId="77777777" w:rsidR="00851F4F" w:rsidRPr="00092B22" w:rsidRDefault="00851F4F" w:rsidP="00E607DA">
            <w:pPr>
              <w:jc w:val="center"/>
              <w:rPr>
                <w:rFonts w:ascii="Meta Pro" w:eastAsia="Times New Roman" w:hAnsi="Meta Pro"/>
                <w:szCs w:val="18"/>
                <w:lang w:eastAsia="en-AU"/>
              </w:rPr>
            </w:pPr>
            <w:r w:rsidRPr="00092B22">
              <w:rPr>
                <w:rFonts w:ascii="Meta Pro" w:eastAsia="Times New Roman" w:hAnsi="Meta Pro"/>
                <w:szCs w:val="18"/>
                <w:lang w:eastAsia="en-AU"/>
              </w:rPr>
              <w:t>17</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77A2527E" w14:textId="77777777" w:rsidR="00851F4F" w:rsidRPr="00092B22" w:rsidRDefault="00851F4F" w:rsidP="00E607DA">
            <w:pPr>
              <w:jc w:val="right"/>
              <w:rPr>
                <w:rFonts w:ascii="Meta Pro" w:eastAsia="Times New Roman" w:hAnsi="Meta Pro"/>
                <w:szCs w:val="18"/>
                <w:lang w:eastAsia="en-AU"/>
              </w:rPr>
            </w:pPr>
            <w:r w:rsidRPr="00092B22">
              <w:rPr>
                <w:rFonts w:ascii="Meta Pro" w:eastAsia="Times New Roman" w:hAnsi="Meta Pro"/>
                <w:szCs w:val="18"/>
                <w:lang w:eastAsia="en-AU"/>
              </w:rPr>
              <w:t>687,167</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2943B4D2" w14:textId="77777777" w:rsidR="00851F4F" w:rsidRPr="00092B22" w:rsidRDefault="00851F4F"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257C984F" w14:textId="77777777" w:rsidR="00851F4F" w:rsidRPr="00092B22" w:rsidRDefault="00851F4F"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37EBD522" w14:textId="77777777" w:rsidR="00851F4F" w:rsidRPr="00092B22" w:rsidRDefault="00851F4F" w:rsidP="00E607DA">
            <w:pPr>
              <w:jc w:val="right"/>
              <w:rPr>
                <w:rFonts w:ascii="Meta Pro" w:eastAsia="Times New Roman" w:hAnsi="Meta Pro"/>
                <w:szCs w:val="18"/>
                <w:lang w:eastAsia="en-AU"/>
              </w:rPr>
            </w:pPr>
            <w:r w:rsidRPr="00092B22">
              <w:rPr>
                <w:rFonts w:ascii="Meta Pro" w:eastAsia="Times New Roman" w:hAnsi="Meta Pro"/>
                <w:szCs w:val="18"/>
                <w:lang w:eastAsia="en-AU"/>
              </w:rPr>
              <w:t>687,167</w:t>
            </w:r>
          </w:p>
        </w:tc>
      </w:tr>
      <w:tr w:rsidR="00851F4F" w:rsidRPr="00092B22" w14:paraId="1E667B64" w14:textId="77777777" w:rsidTr="00E607DA">
        <w:trPr>
          <w:trHeight w:val="240"/>
        </w:trPr>
        <w:tc>
          <w:tcPr>
            <w:tcW w:w="3402" w:type="dxa"/>
            <w:tcBorders>
              <w:top w:val="nil"/>
              <w:left w:val="single" w:sz="4" w:space="0" w:color="auto"/>
              <w:bottom w:val="nil"/>
              <w:right w:val="nil"/>
            </w:tcBorders>
            <w:shd w:val="clear" w:color="auto" w:fill="auto"/>
            <w:noWrap/>
            <w:vAlign w:val="center"/>
            <w:hideMark/>
          </w:tcPr>
          <w:p w14:paraId="0874E18C" w14:textId="77777777" w:rsidR="00851F4F" w:rsidRPr="00092B22" w:rsidRDefault="00851F4F" w:rsidP="00E607DA">
            <w:pPr>
              <w:rPr>
                <w:rFonts w:ascii="Meta Pro" w:eastAsia="Times New Roman" w:hAnsi="Meta Pro"/>
                <w:szCs w:val="18"/>
                <w:lang w:eastAsia="en-AU"/>
              </w:rPr>
            </w:pPr>
            <w:r w:rsidRPr="00092B22">
              <w:rPr>
                <w:rFonts w:ascii="Meta Pro" w:eastAsia="Times New Roman" w:hAnsi="Meta Pro"/>
                <w:szCs w:val="18"/>
                <w:lang w:eastAsia="en-AU"/>
              </w:rPr>
              <w:t>Lease liabilities</w:t>
            </w:r>
          </w:p>
        </w:tc>
        <w:tc>
          <w:tcPr>
            <w:tcW w:w="1247" w:type="dxa"/>
            <w:tcBorders>
              <w:top w:val="nil"/>
              <w:left w:val="single" w:sz="4" w:space="0" w:color="auto"/>
              <w:bottom w:val="nil"/>
              <w:right w:val="nil"/>
            </w:tcBorders>
            <w:shd w:val="clear" w:color="auto" w:fill="auto"/>
            <w:noWrap/>
            <w:vAlign w:val="center"/>
            <w:hideMark/>
          </w:tcPr>
          <w:p w14:paraId="06FD71EF" w14:textId="77777777" w:rsidR="00851F4F" w:rsidRPr="00092B22" w:rsidRDefault="00851F4F" w:rsidP="00E607DA">
            <w:pPr>
              <w:jc w:val="center"/>
              <w:rPr>
                <w:rFonts w:ascii="Meta Pro" w:eastAsia="Times New Roman" w:hAnsi="Meta Pro"/>
                <w:szCs w:val="18"/>
                <w:lang w:eastAsia="en-AU"/>
              </w:rPr>
            </w:pPr>
            <w:r w:rsidRPr="00092B22">
              <w:rPr>
                <w:rFonts w:ascii="Meta Pro" w:eastAsia="Times New Roman" w:hAnsi="Meta Pro"/>
                <w:szCs w:val="18"/>
                <w:lang w:eastAsia="en-AU"/>
              </w:rPr>
              <w:t> </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4088889" w14:textId="77777777" w:rsidR="00851F4F" w:rsidRPr="00092B22" w:rsidRDefault="00851F4F" w:rsidP="00E607DA">
            <w:pPr>
              <w:jc w:val="right"/>
              <w:rPr>
                <w:rFonts w:ascii="Meta Pro" w:eastAsia="Times New Roman" w:hAnsi="Meta Pro"/>
                <w:szCs w:val="18"/>
                <w:lang w:eastAsia="en-AU"/>
              </w:rPr>
            </w:pPr>
            <w:r w:rsidRPr="00092B22">
              <w:rPr>
                <w:rFonts w:ascii="Meta Pro" w:eastAsia="Times New Roman" w:hAnsi="Meta Pro"/>
                <w:szCs w:val="18"/>
                <w:lang w:eastAsia="en-AU"/>
              </w:rPr>
              <w:t>326</w:t>
            </w:r>
          </w:p>
        </w:tc>
        <w:tc>
          <w:tcPr>
            <w:tcW w:w="1247" w:type="dxa"/>
            <w:tcBorders>
              <w:top w:val="nil"/>
              <w:left w:val="nil"/>
              <w:bottom w:val="single" w:sz="4" w:space="0" w:color="auto"/>
              <w:right w:val="single" w:sz="4" w:space="0" w:color="auto"/>
            </w:tcBorders>
            <w:shd w:val="clear" w:color="auto" w:fill="auto"/>
            <w:noWrap/>
            <w:vAlign w:val="center"/>
            <w:hideMark/>
          </w:tcPr>
          <w:p w14:paraId="166AB7C7" w14:textId="77777777" w:rsidR="00851F4F" w:rsidRPr="00092B22" w:rsidRDefault="00851F4F" w:rsidP="00E607DA">
            <w:pPr>
              <w:jc w:val="right"/>
              <w:rPr>
                <w:rFonts w:ascii="Meta Pro" w:eastAsia="Times New Roman" w:hAnsi="Meta Pro"/>
                <w:szCs w:val="18"/>
                <w:lang w:eastAsia="en-AU"/>
              </w:rPr>
            </w:pPr>
            <w:r w:rsidRPr="00092B22">
              <w:rPr>
                <w:rFonts w:ascii="Meta Pro" w:eastAsia="Times New Roman" w:hAnsi="Meta Pro"/>
                <w:szCs w:val="18"/>
                <w:lang w:eastAsia="en-AU"/>
              </w:rPr>
              <w:t>709</w:t>
            </w:r>
          </w:p>
        </w:tc>
        <w:tc>
          <w:tcPr>
            <w:tcW w:w="1247" w:type="dxa"/>
            <w:tcBorders>
              <w:top w:val="nil"/>
              <w:left w:val="nil"/>
              <w:bottom w:val="single" w:sz="4" w:space="0" w:color="auto"/>
              <w:right w:val="single" w:sz="4" w:space="0" w:color="auto"/>
            </w:tcBorders>
            <w:shd w:val="clear" w:color="auto" w:fill="auto"/>
            <w:noWrap/>
            <w:vAlign w:val="center"/>
            <w:hideMark/>
          </w:tcPr>
          <w:p w14:paraId="17191620" w14:textId="77777777" w:rsidR="00851F4F" w:rsidRPr="00092B22" w:rsidRDefault="00851F4F" w:rsidP="00E607DA">
            <w:pPr>
              <w:jc w:val="right"/>
              <w:rPr>
                <w:rFonts w:ascii="Meta Pro" w:eastAsia="Times New Roman" w:hAnsi="Meta Pro"/>
                <w:szCs w:val="18"/>
                <w:lang w:eastAsia="en-AU"/>
              </w:rPr>
            </w:pPr>
            <w:r w:rsidRPr="00092B22">
              <w:rPr>
                <w:rFonts w:ascii="Meta Pro" w:eastAsia="Times New Roman" w:hAnsi="Meta Pro"/>
                <w:szCs w:val="18"/>
                <w:lang w:eastAsia="en-AU"/>
              </w:rPr>
              <w:t>3,701</w:t>
            </w:r>
          </w:p>
        </w:tc>
        <w:tc>
          <w:tcPr>
            <w:tcW w:w="1247" w:type="dxa"/>
            <w:tcBorders>
              <w:top w:val="nil"/>
              <w:left w:val="nil"/>
              <w:bottom w:val="single" w:sz="4" w:space="0" w:color="auto"/>
              <w:right w:val="single" w:sz="4" w:space="0" w:color="auto"/>
            </w:tcBorders>
            <w:shd w:val="clear" w:color="auto" w:fill="auto"/>
            <w:noWrap/>
            <w:vAlign w:val="center"/>
            <w:hideMark/>
          </w:tcPr>
          <w:p w14:paraId="38729262" w14:textId="77777777" w:rsidR="00851F4F" w:rsidRPr="00092B22" w:rsidRDefault="00851F4F" w:rsidP="00E607DA">
            <w:pPr>
              <w:jc w:val="right"/>
              <w:rPr>
                <w:rFonts w:ascii="Meta Pro" w:eastAsia="Times New Roman" w:hAnsi="Meta Pro"/>
                <w:szCs w:val="18"/>
                <w:lang w:eastAsia="en-AU"/>
              </w:rPr>
            </w:pPr>
            <w:r w:rsidRPr="00092B22">
              <w:rPr>
                <w:rFonts w:ascii="Meta Pro" w:eastAsia="Times New Roman" w:hAnsi="Meta Pro"/>
                <w:szCs w:val="18"/>
                <w:lang w:eastAsia="en-AU"/>
              </w:rPr>
              <w:t>4,736</w:t>
            </w:r>
          </w:p>
        </w:tc>
      </w:tr>
      <w:tr w:rsidR="00851F4F" w:rsidRPr="00092B22" w14:paraId="32B2505C" w14:textId="77777777" w:rsidTr="00E607DA">
        <w:trPr>
          <w:trHeight w:val="240"/>
        </w:trPr>
        <w:tc>
          <w:tcPr>
            <w:tcW w:w="3402" w:type="dxa"/>
            <w:tcBorders>
              <w:top w:val="nil"/>
              <w:left w:val="single" w:sz="4" w:space="0" w:color="auto"/>
              <w:bottom w:val="nil"/>
              <w:right w:val="nil"/>
            </w:tcBorders>
            <w:shd w:val="clear" w:color="auto" w:fill="auto"/>
            <w:noWrap/>
            <w:vAlign w:val="center"/>
            <w:hideMark/>
          </w:tcPr>
          <w:p w14:paraId="5C98713C" w14:textId="77777777" w:rsidR="00851F4F" w:rsidRPr="00092B22" w:rsidRDefault="00851F4F" w:rsidP="00E607DA">
            <w:pPr>
              <w:rPr>
                <w:rFonts w:ascii="Meta Pro" w:eastAsia="Times New Roman" w:hAnsi="Meta Pro"/>
                <w:szCs w:val="18"/>
                <w:lang w:eastAsia="en-AU"/>
              </w:rPr>
            </w:pPr>
            <w:r w:rsidRPr="00092B22">
              <w:rPr>
                <w:rFonts w:ascii="Meta Pro" w:eastAsia="Times New Roman" w:hAnsi="Meta Pro"/>
                <w:szCs w:val="18"/>
                <w:lang w:eastAsia="en-AU"/>
              </w:rPr>
              <w:t>Service concession arrangements</w:t>
            </w:r>
          </w:p>
        </w:tc>
        <w:tc>
          <w:tcPr>
            <w:tcW w:w="1247" w:type="dxa"/>
            <w:tcBorders>
              <w:top w:val="nil"/>
              <w:left w:val="single" w:sz="4" w:space="0" w:color="auto"/>
              <w:bottom w:val="nil"/>
              <w:right w:val="single" w:sz="4" w:space="0" w:color="auto"/>
            </w:tcBorders>
            <w:shd w:val="clear" w:color="auto" w:fill="auto"/>
            <w:noWrap/>
            <w:vAlign w:val="center"/>
            <w:hideMark/>
          </w:tcPr>
          <w:p w14:paraId="5F3CF6B1" w14:textId="77777777" w:rsidR="00851F4F" w:rsidRPr="00092B22" w:rsidRDefault="00851F4F" w:rsidP="00E607DA">
            <w:pPr>
              <w:jc w:val="center"/>
              <w:rPr>
                <w:rFonts w:ascii="Meta Pro" w:eastAsia="Times New Roman" w:hAnsi="Meta Pro"/>
                <w:szCs w:val="18"/>
                <w:lang w:eastAsia="en-AU"/>
              </w:rPr>
            </w:pPr>
            <w:r w:rsidRPr="00092B22">
              <w:rPr>
                <w:rFonts w:ascii="Meta Pro" w:eastAsia="Times New Roman" w:hAnsi="Meta Pro"/>
                <w:szCs w:val="18"/>
                <w:lang w:eastAsia="en-AU"/>
              </w:rPr>
              <w:t> </w:t>
            </w:r>
          </w:p>
        </w:tc>
        <w:tc>
          <w:tcPr>
            <w:tcW w:w="1247" w:type="dxa"/>
            <w:tcBorders>
              <w:top w:val="nil"/>
              <w:left w:val="nil"/>
              <w:bottom w:val="single" w:sz="4" w:space="0" w:color="auto"/>
              <w:right w:val="single" w:sz="4" w:space="0" w:color="auto"/>
            </w:tcBorders>
            <w:shd w:val="clear" w:color="auto" w:fill="auto"/>
            <w:noWrap/>
            <w:vAlign w:val="center"/>
            <w:hideMark/>
          </w:tcPr>
          <w:p w14:paraId="40D0D3B8" w14:textId="77777777" w:rsidR="00851F4F" w:rsidRPr="00092B22" w:rsidRDefault="00851F4F" w:rsidP="00E607DA">
            <w:pPr>
              <w:jc w:val="right"/>
              <w:rPr>
                <w:rFonts w:ascii="Meta Pro" w:eastAsia="Times New Roman" w:hAnsi="Meta Pro"/>
                <w:szCs w:val="18"/>
                <w:lang w:eastAsia="en-AU"/>
              </w:rPr>
            </w:pPr>
            <w:r w:rsidRPr="00092B22">
              <w:rPr>
                <w:rFonts w:ascii="Meta Pro" w:eastAsia="Times New Roman" w:hAnsi="Meta Pro"/>
                <w:szCs w:val="18"/>
                <w:lang w:eastAsia="en-AU"/>
              </w:rPr>
              <w:t>79,296</w:t>
            </w:r>
          </w:p>
        </w:tc>
        <w:tc>
          <w:tcPr>
            <w:tcW w:w="1247" w:type="dxa"/>
            <w:tcBorders>
              <w:top w:val="nil"/>
              <w:left w:val="nil"/>
              <w:bottom w:val="single" w:sz="4" w:space="0" w:color="auto"/>
              <w:right w:val="single" w:sz="4" w:space="0" w:color="auto"/>
            </w:tcBorders>
            <w:shd w:val="clear" w:color="auto" w:fill="auto"/>
            <w:noWrap/>
            <w:vAlign w:val="center"/>
            <w:hideMark/>
          </w:tcPr>
          <w:p w14:paraId="26571782" w14:textId="77777777" w:rsidR="00851F4F" w:rsidRPr="00092B22" w:rsidRDefault="00851F4F" w:rsidP="00E607DA">
            <w:pPr>
              <w:jc w:val="right"/>
              <w:rPr>
                <w:rFonts w:ascii="Meta Pro" w:eastAsia="Times New Roman" w:hAnsi="Meta Pro"/>
                <w:szCs w:val="18"/>
                <w:lang w:eastAsia="en-AU"/>
              </w:rPr>
            </w:pPr>
            <w:r w:rsidRPr="00092B22">
              <w:rPr>
                <w:rFonts w:ascii="Meta Pro" w:eastAsia="Times New Roman" w:hAnsi="Meta Pro"/>
                <w:szCs w:val="18"/>
                <w:lang w:eastAsia="en-AU"/>
              </w:rPr>
              <w:t>322,831</w:t>
            </w:r>
          </w:p>
        </w:tc>
        <w:tc>
          <w:tcPr>
            <w:tcW w:w="1247" w:type="dxa"/>
            <w:tcBorders>
              <w:top w:val="nil"/>
              <w:left w:val="nil"/>
              <w:bottom w:val="single" w:sz="4" w:space="0" w:color="auto"/>
              <w:right w:val="single" w:sz="4" w:space="0" w:color="auto"/>
            </w:tcBorders>
            <w:shd w:val="clear" w:color="auto" w:fill="auto"/>
            <w:noWrap/>
            <w:vAlign w:val="center"/>
            <w:hideMark/>
          </w:tcPr>
          <w:p w14:paraId="762D8BA6" w14:textId="77777777" w:rsidR="00851F4F" w:rsidRPr="00092B22" w:rsidRDefault="00851F4F" w:rsidP="00E607DA">
            <w:pPr>
              <w:jc w:val="right"/>
              <w:rPr>
                <w:rFonts w:ascii="Meta Pro" w:eastAsia="Times New Roman" w:hAnsi="Meta Pro"/>
                <w:szCs w:val="18"/>
                <w:lang w:eastAsia="en-AU"/>
              </w:rPr>
            </w:pPr>
            <w:r w:rsidRPr="00092B22">
              <w:rPr>
                <w:rFonts w:ascii="Meta Pro" w:eastAsia="Times New Roman" w:hAnsi="Meta Pro"/>
                <w:szCs w:val="18"/>
                <w:lang w:eastAsia="en-AU"/>
              </w:rPr>
              <w:t>703,210</w:t>
            </w:r>
          </w:p>
        </w:tc>
        <w:tc>
          <w:tcPr>
            <w:tcW w:w="1247" w:type="dxa"/>
            <w:tcBorders>
              <w:top w:val="nil"/>
              <w:left w:val="nil"/>
              <w:bottom w:val="single" w:sz="4" w:space="0" w:color="auto"/>
              <w:right w:val="single" w:sz="4" w:space="0" w:color="auto"/>
            </w:tcBorders>
            <w:shd w:val="clear" w:color="auto" w:fill="auto"/>
            <w:noWrap/>
            <w:vAlign w:val="center"/>
            <w:hideMark/>
          </w:tcPr>
          <w:p w14:paraId="4C534CB3" w14:textId="77777777" w:rsidR="00851F4F" w:rsidRPr="00092B22" w:rsidRDefault="00851F4F" w:rsidP="00E607DA">
            <w:pPr>
              <w:jc w:val="right"/>
              <w:rPr>
                <w:rFonts w:ascii="Meta Pro" w:eastAsia="Times New Roman" w:hAnsi="Meta Pro"/>
                <w:szCs w:val="18"/>
                <w:lang w:eastAsia="en-AU"/>
              </w:rPr>
            </w:pPr>
            <w:r w:rsidRPr="00092B22">
              <w:rPr>
                <w:rFonts w:ascii="Meta Pro" w:eastAsia="Times New Roman" w:hAnsi="Meta Pro"/>
                <w:szCs w:val="18"/>
                <w:lang w:eastAsia="en-AU"/>
              </w:rPr>
              <w:t>1,105,337</w:t>
            </w:r>
          </w:p>
        </w:tc>
      </w:tr>
      <w:tr w:rsidR="00851F4F" w:rsidRPr="00092B22" w14:paraId="5CCD0D4B" w14:textId="77777777" w:rsidTr="00E607DA">
        <w:trPr>
          <w:trHeight w:val="240"/>
        </w:trPr>
        <w:tc>
          <w:tcPr>
            <w:tcW w:w="3402" w:type="dxa"/>
            <w:tcBorders>
              <w:top w:val="nil"/>
              <w:left w:val="single" w:sz="4" w:space="0" w:color="auto"/>
              <w:bottom w:val="nil"/>
              <w:right w:val="nil"/>
            </w:tcBorders>
            <w:shd w:val="clear" w:color="auto" w:fill="auto"/>
            <w:noWrap/>
            <w:vAlign w:val="center"/>
            <w:hideMark/>
          </w:tcPr>
          <w:p w14:paraId="7DC1B162" w14:textId="77777777" w:rsidR="00851F4F" w:rsidRPr="00092B22" w:rsidRDefault="00851F4F" w:rsidP="00E607DA">
            <w:pPr>
              <w:rPr>
                <w:rFonts w:ascii="Meta Pro" w:eastAsia="Times New Roman" w:hAnsi="Meta Pro"/>
                <w:szCs w:val="18"/>
                <w:lang w:eastAsia="en-AU"/>
              </w:rPr>
            </w:pPr>
            <w:r w:rsidRPr="00092B22">
              <w:rPr>
                <w:rFonts w:ascii="Meta Pro" w:eastAsia="Times New Roman" w:hAnsi="Meta Pro"/>
                <w:szCs w:val="18"/>
                <w:lang w:eastAsia="en-AU"/>
              </w:rPr>
              <w:t>New Generation Rollingstock arrangement</w:t>
            </w:r>
          </w:p>
        </w:tc>
        <w:tc>
          <w:tcPr>
            <w:tcW w:w="1247" w:type="dxa"/>
            <w:tcBorders>
              <w:top w:val="nil"/>
              <w:left w:val="single" w:sz="4" w:space="0" w:color="auto"/>
              <w:bottom w:val="nil"/>
              <w:right w:val="single" w:sz="4" w:space="0" w:color="auto"/>
            </w:tcBorders>
            <w:shd w:val="clear" w:color="auto" w:fill="auto"/>
            <w:noWrap/>
            <w:vAlign w:val="center"/>
            <w:hideMark/>
          </w:tcPr>
          <w:p w14:paraId="0ABF0640" w14:textId="77777777" w:rsidR="00851F4F" w:rsidRPr="00092B22" w:rsidRDefault="00851F4F" w:rsidP="00E607DA">
            <w:pPr>
              <w:jc w:val="center"/>
              <w:rPr>
                <w:rFonts w:ascii="Meta Pro" w:eastAsia="Times New Roman" w:hAnsi="Meta Pro"/>
                <w:szCs w:val="18"/>
                <w:lang w:eastAsia="en-AU"/>
              </w:rPr>
            </w:pPr>
            <w:r w:rsidRPr="00092B22">
              <w:rPr>
                <w:rFonts w:ascii="Meta Pro" w:eastAsia="Times New Roman" w:hAnsi="Meta Pro"/>
                <w:szCs w:val="18"/>
                <w:lang w:eastAsia="en-AU"/>
              </w:rPr>
              <w:t> </w:t>
            </w:r>
          </w:p>
        </w:tc>
        <w:tc>
          <w:tcPr>
            <w:tcW w:w="1247" w:type="dxa"/>
            <w:tcBorders>
              <w:top w:val="nil"/>
              <w:left w:val="nil"/>
              <w:bottom w:val="single" w:sz="4" w:space="0" w:color="auto"/>
              <w:right w:val="single" w:sz="4" w:space="0" w:color="auto"/>
            </w:tcBorders>
            <w:shd w:val="clear" w:color="auto" w:fill="auto"/>
            <w:noWrap/>
            <w:vAlign w:val="center"/>
            <w:hideMark/>
          </w:tcPr>
          <w:p w14:paraId="5D5F6C49" w14:textId="77777777" w:rsidR="00851F4F" w:rsidRPr="00092B22" w:rsidRDefault="00851F4F" w:rsidP="00E607DA">
            <w:pPr>
              <w:jc w:val="right"/>
              <w:rPr>
                <w:rFonts w:ascii="Meta Pro" w:eastAsia="Times New Roman" w:hAnsi="Meta Pro"/>
                <w:szCs w:val="18"/>
                <w:lang w:eastAsia="en-AU"/>
              </w:rPr>
            </w:pPr>
            <w:r w:rsidRPr="00092B22">
              <w:rPr>
                <w:rFonts w:ascii="Meta Pro" w:eastAsia="Times New Roman" w:hAnsi="Meta Pro"/>
                <w:szCs w:val="18"/>
                <w:lang w:eastAsia="en-AU"/>
              </w:rPr>
              <w:t>71,099</w:t>
            </w:r>
          </w:p>
        </w:tc>
        <w:tc>
          <w:tcPr>
            <w:tcW w:w="1247" w:type="dxa"/>
            <w:tcBorders>
              <w:top w:val="nil"/>
              <w:left w:val="nil"/>
              <w:bottom w:val="single" w:sz="4" w:space="0" w:color="auto"/>
              <w:right w:val="single" w:sz="4" w:space="0" w:color="auto"/>
            </w:tcBorders>
            <w:shd w:val="clear" w:color="auto" w:fill="auto"/>
            <w:noWrap/>
            <w:vAlign w:val="center"/>
            <w:hideMark/>
          </w:tcPr>
          <w:p w14:paraId="30CA1EB6" w14:textId="77777777" w:rsidR="00851F4F" w:rsidRPr="00092B22" w:rsidRDefault="00851F4F" w:rsidP="00E607DA">
            <w:pPr>
              <w:jc w:val="right"/>
              <w:rPr>
                <w:rFonts w:ascii="Meta Pro" w:eastAsia="Times New Roman" w:hAnsi="Meta Pro"/>
                <w:szCs w:val="18"/>
                <w:lang w:eastAsia="en-AU"/>
              </w:rPr>
            </w:pPr>
            <w:r w:rsidRPr="00092B22">
              <w:rPr>
                <w:rFonts w:ascii="Meta Pro" w:eastAsia="Times New Roman" w:hAnsi="Meta Pro"/>
                <w:szCs w:val="18"/>
                <w:lang w:eastAsia="en-AU"/>
              </w:rPr>
              <w:t>284,545</w:t>
            </w:r>
          </w:p>
        </w:tc>
        <w:tc>
          <w:tcPr>
            <w:tcW w:w="1247" w:type="dxa"/>
            <w:tcBorders>
              <w:top w:val="nil"/>
              <w:left w:val="nil"/>
              <w:bottom w:val="single" w:sz="4" w:space="0" w:color="auto"/>
              <w:right w:val="single" w:sz="4" w:space="0" w:color="auto"/>
            </w:tcBorders>
            <w:shd w:val="clear" w:color="auto" w:fill="auto"/>
            <w:noWrap/>
            <w:vAlign w:val="center"/>
            <w:hideMark/>
          </w:tcPr>
          <w:p w14:paraId="5508FF10" w14:textId="77777777" w:rsidR="00851F4F" w:rsidRPr="00092B22" w:rsidRDefault="00851F4F" w:rsidP="00E607DA">
            <w:pPr>
              <w:jc w:val="right"/>
              <w:rPr>
                <w:rFonts w:ascii="Meta Pro" w:eastAsia="Times New Roman" w:hAnsi="Meta Pro"/>
                <w:szCs w:val="18"/>
                <w:lang w:eastAsia="en-AU"/>
              </w:rPr>
            </w:pPr>
            <w:r w:rsidRPr="00092B22">
              <w:rPr>
                <w:rFonts w:ascii="Meta Pro" w:eastAsia="Times New Roman" w:hAnsi="Meta Pro"/>
                <w:szCs w:val="18"/>
                <w:lang w:eastAsia="en-AU"/>
              </w:rPr>
              <w:t>1,419,809</w:t>
            </w:r>
          </w:p>
        </w:tc>
        <w:tc>
          <w:tcPr>
            <w:tcW w:w="1247" w:type="dxa"/>
            <w:tcBorders>
              <w:top w:val="nil"/>
              <w:left w:val="nil"/>
              <w:bottom w:val="single" w:sz="4" w:space="0" w:color="auto"/>
              <w:right w:val="single" w:sz="4" w:space="0" w:color="auto"/>
            </w:tcBorders>
            <w:shd w:val="clear" w:color="auto" w:fill="auto"/>
            <w:noWrap/>
            <w:vAlign w:val="center"/>
            <w:hideMark/>
          </w:tcPr>
          <w:p w14:paraId="552DE593" w14:textId="77777777" w:rsidR="00851F4F" w:rsidRPr="00092B22" w:rsidRDefault="00851F4F" w:rsidP="00E607DA">
            <w:pPr>
              <w:jc w:val="right"/>
              <w:rPr>
                <w:rFonts w:ascii="Meta Pro" w:eastAsia="Times New Roman" w:hAnsi="Meta Pro"/>
                <w:szCs w:val="18"/>
                <w:lang w:eastAsia="en-AU"/>
              </w:rPr>
            </w:pPr>
            <w:r w:rsidRPr="00092B22">
              <w:rPr>
                <w:rFonts w:ascii="Meta Pro" w:eastAsia="Times New Roman" w:hAnsi="Meta Pro"/>
                <w:szCs w:val="18"/>
                <w:lang w:eastAsia="en-AU"/>
              </w:rPr>
              <w:t>1,775,453</w:t>
            </w:r>
          </w:p>
        </w:tc>
      </w:tr>
      <w:tr w:rsidR="00851F4F" w:rsidRPr="00092B22" w14:paraId="673843DC" w14:textId="77777777" w:rsidTr="00E607DA">
        <w:trPr>
          <w:trHeight w:val="240"/>
        </w:trPr>
        <w:tc>
          <w:tcPr>
            <w:tcW w:w="3402" w:type="dxa"/>
            <w:tcBorders>
              <w:top w:val="nil"/>
              <w:left w:val="single" w:sz="4" w:space="0" w:color="auto"/>
              <w:bottom w:val="single" w:sz="4" w:space="0" w:color="auto"/>
              <w:right w:val="nil"/>
            </w:tcBorders>
            <w:shd w:val="clear" w:color="auto" w:fill="auto"/>
            <w:noWrap/>
            <w:vAlign w:val="center"/>
            <w:hideMark/>
          </w:tcPr>
          <w:p w14:paraId="4183EEBB" w14:textId="77777777" w:rsidR="00851F4F" w:rsidRPr="00092B22" w:rsidRDefault="00851F4F" w:rsidP="00E607DA">
            <w:pPr>
              <w:rPr>
                <w:rFonts w:ascii="Meta Pro" w:eastAsia="Times New Roman" w:hAnsi="Meta Pro"/>
                <w:b/>
                <w:bCs/>
                <w:szCs w:val="18"/>
                <w:lang w:eastAsia="en-AU"/>
              </w:rPr>
            </w:pPr>
            <w:r w:rsidRPr="00092B22">
              <w:rPr>
                <w:rFonts w:ascii="Meta Pro" w:eastAsia="Times New Roman" w:hAnsi="Meta Pro"/>
                <w:b/>
                <w:bCs/>
                <w:szCs w:val="18"/>
                <w:lang w:eastAsia="en-AU"/>
              </w:rPr>
              <w:t>Total</w:t>
            </w:r>
          </w:p>
        </w:tc>
        <w:tc>
          <w:tcPr>
            <w:tcW w:w="1247" w:type="dxa"/>
            <w:tcBorders>
              <w:top w:val="nil"/>
              <w:left w:val="single" w:sz="4" w:space="0" w:color="auto"/>
              <w:bottom w:val="single" w:sz="4" w:space="0" w:color="auto"/>
              <w:right w:val="nil"/>
            </w:tcBorders>
            <w:shd w:val="clear" w:color="auto" w:fill="auto"/>
            <w:noWrap/>
            <w:vAlign w:val="center"/>
            <w:hideMark/>
          </w:tcPr>
          <w:p w14:paraId="7D6A58C4" w14:textId="77777777" w:rsidR="00851F4F" w:rsidRPr="00092B22" w:rsidRDefault="00851F4F" w:rsidP="00E607DA">
            <w:pPr>
              <w:jc w:val="center"/>
              <w:rPr>
                <w:rFonts w:ascii="Meta Pro" w:eastAsia="Times New Roman" w:hAnsi="Meta Pro"/>
                <w:szCs w:val="18"/>
                <w:lang w:eastAsia="en-AU"/>
              </w:rPr>
            </w:pPr>
            <w:r w:rsidRPr="00092B22">
              <w:rPr>
                <w:rFonts w:ascii="Meta Pro" w:eastAsia="Times New Roman" w:hAnsi="Meta Pro"/>
                <w:szCs w:val="18"/>
                <w:lang w:eastAsia="en-AU"/>
              </w:rPr>
              <w:t> </w:t>
            </w:r>
          </w:p>
        </w:tc>
        <w:tc>
          <w:tcPr>
            <w:tcW w:w="1247" w:type="dxa"/>
            <w:tcBorders>
              <w:top w:val="nil"/>
              <w:left w:val="single" w:sz="4" w:space="0" w:color="auto"/>
              <w:bottom w:val="double" w:sz="6" w:space="0" w:color="auto"/>
              <w:right w:val="single" w:sz="4" w:space="0" w:color="auto"/>
            </w:tcBorders>
            <w:shd w:val="clear" w:color="auto" w:fill="auto"/>
            <w:noWrap/>
            <w:vAlign w:val="center"/>
            <w:hideMark/>
          </w:tcPr>
          <w:p w14:paraId="73DC596D" w14:textId="77777777" w:rsidR="00851F4F" w:rsidRPr="00092B22" w:rsidRDefault="00851F4F"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837,888</w:t>
            </w:r>
          </w:p>
        </w:tc>
        <w:tc>
          <w:tcPr>
            <w:tcW w:w="1247" w:type="dxa"/>
            <w:tcBorders>
              <w:top w:val="nil"/>
              <w:left w:val="nil"/>
              <w:bottom w:val="double" w:sz="6" w:space="0" w:color="auto"/>
              <w:right w:val="single" w:sz="4" w:space="0" w:color="auto"/>
            </w:tcBorders>
            <w:shd w:val="clear" w:color="auto" w:fill="auto"/>
            <w:noWrap/>
            <w:vAlign w:val="center"/>
            <w:hideMark/>
          </w:tcPr>
          <w:p w14:paraId="675F9F1C" w14:textId="77777777" w:rsidR="00851F4F" w:rsidRPr="00092B22" w:rsidRDefault="00851F4F"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608,085</w:t>
            </w:r>
          </w:p>
        </w:tc>
        <w:tc>
          <w:tcPr>
            <w:tcW w:w="1247" w:type="dxa"/>
            <w:tcBorders>
              <w:top w:val="nil"/>
              <w:left w:val="nil"/>
              <w:bottom w:val="double" w:sz="6" w:space="0" w:color="auto"/>
              <w:right w:val="single" w:sz="4" w:space="0" w:color="auto"/>
            </w:tcBorders>
            <w:shd w:val="clear" w:color="auto" w:fill="auto"/>
            <w:noWrap/>
            <w:vAlign w:val="center"/>
            <w:hideMark/>
          </w:tcPr>
          <w:p w14:paraId="5A67E065" w14:textId="77777777" w:rsidR="00851F4F" w:rsidRPr="00092B22" w:rsidRDefault="00851F4F"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2,126,720</w:t>
            </w:r>
          </w:p>
        </w:tc>
        <w:tc>
          <w:tcPr>
            <w:tcW w:w="1247" w:type="dxa"/>
            <w:tcBorders>
              <w:top w:val="nil"/>
              <w:left w:val="nil"/>
              <w:bottom w:val="double" w:sz="6" w:space="0" w:color="auto"/>
              <w:right w:val="single" w:sz="4" w:space="0" w:color="auto"/>
            </w:tcBorders>
            <w:shd w:val="clear" w:color="auto" w:fill="auto"/>
            <w:noWrap/>
            <w:vAlign w:val="center"/>
            <w:hideMark/>
          </w:tcPr>
          <w:p w14:paraId="5E1859C2" w14:textId="77777777" w:rsidR="00851F4F" w:rsidRPr="00092B22" w:rsidRDefault="00851F4F"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3,572,693</w:t>
            </w:r>
          </w:p>
        </w:tc>
      </w:tr>
    </w:tbl>
    <w:p w14:paraId="5F01B2C1" w14:textId="311D943C" w:rsidR="00851F4F" w:rsidRPr="00092B22" w:rsidRDefault="00851F4F" w:rsidP="00851F4F">
      <w:pPr>
        <w:rPr>
          <w:rFonts w:ascii="Meta Pro" w:eastAsia="Times New Roman" w:hAnsi="Meta Pro"/>
          <w:b/>
          <w:bCs/>
          <w:szCs w:val="18"/>
          <w:lang w:eastAsia="en-AU"/>
        </w:rPr>
      </w:pPr>
      <w:r w:rsidRPr="00092B22">
        <w:rPr>
          <w:rFonts w:ascii="Meta Pro" w:eastAsia="Times New Roman" w:hAnsi="Meta Pro"/>
          <w:b/>
          <w:bCs/>
          <w:szCs w:val="18"/>
          <w:lang w:eastAsia="en-AU"/>
        </w:rPr>
        <w:t>MARKET RISK</w:t>
      </w:r>
    </w:p>
    <w:p w14:paraId="5388B33E" w14:textId="058BE0E8" w:rsidR="00851F4F" w:rsidRPr="00092B22" w:rsidRDefault="00851F4F" w:rsidP="00851F4F">
      <w:pPr>
        <w:rPr>
          <w:rFonts w:ascii="Meta Pro" w:eastAsia="Times New Roman" w:hAnsi="Meta Pro"/>
          <w:szCs w:val="18"/>
          <w:lang w:eastAsia="en-AU"/>
        </w:rPr>
      </w:pPr>
      <w:r w:rsidRPr="00092B22">
        <w:rPr>
          <w:rFonts w:ascii="Meta Pro" w:eastAsia="Times New Roman" w:hAnsi="Meta Pro"/>
          <w:szCs w:val="18"/>
          <w:lang w:eastAsia="en-AU"/>
        </w:rPr>
        <w:t>The department does not trade in foreign currency and is not materially exposed to commodity price changes.</w:t>
      </w:r>
    </w:p>
    <w:p w14:paraId="3E5135B4" w14:textId="77777777" w:rsidR="00851F4F" w:rsidRPr="00092B22" w:rsidRDefault="00851F4F" w:rsidP="00851F4F">
      <w:pPr>
        <w:spacing w:after="120"/>
        <w:rPr>
          <w:rFonts w:ascii="Meta Pro" w:eastAsia="Times New Roman" w:hAnsi="Meta Pro"/>
          <w:b/>
          <w:bCs/>
          <w:szCs w:val="18"/>
          <w:lang w:eastAsia="en-AU"/>
        </w:rPr>
      </w:pPr>
      <w:r w:rsidRPr="00092B22">
        <w:rPr>
          <w:rFonts w:ascii="Meta Pro" w:eastAsia="Times New Roman" w:hAnsi="Meta Pro"/>
          <w:b/>
          <w:bCs/>
          <w:szCs w:val="18"/>
          <w:lang w:eastAsia="en-AU"/>
        </w:rPr>
        <w:t>INTEREST RATE SENSITIVITY ANALYSIS</w:t>
      </w:r>
    </w:p>
    <w:p w14:paraId="4C860E9C" w14:textId="77777777" w:rsidR="00851F4F" w:rsidRPr="00092B22" w:rsidRDefault="00851F4F" w:rsidP="00851F4F">
      <w:pPr>
        <w:spacing w:after="120"/>
        <w:rPr>
          <w:rFonts w:ascii="Meta Pro" w:eastAsia="Times New Roman" w:hAnsi="Meta Pro"/>
          <w:szCs w:val="18"/>
          <w:lang w:eastAsia="en-AU"/>
        </w:rPr>
      </w:pPr>
      <w:r w:rsidRPr="00092B22">
        <w:rPr>
          <w:rFonts w:ascii="Meta Pro" w:eastAsia="Times New Roman" w:hAnsi="Meta Pro"/>
          <w:szCs w:val="18"/>
          <w:lang w:eastAsia="en-AU"/>
        </w:rPr>
        <w:t>The department is exposed to interest rate risk through floating interest rate components for</w:t>
      </w:r>
      <w:r>
        <w:rPr>
          <w:rFonts w:ascii="Meta Pro" w:eastAsia="Times New Roman" w:hAnsi="Meta Pro"/>
          <w:szCs w:val="18"/>
          <w:lang w:eastAsia="en-AU"/>
        </w:rPr>
        <w:t xml:space="preserve"> the Toowoomba Bypass and New Generation Rollingstock public private partnerships.</w:t>
      </w:r>
    </w:p>
    <w:p w14:paraId="4DEB56CE" w14:textId="3CB3DE53" w:rsidR="00851F4F" w:rsidRDefault="00851F4F" w:rsidP="00851F4F">
      <w:pPr>
        <w:spacing w:after="120"/>
        <w:rPr>
          <w:rFonts w:ascii="Meta Pro" w:eastAsia="Times New Roman" w:hAnsi="Meta Pro"/>
          <w:szCs w:val="18"/>
          <w:lang w:eastAsia="en-AU"/>
        </w:rPr>
      </w:pPr>
      <w:r w:rsidRPr="00092B22">
        <w:rPr>
          <w:rFonts w:ascii="Meta Pro" w:eastAsia="Times New Roman" w:hAnsi="Meta Pro"/>
          <w:szCs w:val="18"/>
          <w:lang w:eastAsia="en-AU"/>
        </w:rPr>
        <w:t>The following interest rate sensitivity analysis depicts the outcome on net income if the interest rates would change by +/-1 percent from the year-end rates applicable to the department's financial liabilities. The department would have a surplus</w:t>
      </w:r>
      <w:r>
        <w:rPr>
          <w:rFonts w:ascii="Meta Pro" w:eastAsia="Times New Roman" w:hAnsi="Meta Pro"/>
          <w:szCs w:val="18"/>
          <w:lang w:eastAsia="en-AU"/>
        </w:rPr>
        <w:t>/(deficit)</w:t>
      </w:r>
      <w:r w:rsidRPr="00092B22">
        <w:rPr>
          <w:rFonts w:ascii="Meta Pro" w:eastAsia="Times New Roman" w:hAnsi="Meta Pro"/>
          <w:szCs w:val="18"/>
          <w:lang w:eastAsia="en-AU"/>
        </w:rPr>
        <w:t xml:space="preserve"> and equity increase/(decrease) of $9.598m.</w:t>
      </w:r>
    </w:p>
    <w:p w14:paraId="5B64E580" w14:textId="77777777" w:rsidR="0026469D" w:rsidRPr="00716018" w:rsidRDefault="0026469D" w:rsidP="00851F4F">
      <w:pPr>
        <w:spacing w:after="120"/>
        <w:rPr>
          <w:rFonts w:ascii="Meta Pro" w:eastAsia="Times New Roman" w:hAnsi="Meta Pro"/>
          <w:szCs w:val="18"/>
          <w:lang w:eastAsia="en-AU"/>
        </w:rPr>
      </w:pPr>
    </w:p>
    <w:tbl>
      <w:tblPr>
        <w:tblW w:w="0" w:type="auto"/>
        <w:tblCellMar>
          <w:left w:w="0" w:type="dxa"/>
        </w:tblCellMar>
        <w:tblLook w:val="04A0" w:firstRow="1" w:lastRow="0" w:firstColumn="1" w:lastColumn="0" w:noHBand="0" w:noVBand="1"/>
      </w:tblPr>
      <w:tblGrid>
        <w:gridCol w:w="3398"/>
        <w:gridCol w:w="1246"/>
        <w:gridCol w:w="1246"/>
        <w:gridCol w:w="1246"/>
        <w:gridCol w:w="1246"/>
        <w:gridCol w:w="1246"/>
      </w:tblGrid>
      <w:tr w:rsidR="00851F4F" w:rsidRPr="00716018" w14:paraId="317C69A5" w14:textId="77777777" w:rsidTr="00E607DA">
        <w:trPr>
          <w:trHeight w:val="23"/>
        </w:trPr>
        <w:tc>
          <w:tcPr>
            <w:tcW w:w="3402" w:type="dxa"/>
            <w:tcBorders>
              <w:top w:val="single" w:sz="4" w:space="0" w:color="auto"/>
              <w:left w:val="single" w:sz="4" w:space="0" w:color="auto"/>
              <w:bottom w:val="nil"/>
              <w:right w:val="nil"/>
            </w:tcBorders>
            <w:shd w:val="clear" w:color="auto" w:fill="auto"/>
            <w:noWrap/>
            <w:vAlign w:val="center"/>
            <w:hideMark/>
          </w:tcPr>
          <w:p w14:paraId="586DF866" w14:textId="77777777" w:rsidR="00851F4F" w:rsidRPr="00716018" w:rsidRDefault="00851F4F" w:rsidP="00E607DA">
            <w:pPr>
              <w:rPr>
                <w:rFonts w:ascii="Meta Pro" w:eastAsia="Times New Roman" w:hAnsi="Meta Pro"/>
                <w:b/>
                <w:bCs/>
                <w:szCs w:val="18"/>
                <w:lang w:eastAsia="en-AU"/>
              </w:rPr>
            </w:pPr>
            <w:r w:rsidRPr="00716018">
              <w:rPr>
                <w:rFonts w:ascii="Meta Pro" w:eastAsia="Times New Roman" w:hAnsi="Meta Pro"/>
                <w:b/>
                <w:bCs/>
                <w:szCs w:val="18"/>
                <w:lang w:eastAsia="en-AU"/>
              </w:rPr>
              <w:t> </w:t>
            </w:r>
          </w:p>
        </w:tc>
        <w:tc>
          <w:tcPr>
            <w:tcW w:w="1247" w:type="dxa"/>
            <w:tcBorders>
              <w:top w:val="single" w:sz="4" w:space="0" w:color="auto"/>
              <w:left w:val="single" w:sz="4" w:space="0" w:color="auto"/>
              <w:bottom w:val="nil"/>
              <w:right w:val="single" w:sz="4" w:space="0" w:color="auto"/>
            </w:tcBorders>
            <w:shd w:val="clear" w:color="auto" w:fill="auto"/>
            <w:noWrap/>
            <w:vAlign w:val="center"/>
            <w:hideMark/>
          </w:tcPr>
          <w:p w14:paraId="0DDF398C" w14:textId="77777777" w:rsidR="00851F4F" w:rsidRPr="00716018" w:rsidRDefault="00851F4F" w:rsidP="00E607DA">
            <w:pPr>
              <w:jc w:val="center"/>
              <w:rPr>
                <w:rFonts w:ascii="Meta Pro" w:eastAsia="Times New Roman" w:hAnsi="Meta Pro"/>
                <w:b/>
                <w:bCs/>
                <w:szCs w:val="18"/>
                <w:lang w:eastAsia="en-AU"/>
              </w:rPr>
            </w:pPr>
            <w:r w:rsidRPr="00716018">
              <w:rPr>
                <w:rFonts w:ascii="Meta Pro" w:eastAsia="Times New Roman" w:hAnsi="Meta Pro"/>
                <w:b/>
                <w:bCs/>
                <w:szCs w:val="18"/>
                <w:lang w:eastAsia="en-AU"/>
              </w:rPr>
              <w:t> </w:t>
            </w:r>
          </w:p>
        </w:tc>
        <w:tc>
          <w:tcPr>
            <w:tcW w:w="4988" w:type="dxa"/>
            <w:gridSpan w:val="4"/>
            <w:tcBorders>
              <w:top w:val="single" w:sz="4" w:space="0" w:color="auto"/>
              <w:left w:val="nil"/>
              <w:bottom w:val="single" w:sz="4" w:space="0" w:color="auto"/>
              <w:right w:val="single" w:sz="4" w:space="0" w:color="auto"/>
            </w:tcBorders>
            <w:shd w:val="clear" w:color="auto" w:fill="auto"/>
            <w:noWrap/>
            <w:vAlign w:val="center"/>
            <w:hideMark/>
          </w:tcPr>
          <w:p w14:paraId="47AF7731" w14:textId="77777777" w:rsidR="00851F4F" w:rsidRPr="00716018" w:rsidRDefault="00851F4F" w:rsidP="00E607DA">
            <w:pPr>
              <w:jc w:val="center"/>
              <w:rPr>
                <w:rFonts w:ascii="Meta Pro" w:eastAsia="Times New Roman" w:hAnsi="Meta Pro"/>
                <w:b/>
                <w:bCs/>
                <w:szCs w:val="18"/>
                <w:lang w:eastAsia="en-AU"/>
              </w:rPr>
            </w:pPr>
            <w:r w:rsidRPr="00716018">
              <w:rPr>
                <w:rFonts w:ascii="Meta Pro" w:eastAsia="Times New Roman" w:hAnsi="Meta Pro"/>
                <w:b/>
                <w:bCs/>
                <w:szCs w:val="18"/>
                <w:lang w:eastAsia="en-AU"/>
              </w:rPr>
              <w:t>Interest rate risk</w:t>
            </w:r>
          </w:p>
        </w:tc>
      </w:tr>
      <w:tr w:rsidR="00851F4F" w:rsidRPr="00716018" w14:paraId="38D28493" w14:textId="77777777" w:rsidTr="00E607DA">
        <w:trPr>
          <w:trHeight w:val="23"/>
        </w:trPr>
        <w:tc>
          <w:tcPr>
            <w:tcW w:w="3402" w:type="dxa"/>
            <w:vMerge w:val="restart"/>
            <w:tcBorders>
              <w:top w:val="nil"/>
              <w:left w:val="single" w:sz="4" w:space="0" w:color="auto"/>
              <w:bottom w:val="single" w:sz="4" w:space="0" w:color="000000"/>
              <w:right w:val="nil"/>
            </w:tcBorders>
            <w:shd w:val="clear" w:color="auto" w:fill="auto"/>
            <w:noWrap/>
            <w:vAlign w:val="center"/>
            <w:hideMark/>
          </w:tcPr>
          <w:p w14:paraId="0CEDA66D" w14:textId="77777777" w:rsidR="00851F4F" w:rsidRPr="00716018" w:rsidRDefault="00851F4F" w:rsidP="00E607DA">
            <w:pPr>
              <w:rPr>
                <w:rFonts w:ascii="Meta Pro" w:eastAsia="Times New Roman" w:hAnsi="Meta Pro"/>
                <w:b/>
                <w:bCs/>
                <w:szCs w:val="18"/>
                <w:lang w:eastAsia="en-AU"/>
              </w:rPr>
            </w:pPr>
            <w:r w:rsidRPr="00716018">
              <w:rPr>
                <w:rFonts w:ascii="Meta Pro" w:eastAsia="Times New Roman" w:hAnsi="Meta Pro"/>
                <w:b/>
                <w:bCs/>
                <w:szCs w:val="18"/>
                <w:lang w:eastAsia="en-AU"/>
              </w:rPr>
              <w:t>Financial liabilities</w:t>
            </w:r>
          </w:p>
        </w:tc>
        <w:tc>
          <w:tcPr>
            <w:tcW w:w="1247" w:type="dxa"/>
            <w:vMerge w:val="restart"/>
            <w:tcBorders>
              <w:top w:val="nil"/>
              <w:left w:val="single" w:sz="4" w:space="0" w:color="auto"/>
              <w:bottom w:val="single" w:sz="4" w:space="0" w:color="000000"/>
              <w:right w:val="single" w:sz="4" w:space="0" w:color="auto"/>
            </w:tcBorders>
            <w:shd w:val="clear" w:color="auto" w:fill="auto"/>
            <w:vAlign w:val="center"/>
            <w:hideMark/>
          </w:tcPr>
          <w:p w14:paraId="14166204" w14:textId="77777777" w:rsidR="00851F4F" w:rsidRPr="00716018" w:rsidRDefault="00851F4F" w:rsidP="00E607DA">
            <w:pPr>
              <w:jc w:val="center"/>
              <w:rPr>
                <w:rFonts w:ascii="Meta Pro" w:eastAsia="Times New Roman" w:hAnsi="Meta Pro"/>
                <w:b/>
                <w:bCs/>
                <w:szCs w:val="18"/>
                <w:lang w:eastAsia="en-AU"/>
              </w:rPr>
            </w:pPr>
            <w:r w:rsidRPr="00716018">
              <w:rPr>
                <w:rFonts w:ascii="Meta Pro" w:eastAsia="Times New Roman" w:hAnsi="Meta Pro"/>
                <w:b/>
                <w:bCs/>
                <w:szCs w:val="18"/>
                <w:lang w:eastAsia="en-AU"/>
              </w:rPr>
              <w:t>Carrying amount</w:t>
            </w:r>
          </w:p>
        </w:tc>
        <w:tc>
          <w:tcPr>
            <w:tcW w:w="2494" w:type="dxa"/>
            <w:gridSpan w:val="2"/>
            <w:tcBorders>
              <w:top w:val="single" w:sz="4" w:space="0" w:color="auto"/>
              <w:left w:val="nil"/>
              <w:bottom w:val="single" w:sz="4" w:space="0" w:color="auto"/>
              <w:right w:val="single" w:sz="4" w:space="0" w:color="auto"/>
            </w:tcBorders>
            <w:shd w:val="clear" w:color="auto" w:fill="auto"/>
            <w:vAlign w:val="center"/>
            <w:hideMark/>
          </w:tcPr>
          <w:p w14:paraId="39BAF2B1" w14:textId="77777777" w:rsidR="00851F4F" w:rsidRPr="00716018" w:rsidRDefault="00851F4F" w:rsidP="00E607DA">
            <w:pPr>
              <w:jc w:val="center"/>
              <w:rPr>
                <w:rFonts w:ascii="Meta Pro" w:eastAsia="Times New Roman" w:hAnsi="Meta Pro"/>
                <w:b/>
                <w:bCs/>
                <w:szCs w:val="18"/>
                <w:lang w:eastAsia="en-AU"/>
              </w:rPr>
            </w:pPr>
            <w:r w:rsidRPr="00716018">
              <w:rPr>
                <w:rFonts w:ascii="Meta Pro" w:eastAsia="Times New Roman" w:hAnsi="Meta Pro"/>
                <w:b/>
                <w:bCs/>
                <w:szCs w:val="18"/>
                <w:lang w:eastAsia="en-AU"/>
              </w:rPr>
              <w:t>-1%</w:t>
            </w:r>
          </w:p>
        </w:tc>
        <w:tc>
          <w:tcPr>
            <w:tcW w:w="2494" w:type="dxa"/>
            <w:gridSpan w:val="2"/>
            <w:tcBorders>
              <w:top w:val="single" w:sz="4" w:space="0" w:color="auto"/>
              <w:left w:val="nil"/>
              <w:bottom w:val="single" w:sz="4" w:space="0" w:color="auto"/>
              <w:right w:val="single" w:sz="4" w:space="0" w:color="auto"/>
            </w:tcBorders>
            <w:shd w:val="clear" w:color="auto" w:fill="auto"/>
            <w:vAlign w:val="center"/>
            <w:hideMark/>
          </w:tcPr>
          <w:p w14:paraId="53FD55D4" w14:textId="77777777" w:rsidR="00851F4F" w:rsidRPr="00716018" w:rsidRDefault="00851F4F" w:rsidP="00E607DA">
            <w:pPr>
              <w:jc w:val="center"/>
              <w:rPr>
                <w:rFonts w:ascii="Meta Pro" w:eastAsia="Times New Roman" w:hAnsi="Meta Pro"/>
                <w:b/>
                <w:bCs/>
                <w:szCs w:val="18"/>
                <w:lang w:eastAsia="en-AU"/>
              </w:rPr>
            </w:pPr>
            <w:r w:rsidRPr="00716018">
              <w:rPr>
                <w:rFonts w:ascii="Meta Pro" w:eastAsia="Times New Roman" w:hAnsi="Meta Pro"/>
                <w:b/>
                <w:bCs/>
                <w:szCs w:val="18"/>
                <w:lang w:eastAsia="en-AU"/>
              </w:rPr>
              <w:t>1%</w:t>
            </w:r>
          </w:p>
        </w:tc>
      </w:tr>
      <w:tr w:rsidR="00851F4F" w:rsidRPr="00716018" w14:paraId="7204CD86" w14:textId="77777777" w:rsidTr="00E607DA">
        <w:trPr>
          <w:trHeight w:val="23"/>
        </w:trPr>
        <w:tc>
          <w:tcPr>
            <w:tcW w:w="3402" w:type="dxa"/>
            <w:vMerge/>
            <w:tcBorders>
              <w:top w:val="nil"/>
              <w:left w:val="single" w:sz="4" w:space="0" w:color="auto"/>
              <w:bottom w:val="single" w:sz="4" w:space="0" w:color="000000"/>
              <w:right w:val="nil"/>
            </w:tcBorders>
            <w:vAlign w:val="center"/>
            <w:hideMark/>
          </w:tcPr>
          <w:p w14:paraId="7F34DE14" w14:textId="77777777" w:rsidR="00851F4F" w:rsidRPr="00716018" w:rsidRDefault="00851F4F" w:rsidP="00E607DA">
            <w:pPr>
              <w:rPr>
                <w:rFonts w:ascii="Meta Pro" w:eastAsia="Times New Roman" w:hAnsi="Meta Pro"/>
                <w:b/>
                <w:bCs/>
                <w:szCs w:val="18"/>
                <w:lang w:eastAsia="en-AU"/>
              </w:rPr>
            </w:pPr>
          </w:p>
        </w:tc>
        <w:tc>
          <w:tcPr>
            <w:tcW w:w="1247" w:type="dxa"/>
            <w:vMerge/>
            <w:tcBorders>
              <w:top w:val="nil"/>
              <w:left w:val="single" w:sz="4" w:space="0" w:color="auto"/>
              <w:bottom w:val="single" w:sz="4" w:space="0" w:color="000000"/>
              <w:right w:val="single" w:sz="4" w:space="0" w:color="auto"/>
            </w:tcBorders>
            <w:vAlign w:val="center"/>
            <w:hideMark/>
          </w:tcPr>
          <w:p w14:paraId="2A38ADF0" w14:textId="77777777" w:rsidR="00851F4F" w:rsidRPr="00716018" w:rsidRDefault="00851F4F" w:rsidP="00E607DA">
            <w:pPr>
              <w:rPr>
                <w:rFonts w:ascii="Meta Pro" w:eastAsia="Times New Roman" w:hAnsi="Meta Pro"/>
                <w:b/>
                <w:bCs/>
                <w:szCs w:val="18"/>
                <w:lang w:eastAsia="en-AU"/>
              </w:rPr>
            </w:pPr>
          </w:p>
        </w:tc>
        <w:tc>
          <w:tcPr>
            <w:tcW w:w="1247" w:type="dxa"/>
            <w:tcBorders>
              <w:top w:val="nil"/>
              <w:left w:val="nil"/>
              <w:bottom w:val="nil"/>
              <w:right w:val="single" w:sz="4" w:space="0" w:color="auto"/>
            </w:tcBorders>
            <w:shd w:val="clear" w:color="auto" w:fill="auto"/>
            <w:vAlign w:val="center"/>
            <w:hideMark/>
          </w:tcPr>
          <w:p w14:paraId="5B758FA7" w14:textId="77777777" w:rsidR="00851F4F" w:rsidRPr="00716018" w:rsidRDefault="00851F4F" w:rsidP="00E607DA">
            <w:pPr>
              <w:jc w:val="center"/>
              <w:rPr>
                <w:rFonts w:ascii="Meta Pro" w:eastAsia="Times New Roman" w:hAnsi="Meta Pro"/>
                <w:b/>
                <w:bCs/>
                <w:szCs w:val="18"/>
                <w:lang w:eastAsia="en-AU"/>
              </w:rPr>
            </w:pPr>
            <w:r w:rsidRPr="00716018">
              <w:rPr>
                <w:rFonts w:ascii="Meta Pro" w:eastAsia="Times New Roman" w:hAnsi="Meta Pro"/>
                <w:b/>
                <w:bCs/>
                <w:szCs w:val="18"/>
                <w:lang w:eastAsia="en-AU"/>
              </w:rPr>
              <w:t>Profit</w:t>
            </w:r>
          </w:p>
        </w:tc>
        <w:tc>
          <w:tcPr>
            <w:tcW w:w="1247" w:type="dxa"/>
            <w:tcBorders>
              <w:top w:val="nil"/>
              <w:left w:val="nil"/>
              <w:bottom w:val="nil"/>
              <w:right w:val="single" w:sz="4" w:space="0" w:color="auto"/>
            </w:tcBorders>
            <w:shd w:val="clear" w:color="auto" w:fill="auto"/>
            <w:vAlign w:val="center"/>
            <w:hideMark/>
          </w:tcPr>
          <w:p w14:paraId="4814CDBD" w14:textId="77777777" w:rsidR="00851F4F" w:rsidRPr="00716018" w:rsidRDefault="00851F4F" w:rsidP="00E607DA">
            <w:pPr>
              <w:jc w:val="center"/>
              <w:rPr>
                <w:rFonts w:ascii="Meta Pro" w:eastAsia="Times New Roman" w:hAnsi="Meta Pro"/>
                <w:b/>
                <w:bCs/>
                <w:szCs w:val="18"/>
                <w:lang w:eastAsia="en-AU"/>
              </w:rPr>
            </w:pPr>
            <w:r w:rsidRPr="00716018">
              <w:rPr>
                <w:rFonts w:ascii="Meta Pro" w:eastAsia="Times New Roman" w:hAnsi="Meta Pro"/>
                <w:b/>
                <w:bCs/>
                <w:szCs w:val="18"/>
                <w:lang w:eastAsia="en-AU"/>
              </w:rPr>
              <w:t>Equity</w:t>
            </w:r>
          </w:p>
        </w:tc>
        <w:tc>
          <w:tcPr>
            <w:tcW w:w="1247" w:type="dxa"/>
            <w:tcBorders>
              <w:top w:val="nil"/>
              <w:left w:val="nil"/>
              <w:bottom w:val="nil"/>
              <w:right w:val="single" w:sz="4" w:space="0" w:color="auto"/>
            </w:tcBorders>
            <w:shd w:val="clear" w:color="auto" w:fill="auto"/>
            <w:vAlign w:val="center"/>
            <w:hideMark/>
          </w:tcPr>
          <w:p w14:paraId="61259DDB" w14:textId="77777777" w:rsidR="00851F4F" w:rsidRPr="00716018" w:rsidRDefault="00851F4F" w:rsidP="00E607DA">
            <w:pPr>
              <w:jc w:val="center"/>
              <w:rPr>
                <w:rFonts w:ascii="Meta Pro" w:eastAsia="Times New Roman" w:hAnsi="Meta Pro"/>
                <w:b/>
                <w:bCs/>
                <w:szCs w:val="18"/>
                <w:lang w:eastAsia="en-AU"/>
              </w:rPr>
            </w:pPr>
            <w:r w:rsidRPr="00716018">
              <w:rPr>
                <w:rFonts w:ascii="Meta Pro" w:eastAsia="Times New Roman" w:hAnsi="Meta Pro"/>
                <w:b/>
                <w:bCs/>
                <w:szCs w:val="18"/>
                <w:lang w:eastAsia="en-AU"/>
              </w:rPr>
              <w:t>Profit</w:t>
            </w:r>
          </w:p>
        </w:tc>
        <w:tc>
          <w:tcPr>
            <w:tcW w:w="1247" w:type="dxa"/>
            <w:tcBorders>
              <w:top w:val="nil"/>
              <w:left w:val="nil"/>
              <w:bottom w:val="nil"/>
              <w:right w:val="single" w:sz="4" w:space="0" w:color="auto"/>
            </w:tcBorders>
            <w:shd w:val="clear" w:color="auto" w:fill="auto"/>
            <w:vAlign w:val="center"/>
            <w:hideMark/>
          </w:tcPr>
          <w:p w14:paraId="7B25BE5C" w14:textId="77777777" w:rsidR="00851F4F" w:rsidRPr="00716018" w:rsidRDefault="00851F4F" w:rsidP="00E607DA">
            <w:pPr>
              <w:jc w:val="center"/>
              <w:rPr>
                <w:rFonts w:ascii="Meta Pro" w:eastAsia="Times New Roman" w:hAnsi="Meta Pro"/>
                <w:b/>
                <w:bCs/>
                <w:szCs w:val="18"/>
                <w:lang w:eastAsia="en-AU"/>
              </w:rPr>
            </w:pPr>
            <w:r w:rsidRPr="00716018">
              <w:rPr>
                <w:rFonts w:ascii="Meta Pro" w:eastAsia="Times New Roman" w:hAnsi="Meta Pro"/>
                <w:b/>
                <w:bCs/>
                <w:szCs w:val="18"/>
                <w:lang w:eastAsia="en-AU"/>
              </w:rPr>
              <w:t>Equity</w:t>
            </w:r>
          </w:p>
        </w:tc>
      </w:tr>
      <w:tr w:rsidR="00851F4F" w:rsidRPr="00716018" w14:paraId="2E2BAEBF" w14:textId="77777777" w:rsidTr="00E607DA">
        <w:trPr>
          <w:trHeight w:val="23"/>
        </w:trPr>
        <w:tc>
          <w:tcPr>
            <w:tcW w:w="3402" w:type="dxa"/>
            <w:vMerge/>
            <w:tcBorders>
              <w:top w:val="nil"/>
              <w:left w:val="single" w:sz="4" w:space="0" w:color="auto"/>
              <w:bottom w:val="single" w:sz="4" w:space="0" w:color="000000"/>
              <w:right w:val="nil"/>
            </w:tcBorders>
            <w:vAlign w:val="center"/>
            <w:hideMark/>
          </w:tcPr>
          <w:p w14:paraId="3D4D827E" w14:textId="77777777" w:rsidR="00851F4F" w:rsidRPr="00716018" w:rsidRDefault="00851F4F" w:rsidP="00E607DA">
            <w:pPr>
              <w:rPr>
                <w:rFonts w:ascii="Meta Pro" w:eastAsia="Times New Roman" w:hAnsi="Meta Pro"/>
                <w:b/>
                <w:bCs/>
                <w:szCs w:val="18"/>
                <w:lang w:eastAsia="en-AU"/>
              </w:rPr>
            </w:pPr>
          </w:p>
        </w:tc>
        <w:tc>
          <w:tcPr>
            <w:tcW w:w="1247" w:type="dxa"/>
            <w:vMerge/>
            <w:tcBorders>
              <w:top w:val="nil"/>
              <w:left w:val="single" w:sz="4" w:space="0" w:color="auto"/>
              <w:bottom w:val="single" w:sz="4" w:space="0" w:color="000000"/>
              <w:right w:val="single" w:sz="4" w:space="0" w:color="auto"/>
            </w:tcBorders>
            <w:vAlign w:val="center"/>
            <w:hideMark/>
          </w:tcPr>
          <w:p w14:paraId="6193FC81" w14:textId="77777777" w:rsidR="00851F4F" w:rsidRPr="00716018" w:rsidRDefault="00851F4F" w:rsidP="00E607DA">
            <w:pPr>
              <w:rPr>
                <w:rFonts w:ascii="Meta Pro" w:eastAsia="Times New Roman" w:hAnsi="Meta Pro"/>
                <w:b/>
                <w:bCs/>
                <w:szCs w:val="18"/>
                <w:lang w:eastAsia="en-AU"/>
              </w:rPr>
            </w:pPr>
          </w:p>
        </w:tc>
        <w:tc>
          <w:tcPr>
            <w:tcW w:w="1247" w:type="dxa"/>
            <w:tcBorders>
              <w:top w:val="nil"/>
              <w:left w:val="nil"/>
              <w:bottom w:val="single" w:sz="4" w:space="0" w:color="auto"/>
              <w:right w:val="single" w:sz="4" w:space="0" w:color="auto"/>
            </w:tcBorders>
            <w:shd w:val="clear" w:color="auto" w:fill="auto"/>
            <w:vAlign w:val="center"/>
            <w:hideMark/>
          </w:tcPr>
          <w:p w14:paraId="054ACDD0" w14:textId="77777777" w:rsidR="00851F4F" w:rsidRPr="00716018" w:rsidRDefault="00851F4F" w:rsidP="00E607DA">
            <w:pPr>
              <w:jc w:val="center"/>
              <w:rPr>
                <w:rFonts w:ascii="Meta Pro" w:eastAsia="Times New Roman" w:hAnsi="Meta Pro"/>
                <w:b/>
                <w:bCs/>
                <w:szCs w:val="18"/>
                <w:lang w:eastAsia="en-AU"/>
              </w:rPr>
            </w:pPr>
            <w:r w:rsidRPr="00716018">
              <w:rPr>
                <w:rFonts w:ascii="Meta Pro" w:eastAsia="Times New Roman" w:hAnsi="Meta Pro"/>
                <w:b/>
                <w:bCs/>
                <w:szCs w:val="18"/>
                <w:lang w:eastAsia="en-AU"/>
              </w:rPr>
              <w:t>$'000</w:t>
            </w:r>
          </w:p>
        </w:tc>
        <w:tc>
          <w:tcPr>
            <w:tcW w:w="1247" w:type="dxa"/>
            <w:tcBorders>
              <w:top w:val="nil"/>
              <w:left w:val="nil"/>
              <w:bottom w:val="single" w:sz="4" w:space="0" w:color="auto"/>
              <w:right w:val="single" w:sz="4" w:space="0" w:color="auto"/>
            </w:tcBorders>
            <w:shd w:val="clear" w:color="auto" w:fill="auto"/>
            <w:vAlign w:val="center"/>
            <w:hideMark/>
          </w:tcPr>
          <w:p w14:paraId="21C65C16" w14:textId="77777777" w:rsidR="00851F4F" w:rsidRPr="00716018" w:rsidRDefault="00851F4F" w:rsidP="00E607DA">
            <w:pPr>
              <w:jc w:val="center"/>
              <w:rPr>
                <w:rFonts w:ascii="Meta Pro" w:eastAsia="Times New Roman" w:hAnsi="Meta Pro"/>
                <w:b/>
                <w:bCs/>
                <w:szCs w:val="18"/>
                <w:lang w:eastAsia="en-AU"/>
              </w:rPr>
            </w:pPr>
            <w:r w:rsidRPr="00716018">
              <w:rPr>
                <w:rFonts w:ascii="Meta Pro" w:eastAsia="Times New Roman" w:hAnsi="Meta Pro"/>
                <w:b/>
                <w:bCs/>
                <w:szCs w:val="18"/>
                <w:lang w:eastAsia="en-AU"/>
              </w:rPr>
              <w:t>$'000</w:t>
            </w:r>
          </w:p>
        </w:tc>
        <w:tc>
          <w:tcPr>
            <w:tcW w:w="1247" w:type="dxa"/>
            <w:tcBorders>
              <w:top w:val="nil"/>
              <w:left w:val="nil"/>
              <w:bottom w:val="single" w:sz="4" w:space="0" w:color="auto"/>
              <w:right w:val="single" w:sz="4" w:space="0" w:color="auto"/>
            </w:tcBorders>
            <w:shd w:val="clear" w:color="auto" w:fill="auto"/>
            <w:vAlign w:val="center"/>
            <w:hideMark/>
          </w:tcPr>
          <w:p w14:paraId="51C78252" w14:textId="77777777" w:rsidR="00851F4F" w:rsidRPr="00716018" w:rsidRDefault="00851F4F" w:rsidP="00E607DA">
            <w:pPr>
              <w:jc w:val="center"/>
              <w:rPr>
                <w:rFonts w:ascii="Meta Pro" w:eastAsia="Times New Roman" w:hAnsi="Meta Pro"/>
                <w:b/>
                <w:bCs/>
                <w:szCs w:val="18"/>
                <w:lang w:eastAsia="en-AU"/>
              </w:rPr>
            </w:pPr>
            <w:r w:rsidRPr="00716018">
              <w:rPr>
                <w:rFonts w:ascii="Meta Pro" w:eastAsia="Times New Roman" w:hAnsi="Meta Pro"/>
                <w:b/>
                <w:bCs/>
                <w:szCs w:val="18"/>
                <w:lang w:eastAsia="en-AU"/>
              </w:rPr>
              <w:t>$'000</w:t>
            </w:r>
          </w:p>
        </w:tc>
        <w:tc>
          <w:tcPr>
            <w:tcW w:w="1247" w:type="dxa"/>
            <w:tcBorders>
              <w:top w:val="nil"/>
              <w:left w:val="nil"/>
              <w:bottom w:val="single" w:sz="4" w:space="0" w:color="auto"/>
              <w:right w:val="single" w:sz="4" w:space="0" w:color="auto"/>
            </w:tcBorders>
            <w:shd w:val="clear" w:color="auto" w:fill="auto"/>
            <w:vAlign w:val="center"/>
            <w:hideMark/>
          </w:tcPr>
          <w:p w14:paraId="6DDF64D2" w14:textId="77777777" w:rsidR="00851F4F" w:rsidRPr="00716018" w:rsidRDefault="00851F4F" w:rsidP="00E607DA">
            <w:pPr>
              <w:jc w:val="center"/>
              <w:rPr>
                <w:rFonts w:ascii="Meta Pro" w:eastAsia="Times New Roman" w:hAnsi="Meta Pro"/>
                <w:b/>
                <w:bCs/>
                <w:szCs w:val="18"/>
                <w:lang w:eastAsia="en-AU"/>
              </w:rPr>
            </w:pPr>
            <w:r w:rsidRPr="00716018">
              <w:rPr>
                <w:rFonts w:ascii="Meta Pro" w:eastAsia="Times New Roman" w:hAnsi="Meta Pro"/>
                <w:b/>
                <w:bCs/>
                <w:szCs w:val="18"/>
                <w:lang w:eastAsia="en-AU"/>
              </w:rPr>
              <w:t>$'000</w:t>
            </w:r>
          </w:p>
        </w:tc>
      </w:tr>
      <w:tr w:rsidR="00851F4F" w:rsidRPr="00716018" w14:paraId="4F47968E" w14:textId="77777777" w:rsidTr="00E607DA">
        <w:trPr>
          <w:trHeight w:val="23"/>
        </w:trPr>
        <w:tc>
          <w:tcPr>
            <w:tcW w:w="3402" w:type="dxa"/>
            <w:tcBorders>
              <w:top w:val="nil"/>
              <w:left w:val="single" w:sz="4" w:space="0" w:color="auto"/>
              <w:bottom w:val="nil"/>
              <w:right w:val="nil"/>
            </w:tcBorders>
            <w:shd w:val="clear" w:color="auto" w:fill="auto"/>
            <w:noWrap/>
            <w:vAlign w:val="center"/>
            <w:hideMark/>
          </w:tcPr>
          <w:p w14:paraId="5CDBA2F0" w14:textId="77777777" w:rsidR="00851F4F" w:rsidRPr="00716018" w:rsidRDefault="00851F4F" w:rsidP="00E607DA">
            <w:pPr>
              <w:rPr>
                <w:rFonts w:ascii="Meta Pro" w:eastAsia="Times New Roman" w:hAnsi="Meta Pro"/>
                <w:b/>
                <w:bCs/>
                <w:szCs w:val="18"/>
                <w:lang w:eastAsia="en-AU"/>
              </w:rPr>
            </w:pPr>
            <w:r w:rsidRPr="00716018">
              <w:rPr>
                <w:rFonts w:ascii="Meta Pro" w:eastAsia="Times New Roman" w:hAnsi="Meta Pro"/>
                <w:b/>
                <w:bCs/>
                <w:szCs w:val="18"/>
                <w:lang w:eastAsia="en-AU"/>
              </w:rPr>
              <w:t>2022</w:t>
            </w:r>
          </w:p>
        </w:tc>
        <w:tc>
          <w:tcPr>
            <w:tcW w:w="1247" w:type="dxa"/>
            <w:tcBorders>
              <w:top w:val="nil"/>
              <w:left w:val="single" w:sz="4" w:space="0" w:color="auto"/>
              <w:bottom w:val="nil"/>
              <w:right w:val="single" w:sz="4" w:space="0" w:color="auto"/>
            </w:tcBorders>
            <w:shd w:val="clear" w:color="auto" w:fill="auto"/>
            <w:noWrap/>
            <w:vAlign w:val="center"/>
            <w:hideMark/>
          </w:tcPr>
          <w:p w14:paraId="7106AAF3" w14:textId="77777777" w:rsidR="00851F4F" w:rsidRPr="00716018" w:rsidRDefault="00851F4F" w:rsidP="00E607DA">
            <w:pPr>
              <w:jc w:val="center"/>
              <w:rPr>
                <w:rFonts w:ascii="Meta Pro" w:eastAsia="Times New Roman" w:hAnsi="Meta Pro"/>
                <w:szCs w:val="18"/>
                <w:lang w:eastAsia="en-AU"/>
              </w:rPr>
            </w:pPr>
            <w:r w:rsidRPr="00716018">
              <w:rPr>
                <w:rFonts w:ascii="Meta Pro" w:eastAsia="Times New Roman" w:hAnsi="Meta Pro"/>
                <w:szCs w:val="18"/>
                <w:lang w:eastAsia="en-AU"/>
              </w:rPr>
              <w:t> </w:t>
            </w:r>
          </w:p>
        </w:tc>
        <w:tc>
          <w:tcPr>
            <w:tcW w:w="4988" w:type="dxa"/>
            <w:gridSpan w:val="4"/>
            <w:tcBorders>
              <w:top w:val="single" w:sz="4" w:space="0" w:color="auto"/>
              <w:left w:val="nil"/>
              <w:bottom w:val="nil"/>
              <w:right w:val="single" w:sz="4" w:space="0" w:color="000000"/>
            </w:tcBorders>
            <w:shd w:val="clear" w:color="000000" w:fill="FFFFFF"/>
            <w:noWrap/>
            <w:vAlign w:val="center"/>
            <w:hideMark/>
          </w:tcPr>
          <w:p w14:paraId="27D91D59" w14:textId="77777777" w:rsidR="00851F4F" w:rsidRPr="00716018" w:rsidRDefault="00851F4F" w:rsidP="00E607DA">
            <w:pPr>
              <w:jc w:val="right"/>
              <w:rPr>
                <w:rFonts w:ascii="Meta Pro" w:eastAsia="Times New Roman" w:hAnsi="Meta Pro"/>
                <w:szCs w:val="18"/>
                <w:lang w:eastAsia="en-AU"/>
              </w:rPr>
            </w:pPr>
            <w:r w:rsidRPr="00716018">
              <w:rPr>
                <w:rFonts w:ascii="Meta Pro" w:eastAsia="Times New Roman" w:hAnsi="Meta Pro"/>
                <w:szCs w:val="18"/>
                <w:lang w:eastAsia="en-AU"/>
              </w:rPr>
              <w:t> </w:t>
            </w:r>
          </w:p>
        </w:tc>
      </w:tr>
      <w:tr w:rsidR="00851F4F" w:rsidRPr="00716018" w14:paraId="28ACDF8B" w14:textId="77777777" w:rsidTr="00E607DA">
        <w:trPr>
          <w:trHeight w:val="23"/>
        </w:trPr>
        <w:tc>
          <w:tcPr>
            <w:tcW w:w="3402" w:type="dxa"/>
            <w:tcBorders>
              <w:top w:val="nil"/>
              <w:left w:val="single" w:sz="4" w:space="0" w:color="auto"/>
              <w:bottom w:val="nil"/>
              <w:right w:val="nil"/>
            </w:tcBorders>
            <w:shd w:val="clear" w:color="auto" w:fill="auto"/>
            <w:noWrap/>
            <w:vAlign w:val="center"/>
            <w:hideMark/>
          </w:tcPr>
          <w:p w14:paraId="08679A69" w14:textId="77777777" w:rsidR="00851F4F" w:rsidRPr="00716018" w:rsidRDefault="00851F4F" w:rsidP="00E607DA">
            <w:pPr>
              <w:rPr>
                <w:rFonts w:ascii="Meta Pro" w:eastAsia="Times New Roman" w:hAnsi="Meta Pro"/>
                <w:szCs w:val="18"/>
                <w:lang w:eastAsia="en-AU"/>
              </w:rPr>
            </w:pPr>
            <w:r w:rsidRPr="00716018">
              <w:rPr>
                <w:rFonts w:ascii="Meta Pro" w:eastAsia="Times New Roman" w:hAnsi="Meta Pro"/>
                <w:szCs w:val="18"/>
                <w:lang w:eastAsia="en-AU"/>
              </w:rPr>
              <w:t>Toowoomba Bypass</w:t>
            </w:r>
          </w:p>
        </w:tc>
        <w:tc>
          <w:tcPr>
            <w:tcW w:w="1247" w:type="dxa"/>
            <w:tcBorders>
              <w:top w:val="single" w:sz="4" w:space="0" w:color="auto"/>
              <w:left w:val="single" w:sz="4" w:space="0" w:color="auto"/>
              <w:bottom w:val="single" w:sz="4" w:space="0" w:color="auto"/>
              <w:right w:val="single" w:sz="4" w:space="0" w:color="auto"/>
            </w:tcBorders>
            <w:shd w:val="clear" w:color="000000" w:fill="C9E3B4"/>
            <w:noWrap/>
            <w:vAlign w:val="center"/>
            <w:hideMark/>
          </w:tcPr>
          <w:p w14:paraId="099B52F0" w14:textId="77777777" w:rsidR="00851F4F" w:rsidRPr="00716018" w:rsidRDefault="00851F4F" w:rsidP="00E607DA">
            <w:pPr>
              <w:jc w:val="right"/>
              <w:rPr>
                <w:rFonts w:ascii="Meta Pro" w:eastAsia="Times New Roman" w:hAnsi="Meta Pro"/>
                <w:szCs w:val="18"/>
                <w:lang w:eastAsia="en-AU"/>
              </w:rPr>
            </w:pPr>
            <w:r w:rsidRPr="00716018">
              <w:rPr>
                <w:rFonts w:ascii="Meta Pro" w:eastAsia="Times New Roman" w:hAnsi="Meta Pro"/>
                <w:szCs w:val="18"/>
                <w:lang w:eastAsia="en-AU"/>
              </w:rPr>
              <w:t xml:space="preserve">404,922 </w:t>
            </w:r>
          </w:p>
        </w:tc>
        <w:tc>
          <w:tcPr>
            <w:tcW w:w="1247" w:type="dxa"/>
            <w:tcBorders>
              <w:top w:val="single" w:sz="4" w:space="0" w:color="auto"/>
              <w:left w:val="nil"/>
              <w:bottom w:val="single" w:sz="4" w:space="0" w:color="auto"/>
              <w:right w:val="single" w:sz="4" w:space="0" w:color="auto"/>
            </w:tcBorders>
            <w:shd w:val="clear" w:color="000000" w:fill="C9E3B4"/>
            <w:noWrap/>
            <w:vAlign w:val="center"/>
            <w:hideMark/>
          </w:tcPr>
          <w:p w14:paraId="26C97BC9" w14:textId="77777777" w:rsidR="00851F4F" w:rsidRPr="00716018" w:rsidRDefault="00851F4F" w:rsidP="00E607DA">
            <w:pPr>
              <w:jc w:val="right"/>
              <w:rPr>
                <w:rFonts w:ascii="Meta Pro" w:eastAsia="Times New Roman" w:hAnsi="Meta Pro"/>
                <w:szCs w:val="18"/>
                <w:lang w:eastAsia="en-AU"/>
              </w:rPr>
            </w:pPr>
            <w:r w:rsidRPr="00716018">
              <w:rPr>
                <w:rFonts w:ascii="Meta Pro" w:eastAsia="Times New Roman" w:hAnsi="Meta Pro"/>
                <w:szCs w:val="18"/>
                <w:lang w:eastAsia="en-AU"/>
              </w:rPr>
              <w:t>(4,049)</w:t>
            </w:r>
          </w:p>
        </w:tc>
        <w:tc>
          <w:tcPr>
            <w:tcW w:w="1247" w:type="dxa"/>
            <w:tcBorders>
              <w:top w:val="single" w:sz="4" w:space="0" w:color="auto"/>
              <w:left w:val="nil"/>
              <w:bottom w:val="single" w:sz="4" w:space="0" w:color="auto"/>
              <w:right w:val="single" w:sz="4" w:space="0" w:color="auto"/>
            </w:tcBorders>
            <w:shd w:val="clear" w:color="000000" w:fill="C9E3B4"/>
            <w:noWrap/>
            <w:vAlign w:val="center"/>
            <w:hideMark/>
          </w:tcPr>
          <w:p w14:paraId="1A9E8325" w14:textId="77777777" w:rsidR="00851F4F" w:rsidRPr="00716018" w:rsidRDefault="00851F4F" w:rsidP="00E607DA">
            <w:pPr>
              <w:jc w:val="right"/>
              <w:rPr>
                <w:rFonts w:ascii="Meta Pro" w:eastAsia="Times New Roman" w:hAnsi="Meta Pro"/>
                <w:szCs w:val="18"/>
                <w:lang w:eastAsia="en-AU"/>
              </w:rPr>
            </w:pPr>
            <w:r w:rsidRPr="00716018">
              <w:rPr>
                <w:rFonts w:ascii="Meta Pro" w:eastAsia="Times New Roman" w:hAnsi="Meta Pro"/>
                <w:szCs w:val="18"/>
                <w:lang w:eastAsia="en-AU"/>
              </w:rPr>
              <w:t>(4,049)</w:t>
            </w:r>
          </w:p>
        </w:tc>
        <w:tc>
          <w:tcPr>
            <w:tcW w:w="1247" w:type="dxa"/>
            <w:tcBorders>
              <w:top w:val="single" w:sz="4" w:space="0" w:color="auto"/>
              <w:left w:val="nil"/>
              <w:bottom w:val="single" w:sz="4" w:space="0" w:color="auto"/>
              <w:right w:val="single" w:sz="4" w:space="0" w:color="auto"/>
            </w:tcBorders>
            <w:shd w:val="clear" w:color="000000" w:fill="C9E3B4"/>
            <w:noWrap/>
            <w:vAlign w:val="center"/>
            <w:hideMark/>
          </w:tcPr>
          <w:p w14:paraId="4E19F3F6" w14:textId="77777777" w:rsidR="00851F4F" w:rsidRPr="00716018" w:rsidRDefault="00851F4F" w:rsidP="00E607DA">
            <w:pPr>
              <w:jc w:val="right"/>
              <w:rPr>
                <w:rFonts w:ascii="Meta Pro" w:eastAsia="Times New Roman" w:hAnsi="Meta Pro"/>
                <w:szCs w:val="18"/>
                <w:lang w:eastAsia="en-AU"/>
              </w:rPr>
            </w:pPr>
            <w:r w:rsidRPr="00716018">
              <w:rPr>
                <w:rFonts w:ascii="Meta Pro" w:eastAsia="Times New Roman" w:hAnsi="Meta Pro"/>
                <w:szCs w:val="18"/>
                <w:lang w:eastAsia="en-AU"/>
              </w:rPr>
              <w:t xml:space="preserve">4,049 </w:t>
            </w:r>
          </w:p>
        </w:tc>
        <w:tc>
          <w:tcPr>
            <w:tcW w:w="1247" w:type="dxa"/>
            <w:tcBorders>
              <w:top w:val="single" w:sz="4" w:space="0" w:color="auto"/>
              <w:left w:val="nil"/>
              <w:bottom w:val="single" w:sz="4" w:space="0" w:color="auto"/>
              <w:right w:val="single" w:sz="4" w:space="0" w:color="auto"/>
            </w:tcBorders>
            <w:shd w:val="clear" w:color="000000" w:fill="C9E3B4"/>
            <w:noWrap/>
            <w:vAlign w:val="center"/>
            <w:hideMark/>
          </w:tcPr>
          <w:p w14:paraId="54B1162F" w14:textId="77777777" w:rsidR="00851F4F" w:rsidRPr="00716018" w:rsidRDefault="00851F4F" w:rsidP="00E607DA">
            <w:pPr>
              <w:jc w:val="right"/>
              <w:rPr>
                <w:rFonts w:ascii="Meta Pro" w:eastAsia="Times New Roman" w:hAnsi="Meta Pro"/>
                <w:szCs w:val="18"/>
                <w:lang w:eastAsia="en-AU"/>
              </w:rPr>
            </w:pPr>
            <w:r w:rsidRPr="00716018">
              <w:rPr>
                <w:rFonts w:ascii="Meta Pro" w:eastAsia="Times New Roman" w:hAnsi="Meta Pro"/>
                <w:szCs w:val="18"/>
                <w:lang w:eastAsia="en-AU"/>
              </w:rPr>
              <w:t xml:space="preserve">4,049 </w:t>
            </w:r>
          </w:p>
        </w:tc>
      </w:tr>
      <w:tr w:rsidR="00851F4F" w:rsidRPr="00716018" w14:paraId="47667AEF" w14:textId="77777777" w:rsidTr="00E607DA">
        <w:trPr>
          <w:trHeight w:val="23"/>
        </w:trPr>
        <w:tc>
          <w:tcPr>
            <w:tcW w:w="3402" w:type="dxa"/>
            <w:tcBorders>
              <w:top w:val="nil"/>
              <w:left w:val="single" w:sz="4" w:space="0" w:color="auto"/>
              <w:bottom w:val="nil"/>
              <w:right w:val="nil"/>
            </w:tcBorders>
            <w:shd w:val="clear" w:color="auto" w:fill="auto"/>
            <w:noWrap/>
            <w:vAlign w:val="center"/>
            <w:hideMark/>
          </w:tcPr>
          <w:p w14:paraId="0B08A281" w14:textId="77777777" w:rsidR="00851F4F" w:rsidRPr="00716018" w:rsidRDefault="00851F4F" w:rsidP="00E607DA">
            <w:pPr>
              <w:rPr>
                <w:rFonts w:ascii="Meta Pro" w:eastAsia="Times New Roman" w:hAnsi="Meta Pro"/>
                <w:szCs w:val="18"/>
                <w:lang w:eastAsia="en-AU"/>
              </w:rPr>
            </w:pPr>
            <w:r w:rsidRPr="00716018">
              <w:rPr>
                <w:rFonts w:ascii="Meta Pro" w:eastAsia="Times New Roman" w:hAnsi="Meta Pro"/>
                <w:szCs w:val="18"/>
                <w:lang w:eastAsia="en-AU"/>
              </w:rPr>
              <w:t>New Generation Rollingstock arrangement</w:t>
            </w:r>
          </w:p>
        </w:tc>
        <w:tc>
          <w:tcPr>
            <w:tcW w:w="1247" w:type="dxa"/>
            <w:tcBorders>
              <w:top w:val="nil"/>
              <w:left w:val="single" w:sz="4" w:space="0" w:color="auto"/>
              <w:bottom w:val="single" w:sz="4" w:space="0" w:color="auto"/>
              <w:right w:val="single" w:sz="4" w:space="0" w:color="auto"/>
            </w:tcBorders>
            <w:shd w:val="clear" w:color="000000" w:fill="C9E3B4"/>
            <w:noWrap/>
            <w:vAlign w:val="center"/>
            <w:hideMark/>
          </w:tcPr>
          <w:p w14:paraId="654EDB85" w14:textId="77777777" w:rsidR="00851F4F" w:rsidRPr="00716018" w:rsidRDefault="00851F4F" w:rsidP="00E607DA">
            <w:pPr>
              <w:jc w:val="right"/>
              <w:rPr>
                <w:rFonts w:ascii="Meta Pro" w:eastAsia="Times New Roman" w:hAnsi="Meta Pro"/>
                <w:szCs w:val="18"/>
                <w:lang w:eastAsia="en-AU"/>
              </w:rPr>
            </w:pPr>
            <w:r w:rsidRPr="00716018">
              <w:rPr>
                <w:rFonts w:ascii="Meta Pro" w:eastAsia="Times New Roman" w:hAnsi="Meta Pro"/>
                <w:szCs w:val="18"/>
                <w:lang w:eastAsia="en-AU"/>
              </w:rPr>
              <w:t xml:space="preserve">554,873 </w:t>
            </w:r>
          </w:p>
        </w:tc>
        <w:tc>
          <w:tcPr>
            <w:tcW w:w="1247" w:type="dxa"/>
            <w:tcBorders>
              <w:top w:val="nil"/>
              <w:left w:val="nil"/>
              <w:bottom w:val="single" w:sz="4" w:space="0" w:color="auto"/>
              <w:right w:val="single" w:sz="4" w:space="0" w:color="auto"/>
            </w:tcBorders>
            <w:shd w:val="clear" w:color="000000" w:fill="C9E3B4"/>
            <w:noWrap/>
            <w:vAlign w:val="center"/>
            <w:hideMark/>
          </w:tcPr>
          <w:p w14:paraId="1D48610C" w14:textId="77777777" w:rsidR="00851F4F" w:rsidRPr="00716018" w:rsidRDefault="00851F4F" w:rsidP="00E607DA">
            <w:pPr>
              <w:jc w:val="right"/>
              <w:rPr>
                <w:rFonts w:ascii="Meta Pro" w:eastAsia="Times New Roman" w:hAnsi="Meta Pro"/>
                <w:szCs w:val="18"/>
                <w:lang w:eastAsia="en-AU"/>
              </w:rPr>
            </w:pPr>
            <w:r w:rsidRPr="00716018">
              <w:rPr>
                <w:rFonts w:ascii="Meta Pro" w:eastAsia="Times New Roman" w:hAnsi="Meta Pro"/>
                <w:szCs w:val="18"/>
                <w:lang w:eastAsia="en-AU"/>
              </w:rPr>
              <w:t>(5,549)</w:t>
            </w:r>
          </w:p>
        </w:tc>
        <w:tc>
          <w:tcPr>
            <w:tcW w:w="1247" w:type="dxa"/>
            <w:tcBorders>
              <w:top w:val="nil"/>
              <w:left w:val="nil"/>
              <w:bottom w:val="single" w:sz="4" w:space="0" w:color="auto"/>
              <w:right w:val="single" w:sz="4" w:space="0" w:color="auto"/>
            </w:tcBorders>
            <w:shd w:val="clear" w:color="000000" w:fill="C9E3B4"/>
            <w:noWrap/>
            <w:vAlign w:val="center"/>
            <w:hideMark/>
          </w:tcPr>
          <w:p w14:paraId="7CBFDA21" w14:textId="77777777" w:rsidR="00851F4F" w:rsidRPr="00716018" w:rsidRDefault="00851F4F" w:rsidP="00E607DA">
            <w:pPr>
              <w:jc w:val="right"/>
              <w:rPr>
                <w:rFonts w:ascii="Meta Pro" w:eastAsia="Times New Roman" w:hAnsi="Meta Pro"/>
                <w:szCs w:val="18"/>
                <w:lang w:eastAsia="en-AU"/>
              </w:rPr>
            </w:pPr>
            <w:r w:rsidRPr="00716018">
              <w:rPr>
                <w:rFonts w:ascii="Meta Pro" w:eastAsia="Times New Roman" w:hAnsi="Meta Pro"/>
                <w:szCs w:val="18"/>
                <w:lang w:eastAsia="en-AU"/>
              </w:rPr>
              <w:t>(5,549)</w:t>
            </w:r>
          </w:p>
        </w:tc>
        <w:tc>
          <w:tcPr>
            <w:tcW w:w="1247" w:type="dxa"/>
            <w:tcBorders>
              <w:top w:val="nil"/>
              <w:left w:val="nil"/>
              <w:bottom w:val="single" w:sz="4" w:space="0" w:color="auto"/>
              <w:right w:val="single" w:sz="4" w:space="0" w:color="auto"/>
            </w:tcBorders>
            <w:shd w:val="clear" w:color="000000" w:fill="C9E3B4"/>
            <w:noWrap/>
            <w:vAlign w:val="center"/>
            <w:hideMark/>
          </w:tcPr>
          <w:p w14:paraId="67201CD8" w14:textId="77777777" w:rsidR="00851F4F" w:rsidRPr="00716018" w:rsidRDefault="00851F4F" w:rsidP="00E607DA">
            <w:pPr>
              <w:jc w:val="right"/>
              <w:rPr>
                <w:rFonts w:ascii="Meta Pro" w:eastAsia="Times New Roman" w:hAnsi="Meta Pro"/>
                <w:szCs w:val="18"/>
                <w:lang w:eastAsia="en-AU"/>
              </w:rPr>
            </w:pPr>
            <w:r w:rsidRPr="00716018">
              <w:rPr>
                <w:rFonts w:ascii="Meta Pro" w:eastAsia="Times New Roman" w:hAnsi="Meta Pro"/>
                <w:szCs w:val="18"/>
                <w:lang w:eastAsia="en-AU"/>
              </w:rPr>
              <w:t xml:space="preserve">5,549 </w:t>
            </w:r>
          </w:p>
        </w:tc>
        <w:tc>
          <w:tcPr>
            <w:tcW w:w="1247" w:type="dxa"/>
            <w:tcBorders>
              <w:top w:val="nil"/>
              <w:left w:val="nil"/>
              <w:bottom w:val="single" w:sz="4" w:space="0" w:color="auto"/>
              <w:right w:val="single" w:sz="4" w:space="0" w:color="auto"/>
            </w:tcBorders>
            <w:shd w:val="clear" w:color="000000" w:fill="C9E3B4"/>
            <w:noWrap/>
            <w:vAlign w:val="center"/>
            <w:hideMark/>
          </w:tcPr>
          <w:p w14:paraId="55FF8A38" w14:textId="77777777" w:rsidR="00851F4F" w:rsidRPr="00716018" w:rsidRDefault="00851F4F" w:rsidP="00E607DA">
            <w:pPr>
              <w:jc w:val="right"/>
              <w:rPr>
                <w:rFonts w:ascii="Meta Pro" w:eastAsia="Times New Roman" w:hAnsi="Meta Pro"/>
                <w:szCs w:val="18"/>
                <w:lang w:eastAsia="en-AU"/>
              </w:rPr>
            </w:pPr>
            <w:r w:rsidRPr="00716018">
              <w:rPr>
                <w:rFonts w:ascii="Meta Pro" w:eastAsia="Times New Roman" w:hAnsi="Meta Pro"/>
                <w:szCs w:val="18"/>
                <w:lang w:eastAsia="en-AU"/>
              </w:rPr>
              <w:t xml:space="preserve">5,549 </w:t>
            </w:r>
          </w:p>
        </w:tc>
      </w:tr>
      <w:tr w:rsidR="00851F4F" w:rsidRPr="00716018" w14:paraId="1BAD0817" w14:textId="77777777" w:rsidTr="00E607DA">
        <w:trPr>
          <w:trHeight w:val="23"/>
        </w:trPr>
        <w:tc>
          <w:tcPr>
            <w:tcW w:w="3402" w:type="dxa"/>
            <w:tcBorders>
              <w:top w:val="nil"/>
              <w:left w:val="single" w:sz="4" w:space="0" w:color="auto"/>
              <w:bottom w:val="single" w:sz="4" w:space="0" w:color="auto"/>
              <w:right w:val="nil"/>
            </w:tcBorders>
            <w:shd w:val="clear" w:color="auto" w:fill="auto"/>
            <w:noWrap/>
            <w:vAlign w:val="center"/>
            <w:hideMark/>
          </w:tcPr>
          <w:p w14:paraId="4186EE94" w14:textId="77777777" w:rsidR="00851F4F" w:rsidRPr="00716018" w:rsidRDefault="00851F4F" w:rsidP="00E607DA">
            <w:pPr>
              <w:rPr>
                <w:rFonts w:ascii="Meta Pro" w:eastAsia="Times New Roman" w:hAnsi="Meta Pro"/>
                <w:b/>
                <w:bCs/>
                <w:szCs w:val="18"/>
                <w:lang w:eastAsia="en-AU"/>
              </w:rPr>
            </w:pPr>
            <w:r w:rsidRPr="00716018">
              <w:rPr>
                <w:rFonts w:ascii="Meta Pro" w:eastAsia="Times New Roman" w:hAnsi="Meta Pro"/>
                <w:b/>
                <w:bCs/>
                <w:szCs w:val="18"/>
                <w:lang w:eastAsia="en-AU"/>
              </w:rPr>
              <w:t>Potential impact</w:t>
            </w:r>
          </w:p>
        </w:tc>
        <w:tc>
          <w:tcPr>
            <w:tcW w:w="1247" w:type="dxa"/>
            <w:tcBorders>
              <w:top w:val="nil"/>
              <w:left w:val="single" w:sz="4" w:space="0" w:color="auto"/>
              <w:bottom w:val="single" w:sz="4" w:space="0" w:color="auto"/>
              <w:right w:val="single" w:sz="4" w:space="0" w:color="auto"/>
            </w:tcBorders>
            <w:shd w:val="clear" w:color="000000" w:fill="C9E3B4"/>
            <w:noWrap/>
            <w:vAlign w:val="center"/>
            <w:hideMark/>
          </w:tcPr>
          <w:p w14:paraId="707B6FBE" w14:textId="77777777" w:rsidR="00851F4F" w:rsidRPr="00716018" w:rsidRDefault="00851F4F" w:rsidP="00E607DA">
            <w:pPr>
              <w:jc w:val="right"/>
              <w:rPr>
                <w:rFonts w:ascii="Meta Pro" w:eastAsia="Times New Roman" w:hAnsi="Meta Pro"/>
                <w:b/>
                <w:bCs/>
                <w:szCs w:val="18"/>
                <w:lang w:eastAsia="en-AU"/>
              </w:rPr>
            </w:pPr>
            <w:r w:rsidRPr="00716018">
              <w:rPr>
                <w:rFonts w:ascii="Meta Pro" w:eastAsia="Times New Roman" w:hAnsi="Meta Pro"/>
                <w:b/>
                <w:bCs/>
                <w:szCs w:val="18"/>
                <w:lang w:eastAsia="en-AU"/>
              </w:rPr>
              <w:t> </w:t>
            </w:r>
          </w:p>
        </w:tc>
        <w:tc>
          <w:tcPr>
            <w:tcW w:w="1247" w:type="dxa"/>
            <w:tcBorders>
              <w:top w:val="nil"/>
              <w:left w:val="nil"/>
              <w:bottom w:val="single" w:sz="4" w:space="0" w:color="auto"/>
              <w:right w:val="single" w:sz="4" w:space="0" w:color="auto"/>
            </w:tcBorders>
            <w:shd w:val="clear" w:color="000000" w:fill="C9E3B4"/>
            <w:noWrap/>
            <w:vAlign w:val="center"/>
            <w:hideMark/>
          </w:tcPr>
          <w:p w14:paraId="4A7AACE8" w14:textId="77777777" w:rsidR="00851F4F" w:rsidRPr="00716018" w:rsidRDefault="00851F4F" w:rsidP="00E607DA">
            <w:pPr>
              <w:jc w:val="right"/>
              <w:rPr>
                <w:rFonts w:ascii="Meta Pro" w:eastAsia="Times New Roman" w:hAnsi="Meta Pro"/>
                <w:b/>
                <w:bCs/>
                <w:szCs w:val="18"/>
                <w:lang w:eastAsia="en-AU"/>
              </w:rPr>
            </w:pPr>
            <w:r w:rsidRPr="00716018">
              <w:rPr>
                <w:rFonts w:ascii="Meta Pro" w:eastAsia="Times New Roman" w:hAnsi="Meta Pro"/>
                <w:b/>
                <w:bCs/>
                <w:szCs w:val="18"/>
                <w:lang w:eastAsia="en-AU"/>
              </w:rPr>
              <w:t>(9,598)</w:t>
            </w:r>
          </w:p>
        </w:tc>
        <w:tc>
          <w:tcPr>
            <w:tcW w:w="1247" w:type="dxa"/>
            <w:tcBorders>
              <w:top w:val="nil"/>
              <w:left w:val="nil"/>
              <w:bottom w:val="single" w:sz="4" w:space="0" w:color="auto"/>
              <w:right w:val="single" w:sz="4" w:space="0" w:color="auto"/>
            </w:tcBorders>
            <w:shd w:val="clear" w:color="000000" w:fill="C9E3B4"/>
            <w:noWrap/>
            <w:vAlign w:val="center"/>
            <w:hideMark/>
          </w:tcPr>
          <w:p w14:paraId="5F4814E0" w14:textId="77777777" w:rsidR="00851F4F" w:rsidRPr="00716018" w:rsidRDefault="00851F4F" w:rsidP="00E607DA">
            <w:pPr>
              <w:jc w:val="right"/>
              <w:rPr>
                <w:rFonts w:ascii="Meta Pro" w:eastAsia="Times New Roman" w:hAnsi="Meta Pro"/>
                <w:b/>
                <w:bCs/>
                <w:szCs w:val="18"/>
                <w:lang w:eastAsia="en-AU"/>
              </w:rPr>
            </w:pPr>
            <w:r w:rsidRPr="00716018">
              <w:rPr>
                <w:rFonts w:ascii="Meta Pro" w:eastAsia="Times New Roman" w:hAnsi="Meta Pro"/>
                <w:b/>
                <w:bCs/>
                <w:szCs w:val="18"/>
                <w:lang w:eastAsia="en-AU"/>
              </w:rPr>
              <w:t>(9,598)</w:t>
            </w:r>
          </w:p>
        </w:tc>
        <w:tc>
          <w:tcPr>
            <w:tcW w:w="1247" w:type="dxa"/>
            <w:tcBorders>
              <w:top w:val="nil"/>
              <w:left w:val="nil"/>
              <w:bottom w:val="single" w:sz="4" w:space="0" w:color="auto"/>
              <w:right w:val="single" w:sz="4" w:space="0" w:color="auto"/>
            </w:tcBorders>
            <w:shd w:val="clear" w:color="000000" w:fill="C9E3B4"/>
            <w:noWrap/>
            <w:vAlign w:val="center"/>
            <w:hideMark/>
          </w:tcPr>
          <w:p w14:paraId="6B55B1FC" w14:textId="77777777" w:rsidR="00851F4F" w:rsidRPr="00716018" w:rsidRDefault="00851F4F" w:rsidP="00E607DA">
            <w:pPr>
              <w:jc w:val="right"/>
              <w:rPr>
                <w:rFonts w:ascii="Meta Pro" w:eastAsia="Times New Roman" w:hAnsi="Meta Pro"/>
                <w:b/>
                <w:bCs/>
                <w:szCs w:val="18"/>
                <w:lang w:eastAsia="en-AU"/>
              </w:rPr>
            </w:pPr>
            <w:r w:rsidRPr="00716018">
              <w:rPr>
                <w:rFonts w:ascii="Meta Pro" w:eastAsia="Times New Roman" w:hAnsi="Meta Pro"/>
                <w:b/>
                <w:bCs/>
                <w:szCs w:val="18"/>
                <w:lang w:eastAsia="en-AU"/>
              </w:rPr>
              <w:t xml:space="preserve">9,598 </w:t>
            </w:r>
          </w:p>
        </w:tc>
        <w:tc>
          <w:tcPr>
            <w:tcW w:w="1247" w:type="dxa"/>
            <w:tcBorders>
              <w:top w:val="nil"/>
              <w:left w:val="nil"/>
              <w:bottom w:val="single" w:sz="4" w:space="0" w:color="auto"/>
              <w:right w:val="single" w:sz="4" w:space="0" w:color="auto"/>
            </w:tcBorders>
            <w:shd w:val="clear" w:color="000000" w:fill="C9E3B4"/>
            <w:noWrap/>
            <w:vAlign w:val="center"/>
            <w:hideMark/>
          </w:tcPr>
          <w:p w14:paraId="5199FDDE" w14:textId="77777777" w:rsidR="00851F4F" w:rsidRPr="00716018" w:rsidRDefault="00851F4F" w:rsidP="00E607DA">
            <w:pPr>
              <w:jc w:val="right"/>
              <w:rPr>
                <w:rFonts w:ascii="Meta Pro" w:eastAsia="Times New Roman" w:hAnsi="Meta Pro"/>
                <w:b/>
                <w:bCs/>
                <w:szCs w:val="18"/>
                <w:lang w:eastAsia="en-AU"/>
              </w:rPr>
            </w:pPr>
            <w:r w:rsidRPr="00716018">
              <w:rPr>
                <w:rFonts w:ascii="Meta Pro" w:eastAsia="Times New Roman" w:hAnsi="Meta Pro"/>
                <w:b/>
                <w:bCs/>
                <w:szCs w:val="18"/>
                <w:lang w:eastAsia="en-AU"/>
              </w:rPr>
              <w:t xml:space="preserve">9,598 </w:t>
            </w:r>
          </w:p>
        </w:tc>
      </w:tr>
      <w:tr w:rsidR="00851F4F" w:rsidRPr="00716018" w14:paraId="71C171B3" w14:textId="77777777" w:rsidTr="00E607DA">
        <w:trPr>
          <w:trHeight w:val="23"/>
        </w:trPr>
        <w:tc>
          <w:tcPr>
            <w:tcW w:w="3402" w:type="dxa"/>
            <w:tcBorders>
              <w:top w:val="nil"/>
              <w:left w:val="single" w:sz="4" w:space="0" w:color="auto"/>
              <w:bottom w:val="nil"/>
              <w:right w:val="nil"/>
            </w:tcBorders>
            <w:shd w:val="clear" w:color="auto" w:fill="auto"/>
            <w:noWrap/>
            <w:vAlign w:val="center"/>
            <w:hideMark/>
          </w:tcPr>
          <w:p w14:paraId="581C170C" w14:textId="77777777" w:rsidR="00851F4F" w:rsidRPr="00716018" w:rsidRDefault="00851F4F" w:rsidP="00E607DA">
            <w:pPr>
              <w:rPr>
                <w:rFonts w:ascii="Meta Pro" w:eastAsia="Times New Roman" w:hAnsi="Meta Pro"/>
                <w:b/>
                <w:bCs/>
                <w:szCs w:val="18"/>
                <w:lang w:eastAsia="en-AU"/>
              </w:rPr>
            </w:pPr>
            <w:r w:rsidRPr="00716018">
              <w:rPr>
                <w:rFonts w:ascii="Meta Pro" w:eastAsia="Times New Roman" w:hAnsi="Meta Pro"/>
                <w:b/>
                <w:bCs/>
                <w:szCs w:val="18"/>
                <w:lang w:eastAsia="en-AU"/>
              </w:rPr>
              <w:t>2021</w:t>
            </w:r>
          </w:p>
        </w:tc>
        <w:tc>
          <w:tcPr>
            <w:tcW w:w="1247" w:type="dxa"/>
            <w:tcBorders>
              <w:top w:val="nil"/>
              <w:left w:val="single" w:sz="4" w:space="0" w:color="auto"/>
              <w:bottom w:val="nil"/>
              <w:right w:val="single" w:sz="4" w:space="0" w:color="auto"/>
            </w:tcBorders>
            <w:shd w:val="clear" w:color="auto" w:fill="auto"/>
            <w:noWrap/>
            <w:vAlign w:val="center"/>
            <w:hideMark/>
          </w:tcPr>
          <w:p w14:paraId="48AD0625" w14:textId="77777777" w:rsidR="00851F4F" w:rsidRPr="00716018" w:rsidRDefault="00851F4F" w:rsidP="00E607DA">
            <w:pPr>
              <w:jc w:val="center"/>
              <w:rPr>
                <w:rFonts w:ascii="Meta Pro" w:eastAsia="Times New Roman" w:hAnsi="Meta Pro"/>
                <w:szCs w:val="18"/>
                <w:lang w:eastAsia="en-AU"/>
              </w:rPr>
            </w:pPr>
            <w:r w:rsidRPr="00716018">
              <w:rPr>
                <w:rFonts w:ascii="Meta Pro" w:eastAsia="Times New Roman" w:hAnsi="Meta Pro"/>
                <w:szCs w:val="18"/>
                <w:lang w:eastAsia="en-AU"/>
              </w:rPr>
              <w:t> </w:t>
            </w:r>
          </w:p>
        </w:tc>
        <w:tc>
          <w:tcPr>
            <w:tcW w:w="4988" w:type="dxa"/>
            <w:gridSpan w:val="4"/>
            <w:tcBorders>
              <w:top w:val="double" w:sz="6" w:space="0" w:color="auto"/>
              <w:left w:val="nil"/>
              <w:bottom w:val="nil"/>
              <w:right w:val="single" w:sz="4" w:space="0" w:color="000000"/>
            </w:tcBorders>
            <w:shd w:val="clear" w:color="auto" w:fill="auto"/>
            <w:noWrap/>
            <w:vAlign w:val="center"/>
            <w:hideMark/>
          </w:tcPr>
          <w:p w14:paraId="30D18AAA" w14:textId="77777777" w:rsidR="00851F4F" w:rsidRPr="00716018" w:rsidRDefault="00851F4F" w:rsidP="00E607DA">
            <w:pPr>
              <w:jc w:val="right"/>
              <w:rPr>
                <w:rFonts w:ascii="Meta Pro" w:eastAsia="Times New Roman" w:hAnsi="Meta Pro"/>
                <w:szCs w:val="18"/>
                <w:lang w:eastAsia="en-AU"/>
              </w:rPr>
            </w:pPr>
            <w:r w:rsidRPr="00716018">
              <w:rPr>
                <w:rFonts w:ascii="Meta Pro" w:eastAsia="Times New Roman" w:hAnsi="Meta Pro"/>
                <w:szCs w:val="18"/>
                <w:lang w:eastAsia="en-AU"/>
              </w:rPr>
              <w:t> </w:t>
            </w:r>
          </w:p>
        </w:tc>
      </w:tr>
      <w:tr w:rsidR="00851F4F" w:rsidRPr="00716018" w14:paraId="01366FC6" w14:textId="77777777" w:rsidTr="00E607DA">
        <w:trPr>
          <w:trHeight w:val="23"/>
        </w:trPr>
        <w:tc>
          <w:tcPr>
            <w:tcW w:w="3402" w:type="dxa"/>
            <w:tcBorders>
              <w:top w:val="nil"/>
              <w:left w:val="single" w:sz="4" w:space="0" w:color="auto"/>
              <w:bottom w:val="nil"/>
              <w:right w:val="nil"/>
            </w:tcBorders>
            <w:shd w:val="clear" w:color="auto" w:fill="auto"/>
            <w:noWrap/>
            <w:vAlign w:val="center"/>
            <w:hideMark/>
          </w:tcPr>
          <w:p w14:paraId="2533C6FB" w14:textId="77777777" w:rsidR="00851F4F" w:rsidRPr="00716018" w:rsidRDefault="00851F4F" w:rsidP="00E607DA">
            <w:pPr>
              <w:rPr>
                <w:rFonts w:ascii="Meta Pro" w:eastAsia="Times New Roman" w:hAnsi="Meta Pro"/>
                <w:szCs w:val="18"/>
                <w:lang w:eastAsia="en-AU"/>
              </w:rPr>
            </w:pPr>
            <w:r w:rsidRPr="00716018">
              <w:rPr>
                <w:rFonts w:ascii="Meta Pro" w:eastAsia="Times New Roman" w:hAnsi="Meta Pro"/>
                <w:szCs w:val="18"/>
                <w:lang w:eastAsia="en-AU"/>
              </w:rPr>
              <w:t>Toowoomba Bypass</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554D6" w14:textId="77777777" w:rsidR="00851F4F" w:rsidRPr="00716018" w:rsidRDefault="00851F4F" w:rsidP="00E607DA">
            <w:pPr>
              <w:jc w:val="right"/>
              <w:rPr>
                <w:rFonts w:ascii="Meta Pro" w:eastAsia="Times New Roman" w:hAnsi="Meta Pro"/>
                <w:szCs w:val="18"/>
                <w:lang w:eastAsia="en-AU"/>
              </w:rPr>
            </w:pPr>
            <w:r w:rsidRPr="00716018">
              <w:rPr>
                <w:rFonts w:ascii="Meta Pro" w:eastAsia="Times New Roman" w:hAnsi="Meta Pro"/>
                <w:szCs w:val="18"/>
                <w:lang w:eastAsia="en-AU"/>
              </w:rPr>
              <w:t xml:space="preserve">414,622 </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207484CA" w14:textId="77777777" w:rsidR="00851F4F" w:rsidRPr="00716018" w:rsidRDefault="00851F4F" w:rsidP="00E607DA">
            <w:pPr>
              <w:jc w:val="right"/>
              <w:rPr>
                <w:rFonts w:ascii="Meta Pro" w:eastAsia="Times New Roman" w:hAnsi="Meta Pro"/>
                <w:szCs w:val="18"/>
                <w:lang w:eastAsia="en-AU"/>
              </w:rPr>
            </w:pPr>
            <w:r w:rsidRPr="00716018">
              <w:rPr>
                <w:rFonts w:ascii="Meta Pro" w:eastAsia="Times New Roman" w:hAnsi="Meta Pro"/>
                <w:szCs w:val="18"/>
                <w:lang w:eastAsia="en-AU"/>
              </w:rPr>
              <w:t>(4,146)</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3116F434" w14:textId="77777777" w:rsidR="00851F4F" w:rsidRPr="00716018" w:rsidRDefault="00851F4F" w:rsidP="00E607DA">
            <w:pPr>
              <w:jc w:val="right"/>
              <w:rPr>
                <w:rFonts w:ascii="Meta Pro" w:eastAsia="Times New Roman" w:hAnsi="Meta Pro"/>
                <w:szCs w:val="18"/>
                <w:lang w:eastAsia="en-AU"/>
              </w:rPr>
            </w:pPr>
            <w:r w:rsidRPr="00716018">
              <w:rPr>
                <w:rFonts w:ascii="Meta Pro" w:eastAsia="Times New Roman" w:hAnsi="Meta Pro"/>
                <w:szCs w:val="18"/>
                <w:lang w:eastAsia="en-AU"/>
              </w:rPr>
              <w:t>(4,146)</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58A338EB" w14:textId="77777777" w:rsidR="00851F4F" w:rsidRPr="00716018" w:rsidRDefault="00851F4F" w:rsidP="00E607DA">
            <w:pPr>
              <w:jc w:val="right"/>
              <w:rPr>
                <w:rFonts w:ascii="Meta Pro" w:eastAsia="Times New Roman" w:hAnsi="Meta Pro"/>
                <w:szCs w:val="18"/>
                <w:lang w:eastAsia="en-AU"/>
              </w:rPr>
            </w:pPr>
            <w:r w:rsidRPr="00716018">
              <w:rPr>
                <w:rFonts w:ascii="Meta Pro" w:eastAsia="Times New Roman" w:hAnsi="Meta Pro"/>
                <w:szCs w:val="18"/>
                <w:lang w:eastAsia="en-AU"/>
              </w:rPr>
              <w:t xml:space="preserve">4,146 </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08CB7AE6" w14:textId="77777777" w:rsidR="00851F4F" w:rsidRPr="00716018" w:rsidRDefault="00851F4F" w:rsidP="00E607DA">
            <w:pPr>
              <w:jc w:val="right"/>
              <w:rPr>
                <w:rFonts w:ascii="Meta Pro" w:eastAsia="Times New Roman" w:hAnsi="Meta Pro"/>
                <w:szCs w:val="18"/>
                <w:lang w:eastAsia="en-AU"/>
              </w:rPr>
            </w:pPr>
            <w:r w:rsidRPr="00716018">
              <w:rPr>
                <w:rFonts w:ascii="Meta Pro" w:eastAsia="Times New Roman" w:hAnsi="Meta Pro"/>
                <w:szCs w:val="18"/>
                <w:lang w:eastAsia="en-AU"/>
              </w:rPr>
              <w:t xml:space="preserve">4,146 </w:t>
            </w:r>
          </w:p>
        </w:tc>
      </w:tr>
      <w:tr w:rsidR="00851F4F" w:rsidRPr="00716018" w14:paraId="653EA2EA" w14:textId="77777777" w:rsidTr="00E607DA">
        <w:trPr>
          <w:trHeight w:val="23"/>
        </w:trPr>
        <w:tc>
          <w:tcPr>
            <w:tcW w:w="3402" w:type="dxa"/>
            <w:tcBorders>
              <w:top w:val="nil"/>
              <w:left w:val="single" w:sz="4" w:space="0" w:color="auto"/>
              <w:bottom w:val="nil"/>
              <w:right w:val="nil"/>
            </w:tcBorders>
            <w:shd w:val="clear" w:color="auto" w:fill="auto"/>
            <w:noWrap/>
            <w:vAlign w:val="center"/>
            <w:hideMark/>
          </w:tcPr>
          <w:p w14:paraId="206AA479" w14:textId="77777777" w:rsidR="00851F4F" w:rsidRPr="00716018" w:rsidRDefault="00851F4F" w:rsidP="00E607DA">
            <w:pPr>
              <w:rPr>
                <w:rFonts w:ascii="Meta Pro" w:eastAsia="Times New Roman" w:hAnsi="Meta Pro"/>
                <w:szCs w:val="18"/>
                <w:lang w:eastAsia="en-AU"/>
              </w:rPr>
            </w:pPr>
            <w:r w:rsidRPr="00716018">
              <w:rPr>
                <w:rFonts w:ascii="Meta Pro" w:eastAsia="Times New Roman" w:hAnsi="Meta Pro"/>
                <w:szCs w:val="18"/>
                <w:lang w:eastAsia="en-AU"/>
              </w:rPr>
              <w:t>New Generation Rollingstock arrangement</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6346983" w14:textId="77777777" w:rsidR="00851F4F" w:rsidRPr="00716018" w:rsidRDefault="00851F4F" w:rsidP="00E607DA">
            <w:pPr>
              <w:jc w:val="right"/>
              <w:rPr>
                <w:rFonts w:ascii="Meta Pro" w:eastAsia="Times New Roman" w:hAnsi="Meta Pro"/>
                <w:szCs w:val="18"/>
                <w:lang w:eastAsia="en-AU"/>
              </w:rPr>
            </w:pPr>
            <w:r w:rsidRPr="00716018">
              <w:rPr>
                <w:rFonts w:ascii="Meta Pro" w:eastAsia="Times New Roman" w:hAnsi="Meta Pro"/>
                <w:szCs w:val="18"/>
                <w:lang w:eastAsia="en-AU"/>
              </w:rPr>
              <w:t xml:space="preserve">557,974 </w:t>
            </w:r>
          </w:p>
        </w:tc>
        <w:tc>
          <w:tcPr>
            <w:tcW w:w="1247" w:type="dxa"/>
            <w:tcBorders>
              <w:top w:val="nil"/>
              <w:left w:val="nil"/>
              <w:bottom w:val="single" w:sz="4" w:space="0" w:color="auto"/>
              <w:right w:val="single" w:sz="4" w:space="0" w:color="auto"/>
            </w:tcBorders>
            <w:shd w:val="clear" w:color="auto" w:fill="auto"/>
            <w:noWrap/>
            <w:vAlign w:val="center"/>
            <w:hideMark/>
          </w:tcPr>
          <w:p w14:paraId="13C0845F" w14:textId="77777777" w:rsidR="00851F4F" w:rsidRPr="00716018" w:rsidRDefault="00851F4F" w:rsidP="00E607DA">
            <w:pPr>
              <w:jc w:val="right"/>
              <w:rPr>
                <w:rFonts w:ascii="Meta Pro" w:eastAsia="Times New Roman" w:hAnsi="Meta Pro"/>
                <w:szCs w:val="18"/>
                <w:lang w:eastAsia="en-AU"/>
              </w:rPr>
            </w:pPr>
            <w:r w:rsidRPr="00716018">
              <w:rPr>
                <w:rFonts w:ascii="Meta Pro" w:eastAsia="Times New Roman" w:hAnsi="Meta Pro"/>
                <w:szCs w:val="18"/>
                <w:lang w:eastAsia="en-AU"/>
              </w:rPr>
              <w:t>(5,580)</w:t>
            </w:r>
          </w:p>
        </w:tc>
        <w:tc>
          <w:tcPr>
            <w:tcW w:w="1247" w:type="dxa"/>
            <w:tcBorders>
              <w:top w:val="nil"/>
              <w:left w:val="nil"/>
              <w:bottom w:val="single" w:sz="4" w:space="0" w:color="auto"/>
              <w:right w:val="single" w:sz="4" w:space="0" w:color="auto"/>
            </w:tcBorders>
            <w:shd w:val="clear" w:color="auto" w:fill="auto"/>
            <w:noWrap/>
            <w:vAlign w:val="center"/>
            <w:hideMark/>
          </w:tcPr>
          <w:p w14:paraId="5BA2EE1A" w14:textId="77777777" w:rsidR="00851F4F" w:rsidRPr="00716018" w:rsidRDefault="00851F4F" w:rsidP="00E607DA">
            <w:pPr>
              <w:jc w:val="right"/>
              <w:rPr>
                <w:rFonts w:ascii="Meta Pro" w:eastAsia="Times New Roman" w:hAnsi="Meta Pro"/>
                <w:szCs w:val="18"/>
                <w:lang w:eastAsia="en-AU"/>
              </w:rPr>
            </w:pPr>
            <w:r w:rsidRPr="00716018">
              <w:rPr>
                <w:rFonts w:ascii="Meta Pro" w:eastAsia="Times New Roman" w:hAnsi="Meta Pro"/>
                <w:szCs w:val="18"/>
                <w:lang w:eastAsia="en-AU"/>
              </w:rPr>
              <w:t>(5,580)</w:t>
            </w:r>
          </w:p>
        </w:tc>
        <w:tc>
          <w:tcPr>
            <w:tcW w:w="1247" w:type="dxa"/>
            <w:tcBorders>
              <w:top w:val="nil"/>
              <w:left w:val="nil"/>
              <w:bottom w:val="single" w:sz="4" w:space="0" w:color="auto"/>
              <w:right w:val="single" w:sz="4" w:space="0" w:color="auto"/>
            </w:tcBorders>
            <w:shd w:val="clear" w:color="auto" w:fill="auto"/>
            <w:noWrap/>
            <w:vAlign w:val="center"/>
            <w:hideMark/>
          </w:tcPr>
          <w:p w14:paraId="14954120" w14:textId="77777777" w:rsidR="00851F4F" w:rsidRPr="00716018" w:rsidRDefault="00851F4F" w:rsidP="00E607DA">
            <w:pPr>
              <w:jc w:val="right"/>
              <w:rPr>
                <w:rFonts w:ascii="Meta Pro" w:eastAsia="Times New Roman" w:hAnsi="Meta Pro"/>
                <w:szCs w:val="18"/>
                <w:lang w:eastAsia="en-AU"/>
              </w:rPr>
            </w:pPr>
            <w:r w:rsidRPr="00716018">
              <w:rPr>
                <w:rFonts w:ascii="Meta Pro" w:eastAsia="Times New Roman" w:hAnsi="Meta Pro"/>
                <w:szCs w:val="18"/>
                <w:lang w:eastAsia="en-AU"/>
              </w:rPr>
              <w:t xml:space="preserve">5,580 </w:t>
            </w:r>
          </w:p>
        </w:tc>
        <w:tc>
          <w:tcPr>
            <w:tcW w:w="1247" w:type="dxa"/>
            <w:tcBorders>
              <w:top w:val="nil"/>
              <w:left w:val="nil"/>
              <w:bottom w:val="single" w:sz="4" w:space="0" w:color="auto"/>
              <w:right w:val="single" w:sz="4" w:space="0" w:color="auto"/>
            </w:tcBorders>
            <w:shd w:val="clear" w:color="auto" w:fill="auto"/>
            <w:noWrap/>
            <w:vAlign w:val="center"/>
            <w:hideMark/>
          </w:tcPr>
          <w:p w14:paraId="3CF02EC2" w14:textId="77777777" w:rsidR="00851F4F" w:rsidRPr="00716018" w:rsidRDefault="00851F4F" w:rsidP="00E607DA">
            <w:pPr>
              <w:jc w:val="right"/>
              <w:rPr>
                <w:rFonts w:ascii="Meta Pro" w:eastAsia="Times New Roman" w:hAnsi="Meta Pro"/>
                <w:szCs w:val="18"/>
                <w:lang w:eastAsia="en-AU"/>
              </w:rPr>
            </w:pPr>
            <w:r w:rsidRPr="00716018">
              <w:rPr>
                <w:rFonts w:ascii="Meta Pro" w:eastAsia="Times New Roman" w:hAnsi="Meta Pro"/>
                <w:szCs w:val="18"/>
                <w:lang w:eastAsia="en-AU"/>
              </w:rPr>
              <w:t xml:space="preserve">5,580 </w:t>
            </w:r>
          </w:p>
        </w:tc>
      </w:tr>
      <w:tr w:rsidR="00851F4F" w:rsidRPr="00716018" w14:paraId="646E4E53" w14:textId="77777777" w:rsidTr="00E607DA">
        <w:trPr>
          <w:trHeight w:val="23"/>
        </w:trPr>
        <w:tc>
          <w:tcPr>
            <w:tcW w:w="3402" w:type="dxa"/>
            <w:tcBorders>
              <w:top w:val="nil"/>
              <w:left w:val="single" w:sz="4" w:space="0" w:color="auto"/>
              <w:bottom w:val="single" w:sz="4" w:space="0" w:color="auto"/>
              <w:right w:val="nil"/>
            </w:tcBorders>
            <w:shd w:val="clear" w:color="auto" w:fill="auto"/>
            <w:noWrap/>
            <w:vAlign w:val="center"/>
            <w:hideMark/>
          </w:tcPr>
          <w:p w14:paraId="2EFCCE10" w14:textId="77777777" w:rsidR="00851F4F" w:rsidRPr="00716018" w:rsidRDefault="00851F4F" w:rsidP="00E607DA">
            <w:pPr>
              <w:rPr>
                <w:rFonts w:ascii="Meta Pro" w:eastAsia="Times New Roman" w:hAnsi="Meta Pro"/>
                <w:b/>
                <w:bCs/>
                <w:szCs w:val="18"/>
                <w:lang w:eastAsia="en-AU"/>
              </w:rPr>
            </w:pPr>
            <w:r w:rsidRPr="00716018">
              <w:rPr>
                <w:rFonts w:ascii="Meta Pro" w:eastAsia="Times New Roman" w:hAnsi="Meta Pro"/>
                <w:b/>
                <w:bCs/>
                <w:szCs w:val="18"/>
                <w:lang w:eastAsia="en-AU"/>
              </w:rPr>
              <w:t>Potential impact</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37A1A99" w14:textId="77777777" w:rsidR="00851F4F" w:rsidRPr="00716018" w:rsidRDefault="00851F4F" w:rsidP="00E607DA">
            <w:pPr>
              <w:jc w:val="right"/>
              <w:rPr>
                <w:rFonts w:ascii="Meta Pro" w:eastAsia="Times New Roman" w:hAnsi="Meta Pro"/>
                <w:szCs w:val="18"/>
                <w:lang w:eastAsia="en-AU"/>
              </w:rPr>
            </w:pPr>
            <w:r w:rsidRPr="00716018">
              <w:rPr>
                <w:rFonts w:ascii="Meta Pro" w:eastAsia="Times New Roman" w:hAnsi="Meta Pro"/>
                <w:szCs w:val="18"/>
                <w:lang w:eastAsia="en-AU"/>
              </w:rPr>
              <w:t> </w:t>
            </w:r>
          </w:p>
        </w:tc>
        <w:tc>
          <w:tcPr>
            <w:tcW w:w="1247" w:type="dxa"/>
            <w:tcBorders>
              <w:top w:val="nil"/>
              <w:left w:val="single" w:sz="4" w:space="0" w:color="auto"/>
              <w:bottom w:val="double" w:sz="6" w:space="0" w:color="auto"/>
              <w:right w:val="single" w:sz="4" w:space="0" w:color="auto"/>
            </w:tcBorders>
            <w:shd w:val="clear" w:color="auto" w:fill="auto"/>
            <w:noWrap/>
            <w:vAlign w:val="center"/>
            <w:hideMark/>
          </w:tcPr>
          <w:p w14:paraId="6E5B30CD" w14:textId="77777777" w:rsidR="00851F4F" w:rsidRPr="00716018" w:rsidRDefault="00851F4F" w:rsidP="00E607DA">
            <w:pPr>
              <w:jc w:val="right"/>
              <w:rPr>
                <w:rFonts w:ascii="Meta Pro" w:eastAsia="Times New Roman" w:hAnsi="Meta Pro"/>
                <w:b/>
                <w:bCs/>
                <w:szCs w:val="18"/>
                <w:lang w:eastAsia="en-AU"/>
              </w:rPr>
            </w:pPr>
            <w:r w:rsidRPr="00716018">
              <w:rPr>
                <w:rFonts w:ascii="Meta Pro" w:eastAsia="Times New Roman" w:hAnsi="Meta Pro"/>
                <w:b/>
                <w:bCs/>
                <w:szCs w:val="18"/>
                <w:lang w:eastAsia="en-AU"/>
              </w:rPr>
              <w:t>(9,726)</w:t>
            </w:r>
          </w:p>
        </w:tc>
        <w:tc>
          <w:tcPr>
            <w:tcW w:w="1247" w:type="dxa"/>
            <w:tcBorders>
              <w:top w:val="nil"/>
              <w:left w:val="nil"/>
              <w:bottom w:val="double" w:sz="6" w:space="0" w:color="auto"/>
              <w:right w:val="single" w:sz="4" w:space="0" w:color="auto"/>
            </w:tcBorders>
            <w:shd w:val="clear" w:color="auto" w:fill="auto"/>
            <w:noWrap/>
            <w:vAlign w:val="center"/>
            <w:hideMark/>
          </w:tcPr>
          <w:p w14:paraId="3B6C24C8" w14:textId="77777777" w:rsidR="00851F4F" w:rsidRPr="00716018" w:rsidRDefault="00851F4F" w:rsidP="00E607DA">
            <w:pPr>
              <w:jc w:val="right"/>
              <w:rPr>
                <w:rFonts w:ascii="Meta Pro" w:eastAsia="Times New Roman" w:hAnsi="Meta Pro"/>
                <w:b/>
                <w:bCs/>
                <w:szCs w:val="18"/>
                <w:lang w:eastAsia="en-AU"/>
              </w:rPr>
            </w:pPr>
            <w:r w:rsidRPr="00716018">
              <w:rPr>
                <w:rFonts w:ascii="Meta Pro" w:eastAsia="Times New Roman" w:hAnsi="Meta Pro"/>
                <w:b/>
                <w:bCs/>
                <w:szCs w:val="18"/>
                <w:lang w:eastAsia="en-AU"/>
              </w:rPr>
              <w:t>(9,726)</w:t>
            </w:r>
          </w:p>
        </w:tc>
        <w:tc>
          <w:tcPr>
            <w:tcW w:w="1247" w:type="dxa"/>
            <w:tcBorders>
              <w:top w:val="nil"/>
              <w:left w:val="nil"/>
              <w:bottom w:val="double" w:sz="6" w:space="0" w:color="auto"/>
              <w:right w:val="single" w:sz="4" w:space="0" w:color="auto"/>
            </w:tcBorders>
            <w:shd w:val="clear" w:color="auto" w:fill="auto"/>
            <w:noWrap/>
            <w:vAlign w:val="center"/>
            <w:hideMark/>
          </w:tcPr>
          <w:p w14:paraId="3ECBCD52" w14:textId="77777777" w:rsidR="00851F4F" w:rsidRPr="00716018" w:rsidRDefault="00851F4F" w:rsidP="00E607DA">
            <w:pPr>
              <w:jc w:val="right"/>
              <w:rPr>
                <w:rFonts w:ascii="Meta Pro" w:eastAsia="Times New Roman" w:hAnsi="Meta Pro"/>
                <w:b/>
                <w:bCs/>
                <w:szCs w:val="18"/>
                <w:lang w:eastAsia="en-AU"/>
              </w:rPr>
            </w:pPr>
            <w:r w:rsidRPr="00716018">
              <w:rPr>
                <w:rFonts w:ascii="Meta Pro" w:eastAsia="Times New Roman" w:hAnsi="Meta Pro"/>
                <w:b/>
                <w:bCs/>
                <w:szCs w:val="18"/>
                <w:lang w:eastAsia="en-AU"/>
              </w:rPr>
              <w:t xml:space="preserve">9,726 </w:t>
            </w:r>
          </w:p>
        </w:tc>
        <w:tc>
          <w:tcPr>
            <w:tcW w:w="1247" w:type="dxa"/>
            <w:tcBorders>
              <w:top w:val="nil"/>
              <w:left w:val="nil"/>
              <w:bottom w:val="double" w:sz="6" w:space="0" w:color="auto"/>
              <w:right w:val="single" w:sz="4" w:space="0" w:color="auto"/>
            </w:tcBorders>
            <w:shd w:val="clear" w:color="auto" w:fill="auto"/>
            <w:noWrap/>
            <w:vAlign w:val="center"/>
            <w:hideMark/>
          </w:tcPr>
          <w:p w14:paraId="2B909343" w14:textId="77777777" w:rsidR="00851F4F" w:rsidRPr="00716018" w:rsidRDefault="00851F4F" w:rsidP="00E607DA">
            <w:pPr>
              <w:jc w:val="right"/>
              <w:rPr>
                <w:rFonts w:ascii="Meta Pro" w:eastAsia="Times New Roman" w:hAnsi="Meta Pro"/>
                <w:b/>
                <w:bCs/>
                <w:szCs w:val="18"/>
                <w:lang w:eastAsia="en-AU"/>
              </w:rPr>
            </w:pPr>
            <w:r w:rsidRPr="00716018">
              <w:rPr>
                <w:rFonts w:ascii="Meta Pro" w:eastAsia="Times New Roman" w:hAnsi="Meta Pro"/>
                <w:b/>
                <w:bCs/>
                <w:szCs w:val="18"/>
                <w:lang w:eastAsia="en-AU"/>
              </w:rPr>
              <w:t xml:space="preserve">9,726 </w:t>
            </w:r>
          </w:p>
        </w:tc>
      </w:tr>
    </w:tbl>
    <w:p w14:paraId="207FCC18" w14:textId="77777777" w:rsidR="00851F4F" w:rsidRPr="00092B22" w:rsidRDefault="00851F4F" w:rsidP="00851F4F">
      <w:pPr>
        <w:spacing w:after="120"/>
        <w:rPr>
          <w:rFonts w:ascii="Meta Pro" w:eastAsia="Times New Roman" w:hAnsi="Meta Pro"/>
          <w:b/>
          <w:bCs/>
          <w:szCs w:val="18"/>
          <w:lang w:eastAsia="en-AU"/>
        </w:rPr>
      </w:pPr>
      <w:r w:rsidRPr="00092B22">
        <w:rPr>
          <w:rFonts w:ascii="Meta Pro" w:eastAsia="Times New Roman" w:hAnsi="Meta Pro"/>
          <w:b/>
          <w:bCs/>
          <w:szCs w:val="18"/>
          <w:lang w:eastAsia="en-AU"/>
        </w:rPr>
        <w:t>FAIR VALUE</w:t>
      </w:r>
    </w:p>
    <w:p w14:paraId="61C5669F" w14:textId="16CAEC31" w:rsidR="00851F4F" w:rsidRDefault="00851F4F" w:rsidP="00851F4F">
      <w:pPr>
        <w:rPr>
          <w:rFonts w:ascii="Meta Pro" w:eastAsia="Times New Roman" w:hAnsi="Meta Pro"/>
          <w:szCs w:val="18"/>
          <w:lang w:eastAsia="en-AU"/>
        </w:rPr>
      </w:pPr>
      <w:r w:rsidRPr="00092B22">
        <w:rPr>
          <w:rFonts w:ascii="Meta Pro" w:eastAsia="Times New Roman" w:hAnsi="Meta Pro"/>
          <w:szCs w:val="18"/>
          <w:lang w:eastAsia="en-AU"/>
        </w:rPr>
        <w:t>The department does not recognise any financial assets or financial liabilities at fair value. The fair value of trade receivables and payables is assumed to approximate the value of the original transaction, less any allowance for impairment.</w:t>
      </w:r>
    </w:p>
    <w:p w14:paraId="01D3D811" w14:textId="3714A37F" w:rsidR="00B07A53" w:rsidRDefault="00B07A53" w:rsidP="00851F4F">
      <w:pPr>
        <w:rPr>
          <w:rFonts w:ascii="Meta Pro" w:eastAsia="Times New Roman" w:hAnsi="Meta Pro"/>
          <w:szCs w:val="18"/>
          <w:lang w:eastAsia="en-AU"/>
        </w:rPr>
      </w:pPr>
    </w:p>
    <w:tbl>
      <w:tblPr>
        <w:tblW w:w="9639" w:type="dxa"/>
        <w:tblCellMar>
          <w:left w:w="0" w:type="dxa"/>
        </w:tblCellMar>
        <w:tblLook w:val="04A0" w:firstRow="1" w:lastRow="0" w:firstColumn="1" w:lastColumn="0" w:noHBand="0" w:noVBand="1"/>
      </w:tblPr>
      <w:tblGrid>
        <w:gridCol w:w="6773"/>
        <w:gridCol w:w="1319"/>
        <w:gridCol w:w="260"/>
        <w:gridCol w:w="1319"/>
      </w:tblGrid>
      <w:tr w:rsidR="001A3202" w:rsidRPr="00092B22" w14:paraId="441E3773" w14:textId="77777777" w:rsidTr="00B07A53">
        <w:trPr>
          <w:trHeight w:val="300"/>
        </w:trPr>
        <w:tc>
          <w:tcPr>
            <w:tcW w:w="6765" w:type="dxa"/>
            <w:tcBorders>
              <w:top w:val="nil"/>
              <w:left w:val="nil"/>
              <w:bottom w:val="nil"/>
              <w:right w:val="nil"/>
            </w:tcBorders>
            <w:shd w:val="clear" w:color="auto" w:fill="auto"/>
            <w:noWrap/>
            <w:vAlign w:val="center"/>
            <w:hideMark/>
          </w:tcPr>
          <w:p w14:paraId="16EB8B33" w14:textId="77777777" w:rsidR="001A3202" w:rsidRPr="00092B22" w:rsidRDefault="001A3202" w:rsidP="00E607DA">
            <w:pPr>
              <w:rPr>
                <w:rFonts w:ascii="Meta Pro" w:eastAsia="Times New Roman" w:hAnsi="Meta Pro" w:cs="Times New Roman"/>
                <w:sz w:val="24"/>
                <w:szCs w:val="24"/>
                <w:lang w:eastAsia="en-AU"/>
              </w:rPr>
            </w:pPr>
          </w:p>
        </w:tc>
        <w:tc>
          <w:tcPr>
            <w:tcW w:w="1311" w:type="dxa"/>
            <w:tcBorders>
              <w:top w:val="nil"/>
              <w:left w:val="nil"/>
              <w:bottom w:val="nil"/>
              <w:right w:val="nil"/>
            </w:tcBorders>
            <w:shd w:val="clear" w:color="auto" w:fill="auto"/>
            <w:noWrap/>
            <w:vAlign w:val="center"/>
            <w:hideMark/>
          </w:tcPr>
          <w:p w14:paraId="6547DD38" w14:textId="77777777" w:rsidR="001A3202" w:rsidRPr="00092B22" w:rsidRDefault="001A3202" w:rsidP="00E607DA">
            <w:pPr>
              <w:jc w:val="center"/>
              <w:rPr>
                <w:rFonts w:ascii="Meta Pro" w:eastAsia="Times New Roman" w:hAnsi="Meta Pro"/>
                <w:b/>
                <w:bCs/>
                <w:lang w:eastAsia="en-AU"/>
              </w:rPr>
            </w:pPr>
            <w:r w:rsidRPr="00092B22">
              <w:rPr>
                <w:rFonts w:ascii="Meta Pro" w:eastAsia="Times New Roman" w:hAnsi="Meta Pro"/>
                <w:b/>
                <w:bCs/>
                <w:lang w:eastAsia="en-AU"/>
              </w:rPr>
              <w:t>2022</w:t>
            </w:r>
          </w:p>
        </w:tc>
        <w:tc>
          <w:tcPr>
            <w:tcW w:w="252" w:type="dxa"/>
            <w:tcBorders>
              <w:top w:val="nil"/>
              <w:left w:val="nil"/>
              <w:bottom w:val="nil"/>
              <w:right w:val="nil"/>
            </w:tcBorders>
            <w:shd w:val="clear" w:color="auto" w:fill="auto"/>
            <w:noWrap/>
            <w:vAlign w:val="center"/>
            <w:hideMark/>
          </w:tcPr>
          <w:p w14:paraId="10FEA84E" w14:textId="77777777" w:rsidR="001A3202" w:rsidRPr="00092B22" w:rsidRDefault="001A3202" w:rsidP="00E607DA">
            <w:pPr>
              <w:jc w:val="center"/>
              <w:rPr>
                <w:rFonts w:ascii="Meta Pro" w:eastAsia="Times New Roman" w:hAnsi="Meta Pro"/>
                <w:b/>
                <w:bCs/>
                <w:lang w:eastAsia="en-AU"/>
              </w:rPr>
            </w:pPr>
          </w:p>
        </w:tc>
        <w:tc>
          <w:tcPr>
            <w:tcW w:w="1311" w:type="dxa"/>
            <w:tcBorders>
              <w:top w:val="nil"/>
              <w:left w:val="nil"/>
              <w:bottom w:val="nil"/>
              <w:right w:val="nil"/>
            </w:tcBorders>
            <w:shd w:val="clear" w:color="auto" w:fill="auto"/>
            <w:noWrap/>
            <w:vAlign w:val="center"/>
            <w:hideMark/>
          </w:tcPr>
          <w:p w14:paraId="148B6E96" w14:textId="77777777" w:rsidR="001A3202" w:rsidRPr="00092B22" w:rsidRDefault="001A3202" w:rsidP="00E607DA">
            <w:pPr>
              <w:jc w:val="center"/>
              <w:rPr>
                <w:rFonts w:ascii="Meta Pro" w:eastAsia="Times New Roman" w:hAnsi="Meta Pro"/>
                <w:b/>
                <w:bCs/>
                <w:lang w:eastAsia="en-AU"/>
              </w:rPr>
            </w:pPr>
            <w:r w:rsidRPr="00092B22">
              <w:rPr>
                <w:rFonts w:ascii="Meta Pro" w:eastAsia="Times New Roman" w:hAnsi="Meta Pro"/>
                <w:b/>
                <w:bCs/>
                <w:lang w:eastAsia="en-AU"/>
              </w:rPr>
              <w:t>2021</w:t>
            </w:r>
          </w:p>
        </w:tc>
      </w:tr>
      <w:tr w:rsidR="001A3202" w:rsidRPr="00092B22" w14:paraId="02195547" w14:textId="77777777" w:rsidTr="00B07A53">
        <w:trPr>
          <w:trHeight w:val="300"/>
        </w:trPr>
        <w:tc>
          <w:tcPr>
            <w:tcW w:w="6765" w:type="dxa"/>
            <w:tcBorders>
              <w:top w:val="nil"/>
              <w:left w:val="nil"/>
              <w:bottom w:val="nil"/>
              <w:right w:val="nil"/>
            </w:tcBorders>
            <w:shd w:val="clear" w:color="auto" w:fill="auto"/>
            <w:noWrap/>
            <w:vAlign w:val="center"/>
            <w:hideMark/>
          </w:tcPr>
          <w:p w14:paraId="56421124" w14:textId="77777777" w:rsidR="001A3202" w:rsidRPr="00092B22" w:rsidRDefault="001A3202" w:rsidP="00E607DA">
            <w:pPr>
              <w:jc w:val="center"/>
              <w:rPr>
                <w:rFonts w:ascii="Meta Pro" w:eastAsia="Times New Roman" w:hAnsi="Meta Pro"/>
                <w:b/>
                <w:bCs/>
                <w:lang w:eastAsia="en-AU"/>
              </w:rPr>
            </w:pPr>
          </w:p>
        </w:tc>
        <w:tc>
          <w:tcPr>
            <w:tcW w:w="1311" w:type="dxa"/>
            <w:tcBorders>
              <w:top w:val="nil"/>
              <w:left w:val="nil"/>
              <w:bottom w:val="nil"/>
              <w:right w:val="nil"/>
            </w:tcBorders>
            <w:shd w:val="clear" w:color="auto" w:fill="auto"/>
            <w:noWrap/>
            <w:vAlign w:val="center"/>
            <w:hideMark/>
          </w:tcPr>
          <w:p w14:paraId="3F986E2A" w14:textId="77777777" w:rsidR="001A3202" w:rsidRPr="00092B22" w:rsidRDefault="001A3202" w:rsidP="00E607DA">
            <w:pPr>
              <w:jc w:val="center"/>
              <w:rPr>
                <w:rFonts w:ascii="Meta Pro" w:eastAsia="Times New Roman" w:hAnsi="Meta Pro"/>
                <w:b/>
                <w:bCs/>
                <w:lang w:eastAsia="en-AU"/>
              </w:rPr>
            </w:pPr>
            <w:r w:rsidRPr="00092B22">
              <w:rPr>
                <w:rFonts w:ascii="Meta Pro" w:eastAsia="Times New Roman" w:hAnsi="Meta Pro"/>
                <w:b/>
                <w:bCs/>
                <w:lang w:eastAsia="en-AU"/>
              </w:rPr>
              <w:t>$'000</w:t>
            </w:r>
          </w:p>
        </w:tc>
        <w:tc>
          <w:tcPr>
            <w:tcW w:w="252" w:type="dxa"/>
            <w:tcBorders>
              <w:top w:val="nil"/>
              <w:left w:val="nil"/>
              <w:bottom w:val="nil"/>
              <w:right w:val="nil"/>
            </w:tcBorders>
            <w:shd w:val="clear" w:color="auto" w:fill="auto"/>
            <w:noWrap/>
            <w:vAlign w:val="center"/>
            <w:hideMark/>
          </w:tcPr>
          <w:p w14:paraId="55C7242A" w14:textId="77777777" w:rsidR="001A3202" w:rsidRPr="00092B22" w:rsidRDefault="001A3202" w:rsidP="00E607DA">
            <w:pPr>
              <w:jc w:val="center"/>
              <w:rPr>
                <w:rFonts w:ascii="Meta Pro" w:eastAsia="Times New Roman" w:hAnsi="Meta Pro"/>
                <w:b/>
                <w:bCs/>
                <w:lang w:eastAsia="en-AU"/>
              </w:rPr>
            </w:pPr>
          </w:p>
        </w:tc>
        <w:tc>
          <w:tcPr>
            <w:tcW w:w="1311" w:type="dxa"/>
            <w:tcBorders>
              <w:top w:val="nil"/>
              <w:left w:val="nil"/>
              <w:bottom w:val="nil"/>
              <w:right w:val="nil"/>
            </w:tcBorders>
            <w:shd w:val="clear" w:color="auto" w:fill="auto"/>
            <w:noWrap/>
            <w:vAlign w:val="center"/>
            <w:hideMark/>
          </w:tcPr>
          <w:p w14:paraId="53C3301B" w14:textId="77777777" w:rsidR="001A3202" w:rsidRPr="00092B22" w:rsidRDefault="001A3202" w:rsidP="00E607DA">
            <w:pPr>
              <w:jc w:val="center"/>
              <w:rPr>
                <w:rFonts w:ascii="Meta Pro" w:eastAsia="Times New Roman" w:hAnsi="Meta Pro"/>
                <w:b/>
                <w:bCs/>
                <w:lang w:eastAsia="en-AU"/>
              </w:rPr>
            </w:pPr>
            <w:r w:rsidRPr="00092B22">
              <w:rPr>
                <w:rFonts w:ascii="Meta Pro" w:eastAsia="Times New Roman" w:hAnsi="Meta Pro"/>
                <w:b/>
                <w:bCs/>
                <w:lang w:eastAsia="en-AU"/>
              </w:rPr>
              <w:t>$'000</w:t>
            </w:r>
          </w:p>
        </w:tc>
      </w:tr>
    </w:tbl>
    <w:p w14:paraId="20E933A0" w14:textId="77777777" w:rsidR="001A3202" w:rsidRPr="00092B22" w:rsidRDefault="001A3202" w:rsidP="001A3202">
      <w:pPr>
        <w:spacing w:after="120"/>
        <w:rPr>
          <w:rFonts w:ascii="Meta Pro" w:eastAsia="Times New Roman" w:hAnsi="Meta Pro"/>
          <w:b/>
          <w:bCs/>
          <w:lang w:eastAsia="en-AU"/>
        </w:rPr>
      </w:pPr>
      <w:r w:rsidRPr="00092B22">
        <w:rPr>
          <w:rFonts w:ascii="Meta Pro" w:eastAsia="Times New Roman" w:hAnsi="Meta Pro"/>
          <w:b/>
          <w:bCs/>
          <w:lang w:eastAsia="en-AU"/>
        </w:rPr>
        <w:t xml:space="preserve">27     SCHEDULE OF ADMINISTERED ITEMS </w:t>
      </w:r>
    </w:p>
    <w:p w14:paraId="2D6E48C3" w14:textId="77777777" w:rsidR="001A3202" w:rsidRPr="00092B22" w:rsidRDefault="001A3202" w:rsidP="001A3202">
      <w:pPr>
        <w:spacing w:after="120"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The department administers, but does not control, certain resources on behalf of the government. In doing so, it has responsibility and is accountable for administering related transactions and balances but does not have the discretion to deploy these resources for the achievement of the department’s objectives.</w:t>
      </w:r>
    </w:p>
    <w:p w14:paraId="7AEA1DD4" w14:textId="77777777" w:rsidR="001A3202" w:rsidRPr="00747D82" w:rsidRDefault="001A3202" w:rsidP="001A3202">
      <w:pPr>
        <w:spacing w:after="60" w:line="259" w:lineRule="auto"/>
        <w:rPr>
          <w:rFonts w:ascii="Meta Pro" w:hAnsi="Meta Pro" w:cstheme="minorBidi"/>
        </w:rPr>
      </w:pPr>
      <w:r w:rsidRPr="00092B22">
        <w:rPr>
          <w:rFonts w:ascii="Meta Pro" w:eastAsia="Times New Roman" w:hAnsi="Meta Pro"/>
          <w:color w:val="000000"/>
          <w:szCs w:val="18"/>
          <w:lang w:eastAsia="en-AU"/>
        </w:rPr>
        <w:t>The department also performs the following certain agency transactions which are not recognised in the department's financial statements:</w:t>
      </w:r>
    </w:p>
    <w:tbl>
      <w:tblPr>
        <w:tblW w:w="0" w:type="auto"/>
        <w:tblCellMar>
          <w:left w:w="0" w:type="dxa"/>
        </w:tblCellMar>
        <w:tblLook w:val="04A0" w:firstRow="1" w:lastRow="0" w:firstColumn="1" w:lastColumn="0" w:noHBand="0" w:noVBand="1"/>
      </w:tblPr>
      <w:tblGrid>
        <w:gridCol w:w="7090"/>
        <w:gridCol w:w="1165"/>
        <w:gridCol w:w="218"/>
        <w:gridCol w:w="1165"/>
      </w:tblGrid>
      <w:tr w:rsidR="001A3202" w:rsidRPr="00747D82" w14:paraId="6084399C" w14:textId="77777777" w:rsidTr="00E607DA">
        <w:trPr>
          <w:trHeight w:val="250"/>
        </w:trPr>
        <w:tc>
          <w:tcPr>
            <w:tcW w:w="7476" w:type="dxa"/>
            <w:tcBorders>
              <w:top w:val="nil"/>
              <w:left w:val="nil"/>
              <w:bottom w:val="nil"/>
              <w:right w:val="nil"/>
            </w:tcBorders>
            <w:shd w:val="clear" w:color="auto" w:fill="auto"/>
            <w:noWrap/>
            <w:vAlign w:val="center"/>
            <w:hideMark/>
          </w:tcPr>
          <w:p w14:paraId="028748AD" w14:textId="77777777" w:rsidR="001A3202" w:rsidRPr="00747D82" w:rsidRDefault="001A3202" w:rsidP="00E607DA">
            <w:pPr>
              <w:rPr>
                <w:rFonts w:ascii="Meta Pro" w:eastAsia="Times New Roman" w:hAnsi="Meta Pro"/>
                <w:b/>
                <w:bCs/>
                <w:szCs w:val="18"/>
                <w:lang w:eastAsia="en-AU"/>
              </w:rPr>
            </w:pPr>
            <w:r w:rsidRPr="00747D82">
              <w:rPr>
                <w:rFonts w:ascii="Meta Pro" w:eastAsia="Times New Roman" w:hAnsi="Meta Pro"/>
                <w:b/>
                <w:bCs/>
                <w:szCs w:val="18"/>
                <w:lang w:eastAsia="en-AU"/>
              </w:rPr>
              <w:t>Agency</w:t>
            </w:r>
          </w:p>
        </w:tc>
        <w:tc>
          <w:tcPr>
            <w:tcW w:w="1216" w:type="dxa"/>
            <w:tcBorders>
              <w:top w:val="nil"/>
              <w:left w:val="nil"/>
              <w:bottom w:val="nil"/>
              <w:right w:val="nil"/>
            </w:tcBorders>
            <w:shd w:val="clear" w:color="auto" w:fill="auto"/>
            <w:noWrap/>
            <w:vAlign w:val="center"/>
            <w:hideMark/>
          </w:tcPr>
          <w:p w14:paraId="1AFBD5AA" w14:textId="77777777" w:rsidR="001A3202" w:rsidRPr="00747D82" w:rsidRDefault="001A3202" w:rsidP="00E607DA">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4A4092CE" w14:textId="77777777" w:rsidR="001A3202" w:rsidRPr="00747D82" w:rsidRDefault="001A3202" w:rsidP="00E607DA">
            <w:pPr>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2A4CD496" w14:textId="77777777" w:rsidR="001A3202" w:rsidRPr="00747D82" w:rsidRDefault="001A3202" w:rsidP="00E607DA">
            <w:pPr>
              <w:rPr>
                <w:rFonts w:ascii="Meta Pro" w:eastAsia="Times New Roman" w:hAnsi="Meta Pro" w:cs="Times New Roman"/>
                <w:sz w:val="20"/>
                <w:szCs w:val="20"/>
                <w:lang w:eastAsia="en-AU"/>
              </w:rPr>
            </w:pPr>
          </w:p>
        </w:tc>
      </w:tr>
      <w:tr w:rsidR="001A3202" w:rsidRPr="00747D82" w14:paraId="13BF000F" w14:textId="77777777" w:rsidTr="00E607DA">
        <w:trPr>
          <w:trHeight w:val="290"/>
        </w:trPr>
        <w:tc>
          <w:tcPr>
            <w:tcW w:w="7476" w:type="dxa"/>
            <w:tcBorders>
              <w:top w:val="nil"/>
              <w:left w:val="nil"/>
              <w:bottom w:val="nil"/>
              <w:right w:val="nil"/>
            </w:tcBorders>
            <w:shd w:val="clear" w:color="auto" w:fill="auto"/>
            <w:noWrap/>
            <w:vAlign w:val="center"/>
            <w:hideMark/>
          </w:tcPr>
          <w:p w14:paraId="4BA2FB93" w14:textId="77777777" w:rsidR="001A3202" w:rsidRPr="00747D82" w:rsidRDefault="001A3202" w:rsidP="00E607DA">
            <w:pPr>
              <w:rPr>
                <w:rFonts w:ascii="Meta Pro" w:eastAsia="Times New Roman" w:hAnsi="Meta Pro"/>
                <w:szCs w:val="18"/>
                <w:lang w:eastAsia="en-AU"/>
              </w:rPr>
            </w:pPr>
            <w:r w:rsidRPr="00747D82">
              <w:rPr>
                <w:rFonts w:ascii="Meta Pro" w:eastAsia="Times New Roman" w:hAnsi="Meta Pro"/>
                <w:szCs w:val="18"/>
                <w:lang w:eastAsia="en-AU"/>
              </w:rPr>
              <w:t>Licensed Compulsory Third Party (CTP) insurers – premiums</w:t>
            </w:r>
          </w:p>
        </w:tc>
        <w:tc>
          <w:tcPr>
            <w:tcW w:w="1216" w:type="dxa"/>
            <w:tcBorders>
              <w:top w:val="nil"/>
              <w:left w:val="nil"/>
              <w:bottom w:val="nil"/>
              <w:right w:val="nil"/>
            </w:tcBorders>
            <w:shd w:val="clear" w:color="000000" w:fill="C9E3B4"/>
            <w:noWrap/>
            <w:vAlign w:val="center"/>
            <w:hideMark/>
          </w:tcPr>
          <w:p w14:paraId="469A1171" w14:textId="77777777" w:rsidR="001A3202" w:rsidRPr="00747D82" w:rsidRDefault="001A3202" w:rsidP="00E607DA">
            <w:pPr>
              <w:jc w:val="right"/>
              <w:rPr>
                <w:rFonts w:ascii="Meta Pro" w:eastAsia="Times New Roman" w:hAnsi="Meta Pro"/>
                <w:szCs w:val="18"/>
                <w:lang w:eastAsia="en-AU"/>
              </w:rPr>
            </w:pPr>
            <w:r w:rsidRPr="00747D82">
              <w:rPr>
                <w:rFonts w:ascii="Meta Pro" w:eastAsia="Times New Roman" w:hAnsi="Meta Pro"/>
                <w:szCs w:val="18"/>
                <w:lang w:eastAsia="en-AU"/>
              </w:rPr>
              <w:t xml:space="preserve">1,061,188 </w:t>
            </w:r>
          </w:p>
        </w:tc>
        <w:tc>
          <w:tcPr>
            <w:tcW w:w="216" w:type="dxa"/>
            <w:tcBorders>
              <w:top w:val="nil"/>
              <w:left w:val="nil"/>
              <w:bottom w:val="nil"/>
              <w:right w:val="nil"/>
            </w:tcBorders>
            <w:shd w:val="clear" w:color="auto" w:fill="auto"/>
            <w:noWrap/>
            <w:vAlign w:val="center"/>
            <w:hideMark/>
          </w:tcPr>
          <w:p w14:paraId="1F9BEA21" w14:textId="77777777" w:rsidR="001A3202" w:rsidRPr="00747D82" w:rsidRDefault="001A3202"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3B71B1CE" w14:textId="77777777" w:rsidR="001A3202" w:rsidRPr="00747D82" w:rsidRDefault="001A3202" w:rsidP="00E607DA">
            <w:pPr>
              <w:jc w:val="right"/>
              <w:rPr>
                <w:rFonts w:ascii="Meta Pro" w:eastAsia="Times New Roman" w:hAnsi="Meta Pro"/>
                <w:szCs w:val="18"/>
                <w:lang w:eastAsia="en-AU"/>
              </w:rPr>
            </w:pPr>
            <w:r w:rsidRPr="00747D82">
              <w:rPr>
                <w:rFonts w:ascii="Meta Pro" w:eastAsia="Times New Roman" w:hAnsi="Meta Pro"/>
                <w:szCs w:val="18"/>
                <w:lang w:eastAsia="en-AU"/>
              </w:rPr>
              <w:t xml:space="preserve">1,078,286 </w:t>
            </w:r>
          </w:p>
        </w:tc>
      </w:tr>
      <w:tr w:rsidR="001A3202" w:rsidRPr="00747D82" w14:paraId="7FFFA82E" w14:textId="77777777" w:rsidTr="00E607DA">
        <w:trPr>
          <w:trHeight w:val="250"/>
        </w:trPr>
        <w:tc>
          <w:tcPr>
            <w:tcW w:w="7476" w:type="dxa"/>
            <w:tcBorders>
              <w:top w:val="nil"/>
              <w:left w:val="nil"/>
              <w:bottom w:val="nil"/>
              <w:right w:val="nil"/>
            </w:tcBorders>
            <w:shd w:val="clear" w:color="auto" w:fill="auto"/>
            <w:noWrap/>
            <w:vAlign w:val="center"/>
            <w:hideMark/>
          </w:tcPr>
          <w:p w14:paraId="2171F939" w14:textId="77777777" w:rsidR="001A3202" w:rsidRPr="00747D82" w:rsidRDefault="001A3202" w:rsidP="00E607DA">
            <w:pPr>
              <w:rPr>
                <w:rFonts w:ascii="Meta Pro" w:eastAsia="Times New Roman" w:hAnsi="Meta Pro"/>
                <w:szCs w:val="18"/>
                <w:lang w:eastAsia="en-AU"/>
              </w:rPr>
            </w:pPr>
            <w:r w:rsidRPr="00747D82">
              <w:rPr>
                <w:rFonts w:ascii="Meta Pro" w:eastAsia="Times New Roman" w:hAnsi="Meta Pro"/>
                <w:szCs w:val="18"/>
                <w:lang w:eastAsia="en-AU"/>
              </w:rPr>
              <w:lastRenderedPageBreak/>
              <w:t>Motor Accident Insurance Commission – levy</w:t>
            </w:r>
          </w:p>
        </w:tc>
        <w:tc>
          <w:tcPr>
            <w:tcW w:w="1216" w:type="dxa"/>
            <w:tcBorders>
              <w:top w:val="nil"/>
              <w:left w:val="nil"/>
              <w:bottom w:val="nil"/>
              <w:right w:val="nil"/>
            </w:tcBorders>
            <w:shd w:val="clear" w:color="000000" w:fill="C9E3B4"/>
            <w:noWrap/>
            <w:vAlign w:val="center"/>
            <w:hideMark/>
          </w:tcPr>
          <w:p w14:paraId="2C72B4E8" w14:textId="77777777" w:rsidR="001A3202" w:rsidRPr="00747D82" w:rsidRDefault="001A3202" w:rsidP="00E607DA">
            <w:pPr>
              <w:jc w:val="right"/>
              <w:rPr>
                <w:rFonts w:ascii="Meta Pro" w:eastAsia="Times New Roman" w:hAnsi="Meta Pro"/>
                <w:szCs w:val="18"/>
                <w:lang w:eastAsia="en-AU"/>
              </w:rPr>
            </w:pPr>
            <w:r w:rsidRPr="00747D82">
              <w:rPr>
                <w:rFonts w:ascii="Meta Pro" w:eastAsia="Times New Roman" w:hAnsi="Meta Pro"/>
                <w:szCs w:val="18"/>
                <w:lang w:eastAsia="en-AU"/>
              </w:rPr>
              <w:t xml:space="preserve">130,547 </w:t>
            </w:r>
          </w:p>
        </w:tc>
        <w:tc>
          <w:tcPr>
            <w:tcW w:w="216" w:type="dxa"/>
            <w:tcBorders>
              <w:top w:val="nil"/>
              <w:left w:val="nil"/>
              <w:bottom w:val="nil"/>
              <w:right w:val="nil"/>
            </w:tcBorders>
            <w:shd w:val="clear" w:color="auto" w:fill="auto"/>
            <w:noWrap/>
            <w:vAlign w:val="center"/>
            <w:hideMark/>
          </w:tcPr>
          <w:p w14:paraId="479300C5" w14:textId="77777777" w:rsidR="001A3202" w:rsidRPr="00747D82" w:rsidRDefault="001A3202"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6D917342" w14:textId="77777777" w:rsidR="001A3202" w:rsidRPr="00747D82" w:rsidRDefault="001A3202" w:rsidP="00E607DA">
            <w:pPr>
              <w:jc w:val="right"/>
              <w:rPr>
                <w:rFonts w:ascii="Meta Pro" w:eastAsia="Times New Roman" w:hAnsi="Meta Pro"/>
                <w:szCs w:val="18"/>
                <w:lang w:eastAsia="en-AU"/>
              </w:rPr>
            </w:pPr>
            <w:r w:rsidRPr="00747D82">
              <w:rPr>
                <w:rFonts w:ascii="Meta Pro" w:eastAsia="Times New Roman" w:hAnsi="Meta Pro"/>
                <w:szCs w:val="18"/>
                <w:lang w:eastAsia="en-AU"/>
              </w:rPr>
              <w:t xml:space="preserve">127,523 </w:t>
            </w:r>
          </w:p>
        </w:tc>
      </w:tr>
      <w:tr w:rsidR="001A3202" w:rsidRPr="00747D82" w14:paraId="5FFFA9A5" w14:textId="77777777" w:rsidTr="00E607DA">
        <w:trPr>
          <w:trHeight w:val="250"/>
        </w:trPr>
        <w:tc>
          <w:tcPr>
            <w:tcW w:w="7476" w:type="dxa"/>
            <w:tcBorders>
              <w:top w:val="nil"/>
              <w:left w:val="nil"/>
              <w:bottom w:val="nil"/>
              <w:right w:val="nil"/>
            </w:tcBorders>
            <w:shd w:val="clear" w:color="auto" w:fill="auto"/>
            <w:noWrap/>
            <w:vAlign w:val="center"/>
            <w:hideMark/>
          </w:tcPr>
          <w:p w14:paraId="0DE3DAA2" w14:textId="77777777" w:rsidR="001A3202" w:rsidRPr="00747D82" w:rsidRDefault="001A3202" w:rsidP="00E607DA">
            <w:pPr>
              <w:rPr>
                <w:rFonts w:ascii="Meta Pro" w:eastAsia="Times New Roman" w:hAnsi="Meta Pro"/>
                <w:szCs w:val="18"/>
                <w:lang w:eastAsia="en-AU"/>
              </w:rPr>
            </w:pPr>
            <w:r w:rsidRPr="00747D82">
              <w:rPr>
                <w:rFonts w:ascii="Meta Pro" w:eastAsia="Times New Roman" w:hAnsi="Meta Pro"/>
                <w:szCs w:val="18"/>
                <w:lang w:eastAsia="en-AU"/>
              </w:rPr>
              <w:t xml:space="preserve">National Injury Insurance Agency Queensland – levy </w:t>
            </w:r>
          </w:p>
        </w:tc>
        <w:tc>
          <w:tcPr>
            <w:tcW w:w="1216" w:type="dxa"/>
            <w:tcBorders>
              <w:top w:val="nil"/>
              <w:left w:val="nil"/>
              <w:bottom w:val="nil"/>
              <w:right w:val="nil"/>
            </w:tcBorders>
            <w:shd w:val="clear" w:color="000000" w:fill="C9E3B4"/>
            <w:noWrap/>
            <w:vAlign w:val="center"/>
            <w:hideMark/>
          </w:tcPr>
          <w:p w14:paraId="79473E4F" w14:textId="77777777" w:rsidR="001A3202" w:rsidRPr="00747D82" w:rsidRDefault="001A3202" w:rsidP="00E607DA">
            <w:pPr>
              <w:jc w:val="right"/>
              <w:rPr>
                <w:rFonts w:ascii="Meta Pro" w:eastAsia="Times New Roman" w:hAnsi="Meta Pro"/>
                <w:szCs w:val="18"/>
                <w:lang w:eastAsia="en-AU"/>
              </w:rPr>
            </w:pPr>
            <w:r w:rsidRPr="00747D82">
              <w:rPr>
                <w:rFonts w:ascii="Meta Pro" w:eastAsia="Times New Roman" w:hAnsi="Meta Pro"/>
                <w:szCs w:val="18"/>
                <w:lang w:eastAsia="en-AU"/>
              </w:rPr>
              <w:t xml:space="preserve">505,164 </w:t>
            </w:r>
          </w:p>
        </w:tc>
        <w:tc>
          <w:tcPr>
            <w:tcW w:w="216" w:type="dxa"/>
            <w:tcBorders>
              <w:top w:val="nil"/>
              <w:left w:val="nil"/>
              <w:bottom w:val="nil"/>
              <w:right w:val="nil"/>
            </w:tcBorders>
            <w:shd w:val="clear" w:color="auto" w:fill="auto"/>
            <w:noWrap/>
            <w:vAlign w:val="center"/>
            <w:hideMark/>
          </w:tcPr>
          <w:p w14:paraId="3D2E4526" w14:textId="77777777" w:rsidR="001A3202" w:rsidRPr="00747D82" w:rsidRDefault="001A3202"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331FA4BD" w14:textId="77777777" w:rsidR="001A3202" w:rsidRPr="00747D82" w:rsidRDefault="001A3202" w:rsidP="00E607DA">
            <w:pPr>
              <w:jc w:val="right"/>
              <w:rPr>
                <w:rFonts w:ascii="Meta Pro" w:eastAsia="Times New Roman" w:hAnsi="Meta Pro"/>
                <w:szCs w:val="18"/>
                <w:lang w:eastAsia="en-AU"/>
              </w:rPr>
            </w:pPr>
            <w:r w:rsidRPr="00747D82">
              <w:rPr>
                <w:rFonts w:ascii="Meta Pro" w:eastAsia="Times New Roman" w:hAnsi="Meta Pro"/>
                <w:szCs w:val="18"/>
                <w:lang w:eastAsia="en-AU"/>
              </w:rPr>
              <w:t xml:space="preserve">433,886 </w:t>
            </w:r>
          </w:p>
        </w:tc>
      </w:tr>
      <w:tr w:rsidR="001A3202" w:rsidRPr="00747D82" w14:paraId="23A9750B" w14:textId="77777777" w:rsidTr="00E607DA">
        <w:trPr>
          <w:trHeight w:val="250"/>
        </w:trPr>
        <w:tc>
          <w:tcPr>
            <w:tcW w:w="7476" w:type="dxa"/>
            <w:tcBorders>
              <w:top w:val="nil"/>
              <w:left w:val="nil"/>
              <w:bottom w:val="nil"/>
              <w:right w:val="nil"/>
            </w:tcBorders>
            <w:shd w:val="clear" w:color="auto" w:fill="auto"/>
            <w:noWrap/>
            <w:vAlign w:val="center"/>
            <w:hideMark/>
          </w:tcPr>
          <w:p w14:paraId="6E1C079D" w14:textId="77777777" w:rsidR="001A3202" w:rsidRPr="00747D82" w:rsidRDefault="001A3202" w:rsidP="00E607DA">
            <w:pPr>
              <w:rPr>
                <w:rFonts w:ascii="Meta Pro" w:eastAsia="Times New Roman" w:hAnsi="Meta Pro"/>
                <w:szCs w:val="18"/>
                <w:lang w:eastAsia="en-AU"/>
              </w:rPr>
            </w:pPr>
            <w:r w:rsidRPr="00747D82">
              <w:rPr>
                <w:rFonts w:ascii="Meta Pro" w:eastAsia="Times New Roman" w:hAnsi="Meta Pro"/>
                <w:szCs w:val="18"/>
                <w:lang w:eastAsia="en-AU"/>
              </w:rPr>
              <w:t>Queensland Revenue Office – stamp duty, fines and penalties</w:t>
            </w:r>
          </w:p>
        </w:tc>
        <w:tc>
          <w:tcPr>
            <w:tcW w:w="1216" w:type="dxa"/>
            <w:tcBorders>
              <w:top w:val="nil"/>
              <w:left w:val="nil"/>
              <w:bottom w:val="nil"/>
              <w:right w:val="nil"/>
            </w:tcBorders>
            <w:shd w:val="clear" w:color="000000" w:fill="C9E3B4"/>
            <w:noWrap/>
            <w:vAlign w:val="center"/>
            <w:hideMark/>
          </w:tcPr>
          <w:p w14:paraId="445D08B9" w14:textId="77777777" w:rsidR="001A3202" w:rsidRPr="00747D82" w:rsidRDefault="001A3202" w:rsidP="00E607DA">
            <w:pPr>
              <w:jc w:val="right"/>
              <w:rPr>
                <w:rFonts w:ascii="Meta Pro" w:eastAsia="Times New Roman" w:hAnsi="Meta Pro"/>
                <w:szCs w:val="18"/>
                <w:lang w:eastAsia="en-AU"/>
              </w:rPr>
            </w:pPr>
            <w:r w:rsidRPr="00747D82">
              <w:rPr>
                <w:rFonts w:ascii="Meta Pro" w:eastAsia="Times New Roman" w:hAnsi="Meta Pro"/>
                <w:szCs w:val="18"/>
                <w:lang w:eastAsia="en-AU"/>
              </w:rPr>
              <w:t>779,</w:t>
            </w:r>
            <w:r>
              <w:rPr>
                <w:rFonts w:ascii="Meta Pro" w:eastAsia="Times New Roman" w:hAnsi="Meta Pro"/>
                <w:szCs w:val="18"/>
                <w:lang w:eastAsia="en-AU"/>
              </w:rPr>
              <w:t>9</w:t>
            </w:r>
            <w:r w:rsidRPr="00747D82">
              <w:rPr>
                <w:rFonts w:ascii="Meta Pro" w:eastAsia="Times New Roman" w:hAnsi="Meta Pro"/>
                <w:szCs w:val="18"/>
                <w:lang w:eastAsia="en-AU"/>
              </w:rPr>
              <w:t xml:space="preserve">67 </w:t>
            </w:r>
          </w:p>
        </w:tc>
        <w:tc>
          <w:tcPr>
            <w:tcW w:w="216" w:type="dxa"/>
            <w:tcBorders>
              <w:top w:val="nil"/>
              <w:left w:val="nil"/>
              <w:bottom w:val="nil"/>
              <w:right w:val="nil"/>
            </w:tcBorders>
            <w:shd w:val="clear" w:color="auto" w:fill="auto"/>
            <w:noWrap/>
            <w:vAlign w:val="center"/>
            <w:hideMark/>
          </w:tcPr>
          <w:p w14:paraId="40247042" w14:textId="77777777" w:rsidR="001A3202" w:rsidRPr="00747D82" w:rsidRDefault="001A3202"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50F35FA7" w14:textId="77777777" w:rsidR="001A3202" w:rsidRPr="00747D82" w:rsidRDefault="001A3202" w:rsidP="00E607DA">
            <w:pPr>
              <w:jc w:val="right"/>
              <w:rPr>
                <w:rFonts w:ascii="Meta Pro" w:eastAsia="Times New Roman" w:hAnsi="Meta Pro"/>
                <w:szCs w:val="18"/>
                <w:lang w:eastAsia="en-AU"/>
              </w:rPr>
            </w:pPr>
            <w:r w:rsidRPr="00747D82">
              <w:rPr>
                <w:rFonts w:ascii="Meta Pro" w:eastAsia="Times New Roman" w:hAnsi="Meta Pro"/>
                <w:szCs w:val="18"/>
                <w:lang w:eastAsia="en-AU"/>
              </w:rPr>
              <w:t xml:space="preserve">662,196 </w:t>
            </w:r>
          </w:p>
        </w:tc>
      </w:tr>
      <w:tr w:rsidR="001A3202" w:rsidRPr="00747D82" w14:paraId="181B7448" w14:textId="77777777" w:rsidTr="00E607DA">
        <w:trPr>
          <w:trHeight w:val="250"/>
        </w:trPr>
        <w:tc>
          <w:tcPr>
            <w:tcW w:w="7476" w:type="dxa"/>
            <w:tcBorders>
              <w:top w:val="nil"/>
              <w:left w:val="nil"/>
              <w:bottom w:val="nil"/>
              <w:right w:val="nil"/>
            </w:tcBorders>
            <w:shd w:val="clear" w:color="auto" w:fill="auto"/>
            <w:noWrap/>
            <w:vAlign w:val="center"/>
            <w:hideMark/>
          </w:tcPr>
          <w:p w14:paraId="36FBE5A3" w14:textId="77777777" w:rsidR="001A3202" w:rsidRPr="00747D82" w:rsidRDefault="001A3202" w:rsidP="00E607DA">
            <w:pPr>
              <w:rPr>
                <w:rFonts w:ascii="Meta Pro" w:eastAsia="Times New Roman" w:hAnsi="Meta Pro"/>
                <w:szCs w:val="18"/>
                <w:lang w:eastAsia="en-AU"/>
              </w:rPr>
            </w:pPr>
            <w:r w:rsidRPr="00747D82">
              <w:rPr>
                <w:rFonts w:ascii="Meta Pro" w:eastAsia="Times New Roman" w:hAnsi="Meta Pro"/>
                <w:szCs w:val="18"/>
                <w:lang w:eastAsia="en-AU"/>
              </w:rPr>
              <w:t>National Heavy Vehicle Regulator – registration fee</w:t>
            </w:r>
          </w:p>
        </w:tc>
        <w:tc>
          <w:tcPr>
            <w:tcW w:w="1216" w:type="dxa"/>
            <w:tcBorders>
              <w:top w:val="nil"/>
              <w:left w:val="nil"/>
              <w:bottom w:val="nil"/>
              <w:right w:val="nil"/>
            </w:tcBorders>
            <w:shd w:val="clear" w:color="000000" w:fill="C9E3B4"/>
            <w:noWrap/>
            <w:vAlign w:val="center"/>
            <w:hideMark/>
          </w:tcPr>
          <w:p w14:paraId="78A5725B" w14:textId="77777777" w:rsidR="001A3202" w:rsidRPr="00747D82" w:rsidRDefault="001A3202" w:rsidP="00E607DA">
            <w:pPr>
              <w:jc w:val="right"/>
              <w:rPr>
                <w:rFonts w:ascii="Meta Pro" w:eastAsia="Times New Roman" w:hAnsi="Meta Pro"/>
                <w:szCs w:val="18"/>
                <w:lang w:eastAsia="en-AU"/>
              </w:rPr>
            </w:pPr>
            <w:r w:rsidRPr="00747D82">
              <w:rPr>
                <w:rFonts w:ascii="Meta Pro" w:eastAsia="Times New Roman" w:hAnsi="Meta Pro"/>
                <w:szCs w:val="18"/>
                <w:lang w:eastAsia="en-AU"/>
              </w:rPr>
              <w:t xml:space="preserve">46,125 </w:t>
            </w:r>
          </w:p>
        </w:tc>
        <w:tc>
          <w:tcPr>
            <w:tcW w:w="216" w:type="dxa"/>
            <w:tcBorders>
              <w:top w:val="nil"/>
              <w:left w:val="nil"/>
              <w:bottom w:val="nil"/>
              <w:right w:val="nil"/>
            </w:tcBorders>
            <w:shd w:val="clear" w:color="auto" w:fill="auto"/>
            <w:noWrap/>
            <w:vAlign w:val="center"/>
            <w:hideMark/>
          </w:tcPr>
          <w:p w14:paraId="7E210C95" w14:textId="77777777" w:rsidR="001A3202" w:rsidRPr="00747D82" w:rsidRDefault="001A3202"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54ECB653" w14:textId="77777777" w:rsidR="001A3202" w:rsidRPr="00747D82" w:rsidRDefault="001A3202" w:rsidP="00E607DA">
            <w:pPr>
              <w:jc w:val="right"/>
              <w:rPr>
                <w:rFonts w:ascii="Meta Pro" w:eastAsia="Times New Roman" w:hAnsi="Meta Pro"/>
                <w:szCs w:val="18"/>
                <w:lang w:eastAsia="en-AU"/>
              </w:rPr>
            </w:pPr>
            <w:r w:rsidRPr="00747D82">
              <w:rPr>
                <w:rFonts w:ascii="Meta Pro" w:eastAsia="Times New Roman" w:hAnsi="Meta Pro"/>
                <w:szCs w:val="18"/>
                <w:lang w:eastAsia="en-AU"/>
              </w:rPr>
              <w:t xml:space="preserve">43,680 </w:t>
            </w:r>
          </w:p>
        </w:tc>
      </w:tr>
      <w:tr w:rsidR="001A3202" w:rsidRPr="00747D82" w14:paraId="4B8709B3" w14:textId="77777777" w:rsidTr="00E607DA">
        <w:trPr>
          <w:trHeight w:val="260"/>
        </w:trPr>
        <w:tc>
          <w:tcPr>
            <w:tcW w:w="7476" w:type="dxa"/>
            <w:tcBorders>
              <w:top w:val="single" w:sz="4" w:space="0" w:color="auto"/>
              <w:left w:val="nil"/>
              <w:bottom w:val="double" w:sz="6" w:space="0" w:color="auto"/>
              <w:right w:val="nil"/>
            </w:tcBorders>
            <w:shd w:val="clear" w:color="auto" w:fill="auto"/>
            <w:noWrap/>
            <w:vAlign w:val="center"/>
            <w:hideMark/>
          </w:tcPr>
          <w:p w14:paraId="7048B7BC" w14:textId="77777777" w:rsidR="001A3202" w:rsidRPr="00747D82" w:rsidRDefault="001A3202" w:rsidP="00E607DA">
            <w:pPr>
              <w:rPr>
                <w:rFonts w:ascii="Meta Pro" w:eastAsia="Times New Roman" w:hAnsi="Meta Pro"/>
                <w:b/>
                <w:bCs/>
                <w:szCs w:val="18"/>
                <w:lang w:eastAsia="en-AU"/>
              </w:rPr>
            </w:pPr>
            <w:r w:rsidRPr="00747D82">
              <w:rPr>
                <w:rFonts w:ascii="Meta Pro" w:eastAsia="Times New Roman" w:hAnsi="Meta Pro"/>
                <w:b/>
                <w:bCs/>
                <w:szCs w:val="18"/>
                <w:lang w:eastAsia="en-AU"/>
              </w:rPr>
              <w:t>Total</w:t>
            </w:r>
          </w:p>
        </w:tc>
        <w:tc>
          <w:tcPr>
            <w:tcW w:w="1216" w:type="dxa"/>
            <w:tcBorders>
              <w:top w:val="single" w:sz="4" w:space="0" w:color="auto"/>
              <w:left w:val="nil"/>
              <w:bottom w:val="double" w:sz="6" w:space="0" w:color="auto"/>
              <w:right w:val="nil"/>
            </w:tcBorders>
            <w:shd w:val="clear" w:color="000000" w:fill="C9E3B4"/>
            <w:noWrap/>
            <w:vAlign w:val="center"/>
            <w:hideMark/>
          </w:tcPr>
          <w:p w14:paraId="30BD8F60" w14:textId="77777777" w:rsidR="001A3202" w:rsidRPr="00747D82" w:rsidRDefault="001A3202" w:rsidP="00E607DA">
            <w:pPr>
              <w:jc w:val="right"/>
              <w:rPr>
                <w:rFonts w:ascii="Meta Pro" w:eastAsia="Times New Roman" w:hAnsi="Meta Pro"/>
                <w:b/>
                <w:bCs/>
                <w:szCs w:val="18"/>
                <w:lang w:eastAsia="en-AU"/>
              </w:rPr>
            </w:pPr>
            <w:r w:rsidRPr="00747D82">
              <w:rPr>
                <w:rFonts w:ascii="Meta Pro" w:eastAsia="Times New Roman" w:hAnsi="Meta Pro"/>
                <w:b/>
                <w:bCs/>
                <w:szCs w:val="18"/>
                <w:lang w:eastAsia="en-AU"/>
              </w:rPr>
              <w:t>2,522,</w:t>
            </w:r>
            <w:r>
              <w:rPr>
                <w:rFonts w:ascii="Meta Pro" w:eastAsia="Times New Roman" w:hAnsi="Meta Pro"/>
                <w:b/>
                <w:bCs/>
                <w:szCs w:val="18"/>
                <w:lang w:eastAsia="en-AU"/>
              </w:rPr>
              <w:t>9</w:t>
            </w:r>
            <w:r w:rsidRPr="00747D82">
              <w:rPr>
                <w:rFonts w:ascii="Meta Pro" w:eastAsia="Times New Roman" w:hAnsi="Meta Pro"/>
                <w:b/>
                <w:bCs/>
                <w:szCs w:val="18"/>
                <w:lang w:eastAsia="en-AU"/>
              </w:rPr>
              <w:t xml:space="preserve">91 </w:t>
            </w:r>
          </w:p>
        </w:tc>
        <w:tc>
          <w:tcPr>
            <w:tcW w:w="216" w:type="dxa"/>
            <w:tcBorders>
              <w:top w:val="single" w:sz="4" w:space="0" w:color="auto"/>
              <w:left w:val="nil"/>
              <w:bottom w:val="double" w:sz="6" w:space="0" w:color="auto"/>
              <w:right w:val="nil"/>
            </w:tcBorders>
            <w:shd w:val="clear" w:color="auto" w:fill="auto"/>
            <w:noWrap/>
            <w:vAlign w:val="center"/>
            <w:hideMark/>
          </w:tcPr>
          <w:p w14:paraId="733214E3" w14:textId="77777777" w:rsidR="001A3202" w:rsidRPr="00747D82" w:rsidRDefault="001A3202" w:rsidP="00E607DA">
            <w:pPr>
              <w:rPr>
                <w:rFonts w:ascii="Meta Pro" w:eastAsia="Times New Roman" w:hAnsi="Meta Pro"/>
                <w:b/>
                <w:bCs/>
                <w:szCs w:val="18"/>
                <w:lang w:eastAsia="en-AU"/>
              </w:rPr>
            </w:pPr>
            <w:r w:rsidRPr="00747D82">
              <w:rPr>
                <w:rFonts w:ascii="Meta Pro" w:eastAsia="Times New Roman" w:hAnsi="Meta Pro"/>
                <w:b/>
                <w:bCs/>
                <w:szCs w:val="18"/>
                <w:lang w:eastAsia="en-AU"/>
              </w:rPr>
              <w:t> </w:t>
            </w:r>
          </w:p>
        </w:tc>
        <w:tc>
          <w:tcPr>
            <w:tcW w:w="1216" w:type="dxa"/>
            <w:tcBorders>
              <w:top w:val="single" w:sz="4" w:space="0" w:color="auto"/>
              <w:left w:val="nil"/>
              <w:bottom w:val="double" w:sz="6" w:space="0" w:color="auto"/>
              <w:right w:val="nil"/>
            </w:tcBorders>
            <w:shd w:val="clear" w:color="auto" w:fill="auto"/>
            <w:noWrap/>
            <w:vAlign w:val="center"/>
            <w:hideMark/>
          </w:tcPr>
          <w:p w14:paraId="63583F73" w14:textId="77777777" w:rsidR="001A3202" w:rsidRPr="00747D82" w:rsidRDefault="001A3202" w:rsidP="00E607DA">
            <w:pPr>
              <w:jc w:val="right"/>
              <w:rPr>
                <w:rFonts w:ascii="Meta Pro" w:eastAsia="Times New Roman" w:hAnsi="Meta Pro"/>
                <w:b/>
                <w:bCs/>
                <w:szCs w:val="18"/>
                <w:lang w:eastAsia="en-AU"/>
              </w:rPr>
            </w:pPr>
            <w:r w:rsidRPr="00747D82">
              <w:rPr>
                <w:rFonts w:ascii="Meta Pro" w:eastAsia="Times New Roman" w:hAnsi="Meta Pro"/>
                <w:b/>
                <w:bCs/>
                <w:szCs w:val="18"/>
                <w:lang w:eastAsia="en-AU"/>
              </w:rPr>
              <w:t xml:space="preserve">2,345,571 </w:t>
            </w:r>
          </w:p>
        </w:tc>
      </w:tr>
    </w:tbl>
    <w:p w14:paraId="12F2B601" w14:textId="77777777" w:rsidR="001A3202" w:rsidRPr="00092B22" w:rsidRDefault="001A3202" w:rsidP="001A3202">
      <w:pPr>
        <w:spacing w:after="120"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Administered revenue is recognised upon receipt. </w:t>
      </w:r>
    </w:p>
    <w:p w14:paraId="043CF4EC" w14:textId="77777777" w:rsidR="001A3202" w:rsidRPr="00092B22" w:rsidRDefault="001A3202" w:rsidP="001A3202">
      <w:pPr>
        <w:spacing w:after="120" w:line="259" w:lineRule="auto"/>
        <w:rPr>
          <w:rFonts w:ascii="Meta Pro" w:eastAsia="Times New Roman" w:hAnsi="Meta Pro"/>
          <w:color w:val="000000"/>
          <w:szCs w:val="18"/>
          <w:lang w:eastAsia="en-AU"/>
        </w:rPr>
        <w:sectPr w:rsidR="001A3202" w:rsidRPr="00092B22" w:rsidSect="00457B14">
          <w:footerReference w:type="default" r:id="rId142"/>
          <w:type w:val="continuous"/>
          <w:pgSz w:w="11906" w:h="16838"/>
          <w:pgMar w:top="232" w:right="1134" w:bottom="1134" w:left="1134" w:header="454" w:footer="454" w:gutter="0"/>
          <w:pgNumType w:start="30"/>
          <w:cols w:space="708"/>
          <w:docGrid w:linePitch="360"/>
        </w:sectPr>
      </w:pPr>
      <w:r w:rsidRPr="00092B22">
        <w:rPr>
          <w:rFonts w:ascii="Meta Pro" w:eastAsia="Times New Roman" w:hAnsi="Meta Pro"/>
          <w:color w:val="000000"/>
          <w:szCs w:val="18"/>
          <w:lang w:eastAsia="en-AU"/>
        </w:rPr>
        <w:t>Following the Fines and penalty debt administration machinery-of-government change, from 1 February 2022 Penalty Infringement Notices and Traffic Offence Notices collected by the department are then transferred to the Queensland Revenue Office within Queensland Treasury, with the exception of the recently enacted mobile phone use and seat belt use</w:t>
      </w:r>
      <w:r>
        <w:rPr>
          <w:rFonts w:ascii="Meta Pro" w:eastAsia="Times New Roman" w:hAnsi="Meta Pro"/>
          <w:color w:val="000000"/>
          <w:szCs w:val="18"/>
          <w:lang w:eastAsia="en-AU"/>
        </w:rPr>
        <w:t>-</w:t>
      </w:r>
      <w:r w:rsidRPr="00092B22">
        <w:rPr>
          <w:rFonts w:ascii="Meta Pro" w:eastAsia="Times New Roman" w:hAnsi="Meta Pro"/>
          <w:color w:val="000000"/>
          <w:szCs w:val="18"/>
          <w:lang w:eastAsia="en-AU"/>
        </w:rPr>
        <w:t>based fines.</w:t>
      </w:r>
      <w:r>
        <w:rPr>
          <w:rFonts w:ascii="Meta Pro" w:eastAsia="Times New Roman" w:hAnsi="Meta Pro"/>
          <w:color w:val="000000"/>
          <w:szCs w:val="18"/>
          <w:lang w:eastAsia="en-AU"/>
        </w:rPr>
        <w:t xml:space="preserve"> Refer to Note 30.</w:t>
      </w:r>
    </w:p>
    <w:p w14:paraId="6D9E0465" w14:textId="1EC41441" w:rsidR="00B07A53" w:rsidRPr="0026469D" w:rsidRDefault="001A3202" w:rsidP="0026469D">
      <w:pPr>
        <w:spacing w:before="120"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lastRenderedPageBreak/>
        <w:t>The following balances are administered by the department on behalf of the state and relate directly to the Transport Safety and Regulation departmental service area, with the exception of land assets which relate to the Transport Infrastructure Management and Delivery departmental service area.</w:t>
      </w:r>
    </w:p>
    <w:tbl>
      <w:tblPr>
        <w:tblW w:w="0" w:type="auto"/>
        <w:tblCellMar>
          <w:left w:w="0" w:type="dxa"/>
        </w:tblCellMar>
        <w:tblLook w:val="04A0" w:firstRow="1" w:lastRow="0" w:firstColumn="1" w:lastColumn="0" w:noHBand="0" w:noVBand="1"/>
      </w:tblPr>
      <w:tblGrid>
        <w:gridCol w:w="6661"/>
        <w:gridCol w:w="1099"/>
        <w:gridCol w:w="211"/>
        <w:gridCol w:w="1099"/>
      </w:tblGrid>
      <w:tr w:rsidR="001A3202" w:rsidRPr="008B2F93" w14:paraId="71D4D33E" w14:textId="77777777" w:rsidTr="00E607DA">
        <w:trPr>
          <w:trHeight w:val="240"/>
        </w:trPr>
        <w:tc>
          <w:tcPr>
            <w:tcW w:w="7476" w:type="dxa"/>
            <w:tcBorders>
              <w:top w:val="nil"/>
              <w:left w:val="nil"/>
              <w:bottom w:val="nil"/>
              <w:right w:val="nil"/>
            </w:tcBorders>
            <w:shd w:val="clear" w:color="auto" w:fill="auto"/>
            <w:noWrap/>
            <w:vAlign w:val="center"/>
            <w:hideMark/>
          </w:tcPr>
          <w:p w14:paraId="6692D2E4" w14:textId="77777777" w:rsidR="001A3202" w:rsidRPr="008B2F93" w:rsidRDefault="001A3202" w:rsidP="00E607DA">
            <w:pPr>
              <w:rPr>
                <w:rFonts w:ascii="Meta Pro" w:eastAsia="Times New Roman" w:hAnsi="Meta Pro"/>
                <w:b/>
                <w:bCs/>
                <w:szCs w:val="18"/>
                <w:lang w:eastAsia="en-AU"/>
              </w:rPr>
            </w:pPr>
            <w:r w:rsidRPr="008B2F93">
              <w:rPr>
                <w:rFonts w:ascii="Meta Pro" w:eastAsia="Times New Roman" w:hAnsi="Meta Pro"/>
                <w:b/>
                <w:bCs/>
                <w:szCs w:val="18"/>
                <w:lang w:eastAsia="en-AU"/>
              </w:rPr>
              <w:t>Administered income</w:t>
            </w:r>
          </w:p>
        </w:tc>
        <w:tc>
          <w:tcPr>
            <w:tcW w:w="1216" w:type="dxa"/>
            <w:tcBorders>
              <w:top w:val="nil"/>
              <w:left w:val="nil"/>
              <w:bottom w:val="nil"/>
              <w:right w:val="nil"/>
            </w:tcBorders>
            <w:shd w:val="clear" w:color="auto" w:fill="auto"/>
            <w:noWrap/>
            <w:vAlign w:val="center"/>
            <w:hideMark/>
          </w:tcPr>
          <w:p w14:paraId="29B156E9" w14:textId="77777777" w:rsidR="001A3202" w:rsidRPr="008B2F93" w:rsidRDefault="001A3202" w:rsidP="00E607DA">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135FF992" w14:textId="77777777" w:rsidR="001A3202" w:rsidRPr="008B2F93" w:rsidRDefault="001A3202" w:rsidP="00E607DA">
            <w:pPr>
              <w:rPr>
                <w:rFonts w:eastAsia="Times New Roman"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63F6101B" w14:textId="77777777" w:rsidR="001A3202" w:rsidRPr="008B2F93" w:rsidRDefault="001A3202" w:rsidP="00E607DA">
            <w:pPr>
              <w:rPr>
                <w:rFonts w:eastAsia="Times New Roman" w:cs="Times New Roman"/>
                <w:sz w:val="20"/>
                <w:szCs w:val="20"/>
                <w:lang w:eastAsia="en-AU"/>
              </w:rPr>
            </w:pPr>
          </w:p>
        </w:tc>
      </w:tr>
      <w:tr w:rsidR="001A3202" w:rsidRPr="008B2F93" w14:paraId="4A9793EE" w14:textId="77777777" w:rsidTr="00E607DA">
        <w:trPr>
          <w:trHeight w:val="240"/>
        </w:trPr>
        <w:tc>
          <w:tcPr>
            <w:tcW w:w="7476" w:type="dxa"/>
            <w:tcBorders>
              <w:top w:val="nil"/>
              <w:left w:val="nil"/>
              <w:bottom w:val="nil"/>
              <w:right w:val="nil"/>
            </w:tcBorders>
            <w:shd w:val="clear" w:color="auto" w:fill="auto"/>
            <w:noWrap/>
            <w:vAlign w:val="center"/>
            <w:hideMark/>
          </w:tcPr>
          <w:p w14:paraId="0CB8DFE5" w14:textId="77777777" w:rsidR="001A3202" w:rsidRPr="008B2F93" w:rsidRDefault="001A3202" w:rsidP="00E607DA">
            <w:pPr>
              <w:rPr>
                <w:rFonts w:ascii="Meta Pro" w:eastAsia="Times New Roman" w:hAnsi="Meta Pro"/>
                <w:szCs w:val="18"/>
                <w:lang w:eastAsia="en-AU"/>
              </w:rPr>
            </w:pPr>
            <w:r w:rsidRPr="008B2F93">
              <w:rPr>
                <w:rFonts w:ascii="Meta Pro" w:eastAsia="Times New Roman" w:hAnsi="Meta Pro"/>
                <w:szCs w:val="18"/>
                <w:lang w:eastAsia="en-AU"/>
              </w:rPr>
              <w:t>Appropriation revenue</w:t>
            </w:r>
          </w:p>
        </w:tc>
        <w:tc>
          <w:tcPr>
            <w:tcW w:w="1216" w:type="dxa"/>
            <w:tcBorders>
              <w:top w:val="nil"/>
              <w:left w:val="nil"/>
              <w:bottom w:val="nil"/>
              <w:right w:val="nil"/>
            </w:tcBorders>
            <w:shd w:val="clear" w:color="000000" w:fill="C9E3B4"/>
            <w:noWrap/>
            <w:vAlign w:val="center"/>
            <w:hideMark/>
          </w:tcPr>
          <w:p w14:paraId="2B721D19" w14:textId="77777777" w:rsidR="001A3202" w:rsidRPr="008B2F93" w:rsidRDefault="001A3202" w:rsidP="00E607DA">
            <w:pPr>
              <w:jc w:val="right"/>
              <w:rPr>
                <w:rFonts w:ascii="Meta Pro" w:eastAsia="Times New Roman" w:hAnsi="Meta Pro"/>
                <w:szCs w:val="18"/>
                <w:lang w:eastAsia="en-AU"/>
              </w:rPr>
            </w:pPr>
            <w:r w:rsidRPr="008B2F93">
              <w:rPr>
                <w:rFonts w:ascii="Meta Pro" w:eastAsia="Times New Roman" w:hAnsi="Meta Pro"/>
                <w:szCs w:val="18"/>
                <w:lang w:eastAsia="en-AU"/>
              </w:rPr>
              <w:t xml:space="preserve">77,841 </w:t>
            </w:r>
          </w:p>
        </w:tc>
        <w:tc>
          <w:tcPr>
            <w:tcW w:w="216" w:type="dxa"/>
            <w:tcBorders>
              <w:top w:val="nil"/>
              <w:left w:val="nil"/>
              <w:bottom w:val="nil"/>
              <w:right w:val="nil"/>
            </w:tcBorders>
            <w:shd w:val="clear" w:color="auto" w:fill="auto"/>
            <w:noWrap/>
            <w:vAlign w:val="center"/>
            <w:hideMark/>
          </w:tcPr>
          <w:p w14:paraId="53D317CE" w14:textId="77777777" w:rsidR="001A3202" w:rsidRPr="008B2F93" w:rsidRDefault="001A3202"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64451DDD" w14:textId="77777777" w:rsidR="001A3202" w:rsidRPr="008B2F93" w:rsidRDefault="001A3202" w:rsidP="00E607DA">
            <w:pPr>
              <w:jc w:val="right"/>
              <w:rPr>
                <w:rFonts w:ascii="Meta Pro" w:eastAsia="Times New Roman" w:hAnsi="Meta Pro"/>
                <w:szCs w:val="18"/>
                <w:lang w:eastAsia="en-AU"/>
              </w:rPr>
            </w:pPr>
            <w:r w:rsidRPr="008B2F93">
              <w:rPr>
                <w:rFonts w:ascii="Meta Pro" w:eastAsia="Times New Roman" w:hAnsi="Meta Pro"/>
                <w:szCs w:val="18"/>
                <w:lang w:eastAsia="en-AU"/>
              </w:rPr>
              <w:t xml:space="preserve">66,244 </w:t>
            </w:r>
          </w:p>
        </w:tc>
      </w:tr>
      <w:tr w:rsidR="001A3202" w:rsidRPr="008B2F93" w14:paraId="0E759926" w14:textId="77777777" w:rsidTr="00E607DA">
        <w:trPr>
          <w:trHeight w:val="240"/>
        </w:trPr>
        <w:tc>
          <w:tcPr>
            <w:tcW w:w="7476" w:type="dxa"/>
            <w:tcBorders>
              <w:top w:val="nil"/>
              <w:left w:val="nil"/>
              <w:bottom w:val="nil"/>
              <w:right w:val="nil"/>
            </w:tcBorders>
            <w:shd w:val="clear" w:color="auto" w:fill="auto"/>
            <w:noWrap/>
            <w:vAlign w:val="center"/>
            <w:hideMark/>
          </w:tcPr>
          <w:p w14:paraId="3412F9D6" w14:textId="77777777" w:rsidR="001A3202" w:rsidRPr="008B2F93" w:rsidRDefault="001A3202" w:rsidP="00E607DA">
            <w:pPr>
              <w:rPr>
                <w:rFonts w:ascii="Meta Pro" w:eastAsia="Times New Roman" w:hAnsi="Meta Pro"/>
                <w:szCs w:val="18"/>
                <w:lang w:eastAsia="en-AU"/>
              </w:rPr>
            </w:pPr>
            <w:r w:rsidRPr="008B2F93">
              <w:rPr>
                <w:rFonts w:ascii="Meta Pro" w:eastAsia="Times New Roman" w:hAnsi="Meta Pro"/>
                <w:szCs w:val="18"/>
                <w:lang w:eastAsia="en-AU"/>
              </w:rPr>
              <w:t>Grants and other contributions</w:t>
            </w:r>
          </w:p>
        </w:tc>
        <w:tc>
          <w:tcPr>
            <w:tcW w:w="1216" w:type="dxa"/>
            <w:tcBorders>
              <w:top w:val="nil"/>
              <w:left w:val="nil"/>
              <w:bottom w:val="nil"/>
              <w:right w:val="nil"/>
            </w:tcBorders>
            <w:shd w:val="clear" w:color="000000" w:fill="C9E3B4"/>
            <w:noWrap/>
            <w:vAlign w:val="center"/>
            <w:hideMark/>
          </w:tcPr>
          <w:p w14:paraId="5707618E" w14:textId="77777777" w:rsidR="001A3202" w:rsidRPr="008B2F93" w:rsidRDefault="001A3202" w:rsidP="00E607DA">
            <w:pPr>
              <w:jc w:val="right"/>
              <w:rPr>
                <w:rFonts w:ascii="Meta Pro" w:eastAsia="Times New Roman" w:hAnsi="Meta Pro"/>
                <w:szCs w:val="18"/>
                <w:lang w:eastAsia="en-AU"/>
              </w:rPr>
            </w:pPr>
            <w:r w:rsidRPr="008B2F93">
              <w:rPr>
                <w:rFonts w:ascii="Meta Pro" w:eastAsia="Times New Roman" w:hAnsi="Meta Pro"/>
                <w:szCs w:val="18"/>
                <w:lang w:eastAsia="en-AU"/>
              </w:rPr>
              <w:t xml:space="preserve">11,397 </w:t>
            </w:r>
          </w:p>
        </w:tc>
        <w:tc>
          <w:tcPr>
            <w:tcW w:w="216" w:type="dxa"/>
            <w:tcBorders>
              <w:top w:val="nil"/>
              <w:left w:val="nil"/>
              <w:bottom w:val="nil"/>
              <w:right w:val="nil"/>
            </w:tcBorders>
            <w:shd w:val="clear" w:color="auto" w:fill="auto"/>
            <w:noWrap/>
            <w:vAlign w:val="center"/>
            <w:hideMark/>
          </w:tcPr>
          <w:p w14:paraId="5136641E" w14:textId="77777777" w:rsidR="001A3202" w:rsidRPr="008B2F93" w:rsidRDefault="001A3202"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2EABC371" w14:textId="77777777" w:rsidR="001A3202" w:rsidRPr="008B2F93" w:rsidRDefault="001A3202" w:rsidP="00E607DA">
            <w:pPr>
              <w:jc w:val="right"/>
              <w:rPr>
                <w:rFonts w:ascii="Meta Pro" w:eastAsia="Times New Roman" w:hAnsi="Meta Pro"/>
                <w:szCs w:val="18"/>
                <w:lang w:eastAsia="en-AU"/>
              </w:rPr>
            </w:pPr>
            <w:r w:rsidRPr="008B2F93">
              <w:rPr>
                <w:rFonts w:ascii="Meta Pro" w:eastAsia="Times New Roman" w:hAnsi="Meta Pro"/>
                <w:szCs w:val="18"/>
                <w:lang w:eastAsia="en-AU"/>
              </w:rPr>
              <w:t xml:space="preserve">2,935 </w:t>
            </w:r>
          </w:p>
        </w:tc>
      </w:tr>
      <w:tr w:rsidR="001A3202" w:rsidRPr="008B2F93" w14:paraId="3EB0F0F8" w14:textId="77777777" w:rsidTr="00E607DA">
        <w:trPr>
          <w:trHeight w:val="240"/>
        </w:trPr>
        <w:tc>
          <w:tcPr>
            <w:tcW w:w="7476" w:type="dxa"/>
            <w:tcBorders>
              <w:top w:val="nil"/>
              <w:left w:val="nil"/>
              <w:bottom w:val="nil"/>
              <w:right w:val="nil"/>
            </w:tcBorders>
            <w:shd w:val="clear" w:color="auto" w:fill="auto"/>
            <w:noWrap/>
            <w:vAlign w:val="center"/>
            <w:hideMark/>
          </w:tcPr>
          <w:p w14:paraId="50810B23" w14:textId="77777777" w:rsidR="001A3202" w:rsidRPr="008B2F93" w:rsidRDefault="001A3202" w:rsidP="00E607DA">
            <w:pPr>
              <w:rPr>
                <w:rFonts w:ascii="Meta Pro" w:eastAsia="Times New Roman" w:hAnsi="Meta Pro"/>
                <w:szCs w:val="18"/>
                <w:lang w:eastAsia="en-AU"/>
              </w:rPr>
            </w:pPr>
            <w:r w:rsidRPr="008B2F93">
              <w:rPr>
                <w:rFonts w:ascii="Meta Pro" w:eastAsia="Times New Roman" w:hAnsi="Meta Pro"/>
                <w:szCs w:val="18"/>
                <w:lang w:eastAsia="en-AU"/>
              </w:rPr>
              <w:t>User charges, fees and fines *</w:t>
            </w:r>
          </w:p>
        </w:tc>
        <w:tc>
          <w:tcPr>
            <w:tcW w:w="1216" w:type="dxa"/>
            <w:tcBorders>
              <w:top w:val="nil"/>
              <w:left w:val="nil"/>
              <w:bottom w:val="nil"/>
              <w:right w:val="nil"/>
            </w:tcBorders>
            <w:shd w:val="clear" w:color="000000" w:fill="C9E3B4"/>
            <w:noWrap/>
            <w:vAlign w:val="center"/>
            <w:hideMark/>
          </w:tcPr>
          <w:p w14:paraId="019530BC" w14:textId="77777777" w:rsidR="001A3202" w:rsidRPr="008B2F93" w:rsidRDefault="001A3202" w:rsidP="00E607DA">
            <w:pPr>
              <w:jc w:val="right"/>
              <w:rPr>
                <w:rFonts w:ascii="Meta Pro" w:eastAsia="Times New Roman" w:hAnsi="Meta Pro"/>
                <w:szCs w:val="18"/>
                <w:lang w:eastAsia="en-AU"/>
              </w:rPr>
            </w:pPr>
            <w:r w:rsidRPr="008B2F93">
              <w:rPr>
                <w:rFonts w:ascii="Meta Pro" w:eastAsia="Times New Roman" w:hAnsi="Meta Pro"/>
                <w:szCs w:val="18"/>
                <w:lang w:eastAsia="en-AU"/>
              </w:rPr>
              <w:t xml:space="preserve">2,909,272 </w:t>
            </w:r>
          </w:p>
        </w:tc>
        <w:tc>
          <w:tcPr>
            <w:tcW w:w="216" w:type="dxa"/>
            <w:tcBorders>
              <w:top w:val="nil"/>
              <w:left w:val="nil"/>
              <w:bottom w:val="nil"/>
              <w:right w:val="nil"/>
            </w:tcBorders>
            <w:shd w:val="clear" w:color="auto" w:fill="auto"/>
            <w:noWrap/>
            <w:vAlign w:val="center"/>
            <w:hideMark/>
          </w:tcPr>
          <w:p w14:paraId="537B48CE" w14:textId="77777777" w:rsidR="001A3202" w:rsidRPr="008B2F93" w:rsidRDefault="001A3202"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3BA4DCA1" w14:textId="77777777" w:rsidR="001A3202" w:rsidRPr="008B2F93" w:rsidRDefault="001A3202" w:rsidP="00E607DA">
            <w:pPr>
              <w:jc w:val="right"/>
              <w:rPr>
                <w:rFonts w:ascii="Meta Pro" w:eastAsia="Times New Roman" w:hAnsi="Meta Pro"/>
                <w:szCs w:val="18"/>
                <w:lang w:eastAsia="en-AU"/>
              </w:rPr>
            </w:pPr>
            <w:r w:rsidRPr="008B2F93">
              <w:rPr>
                <w:rFonts w:ascii="Meta Pro" w:eastAsia="Times New Roman" w:hAnsi="Meta Pro"/>
                <w:szCs w:val="18"/>
                <w:lang w:eastAsia="en-AU"/>
              </w:rPr>
              <w:t xml:space="preserve">2,858,172 </w:t>
            </w:r>
          </w:p>
        </w:tc>
      </w:tr>
      <w:tr w:rsidR="001A3202" w:rsidRPr="008B2F93" w14:paraId="5A17FD7C" w14:textId="77777777" w:rsidTr="00E607DA">
        <w:trPr>
          <w:trHeight w:val="240"/>
        </w:trPr>
        <w:tc>
          <w:tcPr>
            <w:tcW w:w="7476" w:type="dxa"/>
            <w:tcBorders>
              <w:top w:val="nil"/>
              <w:left w:val="nil"/>
              <w:bottom w:val="nil"/>
              <w:right w:val="nil"/>
            </w:tcBorders>
            <w:shd w:val="clear" w:color="auto" w:fill="auto"/>
            <w:noWrap/>
            <w:vAlign w:val="center"/>
            <w:hideMark/>
          </w:tcPr>
          <w:p w14:paraId="251923D3" w14:textId="77777777" w:rsidR="001A3202" w:rsidRPr="008B2F93" w:rsidRDefault="001A3202" w:rsidP="00E607DA">
            <w:pPr>
              <w:rPr>
                <w:rFonts w:ascii="Meta Pro" w:eastAsia="Times New Roman" w:hAnsi="Meta Pro"/>
                <w:szCs w:val="18"/>
                <w:lang w:eastAsia="en-AU"/>
              </w:rPr>
            </w:pPr>
            <w:r w:rsidRPr="008B2F93">
              <w:rPr>
                <w:rFonts w:ascii="Meta Pro" w:eastAsia="Times New Roman" w:hAnsi="Meta Pro"/>
                <w:szCs w:val="18"/>
                <w:lang w:eastAsia="en-AU"/>
              </w:rPr>
              <w:t>Other</w:t>
            </w:r>
          </w:p>
        </w:tc>
        <w:tc>
          <w:tcPr>
            <w:tcW w:w="1216" w:type="dxa"/>
            <w:tcBorders>
              <w:top w:val="nil"/>
              <w:left w:val="nil"/>
              <w:bottom w:val="nil"/>
              <w:right w:val="nil"/>
            </w:tcBorders>
            <w:shd w:val="clear" w:color="000000" w:fill="C9E3B4"/>
            <w:noWrap/>
            <w:vAlign w:val="center"/>
            <w:hideMark/>
          </w:tcPr>
          <w:p w14:paraId="5080254D" w14:textId="77777777" w:rsidR="001A3202" w:rsidRPr="008B2F93" w:rsidRDefault="001A3202" w:rsidP="00E607DA">
            <w:pPr>
              <w:jc w:val="right"/>
              <w:rPr>
                <w:rFonts w:ascii="Meta Pro" w:eastAsia="Times New Roman" w:hAnsi="Meta Pro"/>
                <w:szCs w:val="18"/>
                <w:lang w:eastAsia="en-AU"/>
              </w:rPr>
            </w:pPr>
            <w:r w:rsidRPr="008B2F93">
              <w:rPr>
                <w:rFonts w:ascii="Meta Pro" w:eastAsia="Times New Roman" w:hAnsi="Meta Pro"/>
                <w:szCs w:val="18"/>
                <w:lang w:eastAsia="en-AU"/>
              </w:rPr>
              <w:t xml:space="preserve">9,812 </w:t>
            </w:r>
          </w:p>
        </w:tc>
        <w:tc>
          <w:tcPr>
            <w:tcW w:w="216" w:type="dxa"/>
            <w:tcBorders>
              <w:top w:val="nil"/>
              <w:left w:val="nil"/>
              <w:bottom w:val="nil"/>
              <w:right w:val="nil"/>
            </w:tcBorders>
            <w:shd w:val="clear" w:color="auto" w:fill="auto"/>
            <w:noWrap/>
            <w:vAlign w:val="center"/>
            <w:hideMark/>
          </w:tcPr>
          <w:p w14:paraId="5F23D808" w14:textId="77777777" w:rsidR="001A3202" w:rsidRPr="008B2F93" w:rsidRDefault="001A3202"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7D239BAB" w14:textId="77777777" w:rsidR="001A3202" w:rsidRPr="008B2F93" w:rsidRDefault="001A3202" w:rsidP="00E607DA">
            <w:pPr>
              <w:jc w:val="right"/>
              <w:rPr>
                <w:rFonts w:ascii="Meta Pro" w:eastAsia="Times New Roman" w:hAnsi="Meta Pro"/>
                <w:szCs w:val="18"/>
                <w:lang w:eastAsia="en-AU"/>
              </w:rPr>
            </w:pPr>
            <w:r w:rsidRPr="008B2F93">
              <w:rPr>
                <w:rFonts w:ascii="Meta Pro" w:eastAsia="Times New Roman" w:hAnsi="Meta Pro"/>
                <w:szCs w:val="18"/>
                <w:lang w:eastAsia="en-AU"/>
              </w:rPr>
              <w:t xml:space="preserve">9,377 </w:t>
            </w:r>
          </w:p>
        </w:tc>
      </w:tr>
      <w:tr w:rsidR="001A3202" w:rsidRPr="008B2F93" w14:paraId="0A2EDE2A" w14:textId="77777777" w:rsidTr="00E607DA">
        <w:trPr>
          <w:trHeight w:val="240"/>
        </w:trPr>
        <w:tc>
          <w:tcPr>
            <w:tcW w:w="7476" w:type="dxa"/>
            <w:tcBorders>
              <w:top w:val="single" w:sz="4" w:space="0" w:color="auto"/>
              <w:left w:val="nil"/>
              <w:bottom w:val="nil"/>
              <w:right w:val="nil"/>
            </w:tcBorders>
            <w:shd w:val="clear" w:color="auto" w:fill="auto"/>
            <w:noWrap/>
            <w:vAlign w:val="center"/>
            <w:hideMark/>
          </w:tcPr>
          <w:p w14:paraId="65645C61" w14:textId="77777777" w:rsidR="001A3202" w:rsidRPr="008B2F93" w:rsidRDefault="001A3202" w:rsidP="00E607DA">
            <w:pPr>
              <w:rPr>
                <w:rFonts w:ascii="Meta Pro" w:eastAsia="Times New Roman" w:hAnsi="Meta Pro"/>
                <w:b/>
                <w:bCs/>
                <w:szCs w:val="18"/>
                <w:lang w:eastAsia="en-AU"/>
              </w:rPr>
            </w:pPr>
            <w:r w:rsidRPr="008B2F93">
              <w:rPr>
                <w:rFonts w:ascii="Meta Pro" w:eastAsia="Times New Roman" w:hAnsi="Meta Pro"/>
                <w:b/>
                <w:bCs/>
                <w:szCs w:val="18"/>
                <w:lang w:eastAsia="en-AU"/>
              </w:rPr>
              <w:t>Total income</w:t>
            </w:r>
          </w:p>
        </w:tc>
        <w:tc>
          <w:tcPr>
            <w:tcW w:w="1216" w:type="dxa"/>
            <w:tcBorders>
              <w:top w:val="single" w:sz="4" w:space="0" w:color="auto"/>
              <w:left w:val="nil"/>
              <w:bottom w:val="nil"/>
              <w:right w:val="nil"/>
            </w:tcBorders>
            <w:shd w:val="clear" w:color="000000" w:fill="C9E3B4"/>
            <w:noWrap/>
            <w:vAlign w:val="center"/>
            <w:hideMark/>
          </w:tcPr>
          <w:p w14:paraId="5638E960" w14:textId="77777777" w:rsidR="001A3202" w:rsidRPr="008B2F93" w:rsidRDefault="001A3202" w:rsidP="00E607DA">
            <w:pPr>
              <w:jc w:val="right"/>
              <w:rPr>
                <w:rFonts w:ascii="Meta Pro" w:eastAsia="Times New Roman" w:hAnsi="Meta Pro"/>
                <w:b/>
                <w:bCs/>
                <w:szCs w:val="18"/>
                <w:lang w:eastAsia="en-AU"/>
              </w:rPr>
            </w:pPr>
            <w:r w:rsidRPr="008B2F93">
              <w:rPr>
                <w:rFonts w:ascii="Meta Pro" w:eastAsia="Times New Roman" w:hAnsi="Meta Pro"/>
                <w:b/>
                <w:bCs/>
                <w:szCs w:val="18"/>
                <w:lang w:eastAsia="en-AU"/>
              </w:rPr>
              <w:t xml:space="preserve">3,008,322 </w:t>
            </w:r>
          </w:p>
        </w:tc>
        <w:tc>
          <w:tcPr>
            <w:tcW w:w="216" w:type="dxa"/>
            <w:tcBorders>
              <w:top w:val="single" w:sz="4" w:space="0" w:color="auto"/>
              <w:left w:val="nil"/>
              <w:bottom w:val="nil"/>
              <w:right w:val="nil"/>
            </w:tcBorders>
            <w:shd w:val="clear" w:color="auto" w:fill="auto"/>
            <w:noWrap/>
            <w:vAlign w:val="center"/>
            <w:hideMark/>
          </w:tcPr>
          <w:p w14:paraId="605DF68B" w14:textId="77777777" w:rsidR="001A3202" w:rsidRPr="008B2F93" w:rsidRDefault="001A3202" w:rsidP="00E607DA">
            <w:pPr>
              <w:rPr>
                <w:rFonts w:ascii="Meta Pro" w:eastAsia="Times New Roman" w:hAnsi="Meta Pro"/>
                <w:b/>
                <w:bCs/>
                <w:szCs w:val="18"/>
                <w:lang w:eastAsia="en-AU"/>
              </w:rPr>
            </w:pPr>
            <w:r w:rsidRPr="008B2F93">
              <w:rPr>
                <w:rFonts w:ascii="Meta Pro" w:eastAsia="Times New Roman" w:hAnsi="Meta Pro"/>
                <w:b/>
                <w:bCs/>
                <w:szCs w:val="18"/>
                <w:lang w:eastAsia="en-AU"/>
              </w:rPr>
              <w:t> </w:t>
            </w:r>
          </w:p>
        </w:tc>
        <w:tc>
          <w:tcPr>
            <w:tcW w:w="1216" w:type="dxa"/>
            <w:tcBorders>
              <w:top w:val="single" w:sz="4" w:space="0" w:color="auto"/>
              <w:left w:val="nil"/>
              <w:bottom w:val="nil"/>
              <w:right w:val="nil"/>
            </w:tcBorders>
            <w:shd w:val="clear" w:color="auto" w:fill="auto"/>
            <w:noWrap/>
            <w:vAlign w:val="center"/>
            <w:hideMark/>
          </w:tcPr>
          <w:p w14:paraId="0FC81734" w14:textId="77777777" w:rsidR="001A3202" w:rsidRPr="008B2F93" w:rsidRDefault="001A3202" w:rsidP="00E607DA">
            <w:pPr>
              <w:jc w:val="right"/>
              <w:rPr>
                <w:rFonts w:ascii="Meta Pro" w:eastAsia="Times New Roman" w:hAnsi="Meta Pro"/>
                <w:b/>
                <w:bCs/>
                <w:szCs w:val="18"/>
                <w:lang w:eastAsia="en-AU"/>
              </w:rPr>
            </w:pPr>
            <w:r w:rsidRPr="008B2F93">
              <w:rPr>
                <w:rFonts w:ascii="Meta Pro" w:eastAsia="Times New Roman" w:hAnsi="Meta Pro"/>
                <w:b/>
                <w:bCs/>
                <w:szCs w:val="18"/>
                <w:lang w:eastAsia="en-AU"/>
              </w:rPr>
              <w:t xml:space="preserve">2,936,728 </w:t>
            </w:r>
          </w:p>
        </w:tc>
      </w:tr>
      <w:tr w:rsidR="001A3202" w:rsidRPr="008B2F93" w14:paraId="67D0F30A" w14:textId="77777777" w:rsidTr="00E607DA">
        <w:trPr>
          <w:trHeight w:val="90"/>
        </w:trPr>
        <w:tc>
          <w:tcPr>
            <w:tcW w:w="7476" w:type="dxa"/>
            <w:tcBorders>
              <w:top w:val="nil"/>
              <w:left w:val="nil"/>
              <w:bottom w:val="nil"/>
              <w:right w:val="nil"/>
            </w:tcBorders>
            <w:shd w:val="clear" w:color="auto" w:fill="auto"/>
            <w:noWrap/>
            <w:vAlign w:val="center"/>
            <w:hideMark/>
          </w:tcPr>
          <w:p w14:paraId="430DB48B" w14:textId="77777777" w:rsidR="001A3202" w:rsidRPr="008B2F93" w:rsidRDefault="001A3202" w:rsidP="00E607DA">
            <w:pPr>
              <w:jc w:val="right"/>
              <w:rPr>
                <w:rFonts w:ascii="Meta Pro" w:eastAsia="Times New Roman" w:hAnsi="Meta Pro"/>
                <w:b/>
                <w:bCs/>
                <w:szCs w:val="18"/>
                <w:lang w:eastAsia="en-AU"/>
              </w:rPr>
            </w:pPr>
          </w:p>
        </w:tc>
        <w:tc>
          <w:tcPr>
            <w:tcW w:w="1216" w:type="dxa"/>
            <w:tcBorders>
              <w:top w:val="nil"/>
              <w:left w:val="nil"/>
              <w:bottom w:val="nil"/>
              <w:right w:val="nil"/>
            </w:tcBorders>
            <w:shd w:val="clear" w:color="000000" w:fill="C9E3B4"/>
            <w:noWrap/>
            <w:vAlign w:val="center"/>
            <w:hideMark/>
          </w:tcPr>
          <w:p w14:paraId="7FD416AD" w14:textId="77777777" w:rsidR="001A3202" w:rsidRPr="008B2F93" w:rsidRDefault="001A3202" w:rsidP="00E607DA">
            <w:pPr>
              <w:rPr>
                <w:rFonts w:ascii="Meta Pro" w:eastAsia="Times New Roman" w:hAnsi="Meta Pro"/>
                <w:szCs w:val="18"/>
                <w:lang w:eastAsia="en-AU"/>
              </w:rPr>
            </w:pPr>
            <w:r w:rsidRPr="008B2F93">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0676F76B" w14:textId="77777777" w:rsidR="001A3202" w:rsidRPr="008B2F93" w:rsidRDefault="001A3202" w:rsidP="00E607DA">
            <w:pPr>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1CFE6E0F" w14:textId="77777777" w:rsidR="001A3202" w:rsidRPr="008B2F93" w:rsidRDefault="001A3202" w:rsidP="00E607DA">
            <w:pPr>
              <w:rPr>
                <w:rFonts w:eastAsia="Times New Roman" w:cs="Times New Roman"/>
                <w:sz w:val="20"/>
                <w:szCs w:val="20"/>
                <w:lang w:eastAsia="en-AU"/>
              </w:rPr>
            </w:pPr>
          </w:p>
        </w:tc>
      </w:tr>
      <w:tr w:rsidR="001A3202" w:rsidRPr="008B2F93" w14:paraId="10D4ECCA" w14:textId="77777777" w:rsidTr="00E607DA">
        <w:trPr>
          <w:trHeight w:val="240"/>
        </w:trPr>
        <w:tc>
          <w:tcPr>
            <w:tcW w:w="7476" w:type="dxa"/>
            <w:tcBorders>
              <w:top w:val="nil"/>
              <w:left w:val="nil"/>
              <w:bottom w:val="nil"/>
              <w:right w:val="nil"/>
            </w:tcBorders>
            <w:shd w:val="clear" w:color="auto" w:fill="auto"/>
            <w:noWrap/>
            <w:vAlign w:val="center"/>
            <w:hideMark/>
          </w:tcPr>
          <w:p w14:paraId="5608AC4F" w14:textId="77777777" w:rsidR="001A3202" w:rsidRPr="008B2F93" w:rsidRDefault="001A3202" w:rsidP="00E607DA">
            <w:pPr>
              <w:rPr>
                <w:rFonts w:ascii="Meta Pro" w:eastAsia="Times New Roman" w:hAnsi="Meta Pro"/>
                <w:b/>
                <w:bCs/>
                <w:szCs w:val="18"/>
                <w:lang w:eastAsia="en-AU"/>
              </w:rPr>
            </w:pPr>
            <w:r w:rsidRPr="008B2F93">
              <w:rPr>
                <w:rFonts w:ascii="Meta Pro" w:eastAsia="Times New Roman" w:hAnsi="Meta Pro"/>
                <w:b/>
                <w:bCs/>
                <w:szCs w:val="18"/>
                <w:lang w:eastAsia="en-AU"/>
              </w:rPr>
              <w:t>Administered expenses</w:t>
            </w:r>
          </w:p>
        </w:tc>
        <w:tc>
          <w:tcPr>
            <w:tcW w:w="1216" w:type="dxa"/>
            <w:tcBorders>
              <w:top w:val="nil"/>
              <w:left w:val="nil"/>
              <w:bottom w:val="nil"/>
              <w:right w:val="nil"/>
            </w:tcBorders>
            <w:shd w:val="clear" w:color="000000" w:fill="C9E3B4"/>
            <w:noWrap/>
            <w:vAlign w:val="center"/>
            <w:hideMark/>
          </w:tcPr>
          <w:p w14:paraId="25C73F33" w14:textId="77777777" w:rsidR="001A3202" w:rsidRPr="008B2F93" w:rsidRDefault="001A3202" w:rsidP="00E607DA">
            <w:pPr>
              <w:rPr>
                <w:rFonts w:ascii="Meta Pro" w:eastAsia="Times New Roman" w:hAnsi="Meta Pro"/>
                <w:szCs w:val="18"/>
                <w:lang w:eastAsia="en-AU"/>
              </w:rPr>
            </w:pPr>
            <w:r w:rsidRPr="008B2F93">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67D03B9A" w14:textId="77777777" w:rsidR="001A3202" w:rsidRPr="008B2F93" w:rsidRDefault="001A3202" w:rsidP="00E607DA">
            <w:pPr>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3A8B6600" w14:textId="77777777" w:rsidR="001A3202" w:rsidRPr="008B2F93" w:rsidRDefault="001A3202" w:rsidP="00E607DA">
            <w:pPr>
              <w:rPr>
                <w:rFonts w:eastAsia="Times New Roman" w:cs="Times New Roman"/>
                <w:sz w:val="20"/>
                <w:szCs w:val="20"/>
                <w:lang w:eastAsia="en-AU"/>
              </w:rPr>
            </w:pPr>
          </w:p>
        </w:tc>
      </w:tr>
      <w:tr w:rsidR="001A3202" w:rsidRPr="008B2F93" w14:paraId="2237BAE0" w14:textId="77777777" w:rsidTr="00E607DA">
        <w:trPr>
          <w:trHeight w:val="240"/>
        </w:trPr>
        <w:tc>
          <w:tcPr>
            <w:tcW w:w="7476" w:type="dxa"/>
            <w:tcBorders>
              <w:top w:val="nil"/>
              <w:left w:val="nil"/>
              <w:bottom w:val="nil"/>
              <w:right w:val="nil"/>
            </w:tcBorders>
            <w:shd w:val="clear" w:color="auto" w:fill="auto"/>
            <w:noWrap/>
            <w:vAlign w:val="center"/>
            <w:hideMark/>
          </w:tcPr>
          <w:p w14:paraId="538CAC3E" w14:textId="77777777" w:rsidR="001A3202" w:rsidRPr="008B2F93" w:rsidRDefault="001A3202" w:rsidP="00E607DA">
            <w:pPr>
              <w:rPr>
                <w:rFonts w:ascii="Meta Pro" w:eastAsia="Times New Roman" w:hAnsi="Meta Pro"/>
                <w:szCs w:val="18"/>
                <w:lang w:eastAsia="en-AU"/>
              </w:rPr>
            </w:pPr>
            <w:r w:rsidRPr="008B2F93">
              <w:rPr>
                <w:rFonts w:ascii="Meta Pro" w:eastAsia="Times New Roman" w:hAnsi="Meta Pro"/>
                <w:szCs w:val="18"/>
                <w:lang w:eastAsia="en-AU"/>
              </w:rPr>
              <w:t>Grants and subsidies</w:t>
            </w:r>
          </w:p>
        </w:tc>
        <w:tc>
          <w:tcPr>
            <w:tcW w:w="1216" w:type="dxa"/>
            <w:tcBorders>
              <w:top w:val="nil"/>
              <w:left w:val="nil"/>
              <w:bottom w:val="nil"/>
              <w:right w:val="nil"/>
            </w:tcBorders>
            <w:shd w:val="clear" w:color="000000" w:fill="C9E3B4"/>
            <w:noWrap/>
            <w:vAlign w:val="center"/>
            <w:hideMark/>
          </w:tcPr>
          <w:p w14:paraId="56B89C77" w14:textId="77777777" w:rsidR="001A3202" w:rsidRPr="008B2F93" w:rsidRDefault="001A3202" w:rsidP="00E607DA">
            <w:pPr>
              <w:jc w:val="right"/>
              <w:rPr>
                <w:rFonts w:ascii="Meta Pro" w:eastAsia="Times New Roman" w:hAnsi="Meta Pro"/>
                <w:szCs w:val="18"/>
                <w:lang w:eastAsia="en-AU"/>
              </w:rPr>
            </w:pPr>
            <w:r w:rsidRPr="008B2F93">
              <w:rPr>
                <w:rFonts w:ascii="Meta Pro" w:eastAsia="Times New Roman" w:hAnsi="Meta Pro"/>
                <w:szCs w:val="18"/>
                <w:lang w:eastAsia="en-AU"/>
              </w:rPr>
              <w:t xml:space="preserve">86,385 </w:t>
            </w:r>
          </w:p>
        </w:tc>
        <w:tc>
          <w:tcPr>
            <w:tcW w:w="216" w:type="dxa"/>
            <w:tcBorders>
              <w:top w:val="nil"/>
              <w:left w:val="nil"/>
              <w:bottom w:val="nil"/>
              <w:right w:val="nil"/>
            </w:tcBorders>
            <w:shd w:val="clear" w:color="auto" w:fill="auto"/>
            <w:noWrap/>
            <w:vAlign w:val="center"/>
            <w:hideMark/>
          </w:tcPr>
          <w:p w14:paraId="03576830" w14:textId="77777777" w:rsidR="001A3202" w:rsidRPr="008B2F93" w:rsidRDefault="001A3202"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4B449C94" w14:textId="77777777" w:rsidR="001A3202" w:rsidRPr="008B2F93" w:rsidRDefault="001A3202" w:rsidP="00E607DA">
            <w:pPr>
              <w:jc w:val="right"/>
              <w:rPr>
                <w:rFonts w:ascii="Meta Pro" w:eastAsia="Times New Roman" w:hAnsi="Meta Pro"/>
                <w:szCs w:val="18"/>
                <w:lang w:eastAsia="en-AU"/>
              </w:rPr>
            </w:pPr>
            <w:r w:rsidRPr="008B2F93">
              <w:rPr>
                <w:rFonts w:ascii="Meta Pro" w:eastAsia="Times New Roman" w:hAnsi="Meta Pro"/>
                <w:szCs w:val="18"/>
                <w:lang w:eastAsia="en-AU"/>
              </w:rPr>
              <w:t xml:space="preserve">66,348 </w:t>
            </w:r>
          </w:p>
        </w:tc>
      </w:tr>
      <w:tr w:rsidR="001A3202" w:rsidRPr="008B2F93" w14:paraId="4FEC696D" w14:textId="77777777" w:rsidTr="00E607DA">
        <w:trPr>
          <w:trHeight w:val="240"/>
        </w:trPr>
        <w:tc>
          <w:tcPr>
            <w:tcW w:w="7476" w:type="dxa"/>
            <w:tcBorders>
              <w:top w:val="nil"/>
              <w:left w:val="nil"/>
              <w:bottom w:val="nil"/>
              <w:right w:val="nil"/>
            </w:tcBorders>
            <w:shd w:val="clear" w:color="auto" w:fill="auto"/>
            <w:noWrap/>
            <w:vAlign w:val="center"/>
            <w:hideMark/>
          </w:tcPr>
          <w:p w14:paraId="4F08E66F" w14:textId="77777777" w:rsidR="001A3202" w:rsidRPr="008B2F93" w:rsidRDefault="001A3202" w:rsidP="00E607DA">
            <w:pPr>
              <w:rPr>
                <w:rFonts w:ascii="Meta Pro" w:eastAsia="Times New Roman" w:hAnsi="Meta Pro"/>
                <w:szCs w:val="18"/>
                <w:lang w:eastAsia="en-AU"/>
              </w:rPr>
            </w:pPr>
            <w:r w:rsidRPr="008B2F93">
              <w:rPr>
                <w:rFonts w:ascii="Meta Pro" w:eastAsia="Times New Roman" w:hAnsi="Meta Pro"/>
                <w:szCs w:val="18"/>
                <w:lang w:eastAsia="en-AU"/>
              </w:rPr>
              <w:t>Impairment losses on trade receivables</w:t>
            </w:r>
          </w:p>
        </w:tc>
        <w:tc>
          <w:tcPr>
            <w:tcW w:w="1216" w:type="dxa"/>
            <w:tcBorders>
              <w:top w:val="nil"/>
              <w:left w:val="nil"/>
              <w:bottom w:val="nil"/>
              <w:right w:val="nil"/>
            </w:tcBorders>
            <w:shd w:val="clear" w:color="000000" w:fill="C9E3B4"/>
            <w:noWrap/>
            <w:vAlign w:val="center"/>
            <w:hideMark/>
          </w:tcPr>
          <w:p w14:paraId="237D1FF8" w14:textId="77777777" w:rsidR="001A3202" w:rsidRPr="008B2F93" w:rsidRDefault="001A3202" w:rsidP="00E607DA">
            <w:pPr>
              <w:jc w:val="right"/>
              <w:rPr>
                <w:rFonts w:ascii="Meta Pro" w:eastAsia="Times New Roman" w:hAnsi="Meta Pro"/>
                <w:szCs w:val="18"/>
                <w:lang w:eastAsia="en-AU"/>
              </w:rPr>
            </w:pPr>
            <w:r w:rsidRPr="008B2F93">
              <w:rPr>
                <w:rFonts w:ascii="Meta Pro" w:eastAsia="Times New Roman" w:hAnsi="Meta Pro"/>
                <w:szCs w:val="18"/>
                <w:lang w:eastAsia="en-AU"/>
              </w:rPr>
              <w:t xml:space="preserve">27 </w:t>
            </w:r>
          </w:p>
        </w:tc>
        <w:tc>
          <w:tcPr>
            <w:tcW w:w="216" w:type="dxa"/>
            <w:tcBorders>
              <w:top w:val="nil"/>
              <w:left w:val="nil"/>
              <w:bottom w:val="nil"/>
              <w:right w:val="nil"/>
            </w:tcBorders>
            <w:shd w:val="clear" w:color="auto" w:fill="auto"/>
            <w:noWrap/>
            <w:vAlign w:val="center"/>
            <w:hideMark/>
          </w:tcPr>
          <w:p w14:paraId="1240394D" w14:textId="77777777" w:rsidR="001A3202" w:rsidRPr="008B2F93" w:rsidRDefault="001A3202"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44E2E809" w14:textId="77777777" w:rsidR="001A3202" w:rsidRPr="008B2F93" w:rsidRDefault="001A3202" w:rsidP="00E607DA">
            <w:pPr>
              <w:jc w:val="right"/>
              <w:rPr>
                <w:rFonts w:ascii="Meta Pro" w:eastAsia="Times New Roman" w:hAnsi="Meta Pro"/>
                <w:szCs w:val="18"/>
                <w:lang w:eastAsia="en-AU"/>
              </w:rPr>
            </w:pPr>
            <w:r w:rsidRPr="008B2F93">
              <w:rPr>
                <w:rFonts w:ascii="Meta Pro" w:eastAsia="Times New Roman" w:hAnsi="Meta Pro"/>
                <w:szCs w:val="18"/>
                <w:lang w:eastAsia="en-AU"/>
              </w:rPr>
              <w:t xml:space="preserve">8 </w:t>
            </w:r>
          </w:p>
        </w:tc>
      </w:tr>
      <w:tr w:rsidR="001A3202" w:rsidRPr="008B2F93" w14:paraId="1074D002" w14:textId="77777777" w:rsidTr="00E607DA">
        <w:trPr>
          <w:trHeight w:val="240"/>
        </w:trPr>
        <w:tc>
          <w:tcPr>
            <w:tcW w:w="7476" w:type="dxa"/>
            <w:tcBorders>
              <w:top w:val="nil"/>
              <w:left w:val="nil"/>
              <w:bottom w:val="nil"/>
              <w:right w:val="nil"/>
            </w:tcBorders>
            <w:shd w:val="clear" w:color="auto" w:fill="auto"/>
            <w:noWrap/>
            <w:vAlign w:val="center"/>
            <w:hideMark/>
          </w:tcPr>
          <w:p w14:paraId="3B95515D" w14:textId="77777777" w:rsidR="001A3202" w:rsidRPr="008B2F93" w:rsidRDefault="001A3202" w:rsidP="00E607DA">
            <w:pPr>
              <w:rPr>
                <w:rFonts w:ascii="Meta Pro" w:eastAsia="Times New Roman" w:hAnsi="Meta Pro"/>
                <w:szCs w:val="18"/>
                <w:lang w:eastAsia="en-AU"/>
              </w:rPr>
            </w:pPr>
            <w:r w:rsidRPr="008B2F93">
              <w:rPr>
                <w:rFonts w:ascii="Meta Pro" w:eastAsia="Times New Roman" w:hAnsi="Meta Pro"/>
                <w:szCs w:val="18"/>
                <w:lang w:eastAsia="en-AU"/>
              </w:rPr>
              <w:t>Transfers of administered revenue to government</w:t>
            </w:r>
          </w:p>
        </w:tc>
        <w:tc>
          <w:tcPr>
            <w:tcW w:w="1216" w:type="dxa"/>
            <w:tcBorders>
              <w:top w:val="nil"/>
              <w:left w:val="nil"/>
              <w:bottom w:val="nil"/>
              <w:right w:val="nil"/>
            </w:tcBorders>
            <w:shd w:val="clear" w:color="000000" w:fill="C9E3B4"/>
            <w:noWrap/>
            <w:vAlign w:val="center"/>
            <w:hideMark/>
          </w:tcPr>
          <w:p w14:paraId="6A5F43A9" w14:textId="77777777" w:rsidR="001A3202" w:rsidRPr="008B2F93" w:rsidRDefault="001A3202" w:rsidP="00E607DA">
            <w:pPr>
              <w:jc w:val="right"/>
              <w:rPr>
                <w:rFonts w:ascii="Meta Pro" w:eastAsia="Times New Roman" w:hAnsi="Meta Pro"/>
                <w:szCs w:val="18"/>
                <w:lang w:eastAsia="en-AU"/>
              </w:rPr>
            </w:pPr>
            <w:r w:rsidRPr="008B2F93">
              <w:rPr>
                <w:rFonts w:ascii="Meta Pro" w:eastAsia="Times New Roman" w:hAnsi="Meta Pro"/>
                <w:szCs w:val="18"/>
                <w:lang w:eastAsia="en-AU"/>
              </w:rPr>
              <w:t xml:space="preserve">2,919,052 </w:t>
            </w:r>
          </w:p>
        </w:tc>
        <w:tc>
          <w:tcPr>
            <w:tcW w:w="216" w:type="dxa"/>
            <w:tcBorders>
              <w:top w:val="nil"/>
              <w:left w:val="nil"/>
              <w:bottom w:val="nil"/>
              <w:right w:val="nil"/>
            </w:tcBorders>
            <w:shd w:val="clear" w:color="auto" w:fill="auto"/>
            <w:noWrap/>
            <w:vAlign w:val="center"/>
            <w:hideMark/>
          </w:tcPr>
          <w:p w14:paraId="63B3934B" w14:textId="77777777" w:rsidR="001A3202" w:rsidRPr="008B2F93" w:rsidRDefault="001A3202"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7B268979" w14:textId="77777777" w:rsidR="001A3202" w:rsidRPr="008B2F93" w:rsidRDefault="001A3202" w:rsidP="00E607DA">
            <w:pPr>
              <w:jc w:val="right"/>
              <w:rPr>
                <w:rFonts w:ascii="Meta Pro" w:eastAsia="Times New Roman" w:hAnsi="Meta Pro"/>
                <w:szCs w:val="18"/>
                <w:lang w:eastAsia="en-AU"/>
              </w:rPr>
            </w:pPr>
            <w:r w:rsidRPr="008B2F93">
              <w:rPr>
                <w:rFonts w:ascii="Meta Pro" w:eastAsia="Times New Roman" w:hAnsi="Meta Pro"/>
                <w:szCs w:val="18"/>
                <w:lang w:eastAsia="en-AU"/>
              </w:rPr>
              <w:t xml:space="preserve">2,867,542 </w:t>
            </w:r>
          </w:p>
        </w:tc>
      </w:tr>
      <w:tr w:rsidR="001A3202" w:rsidRPr="008B2F93" w14:paraId="0095D265" w14:textId="77777777" w:rsidTr="00E607DA">
        <w:trPr>
          <w:trHeight w:val="240"/>
        </w:trPr>
        <w:tc>
          <w:tcPr>
            <w:tcW w:w="7476" w:type="dxa"/>
            <w:tcBorders>
              <w:top w:val="nil"/>
              <w:left w:val="nil"/>
              <w:bottom w:val="nil"/>
              <w:right w:val="nil"/>
            </w:tcBorders>
            <w:shd w:val="clear" w:color="auto" w:fill="auto"/>
            <w:noWrap/>
            <w:vAlign w:val="center"/>
            <w:hideMark/>
          </w:tcPr>
          <w:p w14:paraId="6C5CA9AD" w14:textId="77777777" w:rsidR="001A3202" w:rsidRPr="008B2F93" w:rsidRDefault="001A3202" w:rsidP="00E607DA">
            <w:pPr>
              <w:rPr>
                <w:rFonts w:ascii="Meta Pro" w:eastAsia="Times New Roman" w:hAnsi="Meta Pro"/>
                <w:szCs w:val="18"/>
                <w:lang w:eastAsia="en-AU"/>
              </w:rPr>
            </w:pPr>
            <w:r w:rsidRPr="008B2F93">
              <w:rPr>
                <w:rFonts w:ascii="Meta Pro" w:eastAsia="Times New Roman" w:hAnsi="Meta Pro"/>
                <w:szCs w:val="18"/>
                <w:lang w:eastAsia="en-AU"/>
              </w:rPr>
              <w:t>Other</w:t>
            </w:r>
          </w:p>
        </w:tc>
        <w:tc>
          <w:tcPr>
            <w:tcW w:w="1216" w:type="dxa"/>
            <w:tcBorders>
              <w:top w:val="nil"/>
              <w:left w:val="nil"/>
              <w:bottom w:val="nil"/>
              <w:right w:val="nil"/>
            </w:tcBorders>
            <w:shd w:val="clear" w:color="000000" w:fill="C9E3B4"/>
            <w:noWrap/>
            <w:vAlign w:val="center"/>
            <w:hideMark/>
          </w:tcPr>
          <w:p w14:paraId="39E64098" w14:textId="77777777" w:rsidR="001A3202" w:rsidRPr="008B2F93" w:rsidRDefault="001A3202" w:rsidP="00E607DA">
            <w:pPr>
              <w:jc w:val="right"/>
              <w:rPr>
                <w:rFonts w:ascii="Meta Pro" w:eastAsia="Times New Roman" w:hAnsi="Meta Pro"/>
                <w:szCs w:val="18"/>
                <w:lang w:eastAsia="en-AU"/>
              </w:rPr>
            </w:pPr>
            <w:r w:rsidRPr="008B2F93">
              <w:rPr>
                <w:rFonts w:ascii="Meta Pro" w:eastAsia="Times New Roman" w:hAnsi="Meta Pro"/>
                <w:szCs w:val="18"/>
                <w:lang w:eastAsia="en-AU"/>
              </w:rPr>
              <w:t xml:space="preserve">505 </w:t>
            </w:r>
          </w:p>
        </w:tc>
        <w:tc>
          <w:tcPr>
            <w:tcW w:w="216" w:type="dxa"/>
            <w:tcBorders>
              <w:top w:val="nil"/>
              <w:left w:val="nil"/>
              <w:bottom w:val="nil"/>
              <w:right w:val="nil"/>
            </w:tcBorders>
            <w:shd w:val="clear" w:color="auto" w:fill="auto"/>
            <w:noWrap/>
            <w:vAlign w:val="center"/>
            <w:hideMark/>
          </w:tcPr>
          <w:p w14:paraId="5148CCAD" w14:textId="77777777" w:rsidR="001A3202" w:rsidRPr="008B2F93" w:rsidRDefault="001A3202"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70E0F14C" w14:textId="77777777" w:rsidR="001A3202" w:rsidRPr="008B2F93" w:rsidRDefault="001A3202" w:rsidP="00E607DA">
            <w:pPr>
              <w:jc w:val="right"/>
              <w:rPr>
                <w:rFonts w:ascii="Meta Pro" w:eastAsia="Times New Roman" w:hAnsi="Meta Pro"/>
                <w:szCs w:val="18"/>
                <w:lang w:eastAsia="en-AU"/>
              </w:rPr>
            </w:pPr>
            <w:r w:rsidRPr="008B2F93">
              <w:rPr>
                <w:rFonts w:ascii="Meta Pro" w:eastAsia="Times New Roman" w:hAnsi="Meta Pro"/>
                <w:szCs w:val="18"/>
                <w:lang w:eastAsia="en-AU"/>
              </w:rPr>
              <w:t xml:space="preserve">- </w:t>
            </w:r>
          </w:p>
        </w:tc>
      </w:tr>
      <w:tr w:rsidR="001A3202" w:rsidRPr="008B2F93" w14:paraId="56114F39" w14:textId="77777777" w:rsidTr="00E607DA">
        <w:trPr>
          <w:trHeight w:val="240"/>
        </w:trPr>
        <w:tc>
          <w:tcPr>
            <w:tcW w:w="7476" w:type="dxa"/>
            <w:tcBorders>
              <w:top w:val="single" w:sz="4" w:space="0" w:color="auto"/>
              <w:left w:val="nil"/>
              <w:bottom w:val="single" w:sz="4" w:space="0" w:color="auto"/>
              <w:right w:val="nil"/>
            </w:tcBorders>
            <w:shd w:val="clear" w:color="auto" w:fill="auto"/>
            <w:noWrap/>
            <w:vAlign w:val="center"/>
            <w:hideMark/>
          </w:tcPr>
          <w:p w14:paraId="0EB521D2" w14:textId="77777777" w:rsidR="001A3202" w:rsidRPr="008B2F93" w:rsidRDefault="001A3202" w:rsidP="00E607DA">
            <w:pPr>
              <w:rPr>
                <w:rFonts w:ascii="Meta Pro" w:eastAsia="Times New Roman" w:hAnsi="Meta Pro"/>
                <w:b/>
                <w:bCs/>
                <w:szCs w:val="18"/>
                <w:lang w:eastAsia="en-AU"/>
              </w:rPr>
            </w:pPr>
            <w:r w:rsidRPr="008B2F93">
              <w:rPr>
                <w:rFonts w:ascii="Meta Pro" w:eastAsia="Times New Roman" w:hAnsi="Meta Pro"/>
                <w:b/>
                <w:bCs/>
                <w:szCs w:val="18"/>
                <w:lang w:eastAsia="en-AU"/>
              </w:rPr>
              <w:t>Total expenses</w:t>
            </w:r>
          </w:p>
        </w:tc>
        <w:tc>
          <w:tcPr>
            <w:tcW w:w="1216" w:type="dxa"/>
            <w:tcBorders>
              <w:top w:val="single" w:sz="4" w:space="0" w:color="auto"/>
              <w:left w:val="nil"/>
              <w:bottom w:val="single" w:sz="4" w:space="0" w:color="auto"/>
              <w:right w:val="nil"/>
            </w:tcBorders>
            <w:shd w:val="clear" w:color="000000" w:fill="C9E3B4"/>
            <w:noWrap/>
            <w:vAlign w:val="center"/>
            <w:hideMark/>
          </w:tcPr>
          <w:p w14:paraId="55DF2073" w14:textId="77777777" w:rsidR="001A3202" w:rsidRPr="008B2F93" w:rsidRDefault="001A3202" w:rsidP="00E607DA">
            <w:pPr>
              <w:jc w:val="right"/>
              <w:rPr>
                <w:rFonts w:ascii="Meta Pro" w:eastAsia="Times New Roman" w:hAnsi="Meta Pro"/>
                <w:b/>
                <w:bCs/>
                <w:szCs w:val="18"/>
                <w:lang w:eastAsia="en-AU"/>
              </w:rPr>
            </w:pPr>
            <w:r w:rsidRPr="008B2F93">
              <w:rPr>
                <w:rFonts w:ascii="Meta Pro" w:eastAsia="Times New Roman" w:hAnsi="Meta Pro"/>
                <w:b/>
                <w:bCs/>
                <w:szCs w:val="18"/>
                <w:lang w:eastAsia="en-AU"/>
              </w:rPr>
              <w:t xml:space="preserve">3,005,969 </w:t>
            </w:r>
          </w:p>
        </w:tc>
        <w:tc>
          <w:tcPr>
            <w:tcW w:w="216" w:type="dxa"/>
            <w:tcBorders>
              <w:top w:val="single" w:sz="4" w:space="0" w:color="auto"/>
              <w:left w:val="nil"/>
              <w:bottom w:val="single" w:sz="4" w:space="0" w:color="auto"/>
              <w:right w:val="nil"/>
            </w:tcBorders>
            <w:shd w:val="clear" w:color="auto" w:fill="auto"/>
            <w:noWrap/>
            <w:vAlign w:val="center"/>
            <w:hideMark/>
          </w:tcPr>
          <w:p w14:paraId="6BECB2BB" w14:textId="77777777" w:rsidR="001A3202" w:rsidRPr="008B2F93" w:rsidRDefault="001A3202" w:rsidP="00E607DA">
            <w:pPr>
              <w:rPr>
                <w:rFonts w:ascii="Meta Pro" w:eastAsia="Times New Roman" w:hAnsi="Meta Pro"/>
                <w:b/>
                <w:bCs/>
                <w:szCs w:val="18"/>
                <w:lang w:eastAsia="en-AU"/>
              </w:rPr>
            </w:pPr>
            <w:r w:rsidRPr="008B2F93">
              <w:rPr>
                <w:rFonts w:ascii="Meta Pro" w:eastAsia="Times New Roman" w:hAnsi="Meta Pro"/>
                <w:b/>
                <w:bCs/>
                <w:szCs w:val="18"/>
                <w:lang w:eastAsia="en-AU"/>
              </w:rPr>
              <w:t> </w:t>
            </w:r>
          </w:p>
        </w:tc>
        <w:tc>
          <w:tcPr>
            <w:tcW w:w="1216" w:type="dxa"/>
            <w:tcBorders>
              <w:top w:val="single" w:sz="4" w:space="0" w:color="auto"/>
              <w:left w:val="nil"/>
              <w:bottom w:val="single" w:sz="4" w:space="0" w:color="auto"/>
              <w:right w:val="nil"/>
            </w:tcBorders>
            <w:shd w:val="clear" w:color="auto" w:fill="auto"/>
            <w:noWrap/>
            <w:vAlign w:val="center"/>
            <w:hideMark/>
          </w:tcPr>
          <w:p w14:paraId="72919516" w14:textId="77777777" w:rsidR="001A3202" w:rsidRPr="008B2F93" w:rsidRDefault="001A3202" w:rsidP="00E607DA">
            <w:pPr>
              <w:jc w:val="right"/>
              <w:rPr>
                <w:rFonts w:ascii="Meta Pro" w:eastAsia="Times New Roman" w:hAnsi="Meta Pro"/>
                <w:b/>
                <w:bCs/>
                <w:szCs w:val="18"/>
                <w:lang w:eastAsia="en-AU"/>
              </w:rPr>
            </w:pPr>
            <w:r w:rsidRPr="008B2F93">
              <w:rPr>
                <w:rFonts w:ascii="Meta Pro" w:eastAsia="Times New Roman" w:hAnsi="Meta Pro"/>
                <w:b/>
                <w:bCs/>
                <w:szCs w:val="18"/>
                <w:lang w:eastAsia="en-AU"/>
              </w:rPr>
              <w:t xml:space="preserve">2,933,898 </w:t>
            </w:r>
          </w:p>
        </w:tc>
      </w:tr>
      <w:tr w:rsidR="001A3202" w:rsidRPr="008B2F93" w14:paraId="0512C4BE" w14:textId="77777777" w:rsidTr="00E607DA">
        <w:trPr>
          <w:trHeight w:val="90"/>
        </w:trPr>
        <w:tc>
          <w:tcPr>
            <w:tcW w:w="7476" w:type="dxa"/>
            <w:tcBorders>
              <w:top w:val="nil"/>
              <w:left w:val="nil"/>
              <w:bottom w:val="nil"/>
              <w:right w:val="nil"/>
            </w:tcBorders>
            <w:shd w:val="clear" w:color="auto" w:fill="auto"/>
            <w:noWrap/>
            <w:vAlign w:val="center"/>
            <w:hideMark/>
          </w:tcPr>
          <w:p w14:paraId="71191CA3" w14:textId="77777777" w:rsidR="001A3202" w:rsidRPr="008B2F93" w:rsidRDefault="001A3202" w:rsidP="00E607DA">
            <w:pPr>
              <w:jc w:val="right"/>
              <w:rPr>
                <w:rFonts w:ascii="Meta Pro" w:eastAsia="Times New Roman" w:hAnsi="Meta Pro"/>
                <w:b/>
                <w:bCs/>
                <w:szCs w:val="18"/>
                <w:lang w:eastAsia="en-AU"/>
              </w:rPr>
            </w:pPr>
          </w:p>
        </w:tc>
        <w:tc>
          <w:tcPr>
            <w:tcW w:w="1216" w:type="dxa"/>
            <w:tcBorders>
              <w:top w:val="nil"/>
              <w:left w:val="nil"/>
              <w:bottom w:val="nil"/>
              <w:right w:val="nil"/>
            </w:tcBorders>
            <w:shd w:val="clear" w:color="000000" w:fill="C9E3B4"/>
            <w:noWrap/>
            <w:vAlign w:val="center"/>
            <w:hideMark/>
          </w:tcPr>
          <w:p w14:paraId="6B6C9EBC" w14:textId="77777777" w:rsidR="001A3202" w:rsidRPr="008B2F93" w:rsidRDefault="001A3202" w:rsidP="00E607DA">
            <w:pPr>
              <w:jc w:val="right"/>
              <w:rPr>
                <w:rFonts w:ascii="Meta Pro" w:eastAsia="Times New Roman" w:hAnsi="Meta Pro"/>
                <w:szCs w:val="18"/>
                <w:lang w:eastAsia="en-AU"/>
              </w:rPr>
            </w:pPr>
            <w:r w:rsidRPr="008B2F93">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41128683" w14:textId="77777777" w:rsidR="001A3202" w:rsidRPr="008B2F93" w:rsidRDefault="001A3202"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7EBF1EEF" w14:textId="77777777" w:rsidR="001A3202" w:rsidRPr="008B2F93" w:rsidRDefault="001A3202" w:rsidP="00E607DA">
            <w:pPr>
              <w:rPr>
                <w:rFonts w:eastAsia="Times New Roman" w:cs="Times New Roman"/>
                <w:sz w:val="20"/>
                <w:szCs w:val="20"/>
                <w:lang w:eastAsia="en-AU"/>
              </w:rPr>
            </w:pPr>
          </w:p>
        </w:tc>
      </w:tr>
      <w:tr w:rsidR="001A3202" w:rsidRPr="008B2F93" w14:paraId="4A360D1A" w14:textId="77777777" w:rsidTr="00E607DA">
        <w:trPr>
          <w:trHeight w:val="240"/>
        </w:trPr>
        <w:tc>
          <w:tcPr>
            <w:tcW w:w="7476" w:type="dxa"/>
            <w:tcBorders>
              <w:top w:val="nil"/>
              <w:left w:val="nil"/>
              <w:bottom w:val="double" w:sz="6" w:space="0" w:color="auto"/>
              <w:right w:val="nil"/>
            </w:tcBorders>
            <w:shd w:val="clear" w:color="auto" w:fill="auto"/>
            <w:noWrap/>
            <w:vAlign w:val="center"/>
            <w:hideMark/>
          </w:tcPr>
          <w:p w14:paraId="3C1261B3" w14:textId="77777777" w:rsidR="001A3202" w:rsidRPr="008B2F93" w:rsidRDefault="001A3202" w:rsidP="00E607DA">
            <w:pPr>
              <w:rPr>
                <w:rFonts w:ascii="Meta Pro" w:eastAsia="Times New Roman" w:hAnsi="Meta Pro"/>
                <w:b/>
                <w:bCs/>
                <w:szCs w:val="18"/>
                <w:lang w:eastAsia="en-AU"/>
              </w:rPr>
            </w:pPr>
            <w:r w:rsidRPr="008B2F93">
              <w:rPr>
                <w:rFonts w:ascii="Meta Pro" w:eastAsia="Times New Roman" w:hAnsi="Meta Pro"/>
                <w:b/>
                <w:bCs/>
                <w:szCs w:val="18"/>
                <w:lang w:eastAsia="en-AU"/>
              </w:rPr>
              <w:t>OPERATING RESULT FOR THE YEAR</w:t>
            </w:r>
          </w:p>
        </w:tc>
        <w:tc>
          <w:tcPr>
            <w:tcW w:w="1216" w:type="dxa"/>
            <w:tcBorders>
              <w:top w:val="nil"/>
              <w:left w:val="nil"/>
              <w:bottom w:val="double" w:sz="6" w:space="0" w:color="auto"/>
              <w:right w:val="nil"/>
            </w:tcBorders>
            <w:shd w:val="clear" w:color="000000" w:fill="C9E3B4"/>
            <w:noWrap/>
            <w:vAlign w:val="center"/>
            <w:hideMark/>
          </w:tcPr>
          <w:p w14:paraId="283ADE1B" w14:textId="77777777" w:rsidR="001A3202" w:rsidRPr="008B2F93" w:rsidRDefault="001A3202" w:rsidP="00E607DA">
            <w:pPr>
              <w:jc w:val="right"/>
              <w:rPr>
                <w:rFonts w:ascii="Meta Pro" w:eastAsia="Times New Roman" w:hAnsi="Meta Pro"/>
                <w:b/>
                <w:bCs/>
                <w:szCs w:val="18"/>
                <w:lang w:eastAsia="en-AU"/>
              </w:rPr>
            </w:pPr>
            <w:r w:rsidRPr="008B2F93">
              <w:rPr>
                <w:rFonts w:ascii="Meta Pro" w:eastAsia="Times New Roman" w:hAnsi="Meta Pro"/>
                <w:b/>
                <w:bCs/>
                <w:szCs w:val="18"/>
                <w:lang w:eastAsia="en-AU"/>
              </w:rPr>
              <w:t xml:space="preserve">2,353 </w:t>
            </w:r>
          </w:p>
        </w:tc>
        <w:tc>
          <w:tcPr>
            <w:tcW w:w="216" w:type="dxa"/>
            <w:tcBorders>
              <w:top w:val="nil"/>
              <w:left w:val="nil"/>
              <w:bottom w:val="double" w:sz="6" w:space="0" w:color="auto"/>
              <w:right w:val="nil"/>
            </w:tcBorders>
            <w:shd w:val="clear" w:color="auto" w:fill="auto"/>
            <w:noWrap/>
            <w:vAlign w:val="center"/>
            <w:hideMark/>
          </w:tcPr>
          <w:p w14:paraId="75676F9F" w14:textId="77777777" w:rsidR="001A3202" w:rsidRPr="008B2F93" w:rsidRDefault="001A3202" w:rsidP="00E607DA">
            <w:pPr>
              <w:rPr>
                <w:rFonts w:ascii="Meta Pro" w:eastAsia="Times New Roman" w:hAnsi="Meta Pro"/>
                <w:szCs w:val="18"/>
                <w:lang w:eastAsia="en-AU"/>
              </w:rPr>
            </w:pPr>
            <w:r w:rsidRPr="008B2F93">
              <w:rPr>
                <w:rFonts w:ascii="Meta Pro" w:eastAsia="Times New Roman" w:hAnsi="Meta Pro"/>
                <w:szCs w:val="18"/>
                <w:lang w:eastAsia="en-AU"/>
              </w:rPr>
              <w:t> </w:t>
            </w:r>
          </w:p>
        </w:tc>
        <w:tc>
          <w:tcPr>
            <w:tcW w:w="1216" w:type="dxa"/>
            <w:tcBorders>
              <w:top w:val="nil"/>
              <w:left w:val="nil"/>
              <w:bottom w:val="double" w:sz="6" w:space="0" w:color="auto"/>
              <w:right w:val="nil"/>
            </w:tcBorders>
            <w:shd w:val="clear" w:color="auto" w:fill="auto"/>
            <w:noWrap/>
            <w:vAlign w:val="center"/>
            <w:hideMark/>
          </w:tcPr>
          <w:p w14:paraId="1C322159" w14:textId="77777777" w:rsidR="001A3202" w:rsidRPr="008B2F93" w:rsidRDefault="001A3202" w:rsidP="00E607DA">
            <w:pPr>
              <w:jc w:val="right"/>
              <w:rPr>
                <w:rFonts w:ascii="Meta Pro" w:eastAsia="Times New Roman" w:hAnsi="Meta Pro"/>
                <w:b/>
                <w:bCs/>
                <w:szCs w:val="18"/>
                <w:lang w:eastAsia="en-AU"/>
              </w:rPr>
            </w:pPr>
            <w:r w:rsidRPr="008B2F93">
              <w:rPr>
                <w:rFonts w:ascii="Meta Pro" w:eastAsia="Times New Roman" w:hAnsi="Meta Pro"/>
                <w:b/>
                <w:bCs/>
                <w:szCs w:val="18"/>
                <w:lang w:eastAsia="en-AU"/>
              </w:rPr>
              <w:t xml:space="preserve">2,830 </w:t>
            </w:r>
          </w:p>
        </w:tc>
      </w:tr>
      <w:tr w:rsidR="001A3202" w:rsidRPr="008B2F93" w14:paraId="2FA03AC9" w14:textId="77777777" w:rsidTr="00E607DA">
        <w:trPr>
          <w:trHeight w:val="90"/>
        </w:trPr>
        <w:tc>
          <w:tcPr>
            <w:tcW w:w="7476" w:type="dxa"/>
            <w:tcBorders>
              <w:top w:val="nil"/>
              <w:left w:val="nil"/>
              <w:bottom w:val="nil"/>
              <w:right w:val="nil"/>
            </w:tcBorders>
            <w:shd w:val="clear" w:color="auto" w:fill="auto"/>
            <w:noWrap/>
            <w:vAlign w:val="center"/>
            <w:hideMark/>
          </w:tcPr>
          <w:p w14:paraId="16A17A03" w14:textId="77777777" w:rsidR="001A3202" w:rsidRPr="008B2F93" w:rsidRDefault="001A3202" w:rsidP="00E607DA">
            <w:pPr>
              <w:jc w:val="right"/>
              <w:rPr>
                <w:rFonts w:ascii="Meta Pro" w:eastAsia="Times New Roman" w:hAnsi="Meta Pro"/>
                <w:b/>
                <w:bCs/>
                <w:szCs w:val="18"/>
                <w:lang w:eastAsia="en-AU"/>
              </w:rPr>
            </w:pPr>
          </w:p>
        </w:tc>
        <w:tc>
          <w:tcPr>
            <w:tcW w:w="1216" w:type="dxa"/>
            <w:tcBorders>
              <w:top w:val="nil"/>
              <w:left w:val="nil"/>
              <w:bottom w:val="nil"/>
              <w:right w:val="nil"/>
            </w:tcBorders>
            <w:shd w:val="clear" w:color="auto" w:fill="auto"/>
            <w:noWrap/>
            <w:vAlign w:val="center"/>
            <w:hideMark/>
          </w:tcPr>
          <w:p w14:paraId="4BD27737" w14:textId="77777777" w:rsidR="001A3202" w:rsidRPr="008B2F93" w:rsidRDefault="001A3202" w:rsidP="00E607DA">
            <w:pPr>
              <w:rPr>
                <w:rFonts w:eastAsia="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643466AC" w14:textId="77777777" w:rsidR="001A3202" w:rsidRPr="008B2F93" w:rsidRDefault="001A3202" w:rsidP="00E607DA">
            <w:pPr>
              <w:jc w:val="right"/>
              <w:rPr>
                <w:rFonts w:eastAsia="Times New Roman"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4953D1B0" w14:textId="77777777" w:rsidR="001A3202" w:rsidRPr="008B2F93" w:rsidRDefault="001A3202" w:rsidP="00E607DA">
            <w:pPr>
              <w:jc w:val="right"/>
              <w:rPr>
                <w:rFonts w:eastAsia="Times New Roman" w:cs="Times New Roman"/>
                <w:sz w:val="20"/>
                <w:szCs w:val="20"/>
                <w:lang w:eastAsia="en-AU"/>
              </w:rPr>
            </w:pPr>
          </w:p>
        </w:tc>
      </w:tr>
      <w:tr w:rsidR="001A3202" w:rsidRPr="008B2F93" w14:paraId="7603C740" w14:textId="77777777" w:rsidTr="00E607DA">
        <w:trPr>
          <w:trHeight w:val="240"/>
        </w:trPr>
        <w:tc>
          <w:tcPr>
            <w:tcW w:w="7476" w:type="dxa"/>
            <w:tcBorders>
              <w:top w:val="nil"/>
              <w:left w:val="nil"/>
              <w:bottom w:val="nil"/>
              <w:right w:val="nil"/>
            </w:tcBorders>
            <w:shd w:val="clear" w:color="auto" w:fill="auto"/>
            <w:noWrap/>
            <w:vAlign w:val="center"/>
            <w:hideMark/>
          </w:tcPr>
          <w:p w14:paraId="30FBEF70" w14:textId="77777777" w:rsidR="001A3202" w:rsidRPr="008B2F93" w:rsidRDefault="001A3202" w:rsidP="00E607DA">
            <w:pPr>
              <w:rPr>
                <w:rFonts w:ascii="Meta Pro" w:eastAsia="Times New Roman" w:hAnsi="Meta Pro"/>
                <w:szCs w:val="18"/>
                <w:lang w:eastAsia="en-AU"/>
              </w:rPr>
            </w:pPr>
            <w:r w:rsidRPr="008B2F93">
              <w:rPr>
                <w:rFonts w:ascii="Meta Pro" w:eastAsia="Times New Roman" w:hAnsi="Meta Pro"/>
                <w:szCs w:val="18"/>
                <w:lang w:eastAsia="en-AU"/>
              </w:rPr>
              <w:t>* User charges, fees and fines includes:</w:t>
            </w:r>
          </w:p>
        </w:tc>
        <w:tc>
          <w:tcPr>
            <w:tcW w:w="1216" w:type="dxa"/>
            <w:tcBorders>
              <w:top w:val="nil"/>
              <w:left w:val="nil"/>
              <w:bottom w:val="nil"/>
              <w:right w:val="nil"/>
            </w:tcBorders>
            <w:shd w:val="clear" w:color="auto" w:fill="auto"/>
            <w:noWrap/>
            <w:vAlign w:val="center"/>
            <w:hideMark/>
          </w:tcPr>
          <w:p w14:paraId="4C1D5AED" w14:textId="77777777" w:rsidR="001A3202" w:rsidRPr="008B2F93" w:rsidRDefault="001A3202" w:rsidP="00E607DA">
            <w:pPr>
              <w:rPr>
                <w:rFonts w:ascii="Meta Pro" w:eastAsia="Times New Roman" w:hAnsi="Meta Pro"/>
                <w:szCs w:val="18"/>
                <w:lang w:eastAsia="en-AU"/>
              </w:rPr>
            </w:pPr>
          </w:p>
        </w:tc>
        <w:tc>
          <w:tcPr>
            <w:tcW w:w="216" w:type="dxa"/>
            <w:tcBorders>
              <w:top w:val="nil"/>
              <w:left w:val="nil"/>
              <w:bottom w:val="nil"/>
              <w:right w:val="nil"/>
            </w:tcBorders>
            <w:shd w:val="clear" w:color="auto" w:fill="auto"/>
            <w:noWrap/>
            <w:vAlign w:val="center"/>
            <w:hideMark/>
          </w:tcPr>
          <w:p w14:paraId="1D361BA1" w14:textId="77777777" w:rsidR="001A3202" w:rsidRPr="008B2F93" w:rsidRDefault="001A3202" w:rsidP="00E607DA">
            <w:pPr>
              <w:jc w:val="right"/>
              <w:rPr>
                <w:rFonts w:eastAsia="Times New Roman"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3FCEA7AF" w14:textId="77777777" w:rsidR="001A3202" w:rsidRPr="008B2F93" w:rsidRDefault="001A3202" w:rsidP="00E607DA">
            <w:pPr>
              <w:jc w:val="right"/>
              <w:rPr>
                <w:rFonts w:eastAsia="Times New Roman" w:cs="Times New Roman"/>
                <w:sz w:val="20"/>
                <w:szCs w:val="20"/>
                <w:lang w:eastAsia="en-AU"/>
              </w:rPr>
            </w:pPr>
          </w:p>
        </w:tc>
      </w:tr>
      <w:tr w:rsidR="001A3202" w:rsidRPr="008B2F93" w14:paraId="13D7EC2D" w14:textId="77777777" w:rsidTr="00E607DA">
        <w:trPr>
          <w:trHeight w:val="240"/>
        </w:trPr>
        <w:tc>
          <w:tcPr>
            <w:tcW w:w="7476" w:type="dxa"/>
            <w:tcBorders>
              <w:top w:val="nil"/>
              <w:left w:val="nil"/>
              <w:bottom w:val="nil"/>
              <w:right w:val="nil"/>
            </w:tcBorders>
            <w:shd w:val="clear" w:color="auto" w:fill="auto"/>
            <w:noWrap/>
            <w:vAlign w:val="center"/>
            <w:hideMark/>
          </w:tcPr>
          <w:p w14:paraId="09FFEAEC" w14:textId="77777777" w:rsidR="001A3202" w:rsidRPr="008B2F93" w:rsidRDefault="001A3202" w:rsidP="00E607DA">
            <w:pPr>
              <w:rPr>
                <w:rFonts w:ascii="Meta Pro" w:eastAsia="Times New Roman" w:hAnsi="Meta Pro"/>
                <w:szCs w:val="18"/>
                <w:lang w:eastAsia="en-AU"/>
              </w:rPr>
            </w:pPr>
            <w:r w:rsidRPr="008B2F93">
              <w:rPr>
                <w:rFonts w:ascii="Meta Pro" w:eastAsia="Times New Roman" w:hAnsi="Meta Pro"/>
                <w:szCs w:val="18"/>
                <w:lang w:eastAsia="en-AU"/>
              </w:rPr>
              <w:t>Fines and forfeiture</w:t>
            </w:r>
          </w:p>
        </w:tc>
        <w:tc>
          <w:tcPr>
            <w:tcW w:w="1216" w:type="dxa"/>
            <w:tcBorders>
              <w:top w:val="nil"/>
              <w:left w:val="nil"/>
              <w:bottom w:val="nil"/>
              <w:right w:val="nil"/>
            </w:tcBorders>
            <w:shd w:val="clear" w:color="000000" w:fill="C9E3B4"/>
            <w:noWrap/>
            <w:vAlign w:val="center"/>
            <w:hideMark/>
          </w:tcPr>
          <w:p w14:paraId="39E41F33" w14:textId="77777777" w:rsidR="001A3202" w:rsidRPr="008B2F93" w:rsidRDefault="001A3202" w:rsidP="00E607DA">
            <w:pPr>
              <w:jc w:val="right"/>
              <w:rPr>
                <w:rFonts w:ascii="Meta Pro" w:eastAsia="Times New Roman" w:hAnsi="Meta Pro"/>
                <w:szCs w:val="18"/>
                <w:lang w:eastAsia="en-AU"/>
              </w:rPr>
            </w:pPr>
            <w:r w:rsidRPr="008B2F93">
              <w:rPr>
                <w:rFonts w:ascii="Meta Pro" w:eastAsia="Times New Roman" w:hAnsi="Meta Pro"/>
                <w:szCs w:val="18"/>
                <w:lang w:eastAsia="en-AU"/>
              </w:rPr>
              <w:t xml:space="preserve">107,853 </w:t>
            </w:r>
          </w:p>
        </w:tc>
        <w:tc>
          <w:tcPr>
            <w:tcW w:w="216" w:type="dxa"/>
            <w:tcBorders>
              <w:top w:val="nil"/>
              <w:left w:val="nil"/>
              <w:bottom w:val="nil"/>
              <w:right w:val="nil"/>
            </w:tcBorders>
            <w:shd w:val="clear" w:color="auto" w:fill="auto"/>
            <w:noWrap/>
            <w:vAlign w:val="center"/>
            <w:hideMark/>
          </w:tcPr>
          <w:p w14:paraId="7F8DBB98" w14:textId="77777777" w:rsidR="001A3202" w:rsidRPr="008B2F93" w:rsidRDefault="001A3202"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7B62AEC6" w14:textId="77777777" w:rsidR="001A3202" w:rsidRPr="008B2F93" w:rsidRDefault="001A3202" w:rsidP="00E607DA">
            <w:pPr>
              <w:jc w:val="right"/>
              <w:rPr>
                <w:rFonts w:ascii="Meta Pro" w:eastAsia="Times New Roman" w:hAnsi="Meta Pro"/>
                <w:szCs w:val="18"/>
                <w:lang w:eastAsia="en-AU"/>
              </w:rPr>
            </w:pPr>
            <w:r w:rsidRPr="008B2F93">
              <w:rPr>
                <w:rFonts w:ascii="Meta Pro" w:eastAsia="Times New Roman" w:hAnsi="Meta Pro"/>
                <w:szCs w:val="18"/>
                <w:lang w:eastAsia="en-AU"/>
              </w:rPr>
              <w:t xml:space="preserve">191,327 </w:t>
            </w:r>
          </w:p>
        </w:tc>
      </w:tr>
      <w:tr w:rsidR="001A3202" w:rsidRPr="008B2F93" w14:paraId="078D2351" w14:textId="77777777" w:rsidTr="00E607DA">
        <w:trPr>
          <w:trHeight w:val="240"/>
        </w:trPr>
        <w:tc>
          <w:tcPr>
            <w:tcW w:w="7476" w:type="dxa"/>
            <w:tcBorders>
              <w:top w:val="nil"/>
              <w:left w:val="nil"/>
              <w:bottom w:val="nil"/>
              <w:right w:val="nil"/>
            </w:tcBorders>
            <w:shd w:val="clear" w:color="auto" w:fill="auto"/>
            <w:noWrap/>
            <w:vAlign w:val="center"/>
            <w:hideMark/>
          </w:tcPr>
          <w:p w14:paraId="5D8C32C4" w14:textId="77777777" w:rsidR="001A3202" w:rsidRPr="008B2F93" w:rsidRDefault="001A3202" w:rsidP="00E607DA">
            <w:pPr>
              <w:rPr>
                <w:rFonts w:ascii="Meta Pro" w:eastAsia="Times New Roman" w:hAnsi="Meta Pro"/>
                <w:szCs w:val="18"/>
                <w:lang w:eastAsia="en-AU"/>
              </w:rPr>
            </w:pPr>
            <w:r w:rsidRPr="008B2F93">
              <w:rPr>
                <w:rFonts w:ascii="Meta Pro" w:eastAsia="Times New Roman" w:hAnsi="Meta Pro"/>
                <w:szCs w:val="18"/>
                <w:lang w:eastAsia="en-AU"/>
              </w:rPr>
              <w:t>Motor vehicle registration</w:t>
            </w:r>
          </w:p>
        </w:tc>
        <w:tc>
          <w:tcPr>
            <w:tcW w:w="1216" w:type="dxa"/>
            <w:tcBorders>
              <w:top w:val="nil"/>
              <w:left w:val="nil"/>
              <w:bottom w:val="nil"/>
              <w:right w:val="nil"/>
            </w:tcBorders>
            <w:shd w:val="clear" w:color="000000" w:fill="C9E3B4"/>
            <w:noWrap/>
            <w:vAlign w:val="center"/>
            <w:hideMark/>
          </w:tcPr>
          <w:p w14:paraId="668480C9" w14:textId="77777777" w:rsidR="001A3202" w:rsidRPr="008B2F93" w:rsidRDefault="001A3202" w:rsidP="00E607DA">
            <w:pPr>
              <w:jc w:val="right"/>
              <w:rPr>
                <w:rFonts w:ascii="Meta Pro" w:eastAsia="Times New Roman" w:hAnsi="Meta Pro"/>
                <w:szCs w:val="18"/>
                <w:lang w:eastAsia="en-AU"/>
              </w:rPr>
            </w:pPr>
            <w:r w:rsidRPr="008B2F93">
              <w:rPr>
                <w:rFonts w:ascii="Meta Pro" w:eastAsia="Times New Roman" w:hAnsi="Meta Pro"/>
                <w:szCs w:val="18"/>
                <w:lang w:eastAsia="en-AU"/>
              </w:rPr>
              <w:t xml:space="preserve">2,108,230 </w:t>
            </w:r>
          </w:p>
        </w:tc>
        <w:tc>
          <w:tcPr>
            <w:tcW w:w="216" w:type="dxa"/>
            <w:tcBorders>
              <w:top w:val="nil"/>
              <w:left w:val="nil"/>
              <w:bottom w:val="nil"/>
              <w:right w:val="nil"/>
            </w:tcBorders>
            <w:shd w:val="clear" w:color="auto" w:fill="auto"/>
            <w:noWrap/>
            <w:vAlign w:val="center"/>
            <w:hideMark/>
          </w:tcPr>
          <w:p w14:paraId="044D9B54" w14:textId="77777777" w:rsidR="001A3202" w:rsidRPr="008B2F93" w:rsidRDefault="001A3202"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304CA61B" w14:textId="77777777" w:rsidR="001A3202" w:rsidRPr="008B2F93" w:rsidRDefault="001A3202" w:rsidP="00E607DA">
            <w:pPr>
              <w:jc w:val="right"/>
              <w:rPr>
                <w:rFonts w:ascii="Meta Pro" w:eastAsia="Times New Roman" w:hAnsi="Meta Pro"/>
                <w:szCs w:val="18"/>
                <w:lang w:eastAsia="en-AU"/>
              </w:rPr>
            </w:pPr>
            <w:r w:rsidRPr="008B2F93">
              <w:rPr>
                <w:rFonts w:ascii="Meta Pro" w:eastAsia="Times New Roman" w:hAnsi="Meta Pro"/>
                <w:szCs w:val="18"/>
                <w:lang w:eastAsia="en-AU"/>
              </w:rPr>
              <w:t xml:space="preserve">2,020,279 </w:t>
            </w:r>
          </w:p>
        </w:tc>
      </w:tr>
      <w:tr w:rsidR="001A3202" w:rsidRPr="008B2F93" w14:paraId="26C1B415" w14:textId="77777777" w:rsidTr="00E607DA">
        <w:trPr>
          <w:trHeight w:val="240"/>
        </w:trPr>
        <w:tc>
          <w:tcPr>
            <w:tcW w:w="7476" w:type="dxa"/>
            <w:tcBorders>
              <w:top w:val="nil"/>
              <w:left w:val="nil"/>
              <w:bottom w:val="nil"/>
              <w:right w:val="nil"/>
            </w:tcBorders>
            <w:shd w:val="clear" w:color="auto" w:fill="auto"/>
            <w:noWrap/>
            <w:vAlign w:val="center"/>
            <w:hideMark/>
          </w:tcPr>
          <w:p w14:paraId="4C90952B" w14:textId="77777777" w:rsidR="001A3202" w:rsidRPr="008B2F93" w:rsidRDefault="001A3202" w:rsidP="00E607DA">
            <w:pPr>
              <w:rPr>
                <w:rFonts w:ascii="Meta Pro" w:eastAsia="Times New Roman" w:hAnsi="Meta Pro"/>
                <w:szCs w:val="18"/>
                <w:lang w:eastAsia="en-AU"/>
              </w:rPr>
            </w:pPr>
            <w:r w:rsidRPr="008B2F93">
              <w:rPr>
                <w:rFonts w:ascii="Meta Pro" w:eastAsia="Times New Roman" w:hAnsi="Meta Pro"/>
                <w:szCs w:val="18"/>
                <w:lang w:eastAsia="en-AU"/>
              </w:rPr>
              <w:t>Transport and traffic fees</w:t>
            </w:r>
          </w:p>
        </w:tc>
        <w:tc>
          <w:tcPr>
            <w:tcW w:w="1216" w:type="dxa"/>
            <w:tcBorders>
              <w:top w:val="nil"/>
              <w:left w:val="nil"/>
              <w:bottom w:val="nil"/>
              <w:right w:val="nil"/>
            </w:tcBorders>
            <w:shd w:val="clear" w:color="000000" w:fill="C9E3B4"/>
            <w:noWrap/>
            <w:vAlign w:val="center"/>
            <w:hideMark/>
          </w:tcPr>
          <w:p w14:paraId="61B77C0B" w14:textId="77777777" w:rsidR="001A3202" w:rsidRPr="008B2F93" w:rsidRDefault="001A3202" w:rsidP="00E607DA">
            <w:pPr>
              <w:jc w:val="right"/>
              <w:rPr>
                <w:rFonts w:ascii="Meta Pro" w:eastAsia="Times New Roman" w:hAnsi="Meta Pro"/>
                <w:szCs w:val="18"/>
                <w:lang w:eastAsia="en-AU"/>
              </w:rPr>
            </w:pPr>
            <w:r w:rsidRPr="008B2F93">
              <w:rPr>
                <w:rFonts w:ascii="Meta Pro" w:eastAsia="Times New Roman" w:hAnsi="Meta Pro"/>
                <w:szCs w:val="18"/>
                <w:lang w:eastAsia="en-AU"/>
              </w:rPr>
              <w:t xml:space="preserve">532,758 </w:t>
            </w:r>
          </w:p>
        </w:tc>
        <w:tc>
          <w:tcPr>
            <w:tcW w:w="216" w:type="dxa"/>
            <w:tcBorders>
              <w:top w:val="nil"/>
              <w:left w:val="nil"/>
              <w:bottom w:val="nil"/>
              <w:right w:val="nil"/>
            </w:tcBorders>
            <w:shd w:val="clear" w:color="auto" w:fill="auto"/>
            <w:noWrap/>
            <w:vAlign w:val="center"/>
            <w:hideMark/>
          </w:tcPr>
          <w:p w14:paraId="571EA1A3" w14:textId="77777777" w:rsidR="001A3202" w:rsidRPr="008B2F93" w:rsidRDefault="001A3202"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4D2BDCC8" w14:textId="77777777" w:rsidR="001A3202" w:rsidRPr="008B2F93" w:rsidRDefault="001A3202" w:rsidP="00E607DA">
            <w:pPr>
              <w:jc w:val="right"/>
              <w:rPr>
                <w:rFonts w:ascii="Meta Pro" w:eastAsia="Times New Roman" w:hAnsi="Meta Pro"/>
                <w:szCs w:val="18"/>
                <w:lang w:eastAsia="en-AU"/>
              </w:rPr>
            </w:pPr>
            <w:r w:rsidRPr="008B2F93">
              <w:rPr>
                <w:rFonts w:ascii="Meta Pro" w:eastAsia="Times New Roman" w:hAnsi="Meta Pro"/>
                <w:szCs w:val="18"/>
                <w:lang w:eastAsia="en-AU"/>
              </w:rPr>
              <w:t xml:space="preserve">487,381 </w:t>
            </w:r>
          </w:p>
        </w:tc>
      </w:tr>
      <w:tr w:rsidR="001A3202" w:rsidRPr="008B2F93" w14:paraId="4CF7145D" w14:textId="77777777" w:rsidTr="00E607DA">
        <w:trPr>
          <w:trHeight w:val="240"/>
        </w:trPr>
        <w:tc>
          <w:tcPr>
            <w:tcW w:w="7476" w:type="dxa"/>
            <w:tcBorders>
              <w:top w:val="nil"/>
              <w:left w:val="nil"/>
              <w:bottom w:val="nil"/>
              <w:right w:val="nil"/>
            </w:tcBorders>
            <w:shd w:val="clear" w:color="auto" w:fill="auto"/>
            <w:noWrap/>
            <w:vAlign w:val="center"/>
            <w:hideMark/>
          </w:tcPr>
          <w:p w14:paraId="702651C8" w14:textId="77777777" w:rsidR="001A3202" w:rsidRPr="008B2F93" w:rsidRDefault="001A3202" w:rsidP="00E607DA">
            <w:pPr>
              <w:rPr>
                <w:rFonts w:ascii="Meta Pro" w:eastAsia="Times New Roman" w:hAnsi="Meta Pro"/>
                <w:szCs w:val="18"/>
                <w:lang w:eastAsia="en-AU"/>
              </w:rPr>
            </w:pPr>
            <w:r w:rsidRPr="008B2F93">
              <w:rPr>
                <w:rFonts w:ascii="Meta Pro" w:eastAsia="Times New Roman" w:hAnsi="Meta Pro"/>
                <w:szCs w:val="18"/>
                <w:lang w:eastAsia="en-AU"/>
              </w:rPr>
              <w:t>Other registration</w:t>
            </w:r>
          </w:p>
        </w:tc>
        <w:tc>
          <w:tcPr>
            <w:tcW w:w="1216" w:type="dxa"/>
            <w:tcBorders>
              <w:top w:val="nil"/>
              <w:left w:val="nil"/>
              <w:bottom w:val="nil"/>
              <w:right w:val="nil"/>
            </w:tcBorders>
            <w:shd w:val="clear" w:color="000000" w:fill="C9E3B4"/>
            <w:noWrap/>
            <w:vAlign w:val="center"/>
            <w:hideMark/>
          </w:tcPr>
          <w:p w14:paraId="091C62CA" w14:textId="77777777" w:rsidR="001A3202" w:rsidRPr="008B2F93" w:rsidRDefault="001A3202" w:rsidP="00E607DA">
            <w:pPr>
              <w:jc w:val="right"/>
              <w:rPr>
                <w:rFonts w:ascii="Meta Pro" w:eastAsia="Times New Roman" w:hAnsi="Meta Pro"/>
                <w:szCs w:val="18"/>
                <w:lang w:eastAsia="en-AU"/>
              </w:rPr>
            </w:pPr>
            <w:r w:rsidRPr="008B2F93">
              <w:rPr>
                <w:rFonts w:ascii="Meta Pro" w:eastAsia="Times New Roman" w:hAnsi="Meta Pro"/>
                <w:szCs w:val="18"/>
                <w:lang w:eastAsia="en-AU"/>
              </w:rPr>
              <w:t xml:space="preserve">83,059 </w:t>
            </w:r>
          </w:p>
        </w:tc>
        <w:tc>
          <w:tcPr>
            <w:tcW w:w="216" w:type="dxa"/>
            <w:tcBorders>
              <w:top w:val="nil"/>
              <w:left w:val="nil"/>
              <w:bottom w:val="nil"/>
              <w:right w:val="nil"/>
            </w:tcBorders>
            <w:shd w:val="clear" w:color="auto" w:fill="auto"/>
            <w:noWrap/>
            <w:vAlign w:val="center"/>
            <w:hideMark/>
          </w:tcPr>
          <w:p w14:paraId="2106A00C" w14:textId="77777777" w:rsidR="001A3202" w:rsidRPr="008B2F93" w:rsidRDefault="001A3202"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1636BCD6" w14:textId="77777777" w:rsidR="001A3202" w:rsidRPr="008B2F93" w:rsidRDefault="001A3202" w:rsidP="00E607DA">
            <w:pPr>
              <w:jc w:val="right"/>
              <w:rPr>
                <w:rFonts w:ascii="Meta Pro" w:eastAsia="Times New Roman" w:hAnsi="Meta Pro"/>
                <w:szCs w:val="18"/>
                <w:lang w:eastAsia="en-AU"/>
              </w:rPr>
            </w:pPr>
            <w:r w:rsidRPr="008B2F93">
              <w:rPr>
                <w:rFonts w:ascii="Meta Pro" w:eastAsia="Times New Roman" w:hAnsi="Meta Pro"/>
                <w:szCs w:val="18"/>
                <w:lang w:eastAsia="en-AU"/>
              </w:rPr>
              <w:t xml:space="preserve">82,063 </w:t>
            </w:r>
          </w:p>
        </w:tc>
      </w:tr>
      <w:tr w:rsidR="001A3202" w:rsidRPr="008B2F93" w14:paraId="5B92FFEB" w14:textId="77777777" w:rsidTr="00E607DA">
        <w:trPr>
          <w:trHeight w:val="240"/>
        </w:trPr>
        <w:tc>
          <w:tcPr>
            <w:tcW w:w="7476" w:type="dxa"/>
            <w:tcBorders>
              <w:top w:val="nil"/>
              <w:left w:val="nil"/>
              <w:bottom w:val="nil"/>
              <w:right w:val="nil"/>
            </w:tcBorders>
            <w:shd w:val="clear" w:color="auto" w:fill="auto"/>
            <w:noWrap/>
            <w:vAlign w:val="center"/>
            <w:hideMark/>
          </w:tcPr>
          <w:p w14:paraId="3DD51D96" w14:textId="77777777" w:rsidR="001A3202" w:rsidRPr="008B2F93" w:rsidRDefault="001A3202" w:rsidP="00E607DA">
            <w:pPr>
              <w:rPr>
                <w:rFonts w:ascii="Meta Pro" w:eastAsia="Times New Roman" w:hAnsi="Meta Pro"/>
                <w:szCs w:val="18"/>
                <w:lang w:eastAsia="en-AU"/>
              </w:rPr>
            </w:pPr>
            <w:r w:rsidRPr="008B2F93">
              <w:rPr>
                <w:rFonts w:ascii="Meta Pro" w:eastAsia="Times New Roman" w:hAnsi="Meta Pro"/>
                <w:szCs w:val="18"/>
                <w:lang w:eastAsia="en-AU"/>
              </w:rPr>
              <w:t>Other regulatory fees</w:t>
            </w:r>
          </w:p>
        </w:tc>
        <w:tc>
          <w:tcPr>
            <w:tcW w:w="1216" w:type="dxa"/>
            <w:tcBorders>
              <w:top w:val="nil"/>
              <w:left w:val="nil"/>
              <w:bottom w:val="nil"/>
              <w:right w:val="nil"/>
            </w:tcBorders>
            <w:shd w:val="clear" w:color="000000" w:fill="C9E3B4"/>
            <w:noWrap/>
            <w:vAlign w:val="center"/>
            <w:hideMark/>
          </w:tcPr>
          <w:p w14:paraId="33DCC940" w14:textId="77777777" w:rsidR="001A3202" w:rsidRPr="008B2F93" w:rsidRDefault="001A3202" w:rsidP="00E607DA">
            <w:pPr>
              <w:jc w:val="right"/>
              <w:rPr>
                <w:rFonts w:ascii="Meta Pro" w:eastAsia="Times New Roman" w:hAnsi="Meta Pro"/>
                <w:szCs w:val="18"/>
                <w:lang w:eastAsia="en-AU"/>
              </w:rPr>
            </w:pPr>
            <w:r w:rsidRPr="008B2F93">
              <w:rPr>
                <w:rFonts w:ascii="Meta Pro" w:eastAsia="Times New Roman" w:hAnsi="Meta Pro"/>
                <w:szCs w:val="18"/>
                <w:lang w:eastAsia="en-AU"/>
              </w:rPr>
              <w:t xml:space="preserve">76,348 </w:t>
            </w:r>
          </w:p>
        </w:tc>
        <w:tc>
          <w:tcPr>
            <w:tcW w:w="216" w:type="dxa"/>
            <w:tcBorders>
              <w:top w:val="nil"/>
              <w:left w:val="nil"/>
              <w:bottom w:val="nil"/>
              <w:right w:val="nil"/>
            </w:tcBorders>
            <w:shd w:val="clear" w:color="auto" w:fill="auto"/>
            <w:noWrap/>
            <w:vAlign w:val="center"/>
            <w:hideMark/>
          </w:tcPr>
          <w:p w14:paraId="38217A36" w14:textId="77777777" w:rsidR="001A3202" w:rsidRPr="008B2F93" w:rsidRDefault="001A3202"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775A3AE9" w14:textId="77777777" w:rsidR="001A3202" w:rsidRPr="008B2F93" w:rsidRDefault="001A3202" w:rsidP="00E607DA">
            <w:pPr>
              <w:jc w:val="right"/>
              <w:rPr>
                <w:rFonts w:ascii="Meta Pro" w:eastAsia="Times New Roman" w:hAnsi="Meta Pro"/>
                <w:szCs w:val="18"/>
                <w:lang w:eastAsia="en-AU"/>
              </w:rPr>
            </w:pPr>
            <w:r w:rsidRPr="008B2F93">
              <w:rPr>
                <w:rFonts w:ascii="Meta Pro" w:eastAsia="Times New Roman" w:hAnsi="Meta Pro"/>
                <w:szCs w:val="18"/>
                <w:lang w:eastAsia="en-AU"/>
              </w:rPr>
              <w:t xml:space="preserve">76,095 </w:t>
            </w:r>
          </w:p>
        </w:tc>
      </w:tr>
      <w:tr w:rsidR="001A3202" w:rsidRPr="008B2F93" w14:paraId="22FE1D11" w14:textId="77777777" w:rsidTr="00E607DA">
        <w:trPr>
          <w:trHeight w:val="240"/>
        </w:trPr>
        <w:tc>
          <w:tcPr>
            <w:tcW w:w="7476" w:type="dxa"/>
            <w:tcBorders>
              <w:top w:val="nil"/>
              <w:left w:val="nil"/>
              <w:bottom w:val="nil"/>
              <w:right w:val="nil"/>
            </w:tcBorders>
            <w:shd w:val="clear" w:color="auto" w:fill="auto"/>
            <w:noWrap/>
            <w:vAlign w:val="center"/>
            <w:hideMark/>
          </w:tcPr>
          <w:p w14:paraId="3170BD34" w14:textId="77777777" w:rsidR="001A3202" w:rsidRPr="008B2F93" w:rsidRDefault="001A3202" w:rsidP="00E607DA">
            <w:pPr>
              <w:rPr>
                <w:rFonts w:ascii="Meta Pro" w:eastAsia="Times New Roman" w:hAnsi="Meta Pro"/>
                <w:szCs w:val="18"/>
                <w:lang w:eastAsia="en-AU"/>
              </w:rPr>
            </w:pPr>
            <w:r w:rsidRPr="008B2F93">
              <w:rPr>
                <w:rFonts w:ascii="Meta Pro" w:eastAsia="Times New Roman" w:hAnsi="Meta Pro"/>
                <w:szCs w:val="18"/>
                <w:lang w:eastAsia="en-AU"/>
              </w:rPr>
              <w:lastRenderedPageBreak/>
              <w:t>Other</w:t>
            </w:r>
          </w:p>
        </w:tc>
        <w:tc>
          <w:tcPr>
            <w:tcW w:w="1216" w:type="dxa"/>
            <w:tcBorders>
              <w:top w:val="nil"/>
              <w:left w:val="nil"/>
              <w:bottom w:val="nil"/>
              <w:right w:val="nil"/>
            </w:tcBorders>
            <w:shd w:val="clear" w:color="000000" w:fill="C9E3B4"/>
            <w:noWrap/>
            <w:vAlign w:val="center"/>
            <w:hideMark/>
          </w:tcPr>
          <w:p w14:paraId="4D173DC5" w14:textId="77777777" w:rsidR="001A3202" w:rsidRPr="008B2F93" w:rsidRDefault="001A3202" w:rsidP="00E607DA">
            <w:pPr>
              <w:jc w:val="right"/>
              <w:rPr>
                <w:rFonts w:ascii="Meta Pro" w:eastAsia="Times New Roman" w:hAnsi="Meta Pro"/>
                <w:szCs w:val="18"/>
                <w:lang w:eastAsia="en-AU"/>
              </w:rPr>
            </w:pPr>
            <w:r w:rsidRPr="008B2F93">
              <w:rPr>
                <w:rFonts w:ascii="Meta Pro" w:eastAsia="Times New Roman" w:hAnsi="Meta Pro"/>
                <w:szCs w:val="18"/>
                <w:lang w:eastAsia="en-AU"/>
              </w:rPr>
              <w:t xml:space="preserve">1,024 </w:t>
            </w:r>
          </w:p>
        </w:tc>
        <w:tc>
          <w:tcPr>
            <w:tcW w:w="216" w:type="dxa"/>
            <w:tcBorders>
              <w:top w:val="nil"/>
              <w:left w:val="nil"/>
              <w:bottom w:val="nil"/>
              <w:right w:val="nil"/>
            </w:tcBorders>
            <w:shd w:val="clear" w:color="auto" w:fill="auto"/>
            <w:noWrap/>
            <w:vAlign w:val="center"/>
            <w:hideMark/>
          </w:tcPr>
          <w:p w14:paraId="0FA98C28" w14:textId="77777777" w:rsidR="001A3202" w:rsidRPr="008B2F93" w:rsidRDefault="001A3202" w:rsidP="00E607DA">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767288FC" w14:textId="77777777" w:rsidR="001A3202" w:rsidRPr="008B2F93" w:rsidRDefault="001A3202" w:rsidP="00E607DA">
            <w:pPr>
              <w:jc w:val="right"/>
              <w:rPr>
                <w:rFonts w:ascii="Meta Pro" w:eastAsia="Times New Roman" w:hAnsi="Meta Pro"/>
                <w:szCs w:val="18"/>
                <w:lang w:eastAsia="en-AU"/>
              </w:rPr>
            </w:pPr>
            <w:r w:rsidRPr="008B2F93">
              <w:rPr>
                <w:rFonts w:ascii="Meta Pro" w:eastAsia="Times New Roman" w:hAnsi="Meta Pro"/>
                <w:szCs w:val="18"/>
                <w:lang w:eastAsia="en-AU"/>
              </w:rPr>
              <w:t xml:space="preserve">1,027 </w:t>
            </w:r>
          </w:p>
        </w:tc>
      </w:tr>
      <w:tr w:rsidR="001A3202" w:rsidRPr="008B2F93" w14:paraId="7FA3F354" w14:textId="77777777" w:rsidTr="00E607DA">
        <w:trPr>
          <w:trHeight w:val="240"/>
        </w:trPr>
        <w:tc>
          <w:tcPr>
            <w:tcW w:w="7476" w:type="dxa"/>
            <w:tcBorders>
              <w:top w:val="single" w:sz="4" w:space="0" w:color="auto"/>
              <w:left w:val="nil"/>
              <w:bottom w:val="double" w:sz="6" w:space="0" w:color="auto"/>
              <w:right w:val="nil"/>
            </w:tcBorders>
            <w:shd w:val="clear" w:color="auto" w:fill="auto"/>
            <w:noWrap/>
            <w:vAlign w:val="center"/>
            <w:hideMark/>
          </w:tcPr>
          <w:p w14:paraId="09ADCFD9" w14:textId="77777777" w:rsidR="001A3202" w:rsidRPr="008B2F93" w:rsidRDefault="001A3202" w:rsidP="00E607DA">
            <w:pPr>
              <w:rPr>
                <w:rFonts w:ascii="Meta Pro" w:eastAsia="Times New Roman" w:hAnsi="Meta Pro"/>
                <w:szCs w:val="18"/>
                <w:lang w:eastAsia="en-AU"/>
              </w:rPr>
            </w:pPr>
            <w:r w:rsidRPr="008B2F93">
              <w:rPr>
                <w:rFonts w:ascii="Meta Pro" w:eastAsia="Times New Roman" w:hAnsi="Meta Pro"/>
                <w:szCs w:val="18"/>
                <w:lang w:eastAsia="en-AU"/>
              </w:rPr>
              <w:t>Total</w:t>
            </w:r>
          </w:p>
        </w:tc>
        <w:tc>
          <w:tcPr>
            <w:tcW w:w="1216" w:type="dxa"/>
            <w:tcBorders>
              <w:top w:val="single" w:sz="4" w:space="0" w:color="auto"/>
              <w:left w:val="nil"/>
              <w:bottom w:val="double" w:sz="6" w:space="0" w:color="auto"/>
              <w:right w:val="nil"/>
            </w:tcBorders>
            <w:shd w:val="clear" w:color="000000" w:fill="C9E3B4"/>
            <w:noWrap/>
            <w:vAlign w:val="center"/>
            <w:hideMark/>
          </w:tcPr>
          <w:p w14:paraId="6C0B73EC" w14:textId="77777777" w:rsidR="001A3202" w:rsidRPr="008B2F93" w:rsidRDefault="001A3202" w:rsidP="00E607DA">
            <w:pPr>
              <w:jc w:val="right"/>
              <w:rPr>
                <w:rFonts w:ascii="Meta Pro" w:eastAsia="Times New Roman" w:hAnsi="Meta Pro"/>
                <w:szCs w:val="18"/>
                <w:lang w:eastAsia="en-AU"/>
              </w:rPr>
            </w:pPr>
            <w:r w:rsidRPr="008B2F93">
              <w:rPr>
                <w:rFonts w:ascii="Meta Pro" w:eastAsia="Times New Roman" w:hAnsi="Meta Pro"/>
                <w:szCs w:val="18"/>
                <w:lang w:eastAsia="en-AU"/>
              </w:rPr>
              <w:t xml:space="preserve">2,909,272 </w:t>
            </w:r>
          </w:p>
        </w:tc>
        <w:tc>
          <w:tcPr>
            <w:tcW w:w="216" w:type="dxa"/>
            <w:tcBorders>
              <w:top w:val="single" w:sz="4" w:space="0" w:color="auto"/>
              <w:left w:val="nil"/>
              <w:bottom w:val="double" w:sz="6" w:space="0" w:color="auto"/>
              <w:right w:val="nil"/>
            </w:tcBorders>
            <w:shd w:val="clear" w:color="auto" w:fill="auto"/>
            <w:noWrap/>
            <w:vAlign w:val="center"/>
            <w:hideMark/>
          </w:tcPr>
          <w:p w14:paraId="0E6B1880" w14:textId="77777777" w:rsidR="001A3202" w:rsidRPr="008B2F93" w:rsidRDefault="001A3202" w:rsidP="00E607DA">
            <w:pPr>
              <w:rPr>
                <w:rFonts w:ascii="Meta Pro" w:eastAsia="Times New Roman" w:hAnsi="Meta Pro"/>
                <w:szCs w:val="18"/>
                <w:lang w:eastAsia="en-AU"/>
              </w:rPr>
            </w:pPr>
            <w:r w:rsidRPr="008B2F93">
              <w:rPr>
                <w:rFonts w:ascii="Meta Pro" w:eastAsia="Times New Roman" w:hAnsi="Meta Pro"/>
                <w:szCs w:val="18"/>
                <w:lang w:eastAsia="en-AU"/>
              </w:rPr>
              <w:t> </w:t>
            </w:r>
          </w:p>
        </w:tc>
        <w:tc>
          <w:tcPr>
            <w:tcW w:w="1216" w:type="dxa"/>
            <w:tcBorders>
              <w:top w:val="single" w:sz="4" w:space="0" w:color="auto"/>
              <w:left w:val="nil"/>
              <w:bottom w:val="double" w:sz="6" w:space="0" w:color="auto"/>
              <w:right w:val="nil"/>
            </w:tcBorders>
            <w:shd w:val="clear" w:color="auto" w:fill="auto"/>
            <w:noWrap/>
            <w:vAlign w:val="center"/>
            <w:hideMark/>
          </w:tcPr>
          <w:p w14:paraId="3D97B267" w14:textId="77777777" w:rsidR="001A3202" w:rsidRPr="008B2F93" w:rsidRDefault="001A3202" w:rsidP="00E607DA">
            <w:pPr>
              <w:jc w:val="right"/>
              <w:rPr>
                <w:rFonts w:ascii="Meta Pro" w:eastAsia="Times New Roman" w:hAnsi="Meta Pro"/>
                <w:szCs w:val="18"/>
                <w:lang w:eastAsia="en-AU"/>
              </w:rPr>
            </w:pPr>
            <w:r w:rsidRPr="008B2F93">
              <w:rPr>
                <w:rFonts w:ascii="Meta Pro" w:eastAsia="Times New Roman" w:hAnsi="Meta Pro"/>
                <w:szCs w:val="18"/>
                <w:lang w:eastAsia="en-AU"/>
              </w:rPr>
              <w:t xml:space="preserve">2,858,172 </w:t>
            </w:r>
          </w:p>
        </w:tc>
      </w:tr>
    </w:tbl>
    <w:p w14:paraId="7B3AA4E2" w14:textId="77777777" w:rsidR="001A3202" w:rsidRDefault="001A3202" w:rsidP="00851F4F">
      <w:pPr>
        <w:spacing w:after="160" w:line="259" w:lineRule="auto"/>
        <w:rPr>
          <w:rFonts w:ascii="Meta Pro" w:eastAsia="Times New Roman" w:hAnsi="Meta Pro"/>
          <w:szCs w:val="18"/>
          <w:lang w:eastAsia="en-AU"/>
        </w:rPr>
      </w:pPr>
    </w:p>
    <w:tbl>
      <w:tblPr>
        <w:tblW w:w="0" w:type="auto"/>
        <w:tblCellMar>
          <w:left w:w="0" w:type="dxa"/>
        </w:tblCellMar>
        <w:tblLook w:val="04A0" w:firstRow="1" w:lastRow="0" w:firstColumn="1" w:lastColumn="0" w:noHBand="0" w:noVBand="1"/>
      </w:tblPr>
      <w:tblGrid>
        <w:gridCol w:w="6639"/>
        <w:gridCol w:w="1110"/>
        <w:gridCol w:w="218"/>
        <w:gridCol w:w="1103"/>
      </w:tblGrid>
      <w:tr w:rsidR="00544F7C" w:rsidRPr="00092B22" w14:paraId="4752EF22" w14:textId="77777777" w:rsidTr="002A161D">
        <w:trPr>
          <w:trHeight w:val="240"/>
        </w:trPr>
        <w:tc>
          <w:tcPr>
            <w:tcW w:w="6655" w:type="dxa"/>
            <w:tcBorders>
              <w:top w:val="nil"/>
              <w:left w:val="nil"/>
              <w:bottom w:val="nil"/>
              <w:right w:val="nil"/>
            </w:tcBorders>
            <w:shd w:val="clear" w:color="auto" w:fill="auto"/>
            <w:noWrap/>
            <w:vAlign w:val="center"/>
            <w:hideMark/>
          </w:tcPr>
          <w:p w14:paraId="0F3B03C0" w14:textId="77777777" w:rsidR="00544F7C" w:rsidRPr="00092B22" w:rsidRDefault="00544F7C" w:rsidP="00E607DA">
            <w:pPr>
              <w:rPr>
                <w:rFonts w:ascii="Meta Pro" w:eastAsia="Times New Roman" w:hAnsi="Meta Pro" w:cs="Times New Roman"/>
                <w:sz w:val="24"/>
                <w:szCs w:val="24"/>
                <w:lang w:eastAsia="en-AU"/>
              </w:rPr>
            </w:pPr>
          </w:p>
          <w:p w14:paraId="660BA1E8" w14:textId="77777777" w:rsidR="00544F7C" w:rsidRPr="00092B22" w:rsidRDefault="00544F7C" w:rsidP="00E607DA">
            <w:pPr>
              <w:rPr>
                <w:rFonts w:ascii="Meta Pro" w:eastAsia="Times New Roman" w:hAnsi="Meta Pro" w:cs="Times New Roman"/>
                <w:sz w:val="24"/>
                <w:szCs w:val="24"/>
                <w:lang w:eastAsia="en-AU"/>
              </w:rPr>
            </w:pPr>
          </w:p>
        </w:tc>
        <w:tc>
          <w:tcPr>
            <w:tcW w:w="1106" w:type="dxa"/>
            <w:tcBorders>
              <w:top w:val="nil"/>
              <w:left w:val="nil"/>
              <w:bottom w:val="nil"/>
              <w:right w:val="nil"/>
            </w:tcBorders>
            <w:shd w:val="clear" w:color="auto" w:fill="auto"/>
            <w:noWrap/>
            <w:vAlign w:val="center"/>
            <w:hideMark/>
          </w:tcPr>
          <w:p w14:paraId="674F3438" w14:textId="77777777" w:rsidR="00544F7C" w:rsidRPr="00092B22" w:rsidRDefault="00544F7C" w:rsidP="00E607DA">
            <w:pPr>
              <w:spacing w:before="240"/>
              <w:jc w:val="center"/>
              <w:rPr>
                <w:rFonts w:ascii="Meta Pro" w:eastAsia="Times New Roman" w:hAnsi="Meta Pro"/>
                <w:b/>
                <w:bCs/>
                <w:color w:val="000000"/>
                <w:lang w:eastAsia="en-AU"/>
              </w:rPr>
            </w:pPr>
            <w:r w:rsidRPr="00092B22">
              <w:rPr>
                <w:rFonts w:ascii="Meta Pro" w:eastAsia="Times New Roman" w:hAnsi="Meta Pro"/>
                <w:b/>
                <w:bCs/>
                <w:color w:val="000000"/>
                <w:lang w:eastAsia="en-AU"/>
              </w:rPr>
              <w:t>2022</w:t>
            </w:r>
          </w:p>
        </w:tc>
        <w:tc>
          <w:tcPr>
            <w:tcW w:w="210" w:type="dxa"/>
            <w:tcBorders>
              <w:top w:val="nil"/>
              <w:left w:val="nil"/>
              <w:bottom w:val="nil"/>
              <w:right w:val="nil"/>
            </w:tcBorders>
            <w:shd w:val="clear" w:color="auto" w:fill="auto"/>
            <w:noWrap/>
            <w:vAlign w:val="center"/>
            <w:hideMark/>
          </w:tcPr>
          <w:p w14:paraId="64933A9C" w14:textId="77777777" w:rsidR="00544F7C" w:rsidRPr="00092B22" w:rsidRDefault="00544F7C" w:rsidP="00E607DA">
            <w:pPr>
              <w:spacing w:before="240"/>
              <w:jc w:val="center"/>
              <w:rPr>
                <w:rFonts w:ascii="Meta Pro" w:eastAsia="Times New Roman" w:hAnsi="Meta Pro"/>
                <w:b/>
                <w:bCs/>
                <w:color w:val="000000"/>
                <w:lang w:eastAsia="en-AU"/>
              </w:rPr>
            </w:pPr>
          </w:p>
        </w:tc>
        <w:tc>
          <w:tcPr>
            <w:tcW w:w="1099" w:type="dxa"/>
            <w:tcBorders>
              <w:top w:val="nil"/>
              <w:left w:val="nil"/>
              <w:bottom w:val="nil"/>
              <w:right w:val="nil"/>
            </w:tcBorders>
            <w:shd w:val="clear" w:color="auto" w:fill="auto"/>
            <w:noWrap/>
            <w:vAlign w:val="center"/>
            <w:hideMark/>
          </w:tcPr>
          <w:p w14:paraId="7F3C4C95" w14:textId="77777777" w:rsidR="00544F7C" w:rsidRPr="00092B22" w:rsidRDefault="00544F7C" w:rsidP="00E607DA">
            <w:pPr>
              <w:spacing w:before="240"/>
              <w:jc w:val="center"/>
              <w:rPr>
                <w:rFonts w:ascii="Meta Pro" w:eastAsia="Times New Roman" w:hAnsi="Meta Pro"/>
                <w:b/>
                <w:bCs/>
                <w:lang w:eastAsia="en-AU"/>
              </w:rPr>
            </w:pPr>
            <w:r w:rsidRPr="00092B22">
              <w:rPr>
                <w:rFonts w:ascii="Meta Pro" w:eastAsia="Times New Roman" w:hAnsi="Meta Pro"/>
                <w:b/>
                <w:bCs/>
                <w:lang w:eastAsia="en-AU"/>
              </w:rPr>
              <w:t>2021</w:t>
            </w:r>
          </w:p>
        </w:tc>
      </w:tr>
      <w:tr w:rsidR="00544F7C" w:rsidRPr="00092B22" w14:paraId="3CA58890" w14:textId="77777777" w:rsidTr="002A161D">
        <w:trPr>
          <w:trHeight w:val="240"/>
        </w:trPr>
        <w:tc>
          <w:tcPr>
            <w:tcW w:w="6655" w:type="dxa"/>
            <w:tcBorders>
              <w:top w:val="nil"/>
              <w:left w:val="nil"/>
              <w:bottom w:val="nil"/>
              <w:right w:val="nil"/>
            </w:tcBorders>
            <w:shd w:val="clear" w:color="auto" w:fill="auto"/>
            <w:noWrap/>
            <w:vAlign w:val="center"/>
            <w:hideMark/>
          </w:tcPr>
          <w:p w14:paraId="53ACC0B2" w14:textId="77777777" w:rsidR="00544F7C" w:rsidRPr="00092B22" w:rsidRDefault="00544F7C" w:rsidP="00E607DA">
            <w:pPr>
              <w:jc w:val="center"/>
              <w:rPr>
                <w:rFonts w:ascii="Meta Pro" w:eastAsia="Times New Roman" w:hAnsi="Meta Pro"/>
                <w:b/>
                <w:bCs/>
                <w:lang w:eastAsia="en-AU"/>
              </w:rPr>
            </w:pPr>
          </w:p>
        </w:tc>
        <w:tc>
          <w:tcPr>
            <w:tcW w:w="1106" w:type="dxa"/>
            <w:tcBorders>
              <w:top w:val="nil"/>
              <w:left w:val="nil"/>
              <w:bottom w:val="nil"/>
              <w:right w:val="nil"/>
            </w:tcBorders>
            <w:shd w:val="clear" w:color="auto" w:fill="auto"/>
            <w:noWrap/>
            <w:vAlign w:val="center"/>
            <w:hideMark/>
          </w:tcPr>
          <w:p w14:paraId="2569423C" w14:textId="77777777" w:rsidR="00544F7C" w:rsidRPr="00092B22" w:rsidRDefault="00544F7C" w:rsidP="00E607DA">
            <w:pPr>
              <w:jc w:val="center"/>
              <w:rPr>
                <w:rFonts w:ascii="Meta Pro" w:eastAsia="Times New Roman" w:hAnsi="Meta Pro"/>
                <w:b/>
                <w:bCs/>
                <w:lang w:eastAsia="en-AU"/>
              </w:rPr>
            </w:pPr>
            <w:r w:rsidRPr="00092B22">
              <w:rPr>
                <w:rFonts w:ascii="Meta Pro" w:eastAsia="Times New Roman" w:hAnsi="Meta Pro"/>
                <w:b/>
                <w:bCs/>
                <w:lang w:eastAsia="en-AU"/>
              </w:rPr>
              <w:t>$'000</w:t>
            </w:r>
          </w:p>
        </w:tc>
        <w:tc>
          <w:tcPr>
            <w:tcW w:w="210" w:type="dxa"/>
            <w:tcBorders>
              <w:top w:val="nil"/>
              <w:left w:val="nil"/>
              <w:bottom w:val="nil"/>
              <w:right w:val="nil"/>
            </w:tcBorders>
            <w:shd w:val="clear" w:color="auto" w:fill="auto"/>
            <w:noWrap/>
            <w:vAlign w:val="center"/>
            <w:hideMark/>
          </w:tcPr>
          <w:p w14:paraId="521EBBE8" w14:textId="77777777" w:rsidR="00544F7C" w:rsidRPr="00092B22" w:rsidRDefault="00544F7C" w:rsidP="00E607DA">
            <w:pPr>
              <w:jc w:val="center"/>
              <w:rPr>
                <w:rFonts w:ascii="Meta Pro" w:eastAsia="Times New Roman" w:hAnsi="Meta Pro"/>
                <w:b/>
                <w:bCs/>
                <w:lang w:eastAsia="en-AU"/>
              </w:rPr>
            </w:pPr>
          </w:p>
        </w:tc>
        <w:tc>
          <w:tcPr>
            <w:tcW w:w="1099" w:type="dxa"/>
            <w:tcBorders>
              <w:top w:val="nil"/>
              <w:left w:val="nil"/>
              <w:bottom w:val="nil"/>
              <w:right w:val="nil"/>
            </w:tcBorders>
            <w:shd w:val="clear" w:color="auto" w:fill="auto"/>
            <w:noWrap/>
            <w:vAlign w:val="center"/>
            <w:hideMark/>
          </w:tcPr>
          <w:p w14:paraId="001B9165" w14:textId="77777777" w:rsidR="00544F7C" w:rsidRPr="00092B22" w:rsidRDefault="00544F7C" w:rsidP="00E607DA">
            <w:pPr>
              <w:jc w:val="center"/>
              <w:rPr>
                <w:rFonts w:ascii="Meta Pro" w:eastAsia="Times New Roman" w:hAnsi="Meta Pro"/>
                <w:b/>
                <w:bCs/>
                <w:lang w:eastAsia="en-AU"/>
              </w:rPr>
            </w:pPr>
            <w:r w:rsidRPr="00092B22">
              <w:rPr>
                <w:rFonts w:ascii="Meta Pro" w:eastAsia="Times New Roman" w:hAnsi="Meta Pro"/>
                <w:b/>
                <w:bCs/>
                <w:lang w:eastAsia="en-AU"/>
              </w:rPr>
              <w:t>$'000</w:t>
            </w:r>
          </w:p>
        </w:tc>
      </w:tr>
    </w:tbl>
    <w:p w14:paraId="3574D0FC" w14:textId="77777777" w:rsidR="00544F7C" w:rsidRPr="00386E3C" w:rsidRDefault="00544F7C" w:rsidP="00544F7C">
      <w:pPr>
        <w:spacing w:after="120"/>
        <w:rPr>
          <w:rFonts w:ascii="Meta Pro" w:hAnsi="Meta Pro" w:cstheme="minorBidi"/>
        </w:rPr>
      </w:pPr>
      <w:r w:rsidRPr="00092B22">
        <w:rPr>
          <w:rFonts w:ascii="Meta Pro" w:eastAsia="Times New Roman" w:hAnsi="Meta Pro"/>
          <w:b/>
          <w:bCs/>
          <w:lang w:eastAsia="en-AU"/>
        </w:rPr>
        <w:t>27     SCHEDULE OF ADMINISTERED ITEMS (continued)</w:t>
      </w:r>
    </w:p>
    <w:tbl>
      <w:tblPr>
        <w:tblW w:w="0" w:type="auto"/>
        <w:tblCellMar>
          <w:left w:w="0" w:type="dxa"/>
        </w:tblCellMar>
        <w:tblLook w:val="04A0" w:firstRow="1" w:lastRow="0" w:firstColumn="1" w:lastColumn="0" w:noHBand="0" w:noVBand="1"/>
      </w:tblPr>
      <w:tblGrid>
        <w:gridCol w:w="6628"/>
        <w:gridCol w:w="1108"/>
        <w:gridCol w:w="226"/>
        <w:gridCol w:w="1108"/>
      </w:tblGrid>
      <w:tr w:rsidR="00544F7C" w:rsidRPr="00386E3C" w14:paraId="125E596A" w14:textId="77777777" w:rsidTr="00E607DA">
        <w:trPr>
          <w:trHeight w:val="240"/>
        </w:trPr>
        <w:tc>
          <w:tcPr>
            <w:tcW w:w="7074" w:type="dxa"/>
            <w:tcBorders>
              <w:top w:val="nil"/>
              <w:left w:val="nil"/>
              <w:bottom w:val="nil"/>
              <w:right w:val="nil"/>
            </w:tcBorders>
            <w:shd w:val="clear" w:color="auto" w:fill="auto"/>
            <w:noWrap/>
            <w:vAlign w:val="center"/>
            <w:hideMark/>
          </w:tcPr>
          <w:p w14:paraId="5D821F26" w14:textId="77777777" w:rsidR="00544F7C" w:rsidRPr="00386E3C" w:rsidRDefault="00544F7C" w:rsidP="00E607DA">
            <w:pPr>
              <w:rPr>
                <w:rFonts w:ascii="Meta Pro" w:eastAsia="Times New Roman" w:hAnsi="Meta Pro"/>
                <w:b/>
                <w:bCs/>
                <w:szCs w:val="18"/>
                <w:lang w:eastAsia="en-AU"/>
              </w:rPr>
            </w:pPr>
            <w:r w:rsidRPr="00386E3C">
              <w:rPr>
                <w:rFonts w:ascii="Meta Pro" w:eastAsia="Times New Roman" w:hAnsi="Meta Pro"/>
                <w:b/>
                <w:bCs/>
                <w:szCs w:val="18"/>
                <w:lang w:eastAsia="en-AU"/>
              </w:rPr>
              <w:t>Administered assets</w:t>
            </w:r>
          </w:p>
        </w:tc>
        <w:tc>
          <w:tcPr>
            <w:tcW w:w="1169" w:type="dxa"/>
            <w:tcBorders>
              <w:top w:val="nil"/>
              <w:left w:val="nil"/>
              <w:bottom w:val="nil"/>
              <w:right w:val="nil"/>
            </w:tcBorders>
            <w:shd w:val="clear" w:color="auto" w:fill="auto"/>
            <w:noWrap/>
            <w:vAlign w:val="center"/>
            <w:hideMark/>
          </w:tcPr>
          <w:p w14:paraId="63F1D935" w14:textId="77777777" w:rsidR="00544F7C" w:rsidRPr="00386E3C" w:rsidRDefault="00544F7C" w:rsidP="00E607DA">
            <w:pPr>
              <w:rPr>
                <w:rFonts w:ascii="Meta Pro" w:eastAsia="Times New Roman" w:hAnsi="Meta Pro"/>
                <w:b/>
                <w:bCs/>
                <w:szCs w:val="18"/>
                <w:lang w:eastAsia="en-AU"/>
              </w:rPr>
            </w:pPr>
          </w:p>
        </w:tc>
        <w:tc>
          <w:tcPr>
            <w:tcW w:w="226" w:type="dxa"/>
            <w:tcBorders>
              <w:top w:val="nil"/>
              <w:left w:val="nil"/>
              <w:bottom w:val="nil"/>
              <w:right w:val="nil"/>
            </w:tcBorders>
            <w:shd w:val="clear" w:color="auto" w:fill="auto"/>
            <w:noWrap/>
            <w:vAlign w:val="center"/>
            <w:hideMark/>
          </w:tcPr>
          <w:p w14:paraId="5026AF61" w14:textId="77777777" w:rsidR="00544F7C" w:rsidRPr="00386E3C" w:rsidRDefault="00544F7C" w:rsidP="00E607DA">
            <w:pPr>
              <w:jc w:val="right"/>
              <w:rPr>
                <w:rFonts w:ascii="Meta Pro" w:eastAsia="Times New Roman" w:hAnsi="Meta Pro" w:cs="Times New Roman"/>
                <w:sz w:val="20"/>
                <w:szCs w:val="20"/>
                <w:lang w:eastAsia="en-AU"/>
              </w:rPr>
            </w:pPr>
          </w:p>
        </w:tc>
        <w:tc>
          <w:tcPr>
            <w:tcW w:w="1169" w:type="dxa"/>
            <w:tcBorders>
              <w:top w:val="nil"/>
              <w:left w:val="nil"/>
              <w:bottom w:val="nil"/>
              <w:right w:val="nil"/>
            </w:tcBorders>
            <w:shd w:val="clear" w:color="auto" w:fill="auto"/>
            <w:noWrap/>
            <w:vAlign w:val="center"/>
            <w:hideMark/>
          </w:tcPr>
          <w:p w14:paraId="7722F001" w14:textId="77777777" w:rsidR="00544F7C" w:rsidRPr="00386E3C" w:rsidRDefault="00544F7C" w:rsidP="00E607DA">
            <w:pPr>
              <w:jc w:val="right"/>
              <w:rPr>
                <w:rFonts w:ascii="Meta Pro" w:eastAsia="Times New Roman" w:hAnsi="Meta Pro" w:cs="Times New Roman"/>
                <w:sz w:val="20"/>
                <w:szCs w:val="20"/>
                <w:lang w:eastAsia="en-AU"/>
              </w:rPr>
            </w:pPr>
          </w:p>
        </w:tc>
      </w:tr>
      <w:tr w:rsidR="00544F7C" w:rsidRPr="00386E3C" w14:paraId="13A15B36" w14:textId="77777777" w:rsidTr="00E607DA">
        <w:trPr>
          <w:trHeight w:val="240"/>
        </w:trPr>
        <w:tc>
          <w:tcPr>
            <w:tcW w:w="7074" w:type="dxa"/>
            <w:tcBorders>
              <w:top w:val="nil"/>
              <w:left w:val="nil"/>
              <w:bottom w:val="nil"/>
              <w:right w:val="nil"/>
            </w:tcBorders>
            <w:shd w:val="clear" w:color="auto" w:fill="auto"/>
            <w:noWrap/>
            <w:vAlign w:val="center"/>
            <w:hideMark/>
          </w:tcPr>
          <w:p w14:paraId="48990582" w14:textId="77777777" w:rsidR="00544F7C" w:rsidRPr="00386E3C" w:rsidRDefault="00544F7C" w:rsidP="00E607DA">
            <w:pPr>
              <w:rPr>
                <w:rFonts w:ascii="Meta Pro" w:eastAsia="Times New Roman" w:hAnsi="Meta Pro"/>
                <w:i/>
                <w:iCs/>
                <w:szCs w:val="18"/>
                <w:lang w:eastAsia="en-AU"/>
              </w:rPr>
            </w:pPr>
            <w:r w:rsidRPr="00386E3C">
              <w:rPr>
                <w:rFonts w:ascii="Meta Pro" w:eastAsia="Times New Roman" w:hAnsi="Meta Pro"/>
                <w:i/>
                <w:iCs/>
                <w:szCs w:val="18"/>
                <w:lang w:eastAsia="en-AU"/>
              </w:rPr>
              <w:t xml:space="preserve">Current </w:t>
            </w:r>
          </w:p>
        </w:tc>
        <w:tc>
          <w:tcPr>
            <w:tcW w:w="1169" w:type="dxa"/>
            <w:tcBorders>
              <w:top w:val="nil"/>
              <w:left w:val="nil"/>
              <w:bottom w:val="nil"/>
              <w:right w:val="nil"/>
            </w:tcBorders>
            <w:shd w:val="clear" w:color="auto" w:fill="auto"/>
            <w:noWrap/>
            <w:vAlign w:val="center"/>
            <w:hideMark/>
          </w:tcPr>
          <w:p w14:paraId="31752970" w14:textId="77777777" w:rsidR="00544F7C" w:rsidRPr="00386E3C" w:rsidRDefault="00544F7C" w:rsidP="00E607DA">
            <w:pPr>
              <w:rPr>
                <w:rFonts w:ascii="Meta Pro" w:eastAsia="Times New Roman" w:hAnsi="Meta Pro"/>
                <w:i/>
                <w:iCs/>
                <w:szCs w:val="18"/>
                <w:lang w:eastAsia="en-AU"/>
              </w:rPr>
            </w:pPr>
          </w:p>
        </w:tc>
        <w:tc>
          <w:tcPr>
            <w:tcW w:w="226" w:type="dxa"/>
            <w:tcBorders>
              <w:top w:val="nil"/>
              <w:left w:val="nil"/>
              <w:bottom w:val="nil"/>
              <w:right w:val="nil"/>
            </w:tcBorders>
            <w:shd w:val="clear" w:color="auto" w:fill="auto"/>
            <w:noWrap/>
            <w:vAlign w:val="center"/>
            <w:hideMark/>
          </w:tcPr>
          <w:p w14:paraId="76C38606" w14:textId="77777777" w:rsidR="00544F7C" w:rsidRPr="00386E3C" w:rsidRDefault="00544F7C" w:rsidP="00E607DA">
            <w:pPr>
              <w:jc w:val="right"/>
              <w:rPr>
                <w:rFonts w:ascii="Meta Pro" w:eastAsia="Times New Roman" w:hAnsi="Meta Pro" w:cs="Times New Roman"/>
                <w:sz w:val="20"/>
                <w:szCs w:val="20"/>
                <w:lang w:eastAsia="en-AU"/>
              </w:rPr>
            </w:pPr>
          </w:p>
        </w:tc>
        <w:tc>
          <w:tcPr>
            <w:tcW w:w="1169" w:type="dxa"/>
            <w:tcBorders>
              <w:top w:val="nil"/>
              <w:left w:val="nil"/>
              <w:bottom w:val="nil"/>
              <w:right w:val="nil"/>
            </w:tcBorders>
            <w:shd w:val="clear" w:color="auto" w:fill="auto"/>
            <w:noWrap/>
            <w:vAlign w:val="center"/>
            <w:hideMark/>
          </w:tcPr>
          <w:p w14:paraId="45F99A4D" w14:textId="77777777" w:rsidR="00544F7C" w:rsidRPr="00386E3C" w:rsidRDefault="00544F7C" w:rsidP="00E607DA">
            <w:pPr>
              <w:jc w:val="right"/>
              <w:rPr>
                <w:rFonts w:ascii="Meta Pro" w:eastAsia="Times New Roman" w:hAnsi="Meta Pro" w:cs="Times New Roman"/>
                <w:sz w:val="20"/>
                <w:szCs w:val="20"/>
                <w:lang w:eastAsia="en-AU"/>
              </w:rPr>
            </w:pPr>
          </w:p>
        </w:tc>
      </w:tr>
      <w:tr w:rsidR="00544F7C" w:rsidRPr="00386E3C" w14:paraId="04DFF7D6" w14:textId="77777777" w:rsidTr="00E607DA">
        <w:trPr>
          <w:trHeight w:val="240"/>
        </w:trPr>
        <w:tc>
          <w:tcPr>
            <w:tcW w:w="7074" w:type="dxa"/>
            <w:tcBorders>
              <w:top w:val="nil"/>
              <w:left w:val="nil"/>
              <w:bottom w:val="nil"/>
              <w:right w:val="nil"/>
            </w:tcBorders>
            <w:shd w:val="clear" w:color="auto" w:fill="auto"/>
            <w:noWrap/>
            <w:vAlign w:val="center"/>
            <w:hideMark/>
          </w:tcPr>
          <w:p w14:paraId="3034D4ED" w14:textId="77777777" w:rsidR="00544F7C" w:rsidRPr="00386E3C" w:rsidRDefault="00544F7C" w:rsidP="00E607DA">
            <w:pPr>
              <w:rPr>
                <w:rFonts w:ascii="Meta Pro" w:eastAsia="Times New Roman" w:hAnsi="Meta Pro"/>
                <w:szCs w:val="18"/>
                <w:lang w:eastAsia="en-AU"/>
              </w:rPr>
            </w:pPr>
            <w:r w:rsidRPr="00386E3C">
              <w:rPr>
                <w:rFonts w:ascii="Meta Pro" w:eastAsia="Times New Roman" w:hAnsi="Meta Pro"/>
                <w:szCs w:val="18"/>
                <w:lang w:eastAsia="en-AU"/>
              </w:rPr>
              <w:t>Cash</w:t>
            </w:r>
          </w:p>
        </w:tc>
        <w:tc>
          <w:tcPr>
            <w:tcW w:w="1169" w:type="dxa"/>
            <w:tcBorders>
              <w:top w:val="nil"/>
              <w:left w:val="nil"/>
              <w:bottom w:val="nil"/>
              <w:right w:val="nil"/>
            </w:tcBorders>
            <w:shd w:val="clear" w:color="000000" w:fill="C9E3B4"/>
            <w:noWrap/>
            <w:vAlign w:val="center"/>
            <w:hideMark/>
          </w:tcPr>
          <w:p w14:paraId="75D94550" w14:textId="77777777" w:rsidR="00544F7C" w:rsidRPr="00386E3C" w:rsidRDefault="00544F7C" w:rsidP="00E607DA">
            <w:pPr>
              <w:jc w:val="right"/>
              <w:rPr>
                <w:rFonts w:ascii="Meta Pro" w:eastAsia="Times New Roman" w:hAnsi="Meta Pro"/>
                <w:szCs w:val="18"/>
                <w:lang w:eastAsia="en-AU"/>
              </w:rPr>
            </w:pPr>
            <w:r w:rsidRPr="00386E3C">
              <w:rPr>
                <w:rFonts w:ascii="Meta Pro" w:eastAsia="Times New Roman" w:hAnsi="Meta Pro"/>
                <w:szCs w:val="18"/>
                <w:lang w:eastAsia="en-AU"/>
              </w:rPr>
              <w:t xml:space="preserve">19,849 </w:t>
            </w:r>
          </w:p>
        </w:tc>
        <w:tc>
          <w:tcPr>
            <w:tcW w:w="226" w:type="dxa"/>
            <w:tcBorders>
              <w:top w:val="nil"/>
              <w:left w:val="nil"/>
              <w:bottom w:val="nil"/>
              <w:right w:val="nil"/>
            </w:tcBorders>
            <w:shd w:val="clear" w:color="auto" w:fill="auto"/>
            <w:noWrap/>
            <w:vAlign w:val="center"/>
            <w:hideMark/>
          </w:tcPr>
          <w:p w14:paraId="2B44F743" w14:textId="77777777" w:rsidR="00544F7C" w:rsidRPr="00386E3C" w:rsidRDefault="00544F7C" w:rsidP="00E607DA">
            <w:pPr>
              <w:jc w:val="right"/>
              <w:rPr>
                <w:rFonts w:ascii="Meta Pro" w:eastAsia="Times New Roman" w:hAnsi="Meta Pro"/>
                <w:szCs w:val="18"/>
                <w:lang w:eastAsia="en-AU"/>
              </w:rPr>
            </w:pPr>
          </w:p>
        </w:tc>
        <w:tc>
          <w:tcPr>
            <w:tcW w:w="1169" w:type="dxa"/>
            <w:tcBorders>
              <w:top w:val="nil"/>
              <w:left w:val="nil"/>
              <w:bottom w:val="nil"/>
              <w:right w:val="nil"/>
            </w:tcBorders>
            <w:shd w:val="clear" w:color="auto" w:fill="auto"/>
            <w:noWrap/>
            <w:vAlign w:val="center"/>
            <w:hideMark/>
          </w:tcPr>
          <w:p w14:paraId="0FCEA015" w14:textId="77777777" w:rsidR="00544F7C" w:rsidRPr="00386E3C" w:rsidRDefault="00544F7C" w:rsidP="00E607DA">
            <w:pPr>
              <w:jc w:val="right"/>
              <w:rPr>
                <w:rFonts w:ascii="Meta Pro" w:eastAsia="Times New Roman" w:hAnsi="Meta Pro"/>
                <w:szCs w:val="18"/>
                <w:lang w:eastAsia="en-AU"/>
              </w:rPr>
            </w:pPr>
            <w:r w:rsidRPr="00386E3C">
              <w:rPr>
                <w:rFonts w:ascii="Meta Pro" w:eastAsia="Times New Roman" w:hAnsi="Meta Pro"/>
                <w:szCs w:val="18"/>
                <w:lang w:eastAsia="en-AU"/>
              </w:rPr>
              <w:t xml:space="preserve">22,337 </w:t>
            </w:r>
          </w:p>
        </w:tc>
      </w:tr>
      <w:tr w:rsidR="00544F7C" w:rsidRPr="00386E3C" w14:paraId="3834F598" w14:textId="77777777" w:rsidTr="00E607DA">
        <w:trPr>
          <w:trHeight w:val="240"/>
        </w:trPr>
        <w:tc>
          <w:tcPr>
            <w:tcW w:w="7074" w:type="dxa"/>
            <w:tcBorders>
              <w:top w:val="nil"/>
              <w:left w:val="nil"/>
              <w:bottom w:val="nil"/>
              <w:right w:val="nil"/>
            </w:tcBorders>
            <w:shd w:val="clear" w:color="auto" w:fill="auto"/>
            <w:noWrap/>
            <w:vAlign w:val="center"/>
            <w:hideMark/>
          </w:tcPr>
          <w:p w14:paraId="1F3374AE" w14:textId="77777777" w:rsidR="00544F7C" w:rsidRPr="00386E3C" w:rsidRDefault="00544F7C" w:rsidP="00E607DA">
            <w:pPr>
              <w:rPr>
                <w:rFonts w:ascii="Meta Pro" w:eastAsia="Times New Roman" w:hAnsi="Meta Pro"/>
                <w:szCs w:val="18"/>
                <w:lang w:eastAsia="en-AU"/>
              </w:rPr>
            </w:pPr>
            <w:r w:rsidRPr="00386E3C">
              <w:rPr>
                <w:rFonts w:ascii="Meta Pro" w:eastAsia="Times New Roman" w:hAnsi="Meta Pro"/>
                <w:szCs w:val="18"/>
                <w:lang w:eastAsia="en-AU"/>
              </w:rPr>
              <w:t>Receivables</w:t>
            </w:r>
          </w:p>
        </w:tc>
        <w:tc>
          <w:tcPr>
            <w:tcW w:w="1169" w:type="dxa"/>
            <w:tcBorders>
              <w:top w:val="nil"/>
              <w:left w:val="nil"/>
              <w:bottom w:val="nil"/>
              <w:right w:val="nil"/>
            </w:tcBorders>
            <w:shd w:val="clear" w:color="000000" w:fill="C9E3B4"/>
            <w:noWrap/>
            <w:vAlign w:val="center"/>
            <w:hideMark/>
          </w:tcPr>
          <w:p w14:paraId="141009EF" w14:textId="77777777" w:rsidR="00544F7C" w:rsidRPr="00386E3C" w:rsidRDefault="00544F7C" w:rsidP="00E607DA">
            <w:pPr>
              <w:jc w:val="right"/>
              <w:rPr>
                <w:rFonts w:ascii="Meta Pro" w:eastAsia="Times New Roman" w:hAnsi="Meta Pro"/>
                <w:szCs w:val="18"/>
                <w:lang w:eastAsia="en-AU"/>
              </w:rPr>
            </w:pPr>
            <w:r w:rsidRPr="00386E3C">
              <w:rPr>
                <w:rFonts w:ascii="Meta Pro" w:eastAsia="Times New Roman" w:hAnsi="Meta Pro"/>
                <w:szCs w:val="18"/>
                <w:lang w:eastAsia="en-AU"/>
              </w:rPr>
              <w:t xml:space="preserve">157,984 </w:t>
            </w:r>
          </w:p>
        </w:tc>
        <w:tc>
          <w:tcPr>
            <w:tcW w:w="226" w:type="dxa"/>
            <w:tcBorders>
              <w:top w:val="nil"/>
              <w:left w:val="nil"/>
              <w:bottom w:val="nil"/>
              <w:right w:val="nil"/>
            </w:tcBorders>
            <w:shd w:val="clear" w:color="auto" w:fill="auto"/>
            <w:noWrap/>
            <w:vAlign w:val="center"/>
            <w:hideMark/>
          </w:tcPr>
          <w:p w14:paraId="4659DDAE" w14:textId="77777777" w:rsidR="00544F7C" w:rsidRPr="00386E3C" w:rsidRDefault="00544F7C" w:rsidP="00E607DA">
            <w:pPr>
              <w:jc w:val="right"/>
              <w:rPr>
                <w:rFonts w:ascii="Meta Pro" w:eastAsia="Times New Roman" w:hAnsi="Meta Pro"/>
                <w:szCs w:val="18"/>
                <w:lang w:eastAsia="en-AU"/>
              </w:rPr>
            </w:pPr>
          </w:p>
        </w:tc>
        <w:tc>
          <w:tcPr>
            <w:tcW w:w="1169" w:type="dxa"/>
            <w:tcBorders>
              <w:top w:val="nil"/>
              <w:left w:val="nil"/>
              <w:bottom w:val="nil"/>
              <w:right w:val="nil"/>
            </w:tcBorders>
            <w:shd w:val="clear" w:color="auto" w:fill="auto"/>
            <w:noWrap/>
            <w:vAlign w:val="center"/>
            <w:hideMark/>
          </w:tcPr>
          <w:p w14:paraId="009A3D79" w14:textId="77777777" w:rsidR="00544F7C" w:rsidRPr="00386E3C" w:rsidRDefault="00544F7C" w:rsidP="00E607DA">
            <w:pPr>
              <w:jc w:val="right"/>
              <w:rPr>
                <w:rFonts w:ascii="Meta Pro" w:eastAsia="Times New Roman" w:hAnsi="Meta Pro"/>
                <w:szCs w:val="18"/>
                <w:lang w:eastAsia="en-AU"/>
              </w:rPr>
            </w:pPr>
            <w:r w:rsidRPr="00386E3C">
              <w:rPr>
                <w:rFonts w:ascii="Meta Pro" w:eastAsia="Times New Roman" w:hAnsi="Meta Pro"/>
                <w:szCs w:val="18"/>
                <w:lang w:eastAsia="en-AU"/>
              </w:rPr>
              <w:t xml:space="preserve">66,005 </w:t>
            </w:r>
          </w:p>
        </w:tc>
      </w:tr>
      <w:tr w:rsidR="00544F7C" w:rsidRPr="00386E3C" w14:paraId="09301DD5" w14:textId="77777777" w:rsidTr="00E607DA">
        <w:trPr>
          <w:trHeight w:val="240"/>
        </w:trPr>
        <w:tc>
          <w:tcPr>
            <w:tcW w:w="7074" w:type="dxa"/>
            <w:tcBorders>
              <w:top w:val="single" w:sz="4" w:space="0" w:color="auto"/>
              <w:left w:val="nil"/>
              <w:bottom w:val="nil"/>
              <w:right w:val="nil"/>
            </w:tcBorders>
            <w:shd w:val="clear" w:color="auto" w:fill="auto"/>
            <w:noWrap/>
            <w:vAlign w:val="center"/>
            <w:hideMark/>
          </w:tcPr>
          <w:p w14:paraId="62BE8942" w14:textId="77777777" w:rsidR="00544F7C" w:rsidRPr="00386E3C" w:rsidRDefault="00544F7C" w:rsidP="00E607DA">
            <w:pPr>
              <w:rPr>
                <w:rFonts w:ascii="Meta Pro" w:eastAsia="Times New Roman" w:hAnsi="Meta Pro"/>
                <w:b/>
                <w:bCs/>
                <w:szCs w:val="18"/>
                <w:lang w:eastAsia="en-AU"/>
              </w:rPr>
            </w:pPr>
            <w:r w:rsidRPr="00386E3C">
              <w:rPr>
                <w:rFonts w:ascii="Meta Pro" w:eastAsia="Times New Roman" w:hAnsi="Meta Pro"/>
                <w:b/>
                <w:bCs/>
                <w:szCs w:val="18"/>
                <w:lang w:eastAsia="en-AU"/>
              </w:rPr>
              <w:t>Total current assets</w:t>
            </w:r>
          </w:p>
        </w:tc>
        <w:tc>
          <w:tcPr>
            <w:tcW w:w="1169" w:type="dxa"/>
            <w:tcBorders>
              <w:top w:val="single" w:sz="4" w:space="0" w:color="auto"/>
              <w:left w:val="nil"/>
              <w:bottom w:val="nil"/>
              <w:right w:val="nil"/>
            </w:tcBorders>
            <w:shd w:val="clear" w:color="000000" w:fill="C9E3B4"/>
            <w:noWrap/>
            <w:vAlign w:val="center"/>
            <w:hideMark/>
          </w:tcPr>
          <w:p w14:paraId="42A48164" w14:textId="77777777" w:rsidR="00544F7C" w:rsidRPr="00386E3C" w:rsidRDefault="00544F7C" w:rsidP="00E607DA">
            <w:pPr>
              <w:jc w:val="right"/>
              <w:rPr>
                <w:rFonts w:ascii="Meta Pro" w:eastAsia="Times New Roman" w:hAnsi="Meta Pro"/>
                <w:b/>
                <w:bCs/>
                <w:szCs w:val="18"/>
                <w:lang w:eastAsia="en-AU"/>
              </w:rPr>
            </w:pPr>
            <w:r w:rsidRPr="00386E3C">
              <w:rPr>
                <w:rFonts w:ascii="Meta Pro" w:eastAsia="Times New Roman" w:hAnsi="Meta Pro"/>
                <w:b/>
                <w:bCs/>
                <w:szCs w:val="18"/>
                <w:lang w:eastAsia="en-AU"/>
              </w:rPr>
              <w:t xml:space="preserve">177,833 </w:t>
            </w:r>
          </w:p>
        </w:tc>
        <w:tc>
          <w:tcPr>
            <w:tcW w:w="226" w:type="dxa"/>
            <w:tcBorders>
              <w:top w:val="single" w:sz="4" w:space="0" w:color="auto"/>
              <w:left w:val="nil"/>
              <w:bottom w:val="nil"/>
              <w:right w:val="nil"/>
            </w:tcBorders>
            <w:shd w:val="clear" w:color="auto" w:fill="auto"/>
            <w:noWrap/>
            <w:vAlign w:val="center"/>
            <w:hideMark/>
          </w:tcPr>
          <w:p w14:paraId="3C04C00E" w14:textId="77777777" w:rsidR="00544F7C" w:rsidRPr="00386E3C" w:rsidRDefault="00544F7C" w:rsidP="00E607DA">
            <w:pPr>
              <w:rPr>
                <w:rFonts w:ascii="Meta Pro" w:eastAsia="Times New Roman" w:hAnsi="Meta Pro"/>
                <w:b/>
                <w:bCs/>
                <w:szCs w:val="18"/>
                <w:lang w:eastAsia="en-AU"/>
              </w:rPr>
            </w:pPr>
            <w:r w:rsidRPr="00386E3C">
              <w:rPr>
                <w:rFonts w:ascii="Meta Pro" w:eastAsia="Times New Roman" w:hAnsi="Meta Pro"/>
                <w:b/>
                <w:bCs/>
                <w:szCs w:val="18"/>
                <w:lang w:eastAsia="en-AU"/>
              </w:rPr>
              <w:t> </w:t>
            </w:r>
          </w:p>
        </w:tc>
        <w:tc>
          <w:tcPr>
            <w:tcW w:w="1169" w:type="dxa"/>
            <w:tcBorders>
              <w:top w:val="single" w:sz="4" w:space="0" w:color="auto"/>
              <w:left w:val="nil"/>
              <w:bottom w:val="nil"/>
              <w:right w:val="nil"/>
            </w:tcBorders>
            <w:shd w:val="clear" w:color="auto" w:fill="auto"/>
            <w:noWrap/>
            <w:vAlign w:val="center"/>
            <w:hideMark/>
          </w:tcPr>
          <w:p w14:paraId="1D48B40D" w14:textId="77777777" w:rsidR="00544F7C" w:rsidRPr="00386E3C" w:rsidRDefault="00544F7C" w:rsidP="00E607DA">
            <w:pPr>
              <w:jc w:val="right"/>
              <w:rPr>
                <w:rFonts w:ascii="Meta Pro" w:eastAsia="Times New Roman" w:hAnsi="Meta Pro"/>
                <w:b/>
                <w:bCs/>
                <w:szCs w:val="18"/>
                <w:lang w:eastAsia="en-AU"/>
              </w:rPr>
            </w:pPr>
            <w:r w:rsidRPr="00386E3C">
              <w:rPr>
                <w:rFonts w:ascii="Meta Pro" w:eastAsia="Times New Roman" w:hAnsi="Meta Pro"/>
                <w:b/>
                <w:bCs/>
                <w:szCs w:val="18"/>
                <w:lang w:eastAsia="en-AU"/>
              </w:rPr>
              <w:t xml:space="preserve">88,342 </w:t>
            </w:r>
          </w:p>
        </w:tc>
      </w:tr>
      <w:tr w:rsidR="00544F7C" w:rsidRPr="00386E3C" w14:paraId="20AB1373" w14:textId="77777777" w:rsidTr="00E607DA">
        <w:trPr>
          <w:trHeight w:val="240"/>
        </w:trPr>
        <w:tc>
          <w:tcPr>
            <w:tcW w:w="7074" w:type="dxa"/>
            <w:tcBorders>
              <w:top w:val="nil"/>
              <w:left w:val="nil"/>
              <w:bottom w:val="nil"/>
              <w:right w:val="nil"/>
            </w:tcBorders>
            <w:shd w:val="clear" w:color="auto" w:fill="auto"/>
            <w:noWrap/>
            <w:vAlign w:val="center"/>
            <w:hideMark/>
          </w:tcPr>
          <w:p w14:paraId="15F53652" w14:textId="77777777" w:rsidR="00544F7C" w:rsidRPr="00386E3C" w:rsidRDefault="00544F7C" w:rsidP="00E607DA">
            <w:pPr>
              <w:rPr>
                <w:rFonts w:ascii="Meta Pro" w:eastAsia="Times New Roman" w:hAnsi="Meta Pro"/>
                <w:i/>
                <w:iCs/>
                <w:szCs w:val="18"/>
                <w:lang w:eastAsia="en-AU"/>
              </w:rPr>
            </w:pPr>
            <w:r w:rsidRPr="00386E3C">
              <w:rPr>
                <w:rFonts w:ascii="Meta Pro" w:eastAsia="Times New Roman" w:hAnsi="Meta Pro"/>
                <w:i/>
                <w:iCs/>
                <w:szCs w:val="18"/>
                <w:lang w:eastAsia="en-AU"/>
              </w:rPr>
              <w:t xml:space="preserve">Non-current </w:t>
            </w:r>
          </w:p>
        </w:tc>
        <w:tc>
          <w:tcPr>
            <w:tcW w:w="1169" w:type="dxa"/>
            <w:tcBorders>
              <w:top w:val="nil"/>
              <w:left w:val="nil"/>
              <w:bottom w:val="nil"/>
              <w:right w:val="nil"/>
            </w:tcBorders>
            <w:shd w:val="clear" w:color="000000" w:fill="C9E3B4"/>
            <w:noWrap/>
            <w:vAlign w:val="center"/>
            <w:hideMark/>
          </w:tcPr>
          <w:p w14:paraId="7B319544" w14:textId="77777777" w:rsidR="00544F7C" w:rsidRPr="00386E3C" w:rsidRDefault="00544F7C" w:rsidP="00E607DA">
            <w:pPr>
              <w:rPr>
                <w:rFonts w:ascii="Meta Pro" w:eastAsia="Times New Roman" w:hAnsi="Meta Pro"/>
                <w:szCs w:val="18"/>
                <w:lang w:eastAsia="en-AU"/>
              </w:rPr>
            </w:pPr>
            <w:r w:rsidRPr="00386E3C">
              <w:rPr>
                <w:rFonts w:ascii="Meta Pro" w:eastAsia="Times New Roman" w:hAnsi="Meta Pro"/>
                <w:szCs w:val="18"/>
                <w:lang w:eastAsia="en-AU"/>
              </w:rPr>
              <w:t> </w:t>
            </w:r>
          </w:p>
        </w:tc>
        <w:tc>
          <w:tcPr>
            <w:tcW w:w="226" w:type="dxa"/>
            <w:tcBorders>
              <w:top w:val="nil"/>
              <w:left w:val="nil"/>
              <w:bottom w:val="nil"/>
              <w:right w:val="nil"/>
            </w:tcBorders>
            <w:shd w:val="clear" w:color="auto" w:fill="auto"/>
            <w:noWrap/>
            <w:vAlign w:val="center"/>
            <w:hideMark/>
          </w:tcPr>
          <w:p w14:paraId="38385BB9" w14:textId="77777777" w:rsidR="00544F7C" w:rsidRPr="00386E3C" w:rsidRDefault="00544F7C" w:rsidP="00E607DA">
            <w:pPr>
              <w:rPr>
                <w:rFonts w:ascii="Meta Pro" w:eastAsia="Times New Roman" w:hAnsi="Meta Pro"/>
                <w:szCs w:val="18"/>
                <w:lang w:eastAsia="en-AU"/>
              </w:rPr>
            </w:pPr>
          </w:p>
        </w:tc>
        <w:tc>
          <w:tcPr>
            <w:tcW w:w="1169" w:type="dxa"/>
            <w:tcBorders>
              <w:top w:val="nil"/>
              <w:left w:val="nil"/>
              <w:bottom w:val="nil"/>
              <w:right w:val="nil"/>
            </w:tcBorders>
            <w:shd w:val="clear" w:color="auto" w:fill="auto"/>
            <w:noWrap/>
            <w:vAlign w:val="center"/>
            <w:hideMark/>
          </w:tcPr>
          <w:p w14:paraId="65239229" w14:textId="77777777" w:rsidR="00544F7C" w:rsidRPr="00386E3C" w:rsidRDefault="00544F7C" w:rsidP="00E607DA">
            <w:pPr>
              <w:jc w:val="right"/>
              <w:rPr>
                <w:rFonts w:ascii="Meta Pro" w:eastAsia="Times New Roman" w:hAnsi="Meta Pro" w:cs="Times New Roman"/>
                <w:sz w:val="20"/>
                <w:szCs w:val="20"/>
                <w:lang w:eastAsia="en-AU"/>
              </w:rPr>
            </w:pPr>
          </w:p>
        </w:tc>
      </w:tr>
      <w:tr w:rsidR="00544F7C" w:rsidRPr="00386E3C" w14:paraId="53047AD2" w14:textId="77777777" w:rsidTr="00E607DA">
        <w:trPr>
          <w:trHeight w:val="240"/>
        </w:trPr>
        <w:tc>
          <w:tcPr>
            <w:tcW w:w="7074" w:type="dxa"/>
            <w:tcBorders>
              <w:top w:val="nil"/>
              <w:left w:val="nil"/>
              <w:bottom w:val="nil"/>
              <w:right w:val="nil"/>
            </w:tcBorders>
            <w:shd w:val="clear" w:color="auto" w:fill="auto"/>
            <w:noWrap/>
            <w:vAlign w:val="center"/>
            <w:hideMark/>
          </w:tcPr>
          <w:p w14:paraId="5E15F379" w14:textId="77777777" w:rsidR="00544F7C" w:rsidRPr="00386E3C" w:rsidRDefault="00544F7C" w:rsidP="00E607DA">
            <w:pPr>
              <w:rPr>
                <w:rFonts w:ascii="Meta Pro" w:eastAsia="Times New Roman" w:hAnsi="Meta Pro"/>
                <w:szCs w:val="18"/>
                <w:lang w:eastAsia="en-AU"/>
              </w:rPr>
            </w:pPr>
            <w:r w:rsidRPr="00386E3C">
              <w:rPr>
                <w:rFonts w:ascii="Meta Pro" w:eastAsia="Times New Roman" w:hAnsi="Meta Pro"/>
                <w:szCs w:val="18"/>
                <w:lang w:eastAsia="en-AU"/>
              </w:rPr>
              <w:t>Land</w:t>
            </w:r>
          </w:p>
        </w:tc>
        <w:tc>
          <w:tcPr>
            <w:tcW w:w="1169" w:type="dxa"/>
            <w:tcBorders>
              <w:top w:val="nil"/>
              <w:left w:val="nil"/>
              <w:bottom w:val="nil"/>
              <w:right w:val="nil"/>
            </w:tcBorders>
            <w:shd w:val="clear" w:color="000000" w:fill="C9E3B4"/>
            <w:noWrap/>
            <w:vAlign w:val="center"/>
            <w:hideMark/>
          </w:tcPr>
          <w:p w14:paraId="0B2A5ADA" w14:textId="77777777" w:rsidR="00544F7C" w:rsidRPr="00386E3C" w:rsidRDefault="00544F7C" w:rsidP="00E607DA">
            <w:pPr>
              <w:jc w:val="right"/>
              <w:rPr>
                <w:rFonts w:ascii="Meta Pro" w:eastAsia="Times New Roman" w:hAnsi="Meta Pro"/>
                <w:szCs w:val="18"/>
                <w:lang w:eastAsia="en-AU"/>
              </w:rPr>
            </w:pPr>
            <w:r w:rsidRPr="00386E3C">
              <w:rPr>
                <w:rFonts w:ascii="Meta Pro" w:eastAsia="Times New Roman" w:hAnsi="Meta Pro"/>
                <w:szCs w:val="18"/>
                <w:lang w:eastAsia="en-AU"/>
              </w:rPr>
              <w:t xml:space="preserve">123,279 </w:t>
            </w:r>
          </w:p>
        </w:tc>
        <w:tc>
          <w:tcPr>
            <w:tcW w:w="226" w:type="dxa"/>
            <w:tcBorders>
              <w:top w:val="nil"/>
              <w:left w:val="nil"/>
              <w:bottom w:val="nil"/>
              <w:right w:val="nil"/>
            </w:tcBorders>
            <w:shd w:val="clear" w:color="auto" w:fill="auto"/>
            <w:noWrap/>
            <w:vAlign w:val="center"/>
            <w:hideMark/>
          </w:tcPr>
          <w:p w14:paraId="72EC1444" w14:textId="77777777" w:rsidR="00544F7C" w:rsidRPr="00386E3C" w:rsidRDefault="00544F7C" w:rsidP="00E607DA">
            <w:pPr>
              <w:jc w:val="right"/>
              <w:rPr>
                <w:rFonts w:ascii="Meta Pro" w:eastAsia="Times New Roman" w:hAnsi="Meta Pro"/>
                <w:szCs w:val="18"/>
                <w:lang w:eastAsia="en-AU"/>
              </w:rPr>
            </w:pPr>
          </w:p>
        </w:tc>
        <w:tc>
          <w:tcPr>
            <w:tcW w:w="1169" w:type="dxa"/>
            <w:tcBorders>
              <w:top w:val="nil"/>
              <w:left w:val="nil"/>
              <w:bottom w:val="nil"/>
              <w:right w:val="nil"/>
            </w:tcBorders>
            <w:shd w:val="clear" w:color="auto" w:fill="auto"/>
            <w:noWrap/>
            <w:vAlign w:val="center"/>
            <w:hideMark/>
          </w:tcPr>
          <w:p w14:paraId="65D261F2" w14:textId="77777777" w:rsidR="00544F7C" w:rsidRPr="00386E3C" w:rsidRDefault="00544F7C" w:rsidP="00E607DA">
            <w:pPr>
              <w:jc w:val="right"/>
              <w:rPr>
                <w:rFonts w:ascii="Meta Pro" w:eastAsia="Times New Roman" w:hAnsi="Meta Pro"/>
                <w:szCs w:val="18"/>
                <w:lang w:eastAsia="en-AU"/>
              </w:rPr>
            </w:pPr>
            <w:r w:rsidRPr="00386E3C">
              <w:rPr>
                <w:rFonts w:ascii="Meta Pro" w:eastAsia="Times New Roman" w:hAnsi="Meta Pro"/>
                <w:szCs w:val="18"/>
                <w:lang w:eastAsia="en-AU"/>
              </w:rPr>
              <w:t xml:space="preserve">110,692 </w:t>
            </w:r>
          </w:p>
        </w:tc>
      </w:tr>
      <w:tr w:rsidR="00544F7C" w:rsidRPr="00386E3C" w14:paraId="1475FB88" w14:textId="77777777" w:rsidTr="00E607DA">
        <w:trPr>
          <w:trHeight w:val="240"/>
        </w:trPr>
        <w:tc>
          <w:tcPr>
            <w:tcW w:w="7074" w:type="dxa"/>
            <w:tcBorders>
              <w:top w:val="single" w:sz="4" w:space="0" w:color="auto"/>
              <w:left w:val="nil"/>
              <w:bottom w:val="single" w:sz="4" w:space="0" w:color="auto"/>
              <w:right w:val="nil"/>
            </w:tcBorders>
            <w:shd w:val="clear" w:color="auto" w:fill="auto"/>
            <w:noWrap/>
            <w:vAlign w:val="center"/>
            <w:hideMark/>
          </w:tcPr>
          <w:p w14:paraId="6DE8B86E" w14:textId="77777777" w:rsidR="00544F7C" w:rsidRPr="00386E3C" w:rsidRDefault="00544F7C" w:rsidP="00E607DA">
            <w:pPr>
              <w:rPr>
                <w:rFonts w:ascii="Meta Pro" w:eastAsia="Times New Roman" w:hAnsi="Meta Pro"/>
                <w:b/>
                <w:bCs/>
                <w:szCs w:val="18"/>
                <w:lang w:eastAsia="en-AU"/>
              </w:rPr>
            </w:pPr>
            <w:r w:rsidRPr="00386E3C">
              <w:rPr>
                <w:rFonts w:ascii="Meta Pro" w:eastAsia="Times New Roman" w:hAnsi="Meta Pro"/>
                <w:b/>
                <w:bCs/>
                <w:szCs w:val="18"/>
                <w:lang w:eastAsia="en-AU"/>
              </w:rPr>
              <w:t>Total non-current assets</w:t>
            </w:r>
          </w:p>
        </w:tc>
        <w:tc>
          <w:tcPr>
            <w:tcW w:w="1169" w:type="dxa"/>
            <w:tcBorders>
              <w:top w:val="single" w:sz="4" w:space="0" w:color="auto"/>
              <w:left w:val="nil"/>
              <w:bottom w:val="single" w:sz="4" w:space="0" w:color="auto"/>
              <w:right w:val="nil"/>
            </w:tcBorders>
            <w:shd w:val="clear" w:color="000000" w:fill="C9E3B4"/>
            <w:noWrap/>
            <w:vAlign w:val="center"/>
            <w:hideMark/>
          </w:tcPr>
          <w:p w14:paraId="13F8549E" w14:textId="77777777" w:rsidR="00544F7C" w:rsidRPr="00386E3C" w:rsidRDefault="00544F7C" w:rsidP="00E607DA">
            <w:pPr>
              <w:jc w:val="right"/>
              <w:rPr>
                <w:rFonts w:ascii="Meta Pro" w:eastAsia="Times New Roman" w:hAnsi="Meta Pro"/>
                <w:b/>
                <w:bCs/>
                <w:szCs w:val="18"/>
                <w:lang w:eastAsia="en-AU"/>
              </w:rPr>
            </w:pPr>
            <w:r w:rsidRPr="00386E3C">
              <w:rPr>
                <w:rFonts w:ascii="Meta Pro" w:eastAsia="Times New Roman" w:hAnsi="Meta Pro"/>
                <w:b/>
                <w:bCs/>
                <w:szCs w:val="18"/>
                <w:lang w:eastAsia="en-AU"/>
              </w:rPr>
              <w:t xml:space="preserve">123,279 </w:t>
            </w:r>
          </w:p>
        </w:tc>
        <w:tc>
          <w:tcPr>
            <w:tcW w:w="226" w:type="dxa"/>
            <w:tcBorders>
              <w:top w:val="single" w:sz="4" w:space="0" w:color="auto"/>
              <w:left w:val="nil"/>
              <w:bottom w:val="single" w:sz="4" w:space="0" w:color="auto"/>
              <w:right w:val="nil"/>
            </w:tcBorders>
            <w:shd w:val="clear" w:color="auto" w:fill="auto"/>
            <w:noWrap/>
            <w:vAlign w:val="center"/>
            <w:hideMark/>
          </w:tcPr>
          <w:p w14:paraId="38D2E03B" w14:textId="77777777" w:rsidR="00544F7C" w:rsidRPr="00386E3C" w:rsidRDefault="00544F7C" w:rsidP="00E607DA">
            <w:pPr>
              <w:rPr>
                <w:rFonts w:ascii="Meta Pro" w:eastAsia="Times New Roman" w:hAnsi="Meta Pro"/>
                <w:b/>
                <w:bCs/>
                <w:szCs w:val="18"/>
                <w:lang w:eastAsia="en-AU"/>
              </w:rPr>
            </w:pPr>
            <w:r w:rsidRPr="00386E3C">
              <w:rPr>
                <w:rFonts w:ascii="Meta Pro" w:eastAsia="Times New Roman" w:hAnsi="Meta Pro"/>
                <w:b/>
                <w:bCs/>
                <w:szCs w:val="18"/>
                <w:lang w:eastAsia="en-AU"/>
              </w:rPr>
              <w:t> </w:t>
            </w:r>
          </w:p>
        </w:tc>
        <w:tc>
          <w:tcPr>
            <w:tcW w:w="1169" w:type="dxa"/>
            <w:tcBorders>
              <w:top w:val="single" w:sz="4" w:space="0" w:color="auto"/>
              <w:left w:val="nil"/>
              <w:bottom w:val="single" w:sz="4" w:space="0" w:color="auto"/>
              <w:right w:val="nil"/>
            </w:tcBorders>
            <w:shd w:val="clear" w:color="auto" w:fill="auto"/>
            <w:noWrap/>
            <w:vAlign w:val="center"/>
            <w:hideMark/>
          </w:tcPr>
          <w:p w14:paraId="0CF0FF12" w14:textId="77777777" w:rsidR="00544F7C" w:rsidRPr="00386E3C" w:rsidRDefault="00544F7C" w:rsidP="00E607DA">
            <w:pPr>
              <w:jc w:val="right"/>
              <w:rPr>
                <w:rFonts w:ascii="Meta Pro" w:eastAsia="Times New Roman" w:hAnsi="Meta Pro"/>
                <w:b/>
                <w:bCs/>
                <w:szCs w:val="18"/>
                <w:lang w:eastAsia="en-AU"/>
              </w:rPr>
            </w:pPr>
            <w:r w:rsidRPr="00386E3C">
              <w:rPr>
                <w:rFonts w:ascii="Meta Pro" w:eastAsia="Times New Roman" w:hAnsi="Meta Pro"/>
                <w:b/>
                <w:bCs/>
                <w:szCs w:val="18"/>
                <w:lang w:eastAsia="en-AU"/>
              </w:rPr>
              <w:t xml:space="preserve">110,692 </w:t>
            </w:r>
          </w:p>
        </w:tc>
      </w:tr>
      <w:tr w:rsidR="00544F7C" w:rsidRPr="00386E3C" w14:paraId="3A12328D" w14:textId="77777777" w:rsidTr="00E607DA">
        <w:trPr>
          <w:trHeight w:val="240"/>
        </w:trPr>
        <w:tc>
          <w:tcPr>
            <w:tcW w:w="7074" w:type="dxa"/>
            <w:tcBorders>
              <w:top w:val="nil"/>
              <w:left w:val="nil"/>
              <w:bottom w:val="single" w:sz="4" w:space="0" w:color="auto"/>
              <w:right w:val="nil"/>
            </w:tcBorders>
            <w:shd w:val="clear" w:color="auto" w:fill="auto"/>
            <w:noWrap/>
            <w:vAlign w:val="center"/>
            <w:hideMark/>
          </w:tcPr>
          <w:p w14:paraId="0D3F4768" w14:textId="77777777" w:rsidR="00544F7C" w:rsidRPr="00386E3C" w:rsidRDefault="00544F7C" w:rsidP="00E607DA">
            <w:pPr>
              <w:rPr>
                <w:rFonts w:ascii="Meta Pro" w:eastAsia="Times New Roman" w:hAnsi="Meta Pro"/>
                <w:b/>
                <w:bCs/>
                <w:szCs w:val="18"/>
                <w:lang w:eastAsia="en-AU"/>
              </w:rPr>
            </w:pPr>
            <w:r w:rsidRPr="00386E3C">
              <w:rPr>
                <w:rFonts w:ascii="Meta Pro" w:eastAsia="Times New Roman" w:hAnsi="Meta Pro"/>
                <w:b/>
                <w:bCs/>
                <w:szCs w:val="18"/>
                <w:lang w:eastAsia="en-AU"/>
              </w:rPr>
              <w:t>Total assets</w:t>
            </w:r>
          </w:p>
        </w:tc>
        <w:tc>
          <w:tcPr>
            <w:tcW w:w="1169" w:type="dxa"/>
            <w:tcBorders>
              <w:top w:val="nil"/>
              <w:left w:val="nil"/>
              <w:bottom w:val="single" w:sz="4" w:space="0" w:color="auto"/>
              <w:right w:val="nil"/>
            </w:tcBorders>
            <w:shd w:val="clear" w:color="000000" w:fill="C9E3B4"/>
            <w:noWrap/>
            <w:vAlign w:val="center"/>
            <w:hideMark/>
          </w:tcPr>
          <w:p w14:paraId="4FA320B2" w14:textId="77777777" w:rsidR="00544F7C" w:rsidRPr="00386E3C" w:rsidRDefault="00544F7C" w:rsidP="00E607DA">
            <w:pPr>
              <w:jc w:val="right"/>
              <w:rPr>
                <w:rFonts w:ascii="Meta Pro" w:eastAsia="Times New Roman" w:hAnsi="Meta Pro"/>
                <w:b/>
                <w:bCs/>
                <w:szCs w:val="18"/>
                <w:lang w:eastAsia="en-AU"/>
              </w:rPr>
            </w:pPr>
            <w:r w:rsidRPr="00386E3C">
              <w:rPr>
                <w:rFonts w:ascii="Meta Pro" w:eastAsia="Times New Roman" w:hAnsi="Meta Pro"/>
                <w:b/>
                <w:bCs/>
                <w:szCs w:val="18"/>
                <w:lang w:eastAsia="en-AU"/>
              </w:rPr>
              <w:t xml:space="preserve">301,112 </w:t>
            </w:r>
          </w:p>
        </w:tc>
        <w:tc>
          <w:tcPr>
            <w:tcW w:w="226" w:type="dxa"/>
            <w:tcBorders>
              <w:top w:val="nil"/>
              <w:left w:val="nil"/>
              <w:bottom w:val="single" w:sz="4" w:space="0" w:color="auto"/>
              <w:right w:val="nil"/>
            </w:tcBorders>
            <w:shd w:val="clear" w:color="auto" w:fill="auto"/>
            <w:noWrap/>
            <w:vAlign w:val="center"/>
            <w:hideMark/>
          </w:tcPr>
          <w:p w14:paraId="402A242E" w14:textId="77777777" w:rsidR="00544F7C" w:rsidRPr="00386E3C" w:rsidRDefault="00544F7C" w:rsidP="00E607DA">
            <w:pPr>
              <w:rPr>
                <w:rFonts w:ascii="Meta Pro" w:eastAsia="Times New Roman" w:hAnsi="Meta Pro"/>
                <w:b/>
                <w:bCs/>
                <w:szCs w:val="18"/>
                <w:lang w:eastAsia="en-AU"/>
              </w:rPr>
            </w:pPr>
            <w:r w:rsidRPr="00386E3C">
              <w:rPr>
                <w:rFonts w:ascii="Meta Pro" w:eastAsia="Times New Roman" w:hAnsi="Meta Pro"/>
                <w:b/>
                <w:bCs/>
                <w:szCs w:val="18"/>
                <w:lang w:eastAsia="en-AU"/>
              </w:rPr>
              <w:t> </w:t>
            </w:r>
          </w:p>
        </w:tc>
        <w:tc>
          <w:tcPr>
            <w:tcW w:w="1169" w:type="dxa"/>
            <w:tcBorders>
              <w:top w:val="nil"/>
              <w:left w:val="nil"/>
              <w:bottom w:val="single" w:sz="4" w:space="0" w:color="auto"/>
              <w:right w:val="nil"/>
            </w:tcBorders>
            <w:shd w:val="clear" w:color="auto" w:fill="auto"/>
            <w:noWrap/>
            <w:vAlign w:val="center"/>
            <w:hideMark/>
          </w:tcPr>
          <w:p w14:paraId="2BBAD88C" w14:textId="77777777" w:rsidR="00544F7C" w:rsidRPr="00386E3C" w:rsidRDefault="00544F7C" w:rsidP="00E607DA">
            <w:pPr>
              <w:jc w:val="right"/>
              <w:rPr>
                <w:rFonts w:ascii="Meta Pro" w:eastAsia="Times New Roman" w:hAnsi="Meta Pro"/>
                <w:b/>
                <w:bCs/>
                <w:szCs w:val="18"/>
                <w:lang w:eastAsia="en-AU"/>
              </w:rPr>
            </w:pPr>
            <w:r w:rsidRPr="00386E3C">
              <w:rPr>
                <w:rFonts w:ascii="Meta Pro" w:eastAsia="Times New Roman" w:hAnsi="Meta Pro"/>
                <w:b/>
                <w:bCs/>
                <w:szCs w:val="18"/>
                <w:lang w:eastAsia="en-AU"/>
              </w:rPr>
              <w:t xml:space="preserve">199,034 </w:t>
            </w:r>
          </w:p>
        </w:tc>
      </w:tr>
      <w:tr w:rsidR="00544F7C" w:rsidRPr="00386E3C" w14:paraId="71E1345E" w14:textId="77777777" w:rsidTr="00E607DA">
        <w:trPr>
          <w:trHeight w:val="240"/>
        </w:trPr>
        <w:tc>
          <w:tcPr>
            <w:tcW w:w="7074" w:type="dxa"/>
            <w:tcBorders>
              <w:top w:val="nil"/>
              <w:left w:val="nil"/>
              <w:bottom w:val="nil"/>
              <w:right w:val="nil"/>
            </w:tcBorders>
            <w:shd w:val="clear" w:color="auto" w:fill="auto"/>
            <w:noWrap/>
            <w:vAlign w:val="center"/>
            <w:hideMark/>
          </w:tcPr>
          <w:p w14:paraId="672A0DD5" w14:textId="77777777" w:rsidR="00544F7C" w:rsidRPr="00386E3C" w:rsidRDefault="00544F7C" w:rsidP="00E607DA">
            <w:pPr>
              <w:jc w:val="right"/>
              <w:rPr>
                <w:rFonts w:ascii="Meta Pro" w:eastAsia="Times New Roman" w:hAnsi="Meta Pro"/>
                <w:b/>
                <w:bCs/>
                <w:szCs w:val="18"/>
                <w:lang w:eastAsia="en-AU"/>
              </w:rPr>
            </w:pPr>
          </w:p>
        </w:tc>
        <w:tc>
          <w:tcPr>
            <w:tcW w:w="1169" w:type="dxa"/>
            <w:tcBorders>
              <w:top w:val="nil"/>
              <w:left w:val="nil"/>
              <w:bottom w:val="nil"/>
              <w:right w:val="nil"/>
            </w:tcBorders>
            <w:shd w:val="clear" w:color="auto" w:fill="auto"/>
            <w:noWrap/>
            <w:vAlign w:val="center"/>
            <w:hideMark/>
          </w:tcPr>
          <w:p w14:paraId="53619093" w14:textId="77777777" w:rsidR="00544F7C" w:rsidRPr="00386E3C" w:rsidRDefault="00544F7C" w:rsidP="00E607DA">
            <w:pPr>
              <w:rPr>
                <w:rFonts w:ascii="Meta Pro" w:eastAsia="Times New Roman" w:hAnsi="Meta Pro" w:cs="Times New Roman"/>
                <w:sz w:val="20"/>
                <w:szCs w:val="20"/>
                <w:lang w:eastAsia="en-AU"/>
              </w:rPr>
            </w:pPr>
          </w:p>
        </w:tc>
        <w:tc>
          <w:tcPr>
            <w:tcW w:w="226" w:type="dxa"/>
            <w:tcBorders>
              <w:top w:val="nil"/>
              <w:left w:val="nil"/>
              <w:bottom w:val="nil"/>
              <w:right w:val="nil"/>
            </w:tcBorders>
            <w:shd w:val="clear" w:color="auto" w:fill="auto"/>
            <w:noWrap/>
            <w:vAlign w:val="center"/>
            <w:hideMark/>
          </w:tcPr>
          <w:p w14:paraId="60F43C54" w14:textId="77777777" w:rsidR="00544F7C" w:rsidRPr="00386E3C" w:rsidRDefault="00544F7C" w:rsidP="00E607DA">
            <w:pPr>
              <w:jc w:val="right"/>
              <w:rPr>
                <w:rFonts w:ascii="Meta Pro" w:eastAsia="Times New Roman" w:hAnsi="Meta Pro" w:cs="Times New Roman"/>
                <w:sz w:val="20"/>
                <w:szCs w:val="20"/>
                <w:lang w:eastAsia="en-AU"/>
              </w:rPr>
            </w:pPr>
          </w:p>
        </w:tc>
        <w:tc>
          <w:tcPr>
            <w:tcW w:w="1169" w:type="dxa"/>
            <w:tcBorders>
              <w:top w:val="nil"/>
              <w:left w:val="nil"/>
              <w:bottom w:val="nil"/>
              <w:right w:val="nil"/>
            </w:tcBorders>
            <w:shd w:val="clear" w:color="auto" w:fill="auto"/>
            <w:noWrap/>
            <w:vAlign w:val="center"/>
            <w:hideMark/>
          </w:tcPr>
          <w:p w14:paraId="14BB560F" w14:textId="77777777" w:rsidR="00544F7C" w:rsidRPr="00386E3C" w:rsidRDefault="00544F7C" w:rsidP="00E607DA">
            <w:pPr>
              <w:rPr>
                <w:rFonts w:ascii="Meta Pro" w:eastAsia="Times New Roman" w:hAnsi="Meta Pro" w:cs="Times New Roman"/>
                <w:sz w:val="20"/>
                <w:szCs w:val="20"/>
                <w:lang w:eastAsia="en-AU"/>
              </w:rPr>
            </w:pPr>
          </w:p>
        </w:tc>
      </w:tr>
      <w:tr w:rsidR="00544F7C" w:rsidRPr="00386E3C" w14:paraId="1B4011DB" w14:textId="77777777" w:rsidTr="00E607DA">
        <w:trPr>
          <w:trHeight w:val="240"/>
        </w:trPr>
        <w:tc>
          <w:tcPr>
            <w:tcW w:w="7074" w:type="dxa"/>
            <w:tcBorders>
              <w:top w:val="nil"/>
              <w:left w:val="nil"/>
              <w:bottom w:val="nil"/>
              <w:right w:val="nil"/>
            </w:tcBorders>
            <w:shd w:val="clear" w:color="auto" w:fill="auto"/>
            <w:noWrap/>
            <w:vAlign w:val="center"/>
            <w:hideMark/>
          </w:tcPr>
          <w:p w14:paraId="67A2FFD2" w14:textId="77777777" w:rsidR="00544F7C" w:rsidRPr="00386E3C" w:rsidRDefault="00544F7C" w:rsidP="00E607DA">
            <w:pPr>
              <w:rPr>
                <w:rFonts w:ascii="Meta Pro" w:eastAsia="Times New Roman" w:hAnsi="Meta Pro"/>
                <w:b/>
                <w:bCs/>
                <w:szCs w:val="18"/>
                <w:lang w:eastAsia="en-AU"/>
              </w:rPr>
            </w:pPr>
            <w:r w:rsidRPr="00386E3C">
              <w:rPr>
                <w:rFonts w:ascii="Meta Pro" w:eastAsia="Times New Roman" w:hAnsi="Meta Pro"/>
                <w:b/>
                <w:bCs/>
                <w:szCs w:val="18"/>
                <w:lang w:eastAsia="en-AU"/>
              </w:rPr>
              <w:t>Administered liabilities</w:t>
            </w:r>
          </w:p>
        </w:tc>
        <w:tc>
          <w:tcPr>
            <w:tcW w:w="1169" w:type="dxa"/>
            <w:tcBorders>
              <w:top w:val="nil"/>
              <w:left w:val="nil"/>
              <w:bottom w:val="nil"/>
              <w:right w:val="nil"/>
            </w:tcBorders>
            <w:shd w:val="clear" w:color="auto" w:fill="auto"/>
            <w:noWrap/>
            <w:vAlign w:val="center"/>
            <w:hideMark/>
          </w:tcPr>
          <w:p w14:paraId="733CF6EC" w14:textId="77777777" w:rsidR="00544F7C" w:rsidRPr="00386E3C" w:rsidRDefault="00544F7C" w:rsidP="00E607DA">
            <w:pPr>
              <w:rPr>
                <w:rFonts w:ascii="Meta Pro" w:eastAsia="Times New Roman" w:hAnsi="Meta Pro"/>
                <w:b/>
                <w:bCs/>
                <w:szCs w:val="18"/>
                <w:lang w:eastAsia="en-AU"/>
              </w:rPr>
            </w:pPr>
          </w:p>
        </w:tc>
        <w:tc>
          <w:tcPr>
            <w:tcW w:w="226" w:type="dxa"/>
            <w:tcBorders>
              <w:top w:val="nil"/>
              <w:left w:val="nil"/>
              <w:bottom w:val="nil"/>
              <w:right w:val="nil"/>
            </w:tcBorders>
            <w:shd w:val="clear" w:color="auto" w:fill="auto"/>
            <w:noWrap/>
            <w:vAlign w:val="center"/>
            <w:hideMark/>
          </w:tcPr>
          <w:p w14:paraId="04D9C18F" w14:textId="77777777" w:rsidR="00544F7C" w:rsidRPr="00386E3C" w:rsidRDefault="00544F7C" w:rsidP="00E607DA">
            <w:pPr>
              <w:jc w:val="right"/>
              <w:rPr>
                <w:rFonts w:ascii="Meta Pro" w:eastAsia="Times New Roman" w:hAnsi="Meta Pro" w:cs="Times New Roman"/>
                <w:sz w:val="20"/>
                <w:szCs w:val="20"/>
                <w:lang w:eastAsia="en-AU"/>
              </w:rPr>
            </w:pPr>
          </w:p>
        </w:tc>
        <w:tc>
          <w:tcPr>
            <w:tcW w:w="1169" w:type="dxa"/>
            <w:tcBorders>
              <w:top w:val="nil"/>
              <w:left w:val="nil"/>
              <w:bottom w:val="nil"/>
              <w:right w:val="nil"/>
            </w:tcBorders>
            <w:shd w:val="clear" w:color="auto" w:fill="auto"/>
            <w:noWrap/>
            <w:vAlign w:val="center"/>
            <w:hideMark/>
          </w:tcPr>
          <w:p w14:paraId="30E34E50" w14:textId="77777777" w:rsidR="00544F7C" w:rsidRPr="00386E3C" w:rsidRDefault="00544F7C" w:rsidP="00E607DA">
            <w:pPr>
              <w:jc w:val="right"/>
              <w:rPr>
                <w:rFonts w:ascii="Meta Pro" w:eastAsia="Times New Roman" w:hAnsi="Meta Pro" w:cs="Times New Roman"/>
                <w:sz w:val="20"/>
                <w:szCs w:val="20"/>
                <w:lang w:eastAsia="en-AU"/>
              </w:rPr>
            </w:pPr>
          </w:p>
        </w:tc>
      </w:tr>
      <w:tr w:rsidR="00544F7C" w:rsidRPr="00386E3C" w14:paraId="4C8CD1A2" w14:textId="77777777" w:rsidTr="00E607DA">
        <w:trPr>
          <w:trHeight w:val="240"/>
        </w:trPr>
        <w:tc>
          <w:tcPr>
            <w:tcW w:w="7074" w:type="dxa"/>
            <w:tcBorders>
              <w:top w:val="nil"/>
              <w:left w:val="nil"/>
              <w:bottom w:val="nil"/>
              <w:right w:val="nil"/>
            </w:tcBorders>
            <w:shd w:val="clear" w:color="auto" w:fill="auto"/>
            <w:noWrap/>
            <w:vAlign w:val="center"/>
            <w:hideMark/>
          </w:tcPr>
          <w:p w14:paraId="03F9BA48" w14:textId="77777777" w:rsidR="00544F7C" w:rsidRPr="00386E3C" w:rsidRDefault="00544F7C" w:rsidP="00E607DA">
            <w:pPr>
              <w:rPr>
                <w:rFonts w:ascii="Meta Pro" w:eastAsia="Times New Roman" w:hAnsi="Meta Pro"/>
                <w:i/>
                <w:iCs/>
                <w:szCs w:val="18"/>
                <w:lang w:eastAsia="en-AU"/>
              </w:rPr>
            </w:pPr>
            <w:r w:rsidRPr="00386E3C">
              <w:rPr>
                <w:rFonts w:ascii="Meta Pro" w:eastAsia="Times New Roman" w:hAnsi="Meta Pro"/>
                <w:i/>
                <w:iCs/>
                <w:szCs w:val="18"/>
                <w:lang w:eastAsia="en-AU"/>
              </w:rPr>
              <w:t>Current</w:t>
            </w:r>
          </w:p>
        </w:tc>
        <w:tc>
          <w:tcPr>
            <w:tcW w:w="1169" w:type="dxa"/>
            <w:tcBorders>
              <w:top w:val="nil"/>
              <w:left w:val="nil"/>
              <w:bottom w:val="nil"/>
              <w:right w:val="nil"/>
            </w:tcBorders>
            <w:shd w:val="clear" w:color="auto" w:fill="auto"/>
            <w:noWrap/>
            <w:vAlign w:val="center"/>
            <w:hideMark/>
          </w:tcPr>
          <w:p w14:paraId="1E6C06B8" w14:textId="77777777" w:rsidR="00544F7C" w:rsidRPr="00386E3C" w:rsidRDefault="00544F7C" w:rsidP="00E607DA">
            <w:pPr>
              <w:rPr>
                <w:rFonts w:ascii="Meta Pro" w:eastAsia="Times New Roman" w:hAnsi="Meta Pro"/>
                <w:i/>
                <w:iCs/>
                <w:szCs w:val="18"/>
                <w:lang w:eastAsia="en-AU"/>
              </w:rPr>
            </w:pPr>
          </w:p>
        </w:tc>
        <w:tc>
          <w:tcPr>
            <w:tcW w:w="226" w:type="dxa"/>
            <w:tcBorders>
              <w:top w:val="nil"/>
              <w:left w:val="nil"/>
              <w:bottom w:val="nil"/>
              <w:right w:val="nil"/>
            </w:tcBorders>
            <w:shd w:val="clear" w:color="auto" w:fill="auto"/>
            <w:noWrap/>
            <w:vAlign w:val="center"/>
            <w:hideMark/>
          </w:tcPr>
          <w:p w14:paraId="314A7AEA" w14:textId="77777777" w:rsidR="00544F7C" w:rsidRPr="00386E3C" w:rsidRDefault="00544F7C" w:rsidP="00E607DA">
            <w:pPr>
              <w:jc w:val="right"/>
              <w:rPr>
                <w:rFonts w:ascii="Meta Pro" w:eastAsia="Times New Roman" w:hAnsi="Meta Pro" w:cs="Times New Roman"/>
                <w:sz w:val="20"/>
                <w:szCs w:val="20"/>
                <w:lang w:eastAsia="en-AU"/>
              </w:rPr>
            </w:pPr>
          </w:p>
        </w:tc>
        <w:tc>
          <w:tcPr>
            <w:tcW w:w="1169" w:type="dxa"/>
            <w:tcBorders>
              <w:top w:val="nil"/>
              <w:left w:val="nil"/>
              <w:bottom w:val="nil"/>
              <w:right w:val="nil"/>
            </w:tcBorders>
            <w:shd w:val="clear" w:color="auto" w:fill="auto"/>
            <w:noWrap/>
            <w:vAlign w:val="center"/>
            <w:hideMark/>
          </w:tcPr>
          <w:p w14:paraId="115A3415" w14:textId="77777777" w:rsidR="00544F7C" w:rsidRPr="00386E3C" w:rsidRDefault="00544F7C" w:rsidP="00E607DA">
            <w:pPr>
              <w:jc w:val="right"/>
              <w:rPr>
                <w:rFonts w:ascii="Meta Pro" w:eastAsia="Times New Roman" w:hAnsi="Meta Pro" w:cs="Times New Roman"/>
                <w:sz w:val="20"/>
                <w:szCs w:val="20"/>
                <w:lang w:eastAsia="en-AU"/>
              </w:rPr>
            </w:pPr>
          </w:p>
        </w:tc>
      </w:tr>
      <w:tr w:rsidR="00544F7C" w:rsidRPr="00386E3C" w14:paraId="775A372E" w14:textId="77777777" w:rsidTr="00E607DA">
        <w:trPr>
          <w:trHeight w:val="240"/>
        </w:trPr>
        <w:tc>
          <w:tcPr>
            <w:tcW w:w="7074" w:type="dxa"/>
            <w:tcBorders>
              <w:top w:val="nil"/>
              <w:left w:val="nil"/>
              <w:bottom w:val="nil"/>
              <w:right w:val="nil"/>
            </w:tcBorders>
            <w:shd w:val="clear" w:color="auto" w:fill="auto"/>
            <w:noWrap/>
            <w:vAlign w:val="center"/>
            <w:hideMark/>
          </w:tcPr>
          <w:p w14:paraId="5153230B" w14:textId="77777777" w:rsidR="00544F7C" w:rsidRPr="00386E3C" w:rsidRDefault="00544F7C" w:rsidP="00E607DA">
            <w:pPr>
              <w:rPr>
                <w:rFonts w:ascii="Meta Pro" w:eastAsia="Times New Roman" w:hAnsi="Meta Pro"/>
                <w:szCs w:val="18"/>
                <w:lang w:eastAsia="en-AU"/>
              </w:rPr>
            </w:pPr>
            <w:r w:rsidRPr="00386E3C">
              <w:rPr>
                <w:rFonts w:ascii="Meta Pro" w:eastAsia="Times New Roman" w:hAnsi="Meta Pro"/>
                <w:szCs w:val="18"/>
                <w:lang w:eastAsia="en-AU"/>
              </w:rPr>
              <w:t>Payables</w:t>
            </w:r>
            <w:r>
              <w:rPr>
                <w:rFonts w:ascii="Meta Pro" w:eastAsia="Times New Roman" w:hAnsi="Meta Pro"/>
                <w:szCs w:val="18"/>
                <w:lang w:eastAsia="en-AU"/>
              </w:rPr>
              <w:t xml:space="preserve"> *</w:t>
            </w:r>
          </w:p>
        </w:tc>
        <w:tc>
          <w:tcPr>
            <w:tcW w:w="1169" w:type="dxa"/>
            <w:tcBorders>
              <w:top w:val="nil"/>
              <w:left w:val="nil"/>
              <w:bottom w:val="nil"/>
              <w:right w:val="nil"/>
            </w:tcBorders>
            <w:shd w:val="clear" w:color="000000" w:fill="C9E3B4"/>
            <w:noWrap/>
            <w:vAlign w:val="center"/>
            <w:hideMark/>
          </w:tcPr>
          <w:p w14:paraId="7D744C1C" w14:textId="77777777" w:rsidR="00544F7C" w:rsidRPr="00386E3C" w:rsidRDefault="00544F7C" w:rsidP="00E607DA">
            <w:pPr>
              <w:jc w:val="right"/>
              <w:rPr>
                <w:rFonts w:ascii="Meta Pro" w:eastAsia="Times New Roman" w:hAnsi="Meta Pro"/>
                <w:szCs w:val="18"/>
                <w:lang w:eastAsia="en-AU"/>
              </w:rPr>
            </w:pPr>
            <w:r w:rsidRPr="00386E3C">
              <w:rPr>
                <w:rFonts w:ascii="Meta Pro" w:eastAsia="Times New Roman" w:hAnsi="Meta Pro"/>
                <w:szCs w:val="18"/>
                <w:lang w:eastAsia="en-AU"/>
              </w:rPr>
              <w:t xml:space="preserve">171,480 </w:t>
            </w:r>
          </w:p>
        </w:tc>
        <w:tc>
          <w:tcPr>
            <w:tcW w:w="226" w:type="dxa"/>
            <w:tcBorders>
              <w:top w:val="nil"/>
              <w:left w:val="nil"/>
              <w:bottom w:val="nil"/>
              <w:right w:val="nil"/>
            </w:tcBorders>
            <w:shd w:val="clear" w:color="auto" w:fill="auto"/>
            <w:noWrap/>
            <w:vAlign w:val="center"/>
            <w:hideMark/>
          </w:tcPr>
          <w:p w14:paraId="7198DCAF" w14:textId="77777777" w:rsidR="00544F7C" w:rsidRPr="00386E3C" w:rsidRDefault="00544F7C" w:rsidP="00E607DA">
            <w:pPr>
              <w:jc w:val="right"/>
              <w:rPr>
                <w:rFonts w:ascii="Meta Pro" w:eastAsia="Times New Roman" w:hAnsi="Meta Pro"/>
                <w:szCs w:val="18"/>
                <w:lang w:eastAsia="en-AU"/>
              </w:rPr>
            </w:pPr>
          </w:p>
        </w:tc>
        <w:tc>
          <w:tcPr>
            <w:tcW w:w="1169" w:type="dxa"/>
            <w:tcBorders>
              <w:top w:val="nil"/>
              <w:left w:val="nil"/>
              <w:bottom w:val="nil"/>
              <w:right w:val="nil"/>
            </w:tcBorders>
            <w:shd w:val="clear" w:color="auto" w:fill="auto"/>
            <w:noWrap/>
            <w:vAlign w:val="center"/>
            <w:hideMark/>
          </w:tcPr>
          <w:p w14:paraId="10571200" w14:textId="77777777" w:rsidR="00544F7C" w:rsidRPr="00386E3C" w:rsidRDefault="00544F7C" w:rsidP="00E607DA">
            <w:pPr>
              <w:jc w:val="right"/>
              <w:rPr>
                <w:rFonts w:ascii="Meta Pro" w:eastAsia="Times New Roman" w:hAnsi="Meta Pro"/>
                <w:szCs w:val="18"/>
                <w:lang w:eastAsia="en-AU"/>
              </w:rPr>
            </w:pPr>
            <w:r w:rsidRPr="00386E3C">
              <w:rPr>
                <w:rFonts w:ascii="Meta Pro" w:eastAsia="Times New Roman" w:hAnsi="Meta Pro"/>
                <w:szCs w:val="18"/>
                <w:lang w:eastAsia="en-AU"/>
              </w:rPr>
              <w:t xml:space="preserve">81,921 </w:t>
            </w:r>
          </w:p>
        </w:tc>
      </w:tr>
      <w:tr w:rsidR="00544F7C" w:rsidRPr="00386E3C" w14:paraId="2903234B" w14:textId="77777777" w:rsidTr="00E607DA">
        <w:trPr>
          <w:trHeight w:val="240"/>
        </w:trPr>
        <w:tc>
          <w:tcPr>
            <w:tcW w:w="7074" w:type="dxa"/>
            <w:tcBorders>
              <w:top w:val="nil"/>
              <w:left w:val="nil"/>
              <w:bottom w:val="nil"/>
              <w:right w:val="nil"/>
            </w:tcBorders>
            <w:shd w:val="clear" w:color="auto" w:fill="auto"/>
            <w:noWrap/>
            <w:vAlign w:val="center"/>
            <w:hideMark/>
          </w:tcPr>
          <w:p w14:paraId="5B03CDDB" w14:textId="77777777" w:rsidR="00544F7C" w:rsidRPr="00386E3C" w:rsidRDefault="00544F7C" w:rsidP="00E607DA">
            <w:pPr>
              <w:rPr>
                <w:rFonts w:ascii="Meta Pro" w:eastAsia="Times New Roman" w:hAnsi="Meta Pro"/>
                <w:szCs w:val="18"/>
                <w:lang w:eastAsia="en-AU"/>
              </w:rPr>
            </w:pPr>
            <w:r w:rsidRPr="00386E3C">
              <w:rPr>
                <w:rFonts w:ascii="Meta Pro" w:eastAsia="Times New Roman" w:hAnsi="Meta Pro"/>
                <w:szCs w:val="18"/>
                <w:lang w:eastAsia="en-AU"/>
              </w:rPr>
              <w:t>Unearned revenue</w:t>
            </w:r>
          </w:p>
        </w:tc>
        <w:tc>
          <w:tcPr>
            <w:tcW w:w="1169" w:type="dxa"/>
            <w:tcBorders>
              <w:top w:val="nil"/>
              <w:left w:val="nil"/>
              <w:bottom w:val="nil"/>
              <w:right w:val="nil"/>
            </w:tcBorders>
            <w:shd w:val="clear" w:color="000000" w:fill="C9E3B4"/>
            <w:noWrap/>
            <w:vAlign w:val="center"/>
            <w:hideMark/>
          </w:tcPr>
          <w:p w14:paraId="3BFD24FF" w14:textId="77777777" w:rsidR="00544F7C" w:rsidRPr="00386E3C" w:rsidRDefault="00544F7C" w:rsidP="00E607DA">
            <w:pPr>
              <w:jc w:val="right"/>
              <w:rPr>
                <w:rFonts w:ascii="Meta Pro" w:eastAsia="Times New Roman" w:hAnsi="Meta Pro"/>
                <w:szCs w:val="18"/>
                <w:lang w:eastAsia="en-AU"/>
              </w:rPr>
            </w:pPr>
            <w:r w:rsidRPr="00386E3C">
              <w:rPr>
                <w:rFonts w:ascii="Meta Pro" w:eastAsia="Times New Roman" w:hAnsi="Meta Pro"/>
                <w:szCs w:val="18"/>
                <w:lang w:eastAsia="en-AU"/>
              </w:rPr>
              <w:t xml:space="preserve">6,119 </w:t>
            </w:r>
          </w:p>
        </w:tc>
        <w:tc>
          <w:tcPr>
            <w:tcW w:w="226" w:type="dxa"/>
            <w:tcBorders>
              <w:top w:val="nil"/>
              <w:left w:val="nil"/>
              <w:bottom w:val="nil"/>
              <w:right w:val="nil"/>
            </w:tcBorders>
            <w:shd w:val="clear" w:color="auto" w:fill="auto"/>
            <w:noWrap/>
            <w:vAlign w:val="center"/>
            <w:hideMark/>
          </w:tcPr>
          <w:p w14:paraId="79812DB0" w14:textId="77777777" w:rsidR="00544F7C" w:rsidRPr="00386E3C" w:rsidRDefault="00544F7C" w:rsidP="00E607DA">
            <w:pPr>
              <w:jc w:val="right"/>
              <w:rPr>
                <w:rFonts w:ascii="Meta Pro" w:eastAsia="Times New Roman" w:hAnsi="Meta Pro"/>
                <w:szCs w:val="18"/>
                <w:lang w:eastAsia="en-AU"/>
              </w:rPr>
            </w:pPr>
          </w:p>
        </w:tc>
        <w:tc>
          <w:tcPr>
            <w:tcW w:w="1169" w:type="dxa"/>
            <w:tcBorders>
              <w:top w:val="nil"/>
              <w:left w:val="nil"/>
              <w:bottom w:val="nil"/>
              <w:right w:val="nil"/>
            </w:tcBorders>
            <w:shd w:val="clear" w:color="auto" w:fill="auto"/>
            <w:noWrap/>
            <w:vAlign w:val="center"/>
            <w:hideMark/>
          </w:tcPr>
          <w:p w14:paraId="6BC2BE15" w14:textId="77777777" w:rsidR="00544F7C" w:rsidRPr="00386E3C" w:rsidRDefault="00544F7C" w:rsidP="00E607DA">
            <w:pPr>
              <w:jc w:val="right"/>
              <w:rPr>
                <w:rFonts w:ascii="Meta Pro" w:eastAsia="Times New Roman" w:hAnsi="Meta Pro"/>
                <w:szCs w:val="18"/>
                <w:lang w:eastAsia="en-AU"/>
              </w:rPr>
            </w:pPr>
            <w:r w:rsidRPr="00386E3C">
              <w:rPr>
                <w:rFonts w:ascii="Meta Pro" w:eastAsia="Times New Roman" w:hAnsi="Meta Pro"/>
                <w:szCs w:val="18"/>
                <w:lang w:eastAsia="en-AU"/>
              </w:rPr>
              <w:t xml:space="preserve">6,187 </w:t>
            </w:r>
          </w:p>
        </w:tc>
      </w:tr>
      <w:tr w:rsidR="00544F7C" w:rsidRPr="00386E3C" w14:paraId="5259013B" w14:textId="77777777" w:rsidTr="00E607DA">
        <w:trPr>
          <w:trHeight w:val="240"/>
        </w:trPr>
        <w:tc>
          <w:tcPr>
            <w:tcW w:w="7074" w:type="dxa"/>
            <w:tcBorders>
              <w:top w:val="single" w:sz="4" w:space="0" w:color="auto"/>
              <w:left w:val="nil"/>
              <w:bottom w:val="single" w:sz="4" w:space="0" w:color="auto"/>
              <w:right w:val="nil"/>
            </w:tcBorders>
            <w:shd w:val="clear" w:color="auto" w:fill="auto"/>
            <w:noWrap/>
            <w:vAlign w:val="center"/>
            <w:hideMark/>
          </w:tcPr>
          <w:p w14:paraId="786DAADE" w14:textId="77777777" w:rsidR="00544F7C" w:rsidRPr="00386E3C" w:rsidRDefault="00544F7C" w:rsidP="00E607DA">
            <w:pPr>
              <w:rPr>
                <w:rFonts w:ascii="Meta Pro" w:eastAsia="Times New Roman" w:hAnsi="Meta Pro"/>
                <w:b/>
                <w:bCs/>
                <w:szCs w:val="18"/>
                <w:lang w:eastAsia="en-AU"/>
              </w:rPr>
            </w:pPr>
            <w:r w:rsidRPr="00386E3C">
              <w:rPr>
                <w:rFonts w:ascii="Meta Pro" w:eastAsia="Times New Roman" w:hAnsi="Meta Pro"/>
                <w:b/>
                <w:bCs/>
                <w:szCs w:val="18"/>
                <w:lang w:eastAsia="en-AU"/>
              </w:rPr>
              <w:t>Total liabilities</w:t>
            </w:r>
          </w:p>
        </w:tc>
        <w:tc>
          <w:tcPr>
            <w:tcW w:w="1169" w:type="dxa"/>
            <w:tcBorders>
              <w:top w:val="single" w:sz="4" w:space="0" w:color="auto"/>
              <w:left w:val="nil"/>
              <w:bottom w:val="single" w:sz="4" w:space="0" w:color="auto"/>
              <w:right w:val="nil"/>
            </w:tcBorders>
            <w:shd w:val="clear" w:color="000000" w:fill="C9E3B4"/>
            <w:noWrap/>
            <w:vAlign w:val="center"/>
            <w:hideMark/>
          </w:tcPr>
          <w:p w14:paraId="2240F073" w14:textId="77777777" w:rsidR="00544F7C" w:rsidRPr="00386E3C" w:rsidRDefault="00544F7C" w:rsidP="00E607DA">
            <w:pPr>
              <w:jc w:val="right"/>
              <w:rPr>
                <w:rFonts w:ascii="Meta Pro" w:eastAsia="Times New Roman" w:hAnsi="Meta Pro"/>
                <w:b/>
                <w:bCs/>
                <w:szCs w:val="18"/>
                <w:lang w:eastAsia="en-AU"/>
              </w:rPr>
            </w:pPr>
            <w:r w:rsidRPr="00386E3C">
              <w:rPr>
                <w:rFonts w:ascii="Meta Pro" w:eastAsia="Times New Roman" w:hAnsi="Meta Pro"/>
                <w:b/>
                <w:bCs/>
                <w:szCs w:val="18"/>
                <w:lang w:eastAsia="en-AU"/>
              </w:rPr>
              <w:t xml:space="preserve">177,599 </w:t>
            </w:r>
          </w:p>
        </w:tc>
        <w:tc>
          <w:tcPr>
            <w:tcW w:w="226" w:type="dxa"/>
            <w:tcBorders>
              <w:top w:val="single" w:sz="4" w:space="0" w:color="auto"/>
              <w:left w:val="nil"/>
              <w:bottom w:val="single" w:sz="4" w:space="0" w:color="auto"/>
              <w:right w:val="nil"/>
            </w:tcBorders>
            <w:shd w:val="clear" w:color="auto" w:fill="auto"/>
            <w:noWrap/>
            <w:vAlign w:val="center"/>
            <w:hideMark/>
          </w:tcPr>
          <w:p w14:paraId="30553189" w14:textId="77777777" w:rsidR="00544F7C" w:rsidRPr="00386E3C" w:rsidRDefault="00544F7C" w:rsidP="00E607DA">
            <w:pPr>
              <w:rPr>
                <w:rFonts w:ascii="Meta Pro" w:eastAsia="Times New Roman" w:hAnsi="Meta Pro"/>
                <w:b/>
                <w:bCs/>
                <w:szCs w:val="18"/>
                <w:lang w:eastAsia="en-AU"/>
              </w:rPr>
            </w:pPr>
            <w:r w:rsidRPr="00386E3C">
              <w:rPr>
                <w:rFonts w:ascii="Meta Pro" w:eastAsia="Times New Roman" w:hAnsi="Meta Pro"/>
                <w:b/>
                <w:bCs/>
                <w:szCs w:val="18"/>
                <w:lang w:eastAsia="en-AU"/>
              </w:rPr>
              <w:t> </w:t>
            </w:r>
          </w:p>
        </w:tc>
        <w:tc>
          <w:tcPr>
            <w:tcW w:w="1169" w:type="dxa"/>
            <w:tcBorders>
              <w:top w:val="single" w:sz="4" w:space="0" w:color="auto"/>
              <w:left w:val="nil"/>
              <w:bottom w:val="single" w:sz="4" w:space="0" w:color="auto"/>
              <w:right w:val="nil"/>
            </w:tcBorders>
            <w:shd w:val="clear" w:color="auto" w:fill="auto"/>
            <w:noWrap/>
            <w:vAlign w:val="center"/>
            <w:hideMark/>
          </w:tcPr>
          <w:p w14:paraId="4F5A32BB" w14:textId="77777777" w:rsidR="00544F7C" w:rsidRPr="00386E3C" w:rsidRDefault="00544F7C" w:rsidP="00E607DA">
            <w:pPr>
              <w:jc w:val="right"/>
              <w:rPr>
                <w:rFonts w:ascii="Meta Pro" w:eastAsia="Times New Roman" w:hAnsi="Meta Pro"/>
                <w:b/>
                <w:bCs/>
                <w:szCs w:val="18"/>
                <w:lang w:eastAsia="en-AU"/>
              </w:rPr>
            </w:pPr>
            <w:r w:rsidRPr="00386E3C">
              <w:rPr>
                <w:rFonts w:ascii="Meta Pro" w:eastAsia="Times New Roman" w:hAnsi="Meta Pro"/>
                <w:b/>
                <w:bCs/>
                <w:szCs w:val="18"/>
                <w:lang w:eastAsia="en-AU"/>
              </w:rPr>
              <w:t xml:space="preserve">88,108 </w:t>
            </w:r>
          </w:p>
        </w:tc>
      </w:tr>
      <w:tr w:rsidR="00544F7C" w:rsidRPr="00386E3C" w14:paraId="2A019DFA" w14:textId="77777777" w:rsidTr="00E607DA">
        <w:trPr>
          <w:trHeight w:val="240"/>
        </w:trPr>
        <w:tc>
          <w:tcPr>
            <w:tcW w:w="7074" w:type="dxa"/>
            <w:tcBorders>
              <w:top w:val="nil"/>
              <w:left w:val="nil"/>
              <w:bottom w:val="nil"/>
              <w:right w:val="nil"/>
            </w:tcBorders>
            <w:shd w:val="clear" w:color="auto" w:fill="auto"/>
            <w:noWrap/>
            <w:vAlign w:val="center"/>
            <w:hideMark/>
          </w:tcPr>
          <w:p w14:paraId="3B911158" w14:textId="77777777" w:rsidR="00544F7C" w:rsidRPr="00386E3C" w:rsidRDefault="00544F7C" w:rsidP="00E607DA">
            <w:pPr>
              <w:rPr>
                <w:rFonts w:ascii="Meta Pro" w:eastAsia="Times New Roman" w:hAnsi="Meta Pro"/>
                <w:szCs w:val="18"/>
                <w:lang w:eastAsia="en-AU"/>
              </w:rPr>
            </w:pPr>
            <w:r w:rsidRPr="00386E3C">
              <w:rPr>
                <w:rFonts w:ascii="Meta Pro" w:eastAsia="Times New Roman" w:hAnsi="Meta Pro"/>
                <w:szCs w:val="18"/>
                <w:lang w:eastAsia="en-AU"/>
              </w:rPr>
              <w:t> </w:t>
            </w:r>
          </w:p>
        </w:tc>
        <w:tc>
          <w:tcPr>
            <w:tcW w:w="1169" w:type="dxa"/>
            <w:tcBorders>
              <w:top w:val="nil"/>
              <w:left w:val="nil"/>
              <w:bottom w:val="nil"/>
              <w:right w:val="nil"/>
            </w:tcBorders>
            <w:shd w:val="clear" w:color="000000" w:fill="C9E3B4"/>
            <w:noWrap/>
            <w:vAlign w:val="center"/>
            <w:hideMark/>
          </w:tcPr>
          <w:p w14:paraId="47533FCD" w14:textId="77777777" w:rsidR="00544F7C" w:rsidRPr="00386E3C" w:rsidRDefault="00544F7C" w:rsidP="00E607DA">
            <w:pPr>
              <w:rPr>
                <w:rFonts w:ascii="Meta Pro" w:eastAsia="Times New Roman" w:hAnsi="Meta Pro"/>
                <w:szCs w:val="18"/>
                <w:lang w:eastAsia="en-AU"/>
              </w:rPr>
            </w:pPr>
            <w:r w:rsidRPr="00386E3C">
              <w:rPr>
                <w:rFonts w:ascii="Meta Pro" w:eastAsia="Times New Roman" w:hAnsi="Meta Pro"/>
                <w:szCs w:val="18"/>
                <w:lang w:eastAsia="en-AU"/>
              </w:rPr>
              <w:t> </w:t>
            </w:r>
          </w:p>
        </w:tc>
        <w:tc>
          <w:tcPr>
            <w:tcW w:w="226" w:type="dxa"/>
            <w:tcBorders>
              <w:top w:val="nil"/>
              <w:left w:val="nil"/>
              <w:bottom w:val="nil"/>
              <w:right w:val="nil"/>
            </w:tcBorders>
            <w:shd w:val="clear" w:color="auto" w:fill="auto"/>
            <w:noWrap/>
            <w:vAlign w:val="center"/>
            <w:hideMark/>
          </w:tcPr>
          <w:p w14:paraId="5FC3655A" w14:textId="77777777" w:rsidR="00544F7C" w:rsidRPr="00386E3C" w:rsidRDefault="00544F7C" w:rsidP="00E607DA">
            <w:pPr>
              <w:rPr>
                <w:rFonts w:ascii="Meta Pro" w:eastAsia="Times New Roman" w:hAnsi="Meta Pro"/>
                <w:szCs w:val="18"/>
                <w:lang w:eastAsia="en-AU"/>
              </w:rPr>
            </w:pPr>
          </w:p>
        </w:tc>
        <w:tc>
          <w:tcPr>
            <w:tcW w:w="1169" w:type="dxa"/>
            <w:tcBorders>
              <w:top w:val="nil"/>
              <w:left w:val="nil"/>
              <w:bottom w:val="nil"/>
              <w:right w:val="nil"/>
            </w:tcBorders>
            <w:shd w:val="clear" w:color="auto" w:fill="auto"/>
            <w:noWrap/>
            <w:vAlign w:val="center"/>
            <w:hideMark/>
          </w:tcPr>
          <w:p w14:paraId="66140B47" w14:textId="77777777" w:rsidR="00544F7C" w:rsidRPr="00386E3C" w:rsidRDefault="00544F7C" w:rsidP="00E607DA">
            <w:pPr>
              <w:rPr>
                <w:rFonts w:ascii="Meta Pro" w:eastAsia="Times New Roman" w:hAnsi="Meta Pro" w:cs="Times New Roman"/>
                <w:sz w:val="20"/>
                <w:szCs w:val="20"/>
                <w:lang w:eastAsia="en-AU"/>
              </w:rPr>
            </w:pPr>
          </w:p>
        </w:tc>
      </w:tr>
      <w:tr w:rsidR="00544F7C" w:rsidRPr="00386E3C" w14:paraId="0A219C5A" w14:textId="77777777" w:rsidTr="00E607DA">
        <w:trPr>
          <w:trHeight w:val="240"/>
        </w:trPr>
        <w:tc>
          <w:tcPr>
            <w:tcW w:w="7074" w:type="dxa"/>
            <w:tcBorders>
              <w:top w:val="single" w:sz="4" w:space="0" w:color="auto"/>
              <w:left w:val="nil"/>
              <w:bottom w:val="double" w:sz="6" w:space="0" w:color="auto"/>
              <w:right w:val="nil"/>
            </w:tcBorders>
            <w:shd w:val="clear" w:color="auto" w:fill="auto"/>
            <w:noWrap/>
            <w:vAlign w:val="center"/>
            <w:hideMark/>
          </w:tcPr>
          <w:p w14:paraId="1B164AFA" w14:textId="77777777" w:rsidR="00544F7C" w:rsidRPr="00386E3C" w:rsidRDefault="00544F7C" w:rsidP="00E607DA">
            <w:pPr>
              <w:rPr>
                <w:rFonts w:ascii="Meta Pro" w:eastAsia="Times New Roman" w:hAnsi="Meta Pro"/>
                <w:b/>
                <w:bCs/>
                <w:szCs w:val="18"/>
                <w:lang w:eastAsia="en-AU"/>
              </w:rPr>
            </w:pPr>
            <w:r w:rsidRPr="00386E3C">
              <w:rPr>
                <w:rFonts w:ascii="Meta Pro" w:eastAsia="Times New Roman" w:hAnsi="Meta Pro"/>
                <w:b/>
                <w:bCs/>
                <w:szCs w:val="18"/>
                <w:lang w:eastAsia="en-AU"/>
              </w:rPr>
              <w:lastRenderedPageBreak/>
              <w:t>NET ADMINISTERED ASSETS</w:t>
            </w:r>
          </w:p>
        </w:tc>
        <w:tc>
          <w:tcPr>
            <w:tcW w:w="1169" w:type="dxa"/>
            <w:tcBorders>
              <w:top w:val="single" w:sz="4" w:space="0" w:color="auto"/>
              <w:left w:val="nil"/>
              <w:bottom w:val="double" w:sz="6" w:space="0" w:color="auto"/>
              <w:right w:val="nil"/>
            </w:tcBorders>
            <w:shd w:val="clear" w:color="000000" w:fill="C9E3B4"/>
            <w:noWrap/>
            <w:vAlign w:val="center"/>
            <w:hideMark/>
          </w:tcPr>
          <w:p w14:paraId="4147136A" w14:textId="77777777" w:rsidR="00544F7C" w:rsidRPr="00386E3C" w:rsidRDefault="00544F7C" w:rsidP="00E607DA">
            <w:pPr>
              <w:jc w:val="right"/>
              <w:rPr>
                <w:rFonts w:ascii="Meta Pro" w:eastAsia="Times New Roman" w:hAnsi="Meta Pro"/>
                <w:b/>
                <w:bCs/>
                <w:szCs w:val="18"/>
                <w:lang w:eastAsia="en-AU"/>
              </w:rPr>
            </w:pPr>
            <w:r w:rsidRPr="00386E3C">
              <w:rPr>
                <w:rFonts w:ascii="Meta Pro" w:eastAsia="Times New Roman" w:hAnsi="Meta Pro"/>
                <w:b/>
                <w:bCs/>
                <w:szCs w:val="18"/>
                <w:lang w:eastAsia="en-AU"/>
              </w:rPr>
              <w:t xml:space="preserve">123,513 </w:t>
            </w:r>
          </w:p>
        </w:tc>
        <w:tc>
          <w:tcPr>
            <w:tcW w:w="226" w:type="dxa"/>
            <w:tcBorders>
              <w:top w:val="single" w:sz="4" w:space="0" w:color="auto"/>
              <w:left w:val="nil"/>
              <w:bottom w:val="double" w:sz="6" w:space="0" w:color="auto"/>
              <w:right w:val="nil"/>
            </w:tcBorders>
            <w:shd w:val="clear" w:color="auto" w:fill="auto"/>
            <w:noWrap/>
            <w:vAlign w:val="center"/>
            <w:hideMark/>
          </w:tcPr>
          <w:p w14:paraId="5EC0A4FE" w14:textId="77777777" w:rsidR="00544F7C" w:rsidRPr="00386E3C" w:rsidRDefault="00544F7C" w:rsidP="00E607DA">
            <w:pPr>
              <w:rPr>
                <w:rFonts w:ascii="Meta Pro" w:eastAsia="Times New Roman" w:hAnsi="Meta Pro"/>
                <w:b/>
                <w:bCs/>
                <w:szCs w:val="18"/>
                <w:lang w:eastAsia="en-AU"/>
              </w:rPr>
            </w:pPr>
            <w:r w:rsidRPr="00386E3C">
              <w:rPr>
                <w:rFonts w:ascii="Meta Pro" w:eastAsia="Times New Roman" w:hAnsi="Meta Pro"/>
                <w:b/>
                <w:bCs/>
                <w:szCs w:val="18"/>
                <w:lang w:eastAsia="en-AU"/>
              </w:rPr>
              <w:t> </w:t>
            </w:r>
          </w:p>
        </w:tc>
        <w:tc>
          <w:tcPr>
            <w:tcW w:w="1169" w:type="dxa"/>
            <w:tcBorders>
              <w:top w:val="single" w:sz="4" w:space="0" w:color="auto"/>
              <w:left w:val="nil"/>
              <w:bottom w:val="double" w:sz="6" w:space="0" w:color="auto"/>
              <w:right w:val="nil"/>
            </w:tcBorders>
            <w:shd w:val="clear" w:color="auto" w:fill="auto"/>
            <w:noWrap/>
            <w:vAlign w:val="center"/>
            <w:hideMark/>
          </w:tcPr>
          <w:p w14:paraId="1F869C29" w14:textId="77777777" w:rsidR="00544F7C" w:rsidRPr="00386E3C" w:rsidRDefault="00544F7C" w:rsidP="00E607DA">
            <w:pPr>
              <w:jc w:val="right"/>
              <w:rPr>
                <w:rFonts w:ascii="Meta Pro" w:eastAsia="Times New Roman" w:hAnsi="Meta Pro"/>
                <w:b/>
                <w:bCs/>
                <w:szCs w:val="18"/>
                <w:lang w:eastAsia="en-AU"/>
              </w:rPr>
            </w:pPr>
            <w:r w:rsidRPr="00386E3C">
              <w:rPr>
                <w:rFonts w:ascii="Meta Pro" w:eastAsia="Times New Roman" w:hAnsi="Meta Pro"/>
                <w:b/>
                <w:bCs/>
                <w:szCs w:val="18"/>
                <w:lang w:eastAsia="en-AU"/>
              </w:rPr>
              <w:t xml:space="preserve">110,926 </w:t>
            </w:r>
          </w:p>
        </w:tc>
      </w:tr>
      <w:tr w:rsidR="00544F7C" w:rsidRPr="00386E3C" w14:paraId="72FEE703" w14:textId="77777777" w:rsidTr="00E607DA">
        <w:trPr>
          <w:trHeight w:val="240"/>
        </w:trPr>
        <w:tc>
          <w:tcPr>
            <w:tcW w:w="7074" w:type="dxa"/>
            <w:tcBorders>
              <w:top w:val="nil"/>
              <w:left w:val="nil"/>
              <w:bottom w:val="nil"/>
              <w:right w:val="nil"/>
            </w:tcBorders>
            <w:shd w:val="clear" w:color="auto" w:fill="auto"/>
            <w:noWrap/>
            <w:vAlign w:val="center"/>
            <w:hideMark/>
          </w:tcPr>
          <w:p w14:paraId="4677D8CD" w14:textId="77777777" w:rsidR="00544F7C" w:rsidRPr="00386E3C" w:rsidRDefault="00544F7C" w:rsidP="00E607DA">
            <w:pPr>
              <w:jc w:val="right"/>
              <w:rPr>
                <w:rFonts w:ascii="Meta Pro" w:eastAsia="Times New Roman" w:hAnsi="Meta Pro"/>
                <w:b/>
                <w:bCs/>
                <w:szCs w:val="18"/>
                <w:lang w:eastAsia="en-AU"/>
              </w:rPr>
            </w:pPr>
          </w:p>
        </w:tc>
        <w:tc>
          <w:tcPr>
            <w:tcW w:w="1169" w:type="dxa"/>
            <w:tcBorders>
              <w:top w:val="nil"/>
              <w:left w:val="nil"/>
              <w:bottom w:val="nil"/>
              <w:right w:val="nil"/>
            </w:tcBorders>
            <w:shd w:val="clear" w:color="auto" w:fill="auto"/>
            <w:noWrap/>
            <w:vAlign w:val="center"/>
            <w:hideMark/>
          </w:tcPr>
          <w:p w14:paraId="7EC4FB79" w14:textId="77777777" w:rsidR="00544F7C" w:rsidRPr="00386E3C" w:rsidRDefault="00544F7C" w:rsidP="00E607DA">
            <w:pPr>
              <w:rPr>
                <w:rFonts w:ascii="Meta Pro" w:eastAsia="Times New Roman" w:hAnsi="Meta Pro" w:cs="Times New Roman"/>
                <w:sz w:val="20"/>
                <w:szCs w:val="20"/>
                <w:lang w:eastAsia="en-AU"/>
              </w:rPr>
            </w:pPr>
          </w:p>
        </w:tc>
        <w:tc>
          <w:tcPr>
            <w:tcW w:w="226" w:type="dxa"/>
            <w:tcBorders>
              <w:top w:val="nil"/>
              <w:left w:val="nil"/>
              <w:bottom w:val="nil"/>
              <w:right w:val="nil"/>
            </w:tcBorders>
            <w:shd w:val="clear" w:color="auto" w:fill="auto"/>
            <w:noWrap/>
            <w:vAlign w:val="center"/>
            <w:hideMark/>
          </w:tcPr>
          <w:p w14:paraId="65F04A57" w14:textId="77777777" w:rsidR="00544F7C" w:rsidRPr="00386E3C" w:rsidRDefault="00544F7C" w:rsidP="00E607DA">
            <w:pPr>
              <w:jc w:val="right"/>
              <w:rPr>
                <w:rFonts w:ascii="Meta Pro" w:eastAsia="Times New Roman" w:hAnsi="Meta Pro" w:cs="Times New Roman"/>
                <w:sz w:val="20"/>
                <w:szCs w:val="20"/>
                <w:lang w:eastAsia="en-AU"/>
              </w:rPr>
            </w:pPr>
          </w:p>
        </w:tc>
        <w:tc>
          <w:tcPr>
            <w:tcW w:w="1169" w:type="dxa"/>
            <w:tcBorders>
              <w:top w:val="nil"/>
              <w:left w:val="nil"/>
              <w:bottom w:val="nil"/>
              <w:right w:val="nil"/>
            </w:tcBorders>
            <w:shd w:val="clear" w:color="auto" w:fill="auto"/>
            <w:noWrap/>
            <w:vAlign w:val="center"/>
            <w:hideMark/>
          </w:tcPr>
          <w:p w14:paraId="4E60CF56" w14:textId="77777777" w:rsidR="00544F7C" w:rsidRPr="00386E3C" w:rsidRDefault="00544F7C" w:rsidP="00E607DA">
            <w:pPr>
              <w:rPr>
                <w:rFonts w:ascii="Meta Pro" w:eastAsia="Times New Roman" w:hAnsi="Meta Pro" w:cs="Times New Roman"/>
                <w:sz w:val="20"/>
                <w:szCs w:val="20"/>
                <w:lang w:eastAsia="en-AU"/>
              </w:rPr>
            </w:pPr>
          </w:p>
        </w:tc>
      </w:tr>
      <w:tr w:rsidR="00544F7C" w:rsidRPr="00386E3C" w14:paraId="59EC54F8" w14:textId="77777777" w:rsidTr="00E607DA">
        <w:trPr>
          <w:trHeight w:val="240"/>
        </w:trPr>
        <w:tc>
          <w:tcPr>
            <w:tcW w:w="7074" w:type="dxa"/>
            <w:tcBorders>
              <w:top w:val="nil"/>
              <w:left w:val="nil"/>
              <w:bottom w:val="nil"/>
              <w:right w:val="nil"/>
            </w:tcBorders>
            <w:shd w:val="clear" w:color="auto" w:fill="auto"/>
            <w:noWrap/>
            <w:vAlign w:val="center"/>
            <w:hideMark/>
          </w:tcPr>
          <w:p w14:paraId="37F156F3" w14:textId="77777777" w:rsidR="00544F7C" w:rsidRPr="00386E3C" w:rsidRDefault="00544F7C" w:rsidP="00E607DA">
            <w:pPr>
              <w:rPr>
                <w:rFonts w:ascii="Meta Pro" w:eastAsia="Times New Roman" w:hAnsi="Meta Pro"/>
                <w:b/>
                <w:bCs/>
                <w:szCs w:val="18"/>
                <w:lang w:eastAsia="en-AU"/>
              </w:rPr>
            </w:pPr>
            <w:r w:rsidRPr="00386E3C">
              <w:rPr>
                <w:rFonts w:ascii="Meta Pro" w:eastAsia="Times New Roman" w:hAnsi="Meta Pro"/>
                <w:b/>
                <w:bCs/>
                <w:szCs w:val="18"/>
                <w:lang w:eastAsia="en-AU"/>
              </w:rPr>
              <w:t>Administered equity</w:t>
            </w:r>
          </w:p>
        </w:tc>
        <w:tc>
          <w:tcPr>
            <w:tcW w:w="1169" w:type="dxa"/>
            <w:tcBorders>
              <w:top w:val="nil"/>
              <w:left w:val="nil"/>
              <w:bottom w:val="nil"/>
              <w:right w:val="nil"/>
            </w:tcBorders>
            <w:shd w:val="clear" w:color="auto" w:fill="auto"/>
            <w:noWrap/>
            <w:vAlign w:val="center"/>
            <w:hideMark/>
          </w:tcPr>
          <w:p w14:paraId="40A181AB" w14:textId="77777777" w:rsidR="00544F7C" w:rsidRPr="00386E3C" w:rsidRDefault="00544F7C" w:rsidP="00E607DA">
            <w:pPr>
              <w:rPr>
                <w:rFonts w:ascii="Meta Pro" w:eastAsia="Times New Roman" w:hAnsi="Meta Pro"/>
                <w:b/>
                <w:bCs/>
                <w:szCs w:val="18"/>
                <w:lang w:eastAsia="en-AU"/>
              </w:rPr>
            </w:pPr>
          </w:p>
        </w:tc>
        <w:tc>
          <w:tcPr>
            <w:tcW w:w="226" w:type="dxa"/>
            <w:tcBorders>
              <w:top w:val="nil"/>
              <w:left w:val="nil"/>
              <w:bottom w:val="nil"/>
              <w:right w:val="nil"/>
            </w:tcBorders>
            <w:shd w:val="clear" w:color="auto" w:fill="auto"/>
            <w:noWrap/>
            <w:vAlign w:val="center"/>
            <w:hideMark/>
          </w:tcPr>
          <w:p w14:paraId="0EF84B59" w14:textId="77777777" w:rsidR="00544F7C" w:rsidRPr="00386E3C" w:rsidRDefault="00544F7C" w:rsidP="00E607DA">
            <w:pPr>
              <w:jc w:val="right"/>
              <w:rPr>
                <w:rFonts w:ascii="Meta Pro" w:eastAsia="Times New Roman" w:hAnsi="Meta Pro" w:cs="Times New Roman"/>
                <w:sz w:val="20"/>
                <w:szCs w:val="20"/>
                <w:lang w:eastAsia="en-AU"/>
              </w:rPr>
            </w:pPr>
          </w:p>
        </w:tc>
        <w:tc>
          <w:tcPr>
            <w:tcW w:w="1169" w:type="dxa"/>
            <w:tcBorders>
              <w:top w:val="nil"/>
              <w:left w:val="nil"/>
              <w:bottom w:val="nil"/>
              <w:right w:val="nil"/>
            </w:tcBorders>
            <w:shd w:val="clear" w:color="auto" w:fill="auto"/>
            <w:noWrap/>
            <w:vAlign w:val="center"/>
            <w:hideMark/>
          </w:tcPr>
          <w:p w14:paraId="666F6115" w14:textId="77777777" w:rsidR="00544F7C" w:rsidRPr="00386E3C" w:rsidRDefault="00544F7C" w:rsidP="00E607DA">
            <w:pPr>
              <w:jc w:val="right"/>
              <w:rPr>
                <w:rFonts w:ascii="Meta Pro" w:eastAsia="Times New Roman" w:hAnsi="Meta Pro" w:cs="Times New Roman"/>
                <w:sz w:val="20"/>
                <w:szCs w:val="20"/>
                <w:lang w:eastAsia="en-AU"/>
              </w:rPr>
            </w:pPr>
          </w:p>
        </w:tc>
      </w:tr>
      <w:tr w:rsidR="00544F7C" w:rsidRPr="00386E3C" w14:paraId="25A78682" w14:textId="77777777" w:rsidTr="00E607DA">
        <w:trPr>
          <w:trHeight w:val="240"/>
        </w:trPr>
        <w:tc>
          <w:tcPr>
            <w:tcW w:w="7074" w:type="dxa"/>
            <w:tcBorders>
              <w:top w:val="nil"/>
              <w:left w:val="nil"/>
              <w:bottom w:val="nil"/>
              <w:right w:val="nil"/>
            </w:tcBorders>
            <w:shd w:val="clear" w:color="auto" w:fill="auto"/>
            <w:noWrap/>
            <w:vAlign w:val="center"/>
            <w:hideMark/>
          </w:tcPr>
          <w:p w14:paraId="5A848EFA" w14:textId="77777777" w:rsidR="00544F7C" w:rsidRPr="00386E3C" w:rsidRDefault="00544F7C" w:rsidP="00E607DA">
            <w:pPr>
              <w:rPr>
                <w:rFonts w:ascii="Meta Pro" w:eastAsia="Times New Roman" w:hAnsi="Meta Pro"/>
                <w:szCs w:val="18"/>
                <w:lang w:eastAsia="en-AU"/>
              </w:rPr>
            </w:pPr>
            <w:r w:rsidRPr="00386E3C">
              <w:rPr>
                <w:rFonts w:ascii="Meta Pro" w:eastAsia="Times New Roman" w:hAnsi="Meta Pro"/>
                <w:szCs w:val="18"/>
                <w:lang w:eastAsia="en-AU"/>
              </w:rPr>
              <w:t>Contributed equity</w:t>
            </w:r>
          </w:p>
        </w:tc>
        <w:tc>
          <w:tcPr>
            <w:tcW w:w="1169" w:type="dxa"/>
            <w:tcBorders>
              <w:top w:val="nil"/>
              <w:left w:val="nil"/>
              <w:bottom w:val="nil"/>
              <w:right w:val="nil"/>
            </w:tcBorders>
            <w:shd w:val="clear" w:color="000000" w:fill="C9E3B4"/>
            <w:noWrap/>
            <w:vAlign w:val="center"/>
            <w:hideMark/>
          </w:tcPr>
          <w:p w14:paraId="2A6DE157" w14:textId="77777777" w:rsidR="00544F7C" w:rsidRPr="00386E3C" w:rsidRDefault="00544F7C" w:rsidP="00E607DA">
            <w:pPr>
              <w:jc w:val="right"/>
              <w:rPr>
                <w:rFonts w:ascii="Meta Pro" w:eastAsia="Times New Roman" w:hAnsi="Meta Pro"/>
                <w:szCs w:val="18"/>
                <w:lang w:eastAsia="en-AU"/>
              </w:rPr>
            </w:pPr>
            <w:r w:rsidRPr="00386E3C">
              <w:rPr>
                <w:rFonts w:ascii="Meta Pro" w:eastAsia="Times New Roman" w:hAnsi="Meta Pro"/>
                <w:szCs w:val="18"/>
                <w:lang w:eastAsia="en-AU"/>
              </w:rPr>
              <w:t xml:space="preserve">9,939 </w:t>
            </w:r>
          </w:p>
        </w:tc>
        <w:tc>
          <w:tcPr>
            <w:tcW w:w="226" w:type="dxa"/>
            <w:tcBorders>
              <w:top w:val="nil"/>
              <w:left w:val="nil"/>
              <w:bottom w:val="nil"/>
              <w:right w:val="nil"/>
            </w:tcBorders>
            <w:shd w:val="clear" w:color="auto" w:fill="auto"/>
            <w:noWrap/>
            <w:vAlign w:val="center"/>
            <w:hideMark/>
          </w:tcPr>
          <w:p w14:paraId="546A9C3F" w14:textId="77777777" w:rsidR="00544F7C" w:rsidRPr="00386E3C" w:rsidRDefault="00544F7C" w:rsidP="00E607DA">
            <w:pPr>
              <w:jc w:val="right"/>
              <w:rPr>
                <w:rFonts w:ascii="Meta Pro" w:eastAsia="Times New Roman" w:hAnsi="Meta Pro"/>
                <w:szCs w:val="18"/>
                <w:lang w:eastAsia="en-AU"/>
              </w:rPr>
            </w:pPr>
          </w:p>
        </w:tc>
        <w:tc>
          <w:tcPr>
            <w:tcW w:w="1169" w:type="dxa"/>
            <w:tcBorders>
              <w:top w:val="nil"/>
              <w:left w:val="nil"/>
              <w:bottom w:val="nil"/>
              <w:right w:val="nil"/>
            </w:tcBorders>
            <w:shd w:val="clear" w:color="auto" w:fill="auto"/>
            <w:noWrap/>
            <w:vAlign w:val="center"/>
            <w:hideMark/>
          </w:tcPr>
          <w:p w14:paraId="18F90E55" w14:textId="77777777" w:rsidR="00544F7C" w:rsidRPr="00386E3C" w:rsidRDefault="00544F7C" w:rsidP="00E607DA">
            <w:pPr>
              <w:jc w:val="right"/>
              <w:rPr>
                <w:rFonts w:ascii="Meta Pro" w:eastAsia="Times New Roman" w:hAnsi="Meta Pro"/>
                <w:szCs w:val="18"/>
                <w:lang w:eastAsia="en-AU"/>
              </w:rPr>
            </w:pPr>
            <w:r w:rsidRPr="00386E3C">
              <w:rPr>
                <w:rFonts w:ascii="Meta Pro" w:eastAsia="Times New Roman" w:hAnsi="Meta Pro"/>
                <w:szCs w:val="18"/>
                <w:lang w:eastAsia="en-AU"/>
              </w:rPr>
              <w:t xml:space="preserve">10,414 </w:t>
            </w:r>
          </w:p>
        </w:tc>
      </w:tr>
      <w:tr w:rsidR="00544F7C" w:rsidRPr="00386E3C" w14:paraId="3DCA70E1" w14:textId="77777777" w:rsidTr="00E607DA">
        <w:trPr>
          <w:trHeight w:val="240"/>
        </w:trPr>
        <w:tc>
          <w:tcPr>
            <w:tcW w:w="7074" w:type="dxa"/>
            <w:tcBorders>
              <w:top w:val="nil"/>
              <w:left w:val="nil"/>
              <w:bottom w:val="nil"/>
              <w:right w:val="nil"/>
            </w:tcBorders>
            <w:shd w:val="clear" w:color="auto" w:fill="auto"/>
            <w:noWrap/>
            <w:vAlign w:val="center"/>
            <w:hideMark/>
          </w:tcPr>
          <w:p w14:paraId="26DFE279" w14:textId="77777777" w:rsidR="00544F7C" w:rsidRPr="00386E3C" w:rsidRDefault="00544F7C" w:rsidP="00E607DA">
            <w:pPr>
              <w:rPr>
                <w:rFonts w:ascii="Meta Pro" w:eastAsia="Times New Roman" w:hAnsi="Meta Pro"/>
                <w:szCs w:val="18"/>
                <w:lang w:eastAsia="en-AU"/>
              </w:rPr>
            </w:pPr>
            <w:r w:rsidRPr="00386E3C">
              <w:rPr>
                <w:rFonts w:ascii="Meta Pro" w:eastAsia="Times New Roman" w:hAnsi="Meta Pro"/>
                <w:szCs w:val="18"/>
                <w:lang w:eastAsia="en-AU"/>
              </w:rPr>
              <w:t>Accumulated deficit</w:t>
            </w:r>
          </w:p>
        </w:tc>
        <w:tc>
          <w:tcPr>
            <w:tcW w:w="1169" w:type="dxa"/>
            <w:tcBorders>
              <w:top w:val="nil"/>
              <w:left w:val="nil"/>
              <w:bottom w:val="nil"/>
              <w:right w:val="nil"/>
            </w:tcBorders>
            <w:shd w:val="clear" w:color="000000" w:fill="C9E3B4"/>
            <w:noWrap/>
            <w:vAlign w:val="center"/>
            <w:hideMark/>
          </w:tcPr>
          <w:p w14:paraId="76000D1A" w14:textId="77777777" w:rsidR="00544F7C" w:rsidRPr="00386E3C" w:rsidRDefault="00544F7C" w:rsidP="00E607DA">
            <w:pPr>
              <w:jc w:val="right"/>
              <w:rPr>
                <w:rFonts w:ascii="Meta Pro" w:eastAsia="Times New Roman" w:hAnsi="Meta Pro"/>
                <w:szCs w:val="18"/>
                <w:lang w:eastAsia="en-AU"/>
              </w:rPr>
            </w:pPr>
            <w:r w:rsidRPr="00386E3C">
              <w:rPr>
                <w:rFonts w:ascii="Meta Pro" w:eastAsia="Times New Roman" w:hAnsi="Meta Pro"/>
                <w:szCs w:val="18"/>
                <w:lang w:eastAsia="en-AU"/>
              </w:rPr>
              <w:t>(75,868)</w:t>
            </w:r>
          </w:p>
        </w:tc>
        <w:tc>
          <w:tcPr>
            <w:tcW w:w="226" w:type="dxa"/>
            <w:tcBorders>
              <w:top w:val="nil"/>
              <w:left w:val="nil"/>
              <w:bottom w:val="nil"/>
              <w:right w:val="nil"/>
            </w:tcBorders>
            <w:shd w:val="clear" w:color="auto" w:fill="auto"/>
            <w:noWrap/>
            <w:vAlign w:val="center"/>
            <w:hideMark/>
          </w:tcPr>
          <w:p w14:paraId="7B0393C8" w14:textId="77777777" w:rsidR="00544F7C" w:rsidRPr="00386E3C" w:rsidRDefault="00544F7C" w:rsidP="00E607DA">
            <w:pPr>
              <w:jc w:val="right"/>
              <w:rPr>
                <w:rFonts w:ascii="Meta Pro" w:eastAsia="Times New Roman" w:hAnsi="Meta Pro"/>
                <w:szCs w:val="18"/>
                <w:lang w:eastAsia="en-AU"/>
              </w:rPr>
            </w:pPr>
          </w:p>
        </w:tc>
        <w:tc>
          <w:tcPr>
            <w:tcW w:w="1169" w:type="dxa"/>
            <w:tcBorders>
              <w:top w:val="nil"/>
              <w:left w:val="nil"/>
              <w:bottom w:val="nil"/>
              <w:right w:val="nil"/>
            </w:tcBorders>
            <w:shd w:val="clear" w:color="auto" w:fill="auto"/>
            <w:noWrap/>
            <w:vAlign w:val="center"/>
            <w:hideMark/>
          </w:tcPr>
          <w:p w14:paraId="53494AE1" w14:textId="77777777" w:rsidR="00544F7C" w:rsidRPr="00386E3C" w:rsidRDefault="00544F7C" w:rsidP="00E607DA">
            <w:pPr>
              <w:jc w:val="right"/>
              <w:rPr>
                <w:rFonts w:ascii="Meta Pro" w:eastAsia="Times New Roman" w:hAnsi="Meta Pro"/>
                <w:szCs w:val="18"/>
                <w:lang w:eastAsia="en-AU"/>
              </w:rPr>
            </w:pPr>
            <w:r w:rsidRPr="00386E3C">
              <w:rPr>
                <w:rFonts w:ascii="Meta Pro" w:eastAsia="Times New Roman" w:hAnsi="Meta Pro"/>
                <w:szCs w:val="18"/>
                <w:lang w:eastAsia="en-AU"/>
              </w:rPr>
              <w:t>(78,221)</w:t>
            </w:r>
          </w:p>
        </w:tc>
      </w:tr>
      <w:tr w:rsidR="00544F7C" w:rsidRPr="00386E3C" w14:paraId="32E03C77" w14:textId="77777777" w:rsidTr="00E607DA">
        <w:trPr>
          <w:trHeight w:val="240"/>
        </w:trPr>
        <w:tc>
          <w:tcPr>
            <w:tcW w:w="7074" w:type="dxa"/>
            <w:tcBorders>
              <w:top w:val="nil"/>
              <w:left w:val="nil"/>
              <w:bottom w:val="nil"/>
              <w:right w:val="nil"/>
            </w:tcBorders>
            <w:shd w:val="clear" w:color="auto" w:fill="auto"/>
            <w:noWrap/>
            <w:vAlign w:val="center"/>
            <w:hideMark/>
          </w:tcPr>
          <w:p w14:paraId="1A594B19" w14:textId="77777777" w:rsidR="00544F7C" w:rsidRPr="00386E3C" w:rsidRDefault="00544F7C" w:rsidP="00E607DA">
            <w:pPr>
              <w:rPr>
                <w:rFonts w:ascii="Meta Pro" w:eastAsia="Times New Roman" w:hAnsi="Meta Pro"/>
                <w:szCs w:val="18"/>
                <w:lang w:eastAsia="en-AU"/>
              </w:rPr>
            </w:pPr>
            <w:r w:rsidRPr="00386E3C">
              <w:rPr>
                <w:rFonts w:ascii="Meta Pro" w:eastAsia="Times New Roman" w:hAnsi="Meta Pro"/>
                <w:szCs w:val="18"/>
                <w:lang w:eastAsia="en-AU"/>
              </w:rPr>
              <w:t>Asset revaluation surplus</w:t>
            </w:r>
          </w:p>
        </w:tc>
        <w:tc>
          <w:tcPr>
            <w:tcW w:w="1169" w:type="dxa"/>
            <w:tcBorders>
              <w:top w:val="nil"/>
              <w:left w:val="nil"/>
              <w:bottom w:val="nil"/>
              <w:right w:val="nil"/>
            </w:tcBorders>
            <w:shd w:val="clear" w:color="000000" w:fill="C9E3B4"/>
            <w:noWrap/>
            <w:vAlign w:val="center"/>
            <w:hideMark/>
          </w:tcPr>
          <w:p w14:paraId="6EA2AC03" w14:textId="77777777" w:rsidR="00544F7C" w:rsidRPr="00386E3C" w:rsidRDefault="00544F7C" w:rsidP="00E607DA">
            <w:pPr>
              <w:jc w:val="right"/>
              <w:rPr>
                <w:rFonts w:ascii="Meta Pro" w:eastAsia="Times New Roman" w:hAnsi="Meta Pro"/>
                <w:szCs w:val="18"/>
                <w:lang w:eastAsia="en-AU"/>
              </w:rPr>
            </w:pPr>
            <w:r w:rsidRPr="00386E3C">
              <w:rPr>
                <w:rFonts w:ascii="Meta Pro" w:eastAsia="Times New Roman" w:hAnsi="Meta Pro"/>
                <w:szCs w:val="18"/>
                <w:lang w:eastAsia="en-AU"/>
              </w:rPr>
              <w:t xml:space="preserve">189,442 </w:t>
            </w:r>
          </w:p>
        </w:tc>
        <w:tc>
          <w:tcPr>
            <w:tcW w:w="226" w:type="dxa"/>
            <w:tcBorders>
              <w:top w:val="nil"/>
              <w:left w:val="nil"/>
              <w:bottom w:val="nil"/>
              <w:right w:val="nil"/>
            </w:tcBorders>
            <w:shd w:val="clear" w:color="auto" w:fill="auto"/>
            <w:noWrap/>
            <w:vAlign w:val="center"/>
            <w:hideMark/>
          </w:tcPr>
          <w:p w14:paraId="71ADD630" w14:textId="77777777" w:rsidR="00544F7C" w:rsidRPr="00386E3C" w:rsidRDefault="00544F7C" w:rsidP="00E607DA">
            <w:pPr>
              <w:jc w:val="right"/>
              <w:rPr>
                <w:rFonts w:ascii="Meta Pro" w:eastAsia="Times New Roman" w:hAnsi="Meta Pro"/>
                <w:szCs w:val="18"/>
                <w:lang w:eastAsia="en-AU"/>
              </w:rPr>
            </w:pPr>
          </w:p>
        </w:tc>
        <w:tc>
          <w:tcPr>
            <w:tcW w:w="1169" w:type="dxa"/>
            <w:tcBorders>
              <w:top w:val="nil"/>
              <w:left w:val="nil"/>
              <w:bottom w:val="nil"/>
              <w:right w:val="nil"/>
            </w:tcBorders>
            <w:shd w:val="clear" w:color="auto" w:fill="auto"/>
            <w:noWrap/>
            <w:vAlign w:val="center"/>
            <w:hideMark/>
          </w:tcPr>
          <w:p w14:paraId="34FEED3E" w14:textId="77777777" w:rsidR="00544F7C" w:rsidRPr="00386E3C" w:rsidRDefault="00544F7C" w:rsidP="00E607DA">
            <w:pPr>
              <w:jc w:val="right"/>
              <w:rPr>
                <w:rFonts w:ascii="Meta Pro" w:eastAsia="Times New Roman" w:hAnsi="Meta Pro"/>
                <w:szCs w:val="18"/>
                <w:lang w:eastAsia="en-AU"/>
              </w:rPr>
            </w:pPr>
            <w:r w:rsidRPr="00386E3C">
              <w:rPr>
                <w:rFonts w:ascii="Meta Pro" w:eastAsia="Times New Roman" w:hAnsi="Meta Pro"/>
                <w:szCs w:val="18"/>
                <w:lang w:eastAsia="en-AU"/>
              </w:rPr>
              <w:t xml:space="preserve">178,733 </w:t>
            </w:r>
          </w:p>
        </w:tc>
      </w:tr>
      <w:tr w:rsidR="00544F7C" w:rsidRPr="00386E3C" w14:paraId="116FED3A" w14:textId="77777777" w:rsidTr="00E607DA">
        <w:trPr>
          <w:trHeight w:val="240"/>
        </w:trPr>
        <w:tc>
          <w:tcPr>
            <w:tcW w:w="7074" w:type="dxa"/>
            <w:tcBorders>
              <w:top w:val="single" w:sz="4" w:space="0" w:color="auto"/>
              <w:left w:val="nil"/>
              <w:bottom w:val="double" w:sz="6" w:space="0" w:color="auto"/>
              <w:right w:val="nil"/>
            </w:tcBorders>
            <w:shd w:val="clear" w:color="auto" w:fill="auto"/>
            <w:noWrap/>
            <w:vAlign w:val="center"/>
            <w:hideMark/>
          </w:tcPr>
          <w:p w14:paraId="5F7C6C02" w14:textId="77777777" w:rsidR="00544F7C" w:rsidRPr="00386E3C" w:rsidRDefault="00544F7C" w:rsidP="00E607DA">
            <w:pPr>
              <w:rPr>
                <w:rFonts w:ascii="Meta Pro" w:eastAsia="Times New Roman" w:hAnsi="Meta Pro"/>
                <w:b/>
                <w:bCs/>
                <w:szCs w:val="18"/>
                <w:lang w:eastAsia="en-AU"/>
              </w:rPr>
            </w:pPr>
            <w:r w:rsidRPr="00386E3C">
              <w:rPr>
                <w:rFonts w:ascii="Meta Pro" w:eastAsia="Times New Roman" w:hAnsi="Meta Pro"/>
                <w:b/>
                <w:bCs/>
                <w:szCs w:val="18"/>
                <w:lang w:eastAsia="en-AU"/>
              </w:rPr>
              <w:t>TOTAL ADMINISTERED EQUITY</w:t>
            </w:r>
          </w:p>
        </w:tc>
        <w:tc>
          <w:tcPr>
            <w:tcW w:w="1169" w:type="dxa"/>
            <w:tcBorders>
              <w:top w:val="single" w:sz="4" w:space="0" w:color="auto"/>
              <w:left w:val="nil"/>
              <w:bottom w:val="double" w:sz="6" w:space="0" w:color="auto"/>
              <w:right w:val="nil"/>
            </w:tcBorders>
            <w:shd w:val="clear" w:color="000000" w:fill="C9E3B4"/>
            <w:noWrap/>
            <w:vAlign w:val="center"/>
            <w:hideMark/>
          </w:tcPr>
          <w:p w14:paraId="43486D35" w14:textId="77777777" w:rsidR="00544F7C" w:rsidRPr="00386E3C" w:rsidRDefault="00544F7C" w:rsidP="00E607DA">
            <w:pPr>
              <w:jc w:val="right"/>
              <w:rPr>
                <w:rFonts w:ascii="Meta Pro" w:eastAsia="Times New Roman" w:hAnsi="Meta Pro"/>
                <w:b/>
                <w:bCs/>
                <w:szCs w:val="18"/>
                <w:lang w:eastAsia="en-AU"/>
              </w:rPr>
            </w:pPr>
            <w:r w:rsidRPr="00386E3C">
              <w:rPr>
                <w:rFonts w:ascii="Meta Pro" w:eastAsia="Times New Roman" w:hAnsi="Meta Pro"/>
                <w:b/>
                <w:bCs/>
                <w:szCs w:val="18"/>
                <w:lang w:eastAsia="en-AU"/>
              </w:rPr>
              <w:t xml:space="preserve">123,513 </w:t>
            </w:r>
          </w:p>
        </w:tc>
        <w:tc>
          <w:tcPr>
            <w:tcW w:w="226" w:type="dxa"/>
            <w:tcBorders>
              <w:top w:val="single" w:sz="4" w:space="0" w:color="auto"/>
              <w:left w:val="nil"/>
              <w:bottom w:val="double" w:sz="6" w:space="0" w:color="auto"/>
              <w:right w:val="nil"/>
            </w:tcBorders>
            <w:shd w:val="clear" w:color="auto" w:fill="auto"/>
            <w:noWrap/>
            <w:vAlign w:val="center"/>
            <w:hideMark/>
          </w:tcPr>
          <w:p w14:paraId="4C9253FC" w14:textId="77777777" w:rsidR="00544F7C" w:rsidRPr="00386E3C" w:rsidRDefault="00544F7C" w:rsidP="00E607DA">
            <w:pPr>
              <w:rPr>
                <w:rFonts w:ascii="Meta Pro" w:eastAsia="Times New Roman" w:hAnsi="Meta Pro"/>
                <w:b/>
                <w:bCs/>
                <w:szCs w:val="18"/>
                <w:lang w:eastAsia="en-AU"/>
              </w:rPr>
            </w:pPr>
            <w:r w:rsidRPr="00386E3C">
              <w:rPr>
                <w:rFonts w:ascii="Meta Pro" w:eastAsia="Times New Roman" w:hAnsi="Meta Pro"/>
                <w:b/>
                <w:bCs/>
                <w:szCs w:val="18"/>
                <w:lang w:eastAsia="en-AU"/>
              </w:rPr>
              <w:t> </w:t>
            </w:r>
          </w:p>
        </w:tc>
        <w:tc>
          <w:tcPr>
            <w:tcW w:w="1169" w:type="dxa"/>
            <w:tcBorders>
              <w:top w:val="single" w:sz="4" w:space="0" w:color="auto"/>
              <w:left w:val="nil"/>
              <w:bottom w:val="double" w:sz="6" w:space="0" w:color="auto"/>
              <w:right w:val="nil"/>
            </w:tcBorders>
            <w:shd w:val="clear" w:color="auto" w:fill="auto"/>
            <w:noWrap/>
            <w:vAlign w:val="center"/>
            <w:hideMark/>
          </w:tcPr>
          <w:p w14:paraId="24ACBA33" w14:textId="77777777" w:rsidR="00544F7C" w:rsidRPr="00386E3C" w:rsidRDefault="00544F7C" w:rsidP="00E607DA">
            <w:pPr>
              <w:jc w:val="right"/>
              <w:rPr>
                <w:rFonts w:ascii="Meta Pro" w:eastAsia="Times New Roman" w:hAnsi="Meta Pro"/>
                <w:b/>
                <w:bCs/>
                <w:szCs w:val="18"/>
                <w:lang w:eastAsia="en-AU"/>
              </w:rPr>
            </w:pPr>
            <w:r w:rsidRPr="00386E3C">
              <w:rPr>
                <w:rFonts w:ascii="Meta Pro" w:eastAsia="Times New Roman" w:hAnsi="Meta Pro"/>
                <w:b/>
                <w:bCs/>
                <w:szCs w:val="18"/>
                <w:lang w:eastAsia="en-AU"/>
              </w:rPr>
              <w:t xml:space="preserve">110,926 </w:t>
            </w:r>
          </w:p>
        </w:tc>
      </w:tr>
    </w:tbl>
    <w:p w14:paraId="14D20E57" w14:textId="21B0864F" w:rsidR="00544F7C" w:rsidRPr="00B07A53" w:rsidRDefault="00544F7C" w:rsidP="00B07A53">
      <w:pPr>
        <w:spacing w:before="120"/>
        <w:rPr>
          <w:rFonts w:ascii="Meta Pro" w:hAnsi="Meta Pro"/>
          <w:sz w:val="16"/>
          <w:szCs w:val="16"/>
          <w:lang w:eastAsia="en-AU"/>
        </w:rPr>
      </w:pPr>
      <w:r w:rsidRPr="002D001B">
        <w:rPr>
          <w:rFonts w:ascii="Meta Pro" w:hAnsi="Meta Pro"/>
          <w:sz w:val="16"/>
          <w:szCs w:val="16"/>
          <w:lang w:eastAsia="en-AU"/>
        </w:rPr>
        <w:t>* Includes $127.101m of payables in 2022 relating to grant funding for the Cross River Rail Delivery Authority</w:t>
      </w:r>
      <w:r w:rsidRPr="000F080A">
        <w:rPr>
          <w:rFonts w:ascii="Meta Pro" w:hAnsi="Meta Pro"/>
          <w:sz w:val="16"/>
          <w:szCs w:val="16"/>
          <w:lang w:eastAsia="en-AU"/>
        </w:rPr>
        <w:t>.</w:t>
      </w:r>
    </w:p>
    <w:tbl>
      <w:tblPr>
        <w:tblW w:w="0" w:type="auto"/>
        <w:tblCellMar>
          <w:left w:w="0" w:type="dxa"/>
        </w:tblCellMar>
        <w:tblLook w:val="04A0" w:firstRow="1" w:lastRow="0" w:firstColumn="1" w:lastColumn="0" w:noHBand="0" w:noVBand="1"/>
      </w:tblPr>
      <w:tblGrid>
        <w:gridCol w:w="6703"/>
        <w:gridCol w:w="1111"/>
        <w:gridCol w:w="146"/>
        <w:gridCol w:w="1110"/>
      </w:tblGrid>
      <w:tr w:rsidR="00544F7C" w:rsidRPr="008179FC" w14:paraId="63D1605C" w14:textId="77777777" w:rsidTr="00E607DA">
        <w:trPr>
          <w:trHeight w:val="240"/>
        </w:trPr>
        <w:tc>
          <w:tcPr>
            <w:tcW w:w="7159" w:type="dxa"/>
            <w:tcBorders>
              <w:top w:val="nil"/>
              <w:left w:val="nil"/>
              <w:bottom w:val="nil"/>
              <w:right w:val="nil"/>
            </w:tcBorders>
            <w:shd w:val="clear" w:color="auto" w:fill="auto"/>
            <w:noWrap/>
            <w:vAlign w:val="center"/>
            <w:hideMark/>
          </w:tcPr>
          <w:p w14:paraId="597CED61" w14:textId="77777777" w:rsidR="00544F7C" w:rsidRPr="008179FC" w:rsidRDefault="00544F7C" w:rsidP="00E607DA">
            <w:pPr>
              <w:rPr>
                <w:rFonts w:ascii="Meta Pro" w:eastAsia="Times New Roman" w:hAnsi="Meta Pro"/>
                <w:b/>
                <w:bCs/>
                <w:lang w:eastAsia="en-AU"/>
              </w:rPr>
            </w:pPr>
            <w:r w:rsidRPr="008179FC">
              <w:rPr>
                <w:rFonts w:ascii="Meta Pro" w:eastAsia="Times New Roman" w:hAnsi="Meta Pro"/>
                <w:b/>
                <w:bCs/>
                <w:lang w:eastAsia="en-AU"/>
              </w:rPr>
              <w:t>28     ADMINISTERED APPROPRIATIONS</w:t>
            </w:r>
          </w:p>
        </w:tc>
        <w:tc>
          <w:tcPr>
            <w:tcW w:w="1173" w:type="dxa"/>
            <w:tcBorders>
              <w:top w:val="nil"/>
              <w:left w:val="nil"/>
              <w:bottom w:val="nil"/>
              <w:right w:val="nil"/>
            </w:tcBorders>
            <w:shd w:val="clear" w:color="auto" w:fill="auto"/>
            <w:noWrap/>
            <w:vAlign w:val="center"/>
            <w:hideMark/>
          </w:tcPr>
          <w:p w14:paraId="28AB90E9" w14:textId="77777777" w:rsidR="00544F7C" w:rsidRPr="008179FC" w:rsidRDefault="00544F7C" w:rsidP="00E607DA">
            <w:pPr>
              <w:rPr>
                <w:rFonts w:ascii="Meta Pro" w:eastAsia="Times New Roman" w:hAnsi="Meta Pro"/>
                <w:b/>
                <w:bCs/>
                <w:lang w:eastAsia="en-AU"/>
              </w:rPr>
            </w:pPr>
          </w:p>
        </w:tc>
        <w:tc>
          <w:tcPr>
            <w:tcW w:w="134" w:type="dxa"/>
            <w:tcBorders>
              <w:top w:val="nil"/>
              <w:left w:val="nil"/>
              <w:bottom w:val="nil"/>
              <w:right w:val="nil"/>
            </w:tcBorders>
            <w:shd w:val="clear" w:color="auto" w:fill="auto"/>
            <w:noWrap/>
            <w:vAlign w:val="center"/>
            <w:hideMark/>
          </w:tcPr>
          <w:p w14:paraId="58E2F8FC" w14:textId="77777777" w:rsidR="00544F7C" w:rsidRPr="008179FC" w:rsidRDefault="00544F7C" w:rsidP="00E607DA">
            <w:pPr>
              <w:jc w:val="right"/>
              <w:rPr>
                <w:rFonts w:eastAsia="Times New Roman" w:cs="Times New Roman"/>
                <w:sz w:val="20"/>
                <w:szCs w:val="20"/>
                <w:lang w:eastAsia="en-AU"/>
              </w:rPr>
            </w:pPr>
          </w:p>
        </w:tc>
        <w:tc>
          <w:tcPr>
            <w:tcW w:w="1172" w:type="dxa"/>
            <w:tcBorders>
              <w:top w:val="nil"/>
              <w:left w:val="nil"/>
              <w:bottom w:val="nil"/>
              <w:right w:val="nil"/>
            </w:tcBorders>
            <w:shd w:val="clear" w:color="auto" w:fill="auto"/>
            <w:noWrap/>
            <w:vAlign w:val="center"/>
            <w:hideMark/>
          </w:tcPr>
          <w:p w14:paraId="1676BA2F" w14:textId="77777777" w:rsidR="00544F7C" w:rsidRPr="008179FC" w:rsidRDefault="00544F7C" w:rsidP="00E607DA">
            <w:pPr>
              <w:jc w:val="right"/>
              <w:rPr>
                <w:rFonts w:eastAsia="Times New Roman" w:cs="Times New Roman"/>
                <w:sz w:val="20"/>
                <w:szCs w:val="20"/>
                <w:lang w:eastAsia="en-AU"/>
              </w:rPr>
            </w:pPr>
          </w:p>
        </w:tc>
      </w:tr>
      <w:tr w:rsidR="00544F7C" w:rsidRPr="008179FC" w14:paraId="366D18AC" w14:textId="77777777" w:rsidTr="00E607DA">
        <w:trPr>
          <w:trHeight w:val="90"/>
        </w:trPr>
        <w:tc>
          <w:tcPr>
            <w:tcW w:w="7159" w:type="dxa"/>
            <w:tcBorders>
              <w:top w:val="nil"/>
              <w:left w:val="nil"/>
              <w:bottom w:val="nil"/>
              <w:right w:val="nil"/>
            </w:tcBorders>
            <w:shd w:val="clear" w:color="auto" w:fill="auto"/>
            <w:noWrap/>
            <w:vAlign w:val="center"/>
            <w:hideMark/>
          </w:tcPr>
          <w:p w14:paraId="726A879B" w14:textId="77777777" w:rsidR="00544F7C" w:rsidRPr="008179FC" w:rsidRDefault="00544F7C" w:rsidP="00E607DA">
            <w:pPr>
              <w:jc w:val="right"/>
              <w:rPr>
                <w:rFonts w:eastAsia="Times New Roman" w:cs="Times New Roman"/>
                <w:sz w:val="20"/>
                <w:szCs w:val="20"/>
                <w:lang w:eastAsia="en-AU"/>
              </w:rPr>
            </w:pPr>
          </w:p>
        </w:tc>
        <w:tc>
          <w:tcPr>
            <w:tcW w:w="1173" w:type="dxa"/>
            <w:tcBorders>
              <w:top w:val="nil"/>
              <w:left w:val="nil"/>
              <w:bottom w:val="nil"/>
              <w:right w:val="nil"/>
            </w:tcBorders>
            <w:shd w:val="clear" w:color="auto" w:fill="auto"/>
            <w:noWrap/>
            <w:vAlign w:val="center"/>
            <w:hideMark/>
          </w:tcPr>
          <w:p w14:paraId="7BE12B82" w14:textId="77777777" w:rsidR="00544F7C" w:rsidRPr="008179FC" w:rsidRDefault="00544F7C" w:rsidP="00E607DA">
            <w:pPr>
              <w:rPr>
                <w:rFonts w:eastAsia="Times New Roman" w:cs="Times New Roman"/>
                <w:sz w:val="20"/>
                <w:szCs w:val="20"/>
                <w:lang w:eastAsia="en-AU"/>
              </w:rPr>
            </w:pPr>
          </w:p>
        </w:tc>
        <w:tc>
          <w:tcPr>
            <w:tcW w:w="134" w:type="dxa"/>
            <w:tcBorders>
              <w:top w:val="nil"/>
              <w:left w:val="nil"/>
              <w:bottom w:val="nil"/>
              <w:right w:val="nil"/>
            </w:tcBorders>
            <w:shd w:val="clear" w:color="auto" w:fill="auto"/>
            <w:noWrap/>
            <w:vAlign w:val="center"/>
            <w:hideMark/>
          </w:tcPr>
          <w:p w14:paraId="084F1124" w14:textId="77777777" w:rsidR="00544F7C" w:rsidRPr="008179FC" w:rsidRDefault="00544F7C" w:rsidP="00E607DA">
            <w:pPr>
              <w:jc w:val="right"/>
              <w:rPr>
                <w:rFonts w:eastAsia="Times New Roman" w:cs="Times New Roman"/>
                <w:sz w:val="20"/>
                <w:szCs w:val="20"/>
                <w:lang w:eastAsia="en-AU"/>
              </w:rPr>
            </w:pPr>
          </w:p>
        </w:tc>
        <w:tc>
          <w:tcPr>
            <w:tcW w:w="1172" w:type="dxa"/>
            <w:tcBorders>
              <w:top w:val="nil"/>
              <w:left w:val="nil"/>
              <w:bottom w:val="nil"/>
              <w:right w:val="nil"/>
            </w:tcBorders>
            <w:shd w:val="clear" w:color="auto" w:fill="auto"/>
            <w:noWrap/>
            <w:vAlign w:val="center"/>
            <w:hideMark/>
          </w:tcPr>
          <w:p w14:paraId="5C514FBE" w14:textId="77777777" w:rsidR="00544F7C" w:rsidRPr="008179FC" w:rsidRDefault="00544F7C" w:rsidP="00E607DA">
            <w:pPr>
              <w:jc w:val="right"/>
              <w:rPr>
                <w:rFonts w:eastAsia="Times New Roman" w:cs="Times New Roman"/>
                <w:sz w:val="20"/>
                <w:szCs w:val="20"/>
                <w:lang w:eastAsia="en-AU"/>
              </w:rPr>
            </w:pPr>
          </w:p>
        </w:tc>
      </w:tr>
      <w:tr w:rsidR="00544F7C" w:rsidRPr="008179FC" w14:paraId="66124844" w14:textId="77777777" w:rsidTr="00E607DA">
        <w:trPr>
          <w:trHeight w:val="240"/>
        </w:trPr>
        <w:tc>
          <w:tcPr>
            <w:tcW w:w="7159" w:type="dxa"/>
            <w:tcBorders>
              <w:top w:val="nil"/>
              <w:left w:val="nil"/>
              <w:bottom w:val="nil"/>
              <w:right w:val="nil"/>
            </w:tcBorders>
            <w:shd w:val="clear" w:color="auto" w:fill="auto"/>
            <w:noWrap/>
            <w:vAlign w:val="center"/>
            <w:hideMark/>
          </w:tcPr>
          <w:p w14:paraId="12584080" w14:textId="77777777" w:rsidR="00544F7C" w:rsidRPr="008179FC" w:rsidRDefault="00544F7C" w:rsidP="00E607DA">
            <w:pPr>
              <w:rPr>
                <w:rFonts w:ascii="Meta Pro" w:eastAsia="Times New Roman" w:hAnsi="Meta Pro"/>
                <w:b/>
                <w:bCs/>
                <w:szCs w:val="18"/>
                <w:lang w:eastAsia="en-AU"/>
              </w:rPr>
            </w:pPr>
            <w:r w:rsidRPr="008179FC">
              <w:rPr>
                <w:rFonts w:ascii="Meta Pro" w:eastAsia="Times New Roman" w:hAnsi="Meta Pro"/>
                <w:b/>
                <w:bCs/>
                <w:szCs w:val="18"/>
                <w:lang w:eastAsia="en-AU"/>
              </w:rPr>
              <w:t>Reconciliation of payments from Consolidated Fund to administered income</w:t>
            </w:r>
          </w:p>
        </w:tc>
        <w:tc>
          <w:tcPr>
            <w:tcW w:w="1173" w:type="dxa"/>
            <w:tcBorders>
              <w:top w:val="nil"/>
              <w:left w:val="nil"/>
              <w:bottom w:val="nil"/>
              <w:right w:val="nil"/>
            </w:tcBorders>
            <w:shd w:val="clear" w:color="auto" w:fill="auto"/>
            <w:noWrap/>
            <w:vAlign w:val="center"/>
            <w:hideMark/>
          </w:tcPr>
          <w:p w14:paraId="5EAF22F3" w14:textId="77777777" w:rsidR="00544F7C" w:rsidRPr="008179FC" w:rsidRDefault="00544F7C" w:rsidP="00E607DA">
            <w:pPr>
              <w:rPr>
                <w:rFonts w:ascii="Meta Pro" w:eastAsia="Times New Roman" w:hAnsi="Meta Pro"/>
                <w:b/>
                <w:bCs/>
                <w:szCs w:val="18"/>
                <w:lang w:eastAsia="en-AU"/>
              </w:rPr>
            </w:pPr>
          </w:p>
        </w:tc>
        <w:tc>
          <w:tcPr>
            <w:tcW w:w="134" w:type="dxa"/>
            <w:tcBorders>
              <w:top w:val="nil"/>
              <w:left w:val="nil"/>
              <w:bottom w:val="nil"/>
              <w:right w:val="nil"/>
            </w:tcBorders>
            <w:shd w:val="clear" w:color="auto" w:fill="auto"/>
            <w:noWrap/>
            <w:vAlign w:val="center"/>
            <w:hideMark/>
          </w:tcPr>
          <w:p w14:paraId="7FDCA3CF" w14:textId="77777777" w:rsidR="00544F7C" w:rsidRPr="008179FC" w:rsidRDefault="00544F7C" w:rsidP="00E607DA">
            <w:pPr>
              <w:jc w:val="right"/>
              <w:rPr>
                <w:rFonts w:eastAsia="Times New Roman" w:cs="Times New Roman"/>
                <w:sz w:val="20"/>
                <w:szCs w:val="20"/>
                <w:lang w:eastAsia="en-AU"/>
              </w:rPr>
            </w:pPr>
          </w:p>
        </w:tc>
        <w:tc>
          <w:tcPr>
            <w:tcW w:w="1172" w:type="dxa"/>
            <w:tcBorders>
              <w:top w:val="nil"/>
              <w:left w:val="nil"/>
              <w:bottom w:val="nil"/>
              <w:right w:val="nil"/>
            </w:tcBorders>
            <w:shd w:val="clear" w:color="auto" w:fill="auto"/>
            <w:noWrap/>
            <w:vAlign w:val="center"/>
            <w:hideMark/>
          </w:tcPr>
          <w:p w14:paraId="4E852CBE" w14:textId="77777777" w:rsidR="00544F7C" w:rsidRPr="008179FC" w:rsidRDefault="00544F7C" w:rsidP="00E607DA">
            <w:pPr>
              <w:jc w:val="right"/>
              <w:rPr>
                <w:rFonts w:eastAsia="Times New Roman" w:cs="Times New Roman"/>
                <w:sz w:val="20"/>
                <w:szCs w:val="20"/>
                <w:lang w:eastAsia="en-AU"/>
              </w:rPr>
            </w:pPr>
          </w:p>
        </w:tc>
      </w:tr>
      <w:tr w:rsidR="00544F7C" w:rsidRPr="008179FC" w14:paraId="224843D6" w14:textId="77777777" w:rsidTr="00E607DA">
        <w:trPr>
          <w:trHeight w:val="240"/>
        </w:trPr>
        <w:tc>
          <w:tcPr>
            <w:tcW w:w="7159" w:type="dxa"/>
            <w:tcBorders>
              <w:top w:val="nil"/>
              <w:left w:val="nil"/>
              <w:bottom w:val="nil"/>
              <w:right w:val="nil"/>
            </w:tcBorders>
            <w:shd w:val="clear" w:color="auto" w:fill="auto"/>
            <w:noWrap/>
            <w:vAlign w:val="center"/>
            <w:hideMark/>
          </w:tcPr>
          <w:p w14:paraId="666B5156" w14:textId="77777777" w:rsidR="00544F7C" w:rsidRPr="008179FC" w:rsidRDefault="00544F7C" w:rsidP="00E607DA">
            <w:pPr>
              <w:rPr>
                <w:rFonts w:ascii="Meta Pro" w:eastAsia="Times New Roman" w:hAnsi="Meta Pro"/>
                <w:szCs w:val="18"/>
                <w:lang w:eastAsia="en-AU"/>
              </w:rPr>
            </w:pPr>
            <w:r w:rsidRPr="008179FC">
              <w:rPr>
                <w:rFonts w:ascii="Meta Pro" w:eastAsia="Times New Roman" w:hAnsi="Meta Pro"/>
                <w:szCs w:val="18"/>
                <w:lang w:eastAsia="en-AU"/>
              </w:rPr>
              <w:t>Budgeted administered appropriation revenue</w:t>
            </w:r>
          </w:p>
        </w:tc>
        <w:tc>
          <w:tcPr>
            <w:tcW w:w="1173" w:type="dxa"/>
            <w:tcBorders>
              <w:top w:val="nil"/>
              <w:left w:val="nil"/>
              <w:bottom w:val="nil"/>
              <w:right w:val="nil"/>
            </w:tcBorders>
            <w:shd w:val="clear" w:color="000000" w:fill="C9E3B4"/>
            <w:noWrap/>
            <w:vAlign w:val="center"/>
            <w:hideMark/>
          </w:tcPr>
          <w:p w14:paraId="3E1C3B04" w14:textId="77777777" w:rsidR="00544F7C" w:rsidRPr="008179FC" w:rsidRDefault="00544F7C" w:rsidP="00E607DA">
            <w:pPr>
              <w:jc w:val="right"/>
              <w:rPr>
                <w:rFonts w:ascii="Meta Pro" w:eastAsia="Times New Roman" w:hAnsi="Meta Pro"/>
                <w:szCs w:val="18"/>
                <w:lang w:eastAsia="en-AU"/>
              </w:rPr>
            </w:pPr>
            <w:r w:rsidRPr="008179FC">
              <w:rPr>
                <w:rFonts w:ascii="Meta Pro" w:eastAsia="Times New Roman" w:hAnsi="Meta Pro"/>
                <w:szCs w:val="18"/>
                <w:lang w:eastAsia="en-AU"/>
              </w:rPr>
              <w:t xml:space="preserve">44,930 </w:t>
            </w:r>
          </w:p>
        </w:tc>
        <w:tc>
          <w:tcPr>
            <w:tcW w:w="134" w:type="dxa"/>
            <w:tcBorders>
              <w:top w:val="nil"/>
              <w:left w:val="nil"/>
              <w:bottom w:val="nil"/>
              <w:right w:val="nil"/>
            </w:tcBorders>
            <w:shd w:val="clear" w:color="auto" w:fill="auto"/>
            <w:noWrap/>
            <w:vAlign w:val="center"/>
            <w:hideMark/>
          </w:tcPr>
          <w:p w14:paraId="5C10DC12" w14:textId="77777777" w:rsidR="00544F7C" w:rsidRPr="008179FC" w:rsidRDefault="00544F7C" w:rsidP="00E607DA">
            <w:pPr>
              <w:jc w:val="right"/>
              <w:rPr>
                <w:rFonts w:ascii="Meta Pro" w:eastAsia="Times New Roman" w:hAnsi="Meta Pro"/>
                <w:szCs w:val="18"/>
                <w:lang w:eastAsia="en-AU"/>
              </w:rPr>
            </w:pPr>
          </w:p>
        </w:tc>
        <w:tc>
          <w:tcPr>
            <w:tcW w:w="1172" w:type="dxa"/>
            <w:tcBorders>
              <w:top w:val="nil"/>
              <w:left w:val="nil"/>
              <w:bottom w:val="nil"/>
              <w:right w:val="nil"/>
            </w:tcBorders>
            <w:shd w:val="clear" w:color="auto" w:fill="auto"/>
            <w:noWrap/>
            <w:vAlign w:val="center"/>
            <w:hideMark/>
          </w:tcPr>
          <w:p w14:paraId="0DD793A8" w14:textId="77777777" w:rsidR="00544F7C" w:rsidRPr="008179FC" w:rsidRDefault="00544F7C" w:rsidP="00E607DA">
            <w:pPr>
              <w:jc w:val="right"/>
              <w:rPr>
                <w:rFonts w:ascii="Meta Pro" w:eastAsia="Times New Roman" w:hAnsi="Meta Pro"/>
                <w:szCs w:val="18"/>
                <w:lang w:eastAsia="en-AU"/>
              </w:rPr>
            </w:pPr>
            <w:r w:rsidRPr="008179FC">
              <w:rPr>
                <w:rFonts w:ascii="Meta Pro" w:eastAsia="Times New Roman" w:hAnsi="Meta Pro"/>
                <w:szCs w:val="18"/>
                <w:lang w:eastAsia="en-AU"/>
              </w:rPr>
              <w:t xml:space="preserve">41,621 </w:t>
            </w:r>
          </w:p>
        </w:tc>
      </w:tr>
      <w:tr w:rsidR="00544F7C" w:rsidRPr="008179FC" w14:paraId="6F92D1F0" w14:textId="77777777" w:rsidTr="00E607DA">
        <w:trPr>
          <w:trHeight w:val="240"/>
        </w:trPr>
        <w:tc>
          <w:tcPr>
            <w:tcW w:w="7159" w:type="dxa"/>
            <w:tcBorders>
              <w:top w:val="nil"/>
              <w:left w:val="nil"/>
              <w:bottom w:val="nil"/>
              <w:right w:val="nil"/>
            </w:tcBorders>
            <w:shd w:val="clear" w:color="auto" w:fill="auto"/>
            <w:noWrap/>
            <w:vAlign w:val="center"/>
            <w:hideMark/>
          </w:tcPr>
          <w:p w14:paraId="495F3E3C" w14:textId="77777777" w:rsidR="00544F7C" w:rsidRPr="008179FC" w:rsidRDefault="00544F7C" w:rsidP="00E607DA">
            <w:pPr>
              <w:rPr>
                <w:rFonts w:ascii="Meta Pro" w:eastAsia="Times New Roman" w:hAnsi="Meta Pro"/>
                <w:szCs w:val="18"/>
                <w:lang w:eastAsia="en-AU"/>
              </w:rPr>
            </w:pPr>
            <w:r w:rsidRPr="008179FC">
              <w:rPr>
                <w:rFonts w:ascii="Meta Pro" w:eastAsia="Times New Roman" w:hAnsi="Meta Pro"/>
                <w:szCs w:val="18"/>
                <w:lang w:eastAsia="en-AU"/>
              </w:rPr>
              <w:t>Transfers to other headings</w:t>
            </w:r>
          </w:p>
        </w:tc>
        <w:tc>
          <w:tcPr>
            <w:tcW w:w="1173" w:type="dxa"/>
            <w:tcBorders>
              <w:top w:val="nil"/>
              <w:left w:val="nil"/>
              <w:bottom w:val="nil"/>
              <w:right w:val="nil"/>
            </w:tcBorders>
            <w:shd w:val="clear" w:color="000000" w:fill="C9E3B4"/>
            <w:noWrap/>
            <w:vAlign w:val="center"/>
            <w:hideMark/>
          </w:tcPr>
          <w:p w14:paraId="65E3674D" w14:textId="77777777" w:rsidR="00544F7C" w:rsidRPr="008179FC" w:rsidRDefault="00544F7C" w:rsidP="00E607DA">
            <w:pPr>
              <w:jc w:val="right"/>
              <w:rPr>
                <w:rFonts w:ascii="Meta Pro" w:eastAsia="Times New Roman" w:hAnsi="Meta Pro"/>
                <w:szCs w:val="18"/>
                <w:lang w:eastAsia="en-AU"/>
              </w:rPr>
            </w:pPr>
            <w:r w:rsidRPr="008179FC">
              <w:rPr>
                <w:rFonts w:ascii="Meta Pro" w:eastAsia="Times New Roman" w:hAnsi="Meta Pro"/>
                <w:szCs w:val="18"/>
                <w:lang w:eastAsia="en-AU"/>
              </w:rPr>
              <w:t>(33,950)</w:t>
            </w:r>
          </w:p>
        </w:tc>
        <w:tc>
          <w:tcPr>
            <w:tcW w:w="134" w:type="dxa"/>
            <w:tcBorders>
              <w:top w:val="nil"/>
              <w:left w:val="nil"/>
              <w:bottom w:val="nil"/>
              <w:right w:val="nil"/>
            </w:tcBorders>
            <w:shd w:val="clear" w:color="auto" w:fill="auto"/>
            <w:noWrap/>
            <w:vAlign w:val="center"/>
            <w:hideMark/>
          </w:tcPr>
          <w:p w14:paraId="5FFED734" w14:textId="77777777" w:rsidR="00544F7C" w:rsidRPr="008179FC" w:rsidRDefault="00544F7C" w:rsidP="00E607DA">
            <w:pPr>
              <w:jc w:val="right"/>
              <w:rPr>
                <w:rFonts w:ascii="Meta Pro" w:eastAsia="Times New Roman" w:hAnsi="Meta Pro"/>
                <w:szCs w:val="18"/>
                <w:lang w:eastAsia="en-AU"/>
              </w:rPr>
            </w:pPr>
          </w:p>
        </w:tc>
        <w:tc>
          <w:tcPr>
            <w:tcW w:w="1172" w:type="dxa"/>
            <w:tcBorders>
              <w:top w:val="nil"/>
              <w:left w:val="nil"/>
              <w:bottom w:val="nil"/>
              <w:right w:val="nil"/>
            </w:tcBorders>
            <w:shd w:val="clear" w:color="auto" w:fill="auto"/>
            <w:noWrap/>
            <w:vAlign w:val="center"/>
            <w:hideMark/>
          </w:tcPr>
          <w:p w14:paraId="4E92C4C0" w14:textId="77777777" w:rsidR="00544F7C" w:rsidRPr="008179FC" w:rsidRDefault="00544F7C" w:rsidP="00E607DA">
            <w:pPr>
              <w:jc w:val="right"/>
              <w:rPr>
                <w:rFonts w:ascii="Meta Pro" w:eastAsia="Times New Roman" w:hAnsi="Meta Pro"/>
                <w:szCs w:val="18"/>
                <w:lang w:eastAsia="en-AU"/>
              </w:rPr>
            </w:pPr>
            <w:r w:rsidRPr="008179FC">
              <w:rPr>
                <w:rFonts w:ascii="Meta Pro" w:eastAsia="Times New Roman" w:hAnsi="Meta Pro"/>
                <w:szCs w:val="18"/>
                <w:lang w:eastAsia="en-AU"/>
              </w:rPr>
              <w:t>-</w:t>
            </w:r>
          </w:p>
        </w:tc>
      </w:tr>
      <w:tr w:rsidR="00544F7C" w:rsidRPr="008179FC" w14:paraId="58CB65BF" w14:textId="77777777" w:rsidTr="00E607DA">
        <w:trPr>
          <w:trHeight w:val="240"/>
        </w:trPr>
        <w:tc>
          <w:tcPr>
            <w:tcW w:w="7159" w:type="dxa"/>
            <w:tcBorders>
              <w:top w:val="nil"/>
              <w:left w:val="nil"/>
              <w:bottom w:val="single" w:sz="4" w:space="0" w:color="auto"/>
              <w:right w:val="nil"/>
            </w:tcBorders>
            <w:shd w:val="clear" w:color="auto" w:fill="auto"/>
            <w:noWrap/>
            <w:vAlign w:val="center"/>
            <w:hideMark/>
          </w:tcPr>
          <w:p w14:paraId="6E8CDC5F" w14:textId="77777777" w:rsidR="00544F7C" w:rsidRPr="008179FC" w:rsidRDefault="00544F7C" w:rsidP="00E607DA">
            <w:pPr>
              <w:rPr>
                <w:rFonts w:ascii="Meta Pro" w:eastAsia="Times New Roman" w:hAnsi="Meta Pro"/>
                <w:szCs w:val="18"/>
                <w:lang w:eastAsia="en-AU"/>
              </w:rPr>
            </w:pPr>
            <w:r w:rsidRPr="008179FC">
              <w:rPr>
                <w:rFonts w:ascii="Meta Pro" w:eastAsia="Times New Roman" w:hAnsi="Meta Pro"/>
                <w:szCs w:val="18"/>
                <w:lang w:eastAsia="en-AU"/>
              </w:rPr>
              <w:t>Lapsed administered appropriation</w:t>
            </w:r>
          </w:p>
        </w:tc>
        <w:tc>
          <w:tcPr>
            <w:tcW w:w="1173" w:type="dxa"/>
            <w:tcBorders>
              <w:top w:val="nil"/>
              <w:left w:val="nil"/>
              <w:bottom w:val="single" w:sz="4" w:space="0" w:color="auto"/>
              <w:right w:val="nil"/>
            </w:tcBorders>
            <w:shd w:val="clear" w:color="000000" w:fill="C9E3B4"/>
            <w:noWrap/>
            <w:vAlign w:val="center"/>
            <w:hideMark/>
          </w:tcPr>
          <w:p w14:paraId="2CEF0FD7" w14:textId="77777777" w:rsidR="00544F7C" w:rsidRPr="008179FC" w:rsidRDefault="00544F7C" w:rsidP="00E607DA">
            <w:pPr>
              <w:jc w:val="right"/>
              <w:rPr>
                <w:rFonts w:ascii="Meta Pro" w:eastAsia="Times New Roman" w:hAnsi="Meta Pro"/>
                <w:szCs w:val="18"/>
                <w:lang w:eastAsia="en-AU"/>
              </w:rPr>
            </w:pPr>
            <w:r w:rsidRPr="008179FC">
              <w:rPr>
                <w:rFonts w:ascii="Meta Pro" w:eastAsia="Times New Roman" w:hAnsi="Meta Pro"/>
                <w:szCs w:val="18"/>
                <w:lang w:eastAsia="en-AU"/>
              </w:rPr>
              <w:t>-</w:t>
            </w:r>
          </w:p>
        </w:tc>
        <w:tc>
          <w:tcPr>
            <w:tcW w:w="134" w:type="dxa"/>
            <w:tcBorders>
              <w:top w:val="nil"/>
              <w:left w:val="nil"/>
              <w:bottom w:val="single" w:sz="4" w:space="0" w:color="auto"/>
              <w:right w:val="nil"/>
            </w:tcBorders>
            <w:shd w:val="clear" w:color="auto" w:fill="auto"/>
            <w:noWrap/>
            <w:vAlign w:val="center"/>
            <w:hideMark/>
          </w:tcPr>
          <w:p w14:paraId="6A3F7129" w14:textId="77777777" w:rsidR="00544F7C" w:rsidRPr="008179FC" w:rsidRDefault="00544F7C" w:rsidP="00E607DA">
            <w:pPr>
              <w:jc w:val="right"/>
              <w:rPr>
                <w:rFonts w:ascii="Meta Pro" w:eastAsia="Times New Roman" w:hAnsi="Meta Pro"/>
                <w:b/>
                <w:bCs/>
                <w:szCs w:val="18"/>
                <w:lang w:eastAsia="en-AU"/>
              </w:rPr>
            </w:pPr>
            <w:r w:rsidRPr="008179FC">
              <w:rPr>
                <w:rFonts w:ascii="Meta Pro" w:eastAsia="Times New Roman" w:hAnsi="Meta Pro"/>
                <w:b/>
                <w:bCs/>
                <w:szCs w:val="18"/>
                <w:lang w:eastAsia="en-AU"/>
              </w:rPr>
              <w:t> </w:t>
            </w:r>
          </w:p>
        </w:tc>
        <w:tc>
          <w:tcPr>
            <w:tcW w:w="1172" w:type="dxa"/>
            <w:tcBorders>
              <w:top w:val="nil"/>
              <w:left w:val="nil"/>
              <w:bottom w:val="single" w:sz="4" w:space="0" w:color="auto"/>
              <w:right w:val="nil"/>
            </w:tcBorders>
            <w:shd w:val="clear" w:color="auto" w:fill="auto"/>
            <w:noWrap/>
            <w:vAlign w:val="center"/>
            <w:hideMark/>
          </w:tcPr>
          <w:p w14:paraId="1EE52BBB" w14:textId="77777777" w:rsidR="00544F7C" w:rsidRPr="008179FC" w:rsidRDefault="00544F7C" w:rsidP="00E607DA">
            <w:pPr>
              <w:jc w:val="right"/>
              <w:rPr>
                <w:rFonts w:ascii="Meta Pro" w:eastAsia="Times New Roman" w:hAnsi="Meta Pro"/>
                <w:szCs w:val="18"/>
                <w:lang w:eastAsia="en-AU"/>
              </w:rPr>
            </w:pPr>
            <w:r w:rsidRPr="008179FC">
              <w:rPr>
                <w:rFonts w:ascii="Meta Pro" w:eastAsia="Times New Roman" w:hAnsi="Meta Pro"/>
                <w:szCs w:val="18"/>
                <w:lang w:eastAsia="en-AU"/>
              </w:rPr>
              <w:t>(750)</w:t>
            </w:r>
          </w:p>
        </w:tc>
      </w:tr>
      <w:tr w:rsidR="00544F7C" w:rsidRPr="008179FC" w14:paraId="7E026F8E" w14:textId="77777777" w:rsidTr="00E607DA">
        <w:trPr>
          <w:trHeight w:val="240"/>
        </w:trPr>
        <w:tc>
          <w:tcPr>
            <w:tcW w:w="7159" w:type="dxa"/>
            <w:tcBorders>
              <w:top w:val="nil"/>
              <w:left w:val="nil"/>
              <w:bottom w:val="nil"/>
              <w:right w:val="nil"/>
            </w:tcBorders>
            <w:shd w:val="clear" w:color="auto" w:fill="auto"/>
            <w:noWrap/>
            <w:vAlign w:val="center"/>
            <w:hideMark/>
          </w:tcPr>
          <w:p w14:paraId="0E0B2ECD" w14:textId="77777777" w:rsidR="00544F7C" w:rsidRPr="008179FC" w:rsidRDefault="00544F7C" w:rsidP="00E607DA">
            <w:pPr>
              <w:rPr>
                <w:rFonts w:ascii="Meta Pro" w:eastAsia="Times New Roman" w:hAnsi="Meta Pro"/>
                <w:szCs w:val="18"/>
                <w:lang w:eastAsia="en-AU"/>
              </w:rPr>
            </w:pPr>
            <w:r w:rsidRPr="008179FC">
              <w:rPr>
                <w:rFonts w:ascii="Meta Pro" w:eastAsia="Times New Roman" w:hAnsi="Meta Pro"/>
                <w:szCs w:val="18"/>
                <w:lang w:eastAsia="en-AU"/>
              </w:rPr>
              <w:t>Total administered revenue</w:t>
            </w:r>
          </w:p>
        </w:tc>
        <w:tc>
          <w:tcPr>
            <w:tcW w:w="1173" w:type="dxa"/>
            <w:tcBorders>
              <w:top w:val="nil"/>
              <w:left w:val="nil"/>
              <w:bottom w:val="nil"/>
              <w:right w:val="nil"/>
            </w:tcBorders>
            <w:shd w:val="clear" w:color="000000" w:fill="C9E3B4"/>
            <w:noWrap/>
            <w:vAlign w:val="center"/>
            <w:hideMark/>
          </w:tcPr>
          <w:p w14:paraId="5E0F1CDA" w14:textId="77777777" w:rsidR="00544F7C" w:rsidRPr="008179FC" w:rsidRDefault="00544F7C" w:rsidP="00E607DA">
            <w:pPr>
              <w:jc w:val="right"/>
              <w:rPr>
                <w:rFonts w:ascii="Meta Pro" w:eastAsia="Times New Roman" w:hAnsi="Meta Pro"/>
                <w:szCs w:val="18"/>
                <w:lang w:eastAsia="en-AU"/>
              </w:rPr>
            </w:pPr>
            <w:r w:rsidRPr="008179FC">
              <w:rPr>
                <w:rFonts w:ascii="Meta Pro" w:eastAsia="Times New Roman" w:hAnsi="Meta Pro"/>
                <w:szCs w:val="18"/>
                <w:lang w:eastAsia="en-AU"/>
              </w:rPr>
              <w:t xml:space="preserve">10,980 </w:t>
            </w:r>
          </w:p>
        </w:tc>
        <w:tc>
          <w:tcPr>
            <w:tcW w:w="134" w:type="dxa"/>
            <w:tcBorders>
              <w:top w:val="nil"/>
              <w:left w:val="nil"/>
              <w:bottom w:val="nil"/>
              <w:right w:val="nil"/>
            </w:tcBorders>
            <w:shd w:val="clear" w:color="auto" w:fill="auto"/>
            <w:noWrap/>
            <w:vAlign w:val="center"/>
            <w:hideMark/>
          </w:tcPr>
          <w:p w14:paraId="04D2C1BF" w14:textId="77777777" w:rsidR="00544F7C" w:rsidRPr="008179FC" w:rsidRDefault="00544F7C" w:rsidP="00E607DA">
            <w:pPr>
              <w:jc w:val="right"/>
              <w:rPr>
                <w:rFonts w:ascii="Meta Pro" w:eastAsia="Times New Roman" w:hAnsi="Meta Pro"/>
                <w:szCs w:val="18"/>
                <w:lang w:eastAsia="en-AU"/>
              </w:rPr>
            </w:pPr>
          </w:p>
        </w:tc>
        <w:tc>
          <w:tcPr>
            <w:tcW w:w="1172" w:type="dxa"/>
            <w:tcBorders>
              <w:top w:val="nil"/>
              <w:left w:val="nil"/>
              <w:bottom w:val="nil"/>
              <w:right w:val="nil"/>
            </w:tcBorders>
            <w:shd w:val="clear" w:color="auto" w:fill="auto"/>
            <w:noWrap/>
            <w:vAlign w:val="center"/>
            <w:hideMark/>
          </w:tcPr>
          <w:p w14:paraId="245F7B1B" w14:textId="77777777" w:rsidR="00544F7C" w:rsidRPr="008179FC" w:rsidRDefault="00544F7C" w:rsidP="00E607DA">
            <w:pPr>
              <w:jc w:val="right"/>
              <w:rPr>
                <w:rFonts w:ascii="Meta Pro" w:eastAsia="Times New Roman" w:hAnsi="Meta Pro"/>
                <w:szCs w:val="18"/>
                <w:lang w:eastAsia="en-AU"/>
              </w:rPr>
            </w:pPr>
            <w:r w:rsidRPr="008179FC">
              <w:rPr>
                <w:rFonts w:ascii="Meta Pro" w:eastAsia="Times New Roman" w:hAnsi="Meta Pro"/>
                <w:szCs w:val="18"/>
                <w:lang w:eastAsia="en-AU"/>
              </w:rPr>
              <w:t xml:space="preserve">40,871 </w:t>
            </w:r>
          </w:p>
        </w:tc>
      </w:tr>
      <w:tr w:rsidR="00544F7C" w:rsidRPr="008179FC" w14:paraId="1F4E6C34" w14:textId="77777777" w:rsidTr="00E607DA">
        <w:trPr>
          <w:trHeight w:val="240"/>
        </w:trPr>
        <w:tc>
          <w:tcPr>
            <w:tcW w:w="7159" w:type="dxa"/>
            <w:tcBorders>
              <w:top w:val="nil"/>
              <w:left w:val="nil"/>
              <w:bottom w:val="nil"/>
              <w:right w:val="nil"/>
            </w:tcBorders>
            <w:shd w:val="clear" w:color="auto" w:fill="auto"/>
            <w:noWrap/>
            <w:vAlign w:val="center"/>
            <w:hideMark/>
          </w:tcPr>
          <w:p w14:paraId="3E7E95FE" w14:textId="77777777" w:rsidR="00544F7C" w:rsidRPr="008179FC" w:rsidRDefault="00544F7C" w:rsidP="00E607DA">
            <w:pPr>
              <w:rPr>
                <w:rFonts w:ascii="Meta Pro" w:eastAsia="Times New Roman" w:hAnsi="Meta Pro"/>
                <w:szCs w:val="18"/>
                <w:lang w:eastAsia="en-AU"/>
              </w:rPr>
            </w:pPr>
            <w:r w:rsidRPr="008179FC">
              <w:rPr>
                <w:rFonts w:ascii="Meta Pro" w:eastAsia="Times New Roman" w:hAnsi="Meta Pro"/>
                <w:szCs w:val="18"/>
                <w:lang w:eastAsia="en-AU"/>
              </w:rPr>
              <w:t>Transfer of appropriation receivable from other department *</w:t>
            </w:r>
          </w:p>
        </w:tc>
        <w:tc>
          <w:tcPr>
            <w:tcW w:w="1173" w:type="dxa"/>
            <w:tcBorders>
              <w:top w:val="nil"/>
              <w:left w:val="nil"/>
              <w:bottom w:val="nil"/>
              <w:right w:val="nil"/>
            </w:tcBorders>
            <w:shd w:val="clear" w:color="000000" w:fill="C9E3B4"/>
            <w:noWrap/>
            <w:vAlign w:val="center"/>
            <w:hideMark/>
          </w:tcPr>
          <w:p w14:paraId="194D1169" w14:textId="77777777" w:rsidR="00544F7C" w:rsidRPr="008179FC" w:rsidRDefault="00544F7C" w:rsidP="00E607DA">
            <w:pPr>
              <w:jc w:val="right"/>
              <w:rPr>
                <w:rFonts w:ascii="Meta Pro" w:eastAsia="Times New Roman" w:hAnsi="Meta Pro"/>
                <w:szCs w:val="18"/>
                <w:lang w:eastAsia="en-AU"/>
              </w:rPr>
            </w:pPr>
            <w:r w:rsidRPr="008179FC">
              <w:rPr>
                <w:rFonts w:ascii="Meta Pro" w:eastAsia="Times New Roman" w:hAnsi="Meta Pro"/>
                <w:szCs w:val="18"/>
                <w:lang w:eastAsia="en-AU"/>
              </w:rPr>
              <w:t>(34,867)</w:t>
            </w:r>
          </w:p>
        </w:tc>
        <w:tc>
          <w:tcPr>
            <w:tcW w:w="134" w:type="dxa"/>
            <w:tcBorders>
              <w:top w:val="nil"/>
              <w:left w:val="nil"/>
              <w:bottom w:val="nil"/>
              <w:right w:val="nil"/>
            </w:tcBorders>
            <w:shd w:val="clear" w:color="auto" w:fill="auto"/>
            <w:noWrap/>
            <w:vAlign w:val="center"/>
            <w:hideMark/>
          </w:tcPr>
          <w:p w14:paraId="3CA19E58" w14:textId="77777777" w:rsidR="00544F7C" w:rsidRPr="008179FC" w:rsidRDefault="00544F7C" w:rsidP="00E607DA">
            <w:pPr>
              <w:jc w:val="right"/>
              <w:rPr>
                <w:rFonts w:ascii="Meta Pro" w:eastAsia="Times New Roman" w:hAnsi="Meta Pro"/>
                <w:szCs w:val="18"/>
                <w:lang w:eastAsia="en-AU"/>
              </w:rPr>
            </w:pPr>
          </w:p>
        </w:tc>
        <w:tc>
          <w:tcPr>
            <w:tcW w:w="1172" w:type="dxa"/>
            <w:tcBorders>
              <w:top w:val="nil"/>
              <w:left w:val="nil"/>
              <w:bottom w:val="nil"/>
              <w:right w:val="nil"/>
            </w:tcBorders>
            <w:shd w:val="clear" w:color="auto" w:fill="auto"/>
            <w:noWrap/>
            <w:vAlign w:val="center"/>
            <w:hideMark/>
          </w:tcPr>
          <w:p w14:paraId="1F446E76" w14:textId="77777777" w:rsidR="00544F7C" w:rsidRPr="008179FC" w:rsidRDefault="00544F7C" w:rsidP="00E607DA">
            <w:pPr>
              <w:jc w:val="right"/>
              <w:rPr>
                <w:rFonts w:ascii="Meta Pro" w:eastAsia="Times New Roman" w:hAnsi="Meta Pro"/>
                <w:szCs w:val="18"/>
                <w:lang w:eastAsia="en-AU"/>
              </w:rPr>
            </w:pPr>
            <w:r w:rsidRPr="008179FC">
              <w:rPr>
                <w:rFonts w:ascii="Meta Pro" w:eastAsia="Times New Roman" w:hAnsi="Meta Pro"/>
                <w:szCs w:val="18"/>
                <w:lang w:eastAsia="en-AU"/>
              </w:rPr>
              <w:t xml:space="preserve">- </w:t>
            </w:r>
          </w:p>
        </w:tc>
      </w:tr>
      <w:tr w:rsidR="00544F7C" w:rsidRPr="008179FC" w14:paraId="376FA0AF" w14:textId="77777777" w:rsidTr="00E607DA">
        <w:trPr>
          <w:trHeight w:val="240"/>
        </w:trPr>
        <w:tc>
          <w:tcPr>
            <w:tcW w:w="7159" w:type="dxa"/>
            <w:tcBorders>
              <w:top w:val="nil"/>
              <w:left w:val="nil"/>
              <w:bottom w:val="nil"/>
              <w:right w:val="nil"/>
            </w:tcBorders>
            <w:shd w:val="clear" w:color="auto" w:fill="auto"/>
            <w:noWrap/>
            <w:vAlign w:val="center"/>
            <w:hideMark/>
          </w:tcPr>
          <w:p w14:paraId="1E99B75F" w14:textId="77777777" w:rsidR="00544F7C" w:rsidRPr="008179FC" w:rsidRDefault="00544F7C" w:rsidP="00E607DA">
            <w:pPr>
              <w:rPr>
                <w:rFonts w:ascii="Meta Pro" w:eastAsia="Times New Roman" w:hAnsi="Meta Pro"/>
                <w:szCs w:val="18"/>
                <w:lang w:eastAsia="en-AU"/>
              </w:rPr>
            </w:pPr>
            <w:r w:rsidRPr="008179FC">
              <w:rPr>
                <w:rFonts w:ascii="Meta Pro" w:eastAsia="Times New Roman" w:hAnsi="Meta Pro"/>
                <w:szCs w:val="18"/>
                <w:lang w:eastAsia="en-AU"/>
              </w:rPr>
              <w:t>Less: Opening balance of administered revenue receivable</w:t>
            </w:r>
          </w:p>
        </w:tc>
        <w:tc>
          <w:tcPr>
            <w:tcW w:w="1173" w:type="dxa"/>
            <w:tcBorders>
              <w:top w:val="nil"/>
              <w:left w:val="nil"/>
              <w:bottom w:val="nil"/>
              <w:right w:val="nil"/>
            </w:tcBorders>
            <w:shd w:val="clear" w:color="000000" w:fill="C9E3B4"/>
            <w:noWrap/>
            <w:vAlign w:val="center"/>
            <w:hideMark/>
          </w:tcPr>
          <w:p w14:paraId="0A1C7EFF" w14:textId="77777777" w:rsidR="00544F7C" w:rsidRPr="008179FC" w:rsidRDefault="00544F7C" w:rsidP="00E607DA">
            <w:pPr>
              <w:jc w:val="right"/>
              <w:rPr>
                <w:rFonts w:ascii="Meta Pro" w:eastAsia="Times New Roman" w:hAnsi="Meta Pro"/>
                <w:szCs w:val="18"/>
                <w:lang w:eastAsia="en-AU"/>
              </w:rPr>
            </w:pPr>
            <w:r w:rsidRPr="008179FC">
              <w:rPr>
                <w:rFonts w:ascii="Meta Pro" w:eastAsia="Times New Roman" w:hAnsi="Meta Pro"/>
                <w:szCs w:val="18"/>
                <w:lang w:eastAsia="en-AU"/>
              </w:rPr>
              <w:t>(25,373)</w:t>
            </w:r>
          </w:p>
        </w:tc>
        <w:tc>
          <w:tcPr>
            <w:tcW w:w="134" w:type="dxa"/>
            <w:tcBorders>
              <w:top w:val="nil"/>
              <w:left w:val="nil"/>
              <w:bottom w:val="nil"/>
              <w:right w:val="nil"/>
            </w:tcBorders>
            <w:shd w:val="clear" w:color="auto" w:fill="auto"/>
            <w:noWrap/>
            <w:vAlign w:val="center"/>
            <w:hideMark/>
          </w:tcPr>
          <w:p w14:paraId="0240BB0E" w14:textId="77777777" w:rsidR="00544F7C" w:rsidRPr="008179FC" w:rsidRDefault="00544F7C" w:rsidP="00E607DA">
            <w:pPr>
              <w:jc w:val="right"/>
              <w:rPr>
                <w:rFonts w:ascii="Meta Pro" w:eastAsia="Times New Roman" w:hAnsi="Meta Pro"/>
                <w:szCs w:val="18"/>
                <w:lang w:eastAsia="en-AU"/>
              </w:rPr>
            </w:pPr>
          </w:p>
        </w:tc>
        <w:tc>
          <w:tcPr>
            <w:tcW w:w="1172" w:type="dxa"/>
            <w:tcBorders>
              <w:top w:val="nil"/>
              <w:left w:val="nil"/>
              <w:bottom w:val="nil"/>
              <w:right w:val="nil"/>
            </w:tcBorders>
            <w:shd w:val="clear" w:color="auto" w:fill="auto"/>
            <w:noWrap/>
            <w:vAlign w:val="center"/>
            <w:hideMark/>
          </w:tcPr>
          <w:p w14:paraId="0854C754" w14:textId="77777777" w:rsidR="00544F7C" w:rsidRPr="008179FC" w:rsidRDefault="00544F7C" w:rsidP="00E607DA">
            <w:pPr>
              <w:jc w:val="right"/>
              <w:rPr>
                <w:rFonts w:ascii="Meta Pro" w:eastAsia="Times New Roman" w:hAnsi="Meta Pro"/>
                <w:szCs w:val="18"/>
                <w:lang w:eastAsia="en-AU"/>
              </w:rPr>
            </w:pPr>
            <w:r w:rsidRPr="008179FC">
              <w:rPr>
                <w:rFonts w:ascii="Meta Pro" w:eastAsia="Times New Roman" w:hAnsi="Meta Pro"/>
                <w:szCs w:val="18"/>
                <w:lang w:eastAsia="en-AU"/>
              </w:rPr>
              <w:t xml:space="preserve">- </w:t>
            </w:r>
          </w:p>
        </w:tc>
      </w:tr>
      <w:tr w:rsidR="00544F7C" w:rsidRPr="008179FC" w14:paraId="22D9BED9" w14:textId="77777777" w:rsidTr="00E607DA">
        <w:trPr>
          <w:trHeight w:val="240"/>
        </w:trPr>
        <w:tc>
          <w:tcPr>
            <w:tcW w:w="7159" w:type="dxa"/>
            <w:tcBorders>
              <w:top w:val="nil"/>
              <w:left w:val="nil"/>
              <w:bottom w:val="nil"/>
              <w:right w:val="nil"/>
            </w:tcBorders>
            <w:shd w:val="clear" w:color="auto" w:fill="auto"/>
            <w:noWrap/>
            <w:vAlign w:val="center"/>
            <w:hideMark/>
          </w:tcPr>
          <w:p w14:paraId="507428C3" w14:textId="77777777" w:rsidR="00544F7C" w:rsidRPr="008179FC" w:rsidRDefault="00544F7C" w:rsidP="00E607DA">
            <w:pPr>
              <w:rPr>
                <w:rFonts w:ascii="Meta Pro" w:eastAsia="Times New Roman" w:hAnsi="Meta Pro"/>
                <w:szCs w:val="18"/>
                <w:lang w:eastAsia="en-AU"/>
              </w:rPr>
            </w:pPr>
            <w:r w:rsidRPr="008179FC">
              <w:rPr>
                <w:rFonts w:ascii="Meta Pro" w:eastAsia="Times New Roman" w:hAnsi="Meta Pro"/>
                <w:szCs w:val="18"/>
                <w:lang w:eastAsia="en-AU"/>
              </w:rPr>
              <w:t>Plus: Closing balance of administered revenue receivable</w:t>
            </w:r>
          </w:p>
        </w:tc>
        <w:tc>
          <w:tcPr>
            <w:tcW w:w="1173" w:type="dxa"/>
            <w:tcBorders>
              <w:top w:val="nil"/>
              <w:left w:val="nil"/>
              <w:bottom w:val="nil"/>
              <w:right w:val="nil"/>
            </w:tcBorders>
            <w:shd w:val="clear" w:color="000000" w:fill="C9E3B4"/>
            <w:noWrap/>
            <w:vAlign w:val="center"/>
            <w:hideMark/>
          </w:tcPr>
          <w:p w14:paraId="134CB189" w14:textId="77777777" w:rsidR="00544F7C" w:rsidRPr="008179FC" w:rsidRDefault="00544F7C" w:rsidP="00E607DA">
            <w:pPr>
              <w:jc w:val="right"/>
              <w:rPr>
                <w:rFonts w:ascii="Meta Pro" w:eastAsia="Times New Roman" w:hAnsi="Meta Pro"/>
                <w:szCs w:val="18"/>
                <w:lang w:eastAsia="en-AU"/>
              </w:rPr>
            </w:pPr>
            <w:r w:rsidRPr="008179FC">
              <w:rPr>
                <w:rFonts w:ascii="Meta Pro" w:eastAsia="Times New Roman" w:hAnsi="Meta Pro"/>
                <w:szCs w:val="18"/>
                <w:lang w:eastAsia="en-AU"/>
              </w:rPr>
              <w:t xml:space="preserve">127,101 </w:t>
            </w:r>
          </w:p>
        </w:tc>
        <w:tc>
          <w:tcPr>
            <w:tcW w:w="134" w:type="dxa"/>
            <w:tcBorders>
              <w:top w:val="nil"/>
              <w:left w:val="nil"/>
              <w:bottom w:val="nil"/>
              <w:right w:val="nil"/>
            </w:tcBorders>
            <w:shd w:val="clear" w:color="auto" w:fill="auto"/>
            <w:noWrap/>
            <w:vAlign w:val="center"/>
            <w:hideMark/>
          </w:tcPr>
          <w:p w14:paraId="00438F71" w14:textId="77777777" w:rsidR="00544F7C" w:rsidRPr="008179FC" w:rsidRDefault="00544F7C" w:rsidP="00E607DA">
            <w:pPr>
              <w:jc w:val="right"/>
              <w:rPr>
                <w:rFonts w:ascii="Meta Pro" w:eastAsia="Times New Roman" w:hAnsi="Meta Pro"/>
                <w:szCs w:val="18"/>
                <w:lang w:eastAsia="en-AU"/>
              </w:rPr>
            </w:pPr>
          </w:p>
        </w:tc>
        <w:tc>
          <w:tcPr>
            <w:tcW w:w="1172" w:type="dxa"/>
            <w:tcBorders>
              <w:top w:val="nil"/>
              <w:left w:val="nil"/>
              <w:bottom w:val="nil"/>
              <w:right w:val="nil"/>
            </w:tcBorders>
            <w:shd w:val="clear" w:color="auto" w:fill="auto"/>
            <w:noWrap/>
            <w:vAlign w:val="center"/>
            <w:hideMark/>
          </w:tcPr>
          <w:p w14:paraId="3AE29E25" w14:textId="77777777" w:rsidR="00544F7C" w:rsidRPr="008179FC" w:rsidRDefault="00544F7C" w:rsidP="00E607DA">
            <w:pPr>
              <w:jc w:val="right"/>
              <w:rPr>
                <w:rFonts w:ascii="Meta Pro" w:eastAsia="Times New Roman" w:hAnsi="Meta Pro"/>
                <w:szCs w:val="18"/>
                <w:lang w:eastAsia="en-AU"/>
              </w:rPr>
            </w:pPr>
            <w:r w:rsidRPr="008179FC">
              <w:rPr>
                <w:rFonts w:ascii="Meta Pro" w:eastAsia="Times New Roman" w:hAnsi="Meta Pro"/>
                <w:szCs w:val="18"/>
                <w:lang w:eastAsia="en-AU"/>
              </w:rPr>
              <w:t xml:space="preserve">25,373 </w:t>
            </w:r>
          </w:p>
        </w:tc>
      </w:tr>
      <w:tr w:rsidR="00544F7C" w:rsidRPr="008179FC" w14:paraId="0B882B0B" w14:textId="77777777" w:rsidTr="00E607DA">
        <w:trPr>
          <w:trHeight w:val="240"/>
        </w:trPr>
        <w:tc>
          <w:tcPr>
            <w:tcW w:w="7159" w:type="dxa"/>
            <w:tcBorders>
              <w:top w:val="single" w:sz="4" w:space="0" w:color="auto"/>
              <w:left w:val="nil"/>
              <w:bottom w:val="double" w:sz="6" w:space="0" w:color="auto"/>
              <w:right w:val="nil"/>
            </w:tcBorders>
            <w:shd w:val="clear" w:color="auto" w:fill="auto"/>
            <w:noWrap/>
            <w:vAlign w:val="center"/>
            <w:hideMark/>
          </w:tcPr>
          <w:p w14:paraId="167B3EAF" w14:textId="77777777" w:rsidR="00544F7C" w:rsidRPr="008179FC" w:rsidRDefault="00544F7C" w:rsidP="00E607DA">
            <w:pPr>
              <w:rPr>
                <w:rFonts w:ascii="Meta Pro" w:eastAsia="Times New Roman" w:hAnsi="Meta Pro"/>
                <w:b/>
                <w:bCs/>
                <w:szCs w:val="18"/>
                <w:lang w:eastAsia="en-AU"/>
              </w:rPr>
            </w:pPr>
            <w:r w:rsidRPr="008179FC">
              <w:rPr>
                <w:rFonts w:ascii="Meta Pro" w:eastAsia="Times New Roman" w:hAnsi="Meta Pro"/>
                <w:b/>
                <w:bCs/>
                <w:szCs w:val="18"/>
                <w:lang w:eastAsia="en-AU"/>
              </w:rPr>
              <w:t>Administered income recognised in Note 27</w:t>
            </w:r>
          </w:p>
        </w:tc>
        <w:tc>
          <w:tcPr>
            <w:tcW w:w="1173" w:type="dxa"/>
            <w:tcBorders>
              <w:top w:val="single" w:sz="4" w:space="0" w:color="auto"/>
              <w:left w:val="nil"/>
              <w:bottom w:val="double" w:sz="6" w:space="0" w:color="auto"/>
              <w:right w:val="nil"/>
            </w:tcBorders>
            <w:shd w:val="clear" w:color="000000" w:fill="C9E3B4"/>
            <w:noWrap/>
            <w:vAlign w:val="center"/>
            <w:hideMark/>
          </w:tcPr>
          <w:p w14:paraId="11208DBA" w14:textId="77777777" w:rsidR="00544F7C" w:rsidRPr="008179FC" w:rsidRDefault="00544F7C" w:rsidP="00E607DA">
            <w:pPr>
              <w:jc w:val="right"/>
              <w:rPr>
                <w:rFonts w:ascii="Meta Pro" w:eastAsia="Times New Roman" w:hAnsi="Meta Pro"/>
                <w:b/>
                <w:bCs/>
                <w:szCs w:val="18"/>
                <w:lang w:eastAsia="en-AU"/>
              </w:rPr>
            </w:pPr>
            <w:r w:rsidRPr="008179FC">
              <w:rPr>
                <w:rFonts w:ascii="Meta Pro" w:eastAsia="Times New Roman" w:hAnsi="Meta Pro"/>
                <w:b/>
                <w:bCs/>
                <w:szCs w:val="18"/>
                <w:lang w:eastAsia="en-AU"/>
              </w:rPr>
              <w:t xml:space="preserve">77,841 </w:t>
            </w:r>
          </w:p>
        </w:tc>
        <w:tc>
          <w:tcPr>
            <w:tcW w:w="134" w:type="dxa"/>
            <w:tcBorders>
              <w:top w:val="single" w:sz="4" w:space="0" w:color="auto"/>
              <w:left w:val="nil"/>
              <w:bottom w:val="double" w:sz="6" w:space="0" w:color="auto"/>
              <w:right w:val="nil"/>
            </w:tcBorders>
            <w:shd w:val="clear" w:color="auto" w:fill="auto"/>
            <w:noWrap/>
            <w:vAlign w:val="center"/>
            <w:hideMark/>
          </w:tcPr>
          <w:p w14:paraId="28E9DD5B" w14:textId="77777777" w:rsidR="00544F7C" w:rsidRPr="008179FC" w:rsidRDefault="00544F7C" w:rsidP="00E607DA">
            <w:pPr>
              <w:jc w:val="right"/>
              <w:rPr>
                <w:rFonts w:ascii="Meta Pro" w:eastAsia="Times New Roman" w:hAnsi="Meta Pro"/>
                <w:b/>
                <w:bCs/>
                <w:szCs w:val="18"/>
                <w:lang w:eastAsia="en-AU"/>
              </w:rPr>
            </w:pPr>
            <w:r w:rsidRPr="008179FC">
              <w:rPr>
                <w:rFonts w:ascii="Meta Pro" w:eastAsia="Times New Roman" w:hAnsi="Meta Pro"/>
                <w:b/>
                <w:bCs/>
                <w:szCs w:val="18"/>
                <w:lang w:eastAsia="en-AU"/>
              </w:rPr>
              <w:t> </w:t>
            </w:r>
          </w:p>
        </w:tc>
        <w:tc>
          <w:tcPr>
            <w:tcW w:w="1172" w:type="dxa"/>
            <w:tcBorders>
              <w:top w:val="single" w:sz="4" w:space="0" w:color="auto"/>
              <w:left w:val="nil"/>
              <w:bottom w:val="double" w:sz="6" w:space="0" w:color="auto"/>
              <w:right w:val="nil"/>
            </w:tcBorders>
            <w:shd w:val="clear" w:color="auto" w:fill="auto"/>
            <w:noWrap/>
            <w:vAlign w:val="center"/>
            <w:hideMark/>
          </w:tcPr>
          <w:p w14:paraId="2EDDBC29" w14:textId="77777777" w:rsidR="00544F7C" w:rsidRPr="008179FC" w:rsidRDefault="00544F7C" w:rsidP="00E607DA">
            <w:pPr>
              <w:jc w:val="right"/>
              <w:rPr>
                <w:rFonts w:ascii="Meta Pro" w:eastAsia="Times New Roman" w:hAnsi="Meta Pro"/>
                <w:b/>
                <w:bCs/>
                <w:szCs w:val="18"/>
                <w:lang w:eastAsia="en-AU"/>
              </w:rPr>
            </w:pPr>
            <w:r w:rsidRPr="008179FC">
              <w:rPr>
                <w:rFonts w:ascii="Meta Pro" w:eastAsia="Times New Roman" w:hAnsi="Meta Pro"/>
                <w:b/>
                <w:bCs/>
                <w:szCs w:val="18"/>
                <w:lang w:eastAsia="en-AU"/>
              </w:rPr>
              <w:t xml:space="preserve">66,244 </w:t>
            </w:r>
          </w:p>
        </w:tc>
      </w:tr>
    </w:tbl>
    <w:p w14:paraId="01E7F6AD" w14:textId="77777777" w:rsidR="00544F7C" w:rsidRPr="00092B22" w:rsidRDefault="00544F7C" w:rsidP="00544F7C">
      <w:pPr>
        <w:rPr>
          <w:rFonts w:ascii="Meta Pro" w:hAnsi="Meta Pro" w:cstheme="minorBidi"/>
        </w:rPr>
      </w:pPr>
    </w:p>
    <w:tbl>
      <w:tblPr>
        <w:tblW w:w="0" w:type="auto"/>
        <w:tblCellMar>
          <w:left w:w="0" w:type="dxa"/>
        </w:tblCellMar>
        <w:tblLook w:val="04A0" w:firstRow="1" w:lastRow="0" w:firstColumn="1" w:lastColumn="0" w:noHBand="0" w:noVBand="1"/>
      </w:tblPr>
      <w:tblGrid>
        <w:gridCol w:w="6584"/>
        <w:gridCol w:w="1219"/>
        <w:gridCol w:w="146"/>
        <w:gridCol w:w="1121"/>
      </w:tblGrid>
      <w:tr w:rsidR="00544F7C" w:rsidRPr="008179FC" w14:paraId="0BAE9D58" w14:textId="77777777" w:rsidTr="00E607DA">
        <w:trPr>
          <w:trHeight w:val="320"/>
        </w:trPr>
        <w:tc>
          <w:tcPr>
            <w:tcW w:w="7051" w:type="dxa"/>
            <w:tcBorders>
              <w:top w:val="nil"/>
              <w:left w:val="nil"/>
              <w:bottom w:val="nil"/>
              <w:right w:val="nil"/>
            </w:tcBorders>
            <w:shd w:val="clear" w:color="auto" w:fill="auto"/>
            <w:vAlign w:val="center"/>
            <w:hideMark/>
          </w:tcPr>
          <w:p w14:paraId="3AEF0EBC" w14:textId="77777777" w:rsidR="00544F7C" w:rsidRPr="008179FC" w:rsidRDefault="00544F7C" w:rsidP="00E607DA">
            <w:pPr>
              <w:rPr>
                <w:rFonts w:ascii="Meta Pro" w:eastAsia="Times New Roman" w:hAnsi="Meta Pro"/>
                <w:b/>
                <w:bCs/>
                <w:szCs w:val="18"/>
                <w:lang w:eastAsia="en-AU"/>
              </w:rPr>
            </w:pPr>
            <w:r w:rsidRPr="008179FC">
              <w:rPr>
                <w:rFonts w:ascii="Meta Pro" w:eastAsia="Times New Roman" w:hAnsi="Meta Pro"/>
                <w:b/>
                <w:bCs/>
                <w:szCs w:val="18"/>
                <w:lang w:eastAsia="en-AU"/>
              </w:rPr>
              <w:t>Reconciliation of payments from Consolidated Fund to administered equity adjustment</w:t>
            </w:r>
          </w:p>
        </w:tc>
        <w:tc>
          <w:tcPr>
            <w:tcW w:w="1292" w:type="dxa"/>
            <w:tcBorders>
              <w:top w:val="nil"/>
              <w:left w:val="nil"/>
              <w:bottom w:val="nil"/>
              <w:right w:val="nil"/>
            </w:tcBorders>
            <w:shd w:val="clear" w:color="auto" w:fill="auto"/>
            <w:noWrap/>
            <w:vAlign w:val="center"/>
            <w:hideMark/>
          </w:tcPr>
          <w:p w14:paraId="00150B82" w14:textId="77777777" w:rsidR="00544F7C" w:rsidRPr="008179FC" w:rsidRDefault="00544F7C" w:rsidP="00E607DA">
            <w:pPr>
              <w:rPr>
                <w:rFonts w:ascii="Meta Pro" w:eastAsia="Times New Roman" w:hAnsi="Meta Pro"/>
                <w:b/>
                <w:bCs/>
                <w:szCs w:val="18"/>
                <w:lang w:eastAsia="en-AU"/>
              </w:rPr>
            </w:pPr>
          </w:p>
        </w:tc>
        <w:tc>
          <w:tcPr>
            <w:tcW w:w="108" w:type="dxa"/>
            <w:tcBorders>
              <w:top w:val="nil"/>
              <w:left w:val="nil"/>
              <w:bottom w:val="nil"/>
              <w:right w:val="nil"/>
            </w:tcBorders>
            <w:shd w:val="clear" w:color="auto" w:fill="auto"/>
            <w:noWrap/>
            <w:vAlign w:val="center"/>
            <w:hideMark/>
          </w:tcPr>
          <w:p w14:paraId="4267301A" w14:textId="77777777" w:rsidR="00544F7C" w:rsidRPr="008179FC" w:rsidRDefault="00544F7C" w:rsidP="00E607DA">
            <w:pPr>
              <w:jc w:val="right"/>
              <w:rPr>
                <w:rFonts w:eastAsia="Times New Roman" w:cs="Times New Roman"/>
                <w:sz w:val="20"/>
                <w:szCs w:val="20"/>
                <w:lang w:eastAsia="en-AU"/>
              </w:rPr>
            </w:pPr>
          </w:p>
        </w:tc>
        <w:tc>
          <w:tcPr>
            <w:tcW w:w="1187" w:type="dxa"/>
            <w:tcBorders>
              <w:top w:val="nil"/>
              <w:left w:val="nil"/>
              <w:bottom w:val="nil"/>
              <w:right w:val="nil"/>
            </w:tcBorders>
            <w:shd w:val="clear" w:color="auto" w:fill="auto"/>
            <w:noWrap/>
            <w:vAlign w:val="center"/>
            <w:hideMark/>
          </w:tcPr>
          <w:p w14:paraId="0BAD1FEE" w14:textId="77777777" w:rsidR="00544F7C" w:rsidRPr="008179FC" w:rsidRDefault="00544F7C" w:rsidP="00E607DA">
            <w:pPr>
              <w:jc w:val="right"/>
              <w:rPr>
                <w:rFonts w:eastAsia="Times New Roman" w:cs="Times New Roman"/>
                <w:sz w:val="20"/>
                <w:szCs w:val="20"/>
                <w:lang w:eastAsia="en-AU"/>
              </w:rPr>
            </w:pPr>
          </w:p>
        </w:tc>
      </w:tr>
      <w:tr w:rsidR="00544F7C" w:rsidRPr="008179FC" w14:paraId="2C2AA7AF" w14:textId="77777777" w:rsidTr="00E607DA">
        <w:trPr>
          <w:trHeight w:val="240"/>
        </w:trPr>
        <w:tc>
          <w:tcPr>
            <w:tcW w:w="7051" w:type="dxa"/>
            <w:tcBorders>
              <w:top w:val="nil"/>
              <w:left w:val="nil"/>
              <w:bottom w:val="nil"/>
              <w:right w:val="nil"/>
            </w:tcBorders>
            <w:shd w:val="clear" w:color="auto" w:fill="auto"/>
            <w:noWrap/>
            <w:vAlign w:val="center"/>
            <w:hideMark/>
          </w:tcPr>
          <w:p w14:paraId="44D6EF11" w14:textId="77777777" w:rsidR="00544F7C" w:rsidRPr="008179FC" w:rsidRDefault="00544F7C" w:rsidP="00E607DA">
            <w:pPr>
              <w:rPr>
                <w:rFonts w:ascii="Meta Pro" w:eastAsia="Times New Roman" w:hAnsi="Meta Pro"/>
                <w:szCs w:val="18"/>
                <w:lang w:eastAsia="en-AU"/>
              </w:rPr>
            </w:pPr>
            <w:r w:rsidRPr="008179FC">
              <w:rPr>
                <w:rFonts w:ascii="Meta Pro" w:eastAsia="Times New Roman" w:hAnsi="Meta Pro"/>
                <w:szCs w:val="18"/>
                <w:lang w:eastAsia="en-AU"/>
              </w:rPr>
              <w:t>Budgeted administered equity adjustment appropriation</w:t>
            </w:r>
          </w:p>
        </w:tc>
        <w:tc>
          <w:tcPr>
            <w:tcW w:w="1292" w:type="dxa"/>
            <w:tcBorders>
              <w:top w:val="nil"/>
              <w:left w:val="nil"/>
              <w:bottom w:val="nil"/>
              <w:right w:val="nil"/>
            </w:tcBorders>
            <w:shd w:val="clear" w:color="000000" w:fill="C9E3B4"/>
            <w:noWrap/>
            <w:vAlign w:val="center"/>
            <w:hideMark/>
          </w:tcPr>
          <w:p w14:paraId="049E3E90" w14:textId="77777777" w:rsidR="00544F7C" w:rsidRPr="008179FC" w:rsidRDefault="00544F7C" w:rsidP="00E607DA">
            <w:pPr>
              <w:jc w:val="right"/>
              <w:rPr>
                <w:rFonts w:ascii="Meta Pro" w:eastAsia="Times New Roman" w:hAnsi="Meta Pro"/>
                <w:szCs w:val="18"/>
                <w:lang w:eastAsia="en-AU"/>
              </w:rPr>
            </w:pPr>
            <w:r w:rsidRPr="008179FC">
              <w:rPr>
                <w:rFonts w:ascii="Meta Pro" w:eastAsia="Times New Roman" w:hAnsi="Meta Pro"/>
                <w:szCs w:val="18"/>
                <w:lang w:eastAsia="en-AU"/>
              </w:rPr>
              <w:t xml:space="preserve">1,544,448 </w:t>
            </w:r>
          </w:p>
        </w:tc>
        <w:tc>
          <w:tcPr>
            <w:tcW w:w="108" w:type="dxa"/>
            <w:tcBorders>
              <w:top w:val="nil"/>
              <w:left w:val="nil"/>
              <w:bottom w:val="nil"/>
              <w:right w:val="nil"/>
            </w:tcBorders>
            <w:shd w:val="clear" w:color="auto" w:fill="auto"/>
            <w:noWrap/>
            <w:vAlign w:val="center"/>
            <w:hideMark/>
          </w:tcPr>
          <w:p w14:paraId="45D2D68E" w14:textId="77777777" w:rsidR="00544F7C" w:rsidRPr="008179FC" w:rsidRDefault="00544F7C" w:rsidP="00E607DA">
            <w:pPr>
              <w:jc w:val="right"/>
              <w:rPr>
                <w:rFonts w:ascii="Meta Pro" w:eastAsia="Times New Roman" w:hAnsi="Meta Pro"/>
                <w:szCs w:val="18"/>
                <w:lang w:eastAsia="en-AU"/>
              </w:rPr>
            </w:pPr>
          </w:p>
        </w:tc>
        <w:tc>
          <w:tcPr>
            <w:tcW w:w="1187" w:type="dxa"/>
            <w:tcBorders>
              <w:top w:val="nil"/>
              <w:left w:val="nil"/>
              <w:bottom w:val="nil"/>
              <w:right w:val="nil"/>
            </w:tcBorders>
            <w:shd w:val="clear" w:color="auto" w:fill="auto"/>
            <w:noWrap/>
            <w:vAlign w:val="center"/>
            <w:hideMark/>
          </w:tcPr>
          <w:p w14:paraId="447DE0EC" w14:textId="77777777" w:rsidR="00544F7C" w:rsidRPr="008179FC" w:rsidRDefault="00544F7C" w:rsidP="00E607DA">
            <w:pPr>
              <w:jc w:val="right"/>
              <w:rPr>
                <w:rFonts w:ascii="Meta Pro" w:eastAsia="Times New Roman" w:hAnsi="Meta Pro"/>
                <w:szCs w:val="18"/>
                <w:lang w:eastAsia="en-AU"/>
              </w:rPr>
            </w:pPr>
            <w:r w:rsidRPr="008179FC">
              <w:rPr>
                <w:rFonts w:ascii="Meta Pro" w:eastAsia="Times New Roman" w:hAnsi="Meta Pro"/>
                <w:szCs w:val="18"/>
                <w:lang w:eastAsia="en-AU"/>
              </w:rPr>
              <w:t xml:space="preserve">547,318 </w:t>
            </w:r>
          </w:p>
        </w:tc>
      </w:tr>
      <w:tr w:rsidR="00544F7C" w:rsidRPr="008179FC" w14:paraId="2EE66CFB" w14:textId="77777777" w:rsidTr="00E607DA">
        <w:trPr>
          <w:trHeight w:val="240"/>
        </w:trPr>
        <w:tc>
          <w:tcPr>
            <w:tcW w:w="7051" w:type="dxa"/>
            <w:tcBorders>
              <w:top w:val="nil"/>
              <w:left w:val="nil"/>
              <w:bottom w:val="nil"/>
              <w:right w:val="nil"/>
            </w:tcBorders>
            <w:shd w:val="clear" w:color="auto" w:fill="auto"/>
            <w:noWrap/>
            <w:vAlign w:val="center"/>
            <w:hideMark/>
          </w:tcPr>
          <w:p w14:paraId="7B6FB844" w14:textId="77777777" w:rsidR="00544F7C" w:rsidRPr="008179FC" w:rsidRDefault="00544F7C" w:rsidP="00E607DA">
            <w:pPr>
              <w:rPr>
                <w:rFonts w:ascii="Meta Pro" w:eastAsia="Times New Roman" w:hAnsi="Meta Pro"/>
                <w:szCs w:val="18"/>
                <w:lang w:eastAsia="en-AU"/>
              </w:rPr>
            </w:pPr>
            <w:r w:rsidRPr="008179FC">
              <w:rPr>
                <w:rFonts w:ascii="Meta Pro" w:eastAsia="Times New Roman" w:hAnsi="Meta Pro"/>
                <w:szCs w:val="18"/>
                <w:lang w:eastAsia="en-AU"/>
              </w:rPr>
              <w:t xml:space="preserve">Transfers </w:t>
            </w:r>
            <w:r>
              <w:rPr>
                <w:rFonts w:ascii="Meta Pro" w:eastAsia="Times New Roman" w:hAnsi="Meta Pro"/>
                <w:szCs w:val="18"/>
                <w:lang w:eastAsia="en-AU"/>
              </w:rPr>
              <w:t>to</w:t>
            </w:r>
            <w:r w:rsidRPr="008179FC">
              <w:rPr>
                <w:rFonts w:ascii="Meta Pro" w:eastAsia="Times New Roman" w:hAnsi="Meta Pro"/>
                <w:szCs w:val="18"/>
                <w:lang w:eastAsia="en-AU"/>
              </w:rPr>
              <w:t xml:space="preserve"> other headings</w:t>
            </w:r>
          </w:p>
        </w:tc>
        <w:tc>
          <w:tcPr>
            <w:tcW w:w="1292" w:type="dxa"/>
            <w:tcBorders>
              <w:top w:val="nil"/>
              <w:left w:val="nil"/>
              <w:bottom w:val="nil"/>
              <w:right w:val="nil"/>
            </w:tcBorders>
            <w:shd w:val="clear" w:color="000000" w:fill="C9E3B4"/>
            <w:noWrap/>
            <w:vAlign w:val="center"/>
            <w:hideMark/>
          </w:tcPr>
          <w:p w14:paraId="07FD04CA" w14:textId="77777777" w:rsidR="00544F7C" w:rsidRPr="008179FC" w:rsidRDefault="00544F7C" w:rsidP="00E607DA">
            <w:pPr>
              <w:jc w:val="right"/>
              <w:rPr>
                <w:rFonts w:ascii="Meta Pro" w:eastAsia="Times New Roman" w:hAnsi="Meta Pro"/>
                <w:szCs w:val="18"/>
                <w:lang w:eastAsia="en-AU"/>
              </w:rPr>
            </w:pPr>
            <w:r w:rsidRPr="008179FC">
              <w:rPr>
                <w:rFonts w:ascii="Meta Pro" w:eastAsia="Times New Roman" w:hAnsi="Meta Pro"/>
                <w:szCs w:val="18"/>
                <w:lang w:eastAsia="en-AU"/>
              </w:rPr>
              <w:t>(55,594)</w:t>
            </w:r>
          </w:p>
        </w:tc>
        <w:tc>
          <w:tcPr>
            <w:tcW w:w="108" w:type="dxa"/>
            <w:tcBorders>
              <w:top w:val="nil"/>
              <w:left w:val="nil"/>
              <w:bottom w:val="nil"/>
              <w:right w:val="nil"/>
            </w:tcBorders>
            <w:shd w:val="clear" w:color="auto" w:fill="auto"/>
            <w:noWrap/>
            <w:vAlign w:val="center"/>
            <w:hideMark/>
          </w:tcPr>
          <w:p w14:paraId="10AD6512" w14:textId="77777777" w:rsidR="00544F7C" w:rsidRPr="008179FC" w:rsidRDefault="00544F7C" w:rsidP="00E607DA">
            <w:pPr>
              <w:jc w:val="right"/>
              <w:rPr>
                <w:rFonts w:ascii="Meta Pro" w:eastAsia="Times New Roman" w:hAnsi="Meta Pro"/>
                <w:szCs w:val="18"/>
                <w:lang w:eastAsia="en-AU"/>
              </w:rPr>
            </w:pPr>
          </w:p>
        </w:tc>
        <w:tc>
          <w:tcPr>
            <w:tcW w:w="1187" w:type="dxa"/>
            <w:tcBorders>
              <w:top w:val="nil"/>
              <w:left w:val="nil"/>
              <w:bottom w:val="nil"/>
              <w:right w:val="nil"/>
            </w:tcBorders>
            <w:shd w:val="clear" w:color="auto" w:fill="auto"/>
            <w:noWrap/>
            <w:vAlign w:val="center"/>
            <w:hideMark/>
          </w:tcPr>
          <w:p w14:paraId="670B130B" w14:textId="77777777" w:rsidR="00544F7C" w:rsidRPr="008179FC" w:rsidRDefault="00544F7C" w:rsidP="00E607DA">
            <w:pPr>
              <w:jc w:val="right"/>
              <w:rPr>
                <w:rFonts w:ascii="Meta Pro" w:eastAsia="Times New Roman" w:hAnsi="Meta Pro"/>
                <w:szCs w:val="18"/>
                <w:lang w:eastAsia="en-AU"/>
              </w:rPr>
            </w:pPr>
            <w:r w:rsidRPr="008179FC">
              <w:rPr>
                <w:rFonts w:ascii="Meta Pro" w:eastAsia="Times New Roman" w:hAnsi="Meta Pro"/>
                <w:szCs w:val="18"/>
                <w:lang w:eastAsia="en-AU"/>
              </w:rPr>
              <w:t>(304,026)</w:t>
            </w:r>
          </w:p>
        </w:tc>
      </w:tr>
      <w:tr w:rsidR="00544F7C" w:rsidRPr="008179FC" w14:paraId="68697F30" w14:textId="77777777" w:rsidTr="00E607DA">
        <w:trPr>
          <w:trHeight w:val="240"/>
        </w:trPr>
        <w:tc>
          <w:tcPr>
            <w:tcW w:w="7051" w:type="dxa"/>
            <w:tcBorders>
              <w:top w:val="nil"/>
              <w:left w:val="nil"/>
              <w:bottom w:val="single" w:sz="4" w:space="0" w:color="auto"/>
              <w:right w:val="nil"/>
            </w:tcBorders>
            <w:shd w:val="clear" w:color="auto" w:fill="auto"/>
            <w:noWrap/>
            <w:vAlign w:val="center"/>
            <w:hideMark/>
          </w:tcPr>
          <w:p w14:paraId="58EFA6CF" w14:textId="77777777" w:rsidR="00544F7C" w:rsidRPr="008179FC" w:rsidRDefault="00544F7C" w:rsidP="00E607DA">
            <w:pPr>
              <w:rPr>
                <w:rFonts w:ascii="Meta Pro" w:eastAsia="Times New Roman" w:hAnsi="Meta Pro"/>
                <w:szCs w:val="18"/>
                <w:lang w:eastAsia="en-AU"/>
              </w:rPr>
            </w:pPr>
            <w:r w:rsidRPr="008179FC">
              <w:rPr>
                <w:rFonts w:ascii="Meta Pro" w:eastAsia="Times New Roman" w:hAnsi="Meta Pro"/>
                <w:szCs w:val="18"/>
                <w:lang w:eastAsia="en-AU"/>
              </w:rPr>
              <w:lastRenderedPageBreak/>
              <w:t>Lapsed administered equity adjustment</w:t>
            </w:r>
          </w:p>
        </w:tc>
        <w:tc>
          <w:tcPr>
            <w:tcW w:w="1292" w:type="dxa"/>
            <w:tcBorders>
              <w:top w:val="nil"/>
              <w:left w:val="nil"/>
              <w:bottom w:val="single" w:sz="4" w:space="0" w:color="auto"/>
              <w:right w:val="nil"/>
            </w:tcBorders>
            <w:shd w:val="clear" w:color="000000" w:fill="C9E3B4"/>
            <w:noWrap/>
            <w:vAlign w:val="center"/>
            <w:hideMark/>
          </w:tcPr>
          <w:p w14:paraId="7CDF33EE" w14:textId="77777777" w:rsidR="00544F7C" w:rsidRPr="008179FC" w:rsidRDefault="00544F7C" w:rsidP="00E607DA">
            <w:pPr>
              <w:jc w:val="right"/>
              <w:rPr>
                <w:rFonts w:ascii="Meta Pro" w:eastAsia="Times New Roman" w:hAnsi="Meta Pro"/>
                <w:szCs w:val="18"/>
                <w:lang w:eastAsia="en-AU"/>
              </w:rPr>
            </w:pPr>
            <w:r w:rsidRPr="008179FC">
              <w:rPr>
                <w:rFonts w:ascii="Meta Pro" w:eastAsia="Times New Roman" w:hAnsi="Meta Pro"/>
                <w:szCs w:val="18"/>
                <w:lang w:eastAsia="en-AU"/>
              </w:rPr>
              <w:t>-</w:t>
            </w:r>
          </w:p>
        </w:tc>
        <w:tc>
          <w:tcPr>
            <w:tcW w:w="108" w:type="dxa"/>
            <w:tcBorders>
              <w:top w:val="nil"/>
              <w:left w:val="nil"/>
              <w:bottom w:val="single" w:sz="4" w:space="0" w:color="auto"/>
              <w:right w:val="nil"/>
            </w:tcBorders>
            <w:shd w:val="clear" w:color="auto" w:fill="auto"/>
            <w:noWrap/>
            <w:vAlign w:val="center"/>
            <w:hideMark/>
          </w:tcPr>
          <w:p w14:paraId="19D81E69" w14:textId="77777777" w:rsidR="00544F7C" w:rsidRPr="008179FC" w:rsidRDefault="00544F7C" w:rsidP="00E607DA">
            <w:pPr>
              <w:jc w:val="right"/>
              <w:rPr>
                <w:rFonts w:ascii="Meta Pro" w:eastAsia="Times New Roman" w:hAnsi="Meta Pro"/>
                <w:b/>
                <w:bCs/>
                <w:szCs w:val="18"/>
                <w:lang w:eastAsia="en-AU"/>
              </w:rPr>
            </w:pPr>
            <w:r w:rsidRPr="008179FC">
              <w:rPr>
                <w:rFonts w:ascii="Meta Pro" w:eastAsia="Times New Roman" w:hAnsi="Meta Pro"/>
                <w:b/>
                <w:bCs/>
                <w:szCs w:val="18"/>
                <w:lang w:eastAsia="en-AU"/>
              </w:rPr>
              <w:t> </w:t>
            </w:r>
          </w:p>
        </w:tc>
        <w:tc>
          <w:tcPr>
            <w:tcW w:w="1187" w:type="dxa"/>
            <w:tcBorders>
              <w:top w:val="nil"/>
              <w:left w:val="nil"/>
              <w:bottom w:val="single" w:sz="4" w:space="0" w:color="auto"/>
              <w:right w:val="nil"/>
            </w:tcBorders>
            <w:shd w:val="clear" w:color="auto" w:fill="auto"/>
            <w:noWrap/>
            <w:vAlign w:val="center"/>
            <w:hideMark/>
          </w:tcPr>
          <w:p w14:paraId="131359D2" w14:textId="77777777" w:rsidR="00544F7C" w:rsidRPr="008179FC" w:rsidRDefault="00544F7C" w:rsidP="00E607DA">
            <w:pPr>
              <w:jc w:val="right"/>
              <w:rPr>
                <w:rFonts w:ascii="Meta Pro" w:eastAsia="Times New Roman" w:hAnsi="Meta Pro"/>
                <w:szCs w:val="18"/>
                <w:lang w:eastAsia="en-AU"/>
              </w:rPr>
            </w:pPr>
            <w:r w:rsidRPr="008179FC">
              <w:rPr>
                <w:rFonts w:ascii="Meta Pro" w:eastAsia="Times New Roman" w:hAnsi="Meta Pro"/>
                <w:szCs w:val="18"/>
                <w:lang w:eastAsia="en-AU"/>
              </w:rPr>
              <w:t>(105,000)</w:t>
            </w:r>
          </w:p>
        </w:tc>
      </w:tr>
      <w:tr w:rsidR="00544F7C" w:rsidRPr="008179FC" w14:paraId="5A6C9D6C" w14:textId="77777777" w:rsidTr="00E607DA">
        <w:trPr>
          <w:trHeight w:val="240"/>
        </w:trPr>
        <w:tc>
          <w:tcPr>
            <w:tcW w:w="7051" w:type="dxa"/>
            <w:tcBorders>
              <w:top w:val="nil"/>
              <w:left w:val="nil"/>
              <w:bottom w:val="nil"/>
              <w:right w:val="nil"/>
            </w:tcBorders>
            <w:shd w:val="clear" w:color="auto" w:fill="auto"/>
            <w:noWrap/>
            <w:vAlign w:val="center"/>
            <w:hideMark/>
          </w:tcPr>
          <w:p w14:paraId="32415398" w14:textId="77777777" w:rsidR="00544F7C" w:rsidRPr="008179FC" w:rsidRDefault="00544F7C" w:rsidP="00E607DA">
            <w:pPr>
              <w:rPr>
                <w:rFonts w:ascii="Meta Pro" w:eastAsia="Times New Roman" w:hAnsi="Meta Pro"/>
                <w:szCs w:val="18"/>
                <w:lang w:eastAsia="en-AU"/>
              </w:rPr>
            </w:pPr>
            <w:r w:rsidRPr="008179FC">
              <w:rPr>
                <w:rFonts w:ascii="Meta Pro" w:eastAsia="Times New Roman" w:hAnsi="Meta Pro"/>
                <w:szCs w:val="18"/>
                <w:lang w:eastAsia="en-AU"/>
              </w:rPr>
              <w:t>Total administered equity adjustment receipts</w:t>
            </w:r>
          </w:p>
        </w:tc>
        <w:tc>
          <w:tcPr>
            <w:tcW w:w="1292" w:type="dxa"/>
            <w:tcBorders>
              <w:top w:val="nil"/>
              <w:left w:val="nil"/>
              <w:bottom w:val="nil"/>
              <w:right w:val="nil"/>
            </w:tcBorders>
            <w:shd w:val="clear" w:color="000000" w:fill="C9E3B4"/>
            <w:noWrap/>
            <w:vAlign w:val="center"/>
            <w:hideMark/>
          </w:tcPr>
          <w:p w14:paraId="0F30AB10" w14:textId="77777777" w:rsidR="00544F7C" w:rsidRPr="008179FC" w:rsidRDefault="00544F7C" w:rsidP="00E607DA">
            <w:pPr>
              <w:jc w:val="right"/>
              <w:rPr>
                <w:rFonts w:ascii="Meta Pro" w:eastAsia="Times New Roman" w:hAnsi="Meta Pro"/>
                <w:szCs w:val="18"/>
                <w:lang w:eastAsia="en-AU"/>
              </w:rPr>
            </w:pPr>
            <w:r w:rsidRPr="008179FC">
              <w:rPr>
                <w:rFonts w:ascii="Meta Pro" w:eastAsia="Times New Roman" w:hAnsi="Meta Pro"/>
                <w:szCs w:val="18"/>
                <w:lang w:eastAsia="en-AU"/>
              </w:rPr>
              <w:t xml:space="preserve">1,488,854 </w:t>
            </w:r>
          </w:p>
        </w:tc>
        <w:tc>
          <w:tcPr>
            <w:tcW w:w="108" w:type="dxa"/>
            <w:tcBorders>
              <w:top w:val="nil"/>
              <w:left w:val="nil"/>
              <w:bottom w:val="nil"/>
              <w:right w:val="nil"/>
            </w:tcBorders>
            <w:shd w:val="clear" w:color="auto" w:fill="auto"/>
            <w:noWrap/>
            <w:vAlign w:val="center"/>
            <w:hideMark/>
          </w:tcPr>
          <w:p w14:paraId="591F4B2B" w14:textId="77777777" w:rsidR="00544F7C" w:rsidRPr="008179FC" w:rsidRDefault="00544F7C" w:rsidP="00E607DA">
            <w:pPr>
              <w:jc w:val="right"/>
              <w:rPr>
                <w:rFonts w:ascii="Meta Pro" w:eastAsia="Times New Roman" w:hAnsi="Meta Pro"/>
                <w:szCs w:val="18"/>
                <w:lang w:eastAsia="en-AU"/>
              </w:rPr>
            </w:pPr>
          </w:p>
        </w:tc>
        <w:tc>
          <w:tcPr>
            <w:tcW w:w="1187" w:type="dxa"/>
            <w:tcBorders>
              <w:top w:val="nil"/>
              <w:left w:val="nil"/>
              <w:bottom w:val="nil"/>
              <w:right w:val="nil"/>
            </w:tcBorders>
            <w:shd w:val="clear" w:color="auto" w:fill="auto"/>
            <w:noWrap/>
            <w:vAlign w:val="center"/>
            <w:hideMark/>
          </w:tcPr>
          <w:p w14:paraId="20939FF7" w14:textId="77777777" w:rsidR="00544F7C" w:rsidRPr="008179FC" w:rsidRDefault="00544F7C" w:rsidP="00E607DA">
            <w:pPr>
              <w:jc w:val="right"/>
              <w:rPr>
                <w:rFonts w:ascii="Meta Pro" w:eastAsia="Times New Roman" w:hAnsi="Meta Pro"/>
                <w:szCs w:val="18"/>
                <w:lang w:eastAsia="en-AU"/>
              </w:rPr>
            </w:pPr>
            <w:r w:rsidRPr="008179FC">
              <w:rPr>
                <w:rFonts w:ascii="Meta Pro" w:eastAsia="Times New Roman" w:hAnsi="Meta Pro"/>
                <w:szCs w:val="18"/>
                <w:lang w:eastAsia="en-AU"/>
              </w:rPr>
              <w:t xml:space="preserve">138,292 </w:t>
            </w:r>
          </w:p>
        </w:tc>
      </w:tr>
      <w:tr w:rsidR="00544F7C" w:rsidRPr="008179FC" w14:paraId="2E4CDA19" w14:textId="77777777" w:rsidTr="00E607DA">
        <w:trPr>
          <w:trHeight w:val="240"/>
        </w:trPr>
        <w:tc>
          <w:tcPr>
            <w:tcW w:w="7051" w:type="dxa"/>
            <w:tcBorders>
              <w:top w:val="nil"/>
              <w:left w:val="nil"/>
              <w:bottom w:val="nil"/>
              <w:right w:val="nil"/>
            </w:tcBorders>
            <w:shd w:val="clear" w:color="auto" w:fill="auto"/>
            <w:noWrap/>
            <w:vAlign w:val="center"/>
            <w:hideMark/>
          </w:tcPr>
          <w:p w14:paraId="13E01825" w14:textId="77777777" w:rsidR="00544F7C" w:rsidRPr="008179FC" w:rsidRDefault="00544F7C" w:rsidP="00E607DA">
            <w:pPr>
              <w:rPr>
                <w:rFonts w:ascii="Meta Pro" w:eastAsia="Times New Roman" w:hAnsi="Meta Pro"/>
                <w:szCs w:val="18"/>
                <w:lang w:eastAsia="en-AU"/>
              </w:rPr>
            </w:pPr>
            <w:r w:rsidRPr="008179FC">
              <w:rPr>
                <w:rFonts w:ascii="Meta Pro" w:eastAsia="Times New Roman" w:hAnsi="Meta Pro"/>
                <w:szCs w:val="18"/>
                <w:lang w:eastAsia="en-AU"/>
              </w:rPr>
              <w:t>Plus: Opening balance of administered equity adjustment payable</w:t>
            </w:r>
          </w:p>
        </w:tc>
        <w:tc>
          <w:tcPr>
            <w:tcW w:w="1292" w:type="dxa"/>
            <w:tcBorders>
              <w:top w:val="nil"/>
              <w:left w:val="nil"/>
              <w:bottom w:val="nil"/>
              <w:right w:val="nil"/>
            </w:tcBorders>
            <w:shd w:val="clear" w:color="000000" w:fill="C9E3B4"/>
            <w:noWrap/>
            <w:vAlign w:val="center"/>
            <w:hideMark/>
          </w:tcPr>
          <w:p w14:paraId="170B0A1A" w14:textId="77777777" w:rsidR="00544F7C" w:rsidRPr="008179FC" w:rsidRDefault="00544F7C" w:rsidP="00E607DA">
            <w:pPr>
              <w:jc w:val="right"/>
              <w:rPr>
                <w:rFonts w:ascii="Meta Pro" w:eastAsia="Times New Roman" w:hAnsi="Meta Pro"/>
                <w:szCs w:val="18"/>
                <w:lang w:eastAsia="en-AU"/>
              </w:rPr>
            </w:pPr>
            <w:r w:rsidRPr="008179FC">
              <w:rPr>
                <w:rFonts w:ascii="Meta Pro" w:eastAsia="Times New Roman" w:hAnsi="Meta Pro"/>
                <w:szCs w:val="18"/>
                <w:lang w:eastAsia="en-AU"/>
              </w:rPr>
              <w:t xml:space="preserve">1,000 </w:t>
            </w:r>
          </w:p>
        </w:tc>
        <w:tc>
          <w:tcPr>
            <w:tcW w:w="108" w:type="dxa"/>
            <w:tcBorders>
              <w:top w:val="nil"/>
              <w:left w:val="nil"/>
              <w:bottom w:val="nil"/>
              <w:right w:val="nil"/>
            </w:tcBorders>
            <w:shd w:val="clear" w:color="auto" w:fill="auto"/>
            <w:noWrap/>
            <w:vAlign w:val="center"/>
            <w:hideMark/>
          </w:tcPr>
          <w:p w14:paraId="1D8F45F0" w14:textId="77777777" w:rsidR="00544F7C" w:rsidRPr="008179FC" w:rsidRDefault="00544F7C" w:rsidP="00E607DA">
            <w:pPr>
              <w:jc w:val="right"/>
              <w:rPr>
                <w:rFonts w:ascii="Meta Pro" w:eastAsia="Times New Roman" w:hAnsi="Meta Pro"/>
                <w:szCs w:val="18"/>
                <w:lang w:eastAsia="en-AU"/>
              </w:rPr>
            </w:pPr>
          </w:p>
        </w:tc>
        <w:tc>
          <w:tcPr>
            <w:tcW w:w="1187" w:type="dxa"/>
            <w:tcBorders>
              <w:top w:val="nil"/>
              <w:left w:val="nil"/>
              <w:bottom w:val="nil"/>
              <w:right w:val="nil"/>
            </w:tcBorders>
            <w:shd w:val="clear" w:color="auto" w:fill="auto"/>
            <w:noWrap/>
            <w:vAlign w:val="center"/>
            <w:hideMark/>
          </w:tcPr>
          <w:p w14:paraId="1C7ACE66" w14:textId="77777777" w:rsidR="00544F7C" w:rsidRPr="008179FC" w:rsidRDefault="00544F7C" w:rsidP="00E607DA">
            <w:pPr>
              <w:jc w:val="right"/>
              <w:rPr>
                <w:rFonts w:ascii="Meta Pro" w:eastAsia="Times New Roman" w:hAnsi="Meta Pro"/>
                <w:szCs w:val="18"/>
                <w:lang w:eastAsia="en-AU"/>
              </w:rPr>
            </w:pPr>
            <w:r w:rsidRPr="008179FC">
              <w:rPr>
                <w:rFonts w:ascii="Meta Pro" w:eastAsia="Times New Roman" w:hAnsi="Meta Pro"/>
                <w:szCs w:val="18"/>
                <w:lang w:eastAsia="en-AU"/>
              </w:rPr>
              <w:t xml:space="preserve">- </w:t>
            </w:r>
          </w:p>
        </w:tc>
      </w:tr>
      <w:tr w:rsidR="00544F7C" w:rsidRPr="008179FC" w14:paraId="55DF2276" w14:textId="77777777" w:rsidTr="00E607DA">
        <w:trPr>
          <w:trHeight w:val="240"/>
        </w:trPr>
        <w:tc>
          <w:tcPr>
            <w:tcW w:w="7051" w:type="dxa"/>
            <w:tcBorders>
              <w:top w:val="nil"/>
              <w:left w:val="nil"/>
              <w:bottom w:val="nil"/>
              <w:right w:val="nil"/>
            </w:tcBorders>
            <w:shd w:val="clear" w:color="auto" w:fill="auto"/>
            <w:noWrap/>
            <w:vAlign w:val="center"/>
            <w:hideMark/>
          </w:tcPr>
          <w:p w14:paraId="5557D004" w14:textId="77777777" w:rsidR="00544F7C" w:rsidRPr="008179FC" w:rsidRDefault="00544F7C" w:rsidP="00E607DA">
            <w:pPr>
              <w:rPr>
                <w:rFonts w:ascii="Meta Pro" w:eastAsia="Times New Roman" w:hAnsi="Meta Pro"/>
                <w:szCs w:val="18"/>
                <w:lang w:eastAsia="en-AU"/>
              </w:rPr>
            </w:pPr>
            <w:r w:rsidRPr="008179FC">
              <w:rPr>
                <w:rFonts w:ascii="Meta Pro" w:eastAsia="Times New Roman" w:hAnsi="Meta Pro"/>
                <w:szCs w:val="18"/>
                <w:lang w:eastAsia="en-AU"/>
              </w:rPr>
              <w:t>Less: Closing balance of administered equity adjustment payable</w:t>
            </w:r>
          </w:p>
        </w:tc>
        <w:tc>
          <w:tcPr>
            <w:tcW w:w="1292" w:type="dxa"/>
            <w:tcBorders>
              <w:top w:val="nil"/>
              <w:left w:val="nil"/>
              <w:bottom w:val="nil"/>
              <w:right w:val="nil"/>
            </w:tcBorders>
            <w:shd w:val="clear" w:color="000000" w:fill="C9E3B4"/>
            <w:noWrap/>
            <w:vAlign w:val="center"/>
            <w:hideMark/>
          </w:tcPr>
          <w:p w14:paraId="24D4089D" w14:textId="77777777" w:rsidR="00544F7C" w:rsidRPr="008179FC" w:rsidRDefault="00544F7C" w:rsidP="00E607DA">
            <w:pPr>
              <w:jc w:val="right"/>
              <w:rPr>
                <w:rFonts w:ascii="Meta Pro" w:eastAsia="Times New Roman" w:hAnsi="Meta Pro"/>
                <w:szCs w:val="18"/>
                <w:lang w:eastAsia="en-AU"/>
              </w:rPr>
            </w:pPr>
            <w:r w:rsidRPr="008179FC">
              <w:rPr>
                <w:rFonts w:ascii="Meta Pro" w:eastAsia="Times New Roman" w:hAnsi="Meta Pro"/>
                <w:szCs w:val="18"/>
                <w:lang w:eastAsia="en-AU"/>
              </w:rPr>
              <w:t xml:space="preserve">- </w:t>
            </w:r>
          </w:p>
        </w:tc>
        <w:tc>
          <w:tcPr>
            <w:tcW w:w="108" w:type="dxa"/>
            <w:tcBorders>
              <w:top w:val="nil"/>
              <w:left w:val="nil"/>
              <w:bottom w:val="nil"/>
              <w:right w:val="nil"/>
            </w:tcBorders>
            <w:shd w:val="clear" w:color="auto" w:fill="auto"/>
            <w:noWrap/>
            <w:vAlign w:val="center"/>
            <w:hideMark/>
          </w:tcPr>
          <w:p w14:paraId="755B3CBC" w14:textId="77777777" w:rsidR="00544F7C" w:rsidRPr="008179FC" w:rsidRDefault="00544F7C" w:rsidP="00E607DA">
            <w:pPr>
              <w:jc w:val="right"/>
              <w:rPr>
                <w:rFonts w:ascii="Meta Pro" w:eastAsia="Times New Roman" w:hAnsi="Meta Pro"/>
                <w:szCs w:val="18"/>
                <w:lang w:eastAsia="en-AU"/>
              </w:rPr>
            </w:pPr>
          </w:p>
        </w:tc>
        <w:tc>
          <w:tcPr>
            <w:tcW w:w="1187" w:type="dxa"/>
            <w:tcBorders>
              <w:top w:val="nil"/>
              <w:left w:val="nil"/>
              <w:bottom w:val="nil"/>
              <w:right w:val="nil"/>
            </w:tcBorders>
            <w:shd w:val="clear" w:color="auto" w:fill="auto"/>
            <w:noWrap/>
            <w:vAlign w:val="center"/>
            <w:hideMark/>
          </w:tcPr>
          <w:p w14:paraId="4835DFFF" w14:textId="77777777" w:rsidR="00544F7C" w:rsidRPr="008179FC" w:rsidRDefault="00544F7C" w:rsidP="00E607DA">
            <w:pPr>
              <w:jc w:val="right"/>
              <w:rPr>
                <w:rFonts w:ascii="Meta Pro" w:eastAsia="Times New Roman" w:hAnsi="Meta Pro"/>
                <w:szCs w:val="18"/>
                <w:lang w:eastAsia="en-AU"/>
              </w:rPr>
            </w:pPr>
            <w:r w:rsidRPr="008179FC">
              <w:rPr>
                <w:rFonts w:ascii="Meta Pro" w:eastAsia="Times New Roman" w:hAnsi="Meta Pro"/>
                <w:szCs w:val="18"/>
                <w:lang w:eastAsia="en-AU"/>
              </w:rPr>
              <w:t>(1,000)</w:t>
            </w:r>
          </w:p>
        </w:tc>
      </w:tr>
      <w:tr w:rsidR="00544F7C" w:rsidRPr="008179FC" w14:paraId="64454420" w14:textId="77777777" w:rsidTr="00E607DA">
        <w:trPr>
          <w:trHeight w:val="240"/>
        </w:trPr>
        <w:tc>
          <w:tcPr>
            <w:tcW w:w="7051" w:type="dxa"/>
            <w:tcBorders>
              <w:top w:val="single" w:sz="4" w:space="0" w:color="auto"/>
              <w:left w:val="nil"/>
              <w:bottom w:val="double" w:sz="6" w:space="0" w:color="auto"/>
              <w:right w:val="nil"/>
            </w:tcBorders>
            <w:shd w:val="clear" w:color="auto" w:fill="auto"/>
            <w:noWrap/>
            <w:vAlign w:val="center"/>
            <w:hideMark/>
          </w:tcPr>
          <w:p w14:paraId="6C39E720" w14:textId="77777777" w:rsidR="00544F7C" w:rsidRPr="008179FC" w:rsidRDefault="00544F7C" w:rsidP="00E607DA">
            <w:pPr>
              <w:rPr>
                <w:rFonts w:ascii="Meta Pro" w:eastAsia="Times New Roman" w:hAnsi="Meta Pro"/>
                <w:b/>
                <w:bCs/>
                <w:szCs w:val="18"/>
                <w:lang w:eastAsia="en-AU"/>
              </w:rPr>
            </w:pPr>
            <w:r w:rsidRPr="008179FC">
              <w:rPr>
                <w:rFonts w:ascii="Meta Pro" w:eastAsia="Times New Roman" w:hAnsi="Meta Pro"/>
                <w:b/>
                <w:bCs/>
                <w:szCs w:val="18"/>
                <w:lang w:eastAsia="en-AU"/>
              </w:rPr>
              <w:t>Administered equity adjustment recognised in contributed equity</w:t>
            </w:r>
          </w:p>
        </w:tc>
        <w:tc>
          <w:tcPr>
            <w:tcW w:w="1292" w:type="dxa"/>
            <w:tcBorders>
              <w:top w:val="single" w:sz="4" w:space="0" w:color="auto"/>
              <w:left w:val="nil"/>
              <w:bottom w:val="double" w:sz="6" w:space="0" w:color="auto"/>
              <w:right w:val="nil"/>
            </w:tcBorders>
            <w:shd w:val="clear" w:color="000000" w:fill="C9E3B4"/>
            <w:noWrap/>
            <w:vAlign w:val="center"/>
            <w:hideMark/>
          </w:tcPr>
          <w:p w14:paraId="0464A3CD" w14:textId="77777777" w:rsidR="00544F7C" w:rsidRPr="008179FC" w:rsidRDefault="00544F7C" w:rsidP="00E607DA">
            <w:pPr>
              <w:jc w:val="right"/>
              <w:rPr>
                <w:rFonts w:ascii="Meta Pro" w:eastAsia="Times New Roman" w:hAnsi="Meta Pro"/>
                <w:b/>
                <w:bCs/>
                <w:szCs w:val="18"/>
                <w:lang w:eastAsia="en-AU"/>
              </w:rPr>
            </w:pPr>
            <w:r w:rsidRPr="008179FC">
              <w:rPr>
                <w:rFonts w:ascii="Meta Pro" w:eastAsia="Times New Roman" w:hAnsi="Meta Pro"/>
                <w:b/>
                <w:bCs/>
                <w:szCs w:val="18"/>
                <w:lang w:eastAsia="en-AU"/>
              </w:rPr>
              <w:t xml:space="preserve">1,489,854 </w:t>
            </w:r>
          </w:p>
        </w:tc>
        <w:tc>
          <w:tcPr>
            <w:tcW w:w="108" w:type="dxa"/>
            <w:tcBorders>
              <w:top w:val="single" w:sz="4" w:space="0" w:color="auto"/>
              <w:left w:val="nil"/>
              <w:bottom w:val="double" w:sz="6" w:space="0" w:color="auto"/>
              <w:right w:val="nil"/>
            </w:tcBorders>
            <w:shd w:val="clear" w:color="auto" w:fill="auto"/>
            <w:noWrap/>
            <w:vAlign w:val="center"/>
            <w:hideMark/>
          </w:tcPr>
          <w:p w14:paraId="23EC959D" w14:textId="77777777" w:rsidR="00544F7C" w:rsidRPr="008179FC" w:rsidRDefault="00544F7C" w:rsidP="00E607DA">
            <w:pPr>
              <w:jc w:val="right"/>
              <w:rPr>
                <w:rFonts w:ascii="Meta Pro" w:eastAsia="Times New Roman" w:hAnsi="Meta Pro"/>
                <w:b/>
                <w:bCs/>
                <w:szCs w:val="18"/>
                <w:lang w:eastAsia="en-AU"/>
              </w:rPr>
            </w:pPr>
            <w:r w:rsidRPr="008179FC">
              <w:rPr>
                <w:rFonts w:ascii="Meta Pro" w:eastAsia="Times New Roman" w:hAnsi="Meta Pro"/>
                <w:b/>
                <w:bCs/>
                <w:szCs w:val="18"/>
                <w:lang w:eastAsia="en-AU"/>
              </w:rPr>
              <w:t> </w:t>
            </w:r>
          </w:p>
        </w:tc>
        <w:tc>
          <w:tcPr>
            <w:tcW w:w="1187" w:type="dxa"/>
            <w:tcBorders>
              <w:top w:val="single" w:sz="4" w:space="0" w:color="auto"/>
              <w:left w:val="nil"/>
              <w:bottom w:val="double" w:sz="6" w:space="0" w:color="auto"/>
              <w:right w:val="nil"/>
            </w:tcBorders>
            <w:shd w:val="clear" w:color="auto" w:fill="auto"/>
            <w:noWrap/>
            <w:vAlign w:val="center"/>
            <w:hideMark/>
          </w:tcPr>
          <w:p w14:paraId="46346CF8" w14:textId="77777777" w:rsidR="00544F7C" w:rsidRPr="008179FC" w:rsidRDefault="00544F7C" w:rsidP="00E607DA">
            <w:pPr>
              <w:jc w:val="right"/>
              <w:rPr>
                <w:rFonts w:ascii="Meta Pro" w:eastAsia="Times New Roman" w:hAnsi="Meta Pro"/>
                <w:b/>
                <w:bCs/>
                <w:szCs w:val="18"/>
                <w:lang w:eastAsia="en-AU"/>
              </w:rPr>
            </w:pPr>
            <w:r w:rsidRPr="008179FC">
              <w:rPr>
                <w:rFonts w:ascii="Meta Pro" w:eastAsia="Times New Roman" w:hAnsi="Meta Pro"/>
                <w:b/>
                <w:bCs/>
                <w:szCs w:val="18"/>
                <w:lang w:eastAsia="en-AU"/>
              </w:rPr>
              <w:t xml:space="preserve">137,292 </w:t>
            </w:r>
          </w:p>
        </w:tc>
      </w:tr>
    </w:tbl>
    <w:p w14:paraId="50537E41" w14:textId="77777777" w:rsidR="00544F7C" w:rsidRPr="00092B22" w:rsidRDefault="00544F7C" w:rsidP="00544F7C">
      <w:pPr>
        <w:spacing w:before="120"/>
        <w:rPr>
          <w:rFonts w:ascii="Meta Pro" w:hAnsi="Meta Pro"/>
          <w:sz w:val="16"/>
          <w:szCs w:val="16"/>
          <w:lang w:eastAsia="en-AU"/>
        </w:rPr>
      </w:pPr>
      <w:r w:rsidRPr="00092B22">
        <w:rPr>
          <w:rFonts w:ascii="Meta Pro" w:hAnsi="Meta Pro"/>
          <w:sz w:val="16"/>
          <w:szCs w:val="16"/>
          <w:lang w:eastAsia="en-AU"/>
        </w:rPr>
        <w:t>* Relates to the transfer of funding arrangements for the Cross River Rail Delivery Authority from the Department of Tourism, Innovation and</w:t>
      </w:r>
    </w:p>
    <w:p w14:paraId="2E1F5C68" w14:textId="77777777" w:rsidR="00544F7C" w:rsidRPr="00092B22" w:rsidRDefault="00544F7C" w:rsidP="00544F7C">
      <w:pPr>
        <w:rPr>
          <w:rFonts w:ascii="Meta Pro" w:hAnsi="Meta Pro"/>
          <w:sz w:val="16"/>
          <w:szCs w:val="16"/>
          <w:lang w:eastAsia="en-AU"/>
        </w:rPr>
      </w:pPr>
      <w:r w:rsidRPr="00092B22">
        <w:rPr>
          <w:rFonts w:ascii="Meta Pro" w:hAnsi="Meta Pro"/>
          <w:sz w:val="16"/>
          <w:szCs w:val="16"/>
          <w:lang w:eastAsia="en-AU"/>
        </w:rPr>
        <w:t xml:space="preserve">   Sport in November 2020.</w:t>
      </w:r>
    </w:p>
    <w:p w14:paraId="07BAA0BA" w14:textId="1E2367E7" w:rsidR="00EF7859" w:rsidRDefault="00EF7859" w:rsidP="0026469D">
      <w:pPr>
        <w:spacing w:after="160" w:line="259" w:lineRule="auto"/>
        <w:rPr>
          <w:rFonts w:ascii="Meta Pro" w:eastAsia="Times New Roman" w:hAnsi="Meta Pro"/>
          <w:color w:val="000000"/>
          <w:szCs w:val="18"/>
          <w:lang w:eastAsia="en-AU"/>
        </w:rPr>
      </w:pPr>
    </w:p>
    <w:p w14:paraId="2A495A18" w14:textId="77777777" w:rsidR="00214CD4" w:rsidRPr="00092B22" w:rsidRDefault="00214CD4" w:rsidP="00214CD4">
      <w:pPr>
        <w:spacing w:after="120" w:line="259" w:lineRule="auto"/>
        <w:rPr>
          <w:rFonts w:ascii="Meta Pro" w:eastAsia="Times New Roman" w:hAnsi="Meta Pro"/>
          <w:b/>
          <w:bCs/>
          <w:color w:val="000000"/>
          <w:lang w:eastAsia="en-AU"/>
        </w:rPr>
      </w:pPr>
      <w:r w:rsidRPr="00092B22">
        <w:rPr>
          <w:rFonts w:ascii="Meta Pro" w:eastAsia="Times New Roman" w:hAnsi="Meta Pro"/>
          <w:b/>
          <w:bCs/>
          <w:color w:val="000000"/>
          <w:lang w:eastAsia="en-AU"/>
        </w:rPr>
        <w:t>29</w:t>
      </w:r>
      <w:r w:rsidRPr="00092B22">
        <w:rPr>
          <w:rFonts w:ascii="Meta Pro" w:eastAsia="Times New Roman" w:hAnsi="Meta Pro"/>
          <w:b/>
          <w:bCs/>
          <w:color w:val="000000"/>
          <w:lang w:eastAsia="en-AU"/>
        </w:rPr>
        <w:tab/>
        <w:t>BUDGETARY REPORTING</w:t>
      </w:r>
    </w:p>
    <w:tbl>
      <w:tblPr>
        <w:tblW w:w="0" w:type="auto"/>
        <w:tblCellMar>
          <w:left w:w="0" w:type="dxa"/>
        </w:tblCellMar>
        <w:tblLook w:val="04A0" w:firstRow="1" w:lastRow="0" w:firstColumn="1" w:lastColumn="0" w:noHBand="0" w:noVBand="1"/>
      </w:tblPr>
      <w:tblGrid>
        <w:gridCol w:w="5485"/>
        <w:gridCol w:w="1063"/>
        <w:gridCol w:w="198"/>
        <w:gridCol w:w="1063"/>
        <w:gridCol w:w="198"/>
        <w:gridCol w:w="1063"/>
      </w:tblGrid>
      <w:tr w:rsidR="00214CD4" w:rsidRPr="00092B22" w14:paraId="05AC5015" w14:textId="77777777" w:rsidTr="00E607DA">
        <w:trPr>
          <w:trHeight w:val="227"/>
        </w:trPr>
        <w:tc>
          <w:tcPr>
            <w:tcW w:w="5936" w:type="dxa"/>
            <w:tcBorders>
              <w:top w:val="nil"/>
              <w:left w:val="nil"/>
              <w:bottom w:val="nil"/>
              <w:right w:val="nil"/>
            </w:tcBorders>
            <w:shd w:val="clear" w:color="auto" w:fill="auto"/>
            <w:noWrap/>
            <w:hideMark/>
          </w:tcPr>
          <w:p w14:paraId="5B122767" w14:textId="77777777" w:rsidR="00214CD4" w:rsidRPr="00092B22" w:rsidRDefault="00214CD4" w:rsidP="00E607DA">
            <w:pPr>
              <w:rPr>
                <w:rFonts w:ascii="Meta Pro" w:eastAsia="Times New Roman" w:hAnsi="Meta Pro"/>
                <w:b/>
                <w:bCs/>
                <w:szCs w:val="18"/>
                <w:lang w:eastAsia="en-AU"/>
              </w:rPr>
            </w:pPr>
            <w:r w:rsidRPr="00092B22">
              <w:rPr>
                <w:rFonts w:ascii="Meta Pro" w:eastAsia="Times New Roman" w:hAnsi="Meta Pro"/>
                <w:b/>
                <w:bCs/>
                <w:szCs w:val="18"/>
                <w:lang w:eastAsia="en-AU"/>
              </w:rPr>
              <w:t>STATEMENT OF COMPREHENSIVE INCOME</w:t>
            </w:r>
          </w:p>
        </w:tc>
        <w:tc>
          <w:tcPr>
            <w:tcW w:w="1136" w:type="dxa"/>
            <w:tcBorders>
              <w:top w:val="nil"/>
              <w:left w:val="nil"/>
              <w:bottom w:val="nil"/>
              <w:right w:val="nil"/>
            </w:tcBorders>
            <w:shd w:val="clear" w:color="auto" w:fill="auto"/>
            <w:hideMark/>
          </w:tcPr>
          <w:p w14:paraId="627E8EB4" w14:textId="77777777" w:rsidR="00214CD4" w:rsidRPr="00092B22" w:rsidRDefault="00214CD4"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 xml:space="preserve">Original budget </w:t>
            </w:r>
          </w:p>
        </w:tc>
        <w:tc>
          <w:tcPr>
            <w:tcW w:w="198" w:type="dxa"/>
            <w:tcBorders>
              <w:top w:val="nil"/>
              <w:left w:val="nil"/>
              <w:bottom w:val="nil"/>
              <w:right w:val="nil"/>
            </w:tcBorders>
            <w:shd w:val="clear" w:color="auto" w:fill="auto"/>
            <w:hideMark/>
          </w:tcPr>
          <w:p w14:paraId="2C358BFF" w14:textId="77777777" w:rsidR="00214CD4" w:rsidRPr="00092B22" w:rsidRDefault="00214CD4" w:rsidP="00E607DA">
            <w:pPr>
              <w:jc w:val="center"/>
              <w:rPr>
                <w:rFonts w:ascii="Meta Pro" w:eastAsia="Times New Roman" w:hAnsi="Meta Pro"/>
                <w:b/>
                <w:bCs/>
                <w:szCs w:val="18"/>
                <w:lang w:eastAsia="en-AU"/>
              </w:rPr>
            </w:pPr>
          </w:p>
        </w:tc>
        <w:tc>
          <w:tcPr>
            <w:tcW w:w="1136" w:type="dxa"/>
            <w:tcBorders>
              <w:top w:val="nil"/>
              <w:left w:val="nil"/>
              <w:bottom w:val="nil"/>
              <w:right w:val="nil"/>
            </w:tcBorders>
            <w:shd w:val="clear" w:color="auto" w:fill="auto"/>
            <w:hideMark/>
          </w:tcPr>
          <w:p w14:paraId="1D48921A" w14:textId="77777777" w:rsidR="00214CD4" w:rsidRPr="00092B22" w:rsidRDefault="00214CD4"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Actual</w:t>
            </w:r>
            <w:r w:rsidRPr="00092B22">
              <w:rPr>
                <w:rFonts w:ascii="Meta Pro" w:eastAsia="Times New Roman" w:hAnsi="Meta Pro"/>
                <w:b/>
                <w:bCs/>
                <w:szCs w:val="18"/>
                <w:lang w:eastAsia="en-AU"/>
              </w:rPr>
              <w:br/>
              <w:t>result</w:t>
            </w:r>
          </w:p>
        </w:tc>
        <w:tc>
          <w:tcPr>
            <w:tcW w:w="198" w:type="dxa"/>
            <w:tcBorders>
              <w:top w:val="nil"/>
              <w:left w:val="nil"/>
              <w:bottom w:val="nil"/>
              <w:right w:val="nil"/>
            </w:tcBorders>
            <w:shd w:val="clear" w:color="auto" w:fill="auto"/>
            <w:hideMark/>
          </w:tcPr>
          <w:p w14:paraId="0419A878" w14:textId="77777777" w:rsidR="00214CD4" w:rsidRPr="00092B22" w:rsidRDefault="00214CD4" w:rsidP="00E607DA">
            <w:pPr>
              <w:jc w:val="center"/>
              <w:rPr>
                <w:rFonts w:ascii="Meta Pro" w:eastAsia="Times New Roman" w:hAnsi="Meta Pro"/>
                <w:b/>
                <w:bCs/>
                <w:szCs w:val="18"/>
                <w:lang w:eastAsia="en-AU"/>
              </w:rPr>
            </w:pPr>
          </w:p>
        </w:tc>
        <w:tc>
          <w:tcPr>
            <w:tcW w:w="1136" w:type="dxa"/>
            <w:tcBorders>
              <w:top w:val="nil"/>
              <w:left w:val="nil"/>
              <w:bottom w:val="nil"/>
              <w:right w:val="nil"/>
            </w:tcBorders>
            <w:shd w:val="clear" w:color="auto" w:fill="auto"/>
            <w:hideMark/>
          </w:tcPr>
          <w:p w14:paraId="6760BFD6" w14:textId="77777777" w:rsidR="00214CD4" w:rsidRPr="00092B22" w:rsidRDefault="00214CD4"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Variance</w:t>
            </w:r>
          </w:p>
        </w:tc>
      </w:tr>
      <w:tr w:rsidR="00214CD4" w:rsidRPr="00092B22" w14:paraId="020C1D18" w14:textId="77777777" w:rsidTr="00E607DA">
        <w:trPr>
          <w:trHeight w:val="227"/>
        </w:trPr>
        <w:tc>
          <w:tcPr>
            <w:tcW w:w="5936" w:type="dxa"/>
            <w:tcBorders>
              <w:top w:val="nil"/>
              <w:left w:val="nil"/>
              <w:bottom w:val="nil"/>
              <w:right w:val="nil"/>
            </w:tcBorders>
            <w:shd w:val="clear" w:color="auto" w:fill="auto"/>
            <w:noWrap/>
            <w:vAlign w:val="center"/>
            <w:hideMark/>
          </w:tcPr>
          <w:p w14:paraId="3E88F937" w14:textId="77777777" w:rsidR="00214CD4" w:rsidRPr="00092B22" w:rsidRDefault="00214CD4" w:rsidP="00E607DA">
            <w:pPr>
              <w:jc w:val="center"/>
              <w:rPr>
                <w:rFonts w:ascii="Meta Pro" w:eastAsia="Times New Roman" w:hAnsi="Meta Pro"/>
                <w:b/>
                <w:bCs/>
                <w:szCs w:val="18"/>
                <w:lang w:eastAsia="en-AU"/>
              </w:rPr>
            </w:pPr>
          </w:p>
        </w:tc>
        <w:tc>
          <w:tcPr>
            <w:tcW w:w="1136" w:type="dxa"/>
            <w:tcBorders>
              <w:top w:val="nil"/>
              <w:left w:val="nil"/>
              <w:bottom w:val="nil"/>
              <w:right w:val="nil"/>
            </w:tcBorders>
            <w:shd w:val="clear" w:color="auto" w:fill="auto"/>
            <w:hideMark/>
          </w:tcPr>
          <w:p w14:paraId="27CD86AD" w14:textId="77777777" w:rsidR="00214CD4" w:rsidRPr="00092B22" w:rsidRDefault="00214CD4"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2022</w:t>
            </w:r>
            <w:r w:rsidRPr="00092B22">
              <w:rPr>
                <w:rFonts w:ascii="Meta Pro" w:eastAsia="Times New Roman" w:hAnsi="Meta Pro"/>
                <w:b/>
                <w:bCs/>
                <w:szCs w:val="18"/>
                <w:lang w:eastAsia="en-AU"/>
              </w:rPr>
              <w:br/>
              <w:t>$'000</w:t>
            </w:r>
          </w:p>
        </w:tc>
        <w:tc>
          <w:tcPr>
            <w:tcW w:w="198" w:type="dxa"/>
            <w:tcBorders>
              <w:top w:val="nil"/>
              <w:left w:val="nil"/>
              <w:bottom w:val="nil"/>
              <w:right w:val="nil"/>
            </w:tcBorders>
            <w:shd w:val="clear" w:color="auto" w:fill="auto"/>
            <w:hideMark/>
          </w:tcPr>
          <w:p w14:paraId="12B47092" w14:textId="77777777" w:rsidR="00214CD4" w:rsidRPr="00092B22" w:rsidRDefault="00214CD4" w:rsidP="00E607DA">
            <w:pPr>
              <w:jc w:val="center"/>
              <w:rPr>
                <w:rFonts w:ascii="Meta Pro" w:eastAsia="Times New Roman" w:hAnsi="Meta Pro"/>
                <w:b/>
                <w:bCs/>
                <w:szCs w:val="18"/>
                <w:lang w:eastAsia="en-AU"/>
              </w:rPr>
            </w:pPr>
          </w:p>
        </w:tc>
        <w:tc>
          <w:tcPr>
            <w:tcW w:w="1136" w:type="dxa"/>
            <w:tcBorders>
              <w:top w:val="nil"/>
              <w:left w:val="nil"/>
              <w:bottom w:val="nil"/>
              <w:right w:val="nil"/>
            </w:tcBorders>
            <w:shd w:val="clear" w:color="auto" w:fill="auto"/>
            <w:hideMark/>
          </w:tcPr>
          <w:p w14:paraId="2F4F3CB9" w14:textId="77777777" w:rsidR="00214CD4" w:rsidRPr="00092B22" w:rsidRDefault="00214CD4"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2022</w:t>
            </w:r>
            <w:r w:rsidRPr="00092B22">
              <w:rPr>
                <w:rFonts w:ascii="Meta Pro" w:eastAsia="Times New Roman" w:hAnsi="Meta Pro"/>
                <w:b/>
                <w:bCs/>
                <w:szCs w:val="18"/>
                <w:lang w:eastAsia="en-AU"/>
              </w:rPr>
              <w:br/>
              <w:t>$'000</w:t>
            </w:r>
          </w:p>
        </w:tc>
        <w:tc>
          <w:tcPr>
            <w:tcW w:w="198" w:type="dxa"/>
            <w:tcBorders>
              <w:top w:val="nil"/>
              <w:left w:val="nil"/>
              <w:bottom w:val="nil"/>
              <w:right w:val="nil"/>
            </w:tcBorders>
            <w:shd w:val="clear" w:color="auto" w:fill="auto"/>
            <w:hideMark/>
          </w:tcPr>
          <w:p w14:paraId="0DD95B14" w14:textId="77777777" w:rsidR="00214CD4" w:rsidRPr="00092B22" w:rsidRDefault="00214CD4" w:rsidP="00E607DA">
            <w:pPr>
              <w:jc w:val="center"/>
              <w:rPr>
                <w:rFonts w:ascii="Meta Pro" w:eastAsia="Times New Roman" w:hAnsi="Meta Pro"/>
                <w:b/>
                <w:bCs/>
                <w:szCs w:val="18"/>
                <w:lang w:eastAsia="en-AU"/>
              </w:rPr>
            </w:pPr>
          </w:p>
        </w:tc>
        <w:tc>
          <w:tcPr>
            <w:tcW w:w="1136" w:type="dxa"/>
            <w:tcBorders>
              <w:top w:val="nil"/>
              <w:left w:val="nil"/>
              <w:bottom w:val="nil"/>
              <w:right w:val="nil"/>
            </w:tcBorders>
            <w:shd w:val="clear" w:color="auto" w:fill="auto"/>
            <w:hideMark/>
          </w:tcPr>
          <w:p w14:paraId="6687C7E2" w14:textId="77777777" w:rsidR="00214CD4" w:rsidRPr="00092B22" w:rsidRDefault="00214CD4" w:rsidP="00E607DA">
            <w:pPr>
              <w:jc w:val="center"/>
              <w:rPr>
                <w:rFonts w:ascii="Meta Pro" w:eastAsia="Times New Roman" w:hAnsi="Meta Pro"/>
                <w:b/>
                <w:bCs/>
                <w:szCs w:val="18"/>
                <w:lang w:eastAsia="en-AU"/>
              </w:rPr>
            </w:pPr>
            <w:r w:rsidRPr="00092B22">
              <w:rPr>
                <w:rFonts w:ascii="Meta Pro" w:eastAsia="Times New Roman" w:hAnsi="Meta Pro"/>
                <w:b/>
                <w:bCs/>
                <w:szCs w:val="18"/>
                <w:lang w:eastAsia="en-AU"/>
              </w:rPr>
              <w:t>2022</w:t>
            </w:r>
            <w:r w:rsidRPr="00092B22">
              <w:rPr>
                <w:rFonts w:ascii="Meta Pro" w:eastAsia="Times New Roman" w:hAnsi="Meta Pro"/>
                <w:b/>
                <w:bCs/>
                <w:szCs w:val="18"/>
                <w:lang w:eastAsia="en-AU"/>
              </w:rPr>
              <w:br/>
              <w:t>$'000</w:t>
            </w:r>
          </w:p>
        </w:tc>
      </w:tr>
      <w:tr w:rsidR="00214CD4" w:rsidRPr="00092B22" w14:paraId="00DC3884" w14:textId="77777777" w:rsidTr="00E607DA">
        <w:trPr>
          <w:trHeight w:val="227"/>
        </w:trPr>
        <w:tc>
          <w:tcPr>
            <w:tcW w:w="5936" w:type="dxa"/>
            <w:tcBorders>
              <w:top w:val="nil"/>
              <w:left w:val="nil"/>
              <w:bottom w:val="nil"/>
              <w:right w:val="nil"/>
            </w:tcBorders>
            <w:shd w:val="clear" w:color="auto" w:fill="auto"/>
            <w:noWrap/>
            <w:vAlign w:val="center"/>
            <w:hideMark/>
          </w:tcPr>
          <w:p w14:paraId="25C4DC17" w14:textId="77777777" w:rsidR="00214CD4" w:rsidRPr="00092B22" w:rsidRDefault="00214CD4" w:rsidP="00E607DA">
            <w:pPr>
              <w:rPr>
                <w:rFonts w:ascii="Meta Pro" w:eastAsia="Times New Roman" w:hAnsi="Meta Pro"/>
                <w:b/>
                <w:bCs/>
                <w:szCs w:val="18"/>
                <w:lang w:eastAsia="en-AU"/>
              </w:rPr>
            </w:pPr>
            <w:r w:rsidRPr="00092B22">
              <w:rPr>
                <w:rFonts w:ascii="Meta Pro" w:eastAsia="Times New Roman" w:hAnsi="Meta Pro"/>
                <w:b/>
                <w:bCs/>
                <w:szCs w:val="18"/>
                <w:lang w:eastAsia="en-AU"/>
              </w:rPr>
              <w:t>Income</w:t>
            </w:r>
          </w:p>
        </w:tc>
        <w:tc>
          <w:tcPr>
            <w:tcW w:w="1136" w:type="dxa"/>
            <w:tcBorders>
              <w:top w:val="nil"/>
              <w:left w:val="nil"/>
              <w:bottom w:val="nil"/>
              <w:right w:val="nil"/>
            </w:tcBorders>
            <w:shd w:val="clear" w:color="auto" w:fill="auto"/>
            <w:vAlign w:val="center"/>
            <w:hideMark/>
          </w:tcPr>
          <w:p w14:paraId="0C3C24F2" w14:textId="77777777" w:rsidR="00214CD4" w:rsidRPr="00092B22" w:rsidRDefault="00214CD4" w:rsidP="00E607DA">
            <w:pPr>
              <w:rPr>
                <w:rFonts w:ascii="Meta Pro" w:eastAsia="Times New Roman" w:hAnsi="Meta Pro"/>
                <w:b/>
                <w:bCs/>
                <w:szCs w:val="18"/>
                <w:lang w:eastAsia="en-AU"/>
              </w:rPr>
            </w:pPr>
          </w:p>
        </w:tc>
        <w:tc>
          <w:tcPr>
            <w:tcW w:w="198" w:type="dxa"/>
            <w:tcBorders>
              <w:top w:val="nil"/>
              <w:left w:val="nil"/>
              <w:bottom w:val="nil"/>
              <w:right w:val="nil"/>
            </w:tcBorders>
            <w:shd w:val="clear" w:color="auto" w:fill="auto"/>
            <w:vAlign w:val="center"/>
            <w:hideMark/>
          </w:tcPr>
          <w:p w14:paraId="7A620013" w14:textId="77777777" w:rsidR="00214CD4" w:rsidRPr="00092B22" w:rsidRDefault="00214CD4" w:rsidP="00E607DA">
            <w:pPr>
              <w:rPr>
                <w:rFonts w:ascii="Meta Pro" w:eastAsia="Times New Roman" w:hAnsi="Meta Pro" w:cs="Times New Roman"/>
                <w:sz w:val="20"/>
                <w:szCs w:val="20"/>
                <w:lang w:eastAsia="en-AU"/>
              </w:rPr>
            </w:pPr>
          </w:p>
        </w:tc>
        <w:tc>
          <w:tcPr>
            <w:tcW w:w="1136" w:type="dxa"/>
            <w:tcBorders>
              <w:top w:val="nil"/>
              <w:left w:val="nil"/>
              <w:bottom w:val="nil"/>
              <w:right w:val="nil"/>
            </w:tcBorders>
            <w:shd w:val="clear" w:color="auto" w:fill="auto"/>
            <w:vAlign w:val="center"/>
            <w:hideMark/>
          </w:tcPr>
          <w:p w14:paraId="1CA9C088" w14:textId="77777777" w:rsidR="00214CD4" w:rsidRPr="00092B22" w:rsidRDefault="00214CD4" w:rsidP="00E607DA">
            <w:pPr>
              <w:jc w:val="cente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vAlign w:val="center"/>
            <w:hideMark/>
          </w:tcPr>
          <w:p w14:paraId="374BDCFA" w14:textId="77777777" w:rsidR="00214CD4" w:rsidRPr="00092B22" w:rsidRDefault="00214CD4" w:rsidP="00E607DA">
            <w:pPr>
              <w:rPr>
                <w:rFonts w:ascii="Meta Pro" w:eastAsia="Times New Roman" w:hAnsi="Meta Pro" w:cs="Times New Roman"/>
                <w:sz w:val="20"/>
                <w:szCs w:val="20"/>
                <w:lang w:eastAsia="en-AU"/>
              </w:rPr>
            </w:pPr>
          </w:p>
        </w:tc>
        <w:tc>
          <w:tcPr>
            <w:tcW w:w="1136" w:type="dxa"/>
            <w:tcBorders>
              <w:top w:val="nil"/>
              <w:left w:val="nil"/>
              <w:bottom w:val="nil"/>
              <w:right w:val="nil"/>
            </w:tcBorders>
            <w:shd w:val="clear" w:color="auto" w:fill="auto"/>
            <w:noWrap/>
            <w:vAlign w:val="center"/>
            <w:hideMark/>
          </w:tcPr>
          <w:p w14:paraId="746925CE" w14:textId="77777777" w:rsidR="00214CD4" w:rsidRPr="00092B22" w:rsidRDefault="00214CD4" w:rsidP="00E607DA">
            <w:pPr>
              <w:jc w:val="center"/>
              <w:rPr>
                <w:rFonts w:ascii="Meta Pro" w:eastAsia="Times New Roman" w:hAnsi="Meta Pro" w:cs="Times New Roman"/>
                <w:sz w:val="20"/>
                <w:szCs w:val="20"/>
                <w:lang w:eastAsia="en-AU"/>
              </w:rPr>
            </w:pPr>
          </w:p>
        </w:tc>
      </w:tr>
      <w:tr w:rsidR="00214CD4" w:rsidRPr="00092B22" w14:paraId="2CA7C5C5" w14:textId="77777777" w:rsidTr="00E607DA">
        <w:trPr>
          <w:trHeight w:val="227"/>
        </w:trPr>
        <w:tc>
          <w:tcPr>
            <w:tcW w:w="5936" w:type="dxa"/>
            <w:tcBorders>
              <w:top w:val="nil"/>
              <w:left w:val="nil"/>
              <w:bottom w:val="nil"/>
              <w:right w:val="nil"/>
            </w:tcBorders>
            <w:shd w:val="clear" w:color="auto" w:fill="auto"/>
            <w:noWrap/>
            <w:vAlign w:val="center"/>
            <w:hideMark/>
          </w:tcPr>
          <w:p w14:paraId="1B70C9FE" w14:textId="77777777" w:rsidR="00214CD4" w:rsidRPr="00092B22" w:rsidRDefault="00214CD4" w:rsidP="00E607DA">
            <w:pPr>
              <w:rPr>
                <w:rFonts w:ascii="Meta Pro" w:eastAsia="Times New Roman" w:hAnsi="Meta Pro"/>
                <w:szCs w:val="18"/>
                <w:lang w:eastAsia="en-AU"/>
              </w:rPr>
            </w:pPr>
            <w:r w:rsidRPr="00092B22">
              <w:rPr>
                <w:rFonts w:ascii="Meta Pro" w:eastAsia="Times New Roman" w:hAnsi="Meta Pro"/>
                <w:szCs w:val="18"/>
                <w:lang w:eastAsia="en-AU"/>
              </w:rPr>
              <w:t>Appropriation revenue</w:t>
            </w:r>
          </w:p>
        </w:tc>
        <w:tc>
          <w:tcPr>
            <w:tcW w:w="1136" w:type="dxa"/>
            <w:tcBorders>
              <w:top w:val="nil"/>
              <w:left w:val="nil"/>
              <w:bottom w:val="nil"/>
              <w:right w:val="nil"/>
            </w:tcBorders>
            <w:shd w:val="clear" w:color="auto" w:fill="auto"/>
            <w:noWrap/>
            <w:vAlign w:val="center"/>
            <w:hideMark/>
          </w:tcPr>
          <w:p w14:paraId="5101C4EE"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5,946,653 </w:t>
            </w:r>
          </w:p>
        </w:tc>
        <w:tc>
          <w:tcPr>
            <w:tcW w:w="198" w:type="dxa"/>
            <w:tcBorders>
              <w:top w:val="nil"/>
              <w:left w:val="nil"/>
              <w:bottom w:val="nil"/>
              <w:right w:val="nil"/>
            </w:tcBorders>
            <w:shd w:val="clear" w:color="auto" w:fill="auto"/>
            <w:noWrap/>
            <w:vAlign w:val="center"/>
            <w:hideMark/>
          </w:tcPr>
          <w:p w14:paraId="4BECB185" w14:textId="77777777" w:rsidR="00214CD4" w:rsidRPr="00092B22" w:rsidRDefault="00214CD4" w:rsidP="00E607DA">
            <w:pPr>
              <w:jc w:val="right"/>
              <w:rPr>
                <w:rFonts w:ascii="Meta Pro" w:eastAsia="Times New Roman" w:hAnsi="Meta Pro"/>
                <w:szCs w:val="18"/>
                <w:lang w:eastAsia="en-AU"/>
              </w:rPr>
            </w:pPr>
          </w:p>
        </w:tc>
        <w:tc>
          <w:tcPr>
            <w:tcW w:w="1136" w:type="dxa"/>
            <w:tcBorders>
              <w:top w:val="nil"/>
              <w:left w:val="nil"/>
              <w:bottom w:val="nil"/>
              <w:right w:val="nil"/>
            </w:tcBorders>
            <w:shd w:val="clear" w:color="auto" w:fill="auto"/>
            <w:noWrap/>
            <w:vAlign w:val="center"/>
            <w:hideMark/>
          </w:tcPr>
          <w:p w14:paraId="52630F63"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5,927,541 </w:t>
            </w:r>
          </w:p>
        </w:tc>
        <w:tc>
          <w:tcPr>
            <w:tcW w:w="198" w:type="dxa"/>
            <w:tcBorders>
              <w:top w:val="nil"/>
              <w:left w:val="nil"/>
              <w:bottom w:val="nil"/>
              <w:right w:val="nil"/>
            </w:tcBorders>
            <w:shd w:val="clear" w:color="auto" w:fill="auto"/>
            <w:noWrap/>
            <w:vAlign w:val="center"/>
            <w:hideMark/>
          </w:tcPr>
          <w:p w14:paraId="3D521B29" w14:textId="77777777" w:rsidR="00214CD4" w:rsidRPr="00092B22" w:rsidRDefault="00214CD4" w:rsidP="00E607DA">
            <w:pPr>
              <w:jc w:val="right"/>
              <w:rPr>
                <w:rFonts w:ascii="Meta Pro" w:eastAsia="Times New Roman" w:hAnsi="Meta Pro"/>
                <w:szCs w:val="18"/>
                <w:lang w:eastAsia="en-AU"/>
              </w:rPr>
            </w:pPr>
          </w:p>
        </w:tc>
        <w:tc>
          <w:tcPr>
            <w:tcW w:w="1136" w:type="dxa"/>
            <w:tcBorders>
              <w:top w:val="nil"/>
              <w:left w:val="nil"/>
              <w:bottom w:val="nil"/>
              <w:right w:val="nil"/>
            </w:tcBorders>
            <w:shd w:val="clear" w:color="auto" w:fill="auto"/>
            <w:noWrap/>
            <w:vAlign w:val="center"/>
            <w:hideMark/>
          </w:tcPr>
          <w:p w14:paraId="11E8D7B4"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(19,112)</w:t>
            </w:r>
          </w:p>
        </w:tc>
      </w:tr>
      <w:tr w:rsidR="00214CD4" w:rsidRPr="00092B22" w14:paraId="11AA2AC6" w14:textId="77777777" w:rsidTr="00E607DA">
        <w:trPr>
          <w:trHeight w:val="227"/>
        </w:trPr>
        <w:tc>
          <w:tcPr>
            <w:tcW w:w="5936" w:type="dxa"/>
            <w:tcBorders>
              <w:top w:val="nil"/>
              <w:left w:val="nil"/>
              <w:bottom w:val="nil"/>
              <w:right w:val="nil"/>
            </w:tcBorders>
            <w:shd w:val="clear" w:color="auto" w:fill="auto"/>
            <w:noWrap/>
            <w:vAlign w:val="center"/>
            <w:hideMark/>
          </w:tcPr>
          <w:p w14:paraId="3B5AE4F1" w14:textId="77777777" w:rsidR="00214CD4" w:rsidRPr="00092B22" w:rsidRDefault="00214CD4" w:rsidP="00E607DA">
            <w:pPr>
              <w:rPr>
                <w:rFonts w:ascii="Meta Pro" w:eastAsia="Times New Roman" w:hAnsi="Meta Pro"/>
                <w:szCs w:val="18"/>
                <w:lang w:eastAsia="en-AU"/>
              </w:rPr>
            </w:pPr>
            <w:r w:rsidRPr="00092B22">
              <w:rPr>
                <w:rFonts w:ascii="Meta Pro" w:eastAsia="Times New Roman" w:hAnsi="Meta Pro"/>
                <w:szCs w:val="18"/>
                <w:lang w:eastAsia="en-AU"/>
              </w:rPr>
              <w:t>User charges and fees</w:t>
            </w:r>
          </w:p>
        </w:tc>
        <w:tc>
          <w:tcPr>
            <w:tcW w:w="1136" w:type="dxa"/>
            <w:tcBorders>
              <w:top w:val="nil"/>
              <w:left w:val="nil"/>
              <w:bottom w:val="nil"/>
              <w:right w:val="nil"/>
            </w:tcBorders>
            <w:shd w:val="clear" w:color="auto" w:fill="auto"/>
            <w:noWrap/>
            <w:vAlign w:val="center"/>
            <w:hideMark/>
          </w:tcPr>
          <w:p w14:paraId="290DCB3E"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730,375 </w:t>
            </w:r>
          </w:p>
        </w:tc>
        <w:tc>
          <w:tcPr>
            <w:tcW w:w="198" w:type="dxa"/>
            <w:tcBorders>
              <w:top w:val="nil"/>
              <w:left w:val="nil"/>
              <w:bottom w:val="nil"/>
              <w:right w:val="nil"/>
            </w:tcBorders>
            <w:shd w:val="clear" w:color="auto" w:fill="auto"/>
            <w:noWrap/>
            <w:vAlign w:val="center"/>
            <w:hideMark/>
          </w:tcPr>
          <w:p w14:paraId="113ACD43" w14:textId="77777777" w:rsidR="00214CD4" w:rsidRPr="00092B22" w:rsidRDefault="00214CD4" w:rsidP="00E607DA">
            <w:pPr>
              <w:jc w:val="right"/>
              <w:rPr>
                <w:rFonts w:ascii="Meta Pro" w:eastAsia="Times New Roman" w:hAnsi="Meta Pro"/>
                <w:szCs w:val="18"/>
                <w:lang w:eastAsia="en-AU"/>
              </w:rPr>
            </w:pPr>
          </w:p>
        </w:tc>
        <w:tc>
          <w:tcPr>
            <w:tcW w:w="1136" w:type="dxa"/>
            <w:tcBorders>
              <w:top w:val="nil"/>
              <w:left w:val="nil"/>
              <w:bottom w:val="nil"/>
              <w:right w:val="nil"/>
            </w:tcBorders>
            <w:shd w:val="clear" w:color="auto" w:fill="auto"/>
            <w:noWrap/>
            <w:vAlign w:val="center"/>
            <w:hideMark/>
          </w:tcPr>
          <w:p w14:paraId="17E13E9C"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703,281 </w:t>
            </w:r>
          </w:p>
        </w:tc>
        <w:tc>
          <w:tcPr>
            <w:tcW w:w="198" w:type="dxa"/>
            <w:tcBorders>
              <w:top w:val="nil"/>
              <w:left w:val="nil"/>
              <w:bottom w:val="nil"/>
              <w:right w:val="nil"/>
            </w:tcBorders>
            <w:shd w:val="clear" w:color="auto" w:fill="auto"/>
            <w:noWrap/>
            <w:vAlign w:val="center"/>
            <w:hideMark/>
          </w:tcPr>
          <w:p w14:paraId="372BB426" w14:textId="77777777" w:rsidR="00214CD4" w:rsidRPr="00092B22" w:rsidRDefault="00214CD4" w:rsidP="00E607DA">
            <w:pPr>
              <w:jc w:val="right"/>
              <w:rPr>
                <w:rFonts w:ascii="Meta Pro" w:eastAsia="Times New Roman" w:hAnsi="Meta Pro"/>
                <w:szCs w:val="18"/>
                <w:lang w:eastAsia="en-AU"/>
              </w:rPr>
            </w:pPr>
          </w:p>
        </w:tc>
        <w:tc>
          <w:tcPr>
            <w:tcW w:w="1136" w:type="dxa"/>
            <w:tcBorders>
              <w:top w:val="nil"/>
              <w:left w:val="nil"/>
              <w:bottom w:val="nil"/>
              <w:right w:val="nil"/>
            </w:tcBorders>
            <w:shd w:val="clear" w:color="auto" w:fill="auto"/>
            <w:noWrap/>
            <w:vAlign w:val="center"/>
            <w:hideMark/>
          </w:tcPr>
          <w:p w14:paraId="22AAE89A"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(27,094)</w:t>
            </w:r>
          </w:p>
        </w:tc>
      </w:tr>
      <w:tr w:rsidR="00214CD4" w:rsidRPr="00092B22" w14:paraId="4EFF5233" w14:textId="77777777" w:rsidTr="00E607DA">
        <w:trPr>
          <w:trHeight w:val="227"/>
        </w:trPr>
        <w:tc>
          <w:tcPr>
            <w:tcW w:w="5936" w:type="dxa"/>
            <w:tcBorders>
              <w:top w:val="nil"/>
              <w:left w:val="nil"/>
              <w:bottom w:val="nil"/>
              <w:right w:val="nil"/>
            </w:tcBorders>
            <w:shd w:val="clear" w:color="auto" w:fill="auto"/>
            <w:noWrap/>
            <w:vAlign w:val="center"/>
            <w:hideMark/>
          </w:tcPr>
          <w:p w14:paraId="4837A4B4" w14:textId="77777777" w:rsidR="00214CD4" w:rsidRPr="00092B22" w:rsidRDefault="00214CD4" w:rsidP="00E607DA">
            <w:pPr>
              <w:rPr>
                <w:rFonts w:ascii="Meta Pro" w:eastAsia="Times New Roman" w:hAnsi="Meta Pro"/>
                <w:szCs w:val="18"/>
                <w:lang w:eastAsia="en-AU"/>
              </w:rPr>
            </w:pPr>
            <w:r w:rsidRPr="00092B22">
              <w:rPr>
                <w:rFonts w:ascii="Meta Pro" w:eastAsia="Times New Roman" w:hAnsi="Meta Pro"/>
                <w:szCs w:val="18"/>
                <w:lang w:eastAsia="en-AU"/>
              </w:rPr>
              <w:t>Grants and other contributions</w:t>
            </w:r>
          </w:p>
        </w:tc>
        <w:tc>
          <w:tcPr>
            <w:tcW w:w="1136" w:type="dxa"/>
            <w:tcBorders>
              <w:top w:val="nil"/>
              <w:left w:val="nil"/>
              <w:bottom w:val="nil"/>
              <w:right w:val="nil"/>
            </w:tcBorders>
            <w:shd w:val="clear" w:color="auto" w:fill="auto"/>
            <w:noWrap/>
            <w:vAlign w:val="center"/>
            <w:hideMark/>
          </w:tcPr>
          <w:p w14:paraId="19B65EC4"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205,257 </w:t>
            </w:r>
          </w:p>
        </w:tc>
        <w:tc>
          <w:tcPr>
            <w:tcW w:w="198" w:type="dxa"/>
            <w:tcBorders>
              <w:top w:val="nil"/>
              <w:left w:val="nil"/>
              <w:bottom w:val="nil"/>
              <w:right w:val="nil"/>
            </w:tcBorders>
            <w:shd w:val="clear" w:color="auto" w:fill="auto"/>
            <w:noWrap/>
            <w:vAlign w:val="center"/>
            <w:hideMark/>
          </w:tcPr>
          <w:p w14:paraId="045E42B9" w14:textId="77777777" w:rsidR="00214CD4" w:rsidRPr="00092B22" w:rsidRDefault="00214CD4" w:rsidP="00E607DA">
            <w:pPr>
              <w:jc w:val="right"/>
              <w:rPr>
                <w:rFonts w:ascii="Meta Pro" w:eastAsia="Times New Roman" w:hAnsi="Meta Pro"/>
                <w:szCs w:val="18"/>
                <w:lang w:eastAsia="en-AU"/>
              </w:rPr>
            </w:pPr>
          </w:p>
        </w:tc>
        <w:tc>
          <w:tcPr>
            <w:tcW w:w="1136" w:type="dxa"/>
            <w:tcBorders>
              <w:top w:val="nil"/>
              <w:left w:val="nil"/>
              <w:bottom w:val="nil"/>
              <w:right w:val="nil"/>
            </w:tcBorders>
            <w:shd w:val="clear" w:color="auto" w:fill="auto"/>
            <w:noWrap/>
            <w:vAlign w:val="center"/>
            <w:hideMark/>
          </w:tcPr>
          <w:p w14:paraId="2F326B8E"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216,753 </w:t>
            </w:r>
          </w:p>
        </w:tc>
        <w:tc>
          <w:tcPr>
            <w:tcW w:w="198" w:type="dxa"/>
            <w:tcBorders>
              <w:top w:val="nil"/>
              <w:left w:val="nil"/>
              <w:bottom w:val="nil"/>
              <w:right w:val="nil"/>
            </w:tcBorders>
            <w:shd w:val="clear" w:color="auto" w:fill="auto"/>
            <w:noWrap/>
            <w:vAlign w:val="center"/>
            <w:hideMark/>
          </w:tcPr>
          <w:p w14:paraId="3C54F0D7" w14:textId="77777777" w:rsidR="00214CD4" w:rsidRPr="00092B22" w:rsidRDefault="00214CD4" w:rsidP="00E607DA">
            <w:pPr>
              <w:jc w:val="right"/>
              <w:rPr>
                <w:rFonts w:ascii="Meta Pro" w:eastAsia="Times New Roman" w:hAnsi="Meta Pro"/>
                <w:szCs w:val="18"/>
                <w:lang w:eastAsia="en-AU"/>
              </w:rPr>
            </w:pPr>
          </w:p>
        </w:tc>
        <w:tc>
          <w:tcPr>
            <w:tcW w:w="1136" w:type="dxa"/>
            <w:tcBorders>
              <w:top w:val="nil"/>
              <w:left w:val="nil"/>
              <w:bottom w:val="nil"/>
              <w:right w:val="nil"/>
            </w:tcBorders>
            <w:shd w:val="clear" w:color="auto" w:fill="auto"/>
            <w:noWrap/>
            <w:vAlign w:val="center"/>
            <w:hideMark/>
          </w:tcPr>
          <w:p w14:paraId="21A8422C"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11,496 </w:t>
            </w:r>
          </w:p>
        </w:tc>
      </w:tr>
      <w:tr w:rsidR="00214CD4" w:rsidRPr="00092B22" w14:paraId="14B91F04" w14:textId="77777777" w:rsidTr="00E607DA">
        <w:trPr>
          <w:trHeight w:val="227"/>
        </w:trPr>
        <w:tc>
          <w:tcPr>
            <w:tcW w:w="5936" w:type="dxa"/>
            <w:tcBorders>
              <w:top w:val="nil"/>
              <w:left w:val="nil"/>
              <w:bottom w:val="nil"/>
              <w:right w:val="nil"/>
            </w:tcBorders>
            <w:shd w:val="clear" w:color="auto" w:fill="auto"/>
            <w:noWrap/>
            <w:vAlign w:val="center"/>
            <w:hideMark/>
          </w:tcPr>
          <w:p w14:paraId="34013B8E" w14:textId="77777777" w:rsidR="00214CD4" w:rsidRPr="00092B22" w:rsidRDefault="00214CD4" w:rsidP="00E607DA">
            <w:pPr>
              <w:rPr>
                <w:rFonts w:ascii="Meta Pro" w:eastAsia="Times New Roman" w:hAnsi="Meta Pro"/>
                <w:szCs w:val="18"/>
                <w:lang w:eastAsia="en-AU"/>
              </w:rPr>
            </w:pPr>
            <w:r w:rsidRPr="00092B22">
              <w:rPr>
                <w:rFonts w:ascii="Meta Pro" w:eastAsia="Times New Roman" w:hAnsi="Meta Pro"/>
                <w:szCs w:val="18"/>
                <w:lang w:eastAsia="en-AU"/>
              </w:rPr>
              <w:t>Service concession arrangements revenue</w:t>
            </w:r>
          </w:p>
        </w:tc>
        <w:tc>
          <w:tcPr>
            <w:tcW w:w="1136" w:type="dxa"/>
            <w:tcBorders>
              <w:top w:val="nil"/>
              <w:left w:val="nil"/>
              <w:bottom w:val="nil"/>
              <w:right w:val="nil"/>
            </w:tcBorders>
            <w:shd w:val="clear" w:color="auto" w:fill="auto"/>
            <w:noWrap/>
            <w:vAlign w:val="center"/>
            <w:hideMark/>
          </w:tcPr>
          <w:p w14:paraId="2E5685F0"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215,330 </w:t>
            </w:r>
          </w:p>
        </w:tc>
        <w:tc>
          <w:tcPr>
            <w:tcW w:w="198" w:type="dxa"/>
            <w:tcBorders>
              <w:top w:val="nil"/>
              <w:left w:val="nil"/>
              <w:bottom w:val="nil"/>
              <w:right w:val="nil"/>
            </w:tcBorders>
            <w:shd w:val="clear" w:color="auto" w:fill="auto"/>
            <w:noWrap/>
            <w:vAlign w:val="center"/>
            <w:hideMark/>
          </w:tcPr>
          <w:p w14:paraId="485D0960" w14:textId="77777777" w:rsidR="00214CD4" w:rsidRPr="00092B22" w:rsidRDefault="00214CD4" w:rsidP="00E607DA">
            <w:pPr>
              <w:jc w:val="right"/>
              <w:rPr>
                <w:rFonts w:ascii="Meta Pro" w:eastAsia="Times New Roman" w:hAnsi="Meta Pro"/>
                <w:szCs w:val="18"/>
                <w:lang w:eastAsia="en-AU"/>
              </w:rPr>
            </w:pPr>
          </w:p>
        </w:tc>
        <w:tc>
          <w:tcPr>
            <w:tcW w:w="1136" w:type="dxa"/>
            <w:tcBorders>
              <w:top w:val="nil"/>
              <w:left w:val="nil"/>
              <w:bottom w:val="nil"/>
              <w:right w:val="nil"/>
            </w:tcBorders>
            <w:shd w:val="clear" w:color="auto" w:fill="auto"/>
            <w:noWrap/>
            <w:vAlign w:val="center"/>
            <w:hideMark/>
          </w:tcPr>
          <w:p w14:paraId="343D82C4"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232,180 </w:t>
            </w:r>
          </w:p>
        </w:tc>
        <w:tc>
          <w:tcPr>
            <w:tcW w:w="198" w:type="dxa"/>
            <w:tcBorders>
              <w:top w:val="nil"/>
              <w:left w:val="nil"/>
              <w:bottom w:val="nil"/>
              <w:right w:val="nil"/>
            </w:tcBorders>
            <w:shd w:val="clear" w:color="auto" w:fill="auto"/>
            <w:noWrap/>
            <w:vAlign w:val="center"/>
            <w:hideMark/>
          </w:tcPr>
          <w:p w14:paraId="36CE5958" w14:textId="77777777" w:rsidR="00214CD4" w:rsidRPr="00092B22" w:rsidRDefault="00214CD4" w:rsidP="00E607DA">
            <w:pPr>
              <w:jc w:val="right"/>
              <w:rPr>
                <w:rFonts w:ascii="Meta Pro" w:eastAsia="Times New Roman" w:hAnsi="Meta Pro"/>
                <w:szCs w:val="18"/>
                <w:lang w:eastAsia="en-AU"/>
              </w:rPr>
            </w:pPr>
          </w:p>
        </w:tc>
        <w:tc>
          <w:tcPr>
            <w:tcW w:w="1136" w:type="dxa"/>
            <w:tcBorders>
              <w:top w:val="nil"/>
              <w:left w:val="nil"/>
              <w:bottom w:val="nil"/>
              <w:right w:val="nil"/>
            </w:tcBorders>
            <w:shd w:val="clear" w:color="auto" w:fill="auto"/>
            <w:noWrap/>
            <w:vAlign w:val="center"/>
            <w:hideMark/>
          </w:tcPr>
          <w:p w14:paraId="25464B07"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16,850 </w:t>
            </w:r>
          </w:p>
        </w:tc>
      </w:tr>
      <w:tr w:rsidR="00214CD4" w:rsidRPr="00092B22" w14:paraId="29C16230" w14:textId="77777777" w:rsidTr="00E607DA">
        <w:trPr>
          <w:trHeight w:val="227"/>
        </w:trPr>
        <w:tc>
          <w:tcPr>
            <w:tcW w:w="5936" w:type="dxa"/>
            <w:tcBorders>
              <w:top w:val="nil"/>
              <w:left w:val="nil"/>
              <w:bottom w:val="nil"/>
              <w:right w:val="nil"/>
            </w:tcBorders>
            <w:shd w:val="clear" w:color="auto" w:fill="auto"/>
            <w:noWrap/>
            <w:vAlign w:val="center"/>
            <w:hideMark/>
          </w:tcPr>
          <w:p w14:paraId="1CE79D45" w14:textId="77777777" w:rsidR="00214CD4" w:rsidRPr="00092B22" w:rsidRDefault="00214CD4" w:rsidP="00E607DA">
            <w:pPr>
              <w:rPr>
                <w:rFonts w:ascii="Meta Pro" w:eastAsia="Times New Roman" w:hAnsi="Meta Pro"/>
                <w:szCs w:val="18"/>
                <w:lang w:eastAsia="en-AU"/>
              </w:rPr>
            </w:pPr>
            <w:r w:rsidRPr="00092B22">
              <w:rPr>
                <w:rFonts w:ascii="Meta Pro" w:eastAsia="Times New Roman" w:hAnsi="Meta Pro"/>
                <w:szCs w:val="18"/>
                <w:lang w:eastAsia="en-AU"/>
              </w:rPr>
              <w:t>Other revenue</w:t>
            </w:r>
          </w:p>
        </w:tc>
        <w:tc>
          <w:tcPr>
            <w:tcW w:w="1136" w:type="dxa"/>
            <w:tcBorders>
              <w:top w:val="nil"/>
              <w:left w:val="nil"/>
              <w:bottom w:val="nil"/>
              <w:right w:val="nil"/>
            </w:tcBorders>
            <w:shd w:val="clear" w:color="auto" w:fill="auto"/>
            <w:noWrap/>
            <w:vAlign w:val="center"/>
            <w:hideMark/>
          </w:tcPr>
          <w:p w14:paraId="7C89181C"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16,615 </w:t>
            </w:r>
          </w:p>
        </w:tc>
        <w:tc>
          <w:tcPr>
            <w:tcW w:w="198" w:type="dxa"/>
            <w:tcBorders>
              <w:top w:val="nil"/>
              <w:left w:val="nil"/>
              <w:bottom w:val="nil"/>
              <w:right w:val="nil"/>
            </w:tcBorders>
            <w:shd w:val="clear" w:color="auto" w:fill="auto"/>
            <w:noWrap/>
            <w:vAlign w:val="center"/>
            <w:hideMark/>
          </w:tcPr>
          <w:p w14:paraId="326EE548" w14:textId="77777777" w:rsidR="00214CD4" w:rsidRPr="00092B22" w:rsidRDefault="00214CD4" w:rsidP="00E607DA">
            <w:pPr>
              <w:jc w:val="right"/>
              <w:rPr>
                <w:rFonts w:ascii="Meta Pro" w:eastAsia="Times New Roman" w:hAnsi="Meta Pro"/>
                <w:szCs w:val="18"/>
                <w:lang w:eastAsia="en-AU"/>
              </w:rPr>
            </w:pPr>
          </w:p>
        </w:tc>
        <w:tc>
          <w:tcPr>
            <w:tcW w:w="1136" w:type="dxa"/>
            <w:tcBorders>
              <w:top w:val="nil"/>
              <w:left w:val="nil"/>
              <w:bottom w:val="nil"/>
              <w:right w:val="nil"/>
            </w:tcBorders>
            <w:shd w:val="clear" w:color="auto" w:fill="auto"/>
            <w:noWrap/>
            <w:vAlign w:val="center"/>
            <w:hideMark/>
          </w:tcPr>
          <w:p w14:paraId="635EBF6A"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50,448 </w:t>
            </w:r>
          </w:p>
        </w:tc>
        <w:tc>
          <w:tcPr>
            <w:tcW w:w="198" w:type="dxa"/>
            <w:tcBorders>
              <w:top w:val="nil"/>
              <w:left w:val="nil"/>
              <w:bottom w:val="nil"/>
              <w:right w:val="nil"/>
            </w:tcBorders>
            <w:shd w:val="clear" w:color="auto" w:fill="auto"/>
            <w:noWrap/>
            <w:vAlign w:val="center"/>
            <w:hideMark/>
          </w:tcPr>
          <w:p w14:paraId="44E2318E" w14:textId="77777777" w:rsidR="00214CD4" w:rsidRPr="00092B22" w:rsidRDefault="00214CD4" w:rsidP="00E607DA">
            <w:pPr>
              <w:jc w:val="right"/>
              <w:rPr>
                <w:rFonts w:ascii="Meta Pro" w:eastAsia="Times New Roman" w:hAnsi="Meta Pro"/>
                <w:szCs w:val="18"/>
                <w:lang w:eastAsia="en-AU"/>
              </w:rPr>
            </w:pPr>
          </w:p>
        </w:tc>
        <w:tc>
          <w:tcPr>
            <w:tcW w:w="1136" w:type="dxa"/>
            <w:tcBorders>
              <w:top w:val="nil"/>
              <w:left w:val="nil"/>
              <w:bottom w:val="nil"/>
              <w:right w:val="nil"/>
            </w:tcBorders>
            <w:shd w:val="clear" w:color="auto" w:fill="auto"/>
            <w:noWrap/>
            <w:vAlign w:val="center"/>
            <w:hideMark/>
          </w:tcPr>
          <w:p w14:paraId="3493EB94"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33,833 </w:t>
            </w:r>
          </w:p>
        </w:tc>
      </w:tr>
      <w:tr w:rsidR="00214CD4" w:rsidRPr="00092B22" w14:paraId="569C4165" w14:textId="77777777" w:rsidTr="00E607DA">
        <w:trPr>
          <w:trHeight w:val="227"/>
        </w:trPr>
        <w:tc>
          <w:tcPr>
            <w:tcW w:w="5936" w:type="dxa"/>
            <w:tcBorders>
              <w:top w:val="single" w:sz="4" w:space="0" w:color="auto"/>
              <w:left w:val="nil"/>
              <w:bottom w:val="nil"/>
              <w:right w:val="nil"/>
            </w:tcBorders>
            <w:shd w:val="clear" w:color="auto" w:fill="auto"/>
            <w:noWrap/>
            <w:vAlign w:val="center"/>
            <w:hideMark/>
          </w:tcPr>
          <w:p w14:paraId="7AE0819B" w14:textId="77777777" w:rsidR="00214CD4" w:rsidRPr="00092B22" w:rsidRDefault="00214CD4" w:rsidP="00E607DA">
            <w:pPr>
              <w:rPr>
                <w:rFonts w:ascii="Meta Pro" w:eastAsia="Times New Roman" w:hAnsi="Meta Pro"/>
                <w:b/>
                <w:bCs/>
                <w:szCs w:val="18"/>
                <w:lang w:eastAsia="en-AU"/>
              </w:rPr>
            </w:pPr>
            <w:r w:rsidRPr="00092B22">
              <w:rPr>
                <w:rFonts w:ascii="Meta Pro" w:eastAsia="Times New Roman" w:hAnsi="Meta Pro"/>
                <w:b/>
                <w:bCs/>
                <w:szCs w:val="18"/>
                <w:lang w:eastAsia="en-AU"/>
              </w:rPr>
              <w:t>Total revenue</w:t>
            </w:r>
          </w:p>
        </w:tc>
        <w:tc>
          <w:tcPr>
            <w:tcW w:w="1136" w:type="dxa"/>
            <w:tcBorders>
              <w:top w:val="single" w:sz="4" w:space="0" w:color="auto"/>
              <w:left w:val="nil"/>
              <w:bottom w:val="nil"/>
              <w:right w:val="nil"/>
            </w:tcBorders>
            <w:shd w:val="clear" w:color="auto" w:fill="auto"/>
            <w:noWrap/>
            <w:vAlign w:val="center"/>
            <w:hideMark/>
          </w:tcPr>
          <w:p w14:paraId="11D92407" w14:textId="77777777" w:rsidR="00214CD4" w:rsidRPr="00092B22" w:rsidRDefault="00214CD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7,114,230 </w:t>
            </w:r>
          </w:p>
        </w:tc>
        <w:tc>
          <w:tcPr>
            <w:tcW w:w="198" w:type="dxa"/>
            <w:tcBorders>
              <w:top w:val="single" w:sz="4" w:space="0" w:color="auto"/>
              <w:left w:val="nil"/>
              <w:bottom w:val="nil"/>
              <w:right w:val="nil"/>
            </w:tcBorders>
            <w:shd w:val="clear" w:color="auto" w:fill="auto"/>
            <w:noWrap/>
            <w:vAlign w:val="center"/>
            <w:hideMark/>
          </w:tcPr>
          <w:p w14:paraId="5247D8D0" w14:textId="77777777" w:rsidR="00214CD4" w:rsidRPr="00092B22" w:rsidRDefault="00214CD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136" w:type="dxa"/>
            <w:tcBorders>
              <w:top w:val="single" w:sz="4" w:space="0" w:color="auto"/>
              <w:left w:val="nil"/>
              <w:bottom w:val="nil"/>
              <w:right w:val="nil"/>
            </w:tcBorders>
            <w:shd w:val="clear" w:color="auto" w:fill="auto"/>
            <w:noWrap/>
            <w:vAlign w:val="center"/>
            <w:hideMark/>
          </w:tcPr>
          <w:p w14:paraId="29558D37" w14:textId="77777777" w:rsidR="00214CD4" w:rsidRPr="00092B22" w:rsidRDefault="00214CD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7,130,203 </w:t>
            </w:r>
          </w:p>
        </w:tc>
        <w:tc>
          <w:tcPr>
            <w:tcW w:w="198" w:type="dxa"/>
            <w:tcBorders>
              <w:top w:val="single" w:sz="4" w:space="0" w:color="auto"/>
              <w:left w:val="nil"/>
              <w:bottom w:val="nil"/>
              <w:right w:val="nil"/>
            </w:tcBorders>
            <w:shd w:val="clear" w:color="auto" w:fill="auto"/>
            <w:noWrap/>
            <w:vAlign w:val="center"/>
            <w:hideMark/>
          </w:tcPr>
          <w:p w14:paraId="52172ECD" w14:textId="77777777" w:rsidR="00214CD4" w:rsidRPr="00092B22" w:rsidRDefault="00214CD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136" w:type="dxa"/>
            <w:tcBorders>
              <w:top w:val="single" w:sz="4" w:space="0" w:color="auto"/>
              <w:left w:val="nil"/>
              <w:bottom w:val="nil"/>
              <w:right w:val="nil"/>
            </w:tcBorders>
            <w:shd w:val="clear" w:color="auto" w:fill="auto"/>
            <w:noWrap/>
            <w:vAlign w:val="center"/>
            <w:hideMark/>
          </w:tcPr>
          <w:p w14:paraId="5E6B54AC" w14:textId="77777777" w:rsidR="00214CD4" w:rsidRPr="00092B22" w:rsidRDefault="00214CD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15,973 </w:t>
            </w:r>
          </w:p>
        </w:tc>
      </w:tr>
      <w:tr w:rsidR="00214CD4" w:rsidRPr="00092B22" w14:paraId="5C36DB61" w14:textId="77777777" w:rsidTr="00E607DA">
        <w:trPr>
          <w:trHeight w:val="227"/>
        </w:trPr>
        <w:tc>
          <w:tcPr>
            <w:tcW w:w="5936" w:type="dxa"/>
            <w:tcBorders>
              <w:top w:val="nil"/>
              <w:left w:val="nil"/>
              <w:bottom w:val="nil"/>
              <w:right w:val="nil"/>
            </w:tcBorders>
            <w:shd w:val="clear" w:color="auto" w:fill="auto"/>
            <w:noWrap/>
            <w:vAlign w:val="center"/>
            <w:hideMark/>
          </w:tcPr>
          <w:p w14:paraId="4385A3A5" w14:textId="77777777" w:rsidR="00214CD4" w:rsidRPr="00092B22" w:rsidRDefault="00214CD4" w:rsidP="00E607DA">
            <w:pPr>
              <w:jc w:val="right"/>
              <w:rPr>
                <w:rFonts w:ascii="Meta Pro" w:eastAsia="Times New Roman" w:hAnsi="Meta Pro"/>
                <w:b/>
                <w:bCs/>
                <w:szCs w:val="18"/>
                <w:lang w:eastAsia="en-AU"/>
              </w:rPr>
            </w:pPr>
          </w:p>
        </w:tc>
        <w:tc>
          <w:tcPr>
            <w:tcW w:w="1136" w:type="dxa"/>
            <w:tcBorders>
              <w:top w:val="nil"/>
              <w:left w:val="nil"/>
              <w:bottom w:val="nil"/>
              <w:right w:val="nil"/>
            </w:tcBorders>
            <w:shd w:val="clear" w:color="auto" w:fill="auto"/>
            <w:noWrap/>
            <w:vAlign w:val="center"/>
            <w:hideMark/>
          </w:tcPr>
          <w:p w14:paraId="78E3D69E" w14:textId="77777777" w:rsidR="00214CD4" w:rsidRPr="00092B22" w:rsidRDefault="00214CD4"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57AD57E5" w14:textId="77777777" w:rsidR="00214CD4" w:rsidRPr="00092B22" w:rsidRDefault="00214CD4" w:rsidP="00E607DA">
            <w:pPr>
              <w:rPr>
                <w:rFonts w:ascii="Meta Pro" w:eastAsia="Times New Roman" w:hAnsi="Meta Pro" w:cs="Times New Roman"/>
                <w:sz w:val="20"/>
                <w:szCs w:val="20"/>
                <w:lang w:eastAsia="en-AU"/>
              </w:rPr>
            </w:pPr>
          </w:p>
        </w:tc>
        <w:tc>
          <w:tcPr>
            <w:tcW w:w="1136" w:type="dxa"/>
            <w:tcBorders>
              <w:top w:val="nil"/>
              <w:left w:val="nil"/>
              <w:bottom w:val="nil"/>
              <w:right w:val="nil"/>
            </w:tcBorders>
            <w:shd w:val="clear" w:color="auto" w:fill="auto"/>
            <w:noWrap/>
            <w:vAlign w:val="center"/>
            <w:hideMark/>
          </w:tcPr>
          <w:p w14:paraId="3011C6A2" w14:textId="77777777" w:rsidR="00214CD4" w:rsidRPr="00092B22" w:rsidRDefault="00214CD4" w:rsidP="00E607DA">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34FDF18B" w14:textId="77777777" w:rsidR="00214CD4" w:rsidRPr="00092B22" w:rsidRDefault="00214CD4" w:rsidP="00E607DA">
            <w:pPr>
              <w:rPr>
                <w:rFonts w:ascii="Meta Pro" w:eastAsia="Times New Roman" w:hAnsi="Meta Pro" w:cs="Times New Roman"/>
                <w:sz w:val="20"/>
                <w:szCs w:val="20"/>
                <w:lang w:eastAsia="en-AU"/>
              </w:rPr>
            </w:pPr>
          </w:p>
        </w:tc>
        <w:tc>
          <w:tcPr>
            <w:tcW w:w="1136" w:type="dxa"/>
            <w:tcBorders>
              <w:top w:val="nil"/>
              <w:left w:val="nil"/>
              <w:bottom w:val="nil"/>
              <w:right w:val="nil"/>
            </w:tcBorders>
            <w:shd w:val="clear" w:color="auto" w:fill="auto"/>
            <w:noWrap/>
            <w:vAlign w:val="center"/>
            <w:hideMark/>
          </w:tcPr>
          <w:p w14:paraId="0D284049" w14:textId="77777777" w:rsidR="00214CD4" w:rsidRPr="00092B22" w:rsidRDefault="00214CD4" w:rsidP="00E607DA">
            <w:pPr>
              <w:jc w:val="right"/>
              <w:rPr>
                <w:rFonts w:ascii="Meta Pro" w:eastAsia="Times New Roman" w:hAnsi="Meta Pro" w:cs="Times New Roman"/>
                <w:sz w:val="20"/>
                <w:szCs w:val="20"/>
                <w:lang w:eastAsia="en-AU"/>
              </w:rPr>
            </w:pPr>
          </w:p>
        </w:tc>
      </w:tr>
      <w:tr w:rsidR="00214CD4" w:rsidRPr="00092B22" w14:paraId="7944C409" w14:textId="77777777" w:rsidTr="00E607DA">
        <w:trPr>
          <w:trHeight w:val="227"/>
        </w:trPr>
        <w:tc>
          <w:tcPr>
            <w:tcW w:w="5936" w:type="dxa"/>
            <w:tcBorders>
              <w:top w:val="nil"/>
              <w:left w:val="nil"/>
              <w:bottom w:val="nil"/>
              <w:right w:val="nil"/>
            </w:tcBorders>
            <w:shd w:val="clear" w:color="auto" w:fill="auto"/>
            <w:noWrap/>
            <w:vAlign w:val="center"/>
            <w:hideMark/>
          </w:tcPr>
          <w:p w14:paraId="3F8AEE2E" w14:textId="77777777" w:rsidR="00214CD4" w:rsidRPr="00092B22" w:rsidRDefault="00214CD4" w:rsidP="00E607DA">
            <w:pPr>
              <w:rPr>
                <w:rFonts w:ascii="Meta Pro" w:eastAsia="Times New Roman" w:hAnsi="Meta Pro"/>
                <w:szCs w:val="18"/>
                <w:lang w:eastAsia="en-AU"/>
              </w:rPr>
            </w:pPr>
            <w:r w:rsidRPr="00092B22">
              <w:rPr>
                <w:rFonts w:ascii="Meta Pro" w:eastAsia="Times New Roman" w:hAnsi="Meta Pro"/>
                <w:szCs w:val="18"/>
                <w:lang w:eastAsia="en-AU"/>
              </w:rPr>
              <w:t>Gains on disposal of assets</w:t>
            </w:r>
          </w:p>
        </w:tc>
        <w:tc>
          <w:tcPr>
            <w:tcW w:w="1136" w:type="dxa"/>
            <w:tcBorders>
              <w:top w:val="nil"/>
              <w:left w:val="nil"/>
              <w:bottom w:val="nil"/>
              <w:right w:val="nil"/>
            </w:tcBorders>
            <w:shd w:val="clear" w:color="auto" w:fill="auto"/>
            <w:noWrap/>
            <w:vAlign w:val="center"/>
            <w:hideMark/>
          </w:tcPr>
          <w:p w14:paraId="4FE041A9"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3,730 </w:t>
            </w:r>
          </w:p>
        </w:tc>
        <w:tc>
          <w:tcPr>
            <w:tcW w:w="198" w:type="dxa"/>
            <w:tcBorders>
              <w:top w:val="nil"/>
              <w:left w:val="nil"/>
              <w:bottom w:val="nil"/>
              <w:right w:val="nil"/>
            </w:tcBorders>
            <w:shd w:val="clear" w:color="auto" w:fill="auto"/>
            <w:noWrap/>
            <w:vAlign w:val="center"/>
            <w:hideMark/>
          </w:tcPr>
          <w:p w14:paraId="6943E043" w14:textId="77777777" w:rsidR="00214CD4" w:rsidRPr="00092B22" w:rsidRDefault="00214CD4" w:rsidP="00E607DA">
            <w:pPr>
              <w:jc w:val="right"/>
              <w:rPr>
                <w:rFonts w:ascii="Meta Pro" w:eastAsia="Times New Roman" w:hAnsi="Meta Pro"/>
                <w:szCs w:val="18"/>
                <w:lang w:eastAsia="en-AU"/>
              </w:rPr>
            </w:pPr>
          </w:p>
        </w:tc>
        <w:tc>
          <w:tcPr>
            <w:tcW w:w="1136" w:type="dxa"/>
            <w:tcBorders>
              <w:top w:val="nil"/>
              <w:left w:val="nil"/>
              <w:bottom w:val="nil"/>
              <w:right w:val="nil"/>
            </w:tcBorders>
            <w:shd w:val="clear" w:color="auto" w:fill="auto"/>
            <w:noWrap/>
            <w:vAlign w:val="center"/>
            <w:hideMark/>
          </w:tcPr>
          <w:p w14:paraId="6BFF4B72"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3,127 </w:t>
            </w:r>
          </w:p>
        </w:tc>
        <w:tc>
          <w:tcPr>
            <w:tcW w:w="198" w:type="dxa"/>
            <w:tcBorders>
              <w:top w:val="nil"/>
              <w:left w:val="nil"/>
              <w:bottom w:val="nil"/>
              <w:right w:val="nil"/>
            </w:tcBorders>
            <w:shd w:val="clear" w:color="auto" w:fill="auto"/>
            <w:noWrap/>
            <w:vAlign w:val="center"/>
            <w:hideMark/>
          </w:tcPr>
          <w:p w14:paraId="3BFE3DD7" w14:textId="77777777" w:rsidR="00214CD4" w:rsidRPr="00092B22" w:rsidRDefault="00214CD4" w:rsidP="00E607DA">
            <w:pPr>
              <w:jc w:val="right"/>
              <w:rPr>
                <w:rFonts w:ascii="Meta Pro" w:eastAsia="Times New Roman" w:hAnsi="Meta Pro"/>
                <w:szCs w:val="18"/>
                <w:lang w:eastAsia="en-AU"/>
              </w:rPr>
            </w:pPr>
          </w:p>
        </w:tc>
        <w:tc>
          <w:tcPr>
            <w:tcW w:w="1136" w:type="dxa"/>
            <w:tcBorders>
              <w:top w:val="nil"/>
              <w:left w:val="nil"/>
              <w:bottom w:val="nil"/>
              <w:right w:val="nil"/>
            </w:tcBorders>
            <w:shd w:val="clear" w:color="auto" w:fill="auto"/>
            <w:noWrap/>
            <w:vAlign w:val="center"/>
            <w:hideMark/>
          </w:tcPr>
          <w:p w14:paraId="23972A76"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(603)</w:t>
            </w:r>
          </w:p>
        </w:tc>
      </w:tr>
      <w:tr w:rsidR="00214CD4" w:rsidRPr="00092B22" w14:paraId="0E95CE02" w14:textId="77777777" w:rsidTr="00E607DA">
        <w:trPr>
          <w:trHeight w:val="227"/>
        </w:trPr>
        <w:tc>
          <w:tcPr>
            <w:tcW w:w="5936" w:type="dxa"/>
            <w:tcBorders>
              <w:top w:val="single" w:sz="4" w:space="0" w:color="auto"/>
              <w:left w:val="nil"/>
              <w:bottom w:val="nil"/>
              <w:right w:val="nil"/>
            </w:tcBorders>
            <w:shd w:val="clear" w:color="auto" w:fill="auto"/>
            <w:noWrap/>
            <w:vAlign w:val="center"/>
            <w:hideMark/>
          </w:tcPr>
          <w:p w14:paraId="5E217EEF" w14:textId="77777777" w:rsidR="00214CD4" w:rsidRPr="00092B22" w:rsidRDefault="00214CD4" w:rsidP="00E607DA">
            <w:pPr>
              <w:rPr>
                <w:rFonts w:ascii="Meta Pro" w:eastAsia="Times New Roman" w:hAnsi="Meta Pro"/>
                <w:b/>
                <w:bCs/>
                <w:szCs w:val="18"/>
                <w:lang w:eastAsia="en-AU"/>
              </w:rPr>
            </w:pPr>
            <w:r w:rsidRPr="00092B22">
              <w:rPr>
                <w:rFonts w:ascii="Meta Pro" w:eastAsia="Times New Roman" w:hAnsi="Meta Pro"/>
                <w:b/>
                <w:bCs/>
                <w:szCs w:val="18"/>
                <w:lang w:eastAsia="en-AU"/>
              </w:rPr>
              <w:t>Total income</w:t>
            </w:r>
          </w:p>
        </w:tc>
        <w:tc>
          <w:tcPr>
            <w:tcW w:w="1136" w:type="dxa"/>
            <w:tcBorders>
              <w:top w:val="single" w:sz="4" w:space="0" w:color="auto"/>
              <w:left w:val="nil"/>
              <w:bottom w:val="nil"/>
              <w:right w:val="nil"/>
            </w:tcBorders>
            <w:shd w:val="clear" w:color="auto" w:fill="auto"/>
            <w:noWrap/>
            <w:vAlign w:val="center"/>
            <w:hideMark/>
          </w:tcPr>
          <w:p w14:paraId="460F85CB" w14:textId="77777777" w:rsidR="00214CD4" w:rsidRPr="00092B22" w:rsidRDefault="00214CD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7,117,960 </w:t>
            </w:r>
          </w:p>
        </w:tc>
        <w:tc>
          <w:tcPr>
            <w:tcW w:w="198" w:type="dxa"/>
            <w:tcBorders>
              <w:top w:val="single" w:sz="4" w:space="0" w:color="auto"/>
              <w:left w:val="nil"/>
              <w:bottom w:val="nil"/>
              <w:right w:val="nil"/>
            </w:tcBorders>
            <w:shd w:val="clear" w:color="auto" w:fill="auto"/>
            <w:noWrap/>
            <w:vAlign w:val="center"/>
            <w:hideMark/>
          </w:tcPr>
          <w:p w14:paraId="5C8C96F5" w14:textId="77777777" w:rsidR="00214CD4" w:rsidRPr="00092B22" w:rsidRDefault="00214CD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136" w:type="dxa"/>
            <w:tcBorders>
              <w:top w:val="single" w:sz="4" w:space="0" w:color="auto"/>
              <w:left w:val="nil"/>
              <w:bottom w:val="nil"/>
              <w:right w:val="nil"/>
            </w:tcBorders>
            <w:shd w:val="clear" w:color="auto" w:fill="auto"/>
            <w:noWrap/>
            <w:vAlign w:val="center"/>
            <w:hideMark/>
          </w:tcPr>
          <w:p w14:paraId="18882985" w14:textId="77777777" w:rsidR="00214CD4" w:rsidRPr="00092B22" w:rsidRDefault="00214CD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7,133,330 </w:t>
            </w:r>
          </w:p>
        </w:tc>
        <w:tc>
          <w:tcPr>
            <w:tcW w:w="198" w:type="dxa"/>
            <w:tcBorders>
              <w:top w:val="single" w:sz="4" w:space="0" w:color="auto"/>
              <w:left w:val="nil"/>
              <w:bottom w:val="nil"/>
              <w:right w:val="nil"/>
            </w:tcBorders>
            <w:shd w:val="clear" w:color="auto" w:fill="auto"/>
            <w:noWrap/>
            <w:vAlign w:val="center"/>
            <w:hideMark/>
          </w:tcPr>
          <w:p w14:paraId="3AAD981A" w14:textId="77777777" w:rsidR="00214CD4" w:rsidRPr="00092B22" w:rsidRDefault="00214CD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136" w:type="dxa"/>
            <w:tcBorders>
              <w:top w:val="single" w:sz="4" w:space="0" w:color="auto"/>
              <w:left w:val="nil"/>
              <w:bottom w:val="nil"/>
              <w:right w:val="nil"/>
            </w:tcBorders>
            <w:shd w:val="clear" w:color="auto" w:fill="auto"/>
            <w:noWrap/>
            <w:vAlign w:val="center"/>
            <w:hideMark/>
          </w:tcPr>
          <w:p w14:paraId="30B0ED8B" w14:textId="77777777" w:rsidR="00214CD4" w:rsidRPr="00092B22" w:rsidRDefault="00214CD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15,370 </w:t>
            </w:r>
          </w:p>
        </w:tc>
      </w:tr>
      <w:tr w:rsidR="00214CD4" w:rsidRPr="00092B22" w14:paraId="4E302F9E" w14:textId="77777777" w:rsidTr="00E607DA">
        <w:trPr>
          <w:trHeight w:val="227"/>
        </w:trPr>
        <w:tc>
          <w:tcPr>
            <w:tcW w:w="5936" w:type="dxa"/>
            <w:tcBorders>
              <w:top w:val="nil"/>
              <w:left w:val="nil"/>
              <w:bottom w:val="nil"/>
              <w:right w:val="nil"/>
            </w:tcBorders>
            <w:shd w:val="clear" w:color="auto" w:fill="auto"/>
            <w:noWrap/>
            <w:vAlign w:val="center"/>
            <w:hideMark/>
          </w:tcPr>
          <w:p w14:paraId="240CD468" w14:textId="77777777" w:rsidR="00214CD4" w:rsidRPr="00092B22" w:rsidRDefault="00214CD4" w:rsidP="00E607DA">
            <w:pPr>
              <w:jc w:val="right"/>
              <w:rPr>
                <w:rFonts w:ascii="Meta Pro" w:eastAsia="Times New Roman" w:hAnsi="Meta Pro"/>
                <w:b/>
                <w:bCs/>
                <w:szCs w:val="18"/>
                <w:lang w:eastAsia="en-AU"/>
              </w:rPr>
            </w:pPr>
          </w:p>
        </w:tc>
        <w:tc>
          <w:tcPr>
            <w:tcW w:w="1136" w:type="dxa"/>
            <w:tcBorders>
              <w:top w:val="nil"/>
              <w:left w:val="nil"/>
              <w:bottom w:val="nil"/>
              <w:right w:val="nil"/>
            </w:tcBorders>
            <w:shd w:val="clear" w:color="auto" w:fill="auto"/>
            <w:noWrap/>
            <w:vAlign w:val="center"/>
            <w:hideMark/>
          </w:tcPr>
          <w:p w14:paraId="1B3D5DAB" w14:textId="77777777" w:rsidR="00214CD4" w:rsidRPr="00092B22" w:rsidRDefault="00214CD4"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1C3F3254" w14:textId="77777777" w:rsidR="00214CD4" w:rsidRPr="00092B22" w:rsidRDefault="00214CD4" w:rsidP="00E607DA">
            <w:pPr>
              <w:jc w:val="right"/>
              <w:rPr>
                <w:rFonts w:ascii="Meta Pro" w:eastAsia="Times New Roman" w:hAnsi="Meta Pro" w:cs="Times New Roman"/>
                <w:sz w:val="20"/>
                <w:szCs w:val="20"/>
                <w:lang w:eastAsia="en-AU"/>
              </w:rPr>
            </w:pPr>
          </w:p>
        </w:tc>
        <w:tc>
          <w:tcPr>
            <w:tcW w:w="1136" w:type="dxa"/>
            <w:tcBorders>
              <w:top w:val="nil"/>
              <w:left w:val="nil"/>
              <w:bottom w:val="nil"/>
              <w:right w:val="nil"/>
            </w:tcBorders>
            <w:shd w:val="clear" w:color="auto" w:fill="auto"/>
            <w:noWrap/>
            <w:vAlign w:val="center"/>
            <w:hideMark/>
          </w:tcPr>
          <w:p w14:paraId="3F7A85C0" w14:textId="77777777" w:rsidR="00214CD4" w:rsidRPr="00092B22" w:rsidRDefault="00214CD4" w:rsidP="00E607DA">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5A69EA4B" w14:textId="77777777" w:rsidR="00214CD4" w:rsidRPr="00092B22" w:rsidRDefault="00214CD4" w:rsidP="00E607DA">
            <w:pPr>
              <w:jc w:val="right"/>
              <w:rPr>
                <w:rFonts w:ascii="Meta Pro" w:eastAsia="Times New Roman" w:hAnsi="Meta Pro" w:cs="Times New Roman"/>
                <w:sz w:val="20"/>
                <w:szCs w:val="20"/>
                <w:lang w:eastAsia="en-AU"/>
              </w:rPr>
            </w:pPr>
          </w:p>
        </w:tc>
        <w:tc>
          <w:tcPr>
            <w:tcW w:w="1136" w:type="dxa"/>
            <w:tcBorders>
              <w:top w:val="nil"/>
              <w:left w:val="nil"/>
              <w:bottom w:val="nil"/>
              <w:right w:val="nil"/>
            </w:tcBorders>
            <w:shd w:val="clear" w:color="auto" w:fill="auto"/>
            <w:noWrap/>
            <w:vAlign w:val="center"/>
            <w:hideMark/>
          </w:tcPr>
          <w:p w14:paraId="2C4E2D64" w14:textId="77777777" w:rsidR="00214CD4" w:rsidRPr="00092B22" w:rsidRDefault="00214CD4" w:rsidP="00E607DA">
            <w:pPr>
              <w:jc w:val="right"/>
              <w:rPr>
                <w:rFonts w:ascii="Meta Pro" w:eastAsia="Times New Roman" w:hAnsi="Meta Pro" w:cs="Times New Roman"/>
                <w:sz w:val="20"/>
                <w:szCs w:val="20"/>
                <w:lang w:eastAsia="en-AU"/>
              </w:rPr>
            </w:pPr>
          </w:p>
        </w:tc>
      </w:tr>
      <w:tr w:rsidR="00214CD4" w:rsidRPr="00092B22" w14:paraId="4B96DF5D" w14:textId="77777777" w:rsidTr="00E607DA">
        <w:trPr>
          <w:trHeight w:val="227"/>
        </w:trPr>
        <w:tc>
          <w:tcPr>
            <w:tcW w:w="5936" w:type="dxa"/>
            <w:tcBorders>
              <w:top w:val="nil"/>
              <w:left w:val="nil"/>
              <w:bottom w:val="nil"/>
              <w:right w:val="nil"/>
            </w:tcBorders>
            <w:shd w:val="clear" w:color="auto" w:fill="auto"/>
            <w:noWrap/>
            <w:vAlign w:val="center"/>
            <w:hideMark/>
          </w:tcPr>
          <w:p w14:paraId="299F9585" w14:textId="77777777" w:rsidR="00214CD4" w:rsidRPr="00092B22" w:rsidRDefault="00214CD4" w:rsidP="00E607DA">
            <w:pPr>
              <w:rPr>
                <w:rFonts w:ascii="Meta Pro" w:eastAsia="Times New Roman" w:hAnsi="Meta Pro"/>
                <w:b/>
                <w:bCs/>
                <w:szCs w:val="18"/>
                <w:lang w:eastAsia="en-AU"/>
              </w:rPr>
            </w:pPr>
            <w:r w:rsidRPr="00092B22">
              <w:rPr>
                <w:rFonts w:ascii="Meta Pro" w:eastAsia="Times New Roman" w:hAnsi="Meta Pro"/>
                <w:b/>
                <w:bCs/>
                <w:szCs w:val="18"/>
                <w:lang w:eastAsia="en-AU"/>
              </w:rPr>
              <w:lastRenderedPageBreak/>
              <w:t>Expenses</w:t>
            </w:r>
          </w:p>
        </w:tc>
        <w:tc>
          <w:tcPr>
            <w:tcW w:w="1136" w:type="dxa"/>
            <w:tcBorders>
              <w:top w:val="nil"/>
              <w:left w:val="nil"/>
              <w:bottom w:val="nil"/>
              <w:right w:val="nil"/>
            </w:tcBorders>
            <w:shd w:val="clear" w:color="auto" w:fill="auto"/>
            <w:vAlign w:val="center"/>
            <w:hideMark/>
          </w:tcPr>
          <w:p w14:paraId="6A37CFFA" w14:textId="77777777" w:rsidR="00214CD4" w:rsidRPr="00092B22" w:rsidRDefault="00214CD4" w:rsidP="00E607DA">
            <w:pPr>
              <w:rPr>
                <w:rFonts w:ascii="Meta Pro" w:eastAsia="Times New Roman" w:hAnsi="Meta Pro"/>
                <w:b/>
                <w:bCs/>
                <w:szCs w:val="18"/>
                <w:lang w:eastAsia="en-AU"/>
              </w:rPr>
            </w:pPr>
          </w:p>
        </w:tc>
        <w:tc>
          <w:tcPr>
            <w:tcW w:w="198" w:type="dxa"/>
            <w:tcBorders>
              <w:top w:val="nil"/>
              <w:left w:val="nil"/>
              <w:bottom w:val="nil"/>
              <w:right w:val="nil"/>
            </w:tcBorders>
            <w:shd w:val="clear" w:color="auto" w:fill="auto"/>
            <w:vAlign w:val="center"/>
            <w:hideMark/>
          </w:tcPr>
          <w:p w14:paraId="7A32A0A7" w14:textId="77777777" w:rsidR="00214CD4" w:rsidRPr="00092B22" w:rsidRDefault="00214CD4" w:rsidP="00E607DA">
            <w:pPr>
              <w:rPr>
                <w:rFonts w:ascii="Meta Pro" w:eastAsia="Times New Roman" w:hAnsi="Meta Pro" w:cs="Times New Roman"/>
                <w:sz w:val="20"/>
                <w:szCs w:val="20"/>
                <w:lang w:eastAsia="en-AU"/>
              </w:rPr>
            </w:pPr>
          </w:p>
        </w:tc>
        <w:tc>
          <w:tcPr>
            <w:tcW w:w="1136" w:type="dxa"/>
            <w:tcBorders>
              <w:top w:val="nil"/>
              <w:left w:val="nil"/>
              <w:bottom w:val="nil"/>
              <w:right w:val="nil"/>
            </w:tcBorders>
            <w:shd w:val="clear" w:color="auto" w:fill="auto"/>
            <w:vAlign w:val="center"/>
            <w:hideMark/>
          </w:tcPr>
          <w:p w14:paraId="034A2A05" w14:textId="77777777" w:rsidR="00214CD4" w:rsidRPr="00092B22" w:rsidRDefault="00214CD4" w:rsidP="00E607DA">
            <w:pPr>
              <w:jc w:val="cente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vAlign w:val="center"/>
            <w:hideMark/>
          </w:tcPr>
          <w:p w14:paraId="4F3AC554" w14:textId="77777777" w:rsidR="00214CD4" w:rsidRPr="00092B22" w:rsidRDefault="00214CD4" w:rsidP="00E607DA">
            <w:pPr>
              <w:rPr>
                <w:rFonts w:ascii="Meta Pro" w:eastAsia="Times New Roman" w:hAnsi="Meta Pro" w:cs="Times New Roman"/>
                <w:sz w:val="20"/>
                <w:szCs w:val="20"/>
                <w:lang w:eastAsia="en-AU"/>
              </w:rPr>
            </w:pPr>
          </w:p>
        </w:tc>
        <w:tc>
          <w:tcPr>
            <w:tcW w:w="1136" w:type="dxa"/>
            <w:tcBorders>
              <w:top w:val="nil"/>
              <w:left w:val="nil"/>
              <w:bottom w:val="nil"/>
              <w:right w:val="nil"/>
            </w:tcBorders>
            <w:shd w:val="clear" w:color="auto" w:fill="auto"/>
            <w:noWrap/>
            <w:vAlign w:val="center"/>
            <w:hideMark/>
          </w:tcPr>
          <w:p w14:paraId="1CB0F43F" w14:textId="77777777" w:rsidR="00214CD4" w:rsidRPr="00092B22" w:rsidRDefault="00214CD4" w:rsidP="00E607DA">
            <w:pPr>
              <w:jc w:val="center"/>
              <w:rPr>
                <w:rFonts w:ascii="Meta Pro" w:eastAsia="Times New Roman" w:hAnsi="Meta Pro" w:cs="Times New Roman"/>
                <w:sz w:val="20"/>
                <w:szCs w:val="20"/>
                <w:lang w:eastAsia="en-AU"/>
              </w:rPr>
            </w:pPr>
          </w:p>
        </w:tc>
      </w:tr>
      <w:tr w:rsidR="00214CD4" w:rsidRPr="00092B22" w14:paraId="2C6FAF6E" w14:textId="77777777" w:rsidTr="00E607DA">
        <w:trPr>
          <w:trHeight w:val="227"/>
        </w:trPr>
        <w:tc>
          <w:tcPr>
            <w:tcW w:w="5936" w:type="dxa"/>
            <w:tcBorders>
              <w:top w:val="nil"/>
              <w:left w:val="nil"/>
              <w:bottom w:val="nil"/>
              <w:right w:val="nil"/>
            </w:tcBorders>
            <w:shd w:val="clear" w:color="auto" w:fill="auto"/>
            <w:noWrap/>
            <w:vAlign w:val="center"/>
            <w:hideMark/>
          </w:tcPr>
          <w:p w14:paraId="7603E1C0" w14:textId="77777777" w:rsidR="00214CD4" w:rsidRPr="00092B22" w:rsidRDefault="00214CD4" w:rsidP="00E607DA">
            <w:pPr>
              <w:rPr>
                <w:rFonts w:ascii="Meta Pro" w:eastAsia="Times New Roman" w:hAnsi="Meta Pro"/>
                <w:szCs w:val="18"/>
                <w:lang w:eastAsia="en-AU"/>
              </w:rPr>
            </w:pPr>
            <w:r w:rsidRPr="00092B22">
              <w:rPr>
                <w:rFonts w:ascii="Meta Pro" w:eastAsia="Times New Roman" w:hAnsi="Meta Pro"/>
                <w:szCs w:val="18"/>
                <w:lang w:eastAsia="en-AU"/>
              </w:rPr>
              <w:t>Employee expenses</w:t>
            </w:r>
          </w:p>
        </w:tc>
        <w:tc>
          <w:tcPr>
            <w:tcW w:w="1136" w:type="dxa"/>
            <w:tcBorders>
              <w:top w:val="nil"/>
              <w:left w:val="nil"/>
              <w:bottom w:val="nil"/>
              <w:right w:val="nil"/>
            </w:tcBorders>
            <w:shd w:val="clear" w:color="auto" w:fill="auto"/>
            <w:noWrap/>
            <w:vAlign w:val="center"/>
            <w:hideMark/>
          </w:tcPr>
          <w:p w14:paraId="0DF88355"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613,189 </w:t>
            </w:r>
          </w:p>
        </w:tc>
        <w:tc>
          <w:tcPr>
            <w:tcW w:w="198" w:type="dxa"/>
            <w:tcBorders>
              <w:top w:val="nil"/>
              <w:left w:val="nil"/>
              <w:bottom w:val="nil"/>
              <w:right w:val="nil"/>
            </w:tcBorders>
            <w:shd w:val="clear" w:color="auto" w:fill="auto"/>
            <w:noWrap/>
            <w:vAlign w:val="center"/>
            <w:hideMark/>
          </w:tcPr>
          <w:p w14:paraId="11D2FBAB" w14:textId="77777777" w:rsidR="00214CD4" w:rsidRPr="00092B22" w:rsidRDefault="00214CD4" w:rsidP="00E607DA">
            <w:pPr>
              <w:jc w:val="right"/>
              <w:rPr>
                <w:rFonts w:ascii="Meta Pro" w:eastAsia="Times New Roman" w:hAnsi="Meta Pro"/>
                <w:szCs w:val="18"/>
                <w:lang w:eastAsia="en-AU"/>
              </w:rPr>
            </w:pPr>
          </w:p>
        </w:tc>
        <w:tc>
          <w:tcPr>
            <w:tcW w:w="1136" w:type="dxa"/>
            <w:tcBorders>
              <w:top w:val="nil"/>
              <w:left w:val="nil"/>
              <w:bottom w:val="nil"/>
              <w:right w:val="nil"/>
            </w:tcBorders>
            <w:shd w:val="clear" w:color="auto" w:fill="auto"/>
            <w:noWrap/>
            <w:vAlign w:val="center"/>
            <w:hideMark/>
          </w:tcPr>
          <w:p w14:paraId="660D93E7"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650,326 </w:t>
            </w:r>
          </w:p>
        </w:tc>
        <w:tc>
          <w:tcPr>
            <w:tcW w:w="198" w:type="dxa"/>
            <w:tcBorders>
              <w:top w:val="nil"/>
              <w:left w:val="nil"/>
              <w:bottom w:val="nil"/>
              <w:right w:val="nil"/>
            </w:tcBorders>
            <w:shd w:val="clear" w:color="auto" w:fill="auto"/>
            <w:noWrap/>
            <w:vAlign w:val="center"/>
            <w:hideMark/>
          </w:tcPr>
          <w:p w14:paraId="31EFFB61" w14:textId="77777777" w:rsidR="00214CD4" w:rsidRPr="00092B22" w:rsidRDefault="00214CD4" w:rsidP="00E607DA">
            <w:pPr>
              <w:jc w:val="right"/>
              <w:rPr>
                <w:rFonts w:ascii="Meta Pro" w:eastAsia="Times New Roman" w:hAnsi="Meta Pro"/>
                <w:szCs w:val="18"/>
                <w:lang w:eastAsia="en-AU"/>
              </w:rPr>
            </w:pPr>
          </w:p>
        </w:tc>
        <w:tc>
          <w:tcPr>
            <w:tcW w:w="1136" w:type="dxa"/>
            <w:tcBorders>
              <w:top w:val="nil"/>
              <w:left w:val="nil"/>
              <w:bottom w:val="nil"/>
              <w:right w:val="nil"/>
            </w:tcBorders>
            <w:shd w:val="clear" w:color="auto" w:fill="auto"/>
            <w:noWrap/>
            <w:vAlign w:val="center"/>
            <w:hideMark/>
          </w:tcPr>
          <w:p w14:paraId="5E8B98BF"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37,137 </w:t>
            </w:r>
          </w:p>
        </w:tc>
      </w:tr>
      <w:tr w:rsidR="00214CD4" w:rsidRPr="00092B22" w14:paraId="429BB0D8" w14:textId="77777777" w:rsidTr="00E607DA">
        <w:trPr>
          <w:trHeight w:val="227"/>
        </w:trPr>
        <w:tc>
          <w:tcPr>
            <w:tcW w:w="5936" w:type="dxa"/>
            <w:tcBorders>
              <w:top w:val="nil"/>
              <w:left w:val="nil"/>
              <w:bottom w:val="nil"/>
              <w:right w:val="nil"/>
            </w:tcBorders>
            <w:shd w:val="clear" w:color="auto" w:fill="auto"/>
            <w:noWrap/>
            <w:vAlign w:val="center"/>
            <w:hideMark/>
          </w:tcPr>
          <w:p w14:paraId="53A9D2D8" w14:textId="77777777" w:rsidR="00214CD4" w:rsidRPr="00092B22" w:rsidRDefault="00214CD4" w:rsidP="00E607DA">
            <w:pPr>
              <w:rPr>
                <w:rFonts w:ascii="Meta Pro" w:eastAsia="Times New Roman" w:hAnsi="Meta Pro"/>
                <w:szCs w:val="18"/>
                <w:lang w:eastAsia="en-AU"/>
              </w:rPr>
            </w:pPr>
            <w:r w:rsidRPr="00092B22">
              <w:rPr>
                <w:rFonts w:ascii="Meta Pro" w:eastAsia="Times New Roman" w:hAnsi="Meta Pro"/>
                <w:szCs w:val="18"/>
                <w:lang w:eastAsia="en-AU"/>
              </w:rPr>
              <w:t>Supplies and services</w:t>
            </w:r>
          </w:p>
        </w:tc>
        <w:tc>
          <w:tcPr>
            <w:tcW w:w="1136" w:type="dxa"/>
            <w:tcBorders>
              <w:top w:val="nil"/>
              <w:left w:val="nil"/>
              <w:bottom w:val="nil"/>
              <w:right w:val="nil"/>
            </w:tcBorders>
            <w:shd w:val="clear" w:color="auto" w:fill="auto"/>
            <w:noWrap/>
            <w:vAlign w:val="center"/>
            <w:hideMark/>
          </w:tcPr>
          <w:p w14:paraId="350A980A"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4,097,974 </w:t>
            </w:r>
          </w:p>
        </w:tc>
        <w:tc>
          <w:tcPr>
            <w:tcW w:w="198" w:type="dxa"/>
            <w:tcBorders>
              <w:top w:val="nil"/>
              <w:left w:val="nil"/>
              <w:bottom w:val="nil"/>
              <w:right w:val="nil"/>
            </w:tcBorders>
            <w:shd w:val="clear" w:color="auto" w:fill="auto"/>
            <w:noWrap/>
            <w:vAlign w:val="center"/>
            <w:hideMark/>
          </w:tcPr>
          <w:p w14:paraId="72777CDD" w14:textId="77777777" w:rsidR="00214CD4" w:rsidRPr="00092B22" w:rsidRDefault="00214CD4" w:rsidP="00E607DA">
            <w:pPr>
              <w:jc w:val="right"/>
              <w:rPr>
                <w:rFonts w:ascii="Meta Pro" w:eastAsia="Times New Roman" w:hAnsi="Meta Pro"/>
                <w:szCs w:val="18"/>
                <w:lang w:eastAsia="en-AU"/>
              </w:rPr>
            </w:pPr>
          </w:p>
        </w:tc>
        <w:tc>
          <w:tcPr>
            <w:tcW w:w="1136" w:type="dxa"/>
            <w:tcBorders>
              <w:top w:val="nil"/>
              <w:left w:val="nil"/>
              <w:bottom w:val="nil"/>
              <w:right w:val="nil"/>
            </w:tcBorders>
            <w:shd w:val="clear" w:color="auto" w:fill="auto"/>
            <w:noWrap/>
            <w:vAlign w:val="center"/>
            <w:hideMark/>
          </w:tcPr>
          <w:p w14:paraId="6CFE2431"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4,250,502 </w:t>
            </w:r>
          </w:p>
        </w:tc>
        <w:tc>
          <w:tcPr>
            <w:tcW w:w="198" w:type="dxa"/>
            <w:tcBorders>
              <w:top w:val="nil"/>
              <w:left w:val="nil"/>
              <w:bottom w:val="nil"/>
              <w:right w:val="nil"/>
            </w:tcBorders>
            <w:shd w:val="clear" w:color="auto" w:fill="auto"/>
            <w:noWrap/>
            <w:vAlign w:val="center"/>
            <w:hideMark/>
          </w:tcPr>
          <w:p w14:paraId="6CBF5A05" w14:textId="77777777" w:rsidR="00214CD4" w:rsidRPr="00092B22" w:rsidRDefault="00214CD4" w:rsidP="00E607DA">
            <w:pPr>
              <w:jc w:val="right"/>
              <w:rPr>
                <w:rFonts w:ascii="Meta Pro" w:eastAsia="Times New Roman" w:hAnsi="Meta Pro"/>
                <w:szCs w:val="18"/>
                <w:lang w:eastAsia="en-AU"/>
              </w:rPr>
            </w:pPr>
          </w:p>
        </w:tc>
        <w:tc>
          <w:tcPr>
            <w:tcW w:w="1136" w:type="dxa"/>
            <w:tcBorders>
              <w:top w:val="nil"/>
              <w:left w:val="nil"/>
              <w:bottom w:val="nil"/>
              <w:right w:val="nil"/>
            </w:tcBorders>
            <w:shd w:val="clear" w:color="auto" w:fill="auto"/>
            <w:noWrap/>
            <w:vAlign w:val="center"/>
            <w:hideMark/>
          </w:tcPr>
          <w:p w14:paraId="03ED5327"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152,528 </w:t>
            </w:r>
          </w:p>
        </w:tc>
      </w:tr>
      <w:tr w:rsidR="00214CD4" w:rsidRPr="00092B22" w14:paraId="0124F3AE" w14:textId="77777777" w:rsidTr="00E607DA">
        <w:trPr>
          <w:trHeight w:val="227"/>
        </w:trPr>
        <w:tc>
          <w:tcPr>
            <w:tcW w:w="5936" w:type="dxa"/>
            <w:tcBorders>
              <w:top w:val="nil"/>
              <w:left w:val="nil"/>
              <w:bottom w:val="nil"/>
              <w:right w:val="nil"/>
            </w:tcBorders>
            <w:shd w:val="clear" w:color="auto" w:fill="auto"/>
            <w:noWrap/>
            <w:vAlign w:val="center"/>
            <w:hideMark/>
          </w:tcPr>
          <w:p w14:paraId="69DC38B7" w14:textId="77777777" w:rsidR="00214CD4" w:rsidRPr="00092B22" w:rsidRDefault="00214CD4" w:rsidP="00E607DA">
            <w:pPr>
              <w:rPr>
                <w:rFonts w:ascii="Meta Pro" w:eastAsia="Times New Roman" w:hAnsi="Meta Pro"/>
                <w:szCs w:val="18"/>
                <w:lang w:eastAsia="en-AU"/>
              </w:rPr>
            </w:pPr>
            <w:r w:rsidRPr="00092B22">
              <w:rPr>
                <w:rFonts w:ascii="Meta Pro" w:eastAsia="Times New Roman" w:hAnsi="Meta Pro"/>
                <w:szCs w:val="18"/>
                <w:lang w:eastAsia="en-AU"/>
              </w:rPr>
              <w:t xml:space="preserve">Grants and subsidies </w:t>
            </w:r>
          </w:p>
        </w:tc>
        <w:tc>
          <w:tcPr>
            <w:tcW w:w="1136" w:type="dxa"/>
            <w:tcBorders>
              <w:top w:val="nil"/>
              <w:left w:val="nil"/>
              <w:bottom w:val="nil"/>
              <w:right w:val="nil"/>
            </w:tcBorders>
            <w:shd w:val="clear" w:color="auto" w:fill="auto"/>
            <w:noWrap/>
            <w:vAlign w:val="center"/>
            <w:hideMark/>
          </w:tcPr>
          <w:p w14:paraId="4078B40D"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766,490 </w:t>
            </w:r>
          </w:p>
        </w:tc>
        <w:tc>
          <w:tcPr>
            <w:tcW w:w="198" w:type="dxa"/>
            <w:tcBorders>
              <w:top w:val="nil"/>
              <w:left w:val="nil"/>
              <w:bottom w:val="nil"/>
              <w:right w:val="nil"/>
            </w:tcBorders>
            <w:shd w:val="clear" w:color="auto" w:fill="auto"/>
            <w:noWrap/>
            <w:vAlign w:val="center"/>
            <w:hideMark/>
          </w:tcPr>
          <w:p w14:paraId="71A01BF4" w14:textId="77777777" w:rsidR="00214CD4" w:rsidRPr="00092B22" w:rsidRDefault="00214CD4" w:rsidP="00E607DA">
            <w:pPr>
              <w:jc w:val="right"/>
              <w:rPr>
                <w:rFonts w:ascii="Meta Pro" w:eastAsia="Times New Roman" w:hAnsi="Meta Pro"/>
                <w:szCs w:val="18"/>
                <w:lang w:eastAsia="en-AU"/>
              </w:rPr>
            </w:pPr>
          </w:p>
        </w:tc>
        <w:tc>
          <w:tcPr>
            <w:tcW w:w="1136" w:type="dxa"/>
            <w:tcBorders>
              <w:top w:val="nil"/>
              <w:left w:val="nil"/>
              <w:bottom w:val="nil"/>
              <w:right w:val="nil"/>
            </w:tcBorders>
            <w:shd w:val="clear" w:color="auto" w:fill="auto"/>
            <w:noWrap/>
            <w:vAlign w:val="center"/>
            <w:hideMark/>
          </w:tcPr>
          <w:p w14:paraId="265D598D"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812,378 </w:t>
            </w:r>
          </w:p>
        </w:tc>
        <w:tc>
          <w:tcPr>
            <w:tcW w:w="198" w:type="dxa"/>
            <w:tcBorders>
              <w:top w:val="nil"/>
              <w:left w:val="nil"/>
              <w:bottom w:val="nil"/>
              <w:right w:val="nil"/>
            </w:tcBorders>
            <w:shd w:val="clear" w:color="auto" w:fill="auto"/>
            <w:noWrap/>
            <w:vAlign w:val="center"/>
            <w:hideMark/>
          </w:tcPr>
          <w:p w14:paraId="66413E14" w14:textId="77777777" w:rsidR="00214CD4" w:rsidRPr="00092B22" w:rsidRDefault="00214CD4" w:rsidP="00E607DA">
            <w:pPr>
              <w:jc w:val="right"/>
              <w:rPr>
                <w:rFonts w:ascii="Meta Pro" w:eastAsia="Times New Roman" w:hAnsi="Meta Pro"/>
                <w:szCs w:val="18"/>
                <w:lang w:eastAsia="en-AU"/>
              </w:rPr>
            </w:pPr>
          </w:p>
        </w:tc>
        <w:tc>
          <w:tcPr>
            <w:tcW w:w="1136" w:type="dxa"/>
            <w:tcBorders>
              <w:top w:val="nil"/>
              <w:left w:val="nil"/>
              <w:bottom w:val="nil"/>
              <w:right w:val="nil"/>
            </w:tcBorders>
            <w:shd w:val="clear" w:color="auto" w:fill="auto"/>
            <w:noWrap/>
            <w:vAlign w:val="center"/>
            <w:hideMark/>
          </w:tcPr>
          <w:p w14:paraId="6FF76685"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45,888 </w:t>
            </w:r>
          </w:p>
        </w:tc>
      </w:tr>
      <w:tr w:rsidR="00214CD4" w:rsidRPr="00092B22" w14:paraId="13D4178A" w14:textId="77777777" w:rsidTr="00E607DA">
        <w:trPr>
          <w:trHeight w:val="227"/>
        </w:trPr>
        <w:tc>
          <w:tcPr>
            <w:tcW w:w="5936" w:type="dxa"/>
            <w:tcBorders>
              <w:top w:val="nil"/>
              <w:left w:val="nil"/>
              <w:bottom w:val="nil"/>
              <w:right w:val="nil"/>
            </w:tcBorders>
            <w:shd w:val="clear" w:color="auto" w:fill="auto"/>
            <w:noWrap/>
            <w:vAlign w:val="center"/>
            <w:hideMark/>
          </w:tcPr>
          <w:p w14:paraId="01A51B54" w14:textId="77777777" w:rsidR="00214CD4" w:rsidRPr="00092B22" w:rsidRDefault="00214CD4" w:rsidP="00E607DA">
            <w:pPr>
              <w:rPr>
                <w:rFonts w:ascii="Meta Pro" w:eastAsia="Times New Roman" w:hAnsi="Meta Pro"/>
                <w:szCs w:val="18"/>
                <w:lang w:eastAsia="en-AU"/>
              </w:rPr>
            </w:pPr>
            <w:r w:rsidRPr="00092B22">
              <w:rPr>
                <w:rFonts w:ascii="Meta Pro" w:eastAsia="Times New Roman" w:hAnsi="Meta Pro"/>
                <w:szCs w:val="18"/>
                <w:lang w:eastAsia="en-AU"/>
              </w:rPr>
              <w:t>Finance and borrowing costs</w:t>
            </w:r>
          </w:p>
        </w:tc>
        <w:tc>
          <w:tcPr>
            <w:tcW w:w="1136" w:type="dxa"/>
            <w:tcBorders>
              <w:top w:val="nil"/>
              <w:left w:val="nil"/>
              <w:bottom w:val="nil"/>
              <w:right w:val="nil"/>
            </w:tcBorders>
            <w:shd w:val="clear" w:color="auto" w:fill="auto"/>
            <w:noWrap/>
            <w:vAlign w:val="center"/>
            <w:hideMark/>
          </w:tcPr>
          <w:p w14:paraId="36161313"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114,414 </w:t>
            </w:r>
          </w:p>
        </w:tc>
        <w:tc>
          <w:tcPr>
            <w:tcW w:w="198" w:type="dxa"/>
            <w:tcBorders>
              <w:top w:val="nil"/>
              <w:left w:val="nil"/>
              <w:bottom w:val="nil"/>
              <w:right w:val="nil"/>
            </w:tcBorders>
            <w:shd w:val="clear" w:color="auto" w:fill="auto"/>
            <w:noWrap/>
            <w:vAlign w:val="center"/>
            <w:hideMark/>
          </w:tcPr>
          <w:p w14:paraId="07E68FAA" w14:textId="77777777" w:rsidR="00214CD4" w:rsidRPr="00092B22" w:rsidRDefault="00214CD4" w:rsidP="00E607DA">
            <w:pPr>
              <w:jc w:val="right"/>
              <w:rPr>
                <w:rFonts w:ascii="Meta Pro" w:eastAsia="Times New Roman" w:hAnsi="Meta Pro"/>
                <w:szCs w:val="18"/>
                <w:lang w:eastAsia="en-AU"/>
              </w:rPr>
            </w:pPr>
          </w:p>
        </w:tc>
        <w:tc>
          <w:tcPr>
            <w:tcW w:w="1136" w:type="dxa"/>
            <w:tcBorders>
              <w:top w:val="nil"/>
              <w:left w:val="nil"/>
              <w:bottom w:val="nil"/>
              <w:right w:val="nil"/>
            </w:tcBorders>
            <w:shd w:val="clear" w:color="auto" w:fill="auto"/>
            <w:noWrap/>
            <w:vAlign w:val="center"/>
            <w:hideMark/>
          </w:tcPr>
          <w:p w14:paraId="33222A20"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79,971 </w:t>
            </w:r>
          </w:p>
        </w:tc>
        <w:tc>
          <w:tcPr>
            <w:tcW w:w="198" w:type="dxa"/>
            <w:tcBorders>
              <w:top w:val="nil"/>
              <w:left w:val="nil"/>
              <w:bottom w:val="nil"/>
              <w:right w:val="nil"/>
            </w:tcBorders>
            <w:shd w:val="clear" w:color="auto" w:fill="auto"/>
            <w:noWrap/>
            <w:vAlign w:val="center"/>
            <w:hideMark/>
          </w:tcPr>
          <w:p w14:paraId="40B6DE66" w14:textId="77777777" w:rsidR="00214CD4" w:rsidRPr="00092B22" w:rsidRDefault="00214CD4" w:rsidP="00E607DA">
            <w:pPr>
              <w:jc w:val="right"/>
              <w:rPr>
                <w:rFonts w:ascii="Meta Pro" w:eastAsia="Times New Roman" w:hAnsi="Meta Pro"/>
                <w:szCs w:val="18"/>
                <w:lang w:eastAsia="en-AU"/>
              </w:rPr>
            </w:pPr>
          </w:p>
        </w:tc>
        <w:tc>
          <w:tcPr>
            <w:tcW w:w="1136" w:type="dxa"/>
            <w:tcBorders>
              <w:top w:val="nil"/>
              <w:left w:val="nil"/>
              <w:bottom w:val="nil"/>
              <w:right w:val="nil"/>
            </w:tcBorders>
            <w:shd w:val="clear" w:color="auto" w:fill="auto"/>
            <w:noWrap/>
            <w:vAlign w:val="center"/>
            <w:hideMark/>
          </w:tcPr>
          <w:p w14:paraId="427EC18D"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(34,443)</w:t>
            </w:r>
          </w:p>
        </w:tc>
      </w:tr>
      <w:tr w:rsidR="00214CD4" w:rsidRPr="00092B22" w14:paraId="78557342" w14:textId="77777777" w:rsidTr="00E607DA">
        <w:trPr>
          <w:trHeight w:val="227"/>
        </w:trPr>
        <w:tc>
          <w:tcPr>
            <w:tcW w:w="5936" w:type="dxa"/>
            <w:tcBorders>
              <w:top w:val="nil"/>
              <w:left w:val="nil"/>
              <w:bottom w:val="nil"/>
              <w:right w:val="nil"/>
            </w:tcBorders>
            <w:shd w:val="clear" w:color="auto" w:fill="auto"/>
            <w:noWrap/>
            <w:vAlign w:val="center"/>
            <w:hideMark/>
          </w:tcPr>
          <w:p w14:paraId="4A97D064" w14:textId="77777777" w:rsidR="00214CD4" w:rsidRPr="00092B22" w:rsidRDefault="00214CD4" w:rsidP="00E607DA">
            <w:pPr>
              <w:rPr>
                <w:rFonts w:ascii="Meta Pro" w:eastAsia="Times New Roman" w:hAnsi="Meta Pro"/>
                <w:szCs w:val="18"/>
                <w:lang w:eastAsia="en-AU"/>
              </w:rPr>
            </w:pPr>
            <w:r w:rsidRPr="00092B22">
              <w:rPr>
                <w:rFonts w:ascii="Meta Pro" w:eastAsia="Times New Roman" w:hAnsi="Meta Pro"/>
                <w:szCs w:val="18"/>
                <w:lang w:eastAsia="en-AU"/>
              </w:rPr>
              <w:t>Impairment losses</w:t>
            </w:r>
          </w:p>
        </w:tc>
        <w:tc>
          <w:tcPr>
            <w:tcW w:w="1136" w:type="dxa"/>
            <w:tcBorders>
              <w:top w:val="nil"/>
              <w:left w:val="nil"/>
              <w:bottom w:val="nil"/>
              <w:right w:val="nil"/>
            </w:tcBorders>
            <w:shd w:val="clear" w:color="auto" w:fill="auto"/>
            <w:noWrap/>
            <w:vAlign w:val="center"/>
            <w:hideMark/>
          </w:tcPr>
          <w:p w14:paraId="3D225C34"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1,670 </w:t>
            </w:r>
          </w:p>
        </w:tc>
        <w:tc>
          <w:tcPr>
            <w:tcW w:w="198" w:type="dxa"/>
            <w:tcBorders>
              <w:top w:val="nil"/>
              <w:left w:val="nil"/>
              <w:bottom w:val="nil"/>
              <w:right w:val="nil"/>
            </w:tcBorders>
            <w:shd w:val="clear" w:color="auto" w:fill="auto"/>
            <w:noWrap/>
            <w:vAlign w:val="center"/>
            <w:hideMark/>
          </w:tcPr>
          <w:p w14:paraId="6A38027E" w14:textId="77777777" w:rsidR="00214CD4" w:rsidRPr="00092B22" w:rsidRDefault="00214CD4" w:rsidP="00E607DA">
            <w:pPr>
              <w:jc w:val="right"/>
              <w:rPr>
                <w:rFonts w:ascii="Meta Pro" w:eastAsia="Times New Roman" w:hAnsi="Meta Pro"/>
                <w:szCs w:val="18"/>
                <w:lang w:eastAsia="en-AU"/>
              </w:rPr>
            </w:pPr>
          </w:p>
        </w:tc>
        <w:tc>
          <w:tcPr>
            <w:tcW w:w="1136" w:type="dxa"/>
            <w:tcBorders>
              <w:top w:val="nil"/>
              <w:left w:val="nil"/>
              <w:bottom w:val="nil"/>
              <w:right w:val="nil"/>
            </w:tcBorders>
            <w:shd w:val="clear" w:color="auto" w:fill="auto"/>
            <w:noWrap/>
            <w:vAlign w:val="center"/>
            <w:hideMark/>
          </w:tcPr>
          <w:p w14:paraId="01C4802E"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1,162 </w:t>
            </w:r>
          </w:p>
        </w:tc>
        <w:tc>
          <w:tcPr>
            <w:tcW w:w="198" w:type="dxa"/>
            <w:tcBorders>
              <w:top w:val="nil"/>
              <w:left w:val="nil"/>
              <w:bottom w:val="nil"/>
              <w:right w:val="nil"/>
            </w:tcBorders>
            <w:shd w:val="clear" w:color="auto" w:fill="auto"/>
            <w:noWrap/>
            <w:vAlign w:val="center"/>
            <w:hideMark/>
          </w:tcPr>
          <w:p w14:paraId="6A762778" w14:textId="77777777" w:rsidR="00214CD4" w:rsidRPr="00092B22" w:rsidRDefault="00214CD4" w:rsidP="00E607DA">
            <w:pPr>
              <w:jc w:val="right"/>
              <w:rPr>
                <w:rFonts w:ascii="Meta Pro" w:eastAsia="Times New Roman" w:hAnsi="Meta Pro"/>
                <w:szCs w:val="18"/>
                <w:lang w:eastAsia="en-AU"/>
              </w:rPr>
            </w:pPr>
          </w:p>
        </w:tc>
        <w:tc>
          <w:tcPr>
            <w:tcW w:w="1136" w:type="dxa"/>
            <w:tcBorders>
              <w:top w:val="nil"/>
              <w:left w:val="nil"/>
              <w:bottom w:val="nil"/>
              <w:right w:val="nil"/>
            </w:tcBorders>
            <w:shd w:val="clear" w:color="auto" w:fill="auto"/>
            <w:noWrap/>
            <w:vAlign w:val="center"/>
            <w:hideMark/>
          </w:tcPr>
          <w:p w14:paraId="51D520BA"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(508)</w:t>
            </w:r>
          </w:p>
        </w:tc>
      </w:tr>
      <w:tr w:rsidR="00214CD4" w:rsidRPr="00092B22" w14:paraId="6539ED5B" w14:textId="77777777" w:rsidTr="00E607DA">
        <w:trPr>
          <w:trHeight w:val="227"/>
        </w:trPr>
        <w:tc>
          <w:tcPr>
            <w:tcW w:w="5936" w:type="dxa"/>
            <w:tcBorders>
              <w:top w:val="nil"/>
              <w:left w:val="nil"/>
              <w:bottom w:val="nil"/>
              <w:right w:val="nil"/>
            </w:tcBorders>
            <w:shd w:val="clear" w:color="auto" w:fill="auto"/>
            <w:noWrap/>
            <w:vAlign w:val="center"/>
            <w:hideMark/>
          </w:tcPr>
          <w:p w14:paraId="01339634" w14:textId="77777777" w:rsidR="00214CD4" w:rsidRPr="00092B22" w:rsidRDefault="00214CD4" w:rsidP="00E607DA">
            <w:pPr>
              <w:rPr>
                <w:rFonts w:ascii="Meta Pro" w:eastAsia="Times New Roman" w:hAnsi="Meta Pro"/>
                <w:szCs w:val="18"/>
                <w:lang w:eastAsia="en-AU"/>
              </w:rPr>
            </w:pPr>
            <w:r w:rsidRPr="00092B22">
              <w:rPr>
                <w:rFonts w:ascii="Meta Pro" w:eastAsia="Times New Roman" w:hAnsi="Meta Pro"/>
                <w:szCs w:val="18"/>
                <w:lang w:eastAsia="en-AU"/>
              </w:rPr>
              <w:t>Depreciation and amortisation</w:t>
            </w:r>
          </w:p>
        </w:tc>
        <w:tc>
          <w:tcPr>
            <w:tcW w:w="1136" w:type="dxa"/>
            <w:tcBorders>
              <w:top w:val="nil"/>
              <w:left w:val="nil"/>
              <w:bottom w:val="nil"/>
              <w:right w:val="nil"/>
            </w:tcBorders>
            <w:shd w:val="clear" w:color="auto" w:fill="auto"/>
            <w:noWrap/>
            <w:vAlign w:val="center"/>
            <w:hideMark/>
          </w:tcPr>
          <w:p w14:paraId="3315F9AC"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1,264,448 </w:t>
            </w:r>
          </w:p>
        </w:tc>
        <w:tc>
          <w:tcPr>
            <w:tcW w:w="198" w:type="dxa"/>
            <w:tcBorders>
              <w:top w:val="nil"/>
              <w:left w:val="nil"/>
              <w:bottom w:val="nil"/>
              <w:right w:val="nil"/>
            </w:tcBorders>
            <w:shd w:val="clear" w:color="auto" w:fill="auto"/>
            <w:noWrap/>
            <w:vAlign w:val="center"/>
            <w:hideMark/>
          </w:tcPr>
          <w:p w14:paraId="6D17F87A" w14:textId="77777777" w:rsidR="00214CD4" w:rsidRPr="00092B22" w:rsidRDefault="00214CD4" w:rsidP="00E607DA">
            <w:pPr>
              <w:jc w:val="right"/>
              <w:rPr>
                <w:rFonts w:ascii="Meta Pro" w:eastAsia="Times New Roman" w:hAnsi="Meta Pro"/>
                <w:szCs w:val="18"/>
                <w:lang w:eastAsia="en-AU"/>
              </w:rPr>
            </w:pPr>
          </w:p>
        </w:tc>
        <w:tc>
          <w:tcPr>
            <w:tcW w:w="1136" w:type="dxa"/>
            <w:tcBorders>
              <w:top w:val="nil"/>
              <w:left w:val="nil"/>
              <w:bottom w:val="nil"/>
              <w:right w:val="nil"/>
            </w:tcBorders>
            <w:shd w:val="clear" w:color="auto" w:fill="auto"/>
            <w:noWrap/>
            <w:vAlign w:val="center"/>
            <w:hideMark/>
          </w:tcPr>
          <w:p w14:paraId="4BA4401E"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1,355,679 </w:t>
            </w:r>
          </w:p>
        </w:tc>
        <w:tc>
          <w:tcPr>
            <w:tcW w:w="198" w:type="dxa"/>
            <w:tcBorders>
              <w:top w:val="nil"/>
              <w:left w:val="nil"/>
              <w:bottom w:val="nil"/>
              <w:right w:val="nil"/>
            </w:tcBorders>
            <w:shd w:val="clear" w:color="auto" w:fill="auto"/>
            <w:noWrap/>
            <w:vAlign w:val="center"/>
            <w:hideMark/>
          </w:tcPr>
          <w:p w14:paraId="773C8E65" w14:textId="77777777" w:rsidR="00214CD4" w:rsidRPr="00092B22" w:rsidRDefault="00214CD4" w:rsidP="00E607DA">
            <w:pPr>
              <w:jc w:val="right"/>
              <w:rPr>
                <w:rFonts w:ascii="Meta Pro" w:eastAsia="Times New Roman" w:hAnsi="Meta Pro"/>
                <w:szCs w:val="18"/>
                <w:lang w:eastAsia="en-AU"/>
              </w:rPr>
            </w:pPr>
          </w:p>
        </w:tc>
        <w:tc>
          <w:tcPr>
            <w:tcW w:w="1136" w:type="dxa"/>
            <w:tcBorders>
              <w:top w:val="nil"/>
              <w:left w:val="nil"/>
              <w:bottom w:val="nil"/>
              <w:right w:val="nil"/>
            </w:tcBorders>
            <w:shd w:val="clear" w:color="auto" w:fill="auto"/>
            <w:noWrap/>
            <w:vAlign w:val="center"/>
            <w:hideMark/>
          </w:tcPr>
          <w:p w14:paraId="692FAE2D"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91,231 </w:t>
            </w:r>
          </w:p>
        </w:tc>
      </w:tr>
      <w:tr w:rsidR="00214CD4" w:rsidRPr="00092B22" w14:paraId="49B50F00" w14:textId="77777777" w:rsidTr="00E607DA">
        <w:trPr>
          <w:trHeight w:val="227"/>
        </w:trPr>
        <w:tc>
          <w:tcPr>
            <w:tcW w:w="5936" w:type="dxa"/>
            <w:tcBorders>
              <w:top w:val="nil"/>
              <w:left w:val="nil"/>
              <w:bottom w:val="nil"/>
              <w:right w:val="nil"/>
            </w:tcBorders>
            <w:shd w:val="clear" w:color="auto" w:fill="auto"/>
            <w:noWrap/>
            <w:vAlign w:val="center"/>
            <w:hideMark/>
          </w:tcPr>
          <w:p w14:paraId="7A53A34E" w14:textId="77777777" w:rsidR="00214CD4" w:rsidRPr="00092B22" w:rsidRDefault="00214CD4" w:rsidP="00E607DA">
            <w:pPr>
              <w:rPr>
                <w:rFonts w:ascii="Meta Pro" w:eastAsia="Times New Roman" w:hAnsi="Meta Pro"/>
                <w:szCs w:val="18"/>
                <w:lang w:eastAsia="en-AU"/>
              </w:rPr>
            </w:pPr>
            <w:r w:rsidRPr="00092B22">
              <w:rPr>
                <w:rFonts w:ascii="Meta Pro" w:eastAsia="Times New Roman" w:hAnsi="Meta Pro"/>
                <w:szCs w:val="18"/>
                <w:lang w:eastAsia="en-AU"/>
              </w:rPr>
              <w:t>Other expenses</w:t>
            </w:r>
          </w:p>
        </w:tc>
        <w:tc>
          <w:tcPr>
            <w:tcW w:w="1136" w:type="dxa"/>
            <w:tcBorders>
              <w:top w:val="nil"/>
              <w:left w:val="nil"/>
              <w:bottom w:val="nil"/>
              <w:right w:val="nil"/>
            </w:tcBorders>
            <w:shd w:val="clear" w:color="auto" w:fill="auto"/>
            <w:noWrap/>
            <w:vAlign w:val="center"/>
            <w:hideMark/>
          </w:tcPr>
          <w:p w14:paraId="75ACF313"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18,506 </w:t>
            </w:r>
          </w:p>
        </w:tc>
        <w:tc>
          <w:tcPr>
            <w:tcW w:w="198" w:type="dxa"/>
            <w:tcBorders>
              <w:top w:val="nil"/>
              <w:left w:val="nil"/>
              <w:bottom w:val="nil"/>
              <w:right w:val="nil"/>
            </w:tcBorders>
            <w:shd w:val="clear" w:color="auto" w:fill="auto"/>
            <w:noWrap/>
            <w:vAlign w:val="center"/>
            <w:hideMark/>
          </w:tcPr>
          <w:p w14:paraId="06F616F8" w14:textId="77777777" w:rsidR="00214CD4" w:rsidRPr="00092B22" w:rsidRDefault="00214CD4" w:rsidP="00E607DA">
            <w:pPr>
              <w:jc w:val="right"/>
              <w:rPr>
                <w:rFonts w:ascii="Meta Pro" w:eastAsia="Times New Roman" w:hAnsi="Meta Pro"/>
                <w:szCs w:val="18"/>
                <w:lang w:eastAsia="en-AU"/>
              </w:rPr>
            </w:pPr>
          </w:p>
        </w:tc>
        <w:tc>
          <w:tcPr>
            <w:tcW w:w="1136" w:type="dxa"/>
            <w:tcBorders>
              <w:top w:val="nil"/>
              <w:left w:val="nil"/>
              <w:bottom w:val="nil"/>
              <w:right w:val="nil"/>
            </w:tcBorders>
            <w:shd w:val="clear" w:color="auto" w:fill="auto"/>
            <w:noWrap/>
            <w:vAlign w:val="center"/>
            <w:hideMark/>
          </w:tcPr>
          <w:p w14:paraId="29DBCD56"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28,131 </w:t>
            </w:r>
          </w:p>
        </w:tc>
        <w:tc>
          <w:tcPr>
            <w:tcW w:w="198" w:type="dxa"/>
            <w:tcBorders>
              <w:top w:val="nil"/>
              <w:left w:val="nil"/>
              <w:bottom w:val="nil"/>
              <w:right w:val="nil"/>
            </w:tcBorders>
            <w:shd w:val="clear" w:color="auto" w:fill="auto"/>
            <w:noWrap/>
            <w:vAlign w:val="center"/>
            <w:hideMark/>
          </w:tcPr>
          <w:p w14:paraId="70611A48" w14:textId="77777777" w:rsidR="00214CD4" w:rsidRPr="00092B22" w:rsidRDefault="00214CD4" w:rsidP="00E607DA">
            <w:pPr>
              <w:jc w:val="right"/>
              <w:rPr>
                <w:rFonts w:ascii="Meta Pro" w:eastAsia="Times New Roman" w:hAnsi="Meta Pro"/>
                <w:szCs w:val="18"/>
                <w:lang w:eastAsia="en-AU"/>
              </w:rPr>
            </w:pPr>
          </w:p>
        </w:tc>
        <w:tc>
          <w:tcPr>
            <w:tcW w:w="1136" w:type="dxa"/>
            <w:tcBorders>
              <w:top w:val="nil"/>
              <w:left w:val="nil"/>
              <w:bottom w:val="nil"/>
              <w:right w:val="nil"/>
            </w:tcBorders>
            <w:shd w:val="clear" w:color="auto" w:fill="auto"/>
            <w:noWrap/>
            <w:vAlign w:val="center"/>
            <w:hideMark/>
          </w:tcPr>
          <w:p w14:paraId="583A2548"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9,625 </w:t>
            </w:r>
          </w:p>
        </w:tc>
      </w:tr>
      <w:tr w:rsidR="00214CD4" w:rsidRPr="00092B22" w14:paraId="1725F785" w14:textId="77777777" w:rsidTr="00E607DA">
        <w:trPr>
          <w:trHeight w:val="227"/>
        </w:trPr>
        <w:tc>
          <w:tcPr>
            <w:tcW w:w="5936" w:type="dxa"/>
            <w:tcBorders>
              <w:top w:val="single" w:sz="4" w:space="0" w:color="auto"/>
              <w:left w:val="nil"/>
              <w:bottom w:val="nil"/>
              <w:right w:val="nil"/>
            </w:tcBorders>
            <w:shd w:val="clear" w:color="auto" w:fill="auto"/>
            <w:noWrap/>
            <w:vAlign w:val="center"/>
            <w:hideMark/>
          </w:tcPr>
          <w:p w14:paraId="420D56A8" w14:textId="77777777" w:rsidR="00214CD4" w:rsidRPr="00092B22" w:rsidRDefault="00214CD4" w:rsidP="00E607DA">
            <w:pPr>
              <w:rPr>
                <w:rFonts w:ascii="Meta Pro" w:eastAsia="Times New Roman" w:hAnsi="Meta Pro"/>
                <w:b/>
                <w:bCs/>
                <w:szCs w:val="18"/>
                <w:lang w:eastAsia="en-AU"/>
              </w:rPr>
            </w:pPr>
            <w:r w:rsidRPr="00092B22">
              <w:rPr>
                <w:rFonts w:ascii="Meta Pro" w:eastAsia="Times New Roman" w:hAnsi="Meta Pro"/>
                <w:b/>
                <w:bCs/>
                <w:szCs w:val="18"/>
                <w:lang w:eastAsia="en-AU"/>
              </w:rPr>
              <w:t>Total expenses</w:t>
            </w:r>
          </w:p>
        </w:tc>
        <w:tc>
          <w:tcPr>
            <w:tcW w:w="1136" w:type="dxa"/>
            <w:tcBorders>
              <w:top w:val="single" w:sz="4" w:space="0" w:color="auto"/>
              <w:left w:val="nil"/>
              <w:bottom w:val="nil"/>
              <w:right w:val="nil"/>
            </w:tcBorders>
            <w:shd w:val="clear" w:color="auto" w:fill="auto"/>
            <w:noWrap/>
            <w:vAlign w:val="center"/>
            <w:hideMark/>
          </w:tcPr>
          <w:p w14:paraId="14C234D7" w14:textId="77777777" w:rsidR="00214CD4" w:rsidRPr="00092B22" w:rsidRDefault="00214CD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6,876,691 </w:t>
            </w:r>
          </w:p>
        </w:tc>
        <w:tc>
          <w:tcPr>
            <w:tcW w:w="198" w:type="dxa"/>
            <w:tcBorders>
              <w:top w:val="single" w:sz="4" w:space="0" w:color="auto"/>
              <w:left w:val="nil"/>
              <w:bottom w:val="nil"/>
              <w:right w:val="nil"/>
            </w:tcBorders>
            <w:shd w:val="clear" w:color="auto" w:fill="auto"/>
            <w:noWrap/>
            <w:vAlign w:val="center"/>
            <w:hideMark/>
          </w:tcPr>
          <w:p w14:paraId="7971CC5B" w14:textId="77777777" w:rsidR="00214CD4" w:rsidRPr="00092B22" w:rsidRDefault="00214CD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136" w:type="dxa"/>
            <w:tcBorders>
              <w:top w:val="single" w:sz="4" w:space="0" w:color="auto"/>
              <w:left w:val="nil"/>
              <w:bottom w:val="nil"/>
              <w:right w:val="nil"/>
            </w:tcBorders>
            <w:shd w:val="clear" w:color="auto" w:fill="auto"/>
            <w:noWrap/>
            <w:vAlign w:val="center"/>
            <w:hideMark/>
          </w:tcPr>
          <w:p w14:paraId="1DB9BE5D" w14:textId="77777777" w:rsidR="00214CD4" w:rsidRPr="00092B22" w:rsidRDefault="00214CD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7,178,149 </w:t>
            </w:r>
          </w:p>
        </w:tc>
        <w:tc>
          <w:tcPr>
            <w:tcW w:w="198" w:type="dxa"/>
            <w:tcBorders>
              <w:top w:val="single" w:sz="4" w:space="0" w:color="auto"/>
              <w:left w:val="nil"/>
              <w:bottom w:val="nil"/>
              <w:right w:val="nil"/>
            </w:tcBorders>
            <w:shd w:val="clear" w:color="auto" w:fill="auto"/>
            <w:noWrap/>
            <w:vAlign w:val="center"/>
            <w:hideMark/>
          </w:tcPr>
          <w:p w14:paraId="79C8C0A3" w14:textId="77777777" w:rsidR="00214CD4" w:rsidRPr="00092B22" w:rsidRDefault="00214CD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136" w:type="dxa"/>
            <w:tcBorders>
              <w:top w:val="single" w:sz="4" w:space="0" w:color="auto"/>
              <w:left w:val="nil"/>
              <w:bottom w:val="nil"/>
              <w:right w:val="nil"/>
            </w:tcBorders>
            <w:shd w:val="clear" w:color="auto" w:fill="auto"/>
            <w:noWrap/>
            <w:vAlign w:val="center"/>
            <w:hideMark/>
          </w:tcPr>
          <w:p w14:paraId="259318AA" w14:textId="77777777" w:rsidR="00214CD4" w:rsidRPr="00092B22" w:rsidRDefault="00214CD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301,458 </w:t>
            </w:r>
          </w:p>
        </w:tc>
      </w:tr>
      <w:tr w:rsidR="00214CD4" w:rsidRPr="00092B22" w14:paraId="36C0104F" w14:textId="77777777" w:rsidTr="00E607DA">
        <w:trPr>
          <w:trHeight w:val="227"/>
        </w:trPr>
        <w:tc>
          <w:tcPr>
            <w:tcW w:w="5936" w:type="dxa"/>
            <w:tcBorders>
              <w:top w:val="nil"/>
              <w:left w:val="nil"/>
              <w:bottom w:val="nil"/>
              <w:right w:val="nil"/>
            </w:tcBorders>
            <w:shd w:val="clear" w:color="auto" w:fill="auto"/>
            <w:noWrap/>
            <w:vAlign w:val="center"/>
            <w:hideMark/>
          </w:tcPr>
          <w:p w14:paraId="269560EA" w14:textId="77777777" w:rsidR="00214CD4" w:rsidRPr="00092B22" w:rsidRDefault="00214CD4" w:rsidP="00E607DA">
            <w:pPr>
              <w:jc w:val="right"/>
              <w:rPr>
                <w:rFonts w:ascii="Meta Pro" w:eastAsia="Times New Roman" w:hAnsi="Meta Pro"/>
                <w:b/>
                <w:bCs/>
                <w:szCs w:val="18"/>
                <w:lang w:eastAsia="en-AU"/>
              </w:rPr>
            </w:pPr>
          </w:p>
        </w:tc>
        <w:tc>
          <w:tcPr>
            <w:tcW w:w="1136" w:type="dxa"/>
            <w:tcBorders>
              <w:top w:val="nil"/>
              <w:left w:val="nil"/>
              <w:bottom w:val="nil"/>
              <w:right w:val="nil"/>
            </w:tcBorders>
            <w:shd w:val="clear" w:color="auto" w:fill="auto"/>
            <w:vAlign w:val="center"/>
            <w:hideMark/>
          </w:tcPr>
          <w:p w14:paraId="4BB3C24E" w14:textId="77777777" w:rsidR="00214CD4" w:rsidRPr="00092B22" w:rsidRDefault="00214CD4"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vAlign w:val="center"/>
            <w:hideMark/>
          </w:tcPr>
          <w:p w14:paraId="4A32073F" w14:textId="77777777" w:rsidR="00214CD4" w:rsidRPr="00092B22" w:rsidRDefault="00214CD4" w:rsidP="00E607DA">
            <w:pPr>
              <w:rPr>
                <w:rFonts w:ascii="Meta Pro" w:eastAsia="Times New Roman" w:hAnsi="Meta Pro" w:cs="Times New Roman"/>
                <w:sz w:val="20"/>
                <w:szCs w:val="20"/>
                <w:lang w:eastAsia="en-AU"/>
              </w:rPr>
            </w:pPr>
          </w:p>
        </w:tc>
        <w:tc>
          <w:tcPr>
            <w:tcW w:w="1136" w:type="dxa"/>
            <w:tcBorders>
              <w:top w:val="nil"/>
              <w:left w:val="nil"/>
              <w:bottom w:val="nil"/>
              <w:right w:val="nil"/>
            </w:tcBorders>
            <w:shd w:val="clear" w:color="auto" w:fill="auto"/>
            <w:vAlign w:val="center"/>
            <w:hideMark/>
          </w:tcPr>
          <w:p w14:paraId="7C4CDEB7" w14:textId="77777777" w:rsidR="00214CD4" w:rsidRPr="00092B22" w:rsidRDefault="00214CD4"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vAlign w:val="center"/>
            <w:hideMark/>
          </w:tcPr>
          <w:p w14:paraId="2C0902B9" w14:textId="77777777" w:rsidR="00214CD4" w:rsidRPr="00092B22" w:rsidRDefault="00214CD4" w:rsidP="00E607DA">
            <w:pPr>
              <w:rPr>
                <w:rFonts w:ascii="Meta Pro" w:eastAsia="Times New Roman" w:hAnsi="Meta Pro" w:cs="Times New Roman"/>
                <w:sz w:val="20"/>
                <w:szCs w:val="20"/>
                <w:lang w:eastAsia="en-AU"/>
              </w:rPr>
            </w:pPr>
          </w:p>
        </w:tc>
        <w:tc>
          <w:tcPr>
            <w:tcW w:w="1136" w:type="dxa"/>
            <w:tcBorders>
              <w:top w:val="nil"/>
              <w:left w:val="nil"/>
              <w:bottom w:val="nil"/>
              <w:right w:val="nil"/>
            </w:tcBorders>
            <w:shd w:val="clear" w:color="auto" w:fill="auto"/>
            <w:vAlign w:val="center"/>
            <w:hideMark/>
          </w:tcPr>
          <w:p w14:paraId="70BA50F1" w14:textId="77777777" w:rsidR="00214CD4" w:rsidRPr="00092B22" w:rsidRDefault="00214CD4" w:rsidP="00E607DA">
            <w:pPr>
              <w:rPr>
                <w:rFonts w:ascii="Meta Pro" w:eastAsia="Times New Roman" w:hAnsi="Meta Pro" w:cs="Times New Roman"/>
                <w:sz w:val="20"/>
                <w:szCs w:val="20"/>
                <w:lang w:eastAsia="en-AU"/>
              </w:rPr>
            </w:pPr>
          </w:p>
        </w:tc>
      </w:tr>
      <w:tr w:rsidR="00214CD4" w:rsidRPr="00092B22" w14:paraId="230775CB" w14:textId="77777777" w:rsidTr="00E607DA">
        <w:trPr>
          <w:trHeight w:val="227"/>
        </w:trPr>
        <w:tc>
          <w:tcPr>
            <w:tcW w:w="5936" w:type="dxa"/>
            <w:tcBorders>
              <w:top w:val="nil"/>
              <w:left w:val="nil"/>
              <w:bottom w:val="nil"/>
              <w:right w:val="nil"/>
            </w:tcBorders>
            <w:shd w:val="clear" w:color="auto" w:fill="auto"/>
            <w:noWrap/>
            <w:vAlign w:val="center"/>
            <w:hideMark/>
          </w:tcPr>
          <w:p w14:paraId="013E69C4" w14:textId="77777777" w:rsidR="00214CD4" w:rsidRPr="00092B22" w:rsidRDefault="00214CD4" w:rsidP="00E607DA">
            <w:pPr>
              <w:rPr>
                <w:rFonts w:ascii="Meta Pro" w:eastAsia="Times New Roman" w:hAnsi="Meta Pro"/>
                <w:b/>
                <w:bCs/>
                <w:szCs w:val="18"/>
                <w:lang w:eastAsia="en-AU"/>
              </w:rPr>
            </w:pPr>
            <w:r w:rsidRPr="00092B22">
              <w:rPr>
                <w:rFonts w:ascii="Meta Pro" w:eastAsia="Times New Roman" w:hAnsi="Meta Pro"/>
                <w:b/>
                <w:bCs/>
                <w:szCs w:val="18"/>
                <w:lang w:eastAsia="en-AU"/>
              </w:rPr>
              <w:t>Operating result before income tax equivalent expense</w:t>
            </w:r>
          </w:p>
        </w:tc>
        <w:tc>
          <w:tcPr>
            <w:tcW w:w="1136" w:type="dxa"/>
            <w:tcBorders>
              <w:top w:val="nil"/>
              <w:left w:val="nil"/>
              <w:bottom w:val="nil"/>
              <w:right w:val="nil"/>
            </w:tcBorders>
            <w:shd w:val="clear" w:color="auto" w:fill="auto"/>
            <w:noWrap/>
            <w:vAlign w:val="center"/>
            <w:hideMark/>
          </w:tcPr>
          <w:p w14:paraId="526C271E" w14:textId="77777777" w:rsidR="00214CD4" w:rsidRPr="00092B22" w:rsidRDefault="00214CD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241,269 </w:t>
            </w:r>
          </w:p>
        </w:tc>
        <w:tc>
          <w:tcPr>
            <w:tcW w:w="198" w:type="dxa"/>
            <w:tcBorders>
              <w:top w:val="nil"/>
              <w:left w:val="nil"/>
              <w:bottom w:val="nil"/>
              <w:right w:val="nil"/>
            </w:tcBorders>
            <w:shd w:val="clear" w:color="auto" w:fill="auto"/>
            <w:noWrap/>
            <w:vAlign w:val="center"/>
            <w:hideMark/>
          </w:tcPr>
          <w:p w14:paraId="1A259C78" w14:textId="77777777" w:rsidR="00214CD4" w:rsidRPr="00092B22" w:rsidRDefault="00214CD4" w:rsidP="00E607DA">
            <w:pPr>
              <w:jc w:val="right"/>
              <w:rPr>
                <w:rFonts w:ascii="Meta Pro" w:eastAsia="Times New Roman" w:hAnsi="Meta Pro"/>
                <w:b/>
                <w:bCs/>
                <w:szCs w:val="18"/>
                <w:lang w:eastAsia="en-AU"/>
              </w:rPr>
            </w:pPr>
          </w:p>
        </w:tc>
        <w:tc>
          <w:tcPr>
            <w:tcW w:w="1136" w:type="dxa"/>
            <w:tcBorders>
              <w:top w:val="nil"/>
              <w:left w:val="nil"/>
              <w:bottom w:val="nil"/>
              <w:right w:val="nil"/>
            </w:tcBorders>
            <w:shd w:val="clear" w:color="auto" w:fill="auto"/>
            <w:noWrap/>
            <w:vAlign w:val="center"/>
            <w:hideMark/>
          </w:tcPr>
          <w:p w14:paraId="2FF05C1F" w14:textId="77777777" w:rsidR="00214CD4" w:rsidRPr="00092B22" w:rsidRDefault="00214CD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(44,819)</w:t>
            </w:r>
          </w:p>
        </w:tc>
        <w:tc>
          <w:tcPr>
            <w:tcW w:w="198" w:type="dxa"/>
            <w:tcBorders>
              <w:top w:val="nil"/>
              <w:left w:val="nil"/>
              <w:bottom w:val="nil"/>
              <w:right w:val="nil"/>
            </w:tcBorders>
            <w:shd w:val="clear" w:color="auto" w:fill="auto"/>
            <w:noWrap/>
            <w:vAlign w:val="center"/>
            <w:hideMark/>
          </w:tcPr>
          <w:p w14:paraId="330AD167" w14:textId="77777777" w:rsidR="00214CD4" w:rsidRPr="00092B22" w:rsidRDefault="00214CD4" w:rsidP="00E607DA">
            <w:pPr>
              <w:jc w:val="right"/>
              <w:rPr>
                <w:rFonts w:ascii="Meta Pro" w:eastAsia="Times New Roman" w:hAnsi="Meta Pro"/>
                <w:b/>
                <w:bCs/>
                <w:szCs w:val="18"/>
                <w:lang w:eastAsia="en-AU"/>
              </w:rPr>
            </w:pPr>
          </w:p>
        </w:tc>
        <w:tc>
          <w:tcPr>
            <w:tcW w:w="1136" w:type="dxa"/>
            <w:tcBorders>
              <w:top w:val="nil"/>
              <w:left w:val="nil"/>
              <w:bottom w:val="nil"/>
              <w:right w:val="nil"/>
            </w:tcBorders>
            <w:shd w:val="clear" w:color="auto" w:fill="auto"/>
            <w:noWrap/>
            <w:vAlign w:val="center"/>
            <w:hideMark/>
          </w:tcPr>
          <w:p w14:paraId="4110227A" w14:textId="77777777" w:rsidR="00214CD4" w:rsidRPr="00092B22" w:rsidRDefault="00214CD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(286,088)</w:t>
            </w:r>
          </w:p>
        </w:tc>
      </w:tr>
      <w:tr w:rsidR="00214CD4" w:rsidRPr="00092B22" w14:paraId="422C792D" w14:textId="77777777" w:rsidTr="00E607DA">
        <w:trPr>
          <w:trHeight w:val="227"/>
        </w:trPr>
        <w:tc>
          <w:tcPr>
            <w:tcW w:w="5936" w:type="dxa"/>
            <w:tcBorders>
              <w:top w:val="nil"/>
              <w:left w:val="nil"/>
              <w:bottom w:val="single" w:sz="4" w:space="0" w:color="auto"/>
              <w:right w:val="nil"/>
            </w:tcBorders>
            <w:shd w:val="clear" w:color="auto" w:fill="auto"/>
            <w:noWrap/>
            <w:vAlign w:val="center"/>
            <w:hideMark/>
          </w:tcPr>
          <w:p w14:paraId="703EAD8E" w14:textId="77777777" w:rsidR="00214CD4" w:rsidRPr="00092B22" w:rsidRDefault="00214CD4" w:rsidP="00E607DA">
            <w:pPr>
              <w:rPr>
                <w:rFonts w:ascii="Meta Pro" w:eastAsia="Times New Roman" w:hAnsi="Meta Pro"/>
                <w:szCs w:val="18"/>
                <w:lang w:eastAsia="en-AU"/>
              </w:rPr>
            </w:pPr>
            <w:r w:rsidRPr="00092B22">
              <w:rPr>
                <w:rFonts w:ascii="Meta Pro" w:eastAsia="Times New Roman" w:hAnsi="Meta Pro"/>
                <w:szCs w:val="18"/>
                <w:lang w:eastAsia="en-AU"/>
              </w:rPr>
              <w:t>Income tax equivalent expense</w:t>
            </w:r>
          </w:p>
        </w:tc>
        <w:tc>
          <w:tcPr>
            <w:tcW w:w="1136" w:type="dxa"/>
            <w:tcBorders>
              <w:top w:val="nil"/>
              <w:left w:val="nil"/>
              <w:bottom w:val="single" w:sz="4" w:space="0" w:color="auto"/>
              <w:right w:val="nil"/>
            </w:tcBorders>
            <w:shd w:val="clear" w:color="auto" w:fill="auto"/>
            <w:noWrap/>
            <w:vAlign w:val="center"/>
            <w:hideMark/>
          </w:tcPr>
          <w:p w14:paraId="2F95255C"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7,313 </w:t>
            </w:r>
          </w:p>
        </w:tc>
        <w:tc>
          <w:tcPr>
            <w:tcW w:w="198" w:type="dxa"/>
            <w:tcBorders>
              <w:top w:val="nil"/>
              <w:left w:val="nil"/>
              <w:bottom w:val="single" w:sz="4" w:space="0" w:color="auto"/>
              <w:right w:val="nil"/>
            </w:tcBorders>
            <w:shd w:val="clear" w:color="auto" w:fill="auto"/>
            <w:noWrap/>
            <w:vAlign w:val="center"/>
            <w:hideMark/>
          </w:tcPr>
          <w:p w14:paraId="07C70F2B"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w:t>
            </w:r>
          </w:p>
        </w:tc>
        <w:tc>
          <w:tcPr>
            <w:tcW w:w="1136" w:type="dxa"/>
            <w:tcBorders>
              <w:top w:val="nil"/>
              <w:left w:val="nil"/>
              <w:bottom w:val="single" w:sz="4" w:space="0" w:color="auto"/>
              <w:right w:val="nil"/>
            </w:tcBorders>
            <w:shd w:val="clear" w:color="auto" w:fill="auto"/>
            <w:noWrap/>
            <w:vAlign w:val="center"/>
            <w:hideMark/>
          </w:tcPr>
          <w:p w14:paraId="7A9DA8CD"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16,260 </w:t>
            </w:r>
          </w:p>
        </w:tc>
        <w:tc>
          <w:tcPr>
            <w:tcW w:w="198" w:type="dxa"/>
            <w:tcBorders>
              <w:top w:val="nil"/>
              <w:left w:val="nil"/>
              <w:bottom w:val="single" w:sz="4" w:space="0" w:color="auto"/>
              <w:right w:val="nil"/>
            </w:tcBorders>
            <w:shd w:val="clear" w:color="auto" w:fill="auto"/>
            <w:noWrap/>
            <w:vAlign w:val="center"/>
            <w:hideMark/>
          </w:tcPr>
          <w:p w14:paraId="0D61CBEB"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w:t>
            </w:r>
          </w:p>
        </w:tc>
        <w:tc>
          <w:tcPr>
            <w:tcW w:w="1136" w:type="dxa"/>
            <w:tcBorders>
              <w:top w:val="nil"/>
              <w:left w:val="nil"/>
              <w:bottom w:val="single" w:sz="4" w:space="0" w:color="auto"/>
              <w:right w:val="nil"/>
            </w:tcBorders>
            <w:shd w:val="clear" w:color="auto" w:fill="auto"/>
            <w:noWrap/>
            <w:vAlign w:val="center"/>
            <w:hideMark/>
          </w:tcPr>
          <w:p w14:paraId="7BD8AB31"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8,947 </w:t>
            </w:r>
          </w:p>
        </w:tc>
      </w:tr>
      <w:tr w:rsidR="00214CD4" w:rsidRPr="00092B22" w14:paraId="2DE22676" w14:textId="77777777" w:rsidTr="00E607DA">
        <w:trPr>
          <w:trHeight w:val="227"/>
        </w:trPr>
        <w:tc>
          <w:tcPr>
            <w:tcW w:w="5936" w:type="dxa"/>
            <w:tcBorders>
              <w:top w:val="nil"/>
              <w:left w:val="nil"/>
              <w:bottom w:val="nil"/>
              <w:right w:val="nil"/>
            </w:tcBorders>
            <w:shd w:val="clear" w:color="auto" w:fill="auto"/>
            <w:noWrap/>
            <w:vAlign w:val="center"/>
            <w:hideMark/>
          </w:tcPr>
          <w:p w14:paraId="3F318F49" w14:textId="77777777" w:rsidR="00214CD4" w:rsidRPr="00092B22" w:rsidRDefault="00214CD4" w:rsidP="00E607DA">
            <w:pPr>
              <w:jc w:val="right"/>
              <w:rPr>
                <w:rFonts w:ascii="Meta Pro" w:eastAsia="Times New Roman" w:hAnsi="Meta Pro"/>
                <w:szCs w:val="18"/>
                <w:lang w:eastAsia="en-AU"/>
              </w:rPr>
            </w:pPr>
          </w:p>
        </w:tc>
        <w:tc>
          <w:tcPr>
            <w:tcW w:w="1136" w:type="dxa"/>
            <w:tcBorders>
              <w:top w:val="nil"/>
              <w:left w:val="nil"/>
              <w:bottom w:val="nil"/>
              <w:right w:val="nil"/>
            </w:tcBorders>
            <w:shd w:val="clear" w:color="auto" w:fill="auto"/>
            <w:noWrap/>
            <w:vAlign w:val="center"/>
            <w:hideMark/>
          </w:tcPr>
          <w:p w14:paraId="6B52B87C" w14:textId="77777777" w:rsidR="00214CD4" w:rsidRPr="00092B22" w:rsidRDefault="00214CD4"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5F7C6C80" w14:textId="77777777" w:rsidR="00214CD4" w:rsidRPr="00092B22" w:rsidRDefault="00214CD4" w:rsidP="00E607DA">
            <w:pPr>
              <w:jc w:val="right"/>
              <w:rPr>
                <w:rFonts w:ascii="Meta Pro" w:eastAsia="Times New Roman" w:hAnsi="Meta Pro" w:cs="Times New Roman"/>
                <w:sz w:val="20"/>
                <w:szCs w:val="20"/>
                <w:lang w:eastAsia="en-AU"/>
              </w:rPr>
            </w:pPr>
          </w:p>
        </w:tc>
        <w:tc>
          <w:tcPr>
            <w:tcW w:w="1136" w:type="dxa"/>
            <w:tcBorders>
              <w:top w:val="nil"/>
              <w:left w:val="nil"/>
              <w:bottom w:val="nil"/>
              <w:right w:val="nil"/>
            </w:tcBorders>
            <w:shd w:val="clear" w:color="auto" w:fill="auto"/>
            <w:noWrap/>
            <w:vAlign w:val="center"/>
            <w:hideMark/>
          </w:tcPr>
          <w:p w14:paraId="435B434A" w14:textId="77777777" w:rsidR="00214CD4" w:rsidRPr="00092B22" w:rsidRDefault="00214CD4" w:rsidP="00E607DA">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1F315117" w14:textId="77777777" w:rsidR="00214CD4" w:rsidRPr="00092B22" w:rsidRDefault="00214CD4" w:rsidP="00E607DA">
            <w:pPr>
              <w:jc w:val="right"/>
              <w:rPr>
                <w:rFonts w:ascii="Meta Pro" w:eastAsia="Times New Roman" w:hAnsi="Meta Pro" w:cs="Times New Roman"/>
                <w:sz w:val="20"/>
                <w:szCs w:val="20"/>
                <w:lang w:eastAsia="en-AU"/>
              </w:rPr>
            </w:pPr>
          </w:p>
        </w:tc>
        <w:tc>
          <w:tcPr>
            <w:tcW w:w="1136" w:type="dxa"/>
            <w:tcBorders>
              <w:top w:val="nil"/>
              <w:left w:val="nil"/>
              <w:bottom w:val="nil"/>
              <w:right w:val="nil"/>
            </w:tcBorders>
            <w:shd w:val="clear" w:color="auto" w:fill="auto"/>
            <w:noWrap/>
            <w:vAlign w:val="center"/>
            <w:hideMark/>
          </w:tcPr>
          <w:p w14:paraId="4200A5B7" w14:textId="77777777" w:rsidR="00214CD4" w:rsidRPr="00092B22" w:rsidRDefault="00214CD4" w:rsidP="00E607DA">
            <w:pPr>
              <w:jc w:val="right"/>
              <w:rPr>
                <w:rFonts w:ascii="Meta Pro" w:eastAsia="Times New Roman" w:hAnsi="Meta Pro" w:cs="Times New Roman"/>
                <w:sz w:val="20"/>
                <w:szCs w:val="20"/>
                <w:lang w:eastAsia="en-AU"/>
              </w:rPr>
            </w:pPr>
          </w:p>
        </w:tc>
      </w:tr>
      <w:tr w:rsidR="00214CD4" w:rsidRPr="00092B22" w14:paraId="4083458C" w14:textId="77777777" w:rsidTr="00E607DA">
        <w:trPr>
          <w:trHeight w:val="227"/>
        </w:trPr>
        <w:tc>
          <w:tcPr>
            <w:tcW w:w="5936" w:type="dxa"/>
            <w:tcBorders>
              <w:top w:val="nil"/>
              <w:left w:val="nil"/>
              <w:bottom w:val="single" w:sz="4" w:space="0" w:color="auto"/>
              <w:right w:val="nil"/>
            </w:tcBorders>
            <w:shd w:val="clear" w:color="auto" w:fill="auto"/>
            <w:noWrap/>
            <w:vAlign w:val="center"/>
            <w:hideMark/>
          </w:tcPr>
          <w:p w14:paraId="57EA538F" w14:textId="77777777" w:rsidR="00214CD4" w:rsidRPr="00092B22" w:rsidRDefault="00214CD4" w:rsidP="00E607DA">
            <w:pP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OPERATING RESULT FOR THE YEAR</w:t>
            </w:r>
          </w:p>
        </w:tc>
        <w:tc>
          <w:tcPr>
            <w:tcW w:w="1136" w:type="dxa"/>
            <w:tcBorders>
              <w:top w:val="nil"/>
              <w:left w:val="nil"/>
              <w:bottom w:val="single" w:sz="4" w:space="0" w:color="auto"/>
              <w:right w:val="nil"/>
            </w:tcBorders>
            <w:shd w:val="clear" w:color="auto" w:fill="auto"/>
            <w:noWrap/>
            <w:vAlign w:val="center"/>
            <w:hideMark/>
          </w:tcPr>
          <w:p w14:paraId="539474DB" w14:textId="77777777" w:rsidR="00214CD4" w:rsidRPr="00092B22" w:rsidRDefault="00214CD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233,956 </w:t>
            </w:r>
          </w:p>
        </w:tc>
        <w:tc>
          <w:tcPr>
            <w:tcW w:w="198" w:type="dxa"/>
            <w:tcBorders>
              <w:top w:val="nil"/>
              <w:left w:val="nil"/>
              <w:bottom w:val="single" w:sz="4" w:space="0" w:color="auto"/>
              <w:right w:val="nil"/>
            </w:tcBorders>
            <w:shd w:val="clear" w:color="auto" w:fill="auto"/>
            <w:noWrap/>
            <w:vAlign w:val="center"/>
            <w:hideMark/>
          </w:tcPr>
          <w:p w14:paraId="0153E295" w14:textId="77777777" w:rsidR="00214CD4" w:rsidRPr="00092B22" w:rsidRDefault="00214CD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136" w:type="dxa"/>
            <w:tcBorders>
              <w:top w:val="nil"/>
              <w:left w:val="nil"/>
              <w:bottom w:val="single" w:sz="4" w:space="0" w:color="auto"/>
              <w:right w:val="nil"/>
            </w:tcBorders>
            <w:shd w:val="clear" w:color="auto" w:fill="auto"/>
            <w:noWrap/>
            <w:vAlign w:val="center"/>
            <w:hideMark/>
          </w:tcPr>
          <w:p w14:paraId="0A282C9F" w14:textId="77777777" w:rsidR="00214CD4" w:rsidRPr="00092B22" w:rsidRDefault="00214CD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(61,079)</w:t>
            </w:r>
          </w:p>
        </w:tc>
        <w:tc>
          <w:tcPr>
            <w:tcW w:w="198" w:type="dxa"/>
            <w:tcBorders>
              <w:top w:val="nil"/>
              <w:left w:val="nil"/>
              <w:bottom w:val="single" w:sz="4" w:space="0" w:color="auto"/>
              <w:right w:val="nil"/>
            </w:tcBorders>
            <w:shd w:val="clear" w:color="auto" w:fill="auto"/>
            <w:noWrap/>
            <w:vAlign w:val="center"/>
            <w:hideMark/>
          </w:tcPr>
          <w:p w14:paraId="424495F9" w14:textId="77777777" w:rsidR="00214CD4" w:rsidRPr="00092B22" w:rsidRDefault="00214CD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136" w:type="dxa"/>
            <w:tcBorders>
              <w:top w:val="nil"/>
              <w:left w:val="nil"/>
              <w:bottom w:val="single" w:sz="4" w:space="0" w:color="auto"/>
              <w:right w:val="nil"/>
            </w:tcBorders>
            <w:shd w:val="clear" w:color="auto" w:fill="auto"/>
            <w:noWrap/>
            <w:vAlign w:val="center"/>
            <w:hideMark/>
          </w:tcPr>
          <w:p w14:paraId="5C3A3800" w14:textId="77777777" w:rsidR="00214CD4" w:rsidRPr="00092B22" w:rsidRDefault="00214CD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(295,035)</w:t>
            </w:r>
          </w:p>
        </w:tc>
      </w:tr>
      <w:tr w:rsidR="00214CD4" w:rsidRPr="00092B22" w14:paraId="18AF43D2" w14:textId="77777777" w:rsidTr="00E607DA">
        <w:trPr>
          <w:trHeight w:val="227"/>
        </w:trPr>
        <w:tc>
          <w:tcPr>
            <w:tcW w:w="5936" w:type="dxa"/>
            <w:tcBorders>
              <w:top w:val="nil"/>
              <w:left w:val="nil"/>
              <w:bottom w:val="nil"/>
              <w:right w:val="nil"/>
            </w:tcBorders>
            <w:shd w:val="clear" w:color="auto" w:fill="auto"/>
            <w:noWrap/>
            <w:vAlign w:val="center"/>
            <w:hideMark/>
          </w:tcPr>
          <w:p w14:paraId="070FD4C5" w14:textId="77777777" w:rsidR="00214CD4" w:rsidRPr="00092B22" w:rsidRDefault="00214CD4" w:rsidP="00E607DA">
            <w:pPr>
              <w:jc w:val="right"/>
              <w:rPr>
                <w:rFonts w:ascii="Meta Pro" w:eastAsia="Times New Roman" w:hAnsi="Meta Pro"/>
                <w:b/>
                <w:bCs/>
                <w:szCs w:val="18"/>
                <w:lang w:eastAsia="en-AU"/>
              </w:rPr>
            </w:pPr>
          </w:p>
        </w:tc>
        <w:tc>
          <w:tcPr>
            <w:tcW w:w="1136" w:type="dxa"/>
            <w:tcBorders>
              <w:top w:val="nil"/>
              <w:left w:val="nil"/>
              <w:bottom w:val="nil"/>
              <w:right w:val="nil"/>
            </w:tcBorders>
            <w:shd w:val="clear" w:color="auto" w:fill="auto"/>
            <w:noWrap/>
            <w:vAlign w:val="center"/>
            <w:hideMark/>
          </w:tcPr>
          <w:p w14:paraId="056232EE" w14:textId="77777777" w:rsidR="00214CD4" w:rsidRPr="00092B22" w:rsidRDefault="00214CD4"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23489221" w14:textId="77777777" w:rsidR="00214CD4" w:rsidRPr="00092B22" w:rsidRDefault="00214CD4" w:rsidP="00E607DA">
            <w:pPr>
              <w:jc w:val="right"/>
              <w:rPr>
                <w:rFonts w:ascii="Meta Pro" w:eastAsia="Times New Roman" w:hAnsi="Meta Pro" w:cs="Times New Roman"/>
                <w:sz w:val="20"/>
                <w:szCs w:val="20"/>
                <w:lang w:eastAsia="en-AU"/>
              </w:rPr>
            </w:pPr>
          </w:p>
        </w:tc>
        <w:tc>
          <w:tcPr>
            <w:tcW w:w="1136" w:type="dxa"/>
            <w:tcBorders>
              <w:top w:val="nil"/>
              <w:left w:val="nil"/>
              <w:bottom w:val="nil"/>
              <w:right w:val="nil"/>
            </w:tcBorders>
            <w:shd w:val="clear" w:color="auto" w:fill="auto"/>
            <w:noWrap/>
            <w:vAlign w:val="center"/>
            <w:hideMark/>
          </w:tcPr>
          <w:p w14:paraId="321AC246" w14:textId="77777777" w:rsidR="00214CD4" w:rsidRPr="00092B22" w:rsidRDefault="00214CD4" w:rsidP="00E607DA">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479BB971" w14:textId="77777777" w:rsidR="00214CD4" w:rsidRPr="00092B22" w:rsidRDefault="00214CD4" w:rsidP="00E607DA">
            <w:pPr>
              <w:jc w:val="right"/>
              <w:rPr>
                <w:rFonts w:ascii="Meta Pro" w:eastAsia="Times New Roman" w:hAnsi="Meta Pro" w:cs="Times New Roman"/>
                <w:sz w:val="20"/>
                <w:szCs w:val="20"/>
                <w:lang w:eastAsia="en-AU"/>
              </w:rPr>
            </w:pPr>
          </w:p>
        </w:tc>
        <w:tc>
          <w:tcPr>
            <w:tcW w:w="1136" w:type="dxa"/>
            <w:tcBorders>
              <w:top w:val="nil"/>
              <w:left w:val="nil"/>
              <w:bottom w:val="nil"/>
              <w:right w:val="nil"/>
            </w:tcBorders>
            <w:shd w:val="clear" w:color="auto" w:fill="auto"/>
            <w:noWrap/>
            <w:vAlign w:val="center"/>
            <w:hideMark/>
          </w:tcPr>
          <w:p w14:paraId="3C25FEDD" w14:textId="77777777" w:rsidR="00214CD4" w:rsidRPr="00092B22" w:rsidRDefault="00214CD4" w:rsidP="00E607DA">
            <w:pPr>
              <w:jc w:val="right"/>
              <w:rPr>
                <w:rFonts w:ascii="Meta Pro" w:eastAsia="Times New Roman" w:hAnsi="Meta Pro" w:cs="Times New Roman"/>
                <w:sz w:val="20"/>
                <w:szCs w:val="20"/>
                <w:lang w:eastAsia="en-AU"/>
              </w:rPr>
            </w:pPr>
          </w:p>
        </w:tc>
      </w:tr>
      <w:tr w:rsidR="00214CD4" w:rsidRPr="00092B22" w14:paraId="6D237C2F" w14:textId="77777777" w:rsidTr="00E607DA">
        <w:trPr>
          <w:trHeight w:val="227"/>
        </w:trPr>
        <w:tc>
          <w:tcPr>
            <w:tcW w:w="5936" w:type="dxa"/>
            <w:tcBorders>
              <w:top w:val="nil"/>
              <w:left w:val="nil"/>
              <w:bottom w:val="nil"/>
              <w:right w:val="nil"/>
            </w:tcBorders>
            <w:shd w:val="clear" w:color="auto" w:fill="auto"/>
            <w:noWrap/>
            <w:vAlign w:val="center"/>
            <w:hideMark/>
          </w:tcPr>
          <w:p w14:paraId="16C99979" w14:textId="77777777" w:rsidR="00214CD4" w:rsidRPr="00092B22" w:rsidRDefault="00214CD4" w:rsidP="00E607DA">
            <w:pPr>
              <w:rPr>
                <w:rFonts w:ascii="Meta Pro" w:eastAsia="Times New Roman" w:hAnsi="Meta Pro"/>
                <w:b/>
                <w:bCs/>
                <w:szCs w:val="18"/>
                <w:lang w:eastAsia="en-AU"/>
              </w:rPr>
            </w:pPr>
            <w:r w:rsidRPr="00092B22">
              <w:rPr>
                <w:rFonts w:ascii="Meta Pro" w:eastAsia="Times New Roman" w:hAnsi="Meta Pro"/>
                <w:b/>
                <w:bCs/>
                <w:szCs w:val="18"/>
                <w:lang w:eastAsia="en-AU"/>
              </w:rPr>
              <w:t>Items not reclassified to operating result</w:t>
            </w:r>
          </w:p>
        </w:tc>
        <w:tc>
          <w:tcPr>
            <w:tcW w:w="1136" w:type="dxa"/>
            <w:tcBorders>
              <w:top w:val="nil"/>
              <w:left w:val="nil"/>
              <w:bottom w:val="nil"/>
              <w:right w:val="nil"/>
            </w:tcBorders>
            <w:shd w:val="clear" w:color="auto" w:fill="auto"/>
            <w:noWrap/>
            <w:vAlign w:val="center"/>
            <w:hideMark/>
          </w:tcPr>
          <w:p w14:paraId="4F1163B0" w14:textId="77777777" w:rsidR="00214CD4" w:rsidRPr="00092B22" w:rsidRDefault="00214CD4" w:rsidP="00E607DA">
            <w:pPr>
              <w:rPr>
                <w:rFonts w:ascii="Meta Pro" w:eastAsia="Times New Roman" w:hAnsi="Meta Pro"/>
                <w:b/>
                <w:bCs/>
                <w:szCs w:val="18"/>
                <w:lang w:eastAsia="en-AU"/>
              </w:rPr>
            </w:pPr>
          </w:p>
        </w:tc>
        <w:tc>
          <w:tcPr>
            <w:tcW w:w="198" w:type="dxa"/>
            <w:tcBorders>
              <w:top w:val="nil"/>
              <w:left w:val="nil"/>
              <w:bottom w:val="nil"/>
              <w:right w:val="nil"/>
            </w:tcBorders>
            <w:shd w:val="clear" w:color="auto" w:fill="auto"/>
            <w:noWrap/>
            <w:vAlign w:val="center"/>
            <w:hideMark/>
          </w:tcPr>
          <w:p w14:paraId="692A41A2" w14:textId="77777777" w:rsidR="00214CD4" w:rsidRPr="00092B22" w:rsidRDefault="00214CD4" w:rsidP="00E607DA">
            <w:pPr>
              <w:rPr>
                <w:rFonts w:ascii="Meta Pro" w:eastAsia="Times New Roman" w:hAnsi="Meta Pro" w:cs="Times New Roman"/>
                <w:sz w:val="20"/>
                <w:szCs w:val="20"/>
                <w:lang w:eastAsia="en-AU"/>
              </w:rPr>
            </w:pPr>
          </w:p>
        </w:tc>
        <w:tc>
          <w:tcPr>
            <w:tcW w:w="1136" w:type="dxa"/>
            <w:tcBorders>
              <w:top w:val="nil"/>
              <w:left w:val="nil"/>
              <w:bottom w:val="nil"/>
              <w:right w:val="nil"/>
            </w:tcBorders>
            <w:shd w:val="clear" w:color="auto" w:fill="auto"/>
            <w:noWrap/>
            <w:vAlign w:val="center"/>
            <w:hideMark/>
          </w:tcPr>
          <w:p w14:paraId="1524D6DF" w14:textId="77777777" w:rsidR="00214CD4" w:rsidRPr="00092B22" w:rsidRDefault="00214CD4" w:rsidP="00E607DA">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4153D585" w14:textId="77777777" w:rsidR="00214CD4" w:rsidRPr="00092B22" w:rsidRDefault="00214CD4" w:rsidP="00E607DA">
            <w:pPr>
              <w:rPr>
                <w:rFonts w:ascii="Meta Pro" w:eastAsia="Times New Roman" w:hAnsi="Meta Pro" w:cs="Times New Roman"/>
                <w:sz w:val="20"/>
                <w:szCs w:val="20"/>
                <w:lang w:eastAsia="en-AU"/>
              </w:rPr>
            </w:pPr>
          </w:p>
        </w:tc>
        <w:tc>
          <w:tcPr>
            <w:tcW w:w="1136" w:type="dxa"/>
            <w:tcBorders>
              <w:top w:val="nil"/>
              <w:left w:val="nil"/>
              <w:bottom w:val="nil"/>
              <w:right w:val="nil"/>
            </w:tcBorders>
            <w:shd w:val="clear" w:color="auto" w:fill="auto"/>
            <w:noWrap/>
            <w:vAlign w:val="center"/>
            <w:hideMark/>
          </w:tcPr>
          <w:p w14:paraId="4833251C" w14:textId="77777777" w:rsidR="00214CD4" w:rsidRPr="00092B22" w:rsidRDefault="00214CD4" w:rsidP="00E607DA">
            <w:pPr>
              <w:jc w:val="right"/>
              <w:rPr>
                <w:rFonts w:ascii="Meta Pro" w:eastAsia="Times New Roman" w:hAnsi="Meta Pro" w:cs="Times New Roman"/>
                <w:sz w:val="20"/>
                <w:szCs w:val="20"/>
                <w:lang w:eastAsia="en-AU"/>
              </w:rPr>
            </w:pPr>
          </w:p>
        </w:tc>
      </w:tr>
      <w:tr w:rsidR="00214CD4" w:rsidRPr="00092B22" w14:paraId="4CA73067" w14:textId="77777777" w:rsidTr="00E607DA">
        <w:trPr>
          <w:trHeight w:val="227"/>
        </w:trPr>
        <w:tc>
          <w:tcPr>
            <w:tcW w:w="5936" w:type="dxa"/>
            <w:tcBorders>
              <w:top w:val="nil"/>
              <w:left w:val="nil"/>
              <w:bottom w:val="single" w:sz="4" w:space="0" w:color="auto"/>
              <w:right w:val="nil"/>
            </w:tcBorders>
            <w:shd w:val="clear" w:color="auto" w:fill="auto"/>
            <w:noWrap/>
            <w:vAlign w:val="center"/>
            <w:hideMark/>
          </w:tcPr>
          <w:p w14:paraId="05600F30" w14:textId="77777777" w:rsidR="00214CD4" w:rsidRPr="00092B22" w:rsidRDefault="00214CD4" w:rsidP="00E607DA">
            <w:pPr>
              <w:rPr>
                <w:rFonts w:ascii="Meta Pro" w:eastAsia="Times New Roman" w:hAnsi="Meta Pro"/>
                <w:szCs w:val="18"/>
                <w:lang w:eastAsia="en-AU"/>
              </w:rPr>
            </w:pPr>
            <w:r w:rsidRPr="00092B22">
              <w:rPr>
                <w:rFonts w:ascii="Meta Pro" w:eastAsia="Times New Roman" w:hAnsi="Meta Pro"/>
                <w:szCs w:val="18"/>
                <w:lang w:eastAsia="en-AU"/>
              </w:rPr>
              <w:t>Increase in asset revaluation surplus</w:t>
            </w:r>
          </w:p>
        </w:tc>
        <w:tc>
          <w:tcPr>
            <w:tcW w:w="1136" w:type="dxa"/>
            <w:tcBorders>
              <w:top w:val="nil"/>
              <w:left w:val="nil"/>
              <w:bottom w:val="single" w:sz="4" w:space="0" w:color="auto"/>
              <w:right w:val="nil"/>
            </w:tcBorders>
            <w:shd w:val="clear" w:color="auto" w:fill="auto"/>
            <w:noWrap/>
            <w:vAlign w:val="center"/>
            <w:hideMark/>
          </w:tcPr>
          <w:p w14:paraId="51335E82"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3ABD724D"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w:t>
            </w:r>
          </w:p>
        </w:tc>
        <w:tc>
          <w:tcPr>
            <w:tcW w:w="1136" w:type="dxa"/>
            <w:tcBorders>
              <w:top w:val="nil"/>
              <w:left w:val="nil"/>
              <w:bottom w:val="single" w:sz="4" w:space="0" w:color="auto"/>
              <w:right w:val="nil"/>
            </w:tcBorders>
            <w:shd w:val="clear" w:color="auto" w:fill="auto"/>
            <w:noWrap/>
            <w:vAlign w:val="center"/>
            <w:hideMark/>
          </w:tcPr>
          <w:p w14:paraId="10D6BBFB"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10,757,900 </w:t>
            </w:r>
          </w:p>
        </w:tc>
        <w:tc>
          <w:tcPr>
            <w:tcW w:w="198" w:type="dxa"/>
            <w:tcBorders>
              <w:top w:val="nil"/>
              <w:left w:val="nil"/>
              <w:bottom w:val="single" w:sz="4" w:space="0" w:color="auto"/>
              <w:right w:val="nil"/>
            </w:tcBorders>
            <w:shd w:val="clear" w:color="auto" w:fill="auto"/>
            <w:noWrap/>
            <w:vAlign w:val="center"/>
            <w:hideMark/>
          </w:tcPr>
          <w:p w14:paraId="18F65504"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w:t>
            </w:r>
          </w:p>
        </w:tc>
        <w:tc>
          <w:tcPr>
            <w:tcW w:w="1136" w:type="dxa"/>
            <w:tcBorders>
              <w:top w:val="nil"/>
              <w:left w:val="nil"/>
              <w:bottom w:val="single" w:sz="4" w:space="0" w:color="auto"/>
              <w:right w:val="nil"/>
            </w:tcBorders>
            <w:shd w:val="clear" w:color="auto" w:fill="auto"/>
            <w:noWrap/>
            <w:vAlign w:val="center"/>
            <w:hideMark/>
          </w:tcPr>
          <w:p w14:paraId="3D284336" w14:textId="77777777" w:rsidR="00214CD4" w:rsidRPr="00092B22" w:rsidRDefault="00214CD4" w:rsidP="00E607DA">
            <w:pPr>
              <w:jc w:val="right"/>
              <w:rPr>
                <w:rFonts w:ascii="Meta Pro" w:eastAsia="Times New Roman" w:hAnsi="Meta Pro"/>
                <w:szCs w:val="18"/>
                <w:lang w:eastAsia="en-AU"/>
              </w:rPr>
            </w:pPr>
            <w:r w:rsidRPr="00092B22">
              <w:rPr>
                <w:rFonts w:ascii="Meta Pro" w:eastAsia="Times New Roman" w:hAnsi="Meta Pro"/>
                <w:szCs w:val="18"/>
                <w:lang w:eastAsia="en-AU"/>
              </w:rPr>
              <w:t xml:space="preserve">10,757,900 </w:t>
            </w:r>
          </w:p>
        </w:tc>
      </w:tr>
      <w:tr w:rsidR="00214CD4" w:rsidRPr="00092B22" w14:paraId="1BE0458F" w14:textId="77777777" w:rsidTr="00E607DA">
        <w:trPr>
          <w:trHeight w:val="227"/>
        </w:trPr>
        <w:tc>
          <w:tcPr>
            <w:tcW w:w="5936" w:type="dxa"/>
            <w:tcBorders>
              <w:top w:val="nil"/>
              <w:left w:val="nil"/>
              <w:bottom w:val="single" w:sz="4" w:space="0" w:color="auto"/>
              <w:right w:val="nil"/>
            </w:tcBorders>
            <w:shd w:val="clear" w:color="auto" w:fill="auto"/>
            <w:noWrap/>
            <w:vAlign w:val="center"/>
            <w:hideMark/>
          </w:tcPr>
          <w:p w14:paraId="44F8CBB0" w14:textId="77777777" w:rsidR="00214CD4" w:rsidRPr="00092B22" w:rsidRDefault="00214CD4" w:rsidP="00E607DA">
            <w:pP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Total other comprehensive income</w:t>
            </w:r>
          </w:p>
        </w:tc>
        <w:tc>
          <w:tcPr>
            <w:tcW w:w="1136" w:type="dxa"/>
            <w:tcBorders>
              <w:top w:val="nil"/>
              <w:left w:val="nil"/>
              <w:bottom w:val="single" w:sz="4" w:space="0" w:color="auto"/>
              <w:right w:val="nil"/>
            </w:tcBorders>
            <w:shd w:val="clear" w:color="auto" w:fill="auto"/>
            <w:noWrap/>
            <w:vAlign w:val="center"/>
            <w:hideMark/>
          </w:tcPr>
          <w:p w14:paraId="17AB0AD6" w14:textId="77777777" w:rsidR="00214CD4" w:rsidRPr="00092B22" w:rsidRDefault="00214CD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17CB7CCD" w14:textId="77777777" w:rsidR="00214CD4" w:rsidRPr="00092B22" w:rsidRDefault="00214CD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136" w:type="dxa"/>
            <w:tcBorders>
              <w:top w:val="nil"/>
              <w:left w:val="nil"/>
              <w:bottom w:val="single" w:sz="4" w:space="0" w:color="auto"/>
              <w:right w:val="nil"/>
            </w:tcBorders>
            <w:shd w:val="clear" w:color="auto" w:fill="auto"/>
            <w:noWrap/>
            <w:vAlign w:val="center"/>
            <w:hideMark/>
          </w:tcPr>
          <w:p w14:paraId="747F7BC4" w14:textId="77777777" w:rsidR="00214CD4" w:rsidRPr="00092B22" w:rsidRDefault="00214CD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10,757,900 </w:t>
            </w:r>
          </w:p>
        </w:tc>
        <w:tc>
          <w:tcPr>
            <w:tcW w:w="198" w:type="dxa"/>
            <w:tcBorders>
              <w:top w:val="nil"/>
              <w:left w:val="nil"/>
              <w:bottom w:val="single" w:sz="4" w:space="0" w:color="auto"/>
              <w:right w:val="nil"/>
            </w:tcBorders>
            <w:shd w:val="clear" w:color="auto" w:fill="auto"/>
            <w:noWrap/>
            <w:vAlign w:val="center"/>
            <w:hideMark/>
          </w:tcPr>
          <w:p w14:paraId="59BC105A" w14:textId="77777777" w:rsidR="00214CD4" w:rsidRPr="00092B22" w:rsidRDefault="00214CD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136" w:type="dxa"/>
            <w:tcBorders>
              <w:top w:val="nil"/>
              <w:left w:val="nil"/>
              <w:bottom w:val="single" w:sz="4" w:space="0" w:color="auto"/>
              <w:right w:val="nil"/>
            </w:tcBorders>
            <w:shd w:val="clear" w:color="auto" w:fill="auto"/>
            <w:noWrap/>
            <w:vAlign w:val="center"/>
            <w:hideMark/>
          </w:tcPr>
          <w:p w14:paraId="1ECC3A2B" w14:textId="77777777" w:rsidR="00214CD4" w:rsidRPr="00092B22" w:rsidRDefault="00214CD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10,757,900 </w:t>
            </w:r>
          </w:p>
        </w:tc>
      </w:tr>
      <w:tr w:rsidR="00214CD4" w:rsidRPr="00092B22" w14:paraId="7BF317D1" w14:textId="77777777" w:rsidTr="00E607DA">
        <w:trPr>
          <w:trHeight w:val="227"/>
        </w:trPr>
        <w:tc>
          <w:tcPr>
            <w:tcW w:w="5936" w:type="dxa"/>
            <w:tcBorders>
              <w:top w:val="nil"/>
              <w:left w:val="nil"/>
              <w:bottom w:val="nil"/>
              <w:right w:val="nil"/>
            </w:tcBorders>
            <w:shd w:val="clear" w:color="auto" w:fill="auto"/>
            <w:noWrap/>
            <w:vAlign w:val="center"/>
            <w:hideMark/>
          </w:tcPr>
          <w:p w14:paraId="05D952CC" w14:textId="77777777" w:rsidR="00214CD4" w:rsidRPr="00092B22" w:rsidRDefault="00214CD4" w:rsidP="00E607DA">
            <w:pPr>
              <w:jc w:val="right"/>
              <w:rPr>
                <w:rFonts w:ascii="Meta Pro" w:eastAsia="Times New Roman" w:hAnsi="Meta Pro"/>
                <w:b/>
                <w:bCs/>
                <w:szCs w:val="18"/>
                <w:lang w:eastAsia="en-AU"/>
              </w:rPr>
            </w:pPr>
          </w:p>
        </w:tc>
        <w:tc>
          <w:tcPr>
            <w:tcW w:w="1136" w:type="dxa"/>
            <w:tcBorders>
              <w:top w:val="nil"/>
              <w:left w:val="nil"/>
              <w:bottom w:val="nil"/>
              <w:right w:val="nil"/>
            </w:tcBorders>
            <w:shd w:val="clear" w:color="auto" w:fill="auto"/>
            <w:noWrap/>
            <w:vAlign w:val="center"/>
            <w:hideMark/>
          </w:tcPr>
          <w:p w14:paraId="7D4A1966" w14:textId="77777777" w:rsidR="00214CD4" w:rsidRPr="00092B22" w:rsidRDefault="00214CD4" w:rsidP="00E607DA">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1EBD4E3A" w14:textId="77777777" w:rsidR="00214CD4" w:rsidRPr="00092B22" w:rsidRDefault="00214CD4" w:rsidP="00E607DA">
            <w:pPr>
              <w:rPr>
                <w:rFonts w:ascii="Meta Pro" w:eastAsia="Times New Roman" w:hAnsi="Meta Pro" w:cs="Times New Roman"/>
                <w:sz w:val="20"/>
                <w:szCs w:val="20"/>
                <w:lang w:eastAsia="en-AU"/>
              </w:rPr>
            </w:pPr>
          </w:p>
        </w:tc>
        <w:tc>
          <w:tcPr>
            <w:tcW w:w="1136" w:type="dxa"/>
            <w:tcBorders>
              <w:top w:val="nil"/>
              <w:left w:val="nil"/>
              <w:bottom w:val="nil"/>
              <w:right w:val="nil"/>
            </w:tcBorders>
            <w:shd w:val="clear" w:color="auto" w:fill="auto"/>
            <w:noWrap/>
            <w:vAlign w:val="center"/>
            <w:hideMark/>
          </w:tcPr>
          <w:p w14:paraId="5F6EB766" w14:textId="77777777" w:rsidR="00214CD4" w:rsidRPr="00092B22" w:rsidRDefault="00214CD4" w:rsidP="00E607DA">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357EA3F7" w14:textId="77777777" w:rsidR="00214CD4" w:rsidRPr="00092B22" w:rsidRDefault="00214CD4" w:rsidP="00E607DA">
            <w:pPr>
              <w:rPr>
                <w:rFonts w:ascii="Meta Pro" w:eastAsia="Times New Roman" w:hAnsi="Meta Pro" w:cs="Times New Roman"/>
                <w:sz w:val="20"/>
                <w:szCs w:val="20"/>
                <w:lang w:eastAsia="en-AU"/>
              </w:rPr>
            </w:pPr>
          </w:p>
        </w:tc>
        <w:tc>
          <w:tcPr>
            <w:tcW w:w="1136" w:type="dxa"/>
            <w:tcBorders>
              <w:top w:val="nil"/>
              <w:left w:val="nil"/>
              <w:bottom w:val="nil"/>
              <w:right w:val="nil"/>
            </w:tcBorders>
            <w:shd w:val="clear" w:color="auto" w:fill="auto"/>
            <w:noWrap/>
            <w:vAlign w:val="center"/>
            <w:hideMark/>
          </w:tcPr>
          <w:p w14:paraId="56650163" w14:textId="77777777" w:rsidR="00214CD4" w:rsidRPr="00092B22" w:rsidRDefault="00214CD4" w:rsidP="00E607DA">
            <w:pPr>
              <w:jc w:val="right"/>
              <w:rPr>
                <w:rFonts w:ascii="Meta Pro" w:eastAsia="Times New Roman" w:hAnsi="Meta Pro" w:cs="Times New Roman"/>
                <w:sz w:val="20"/>
                <w:szCs w:val="20"/>
                <w:lang w:eastAsia="en-AU"/>
              </w:rPr>
            </w:pPr>
          </w:p>
        </w:tc>
      </w:tr>
      <w:tr w:rsidR="00214CD4" w:rsidRPr="00092B22" w14:paraId="4D3A5AE8" w14:textId="77777777" w:rsidTr="00E607DA">
        <w:trPr>
          <w:trHeight w:val="227"/>
        </w:trPr>
        <w:tc>
          <w:tcPr>
            <w:tcW w:w="5936" w:type="dxa"/>
            <w:tcBorders>
              <w:top w:val="nil"/>
              <w:left w:val="nil"/>
              <w:bottom w:val="double" w:sz="6" w:space="0" w:color="auto"/>
              <w:right w:val="nil"/>
            </w:tcBorders>
            <w:shd w:val="clear" w:color="auto" w:fill="auto"/>
            <w:noWrap/>
            <w:vAlign w:val="center"/>
            <w:hideMark/>
          </w:tcPr>
          <w:p w14:paraId="37E5997F" w14:textId="77777777" w:rsidR="00214CD4" w:rsidRPr="00092B22" w:rsidRDefault="00214CD4" w:rsidP="00E607DA">
            <w:pPr>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TOTAL COMPREHENSIVE INCOME</w:t>
            </w:r>
          </w:p>
        </w:tc>
        <w:tc>
          <w:tcPr>
            <w:tcW w:w="1136" w:type="dxa"/>
            <w:tcBorders>
              <w:top w:val="nil"/>
              <w:left w:val="nil"/>
              <w:bottom w:val="double" w:sz="6" w:space="0" w:color="auto"/>
              <w:right w:val="nil"/>
            </w:tcBorders>
            <w:shd w:val="clear" w:color="auto" w:fill="auto"/>
            <w:noWrap/>
            <w:vAlign w:val="center"/>
            <w:hideMark/>
          </w:tcPr>
          <w:p w14:paraId="7E3E7E9D" w14:textId="77777777" w:rsidR="00214CD4" w:rsidRPr="00092B22" w:rsidRDefault="00214CD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233,956 </w:t>
            </w:r>
          </w:p>
        </w:tc>
        <w:tc>
          <w:tcPr>
            <w:tcW w:w="198" w:type="dxa"/>
            <w:tcBorders>
              <w:top w:val="nil"/>
              <w:left w:val="nil"/>
              <w:bottom w:val="double" w:sz="6" w:space="0" w:color="auto"/>
              <w:right w:val="nil"/>
            </w:tcBorders>
            <w:shd w:val="clear" w:color="auto" w:fill="auto"/>
            <w:noWrap/>
            <w:vAlign w:val="center"/>
            <w:hideMark/>
          </w:tcPr>
          <w:p w14:paraId="3E8C594D" w14:textId="77777777" w:rsidR="00214CD4" w:rsidRPr="00092B22" w:rsidRDefault="00214CD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136" w:type="dxa"/>
            <w:tcBorders>
              <w:top w:val="nil"/>
              <w:left w:val="nil"/>
              <w:bottom w:val="double" w:sz="6" w:space="0" w:color="auto"/>
              <w:right w:val="nil"/>
            </w:tcBorders>
            <w:shd w:val="clear" w:color="auto" w:fill="auto"/>
            <w:noWrap/>
            <w:vAlign w:val="center"/>
            <w:hideMark/>
          </w:tcPr>
          <w:p w14:paraId="294ABA03" w14:textId="77777777" w:rsidR="00214CD4" w:rsidRPr="00092B22" w:rsidRDefault="00214CD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10,696,821 </w:t>
            </w:r>
          </w:p>
        </w:tc>
        <w:tc>
          <w:tcPr>
            <w:tcW w:w="198" w:type="dxa"/>
            <w:tcBorders>
              <w:top w:val="nil"/>
              <w:left w:val="nil"/>
              <w:bottom w:val="double" w:sz="6" w:space="0" w:color="auto"/>
              <w:right w:val="nil"/>
            </w:tcBorders>
            <w:shd w:val="clear" w:color="auto" w:fill="auto"/>
            <w:noWrap/>
            <w:vAlign w:val="center"/>
            <w:hideMark/>
          </w:tcPr>
          <w:p w14:paraId="32CED32B" w14:textId="77777777" w:rsidR="00214CD4" w:rsidRPr="00092B22" w:rsidRDefault="00214CD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w:t>
            </w:r>
          </w:p>
        </w:tc>
        <w:tc>
          <w:tcPr>
            <w:tcW w:w="1136" w:type="dxa"/>
            <w:tcBorders>
              <w:top w:val="nil"/>
              <w:left w:val="nil"/>
              <w:bottom w:val="double" w:sz="6" w:space="0" w:color="auto"/>
              <w:right w:val="nil"/>
            </w:tcBorders>
            <w:shd w:val="clear" w:color="auto" w:fill="auto"/>
            <w:noWrap/>
            <w:vAlign w:val="center"/>
            <w:hideMark/>
          </w:tcPr>
          <w:p w14:paraId="4387D670" w14:textId="77777777" w:rsidR="00214CD4" w:rsidRPr="00092B22" w:rsidRDefault="00214CD4" w:rsidP="00E607DA">
            <w:pPr>
              <w:jc w:val="right"/>
              <w:rPr>
                <w:rFonts w:ascii="Meta Pro" w:eastAsia="Times New Roman" w:hAnsi="Meta Pro"/>
                <w:b/>
                <w:bCs/>
                <w:szCs w:val="18"/>
                <w:lang w:eastAsia="en-AU"/>
              </w:rPr>
            </w:pPr>
            <w:r w:rsidRPr="00092B22">
              <w:rPr>
                <w:rFonts w:ascii="Meta Pro" w:eastAsia="Times New Roman" w:hAnsi="Meta Pro"/>
                <w:b/>
                <w:bCs/>
                <w:szCs w:val="18"/>
                <w:lang w:eastAsia="en-AU"/>
              </w:rPr>
              <w:t xml:space="preserve">10,462,865 </w:t>
            </w:r>
          </w:p>
        </w:tc>
      </w:tr>
    </w:tbl>
    <w:p w14:paraId="2D3D63F1" w14:textId="77777777" w:rsidR="00214CD4" w:rsidRDefault="00214CD4" w:rsidP="00214CD4">
      <w:pPr>
        <w:spacing w:line="259" w:lineRule="auto"/>
        <w:rPr>
          <w:rFonts w:ascii="Meta Pro" w:eastAsia="Times New Roman" w:hAnsi="Meta Pro"/>
          <w:color w:val="000000"/>
          <w:szCs w:val="18"/>
          <w:lang w:eastAsia="en-AU"/>
        </w:rPr>
      </w:pPr>
    </w:p>
    <w:p w14:paraId="6B05FC11" w14:textId="77777777" w:rsidR="00214CD4" w:rsidRPr="00092B22" w:rsidRDefault="00214CD4" w:rsidP="00214CD4">
      <w:pPr>
        <w:spacing w:after="120" w:line="259" w:lineRule="auto"/>
        <w:rPr>
          <w:rFonts w:ascii="Meta Pro" w:eastAsia="Times New Roman" w:hAnsi="Meta Pro"/>
          <w:b/>
          <w:bCs/>
          <w:color w:val="000000"/>
          <w:szCs w:val="18"/>
          <w:lang w:eastAsia="en-AU"/>
        </w:rPr>
      </w:pPr>
      <w:r w:rsidRPr="00092B22">
        <w:rPr>
          <w:rFonts w:ascii="Meta Pro" w:eastAsia="Times New Roman" w:hAnsi="Meta Pro"/>
          <w:b/>
          <w:bCs/>
          <w:color w:val="000000"/>
          <w:szCs w:val="18"/>
          <w:lang w:eastAsia="en-AU"/>
        </w:rPr>
        <w:t>Explanation of major variances</w:t>
      </w:r>
    </w:p>
    <w:p w14:paraId="5FA41707" w14:textId="77777777" w:rsidR="00214CD4" w:rsidRPr="00092B22" w:rsidRDefault="00214CD4" w:rsidP="00214CD4">
      <w:pPr>
        <w:spacing w:line="259" w:lineRule="auto"/>
        <w:rPr>
          <w:rFonts w:ascii="Meta Pro" w:eastAsia="Times New Roman" w:hAnsi="Meta Pro"/>
          <w:b/>
          <w:bCs/>
          <w:i/>
          <w:iCs/>
          <w:color w:val="000000"/>
          <w:szCs w:val="18"/>
          <w:lang w:eastAsia="en-AU"/>
        </w:rPr>
      </w:pPr>
      <w:r w:rsidRPr="00092B22">
        <w:rPr>
          <w:rFonts w:ascii="Meta Pro" w:eastAsia="Times New Roman" w:hAnsi="Meta Pro"/>
          <w:b/>
          <w:bCs/>
          <w:i/>
          <w:iCs/>
          <w:color w:val="000000"/>
          <w:szCs w:val="18"/>
          <w:lang w:eastAsia="en-AU"/>
        </w:rPr>
        <w:t>Other revenue</w:t>
      </w:r>
    </w:p>
    <w:p w14:paraId="35145550" w14:textId="77777777" w:rsidR="00214CD4" w:rsidRPr="00092B22" w:rsidRDefault="00214CD4" w:rsidP="00214CD4">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t>Variance of $33.833m to budget is explained by the following:</w:t>
      </w:r>
    </w:p>
    <w:p w14:paraId="6819BBDF" w14:textId="77777777" w:rsidR="00214CD4" w:rsidRPr="00092B22" w:rsidRDefault="00214CD4" w:rsidP="00214CD4">
      <w:pPr>
        <w:rPr>
          <w:rFonts w:ascii="Meta Pro" w:eastAsia="Times New Roman" w:hAnsi="Meta Pro"/>
          <w:color w:val="000000"/>
          <w:szCs w:val="18"/>
          <w:lang w:eastAsia="en-AU"/>
        </w:rPr>
      </w:pPr>
      <w:r w:rsidRPr="00092B22">
        <w:rPr>
          <w:rFonts w:ascii="Meta Pro" w:eastAsia="Times New Roman" w:hAnsi="Meta Pro"/>
          <w:szCs w:val="18"/>
          <w:lang w:eastAsia="en-AU"/>
        </w:rPr>
        <w:t>•</w:t>
      </w:r>
      <w:r w:rsidRPr="00092B22">
        <w:rPr>
          <w:rFonts w:ascii="Meta Pro" w:eastAsia="Times New Roman" w:hAnsi="Meta Pro"/>
          <w:color w:val="000000"/>
          <w:szCs w:val="18"/>
          <w:lang w:eastAsia="en-AU"/>
        </w:rPr>
        <w:t xml:space="preserve">  $13.496m for the recognition of additional revenue for Toowoomba Bypass to reflect the floating rate component due to</w:t>
      </w:r>
    </w:p>
    <w:p w14:paraId="3E4943BC" w14:textId="77777777" w:rsidR="00214CD4" w:rsidRPr="00092B22" w:rsidRDefault="00214CD4" w:rsidP="00214CD4">
      <w:pPr>
        <w:rPr>
          <w:rFonts w:ascii="Meta Pro" w:eastAsia="Times New Roman" w:hAnsi="Meta Pro"/>
          <w:color w:val="000000"/>
          <w:szCs w:val="18"/>
          <w:lang w:eastAsia="en-AU"/>
        </w:rPr>
      </w:pPr>
      <w:r w:rsidRPr="00092B22">
        <w:rPr>
          <w:rFonts w:ascii="Meta Pro" w:eastAsia="Times New Roman" w:hAnsi="Meta Pro"/>
          <w:color w:val="000000"/>
          <w:szCs w:val="18"/>
          <w:lang w:eastAsia="en-AU"/>
        </w:rPr>
        <w:lastRenderedPageBreak/>
        <w:t xml:space="preserve">    refinancing of borrowings</w:t>
      </w:r>
    </w:p>
    <w:p w14:paraId="1BB86874" w14:textId="77777777" w:rsidR="00214CD4" w:rsidRPr="00092B22" w:rsidRDefault="00214CD4" w:rsidP="00214CD4">
      <w:pPr>
        <w:rPr>
          <w:rFonts w:ascii="Meta Pro" w:eastAsia="Times New Roman" w:hAnsi="Meta Pro"/>
          <w:szCs w:val="18"/>
          <w:lang w:eastAsia="en-AU"/>
        </w:rPr>
      </w:pPr>
      <w:r w:rsidRPr="00092B22">
        <w:rPr>
          <w:rFonts w:ascii="Meta Pro" w:eastAsia="Times New Roman" w:hAnsi="Meta Pro"/>
          <w:szCs w:val="18"/>
          <w:lang w:eastAsia="en-AU"/>
        </w:rPr>
        <w:t xml:space="preserve">• $10.738m reflects debt recovery and overdue interest charges </w:t>
      </w:r>
      <w:r>
        <w:rPr>
          <w:rFonts w:ascii="Meta Pro" w:eastAsia="Times New Roman" w:hAnsi="Meta Pro"/>
          <w:szCs w:val="18"/>
          <w:lang w:eastAsia="en-AU"/>
        </w:rPr>
        <w:t>from a departmental customer</w:t>
      </w:r>
    </w:p>
    <w:p w14:paraId="0C8BE5DD" w14:textId="77777777" w:rsidR="00214CD4" w:rsidRPr="00092B22" w:rsidRDefault="00214CD4" w:rsidP="00214CD4">
      <w:pPr>
        <w:rPr>
          <w:rFonts w:ascii="Meta Pro" w:eastAsia="Times New Roman" w:hAnsi="Meta Pro"/>
          <w:szCs w:val="18"/>
          <w:lang w:eastAsia="en-AU"/>
        </w:rPr>
      </w:pPr>
      <w:r w:rsidRPr="00092B22">
        <w:rPr>
          <w:rFonts w:ascii="Meta Pro" w:eastAsia="Times New Roman" w:hAnsi="Meta Pro"/>
          <w:szCs w:val="18"/>
          <w:lang w:eastAsia="en-AU"/>
        </w:rPr>
        <w:t>• $4.0m higher than anticipated contributions received from developers</w:t>
      </w:r>
    </w:p>
    <w:p w14:paraId="6DFDF9D8" w14:textId="77777777" w:rsidR="00214CD4" w:rsidRPr="00092B22" w:rsidRDefault="00214CD4" w:rsidP="00214CD4">
      <w:pPr>
        <w:rPr>
          <w:rFonts w:ascii="Meta Pro" w:eastAsia="Times New Roman" w:hAnsi="Meta Pro"/>
          <w:szCs w:val="18"/>
          <w:lang w:eastAsia="en-AU"/>
        </w:rPr>
      </w:pPr>
      <w:r w:rsidRPr="00092B22">
        <w:rPr>
          <w:rFonts w:ascii="Meta Pro" w:eastAsia="Times New Roman" w:hAnsi="Meta Pro"/>
          <w:szCs w:val="18"/>
          <w:lang w:eastAsia="en-AU"/>
        </w:rPr>
        <w:t xml:space="preserve">• $3.536m reflects unspent funding returned from </w:t>
      </w:r>
      <w:r>
        <w:rPr>
          <w:rFonts w:ascii="Meta Pro" w:eastAsia="Times New Roman" w:hAnsi="Meta Pro"/>
          <w:szCs w:val="18"/>
          <w:lang w:eastAsia="en-AU"/>
        </w:rPr>
        <w:t xml:space="preserve">the </w:t>
      </w:r>
      <w:r w:rsidRPr="00092B22">
        <w:rPr>
          <w:rFonts w:ascii="Meta Pro" w:eastAsia="Times New Roman" w:hAnsi="Meta Pro"/>
          <w:szCs w:val="18"/>
          <w:lang w:eastAsia="en-AU"/>
        </w:rPr>
        <w:t>Queensland Rural and Industry Development Authority for financial</w:t>
      </w:r>
    </w:p>
    <w:p w14:paraId="4366B3E7" w14:textId="77777777" w:rsidR="00214CD4" w:rsidRPr="00092B22" w:rsidRDefault="00214CD4" w:rsidP="00214CD4">
      <w:pPr>
        <w:spacing w:after="120"/>
        <w:rPr>
          <w:rFonts w:ascii="Meta Pro" w:eastAsia="Times New Roman" w:hAnsi="Meta Pro"/>
          <w:color w:val="000000"/>
          <w:szCs w:val="18"/>
          <w:lang w:eastAsia="en-AU"/>
        </w:rPr>
      </w:pPr>
      <w:r w:rsidRPr="00092B22">
        <w:rPr>
          <w:rFonts w:ascii="Meta Pro" w:eastAsia="Times New Roman" w:hAnsi="Meta Pro"/>
          <w:szCs w:val="18"/>
          <w:lang w:eastAsia="en-AU"/>
        </w:rPr>
        <w:t xml:space="preserve">    assistance for the Taxi and Limousine Industry.</w:t>
      </w:r>
    </w:p>
    <w:p w14:paraId="56107610" w14:textId="77777777" w:rsidR="00214CD4" w:rsidRPr="00092B22" w:rsidRDefault="00214CD4" w:rsidP="00214CD4">
      <w:pPr>
        <w:spacing w:line="259" w:lineRule="auto"/>
        <w:rPr>
          <w:rFonts w:ascii="Meta Pro" w:eastAsia="Times New Roman" w:hAnsi="Meta Pro"/>
          <w:b/>
          <w:bCs/>
          <w:i/>
          <w:iCs/>
          <w:color w:val="000000"/>
          <w:szCs w:val="18"/>
          <w:highlight w:val="yellow"/>
          <w:lang w:eastAsia="en-AU"/>
        </w:rPr>
      </w:pPr>
      <w:r w:rsidRPr="00092B22">
        <w:rPr>
          <w:rFonts w:ascii="Meta Pro" w:eastAsia="Times New Roman" w:hAnsi="Meta Pro"/>
          <w:b/>
          <w:bCs/>
          <w:i/>
          <w:iCs/>
          <w:color w:val="000000"/>
          <w:szCs w:val="18"/>
          <w:lang w:eastAsia="en-AU"/>
        </w:rPr>
        <w:t>Employee expenses</w:t>
      </w:r>
    </w:p>
    <w:p w14:paraId="508E3926" w14:textId="77777777" w:rsidR="00214CD4" w:rsidRPr="00092B22" w:rsidRDefault="00214CD4" w:rsidP="00214CD4">
      <w:pPr>
        <w:spacing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Variance of $37.137m </w:t>
      </w:r>
      <w:r>
        <w:rPr>
          <w:rFonts w:ascii="Meta Pro" w:eastAsia="Times New Roman" w:hAnsi="Meta Pro"/>
          <w:color w:val="000000"/>
          <w:szCs w:val="18"/>
          <w:lang w:eastAsia="en-AU"/>
        </w:rPr>
        <w:t xml:space="preserve">mainly </w:t>
      </w:r>
      <w:r w:rsidRPr="00092B22">
        <w:rPr>
          <w:rFonts w:ascii="Meta Pro" w:eastAsia="Times New Roman" w:hAnsi="Meta Pro"/>
          <w:color w:val="000000"/>
          <w:szCs w:val="18"/>
          <w:lang w:eastAsia="en-AU"/>
        </w:rPr>
        <w:t>reflects:</w:t>
      </w:r>
    </w:p>
    <w:p w14:paraId="7B3351E0" w14:textId="77777777" w:rsidR="00214CD4" w:rsidRDefault="00214CD4" w:rsidP="00214CD4">
      <w:pPr>
        <w:spacing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 $24.280m due to</w:t>
      </w:r>
      <w:r>
        <w:rPr>
          <w:rFonts w:ascii="Meta Pro" w:eastAsia="Times New Roman" w:hAnsi="Meta Pro"/>
          <w:color w:val="000000"/>
          <w:szCs w:val="18"/>
          <w:lang w:eastAsia="en-AU"/>
        </w:rPr>
        <w:t xml:space="preserve"> lower than budgeted employee costs being charged to capital programs leading to these costs being</w:t>
      </w:r>
    </w:p>
    <w:p w14:paraId="7AD8EDDD" w14:textId="77777777" w:rsidR="00214CD4" w:rsidRPr="00092B22" w:rsidRDefault="00214CD4" w:rsidP="00214CD4">
      <w:pPr>
        <w:spacing w:line="259" w:lineRule="auto"/>
        <w:rPr>
          <w:rFonts w:ascii="Meta Pro" w:eastAsia="Times New Roman" w:hAnsi="Meta Pro"/>
          <w:color w:val="000000"/>
          <w:szCs w:val="18"/>
          <w:lang w:eastAsia="en-AU"/>
        </w:rPr>
      </w:pPr>
      <w:r>
        <w:rPr>
          <w:rFonts w:ascii="Meta Pro" w:eastAsia="Times New Roman" w:hAnsi="Meta Pro"/>
          <w:color w:val="000000"/>
          <w:szCs w:val="18"/>
          <w:lang w:eastAsia="en-AU"/>
        </w:rPr>
        <w:t xml:space="preserve">   reported in the Statement of comprehensive income</w:t>
      </w:r>
    </w:p>
    <w:p w14:paraId="6F2A4246" w14:textId="77777777" w:rsidR="00214CD4" w:rsidRPr="00092B22" w:rsidRDefault="00214CD4" w:rsidP="00214CD4">
      <w:pPr>
        <w:spacing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 $6.362m higher than anticipated due to increases for enterprise bargaining pay rises and no disadvantage payments for</w:t>
      </w:r>
    </w:p>
    <w:p w14:paraId="433D7589" w14:textId="77777777" w:rsidR="00214CD4" w:rsidRPr="00092B22" w:rsidRDefault="00214CD4" w:rsidP="00214CD4">
      <w:pPr>
        <w:spacing w:after="120"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the Defined Benefit superannuation scheme as a result of wage deferral decisions after the budget was published. </w:t>
      </w:r>
    </w:p>
    <w:p w14:paraId="27D2D739" w14:textId="77777777" w:rsidR="00214CD4" w:rsidRPr="00092B22" w:rsidRDefault="00214CD4" w:rsidP="00214CD4">
      <w:pPr>
        <w:spacing w:line="259" w:lineRule="auto"/>
        <w:rPr>
          <w:rFonts w:ascii="Meta Pro" w:eastAsia="Times New Roman" w:hAnsi="Meta Pro"/>
          <w:b/>
          <w:bCs/>
          <w:i/>
          <w:iCs/>
          <w:color w:val="000000"/>
          <w:szCs w:val="18"/>
          <w:highlight w:val="yellow"/>
          <w:lang w:eastAsia="en-AU"/>
        </w:rPr>
      </w:pPr>
      <w:r w:rsidRPr="00092B22">
        <w:rPr>
          <w:rFonts w:ascii="Meta Pro" w:eastAsia="Times New Roman" w:hAnsi="Meta Pro"/>
          <w:b/>
          <w:bCs/>
          <w:i/>
          <w:iCs/>
          <w:color w:val="000000"/>
          <w:szCs w:val="18"/>
          <w:lang w:eastAsia="en-AU"/>
        </w:rPr>
        <w:t>Finance and borrowing costs</w:t>
      </w:r>
    </w:p>
    <w:p w14:paraId="5E976000" w14:textId="77777777" w:rsidR="00214CD4" w:rsidRPr="00092B22" w:rsidRDefault="00214CD4" w:rsidP="00214CD4">
      <w:pPr>
        <w:spacing w:after="120"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Variance of ($34.443m) mainly reflects a reduction of $35.306m in the base rate adjustment payment for New Generation Rollingstock when refinancing occurred in July 2021.</w:t>
      </w:r>
    </w:p>
    <w:p w14:paraId="704AC5FA" w14:textId="77777777" w:rsidR="00214CD4" w:rsidRPr="00092B22" w:rsidRDefault="00214CD4" w:rsidP="00214CD4">
      <w:pPr>
        <w:spacing w:line="259" w:lineRule="auto"/>
        <w:rPr>
          <w:rFonts w:ascii="Meta Pro" w:eastAsia="Times New Roman" w:hAnsi="Meta Pro"/>
          <w:b/>
          <w:bCs/>
          <w:i/>
          <w:iCs/>
          <w:color w:val="000000"/>
          <w:szCs w:val="18"/>
          <w:lang w:eastAsia="en-AU"/>
        </w:rPr>
      </w:pPr>
      <w:r w:rsidRPr="00092B22">
        <w:rPr>
          <w:rFonts w:ascii="Meta Pro" w:eastAsia="Times New Roman" w:hAnsi="Meta Pro"/>
          <w:b/>
          <w:bCs/>
          <w:i/>
          <w:iCs/>
          <w:color w:val="000000"/>
          <w:szCs w:val="18"/>
          <w:lang w:eastAsia="en-AU"/>
        </w:rPr>
        <w:t>Increase in asset revaluation surplus</w:t>
      </w:r>
    </w:p>
    <w:p w14:paraId="3F6B031C" w14:textId="77777777" w:rsidR="00214CD4" w:rsidRDefault="00214CD4" w:rsidP="00214CD4">
      <w:pPr>
        <w:spacing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Variance of $10.758b mainly consists of a revaluation increment in infrastructure assets as a result of the annual revaluation for 2021–22. A budget was not allocated due to the unavailability of reliable measures for future movement in replacement costs of existing and new infrastructure assets.</w:t>
      </w:r>
    </w:p>
    <w:p w14:paraId="02682E93" w14:textId="77777777" w:rsidR="006E2A4F" w:rsidRDefault="006E2A4F" w:rsidP="00214CD4">
      <w:pPr>
        <w:spacing w:line="259" w:lineRule="auto"/>
        <w:rPr>
          <w:rFonts w:ascii="Meta Pro" w:eastAsia="Times New Roman" w:hAnsi="Meta Pro"/>
          <w:color w:val="000000"/>
          <w:szCs w:val="18"/>
          <w:lang w:eastAsia="en-AU"/>
        </w:rPr>
      </w:pPr>
    </w:p>
    <w:p w14:paraId="20C32F70" w14:textId="77777777" w:rsidR="009D3D48" w:rsidRPr="00092B22" w:rsidRDefault="009D3D48" w:rsidP="009D3D48">
      <w:pPr>
        <w:spacing w:after="120" w:line="259" w:lineRule="auto"/>
        <w:rPr>
          <w:rFonts w:ascii="Meta Pro" w:hAnsi="Meta Pro" w:cstheme="minorBidi"/>
        </w:rPr>
      </w:pPr>
      <w:r w:rsidRPr="00092B22">
        <w:rPr>
          <w:rFonts w:ascii="Meta Pro" w:eastAsia="Times New Roman" w:hAnsi="Meta Pro"/>
          <w:b/>
          <w:bCs/>
          <w:color w:val="000000"/>
          <w:lang w:eastAsia="en-AU"/>
        </w:rPr>
        <w:t>29     BUDGETARY REPORTING (continued)</w:t>
      </w:r>
      <w:r w:rsidRPr="00092B22">
        <w:rPr>
          <w:rFonts w:ascii="Meta Pro" w:hAnsi="Meta Pro"/>
          <w:lang w:eastAsia="en-AU"/>
        </w:rPr>
        <w:t xml:space="preserve"> </w:t>
      </w:r>
    </w:p>
    <w:tbl>
      <w:tblPr>
        <w:tblW w:w="6036" w:type="dxa"/>
        <w:tblLook w:val="04A0" w:firstRow="1" w:lastRow="0" w:firstColumn="1" w:lastColumn="0" w:noHBand="0" w:noVBand="1"/>
      </w:tblPr>
      <w:tblGrid>
        <w:gridCol w:w="3685"/>
        <w:gridCol w:w="948"/>
        <w:gridCol w:w="257"/>
        <w:gridCol w:w="948"/>
        <w:gridCol w:w="257"/>
        <w:gridCol w:w="871"/>
      </w:tblGrid>
      <w:tr w:rsidR="003939B9" w:rsidRPr="003939B9" w14:paraId="500735B8" w14:textId="77777777" w:rsidTr="003939B9">
        <w:trPr>
          <w:trHeight w:val="970"/>
        </w:trPr>
        <w:tc>
          <w:tcPr>
            <w:tcW w:w="3685" w:type="dxa"/>
            <w:vMerge w:val="restart"/>
            <w:tcBorders>
              <w:top w:val="nil"/>
              <w:left w:val="nil"/>
              <w:bottom w:val="nil"/>
              <w:right w:val="nil"/>
            </w:tcBorders>
            <w:shd w:val="clear" w:color="auto" w:fill="auto"/>
            <w:noWrap/>
            <w:vAlign w:val="center"/>
            <w:hideMark/>
          </w:tcPr>
          <w:p w14:paraId="18D63938" w14:textId="77777777" w:rsidR="003939B9" w:rsidRPr="003939B9" w:rsidRDefault="003939B9" w:rsidP="003939B9">
            <w:pPr>
              <w:spacing w:before="0" w:line="240" w:lineRule="auto"/>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SCHEDULE OF ADMINISTERED ITEMS</w:t>
            </w:r>
          </w:p>
        </w:tc>
        <w:tc>
          <w:tcPr>
            <w:tcW w:w="762" w:type="dxa"/>
            <w:vMerge w:val="restart"/>
            <w:tcBorders>
              <w:top w:val="nil"/>
              <w:left w:val="nil"/>
              <w:bottom w:val="nil"/>
              <w:right w:val="nil"/>
            </w:tcBorders>
            <w:shd w:val="clear" w:color="auto" w:fill="auto"/>
            <w:vAlign w:val="center"/>
            <w:hideMark/>
          </w:tcPr>
          <w:p w14:paraId="6D5DCF24" w14:textId="77777777" w:rsidR="003939B9" w:rsidRPr="003939B9" w:rsidRDefault="003939B9" w:rsidP="003939B9">
            <w:pPr>
              <w:spacing w:before="0" w:line="240" w:lineRule="auto"/>
              <w:jc w:val="center"/>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 xml:space="preserve">Original budget </w:t>
            </w:r>
          </w:p>
        </w:tc>
        <w:tc>
          <w:tcPr>
            <w:tcW w:w="71" w:type="dxa"/>
            <w:vMerge w:val="restart"/>
            <w:tcBorders>
              <w:top w:val="nil"/>
              <w:left w:val="nil"/>
              <w:bottom w:val="nil"/>
              <w:right w:val="nil"/>
            </w:tcBorders>
            <w:shd w:val="clear" w:color="auto" w:fill="auto"/>
            <w:hideMark/>
          </w:tcPr>
          <w:p w14:paraId="42E081F4" w14:textId="77777777" w:rsidR="003939B9" w:rsidRPr="003939B9" w:rsidRDefault="003939B9" w:rsidP="003939B9">
            <w:pPr>
              <w:spacing w:before="0" w:line="240" w:lineRule="auto"/>
              <w:jc w:val="center"/>
              <w:rPr>
                <w:rFonts w:ascii="Meta Pro" w:eastAsia="Times New Roman" w:hAnsi="Meta Pro" w:cs="Calibri"/>
                <w:b/>
                <w:bCs/>
                <w:color w:val="000000"/>
                <w:szCs w:val="18"/>
                <w:lang w:eastAsia="en-AU"/>
              </w:rPr>
            </w:pPr>
          </w:p>
        </w:tc>
        <w:tc>
          <w:tcPr>
            <w:tcW w:w="762" w:type="dxa"/>
            <w:tcBorders>
              <w:top w:val="nil"/>
              <w:left w:val="nil"/>
              <w:bottom w:val="nil"/>
              <w:right w:val="nil"/>
            </w:tcBorders>
            <w:shd w:val="clear" w:color="auto" w:fill="auto"/>
            <w:vAlign w:val="center"/>
            <w:hideMark/>
          </w:tcPr>
          <w:p w14:paraId="39E63A71" w14:textId="77777777" w:rsidR="003939B9" w:rsidRPr="003939B9" w:rsidRDefault="003939B9" w:rsidP="003939B9">
            <w:pPr>
              <w:spacing w:before="0" w:line="240" w:lineRule="auto"/>
              <w:jc w:val="center"/>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Actual</w:t>
            </w:r>
          </w:p>
        </w:tc>
        <w:tc>
          <w:tcPr>
            <w:tcW w:w="71" w:type="dxa"/>
            <w:vMerge w:val="restart"/>
            <w:tcBorders>
              <w:top w:val="nil"/>
              <w:left w:val="nil"/>
              <w:bottom w:val="nil"/>
              <w:right w:val="nil"/>
            </w:tcBorders>
            <w:shd w:val="clear" w:color="auto" w:fill="auto"/>
            <w:hideMark/>
          </w:tcPr>
          <w:p w14:paraId="505CE1DC" w14:textId="77777777" w:rsidR="003939B9" w:rsidRPr="003939B9" w:rsidRDefault="003939B9" w:rsidP="003939B9">
            <w:pPr>
              <w:spacing w:before="0" w:line="240" w:lineRule="auto"/>
              <w:jc w:val="center"/>
              <w:rPr>
                <w:rFonts w:ascii="Meta Pro" w:eastAsia="Times New Roman" w:hAnsi="Meta Pro" w:cs="Calibri"/>
                <w:b/>
                <w:bCs/>
                <w:color w:val="000000"/>
                <w:szCs w:val="18"/>
                <w:lang w:eastAsia="en-AU"/>
              </w:rPr>
            </w:pPr>
          </w:p>
        </w:tc>
        <w:tc>
          <w:tcPr>
            <w:tcW w:w="685" w:type="dxa"/>
            <w:vMerge w:val="restart"/>
            <w:tcBorders>
              <w:top w:val="nil"/>
              <w:left w:val="nil"/>
              <w:bottom w:val="nil"/>
              <w:right w:val="nil"/>
            </w:tcBorders>
            <w:shd w:val="clear" w:color="auto" w:fill="auto"/>
            <w:vAlign w:val="center"/>
            <w:hideMark/>
          </w:tcPr>
          <w:p w14:paraId="1651827A" w14:textId="77777777" w:rsidR="003939B9" w:rsidRPr="003939B9" w:rsidRDefault="003939B9" w:rsidP="003939B9">
            <w:pPr>
              <w:spacing w:before="0" w:line="240" w:lineRule="auto"/>
              <w:jc w:val="center"/>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Variance</w:t>
            </w:r>
          </w:p>
        </w:tc>
      </w:tr>
      <w:tr w:rsidR="003939B9" w:rsidRPr="003939B9" w14:paraId="479EB200" w14:textId="77777777" w:rsidTr="003939B9">
        <w:trPr>
          <w:trHeight w:hRule="exact" w:val="470"/>
        </w:trPr>
        <w:tc>
          <w:tcPr>
            <w:tcW w:w="3685" w:type="dxa"/>
            <w:vMerge/>
            <w:tcBorders>
              <w:top w:val="nil"/>
              <w:left w:val="nil"/>
              <w:bottom w:val="nil"/>
              <w:right w:val="nil"/>
            </w:tcBorders>
            <w:vAlign w:val="center"/>
            <w:hideMark/>
          </w:tcPr>
          <w:p w14:paraId="3FA4C4E9" w14:textId="77777777" w:rsidR="003939B9" w:rsidRPr="003939B9" w:rsidRDefault="003939B9" w:rsidP="003939B9">
            <w:pPr>
              <w:spacing w:before="0" w:line="240" w:lineRule="auto"/>
              <w:rPr>
                <w:rFonts w:ascii="Meta Pro" w:eastAsia="Times New Roman" w:hAnsi="Meta Pro" w:cs="Calibri"/>
                <w:b/>
                <w:bCs/>
                <w:color w:val="000000"/>
                <w:szCs w:val="18"/>
                <w:lang w:eastAsia="en-AU"/>
              </w:rPr>
            </w:pPr>
          </w:p>
        </w:tc>
        <w:tc>
          <w:tcPr>
            <w:tcW w:w="762" w:type="dxa"/>
            <w:vMerge/>
            <w:tcBorders>
              <w:top w:val="nil"/>
              <w:left w:val="nil"/>
              <w:bottom w:val="nil"/>
              <w:right w:val="nil"/>
            </w:tcBorders>
            <w:vAlign w:val="center"/>
            <w:hideMark/>
          </w:tcPr>
          <w:p w14:paraId="2F22FC28" w14:textId="77777777" w:rsidR="003939B9" w:rsidRPr="003939B9" w:rsidRDefault="003939B9" w:rsidP="003939B9">
            <w:pPr>
              <w:spacing w:before="0" w:line="240" w:lineRule="auto"/>
              <w:rPr>
                <w:rFonts w:ascii="Meta Pro" w:eastAsia="Times New Roman" w:hAnsi="Meta Pro" w:cs="Calibri"/>
                <w:b/>
                <w:bCs/>
                <w:color w:val="000000"/>
                <w:szCs w:val="18"/>
                <w:lang w:eastAsia="en-AU"/>
              </w:rPr>
            </w:pPr>
          </w:p>
        </w:tc>
        <w:tc>
          <w:tcPr>
            <w:tcW w:w="71" w:type="dxa"/>
            <w:vMerge/>
            <w:tcBorders>
              <w:top w:val="nil"/>
              <w:left w:val="nil"/>
              <w:bottom w:val="nil"/>
              <w:right w:val="nil"/>
            </w:tcBorders>
            <w:vAlign w:val="center"/>
            <w:hideMark/>
          </w:tcPr>
          <w:p w14:paraId="6C305861" w14:textId="77777777" w:rsidR="003939B9" w:rsidRPr="003939B9" w:rsidRDefault="003939B9" w:rsidP="003939B9">
            <w:pPr>
              <w:spacing w:before="0" w:line="240" w:lineRule="auto"/>
              <w:rPr>
                <w:rFonts w:ascii="Meta Pro" w:eastAsia="Times New Roman" w:hAnsi="Meta Pro" w:cs="Calibri"/>
                <w:b/>
                <w:bCs/>
                <w:color w:val="000000"/>
                <w:szCs w:val="18"/>
                <w:lang w:eastAsia="en-AU"/>
              </w:rPr>
            </w:pPr>
          </w:p>
        </w:tc>
        <w:tc>
          <w:tcPr>
            <w:tcW w:w="762" w:type="dxa"/>
            <w:tcBorders>
              <w:top w:val="nil"/>
              <w:left w:val="nil"/>
              <w:bottom w:val="nil"/>
              <w:right w:val="nil"/>
            </w:tcBorders>
            <w:shd w:val="clear" w:color="auto" w:fill="auto"/>
            <w:vAlign w:val="center"/>
            <w:hideMark/>
          </w:tcPr>
          <w:p w14:paraId="15BB76E1" w14:textId="77777777" w:rsidR="003939B9" w:rsidRPr="003939B9" w:rsidRDefault="003939B9" w:rsidP="003939B9">
            <w:pPr>
              <w:spacing w:before="0" w:line="240" w:lineRule="auto"/>
              <w:jc w:val="center"/>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result</w:t>
            </w:r>
          </w:p>
        </w:tc>
        <w:tc>
          <w:tcPr>
            <w:tcW w:w="71" w:type="dxa"/>
            <w:vMerge/>
            <w:tcBorders>
              <w:top w:val="nil"/>
              <w:left w:val="nil"/>
              <w:bottom w:val="nil"/>
              <w:right w:val="nil"/>
            </w:tcBorders>
            <w:vAlign w:val="center"/>
            <w:hideMark/>
          </w:tcPr>
          <w:p w14:paraId="53CC501B" w14:textId="77777777" w:rsidR="003939B9" w:rsidRPr="003939B9" w:rsidRDefault="003939B9" w:rsidP="003939B9">
            <w:pPr>
              <w:spacing w:before="0" w:line="240" w:lineRule="auto"/>
              <w:rPr>
                <w:rFonts w:ascii="Meta Pro" w:eastAsia="Times New Roman" w:hAnsi="Meta Pro" w:cs="Calibri"/>
                <w:b/>
                <w:bCs/>
                <w:color w:val="000000"/>
                <w:szCs w:val="18"/>
                <w:lang w:eastAsia="en-AU"/>
              </w:rPr>
            </w:pPr>
          </w:p>
        </w:tc>
        <w:tc>
          <w:tcPr>
            <w:tcW w:w="685" w:type="dxa"/>
            <w:vMerge/>
            <w:tcBorders>
              <w:top w:val="nil"/>
              <w:left w:val="nil"/>
              <w:bottom w:val="nil"/>
              <w:right w:val="nil"/>
            </w:tcBorders>
            <w:vAlign w:val="center"/>
            <w:hideMark/>
          </w:tcPr>
          <w:p w14:paraId="602A08C1" w14:textId="77777777" w:rsidR="003939B9" w:rsidRPr="003939B9" w:rsidRDefault="003939B9" w:rsidP="003939B9">
            <w:pPr>
              <w:spacing w:before="0" w:line="240" w:lineRule="auto"/>
              <w:rPr>
                <w:rFonts w:ascii="Meta Pro" w:eastAsia="Times New Roman" w:hAnsi="Meta Pro" w:cs="Calibri"/>
                <w:b/>
                <w:bCs/>
                <w:color w:val="000000"/>
                <w:szCs w:val="18"/>
                <w:lang w:eastAsia="en-AU"/>
              </w:rPr>
            </w:pPr>
          </w:p>
        </w:tc>
      </w:tr>
      <w:tr w:rsidR="003939B9" w:rsidRPr="003939B9" w14:paraId="14F13846" w14:textId="77777777" w:rsidTr="003939B9">
        <w:trPr>
          <w:trHeight w:val="700"/>
        </w:trPr>
        <w:tc>
          <w:tcPr>
            <w:tcW w:w="3685" w:type="dxa"/>
            <w:vMerge w:val="restart"/>
            <w:tcBorders>
              <w:top w:val="nil"/>
              <w:left w:val="nil"/>
              <w:bottom w:val="nil"/>
              <w:right w:val="nil"/>
            </w:tcBorders>
            <w:shd w:val="clear" w:color="auto" w:fill="auto"/>
            <w:noWrap/>
            <w:vAlign w:val="center"/>
            <w:hideMark/>
          </w:tcPr>
          <w:p w14:paraId="2E1F7455" w14:textId="77777777" w:rsidR="003939B9" w:rsidRPr="003939B9" w:rsidRDefault="003939B9" w:rsidP="003939B9">
            <w:pPr>
              <w:spacing w:before="0" w:line="240" w:lineRule="auto"/>
              <w:jc w:val="center"/>
              <w:rPr>
                <w:rFonts w:ascii="Meta Pro" w:eastAsia="Times New Roman" w:hAnsi="Meta Pro" w:cs="Calibri"/>
                <w:b/>
                <w:bCs/>
                <w:color w:val="000000"/>
                <w:szCs w:val="18"/>
                <w:lang w:eastAsia="en-AU"/>
              </w:rPr>
            </w:pPr>
          </w:p>
        </w:tc>
        <w:tc>
          <w:tcPr>
            <w:tcW w:w="762" w:type="dxa"/>
            <w:tcBorders>
              <w:top w:val="nil"/>
              <w:left w:val="nil"/>
              <w:bottom w:val="nil"/>
              <w:right w:val="nil"/>
            </w:tcBorders>
            <w:shd w:val="clear" w:color="auto" w:fill="auto"/>
            <w:vAlign w:val="center"/>
            <w:hideMark/>
          </w:tcPr>
          <w:p w14:paraId="07BE9B8D" w14:textId="77777777" w:rsidR="003939B9" w:rsidRPr="003939B9" w:rsidRDefault="003939B9" w:rsidP="003939B9">
            <w:pPr>
              <w:spacing w:before="0" w:line="240" w:lineRule="auto"/>
              <w:jc w:val="center"/>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2022</w:t>
            </w:r>
          </w:p>
        </w:tc>
        <w:tc>
          <w:tcPr>
            <w:tcW w:w="71" w:type="dxa"/>
            <w:vMerge w:val="restart"/>
            <w:tcBorders>
              <w:top w:val="nil"/>
              <w:left w:val="nil"/>
              <w:bottom w:val="nil"/>
              <w:right w:val="nil"/>
            </w:tcBorders>
            <w:shd w:val="clear" w:color="auto" w:fill="auto"/>
            <w:hideMark/>
          </w:tcPr>
          <w:p w14:paraId="36622C51" w14:textId="77777777" w:rsidR="003939B9" w:rsidRPr="003939B9" w:rsidRDefault="003939B9" w:rsidP="003939B9">
            <w:pPr>
              <w:spacing w:before="0" w:line="240" w:lineRule="auto"/>
              <w:jc w:val="center"/>
              <w:rPr>
                <w:rFonts w:ascii="Meta Pro" w:eastAsia="Times New Roman" w:hAnsi="Meta Pro" w:cs="Calibri"/>
                <w:b/>
                <w:bCs/>
                <w:color w:val="000000"/>
                <w:szCs w:val="18"/>
                <w:lang w:eastAsia="en-AU"/>
              </w:rPr>
            </w:pPr>
          </w:p>
        </w:tc>
        <w:tc>
          <w:tcPr>
            <w:tcW w:w="762" w:type="dxa"/>
            <w:tcBorders>
              <w:top w:val="nil"/>
              <w:left w:val="nil"/>
              <w:bottom w:val="nil"/>
              <w:right w:val="nil"/>
            </w:tcBorders>
            <w:shd w:val="clear" w:color="auto" w:fill="auto"/>
            <w:vAlign w:val="center"/>
            <w:hideMark/>
          </w:tcPr>
          <w:p w14:paraId="6F4AECD3" w14:textId="77777777" w:rsidR="003939B9" w:rsidRPr="003939B9" w:rsidRDefault="003939B9" w:rsidP="003939B9">
            <w:pPr>
              <w:spacing w:before="0" w:line="240" w:lineRule="auto"/>
              <w:jc w:val="center"/>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2022</w:t>
            </w:r>
          </w:p>
        </w:tc>
        <w:tc>
          <w:tcPr>
            <w:tcW w:w="71" w:type="dxa"/>
            <w:vMerge w:val="restart"/>
            <w:tcBorders>
              <w:top w:val="nil"/>
              <w:left w:val="nil"/>
              <w:bottom w:val="nil"/>
              <w:right w:val="nil"/>
            </w:tcBorders>
            <w:shd w:val="clear" w:color="auto" w:fill="auto"/>
            <w:hideMark/>
          </w:tcPr>
          <w:p w14:paraId="286C4CD8" w14:textId="77777777" w:rsidR="003939B9" w:rsidRPr="003939B9" w:rsidRDefault="003939B9" w:rsidP="003939B9">
            <w:pPr>
              <w:spacing w:before="0" w:line="240" w:lineRule="auto"/>
              <w:jc w:val="center"/>
              <w:rPr>
                <w:rFonts w:ascii="Meta Pro" w:eastAsia="Times New Roman" w:hAnsi="Meta Pro" w:cs="Calibri"/>
                <w:b/>
                <w:bCs/>
                <w:color w:val="000000"/>
                <w:szCs w:val="18"/>
                <w:lang w:eastAsia="en-AU"/>
              </w:rPr>
            </w:pPr>
          </w:p>
        </w:tc>
        <w:tc>
          <w:tcPr>
            <w:tcW w:w="685" w:type="dxa"/>
            <w:tcBorders>
              <w:top w:val="nil"/>
              <w:left w:val="nil"/>
              <w:bottom w:val="nil"/>
              <w:right w:val="nil"/>
            </w:tcBorders>
            <w:shd w:val="clear" w:color="auto" w:fill="auto"/>
            <w:vAlign w:val="center"/>
            <w:hideMark/>
          </w:tcPr>
          <w:p w14:paraId="5DCCCD6A" w14:textId="77777777" w:rsidR="003939B9" w:rsidRPr="003939B9" w:rsidRDefault="003939B9" w:rsidP="003939B9">
            <w:pPr>
              <w:spacing w:before="0" w:line="240" w:lineRule="auto"/>
              <w:jc w:val="center"/>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2022</w:t>
            </w:r>
          </w:p>
        </w:tc>
      </w:tr>
      <w:tr w:rsidR="003939B9" w:rsidRPr="003939B9" w14:paraId="5E163C94" w14:textId="77777777" w:rsidTr="003939B9">
        <w:trPr>
          <w:trHeight w:hRule="exact" w:val="470"/>
        </w:trPr>
        <w:tc>
          <w:tcPr>
            <w:tcW w:w="3685" w:type="dxa"/>
            <w:vMerge/>
            <w:tcBorders>
              <w:top w:val="nil"/>
              <w:left w:val="nil"/>
              <w:bottom w:val="nil"/>
              <w:right w:val="nil"/>
            </w:tcBorders>
            <w:vAlign w:val="center"/>
            <w:hideMark/>
          </w:tcPr>
          <w:p w14:paraId="050883F7" w14:textId="77777777" w:rsidR="003939B9" w:rsidRPr="003939B9" w:rsidRDefault="003939B9" w:rsidP="003939B9">
            <w:pPr>
              <w:spacing w:before="0" w:line="240" w:lineRule="auto"/>
              <w:rPr>
                <w:rFonts w:ascii="Meta Pro" w:eastAsia="Times New Roman" w:hAnsi="Meta Pro" w:cs="Calibri"/>
                <w:b/>
                <w:bCs/>
                <w:color w:val="000000"/>
                <w:szCs w:val="18"/>
                <w:lang w:eastAsia="en-AU"/>
              </w:rPr>
            </w:pPr>
          </w:p>
        </w:tc>
        <w:tc>
          <w:tcPr>
            <w:tcW w:w="762" w:type="dxa"/>
            <w:tcBorders>
              <w:top w:val="nil"/>
              <w:left w:val="nil"/>
              <w:bottom w:val="nil"/>
              <w:right w:val="nil"/>
            </w:tcBorders>
            <w:shd w:val="clear" w:color="auto" w:fill="auto"/>
            <w:vAlign w:val="center"/>
            <w:hideMark/>
          </w:tcPr>
          <w:p w14:paraId="32BB467D" w14:textId="77777777" w:rsidR="003939B9" w:rsidRPr="003939B9" w:rsidRDefault="003939B9" w:rsidP="003939B9">
            <w:pPr>
              <w:spacing w:before="0" w:line="240" w:lineRule="auto"/>
              <w:jc w:val="center"/>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$'000</w:t>
            </w:r>
          </w:p>
        </w:tc>
        <w:tc>
          <w:tcPr>
            <w:tcW w:w="71" w:type="dxa"/>
            <w:vMerge/>
            <w:tcBorders>
              <w:top w:val="nil"/>
              <w:left w:val="nil"/>
              <w:bottom w:val="nil"/>
              <w:right w:val="nil"/>
            </w:tcBorders>
            <w:vAlign w:val="center"/>
            <w:hideMark/>
          </w:tcPr>
          <w:p w14:paraId="558C063F" w14:textId="77777777" w:rsidR="003939B9" w:rsidRPr="003939B9" w:rsidRDefault="003939B9" w:rsidP="003939B9">
            <w:pPr>
              <w:spacing w:before="0" w:line="240" w:lineRule="auto"/>
              <w:rPr>
                <w:rFonts w:ascii="Meta Pro" w:eastAsia="Times New Roman" w:hAnsi="Meta Pro" w:cs="Calibri"/>
                <w:b/>
                <w:bCs/>
                <w:color w:val="000000"/>
                <w:szCs w:val="18"/>
                <w:lang w:eastAsia="en-AU"/>
              </w:rPr>
            </w:pPr>
          </w:p>
        </w:tc>
        <w:tc>
          <w:tcPr>
            <w:tcW w:w="762" w:type="dxa"/>
            <w:tcBorders>
              <w:top w:val="nil"/>
              <w:left w:val="nil"/>
              <w:bottom w:val="nil"/>
              <w:right w:val="nil"/>
            </w:tcBorders>
            <w:shd w:val="clear" w:color="auto" w:fill="auto"/>
            <w:vAlign w:val="center"/>
            <w:hideMark/>
          </w:tcPr>
          <w:p w14:paraId="77D87ABF" w14:textId="77777777" w:rsidR="003939B9" w:rsidRPr="003939B9" w:rsidRDefault="003939B9" w:rsidP="003939B9">
            <w:pPr>
              <w:spacing w:before="0" w:line="240" w:lineRule="auto"/>
              <w:jc w:val="center"/>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$'000</w:t>
            </w:r>
          </w:p>
        </w:tc>
        <w:tc>
          <w:tcPr>
            <w:tcW w:w="71" w:type="dxa"/>
            <w:vMerge/>
            <w:tcBorders>
              <w:top w:val="nil"/>
              <w:left w:val="nil"/>
              <w:bottom w:val="nil"/>
              <w:right w:val="nil"/>
            </w:tcBorders>
            <w:vAlign w:val="center"/>
            <w:hideMark/>
          </w:tcPr>
          <w:p w14:paraId="46E9E5C0" w14:textId="77777777" w:rsidR="003939B9" w:rsidRPr="003939B9" w:rsidRDefault="003939B9" w:rsidP="003939B9">
            <w:pPr>
              <w:spacing w:before="0" w:line="240" w:lineRule="auto"/>
              <w:rPr>
                <w:rFonts w:ascii="Meta Pro" w:eastAsia="Times New Roman" w:hAnsi="Meta Pro" w:cs="Calibri"/>
                <w:b/>
                <w:bCs/>
                <w:color w:val="000000"/>
                <w:szCs w:val="18"/>
                <w:lang w:eastAsia="en-AU"/>
              </w:rPr>
            </w:pPr>
          </w:p>
        </w:tc>
        <w:tc>
          <w:tcPr>
            <w:tcW w:w="685" w:type="dxa"/>
            <w:tcBorders>
              <w:top w:val="nil"/>
              <w:left w:val="nil"/>
              <w:bottom w:val="nil"/>
              <w:right w:val="nil"/>
            </w:tcBorders>
            <w:shd w:val="clear" w:color="auto" w:fill="auto"/>
            <w:vAlign w:val="center"/>
            <w:hideMark/>
          </w:tcPr>
          <w:p w14:paraId="161FD40A" w14:textId="77777777" w:rsidR="003939B9" w:rsidRPr="003939B9" w:rsidRDefault="003939B9" w:rsidP="003939B9">
            <w:pPr>
              <w:spacing w:before="0" w:line="240" w:lineRule="auto"/>
              <w:jc w:val="center"/>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$'000</w:t>
            </w:r>
          </w:p>
        </w:tc>
      </w:tr>
      <w:tr w:rsidR="003939B9" w:rsidRPr="003939B9" w14:paraId="7E969E18" w14:textId="77777777" w:rsidTr="003939B9">
        <w:trPr>
          <w:trHeight w:val="470"/>
        </w:trPr>
        <w:tc>
          <w:tcPr>
            <w:tcW w:w="4518" w:type="dxa"/>
            <w:gridSpan w:val="3"/>
            <w:tcBorders>
              <w:top w:val="nil"/>
              <w:left w:val="nil"/>
              <w:bottom w:val="nil"/>
              <w:right w:val="nil"/>
            </w:tcBorders>
            <w:shd w:val="clear" w:color="auto" w:fill="auto"/>
            <w:noWrap/>
            <w:vAlign w:val="center"/>
            <w:hideMark/>
          </w:tcPr>
          <w:p w14:paraId="161ED568" w14:textId="77777777" w:rsidR="003939B9" w:rsidRPr="003939B9" w:rsidRDefault="003939B9" w:rsidP="003939B9">
            <w:pPr>
              <w:spacing w:before="0" w:line="240" w:lineRule="auto"/>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Administered income</w:t>
            </w:r>
          </w:p>
        </w:tc>
        <w:tc>
          <w:tcPr>
            <w:tcW w:w="762" w:type="dxa"/>
            <w:tcBorders>
              <w:top w:val="nil"/>
              <w:left w:val="nil"/>
              <w:bottom w:val="nil"/>
              <w:right w:val="nil"/>
            </w:tcBorders>
            <w:shd w:val="clear" w:color="auto" w:fill="auto"/>
            <w:vAlign w:val="center"/>
            <w:hideMark/>
          </w:tcPr>
          <w:p w14:paraId="37EDAFE1" w14:textId="77777777" w:rsidR="003939B9" w:rsidRPr="003939B9" w:rsidRDefault="003939B9" w:rsidP="003939B9">
            <w:pPr>
              <w:spacing w:before="0" w:line="240" w:lineRule="auto"/>
              <w:rPr>
                <w:rFonts w:ascii="Meta Pro" w:eastAsia="Times New Roman" w:hAnsi="Meta Pro" w:cs="Calibri"/>
                <w:b/>
                <w:bCs/>
                <w:color w:val="000000"/>
                <w:szCs w:val="18"/>
                <w:lang w:eastAsia="en-AU"/>
              </w:rPr>
            </w:pPr>
          </w:p>
        </w:tc>
        <w:tc>
          <w:tcPr>
            <w:tcW w:w="71" w:type="dxa"/>
            <w:tcBorders>
              <w:top w:val="nil"/>
              <w:left w:val="nil"/>
              <w:bottom w:val="nil"/>
              <w:right w:val="nil"/>
            </w:tcBorders>
            <w:shd w:val="clear" w:color="auto" w:fill="auto"/>
            <w:vAlign w:val="center"/>
            <w:hideMark/>
          </w:tcPr>
          <w:p w14:paraId="34810DF3"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685" w:type="dxa"/>
            <w:tcBorders>
              <w:top w:val="nil"/>
              <w:left w:val="nil"/>
              <w:bottom w:val="nil"/>
              <w:right w:val="nil"/>
            </w:tcBorders>
            <w:shd w:val="clear" w:color="auto" w:fill="auto"/>
            <w:noWrap/>
            <w:vAlign w:val="center"/>
            <w:hideMark/>
          </w:tcPr>
          <w:p w14:paraId="5600FA7E" w14:textId="77777777" w:rsidR="003939B9" w:rsidRPr="003939B9" w:rsidRDefault="003939B9" w:rsidP="003939B9">
            <w:pPr>
              <w:spacing w:before="0" w:line="240" w:lineRule="auto"/>
              <w:rPr>
                <w:rFonts w:eastAsia="Times New Roman" w:cs="Times New Roman"/>
                <w:color w:val="auto"/>
                <w:sz w:val="20"/>
                <w:szCs w:val="20"/>
                <w:lang w:eastAsia="en-AU"/>
              </w:rPr>
            </w:pPr>
          </w:p>
        </w:tc>
      </w:tr>
      <w:tr w:rsidR="003939B9" w:rsidRPr="003939B9" w14:paraId="3E63368D" w14:textId="77777777" w:rsidTr="003939B9">
        <w:trPr>
          <w:trHeight w:val="300"/>
        </w:trPr>
        <w:tc>
          <w:tcPr>
            <w:tcW w:w="3685" w:type="dxa"/>
            <w:tcBorders>
              <w:top w:val="nil"/>
              <w:left w:val="nil"/>
              <w:bottom w:val="nil"/>
              <w:right w:val="nil"/>
            </w:tcBorders>
            <w:shd w:val="clear" w:color="auto" w:fill="auto"/>
            <w:noWrap/>
            <w:vAlign w:val="center"/>
            <w:hideMark/>
          </w:tcPr>
          <w:p w14:paraId="733BF541" w14:textId="77777777" w:rsidR="003939B9" w:rsidRPr="003939B9" w:rsidRDefault="003939B9" w:rsidP="003939B9">
            <w:pPr>
              <w:spacing w:before="0" w:line="240" w:lineRule="auto"/>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lastRenderedPageBreak/>
              <w:t>Administered appropriation</w:t>
            </w:r>
          </w:p>
        </w:tc>
        <w:tc>
          <w:tcPr>
            <w:tcW w:w="762" w:type="dxa"/>
            <w:tcBorders>
              <w:top w:val="nil"/>
              <w:left w:val="nil"/>
              <w:bottom w:val="nil"/>
              <w:right w:val="nil"/>
            </w:tcBorders>
            <w:shd w:val="clear" w:color="auto" w:fill="auto"/>
            <w:noWrap/>
            <w:vAlign w:val="center"/>
            <w:hideMark/>
          </w:tcPr>
          <w:p w14:paraId="5E3CA63D"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109,746</w:t>
            </w:r>
          </w:p>
        </w:tc>
        <w:tc>
          <w:tcPr>
            <w:tcW w:w="71" w:type="dxa"/>
            <w:tcBorders>
              <w:top w:val="nil"/>
              <w:left w:val="nil"/>
              <w:bottom w:val="nil"/>
              <w:right w:val="nil"/>
            </w:tcBorders>
            <w:shd w:val="clear" w:color="auto" w:fill="auto"/>
            <w:noWrap/>
            <w:vAlign w:val="center"/>
            <w:hideMark/>
          </w:tcPr>
          <w:p w14:paraId="57C25417"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p>
        </w:tc>
        <w:tc>
          <w:tcPr>
            <w:tcW w:w="762" w:type="dxa"/>
            <w:tcBorders>
              <w:top w:val="nil"/>
              <w:left w:val="nil"/>
              <w:bottom w:val="nil"/>
              <w:right w:val="nil"/>
            </w:tcBorders>
            <w:shd w:val="clear" w:color="auto" w:fill="auto"/>
            <w:noWrap/>
            <w:vAlign w:val="center"/>
            <w:hideMark/>
          </w:tcPr>
          <w:p w14:paraId="5520DFB4"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77,841</w:t>
            </w:r>
          </w:p>
        </w:tc>
        <w:tc>
          <w:tcPr>
            <w:tcW w:w="71" w:type="dxa"/>
            <w:tcBorders>
              <w:top w:val="nil"/>
              <w:left w:val="nil"/>
              <w:bottom w:val="nil"/>
              <w:right w:val="nil"/>
            </w:tcBorders>
            <w:shd w:val="clear" w:color="auto" w:fill="auto"/>
            <w:noWrap/>
            <w:vAlign w:val="center"/>
            <w:hideMark/>
          </w:tcPr>
          <w:p w14:paraId="6932E510"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p>
        </w:tc>
        <w:tc>
          <w:tcPr>
            <w:tcW w:w="685" w:type="dxa"/>
            <w:tcBorders>
              <w:top w:val="nil"/>
              <w:left w:val="nil"/>
              <w:bottom w:val="nil"/>
              <w:right w:val="nil"/>
            </w:tcBorders>
            <w:shd w:val="clear" w:color="auto" w:fill="auto"/>
            <w:noWrap/>
            <w:vAlign w:val="center"/>
            <w:hideMark/>
          </w:tcPr>
          <w:p w14:paraId="608A8D7F"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-31,905</w:t>
            </w:r>
          </w:p>
        </w:tc>
      </w:tr>
      <w:tr w:rsidR="003939B9" w:rsidRPr="003939B9" w14:paraId="018DF4FD" w14:textId="77777777" w:rsidTr="003939B9">
        <w:trPr>
          <w:trHeight w:val="1210"/>
        </w:trPr>
        <w:tc>
          <w:tcPr>
            <w:tcW w:w="3685" w:type="dxa"/>
            <w:tcBorders>
              <w:top w:val="nil"/>
              <w:left w:val="nil"/>
              <w:bottom w:val="nil"/>
              <w:right w:val="nil"/>
            </w:tcBorders>
            <w:shd w:val="clear" w:color="auto" w:fill="auto"/>
            <w:noWrap/>
            <w:vAlign w:val="center"/>
            <w:hideMark/>
          </w:tcPr>
          <w:p w14:paraId="7F308AE6" w14:textId="77777777" w:rsidR="003939B9" w:rsidRPr="003939B9" w:rsidRDefault="003939B9" w:rsidP="003939B9">
            <w:pPr>
              <w:spacing w:before="0" w:line="240" w:lineRule="auto"/>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Grants and other contributions</w:t>
            </w:r>
          </w:p>
        </w:tc>
        <w:tc>
          <w:tcPr>
            <w:tcW w:w="762" w:type="dxa"/>
            <w:tcBorders>
              <w:top w:val="nil"/>
              <w:left w:val="nil"/>
              <w:bottom w:val="nil"/>
              <w:right w:val="nil"/>
            </w:tcBorders>
            <w:shd w:val="clear" w:color="auto" w:fill="auto"/>
            <w:noWrap/>
            <w:vAlign w:val="center"/>
            <w:hideMark/>
          </w:tcPr>
          <w:p w14:paraId="044D84EE"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 xml:space="preserve">- </w:t>
            </w:r>
          </w:p>
        </w:tc>
        <w:tc>
          <w:tcPr>
            <w:tcW w:w="71" w:type="dxa"/>
            <w:tcBorders>
              <w:top w:val="nil"/>
              <w:left w:val="nil"/>
              <w:bottom w:val="nil"/>
              <w:right w:val="nil"/>
            </w:tcBorders>
            <w:shd w:val="clear" w:color="auto" w:fill="auto"/>
            <w:noWrap/>
            <w:vAlign w:val="center"/>
            <w:hideMark/>
          </w:tcPr>
          <w:p w14:paraId="2CF15D2D"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p>
        </w:tc>
        <w:tc>
          <w:tcPr>
            <w:tcW w:w="762" w:type="dxa"/>
            <w:tcBorders>
              <w:top w:val="nil"/>
              <w:left w:val="nil"/>
              <w:bottom w:val="nil"/>
              <w:right w:val="nil"/>
            </w:tcBorders>
            <w:shd w:val="clear" w:color="auto" w:fill="auto"/>
            <w:noWrap/>
            <w:vAlign w:val="center"/>
            <w:hideMark/>
          </w:tcPr>
          <w:p w14:paraId="42906276"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11,397</w:t>
            </w:r>
          </w:p>
        </w:tc>
        <w:tc>
          <w:tcPr>
            <w:tcW w:w="71" w:type="dxa"/>
            <w:tcBorders>
              <w:top w:val="nil"/>
              <w:left w:val="nil"/>
              <w:bottom w:val="nil"/>
              <w:right w:val="nil"/>
            </w:tcBorders>
            <w:shd w:val="clear" w:color="auto" w:fill="auto"/>
            <w:noWrap/>
            <w:vAlign w:val="center"/>
            <w:hideMark/>
          </w:tcPr>
          <w:p w14:paraId="381E1DE9"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p>
        </w:tc>
        <w:tc>
          <w:tcPr>
            <w:tcW w:w="685" w:type="dxa"/>
            <w:tcBorders>
              <w:top w:val="nil"/>
              <w:left w:val="nil"/>
              <w:bottom w:val="nil"/>
              <w:right w:val="nil"/>
            </w:tcBorders>
            <w:shd w:val="clear" w:color="auto" w:fill="auto"/>
            <w:noWrap/>
            <w:vAlign w:val="center"/>
            <w:hideMark/>
          </w:tcPr>
          <w:p w14:paraId="766E53B3"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11,397</w:t>
            </w:r>
          </w:p>
        </w:tc>
      </w:tr>
      <w:tr w:rsidR="003939B9" w:rsidRPr="003939B9" w14:paraId="463A183D" w14:textId="77777777" w:rsidTr="003939B9">
        <w:trPr>
          <w:trHeight w:val="700"/>
        </w:trPr>
        <w:tc>
          <w:tcPr>
            <w:tcW w:w="3685" w:type="dxa"/>
            <w:tcBorders>
              <w:top w:val="nil"/>
              <w:left w:val="nil"/>
              <w:bottom w:val="nil"/>
              <w:right w:val="nil"/>
            </w:tcBorders>
            <w:shd w:val="clear" w:color="auto" w:fill="auto"/>
            <w:noWrap/>
            <w:vAlign w:val="center"/>
            <w:hideMark/>
          </w:tcPr>
          <w:p w14:paraId="3DFC443C" w14:textId="77777777" w:rsidR="003939B9" w:rsidRPr="003939B9" w:rsidRDefault="003939B9" w:rsidP="003939B9">
            <w:pPr>
              <w:spacing w:before="0" w:line="240" w:lineRule="auto"/>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User charges, fees and fines</w:t>
            </w:r>
          </w:p>
        </w:tc>
        <w:tc>
          <w:tcPr>
            <w:tcW w:w="762" w:type="dxa"/>
            <w:tcBorders>
              <w:top w:val="nil"/>
              <w:left w:val="nil"/>
              <w:bottom w:val="nil"/>
              <w:right w:val="nil"/>
            </w:tcBorders>
            <w:shd w:val="clear" w:color="auto" w:fill="auto"/>
            <w:noWrap/>
            <w:vAlign w:val="center"/>
            <w:hideMark/>
          </w:tcPr>
          <w:p w14:paraId="11D27FBA"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2,862,837</w:t>
            </w:r>
          </w:p>
        </w:tc>
        <w:tc>
          <w:tcPr>
            <w:tcW w:w="71" w:type="dxa"/>
            <w:tcBorders>
              <w:top w:val="nil"/>
              <w:left w:val="nil"/>
              <w:bottom w:val="nil"/>
              <w:right w:val="nil"/>
            </w:tcBorders>
            <w:shd w:val="clear" w:color="auto" w:fill="auto"/>
            <w:noWrap/>
            <w:vAlign w:val="center"/>
            <w:hideMark/>
          </w:tcPr>
          <w:p w14:paraId="537ABDEA"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p>
        </w:tc>
        <w:tc>
          <w:tcPr>
            <w:tcW w:w="762" w:type="dxa"/>
            <w:tcBorders>
              <w:top w:val="nil"/>
              <w:left w:val="nil"/>
              <w:bottom w:val="nil"/>
              <w:right w:val="nil"/>
            </w:tcBorders>
            <w:shd w:val="clear" w:color="auto" w:fill="auto"/>
            <w:noWrap/>
            <w:vAlign w:val="center"/>
            <w:hideMark/>
          </w:tcPr>
          <w:p w14:paraId="26D48E74"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2,909,272</w:t>
            </w:r>
          </w:p>
        </w:tc>
        <w:tc>
          <w:tcPr>
            <w:tcW w:w="71" w:type="dxa"/>
            <w:tcBorders>
              <w:top w:val="nil"/>
              <w:left w:val="nil"/>
              <w:bottom w:val="nil"/>
              <w:right w:val="nil"/>
            </w:tcBorders>
            <w:shd w:val="clear" w:color="auto" w:fill="auto"/>
            <w:noWrap/>
            <w:vAlign w:val="center"/>
            <w:hideMark/>
          </w:tcPr>
          <w:p w14:paraId="4369C6D1"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p>
        </w:tc>
        <w:tc>
          <w:tcPr>
            <w:tcW w:w="685" w:type="dxa"/>
            <w:tcBorders>
              <w:top w:val="nil"/>
              <w:left w:val="nil"/>
              <w:bottom w:val="nil"/>
              <w:right w:val="nil"/>
            </w:tcBorders>
            <w:shd w:val="clear" w:color="auto" w:fill="auto"/>
            <w:noWrap/>
            <w:vAlign w:val="center"/>
            <w:hideMark/>
          </w:tcPr>
          <w:p w14:paraId="4BFD0F20"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46,435</w:t>
            </w:r>
          </w:p>
        </w:tc>
      </w:tr>
      <w:tr w:rsidR="003939B9" w:rsidRPr="003939B9" w14:paraId="7391E165" w14:textId="77777777" w:rsidTr="003939B9">
        <w:trPr>
          <w:trHeight w:val="930"/>
        </w:trPr>
        <w:tc>
          <w:tcPr>
            <w:tcW w:w="3685" w:type="dxa"/>
            <w:tcBorders>
              <w:top w:val="nil"/>
              <w:left w:val="nil"/>
              <w:bottom w:val="nil"/>
              <w:right w:val="nil"/>
            </w:tcBorders>
            <w:shd w:val="clear" w:color="auto" w:fill="auto"/>
            <w:noWrap/>
            <w:vAlign w:val="center"/>
            <w:hideMark/>
          </w:tcPr>
          <w:p w14:paraId="3DC0BF4A" w14:textId="77777777" w:rsidR="003939B9" w:rsidRPr="003939B9" w:rsidRDefault="003939B9" w:rsidP="003939B9">
            <w:pPr>
              <w:spacing w:before="0" w:line="240" w:lineRule="auto"/>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Other</w:t>
            </w:r>
          </w:p>
        </w:tc>
        <w:tc>
          <w:tcPr>
            <w:tcW w:w="762" w:type="dxa"/>
            <w:tcBorders>
              <w:top w:val="nil"/>
              <w:left w:val="nil"/>
              <w:bottom w:val="nil"/>
              <w:right w:val="nil"/>
            </w:tcBorders>
            <w:shd w:val="clear" w:color="auto" w:fill="auto"/>
            <w:noWrap/>
            <w:vAlign w:val="center"/>
            <w:hideMark/>
          </w:tcPr>
          <w:p w14:paraId="26775FA3"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9,233</w:t>
            </w:r>
          </w:p>
        </w:tc>
        <w:tc>
          <w:tcPr>
            <w:tcW w:w="71" w:type="dxa"/>
            <w:tcBorders>
              <w:top w:val="nil"/>
              <w:left w:val="nil"/>
              <w:bottom w:val="nil"/>
              <w:right w:val="nil"/>
            </w:tcBorders>
            <w:shd w:val="clear" w:color="auto" w:fill="auto"/>
            <w:noWrap/>
            <w:vAlign w:val="center"/>
            <w:hideMark/>
          </w:tcPr>
          <w:p w14:paraId="4C9CBD51"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p>
        </w:tc>
        <w:tc>
          <w:tcPr>
            <w:tcW w:w="762" w:type="dxa"/>
            <w:tcBorders>
              <w:top w:val="nil"/>
              <w:left w:val="nil"/>
              <w:bottom w:val="nil"/>
              <w:right w:val="nil"/>
            </w:tcBorders>
            <w:shd w:val="clear" w:color="auto" w:fill="auto"/>
            <w:noWrap/>
            <w:vAlign w:val="center"/>
            <w:hideMark/>
          </w:tcPr>
          <w:p w14:paraId="3417A2BF"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9,812</w:t>
            </w:r>
          </w:p>
        </w:tc>
        <w:tc>
          <w:tcPr>
            <w:tcW w:w="71" w:type="dxa"/>
            <w:tcBorders>
              <w:top w:val="nil"/>
              <w:left w:val="nil"/>
              <w:bottom w:val="nil"/>
              <w:right w:val="nil"/>
            </w:tcBorders>
            <w:shd w:val="clear" w:color="auto" w:fill="auto"/>
            <w:noWrap/>
            <w:vAlign w:val="center"/>
            <w:hideMark/>
          </w:tcPr>
          <w:p w14:paraId="09CB3675"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p>
        </w:tc>
        <w:tc>
          <w:tcPr>
            <w:tcW w:w="685" w:type="dxa"/>
            <w:tcBorders>
              <w:top w:val="nil"/>
              <w:left w:val="nil"/>
              <w:bottom w:val="nil"/>
              <w:right w:val="nil"/>
            </w:tcBorders>
            <w:shd w:val="clear" w:color="auto" w:fill="auto"/>
            <w:noWrap/>
            <w:vAlign w:val="center"/>
            <w:hideMark/>
          </w:tcPr>
          <w:p w14:paraId="53F4DB67"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579</w:t>
            </w:r>
          </w:p>
        </w:tc>
      </w:tr>
      <w:tr w:rsidR="003939B9" w:rsidRPr="003939B9" w14:paraId="43FABBBC" w14:textId="77777777" w:rsidTr="003939B9">
        <w:trPr>
          <w:trHeight w:val="290"/>
        </w:trPr>
        <w:tc>
          <w:tcPr>
            <w:tcW w:w="3685" w:type="dxa"/>
            <w:tcBorders>
              <w:top w:val="single" w:sz="8" w:space="0" w:color="auto"/>
              <w:left w:val="nil"/>
              <w:bottom w:val="nil"/>
              <w:right w:val="nil"/>
            </w:tcBorders>
            <w:shd w:val="clear" w:color="auto" w:fill="auto"/>
            <w:noWrap/>
            <w:vAlign w:val="center"/>
            <w:hideMark/>
          </w:tcPr>
          <w:p w14:paraId="3E80DDDF" w14:textId="77777777" w:rsidR="003939B9" w:rsidRPr="003939B9" w:rsidRDefault="003939B9" w:rsidP="003939B9">
            <w:pPr>
              <w:spacing w:before="0" w:line="240" w:lineRule="auto"/>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Total income</w:t>
            </w:r>
          </w:p>
        </w:tc>
        <w:tc>
          <w:tcPr>
            <w:tcW w:w="762" w:type="dxa"/>
            <w:tcBorders>
              <w:top w:val="single" w:sz="8" w:space="0" w:color="auto"/>
              <w:left w:val="nil"/>
              <w:bottom w:val="nil"/>
              <w:right w:val="nil"/>
            </w:tcBorders>
            <w:shd w:val="clear" w:color="auto" w:fill="auto"/>
            <w:noWrap/>
            <w:vAlign w:val="center"/>
            <w:hideMark/>
          </w:tcPr>
          <w:p w14:paraId="70CC895A"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2,981,816</w:t>
            </w:r>
          </w:p>
        </w:tc>
        <w:tc>
          <w:tcPr>
            <w:tcW w:w="71" w:type="dxa"/>
            <w:tcBorders>
              <w:top w:val="single" w:sz="8" w:space="0" w:color="auto"/>
              <w:left w:val="nil"/>
              <w:bottom w:val="nil"/>
              <w:right w:val="nil"/>
            </w:tcBorders>
            <w:shd w:val="clear" w:color="auto" w:fill="auto"/>
            <w:noWrap/>
            <w:vAlign w:val="center"/>
            <w:hideMark/>
          </w:tcPr>
          <w:p w14:paraId="71BE3DA0"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 </w:t>
            </w:r>
          </w:p>
        </w:tc>
        <w:tc>
          <w:tcPr>
            <w:tcW w:w="762" w:type="dxa"/>
            <w:tcBorders>
              <w:top w:val="single" w:sz="8" w:space="0" w:color="auto"/>
              <w:left w:val="nil"/>
              <w:bottom w:val="nil"/>
              <w:right w:val="nil"/>
            </w:tcBorders>
            <w:shd w:val="clear" w:color="auto" w:fill="auto"/>
            <w:noWrap/>
            <w:vAlign w:val="center"/>
            <w:hideMark/>
          </w:tcPr>
          <w:p w14:paraId="2A4F0DC0"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3,008,322</w:t>
            </w:r>
          </w:p>
        </w:tc>
        <w:tc>
          <w:tcPr>
            <w:tcW w:w="71" w:type="dxa"/>
            <w:tcBorders>
              <w:top w:val="single" w:sz="8" w:space="0" w:color="auto"/>
              <w:left w:val="nil"/>
              <w:bottom w:val="nil"/>
              <w:right w:val="nil"/>
            </w:tcBorders>
            <w:shd w:val="clear" w:color="auto" w:fill="auto"/>
            <w:noWrap/>
            <w:vAlign w:val="center"/>
            <w:hideMark/>
          </w:tcPr>
          <w:p w14:paraId="35CF4482"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 </w:t>
            </w:r>
          </w:p>
        </w:tc>
        <w:tc>
          <w:tcPr>
            <w:tcW w:w="685" w:type="dxa"/>
            <w:tcBorders>
              <w:top w:val="single" w:sz="8" w:space="0" w:color="auto"/>
              <w:left w:val="nil"/>
              <w:bottom w:val="nil"/>
              <w:right w:val="nil"/>
            </w:tcBorders>
            <w:shd w:val="clear" w:color="auto" w:fill="auto"/>
            <w:noWrap/>
            <w:vAlign w:val="center"/>
            <w:hideMark/>
          </w:tcPr>
          <w:p w14:paraId="6B840D2F"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26,506</w:t>
            </w:r>
          </w:p>
        </w:tc>
      </w:tr>
      <w:tr w:rsidR="003939B9" w:rsidRPr="003939B9" w14:paraId="60ADEF26" w14:textId="77777777" w:rsidTr="003939B9">
        <w:trPr>
          <w:trHeight w:val="290"/>
        </w:trPr>
        <w:tc>
          <w:tcPr>
            <w:tcW w:w="3685" w:type="dxa"/>
            <w:tcBorders>
              <w:top w:val="nil"/>
              <w:left w:val="nil"/>
              <w:bottom w:val="nil"/>
              <w:right w:val="nil"/>
            </w:tcBorders>
            <w:shd w:val="clear" w:color="auto" w:fill="auto"/>
            <w:noWrap/>
            <w:vAlign w:val="center"/>
            <w:hideMark/>
          </w:tcPr>
          <w:p w14:paraId="0500F849"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p>
        </w:tc>
        <w:tc>
          <w:tcPr>
            <w:tcW w:w="762" w:type="dxa"/>
            <w:tcBorders>
              <w:top w:val="nil"/>
              <w:left w:val="nil"/>
              <w:bottom w:val="nil"/>
              <w:right w:val="nil"/>
            </w:tcBorders>
            <w:shd w:val="clear" w:color="auto" w:fill="auto"/>
            <w:noWrap/>
            <w:vAlign w:val="center"/>
            <w:hideMark/>
          </w:tcPr>
          <w:p w14:paraId="1141CBF5"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71" w:type="dxa"/>
            <w:tcBorders>
              <w:top w:val="nil"/>
              <w:left w:val="nil"/>
              <w:bottom w:val="nil"/>
              <w:right w:val="nil"/>
            </w:tcBorders>
            <w:shd w:val="clear" w:color="auto" w:fill="auto"/>
            <w:noWrap/>
            <w:vAlign w:val="center"/>
            <w:hideMark/>
          </w:tcPr>
          <w:p w14:paraId="243A3BC4"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762" w:type="dxa"/>
            <w:tcBorders>
              <w:top w:val="nil"/>
              <w:left w:val="nil"/>
              <w:bottom w:val="nil"/>
              <w:right w:val="nil"/>
            </w:tcBorders>
            <w:shd w:val="clear" w:color="auto" w:fill="auto"/>
            <w:noWrap/>
            <w:vAlign w:val="center"/>
            <w:hideMark/>
          </w:tcPr>
          <w:p w14:paraId="691385CC"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71" w:type="dxa"/>
            <w:tcBorders>
              <w:top w:val="nil"/>
              <w:left w:val="nil"/>
              <w:bottom w:val="nil"/>
              <w:right w:val="nil"/>
            </w:tcBorders>
            <w:shd w:val="clear" w:color="auto" w:fill="auto"/>
            <w:noWrap/>
            <w:vAlign w:val="center"/>
            <w:hideMark/>
          </w:tcPr>
          <w:p w14:paraId="2D00DAC5"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685" w:type="dxa"/>
            <w:tcBorders>
              <w:top w:val="nil"/>
              <w:left w:val="nil"/>
              <w:bottom w:val="nil"/>
              <w:right w:val="nil"/>
            </w:tcBorders>
            <w:shd w:val="clear" w:color="auto" w:fill="auto"/>
            <w:noWrap/>
            <w:vAlign w:val="center"/>
            <w:hideMark/>
          </w:tcPr>
          <w:p w14:paraId="14D5947B" w14:textId="77777777" w:rsidR="003939B9" w:rsidRPr="003939B9" w:rsidRDefault="003939B9" w:rsidP="003939B9">
            <w:pPr>
              <w:spacing w:before="0" w:line="240" w:lineRule="auto"/>
              <w:rPr>
                <w:rFonts w:eastAsia="Times New Roman" w:cs="Times New Roman"/>
                <w:color w:val="auto"/>
                <w:sz w:val="20"/>
                <w:szCs w:val="20"/>
                <w:lang w:eastAsia="en-AU"/>
              </w:rPr>
            </w:pPr>
          </w:p>
        </w:tc>
      </w:tr>
      <w:tr w:rsidR="003939B9" w:rsidRPr="003939B9" w14:paraId="5C2D81BC" w14:textId="77777777" w:rsidTr="003939B9">
        <w:trPr>
          <w:trHeight w:val="290"/>
        </w:trPr>
        <w:tc>
          <w:tcPr>
            <w:tcW w:w="4518" w:type="dxa"/>
            <w:gridSpan w:val="3"/>
            <w:tcBorders>
              <w:top w:val="nil"/>
              <w:left w:val="nil"/>
              <w:bottom w:val="nil"/>
              <w:right w:val="nil"/>
            </w:tcBorders>
            <w:shd w:val="clear" w:color="auto" w:fill="auto"/>
            <w:noWrap/>
            <w:vAlign w:val="center"/>
            <w:hideMark/>
          </w:tcPr>
          <w:p w14:paraId="0BBC750D" w14:textId="77777777" w:rsidR="003939B9" w:rsidRPr="003939B9" w:rsidRDefault="003939B9" w:rsidP="003939B9">
            <w:pPr>
              <w:spacing w:before="0" w:line="240" w:lineRule="auto"/>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Administered expenses</w:t>
            </w:r>
          </w:p>
        </w:tc>
        <w:tc>
          <w:tcPr>
            <w:tcW w:w="762" w:type="dxa"/>
            <w:tcBorders>
              <w:top w:val="nil"/>
              <w:left w:val="nil"/>
              <w:bottom w:val="nil"/>
              <w:right w:val="nil"/>
            </w:tcBorders>
            <w:shd w:val="clear" w:color="auto" w:fill="auto"/>
            <w:noWrap/>
            <w:vAlign w:val="center"/>
            <w:hideMark/>
          </w:tcPr>
          <w:p w14:paraId="57E32AF2" w14:textId="77777777" w:rsidR="003939B9" w:rsidRPr="003939B9" w:rsidRDefault="003939B9" w:rsidP="003939B9">
            <w:pPr>
              <w:spacing w:before="0" w:line="240" w:lineRule="auto"/>
              <w:rPr>
                <w:rFonts w:ascii="Meta Pro" w:eastAsia="Times New Roman" w:hAnsi="Meta Pro" w:cs="Calibri"/>
                <w:b/>
                <w:bCs/>
                <w:color w:val="000000"/>
                <w:szCs w:val="18"/>
                <w:lang w:eastAsia="en-AU"/>
              </w:rPr>
            </w:pPr>
          </w:p>
        </w:tc>
        <w:tc>
          <w:tcPr>
            <w:tcW w:w="71" w:type="dxa"/>
            <w:tcBorders>
              <w:top w:val="nil"/>
              <w:left w:val="nil"/>
              <w:bottom w:val="nil"/>
              <w:right w:val="nil"/>
            </w:tcBorders>
            <w:shd w:val="clear" w:color="auto" w:fill="auto"/>
            <w:noWrap/>
            <w:vAlign w:val="center"/>
            <w:hideMark/>
          </w:tcPr>
          <w:p w14:paraId="40F35ABC"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685" w:type="dxa"/>
            <w:tcBorders>
              <w:top w:val="nil"/>
              <w:left w:val="nil"/>
              <w:bottom w:val="nil"/>
              <w:right w:val="nil"/>
            </w:tcBorders>
            <w:shd w:val="clear" w:color="auto" w:fill="auto"/>
            <w:noWrap/>
            <w:vAlign w:val="center"/>
            <w:hideMark/>
          </w:tcPr>
          <w:p w14:paraId="52ECA973" w14:textId="77777777" w:rsidR="003939B9" w:rsidRPr="003939B9" w:rsidRDefault="003939B9" w:rsidP="003939B9">
            <w:pPr>
              <w:spacing w:before="0" w:line="240" w:lineRule="auto"/>
              <w:rPr>
                <w:rFonts w:eastAsia="Times New Roman" w:cs="Times New Roman"/>
                <w:color w:val="auto"/>
                <w:sz w:val="20"/>
                <w:szCs w:val="20"/>
                <w:lang w:eastAsia="en-AU"/>
              </w:rPr>
            </w:pPr>
          </w:p>
        </w:tc>
      </w:tr>
      <w:tr w:rsidR="003939B9" w:rsidRPr="003939B9" w14:paraId="6A532A0F" w14:textId="77777777" w:rsidTr="003939B9">
        <w:trPr>
          <w:trHeight w:val="290"/>
        </w:trPr>
        <w:tc>
          <w:tcPr>
            <w:tcW w:w="3685" w:type="dxa"/>
            <w:tcBorders>
              <w:top w:val="nil"/>
              <w:left w:val="nil"/>
              <w:bottom w:val="nil"/>
              <w:right w:val="nil"/>
            </w:tcBorders>
            <w:shd w:val="clear" w:color="auto" w:fill="auto"/>
            <w:noWrap/>
            <w:vAlign w:val="center"/>
            <w:hideMark/>
          </w:tcPr>
          <w:p w14:paraId="58D6E4C8" w14:textId="77777777" w:rsidR="003939B9" w:rsidRPr="003939B9" w:rsidRDefault="003939B9" w:rsidP="003939B9">
            <w:pPr>
              <w:spacing w:before="0" w:line="240" w:lineRule="auto"/>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Grants and subsidies</w:t>
            </w:r>
          </w:p>
        </w:tc>
        <w:tc>
          <w:tcPr>
            <w:tcW w:w="762" w:type="dxa"/>
            <w:tcBorders>
              <w:top w:val="nil"/>
              <w:left w:val="nil"/>
              <w:bottom w:val="nil"/>
              <w:right w:val="nil"/>
            </w:tcBorders>
            <w:shd w:val="clear" w:color="auto" w:fill="auto"/>
            <w:noWrap/>
            <w:vAlign w:val="center"/>
            <w:hideMark/>
          </w:tcPr>
          <w:p w14:paraId="4713C48B"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109,746</w:t>
            </w:r>
          </w:p>
        </w:tc>
        <w:tc>
          <w:tcPr>
            <w:tcW w:w="71" w:type="dxa"/>
            <w:tcBorders>
              <w:top w:val="nil"/>
              <w:left w:val="nil"/>
              <w:bottom w:val="nil"/>
              <w:right w:val="nil"/>
            </w:tcBorders>
            <w:shd w:val="clear" w:color="auto" w:fill="auto"/>
            <w:noWrap/>
            <w:vAlign w:val="center"/>
            <w:hideMark/>
          </w:tcPr>
          <w:p w14:paraId="5C67D3F3"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p>
        </w:tc>
        <w:tc>
          <w:tcPr>
            <w:tcW w:w="762" w:type="dxa"/>
            <w:tcBorders>
              <w:top w:val="nil"/>
              <w:left w:val="nil"/>
              <w:bottom w:val="nil"/>
              <w:right w:val="nil"/>
            </w:tcBorders>
            <w:shd w:val="clear" w:color="auto" w:fill="auto"/>
            <w:noWrap/>
            <w:vAlign w:val="center"/>
            <w:hideMark/>
          </w:tcPr>
          <w:p w14:paraId="163AE7BF"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86,385</w:t>
            </w:r>
          </w:p>
        </w:tc>
        <w:tc>
          <w:tcPr>
            <w:tcW w:w="71" w:type="dxa"/>
            <w:tcBorders>
              <w:top w:val="nil"/>
              <w:left w:val="nil"/>
              <w:bottom w:val="nil"/>
              <w:right w:val="nil"/>
            </w:tcBorders>
            <w:shd w:val="clear" w:color="auto" w:fill="auto"/>
            <w:noWrap/>
            <w:vAlign w:val="center"/>
            <w:hideMark/>
          </w:tcPr>
          <w:p w14:paraId="6CD95563"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p>
        </w:tc>
        <w:tc>
          <w:tcPr>
            <w:tcW w:w="685" w:type="dxa"/>
            <w:tcBorders>
              <w:top w:val="nil"/>
              <w:left w:val="nil"/>
              <w:bottom w:val="nil"/>
              <w:right w:val="nil"/>
            </w:tcBorders>
            <w:shd w:val="clear" w:color="auto" w:fill="auto"/>
            <w:noWrap/>
            <w:vAlign w:val="center"/>
            <w:hideMark/>
          </w:tcPr>
          <w:p w14:paraId="68ADB059"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-23,361</w:t>
            </w:r>
          </w:p>
        </w:tc>
      </w:tr>
      <w:tr w:rsidR="003939B9" w:rsidRPr="003939B9" w14:paraId="0FC48EDE" w14:textId="77777777" w:rsidTr="003939B9">
        <w:trPr>
          <w:trHeight w:val="290"/>
        </w:trPr>
        <w:tc>
          <w:tcPr>
            <w:tcW w:w="3685" w:type="dxa"/>
            <w:tcBorders>
              <w:top w:val="nil"/>
              <w:left w:val="nil"/>
              <w:bottom w:val="nil"/>
              <w:right w:val="nil"/>
            </w:tcBorders>
            <w:shd w:val="clear" w:color="auto" w:fill="auto"/>
            <w:noWrap/>
            <w:vAlign w:val="center"/>
            <w:hideMark/>
          </w:tcPr>
          <w:p w14:paraId="13817897" w14:textId="77777777" w:rsidR="003939B9" w:rsidRPr="003939B9" w:rsidRDefault="003939B9" w:rsidP="003939B9">
            <w:pPr>
              <w:spacing w:before="0" w:line="240" w:lineRule="auto"/>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Impairment losses on trade receivables</w:t>
            </w:r>
          </w:p>
        </w:tc>
        <w:tc>
          <w:tcPr>
            <w:tcW w:w="762" w:type="dxa"/>
            <w:tcBorders>
              <w:top w:val="nil"/>
              <w:left w:val="nil"/>
              <w:bottom w:val="nil"/>
              <w:right w:val="nil"/>
            </w:tcBorders>
            <w:shd w:val="clear" w:color="auto" w:fill="auto"/>
            <w:noWrap/>
            <w:vAlign w:val="center"/>
            <w:hideMark/>
          </w:tcPr>
          <w:p w14:paraId="68FBE4FC"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 xml:space="preserve">- </w:t>
            </w:r>
          </w:p>
        </w:tc>
        <w:tc>
          <w:tcPr>
            <w:tcW w:w="71" w:type="dxa"/>
            <w:tcBorders>
              <w:top w:val="nil"/>
              <w:left w:val="nil"/>
              <w:bottom w:val="nil"/>
              <w:right w:val="nil"/>
            </w:tcBorders>
            <w:shd w:val="clear" w:color="auto" w:fill="auto"/>
            <w:noWrap/>
            <w:vAlign w:val="center"/>
            <w:hideMark/>
          </w:tcPr>
          <w:p w14:paraId="228C973A"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p>
        </w:tc>
        <w:tc>
          <w:tcPr>
            <w:tcW w:w="762" w:type="dxa"/>
            <w:tcBorders>
              <w:top w:val="nil"/>
              <w:left w:val="nil"/>
              <w:bottom w:val="nil"/>
              <w:right w:val="nil"/>
            </w:tcBorders>
            <w:shd w:val="clear" w:color="auto" w:fill="auto"/>
            <w:noWrap/>
            <w:vAlign w:val="center"/>
            <w:hideMark/>
          </w:tcPr>
          <w:p w14:paraId="06925355"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27</w:t>
            </w:r>
          </w:p>
        </w:tc>
        <w:tc>
          <w:tcPr>
            <w:tcW w:w="71" w:type="dxa"/>
            <w:tcBorders>
              <w:top w:val="nil"/>
              <w:left w:val="nil"/>
              <w:bottom w:val="nil"/>
              <w:right w:val="nil"/>
            </w:tcBorders>
            <w:shd w:val="clear" w:color="auto" w:fill="auto"/>
            <w:noWrap/>
            <w:vAlign w:val="center"/>
            <w:hideMark/>
          </w:tcPr>
          <w:p w14:paraId="36938D64"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p>
        </w:tc>
        <w:tc>
          <w:tcPr>
            <w:tcW w:w="685" w:type="dxa"/>
            <w:tcBorders>
              <w:top w:val="nil"/>
              <w:left w:val="nil"/>
              <w:bottom w:val="nil"/>
              <w:right w:val="nil"/>
            </w:tcBorders>
            <w:shd w:val="clear" w:color="auto" w:fill="auto"/>
            <w:noWrap/>
            <w:vAlign w:val="center"/>
            <w:hideMark/>
          </w:tcPr>
          <w:p w14:paraId="55A400EE"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27</w:t>
            </w:r>
          </w:p>
        </w:tc>
      </w:tr>
      <w:tr w:rsidR="003939B9" w:rsidRPr="003939B9" w14:paraId="11893722" w14:textId="77777777" w:rsidTr="003939B9">
        <w:trPr>
          <w:trHeight w:val="290"/>
        </w:trPr>
        <w:tc>
          <w:tcPr>
            <w:tcW w:w="3685" w:type="dxa"/>
            <w:tcBorders>
              <w:top w:val="nil"/>
              <w:left w:val="nil"/>
              <w:bottom w:val="nil"/>
              <w:right w:val="nil"/>
            </w:tcBorders>
            <w:shd w:val="clear" w:color="auto" w:fill="auto"/>
            <w:noWrap/>
            <w:vAlign w:val="center"/>
            <w:hideMark/>
          </w:tcPr>
          <w:p w14:paraId="02A99D6A" w14:textId="77777777" w:rsidR="003939B9" w:rsidRPr="003939B9" w:rsidRDefault="003939B9" w:rsidP="003939B9">
            <w:pPr>
              <w:spacing w:before="0" w:line="240" w:lineRule="auto"/>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Transfers of administered revenue to government</w:t>
            </w:r>
          </w:p>
        </w:tc>
        <w:tc>
          <w:tcPr>
            <w:tcW w:w="762" w:type="dxa"/>
            <w:tcBorders>
              <w:top w:val="nil"/>
              <w:left w:val="nil"/>
              <w:bottom w:val="nil"/>
              <w:right w:val="nil"/>
            </w:tcBorders>
            <w:shd w:val="clear" w:color="auto" w:fill="auto"/>
            <w:noWrap/>
            <w:vAlign w:val="center"/>
            <w:hideMark/>
          </w:tcPr>
          <w:p w14:paraId="400898EA"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2,872,070</w:t>
            </w:r>
          </w:p>
        </w:tc>
        <w:tc>
          <w:tcPr>
            <w:tcW w:w="71" w:type="dxa"/>
            <w:tcBorders>
              <w:top w:val="nil"/>
              <w:left w:val="nil"/>
              <w:bottom w:val="nil"/>
              <w:right w:val="nil"/>
            </w:tcBorders>
            <w:shd w:val="clear" w:color="auto" w:fill="auto"/>
            <w:noWrap/>
            <w:vAlign w:val="center"/>
            <w:hideMark/>
          </w:tcPr>
          <w:p w14:paraId="24DF25B3"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p>
        </w:tc>
        <w:tc>
          <w:tcPr>
            <w:tcW w:w="762" w:type="dxa"/>
            <w:tcBorders>
              <w:top w:val="nil"/>
              <w:left w:val="nil"/>
              <w:bottom w:val="nil"/>
              <w:right w:val="nil"/>
            </w:tcBorders>
            <w:shd w:val="clear" w:color="auto" w:fill="auto"/>
            <w:noWrap/>
            <w:vAlign w:val="center"/>
            <w:hideMark/>
          </w:tcPr>
          <w:p w14:paraId="1FB60298"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2,919,052</w:t>
            </w:r>
          </w:p>
        </w:tc>
        <w:tc>
          <w:tcPr>
            <w:tcW w:w="71" w:type="dxa"/>
            <w:tcBorders>
              <w:top w:val="nil"/>
              <w:left w:val="nil"/>
              <w:bottom w:val="nil"/>
              <w:right w:val="nil"/>
            </w:tcBorders>
            <w:shd w:val="clear" w:color="auto" w:fill="auto"/>
            <w:noWrap/>
            <w:vAlign w:val="center"/>
            <w:hideMark/>
          </w:tcPr>
          <w:p w14:paraId="248E4E66"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p>
        </w:tc>
        <w:tc>
          <w:tcPr>
            <w:tcW w:w="685" w:type="dxa"/>
            <w:tcBorders>
              <w:top w:val="nil"/>
              <w:left w:val="nil"/>
              <w:bottom w:val="nil"/>
              <w:right w:val="nil"/>
            </w:tcBorders>
            <w:shd w:val="clear" w:color="auto" w:fill="auto"/>
            <w:noWrap/>
            <w:vAlign w:val="center"/>
            <w:hideMark/>
          </w:tcPr>
          <w:p w14:paraId="026255FB"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46,982</w:t>
            </w:r>
          </w:p>
        </w:tc>
      </w:tr>
      <w:tr w:rsidR="003939B9" w:rsidRPr="003939B9" w14:paraId="401EF2EF" w14:textId="77777777" w:rsidTr="003939B9">
        <w:trPr>
          <w:trHeight w:val="300"/>
        </w:trPr>
        <w:tc>
          <w:tcPr>
            <w:tcW w:w="3685" w:type="dxa"/>
            <w:tcBorders>
              <w:top w:val="nil"/>
              <w:left w:val="nil"/>
              <w:bottom w:val="nil"/>
              <w:right w:val="nil"/>
            </w:tcBorders>
            <w:shd w:val="clear" w:color="auto" w:fill="auto"/>
            <w:noWrap/>
            <w:vAlign w:val="center"/>
            <w:hideMark/>
          </w:tcPr>
          <w:p w14:paraId="5814C8A0" w14:textId="77777777" w:rsidR="003939B9" w:rsidRPr="003939B9" w:rsidRDefault="003939B9" w:rsidP="003939B9">
            <w:pPr>
              <w:spacing w:before="0" w:line="240" w:lineRule="auto"/>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Other</w:t>
            </w:r>
          </w:p>
        </w:tc>
        <w:tc>
          <w:tcPr>
            <w:tcW w:w="762" w:type="dxa"/>
            <w:tcBorders>
              <w:top w:val="nil"/>
              <w:left w:val="nil"/>
              <w:bottom w:val="nil"/>
              <w:right w:val="nil"/>
            </w:tcBorders>
            <w:shd w:val="clear" w:color="auto" w:fill="auto"/>
            <w:noWrap/>
            <w:vAlign w:val="center"/>
            <w:hideMark/>
          </w:tcPr>
          <w:p w14:paraId="30619897"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 xml:space="preserve">- </w:t>
            </w:r>
          </w:p>
        </w:tc>
        <w:tc>
          <w:tcPr>
            <w:tcW w:w="71" w:type="dxa"/>
            <w:tcBorders>
              <w:top w:val="nil"/>
              <w:left w:val="nil"/>
              <w:bottom w:val="nil"/>
              <w:right w:val="nil"/>
            </w:tcBorders>
            <w:shd w:val="clear" w:color="auto" w:fill="auto"/>
            <w:noWrap/>
            <w:vAlign w:val="center"/>
            <w:hideMark/>
          </w:tcPr>
          <w:p w14:paraId="2B279300"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p>
        </w:tc>
        <w:tc>
          <w:tcPr>
            <w:tcW w:w="762" w:type="dxa"/>
            <w:tcBorders>
              <w:top w:val="nil"/>
              <w:left w:val="nil"/>
              <w:bottom w:val="single" w:sz="8" w:space="0" w:color="auto"/>
              <w:right w:val="nil"/>
            </w:tcBorders>
            <w:shd w:val="clear" w:color="auto" w:fill="auto"/>
            <w:noWrap/>
            <w:vAlign w:val="center"/>
            <w:hideMark/>
          </w:tcPr>
          <w:p w14:paraId="283F3F0B"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505</w:t>
            </w:r>
          </w:p>
        </w:tc>
        <w:tc>
          <w:tcPr>
            <w:tcW w:w="71" w:type="dxa"/>
            <w:tcBorders>
              <w:top w:val="nil"/>
              <w:left w:val="nil"/>
              <w:bottom w:val="nil"/>
              <w:right w:val="nil"/>
            </w:tcBorders>
            <w:shd w:val="clear" w:color="auto" w:fill="auto"/>
            <w:noWrap/>
            <w:vAlign w:val="center"/>
            <w:hideMark/>
          </w:tcPr>
          <w:p w14:paraId="1D624CE2"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p>
        </w:tc>
        <w:tc>
          <w:tcPr>
            <w:tcW w:w="685" w:type="dxa"/>
            <w:tcBorders>
              <w:top w:val="nil"/>
              <w:left w:val="nil"/>
              <w:bottom w:val="nil"/>
              <w:right w:val="nil"/>
            </w:tcBorders>
            <w:shd w:val="clear" w:color="auto" w:fill="auto"/>
            <w:noWrap/>
            <w:vAlign w:val="center"/>
            <w:hideMark/>
          </w:tcPr>
          <w:p w14:paraId="5F2C434E"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505</w:t>
            </w:r>
          </w:p>
        </w:tc>
      </w:tr>
      <w:tr w:rsidR="003939B9" w:rsidRPr="003939B9" w14:paraId="6BCFE893" w14:textId="77777777" w:rsidTr="003939B9">
        <w:trPr>
          <w:trHeight w:val="300"/>
        </w:trPr>
        <w:tc>
          <w:tcPr>
            <w:tcW w:w="3685" w:type="dxa"/>
            <w:tcBorders>
              <w:top w:val="single" w:sz="8" w:space="0" w:color="auto"/>
              <w:left w:val="nil"/>
              <w:bottom w:val="single" w:sz="8" w:space="0" w:color="auto"/>
              <w:right w:val="nil"/>
            </w:tcBorders>
            <w:shd w:val="clear" w:color="auto" w:fill="auto"/>
            <w:noWrap/>
            <w:vAlign w:val="center"/>
            <w:hideMark/>
          </w:tcPr>
          <w:p w14:paraId="7E5A8E5E" w14:textId="77777777" w:rsidR="003939B9" w:rsidRPr="003939B9" w:rsidRDefault="003939B9" w:rsidP="003939B9">
            <w:pPr>
              <w:spacing w:before="0" w:line="240" w:lineRule="auto"/>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Total expenses</w:t>
            </w:r>
          </w:p>
        </w:tc>
        <w:tc>
          <w:tcPr>
            <w:tcW w:w="762" w:type="dxa"/>
            <w:tcBorders>
              <w:top w:val="single" w:sz="8" w:space="0" w:color="auto"/>
              <w:left w:val="nil"/>
              <w:bottom w:val="single" w:sz="8" w:space="0" w:color="auto"/>
              <w:right w:val="nil"/>
            </w:tcBorders>
            <w:shd w:val="clear" w:color="auto" w:fill="auto"/>
            <w:noWrap/>
            <w:vAlign w:val="center"/>
            <w:hideMark/>
          </w:tcPr>
          <w:p w14:paraId="73149A4A"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2,981,816</w:t>
            </w:r>
          </w:p>
        </w:tc>
        <w:tc>
          <w:tcPr>
            <w:tcW w:w="71" w:type="dxa"/>
            <w:tcBorders>
              <w:top w:val="single" w:sz="8" w:space="0" w:color="auto"/>
              <w:left w:val="nil"/>
              <w:bottom w:val="single" w:sz="8" w:space="0" w:color="auto"/>
              <w:right w:val="nil"/>
            </w:tcBorders>
            <w:shd w:val="clear" w:color="auto" w:fill="auto"/>
            <w:noWrap/>
            <w:vAlign w:val="center"/>
            <w:hideMark/>
          </w:tcPr>
          <w:p w14:paraId="787009AE"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 </w:t>
            </w:r>
          </w:p>
        </w:tc>
        <w:tc>
          <w:tcPr>
            <w:tcW w:w="762" w:type="dxa"/>
            <w:tcBorders>
              <w:top w:val="nil"/>
              <w:left w:val="nil"/>
              <w:bottom w:val="single" w:sz="8" w:space="0" w:color="auto"/>
              <w:right w:val="nil"/>
            </w:tcBorders>
            <w:shd w:val="clear" w:color="auto" w:fill="auto"/>
            <w:noWrap/>
            <w:vAlign w:val="center"/>
            <w:hideMark/>
          </w:tcPr>
          <w:p w14:paraId="7D3061B3"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3,005,969</w:t>
            </w:r>
          </w:p>
        </w:tc>
        <w:tc>
          <w:tcPr>
            <w:tcW w:w="71" w:type="dxa"/>
            <w:tcBorders>
              <w:top w:val="single" w:sz="8" w:space="0" w:color="auto"/>
              <w:left w:val="nil"/>
              <w:bottom w:val="single" w:sz="8" w:space="0" w:color="auto"/>
              <w:right w:val="nil"/>
            </w:tcBorders>
            <w:shd w:val="clear" w:color="auto" w:fill="auto"/>
            <w:noWrap/>
            <w:vAlign w:val="center"/>
            <w:hideMark/>
          </w:tcPr>
          <w:p w14:paraId="44211C38"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 </w:t>
            </w:r>
          </w:p>
        </w:tc>
        <w:tc>
          <w:tcPr>
            <w:tcW w:w="685" w:type="dxa"/>
            <w:tcBorders>
              <w:top w:val="single" w:sz="8" w:space="0" w:color="auto"/>
              <w:left w:val="nil"/>
              <w:bottom w:val="single" w:sz="8" w:space="0" w:color="auto"/>
              <w:right w:val="nil"/>
            </w:tcBorders>
            <w:shd w:val="clear" w:color="auto" w:fill="auto"/>
            <w:noWrap/>
            <w:vAlign w:val="center"/>
            <w:hideMark/>
          </w:tcPr>
          <w:p w14:paraId="4544647D"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24,153</w:t>
            </w:r>
          </w:p>
        </w:tc>
      </w:tr>
      <w:tr w:rsidR="003939B9" w:rsidRPr="003939B9" w14:paraId="618A0A77" w14:textId="77777777" w:rsidTr="003939B9">
        <w:trPr>
          <w:trHeight w:val="290"/>
        </w:trPr>
        <w:tc>
          <w:tcPr>
            <w:tcW w:w="3685" w:type="dxa"/>
            <w:tcBorders>
              <w:top w:val="nil"/>
              <w:left w:val="nil"/>
              <w:bottom w:val="nil"/>
              <w:right w:val="nil"/>
            </w:tcBorders>
            <w:shd w:val="clear" w:color="auto" w:fill="auto"/>
            <w:noWrap/>
            <w:vAlign w:val="center"/>
            <w:hideMark/>
          </w:tcPr>
          <w:p w14:paraId="221A2F17"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p>
        </w:tc>
        <w:tc>
          <w:tcPr>
            <w:tcW w:w="762" w:type="dxa"/>
            <w:tcBorders>
              <w:top w:val="nil"/>
              <w:left w:val="nil"/>
              <w:bottom w:val="nil"/>
              <w:right w:val="nil"/>
            </w:tcBorders>
            <w:shd w:val="clear" w:color="auto" w:fill="auto"/>
            <w:noWrap/>
            <w:vAlign w:val="center"/>
            <w:hideMark/>
          </w:tcPr>
          <w:p w14:paraId="618D372E"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71" w:type="dxa"/>
            <w:tcBorders>
              <w:top w:val="nil"/>
              <w:left w:val="nil"/>
              <w:bottom w:val="nil"/>
              <w:right w:val="nil"/>
            </w:tcBorders>
            <w:shd w:val="clear" w:color="auto" w:fill="auto"/>
            <w:noWrap/>
            <w:vAlign w:val="center"/>
            <w:hideMark/>
          </w:tcPr>
          <w:p w14:paraId="018AD7E6"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762" w:type="dxa"/>
            <w:tcBorders>
              <w:top w:val="nil"/>
              <w:left w:val="nil"/>
              <w:bottom w:val="nil"/>
              <w:right w:val="nil"/>
            </w:tcBorders>
            <w:shd w:val="clear" w:color="auto" w:fill="auto"/>
            <w:noWrap/>
            <w:vAlign w:val="center"/>
            <w:hideMark/>
          </w:tcPr>
          <w:p w14:paraId="46895384"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71" w:type="dxa"/>
            <w:tcBorders>
              <w:top w:val="nil"/>
              <w:left w:val="nil"/>
              <w:bottom w:val="nil"/>
              <w:right w:val="nil"/>
            </w:tcBorders>
            <w:shd w:val="clear" w:color="auto" w:fill="auto"/>
            <w:noWrap/>
            <w:vAlign w:val="center"/>
            <w:hideMark/>
          </w:tcPr>
          <w:p w14:paraId="1D55DB4E"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685" w:type="dxa"/>
            <w:tcBorders>
              <w:top w:val="nil"/>
              <w:left w:val="nil"/>
              <w:bottom w:val="nil"/>
              <w:right w:val="nil"/>
            </w:tcBorders>
            <w:shd w:val="clear" w:color="auto" w:fill="auto"/>
            <w:noWrap/>
            <w:vAlign w:val="center"/>
            <w:hideMark/>
          </w:tcPr>
          <w:p w14:paraId="01CAF0F1" w14:textId="77777777" w:rsidR="003939B9" w:rsidRPr="003939B9" w:rsidRDefault="003939B9" w:rsidP="003939B9">
            <w:pPr>
              <w:spacing w:before="0" w:line="240" w:lineRule="auto"/>
              <w:rPr>
                <w:rFonts w:eastAsia="Times New Roman" w:cs="Times New Roman"/>
                <w:color w:val="auto"/>
                <w:sz w:val="20"/>
                <w:szCs w:val="20"/>
                <w:lang w:eastAsia="en-AU"/>
              </w:rPr>
            </w:pPr>
          </w:p>
        </w:tc>
      </w:tr>
      <w:tr w:rsidR="003939B9" w:rsidRPr="003939B9" w14:paraId="5AB914C5" w14:textId="77777777" w:rsidTr="003939B9">
        <w:trPr>
          <w:trHeight w:val="300"/>
        </w:trPr>
        <w:tc>
          <w:tcPr>
            <w:tcW w:w="3685" w:type="dxa"/>
            <w:tcBorders>
              <w:top w:val="nil"/>
              <w:left w:val="nil"/>
              <w:bottom w:val="double" w:sz="6" w:space="0" w:color="auto"/>
              <w:right w:val="nil"/>
            </w:tcBorders>
            <w:shd w:val="clear" w:color="auto" w:fill="auto"/>
            <w:noWrap/>
            <w:vAlign w:val="center"/>
            <w:hideMark/>
          </w:tcPr>
          <w:p w14:paraId="07C06AED" w14:textId="77777777" w:rsidR="003939B9" w:rsidRPr="003939B9" w:rsidRDefault="003939B9" w:rsidP="003939B9">
            <w:pPr>
              <w:spacing w:before="0" w:line="240" w:lineRule="auto"/>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OPERATING RESULT FOR THE YEAR</w:t>
            </w:r>
          </w:p>
        </w:tc>
        <w:tc>
          <w:tcPr>
            <w:tcW w:w="762" w:type="dxa"/>
            <w:tcBorders>
              <w:top w:val="nil"/>
              <w:left w:val="nil"/>
              <w:bottom w:val="double" w:sz="6" w:space="0" w:color="auto"/>
              <w:right w:val="nil"/>
            </w:tcBorders>
            <w:shd w:val="clear" w:color="auto" w:fill="auto"/>
            <w:noWrap/>
            <w:vAlign w:val="center"/>
            <w:hideMark/>
          </w:tcPr>
          <w:p w14:paraId="7BD2BB98"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 xml:space="preserve">- </w:t>
            </w:r>
          </w:p>
        </w:tc>
        <w:tc>
          <w:tcPr>
            <w:tcW w:w="71" w:type="dxa"/>
            <w:tcBorders>
              <w:top w:val="nil"/>
              <w:left w:val="nil"/>
              <w:bottom w:val="double" w:sz="6" w:space="0" w:color="auto"/>
              <w:right w:val="nil"/>
            </w:tcBorders>
            <w:shd w:val="clear" w:color="auto" w:fill="auto"/>
            <w:noWrap/>
            <w:vAlign w:val="center"/>
            <w:hideMark/>
          </w:tcPr>
          <w:p w14:paraId="5E73AA95"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 </w:t>
            </w:r>
          </w:p>
        </w:tc>
        <w:tc>
          <w:tcPr>
            <w:tcW w:w="762" w:type="dxa"/>
            <w:tcBorders>
              <w:top w:val="nil"/>
              <w:left w:val="nil"/>
              <w:bottom w:val="double" w:sz="6" w:space="0" w:color="auto"/>
              <w:right w:val="nil"/>
            </w:tcBorders>
            <w:shd w:val="clear" w:color="auto" w:fill="auto"/>
            <w:noWrap/>
            <w:vAlign w:val="center"/>
            <w:hideMark/>
          </w:tcPr>
          <w:p w14:paraId="1663F36B"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2,353</w:t>
            </w:r>
          </w:p>
        </w:tc>
        <w:tc>
          <w:tcPr>
            <w:tcW w:w="71" w:type="dxa"/>
            <w:tcBorders>
              <w:top w:val="nil"/>
              <w:left w:val="nil"/>
              <w:bottom w:val="double" w:sz="6" w:space="0" w:color="auto"/>
              <w:right w:val="nil"/>
            </w:tcBorders>
            <w:shd w:val="clear" w:color="auto" w:fill="auto"/>
            <w:noWrap/>
            <w:vAlign w:val="center"/>
            <w:hideMark/>
          </w:tcPr>
          <w:p w14:paraId="137E08D2"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 </w:t>
            </w:r>
          </w:p>
        </w:tc>
        <w:tc>
          <w:tcPr>
            <w:tcW w:w="685" w:type="dxa"/>
            <w:tcBorders>
              <w:top w:val="nil"/>
              <w:left w:val="nil"/>
              <w:bottom w:val="double" w:sz="6" w:space="0" w:color="auto"/>
              <w:right w:val="nil"/>
            </w:tcBorders>
            <w:shd w:val="clear" w:color="auto" w:fill="auto"/>
            <w:noWrap/>
            <w:vAlign w:val="center"/>
            <w:hideMark/>
          </w:tcPr>
          <w:p w14:paraId="65251590"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2,353</w:t>
            </w:r>
          </w:p>
        </w:tc>
      </w:tr>
      <w:tr w:rsidR="003939B9" w:rsidRPr="003939B9" w14:paraId="136FF19F" w14:textId="77777777" w:rsidTr="003939B9">
        <w:trPr>
          <w:trHeight w:val="300"/>
        </w:trPr>
        <w:tc>
          <w:tcPr>
            <w:tcW w:w="3685" w:type="dxa"/>
            <w:tcBorders>
              <w:top w:val="nil"/>
              <w:left w:val="nil"/>
              <w:bottom w:val="nil"/>
              <w:right w:val="nil"/>
            </w:tcBorders>
            <w:shd w:val="clear" w:color="auto" w:fill="auto"/>
            <w:noWrap/>
            <w:vAlign w:val="center"/>
            <w:hideMark/>
          </w:tcPr>
          <w:p w14:paraId="095EB325"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p>
        </w:tc>
        <w:tc>
          <w:tcPr>
            <w:tcW w:w="762" w:type="dxa"/>
            <w:tcBorders>
              <w:top w:val="nil"/>
              <w:left w:val="nil"/>
              <w:bottom w:val="nil"/>
              <w:right w:val="nil"/>
            </w:tcBorders>
            <w:shd w:val="clear" w:color="auto" w:fill="auto"/>
            <w:noWrap/>
            <w:vAlign w:val="center"/>
            <w:hideMark/>
          </w:tcPr>
          <w:p w14:paraId="110B434C"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71" w:type="dxa"/>
            <w:tcBorders>
              <w:top w:val="nil"/>
              <w:left w:val="nil"/>
              <w:bottom w:val="nil"/>
              <w:right w:val="nil"/>
            </w:tcBorders>
            <w:shd w:val="clear" w:color="auto" w:fill="auto"/>
            <w:noWrap/>
            <w:vAlign w:val="center"/>
            <w:hideMark/>
          </w:tcPr>
          <w:p w14:paraId="78217E91"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762" w:type="dxa"/>
            <w:tcBorders>
              <w:top w:val="nil"/>
              <w:left w:val="nil"/>
              <w:bottom w:val="nil"/>
              <w:right w:val="nil"/>
            </w:tcBorders>
            <w:shd w:val="clear" w:color="auto" w:fill="auto"/>
            <w:noWrap/>
            <w:vAlign w:val="center"/>
            <w:hideMark/>
          </w:tcPr>
          <w:p w14:paraId="38017737"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71" w:type="dxa"/>
            <w:tcBorders>
              <w:top w:val="nil"/>
              <w:left w:val="nil"/>
              <w:bottom w:val="nil"/>
              <w:right w:val="nil"/>
            </w:tcBorders>
            <w:shd w:val="clear" w:color="auto" w:fill="auto"/>
            <w:noWrap/>
            <w:vAlign w:val="center"/>
            <w:hideMark/>
          </w:tcPr>
          <w:p w14:paraId="2B473A3F"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685" w:type="dxa"/>
            <w:tcBorders>
              <w:top w:val="nil"/>
              <w:left w:val="nil"/>
              <w:bottom w:val="nil"/>
              <w:right w:val="nil"/>
            </w:tcBorders>
            <w:shd w:val="clear" w:color="auto" w:fill="auto"/>
            <w:noWrap/>
            <w:vAlign w:val="center"/>
            <w:hideMark/>
          </w:tcPr>
          <w:p w14:paraId="66923E61" w14:textId="77777777" w:rsidR="003939B9" w:rsidRPr="003939B9" w:rsidRDefault="003939B9" w:rsidP="003939B9">
            <w:pPr>
              <w:spacing w:before="0" w:line="240" w:lineRule="auto"/>
              <w:rPr>
                <w:rFonts w:eastAsia="Times New Roman" w:cs="Times New Roman"/>
                <w:color w:val="auto"/>
                <w:sz w:val="20"/>
                <w:szCs w:val="20"/>
                <w:lang w:eastAsia="en-AU"/>
              </w:rPr>
            </w:pPr>
          </w:p>
        </w:tc>
      </w:tr>
      <w:tr w:rsidR="003939B9" w:rsidRPr="003939B9" w14:paraId="55C29CCE" w14:textId="77777777" w:rsidTr="003939B9">
        <w:trPr>
          <w:trHeight w:val="290"/>
        </w:trPr>
        <w:tc>
          <w:tcPr>
            <w:tcW w:w="4447" w:type="dxa"/>
            <w:gridSpan w:val="2"/>
            <w:tcBorders>
              <w:top w:val="nil"/>
              <w:left w:val="nil"/>
              <w:bottom w:val="nil"/>
              <w:right w:val="nil"/>
            </w:tcBorders>
            <w:shd w:val="clear" w:color="auto" w:fill="auto"/>
            <w:noWrap/>
            <w:vAlign w:val="center"/>
            <w:hideMark/>
          </w:tcPr>
          <w:p w14:paraId="48952732" w14:textId="77777777" w:rsidR="003939B9" w:rsidRPr="003939B9" w:rsidRDefault="003939B9" w:rsidP="003939B9">
            <w:pPr>
              <w:spacing w:before="0" w:line="240" w:lineRule="auto"/>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Administered assets</w:t>
            </w:r>
          </w:p>
        </w:tc>
        <w:tc>
          <w:tcPr>
            <w:tcW w:w="71" w:type="dxa"/>
            <w:tcBorders>
              <w:top w:val="nil"/>
              <w:left w:val="nil"/>
              <w:bottom w:val="nil"/>
              <w:right w:val="nil"/>
            </w:tcBorders>
            <w:shd w:val="clear" w:color="auto" w:fill="auto"/>
            <w:noWrap/>
            <w:vAlign w:val="center"/>
            <w:hideMark/>
          </w:tcPr>
          <w:p w14:paraId="1D0D791D" w14:textId="77777777" w:rsidR="003939B9" w:rsidRPr="003939B9" w:rsidRDefault="003939B9" w:rsidP="003939B9">
            <w:pPr>
              <w:spacing w:before="0" w:line="240" w:lineRule="auto"/>
              <w:rPr>
                <w:rFonts w:ascii="Meta Pro" w:eastAsia="Times New Roman" w:hAnsi="Meta Pro" w:cs="Calibri"/>
                <w:b/>
                <w:bCs/>
                <w:color w:val="000000"/>
                <w:szCs w:val="18"/>
                <w:lang w:eastAsia="en-AU"/>
              </w:rPr>
            </w:pPr>
          </w:p>
        </w:tc>
        <w:tc>
          <w:tcPr>
            <w:tcW w:w="762" w:type="dxa"/>
            <w:tcBorders>
              <w:top w:val="nil"/>
              <w:left w:val="nil"/>
              <w:bottom w:val="nil"/>
              <w:right w:val="nil"/>
            </w:tcBorders>
            <w:shd w:val="clear" w:color="auto" w:fill="auto"/>
            <w:noWrap/>
            <w:vAlign w:val="center"/>
            <w:hideMark/>
          </w:tcPr>
          <w:p w14:paraId="28EC201C"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71" w:type="dxa"/>
            <w:tcBorders>
              <w:top w:val="nil"/>
              <w:left w:val="nil"/>
              <w:bottom w:val="nil"/>
              <w:right w:val="nil"/>
            </w:tcBorders>
            <w:shd w:val="clear" w:color="auto" w:fill="auto"/>
            <w:noWrap/>
            <w:vAlign w:val="center"/>
            <w:hideMark/>
          </w:tcPr>
          <w:p w14:paraId="05988C18"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685" w:type="dxa"/>
            <w:tcBorders>
              <w:top w:val="nil"/>
              <w:left w:val="nil"/>
              <w:bottom w:val="nil"/>
              <w:right w:val="nil"/>
            </w:tcBorders>
            <w:shd w:val="clear" w:color="auto" w:fill="auto"/>
            <w:noWrap/>
            <w:vAlign w:val="center"/>
            <w:hideMark/>
          </w:tcPr>
          <w:p w14:paraId="484337DB" w14:textId="77777777" w:rsidR="003939B9" w:rsidRPr="003939B9" w:rsidRDefault="003939B9" w:rsidP="003939B9">
            <w:pPr>
              <w:spacing w:before="0" w:line="240" w:lineRule="auto"/>
              <w:rPr>
                <w:rFonts w:eastAsia="Times New Roman" w:cs="Times New Roman"/>
                <w:color w:val="auto"/>
                <w:sz w:val="20"/>
                <w:szCs w:val="20"/>
                <w:lang w:eastAsia="en-AU"/>
              </w:rPr>
            </w:pPr>
          </w:p>
        </w:tc>
      </w:tr>
      <w:tr w:rsidR="003939B9" w:rsidRPr="003939B9" w14:paraId="756AD79D" w14:textId="77777777" w:rsidTr="003939B9">
        <w:trPr>
          <w:trHeight w:val="290"/>
        </w:trPr>
        <w:tc>
          <w:tcPr>
            <w:tcW w:w="3685" w:type="dxa"/>
            <w:tcBorders>
              <w:top w:val="nil"/>
              <w:left w:val="nil"/>
              <w:bottom w:val="nil"/>
              <w:right w:val="nil"/>
            </w:tcBorders>
            <w:shd w:val="clear" w:color="auto" w:fill="auto"/>
            <w:noWrap/>
            <w:vAlign w:val="center"/>
            <w:hideMark/>
          </w:tcPr>
          <w:p w14:paraId="26067948" w14:textId="77777777" w:rsidR="003939B9" w:rsidRPr="003939B9" w:rsidRDefault="003939B9" w:rsidP="003939B9">
            <w:pPr>
              <w:spacing w:before="0" w:line="240" w:lineRule="auto"/>
              <w:rPr>
                <w:rFonts w:ascii="Meta Pro" w:eastAsia="Times New Roman" w:hAnsi="Meta Pro" w:cs="Calibri"/>
                <w:i/>
                <w:iCs/>
                <w:color w:val="000000"/>
                <w:szCs w:val="18"/>
                <w:lang w:eastAsia="en-AU"/>
              </w:rPr>
            </w:pPr>
            <w:r w:rsidRPr="003939B9">
              <w:rPr>
                <w:rFonts w:ascii="Meta Pro" w:eastAsia="Times New Roman" w:hAnsi="Meta Pro" w:cs="Calibri"/>
                <w:i/>
                <w:iCs/>
                <w:color w:val="000000"/>
                <w:szCs w:val="18"/>
                <w:lang w:eastAsia="en-AU"/>
              </w:rPr>
              <w:t xml:space="preserve">Current </w:t>
            </w:r>
          </w:p>
        </w:tc>
        <w:tc>
          <w:tcPr>
            <w:tcW w:w="762" w:type="dxa"/>
            <w:tcBorders>
              <w:top w:val="nil"/>
              <w:left w:val="nil"/>
              <w:bottom w:val="nil"/>
              <w:right w:val="nil"/>
            </w:tcBorders>
            <w:shd w:val="clear" w:color="auto" w:fill="auto"/>
            <w:noWrap/>
            <w:vAlign w:val="center"/>
            <w:hideMark/>
          </w:tcPr>
          <w:p w14:paraId="61678EF4" w14:textId="77777777" w:rsidR="003939B9" w:rsidRPr="003939B9" w:rsidRDefault="003939B9" w:rsidP="003939B9">
            <w:pPr>
              <w:spacing w:before="0" w:line="240" w:lineRule="auto"/>
              <w:rPr>
                <w:rFonts w:ascii="Meta Pro" w:eastAsia="Times New Roman" w:hAnsi="Meta Pro" w:cs="Calibri"/>
                <w:i/>
                <w:iCs/>
                <w:color w:val="000000"/>
                <w:szCs w:val="18"/>
                <w:lang w:eastAsia="en-AU"/>
              </w:rPr>
            </w:pPr>
          </w:p>
        </w:tc>
        <w:tc>
          <w:tcPr>
            <w:tcW w:w="71" w:type="dxa"/>
            <w:tcBorders>
              <w:top w:val="nil"/>
              <w:left w:val="nil"/>
              <w:bottom w:val="nil"/>
              <w:right w:val="nil"/>
            </w:tcBorders>
            <w:shd w:val="clear" w:color="auto" w:fill="auto"/>
            <w:noWrap/>
            <w:vAlign w:val="center"/>
            <w:hideMark/>
          </w:tcPr>
          <w:p w14:paraId="5CE411A3"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762" w:type="dxa"/>
            <w:tcBorders>
              <w:top w:val="nil"/>
              <w:left w:val="nil"/>
              <w:bottom w:val="nil"/>
              <w:right w:val="nil"/>
            </w:tcBorders>
            <w:shd w:val="clear" w:color="auto" w:fill="auto"/>
            <w:noWrap/>
            <w:vAlign w:val="center"/>
            <w:hideMark/>
          </w:tcPr>
          <w:p w14:paraId="348582BE"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71" w:type="dxa"/>
            <w:tcBorders>
              <w:top w:val="nil"/>
              <w:left w:val="nil"/>
              <w:bottom w:val="nil"/>
              <w:right w:val="nil"/>
            </w:tcBorders>
            <w:shd w:val="clear" w:color="auto" w:fill="auto"/>
            <w:noWrap/>
            <w:vAlign w:val="center"/>
            <w:hideMark/>
          </w:tcPr>
          <w:p w14:paraId="00F5756A"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685" w:type="dxa"/>
            <w:tcBorders>
              <w:top w:val="nil"/>
              <w:left w:val="nil"/>
              <w:bottom w:val="nil"/>
              <w:right w:val="nil"/>
            </w:tcBorders>
            <w:shd w:val="clear" w:color="auto" w:fill="auto"/>
            <w:noWrap/>
            <w:vAlign w:val="center"/>
            <w:hideMark/>
          </w:tcPr>
          <w:p w14:paraId="63A6146F" w14:textId="77777777" w:rsidR="003939B9" w:rsidRPr="003939B9" w:rsidRDefault="003939B9" w:rsidP="003939B9">
            <w:pPr>
              <w:spacing w:before="0" w:line="240" w:lineRule="auto"/>
              <w:rPr>
                <w:rFonts w:eastAsia="Times New Roman" w:cs="Times New Roman"/>
                <w:color w:val="auto"/>
                <w:sz w:val="20"/>
                <w:szCs w:val="20"/>
                <w:lang w:eastAsia="en-AU"/>
              </w:rPr>
            </w:pPr>
          </w:p>
        </w:tc>
      </w:tr>
      <w:tr w:rsidR="003939B9" w:rsidRPr="003939B9" w14:paraId="11902B6B" w14:textId="77777777" w:rsidTr="003939B9">
        <w:trPr>
          <w:trHeight w:val="290"/>
        </w:trPr>
        <w:tc>
          <w:tcPr>
            <w:tcW w:w="3685" w:type="dxa"/>
            <w:tcBorders>
              <w:top w:val="nil"/>
              <w:left w:val="nil"/>
              <w:bottom w:val="nil"/>
              <w:right w:val="nil"/>
            </w:tcBorders>
            <w:shd w:val="clear" w:color="auto" w:fill="auto"/>
            <w:noWrap/>
            <w:vAlign w:val="center"/>
            <w:hideMark/>
          </w:tcPr>
          <w:p w14:paraId="1EDE9FEB" w14:textId="77777777" w:rsidR="003939B9" w:rsidRPr="003939B9" w:rsidRDefault="003939B9" w:rsidP="003939B9">
            <w:pPr>
              <w:spacing w:before="0" w:line="240" w:lineRule="auto"/>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Cash</w:t>
            </w:r>
          </w:p>
        </w:tc>
        <w:tc>
          <w:tcPr>
            <w:tcW w:w="762" w:type="dxa"/>
            <w:tcBorders>
              <w:top w:val="nil"/>
              <w:left w:val="nil"/>
              <w:bottom w:val="nil"/>
              <w:right w:val="nil"/>
            </w:tcBorders>
            <w:shd w:val="clear" w:color="auto" w:fill="auto"/>
            <w:noWrap/>
            <w:vAlign w:val="center"/>
            <w:hideMark/>
          </w:tcPr>
          <w:p w14:paraId="5DA9B3D7"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21,774</w:t>
            </w:r>
          </w:p>
        </w:tc>
        <w:tc>
          <w:tcPr>
            <w:tcW w:w="71" w:type="dxa"/>
            <w:tcBorders>
              <w:top w:val="nil"/>
              <w:left w:val="nil"/>
              <w:bottom w:val="nil"/>
              <w:right w:val="nil"/>
            </w:tcBorders>
            <w:shd w:val="clear" w:color="auto" w:fill="auto"/>
            <w:noWrap/>
            <w:vAlign w:val="center"/>
            <w:hideMark/>
          </w:tcPr>
          <w:p w14:paraId="52652528"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p>
        </w:tc>
        <w:tc>
          <w:tcPr>
            <w:tcW w:w="762" w:type="dxa"/>
            <w:tcBorders>
              <w:top w:val="nil"/>
              <w:left w:val="nil"/>
              <w:bottom w:val="nil"/>
              <w:right w:val="nil"/>
            </w:tcBorders>
            <w:shd w:val="clear" w:color="auto" w:fill="auto"/>
            <w:noWrap/>
            <w:vAlign w:val="center"/>
            <w:hideMark/>
          </w:tcPr>
          <w:p w14:paraId="0D4F5882"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19,849</w:t>
            </w:r>
          </w:p>
        </w:tc>
        <w:tc>
          <w:tcPr>
            <w:tcW w:w="71" w:type="dxa"/>
            <w:tcBorders>
              <w:top w:val="nil"/>
              <w:left w:val="nil"/>
              <w:bottom w:val="nil"/>
              <w:right w:val="nil"/>
            </w:tcBorders>
            <w:shd w:val="clear" w:color="auto" w:fill="auto"/>
            <w:noWrap/>
            <w:vAlign w:val="center"/>
            <w:hideMark/>
          </w:tcPr>
          <w:p w14:paraId="3803390F"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p>
        </w:tc>
        <w:tc>
          <w:tcPr>
            <w:tcW w:w="685" w:type="dxa"/>
            <w:tcBorders>
              <w:top w:val="nil"/>
              <w:left w:val="nil"/>
              <w:bottom w:val="nil"/>
              <w:right w:val="nil"/>
            </w:tcBorders>
            <w:shd w:val="clear" w:color="auto" w:fill="auto"/>
            <w:noWrap/>
            <w:vAlign w:val="center"/>
            <w:hideMark/>
          </w:tcPr>
          <w:p w14:paraId="6EB0D960"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-1,925</w:t>
            </w:r>
          </w:p>
        </w:tc>
      </w:tr>
      <w:tr w:rsidR="003939B9" w:rsidRPr="003939B9" w14:paraId="72E34B7F" w14:textId="77777777" w:rsidTr="003939B9">
        <w:trPr>
          <w:trHeight w:val="300"/>
        </w:trPr>
        <w:tc>
          <w:tcPr>
            <w:tcW w:w="3685" w:type="dxa"/>
            <w:tcBorders>
              <w:top w:val="nil"/>
              <w:left w:val="nil"/>
              <w:bottom w:val="nil"/>
              <w:right w:val="nil"/>
            </w:tcBorders>
            <w:shd w:val="clear" w:color="auto" w:fill="auto"/>
            <w:noWrap/>
            <w:vAlign w:val="center"/>
            <w:hideMark/>
          </w:tcPr>
          <w:p w14:paraId="62DE5EF1" w14:textId="77777777" w:rsidR="003939B9" w:rsidRPr="003939B9" w:rsidRDefault="003939B9" w:rsidP="003939B9">
            <w:pPr>
              <w:spacing w:before="0" w:line="240" w:lineRule="auto"/>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Receivables</w:t>
            </w:r>
          </w:p>
        </w:tc>
        <w:tc>
          <w:tcPr>
            <w:tcW w:w="762" w:type="dxa"/>
            <w:tcBorders>
              <w:top w:val="nil"/>
              <w:left w:val="nil"/>
              <w:bottom w:val="nil"/>
              <w:right w:val="nil"/>
            </w:tcBorders>
            <w:shd w:val="clear" w:color="auto" w:fill="auto"/>
            <w:noWrap/>
            <w:vAlign w:val="center"/>
            <w:hideMark/>
          </w:tcPr>
          <w:p w14:paraId="07ED30CD"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150,759</w:t>
            </w:r>
          </w:p>
        </w:tc>
        <w:tc>
          <w:tcPr>
            <w:tcW w:w="71" w:type="dxa"/>
            <w:tcBorders>
              <w:top w:val="nil"/>
              <w:left w:val="nil"/>
              <w:bottom w:val="nil"/>
              <w:right w:val="nil"/>
            </w:tcBorders>
            <w:shd w:val="clear" w:color="auto" w:fill="auto"/>
            <w:noWrap/>
            <w:vAlign w:val="center"/>
            <w:hideMark/>
          </w:tcPr>
          <w:p w14:paraId="3175D581"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p>
        </w:tc>
        <w:tc>
          <w:tcPr>
            <w:tcW w:w="762" w:type="dxa"/>
            <w:tcBorders>
              <w:top w:val="nil"/>
              <w:left w:val="nil"/>
              <w:bottom w:val="nil"/>
              <w:right w:val="nil"/>
            </w:tcBorders>
            <w:shd w:val="clear" w:color="auto" w:fill="auto"/>
            <w:noWrap/>
            <w:vAlign w:val="center"/>
            <w:hideMark/>
          </w:tcPr>
          <w:p w14:paraId="108C9613"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157,984</w:t>
            </w:r>
          </w:p>
        </w:tc>
        <w:tc>
          <w:tcPr>
            <w:tcW w:w="71" w:type="dxa"/>
            <w:tcBorders>
              <w:top w:val="nil"/>
              <w:left w:val="nil"/>
              <w:bottom w:val="nil"/>
              <w:right w:val="nil"/>
            </w:tcBorders>
            <w:shd w:val="clear" w:color="auto" w:fill="auto"/>
            <w:noWrap/>
            <w:vAlign w:val="center"/>
            <w:hideMark/>
          </w:tcPr>
          <w:p w14:paraId="7C661311"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p>
        </w:tc>
        <w:tc>
          <w:tcPr>
            <w:tcW w:w="685" w:type="dxa"/>
            <w:tcBorders>
              <w:top w:val="nil"/>
              <w:left w:val="nil"/>
              <w:bottom w:val="nil"/>
              <w:right w:val="nil"/>
            </w:tcBorders>
            <w:shd w:val="clear" w:color="auto" w:fill="auto"/>
            <w:noWrap/>
            <w:vAlign w:val="center"/>
            <w:hideMark/>
          </w:tcPr>
          <w:p w14:paraId="72F66DE8"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7,225</w:t>
            </w:r>
          </w:p>
        </w:tc>
      </w:tr>
      <w:tr w:rsidR="003939B9" w:rsidRPr="003939B9" w14:paraId="6F390217" w14:textId="77777777" w:rsidTr="003939B9">
        <w:trPr>
          <w:trHeight w:val="290"/>
        </w:trPr>
        <w:tc>
          <w:tcPr>
            <w:tcW w:w="3685" w:type="dxa"/>
            <w:tcBorders>
              <w:top w:val="single" w:sz="8" w:space="0" w:color="auto"/>
              <w:left w:val="nil"/>
              <w:bottom w:val="nil"/>
              <w:right w:val="nil"/>
            </w:tcBorders>
            <w:shd w:val="clear" w:color="auto" w:fill="auto"/>
            <w:noWrap/>
            <w:vAlign w:val="center"/>
            <w:hideMark/>
          </w:tcPr>
          <w:p w14:paraId="14D44ED6" w14:textId="77777777" w:rsidR="003939B9" w:rsidRPr="003939B9" w:rsidRDefault="003939B9" w:rsidP="003939B9">
            <w:pPr>
              <w:spacing w:before="0" w:line="240" w:lineRule="auto"/>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Total current assets</w:t>
            </w:r>
          </w:p>
        </w:tc>
        <w:tc>
          <w:tcPr>
            <w:tcW w:w="762" w:type="dxa"/>
            <w:tcBorders>
              <w:top w:val="single" w:sz="8" w:space="0" w:color="auto"/>
              <w:left w:val="nil"/>
              <w:bottom w:val="nil"/>
              <w:right w:val="nil"/>
            </w:tcBorders>
            <w:shd w:val="clear" w:color="auto" w:fill="auto"/>
            <w:noWrap/>
            <w:vAlign w:val="center"/>
            <w:hideMark/>
          </w:tcPr>
          <w:p w14:paraId="2FE1196C"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172,533</w:t>
            </w:r>
          </w:p>
        </w:tc>
        <w:tc>
          <w:tcPr>
            <w:tcW w:w="71" w:type="dxa"/>
            <w:tcBorders>
              <w:top w:val="single" w:sz="8" w:space="0" w:color="auto"/>
              <w:left w:val="nil"/>
              <w:bottom w:val="nil"/>
              <w:right w:val="nil"/>
            </w:tcBorders>
            <w:shd w:val="clear" w:color="auto" w:fill="auto"/>
            <w:noWrap/>
            <w:vAlign w:val="center"/>
            <w:hideMark/>
          </w:tcPr>
          <w:p w14:paraId="6999081E"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 </w:t>
            </w:r>
          </w:p>
        </w:tc>
        <w:tc>
          <w:tcPr>
            <w:tcW w:w="762" w:type="dxa"/>
            <w:tcBorders>
              <w:top w:val="single" w:sz="8" w:space="0" w:color="auto"/>
              <w:left w:val="nil"/>
              <w:bottom w:val="nil"/>
              <w:right w:val="nil"/>
            </w:tcBorders>
            <w:shd w:val="clear" w:color="auto" w:fill="auto"/>
            <w:noWrap/>
            <w:vAlign w:val="center"/>
            <w:hideMark/>
          </w:tcPr>
          <w:p w14:paraId="2ED95678"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177,833</w:t>
            </w:r>
          </w:p>
        </w:tc>
        <w:tc>
          <w:tcPr>
            <w:tcW w:w="71" w:type="dxa"/>
            <w:tcBorders>
              <w:top w:val="single" w:sz="8" w:space="0" w:color="auto"/>
              <w:left w:val="nil"/>
              <w:bottom w:val="nil"/>
              <w:right w:val="nil"/>
            </w:tcBorders>
            <w:shd w:val="clear" w:color="auto" w:fill="auto"/>
            <w:noWrap/>
            <w:vAlign w:val="center"/>
            <w:hideMark/>
          </w:tcPr>
          <w:p w14:paraId="62D6FED3"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 </w:t>
            </w:r>
          </w:p>
        </w:tc>
        <w:tc>
          <w:tcPr>
            <w:tcW w:w="685" w:type="dxa"/>
            <w:tcBorders>
              <w:top w:val="single" w:sz="8" w:space="0" w:color="auto"/>
              <w:left w:val="nil"/>
              <w:bottom w:val="nil"/>
              <w:right w:val="nil"/>
            </w:tcBorders>
            <w:shd w:val="clear" w:color="auto" w:fill="auto"/>
            <w:noWrap/>
            <w:vAlign w:val="center"/>
            <w:hideMark/>
          </w:tcPr>
          <w:p w14:paraId="6CFADE8F"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5,300</w:t>
            </w:r>
          </w:p>
        </w:tc>
      </w:tr>
      <w:tr w:rsidR="003939B9" w:rsidRPr="003939B9" w14:paraId="31397837" w14:textId="77777777" w:rsidTr="003939B9">
        <w:trPr>
          <w:trHeight w:val="290"/>
        </w:trPr>
        <w:tc>
          <w:tcPr>
            <w:tcW w:w="4447" w:type="dxa"/>
            <w:gridSpan w:val="2"/>
            <w:tcBorders>
              <w:top w:val="nil"/>
              <w:left w:val="nil"/>
              <w:bottom w:val="nil"/>
              <w:right w:val="nil"/>
            </w:tcBorders>
            <w:shd w:val="clear" w:color="auto" w:fill="auto"/>
            <w:noWrap/>
            <w:vAlign w:val="center"/>
            <w:hideMark/>
          </w:tcPr>
          <w:p w14:paraId="79122D27" w14:textId="77777777" w:rsidR="003939B9" w:rsidRPr="003939B9" w:rsidRDefault="003939B9" w:rsidP="003939B9">
            <w:pPr>
              <w:spacing w:before="0" w:line="240" w:lineRule="auto"/>
              <w:rPr>
                <w:rFonts w:ascii="Meta Pro" w:eastAsia="Times New Roman" w:hAnsi="Meta Pro" w:cs="Calibri"/>
                <w:i/>
                <w:iCs/>
                <w:color w:val="000000"/>
                <w:szCs w:val="18"/>
                <w:lang w:eastAsia="en-AU"/>
              </w:rPr>
            </w:pPr>
            <w:r w:rsidRPr="003939B9">
              <w:rPr>
                <w:rFonts w:ascii="Meta Pro" w:eastAsia="Times New Roman" w:hAnsi="Meta Pro" w:cs="Calibri"/>
                <w:i/>
                <w:iCs/>
                <w:color w:val="000000"/>
                <w:szCs w:val="18"/>
                <w:lang w:eastAsia="en-AU"/>
              </w:rPr>
              <w:t xml:space="preserve">Non-current </w:t>
            </w:r>
          </w:p>
        </w:tc>
        <w:tc>
          <w:tcPr>
            <w:tcW w:w="71" w:type="dxa"/>
            <w:tcBorders>
              <w:top w:val="nil"/>
              <w:left w:val="nil"/>
              <w:bottom w:val="nil"/>
              <w:right w:val="nil"/>
            </w:tcBorders>
            <w:shd w:val="clear" w:color="auto" w:fill="auto"/>
            <w:noWrap/>
            <w:vAlign w:val="center"/>
            <w:hideMark/>
          </w:tcPr>
          <w:p w14:paraId="495B3AA9" w14:textId="77777777" w:rsidR="003939B9" w:rsidRPr="003939B9" w:rsidRDefault="003939B9" w:rsidP="003939B9">
            <w:pPr>
              <w:spacing w:before="0" w:line="240" w:lineRule="auto"/>
              <w:rPr>
                <w:rFonts w:ascii="Meta Pro" w:eastAsia="Times New Roman" w:hAnsi="Meta Pro" w:cs="Calibri"/>
                <w:i/>
                <w:iCs/>
                <w:color w:val="000000"/>
                <w:szCs w:val="18"/>
                <w:lang w:eastAsia="en-AU"/>
              </w:rPr>
            </w:pPr>
          </w:p>
        </w:tc>
        <w:tc>
          <w:tcPr>
            <w:tcW w:w="762" w:type="dxa"/>
            <w:tcBorders>
              <w:top w:val="nil"/>
              <w:left w:val="nil"/>
              <w:bottom w:val="nil"/>
              <w:right w:val="nil"/>
            </w:tcBorders>
            <w:shd w:val="clear" w:color="auto" w:fill="auto"/>
            <w:noWrap/>
            <w:vAlign w:val="center"/>
            <w:hideMark/>
          </w:tcPr>
          <w:p w14:paraId="4BE64B39"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71" w:type="dxa"/>
            <w:tcBorders>
              <w:top w:val="nil"/>
              <w:left w:val="nil"/>
              <w:bottom w:val="nil"/>
              <w:right w:val="nil"/>
            </w:tcBorders>
            <w:shd w:val="clear" w:color="auto" w:fill="auto"/>
            <w:noWrap/>
            <w:vAlign w:val="center"/>
            <w:hideMark/>
          </w:tcPr>
          <w:p w14:paraId="5CE09DC6"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685" w:type="dxa"/>
            <w:tcBorders>
              <w:top w:val="nil"/>
              <w:left w:val="nil"/>
              <w:bottom w:val="nil"/>
              <w:right w:val="nil"/>
            </w:tcBorders>
            <w:shd w:val="clear" w:color="auto" w:fill="auto"/>
            <w:noWrap/>
            <w:vAlign w:val="center"/>
            <w:hideMark/>
          </w:tcPr>
          <w:p w14:paraId="3011AD7E" w14:textId="77777777" w:rsidR="003939B9" w:rsidRPr="003939B9" w:rsidRDefault="003939B9" w:rsidP="003939B9">
            <w:pPr>
              <w:spacing w:before="0" w:line="240" w:lineRule="auto"/>
              <w:rPr>
                <w:rFonts w:eastAsia="Times New Roman" w:cs="Times New Roman"/>
                <w:color w:val="auto"/>
                <w:sz w:val="20"/>
                <w:szCs w:val="20"/>
                <w:lang w:eastAsia="en-AU"/>
              </w:rPr>
            </w:pPr>
          </w:p>
        </w:tc>
      </w:tr>
      <w:tr w:rsidR="003939B9" w:rsidRPr="003939B9" w14:paraId="7BD0CF6D" w14:textId="77777777" w:rsidTr="003939B9">
        <w:trPr>
          <w:trHeight w:val="300"/>
        </w:trPr>
        <w:tc>
          <w:tcPr>
            <w:tcW w:w="3685" w:type="dxa"/>
            <w:tcBorders>
              <w:top w:val="nil"/>
              <w:left w:val="nil"/>
              <w:bottom w:val="nil"/>
              <w:right w:val="nil"/>
            </w:tcBorders>
            <w:shd w:val="clear" w:color="auto" w:fill="auto"/>
            <w:noWrap/>
            <w:vAlign w:val="center"/>
            <w:hideMark/>
          </w:tcPr>
          <w:p w14:paraId="04C5ADBA" w14:textId="77777777" w:rsidR="003939B9" w:rsidRPr="003939B9" w:rsidRDefault="003939B9" w:rsidP="003939B9">
            <w:pPr>
              <w:spacing w:before="0" w:line="240" w:lineRule="auto"/>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Land</w:t>
            </w:r>
          </w:p>
        </w:tc>
        <w:tc>
          <w:tcPr>
            <w:tcW w:w="762" w:type="dxa"/>
            <w:tcBorders>
              <w:top w:val="nil"/>
              <w:left w:val="nil"/>
              <w:bottom w:val="nil"/>
              <w:right w:val="nil"/>
            </w:tcBorders>
            <w:shd w:val="clear" w:color="auto" w:fill="auto"/>
            <w:noWrap/>
            <w:vAlign w:val="center"/>
            <w:hideMark/>
          </w:tcPr>
          <w:p w14:paraId="2EA66095"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272,090</w:t>
            </w:r>
          </w:p>
        </w:tc>
        <w:tc>
          <w:tcPr>
            <w:tcW w:w="71" w:type="dxa"/>
            <w:tcBorders>
              <w:top w:val="nil"/>
              <w:left w:val="nil"/>
              <w:bottom w:val="nil"/>
              <w:right w:val="nil"/>
            </w:tcBorders>
            <w:shd w:val="clear" w:color="auto" w:fill="auto"/>
            <w:noWrap/>
            <w:vAlign w:val="center"/>
            <w:hideMark/>
          </w:tcPr>
          <w:p w14:paraId="3FD40DD2"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p>
        </w:tc>
        <w:tc>
          <w:tcPr>
            <w:tcW w:w="762" w:type="dxa"/>
            <w:tcBorders>
              <w:top w:val="nil"/>
              <w:left w:val="nil"/>
              <w:bottom w:val="nil"/>
              <w:right w:val="nil"/>
            </w:tcBorders>
            <w:shd w:val="clear" w:color="auto" w:fill="auto"/>
            <w:noWrap/>
            <w:vAlign w:val="center"/>
            <w:hideMark/>
          </w:tcPr>
          <w:p w14:paraId="4522F506"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123,279</w:t>
            </w:r>
          </w:p>
        </w:tc>
        <w:tc>
          <w:tcPr>
            <w:tcW w:w="71" w:type="dxa"/>
            <w:tcBorders>
              <w:top w:val="nil"/>
              <w:left w:val="nil"/>
              <w:bottom w:val="nil"/>
              <w:right w:val="nil"/>
            </w:tcBorders>
            <w:shd w:val="clear" w:color="auto" w:fill="auto"/>
            <w:noWrap/>
            <w:vAlign w:val="center"/>
            <w:hideMark/>
          </w:tcPr>
          <w:p w14:paraId="691EC8CF"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p>
        </w:tc>
        <w:tc>
          <w:tcPr>
            <w:tcW w:w="685" w:type="dxa"/>
            <w:tcBorders>
              <w:top w:val="nil"/>
              <w:left w:val="nil"/>
              <w:bottom w:val="nil"/>
              <w:right w:val="nil"/>
            </w:tcBorders>
            <w:shd w:val="clear" w:color="auto" w:fill="auto"/>
            <w:noWrap/>
            <w:vAlign w:val="center"/>
            <w:hideMark/>
          </w:tcPr>
          <w:p w14:paraId="5D0AA109"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-148,811</w:t>
            </w:r>
          </w:p>
        </w:tc>
      </w:tr>
      <w:tr w:rsidR="003939B9" w:rsidRPr="003939B9" w14:paraId="01FF9D90" w14:textId="77777777" w:rsidTr="003939B9">
        <w:trPr>
          <w:trHeight w:val="300"/>
        </w:trPr>
        <w:tc>
          <w:tcPr>
            <w:tcW w:w="3685" w:type="dxa"/>
            <w:tcBorders>
              <w:top w:val="single" w:sz="8" w:space="0" w:color="auto"/>
              <w:left w:val="nil"/>
              <w:bottom w:val="nil"/>
              <w:right w:val="nil"/>
            </w:tcBorders>
            <w:shd w:val="clear" w:color="auto" w:fill="auto"/>
            <w:noWrap/>
            <w:vAlign w:val="center"/>
            <w:hideMark/>
          </w:tcPr>
          <w:p w14:paraId="14B27DCA" w14:textId="77777777" w:rsidR="003939B9" w:rsidRPr="003939B9" w:rsidRDefault="003939B9" w:rsidP="003939B9">
            <w:pPr>
              <w:spacing w:before="0" w:line="240" w:lineRule="auto"/>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Total non-current assets</w:t>
            </w:r>
          </w:p>
        </w:tc>
        <w:tc>
          <w:tcPr>
            <w:tcW w:w="762" w:type="dxa"/>
            <w:tcBorders>
              <w:top w:val="single" w:sz="8" w:space="0" w:color="auto"/>
              <w:left w:val="nil"/>
              <w:bottom w:val="nil"/>
              <w:right w:val="nil"/>
            </w:tcBorders>
            <w:shd w:val="clear" w:color="auto" w:fill="auto"/>
            <w:noWrap/>
            <w:vAlign w:val="center"/>
            <w:hideMark/>
          </w:tcPr>
          <w:p w14:paraId="1E906528"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272,090</w:t>
            </w:r>
          </w:p>
        </w:tc>
        <w:tc>
          <w:tcPr>
            <w:tcW w:w="71" w:type="dxa"/>
            <w:tcBorders>
              <w:top w:val="single" w:sz="8" w:space="0" w:color="auto"/>
              <w:left w:val="nil"/>
              <w:bottom w:val="nil"/>
              <w:right w:val="nil"/>
            </w:tcBorders>
            <w:shd w:val="clear" w:color="auto" w:fill="auto"/>
            <w:noWrap/>
            <w:vAlign w:val="center"/>
            <w:hideMark/>
          </w:tcPr>
          <w:p w14:paraId="248580E8"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 </w:t>
            </w:r>
          </w:p>
        </w:tc>
        <w:tc>
          <w:tcPr>
            <w:tcW w:w="762" w:type="dxa"/>
            <w:tcBorders>
              <w:top w:val="single" w:sz="8" w:space="0" w:color="auto"/>
              <w:left w:val="nil"/>
              <w:bottom w:val="nil"/>
              <w:right w:val="nil"/>
            </w:tcBorders>
            <w:shd w:val="clear" w:color="auto" w:fill="auto"/>
            <w:noWrap/>
            <w:vAlign w:val="center"/>
            <w:hideMark/>
          </w:tcPr>
          <w:p w14:paraId="30AF01CC"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123,279</w:t>
            </w:r>
          </w:p>
        </w:tc>
        <w:tc>
          <w:tcPr>
            <w:tcW w:w="71" w:type="dxa"/>
            <w:tcBorders>
              <w:top w:val="single" w:sz="8" w:space="0" w:color="auto"/>
              <w:left w:val="nil"/>
              <w:bottom w:val="nil"/>
              <w:right w:val="nil"/>
            </w:tcBorders>
            <w:shd w:val="clear" w:color="auto" w:fill="auto"/>
            <w:noWrap/>
            <w:vAlign w:val="center"/>
            <w:hideMark/>
          </w:tcPr>
          <w:p w14:paraId="44E4CDD2"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 </w:t>
            </w:r>
          </w:p>
        </w:tc>
        <w:tc>
          <w:tcPr>
            <w:tcW w:w="685" w:type="dxa"/>
            <w:tcBorders>
              <w:top w:val="single" w:sz="8" w:space="0" w:color="auto"/>
              <w:left w:val="nil"/>
              <w:bottom w:val="nil"/>
              <w:right w:val="nil"/>
            </w:tcBorders>
            <w:shd w:val="clear" w:color="auto" w:fill="auto"/>
            <w:noWrap/>
            <w:vAlign w:val="center"/>
            <w:hideMark/>
          </w:tcPr>
          <w:p w14:paraId="18B8BB8C"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-148,811</w:t>
            </w:r>
          </w:p>
        </w:tc>
      </w:tr>
      <w:tr w:rsidR="003939B9" w:rsidRPr="003939B9" w14:paraId="311F8CEB" w14:textId="77777777" w:rsidTr="003939B9">
        <w:trPr>
          <w:trHeight w:val="300"/>
        </w:trPr>
        <w:tc>
          <w:tcPr>
            <w:tcW w:w="3685" w:type="dxa"/>
            <w:tcBorders>
              <w:top w:val="single" w:sz="8" w:space="0" w:color="auto"/>
              <w:left w:val="nil"/>
              <w:bottom w:val="single" w:sz="8" w:space="0" w:color="auto"/>
              <w:right w:val="nil"/>
            </w:tcBorders>
            <w:shd w:val="clear" w:color="auto" w:fill="auto"/>
            <w:noWrap/>
            <w:vAlign w:val="center"/>
            <w:hideMark/>
          </w:tcPr>
          <w:p w14:paraId="464C5D87" w14:textId="77777777" w:rsidR="003939B9" w:rsidRPr="003939B9" w:rsidRDefault="003939B9" w:rsidP="003939B9">
            <w:pPr>
              <w:spacing w:before="0" w:line="240" w:lineRule="auto"/>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Total assets</w:t>
            </w:r>
          </w:p>
        </w:tc>
        <w:tc>
          <w:tcPr>
            <w:tcW w:w="762" w:type="dxa"/>
            <w:tcBorders>
              <w:top w:val="single" w:sz="8" w:space="0" w:color="auto"/>
              <w:left w:val="nil"/>
              <w:bottom w:val="single" w:sz="8" w:space="0" w:color="auto"/>
              <w:right w:val="nil"/>
            </w:tcBorders>
            <w:shd w:val="clear" w:color="auto" w:fill="auto"/>
            <w:noWrap/>
            <w:vAlign w:val="center"/>
            <w:hideMark/>
          </w:tcPr>
          <w:p w14:paraId="7AACD111"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444,623</w:t>
            </w:r>
          </w:p>
        </w:tc>
        <w:tc>
          <w:tcPr>
            <w:tcW w:w="71" w:type="dxa"/>
            <w:tcBorders>
              <w:top w:val="single" w:sz="8" w:space="0" w:color="auto"/>
              <w:left w:val="nil"/>
              <w:bottom w:val="single" w:sz="8" w:space="0" w:color="auto"/>
              <w:right w:val="nil"/>
            </w:tcBorders>
            <w:shd w:val="clear" w:color="auto" w:fill="auto"/>
            <w:noWrap/>
            <w:vAlign w:val="center"/>
            <w:hideMark/>
          </w:tcPr>
          <w:p w14:paraId="52DD85E4"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 </w:t>
            </w:r>
          </w:p>
        </w:tc>
        <w:tc>
          <w:tcPr>
            <w:tcW w:w="762" w:type="dxa"/>
            <w:tcBorders>
              <w:top w:val="single" w:sz="8" w:space="0" w:color="auto"/>
              <w:left w:val="nil"/>
              <w:bottom w:val="single" w:sz="8" w:space="0" w:color="auto"/>
              <w:right w:val="nil"/>
            </w:tcBorders>
            <w:shd w:val="clear" w:color="auto" w:fill="auto"/>
            <w:noWrap/>
            <w:vAlign w:val="center"/>
            <w:hideMark/>
          </w:tcPr>
          <w:p w14:paraId="17665A77"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301,112</w:t>
            </w:r>
          </w:p>
        </w:tc>
        <w:tc>
          <w:tcPr>
            <w:tcW w:w="71" w:type="dxa"/>
            <w:tcBorders>
              <w:top w:val="single" w:sz="8" w:space="0" w:color="auto"/>
              <w:left w:val="nil"/>
              <w:bottom w:val="single" w:sz="8" w:space="0" w:color="auto"/>
              <w:right w:val="nil"/>
            </w:tcBorders>
            <w:shd w:val="clear" w:color="auto" w:fill="auto"/>
            <w:noWrap/>
            <w:vAlign w:val="center"/>
            <w:hideMark/>
          </w:tcPr>
          <w:p w14:paraId="4CA94A84"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 </w:t>
            </w:r>
          </w:p>
        </w:tc>
        <w:tc>
          <w:tcPr>
            <w:tcW w:w="685" w:type="dxa"/>
            <w:tcBorders>
              <w:top w:val="single" w:sz="8" w:space="0" w:color="auto"/>
              <w:left w:val="nil"/>
              <w:bottom w:val="single" w:sz="8" w:space="0" w:color="auto"/>
              <w:right w:val="nil"/>
            </w:tcBorders>
            <w:shd w:val="clear" w:color="auto" w:fill="auto"/>
            <w:noWrap/>
            <w:vAlign w:val="center"/>
            <w:hideMark/>
          </w:tcPr>
          <w:p w14:paraId="159C8824"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-143,511</w:t>
            </w:r>
          </w:p>
        </w:tc>
      </w:tr>
      <w:tr w:rsidR="003939B9" w:rsidRPr="003939B9" w14:paraId="03984F93" w14:textId="77777777" w:rsidTr="003939B9">
        <w:trPr>
          <w:trHeight w:val="290"/>
        </w:trPr>
        <w:tc>
          <w:tcPr>
            <w:tcW w:w="3685" w:type="dxa"/>
            <w:tcBorders>
              <w:top w:val="nil"/>
              <w:left w:val="nil"/>
              <w:bottom w:val="nil"/>
              <w:right w:val="nil"/>
            </w:tcBorders>
            <w:shd w:val="clear" w:color="auto" w:fill="auto"/>
            <w:noWrap/>
            <w:vAlign w:val="center"/>
            <w:hideMark/>
          </w:tcPr>
          <w:p w14:paraId="226DE3EC"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p>
        </w:tc>
        <w:tc>
          <w:tcPr>
            <w:tcW w:w="762" w:type="dxa"/>
            <w:tcBorders>
              <w:top w:val="nil"/>
              <w:left w:val="nil"/>
              <w:bottom w:val="nil"/>
              <w:right w:val="nil"/>
            </w:tcBorders>
            <w:shd w:val="clear" w:color="auto" w:fill="auto"/>
            <w:noWrap/>
            <w:vAlign w:val="center"/>
            <w:hideMark/>
          </w:tcPr>
          <w:p w14:paraId="6CCD9253"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71" w:type="dxa"/>
            <w:tcBorders>
              <w:top w:val="nil"/>
              <w:left w:val="nil"/>
              <w:bottom w:val="nil"/>
              <w:right w:val="nil"/>
            </w:tcBorders>
            <w:shd w:val="clear" w:color="auto" w:fill="auto"/>
            <w:noWrap/>
            <w:vAlign w:val="center"/>
            <w:hideMark/>
          </w:tcPr>
          <w:p w14:paraId="25735FD5"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762" w:type="dxa"/>
            <w:tcBorders>
              <w:top w:val="nil"/>
              <w:left w:val="nil"/>
              <w:bottom w:val="nil"/>
              <w:right w:val="nil"/>
            </w:tcBorders>
            <w:shd w:val="clear" w:color="auto" w:fill="auto"/>
            <w:noWrap/>
            <w:vAlign w:val="center"/>
            <w:hideMark/>
          </w:tcPr>
          <w:p w14:paraId="56303496"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71" w:type="dxa"/>
            <w:tcBorders>
              <w:top w:val="nil"/>
              <w:left w:val="nil"/>
              <w:bottom w:val="nil"/>
              <w:right w:val="nil"/>
            </w:tcBorders>
            <w:shd w:val="clear" w:color="auto" w:fill="auto"/>
            <w:noWrap/>
            <w:vAlign w:val="center"/>
            <w:hideMark/>
          </w:tcPr>
          <w:p w14:paraId="125E3FE7"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685" w:type="dxa"/>
            <w:tcBorders>
              <w:top w:val="nil"/>
              <w:left w:val="nil"/>
              <w:bottom w:val="nil"/>
              <w:right w:val="nil"/>
            </w:tcBorders>
            <w:shd w:val="clear" w:color="auto" w:fill="auto"/>
            <w:noWrap/>
            <w:vAlign w:val="center"/>
            <w:hideMark/>
          </w:tcPr>
          <w:p w14:paraId="44C6397D" w14:textId="77777777" w:rsidR="003939B9" w:rsidRPr="003939B9" w:rsidRDefault="003939B9" w:rsidP="003939B9">
            <w:pPr>
              <w:spacing w:before="0" w:line="240" w:lineRule="auto"/>
              <w:rPr>
                <w:rFonts w:eastAsia="Times New Roman" w:cs="Times New Roman"/>
                <w:color w:val="auto"/>
                <w:sz w:val="20"/>
                <w:szCs w:val="20"/>
                <w:lang w:eastAsia="en-AU"/>
              </w:rPr>
            </w:pPr>
          </w:p>
        </w:tc>
      </w:tr>
      <w:tr w:rsidR="003939B9" w:rsidRPr="003939B9" w14:paraId="53BC40C3" w14:textId="77777777" w:rsidTr="003939B9">
        <w:trPr>
          <w:trHeight w:val="290"/>
        </w:trPr>
        <w:tc>
          <w:tcPr>
            <w:tcW w:w="4518" w:type="dxa"/>
            <w:gridSpan w:val="3"/>
            <w:tcBorders>
              <w:top w:val="nil"/>
              <w:left w:val="nil"/>
              <w:bottom w:val="nil"/>
              <w:right w:val="nil"/>
            </w:tcBorders>
            <w:shd w:val="clear" w:color="auto" w:fill="auto"/>
            <w:noWrap/>
            <w:vAlign w:val="center"/>
            <w:hideMark/>
          </w:tcPr>
          <w:p w14:paraId="053161BE" w14:textId="77777777" w:rsidR="003939B9" w:rsidRPr="003939B9" w:rsidRDefault="003939B9" w:rsidP="003939B9">
            <w:pPr>
              <w:spacing w:before="0" w:line="240" w:lineRule="auto"/>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Administered liabilities</w:t>
            </w:r>
          </w:p>
        </w:tc>
        <w:tc>
          <w:tcPr>
            <w:tcW w:w="762" w:type="dxa"/>
            <w:tcBorders>
              <w:top w:val="nil"/>
              <w:left w:val="nil"/>
              <w:bottom w:val="nil"/>
              <w:right w:val="nil"/>
            </w:tcBorders>
            <w:shd w:val="clear" w:color="auto" w:fill="auto"/>
            <w:noWrap/>
            <w:vAlign w:val="center"/>
            <w:hideMark/>
          </w:tcPr>
          <w:p w14:paraId="527F775C" w14:textId="77777777" w:rsidR="003939B9" w:rsidRPr="003939B9" w:rsidRDefault="003939B9" w:rsidP="003939B9">
            <w:pPr>
              <w:spacing w:before="0" w:line="240" w:lineRule="auto"/>
              <w:rPr>
                <w:rFonts w:ascii="Meta Pro" w:eastAsia="Times New Roman" w:hAnsi="Meta Pro" w:cs="Calibri"/>
                <w:b/>
                <w:bCs/>
                <w:color w:val="000000"/>
                <w:szCs w:val="18"/>
                <w:lang w:eastAsia="en-AU"/>
              </w:rPr>
            </w:pPr>
          </w:p>
        </w:tc>
        <w:tc>
          <w:tcPr>
            <w:tcW w:w="71" w:type="dxa"/>
            <w:tcBorders>
              <w:top w:val="nil"/>
              <w:left w:val="nil"/>
              <w:bottom w:val="nil"/>
              <w:right w:val="nil"/>
            </w:tcBorders>
            <w:shd w:val="clear" w:color="auto" w:fill="auto"/>
            <w:noWrap/>
            <w:vAlign w:val="center"/>
            <w:hideMark/>
          </w:tcPr>
          <w:p w14:paraId="7F12ED3E"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685" w:type="dxa"/>
            <w:tcBorders>
              <w:top w:val="nil"/>
              <w:left w:val="nil"/>
              <w:bottom w:val="nil"/>
              <w:right w:val="nil"/>
            </w:tcBorders>
            <w:shd w:val="clear" w:color="auto" w:fill="auto"/>
            <w:noWrap/>
            <w:vAlign w:val="center"/>
            <w:hideMark/>
          </w:tcPr>
          <w:p w14:paraId="14246826" w14:textId="77777777" w:rsidR="003939B9" w:rsidRPr="003939B9" w:rsidRDefault="003939B9" w:rsidP="003939B9">
            <w:pPr>
              <w:spacing w:before="0" w:line="240" w:lineRule="auto"/>
              <w:rPr>
                <w:rFonts w:eastAsia="Times New Roman" w:cs="Times New Roman"/>
                <w:color w:val="auto"/>
                <w:sz w:val="20"/>
                <w:szCs w:val="20"/>
                <w:lang w:eastAsia="en-AU"/>
              </w:rPr>
            </w:pPr>
          </w:p>
        </w:tc>
      </w:tr>
      <w:tr w:rsidR="003939B9" w:rsidRPr="003939B9" w14:paraId="38E8738F" w14:textId="77777777" w:rsidTr="003939B9">
        <w:trPr>
          <w:trHeight w:val="290"/>
        </w:trPr>
        <w:tc>
          <w:tcPr>
            <w:tcW w:w="3685" w:type="dxa"/>
            <w:tcBorders>
              <w:top w:val="nil"/>
              <w:left w:val="nil"/>
              <w:bottom w:val="nil"/>
              <w:right w:val="nil"/>
            </w:tcBorders>
            <w:shd w:val="clear" w:color="auto" w:fill="auto"/>
            <w:noWrap/>
            <w:vAlign w:val="center"/>
            <w:hideMark/>
          </w:tcPr>
          <w:p w14:paraId="780D5333" w14:textId="77777777" w:rsidR="003939B9" w:rsidRPr="003939B9" w:rsidRDefault="003939B9" w:rsidP="003939B9">
            <w:pPr>
              <w:spacing w:before="0" w:line="240" w:lineRule="auto"/>
              <w:rPr>
                <w:rFonts w:ascii="Meta Pro" w:eastAsia="Times New Roman" w:hAnsi="Meta Pro" w:cs="Calibri"/>
                <w:i/>
                <w:iCs/>
                <w:color w:val="000000"/>
                <w:szCs w:val="18"/>
                <w:lang w:eastAsia="en-AU"/>
              </w:rPr>
            </w:pPr>
            <w:r w:rsidRPr="003939B9">
              <w:rPr>
                <w:rFonts w:ascii="Meta Pro" w:eastAsia="Times New Roman" w:hAnsi="Meta Pro" w:cs="Calibri"/>
                <w:i/>
                <w:iCs/>
                <w:color w:val="000000"/>
                <w:szCs w:val="18"/>
                <w:lang w:eastAsia="en-AU"/>
              </w:rPr>
              <w:t>Current</w:t>
            </w:r>
          </w:p>
        </w:tc>
        <w:tc>
          <w:tcPr>
            <w:tcW w:w="762" w:type="dxa"/>
            <w:tcBorders>
              <w:top w:val="nil"/>
              <w:left w:val="nil"/>
              <w:bottom w:val="nil"/>
              <w:right w:val="nil"/>
            </w:tcBorders>
            <w:shd w:val="clear" w:color="auto" w:fill="auto"/>
            <w:noWrap/>
            <w:vAlign w:val="center"/>
            <w:hideMark/>
          </w:tcPr>
          <w:p w14:paraId="323DCDFB" w14:textId="77777777" w:rsidR="003939B9" w:rsidRPr="003939B9" w:rsidRDefault="003939B9" w:rsidP="003939B9">
            <w:pPr>
              <w:spacing w:before="0" w:line="240" w:lineRule="auto"/>
              <w:rPr>
                <w:rFonts w:ascii="Meta Pro" w:eastAsia="Times New Roman" w:hAnsi="Meta Pro" w:cs="Calibri"/>
                <w:i/>
                <w:iCs/>
                <w:color w:val="000000"/>
                <w:szCs w:val="18"/>
                <w:lang w:eastAsia="en-AU"/>
              </w:rPr>
            </w:pPr>
          </w:p>
        </w:tc>
        <w:tc>
          <w:tcPr>
            <w:tcW w:w="71" w:type="dxa"/>
            <w:tcBorders>
              <w:top w:val="nil"/>
              <w:left w:val="nil"/>
              <w:bottom w:val="nil"/>
              <w:right w:val="nil"/>
            </w:tcBorders>
            <w:shd w:val="clear" w:color="auto" w:fill="auto"/>
            <w:noWrap/>
            <w:vAlign w:val="center"/>
            <w:hideMark/>
          </w:tcPr>
          <w:p w14:paraId="0813D2CE"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762" w:type="dxa"/>
            <w:tcBorders>
              <w:top w:val="nil"/>
              <w:left w:val="nil"/>
              <w:bottom w:val="nil"/>
              <w:right w:val="nil"/>
            </w:tcBorders>
            <w:shd w:val="clear" w:color="auto" w:fill="auto"/>
            <w:noWrap/>
            <w:vAlign w:val="center"/>
            <w:hideMark/>
          </w:tcPr>
          <w:p w14:paraId="7B8ADA49"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71" w:type="dxa"/>
            <w:tcBorders>
              <w:top w:val="nil"/>
              <w:left w:val="nil"/>
              <w:bottom w:val="nil"/>
              <w:right w:val="nil"/>
            </w:tcBorders>
            <w:shd w:val="clear" w:color="auto" w:fill="auto"/>
            <w:noWrap/>
            <w:vAlign w:val="center"/>
            <w:hideMark/>
          </w:tcPr>
          <w:p w14:paraId="18E51E3B"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685" w:type="dxa"/>
            <w:tcBorders>
              <w:top w:val="nil"/>
              <w:left w:val="nil"/>
              <w:bottom w:val="nil"/>
              <w:right w:val="nil"/>
            </w:tcBorders>
            <w:shd w:val="clear" w:color="auto" w:fill="auto"/>
            <w:noWrap/>
            <w:vAlign w:val="center"/>
            <w:hideMark/>
          </w:tcPr>
          <w:p w14:paraId="28C56CB7" w14:textId="77777777" w:rsidR="003939B9" w:rsidRPr="003939B9" w:rsidRDefault="003939B9" w:rsidP="003939B9">
            <w:pPr>
              <w:spacing w:before="0" w:line="240" w:lineRule="auto"/>
              <w:rPr>
                <w:rFonts w:eastAsia="Times New Roman" w:cs="Times New Roman"/>
                <w:color w:val="auto"/>
                <w:sz w:val="20"/>
                <w:szCs w:val="20"/>
                <w:lang w:eastAsia="en-AU"/>
              </w:rPr>
            </w:pPr>
          </w:p>
        </w:tc>
      </w:tr>
      <w:tr w:rsidR="003939B9" w:rsidRPr="003939B9" w14:paraId="4D2A1A48" w14:textId="77777777" w:rsidTr="003939B9">
        <w:trPr>
          <w:trHeight w:val="290"/>
        </w:trPr>
        <w:tc>
          <w:tcPr>
            <w:tcW w:w="3685" w:type="dxa"/>
            <w:tcBorders>
              <w:top w:val="nil"/>
              <w:left w:val="nil"/>
              <w:bottom w:val="nil"/>
              <w:right w:val="nil"/>
            </w:tcBorders>
            <w:shd w:val="clear" w:color="auto" w:fill="auto"/>
            <w:noWrap/>
            <w:vAlign w:val="center"/>
            <w:hideMark/>
          </w:tcPr>
          <w:p w14:paraId="48A60EF0" w14:textId="77777777" w:rsidR="003939B9" w:rsidRPr="003939B9" w:rsidRDefault="003939B9" w:rsidP="003939B9">
            <w:pPr>
              <w:spacing w:before="0" w:line="240" w:lineRule="auto"/>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Payables</w:t>
            </w:r>
          </w:p>
        </w:tc>
        <w:tc>
          <w:tcPr>
            <w:tcW w:w="762" w:type="dxa"/>
            <w:tcBorders>
              <w:top w:val="nil"/>
              <w:left w:val="nil"/>
              <w:bottom w:val="nil"/>
              <w:right w:val="nil"/>
            </w:tcBorders>
            <w:shd w:val="clear" w:color="auto" w:fill="auto"/>
            <w:noWrap/>
            <w:vAlign w:val="center"/>
            <w:hideMark/>
          </w:tcPr>
          <w:p w14:paraId="2597ECCC"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166,378</w:t>
            </w:r>
          </w:p>
        </w:tc>
        <w:tc>
          <w:tcPr>
            <w:tcW w:w="71" w:type="dxa"/>
            <w:tcBorders>
              <w:top w:val="nil"/>
              <w:left w:val="nil"/>
              <w:bottom w:val="nil"/>
              <w:right w:val="nil"/>
            </w:tcBorders>
            <w:shd w:val="clear" w:color="auto" w:fill="auto"/>
            <w:noWrap/>
            <w:vAlign w:val="center"/>
            <w:hideMark/>
          </w:tcPr>
          <w:p w14:paraId="50641F42"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p>
        </w:tc>
        <w:tc>
          <w:tcPr>
            <w:tcW w:w="762" w:type="dxa"/>
            <w:tcBorders>
              <w:top w:val="nil"/>
              <w:left w:val="nil"/>
              <w:bottom w:val="nil"/>
              <w:right w:val="nil"/>
            </w:tcBorders>
            <w:shd w:val="clear" w:color="auto" w:fill="auto"/>
            <w:noWrap/>
            <w:vAlign w:val="center"/>
            <w:hideMark/>
          </w:tcPr>
          <w:p w14:paraId="2C0FF5F4"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171,480</w:t>
            </w:r>
          </w:p>
        </w:tc>
        <w:tc>
          <w:tcPr>
            <w:tcW w:w="71" w:type="dxa"/>
            <w:tcBorders>
              <w:top w:val="nil"/>
              <w:left w:val="nil"/>
              <w:bottom w:val="nil"/>
              <w:right w:val="nil"/>
            </w:tcBorders>
            <w:shd w:val="clear" w:color="auto" w:fill="auto"/>
            <w:noWrap/>
            <w:vAlign w:val="center"/>
            <w:hideMark/>
          </w:tcPr>
          <w:p w14:paraId="7B5B5659"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p>
        </w:tc>
        <w:tc>
          <w:tcPr>
            <w:tcW w:w="685" w:type="dxa"/>
            <w:tcBorders>
              <w:top w:val="nil"/>
              <w:left w:val="nil"/>
              <w:bottom w:val="nil"/>
              <w:right w:val="nil"/>
            </w:tcBorders>
            <w:shd w:val="clear" w:color="auto" w:fill="auto"/>
            <w:noWrap/>
            <w:vAlign w:val="center"/>
            <w:hideMark/>
          </w:tcPr>
          <w:p w14:paraId="7A0C83D2"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5,102</w:t>
            </w:r>
          </w:p>
        </w:tc>
      </w:tr>
      <w:tr w:rsidR="003939B9" w:rsidRPr="003939B9" w14:paraId="4A1159F9" w14:textId="77777777" w:rsidTr="003939B9">
        <w:trPr>
          <w:trHeight w:val="300"/>
        </w:trPr>
        <w:tc>
          <w:tcPr>
            <w:tcW w:w="3685" w:type="dxa"/>
            <w:tcBorders>
              <w:top w:val="nil"/>
              <w:left w:val="nil"/>
              <w:bottom w:val="nil"/>
              <w:right w:val="nil"/>
            </w:tcBorders>
            <w:shd w:val="clear" w:color="auto" w:fill="auto"/>
            <w:noWrap/>
            <w:vAlign w:val="center"/>
            <w:hideMark/>
          </w:tcPr>
          <w:p w14:paraId="633F13E5" w14:textId="77777777" w:rsidR="003939B9" w:rsidRPr="003939B9" w:rsidRDefault="003939B9" w:rsidP="003939B9">
            <w:pPr>
              <w:spacing w:before="0" w:line="240" w:lineRule="auto"/>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Unearned revenue</w:t>
            </w:r>
          </w:p>
        </w:tc>
        <w:tc>
          <w:tcPr>
            <w:tcW w:w="762" w:type="dxa"/>
            <w:tcBorders>
              <w:top w:val="nil"/>
              <w:left w:val="nil"/>
              <w:bottom w:val="nil"/>
              <w:right w:val="nil"/>
            </w:tcBorders>
            <w:shd w:val="clear" w:color="auto" w:fill="auto"/>
            <w:noWrap/>
            <w:vAlign w:val="center"/>
            <w:hideMark/>
          </w:tcPr>
          <w:p w14:paraId="05EB2CEF"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5,921</w:t>
            </w:r>
          </w:p>
        </w:tc>
        <w:tc>
          <w:tcPr>
            <w:tcW w:w="71" w:type="dxa"/>
            <w:tcBorders>
              <w:top w:val="nil"/>
              <w:left w:val="nil"/>
              <w:bottom w:val="nil"/>
              <w:right w:val="nil"/>
            </w:tcBorders>
            <w:shd w:val="clear" w:color="auto" w:fill="auto"/>
            <w:noWrap/>
            <w:vAlign w:val="center"/>
            <w:hideMark/>
          </w:tcPr>
          <w:p w14:paraId="2A278027"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p>
        </w:tc>
        <w:tc>
          <w:tcPr>
            <w:tcW w:w="762" w:type="dxa"/>
            <w:tcBorders>
              <w:top w:val="nil"/>
              <w:left w:val="nil"/>
              <w:bottom w:val="nil"/>
              <w:right w:val="nil"/>
            </w:tcBorders>
            <w:shd w:val="clear" w:color="auto" w:fill="auto"/>
            <w:noWrap/>
            <w:vAlign w:val="center"/>
            <w:hideMark/>
          </w:tcPr>
          <w:p w14:paraId="486C1BE7"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6,119</w:t>
            </w:r>
          </w:p>
        </w:tc>
        <w:tc>
          <w:tcPr>
            <w:tcW w:w="71" w:type="dxa"/>
            <w:tcBorders>
              <w:top w:val="nil"/>
              <w:left w:val="nil"/>
              <w:bottom w:val="nil"/>
              <w:right w:val="nil"/>
            </w:tcBorders>
            <w:shd w:val="clear" w:color="auto" w:fill="auto"/>
            <w:noWrap/>
            <w:vAlign w:val="center"/>
            <w:hideMark/>
          </w:tcPr>
          <w:p w14:paraId="76774E8C"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p>
        </w:tc>
        <w:tc>
          <w:tcPr>
            <w:tcW w:w="685" w:type="dxa"/>
            <w:tcBorders>
              <w:top w:val="nil"/>
              <w:left w:val="nil"/>
              <w:bottom w:val="nil"/>
              <w:right w:val="nil"/>
            </w:tcBorders>
            <w:shd w:val="clear" w:color="auto" w:fill="auto"/>
            <w:noWrap/>
            <w:vAlign w:val="center"/>
            <w:hideMark/>
          </w:tcPr>
          <w:p w14:paraId="5A0D44B2"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198</w:t>
            </w:r>
          </w:p>
        </w:tc>
      </w:tr>
      <w:tr w:rsidR="003939B9" w:rsidRPr="003939B9" w14:paraId="3BE5E695" w14:textId="77777777" w:rsidTr="003939B9">
        <w:trPr>
          <w:trHeight w:val="300"/>
        </w:trPr>
        <w:tc>
          <w:tcPr>
            <w:tcW w:w="3685" w:type="dxa"/>
            <w:tcBorders>
              <w:top w:val="single" w:sz="8" w:space="0" w:color="auto"/>
              <w:left w:val="nil"/>
              <w:bottom w:val="single" w:sz="8" w:space="0" w:color="auto"/>
              <w:right w:val="nil"/>
            </w:tcBorders>
            <w:shd w:val="clear" w:color="auto" w:fill="auto"/>
            <w:noWrap/>
            <w:vAlign w:val="center"/>
            <w:hideMark/>
          </w:tcPr>
          <w:p w14:paraId="16B58239" w14:textId="77777777" w:rsidR="003939B9" w:rsidRPr="003939B9" w:rsidRDefault="003939B9" w:rsidP="003939B9">
            <w:pPr>
              <w:spacing w:before="0" w:line="240" w:lineRule="auto"/>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Total liabilities</w:t>
            </w:r>
          </w:p>
        </w:tc>
        <w:tc>
          <w:tcPr>
            <w:tcW w:w="762" w:type="dxa"/>
            <w:tcBorders>
              <w:top w:val="single" w:sz="8" w:space="0" w:color="auto"/>
              <w:left w:val="nil"/>
              <w:bottom w:val="single" w:sz="8" w:space="0" w:color="auto"/>
              <w:right w:val="nil"/>
            </w:tcBorders>
            <w:shd w:val="clear" w:color="auto" w:fill="auto"/>
            <w:noWrap/>
            <w:vAlign w:val="center"/>
            <w:hideMark/>
          </w:tcPr>
          <w:p w14:paraId="4C51733D"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172,299</w:t>
            </w:r>
          </w:p>
        </w:tc>
        <w:tc>
          <w:tcPr>
            <w:tcW w:w="71" w:type="dxa"/>
            <w:tcBorders>
              <w:top w:val="single" w:sz="8" w:space="0" w:color="auto"/>
              <w:left w:val="nil"/>
              <w:bottom w:val="single" w:sz="8" w:space="0" w:color="auto"/>
              <w:right w:val="nil"/>
            </w:tcBorders>
            <w:shd w:val="clear" w:color="auto" w:fill="auto"/>
            <w:noWrap/>
            <w:vAlign w:val="center"/>
            <w:hideMark/>
          </w:tcPr>
          <w:p w14:paraId="6BBEBD47"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 </w:t>
            </w:r>
          </w:p>
        </w:tc>
        <w:tc>
          <w:tcPr>
            <w:tcW w:w="762" w:type="dxa"/>
            <w:tcBorders>
              <w:top w:val="single" w:sz="8" w:space="0" w:color="auto"/>
              <w:left w:val="nil"/>
              <w:bottom w:val="single" w:sz="8" w:space="0" w:color="auto"/>
              <w:right w:val="nil"/>
            </w:tcBorders>
            <w:shd w:val="clear" w:color="auto" w:fill="auto"/>
            <w:noWrap/>
            <w:vAlign w:val="center"/>
            <w:hideMark/>
          </w:tcPr>
          <w:p w14:paraId="0F704FFF"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177,599</w:t>
            </w:r>
          </w:p>
        </w:tc>
        <w:tc>
          <w:tcPr>
            <w:tcW w:w="71" w:type="dxa"/>
            <w:tcBorders>
              <w:top w:val="single" w:sz="8" w:space="0" w:color="auto"/>
              <w:left w:val="nil"/>
              <w:bottom w:val="single" w:sz="8" w:space="0" w:color="auto"/>
              <w:right w:val="nil"/>
            </w:tcBorders>
            <w:shd w:val="clear" w:color="auto" w:fill="auto"/>
            <w:noWrap/>
            <w:vAlign w:val="center"/>
            <w:hideMark/>
          </w:tcPr>
          <w:p w14:paraId="62B99F35"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 </w:t>
            </w:r>
          </w:p>
        </w:tc>
        <w:tc>
          <w:tcPr>
            <w:tcW w:w="685" w:type="dxa"/>
            <w:tcBorders>
              <w:top w:val="single" w:sz="8" w:space="0" w:color="auto"/>
              <w:left w:val="nil"/>
              <w:bottom w:val="single" w:sz="8" w:space="0" w:color="auto"/>
              <w:right w:val="nil"/>
            </w:tcBorders>
            <w:shd w:val="clear" w:color="auto" w:fill="auto"/>
            <w:noWrap/>
            <w:vAlign w:val="center"/>
            <w:hideMark/>
          </w:tcPr>
          <w:p w14:paraId="061DAF97"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5,300</w:t>
            </w:r>
          </w:p>
        </w:tc>
      </w:tr>
      <w:tr w:rsidR="003939B9" w:rsidRPr="003939B9" w14:paraId="15B37885" w14:textId="77777777" w:rsidTr="003939B9">
        <w:trPr>
          <w:trHeight w:val="290"/>
        </w:trPr>
        <w:tc>
          <w:tcPr>
            <w:tcW w:w="3685" w:type="dxa"/>
            <w:tcBorders>
              <w:top w:val="nil"/>
              <w:left w:val="nil"/>
              <w:bottom w:val="nil"/>
              <w:right w:val="nil"/>
            </w:tcBorders>
            <w:shd w:val="clear" w:color="auto" w:fill="auto"/>
            <w:noWrap/>
            <w:vAlign w:val="center"/>
            <w:hideMark/>
          </w:tcPr>
          <w:p w14:paraId="7DCBBAD7"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p>
        </w:tc>
        <w:tc>
          <w:tcPr>
            <w:tcW w:w="762" w:type="dxa"/>
            <w:tcBorders>
              <w:top w:val="nil"/>
              <w:left w:val="nil"/>
              <w:bottom w:val="nil"/>
              <w:right w:val="nil"/>
            </w:tcBorders>
            <w:shd w:val="clear" w:color="auto" w:fill="auto"/>
            <w:noWrap/>
            <w:vAlign w:val="center"/>
            <w:hideMark/>
          </w:tcPr>
          <w:p w14:paraId="0BCBCCB6"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71" w:type="dxa"/>
            <w:tcBorders>
              <w:top w:val="nil"/>
              <w:left w:val="nil"/>
              <w:bottom w:val="nil"/>
              <w:right w:val="nil"/>
            </w:tcBorders>
            <w:shd w:val="clear" w:color="auto" w:fill="auto"/>
            <w:noWrap/>
            <w:vAlign w:val="center"/>
            <w:hideMark/>
          </w:tcPr>
          <w:p w14:paraId="2479064F"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762" w:type="dxa"/>
            <w:tcBorders>
              <w:top w:val="nil"/>
              <w:left w:val="nil"/>
              <w:bottom w:val="nil"/>
              <w:right w:val="nil"/>
            </w:tcBorders>
            <w:shd w:val="clear" w:color="auto" w:fill="auto"/>
            <w:noWrap/>
            <w:vAlign w:val="center"/>
            <w:hideMark/>
          </w:tcPr>
          <w:p w14:paraId="51F3D446"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71" w:type="dxa"/>
            <w:tcBorders>
              <w:top w:val="nil"/>
              <w:left w:val="nil"/>
              <w:bottom w:val="nil"/>
              <w:right w:val="nil"/>
            </w:tcBorders>
            <w:shd w:val="clear" w:color="auto" w:fill="auto"/>
            <w:noWrap/>
            <w:vAlign w:val="center"/>
            <w:hideMark/>
          </w:tcPr>
          <w:p w14:paraId="12235787"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685" w:type="dxa"/>
            <w:tcBorders>
              <w:top w:val="nil"/>
              <w:left w:val="nil"/>
              <w:bottom w:val="nil"/>
              <w:right w:val="nil"/>
            </w:tcBorders>
            <w:shd w:val="clear" w:color="auto" w:fill="auto"/>
            <w:noWrap/>
            <w:vAlign w:val="center"/>
            <w:hideMark/>
          </w:tcPr>
          <w:p w14:paraId="70E17E34" w14:textId="77777777" w:rsidR="003939B9" w:rsidRPr="003939B9" w:rsidRDefault="003939B9" w:rsidP="003939B9">
            <w:pPr>
              <w:spacing w:before="0" w:line="240" w:lineRule="auto"/>
              <w:rPr>
                <w:rFonts w:eastAsia="Times New Roman" w:cs="Times New Roman"/>
                <w:color w:val="auto"/>
                <w:sz w:val="20"/>
                <w:szCs w:val="20"/>
                <w:lang w:eastAsia="en-AU"/>
              </w:rPr>
            </w:pPr>
          </w:p>
        </w:tc>
      </w:tr>
      <w:tr w:rsidR="003939B9" w:rsidRPr="003939B9" w14:paraId="3E70ADC0" w14:textId="77777777" w:rsidTr="003939B9">
        <w:trPr>
          <w:trHeight w:val="300"/>
        </w:trPr>
        <w:tc>
          <w:tcPr>
            <w:tcW w:w="3685" w:type="dxa"/>
            <w:tcBorders>
              <w:top w:val="nil"/>
              <w:left w:val="nil"/>
              <w:bottom w:val="double" w:sz="6" w:space="0" w:color="auto"/>
              <w:right w:val="nil"/>
            </w:tcBorders>
            <w:shd w:val="clear" w:color="auto" w:fill="auto"/>
            <w:noWrap/>
            <w:vAlign w:val="center"/>
            <w:hideMark/>
          </w:tcPr>
          <w:p w14:paraId="212341E3" w14:textId="77777777" w:rsidR="003939B9" w:rsidRPr="003939B9" w:rsidRDefault="003939B9" w:rsidP="003939B9">
            <w:pPr>
              <w:spacing w:before="0" w:line="240" w:lineRule="auto"/>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NET ADMINISTERED ASSETS</w:t>
            </w:r>
          </w:p>
        </w:tc>
        <w:tc>
          <w:tcPr>
            <w:tcW w:w="762" w:type="dxa"/>
            <w:tcBorders>
              <w:top w:val="nil"/>
              <w:left w:val="nil"/>
              <w:bottom w:val="double" w:sz="6" w:space="0" w:color="auto"/>
              <w:right w:val="nil"/>
            </w:tcBorders>
            <w:shd w:val="clear" w:color="auto" w:fill="auto"/>
            <w:noWrap/>
            <w:vAlign w:val="center"/>
            <w:hideMark/>
          </w:tcPr>
          <w:p w14:paraId="60A36473"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272,324</w:t>
            </w:r>
          </w:p>
        </w:tc>
        <w:tc>
          <w:tcPr>
            <w:tcW w:w="71" w:type="dxa"/>
            <w:tcBorders>
              <w:top w:val="nil"/>
              <w:left w:val="nil"/>
              <w:bottom w:val="double" w:sz="6" w:space="0" w:color="auto"/>
              <w:right w:val="nil"/>
            </w:tcBorders>
            <w:shd w:val="clear" w:color="auto" w:fill="auto"/>
            <w:noWrap/>
            <w:vAlign w:val="center"/>
            <w:hideMark/>
          </w:tcPr>
          <w:p w14:paraId="77517873"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 </w:t>
            </w:r>
          </w:p>
        </w:tc>
        <w:tc>
          <w:tcPr>
            <w:tcW w:w="762" w:type="dxa"/>
            <w:tcBorders>
              <w:top w:val="nil"/>
              <w:left w:val="nil"/>
              <w:bottom w:val="double" w:sz="6" w:space="0" w:color="auto"/>
              <w:right w:val="nil"/>
            </w:tcBorders>
            <w:shd w:val="clear" w:color="auto" w:fill="auto"/>
            <w:noWrap/>
            <w:vAlign w:val="center"/>
            <w:hideMark/>
          </w:tcPr>
          <w:p w14:paraId="0B86CA78"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123,513</w:t>
            </w:r>
          </w:p>
        </w:tc>
        <w:tc>
          <w:tcPr>
            <w:tcW w:w="71" w:type="dxa"/>
            <w:tcBorders>
              <w:top w:val="nil"/>
              <w:left w:val="nil"/>
              <w:bottom w:val="double" w:sz="6" w:space="0" w:color="auto"/>
              <w:right w:val="nil"/>
            </w:tcBorders>
            <w:shd w:val="clear" w:color="auto" w:fill="auto"/>
            <w:noWrap/>
            <w:vAlign w:val="center"/>
            <w:hideMark/>
          </w:tcPr>
          <w:p w14:paraId="4D120648"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 </w:t>
            </w:r>
          </w:p>
        </w:tc>
        <w:tc>
          <w:tcPr>
            <w:tcW w:w="685" w:type="dxa"/>
            <w:tcBorders>
              <w:top w:val="nil"/>
              <w:left w:val="nil"/>
              <w:bottom w:val="double" w:sz="6" w:space="0" w:color="auto"/>
              <w:right w:val="nil"/>
            </w:tcBorders>
            <w:shd w:val="clear" w:color="auto" w:fill="auto"/>
            <w:noWrap/>
            <w:vAlign w:val="center"/>
            <w:hideMark/>
          </w:tcPr>
          <w:p w14:paraId="4787C3D5"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-148,811</w:t>
            </w:r>
          </w:p>
        </w:tc>
      </w:tr>
      <w:tr w:rsidR="003939B9" w:rsidRPr="003939B9" w14:paraId="5E956073" w14:textId="77777777" w:rsidTr="003939B9">
        <w:trPr>
          <w:trHeight w:val="300"/>
        </w:trPr>
        <w:tc>
          <w:tcPr>
            <w:tcW w:w="3685" w:type="dxa"/>
            <w:tcBorders>
              <w:top w:val="nil"/>
              <w:left w:val="nil"/>
              <w:bottom w:val="nil"/>
              <w:right w:val="nil"/>
            </w:tcBorders>
            <w:shd w:val="clear" w:color="auto" w:fill="auto"/>
            <w:noWrap/>
            <w:vAlign w:val="center"/>
            <w:hideMark/>
          </w:tcPr>
          <w:p w14:paraId="03C683C2"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p>
        </w:tc>
        <w:tc>
          <w:tcPr>
            <w:tcW w:w="762" w:type="dxa"/>
            <w:tcBorders>
              <w:top w:val="nil"/>
              <w:left w:val="nil"/>
              <w:bottom w:val="nil"/>
              <w:right w:val="nil"/>
            </w:tcBorders>
            <w:shd w:val="clear" w:color="auto" w:fill="auto"/>
            <w:noWrap/>
            <w:vAlign w:val="center"/>
            <w:hideMark/>
          </w:tcPr>
          <w:p w14:paraId="71B95741"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71" w:type="dxa"/>
            <w:tcBorders>
              <w:top w:val="nil"/>
              <w:left w:val="nil"/>
              <w:bottom w:val="nil"/>
              <w:right w:val="nil"/>
            </w:tcBorders>
            <w:shd w:val="clear" w:color="auto" w:fill="auto"/>
            <w:noWrap/>
            <w:vAlign w:val="center"/>
            <w:hideMark/>
          </w:tcPr>
          <w:p w14:paraId="6E555824"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762" w:type="dxa"/>
            <w:tcBorders>
              <w:top w:val="nil"/>
              <w:left w:val="nil"/>
              <w:bottom w:val="nil"/>
              <w:right w:val="nil"/>
            </w:tcBorders>
            <w:shd w:val="clear" w:color="auto" w:fill="auto"/>
            <w:noWrap/>
            <w:vAlign w:val="center"/>
            <w:hideMark/>
          </w:tcPr>
          <w:p w14:paraId="5B233CE9"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71" w:type="dxa"/>
            <w:tcBorders>
              <w:top w:val="nil"/>
              <w:left w:val="nil"/>
              <w:bottom w:val="nil"/>
              <w:right w:val="nil"/>
            </w:tcBorders>
            <w:shd w:val="clear" w:color="auto" w:fill="auto"/>
            <w:noWrap/>
            <w:vAlign w:val="center"/>
            <w:hideMark/>
          </w:tcPr>
          <w:p w14:paraId="71E49CC5"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685" w:type="dxa"/>
            <w:tcBorders>
              <w:top w:val="nil"/>
              <w:left w:val="nil"/>
              <w:bottom w:val="nil"/>
              <w:right w:val="nil"/>
            </w:tcBorders>
            <w:shd w:val="clear" w:color="auto" w:fill="auto"/>
            <w:noWrap/>
            <w:vAlign w:val="center"/>
            <w:hideMark/>
          </w:tcPr>
          <w:p w14:paraId="6A5F2182" w14:textId="77777777" w:rsidR="003939B9" w:rsidRPr="003939B9" w:rsidRDefault="003939B9" w:rsidP="003939B9">
            <w:pPr>
              <w:spacing w:before="0" w:line="240" w:lineRule="auto"/>
              <w:rPr>
                <w:rFonts w:eastAsia="Times New Roman" w:cs="Times New Roman"/>
                <w:color w:val="auto"/>
                <w:sz w:val="20"/>
                <w:szCs w:val="20"/>
                <w:lang w:eastAsia="en-AU"/>
              </w:rPr>
            </w:pPr>
          </w:p>
        </w:tc>
      </w:tr>
      <w:tr w:rsidR="003939B9" w:rsidRPr="003939B9" w14:paraId="3DC4D91D" w14:textId="77777777" w:rsidTr="003939B9">
        <w:trPr>
          <w:trHeight w:val="300"/>
        </w:trPr>
        <w:tc>
          <w:tcPr>
            <w:tcW w:w="3685" w:type="dxa"/>
            <w:tcBorders>
              <w:top w:val="nil"/>
              <w:left w:val="nil"/>
              <w:bottom w:val="nil"/>
              <w:right w:val="nil"/>
            </w:tcBorders>
            <w:shd w:val="clear" w:color="auto" w:fill="auto"/>
            <w:noWrap/>
            <w:vAlign w:val="center"/>
            <w:hideMark/>
          </w:tcPr>
          <w:p w14:paraId="23A20F05"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762" w:type="dxa"/>
            <w:tcBorders>
              <w:top w:val="nil"/>
              <w:left w:val="nil"/>
              <w:bottom w:val="nil"/>
              <w:right w:val="nil"/>
            </w:tcBorders>
            <w:shd w:val="clear" w:color="auto" w:fill="auto"/>
            <w:noWrap/>
            <w:vAlign w:val="center"/>
            <w:hideMark/>
          </w:tcPr>
          <w:p w14:paraId="1B26F43B"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71" w:type="dxa"/>
            <w:tcBorders>
              <w:top w:val="nil"/>
              <w:left w:val="nil"/>
              <w:bottom w:val="nil"/>
              <w:right w:val="nil"/>
            </w:tcBorders>
            <w:shd w:val="clear" w:color="auto" w:fill="auto"/>
            <w:noWrap/>
            <w:vAlign w:val="center"/>
            <w:hideMark/>
          </w:tcPr>
          <w:p w14:paraId="407444DD"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762" w:type="dxa"/>
            <w:tcBorders>
              <w:top w:val="nil"/>
              <w:left w:val="nil"/>
              <w:bottom w:val="nil"/>
              <w:right w:val="nil"/>
            </w:tcBorders>
            <w:shd w:val="clear" w:color="auto" w:fill="auto"/>
            <w:noWrap/>
            <w:vAlign w:val="center"/>
            <w:hideMark/>
          </w:tcPr>
          <w:p w14:paraId="4782AC6C"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71" w:type="dxa"/>
            <w:tcBorders>
              <w:top w:val="nil"/>
              <w:left w:val="nil"/>
              <w:bottom w:val="nil"/>
              <w:right w:val="nil"/>
            </w:tcBorders>
            <w:shd w:val="clear" w:color="auto" w:fill="auto"/>
            <w:noWrap/>
            <w:vAlign w:val="center"/>
            <w:hideMark/>
          </w:tcPr>
          <w:p w14:paraId="7B1D98C7" w14:textId="77777777" w:rsidR="003939B9" w:rsidRPr="003939B9" w:rsidRDefault="003939B9" w:rsidP="003939B9">
            <w:pPr>
              <w:spacing w:before="0" w:line="240" w:lineRule="auto"/>
              <w:rPr>
                <w:rFonts w:eastAsia="Times New Roman" w:cs="Times New Roman"/>
                <w:color w:val="auto"/>
                <w:sz w:val="20"/>
                <w:szCs w:val="20"/>
                <w:lang w:eastAsia="en-AU"/>
              </w:rPr>
            </w:pPr>
          </w:p>
        </w:tc>
        <w:tc>
          <w:tcPr>
            <w:tcW w:w="685" w:type="dxa"/>
            <w:tcBorders>
              <w:top w:val="nil"/>
              <w:left w:val="nil"/>
              <w:bottom w:val="nil"/>
              <w:right w:val="nil"/>
            </w:tcBorders>
            <w:shd w:val="clear" w:color="auto" w:fill="auto"/>
            <w:noWrap/>
            <w:vAlign w:val="center"/>
            <w:hideMark/>
          </w:tcPr>
          <w:p w14:paraId="397AF990" w14:textId="77777777" w:rsidR="003939B9" w:rsidRPr="003939B9" w:rsidRDefault="003939B9" w:rsidP="003939B9">
            <w:pPr>
              <w:spacing w:before="0" w:line="240" w:lineRule="auto"/>
              <w:rPr>
                <w:rFonts w:eastAsia="Times New Roman" w:cs="Times New Roman"/>
                <w:color w:val="auto"/>
                <w:sz w:val="20"/>
                <w:szCs w:val="20"/>
                <w:lang w:eastAsia="en-AU"/>
              </w:rPr>
            </w:pPr>
          </w:p>
        </w:tc>
      </w:tr>
      <w:tr w:rsidR="003939B9" w:rsidRPr="003939B9" w14:paraId="357B54E9" w14:textId="77777777" w:rsidTr="003939B9">
        <w:trPr>
          <w:trHeight w:val="300"/>
        </w:trPr>
        <w:tc>
          <w:tcPr>
            <w:tcW w:w="3685" w:type="dxa"/>
            <w:tcBorders>
              <w:top w:val="single" w:sz="8" w:space="0" w:color="auto"/>
              <w:left w:val="nil"/>
              <w:bottom w:val="double" w:sz="6" w:space="0" w:color="auto"/>
              <w:right w:val="nil"/>
            </w:tcBorders>
            <w:shd w:val="clear" w:color="auto" w:fill="auto"/>
            <w:noWrap/>
            <w:vAlign w:val="center"/>
            <w:hideMark/>
          </w:tcPr>
          <w:p w14:paraId="43C9F22B" w14:textId="77777777" w:rsidR="003939B9" w:rsidRPr="003939B9" w:rsidRDefault="003939B9" w:rsidP="003939B9">
            <w:pPr>
              <w:spacing w:before="0" w:line="240" w:lineRule="auto"/>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TOTAL ADMINISTERED EQUITY</w:t>
            </w:r>
          </w:p>
        </w:tc>
        <w:tc>
          <w:tcPr>
            <w:tcW w:w="762" w:type="dxa"/>
            <w:tcBorders>
              <w:top w:val="single" w:sz="8" w:space="0" w:color="auto"/>
              <w:left w:val="nil"/>
              <w:bottom w:val="double" w:sz="6" w:space="0" w:color="auto"/>
              <w:right w:val="nil"/>
            </w:tcBorders>
            <w:shd w:val="clear" w:color="auto" w:fill="auto"/>
            <w:noWrap/>
            <w:vAlign w:val="center"/>
            <w:hideMark/>
          </w:tcPr>
          <w:p w14:paraId="355C4426"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272,324</w:t>
            </w:r>
          </w:p>
        </w:tc>
        <w:tc>
          <w:tcPr>
            <w:tcW w:w="71" w:type="dxa"/>
            <w:tcBorders>
              <w:top w:val="single" w:sz="8" w:space="0" w:color="auto"/>
              <w:left w:val="nil"/>
              <w:bottom w:val="double" w:sz="6" w:space="0" w:color="auto"/>
              <w:right w:val="nil"/>
            </w:tcBorders>
            <w:shd w:val="clear" w:color="auto" w:fill="auto"/>
            <w:noWrap/>
            <w:vAlign w:val="center"/>
            <w:hideMark/>
          </w:tcPr>
          <w:p w14:paraId="2FAF2831"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 </w:t>
            </w:r>
          </w:p>
        </w:tc>
        <w:tc>
          <w:tcPr>
            <w:tcW w:w="762" w:type="dxa"/>
            <w:tcBorders>
              <w:top w:val="single" w:sz="8" w:space="0" w:color="auto"/>
              <w:left w:val="nil"/>
              <w:bottom w:val="double" w:sz="6" w:space="0" w:color="auto"/>
              <w:right w:val="nil"/>
            </w:tcBorders>
            <w:shd w:val="clear" w:color="auto" w:fill="auto"/>
            <w:noWrap/>
            <w:vAlign w:val="center"/>
            <w:hideMark/>
          </w:tcPr>
          <w:p w14:paraId="6DA5B717"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123,513</w:t>
            </w:r>
          </w:p>
        </w:tc>
        <w:tc>
          <w:tcPr>
            <w:tcW w:w="71" w:type="dxa"/>
            <w:tcBorders>
              <w:top w:val="single" w:sz="8" w:space="0" w:color="auto"/>
              <w:left w:val="nil"/>
              <w:bottom w:val="double" w:sz="6" w:space="0" w:color="auto"/>
              <w:right w:val="nil"/>
            </w:tcBorders>
            <w:shd w:val="clear" w:color="auto" w:fill="auto"/>
            <w:noWrap/>
            <w:vAlign w:val="center"/>
            <w:hideMark/>
          </w:tcPr>
          <w:p w14:paraId="096DDEA7" w14:textId="77777777" w:rsidR="003939B9" w:rsidRPr="003939B9" w:rsidRDefault="003939B9" w:rsidP="003939B9">
            <w:pPr>
              <w:spacing w:before="0" w:line="240" w:lineRule="auto"/>
              <w:jc w:val="right"/>
              <w:rPr>
                <w:rFonts w:ascii="Meta Pro" w:eastAsia="Times New Roman" w:hAnsi="Meta Pro" w:cs="Calibri"/>
                <w:color w:val="000000"/>
                <w:szCs w:val="18"/>
                <w:lang w:eastAsia="en-AU"/>
              </w:rPr>
            </w:pPr>
            <w:r w:rsidRPr="003939B9">
              <w:rPr>
                <w:rFonts w:ascii="Meta Pro" w:eastAsia="Times New Roman" w:hAnsi="Meta Pro" w:cs="Calibri"/>
                <w:color w:val="000000"/>
                <w:szCs w:val="18"/>
                <w:lang w:eastAsia="en-AU"/>
              </w:rPr>
              <w:t> </w:t>
            </w:r>
          </w:p>
        </w:tc>
        <w:tc>
          <w:tcPr>
            <w:tcW w:w="685" w:type="dxa"/>
            <w:tcBorders>
              <w:top w:val="single" w:sz="8" w:space="0" w:color="auto"/>
              <w:left w:val="nil"/>
              <w:bottom w:val="double" w:sz="6" w:space="0" w:color="auto"/>
              <w:right w:val="nil"/>
            </w:tcBorders>
            <w:shd w:val="clear" w:color="auto" w:fill="auto"/>
            <w:noWrap/>
            <w:vAlign w:val="center"/>
            <w:hideMark/>
          </w:tcPr>
          <w:p w14:paraId="5703525B" w14:textId="77777777" w:rsidR="003939B9" w:rsidRPr="003939B9" w:rsidRDefault="003939B9" w:rsidP="003939B9">
            <w:pPr>
              <w:spacing w:before="0" w:line="240" w:lineRule="auto"/>
              <w:jc w:val="right"/>
              <w:rPr>
                <w:rFonts w:ascii="Meta Pro" w:eastAsia="Times New Roman" w:hAnsi="Meta Pro" w:cs="Calibri"/>
                <w:b/>
                <w:bCs/>
                <w:color w:val="000000"/>
                <w:szCs w:val="18"/>
                <w:lang w:eastAsia="en-AU"/>
              </w:rPr>
            </w:pPr>
            <w:r w:rsidRPr="003939B9">
              <w:rPr>
                <w:rFonts w:ascii="Meta Pro" w:eastAsia="Times New Roman" w:hAnsi="Meta Pro" w:cs="Calibri"/>
                <w:b/>
                <w:bCs/>
                <w:color w:val="000000"/>
                <w:szCs w:val="18"/>
                <w:lang w:eastAsia="en-AU"/>
              </w:rPr>
              <w:t>-148,811</w:t>
            </w:r>
          </w:p>
        </w:tc>
      </w:tr>
    </w:tbl>
    <w:p w14:paraId="00B9B14E" w14:textId="77777777" w:rsidR="009D3D48" w:rsidRPr="00092B22" w:rsidRDefault="009D3D48" w:rsidP="009D3D48">
      <w:pPr>
        <w:spacing w:after="120" w:line="259" w:lineRule="auto"/>
        <w:rPr>
          <w:rFonts w:ascii="Meta Pro" w:eastAsia="Times New Roman" w:hAnsi="Meta Pro"/>
          <w:b/>
          <w:bCs/>
          <w:i/>
          <w:iCs/>
          <w:color w:val="000000"/>
          <w:szCs w:val="18"/>
          <w:lang w:eastAsia="en-AU"/>
        </w:rPr>
      </w:pPr>
      <w:r w:rsidRPr="00092B22">
        <w:rPr>
          <w:rFonts w:ascii="Meta Pro" w:eastAsia="Times New Roman" w:hAnsi="Meta Pro"/>
          <w:b/>
          <w:bCs/>
          <w:color w:val="000000"/>
          <w:szCs w:val="18"/>
          <w:lang w:eastAsia="en-AU"/>
        </w:rPr>
        <w:t>Explanation of major variances</w:t>
      </w:r>
    </w:p>
    <w:p w14:paraId="6ED3BC20" w14:textId="77777777" w:rsidR="009D3D48" w:rsidRPr="00092B22" w:rsidRDefault="009D3D48" w:rsidP="009D3D48">
      <w:pPr>
        <w:spacing w:line="259" w:lineRule="auto"/>
        <w:rPr>
          <w:rFonts w:ascii="Meta Pro" w:eastAsia="Times New Roman" w:hAnsi="Meta Pro"/>
          <w:b/>
          <w:bCs/>
          <w:i/>
          <w:iCs/>
          <w:color w:val="000000"/>
          <w:szCs w:val="18"/>
          <w:lang w:eastAsia="en-AU"/>
        </w:rPr>
      </w:pPr>
      <w:r w:rsidRPr="00092B22">
        <w:rPr>
          <w:rFonts w:ascii="Meta Pro" w:eastAsia="Times New Roman" w:hAnsi="Meta Pro"/>
          <w:b/>
          <w:bCs/>
          <w:i/>
          <w:iCs/>
          <w:color w:val="000000"/>
          <w:szCs w:val="18"/>
          <w:lang w:eastAsia="en-AU"/>
        </w:rPr>
        <w:t>Cash</w:t>
      </w:r>
    </w:p>
    <w:p w14:paraId="4BE4F9B5" w14:textId="77777777" w:rsidR="009D3D48" w:rsidRPr="00092B22" w:rsidRDefault="009D3D48" w:rsidP="009D3D48">
      <w:pPr>
        <w:spacing w:after="120"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lastRenderedPageBreak/>
        <w:t>Variance of $132.541m reflects a higher than anticipated opening balance of $242.430m due to the timing of future planned transport operations and maintenance expenditure and the timing of the delivery of prior year capital works expenditure</w:t>
      </w:r>
      <w:r>
        <w:rPr>
          <w:rFonts w:ascii="Meta Pro" w:eastAsia="Times New Roman" w:hAnsi="Meta Pro"/>
          <w:color w:val="000000"/>
          <w:szCs w:val="18"/>
          <w:lang w:eastAsia="en-AU"/>
        </w:rPr>
        <w:t>,</w:t>
      </w:r>
      <w:r w:rsidRPr="00092B22">
        <w:rPr>
          <w:rFonts w:ascii="Meta Pro" w:eastAsia="Times New Roman" w:hAnsi="Meta Pro"/>
          <w:color w:val="000000"/>
          <w:szCs w:val="18"/>
          <w:lang w:eastAsia="en-AU"/>
        </w:rPr>
        <w:t xml:space="preserve"> offset by a decrease in cash of ($109.889m) as </w:t>
      </w:r>
      <w:r>
        <w:rPr>
          <w:rFonts w:ascii="Meta Pro" w:eastAsia="Times New Roman" w:hAnsi="Meta Pro"/>
          <w:color w:val="000000"/>
          <w:szCs w:val="18"/>
          <w:lang w:eastAsia="en-AU"/>
        </w:rPr>
        <w:t>disclosed</w:t>
      </w:r>
      <w:r w:rsidRPr="00092B22">
        <w:rPr>
          <w:rFonts w:ascii="Meta Pro" w:eastAsia="Times New Roman" w:hAnsi="Meta Pro"/>
          <w:color w:val="000000"/>
          <w:szCs w:val="18"/>
          <w:lang w:eastAsia="en-AU"/>
        </w:rPr>
        <w:t xml:space="preserve"> in the Statement of </w:t>
      </w:r>
      <w:r>
        <w:rPr>
          <w:rFonts w:ascii="Meta Pro" w:eastAsia="Times New Roman" w:hAnsi="Meta Pro"/>
          <w:color w:val="000000"/>
          <w:szCs w:val="18"/>
          <w:lang w:eastAsia="en-AU"/>
        </w:rPr>
        <w:t>c</w:t>
      </w:r>
      <w:r w:rsidRPr="00092B22">
        <w:rPr>
          <w:rFonts w:ascii="Meta Pro" w:eastAsia="Times New Roman" w:hAnsi="Meta Pro"/>
          <w:color w:val="000000"/>
          <w:szCs w:val="18"/>
          <w:lang w:eastAsia="en-AU"/>
        </w:rPr>
        <w:t xml:space="preserve">ash </w:t>
      </w:r>
      <w:r>
        <w:rPr>
          <w:rFonts w:ascii="Meta Pro" w:eastAsia="Times New Roman" w:hAnsi="Meta Pro"/>
          <w:color w:val="000000"/>
          <w:szCs w:val="18"/>
          <w:lang w:eastAsia="en-AU"/>
        </w:rPr>
        <w:t>f</w:t>
      </w:r>
      <w:r w:rsidRPr="00092B22">
        <w:rPr>
          <w:rFonts w:ascii="Meta Pro" w:eastAsia="Times New Roman" w:hAnsi="Meta Pro"/>
          <w:color w:val="000000"/>
          <w:szCs w:val="18"/>
          <w:lang w:eastAsia="en-AU"/>
        </w:rPr>
        <w:t>lows.</w:t>
      </w:r>
    </w:p>
    <w:p w14:paraId="2A4C714B" w14:textId="77777777" w:rsidR="009D3D48" w:rsidRPr="00092B22" w:rsidRDefault="009D3D48" w:rsidP="009D3D48">
      <w:pPr>
        <w:spacing w:line="259" w:lineRule="auto"/>
        <w:rPr>
          <w:rFonts w:ascii="Meta Pro" w:eastAsia="Times New Roman" w:hAnsi="Meta Pro"/>
          <w:b/>
          <w:bCs/>
          <w:i/>
          <w:iCs/>
          <w:color w:val="000000"/>
          <w:szCs w:val="18"/>
          <w:lang w:eastAsia="en-AU"/>
        </w:rPr>
      </w:pPr>
      <w:r w:rsidRPr="00092B22">
        <w:rPr>
          <w:rFonts w:ascii="Meta Pro" w:eastAsia="Times New Roman" w:hAnsi="Meta Pro"/>
          <w:b/>
          <w:bCs/>
          <w:i/>
          <w:iCs/>
          <w:color w:val="000000"/>
          <w:szCs w:val="18"/>
          <w:lang w:eastAsia="en-AU"/>
        </w:rPr>
        <w:t>Receivables – current</w:t>
      </w:r>
    </w:p>
    <w:p w14:paraId="51A30A3C" w14:textId="77777777" w:rsidR="009D3D48" w:rsidRPr="00092B22" w:rsidRDefault="009D3D48" w:rsidP="009D3D48">
      <w:pPr>
        <w:spacing w:after="120"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Variance of $96.664m reflects higher than anticipated reimbursements of $67.233m from Queensland Rail for </w:t>
      </w:r>
      <w:r>
        <w:rPr>
          <w:rFonts w:ascii="Meta Pro" w:eastAsia="Times New Roman" w:hAnsi="Meta Pro"/>
          <w:color w:val="000000"/>
          <w:szCs w:val="18"/>
          <w:lang w:eastAsia="en-AU"/>
        </w:rPr>
        <w:t>p</w:t>
      </w:r>
      <w:r w:rsidRPr="00092B22">
        <w:rPr>
          <w:rFonts w:ascii="Meta Pro" w:eastAsia="Times New Roman" w:hAnsi="Meta Pro"/>
          <w:color w:val="000000"/>
          <w:szCs w:val="18"/>
          <w:lang w:eastAsia="en-AU"/>
        </w:rPr>
        <w:t xml:space="preserve">ark </w:t>
      </w:r>
      <w:r>
        <w:rPr>
          <w:rFonts w:ascii="Meta Pro" w:eastAsia="Times New Roman" w:hAnsi="Meta Pro"/>
          <w:color w:val="000000"/>
          <w:szCs w:val="18"/>
          <w:lang w:eastAsia="en-AU"/>
        </w:rPr>
        <w:t>and</w:t>
      </w:r>
      <w:r w:rsidRPr="00092B22">
        <w:rPr>
          <w:rFonts w:ascii="Meta Pro" w:eastAsia="Times New Roman" w:hAnsi="Meta Pro"/>
          <w:color w:val="000000"/>
          <w:szCs w:val="18"/>
          <w:lang w:eastAsia="en-AU"/>
        </w:rPr>
        <w:t xml:space="preserve"> </w:t>
      </w:r>
      <w:r>
        <w:rPr>
          <w:rFonts w:ascii="Meta Pro" w:eastAsia="Times New Roman" w:hAnsi="Meta Pro"/>
          <w:color w:val="000000"/>
          <w:szCs w:val="18"/>
          <w:lang w:eastAsia="en-AU"/>
        </w:rPr>
        <w:t>r</w:t>
      </w:r>
      <w:r w:rsidRPr="00092B22">
        <w:rPr>
          <w:rFonts w:ascii="Meta Pro" w:eastAsia="Times New Roman" w:hAnsi="Meta Pro"/>
          <w:color w:val="000000"/>
          <w:szCs w:val="18"/>
          <w:lang w:eastAsia="en-AU"/>
        </w:rPr>
        <w:t>ide</w:t>
      </w:r>
      <w:r>
        <w:rPr>
          <w:rFonts w:ascii="Meta Pro" w:eastAsia="Times New Roman" w:hAnsi="Meta Pro"/>
          <w:color w:val="000000"/>
          <w:szCs w:val="18"/>
          <w:lang w:eastAsia="en-AU"/>
        </w:rPr>
        <w:t xml:space="preserve"> facilities,</w:t>
      </w:r>
      <w:r w:rsidRPr="00092B22">
        <w:rPr>
          <w:rFonts w:ascii="Meta Pro" w:eastAsia="Times New Roman" w:hAnsi="Meta Pro"/>
          <w:color w:val="000000"/>
          <w:szCs w:val="18"/>
          <w:lang w:eastAsia="en-AU"/>
        </w:rPr>
        <w:t xml:space="preserve"> and the recognition of Queensland Reconstruction Authority accrued grant revenue of $22.399m for natural disaster events. </w:t>
      </w:r>
    </w:p>
    <w:p w14:paraId="76CC7E47" w14:textId="77777777" w:rsidR="009D3D48" w:rsidRPr="00092B22" w:rsidRDefault="009D3D48" w:rsidP="009D3D48">
      <w:pPr>
        <w:spacing w:line="259" w:lineRule="auto"/>
        <w:rPr>
          <w:rFonts w:ascii="Meta Pro" w:eastAsia="Times New Roman" w:hAnsi="Meta Pro"/>
          <w:b/>
          <w:bCs/>
          <w:i/>
          <w:iCs/>
          <w:color w:val="000000"/>
          <w:szCs w:val="18"/>
          <w:lang w:eastAsia="en-AU"/>
        </w:rPr>
      </w:pPr>
      <w:r w:rsidRPr="00092B22">
        <w:rPr>
          <w:rFonts w:ascii="Meta Pro" w:eastAsia="Times New Roman" w:hAnsi="Meta Pro"/>
          <w:b/>
          <w:bCs/>
          <w:i/>
          <w:iCs/>
          <w:color w:val="000000"/>
          <w:szCs w:val="18"/>
          <w:lang w:eastAsia="en-AU"/>
        </w:rPr>
        <w:t>Prepayments – current</w:t>
      </w:r>
    </w:p>
    <w:p w14:paraId="5E7B30C8" w14:textId="77777777" w:rsidR="009D3D48" w:rsidRDefault="009D3D48" w:rsidP="009D3D48">
      <w:pPr>
        <w:spacing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Variance of ($31.946m) mainly comprises of ($48.847m) from a reduction in New Generation Rollingstock accessibility </w:t>
      </w:r>
      <w:r>
        <w:rPr>
          <w:rFonts w:ascii="Meta Pro" w:eastAsia="Times New Roman" w:hAnsi="Meta Pro"/>
          <w:color w:val="000000"/>
          <w:szCs w:val="18"/>
          <w:lang w:eastAsia="en-AU"/>
        </w:rPr>
        <w:t>rectification</w:t>
      </w:r>
      <w:r w:rsidRPr="00092B22">
        <w:rPr>
          <w:rFonts w:ascii="Meta Pro" w:eastAsia="Times New Roman" w:hAnsi="Meta Pro"/>
          <w:color w:val="000000"/>
          <w:szCs w:val="18"/>
          <w:lang w:eastAsia="en-AU"/>
        </w:rPr>
        <w:t xml:space="preserve"> prepayment</w:t>
      </w:r>
      <w:r>
        <w:rPr>
          <w:rFonts w:ascii="Meta Pro" w:eastAsia="Times New Roman" w:hAnsi="Meta Pro"/>
          <w:color w:val="000000"/>
          <w:szCs w:val="18"/>
          <w:lang w:eastAsia="en-AU"/>
        </w:rPr>
        <w:t>s,</w:t>
      </w:r>
      <w:r w:rsidRPr="00092B22">
        <w:rPr>
          <w:rFonts w:ascii="Meta Pro" w:eastAsia="Times New Roman" w:hAnsi="Meta Pro"/>
          <w:color w:val="000000"/>
          <w:szCs w:val="18"/>
          <w:lang w:eastAsia="en-AU"/>
        </w:rPr>
        <w:t xml:space="preserve"> offset by </w:t>
      </w:r>
      <w:r>
        <w:rPr>
          <w:rFonts w:ascii="Meta Pro" w:eastAsia="Times New Roman" w:hAnsi="Meta Pro"/>
          <w:color w:val="000000"/>
          <w:szCs w:val="18"/>
          <w:lang w:eastAsia="en-AU"/>
        </w:rPr>
        <w:t xml:space="preserve">a </w:t>
      </w:r>
      <w:r w:rsidRPr="00092B22">
        <w:rPr>
          <w:rFonts w:ascii="Meta Pro" w:eastAsia="Times New Roman" w:hAnsi="Meta Pro"/>
          <w:color w:val="000000"/>
          <w:szCs w:val="18"/>
          <w:lang w:eastAsia="en-AU"/>
        </w:rPr>
        <w:t xml:space="preserve">$13.657m increase for software and data agreement prepayments after a revision of the accounting treatment for </w:t>
      </w:r>
      <w:r>
        <w:rPr>
          <w:rFonts w:ascii="Meta Pro" w:eastAsia="Times New Roman" w:hAnsi="Meta Pro"/>
          <w:color w:val="000000"/>
          <w:szCs w:val="18"/>
          <w:lang w:eastAsia="en-AU"/>
        </w:rPr>
        <w:t>intangible assets</w:t>
      </w:r>
      <w:r w:rsidRPr="00092B22">
        <w:rPr>
          <w:rFonts w:ascii="Meta Pro" w:eastAsia="Times New Roman" w:hAnsi="Meta Pro"/>
          <w:color w:val="000000"/>
          <w:szCs w:val="18"/>
          <w:lang w:eastAsia="en-AU"/>
        </w:rPr>
        <w:t>.</w:t>
      </w:r>
    </w:p>
    <w:p w14:paraId="0A4656FF" w14:textId="77777777" w:rsidR="007C642B" w:rsidRPr="00092B22" w:rsidRDefault="007C642B" w:rsidP="007C642B">
      <w:pPr>
        <w:spacing w:after="120" w:line="259" w:lineRule="auto"/>
        <w:rPr>
          <w:rFonts w:ascii="Meta Pro" w:eastAsia="Times New Roman" w:hAnsi="Meta Pro"/>
          <w:b/>
          <w:bCs/>
          <w:color w:val="000000"/>
          <w:lang w:eastAsia="en-AU"/>
        </w:rPr>
      </w:pPr>
      <w:r w:rsidRPr="00092B22">
        <w:rPr>
          <w:rFonts w:ascii="Meta Pro" w:eastAsia="Times New Roman" w:hAnsi="Meta Pro"/>
          <w:b/>
          <w:bCs/>
          <w:color w:val="000000"/>
          <w:lang w:eastAsia="en-AU"/>
        </w:rPr>
        <w:t>29     BUDGETARY REPORTING (continued)</w:t>
      </w:r>
    </w:p>
    <w:p w14:paraId="47842D22" w14:textId="77777777" w:rsidR="007C642B" w:rsidRPr="00092B22" w:rsidRDefault="007C642B" w:rsidP="007C642B">
      <w:pPr>
        <w:pStyle w:val="BodyText"/>
        <w:rPr>
          <w:rFonts w:ascii="Meta Pro" w:hAnsi="Meta Pro"/>
        </w:rPr>
      </w:pPr>
      <w:r w:rsidRPr="00092B22">
        <w:rPr>
          <w:rFonts w:ascii="Meta Pro" w:eastAsia="Times New Roman" w:hAnsi="Meta Pro"/>
          <w:b/>
          <w:bCs/>
          <w:szCs w:val="18"/>
          <w:lang w:eastAsia="en-AU"/>
        </w:rPr>
        <w:t>STATEMENT OF FINANCIAL POSITION (continued)</w:t>
      </w:r>
    </w:p>
    <w:p w14:paraId="34C4498B" w14:textId="77777777" w:rsidR="007C642B" w:rsidRPr="00092B22" w:rsidRDefault="007C642B" w:rsidP="007C642B">
      <w:pPr>
        <w:pStyle w:val="BodyText"/>
        <w:rPr>
          <w:rFonts w:ascii="Meta Pro" w:eastAsia="Times New Roman" w:hAnsi="Meta Pro"/>
          <w:b/>
          <w:bCs/>
          <w:szCs w:val="18"/>
          <w:lang w:eastAsia="en-AU"/>
        </w:rPr>
      </w:pPr>
      <w:r w:rsidRPr="00092B22">
        <w:rPr>
          <w:rFonts w:ascii="Meta Pro" w:eastAsia="Times New Roman" w:hAnsi="Meta Pro"/>
          <w:b/>
          <w:bCs/>
          <w:szCs w:val="18"/>
          <w:lang w:eastAsia="en-AU"/>
        </w:rPr>
        <w:t>Explanation of major variances (continued)</w:t>
      </w:r>
    </w:p>
    <w:p w14:paraId="69462B51" w14:textId="77777777" w:rsidR="007C642B" w:rsidRPr="00092B22" w:rsidRDefault="007C642B" w:rsidP="007C642B">
      <w:pPr>
        <w:spacing w:line="259" w:lineRule="auto"/>
        <w:rPr>
          <w:rFonts w:ascii="Meta Pro" w:eastAsia="Times New Roman" w:hAnsi="Meta Pro"/>
          <w:b/>
          <w:bCs/>
          <w:i/>
          <w:iCs/>
          <w:color w:val="000000"/>
          <w:szCs w:val="18"/>
          <w:lang w:eastAsia="en-AU"/>
        </w:rPr>
      </w:pPr>
      <w:r w:rsidRPr="00092B22">
        <w:rPr>
          <w:rFonts w:ascii="Meta Pro" w:eastAsia="Times New Roman" w:hAnsi="Meta Pro"/>
          <w:b/>
          <w:bCs/>
          <w:i/>
          <w:iCs/>
          <w:color w:val="000000"/>
          <w:szCs w:val="18"/>
          <w:lang w:eastAsia="en-AU"/>
        </w:rPr>
        <w:t>Prepayments – non-current</w:t>
      </w:r>
    </w:p>
    <w:p w14:paraId="43F8A9C1" w14:textId="77777777" w:rsidR="007C642B" w:rsidRPr="00092B22" w:rsidRDefault="007C642B" w:rsidP="007C642B">
      <w:pPr>
        <w:spacing w:after="120"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Variance of $84.002m</w:t>
      </w:r>
      <w:r>
        <w:rPr>
          <w:rFonts w:ascii="Meta Pro" w:eastAsia="Times New Roman" w:hAnsi="Meta Pro"/>
          <w:color w:val="000000"/>
          <w:szCs w:val="18"/>
          <w:lang w:eastAsia="en-AU"/>
        </w:rPr>
        <w:t xml:space="preserve"> mainly</w:t>
      </w:r>
      <w:r w:rsidRPr="00092B22">
        <w:rPr>
          <w:rFonts w:ascii="Meta Pro" w:eastAsia="Times New Roman" w:hAnsi="Meta Pro"/>
          <w:color w:val="000000"/>
          <w:szCs w:val="18"/>
          <w:lang w:eastAsia="en-AU"/>
        </w:rPr>
        <w:t xml:space="preserve"> reflects the recognition of additional milestone payments of $81.330m as a prepayment for New Generation Rollingstock accessibility </w:t>
      </w:r>
      <w:r>
        <w:rPr>
          <w:rFonts w:ascii="Meta Pro" w:eastAsia="Times New Roman" w:hAnsi="Meta Pro"/>
          <w:color w:val="000000"/>
          <w:szCs w:val="18"/>
          <w:lang w:eastAsia="en-AU"/>
        </w:rPr>
        <w:t>rectification works</w:t>
      </w:r>
      <w:r w:rsidRPr="00092B22">
        <w:rPr>
          <w:rFonts w:ascii="Meta Pro" w:eastAsia="Times New Roman" w:hAnsi="Meta Pro"/>
          <w:color w:val="000000"/>
          <w:szCs w:val="18"/>
          <w:lang w:eastAsia="en-AU"/>
        </w:rPr>
        <w:t>.</w:t>
      </w:r>
    </w:p>
    <w:p w14:paraId="35951719" w14:textId="77777777" w:rsidR="007C642B" w:rsidRPr="00092B22" w:rsidRDefault="007C642B" w:rsidP="007C642B">
      <w:pPr>
        <w:spacing w:line="259" w:lineRule="auto"/>
        <w:rPr>
          <w:rFonts w:ascii="Meta Pro" w:eastAsia="Times New Roman" w:hAnsi="Meta Pro"/>
          <w:b/>
          <w:bCs/>
          <w:i/>
          <w:iCs/>
          <w:color w:val="000000"/>
          <w:szCs w:val="18"/>
          <w:lang w:eastAsia="en-AU"/>
        </w:rPr>
      </w:pPr>
      <w:r w:rsidRPr="00092B22">
        <w:rPr>
          <w:rFonts w:ascii="Meta Pro" w:eastAsia="Times New Roman" w:hAnsi="Meta Pro"/>
          <w:b/>
          <w:bCs/>
          <w:i/>
          <w:iCs/>
          <w:color w:val="000000"/>
          <w:szCs w:val="18"/>
          <w:lang w:eastAsia="en-AU"/>
        </w:rPr>
        <w:t>Property, plant and equipment</w:t>
      </w:r>
    </w:p>
    <w:p w14:paraId="33A3E696" w14:textId="77777777" w:rsidR="007C642B" w:rsidRPr="00092B22" w:rsidRDefault="007C642B" w:rsidP="007C642B">
      <w:pPr>
        <w:spacing w:after="120"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The variance of $12.172b is mainly due to the timing differences to obtain reliable measures for road infrastructure valuations to enable budget allocations. Actual asset revaluation increments were not able to be determined at the time of budget development.</w:t>
      </w:r>
    </w:p>
    <w:p w14:paraId="31D1CD6D" w14:textId="77777777" w:rsidR="007C642B" w:rsidRPr="00092B22" w:rsidRDefault="007C642B" w:rsidP="007C642B">
      <w:pPr>
        <w:spacing w:line="259" w:lineRule="auto"/>
        <w:rPr>
          <w:rFonts w:ascii="Meta Pro" w:eastAsia="Times New Roman" w:hAnsi="Meta Pro"/>
          <w:b/>
          <w:bCs/>
          <w:i/>
          <w:iCs/>
          <w:color w:val="000000"/>
          <w:szCs w:val="18"/>
          <w:lang w:eastAsia="en-AU"/>
        </w:rPr>
      </w:pPr>
      <w:r w:rsidRPr="00092B22">
        <w:rPr>
          <w:rFonts w:ascii="Meta Pro" w:eastAsia="Times New Roman" w:hAnsi="Meta Pro"/>
          <w:b/>
          <w:bCs/>
          <w:i/>
          <w:iCs/>
          <w:color w:val="000000"/>
          <w:szCs w:val="18"/>
          <w:lang w:eastAsia="en-AU"/>
        </w:rPr>
        <w:t>Service concession assets</w:t>
      </w:r>
    </w:p>
    <w:p w14:paraId="58C2ACA2" w14:textId="77777777" w:rsidR="007C642B" w:rsidRPr="00092B22" w:rsidRDefault="007C642B" w:rsidP="007C642B">
      <w:pPr>
        <w:spacing w:after="120" w:line="259" w:lineRule="auto"/>
        <w:rPr>
          <w:rFonts w:ascii="Meta Pro" w:eastAsia="Times New Roman" w:hAnsi="Meta Pro"/>
          <w:color w:val="000000"/>
          <w:szCs w:val="18"/>
          <w:lang w:eastAsia="en-AU"/>
        </w:rPr>
      </w:pPr>
      <w:r w:rsidRPr="001E3A7A">
        <w:rPr>
          <w:rFonts w:ascii="Meta Pro" w:eastAsia="Times New Roman" w:hAnsi="Meta Pro"/>
          <w:color w:val="000000"/>
          <w:szCs w:val="18"/>
          <w:lang w:eastAsia="en-AU"/>
        </w:rPr>
        <w:t xml:space="preserve">The variance of $1.792b is mainly due </w:t>
      </w:r>
      <w:r>
        <w:rPr>
          <w:rFonts w:ascii="Meta Pro" w:eastAsia="Times New Roman" w:hAnsi="Meta Pro"/>
          <w:color w:val="000000"/>
          <w:szCs w:val="18"/>
          <w:lang w:eastAsia="en-AU"/>
        </w:rPr>
        <w:t xml:space="preserve">to the </w:t>
      </w:r>
      <w:r w:rsidRPr="001E3A7A">
        <w:rPr>
          <w:rFonts w:ascii="Meta Pro" w:eastAsia="Times New Roman" w:hAnsi="Meta Pro"/>
          <w:color w:val="000000"/>
          <w:szCs w:val="18"/>
          <w:lang w:eastAsia="en-AU"/>
        </w:rPr>
        <w:t xml:space="preserve">timing differences </w:t>
      </w:r>
      <w:r>
        <w:rPr>
          <w:rFonts w:ascii="Meta Pro" w:eastAsia="Times New Roman" w:hAnsi="Meta Pro"/>
          <w:color w:val="000000"/>
          <w:szCs w:val="18"/>
          <w:lang w:eastAsia="en-AU"/>
        </w:rPr>
        <w:t>of $0.986b</w:t>
      </w:r>
      <w:r w:rsidRPr="001E3A7A">
        <w:rPr>
          <w:rFonts w:ascii="Meta Pro" w:eastAsia="Times New Roman" w:hAnsi="Meta Pro"/>
          <w:color w:val="000000"/>
          <w:szCs w:val="18"/>
          <w:lang w:eastAsia="en-AU"/>
        </w:rPr>
        <w:t xml:space="preserve"> to obtain reliable measures for service concession asset valuations to enable budget allocation</w:t>
      </w:r>
      <w:r>
        <w:rPr>
          <w:rFonts w:ascii="Meta Pro" w:eastAsia="Times New Roman" w:hAnsi="Meta Pro"/>
          <w:color w:val="000000"/>
          <w:szCs w:val="18"/>
          <w:lang w:eastAsia="en-AU"/>
        </w:rPr>
        <w:t>s</w:t>
      </w:r>
      <w:r w:rsidRPr="001E3A7A">
        <w:rPr>
          <w:rFonts w:ascii="Meta Pro" w:eastAsia="Times New Roman" w:hAnsi="Meta Pro"/>
          <w:color w:val="000000"/>
          <w:szCs w:val="18"/>
          <w:lang w:eastAsia="en-AU"/>
        </w:rPr>
        <w:t>. Asset revaluation increments were not able to be determined at the time of budget development. Variance also includes the initial recognition of assets related to the Logan Enhancement Project after the published budget amounting to $</w:t>
      </w:r>
      <w:r>
        <w:rPr>
          <w:rFonts w:ascii="Meta Pro" w:eastAsia="Times New Roman" w:hAnsi="Meta Pro"/>
          <w:color w:val="000000"/>
          <w:szCs w:val="18"/>
          <w:lang w:eastAsia="en-AU"/>
        </w:rPr>
        <w:t>0.</w:t>
      </w:r>
      <w:r w:rsidRPr="001E3A7A">
        <w:rPr>
          <w:rFonts w:ascii="Meta Pro" w:eastAsia="Times New Roman" w:hAnsi="Meta Pro"/>
          <w:color w:val="000000"/>
          <w:szCs w:val="18"/>
          <w:lang w:eastAsia="en-AU"/>
        </w:rPr>
        <w:t>5</w:t>
      </w:r>
      <w:r>
        <w:rPr>
          <w:rFonts w:ascii="Meta Pro" w:eastAsia="Times New Roman" w:hAnsi="Meta Pro"/>
          <w:color w:val="000000"/>
          <w:szCs w:val="18"/>
          <w:lang w:eastAsia="en-AU"/>
        </w:rPr>
        <w:t>12b</w:t>
      </w:r>
      <w:r w:rsidRPr="001E3A7A">
        <w:rPr>
          <w:rFonts w:ascii="Meta Pro" w:eastAsia="Times New Roman" w:hAnsi="Meta Pro"/>
          <w:color w:val="000000"/>
          <w:szCs w:val="18"/>
          <w:lang w:eastAsia="en-AU"/>
        </w:rPr>
        <w:t>.</w:t>
      </w:r>
    </w:p>
    <w:p w14:paraId="3F659B1E" w14:textId="77777777" w:rsidR="007C642B" w:rsidRPr="00092B22" w:rsidRDefault="007C642B" w:rsidP="007C642B">
      <w:pPr>
        <w:spacing w:line="259" w:lineRule="auto"/>
        <w:rPr>
          <w:rFonts w:ascii="Meta Pro" w:eastAsia="Times New Roman" w:hAnsi="Meta Pro"/>
          <w:b/>
          <w:bCs/>
          <w:i/>
          <w:iCs/>
          <w:color w:val="000000"/>
          <w:szCs w:val="18"/>
          <w:lang w:eastAsia="en-AU"/>
        </w:rPr>
      </w:pPr>
      <w:r w:rsidRPr="00092B22">
        <w:rPr>
          <w:rFonts w:ascii="Meta Pro" w:eastAsia="Times New Roman" w:hAnsi="Meta Pro"/>
          <w:b/>
          <w:bCs/>
          <w:i/>
          <w:iCs/>
          <w:color w:val="000000"/>
          <w:szCs w:val="18"/>
          <w:lang w:eastAsia="en-AU"/>
        </w:rPr>
        <w:t>Payables</w:t>
      </w:r>
    </w:p>
    <w:p w14:paraId="37FCA6B0" w14:textId="77777777" w:rsidR="007C642B" w:rsidRPr="00092B22" w:rsidRDefault="007C642B" w:rsidP="007C642B">
      <w:pPr>
        <w:spacing w:after="120" w:line="259" w:lineRule="auto"/>
        <w:rPr>
          <w:rFonts w:ascii="Meta Pro" w:eastAsia="Times New Roman" w:hAnsi="Meta Pro"/>
          <w:color w:val="000000"/>
          <w:szCs w:val="18"/>
          <w:lang w:eastAsia="en-AU"/>
        </w:rPr>
      </w:pPr>
      <w:r w:rsidRPr="00C34036">
        <w:rPr>
          <w:rFonts w:ascii="Meta Pro" w:eastAsia="Times New Roman" w:hAnsi="Meta Pro"/>
          <w:color w:val="000000"/>
          <w:szCs w:val="18"/>
          <w:lang w:eastAsia="en-AU"/>
        </w:rPr>
        <w:t>Variance of $127.913m is primarily due to higher</w:t>
      </w:r>
      <w:r>
        <w:rPr>
          <w:rFonts w:ascii="Meta Pro" w:eastAsia="Times New Roman" w:hAnsi="Meta Pro"/>
          <w:color w:val="000000"/>
          <w:szCs w:val="18"/>
          <w:lang w:eastAsia="en-AU"/>
        </w:rPr>
        <w:t xml:space="preserve"> than</w:t>
      </w:r>
      <w:r w:rsidRPr="00C34036">
        <w:rPr>
          <w:rFonts w:ascii="Meta Pro" w:eastAsia="Times New Roman" w:hAnsi="Meta Pro"/>
          <w:color w:val="000000"/>
          <w:szCs w:val="18"/>
          <w:lang w:eastAsia="en-AU"/>
        </w:rPr>
        <w:t xml:space="preserve"> anticipated capital program delivery.</w:t>
      </w:r>
    </w:p>
    <w:p w14:paraId="72939124" w14:textId="77777777" w:rsidR="007C642B" w:rsidRPr="00092B22" w:rsidRDefault="007C642B" w:rsidP="007C642B">
      <w:pPr>
        <w:spacing w:line="259" w:lineRule="auto"/>
        <w:rPr>
          <w:rFonts w:ascii="Meta Pro" w:eastAsia="Times New Roman" w:hAnsi="Meta Pro"/>
          <w:b/>
          <w:bCs/>
          <w:i/>
          <w:iCs/>
          <w:color w:val="000000"/>
          <w:szCs w:val="18"/>
          <w:lang w:eastAsia="en-AU"/>
        </w:rPr>
      </w:pPr>
      <w:r w:rsidRPr="00092B22">
        <w:rPr>
          <w:rFonts w:ascii="Meta Pro" w:eastAsia="Times New Roman" w:hAnsi="Meta Pro"/>
          <w:b/>
          <w:bCs/>
          <w:i/>
          <w:iCs/>
          <w:color w:val="000000"/>
          <w:szCs w:val="18"/>
          <w:lang w:eastAsia="en-AU"/>
        </w:rPr>
        <w:t>Accrued employee benefits</w:t>
      </w:r>
    </w:p>
    <w:p w14:paraId="2233FECD" w14:textId="77777777" w:rsidR="007C642B" w:rsidRPr="00092B22" w:rsidRDefault="007C642B" w:rsidP="007C642B">
      <w:pPr>
        <w:spacing w:after="120"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Variance of ($41.325m) primarily reflects lower than anticipated </w:t>
      </w:r>
      <w:r>
        <w:rPr>
          <w:rFonts w:ascii="Meta Pro" w:eastAsia="Times New Roman" w:hAnsi="Meta Pro"/>
          <w:color w:val="000000"/>
          <w:szCs w:val="18"/>
          <w:lang w:eastAsia="en-AU"/>
        </w:rPr>
        <w:t>outstanding</w:t>
      </w:r>
      <w:r w:rsidRPr="00092B22">
        <w:rPr>
          <w:rFonts w:ascii="Meta Pro" w:eastAsia="Times New Roman" w:hAnsi="Meta Pro"/>
          <w:color w:val="000000"/>
          <w:szCs w:val="18"/>
          <w:lang w:eastAsia="en-AU"/>
        </w:rPr>
        <w:t xml:space="preserve"> salaries and wages of ($29.763m)</w:t>
      </w:r>
      <w:r>
        <w:rPr>
          <w:rFonts w:ascii="Meta Pro" w:eastAsia="Times New Roman" w:hAnsi="Meta Pro"/>
          <w:color w:val="000000"/>
          <w:szCs w:val="18"/>
          <w:lang w:eastAsia="en-AU"/>
        </w:rPr>
        <w:t>,</w:t>
      </w:r>
      <w:r w:rsidRPr="00092B22">
        <w:rPr>
          <w:rFonts w:ascii="Meta Pro" w:eastAsia="Times New Roman" w:hAnsi="Meta Pro"/>
          <w:color w:val="000000"/>
          <w:szCs w:val="18"/>
          <w:lang w:eastAsia="en-AU"/>
        </w:rPr>
        <w:t xml:space="preserve"> which includes back pay for the 2019</w:t>
      </w:r>
      <w:r w:rsidRPr="00092B22">
        <w:rPr>
          <w:rFonts w:ascii="Meta Pro" w:eastAsia="Times New Roman" w:hAnsi="Meta Pro"/>
          <w:b/>
          <w:bCs/>
          <w:i/>
          <w:iCs/>
          <w:color w:val="000000"/>
          <w:szCs w:val="18"/>
          <w:lang w:eastAsia="en-AU"/>
        </w:rPr>
        <w:t>–</w:t>
      </w:r>
      <w:r w:rsidRPr="00092B22">
        <w:rPr>
          <w:rFonts w:ascii="Meta Pro" w:eastAsia="Times New Roman" w:hAnsi="Meta Pro"/>
          <w:color w:val="000000"/>
          <w:szCs w:val="18"/>
          <w:lang w:eastAsia="en-AU"/>
        </w:rPr>
        <w:t>20 enterprise bargaining pay rise that was paid in 2020</w:t>
      </w:r>
      <w:r w:rsidRPr="00092B22">
        <w:rPr>
          <w:rFonts w:ascii="Meta Pro" w:eastAsia="Times New Roman" w:hAnsi="Meta Pro"/>
          <w:b/>
          <w:bCs/>
          <w:i/>
          <w:iCs/>
          <w:color w:val="000000"/>
          <w:szCs w:val="18"/>
          <w:lang w:eastAsia="en-AU"/>
        </w:rPr>
        <w:t>–</w:t>
      </w:r>
      <w:r w:rsidRPr="00092B22">
        <w:rPr>
          <w:rFonts w:ascii="Meta Pro" w:eastAsia="Times New Roman" w:hAnsi="Meta Pro"/>
          <w:color w:val="000000"/>
          <w:szCs w:val="18"/>
          <w:lang w:eastAsia="en-AU"/>
        </w:rPr>
        <w:t>21.</w:t>
      </w:r>
    </w:p>
    <w:p w14:paraId="3FC2C787" w14:textId="77777777" w:rsidR="007C642B" w:rsidRPr="00092B22" w:rsidRDefault="007C642B" w:rsidP="007C642B">
      <w:pPr>
        <w:spacing w:line="259" w:lineRule="auto"/>
        <w:rPr>
          <w:rFonts w:ascii="Meta Pro" w:eastAsia="Times New Roman" w:hAnsi="Meta Pro"/>
          <w:b/>
          <w:bCs/>
          <w:i/>
          <w:iCs/>
          <w:color w:val="000000"/>
          <w:szCs w:val="18"/>
          <w:lang w:eastAsia="en-AU"/>
        </w:rPr>
      </w:pPr>
      <w:r w:rsidRPr="00092B22">
        <w:rPr>
          <w:rFonts w:ascii="Meta Pro" w:eastAsia="Times New Roman" w:hAnsi="Meta Pro"/>
          <w:b/>
          <w:bCs/>
          <w:i/>
          <w:iCs/>
          <w:color w:val="000000"/>
          <w:szCs w:val="18"/>
          <w:lang w:eastAsia="en-AU"/>
        </w:rPr>
        <w:lastRenderedPageBreak/>
        <w:t>Other Liabilities – current</w:t>
      </w:r>
    </w:p>
    <w:p w14:paraId="2E6D63B4" w14:textId="77777777" w:rsidR="007C642B" w:rsidRPr="00092B22" w:rsidRDefault="007C642B" w:rsidP="007C642B">
      <w:pPr>
        <w:spacing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Variance of $81.882m mainly comprises:</w:t>
      </w:r>
    </w:p>
    <w:p w14:paraId="3596CC2E" w14:textId="77777777" w:rsidR="007C642B" w:rsidRPr="00092B22" w:rsidRDefault="007C642B" w:rsidP="007C642B">
      <w:pPr>
        <w:spacing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 $47.406m higher than anticipated land acquisition payments received from the Australian Rail Track Corporation for the</w:t>
      </w:r>
    </w:p>
    <w:p w14:paraId="7523C7BD" w14:textId="77777777" w:rsidR="007C642B" w:rsidRPr="00092B22" w:rsidRDefault="007C642B" w:rsidP="007C642B">
      <w:pPr>
        <w:spacing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Inland Rail project</w:t>
      </w:r>
    </w:p>
    <w:p w14:paraId="78B2A55A" w14:textId="77777777" w:rsidR="007C642B" w:rsidRPr="00092B22" w:rsidRDefault="007C642B" w:rsidP="007C642B">
      <w:pPr>
        <w:spacing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 $29.286m reflects advance payments from the Queensland Reconstruction Authority for expenditure incurred on works</w:t>
      </w:r>
    </w:p>
    <w:p w14:paraId="787E6C19" w14:textId="77777777" w:rsidR="007C642B" w:rsidRPr="00092B22" w:rsidRDefault="007C642B" w:rsidP="007C642B">
      <w:pPr>
        <w:spacing w:after="120"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related to natural disaster events.</w:t>
      </w:r>
    </w:p>
    <w:p w14:paraId="2505E568" w14:textId="77777777" w:rsidR="007C642B" w:rsidRPr="00092B22" w:rsidRDefault="007C642B" w:rsidP="007C642B">
      <w:pPr>
        <w:spacing w:line="259" w:lineRule="auto"/>
        <w:rPr>
          <w:rFonts w:ascii="Meta Pro" w:eastAsia="Times New Roman" w:hAnsi="Meta Pro"/>
          <w:b/>
          <w:bCs/>
          <w:i/>
          <w:iCs/>
          <w:color w:val="000000"/>
          <w:szCs w:val="18"/>
          <w:lang w:eastAsia="en-AU"/>
        </w:rPr>
      </w:pPr>
      <w:r w:rsidRPr="00092B22">
        <w:rPr>
          <w:rFonts w:ascii="Meta Pro" w:eastAsia="Times New Roman" w:hAnsi="Meta Pro"/>
          <w:b/>
          <w:bCs/>
          <w:i/>
          <w:iCs/>
          <w:color w:val="000000"/>
          <w:szCs w:val="18"/>
          <w:lang w:eastAsia="en-AU"/>
        </w:rPr>
        <w:t xml:space="preserve">Provisions – </w:t>
      </w:r>
      <w:r>
        <w:rPr>
          <w:rFonts w:ascii="Meta Pro" w:eastAsia="Times New Roman" w:hAnsi="Meta Pro"/>
          <w:b/>
          <w:bCs/>
          <w:i/>
          <w:iCs/>
          <w:color w:val="000000"/>
          <w:szCs w:val="18"/>
          <w:lang w:eastAsia="en-AU"/>
        </w:rPr>
        <w:t>n</w:t>
      </w:r>
      <w:r w:rsidRPr="00092B22">
        <w:rPr>
          <w:rFonts w:ascii="Meta Pro" w:eastAsia="Times New Roman" w:hAnsi="Meta Pro"/>
          <w:b/>
          <w:bCs/>
          <w:i/>
          <w:iCs/>
          <w:color w:val="000000"/>
          <w:szCs w:val="18"/>
          <w:lang w:eastAsia="en-AU"/>
        </w:rPr>
        <w:t>on-</w:t>
      </w:r>
      <w:r>
        <w:rPr>
          <w:rFonts w:ascii="Meta Pro" w:eastAsia="Times New Roman" w:hAnsi="Meta Pro"/>
          <w:b/>
          <w:bCs/>
          <w:i/>
          <w:iCs/>
          <w:color w:val="000000"/>
          <w:szCs w:val="18"/>
          <w:lang w:eastAsia="en-AU"/>
        </w:rPr>
        <w:t>c</w:t>
      </w:r>
      <w:r w:rsidRPr="00092B22">
        <w:rPr>
          <w:rFonts w:ascii="Meta Pro" w:eastAsia="Times New Roman" w:hAnsi="Meta Pro"/>
          <w:b/>
          <w:bCs/>
          <w:i/>
          <w:iCs/>
          <w:color w:val="000000"/>
          <w:szCs w:val="18"/>
          <w:lang w:eastAsia="en-AU"/>
        </w:rPr>
        <w:t>urrent</w:t>
      </w:r>
    </w:p>
    <w:p w14:paraId="6E3E9707" w14:textId="77777777" w:rsidR="007C642B" w:rsidRPr="00092B22" w:rsidRDefault="007C642B" w:rsidP="007C642B">
      <w:pPr>
        <w:spacing w:after="120"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Variance of $29.574m reflects an increase in the provision of $27.908m to account for accessibility modifications to be made to New Generation Rollingstock train sets in future years.</w:t>
      </w:r>
    </w:p>
    <w:p w14:paraId="7234D5FC" w14:textId="77777777" w:rsidR="007C642B" w:rsidRPr="00092B22" w:rsidRDefault="007C642B" w:rsidP="007C642B">
      <w:pPr>
        <w:spacing w:line="259" w:lineRule="auto"/>
        <w:rPr>
          <w:rFonts w:ascii="Meta Pro" w:eastAsia="Times New Roman" w:hAnsi="Meta Pro"/>
          <w:b/>
          <w:bCs/>
          <w:i/>
          <w:iCs/>
          <w:color w:val="000000"/>
          <w:szCs w:val="18"/>
          <w:lang w:eastAsia="en-AU"/>
        </w:rPr>
      </w:pPr>
      <w:r w:rsidRPr="00092B22">
        <w:rPr>
          <w:rFonts w:ascii="Meta Pro" w:eastAsia="Times New Roman" w:hAnsi="Meta Pro"/>
          <w:b/>
          <w:bCs/>
          <w:i/>
          <w:iCs/>
          <w:color w:val="000000"/>
          <w:szCs w:val="18"/>
          <w:lang w:eastAsia="en-AU"/>
        </w:rPr>
        <w:t>Total equity</w:t>
      </w:r>
    </w:p>
    <w:p w14:paraId="70021ADB" w14:textId="77777777" w:rsidR="007C642B" w:rsidRDefault="007C642B" w:rsidP="007C642B">
      <w:pPr>
        <w:spacing w:line="259" w:lineRule="auto"/>
        <w:rPr>
          <w:rFonts w:ascii="Meta Pro" w:eastAsia="Times New Roman" w:hAnsi="Meta Pro"/>
          <w:color w:val="000000"/>
          <w:szCs w:val="18"/>
          <w:lang w:eastAsia="en-AU"/>
        </w:rPr>
      </w:pPr>
      <w:r>
        <w:rPr>
          <w:rFonts w:ascii="Meta Pro" w:eastAsia="Times New Roman" w:hAnsi="Meta Pro"/>
          <w:color w:val="000000"/>
          <w:szCs w:val="18"/>
          <w:lang w:eastAsia="en-AU"/>
        </w:rPr>
        <w:t>V</w:t>
      </w:r>
      <w:r w:rsidRPr="00092B22">
        <w:rPr>
          <w:rFonts w:ascii="Meta Pro" w:eastAsia="Times New Roman" w:hAnsi="Meta Pro"/>
          <w:color w:val="000000"/>
          <w:szCs w:val="18"/>
          <w:lang w:eastAsia="en-AU"/>
        </w:rPr>
        <w:t xml:space="preserve">ariance of $13.608b is mainly due to timing differences to obtain reliable measures for asset </w:t>
      </w:r>
      <w:r w:rsidRPr="004238A3">
        <w:rPr>
          <w:rFonts w:ascii="Meta Pro" w:eastAsia="Times New Roman" w:hAnsi="Meta Pro"/>
          <w:color w:val="000000"/>
          <w:szCs w:val="18"/>
          <w:lang w:eastAsia="en-AU"/>
        </w:rPr>
        <w:t xml:space="preserve">revaluation increments </w:t>
      </w:r>
      <w:r>
        <w:rPr>
          <w:rFonts w:ascii="Meta Pro" w:eastAsia="Times New Roman" w:hAnsi="Meta Pro"/>
          <w:color w:val="000000"/>
          <w:szCs w:val="18"/>
          <w:lang w:eastAsia="en-AU"/>
        </w:rPr>
        <w:t xml:space="preserve">which </w:t>
      </w:r>
      <w:r w:rsidRPr="00092B22">
        <w:rPr>
          <w:rFonts w:ascii="Meta Pro" w:eastAsia="Times New Roman" w:hAnsi="Meta Pro"/>
          <w:color w:val="000000"/>
          <w:szCs w:val="18"/>
          <w:lang w:eastAsia="en-AU"/>
        </w:rPr>
        <w:t>were not able to be determined at the time of budget development.</w:t>
      </w:r>
    </w:p>
    <w:p w14:paraId="1BCD3C92" w14:textId="77777777" w:rsidR="007C642B" w:rsidRPr="008653A2" w:rsidRDefault="007C642B" w:rsidP="007C642B">
      <w:pPr>
        <w:spacing w:line="259" w:lineRule="auto"/>
        <w:rPr>
          <w:rFonts w:ascii="Meta Pro" w:eastAsia="Times New Roman" w:hAnsi="Meta Pro"/>
          <w:color w:val="000000"/>
          <w:szCs w:val="18"/>
          <w:lang w:eastAsia="en-AU"/>
        </w:rPr>
      </w:pPr>
    </w:p>
    <w:tbl>
      <w:tblPr>
        <w:tblW w:w="0" w:type="auto"/>
        <w:tblCellMar>
          <w:left w:w="0" w:type="dxa"/>
        </w:tblCellMar>
        <w:tblLook w:val="04A0" w:firstRow="1" w:lastRow="0" w:firstColumn="1" w:lastColumn="0" w:noHBand="0" w:noVBand="1"/>
      </w:tblPr>
      <w:tblGrid>
        <w:gridCol w:w="5481"/>
        <w:gridCol w:w="1067"/>
        <w:gridCol w:w="194"/>
        <w:gridCol w:w="1067"/>
        <w:gridCol w:w="194"/>
        <w:gridCol w:w="1067"/>
      </w:tblGrid>
      <w:tr w:rsidR="007C642B" w:rsidRPr="008653A2" w14:paraId="6B63D0F0" w14:textId="77777777" w:rsidTr="00E607DA">
        <w:trPr>
          <w:trHeight w:val="227"/>
        </w:trPr>
        <w:tc>
          <w:tcPr>
            <w:tcW w:w="6237" w:type="dxa"/>
            <w:tcBorders>
              <w:top w:val="nil"/>
              <w:left w:val="nil"/>
              <w:bottom w:val="nil"/>
              <w:right w:val="nil"/>
            </w:tcBorders>
            <w:shd w:val="clear" w:color="auto" w:fill="auto"/>
            <w:noWrap/>
            <w:hideMark/>
          </w:tcPr>
          <w:p w14:paraId="2B996E01" w14:textId="77777777" w:rsidR="007C642B" w:rsidRPr="008653A2" w:rsidRDefault="007C642B" w:rsidP="00E607DA">
            <w:pPr>
              <w:rPr>
                <w:rFonts w:ascii="Meta Pro" w:eastAsia="Times New Roman" w:hAnsi="Meta Pro"/>
                <w:b/>
                <w:bCs/>
                <w:szCs w:val="18"/>
                <w:lang w:eastAsia="en-AU"/>
              </w:rPr>
            </w:pPr>
            <w:r w:rsidRPr="00EB5DA1">
              <w:rPr>
                <w:rFonts w:ascii="Meta Pro" w:eastAsia="Times New Roman" w:hAnsi="Meta Pro"/>
                <w:b/>
                <w:bCs/>
                <w:szCs w:val="18"/>
                <w:lang w:eastAsia="en-AU"/>
              </w:rPr>
              <w:t>STATEMENT OF CASH FLOWS</w:t>
            </w:r>
          </w:p>
        </w:tc>
        <w:tc>
          <w:tcPr>
            <w:tcW w:w="1196" w:type="dxa"/>
            <w:tcBorders>
              <w:top w:val="nil"/>
              <w:left w:val="nil"/>
              <w:bottom w:val="nil"/>
              <w:right w:val="nil"/>
            </w:tcBorders>
            <w:shd w:val="clear" w:color="auto" w:fill="auto"/>
            <w:hideMark/>
          </w:tcPr>
          <w:p w14:paraId="381DE259" w14:textId="77777777" w:rsidR="007C642B" w:rsidRPr="008653A2" w:rsidRDefault="007C642B" w:rsidP="00E607DA">
            <w:pPr>
              <w:jc w:val="center"/>
              <w:rPr>
                <w:rFonts w:ascii="Meta Pro" w:eastAsia="Times New Roman" w:hAnsi="Meta Pro"/>
                <w:b/>
                <w:bCs/>
                <w:szCs w:val="18"/>
                <w:lang w:eastAsia="en-AU"/>
              </w:rPr>
            </w:pPr>
            <w:r w:rsidRPr="008653A2">
              <w:rPr>
                <w:rFonts w:ascii="Meta Pro" w:eastAsia="Times New Roman" w:hAnsi="Meta Pro"/>
                <w:b/>
                <w:bCs/>
                <w:szCs w:val="18"/>
                <w:lang w:eastAsia="en-AU"/>
              </w:rPr>
              <w:t xml:space="preserve">Original budget </w:t>
            </w:r>
          </w:p>
        </w:tc>
        <w:tc>
          <w:tcPr>
            <w:tcW w:w="198" w:type="dxa"/>
            <w:tcBorders>
              <w:top w:val="nil"/>
              <w:left w:val="nil"/>
              <w:bottom w:val="nil"/>
              <w:right w:val="nil"/>
            </w:tcBorders>
            <w:shd w:val="clear" w:color="auto" w:fill="auto"/>
            <w:hideMark/>
          </w:tcPr>
          <w:p w14:paraId="6D813CD5" w14:textId="77777777" w:rsidR="007C642B" w:rsidRPr="008653A2" w:rsidRDefault="007C642B" w:rsidP="00E607DA">
            <w:pPr>
              <w:jc w:val="center"/>
              <w:rPr>
                <w:rFonts w:ascii="Meta Pro" w:eastAsia="Times New Roman" w:hAnsi="Meta Pro"/>
                <w:b/>
                <w:bCs/>
                <w:szCs w:val="18"/>
                <w:lang w:eastAsia="en-AU"/>
              </w:rPr>
            </w:pPr>
          </w:p>
        </w:tc>
        <w:tc>
          <w:tcPr>
            <w:tcW w:w="1196" w:type="dxa"/>
            <w:tcBorders>
              <w:top w:val="nil"/>
              <w:left w:val="nil"/>
              <w:bottom w:val="nil"/>
              <w:right w:val="nil"/>
            </w:tcBorders>
            <w:shd w:val="clear" w:color="auto" w:fill="auto"/>
            <w:hideMark/>
          </w:tcPr>
          <w:p w14:paraId="1207A2AE" w14:textId="77777777" w:rsidR="007C642B" w:rsidRPr="008653A2" w:rsidRDefault="007C642B" w:rsidP="00E607DA">
            <w:pPr>
              <w:jc w:val="center"/>
              <w:rPr>
                <w:rFonts w:ascii="Meta Pro" w:eastAsia="Times New Roman" w:hAnsi="Meta Pro"/>
                <w:b/>
                <w:bCs/>
                <w:szCs w:val="18"/>
                <w:lang w:eastAsia="en-AU"/>
              </w:rPr>
            </w:pPr>
            <w:r w:rsidRPr="008653A2">
              <w:rPr>
                <w:rFonts w:ascii="Meta Pro" w:eastAsia="Times New Roman" w:hAnsi="Meta Pro"/>
                <w:b/>
                <w:bCs/>
                <w:szCs w:val="18"/>
                <w:lang w:eastAsia="en-AU"/>
              </w:rPr>
              <w:t>Actual</w:t>
            </w:r>
            <w:r w:rsidRPr="008653A2">
              <w:rPr>
                <w:rFonts w:ascii="Meta Pro" w:eastAsia="Times New Roman" w:hAnsi="Meta Pro"/>
                <w:b/>
                <w:bCs/>
                <w:szCs w:val="18"/>
                <w:lang w:eastAsia="en-AU"/>
              </w:rPr>
              <w:br/>
              <w:t>result</w:t>
            </w:r>
          </w:p>
        </w:tc>
        <w:tc>
          <w:tcPr>
            <w:tcW w:w="198" w:type="dxa"/>
            <w:tcBorders>
              <w:top w:val="nil"/>
              <w:left w:val="nil"/>
              <w:bottom w:val="nil"/>
              <w:right w:val="nil"/>
            </w:tcBorders>
            <w:shd w:val="clear" w:color="auto" w:fill="auto"/>
            <w:hideMark/>
          </w:tcPr>
          <w:p w14:paraId="49F8A4E2" w14:textId="77777777" w:rsidR="007C642B" w:rsidRPr="008653A2" w:rsidRDefault="007C642B" w:rsidP="00E607DA">
            <w:pPr>
              <w:jc w:val="center"/>
              <w:rPr>
                <w:rFonts w:ascii="Meta Pro" w:eastAsia="Times New Roman" w:hAnsi="Meta Pro"/>
                <w:b/>
                <w:bCs/>
                <w:szCs w:val="18"/>
                <w:lang w:eastAsia="en-AU"/>
              </w:rPr>
            </w:pPr>
          </w:p>
        </w:tc>
        <w:tc>
          <w:tcPr>
            <w:tcW w:w="1196" w:type="dxa"/>
            <w:tcBorders>
              <w:top w:val="nil"/>
              <w:left w:val="nil"/>
              <w:bottom w:val="nil"/>
              <w:right w:val="nil"/>
            </w:tcBorders>
            <w:shd w:val="clear" w:color="auto" w:fill="auto"/>
            <w:hideMark/>
          </w:tcPr>
          <w:p w14:paraId="62DA4A5E" w14:textId="77777777" w:rsidR="007C642B" w:rsidRPr="008653A2" w:rsidRDefault="007C642B" w:rsidP="00E607DA">
            <w:pPr>
              <w:jc w:val="center"/>
              <w:rPr>
                <w:rFonts w:ascii="Meta Pro" w:eastAsia="Times New Roman" w:hAnsi="Meta Pro"/>
                <w:b/>
                <w:bCs/>
                <w:szCs w:val="18"/>
                <w:lang w:eastAsia="en-AU"/>
              </w:rPr>
            </w:pPr>
            <w:r w:rsidRPr="008653A2">
              <w:rPr>
                <w:rFonts w:ascii="Meta Pro" w:eastAsia="Times New Roman" w:hAnsi="Meta Pro"/>
                <w:b/>
                <w:bCs/>
                <w:szCs w:val="18"/>
                <w:lang w:eastAsia="en-AU"/>
              </w:rPr>
              <w:t>Variance</w:t>
            </w:r>
          </w:p>
        </w:tc>
      </w:tr>
      <w:tr w:rsidR="007C642B" w:rsidRPr="008653A2" w14:paraId="697F2CCE" w14:textId="77777777" w:rsidTr="00E607DA">
        <w:trPr>
          <w:trHeight w:val="227"/>
        </w:trPr>
        <w:tc>
          <w:tcPr>
            <w:tcW w:w="6237" w:type="dxa"/>
            <w:tcBorders>
              <w:top w:val="nil"/>
              <w:left w:val="nil"/>
              <w:bottom w:val="nil"/>
              <w:right w:val="nil"/>
            </w:tcBorders>
            <w:shd w:val="clear" w:color="auto" w:fill="auto"/>
            <w:noWrap/>
            <w:vAlign w:val="center"/>
            <w:hideMark/>
          </w:tcPr>
          <w:p w14:paraId="6F536A64" w14:textId="77777777" w:rsidR="007C642B" w:rsidRPr="008653A2" w:rsidRDefault="007C642B" w:rsidP="00E607DA">
            <w:pPr>
              <w:jc w:val="center"/>
              <w:rPr>
                <w:rFonts w:ascii="Meta Pro" w:eastAsia="Times New Roman" w:hAnsi="Meta Pro"/>
                <w:b/>
                <w:bCs/>
                <w:szCs w:val="18"/>
                <w:lang w:eastAsia="en-AU"/>
              </w:rPr>
            </w:pPr>
          </w:p>
        </w:tc>
        <w:tc>
          <w:tcPr>
            <w:tcW w:w="1196" w:type="dxa"/>
            <w:tcBorders>
              <w:top w:val="nil"/>
              <w:left w:val="nil"/>
              <w:bottom w:val="nil"/>
              <w:right w:val="nil"/>
            </w:tcBorders>
            <w:shd w:val="clear" w:color="auto" w:fill="auto"/>
            <w:hideMark/>
          </w:tcPr>
          <w:p w14:paraId="6E256B0C" w14:textId="77777777" w:rsidR="007C642B" w:rsidRPr="008653A2" w:rsidRDefault="007C642B" w:rsidP="00E607DA">
            <w:pPr>
              <w:jc w:val="center"/>
              <w:rPr>
                <w:rFonts w:ascii="Meta Pro" w:eastAsia="Times New Roman" w:hAnsi="Meta Pro"/>
                <w:b/>
                <w:bCs/>
                <w:szCs w:val="18"/>
                <w:lang w:eastAsia="en-AU"/>
              </w:rPr>
            </w:pPr>
            <w:r w:rsidRPr="008653A2">
              <w:rPr>
                <w:rFonts w:ascii="Meta Pro" w:eastAsia="Times New Roman" w:hAnsi="Meta Pro"/>
                <w:b/>
                <w:bCs/>
                <w:szCs w:val="18"/>
                <w:lang w:eastAsia="en-AU"/>
              </w:rPr>
              <w:t>2022</w:t>
            </w:r>
            <w:r w:rsidRPr="008653A2">
              <w:rPr>
                <w:rFonts w:ascii="Meta Pro" w:eastAsia="Times New Roman" w:hAnsi="Meta Pro"/>
                <w:b/>
                <w:bCs/>
                <w:szCs w:val="18"/>
                <w:lang w:eastAsia="en-AU"/>
              </w:rPr>
              <w:br/>
              <w:t>$'000</w:t>
            </w:r>
          </w:p>
        </w:tc>
        <w:tc>
          <w:tcPr>
            <w:tcW w:w="198" w:type="dxa"/>
            <w:tcBorders>
              <w:top w:val="nil"/>
              <w:left w:val="nil"/>
              <w:bottom w:val="nil"/>
              <w:right w:val="nil"/>
            </w:tcBorders>
            <w:shd w:val="clear" w:color="auto" w:fill="auto"/>
            <w:hideMark/>
          </w:tcPr>
          <w:p w14:paraId="2C889AC7" w14:textId="77777777" w:rsidR="007C642B" w:rsidRPr="008653A2" w:rsidRDefault="007C642B" w:rsidP="00E607DA">
            <w:pPr>
              <w:jc w:val="center"/>
              <w:rPr>
                <w:rFonts w:ascii="Meta Pro" w:eastAsia="Times New Roman" w:hAnsi="Meta Pro"/>
                <w:b/>
                <w:bCs/>
                <w:szCs w:val="18"/>
                <w:lang w:eastAsia="en-AU"/>
              </w:rPr>
            </w:pPr>
          </w:p>
        </w:tc>
        <w:tc>
          <w:tcPr>
            <w:tcW w:w="1196" w:type="dxa"/>
            <w:tcBorders>
              <w:top w:val="nil"/>
              <w:left w:val="nil"/>
              <w:bottom w:val="nil"/>
              <w:right w:val="nil"/>
            </w:tcBorders>
            <w:shd w:val="clear" w:color="auto" w:fill="auto"/>
            <w:hideMark/>
          </w:tcPr>
          <w:p w14:paraId="0FA6A208" w14:textId="77777777" w:rsidR="007C642B" w:rsidRPr="008653A2" w:rsidRDefault="007C642B" w:rsidP="00E607DA">
            <w:pPr>
              <w:jc w:val="center"/>
              <w:rPr>
                <w:rFonts w:ascii="Meta Pro" w:eastAsia="Times New Roman" w:hAnsi="Meta Pro"/>
                <w:b/>
                <w:bCs/>
                <w:szCs w:val="18"/>
                <w:lang w:eastAsia="en-AU"/>
              </w:rPr>
            </w:pPr>
            <w:r w:rsidRPr="008653A2">
              <w:rPr>
                <w:rFonts w:ascii="Meta Pro" w:eastAsia="Times New Roman" w:hAnsi="Meta Pro"/>
                <w:b/>
                <w:bCs/>
                <w:szCs w:val="18"/>
                <w:lang w:eastAsia="en-AU"/>
              </w:rPr>
              <w:t>2022</w:t>
            </w:r>
            <w:r w:rsidRPr="008653A2">
              <w:rPr>
                <w:rFonts w:ascii="Meta Pro" w:eastAsia="Times New Roman" w:hAnsi="Meta Pro"/>
                <w:b/>
                <w:bCs/>
                <w:szCs w:val="18"/>
                <w:lang w:eastAsia="en-AU"/>
              </w:rPr>
              <w:br/>
              <w:t>$'000</w:t>
            </w:r>
          </w:p>
        </w:tc>
        <w:tc>
          <w:tcPr>
            <w:tcW w:w="198" w:type="dxa"/>
            <w:tcBorders>
              <w:top w:val="nil"/>
              <w:left w:val="nil"/>
              <w:bottom w:val="nil"/>
              <w:right w:val="nil"/>
            </w:tcBorders>
            <w:shd w:val="clear" w:color="auto" w:fill="auto"/>
            <w:hideMark/>
          </w:tcPr>
          <w:p w14:paraId="06A2C94D" w14:textId="77777777" w:rsidR="007C642B" w:rsidRPr="008653A2" w:rsidRDefault="007C642B" w:rsidP="00E607DA">
            <w:pPr>
              <w:jc w:val="center"/>
              <w:rPr>
                <w:rFonts w:ascii="Meta Pro" w:eastAsia="Times New Roman" w:hAnsi="Meta Pro"/>
                <w:b/>
                <w:bCs/>
                <w:szCs w:val="18"/>
                <w:lang w:eastAsia="en-AU"/>
              </w:rPr>
            </w:pPr>
          </w:p>
        </w:tc>
        <w:tc>
          <w:tcPr>
            <w:tcW w:w="1196" w:type="dxa"/>
            <w:tcBorders>
              <w:top w:val="nil"/>
              <w:left w:val="nil"/>
              <w:bottom w:val="nil"/>
              <w:right w:val="nil"/>
            </w:tcBorders>
            <w:shd w:val="clear" w:color="auto" w:fill="auto"/>
            <w:hideMark/>
          </w:tcPr>
          <w:p w14:paraId="2E1151E3" w14:textId="77777777" w:rsidR="007C642B" w:rsidRPr="008653A2" w:rsidRDefault="007C642B" w:rsidP="00E607DA">
            <w:pPr>
              <w:jc w:val="center"/>
              <w:rPr>
                <w:rFonts w:ascii="Meta Pro" w:eastAsia="Times New Roman" w:hAnsi="Meta Pro"/>
                <w:b/>
                <w:bCs/>
                <w:szCs w:val="18"/>
                <w:lang w:eastAsia="en-AU"/>
              </w:rPr>
            </w:pPr>
            <w:r w:rsidRPr="008653A2">
              <w:rPr>
                <w:rFonts w:ascii="Meta Pro" w:eastAsia="Times New Roman" w:hAnsi="Meta Pro"/>
                <w:b/>
                <w:bCs/>
                <w:szCs w:val="18"/>
                <w:lang w:eastAsia="en-AU"/>
              </w:rPr>
              <w:t>2022</w:t>
            </w:r>
            <w:r w:rsidRPr="008653A2">
              <w:rPr>
                <w:rFonts w:ascii="Meta Pro" w:eastAsia="Times New Roman" w:hAnsi="Meta Pro"/>
                <w:b/>
                <w:bCs/>
                <w:szCs w:val="18"/>
                <w:lang w:eastAsia="en-AU"/>
              </w:rPr>
              <w:br/>
              <w:t>$'000</w:t>
            </w:r>
          </w:p>
        </w:tc>
      </w:tr>
      <w:tr w:rsidR="007C642B" w:rsidRPr="008653A2" w14:paraId="18B2811B" w14:textId="77777777" w:rsidTr="00E607DA">
        <w:trPr>
          <w:trHeight w:val="227"/>
        </w:trPr>
        <w:tc>
          <w:tcPr>
            <w:tcW w:w="6237" w:type="dxa"/>
            <w:tcBorders>
              <w:top w:val="nil"/>
              <w:left w:val="nil"/>
              <w:bottom w:val="nil"/>
              <w:right w:val="nil"/>
            </w:tcBorders>
            <w:shd w:val="clear" w:color="auto" w:fill="auto"/>
            <w:noWrap/>
            <w:vAlign w:val="center"/>
            <w:hideMark/>
          </w:tcPr>
          <w:p w14:paraId="4EE6D5A5" w14:textId="77777777" w:rsidR="007C642B" w:rsidRPr="008653A2" w:rsidRDefault="007C642B" w:rsidP="00E607DA">
            <w:pPr>
              <w:outlineLvl w:val="0"/>
              <w:rPr>
                <w:rFonts w:ascii="Meta Pro" w:eastAsia="Times New Roman" w:hAnsi="Meta Pro"/>
                <w:b/>
                <w:bCs/>
                <w:szCs w:val="18"/>
                <w:lang w:eastAsia="en-AU"/>
              </w:rPr>
            </w:pPr>
            <w:r w:rsidRPr="008653A2">
              <w:rPr>
                <w:rFonts w:ascii="Meta Pro" w:eastAsia="Times New Roman" w:hAnsi="Meta Pro"/>
                <w:b/>
                <w:bCs/>
                <w:szCs w:val="18"/>
                <w:lang w:eastAsia="en-AU"/>
              </w:rPr>
              <w:t>Cash flows from operating activities</w:t>
            </w:r>
          </w:p>
        </w:tc>
        <w:tc>
          <w:tcPr>
            <w:tcW w:w="1196" w:type="dxa"/>
            <w:tcBorders>
              <w:top w:val="nil"/>
              <w:left w:val="nil"/>
              <w:bottom w:val="nil"/>
              <w:right w:val="nil"/>
            </w:tcBorders>
            <w:shd w:val="clear" w:color="auto" w:fill="auto"/>
            <w:vAlign w:val="center"/>
            <w:hideMark/>
          </w:tcPr>
          <w:p w14:paraId="089EE99F" w14:textId="77777777" w:rsidR="007C642B" w:rsidRPr="008653A2" w:rsidRDefault="007C642B" w:rsidP="00E607DA">
            <w:pPr>
              <w:outlineLvl w:val="0"/>
              <w:rPr>
                <w:rFonts w:ascii="Meta Pro" w:eastAsia="Times New Roman" w:hAnsi="Meta Pro"/>
                <w:b/>
                <w:bCs/>
                <w:szCs w:val="18"/>
                <w:lang w:eastAsia="en-AU"/>
              </w:rPr>
            </w:pPr>
          </w:p>
        </w:tc>
        <w:tc>
          <w:tcPr>
            <w:tcW w:w="198" w:type="dxa"/>
            <w:tcBorders>
              <w:top w:val="nil"/>
              <w:left w:val="nil"/>
              <w:bottom w:val="nil"/>
              <w:right w:val="nil"/>
            </w:tcBorders>
            <w:shd w:val="clear" w:color="auto" w:fill="auto"/>
            <w:vAlign w:val="center"/>
            <w:hideMark/>
          </w:tcPr>
          <w:p w14:paraId="53752199" w14:textId="77777777" w:rsidR="007C642B" w:rsidRPr="008653A2" w:rsidRDefault="007C642B" w:rsidP="00E607DA">
            <w:pPr>
              <w:outlineLvl w:val="0"/>
              <w:rPr>
                <w:rFonts w:ascii="Meta Pro" w:eastAsia="Times New Roman" w:hAnsi="Meta Pro" w:cs="Times New Roman"/>
                <w:sz w:val="20"/>
                <w:szCs w:val="20"/>
                <w:lang w:eastAsia="en-AU"/>
              </w:rPr>
            </w:pPr>
          </w:p>
        </w:tc>
        <w:tc>
          <w:tcPr>
            <w:tcW w:w="1196" w:type="dxa"/>
            <w:tcBorders>
              <w:top w:val="nil"/>
              <w:left w:val="nil"/>
              <w:bottom w:val="nil"/>
              <w:right w:val="nil"/>
            </w:tcBorders>
            <w:shd w:val="clear" w:color="auto" w:fill="auto"/>
            <w:vAlign w:val="center"/>
            <w:hideMark/>
          </w:tcPr>
          <w:p w14:paraId="4F96C432" w14:textId="77777777" w:rsidR="007C642B" w:rsidRPr="008653A2" w:rsidRDefault="007C642B" w:rsidP="00E607DA">
            <w:pPr>
              <w:jc w:val="center"/>
              <w:outlineLvl w:val="0"/>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vAlign w:val="center"/>
            <w:hideMark/>
          </w:tcPr>
          <w:p w14:paraId="65F1954B" w14:textId="77777777" w:rsidR="007C642B" w:rsidRPr="008653A2" w:rsidRDefault="007C642B" w:rsidP="00E607DA">
            <w:pPr>
              <w:outlineLvl w:val="0"/>
              <w:rPr>
                <w:rFonts w:ascii="Meta Pro" w:eastAsia="Times New Roman" w:hAnsi="Meta Pro" w:cs="Times New Roman"/>
                <w:sz w:val="20"/>
                <w:szCs w:val="20"/>
                <w:lang w:eastAsia="en-AU"/>
              </w:rPr>
            </w:pPr>
          </w:p>
        </w:tc>
        <w:tc>
          <w:tcPr>
            <w:tcW w:w="1196" w:type="dxa"/>
            <w:tcBorders>
              <w:top w:val="nil"/>
              <w:left w:val="nil"/>
              <w:bottom w:val="nil"/>
              <w:right w:val="nil"/>
            </w:tcBorders>
            <w:shd w:val="clear" w:color="auto" w:fill="auto"/>
            <w:noWrap/>
            <w:vAlign w:val="center"/>
            <w:hideMark/>
          </w:tcPr>
          <w:p w14:paraId="7FF943FF" w14:textId="77777777" w:rsidR="007C642B" w:rsidRPr="008653A2" w:rsidRDefault="007C642B" w:rsidP="00E607DA">
            <w:pPr>
              <w:jc w:val="center"/>
              <w:outlineLvl w:val="0"/>
              <w:rPr>
                <w:rFonts w:ascii="Meta Pro" w:eastAsia="Times New Roman" w:hAnsi="Meta Pro" w:cs="Times New Roman"/>
                <w:sz w:val="20"/>
                <w:szCs w:val="20"/>
                <w:lang w:eastAsia="en-AU"/>
              </w:rPr>
            </w:pPr>
          </w:p>
        </w:tc>
      </w:tr>
      <w:tr w:rsidR="007C642B" w:rsidRPr="008653A2" w14:paraId="77871444" w14:textId="77777777" w:rsidTr="00E607DA">
        <w:trPr>
          <w:trHeight w:val="227"/>
        </w:trPr>
        <w:tc>
          <w:tcPr>
            <w:tcW w:w="6237" w:type="dxa"/>
            <w:tcBorders>
              <w:top w:val="nil"/>
              <w:left w:val="nil"/>
              <w:bottom w:val="nil"/>
              <w:right w:val="nil"/>
            </w:tcBorders>
            <w:shd w:val="clear" w:color="auto" w:fill="auto"/>
            <w:noWrap/>
            <w:vAlign w:val="center"/>
            <w:hideMark/>
          </w:tcPr>
          <w:p w14:paraId="130F98D7" w14:textId="77777777" w:rsidR="007C642B" w:rsidRPr="008653A2" w:rsidRDefault="007C642B" w:rsidP="00E607DA">
            <w:pPr>
              <w:outlineLvl w:val="0"/>
              <w:rPr>
                <w:rFonts w:ascii="Meta Pro" w:eastAsia="Times New Roman" w:hAnsi="Meta Pro"/>
                <w:i/>
                <w:iCs/>
                <w:szCs w:val="18"/>
                <w:lang w:eastAsia="en-AU"/>
              </w:rPr>
            </w:pPr>
            <w:r w:rsidRPr="008653A2">
              <w:rPr>
                <w:rFonts w:ascii="Meta Pro" w:eastAsia="Times New Roman" w:hAnsi="Meta Pro"/>
                <w:i/>
                <w:iCs/>
                <w:szCs w:val="18"/>
                <w:lang w:eastAsia="en-AU"/>
              </w:rPr>
              <w:t>Inflows:</w:t>
            </w:r>
          </w:p>
        </w:tc>
        <w:tc>
          <w:tcPr>
            <w:tcW w:w="1196" w:type="dxa"/>
            <w:tcBorders>
              <w:top w:val="nil"/>
              <w:left w:val="nil"/>
              <w:bottom w:val="nil"/>
              <w:right w:val="nil"/>
            </w:tcBorders>
            <w:shd w:val="clear" w:color="auto" w:fill="auto"/>
            <w:vAlign w:val="center"/>
            <w:hideMark/>
          </w:tcPr>
          <w:p w14:paraId="58673424" w14:textId="77777777" w:rsidR="007C642B" w:rsidRPr="008653A2" w:rsidRDefault="007C642B" w:rsidP="00E607DA">
            <w:pPr>
              <w:outlineLvl w:val="0"/>
              <w:rPr>
                <w:rFonts w:ascii="Meta Pro" w:eastAsia="Times New Roman" w:hAnsi="Meta Pro"/>
                <w:i/>
                <w:iCs/>
                <w:szCs w:val="18"/>
                <w:lang w:eastAsia="en-AU"/>
              </w:rPr>
            </w:pPr>
          </w:p>
        </w:tc>
        <w:tc>
          <w:tcPr>
            <w:tcW w:w="198" w:type="dxa"/>
            <w:tcBorders>
              <w:top w:val="nil"/>
              <w:left w:val="nil"/>
              <w:bottom w:val="nil"/>
              <w:right w:val="nil"/>
            </w:tcBorders>
            <w:shd w:val="clear" w:color="auto" w:fill="auto"/>
            <w:vAlign w:val="center"/>
            <w:hideMark/>
          </w:tcPr>
          <w:p w14:paraId="0A482039" w14:textId="77777777" w:rsidR="007C642B" w:rsidRPr="008653A2" w:rsidRDefault="007C642B" w:rsidP="00E607DA">
            <w:pPr>
              <w:outlineLvl w:val="0"/>
              <w:rPr>
                <w:rFonts w:ascii="Meta Pro" w:eastAsia="Times New Roman" w:hAnsi="Meta Pro" w:cs="Times New Roman"/>
                <w:sz w:val="20"/>
                <w:szCs w:val="20"/>
                <w:lang w:eastAsia="en-AU"/>
              </w:rPr>
            </w:pPr>
          </w:p>
        </w:tc>
        <w:tc>
          <w:tcPr>
            <w:tcW w:w="1196" w:type="dxa"/>
            <w:tcBorders>
              <w:top w:val="nil"/>
              <w:left w:val="nil"/>
              <w:bottom w:val="nil"/>
              <w:right w:val="nil"/>
            </w:tcBorders>
            <w:shd w:val="clear" w:color="auto" w:fill="auto"/>
            <w:vAlign w:val="center"/>
            <w:hideMark/>
          </w:tcPr>
          <w:p w14:paraId="0C08E7B4" w14:textId="77777777" w:rsidR="007C642B" w:rsidRPr="008653A2" w:rsidRDefault="007C642B" w:rsidP="00E607DA">
            <w:pPr>
              <w:jc w:val="center"/>
              <w:outlineLvl w:val="0"/>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vAlign w:val="center"/>
            <w:hideMark/>
          </w:tcPr>
          <w:p w14:paraId="4CAD9252" w14:textId="77777777" w:rsidR="007C642B" w:rsidRPr="008653A2" w:rsidRDefault="007C642B" w:rsidP="00E607DA">
            <w:pPr>
              <w:outlineLvl w:val="0"/>
              <w:rPr>
                <w:rFonts w:ascii="Meta Pro" w:eastAsia="Times New Roman" w:hAnsi="Meta Pro" w:cs="Times New Roman"/>
                <w:sz w:val="20"/>
                <w:szCs w:val="20"/>
                <w:lang w:eastAsia="en-AU"/>
              </w:rPr>
            </w:pPr>
          </w:p>
        </w:tc>
        <w:tc>
          <w:tcPr>
            <w:tcW w:w="1196" w:type="dxa"/>
            <w:tcBorders>
              <w:top w:val="nil"/>
              <w:left w:val="nil"/>
              <w:bottom w:val="nil"/>
              <w:right w:val="nil"/>
            </w:tcBorders>
            <w:shd w:val="clear" w:color="auto" w:fill="auto"/>
            <w:noWrap/>
            <w:vAlign w:val="center"/>
            <w:hideMark/>
          </w:tcPr>
          <w:p w14:paraId="39D33AE4" w14:textId="77777777" w:rsidR="007C642B" w:rsidRPr="008653A2" w:rsidRDefault="007C642B" w:rsidP="00E607DA">
            <w:pPr>
              <w:jc w:val="center"/>
              <w:outlineLvl w:val="0"/>
              <w:rPr>
                <w:rFonts w:ascii="Meta Pro" w:eastAsia="Times New Roman" w:hAnsi="Meta Pro" w:cs="Times New Roman"/>
                <w:sz w:val="20"/>
                <w:szCs w:val="20"/>
                <w:lang w:eastAsia="en-AU"/>
              </w:rPr>
            </w:pPr>
          </w:p>
        </w:tc>
      </w:tr>
      <w:tr w:rsidR="007C642B" w:rsidRPr="008653A2" w14:paraId="2DA12099" w14:textId="77777777" w:rsidTr="00E607DA">
        <w:trPr>
          <w:trHeight w:val="227"/>
        </w:trPr>
        <w:tc>
          <w:tcPr>
            <w:tcW w:w="6237" w:type="dxa"/>
            <w:tcBorders>
              <w:top w:val="nil"/>
              <w:left w:val="nil"/>
              <w:bottom w:val="nil"/>
              <w:right w:val="nil"/>
            </w:tcBorders>
            <w:shd w:val="clear" w:color="auto" w:fill="auto"/>
            <w:noWrap/>
            <w:vAlign w:val="center"/>
            <w:hideMark/>
          </w:tcPr>
          <w:p w14:paraId="142173EF" w14:textId="77777777" w:rsidR="007C642B" w:rsidRPr="008653A2" w:rsidRDefault="007C642B" w:rsidP="00E607DA">
            <w:pPr>
              <w:outlineLvl w:val="0"/>
              <w:rPr>
                <w:rFonts w:ascii="Meta Pro" w:eastAsia="Times New Roman" w:hAnsi="Meta Pro"/>
                <w:szCs w:val="18"/>
                <w:lang w:eastAsia="en-AU"/>
              </w:rPr>
            </w:pPr>
            <w:r w:rsidRPr="008653A2">
              <w:rPr>
                <w:rFonts w:ascii="Meta Pro" w:eastAsia="Times New Roman" w:hAnsi="Meta Pro"/>
                <w:szCs w:val="18"/>
                <w:lang w:eastAsia="en-AU"/>
              </w:rPr>
              <w:t>Service appropriation receipts</w:t>
            </w:r>
          </w:p>
        </w:tc>
        <w:tc>
          <w:tcPr>
            <w:tcW w:w="1196" w:type="dxa"/>
            <w:tcBorders>
              <w:top w:val="nil"/>
              <w:left w:val="nil"/>
              <w:bottom w:val="nil"/>
              <w:right w:val="nil"/>
            </w:tcBorders>
            <w:shd w:val="clear" w:color="auto" w:fill="auto"/>
            <w:noWrap/>
            <w:vAlign w:val="center"/>
            <w:hideMark/>
          </w:tcPr>
          <w:p w14:paraId="62695BC8"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 xml:space="preserve">5,946,653 </w:t>
            </w:r>
          </w:p>
        </w:tc>
        <w:tc>
          <w:tcPr>
            <w:tcW w:w="198" w:type="dxa"/>
            <w:tcBorders>
              <w:top w:val="nil"/>
              <w:left w:val="nil"/>
              <w:bottom w:val="nil"/>
              <w:right w:val="nil"/>
            </w:tcBorders>
            <w:shd w:val="clear" w:color="auto" w:fill="auto"/>
            <w:noWrap/>
            <w:vAlign w:val="center"/>
            <w:hideMark/>
          </w:tcPr>
          <w:p w14:paraId="7EF2FE30" w14:textId="77777777" w:rsidR="007C642B" w:rsidRPr="008653A2" w:rsidRDefault="007C642B" w:rsidP="00E607DA">
            <w:pPr>
              <w:jc w:val="right"/>
              <w:outlineLvl w:val="0"/>
              <w:rPr>
                <w:rFonts w:ascii="Meta Pro" w:eastAsia="Times New Roman" w:hAnsi="Meta Pro"/>
                <w:szCs w:val="18"/>
                <w:lang w:eastAsia="en-AU"/>
              </w:rPr>
            </w:pPr>
          </w:p>
        </w:tc>
        <w:tc>
          <w:tcPr>
            <w:tcW w:w="1196" w:type="dxa"/>
            <w:tcBorders>
              <w:top w:val="nil"/>
              <w:left w:val="nil"/>
              <w:bottom w:val="nil"/>
              <w:right w:val="nil"/>
            </w:tcBorders>
            <w:shd w:val="clear" w:color="auto" w:fill="auto"/>
            <w:noWrap/>
            <w:vAlign w:val="center"/>
            <w:hideMark/>
          </w:tcPr>
          <w:p w14:paraId="4B0E8547"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 xml:space="preserve">5,944,558 </w:t>
            </w:r>
          </w:p>
        </w:tc>
        <w:tc>
          <w:tcPr>
            <w:tcW w:w="198" w:type="dxa"/>
            <w:tcBorders>
              <w:top w:val="nil"/>
              <w:left w:val="nil"/>
              <w:bottom w:val="nil"/>
              <w:right w:val="nil"/>
            </w:tcBorders>
            <w:shd w:val="clear" w:color="auto" w:fill="auto"/>
            <w:noWrap/>
            <w:vAlign w:val="center"/>
            <w:hideMark/>
          </w:tcPr>
          <w:p w14:paraId="071BC8CB" w14:textId="77777777" w:rsidR="007C642B" w:rsidRPr="008653A2" w:rsidRDefault="007C642B" w:rsidP="00E607DA">
            <w:pPr>
              <w:jc w:val="right"/>
              <w:outlineLvl w:val="0"/>
              <w:rPr>
                <w:rFonts w:ascii="Meta Pro" w:eastAsia="Times New Roman" w:hAnsi="Meta Pro"/>
                <w:szCs w:val="18"/>
                <w:lang w:eastAsia="en-AU"/>
              </w:rPr>
            </w:pPr>
          </w:p>
        </w:tc>
        <w:tc>
          <w:tcPr>
            <w:tcW w:w="1196" w:type="dxa"/>
            <w:tcBorders>
              <w:top w:val="nil"/>
              <w:left w:val="nil"/>
              <w:bottom w:val="nil"/>
              <w:right w:val="nil"/>
            </w:tcBorders>
            <w:shd w:val="clear" w:color="auto" w:fill="auto"/>
            <w:noWrap/>
            <w:vAlign w:val="center"/>
            <w:hideMark/>
          </w:tcPr>
          <w:p w14:paraId="4FF2B89C"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(2,095)</w:t>
            </w:r>
          </w:p>
        </w:tc>
      </w:tr>
      <w:tr w:rsidR="007C642B" w:rsidRPr="008653A2" w14:paraId="28E01CB2" w14:textId="77777777" w:rsidTr="00E607DA">
        <w:trPr>
          <w:trHeight w:val="227"/>
        </w:trPr>
        <w:tc>
          <w:tcPr>
            <w:tcW w:w="6237" w:type="dxa"/>
            <w:tcBorders>
              <w:top w:val="nil"/>
              <w:left w:val="nil"/>
              <w:bottom w:val="nil"/>
              <w:right w:val="nil"/>
            </w:tcBorders>
            <w:shd w:val="clear" w:color="auto" w:fill="auto"/>
            <w:noWrap/>
            <w:vAlign w:val="center"/>
            <w:hideMark/>
          </w:tcPr>
          <w:p w14:paraId="196C64F3" w14:textId="77777777" w:rsidR="007C642B" w:rsidRPr="008653A2" w:rsidRDefault="007C642B" w:rsidP="00E607DA">
            <w:pPr>
              <w:outlineLvl w:val="0"/>
              <w:rPr>
                <w:rFonts w:ascii="Meta Pro" w:eastAsia="Times New Roman" w:hAnsi="Meta Pro"/>
                <w:szCs w:val="18"/>
                <w:lang w:eastAsia="en-AU"/>
              </w:rPr>
            </w:pPr>
            <w:r w:rsidRPr="008653A2">
              <w:rPr>
                <w:rFonts w:ascii="Meta Pro" w:eastAsia="Times New Roman" w:hAnsi="Meta Pro"/>
                <w:szCs w:val="18"/>
                <w:lang w:eastAsia="en-AU"/>
              </w:rPr>
              <w:t>User charges and fees</w:t>
            </w:r>
          </w:p>
        </w:tc>
        <w:tc>
          <w:tcPr>
            <w:tcW w:w="1196" w:type="dxa"/>
            <w:tcBorders>
              <w:top w:val="nil"/>
              <w:left w:val="nil"/>
              <w:bottom w:val="nil"/>
              <w:right w:val="nil"/>
            </w:tcBorders>
            <w:shd w:val="clear" w:color="auto" w:fill="auto"/>
            <w:noWrap/>
            <w:vAlign w:val="center"/>
            <w:hideMark/>
          </w:tcPr>
          <w:p w14:paraId="6E69902C"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 xml:space="preserve">732,053 </w:t>
            </w:r>
          </w:p>
        </w:tc>
        <w:tc>
          <w:tcPr>
            <w:tcW w:w="198" w:type="dxa"/>
            <w:tcBorders>
              <w:top w:val="nil"/>
              <w:left w:val="nil"/>
              <w:bottom w:val="nil"/>
              <w:right w:val="nil"/>
            </w:tcBorders>
            <w:shd w:val="clear" w:color="auto" w:fill="auto"/>
            <w:noWrap/>
            <w:vAlign w:val="center"/>
            <w:hideMark/>
          </w:tcPr>
          <w:p w14:paraId="62CCD647" w14:textId="77777777" w:rsidR="007C642B" w:rsidRPr="008653A2" w:rsidRDefault="007C642B" w:rsidP="00E607DA">
            <w:pPr>
              <w:jc w:val="right"/>
              <w:outlineLvl w:val="0"/>
              <w:rPr>
                <w:rFonts w:ascii="Meta Pro" w:eastAsia="Times New Roman" w:hAnsi="Meta Pro"/>
                <w:szCs w:val="18"/>
                <w:lang w:eastAsia="en-AU"/>
              </w:rPr>
            </w:pPr>
          </w:p>
        </w:tc>
        <w:tc>
          <w:tcPr>
            <w:tcW w:w="1196" w:type="dxa"/>
            <w:tcBorders>
              <w:top w:val="nil"/>
              <w:left w:val="nil"/>
              <w:bottom w:val="nil"/>
              <w:right w:val="nil"/>
            </w:tcBorders>
            <w:shd w:val="clear" w:color="auto" w:fill="auto"/>
            <w:noWrap/>
            <w:vAlign w:val="center"/>
            <w:hideMark/>
          </w:tcPr>
          <w:p w14:paraId="67454A04"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 xml:space="preserve">670,648 </w:t>
            </w:r>
          </w:p>
        </w:tc>
        <w:tc>
          <w:tcPr>
            <w:tcW w:w="198" w:type="dxa"/>
            <w:tcBorders>
              <w:top w:val="nil"/>
              <w:left w:val="nil"/>
              <w:bottom w:val="nil"/>
              <w:right w:val="nil"/>
            </w:tcBorders>
            <w:shd w:val="clear" w:color="auto" w:fill="auto"/>
            <w:noWrap/>
            <w:vAlign w:val="center"/>
            <w:hideMark/>
          </w:tcPr>
          <w:p w14:paraId="68356EB1" w14:textId="77777777" w:rsidR="007C642B" w:rsidRPr="008653A2" w:rsidRDefault="007C642B" w:rsidP="00E607DA">
            <w:pPr>
              <w:jc w:val="right"/>
              <w:outlineLvl w:val="0"/>
              <w:rPr>
                <w:rFonts w:ascii="Meta Pro" w:eastAsia="Times New Roman" w:hAnsi="Meta Pro"/>
                <w:szCs w:val="18"/>
                <w:lang w:eastAsia="en-AU"/>
              </w:rPr>
            </w:pPr>
          </w:p>
        </w:tc>
        <w:tc>
          <w:tcPr>
            <w:tcW w:w="1196" w:type="dxa"/>
            <w:tcBorders>
              <w:top w:val="nil"/>
              <w:left w:val="nil"/>
              <w:bottom w:val="nil"/>
              <w:right w:val="nil"/>
            </w:tcBorders>
            <w:shd w:val="clear" w:color="auto" w:fill="auto"/>
            <w:noWrap/>
            <w:vAlign w:val="center"/>
            <w:hideMark/>
          </w:tcPr>
          <w:p w14:paraId="64E46413"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(61,405)</w:t>
            </w:r>
          </w:p>
        </w:tc>
      </w:tr>
      <w:tr w:rsidR="007C642B" w:rsidRPr="008653A2" w14:paraId="0C564777" w14:textId="77777777" w:rsidTr="00E607DA">
        <w:trPr>
          <w:trHeight w:val="227"/>
        </w:trPr>
        <w:tc>
          <w:tcPr>
            <w:tcW w:w="6237" w:type="dxa"/>
            <w:tcBorders>
              <w:top w:val="nil"/>
              <w:left w:val="nil"/>
              <w:bottom w:val="nil"/>
              <w:right w:val="nil"/>
            </w:tcBorders>
            <w:shd w:val="clear" w:color="auto" w:fill="auto"/>
            <w:noWrap/>
            <w:vAlign w:val="center"/>
            <w:hideMark/>
          </w:tcPr>
          <w:p w14:paraId="38B9B2CE" w14:textId="77777777" w:rsidR="007C642B" w:rsidRPr="008653A2" w:rsidRDefault="007C642B" w:rsidP="00E607DA">
            <w:pPr>
              <w:outlineLvl w:val="0"/>
              <w:rPr>
                <w:rFonts w:ascii="Meta Pro" w:eastAsia="Times New Roman" w:hAnsi="Meta Pro"/>
                <w:szCs w:val="18"/>
                <w:lang w:eastAsia="en-AU"/>
              </w:rPr>
            </w:pPr>
            <w:r w:rsidRPr="008653A2">
              <w:rPr>
                <w:rFonts w:ascii="Meta Pro" w:eastAsia="Times New Roman" w:hAnsi="Meta Pro"/>
                <w:szCs w:val="18"/>
                <w:lang w:eastAsia="en-AU"/>
              </w:rPr>
              <w:t xml:space="preserve">Grants and other contributions </w:t>
            </w:r>
          </w:p>
        </w:tc>
        <w:tc>
          <w:tcPr>
            <w:tcW w:w="1196" w:type="dxa"/>
            <w:tcBorders>
              <w:top w:val="nil"/>
              <w:left w:val="nil"/>
              <w:bottom w:val="nil"/>
              <w:right w:val="nil"/>
            </w:tcBorders>
            <w:shd w:val="clear" w:color="auto" w:fill="auto"/>
            <w:noWrap/>
            <w:vAlign w:val="center"/>
            <w:hideMark/>
          </w:tcPr>
          <w:p w14:paraId="470D5005"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 xml:space="preserve">203,142 </w:t>
            </w:r>
          </w:p>
        </w:tc>
        <w:tc>
          <w:tcPr>
            <w:tcW w:w="198" w:type="dxa"/>
            <w:tcBorders>
              <w:top w:val="nil"/>
              <w:left w:val="nil"/>
              <w:bottom w:val="nil"/>
              <w:right w:val="nil"/>
            </w:tcBorders>
            <w:shd w:val="clear" w:color="auto" w:fill="auto"/>
            <w:noWrap/>
            <w:vAlign w:val="center"/>
            <w:hideMark/>
          </w:tcPr>
          <w:p w14:paraId="64C398B8" w14:textId="77777777" w:rsidR="007C642B" w:rsidRPr="008653A2" w:rsidRDefault="007C642B" w:rsidP="00E607DA">
            <w:pPr>
              <w:jc w:val="right"/>
              <w:outlineLvl w:val="0"/>
              <w:rPr>
                <w:rFonts w:ascii="Meta Pro" w:eastAsia="Times New Roman" w:hAnsi="Meta Pro"/>
                <w:szCs w:val="18"/>
                <w:lang w:eastAsia="en-AU"/>
              </w:rPr>
            </w:pPr>
          </w:p>
        </w:tc>
        <w:tc>
          <w:tcPr>
            <w:tcW w:w="1196" w:type="dxa"/>
            <w:tcBorders>
              <w:top w:val="nil"/>
              <w:left w:val="nil"/>
              <w:bottom w:val="nil"/>
              <w:right w:val="nil"/>
            </w:tcBorders>
            <w:shd w:val="clear" w:color="auto" w:fill="auto"/>
            <w:noWrap/>
            <w:vAlign w:val="center"/>
            <w:hideMark/>
          </w:tcPr>
          <w:p w14:paraId="3EC6C0EE"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 xml:space="preserve">145,177 </w:t>
            </w:r>
          </w:p>
        </w:tc>
        <w:tc>
          <w:tcPr>
            <w:tcW w:w="198" w:type="dxa"/>
            <w:tcBorders>
              <w:top w:val="nil"/>
              <w:left w:val="nil"/>
              <w:bottom w:val="nil"/>
              <w:right w:val="nil"/>
            </w:tcBorders>
            <w:shd w:val="clear" w:color="auto" w:fill="auto"/>
            <w:noWrap/>
            <w:vAlign w:val="center"/>
            <w:hideMark/>
          </w:tcPr>
          <w:p w14:paraId="69E44E7D" w14:textId="77777777" w:rsidR="007C642B" w:rsidRPr="008653A2" w:rsidRDefault="007C642B" w:rsidP="00E607DA">
            <w:pPr>
              <w:jc w:val="right"/>
              <w:outlineLvl w:val="0"/>
              <w:rPr>
                <w:rFonts w:ascii="Meta Pro" w:eastAsia="Times New Roman" w:hAnsi="Meta Pro"/>
                <w:szCs w:val="18"/>
                <w:lang w:eastAsia="en-AU"/>
              </w:rPr>
            </w:pPr>
          </w:p>
        </w:tc>
        <w:tc>
          <w:tcPr>
            <w:tcW w:w="1196" w:type="dxa"/>
            <w:tcBorders>
              <w:top w:val="nil"/>
              <w:left w:val="nil"/>
              <w:bottom w:val="nil"/>
              <w:right w:val="nil"/>
            </w:tcBorders>
            <w:shd w:val="clear" w:color="auto" w:fill="auto"/>
            <w:noWrap/>
            <w:vAlign w:val="center"/>
            <w:hideMark/>
          </w:tcPr>
          <w:p w14:paraId="76A3FE0E"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(57,965)</w:t>
            </w:r>
          </w:p>
        </w:tc>
      </w:tr>
      <w:tr w:rsidR="007C642B" w:rsidRPr="008653A2" w14:paraId="4109C716" w14:textId="77777777" w:rsidTr="00E607DA">
        <w:trPr>
          <w:trHeight w:val="227"/>
        </w:trPr>
        <w:tc>
          <w:tcPr>
            <w:tcW w:w="6237" w:type="dxa"/>
            <w:tcBorders>
              <w:top w:val="nil"/>
              <w:left w:val="nil"/>
              <w:bottom w:val="nil"/>
              <w:right w:val="nil"/>
            </w:tcBorders>
            <w:shd w:val="clear" w:color="auto" w:fill="auto"/>
            <w:noWrap/>
            <w:vAlign w:val="center"/>
            <w:hideMark/>
          </w:tcPr>
          <w:p w14:paraId="650054C1" w14:textId="77777777" w:rsidR="007C642B" w:rsidRPr="008653A2" w:rsidRDefault="007C642B" w:rsidP="00E607DA">
            <w:pPr>
              <w:outlineLvl w:val="0"/>
              <w:rPr>
                <w:rFonts w:ascii="Meta Pro" w:eastAsia="Times New Roman" w:hAnsi="Meta Pro"/>
                <w:szCs w:val="18"/>
                <w:lang w:eastAsia="en-AU"/>
              </w:rPr>
            </w:pPr>
            <w:r w:rsidRPr="008653A2">
              <w:rPr>
                <w:rFonts w:ascii="Meta Pro" w:eastAsia="Times New Roman" w:hAnsi="Meta Pro"/>
                <w:szCs w:val="18"/>
                <w:lang w:eastAsia="en-AU"/>
              </w:rPr>
              <w:t>GST input tax credits from ATO</w:t>
            </w:r>
          </w:p>
        </w:tc>
        <w:tc>
          <w:tcPr>
            <w:tcW w:w="1196" w:type="dxa"/>
            <w:tcBorders>
              <w:top w:val="nil"/>
              <w:left w:val="nil"/>
              <w:bottom w:val="nil"/>
              <w:right w:val="nil"/>
            </w:tcBorders>
            <w:shd w:val="clear" w:color="auto" w:fill="auto"/>
            <w:noWrap/>
            <w:vAlign w:val="center"/>
            <w:hideMark/>
          </w:tcPr>
          <w:p w14:paraId="58C0569D"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 xml:space="preserve">676,499 </w:t>
            </w:r>
          </w:p>
        </w:tc>
        <w:tc>
          <w:tcPr>
            <w:tcW w:w="198" w:type="dxa"/>
            <w:tcBorders>
              <w:top w:val="nil"/>
              <w:left w:val="nil"/>
              <w:bottom w:val="nil"/>
              <w:right w:val="nil"/>
            </w:tcBorders>
            <w:shd w:val="clear" w:color="auto" w:fill="auto"/>
            <w:noWrap/>
            <w:vAlign w:val="center"/>
            <w:hideMark/>
          </w:tcPr>
          <w:p w14:paraId="65C7B174" w14:textId="77777777" w:rsidR="007C642B" w:rsidRPr="008653A2" w:rsidRDefault="007C642B" w:rsidP="00E607DA">
            <w:pPr>
              <w:jc w:val="right"/>
              <w:outlineLvl w:val="0"/>
              <w:rPr>
                <w:rFonts w:ascii="Meta Pro" w:eastAsia="Times New Roman" w:hAnsi="Meta Pro"/>
                <w:szCs w:val="18"/>
                <w:lang w:eastAsia="en-AU"/>
              </w:rPr>
            </w:pPr>
          </w:p>
        </w:tc>
        <w:tc>
          <w:tcPr>
            <w:tcW w:w="1196" w:type="dxa"/>
            <w:tcBorders>
              <w:top w:val="nil"/>
              <w:left w:val="nil"/>
              <w:bottom w:val="nil"/>
              <w:right w:val="nil"/>
            </w:tcBorders>
            <w:shd w:val="clear" w:color="auto" w:fill="auto"/>
            <w:noWrap/>
            <w:vAlign w:val="center"/>
            <w:hideMark/>
          </w:tcPr>
          <w:p w14:paraId="38EFA8FA"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 xml:space="preserve">853,228 </w:t>
            </w:r>
          </w:p>
        </w:tc>
        <w:tc>
          <w:tcPr>
            <w:tcW w:w="198" w:type="dxa"/>
            <w:tcBorders>
              <w:top w:val="nil"/>
              <w:left w:val="nil"/>
              <w:bottom w:val="nil"/>
              <w:right w:val="nil"/>
            </w:tcBorders>
            <w:shd w:val="clear" w:color="auto" w:fill="auto"/>
            <w:noWrap/>
            <w:vAlign w:val="center"/>
            <w:hideMark/>
          </w:tcPr>
          <w:p w14:paraId="5D323FA2" w14:textId="77777777" w:rsidR="007C642B" w:rsidRPr="008653A2" w:rsidRDefault="007C642B" w:rsidP="00E607DA">
            <w:pPr>
              <w:jc w:val="right"/>
              <w:outlineLvl w:val="0"/>
              <w:rPr>
                <w:rFonts w:ascii="Meta Pro" w:eastAsia="Times New Roman" w:hAnsi="Meta Pro"/>
                <w:szCs w:val="18"/>
                <w:lang w:eastAsia="en-AU"/>
              </w:rPr>
            </w:pPr>
          </w:p>
        </w:tc>
        <w:tc>
          <w:tcPr>
            <w:tcW w:w="1196" w:type="dxa"/>
            <w:tcBorders>
              <w:top w:val="nil"/>
              <w:left w:val="nil"/>
              <w:bottom w:val="nil"/>
              <w:right w:val="nil"/>
            </w:tcBorders>
            <w:shd w:val="clear" w:color="auto" w:fill="auto"/>
            <w:noWrap/>
            <w:vAlign w:val="center"/>
            <w:hideMark/>
          </w:tcPr>
          <w:p w14:paraId="6BC00842"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 xml:space="preserve">176,729 </w:t>
            </w:r>
          </w:p>
        </w:tc>
      </w:tr>
      <w:tr w:rsidR="007C642B" w:rsidRPr="008653A2" w14:paraId="35AAF090" w14:textId="77777777" w:rsidTr="00E607DA">
        <w:trPr>
          <w:trHeight w:val="227"/>
        </w:trPr>
        <w:tc>
          <w:tcPr>
            <w:tcW w:w="6237" w:type="dxa"/>
            <w:tcBorders>
              <w:top w:val="nil"/>
              <w:left w:val="nil"/>
              <w:bottom w:val="nil"/>
              <w:right w:val="nil"/>
            </w:tcBorders>
            <w:shd w:val="clear" w:color="auto" w:fill="auto"/>
            <w:noWrap/>
            <w:vAlign w:val="center"/>
            <w:hideMark/>
          </w:tcPr>
          <w:p w14:paraId="2F275B41" w14:textId="77777777" w:rsidR="007C642B" w:rsidRPr="008653A2" w:rsidRDefault="007C642B" w:rsidP="00E607DA">
            <w:pPr>
              <w:outlineLvl w:val="0"/>
              <w:rPr>
                <w:rFonts w:ascii="Meta Pro" w:eastAsia="Times New Roman" w:hAnsi="Meta Pro"/>
                <w:szCs w:val="18"/>
                <w:lang w:eastAsia="en-AU"/>
              </w:rPr>
            </w:pPr>
            <w:r w:rsidRPr="008653A2">
              <w:rPr>
                <w:rFonts w:ascii="Meta Pro" w:eastAsia="Times New Roman" w:hAnsi="Meta Pro"/>
                <w:szCs w:val="18"/>
                <w:lang w:eastAsia="en-AU"/>
              </w:rPr>
              <w:t>GST collected from customers</w:t>
            </w:r>
          </w:p>
        </w:tc>
        <w:tc>
          <w:tcPr>
            <w:tcW w:w="1196" w:type="dxa"/>
            <w:tcBorders>
              <w:top w:val="nil"/>
              <w:left w:val="nil"/>
              <w:bottom w:val="nil"/>
              <w:right w:val="nil"/>
            </w:tcBorders>
            <w:shd w:val="clear" w:color="auto" w:fill="auto"/>
            <w:noWrap/>
            <w:vAlign w:val="center"/>
            <w:hideMark/>
          </w:tcPr>
          <w:p w14:paraId="13E4924D"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 xml:space="preserve">67,011 </w:t>
            </w:r>
          </w:p>
        </w:tc>
        <w:tc>
          <w:tcPr>
            <w:tcW w:w="198" w:type="dxa"/>
            <w:tcBorders>
              <w:top w:val="nil"/>
              <w:left w:val="nil"/>
              <w:bottom w:val="nil"/>
              <w:right w:val="nil"/>
            </w:tcBorders>
            <w:shd w:val="clear" w:color="auto" w:fill="auto"/>
            <w:noWrap/>
            <w:vAlign w:val="center"/>
            <w:hideMark/>
          </w:tcPr>
          <w:p w14:paraId="42CD449A" w14:textId="77777777" w:rsidR="007C642B" w:rsidRPr="008653A2" w:rsidRDefault="007C642B" w:rsidP="00E607DA">
            <w:pPr>
              <w:jc w:val="right"/>
              <w:outlineLvl w:val="0"/>
              <w:rPr>
                <w:rFonts w:ascii="Meta Pro" w:eastAsia="Times New Roman" w:hAnsi="Meta Pro"/>
                <w:szCs w:val="18"/>
                <w:lang w:eastAsia="en-AU"/>
              </w:rPr>
            </w:pPr>
          </w:p>
        </w:tc>
        <w:tc>
          <w:tcPr>
            <w:tcW w:w="1196" w:type="dxa"/>
            <w:tcBorders>
              <w:top w:val="nil"/>
              <w:left w:val="nil"/>
              <w:bottom w:val="nil"/>
              <w:right w:val="nil"/>
            </w:tcBorders>
            <w:shd w:val="clear" w:color="auto" w:fill="auto"/>
            <w:noWrap/>
            <w:vAlign w:val="center"/>
            <w:hideMark/>
          </w:tcPr>
          <w:p w14:paraId="57CD9D5D"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 xml:space="preserve">67,297 </w:t>
            </w:r>
          </w:p>
        </w:tc>
        <w:tc>
          <w:tcPr>
            <w:tcW w:w="198" w:type="dxa"/>
            <w:tcBorders>
              <w:top w:val="nil"/>
              <w:left w:val="nil"/>
              <w:bottom w:val="nil"/>
              <w:right w:val="nil"/>
            </w:tcBorders>
            <w:shd w:val="clear" w:color="auto" w:fill="auto"/>
            <w:noWrap/>
            <w:vAlign w:val="center"/>
            <w:hideMark/>
          </w:tcPr>
          <w:p w14:paraId="061AD553" w14:textId="77777777" w:rsidR="007C642B" w:rsidRPr="008653A2" w:rsidRDefault="007C642B" w:rsidP="00E607DA">
            <w:pPr>
              <w:jc w:val="right"/>
              <w:outlineLvl w:val="0"/>
              <w:rPr>
                <w:rFonts w:ascii="Meta Pro" w:eastAsia="Times New Roman" w:hAnsi="Meta Pro"/>
                <w:szCs w:val="18"/>
                <w:lang w:eastAsia="en-AU"/>
              </w:rPr>
            </w:pPr>
          </w:p>
        </w:tc>
        <w:tc>
          <w:tcPr>
            <w:tcW w:w="1196" w:type="dxa"/>
            <w:tcBorders>
              <w:top w:val="nil"/>
              <w:left w:val="nil"/>
              <w:bottom w:val="nil"/>
              <w:right w:val="nil"/>
            </w:tcBorders>
            <w:shd w:val="clear" w:color="auto" w:fill="auto"/>
            <w:noWrap/>
            <w:vAlign w:val="center"/>
            <w:hideMark/>
          </w:tcPr>
          <w:p w14:paraId="4E769124"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 xml:space="preserve">286 </w:t>
            </w:r>
          </w:p>
        </w:tc>
      </w:tr>
      <w:tr w:rsidR="007C642B" w:rsidRPr="008653A2" w14:paraId="4FFC157D" w14:textId="77777777" w:rsidTr="00E607DA">
        <w:trPr>
          <w:trHeight w:val="227"/>
        </w:trPr>
        <w:tc>
          <w:tcPr>
            <w:tcW w:w="6237" w:type="dxa"/>
            <w:tcBorders>
              <w:top w:val="nil"/>
              <w:left w:val="nil"/>
              <w:bottom w:val="nil"/>
              <w:right w:val="nil"/>
            </w:tcBorders>
            <w:shd w:val="clear" w:color="auto" w:fill="auto"/>
            <w:noWrap/>
            <w:vAlign w:val="center"/>
            <w:hideMark/>
          </w:tcPr>
          <w:p w14:paraId="79DBA006" w14:textId="77777777" w:rsidR="007C642B" w:rsidRPr="008653A2" w:rsidRDefault="007C642B" w:rsidP="00E607DA">
            <w:pPr>
              <w:outlineLvl w:val="0"/>
              <w:rPr>
                <w:rFonts w:ascii="Meta Pro" w:eastAsia="Times New Roman" w:hAnsi="Meta Pro"/>
                <w:szCs w:val="18"/>
                <w:lang w:eastAsia="en-AU"/>
              </w:rPr>
            </w:pPr>
            <w:r w:rsidRPr="008653A2">
              <w:rPr>
                <w:rFonts w:ascii="Meta Pro" w:eastAsia="Times New Roman" w:hAnsi="Meta Pro"/>
                <w:szCs w:val="18"/>
                <w:lang w:eastAsia="en-AU"/>
              </w:rPr>
              <w:t xml:space="preserve">Other </w:t>
            </w:r>
          </w:p>
        </w:tc>
        <w:tc>
          <w:tcPr>
            <w:tcW w:w="1196" w:type="dxa"/>
            <w:tcBorders>
              <w:top w:val="nil"/>
              <w:left w:val="nil"/>
              <w:bottom w:val="nil"/>
              <w:right w:val="nil"/>
            </w:tcBorders>
            <w:shd w:val="clear" w:color="auto" w:fill="auto"/>
            <w:noWrap/>
            <w:vAlign w:val="center"/>
            <w:hideMark/>
          </w:tcPr>
          <w:p w14:paraId="7996EC9A"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 xml:space="preserve">16,615 </w:t>
            </w:r>
          </w:p>
        </w:tc>
        <w:tc>
          <w:tcPr>
            <w:tcW w:w="198" w:type="dxa"/>
            <w:tcBorders>
              <w:top w:val="nil"/>
              <w:left w:val="nil"/>
              <w:bottom w:val="nil"/>
              <w:right w:val="nil"/>
            </w:tcBorders>
            <w:shd w:val="clear" w:color="auto" w:fill="auto"/>
            <w:noWrap/>
            <w:vAlign w:val="center"/>
            <w:hideMark/>
          </w:tcPr>
          <w:p w14:paraId="2DFFDBD6" w14:textId="77777777" w:rsidR="007C642B" w:rsidRPr="008653A2" w:rsidRDefault="007C642B" w:rsidP="00E607DA">
            <w:pPr>
              <w:jc w:val="right"/>
              <w:outlineLvl w:val="0"/>
              <w:rPr>
                <w:rFonts w:ascii="Meta Pro" w:eastAsia="Times New Roman" w:hAnsi="Meta Pro"/>
                <w:szCs w:val="18"/>
                <w:lang w:eastAsia="en-AU"/>
              </w:rPr>
            </w:pPr>
          </w:p>
        </w:tc>
        <w:tc>
          <w:tcPr>
            <w:tcW w:w="1196" w:type="dxa"/>
            <w:tcBorders>
              <w:top w:val="nil"/>
              <w:left w:val="nil"/>
              <w:bottom w:val="nil"/>
              <w:right w:val="nil"/>
            </w:tcBorders>
            <w:shd w:val="clear" w:color="auto" w:fill="auto"/>
            <w:noWrap/>
            <w:vAlign w:val="center"/>
            <w:hideMark/>
          </w:tcPr>
          <w:p w14:paraId="4BA17F60"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 xml:space="preserve">51,967 </w:t>
            </w:r>
          </w:p>
        </w:tc>
        <w:tc>
          <w:tcPr>
            <w:tcW w:w="198" w:type="dxa"/>
            <w:tcBorders>
              <w:top w:val="nil"/>
              <w:left w:val="nil"/>
              <w:bottom w:val="nil"/>
              <w:right w:val="nil"/>
            </w:tcBorders>
            <w:shd w:val="clear" w:color="auto" w:fill="auto"/>
            <w:noWrap/>
            <w:vAlign w:val="center"/>
            <w:hideMark/>
          </w:tcPr>
          <w:p w14:paraId="0DA06F87" w14:textId="77777777" w:rsidR="007C642B" w:rsidRPr="008653A2" w:rsidRDefault="007C642B" w:rsidP="00E607DA">
            <w:pPr>
              <w:jc w:val="right"/>
              <w:outlineLvl w:val="0"/>
              <w:rPr>
                <w:rFonts w:ascii="Meta Pro" w:eastAsia="Times New Roman" w:hAnsi="Meta Pro"/>
                <w:szCs w:val="18"/>
                <w:lang w:eastAsia="en-AU"/>
              </w:rPr>
            </w:pPr>
          </w:p>
        </w:tc>
        <w:tc>
          <w:tcPr>
            <w:tcW w:w="1196" w:type="dxa"/>
            <w:tcBorders>
              <w:top w:val="nil"/>
              <w:left w:val="nil"/>
              <w:bottom w:val="nil"/>
              <w:right w:val="nil"/>
            </w:tcBorders>
            <w:shd w:val="clear" w:color="auto" w:fill="auto"/>
            <w:noWrap/>
            <w:vAlign w:val="center"/>
            <w:hideMark/>
          </w:tcPr>
          <w:p w14:paraId="5EE345DD"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 xml:space="preserve">35,352 </w:t>
            </w:r>
          </w:p>
        </w:tc>
      </w:tr>
      <w:tr w:rsidR="007C642B" w:rsidRPr="008653A2" w14:paraId="4188417E" w14:textId="77777777" w:rsidTr="00E607DA">
        <w:trPr>
          <w:trHeight w:val="227"/>
        </w:trPr>
        <w:tc>
          <w:tcPr>
            <w:tcW w:w="6237" w:type="dxa"/>
            <w:tcBorders>
              <w:top w:val="nil"/>
              <w:left w:val="nil"/>
              <w:bottom w:val="nil"/>
              <w:right w:val="nil"/>
            </w:tcBorders>
            <w:shd w:val="clear" w:color="auto" w:fill="auto"/>
            <w:noWrap/>
            <w:vAlign w:val="center"/>
            <w:hideMark/>
          </w:tcPr>
          <w:p w14:paraId="14D12CF6" w14:textId="77777777" w:rsidR="007C642B" w:rsidRPr="008653A2" w:rsidRDefault="007C642B" w:rsidP="00E607DA">
            <w:pPr>
              <w:outlineLvl w:val="0"/>
              <w:rPr>
                <w:rFonts w:ascii="Meta Pro" w:eastAsia="Times New Roman" w:hAnsi="Meta Pro"/>
                <w:i/>
                <w:iCs/>
                <w:szCs w:val="18"/>
                <w:lang w:eastAsia="en-AU"/>
              </w:rPr>
            </w:pPr>
            <w:r w:rsidRPr="008653A2">
              <w:rPr>
                <w:rFonts w:ascii="Meta Pro" w:eastAsia="Times New Roman" w:hAnsi="Meta Pro"/>
                <w:i/>
                <w:iCs/>
                <w:szCs w:val="18"/>
                <w:lang w:eastAsia="en-AU"/>
              </w:rPr>
              <w:lastRenderedPageBreak/>
              <w:t>Outflows:</w:t>
            </w:r>
          </w:p>
        </w:tc>
        <w:tc>
          <w:tcPr>
            <w:tcW w:w="1196" w:type="dxa"/>
            <w:tcBorders>
              <w:top w:val="nil"/>
              <w:left w:val="nil"/>
              <w:bottom w:val="nil"/>
              <w:right w:val="nil"/>
            </w:tcBorders>
            <w:shd w:val="clear" w:color="auto" w:fill="auto"/>
            <w:noWrap/>
            <w:vAlign w:val="center"/>
            <w:hideMark/>
          </w:tcPr>
          <w:p w14:paraId="37B696F6" w14:textId="77777777" w:rsidR="007C642B" w:rsidRPr="008653A2" w:rsidRDefault="007C642B" w:rsidP="00E607DA">
            <w:pPr>
              <w:outlineLvl w:val="0"/>
              <w:rPr>
                <w:rFonts w:ascii="Meta Pro" w:eastAsia="Times New Roman" w:hAnsi="Meta Pro"/>
                <w:i/>
                <w:iCs/>
                <w:szCs w:val="18"/>
                <w:lang w:eastAsia="en-AU"/>
              </w:rPr>
            </w:pPr>
          </w:p>
        </w:tc>
        <w:tc>
          <w:tcPr>
            <w:tcW w:w="198" w:type="dxa"/>
            <w:tcBorders>
              <w:top w:val="nil"/>
              <w:left w:val="nil"/>
              <w:bottom w:val="nil"/>
              <w:right w:val="nil"/>
            </w:tcBorders>
            <w:shd w:val="clear" w:color="auto" w:fill="auto"/>
            <w:noWrap/>
            <w:vAlign w:val="center"/>
            <w:hideMark/>
          </w:tcPr>
          <w:p w14:paraId="72CA1AAE" w14:textId="77777777" w:rsidR="007C642B" w:rsidRPr="008653A2" w:rsidRDefault="007C642B" w:rsidP="00E607DA">
            <w:pPr>
              <w:outlineLvl w:val="0"/>
              <w:rPr>
                <w:rFonts w:ascii="Meta Pro" w:eastAsia="Times New Roman" w:hAnsi="Meta Pro" w:cs="Times New Roman"/>
                <w:sz w:val="20"/>
                <w:szCs w:val="20"/>
                <w:lang w:eastAsia="en-AU"/>
              </w:rPr>
            </w:pPr>
          </w:p>
        </w:tc>
        <w:tc>
          <w:tcPr>
            <w:tcW w:w="1196" w:type="dxa"/>
            <w:tcBorders>
              <w:top w:val="nil"/>
              <w:left w:val="nil"/>
              <w:bottom w:val="nil"/>
              <w:right w:val="nil"/>
            </w:tcBorders>
            <w:shd w:val="clear" w:color="auto" w:fill="auto"/>
            <w:noWrap/>
            <w:vAlign w:val="center"/>
            <w:hideMark/>
          </w:tcPr>
          <w:p w14:paraId="4E6E71B5" w14:textId="77777777" w:rsidR="007C642B" w:rsidRPr="008653A2" w:rsidRDefault="007C642B" w:rsidP="00E607DA">
            <w:pPr>
              <w:jc w:val="right"/>
              <w:outlineLvl w:val="0"/>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7E0D0730" w14:textId="77777777" w:rsidR="007C642B" w:rsidRPr="008653A2" w:rsidRDefault="007C642B" w:rsidP="00E607DA">
            <w:pPr>
              <w:outlineLvl w:val="0"/>
              <w:rPr>
                <w:rFonts w:ascii="Meta Pro" w:eastAsia="Times New Roman" w:hAnsi="Meta Pro" w:cs="Times New Roman"/>
                <w:sz w:val="20"/>
                <w:szCs w:val="20"/>
                <w:lang w:eastAsia="en-AU"/>
              </w:rPr>
            </w:pPr>
          </w:p>
        </w:tc>
        <w:tc>
          <w:tcPr>
            <w:tcW w:w="1196" w:type="dxa"/>
            <w:tcBorders>
              <w:top w:val="nil"/>
              <w:left w:val="nil"/>
              <w:bottom w:val="nil"/>
              <w:right w:val="nil"/>
            </w:tcBorders>
            <w:shd w:val="clear" w:color="auto" w:fill="auto"/>
            <w:noWrap/>
            <w:vAlign w:val="center"/>
            <w:hideMark/>
          </w:tcPr>
          <w:p w14:paraId="54D9C5DB" w14:textId="77777777" w:rsidR="007C642B" w:rsidRPr="008653A2" w:rsidRDefault="007C642B" w:rsidP="00E607DA">
            <w:pPr>
              <w:jc w:val="right"/>
              <w:outlineLvl w:val="0"/>
              <w:rPr>
                <w:rFonts w:ascii="Meta Pro" w:eastAsia="Times New Roman" w:hAnsi="Meta Pro" w:cs="Times New Roman"/>
                <w:sz w:val="20"/>
                <w:szCs w:val="20"/>
                <w:lang w:eastAsia="en-AU"/>
              </w:rPr>
            </w:pPr>
          </w:p>
        </w:tc>
      </w:tr>
      <w:tr w:rsidR="007C642B" w:rsidRPr="008653A2" w14:paraId="2C310B70" w14:textId="77777777" w:rsidTr="00E607DA">
        <w:trPr>
          <w:trHeight w:val="227"/>
        </w:trPr>
        <w:tc>
          <w:tcPr>
            <w:tcW w:w="6237" w:type="dxa"/>
            <w:tcBorders>
              <w:top w:val="nil"/>
              <w:left w:val="nil"/>
              <w:bottom w:val="nil"/>
              <w:right w:val="nil"/>
            </w:tcBorders>
            <w:shd w:val="clear" w:color="auto" w:fill="auto"/>
            <w:noWrap/>
            <w:vAlign w:val="center"/>
            <w:hideMark/>
          </w:tcPr>
          <w:p w14:paraId="23455DEF" w14:textId="77777777" w:rsidR="007C642B" w:rsidRPr="008653A2" w:rsidRDefault="007C642B" w:rsidP="00E607DA">
            <w:pPr>
              <w:outlineLvl w:val="0"/>
              <w:rPr>
                <w:rFonts w:ascii="Meta Pro" w:eastAsia="Times New Roman" w:hAnsi="Meta Pro"/>
                <w:szCs w:val="18"/>
                <w:lang w:eastAsia="en-AU"/>
              </w:rPr>
            </w:pPr>
            <w:r w:rsidRPr="008653A2">
              <w:rPr>
                <w:rFonts w:ascii="Meta Pro" w:eastAsia="Times New Roman" w:hAnsi="Meta Pro"/>
                <w:szCs w:val="18"/>
                <w:lang w:eastAsia="en-AU"/>
              </w:rPr>
              <w:t>Employee expenses</w:t>
            </w:r>
          </w:p>
        </w:tc>
        <w:tc>
          <w:tcPr>
            <w:tcW w:w="1196" w:type="dxa"/>
            <w:tcBorders>
              <w:top w:val="nil"/>
              <w:left w:val="nil"/>
              <w:bottom w:val="nil"/>
              <w:right w:val="nil"/>
            </w:tcBorders>
            <w:shd w:val="clear" w:color="auto" w:fill="auto"/>
            <w:noWrap/>
            <w:vAlign w:val="center"/>
            <w:hideMark/>
          </w:tcPr>
          <w:p w14:paraId="37316787"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(613,086)</w:t>
            </w:r>
          </w:p>
        </w:tc>
        <w:tc>
          <w:tcPr>
            <w:tcW w:w="198" w:type="dxa"/>
            <w:tcBorders>
              <w:top w:val="nil"/>
              <w:left w:val="nil"/>
              <w:bottom w:val="nil"/>
              <w:right w:val="nil"/>
            </w:tcBorders>
            <w:shd w:val="clear" w:color="auto" w:fill="auto"/>
            <w:noWrap/>
            <w:vAlign w:val="center"/>
            <w:hideMark/>
          </w:tcPr>
          <w:p w14:paraId="7D5D6761" w14:textId="77777777" w:rsidR="007C642B" w:rsidRPr="008653A2" w:rsidRDefault="007C642B" w:rsidP="00E607DA">
            <w:pPr>
              <w:jc w:val="right"/>
              <w:outlineLvl w:val="0"/>
              <w:rPr>
                <w:rFonts w:ascii="Meta Pro" w:eastAsia="Times New Roman" w:hAnsi="Meta Pro"/>
                <w:szCs w:val="18"/>
                <w:lang w:eastAsia="en-AU"/>
              </w:rPr>
            </w:pPr>
          </w:p>
        </w:tc>
        <w:tc>
          <w:tcPr>
            <w:tcW w:w="1196" w:type="dxa"/>
            <w:tcBorders>
              <w:top w:val="nil"/>
              <w:left w:val="nil"/>
              <w:bottom w:val="nil"/>
              <w:right w:val="nil"/>
            </w:tcBorders>
            <w:shd w:val="clear" w:color="auto" w:fill="auto"/>
            <w:noWrap/>
            <w:vAlign w:val="center"/>
            <w:hideMark/>
          </w:tcPr>
          <w:p w14:paraId="0353DD11"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(653,361)</w:t>
            </w:r>
          </w:p>
        </w:tc>
        <w:tc>
          <w:tcPr>
            <w:tcW w:w="198" w:type="dxa"/>
            <w:tcBorders>
              <w:top w:val="nil"/>
              <w:left w:val="nil"/>
              <w:bottom w:val="nil"/>
              <w:right w:val="nil"/>
            </w:tcBorders>
            <w:shd w:val="clear" w:color="auto" w:fill="auto"/>
            <w:noWrap/>
            <w:vAlign w:val="center"/>
            <w:hideMark/>
          </w:tcPr>
          <w:p w14:paraId="43548D26" w14:textId="77777777" w:rsidR="007C642B" w:rsidRPr="008653A2" w:rsidRDefault="007C642B" w:rsidP="00E607DA">
            <w:pPr>
              <w:jc w:val="right"/>
              <w:outlineLvl w:val="0"/>
              <w:rPr>
                <w:rFonts w:ascii="Meta Pro" w:eastAsia="Times New Roman" w:hAnsi="Meta Pro"/>
                <w:szCs w:val="18"/>
                <w:lang w:eastAsia="en-AU"/>
              </w:rPr>
            </w:pPr>
          </w:p>
        </w:tc>
        <w:tc>
          <w:tcPr>
            <w:tcW w:w="1196" w:type="dxa"/>
            <w:tcBorders>
              <w:top w:val="nil"/>
              <w:left w:val="nil"/>
              <w:bottom w:val="nil"/>
              <w:right w:val="nil"/>
            </w:tcBorders>
            <w:shd w:val="clear" w:color="auto" w:fill="auto"/>
            <w:noWrap/>
            <w:vAlign w:val="center"/>
            <w:hideMark/>
          </w:tcPr>
          <w:p w14:paraId="1DB7B896"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(40,275)</w:t>
            </w:r>
          </w:p>
        </w:tc>
      </w:tr>
      <w:tr w:rsidR="007C642B" w:rsidRPr="008653A2" w14:paraId="3519EAF8" w14:textId="77777777" w:rsidTr="00E607DA">
        <w:trPr>
          <w:trHeight w:val="227"/>
        </w:trPr>
        <w:tc>
          <w:tcPr>
            <w:tcW w:w="6237" w:type="dxa"/>
            <w:tcBorders>
              <w:top w:val="nil"/>
              <w:left w:val="nil"/>
              <w:bottom w:val="nil"/>
              <w:right w:val="nil"/>
            </w:tcBorders>
            <w:shd w:val="clear" w:color="auto" w:fill="auto"/>
            <w:noWrap/>
            <w:vAlign w:val="center"/>
            <w:hideMark/>
          </w:tcPr>
          <w:p w14:paraId="7090A352" w14:textId="77777777" w:rsidR="007C642B" w:rsidRPr="008653A2" w:rsidRDefault="007C642B" w:rsidP="00E607DA">
            <w:pPr>
              <w:outlineLvl w:val="0"/>
              <w:rPr>
                <w:rFonts w:ascii="Meta Pro" w:eastAsia="Times New Roman" w:hAnsi="Meta Pro"/>
                <w:szCs w:val="18"/>
                <w:lang w:eastAsia="en-AU"/>
              </w:rPr>
            </w:pPr>
            <w:r w:rsidRPr="008653A2">
              <w:rPr>
                <w:rFonts w:ascii="Meta Pro" w:eastAsia="Times New Roman" w:hAnsi="Meta Pro"/>
                <w:szCs w:val="18"/>
                <w:lang w:eastAsia="en-AU"/>
              </w:rPr>
              <w:t xml:space="preserve">Supplies and services </w:t>
            </w:r>
          </w:p>
        </w:tc>
        <w:tc>
          <w:tcPr>
            <w:tcW w:w="1196" w:type="dxa"/>
            <w:tcBorders>
              <w:top w:val="nil"/>
              <w:left w:val="nil"/>
              <w:bottom w:val="nil"/>
              <w:right w:val="nil"/>
            </w:tcBorders>
            <w:shd w:val="clear" w:color="auto" w:fill="auto"/>
            <w:noWrap/>
            <w:vAlign w:val="center"/>
            <w:hideMark/>
          </w:tcPr>
          <w:p w14:paraId="77D6869C"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(4,091,593)</w:t>
            </w:r>
          </w:p>
        </w:tc>
        <w:tc>
          <w:tcPr>
            <w:tcW w:w="198" w:type="dxa"/>
            <w:tcBorders>
              <w:top w:val="nil"/>
              <w:left w:val="nil"/>
              <w:bottom w:val="nil"/>
              <w:right w:val="nil"/>
            </w:tcBorders>
            <w:shd w:val="clear" w:color="auto" w:fill="auto"/>
            <w:noWrap/>
            <w:vAlign w:val="center"/>
            <w:hideMark/>
          </w:tcPr>
          <w:p w14:paraId="7BF6F864" w14:textId="77777777" w:rsidR="007C642B" w:rsidRPr="008653A2" w:rsidRDefault="007C642B" w:rsidP="00E607DA">
            <w:pPr>
              <w:jc w:val="right"/>
              <w:outlineLvl w:val="0"/>
              <w:rPr>
                <w:rFonts w:ascii="Meta Pro" w:eastAsia="Times New Roman" w:hAnsi="Meta Pro"/>
                <w:szCs w:val="18"/>
                <w:lang w:eastAsia="en-AU"/>
              </w:rPr>
            </w:pPr>
          </w:p>
        </w:tc>
        <w:tc>
          <w:tcPr>
            <w:tcW w:w="1196" w:type="dxa"/>
            <w:tcBorders>
              <w:top w:val="nil"/>
              <w:left w:val="nil"/>
              <w:bottom w:val="nil"/>
              <w:right w:val="nil"/>
            </w:tcBorders>
            <w:shd w:val="clear" w:color="auto" w:fill="auto"/>
            <w:noWrap/>
            <w:vAlign w:val="center"/>
            <w:hideMark/>
          </w:tcPr>
          <w:p w14:paraId="4CA41FEB"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(4,180,982)</w:t>
            </w:r>
          </w:p>
        </w:tc>
        <w:tc>
          <w:tcPr>
            <w:tcW w:w="198" w:type="dxa"/>
            <w:tcBorders>
              <w:top w:val="nil"/>
              <w:left w:val="nil"/>
              <w:bottom w:val="nil"/>
              <w:right w:val="nil"/>
            </w:tcBorders>
            <w:shd w:val="clear" w:color="auto" w:fill="auto"/>
            <w:noWrap/>
            <w:vAlign w:val="center"/>
            <w:hideMark/>
          </w:tcPr>
          <w:p w14:paraId="4F69637F" w14:textId="77777777" w:rsidR="007C642B" w:rsidRPr="008653A2" w:rsidRDefault="007C642B" w:rsidP="00E607DA">
            <w:pPr>
              <w:jc w:val="right"/>
              <w:outlineLvl w:val="0"/>
              <w:rPr>
                <w:rFonts w:ascii="Meta Pro" w:eastAsia="Times New Roman" w:hAnsi="Meta Pro"/>
                <w:szCs w:val="18"/>
                <w:lang w:eastAsia="en-AU"/>
              </w:rPr>
            </w:pPr>
          </w:p>
        </w:tc>
        <w:tc>
          <w:tcPr>
            <w:tcW w:w="1196" w:type="dxa"/>
            <w:tcBorders>
              <w:top w:val="nil"/>
              <w:left w:val="nil"/>
              <w:bottom w:val="nil"/>
              <w:right w:val="nil"/>
            </w:tcBorders>
            <w:shd w:val="clear" w:color="auto" w:fill="auto"/>
            <w:noWrap/>
            <w:vAlign w:val="center"/>
            <w:hideMark/>
          </w:tcPr>
          <w:p w14:paraId="191AD2E9"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(89,389)</w:t>
            </w:r>
          </w:p>
        </w:tc>
      </w:tr>
      <w:tr w:rsidR="007C642B" w:rsidRPr="008653A2" w14:paraId="5E85741A" w14:textId="77777777" w:rsidTr="00E607DA">
        <w:trPr>
          <w:trHeight w:val="227"/>
        </w:trPr>
        <w:tc>
          <w:tcPr>
            <w:tcW w:w="6237" w:type="dxa"/>
            <w:tcBorders>
              <w:top w:val="nil"/>
              <w:left w:val="nil"/>
              <w:bottom w:val="nil"/>
              <w:right w:val="nil"/>
            </w:tcBorders>
            <w:shd w:val="clear" w:color="auto" w:fill="auto"/>
            <w:noWrap/>
            <w:vAlign w:val="center"/>
            <w:hideMark/>
          </w:tcPr>
          <w:p w14:paraId="3E57FA05" w14:textId="77777777" w:rsidR="007C642B" w:rsidRPr="008653A2" w:rsidRDefault="007C642B" w:rsidP="00E607DA">
            <w:pPr>
              <w:outlineLvl w:val="0"/>
              <w:rPr>
                <w:rFonts w:ascii="Meta Pro" w:eastAsia="Times New Roman" w:hAnsi="Meta Pro"/>
                <w:szCs w:val="18"/>
                <w:lang w:eastAsia="en-AU"/>
              </w:rPr>
            </w:pPr>
            <w:r w:rsidRPr="008653A2">
              <w:rPr>
                <w:rFonts w:ascii="Meta Pro" w:eastAsia="Times New Roman" w:hAnsi="Meta Pro"/>
                <w:szCs w:val="18"/>
                <w:lang w:eastAsia="en-AU"/>
              </w:rPr>
              <w:t>Grants and subsidies</w:t>
            </w:r>
          </w:p>
        </w:tc>
        <w:tc>
          <w:tcPr>
            <w:tcW w:w="1196" w:type="dxa"/>
            <w:tcBorders>
              <w:top w:val="nil"/>
              <w:left w:val="nil"/>
              <w:bottom w:val="nil"/>
              <w:right w:val="nil"/>
            </w:tcBorders>
            <w:shd w:val="clear" w:color="auto" w:fill="auto"/>
            <w:noWrap/>
            <w:vAlign w:val="center"/>
            <w:hideMark/>
          </w:tcPr>
          <w:p w14:paraId="501F680F"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(766,490)</w:t>
            </w:r>
          </w:p>
        </w:tc>
        <w:tc>
          <w:tcPr>
            <w:tcW w:w="198" w:type="dxa"/>
            <w:tcBorders>
              <w:top w:val="nil"/>
              <w:left w:val="nil"/>
              <w:bottom w:val="nil"/>
              <w:right w:val="nil"/>
            </w:tcBorders>
            <w:shd w:val="clear" w:color="auto" w:fill="auto"/>
            <w:noWrap/>
            <w:vAlign w:val="center"/>
            <w:hideMark/>
          </w:tcPr>
          <w:p w14:paraId="5FE7E3E9" w14:textId="77777777" w:rsidR="007C642B" w:rsidRPr="008653A2" w:rsidRDefault="007C642B" w:rsidP="00E607DA">
            <w:pPr>
              <w:jc w:val="right"/>
              <w:outlineLvl w:val="0"/>
              <w:rPr>
                <w:rFonts w:ascii="Meta Pro" w:eastAsia="Times New Roman" w:hAnsi="Meta Pro"/>
                <w:szCs w:val="18"/>
                <w:lang w:eastAsia="en-AU"/>
              </w:rPr>
            </w:pPr>
          </w:p>
        </w:tc>
        <w:tc>
          <w:tcPr>
            <w:tcW w:w="1196" w:type="dxa"/>
            <w:tcBorders>
              <w:top w:val="nil"/>
              <w:left w:val="nil"/>
              <w:bottom w:val="nil"/>
              <w:right w:val="nil"/>
            </w:tcBorders>
            <w:shd w:val="clear" w:color="auto" w:fill="auto"/>
            <w:noWrap/>
            <w:vAlign w:val="center"/>
            <w:hideMark/>
          </w:tcPr>
          <w:p w14:paraId="5E1F4107"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(702,273)</w:t>
            </w:r>
          </w:p>
        </w:tc>
        <w:tc>
          <w:tcPr>
            <w:tcW w:w="198" w:type="dxa"/>
            <w:tcBorders>
              <w:top w:val="nil"/>
              <w:left w:val="nil"/>
              <w:bottom w:val="nil"/>
              <w:right w:val="nil"/>
            </w:tcBorders>
            <w:shd w:val="clear" w:color="auto" w:fill="auto"/>
            <w:noWrap/>
            <w:vAlign w:val="center"/>
            <w:hideMark/>
          </w:tcPr>
          <w:p w14:paraId="700E8C25" w14:textId="77777777" w:rsidR="007C642B" w:rsidRPr="008653A2" w:rsidRDefault="007C642B" w:rsidP="00E607DA">
            <w:pPr>
              <w:jc w:val="right"/>
              <w:outlineLvl w:val="0"/>
              <w:rPr>
                <w:rFonts w:ascii="Meta Pro" w:eastAsia="Times New Roman" w:hAnsi="Meta Pro"/>
                <w:szCs w:val="18"/>
                <w:lang w:eastAsia="en-AU"/>
              </w:rPr>
            </w:pPr>
          </w:p>
        </w:tc>
        <w:tc>
          <w:tcPr>
            <w:tcW w:w="1196" w:type="dxa"/>
            <w:tcBorders>
              <w:top w:val="nil"/>
              <w:left w:val="nil"/>
              <w:bottom w:val="nil"/>
              <w:right w:val="nil"/>
            </w:tcBorders>
            <w:shd w:val="clear" w:color="auto" w:fill="auto"/>
            <w:noWrap/>
            <w:vAlign w:val="center"/>
            <w:hideMark/>
          </w:tcPr>
          <w:p w14:paraId="79236924"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 xml:space="preserve">64,217 </w:t>
            </w:r>
          </w:p>
        </w:tc>
      </w:tr>
      <w:tr w:rsidR="007C642B" w:rsidRPr="008653A2" w14:paraId="2D858C3B" w14:textId="77777777" w:rsidTr="00E607DA">
        <w:trPr>
          <w:trHeight w:val="227"/>
        </w:trPr>
        <w:tc>
          <w:tcPr>
            <w:tcW w:w="6237" w:type="dxa"/>
            <w:tcBorders>
              <w:top w:val="nil"/>
              <w:left w:val="nil"/>
              <w:bottom w:val="nil"/>
              <w:right w:val="nil"/>
            </w:tcBorders>
            <w:shd w:val="clear" w:color="auto" w:fill="auto"/>
            <w:noWrap/>
            <w:vAlign w:val="center"/>
            <w:hideMark/>
          </w:tcPr>
          <w:p w14:paraId="40C3E42F" w14:textId="77777777" w:rsidR="007C642B" w:rsidRPr="008653A2" w:rsidRDefault="007C642B" w:rsidP="00E607DA">
            <w:pPr>
              <w:outlineLvl w:val="0"/>
              <w:rPr>
                <w:rFonts w:ascii="Meta Pro" w:eastAsia="Times New Roman" w:hAnsi="Meta Pro"/>
                <w:szCs w:val="18"/>
                <w:lang w:eastAsia="en-AU"/>
              </w:rPr>
            </w:pPr>
            <w:r w:rsidRPr="008653A2">
              <w:rPr>
                <w:rFonts w:ascii="Meta Pro" w:eastAsia="Times New Roman" w:hAnsi="Meta Pro"/>
                <w:szCs w:val="18"/>
                <w:lang w:eastAsia="en-AU"/>
              </w:rPr>
              <w:t>Finance and borrowing costs</w:t>
            </w:r>
          </w:p>
        </w:tc>
        <w:tc>
          <w:tcPr>
            <w:tcW w:w="1196" w:type="dxa"/>
            <w:tcBorders>
              <w:top w:val="nil"/>
              <w:left w:val="nil"/>
              <w:bottom w:val="nil"/>
              <w:right w:val="nil"/>
            </w:tcBorders>
            <w:shd w:val="clear" w:color="auto" w:fill="auto"/>
            <w:noWrap/>
            <w:vAlign w:val="center"/>
            <w:hideMark/>
          </w:tcPr>
          <w:p w14:paraId="3615B7A4"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(114,414)</w:t>
            </w:r>
          </w:p>
        </w:tc>
        <w:tc>
          <w:tcPr>
            <w:tcW w:w="198" w:type="dxa"/>
            <w:tcBorders>
              <w:top w:val="nil"/>
              <w:left w:val="nil"/>
              <w:bottom w:val="nil"/>
              <w:right w:val="nil"/>
            </w:tcBorders>
            <w:shd w:val="clear" w:color="auto" w:fill="auto"/>
            <w:noWrap/>
            <w:vAlign w:val="center"/>
            <w:hideMark/>
          </w:tcPr>
          <w:p w14:paraId="7A32DCE0" w14:textId="77777777" w:rsidR="007C642B" w:rsidRPr="008653A2" w:rsidRDefault="007C642B" w:rsidP="00E607DA">
            <w:pPr>
              <w:jc w:val="right"/>
              <w:outlineLvl w:val="0"/>
              <w:rPr>
                <w:rFonts w:ascii="Meta Pro" w:eastAsia="Times New Roman" w:hAnsi="Meta Pro"/>
                <w:szCs w:val="18"/>
                <w:lang w:eastAsia="en-AU"/>
              </w:rPr>
            </w:pPr>
          </w:p>
        </w:tc>
        <w:tc>
          <w:tcPr>
            <w:tcW w:w="1196" w:type="dxa"/>
            <w:tcBorders>
              <w:top w:val="nil"/>
              <w:left w:val="nil"/>
              <w:bottom w:val="nil"/>
              <w:right w:val="nil"/>
            </w:tcBorders>
            <w:shd w:val="clear" w:color="auto" w:fill="auto"/>
            <w:noWrap/>
            <w:vAlign w:val="center"/>
            <w:hideMark/>
          </w:tcPr>
          <w:p w14:paraId="0C507676"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(76,487)</w:t>
            </w:r>
          </w:p>
        </w:tc>
        <w:tc>
          <w:tcPr>
            <w:tcW w:w="198" w:type="dxa"/>
            <w:tcBorders>
              <w:top w:val="nil"/>
              <w:left w:val="nil"/>
              <w:bottom w:val="nil"/>
              <w:right w:val="nil"/>
            </w:tcBorders>
            <w:shd w:val="clear" w:color="auto" w:fill="auto"/>
            <w:noWrap/>
            <w:vAlign w:val="center"/>
            <w:hideMark/>
          </w:tcPr>
          <w:p w14:paraId="05DD54BA" w14:textId="77777777" w:rsidR="007C642B" w:rsidRPr="008653A2" w:rsidRDefault="007C642B" w:rsidP="00E607DA">
            <w:pPr>
              <w:jc w:val="right"/>
              <w:outlineLvl w:val="0"/>
              <w:rPr>
                <w:rFonts w:ascii="Meta Pro" w:eastAsia="Times New Roman" w:hAnsi="Meta Pro"/>
                <w:szCs w:val="18"/>
                <w:lang w:eastAsia="en-AU"/>
              </w:rPr>
            </w:pPr>
          </w:p>
        </w:tc>
        <w:tc>
          <w:tcPr>
            <w:tcW w:w="1196" w:type="dxa"/>
            <w:tcBorders>
              <w:top w:val="nil"/>
              <w:left w:val="nil"/>
              <w:bottom w:val="nil"/>
              <w:right w:val="nil"/>
            </w:tcBorders>
            <w:shd w:val="clear" w:color="auto" w:fill="auto"/>
            <w:noWrap/>
            <w:vAlign w:val="center"/>
            <w:hideMark/>
          </w:tcPr>
          <w:p w14:paraId="17081E77"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 xml:space="preserve">37,927 </w:t>
            </w:r>
          </w:p>
        </w:tc>
      </w:tr>
      <w:tr w:rsidR="007C642B" w:rsidRPr="008653A2" w14:paraId="2A996888" w14:textId="77777777" w:rsidTr="00E607DA">
        <w:trPr>
          <w:trHeight w:val="227"/>
        </w:trPr>
        <w:tc>
          <w:tcPr>
            <w:tcW w:w="6237" w:type="dxa"/>
            <w:tcBorders>
              <w:top w:val="nil"/>
              <w:left w:val="nil"/>
              <w:bottom w:val="nil"/>
              <w:right w:val="nil"/>
            </w:tcBorders>
            <w:shd w:val="clear" w:color="auto" w:fill="auto"/>
            <w:noWrap/>
            <w:vAlign w:val="center"/>
            <w:hideMark/>
          </w:tcPr>
          <w:p w14:paraId="77617478" w14:textId="77777777" w:rsidR="007C642B" w:rsidRPr="008653A2" w:rsidRDefault="007C642B" w:rsidP="00E607DA">
            <w:pPr>
              <w:outlineLvl w:val="0"/>
              <w:rPr>
                <w:rFonts w:ascii="Meta Pro" w:eastAsia="Times New Roman" w:hAnsi="Meta Pro"/>
                <w:szCs w:val="18"/>
                <w:lang w:eastAsia="en-AU"/>
              </w:rPr>
            </w:pPr>
            <w:r w:rsidRPr="008653A2">
              <w:rPr>
                <w:rFonts w:ascii="Meta Pro" w:eastAsia="Times New Roman" w:hAnsi="Meta Pro"/>
                <w:szCs w:val="18"/>
                <w:lang w:eastAsia="en-AU"/>
              </w:rPr>
              <w:t>GST paid to suppliers</w:t>
            </w:r>
          </w:p>
        </w:tc>
        <w:tc>
          <w:tcPr>
            <w:tcW w:w="1196" w:type="dxa"/>
            <w:tcBorders>
              <w:top w:val="nil"/>
              <w:left w:val="nil"/>
              <w:bottom w:val="nil"/>
              <w:right w:val="nil"/>
            </w:tcBorders>
            <w:shd w:val="clear" w:color="auto" w:fill="auto"/>
            <w:noWrap/>
            <w:vAlign w:val="center"/>
            <w:hideMark/>
          </w:tcPr>
          <w:p w14:paraId="70BE12E8"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(677,710)</w:t>
            </w:r>
          </w:p>
        </w:tc>
        <w:tc>
          <w:tcPr>
            <w:tcW w:w="198" w:type="dxa"/>
            <w:tcBorders>
              <w:top w:val="nil"/>
              <w:left w:val="nil"/>
              <w:bottom w:val="nil"/>
              <w:right w:val="nil"/>
            </w:tcBorders>
            <w:shd w:val="clear" w:color="auto" w:fill="auto"/>
            <w:noWrap/>
            <w:vAlign w:val="center"/>
            <w:hideMark/>
          </w:tcPr>
          <w:p w14:paraId="46E83D1A" w14:textId="77777777" w:rsidR="007C642B" w:rsidRPr="008653A2" w:rsidRDefault="007C642B" w:rsidP="00E607DA">
            <w:pPr>
              <w:jc w:val="right"/>
              <w:outlineLvl w:val="0"/>
              <w:rPr>
                <w:rFonts w:ascii="Meta Pro" w:eastAsia="Times New Roman" w:hAnsi="Meta Pro"/>
                <w:szCs w:val="18"/>
                <w:lang w:eastAsia="en-AU"/>
              </w:rPr>
            </w:pPr>
          </w:p>
        </w:tc>
        <w:tc>
          <w:tcPr>
            <w:tcW w:w="1196" w:type="dxa"/>
            <w:tcBorders>
              <w:top w:val="nil"/>
              <w:left w:val="nil"/>
              <w:bottom w:val="nil"/>
              <w:right w:val="nil"/>
            </w:tcBorders>
            <w:shd w:val="clear" w:color="auto" w:fill="auto"/>
            <w:noWrap/>
            <w:vAlign w:val="center"/>
            <w:hideMark/>
          </w:tcPr>
          <w:p w14:paraId="567CDACC"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(840,708)</w:t>
            </w:r>
          </w:p>
        </w:tc>
        <w:tc>
          <w:tcPr>
            <w:tcW w:w="198" w:type="dxa"/>
            <w:tcBorders>
              <w:top w:val="nil"/>
              <w:left w:val="nil"/>
              <w:bottom w:val="nil"/>
              <w:right w:val="nil"/>
            </w:tcBorders>
            <w:shd w:val="clear" w:color="auto" w:fill="auto"/>
            <w:noWrap/>
            <w:vAlign w:val="center"/>
            <w:hideMark/>
          </w:tcPr>
          <w:p w14:paraId="0EE2A179" w14:textId="77777777" w:rsidR="007C642B" w:rsidRPr="008653A2" w:rsidRDefault="007C642B" w:rsidP="00E607DA">
            <w:pPr>
              <w:jc w:val="right"/>
              <w:outlineLvl w:val="0"/>
              <w:rPr>
                <w:rFonts w:ascii="Meta Pro" w:eastAsia="Times New Roman" w:hAnsi="Meta Pro"/>
                <w:szCs w:val="18"/>
                <w:lang w:eastAsia="en-AU"/>
              </w:rPr>
            </w:pPr>
          </w:p>
        </w:tc>
        <w:tc>
          <w:tcPr>
            <w:tcW w:w="1196" w:type="dxa"/>
            <w:tcBorders>
              <w:top w:val="nil"/>
              <w:left w:val="nil"/>
              <w:bottom w:val="nil"/>
              <w:right w:val="nil"/>
            </w:tcBorders>
            <w:shd w:val="clear" w:color="auto" w:fill="auto"/>
            <w:noWrap/>
            <w:vAlign w:val="center"/>
            <w:hideMark/>
          </w:tcPr>
          <w:p w14:paraId="27595EDF"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(162,998)</w:t>
            </w:r>
          </w:p>
        </w:tc>
      </w:tr>
      <w:tr w:rsidR="007C642B" w:rsidRPr="008653A2" w14:paraId="709946AB" w14:textId="77777777" w:rsidTr="00E607DA">
        <w:trPr>
          <w:trHeight w:val="227"/>
        </w:trPr>
        <w:tc>
          <w:tcPr>
            <w:tcW w:w="6237" w:type="dxa"/>
            <w:tcBorders>
              <w:top w:val="nil"/>
              <w:left w:val="nil"/>
              <w:bottom w:val="nil"/>
              <w:right w:val="nil"/>
            </w:tcBorders>
            <w:shd w:val="clear" w:color="auto" w:fill="auto"/>
            <w:noWrap/>
            <w:vAlign w:val="center"/>
            <w:hideMark/>
          </w:tcPr>
          <w:p w14:paraId="5A4BE2E0" w14:textId="77777777" w:rsidR="007C642B" w:rsidRPr="008653A2" w:rsidRDefault="007C642B" w:rsidP="00E607DA">
            <w:pPr>
              <w:outlineLvl w:val="0"/>
              <w:rPr>
                <w:rFonts w:ascii="Meta Pro" w:eastAsia="Times New Roman" w:hAnsi="Meta Pro"/>
                <w:szCs w:val="18"/>
                <w:lang w:eastAsia="en-AU"/>
              </w:rPr>
            </w:pPr>
            <w:r w:rsidRPr="008653A2">
              <w:rPr>
                <w:rFonts w:ascii="Meta Pro" w:eastAsia="Times New Roman" w:hAnsi="Meta Pro"/>
                <w:szCs w:val="18"/>
                <w:lang w:eastAsia="en-AU"/>
              </w:rPr>
              <w:t>GST remitted to ATO</w:t>
            </w:r>
          </w:p>
        </w:tc>
        <w:tc>
          <w:tcPr>
            <w:tcW w:w="1196" w:type="dxa"/>
            <w:tcBorders>
              <w:top w:val="nil"/>
              <w:left w:val="nil"/>
              <w:bottom w:val="nil"/>
              <w:right w:val="nil"/>
            </w:tcBorders>
            <w:shd w:val="clear" w:color="auto" w:fill="auto"/>
            <w:noWrap/>
            <w:vAlign w:val="center"/>
            <w:hideMark/>
          </w:tcPr>
          <w:p w14:paraId="2C4B916E"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(63,086)</w:t>
            </w:r>
          </w:p>
        </w:tc>
        <w:tc>
          <w:tcPr>
            <w:tcW w:w="198" w:type="dxa"/>
            <w:tcBorders>
              <w:top w:val="nil"/>
              <w:left w:val="nil"/>
              <w:bottom w:val="nil"/>
              <w:right w:val="nil"/>
            </w:tcBorders>
            <w:shd w:val="clear" w:color="auto" w:fill="auto"/>
            <w:noWrap/>
            <w:vAlign w:val="center"/>
            <w:hideMark/>
          </w:tcPr>
          <w:p w14:paraId="6A16EB92" w14:textId="77777777" w:rsidR="007C642B" w:rsidRPr="008653A2" w:rsidRDefault="007C642B" w:rsidP="00E607DA">
            <w:pPr>
              <w:jc w:val="right"/>
              <w:outlineLvl w:val="0"/>
              <w:rPr>
                <w:rFonts w:ascii="Meta Pro" w:eastAsia="Times New Roman" w:hAnsi="Meta Pro"/>
                <w:szCs w:val="18"/>
                <w:lang w:eastAsia="en-AU"/>
              </w:rPr>
            </w:pPr>
          </w:p>
        </w:tc>
        <w:tc>
          <w:tcPr>
            <w:tcW w:w="1196" w:type="dxa"/>
            <w:tcBorders>
              <w:top w:val="nil"/>
              <w:left w:val="nil"/>
              <w:bottom w:val="nil"/>
              <w:right w:val="nil"/>
            </w:tcBorders>
            <w:shd w:val="clear" w:color="auto" w:fill="auto"/>
            <w:noWrap/>
            <w:vAlign w:val="center"/>
            <w:hideMark/>
          </w:tcPr>
          <w:p w14:paraId="0C582C3D"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(68,322)</w:t>
            </w:r>
          </w:p>
        </w:tc>
        <w:tc>
          <w:tcPr>
            <w:tcW w:w="198" w:type="dxa"/>
            <w:tcBorders>
              <w:top w:val="nil"/>
              <w:left w:val="nil"/>
              <w:bottom w:val="nil"/>
              <w:right w:val="nil"/>
            </w:tcBorders>
            <w:shd w:val="clear" w:color="auto" w:fill="auto"/>
            <w:noWrap/>
            <w:vAlign w:val="center"/>
            <w:hideMark/>
          </w:tcPr>
          <w:p w14:paraId="2DA5DEBA" w14:textId="77777777" w:rsidR="007C642B" w:rsidRPr="008653A2" w:rsidRDefault="007C642B" w:rsidP="00E607DA">
            <w:pPr>
              <w:jc w:val="right"/>
              <w:outlineLvl w:val="0"/>
              <w:rPr>
                <w:rFonts w:ascii="Meta Pro" w:eastAsia="Times New Roman" w:hAnsi="Meta Pro"/>
                <w:szCs w:val="18"/>
                <w:lang w:eastAsia="en-AU"/>
              </w:rPr>
            </w:pPr>
          </w:p>
        </w:tc>
        <w:tc>
          <w:tcPr>
            <w:tcW w:w="1196" w:type="dxa"/>
            <w:tcBorders>
              <w:top w:val="nil"/>
              <w:left w:val="nil"/>
              <w:bottom w:val="nil"/>
              <w:right w:val="nil"/>
            </w:tcBorders>
            <w:shd w:val="clear" w:color="auto" w:fill="auto"/>
            <w:noWrap/>
            <w:vAlign w:val="center"/>
            <w:hideMark/>
          </w:tcPr>
          <w:p w14:paraId="4F5E52BF"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(5,236)</w:t>
            </w:r>
          </w:p>
        </w:tc>
      </w:tr>
      <w:tr w:rsidR="007C642B" w:rsidRPr="008653A2" w14:paraId="3AF1B3EC" w14:textId="77777777" w:rsidTr="00E607DA">
        <w:trPr>
          <w:trHeight w:val="227"/>
        </w:trPr>
        <w:tc>
          <w:tcPr>
            <w:tcW w:w="6237" w:type="dxa"/>
            <w:tcBorders>
              <w:top w:val="nil"/>
              <w:left w:val="nil"/>
              <w:bottom w:val="nil"/>
              <w:right w:val="nil"/>
            </w:tcBorders>
            <w:shd w:val="clear" w:color="auto" w:fill="auto"/>
            <w:noWrap/>
            <w:vAlign w:val="center"/>
            <w:hideMark/>
          </w:tcPr>
          <w:p w14:paraId="433913CB" w14:textId="77777777" w:rsidR="007C642B" w:rsidRPr="008653A2" w:rsidRDefault="007C642B" w:rsidP="00E607DA">
            <w:pPr>
              <w:outlineLvl w:val="0"/>
              <w:rPr>
                <w:rFonts w:ascii="Meta Pro" w:eastAsia="Times New Roman" w:hAnsi="Meta Pro"/>
                <w:szCs w:val="18"/>
                <w:lang w:eastAsia="en-AU"/>
              </w:rPr>
            </w:pPr>
            <w:r w:rsidRPr="008653A2">
              <w:rPr>
                <w:rFonts w:ascii="Meta Pro" w:eastAsia="Times New Roman" w:hAnsi="Meta Pro"/>
                <w:szCs w:val="18"/>
                <w:lang w:eastAsia="en-AU"/>
              </w:rPr>
              <w:t>Income tax equivalent paid</w:t>
            </w:r>
          </w:p>
        </w:tc>
        <w:tc>
          <w:tcPr>
            <w:tcW w:w="1196" w:type="dxa"/>
            <w:tcBorders>
              <w:top w:val="nil"/>
              <w:left w:val="nil"/>
              <w:bottom w:val="nil"/>
              <w:right w:val="nil"/>
            </w:tcBorders>
            <w:shd w:val="clear" w:color="auto" w:fill="auto"/>
            <w:noWrap/>
            <w:vAlign w:val="center"/>
            <w:hideMark/>
          </w:tcPr>
          <w:p w14:paraId="7FB92E61"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(7,607)</w:t>
            </w:r>
          </w:p>
        </w:tc>
        <w:tc>
          <w:tcPr>
            <w:tcW w:w="198" w:type="dxa"/>
            <w:tcBorders>
              <w:top w:val="nil"/>
              <w:left w:val="nil"/>
              <w:bottom w:val="nil"/>
              <w:right w:val="nil"/>
            </w:tcBorders>
            <w:shd w:val="clear" w:color="auto" w:fill="auto"/>
            <w:noWrap/>
            <w:vAlign w:val="center"/>
            <w:hideMark/>
          </w:tcPr>
          <w:p w14:paraId="7E35450F" w14:textId="77777777" w:rsidR="007C642B" w:rsidRPr="008653A2" w:rsidRDefault="007C642B" w:rsidP="00E607DA">
            <w:pPr>
              <w:jc w:val="right"/>
              <w:outlineLvl w:val="0"/>
              <w:rPr>
                <w:rFonts w:ascii="Meta Pro" w:eastAsia="Times New Roman" w:hAnsi="Meta Pro"/>
                <w:szCs w:val="18"/>
                <w:lang w:eastAsia="en-AU"/>
              </w:rPr>
            </w:pPr>
          </w:p>
        </w:tc>
        <w:tc>
          <w:tcPr>
            <w:tcW w:w="1196" w:type="dxa"/>
            <w:tcBorders>
              <w:top w:val="nil"/>
              <w:left w:val="nil"/>
              <w:bottom w:val="nil"/>
              <w:right w:val="nil"/>
            </w:tcBorders>
            <w:shd w:val="clear" w:color="auto" w:fill="auto"/>
            <w:noWrap/>
            <w:vAlign w:val="center"/>
            <w:hideMark/>
          </w:tcPr>
          <w:p w14:paraId="5CA73A2C"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(14,519)</w:t>
            </w:r>
          </w:p>
        </w:tc>
        <w:tc>
          <w:tcPr>
            <w:tcW w:w="198" w:type="dxa"/>
            <w:tcBorders>
              <w:top w:val="nil"/>
              <w:left w:val="nil"/>
              <w:bottom w:val="nil"/>
              <w:right w:val="nil"/>
            </w:tcBorders>
            <w:shd w:val="clear" w:color="auto" w:fill="auto"/>
            <w:noWrap/>
            <w:vAlign w:val="center"/>
            <w:hideMark/>
          </w:tcPr>
          <w:p w14:paraId="166F8F37" w14:textId="77777777" w:rsidR="007C642B" w:rsidRPr="008653A2" w:rsidRDefault="007C642B" w:rsidP="00E607DA">
            <w:pPr>
              <w:jc w:val="right"/>
              <w:outlineLvl w:val="0"/>
              <w:rPr>
                <w:rFonts w:ascii="Meta Pro" w:eastAsia="Times New Roman" w:hAnsi="Meta Pro"/>
                <w:szCs w:val="18"/>
                <w:lang w:eastAsia="en-AU"/>
              </w:rPr>
            </w:pPr>
          </w:p>
        </w:tc>
        <w:tc>
          <w:tcPr>
            <w:tcW w:w="1196" w:type="dxa"/>
            <w:tcBorders>
              <w:top w:val="nil"/>
              <w:left w:val="nil"/>
              <w:bottom w:val="nil"/>
              <w:right w:val="nil"/>
            </w:tcBorders>
            <w:shd w:val="clear" w:color="auto" w:fill="auto"/>
            <w:noWrap/>
            <w:vAlign w:val="center"/>
            <w:hideMark/>
          </w:tcPr>
          <w:p w14:paraId="50D5F3AA"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(6,912)</w:t>
            </w:r>
          </w:p>
        </w:tc>
      </w:tr>
      <w:tr w:rsidR="007C642B" w:rsidRPr="008653A2" w14:paraId="2D42035F" w14:textId="77777777" w:rsidTr="00E607DA">
        <w:trPr>
          <w:trHeight w:val="227"/>
        </w:trPr>
        <w:tc>
          <w:tcPr>
            <w:tcW w:w="6237" w:type="dxa"/>
            <w:tcBorders>
              <w:top w:val="nil"/>
              <w:left w:val="nil"/>
              <w:bottom w:val="nil"/>
              <w:right w:val="nil"/>
            </w:tcBorders>
            <w:shd w:val="clear" w:color="auto" w:fill="auto"/>
            <w:noWrap/>
            <w:vAlign w:val="center"/>
            <w:hideMark/>
          </w:tcPr>
          <w:p w14:paraId="6590458A" w14:textId="77777777" w:rsidR="007C642B" w:rsidRPr="008653A2" w:rsidRDefault="007C642B" w:rsidP="00E607DA">
            <w:pPr>
              <w:outlineLvl w:val="0"/>
              <w:rPr>
                <w:rFonts w:ascii="Meta Pro" w:eastAsia="Times New Roman" w:hAnsi="Meta Pro"/>
                <w:szCs w:val="18"/>
                <w:lang w:eastAsia="en-AU"/>
              </w:rPr>
            </w:pPr>
            <w:r w:rsidRPr="008653A2">
              <w:rPr>
                <w:rFonts w:ascii="Meta Pro" w:eastAsia="Times New Roman" w:hAnsi="Meta Pro"/>
                <w:szCs w:val="18"/>
                <w:lang w:eastAsia="en-AU"/>
              </w:rPr>
              <w:t xml:space="preserve">Other </w:t>
            </w:r>
          </w:p>
        </w:tc>
        <w:tc>
          <w:tcPr>
            <w:tcW w:w="1196" w:type="dxa"/>
            <w:tcBorders>
              <w:top w:val="nil"/>
              <w:left w:val="nil"/>
              <w:bottom w:val="nil"/>
              <w:right w:val="nil"/>
            </w:tcBorders>
            <w:shd w:val="clear" w:color="auto" w:fill="auto"/>
            <w:noWrap/>
            <w:vAlign w:val="center"/>
            <w:hideMark/>
          </w:tcPr>
          <w:p w14:paraId="6AC8B30B"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(14,042)</w:t>
            </w:r>
          </w:p>
        </w:tc>
        <w:tc>
          <w:tcPr>
            <w:tcW w:w="198" w:type="dxa"/>
            <w:tcBorders>
              <w:top w:val="nil"/>
              <w:left w:val="nil"/>
              <w:bottom w:val="nil"/>
              <w:right w:val="nil"/>
            </w:tcBorders>
            <w:shd w:val="clear" w:color="auto" w:fill="auto"/>
            <w:noWrap/>
            <w:vAlign w:val="center"/>
            <w:hideMark/>
          </w:tcPr>
          <w:p w14:paraId="3089AD20" w14:textId="77777777" w:rsidR="007C642B" w:rsidRPr="008653A2" w:rsidRDefault="007C642B" w:rsidP="00E607DA">
            <w:pPr>
              <w:jc w:val="right"/>
              <w:outlineLvl w:val="0"/>
              <w:rPr>
                <w:rFonts w:ascii="Meta Pro" w:eastAsia="Times New Roman" w:hAnsi="Meta Pro"/>
                <w:szCs w:val="18"/>
                <w:lang w:eastAsia="en-AU"/>
              </w:rPr>
            </w:pPr>
          </w:p>
        </w:tc>
        <w:tc>
          <w:tcPr>
            <w:tcW w:w="1196" w:type="dxa"/>
            <w:tcBorders>
              <w:top w:val="nil"/>
              <w:left w:val="nil"/>
              <w:bottom w:val="nil"/>
              <w:right w:val="nil"/>
            </w:tcBorders>
            <w:shd w:val="clear" w:color="auto" w:fill="auto"/>
            <w:noWrap/>
            <w:vAlign w:val="center"/>
            <w:hideMark/>
          </w:tcPr>
          <w:p w14:paraId="2CC36F7B"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(22,940)</w:t>
            </w:r>
          </w:p>
        </w:tc>
        <w:tc>
          <w:tcPr>
            <w:tcW w:w="198" w:type="dxa"/>
            <w:tcBorders>
              <w:top w:val="nil"/>
              <w:left w:val="nil"/>
              <w:bottom w:val="nil"/>
              <w:right w:val="nil"/>
            </w:tcBorders>
            <w:shd w:val="clear" w:color="auto" w:fill="auto"/>
            <w:noWrap/>
            <w:vAlign w:val="center"/>
            <w:hideMark/>
          </w:tcPr>
          <w:p w14:paraId="609886C4" w14:textId="77777777" w:rsidR="007C642B" w:rsidRPr="008653A2" w:rsidRDefault="007C642B" w:rsidP="00E607DA">
            <w:pPr>
              <w:jc w:val="right"/>
              <w:outlineLvl w:val="0"/>
              <w:rPr>
                <w:rFonts w:ascii="Meta Pro" w:eastAsia="Times New Roman" w:hAnsi="Meta Pro"/>
                <w:szCs w:val="18"/>
                <w:lang w:eastAsia="en-AU"/>
              </w:rPr>
            </w:pPr>
          </w:p>
        </w:tc>
        <w:tc>
          <w:tcPr>
            <w:tcW w:w="1196" w:type="dxa"/>
            <w:tcBorders>
              <w:top w:val="nil"/>
              <w:left w:val="nil"/>
              <w:bottom w:val="nil"/>
              <w:right w:val="nil"/>
            </w:tcBorders>
            <w:shd w:val="clear" w:color="auto" w:fill="auto"/>
            <w:noWrap/>
            <w:vAlign w:val="center"/>
            <w:hideMark/>
          </w:tcPr>
          <w:p w14:paraId="5676F92C" w14:textId="77777777" w:rsidR="007C642B" w:rsidRPr="008653A2" w:rsidRDefault="007C642B"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(8,898)</w:t>
            </w:r>
          </w:p>
        </w:tc>
      </w:tr>
      <w:tr w:rsidR="007C642B" w:rsidRPr="008653A2" w14:paraId="54B3F401" w14:textId="77777777" w:rsidTr="00E607DA">
        <w:trPr>
          <w:trHeight w:val="227"/>
        </w:trPr>
        <w:tc>
          <w:tcPr>
            <w:tcW w:w="6237" w:type="dxa"/>
            <w:tcBorders>
              <w:top w:val="single" w:sz="4" w:space="0" w:color="auto"/>
              <w:left w:val="nil"/>
              <w:bottom w:val="nil"/>
              <w:right w:val="nil"/>
            </w:tcBorders>
            <w:shd w:val="clear" w:color="auto" w:fill="auto"/>
            <w:noWrap/>
            <w:vAlign w:val="center"/>
            <w:hideMark/>
          </w:tcPr>
          <w:p w14:paraId="58882D0D" w14:textId="77777777" w:rsidR="007C642B" w:rsidRPr="008653A2" w:rsidRDefault="007C642B" w:rsidP="00E607DA">
            <w:pPr>
              <w:outlineLvl w:val="0"/>
              <w:rPr>
                <w:rFonts w:ascii="Meta Pro" w:eastAsia="Times New Roman" w:hAnsi="Meta Pro"/>
                <w:b/>
                <w:bCs/>
                <w:szCs w:val="18"/>
                <w:lang w:eastAsia="en-AU"/>
              </w:rPr>
            </w:pPr>
            <w:r w:rsidRPr="008653A2">
              <w:rPr>
                <w:rFonts w:ascii="Meta Pro" w:eastAsia="Times New Roman" w:hAnsi="Meta Pro"/>
                <w:b/>
                <w:bCs/>
                <w:szCs w:val="18"/>
                <w:lang w:eastAsia="en-AU"/>
              </w:rPr>
              <w:t>Net cash provided by operating activities</w:t>
            </w:r>
          </w:p>
        </w:tc>
        <w:tc>
          <w:tcPr>
            <w:tcW w:w="1196" w:type="dxa"/>
            <w:tcBorders>
              <w:top w:val="single" w:sz="4" w:space="0" w:color="auto"/>
              <w:left w:val="nil"/>
              <w:bottom w:val="nil"/>
              <w:right w:val="nil"/>
            </w:tcBorders>
            <w:shd w:val="clear" w:color="auto" w:fill="auto"/>
            <w:noWrap/>
            <w:vAlign w:val="center"/>
            <w:hideMark/>
          </w:tcPr>
          <w:p w14:paraId="7B3527E2" w14:textId="77777777" w:rsidR="007C642B" w:rsidRPr="008653A2" w:rsidRDefault="007C642B" w:rsidP="00E607DA">
            <w:pPr>
              <w:jc w:val="right"/>
              <w:outlineLvl w:val="0"/>
              <w:rPr>
                <w:rFonts w:ascii="Meta Pro" w:eastAsia="Times New Roman" w:hAnsi="Meta Pro"/>
                <w:b/>
                <w:bCs/>
                <w:szCs w:val="18"/>
                <w:lang w:eastAsia="en-AU"/>
              </w:rPr>
            </w:pPr>
            <w:r w:rsidRPr="008653A2">
              <w:rPr>
                <w:rFonts w:ascii="Meta Pro" w:eastAsia="Times New Roman" w:hAnsi="Meta Pro"/>
                <w:b/>
                <w:bCs/>
                <w:szCs w:val="18"/>
                <w:lang w:eastAsia="en-AU"/>
              </w:rPr>
              <w:t xml:space="preserve">1,293,945 </w:t>
            </w:r>
          </w:p>
        </w:tc>
        <w:tc>
          <w:tcPr>
            <w:tcW w:w="198" w:type="dxa"/>
            <w:tcBorders>
              <w:top w:val="single" w:sz="4" w:space="0" w:color="auto"/>
              <w:left w:val="nil"/>
              <w:bottom w:val="nil"/>
              <w:right w:val="nil"/>
            </w:tcBorders>
            <w:shd w:val="clear" w:color="auto" w:fill="auto"/>
            <w:noWrap/>
            <w:vAlign w:val="center"/>
            <w:hideMark/>
          </w:tcPr>
          <w:p w14:paraId="4147F2FA" w14:textId="77777777" w:rsidR="007C642B" w:rsidRPr="008653A2" w:rsidRDefault="007C642B" w:rsidP="00E607DA">
            <w:pPr>
              <w:jc w:val="right"/>
              <w:outlineLvl w:val="0"/>
              <w:rPr>
                <w:rFonts w:ascii="Meta Pro" w:eastAsia="Times New Roman" w:hAnsi="Meta Pro"/>
                <w:b/>
                <w:bCs/>
                <w:szCs w:val="18"/>
                <w:lang w:eastAsia="en-AU"/>
              </w:rPr>
            </w:pPr>
            <w:r w:rsidRPr="008653A2">
              <w:rPr>
                <w:rFonts w:ascii="Meta Pro" w:eastAsia="Times New Roman" w:hAnsi="Meta Pro"/>
                <w:b/>
                <w:bCs/>
                <w:szCs w:val="18"/>
                <w:lang w:eastAsia="en-AU"/>
              </w:rPr>
              <w:t> </w:t>
            </w:r>
          </w:p>
        </w:tc>
        <w:tc>
          <w:tcPr>
            <w:tcW w:w="1196" w:type="dxa"/>
            <w:tcBorders>
              <w:top w:val="single" w:sz="4" w:space="0" w:color="auto"/>
              <w:left w:val="nil"/>
              <w:bottom w:val="nil"/>
              <w:right w:val="nil"/>
            </w:tcBorders>
            <w:shd w:val="clear" w:color="auto" w:fill="auto"/>
            <w:noWrap/>
            <w:vAlign w:val="center"/>
            <w:hideMark/>
          </w:tcPr>
          <w:p w14:paraId="00412DA0" w14:textId="77777777" w:rsidR="007C642B" w:rsidRPr="008653A2" w:rsidRDefault="007C642B" w:rsidP="00E607DA">
            <w:pPr>
              <w:jc w:val="right"/>
              <w:outlineLvl w:val="0"/>
              <w:rPr>
                <w:rFonts w:ascii="Meta Pro" w:eastAsia="Times New Roman" w:hAnsi="Meta Pro"/>
                <w:b/>
                <w:bCs/>
                <w:szCs w:val="18"/>
                <w:lang w:eastAsia="en-AU"/>
              </w:rPr>
            </w:pPr>
            <w:r w:rsidRPr="008653A2">
              <w:rPr>
                <w:rFonts w:ascii="Meta Pro" w:eastAsia="Times New Roman" w:hAnsi="Meta Pro"/>
                <w:b/>
                <w:bCs/>
                <w:szCs w:val="18"/>
                <w:lang w:eastAsia="en-AU"/>
              </w:rPr>
              <w:t xml:space="preserve">1,173,283 </w:t>
            </w:r>
          </w:p>
        </w:tc>
        <w:tc>
          <w:tcPr>
            <w:tcW w:w="198" w:type="dxa"/>
            <w:tcBorders>
              <w:top w:val="single" w:sz="4" w:space="0" w:color="auto"/>
              <w:left w:val="nil"/>
              <w:bottom w:val="nil"/>
              <w:right w:val="nil"/>
            </w:tcBorders>
            <w:shd w:val="clear" w:color="auto" w:fill="auto"/>
            <w:noWrap/>
            <w:vAlign w:val="center"/>
            <w:hideMark/>
          </w:tcPr>
          <w:p w14:paraId="5F800D91" w14:textId="77777777" w:rsidR="007C642B" w:rsidRPr="008653A2" w:rsidRDefault="007C642B" w:rsidP="00E607DA">
            <w:pPr>
              <w:jc w:val="right"/>
              <w:outlineLvl w:val="0"/>
              <w:rPr>
                <w:rFonts w:ascii="Meta Pro" w:eastAsia="Times New Roman" w:hAnsi="Meta Pro"/>
                <w:b/>
                <w:bCs/>
                <w:szCs w:val="18"/>
                <w:lang w:eastAsia="en-AU"/>
              </w:rPr>
            </w:pPr>
            <w:r w:rsidRPr="008653A2">
              <w:rPr>
                <w:rFonts w:ascii="Meta Pro" w:eastAsia="Times New Roman" w:hAnsi="Meta Pro"/>
                <w:b/>
                <w:bCs/>
                <w:szCs w:val="18"/>
                <w:lang w:eastAsia="en-AU"/>
              </w:rPr>
              <w:t> </w:t>
            </w:r>
          </w:p>
        </w:tc>
        <w:tc>
          <w:tcPr>
            <w:tcW w:w="1196" w:type="dxa"/>
            <w:tcBorders>
              <w:top w:val="single" w:sz="4" w:space="0" w:color="auto"/>
              <w:left w:val="nil"/>
              <w:bottom w:val="nil"/>
              <w:right w:val="nil"/>
            </w:tcBorders>
            <w:shd w:val="clear" w:color="auto" w:fill="auto"/>
            <w:noWrap/>
            <w:vAlign w:val="center"/>
            <w:hideMark/>
          </w:tcPr>
          <w:p w14:paraId="4E956797" w14:textId="77777777" w:rsidR="007C642B" w:rsidRPr="008653A2" w:rsidRDefault="007C642B" w:rsidP="00E607DA">
            <w:pPr>
              <w:jc w:val="right"/>
              <w:outlineLvl w:val="0"/>
              <w:rPr>
                <w:rFonts w:ascii="Meta Pro" w:eastAsia="Times New Roman" w:hAnsi="Meta Pro"/>
                <w:b/>
                <w:bCs/>
                <w:szCs w:val="18"/>
                <w:lang w:eastAsia="en-AU"/>
              </w:rPr>
            </w:pPr>
            <w:r w:rsidRPr="008653A2">
              <w:rPr>
                <w:rFonts w:ascii="Meta Pro" w:eastAsia="Times New Roman" w:hAnsi="Meta Pro"/>
                <w:b/>
                <w:bCs/>
                <w:szCs w:val="18"/>
                <w:lang w:eastAsia="en-AU"/>
              </w:rPr>
              <w:t>(120,662)</w:t>
            </w:r>
          </w:p>
        </w:tc>
      </w:tr>
    </w:tbl>
    <w:p w14:paraId="64947857" w14:textId="77777777" w:rsidR="007C642B" w:rsidRDefault="007C642B" w:rsidP="007C642B">
      <w:pPr>
        <w:spacing w:line="259" w:lineRule="auto"/>
        <w:rPr>
          <w:rFonts w:ascii="Meta Pro" w:hAnsi="Meta Pro"/>
          <w:lang w:eastAsia="en-AU"/>
        </w:rPr>
      </w:pPr>
    </w:p>
    <w:p w14:paraId="3FD63B5B" w14:textId="77777777" w:rsidR="00934E04" w:rsidRPr="008653A2" w:rsidRDefault="00934E04" w:rsidP="00934E04">
      <w:pPr>
        <w:spacing w:after="160" w:line="259" w:lineRule="auto"/>
        <w:rPr>
          <w:rFonts w:ascii="Meta Pro" w:hAnsi="Meta Pro" w:cstheme="minorBidi"/>
        </w:rPr>
      </w:pPr>
      <w:r w:rsidRPr="00092B22">
        <w:rPr>
          <w:rFonts w:ascii="Meta Pro" w:eastAsia="Times New Roman" w:hAnsi="Meta Pro"/>
          <w:b/>
          <w:bCs/>
          <w:color w:val="000000"/>
          <w:lang w:eastAsia="en-AU"/>
        </w:rPr>
        <w:t>29     BUDGETARY REPORTING (continued)</w:t>
      </w:r>
    </w:p>
    <w:tbl>
      <w:tblPr>
        <w:tblW w:w="0" w:type="auto"/>
        <w:tblCellMar>
          <w:left w:w="0" w:type="dxa"/>
        </w:tblCellMar>
        <w:tblLook w:val="04A0" w:firstRow="1" w:lastRow="0" w:firstColumn="1" w:lastColumn="0" w:noHBand="0" w:noVBand="1"/>
      </w:tblPr>
      <w:tblGrid>
        <w:gridCol w:w="5479"/>
        <w:gridCol w:w="1068"/>
        <w:gridCol w:w="194"/>
        <w:gridCol w:w="1068"/>
        <w:gridCol w:w="194"/>
        <w:gridCol w:w="1067"/>
      </w:tblGrid>
      <w:tr w:rsidR="00934E04" w:rsidRPr="008653A2" w14:paraId="11B3C026" w14:textId="77777777" w:rsidTr="00E607DA">
        <w:trPr>
          <w:trHeight w:val="227"/>
        </w:trPr>
        <w:tc>
          <w:tcPr>
            <w:tcW w:w="6236" w:type="dxa"/>
            <w:tcBorders>
              <w:top w:val="nil"/>
              <w:left w:val="nil"/>
              <w:bottom w:val="nil"/>
              <w:right w:val="nil"/>
            </w:tcBorders>
            <w:shd w:val="clear" w:color="auto" w:fill="auto"/>
            <w:noWrap/>
            <w:hideMark/>
          </w:tcPr>
          <w:p w14:paraId="18AFF2DE" w14:textId="77777777" w:rsidR="00934E04" w:rsidRPr="008653A2" w:rsidRDefault="00934E04" w:rsidP="00E607DA">
            <w:pPr>
              <w:rPr>
                <w:rFonts w:ascii="Meta Pro" w:eastAsia="Times New Roman" w:hAnsi="Meta Pro"/>
                <w:b/>
                <w:bCs/>
                <w:szCs w:val="18"/>
                <w:lang w:eastAsia="en-AU"/>
              </w:rPr>
            </w:pPr>
            <w:r w:rsidRPr="008653A2">
              <w:rPr>
                <w:rFonts w:ascii="Meta Pro" w:eastAsia="Times New Roman" w:hAnsi="Meta Pro"/>
                <w:b/>
                <w:bCs/>
                <w:szCs w:val="18"/>
                <w:lang w:eastAsia="en-AU"/>
              </w:rPr>
              <w:t>STATEMENT OF CASH FLOWS (continued)</w:t>
            </w:r>
          </w:p>
        </w:tc>
        <w:tc>
          <w:tcPr>
            <w:tcW w:w="1196" w:type="dxa"/>
            <w:tcBorders>
              <w:top w:val="nil"/>
              <w:left w:val="nil"/>
              <w:bottom w:val="nil"/>
              <w:right w:val="nil"/>
            </w:tcBorders>
            <w:shd w:val="clear" w:color="auto" w:fill="auto"/>
            <w:hideMark/>
          </w:tcPr>
          <w:p w14:paraId="3104FC33" w14:textId="77777777" w:rsidR="00934E04" w:rsidRPr="008653A2" w:rsidRDefault="00934E04" w:rsidP="00E607DA">
            <w:pPr>
              <w:jc w:val="center"/>
              <w:rPr>
                <w:rFonts w:ascii="Meta Pro" w:eastAsia="Times New Roman" w:hAnsi="Meta Pro"/>
                <w:b/>
                <w:bCs/>
                <w:szCs w:val="18"/>
                <w:lang w:eastAsia="en-AU"/>
              </w:rPr>
            </w:pPr>
            <w:r w:rsidRPr="008653A2">
              <w:rPr>
                <w:rFonts w:ascii="Meta Pro" w:eastAsia="Times New Roman" w:hAnsi="Meta Pro"/>
                <w:b/>
                <w:bCs/>
                <w:szCs w:val="18"/>
                <w:lang w:eastAsia="en-AU"/>
              </w:rPr>
              <w:t xml:space="preserve">Original budget </w:t>
            </w:r>
          </w:p>
        </w:tc>
        <w:tc>
          <w:tcPr>
            <w:tcW w:w="198" w:type="dxa"/>
            <w:tcBorders>
              <w:top w:val="nil"/>
              <w:left w:val="nil"/>
              <w:bottom w:val="nil"/>
              <w:right w:val="nil"/>
            </w:tcBorders>
            <w:shd w:val="clear" w:color="auto" w:fill="auto"/>
            <w:hideMark/>
          </w:tcPr>
          <w:p w14:paraId="274C0A4B" w14:textId="77777777" w:rsidR="00934E04" w:rsidRPr="008653A2" w:rsidRDefault="00934E04" w:rsidP="00E607DA">
            <w:pPr>
              <w:jc w:val="center"/>
              <w:rPr>
                <w:rFonts w:ascii="Meta Pro" w:eastAsia="Times New Roman" w:hAnsi="Meta Pro"/>
                <w:b/>
                <w:bCs/>
                <w:szCs w:val="18"/>
                <w:lang w:eastAsia="en-AU"/>
              </w:rPr>
            </w:pPr>
          </w:p>
        </w:tc>
        <w:tc>
          <w:tcPr>
            <w:tcW w:w="1197" w:type="dxa"/>
            <w:tcBorders>
              <w:top w:val="nil"/>
              <w:left w:val="nil"/>
              <w:bottom w:val="nil"/>
              <w:right w:val="nil"/>
            </w:tcBorders>
            <w:shd w:val="clear" w:color="auto" w:fill="auto"/>
            <w:hideMark/>
          </w:tcPr>
          <w:p w14:paraId="2B33A9F4" w14:textId="77777777" w:rsidR="00934E04" w:rsidRPr="008653A2" w:rsidRDefault="00934E04" w:rsidP="00E607DA">
            <w:pPr>
              <w:jc w:val="center"/>
              <w:rPr>
                <w:rFonts w:ascii="Meta Pro" w:eastAsia="Times New Roman" w:hAnsi="Meta Pro"/>
                <w:b/>
                <w:bCs/>
                <w:szCs w:val="18"/>
                <w:lang w:eastAsia="en-AU"/>
              </w:rPr>
            </w:pPr>
            <w:r w:rsidRPr="008653A2">
              <w:rPr>
                <w:rFonts w:ascii="Meta Pro" w:eastAsia="Times New Roman" w:hAnsi="Meta Pro"/>
                <w:b/>
                <w:bCs/>
                <w:szCs w:val="18"/>
                <w:lang w:eastAsia="en-AU"/>
              </w:rPr>
              <w:t>Actual</w:t>
            </w:r>
            <w:r w:rsidRPr="008653A2">
              <w:rPr>
                <w:rFonts w:ascii="Meta Pro" w:eastAsia="Times New Roman" w:hAnsi="Meta Pro"/>
                <w:b/>
                <w:bCs/>
                <w:szCs w:val="18"/>
                <w:lang w:eastAsia="en-AU"/>
              </w:rPr>
              <w:br/>
              <w:t>result</w:t>
            </w:r>
          </w:p>
        </w:tc>
        <w:tc>
          <w:tcPr>
            <w:tcW w:w="198" w:type="dxa"/>
            <w:tcBorders>
              <w:top w:val="nil"/>
              <w:left w:val="nil"/>
              <w:bottom w:val="nil"/>
              <w:right w:val="nil"/>
            </w:tcBorders>
            <w:shd w:val="clear" w:color="auto" w:fill="auto"/>
            <w:hideMark/>
          </w:tcPr>
          <w:p w14:paraId="780BACC9" w14:textId="77777777" w:rsidR="00934E04" w:rsidRPr="008653A2" w:rsidRDefault="00934E04" w:rsidP="00E607DA">
            <w:pPr>
              <w:jc w:val="center"/>
              <w:rPr>
                <w:rFonts w:ascii="Meta Pro" w:eastAsia="Times New Roman" w:hAnsi="Meta Pro"/>
                <w:b/>
                <w:bCs/>
                <w:szCs w:val="18"/>
                <w:lang w:eastAsia="en-AU"/>
              </w:rPr>
            </w:pPr>
          </w:p>
        </w:tc>
        <w:tc>
          <w:tcPr>
            <w:tcW w:w="1195" w:type="dxa"/>
            <w:tcBorders>
              <w:top w:val="nil"/>
              <w:left w:val="nil"/>
              <w:bottom w:val="nil"/>
              <w:right w:val="nil"/>
            </w:tcBorders>
            <w:shd w:val="clear" w:color="auto" w:fill="auto"/>
            <w:hideMark/>
          </w:tcPr>
          <w:p w14:paraId="72F08F3B" w14:textId="77777777" w:rsidR="00934E04" w:rsidRPr="008653A2" w:rsidRDefault="00934E04" w:rsidP="00E607DA">
            <w:pPr>
              <w:jc w:val="center"/>
              <w:rPr>
                <w:rFonts w:ascii="Meta Pro" w:eastAsia="Times New Roman" w:hAnsi="Meta Pro"/>
                <w:b/>
                <w:bCs/>
                <w:szCs w:val="18"/>
                <w:lang w:eastAsia="en-AU"/>
              </w:rPr>
            </w:pPr>
            <w:r w:rsidRPr="008653A2">
              <w:rPr>
                <w:rFonts w:ascii="Meta Pro" w:eastAsia="Times New Roman" w:hAnsi="Meta Pro"/>
                <w:b/>
                <w:bCs/>
                <w:szCs w:val="18"/>
                <w:lang w:eastAsia="en-AU"/>
              </w:rPr>
              <w:t>Variance</w:t>
            </w:r>
          </w:p>
        </w:tc>
      </w:tr>
      <w:tr w:rsidR="00934E04" w:rsidRPr="008653A2" w14:paraId="243A48B3" w14:textId="77777777" w:rsidTr="00E607DA">
        <w:trPr>
          <w:trHeight w:val="227"/>
        </w:trPr>
        <w:tc>
          <w:tcPr>
            <w:tcW w:w="6236" w:type="dxa"/>
            <w:tcBorders>
              <w:top w:val="nil"/>
              <w:left w:val="nil"/>
              <w:bottom w:val="nil"/>
              <w:right w:val="nil"/>
            </w:tcBorders>
            <w:shd w:val="clear" w:color="auto" w:fill="auto"/>
            <w:noWrap/>
            <w:vAlign w:val="center"/>
            <w:hideMark/>
          </w:tcPr>
          <w:p w14:paraId="37DF3311" w14:textId="77777777" w:rsidR="00934E04" w:rsidRPr="008653A2" w:rsidRDefault="00934E04" w:rsidP="00E607DA">
            <w:pPr>
              <w:jc w:val="center"/>
              <w:rPr>
                <w:rFonts w:ascii="Meta Pro" w:eastAsia="Times New Roman" w:hAnsi="Meta Pro"/>
                <w:b/>
                <w:bCs/>
                <w:szCs w:val="18"/>
                <w:lang w:eastAsia="en-AU"/>
              </w:rPr>
            </w:pPr>
          </w:p>
        </w:tc>
        <w:tc>
          <w:tcPr>
            <w:tcW w:w="1196" w:type="dxa"/>
            <w:tcBorders>
              <w:top w:val="nil"/>
              <w:left w:val="nil"/>
              <w:bottom w:val="nil"/>
              <w:right w:val="nil"/>
            </w:tcBorders>
            <w:shd w:val="clear" w:color="auto" w:fill="auto"/>
            <w:hideMark/>
          </w:tcPr>
          <w:p w14:paraId="08B6F509" w14:textId="77777777" w:rsidR="00934E04" w:rsidRPr="008653A2" w:rsidRDefault="00934E04" w:rsidP="00E607DA">
            <w:pPr>
              <w:jc w:val="center"/>
              <w:rPr>
                <w:rFonts w:ascii="Meta Pro" w:eastAsia="Times New Roman" w:hAnsi="Meta Pro"/>
                <w:b/>
                <w:bCs/>
                <w:szCs w:val="18"/>
                <w:lang w:eastAsia="en-AU"/>
              </w:rPr>
            </w:pPr>
            <w:r w:rsidRPr="008653A2">
              <w:rPr>
                <w:rFonts w:ascii="Meta Pro" w:eastAsia="Times New Roman" w:hAnsi="Meta Pro"/>
                <w:b/>
                <w:bCs/>
                <w:szCs w:val="18"/>
                <w:lang w:eastAsia="en-AU"/>
              </w:rPr>
              <w:t>2022</w:t>
            </w:r>
            <w:r w:rsidRPr="008653A2">
              <w:rPr>
                <w:rFonts w:ascii="Meta Pro" w:eastAsia="Times New Roman" w:hAnsi="Meta Pro"/>
                <w:b/>
                <w:bCs/>
                <w:szCs w:val="18"/>
                <w:lang w:eastAsia="en-AU"/>
              </w:rPr>
              <w:br/>
              <w:t>$'000</w:t>
            </w:r>
          </w:p>
        </w:tc>
        <w:tc>
          <w:tcPr>
            <w:tcW w:w="198" w:type="dxa"/>
            <w:tcBorders>
              <w:top w:val="nil"/>
              <w:left w:val="nil"/>
              <w:bottom w:val="nil"/>
              <w:right w:val="nil"/>
            </w:tcBorders>
            <w:shd w:val="clear" w:color="auto" w:fill="auto"/>
            <w:hideMark/>
          </w:tcPr>
          <w:p w14:paraId="6DE31649" w14:textId="77777777" w:rsidR="00934E04" w:rsidRPr="008653A2" w:rsidRDefault="00934E04" w:rsidP="00E607DA">
            <w:pPr>
              <w:jc w:val="center"/>
              <w:rPr>
                <w:rFonts w:ascii="Meta Pro" w:eastAsia="Times New Roman" w:hAnsi="Meta Pro"/>
                <w:b/>
                <w:bCs/>
                <w:szCs w:val="18"/>
                <w:lang w:eastAsia="en-AU"/>
              </w:rPr>
            </w:pPr>
          </w:p>
        </w:tc>
        <w:tc>
          <w:tcPr>
            <w:tcW w:w="1197" w:type="dxa"/>
            <w:tcBorders>
              <w:top w:val="nil"/>
              <w:left w:val="nil"/>
              <w:bottom w:val="nil"/>
              <w:right w:val="nil"/>
            </w:tcBorders>
            <w:shd w:val="clear" w:color="auto" w:fill="auto"/>
            <w:hideMark/>
          </w:tcPr>
          <w:p w14:paraId="3BDADB51" w14:textId="77777777" w:rsidR="00934E04" w:rsidRPr="008653A2" w:rsidRDefault="00934E04" w:rsidP="00E607DA">
            <w:pPr>
              <w:jc w:val="center"/>
              <w:rPr>
                <w:rFonts w:ascii="Meta Pro" w:eastAsia="Times New Roman" w:hAnsi="Meta Pro"/>
                <w:b/>
                <w:bCs/>
                <w:szCs w:val="18"/>
                <w:lang w:eastAsia="en-AU"/>
              </w:rPr>
            </w:pPr>
            <w:r w:rsidRPr="008653A2">
              <w:rPr>
                <w:rFonts w:ascii="Meta Pro" w:eastAsia="Times New Roman" w:hAnsi="Meta Pro"/>
                <w:b/>
                <w:bCs/>
                <w:szCs w:val="18"/>
                <w:lang w:eastAsia="en-AU"/>
              </w:rPr>
              <w:t>2022</w:t>
            </w:r>
            <w:r w:rsidRPr="008653A2">
              <w:rPr>
                <w:rFonts w:ascii="Meta Pro" w:eastAsia="Times New Roman" w:hAnsi="Meta Pro"/>
                <w:b/>
                <w:bCs/>
                <w:szCs w:val="18"/>
                <w:lang w:eastAsia="en-AU"/>
              </w:rPr>
              <w:br/>
              <w:t>$'000</w:t>
            </w:r>
          </w:p>
        </w:tc>
        <w:tc>
          <w:tcPr>
            <w:tcW w:w="198" w:type="dxa"/>
            <w:tcBorders>
              <w:top w:val="nil"/>
              <w:left w:val="nil"/>
              <w:bottom w:val="nil"/>
              <w:right w:val="nil"/>
            </w:tcBorders>
            <w:shd w:val="clear" w:color="auto" w:fill="auto"/>
            <w:hideMark/>
          </w:tcPr>
          <w:p w14:paraId="561C8260" w14:textId="77777777" w:rsidR="00934E04" w:rsidRPr="008653A2" w:rsidRDefault="00934E04" w:rsidP="00E607DA">
            <w:pPr>
              <w:jc w:val="center"/>
              <w:rPr>
                <w:rFonts w:ascii="Meta Pro" w:eastAsia="Times New Roman" w:hAnsi="Meta Pro"/>
                <w:b/>
                <w:bCs/>
                <w:szCs w:val="18"/>
                <w:lang w:eastAsia="en-AU"/>
              </w:rPr>
            </w:pPr>
          </w:p>
        </w:tc>
        <w:tc>
          <w:tcPr>
            <w:tcW w:w="1195" w:type="dxa"/>
            <w:tcBorders>
              <w:top w:val="nil"/>
              <w:left w:val="nil"/>
              <w:bottom w:val="nil"/>
              <w:right w:val="nil"/>
            </w:tcBorders>
            <w:shd w:val="clear" w:color="auto" w:fill="auto"/>
            <w:hideMark/>
          </w:tcPr>
          <w:p w14:paraId="1EC26F73" w14:textId="77777777" w:rsidR="00934E04" w:rsidRPr="008653A2" w:rsidRDefault="00934E04" w:rsidP="00E607DA">
            <w:pPr>
              <w:jc w:val="center"/>
              <w:rPr>
                <w:rFonts w:ascii="Meta Pro" w:eastAsia="Times New Roman" w:hAnsi="Meta Pro"/>
                <w:b/>
                <w:bCs/>
                <w:szCs w:val="18"/>
                <w:lang w:eastAsia="en-AU"/>
              </w:rPr>
            </w:pPr>
            <w:r w:rsidRPr="008653A2">
              <w:rPr>
                <w:rFonts w:ascii="Meta Pro" w:eastAsia="Times New Roman" w:hAnsi="Meta Pro"/>
                <w:b/>
                <w:bCs/>
                <w:szCs w:val="18"/>
                <w:lang w:eastAsia="en-AU"/>
              </w:rPr>
              <w:t>2022</w:t>
            </w:r>
            <w:r w:rsidRPr="008653A2">
              <w:rPr>
                <w:rFonts w:ascii="Meta Pro" w:eastAsia="Times New Roman" w:hAnsi="Meta Pro"/>
                <w:b/>
                <w:bCs/>
                <w:szCs w:val="18"/>
                <w:lang w:eastAsia="en-AU"/>
              </w:rPr>
              <w:br/>
              <w:t>$'000</w:t>
            </w:r>
          </w:p>
        </w:tc>
      </w:tr>
      <w:tr w:rsidR="00934E04" w:rsidRPr="008653A2" w14:paraId="148E9A7F" w14:textId="77777777" w:rsidTr="00E607DA">
        <w:trPr>
          <w:trHeight w:val="227"/>
        </w:trPr>
        <w:tc>
          <w:tcPr>
            <w:tcW w:w="6236" w:type="dxa"/>
            <w:tcBorders>
              <w:top w:val="nil"/>
              <w:left w:val="nil"/>
              <w:bottom w:val="nil"/>
              <w:right w:val="nil"/>
            </w:tcBorders>
            <w:shd w:val="clear" w:color="auto" w:fill="auto"/>
            <w:noWrap/>
            <w:vAlign w:val="center"/>
            <w:hideMark/>
          </w:tcPr>
          <w:p w14:paraId="6B03BE29" w14:textId="77777777" w:rsidR="00934E04" w:rsidRPr="008653A2" w:rsidRDefault="00934E04" w:rsidP="00E607DA">
            <w:pPr>
              <w:outlineLvl w:val="0"/>
              <w:rPr>
                <w:rFonts w:ascii="Meta Pro" w:eastAsia="Times New Roman" w:hAnsi="Meta Pro"/>
                <w:b/>
                <w:bCs/>
                <w:szCs w:val="18"/>
                <w:lang w:eastAsia="en-AU"/>
              </w:rPr>
            </w:pPr>
            <w:r w:rsidRPr="008653A2">
              <w:rPr>
                <w:rFonts w:ascii="Meta Pro" w:eastAsia="Times New Roman" w:hAnsi="Meta Pro"/>
                <w:b/>
                <w:bCs/>
                <w:szCs w:val="18"/>
                <w:lang w:eastAsia="en-AU"/>
              </w:rPr>
              <w:t>Cash flows from investing activities</w:t>
            </w:r>
          </w:p>
        </w:tc>
        <w:tc>
          <w:tcPr>
            <w:tcW w:w="1196" w:type="dxa"/>
            <w:tcBorders>
              <w:top w:val="nil"/>
              <w:left w:val="nil"/>
              <w:bottom w:val="nil"/>
              <w:right w:val="nil"/>
            </w:tcBorders>
            <w:shd w:val="clear" w:color="auto" w:fill="auto"/>
            <w:noWrap/>
            <w:vAlign w:val="center"/>
            <w:hideMark/>
          </w:tcPr>
          <w:p w14:paraId="09A32182" w14:textId="77777777" w:rsidR="00934E04" w:rsidRPr="008653A2" w:rsidRDefault="00934E04" w:rsidP="00E607DA">
            <w:pPr>
              <w:outlineLvl w:val="0"/>
              <w:rPr>
                <w:rFonts w:ascii="Meta Pro" w:eastAsia="Times New Roman" w:hAnsi="Meta Pro"/>
                <w:b/>
                <w:bCs/>
                <w:szCs w:val="18"/>
                <w:lang w:eastAsia="en-AU"/>
              </w:rPr>
            </w:pPr>
          </w:p>
        </w:tc>
        <w:tc>
          <w:tcPr>
            <w:tcW w:w="198" w:type="dxa"/>
            <w:tcBorders>
              <w:top w:val="nil"/>
              <w:left w:val="nil"/>
              <w:bottom w:val="nil"/>
              <w:right w:val="nil"/>
            </w:tcBorders>
            <w:shd w:val="clear" w:color="auto" w:fill="auto"/>
            <w:vAlign w:val="center"/>
            <w:hideMark/>
          </w:tcPr>
          <w:p w14:paraId="52494062" w14:textId="77777777" w:rsidR="00934E04" w:rsidRPr="008653A2" w:rsidRDefault="00934E04" w:rsidP="00E607DA">
            <w:pPr>
              <w:jc w:val="right"/>
              <w:outlineLvl w:val="0"/>
              <w:rPr>
                <w:rFonts w:ascii="Meta Pro" w:eastAsia="Times New Roman" w:hAnsi="Meta Pro" w:cs="Times New Roman"/>
                <w:sz w:val="20"/>
                <w:szCs w:val="20"/>
                <w:lang w:eastAsia="en-AU"/>
              </w:rPr>
            </w:pPr>
          </w:p>
        </w:tc>
        <w:tc>
          <w:tcPr>
            <w:tcW w:w="1197" w:type="dxa"/>
            <w:tcBorders>
              <w:top w:val="nil"/>
              <w:left w:val="nil"/>
              <w:bottom w:val="nil"/>
              <w:right w:val="nil"/>
            </w:tcBorders>
            <w:shd w:val="clear" w:color="auto" w:fill="auto"/>
            <w:noWrap/>
            <w:vAlign w:val="center"/>
            <w:hideMark/>
          </w:tcPr>
          <w:p w14:paraId="5F37C65E" w14:textId="77777777" w:rsidR="00934E04" w:rsidRPr="008653A2" w:rsidRDefault="00934E04" w:rsidP="00E607DA">
            <w:pPr>
              <w:jc w:val="center"/>
              <w:outlineLvl w:val="0"/>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vAlign w:val="center"/>
            <w:hideMark/>
          </w:tcPr>
          <w:p w14:paraId="79C1EB06" w14:textId="77777777" w:rsidR="00934E04" w:rsidRPr="008653A2" w:rsidRDefault="00934E04" w:rsidP="00E607DA">
            <w:pPr>
              <w:jc w:val="right"/>
              <w:outlineLvl w:val="0"/>
              <w:rPr>
                <w:rFonts w:ascii="Meta Pro" w:eastAsia="Times New Roman" w:hAnsi="Meta Pro" w:cs="Times New Roman"/>
                <w:sz w:val="20"/>
                <w:szCs w:val="20"/>
                <w:lang w:eastAsia="en-AU"/>
              </w:rPr>
            </w:pPr>
          </w:p>
        </w:tc>
        <w:tc>
          <w:tcPr>
            <w:tcW w:w="1195" w:type="dxa"/>
            <w:tcBorders>
              <w:top w:val="nil"/>
              <w:left w:val="nil"/>
              <w:bottom w:val="nil"/>
              <w:right w:val="nil"/>
            </w:tcBorders>
            <w:shd w:val="clear" w:color="auto" w:fill="auto"/>
            <w:noWrap/>
            <w:vAlign w:val="center"/>
            <w:hideMark/>
          </w:tcPr>
          <w:p w14:paraId="1F622E15" w14:textId="77777777" w:rsidR="00934E04" w:rsidRPr="008653A2" w:rsidRDefault="00934E04" w:rsidP="00E607DA">
            <w:pPr>
              <w:jc w:val="center"/>
              <w:outlineLvl w:val="0"/>
              <w:rPr>
                <w:rFonts w:ascii="Meta Pro" w:eastAsia="Times New Roman" w:hAnsi="Meta Pro" w:cs="Times New Roman"/>
                <w:sz w:val="20"/>
                <w:szCs w:val="20"/>
                <w:lang w:eastAsia="en-AU"/>
              </w:rPr>
            </w:pPr>
          </w:p>
        </w:tc>
      </w:tr>
      <w:tr w:rsidR="00934E04" w:rsidRPr="008653A2" w14:paraId="7999EBEE" w14:textId="77777777" w:rsidTr="00E607DA">
        <w:trPr>
          <w:trHeight w:val="227"/>
        </w:trPr>
        <w:tc>
          <w:tcPr>
            <w:tcW w:w="6236" w:type="dxa"/>
            <w:tcBorders>
              <w:top w:val="nil"/>
              <w:left w:val="nil"/>
              <w:bottom w:val="nil"/>
              <w:right w:val="nil"/>
            </w:tcBorders>
            <w:shd w:val="clear" w:color="auto" w:fill="auto"/>
            <w:noWrap/>
            <w:vAlign w:val="center"/>
            <w:hideMark/>
          </w:tcPr>
          <w:p w14:paraId="3DC9BCD3" w14:textId="77777777" w:rsidR="00934E04" w:rsidRPr="008653A2" w:rsidRDefault="00934E04" w:rsidP="00E607DA">
            <w:pPr>
              <w:outlineLvl w:val="0"/>
              <w:rPr>
                <w:rFonts w:ascii="Meta Pro" w:eastAsia="Times New Roman" w:hAnsi="Meta Pro"/>
                <w:i/>
                <w:iCs/>
                <w:szCs w:val="18"/>
                <w:lang w:eastAsia="en-AU"/>
              </w:rPr>
            </w:pPr>
            <w:r w:rsidRPr="008653A2">
              <w:rPr>
                <w:rFonts w:ascii="Meta Pro" w:eastAsia="Times New Roman" w:hAnsi="Meta Pro"/>
                <w:i/>
                <w:iCs/>
                <w:szCs w:val="18"/>
                <w:lang w:eastAsia="en-AU"/>
              </w:rPr>
              <w:t>Inflows:</w:t>
            </w:r>
          </w:p>
        </w:tc>
        <w:tc>
          <w:tcPr>
            <w:tcW w:w="1196" w:type="dxa"/>
            <w:tcBorders>
              <w:top w:val="nil"/>
              <w:left w:val="nil"/>
              <w:bottom w:val="nil"/>
              <w:right w:val="nil"/>
            </w:tcBorders>
            <w:shd w:val="clear" w:color="auto" w:fill="auto"/>
            <w:noWrap/>
            <w:vAlign w:val="center"/>
            <w:hideMark/>
          </w:tcPr>
          <w:p w14:paraId="7F5DB773" w14:textId="77777777" w:rsidR="00934E04" w:rsidRPr="008653A2" w:rsidRDefault="00934E04" w:rsidP="00E607DA">
            <w:pPr>
              <w:outlineLvl w:val="0"/>
              <w:rPr>
                <w:rFonts w:ascii="Meta Pro" w:eastAsia="Times New Roman" w:hAnsi="Meta Pro"/>
                <w:i/>
                <w:iCs/>
                <w:szCs w:val="18"/>
                <w:lang w:eastAsia="en-AU"/>
              </w:rPr>
            </w:pPr>
          </w:p>
        </w:tc>
        <w:tc>
          <w:tcPr>
            <w:tcW w:w="198" w:type="dxa"/>
            <w:tcBorders>
              <w:top w:val="nil"/>
              <w:left w:val="nil"/>
              <w:bottom w:val="nil"/>
              <w:right w:val="nil"/>
            </w:tcBorders>
            <w:shd w:val="clear" w:color="auto" w:fill="auto"/>
            <w:vAlign w:val="center"/>
            <w:hideMark/>
          </w:tcPr>
          <w:p w14:paraId="4953BDF3" w14:textId="77777777" w:rsidR="00934E04" w:rsidRPr="008653A2" w:rsidRDefault="00934E04" w:rsidP="00E607DA">
            <w:pPr>
              <w:jc w:val="right"/>
              <w:outlineLvl w:val="0"/>
              <w:rPr>
                <w:rFonts w:ascii="Meta Pro" w:eastAsia="Times New Roman" w:hAnsi="Meta Pro" w:cs="Times New Roman"/>
                <w:sz w:val="20"/>
                <w:szCs w:val="20"/>
                <w:lang w:eastAsia="en-AU"/>
              </w:rPr>
            </w:pPr>
          </w:p>
        </w:tc>
        <w:tc>
          <w:tcPr>
            <w:tcW w:w="1197" w:type="dxa"/>
            <w:tcBorders>
              <w:top w:val="nil"/>
              <w:left w:val="nil"/>
              <w:bottom w:val="nil"/>
              <w:right w:val="nil"/>
            </w:tcBorders>
            <w:shd w:val="clear" w:color="auto" w:fill="auto"/>
            <w:noWrap/>
            <w:vAlign w:val="center"/>
            <w:hideMark/>
          </w:tcPr>
          <w:p w14:paraId="2CAAE0D4" w14:textId="77777777" w:rsidR="00934E04" w:rsidRPr="008653A2" w:rsidRDefault="00934E04" w:rsidP="00E607DA">
            <w:pPr>
              <w:jc w:val="center"/>
              <w:outlineLvl w:val="0"/>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vAlign w:val="center"/>
            <w:hideMark/>
          </w:tcPr>
          <w:p w14:paraId="327FFEC8" w14:textId="77777777" w:rsidR="00934E04" w:rsidRPr="008653A2" w:rsidRDefault="00934E04" w:rsidP="00E607DA">
            <w:pPr>
              <w:jc w:val="right"/>
              <w:outlineLvl w:val="0"/>
              <w:rPr>
                <w:rFonts w:ascii="Meta Pro" w:eastAsia="Times New Roman" w:hAnsi="Meta Pro" w:cs="Times New Roman"/>
                <w:sz w:val="20"/>
                <w:szCs w:val="20"/>
                <w:lang w:eastAsia="en-AU"/>
              </w:rPr>
            </w:pPr>
          </w:p>
        </w:tc>
        <w:tc>
          <w:tcPr>
            <w:tcW w:w="1195" w:type="dxa"/>
            <w:tcBorders>
              <w:top w:val="nil"/>
              <w:left w:val="nil"/>
              <w:bottom w:val="nil"/>
              <w:right w:val="nil"/>
            </w:tcBorders>
            <w:shd w:val="clear" w:color="auto" w:fill="auto"/>
            <w:noWrap/>
            <w:vAlign w:val="center"/>
            <w:hideMark/>
          </w:tcPr>
          <w:p w14:paraId="735E095B" w14:textId="77777777" w:rsidR="00934E04" w:rsidRPr="008653A2" w:rsidRDefault="00934E04" w:rsidP="00E607DA">
            <w:pPr>
              <w:jc w:val="center"/>
              <w:outlineLvl w:val="0"/>
              <w:rPr>
                <w:rFonts w:ascii="Meta Pro" w:eastAsia="Times New Roman" w:hAnsi="Meta Pro" w:cs="Times New Roman"/>
                <w:sz w:val="20"/>
                <w:szCs w:val="20"/>
                <w:lang w:eastAsia="en-AU"/>
              </w:rPr>
            </w:pPr>
          </w:p>
        </w:tc>
      </w:tr>
      <w:tr w:rsidR="00934E04" w:rsidRPr="008653A2" w14:paraId="5523440A" w14:textId="77777777" w:rsidTr="00E607DA">
        <w:trPr>
          <w:trHeight w:val="227"/>
        </w:trPr>
        <w:tc>
          <w:tcPr>
            <w:tcW w:w="6236" w:type="dxa"/>
            <w:tcBorders>
              <w:top w:val="nil"/>
              <w:left w:val="nil"/>
              <w:bottom w:val="nil"/>
              <w:right w:val="nil"/>
            </w:tcBorders>
            <w:shd w:val="clear" w:color="auto" w:fill="auto"/>
            <w:noWrap/>
            <w:vAlign w:val="center"/>
            <w:hideMark/>
          </w:tcPr>
          <w:p w14:paraId="20FCFDAD" w14:textId="77777777" w:rsidR="00934E04" w:rsidRPr="008653A2" w:rsidRDefault="00934E04" w:rsidP="00E607DA">
            <w:pPr>
              <w:outlineLvl w:val="0"/>
              <w:rPr>
                <w:rFonts w:ascii="Meta Pro" w:eastAsia="Times New Roman" w:hAnsi="Meta Pro"/>
                <w:szCs w:val="18"/>
                <w:lang w:eastAsia="en-AU"/>
              </w:rPr>
            </w:pPr>
            <w:r w:rsidRPr="008653A2">
              <w:rPr>
                <w:rFonts w:ascii="Meta Pro" w:eastAsia="Times New Roman" w:hAnsi="Meta Pro"/>
                <w:szCs w:val="18"/>
                <w:lang w:eastAsia="en-AU"/>
              </w:rPr>
              <w:t>Sales of property, plant and equipment</w:t>
            </w:r>
          </w:p>
        </w:tc>
        <w:tc>
          <w:tcPr>
            <w:tcW w:w="1196" w:type="dxa"/>
            <w:tcBorders>
              <w:top w:val="nil"/>
              <w:left w:val="nil"/>
              <w:bottom w:val="nil"/>
              <w:right w:val="nil"/>
            </w:tcBorders>
            <w:shd w:val="clear" w:color="auto" w:fill="auto"/>
            <w:noWrap/>
            <w:vAlign w:val="center"/>
            <w:hideMark/>
          </w:tcPr>
          <w:p w14:paraId="249CA533" w14:textId="77777777" w:rsidR="00934E04" w:rsidRPr="008653A2" w:rsidRDefault="00934E04"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 xml:space="preserve">24,788 </w:t>
            </w:r>
          </w:p>
        </w:tc>
        <w:tc>
          <w:tcPr>
            <w:tcW w:w="198" w:type="dxa"/>
            <w:tcBorders>
              <w:top w:val="nil"/>
              <w:left w:val="nil"/>
              <w:bottom w:val="nil"/>
              <w:right w:val="nil"/>
            </w:tcBorders>
            <w:shd w:val="clear" w:color="auto" w:fill="auto"/>
            <w:noWrap/>
            <w:vAlign w:val="center"/>
            <w:hideMark/>
          </w:tcPr>
          <w:p w14:paraId="287A56B7" w14:textId="77777777" w:rsidR="00934E04" w:rsidRPr="008653A2" w:rsidRDefault="00934E04" w:rsidP="00E607DA">
            <w:pPr>
              <w:jc w:val="right"/>
              <w:outlineLvl w:val="0"/>
              <w:rPr>
                <w:rFonts w:ascii="Meta Pro" w:eastAsia="Times New Roman" w:hAnsi="Meta Pro"/>
                <w:szCs w:val="18"/>
                <w:lang w:eastAsia="en-AU"/>
              </w:rPr>
            </w:pPr>
          </w:p>
        </w:tc>
        <w:tc>
          <w:tcPr>
            <w:tcW w:w="1197" w:type="dxa"/>
            <w:tcBorders>
              <w:top w:val="nil"/>
              <w:left w:val="nil"/>
              <w:bottom w:val="nil"/>
              <w:right w:val="nil"/>
            </w:tcBorders>
            <w:shd w:val="clear" w:color="auto" w:fill="auto"/>
            <w:noWrap/>
            <w:vAlign w:val="center"/>
            <w:hideMark/>
          </w:tcPr>
          <w:p w14:paraId="785D855E" w14:textId="77777777" w:rsidR="00934E04" w:rsidRPr="008653A2" w:rsidRDefault="00934E04"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 xml:space="preserve">18,878 </w:t>
            </w:r>
          </w:p>
        </w:tc>
        <w:tc>
          <w:tcPr>
            <w:tcW w:w="198" w:type="dxa"/>
            <w:tcBorders>
              <w:top w:val="nil"/>
              <w:left w:val="nil"/>
              <w:bottom w:val="nil"/>
              <w:right w:val="nil"/>
            </w:tcBorders>
            <w:shd w:val="clear" w:color="auto" w:fill="auto"/>
            <w:noWrap/>
            <w:vAlign w:val="center"/>
            <w:hideMark/>
          </w:tcPr>
          <w:p w14:paraId="36D24DA7" w14:textId="77777777" w:rsidR="00934E04" w:rsidRPr="008653A2" w:rsidRDefault="00934E04" w:rsidP="00E607DA">
            <w:pPr>
              <w:jc w:val="right"/>
              <w:outlineLvl w:val="0"/>
              <w:rPr>
                <w:rFonts w:ascii="Meta Pro" w:eastAsia="Times New Roman" w:hAnsi="Meta Pro"/>
                <w:szCs w:val="18"/>
                <w:lang w:eastAsia="en-AU"/>
              </w:rPr>
            </w:pPr>
          </w:p>
        </w:tc>
        <w:tc>
          <w:tcPr>
            <w:tcW w:w="1195" w:type="dxa"/>
            <w:tcBorders>
              <w:top w:val="nil"/>
              <w:left w:val="nil"/>
              <w:bottom w:val="nil"/>
              <w:right w:val="nil"/>
            </w:tcBorders>
            <w:shd w:val="clear" w:color="auto" w:fill="auto"/>
            <w:noWrap/>
            <w:vAlign w:val="center"/>
            <w:hideMark/>
          </w:tcPr>
          <w:p w14:paraId="3CF9C5BA" w14:textId="77777777" w:rsidR="00934E04" w:rsidRPr="008653A2" w:rsidRDefault="00934E04"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(5,910)</w:t>
            </w:r>
          </w:p>
        </w:tc>
      </w:tr>
      <w:tr w:rsidR="00934E04" w:rsidRPr="008653A2" w14:paraId="531A246D" w14:textId="77777777" w:rsidTr="00E607DA">
        <w:trPr>
          <w:trHeight w:val="227"/>
        </w:trPr>
        <w:tc>
          <w:tcPr>
            <w:tcW w:w="6236" w:type="dxa"/>
            <w:tcBorders>
              <w:top w:val="nil"/>
              <w:left w:val="nil"/>
              <w:bottom w:val="nil"/>
              <w:right w:val="nil"/>
            </w:tcBorders>
            <w:shd w:val="clear" w:color="auto" w:fill="auto"/>
            <w:noWrap/>
            <w:vAlign w:val="center"/>
            <w:hideMark/>
          </w:tcPr>
          <w:p w14:paraId="44F61ACF" w14:textId="77777777" w:rsidR="00934E04" w:rsidRPr="008653A2" w:rsidRDefault="00934E04" w:rsidP="00E607DA">
            <w:pPr>
              <w:outlineLvl w:val="0"/>
              <w:rPr>
                <w:rFonts w:ascii="Meta Pro" w:eastAsia="Times New Roman" w:hAnsi="Meta Pro"/>
                <w:i/>
                <w:iCs/>
                <w:szCs w:val="18"/>
                <w:lang w:eastAsia="en-AU"/>
              </w:rPr>
            </w:pPr>
            <w:r w:rsidRPr="008653A2">
              <w:rPr>
                <w:rFonts w:ascii="Meta Pro" w:eastAsia="Times New Roman" w:hAnsi="Meta Pro"/>
                <w:i/>
                <w:iCs/>
                <w:szCs w:val="18"/>
                <w:lang w:eastAsia="en-AU"/>
              </w:rPr>
              <w:t>Outflows:</w:t>
            </w:r>
          </w:p>
        </w:tc>
        <w:tc>
          <w:tcPr>
            <w:tcW w:w="1196" w:type="dxa"/>
            <w:tcBorders>
              <w:top w:val="nil"/>
              <w:left w:val="nil"/>
              <w:bottom w:val="nil"/>
              <w:right w:val="nil"/>
            </w:tcBorders>
            <w:shd w:val="clear" w:color="auto" w:fill="auto"/>
            <w:noWrap/>
            <w:vAlign w:val="center"/>
            <w:hideMark/>
          </w:tcPr>
          <w:p w14:paraId="306F559C" w14:textId="77777777" w:rsidR="00934E04" w:rsidRPr="008653A2" w:rsidRDefault="00934E04" w:rsidP="00E607DA">
            <w:pPr>
              <w:outlineLvl w:val="0"/>
              <w:rPr>
                <w:rFonts w:ascii="Meta Pro" w:eastAsia="Times New Roman" w:hAnsi="Meta Pro"/>
                <w:i/>
                <w:iCs/>
                <w:szCs w:val="18"/>
                <w:lang w:eastAsia="en-AU"/>
              </w:rPr>
            </w:pPr>
          </w:p>
        </w:tc>
        <w:tc>
          <w:tcPr>
            <w:tcW w:w="198" w:type="dxa"/>
            <w:tcBorders>
              <w:top w:val="nil"/>
              <w:left w:val="nil"/>
              <w:bottom w:val="nil"/>
              <w:right w:val="nil"/>
            </w:tcBorders>
            <w:shd w:val="clear" w:color="auto" w:fill="auto"/>
            <w:noWrap/>
            <w:vAlign w:val="center"/>
            <w:hideMark/>
          </w:tcPr>
          <w:p w14:paraId="3A34166B" w14:textId="77777777" w:rsidR="00934E04" w:rsidRPr="008653A2" w:rsidRDefault="00934E04" w:rsidP="00E607DA">
            <w:pPr>
              <w:outlineLvl w:val="0"/>
              <w:rPr>
                <w:rFonts w:ascii="Meta Pro" w:eastAsia="Times New Roman" w:hAnsi="Meta Pro" w:cs="Times New Roman"/>
                <w:sz w:val="20"/>
                <w:szCs w:val="20"/>
                <w:lang w:eastAsia="en-AU"/>
              </w:rPr>
            </w:pPr>
          </w:p>
        </w:tc>
        <w:tc>
          <w:tcPr>
            <w:tcW w:w="1197" w:type="dxa"/>
            <w:tcBorders>
              <w:top w:val="nil"/>
              <w:left w:val="nil"/>
              <w:bottom w:val="nil"/>
              <w:right w:val="nil"/>
            </w:tcBorders>
            <w:shd w:val="clear" w:color="auto" w:fill="auto"/>
            <w:noWrap/>
            <w:vAlign w:val="center"/>
            <w:hideMark/>
          </w:tcPr>
          <w:p w14:paraId="7B4CCB0D" w14:textId="77777777" w:rsidR="00934E04" w:rsidRPr="008653A2" w:rsidRDefault="00934E04" w:rsidP="00E607DA">
            <w:pPr>
              <w:jc w:val="right"/>
              <w:outlineLvl w:val="0"/>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4C16BD2A" w14:textId="77777777" w:rsidR="00934E04" w:rsidRPr="008653A2" w:rsidRDefault="00934E04" w:rsidP="00E607DA">
            <w:pPr>
              <w:outlineLvl w:val="0"/>
              <w:rPr>
                <w:rFonts w:ascii="Meta Pro" w:eastAsia="Times New Roman" w:hAnsi="Meta Pro" w:cs="Times New Roman"/>
                <w:sz w:val="20"/>
                <w:szCs w:val="20"/>
                <w:lang w:eastAsia="en-AU"/>
              </w:rPr>
            </w:pPr>
          </w:p>
        </w:tc>
        <w:tc>
          <w:tcPr>
            <w:tcW w:w="1195" w:type="dxa"/>
            <w:tcBorders>
              <w:top w:val="nil"/>
              <w:left w:val="nil"/>
              <w:bottom w:val="nil"/>
              <w:right w:val="nil"/>
            </w:tcBorders>
            <w:shd w:val="clear" w:color="auto" w:fill="auto"/>
            <w:noWrap/>
            <w:vAlign w:val="center"/>
            <w:hideMark/>
          </w:tcPr>
          <w:p w14:paraId="1F63CF73" w14:textId="77777777" w:rsidR="00934E04" w:rsidRPr="008653A2" w:rsidRDefault="00934E04" w:rsidP="00E607DA">
            <w:pPr>
              <w:jc w:val="right"/>
              <w:outlineLvl w:val="0"/>
              <w:rPr>
                <w:rFonts w:ascii="Meta Pro" w:eastAsia="Times New Roman" w:hAnsi="Meta Pro" w:cs="Times New Roman"/>
                <w:sz w:val="20"/>
                <w:szCs w:val="20"/>
                <w:lang w:eastAsia="en-AU"/>
              </w:rPr>
            </w:pPr>
          </w:p>
        </w:tc>
      </w:tr>
      <w:tr w:rsidR="00934E04" w:rsidRPr="008653A2" w14:paraId="45EDA2A8" w14:textId="77777777" w:rsidTr="00E607DA">
        <w:trPr>
          <w:trHeight w:val="227"/>
        </w:trPr>
        <w:tc>
          <w:tcPr>
            <w:tcW w:w="6236" w:type="dxa"/>
            <w:tcBorders>
              <w:top w:val="nil"/>
              <w:left w:val="nil"/>
              <w:bottom w:val="nil"/>
              <w:right w:val="nil"/>
            </w:tcBorders>
            <w:shd w:val="clear" w:color="auto" w:fill="auto"/>
            <w:noWrap/>
            <w:vAlign w:val="center"/>
            <w:hideMark/>
          </w:tcPr>
          <w:p w14:paraId="2CF44589" w14:textId="77777777" w:rsidR="00934E04" w:rsidRPr="008653A2" w:rsidRDefault="00934E04" w:rsidP="00E607DA">
            <w:pPr>
              <w:outlineLvl w:val="0"/>
              <w:rPr>
                <w:rFonts w:ascii="Meta Pro" w:eastAsia="Times New Roman" w:hAnsi="Meta Pro"/>
                <w:szCs w:val="18"/>
                <w:lang w:eastAsia="en-AU"/>
              </w:rPr>
            </w:pPr>
            <w:r w:rsidRPr="008653A2">
              <w:rPr>
                <w:rFonts w:ascii="Meta Pro" w:eastAsia="Times New Roman" w:hAnsi="Meta Pro"/>
                <w:szCs w:val="18"/>
                <w:lang w:eastAsia="en-AU"/>
              </w:rPr>
              <w:t>Payments for property, plant and equipment</w:t>
            </w:r>
          </w:p>
        </w:tc>
        <w:tc>
          <w:tcPr>
            <w:tcW w:w="1196" w:type="dxa"/>
            <w:tcBorders>
              <w:top w:val="nil"/>
              <w:left w:val="nil"/>
              <w:bottom w:val="nil"/>
              <w:right w:val="nil"/>
            </w:tcBorders>
            <w:shd w:val="clear" w:color="auto" w:fill="auto"/>
            <w:noWrap/>
            <w:vAlign w:val="center"/>
            <w:hideMark/>
          </w:tcPr>
          <w:p w14:paraId="321C6DBD" w14:textId="77777777" w:rsidR="00934E04" w:rsidRPr="008653A2" w:rsidRDefault="00934E04"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(3,671,169)</w:t>
            </w:r>
          </w:p>
        </w:tc>
        <w:tc>
          <w:tcPr>
            <w:tcW w:w="198" w:type="dxa"/>
            <w:tcBorders>
              <w:top w:val="nil"/>
              <w:left w:val="nil"/>
              <w:bottom w:val="nil"/>
              <w:right w:val="nil"/>
            </w:tcBorders>
            <w:shd w:val="clear" w:color="auto" w:fill="auto"/>
            <w:noWrap/>
            <w:vAlign w:val="center"/>
            <w:hideMark/>
          </w:tcPr>
          <w:p w14:paraId="07AAC4C1" w14:textId="77777777" w:rsidR="00934E04" w:rsidRPr="008653A2" w:rsidRDefault="00934E04" w:rsidP="00E607DA">
            <w:pPr>
              <w:jc w:val="right"/>
              <w:outlineLvl w:val="0"/>
              <w:rPr>
                <w:rFonts w:ascii="Meta Pro" w:eastAsia="Times New Roman" w:hAnsi="Meta Pro"/>
                <w:szCs w:val="18"/>
                <w:lang w:eastAsia="en-AU"/>
              </w:rPr>
            </w:pPr>
          </w:p>
        </w:tc>
        <w:tc>
          <w:tcPr>
            <w:tcW w:w="1197" w:type="dxa"/>
            <w:tcBorders>
              <w:top w:val="nil"/>
              <w:left w:val="nil"/>
              <w:bottom w:val="nil"/>
              <w:right w:val="nil"/>
            </w:tcBorders>
            <w:shd w:val="clear" w:color="auto" w:fill="auto"/>
            <w:noWrap/>
            <w:vAlign w:val="center"/>
            <w:hideMark/>
          </w:tcPr>
          <w:p w14:paraId="3D4AD277" w14:textId="77777777" w:rsidR="00934E04" w:rsidRPr="008653A2" w:rsidRDefault="00934E04"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(4,077,969)</w:t>
            </w:r>
          </w:p>
        </w:tc>
        <w:tc>
          <w:tcPr>
            <w:tcW w:w="198" w:type="dxa"/>
            <w:tcBorders>
              <w:top w:val="nil"/>
              <w:left w:val="nil"/>
              <w:bottom w:val="nil"/>
              <w:right w:val="nil"/>
            </w:tcBorders>
            <w:shd w:val="clear" w:color="auto" w:fill="auto"/>
            <w:noWrap/>
            <w:vAlign w:val="center"/>
            <w:hideMark/>
          </w:tcPr>
          <w:p w14:paraId="7A78FB77" w14:textId="77777777" w:rsidR="00934E04" w:rsidRPr="008653A2" w:rsidRDefault="00934E04" w:rsidP="00E607DA">
            <w:pPr>
              <w:jc w:val="right"/>
              <w:outlineLvl w:val="0"/>
              <w:rPr>
                <w:rFonts w:ascii="Meta Pro" w:eastAsia="Times New Roman" w:hAnsi="Meta Pro"/>
                <w:szCs w:val="18"/>
                <w:lang w:eastAsia="en-AU"/>
              </w:rPr>
            </w:pPr>
          </w:p>
        </w:tc>
        <w:tc>
          <w:tcPr>
            <w:tcW w:w="1195" w:type="dxa"/>
            <w:tcBorders>
              <w:top w:val="nil"/>
              <w:left w:val="nil"/>
              <w:bottom w:val="nil"/>
              <w:right w:val="nil"/>
            </w:tcBorders>
            <w:shd w:val="clear" w:color="auto" w:fill="auto"/>
            <w:noWrap/>
            <w:vAlign w:val="center"/>
            <w:hideMark/>
          </w:tcPr>
          <w:p w14:paraId="0E53F513" w14:textId="77777777" w:rsidR="00934E04" w:rsidRPr="008653A2" w:rsidRDefault="00934E04"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(406,800)</w:t>
            </w:r>
          </w:p>
        </w:tc>
      </w:tr>
      <w:tr w:rsidR="00934E04" w:rsidRPr="008653A2" w14:paraId="63F18B86" w14:textId="77777777" w:rsidTr="00E607DA">
        <w:trPr>
          <w:trHeight w:val="227"/>
        </w:trPr>
        <w:tc>
          <w:tcPr>
            <w:tcW w:w="6236" w:type="dxa"/>
            <w:tcBorders>
              <w:top w:val="nil"/>
              <w:left w:val="nil"/>
              <w:bottom w:val="nil"/>
              <w:right w:val="nil"/>
            </w:tcBorders>
            <w:shd w:val="clear" w:color="auto" w:fill="auto"/>
            <w:noWrap/>
            <w:vAlign w:val="center"/>
            <w:hideMark/>
          </w:tcPr>
          <w:p w14:paraId="4885EF2E" w14:textId="77777777" w:rsidR="00934E04" w:rsidRPr="008653A2" w:rsidRDefault="00934E04" w:rsidP="00E607DA">
            <w:pPr>
              <w:outlineLvl w:val="0"/>
              <w:rPr>
                <w:rFonts w:ascii="Meta Pro" w:eastAsia="Times New Roman" w:hAnsi="Meta Pro"/>
                <w:szCs w:val="18"/>
                <w:lang w:eastAsia="en-AU"/>
              </w:rPr>
            </w:pPr>
            <w:r w:rsidRPr="008653A2">
              <w:rPr>
                <w:rFonts w:ascii="Meta Pro" w:eastAsia="Times New Roman" w:hAnsi="Meta Pro"/>
                <w:szCs w:val="18"/>
                <w:lang w:eastAsia="en-AU"/>
              </w:rPr>
              <w:t>Payments for intangibles</w:t>
            </w:r>
          </w:p>
        </w:tc>
        <w:tc>
          <w:tcPr>
            <w:tcW w:w="1196" w:type="dxa"/>
            <w:tcBorders>
              <w:top w:val="nil"/>
              <w:left w:val="nil"/>
              <w:bottom w:val="nil"/>
              <w:right w:val="nil"/>
            </w:tcBorders>
            <w:shd w:val="clear" w:color="auto" w:fill="auto"/>
            <w:noWrap/>
            <w:vAlign w:val="center"/>
            <w:hideMark/>
          </w:tcPr>
          <w:p w14:paraId="5535A3FB" w14:textId="77777777" w:rsidR="00934E04" w:rsidRPr="008653A2" w:rsidRDefault="00934E04"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(18,557)</w:t>
            </w:r>
          </w:p>
        </w:tc>
        <w:tc>
          <w:tcPr>
            <w:tcW w:w="198" w:type="dxa"/>
            <w:tcBorders>
              <w:top w:val="nil"/>
              <w:left w:val="nil"/>
              <w:bottom w:val="nil"/>
              <w:right w:val="nil"/>
            </w:tcBorders>
            <w:shd w:val="clear" w:color="auto" w:fill="auto"/>
            <w:noWrap/>
            <w:vAlign w:val="center"/>
            <w:hideMark/>
          </w:tcPr>
          <w:p w14:paraId="05E0C016" w14:textId="77777777" w:rsidR="00934E04" w:rsidRPr="008653A2" w:rsidRDefault="00934E04" w:rsidP="00E607DA">
            <w:pPr>
              <w:jc w:val="right"/>
              <w:outlineLvl w:val="0"/>
              <w:rPr>
                <w:rFonts w:ascii="Meta Pro" w:eastAsia="Times New Roman" w:hAnsi="Meta Pro"/>
                <w:szCs w:val="18"/>
                <w:lang w:eastAsia="en-AU"/>
              </w:rPr>
            </w:pPr>
          </w:p>
        </w:tc>
        <w:tc>
          <w:tcPr>
            <w:tcW w:w="1197" w:type="dxa"/>
            <w:tcBorders>
              <w:top w:val="nil"/>
              <w:left w:val="nil"/>
              <w:bottom w:val="nil"/>
              <w:right w:val="nil"/>
            </w:tcBorders>
            <w:shd w:val="clear" w:color="auto" w:fill="auto"/>
            <w:noWrap/>
            <w:vAlign w:val="center"/>
            <w:hideMark/>
          </w:tcPr>
          <w:p w14:paraId="1A35AEB0" w14:textId="77777777" w:rsidR="00934E04" w:rsidRPr="008653A2" w:rsidRDefault="00934E04"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(17,912)</w:t>
            </w:r>
          </w:p>
        </w:tc>
        <w:tc>
          <w:tcPr>
            <w:tcW w:w="198" w:type="dxa"/>
            <w:tcBorders>
              <w:top w:val="nil"/>
              <w:left w:val="nil"/>
              <w:bottom w:val="nil"/>
              <w:right w:val="nil"/>
            </w:tcBorders>
            <w:shd w:val="clear" w:color="auto" w:fill="auto"/>
            <w:noWrap/>
            <w:vAlign w:val="center"/>
            <w:hideMark/>
          </w:tcPr>
          <w:p w14:paraId="187B4D3D" w14:textId="77777777" w:rsidR="00934E04" w:rsidRPr="008653A2" w:rsidRDefault="00934E04" w:rsidP="00E607DA">
            <w:pPr>
              <w:jc w:val="right"/>
              <w:outlineLvl w:val="0"/>
              <w:rPr>
                <w:rFonts w:ascii="Meta Pro" w:eastAsia="Times New Roman" w:hAnsi="Meta Pro"/>
                <w:szCs w:val="18"/>
                <w:lang w:eastAsia="en-AU"/>
              </w:rPr>
            </w:pPr>
          </w:p>
        </w:tc>
        <w:tc>
          <w:tcPr>
            <w:tcW w:w="1195" w:type="dxa"/>
            <w:tcBorders>
              <w:top w:val="nil"/>
              <w:left w:val="nil"/>
              <w:bottom w:val="nil"/>
              <w:right w:val="nil"/>
            </w:tcBorders>
            <w:shd w:val="clear" w:color="auto" w:fill="auto"/>
            <w:noWrap/>
            <w:vAlign w:val="center"/>
            <w:hideMark/>
          </w:tcPr>
          <w:p w14:paraId="4D4ED295" w14:textId="77777777" w:rsidR="00934E04" w:rsidRPr="008653A2" w:rsidRDefault="00934E04"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 xml:space="preserve">645 </w:t>
            </w:r>
          </w:p>
        </w:tc>
      </w:tr>
      <w:tr w:rsidR="00934E04" w:rsidRPr="008653A2" w14:paraId="4BBFD9AE" w14:textId="77777777" w:rsidTr="00E607DA">
        <w:trPr>
          <w:trHeight w:val="227"/>
        </w:trPr>
        <w:tc>
          <w:tcPr>
            <w:tcW w:w="6236" w:type="dxa"/>
            <w:tcBorders>
              <w:top w:val="single" w:sz="4" w:space="0" w:color="auto"/>
              <w:left w:val="nil"/>
              <w:bottom w:val="nil"/>
              <w:right w:val="nil"/>
            </w:tcBorders>
            <w:shd w:val="clear" w:color="auto" w:fill="auto"/>
            <w:noWrap/>
            <w:vAlign w:val="center"/>
            <w:hideMark/>
          </w:tcPr>
          <w:p w14:paraId="44827503" w14:textId="77777777" w:rsidR="00934E04" w:rsidRPr="008653A2" w:rsidRDefault="00934E04" w:rsidP="00E607DA">
            <w:pPr>
              <w:outlineLvl w:val="0"/>
              <w:rPr>
                <w:rFonts w:ascii="Meta Pro" w:eastAsia="Times New Roman" w:hAnsi="Meta Pro"/>
                <w:b/>
                <w:bCs/>
                <w:szCs w:val="18"/>
                <w:lang w:eastAsia="en-AU"/>
              </w:rPr>
            </w:pPr>
            <w:r w:rsidRPr="008653A2">
              <w:rPr>
                <w:rFonts w:ascii="Meta Pro" w:eastAsia="Times New Roman" w:hAnsi="Meta Pro"/>
                <w:b/>
                <w:bCs/>
                <w:szCs w:val="18"/>
                <w:lang w:eastAsia="en-AU"/>
              </w:rPr>
              <w:t>Net cash used in investing activities</w:t>
            </w:r>
          </w:p>
        </w:tc>
        <w:tc>
          <w:tcPr>
            <w:tcW w:w="1196" w:type="dxa"/>
            <w:tcBorders>
              <w:top w:val="single" w:sz="4" w:space="0" w:color="auto"/>
              <w:left w:val="nil"/>
              <w:bottom w:val="nil"/>
              <w:right w:val="nil"/>
            </w:tcBorders>
            <w:shd w:val="clear" w:color="auto" w:fill="auto"/>
            <w:noWrap/>
            <w:vAlign w:val="center"/>
            <w:hideMark/>
          </w:tcPr>
          <w:p w14:paraId="5BCFCC0E" w14:textId="77777777" w:rsidR="00934E04" w:rsidRPr="008653A2" w:rsidRDefault="00934E04" w:rsidP="00E607DA">
            <w:pPr>
              <w:jc w:val="right"/>
              <w:outlineLvl w:val="0"/>
              <w:rPr>
                <w:rFonts w:ascii="Meta Pro" w:eastAsia="Times New Roman" w:hAnsi="Meta Pro"/>
                <w:b/>
                <w:bCs/>
                <w:szCs w:val="18"/>
                <w:lang w:eastAsia="en-AU"/>
              </w:rPr>
            </w:pPr>
            <w:r w:rsidRPr="008653A2">
              <w:rPr>
                <w:rFonts w:ascii="Meta Pro" w:eastAsia="Times New Roman" w:hAnsi="Meta Pro"/>
                <w:b/>
                <w:bCs/>
                <w:szCs w:val="18"/>
                <w:lang w:eastAsia="en-AU"/>
              </w:rPr>
              <w:t>(3,664,938)</w:t>
            </w:r>
          </w:p>
        </w:tc>
        <w:tc>
          <w:tcPr>
            <w:tcW w:w="198" w:type="dxa"/>
            <w:tcBorders>
              <w:top w:val="single" w:sz="4" w:space="0" w:color="auto"/>
              <w:left w:val="nil"/>
              <w:bottom w:val="nil"/>
              <w:right w:val="nil"/>
            </w:tcBorders>
            <w:shd w:val="clear" w:color="auto" w:fill="auto"/>
            <w:noWrap/>
            <w:vAlign w:val="center"/>
            <w:hideMark/>
          </w:tcPr>
          <w:p w14:paraId="4DD4185E" w14:textId="77777777" w:rsidR="00934E04" w:rsidRPr="008653A2" w:rsidRDefault="00934E04" w:rsidP="00E607DA">
            <w:pPr>
              <w:jc w:val="right"/>
              <w:outlineLvl w:val="0"/>
              <w:rPr>
                <w:rFonts w:ascii="Meta Pro" w:eastAsia="Times New Roman" w:hAnsi="Meta Pro"/>
                <w:b/>
                <w:bCs/>
                <w:szCs w:val="18"/>
                <w:lang w:eastAsia="en-AU"/>
              </w:rPr>
            </w:pPr>
            <w:r w:rsidRPr="008653A2">
              <w:rPr>
                <w:rFonts w:ascii="Meta Pro" w:eastAsia="Times New Roman" w:hAnsi="Meta Pro"/>
                <w:b/>
                <w:bCs/>
                <w:szCs w:val="18"/>
                <w:lang w:eastAsia="en-AU"/>
              </w:rPr>
              <w:t> </w:t>
            </w:r>
          </w:p>
        </w:tc>
        <w:tc>
          <w:tcPr>
            <w:tcW w:w="1197" w:type="dxa"/>
            <w:tcBorders>
              <w:top w:val="single" w:sz="4" w:space="0" w:color="auto"/>
              <w:left w:val="nil"/>
              <w:bottom w:val="nil"/>
              <w:right w:val="nil"/>
            </w:tcBorders>
            <w:shd w:val="clear" w:color="auto" w:fill="auto"/>
            <w:noWrap/>
            <w:vAlign w:val="center"/>
            <w:hideMark/>
          </w:tcPr>
          <w:p w14:paraId="5CB79B79" w14:textId="77777777" w:rsidR="00934E04" w:rsidRPr="008653A2" w:rsidRDefault="00934E04" w:rsidP="00E607DA">
            <w:pPr>
              <w:jc w:val="right"/>
              <w:outlineLvl w:val="0"/>
              <w:rPr>
                <w:rFonts w:ascii="Meta Pro" w:eastAsia="Times New Roman" w:hAnsi="Meta Pro"/>
                <w:b/>
                <w:bCs/>
                <w:szCs w:val="18"/>
                <w:lang w:eastAsia="en-AU"/>
              </w:rPr>
            </w:pPr>
            <w:r w:rsidRPr="008653A2">
              <w:rPr>
                <w:rFonts w:ascii="Meta Pro" w:eastAsia="Times New Roman" w:hAnsi="Meta Pro"/>
                <w:b/>
                <w:bCs/>
                <w:szCs w:val="18"/>
                <w:lang w:eastAsia="en-AU"/>
              </w:rPr>
              <w:t>(4,077,003)</w:t>
            </w:r>
          </w:p>
        </w:tc>
        <w:tc>
          <w:tcPr>
            <w:tcW w:w="198" w:type="dxa"/>
            <w:tcBorders>
              <w:top w:val="single" w:sz="4" w:space="0" w:color="auto"/>
              <w:left w:val="nil"/>
              <w:bottom w:val="nil"/>
              <w:right w:val="nil"/>
            </w:tcBorders>
            <w:shd w:val="clear" w:color="auto" w:fill="auto"/>
            <w:noWrap/>
            <w:vAlign w:val="center"/>
            <w:hideMark/>
          </w:tcPr>
          <w:p w14:paraId="0AD45C2F" w14:textId="77777777" w:rsidR="00934E04" w:rsidRPr="008653A2" w:rsidRDefault="00934E04" w:rsidP="00E607DA">
            <w:pPr>
              <w:jc w:val="right"/>
              <w:outlineLvl w:val="0"/>
              <w:rPr>
                <w:rFonts w:ascii="Meta Pro" w:eastAsia="Times New Roman" w:hAnsi="Meta Pro"/>
                <w:b/>
                <w:bCs/>
                <w:szCs w:val="18"/>
                <w:lang w:eastAsia="en-AU"/>
              </w:rPr>
            </w:pPr>
            <w:r w:rsidRPr="008653A2">
              <w:rPr>
                <w:rFonts w:ascii="Meta Pro" w:eastAsia="Times New Roman" w:hAnsi="Meta Pro"/>
                <w:b/>
                <w:bCs/>
                <w:szCs w:val="18"/>
                <w:lang w:eastAsia="en-AU"/>
              </w:rPr>
              <w:t> </w:t>
            </w:r>
          </w:p>
        </w:tc>
        <w:tc>
          <w:tcPr>
            <w:tcW w:w="1195" w:type="dxa"/>
            <w:tcBorders>
              <w:top w:val="single" w:sz="4" w:space="0" w:color="auto"/>
              <w:left w:val="nil"/>
              <w:bottom w:val="nil"/>
              <w:right w:val="nil"/>
            </w:tcBorders>
            <w:shd w:val="clear" w:color="auto" w:fill="auto"/>
            <w:noWrap/>
            <w:vAlign w:val="center"/>
            <w:hideMark/>
          </w:tcPr>
          <w:p w14:paraId="0FE127C8" w14:textId="77777777" w:rsidR="00934E04" w:rsidRPr="008653A2" w:rsidRDefault="00934E04" w:rsidP="00E607DA">
            <w:pPr>
              <w:jc w:val="right"/>
              <w:outlineLvl w:val="0"/>
              <w:rPr>
                <w:rFonts w:ascii="Meta Pro" w:eastAsia="Times New Roman" w:hAnsi="Meta Pro"/>
                <w:b/>
                <w:bCs/>
                <w:szCs w:val="18"/>
                <w:lang w:eastAsia="en-AU"/>
              </w:rPr>
            </w:pPr>
            <w:r w:rsidRPr="008653A2">
              <w:rPr>
                <w:rFonts w:ascii="Meta Pro" w:eastAsia="Times New Roman" w:hAnsi="Meta Pro"/>
                <w:b/>
                <w:bCs/>
                <w:szCs w:val="18"/>
                <w:lang w:eastAsia="en-AU"/>
              </w:rPr>
              <w:t>(412,065)</w:t>
            </w:r>
          </w:p>
        </w:tc>
      </w:tr>
      <w:tr w:rsidR="00934E04" w:rsidRPr="008653A2" w14:paraId="3F254895" w14:textId="77777777" w:rsidTr="00E607DA">
        <w:trPr>
          <w:trHeight w:val="227"/>
        </w:trPr>
        <w:tc>
          <w:tcPr>
            <w:tcW w:w="6236" w:type="dxa"/>
            <w:tcBorders>
              <w:top w:val="nil"/>
              <w:left w:val="nil"/>
              <w:bottom w:val="nil"/>
              <w:right w:val="nil"/>
            </w:tcBorders>
            <w:shd w:val="clear" w:color="auto" w:fill="auto"/>
            <w:noWrap/>
            <w:vAlign w:val="center"/>
            <w:hideMark/>
          </w:tcPr>
          <w:p w14:paraId="1A0EC0A1" w14:textId="77777777" w:rsidR="00934E04" w:rsidRPr="008653A2" w:rsidRDefault="00934E04" w:rsidP="00E607DA">
            <w:pPr>
              <w:jc w:val="right"/>
              <w:outlineLvl w:val="0"/>
              <w:rPr>
                <w:rFonts w:ascii="Meta Pro" w:eastAsia="Times New Roman" w:hAnsi="Meta Pro"/>
                <w:b/>
                <w:bCs/>
                <w:szCs w:val="18"/>
                <w:lang w:eastAsia="en-AU"/>
              </w:rPr>
            </w:pPr>
          </w:p>
        </w:tc>
        <w:tc>
          <w:tcPr>
            <w:tcW w:w="1196" w:type="dxa"/>
            <w:tcBorders>
              <w:top w:val="nil"/>
              <w:left w:val="nil"/>
              <w:bottom w:val="nil"/>
              <w:right w:val="nil"/>
            </w:tcBorders>
            <w:shd w:val="clear" w:color="auto" w:fill="auto"/>
            <w:noWrap/>
            <w:vAlign w:val="center"/>
            <w:hideMark/>
          </w:tcPr>
          <w:p w14:paraId="4300A0DA" w14:textId="77777777" w:rsidR="00934E04" w:rsidRPr="008653A2" w:rsidRDefault="00934E04" w:rsidP="00E607DA">
            <w:pPr>
              <w:outlineLvl w:val="0"/>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0A27A629" w14:textId="77777777" w:rsidR="00934E04" w:rsidRPr="008653A2" w:rsidRDefault="00934E04" w:rsidP="00E607DA">
            <w:pPr>
              <w:jc w:val="right"/>
              <w:outlineLvl w:val="0"/>
              <w:rPr>
                <w:rFonts w:ascii="Meta Pro" w:eastAsia="Times New Roman" w:hAnsi="Meta Pro" w:cs="Times New Roman"/>
                <w:sz w:val="20"/>
                <w:szCs w:val="20"/>
                <w:lang w:eastAsia="en-AU"/>
              </w:rPr>
            </w:pPr>
          </w:p>
        </w:tc>
        <w:tc>
          <w:tcPr>
            <w:tcW w:w="1197" w:type="dxa"/>
            <w:tcBorders>
              <w:top w:val="nil"/>
              <w:left w:val="nil"/>
              <w:bottom w:val="nil"/>
              <w:right w:val="nil"/>
            </w:tcBorders>
            <w:shd w:val="clear" w:color="auto" w:fill="auto"/>
            <w:noWrap/>
            <w:vAlign w:val="center"/>
            <w:hideMark/>
          </w:tcPr>
          <w:p w14:paraId="2E1E3A01" w14:textId="77777777" w:rsidR="00934E04" w:rsidRPr="008653A2" w:rsidRDefault="00934E04" w:rsidP="00E607DA">
            <w:pPr>
              <w:jc w:val="right"/>
              <w:outlineLvl w:val="0"/>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58A3FA4D" w14:textId="77777777" w:rsidR="00934E04" w:rsidRPr="008653A2" w:rsidRDefault="00934E04" w:rsidP="00E607DA">
            <w:pPr>
              <w:jc w:val="right"/>
              <w:outlineLvl w:val="0"/>
              <w:rPr>
                <w:rFonts w:ascii="Meta Pro" w:eastAsia="Times New Roman" w:hAnsi="Meta Pro" w:cs="Times New Roman"/>
                <w:sz w:val="20"/>
                <w:szCs w:val="20"/>
                <w:lang w:eastAsia="en-AU"/>
              </w:rPr>
            </w:pPr>
          </w:p>
        </w:tc>
        <w:tc>
          <w:tcPr>
            <w:tcW w:w="1195" w:type="dxa"/>
            <w:tcBorders>
              <w:top w:val="nil"/>
              <w:left w:val="nil"/>
              <w:bottom w:val="nil"/>
              <w:right w:val="nil"/>
            </w:tcBorders>
            <w:shd w:val="clear" w:color="auto" w:fill="auto"/>
            <w:noWrap/>
            <w:vAlign w:val="center"/>
            <w:hideMark/>
          </w:tcPr>
          <w:p w14:paraId="25C62FD2" w14:textId="77777777" w:rsidR="00934E04" w:rsidRPr="008653A2" w:rsidRDefault="00934E04" w:rsidP="00E607DA">
            <w:pPr>
              <w:jc w:val="right"/>
              <w:outlineLvl w:val="0"/>
              <w:rPr>
                <w:rFonts w:ascii="Meta Pro" w:eastAsia="Times New Roman" w:hAnsi="Meta Pro" w:cs="Times New Roman"/>
                <w:sz w:val="20"/>
                <w:szCs w:val="20"/>
                <w:lang w:eastAsia="en-AU"/>
              </w:rPr>
            </w:pPr>
          </w:p>
        </w:tc>
      </w:tr>
      <w:tr w:rsidR="00934E04" w:rsidRPr="008653A2" w14:paraId="38AE9C9D" w14:textId="77777777" w:rsidTr="00E607DA">
        <w:trPr>
          <w:trHeight w:val="227"/>
        </w:trPr>
        <w:tc>
          <w:tcPr>
            <w:tcW w:w="6236" w:type="dxa"/>
            <w:tcBorders>
              <w:top w:val="nil"/>
              <w:left w:val="nil"/>
              <w:bottom w:val="nil"/>
              <w:right w:val="nil"/>
            </w:tcBorders>
            <w:shd w:val="clear" w:color="auto" w:fill="auto"/>
            <w:noWrap/>
            <w:vAlign w:val="center"/>
            <w:hideMark/>
          </w:tcPr>
          <w:p w14:paraId="145E45F0" w14:textId="77777777" w:rsidR="00934E04" w:rsidRPr="008653A2" w:rsidRDefault="00934E04" w:rsidP="00E607DA">
            <w:pPr>
              <w:outlineLvl w:val="0"/>
              <w:rPr>
                <w:rFonts w:ascii="Meta Pro" w:eastAsia="Times New Roman" w:hAnsi="Meta Pro"/>
                <w:b/>
                <w:bCs/>
                <w:szCs w:val="18"/>
                <w:lang w:eastAsia="en-AU"/>
              </w:rPr>
            </w:pPr>
            <w:r w:rsidRPr="008653A2">
              <w:rPr>
                <w:rFonts w:ascii="Meta Pro" w:eastAsia="Times New Roman" w:hAnsi="Meta Pro"/>
                <w:b/>
                <w:bCs/>
                <w:szCs w:val="18"/>
                <w:lang w:eastAsia="en-AU"/>
              </w:rPr>
              <w:lastRenderedPageBreak/>
              <w:t>Cash flows from financing activities</w:t>
            </w:r>
          </w:p>
        </w:tc>
        <w:tc>
          <w:tcPr>
            <w:tcW w:w="1196" w:type="dxa"/>
            <w:tcBorders>
              <w:top w:val="nil"/>
              <w:left w:val="nil"/>
              <w:bottom w:val="nil"/>
              <w:right w:val="nil"/>
            </w:tcBorders>
            <w:shd w:val="clear" w:color="auto" w:fill="auto"/>
            <w:noWrap/>
            <w:vAlign w:val="center"/>
            <w:hideMark/>
          </w:tcPr>
          <w:p w14:paraId="7FADB870" w14:textId="77777777" w:rsidR="00934E04" w:rsidRPr="008653A2" w:rsidRDefault="00934E04" w:rsidP="00E607DA">
            <w:pPr>
              <w:outlineLvl w:val="0"/>
              <w:rPr>
                <w:rFonts w:ascii="Meta Pro" w:eastAsia="Times New Roman" w:hAnsi="Meta Pro"/>
                <w:b/>
                <w:bCs/>
                <w:szCs w:val="18"/>
                <w:lang w:eastAsia="en-AU"/>
              </w:rPr>
            </w:pPr>
          </w:p>
        </w:tc>
        <w:tc>
          <w:tcPr>
            <w:tcW w:w="198" w:type="dxa"/>
            <w:tcBorders>
              <w:top w:val="nil"/>
              <w:left w:val="nil"/>
              <w:bottom w:val="nil"/>
              <w:right w:val="nil"/>
            </w:tcBorders>
            <w:shd w:val="clear" w:color="auto" w:fill="auto"/>
            <w:vAlign w:val="center"/>
            <w:hideMark/>
          </w:tcPr>
          <w:p w14:paraId="46899FFE" w14:textId="77777777" w:rsidR="00934E04" w:rsidRPr="008653A2" w:rsidRDefault="00934E04" w:rsidP="00E607DA">
            <w:pPr>
              <w:jc w:val="right"/>
              <w:outlineLvl w:val="0"/>
              <w:rPr>
                <w:rFonts w:ascii="Meta Pro" w:eastAsia="Times New Roman" w:hAnsi="Meta Pro" w:cs="Times New Roman"/>
                <w:sz w:val="20"/>
                <w:szCs w:val="20"/>
                <w:lang w:eastAsia="en-AU"/>
              </w:rPr>
            </w:pPr>
          </w:p>
        </w:tc>
        <w:tc>
          <w:tcPr>
            <w:tcW w:w="1197" w:type="dxa"/>
            <w:tcBorders>
              <w:top w:val="nil"/>
              <w:left w:val="nil"/>
              <w:bottom w:val="nil"/>
              <w:right w:val="nil"/>
            </w:tcBorders>
            <w:shd w:val="clear" w:color="auto" w:fill="auto"/>
            <w:noWrap/>
            <w:vAlign w:val="center"/>
            <w:hideMark/>
          </w:tcPr>
          <w:p w14:paraId="28CB9E21" w14:textId="77777777" w:rsidR="00934E04" w:rsidRPr="008653A2" w:rsidRDefault="00934E04" w:rsidP="00E607DA">
            <w:pPr>
              <w:jc w:val="center"/>
              <w:outlineLvl w:val="0"/>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vAlign w:val="center"/>
            <w:hideMark/>
          </w:tcPr>
          <w:p w14:paraId="267E1D13" w14:textId="77777777" w:rsidR="00934E04" w:rsidRPr="008653A2" w:rsidRDefault="00934E04" w:rsidP="00E607DA">
            <w:pPr>
              <w:jc w:val="right"/>
              <w:outlineLvl w:val="0"/>
              <w:rPr>
                <w:rFonts w:ascii="Meta Pro" w:eastAsia="Times New Roman" w:hAnsi="Meta Pro" w:cs="Times New Roman"/>
                <w:sz w:val="20"/>
                <w:szCs w:val="20"/>
                <w:lang w:eastAsia="en-AU"/>
              </w:rPr>
            </w:pPr>
          </w:p>
        </w:tc>
        <w:tc>
          <w:tcPr>
            <w:tcW w:w="1195" w:type="dxa"/>
            <w:tcBorders>
              <w:top w:val="nil"/>
              <w:left w:val="nil"/>
              <w:bottom w:val="nil"/>
              <w:right w:val="nil"/>
            </w:tcBorders>
            <w:shd w:val="clear" w:color="auto" w:fill="auto"/>
            <w:noWrap/>
            <w:vAlign w:val="center"/>
            <w:hideMark/>
          </w:tcPr>
          <w:p w14:paraId="4F2E2783" w14:textId="77777777" w:rsidR="00934E04" w:rsidRPr="008653A2" w:rsidRDefault="00934E04" w:rsidP="00E607DA">
            <w:pPr>
              <w:jc w:val="center"/>
              <w:outlineLvl w:val="0"/>
              <w:rPr>
                <w:rFonts w:ascii="Meta Pro" w:eastAsia="Times New Roman" w:hAnsi="Meta Pro" w:cs="Times New Roman"/>
                <w:sz w:val="20"/>
                <w:szCs w:val="20"/>
                <w:lang w:eastAsia="en-AU"/>
              </w:rPr>
            </w:pPr>
          </w:p>
        </w:tc>
      </w:tr>
      <w:tr w:rsidR="00934E04" w:rsidRPr="008653A2" w14:paraId="519A4981" w14:textId="77777777" w:rsidTr="00E607DA">
        <w:trPr>
          <w:trHeight w:val="227"/>
        </w:trPr>
        <w:tc>
          <w:tcPr>
            <w:tcW w:w="6236" w:type="dxa"/>
            <w:tcBorders>
              <w:top w:val="nil"/>
              <w:left w:val="nil"/>
              <w:bottom w:val="nil"/>
              <w:right w:val="nil"/>
            </w:tcBorders>
            <w:shd w:val="clear" w:color="auto" w:fill="auto"/>
            <w:noWrap/>
            <w:vAlign w:val="center"/>
            <w:hideMark/>
          </w:tcPr>
          <w:p w14:paraId="1DBB0C94" w14:textId="77777777" w:rsidR="00934E04" w:rsidRPr="008653A2" w:rsidRDefault="00934E04" w:rsidP="00E607DA">
            <w:pPr>
              <w:outlineLvl w:val="0"/>
              <w:rPr>
                <w:rFonts w:ascii="Meta Pro" w:eastAsia="Times New Roman" w:hAnsi="Meta Pro"/>
                <w:i/>
                <w:iCs/>
                <w:szCs w:val="18"/>
                <w:lang w:eastAsia="en-AU"/>
              </w:rPr>
            </w:pPr>
            <w:r w:rsidRPr="008653A2">
              <w:rPr>
                <w:rFonts w:ascii="Meta Pro" w:eastAsia="Times New Roman" w:hAnsi="Meta Pro"/>
                <w:i/>
                <w:iCs/>
                <w:szCs w:val="18"/>
                <w:lang w:eastAsia="en-AU"/>
              </w:rPr>
              <w:t>Inflows:</w:t>
            </w:r>
          </w:p>
        </w:tc>
        <w:tc>
          <w:tcPr>
            <w:tcW w:w="1196" w:type="dxa"/>
            <w:tcBorders>
              <w:top w:val="nil"/>
              <w:left w:val="nil"/>
              <w:bottom w:val="nil"/>
              <w:right w:val="nil"/>
            </w:tcBorders>
            <w:shd w:val="clear" w:color="auto" w:fill="auto"/>
            <w:noWrap/>
            <w:vAlign w:val="center"/>
            <w:hideMark/>
          </w:tcPr>
          <w:p w14:paraId="2BDE3F91" w14:textId="77777777" w:rsidR="00934E04" w:rsidRPr="008653A2" w:rsidRDefault="00934E04" w:rsidP="00E607DA">
            <w:pPr>
              <w:outlineLvl w:val="0"/>
              <w:rPr>
                <w:rFonts w:ascii="Meta Pro" w:eastAsia="Times New Roman" w:hAnsi="Meta Pro"/>
                <w:i/>
                <w:iCs/>
                <w:szCs w:val="18"/>
                <w:lang w:eastAsia="en-AU"/>
              </w:rPr>
            </w:pPr>
          </w:p>
        </w:tc>
        <w:tc>
          <w:tcPr>
            <w:tcW w:w="198" w:type="dxa"/>
            <w:tcBorders>
              <w:top w:val="nil"/>
              <w:left w:val="nil"/>
              <w:bottom w:val="nil"/>
              <w:right w:val="nil"/>
            </w:tcBorders>
            <w:shd w:val="clear" w:color="auto" w:fill="auto"/>
            <w:vAlign w:val="center"/>
            <w:hideMark/>
          </w:tcPr>
          <w:p w14:paraId="08396131" w14:textId="77777777" w:rsidR="00934E04" w:rsidRPr="008653A2" w:rsidRDefault="00934E04" w:rsidP="00E607DA">
            <w:pPr>
              <w:jc w:val="right"/>
              <w:outlineLvl w:val="0"/>
              <w:rPr>
                <w:rFonts w:ascii="Meta Pro" w:eastAsia="Times New Roman" w:hAnsi="Meta Pro" w:cs="Times New Roman"/>
                <w:sz w:val="20"/>
                <w:szCs w:val="20"/>
                <w:lang w:eastAsia="en-AU"/>
              </w:rPr>
            </w:pPr>
          </w:p>
        </w:tc>
        <w:tc>
          <w:tcPr>
            <w:tcW w:w="1197" w:type="dxa"/>
            <w:tcBorders>
              <w:top w:val="nil"/>
              <w:left w:val="nil"/>
              <w:bottom w:val="nil"/>
              <w:right w:val="nil"/>
            </w:tcBorders>
            <w:shd w:val="clear" w:color="auto" w:fill="auto"/>
            <w:noWrap/>
            <w:vAlign w:val="center"/>
            <w:hideMark/>
          </w:tcPr>
          <w:p w14:paraId="1C523B2B" w14:textId="77777777" w:rsidR="00934E04" w:rsidRPr="008653A2" w:rsidRDefault="00934E04" w:rsidP="00E607DA">
            <w:pPr>
              <w:jc w:val="center"/>
              <w:outlineLvl w:val="0"/>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vAlign w:val="center"/>
            <w:hideMark/>
          </w:tcPr>
          <w:p w14:paraId="19B49419" w14:textId="77777777" w:rsidR="00934E04" w:rsidRPr="008653A2" w:rsidRDefault="00934E04" w:rsidP="00E607DA">
            <w:pPr>
              <w:jc w:val="right"/>
              <w:outlineLvl w:val="0"/>
              <w:rPr>
                <w:rFonts w:ascii="Meta Pro" w:eastAsia="Times New Roman" w:hAnsi="Meta Pro" w:cs="Times New Roman"/>
                <w:sz w:val="20"/>
                <w:szCs w:val="20"/>
                <w:lang w:eastAsia="en-AU"/>
              </w:rPr>
            </w:pPr>
          </w:p>
        </w:tc>
        <w:tc>
          <w:tcPr>
            <w:tcW w:w="1195" w:type="dxa"/>
            <w:tcBorders>
              <w:top w:val="nil"/>
              <w:left w:val="nil"/>
              <w:bottom w:val="nil"/>
              <w:right w:val="nil"/>
            </w:tcBorders>
            <w:shd w:val="clear" w:color="auto" w:fill="auto"/>
            <w:noWrap/>
            <w:vAlign w:val="center"/>
            <w:hideMark/>
          </w:tcPr>
          <w:p w14:paraId="3FA254C1" w14:textId="77777777" w:rsidR="00934E04" w:rsidRPr="008653A2" w:rsidRDefault="00934E04" w:rsidP="00E607DA">
            <w:pPr>
              <w:jc w:val="center"/>
              <w:outlineLvl w:val="0"/>
              <w:rPr>
                <w:rFonts w:ascii="Meta Pro" w:eastAsia="Times New Roman" w:hAnsi="Meta Pro" w:cs="Times New Roman"/>
                <w:sz w:val="20"/>
                <w:szCs w:val="20"/>
                <w:lang w:eastAsia="en-AU"/>
              </w:rPr>
            </w:pPr>
          </w:p>
        </w:tc>
      </w:tr>
      <w:tr w:rsidR="00934E04" w:rsidRPr="008653A2" w14:paraId="740C7CE1" w14:textId="77777777" w:rsidTr="00E607DA">
        <w:trPr>
          <w:trHeight w:val="227"/>
        </w:trPr>
        <w:tc>
          <w:tcPr>
            <w:tcW w:w="6236" w:type="dxa"/>
            <w:tcBorders>
              <w:top w:val="nil"/>
              <w:left w:val="nil"/>
              <w:bottom w:val="nil"/>
              <w:right w:val="nil"/>
            </w:tcBorders>
            <w:shd w:val="clear" w:color="auto" w:fill="auto"/>
            <w:noWrap/>
            <w:vAlign w:val="center"/>
            <w:hideMark/>
          </w:tcPr>
          <w:p w14:paraId="2702A817" w14:textId="77777777" w:rsidR="00934E04" w:rsidRPr="008653A2" w:rsidRDefault="00934E04" w:rsidP="00E607DA">
            <w:pPr>
              <w:outlineLvl w:val="0"/>
              <w:rPr>
                <w:rFonts w:ascii="Meta Pro" w:eastAsia="Times New Roman" w:hAnsi="Meta Pro"/>
                <w:szCs w:val="18"/>
                <w:lang w:eastAsia="en-AU"/>
              </w:rPr>
            </w:pPr>
            <w:r w:rsidRPr="008653A2">
              <w:rPr>
                <w:rFonts w:ascii="Meta Pro" w:eastAsia="Times New Roman" w:hAnsi="Meta Pro"/>
                <w:szCs w:val="18"/>
                <w:lang w:eastAsia="en-AU"/>
              </w:rPr>
              <w:t>Equity injections</w:t>
            </w:r>
          </w:p>
        </w:tc>
        <w:tc>
          <w:tcPr>
            <w:tcW w:w="1196" w:type="dxa"/>
            <w:tcBorders>
              <w:top w:val="nil"/>
              <w:left w:val="nil"/>
              <w:bottom w:val="nil"/>
              <w:right w:val="nil"/>
            </w:tcBorders>
            <w:shd w:val="clear" w:color="auto" w:fill="auto"/>
            <w:noWrap/>
            <w:vAlign w:val="center"/>
            <w:hideMark/>
          </w:tcPr>
          <w:p w14:paraId="2BF7461C" w14:textId="77777777" w:rsidR="00934E04" w:rsidRPr="008653A2" w:rsidRDefault="00934E04"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 xml:space="preserve">3,568,807 </w:t>
            </w:r>
          </w:p>
        </w:tc>
        <w:tc>
          <w:tcPr>
            <w:tcW w:w="198" w:type="dxa"/>
            <w:tcBorders>
              <w:top w:val="nil"/>
              <w:left w:val="nil"/>
              <w:bottom w:val="nil"/>
              <w:right w:val="nil"/>
            </w:tcBorders>
            <w:shd w:val="clear" w:color="auto" w:fill="auto"/>
            <w:noWrap/>
            <w:vAlign w:val="center"/>
            <w:hideMark/>
          </w:tcPr>
          <w:p w14:paraId="48496C26" w14:textId="77777777" w:rsidR="00934E04" w:rsidRPr="008653A2" w:rsidRDefault="00934E04" w:rsidP="00E607DA">
            <w:pPr>
              <w:jc w:val="right"/>
              <w:outlineLvl w:val="0"/>
              <w:rPr>
                <w:rFonts w:ascii="Meta Pro" w:eastAsia="Times New Roman" w:hAnsi="Meta Pro"/>
                <w:szCs w:val="18"/>
                <w:lang w:eastAsia="en-AU"/>
              </w:rPr>
            </w:pPr>
          </w:p>
        </w:tc>
        <w:tc>
          <w:tcPr>
            <w:tcW w:w="1197" w:type="dxa"/>
            <w:tcBorders>
              <w:top w:val="nil"/>
              <w:left w:val="nil"/>
              <w:bottom w:val="nil"/>
              <w:right w:val="nil"/>
            </w:tcBorders>
            <w:shd w:val="clear" w:color="auto" w:fill="auto"/>
            <w:noWrap/>
            <w:vAlign w:val="center"/>
            <w:hideMark/>
          </w:tcPr>
          <w:p w14:paraId="43C6CEB0" w14:textId="77777777" w:rsidR="00934E04" w:rsidRPr="008653A2" w:rsidRDefault="00934E04"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 xml:space="preserve">4,032,675 </w:t>
            </w:r>
          </w:p>
        </w:tc>
        <w:tc>
          <w:tcPr>
            <w:tcW w:w="198" w:type="dxa"/>
            <w:tcBorders>
              <w:top w:val="nil"/>
              <w:left w:val="nil"/>
              <w:bottom w:val="nil"/>
              <w:right w:val="nil"/>
            </w:tcBorders>
            <w:shd w:val="clear" w:color="auto" w:fill="auto"/>
            <w:noWrap/>
            <w:vAlign w:val="center"/>
            <w:hideMark/>
          </w:tcPr>
          <w:p w14:paraId="3CF40A75" w14:textId="77777777" w:rsidR="00934E04" w:rsidRPr="008653A2" w:rsidRDefault="00934E04" w:rsidP="00E607DA">
            <w:pPr>
              <w:jc w:val="right"/>
              <w:outlineLvl w:val="0"/>
              <w:rPr>
                <w:rFonts w:ascii="Meta Pro" w:eastAsia="Times New Roman" w:hAnsi="Meta Pro"/>
                <w:szCs w:val="18"/>
                <w:lang w:eastAsia="en-AU"/>
              </w:rPr>
            </w:pPr>
          </w:p>
        </w:tc>
        <w:tc>
          <w:tcPr>
            <w:tcW w:w="1195" w:type="dxa"/>
            <w:tcBorders>
              <w:top w:val="nil"/>
              <w:left w:val="nil"/>
              <w:bottom w:val="nil"/>
              <w:right w:val="nil"/>
            </w:tcBorders>
            <w:shd w:val="clear" w:color="auto" w:fill="auto"/>
            <w:noWrap/>
            <w:vAlign w:val="center"/>
            <w:hideMark/>
          </w:tcPr>
          <w:p w14:paraId="79420025" w14:textId="77777777" w:rsidR="00934E04" w:rsidRPr="008653A2" w:rsidRDefault="00934E04"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 xml:space="preserve">463,868 </w:t>
            </w:r>
          </w:p>
        </w:tc>
      </w:tr>
      <w:tr w:rsidR="00934E04" w:rsidRPr="008653A2" w14:paraId="790F3E4D" w14:textId="77777777" w:rsidTr="00E607DA">
        <w:trPr>
          <w:trHeight w:val="227"/>
        </w:trPr>
        <w:tc>
          <w:tcPr>
            <w:tcW w:w="6236" w:type="dxa"/>
            <w:tcBorders>
              <w:top w:val="nil"/>
              <w:left w:val="nil"/>
              <w:bottom w:val="nil"/>
              <w:right w:val="nil"/>
            </w:tcBorders>
            <w:shd w:val="clear" w:color="auto" w:fill="auto"/>
            <w:noWrap/>
            <w:vAlign w:val="center"/>
            <w:hideMark/>
          </w:tcPr>
          <w:p w14:paraId="1E1FC43E" w14:textId="77777777" w:rsidR="00934E04" w:rsidRPr="008653A2" w:rsidRDefault="00934E04" w:rsidP="00E607DA">
            <w:pPr>
              <w:outlineLvl w:val="0"/>
              <w:rPr>
                <w:rFonts w:ascii="Meta Pro" w:eastAsia="Times New Roman" w:hAnsi="Meta Pro"/>
                <w:i/>
                <w:iCs/>
                <w:szCs w:val="18"/>
                <w:lang w:eastAsia="en-AU"/>
              </w:rPr>
            </w:pPr>
            <w:r w:rsidRPr="008653A2">
              <w:rPr>
                <w:rFonts w:ascii="Meta Pro" w:eastAsia="Times New Roman" w:hAnsi="Meta Pro"/>
                <w:i/>
                <w:iCs/>
                <w:szCs w:val="18"/>
                <w:lang w:eastAsia="en-AU"/>
              </w:rPr>
              <w:t>Outflows:</w:t>
            </w:r>
          </w:p>
        </w:tc>
        <w:tc>
          <w:tcPr>
            <w:tcW w:w="1196" w:type="dxa"/>
            <w:tcBorders>
              <w:top w:val="nil"/>
              <w:left w:val="nil"/>
              <w:bottom w:val="nil"/>
              <w:right w:val="nil"/>
            </w:tcBorders>
            <w:shd w:val="clear" w:color="auto" w:fill="auto"/>
            <w:noWrap/>
            <w:vAlign w:val="center"/>
            <w:hideMark/>
          </w:tcPr>
          <w:p w14:paraId="43B845C8" w14:textId="77777777" w:rsidR="00934E04" w:rsidRPr="008653A2" w:rsidRDefault="00934E04" w:rsidP="00E607DA">
            <w:pPr>
              <w:outlineLvl w:val="0"/>
              <w:rPr>
                <w:rFonts w:ascii="Meta Pro" w:eastAsia="Times New Roman" w:hAnsi="Meta Pro"/>
                <w:i/>
                <w:iCs/>
                <w:szCs w:val="18"/>
                <w:lang w:eastAsia="en-AU"/>
              </w:rPr>
            </w:pPr>
          </w:p>
        </w:tc>
        <w:tc>
          <w:tcPr>
            <w:tcW w:w="198" w:type="dxa"/>
            <w:tcBorders>
              <w:top w:val="nil"/>
              <w:left w:val="nil"/>
              <w:bottom w:val="nil"/>
              <w:right w:val="nil"/>
            </w:tcBorders>
            <w:shd w:val="clear" w:color="auto" w:fill="auto"/>
            <w:noWrap/>
            <w:vAlign w:val="center"/>
            <w:hideMark/>
          </w:tcPr>
          <w:p w14:paraId="0F59D988" w14:textId="77777777" w:rsidR="00934E04" w:rsidRPr="008653A2" w:rsidRDefault="00934E04" w:rsidP="00E607DA">
            <w:pPr>
              <w:outlineLvl w:val="0"/>
              <w:rPr>
                <w:rFonts w:ascii="Meta Pro" w:eastAsia="Times New Roman" w:hAnsi="Meta Pro" w:cs="Times New Roman"/>
                <w:sz w:val="20"/>
                <w:szCs w:val="20"/>
                <w:lang w:eastAsia="en-AU"/>
              </w:rPr>
            </w:pPr>
          </w:p>
        </w:tc>
        <w:tc>
          <w:tcPr>
            <w:tcW w:w="1197" w:type="dxa"/>
            <w:tcBorders>
              <w:top w:val="nil"/>
              <w:left w:val="nil"/>
              <w:bottom w:val="nil"/>
              <w:right w:val="nil"/>
            </w:tcBorders>
            <w:shd w:val="clear" w:color="auto" w:fill="auto"/>
            <w:noWrap/>
            <w:vAlign w:val="center"/>
            <w:hideMark/>
          </w:tcPr>
          <w:p w14:paraId="04FB0203" w14:textId="77777777" w:rsidR="00934E04" w:rsidRPr="008653A2" w:rsidRDefault="00934E04" w:rsidP="00E607DA">
            <w:pPr>
              <w:jc w:val="right"/>
              <w:outlineLvl w:val="0"/>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2C88EB22" w14:textId="77777777" w:rsidR="00934E04" w:rsidRPr="008653A2" w:rsidRDefault="00934E04" w:rsidP="00E607DA">
            <w:pPr>
              <w:outlineLvl w:val="0"/>
              <w:rPr>
                <w:rFonts w:ascii="Meta Pro" w:eastAsia="Times New Roman" w:hAnsi="Meta Pro" w:cs="Times New Roman"/>
                <w:sz w:val="20"/>
                <w:szCs w:val="20"/>
                <w:lang w:eastAsia="en-AU"/>
              </w:rPr>
            </w:pPr>
          </w:p>
        </w:tc>
        <w:tc>
          <w:tcPr>
            <w:tcW w:w="1195" w:type="dxa"/>
            <w:tcBorders>
              <w:top w:val="nil"/>
              <w:left w:val="nil"/>
              <w:bottom w:val="nil"/>
              <w:right w:val="nil"/>
            </w:tcBorders>
            <w:shd w:val="clear" w:color="auto" w:fill="auto"/>
            <w:noWrap/>
            <w:vAlign w:val="center"/>
            <w:hideMark/>
          </w:tcPr>
          <w:p w14:paraId="1BB13A1D" w14:textId="77777777" w:rsidR="00934E04" w:rsidRPr="008653A2" w:rsidRDefault="00934E04" w:rsidP="00E607DA">
            <w:pPr>
              <w:jc w:val="right"/>
              <w:outlineLvl w:val="0"/>
              <w:rPr>
                <w:rFonts w:ascii="Meta Pro" w:eastAsia="Times New Roman" w:hAnsi="Meta Pro" w:cs="Times New Roman"/>
                <w:sz w:val="20"/>
                <w:szCs w:val="20"/>
                <w:lang w:eastAsia="en-AU"/>
              </w:rPr>
            </w:pPr>
          </w:p>
        </w:tc>
      </w:tr>
      <w:tr w:rsidR="00934E04" w:rsidRPr="008653A2" w14:paraId="05015F4F" w14:textId="77777777" w:rsidTr="00E607DA">
        <w:trPr>
          <w:trHeight w:val="227"/>
        </w:trPr>
        <w:tc>
          <w:tcPr>
            <w:tcW w:w="6236" w:type="dxa"/>
            <w:tcBorders>
              <w:top w:val="nil"/>
              <w:left w:val="nil"/>
              <w:bottom w:val="nil"/>
              <w:right w:val="nil"/>
            </w:tcBorders>
            <w:shd w:val="clear" w:color="auto" w:fill="auto"/>
            <w:noWrap/>
            <w:vAlign w:val="center"/>
            <w:hideMark/>
          </w:tcPr>
          <w:p w14:paraId="58D61305" w14:textId="77777777" w:rsidR="00934E04" w:rsidRPr="008653A2" w:rsidRDefault="00934E04" w:rsidP="00E607DA">
            <w:pPr>
              <w:outlineLvl w:val="0"/>
              <w:rPr>
                <w:rFonts w:ascii="Meta Pro" w:eastAsia="Times New Roman" w:hAnsi="Meta Pro"/>
                <w:szCs w:val="18"/>
                <w:lang w:eastAsia="en-AU"/>
              </w:rPr>
            </w:pPr>
            <w:r w:rsidRPr="008653A2">
              <w:rPr>
                <w:rFonts w:ascii="Meta Pro" w:eastAsia="Times New Roman" w:hAnsi="Meta Pro"/>
                <w:szCs w:val="18"/>
                <w:lang w:eastAsia="en-AU"/>
              </w:rPr>
              <w:t xml:space="preserve">Equity withdrawals </w:t>
            </w:r>
          </w:p>
        </w:tc>
        <w:tc>
          <w:tcPr>
            <w:tcW w:w="1196" w:type="dxa"/>
            <w:tcBorders>
              <w:top w:val="nil"/>
              <w:left w:val="nil"/>
              <w:bottom w:val="nil"/>
              <w:right w:val="nil"/>
            </w:tcBorders>
            <w:shd w:val="clear" w:color="auto" w:fill="auto"/>
            <w:noWrap/>
            <w:vAlign w:val="center"/>
            <w:hideMark/>
          </w:tcPr>
          <w:p w14:paraId="27A49B2F" w14:textId="77777777" w:rsidR="00934E04" w:rsidRPr="008653A2" w:rsidRDefault="00934E04"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(1,149,483)</w:t>
            </w:r>
          </w:p>
        </w:tc>
        <w:tc>
          <w:tcPr>
            <w:tcW w:w="198" w:type="dxa"/>
            <w:tcBorders>
              <w:top w:val="nil"/>
              <w:left w:val="nil"/>
              <w:bottom w:val="nil"/>
              <w:right w:val="nil"/>
            </w:tcBorders>
            <w:shd w:val="clear" w:color="auto" w:fill="auto"/>
            <w:noWrap/>
            <w:vAlign w:val="center"/>
            <w:hideMark/>
          </w:tcPr>
          <w:p w14:paraId="70E210EB" w14:textId="77777777" w:rsidR="00934E04" w:rsidRPr="008653A2" w:rsidRDefault="00934E04" w:rsidP="00E607DA">
            <w:pPr>
              <w:jc w:val="right"/>
              <w:outlineLvl w:val="0"/>
              <w:rPr>
                <w:rFonts w:ascii="Meta Pro" w:eastAsia="Times New Roman" w:hAnsi="Meta Pro"/>
                <w:szCs w:val="18"/>
                <w:lang w:eastAsia="en-AU"/>
              </w:rPr>
            </w:pPr>
          </w:p>
        </w:tc>
        <w:tc>
          <w:tcPr>
            <w:tcW w:w="1197" w:type="dxa"/>
            <w:tcBorders>
              <w:top w:val="nil"/>
              <w:left w:val="nil"/>
              <w:bottom w:val="nil"/>
              <w:right w:val="nil"/>
            </w:tcBorders>
            <w:shd w:val="clear" w:color="auto" w:fill="auto"/>
            <w:noWrap/>
            <w:vAlign w:val="center"/>
            <w:hideMark/>
          </w:tcPr>
          <w:p w14:paraId="2BB00614" w14:textId="77777777" w:rsidR="00934E04" w:rsidRPr="008653A2" w:rsidRDefault="00934E04"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(1,191,386)</w:t>
            </w:r>
          </w:p>
        </w:tc>
        <w:tc>
          <w:tcPr>
            <w:tcW w:w="198" w:type="dxa"/>
            <w:tcBorders>
              <w:top w:val="nil"/>
              <w:left w:val="nil"/>
              <w:bottom w:val="nil"/>
              <w:right w:val="nil"/>
            </w:tcBorders>
            <w:shd w:val="clear" w:color="auto" w:fill="auto"/>
            <w:noWrap/>
            <w:vAlign w:val="center"/>
            <w:hideMark/>
          </w:tcPr>
          <w:p w14:paraId="1AE5E6BD" w14:textId="77777777" w:rsidR="00934E04" w:rsidRPr="008653A2" w:rsidRDefault="00934E04" w:rsidP="00E607DA">
            <w:pPr>
              <w:jc w:val="right"/>
              <w:outlineLvl w:val="0"/>
              <w:rPr>
                <w:rFonts w:ascii="Meta Pro" w:eastAsia="Times New Roman" w:hAnsi="Meta Pro"/>
                <w:szCs w:val="18"/>
                <w:lang w:eastAsia="en-AU"/>
              </w:rPr>
            </w:pPr>
          </w:p>
        </w:tc>
        <w:tc>
          <w:tcPr>
            <w:tcW w:w="1195" w:type="dxa"/>
            <w:tcBorders>
              <w:top w:val="nil"/>
              <w:left w:val="nil"/>
              <w:bottom w:val="nil"/>
              <w:right w:val="nil"/>
            </w:tcBorders>
            <w:shd w:val="clear" w:color="auto" w:fill="auto"/>
            <w:noWrap/>
            <w:vAlign w:val="center"/>
            <w:hideMark/>
          </w:tcPr>
          <w:p w14:paraId="00D1A05A" w14:textId="77777777" w:rsidR="00934E04" w:rsidRPr="008653A2" w:rsidRDefault="00934E04"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(41,903)</w:t>
            </w:r>
          </w:p>
        </w:tc>
      </w:tr>
      <w:tr w:rsidR="00934E04" w:rsidRPr="008653A2" w14:paraId="4C5A813C" w14:textId="77777777" w:rsidTr="00E607DA">
        <w:trPr>
          <w:trHeight w:val="227"/>
        </w:trPr>
        <w:tc>
          <w:tcPr>
            <w:tcW w:w="6236" w:type="dxa"/>
            <w:tcBorders>
              <w:top w:val="nil"/>
              <w:left w:val="nil"/>
              <w:bottom w:val="nil"/>
              <w:right w:val="nil"/>
            </w:tcBorders>
            <w:shd w:val="clear" w:color="auto" w:fill="auto"/>
            <w:noWrap/>
            <w:vAlign w:val="center"/>
            <w:hideMark/>
          </w:tcPr>
          <w:p w14:paraId="20B21F89" w14:textId="77777777" w:rsidR="00934E04" w:rsidRPr="008653A2" w:rsidRDefault="00934E04" w:rsidP="00E607DA">
            <w:pPr>
              <w:outlineLvl w:val="0"/>
              <w:rPr>
                <w:rFonts w:ascii="Meta Pro" w:eastAsia="Times New Roman" w:hAnsi="Meta Pro"/>
                <w:szCs w:val="18"/>
                <w:lang w:eastAsia="en-AU"/>
              </w:rPr>
            </w:pPr>
            <w:r w:rsidRPr="008653A2">
              <w:rPr>
                <w:rFonts w:ascii="Meta Pro" w:eastAsia="Times New Roman" w:hAnsi="Meta Pro"/>
                <w:szCs w:val="18"/>
                <w:lang w:eastAsia="en-AU"/>
              </w:rPr>
              <w:t>Borrowing redemptions</w:t>
            </w:r>
          </w:p>
        </w:tc>
        <w:tc>
          <w:tcPr>
            <w:tcW w:w="1196" w:type="dxa"/>
            <w:tcBorders>
              <w:top w:val="nil"/>
              <w:left w:val="nil"/>
              <w:bottom w:val="nil"/>
              <w:right w:val="nil"/>
            </w:tcBorders>
            <w:shd w:val="clear" w:color="auto" w:fill="auto"/>
            <w:noWrap/>
            <w:vAlign w:val="center"/>
            <w:hideMark/>
          </w:tcPr>
          <w:p w14:paraId="6C7094D4" w14:textId="77777777" w:rsidR="00934E04" w:rsidRPr="008653A2" w:rsidRDefault="00934E04"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(37,360)</w:t>
            </w:r>
          </w:p>
        </w:tc>
        <w:tc>
          <w:tcPr>
            <w:tcW w:w="198" w:type="dxa"/>
            <w:tcBorders>
              <w:top w:val="nil"/>
              <w:left w:val="nil"/>
              <w:bottom w:val="nil"/>
              <w:right w:val="nil"/>
            </w:tcBorders>
            <w:shd w:val="clear" w:color="auto" w:fill="auto"/>
            <w:noWrap/>
            <w:vAlign w:val="center"/>
            <w:hideMark/>
          </w:tcPr>
          <w:p w14:paraId="360A8390" w14:textId="77777777" w:rsidR="00934E04" w:rsidRPr="008653A2" w:rsidRDefault="00934E04" w:rsidP="00E607DA">
            <w:pPr>
              <w:jc w:val="right"/>
              <w:outlineLvl w:val="0"/>
              <w:rPr>
                <w:rFonts w:ascii="Meta Pro" w:eastAsia="Times New Roman" w:hAnsi="Meta Pro"/>
                <w:szCs w:val="18"/>
                <w:lang w:eastAsia="en-AU"/>
              </w:rPr>
            </w:pPr>
          </w:p>
        </w:tc>
        <w:tc>
          <w:tcPr>
            <w:tcW w:w="1197" w:type="dxa"/>
            <w:tcBorders>
              <w:top w:val="nil"/>
              <w:left w:val="nil"/>
              <w:bottom w:val="nil"/>
              <w:right w:val="nil"/>
            </w:tcBorders>
            <w:shd w:val="clear" w:color="auto" w:fill="auto"/>
            <w:noWrap/>
            <w:vAlign w:val="center"/>
            <w:hideMark/>
          </w:tcPr>
          <w:p w14:paraId="4C65F4D1" w14:textId="77777777" w:rsidR="00934E04" w:rsidRPr="008653A2" w:rsidRDefault="00934E04"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(36,487)</w:t>
            </w:r>
          </w:p>
        </w:tc>
        <w:tc>
          <w:tcPr>
            <w:tcW w:w="198" w:type="dxa"/>
            <w:tcBorders>
              <w:top w:val="nil"/>
              <w:left w:val="nil"/>
              <w:bottom w:val="nil"/>
              <w:right w:val="nil"/>
            </w:tcBorders>
            <w:shd w:val="clear" w:color="auto" w:fill="auto"/>
            <w:noWrap/>
            <w:vAlign w:val="center"/>
            <w:hideMark/>
          </w:tcPr>
          <w:p w14:paraId="7E6DD708" w14:textId="77777777" w:rsidR="00934E04" w:rsidRPr="008653A2" w:rsidRDefault="00934E04" w:rsidP="00E607DA">
            <w:pPr>
              <w:jc w:val="right"/>
              <w:outlineLvl w:val="0"/>
              <w:rPr>
                <w:rFonts w:ascii="Meta Pro" w:eastAsia="Times New Roman" w:hAnsi="Meta Pro"/>
                <w:szCs w:val="18"/>
                <w:lang w:eastAsia="en-AU"/>
              </w:rPr>
            </w:pPr>
          </w:p>
        </w:tc>
        <w:tc>
          <w:tcPr>
            <w:tcW w:w="1195" w:type="dxa"/>
            <w:tcBorders>
              <w:top w:val="nil"/>
              <w:left w:val="nil"/>
              <w:bottom w:val="nil"/>
              <w:right w:val="nil"/>
            </w:tcBorders>
            <w:shd w:val="clear" w:color="auto" w:fill="auto"/>
            <w:noWrap/>
            <w:vAlign w:val="center"/>
            <w:hideMark/>
          </w:tcPr>
          <w:p w14:paraId="56DF3754" w14:textId="77777777" w:rsidR="00934E04" w:rsidRPr="008653A2" w:rsidRDefault="00934E04"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 xml:space="preserve">873 </w:t>
            </w:r>
          </w:p>
        </w:tc>
      </w:tr>
      <w:tr w:rsidR="00934E04" w:rsidRPr="008653A2" w14:paraId="5123B84F" w14:textId="77777777" w:rsidTr="00E607DA">
        <w:trPr>
          <w:trHeight w:val="227"/>
        </w:trPr>
        <w:tc>
          <w:tcPr>
            <w:tcW w:w="6236" w:type="dxa"/>
            <w:tcBorders>
              <w:top w:val="single" w:sz="4" w:space="0" w:color="auto"/>
              <w:left w:val="nil"/>
              <w:bottom w:val="nil"/>
              <w:right w:val="nil"/>
            </w:tcBorders>
            <w:shd w:val="clear" w:color="auto" w:fill="auto"/>
            <w:noWrap/>
            <w:vAlign w:val="center"/>
            <w:hideMark/>
          </w:tcPr>
          <w:p w14:paraId="471CADF8" w14:textId="77777777" w:rsidR="00934E04" w:rsidRPr="008653A2" w:rsidRDefault="00934E04" w:rsidP="00E607DA">
            <w:pPr>
              <w:outlineLvl w:val="0"/>
              <w:rPr>
                <w:rFonts w:ascii="Meta Pro" w:eastAsia="Times New Roman" w:hAnsi="Meta Pro"/>
                <w:b/>
                <w:bCs/>
                <w:szCs w:val="18"/>
                <w:lang w:eastAsia="en-AU"/>
              </w:rPr>
            </w:pPr>
            <w:r w:rsidRPr="008653A2">
              <w:rPr>
                <w:rFonts w:ascii="Meta Pro" w:eastAsia="Times New Roman" w:hAnsi="Meta Pro"/>
                <w:b/>
                <w:bCs/>
                <w:szCs w:val="18"/>
                <w:lang w:eastAsia="en-AU"/>
              </w:rPr>
              <w:t>Net cash provided by financing activities</w:t>
            </w:r>
          </w:p>
        </w:tc>
        <w:tc>
          <w:tcPr>
            <w:tcW w:w="1196" w:type="dxa"/>
            <w:tcBorders>
              <w:top w:val="single" w:sz="4" w:space="0" w:color="auto"/>
              <w:left w:val="nil"/>
              <w:bottom w:val="nil"/>
              <w:right w:val="nil"/>
            </w:tcBorders>
            <w:shd w:val="clear" w:color="auto" w:fill="auto"/>
            <w:noWrap/>
            <w:vAlign w:val="center"/>
            <w:hideMark/>
          </w:tcPr>
          <w:p w14:paraId="324ACE66" w14:textId="77777777" w:rsidR="00934E04" w:rsidRPr="008653A2" w:rsidRDefault="00934E04" w:rsidP="00E607DA">
            <w:pPr>
              <w:jc w:val="right"/>
              <w:outlineLvl w:val="0"/>
              <w:rPr>
                <w:rFonts w:ascii="Meta Pro" w:eastAsia="Times New Roman" w:hAnsi="Meta Pro"/>
                <w:b/>
                <w:bCs/>
                <w:szCs w:val="18"/>
                <w:lang w:eastAsia="en-AU"/>
              </w:rPr>
            </w:pPr>
            <w:r w:rsidRPr="008653A2">
              <w:rPr>
                <w:rFonts w:ascii="Meta Pro" w:eastAsia="Times New Roman" w:hAnsi="Meta Pro"/>
                <w:b/>
                <w:bCs/>
                <w:szCs w:val="18"/>
                <w:lang w:eastAsia="en-AU"/>
              </w:rPr>
              <w:t xml:space="preserve">2,381,964 </w:t>
            </w:r>
          </w:p>
        </w:tc>
        <w:tc>
          <w:tcPr>
            <w:tcW w:w="198" w:type="dxa"/>
            <w:tcBorders>
              <w:top w:val="single" w:sz="4" w:space="0" w:color="auto"/>
              <w:left w:val="nil"/>
              <w:bottom w:val="nil"/>
              <w:right w:val="nil"/>
            </w:tcBorders>
            <w:shd w:val="clear" w:color="auto" w:fill="auto"/>
            <w:noWrap/>
            <w:vAlign w:val="center"/>
            <w:hideMark/>
          </w:tcPr>
          <w:p w14:paraId="7ADCE795" w14:textId="77777777" w:rsidR="00934E04" w:rsidRPr="008653A2" w:rsidRDefault="00934E04" w:rsidP="00E607DA">
            <w:pPr>
              <w:jc w:val="right"/>
              <w:outlineLvl w:val="0"/>
              <w:rPr>
                <w:rFonts w:ascii="Meta Pro" w:eastAsia="Times New Roman" w:hAnsi="Meta Pro"/>
                <w:b/>
                <w:bCs/>
                <w:szCs w:val="18"/>
                <w:lang w:eastAsia="en-AU"/>
              </w:rPr>
            </w:pPr>
            <w:r w:rsidRPr="008653A2">
              <w:rPr>
                <w:rFonts w:ascii="Meta Pro" w:eastAsia="Times New Roman" w:hAnsi="Meta Pro"/>
                <w:b/>
                <w:bCs/>
                <w:szCs w:val="18"/>
                <w:lang w:eastAsia="en-AU"/>
              </w:rPr>
              <w:t> </w:t>
            </w:r>
          </w:p>
        </w:tc>
        <w:tc>
          <w:tcPr>
            <w:tcW w:w="1197" w:type="dxa"/>
            <w:tcBorders>
              <w:top w:val="single" w:sz="4" w:space="0" w:color="auto"/>
              <w:left w:val="nil"/>
              <w:bottom w:val="nil"/>
              <w:right w:val="nil"/>
            </w:tcBorders>
            <w:shd w:val="clear" w:color="auto" w:fill="auto"/>
            <w:noWrap/>
            <w:vAlign w:val="center"/>
            <w:hideMark/>
          </w:tcPr>
          <w:p w14:paraId="07AD38BE" w14:textId="77777777" w:rsidR="00934E04" w:rsidRPr="008653A2" w:rsidRDefault="00934E04" w:rsidP="00E607DA">
            <w:pPr>
              <w:jc w:val="right"/>
              <w:outlineLvl w:val="0"/>
              <w:rPr>
                <w:rFonts w:ascii="Meta Pro" w:eastAsia="Times New Roman" w:hAnsi="Meta Pro"/>
                <w:b/>
                <w:bCs/>
                <w:szCs w:val="18"/>
                <w:lang w:eastAsia="en-AU"/>
              </w:rPr>
            </w:pPr>
            <w:r w:rsidRPr="008653A2">
              <w:rPr>
                <w:rFonts w:ascii="Meta Pro" w:eastAsia="Times New Roman" w:hAnsi="Meta Pro"/>
                <w:b/>
                <w:bCs/>
                <w:szCs w:val="18"/>
                <w:lang w:eastAsia="en-AU"/>
              </w:rPr>
              <w:t xml:space="preserve">2,804,802 </w:t>
            </w:r>
          </w:p>
        </w:tc>
        <w:tc>
          <w:tcPr>
            <w:tcW w:w="198" w:type="dxa"/>
            <w:tcBorders>
              <w:top w:val="single" w:sz="4" w:space="0" w:color="auto"/>
              <w:left w:val="nil"/>
              <w:bottom w:val="nil"/>
              <w:right w:val="nil"/>
            </w:tcBorders>
            <w:shd w:val="clear" w:color="auto" w:fill="auto"/>
            <w:noWrap/>
            <w:vAlign w:val="center"/>
            <w:hideMark/>
          </w:tcPr>
          <w:p w14:paraId="1B667D02" w14:textId="77777777" w:rsidR="00934E04" w:rsidRPr="008653A2" w:rsidRDefault="00934E04" w:rsidP="00E607DA">
            <w:pPr>
              <w:jc w:val="right"/>
              <w:outlineLvl w:val="0"/>
              <w:rPr>
                <w:rFonts w:ascii="Meta Pro" w:eastAsia="Times New Roman" w:hAnsi="Meta Pro"/>
                <w:b/>
                <w:bCs/>
                <w:szCs w:val="18"/>
                <w:lang w:eastAsia="en-AU"/>
              </w:rPr>
            </w:pPr>
            <w:r w:rsidRPr="008653A2">
              <w:rPr>
                <w:rFonts w:ascii="Meta Pro" w:eastAsia="Times New Roman" w:hAnsi="Meta Pro"/>
                <w:b/>
                <w:bCs/>
                <w:szCs w:val="18"/>
                <w:lang w:eastAsia="en-AU"/>
              </w:rPr>
              <w:t> </w:t>
            </w:r>
          </w:p>
        </w:tc>
        <w:tc>
          <w:tcPr>
            <w:tcW w:w="1195" w:type="dxa"/>
            <w:tcBorders>
              <w:top w:val="single" w:sz="4" w:space="0" w:color="auto"/>
              <w:left w:val="nil"/>
              <w:bottom w:val="nil"/>
              <w:right w:val="nil"/>
            </w:tcBorders>
            <w:shd w:val="clear" w:color="auto" w:fill="auto"/>
            <w:noWrap/>
            <w:vAlign w:val="center"/>
            <w:hideMark/>
          </w:tcPr>
          <w:p w14:paraId="45D6811B" w14:textId="77777777" w:rsidR="00934E04" w:rsidRPr="008653A2" w:rsidRDefault="00934E04" w:rsidP="00E607DA">
            <w:pPr>
              <w:jc w:val="right"/>
              <w:outlineLvl w:val="0"/>
              <w:rPr>
                <w:rFonts w:ascii="Meta Pro" w:eastAsia="Times New Roman" w:hAnsi="Meta Pro"/>
                <w:b/>
                <w:bCs/>
                <w:szCs w:val="18"/>
                <w:lang w:eastAsia="en-AU"/>
              </w:rPr>
            </w:pPr>
            <w:r w:rsidRPr="008653A2">
              <w:rPr>
                <w:rFonts w:ascii="Meta Pro" w:eastAsia="Times New Roman" w:hAnsi="Meta Pro"/>
                <w:b/>
                <w:bCs/>
                <w:szCs w:val="18"/>
                <w:lang w:eastAsia="en-AU"/>
              </w:rPr>
              <w:t xml:space="preserve">422,838 </w:t>
            </w:r>
          </w:p>
        </w:tc>
      </w:tr>
      <w:tr w:rsidR="00934E04" w:rsidRPr="008653A2" w14:paraId="0415C80B" w14:textId="77777777" w:rsidTr="00E607DA">
        <w:trPr>
          <w:trHeight w:val="227"/>
        </w:trPr>
        <w:tc>
          <w:tcPr>
            <w:tcW w:w="6236" w:type="dxa"/>
            <w:tcBorders>
              <w:top w:val="nil"/>
              <w:left w:val="nil"/>
              <w:bottom w:val="nil"/>
              <w:right w:val="nil"/>
            </w:tcBorders>
            <w:shd w:val="clear" w:color="auto" w:fill="auto"/>
            <w:noWrap/>
            <w:vAlign w:val="center"/>
            <w:hideMark/>
          </w:tcPr>
          <w:p w14:paraId="62627DD2" w14:textId="77777777" w:rsidR="00934E04" w:rsidRPr="008653A2" w:rsidRDefault="00934E04" w:rsidP="00E607DA">
            <w:pPr>
              <w:jc w:val="right"/>
              <w:outlineLvl w:val="0"/>
              <w:rPr>
                <w:rFonts w:ascii="Meta Pro" w:eastAsia="Times New Roman" w:hAnsi="Meta Pro"/>
                <w:b/>
                <w:bCs/>
                <w:szCs w:val="18"/>
                <w:lang w:eastAsia="en-AU"/>
              </w:rPr>
            </w:pPr>
          </w:p>
        </w:tc>
        <w:tc>
          <w:tcPr>
            <w:tcW w:w="1196" w:type="dxa"/>
            <w:tcBorders>
              <w:top w:val="nil"/>
              <w:left w:val="nil"/>
              <w:bottom w:val="nil"/>
              <w:right w:val="nil"/>
            </w:tcBorders>
            <w:shd w:val="clear" w:color="auto" w:fill="auto"/>
            <w:noWrap/>
            <w:vAlign w:val="center"/>
            <w:hideMark/>
          </w:tcPr>
          <w:p w14:paraId="7781DA4C" w14:textId="77777777" w:rsidR="00934E04" w:rsidRPr="008653A2" w:rsidRDefault="00934E04" w:rsidP="00E607DA">
            <w:pPr>
              <w:outlineLvl w:val="0"/>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4BA07CDC" w14:textId="77777777" w:rsidR="00934E04" w:rsidRPr="008653A2" w:rsidRDefault="00934E04" w:rsidP="00E607DA">
            <w:pPr>
              <w:outlineLvl w:val="0"/>
              <w:rPr>
                <w:rFonts w:ascii="Meta Pro" w:eastAsia="Times New Roman" w:hAnsi="Meta Pro" w:cs="Times New Roman"/>
                <w:sz w:val="20"/>
                <w:szCs w:val="20"/>
                <w:lang w:eastAsia="en-AU"/>
              </w:rPr>
            </w:pPr>
          </w:p>
        </w:tc>
        <w:tc>
          <w:tcPr>
            <w:tcW w:w="1197" w:type="dxa"/>
            <w:tcBorders>
              <w:top w:val="nil"/>
              <w:left w:val="nil"/>
              <w:bottom w:val="nil"/>
              <w:right w:val="nil"/>
            </w:tcBorders>
            <w:shd w:val="clear" w:color="auto" w:fill="auto"/>
            <w:noWrap/>
            <w:vAlign w:val="center"/>
            <w:hideMark/>
          </w:tcPr>
          <w:p w14:paraId="66E2E973" w14:textId="77777777" w:rsidR="00934E04" w:rsidRPr="008653A2" w:rsidRDefault="00934E04" w:rsidP="00E607DA">
            <w:pPr>
              <w:jc w:val="right"/>
              <w:outlineLvl w:val="0"/>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2A22BF57" w14:textId="77777777" w:rsidR="00934E04" w:rsidRPr="008653A2" w:rsidRDefault="00934E04" w:rsidP="00E607DA">
            <w:pPr>
              <w:outlineLvl w:val="0"/>
              <w:rPr>
                <w:rFonts w:ascii="Meta Pro" w:eastAsia="Times New Roman" w:hAnsi="Meta Pro" w:cs="Times New Roman"/>
                <w:sz w:val="20"/>
                <w:szCs w:val="20"/>
                <w:lang w:eastAsia="en-AU"/>
              </w:rPr>
            </w:pPr>
          </w:p>
        </w:tc>
        <w:tc>
          <w:tcPr>
            <w:tcW w:w="1195" w:type="dxa"/>
            <w:tcBorders>
              <w:top w:val="nil"/>
              <w:left w:val="nil"/>
              <w:bottom w:val="nil"/>
              <w:right w:val="nil"/>
            </w:tcBorders>
            <w:shd w:val="clear" w:color="auto" w:fill="auto"/>
            <w:noWrap/>
            <w:vAlign w:val="center"/>
            <w:hideMark/>
          </w:tcPr>
          <w:p w14:paraId="121328ED" w14:textId="77777777" w:rsidR="00934E04" w:rsidRPr="008653A2" w:rsidRDefault="00934E04" w:rsidP="00E607DA">
            <w:pPr>
              <w:jc w:val="right"/>
              <w:outlineLvl w:val="0"/>
              <w:rPr>
                <w:rFonts w:ascii="Meta Pro" w:eastAsia="Times New Roman" w:hAnsi="Meta Pro" w:cs="Times New Roman"/>
                <w:sz w:val="20"/>
                <w:szCs w:val="20"/>
                <w:lang w:eastAsia="en-AU"/>
              </w:rPr>
            </w:pPr>
          </w:p>
        </w:tc>
      </w:tr>
      <w:tr w:rsidR="00934E04" w:rsidRPr="008653A2" w14:paraId="5C4295C6" w14:textId="77777777" w:rsidTr="00E607DA">
        <w:trPr>
          <w:trHeight w:val="227"/>
        </w:trPr>
        <w:tc>
          <w:tcPr>
            <w:tcW w:w="6236" w:type="dxa"/>
            <w:tcBorders>
              <w:top w:val="nil"/>
              <w:left w:val="nil"/>
              <w:bottom w:val="nil"/>
              <w:right w:val="nil"/>
            </w:tcBorders>
            <w:shd w:val="clear" w:color="auto" w:fill="auto"/>
            <w:noWrap/>
            <w:vAlign w:val="center"/>
            <w:hideMark/>
          </w:tcPr>
          <w:p w14:paraId="52A80D76" w14:textId="77777777" w:rsidR="00934E04" w:rsidRPr="008653A2" w:rsidRDefault="00934E04" w:rsidP="00E607DA">
            <w:pPr>
              <w:outlineLvl w:val="0"/>
              <w:rPr>
                <w:rFonts w:ascii="Meta Pro" w:eastAsia="Times New Roman" w:hAnsi="Meta Pro"/>
                <w:szCs w:val="18"/>
                <w:lang w:eastAsia="en-AU"/>
              </w:rPr>
            </w:pPr>
            <w:r w:rsidRPr="008653A2">
              <w:rPr>
                <w:rFonts w:ascii="Meta Pro" w:eastAsia="Times New Roman" w:hAnsi="Meta Pro"/>
                <w:szCs w:val="18"/>
                <w:lang w:eastAsia="en-AU"/>
              </w:rPr>
              <w:t xml:space="preserve">Net increase/(decrease) in cash </w:t>
            </w:r>
          </w:p>
        </w:tc>
        <w:tc>
          <w:tcPr>
            <w:tcW w:w="1196" w:type="dxa"/>
            <w:tcBorders>
              <w:top w:val="nil"/>
              <w:left w:val="nil"/>
              <w:bottom w:val="nil"/>
              <w:right w:val="nil"/>
            </w:tcBorders>
            <w:shd w:val="clear" w:color="auto" w:fill="auto"/>
            <w:noWrap/>
            <w:vAlign w:val="center"/>
            <w:hideMark/>
          </w:tcPr>
          <w:p w14:paraId="14193BF1" w14:textId="77777777" w:rsidR="00934E04" w:rsidRPr="008653A2" w:rsidRDefault="00934E04"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 xml:space="preserve">10,971 </w:t>
            </w:r>
          </w:p>
        </w:tc>
        <w:tc>
          <w:tcPr>
            <w:tcW w:w="198" w:type="dxa"/>
            <w:tcBorders>
              <w:top w:val="nil"/>
              <w:left w:val="nil"/>
              <w:bottom w:val="nil"/>
              <w:right w:val="nil"/>
            </w:tcBorders>
            <w:shd w:val="clear" w:color="auto" w:fill="auto"/>
            <w:noWrap/>
            <w:vAlign w:val="center"/>
            <w:hideMark/>
          </w:tcPr>
          <w:p w14:paraId="271D3863" w14:textId="77777777" w:rsidR="00934E04" w:rsidRPr="008653A2" w:rsidRDefault="00934E04" w:rsidP="00E607DA">
            <w:pPr>
              <w:jc w:val="right"/>
              <w:outlineLvl w:val="0"/>
              <w:rPr>
                <w:rFonts w:ascii="Meta Pro" w:eastAsia="Times New Roman" w:hAnsi="Meta Pro"/>
                <w:szCs w:val="18"/>
                <w:lang w:eastAsia="en-AU"/>
              </w:rPr>
            </w:pPr>
          </w:p>
        </w:tc>
        <w:tc>
          <w:tcPr>
            <w:tcW w:w="1197" w:type="dxa"/>
            <w:tcBorders>
              <w:top w:val="nil"/>
              <w:left w:val="nil"/>
              <w:bottom w:val="nil"/>
              <w:right w:val="nil"/>
            </w:tcBorders>
            <w:shd w:val="clear" w:color="auto" w:fill="auto"/>
            <w:noWrap/>
            <w:vAlign w:val="center"/>
            <w:hideMark/>
          </w:tcPr>
          <w:p w14:paraId="2708EB68" w14:textId="77777777" w:rsidR="00934E04" w:rsidRPr="008653A2" w:rsidRDefault="00934E04"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(98,918)</w:t>
            </w:r>
          </w:p>
        </w:tc>
        <w:tc>
          <w:tcPr>
            <w:tcW w:w="198" w:type="dxa"/>
            <w:tcBorders>
              <w:top w:val="nil"/>
              <w:left w:val="nil"/>
              <w:bottom w:val="nil"/>
              <w:right w:val="nil"/>
            </w:tcBorders>
            <w:shd w:val="clear" w:color="auto" w:fill="auto"/>
            <w:noWrap/>
            <w:vAlign w:val="center"/>
            <w:hideMark/>
          </w:tcPr>
          <w:p w14:paraId="1C3BCC86" w14:textId="77777777" w:rsidR="00934E04" w:rsidRPr="008653A2" w:rsidRDefault="00934E04" w:rsidP="00E607DA">
            <w:pPr>
              <w:jc w:val="right"/>
              <w:outlineLvl w:val="0"/>
              <w:rPr>
                <w:rFonts w:ascii="Meta Pro" w:eastAsia="Times New Roman" w:hAnsi="Meta Pro"/>
                <w:szCs w:val="18"/>
                <w:lang w:eastAsia="en-AU"/>
              </w:rPr>
            </w:pPr>
          </w:p>
        </w:tc>
        <w:tc>
          <w:tcPr>
            <w:tcW w:w="1195" w:type="dxa"/>
            <w:tcBorders>
              <w:top w:val="nil"/>
              <w:left w:val="nil"/>
              <w:bottom w:val="nil"/>
              <w:right w:val="nil"/>
            </w:tcBorders>
            <w:shd w:val="clear" w:color="auto" w:fill="auto"/>
            <w:noWrap/>
            <w:vAlign w:val="center"/>
            <w:hideMark/>
          </w:tcPr>
          <w:p w14:paraId="3D21FF0E" w14:textId="77777777" w:rsidR="00934E04" w:rsidRPr="008653A2" w:rsidRDefault="00934E04"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(109,889)</w:t>
            </w:r>
          </w:p>
        </w:tc>
      </w:tr>
      <w:tr w:rsidR="00934E04" w:rsidRPr="008653A2" w14:paraId="3E708F12" w14:textId="77777777" w:rsidTr="00E607DA">
        <w:trPr>
          <w:trHeight w:val="227"/>
        </w:trPr>
        <w:tc>
          <w:tcPr>
            <w:tcW w:w="6236" w:type="dxa"/>
            <w:tcBorders>
              <w:top w:val="nil"/>
              <w:left w:val="nil"/>
              <w:bottom w:val="nil"/>
              <w:right w:val="nil"/>
            </w:tcBorders>
            <w:shd w:val="clear" w:color="auto" w:fill="auto"/>
            <w:noWrap/>
            <w:vAlign w:val="center"/>
            <w:hideMark/>
          </w:tcPr>
          <w:p w14:paraId="0178B708" w14:textId="77777777" w:rsidR="00934E04" w:rsidRPr="008653A2" w:rsidRDefault="00934E04" w:rsidP="00E607DA">
            <w:pPr>
              <w:outlineLvl w:val="0"/>
              <w:rPr>
                <w:rFonts w:ascii="Meta Pro" w:eastAsia="Times New Roman" w:hAnsi="Meta Pro"/>
                <w:szCs w:val="18"/>
                <w:lang w:eastAsia="en-AU"/>
              </w:rPr>
            </w:pPr>
            <w:r w:rsidRPr="008653A2">
              <w:rPr>
                <w:rFonts w:ascii="Meta Pro" w:eastAsia="Times New Roman" w:hAnsi="Meta Pro"/>
                <w:szCs w:val="18"/>
                <w:lang w:eastAsia="en-AU"/>
              </w:rPr>
              <w:t>Cash – opening balance</w:t>
            </w:r>
          </w:p>
        </w:tc>
        <w:tc>
          <w:tcPr>
            <w:tcW w:w="1196" w:type="dxa"/>
            <w:tcBorders>
              <w:top w:val="nil"/>
              <w:left w:val="nil"/>
              <w:bottom w:val="nil"/>
              <w:right w:val="nil"/>
            </w:tcBorders>
            <w:shd w:val="clear" w:color="auto" w:fill="auto"/>
            <w:noWrap/>
            <w:vAlign w:val="center"/>
            <w:hideMark/>
          </w:tcPr>
          <w:p w14:paraId="0F12692E" w14:textId="77777777" w:rsidR="00934E04" w:rsidRPr="008653A2" w:rsidRDefault="00934E04"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 xml:space="preserve">101,918 </w:t>
            </w:r>
          </w:p>
        </w:tc>
        <w:tc>
          <w:tcPr>
            <w:tcW w:w="198" w:type="dxa"/>
            <w:tcBorders>
              <w:top w:val="nil"/>
              <w:left w:val="nil"/>
              <w:bottom w:val="nil"/>
              <w:right w:val="nil"/>
            </w:tcBorders>
            <w:shd w:val="clear" w:color="auto" w:fill="auto"/>
            <w:noWrap/>
            <w:vAlign w:val="center"/>
            <w:hideMark/>
          </w:tcPr>
          <w:p w14:paraId="5059B0D3" w14:textId="77777777" w:rsidR="00934E04" w:rsidRPr="008653A2" w:rsidRDefault="00934E04" w:rsidP="00E607DA">
            <w:pPr>
              <w:jc w:val="right"/>
              <w:outlineLvl w:val="0"/>
              <w:rPr>
                <w:rFonts w:ascii="Meta Pro" w:eastAsia="Times New Roman" w:hAnsi="Meta Pro"/>
                <w:szCs w:val="18"/>
                <w:lang w:eastAsia="en-AU"/>
              </w:rPr>
            </w:pPr>
          </w:p>
        </w:tc>
        <w:tc>
          <w:tcPr>
            <w:tcW w:w="1197" w:type="dxa"/>
            <w:tcBorders>
              <w:top w:val="nil"/>
              <w:left w:val="nil"/>
              <w:bottom w:val="nil"/>
              <w:right w:val="nil"/>
            </w:tcBorders>
            <w:shd w:val="clear" w:color="auto" w:fill="auto"/>
            <w:noWrap/>
            <w:vAlign w:val="center"/>
            <w:hideMark/>
          </w:tcPr>
          <w:p w14:paraId="1BE16CF4" w14:textId="77777777" w:rsidR="00934E04" w:rsidRPr="008653A2" w:rsidRDefault="00934E04"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 xml:space="preserve">344,348 </w:t>
            </w:r>
          </w:p>
        </w:tc>
        <w:tc>
          <w:tcPr>
            <w:tcW w:w="198" w:type="dxa"/>
            <w:tcBorders>
              <w:top w:val="nil"/>
              <w:left w:val="nil"/>
              <w:bottom w:val="nil"/>
              <w:right w:val="nil"/>
            </w:tcBorders>
            <w:shd w:val="clear" w:color="auto" w:fill="auto"/>
            <w:noWrap/>
            <w:vAlign w:val="center"/>
            <w:hideMark/>
          </w:tcPr>
          <w:p w14:paraId="321D83CA" w14:textId="77777777" w:rsidR="00934E04" w:rsidRPr="008653A2" w:rsidRDefault="00934E04" w:rsidP="00E607DA">
            <w:pPr>
              <w:jc w:val="right"/>
              <w:outlineLvl w:val="0"/>
              <w:rPr>
                <w:rFonts w:ascii="Meta Pro" w:eastAsia="Times New Roman" w:hAnsi="Meta Pro"/>
                <w:szCs w:val="18"/>
                <w:lang w:eastAsia="en-AU"/>
              </w:rPr>
            </w:pPr>
          </w:p>
        </w:tc>
        <w:tc>
          <w:tcPr>
            <w:tcW w:w="1195" w:type="dxa"/>
            <w:tcBorders>
              <w:top w:val="nil"/>
              <w:left w:val="nil"/>
              <w:bottom w:val="nil"/>
              <w:right w:val="nil"/>
            </w:tcBorders>
            <w:shd w:val="clear" w:color="auto" w:fill="auto"/>
            <w:noWrap/>
            <w:vAlign w:val="center"/>
            <w:hideMark/>
          </w:tcPr>
          <w:p w14:paraId="3155AA3C" w14:textId="77777777" w:rsidR="00934E04" w:rsidRPr="008653A2" w:rsidRDefault="00934E04" w:rsidP="00E607DA">
            <w:pPr>
              <w:jc w:val="right"/>
              <w:outlineLvl w:val="0"/>
              <w:rPr>
                <w:rFonts w:ascii="Meta Pro" w:eastAsia="Times New Roman" w:hAnsi="Meta Pro"/>
                <w:szCs w:val="18"/>
                <w:lang w:eastAsia="en-AU"/>
              </w:rPr>
            </w:pPr>
            <w:r w:rsidRPr="008653A2">
              <w:rPr>
                <w:rFonts w:ascii="Meta Pro" w:eastAsia="Times New Roman" w:hAnsi="Meta Pro"/>
                <w:szCs w:val="18"/>
                <w:lang w:eastAsia="en-AU"/>
              </w:rPr>
              <w:t xml:space="preserve">242,430 </w:t>
            </w:r>
          </w:p>
        </w:tc>
      </w:tr>
      <w:tr w:rsidR="00934E04" w:rsidRPr="008653A2" w14:paraId="2A00AA67" w14:textId="77777777" w:rsidTr="00E607DA">
        <w:trPr>
          <w:trHeight w:val="227"/>
        </w:trPr>
        <w:tc>
          <w:tcPr>
            <w:tcW w:w="6236" w:type="dxa"/>
            <w:tcBorders>
              <w:top w:val="single" w:sz="4" w:space="0" w:color="auto"/>
              <w:left w:val="nil"/>
              <w:bottom w:val="double" w:sz="6" w:space="0" w:color="auto"/>
              <w:right w:val="nil"/>
            </w:tcBorders>
            <w:shd w:val="clear" w:color="auto" w:fill="auto"/>
            <w:noWrap/>
            <w:vAlign w:val="center"/>
            <w:hideMark/>
          </w:tcPr>
          <w:p w14:paraId="7F2D861E" w14:textId="77777777" w:rsidR="00934E04" w:rsidRPr="008653A2" w:rsidRDefault="00934E04" w:rsidP="00E607DA">
            <w:pPr>
              <w:outlineLvl w:val="0"/>
              <w:rPr>
                <w:rFonts w:ascii="Meta Pro" w:eastAsia="Times New Roman" w:hAnsi="Meta Pro"/>
                <w:b/>
                <w:bCs/>
                <w:szCs w:val="18"/>
                <w:lang w:eastAsia="en-AU"/>
              </w:rPr>
            </w:pPr>
            <w:r w:rsidRPr="008653A2">
              <w:rPr>
                <w:rFonts w:ascii="Meta Pro" w:eastAsia="Times New Roman" w:hAnsi="Meta Pro"/>
                <w:b/>
                <w:bCs/>
                <w:szCs w:val="18"/>
                <w:lang w:eastAsia="en-AU"/>
              </w:rPr>
              <w:t>CASH – CLOSING BALANCE</w:t>
            </w:r>
          </w:p>
        </w:tc>
        <w:tc>
          <w:tcPr>
            <w:tcW w:w="1196" w:type="dxa"/>
            <w:tcBorders>
              <w:top w:val="single" w:sz="4" w:space="0" w:color="auto"/>
              <w:left w:val="nil"/>
              <w:bottom w:val="double" w:sz="6" w:space="0" w:color="auto"/>
              <w:right w:val="nil"/>
            </w:tcBorders>
            <w:shd w:val="clear" w:color="auto" w:fill="auto"/>
            <w:noWrap/>
            <w:vAlign w:val="center"/>
            <w:hideMark/>
          </w:tcPr>
          <w:p w14:paraId="107F3246" w14:textId="77777777" w:rsidR="00934E04" w:rsidRPr="008653A2" w:rsidRDefault="00934E04" w:rsidP="00E607DA">
            <w:pPr>
              <w:jc w:val="right"/>
              <w:outlineLvl w:val="0"/>
              <w:rPr>
                <w:rFonts w:ascii="Meta Pro" w:eastAsia="Times New Roman" w:hAnsi="Meta Pro"/>
                <w:b/>
                <w:bCs/>
                <w:szCs w:val="18"/>
                <w:lang w:eastAsia="en-AU"/>
              </w:rPr>
            </w:pPr>
            <w:r w:rsidRPr="008653A2">
              <w:rPr>
                <w:rFonts w:ascii="Meta Pro" w:eastAsia="Times New Roman" w:hAnsi="Meta Pro"/>
                <w:b/>
                <w:bCs/>
                <w:szCs w:val="18"/>
                <w:lang w:eastAsia="en-AU"/>
              </w:rPr>
              <w:t xml:space="preserve">112,889 </w:t>
            </w:r>
          </w:p>
        </w:tc>
        <w:tc>
          <w:tcPr>
            <w:tcW w:w="198" w:type="dxa"/>
            <w:tcBorders>
              <w:top w:val="single" w:sz="4" w:space="0" w:color="auto"/>
              <w:left w:val="nil"/>
              <w:bottom w:val="double" w:sz="6" w:space="0" w:color="auto"/>
              <w:right w:val="nil"/>
            </w:tcBorders>
            <w:shd w:val="clear" w:color="auto" w:fill="auto"/>
            <w:noWrap/>
            <w:vAlign w:val="center"/>
            <w:hideMark/>
          </w:tcPr>
          <w:p w14:paraId="7AB86731" w14:textId="77777777" w:rsidR="00934E04" w:rsidRPr="008653A2" w:rsidRDefault="00934E04" w:rsidP="00E607DA">
            <w:pPr>
              <w:jc w:val="right"/>
              <w:outlineLvl w:val="0"/>
              <w:rPr>
                <w:rFonts w:ascii="Meta Pro" w:eastAsia="Times New Roman" w:hAnsi="Meta Pro"/>
                <w:b/>
                <w:bCs/>
                <w:szCs w:val="18"/>
                <w:lang w:eastAsia="en-AU"/>
              </w:rPr>
            </w:pPr>
            <w:r w:rsidRPr="008653A2">
              <w:rPr>
                <w:rFonts w:ascii="Meta Pro" w:eastAsia="Times New Roman" w:hAnsi="Meta Pro"/>
                <w:b/>
                <w:bCs/>
                <w:szCs w:val="18"/>
                <w:lang w:eastAsia="en-AU"/>
              </w:rPr>
              <w:t> </w:t>
            </w:r>
          </w:p>
        </w:tc>
        <w:tc>
          <w:tcPr>
            <w:tcW w:w="1197" w:type="dxa"/>
            <w:tcBorders>
              <w:top w:val="single" w:sz="4" w:space="0" w:color="auto"/>
              <w:left w:val="nil"/>
              <w:bottom w:val="double" w:sz="6" w:space="0" w:color="auto"/>
              <w:right w:val="nil"/>
            </w:tcBorders>
            <w:shd w:val="clear" w:color="auto" w:fill="auto"/>
            <w:noWrap/>
            <w:vAlign w:val="center"/>
            <w:hideMark/>
          </w:tcPr>
          <w:p w14:paraId="0F5BB2BF" w14:textId="77777777" w:rsidR="00934E04" w:rsidRPr="008653A2" w:rsidRDefault="00934E04" w:rsidP="00E607DA">
            <w:pPr>
              <w:jc w:val="right"/>
              <w:outlineLvl w:val="0"/>
              <w:rPr>
                <w:rFonts w:ascii="Meta Pro" w:eastAsia="Times New Roman" w:hAnsi="Meta Pro"/>
                <w:b/>
                <w:bCs/>
                <w:szCs w:val="18"/>
                <w:lang w:eastAsia="en-AU"/>
              </w:rPr>
            </w:pPr>
            <w:r w:rsidRPr="008653A2">
              <w:rPr>
                <w:rFonts w:ascii="Meta Pro" w:eastAsia="Times New Roman" w:hAnsi="Meta Pro"/>
                <w:b/>
                <w:bCs/>
                <w:szCs w:val="18"/>
                <w:lang w:eastAsia="en-AU"/>
              </w:rPr>
              <w:t xml:space="preserve">245,430 </w:t>
            </w:r>
          </w:p>
        </w:tc>
        <w:tc>
          <w:tcPr>
            <w:tcW w:w="198" w:type="dxa"/>
            <w:tcBorders>
              <w:top w:val="single" w:sz="4" w:space="0" w:color="auto"/>
              <w:left w:val="nil"/>
              <w:bottom w:val="double" w:sz="6" w:space="0" w:color="auto"/>
              <w:right w:val="nil"/>
            </w:tcBorders>
            <w:shd w:val="clear" w:color="auto" w:fill="auto"/>
            <w:noWrap/>
            <w:vAlign w:val="center"/>
            <w:hideMark/>
          </w:tcPr>
          <w:p w14:paraId="4BE50B40" w14:textId="77777777" w:rsidR="00934E04" w:rsidRPr="008653A2" w:rsidRDefault="00934E04" w:rsidP="00E607DA">
            <w:pPr>
              <w:jc w:val="right"/>
              <w:outlineLvl w:val="0"/>
              <w:rPr>
                <w:rFonts w:ascii="Meta Pro" w:eastAsia="Times New Roman" w:hAnsi="Meta Pro"/>
                <w:b/>
                <w:bCs/>
                <w:szCs w:val="18"/>
                <w:lang w:eastAsia="en-AU"/>
              </w:rPr>
            </w:pPr>
            <w:r w:rsidRPr="008653A2">
              <w:rPr>
                <w:rFonts w:ascii="Meta Pro" w:eastAsia="Times New Roman" w:hAnsi="Meta Pro"/>
                <w:b/>
                <w:bCs/>
                <w:szCs w:val="18"/>
                <w:lang w:eastAsia="en-AU"/>
              </w:rPr>
              <w:t> </w:t>
            </w:r>
          </w:p>
        </w:tc>
        <w:tc>
          <w:tcPr>
            <w:tcW w:w="1195" w:type="dxa"/>
            <w:tcBorders>
              <w:top w:val="single" w:sz="4" w:space="0" w:color="auto"/>
              <w:left w:val="nil"/>
              <w:bottom w:val="double" w:sz="6" w:space="0" w:color="auto"/>
              <w:right w:val="nil"/>
            </w:tcBorders>
            <w:shd w:val="clear" w:color="auto" w:fill="auto"/>
            <w:noWrap/>
            <w:vAlign w:val="center"/>
            <w:hideMark/>
          </w:tcPr>
          <w:p w14:paraId="2CED6321" w14:textId="77777777" w:rsidR="00934E04" w:rsidRPr="008653A2" w:rsidRDefault="00934E04" w:rsidP="00E607DA">
            <w:pPr>
              <w:jc w:val="right"/>
              <w:outlineLvl w:val="0"/>
              <w:rPr>
                <w:rFonts w:ascii="Meta Pro" w:eastAsia="Times New Roman" w:hAnsi="Meta Pro"/>
                <w:b/>
                <w:bCs/>
                <w:szCs w:val="18"/>
                <w:lang w:eastAsia="en-AU"/>
              </w:rPr>
            </w:pPr>
            <w:r w:rsidRPr="008653A2">
              <w:rPr>
                <w:rFonts w:ascii="Meta Pro" w:eastAsia="Times New Roman" w:hAnsi="Meta Pro"/>
                <w:b/>
                <w:bCs/>
                <w:szCs w:val="18"/>
                <w:lang w:eastAsia="en-AU"/>
              </w:rPr>
              <w:t xml:space="preserve">132,541 </w:t>
            </w:r>
          </w:p>
        </w:tc>
      </w:tr>
    </w:tbl>
    <w:p w14:paraId="7695FAD8" w14:textId="77777777" w:rsidR="00934E04" w:rsidRPr="00092B22" w:rsidRDefault="00934E04" w:rsidP="00934E04">
      <w:pPr>
        <w:spacing w:line="259" w:lineRule="auto"/>
        <w:rPr>
          <w:rFonts w:ascii="Meta Pro" w:hAnsi="Meta Pro"/>
          <w:lang w:eastAsia="en-AU"/>
        </w:rPr>
      </w:pPr>
    </w:p>
    <w:p w14:paraId="72C530F8" w14:textId="77777777" w:rsidR="00934E04" w:rsidRPr="00092B22" w:rsidRDefault="00934E04" w:rsidP="00934E04">
      <w:pPr>
        <w:spacing w:after="120" w:line="259" w:lineRule="auto"/>
        <w:rPr>
          <w:rFonts w:ascii="Meta Pro" w:eastAsia="Times New Roman" w:hAnsi="Meta Pro"/>
          <w:color w:val="000000"/>
          <w:szCs w:val="18"/>
          <w:lang w:eastAsia="en-AU"/>
        </w:rPr>
      </w:pPr>
      <w:r w:rsidRPr="00092B22">
        <w:rPr>
          <w:rFonts w:ascii="Meta Pro" w:eastAsia="Times New Roman" w:hAnsi="Meta Pro"/>
          <w:b/>
          <w:bCs/>
          <w:color w:val="000000"/>
          <w:szCs w:val="18"/>
          <w:lang w:eastAsia="en-AU"/>
        </w:rPr>
        <w:t>Explanation of major variances</w:t>
      </w:r>
    </w:p>
    <w:p w14:paraId="11F487B8" w14:textId="77777777" w:rsidR="00934E04" w:rsidRPr="00092B22" w:rsidRDefault="00934E04" w:rsidP="00934E04">
      <w:pPr>
        <w:spacing w:line="259" w:lineRule="auto"/>
        <w:rPr>
          <w:rFonts w:ascii="Meta Pro" w:eastAsia="Times New Roman" w:hAnsi="Meta Pro"/>
          <w:color w:val="000000"/>
          <w:szCs w:val="18"/>
          <w:lang w:eastAsia="en-AU"/>
        </w:rPr>
      </w:pPr>
      <w:r w:rsidRPr="00092B22">
        <w:rPr>
          <w:rFonts w:ascii="Meta Pro" w:eastAsia="Times New Roman" w:hAnsi="Meta Pro"/>
          <w:b/>
          <w:bCs/>
          <w:i/>
          <w:iCs/>
          <w:color w:val="000000"/>
          <w:szCs w:val="18"/>
          <w:lang w:eastAsia="en-AU"/>
        </w:rPr>
        <w:t>Grants and other contributions</w:t>
      </w:r>
      <w:r w:rsidRPr="00092B22">
        <w:rPr>
          <w:rFonts w:ascii="Meta Pro" w:eastAsia="Times New Roman" w:hAnsi="Meta Pro"/>
          <w:b/>
          <w:bCs/>
          <w:i/>
          <w:iCs/>
          <w:color w:val="000000"/>
          <w:szCs w:val="18"/>
          <w:lang w:eastAsia="en-AU"/>
        </w:rPr>
        <w:tab/>
      </w:r>
      <w:r w:rsidRPr="00092B22">
        <w:rPr>
          <w:rFonts w:ascii="Meta Pro" w:eastAsia="Times New Roman" w:hAnsi="Meta Pro"/>
          <w:b/>
          <w:bCs/>
          <w:i/>
          <w:iCs/>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p>
    <w:p w14:paraId="6D07476D" w14:textId="77777777" w:rsidR="00934E04" w:rsidRPr="00092B22" w:rsidRDefault="00934E04" w:rsidP="00934E04">
      <w:pPr>
        <w:spacing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Variance of ($57.965m) </w:t>
      </w:r>
      <w:r>
        <w:rPr>
          <w:rFonts w:ascii="Meta Pro" w:eastAsia="Times New Roman" w:hAnsi="Meta Pro"/>
          <w:color w:val="000000"/>
          <w:szCs w:val="18"/>
          <w:lang w:eastAsia="en-AU"/>
        </w:rPr>
        <w:t xml:space="preserve">mainly </w:t>
      </w:r>
      <w:r w:rsidRPr="00092B22">
        <w:rPr>
          <w:rFonts w:ascii="Meta Pro" w:eastAsia="Times New Roman" w:hAnsi="Meta Pro"/>
          <w:color w:val="000000"/>
          <w:szCs w:val="18"/>
          <w:lang w:eastAsia="en-AU"/>
        </w:rPr>
        <w:t>reflects:</w:t>
      </w:r>
    </w:p>
    <w:p w14:paraId="4B4C1988" w14:textId="77777777" w:rsidR="00934E04" w:rsidRPr="00092B22" w:rsidRDefault="00934E04" w:rsidP="00934E04">
      <w:pPr>
        <w:spacing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 $72.313m lower than budgeted reimbursements by the Queensland Reconstruction Authority due to timing</w:t>
      </w:r>
    </w:p>
    <w:p w14:paraId="417C56D7" w14:textId="77777777" w:rsidR="00934E04" w:rsidRPr="00092B22" w:rsidRDefault="00934E04" w:rsidP="00934E04">
      <w:pPr>
        <w:spacing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Offset by:</w:t>
      </w:r>
    </w:p>
    <w:p w14:paraId="5A1C472D" w14:textId="77777777" w:rsidR="00934E04" w:rsidRPr="00092B22" w:rsidRDefault="00934E04" w:rsidP="00934E04">
      <w:pPr>
        <w:spacing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 $9.0m higher than budget due to unforeseen grant funding received from local governments for Gold Coast Light Rail –</w:t>
      </w:r>
    </w:p>
    <w:p w14:paraId="09E377B8" w14:textId="77777777" w:rsidR="00934E04" w:rsidRPr="00092B22" w:rsidRDefault="00934E04" w:rsidP="00934E04">
      <w:pPr>
        <w:spacing w:after="120"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Stage 3 and Yorkey's Landside Project.</w:t>
      </w:r>
    </w:p>
    <w:p w14:paraId="767496AC" w14:textId="77777777" w:rsidR="00934E04" w:rsidRPr="00092B22" w:rsidRDefault="00934E04" w:rsidP="00934E04">
      <w:pPr>
        <w:spacing w:line="259" w:lineRule="auto"/>
        <w:rPr>
          <w:rFonts w:ascii="Meta Pro" w:eastAsia="Times New Roman" w:hAnsi="Meta Pro"/>
          <w:color w:val="000000"/>
          <w:szCs w:val="18"/>
          <w:lang w:eastAsia="en-AU"/>
        </w:rPr>
      </w:pPr>
      <w:r w:rsidRPr="00092B22">
        <w:rPr>
          <w:rFonts w:ascii="Meta Pro" w:eastAsia="Times New Roman" w:hAnsi="Meta Pro"/>
          <w:b/>
          <w:bCs/>
          <w:i/>
          <w:iCs/>
          <w:color w:val="000000"/>
          <w:szCs w:val="18"/>
          <w:lang w:eastAsia="en-AU"/>
        </w:rPr>
        <w:t>GST input tax credits from ATO</w:t>
      </w:r>
      <w:r w:rsidRPr="00092B22">
        <w:rPr>
          <w:rFonts w:ascii="Meta Pro" w:eastAsia="Times New Roman" w:hAnsi="Meta Pro"/>
          <w:b/>
          <w:bCs/>
          <w:i/>
          <w:iCs/>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p>
    <w:p w14:paraId="71C5339A" w14:textId="77777777" w:rsidR="00934E04" w:rsidRPr="00092B22" w:rsidRDefault="00934E04" w:rsidP="00934E04">
      <w:pPr>
        <w:spacing w:after="120"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Variance is due to variability of the timing, value and payment of invoices issued to and received from external parties.</w:t>
      </w:r>
    </w:p>
    <w:p w14:paraId="3559832C" w14:textId="77777777" w:rsidR="00934E04" w:rsidRPr="00092B22" w:rsidRDefault="00934E04" w:rsidP="00934E04">
      <w:pPr>
        <w:spacing w:line="259" w:lineRule="auto"/>
        <w:rPr>
          <w:rFonts w:ascii="Meta Pro" w:eastAsia="Times New Roman" w:hAnsi="Meta Pro"/>
          <w:b/>
          <w:bCs/>
          <w:i/>
          <w:iCs/>
          <w:color w:val="000000"/>
          <w:szCs w:val="18"/>
          <w:lang w:eastAsia="en-AU"/>
        </w:rPr>
      </w:pPr>
      <w:r w:rsidRPr="00092B22">
        <w:rPr>
          <w:rFonts w:ascii="Meta Pro" w:eastAsia="Times New Roman" w:hAnsi="Meta Pro"/>
          <w:b/>
          <w:bCs/>
          <w:i/>
          <w:iCs/>
          <w:color w:val="000000"/>
          <w:szCs w:val="18"/>
          <w:lang w:eastAsia="en-AU"/>
        </w:rPr>
        <w:t>Other operating activities inflows</w:t>
      </w:r>
    </w:p>
    <w:p w14:paraId="4609FBF0" w14:textId="77777777" w:rsidR="00934E04" w:rsidRPr="00286317" w:rsidRDefault="00934E04" w:rsidP="00934E04">
      <w:pPr>
        <w:spacing w:line="259" w:lineRule="auto"/>
        <w:rPr>
          <w:rFonts w:ascii="Meta Pro" w:eastAsia="Times New Roman" w:hAnsi="Meta Pro"/>
          <w:color w:val="000000"/>
          <w:szCs w:val="18"/>
          <w:lang w:eastAsia="en-AU"/>
        </w:rPr>
      </w:pPr>
      <w:r w:rsidRPr="00286317">
        <w:rPr>
          <w:rFonts w:ascii="Meta Pro" w:eastAsia="Times New Roman" w:hAnsi="Meta Pro"/>
          <w:color w:val="000000"/>
          <w:szCs w:val="18"/>
          <w:lang w:eastAsia="en-AU"/>
        </w:rPr>
        <w:t>Variance of $35.352m to budget is explained by the following:</w:t>
      </w:r>
    </w:p>
    <w:p w14:paraId="0812EE92" w14:textId="77777777" w:rsidR="00934E04" w:rsidRPr="00286317" w:rsidRDefault="00934E04" w:rsidP="00934E04">
      <w:pPr>
        <w:spacing w:line="259" w:lineRule="auto"/>
        <w:rPr>
          <w:rFonts w:ascii="Meta Pro" w:eastAsia="Times New Roman" w:hAnsi="Meta Pro"/>
          <w:color w:val="000000"/>
          <w:szCs w:val="18"/>
          <w:lang w:eastAsia="en-AU"/>
        </w:rPr>
      </w:pPr>
      <w:r w:rsidRPr="00286317">
        <w:rPr>
          <w:rFonts w:ascii="Meta Pro" w:eastAsia="Times New Roman" w:hAnsi="Meta Pro"/>
          <w:color w:val="000000"/>
          <w:szCs w:val="18"/>
          <w:lang w:eastAsia="en-AU"/>
        </w:rPr>
        <w:lastRenderedPageBreak/>
        <w:t>• $13.496m for the recognition of additional revenue for the Toowoomba Bypass project to reflect the floating rate</w:t>
      </w:r>
    </w:p>
    <w:p w14:paraId="59571C59" w14:textId="77777777" w:rsidR="00934E04" w:rsidRPr="00092B22" w:rsidRDefault="00934E04" w:rsidP="00934E04">
      <w:pPr>
        <w:spacing w:line="259" w:lineRule="auto"/>
        <w:rPr>
          <w:rFonts w:ascii="Meta Pro" w:eastAsia="Times New Roman" w:hAnsi="Meta Pro"/>
          <w:color w:val="000000"/>
          <w:szCs w:val="18"/>
          <w:lang w:eastAsia="en-AU"/>
        </w:rPr>
      </w:pPr>
      <w:r w:rsidRPr="00286317">
        <w:rPr>
          <w:rFonts w:ascii="Meta Pro" w:eastAsia="Times New Roman" w:hAnsi="Meta Pro"/>
          <w:color w:val="000000"/>
          <w:szCs w:val="18"/>
          <w:lang w:eastAsia="en-AU"/>
        </w:rPr>
        <w:t xml:space="preserve">   component due to refinancing of borrowings</w:t>
      </w:r>
    </w:p>
    <w:p w14:paraId="7DE75CD8" w14:textId="77777777" w:rsidR="00934E04" w:rsidRPr="00092B22" w:rsidRDefault="00934E04" w:rsidP="00934E04">
      <w:pPr>
        <w:spacing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 $10.738m reflects debt recovery and overdue interest charge</w:t>
      </w:r>
      <w:r>
        <w:rPr>
          <w:rFonts w:ascii="Meta Pro" w:eastAsia="Times New Roman" w:hAnsi="Meta Pro"/>
          <w:color w:val="000000"/>
          <w:szCs w:val="18"/>
          <w:lang w:eastAsia="en-AU"/>
        </w:rPr>
        <w:t>s</w:t>
      </w:r>
      <w:r w:rsidRPr="00092B22">
        <w:rPr>
          <w:rFonts w:ascii="Meta Pro" w:eastAsia="Times New Roman" w:hAnsi="Meta Pro"/>
          <w:color w:val="000000"/>
          <w:szCs w:val="18"/>
          <w:lang w:eastAsia="en-AU"/>
        </w:rPr>
        <w:t xml:space="preserve"> from </w:t>
      </w:r>
      <w:r>
        <w:rPr>
          <w:rFonts w:ascii="Meta Pro" w:eastAsia="Times New Roman" w:hAnsi="Meta Pro"/>
          <w:color w:val="000000"/>
          <w:szCs w:val="18"/>
          <w:lang w:eastAsia="en-AU"/>
        </w:rPr>
        <w:t>a departmental vendor</w:t>
      </w:r>
      <w:r w:rsidRPr="00092B22">
        <w:rPr>
          <w:rFonts w:ascii="Meta Pro" w:eastAsia="Times New Roman" w:hAnsi="Meta Pro"/>
          <w:color w:val="000000"/>
          <w:szCs w:val="18"/>
          <w:lang w:eastAsia="en-AU"/>
        </w:rPr>
        <w:t xml:space="preserve"> </w:t>
      </w:r>
    </w:p>
    <w:p w14:paraId="2FE1B47E" w14:textId="77777777" w:rsidR="00934E04" w:rsidRPr="00092B22" w:rsidRDefault="00934E04" w:rsidP="00934E04">
      <w:pPr>
        <w:spacing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 $4.000m higher than anticipated contributions received from developers</w:t>
      </w:r>
    </w:p>
    <w:p w14:paraId="00D62084" w14:textId="77777777" w:rsidR="00934E04" w:rsidRDefault="00934E04" w:rsidP="00934E04">
      <w:pPr>
        <w:spacing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$3.536m reflects unspent funding returned from </w:t>
      </w:r>
      <w:r>
        <w:rPr>
          <w:rFonts w:ascii="Meta Pro" w:eastAsia="Times New Roman" w:hAnsi="Meta Pro"/>
          <w:color w:val="000000"/>
          <w:szCs w:val="18"/>
          <w:lang w:eastAsia="en-AU"/>
        </w:rPr>
        <w:t>Queensland Rural and Industry Development Authority</w:t>
      </w:r>
      <w:r w:rsidRPr="00092B22">
        <w:rPr>
          <w:rFonts w:ascii="Meta Pro" w:eastAsia="Times New Roman" w:hAnsi="Meta Pro"/>
          <w:color w:val="000000"/>
          <w:szCs w:val="18"/>
          <w:lang w:eastAsia="en-AU"/>
        </w:rPr>
        <w:t xml:space="preserve"> for </w:t>
      </w:r>
      <w:r>
        <w:rPr>
          <w:rFonts w:ascii="Meta Pro" w:eastAsia="Times New Roman" w:hAnsi="Meta Pro"/>
          <w:color w:val="000000"/>
          <w:szCs w:val="18"/>
          <w:lang w:eastAsia="en-AU"/>
        </w:rPr>
        <w:t>f</w:t>
      </w:r>
      <w:r w:rsidRPr="00092B22">
        <w:rPr>
          <w:rFonts w:ascii="Meta Pro" w:eastAsia="Times New Roman" w:hAnsi="Meta Pro"/>
          <w:color w:val="000000"/>
          <w:szCs w:val="18"/>
          <w:lang w:eastAsia="en-AU"/>
        </w:rPr>
        <w:t>inancial</w:t>
      </w:r>
    </w:p>
    <w:p w14:paraId="31AA1A28" w14:textId="77777777" w:rsidR="00934E04" w:rsidRPr="00092B22" w:rsidRDefault="00934E04" w:rsidP="00934E04">
      <w:pPr>
        <w:spacing w:after="120" w:line="259" w:lineRule="auto"/>
        <w:rPr>
          <w:rFonts w:ascii="Meta Pro" w:eastAsia="Times New Roman" w:hAnsi="Meta Pro"/>
          <w:color w:val="000000"/>
          <w:szCs w:val="18"/>
          <w:lang w:eastAsia="en-AU"/>
        </w:rPr>
      </w:pPr>
      <w:r>
        <w:rPr>
          <w:rFonts w:ascii="Meta Pro" w:eastAsia="Times New Roman" w:hAnsi="Meta Pro"/>
          <w:color w:val="000000"/>
          <w:szCs w:val="18"/>
          <w:lang w:eastAsia="en-AU"/>
        </w:rPr>
        <w:t xml:space="preserve">   a</w:t>
      </w:r>
      <w:r w:rsidRPr="00092B22">
        <w:rPr>
          <w:rFonts w:ascii="Meta Pro" w:eastAsia="Times New Roman" w:hAnsi="Meta Pro"/>
          <w:color w:val="000000"/>
          <w:szCs w:val="18"/>
          <w:lang w:eastAsia="en-AU"/>
        </w:rPr>
        <w:t>ssistance for the Taxi and Limousine Industry.</w:t>
      </w:r>
    </w:p>
    <w:p w14:paraId="65BA3ED5" w14:textId="77777777" w:rsidR="00934E04" w:rsidRPr="00092B22" w:rsidRDefault="00934E04" w:rsidP="00934E04">
      <w:pPr>
        <w:spacing w:line="259" w:lineRule="auto"/>
        <w:rPr>
          <w:rFonts w:ascii="Meta Pro" w:eastAsia="Times New Roman" w:hAnsi="Meta Pro"/>
          <w:color w:val="000000"/>
          <w:szCs w:val="18"/>
          <w:lang w:eastAsia="en-AU"/>
        </w:rPr>
      </w:pPr>
      <w:r w:rsidRPr="00092B22">
        <w:rPr>
          <w:rFonts w:ascii="Meta Pro" w:eastAsia="Times New Roman" w:hAnsi="Meta Pro"/>
          <w:b/>
          <w:bCs/>
          <w:i/>
          <w:iCs/>
          <w:color w:val="000000"/>
          <w:szCs w:val="18"/>
          <w:lang w:eastAsia="en-AU"/>
        </w:rPr>
        <w:t>Finance and borrowing costs</w:t>
      </w:r>
    </w:p>
    <w:p w14:paraId="35094F9A" w14:textId="77777777" w:rsidR="00934E04" w:rsidRPr="00092B22" w:rsidRDefault="00934E04" w:rsidP="00934E04">
      <w:pPr>
        <w:spacing w:after="120"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Variance of $37.927m mainly reflects a reduction of $38.121m in the </w:t>
      </w:r>
      <w:r>
        <w:rPr>
          <w:rFonts w:ascii="Meta Pro" w:eastAsia="Times New Roman" w:hAnsi="Meta Pro"/>
          <w:color w:val="000000"/>
          <w:szCs w:val="18"/>
          <w:lang w:eastAsia="en-AU"/>
        </w:rPr>
        <w:t>b</w:t>
      </w:r>
      <w:r w:rsidRPr="00092B22">
        <w:rPr>
          <w:rFonts w:ascii="Meta Pro" w:eastAsia="Times New Roman" w:hAnsi="Meta Pro"/>
          <w:color w:val="000000"/>
          <w:szCs w:val="18"/>
          <w:lang w:eastAsia="en-AU"/>
        </w:rPr>
        <w:t xml:space="preserve">ase </w:t>
      </w:r>
      <w:r>
        <w:rPr>
          <w:rFonts w:ascii="Meta Pro" w:eastAsia="Times New Roman" w:hAnsi="Meta Pro"/>
          <w:color w:val="000000"/>
          <w:szCs w:val="18"/>
          <w:lang w:eastAsia="en-AU"/>
        </w:rPr>
        <w:t>r</w:t>
      </w:r>
      <w:r w:rsidRPr="00092B22">
        <w:rPr>
          <w:rFonts w:ascii="Meta Pro" w:eastAsia="Times New Roman" w:hAnsi="Meta Pro"/>
          <w:color w:val="000000"/>
          <w:szCs w:val="18"/>
          <w:lang w:eastAsia="en-AU"/>
        </w:rPr>
        <w:t xml:space="preserve">ate </w:t>
      </w:r>
      <w:r>
        <w:rPr>
          <w:rFonts w:ascii="Meta Pro" w:eastAsia="Times New Roman" w:hAnsi="Meta Pro"/>
          <w:color w:val="000000"/>
          <w:szCs w:val="18"/>
          <w:lang w:eastAsia="en-AU"/>
        </w:rPr>
        <w:t>a</w:t>
      </w:r>
      <w:r w:rsidRPr="00092B22">
        <w:rPr>
          <w:rFonts w:ascii="Meta Pro" w:eastAsia="Times New Roman" w:hAnsi="Meta Pro"/>
          <w:color w:val="000000"/>
          <w:szCs w:val="18"/>
          <w:lang w:eastAsia="en-AU"/>
        </w:rPr>
        <w:t xml:space="preserve">djustment </w:t>
      </w:r>
      <w:r>
        <w:rPr>
          <w:rFonts w:ascii="Meta Pro" w:eastAsia="Times New Roman" w:hAnsi="Meta Pro"/>
          <w:color w:val="000000"/>
          <w:szCs w:val="18"/>
          <w:lang w:eastAsia="en-AU"/>
        </w:rPr>
        <w:t>p</w:t>
      </w:r>
      <w:r w:rsidRPr="00092B22">
        <w:rPr>
          <w:rFonts w:ascii="Meta Pro" w:eastAsia="Times New Roman" w:hAnsi="Meta Pro"/>
          <w:color w:val="000000"/>
          <w:szCs w:val="18"/>
          <w:lang w:eastAsia="en-AU"/>
        </w:rPr>
        <w:t>ayment for New Generation Rollingstock when refinancing occurred in July 2021.</w:t>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p>
    <w:p w14:paraId="413F9D6A" w14:textId="77777777" w:rsidR="00934E04" w:rsidRPr="00092B22" w:rsidRDefault="00934E04" w:rsidP="00934E04">
      <w:pPr>
        <w:spacing w:line="259" w:lineRule="auto"/>
        <w:rPr>
          <w:rFonts w:ascii="Meta Pro" w:eastAsia="Times New Roman" w:hAnsi="Meta Pro"/>
          <w:color w:val="000000"/>
          <w:szCs w:val="18"/>
          <w:lang w:eastAsia="en-AU"/>
        </w:rPr>
      </w:pPr>
      <w:r w:rsidRPr="00092B22">
        <w:rPr>
          <w:rFonts w:ascii="Meta Pro" w:eastAsia="Times New Roman" w:hAnsi="Meta Pro"/>
          <w:b/>
          <w:bCs/>
          <w:i/>
          <w:iCs/>
          <w:color w:val="000000"/>
          <w:szCs w:val="18"/>
          <w:lang w:eastAsia="en-AU"/>
        </w:rPr>
        <w:t>GST paid to suppliers</w:t>
      </w:r>
      <w:r w:rsidRPr="00092B22">
        <w:rPr>
          <w:rFonts w:ascii="Meta Pro" w:eastAsia="Times New Roman" w:hAnsi="Meta Pro"/>
          <w:b/>
          <w:bCs/>
          <w:i/>
          <w:iCs/>
          <w:color w:val="000000"/>
          <w:szCs w:val="18"/>
          <w:lang w:eastAsia="en-AU"/>
        </w:rPr>
        <w:tab/>
      </w:r>
      <w:r w:rsidRPr="00092B22">
        <w:rPr>
          <w:rFonts w:ascii="Meta Pro" w:eastAsia="Times New Roman" w:hAnsi="Meta Pro"/>
          <w:b/>
          <w:bCs/>
          <w:i/>
          <w:iCs/>
          <w:color w:val="000000"/>
          <w:szCs w:val="18"/>
          <w:lang w:eastAsia="en-AU"/>
        </w:rPr>
        <w:tab/>
      </w:r>
      <w:r w:rsidRPr="00092B22">
        <w:rPr>
          <w:rFonts w:ascii="Meta Pro" w:eastAsia="Times New Roman" w:hAnsi="Meta Pro"/>
          <w:b/>
          <w:bCs/>
          <w:i/>
          <w:iCs/>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p>
    <w:p w14:paraId="4086B683" w14:textId="77777777" w:rsidR="00934E04" w:rsidRPr="00092B22" w:rsidRDefault="00934E04" w:rsidP="00934E04">
      <w:pPr>
        <w:spacing w:after="120"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Variance is due to variability of the timing, value and payment of invoices issued to and received from external parties.</w:t>
      </w:r>
    </w:p>
    <w:p w14:paraId="0B14929D" w14:textId="77777777" w:rsidR="00934E04" w:rsidRPr="00092B22" w:rsidRDefault="00934E04" w:rsidP="00934E04">
      <w:pPr>
        <w:spacing w:line="259" w:lineRule="auto"/>
        <w:rPr>
          <w:rFonts w:ascii="Meta Pro" w:eastAsia="Times New Roman" w:hAnsi="Meta Pro"/>
          <w:color w:val="000000"/>
          <w:szCs w:val="18"/>
          <w:lang w:eastAsia="en-AU"/>
        </w:rPr>
      </w:pPr>
      <w:r w:rsidRPr="00092B22">
        <w:rPr>
          <w:rFonts w:ascii="Meta Pro" w:eastAsia="Times New Roman" w:hAnsi="Meta Pro"/>
          <w:b/>
          <w:bCs/>
          <w:i/>
          <w:iCs/>
          <w:color w:val="000000"/>
          <w:szCs w:val="18"/>
          <w:lang w:eastAsia="en-AU"/>
        </w:rPr>
        <w:t>Payments for property, plant and equipment</w:t>
      </w:r>
    </w:p>
    <w:p w14:paraId="2F494E67" w14:textId="77777777" w:rsidR="00934E04" w:rsidRPr="00092B22" w:rsidRDefault="00934E04" w:rsidP="00934E04">
      <w:pPr>
        <w:spacing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Variance of ($</w:t>
      </w:r>
      <w:r>
        <w:rPr>
          <w:rFonts w:ascii="Meta Pro" w:eastAsia="Times New Roman" w:hAnsi="Meta Pro"/>
          <w:color w:val="000000"/>
          <w:szCs w:val="18"/>
          <w:lang w:eastAsia="en-AU"/>
        </w:rPr>
        <w:t>406.800</w:t>
      </w:r>
      <w:r w:rsidRPr="00092B22">
        <w:rPr>
          <w:rFonts w:ascii="Meta Pro" w:eastAsia="Times New Roman" w:hAnsi="Meta Pro"/>
          <w:color w:val="000000"/>
          <w:szCs w:val="18"/>
          <w:lang w:eastAsia="en-AU"/>
        </w:rPr>
        <w:t>m) mainly comprises:</w:t>
      </w:r>
    </w:p>
    <w:p w14:paraId="2A519631" w14:textId="77777777" w:rsidR="00934E04" w:rsidRPr="00092B22" w:rsidRDefault="00934E04" w:rsidP="00934E04">
      <w:pPr>
        <w:spacing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 $</w:t>
      </w:r>
      <w:r>
        <w:rPr>
          <w:rFonts w:ascii="Meta Pro" w:eastAsia="Times New Roman" w:hAnsi="Meta Pro"/>
          <w:color w:val="000000"/>
          <w:szCs w:val="18"/>
          <w:lang w:eastAsia="en-AU"/>
        </w:rPr>
        <w:t>291</w:t>
      </w:r>
      <w:r w:rsidRPr="00092B22">
        <w:rPr>
          <w:rFonts w:ascii="Meta Pro" w:eastAsia="Times New Roman" w:hAnsi="Meta Pro"/>
          <w:color w:val="000000"/>
          <w:szCs w:val="18"/>
          <w:lang w:eastAsia="en-AU"/>
        </w:rPr>
        <w:t>.</w:t>
      </w:r>
      <w:r>
        <w:rPr>
          <w:rFonts w:ascii="Meta Pro" w:eastAsia="Times New Roman" w:hAnsi="Meta Pro"/>
          <w:color w:val="000000"/>
          <w:szCs w:val="18"/>
          <w:lang w:eastAsia="en-AU"/>
        </w:rPr>
        <w:t>473</w:t>
      </w:r>
      <w:r w:rsidRPr="00092B22">
        <w:rPr>
          <w:rFonts w:ascii="Meta Pro" w:eastAsia="Times New Roman" w:hAnsi="Meta Pro"/>
          <w:color w:val="000000"/>
          <w:szCs w:val="18"/>
          <w:lang w:eastAsia="en-AU"/>
        </w:rPr>
        <w:t>m accelerated capital program in line with updated delivery schedules</w:t>
      </w:r>
    </w:p>
    <w:p w14:paraId="16FBA84D" w14:textId="77777777" w:rsidR="00934E04" w:rsidRPr="00092B22" w:rsidRDefault="00934E04" w:rsidP="00934E04">
      <w:pPr>
        <w:spacing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 $68.965m for European Train Control System relating to the Rollingstock Expansion Project</w:t>
      </w:r>
    </w:p>
    <w:p w14:paraId="4F7444EC" w14:textId="77777777" w:rsidR="00934E04" w:rsidRDefault="00934E04" w:rsidP="00934E04">
      <w:pPr>
        <w:spacing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$46.362m for Coomera Connector Stage 1 in line with the detailed business case, including provision for </w:t>
      </w:r>
      <w:r>
        <w:rPr>
          <w:rFonts w:ascii="Meta Pro" w:eastAsia="Times New Roman" w:hAnsi="Meta Pro"/>
          <w:color w:val="000000"/>
          <w:szCs w:val="18"/>
          <w:lang w:eastAsia="en-AU"/>
        </w:rPr>
        <w:t>Best Practice</w:t>
      </w:r>
    </w:p>
    <w:p w14:paraId="3A84FF5B" w14:textId="77777777" w:rsidR="00934E04" w:rsidRPr="00092B22" w:rsidRDefault="00934E04" w:rsidP="00934E04">
      <w:pPr>
        <w:spacing w:after="120" w:line="259" w:lineRule="auto"/>
        <w:rPr>
          <w:rFonts w:ascii="Meta Pro" w:eastAsia="Times New Roman" w:hAnsi="Meta Pro"/>
          <w:color w:val="000000"/>
          <w:szCs w:val="18"/>
          <w:lang w:eastAsia="en-AU"/>
        </w:rPr>
      </w:pPr>
      <w:r>
        <w:rPr>
          <w:rFonts w:ascii="Meta Pro" w:eastAsia="Times New Roman" w:hAnsi="Meta Pro"/>
          <w:color w:val="000000"/>
          <w:szCs w:val="18"/>
          <w:lang w:eastAsia="en-AU"/>
        </w:rPr>
        <w:t xml:space="preserve">    </w:t>
      </w:r>
      <w:r w:rsidRPr="00092B22">
        <w:rPr>
          <w:rFonts w:ascii="Meta Pro" w:eastAsia="Times New Roman" w:hAnsi="Meta Pro"/>
          <w:color w:val="000000"/>
          <w:szCs w:val="18"/>
          <w:lang w:eastAsia="en-AU"/>
        </w:rPr>
        <w:t>I</w:t>
      </w:r>
      <w:r>
        <w:rPr>
          <w:rFonts w:ascii="Meta Pro" w:eastAsia="Times New Roman" w:hAnsi="Meta Pro"/>
          <w:color w:val="000000"/>
          <w:szCs w:val="18"/>
          <w:lang w:eastAsia="en-AU"/>
        </w:rPr>
        <w:t>ndustry Condition payments</w:t>
      </w:r>
      <w:r w:rsidRPr="00092B22">
        <w:rPr>
          <w:rFonts w:ascii="Meta Pro" w:eastAsia="Times New Roman" w:hAnsi="Meta Pro"/>
          <w:color w:val="000000"/>
          <w:szCs w:val="18"/>
          <w:lang w:eastAsia="en-AU"/>
        </w:rPr>
        <w:t>.</w:t>
      </w:r>
    </w:p>
    <w:p w14:paraId="46B91171" w14:textId="77777777" w:rsidR="00941F8E" w:rsidRPr="00092B22" w:rsidRDefault="00941F8E" w:rsidP="00941F8E">
      <w:pPr>
        <w:spacing w:after="120" w:line="259" w:lineRule="auto"/>
        <w:rPr>
          <w:rFonts w:ascii="Meta Pro" w:eastAsia="Times New Roman" w:hAnsi="Meta Pro"/>
          <w:b/>
          <w:bCs/>
          <w:color w:val="000000"/>
          <w:lang w:eastAsia="en-AU"/>
        </w:rPr>
      </w:pPr>
      <w:r w:rsidRPr="00092B22">
        <w:rPr>
          <w:rFonts w:ascii="Meta Pro" w:eastAsia="Times New Roman" w:hAnsi="Meta Pro"/>
          <w:b/>
          <w:bCs/>
          <w:color w:val="000000"/>
          <w:lang w:eastAsia="en-AU"/>
        </w:rPr>
        <w:t>29     BUDGETARY REPORTING (continued)</w:t>
      </w:r>
    </w:p>
    <w:p w14:paraId="44DEF0A5" w14:textId="77777777" w:rsidR="00941F8E" w:rsidRPr="00092B22" w:rsidRDefault="00941F8E" w:rsidP="00941F8E">
      <w:pPr>
        <w:spacing w:after="120" w:line="259" w:lineRule="auto"/>
        <w:rPr>
          <w:rFonts w:ascii="Meta Pro" w:eastAsia="Times New Roman" w:hAnsi="Meta Pro"/>
          <w:b/>
          <w:bCs/>
          <w:color w:val="000000"/>
          <w:lang w:eastAsia="en-AU"/>
        </w:rPr>
      </w:pPr>
      <w:r w:rsidRPr="00092B22">
        <w:rPr>
          <w:rFonts w:ascii="Meta Pro" w:eastAsia="Times New Roman" w:hAnsi="Meta Pro"/>
          <w:b/>
          <w:bCs/>
          <w:szCs w:val="18"/>
          <w:lang w:eastAsia="en-AU"/>
        </w:rPr>
        <w:t>STATEMENT OF CASH FLOWS (continued)</w:t>
      </w:r>
    </w:p>
    <w:p w14:paraId="37C2C68E" w14:textId="77777777" w:rsidR="00941F8E" w:rsidRPr="00092B22" w:rsidRDefault="00941F8E" w:rsidP="00941F8E">
      <w:pPr>
        <w:spacing w:after="120" w:line="259" w:lineRule="auto"/>
        <w:rPr>
          <w:rFonts w:ascii="Meta Pro" w:eastAsia="Times New Roman" w:hAnsi="Meta Pro"/>
          <w:color w:val="000000"/>
          <w:szCs w:val="18"/>
          <w:lang w:eastAsia="en-AU"/>
        </w:rPr>
      </w:pPr>
      <w:r w:rsidRPr="00092B22">
        <w:rPr>
          <w:rFonts w:ascii="Meta Pro" w:eastAsia="Times New Roman" w:hAnsi="Meta Pro"/>
          <w:b/>
          <w:bCs/>
          <w:color w:val="000000"/>
          <w:szCs w:val="18"/>
          <w:lang w:eastAsia="en-AU"/>
        </w:rPr>
        <w:t>Explanation of major variances (continued)</w:t>
      </w:r>
    </w:p>
    <w:p w14:paraId="4647FC8B" w14:textId="77777777" w:rsidR="00941F8E" w:rsidRPr="00092B22" w:rsidRDefault="00941F8E" w:rsidP="00941F8E">
      <w:pPr>
        <w:spacing w:line="259" w:lineRule="auto"/>
        <w:rPr>
          <w:rFonts w:ascii="Meta Pro" w:eastAsia="Times New Roman" w:hAnsi="Meta Pro"/>
          <w:color w:val="000000"/>
          <w:szCs w:val="18"/>
          <w:lang w:eastAsia="en-AU"/>
        </w:rPr>
      </w:pPr>
      <w:r w:rsidRPr="00092B22">
        <w:rPr>
          <w:rFonts w:ascii="Meta Pro" w:eastAsia="Times New Roman" w:hAnsi="Meta Pro"/>
          <w:b/>
          <w:bCs/>
          <w:i/>
          <w:iCs/>
          <w:color w:val="000000"/>
          <w:szCs w:val="18"/>
          <w:lang w:eastAsia="en-AU"/>
        </w:rPr>
        <w:t>Equity injections</w:t>
      </w:r>
      <w:r w:rsidRPr="00092B22">
        <w:rPr>
          <w:rFonts w:ascii="Meta Pro" w:eastAsia="Times New Roman" w:hAnsi="Meta Pro"/>
          <w:b/>
          <w:bCs/>
          <w:i/>
          <w:iCs/>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p>
    <w:p w14:paraId="52B03ADC" w14:textId="77777777" w:rsidR="00941F8E" w:rsidRPr="00092B22" w:rsidRDefault="00941F8E" w:rsidP="00941F8E">
      <w:pPr>
        <w:spacing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Variance of $463.86</w:t>
      </w:r>
      <w:r>
        <w:rPr>
          <w:rFonts w:ascii="Meta Pro" w:eastAsia="Times New Roman" w:hAnsi="Meta Pro"/>
          <w:color w:val="000000"/>
          <w:szCs w:val="18"/>
          <w:lang w:eastAsia="en-AU"/>
        </w:rPr>
        <w:t>8</w:t>
      </w:r>
      <w:r w:rsidRPr="00092B22">
        <w:rPr>
          <w:rFonts w:ascii="Meta Pro" w:eastAsia="Times New Roman" w:hAnsi="Meta Pro"/>
          <w:color w:val="000000"/>
          <w:szCs w:val="18"/>
          <w:lang w:eastAsia="en-AU"/>
        </w:rPr>
        <w:t>m mainly comprises:</w:t>
      </w:r>
    </w:p>
    <w:p w14:paraId="4DCEE602" w14:textId="77777777" w:rsidR="00941F8E" w:rsidRPr="00092B22" w:rsidRDefault="00941F8E" w:rsidP="00941F8E">
      <w:pPr>
        <w:spacing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 $406.725m </w:t>
      </w:r>
      <w:r>
        <w:rPr>
          <w:rFonts w:ascii="Meta Pro" w:eastAsia="Times New Roman" w:hAnsi="Meta Pro"/>
          <w:color w:val="000000"/>
          <w:szCs w:val="18"/>
          <w:lang w:eastAsia="en-AU"/>
        </w:rPr>
        <w:t xml:space="preserve">for </w:t>
      </w:r>
      <w:r w:rsidRPr="00092B22">
        <w:rPr>
          <w:rFonts w:ascii="Meta Pro" w:eastAsia="Times New Roman" w:hAnsi="Meta Pro"/>
          <w:color w:val="000000"/>
          <w:szCs w:val="18"/>
          <w:lang w:eastAsia="en-AU"/>
        </w:rPr>
        <w:t xml:space="preserve">accelerated </w:t>
      </w:r>
      <w:r>
        <w:rPr>
          <w:rFonts w:ascii="Meta Pro" w:eastAsia="Times New Roman" w:hAnsi="Meta Pro"/>
          <w:color w:val="000000"/>
          <w:szCs w:val="18"/>
          <w:lang w:eastAsia="en-AU"/>
        </w:rPr>
        <w:t>Queensland</w:t>
      </w:r>
      <w:r w:rsidRPr="00092B22">
        <w:rPr>
          <w:rFonts w:ascii="Meta Pro" w:eastAsia="Times New Roman" w:hAnsi="Meta Pro"/>
          <w:color w:val="000000"/>
          <w:szCs w:val="18"/>
          <w:lang w:eastAsia="en-AU"/>
        </w:rPr>
        <w:t xml:space="preserve"> and Australian Government funding to align with capital program delivery</w:t>
      </w:r>
    </w:p>
    <w:p w14:paraId="155ABDA3" w14:textId="77777777" w:rsidR="00941F8E" w:rsidRPr="00092B22" w:rsidRDefault="00941F8E" w:rsidP="00941F8E">
      <w:pPr>
        <w:spacing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 $150.0m cash injection to supplement working capital due to COVID-19 impacts</w:t>
      </w:r>
    </w:p>
    <w:p w14:paraId="5529C0B3" w14:textId="77777777" w:rsidR="00941F8E" w:rsidRDefault="00941F8E" w:rsidP="00941F8E">
      <w:pPr>
        <w:spacing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lastRenderedPageBreak/>
        <w:t xml:space="preserve">• $46.362m increase in funding for Coomera Connector Stage 1 in line with business case including provision for </w:t>
      </w:r>
      <w:r w:rsidRPr="001010C4">
        <w:rPr>
          <w:rFonts w:ascii="Meta Pro" w:eastAsia="Times New Roman" w:hAnsi="Meta Pro"/>
          <w:color w:val="000000"/>
          <w:szCs w:val="18"/>
          <w:lang w:eastAsia="en-AU"/>
        </w:rPr>
        <w:t>Best</w:t>
      </w:r>
    </w:p>
    <w:p w14:paraId="3DD26C7E" w14:textId="77777777" w:rsidR="00941F8E" w:rsidRPr="00092B22" w:rsidRDefault="00941F8E" w:rsidP="00941F8E">
      <w:pPr>
        <w:spacing w:line="259" w:lineRule="auto"/>
        <w:rPr>
          <w:rFonts w:ascii="Meta Pro" w:eastAsia="Times New Roman" w:hAnsi="Meta Pro"/>
          <w:color w:val="000000"/>
          <w:szCs w:val="18"/>
          <w:lang w:eastAsia="en-AU"/>
        </w:rPr>
      </w:pPr>
      <w:r>
        <w:rPr>
          <w:rFonts w:ascii="Meta Pro" w:eastAsia="Times New Roman" w:hAnsi="Meta Pro"/>
          <w:color w:val="000000"/>
          <w:szCs w:val="18"/>
          <w:lang w:eastAsia="en-AU"/>
        </w:rPr>
        <w:t xml:space="preserve">   </w:t>
      </w:r>
      <w:r w:rsidRPr="001010C4">
        <w:rPr>
          <w:rFonts w:ascii="Meta Pro" w:eastAsia="Times New Roman" w:hAnsi="Meta Pro"/>
          <w:color w:val="000000"/>
          <w:szCs w:val="18"/>
          <w:lang w:eastAsia="en-AU"/>
        </w:rPr>
        <w:t>Practice Industry Condition payments</w:t>
      </w:r>
    </w:p>
    <w:p w14:paraId="4C98F2F7" w14:textId="77777777" w:rsidR="00941F8E" w:rsidRPr="00092B22" w:rsidRDefault="00941F8E" w:rsidP="00941F8E">
      <w:pPr>
        <w:spacing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Offset by: </w:t>
      </w:r>
    </w:p>
    <w:p w14:paraId="22ADDBBA" w14:textId="77777777" w:rsidR="00941F8E" w:rsidRPr="00092B22" w:rsidRDefault="00941F8E" w:rsidP="00941F8E">
      <w:pPr>
        <w:spacing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 $65.90</w:t>
      </w:r>
      <w:r>
        <w:rPr>
          <w:rFonts w:ascii="Meta Pro" w:eastAsia="Times New Roman" w:hAnsi="Meta Pro"/>
          <w:color w:val="000000"/>
          <w:szCs w:val="18"/>
          <w:lang w:eastAsia="en-AU"/>
        </w:rPr>
        <w:t>0</w:t>
      </w:r>
      <w:r w:rsidRPr="00092B22">
        <w:rPr>
          <w:rFonts w:ascii="Meta Pro" w:eastAsia="Times New Roman" w:hAnsi="Meta Pro"/>
          <w:color w:val="000000"/>
          <w:szCs w:val="18"/>
          <w:lang w:eastAsia="en-AU"/>
        </w:rPr>
        <w:t>m decreased funding for Gold Coast Light Rail Stage 3 to align with project delivery</w:t>
      </w:r>
    </w:p>
    <w:p w14:paraId="02D33AED" w14:textId="77777777" w:rsidR="00941F8E" w:rsidRPr="00092B22" w:rsidRDefault="00941F8E" w:rsidP="00941F8E">
      <w:pPr>
        <w:spacing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t>• $44.634m decreased funding for Roads of Strategic Importance Initiative to align with project delivery.</w:t>
      </w:r>
    </w:p>
    <w:p w14:paraId="7C884D17" w14:textId="77777777" w:rsidR="00941F8E" w:rsidRPr="00092B22" w:rsidRDefault="00941F8E" w:rsidP="00941F8E">
      <w:pPr>
        <w:spacing w:line="259" w:lineRule="auto"/>
        <w:rPr>
          <w:rFonts w:ascii="Meta Pro" w:eastAsia="Times New Roman" w:hAnsi="Meta Pro"/>
          <w:color w:val="000000"/>
          <w:szCs w:val="18"/>
          <w:lang w:eastAsia="en-AU"/>
        </w:rPr>
      </w:pPr>
    </w:p>
    <w:tbl>
      <w:tblPr>
        <w:tblW w:w="0" w:type="auto"/>
        <w:tblCellMar>
          <w:left w:w="0" w:type="dxa"/>
        </w:tblCellMar>
        <w:tblLook w:val="04A0" w:firstRow="1" w:lastRow="0" w:firstColumn="1" w:lastColumn="0" w:noHBand="0" w:noVBand="1"/>
      </w:tblPr>
      <w:tblGrid>
        <w:gridCol w:w="5459"/>
        <w:gridCol w:w="1069"/>
        <w:gridCol w:w="201"/>
        <w:gridCol w:w="1072"/>
        <w:gridCol w:w="201"/>
        <w:gridCol w:w="1068"/>
      </w:tblGrid>
      <w:tr w:rsidR="00941F8E" w:rsidRPr="00DD5ECE" w14:paraId="0ED58F22" w14:textId="77777777" w:rsidTr="00E86873">
        <w:trPr>
          <w:trHeight w:val="227"/>
        </w:trPr>
        <w:tc>
          <w:tcPr>
            <w:tcW w:w="5842" w:type="dxa"/>
            <w:tcBorders>
              <w:top w:val="nil"/>
              <w:left w:val="nil"/>
              <w:bottom w:val="nil"/>
              <w:right w:val="nil"/>
            </w:tcBorders>
            <w:shd w:val="clear" w:color="auto" w:fill="auto"/>
            <w:noWrap/>
            <w:hideMark/>
          </w:tcPr>
          <w:p w14:paraId="14027800" w14:textId="77777777" w:rsidR="00941F8E" w:rsidRPr="00DD5ECE" w:rsidRDefault="00941F8E" w:rsidP="00E607DA">
            <w:pPr>
              <w:rPr>
                <w:rFonts w:ascii="Meta Pro" w:eastAsia="Times New Roman" w:hAnsi="Meta Pro"/>
                <w:b/>
                <w:bCs/>
                <w:szCs w:val="18"/>
                <w:lang w:eastAsia="en-AU"/>
              </w:rPr>
            </w:pPr>
            <w:r w:rsidRPr="00DD5ECE">
              <w:rPr>
                <w:rFonts w:ascii="Meta Pro" w:eastAsia="Times New Roman" w:hAnsi="Meta Pro"/>
                <w:b/>
                <w:bCs/>
                <w:szCs w:val="18"/>
                <w:lang w:eastAsia="en-AU"/>
              </w:rPr>
              <w:t>SCHEDULE OF ADMINISTERED ITEMS</w:t>
            </w:r>
          </w:p>
        </w:tc>
        <w:tc>
          <w:tcPr>
            <w:tcW w:w="1131" w:type="dxa"/>
            <w:tcBorders>
              <w:top w:val="nil"/>
              <w:left w:val="nil"/>
              <w:bottom w:val="nil"/>
              <w:right w:val="nil"/>
            </w:tcBorders>
            <w:shd w:val="clear" w:color="auto" w:fill="auto"/>
            <w:hideMark/>
          </w:tcPr>
          <w:p w14:paraId="3DC26028" w14:textId="77777777" w:rsidR="00941F8E" w:rsidRPr="00DD5ECE" w:rsidRDefault="00941F8E" w:rsidP="00E607DA">
            <w:pPr>
              <w:jc w:val="center"/>
              <w:rPr>
                <w:rFonts w:ascii="Meta Pro" w:eastAsia="Times New Roman" w:hAnsi="Meta Pro"/>
                <w:b/>
                <w:bCs/>
                <w:szCs w:val="18"/>
                <w:lang w:eastAsia="en-AU"/>
              </w:rPr>
            </w:pPr>
            <w:r w:rsidRPr="00DD5ECE">
              <w:rPr>
                <w:rFonts w:ascii="Meta Pro" w:eastAsia="Times New Roman" w:hAnsi="Meta Pro"/>
                <w:b/>
                <w:bCs/>
                <w:szCs w:val="18"/>
                <w:lang w:eastAsia="en-AU"/>
              </w:rPr>
              <w:t xml:space="preserve">Original budget </w:t>
            </w:r>
          </w:p>
        </w:tc>
        <w:tc>
          <w:tcPr>
            <w:tcW w:w="200" w:type="dxa"/>
            <w:tcBorders>
              <w:top w:val="nil"/>
              <w:left w:val="nil"/>
              <w:bottom w:val="nil"/>
              <w:right w:val="nil"/>
            </w:tcBorders>
            <w:shd w:val="clear" w:color="auto" w:fill="auto"/>
            <w:hideMark/>
          </w:tcPr>
          <w:p w14:paraId="64EFB54C" w14:textId="77777777" w:rsidR="00941F8E" w:rsidRPr="00DD5ECE" w:rsidRDefault="00941F8E" w:rsidP="00E607DA">
            <w:pPr>
              <w:jc w:val="center"/>
              <w:rPr>
                <w:rFonts w:ascii="Meta Pro" w:eastAsia="Times New Roman" w:hAnsi="Meta Pro"/>
                <w:b/>
                <w:bCs/>
                <w:szCs w:val="18"/>
                <w:lang w:eastAsia="en-AU"/>
              </w:rPr>
            </w:pPr>
          </w:p>
        </w:tc>
        <w:tc>
          <w:tcPr>
            <w:tcW w:w="1135" w:type="dxa"/>
            <w:tcBorders>
              <w:top w:val="nil"/>
              <w:left w:val="nil"/>
              <w:bottom w:val="nil"/>
              <w:right w:val="nil"/>
            </w:tcBorders>
            <w:shd w:val="clear" w:color="auto" w:fill="auto"/>
            <w:hideMark/>
          </w:tcPr>
          <w:p w14:paraId="5B0B0B7C" w14:textId="77777777" w:rsidR="00941F8E" w:rsidRPr="00DD5ECE" w:rsidRDefault="00941F8E" w:rsidP="00E607DA">
            <w:pPr>
              <w:jc w:val="center"/>
              <w:rPr>
                <w:rFonts w:ascii="Meta Pro" w:eastAsia="Times New Roman" w:hAnsi="Meta Pro"/>
                <w:b/>
                <w:bCs/>
                <w:szCs w:val="18"/>
                <w:lang w:eastAsia="en-AU"/>
              </w:rPr>
            </w:pPr>
            <w:r w:rsidRPr="00DD5ECE">
              <w:rPr>
                <w:rFonts w:ascii="Meta Pro" w:eastAsia="Times New Roman" w:hAnsi="Meta Pro"/>
                <w:b/>
                <w:bCs/>
                <w:szCs w:val="18"/>
                <w:lang w:eastAsia="en-AU"/>
              </w:rPr>
              <w:t>Actual</w:t>
            </w:r>
            <w:r w:rsidRPr="00DD5ECE">
              <w:rPr>
                <w:rFonts w:ascii="Meta Pro" w:eastAsia="Times New Roman" w:hAnsi="Meta Pro"/>
                <w:b/>
                <w:bCs/>
                <w:szCs w:val="18"/>
                <w:lang w:eastAsia="en-AU"/>
              </w:rPr>
              <w:br/>
              <w:t>result</w:t>
            </w:r>
          </w:p>
        </w:tc>
        <w:tc>
          <w:tcPr>
            <w:tcW w:w="200" w:type="dxa"/>
            <w:tcBorders>
              <w:top w:val="nil"/>
              <w:left w:val="nil"/>
              <w:bottom w:val="nil"/>
              <w:right w:val="nil"/>
            </w:tcBorders>
            <w:shd w:val="clear" w:color="auto" w:fill="auto"/>
            <w:hideMark/>
          </w:tcPr>
          <w:p w14:paraId="51C47CF2" w14:textId="77777777" w:rsidR="00941F8E" w:rsidRPr="00DD5ECE" w:rsidRDefault="00941F8E" w:rsidP="00E607DA">
            <w:pPr>
              <w:jc w:val="center"/>
              <w:rPr>
                <w:rFonts w:ascii="Meta Pro" w:eastAsia="Times New Roman" w:hAnsi="Meta Pro"/>
                <w:b/>
                <w:bCs/>
                <w:szCs w:val="18"/>
                <w:lang w:eastAsia="en-AU"/>
              </w:rPr>
            </w:pPr>
          </w:p>
        </w:tc>
        <w:tc>
          <w:tcPr>
            <w:tcW w:w="1130" w:type="dxa"/>
            <w:tcBorders>
              <w:top w:val="nil"/>
              <w:left w:val="nil"/>
              <w:bottom w:val="nil"/>
              <w:right w:val="nil"/>
            </w:tcBorders>
            <w:shd w:val="clear" w:color="auto" w:fill="auto"/>
            <w:hideMark/>
          </w:tcPr>
          <w:p w14:paraId="79FA3524" w14:textId="77777777" w:rsidR="00941F8E" w:rsidRPr="00DD5ECE" w:rsidRDefault="00941F8E" w:rsidP="00E607DA">
            <w:pPr>
              <w:jc w:val="center"/>
              <w:rPr>
                <w:rFonts w:ascii="Meta Pro" w:eastAsia="Times New Roman" w:hAnsi="Meta Pro"/>
                <w:b/>
                <w:bCs/>
                <w:szCs w:val="18"/>
                <w:lang w:eastAsia="en-AU"/>
              </w:rPr>
            </w:pPr>
            <w:r w:rsidRPr="00DD5ECE">
              <w:rPr>
                <w:rFonts w:ascii="Meta Pro" w:eastAsia="Times New Roman" w:hAnsi="Meta Pro"/>
                <w:b/>
                <w:bCs/>
                <w:szCs w:val="18"/>
                <w:lang w:eastAsia="en-AU"/>
              </w:rPr>
              <w:t>Variance</w:t>
            </w:r>
          </w:p>
        </w:tc>
      </w:tr>
      <w:tr w:rsidR="00941F8E" w:rsidRPr="00DD5ECE" w14:paraId="0804D089" w14:textId="77777777" w:rsidTr="00E86873">
        <w:trPr>
          <w:trHeight w:val="227"/>
        </w:trPr>
        <w:tc>
          <w:tcPr>
            <w:tcW w:w="5842" w:type="dxa"/>
            <w:tcBorders>
              <w:top w:val="nil"/>
              <w:left w:val="nil"/>
              <w:bottom w:val="nil"/>
              <w:right w:val="nil"/>
            </w:tcBorders>
            <w:shd w:val="clear" w:color="auto" w:fill="auto"/>
            <w:noWrap/>
            <w:vAlign w:val="center"/>
            <w:hideMark/>
          </w:tcPr>
          <w:p w14:paraId="31E0B1F1" w14:textId="77777777" w:rsidR="00941F8E" w:rsidRPr="00DD5ECE" w:rsidRDefault="00941F8E" w:rsidP="00E607DA">
            <w:pPr>
              <w:jc w:val="center"/>
              <w:rPr>
                <w:rFonts w:ascii="Meta Pro" w:eastAsia="Times New Roman" w:hAnsi="Meta Pro"/>
                <w:b/>
                <w:bCs/>
                <w:szCs w:val="18"/>
                <w:lang w:eastAsia="en-AU"/>
              </w:rPr>
            </w:pPr>
          </w:p>
        </w:tc>
        <w:tc>
          <w:tcPr>
            <w:tcW w:w="1131" w:type="dxa"/>
            <w:tcBorders>
              <w:top w:val="nil"/>
              <w:left w:val="nil"/>
              <w:bottom w:val="nil"/>
              <w:right w:val="nil"/>
            </w:tcBorders>
            <w:shd w:val="clear" w:color="auto" w:fill="auto"/>
            <w:hideMark/>
          </w:tcPr>
          <w:p w14:paraId="141732EF" w14:textId="77777777" w:rsidR="00941F8E" w:rsidRPr="00DD5ECE" w:rsidRDefault="00941F8E" w:rsidP="00E607DA">
            <w:pPr>
              <w:jc w:val="center"/>
              <w:rPr>
                <w:rFonts w:ascii="Meta Pro" w:eastAsia="Times New Roman" w:hAnsi="Meta Pro"/>
                <w:b/>
                <w:bCs/>
                <w:szCs w:val="18"/>
                <w:lang w:eastAsia="en-AU"/>
              </w:rPr>
            </w:pPr>
            <w:r w:rsidRPr="00DD5ECE">
              <w:rPr>
                <w:rFonts w:ascii="Meta Pro" w:eastAsia="Times New Roman" w:hAnsi="Meta Pro"/>
                <w:b/>
                <w:bCs/>
                <w:szCs w:val="18"/>
                <w:lang w:eastAsia="en-AU"/>
              </w:rPr>
              <w:t>2022</w:t>
            </w:r>
            <w:r w:rsidRPr="00DD5ECE">
              <w:rPr>
                <w:rFonts w:ascii="Meta Pro" w:eastAsia="Times New Roman" w:hAnsi="Meta Pro"/>
                <w:b/>
                <w:bCs/>
                <w:szCs w:val="18"/>
                <w:lang w:eastAsia="en-AU"/>
              </w:rPr>
              <w:br/>
              <w:t>$'000</w:t>
            </w:r>
          </w:p>
        </w:tc>
        <w:tc>
          <w:tcPr>
            <w:tcW w:w="200" w:type="dxa"/>
            <w:tcBorders>
              <w:top w:val="nil"/>
              <w:left w:val="nil"/>
              <w:bottom w:val="nil"/>
              <w:right w:val="nil"/>
            </w:tcBorders>
            <w:shd w:val="clear" w:color="auto" w:fill="auto"/>
            <w:hideMark/>
          </w:tcPr>
          <w:p w14:paraId="5909C022" w14:textId="77777777" w:rsidR="00941F8E" w:rsidRPr="00DD5ECE" w:rsidRDefault="00941F8E" w:rsidP="00E607DA">
            <w:pPr>
              <w:jc w:val="center"/>
              <w:rPr>
                <w:rFonts w:ascii="Meta Pro" w:eastAsia="Times New Roman" w:hAnsi="Meta Pro"/>
                <w:b/>
                <w:bCs/>
                <w:szCs w:val="18"/>
                <w:lang w:eastAsia="en-AU"/>
              </w:rPr>
            </w:pPr>
          </w:p>
        </w:tc>
        <w:tc>
          <w:tcPr>
            <w:tcW w:w="1135" w:type="dxa"/>
            <w:tcBorders>
              <w:top w:val="nil"/>
              <w:left w:val="nil"/>
              <w:bottom w:val="nil"/>
              <w:right w:val="nil"/>
            </w:tcBorders>
            <w:shd w:val="clear" w:color="auto" w:fill="auto"/>
            <w:hideMark/>
          </w:tcPr>
          <w:p w14:paraId="661CB2DD" w14:textId="77777777" w:rsidR="00941F8E" w:rsidRPr="00DD5ECE" w:rsidRDefault="00941F8E" w:rsidP="00E607DA">
            <w:pPr>
              <w:jc w:val="center"/>
              <w:rPr>
                <w:rFonts w:ascii="Meta Pro" w:eastAsia="Times New Roman" w:hAnsi="Meta Pro"/>
                <w:b/>
                <w:bCs/>
                <w:szCs w:val="18"/>
                <w:lang w:eastAsia="en-AU"/>
              </w:rPr>
            </w:pPr>
            <w:r w:rsidRPr="00DD5ECE">
              <w:rPr>
                <w:rFonts w:ascii="Meta Pro" w:eastAsia="Times New Roman" w:hAnsi="Meta Pro"/>
                <w:b/>
                <w:bCs/>
                <w:szCs w:val="18"/>
                <w:lang w:eastAsia="en-AU"/>
              </w:rPr>
              <w:t>2022</w:t>
            </w:r>
            <w:r w:rsidRPr="00DD5ECE">
              <w:rPr>
                <w:rFonts w:ascii="Meta Pro" w:eastAsia="Times New Roman" w:hAnsi="Meta Pro"/>
                <w:b/>
                <w:bCs/>
                <w:szCs w:val="18"/>
                <w:lang w:eastAsia="en-AU"/>
              </w:rPr>
              <w:br/>
              <w:t>$'000</w:t>
            </w:r>
          </w:p>
        </w:tc>
        <w:tc>
          <w:tcPr>
            <w:tcW w:w="200" w:type="dxa"/>
            <w:tcBorders>
              <w:top w:val="nil"/>
              <w:left w:val="nil"/>
              <w:bottom w:val="nil"/>
              <w:right w:val="nil"/>
            </w:tcBorders>
            <w:shd w:val="clear" w:color="auto" w:fill="auto"/>
            <w:hideMark/>
          </w:tcPr>
          <w:p w14:paraId="7606B24E" w14:textId="77777777" w:rsidR="00941F8E" w:rsidRPr="00DD5ECE" w:rsidRDefault="00941F8E" w:rsidP="00E607DA">
            <w:pPr>
              <w:jc w:val="center"/>
              <w:rPr>
                <w:rFonts w:ascii="Meta Pro" w:eastAsia="Times New Roman" w:hAnsi="Meta Pro"/>
                <w:b/>
                <w:bCs/>
                <w:szCs w:val="18"/>
                <w:lang w:eastAsia="en-AU"/>
              </w:rPr>
            </w:pPr>
          </w:p>
        </w:tc>
        <w:tc>
          <w:tcPr>
            <w:tcW w:w="1130" w:type="dxa"/>
            <w:tcBorders>
              <w:top w:val="nil"/>
              <w:left w:val="nil"/>
              <w:bottom w:val="nil"/>
              <w:right w:val="nil"/>
            </w:tcBorders>
            <w:shd w:val="clear" w:color="auto" w:fill="auto"/>
            <w:hideMark/>
          </w:tcPr>
          <w:p w14:paraId="79F35B5C" w14:textId="77777777" w:rsidR="00941F8E" w:rsidRPr="00DD5ECE" w:rsidRDefault="00941F8E" w:rsidP="00E607DA">
            <w:pPr>
              <w:jc w:val="center"/>
              <w:rPr>
                <w:rFonts w:ascii="Meta Pro" w:eastAsia="Times New Roman" w:hAnsi="Meta Pro"/>
                <w:b/>
                <w:bCs/>
                <w:szCs w:val="18"/>
                <w:lang w:eastAsia="en-AU"/>
              </w:rPr>
            </w:pPr>
            <w:r w:rsidRPr="00DD5ECE">
              <w:rPr>
                <w:rFonts w:ascii="Meta Pro" w:eastAsia="Times New Roman" w:hAnsi="Meta Pro"/>
                <w:b/>
                <w:bCs/>
                <w:szCs w:val="18"/>
                <w:lang w:eastAsia="en-AU"/>
              </w:rPr>
              <w:t>2022</w:t>
            </w:r>
            <w:r w:rsidRPr="00DD5ECE">
              <w:rPr>
                <w:rFonts w:ascii="Meta Pro" w:eastAsia="Times New Roman" w:hAnsi="Meta Pro"/>
                <w:b/>
                <w:bCs/>
                <w:szCs w:val="18"/>
                <w:lang w:eastAsia="en-AU"/>
              </w:rPr>
              <w:br/>
              <w:t>$'000</w:t>
            </w:r>
          </w:p>
        </w:tc>
      </w:tr>
      <w:tr w:rsidR="00941F8E" w:rsidRPr="00DD5ECE" w14:paraId="44F36F31" w14:textId="77777777" w:rsidTr="00E86873">
        <w:trPr>
          <w:trHeight w:val="227"/>
        </w:trPr>
        <w:tc>
          <w:tcPr>
            <w:tcW w:w="5842" w:type="dxa"/>
            <w:tcBorders>
              <w:top w:val="nil"/>
              <w:left w:val="nil"/>
              <w:bottom w:val="nil"/>
              <w:right w:val="nil"/>
            </w:tcBorders>
            <w:shd w:val="clear" w:color="auto" w:fill="auto"/>
            <w:noWrap/>
            <w:vAlign w:val="center"/>
            <w:hideMark/>
          </w:tcPr>
          <w:p w14:paraId="3BC0D1D7" w14:textId="77777777" w:rsidR="00941F8E" w:rsidRPr="00DD5ECE" w:rsidRDefault="00941F8E" w:rsidP="00E607DA">
            <w:pPr>
              <w:rPr>
                <w:rFonts w:ascii="Meta Pro" w:eastAsia="Times New Roman" w:hAnsi="Meta Pro"/>
                <w:b/>
                <w:bCs/>
                <w:szCs w:val="18"/>
                <w:lang w:eastAsia="en-AU"/>
              </w:rPr>
            </w:pPr>
            <w:r w:rsidRPr="00DD5ECE">
              <w:rPr>
                <w:rFonts w:ascii="Meta Pro" w:eastAsia="Times New Roman" w:hAnsi="Meta Pro"/>
                <w:b/>
                <w:bCs/>
                <w:szCs w:val="18"/>
                <w:lang w:eastAsia="en-AU"/>
              </w:rPr>
              <w:t>Administered income</w:t>
            </w:r>
          </w:p>
        </w:tc>
        <w:tc>
          <w:tcPr>
            <w:tcW w:w="1131" w:type="dxa"/>
            <w:tcBorders>
              <w:top w:val="nil"/>
              <w:left w:val="nil"/>
              <w:bottom w:val="nil"/>
              <w:right w:val="nil"/>
            </w:tcBorders>
            <w:shd w:val="clear" w:color="auto" w:fill="auto"/>
            <w:vAlign w:val="center"/>
            <w:hideMark/>
          </w:tcPr>
          <w:p w14:paraId="6F3EF62D" w14:textId="77777777" w:rsidR="00941F8E" w:rsidRPr="00DD5ECE" w:rsidRDefault="00941F8E" w:rsidP="00E607DA">
            <w:pPr>
              <w:rPr>
                <w:rFonts w:ascii="Meta Pro" w:eastAsia="Times New Roman" w:hAnsi="Meta Pro"/>
                <w:b/>
                <w:bCs/>
                <w:szCs w:val="18"/>
                <w:lang w:eastAsia="en-AU"/>
              </w:rPr>
            </w:pPr>
          </w:p>
        </w:tc>
        <w:tc>
          <w:tcPr>
            <w:tcW w:w="200" w:type="dxa"/>
            <w:tcBorders>
              <w:top w:val="nil"/>
              <w:left w:val="nil"/>
              <w:bottom w:val="nil"/>
              <w:right w:val="nil"/>
            </w:tcBorders>
            <w:shd w:val="clear" w:color="auto" w:fill="auto"/>
            <w:vAlign w:val="center"/>
            <w:hideMark/>
          </w:tcPr>
          <w:p w14:paraId="5D770AB7" w14:textId="77777777" w:rsidR="00941F8E" w:rsidRPr="00DD5ECE" w:rsidRDefault="00941F8E" w:rsidP="00E607DA">
            <w:pPr>
              <w:rPr>
                <w:rFonts w:eastAsia="Times New Roman" w:cs="Times New Roman"/>
                <w:sz w:val="20"/>
                <w:szCs w:val="20"/>
                <w:lang w:eastAsia="en-AU"/>
              </w:rPr>
            </w:pPr>
          </w:p>
        </w:tc>
        <w:tc>
          <w:tcPr>
            <w:tcW w:w="1135" w:type="dxa"/>
            <w:tcBorders>
              <w:top w:val="nil"/>
              <w:left w:val="nil"/>
              <w:bottom w:val="nil"/>
              <w:right w:val="nil"/>
            </w:tcBorders>
            <w:shd w:val="clear" w:color="auto" w:fill="auto"/>
            <w:vAlign w:val="center"/>
            <w:hideMark/>
          </w:tcPr>
          <w:p w14:paraId="3AE2FDC0" w14:textId="77777777" w:rsidR="00941F8E" w:rsidRPr="00DD5ECE" w:rsidRDefault="00941F8E" w:rsidP="00E607DA">
            <w:pPr>
              <w:jc w:val="center"/>
              <w:rPr>
                <w:rFonts w:eastAsia="Times New Roman" w:cs="Times New Roman"/>
                <w:sz w:val="20"/>
                <w:szCs w:val="20"/>
                <w:lang w:eastAsia="en-AU"/>
              </w:rPr>
            </w:pPr>
          </w:p>
        </w:tc>
        <w:tc>
          <w:tcPr>
            <w:tcW w:w="200" w:type="dxa"/>
            <w:tcBorders>
              <w:top w:val="nil"/>
              <w:left w:val="nil"/>
              <w:bottom w:val="nil"/>
              <w:right w:val="nil"/>
            </w:tcBorders>
            <w:shd w:val="clear" w:color="auto" w:fill="auto"/>
            <w:vAlign w:val="center"/>
            <w:hideMark/>
          </w:tcPr>
          <w:p w14:paraId="312D7E7A" w14:textId="77777777" w:rsidR="00941F8E" w:rsidRPr="00DD5ECE" w:rsidRDefault="00941F8E" w:rsidP="00E607DA">
            <w:pPr>
              <w:rPr>
                <w:rFonts w:eastAsia="Times New Roman" w:cs="Times New Roman"/>
                <w:sz w:val="20"/>
                <w:szCs w:val="20"/>
                <w:lang w:eastAsia="en-AU"/>
              </w:rPr>
            </w:pPr>
          </w:p>
        </w:tc>
        <w:tc>
          <w:tcPr>
            <w:tcW w:w="1130" w:type="dxa"/>
            <w:tcBorders>
              <w:top w:val="nil"/>
              <w:left w:val="nil"/>
              <w:bottom w:val="nil"/>
              <w:right w:val="nil"/>
            </w:tcBorders>
            <w:shd w:val="clear" w:color="auto" w:fill="auto"/>
            <w:noWrap/>
            <w:vAlign w:val="center"/>
            <w:hideMark/>
          </w:tcPr>
          <w:p w14:paraId="3959CBFD" w14:textId="77777777" w:rsidR="00941F8E" w:rsidRPr="00DD5ECE" w:rsidRDefault="00941F8E" w:rsidP="00E607DA">
            <w:pPr>
              <w:jc w:val="center"/>
              <w:rPr>
                <w:rFonts w:eastAsia="Times New Roman" w:cs="Times New Roman"/>
                <w:sz w:val="20"/>
                <w:szCs w:val="20"/>
                <w:lang w:eastAsia="en-AU"/>
              </w:rPr>
            </w:pPr>
          </w:p>
        </w:tc>
      </w:tr>
      <w:tr w:rsidR="00941F8E" w:rsidRPr="00DD5ECE" w14:paraId="4047DA3A" w14:textId="77777777" w:rsidTr="00E86873">
        <w:trPr>
          <w:trHeight w:val="227"/>
        </w:trPr>
        <w:tc>
          <w:tcPr>
            <w:tcW w:w="5842" w:type="dxa"/>
            <w:tcBorders>
              <w:top w:val="nil"/>
              <w:left w:val="nil"/>
              <w:bottom w:val="nil"/>
              <w:right w:val="nil"/>
            </w:tcBorders>
            <w:shd w:val="clear" w:color="auto" w:fill="auto"/>
            <w:noWrap/>
            <w:vAlign w:val="center"/>
            <w:hideMark/>
          </w:tcPr>
          <w:p w14:paraId="49FD932D" w14:textId="77777777" w:rsidR="00941F8E" w:rsidRPr="00DD5ECE" w:rsidRDefault="00941F8E" w:rsidP="00E607DA">
            <w:pPr>
              <w:rPr>
                <w:rFonts w:ascii="Meta Pro" w:eastAsia="Times New Roman" w:hAnsi="Meta Pro"/>
                <w:szCs w:val="18"/>
                <w:lang w:eastAsia="en-AU"/>
              </w:rPr>
            </w:pPr>
            <w:r w:rsidRPr="00DD5ECE">
              <w:rPr>
                <w:rFonts w:ascii="Meta Pro" w:eastAsia="Times New Roman" w:hAnsi="Meta Pro"/>
                <w:szCs w:val="18"/>
                <w:lang w:eastAsia="en-AU"/>
              </w:rPr>
              <w:t>Administered appropriation</w:t>
            </w:r>
          </w:p>
        </w:tc>
        <w:tc>
          <w:tcPr>
            <w:tcW w:w="1131" w:type="dxa"/>
            <w:tcBorders>
              <w:top w:val="nil"/>
              <w:left w:val="nil"/>
              <w:bottom w:val="nil"/>
              <w:right w:val="nil"/>
            </w:tcBorders>
            <w:shd w:val="clear" w:color="auto" w:fill="auto"/>
            <w:noWrap/>
            <w:vAlign w:val="center"/>
            <w:hideMark/>
          </w:tcPr>
          <w:p w14:paraId="2004002A" w14:textId="77777777" w:rsidR="00941F8E" w:rsidRPr="00DD5ECE" w:rsidRDefault="00941F8E" w:rsidP="00E607DA">
            <w:pPr>
              <w:jc w:val="right"/>
              <w:rPr>
                <w:rFonts w:ascii="Meta Pro" w:eastAsia="Times New Roman" w:hAnsi="Meta Pro"/>
                <w:szCs w:val="18"/>
                <w:lang w:eastAsia="en-AU"/>
              </w:rPr>
            </w:pPr>
            <w:r w:rsidRPr="00DD5ECE">
              <w:rPr>
                <w:rFonts w:ascii="Meta Pro" w:eastAsia="Times New Roman" w:hAnsi="Meta Pro"/>
                <w:szCs w:val="18"/>
                <w:lang w:eastAsia="en-AU"/>
              </w:rPr>
              <w:t xml:space="preserve">109,746 </w:t>
            </w:r>
          </w:p>
        </w:tc>
        <w:tc>
          <w:tcPr>
            <w:tcW w:w="200" w:type="dxa"/>
            <w:tcBorders>
              <w:top w:val="nil"/>
              <w:left w:val="nil"/>
              <w:bottom w:val="nil"/>
              <w:right w:val="nil"/>
            </w:tcBorders>
            <w:shd w:val="clear" w:color="auto" w:fill="auto"/>
            <w:noWrap/>
            <w:vAlign w:val="center"/>
            <w:hideMark/>
          </w:tcPr>
          <w:p w14:paraId="5487046D" w14:textId="77777777" w:rsidR="00941F8E" w:rsidRPr="00DD5ECE" w:rsidRDefault="00941F8E" w:rsidP="00E607DA">
            <w:pPr>
              <w:jc w:val="right"/>
              <w:rPr>
                <w:rFonts w:ascii="Meta Pro" w:eastAsia="Times New Roman" w:hAnsi="Meta Pro"/>
                <w:szCs w:val="18"/>
                <w:lang w:eastAsia="en-AU"/>
              </w:rPr>
            </w:pPr>
          </w:p>
        </w:tc>
        <w:tc>
          <w:tcPr>
            <w:tcW w:w="1135" w:type="dxa"/>
            <w:tcBorders>
              <w:top w:val="nil"/>
              <w:left w:val="nil"/>
              <w:bottom w:val="nil"/>
              <w:right w:val="nil"/>
            </w:tcBorders>
            <w:shd w:val="clear" w:color="auto" w:fill="auto"/>
            <w:noWrap/>
            <w:vAlign w:val="center"/>
            <w:hideMark/>
          </w:tcPr>
          <w:p w14:paraId="5AC1BA23" w14:textId="77777777" w:rsidR="00941F8E" w:rsidRPr="00DD5ECE" w:rsidRDefault="00941F8E" w:rsidP="00E607DA">
            <w:pPr>
              <w:jc w:val="right"/>
              <w:rPr>
                <w:rFonts w:ascii="Meta Pro" w:eastAsia="Times New Roman" w:hAnsi="Meta Pro"/>
                <w:szCs w:val="18"/>
                <w:lang w:eastAsia="en-AU"/>
              </w:rPr>
            </w:pPr>
            <w:r w:rsidRPr="00DD5ECE">
              <w:rPr>
                <w:rFonts w:ascii="Meta Pro" w:eastAsia="Times New Roman" w:hAnsi="Meta Pro"/>
                <w:szCs w:val="18"/>
                <w:lang w:eastAsia="en-AU"/>
              </w:rPr>
              <w:t xml:space="preserve">77,841 </w:t>
            </w:r>
          </w:p>
        </w:tc>
        <w:tc>
          <w:tcPr>
            <w:tcW w:w="200" w:type="dxa"/>
            <w:tcBorders>
              <w:top w:val="nil"/>
              <w:left w:val="nil"/>
              <w:bottom w:val="nil"/>
              <w:right w:val="nil"/>
            </w:tcBorders>
            <w:shd w:val="clear" w:color="auto" w:fill="auto"/>
            <w:noWrap/>
            <w:vAlign w:val="center"/>
            <w:hideMark/>
          </w:tcPr>
          <w:p w14:paraId="550ECA2C" w14:textId="77777777" w:rsidR="00941F8E" w:rsidRPr="00DD5ECE" w:rsidRDefault="00941F8E" w:rsidP="00E607DA">
            <w:pPr>
              <w:jc w:val="right"/>
              <w:rPr>
                <w:rFonts w:ascii="Meta Pro" w:eastAsia="Times New Roman" w:hAnsi="Meta Pro"/>
                <w:szCs w:val="18"/>
                <w:lang w:eastAsia="en-AU"/>
              </w:rPr>
            </w:pPr>
          </w:p>
        </w:tc>
        <w:tc>
          <w:tcPr>
            <w:tcW w:w="1130" w:type="dxa"/>
            <w:tcBorders>
              <w:top w:val="nil"/>
              <w:left w:val="nil"/>
              <w:bottom w:val="nil"/>
              <w:right w:val="nil"/>
            </w:tcBorders>
            <w:shd w:val="clear" w:color="auto" w:fill="auto"/>
            <w:noWrap/>
            <w:vAlign w:val="center"/>
            <w:hideMark/>
          </w:tcPr>
          <w:p w14:paraId="336EE4AF" w14:textId="77777777" w:rsidR="00941F8E" w:rsidRPr="00DD5ECE" w:rsidRDefault="00941F8E" w:rsidP="00E607DA">
            <w:pPr>
              <w:jc w:val="right"/>
              <w:rPr>
                <w:rFonts w:ascii="Meta Pro" w:eastAsia="Times New Roman" w:hAnsi="Meta Pro"/>
                <w:szCs w:val="18"/>
                <w:lang w:eastAsia="en-AU"/>
              </w:rPr>
            </w:pPr>
            <w:r w:rsidRPr="00DD5ECE">
              <w:rPr>
                <w:rFonts w:ascii="Meta Pro" w:eastAsia="Times New Roman" w:hAnsi="Meta Pro"/>
                <w:szCs w:val="18"/>
                <w:lang w:eastAsia="en-AU"/>
              </w:rPr>
              <w:t>(31,905)</w:t>
            </w:r>
          </w:p>
        </w:tc>
      </w:tr>
      <w:tr w:rsidR="00941F8E" w:rsidRPr="00DD5ECE" w14:paraId="6478FCA2" w14:textId="77777777" w:rsidTr="00E86873">
        <w:trPr>
          <w:trHeight w:val="227"/>
        </w:trPr>
        <w:tc>
          <w:tcPr>
            <w:tcW w:w="5842" w:type="dxa"/>
            <w:tcBorders>
              <w:top w:val="nil"/>
              <w:left w:val="nil"/>
              <w:bottom w:val="nil"/>
              <w:right w:val="nil"/>
            </w:tcBorders>
            <w:shd w:val="clear" w:color="auto" w:fill="auto"/>
            <w:noWrap/>
            <w:vAlign w:val="center"/>
            <w:hideMark/>
          </w:tcPr>
          <w:p w14:paraId="1F8BB5F1" w14:textId="77777777" w:rsidR="00941F8E" w:rsidRPr="00DD5ECE" w:rsidRDefault="00941F8E" w:rsidP="00E607DA">
            <w:pPr>
              <w:rPr>
                <w:rFonts w:ascii="Meta Pro" w:eastAsia="Times New Roman" w:hAnsi="Meta Pro"/>
                <w:szCs w:val="18"/>
                <w:lang w:eastAsia="en-AU"/>
              </w:rPr>
            </w:pPr>
            <w:r w:rsidRPr="00DD5ECE">
              <w:rPr>
                <w:rFonts w:ascii="Meta Pro" w:eastAsia="Times New Roman" w:hAnsi="Meta Pro"/>
                <w:szCs w:val="18"/>
                <w:lang w:eastAsia="en-AU"/>
              </w:rPr>
              <w:t>Grants and other contributions</w:t>
            </w:r>
          </w:p>
        </w:tc>
        <w:tc>
          <w:tcPr>
            <w:tcW w:w="1131" w:type="dxa"/>
            <w:tcBorders>
              <w:top w:val="nil"/>
              <w:left w:val="nil"/>
              <w:bottom w:val="nil"/>
              <w:right w:val="nil"/>
            </w:tcBorders>
            <w:shd w:val="clear" w:color="auto" w:fill="auto"/>
            <w:noWrap/>
            <w:vAlign w:val="center"/>
            <w:hideMark/>
          </w:tcPr>
          <w:p w14:paraId="4DCFB458" w14:textId="77777777" w:rsidR="00941F8E" w:rsidRPr="00DD5ECE" w:rsidRDefault="00941F8E" w:rsidP="00E607DA">
            <w:pPr>
              <w:jc w:val="right"/>
              <w:rPr>
                <w:rFonts w:ascii="Meta Pro" w:eastAsia="Times New Roman" w:hAnsi="Meta Pro"/>
                <w:szCs w:val="18"/>
                <w:lang w:eastAsia="en-AU"/>
              </w:rPr>
            </w:pPr>
            <w:r w:rsidRPr="00DD5ECE">
              <w:rPr>
                <w:rFonts w:ascii="Meta Pro" w:eastAsia="Times New Roman" w:hAnsi="Meta Pro"/>
                <w:szCs w:val="18"/>
                <w:lang w:eastAsia="en-AU"/>
              </w:rPr>
              <w:t xml:space="preserve">- </w:t>
            </w:r>
          </w:p>
        </w:tc>
        <w:tc>
          <w:tcPr>
            <w:tcW w:w="200" w:type="dxa"/>
            <w:tcBorders>
              <w:top w:val="nil"/>
              <w:left w:val="nil"/>
              <w:bottom w:val="nil"/>
              <w:right w:val="nil"/>
            </w:tcBorders>
            <w:shd w:val="clear" w:color="auto" w:fill="auto"/>
            <w:noWrap/>
            <w:vAlign w:val="center"/>
            <w:hideMark/>
          </w:tcPr>
          <w:p w14:paraId="34466CFC" w14:textId="77777777" w:rsidR="00941F8E" w:rsidRPr="00DD5ECE" w:rsidRDefault="00941F8E" w:rsidP="00E607DA">
            <w:pPr>
              <w:jc w:val="right"/>
              <w:rPr>
                <w:rFonts w:ascii="Meta Pro" w:eastAsia="Times New Roman" w:hAnsi="Meta Pro"/>
                <w:szCs w:val="18"/>
                <w:lang w:eastAsia="en-AU"/>
              </w:rPr>
            </w:pPr>
          </w:p>
        </w:tc>
        <w:tc>
          <w:tcPr>
            <w:tcW w:w="1135" w:type="dxa"/>
            <w:tcBorders>
              <w:top w:val="nil"/>
              <w:left w:val="nil"/>
              <w:bottom w:val="nil"/>
              <w:right w:val="nil"/>
            </w:tcBorders>
            <w:shd w:val="clear" w:color="auto" w:fill="auto"/>
            <w:noWrap/>
            <w:vAlign w:val="center"/>
            <w:hideMark/>
          </w:tcPr>
          <w:p w14:paraId="0CCFD14C" w14:textId="77777777" w:rsidR="00941F8E" w:rsidRPr="00DD5ECE" w:rsidRDefault="00941F8E" w:rsidP="00E607DA">
            <w:pPr>
              <w:jc w:val="right"/>
              <w:rPr>
                <w:rFonts w:ascii="Meta Pro" w:eastAsia="Times New Roman" w:hAnsi="Meta Pro"/>
                <w:szCs w:val="18"/>
                <w:lang w:eastAsia="en-AU"/>
              </w:rPr>
            </w:pPr>
            <w:r w:rsidRPr="00DD5ECE">
              <w:rPr>
                <w:rFonts w:ascii="Meta Pro" w:eastAsia="Times New Roman" w:hAnsi="Meta Pro"/>
                <w:szCs w:val="18"/>
                <w:lang w:eastAsia="en-AU"/>
              </w:rPr>
              <w:t xml:space="preserve">11,397 </w:t>
            </w:r>
          </w:p>
        </w:tc>
        <w:tc>
          <w:tcPr>
            <w:tcW w:w="200" w:type="dxa"/>
            <w:tcBorders>
              <w:top w:val="nil"/>
              <w:left w:val="nil"/>
              <w:bottom w:val="nil"/>
              <w:right w:val="nil"/>
            </w:tcBorders>
            <w:shd w:val="clear" w:color="auto" w:fill="auto"/>
            <w:noWrap/>
            <w:vAlign w:val="center"/>
            <w:hideMark/>
          </w:tcPr>
          <w:p w14:paraId="1B9D0A9B" w14:textId="77777777" w:rsidR="00941F8E" w:rsidRPr="00DD5ECE" w:rsidRDefault="00941F8E" w:rsidP="00E607DA">
            <w:pPr>
              <w:jc w:val="right"/>
              <w:rPr>
                <w:rFonts w:ascii="Meta Pro" w:eastAsia="Times New Roman" w:hAnsi="Meta Pro"/>
                <w:szCs w:val="18"/>
                <w:lang w:eastAsia="en-AU"/>
              </w:rPr>
            </w:pPr>
          </w:p>
        </w:tc>
        <w:tc>
          <w:tcPr>
            <w:tcW w:w="1130" w:type="dxa"/>
            <w:tcBorders>
              <w:top w:val="nil"/>
              <w:left w:val="nil"/>
              <w:bottom w:val="nil"/>
              <w:right w:val="nil"/>
            </w:tcBorders>
            <w:shd w:val="clear" w:color="auto" w:fill="auto"/>
            <w:noWrap/>
            <w:vAlign w:val="center"/>
            <w:hideMark/>
          </w:tcPr>
          <w:p w14:paraId="72ACA669" w14:textId="77777777" w:rsidR="00941F8E" w:rsidRPr="00DD5ECE" w:rsidRDefault="00941F8E" w:rsidP="00E607DA">
            <w:pPr>
              <w:jc w:val="right"/>
              <w:rPr>
                <w:rFonts w:ascii="Meta Pro" w:eastAsia="Times New Roman" w:hAnsi="Meta Pro"/>
                <w:szCs w:val="18"/>
                <w:lang w:eastAsia="en-AU"/>
              </w:rPr>
            </w:pPr>
            <w:r w:rsidRPr="00DD5ECE">
              <w:rPr>
                <w:rFonts w:ascii="Meta Pro" w:eastAsia="Times New Roman" w:hAnsi="Meta Pro"/>
                <w:szCs w:val="18"/>
                <w:lang w:eastAsia="en-AU"/>
              </w:rPr>
              <w:t xml:space="preserve">11,397 </w:t>
            </w:r>
          </w:p>
        </w:tc>
      </w:tr>
      <w:tr w:rsidR="00941F8E" w:rsidRPr="00DD5ECE" w14:paraId="375DC0A6" w14:textId="77777777" w:rsidTr="00E86873">
        <w:trPr>
          <w:trHeight w:val="227"/>
        </w:trPr>
        <w:tc>
          <w:tcPr>
            <w:tcW w:w="5842" w:type="dxa"/>
            <w:tcBorders>
              <w:top w:val="nil"/>
              <w:left w:val="nil"/>
              <w:bottom w:val="nil"/>
              <w:right w:val="nil"/>
            </w:tcBorders>
            <w:shd w:val="clear" w:color="auto" w:fill="auto"/>
            <w:noWrap/>
            <w:vAlign w:val="center"/>
            <w:hideMark/>
          </w:tcPr>
          <w:p w14:paraId="1080C1AC" w14:textId="77777777" w:rsidR="00941F8E" w:rsidRPr="00DD5ECE" w:rsidRDefault="00941F8E" w:rsidP="00E607DA">
            <w:pPr>
              <w:rPr>
                <w:rFonts w:ascii="Meta Pro" w:eastAsia="Times New Roman" w:hAnsi="Meta Pro"/>
                <w:szCs w:val="18"/>
                <w:lang w:eastAsia="en-AU"/>
              </w:rPr>
            </w:pPr>
            <w:r w:rsidRPr="00DD5ECE">
              <w:rPr>
                <w:rFonts w:ascii="Meta Pro" w:eastAsia="Times New Roman" w:hAnsi="Meta Pro"/>
                <w:szCs w:val="18"/>
                <w:lang w:eastAsia="en-AU"/>
              </w:rPr>
              <w:t>User charges, fees and fines</w:t>
            </w:r>
          </w:p>
        </w:tc>
        <w:tc>
          <w:tcPr>
            <w:tcW w:w="1131" w:type="dxa"/>
            <w:tcBorders>
              <w:top w:val="nil"/>
              <w:left w:val="nil"/>
              <w:bottom w:val="nil"/>
              <w:right w:val="nil"/>
            </w:tcBorders>
            <w:shd w:val="clear" w:color="auto" w:fill="auto"/>
            <w:noWrap/>
            <w:vAlign w:val="center"/>
            <w:hideMark/>
          </w:tcPr>
          <w:p w14:paraId="3692AFC3" w14:textId="77777777" w:rsidR="00941F8E" w:rsidRPr="00DD5ECE" w:rsidRDefault="00941F8E" w:rsidP="00E607DA">
            <w:pPr>
              <w:jc w:val="right"/>
              <w:rPr>
                <w:rFonts w:ascii="Meta Pro" w:eastAsia="Times New Roman" w:hAnsi="Meta Pro"/>
                <w:szCs w:val="18"/>
                <w:lang w:eastAsia="en-AU"/>
              </w:rPr>
            </w:pPr>
            <w:r w:rsidRPr="00DD5ECE">
              <w:rPr>
                <w:rFonts w:ascii="Meta Pro" w:eastAsia="Times New Roman" w:hAnsi="Meta Pro"/>
                <w:szCs w:val="18"/>
                <w:lang w:eastAsia="en-AU"/>
              </w:rPr>
              <w:t xml:space="preserve">2,862,837 </w:t>
            </w:r>
          </w:p>
        </w:tc>
        <w:tc>
          <w:tcPr>
            <w:tcW w:w="200" w:type="dxa"/>
            <w:tcBorders>
              <w:top w:val="nil"/>
              <w:left w:val="nil"/>
              <w:bottom w:val="nil"/>
              <w:right w:val="nil"/>
            </w:tcBorders>
            <w:shd w:val="clear" w:color="auto" w:fill="auto"/>
            <w:noWrap/>
            <w:vAlign w:val="center"/>
            <w:hideMark/>
          </w:tcPr>
          <w:p w14:paraId="346DA23C" w14:textId="77777777" w:rsidR="00941F8E" w:rsidRPr="00DD5ECE" w:rsidRDefault="00941F8E" w:rsidP="00E607DA">
            <w:pPr>
              <w:jc w:val="right"/>
              <w:rPr>
                <w:rFonts w:ascii="Meta Pro" w:eastAsia="Times New Roman" w:hAnsi="Meta Pro"/>
                <w:szCs w:val="18"/>
                <w:lang w:eastAsia="en-AU"/>
              </w:rPr>
            </w:pPr>
          </w:p>
        </w:tc>
        <w:tc>
          <w:tcPr>
            <w:tcW w:w="1135" w:type="dxa"/>
            <w:tcBorders>
              <w:top w:val="nil"/>
              <w:left w:val="nil"/>
              <w:bottom w:val="nil"/>
              <w:right w:val="nil"/>
            </w:tcBorders>
            <w:shd w:val="clear" w:color="auto" w:fill="auto"/>
            <w:noWrap/>
            <w:vAlign w:val="center"/>
            <w:hideMark/>
          </w:tcPr>
          <w:p w14:paraId="6CF59BD4" w14:textId="77777777" w:rsidR="00941F8E" w:rsidRPr="00DD5ECE" w:rsidRDefault="00941F8E" w:rsidP="00E607DA">
            <w:pPr>
              <w:jc w:val="right"/>
              <w:rPr>
                <w:rFonts w:ascii="Meta Pro" w:eastAsia="Times New Roman" w:hAnsi="Meta Pro"/>
                <w:szCs w:val="18"/>
                <w:lang w:eastAsia="en-AU"/>
              </w:rPr>
            </w:pPr>
            <w:r w:rsidRPr="00DD5ECE">
              <w:rPr>
                <w:rFonts w:ascii="Meta Pro" w:eastAsia="Times New Roman" w:hAnsi="Meta Pro"/>
                <w:szCs w:val="18"/>
                <w:lang w:eastAsia="en-AU"/>
              </w:rPr>
              <w:t xml:space="preserve">2,909,272 </w:t>
            </w:r>
          </w:p>
        </w:tc>
        <w:tc>
          <w:tcPr>
            <w:tcW w:w="200" w:type="dxa"/>
            <w:tcBorders>
              <w:top w:val="nil"/>
              <w:left w:val="nil"/>
              <w:bottom w:val="nil"/>
              <w:right w:val="nil"/>
            </w:tcBorders>
            <w:shd w:val="clear" w:color="auto" w:fill="auto"/>
            <w:noWrap/>
            <w:vAlign w:val="center"/>
            <w:hideMark/>
          </w:tcPr>
          <w:p w14:paraId="25681186" w14:textId="77777777" w:rsidR="00941F8E" w:rsidRPr="00DD5ECE" w:rsidRDefault="00941F8E" w:rsidP="00E607DA">
            <w:pPr>
              <w:jc w:val="right"/>
              <w:rPr>
                <w:rFonts w:ascii="Meta Pro" w:eastAsia="Times New Roman" w:hAnsi="Meta Pro"/>
                <w:szCs w:val="18"/>
                <w:lang w:eastAsia="en-AU"/>
              </w:rPr>
            </w:pPr>
          </w:p>
        </w:tc>
        <w:tc>
          <w:tcPr>
            <w:tcW w:w="1130" w:type="dxa"/>
            <w:tcBorders>
              <w:top w:val="nil"/>
              <w:left w:val="nil"/>
              <w:bottom w:val="nil"/>
              <w:right w:val="nil"/>
            </w:tcBorders>
            <w:shd w:val="clear" w:color="auto" w:fill="auto"/>
            <w:noWrap/>
            <w:vAlign w:val="center"/>
            <w:hideMark/>
          </w:tcPr>
          <w:p w14:paraId="2474FEC0" w14:textId="77777777" w:rsidR="00941F8E" w:rsidRPr="00DD5ECE" w:rsidRDefault="00941F8E" w:rsidP="00E607DA">
            <w:pPr>
              <w:jc w:val="right"/>
              <w:rPr>
                <w:rFonts w:ascii="Meta Pro" w:eastAsia="Times New Roman" w:hAnsi="Meta Pro"/>
                <w:szCs w:val="18"/>
                <w:lang w:eastAsia="en-AU"/>
              </w:rPr>
            </w:pPr>
            <w:r w:rsidRPr="00DD5ECE">
              <w:rPr>
                <w:rFonts w:ascii="Meta Pro" w:eastAsia="Times New Roman" w:hAnsi="Meta Pro"/>
                <w:szCs w:val="18"/>
                <w:lang w:eastAsia="en-AU"/>
              </w:rPr>
              <w:t xml:space="preserve">46,435 </w:t>
            </w:r>
          </w:p>
        </w:tc>
      </w:tr>
      <w:tr w:rsidR="00941F8E" w:rsidRPr="00DD5ECE" w14:paraId="0A3E9524" w14:textId="77777777" w:rsidTr="00E86873">
        <w:trPr>
          <w:trHeight w:val="227"/>
        </w:trPr>
        <w:tc>
          <w:tcPr>
            <w:tcW w:w="5842" w:type="dxa"/>
            <w:tcBorders>
              <w:top w:val="nil"/>
              <w:left w:val="nil"/>
              <w:bottom w:val="nil"/>
              <w:right w:val="nil"/>
            </w:tcBorders>
            <w:shd w:val="clear" w:color="auto" w:fill="auto"/>
            <w:noWrap/>
            <w:vAlign w:val="center"/>
            <w:hideMark/>
          </w:tcPr>
          <w:p w14:paraId="22B48349" w14:textId="77777777" w:rsidR="00941F8E" w:rsidRPr="00DD5ECE" w:rsidRDefault="00941F8E" w:rsidP="00E607DA">
            <w:pPr>
              <w:rPr>
                <w:rFonts w:ascii="Meta Pro" w:eastAsia="Times New Roman" w:hAnsi="Meta Pro"/>
                <w:szCs w:val="18"/>
                <w:lang w:eastAsia="en-AU"/>
              </w:rPr>
            </w:pPr>
            <w:r w:rsidRPr="00DD5ECE">
              <w:rPr>
                <w:rFonts w:ascii="Meta Pro" w:eastAsia="Times New Roman" w:hAnsi="Meta Pro"/>
                <w:szCs w:val="18"/>
                <w:lang w:eastAsia="en-AU"/>
              </w:rPr>
              <w:t>Other</w:t>
            </w:r>
          </w:p>
        </w:tc>
        <w:tc>
          <w:tcPr>
            <w:tcW w:w="1131" w:type="dxa"/>
            <w:tcBorders>
              <w:top w:val="nil"/>
              <w:left w:val="nil"/>
              <w:bottom w:val="nil"/>
              <w:right w:val="nil"/>
            </w:tcBorders>
            <w:shd w:val="clear" w:color="auto" w:fill="auto"/>
            <w:noWrap/>
            <w:vAlign w:val="center"/>
            <w:hideMark/>
          </w:tcPr>
          <w:p w14:paraId="021D5F57" w14:textId="77777777" w:rsidR="00941F8E" w:rsidRPr="00DD5ECE" w:rsidRDefault="00941F8E" w:rsidP="00E607DA">
            <w:pPr>
              <w:jc w:val="right"/>
              <w:rPr>
                <w:rFonts w:ascii="Meta Pro" w:eastAsia="Times New Roman" w:hAnsi="Meta Pro"/>
                <w:szCs w:val="18"/>
                <w:lang w:eastAsia="en-AU"/>
              </w:rPr>
            </w:pPr>
            <w:r w:rsidRPr="00DD5ECE">
              <w:rPr>
                <w:rFonts w:ascii="Meta Pro" w:eastAsia="Times New Roman" w:hAnsi="Meta Pro"/>
                <w:szCs w:val="18"/>
                <w:lang w:eastAsia="en-AU"/>
              </w:rPr>
              <w:t xml:space="preserve">9,233 </w:t>
            </w:r>
          </w:p>
        </w:tc>
        <w:tc>
          <w:tcPr>
            <w:tcW w:w="200" w:type="dxa"/>
            <w:tcBorders>
              <w:top w:val="nil"/>
              <w:left w:val="nil"/>
              <w:bottom w:val="nil"/>
              <w:right w:val="nil"/>
            </w:tcBorders>
            <w:shd w:val="clear" w:color="auto" w:fill="auto"/>
            <w:noWrap/>
            <w:vAlign w:val="center"/>
            <w:hideMark/>
          </w:tcPr>
          <w:p w14:paraId="3BDF3B96" w14:textId="77777777" w:rsidR="00941F8E" w:rsidRPr="00DD5ECE" w:rsidRDefault="00941F8E" w:rsidP="00E607DA">
            <w:pPr>
              <w:jc w:val="right"/>
              <w:rPr>
                <w:rFonts w:ascii="Meta Pro" w:eastAsia="Times New Roman" w:hAnsi="Meta Pro"/>
                <w:szCs w:val="18"/>
                <w:lang w:eastAsia="en-AU"/>
              </w:rPr>
            </w:pPr>
          </w:p>
        </w:tc>
        <w:tc>
          <w:tcPr>
            <w:tcW w:w="1135" w:type="dxa"/>
            <w:tcBorders>
              <w:top w:val="nil"/>
              <w:left w:val="nil"/>
              <w:bottom w:val="nil"/>
              <w:right w:val="nil"/>
            </w:tcBorders>
            <w:shd w:val="clear" w:color="auto" w:fill="auto"/>
            <w:noWrap/>
            <w:vAlign w:val="center"/>
            <w:hideMark/>
          </w:tcPr>
          <w:p w14:paraId="7DFDBF0F" w14:textId="77777777" w:rsidR="00941F8E" w:rsidRPr="00DD5ECE" w:rsidRDefault="00941F8E" w:rsidP="00E607DA">
            <w:pPr>
              <w:jc w:val="right"/>
              <w:rPr>
                <w:rFonts w:ascii="Meta Pro" w:eastAsia="Times New Roman" w:hAnsi="Meta Pro"/>
                <w:szCs w:val="18"/>
                <w:lang w:eastAsia="en-AU"/>
              </w:rPr>
            </w:pPr>
            <w:r w:rsidRPr="00DD5ECE">
              <w:rPr>
                <w:rFonts w:ascii="Meta Pro" w:eastAsia="Times New Roman" w:hAnsi="Meta Pro"/>
                <w:szCs w:val="18"/>
                <w:lang w:eastAsia="en-AU"/>
              </w:rPr>
              <w:t xml:space="preserve">9,812 </w:t>
            </w:r>
          </w:p>
        </w:tc>
        <w:tc>
          <w:tcPr>
            <w:tcW w:w="200" w:type="dxa"/>
            <w:tcBorders>
              <w:top w:val="nil"/>
              <w:left w:val="nil"/>
              <w:bottom w:val="nil"/>
              <w:right w:val="nil"/>
            </w:tcBorders>
            <w:shd w:val="clear" w:color="auto" w:fill="auto"/>
            <w:noWrap/>
            <w:vAlign w:val="center"/>
            <w:hideMark/>
          </w:tcPr>
          <w:p w14:paraId="0A97A3EE" w14:textId="77777777" w:rsidR="00941F8E" w:rsidRPr="00DD5ECE" w:rsidRDefault="00941F8E" w:rsidP="00E607DA">
            <w:pPr>
              <w:jc w:val="right"/>
              <w:rPr>
                <w:rFonts w:ascii="Meta Pro" w:eastAsia="Times New Roman" w:hAnsi="Meta Pro"/>
                <w:szCs w:val="18"/>
                <w:lang w:eastAsia="en-AU"/>
              </w:rPr>
            </w:pPr>
          </w:p>
        </w:tc>
        <w:tc>
          <w:tcPr>
            <w:tcW w:w="1130" w:type="dxa"/>
            <w:tcBorders>
              <w:top w:val="nil"/>
              <w:left w:val="nil"/>
              <w:bottom w:val="nil"/>
              <w:right w:val="nil"/>
            </w:tcBorders>
            <w:shd w:val="clear" w:color="auto" w:fill="auto"/>
            <w:noWrap/>
            <w:vAlign w:val="center"/>
            <w:hideMark/>
          </w:tcPr>
          <w:p w14:paraId="76789023" w14:textId="77777777" w:rsidR="00941F8E" w:rsidRPr="00DD5ECE" w:rsidRDefault="00941F8E" w:rsidP="00E607DA">
            <w:pPr>
              <w:jc w:val="right"/>
              <w:rPr>
                <w:rFonts w:ascii="Meta Pro" w:eastAsia="Times New Roman" w:hAnsi="Meta Pro"/>
                <w:szCs w:val="18"/>
                <w:lang w:eastAsia="en-AU"/>
              </w:rPr>
            </w:pPr>
            <w:r w:rsidRPr="00DD5ECE">
              <w:rPr>
                <w:rFonts w:ascii="Meta Pro" w:eastAsia="Times New Roman" w:hAnsi="Meta Pro"/>
                <w:szCs w:val="18"/>
                <w:lang w:eastAsia="en-AU"/>
              </w:rPr>
              <w:t xml:space="preserve">579 </w:t>
            </w:r>
          </w:p>
        </w:tc>
      </w:tr>
      <w:tr w:rsidR="00941F8E" w:rsidRPr="00DD5ECE" w14:paraId="63EAFC9C" w14:textId="77777777" w:rsidTr="00E86873">
        <w:trPr>
          <w:trHeight w:val="227"/>
        </w:trPr>
        <w:tc>
          <w:tcPr>
            <w:tcW w:w="5842" w:type="dxa"/>
            <w:tcBorders>
              <w:top w:val="single" w:sz="4" w:space="0" w:color="auto"/>
              <w:left w:val="nil"/>
              <w:bottom w:val="nil"/>
              <w:right w:val="nil"/>
            </w:tcBorders>
            <w:shd w:val="clear" w:color="auto" w:fill="auto"/>
            <w:noWrap/>
            <w:vAlign w:val="center"/>
            <w:hideMark/>
          </w:tcPr>
          <w:p w14:paraId="1DEC3476" w14:textId="77777777" w:rsidR="00941F8E" w:rsidRPr="00DD5ECE" w:rsidRDefault="00941F8E" w:rsidP="00E607DA">
            <w:pPr>
              <w:rPr>
                <w:rFonts w:ascii="Meta Pro" w:eastAsia="Times New Roman" w:hAnsi="Meta Pro"/>
                <w:b/>
                <w:bCs/>
                <w:szCs w:val="18"/>
                <w:lang w:eastAsia="en-AU"/>
              </w:rPr>
            </w:pPr>
            <w:r w:rsidRPr="00DD5ECE">
              <w:rPr>
                <w:rFonts w:ascii="Meta Pro" w:eastAsia="Times New Roman" w:hAnsi="Meta Pro"/>
                <w:b/>
                <w:bCs/>
                <w:szCs w:val="18"/>
                <w:lang w:eastAsia="en-AU"/>
              </w:rPr>
              <w:t>Total income</w:t>
            </w:r>
          </w:p>
        </w:tc>
        <w:tc>
          <w:tcPr>
            <w:tcW w:w="1131" w:type="dxa"/>
            <w:tcBorders>
              <w:top w:val="single" w:sz="4" w:space="0" w:color="auto"/>
              <w:left w:val="nil"/>
              <w:bottom w:val="nil"/>
              <w:right w:val="nil"/>
            </w:tcBorders>
            <w:shd w:val="clear" w:color="auto" w:fill="auto"/>
            <w:noWrap/>
            <w:vAlign w:val="center"/>
            <w:hideMark/>
          </w:tcPr>
          <w:p w14:paraId="09A5570E" w14:textId="77777777" w:rsidR="00941F8E" w:rsidRPr="00DD5ECE" w:rsidRDefault="00941F8E" w:rsidP="00E607DA">
            <w:pPr>
              <w:jc w:val="right"/>
              <w:rPr>
                <w:rFonts w:ascii="Meta Pro" w:eastAsia="Times New Roman" w:hAnsi="Meta Pro"/>
                <w:b/>
                <w:bCs/>
                <w:szCs w:val="18"/>
                <w:lang w:eastAsia="en-AU"/>
              </w:rPr>
            </w:pPr>
            <w:r w:rsidRPr="00DD5ECE">
              <w:rPr>
                <w:rFonts w:ascii="Meta Pro" w:eastAsia="Times New Roman" w:hAnsi="Meta Pro"/>
                <w:b/>
                <w:bCs/>
                <w:szCs w:val="18"/>
                <w:lang w:eastAsia="en-AU"/>
              </w:rPr>
              <w:t xml:space="preserve">2,981,816 </w:t>
            </w:r>
          </w:p>
        </w:tc>
        <w:tc>
          <w:tcPr>
            <w:tcW w:w="200" w:type="dxa"/>
            <w:tcBorders>
              <w:top w:val="single" w:sz="4" w:space="0" w:color="auto"/>
              <w:left w:val="nil"/>
              <w:bottom w:val="nil"/>
              <w:right w:val="nil"/>
            </w:tcBorders>
            <w:shd w:val="clear" w:color="auto" w:fill="auto"/>
            <w:noWrap/>
            <w:vAlign w:val="center"/>
            <w:hideMark/>
          </w:tcPr>
          <w:p w14:paraId="270972CE" w14:textId="77777777" w:rsidR="00941F8E" w:rsidRPr="00DD5ECE" w:rsidRDefault="00941F8E" w:rsidP="00E607DA">
            <w:pPr>
              <w:jc w:val="right"/>
              <w:rPr>
                <w:rFonts w:ascii="Meta Pro" w:eastAsia="Times New Roman" w:hAnsi="Meta Pro"/>
                <w:b/>
                <w:bCs/>
                <w:szCs w:val="18"/>
                <w:lang w:eastAsia="en-AU"/>
              </w:rPr>
            </w:pPr>
            <w:r w:rsidRPr="00DD5ECE">
              <w:rPr>
                <w:rFonts w:ascii="Meta Pro" w:eastAsia="Times New Roman" w:hAnsi="Meta Pro"/>
                <w:b/>
                <w:bCs/>
                <w:szCs w:val="18"/>
                <w:lang w:eastAsia="en-AU"/>
              </w:rPr>
              <w:t> </w:t>
            </w:r>
          </w:p>
        </w:tc>
        <w:tc>
          <w:tcPr>
            <w:tcW w:w="1135" w:type="dxa"/>
            <w:tcBorders>
              <w:top w:val="single" w:sz="4" w:space="0" w:color="auto"/>
              <w:left w:val="nil"/>
              <w:bottom w:val="nil"/>
              <w:right w:val="nil"/>
            </w:tcBorders>
            <w:shd w:val="clear" w:color="auto" w:fill="auto"/>
            <w:noWrap/>
            <w:vAlign w:val="center"/>
            <w:hideMark/>
          </w:tcPr>
          <w:p w14:paraId="3085FD96" w14:textId="77777777" w:rsidR="00941F8E" w:rsidRPr="00DD5ECE" w:rsidRDefault="00941F8E" w:rsidP="00E607DA">
            <w:pPr>
              <w:jc w:val="right"/>
              <w:rPr>
                <w:rFonts w:ascii="Meta Pro" w:eastAsia="Times New Roman" w:hAnsi="Meta Pro"/>
                <w:b/>
                <w:bCs/>
                <w:szCs w:val="18"/>
                <w:lang w:eastAsia="en-AU"/>
              </w:rPr>
            </w:pPr>
            <w:r w:rsidRPr="00DD5ECE">
              <w:rPr>
                <w:rFonts w:ascii="Meta Pro" w:eastAsia="Times New Roman" w:hAnsi="Meta Pro"/>
                <w:b/>
                <w:bCs/>
                <w:szCs w:val="18"/>
                <w:lang w:eastAsia="en-AU"/>
              </w:rPr>
              <w:t xml:space="preserve">3,008,322 </w:t>
            </w:r>
          </w:p>
        </w:tc>
        <w:tc>
          <w:tcPr>
            <w:tcW w:w="200" w:type="dxa"/>
            <w:tcBorders>
              <w:top w:val="single" w:sz="4" w:space="0" w:color="auto"/>
              <w:left w:val="nil"/>
              <w:bottom w:val="nil"/>
              <w:right w:val="nil"/>
            </w:tcBorders>
            <w:shd w:val="clear" w:color="auto" w:fill="auto"/>
            <w:noWrap/>
            <w:vAlign w:val="center"/>
            <w:hideMark/>
          </w:tcPr>
          <w:p w14:paraId="1F5E388A" w14:textId="77777777" w:rsidR="00941F8E" w:rsidRPr="00DD5ECE" w:rsidRDefault="00941F8E" w:rsidP="00E607DA">
            <w:pPr>
              <w:jc w:val="right"/>
              <w:rPr>
                <w:rFonts w:ascii="Meta Pro" w:eastAsia="Times New Roman" w:hAnsi="Meta Pro"/>
                <w:b/>
                <w:bCs/>
                <w:szCs w:val="18"/>
                <w:lang w:eastAsia="en-AU"/>
              </w:rPr>
            </w:pPr>
            <w:r w:rsidRPr="00DD5ECE">
              <w:rPr>
                <w:rFonts w:ascii="Meta Pro" w:eastAsia="Times New Roman" w:hAnsi="Meta Pro"/>
                <w:b/>
                <w:bCs/>
                <w:szCs w:val="18"/>
                <w:lang w:eastAsia="en-AU"/>
              </w:rPr>
              <w:t> </w:t>
            </w:r>
          </w:p>
        </w:tc>
        <w:tc>
          <w:tcPr>
            <w:tcW w:w="1130" w:type="dxa"/>
            <w:tcBorders>
              <w:top w:val="single" w:sz="4" w:space="0" w:color="auto"/>
              <w:left w:val="nil"/>
              <w:bottom w:val="nil"/>
              <w:right w:val="nil"/>
            </w:tcBorders>
            <w:shd w:val="clear" w:color="auto" w:fill="auto"/>
            <w:noWrap/>
            <w:vAlign w:val="center"/>
            <w:hideMark/>
          </w:tcPr>
          <w:p w14:paraId="7CABBFD3" w14:textId="77777777" w:rsidR="00941F8E" w:rsidRPr="00DD5ECE" w:rsidRDefault="00941F8E" w:rsidP="00E607DA">
            <w:pPr>
              <w:jc w:val="right"/>
              <w:rPr>
                <w:rFonts w:ascii="Meta Pro" w:eastAsia="Times New Roman" w:hAnsi="Meta Pro"/>
                <w:b/>
                <w:bCs/>
                <w:szCs w:val="18"/>
                <w:lang w:eastAsia="en-AU"/>
              </w:rPr>
            </w:pPr>
            <w:r w:rsidRPr="00DD5ECE">
              <w:rPr>
                <w:rFonts w:ascii="Meta Pro" w:eastAsia="Times New Roman" w:hAnsi="Meta Pro"/>
                <w:b/>
                <w:bCs/>
                <w:szCs w:val="18"/>
                <w:lang w:eastAsia="en-AU"/>
              </w:rPr>
              <w:t xml:space="preserve">26,506 </w:t>
            </w:r>
          </w:p>
        </w:tc>
      </w:tr>
      <w:tr w:rsidR="00941F8E" w:rsidRPr="00DD5ECE" w14:paraId="071560E9" w14:textId="77777777" w:rsidTr="00E86873">
        <w:trPr>
          <w:trHeight w:val="227"/>
        </w:trPr>
        <w:tc>
          <w:tcPr>
            <w:tcW w:w="5842" w:type="dxa"/>
            <w:tcBorders>
              <w:top w:val="nil"/>
              <w:left w:val="nil"/>
              <w:bottom w:val="nil"/>
              <w:right w:val="nil"/>
            </w:tcBorders>
            <w:shd w:val="clear" w:color="auto" w:fill="auto"/>
            <w:noWrap/>
            <w:vAlign w:val="center"/>
            <w:hideMark/>
          </w:tcPr>
          <w:p w14:paraId="48E9C95C" w14:textId="77777777" w:rsidR="00941F8E" w:rsidRPr="00DD5ECE" w:rsidRDefault="00941F8E" w:rsidP="00E607DA">
            <w:pPr>
              <w:jc w:val="right"/>
              <w:rPr>
                <w:rFonts w:ascii="Meta Pro" w:eastAsia="Times New Roman" w:hAnsi="Meta Pro"/>
                <w:b/>
                <w:bCs/>
                <w:szCs w:val="18"/>
                <w:lang w:eastAsia="en-AU"/>
              </w:rPr>
            </w:pPr>
          </w:p>
        </w:tc>
        <w:tc>
          <w:tcPr>
            <w:tcW w:w="1131" w:type="dxa"/>
            <w:tcBorders>
              <w:top w:val="nil"/>
              <w:left w:val="nil"/>
              <w:bottom w:val="nil"/>
              <w:right w:val="nil"/>
            </w:tcBorders>
            <w:shd w:val="clear" w:color="auto" w:fill="auto"/>
            <w:noWrap/>
            <w:vAlign w:val="center"/>
            <w:hideMark/>
          </w:tcPr>
          <w:p w14:paraId="4BDE9C59" w14:textId="77777777" w:rsidR="00941F8E" w:rsidRPr="00DD5ECE" w:rsidRDefault="00941F8E" w:rsidP="00E607DA">
            <w:pPr>
              <w:rPr>
                <w:rFonts w:eastAsia="Times New Roman" w:cs="Times New Roman"/>
                <w:sz w:val="20"/>
                <w:szCs w:val="20"/>
                <w:lang w:eastAsia="en-AU"/>
              </w:rPr>
            </w:pPr>
          </w:p>
        </w:tc>
        <w:tc>
          <w:tcPr>
            <w:tcW w:w="200" w:type="dxa"/>
            <w:tcBorders>
              <w:top w:val="nil"/>
              <w:left w:val="nil"/>
              <w:bottom w:val="nil"/>
              <w:right w:val="nil"/>
            </w:tcBorders>
            <w:shd w:val="clear" w:color="auto" w:fill="auto"/>
            <w:noWrap/>
            <w:vAlign w:val="center"/>
            <w:hideMark/>
          </w:tcPr>
          <w:p w14:paraId="3620D893" w14:textId="77777777" w:rsidR="00941F8E" w:rsidRPr="00DD5ECE" w:rsidRDefault="00941F8E" w:rsidP="00E607DA">
            <w:pPr>
              <w:jc w:val="right"/>
              <w:rPr>
                <w:rFonts w:eastAsia="Times New Roman" w:cs="Times New Roman"/>
                <w:sz w:val="20"/>
                <w:szCs w:val="20"/>
                <w:lang w:eastAsia="en-AU"/>
              </w:rPr>
            </w:pPr>
          </w:p>
        </w:tc>
        <w:tc>
          <w:tcPr>
            <w:tcW w:w="1135" w:type="dxa"/>
            <w:tcBorders>
              <w:top w:val="nil"/>
              <w:left w:val="nil"/>
              <w:bottom w:val="nil"/>
              <w:right w:val="nil"/>
            </w:tcBorders>
            <w:shd w:val="clear" w:color="auto" w:fill="auto"/>
            <w:noWrap/>
            <w:vAlign w:val="center"/>
            <w:hideMark/>
          </w:tcPr>
          <w:p w14:paraId="25215BDE" w14:textId="77777777" w:rsidR="00941F8E" w:rsidRPr="00DD5ECE" w:rsidRDefault="00941F8E" w:rsidP="00E607DA">
            <w:pPr>
              <w:jc w:val="right"/>
              <w:rPr>
                <w:rFonts w:eastAsia="Times New Roman" w:cs="Times New Roman"/>
                <w:sz w:val="20"/>
                <w:szCs w:val="20"/>
                <w:lang w:eastAsia="en-AU"/>
              </w:rPr>
            </w:pPr>
          </w:p>
        </w:tc>
        <w:tc>
          <w:tcPr>
            <w:tcW w:w="200" w:type="dxa"/>
            <w:tcBorders>
              <w:top w:val="nil"/>
              <w:left w:val="nil"/>
              <w:bottom w:val="nil"/>
              <w:right w:val="nil"/>
            </w:tcBorders>
            <w:shd w:val="clear" w:color="auto" w:fill="auto"/>
            <w:noWrap/>
            <w:vAlign w:val="center"/>
            <w:hideMark/>
          </w:tcPr>
          <w:p w14:paraId="0BCE0CAC" w14:textId="77777777" w:rsidR="00941F8E" w:rsidRPr="00DD5ECE" w:rsidRDefault="00941F8E" w:rsidP="00E607DA">
            <w:pPr>
              <w:jc w:val="right"/>
              <w:rPr>
                <w:rFonts w:eastAsia="Times New Roman" w:cs="Times New Roman"/>
                <w:sz w:val="20"/>
                <w:szCs w:val="20"/>
                <w:lang w:eastAsia="en-AU"/>
              </w:rPr>
            </w:pPr>
          </w:p>
        </w:tc>
        <w:tc>
          <w:tcPr>
            <w:tcW w:w="1130" w:type="dxa"/>
            <w:tcBorders>
              <w:top w:val="nil"/>
              <w:left w:val="nil"/>
              <w:bottom w:val="nil"/>
              <w:right w:val="nil"/>
            </w:tcBorders>
            <w:shd w:val="clear" w:color="auto" w:fill="auto"/>
            <w:noWrap/>
            <w:vAlign w:val="center"/>
            <w:hideMark/>
          </w:tcPr>
          <w:p w14:paraId="7AC8DEB9" w14:textId="77777777" w:rsidR="00941F8E" w:rsidRPr="00DD5ECE" w:rsidRDefault="00941F8E" w:rsidP="00E607DA">
            <w:pPr>
              <w:jc w:val="right"/>
              <w:rPr>
                <w:rFonts w:eastAsia="Times New Roman" w:cs="Times New Roman"/>
                <w:sz w:val="20"/>
                <w:szCs w:val="20"/>
                <w:lang w:eastAsia="en-AU"/>
              </w:rPr>
            </w:pPr>
          </w:p>
        </w:tc>
      </w:tr>
      <w:tr w:rsidR="00941F8E" w:rsidRPr="00DD5ECE" w14:paraId="64F0AAA2" w14:textId="77777777" w:rsidTr="00E86873">
        <w:trPr>
          <w:trHeight w:val="227"/>
        </w:trPr>
        <w:tc>
          <w:tcPr>
            <w:tcW w:w="5842" w:type="dxa"/>
            <w:tcBorders>
              <w:top w:val="nil"/>
              <w:left w:val="nil"/>
              <w:bottom w:val="nil"/>
              <w:right w:val="nil"/>
            </w:tcBorders>
            <w:shd w:val="clear" w:color="auto" w:fill="auto"/>
            <w:noWrap/>
            <w:vAlign w:val="center"/>
            <w:hideMark/>
          </w:tcPr>
          <w:p w14:paraId="5A338E4E" w14:textId="77777777" w:rsidR="00941F8E" w:rsidRPr="00DD5ECE" w:rsidRDefault="00941F8E" w:rsidP="00E607DA">
            <w:pPr>
              <w:rPr>
                <w:rFonts w:ascii="Meta Pro" w:eastAsia="Times New Roman" w:hAnsi="Meta Pro"/>
                <w:b/>
                <w:bCs/>
                <w:szCs w:val="18"/>
                <w:lang w:eastAsia="en-AU"/>
              </w:rPr>
            </w:pPr>
            <w:r w:rsidRPr="00DD5ECE">
              <w:rPr>
                <w:rFonts w:ascii="Meta Pro" w:eastAsia="Times New Roman" w:hAnsi="Meta Pro"/>
                <w:b/>
                <w:bCs/>
                <w:szCs w:val="18"/>
                <w:lang w:eastAsia="en-AU"/>
              </w:rPr>
              <w:t>Administered expenses</w:t>
            </w:r>
          </w:p>
        </w:tc>
        <w:tc>
          <w:tcPr>
            <w:tcW w:w="1131" w:type="dxa"/>
            <w:tcBorders>
              <w:top w:val="nil"/>
              <w:left w:val="nil"/>
              <w:bottom w:val="nil"/>
              <w:right w:val="nil"/>
            </w:tcBorders>
            <w:shd w:val="clear" w:color="auto" w:fill="auto"/>
            <w:noWrap/>
            <w:vAlign w:val="center"/>
            <w:hideMark/>
          </w:tcPr>
          <w:p w14:paraId="06E72101" w14:textId="77777777" w:rsidR="00941F8E" w:rsidRPr="00DD5ECE" w:rsidRDefault="00941F8E" w:rsidP="00E607DA">
            <w:pPr>
              <w:rPr>
                <w:rFonts w:ascii="Meta Pro" w:eastAsia="Times New Roman" w:hAnsi="Meta Pro"/>
                <w:b/>
                <w:bCs/>
                <w:szCs w:val="18"/>
                <w:lang w:eastAsia="en-AU"/>
              </w:rPr>
            </w:pPr>
          </w:p>
        </w:tc>
        <w:tc>
          <w:tcPr>
            <w:tcW w:w="200" w:type="dxa"/>
            <w:tcBorders>
              <w:top w:val="nil"/>
              <w:left w:val="nil"/>
              <w:bottom w:val="nil"/>
              <w:right w:val="nil"/>
            </w:tcBorders>
            <w:shd w:val="clear" w:color="auto" w:fill="auto"/>
            <w:noWrap/>
            <w:vAlign w:val="center"/>
            <w:hideMark/>
          </w:tcPr>
          <w:p w14:paraId="6BE9CE98" w14:textId="77777777" w:rsidR="00941F8E" w:rsidRPr="00DD5ECE" w:rsidRDefault="00941F8E" w:rsidP="00E607DA">
            <w:pPr>
              <w:rPr>
                <w:rFonts w:eastAsia="Times New Roman" w:cs="Times New Roman"/>
                <w:sz w:val="20"/>
                <w:szCs w:val="20"/>
                <w:lang w:eastAsia="en-AU"/>
              </w:rPr>
            </w:pPr>
          </w:p>
        </w:tc>
        <w:tc>
          <w:tcPr>
            <w:tcW w:w="1135" w:type="dxa"/>
            <w:tcBorders>
              <w:top w:val="nil"/>
              <w:left w:val="nil"/>
              <w:bottom w:val="nil"/>
              <w:right w:val="nil"/>
            </w:tcBorders>
            <w:shd w:val="clear" w:color="auto" w:fill="auto"/>
            <w:noWrap/>
            <w:vAlign w:val="center"/>
            <w:hideMark/>
          </w:tcPr>
          <w:p w14:paraId="03A79602" w14:textId="77777777" w:rsidR="00941F8E" w:rsidRPr="00DD5ECE" w:rsidRDefault="00941F8E" w:rsidP="00E607DA">
            <w:pPr>
              <w:jc w:val="center"/>
              <w:rPr>
                <w:rFonts w:eastAsia="Times New Roman" w:cs="Times New Roman"/>
                <w:sz w:val="20"/>
                <w:szCs w:val="20"/>
                <w:lang w:eastAsia="en-AU"/>
              </w:rPr>
            </w:pPr>
          </w:p>
        </w:tc>
        <w:tc>
          <w:tcPr>
            <w:tcW w:w="200" w:type="dxa"/>
            <w:tcBorders>
              <w:top w:val="nil"/>
              <w:left w:val="nil"/>
              <w:bottom w:val="nil"/>
              <w:right w:val="nil"/>
            </w:tcBorders>
            <w:shd w:val="clear" w:color="auto" w:fill="auto"/>
            <w:noWrap/>
            <w:vAlign w:val="center"/>
            <w:hideMark/>
          </w:tcPr>
          <w:p w14:paraId="4F3276B5" w14:textId="77777777" w:rsidR="00941F8E" w:rsidRPr="00DD5ECE" w:rsidRDefault="00941F8E" w:rsidP="00E607DA">
            <w:pPr>
              <w:rPr>
                <w:rFonts w:eastAsia="Times New Roman" w:cs="Times New Roman"/>
                <w:sz w:val="20"/>
                <w:szCs w:val="20"/>
                <w:lang w:eastAsia="en-AU"/>
              </w:rPr>
            </w:pPr>
          </w:p>
        </w:tc>
        <w:tc>
          <w:tcPr>
            <w:tcW w:w="1130" w:type="dxa"/>
            <w:tcBorders>
              <w:top w:val="nil"/>
              <w:left w:val="nil"/>
              <w:bottom w:val="nil"/>
              <w:right w:val="nil"/>
            </w:tcBorders>
            <w:shd w:val="clear" w:color="auto" w:fill="auto"/>
            <w:noWrap/>
            <w:vAlign w:val="center"/>
            <w:hideMark/>
          </w:tcPr>
          <w:p w14:paraId="5E00EF7E" w14:textId="77777777" w:rsidR="00941F8E" w:rsidRPr="00DD5ECE" w:rsidRDefault="00941F8E" w:rsidP="00E607DA">
            <w:pPr>
              <w:jc w:val="center"/>
              <w:rPr>
                <w:rFonts w:eastAsia="Times New Roman" w:cs="Times New Roman"/>
                <w:sz w:val="20"/>
                <w:szCs w:val="20"/>
                <w:lang w:eastAsia="en-AU"/>
              </w:rPr>
            </w:pPr>
          </w:p>
        </w:tc>
      </w:tr>
      <w:tr w:rsidR="00941F8E" w:rsidRPr="00DD5ECE" w14:paraId="5D429FD3" w14:textId="77777777" w:rsidTr="00E86873">
        <w:trPr>
          <w:trHeight w:val="227"/>
        </w:trPr>
        <w:tc>
          <w:tcPr>
            <w:tcW w:w="5842" w:type="dxa"/>
            <w:tcBorders>
              <w:top w:val="nil"/>
              <w:left w:val="nil"/>
              <w:bottom w:val="nil"/>
              <w:right w:val="nil"/>
            </w:tcBorders>
            <w:shd w:val="clear" w:color="auto" w:fill="auto"/>
            <w:noWrap/>
            <w:vAlign w:val="center"/>
            <w:hideMark/>
          </w:tcPr>
          <w:p w14:paraId="7FCEFE56" w14:textId="77777777" w:rsidR="00941F8E" w:rsidRPr="00DD5ECE" w:rsidRDefault="00941F8E" w:rsidP="00E607DA">
            <w:pPr>
              <w:rPr>
                <w:rFonts w:ascii="Meta Pro" w:eastAsia="Times New Roman" w:hAnsi="Meta Pro"/>
                <w:szCs w:val="18"/>
                <w:lang w:eastAsia="en-AU"/>
              </w:rPr>
            </w:pPr>
            <w:r w:rsidRPr="00DD5ECE">
              <w:rPr>
                <w:rFonts w:ascii="Meta Pro" w:eastAsia="Times New Roman" w:hAnsi="Meta Pro"/>
                <w:szCs w:val="18"/>
                <w:lang w:eastAsia="en-AU"/>
              </w:rPr>
              <w:t>Grants and subsidies</w:t>
            </w:r>
          </w:p>
        </w:tc>
        <w:tc>
          <w:tcPr>
            <w:tcW w:w="1131" w:type="dxa"/>
            <w:tcBorders>
              <w:top w:val="nil"/>
              <w:left w:val="nil"/>
              <w:bottom w:val="nil"/>
              <w:right w:val="nil"/>
            </w:tcBorders>
            <w:shd w:val="clear" w:color="auto" w:fill="auto"/>
            <w:noWrap/>
            <w:vAlign w:val="center"/>
            <w:hideMark/>
          </w:tcPr>
          <w:p w14:paraId="43002240" w14:textId="77777777" w:rsidR="00941F8E" w:rsidRPr="00DD5ECE" w:rsidRDefault="00941F8E" w:rsidP="00E607DA">
            <w:pPr>
              <w:jc w:val="right"/>
              <w:rPr>
                <w:rFonts w:ascii="Meta Pro" w:eastAsia="Times New Roman" w:hAnsi="Meta Pro"/>
                <w:szCs w:val="18"/>
                <w:lang w:eastAsia="en-AU"/>
              </w:rPr>
            </w:pPr>
            <w:r w:rsidRPr="00DD5ECE">
              <w:rPr>
                <w:rFonts w:ascii="Meta Pro" w:eastAsia="Times New Roman" w:hAnsi="Meta Pro"/>
                <w:szCs w:val="18"/>
                <w:lang w:eastAsia="en-AU"/>
              </w:rPr>
              <w:t xml:space="preserve">109,746 </w:t>
            </w:r>
          </w:p>
        </w:tc>
        <w:tc>
          <w:tcPr>
            <w:tcW w:w="200" w:type="dxa"/>
            <w:tcBorders>
              <w:top w:val="nil"/>
              <w:left w:val="nil"/>
              <w:bottom w:val="nil"/>
              <w:right w:val="nil"/>
            </w:tcBorders>
            <w:shd w:val="clear" w:color="auto" w:fill="auto"/>
            <w:noWrap/>
            <w:vAlign w:val="center"/>
            <w:hideMark/>
          </w:tcPr>
          <w:p w14:paraId="772ED893" w14:textId="77777777" w:rsidR="00941F8E" w:rsidRPr="00DD5ECE" w:rsidRDefault="00941F8E" w:rsidP="00E607DA">
            <w:pPr>
              <w:jc w:val="right"/>
              <w:rPr>
                <w:rFonts w:ascii="Meta Pro" w:eastAsia="Times New Roman" w:hAnsi="Meta Pro"/>
                <w:szCs w:val="18"/>
                <w:lang w:eastAsia="en-AU"/>
              </w:rPr>
            </w:pPr>
          </w:p>
        </w:tc>
        <w:tc>
          <w:tcPr>
            <w:tcW w:w="1135" w:type="dxa"/>
            <w:tcBorders>
              <w:top w:val="nil"/>
              <w:left w:val="nil"/>
              <w:bottom w:val="nil"/>
              <w:right w:val="nil"/>
            </w:tcBorders>
            <w:shd w:val="clear" w:color="auto" w:fill="auto"/>
            <w:noWrap/>
            <w:vAlign w:val="center"/>
            <w:hideMark/>
          </w:tcPr>
          <w:p w14:paraId="5B376BBF" w14:textId="77777777" w:rsidR="00941F8E" w:rsidRPr="00DD5ECE" w:rsidRDefault="00941F8E" w:rsidP="00E607DA">
            <w:pPr>
              <w:jc w:val="right"/>
              <w:rPr>
                <w:rFonts w:ascii="Meta Pro" w:eastAsia="Times New Roman" w:hAnsi="Meta Pro"/>
                <w:szCs w:val="18"/>
                <w:lang w:eastAsia="en-AU"/>
              </w:rPr>
            </w:pPr>
            <w:r w:rsidRPr="00DD5ECE">
              <w:rPr>
                <w:rFonts w:ascii="Meta Pro" w:eastAsia="Times New Roman" w:hAnsi="Meta Pro"/>
                <w:szCs w:val="18"/>
                <w:lang w:eastAsia="en-AU"/>
              </w:rPr>
              <w:t xml:space="preserve">86,385 </w:t>
            </w:r>
          </w:p>
        </w:tc>
        <w:tc>
          <w:tcPr>
            <w:tcW w:w="200" w:type="dxa"/>
            <w:tcBorders>
              <w:top w:val="nil"/>
              <w:left w:val="nil"/>
              <w:bottom w:val="nil"/>
              <w:right w:val="nil"/>
            </w:tcBorders>
            <w:shd w:val="clear" w:color="auto" w:fill="auto"/>
            <w:noWrap/>
            <w:vAlign w:val="center"/>
            <w:hideMark/>
          </w:tcPr>
          <w:p w14:paraId="782D7166" w14:textId="77777777" w:rsidR="00941F8E" w:rsidRPr="00DD5ECE" w:rsidRDefault="00941F8E" w:rsidP="00E607DA">
            <w:pPr>
              <w:jc w:val="right"/>
              <w:rPr>
                <w:rFonts w:ascii="Meta Pro" w:eastAsia="Times New Roman" w:hAnsi="Meta Pro"/>
                <w:szCs w:val="18"/>
                <w:lang w:eastAsia="en-AU"/>
              </w:rPr>
            </w:pPr>
          </w:p>
        </w:tc>
        <w:tc>
          <w:tcPr>
            <w:tcW w:w="1130" w:type="dxa"/>
            <w:tcBorders>
              <w:top w:val="nil"/>
              <w:left w:val="nil"/>
              <w:bottom w:val="nil"/>
              <w:right w:val="nil"/>
            </w:tcBorders>
            <w:shd w:val="clear" w:color="auto" w:fill="auto"/>
            <w:noWrap/>
            <w:vAlign w:val="center"/>
            <w:hideMark/>
          </w:tcPr>
          <w:p w14:paraId="02644F4B" w14:textId="77777777" w:rsidR="00941F8E" w:rsidRPr="00DD5ECE" w:rsidRDefault="00941F8E" w:rsidP="00E607DA">
            <w:pPr>
              <w:jc w:val="right"/>
              <w:rPr>
                <w:rFonts w:ascii="Meta Pro" w:eastAsia="Times New Roman" w:hAnsi="Meta Pro"/>
                <w:szCs w:val="18"/>
                <w:lang w:eastAsia="en-AU"/>
              </w:rPr>
            </w:pPr>
            <w:r w:rsidRPr="00DD5ECE">
              <w:rPr>
                <w:rFonts w:ascii="Meta Pro" w:eastAsia="Times New Roman" w:hAnsi="Meta Pro"/>
                <w:szCs w:val="18"/>
                <w:lang w:eastAsia="en-AU"/>
              </w:rPr>
              <w:t>(23,361)</w:t>
            </w:r>
          </w:p>
        </w:tc>
      </w:tr>
      <w:tr w:rsidR="00941F8E" w:rsidRPr="00DD5ECE" w14:paraId="21E0CEDC" w14:textId="77777777" w:rsidTr="00E86873">
        <w:trPr>
          <w:trHeight w:val="227"/>
        </w:trPr>
        <w:tc>
          <w:tcPr>
            <w:tcW w:w="5842" w:type="dxa"/>
            <w:tcBorders>
              <w:top w:val="nil"/>
              <w:left w:val="nil"/>
              <w:bottom w:val="nil"/>
              <w:right w:val="nil"/>
            </w:tcBorders>
            <w:shd w:val="clear" w:color="auto" w:fill="auto"/>
            <w:noWrap/>
            <w:vAlign w:val="center"/>
            <w:hideMark/>
          </w:tcPr>
          <w:p w14:paraId="5FFA489B" w14:textId="77777777" w:rsidR="00941F8E" w:rsidRPr="00DD5ECE" w:rsidRDefault="00941F8E" w:rsidP="00E607DA">
            <w:pPr>
              <w:rPr>
                <w:rFonts w:ascii="Meta Pro" w:eastAsia="Times New Roman" w:hAnsi="Meta Pro"/>
                <w:szCs w:val="18"/>
                <w:lang w:eastAsia="en-AU"/>
              </w:rPr>
            </w:pPr>
            <w:r w:rsidRPr="00DD5ECE">
              <w:rPr>
                <w:rFonts w:ascii="Meta Pro" w:eastAsia="Times New Roman" w:hAnsi="Meta Pro"/>
                <w:szCs w:val="18"/>
                <w:lang w:eastAsia="en-AU"/>
              </w:rPr>
              <w:t>Impairment losses on trade receivables</w:t>
            </w:r>
          </w:p>
        </w:tc>
        <w:tc>
          <w:tcPr>
            <w:tcW w:w="1131" w:type="dxa"/>
            <w:tcBorders>
              <w:top w:val="nil"/>
              <w:left w:val="nil"/>
              <w:bottom w:val="nil"/>
              <w:right w:val="nil"/>
            </w:tcBorders>
            <w:shd w:val="clear" w:color="auto" w:fill="auto"/>
            <w:noWrap/>
            <w:vAlign w:val="center"/>
            <w:hideMark/>
          </w:tcPr>
          <w:p w14:paraId="1FC042D2" w14:textId="77777777" w:rsidR="00941F8E" w:rsidRPr="00DD5ECE" w:rsidRDefault="00941F8E" w:rsidP="00E607DA">
            <w:pPr>
              <w:jc w:val="right"/>
              <w:rPr>
                <w:rFonts w:ascii="Meta Pro" w:eastAsia="Times New Roman" w:hAnsi="Meta Pro"/>
                <w:szCs w:val="18"/>
                <w:lang w:eastAsia="en-AU"/>
              </w:rPr>
            </w:pPr>
            <w:r w:rsidRPr="00DD5ECE">
              <w:rPr>
                <w:rFonts w:ascii="Meta Pro" w:eastAsia="Times New Roman" w:hAnsi="Meta Pro"/>
                <w:szCs w:val="18"/>
                <w:lang w:eastAsia="en-AU"/>
              </w:rPr>
              <w:t xml:space="preserve">- </w:t>
            </w:r>
          </w:p>
        </w:tc>
        <w:tc>
          <w:tcPr>
            <w:tcW w:w="200" w:type="dxa"/>
            <w:tcBorders>
              <w:top w:val="nil"/>
              <w:left w:val="nil"/>
              <w:bottom w:val="nil"/>
              <w:right w:val="nil"/>
            </w:tcBorders>
            <w:shd w:val="clear" w:color="auto" w:fill="auto"/>
            <w:noWrap/>
            <w:vAlign w:val="center"/>
            <w:hideMark/>
          </w:tcPr>
          <w:p w14:paraId="2DD023F8" w14:textId="77777777" w:rsidR="00941F8E" w:rsidRPr="00DD5ECE" w:rsidRDefault="00941F8E" w:rsidP="00E607DA">
            <w:pPr>
              <w:jc w:val="right"/>
              <w:rPr>
                <w:rFonts w:ascii="Meta Pro" w:eastAsia="Times New Roman" w:hAnsi="Meta Pro"/>
                <w:szCs w:val="18"/>
                <w:lang w:eastAsia="en-AU"/>
              </w:rPr>
            </w:pPr>
          </w:p>
        </w:tc>
        <w:tc>
          <w:tcPr>
            <w:tcW w:w="1135" w:type="dxa"/>
            <w:tcBorders>
              <w:top w:val="nil"/>
              <w:left w:val="nil"/>
              <w:bottom w:val="nil"/>
              <w:right w:val="nil"/>
            </w:tcBorders>
            <w:shd w:val="clear" w:color="auto" w:fill="auto"/>
            <w:noWrap/>
            <w:vAlign w:val="center"/>
            <w:hideMark/>
          </w:tcPr>
          <w:p w14:paraId="2500A4FB" w14:textId="77777777" w:rsidR="00941F8E" w:rsidRPr="00DD5ECE" w:rsidRDefault="00941F8E" w:rsidP="00E607DA">
            <w:pPr>
              <w:jc w:val="right"/>
              <w:rPr>
                <w:rFonts w:ascii="Meta Pro" w:eastAsia="Times New Roman" w:hAnsi="Meta Pro"/>
                <w:szCs w:val="18"/>
                <w:lang w:eastAsia="en-AU"/>
              </w:rPr>
            </w:pPr>
            <w:r w:rsidRPr="00DD5ECE">
              <w:rPr>
                <w:rFonts w:ascii="Meta Pro" w:eastAsia="Times New Roman" w:hAnsi="Meta Pro"/>
                <w:szCs w:val="18"/>
                <w:lang w:eastAsia="en-AU"/>
              </w:rPr>
              <w:t xml:space="preserve">27 </w:t>
            </w:r>
          </w:p>
        </w:tc>
        <w:tc>
          <w:tcPr>
            <w:tcW w:w="200" w:type="dxa"/>
            <w:tcBorders>
              <w:top w:val="nil"/>
              <w:left w:val="nil"/>
              <w:bottom w:val="nil"/>
              <w:right w:val="nil"/>
            </w:tcBorders>
            <w:shd w:val="clear" w:color="auto" w:fill="auto"/>
            <w:noWrap/>
            <w:vAlign w:val="center"/>
            <w:hideMark/>
          </w:tcPr>
          <w:p w14:paraId="24C5FA64" w14:textId="77777777" w:rsidR="00941F8E" w:rsidRPr="00DD5ECE" w:rsidRDefault="00941F8E" w:rsidP="00E607DA">
            <w:pPr>
              <w:jc w:val="right"/>
              <w:rPr>
                <w:rFonts w:ascii="Meta Pro" w:eastAsia="Times New Roman" w:hAnsi="Meta Pro"/>
                <w:szCs w:val="18"/>
                <w:lang w:eastAsia="en-AU"/>
              </w:rPr>
            </w:pPr>
          </w:p>
        </w:tc>
        <w:tc>
          <w:tcPr>
            <w:tcW w:w="1130" w:type="dxa"/>
            <w:tcBorders>
              <w:top w:val="nil"/>
              <w:left w:val="nil"/>
              <w:bottom w:val="nil"/>
              <w:right w:val="nil"/>
            </w:tcBorders>
            <w:shd w:val="clear" w:color="auto" w:fill="auto"/>
            <w:noWrap/>
            <w:vAlign w:val="center"/>
            <w:hideMark/>
          </w:tcPr>
          <w:p w14:paraId="5A239390" w14:textId="77777777" w:rsidR="00941F8E" w:rsidRPr="00DD5ECE" w:rsidRDefault="00941F8E" w:rsidP="00E607DA">
            <w:pPr>
              <w:jc w:val="right"/>
              <w:rPr>
                <w:rFonts w:ascii="Meta Pro" w:eastAsia="Times New Roman" w:hAnsi="Meta Pro"/>
                <w:szCs w:val="18"/>
                <w:lang w:eastAsia="en-AU"/>
              </w:rPr>
            </w:pPr>
            <w:r w:rsidRPr="00DD5ECE">
              <w:rPr>
                <w:rFonts w:ascii="Meta Pro" w:eastAsia="Times New Roman" w:hAnsi="Meta Pro"/>
                <w:szCs w:val="18"/>
                <w:lang w:eastAsia="en-AU"/>
              </w:rPr>
              <w:t xml:space="preserve">27 </w:t>
            </w:r>
          </w:p>
        </w:tc>
      </w:tr>
      <w:tr w:rsidR="00941F8E" w:rsidRPr="00DD5ECE" w14:paraId="3489B4CF" w14:textId="77777777" w:rsidTr="00E86873">
        <w:trPr>
          <w:trHeight w:val="227"/>
        </w:trPr>
        <w:tc>
          <w:tcPr>
            <w:tcW w:w="5842" w:type="dxa"/>
            <w:tcBorders>
              <w:top w:val="nil"/>
              <w:left w:val="nil"/>
              <w:bottom w:val="nil"/>
              <w:right w:val="nil"/>
            </w:tcBorders>
            <w:shd w:val="clear" w:color="auto" w:fill="auto"/>
            <w:noWrap/>
            <w:vAlign w:val="center"/>
            <w:hideMark/>
          </w:tcPr>
          <w:p w14:paraId="486C95B4" w14:textId="77777777" w:rsidR="00941F8E" w:rsidRPr="00DD5ECE" w:rsidRDefault="00941F8E" w:rsidP="00E607DA">
            <w:pPr>
              <w:rPr>
                <w:rFonts w:ascii="Meta Pro" w:eastAsia="Times New Roman" w:hAnsi="Meta Pro"/>
                <w:szCs w:val="18"/>
                <w:lang w:eastAsia="en-AU"/>
              </w:rPr>
            </w:pPr>
            <w:r w:rsidRPr="00DD5ECE">
              <w:rPr>
                <w:rFonts w:ascii="Meta Pro" w:eastAsia="Times New Roman" w:hAnsi="Meta Pro"/>
                <w:szCs w:val="18"/>
                <w:lang w:eastAsia="en-AU"/>
              </w:rPr>
              <w:t>Transfers of administered revenue to government</w:t>
            </w:r>
          </w:p>
        </w:tc>
        <w:tc>
          <w:tcPr>
            <w:tcW w:w="1131" w:type="dxa"/>
            <w:tcBorders>
              <w:top w:val="nil"/>
              <w:left w:val="nil"/>
              <w:bottom w:val="nil"/>
              <w:right w:val="nil"/>
            </w:tcBorders>
            <w:shd w:val="clear" w:color="auto" w:fill="auto"/>
            <w:noWrap/>
            <w:vAlign w:val="center"/>
            <w:hideMark/>
          </w:tcPr>
          <w:p w14:paraId="08B7F4AF" w14:textId="77777777" w:rsidR="00941F8E" w:rsidRPr="00DD5ECE" w:rsidRDefault="00941F8E" w:rsidP="00E607DA">
            <w:pPr>
              <w:jc w:val="right"/>
              <w:rPr>
                <w:rFonts w:ascii="Meta Pro" w:eastAsia="Times New Roman" w:hAnsi="Meta Pro"/>
                <w:szCs w:val="18"/>
                <w:lang w:eastAsia="en-AU"/>
              </w:rPr>
            </w:pPr>
            <w:r w:rsidRPr="00DD5ECE">
              <w:rPr>
                <w:rFonts w:ascii="Meta Pro" w:eastAsia="Times New Roman" w:hAnsi="Meta Pro"/>
                <w:szCs w:val="18"/>
                <w:lang w:eastAsia="en-AU"/>
              </w:rPr>
              <w:t xml:space="preserve">2,872,070 </w:t>
            </w:r>
          </w:p>
        </w:tc>
        <w:tc>
          <w:tcPr>
            <w:tcW w:w="200" w:type="dxa"/>
            <w:tcBorders>
              <w:top w:val="nil"/>
              <w:left w:val="nil"/>
              <w:bottom w:val="nil"/>
              <w:right w:val="nil"/>
            </w:tcBorders>
            <w:shd w:val="clear" w:color="auto" w:fill="auto"/>
            <w:noWrap/>
            <w:vAlign w:val="center"/>
            <w:hideMark/>
          </w:tcPr>
          <w:p w14:paraId="14328C55" w14:textId="77777777" w:rsidR="00941F8E" w:rsidRPr="00DD5ECE" w:rsidRDefault="00941F8E" w:rsidP="00E607DA">
            <w:pPr>
              <w:jc w:val="right"/>
              <w:rPr>
                <w:rFonts w:ascii="Meta Pro" w:eastAsia="Times New Roman" w:hAnsi="Meta Pro"/>
                <w:szCs w:val="18"/>
                <w:lang w:eastAsia="en-AU"/>
              </w:rPr>
            </w:pPr>
          </w:p>
        </w:tc>
        <w:tc>
          <w:tcPr>
            <w:tcW w:w="1135" w:type="dxa"/>
            <w:tcBorders>
              <w:top w:val="nil"/>
              <w:left w:val="nil"/>
              <w:bottom w:val="nil"/>
              <w:right w:val="nil"/>
            </w:tcBorders>
            <w:shd w:val="clear" w:color="auto" w:fill="auto"/>
            <w:noWrap/>
            <w:vAlign w:val="center"/>
            <w:hideMark/>
          </w:tcPr>
          <w:p w14:paraId="723E598A" w14:textId="77777777" w:rsidR="00941F8E" w:rsidRPr="00DD5ECE" w:rsidRDefault="00941F8E" w:rsidP="00E607DA">
            <w:pPr>
              <w:jc w:val="right"/>
              <w:rPr>
                <w:rFonts w:ascii="Meta Pro" w:eastAsia="Times New Roman" w:hAnsi="Meta Pro"/>
                <w:szCs w:val="18"/>
                <w:lang w:eastAsia="en-AU"/>
              </w:rPr>
            </w:pPr>
            <w:r w:rsidRPr="00DD5ECE">
              <w:rPr>
                <w:rFonts w:ascii="Meta Pro" w:eastAsia="Times New Roman" w:hAnsi="Meta Pro"/>
                <w:szCs w:val="18"/>
                <w:lang w:eastAsia="en-AU"/>
              </w:rPr>
              <w:t xml:space="preserve">2,919,052 </w:t>
            </w:r>
          </w:p>
        </w:tc>
        <w:tc>
          <w:tcPr>
            <w:tcW w:w="200" w:type="dxa"/>
            <w:tcBorders>
              <w:top w:val="nil"/>
              <w:left w:val="nil"/>
              <w:bottom w:val="nil"/>
              <w:right w:val="nil"/>
            </w:tcBorders>
            <w:shd w:val="clear" w:color="auto" w:fill="auto"/>
            <w:noWrap/>
            <w:vAlign w:val="center"/>
            <w:hideMark/>
          </w:tcPr>
          <w:p w14:paraId="5CFDF9F8" w14:textId="77777777" w:rsidR="00941F8E" w:rsidRPr="00DD5ECE" w:rsidRDefault="00941F8E" w:rsidP="00E607DA">
            <w:pPr>
              <w:jc w:val="right"/>
              <w:rPr>
                <w:rFonts w:ascii="Meta Pro" w:eastAsia="Times New Roman" w:hAnsi="Meta Pro"/>
                <w:szCs w:val="18"/>
                <w:lang w:eastAsia="en-AU"/>
              </w:rPr>
            </w:pPr>
          </w:p>
        </w:tc>
        <w:tc>
          <w:tcPr>
            <w:tcW w:w="1130" w:type="dxa"/>
            <w:tcBorders>
              <w:top w:val="nil"/>
              <w:left w:val="nil"/>
              <w:bottom w:val="nil"/>
              <w:right w:val="nil"/>
            </w:tcBorders>
            <w:shd w:val="clear" w:color="auto" w:fill="auto"/>
            <w:noWrap/>
            <w:vAlign w:val="center"/>
            <w:hideMark/>
          </w:tcPr>
          <w:p w14:paraId="166B7C3C" w14:textId="77777777" w:rsidR="00941F8E" w:rsidRPr="00DD5ECE" w:rsidRDefault="00941F8E" w:rsidP="00E607DA">
            <w:pPr>
              <w:jc w:val="right"/>
              <w:rPr>
                <w:rFonts w:ascii="Meta Pro" w:eastAsia="Times New Roman" w:hAnsi="Meta Pro"/>
                <w:szCs w:val="18"/>
                <w:lang w:eastAsia="en-AU"/>
              </w:rPr>
            </w:pPr>
            <w:r w:rsidRPr="00DD5ECE">
              <w:rPr>
                <w:rFonts w:ascii="Meta Pro" w:eastAsia="Times New Roman" w:hAnsi="Meta Pro"/>
                <w:szCs w:val="18"/>
                <w:lang w:eastAsia="en-AU"/>
              </w:rPr>
              <w:t xml:space="preserve">46,982 </w:t>
            </w:r>
          </w:p>
        </w:tc>
      </w:tr>
      <w:tr w:rsidR="00941F8E" w:rsidRPr="00DD5ECE" w14:paraId="61B9F9D6" w14:textId="77777777" w:rsidTr="00E86873">
        <w:trPr>
          <w:trHeight w:val="227"/>
        </w:trPr>
        <w:tc>
          <w:tcPr>
            <w:tcW w:w="5842" w:type="dxa"/>
            <w:tcBorders>
              <w:top w:val="nil"/>
              <w:left w:val="nil"/>
              <w:bottom w:val="nil"/>
              <w:right w:val="nil"/>
            </w:tcBorders>
            <w:shd w:val="clear" w:color="auto" w:fill="auto"/>
            <w:noWrap/>
            <w:vAlign w:val="center"/>
            <w:hideMark/>
          </w:tcPr>
          <w:p w14:paraId="21EA26B8" w14:textId="77777777" w:rsidR="00941F8E" w:rsidRPr="00DD5ECE" w:rsidRDefault="00941F8E" w:rsidP="00E607DA">
            <w:pPr>
              <w:rPr>
                <w:rFonts w:ascii="Meta Pro" w:eastAsia="Times New Roman" w:hAnsi="Meta Pro"/>
                <w:szCs w:val="18"/>
                <w:lang w:eastAsia="en-AU"/>
              </w:rPr>
            </w:pPr>
            <w:r w:rsidRPr="00DD5ECE">
              <w:rPr>
                <w:rFonts w:ascii="Meta Pro" w:eastAsia="Times New Roman" w:hAnsi="Meta Pro"/>
                <w:szCs w:val="18"/>
                <w:lang w:eastAsia="en-AU"/>
              </w:rPr>
              <w:t>Other</w:t>
            </w:r>
          </w:p>
        </w:tc>
        <w:tc>
          <w:tcPr>
            <w:tcW w:w="1131" w:type="dxa"/>
            <w:tcBorders>
              <w:top w:val="nil"/>
              <w:left w:val="nil"/>
              <w:bottom w:val="nil"/>
              <w:right w:val="nil"/>
            </w:tcBorders>
            <w:shd w:val="clear" w:color="auto" w:fill="auto"/>
            <w:noWrap/>
            <w:vAlign w:val="center"/>
            <w:hideMark/>
          </w:tcPr>
          <w:p w14:paraId="2EDC1931" w14:textId="77777777" w:rsidR="00941F8E" w:rsidRPr="00DD5ECE" w:rsidRDefault="00941F8E" w:rsidP="00E607DA">
            <w:pPr>
              <w:jc w:val="right"/>
              <w:rPr>
                <w:rFonts w:ascii="Meta Pro" w:eastAsia="Times New Roman" w:hAnsi="Meta Pro"/>
                <w:szCs w:val="18"/>
                <w:lang w:eastAsia="en-AU"/>
              </w:rPr>
            </w:pPr>
            <w:r w:rsidRPr="00DD5ECE">
              <w:rPr>
                <w:rFonts w:ascii="Meta Pro" w:eastAsia="Times New Roman" w:hAnsi="Meta Pro"/>
                <w:szCs w:val="18"/>
                <w:lang w:eastAsia="en-AU"/>
              </w:rPr>
              <w:t xml:space="preserve">- </w:t>
            </w:r>
          </w:p>
        </w:tc>
        <w:tc>
          <w:tcPr>
            <w:tcW w:w="200" w:type="dxa"/>
            <w:tcBorders>
              <w:top w:val="nil"/>
              <w:left w:val="nil"/>
              <w:bottom w:val="nil"/>
              <w:right w:val="nil"/>
            </w:tcBorders>
            <w:shd w:val="clear" w:color="auto" w:fill="auto"/>
            <w:noWrap/>
            <w:vAlign w:val="center"/>
            <w:hideMark/>
          </w:tcPr>
          <w:p w14:paraId="4CBF370E" w14:textId="77777777" w:rsidR="00941F8E" w:rsidRPr="00DD5ECE" w:rsidRDefault="00941F8E" w:rsidP="00E607DA">
            <w:pPr>
              <w:jc w:val="right"/>
              <w:rPr>
                <w:rFonts w:ascii="Meta Pro" w:eastAsia="Times New Roman" w:hAnsi="Meta Pro"/>
                <w:szCs w:val="18"/>
                <w:lang w:eastAsia="en-AU"/>
              </w:rPr>
            </w:pPr>
          </w:p>
        </w:tc>
        <w:tc>
          <w:tcPr>
            <w:tcW w:w="1135" w:type="dxa"/>
            <w:tcBorders>
              <w:top w:val="nil"/>
              <w:left w:val="nil"/>
              <w:bottom w:val="single" w:sz="4" w:space="0" w:color="auto"/>
              <w:right w:val="nil"/>
            </w:tcBorders>
            <w:shd w:val="clear" w:color="auto" w:fill="auto"/>
            <w:noWrap/>
            <w:vAlign w:val="center"/>
            <w:hideMark/>
          </w:tcPr>
          <w:p w14:paraId="5EAFEE26" w14:textId="77777777" w:rsidR="00941F8E" w:rsidRPr="00DD5ECE" w:rsidRDefault="00941F8E" w:rsidP="00E607DA">
            <w:pPr>
              <w:jc w:val="right"/>
              <w:rPr>
                <w:rFonts w:ascii="Meta Pro" w:eastAsia="Times New Roman" w:hAnsi="Meta Pro"/>
                <w:szCs w:val="18"/>
                <w:lang w:eastAsia="en-AU"/>
              </w:rPr>
            </w:pPr>
            <w:r w:rsidRPr="00DD5ECE">
              <w:rPr>
                <w:rFonts w:ascii="Meta Pro" w:eastAsia="Times New Roman" w:hAnsi="Meta Pro"/>
                <w:szCs w:val="18"/>
                <w:lang w:eastAsia="en-AU"/>
              </w:rPr>
              <w:t xml:space="preserve">505 </w:t>
            </w:r>
          </w:p>
        </w:tc>
        <w:tc>
          <w:tcPr>
            <w:tcW w:w="200" w:type="dxa"/>
            <w:tcBorders>
              <w:top w:val="nil"/>
              <w:left w:val="nil"/>
              <w:bottom w:val="nil"/>
              <w:right w:val="nil"/>
            </w:tcBorders>
            <w:shd w:val="clear" w:color="auto" w:fill="auto"/>
            <w:noWrap/>
            <w:vAlign w:val="center"/>
            <w:hideMark/>
          </w:tcPr>
          <w:p w14:paraId="1E500E62" w14:textId="77777777" w:rsidR="00941F8E" w:rsidRPr="00DD5ECE" w:rsidRDefault="00941F8E" w:rsidP="00E607DA">
            <w:pPr>
              <w:jc w:val="right"/>
              <w:rPr>
                <w:rFonts w:ascii="Meta Pro" w:eastAsia="Times New Roman" w:hAnsi="Meta Pro"/>
                <w:szCs w:val="18"/>
                <w:lang w:eastAsia="en-AU"/>
              </w:rPr>
            </w:pPr>
          </w:p>
        </w:tc>
        <w:tc>
          <w:tcPr>
            <w:tcW w:w="1130" w:type="dxa"/>
            <w:tcBorders>
              <w:top w:val="nil"/>
              <w:left w:val="nil"/>
              <w:bottom w:val="nil"/>
              <w:right w:val="nil"/>
            </w:tcBorders>
            <w:shd w:val="clear" w:color="auto" w:fill="auto"/>
            <w:noWrap/>
            <w:vAlign w:val="center"/>
            <w:hideMark/>
          </w:tcPr>
          <w:p w14:paraId="004492A2" w14:textId="77777777" w:rsidR="00941F8E" w:rsidRPr="00DD5ECE" w:rsidRDefault="00941F8E" w:rsidP="00E607DA">
            <w:pPr>
              <w:jc w:val="right"/>
              <w:rPr>
                <w:rFonts w:ascii="Meta Pro" w:eastAsia="Times New Roman" w:hAnsi="Meta Pro"/>
                <w:szCs w:val="18"/>
                <w:lang w:eastAsia="en-AU"/>
              </w:rPr>
            </w:pPr>
            <w:r w:rsidRPr="00DD5ECE">
              <w:rPr>
                <w:rFonts w:ascii="Meta Pro" w:eastAsia="Times New Roman" w:hAnsi="Meta Pro"/>
                <w:szCs w:val="18"/>
                <w:lang w:eastAsia="en-AU"/>
              </w:rPr>
              <w:t xml:space="preserve">505 </w:t>
            </w:r>
          </w:p>
        </w:tc>
      </w:tr>
      <w:tr w:rsidR="00941F8E" w:rsidRPr="00DD5ECE" w14:paraId="23A8111A" w14:textId="77777777" w:rsidTr="00E86873">
        <w:trPr>
          <w:trHeight w:val="227"/>
        </w:trPr>
        <w:tc>
          <w:tcPr>
            <w:tcW w:w="5842" w:type="dxa"/>
            <w:tcBorders>
              <w:top w:val="single" w:sz="4" w:space="0" w:color="auto"/>
              <w:left w:val="nil"/>
              <w:bottom w:val="single" w:sz="4" w:space="0" w:color="auto"/>
              <w:right w:val="nil"/>
            </w:tcBorders>
            <w:shd w:val="clear" w:color="auto" w:fill="auto"/>
            <w:noWrap/>
            <w:vAlign w:val="center"/>
            <w:hideMark/>
          </w:tcPr>
          <w:p w14:paraId="36B26E4C" w14:textId="77777777" w:rsidR="00941F8E" w:rsidRPr="00DD5ECE" w:rsidRDefault="00941F8E" w:rsidP="00E607DA">
            <w:pPr>
              <w:rPr>
                <w:rFonts w:ascii="Meta Pro" w:eastAsia="Times New Roman" w:hAnsi="Meta Pro"/>
                <w:b/>
                <w:bCs/>
                <w:szCs w:val="18"/>
                <w:lang w:eastAsia="en-AU"/>
              </w:rPr>
            </w:pPr>
            <w:r w:rsidRPr="00DD5ECE">
              <w:rPr>
                <w:rFonts w:ascii="Meta Pro" w:eastAsia="Times New Roman" w:hAnsi="Meta Pro"/>
                <w:b/>
                <w:bCs/>
                <w:szCs w:val="18"/>
                <w:lang w:eastAsia="en-AU"/>
              </w:rPr>
              <w:t>Total expenses</w:t>
            </w:r>
          </w:p>
        </w:tc>
        <w:tc>
          <w:tcPr>
            <w:tcW w:w="1131" w:type="dxa"/>
            <w:tcBorders>
              <w:top w:val="single" w:sz="4" w:space="0" w:color="auto"/>
              <w:left w:val="nil"/>
              <w:bottom w:val="single" w:sz="4" w:space="0" w:color="auto"/>
              <w:right w:val="nil"/>
            </w:tcBorders>
            <w:shd w:val="clear" w:color="auto" w:fill="auto"/>
            <w:noWrap/>
            <w:vAlign w:val="center"/>
            <w:hideMark/>
          </w:tcPr>
          <w:p w14:paraId="763E1C84" w14:textId="77777777" w:rsidR="00941F8E" w:rsidRPr="00DD5ECE" w:rsidRDefault="00941F8E" w:rsidP="00E607DA">
            <w:pPr>
              <w:jc w:val="right"/>
              <w:rPr>
                <w:rFonts w:ascii="Meta Pro" w:eastAsia="Times New Roman" w:hAnsi="Meta Pro"/>
                <w:b/>
                <w:bCs/>
                <w:szCs w:val="18"/>
                <w:lang w:eastAsia="en-AU"/>
              </w:rPr>
            </w:pPr>
            <w:r w:rsidRPr="00DD5ECE">
              <w:rPr>
                <w:rFonts w:ascii="Meta Pro" w:eastAsia="Times New Roman" w:hAnsi="Meta Pro"/>
                <w:b/>
                <w:bCs/>
                <w:szCs w:val="18"/>
                <w:lang w:eastAsia="en-AU"/>
              </w:rPr>
              <w:t xml:space="preserve">2,981,816 </w:t>
            </w:r>
          </w:p>
        </w:tc>
        <w:tc>
          <w:tcPr>
            <w:tcW w:w="200" w:type="dxa"/>
            <w:tcBorders>
              <w:top w:val="single" w:sz="4" w:space="0" w:color="auto"/>
              <w:left w:val="nil"/>
              <w:bottom w:val="single" w:sz="4" w:space="0" w:color="auto"/>
              <w:right w:val="nil"/>
            </w:tcBorders>
            <w:shd w:val="clear" w:color="auto" w:fill="auto"/>
            <w:noWrap/>
            <w:vAlign w:val="center"/>
            <w:hideMark/>
          </w:tcPr>
          <w:p w14:paraId="47D8FC06" w14:textId="77777777" w:rsidR="00941F8E" w:rsidRPr="00DD5ECE" w:rsidRDefault="00941F8E" w:rsidP="00E607DA">
            <w:pPr>
              <w:jc w:val="right"/>
              <w:rPr>
                <w:rFonts w:ascii="Meta Pro" w:eastAsia="Times New Roman" w:hAnsi="Meta Pro"/>
                <w:b/>
                <w:bCs/>
                <w:szCs w:val="18"/>
                <w:lang w:eastAsia="en-AU"/>
              </w:rPr>
            </w:pPr>
            <w:r w:rsidRPr="00DD5ECE">
              <w:rPr>
                <w:rFonts w:ascii="Meta Pro" w:eastAsia="Times New Roman" w:hAnsi="Meta Pro"/>
                <w:b/>
                <w:bCs/>
                <w:szCs w:val="18"/>
                <w:lang w:eastAsia="en-AU"/>
              </w:rPr>
              <w:t> </w:t>
            </w:r>
          </w:p>
        </w:tc>
        <w:tc>
          <w:tcPr>
            <w:tcW w:w="1135" w:type="dxa"/>
            <w:tcBorders>
              <w:top w:val="nil"/>
              <w:left w:val="nil"/>
              <w:bottom w:val="single" w:sz="4" w:space="0" w:color="auto"/>
              <w:right w:val="nil"/>
            </w:tcBorders>
            <w:shd w:val="clear" w:color="auto" w:fill="auto"/>
            <w:noWrap/>
            <w:vAlign w:val="center"/>
            <w:hideMark/>
          </w:tcPr>
          <w:p w14:paraId="6A49469F" w14:textId="77777777" w:rsidR="00941F8E" w:rsidRPr="00DD5ECE" w:rsidRDefault="00941F8E" w:rsidP="00E607DA">
            <w:pPr>
              <w:jc w:val="right"/>
              <w:rPr>
                <w:rFonts w:ascii="Meta Pro" w:eastAsia="Times New Roman" w:hAnsi="Meta Pro"/>
                <w:b/>
                <w:bCs/>
                <w:szCs w:val="18"/>
                <w:lang w:eastAsia="en-AU"/>
              </w:rPr>
            </w:pPr>
            <w:r w:rsidRPr="00DD5ECE">
              <w:rPr>
                <w:rFonts w:ascii="Meta Pro" w:eastAsia="Times New Roman" w:hAnsi="Meta Pro"/>
                <w:b/>
                <w:bCs/>
                <w:szCs w:val="18"/>
                <w:lang w:eastAsia="en-AU"/>
              </w:rPr>
              <w:t xml:space="preserve">3,005,969 </w:t>
            </w:r>
          </w:p>
        </w:tc>
        <w:tc>
          <w:tcPr>
            <w:tcW w:w="200" w:type="dxa"/>
            <w:tcBorders>
              <w:top w:val="single" w:sz="4" w:space="0" w:color="auto"/>
              <w:left w:val="nil"/>
              <w:bottom w:val="single" w:sz="4" w:space="0" w:color="auto"/>
              <w:right w:val="nil"/>
            </w:tcBorders>
            <w:shd w:val="clear" w:color="auto" w:fill="auto"/>
            <w:noWrap/>
            <w:vAlign w:val="center"/>
            <w:hideMark/>
          </w:tcPr>
          <w:p w14:paraId="182736CD" w14:textId="77777777" w:rsidR="00941F8E" w:rsidRPr="00DD5ECE" w:rsidRDefault="00941F8E" w:rsidP="00E607DA">
            <w:pPr>
              <w:jc w:val="right"/>
              <w:rPr>
                <w:rFonts w:ascii="Meta Pro" w:eastAsia="Times New Roman" w:hAnsi="Meta Pro"/>
                <w:b/>
                <w:bCs/>
                <w:szCs w:val="18"/>
                <w:lang w:eastAsia="en-AU"/>
              </w:rPr>
            </w:pPr>
            <w:r w:rsidRPr="00DD5ECE">
              <w:rPr>
                <w:rFonts w:ascii="Meta Pro" w:eastAsia="Times New Roman" w:hAnsi="Meta Pro"/>
                <w:b/>
                <w:bCs/>
                <w:szCs w:val="18"/>
                <w:lang w:eastAsia="en-AU"/>
              </w:rPr>
              <w:t> </w:t>
            </w:r>
          </w:p>
        </w:tc>
        <w:tc>
          <w:tcPr>
            <w:tcW w:w="1130" w:type="dxa"/>
            <w:tcBorders>
              <w:top w:val="single" w:sz="4" w:space="0" w:color="auto"/>
              <w:left w:val="nil"/>
              <w:bottom w:val="single" w:sz="4" w:space="0" w:color="auto"/>
              <w:right w:val="nil"/>
            </w:tcBorders>
            <w:shd w:val="clear" w:color="auto" w:fill="auto"/>
            <w:noWrap/>
            <w:vAlign w:val="center"/>
            <w:hideMark/>
          </w:tcPr>
          <w:p w14:paraId="336E25AC" w14:textId="77777777" w:rsidR="00941F8E" w:rsidRPr="00DD5ECE" w:rsidRDefault="00941F8E" w:rsidP="00E607DA">
            <w:pPr>
              <w:jc w:val="right"/>
              <w:rPr>
                <w:rFonts w:ascii="Meta Pro" w:eastAsia="Times New Roman" w:hAnsi="Meta Pro"/>
                <w:b/>
                <w:bCs/>
                <w:szCs w:val="18"/>
                <w:lang w:eastAsia="en-AU"/>
              </w:rPr>
            </w:pPr>
            <w:r w:rsidRPr="00DD5ECE">
              <w:rPr>
                <w:rFonts w:ascii="Meta Pro" w:eastAsia="Times New Roman" w:hAnsi="Meta Pro"/>
                <w:b/>
                <w:bCs/>
                <w:szCs w:val="18"/>
                <w:lang w:eastAsia="en-AU"/>
              </w:rPr>
              <w:t xml:space="preserve">24,153 </w:t>
            </w:r>
          </w:p>
        </w:tc>
      </w:tr>
      <w:tr w:rsidR="00941F8E" w:rsidRPr="00DD5ECE" w14:paraId="28C87B84" w14:textId="77777777" w:rsidTr="00E86873">
        <w:trPr>
          <w:trHeight w:val="227"/>
        </w:trPr>
        <w:tc>
          <w:tcPr>
            <w:tcW w:w="5842" w:type="dxa"/>
            <w:tcBorders>
              <w:top w:val="nil"/>
              <w:left w:val="nil"/>
              <w:bottom w:val="nil"/>
              <w:right w:val="nil"/>
            </w:tcBorders>
            <w:shd w:val="clear" w:color="auto" w:fill="auto"/>
            <w:noWrap/>
            <w:vAlign w:val="center"/>
            <w:hideMark/>
          </w:tcPr>
          <w:p w14:paraId="01A4CF37" w14:textId="77777777" w:rsidR="00941F8E" w:rsidRPr="00DD5ECE" w:rsidRDefault="00941F8E" w:rsidP="00E607DA">
            <w:pPr>
              <w:jc w:val="right"/>
              <w:rPr>
                <w:rFonts w:ascii="Meta Pro" w:eastAsia="Times New Roman" w:hAnsi="Meta Pro"/>
                <w:b/>
                <w:bCs/>
                <w:szCs w:val="18"/>
                <w:lang w:eastAsia="en-AU"/>
              </w:rPr>
            </w:pPr>
          </w:p>
        </w:tc>
        <w:tc>
          <w:tcPr>
            <w:tcW w:w="1131" w:type="dxa"/>
            <w:tcBorders>
              <w:top w:val="nil"/>
              <w:left w:val="nil"/>
              <w:bottom w:val="nil"/>
              <w:right w:val="nil"/>
            </w:tcBorders>
            <w:shd w:val="clear" w:color="auto" w:fill="auto"/>
            <w:noWrap/>
            <w:vAlign w:val="center"/>
            <w:hideMark/>
          </w:tcPr>
          <w:p w14:paraId="2AAE305F" w14:textId="77777777" w:rsidR="00941F8E" w:rsidRPr="00DD5ECE" w:rsidRDefault="00941F8E" w:rsidP="00E607DA">
            <w:pPr>
              <w:rPr>
                <w:rFonts w:eastAsia="Times New Roman" w:cs="Times New Roman"/>
                <w:sz w:val="20"/>
                <w:szCs w:val="20"/>
                <w:lang w:eastAsia="en-AU"/>
              </w:rPr>
            </w:pPr>
          </w:p>
        </w:tc>
        <w:tc>
          <w:tcPr>
            <w:tcW w:w="200" w:type="dxa"/>
            <w:tcBorders>
              <w:top w:val="nil"/>
              <w:left w:val="nil"/>
              <w:bottom w:val="nil"/>
              <w:right w:val="nil"/>
            </w:tcBorders>
            <w:shd w:val="clear" w:color="auto" w:fill="auto"/>
            <w:noWrap/>
            <w:vAlign w:val="center"/>
            <w:hideMark/>
          </w:tcPr>
          <w:p w14:paraId="7782799C" w14:textId="77777777" w:rsidR="00941F8E" w:rsidRPr="00DD5ECE" w:rsidRDefault="00941F8E" w:rsidP="00E607DA">
            <w:pPr>
              <w:jc w:val="right"/>
              <w:rPr>
                <w:rFonts w:eastAsia="Times New Roman" w:cs="Times New Roman"/>
                <w:sz w:val="20"/>
                <w:szCs w:val="20"/>
                <w:lang w:eastAsia="en-AU"/>
              </w:rPr>
            </w:pPr>
          </w:p>
        </w:tc>
        <w:tc>
          <w:tcPr>
            <w:tcW w:w="1135" w:type="dxa"/>
            <w:tcBorders>
              <w:top w:val="nil"/>
              <w:left w:val="nil"/>
              <w:bottom w:val="nil"/>
              <w:right w:val="nil"/>
            </w:tcBorders>
            <w:shd w:val="clear" w:color="auto" w:fill="auto"/>
            <w:noWrap/>
            <w:vAlign w:val="center"/>
            <w:hideMark/>
          </w:tcPr>
          <w:p w14:paraId="63805DDA" w14:textId="77777777" w:rsidR="00941F8E" w:rsidRPr="00DD5ECE" w:rsidRDefault="00941F8E" w:rsidP="00E607DA">
            <w:pPr>
              <w:jc w:val="right"/>
              <w:rPr>
                <w:rFonts w:eastAsia="Times New Roman" w:cs="Times New Roman"/>
                <w:sz w:val="20"/>
                <w:szCs w:val="20"/>
                <w:lang w:eastAsia="en-AU"/>
              </w:rPr>
            </w:pPr>
          </w:p>
        </w:tc>
        <w:tc>
          <w:tcPr>
            <w:tcW w:w="200" w:type="dxa"/>
            <w:tcBorders>
              <w:top w:val="nil"/>
              <w:left w:val="nil"/>
              <w:bottom w:val="nil"/>
              <w:right w:val="nil"/>
            </w:tcBorders>
            <w:shd w:val="clear" w:color="auto" w:fill="auto"/>
            <w:noWrap/>
            <w:vAlign w:val="center"/>
            <w:hideMark/>
          </w:tcPr>
          <w:p w14:paraId="4E9D664F" w14:textId="77777777" w:rsidR="00941F8E" w:rsidRPr="00DD5ECE" w:rsidRDefault="00941F8E" w:rsidP="00E607DA">
            <w:pPr>
              <w:jc w:val="right"/>
              <w:rPr>
                <w:rFonts w:eastAsia="Times New Roman" w:cs="Times New Roman"/>
                <w:sz w:val="20"/>
                <w:szCs w:val="20"/>
                <w:lang w:eastAsia="en-AU"/>
              </w:rPr>
            </w:pPr>
          </w:p>
        </w:tc>
        <w:tc>
          <w:tcPr>
            <w:tcW w:w="1130" w:type="dxa"/>
            <w:tcBorders>
              <w:top w:val="nil"/>
              <w:left w:val="nil"/>
              <w:bottom w:val="nil"/>
              <w:right w:val="nil"/>
            </w:tcBorders>
            <w:shd w:val="clear" w:color="auto" w:fill="auto"/>
            <w:noWrap/>
            <w:vAlign w:val="center"/>
            <w:hideMark/>
          </w:tcPr>
          <w:p w14:paraId="076AD70B" w14:textId="77777777" w:rsidR="00941F8E" w:rsidRPr="00DD5ECE" w:rsidRDefault="00941F8E" w:rsidP="00E607DA">
            <w:pPr>
              <w:jc w:val="right"/>
              <w:rPr>
                <w:rFonts w:eastAsia="Times New Roman" w:cs="Times New Roman"/>
                <w:sz w:val="20"/>
                <w:szCs w:val="20"/>
                <w:lang w:eastAsia="en-AU"/>
              </w:rPr>
            </w:pPr>
          </w:p>
        </w:tc>
      </w:tr>
      <w:tr w:rsidR="00941F8E" w:rsidRPr="00DD5ECE" w14:paraId="3B94911B" w14:textId="77777777" w:rsidTr="00E86873">
        <w:trPr>
          <w:trHeight w:val="227"/>
        </w:trPr>
        <w:tc>
          <w:tcPr>
            <w:tcW w:w="5842" w:type="dxa"/>
            <w:tcBorders>
              <w:top w:val="nil"/>
              <w:left w:val="nil"/>
              <w:bottom w:val="double" w:sz="6" w:space="0" w:color="auto"/>
              <w:right w:val="nil"/>
            </w:tcBorders>
            <w:shd w:val="clear" w:color="auto" w:fill="auto"/>
            <w:noWrap/>
            <w:vAlign w:val="center"/>
            <w:hideMark/>
          </w:tcPr>
          <w:p w14:paraId="2E374B79" w14:textId="77777777" w:rsidR="00941F8E" w:rsidRPr="00DD5ECE" w:rsidRDefault="00941F8E" w:rsidP="00E607DA">
            <w:pPr>
              <w:rPr>
                <w:rFonts w:ascii="Meta Pro" w:eastAsia="Times New Roman" w:hAnsi="Meta Pro"/>
                <w:b/>
                <w:bCs/>
                <w:szCs w:val="18"/>
                <w:lang w:eastAsia="en-AU"/>
              </w:rPr>
            </w:pPr>
            <w:r w:rsidRPr="00DD5ECE">
              <w:rPr>
                <w:rFonts w:ascii="Meta Pro" w:eastAsia="Times New Roman" w:hAnsi="Meta Pro"/>
                <w:b/>
                <w:bCs/>
                <w:szCs w:val="18"/>
                <w:lang w:eastAsia="en-AU"/>
              </w:rPr>
              <w:t>OPERATING RESULT FOR THE YEAR</w:t>
            </w:r>
          </w:p>
        </w:tc>
        <w:tc>
          <w:tcPr>
            <w:tcW w:w="1131" w:type="dxa"/>
            <w:tcBorders>
              <w:top w:val="nil"/>
              <w:left w:val="nil"/>
              <w:bottom w:val="double" w:sz="6" w:space="0" w:color="auto"/>
              <w:right w:val="nil"/>
            </w:tcBorders>
            <w:shd w:val="clear" w:color="auto" w:fill="auto"/>
            <w:noWrap/>
            <w:vAlign w:val="center"/>
            <w:hideMark/>
          </w:tcPr>
          <w:p w14:paraId="1A57369A" w14:textId="77777777" w:rsidR="00941F8E" w:rsidRPr="00DD5ECE" w:rsidRDefault="00941F8E" w:rsidP="00E607DA">
            <w:pPr>
              <w:jc w:val="right"/>
              <w:rPr>
                <w:rFonts w:ascii="Meta Pro" w:eastAsia="Times New Roman" w:hAnsi="Meta Pro"/>
                <w:b/>
                <w:bCs/>
                <w:szCs w:val="18"/>
                <w:lang w:eastAsia="en-AU"/>
              </w:rPr>
            </w:pPr>
            <w:r w:rsidRPr="00DD5ECE">
              <w:rPr>
                <w:rFonts w:ascii="Meta Pro" w:eastAsia="Times New Roman" w:hAnsi="Meta Pro"/>
                <w:b/>
                <w:bCs/>
                <w:szCs w:val="18"/>
                <w:lang w:eastAsia="en-AU"/>
              </w:rPr>
              <w:t xml:space="preserve">- </w:t>
            </w:r>
          </w:p>
        </w:tc>
        <w:tc>
          <w:tcPr>
            <w:tcW w:w="200" w:type="dxa"/>
            <w:tcBorders>
              <w:top w:val="nil"/>
              <w:left w:val="nil"/>
              <w:bottom w:val="double" w:sz="6" w:space="0" w:color="auto"/>
              <w:right w:val="nil"/>
            </w:tcBorders>
            <w:shd w:val="clear" w:color="auto" w:fill="auto"/>
            <w:noWrap/>
            <w:vAlign w:val="center"/>
            <w:hideMark/>
          </w:tcPr>
          <w:p w14:paraId="1ED67D07" w14:textId="77777777" w:rsidR="00941F8E" w:rsidRPr="00DD5ECE" w:rsidRDefault="00941F8E" w:rsidP="00E607DA">
            <w:pPr>
              <w:jc w:val="right"/>
              <w:rPr>
                <w:rFonts w:ascii="Meta Pro" w:eastAsia="Times New Roman" w:hAnsi="Meta Pro"/>
                <w:b/>
                <w:bCs/>
                <w:szCs w:val="18"/>
                <w:lang w:eastAsia="en-AU"/>
              </w:rPr>
            </w:pPr>
            <w:r w:rsidRPr="00DD5ECE">
              <w:rPr>
                <w:rFonts w:ascii="Meta Pro" w:eastAsia="Times New Roman" w:hAnsi="Meta Pro"/>
                <w:b/>
                <w:bCs/>
                <w:szCs w:val="18"/>
                <w:lang w:eastAsia="en-AU"/>
              </w:rPr>
              <w:t> </w:t>
            </w:r>
          </w:p>
        </w:tc>
        <w:tc>
          <w:tcPr>
            <w:tcW w:w="1135" w:type="dxa"/>
            <w:tcBorders>
              <w:top w:val="nil"/>
              <w:left w:val="nil"/>
              <w:bottom w:val="double" w:sz="6" w:space="0" w:color="auto"/>
              <w:right w:val="nil"/>
            </w:tcBorders>
            <w:shd w:val="clear" w:color="auto" w:fill="auto"/>
            <w:noWrap/>
            <w:vAlign w:val="center"/>
            <w:hideMark/>
          </w:tcPr>
          <w:p w14:paraId="2587292C" w14:textId="77777777" w:rsidR="00941F8E" w:rsidRPr="00DD5ECE" w:rsidRDefault="00941F8E" w:rsidP="00E607DA">
            <w:pPr>
              <w:jc w:val="right"/>
              <w:rPr>
                <w:rFonts w:ascii="Meta Pro" w:eastAsia="Times New Roman" w:hAnsi="Meta Pro"/>
                <w:b/>
                <w:bCs/>
                <w:szCs w:val="18"/>
                <w:lang w:eastAsia="en-AU"/>
              </w:rPr>
            </w:pPr>
            <w:r w:rsidRPr="00DD5ECE">
              <w:rPr>
                <w:rFonts w:ascii="Meta Pro" w:eastAsia="Times New Roman" w:hAnsi="Meta Pro"/>
                <w:b/>
                <w:bCs/>
                <w:szCs w:val="18"/>
                <w:lang w:eastAsia="en-AU"/>
              </w:rPr>
              <w:t xml:space="preserve">2,353 </w:t>
            </w:r>
          </w:p>
        </w:tc>
        <w:tc>
          <w:tcPr>
            <w:tcW w:w="200" w:type="dxa"/>
            <w:tcBorders>
              <w:top w:val="nil"/>
              <w:left w:val="nil"/>
              <w:bottom w:val="double" w:sz="6" w:space="0" w:color="auto"/>
              <w:right w:val="nil"/>
            </w:tcBorders>
            <w:shd w:val="clear" w:color="auto" w:fill="auto"/>
            <w:noWrap/>
            <w:vAlign w:val="center"/>
            <w:hideMark/>
          </w:tcPr>
          <w:p w14:paraId="4D43363B" w14:textId="77777777" w:rsidR="00941F8E" w:rsidRPr="00DD5ECE" w:rsidRDefault="00941F8E" w:rsidP="00E607DA">
            <w:pPr>
              <w:jc w:val="right"/>
              <w:rPr>
                <w:rFonts w:ascii="Meta Pro" w:eastAsia="Times New Roman" w:hAnsi="Meta Pro"/>
                <w:b/>
                <w:bCs/>
                <w:szCs w:val="18"/>
                <w:lang w:eastAsia="en-AU"/>
              </w:rPr>
            </w:pPr>
            <w:r w:rsidRPr="00DD5ECE">
              <w:rPr>
                <w:rFonts w:ascii="Meta Pro" w:eastAsia="Times New Roman" w:hAnsi="Meta Pro"/>
                <w:b/>
                <w:bCs/>
                <w:szCs w:val="18"/>
                <w:lang w:eastAsia="en-AU"/>
              </w:rPr>
              <w:t> </w:t>
            </w:r>
          </w:p>
        </w:tc>
        <w:tc>
          <w:tcPr>
            <w:tcW w:w="1130" w:type="dxa"/>
            <w:tcBorders>
              <w:top w:val="nil"/>
              <w:left w:val="nil"/>
              <w:bottom w:val="double" w:sz="6" w:space="0" w:color="auto"/>
              <w:right w:val="nil"/>
            </w:tcBorders>
            <w:shd w:val="clear" w:color="auto" w:fill="auto"/>
            <w:noWrap/>
            <w:vAlign w:val="center"/>
            <w:hideMark/>
          </w:tcPr>
          <w:p w14:paraId="26844695" w14:textId="77777777" w:rsidR="00941F8E" w:rsidRPr="00DD5ECE" w:rsidRDefault="00941F8E" w:rsidP="00E607DA">
            <w:pPr>
              <w:jc w:val="right"/>
              <w:rPr>
                <w:rFonts w:ascii="Meta Pro" w:eastAsia="Times New Roman" w:hAnsi="Meta Pro"/>
                <w:b/>
                <w:bCs/>
                <w:szCs w:val="18"/>
                <w:lang w:eastAsia="en-AU"/>
              </w:rPr>
            </w:pPr>
            <w:r w:rsidRPr="00DD5ECE">
              <w:rPr>
                <w:rFonts w:ascii="Meta Pro" w:eastAsia="Times New Roman" w:hAnsi="Meta Pro"/>
                <w:b/>
                <w:bCs/>
                <w:szCs w:val="18"/>
                <w:lang w:eastAsia="en-AU"/>
              </w:rPr>
              <w:t xml:space="preserve">2,353 </w:t>
            </w:r>
          </w:p>
        </w:tc>
      </w:tr>
      <w:tr w:rsidR="00941F8E" w:rsidRPr="00DD5ECE" w14:paraId="49618EE6" w14:textId="77777777" w:rsidTr="00E86873">
        <w:trPr>
          <w:trHeight w:val="227"/>
        </w:trPr>
        <w:tc>
          <w:tcPr>
            <w:tcW w:w="5842" w:type="dxa"/>
            <w:tcBorders>
              <w:top w:val="nil"/>
              <w:left w:val="nil"/>
              <w:bottom w:val="nil"/>
              <w:right w:val="nil"/>
            </w:tcBorders>
            <w:shd w:val="clear" w:color="auto" w:fill="auto"/>
            <w:noWrap/>
            <w:vAlign w:val="center"/>
            <w:hideMark/>
          </w:tcPr>
          <w:p w14:paraId="4D8F7D84" w14:textId="77777777" w:rsidR="00941F8E" w:rsidRPr="00DD5ECE" w:rsidRDefault="00941F8E" w:rsidP="00E607DA">
            <w:pPr>
              <w:jc w:val="right"/>
              <w:rPr>
                <w:rFonts w:ascii="Meta Pro" w:eastAsia="Times New Roman" w:hAnsi="Meta Pro"/>
                <w:b/>
                <w:bCs/>
                <w:szCs w:val="18"/>
                <w:lang w:eastAsia="en-AU"/>
              </w:rPr>
            </w:pPr>
          </w:p>
        </w:tc>
        <w:tc>
          <w:tcPr>
            <w:tcW w:w="1131" w:type="dxa"/>
            <w:tcBorders>
              <w:top w:val="nil"/>
              <w:left w:val="nil"/>
              <w:bottom w:val="nil"/>
              <w:right w:val="nil"/>
            </w:tcBorders>
            <w:shd w:val="clear" w:color="auto" w:fill="auto"/>
            <w:noWrap/>
            <w:vAlign w:val="center"/>
            <w:hideMark/>
          </w:tcPr>
          <w:p w14:paraId="14CF2073" w14:textId="77777777" w:rsidR="00941F8E" w:rsidRPr="00DD5ECE" w:rsidRDefault="00941F8E" w:rsidP="00E607DA">
            <w:pPr>
              <w:rPr>
                <w:rFonts w:eastAsia="Times New Roman" w:cs="Times New Roman"/>
                <w:sz w:val="20"/>
                <w:szCs w:val="20"/>
                <w:lang w:eastAsia="en-AU"/>
              </w:rPr>
            </w:pPr>
          </w:p>
        </w:tc>
        <w:tc>
          <w:tcPr>
            <w:tcW w:w="200" w:type="dxa"/>
            <w:tcBorders>
              <w:top w:val="nil"/>
              <w:left w:val="nil"/>
              <w:bottom w:val="nil"/>
              <w:right w:val="nil"/>
            </w:tcBorders>
            <w:shd w:val="clear" w:color="auto" w:fill="auto"/>
            <w:noWrap/>
            <w:vAlign w:val="center"/>
            <w:hideMark/>
          </w:tcPr>
          <w:p w14:paraId="691C9A0A" w14:textId="77777777" w:rsidR="00941F8E" w:rsidRPr="00DD5ECE" w:rsidRDefault="00941F8E" w:rsidP="00E607DA">
            <w:pPr>
              <w:rPr>
                <w:rFonts w:eastAsia="Times New Roman" w:cs="Times New Roman"/>
                <w:sz w:val="20"/>
                <w:szCs w:val="20"/>
                <w:lang w:eastAsia="en-AU"/>
              </w:rPr>
            </w:pPr>
          </w:p>
        </w:tc>
        <w:tc>
          <w:tcPr>
            <w:tcW w:w="1135" w:type="dxa"/>
            <w:tcBorders>
              <w:top w:val="nil"/>
              <w:left w:val="nil"/>
              <w:bottom w:val="nil"/>
              <w:right w:val="nil"/>
            </w:tcBorders>
            <w:shd w:val="clear" w:color="auto" w:fill="auto"/>
            <w:noWrap/>
            <w:vAlign w:val="center"/>
            <w:hideMark/>
          </w:tcPr>
          <w:p w14:paraId="094E6FAA" w14:textId="77777777" w:rsidR="00941F8E" w:rsidRPr="00DD5ECE" w:rsidRDefault="00941F8E" w:rsidP="00E607DA">
            <w:pPr>
              <w:jc w:val="right"/>
              <w:rPr>
                <w:rFonts w:eastAsia="Times New Roman" w:cs="Times New Roman"/>
                <w:sz w:val="20"/>
                <w:szCs w:val="20"/>
                <w:lang w:eastAsia="en-AU"/>
              </w:rPr>
            </w:pPr>
          </w:p>
        </w:tc>
        <w:tc>
          <w:tcPr>
            <w:tcW w:w="200" w:type="dxa"/>
            <w:tcBorders>
              <w:top w:val="nil"/>
              <w:left w:val="nil"/>
              <w:bottom w:val="nil"/>
              <w:right w:val="nil"/>
            </w:tcBorders>
            <w:shd w:val="clear" w:color="auto" w:fill="auto"/>
            <w:noWrap/>
            <w:vAlign w:val="center"/>
            <w:hideMark/>
          </w:tcPr>
          <w:p w14:paraId="211E942B" w14:textId="77777777" w:rsidR="00941F8E" w:rsidRPr="00DD5ECE" w:rsidRDefault="00941F8E" w:rsidP="00E607DA">
            <w:pPr>
              <w:rPr>
                <w:rFonts w:eastAsia="Times New Roman" w:cs="Times New Roman"/>
                <w:sz w:val="20"/>
                <w:szCs w:val="20"/>
                <w:lang w:eastAsia="en-AU"/>
              </w:rPr>
            </w:pPr>
          </w:p>
        </w:tc>
        <w:tc>
          <w:tcPr>
            <w:tcW w:w="1130" w:type="dxa"/>
            <w:tcBorders>
              <w:top w:val="nil"/>
              <w:left w:val="nil"/>
              <w:bottom w:val="nil"/>
              <w:right w:val="nil"/>
            </w:tcBorders>
            <w:shd w:val="clear" w:color="auto" w:fill="auto"/>
            <w:noWrap/>
            <w:vAlign w:val="center"/>
            <w:hideMark/>
          </w:tcPr>
          <w:p w14:paraId="2D26ED12" w14:textId="77777777" w:rsidR="00941F8E" w:rsidRPr="00DD5ECE" w:rsidRDefault="00941F8E" w:rsidP="00E607DA">
            <w:pPr>
              <w:jc w:val="right"/>
              <w:rPr>
                <w:rFonts w:eastAsia="Times New Roman" w:cs="Times New Roman"/>
                <w:sz w:val="20"/>
                <w:szCs w:val="20"/>
                <w:lang w:eastAsia="en-AU"/>
              </w:rPr>
            </w:pPr>
          </w:p>
        </w:tc>
      </w:tr>
      <w:tr w:rsidR="00941F8E" w:rsidRPr="00DD5ECE" w14:paraId="441D1F6F" w14:textId="77777777" w:rsidTr="00E86873">
        <w:trPr>
          <w:trHeight w:val="227"/>
        </w:trPr>
        <w:tc>
          <w:tcPr>
            <w:tcW w:w="5842" w:type="dxa"/>
            <w:tcBorders>
              <w:top w:val="nil"/>
              <w:left w:val="nil"/>
              <w:bottom w:val="nil"/>
              <w:right w:val="nil"/>
            </w:tcBorders>
            <w:shd w:val="clear" w:color="auto" w:fill="auto"/>
            <w:noWrap/>
            <w:vAlign w:val="center"/>
            <w:hideMark/>
          </w:tcPr>
          <w:p w14:paraId="3EB3F2B5" w14:textId="77777777" w:rsidR="00941F8E" w:rsidRPr="00DD5ECE" w:rsidRDefault="00941F8E" w:rsidP="00E607DA">
            <w:pPr>
              <w:outlineLvl w:val="0"/>
              <w:rPr>
                <w:rFonts w:ascii="Meta Pro" w:eastAsia="Times New Roman" w:hAnsi="Meta Pro"/>
                <w:b/>
                <w:bCs/>
                <w:szCs w:val="18"/>
                <w:lang w:eastAsia="en-AU"/>
              </w:rPr>
            </w:pPr>
            <w:r w:rsidRPr="00DD5ECE">
              <w:rPr>
                <w:rFonts w:ascii="Meta Pro" w:eastAsia="Times New Roman" w:hAnsi="Meta Pro"/>
                <w:b/>
                <w:bCs/>
                <w:szCs w:val="18"/>
                <w:lang w:eastAsia="en-AU"/>
              </w:rPr>
              <w:lastRenderedPageBreak/>
              <w:t>Administered assets</w:t>
            </w:r>
          </w:p>
        </w:tc>
        <w:tc>
          <w:tcPr>
            <w:tcW w:w="1131" w:type="dxa"/>
            <w:tcBorders>
              <w:top w:val="nil"/>
              <w:left w:val="nil"/>
              <w:bottom w:val="nil"/>
              <w:right w:val="nil"/>
            </w:tcBorders>
            <w:shd w:val="clear" w:color="auto" w:fill="auto"/>
            <w:noWrap/>
            <w:vAlign w:val="center"/>
            <w:hideMark/>
          </w:tcPr>
          <w:p w14:paraId="1872EBD6" w14:textId="77777777" w:rsidR="00941F8E" w:rsidRPr="00DD5ECE" w:rsidRDefault="00941F8E" w:rsidP="00E607DA">
            <w:pPr>
              <w:outlineLvl w:val="0"/>
              <w:rPr>
                <w:rFonts w:ascii="Meta Pro" w:eastAsia="Times New Roman" w:hAnsi="Meta Pro"/>
                <w:b/>
                <w:bCs/>
                <w:szCs w:val="18"/>
                <w:lang w:eastAsia="en-AU"/>
              </w:rPr>
            </w:pPr>
          </w:p>
        </w:tc>
        <w:tc>
          <w:tcPr>
            <w:tcW w:w="200" w:type="dxa"/>
            <w:tcBorders>
              <w:top w:val="nil"/>
              <w:left w:val="nil"/>
              <w:bottom w:val="nil"/>
              <w:right w:val="nil"/>
            </w:tcBorders>
            <w:shd w:val="clear" w:color="auto" w:fill="auto"/>
            <w:noWrap/>
            <w:vAlign w:val="center"/>
            <w:hideMark/>
          </w:tcPr>
          <w:p w14:paraId="0BCE41AB" w14:textId="77777777" w:rsidR="00941F8E" w:rsidRPr="00DD5ECE" w:rsidRDefault="00941F8E" w:rsidP="00E607DA">
            <w:pPr>
              <w:jc w:val="right"/>
              <w:outlineLvl w:val="0"/>
              <w:rPr>
                <w:rFonts w:eastAsia="Times New Roman" w:cs="Times New Roman"/>
                <w:sz w:val="20"/>
                <w:szCs w:val="20"/>
                <w:lang w:eastAsia="en-AU"/>
              </w:rPr>
            </w:pPr>
          </w:p>
        </w:tc>
        <w:tc>
          <w:tcPr>
            <w:tcW w:w="1135" w:type="dxa"/>
            <w:tcBorders>
              <w:top w:val="nil"/>
              <w:left w:val="nil"/>
              <w:bottom w:val="nil"/>
              <w:right w:val="nil"/>
            </w:tcBorders>
            <w:shd w:val="clear" w:color="auto" w:fill="auto"/>
            <w:noWrap/>
            <w:vAlign w:val="center"/>
            <w:hideMark/>
          </w:tcPr>
          <w:p w14:paraId="02B9F732" w14:textId="77777777" w:rsidR="00941F8E" w:rsidRPr="00DD5ECE" w:rsidRDefault="00941F8E" w:rsidP="00E607DA">
            <w:pPr>
              <w:jc w:val="right"/>
              <w:outlineLvl w:val="0"/>
              <w:rPr>
                <w:rFonts w:eastAsia="Times New Roman" w:cs="Times New Roman"/>
                <w:sz w:val="20"/>
                <w:szCs w:val="20"/>
                <w:lang w:eastAsia="en-AU"/>
              </w:rPr>
            </w:pPr>
          </w:p>
        </w:tc>
        <w:tc>
          <w:tcPr>
            <w:tcW w:w="200" w:type="dxa"/>
            <w:tcBorders>
              <w:top w:val="nil"/>
              <w:left w:val="nil"/>
              <w:bottom w:val="nil"/>
              <w:right w:val="nil"/>
            </w:tcBorders>
            <w:shd w:val="clear" w:color="auto" w:fill="auto"/>
            <w:noWrap/>
            <w:vAlign w:val="center"/>
            <w:hideMark/>
          </w:tcPr>
          <w:p w14:paraId="334CE3E0" w14:textId="77777777" w:rsidR="00941F8E" w:rsidRPr="00DD5ECE" w:rsidRDefault="00941F8E" w:rsidP="00E607DA">
            <w:pPr>
              <w:jc w:val="right"/>
              <w:outlineLvl w:val="0"/>
              <w:rPr>
                <w:rFonts w:eastAsia="Times New Roman" w:cs="Times New Roman"/>
                <w:sz w:val="20"/>
                <w:szCs w:val="20"/>
                <w:lang w:eastAsia="en-AU"/>
              </w:rPr>
            </w:pPr>
          </w:p>
        </w:tc>
        <w:tc>
          <w:tcPr>
            <w:tcW w:w="1130" w:type="dxa"/>
            <w:tcBorders>
              <w:top w:val="nil"/>
              <w:left w:val="nil"/>
              <w:bottom w:val="nil"/>
              <w:right w:val="nil"/>
            </w:tcBorders>
            <w:shd w:val="clear" w:color="auto" w:fill="auto"/>
            <w:noWrap/>
            <w:vAlign w:val="center"/>
            <w:hideMark/>
          </w:tcPr>
          <w:p w14:paraId="27CED063" w14:textId="77777777" w:rsidR="00941F8E" w:rsidRPr="00DD5ECE" w:rsidRDefault="00941F8E" w:rsidP="00E607DA">
            <w:pPr>
              <w:jc w:val="right"/>
              <w:outlineLvl w:val="0"/>
              <w:rPr>
                <w:rFonts w:eastAsia="Times New Roman" w:cs="Times New Roman"/>
                <w:sz w:val="20"/>
                <w:szCs w:val="20"/>
                <w:lang w:eastAsia="en-AU"/>
              </w:rPr>
            </w:pPr>
          </w:p>
        </w:tc>
      </w:tr>
      <w:tr w:rsidR="00941F8E" w:rsidRPr="00DD5ECE" w14:paraId="31934387" w14:textId="77777777" w:rsidTr="00E86873">
        <w:trPr>
          <w:trHeight w:val="227"/>
        </w:trPr>
        <w:tc>
          <w:tcPr>
            <w:tcW w:w="5842" w:type="dxa"/>
            <w:tcBorders>
              <w:top w:val="nil"/>
              <w:left w:val="nil"/>
              <w:bottom w:val="nil"/>
              <w:right w:val="nil"/>
            </w:tcBorders>
            <w:shd w:val="clear" w:color="auto" w:fill="auto"/>
            <w:noWrap/>
            <w:vAlign w:val="center"/>
            <w:hideMark/>
          </w:tcPr>
          <w:p w14:paraId="2C4BCB61" w14:textId="77777777" w:rsidR="00941F8E" w:rsidRPr="00DD5ECE" w:rsidRDefault="00941F8E" w:rsidP="00E607DA">
            <w:pPr>
              <w:outlineLvl w:val="0"/>
              <w:rPr>
                <w:rFonts w:ascii="Meta Pro" w:eastAsia="Times New Roman" w:hAnsi="Meta Pro"/>
                <w:i/>
                <w:iCs/>
                <w:szCs w:val="18"/>
                <w:lang w:eastAsia="en-AU"/>
              </w:rPr>
            </w:pPr>
            <w:r w:rsidRPr="00DD5ECE">
              <w:rPr>
                <w:rFonts w:ascii="Meta Pro" w:eastAsia="Times New Roman" w:hAnsi="Meta Pro"/>
                <w:i/>
                <w:iCs/>
                <w:szCs w:val="18"/>
                <w:lang w:eastAsia="en-AU"/>
              </w:rPr>
              <w:t xml:space="preserve">Current </w:t>
            </w:r>
          </w:p>
        </w:tc>
        <w:tc>
          <w:tcPr>
            <w:tcW w:w="1131" w:type="dxa"/>
            <w:tcBorders>
              <w:top w:val="nil"/>
              <w:left w:val="nil"/>
              <w:bottom w:val="nil"/>
              <w:right w:val="nil"/>
            </w:tcBorders>
            <w:shd w:val="clear" w:color="auto" w:fill="auto"/>
            <w:noWrap/>
            <w:vAlign w:val="center"/>
            <w:hideMark/>
          </w:tcPr>
          <w:p w14:paraId="72C60AD9" w14:textId="77777777" w:rsidR="00941F8E" w:rsidRPr="00DD5ECE" w:rsidRDefault="00941F8E" w:rsidP="00E607DA">
            <w:pPr>
              <w:outlineLvl w:val="0"/>
              <w:rPr>
                <w:rFonts w:ascii="Meta Pro" w:eastAsia="Times New Roman" w:hAnsi="Meta Pro"/>
                <w:i/>
                <w:iCs/>
                <w:szCs w:val="18"/>
                <w:lang w:eastAsia="en-AU"/>
              </w:rPr>
            </w:pPr>
          </w:p>
        </w:tc>
        <w:tc>
          <w:tcPr>
            <w:tcW w:w="200" w:type="dxa"/>
            <w:tcBorders>
              <w:top w:val="nil"/>
              <w:left w:val="nil"/>
              <w:bottom w:val="nil"/>
              <w:right w:val="nil"/>
            </w:tcBorders>
            <w:shd w:val="clear" w:color="auto" w:fill="auto"/>
            <w:noWrap/>
            <w:vAlign w:val="center"/>
            <w:hideMark/>
          </w:tcPr>
          <w:p w14:paraId="329B1308" w14:textId="77777777" w:rsidR="00941F8E" w:rsidRPr="00DD5ECE" w:rsidRDefault="00941F8E" w:rsidP="00E607DA">
            <w:pPr>
              <w:jc w:val="right"/>
              <w:outlineLvl w:val="0"/>
              <w:rPr>
                <w:rFonts w:eastAsia="Times New Roman" w:cs="Times New Roman"/>
                <w:sz w:val="20"/>
                <w:szCs w:val="20"/>
                <w:lang w:eastAsia="en-AU"/>
              </w:rPr>
            </w:pPr>
          </w:p>
        </w:tc>
        <w:tc>
          <w:tcPr>
            <w:tcW w:w="1135" w:type="dxa"/>
            <w:tcBorders>
              <w:top w:val="nil"/>
              <w:left w:val="nil"/>
              <w:bottom w:val="nil"/>
              <w:right w:val="nil"/>
            </w:tcBorders>
            <w:shd w:val="clear" w:color="auto" w:fill="auto"/>
            <w:noWrap/>
            <w:vAlign w:val="center"/>
            <w:hideMark/>
          </w:tcPr>
          <w:p w14:paraId="0235D87A" w14:textId="77777777" w:rsidR="00941F8E" w:rsidRPr="00DD5ECE" w:rsidRDefault="00941F8E" w:rsidP="00E607DA">
            <w:pPr>
              <w:jc w:val="right"/>
              <w:outlineLvl w:val="0"/>
              <w:rPr>
                <w:rFonts w:eastAsia="Times New Roman" w:cs="Times New Roman"/>
                <w:sz w:val="20"/>
                <w:szCs w:val="20"/>
                <w:lang w:eastAsia="en-AU"/>
              </w:rPr>
            </w:pPr>
          </w:p>
        </w:tc>
        <w:tc>
          <w:tcPr>
            <w:tcW w:w="200" w:type="dxa"/>
            <w:tcBorders>
              <w:top w:val="nil"/>
              <w:left w:val="nil"/>
              <w:bottom w:val="nil"/>
              <w:right w:val="nil"/>
            </w:tcBorders>
            <w:shd w:val="clear" w:color="auto" w:fill="auto"/>
            <w:noWrap/>
            <w:vAlign w:val="center"/>
            <w:hideMark/>
          </w:tcPr>
          <w:p w14:paraId="66BE6722" w14:textId="77777777" w:rsidR="00941F8E" w:rsidRPr="00DD5ECE" w:rsidRDefault="00941F8E" w:rsidP="00E607DA">
            <w:pPr>
              <w:jc w:val="right"/>
              <w:outlineLvl w:val="0"/>
              <w:rPr>
                <w:rFonts w:eastAsia="Times New Roman" w:cs="Times New Roman"/>
                <w:sz w:val="20"/>
                <w:szCs w:val="20"/>
                <w:lang w:eastAsia="en-AU"/>
              </w:rPr>
            </w:pPr>
          </w:p>
        </w:tc>
        <w:tc>
          <w:tcPr>
            <w:tcW w:w="1130" w:type="dxa"/>
            <w:tcBorders>
              <w:top w:val="nil"/>
              <w:left w:val="nil"/>
              <w:bottom w:val="nil"/>
              <w:right w:val="nil"/>
            </w:tcBorders>
            <w:shd w:val="clear" w:color="auto" w:fill="auto"/>
            <w:noWrap/>
            <w:vAlign w:val="center"/>
            <w:hideMark/>
          </w:tcPr>
          <w:p w14:paraId="318760A4" w14:textId="77777777" w:rsidR="00941F8E" w:rsidRPr="00DD5ECE" w:rsidRDefault="00941F8E" w:rsidP="00E607DA">
            <w:pPr>
              <w:jc w:val="right"/>
              <w:outlineLvl w:val="0"/>
              <w:rPr>
                <w:rFonts w:eastAsia="Times New Roman" w:cs="Times New Roman"/>
                <w:sz w:val="20"/>
                <w:szCs w:val="20"/>
                <w:lang w:eastAsia="en-AU"/>
              </w:rPr>
            </w:pPr>
          </w:p>
        </w:tc>
      </w:tr>
      <w:tr w:rsidR="00941F8E" w:rsidRPr="00DD5ECE" w14:paraId="2E884B3A" w14:textId="77777777" w:rsidTr="00E86873">
        <w:trPr>
          <w:trHeight w:val="227"/>
        </w:trPr>
        <w:tc>
          <w:tcPr>
            <w:tcW w:w="5842" w:type="dxa"/>
            <w:tcBorders>
              <w:top w:val="nil"/>
              <w:left w:val="nil"/>
              <w:bottom w:val="nil"/>
              <w:right w:val="nil"/>
            </w:tcBorders>
            <w:shd w:val="clear" w:color="auto" w:fill="auto"/>
            <w:noWrap/>
            <w:vAlign w:val="center"/>
            <w:hideMark/>
          </w:tcPr>
          <w:p w14:paraId="7992649C" w14:textId="77777777" w:rsidR="00941F8E" w:rsidRPr="00DD5ECE" w:rsidRDefault="00941F8E" w:rsidP="00E607DA">
            <w:pPr>
              <w:outlineLvl w:val="0"/>
              <w:rPr>
                <w:rFonts w:ascii="Meta Pro" w:eastAsia="Times New Roman" w:hAnsi="Meta Pro"/>
                <w:szCs w:val="18"/>
                <w:lang w:eastAsia="en-AU"/>
              </w:rPr>
            </w:pPr>
            <w:r w:rsidRPr="00DD5ECE">
              <w:rPr>
                <w:rFonts w:ascii="Meta Pro" w:eastAsia="Times New Roman" w:hAnsi="Meta Pro"/>
                <w:szCs w:val="18"/>
                <w:lang w:eastAsia="en-AU"/>
              </w:rPr>
              <w:t>Cash</w:t>
            </w:r>
          </w:p>
        </w:tc>
        <w:tc>
          <w:tcPr>
            <w:tcW w:w="1131" w:type="dxa"/>
            <w:tcBorders>
              <w:top w:val="nil"/>
              <w:left w:val="nil"/>
              <w:bottom w:val="nil"/>
              <w:right w:val="nil"/>
            </w:tcBorders>
            <w:shd w:val="clear" w:color="auto" w:fill="auto"/>
            <w:noWrap/>
            <w:vAlign w:val="center"/>
            <w:hideMark/>
          </w:tcPr>
          <w:p w14:paraId="002ABB52" w14:textId="77777777" w:rsidR="00941F8E" w:rsidRPr="00DD5ECE" w:rsidRDefault="00941F8E" w:rsidP="00E607DA">
            <w:pPr>
              <w:jc w:val="right"/>
              <w:outlineLvl w:val="0"/>
              <w:rPr>
                <w:rFonts w:ascii="Meta Pro" w:eastAsia="Times New Roman" w:hAnsi="Meta Pro"/>
                <w:szCs w:val="18"/>
                <w:lang w:eastAsia="en-AU"/>
              </w:rPr>
            </w:pPr>
            <w:r w:rsidRPr="00DD5ECE">
              <w:rPr>
                <w:rFonts w:ascii="Meta Pro" w:eastAsia="Times New Roman" w:hAnsi="Meta Pro"/>
                <w:szCs w:val="18"/>
                <w:lang w:eastAsia="en-AU"/>
              </w:rPr>
              <w:t xml:space="preserve">21,774 </w:t>
            </w:r>
          </w:p>
        </w:tc>
        <w:tc>
          <w:tcPr>
            <w:tcW w:w="200" w:type="dxa"/>
            <w:tcBorders>
              <w:top w:val="nil"/>
              <w:left w:val="nil"/>
              <w:bottom w:val="nil"/>
              <w:right w:val="nil"/>
            </w:tcBorders>
            <w:shd w:val="clear" w:color="auto" w:fill="auto"/>
            <w:noWrap/>
            <w:vAlign w:val="center"/>
            <w:hideMark/>
          </w:tcPr>
          <w:p w14:paraId="0260FC01" w14:textId="77777777" w:rsidR="00941F8E" w:rsidRPr="00DD5ECE" w:rsidRDefault="00941F8E" w:rsidP="00E607DA">
            <w:pPr>
              <w:jc w:val="right"/>
              <w:outlineLvl w:val="0"/>
              <w:rPr>
                <w:rFonts w:ascii="Meta Pro" w:eastAsia="Times New Roman" w:hAnsi="Meta Pro"/>
                <w:szCs w:val="18"/>
                <w:lang w:eastAsia="en-AU"/>
              </w:rPr>
            </w:pPr>
          </w:p>
        </w:tc>
        <w:tc>
          <w:tcPr>
            <w:tcW w:w="1135" w:type="dxa"/>
            <w:tcBorders>
              <w:top w:val="nil"/>
              <w:left w:val="nil"/>
              <w:bottom w:val="nil"/>
              <w:right w:val="nil"/>
            </w:tcBorders>
            <w:shd w:val="clear" w:color="auto" w:fill="auto"/>
            <w:noWrap/>
            <w:vAlign w:val="center"/>
            <w:hideMark/>
          </w:tcPr>
          <w:p w14:paraId="5DB06337" w14:textId="77777777" w:rsidR="00941F8E" w:rsidRPr="00DD5ECE" w:rsidRDefault="00941F8E" w:rsidP="00E607DA">
            <w:pPr>
              <w:jc w:val="right"/>
              <w:outlineLvl w:val="0"/>
              <w:rPr>
                <w:rFonts w:ascii="Meta Pro" w:eastAsia="Times New Roman" w:hAnsi="Meta Pro"/>
                <w:szCs w:val="18"/>
                <w:lang w:eastAsia="en-AU"/>
              </w:rPr>
            </w:pPr>
            <w:r w:rsidRPr="00DD5ECE">
              <w:rPr>
                <w:rFonts w:ascii="Meta Pro" w:eastAsia="Times New Roman" w:hAnsi="Meta Pro"/>
                <w:szCs w:val="18"/>
                <w:lang w:eastAsia="en-AU"/>
              </w:rPr>
              <w:t xml:space="preserve">19,849 </w:t>
            </w:r>
          </w:p>
        </w:tc>
        <w:tc>
          <w:tcPr>
            <w:tcW w:w="200" w:type="dxa"/>
            <w:tcBorders>
              <w:top w:val="nil"/>
              <w:left w:val="nil"/>
              <w:bottom w:val="nil"/>
              <w:right w:val="nil"/>
            </w:tcBorders>
            <w:shd w:val="clear" w:color="auto" w:fill="auto"/>
            <w:noWrap/>
            <w:vAlign w:val="center"/>
            <w:hideMark/>
          </w:tcPr>
          <w:p w14:paraId="52DB2DAD" w14:textId="77777777" w:rsidR="00941F8E" w:rsidRPr="00DD5ECE" w:rsidRDefault="00941F8E" w:rsidP="00E607DA">
            <w:pPr>
              <w:jc w:val="right"/>
              <w:outlineLvl w:val="0"/>
              <w:rPr>
                <w:rFonts w:ascii="Meta Pro" w:eastAsia="Times New Roman" w:hAnsi="Meta Pro"/>
                <w:szCs w:val="18"/>
                <w:lang w:eastAsia="en-AU"/>
              </w:rPr>
            </w:pPr>
          </w:p>
        </w:tc>
        <w:tc>
          <w:tcPr>
            <w:tcW w:w="1130" w:type="dxa"/>
            <w:tcBorders>
              <w:top w:val="nil"/>
              <w:left w:val="nil"/>
              <w:bottom w:val="nil"/>
              <w:right w:val="nil"/>
            </w:tcBorders>
            <w:shd w:val="clear" w:color="auto" w:fill="auto"/>
            <w:noWrap/>
            <w:vAlign w:val="center"/>
            <w:hideMark/>
          </w:tcPr>
          <w:p w14:paraId="3D7437AA" w14:textId="77777777" w:rsidR="00941F8E" w:rsidRPr="00DD5ECE" w:rsidRDefault="00941F8E" w:rsidP="00E607DA">
            <w:pPr>
              <w:jc w:val="right"/>
              <w:outlineLvl w:val="0"/>
              <w:rPr>
                <w:rFonts w:ascii="Meta Pro" w:eastAsia="Times New Roman" w:hAnsi="Meta Pro"/>
                <w:szCs w:val="18"/>
                <w:lang w:eastAsia="en-AU"/>
              </w:rPr>
            </w:pPr>
            <w:r w:rsidRPr="00DD5ECE">
              <w:rPr>
                <w:rFonts w:ascii="Meta Pro" w:eastAsia="Times New Roman" w:hAnsi="Meta Pro"/>
                <w:szCs w:val="18"/>
                <w:lang w:eastAsia="en-AU"/>
              </w:rPr>
              <w:t>(1,925)</w:t>
            </w:r>
          </w:p>
        </w:tc>
      </w:tr>
      <w:tr w:rsidR="00941F8E" w:rsidRPr="00DD5ECE" w14:paraId="571E716A" w14:textId="77777777" w:rsidTr="00E86873">
        <w:trPr>
          <w:trHeight w:val="227"/>
        </w:trPr>
        <w:tc>
          <w:tcPr>
            <w:tcW w:w="5842" w:type="dxa"/>
            <w:tcBorders>
              <w:top w:val="nil"/>
              <w:left w:val="nil"/>
              <w:bottom w:val="nil"/>
              <w:right w:val="nil"/>
            </w:tcBorders>
            <w:shd w:val="clear" w:color="auto" w:fill="auto"/>
            <w:noWrap/>
            <w:vAlign w:val="center"/>
            <w:hideMark/>
          </w:tcPr>
          <w:p w14:paraId="3DBABB13" w14:textId="77777777" w:rsidR="00941F8E" w:rsidRPr="00DD5ECE" w:rsidRDefault="00941F8E" w:rsidP="00E607DA">
            <w:pPr>
              <w:outlineLvl w:val="0"/>
              <w:rPr>
                <w:rFonts w:ascii="Meta Pro" w:eastAsia="Times New Roman" w:hAnsi="Meta Pro"/>
                <w:szCs w:val="18"/>
                <w:lang w:eastAsia="en-AU"/>
              </w:rPr>
            </w:pPr>
            <w:r w:rsidRPr="00DD5ECE">
              <w:rPr>
                <w:rFonts w:ascii="Meta Pro" w:eastAsia="Times New Roman" w:hAnsi="Meta Pro"/>
                <w:szCs w:val="18"/>
                <w:lang w:eastAsia="en-AU"/>
              </w:rPr>
              <w:t>Receivables</w:t>
            </w:r>
          </w:p>
        </w:tc>
        <w:tc>
          <w:tcPr>
            <w:tcW w:w="1131" w:type="dxa"/>
            <w:tcBorders>
              <w:top w:val="nil"/>
              <w:left w:val="nil"/>
              <w:bottom w:val="nil"/>
              <w:right w:val="nil"/>
            </w:tcBorders>
            <w:shd w:val="clear" w:color="auto" w:fill="auto"/>
            <w:noWrap/>
            <w:vAlign w:val="center"/>
            <w:hideMark/>
          </w:tcPr>
          <w:p w14:paraId="3FA79AEC" w14:textId="77777777" w:rsidR="00941F8E" w:rsidRPr="00DD5ECE" w:rsidRDefault="00941F8E" w:rsidP="00E607DA">
            <w:pPr>
              <w:jc w:val="right"/>
              <w:outlineLvl w:val="0"/>
              <w:rPr>
                <w:rFonts w:ascii="Meta Pro" w:eastAsia="Times New Roman" w:hAnsi="Meta Pro"/>
                <w:szCs w:val="18"/>
                <w:lang w:eastAsia="en-AU"/>
              </w:rPr>
            </w:pPr>
            <w:r w:rsidRPr="00DD5ECE">
              <w:rPr>
                <w:rFonts w:ascii="Meta Pro" w:eastAsia="Times New Roman" w:hAnsi="Meta Pro"/>
                <w:szCs w:val="18"/>
                <w:lang w:eastAsia="en-AU"/>
              </w:rPr>
              <w:t xml:space="preserve">150,759 </w:t>
            </w:r>
          </w:p>
        </w:tc>
        <w:tc>
          <w:tcPr>
            <w:tcW w:w="200" w:type="dxa"/>
            <w:tcBorders>
              <w:top w:val="nil"/>
              <w:left w:val="nil"/>
              <w:bottom w:val="nil"/>
              <w:right w:val="nil"/>
            </w:tcBorders>
            <w:shd w:val="clear" w:color="auto" w:fill="auto"/>
            <w:noWrap/>
            <w:vAlign w:val="center"/>
            <w:hideMark/>
          </w:tcPr>
          <w:p w14:paraId="1BEF3377" w14:textId="77777777" w:rsidR="00941F8E" w:rsidRPr="00DD5ECE" w:rsidRDefault="00941F8E" w:rsidP="00E607DA">
            <w:pPr>
              <w:jc w:val="right"/>
              <w:outlineLvl w:val="0"/>
              <w:rPr>
                <w:rFonts w:ascii="Meta Pro" w:eastAsia="Times New Roman" w:hAnsi="Meta Pro"/>
                <w:szCs w:val="18"/>
                <w:lang w:eastAsia="en-AU"/>
              </w:rPr>
            </w:pPr>
          </w:p>
        </w:tc>
        <w:tc>
          <w:tcPr>
            <w:tcW w:w="1135" w:type="dxa"/>
            <w:tcBorders>
              <w:top w:val="nil"/>
              <w:left w:val="nil"/>
              <w:bottom w:val="nil"/>
              <w:right w:val="nil"/>
            </w:tcBorders>
            <w:shd w:val="clear" w:color="auto" w:fill="auto"/>
            <w:noWrap/>
            <w:vAlign w:val="center"/>
            <w:hideMark/>
          </w:tcPr>
          <w:p w14:paraId="42962D01" w14:textId="77777777" w:rsidR="00941F8E" w:rsidRPr="00DD5ECE" w:rsidRDefault="00941F8E" w:rsidP="00E607DA">
            <w:pPr>
              <w:jc w:val="right"/>
              <w:outlineLvl w:val="0"/>
              <w:rPr>
                <w:rFonts w:ascii="Meta Pro" w:eastAsia="Times New Roman" w:hAnsi="Meta Pro"/>
                <w:szCs w:val="18"/>
                <w:lang w:eastAsia="en-AU"/>
              </w:rPr>
            </w:pPr>
            <w:r w:rsidRPr="00DD5ECE">
              <w:rPr>
                <w:rFonts w:ascii="Meta Pro" w:eastAsia="Times New Roman" w:hAnsi="Meta Pro"/>
                <w:szCs w:val="18"/>
                <w:lang w:eastAsia="en-AU"/>
              </w:rPr>
              <w:t xml:space="preserve">157,984 </w:t>
            </w:r>
          </w:p>
        </w:tc>
        <w:tc>
          <w:tcPr>
            <w:tcW w:w="200" w:type="dxa"/>
            <w:tcBorders>
              <w:top w:val="nil"/>
              <w:left w:val="nil"/>
              <w:bottom w:val="nil"/>
              <w:right w:val="nil"/>
            </w:tcBorders>
            <w:shd w:val="clear" w:color="auto" w:fill="auto"/>
            <w:noWrap/>
            <w:vAlign w:val="center"/>
            <w:hideMark/>
          </w:tcPr>
          <w:p w14:paraId="164951DD" w14:textId="77777777" w:rsidR="00941F8E" w:rsidRPr="00DD5ECE" w:rsidRDefault="00941F8E" w:rsidP="00E607DA">
            <w:pPr>
              <w:jc w:val="right"/>
              <w:outlineLvl w:val="0"/>
              <w:rPr>
                <w:rFonts w:ascii="Meta Pro" w:eastAsia="Times New Roman" w:hAnsi="Meta Pro"/>
                <w:szCs w:val="18"/>
                <w:lang w:eastAsia="en-AU"/>
              </w:rPr>
            </w:pPr>
          </w:p>
        </w:tc>
        <w:tc>
          <w:tcPr>
            <w:tcW w:w="1130" w:type="dxa"/>
            <w:tcBorders>
              <w:top w:val="nil"/>
              <w:left w:val="nil"/>
              <w:bottom w:val="nil"/>
              <w:right w:val="nil"/>
            </w:tcBorders>
            <w:shd w:val="clear" w:color="auto" w:fill="auto"/>
            <w:noWrap/>
            <w:vAlign w:val="center"/>
            <w:hideMark/>
          </w:tcPr>
          <w:p w14:paraId="15D63E3D" w14:textId="77777777" w:rsidR="00941F8E" w:rsidRPr="00DD5ECE" w:rsidRDefault="00941F8E" w:rsidP="00E607DA">
            <w:pPr>
              <w:jc w:val="right"/>
              <w:outlineLvl w:val="0"/>
              <w:rPr>
                <w:rFonts w:ascii="Meta Pro" w:eastAsia="Times New Roman" w:hAnsi="Meta Pro"/>
                <w:szCs w:val="18"/>
                <w:lang w:eastAsia="en-AU"/>
              </w:rPr>
            </w:pPr>
            <w:r w:rsidRPr="00DD5ECE">
              <w:rPr>
                <w:rFonts w:ascii="Meta Pro" w:eastAsia="Times New Roman" w:hAnsi="Meta Pro"/>
                <w:szCs w:val="18"/>
                <w:lang w:eastAsia="en-AU"/>
              </w:rPr>
              <w:t xml:space="preserve">7,225 </w:t>
            </w:r>
          </w:p>
        </w:tc>
      </w:tr>
      <w:tr w:rsidR="00941F8E" w:rsidRPr="00DD5ECE" w14:paraId="2143E65F" w14:textId="77777777" w:rsidTr="00E86873">
        <w:trPr>
          <w:trHeight w:val="227"/>
        </w:trPr>
        <w:tc>
          <w:tcPr>
            <w:tcW w:w="5842" w:type="dxa"/>
            <w:tcBorders>
              <w:top w:val="single" w:sz="4" w:space="0" w:color="auto"/>
              <w:left w:val="nil"/>
              <w:bottom w:val="nil"/>
              <w:right w:val="nil"/>
            </w:tcBorders>
            <w:shd w:val="clear" w:color="auto" w:fill="auto"/>
            <w:noWrap/>
            <w:vAlign w:val="center"/>
            <w:hideMark/>
          </w:tcPr>
          <w:p w14:paraId="45F1E5BF" w14:textId="77777777" w:rsidR="00941F8E" w:rsidRPr="00DD5ECE" w:rsidRDefault="00941F8E" w:rsidP="00E607DA">
            <w:pPr>
              <w:outlineLvl w:val="0"/>
              <w:rPr>
                <w:rFonts w:ascii="Meta Pro" w:eastAsia="Times New Roman" w:hAnsi="Meta Pro"/>
                <w:b/>
                <w:bCs/>
                <w:szCs w:val="18"/>
                <w:lang w:eastAsia="en-AU"/>
              </w:rPr>
            </w:pPr>
            <w:r w:rsidRPr="00DD5ECE">
              <w:rPr>
                <w:rFonts w:ascii="Meta Pro" w:eastAsia="Times New Roman" w:hAnsi="Meta Pro"/>
                <w:b/>
                <w:bCs/>
                <w:szCs w:val="18"/>
                <w:lang w:eastAsia="en-AU"/>
              </w:rPr>
              <w:t>Total current assets</w:t>
            </w:r>
          </w:p>
        </w:tc>
        <w:tc>
          <w:tcPr>
            <w:tcW w:w="1131" w:type="dxa"/>
            <w:tcBorders>
              <w:top w:val="single" w:sz="4" w:space="0" w:color="auto"/>
              <w:left w:val="nil"/>
              <w:bottom w:val="nil"/>
              <w:right w:val="nil"/>
            </w:tcBorders>
            <w:shd w:val="clear" w:color="auto" w:fill="auto"/>
            <w:noWrap/>
            <w:vAlign w:val="center"/>
            <w:hideMark/>
          </w:tcPr>
          <w:p w14:paraId="6C079BFD" w14:textId="77777777" w:rsidR="00941F8E" w:rsidRPr="00DD5ECE" w:rsidRDefault="00941F8E" w:rsidP="00E607DA">
            <w:pPr>
              <w:jc w:val="right"/>
              <w:outlineLvl w:val="0"/>
              <w:rPr>
                <w:rFonts w:ascii="Meta Pro" w:eastAsia="Times New Roman" w:hAnsi="Meta Pro"/>
                <w:b/>
                <w:bCs/>
                <w:szCs w:val="18"/>
                <w:lang w:eastAsia="en-AU"/>
              </w:rPr>
            </w:pPr>
            <w:r w:rsidRPr="00DD5ECE">
              <w:rPr>
                <w:rFonts w:ascii="Meta Pro" w:eastAsia="Times New Roman" w:hAnsi="Meta Pro"/>
                <w:b/>
                <w:bCs/>
                <w:szCs w:val="18"/>
                <w:lang w:eastAsia="en-AU"/>
              </w:rPr>
              <w:t xml:space="preserve">172,533 </w:t>
            </w:r>
          </w:p>
        </w:tc>
        <w:tc>
          <w:tcPr>
            <w:tcW w:w="200" w:type="dxa"/>
            <w:tcBorders>
              <w:top w:val="single" w:sz="4" w:space="0" w:color="auto"/>
              <w:left w:val="nil"/>
              <w:bottom w:val="nil"/>
              <w:right w:val="nil"/>
            </w:tcBorders>
            <w:shd w:val="clear" w:color="auto" w:fill="auto"/>
            <w:noWrap/>
            <w:vAlign w:val="center"/>
            <w:hideMark/>
          </w:tcPr>
          <w:p w14:paraId="7AF81D50" w14:textId="77777777" w:rsidR="00941F8E" w:rsidRPr="00DD5ECE" w:rsidRDefault="00941F8E" w:rsidP="00E607DA">
            <w:pPr>
              <w:jc w:val="right"/>
              <w:outlineLvl w:val="0"/>
              <w:rPr>
                <w:rFonts w:ascii="Meta Pro" w:eastAsia="Times New Roman" w:hAnsi="Meta Pro"/>
                <w:szCs w:val="18"/>
                <w:lang w:eastAsia="en-AU"/>
              </w:rPr>
            </w:pPr>
            <w:r w:rsidRPr="00DD5ECE">
              <w:rPr>
                <w:rFonts w:ascii="Meta Pro" w:eastAsia="Times New Roman" w:hAnsi="Meta Pro"/>
                <w:szCs w:val="18"/>
                <w:lang w:eastAsia="en-AU"/>
              </w:rPr>
              <w:t> </w:t>
            </w:r>
          </w:p>
        </w:tc>
        <w:tc>
          <w:tcPr>
            <w:tcW w:w="1135" w:type="dxa"/>
            <w:tcBorders>
              <w:top w:val="single" w:sz="4" w:space="0" w:color="auto"/>
              <w:left w:val="nil"/>
              <w:bottom w:val="nil"/>
              <w:right w:val="nil"/>
            </w:tcBorders>
            <w:shd w:val="clear" w:color="auto" w:fill="auto"/>
            <w:noWrap/>
            <w:vAlign w:val="center"/>
            <w:hideMark/>
          </w:tcPr>
          <w:p w14:paraId="1B896F30" w14:textId="77777777" w:rsidR="00941F8E" w:rsidRPr="00DD5ECE" w:rsidRDefault="00941F8E" w:rsidP="00E607DA">
            <w:pPr>
              <w:jc w:val="right"/>
              <w:outlineLvl w:val="0"/>
              <w:rPr>
                <w:rFonts w:ascii="Meta Pro" w:eastAsia="Times New Roman" w:hAnsi="Meta Pro"/>
                <w:b/>
                <w:bCs/>
                <w:szCs w:val="18"/>
                <w:lang w:eastAsia="en-AU"/>
              </w:rPr>
            </w:pPr>
            <w:r w:rsidRPr="00DD5ECE">
              <w:rPr>
                <w:rFonts w:ascii="Meta Pro" w:eastAsia="Times New Roman" w:hAnsi="Meta Pro"/>
                <w:b/>
                <w:bCs/>
                <w:szCs w:val="18"/>
                <w:lang w:eastAsia="en-AU"/>
              </w:rPr>
              <w:t xml:space="preserve">177,833 </w:t>
            </w:r>
          </w:p>
        </w:tc>
        <w:tc>
          <w:tcPr>
            <w:tcW w:w="200" w:type="dxa"/>
            <w:tcBorders>
              <w:top w:val="single" w:sz="4" w:space="0" w:color="auto"/>
              <w:left w:val="nil"/>
              <w:bottom w:val="nil"/>
              <w:right w:val="nil"/>
            </w:tcBorders>
            <w:shd w:val="clear" w:color="auto" w:fill="auto"/>
            <w:noWrap/>
            <w:vAlign w:val="center"/>
            <w:hideMark/>
          </w:tcPr>
          <w:p w14:paraId="027B5849" w14:textId="77777777" w:rsidR="00941F8E" w:rsidRPr="00DD5ECE" w:rsidRDefault="00941F8E" w:rsidP="00E607DA">
            <w:pPr>
              <w:jc w:val="right"/>
              <w:outlineLvl w:val="0"/>
              <w:rPr>
                <w:rFonts w:ascii="Meta Pro" w:eastAsia="Times New Roman" w:hAnsi="Meta Pro"/>
                <w:szCs w:val="18"/>
                <w:lang w:eastAsia="en-AU"/>
              </w:rPr>
            </w:pPr>
            <w:r w:rsidRPr="00DD5ECE">
              <w:rPr>
                <w:rFonts w:ascii="Meta Pro" w:eastAsia="Times New Roman" w:hAnsi="Meta Pro"/>
                <w:szCs w:val="18"/>
                <w:lang w:eastAsia="en-AU"/>
              </w:rPr>
              <w:t> </w:t>
            </w:r>
          </w:p>
        </w:tc>
        <w:tc>
          <w:tcPr>
            <w:tcW w:w="1130" w:type="dxa"/>
            <w:tcBorders>
              <w:top w:val="single" w:sz="4" w:space="0" w:color="auto"/>
              <w:left w:val="nil"/>
              <w:bottom w:val="nil"/>
              <w:right w:val="nil"/>
            </w:tcBorders>
            <w:shd w:val="clear" w:color="auto" w:fill="auto"/>
            <w:noWrap/>
            <w:vAlign w:val="center"/>
            <w:hideMark/>
          </w:tcPr>
          <w:p w14:paraId="50F6A5CF" w14:textId="77777777" w:rsidR="00941F8E" w:rsidRPr="00DD5ECE" w:rsidRDefault="00941F8E" w:rsidP="00E607DA">
            <w:pPr>
              <w:jc w:val="right"/>
              <w:outlineLvl w:val="0"/>
              <w:rPr>
                <w:rFonts w:ascii="Meta Pro" w:eastAsia="Times New Roman" w:hAnsi="Meta Pro"/>
                <w:b/>
                <w:bCs/>
                <w:szCs w:val="18"/>
                <w:lang w:eastAsia="en-AU"/>
              </w:rPr>
            </w:pPr>
            <w:r w:rsidRPr="00DD5ECE">
              <w:rPr>
                <w:rFonts w:ascii="Meta Pro" w:eastAsia="Times New Roman" w:hAnsi="Meta Pro"/>
                <w:b/>
                <w:bCs/>
                <w:szCs w:val="18"/>
                <w:lang w:eastAsia="en-AU"/>
              </w:rPr>
              <w:t xml:space="preserve">5,300 </w:t>
            </w:r>
          </w:p>
        </w:tc>
      </w:tr>
      <w:tr w:rsidR="00941F8E" w:rsidRPr="00DD5ECE" w14:paraId="1AD50EBB" w14:textId="77777777" w:rsidTr="00E86873">
        <w:trPr>
          <w:trHeight w:val="227"/>
        </w:trPr>
        <w:tc>
          <w:tcPr>
            <w:tcW w:w="5842" w:type="dxa"/>
            <w:tcBorders>
              <w:top w:val="nil"/>
              <w:left w:val="nil"/>
              <w:bottom w:val="nil"/>
              <w:right w:val="nil"/>
            </w:tcBorders>
            <w:shd w:val="clear" w:color="auto" w:fill="auto"/>
            <w:noWrap/>
            <w:vAlign w:val="center"/>
            <w:hideMark/>
          </w:tcPr>
          <w:p w14:paraId="44E991C5" w14:textId="77777777" w:rsidR="00941F8E" w:rsidRPr="00DD5ECE" w:rsidRDefault="00941F8E" w:rsidP="00E607DA">
            <w:pPr>
              <w:outlineLvl w:val="0"/>
              <w:rPr>
                <w:rFonts w:ascii="Meta Pro" w:eastAsia="Times New Roman" w:hAnsi="Meta Pro"/>
                <w:i/>
                <w:iCs/>
                <w:szCs w:val="18"/>
                <w:lang w:eastAsia="en-AU"/>
              </w:rPr>
            </w:pPr>
            <w:r w:rsidRPr="00DD5ECE">
              <w:rPr>
                <w:rFonts w:ascii="Meta Pro" w:eastAsia="Times New Roman" w:hAnsi="Meta Pro"/>
                <w:i/>
                <w:iCs/>
                <w:szCs w:val="18"/>
                <w:lang w:eastAsia="en-AU"/>
              </w:rPr>
              <w:t xml:space="preserve">Non-current </w:t>
            </w:r>
          </w:p>
        </w:tc>
        <w:tc>
          <w:tcPr>
            <w:tcW w:w="1131" w:type="dxa"/>
            <w:tcBorders>
              <w:top w:val="nil"/>
              <w:left w:val="nil"/>
              <w:bottom w:val="nil"/>
              <w:right w:val="nil"/>
            </w:tcBorders>
            <w:shd w:val="clear" w:color="auto" w:fill="auto"/>
            <w:noWrap/>
            <w:vAlign w:val="center"/>
            <w:hideMark/>
          </w:tcPr>
          <w:p w14:paraId="4F8A0270" w14:textId="77777777" w:rsidR="00941F8E" w:rsidRPr="00DD5ECE" w:rsidRDefault="00941F8E" w:rsidP="00E607DA">
            <w:pPr>
              <w:outlineLvl w:val="0"/>
              <w:rPr>
                <w:rFonts w:ascii="Meta Pro" w:eastAsia="Times New Roman" w:hAnsi="Meta Pro"/>
                <w:i/>
                <w:iCs/>
                <w:szCs w:val="18"/>
                <w:lang w:eastAsia="en-AU"/>
              </w:rPr>
            </w:pPr>
          </w:p>
        </w:tc>
        <w:tc>
          <w:tcPr>
            <w:tcW w:w="200" w:type="dxa"/>
            <w:tcBorders>
              <w:top w:val="nil"/>
              <w:left w:val="nil"/>
              <w:bottom w:val="nil"/>
              <w:right w:val="nil"/>
            </w:tcBorders>
            <w:shd w:val="clear" w:color="auto" w:fill="auto"/>
            <w:noWrap/>
            <w:vAlign w:val="center"/>
            <w:hideMark/>
          </w:tcPr>
          <w:p w14:paraId="7C8C74A6" w14:textId="77777777" w:rsidR="00941F8E" w:rsidRPr="00DD5ECE" w:rsidRDefault="00941F8E" w:rsidP="00E607DA">
            <w:pPr>
              <w:jc w:val="right"/>
              <w:outlineLvl w:val="0"/>
              <w:rPr>
                <w:rFonts w:eastAsia="Times New Roman" w:cs="Times New Roman"/>
                <w:sz w:val="20"/>
                <w:szCs w:val="20"/>
                <w:lang w:eastAsia="en-AU"/>
              </w:rPr>
            </w:pPr>
          </w:p>
        </w:tc>
        <w:tc>
          <w:tcPr>
            <w:tcW w:w="1135" w:type="dxa"/>
            <w:tcBorders>
              <w:top w:val="nil"/>
              <w:left w:val="nil"/>
              <w:bottom w:val="nil"/>
              <w:right w:val="nil"/>
            </w:tcBorders>
            <w:shd w:val="clear" w:color="auto" w:fill="auto"/>
            <w:noWrap/>
            <w:vAlign w:val="center"/>
            <w:hideMark/>
          </w:tcPr>
          <w:p w14:paraId="33640F13" w14:textId="77777777" w:rsidR="00941F8E" w:rsidRPr="00DD5ECE" w:rsidRDefault="00941F8E" w:rsidP="00E607DA">
            <w:pPr>
              <w:jc w:val="right"/>
              <w:outlineLvl w:val="0"/>
              <w:rPr>
                <w:rFonts w:eastAsia="Times New Roman" w:cs="Times New Roman"/>
                <w:sz w:val="20"/>
                <w:szCs w:val="20"/>
                <w:lang w:eastAsia="en-AU"/>
              </w:rPr>
            </w:pPr>
          </w:p>
        </w:tc>
        <w:tc>
          <w:tcPr>
            <w:tcW w:w="200" w:type="dxa"/>
            <w:tcBorders>
              <w:top w:val="nil"/>
              <w:left w:val="nil"/>
              <w:bottom w:val="nil"/>
              <w:right w:val="nil"/>
            </w:tcBorders>
            <w:shd w:val="clear" w:color="auto" w:fill="auto"/>
            <w:noWrap/>
            <w:vAlign w:val="center"/>
            <w:hideMark/>
          </w:tcPr>
          <w:p w14:paraId="20A30EAA" w14:textId="77777777" w:rsidR="00941F8E" w:rsidRPr="00DD5ECE" w:rsidRDefault="00941F8E" w:rsidP="00E607DA">
            <w:pPr>
              <w:jc w:val="right"/>
              <w:outlineLvl w:val="0"/>
              <w:rPr>
                <w:rFonts w:eastAsia="Times New Roman" w:cs="Times New Roman"/>
                <w:sz w:val="20"/>
                <w:szCs w:val="20"/>
                <w:lang w:eastAsia="en-AU"/>
              </w:rPr>
            </w:pPr>
          </w:p>
        </w:tc>
        <w:tc>
          <w:tcPr>
            <w:tcW w:w="1130" w:type="dxa"/>
            <w:tcBorders>
              <w:top w:val="nil"/>
              <w:left w:val="nil"/>
              <w:bottom w:val="nil"/>
              <w:right w:val="nil"/>
            </w:tcBorders>
            <w:shd w:val="clear" w:color="auto" w:fill="auto"/>
            <w:noWrap/>
            <w:vAlign w:val="center"/>
            <w:hideMark/>
          </w:tcPr>
          <w:p w14:paraId="2A766387" w14:textId="77777777" w:rsidR="00941F8E" w:rsidRPr="00DD5ECE" w:rsidRDefault="00941F8E" w:rsidP="00E607DA">
            <w:pPr>
              <w:jc w:val="right"/>
              <w:outlineLvl w:val="0"/>
              <w:rPr>
                <w:rFonts w:eastAsia="Times New Roman" w:cs="Times New Roman"/>
                <w:sz w:val="20"/>
                <w:szCs w:val="20"/>
                <w:lang w:eastAsia="en-AU"/>
              </w:rPr>
            </w:pPr>
          </w:p>
        </w:tc>
      </w:tr>
      <w:tr w:rsidR="00941F8E" w:rsidRPr="00DD5ECE" w14:paraId="1A096765" w14:textId="77777777" w:rsidTr="00E86873">
        <w:trPr>
          <w:trHeight w:val="227"/>
        </w:trPr>
        <w:tc>
          <w:tcPr>
            <w:tcW w:w="5842" w:type="dxa"/>
            <w:tcBorders>
              <w:top w:val="nil"/>
              <w:left w:val="nil"/>
              <w:bottom w:val="nil"/>
              <w:right w:val="nil"/>
            </w:tcBorders>
            <w:shd w:val="clear" w:color="auto" w:fill="auto"/>
            <w:noWrap/>
            <w:vAlign w:val="center"/>
            <w:hideMark/>
          </w:tcPr>
          <w:p w14:paraId="7AA2E9DB" w14:textId="77777777" w:rsidR="00941F8E" w:rsidRPr="00DD5ECE" w:rsidRDefault="00941F8E" w:rsidP="00E607DA">
            <w:pPr>
              <w:outlineLvl w:val="0"/>
              <w:rPr>
                <w:rFonts w:ascii="Meta Pro" w:eastAsia="Times New Roman" w:hAnsi="Meta Pro"/>
                <w:szCs w:val="18"/>
                <w:lang w:eastAsia="en-AU"/>
              </w:rPr>
            </w:pPr>
            <w:r w:rsidRPr="00DD5ECE">
              <w:rPr>
                <w:rFonts w:ascii="Meta Pro" w:eastAsia="Times New Roman" w:hAnsi="Meta Pro"/>
                <w:szCs w:val="18"/>
                <w:lang w:eastAsia="en-AU"/>
              </w:rPr>
              <w:t>Land</w:t>
            </w:r>
          </w:p>
        </w:tc>
        <w:tc>
          <w:tcPr>
            <w:tcW w:w="1131" w:type="dxa"/>
            <w:tcBorders>
              <w:top w:val="nil"/>
              <w:left w:val="nil"/>
              <w:bottom w:val="nil"/>
              <w:right w:val="nil"/>
            </w:tcBorders>
            <w:shd w:val="clear" w:color="auto" w:fill="auto"/>
            <w:noWrap/>
            <w:vAlign w:val="center"/>
            <w:hideMark/>
          </w:tcPr>
          <w:p w14:paraId="56F2732A" w14:textId="77777777" w:rsidR="00941F8E" w:rsidRPr="00DD5ECE" w:rsidRDefault="00941F8E" w:rsidP="00E607DA">
            <w:pPr>
              <w:jc w:val="right"/>
              <w:outlineLvl w:val="0"/>
              <w:rPr>
                <w:rFonts w:ascii="Meta Pro" w:eastAsia="Times New Roman" w:hAnsi="Meta Pro"/>
                <w:szCs w:val="18"/>
                <w:lang w:eastAsia="en-AU"/>
              </w:rPr>
            </w:pPr>
            <w:r w:rsidRPr="00DD5ECE">
              <w:rPr>
                <w:rFonts w:ascii="Meta Pro" w:eastAsia="Times New Roman" w:hAnsi="Meta Pro"/>
                <w:szCs w:val="18"/>
                <w:lang w:eastAsia="en-AU"/>
              </w:rPr>
              <w:t xml:space="preserve">272,090 </w:t>
            </w:r>
          </w:p>
        </w:tc>
        <w:tc>
          <w:tcPr>
            <w:tcW w:w="200" w:type="dxa"/>
            <w:tcBorders>
              <w:top w:val="nil"/>
              <w:left w:val="nil"/>
              <w:bottom w:val="nil"/>
              <w:right w:val="nil"/>
            </w:tcBorders>
            <w:shd w:val="clear" w:color="auto" w:fill="auto"/>
            <w:noWrap/>
            <w:vAlign w:val="center"/>
            <w:hideMark/>
          </w:tcPr>
          <w:p w14:paraId="2E38EECC" w14:textId="77777777" w:rsidR="00941F8E" w:rsidRPr="00DD5ECE" w:rsidRDefault="00941F8E" w:rsidP="00E607DA">
            <w:pPr>
              <w:jc w:val="right"/>
              <w:outlineLvl w:val="0"/>
              <w:rPr>
                <w:rFonts w:ascii="Meta Pro" w:eastAsia="Times New Roman" w:hAnsi="Meta Pro"/>
                <w:szCs w:val="18"/>
                <w:lang w:eastAsia="en-AU"/>
              </w:rPr>
            </w:pPr>
          </w:p>
        </w:tc>
        <w:tc>
          <w:tcPr>
            <w:tcW w:w="1135" w:type="dxa"/>
            <w:tcBorders>
              <w:top w:val="nil"/>
              <w:left w:val="nil"/>
              <w:bottom w:val="nil"/>
              <w:right w:val="nil"/>
            </w:tcBorders>
            <w:shd w:val="clear" w:color="auto" w:fill="auto"/>
            <w:noWrap/>
            <w:vAlign w:val="center"/>
            <w:hideMark/>
          </w:tcPr>
          <w:p w14:paraId="592DC819" w14:textId="77777777" w:rsidR="00941F8E" w:rsidRPr="00DD5ECE" w:rsidRDefault="00941F8E" w:rsidP="00E607DA">
            <w:pPr>
              <w:jc w:val="right"/>
              <w:outlineLvl w:val="0"/>
              <w:rPr>
                <w:rFonts w:ascii="Meta Pro" w:eastAsia="Times New Roman" w:hAnsi="Meta Pro"/>
                <w:szCs w:val="18"/>
                <w:lang w:eastAsia="en-AU"/>
              </w:rPr>
            </w:pPr>
            <w:r w:rsidRPr="00DD5ECE">
              <w:rPr>
                <w:rFonts w:ascii="Meta Pro" w:eastAsia="Times New Roman" w:hAnsi="Meta Pro"/>
                <w:szCs w:val="18"/>
                <w:lang w:eastAsia="en-AU"/>
              </w:rPr>
              <w:t xml:space="preserve">123,279 </w:t>
            </w:r>
          </w:p>
        </w:tc>
        <w:tc>
          <w:tcPr>
            <w:tcW w:w="200" w:type="dxa"/>
            <w:tcBorders>
              <w:top w:val="nil"/>
              <w:left w:val="nil"/>
              <w:bottom w:val="nil"/>
              <w:right w:val="nil"/>
            </w:tcBorders>
            <w:shd w:val="clear" w:color="auto" w:fill="auto"/>
            <w:noWrap/>
            <w:vAlign w:val="center"/>
            <w:hideMark/>
          </w:tcPr>
          <w:p w14:paraId="4C624591" w14:textId="77777777" w:rsidR="00941F8E" w:rsidRPr="00DD5ECE" w:rsidRDefault="00941F8E" w:rsidP="00E607DA">
            <w:pPr>
              <w:jc w:val="right"/>
              <w:outlineLvl w:val="0"/>
              <w:rPr>
                <w:rFonts w:ascii="Meta Pro" w:eastAsia="Times New Roman" w:hAnsi="Meta Pro"/>
                <w:szCs w:val="18"/>
                <w:lang w:eastAsia="en-AU"/>
              </w:rPr>
            </w:pPr>
          </w:p>
        </w:tc>
        <w:tc>
          <w:tcPr>
            <w:tcW w:w="1130" w:type="dxa"/>
            <w:tcBorders>
              <w:top w:val="nil"/>
              <w:left w:val="nil"/>
              <w:bottom w:val="nil"/>
              <w:right w:val="nil"/>
            </w:tcBorders>
            <w:shd w:val="clear" w:color="auto" w:fill="auto"/>
            <w:noWrap/>
            <w:vAlign w:val="center"/>
            <w:hideMark/>
          </w:tcPr>
          <w:p w14:paraId="7113A763" w14:textId="77777777" w:rsidR="00941F8E" w:rsidRPr="00DD5ECE" w:rsidRDefault="00941F8E" w:rsidP="00E607DA">
            <w:pPr>
              <w:jc w:val="right"/>
              <w:outlineLvl w:val="0"/>
              <w:rPr>
                <w:rFonts w:ascii="Meta Pro" w:eastAsia="Times New Roman" w:hAnsi="Meta Pro"/>
                <w:szCs w:val="18"/>
                <w:lang w:eastAsia="en-AU"/>
              </w:rPr>
            </w:pPr>
            <w:r w:rsidRPr="00DD5ECE">
              <w:rPr>
                <w:rFonts w:ascii="Meta Pro" w:eastAsia="Times New Roman" w:hAnsi="Meta Pro"/>
                <w:szCs w:val="18"/>
                <w:lang w:eastAsia="en-AU"/>
              </w:rPr>
              <w:t>(148,811)</w:t>
            </w:r>
          </w:p>
        </w:tc>
      </w:tr>
      <w:tr w:rsidR="00941F8E" w:rsidRPr="00DD5ECE" w14:paraId="0F5A1C48" w14:textId="77777777" w:rsidTr="00E86873">
        <w:trPr>
          <w:trHeight w:val="227"/>
        </w:trPr>
        <w:tc>
          <w:tcPr>
            <w:tcW w:w="5842" w:type="dxa"/>
            <w:tcBorders>
              <w:top w:val="single" w:sz="4" w:space="0" w:color="auto"/>
              <w:left w:val="nil"/>
              <w:bottom w:val="nil"/>
              <w:right w:val="nil"/>
            </w:tcBorders>
            <w:shd w:val="clear" w:color="auto" w:fill="auto"/>
            <w:noWrap/>
            <w:vAlign w:val="center"/>
            <w:hideMark/>
          </w:tcPr>
          <w:p w14:paraId="75D04CDA" w14:textId="77777777" w:rsidR="00941F8E" w:rsidRPr="00DD5ECE" w:rsidRDefault="00941F8E" w:rsidP="00E607DA">
            <w:pPr>
              <w:outlineLvl w:val="0"/>
              <w:rPr>
                <w:rFonts w:ascii="Meta Pro" w:eastAsia="Times New Roman" w:hAnsi="Meta Pro"/>
                <w:b/>
                <w:bCs/>
                <w:szCs w:val="18"/>
                <w:lang w:eastAsia="en-AU"/>
              </w:rPr>
            </w:pPr>
            <w:r w:rsidRPr="00DD5ECE">
              <w:rPr>
                <w:rFonts w:ascii="Meta Pro" w:eastAsia="Times New Roman" w:hAnsi="Meta Pro"/>
                <w:b/>
                <w:bCs/>
                <w:szCs w:val="18"/>
                <w:lang w:eastAsia="en-AU"/>
              </w:rPr>
              <w:t>Total non-current assets</w:t>
            </w:r>
          </w:p>
        </w:tc>
        <w:tc>
          <w:tcPr>
            <w:tcW w:w="1131" w:type="dxa"/>
            <w:tcBorders>
              <w:top w:val="single" w:sz="4" w:space="0" w:color="auto"/>
              <w:left w:val="nil"/>
              <w:bottom w:val="nil"/>
              <w:right w:val="nil"/>
            </w:tcBorders>
            <w:shd w:val="clear" w:color="auto" w:fill="auto"/>
            <w:noWrap/>
            <w:vAlign w:val="center"/>
            <w:hideMark/>
          </w:tcPr>
          <w:p w14:paraId="53214C1E" w14:textId="77777777" w:rsidR="00941F8E" w:rsidRPr="00DD5ECE" w:rsidRDefault="00941F8E" w:rsidP="00E607DA">
            <w:pPr>
              <w:jc w:val="right"/>
              <w:outlineLvl w:val="0"/>
              <w:rPr>
                <w:rFonts w:ascii="Meta Pro" w:eastAsia="Times New Roman" w:hAnsi="Meta Pro"/>
                <w:b/>
                <w:bCs/>
                <w:szCs w:val="18"/>
                <w:lang w:eastAsia="en-AU"/>
              </w:rPr>
            </w:pPr>
            <w:r w:rsidRPr="00DD5ECE">
              <w:rPr>
                <w:rFonts w:ascii="Meta Pro" w:eastAsia="Times New Roman" w:hAnsi="Meta Pro"/>
                <w:b/>
                <w:bCs/>
                <w:szCs w:val="18"/>
                <w:lang w:eastAsia="en-AU"/>
              </w:rPr>
              <w:t xml:space="preserve">272,090 </w:t>
            </w:r>
          </w:p>
        </w:tc>
        <w:tc>
          <w:tcPr>
            <w:tcW w:w="200" w:type="dxa"/>
            <w:tcBorders>
              <w:top w:val="single" w:sz="4" w:space="0" w:color="auto"/>
              <w:left w:val="nil"/>
              <w:bottom w:val="nil"/>
              <w:right w:val="nil"/>
            </w:tcBorders>
            <w:shd w:val="clear" w:color="auto" w:fill="auto"/>
            <w:noWrap/>
            <w:vAlign w:val="center"/>
            <w:hideMark/>
          </w:tcPr>
          <w:p w14:paraId="3F71FDBB" w14:textId="77777777" w:rsidR="00941F8E" w:rsidRPr="00DD5ECE" w:rsidRDefault="00941F8E" w:rsidP="00E607DA">
            <w:pPr>
              <w:jc w:val="right"/>
              <w:outlineLvl w:val="0"/>
              <w:rPr>
                <w:rFonts w:ascii="Meta Pro" w:eastAsia="Times New Roman" w:hAnsi="Meta Pro"/>
                <w:szCs w:val="18"/>
                <w:lang w:eastAsia="en-AU"/>
              </w:rPr>
            </w:pPr>
            <w:r w:rsidRPr="00DD5ECE">
              <w:rPr>
                <w:rFonts w:ascii="Meta Pro" w:eastAsia="Times New Roman" w:hAnsi="Meta Pro"/>
                <w:szCs w:val="18"/>
                <w:lang w:eastAsia="en-AU"/>
              </w:rPr>
              <w:t> </w:t>
            </w:r>
          </w:p>
        </w:tc>
        <w:tc>
          <w:tcPr>
            <w:tcW w:w="1135" w:type="dxa"/>
            <w:tcBorders>
              <w:top w:val="single" w:sz="4" w:space="0" w:color="auto"/>
              <w:left w:val="nil"/>
              <w:bottom w:val="nil"/>
              <w:right w:val="nil"/>
            </w:tcBorders>
            <w:shd w:val="clear" w:color="auto" w:fill="auto"/>
            <w:noWrap/>
            <w:vAlign w:val="center"/>
            <w:hideMark/>
          </w:tcPr>
          <w:p w14:paraId="131FB8D1" w14:textId="77777777" w:rsidR="00941F8E" w:rsidRPr="00DD5ECE" w:rsidRDefault="00941F8E" w:rsidP="00E607DA">
            <w:pPr>
              <w:jc w:val="right"/>
              <w:outlineLvl w:val="0"/>
              <w:rPr>
                <w:rFonts w:ascii="Meta Pro" w:eastAsia="Times New Roman" w:hAnsi="Meta Pro"/>
                <w:b/>
                <w:bCs/>
                <w:szCs w:val="18"/>
                <w:lang w:eastAsia="en-AU"/>
              </w:rPr>
            </w:pPr>
            <w:r w:rsidRPr="00DD5ECE">
              <w:rPr>
                <w:rFonts w:ascii="Meta Pro" w:eastAsia="Times New Roman" w:hAnsi="Meta Pro"/>
                <w:b/>
                <w:bCs/>
                <w:szCs w:val="18"/>
                <w:lang w:eastAsia="en-AU"/>
              </w:rPr>
              <w:t xml:space="preserve">123,279 </w:t>
            </w:r>
          </w:p>
        </w:tc>
        <w:tc>
          <w:tcPr>
            <w:tcW w:w="200" w:type="dxa"/>
            <w:tcBorders>
              <w:top w:val="single" w:sz="4" w:space="0" w:color="auto"/>
              <w:left w:val="nil"/>
              <w:bottom w:val="nil"/>
              <w:right w:val="nil"/>
            </w:tcBorders>
            <w:shd w:val="clear" w:color="auto" w:fill="auto"/>
            <w:noWrap/>
            <w:vAlign w:val="center"/>
            <w:hideMark/>
          </w:tcPr>
          <w:p w14:paraId="4301E126" w14:textId="77777777" w:rsidR="00941F8E" w:rsidRPr="00DD5ECE" w:rsidRDefault="00941F8E" w:rsidP="00E607DA">
            <w:pPr>
              <w:jc w:val="right"/>
              <w:outlineLvl w:val="0"/>
              <w:rPr>
                <w:rFonts w:ascii="Meta Pro" w:eastAsia="Times New Roman" w:hAnsi="Meta Pro"/>
                <w:szCs w:val="18"/>
                <w:lang w:eastAsia="en-AU"/>
              </w:rPr>
            </w:pPr>
            <w:r w:rsidRPr="00DD5ECE">
              <w:rPr>
                <w:rFonts w:ascii="Meta Pro" w:eastAsia="Times New Roman" w:hAnsi="Meta Pro"/>
                <w:szCs w:val="18"/>
                <w:lang w:eastAsia="en-AU"/>
              </w:rPr>
              <w:t> </w:t>
            </w:r>
          </w:p>
        </w:tc>
        <w:tc>
          <w:tcPr>
            <w:tcW w:w="1130" w:type="dxa"/>
            <w:tcBorders>
              <w:top w:val="single" w:sz="4" w:space="0" w:color="auto"/>
              <w:left w:val="nil"/>
              <w:bottom w:val="nil"/>
              <w:right w:val="nil"/>
            </w:tcBorders>
            <w:shd w:val="clear" w:color="auto" w:fill="auto"/>
            <w:noWrap/>
            <w:vAlign w:val="center"/>
            <w:hideMark/>
          </w:tcPr>
          <w:p w14:paraId="3A2743A0" w14:textId="77777777" w:rsidR="00941F8E" w:rsidRPr="00DD5ECE" w:rsidRDefault="00941F8E" w:rsidP="00E607DA">
            <w:pPr>
              <w:jc w:val="right"/>
              <w:outlineLvl w:val="0"/>
              <w:rPr>
                <w:rFonts w:ascii="Meta Pro" w:eastAsia="Times New Roman" w:hAnsi="Meta Pro"/>
                <w:b/>
                <w:bCs/>
                <w:szCs w:val="18"/>
                <w:lang w:eastAsia="en-AU"/>
              </w:rPr>
            </w:pPr>
            <w:r w:rsidRPr="00DD5ECE">
              <w:rPr>
                <w:rFonts w:ascii="Meta Pro" w:eastAsia="Times New Roman" w:hAnsi="Meta Pro"/>
                <w:b/>
                <w:bCs/>
                <w:szCs w:val="18"/>
                <w:lang w:eastAsia="en-AU"/>
              </w:rPr>
              <w:t>(148,811)</w:t>
            </w:r>
          </w:p>
        </w:tc>
      </w:tr>
      <w:tr w:rsidR="00941F8E" w:rsidRPr="00DD5ECE" w14:paraId="021787BE" w14:textId="77777777" w:rsidTr="00E86873">
        <w:trPr>
          <w:trHeight w:val="227"/>
        </w:trPr>
        <w:tc>
          <w:tcPr>
            <w:tcW w:w="5842" w:type="dxa"/>
            <w:tcBorders>
              <w:top w:val="single" w:sz="4" w:space="0" w:color="auto"/>
              <w:left w:val="nil"/>
              <w:bottom w:val="single" w:sz="4" w:space="0" w:color="auto"/>
              <w:right w:val="nil"/>
            </w:tcBorders>
            <w:shd w:val="clear" w:color="auto" w:fill="auto"/>
            <w:noWrap/>
            <w:vAlign w:val="center"/>
            <w:hideMark/>
          </w:tcPr>
          <w:p w14:paraId="0EFBB0C1" w14:textId="77777777" w:rsidR="00941F8E" w:rsidRPr="00DD5ECE" w:rsidRDefault="00941F8E" w:rsidP="00E607DA">
            <w:pPr>
              <w:outlineLvl w:val="0"/>
              <w:rPr>
                <w:rFonts w:ascii="Meta Pro" w:eastAsia="Times New Roman" w:hAnsi="Meta Pro"/>
                <w:b/>
                <w:bCs/>
                <w:szCs w:val="18"/>
                <w:lang w:eastAsia="en-AU"/>
              </w:rPr>
            </w:pPr>
            <w:r w:rsidRPr="00DD5ECE">
              <w:rPr>
                <w:rFonts w:ascii="Meta Pro" w:eastAsia="Times New Roman" w:hAnsi="Meta Pro"/>
                <w:b/>
                <w:bCs/>
                <w:szCs w:val="18"/>
                <w:lang w:eastAsia="en-AU"/>
              </w:rPr>
              <w:t>Total assets</w:t>
            </w:r>
          </w:p>
        </w:tc>
        <w:tc>
          <w:tcPr>
            <w:tcW w:w="1131" w:type="dxa"/>
            <w:tcBorders>
              <w:top w:val="single" w:sz="4" w:space="0" w:color="auto"/>
              <w:left w:val="nil"/>
              <w:bottom w:val="single" w:sz="4" w:space="0" w:color="auto"/>
              <w:right w:val="nil"/>
            </w:tcBorders>
            <w:shd w:val="clear" w:color="auto" w:fill="auto"/>
            <w:noWrap/>
            <w:vAlign w:val="center"/>
            <w:hideMark/>
          </w:tcPr>
          <w:p w14:paraId="68B8913C" w14:textId="77777777" w:rsidR="00941F8E" w:rsidRPr="00DD5ECE" w:rsidRDefault="00941F8E" w:rsidP="00E607DA">
            <w:pPr>
              <w:jc w:val="right"/>
              <w:outlineLvl w:val="0"/>
              <w:rPr>
                <w:rFonts w:ascii="Meta Pro" w:eastAsia="Times New Roman" w:hAnsi="Meta Pro"/>
                <w:b/>
                <w:bCs/>
                <w:szCs w:val="18"/>
                <w:lang w:eastAsia="en-AU"/>
              </w:rPr>
            </w:pPr>
            <w:r w:rsidRPr="00DD5ECE">
              <w:rPr>
                <w:rFonts w:ascii="Meta Pro" w:eastAsia="Times New Roman" w:hAnsi="Meta Pro"/>
                <w:b/>
                <w:bCs/>
                <w:szCs w:val="18"/>
                <w:lang w:eastAsia="en-AU"/>
              </w:rPr>
              <w:t xml:space="preserve">444,623 </w:t>
            </w:r>
          </w:p>
        </w:tc>
        <w:tc>
          <w:tcPr>
            <w:tcW w:w="200" w:type="dxa"/>
            <w:tcBorders>
              <w:top w:val="single" w:sz="4" w:space="0" w:color="auto"/>
              <w:left w:val="nil"/>
              <w:bottom w:val="single" w:sz="4" w:space="0" w:color="auto"/>
              <w:right w:val="nil"/>
            </w:tcBorders>
            <w:shd w:val="clear" w:color="auto" w:fill="auto"/>
            <w:noWrap/>
            <w:vAlign w:val="center"/>
            <w:hideMark/>
          </w:tcPr>
          <w:p w14:paraId="0BA8A2B0" w14:textId="77777777" w:rsidR="00941F8E" w:rsidRPr="00DD5ECE" w:rsidRDefault="00941F8E" w:rsidP="00E607DA">
            <w:pPr>
              <w:jc w:val="right"/>
              <w:outlineLvl w:val="0"/>
              <w:rPr>
                <w:rFonts w:ascii="Meta Pro" w:eastAsia="Times New Roman" w:hAnsi="Meta Pro"/>
                <w:szCs w:val="18"/>
                <w:lang w:eastAsia="en-AU"/>
              </w:rPr>
            </w:pPr>
            <w:r w:rsidRPr="00DD5ECE">
              <w:rPr>
                <w:rFonts w:ascii="Meta Pro" w:eastAsia="Times New Roman" w:hAnsi="Meta Pro"/>
                <w:szCs w:val="18"/>
                <w:lang w:eastAsia="en-AU"/>
              </w:rPr>
              <w:t> </w:t>
            </w:r>
          </w:p>
        </w:tc>
        <w:tc>
          <w:tcPr>
            <w:tcW w:w="1135" w:type="dxa"/>
            <w:tcBorders>
              <w:top w:val="single" w:sz="4" w:space="0" w:color="auto"/>
              <w:left w:val="nil"/>
              <w:bottom w:val="single" w:sz="4" w:space="0" w:color="auto"/>
              <w:right w:val="nil"/>
            </w:tcBorders>
            <w:shd w:val="clear" w:color="auto" w:fill="auto"/>
            <w:noWrap/>
            <w:vAlign w:val="center"/>
            <w:hideMark/>
          </w:tcPr>
          <w:p w14:paraId="5F75DF07" w14:textId="77777777" w:rsidR="00941F8E" w:rsidRPr="00DD5ECE" w:rsidRDefault="00941F8E" w:rsidP="00E607DA">
            <w:pPr>
              <w:jc w:val="right"/>
              <w:outlineLvl w:val="0"/>
              <w:rPr>
                <w:rFonts w:ascii="Meta Pro" w:eastAsia="Times New Roman" w:hAnsi="Meta Pro"/>
                <w:b/>
                <w:bCs/>
                <w:szCs w:val="18"/>
                <w:lang w:eastAsia="en-AU"/>
              </w:rPr>
            </w:pPr>
            <w:r w:rsidRPr="00DD5ECE">
              <w:rPr>
                <w:rFonts w:ascii="Meta Pro" w:eastAsia="Times New Roman" w:hAnsi="Meta Pro"/>
                <w:b/>
                <w:bCs/>
                <w:szCs w:val="18"/>
                <w:lang w:eastAsia="en-AU"/>
              </w:rPr>
              <w:t xml:space="preserve">301,112 </w:t>
            </w:r>
          </w:p>
        </w:tc>
        <w:tc>
          <w:tcPr>
            <w:tcW w:w="200" w:type="dxa"/>
            <w:tcBorders>
              <w:top w:val="single" w:sz="4" w:space="0" w:color="auto"/>
              <w:left w:val="nil"/>
              <w:bottom w:val="single" w:sz="4" w:space="0" w:color="auto"/>
              <w:right w:val="nil"/>
            </w:tcBorders>
            <w:shd w:val="clear" w:color="auto" w:fill="auto"/>
            <w:noWrap/>
            <w:vAlign w:val="center"/>
            <w:hideMark/>
          </w:tcPr>
          <w:p w14:paraId="47F9E603" w14:textId="77777777" w:rsidR="00941F8E" w:rsidRPr="00DD5ECE" w:rsidRDefault="00941F8E" w:rsidP="00E607DA">
            <w:pPr>
              <w:jc w:val="right"/>
              <w:outlineLvl w:val="0"/>
              <w:rPr>
                <w:rFonts w:ascii="Meta Pro" w:eastAsia="Times New Roman" w:hAnsi="Meta Pro"/>
                <w:szCs w:val="18"/>
                <w:lang w:eastAsia="en-AU"/>
              </w:rPr>
            </w:pPr>
            <w:r w:rsidRPr="00DD5ECE">
              <w:rPr>
                <w:rFonts w:ascii="Meta Pro" w:eastAsia="Times New Roman" w:hAnsi="Meta Pro"/>
                <w:szCs w:val="18"/>
                <w:lang w:eastAsia="en-AU"/>
              </w:rPr>
              <w:t> </w:t>
            </w:r>
          </w:p>
        </w:tc>
        <w:tc>
          <w:tcPr>
            <w:tcW w:w="1130" w:type="dxa"/>
            <w:tcBorders>
              <w:top w:val="single" w:sz="4" w:space="0" w:color="auto"/>
              <w:left w:val="nil"/>
              <w:bottom w:val="single" w:sz="4" w:space="0" w:color="auto"/>
              <w:right w:val="nil"/>
            </w:tcBorders>
            <w:shd w:val="clear" w:color="auto" w:fill="auto"/>
            <w:noWrap/>
            <w:vAlign w:val="center"/>
            <w:hideMark/>
          </w:tcPr>
          <w:p w14:paraId="58F9CC18" w14:textId="77777777" w:rsidR="00941F8E" w:rsidRPr="00DD5ECE" w:rsidRDefault="00941F8E" w:rsidP="00E607DA">
            <w:pPr>
              <w:jc w:val="right"/>
              <w:outlineLvl w:val="0"/>
              <w:rPr>
                <w:rFonts w:ascii="Meta Pro" w:eastAsia="Times New Roman" w:hAnsi="Meta Pro"/>
                <w:b/>
                <w:bCs/>
                <w:szCs w:val="18"/>
                <w:lang w:eastAsia="en-AU"/>
              </w:rPr>
            </w:pPr>
            <w:r w:rsidRPr="00DD5ECE">
              <w:rPr>
                <w:rFonts w:ascii="Meta Pro" w:eastAsia="Times New Roman" w:hAnsi="Meta Pro"/>
                <w:b/>
                <w:bCs/>
                <w:szCs w:val="18"/>
                <w:lang w:eastAsia="en-AU"/>
              </w:rPr>
              <w:t>(143,511)</w:t>
            </w:r>
          </w:p>
        </w:tc>
      </w:tr>
      <w:tr w:rsidR="00941F8E" w:rsidRPr="00DD5ECE" w14:paraId="3DB28E28" w14:textId="77777777" w:rsidTr="00E86873">
        <w:trPr>
          <w:trHeight w:val="227"/>
        </w:trPr>
        <w:tc>
          <w:tcPr>
            <w:tcW w:w="5842" w:type="dxa"/>
            <w:tcBorders>
              <w:top w:val="nil"/>
              <w:left w:val="nil"/>
              <w:bottom w:val="nil"/>
              <w:right w:val="nil"/>
            </w:tcBorders>
            <w:shd w:val="clear" w:color="auto" w:fill="auto"/>
            <w:noWrap/>
            <w:vAlign w:val="center"/>
            <w:hideMark/>
          </w:tcPr>
          <w:p w14:paraId="5BBF4163" w14:textId="77777777" w:rsidR="00941F8E" w:rsidRPr="00DD5ECE" w:rsidRDefault="00941F8E" w:rsidP="00E607DA">
            <w:pPr>
              <w:jc w:val="right"/>
              <w:outlineLvl w:val="0"/>
              <w:rPr>
                <w:rFonts w:ascii="Meta Pro" w:eastAsia="Times New Roman" w:hAnsi="Meta Pro"/>
                <w:b/>
                <w:bCs/>
                <w:szCs w:val="18"/>
                <w:lang w:eastAsia="en-AU"/>
              </w:rPr>
            </w:pPr>
          </w:p>
        </w:tc>
        <w:tc>
          <w:tcPr>
            <w:tcW w:w="1131" w:type="dxa"/>
            <w:tcBorders>
              <w:top w:val="nil"/>
              <w:left w:val="nil"/>
              <w:bottom w:val="nil"/>
              <w:right w:val="nil"/>
            </w:tcBorders>
            <w:shd w:val="clear" w:color="auto" w:fill="auto"/>
            <w:noWrap/>
            <w:vAlign w:val="center"/>
            <w:hideMark/>
          </w:tcPr>
          <w:p w14:paraId="533C6A1A" w14:textId="77777777" w:rsidR="00941F8E" w:rsidRPr="00DD5ECE" w:rsidRDefault="00941F8E" w:rsidP="00E607DA">
            <w:pPr>
              <w:outlineLvl w:val="0"/>
              <w:rPr>
                <w:rFonts w:eastAsia="Times New Roman" w:cs="Times New Roman"/>
                <w:sz w:val="20"/>
                <w:szCs w:val="20"/>
                <w:lang w:eastAsia="en-AU"/>
              </w:rPr>
            </w:pPr>
          </w:p>
        </w:tc>
        <w:tc>
          <w:tcPr>
            <w:tcW w:w="200" w:type="dxa"/>
            <w:tcBorders>
              <w:top w:val="nil"/>
              <w:left w:val="nil"/>
              <w:bottom w:val="nil"/>
              <w:right w:val="nil"/>
            </w:tcBorders>
            <w:shd w:val="clear" w:color="auto" w:fill="auto"/>
            <w:noWrap/>
            <w:vAlign w:val="center"/>
            <w:hideMark/>
          </w:tcPr>
          <w:p w14:paraId="4FBF50F2" w14:textId="77777777" w:rsidR="00941F8E" w:rsidRPr="00DD5ECE" w:rsidRDefault="00941F8E" w:rsidP="00E607DA">
            <w:pPr>
              <w:outlineLvl w:val="0"/>
              <w:rPr>
                <w:rFonts w:eastAsia="Times New Roman" w:cs="Times New Roman"/>
                <w:sz w:val="20"/>
                <w:szCs w:val="20"/>
                <w:lang w:eastAsia="en-AU"/>
              </w:rPr>
            </w:pPr>
          </w:p>
        </w:tc>
        <w:tc>
          <w:tcPr>
            <w:tcW w:w="1135" w:type="dxa"/>
            <w:tcBorders>
              <w:top w:val="nil"/>
              <w:left w:val="nil"/>
              <w:bottom w:val="nil"/>
              <w:right w:val="nil"/>
            </w:tcBorders>
            <w:shd w:val="clear" w:color="auto" w:fill="auto"/>
            <w:noWrap/>
            <w:vAlign w:val="center"/>
            <w:hideMark/>
          </w:tcPr>
          <w:p w14:paraId="79912429" w14:textId="77777777" w:rsidR="00941F8E" w:rsidRPr="00DD5ECE" w:rsidRDefault="00941F8E" w:rsidP="00E607DA">
            <w:pPr>
              <w:outlineLvl w:val="0"/>
              <w:rPr>
                <w:rFonts w:eastAsia="Times New Roman" w:cs="Times New Roman"/>
                <w:sz w:val="20"/>
                <w:szCs w:val="20"/>
                <w:lang w:eastAsia="en-AU"/>
              </w:rPr>
            </w:pPr>
          </w:p>
        </w:tc>
        <w:tc>
          <w:tcPr>
            <w:tcW w:w="200" w:type="dxa"/>
            <w:tcBorders>
              <w:top w:val="nil"/>
              <w:left w:val="nil"/>
              <w:bottom w:val="nil"/>
              <w:right w:val="nil"/>
            </w:tcBorders>
            <w:shd w:val="clear" w:color="auto" w:fill="auto"/>
            <w:noWrap/>
            <w:vAlign w:val="center"/>
            <w:hideMark/>
          </w:tcPr>
          <w:p w14:paraId="50252757" w14:textId="77777777" w:rsidR="00941F8E" w:rsidRPr="00DD5ECE" w:rsidRDefault="00941F8E" w:rsidP="00E607DA">
            <w:pPr>
              <w:jc w:val="right"/>
              <w:outlineLvl w:val="0"/>
              <w:rPr>
                <w:rFonts w:eastAsia="Times New Roman" w:cs="Times New Roman"/>
                <w:sz w:val="20"/>
                <w:szCs w:val="20"/>
                <w:lang w:eastAsia="en-AU"/>
              </w:rPr>
            </w:pPr>
          </w:p>
        </w:tc>
        <w:tc>
          <w:tcPr>
            <w:tcW w:w="1130" w:type="dxa"/>
            <w:tcBorders>
              <w:top w:val="nil"/>
              <w:left w:val="nil"/>
              <w:bottom w:val="nil"/>
              <w:right w:val="nil"/>
            </w:tcBorders>
            <w:shd w:val="clear" w:color="auto" w:fill="auto"/>
            <w:noWrap/>
            <w:vAlign w:val="center"/>
            <w:hideMark/>
          </w:tcPr>
          <w:p w14:paraId="3C63048E" w14:textId="77777777" w:rsidR="00941F8E" w:rsidRPr="00DD5ECE" w:rsidRDefault="00941F8E" w:rsidP="00E607DA">
            <w:pPr>
              <w:outlineLvl w:val="0"/>
              <w:rPr>
                <w:rFonts w:eastAsia="Times New Roman" w:cs="Times New Roman"/>
                <w:sz w:val="20"/>
                <w:szCs w:val="20"/>
                <w:lang w:eastAsia="en-AU"/>
              </w:rPr>
            </w:pPr>
          </w:p>
        </w:tc>
      </w:tr>
      <w:tr w:rsidR="00941F8E" w:rsidRPr="00DD5ECE" w14:paraId="43949CD3" w14:textId="77777777" w:rsidTr="00E86873">
        <w:trPr>
          <w:trHeight w:val="227"/>
        </w:trPr>
        <w:tc>
          <w:tcPr>
            <w:tcW w:w="5842" w:type="dxa"/>
            <w:tcBorders>
              <w:top w:val="nil"/>
              <w:left w:val="nil"/>
              <w:bottom w:val="nil"/>
              <w:right w:val="nil"/>
            </w:tcBorders>
            <w:shd w:val="clear" w:color="auto" w:fill="auto"/>
            <w:noWrap/>
            <w:vAlign w:val="center"/>
            <w:hideMark/>
          </w:tcPr>
          <w:p w14:paraId="060474D1" w14:textId="77777777" w:rsidR="00941F8E" w:rsidRPr="00DD5ECE" w:rsidRDefault="00941F8E" w:rsidP="00E607DA">
            <w:pPr>
              <w:outlineLvl w:val="0"/>
              <w:rPr>
                <w:rFonts w:ascii="Meta Pro" w:eastAsia="Times New Roman" w:hAnsi="Meta Pro"/>
                <w:b/>
                <w:bCs/>
                <w:szCs w:val="18"/>
                <w:lang w:eastAsia="en-AU"/>
              </w:rPr>
            </w:pPr>
            <w:r w:rsidRPr="00DD5ECE">
              <w:rPr>
                <w:rFonts w:ascii="Meta Pro" w:eastAsia="Times New Roman" w:hAnsi="Meta Pro"/>
                <w:b/>
                <w:bCs/>
                <w:szCs w:val="18"/>
                <w:lang w:eastAsia="en-AU"/>
              </w:rPr>
              <w:t>Administered liabilities</w:t>
            </w:r>
          </w:p>
        </w:tc>
        <w:tc>
          <w:tcPr>
            <w:tcW w:w="1131" w:type="dxa"/>
            <w:tcBorders>
              <w:top w:val="nil"/>
              <w:left w:val="nil"/>
              <w:bottom w:val="nil"/>
              <w:right w:val="nil"/>
            </w:tcBorders>
            <w:shd w:val="clear" w:color="auto" w:fill="auto"/>
            <w:noWrap/>
            <w:vAlign w:val="center"/>
            <w:hideMark/>
          </w:tcPr>
          <w:p w14:paraId="7402390F" w14:textId="77777777" w:rsidR="00941F8E" w:rsidRPr="00DD5ECE" w:rsidRDefault="00941F8E" w:rsidP="00E607DA">
            <w:pPr>
              <w:outlineLvl w:val="0"/>
              <w:rPr>
                <w:rFonts w:ascii="Meta Pro" w:eastAsia="Times New Roman" w:hAnsi="Meta Pro"/>
                <w:b/>
                <w:bCs/>
                <w:szCs w:val="18"/>
                <w:lang w:eastAsia="en-AU"/>
              </w:rPr>
            </w:pPr>
          </w:p>
        </w:tc>
        <w:tc>
          <w:tcPr>
            <w:tcW w:w="200" w:type="dxa"/>
            <w:tcBorders>
              <w:top w:val="nil"/>
              <w:left w:val="nil"/>
              <w:bottom w:val="nil"/>
              <w:right w:val="nil"/>
            </w:tcBorders>
            <w:shd w:val="clear" w:color="auto" w:fill="auto"/>
            <w:noWrap/>
            <w:vAlign w:val="center"/>
            <w:hideMark/>
          </w:tcPr>
          <w:p w14:paraId="1453EB10" w14:textId="77777777" w:rsidR="00941F8E" w:rsidRPr="00DD5ECE" w:rsidRDefault="00941F8E" w:rsidP="00E607DA">
            <w:pPr>
              <w:outlineLvl w:val="0"/>
              <w:rPr>
                <w:rFonts w:eastAsia="Times New Roman" w:cs="Times New Roman"/>
                <w:sz w:val="20"/>
                <w:szCs w:val="20"/>
                <w:lang w:eastAsia="en-AU"/>
              </w:rPr>
            </w:pPr>
          </w:p>
        </w:tc>
        <w:tc>
          <w:tcPr>
            <w:tcW w:w="1135" w:type="dxa"/>
            <w:tcBorders>
              <w:top w:val="nil"/>
              <w:left w:val="nil"/>
              <w:bottom w:val="nil"/>
              <w:right w:val="nil"/>
            </w:tcBorders>
            <w:shd w:val="clear" w:color="auto" w:fill="auto"/>
            <w:noWrap/>
            <w:vAlign w:val="center"/>
            <w:hideMark/>
          </w:tcPr>
          <w:p w14:paraId="726D8CF7" w14:textId="77777777" w:rsidR="00941F8E" w:rsidRPr="00DD5ECE" w:rsidRDefault="00941F8E" w:rsidP="00E607DA">
            <w:pPr>
              <w:jc w:val="right"/>
              <w:outlineLvl w:val="0"/>
              <w:rPr>
                <w:rFonts w:eastAsia="Times New Roman" w:cs="Times New Roman"/>
                <w:sz w:val="20"/>
                <w:szCs w:val="20"/>
                <w:lang w:eastAsia="en-AU"/>
              </w:rPr>
            </w:pPr>
          </w:p>
        </w:tc>
        <w:tc>
          <w:tcPr>
            <w:tcW w:w="200" w:type="dxa"/>
            <w:tcBorders>
              <w:top w:val="nil"/>
              <w:left w:val="nil"/>
              <w:bottom w:val="nil"/>
              <w:right w:val="nil"/>
            </w:tcBorders>
            <w:shd w:val="clear" w:color="auto" w:fill="auto"/>
            <w:noWrap/>
            <w:vAlign w:val="center"/>
            <w:hideMark/>
          </w:tcPr>
          <w:p w14:paraId="6FC5DCDC" w14:textId="77777777" w:rsidR="00941F8E" w:rsidRPr="00DD5ECE" w:rsidRDefault="00941F8E" w:rsidP="00E607DA">
            <w:pPr>
              <w:outlineLvl w:val="0"/>
              <w:rPr>
                <w:rFonts w:eastAsia="Times New Roman" w:cs="Times New Roman"/>
                <w:sz w:val="20"/>
                <w:szCs w:val="20"/>
                <w:lang w:eastAsia="en-AU"/>
              </w:rPr>
            </w:pPr>
          </w:p>
        </w:tc>
        <w:tc>
          <w:tcPr>
            <w:tcW w:w="1130" w:type="dxa"/>
            <w:tcBorders>
              <w:top w:val="nil"/>
              <w:left w:val="nil"/>
              <w:bottom w:val="nil"/>
              <w:right w:val="nil"/>
            </w:tcBorders>
            <w:shd w:val="clear" w:color="auto" w:fill="auto"/>
            <w:noWrap/>
            <w:vAlign w:val="center"/>
            <w:hideMark/>
          </w:tcPr>
          <w:p w14:paraId="14B6CAF4" w14:textId="77777777" w:rsidR="00941F8E" w:rsidRPr="00DD5ECE" w:rsidRDefault="00941F8E" w:rsidP="00E607DA">
            <w:pPr>
              <w:jc w:val="right"/>
              <w:outlineLvl w:val="0"/>
              <w:rPr>
                <w:rFonts w:eastAsia="Times New Roman" w:cs="Times New Roman"/>
                <w:sz w:val="20"/>
                <w:szCs w:val="20"/>
                <w:lang w:eastAsia="en-AU"/>
              </w:rPr>
            </w:pPr>
          </w:p>
        </w:tc>
      </w:tr>
      <w:tr w:rsidR="00941F8E" w:rsidRPr="00DD5ECE" w14:paraId="45CD4D67" w14:textId="77777777" w:rsidTr="00E86873">
        <w:trPr>
          <w:trHeight w:val="227"/>
        </w:trPr>
        <w:tc>
          <w:tcPr>
            <w:tcW w:w="5842" w:type="dxa"/>
            <w:tcBorders>
              <w:top w:val="nil"/>
              <w:left w:val="nil"/>
              <w:bottom w:val="nil"/>
              <w:right w:val="nil"/>
            </w:tcBorders>
            <w:shd w:val="clear" w:color="auto" w:fill="auto"/>
            <w:noWrap/>
            <w:vAlign w:val="center"/>
            <w:hideMark/>
          </w:tcPr>
          <w:p w14:paraId="37512E9C" w14:textId="77777777" w:rsidR="00941F8E" w:rsidRPr="00DD5ECE" w:rsidRDefault="00941F8E" w:rsidP="00E607DA">
            <w:pPr>
              <w:outlineLvl w:val="0"/>
              <w:rPr>
                <w:rFonts w:ascii="Meta Pro" w:eastAsia="Times New Roman" w:hAnsi="Meta Pro"/>
                <w:i/>
                <w:iCs/>
                <w:szCs w:val="18"/>
                <w:lang w:eastAsia="en-AU"/>
              </w:rPr>
            </w:pPr>
            <w:r w:rsidRPr="00DD5ECE">
              <w:rPr>
                <w:rFonts w:ascii="Meta Pro" w:eastAsia="Times New Roman" w:hAnsi="Meta Pro"/>
                <w:i/>
                <w:iCs/>
                <w:szCs w:val="18"/>
                <w:lang w:eastAsia="en-AU"/>
              </w:rPr>
              <w:t>Current</w:t>
            </w:r>
          </w:p>
        </w:tc>
        <w:tc>
          <w:tcPr>
            <w:tcW w:w="1131" w:type="dxa"/>
            <w:tcBorders>
              <w:top w:val="nil"/>
              <w:left w:val="nil"/>
              <w:bottom w:val="nil"/>
              <w:right w:val="nil"/>
            </w:tcBorders>
            <w:shd w:val="clear" w:color="auto" w:fill="auto"/>
            <w:noWrap/>
            <w:vAlign w:val="center"/>
            <w:hideMark/>
          </w:tcPr>
          <w:p w14:paraId="4075D5FD" w14:textId="77777777" w:rsidR="00941F8E" w:rsidRPr="00DD5ECE" w:rsidRDefault="00941F8E" w:rsidP="00E607DA">
            <w:pPr>
              <w:outlineLvl w:val="0"/>
              <w:rPr>
                <w:rFonts w:ascii="Meta Pro" w:eastAsia="Times New Roman" w:hAnsi="Meta Pro"/>
                <w:i/>
                <w:iCs/>
                <w:szCs w:val="18"/>
                <w:lang w:eastAsia="en-AU"/>
              </w:rPr>
            </w:pPr>
          </w:p>
        </w:tc>
        <w:tc>
          <w:tcPr>
            <w:tcW w:w="200" w:type="dxa"/>
            <w:tcBorders>
              <w:top w:val="nil"/>
              <w:left w:val="nil"/>
              <w:bottom w:val="nil"/>
              <w:right w:val="nil"/>
            </w:tcBorders>
            <w:shd w:val="clear" w:color="auto" w:fill="auto"/>
            <w:noWrap/>
            <w:vAlign w:val="center"/>
            <w:hideMark/>
          </w:tcPr>
          <w:p w14:paraId="039F110C" w14:textId="77777777" w:rsidR="00941F8E" w:rsidRPr="00DD5ECE" w:rsidRDefault="00941F8E" w:rsidP="00E607DA">
            <w:pPr>
              <w:outlineLvl w:val="0"/>
              <w:rPr>
                <w:rFonts w:eastAsia="Times New Roman" w:cs="Times New Roman"/>
                <w:sz w:val="20"/>
                <w:szCs w:val="20"/>
                <w:lang w:eastAsia="en-AU"/>
              </w:rPr>
            </w:pPr>
          </w:p>
        </w:tc>
        <w:tc>
          <w:tcPr>
            <w:tcW w:w="1135" w:type="dxa"/>
            <w:tcBorders>
              <w:top w:val="nil"/>
              <w:left w:val="nil"/>
              <w:bottom w:val="nil"/>
              <w:right w:val="nil"/>
            </w:tcBorders>
            <w:shd w:val="clear" w:color="auto" w:fill="auto"/>
            <w:noWrap/>
            <w:vAlign w:val="center"/>
            <w:hideMark/>
          </w:tcPr>
          <w:p w14:paraId="085DAD70" w14:textId="77777777" w:rsidR="00941F8E" w:rsidRPr="00DD5ECE" w:rsidRDefault="00941F8E" w:rsidP="00E607DA">
            <w:pPr>
              <w:jc w:val="right"/>
              <w:outlineLvl w:val="0"/>
              <w:rPr>
                <w:rFonts w:eastAsia="Times New Roman" w:cs="Times New Roman"/>
                <w:sz w:val="20"/>
                <w:szCs w:val="20"/>
                <w:lang w:eastAsia="en-AU"/>
              </w:rPr>
            </w:pPr>
          </w:p>
        </w:tc>
        <w:tc>
          <w:tcPr>
            <w:tcW w:w="200" w:type="dxa"/>
            <w:tcBorders>
              <w:top w:val="nil"/>
              <w:left w:val="nil"/>
              <w:bottom w:val="nil"/>
              <w:right w:val="nil"/>
            </w:tcBorders>
            <w:shd w:val="clear" w:color="auto" w:fill="auto"/>
            <w:noWrap/>
            <w:vAlign w:val="center"/>
            <w:hideMark/>
          </w:tcPr>
          <w:p w14:paraId="0CD35E62" w14:textId="77777777" w:rsidR="00941F8E" w:rsidRPr="00DD5ECE" w:rsidRDefault="00941F8E" w:rsidP="00E607DA">
            <w:pPr>
              <w:outlineLvl w:val="0"/>
              <w:rPr>
                <w:rFonts w:eastAsia="Times New Roman" w:cs="Times New Roman"/>
                <w:sz w:val="20"/>
                <w:szCs w:val="20"/>
                <w:lang w:eastAsia="en-AU"/>
              </w:rPr>
            </w:pPr>
          </w:p>
        </w:tc>
        <w:tc>
          <w:tcPr>
            <w:tcW w:w="1130" w:type="dxa"/>
            <w:tcBorders>
              <w:top w:val="nil"/>
              <w:left w:val="nil"/>
              <w:bottom w:val="nil"/>
              <w:right w:val="nil"/>
            </w:tcBorders>
            <w:shd w:val="clear" w:color="auto" w:fill="auto"/>
            <w:noWrap/>
            <w:vAlign w:val="center"/>
            <w:hideMark/>
          </w:tcPr>
          <w:p w14:paraId="23D88E06" w14:textId="77777777" w:rsidR="00941F8E" w:rsidRPr="00DD5ECE" w:rsidRDefault="00941F8E" w:rsidP="00E607DA">
            <w:pPr>
              <w:jc w:val="right"/>
              <w:outlineLvl w:val="0"/>
              <w:rPr>
                <w:rFonts w:eastAsia="Times New Roman" w:cs="Times New Roman"/>
                <w:sz w:val="20"/>
                <w:szCs w:val="20"/>
                <w:lang w:eastAsia="en-AU"/>
              </w:rPr>
            </w:pPr>
          </w:p>
        </w:tc>
      </w:tr>
      <w:tr w:rsidR="00941F8E" w:rsidRPr="00DD5ECE" w14:paraId="195CD758" w14:textId="77777777" w:rsidTr="00E86873">
        <w:trPr>
          <w:trHeight w:val="227"/>
        </w:trPr>
        <w:tc>
          <w:tcPr>
            <w:tcW w:w="5842" w:type="dxa"/>
            <w:tcBorders>
              <w:top w:val="nil"/>
              <w:left w:val="nil"/>
              <w:bottom w:val="nil"/>
              <w:right w:val="nil"/>
            </w:tcBorders>
            <w:shd w:val="clear" w:color="auto" w:fill="auto"/>
            <w:noWrap/>
            <w:vAlign w:val="center"/>
            <w:hideMark/>
          </w:tcPr>
          <w:p w14:paraId="701F3E5C" w14:textId="77777777" w:rsidR="00941F8E" w:rsidRPr="00DD5ECE" w:rsidRDefault="00941F8E" w:rsidP="00E607DA">
            <w:pPr>
              <w:outlineLvl w:val="0"/>
              <w:rPr>
                <w:rFonts w:ascii="Meta Pro" w:eastAsia="Times New Roman" w:hAnsi="Meta Pro"/>
                <w:szCs w:val="18"/>
                <w:lang w:eastAsia="en-AU"/>
              </w:rPr>
            </w:pPr>
            <w:r w:rsidRPr="00DD5ECE">
              <w:rPr>
                <w:rFonts w:ascii="Meta Pro" w:eastAsia="Times New Roman" w:hAnsi="Meta Pro"/>
                <w:szCs w:val="18"/>
                <w:lang w:eastAsia="en-AU"/>
              </w:rPr>
              <w:t>Payables</w:t>
            </w:r>
          </w:p>
        </w:tc>
        <w:tc>
          <w:tcPr>
            <w:tcW w:w="1131" w:type="dxa"/>
            <w:tcBorders>
              <w:top w:val="nil"/>
              <w:left w:val="nil"/>
              <w:bottom w:val="nil"/>
              <w:right w:val="nil"/>
            </w:tcBorders>
            <w:shd w:val="clear" w:color="auto" w:fill="auto"/>
            <w:noWrap/>
            <w:vAlign w:val="center"/>
            <w:hideMark/>
          </w:tcPr>
          <w:p w14:paraId="79A8365F" w14:textId="77777777" w:rsidR="00941F8E" w:rsidRPr="00DD5ECE" w:rsidRDefault="00941F8E" w:rsidP="00E607DA">
            <w:pPr>
              <w:jc w:val="right"/>
              <w:outlineLvl w:val="0"/>
              <w:rPr>
                <w:rFonts w:ascii="Meta Pro" w:eastAsia="Times New Roman" w:hAnsi="Meta Pro"/>
                <w:szCs w:val="18"/>
                <w:lang w:eastAsia="en-AU"/>
              </w:rPr>
            </w:pPr>
            <w:r w:rsidRPr="00DD5ECE">
              <w:rPr>
                <w:rFonts w:ascii="Meta Pro" w:eastAsia="Times New Roman" w:hAnsi="Meta Pro"/>
                <w:szCs w:val="18"/>
                <w:lang w:eastAsia="en-AU"/>
              </w:rPr>
              <w:t xml:space="preserve">166,378 </w:t>
            </w:r>
          </w:p>
        </w:tc>
        <w:tc>
          <w:tcPr>
            <w:tcW w:w="200" w:type="dxa"/>
            <w:tcBorders>
              <w:top w:val="nil"/>
              <w:left w:val="nil"/>
              <w:bottom w:val="nil"/>
              <w:right w:val="nil"/>
            </w:tcBorders>
            <w:shd w:val="clear" w:color="auto" w:fill="auto"/>
            <w:noWrap/>
            <w:vAlign w:val="center"/>
            <w:hideMark/>
          </w:tcPr>
          <w:p w14:paraId="453ACA88" w14:textId="77777777" w:rsidR="00941F8E" w:rsidRPr="00DD5ECE" w:rsidRDefault="00941F8E" w:rsidP="00E607DA">
            <w:pPr>
              <w:jc w:val="right"/>
              <w:outlineLvl w:val="0"/>
              <w:rPr>
                <w:rFonts w:ascii="Meta Pro" w:eastAsia="Times New Roman" w:hAnsi="Meta Pro"/>
                <w:szCs w:val="18"/>
                <w:lang w:eastAsia="en-AU"/>
              </w:rPr>
            </w:pPr>
          </w:p>
        </w:tc>
        <w:tc>
          <w:tcPr>
            <w:tcW w:w="1135" w:type="dxa"/>
            <w:tcBorders>
              <w:top w:val="nil"/>
              <w:left w:val="nil"/>
              <w:bottom w:val="nil"/>
              <w:right w:val="nil"/>
            </w:tcBorders>
            <w:shd w:val="clear" w:color="auto" w:fill="auto"/>
            <w:noWrap/>
            <w:vAlign w:val="center"/>
            <w:hideMark/>
          </w:tcPr>
          <w:p w14:paraId="7B788C29" w14:textId="77777777" w:rsidR="00941F8E" w:rsidRPr="00DD5ECE" w:rsidRDefault="00941F8E" w:rsidP="00E607DA">
            <w:pPr>
              <w:jc w:val="right"/>
              <w:outlineLvl w:val="0"/>
              <w:rPr>
                <w:rFonts w:ascii="Meta Pro" w:eastAsia="Times New Roman" w:hAnsi="Meta Pro"/>
                <w:szCs w:val="18"/>
                <w:lang w:eastAsia="en-AU"/>
              </w:rPr>
            </w:pPr>
            <w:r w:rsidRPr="00DD5ECE">
              <w:rPr>
                <w:rFonts w:ascii="Meta Pro" w:eastAsia="Times New Roman" w:hAnsi="Meta Pro"/>
                <w:szCs w:val="18"/>
                <w:lang w:eastAsia="en-AU"/>
              </w:rPr>
              <w:t xml:space="preserve">171,480 </w:t>
            </w:r>
          </w:p>
        </w:tc>
        <w:tc>
          <w:tcPr>
            <w:tcW w:w="200" w:type="dxa"/>
            <w:tcBorders>
              <w:top w:val="nil"/>
              <w:left w:val="nil"/>
              <w:bottom w:val="nil"/>
              <w:right w:val="nil"/>
            </w:tcBorders>
            <w:shd w:val="clear" w:color="auto" w:fill="auto"/>
            <w:noWrap/>
            <w:vAlign w:val="center"/>
            <w:hideMark/>
          </w:tcPr>
          <w:p w14:paraId="5AA5E90B" w14:textId="77777777" w:rsidR="00941F8E" w:rsidRPr="00DD5ECE" w:rsidRDefault="00941F8E" w:rsidP="00E607DA">
            <w:pPr>
              <w:jc w:val="right"/>
              <w:outlineLvl w:val="0"/>
              <w:rPr>
                <w:rFonts w:ascii="Meta Pro" w:eastAsia="Times New Roman" w:hAnsi="Meta Pro"/>
                <w:szCs w:val="18"/>
                <w:lang w:eastAsia="en-AU"/>
              </w:rPr>
            </w:pPr>
          </w:p>
        </w:tc>
        <w:tc>
          <w:tcPr>
            <w:tcW w:w="1130" w:type="dxa"/>
            <w:tcBorders>
              <w:top w:val="nil"/>
              <w:left w:val="nil"/>
              <w:bottom w:val="nil"/>
              <w:right w:val="nil"/>
            </w:tcBorders>
            <w:shd w:val="clear" w:color="auto" w:fill="auto"/>
            <w:noWrap/>
            <w:vAlign w:val="center"/>
            <w:hideMark/>
          </w:tcPr>
          <w:p w14:paraId="29EA376B" w14:textId="77777777" w:rsidR="00941F8E" w:rsidRPr="00DD5ECE" w:rsidRDefault="00941F8E" w:rsidP="00E607DA">
            <w:pPr>
              <w:jc w:val="right"/>
              <w:outlineLvl w:val="0"/>
              <w:rPr>
                <w:rFonts w:ascii="Meta Pro" w:eastAsia="Times New Roman" w:hAnsi="Meta Pro"/>
                <w:szCs w:val="18"/>
                <w:lang w:eastAsia="en-AU"/>
              </w:rPr>
            </w:pPr>
            <w:r w:rsidRPr="00DD5ECE">
              <w:rPr>
                <w:rFonts w:ascii="Meta Pro" w:eastAsia="Times New Roman" w:hAnsi="Meta Pro"/>
                <w:szCs w:val="18"/>
                <w:lang w:eastAsia="en-AU"/>
              </w:rPr>
              <w:t xml:space="preserve">5,102 </w:t>
            </w:r>
          </w:p>
        </w:tc>
      </w:tr>
      <w:tr w:rsidR="00941F8E" w:rsidRPr="00DD5ECE" w14:paraId="2BC51CE0" w14:textId="77777777" w:rsidTr="00E86873">
        <w:trPr>
          <w:trHeight w:val="227"/>
        </w:trPr>
        <w:tc>
          <w:tcPr>
            <w:tcW w:w="5842" w:type="dxa"/>
            <w:tcBorders>
              <w:top w:val="nil"/>
              <w:left w:val="nil"/>
              <w:bottom w:val="nil"/>
              <w:right w:val="nil"/>
            </w:tcBorders>
            <w:shd w:val="clear" w:color="auto" w:fill="auto"/>
            <w:noWrap/>
            <w:vAlign w:val="center"/>
            <w:hideMark/>
          </w:tcPr>
          <w:p w14:paraId="19BE0BC9" w14:textId="77777777" w:rsidR="00941F8E" w:rsidRPr="00DD5ECE" w:rsidRDefault="00941F8E" w:rsidP="00E607DA">
            <w:pPr>
              <w:outlineLvl w:val="0"/>
              <w:rPr>
                <w:rFonts w:ascii="Meta Pro" w:eastAsia="Times New Roman" w:hAnsi="Meta Pro"/>
                <w:szCs w:val="18"/>
                <w:lang w:eastAsia="en-AU"/>
              </w:rPr>
            </w:pPr>
            <w:r w:rsidRPr="00DD5ECE">
              <w:rPr>
                <w:rFonts w:ascii="Meta Pro" w:eastAsia="Times New Roman" w:hAnsi="Meta Pro"/>
                <w:szCs w:val="18"/>
                <w:lang w:eastAsia="en-AU"/>
              </w:rPr>
              <w:t>Unearned revenue</w:t>
            </w:r>
          </w:p>
        </w:tc>
        <w:tc>
          <w:tcPr>
            <w:tcW w:w="1131" w:type="dxa"/>
            <w:tcBorders>
              <w:top w:val="nil"/>
              <w:left w:val="nil"/>
              <w:bottom w:val="nil"/>
              <w:right w:val="nil"/>
            </w:tcBorders>
            <w:shd w:val="clear" w:color="auto" w:fill="auto"/>
            <w:noWrap/>
            <w:vAlign w:val="center"/>
            <w:hideMark/>
          </w:tcPr>
          <w:p w14:paraId="2AD6D611" w14:textId="77777777" w:rsidR="00941F8E" w:rsidRPr="00DD5ECE" w:rsidRDefault="00941F8E" w:rsidP="00E607DA">
            <w:pPr>
              <w:jc w:val="right"/>
              <w:outlineLvl w:val="0"/>
              <w:rPr>
                <w:rFonts w:ascii="Meta Pro" w:eastAsia="Times New Roman" w:hAnsi="Meta Pro"/>
                <w:szCs w:val="18"/>
                <w:lang w:eastAsia="en-AU"/>
              </w:rPr>
            </w:pPr>
            <w:r w:rsidRPr="00DD5ECE">
              <w:rPr>
                <w:rFonts w:ascii="Meta Pro" w:eastAsia="Times New Roman" w:hAnsi="Meta Pro"/>
                <w:szCs w:val="18"/>
                <w:lang w:eastAsia="en-AU"/>
              </w:rPr>
              <w:t xml:space="preserve">5,921 </w:t>
            </w:r>
          </w:p>
        </w:tc>
        <w:tc>
          <w:tcPr>
            <w:tcW w:w="200" w:type="dxa"/>
            <w:tcBorders>
              <w:top w:val="nil"/>
              <w:left w:val="nil"/>
              <w:bottom w:val="nil"/>
              <w:right w:val="nil"/>
            </w:tcBorders>
            <w:shd w:val="clear" w:color="auto" w:fill="auto"/>
            <w:noWrap/>
            <w:vAlign w:val="center"/>
            <w:hideMark/>
          </w:tcPr>
          <w:p w14:paraId="0EDF1EEC" w14:textId="77777777" w:rsidR="00941F8E" w:rsidRPr="00DD5ECE" w:rsidRDefault="00941F8E" w:rsidP="00E607DA">
            <w:pPr>
              <w:jc w:val="right"/>
              <w:outlineLvl w:val="0"/>
              <w:rPr>
                <w:rFonts w:ascii="Meta Pro" w:eastAsia="Times New Roman" w:hAnsi="Meta Pro"/>
                <w:szCs w:val="18"/>
                <w:lang w:eastAsia="en-AU"/>
              </w:rPr>
            </w:pPr>
          </w:p>
        </w:tc>
        <w:tc>
          <w:tcPr>
            <w:tcW w:w="1135" w:type="dxa"/>
            <w:tcBorders>
              <w:top w:val="nil"/>
              <w:left w:val="nil"/>
              <w:bottom w:val="nil"/>
              <w:right w:val="nil"/>
            </w:tcBorders>
            <w:shd w:val="clear" w:color="auto" w:fill="auto"/>
            <w:noWrap/>
            <w:vAlign w:val="center"/>
            <w:hideMark/>
          </w:tcPr>
          <w:p w14:paraId="20B207EC" w14:textId="77777777" w:rsidR="00941F8E" w:rsidRPr="00DD5ECE" w:rsidRDefault="00941F8E" w:rsidP="00E607DA">
            <w:pPr>
              <w:jc w:val="right"/>
              <w:outlineLvl w:val="0"/>
              <w:rPr>
                <w:rFonts w:ascii="Meta Pro" w:eastAsia="Times New Roman" w:hAnsi="Meta Pro"/>
                <w:szCs w:val="18"/>
                <w:lang w:eastAsia="en-AU"/>
              </w:rPr>
            </w:pPr>
            <w:r w:rsidRPr="00DD5ECE">
              <w:rPr>
                <w:rFonts w:ascii="Meta Pro" w:eastAsia="Times New Roman" w:hAnsi="Meta Pro"/>
                <w:szCs w:val="18"/>
                <w:lang w:eastAsia="en-AU"/>
              </w:rPr>
              <w:t xml:space="preserve">6,119 </w:t>
            </w:r>
          </w:p>
        </w:tc>
        <w:tc>
          <w:tcPr>
            <w:tcW w:w="200" w:type="dxa"/>
            <w:tcBorders>
              <w:top w:val="nil"/>
              <w:left w:val="nil"/>
              <w:bottom w:val="nil"/>
              <w:right w:val="nil"/>
            </w:tcBorders>
            <w:shd w:val="clear" w:color="auto" w:fill="auto"/>
            <w:noWrap/>
            <w:vAlign w:val="center"/>
            <w:hideMark/>
          </w:tcPr>
          <w:p w14:paraId="68E6A772" w14:textId="77777777" w:rsidR="00941F8E" w:rsidRPr="00DD5ECE" w:rsidRDefault="00941F8E" w:rsidP="00E607DA">
            <w:pPr>
              <w:jc w:val="right"/>
              <w:outlineLvl w:val="0"/>
              <w:rPr>
                <w:rFonts w:ascii="Meta Pro" w:eastAsia="Times New Roman" w:hAnsi="Meta Pro"/>
                <w:szCs w:val="18"/>
                <w:lang w:eastAsia="en-AU"/>
              </w:rPr>
            </w:pPr>
          </w:p>
        </w:tc>
        <w:tc>
          <w:tcPr>
            <w:tcW w:w="1130" w:type="dxa"/>
            <w:tcBorders>
              <w:top w:val="nil"/>
              <w:left w:val="nil"/>
              <w:bottom w:val="nil"/>
              <w:right w:val="nil"/>
            </w:tcBorders>
            <w:shd w:val="clear" w:color="auto" w:fill="auto"/>
            <w:noWrap/>
            <w:vAlign w:val="center"/>
            <w:hideMark/>
          </w:tcPr>
          <w:p w14:paraId="73B2C1E3" w14:textId="77777777" w:rsidR="00941F8E" w:rsidRPr="00DD5ECE" w:rsidRDefault="00941F8E" w:rsidP="00E607DA">
            <w:pPr>
              <w:jc w:val="right"/>
              <w:outlineLvl w:val="0"/>
              <w:rPr>
                <w:rFonts w:ascii="Meta Pro" w:eastAsia="Times New Roman" w:hAnsi="Meta Pro"/>
                <w:szCs w:val="18"/>
                <w:lang w:eastAsia="en-AU"/>
              </w:rPr>
            </w:pPr>
            <w:r w:rsidRPr="00DD5ECE">
              <w:rPr>
                <w:rFonts w:ascii="Meta Pro" w:eastAsia="Times New Roman" w:hAnsi="Meta Pro"/>
                <w:szCs w:val="18"/>
                <w:lang w:eastAsia="en-AU"/>
              </w:rPr>
              <w:t xml:space="preserve">198 </w:t>
            </w:r>
          </w:p>
        </w:tc>
      </w:tr>
      <w:tr w:rsidR="00941F8E" w:rsidRPr="00DD5ECE" w14:paraId="36293A83" w14:textId="77777777" w:rsidTr="00E86873">
        <w:trPr>
          <w:trHeight w:val="227"/>
        </w:trPr>
        <w:tc>
          <w:tcPr>
            <w:tcW w:w="5842" w:type="dxa"/>
            <w:tcBorders>
              <w:top w:val="single" w:sz="4" w:space="0" w:color="auto"/>
              <w:left w:val="nil"/>
              <w:bottom w:val="single" w:sz="4" w:space="0" w:color="auto"/>
              <w:right w:val="nil"/>
            </w:tcBorders>
            <w:shd w:val="clear" w:color="auto" w:fill="auto"/>
            <w:noWrap/>
            <w:vAlign w:val="center"/>
            <w:hideMark/>
          </w:tcPr>
          <w:p w14:paraId="43F17725" w14:textId="77777777" w:rsidR="00941F8E" w:rsidRPr="00DD5ECE" w:rsidRDefault="00941F8E" w:rsidP="00E607DA">
            <w:pPr>
              <w:outlineLvl w:val="0"/>
              <w:rPr>
                <w:rFonts w:ascii="Meta Pro" w:eastAsia="Times New Roman" w:hAnsi="Meta Pro"/>
                <w:b/>
                <w:bCs/>
                <w:szCs w:val="18"/>
                <w:lang w:eastAsia="en-AU"/>
              </w:rPr>
            </w:pPr>
            <w:r w:rsidRPr="00DD5ECE">
              <w:rPr>
                <w:rFonts w:ascii="Meta Pro" w:eastAsia="Times New Roman" w:hAnsi="Meta Pro"/>
                <w:b/>
                <w:bCs/>
                <w:szCs w:val="18"/>
                <w:lang w:eastAsia="en-AU"/>
              </w:rPr>
              <w:t>Total liabilities</w:t>
            </w:r>
          </w:p>
        </w:tc>
        <w:tc>
          <w:tcPr>
            <w:tcW w:w="1131" w:type="dxa"/>
            <w:tcBorders>
              <w:top w:val="single" w:sz="4" w:space="0" w:color="auto"/>
              <w:left w:val="nil"/>
              <w:bottom w:val="single" w:sz="4" w:space="0" w:color="auto"/>
              <w:right w:val="nil"/>
            </w:tcBorders>
            <w:shd w:val="clear" w:color="auto" w:fill="auto"/>
            <w:noWrap/>
            <w:vAlign w:val="center"/>
            <w:hideMark/>
          </w:tcPr>
          <w:p w14:paraId="2174A202" w14:textId="77777777" w:rsidR="00941F8E" w:rsidRPr="00DD5ECE" w:rsidRDefault="00941F8E" w:rsidP="00E607DA">
            <w:pPr>
              <w:jc w:val="right"/>
              <w:outlineLvl w:val="0"/>
              <w:rPr>
                <w:rFonts w:ascii="Meta Pro" w:eastAsia="Times New Roman" w:hAnsi="Meta Pro"/>
                <w:b/>
                <w:bCs/>
                <w:szCs w:val="18"/>
                <w:lang w:eastAsia="en-AU"/>
              </w:rPr>
            </w:pPr>
            <w:r w:rsidRPr="00DD5ECE">
              <w:rPr>
                <w:rFonts w:ascii="Meta Pro" w:eastAsia="Times New Roman" w:hAnsi="Meta Pro"/>
                <w:b/>
                <w:bCs/>
                <w:szCs w:val="18"/>
                <w:lang w:eastAsia="en-AU"/>
              </w:rPr>
              <w:t xml:space="preserve">172,299 </w:t>
            </w:r>
          </w:p>
        </w:tc>
        <w:tc>
          <w:tcPr>
            <w:tcW w:w="200" w:type="dxa"/>
            <w:tcBorders>
              <w:top w:val="single" w:sz="4" w:space="0" w:color="auto"/>
              <w:left w:val="nil"/>
              <w:bottom w:val="single" w:sz="4" w:space="0" w:color="auto"/>
              <w:right w:val="nil"/>
            </w:tcBorders>
            <w:shd w:val="clear" w:color="auto" w:fill="auto"/>
            <w:noWrap/>
            <w:vAlign w:val="center"/>
            <w:hideMark/>
          </w:tcPr>
          <w:p w14:paraId="1277D8DB" w14:textId="77777777" w:rsidR="00941F8E" w:rsidRPr="00DD5ECE" w:rsidRDefault="00941F8E" w:rsidP="00E607DA">
            <w:pPr>
              <w:jc w:val="right"/>
              <w:outlineLvl w:val="0"/>
              <w:rPr>
                <w:rFonts w:ascii="Meta Pro" w:eastAsia="Times New Roman" w:hAnsi="Meta Pro"/>
                <w:szCs w:val="18"/>
                <w:lang w:eastAsia="en-AU"/>
              </w:rPr>
            </w:pPr>
            <w:r w:rsidRPr="00DD5ECE">
              <w:rPr>
                <w:rFonts w:ascii="Meta Pro" w:eastAsia="Times New Roman" w:hAnsi="Meta Pro"/>
                <w:szCs w:val="18"/>
                <w:lang w:eastAsia="en-AU"/>
              </w:rPr>
              <w:t> </w:t>
            </w:r>
          </w:p>
        </w:tc>
        <w:tc>
          <w:tcPr>
            <w:tcW w:w="1135" w:type="dxa"/>
            <w:tcBorders>
              <w:top w:val="single" w:sz="4" w:space="0" w:color="auto"/>
              <w:left w:val="nil"/>
              <w:bottom w:val="single" w:sz="4" w:space="0" w:color="auto"/>
              <w:right w:val="nil"/>
            </w:tcBorders>
            <w:shd w:val="clear" w:color="auto" w:fill="auto"/>
            <w:noWrap/>
            <w:vAlign w:val="center"/>
            <w:hideMark/>
          </w:tcPr>
          <w:p w14:paraId="1AC710E5" w14:textId="77777777" w:rsidR="00941F8E" w:rsidRPr="00DD5ECE" w:rsidRDefault="00941F8E" w:rsidP="00E607DA">
            <w:pPr>
              <w:jc w:val="right"/>
              <w:outlineLvl w:val="0"/>
              <w:rPr>
                <w:rFonts w:ascii="Meta Pro" w:eastAsia="Times New Roman" w:hAnsi="Meta Pro"/>
                <w:b/>
                <w:bCs/>
                <w:szCs w:val="18"/>
                <w:lang w:eastAsia="en-AU"/>
              </w:rPr>
            </w:pPr>
            <w:r w:rsidRPr="00DD5ECE">
              <w:rPr>
                <w:rFonts w:ascii="Meta Pro" w:eastAsia="Times New Roman" w:hAnsi="Meta Pro"/>
                <w:b/>
                <w:bCs/>
                <w:szCs w:val="18"/>
                <w:lang w:eastAsia="en-AU"/>
              </w:rPr>
              <w:t xml:space="preserve">         177,599 </w:t>
            </w:r>
          </w:p>
        </w:tc>
        <w:tc>
          <w:tcPr>
            <w:tcW w:w="200" w:type="dxa"/>
            <w:tcBorders>
              <w:top w:val="single" w:sz="4" w:space="0" w:color="auto"/>
              <w:left w:val="nil"/>
              <w:bottom w:val="single" w:sz="4" w:space="0" w:color="auto"/>
              <w:right w:val="nil"/>
            </w:tcBorders>
            <w:shd w:val="clear" w:color="auto" w:fill="auto"/>
            <w:noWrap/>
            <w:vAlign w:val="center"/>
            <w:hideMark/>
          </w:tcPr>
          <w:p w14:paraId="61DFD1AB" w14:textId="77777777" w:rsidR="00941F8E" w:rsidRPr="00DD5ECE" w:rsidRDefault="00941F8E" w:rsidP="00E607DA">
            <w:pPr>
              <w:jc w:val="right"/>
              <w:outlineLvl w:val="0"/>
              <w:rPr>
                <w:rFonts w:ascii="Meta Pro" w:eastAsia="Times New Roman" w:hAnsi="Meta Pro"/>
                <w:szCs w:val="18"/>
                <w:lang w:eastAsia="en-AU"/>
              </w:rPr>
            </w:pPr>
            <w:r w:rsidRPr="00DD5ECE">
              <w:rPr>
                <w:rFonts w:ascii="Meta Pro" w:eastAsia="Times New Roman" w:hAnsi="Meta Pro"/>
                <w:szCs w:val="18"/>
                <w:lang w:eastAsia="en-AU"/>
              </w:rPr>
              <w:t> </w:t>
            </w:r>
          </w:p>
        </w:tc>
        <w:tc>
          <w:tcPr>
            <w:tcW w:w="1130" w:type="dxa"/>
            <w:tcBorders>
              <w:top w:val="single" w:sz="4" w:space="0" w:color="auto"/>
              <w:left w:val="nil"/>
              <w:bottom w:val="single" w:sz="4" w:space="0" w:color="auto"/>
              <w:right w:val="nil"/>
            </w:tcBorders>
            <w:shd w:val="clear" w:color="auto" w:fill="auto"/>
            <w:noWrap/>
            <w:vAlign w:val="center"/>
            <w:hideMark/>
          </w:tcPr>
          <w:p w14:paraId="627B7AF7" w14:textId="77777777" w:rsidR="00941F8E" w:rsidRPr="00DD5ECE" w:rsidRDefault="00941F8E" w:rsidP="00E607DA">
            <w:pPr>
              <w:jc w:val="right"/>
              <w:outlineLvl w:val="0"/>
              <w:rPr>
                <w:rFonts w:ascii="Meta Pro" w:eastAsia="Times New Roman" w:hAnsi="Meta Pro"/>
                <w:b/>
                <w:bCs/>
                <w:szCs w:val="18"/>
                <w:lang w:eastAsia="en-AU"/>
              </w:rPr>
            </w:pPr>
            <w:r w:rsidRPr="00DD5ECE">
              <w:rPr>
                <w:rFonts w:ascii="Meta Pro" w:eastAsia="Times New Roman" w:hAnsi="Meta Pro"/>
                <w:b/>
                <w:bCs/>
                <w:szCs w:val="18"/>
                <w:lang w:eastAsia="en-AU"/>
              </w:rPr>
              <w:t xml:space="preserve">5,300 </w:t>
            </w:r>
          </w:p>
        </w:tc>
      </w:tr>
      <w:tr w:rsidR="00941F8E" w:rsidRPr="00DD5ECE" w14:paraId="1CCB068B" w14:textId="77777777" w:rsidTr="00E86873">
        <w:trPr>
          <w:trHeight w:val="227"/>
        </w:trPr>
        <w:tc>
          <w:tcPr>
            <w:tcW w:w="5842" w:type="dxa"/>
            <w:tcBorders>
              <w:top w:val="nil"/>
              <w:left w:val="nil"/>
              <w:bottom w:val="nil"/>
              <w:right w:val="nil"/>
            </w:tcBorders>
            <w:shd w:val="clear" w:color="auto" w:fill="auto"/>
            <w:noWrap/>
            <w:vAlign w:val="center"/>
            <w:hideMark/>
          </w:tcPr>
          <w:p w14:paraId="66B672D4" w14:textId="77777777" w:rsidR="00941F8E" w:rsidRPr="00DD5ECE" w:rsidRDefault="00941F8E" w:rsidP="00E607DA">
            <w:pPr>
              <w:jc w:val="right"/>
              <w:outlineLvl w:val="0"/>
              <w:rPr>
                <w:rFonts w:ascii="Meta Pro" w:eastAsia="Times New Roman" w:hAnsi="Meta Pro"/>
                <w:b/>
                <w:bCs/>
                <w:szCs w:val="18"/>
                <w:lang w:eastAsia="en-AU"/>
              </w:rPr>
            </w:pPr>
          </w:p>
        </w:tc>
        <w:tc>
          <w:tcPr>
            <w:tcW w:w="1131" w:type="dxa"/>
            <w:tcBorders>
              <w:top w:val="nil"/>
              <w:left w:val="nil"/>
              <w:bottom w:val="nil"/>
              <w:right w:val="nil"/>
            </w:tcBorders>
            <w:shd w:val="clear" w:color="auto" w:fill="auto"/>
            <w:noWrap/>
            <w:vAlign w:val="center"/>
            <w:hideMark/>
          </w:tcPr>
          <w:p w14:paraId="0060148C" w14:textId="77777777" w:rsidR="00941F8E" w:rsidRPr="00DD5ECE" w:rsidRDefault="00941F8E" w:rsidP="00E607DA">
            <w:pPr>
              <w:outlineLvl w:val="0"/>
              <w:rPr>
                <w:rFonts w:eastAsia="Times New Roman" w:cs="Times New Roman"/>
                <w:sz w:val="20"/>
                <w:szCs w:val="20"/>
                <w:lang w:eastAsia="en-AU"/>
              </w:rPr>
            </w:pPr>
          </w:p>
        </w:tc>
        <w:tc>
          <w:tcPr>
            <w:tcW w:w="200" w:type="dxa"/>
            <w:tcBorders>
              <w:top w:val="nil"/>
              <w:left w:val="nil"/>
              <w:bottom w:val="nil"/>
              <w:right w:val="nil"/>
            </w:tcBorders>
            <w:shd w:val="clear" w:color="auto" w:fill="auto"/>
            <w:noWrap/>
            <w:vAlign w:val="center"/>
            <w:hideMark/>
          </w:tcPr>
          <w:p w14:paraId="0100F70F" w14:textId="77777777" w:rsidR="00941F8E" w:rsidRPr="00DD5ECE" w:rsidRDefault="00941F8E" w:rsidP="00E607DA">
            <w:pPr>
              <w:jc w:val="right"/>
              <w:outlineLvl w:val="0"/>
              <w:rPr>
                <w:rFonts w:eastAsia="Times New Roman" w:cs="Times New Roman"/>
                <w:sz w:val="20"/>
                <w:szCs w:val="20"/>
                <w:lang w:eastAsia="en-AU"/>
              </w:rPr>
            </w:pPr>
          </w:p>
        </w:tc>
        <w:tc>
          <w:tcPr>
            <w:tcW w:w="1135" w:type="dxa"/>
            <w:tcBorders>
              <w:top w:val="nil"/>
              <w:left w:val="nil"/>
              <w:bottom w:val="nil"/>
              <w:right w:val="nil"/>
            </w:tcBorders>
            <w:shd w:val="clear" w:color="auto" w:fill="auto"/>
            <w:noWrap/>
            <w:vAlign w:val="center"/>
            <w:hideMark/>
          </w:tcPr>
          <w:p w14:paraId="1D12B6C5" w14:textId="77777777" w:rsidR="00941F8E" w:rsidRPr="00DD5ECE" w:rsidRDefault="00941F8E" w:rsidP="00E607DA">
            <w:pPr>
              <w:jc w:val="right"/>
              <w:outlineLvl w:val="0"/>
              <w:rPr>
                <w:rFonts w:eastAsia="Times New Roman" w:cs="Times New Roman"/>
                <w:sz w:val="20"/>
                <w:szCs w:val="20"/>
                <w:lang w:eastAsia="en-AU"/>
              </w:rPr>
            </w:pPr>
          </w:p>
        </w:tc>
        <w:tc>
          <w:tcPr>
            <w:tcW w:w="200" w:type="dxa"/>
            <w:tcBorders>
              <w:top w:val="nil"/>
              <w:left w:val="nil"/>
              <w:bottom w:val="nil"/>
              <w:right w:val="nil"/>
            </w:tcBorders>
            <w:shd w:val="clear" w:color="auto" w:fill="auto"/>
            <w:noWrap/>
            <w:vAlign w:val="center"/>
            <w:hideMark/>
          </w:tcPr>
          <w:p w14:paraId="71FA6DE1" w14:textId="77777777" w:rsidR="00941F8E" w:rsidRPr="00DD5ECE" w:rsidRDefault="00941F8E" w:rsidP="00E607DA">
            <w:pPr>
              <w:jc w:val="right"/>
              <w:outlineLvl w:val="0"/>
              <w:rPr>
                <w:rFonts w:eastAsia="Times New Roman" w:cs="Times New Roman"/>
                <w:sz w:val="20"/>
                <w:szCs w:val="20"/>
                <w:lang w:eastAsia="en-AU"/>
              </w:rPr>
            </w:pPr>
          </w:p>
        </w:tc>
        <w:tc>
          <w:tcPr>
            <w:tcW w:w="1130" w:type="dxa"/>
            <w:tcBorders>
              <w:top w:val="nil"/>
              <w:left w:val="nil"/>
              <w:bottom w:val="nil"/>
              <w:right w:val="nil"/>
            </w:tcBorders>
            <w:shd w:val="clear" w:color="auto" w:fill="auto"/>
            <w:noWrap/>
            <w:vAlign w:val="center"/>
            <w:hideMark/>
          </w:tcPr>
          <w:p w14:paraId="2F564CBF" w14:textId="77777777" w:rsidR="00941F8E" w:rsidRPr="00DD5ECE" w:rsidRDefault="00941F8E" w:rsidP="00E607DA">
            <w:pPr>
              <w:jc w:val="right"/>
              <w:outlineLvl w:val="0"/>
              <w:rPr>
                <w:rFonts w:eastAsia="Times New Roman" w:cs="Times New Roman"/>
                <w:sz w:val="20"/>
                <w:szCs w:val="20"/>
                <w:lang w:eastAsia="en-AU"/>
              </w:rPr>
            </w:pPr>
          </w:p>
        </w:tc>
      </w:tr>
      <w:tr w:rsidR="00941F8E" w:rsidRPr="00DD5ECE" w14:paraId="512B2BFA" w14:textId="77777777" w:rsidTr="00E86873">
        <w:trPr>
          <w:trHeight w:val="227"/>
        </w:trPr>
        <w:tc>
          <w:tcPr>
            <w:tcW w:w="5842" w:type="dxa"/>
            <w:tcBorders>
              <w:top w:val="nil"/>
              <w:left w:val="nil"/>
              <w:bottom w:val="double" w:sz="6" w:space="0" w:color="auto"/>
              <w:right w:val="nil"/>
            </w:tcBorders>
            <w:shd w:val="clear" w:color="auto" w:fill="auto"/>
            <w:noWrap/>
            <w:vAlign w:val="center"/>
            <w:hideMark/>
          </w:tcPr>
          <w:p w14:paraId="33C6BD17" w14:textId="77777777" w:rsidR="00941F8E" w:rsidRPr="00DD5ECE" w:rsidRDefault="00941F8E" w:rsidP="00E607DA">
            <w:pPr>
              <w:outlineLvl w:val="0"/>
              <w:rPr>
                <w:rFonts w:ascii="Meta Pro" w:eastAsia="Times New Roman" w:hAnsi="Meta Pro"/>
                <w:b/>
                <w:bCs/>
                <w:szCs w:val="18"/>
                <w:lang w:eastAsia="en-AU"/>
              </w:rPr>
            </w:pPr>
            <w:r w:rsidRPr="00DD5ECE">
              <w:rPr>
                <w:rFonts w:ascii="Meta Pro" w:eastAsia="Times New Roman" w:hAnsi="Meta Pro"/>
                <w:b/>
                <w:bCs/>
                <w:szCs w:val="18"/>
                <w:lang w:eastAsia="en-AU"/>
              </w:rPr>
              <w:t>NET ADMINISTERED ASSETS</w:t>
            </w:r>
          </w:p>
        </w:tc>
        <w:tc>
          <w:tcPr>
            <w:tcW w:w="1131" w:type="dxa"/>
            <w:tcBorders>
              <w:top w:val="nil"/>
              <w:left w:val="nil"/>
              <w:bottom w:val="double" w:sz="6" w:space="0" w:color="auto"/>
              <w:right w:val="nil"/>
            </w:tcBorders>
            <w:shd w:val="clear" w:color="auto" w:fill="auto"/>
            <w:noWrap/>
            <w:vAlign w:val="center"/>
            <w:hideMark/>
          </w:tcPr>
          <w:p w14:paraId="6A50F6D7" w14:textId="77777777" w:rsidR="00941F8E" w:rsidRPr="00DD5ECE" w:rsidRDefault="00941F8E" w:rsidP="00E607DA">
            <w:pPr>
              <w:jc w:val="right"/>
              <w:outlineLvl w:val="0"/>
              <w:rPr>
                <w:rFonts w:ascii="Meta Pro" w:eastAsia="Times New Roman" w:hAnsi="Meta Pro"/>
                <w:b/>
                <w:bCs/>
                <w:szCs w:val="18"/>
                <w:lang w:eastAsia="en-AU"/>
              </w:rPr>
            </w:pPr>
            <w:r w:rsidRPr="00DD5ECE">
              <w:rPr>
                <w:rFonts w:ascii="Meta Pro" w:eastAsia="Times New Roman" w:hAnsi="Meta Pro"/>
                <w:b/>
                <w:bCs/>
                <w:szCs w:val="18"/>
                <w:lang w:eastAsia="en-AU"/>
              </w:rPr>
              <w:t xml:space="preserve">272,324 </w:t>
            </w:r>
          </w:p>
        </w:tc>
        <w:tc>
          <w:tcPr>
            <w:tcW w:w="200" w:type="dxa"/>
            <w:tcBorders>
              <w:top w:val="nil"/>
              <w:left w:val="nil"/>
              <w:bottom w:val="double" w:sz="6" w:space="0" w:color="auto"/>
              <w:right w:val="nil"/>
            </w:tcBorders>
            <w:shd w:val="clear" w:color="auto" w:fill="auto"/>
            <w:noWrap/>
            <w:vAlign w:val="center"/>
            <w:hideMark/>
          </w:tcPr>
          <w:p w14:paraId="3F1A8DFE" w14:textId="77777777" w:rsidR="00941F8E" w:rsidRPr="00DD5ECE" w:rsidRDefault="00941F8E" w:rsidP="00E607DA">
            <w:pPr>
              <w:jc w:val="right"/>
              <w:outlineLvl w:val="0"/>
              <w:rPr>
                <w:rFonts w:ascii="Meta Pro" w:eastAsia="Times New Roman" w:hAnsi="Meta Pro"/>
                <w:szCs w:val="18"/>
                <w:lang w:eastAsia="en-AU"/>
              </w:rPr>
            </w:pPr>
            <w:r w:rsidRPr="00DD5ECE">
              <w:rPr>
                <w:rFonts w:ascii="Meta Pro" w:eastAsia="Times New Roman" w:hAnsi="Meta Pro"/>
                <w:szCs w:val="18"/>
                <w:lang w:eastAsia="en-AU"/>
              </w:rPr>
              <w:t> </w:t>
            </w:r>
          </w:p>
        </w:tc>
        <w:tc>
          <w:tcPr>
            <w:tcW w:w="1135" w:type="dxa"/>
            <w:tcBorders>
              <w:top w:val="nil"/>
              <w:left w:val="nil"/>
              <w:bottom w:val="double" w:sz="6" w:space="0" w:color="auto"/>
              <w:right w:val="nil"/>
            </w:tcBorders>
            <w:shd w:val="clear" w:color="auto" w:fill="auto"/>
            <w:noWrap/>
            <w:vAlign w:val="center"/>
            <w:hideMark/>
          </w:tcPr>
          <w:p w14:paraId="78C614B9" w14:textId="77777777" w:rsidR="00941F8E" w:rsidRPr="00DD5ECE" w:rsidRDefault="00941F8E" w:rsidP="00E607DA">
            <w:pPr>
              <w:jc w:val="right"/>
              <w:outlineLvl w:val="0"/>
              <w:rPr>
                <w:rFonts w:ascii="Meta Pro" w:eastAsia="Times New Roman" w:hAnsi="Meta Pro"/>
                <w:b/>
                <w:bCs/>
                <w:szCs w:val="18"/>
                <w:lang w:eastAsia="en-AU"/>
              </w:rPr>
            </w:pPr>
            <w:r w:rsidRPr="00DD5ECE">
              <w:rPr>
                <w:rFonts w:ascii="Meta Pro" w:eastAsia="Times New Roman" w:hAnsi="Meta Pro"/>
                <w:b/>
                <w:bCs/>
                <w:szCs w:val="18"/>
                <w:lang w:eastAsia="en-AU"/>
              </w:rPr>
              <w:t xml:space="preserve">123,513 </w:t>
            </w:r>
          </w:p>
        </w:tc>
        <w:tc>
          <w:tcPr>
            <w:tcW w:w="200" w:type="dxa"/>
            <w:tcBorders>
              <w:top w:val="nil"/>
              <w:left w:val="nil"/>
              <w:bottom w:val="double" w:sz="6" w:space="0" w:color="auto"/>
              <w:right w:val="nil"/>
            </w:tcBorders>
            <w:shd w:val="clear" w:color="auto" w:fill="auto"/>
            <w:noWrap/>
            <w:vAlign w:val="center"/>
            <w:hideMark/>
          </w:tcPr>
          <w:p w14:paraId="6215FA09" w14:textId="77777777" w:rsidR="00941F8E" w:rsidRPr="00DD5ECE" w:rsidRDefault="00941F8E" w:rsidP="00E607DA">
            <w:pPr>
              <w:jc w:val="right"/>
              <w:outlineLvl w:val="0"/>
              <w:rPr>
                <w:rFonts w:ascii="Meta Pro" w:eastAsia="Times New Roman" w:hAnsi="Meta Pro"/>
                <w:szCs w:val="18"/>
                <w:lang w:eastAsia="en-AU"/>
              </w:rPr>
            </w:pPr>
            <w:r w:rsidRPr="00DD5ECE">
              <w:rPr>
                <w:rFonts w:ascii="Meta Pro" w:eastAsia="Times New Roman" w:hAnsi="Meta Pro"/>
                <w:szCs w:val="18"/>
                <w:lang w:eastAsia="en-AU"/>
              </w:rPr>
              <w:t> </w:t>
            </w:r>
          </w:p>
        </w:tc>
        <w:tc>
          <w:tcPr>
            <w:tcW w:w="1130" w:type="dxa"/>
            <w:tcBorders>
              <w:top w:val="nil"/>
              <w:left w:val="nil"/>
              <w:bottom w:val="double" w:sz="6" w:space="0" w:color="auto"/>
              <w:right w:val="nil"/>
            </w:tcBorders>
            <w:shd w:val="clear" w:color="auto" w:fill="auto"/>
            <w:noWrap/>
            <w:vAlign w:val="center"/>
            <w:hideMark/>
          </w:tcPr>
          <w:p w14:paraId="00261CCA" w14:textId="77777777" w:rsidR="00941F8E" w:rsidRPr="00DD5ECE" w:rsidRDefault="00941F8E" w:rsidP="00E607DA">
            <w:pPr>
              <w:jc w:val="right"/>
              <w:outlineLvl w:val="0"/>
              <w:rPr>
                <w:rFonts w:ascii="Meta Pro" w:eastAsia="Times New Roman" w:hAnsi="Meta Pro"/>
                <w:b/>
                <w:bCs/>
                <w:szCs w:val="18"/>
                <w:lang w:eastAsia="en-AU"/>
              </w:rPr>
            </w:pPr>
            <w:r w:rsidRPr="00DD5ECE">
              <w:rPr>
                <w:rFonts w:ascii="Meta Pro" w:eastAsia="Times New Roman" w:hAnsi="Meta Pro"/>
                <w:b/>
                <w:bCs/>
                <w:szCs w:val="18"/>
                <w:lang w:eastAsia="en-AU"/>
              </w:rPr>
              <w:t>(148,811)</w:t>
            </w:r>
          </w:p>
        </w:tc>
      </w:tr>
      <w:tr w:rsidR="00941F8E" w:rsidRPr="00DD5ECE" w14:paraId="1D99981E" w14:textId="77777777" w:rsidTr="00E86873">
        <w:trPr>
          <w:trHeight w:val="227"/>
        </w:trPr>
        <w:tc>
          <w:tcPr>
            <w:tcW w:w="5842" w:type="dxa"/>
            <w:tcBorders>
              <w:top w:val="nil"/>
              <w:left w:val="nil"/>
              <w:bottom w:val="nil"/>
              <w:right w:val="nil"/>
            </w:tcBorders>
            <w:shd w:val="clear" w:color="auto" w:fill="auto"/>
            <w:noWrap/>
            <w:vAlign w:val="center"/>
            <w:hideMark/>
          </w:tcPr>
          <w:p w14:paraId="0042F150" w14:textId="77777777" w:rsidR="00941F8E" w:rsidRPr="00DD5ECE" w:rsidRDefault="00941F8E" w:rsidP="00E607DA">
            <w:pPr>
              <w:jc w:val="right"/>
              <w:outlineLvl w:val="0"/>
              <w:rPr>
                <w:rFonts w:ascii="Meta Pro" w:eastAsia="Times New Roman" w:hAnsi="Meta Pro"/>
                <w:b/>
                <w:bCs/>
                <w:szCs w:val="18"/>
                <w:lang w:eastAsia="en-AU"/>
              </w:rPr>
            </w:pPr>
          </w:p>
        </w:tc>
        <w:tc>
          <w:tcPr>
            <w:tcW w:w="1131" w:type="dxa"/>
            <w:tcBorders>
              <w:top w:val="nil"/>
              <w:left w:val="nil"/>
              <w:bottom w:val="nil"/>
              <w:right w:val="nil"/>
            </w:tcBorders>
            <w:shd w:val="clear" w:color="auto" w:fill="auto"/>
            <w:noWrap/>
            <w:vAlign w:val="center"/>
            <w:hideMark/>
          </w:tcPr>
          <w:p w14:paraId="2330439C" w14:textId="77777777" w:rsidR="00941F8E" w:rsidRPr="00DD5ECE" w:rsidRDefault="00941F8E" w:rsidP="00E607DA">
            <w:pPr>
              <w:outlineLvl w:val="0"/>
              <w:rPr>
                <w:rFonts w:eastAsia="Times New Roman" w:cs="Times New Roman"/>
                <w:sz w:val="20"/>
                <w:szCs w:val="20"/>
                <w:lang w:eastAsia="en-AU"/>
              </w:rPr>
            </w:pPr>
          </w:p>
        </w:tc>
        <w:tc>
          <w:tcPr>
            <w:tcW w:w="200" w:type="dxa"/>
            <w:tcBorders>
              <w:top w:val="nil"/>
              <w:left w:val="nil"/>
              <w:bottom w:val="nil"/>
              <w:right w:val="nil"/>
            </w:tcBorders>
            <w:shd w:val="clear" w:color="auto" w:fill="auto"/>
            <w:noWrap/>
            <w:vAlign w:val="center"/>
            <w:hideMark/>
          </w:tcPr>
          <w:p w14:paraId="0D9E7E56" w14:textId="77777777" w:rsidR="00941F8E" w:rsidRPr="00DD5ECE" w:rsidRDefault="00941F8E" w:rsidP="00E607DA">
            <w:pPr>
              <w:jc w:val="right"/>
              <w:outlineLvl w:val="0"/>
              <w:rPr>
                <w:rFonts w:eastAsia="Times New Roman" w:cs="Times New Roman"/>
                <w:sz w:val="20"/>
                <w:szCs w:val="20"/>
                <w:lang w:eastAsia="en-AU"/>
              </w:rPr>
            </w:pPr>
          </w:p>
        </w:tc>
        <w:tc>
          <w:tcPr>
            <w:tcW w:w="1135" w:type="dxa"/>
            <w:tcBorders>
              <w:top w:val="nil"/>
              <w:left w:val="nil"/>
              <w:bottom w:val="nil"/>
              <w:right w:val="nil"/>
            </w:tcBorders>
            <w:shd w:val="clear" w:color="auto" w:fill="auto"/>
            <w:noWrap/>
            <w:vAlign w:val="center"/>
            <w:hideMark/>
          </w:tcPr>
          <w:p w14:paraId="14614FC2" w14:textId="77777777" w:rsidR="00941F8E" w:rsidRPr="00DD5ECE" w:rsidRDefault="00941F8E" w:rsidP="00E607DA">
            <w:pPr>
              <w:jc w:val="right"/>
              <w:outlineLvl w:val="0"/>
              <w:rPr>
                <w:rFonts w:eastAsia="Times New Roman" w:cs="Times New Roman"/>
                <w:sz w:val="20"/>
                <w:szCs w:val="20"/>
                <w:lang w:eastAsia="en-AU"/>
              </w:rPr>
            </w:pPr>
          </w:p>
        </w:tc>
        <w:tc>
          <w:tcPr>
            <w:tcW w:w="200" w:type="dxa"/>
            <w:tcBorders>
              <w:top w:val="nil"/>
              <w:left w:val="nil"/>
              <w:bottom w:val="nil"/>
              <w:right w:val="nil"/>
            </w:tcBorders>
            <w:shd w:val="clear" w:color="auto" w:fill="auto"/>
            <w:noWrap/>
            <w:vAlign w:val="center"/>
            <w:hideMark/>
          </w:tcPr>
          <w:p w14:paraId="743D86E3" w14:textId="77777777" w:rsidR="00941F8E" w:rsidRPr="00DD5ECE" w:rsidRDefault="00941F8E" w:rsidP="00E607DA">
            <w:pPr>
              <w:jc w:val="right"/>
              <w:outlineLvl w:val="0"/>
              <w:rPr>
                <w:rFonts w:eastAsia="Times New Roman" w:cs="Times New Roman"/>
                <w:sz w:val="20"/>
                <w:szCs w:val="20"/>
                <w:lang w:eastAsia="en-AU"/>
              </w:rPr>
            </w:pPr>
          </w:p>
        </w:tc>
        <w:tc>
          <w:tcPr>
            <w:tcW w:w="1130" w:type="dxa"/>
            <w:tcBorders>
              <w:top w:val="nil"/>
              <w:left w:val="nil"/>
              <w:bottom w:val="nil"/>
              <w:right w:val="nil"/>
            </w:tcBorders>
            <w:shd w:val="clear" w:color="auto" w:fill="auto"/>
            <w:noWrap/>
            <w:vAlign w:val="center"/>
            <w:hideMark/>
          </w:tcPr>
          <w:p w14:paraId="776CA241" w14:textId="77777777" w:rsidR="00941F8E" w:rsidRPr="00DD5ECE" w:rsidRDefault="00941F8E" w:rsidP="00E607DA">
            <w:pPr>
              <w:jc w:val="right"/>
              <w:outlineLvl w:val="0"/>
              <w:rPr>
                <w:rFonts w:eastAsia="Times New Roman" w:cs="Times New Roman"/>
                <w:sz w:val="20"/>
                <w:szCs w:val="20"/>
                <w:lang w:eastAsia="en-AU"/>
              </w:rPr>
            </w:pPr>
          </w:p>
        </w:tc>
      </w:tr>
      <w:tr w:rsidR="00941F8E" w:rsidRPr="00DD5ECE" w14:paraId="3636948C" w14:textId="77777777" w:rsidTr="00E86873">
        <w:trPr>
          <w:trHeight w:val="227"/>
        </w:trPr>
        <w:tc>
          <w:tcPr>
            <w:tcW w:w="5842" w:type="dxa"/>
            <w:tcBorders>
              <w:top w:val="nil"/>
              <w:left w:val="nil"/>
              <w:bottom w:val="nil"/>
              <w:right w:val="nil"/>
            </w:tcBorders>
            <w:shd w:val="clear" w:color="auto" w:fill="auto"/>
            <w:noWrap/>
            <w:vAlign w:val="center"/>
            <w:hideMark/>
          </w:tcPr>
          <w:p w14:paraId="286D7E28" w14:textId="77777777" w:rsidR="00941F8E" w:rsidRPr="00DD5ECE" w:rsidRDefault="00941F8E" w:rsidP="00E607DA">
            <w:pPr>
              <w:jc w:val="right"/>
              <w:outlineLvl w:val="0"/>
              <w:rPr>
                <w:rFonts w:eastAsia="Times New Roman" w:cs="Times New Roman"/>
                <w:sz w:val="20"/>
                <w:szCs w:val="20"/>
                <w:lang w:eastAsia="en-AU"/>
              </w:rPr>
            </w:pPr>
          </w:p>
        </w:tc>
        <w:tc>
          <w:tcPr>
            <w:tcW w:w="1131" w:type="dxa"/>
            <w:tcBorders>
              <w:top w:val="nil"/>
              <w:left w:val="nil"/>
              <w:bottom w:val="nil"/>
              <w:right w:val="nil"/>
            </w:tcBorders>
            <w:shd w:val="clear" w:color="auto" w:fill="auto"/>
            <w:noWrap/>
            <w:vAlign w:val="center"/>
            <w:hideMark/>
          </w:tcPr>
          <w:p w14:paraId="0B8D9469" w14:textId="77777777" w:rsidR="00941F8E" w:rsidRPr="00DD5ECE" w:rsidRDefault="00941F8E" w:rsidP="00E607DA">
            <w:pPr>
              <w:outlineLvl w:val="0"/>
              <w:rPr>
                <w:rFonts w:eastAsia="Times New Roman" w:cs="Times New Roman"/>
                <w:sz w:val="20"/>
                <w:szCs w:val="20"/>
                <w:lang w:eastAsia="en-AU"/>
              </w:rPr>
            </w:pPr>
          </w:p>
        </w:tc>
        <w:tc>
          <w:tcPr>
            <w:tcW w:w="200" w:type="dxa"/>
            <w:tcBorders>
              <w:top w:val="nil"/>
              <w:left w:val="nil"/>
              <w:bottom w:val="nil"/>
              <w:right w:val="nil"/>
            </w:tcBorders>
            <w:shd w:val="clear" w:color="auto" w:fill="auto"/>
            <w:noWrap/>
            <w:vAlign w:val="center"/>
            <w:hideMark/>
          </w:tcPr>
          <w:p w14:paraId="51832562" w14:textId="77777777" w:rsidR="00941F8E" w:rsidRPr="00DD5ECE" w:rsidRDefault="00941F8E" w:rsidP="00E607DA">
            <w:pPr>
              <w:outlineLvl w:val="0"/>
              <w:rPr>
                <w:rFonts w:eastAsia="Times New Roman" w:cs="Times New Roman"/>
                <w:sz w:val="20"/>
                <w:szCs w:val="20"/>
                <w:lang w:eastAsia="en-AU"/>
              </w:rPr>
            </w:pPr>
          </w:p>
        </w:tc>
        <w:tc>
          <w:tcPr>
            <w:tcW w:w="1135" w:type="dxa"/>
            <w:tcBorders>
              <w:top w:val="nil"/>
              <w:left w:val="nil"/>
              <w:bottom w:val="nil"/>
              <w:right w:val="nil"/>
            </w:tcBorders>
            <w:shd w:val="clear" w:color="auto" w:fill="auto"/>
            <w:noWrap/>
            <w:vAlign w:val="center"/>
            <w:hideMark/>
          </w:tcPr>
          <w:p w14:paraId="2F3E0502" w14:textId="77777777" w:rsidR="00941F8E" w:rsidRPr="00DD5ECE" w:rsidRDefault="00941F8E" w:rsidP="00E607DA">
            <w:pPr>
              <w:outlineLvl w:val="0"/>
              <w:rPr>
                <w:rFonts w:eastAsia="Times New Roman" w:cs="Times New Roman"/>
                <w:sz w:val="20"/>
                <w:szCs w:val="20"/>
                <w:lang w:eastAsia="en-AU"/>
              </w:rPr>
            </w:pPr>
          </w:p>
        </w:tc>
        <w:tc>
          <w:tcPr>
            <w:tcW w:w="200" w:type="dxa"/>
            <w:tcBorders>
              <w:top w:val="nil"/>
              <w:left w:val="nil"/>
              <w:bottom w:val="nil"/>
              <w:right w:val="nil"/>
            </w:tcBorders>
            <w:shd w:val="clear" w:color="auto" w:fill="auto"/>
            <w:noWrap/>
            <w:vAlign w:val="center"/>
            <w:hideMark/>
          </w:tcPr>
          <w:p w14:paraId="7952E07C" w14:textId="77777777" w:rsidR="00941F8E" w:rsidRPr="00DD5ECE" w:rsidRDefault="00941F8E" w:rsidP="00E607DA">
            <w:pPr>
              <w:jc w:val="right"/>
              <w:outlineLvl w:val="0"/>
              <w:rPr>
                <w:rFonts w:eastAsia="Times New Roman" w:cs="Times New Roman"/>
                <w:sz w:val="20"/>
                <w:szCs w:val="20"/>
                <w:lang w:eastAsia="en-AU"/>
              </w:rPr>
            </w:pPr>
          </w:p>
        </w:tc>
        <w:tc>
          <w:tcPr>
            <w:tcW w:w="1130" w:type="dxa"/>
            <w:tcBorders>
              <w:top w:val="nil"/>
              <w:left w:val="nil"/>
              <w:bottom w:val="nil"/>
              <w:right w:val="nil"/>
            </w:tcBorders>
            <w:shd w:val="clear" w:color="auto" w:fill="auto"/>
            <w:noWrap/>
            <w:vAlign w:val="center"/>
            <w:hideMark/>
          </w:tcPr>
          <w:p w14:paraId="7B7AEF2D" w14:textId="77777777" w:rsidR="00941F8E" w:rsidRPr="00DD5ECE" w:rsidRDefault="00941F8E" w:rsidP="00E607DA">
            <w:pPr>
              <w:outlineLvl w:val="0"/>
              <w:rPr>
                <w:rFonts w:eastAsia="Times New Roman" w:cs="Times New Roman"/>
                <w:sz w:val="20"/>
                <w:szCs w:val="20"/>
                <w:lang w:eastAsia="en-AU"/>
              </w:rPr>
            </w:pPr>
          </w:p>
        </w:tc>
      </w:tr>
      <w:tr w:rsidR="00941F8E" w:rsidRPr="00DD5ECE" w14:paraId="345C660D" w14:textId="77777777" w:rsidTr="00E86873">
        <w:trPr>
          <w:trHeight w:val="227"/>
        </w:trPr>
        <w:tc>
          <w:tcPr>
            <w:tcW w:w="5842" w:type="dxa"/>
            <w:tcBorders>
              <w:top w:val="single" w:sz="4" w:space="0" w:color="auto"/>
              <w:left w:val="nil"/>
              <w:bottom w:val="double" w:sz="6" w:space="0" w:color="auto"/>
              <w:right w:val="nil"/>
            </w:tcBorders>
            <w:shd w:val="clear" w:color="auto" w:fill="auto"/>
            <w:noWrap/>
            <w:vAlign w:val="center"/>
            <w:hideMark/>
          </w:tcPr>
          <w:p w14:paraId="66ED9ACB" w14:textId="77777777" w:rsidR="00941F8E" w:rsidRPr="00DD5ECE" w:rsidRDefault="00941F8E" w:rsidP="00E607DA">
            <w:pPr>
              <w:outlineLvl w:val="0"/>
              <w:rPr>
                <w:rFonts w:ascii="Meta Pro" w:eastAsia="Times New Roman" w:hAnsi="Meta Pro"/>
                <w:b/>
                <w:bCs/>
                <w:szCs w:val="18"/>
                <w:lang w:eastAsia="en-AU"/>
              </w:rPr>
            </w:pPr>
            <w:r w:rsidRPr="00DD5ECE">
              <w:rPr>
                <w:rFonts w:ascii="Meta Pro" w:eastAsia="Times New Roman" w:hAnsi="Meta Pro"/>
                <w:b/>
                <w:bCs/>
                <w:szCs w:val="18"/>
                <w:lang w:eastAsia="en-AU"/>
              </w:rPr>
              <w:t>TOTAL ADMINISTERED EQUITY</w:t>
            </w:r>
          </w:p>
        </w:tc>
        <w:tc>
          <w:tcPr>
            <w:tcW w:w="1131" w:type="dxa"/>
            <w:tcBorders>
              <w:top w:val="single" w:sz="4" w:space="0" w:color="auto"/>
              <w:left w:val="nil"/>
              <w:bottom w:val="double" w:sz="6" w:space="0" w:color="auto"/>
              <w:right w:val="nil"/>
            </w:tcBorders>
            <w:shd w:val="clear" w:color="auto" w:fill="auto"/>
            <w:noWrap/>
            <w:vAlign w:val="center"/>
            <w:hideMark/>
          </w:tcPr>
          <w:p w14:paraId="44585914" w14:textId="77777777" w:rsidR="00941F8E" w:rsidRPr="00DD5ECE" w:rsidRDefault="00941F8E" w:rsidP="00E607DA">
            <w:pPr>
              <w:jc w:val="right"/>
              <w:outlineLvl w:val="0"/>
              <w:rPr>
                <w:rFonts w:ascii="Meta Pro" w:eastAsia="Times New Roman" w:hAnsi="Meta Pro"/>
                <w:b/>
                <w:bCs/>
                <w:szCs w:val="18"/>
                <w:lang w:eastAsia="en-AU"/>
              </w:rPr>
            </w:pPr>
            <w:r w:rsidRPr="00DD5ECE">
              <w:rPr>
                <w:rFonts w:ascii="Meta Pro" w:eastAsia="Times New Roman" w:hAnsi="Meta Pro"/>
                <w:b/>
                <w:bCs/>
                <w:szCs w:val="18"/>
                <w:lang w:eastAsia="en-AU"/>
              </w:rPr>
              <w:t xml:space="preserve">272,324 </w:t>
            </w:r>
          </w:p>
        </w:tc>
        <w:tc>
          <w:tcPr>
            <w:tcW w:w="200" w:type="dxa"/>
            <w:tcBorders>
              <w:top w:val="single" w:sz="4" w:space="0" w:color="auto"/>
              <w:left w:val="nil"/>
              <w:bottom w:val="double" w:sz="6" w:space="0" w:color="auto"/>
              <w:right w:val="nil"/>
            </w:tcBorders>
            <w:shd w:val="clear" w:color="auto" w:fill="auto"/>
            <w:noWrap/>
            <w:vAlign w:val="center"/>
            <w:hideMark/>
          </w:tcPr>
          <w:p w14:paraId="0C5E2D5C" w14:textId="77777777" w:rsidR="00941F8E" w:rsidRPr="00DD5ECE" w:rsidRDefault="00941F8E" w:rsidP="00E607DA">
            <w:pPr>
              <w:jc w:val="right"/>
              <w:outlineLvl w:val="0"/>
              <w:rPr>
                <w:rFonts w:ascii="Meta Pro" w:eastAsia="Times New Roman" w:hAnsi="Meta Pro"/>
                <w:szCs w:val="18"/>
                <w:lang w:eastAsia="en-AU"/>
              </w:rPr>
            </w:pPr>
            <w:r w:rsidRPr="00DD5ECE">
              <w:rPr>
                <w:rFonts w:ascii="Meta Pro" w:eastAsia="Times New Roman" w:hAnsi="Meta Pro"/>
                <w:szCs w:val="18"/>
                <w:lang w:eastAsia="en-AU"/>
              </w:rPr>
              <w:t> </w:t>
            </w:r>
          </w:p>
        </w:tc>
        <w:tc>
          <w:tcPr>
            <w:tcW w:w="1135" w:type="dxa"/>
            <w:tcBorders>
              <w:top w:val="single" w:sz="4" w:space="0" w:color="auto"/>
              <w:left w:val="nil"/>
              <w:bottom w:val="double" w:sz="6" w:space="0" w:color="auto"/>
              <w:right w:val="nil"/>
            </w:tcBorders>
            <w:shd w:val="clear" w:color="auto" w:fill="auto"/>
            <w:noWrap/>
            <w:vAlign w:val="center"/>
            <w:hideMark/>
          </w:tcPr>
          <w:p w14:paraId="13FED4C7" w14:textId="77777777" w:rsidR="00941F8E" w:rsidRPr="00DD5ECE" w:rsidRDefault="00941F8E" w:rsidP="00E607DA">
            <w:pPr>
              <w:jc w:val="right"/>
              <w:outlineLvl w:val="0"/>
              <w:rPr>
                <w:rFonts w:ascii="Meta Pro" w:eastAsia="Times New Roman" w:hAnsi="Meta Pro"/>
                <w:b/>
                <w:bCs/>
                <w:szCs w:val="18"/>
                <w:lang w:eastAsia="en-AU"/>
              </w:rPr>
            </w:pPr>
            <w:r w:rsidRPr="00DD5ECE">
              <w:rPr>
                <w:rFonts w:ascii="Meta Pro" w:eastAsia="Times New Roman" w:hAnsi="Meta Pro"/>
                <w:b/>
                <w:bCs/>
                <w:szCs w:val="18"/>
                <w:lang w:eastAsia="en-AU"/>
              </w:rPr>
              <w:t xml:space="preserve">123,513 </w:t>
            </w:r>
          </w:p>
        </w:tc>
        <w:tc>
          <w:tcPr>
            <w:tcW w:w="200" w:type="dxa"/>
            <w:tcBorders>
              <w:top w:val="single" w:sz="4" w:space="0" w:color="auto"/>
              <w:left w:val="nil"/>
              <w:bottom w:val="double" w:sz="6" w:space="0" w:color="auto"/>
              <w:right w:val="nil"/>
            </w:tcBorders>
            <w:shd w:val="clear" w:color="auto" w:fill="auto"/>
            <w:noWrap/>
            <w:vAlign w:val="center"/>
            <w:hideMark/>
          </w:tcPr>
          <w:p w14:paraId="32358C2B" w14:textId="77777777" w:rsidR="00941F8E" w:rsidRPr="00DD5ECE" w:rsidRDefault="00941F8E" w:rsidP="00E607DA">
            <w:pPr>
              <w:jc w:val="right"/>
              <w:outlineLvl w:val="0"/>
              <w:rPr>
                <w:rFonts w:ascii="Meta Pro" w:eastAsia="Times New Roman" w:hAnsi="Meta Pro"/>
                <w:szCs w:val="18"/>
                <w:lang w:eastAsia="en-AU"/>
              </w:rPr>
            </w:pPr>
            <w:r w:rsidRPr="00DD5ECE">
              <w:rPr>
                <w:rFonts w:ascii="Meta Pro" w:eastAsia="Times New Roman" w:hAnsi="Meta Pro"/>
                <w:szCs w:val="18"/>
                <w:lang w:eastAsia="en-AU"/>
              </w:rPr>
              <w:t> </w:t>
            </w:r>
          </w:p>
        </w:tc>
        <w:tc>
          <w:tcPr>
            <w:tcW w:w="1130" w:type="dxa"/>
            <w:tcBorders>
              <w:top w:val="single" w:sz="4" w:space="0" w:color="auto"/>
              <w:left w:val="nil"/>
              <w:bottom w:val="double" w:sz="6" w:space="0" w:color="auto"/>
              <w:right w:val="nil"/>
            </w:tcBorders>
            <w:shd w:val="clear" w:color="auto" w:fill="auto"/>
            <w:noWrap/>
            <w:vAlign w:val="center"/>
            <w:hideMark/>
          </w:tcPr>
          <w:p w14:paraId="4B4F1819" w14:textId="77777777" w:rsidR="00941F8E" w:rsidRPr="00DD5ECE" w:rsidRDefault="00941F8E" w:rsidP="00E607DA">
            <w:pPr>
              <w:jc w:val="right"/>
              <w:outlineLvl w:val="0"/>
              <w:rPr>
                <w:rFonts w:ascii="Meta Pro" w:eastAsia="Times New Roman" w:hAnsi="Meta Pro"/>
                <w:b/>
                <w:bCs/>
                <w:szCs w:val="18"/>
                <w:lang w:eastAsia="en-AU"/>
              </w:rPr>
            </w:pPr>
            <w:r w:rsidRPr="00DD5ECE">
              <w:rPr>
                <w:rFonts w:ascii="Meta Pro" w:eastAsia="Times New Roman" w:hAnsi="Meta Pro"/>
                <w:b/>
                <w:bCs/>
                <w:szCs w:val="18"/>
                <w:lang w:eastAsia="en-AU"/>
              </w:rPr>
              <w:t>(148,811)</w:t>
            </w:r>
          </w:p>
        </w:tc>
      </w:tr>
    </w:tbl>
    <w:p w14:paraId="4F37E020" w14:textId="77777777" w:rsidR="00E86873" w:rsidRPr="00092B22" w:rsidRDefault="00E86873" w:rsidP="00E86873">
      <w:pPr>
        <w:spacing w:after="120" w:line="259" w:lineRule="auto"/>
        <w:rPr>
          <w:rFonts w:ascii="Meta Pro" w:eastAsia="Times New Roman" w:hAnsi="Meta Pro"/>
          <w:b/>
          <w:bCs/>
          <w:color w:val="000000"/>
          <w:lang w:eastAsia="en-AU"/>
        </w:rPr>
      </w:pPr>
      <w:r w:rsidRPr="00092B22">
        <w:rPr>
          <w:rFonts w:ascii="Meta Pro" w:eastAsia="Times New Roman" w:hAnsi="Meta Pro"/>
          <w:b/>
          <w:bCs/>
          <w:color w:val="000000"/>
          <w:lang w:eastAsia="en-AU"/>
        </w:rPr>
        <w:t>29     BUDGETARY REPORTING (continued)</w:t>
      </w:r>
    </w:p>
    <w:p w14:paraId="2D9E12A7" w14:textId="77777777" w:rsidR="00E86873" w:rsidRPr="00092B22" w:rsidRDefault="00E86873" w:rsidP="00E86873">
      <w:pPr>
        <w:spacing w:after="120" w:line="259" w:lineRule="auto"/>
        <w:rPr>
          <w:rFonts w:ascii="Meta Pro" w:eastAsia="Times New Roman" w:hAnsi="Meta Pro"/>
          <w:b/>
          <w:bCs/>
          <w:color w:val="000000"/>
          <w:lang w:eastAsia="en-AU"/>
        </w:rPr>
      </w:pPr>
      <w:r w:rsidRPr="00092B22">
        <w:rPr>
          <w:rFonts w:ascii="Meta Pro" w:eastAsia="Times New Roman" w:hAnsi="Meta Pro"/>
          <w:b/>
          <w:bCs/>
          <w:szCs w:val="18"/>
          <w:lang w:eastAsia="en-AU"/>
        </w:rPr>
        <w:t>SCHEDULE OF ADMINISTERED ITEMS (continued)</w:t>
      </w:r>
    </w:p>
    <w:p w14:paraId="243E6125" w14:textId="77777777" w:rsidR="00E86873" w:rsidRPr="00092B22" w:rsidRDefault="00E86873" w:rsidP="00E86873">
      <w:pPr>
        <w:spacing w:after="120" w:line="259" w:lineRule="auto"/>
        <w:rPr>
          <w:rFonts w:ascii="Meta Pro" w:eastAsia="Times New Roman" w:hAnsi="Meta Pro"/>
          <w:color w:val="000000"/>
          <w:szCs w:val="18"/>
          <w:lang w:eastAsia="en-AU"/>
        </w:rPr>
      </w:pPr>
      <w:r w:rsidRPr="00092B22">
        <w:rPr>
          <w:rFonts w:ascii="Meta Pro" w:eastAsia="Times New Roman" w:hAnsi="Meta Pro"/>
          <w:b/>
          <w:bCs/>
          <w:color w:val="000000"/>
          <w:szCs w:val="18"/>
          <w:lang w:eastAsia="en-AU"/>
        </w:rPr>
        <w:t>Explanation of major variances</w:t>
      </w:r>
    </w:p>
    <w:p w14:paraId="08217F11" w14:textId="77777777" w:rsidR="00E86873" w:rsidRPr="00092B22" w:rsidRDefault="00E86873" w:rsidP="00E86873">
      <w:pPr>
        <w:spacing w:line="259" w:lineRule="auto"/>
        <w:rPr>
          <w:rFonts w:ascii="Meta Pro" w:eastAsia="Times New Roman" w:hAnsi="Meta Pro"/>
          <w:b/>
          <w:bCs/>
          <w:i/>
          <w:iCs/>
          <w:color w:val="000000"/>
          <w:szCs w:val="18"/>
          <w:lang w:eastAsia="en-AU"/>
        </w:rPr>
      </w:pPr>
      <w:r w:rsidRPr="00092B22">
        <w:rPr>
          <w:rFonts w:ascii="Meta Pro" w:eastAsia="Times New Roman" w:hAnsi="Meta Pro"/>
          <w:b/>
          <w:bCs/>
          <w:i/>
          <w:iCs/>
          <w:color w:val="000000"/>
          <w:szCs w:val="18"/>
          <w:lang w:eastAsia="en-AU"/>
        </w:rPr>
        <w:t>Administered item appropriation</w:t>
      </w:r>
    </w:p>
    <w:p w14:paraId="0814729D" w14:textId="77777777" w:rsidR="00E86873" w:rsidRPr="00092B22" w:rsidRDefault="00E86873" w:rsidP="00E86873">
      <w:pPr>
        <w:spacing w:after="160" w:line="259" w:lineRule="auto"/>
        <w:rPr>
          <w:rFonts w:ascii="Meta Pro" w:eastAsia="Times New Roman" w:hAnsi="Meta Pro"/>
          <w:color w:val="000000"/>
          <w:szCs w:val="18"/>
          <w:lang w:eastAsia="en-AU"/>
        </w:rPr>
      </w:pPr>
      <w:r w:rsidRPr="00092B22">
        <w:rPr>
          <w:rFonts w:ascii="Meta Pro" w:eastAsia="Times New Roman" w:hAnsi="Meta Pro"/>
          <w:color w:val="000000"/>
          <w:szCs w:val="18"/>
          <w:lang w:eastAsia="en-AU"/>
        </w:rPr>
        <w:lastRenderedPageBreak/>
        <w:t>Variance of ($31.905m) mainly reflects the deferral of funding to 2022</w:t>
      </w:r>
      <w:r>
        <w:rPr>
          <w:rFonts w:ascii="Meta Pro" w:eastAsia="Times New Roman" w:hAnsi="Meta Pro"/>
          <w:color w:val="000000"/>
          <w:szCs w:val="18"/>
          <w:lang w:eastAsia="en-AU"/>
        </w:rPr>
        <w:t>–</w:t>
      </w:r>
      <w:r w:rsidRPr="00092B22">
        <w:rPr>
          <w:rFonts w:ascii="Meta Pro" w:eastAsia="Times New Roman" w:hAnsi="Meta Pro"/>
          <w:color w:val="000000"/>
          <w:szCs w:val="18"/>
          <w:lang w:eastAsia="en-AU"/>
        </w:rPr>
        <w:t xml:space="preserve">23 for the Mount Isa to Townsville Rail Line </w:t>
      </w:r>
      <w:r>
        <w:rPr>
          <w:rFonts w:ascii="Meta Pro" w:eastAsia="Times New Roman" w:hAnsi="Meta Pro"/>
          <w:color w:val="000000"/>
          <w:szCs w:val="18"/>
          <w:lang w:eastAsia="en-AU"/>
        </w:rPr>
        <w:t xml:space="preserve">of </w:t>
      </w:r>
      <w:r w:rsidRPr="00092B22">
        <w:rPr>
          <w:rFonts w:ascii="Meta Pro" w:eastAsia="Times New Roman" w:hAnsi="Meta Pro"/>
          <w:color w:val="000000"/>
          <w:szCs w:val="18"/>
          <w:lang w:eastAsia="en-AU"/>
        </w:rPr>
        <w:t>($33.500m).</w:t>
      </w:r>
    </w:p>
    <w:p w14:paraId="137DB6CC" w14:textId="77777777" w:rsidR="00E86873" w:rsidRPr="00092B22" w:rsidRDefault="00E86873" w:rsidP="00E86873">
      <w:pPr>
        <w:spacing w:line="259" w:lineRule="auto"/>
        <w:rPr>
          <w:rFonts w:ascii="Meta Pro" w:eastAsia="Times New Roman" w:hAnsi="Meta Pro"/>
          <w:b/>
          <w:bCs/>
          <w:i/>
          <w:iCs/>
          <w:color w:val="000000"/>
          <w:szCs w:val="18"/>
          <w:lang w:eastAsia="en-AU"/>
        </w:rPr>
      </w:pPr>
      <w:r w:rsidRPr="00092B22">
        <w:rPr>
          <w:rFonts w:ascii="Meta Pro" w:eastAsia="Times New Roman" w:hAnsi="Meta Pro"/>
          <w:b/>
          <w:bCs/>
          <w:i/>
          <w:iCs/>
          <w:color w:val="000000"/>
          <w:szCs w:val="18"/>
          <w:lang w:eastAsia="en-AU"/>
        </w:rPr>
        <w:t>Grants and other contributions</w:t>
      </w:r>
    </w:p>
    <w:p w14:paraId="58DA67B4" w14:textId="77777777" w:rsidR="00E86873" w:rsidRDefault="00E86873" w:rsidP="00E86873">
      <w:pPr>
        <w:spacing w:after="120" w:line="259" w:lineRule="auto"/>
        <w:rPr>
          <w:rFonts w:ascii="Meta Pro" w:eastAsia="Times New Roman" w:hAnsi="Meta Pro"/>
          <w:color w:val="000000"/>
          <w:szCs w:val="18"/>
          <w:lang w:eastAsia="en-AU"/>
        </w:rPr>
      </w:pPr>
      <w:r w:rsidRPr="00700F42">
        <w:rPr>
          <w:rFonts w:ascii="Meta Pro" w:eastAsia="Times New Roman" w:hAnsi="Meta Pro"/>
          <w:color w:val="000000"/>
          <w:szCs w:val="18"/>
          <w:lang w:eastAsia="en-AU"/>
        </w:rPr>
        <w:t>Variance of $11.397m mainly reflects Ferny Grove railway station carpark lots valued at $10.325m received from Queensland Rail.</w:t>
      </w:r>
    </w:p>
    <w:p w14:paraId="4DC95C0D" w14:textId="77777777" w:rsidR="00E86873" w:rsidRPr="00092B22" w:rsidRDefault="00E86873" w:rsidP="00E86873">
      <w:pPr>
        <w:spacing w:line="259" w:lineRule="auto"/>
        <w:rPr>
          <w:rFonts w:ascii="Meta Pro" w:hAnsi="Meta Pro" w:cstheme="minorBidi"/>
          <w:b/>
          <w:bCs/>
          <w:i/>
          <w:iCs/>
          <w:szCs w:val="18"/>
        </w:rPr>
      </w:pPr>
      <w:r w:rsidRPr="00092B22">
        <w:rPr>
          <w:rFonts w:ascii="Meta Pro" w:hAnsi="Meta Pro" w:cstheme="minorBidi"/>
          <w:b/>
          <w:bCs/>
          <w:i/>
          <w:iCs/>
          <w:szCs w:val="18"/>
        </w:rPr>
        <w:t>Grants and subsidies</w:t>
      </w:r>
    </w:p>
    <w:p w14:paraId="40DD3BA2" w14:textId="77777777" w:rsidR="00E86873" w:rsidRPr="00092B22" w:rsidRDefault="00E86873" w:rsidP="00E86873">
      <w:pPr>
        <w:spacing w:after="120" w:line="259" w:lineRule="auto"/>
        <w:rPr>
          <w:rFonts w:ascii="Meta Pro" w:hAnsi="Meta Pro" w:cstheme="minorBidi"/>
          <w:szCs w:val="18"/>
        </w:rPr>
      </w:pPr>
      <w:r w:rsidRPr="00700F42">
        <w:rPr>
          <w:rFonts w:ascii="Meta Pro" w:hAnsi="Meta Pro" w:cstheme="minorBidi"/>
          <w:szCs w:val="18"/>
        </w:rPr>
        <w:t>Variance of ($23.361m) largely reflects the deferral of funding to 2022</w:t>
      </w:r>
      <w:r>
        <w:rPr>
          <w:rFonts w:ascii="Meta Pro" w:hAnsi="Meta Pro" w:cstheme="minorBidi"/>
          <w:szCs w:val="18"/>
        </w:rPr>
        <w:t>–</w:t>
      </w:r>
      <w:r w:rsidRPr="00700F42">
        <w:rPr>
          <w:rFonts w:ascii="Meta Pro" w:hAnsi="Meta Pro" w:cstheme="minorBidi"/>
          <w:szCs w:val="18"/>
        </w:rPr>
        <w:t xml:space="preserve">23 for the Mount Isa to Townsville Rail Line </w:t>
      </w:r>
      <w:r>
        <w:rPr>
          <w:rFonts w:ascii="Meta Pro" w:hAnsi="Meta Pro" w:cstheme="minorBidi"/>
          <w:szCs w:val="18"/>
        </w:rPr>
        <w:t xml:space="preserve">of </w:t>
      </w:r>
      <w:r w:rsidRPr="00700F42">
        <w:rPr>
          <w:rFonts w:ascii="Meta Pro" w:hAnsi="Meta Pro" w:cstheme="minorBidi"/>
          <w:szCs w:val="18"/>
        </w:rPr>
        <w:t>($33.500m) offset by $8.450m for Ferny Grove railway station carpark lots provided below fair value from Queensland Rail.</w:t>
      </w:r>
    </w:p>
    <w:p w14:paraId="024598B0" w14:textId="77777777" w:rsidR="00E86873" w:rsidRPr="00092B22" w:rsidRDefault="00E86873" w:rsidP="00E86873">
      <w:pPr>
        <w:spacing w:line="259" w:lineRule="auto"/>
        <w:rPr>
          <w:rFonts w:ascii="Meta Pro" w:hAnsi="Meta Pro" w:cstheme="minorBidi"/>
          <w:b/>
          <w:bCs/>
          <w:i/>
          <w:iCs/>
          <w:szCs w:val="18"/>
        </w:rPr>
      </w:pPr>
      <w:r w:rsidRPr="00092B22">
        <w:rPr>
          <w:rFonts w:ascii="Meta Pro" w:hAnsi="Meta Pro" w:cstheme="minorBidi"/>
          <w:b/>
          <w:bCs/>
          <w:i/>
          <w:iCs/>
          <w:szCs w:val="18"/>
        </w:rPr>
        <w:t>Land</w:t>
      </w:r>
    </w:p>
    <w:p w14:paraId="42FF3B74" w14:textId="77777777" w:rsidR="00E86873" w:rsidRPr="00092B22" w:rsidRDefault="00E86873" w:rsidP="00E86873">
      <w:pPr>
        <w:spacing w:after="120" w:line="259" w:lineRule="auto"/>
        <w:rPr>
          <w:rFonts w:ascii="Meta Pro" w:hAnsi="Meta Pro" w:cstheme="minorBidi"/>
          <w:szCs w:val="18"/>
        </w:rPr>
      </w:pPr>
      <w:r w:rsidRPr="00092B22">
        <w:rPr>
          <w:rFonts w:ascii="Meta Pro" w:hAnsi="Meta Pro" w:cstheme="minorBidi"/>
          <w:szCs w:val="18"/>
        </w:rPr>
        <w:t>Variance of ($148.811m) mainly consists of prior year adjustments relating to administered land disposals and transfers due to sublease arrangements and road dedications.</w:t>
      </w:r>
    </w:p>
    <w:p w14:paraId="5498AEBA" w14:textId="77777777" w:rsidR="00E86873" w:rsidRPr="00092B22" w:rsidRDefault="00E86873" w:rsidP="00E86873">
      <w:pPr>
        <w:spacing w:line="259" w:lineRule="auto"/>
        <w:rPr>
          <w:rFonts w:ascii="Meta Pro" w:hAnsi="Meta Pro" w:cstheme="minorBidi"/>
          <w:b/>
          <w:bCs/>
          <w:i/>
          <w:iCs/>
          <w:szCs w:val="18"/>
        </w:rPr>
      </w:pPr>
      <w:r w:rsidRPr="00092B22">
        <w:rPr>
          <w:rFonts w:ascii="Meta Pro" w:hAnsi="Meta Pro" w:cstheme="minorBidi"/>
          <w:b/>
          <w:bCs/>
          <w:i/>
          <w:iCs/>
          <w:szCs w:val="18"/>
        </w:rPr>
        <w:t>Equity</w:t>
      </w:r>
      <w:r w:rsidRPr="00092B22">
        <w:rPr>
          <w:rFonts w:ascii="Meta Pro" w:hAnsi="Meta Pro" w:cstheme="minorBidi"/>
          <w:b/>
          <w:bCs/>
          <w:i/>
          <w:iCs/>
          <w:szCs w:val="18"/>
        </w:rPr>
        <w:tab/>
      </w:r>
      <w:r w:rsidRPr="00092B22">
        <w:rPr>
          <w:rFonts w:ascii="Meta Pro" w:hAnsi="Meta Pro" w:cstheme="minorBidi"/>
          <w:b/>
          <w:bCs/>
          <w:i/>
          <w:iCs/>
          <w:szCs w:val="18"/>
        </w:rPr>
        <w:tab/>
      </w:r>
      <w:r w:rsidRPr="00092B22">
        <w:rPr>
          <w:rFonts w:ascii="Meta Pro" w:hAnsi="Meta Pro" w:cstheme="minorBidi"/>
          <w:b/>
          <w:bCs/>
          <w:i/>
          <w:iCs/>
          <w:szCs w:val="18"/>
        </w:rPr>
        <w:tab/>
      </w:r>
      <w:r w:rsidRPr="00092B22">
        <w:rPr>
          <w:rFonts w:ascii="Meta Pro" w:hAnsi="Meta Pro" w:cstheme="minorBidi"/>
          <w:b/>
          <w:bCs/>
          <w:i/>
          <w:iCs/>
          <w:szCs w:val="18"/>
        </w:rPr>
        <w:tab/>
      </w:r>
      <w:r w:rsidRPr="00092B22">
        <w:rPr>
          <w:rFonts w:ascii="Meta Pro" w:hAnsi="Meta Pro" w:cstheme="minorBidi"/>
          <w:b/>
          <w:bCs/>
          <w:i/>
          <w:iCs/>
          <w:szCs w:val="18"/>
        </w:rPr>
        <w:tab/>
      </w:r>
      <w:r w:rsidRPr="00092B22">
        <w:rPr>
          <w:rFonts w:ascii="Meta Pro" w:hAnsi="Meta Pro" w:cstheme="minorBidi"/>
          <w:b/>
          <w:bCs/>
          <w:i/>
          <w:iCs/>
          <w:szCs w:val="18"/>
        </w:rPr>
        <w:tab/>
      </w:r>
      <w:r w:rsidRPr="00092B22">
        <w:rPr>
          <w:rFonts w:ascii="Meta Pro" w:hAnsi="Meta Pro" w:cstheme="minorBidi"/>
          <w:b/>
          <w:bCs/>
          <w:i/>
          <w:iCs/>
          <w:szCs w:val="18"/>
        </w:rPr>
        <w:tab/>
      </w:r>
      <w:r w:rsidRPr="00092B22">
        <w:rPr>
          <w:rFonts w:ascii="Meta Pro" w:hAnsi="Meta Pro" w:cstheme="minorBidi"/>
          <w:b/>
          <w:bCs/>
          <w:i/>
          <w:iCs/>
          <w:szCs w:val="18"/>
        </w:rPr>
        <w:tab/>
      </w:r>
      <w:r w:rsidRPr="00092B22">
        <w:rPr>
          <w:rFonts w:ascii="Meta Pro" w:hAnsi="Meta Pro" w:cstheme="minorBidi"/>
          <w:b/>
          <w:bCs/>
          <w:i/>
          <w:iCs/>
          <w:szCs w:val="18"/>
        </w:rPr>
        <w:tab/>
      </w:r>
      <w:r w:rsidRPr="00092B22">
        <w:rPr>
          <w:rFonts w:ascii="Meta Pro" w:hAnsi="Meta Pro" w:cstheme="minorBidi"/>
          <w:b/>
          <w:bCs/>
          <w:i/>
          <w:iCs/>
          <w:szCs w:val="18"/>
        </w:rPr>
        <w:tab/>
      </w:r>
      <w:r w:rsidRPr="00092B22">
        <w:rPr>
          <w:rFonts w:ascii="Meta Pro" w:hAnsi="Meta Pro" w:cstheme="minorBidi"/>
          <w:b/>
          <w:bCs/>
          <w:i/>
          <w:iCs/>
          <w:szCs w:val="18"/>
        </w:rPr>
        <w:tab/>
      </w:r>
      <w:r w:rsidRPr="00092B22">
        <w:rPr>
          <w:rFonts w:ascii="Meta Pro" w:hAnsi="Meta Pro" w:cstheme="minorBidi"/>
          <w:b/>
          <w:bCs/>
          <w:i/>
          <w:iCs/>
          <w:szCs w:val="18"/>
        </w:rPr>
        <w:tab/>
      </w:r>
      <w:r w:rsidRPr="00092B22">
        <w:rPr>
          <w:rFonts w:ascii="Meta Pro" w:hAnsi="Meta Pro" w:cstheme="minorBidi"/>
          <w:b/>
          <w:bCs/>
          <w:i/>
          <w:iCs/>
          <w:szCs w:val="18"/>
        </w:rPr>
        <w:tab/>
      </w:r>
      <w:r w:rsidRPr="00092B22">
        <w:rPr>
          <w:rFonts w:ascii="Meta Pro" w:hAnsi="Meta Pro" w:cstheme="minorBidi"/>
          <w:b/>
          <w:bCs/>
          <w:i/>
          <w:iCs/>
          <w:szCs w:val="18"/>
        </w:rPr>
        <w:tab/>
      </w:r>
      <w:r w:rsidRPr="00092B22">
        <w:rPr>
          <w:rFonts w:ascii="Meta Pro" w:hAnsi="Meta Pro" w:cstheme="minorBidi"/>
          <w:b/>
          <w:bCs/>
          <w:i/>
          <w:iCs/>
          <w:szCs w:val="18"/>
        </w:rPr>
        <w:tab/>
      </w:r>
    </w:p>
    <w:p w14:paraId="56F65113" w14:textId="0CE35E1A" w:rsidR="00E86873" w:rsidRPr="00B07A53" w:rsidRDefault="00E86873" w:rsidP="00B07A53">
      <w:pPr>
        <w:spacing w:line="259" w:lineRule="auto"/>
        <w:rPr>
          <w:rFonts w:ascii="Meta Pro" w:eastAsia="Times New Roman" w:hAnsi="Meta Pro"/>
          <w:b/>
          <w:bCs/>
          <w:color w:val="000000"/>
          <w:szCs w:val="18"/>
          <w:lang w:eastAsia="en-AU"/>
        </w:rPr>
      </w:pPr>
      <w:r w:rsidRPr="00092B22">
        <w:rPr>
          <w:rFonts w:ascii="Meta Pro" w:hAnsi="Meta Pro" w:cstheme="minorBidi"/>
          <w:szCs w:val="18"/>
        </w:rPr>
        <w:t>Variance of ($148.811m) mainly consists of prior year adjustments relating to administered land disposals and transfers due to sublease arrangements and road dedications.</w:t>
      </w:r>
    </w:p>
    <w:p w14:paraId="42912CEE" w14:textId="77777777" w:rsidR="00E86873" w:rsidRPr="00092B22" w:rsidRDefault="00E86873" w:rsidP="00E86873">
      <w:pPr>
        <w:spacing w:line="259" w:lineRule="auto"/>
        <w:rPr>
          <w:rFonts w:ascii="Meta Pro" w:eastAsia="Times New Roman" w:hAnsi="Meta Pro"/>
          <w:b/>
          <w:bCs/>
          <w:color w:val="000000"/>
          <w:lang w:eastAsia="en-AU"/>
        </w:rPr>
      </w:pPr>
      <w:r>
        <w:rPr>
          <w:rFonts w:ascii="Meta Pro" w:eastAsia="Times New Roman" w:hAnsi="Meta Pro"/>
          <w:b/>
          <w:bCs/>
          <w:color w:val="000000"/>
          <w:lang w:eastAsia="en-AU"/>
        </w:rPr>
        <w:t>30</w:t>
      </w:r>
      <w:r w:rsidRPr="00092B22">
        <w:rPr>
          <w:rFonts w:ascii="Meta Pro" w:eastAsia="Times New Roman" w:hAnsi="Meta Pro"/>
          <w:b/>
          <w:bCs/>
          <w:color w:val="000000"/>
          <w:lang w:eastAsia="en-AU"/>
        </w:rPr>
        <w:t xml:space="preserve">     EVENTS AFTER THE BALANCE DATE</w:t>
      </w:r>
    </w:p>
    <w:p w14:paraId="567576EF" w14:textId="77777777" w:rsidR="00E86873" w:rsidRPr="00092B22" w:rsidRDefault="00E86873" w:rsidP="00E86873">
      <w:pPr>
        <w:spacing w:before="120" w:line="259" w:lineRule="auto"/>
        <w:rPr>
          <w:rFonts w:ascii="Meta Pro" w:hAnsi="Meta Pro"/>
          <w:szCs w:val="18"/>
        </w:rPr>
      </w:pPr>
      <w:r w:rsidRPr="00092B22">
        <w:rPr>
          <w:rFonts w:ascii="Meta Pro" w:eastAsia="Times New Roman" w:hAnsi="Meta Pro"/>
          <w:color w:val="000000"/>
          <w:szCs w:val="18"/>
          <w:lang w:eastAsia="en-AU"/>
        </w:rPr>
        <w:t xml:space="preserve">In July 2022 </w:t>
      </w:r>
      <w:r>
        <w:rPr>
          <w:rFonts w:ascii="Meta Pro" w:eastAsia="Times New Roman" w:hAnsi="Meta Pro"/>
          <w:color w:val="000000"/>
          <w:szCs w:val="18"/>
          <w:lang w:eastAsia="en-AU"/>
        </w:rPr>
        <w:t>s</w:t>
      </w:r>
      <w:r w:rsidRPr="00092B22">
        <w:rPr>
          <w:rFonts w:ascii="Meta Pro" w:eastAsia="Times New Roman" w:hAnsi="Meta Pro"/>
          <w:color w:val="000000"/>
          <w:szCs w:val="18"/>
          <w:lang w:eastAsia="en-AU"/>
        </w:rPr>
        <w:t xml:space="preserve">tage two of the Public Service Departmental Arrangements Notice (No.1) 2022, was signed to transfer the </w:t>
      </w:r>
      <w:r>
        <w:rPr>
          <w:rFonts w:ascii="Meta Pro" w:eastAsia="Times New Roman" w:hAnsi="Meta Pro"/>
          <w:color w:val="000000"/>
          <w:szCs w:val="18"/>
          <w:lang w:eastAsia="en-AU"/>
        </w:rPr>
        <w:t xml:space="preserve">fines and penalty debt administration </w:t>
      </w:r>
      <w:r w:rsidRPr="00092B22">
        <w:rPr>
          <w:rFonts w:ascii="Meta Pro" w:eastAsia="Times New Roman" w:hAnsi="Meta Pro"/>
          <w:color w:val="000000"/>
          <w:szCs w:val="18"/>
          <w:lang w:eastAsia="en-AU"/>
        </w:rPr>
        <w:t xml:space="preserve">functions </w:t>
      </w:r>
      <w:r>
        <w:rPr>
          <w:rFonts w:ascii="Meta Pro" w:eastAsia="Times New Roman" w:hAnsi="Meta Pro"/>
          <w:color w:val="000000"/>
          <w:szCs w:val="18"/>
          <w:lang w:eastAsia="en-AU"/>
        </w:rPr>
        <w:t xml:space="preserve">of the department </w:t>
      </w:r>
      <w:r w:rsidRPr="00092B22">
        <w:rPr>
          <w:rFonts w:ascii="Meta Pro" w:eastAsia="Times New Roman" w:hAnsi="Meta Pro"/>
          <w:color w:val="000000"/>
          <w:szCs w:val="18"/>
          <w:lang w:eastAsia="en-AU"/>
        </w:rPr>
        <w:t>associated with mobile phone and seatbelt offences to the Queensland Revenue Office within Queensland Treasury</w:t>
      </w:r>
      <w:r>
        <w:rPr>
          <w:rFonts w:ascii="Meta Pro" w:eastAsia="Times New Roman" w:hAnsi="Meta Pro"/>
          <w:color w:val="000000"/>
          <w:szCs w:val="18"/>
          <w:lang w:eastAsia="en-AU"/>
        </w:rPr>
        <w:t>,</w:t>
      </w:r>
      <w:r w:rsidRPr="00092B22">
        <w:rPr>
          <w:rFonts w:ascii="Meta Pro" w:eastAsia="Times New Roman" w:hAnsi="Meta Pro"/>
          <w:color w:val="000000"/>
          <w:szCs w:val="18"/>
          <w:lang w:eastAsia="en-AU"/>
        </w:rPr>
        <w:t xml:space="preserve"> effective from 30 November 2022. </w:t>
      </w:r>
    </w:p>
    <w:p w14:paraId="48482E68" w14:textId="77777777" w:rsidR="00874769" w:rsidRPr="00092B22" w:rsidRDefault="00874769" w:rsidP="00874769">
      <w:pPr>
        <w:spacing w:line="259" w:lineRule="auto"/>
        <w:jc w:val="both"/>
        <w:rPr>
          <w:rFonts w:ascii="Meta Pro" w:eastAsia="Times New Roman" w:hAnsi="Meta Pro"/>
          <w:b/>
          <w:bCs/>
          <w:color w:val="000000"/>
          <w:lang w:eastAsia="en-AU"/>
        </w:rPr>
      </w:pPr>
      <w:r w:rsidRPr="00092B22">
        <w:rPr>
          <w:rFonts w:ascii="Meta Pro" w:eastAsia="Times New Roman" w:hAnsi="Meta Pro"/>
          <w:b/>
          <w:bCs/>
          <w:color w:val="000000"/>
          <w:lang w:eastAsia="en-AU"/>
        </w:rPr>
        <w:t xml:space="preserve">MANAGEMENT CERTIFICATE OF THE DEPARTMENT OF TRANSPORT AND MAIN ROADS </w:t>
      </w:r>
    </w:p>
    <w:p w14:paraId="14291883" w14:textId="77777777" w:rsidR="00874769" w:rsidRPr="00092B22" w:rsidRDefault="00874769" w:rsidP="00874769">
      <w:pPr>
        <w:tabs>
          <w:tab w:val="left" w:pos="3734"/>
        </w:tabs>
        <w:spacing w:line="259" w:lineRule="auto"/>
        <w:jc w:val="both"/>
        <w:rPr>
          <w:rFonts w:ascii="Meta Pro" w:eastAsia="Times New Roman" w:hAnsi="Meta Pro"/>
          <w:b/>
          <w:bCs/>
          <w:color w:val="000000"/>
          <w:lang w:eastAsia="en-AU"/>
        </w:rPr>
      </w:pPr>
      <w:r w:rsidRPr="00092B22">
        <w:rPr>
          <w:rFonts w:ascii="Meta Pro" w:eastAsia="Times New Roman" w:hAnsi="Meta Pro"/>
          <w:b/>
          <w:bCs/>
          <w:color w:val="000000"/>
          <w:lang w:eastAsia="en-AU"/>
        </w:rPr>
        <w:t>for the year ended 30 June 2022</w:t>
      </w:r>
      <w:r>
        <w:rPr>
          <w:rFonts w:ascii="Meta Pro" w:eastAsia="Times New Roman" w:hAnsi="Meta Pro"/>
          <w:b/>
          <w:bCs/>
          <w:color w:val="000000"/>
          <w:lang w:eastAsia="en-AU"/>
        </w:rPr>
        <w:tab/>
      </w:r>
    </w:p>
    <w:p w14:paraId="15415C39" w14:textId="77777777" w:rsidR="00874769" w:rsidRPr="00092B22" w:rsidRDefault="00874769" w:rsidP="00874769">
      <w:pPr>
        <w:spacing w:after="120" w:line="259" w:lineRule="auto"/>
        <w:jc w:val="both"/>
        <w:rPr>
          <w:rFonts w:ascii="Meta Pro" w:eastAsia="Times New Roman" w:hAnsi="Meta Pro"/>
          <w:b/>
          <w:bCs/>
          <w:color w:val="000000"/>
          <w:szCs w:val="18"/>
          <w:lang w:eastAsia="en-AU"/>
        </w:rPr>
      </w:pPr>
      <w:r w:rsidRPr="00092B22">
        <w:rPr>
          <w:rFonts w:ascii="Meta Pro" w:eastAsia="Times New Roman" w:hAnsi="Meta Pro"/>
          <w:color w:val="000000"/>
          <w:szCs w:val="18"/>
          <w:lang w:eastAsia="en-AU"/>
        </w:rPr>
        <w:t xml:space="preserve">These general purpose financial statements have been prepared pursuant to section 62(1) of the </w:t>
      </w:r>
      <w:r w:rsidRPr="00092B22">
        <w:rPr>
          <w:rFonts w:ascii="Meta Pro" w:eastAsia="Times New Roman" w:hAnsi="Meta Pro"/>
          <w:i/>
          <w:iCs/>
          <w:color w:val="000000"/>
          <w:szCs w:val="18"/>
          <w:lang w:eastAsia="en-AU"/>
        </w:rPr>
        <w:t>Financial Accountability Act 2009</w:t>
      </w:r>
      <w:r w:rsidRPr="00092B22">
        <w:rPr>
          <w:rFonts w:ascii="Meta Pro" w:eastAsia="Times New Roman" w:hAnsi="Meta Pro"/>
          <w:color w:val="000000"/>
          <w:szCs w:val="18"/>
          <w:lang w:eastAsia="en-AU"/>
        </w:rPr>
        <w:t xml:space="preserve"> (the Act), section 38 of the </w:t>
      </w:r>
      <w:r w:rsidRPr="00092B22">
        <w:rPr>
          <w:rFonts w:ascii="Meta Pro" w:eastAsia="Times New Roman" w:hAnsi="Meta Pro"/>
          <w:i/>
          <w:iCs/>
          <w:color w:val="000000"/>
          <w:szCs w:val="18"/>
          <w:lang w:eastAsia="en-AU"/>
        </w:rPr>
        <w:t>Financial and Performance Management Standard 2019</w:t>
      </w:r>
      <w:r w:rsidRPr="00092B22">
        <w:rPr>
          <w:rFonts w:ascii="Meta Pro" w:eastAsia="Times New Roman" w:hAnsi="Meta Pro"/>
          <w:color w:val="000000"/>
          <w:szCs w:val="18"/>
          <w:lang w:eastAsia="en-AU"/>
        </w:rPr>
        <w:t xml:space="preserve"> and other prescribed requirements. In accordance with section 62(1)(b) of the Act we certify that in our opinion</w:t>
      </w:r>
      <w:r w:rsidRPr="00092B22">
        <w:rPr>
          <w:rFonts w:ascii="Meta Pro" w:eastAsia="Times New Roman" w:hAnsi="Meta Pro"/>
          <w:b/>
          <w:bCs/>
          <w:color w:val="000000"/>
          <w:szCs w:val="18"/>
          <w:lang w:eastAsia="en-AU"/>
        </w:rPr>
        <w:t>:</w:t>
      </w:r>
      <w:r w:rsidRPr="00092B22">
        <w:rPr>
          <w:rFonts w:ascii="Meta Pro" w:eastAsia="Times New Roman" w:hAnsi="Meta Pro"/>
          <w:b/>
          <w:bCs/>
          <w:color w:val="000000"/>
          <w:szCs w:val="18"/>
          <w:lang w:eastAsia="en-AU"/>
        </w:rPr>
        <w:tab/>
      </w:r>
    </w:p>
    <w:p w14:paraId="077BC4F0" w14:textId="77777777" w:rsidR="00874769" w:rsidRPr="00092B22" w:rsidRDefault="00874769" w:rsidP="00874769">
      <w:pPr>
        <w:spacing w:after="120" w:line="259" w:lineRule="auto"/>
        <w:ind w:left="567" w:hanging="567"/>
        <w:jc w:val="both"/>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a) </w:t>
      </w:r>
      <w:r w:rsidRPr="00092B22">
        <w:rPr>
          <w:rFonts w:ascii="Meta Pro" w:eastAsia="Times New Roman" w:hAnsi="Meta Pro"/>
          <w:color w:val="000000"/>
          <w:szCs w:val="18"/>
          <w:lang w:eastAsia="en-AU"/>
        </w:rPr>
        <w:tab/>
        <w:t>the prescribed requirements for establishing and keeping the accounts have been complied with in all material respects; and</w:t>
      </w:r>
    </w:p>
    <w:p w14:paraId="323ED094" w14:textId="77777777" w:rsidR="00874769" w:rsidRPr="00092B22" w:rsidRDefault="00874769" w:rsidP="00874769">
      <w:pPr>
        <w:spacing w:after="120" w:line="259" w:lineRule="auto"/>
        <w:ind w:left="567" w:hanging="567"/>
        <w:jc w:val="both"/>
        <w:rPr>
          <w:rFonts w:ascii="Meta Pro" w:eastAsia="Times New Roman" w:hAnsi="Meta Pro"/>
          <w:color w:val="000000"/>
          <w:szCs w:val="18"/>
          <w:lang w:eastAsia="en-AU"/>
        </w:rPr>
      </w:pPr>
      <w:r w:rsidRPr="00092B22">
        <w:rPr>
          <w:rFonts w:ascii="Meta Pro" w:eastAsia="Times New Roman" w:hAnsi="Meta Pro"/>
          <w:color w:val="000000"/>
          <w:szCs w:val="18"/>
          <w:lang w:eastAsia="en-AU"/>
        </w:rPr>
        <w:t>b)</w:t>
      </w:r>
      <w:r w:rsidRPr="00092B22">
        <w:rPr>
          <w:rFonts w:ascii="Meta Pro" w:eastAsia="Times New Roman" w:hAnsi="Meta Pro"/>
          <w:color w:val="000000"/>
          <w:szCs w:val="18"/>
          <w:lang w:eastAsia="en-AU"/>
        </w:rPr>
        <w:tab/>
        <w:t>the financial statements have been drawn up to present a true and fair view, in accordance with prescribed accounting standards, of the transactions of the Department of Transport and Main Roads for the financial year ended 30 June 2022 and of the financial position of the department at the end of that year.</w:t>
      </w:r>
    </w:p>
    <w:p w14:paraId="2ED489BF" w14:textId="77777777" w:rsidR="00874769" w:rsidRPr="00092B22" w:rsidRDefault="00874769" w:rsidP="00874769">
      <w:pPr>
        <w:spacing w:line="259" w:lineRule="auto"/>
        <w:jc w:val="both"/>
        <w:rPr>
          <w:rFonts w:ascii="Meta Pro" w:eastAsia="Times New Roman" w:hAnsi="Meta Pro"/>
          <w:color w:val="000000"/>
          <w:szCs w:val="18"/>
          <w:lang w:eastAsia="en-AU"/>
        </w:rPr>
      </w:pPr>
      <w:r w:rsidRPr="00092B22">
        <w:rPr>
          <w:rFonts w:ascii="Meta Pro" w:eastAsia="Times New Roman" w:hAnsi="Meta Pro"/>
          <w:color w:val="000000"/>
          <w:szCs w:val="18"/>
          <w:lang w:eastAsia="en-AU"/>
        </w:rPr>
        <w:t xml:space="preserve">The Director-General, as the Accountable Officer of the Department, acknowledges responsibility under sections 7 and 11 of the </w:t>
      </w:r>
      <w:r w:rsidRPr="00092B22">
        <w:rPr>
          <w:rFonts w:ascii="Meta Pro" w:eastAsia="Times New Roman" w:hAnsi="Meta Pro"/>
          <w:i/>
          <w:iCs/>
          <w:color w:val="000000"/>
          <w:szCs w:val="18"/>
          <w:lang w:eastAsia="en-AU"/>
        </w:rPr>
        <w:t xml:space="preserve">Financial and Performance Management Standard 2019 </w:t>
      </w:r>
      <w:r w:rsidRPr="00092B22">
        <w:rPr>
          <w:rFonts w:ascii="Meta Pro" w:eastAsia="Times New Roman" w:hAnsi="Meta Pro"/>
          <w:color w:val="000000"/>
          <w:szCs w:val="18"/>
          <w:lang w:eastAsia="en-AU"/>
        </w:rPr>
        <w:t>for the establishment and maintenance, in all material respects, of an appropriate and effective system of internal controls and risk management processes with respect to financial reporting throughout the reporting period.</w:t>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p>
    <w:p w14:paraId="6387CDFA" w14:textId="7EA71431" w:rsidR="00874769" w:rsidRPr="00092B22" w:rsidRDefault="00874769" w:rsidP="00874769">
      <w:pPr>
        <w:spacing w:line="259" w:lineRule="auto"/>
        <w:jc w:val="both"/>
        <w:rPr>
          <w:rFonts w:ascii="Meta Pro" w:eastAsia="Times New Roman" w:hAnsi="Meta Pro"/>
          <w:color w:val="000000"/>
          <w:szCs w:val="18"/>
          <w:lang w:eastAsia="en-AU"/>
        </w:rPr>
      </w:pP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p>
    <w:p w14:paraId="6BF5D54F" w14:textId="77777777" w:rsidR="00874769" w:rsidRPr="00092B22" w:rsidRDefault="00874769" w:rsidP="00874769">
      <w:pPr>
        <w:spacing w:line="259" w:lineRule="auto"/>
        <w:jc w:val="both"/>
        <w:rPr>
          <w:rFonts w:ascii="Meta Pro" w:eastAsia="Times New Roman" w:hAnsi="Meta Pro"/>
          <w:color w:val="000000"/>
          <w:szCs w:val="18"/>
          <w:lang w:eastAsia="en-AU"/>
        </w:rPr>
      </w:pPr>
    </w:p>
    <w:p w14:paraId="510525FE" w14:textId="77777777" w:rsidR="00874769" w:rsidRPr="00092B22" w:rsidRDefault="00874769" w:rsidP="00874769">
      <w:pPr>
        <w:spacing w:line="259" w:lineRule="auto"/>
        <w:jc w:val="both"/>
        <w:rPr>
          <w:rFonts w:ascii="Meta Pro" w:eastAsia="Times New Roman" w:hAnsi="Meta Pro"/>
          <w:b/>
          <w:bCs/>
          <w:color w:val="000000"/>
          <w:szCs w:val="18"/>
          <w:lang w:eastAsia="en-AU"/>
        </w:rPr>
      </w:pPr>
      <w:r w:rsidRPr="00092B22">
        <w:rPr>
          <w:rFonts w:ascii="Meta Pro" w:eastAsia="Times New Roman" w:hAnsi="Meta Pro"/>
          <w:b/>
          <w:bCs/>
          <w:color w:val="000000"/>
          <w:sz w:val="20"/>
          <w:szCs w:val="20"/>
          <w:lang w:eastAsia="en-AU"/>
        </w:rPr>
        <w:t>Nick Shaw FCPA</w:t>
      </w:r>
      <w:r w:rsidRPr="00092B22">
        <w:rPr>
          <w:rFonts w:ascii="Meta Pro" w:hAnsi="Meta Pro" w:cs="Courier New"/>
          <w:b/>
          <w:bCs/>
        </w:rPr>
        <w:tab/>
      </w:r>
      <w:r w:rsidRPr="00092B22">
        <w:rPr>
          <w:rFonts w:ascii="Meta Pro" w:hAnsi="Meta Pro" w:cs="Courier New"/>
          <w:b/>
          <w:bCs/>
        </w:rPr>
        <w:tab/>
      </w:r>
      <w:r w:rsidRPr="00092B22">
        <w:rPr>
          <w:rFonts w:ascii="Meta Pro" w:hAnsi="Meta Pro" w:cs="Courier New"/>
          <w:b/>
          <w:bCs/>
        </w:rPr>
        <w:tab/>
      </w:r>
      <w:r w:rsidRPr="00092B22">
        <w:rPr>
          <w:rFonts w:ascii="Meta Pro" w:hAnsi="Meta Pro" w:cs="Courier New"/>
          <w:b/>
          <w:bCs/>
        </w:rPr>
        <w:tab/>
      </w:r>
      <w:r w:rsidRPr="00092B22">
        <w:rPr>
          <w:rFonts w:ascii="Meta Pro" w:hAnsi="Meta Pro" w:cs="Courier New"/>
          <w:b/>
          <w:bCs/>
        </w:rPr>
        <w:tab/>
      </w:r>
      <w:r w:rsidRPr="00092B22">
        <w:rPr>
          <w:rFonts w:ascii="Meta Pro" w:hAnsi="Meta Pro" w:cs="Courier New"/>
          <w:b/>
          <w:bCs/>
        </w:rPr>
        <w:tab/>
      </w:r>
      <w:r w:rsidRPr="00092B22">
        <w:rPr>
          <w:rFonts w:ascii="Meta Pro" w:hAnsi="Meta Pro" w:cs="Courier New"/>
          <w:b/>
          <w:bCs/>
        </w:rPr>
        <w:tab/>
      </w:r>
      <w:r w:rsidRPr="00092B22">
        <w:rPr>
          <w:rFonts w:ascii="Meta Pro" w:eastAsia="Times New Roman" w:hAnsi="Meta Pro"/>
          <w:b/>
          <w:bCs/>
          <w:color w:val="000000"/>
          <w:sz w:val="20"/>
          <w:szCs w:val="20"/>
          <w:lang w:eastAsia="en-AU"/>
        </w:rPr>
        <w:t>Neil Scales OBE</w:t>
      </w:r>
      <w:r w:rsidRPr="00092B22">
        <w:rPr>
          <w:rFonts w:ascii="Meta Pro" w:eastAsia="Times New Roman" w:hAnsi="Meta Pro"/>
          <w:b/>
          <w:bCs/>
          <w:color w:val="000000"/>
          <w:szCs w:val="18"/>
          <w:lang w:eastAsia="en-AU"/>
        </w:rPr>
        <w:tab/>
      </w:r>
      <w:r w:rsidRPr="00092B22">
        <w:rPr>
          <w:rFonts w:ascii="Meta Pro" w:eastAsia="Times New Roman" w:hAnsi="Meta Pro"/>
          <w:b/>
          <w:bCs/>
          <w:color w:val="000000"/>
          <w:szCs w:val="18"/>
          <w:lang w:eastAsia="en-AU"/>
        </w:rPr>
        <w:tab/>
      </w:r>
    </w:p>
    <w:p w14:paraId="4D8F6980" w14:textId="77777777" w:rsidR="00874769" w:rsidRPr="00092B22" w:rsidRDefault="00874769" w:rsidP="00874769">
      <w:pPr>
        <w:spacing w:line="259" w:lineRule="auto"/>
        <w:jc w:val="both"/>
        <w:rPr>
          <w:rFonts w:ascii="Meta Pro" w:eastAsia="Times New Roman" w:hAnsi="Meta Pro"/>
          <w:b/>
          <w:bCs/>
          <w:color w:val="000000"/>
          <w:szCs w:val="18"/>
          <w:lang w:eastAsia="en-AU"/>
        </w:rPr>
      </w:pPr>
      <w:r w:rsidRPr="00092B22">
        <w:rPr>
          <w:rFonts w:ascii="Meta Pro" w:eastAsia="Times New Roman" w:hAnsi="Meta Pro"/>
          <w:color w:val="000000"/>
          <w:szCs w:val="18"/>
          <w:lang w:eastAsia="en-AU"/>
        </w:rPr>
        <w:t>Chief Finance Officer</w:t>
      </w:r>
      <w:r w:rsidRPr="00092B22">
        <w:rPr>
          <w:rFonts w:ascii="Meta Pro" w:hAnsi="Meta Pro" w:cs="Courier New"/>
        </w:rPr>
        <w:tab/>
      </w:r>
      <w:r w:rsidRPr="00092B22">
        <w:rPr>
          <w:rFonts w:ascii="Meta Pro" w:hAnsi="Meta Pro" w:cs="Courier New"/>
        </w:rPr>
        <w:tab/>
      </w:r>
      <w:r w:rsidRPr="00092B22">
        <w:rPr>
          <w:rFonts w:ascii="Meta Pro" w:hAnsi="Meta Pro" w:cs="Courier New"/>
        </w:rPr>
        <w:tab/>
      </w:r>
      <w:r w:rsidRPr="00092B22">
        <w:rPr>
          <w:rFonts w:ascii="Meta Pro" w:hAnsi="Meta Pro" w:cs="Courier New"/>
        </w:rPr>
        <w:tab/>
      </w:r>
      <w:r w:rsidRPr="00092B22">
        <w:rPr>
          <w:rFonts w:ascii="Meta Pro" w:hAnsi="Meta Pro" w:cs="Courier New"/>
        </w:rPr>
        <w:tab/>
      </w:r>
      <w:r w:rsidRPr="00092B22">
        <w:rPr>
          <w:rFonts w:ascii="Meta Pro" w:hAnsi="Meta Pro" w:cs="Courier New"/>
        </w:rPr>
        <w:tab/>
      </w:r>
      <w:r w:rsidRPr="00092B22">
        <w:rPr>
          <w:rFonts w:ascii="Meta Pro" w:hAnsi="Meta Pro" w:cs="Courier New"/>
        </w:rPr>
        <w:tab/>
      </w:r>
      <w:r w:rsidRPr="00092B22">
        <w:rPr>
          <w:rFonts w:ascii="Meta Pro" w:eastAsia="Times New Roman" w:hAnsi="Meta Pro"/>
          <w:color w:val="000000"/>
          <w:szCs w:val="18"/>
          <w:lang w:eastAsia="en-AU"/>
        </w:rPr>
        <w:t>Director-General</w:t>
      </w:r>
      <w:r w:rsidRPr="00092B22">
        <w:rPr>
          <w:rFonts w:ascii="Meta Pro" w:hAnsi="Meta Pro" w:cs="Courier New"/>
        </w:rPr>
        <w:tab/>
      </w:r>
      <w:r w:rsidRPr="00092B22">
        <w:rPr>
          <w:rFonts w:ascii="Meta Pro" w:eastAsia="Times New Roman" w:hAnsi="Meta Pro"/>
          <w:b/>
          <w:bCs/>
          <w:color w:val="000000"/>
          <w:szCs w:val="18"/>
          <w:lang w:eastAsia="en-AU"/>
        </w:rPr>
        <w:tab/>
      </w:r>
      <w:r w:rsidRPr="00092B22">
        <w:rPr>
          <w:rFonts w:ascii="Meta Pro" w:eastAsia="Times New Roman" w:hAnsi="Meta Pro"/>
          <w:b/>
          <w:bCs/>
          <w:color w:val="000000"/>
          <w:szCs w:val="18"/>
          <w:lang w:eastAsia="en-AU"/>
        </w:rPr>
        <w:tab/>
      </w:r>
    </w:p>
    <w:p w14:paraId="11CF2061" w14:textId="77777777" w:rsidR="00874769" w:rsidRPr="00092B22" w:rsidRDefault="00874769" w:rsidP="00874769">
      <w:pPr>
        <w:spacing w:before="120" w:line="259" w:lineRule="auto"/>
        <w:jc w:val="both"/>
        <w:rPr>
          <w:rFonts w:ascii="Meta Pro" w:eastAsia="Times New Roman" w:hAnsi="Meta Pro"/>
          <w:b/>
          <w:bCs/>
          <w:color w:val="000000"/>
          <w:szCs w:val="18"/>
          <w:lang w:eastAsia="en-AU"/>
        </w:rPr>
      </w:pPr>
      <w:r w:rsidRPr="00092B22">
        <w:rPr>
          <w:rFonts w:ascii="Meta Pro" w:eastAsia="Times New Roman" w:hAnsi="Meta Pro"/>
          <w:color w:val="000000"/>
          <w:szCs w:val="18"/>
          <w:lang w:eastAsia="en-AU"/>
        </w:rPr>
        <w:t>23 August 2022</w:t>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r>
      <w:r w:rsidRPr="00092B22">
        <w:rPr>
          <w:rFonts w:ascii="Meta Pro" w:eastAsia="Times New Roman" w:hAnsi="Meta Pro"/>
          <w:color w:val="000000"/>
          <w:szCs w:val="18"/>
          <w:lang w:eastAsia="en-AU"/>
        </w:rPr>
        <w:tab/>
        <w:t>23 August 2022</w:t>
      </w:r>
      <w:r w:rsidRPr="00092B22">
        <w:rPr>
          <w:rFonts w:ascii="Meta Pro" w:hAnsi="Meta Pro" w:cs="Courier New"/>
        </w:rPr>
        <w:tab/>
      </w:r>
      <w:r w:rsidRPr="00092B22">
        <w:rPr>
          <w:rFonts w:ascii="Meta Pro" w:eastAsia="Times New Roman" w:hAnsi="Meta Pro"/>
          <w:b/>
          <w:bCs/>
          <w:color w:val="000000"/>
          <w:szCs w:val="18"/>
          <w:lang w:eastAsia="en-AU"/>
        </w:rPr>
        <w:tab/>
      </w:r>
      <w:r w:rsidRPr="00092B22">
        <w:rPr>
          <w:rFonts w:ascii="Meta Pro" w:eastAsia="Times New Roman" w:hAnsi="Meta Pro"/>
          <w:b/>
          <w:bCs/>
          <w:color w:val="000000"/>
          <w:szCs w:val="18"/>
          <w:lang w:eastAsia="en-AU"/>
        </w:rPr>
        <w:tab/>
      </w:r>
      <w:r w:rsidRPr="00092B22">
        <w:rPr>
          <w:rFonts w:ascii="Meta Pro" w:eastAsia="Times New Roman" w:hAnsi="Meta Pro"/>
          <w:b/>
          <w:bCs/>
          <w:color w:val="000000"/>
          <w:szCs w:val="18"/>
          <w:lang w:eastAsia="en-AU"/>
        </w:rPr>
        <w:tab/>
      </w:r>
      <w:r w:rsidRPr="00092B22">
        <w:rPr>
          <w:rFonts w:ascii="Meta Pro" w:eastAsia="Times New Roman" w:hAnsi="Meta Pro"/>
          <w:b/>
          <w:bCs/>
          <w:color w:val="000000"/>
          <w:szCs w:val="18"/>
          <w:lang w:eastAsia="en-AU"/>
        </w:rPr>
        <w:tab/>
      </w:r>
      <w:r w:rsidRPr="00092B22">
        <w:rPr>
          <w:rFonts w:ascii="Meta Pro" w:eastAsia="Times New Roman" w:hAnsi="Meta Pro"/>
          <w:b/>
          <w:bCs/>
          <w:color w:val="000000"/>
          <w:szCs w:val="18"/>
          <w:lang w:eastAsia="en-AU"/>
        </w:rPr>
        <w:tab/>
      </w:r>
    </w:p>
    <w:p w14:paraId="0B81A713" w14:textId="77777777" w:rsidR="00C23E7C" w:rsidRDefault="00C23E7C" w:rsidP="002C6053">
      <w:pPr>
        <w:pStyle w:val="Heading1"/>
      </w:pPr>
    </w:p>
    <w:p w14:paraId="4E888F9A" w14:textId="73B7DAF3" w:rsidR="00C23E7C" w:rsidRDefault="00C23E7C">
      <w:pPr>
        <w:spacing w:before="0" w:after="160" w:line="259" w:lineRule="auto"/>
        <w:rPr>
          <w:rFonts w:eastAsiaTheme="majorEastAsia" w:cstheme="majorBidi"/>
          <w:b/>
          <w:color w:val="auto"/>
          <w:sz w:val="52"/>
          <w:szCs w:val="32"/>
        </w:rPr>
      </w:pPr>
      <w:r>
        <w:br w:type="page"/>
      </w:r>
    </w:p>
    <w:p w14:paraId="7DA100C3" w14:textId="08A08B7F" w:rsidR="006800C7" w:rsidRPr="002C6053" w:rsidRDefault="006800C7" w:rsidP="002C6053">
      <w:pPr>
        <w:pStyle w:val="Heading1"/>
      </w:pPr>
      <w:r w:rsidRPr="002C6053">
        <w:lastRenderedPageBreak/>
        <w:t xml:space="preserve">Appendices </w:t>
      </w:r>
    </w:p>
    <w:p w14:paraId="24A74662" w14:textId="77777777" w:rsidR="006800C7" w:rsidRDefault="006800C7" w:rsidP="006800C7">
      <w:pPr>
        <w:pStyle w:val="Heading2"/>
      </w:pPr>
      <w:r>
        <w:t>Appendix 1 – Legislation administered by the department</w:t>
      </w:r>
    </w:p>
    <w:p w14:paraId="4043D5B9" w14:textId="77777777" w:rsidR="006800C7" w:rsidRDefault="006800C7" w:rsidP="006800C7">
      <w:pPr>
        <w:rPr>
          <w:rStyle w:val="Strong"/>
        </w:rPr>
      </w:pPr>
      <w:r>
        <w:t>The Department of Transport and Main Roads administers a range of Acts for transport-related purposes listed below:</w:t>
      </w:r>
    </w:p>
    <w:p w14:paraId="056AF5EC" w14:textId="77777777" w:rsidR="006800C7" w:rsidRDefault="006800C7" w:rsidP="006800C7">
      <w:pPr>
        <w:pStyle w:val="Heading4"/>
      </w:pPr>
      <w:r>
        <w:t>Minister for Transport and Main Roads</w:t>
      </w:r>
    </w:p>
    <w:p w14:paraId="697DDFD5" w14:textId="2945E238" w:rsidR="002F4A9C" w:rsidRPr="00EE1CCA" w:rsidRDefault="002F4A9C" w:rsidP="00EE1CCA">
      <w:pPr>
        <w:pStyle w:val="ListBullet"/>
        <w:rPr>
          <w:rStyle w:val="Emphasis"/>
        </w:rPr>
      </w:pPr>
      <w:r w:rsidRPr="00EE1CCA">
        <w:rPr>
          <w:rStyle w:val="Emphasis"/>
        </w:rPr>
        <w:t>Air Navigation Act 1937</w:t>
      </w:r>
    </w:p>
    <w:p w14:paraId="1D00DC9A" w14:textId="352B2698" w:rsidR="002F4A9C" w:rsidRPr="00EE1CCA" w:rsidRDefault="002F4A9C" w:rsidP="00EE1CCA">
      <w:pPr>
        <w:pStyle w:val="ListBullet"/>
        <w:rPr>
          <w:rStyle w:val="Emphasis"/>
        </w:rPr>
      </w:pPr>
      <w:r w:rsidRPr="00EE1CCA">
        <w:rPr>
          <w:rStyle w:val="Emphasis"/>
        </w:rPr>
        <w:t>Century Zinc Project Act 1997 (sections 5(2) to (7), 11, 12 and 13)</w:t>
      </w:r>
    </w:p>
    <w:p w14:paraId="451BBAD7" w14:textId="33C1708A" w:rsidR="002F4A9C" w:rsidRPr="00EE1CCA" w:rsidRDefault="002F4A9C" w:rsidP="00EE1CCA">
      <w:pPr>
        <w:pStyle w:val="ListBullet"/>
        <w:rPr>
          <w:rStyle w:val="Emphasis"/>
        </w:rPr>
      </w:pPr>
      <w:r w:rsidRPr="00EE1CCA">
        <w:rPr>
          <w:rStyle w:val="Emphasis"/>
        </w:rPr>
        <w:t>Civil Aviation (Carriers’ Liability) Act 1964</w:t>
      </w:r>
    </w:p>
    <w:p w14:paraId="53DB9B1A" w14:textId="6EF60B6D" w:rsidR="002F4A9C" w:rsidRPr="00EE1CCA" w:rsidRDefault="002F4A9C" w:rsidP="00EE1CCA">
      <w:pPr>
        <w:pStyle w:val="ListBullet"/>
        <w:rPr>
          <w:rStyle w:val="Emphasis"/>
        </w:rPr>
      </w:pPr>
      <w:r w:rsidRPr="00EE1CCA">
        <w:rPr>
          <w:rStyle w:val="Emphasis"/>
        </w:rPr>
        <w:t>Cross River Rail Delivery Authority Act 2016</w:t>
      </w:r>
    </w:p>
    <w:p w14:paraId="2ADA1BD9" w14:textId="468EB2F3" w:rsidR="002F4A9C" w:rsidRPr="00EE1CCA" w:rsidRDefault="002F4A9C" w:rsidP="00EE1CCA">
      <w:pPr>
        <w:pStyle w:val="ListBullet"/>
        <w:rPr>
          <w:rStyle w:val="Emphasis"/>
        </w:rPr>
      </w:pPr>
      <w:r w:rsidRPr="00EE1CCA">
        <w:rPr>
          <w:rStyle w:val="Emphasis"/>
        </w:rPr>
        <w:t>Gold Coast Waterways Authority Act 2012</w:t>
      </w:r>
    </w:p>
    <w:p w14:paraId="0C6B20C9" w14:textId="57AB5BC7" w:rsidR="002F4A9C" w:rsidRPr="00EE1CCA" w:rsidRDefault="002F4A9C" w:rsidP="00EE1CCA">
      <w:pPr>
        <w:pStyle w:val="ListBullet"/>
        <w:rPr>
          <w:rStyle w:val="Emphasis"/>
        </w:rPr>
      </w:pPr>
      <w:r w:rsidRPr="00EE1CCA">
        <w:rPr>
          <w:rStyle w:val="Emphasis"/>
        </w:rPr>
        <w:t>Heavy Vehicle National Law Act 2012</w:t>
      </w:r>
    </w:p>
    <w:p w14:paraId="04D58767" w14:textId="0F54B0AD" w:rsidR="002F4A9C" w:rsidRPr="00EE1CCA" w:rsidRDefault="002F4A9C" w:rsidP="00EE1CCA">
      <w:pPr>
        <w:pStyle w:val="ListBullet"/>
        <w:rPr>
          <w:rStyle w:val="Emphasis"/>
        </w:rPr>
      </w:pPr>
      <w:r w:rsidRPr="00EE1CCA">
        <w:rPr>
          <w:rStyle w:val="Emphasis"/>
        </w:rPr>
        <w:t>Maritime Safety Queensland Act 2002</w:t>
      </w:r>
    </w:p>
    <w:p w14:paraId="0EB83FBB" w14:textId="16073288" w:rsidR="002F4A9C" w:rsidRPr="00EE1CCA" w:rsidRDefault="002F4A9C" w:rsidP="00EE1CCA">
      <w:pPr>
        <w:pStyle w:val="ListBullet"/>
        <w:rPr>
          <w:rStyle w:val="Emphasis"/>
        </w:rPr>
      </w:pPr>
      <w:r w:rsidRPr="00EE1CCA">
        <w:rPr>
          <w:rStyle w:val="Emphasis"/>
        </w:rPr>
        <w:t>Photo Identification Card Act 2008</w:t>
      </w:r>
    </w:p>
    <w:p w14:paraId="4D719D15" w14:textId="48AFB64A" w:rsidR="002F4A9C" w:rsidRPr="00EE1CCA" w:rsidRDefault="002F4A9C" w:rsidP="00EE1CCA">
      <w:pPr>
        <w:pStyle w:val="ListBullet"/>
        <w:rPr>
          <w:rStyle w:val="Emphasis"/>
        </w:rPr>
      </w:pPr>
      <w:r w:rsidRPr="00EE1CCA">
        <w:rPr>
          <w:rStyle w:val="Emphasis"/>
        </w:rPr>
        <w:t>Queensland Rail Transit Authority Act 2013</w:t>
      </w:r>
    </w:p>
    <w:p w14:paraId="1AA418A8" w14:textId="1835C535" w:rsidR="002F4A9C" w:rsidRPr="00EE1CCA" w:rsidRDefault="002F4A9C" w:rsidP="00EE1CCA">
      <w:pPr>
        <w:pStyle w:val="ListBullet"/>
        <w:rPr>
          <w:rStyle w:val="Emphasis"/>
        </w:rPr>
      </w:pPr>
      <w:r w:rsidRPr="00EE1CCA">
        <w:rPr>
          <w:rStyle w:val="Emphasis"/>
        </w:rPr>
        <w:t>Rail Safety National Law (Queensland) Act 2017</w:t>
      </w:r>
    </w:p>
    <w:p w14:paraId="24529955" w14:textId="31A9189B" w:rsidR="002F4A9C" w:rsidRPr="00EE1CCA" w:rsidRDefault="002F4A9C" w:rsidP="00EE1CCA">
      <w:pPr>
        <w:pStyle w:val="ListBullet"/>
        <w:rPr>
          <w:rStyle w:val="Emphasis"/>
        </w:rPr>
      </w:pPr>
      <w:r w:rsidRPr="00EE1CCA">
        <w:rPr>
          <w:rStyle w:val="Emphasis"/>
        </w:rPr>
        <w:t>State Transport Act 1938</w:t>
      </w:r>
    </w:p>
    <w:p w14:paraId="0FD1237B" w14:textId="57004AD2" w:rsidR="002F4A9C" w:rsidRPr="00EE1CCA" w:rsidRDefault="002F4A9C" w:rsidP="00EE1CCA">
      <w:pPr>
        <w:pStyle w:val="ListBullet"/>
        <w:rPr>
          <w:rStyle w:val="Emphasis"/>
        </w:rPr>
      </w:pPr>
      <w:r w:rsidRPr="00EE1CCA">
        <w:rPr>
          <w:rStyle w:val="Emphasis"/>
        </w:rPr>
        <w:t>State Transport (People Movers) Act 1989</w:t>
      </w:r>
    </w:p>
    <w:p w14:paraId="654AD1BD" w14:textId="4A9E02E0" w:rsidR="002F4A9C" w:rsidRPr="00EE1CCA" w:rsidRDefault="002F4A9C" w:rsidP="00EE1CCA">
      <w:pPr>
        <w:pStyle w:val="ListBullet"/>
        <w:rPr>
          <w:rStyle w:val="Emphasis"/>
        </w:rPr>
      </w:pPr>
      <w:r w:rsidRPr="00EE1CCA">
        <w:rPr>
          <w:rStyle w:val="Emphasis"/>
        </w:rPr>
        <w:t>Sustainable Ports Development Act 2015</w:t>
      </w:r>
    </w:p>
    <w:p w14:paraId="025D3860" w14:textId="1A719FC0" w:rsidR="002F4A9C" w:rsidRPr="00EE1CCA" w:rsidRDefault="002F4A9C" w:rsidP="00EE1CCA">
      <w:pPr>
        <w:pStyle w:val="ListBullet"/>
        <w:rPr>
          <w:rStyle w:val="Emphasis"/>
        </w:rPr>
      </w:pPr>
      <w:r w:rsidRPr="00EE1CCA">
        <w:rPr>
          <w:rStyle w:val="Emphasis"/>
        </w:rPr>
        <w:t>Thiess Peabody Mitsui Coal Pty Ltd Agreements Act 1965*</w:t>
      </w:r>
    </w:p>
    <w:p w14:paraId="4D485FE4" w14:textId="69111F17" w:rsidR="002F4A9C" w:rsidRPr="00EE1CCA" w:rsidRDefault="002F4A9C" w:rsidP="00EE1CCA">
      <w:pPr>
        <w:pStyle w:val="ListBullet"/>
        <w:rPr>
          <w:rStyle w:val="Emphasis"/>
        </w:rPr>
      </w:pPr>
      <w:r w:rsidRPr="00EE1CCA">
        <w:rPr>
          <w:rStyle w:val="Emphasis"/>
        </w:rPr>
        <w:t>Tow Truck Act 1973</w:t>
      </w:r>
    </w:p>
    <w:p w14:paraId="6C937D54" w14:textId="50D1EE61" w:rsidR="002F4A9C" w:rsidRPr="00EE1CCA" w:rsidRDefault="00EE1CCA" w:rsidP="00EE1CCA">
      <w:pPr>
        <w:pStyle w:val="ListBullet"/>
        <w:rPr>
          <w:rStyle w:val="Emphasis"/>
        </w:rPr>
      </w:pPr>
      <w:r w:rsidRPr="00EE1CCA">
        <w:rPr>
          <w:rStyle w:val="Emphasis"/>
        </w:rPr>
        <w:t>T</w:t>
      </w:r>
      <w:r w:rsidR="002F4A9C" w:rsidRPr="00EE1CCA">
        <w:rPr>
          <w:rStyle w:val="Emphasis"/>
        </w:rPr>
        <w:t>ransport Infrastructure Act 1994</w:t>
      </w:r>
    </w:p>
    <w:p w14:paraId="713BE5A4" w14:textId="028F9DA9" w:rsidR="002F4A9C" w:rsidRPr="00EE1CCA" w:rsidRDefault="00EE1CCA" w:rsidP="00EE1CCA">
      <w:pPr>
        <w:pStyle w:val="ListBullet"/>
        <w:rPr>
          <w:rStyle w:val="Emphasis"/>
        </w:rPr>
      </w:pPr>
      <w:r w:rsidRPr="00EE1CCA">
        <w:rPr>
          <w:rStyle w:val="Emphasis"/>
        </w:rPr>
        <w:t>Tr</w:t>
      </w:r>
      <w:r w:rsidR="002F4A9C" w:rsidRPr="00EE1CCA">
        <w:rPr>
          <w:rStyle w:val="Emphasis"/>
        </w:rPr>
        <w:t>ansport Operations (Marine Pollution) Act 1995</w:t>
      </w:r>
    </w:p>
    <w:p w14:paraId="21E5B499" w14:textId="64B7E51F" w:rsidR="002F4A9C" w:rsidRPr="00EE1CCA" w:rsidRDefault="002F4A9C" w:rsidP="00EE1CCA">
      <w:pPr>
        <w:pStyle w:val="ListBullet"/>
        <w:rPr>
          <w:rStyle w:val="Emphasis"/>
        </w:rPr>
      </w:pPr>
      <w:r w:rsidRPr="00EE1CCA">
        <w:rPr>
          <w:rStyle w:val="Emphasis"/>
        </w:rPr>
        <w:t>Transport Operations (Marine Safety) Act 1994</w:t>
      </w:r>
    </w:p>
    <w:p w14:paraId="044E1A57" w14:textId="49C16D5C" w:rsidR="002F4A9C" w:rsidRPr="00EE1CCA" w:rsidRDefault="002F4A9C" w:rsidP="00EE1CCA">
      <w:pPr>
        <w:pStyle w:val="ListBullet"/>
        <w:rPr>
          <w:rStyle w:val="Emphasis"/>
        </w:rPr>
      </w:pPr>
      <w:r w:rsidRPr="00EE1CCA">
        <w:rPr>
          <w:rStyle w:val="Emphasis"/>
        </w:rPr>
        <w:t>Transport Operations (Marine Safety – Domestic Commercial Vessel National Law Application) Act 2016</w:t>
      </w:r>
    </w:p>
    <w:p w14:paraId="43553D65" w14:textId="6F50DEE6" w:rsidR="002F4A9C" w:rsidRPr="00EE1CCA" w:rsidRDefault="002F4A9C" w:rsidP="00EE1CCA">
      <w:pPr>
        <w:pStyle w:val="ListBullet"/>
        <w:rPr>
          <w:rStyle w:val="Emphasis"/>
        </w:rPr>
      </w:pPr>
      <w:r w:rsidRPr="00EE1CCA">
        <w:rPr>
          <w:rStyle w:val="Emphasis"/>
        </w:rPr>
        <w:t>Transport Operations (Passenger Transport) Act 1994</w:t>
      </w:r>
    </w:p>
    <w:p w14:paraId="3821119A" w14:textId="43794D05" w:rsidR="002F4A9C" w:rsidRPr="00EE1CCA" w:rsidRDefault="002F4A9C" w:rsidP="00EE1CCA">
      <w:pPr>
        <w:pStyle w:val="ListBullet"/>
        <w:rPr>
          <w:rStyle w:val="Emphasis"/>
        </w:rPr>
      </w:pPr>
      <w:r w:rsidRPr="00EE1CCA">
        <w:rPr>
          <w:rStyle w:val="Emphasis"/>
        </w:rPr>
        <w:t>Transport Operations (Road Use Management) Act 1995</w:t>
      </w:r>
    </w:p>
    <w:p w14:paraId="67AD067A" w14:textId="6E33B097" w:rsidR="002F4A9C" w:rsidRPr="00EE1CCA" w:rsidRDefault="002F4A9C" w:rsidP="00EE1CCA">
      <w:pPr>
        <w:pStyle w:val="ListBullet"/>
        <w:rPr>
          <w:rStyle w:val="Emphasis"/>
        </w:rPr>
      </w:pPr>
      <w:r w:rsidRPr="00EE1CCA">
        <w:rPr>
          <w:rStyle w:val="Emphasis"/>
        </w:rPr>
        <w:t>Transport Planning and Coordination Act 1994</w:t>
      </w:r>
    </w:p>
    <w:p w14:paraId="73DE65BC" w14:textId="3DC83C83" w:rsidR="002F4A9C" w:rsidRPr="00EE1CCA" w:rsidRDefault="002F4A9C" w:rsidP="00EE1CCA">
      <w:pPr>
        <w:pStyle w:val="ListBullet"/>
        <w:rPr>
          <w:rStyle w:val="Emphasis"/>
        </w:rPr>
      </w:pPr>
      <w:r w:rsidRPr="00EE1CCA">
        <w:rPr>
          <w:rStyle w:val="Emphasis"/>
        </w:rPr>
        <w:t>Transport (South Bank Corporation Area Land) Act 1999</w:t>
      </w:r>
    </w:p>
    <w:p w14:paraId="632E7ABF" w14:textId="6405293E" w:rsidR="002F4A9C" w:rsidRPr="00EE1CCA" w:rsidRDefault="002F4A9C" w:rsidP="00EE1CCA">
      <w:pPr>
        <w:pStyle w:val="ListBullet"/>
        <w:rPr>
          <w:rStyle w:val="Emphasis"/>
        </w:rPr>
      </w:pPr>
      <w:r w:rsidRPr="00EE1CCA">
        <w:rPr>
          <w:rStyle w:val="Emphasis"/>
        </w:rPr>
        <w:t>Transport Security (Counter-Terrorism) Act 2008</w:t>
      </w:r>
    </w:p>
    <w:p w14:paraId="5C5FC14E" w14:textId="77777777" w:rsidR="006800C7" w:rsidRDefault="006800C7" w:rsidP="006800C7">
      <w:pPr>
        <w:rPr>
          <w:rStyle w:val="Emphasis"/>
        </w:rPr>
      </w:pPr>
      <w:r>
        <w:rPr>
          <w:rStyle w:val="Emphasis"/>
        </w:rPr>
        <w:t>*Except to the extent administered by the Treasurer and Minister for Investment and the Minister for Resources.</w:t>
      </w:r>
    </w:p>
    <w:p w14:paraId="6087A646" w14:textId="77777777" w:rsidR="006800C7" w:rsidRDefault="006800C7" w:rsidP="006800C7">
      <w:pPr>
        <w:spacing w:before="0" w:after="160" w:line="259" w:lineRule="auto"/>
        <w:rPr>
          <w:rStyle w:val="Emphasis"/>
        </w:rPr>
      </w:pPr>
      <w:r>
        <w:rPr>
          <w:rStyle w:val="Emphasis"/>
        </w:rPr>
        <w:br w:type="page"/>
      </w:r>
    </w:p>
    <w:p w14:paraId="4F02BC92" w14:textId="77777777" w:rsidR="006800C7" w:rsidRPr="00964EAF" w:rsidRDefault="006800C7" w:rsidP="006800C7">
      <w:pPr>
        <w:pStyle w:val="Heading2"/>
      </w:pPr>
      <w:r w:rsidRPr="00964EAF">
        <w:lastRenderedPageBreak/>
        <w:t xml:space="preserve">Appendix 2 </w:t>
      </w:r>
      <w:r>
        <w:t>–</w:t>
      </w:r>
      <w:r w:rsidRPr="00964EAF">
        <w:t xml:space="preserve"> Associated authorities</w:t>
      </w:r>
    </w:p>
    <w:p w14:paraId="4B2F60CA" w14:textId="509E6E2B" w:rsidR="00BD389B" w:rsidRPr="00964EAF" w:rsidRDefault="00BD389B" w:rsidP="006800C7">
      <w:r w:rsidRPr="00BD389B">
        <w:t>TMR works collaboratively with three statutory authorities, four government-owned corporations (GOC) and one publicly owned private (Pty Ltd) company. TMR provides strategic advice to the Minister for the Ports and Gold Coast Waterways Authority.</w:t>
      </w:r>
    </w:p>
    <w:p w14:paraId="71F1E50B" w14:textId="77777777" w:rsidR="006800C7" w:rsidRPr="00964EAF" w:rsidRDefault="006800C7" w:rsidP="006800C7">
      <w:pPr>
        <w:pStyle w:val="Heading4"/>
      </w:pPr>
      <w:r w:rsidRPr="00964EAF">
        <w:t xml:space="preserve">Statutory authorities </w:t>
      </w:r>
    </w:p>
    <w:p w14:paraId="67ECCD02" w14:textId="77777777" w:rsidR="006800C7" w:rsidRPr="00964EAF" w:rsidRDefault="006800C7" w:rsidP="006800C7">
      <w:pPr>
        <w:pStyle w:val="ListBullet"/>
        <w:numPr>
          <w:ilvl w:val="0"/>
          <w:numId w:val="12"/>
        </w:numPr>
        <w:tabs>
          <w:tab w:val="left" w:pos="284"/>
        </w:tabs>
        <w:spacing w:before="120" w:after="0" w:line="260" w:lineRule="exact"/>
        <w:ind w:left="288" w:hanging="288"/>
      </w:pPr>
      <w:r w:rsidRPr="00964EAF">
        <w:t>Gold Coast Waterways Authority</w:t>
      </w:r>
    </w:p>
    <w:p w14:paraId="0281A2DE" w14:textId="68F53889" w:rsidR="006800C7" w:rsidRDefault="006800C7" w:rsidP="006800C7">
      <w:pPr>
        <w:pStyle w:val="ListBullet"/>
        <w:numPr>
          <w:ilvl w:val="0"/>
          <w:numId w:val="12"/>
        </w:numPr>
        <w:tabs>
          <w:tab w:val="left" w:pos="284"/>
        </w:tabs>
        <w:spacing w:before="120" w:after="0" w:line="260" w:lineRule="exact"/>
        <w:ind w:left="288" w:hanging="288"/>
      </w:pPr>
      <w:r w:rsidRPr="00964EAF">
        <w:t xml:space="preserve">Queensland Rail </w:t>
      </w:r>
    </w:p>
    <w:p w14:paraId="2286D64F" w14:textId="45BB083B" w:rsidR="00BD389B" w:rsidRPr="00964EAF" w:rsidRDefault="00BD389B" w:rsidP="006800C7">
      <w:pPr>
        <w:pStyle w:val="ListBullet"/>
        <w:numPr>
          <w:ilvl w:val="0"/>
          <w:numId w:val="12"/>
        </w:numPr>
        <w:tabs>
          <w:tab w:val="left" w:pos="284"/>
        </w:tabs>
        <w:spacing w:before="120" w:after="0" w:line="260" w:lineRule="exact"/>
        <w:ind w:left="288" w:hanging="288"/>
      </w:pPr>
      <w:r>
        <w:t xml:space="preserve">Cross River Rail Delivery </w:t>
      </w:r>
      <w:r w:rsidR="0033335E">
        <w:t>Authority</w:t>
      </w:r>
      <w:r>
        <w:t xml:space="preserve"> </w:t>
      </w:r>
    </w:p>
    <w:p w14:paraId="4251C9A8" w14:textId="77777777" w:rsidR="006800C7" w:rsidRPr="00964EAF" w:rsidRDefault="006800C7" w:rsidP="006800C7">
      <w:pPr>
        <w:pStyle w:val="Heading4"/>
      </w:pPr>
      <w:r w:rsidRPr="00964EAF">
        <w:t xml:space="preserve">Government-owned corporations </w:t>
      </w:r>
    </w:p>
    <w:p w14:paraId="56B215E9" w14:textId="77777777" w:rsidR="006800C7" w:rsidRPr="00964EAF" w:rsidRDefault="006800C7" w:rsidP="006800C7">
      <w:pPr>
        <w:pStyle w:val="ListBullet"/>
        <w:numPr>
          <w:ilvl w:val="0"/>
          <w:numId w:val="12"/>
        </w:numPr>
        <w:tabs>
          <w:tab w:val="left" w:pos="284"/>
        </w:tabs>
        <w:spacing w:before="120" w:after="0" w:line="260" w:lineRule="exact"/>
        <w:ind w:left="288" w:hanging="288"/>
      </w:pPr>
      <w:r w:rsidRPr="00964EAF">
        <w:t>Far North Queensland Ports Corporation Limited (Ports North) *</w:t>
      </w:r>
    </w:p>
    <w:p w14:paraId="08FF815C" w14:textId="77777777" w:rsidR="006800C7" w:rsidRPr="00964EAF" w:rsidRDefault="006800C7" w:rsidP="006800C7">
      <w:pPr>
        <w:pStyle w:val="ListBullet"/>
        <w:numPr>
          <w:ilvl w:val="0"/>
          <w:numId w:val="12"/>
        </w:numPr>
        <w:tabs>
          <w:tab w:val="left" w:pos="284"/>
        </w:tabs>
        <w:spacing w:before="120" w:after="0" w:line="260" w:lineRule="exact"/>
        <w:ind w:left="288" w:hanging="288"/>
      </w:pPr>
      <w:r w:rsidRPr="00964EAF">
        <w:t>Gladstone Ports Corporation (GPC)*</w:t>
      </w:r>
    </w:p>
    <w:p w14:paraId="4D12679C" w14:textId="77777777" w:rsidR="006800C7" w:rsidRPr="00964EAF" w:rsidRDefault="006800C7" w:rsidP="006800C7">
      <w:pPr>
        <w:pStyle w:val="ListBullet"/>
        <w:numPr>
          <w:ilvl w:val="0"/>
          <w:numId w:val="12"/>
        </w:numPr>
        <w:tabs>
          <w:tab w:val="left" w:pos="284"/>
        </w:tabs>
        <w:spacing w:before="120" w:after="0" w:line="260" w:lineRule="exact"/>
        <w:ind w:left="288" w:hanging="288"/>
      </w:pPr>
      <w:r w:rsidRPr="00964EAF">
        <w:t>North Queensland bulk Ports Corporation (NQBP)*</w:t>
      </w:r>
    </w:p>
    <w:p w14:paraId="561DA68F" w14:textId="77777777" w:rsidR="006800C7" w:rsidRDefault="006800C7" w:rsidP="006800C7">
      <w:pPr>
        <w:pStyle w:val="ListBullet"/>
        <w:numPr>
          <w:ilvl w:val="0"/>
          <w:numId w:val="12"/>
        </w:numPr>
        <w:tabs>
          <w:tab w:val="left" w:pos="284"/>
        </w:tabs>
        <w:spacing w:before="120" w:after="0" w:line="260" w:lineRule="exact"/>
        <w:ind w:left="288" w:hanging="288"/>
      </w:pPr>
      <w:r w:rsidRPr="00964EAF">
        <w:t>Port of Townsville Limited (POTL)*.</w:t>
      </w:r>
    </w:p>
    <w:p w14:paraId="4A8BA273" w14:textId="77777777" w:rsidR="006800C7" w:rsidRPr="00126779" w:rsidRDefault="006800C7" w:rsidP="006800C7">
      <w:pPr>
        <w:pStyle w:val="Subtitle"/>
      </w:pPr>
      <w:r w:rsidRPr="00126779">
        <w:t>*</w:t>
      </w:r>
      <w:r>
        <w:t>Government-owned corporation with shareholding Ministerial obligations.</w:t>
      </w:r>
    </w:p>
    <w:p w14:paraId="69E40232" w14:textId="77777777" w:rsidR="006800C7" w:rsidRPr="00964EAF" w:rsidRDefault="006800C7" w:rsidP="006800C7">
      <w:pPr>
        <w:pStyle w:val="Heading4"/>
      </w:pPr>
      <w:r w:rsidRPr="00964EAF">
        <w:t>Publicly-owned private company</w:t>
      </w:r>
    </w:p>
    <w:p w14:paraId="6B3531FF" w14:textId="77777777" w:rsidR="006800C7" w:rsidRPr="00964EAF" w:rsidRDefault="006800C7" w:rsidP="006800C7">
      <w:pPr>
        <w:pStyle w:val="ListBullet"/>
        <w:numPr>
          <w:ilvl w:val="0"/>
          <w:numId w:val="12"/>
        </w:numPr>
        <w:tabs>
          <w:tab w:val="left" w:pos="284"/>
        </w:tabs>
        <w:spacing w:before="120" w:after="0" w:line="260" w:lineRule="exact"/>
        <w:ind w:left="288" w:hanging="288"/>
      </w:pPr>
      <w:r w:rsidRPr="00964EAF">
        <w:t>Transmax P</w:t>
      </w:r>
      <w:r>
        <w:t>ty Ltd</w:t>
      </w:r>
      <w:r w:rsidRPr="00964EAF">
        <w:t>**</w:t>
      </w:r>
    </w:p>
    <w:p w14:paraId="72CBEACF" w14:textId="77777777" w:rsidR="006800C7" w:rsidRPr="00964EAF" w:rsidRDefault="006800C7" w:rsidP="006800C7">
      <w:pPr>
        <w:pStyle w:val="Subtitle"/>
      </w:pPr>
      <w:r w:rsidRPr="00964EAF">
        <w:t xml:space="preserve">**Director-General of the Department of Transport and </w:t>
      </w:r>
      <w:r>
        <w:t>M</w:t>
      </w:r>
      <w:r w:rsidRPr="00964EAF">
        <w:t>ain Roads is the company's sole shareholder.</w:t>
      </w:r>
    </w:p>
    <w:p w14:paraId="13FC0C0D" w14:textId="77777777" w:rsidR="006800C7" w:rsidRPr="00964EAF" w:rsidRDefault="006800C7" w:rsidP="006800C7">
      <w:pPr>
        <w:pStyle w:val="Heading4"/>
      </w:pPr>
      <w:r w:rsidRPr="00964EAF">
        <w:t>Gold Coast Waterways Authority</w:t>
      </w:r>
    </w:p>
    <w:p w14:paraId="4F88C10B" w14:textId="67079417" w:rsidR="00B8174C" w:rsidRPr="00964EAF" w:rsidRDefault="00B8174C" w:rsidP="006800C7">
      <w:r w:rsidRPr="00B8174C">
        <w:t xml:space="preserve">The Gold Coast Waterways Authority was established to strategically plan for, facilitate and manage the development and use of the Gold Coast waterways. The authority manages the waterways south of the Logan River to the New South Wales border. The Gold Coast Waterways Authority operates in accordance with the </w:t>
      </w:r>
      <w:r w:rsidRPr="00B8174C">
        <w:rPr>
          <w:rStyle w:val="Emphasis"/>
        </w:rPr>
        <w:t>Gold Coast Waterways Authority Act 2012</w:t>
      </w:r>
      <w:r w:rsidRPr="00B8174C">
        <w:t>.</w:t>
      </w:r>
    </w:p>
    <w:p w14:paraId="5616ECD6" w14:textId="77777777" w:rsidR="006800C7" w:rsidRPr="00964EAF" w:rsidRDefault="006800C7" w:rsidP="006800C7">
      <w:pPr>
        <w:pStyle w:val="MoreInformation"/>
        <w:rPr>
          <w:rStyle w:val="Hyperlink"/>
        </w:rPr>
      </w:pPr>
      <w:r w:rsidRPr="00964EAF">
        <w:t>For more information</w:t>
      </w:r>
      <w:r w:rsidRPr="00964EAF">
        <w:br/>
      </w:r>
      <w:hyperlink r:id="rId143" w:history="1">
        <w:r w:rsidRPr="00964EAF">
          <w:rPr>
            <w:rStyle w:val="Hyperlink"/>
          </w:rPr>
          <w:t>www.gcwa.qld.gov.au/about/our-publications</w:t>
        </w:r>
      </w:hyperlink>
      <w:r w:rsidRPr="00964EAF">
        <w:rPr>
          <w:rStyle w:val="Hyperlink"/>
        </w:rPr>
        <w:t xml:space="preserve"> </w:t>
      </w:r>
    </w:p>
    <w:p w14:paraId="4888AF13" w14:textId="77777777" w:rsidR="006800C7" w:rsidRPr="00964EAF" w:rsidRDefault="006800C7" w:rsidP="006800C7">
      <w:pPr>
        <w:pStyle w:val="Heading4"/>
      </w:pPr>
      <w:r w:rsidRPr="00964EAF">
        <w:t>Queensland Rail</w:t>
      </w:r>
    </w:p>
    <w:p w14:paraId="63EC7E90" w14:textId="77777777" w:rsidR="00CE4C4E" w:rsidRDefault="00CE4C4E" w:rsidP="00CE4C4E">
      <w:r>
        <w:t xml:space="preserve">Queensland Rail is a statutory authority and operates in accordance with the </w:t>
      </w:r>
      <w:r w:rsidRPr="00CE4C4E">
        <w:rPr>
          <w:rStyle w:val="Emphasis"/>
        </w:rPr>
        <w:t>Queensland Rail Transit Authority Act 2013</w:t>
      </w:r>
      <w:r>
        <w:t>. It is responsible for the operation of passenger rail services and ensuring that supporting rail infrastructure remains safe, reliable and at a fit-for-purpose standard.</w:t>
      </w:r>
    </w:p>
    <w:p w14:paraId="2E5A47B1" w14:textId="02C03E6C" w:rsidR="00CE4C4E" w:rsidRPr="00964EAF" w:rsidRDefault="00CE4C4E" w:rsidP="00CE4C4E">
      <w:r>
        <w:t>The Rail Transport Service Contract between TMR and Queensland Rail governs the funding arrangements for new rail infrastructure, maintenance of the existing rail network and the provision of both South East Queensland and regional long- distance passenger rail services.</w:t>
      </w:r>
    </w:p>
    <w:p w14:paraId="69633DC9" w14:textId="77777777" w:rsidR="006800C7" w:rsidRPr="00964EAF" w:rsidRDefault="006800C7" w:rsidP="006800C7">
      <w:pPr>
        <w:pStyle w:val="MoreInformation"/>
        <w:rPr>
          <w:rStyle w:val="Hyperlink"/>
        </w:rPr>
      </w:pPr>
      <w:r w:rsidRPr="00964EAF">
        <w:t>For more information</w:t>
      </w:r>
      <w:r w:rsidRPr="00964EAF">
        <w:br/>
      </w:r>
      <w:hyperlink r:id="rId144" w:history="1">
        <w:r w:rsidRPr="00964EAF">
          <w:rPr>
            <w:rStyle w:val="Hyperlink"/>
          </w:rPr>
          <w:t>www.queenslandrail.com.au/aboutus/governance/annualreports</w:t>
        </w:r>
      </w:hyperlink>
      <w:r w:rsidRPr="00964EAF">
        <w:rPr>
          <w:rStyle w:val="Hyperlink"/>
        </w:rPr>
        <w:t xml:space="preserve">  </w:t>
      </w:r>
    </w:p>
    <w:p w14:paraId="1F46333F" w14:textId="77777777" w:rsidR="006800C7" w:rsidRPr="00964EAF" w:rsidRDefault="006800C7" w:rsidP="006800C7">
      <w:pPr>
        <w:pStyle w:val="Heading4"/>
      </w:pPr>
      <w:r w:rsidRPr="00964EAF">
        <w:t>Transmax</w:t>
      </w:r>
    </w:p>
    <w:p w14:paraId="2CF165F7" w14:textId="291A1461" w:rsidR="00105B7D" w:rsidRPr="00964EAF" w:rsidRDefault="00105B7D" w:rsidP="006800C7">
      <w:r w:rsidRPr="00105B7D">
        <w:t>Transmax Pty Ltd is an unlisted Australian company incorporated in 2002. Transmax is wholly owned by TMR and is governed by a board that includes independent directors.</w:t>
      </w:r>
    </w:p>
    <w:p w14:paraId="29D8853E" w14:textId="77777777" w:rsidR="006800C7" w:rsidRPr="00964EAF" w:rsidRDefault="006800C7" w:rsidP="006800C7">
      <w:pPr>
        <w:pStyle w:val="MoreInformation"/>
        <w:rPr>
          <w:rStyle w:val="Hyperlink"/>
        </w:rPr>
      </w:pPr>
      <w:r w:rsidRPr="00964EAF">
        <w:lastRenderedPageBreak/>
        <w:t>For more information</w:t>
      </w:r>
      <w:r w:rsidRPr="00964EAF">
        <w:br/>
      </w:r>
      <w:hyperlink r:id="rId145" w:history="1">
        <w:r w:rsidRPr="00964EAF">
          <w:rPr>
            <w:rStyle w:val="Hyperlink"/>
          </w:rPr>
          <w:t>www.transmax.com.au/who-we-are/media/</w:t>
        </w:r>
      </w:hyperlink>
      <w:r w:rsidRPr="00964EAF">
        <w:rPr>
          <w:rStyle w:val="Hyperlink"/>
        </w:rPr>
        <w:t xml:space="preserve">   </w:t>
      </w:r>
    </w:p>
    <w:p w14:paraId="727C73F0" w14:textId="77777777" w:rsidR="006800C7" w:rsidRPr="00964EAF" w:rsidRDefault="006800C7" w:rsidP="006800C7">
      <w:pPr>
        <w:pStyle w:val="Heading4"/>
      </w:pPr>
      <w:r>
        <w:t xml:space="preserve">Cross River Rail Delivery Authority </w:t>
      </w:r>
    </w:p>
    <w:p w14:paraId="0FA5C9CD" w14:textId="6CCFC03C" w:rsidR="00752706" w:rsidRDefault="00752706" w:rsidP="006800C7">
      <w:r w:rsidRPr="00752706">
        <w:t>The Cross River Rail Delivery Authority was created to plan, carry out, promote and coordinate activities to facilitate economic development, and development for community purposes, in a cross river rail priority development area, and to facilitate the efficient delivery of the cross river rail project and transport-related projects</w:t>
      </w:r>
      <w:r w:rsidRPr="00752706">
        <w:rPr>
          <w:rStyle w:val="Emphasis"/>
        </w:rPr>
        <w:t>. The Cross River Rail Delivery Authority Act 2016</w:t>
      </w:r>
      <w:r w:rsidRPr="00752706">
        <w:t xml:space="preserve"> has been administered by TMR’s Director-General since 12 November 2020 as Chair of the Cross River Rail Delivery Board.</w:t>
      </w:r>
    </w:p>
    <w:p w14:paraId="4E5B800C" w14:textId="77777777" w:rsidR="006800C7" w:rsidRPr="00980814" w:rsidRDefault="006800C7" w:rsidP="006800C7">
      <w:pPr>
        <w:pStyle w:val="MoreInformation"/>
        <w:rPr>
          <w:rStyle w:val="Hyperlink"/>
        </w:rPr>
      </w:pPr>
      <w:r w:rsidRPr="00980814">
        <w:t>For more information</w:t>
      </w:r>
      <w:r w:rsidRPr="00980814">
        <w:br/>
      </w:r>
      <w:hyperlink r:id="rId146" w:history="1">
        <w:r w:rsidRPr="000C0E32">
          <w:rPr>
            <w:rStyle w:val="Hyperlink"/>
          </w:rPr>
          <w:t>https://crossriverrail.qld.gov.au</w:t>
        </w:r>
      </w:hyperlink>
      <w:r>
        <w:rPr>
          <w:rStyle w:val="Hyperlink"/>
        </w:rPr>
        <w:t xml:space="preserve"> </w:t>
      </w:r>
      <w:r w:rsidRPr="00980814">
        <w:rPr>
          <w:rStyle w:val="Hyperlink"/>
        </w:rPr>
        <w:t xml:space="preserve">   </w:t>
      </w:r>
    </w:p>
    <w:p w14:paraId="274C1A70" w14:textId="77777777" w:rsidR="006800C7" w:rsidRPr="00964EAF" w:rsidRDefault="006800C7" w:rsidP="006800C7">
      <w:pPr>
        <w:pStyle w:val="Heading4"/>
      </w:pPr>
      <w:r w:rsidRPr="00964EAF">
        <w:t>Shareholding ministers</w:t>
      </w:r>
    </w:p>
    <w:p w14:paraId="5D1DD078" w14:textId="49F83CB9" w:rsidR="000F73B3" w:rsidRDefault="000F73B3" w:rsidP="006800C7">
      <w:r w:rsidRPr="000F73B3">
        <w:t xml:space="preserve">The listed ports are GOCs governed under the </w:t>
      </w:r>
      <w:r w:rsidRPr="000F73B3">
        <w:rPr>
          <w:rStyle w:val="Emphasis"/>
        </w:rPr>
        <w:t>Government Owned Corporations Act 1993</w:t>
      </w:r>
      <w:r w:rsidRPr="000F73B3">
        <w:t>. Each GOC must fulfil its obligations and keep the shareholding minister(s) reasonably informed of the operations, financial performance, financial position, and governance of the company and its subsidiaries. The companies must report in a timely manner on all issues likely to have a significant financial or operating impact. Each must also develop a Corporate Plan, Statement of Corporate Intent and table an annual performance report each year which are available on their website.</w:t>
      </w:r>
    </w:p>
    <w:p w14:paraId="46B04115" w14:textId="77777777" w:rsidR="006800C7" w:rsidRDefault="006800C7" w:rsidP="006800C7">
      <w:pPr>
        <w:spacing w:before="0" w:after="160" w:line="259" w:lineRule="auto"/>
      </w:pPr>
      <w:r>
        <w:br w:type="page"/>
      </w:r>
    </w:p>
    <w:p w14:paraId="72BDA2C2" w14:textId="33F57776" w:rsidR="006800C7" w:rsidRPr="00250825" w:rsidRDefault="006800C7" w:rsidP="006800C7">
      <w:pPr>
        <w:pStyle w:val="Heading2"/>
      </w:pPr>
      <w:r w:rsidRPr="00CB0715">
        <w:lastRenderedPageBreak/>
        <w:t xml:space="preserve">Appendix </w:t>
      </w:r>
      <w:r>
        <w:t>3</w:t>
      </w:r>
      <w:r w:rsidRPr="00CB0715">
        <w:t xml:space="preserve"> – </w:t>
      </w:r>
      <w:r>
        <w:t>Performance Statements 202</w:t>
      </w:r>
      <w:r w:rsidR="00577854">
        <w:t>1</w:t>
      </w:r>
      <w:r>
        <w:t>–2</w:t>
      </w:r>
      <w:r w:rsidR="00577854">
        <w:t>2</w:t>
      </w:r>
    </w:p>
    <w:p w14:paraId="7019EE66" w14:textId="77777777" w:rsidR="006800C7" w:rsidRPr="00250825" w:rsidRDefault="006800C7" w:rsidP="006800C7">
      <w:pPr>
        <w:pStyle w:val="Heading3"/>
      </w:pPr>
      <w:r w:rsidRPr="00250825">
        <w:t xml:space="preserve">Service area: Transport System Investment Planning and Programming </w:t>
      </w:r>
    </w:p>
    <w:p w14:paraId="2DDBBE0F" w14:textId="77777777" w:rsidR="006800C7" w:rsidRPr="00A20257" w:rsidRDefault="006800C7" w:rsidP="006800C7">
      <w:pPr>
        <w:pStyle w:val="Heading4"/>
      </w:pPr>
      <w:r w:rsidRPr="00A20257">
        <w:t>Service area objective</w:t>
      </w:r>
    </w:p>
    <w:p w14:paraId="62171ACA" w14:textId="77777777" w:rsidR="006800C7" w:rsidRPr="00BF548F" w:rsidRDefault="006800C7" w:rsidP="006800C7">
      <w:r w:rsidRPr="00BF548F">
        <w:t>To provide policy, planning and investment frameworks to deliver an integrated transport network accessible to everyone</w:t>
      </w:r>
      <w:r>
        <w:t>.</w:t>
      </w:r>
    </w:p>
    <w:tbl>
      <w:tblPr>
        <w:tblStyle w:val="TableGrid"/>
        <w:tblW w:w="9912" w:type="dxa"/>
        <w:tblLayout w:type="fixed"/>
        <w:tblLook w:val="04A0" w:firstRow="1" w:lastRow="0" w:firstColumn="1" w:lastColumn="0" w:noHBand="0" w:noVBand="1"/>
      </w:tblPr>
      <w:tblGrid>
        <w:gridCol w:w="6658"/>
        <w:gridCol w:w="1559"/>
        <w:gridCol w:w="1695"/>
      </w:tblGrid>
      <w:tr w:rsidR="006800C7" w:rsidRPr="003C6130" w14:paraId="735925F8" w14:textId="77777777" w:rsidTr="00F31956">
        <w:tc>
          <w:tcPr>
            <w:tcW w:w="6658" w:type="dxa"/>
          </w:tcPr>
          <w:p w14:paraId="2B6BB351" w14:textId="77777777" w:rsidR="006800C7" w:rsidRPr="002E53BF" w:rsidRDefault="006800C7" w:rsidP="00F31956">
            <w:pPr>
              <w:pStyle w:val="BodyText"/>
            </w:pPr>
            <w:r w:rsidRPr="005D5ADF">
              <w:t>Service standards</w:t>
            </w:r>
          </w:p>
        </w:tc>
        <w:tc>
          <w:tcPr>
            <w:tcW w:w="1559" w:type="dxa"/>
          </w:tcPr>
          <w:p w14:paraId="5DCAEE89" w14:textId="77777777" w:rsidR="006800C7" w:rsidRPr="002E53BF" w:rsidRDefault="006800C7" w:rsidP="00F31956">
            <w:pPr>
              <w:pStyle w:val="BodyText"/>
            </w:pPr>
            <w:r w:rsidRPr="005D5ADF">
              <w:t>2020–21 Target /</w:t>
            </w:r>
            <w:r>
              <w:t xml:space="preserve"> </w:t>
            </w:r>
            <w:r w:rsidRPr="005D5ADF">
              <w:t>Estimate</w:t>
            </w:r>
          </w:p>
        </w:tc>
        <w:tc>
          <w:tcPr>
            <w:tcW w:w="1695" w:type="dxa"/>
          </w:tcPr>
          <w:p w14:paraId="4D2DDBE1" w14:textId="77777777" w:rsidR="006800C7" w:rsidRPr="002E53BF" w:rsidRDefault="006800C7" w:rsidP="00F31956">
            <w:pPr>
              <w:pStyle w:val="BodyText"/>
            </w:pPr>
            <w:r w:rsidRPr="005D5ADF">
              <w:t>2020–21 Actual</w:t>
            </w:r>
          </w:p>
        </w:tc>
      </w:tr>
      <w:tr w:rsidR="006800C7" w:rsidRPr="003C6130" w14:paraId="1E7CD9E1" w14:textId="77777777" w:rsidTr="00F31956">
        <w:tc>
          <w:tcPr>
            <w:tcW w:w="6658" w:type="dxa"/>
            <w:vAlign w:val="bottom"/>
          </w:tcPr>
          <w:p w14:paraId="3E129620" w14:textId="77777777" w:rsidR="006800C7" w:rsidRPr="002E53BF" w:rsidRDefault="006800C7" w:rsidP="00F31956">
            <w:pPr>
              <w:pStyle w:val="BodyText"/>
            </w:pPr>
            <w:r w:rsidRPr="005D5ADF">
              <w:t>Road system condition (the percentage of urban and rural State-controlled roads with condition better than the specified benchmark):</w:t>
            </w:r>
          </w:p>
        </w:tc>
        <w:tc>
          <w:tcPr>
            <w:tcW w:w="1559" w:type="dxa"/>
            <w:vAlign w:val="bottom"/>
          </w:tcPr>
          <w:p w14:paraId="6A162D5A" w14:textId="77777777" w:rsidR="006800C7" w:rsidRPr="005D5ADF" w:rsidRDefault="006800C7" w:rsidP="00F31956">
            <w:pPr>
              <w:pStyle w:val="BodyText"/>
            </w:pPr>
          </w:p>
        </w:tc>
        <w:tc>
          <w:tcPr>
            <w:tcW w:w="1695" w:type="dxa"/>
            <w:vAlign w:val="bottom"/>
          </w:tcPr>
          <w:p w14:paraId="6FD6CCD4" w14:textId="77777777" w:rsidR="006800C7" w:rsidRPr="005D5ADF" w:rsidRDefault="006800C7" w:rsidP="00F31956">
            <w:pPr>
              <w:pStyle w:val="BodyText"/>
            </w:pPr>
          </w:p>
        </w:tc>
      </w:tr>
      <w:tr w:rsidR="003438C8" w:rsidRPr="003C6130" w14:paraId="3F9F9375" w14:textId="77777777" w:rsidTr="005E3D38">
        <w:tc>
          <w:tcPr>
            <w:tcW w:w="6658" w:type="dxa"/>
            <w:vAlign w:val="bottom"/>
          </w:tcPr>
          <w:p w14:paraId="36BF3FC4" w14:textId="77777777" w:rsidR="003438C8" w:rsidRPr="002E53BF" w:rsidRDefault="003438C8" w:rsidP="003438C8">
            <w:pPr>
              <w:pStyle w:val="BodyText"/>
            </w:pPr>
            <w:r w:rsidRPr="005D5ADF">
              <w:t>Urban</w:t>
            </w:r>
          </w:p>
        </w:tc>
        <w:tc>
          <w:tcPr>
            <w:tcW w:w="1559" w:type="dxa"/>
          </w:tcPr>
          <w:p w14:paraId="61FE106D" w14:textId="6ABCA9B4" w:rsidR="003438C8" w:rsidRPr="002E53BF" w:rsidRDefault="003438C8" w:rsidP="003438C8">
            <w:pPr>
              <w:pStyle w:val="BodyText"/>
            </w:pPr>
            <w:r>
              <w:rPr>
                <w:color w:val="58595B"/>
                <w:spacing w:val="-2"/>
                <w:w w:val="105"/>
              </w:rPr>
              <w:t>97–99%</w:t>
            </w:r>
          </w:p>
        </w:tc>
        <w:tc>
          <w:tcPr>
            <w:tcW w:w="1695" w:type="dxa"/>
          </w:tcPr>
          <w:p w14:paraId="6AC917B6" w14:textId="1894EC33" w:rsidR="003438C8" w:rsidRPr="002E53BF" w:rsidRDefault="003438C8" w:rsidP="003438C8">
            <w:pPr>
              <w:pStyle w:val="BodyText"/>
            </w:pPr>
            <w:r>
              <w:rPr>
                <w:color w:val="58595B"/>
                <w:spacing w:val="-2"/>
              </w:rPr>
              <w:t>98.66%</w:t>
            </w:r>
          </w:p>
        </w:tc>
      </w:tr>
      <w:tr w:rsidR="003438C8" w:rsidRPr="003C6130" w14:paraId="0B2BFDCA" w14:textId="77777777" w:rsidTr="005E3D38">
        <w:tc>
          <w:tcPr>
            <w:tcW w:w="6658" w:type="dxa"/>
            <w:vAlign w:val="bottom"/>
          </w:tcPr>
          <w:p w14:paraId="67E8D089" w14:textId="77777777" w:rsidR="003438C8" w:rsidRPr="002E53BF" w:rsidRDefault="003438C8" w:rsidP="003438C8">
            <w:pPr>
              <w:pStyle w:val="BodyText"/>
            </w:pPr>
            <w:r w:rsidRPr="005D5ADF">
              <w:t>Rural</w:t>
            </w:r>
          </w:p>
        </w:tc>
        <w:tc>
          <w:tcPr>
            <w:tcW w:w="1559" w:type="dxa"/>
          </w:tcPr>
          <w:p w14:paraId="6994FA39" w14:textId="4A9E910B" w:rsidR="003438C8" w:rsidRPr="002E53BF" w:rsidRDefault="003438C8" w:rsidP="003438C8">
            <w:pPr>
              <w:pStyle w:val="BodyText"/>
            </w:pPr>
            <w:r>
              <w:rPr>
                <w:color w:val="58595B"/>
                <w:spacing w:val="-2"/>
                <w:w w:val="105"/>
              </w:rPr>
              <w:t>95–97%</w:t>
            </w:r>
          </w:p>
        </w:tc>
        <w:tc>
          <w:tcPr>
            <w:tcW w:w="1695" w:type="dxa"/>
          </w:tcPr>
          <w:p w14:paraId="13505079" w14:textId="6C0608DA" w:rsidR="003438C8" w:rsidRPr="002E53BF" w:rsidRDefault="003438C8" w:rsidP="003438C8">
            <w:pPr>
              <w:pStyle w:val="BodyText"/>
            </w:pPr>
            <w:r>
              <w:rPr>
                <w:color w:val="58595B"/>
                <w:spacing w:val="-2"/>
                <w:w w:val="105"/>
              </w:rPr>
              <w:t>96.46%</w:t>
            </w:r>
          </w:p>
        </w:tc>
      </w:tr>
      <w:tr w:rsidR="003438C8" w:rsidRPr="003C6130" w14:paraId="200BB23F" w14:textId="77777777" w:rsidTr="005E3D38">
        <w:tc>
          <w:tcPr>
            <w:tcW w:w="6658" w:type="dxa"/>
            <w:vAlign w:val="bottom"/>
          </w:tcPr>
          <w:p w14:paraId="31B3DAF7" w14:textId="77777777" w:rsidR="003438C8" w:rsidRPr="002E53BF" w:rsidRDefault="003438C8" w:rsidP="003438C8">
            <w:pPr>
              <w:pStyle w:val="BodyText"/>
            </w:pPr>
            <w:r w:rsidRPr="005D5ADF">
              <w:t xml:space="preserve">Road ride </w:t>
            </w:r>
            <w:r w:rsidRPr="002E53BF">
              <w:t>quality – Traffic weighted roughness (percentage of the network in very poor/poor condition)</w:t>
            </w:r>
          </w:p>
        </w:tc>
        <w:tc>
          <w:tcPr>
            <w:tcW w:w="1559" w:type="dxa"/>
          </w:tcPr>
          <w:p w14:paraId="5BE4127E" w14:textId="7DBF6CF9" w:rsidR="003438C8" w:rsidRPr="002E53BF" w:rsidRDefault="003438C8" w:rsidP="003438C8">
            <w:pPr>
              <w:pStyle w:val="BodyText"/>
            </w:pPr>
            <w:r>
              <w:rPr>
                <w:color w:val="58595B"/>
                <w:spacing w:val="-2"/>
                <w:w w:val="110"/>
              </w:rPr>
              <w:t>11.0–12.0%</w:t>
            </w:r>
          </w:p>
        </w:tc>
        <w:tc>
          <w:tcPr>
            <w:tcW w:w="1695" w:type="dxa"/>
          </w:tcPr>
          <w:p w14:paraId="57A640AB" w14:textId="18408B1B" w:rsidR="003438C8" w:rsidRPr="002E53BF" w:rsidRDefault="003438C8" w:rsidP="003438C8">
            <w:pPr>
              <w:pStyle w:val="BodyText"/>
            </w:pPr>
            <w:r>
              <w:rPr>
                <w:color w:val="58595B"/>
                <w:spacing w:val="-2"/>
                <w:w w:val="110"/>
              </w:rPr>
              <w:t>10.74%</w:t>
            </w:r>
          </w:p>
        </w:tc>
      </w:tr>
      <w:tr w:rsidR="00D93ECF" w:rsidRPr="003C6130" w14:paraId="20C83345" w14:textId="77777777" w:rsidTr="000B198B">
        <w:tc>
          <w:tcPr>
            <w:tcW w:w="6658" w:type="dxa"/>
            <w:vAlign w:val="bottom"/>
          </w:tcPr>
          <w:p w14:paraId="7BC1D15B" w14:textId="77777777" w:rsidR="00D93ECF" w:rsidRPr="002E53BF" w:rsidRDefault="00D93ECF" w:rsidP="00D93ECF">
            <w:pPr>
              <w:pStyle w:val="BodyText"/>
            </w:pPr>
            <w:r w:rsidRPr="005D5ADF">
              <w:t>Administrative cost to plan, develop and manage the QTRIP as a percentage of the overall value of the program1</w:t>
            </w:r>
          </w:p>
        </w:tc>
        <w:tc>
          <w:tcPr>
            <w:tcW w:w="1559" w:type="dxa"/>
          </w:tcPr>
          <w:p w14:paraId="55899248" w14:textId="5D9C8BFC" w:rsidR="00D93ECF" w:rsidRPr="002E53BF" w:rsidRDefault="00D93ECF" w:rsidP="00D93ECF">
            <w:pPr>
              <w:pStyle w:val="BodyText"/>
            </w:pPr>
            <w:r>
              <w:rPr>
                <w:color w:val="58595B"/>
                <w:spacing w:val="-4"/>
                <w:w w:val="110"/>
              </w:rPr>
              <w:t>1.0%</w:t>
            </w:r>
          </w:p>
        </w:tc>
        <w:tc>
          <w:tcPr>
            <w:tcW w:w="1695" w:type="dxa"/>
          </w:tcPr>
          <w:p w14:paraId="19BDC8AC" w14:textId="4C0EFD31" w:rsidR="00D93ECF" w:rsidRPr="002E53BF" w:rsidRDefault="00D93ECF" w:rsidP="00D93ECF">
            <w:pPr>
              <w:pStyle w:val="BodyText"/>
            </w:pPr>
            <w:r>
              <w:rPr>
                <w:color w:val="58595B"/>
                <w:spacing w:val="-2"/>
              </w:rPr>
              <w:t>0.26%</w:t>
            </w:r>
          </w:p>
        </w:tc>
      </w:tr>
    </w:tbl>
    <w:p w14:paraId="786378B2" w14:textId="1D56C037" w:rsidR="0005031A" w:rsidRPr="0005031A" w:rsidRDefault="006800C7" w:rsidP="0005031A">
      <w:pPr>
        <w:pStyle w:val="Subtitle"/>
      </w:pPr>
      <w:r w:rsidRPr="00B51743">
        <w:t>Notes</w:t>
      </w:r>
      <w:r w:rsidR="0005031A">
        <w:br/>
      </w:r>
      <w:r w:rsidR="0005031A" w:rsidRPr="0005031A">
        <w:t>1 The favourable variance between the 2021–22 Actual and 2021–22 Target / Estimate was achieved by managing QTRIP administration costs through efficiencies and savings.</w:t>
      </w:r>
    </w:p>
    <w:p w14:paraId="543C743E" w14:textId="77777777" w:rsidR="006800C7" w:rsidRPr="00EF4363" w:rsidRDefault="006800C7" w:rsidP="006800C7">
      <w:pPr>
        <w:pStyle w:val="Heading3"/>
      </w:pPr>
      <w:r w:rsidRPr="00EF4363">
        <w:t xml:space="preserve">Service area: Transport Infrastructure Management and Delivery </w:t>
      </w:r>
    </w:p>
    <w:p w14:paraId="2E4458D9" w14:textId="77777777" w:rsidR="006800C7" w:rsidRPr="00EF4363" w:rsidRDefault="006800C7" w:rsidP="006800C7">
      <w:pPr>
        <w:pStyle w:val="Heading4"/>
      </w:pPr>
      <w:r w:rsidRPr="00EF4363">
        <w:t>Service area objective</w:t>
      </w:r>
    </w:p>
    <w:p w14:paraId="0F114D02" w14:textId="77777777" w:rsidR="006800C7" w:rsidRPr="00EF4363" w:rsidRDefault="006800C7" w:rsidP="006800C7">
      <w:r w:rsidRPr="00EF4363">
        <w:t>To construct, maintain and operate an integrated transport network accessible to all</w:t>
      </w:r>
      <w:r>
        <w:t>.</w:t>
      </w:r>
    </w:p>
    <w:tbl>
      <w:tblPr>
        <w:tblStyle w:val="TableGrid"/>
        <w:tblW w:w="9912" w:type="dxa"/>
        <w:tblLayout w:type="fixed"/>
        <w:tblLook w:val="04A0" w:firstRow="1" w:lastRow="0" w:firstColumn="1" w:lastColumn="0" w:noHBand="0" w:noVBand="1"/>
      </w:tblPr>
      <w:tblGrid>
        <w:gridCol w:w="6658"/>
        <w:gridCol w:w="1559"/>
        <w:gridCol w:w="1695"/>
      </w:tblGrid>
      <w:tr w:rsidR="006800C7" w:rsidRPr="003C6130" w14:paraId="5BCEBE98" w14:textId="77777777" w:rsidTr="00F31956">
        <w:tc>
          <w:tcPr>
            <w:tcW w:w="6658" w:type="dxa"/>
          </w:tcPr>
          <w:p w14:paraId="25C406D7" w14:textId="77777777" w:rsidR="006800C7" w:rsidRPr="002E53BF" w:rsidRDefault="006800C7" w:rsidP="00F31956">
            <w:pPr>
              <w:pStyle w:val="BodyText"/>
            </w:pPr>
            <w:r w:rsidRPr="000E7AEB">
              <w:t>Service standards</w:t>
            </w:r>
          </w:p>
        </w:tc>
        <w:tc>
          <w:tcPr>
            <w:tcW w:w="1559" w:type="dxa"/>
          </w:tcPr>
          <w:p w14:paraId="6C473A06" w14:textId="77777777" w:rsidR="006800C7" w:rsidRPr="002E53BF" w:rsidRDefault="006800C7" w:rsidP="00F31956">
            <w:pPr>
              <w:pStyle w:val="BodyText"/>
            </w:pPr>
            <w:r w:rsidRPr="000E7AEB">
              <w:t>2020–21 Target /</w:t>
            </w:r>
            <w:r>
              <w:t xml:space="preserve"> </w:t>
            </w:r>
            <w:r w:rsidRPr="000E7AEB">
              <w:t>Estimate</w:t>
            </w:r>
          </w:p>
        </w:tc>
        <w:tc>
          <w:tcPr>
            <w:tcW w:w="1695" w:type="dxa"/>
          </w:tcPr>
          <w:p w14:paraId="0389E2CF" w14:textId="77777777" w:rsidR="006800C7" w:rsidRPr="002E53BF" w:rsidRDefault="006800C7" w:rsidP="00F31956">
            <w:pPr>
              <w:pStyle w:val="BodyText"/>
            </w:pPr>
            <w:r w:rsidRPr="000E7AEB">
              <w:t>2020–21 Actual</w:t>
            </w:r>
          </w:p>
        </w:tc>
      </w:tr>
      <w:tr w:rsidR="006800C7" w:rsidRPr="003C6130" w14:paraId="3B1DD502" w14:textId="77777777" w:rsidTr="00F31956">
        <w:tc>
          <w:tcPr>
            <w:tcW w:w="9912" w:type="dxa"/>
            <w:gridSpan w:val="3"/>
            <w:vAlign w:val="center"/>
          </w:tcPr>
          <w:p w14:paraId="2572AB2E" w14:textId="77777777" w:rsidR="006800C7" w:rsidRPr="002E53BF" w:rsidRDefault="006800C7" w:rsidP="00F31956">
            <w:pPr>
              <w:pStyle w:val="BodyText"/>
            </w:pPr>
            <w:r w:rsidRPr="000E7AEB">
              <w:t>Service: Transport Infrastructure Management</w:t>
            </w:r>
          </w:p>
        </w:tc>
      </w:tr>
      <w:tr w:rsidR="006800C7" w:rsidRPr="003C6130" w14:paraId="245A18C0" w14:textId="77777777" w:rsidTr="00F31956">
        <w:tc>
          <w:tcPr>
            <w:tcW w:w="6658" w:type="dxa"/>
            <w:vAlign w:val="bottom"/>
          </w:tcPr>
          <w:p w14:paraId="02818AA4" w14:textId="77777777" w:rsidR="006800C7" w:rsidRPr="002E53BF" w:rsidRDefault="006800C7" w:rsidP="00F31956">
            <w:pPr>
              <w:pStyle w:val="BodyText"/>
            </w:pPr>
            <w:r w:rsidRPr="000E7AEB">
              <w:t xml:space="preserve">SEQ road </w:t>
            </w:r>
            <w:r w:rsidRPr="002E53BF">
              <w:t>network efficiency – Average travel time per 10km:</w:t>
            </w:r>
          </w:p>
        </w:tc>
        <w:tc>
          <w:tcPr>
            <w:tcW w:w="1559" w:type="dxa"/>
            <w:vAlign w:val="bottom"/>
          </w:tcPr>
          <w:p w14:paraId="3EB0720C" w14:textId="77777777" w:rsidR="006800C7" w:rsidRPr="000E7AEB" w:rsidRDefault="006800C7" w:rsidP="00F31956">
            <w:pPr>
              <w:pStyle w:val="BodyText"/>
            </w:pPr>
          </w:p>
        </w:tc>
        <w:tc>
          <w:tcPr>
            <w:tcW w:w="1695" w:type="dxa"/>
            <w:vAlign w:val="bottom"/>
          </w:tcPr>
          <w:p w14:paraId="1214003F" w14:textId="77777777" w:rsidR="006800C7" w:rsidRPr="000E7AEB" w:rsidRDefault="006800C7" w:rsidP="00F31956">
            <w:pPr>
              <w:pStyle w:val="BodyText"/>
            </w:pPr>
          </w:p>
        </w:tc>
      </w:tr>
      <w:tr w:rsidR="00A72CC6" w:rsidRPr="003C6130" w14:paraId="014B036F" w14:textId="77777777" w:rsidTr="00FB3674">
        <w:tc>
          <w:tcPr>
            <w:tcW w:w="6658" w:type="dxa"/>
            <w:vAlign w:val="bottom"/>
          </w:tcPr>
          <w:p w14:paraId="2F744981" w14:textId="77777777" w:rsidR="00A72CC6" w:rsidRPr="002E53BF" w:rsidRDefault="00A72CC6" w:rsidP="00A72CC6">
            <w:pPr>
              <w:pStyle w:val="BodyText"/>
            </w:pPr>
            <w:r w:rsidRPr="000E7AEB">
              <w:lastRenderedPageBreak/>
              <w:t>AM peak</w:t>
            </w:r>
          </w:p>
        </w:tc>
        <w:tc>
          <w:tcPr>
            <w:tcW w:w="1559" w:type="dxa"/>
          </w:tcPr>
          <w:p w14:paraId="1B34A5D8" w14:textId="433820FA" w:rsidR="00A72CC6" w:rsidRPr="002E53BF" w:rsidRDefault="00A72CC6" w:rsidP="00A72CC6">
            <w:pPr>
              <w:pStyle w:val="BodyText"/>
            </w:pPr>
            <w:r>
              <w:rPr>
                <w:color w:val="58595B"/>
                <w:w w:val="105"/>
              </w:rPr>
              <w:t>9.5</w:t>
            </w:r>
            <w:r>
              <w:rPr>
                <w:color w:val="58595B"/>
                <w:spacing w:val="2"/>
                <w:w w:val="105"/>
              </w:rPr>
              <w:t xml:space="preserve"> </w:t>
            </w:r>
            <w:r>
              <w:rPr>
                <w:color w:val="58595B"/>
                <w:spacing w:val="-4"/>
                <w:w w:val="105"/>
              </w:rPr>
              <w:t>mins</w:t>
            </w:r>
          </w:p>
        </w:tc>
        <w:tc>
          <w:tcPr>
            <w:tcW w:w="1695" w:type="dxa"/>
          </w:tcPr>
          <w:p w14:paraId="4DCB09FD" w14:textId="0B407218" w:rsidR="00A72CC6" w:rsidRPr="002E53BF" w:rsidRDefault="00A72CC6" w:rsidP="00A72CC6">
            <w:pPr>
              <w:pStyle w:val="BodyText"/>
            </w:pPr>
            <w:r>
              <w:rPr>
                <w:color w:val="58595B"/>
              </w:rPr>
              <w:t>9.2</w:t>
            </w:r>
            <w:r>
              <w:rPr>
                <w:color w:val="58595B"/>
                <w:spacing w:val="10"/>
              </w:rPr>
              <w:t xml:space="preserve"> </w:t>
            </w:r>
            <w:r>
              <w:rPr>
                <w:color w:val="58595B"/>
                <w:spacing w:val="-4"/>
              </w:rPr>
              <w:t>mins</w:t>
            </w:r>
          </w:p>
        </w:tc>
      </w:tr>
      <w:tr w:rsidR="00A72CC6" w:rsidRPr="003C6130" w14:paraId="0237C49E" w14:textId="77777777" w:rsidTr="00FB3674">
        <w:tc>
          <w:tcPr>
            <w:tcW w:w="6658" w:type="dxa"/>
            <w:vAlign w:val="bottom"/>
          </w:tcPr>
          <w:p w14:paraId="35CF689B" w14:textId="77777777" w:rsidR="00A72CC6" w:rsidRPr="002E53BF" w:rsidRDefault="00A72CC6" w:rsidP="00A72CC6">
            <w:pPr>
              <w:pStyle w:val="BodyText"/>
            </w:pPr>
            <w:r w:rsidRPr="000E7AEB">
              <w:t>Off peak</w:t>
            </w:r>
          </w:p>
        </w:tc>
        <w:tc>
          <w:tcPr>
            <w:tcW w:w="1559" w:type="dxa"/>
          </w:tcPr>
          <w:p w14:paraId="70ECCD63" w14:textId="56052B90" w:rsidR="00A72CC6" w:rsidRPr="002E53BF" w:rsidRDefault="00A72CC6" w:rsidP="00A72CC6">
            <w:pPr>
              <w:pStyle w:val="BodyText"/>
            </w:pPr>
            <w:r>
              <w:rPr>
                <w:color w:val="58595B"/>
              </w:rPr>
              <w:t>9.2</w:t>
            </w:r>
            <w:r>
              <w:rPr>
                <w:color w:val="58595B"/>
                <w:spacing w:val="10"/>
              </w:rPr>
              <w:t xml:space="preserve"> </w:t>
            </w:r>
            <w:r>
              <w:rPr>
                <w:color w:val="58595B"/>
                <w:spacing w:val="-4"/>
              </w:rPr>
              <w:t>mins</w:t>
            </w:r>
          </w:p>
        </w:tc>
        <w:tc>
          <w:tcPr>
            <w:tcW w:w="1695" w:type="dxa"/>
          </w:tcPr>
          <w:p w14:paraId="4790346B" w14:textId="05B5E050" w:rsidR="00A72CC6" w:rsidRPr="002E53BF" w:rsidRDefault="00A72CC6" w:rsidP="00A72CC6">
            <w:pPr>
              <w:pStyle w:val="BodyText"/>
            </w:pPr>
            <w:r>
              <w:rPr>
                <w:color w:val="58595B"/>
                <w:w w:val="110"/>
              </w:rPr>
              <w:t>9.1</w:t>
            </w:r>
            <w:r>
              <w:rPr>
                <w:color w:val="58595B"/>
                <w:spacing w:val="4"/>
                <w:w w:val="110"/>
              </w:rPr>
              <w:t xml:space="preserve"> </w:t>
            </w:r>
            <w:r>
              <w:rPr>
                <w:color w:val="58595B"/>
                <w:spacing w:val="-4"/>
                <w:w w:val="110"/>
              </w:rPr>
              <w:t>mins</w:t>
            </w:r>
          </w:p>
        </w:tc>
      </w:tr>
      <w:tr w:rsidR="00A72CC6" w:rsidRPr="003C6130" w14:paraId="6C6BAD3F" w14:textId="77777777" w:rsidTr="00FB3674">
        <w:tc>
          <w:tcPr>
            <w:tcW w:w="6658" w:type="dxa"/>
            <w:vAlign w:val="bottom"/>
          </w:tcPr>
          <w:p w14:paraId="307E8969" w14:textId="77777777" w:rsidR="00A72CC6" w:rsidRPr="002E53BF" w:rsidRDefault="00A72CC6" w:rsidP="00A72CC6">
            <w:pPr>
              <w:pStyle w:val="BodyText"/>
            </w:pPr>
            <w:r w:rsidRPr="000E7AEB">
              <w:t>PM peak</w:t>
            </w:r>
          </w:p>
        </w:tc>
        <w:tc>
          <w:tcPr>
            <w:tcW w:w="1559" w:type="dxa"/>
          </w:tcPr>
          <w:p w14:paraId="016A5AD7" w14:textId="01299B81" w:rsidR="00A72CC6" w:rsidRPr="002E53BF" w:rsidRDefault="00A72CC6" w:rsidP="00A72CC6">
            <w:pPr>
              <w:pStyle w:val="BodyText"/>
            </w:pPr>
            <w:r>
              <w:rPr>
                <w:color w:val="58595B"/>
                <w:w w:val="105"/>
              </w:rPr>
              <w:t>10.0</w:t>
            </w:r>
            <w:r>
              <w:rPr>
                <w:color w:val="58595B"/>
                <w:spacing w:val="11"/>
                <w:w w:val="105"/>
              </w:rPr>
              <w:t xml:space="preserve"> </w:t>
            </w:r>
            <w:r>
              <w:rPr>
                <w:color w:val="58595B"/>
                <w:spacing w:val="-4"/>
                <w:w w:val="105"/>
              </w:rPr>
              <w:t>mins</w:t>
            </w:r>
          </w:p>
        </w:tc>
        <w:tc>
          <w:tcPr>
            <w:tcW w:w="1695" w:type="dxa"/>
          </w:tcPr>
          <w:p w14:paraId="682B9E7A" w14:textId="7DBB8E21" w:rsidR="00A72CC6" w:rsidRPr="002E53BF" w:rsidRDefault="00A72CC6" w:rsidP="00A72CC6">
            <w:pPr>
              <w:pStyle w:val="BodyText"/>
            </w:pPr>
            <w:r>
              <w:rPr>
                <w:color w:val="58595B"/>
                <w:w w:val="110"/>
              </w:rPr>
              <w:t>10.1</w:t>
            </w:r>
            <w:r>
              <w:rPr>
                <w:color w:val="58595B"/>
                <w:spacing w:val="21"/>
                <w:w w:val="110"/>
              </w:rPr>
              <w:t xml:space="preserve"> </w:t>
            </w:r>
            <w:r>
              <w:rPr>
                <w:color w:val="58595B"/>
                <w:spacing w:val="-4"/>
                <w:w w:val="110"/>
              </w:rPr>
              <w:t>mins</w:t>
            </w:r>
          </w:p>
        </w:tc>
      </w:tr>
      <w:tr w:rsidR="006800C7" w:rsidRPr="003C6130" w14:paraId="7FB30992" w14:textId="77777777" w:rsidTr="00F31956">
        <w:tc>
          <w:tcPr>
            <w:tcW w:w="6658" w:type="dxa"/>
            <w:vAlign w:val="bottom"/>
          </w:tcPr>
          <w:p w14:paraId="79E24A03" w14:textId="77777777" w:rsidR="006800C7" w:rsidRPr="002E53BF" w:rsidRDefault="006800C7" w:rsidP="00F31956">
            <w:pPr>
              <w:pStyle w:val="BodyText"/>
            </w:pPr>
            <w:r w:rsidRPr="000E7AEB">
              <w:t>SEQ road network reliability – Percentage of the road network with reliable travel times:</w:t>
            </w:r>
          </w:p>
        </w:tc>
        <w:tc>
          <w:tcPr>
            <w:tcW w:w="1559" w:type="dxa"/>
            <w:vAlign w:val="bottom"/>
          </w:tcPr>
          <w:p w14:paraId="793E464E" w14:textId="77777777" w:rsidR="006800C7" w:rsidRPr="000E7AEB" w:rsidRDefault="006800C7" w:rsidP="00F31956">
            <w:pPr>
              <w:pStyle w:val="BodyText"/>
            </w:pPr>
          </w:p>
        </w:tc>
        <w:tc>
          <w:tcPr>
            <w:tcW w:w="1695" w:type="dxa"/>
            <w:vAlign w:val="bottom"/>
          </w:tcPr>
          <w:p w14:paraId="651C09DB" w14:textId="77777777" w:rsidR="006800C7" w:rsidRPr="000E7AEB" w:rsidRDefault="006800C7" w:rsidP="00F31956">
            <w:pPr>
              <w:pStyle w:val="BodyText"/>
            </w:pPr>
          </w:p>
        </w:tc>
      </w:tr>
      <w:tr w:rsidR="00A87254" w:rsidRPr="003C6130" w14:paraId="3F8B1BBC" w14:textId="77777777" w:rsidTr="001470B5">
        <w:tc>
          <w:tcPr>
            <w:tcW w:w="6658" w:type="dxa"/>
            <w:vAlign w:val="bottom"/>
          </w:tcPr>
          <w:p w14:paraId="12831F47" w14:textId="77777777" w:rsidR="00A87254" w:rsidRPr="002E53BF" w:rsidRDefault="00A87254" w:rsidP="00A87254">
            <w:pPr>
              <w:pStyle w:val="BodyText"/>
            </w:pPr>
            <w:r w:rsidRPr="000E7AEB">
              <w:t>AM peak</w:t>
            </w:r>
          </w:p>
        </w:tc>
        <w:tc>
          <w:tcPr>
            <w:tcW w:w="1559" w:type="dxa"/>
          </w:tcPr>
          <w:p w14:paraId="4B53965F" w14:textId="3181F160" w:rsidR="00A87254" w:rsidRPr="002E53BF" w:rsidRDefault="00A87254" w:rsidP="00A87254">
            <w:pPr>
              <w:pStyle w:val="BodyText"/>
            </w:pPr>
            <w:r>
              <w:rPr>
                <w:color w:val="58595B"/>
                <w:spacing w:val="-5"/>
              </w:rPr>
              <w:t>86%</w:t>
            </w:r>
          </w:p>
        </w:tc>
        <w:tc>
          <w:tcPr>
            <w:tcW w:w="1695" w:type="dxa"/>
          </w:tcPr>
          <w:p w14:paraId="60BCA176" w14:textId="1CE257E7" w:rsidR="00A87254" w:rsidRPr="002E53BF" w:rsidRDefault="00A87254" w:rsidP="00A87254">
            <w:pPr>
              <w:pStyle w:val="BodyText"/>
            </w:pPr>
            <w:r>
              <w:rPr>
                <w:color w:val="58595B"/>
                <w:spacing w:val="-5"/>
                <w:w w:val="105"/>
              </w:rPr>
              <w:t>84%</w:t>
            </w:r>
          </w:p>
        </w:tc>
      </w:tr>
      <w:tr w:rsidR="00A87254" w:rsidRPr="003C6130" w14:paraId="15F720F4" w14:textId="77777777" w:rsidTr="001470B5">
        <w:tc>
          <w:tcPr>
            <w:tcW w:w="6658" w:type="dxa"/>
            <w:vAlign w:val="bottom"/>
          </w:tcPr>
          <w:p w14:paraId="56B3DC67" w14:textId="77777777" w:rsidR="00A87254" w:rsidRPr="002E53BF" w:rsidRDefault="00A87254" w:rsidP="00A87254">
            <w:pPr>
              <w:pStyle w:val="BodyText"/>
            </w:pPr>
            <w:r w:rsidRPr="000E7AEB">
              <w:t>Off peak</w:t>
            </w:r>
          </w:p>
        </w:tc>
        <w:tc>
          <w:tcPr>
            <w:tcW w:w="1559" w:type="dxa"/>
          </w:tcPr>
          <w:p w14:paraId="4D1B44D7" w14:textId="35F565D1" w:rsidR="00A87254" w:rsidRPr="002E53BF" w:rsidRDefault="00A87254" w:rsidP="00A87254">
            <w:pPr>
              <w:pStyle w:val="BodyText"/>
            </w:pPr>
            <w:r>
              <w:rPr>
                <w:color w:val="58595B"/>
                <w:spacing w:val="-5"/>
              </w:rPr>
              <w:t>90%</w:t>
            </w:r>
          </w:p>
        </w:tc>
        <w:tc>
          <w:tcPr>
            <w:tcW w:w="1695" w:type="dxa"/>
          </w:tcPr>
          <w:p w14:paraId="2A2CDBC0" w14:textId="6ACCD448" w:rsidR="00A87254" w:rsidRPr="002E53BF" w:rsidRDefault="00A87254" w:rsidP="00A87254">
            <w:pPr>
              <w:pStyle w:val="BodyText"/>
            </w:pPr>
            <w:r>
              <w:rPr>
                <w:color w:val="58595B"/>
                <w:spacing w:val="-5"/>
              </w:rPr>
              <w:t>89%</w:t>
            </w:r>
          </w:p>
        </w:tc>
      </w:tr>
      <w:tr w:rsidR="00A87254" w:rsidRPr="003C6130" w14:paraId="12E6FBD2" w14:textId="77777777" w:rsidTr="001470B5">
        <w:tc>
          <w:tcPr>
            <w:tcW w:w="6658" w:type="dxa"/>
            <w:vAlign w:val="bottom"/>
          </w:tcPr>
          <w:p w14:paraId="44B80011" w14:textId="77777777" w:rsidR="00A87254" w:rsidRPr="002E53BF" w:rsidRDefault="00A87254" w:rsidP="00A87254">
            <w:pPr>
              <w:pStyle w:val="BodyText"/>
            </w:pPr>
            <w:r w:rsidRPr="000E7AEB">
              <w:t>PM peak</w:t>
            </w:r>
          </w:p>
        </w:tc>
        <w:tc>
          <w:tcPr>
            <w:tcW w:w="1559" w:type="dxa"/>
          </w:tcPr>
          <w:p w14:paraId="61E75454" w14:textId="36CCF6BA" w:rsidR="00A87254" w:rsidRPr="002E53BF" w:rsidRDefault="00A87254" w:rsidP="00A87254">
            <w:pPr>
              <w:pStyle w:val="BodyText"/>
            </w:pPr>
            <w:r>
              <w:rPr>
                <w:color w:val="58595B"/>
                <w:spacing w:val="-5"/>
                <w:w w:val="105"/>
              </w:rPr>
              <w:t>79%</w:t>
            </w:r>
          </w:p>
        </w:tc>
        <w:tc>
          <w:tcPr>
            <w:tcW w:w="1695" w:type="dxa"/>
          </w:tcPr>
          <w:p w14:paraId="029B17A6" w14:textId="6855F864" w:rsidR="00A87254" w:rsidRPr="002E53BF" w:rsidRDefault="00A87254" w:rsidP="00A87254">
            <w:pPr>
              <w:pStyle w:val="BodyText"/>
            </w:pPr>
            <w:r>
              <w:rPr>
                <w:color w:val="58595B"/>
                <w:spacing w:val="-5"/>
                <w:w w:val="105"/>
              </w:rPr>
              <w:t>76%</w:t>
            </w:r>
          </w:p>
        </w:tc>
      </w:tr>
      <w:tr w:rsidR="006800C7" w:rsidRPr="003C6130" w14:paraId="35B3169E" w14:textId="77777777" w:rsidTr="00F31956">
        <w:tc>
          <w:tcPr>
            <w:tcW w:w="6658" w:type="dxa"/>
            <w:vAlign w:val="bottom"/>
          </w:tcPr>
          <w:p w14:paraId="425769D4" w14:textId="77777777" w:rsidR="006800C7" w:rsidRPr="002E53BF" w:rsidRDefault="006800C7" w:rsidP="00F31956">
            <w:pPr>
              <w:pStyle w:val="BodyText"/>
            </w:pPr>
            <w:r w:rsidRPr="000E7AEB">
              <w:t xml:space="preserve">SEQ </w:t>
            </w:r>
            <w:r w:rsidRPr="002E53BF">
              <w:t>road network productivity – Percentage of the road network with good productivity:</w:t>
            </w:r>
          </w:p>
        </w:tc>
        <w:tc>
          <w:tcPr>
            <w:tcW w:w="1559" w:type="dxa"/>
            <w:vAlign w:val="bottom"/>
          </w:tcPr>
          <w:p w14:paraId="2E83BFE3" w14:textId="77777777" w:rsidR="006800C7" w:rsidRPr="000E7AEB" w:rsidRDefault="006800C7" w:rsidP="00F31956">
            <w:pPr>
              <w:pStyle w:val="BodyText"/>
            </w:pPr>
          </w:p>
        </w:tc>
        <w:tc>
          <w:tcPr>
            <w:tcW w:w="1695" w:type="dxa"/>
            <w:vAlign w:val="bottom"/>
          </w:tcPr>
          <w:p w14:paraId="0F652117" w14:textId="77777777" w:rsidR="006800C7" w:rsidRPr="000E7AEB" w:rsidRDefault="006800C7" w:rsidP="00F31956">
            <w:pPr>
              <w:pStyle w:val="BodyText"/>
            </w:pPr>
          </w:p>
        </w:tc>
      </w:tr>
      <w:tr w:rsidR="003B43E1" w:rsidRPr="003C6130" w14:paraId="0F4E5073" w14:textId="77777777" w:rsidTr="006742EE">
        <w:tc>
          <w:tcPr>
            <w:tcW w:w="6658" w:type="dxa"/>
            <w:vAlign w:val="bottom"/>
          </w:tcPr>
          <w:p w14:paraId="32778C22" w14:textId="77777777" w:rsidR="003B43E1" w:rsidRPr="002E53BF" w:rsidRDefault="003B43E1" w:rsidP="003B43E1">
            <w:pPr>
              <w:pStyle w:val="BodyText"/>
            </w:pPr>
            <w:r w:rsidRPr="000E7AEB">
              <w:t>AM peak</w:t>
            </w:r>
          </w:p>
        </w:tc>
        <w:tc>
          <w:tcPr>
            <w:tcW w:w="1559" w:type="dxa"/>
          </w:tcPr>
          <w:p w14:paraId="2F47BAEF" w14:textId="171DB2EA" w:rsidR="003B43E1" w:rsidRPr="002E53BF" w:rsidRDefault="003B43E1" w:rsidP="003B43E1">
            <w:pPr>
              <w:pStyle w:val="BodyText"/>
            </w:pPr>
            <w:r>
              <w:rPr>
                <w:color w:val="58595B"/>
                <w:spacing w:val="-5"/>
                <w:w w:val="110"/>
              </w:rPr>
              <w:t>75%</w:t>
            </w:r>
          </w:p>
        </w:tc>
        <w:tc>
          <w:tcPr>
            <w:tcW w:w="1695" w:type="dxa"/>
          </w:tcPr>
          <w:p w14:paraId="6DDB40B5" w14:textId="77402F31" w:rsidR="003B43E1" w:rsidRPr="002E53BF" w:rsidRDefault="003B43E1" w:rsidP="003B43E1">
            <w:pPr>
              <w:pStyle w:val="BodyText"/>
            </w:pPr>
            <w:r>
              <w:rPr>
                <w:color w:val="58595B"/>
                <w:spacing w:val="-5"/>
                <w:w w:val="110"/>
              </w:rPr>
              <w:t>75%</w:t>
            </w:r>
          </w:p>
        </w:tc>
      </w:tr>
      <w:tr w:rsidR="003B43E1" w:rsidRPr="003C6130" w14:paraId="3CFE1369" w14:textId="77777777" w:rsidTr="006742EE">
        <w:tc>
          <w:tcPr>
            <w:tcW w:w="6658" w:type="dxa"/>
            <w:vAlign w:val="bottom"/>
          </w:tcPr>
          <w:p w14:paraId="4A710672" w14:textId="77777777" w:rsidR="003B43E1" w:rsidRPr="002E53BF" w:rsidRDefault="003B43E1" w:rsidP="003B43E1">
            <w:pPr>
              <w:pStyle w:val="BodyText"/>
            </w:pPr>
            <w:r w:rsidRPr="000E7AEB">
              <w:t>Off peak</w:t>
            </w:r>
          </w:p>
        </w:tc>
        <w:tc>
          <w:tcPr>
            <w:tcW w:w="1559" w:type="dxa"/>
          </w:tcPr>
          <w:p w14:paraId="6D1125DE" w14:textId="0C9B8B79" w:rsidR="003B43E1" w:rsidRPr="002E53BF" w:rsidRDefault="003B43E1" w:rsidP="003B43E1">
            <w:pPr>
              <w:pStyle w:val="BodyText"/>
            </w:pPr>
            <w:r>
              <w:rPr>
                <w:color w:val="58595B"/>
                <w:spacing w:val="-5"/>
                <w:w w:val="110"/>
              </w:rPr>
              <w:t>75%</w:t>
            </w:r>
          </w:p>
        </w:tc>
        <w:tc>
          <w:tcPr>
            <w:tcW w:w="1695" w:type="dxa"/>
          </w:tcPr>
          <w:p w14:paraId="45E6A96A" w14:textId="7C9396A0" w:rsidR="003B43E1" w:rsidRPr="002E53BF" w:rsidRDefault="003B43E1" w:rsidP="003B43E1">
            <w:pPr>
              <w:pStyle w:val="BodyText"/>
            </w:pPr>
            <w:r>
              <w:rPr>
                <w:color w:val="58595B"/>
                <w:spacing w:val="-5"/>
                <w:w w:val="110"/>
              </w:rPr>
              <w:t>75%</w:t>
            </w:r>
          </w:p>
        </w:tc>
      </w:tr>
      <w:tr w:rsidR="003B43E1" w:rsidRPr="003C6130" w14:paraId="09FEBC99" w14:textId="77777777" w:rsidTr="006742EE">
        <w:tc>
          <w:tcPr>
            <w:tcW w:w="6658" w:type="dxa"/>
            <w:vAlign w:val="bottom"/>
          </w:tcPr>
          <w:p w14:paraId="7A3B7D0E" w14:textId="77777777" w:rsidR="003B43E1" w:rsidRPr="002E53BF" w:rsidRDefault="003B43E1" w:rsidP="003B43E1">
            <w:pPr>
              <w:pStyle w:val="BodyText"/>
            </w:pPr>
            <w:r w:rsidRPr="000E7AEB">
              <w:t>PM peak</w:t>
            </w:r>
          </w:p>
        </w:tc>
        <w:tc>
          <w:tcPr>
            <w:tcW w:w="1559" w:type="dxa"/>
          </w:tcPr>
          <w:p w14:paraId="57398117" w14:textId="25D56E29" w:rsidR="003B43E1" w:rsidRPr="002E53BF" w:rsidRDefault="003B43E1" w:rsidP="003B43E1">
            <w:pPr>
              <w:pStyle w:val="BodyText"/>
            </w:pPr>
            <w:r>
              <w:rPr>
                <w:color w:val="58595B"/>
                <w:spacing w:val="-5"/>
                <w:w w:val="115"/>
              </w:rPr>
              <w:t>71%</w:t>
            </w:r>
          </w:p>
        </w:tc>
        <w:tc>
          <w:tcPr>
            <w:tcW w:w="1695" w:type="dxa"/>
          </w:tcPr>
          <w:p w14:paraId="541A24B3" w14:textId="168D7B86" w:rsidR="003B43E1" w:rsidRPr="002E53BF" w:rsidRDefault="003B43E1" w:rsidP="003B43E1">
            <w:pPr>
              <w:pStyle w:val="BodyText"/>
            </w:pPr>
            <w:r>
              <w:rPr>
                <w:color w:val="58595B"/>
                <w:spacing w:val="-5"/>
                <w:w w:val="105"/>
              </w:rPr>
              <w:t>70%</w:t>
            </w:r>
          </w:p>
        </w:tc>
      </w:tr>
      <w:tr w:rsidR="006800C7" w:rsidRPr="003C6130" w14:paraId="29D921FC" w14:textId="77777777" w:rsidTr="00F31956">
        <w:tc>
          <w:tcPr>
            <w:tcW w:w="6658" w:type="dxa"/>
            <w:vAlign w:val="bottom"/>
          </w:tcPr>
          <w:p w14:paraId="0C95FDB2" w14:textId="77777777" w:rsidR="006800C7" w:rsidRPr="002E53BF" w:rsidRDefault="006800C7" w:rsidP="00F31956">
            <w:pPr>
              <w:pStyle w:val="BodyText"/>
            </w:pPr>
            <w:r w:rsidRPr="000E7AEB">
              <w:t>SEQ arterial intersection performance – Percentage of intersections congested less than 20 minutes per hour:</w:t>
            </w:r>
          </w:p>
        </w:tc>
        <w:tc>
          <w:tcPr>
            <w:tcW w:w="1559" w:type="dxa"/>
            <w:vAlign w:val="bottom"/>
          </w:tcPr>
          <w:p w14:paraId="71324D68" w14:textId="77777777" w:rsidR="006800C7" w:rsidRPr="000E7AEB" w:rsidRDefault="006800C7" w:rsidP="00F31956">
            <w:pPr>
              <w:pStyle w:val="BodyText"/>
            </w:pPr>
          </w:p>
        </w:tc>
        <w:tc>
          <w:tcPr>
            <w:tcW w:w="1695" w:type="dxa"/>
            <w:vAlign w:val="bottom"/>
          </w:tcPr>
          <w:p w14:paraId="31D09461" w14:textId="77777777" w:rsidR="006800C7" w:rsidRPr="000E7AEB" w:rsidRDefault="006800C7" w:rsidP="00F31956">
            <w:pPr>
              <w:pStyle w:val="BodyText"/>
            </w:pPr>
          </w:p>
        </w:tc>
      </w:tr>
      <w:tr w:rsidR="00AA2686" w:rsidRPr="003C6130" w14:paraId="331D0CEF" w14:textId="77777777" w:rsidTr="006C6EDA">
        <w:tc>
          <w:tcPr>
            <w:tcW w:w="6658" w:type="dxa"/>
            <w:vAlign w:val="bottom"/>
          </w:tcPr>
          <w:p w14:paraId="09F984BC" w14:textId="77777777" w:rsidR="00AA2686" w:rsidRPr="002E53BF" w:rsidRDefault="00AA2686" w:rsidP="00AA2686">
            <w:pPr>
              <w:pStyle w:val="BodyText"/>
            </w:pPr>
            <w:r w:rsidRPr="000E7AEB">
              <w:t>AM peak</w:t>
            </w:r>
          </w:p>
        </w:tc>
        <w:tc>
          <w:tcPr>
            <w:tcW w:w="1559" w:type="dxa"/>
          </w:tcPr>
          <w:p w14:paraId="4465DF03" w14:textId="33439E1E" w:rsidR="00AA2686" w:rsidRPr="002E53BF" w:rsidRDefault="00AA2686" w:rsidP="00AA2686">
            <w:pPr>
              <w:pStyle w:val="BodyText"/>
            </w:pPr>
            <w:r>
              <w:rPr>
                <w:color w:val="58595B"/>
                <w:spacing w:val="-5"/>
                <w:w w:val="105"/>
              </w:rPr>
              <w:t>87%</w:t>
            </w:r>
          </w:p>
        </w:tc>
        <w:tc>
          <w:tcPr>
            <w:tcW w:w="1695" w:type="dxa"/>
          </w:tcPr>
          <w:p w14:paraId="13295135" w14:textId="0F99BD7A" w:rsidR="00AA2686" w:rsidRPr="002E53BF" w:rsidRDefault="00AA2686" w:rsidP="00AA2686">
            <w:pPr>
              <w:pStyle w:val="BodyText"/>
            </w:pPr>
            <w:r>
              <w:rPr>
                <w:color w:val="58595B"/>
                <w:spacing w:val="-5"/>
              </w:rPr>
              <w:t>89%</w:t>
            </w:r>
          </w:p>
        </w:tc>
      </w:tr>
      <w:tr w:rsidR="00AA2686" w:rsidRPr="003C6130" w14:paraId="01DF0DA0" w14:textId="77777777" w:rsidTr="006C6EDA">
        <w:tc>
          <w:tcPr>
            <w:tcW w:w="6658" w:type="dxa"/>
            <w:vAlign w:val="bottom"/>
          </w:tcPr>
          <w:p w14:paraId="7C860CE1" w14:textId="77777777" w:rsidR="00AA2686" w:rsidRPr="002E53BF" w:rsidRDefault="00AA2686" w:rsidP="00AA2686">
            <w:pPr>
              <w:pStyle w:val="BodyText"/>
            </w:pPr>
            <w:r w:rsidRPr="000E7AEB">
              <w:t>Off peak</w:t>
            </w:r>
          </w:p>
        </w:tc>
        <w:tc>
          <w:tcPr>
            <w:tcW w:w="1559" w:type="dxa"/>
          </w:tcPr>
          <w:p w14:paraId="3DA90EB2" w14:textId="51463F48" w:rsidR="00AA2686" w:rsidRPr="002E53BF" w:rsidRDefault="00AA2686" w:rsidP="00AA2686">
            <w:pPr>
              <w:pStyle w:val="BodyText"/>
            </w:pPr>
            <w:r>
              <w:rPr>
                <w:color w:val="58595B"/>
                <w:spacing w:val="-5"/>
                <w:w w:val="110"/>
              </w:rPr>
              <w:t>91%</w:t>
            </w:r>
          </w:p>
        </w:tc>
        <w:tc>
          <w:tcPr>
            <w:tcW w:w="1695" w:type="dxa"/>
          </w:tcPr>
          <w:p w14:paraId="19A59F5A" w14:textId="23E7A7D3" w:rsidR="00AA2686" w:rsidRPr="002E53BF" w:rsidRDefault="00AA2686" w:rsidP="00AA2686">
            <w:pPr>
              <w:pStyle w:val="BodyText"/>
            </w:pPr>
            <w:r>
              <w:rPr>
                <w:color w:val="58595B"/>
                <w:spacing w:val="-5"/>
                <w:w w:val="110"/>
              </w:rPr>
              <w:t>91%</w:t>
            </w:r>
          </w:p>
        </w:tc>
      </w:tr>
      <w:tr w:rsidR="00AA2686" w:rsidRPr="003C6130" w14:paraId="1DEAFB2D" w14:textId="77777777" w:rsidTr="006C6EDA">
        <w:tc>
          <w:tcPr>
            <w:tcW w:w="6658" w:type="dxa"/>
            <w:vAlign w:val="bottom"/>
          </w:tcPr>
          <w:p w14:paraId="651A6301" w14:textId="77777777" w:rsidR="00AA2686" w:rsidRPr="002E53BF" w:rsidRDefault="00AA2686" w:rsidP="00AA2686">
            <w:pPr>
              <w:pStyle w:val="BodyText"/>
            </w:pPr>
            <w:r w:rsidRPr="000E7AEB">
              <w:t>PM peak</w:t>
            </w:r>
          </w:p>
        </w:tc>
        <w:tc>
          <w:tcPr>
            <w:tcW w:w="1559" w:type="dxa"/>
          </w:tcPr>
          <w:p w14:paraId="4054F9D4" w14:textId="64052D4A" w:rsidR="00AA2686" w:rsidRPr="002E53BF" w:rsidRDefault="00AA2686" w:rsidP="00AA2686">
            <w:pPr>
              <w:pStyle w:val="BodyText"/>
            </w:pPr>
            <w:r>
              <w:rPr>
                <w:color w:val="58595B"/>
                <w:spacing w:val="-5"/>
                <w:w w:val="110"/>
              </w:rPr>
              <w:t>81%</w:t>
            </w:r>
          </w:p>
        </w:tc>
        <w:tc>
          <w:tcPr>
            <w:tcW w:w="1695" w:type="dxa"/>
          </w:tcPr>
          <w:p w14:paraId="17010A0B" w14:textId="6FC97899" w:rsidR="00AA2686" w:rsidRPr="002E53BF" w:rsidRDefault="00AA2686" w:rsidP="00AA2686">
            <w:pPr>
              <w:pStyle w:val="BodyText"/>
            </w:pPr>
            <w:r>
              <w:rPr>
                <w:color w:val="58595B"/>
                <w:spacing w:val="-5"/>
                <w:w w:val="105"/>
              </w:rPr>
              <w:t>83%</w:t>
            </w:r>
          </w:p>
        </w:tc>
      </w:tr>
      <w:tr w:rsidR="00A5749C" w:rsidRPr="003C6130" w14:paraId="0175EE03" w14:textId="77777777" w:rsidTr="000D7703">
        <w:tc>
          <w:tcPr>
            <w:tcW w:w="6658" w:type="dxa"/>
            <w:vAlign w:val="bottom"/>
          </w:tcPr>
          <w:p w14:paraId="5AB2A325" w14:textId="77777777" w:rsidR="00A5749C" w:rsidRPr="002E53BF" w:rsidRDefault="00A5749C" w:rsidP="00A5749C">
            <w:pPr>
              <w:pStyle w:val="BodyText"/>
            </w:pPr>
            <w:r w:rsidRPr="000E7AEB">
              <w:t xml:space="preserve">Administration/staff costs of operating and delivering the department's Road Operations Program as a percentage of the total value of the Road Operations Program (including operations, maintenance, and </w:t>
            </w:r>
            <w:r w:rsidRPr="002E53BF">
              <w:t>projects)1</w:t>
            </w:r>
          </w:p>
        </w:tc>
        <w:tc>
          <w:tcPr>
            <w:tcW w:w="1559" w:type="dxa"/>
          </w:tcPr>
          <w:p w14:paraId="1229AC51" w14:textId="3826C539" w:rsidR="00A5749C" w:rsidRPr="002E53BF" w:rsidRDefault="00A5749C" w:rsidP="00A5749C">
            <w:pPr>
              <w:pStyle w:val="BodyText"/>
            </w:pPr>
            <w:r>
              <w:rPr>
                <w:color w:val="58595B"/>
                <w:spacing w:val="-2"/>
                <w:w w:val="110"/>
              </w:rPr>
              <w:t>12.5%</w:t>
            </w:r>
          </w:p>
        </w:tc>
        <w:tc>
          <w:tcPr>
            <w:tcW w:w="1695" w:type="dxa"/>
          </w:tcPr>
          <w:p w14:paraId="63C46C27" w14:textId="4D5C27A8" w:rsidR="00A5749C" w:rsidRPr="002E53BF" w:rsidRDefault="00A5749C" w:rsidP="00A5749C">
            <w:pPr>
              <w:pStyle w:val="BodyText"/>
            </w:pPr>
            <w:r>
              <w:rPr>
                <w:color w:val="58595B"/>
                <w:spacing w:val="-2"/>
                <w:w w:val="110"/>
              </w:rPr>
              <w:t>14.4%</w:t>
            </w:r>
          </w:p>
        </w:tc>
      </w:tr>
      <w:tr w:rsidR="006800C7" w:rsidRPr="003C6130" w14:paraId="29A1E672" w14:textId="77777777" w:rsidTr="00F31956">
        <w:tc>
          <w:tcPr>
            <w:tcW w:w="9912" w:type="dxa"/>
            <w:gridSpan w:val="3"/>
            <w:vAlign w:val="center"/>
          </w:tcPr>
          <w:p w14:paraId="24389467" w14:textId="77777777" w:rsidR="006800C7" w:rsidRPr="002E53BF" w:rsidRDefault="006800C7" w:rsidP="00F31956">
            <w:pPr>
              <w:pStyle w:val="BodyText"/>
            </w:pPr>
            <w:r w:rsidRPr="000E7AEB">
              <w:lastRenderedPageBreak/>
              <w:t>Service: Transport Infrastructure Delivery</w:t>
            </w:r>
          </w:p>
        </w:tc>
      </w:tr>
      <w:tr w:rsidR="00981B40" w:rsidRPr="003C6130" w14:paraId="1B066D81" w14:textId="77777777" w:rsidTr="00BF4C57">
        <w:tc>
          <w:tcPr>
            <w:tcW w:w="6658" w:type="dxa"/>
            <w:vAlign w:val="bottom"/>
          </w:tcPr>
          <w:p w14:paraId="43127D24" w14:textId="77777777" w:rsidR="00981B40" w:rsidRPr="002E53BF" w:rsidRDefault="00981B40" w:rsidP="00981B40">
            <w:pPr>
              <w:pStyle w:val="BodyText"/>
            </w:pPr>
            <w:bookmarkStart w:id="25" w:name="_Hlk33174613"/>
            <w:bookmarkStart w:id="26" w:name="_Hlk69472552"/>
            <w:r w:rsidRPr="000E7AEB">
              <w:t xml:space="preserve">Number of fatal crashes on State-controlled roads per 100 million vehicle kilometres travelled where the road condition was likely to be a strong contributing </w:t>
            </w:r>
            <w:bookmarkEnd w:id="25"/>
            <w:r w:rsidRPr="000E7AEB">
              <w:t>factor</w:t>
            </w:r>
            <w:bookmarkEnd w:id="26"/>
          </w:p>
        </w:tc>
        <w:tc>
          <w:tcPr>
            <w:tcW w:w="1559" w:type="dxa"/>
          </w:tcPr>
          <w:p w14:paraId="3757A87B" w14:textId="0987DF80" w:rsidR="00981B40" w:rsidRPr="002E53BF" w:rsidRDefault="00981B40" w:rsidP="00981B40">
            <w:pPr>
              <w:pStyle w:val="BodyText"/>
            </w:pPr>
            <w:r>
              <w:rPr>
                <w:color w:val="58595B"/>
                <w:spacing w:val="-4"/>
                <w:w w:val="105"/>
              </w:rPr>
              <w:t>0.05</w:t>
            </w:r>
          </w:p>
        </w:tc>
        <w:tc>
          <w:tcPr>
            <w:tcW w:w="1695" w:type="dxa"/>
          </w:tcPr>
          <w:p w14:paraId="38E7431C" w14:textId="60247DF8" w:rsidR="00981B40" w:rsidRPr="002E53BF" w:rsidRDefault="00981B40" w:rsidP="00981B40">
            <w:pPr>
              <w:pStyle w:val="BodyText"/>
            </w:pPr>
            <w:r>
              <w:rPr>
                <w:color w:val="58595B"/>
                <w:spacing w:val="-4"/>
              </w:rPr>
              <w:t>0.08</w:t>
            </w:r>
          </w:p>
        </w:tc>
      </w:tr>
      <w:tr w:rsidR="0062585A" w:rsidRPr="003C6130" w14:paraId="0C3720D0" w14:textId="77777777" w:rsidTr="00EA2F7E">
        <w:tc>
          <w:tcPr>
            <w:tcW w:w="6658" w:type="dxa"/>
            <w:vAlign w:val="bottom"/>
          </w:tcPr>
          <w:p w14:paraId="60A3A9A8" w14:textId="77777777" w:rsidR="0062585A" w:rsidRPr="002E53BF" w:rsidRDefault="0062585A" w:rsidP="0062585A">
            <w:pPr>
              <w:pStyle w:val="BodyText"/>
            </w:pPr>
            <w:r w:rsidRPr="000E7AEB">
              <w:t>Administration costs of managing and delivering the QTRIP as a percentage of the current financial year QTRIP allocation2</w:t>
            </w:r>
          </w:p>
        </w:tc>
        <w:tc>
          <w:tcPr>
            <w:tcW w:w="1559" w:type="dxa"/>
          </w:tcPr>
          <w:p w14:paraId="01B069ED" w14:textId="1E1155C8" w:rsidR="0062585A" w:rsidRPr="002E53BF" w:rsidRDefault="0062585A" w:rsidP="0062585A">
            <w:pPr>
              <w:pStyle w:val="BodyText"/>
            </w:pPr>
            <w:r>
              <w:rPr>
                <w:color w:val="58595B"/>
                <w:spacing w:val="-2"/>
                <w:w w:val="110"/>
              </w:rPr>
              <w:t>&lt;5.1%</w:t>
            </w:r>
          </w:p>
        </w:tc>
        <w:tc>
          <w:tcPr>
            <w:tcW w:w="1695" w:type="dxa"/>
          </w:tcPr>
          <w:p w14:paraId="67DC5F0B" w14:textId="246C90F3" w:rsidR="0062585A" w:rsidRPr="002E53BF" w:rsidRDefault="0062585A" w:rsidP="0062585A">
            <w:pPr>
              <w:pStyle w:val="BodyText"/>
            </w:pPr>
            <w:r>
              <w:rPr>
                <w:color w:val="58595B"/>
                <w:spacing w:val="-4"/>
                <w:w w:val="105"/>
              </w:rPr>
              <w:t>2.6%</w:t>
            </w:r>
          </w:p>
        </w:tc>
      </w:tr>
    </w:tbl>
    <w:p w14:paraId="2674EAAA" w14:textId="46618AD9" w:rsidR="00D44063" w:rsidRPr="00D44063" w:rsidRDefault="006800C7" w:rsidP="00D44063">
      <w:pPr>
        <w:pStyle w:val="Subtitle"/>
      </w:pPr>
      <w:r w:rsidRPr="0083613E">
        <w:t>Notes</w:t>
      </w:r>
      <w:r w:rsidR="00D44063">
        <w:br/>
      </w:r>
      <w:r w:rsidR="00D44063" w:rsidRPr="00D44063">
        <w:t>1 This service standard will be discontinued for the 2022–23 Service Delivery Statements and will be replaced by 'Average cost per 100 vehicle kilometres travelled to operate state-controlled roads' which is a more suitable measure of efficiency for the Service 'Transport Infrastructure Management'.</w:t>
      </w:r>
      <w:r w:rsidR="00D44063">
        <w:br/>
      </w:r>
      <w:r w:rsidR="00D44063" w:rsidRPr="00D44063">
        <w:t>2 The favourable variance between the 2021–22 Actual and 2021–22 Target / Estimate was due to relatively stable administrative costs being maintained.</w:t>
      </w:r>
    </w:p>
    <w:p w14:paraId="60F66B41" w14:textId="77777777" w:rsidR="006800C7" w:rsidRPr="008E4B7E" w:rsidRDefault="006800C7" w:rsidP="006800C7">
      <w:pPr>
        <w:pStyle w:val="Heading3"/>
      </w:pPr>
      <w:r w:rsidRPr="008E4B7E">
        <w:t xml:space="preserve">Service area: Transport Safety and Regulation </w:t>
      </w:r>
    </w:p>
    <w:p w14:paraId="687D8DFA" w14:textId="77777777" w:rsidR="006800C7" w:rsidRPr="008E4B7E" w:rsidRDefault="006800C7" w:rsidP="006800C7">
      <w:pPr>
        <w:pStyle w:val="Heading4"/>
      </w:pPr>
      <w:r w:rsidRPr="008E4B7E">
        <w:t>Service area objective</w:t>
      </w:r>
    </w:p>
    <w:p w14:paraId="33BCA935" w14:textId="77777777" w:rsidR="006800C7" w:rsidRPr="008E4B7E" w:rsidRDefault="006800C7" w:rsidP="006800C7">
      <w:r w:rsidRPr="008E4B7E">
        <w:t>To enhance the safety of the transport system through quality regulation, road and maritime safety programs</w:t>
      </w:r>
      <w:r>
        <w:t>.</w:t>
      </w:r>
    </w:p>
    <w:tbl>
      <w:tblPr>
        <w:tblStyle w:val="TableGrid"/>
        <w:tblW w:w="9912" w:type="dxa"/>
        <w:tblLayout w:type="fixed"/>
        <w:tblLook w:val="04A0" w:firstRow="1" w:lastRow="0" w:firstColumn="1" w:lastColumn="0" w:noHBand="0" w:noVBand="1"/>
      </w:tblPr>
      <w:tblGrid>
        <w:gridCol w:w="6658"/>
        <w:gridCol w:w="1559"/>
        <w:gridCol w:w="1695"/>
      </w:tblGrid>
      <w:tr w:rsidR="006800C7" w:rsidRPr="003C6130" w14:paraId="00C5DF06" w14:textId="77777777" w:rsidTr="00F31956">
        <w:tc>
          <w:tcPr>
            <w:tcW w:w="6658" w:type="dxa"/>
          </w:tcPr>
          <w:p w14:paraId="67B4139E" w14:textId="77777777" w:rsidR="006800C7" w:rsidRPr="002E53BF" w:rsidRDefault="006800C7" w:rsidP="00F31956">
            <w:pPr>
              <w:pStyle w:val="BodyText"/>
            </w:pPr>
            <w:r w:rsidRPr="009E12B1">
              <w:t>Service standards</w:t>
            </w:r>
          </w:p>
        </w:tc>
        <w:tc>
          <w:tcPr>
            <w:tcW w:w="1559" w:type="dxa"/>
          </w:tcPr>
          <w:p w14:paraId="02618B8A" w14:textId="77777777" w:rsidR="006800C7" w:rsidRPr="002E53BF" w:rsidRDefault="006800C7" w:rsidP="00F31956">
            <w:pPr>
              <w:pStyle w:val="BodyText"/>
            </w:pPr>
            <w:r w:rsidRPr="009E12B1">
              <w:t>2020–21 Target /</w:t>
            </w:r>
            <w:r>
              <w:t xml:space="preserve"> </w:t>
            </w:r>
            <w:r w:rsidRPr="009E12B1">
              <w:t>Estimate</w:t>
            </w:r>
          </w:p>
        </w:tc>
        <w:tc>
          <w:tcPr>
            <w:tcW w:w="1695" w:type="dxa"/>
          </w:tcPr>
          <w:p w14:paraId="7332D943" w14:textId="77777777" w:rsidR="006800C7" w:rsidRPr="002E53BF" w:rsidRDefault="006800C7" w:rsidP="00F31956">
            <w:pPr>
              <w:pStyle w:val="BodyText"/>
            </w:pPr>
            <w:r w:rsidRPr="009E12B1">
              <w:t>2020–21 Actual</w:t>
            </w:r>
          </w:p>
        </w:tc>
      </w:tr>
      <w:tr w:rsidR="00C75C0F" w:rsidRPr="003C6130" w14:paraId="68D32342" w14:textId="77777777" w:rsidTr="00B11725">
        <w:tc>
          <w:tcPr>
            <w:tcW w:w="6658" w:type="dxa"/>
            <w:vAlign w:val="bottom"/>
          </w:tcPr>
          <w:p w14:paraId="4209A127" w14:textId="77777777" w:rsidR="00C75C0F" w:rsidRPr="002E53BF" w:rsidRDefault="00C75C0F" w:rsidP="00C75C0F">
            <w:pPr>
              <w:pStyle w:val="BodyText"/>
            </w:pPr>
            <w:r w:rsidRPr="009E12B1">
              <w:t>Fatalities per 100,000 population on State-controlled roads1</w:t>
            </w:r>
          </w:p>
        </w:tc>
        <w:tc>
          <w:tcPr>
            <w:tcW w:w="1559" w:type="dxa"/>
          </w:tcPr>
          <w:p w14:paraId="067822F3" w14:textId="61371566" w:rsidR="00C75C0F" w:rsidRPr="002E53BF" w:rsidRDefault="00C75C0F" w:rsidP="00C75C0F">
            <w:pPr>
              <w:pStyle w:val="BodyText"/>
            </w:pPr>
            <w:r>
              <w:rPr>
                <w:color w:val="58595B"/>
                <w:spacing w:val="-4"/>
                <w:w w:val="105"/>
              </w:rPr>
              <w:t>2.60</w:t>
            </w:r>
          </w:p>
        </w:tc>
        <w:tc>
          <w:tcPr>
            <w:tcW w:w="1695" w:type="dxa"/>
          </w:tcPr>
          <w:p w14:paraId="49E171AF" w14:textId="4D6480A5" w:rsidR="00C75C0F" w:rsidRPr="002E53BF" w:rsidRDefault="00C75C0F" w:rsidP="00C75C0F">
            <w:pPr>
              <w:pStyle w:val="BodyText"/>
            </w:pPr>
            <w:r>
              <w:rPr>
                <w:color w:val="58595B"/>
                <w:spacing w:val="-4"/>
                <w:w w:val="110"/>
              </w:rPr>
              <w:t>3.27</w:t>
            </w:r>
          </w:p>
        </w:tc>
      </w:tr>
      <w:tr w:rsidR="00C75C0F" w:rsidRPr="003C6130" w14:paraId="54DC6342" w14:textId="77777777" w:rsidTr="00B11725">
        <w:tc>
          <w:tcPr>
            <w:tcW w:w="6658" w:type="dxa"/>
            <w:vAlign w:val="bottom"/>
          </w:tcPr>
          <w:p w14:paraId="06FC8F45" w14:textId="77777777" w:rsidR="00C75C0F" w:rsidRPr="002E53BF" w:rsidRDefault="00C75C0F" w:rsidP="00C75C0F">
            <w:pPr>
              <w:pStyle w:val="BodyText"/>
            </w:pPr>
            <w:r w:rsidRPr="009E12B1">
              <w:t xml:space="preserve">Road fatalities per 100,000 </w:t>
            </w:r>
            <w:r w:rsidRPr="002E53BF">
              <w:t>population1</w:t>
            </w:r>
          </w:p>
        </w:tc>
        <w:tc>
          <w:tcPr>
            <w:tcW w:w="1559" w:type="dxa"/>
          </w:tcPr>
          <w:p w14:paraId="4B0472C4" w14:textId="77777777" w:rsidR="00C75C0F" w:rsidRDefault="00E73B62" w:rsidP="00C75C0F">
            <w:pPr>
              <w:pStyle w:val="TableParagraph"/>
              <w:spacing w:line="20" w:lineRule="exact"/>
              <w:ind w:left="1347"/>
              <w:rPr>
                <w:rFonts w:ascii="MetaPro-Light"/>
                <w:sz w:val="2"/>
              </w:rPr>
            </w:pPr>
            <w:r>
              <w:rPr>
                <w:rFonts w:ascii="MetaPro-Light"/>
                <w:sz w:val="2"/>
              </w:rPr>
            </w:r>
            <w:r>
              <w:rPr>
                <w:rFonts w:ascii="MetaPro-Light"/>
                <w:sz w:val="2"/>
              </w:rPr>
              <w:pict w14:anchorId="21656C9C">
                <v:group id="docshapegroup4213" o:spid="_x0000_s1040" style="width:.5pt;height:.5pt;mso-position-horizontal-relative:char;mso-position-vertical-relative:line" coordsize="10,10">
                  <v:shape id="docshape4214" o:spid="_x0000_s1041" style="position:absolute;width:10;height:10" coordsize="10,10" path="m10,5l9,1,5,,1,1,,5,1,9r4,1l9,9,10,5xe" fillcolor="#77787b" stroked="f">
                    <v:path arrowok="t"/>
                  </v:shape>
                  <w10:wrap type="none"/>
                  <w10:anchorlock/>
                </v:group>
              </w:pict>
            </w:r>
          </w:p>
          <w:p w14:paraId="2210F9F3" w14:textId="04B3AEBC" w:rsidR="00C75C0F" w:rsidRPr="002E53BF" w:rsidRDefault="00C75C0F" w:rsidP="00C75C0F">
            <w:pPr>
              <w:pStyle w:val="BodyText"/>
            </w:pPr>
            <w:r>
              <w:rPr>
                <w:color w:val="58595B"/>
                <w:spacing w:val="-4"/>
                <w:w w:val="105"/>
              </w:rPr>
              <w:t>4.30</w:t>
            </w:r>
          </w:p>
        </w:tc>
        <w:tc>
          <w:tcPr>
            <w:tcW w:w="1695" w:type="dxa"/>
          </w:tcPr>
          <w:p w14:paraId="367BF51D" w14:textId="77777777" w:rsidR="00C75C0F" w:rsidRDefault="00E73B62" w:rsidP="00C75C0F">
            <w:pPr>
              <w:pStyle w:val="TableParagraph"/>
              <w:spacing w:line="20" w:lineRule="exact"/>
              <w:ind w:left="1210" w:right="-58"/>
              <w:rPr>
                <w:rFonts w:ascii="MetaPro-Light"/>
                <w:sz w:val="2"/>
              </w:rPr>
            </w:pPr>
            <w:r>
              <w:rPr>
                <w:rFonts w:ascii="MetaPro-Light"/>
                <w:sz w:val="2"/>
              </w:rPr>
            </w:r>
            <w:r>
              <w:rPr>
                <w:rFonts w:ascii="MetaPro-Light"/>
                <w:sz w:val="2"/>
              </w:rPr>
              <w:pict w14:anchorId="2DA1E286">
                <v:group id="docshapegroup4215" o:spid="_x0000_s1038" style="width:.5pt;height:.5pt;mso-position-horizontal-relative:char;mso-position-vertical-relative:line" coordsize="10,10">
                  <v:shape id="docshape4216" o:spid="_x0000_s1039" style="position:absolute;width:10;height:10" coordsize="10,10" path="m,5l1,1,5,,9,1r1,4l9,9,5,10,1,9,,5xe" fillcolor="#77787b" stroked="f">
                    <v:path arrowok="t"/>
                  </v:shape>
                  <w10:wrap type="none"/>
                  <w10:anchorlock/>
                </v:group>
              </w:pict>
            </w:r>
          </w:p>
          <w:p w14:paraId="00519561" w14:textId="4C77297C" w:rsidR="00C75C0F" w:rsidRPr="002E53BF" w:rsidRDefault="00C75C0F" w:rsidP="00C75C0F">
            <w:pPr>
              <w:pStyle w:val="BodyText"/>
            </w:pPr>
            <w:r>
              <w:rPr>
                <w:color w:val="58595B"/>
                <w:spacing w:val="-4"/>
                <w:w w:val="110"/>
              </w:rPr>
              <w:t>5.57</w:t>
            </w:r>
          </w:p>
        </w:tc>
      </w:tr>
      <w:tr w:rsidR="00C75C0F" w:rsidRPr="003C6130" w14:paraId="6B9F1E69" w14:textId="77777777" w:rsidTr="00B11725">
        <w:tc>
          <w:tcPr>
            <w:tcW w:w="6658" w:type="dxa"/>
            <w:vAlign w:val="bottom"/>
          </w:tcPr>
          <w:p w14:paraId="25D8BD96" w14:textId="77777777" w:rsidR="00C75C0F" w:rsidRPr="002E53BF" w:rsidRDefault="00C75C0F" w:rsidP="00C75C0F">
            <w:pPr>
              <w:pStyle w:val="BodyText"/>
            </w:pPr>
            <w:r w:rsidRPr="009E12B1">
              <w:t>Hospitalised road casualties per 100,000 population1</w:t>
            </w:r>
          </w:p>
        </w:tc>
        <w:tc>
          <w:tcPr>
            <w:tcW w:w="1559" w:type="dxa"/>
          </w:tcPr>
          <w:p w14:paraId="3461D35E" w14:textId="77777777" w:rsidR="00C75C0F" w:rsidRDefault="00E73B62" w:rsidP="00C75C0F">
            <w:pPr>
              <w:pStyle w:val="TableParagraph"/>
              <w:spacing w:line="20" w:lineRule="exact"/>
              <w:ind w:left="1347"/>
              <w:rPr>
                <w:rFonts w:ascii="MetaPro-Light"/>
                <w:sz w:val="2"/>
              </w:rPr>
            </w:pPr>
            <w:r>
              <w:rPr>
                <w:rFonts w:ascii="MetaPro-Light"/>
                <w:sz w:val="2"/>
              </w:rPr>
            </w:r>
            <w:r>
              <w:rPr>
                <w:rFonts w:ascii="MetaPro-Light"/>
                <w:sz w:val="2"/>
              </w:rPr>
              <w:pict w14:anchorId="196AE1B6">
                <v:group id="docshapegroup4223" o:spid="_x0000_s1036" style="width:.5pt;height:.5pt;mso-position-horizontal-relative:char;mso-position-vertical-relative:line" coordsize="10,10">
                  <v:shape id="docshape4224" o:spid="_x0000_s1037" style="position:absolute;width:10;height:10" coordsize="10,10" path="m10,5l9,1,5,,1,1,,5,1,9r4,1l9,9,10,5xe" fillcolor="#77787b" stroked="f">
                    <v:path arrowok="t"/>
                  </v:shape>
                  <w10:wrap type="none"/>
                  <w10:anchorlock/>
                </v:group>
              </w:pict>
            </w:r>
          </w:p>
          <w:p w14:paraId="06EDE6DB" w14:textId="27F6853B" w:rsidR="00C75C0F" w:rsidRPr="002E53BF" w:rsidRDefault="00C75C0F" w:rsidP="00C75C0F">
            <w:pPr>
              <w:pStyle w:val="BodyText"/>
            </w:pPr>
            <w:r>
              <w:rPr>
                <w:color w:val="58595B"/>
                <w:spacing w:val="-5"/>
                <w:w w:val="125"/>
              </w:rPr>
              <w:t>110</w:t>
            </w:r>
          </w:p>
        </w:tc>
        <w:tc>
          <w:tcPr>
            <w:tcW w:w="1695" w:type="dxa"/>
          </w:tcPr>
          <w:p w14:paraId="6A9DFBCB" w14:textId="77777777" w:rsidR="00C75C0F" w:rsidRDefault="00E73B62" w:rsidP="00C75C0F">
            <w:pPr>
              <w:pStyle w:val="TableParagraph"/>
              <w:spacing w:line="20" w:lineRule="exact"/>
              <w:ind w:left="1210" w:right="-58"/>
              <w:rPr>
                <w:rFonts w:ascii="MetaPro-Light"/>
                <w:sz w:val="2"/>
              </w:rPr>
            </w:pPr>
            <w:r>
              <w:rPr>
                <w:rFonts w:ascii="MetaPro-Light"/>
                <w:sz w:val="2"/>
              </w:rPr>
            </w:r>
            <w:r>
              <w:rPr>
                <w:rFonts w:ascii="MetaPro-Light"/>
                <w:sz w:val="2"/>
              </w:rPr>
              <w:pict w14:anchorId="04D4967D">
                <v:group id="docshapegroup4225" o:spid="_x0000_s1034" style="width:.5pt;height:.5pt;mso-position-horizontal-relative:char;mso-position-vertical-relative:line" coordsize="10,10">
                  <v:shape id="docshape4226" o:spid="_x0000_s1035" style="position:absolute;width:10;height:10" coordsize="10,10" path="m,5l1,1,5,,9,1r1,4l9,9,5,10,1,9,,5xe" fillcolor="#77787b" stroked="f">
                    <v:path arrowok="t"/>
                  </v:shape>
                  <w10:wrap type="none"/>
                  <w10:anchorlock/>
                </v:group>
              </w:pict>
            </w:r>
          </w:p>
          <w:p w14:paraId="6FBE1E59" w14:textId="49D19867" w:rsidR="00C75C0F" w:rsidRPr="002E53BF" w:rsidRDefault="00C75C0F" w:rsidP="00C75C0F">
            <w:pPr>
              <w:pStyle w:val="BodyText"/>
            </w:pPr>
            <w:r>
              <w:rPr>
                <w:color w:val="58595B"/>
                <w:spacing w:val="-2"/>
                <w:w w:val="110"/>
              </w:rPr>
              <w:t>150.09</w:t>
            </w:r>
          </w:p>
        </w:tc>
      </w:tr>
      <w:tr w:rsidR="00C75C0F" w:rsidRPr="003C6130" w14:paraId="4550614D" w14:textId="77777777" w:rsidTr="00B11725">
        <w:tc>
          <w:tcPr>
            <w:tcW w:w="6658" w:type="dxa"/>
            <w:vAlign w:val="bottom"/>
          </w:tcPr>
          <w:p w14:paraId="525E9981" w14:textId="77777777" w:rsidR="00C75C0F" w:rsidRPr="002E53BF" w:rsidRDefault="00C75C0F" w:rsidP="00C75C0F">
            <w:pPr>
              <w:pStyle w:val="BodyText"/>
            </w:pPr>
            <w:r w:rsidRPr="009E12B1">
              <w:t>Marine fatalities per 100,000 registered vessels regulated in Queensland2</w:t>
            </w:r>
          </w:p>
        </w:tc>
        <w:tc>
          <w:tcPr>
            <w:tcW w:w="1559" w:type="dxa"/>
          </w:tcPr>
          <w:p w14:paraId="784EF989" w14:textId="77777777" w:rsidR="00C75C0F" w:rsidRDefault="00E73B62" w:rsidP="00C75C0F">
            <w:pPr>
              <w:pStyle w:val="TableParagraph"/>
              <w:spacing w:line="20" w:lineRule="exact"/>
              <w:ind w:left="1347"/>
              <w:rPr>
                <w:rFonts w:ascii="MetaPro-Light"/>
                <w:sz w:val="2"/>
              </w:rPr>
            </w:pPr>
            <w:r>
              <w:rPr>
                <w:rFonts w:ascii="MetaPro-Light"/>
                <w:sz w:val="2"/>
              </w:rPr>
            </w:r>
            <w:r>
              <w:rPr>
                <w:rFonts w:ascii="MetaPro-Light"/>
                <w:sz w:val="2"/>
              </w:rPr>
              <w:pict w14:anchorId="32797374">
                <v:group id="docshapegroup4233" o:spid="_x0000_s1032" style="width:.5pt;height:.5pt;mso-position-horizontal-relative:char;mso-position-vertical-relative:line" coordsize="10,10">
                  <v:shape id="docshape4234" o:spid="_x0000_s1033" style="position:absolute;width:10;height:10" coordsize="10,10" path="m10,5l9,1,5,,1,1,,5,1,9r4,1l9,9,10,5xe" fillcolor="#77787b" stroked="f">
                    <v:path arrowok="t"/>
                  </v:shape>
                  <w10:wrap type="none"/>
                  <w10:anchorlock/>
                </v:group>
              </w:pict>
            </w:r>
          </w:p>
          <w:p w14:paraId="1233D158" w14:textId="08C7F927" w:rsidR="00C75C0F" w:rsidRPr="002E53BF" w:rsidRDefault="00C75C0F" w:rsidP="00C75C0F">
            <w:pPr>
              <w:pStyle w:val="BodyText"/>
            </w:pPr>
            <w:r>
              <w:rPr>
                <w:color w:val="58595B"/>
                <w:spacing w:val="-4"/>
              </w:rPr>
              <w:t>6.06</w:t>
            </w:r>
          </w:p>
        </w:tc>
        <w:tc>
          <w:tcPr>
            <w:tcW w:w="1695" w:type="dxa"/>
          </w:tcPr>
          <w:p w14:paraId="63FCDCE7" w14:textId="77777777" w:rsidR="00C75C0F" w:rsidRDefault="00E73B62" w:rsidP="00C75C0F">
            <w:pPr>
              <w:pStyle w:val="TableParagraph"/>
              <w:spacing w:line="20" w:lineRule="exact"/>
              <w:ind w:left="1210" w:right="-58"/>
              <w:rPr>
                <w:rFonts w:ascii="MetaPro-Light"/>
                <w:sz w:val="2"/>
              </w:rPr>
            </w:pPr>
            <w:r>
              <w:rPr>
                <w:rFonts w:ascii="MetaPro-Light"/>
                <w:sz w:val="2"/>
              </w:rPr>
            </w:r>
            <w:r>
              <w:rPr>
                <w:rFonts w:ascii="MetaPro-Light"/>
                <w:sz w:val="2"/>
              </w:rPr>
              <w:pict w14:anchorId="44BEBA46">
                <v:group id="docshapegroup4235" o:spid="_x0000_s1030" style="width:.5pt;height:.5pt;mso-position-horizontal-relative:char;mso-position-vertical-relative:line" coordsize="10,10">
                  <v:shape id="docshape4236" o:spid="_x0000_s1031" style="position:absolute;width:10;height:10" coordsize="10,10" path="m,5l1,1,5,,9,1r1,4l9,9,5,10,1,9,,5xe" fillcolor="#77787b" stroked="f">
                    <v:path arrowok="t"/>
                  </v:shape>
                  <w10:wrap type="none"/>
                  <w10:anchorlock/>
                </v:group>
              </w:pict>
            </w:r>
          </w:p>
          <w:p w14:paraId="68F2CA86" w14:textId="76B38313" w:rsidR="00C75C0F" w:rsidRPr="002E53BF" w:rsidRDefault="00C75C0F" w:rsidP="00C75C0F">
            <w:pPr>
              <w:pStyle w:val="BodyText"/>
            </w:pPr>
            <w:r>
              <w:rPr>
                <w:color w:val="58595B"/>
                <w:spacing w:val="-4"/>
                <w:w w:val="105"/>
              </w:rPr>
              <w:t>4.74</w:t>
            </w:r>
          </w:p>
        </w:tc>
      </w:tr>
      <w:tr w:rsidR="006800C7" w:rsidRPr="003C6130" w14:paraId="1F2800F0" w14:textId="77777777" w:rsidTr="00F31956">
        <w:tc>
          <w:tcPr>
            <w:tcW w:w="6658" w:type="dxa"/>
            <w:vAlign w:val="bottom"/>
          </w:tcPr>
          <w:p w14:paraId="37B1B305" w14:textId="77777777" w:rsidR="006800C7" w:rsidRPr="002E53BF" w:rsidRDefault="006800C7" w:rsidP="00F31956">
            <w:pPr>
              <w:pStyle w:val="BodyText"/>
            </w:pPr>
            <w:r w:rsidRPr="009E12B1">
              <w:t>Percentage of vessel movements without serious incidents:</w:t>
            </w:r>
          </w:p>
        </w:tc>
        <w:tc>
          <w:tcPr>
            <w:tcW w:w="1559" w:type="dxa"/>
            <w:vAlign w:val="bottom"/>
          </w:tcPr>
          <w:p w14:paraId="372D9DCF" w14:textId="77777777" w:rsidR="006800C7" w:rsidRPr="009E12B1" w:rsidRDefault="006800C7" w:rsidP="00F31956">
            <w:pPr>
              <w:pStyle w:val="BodyText"/>
            </w:pPr>
          </w:p>
        </w:tc>
        <w:tc>
          <w:tcPr>
            <w:tcW w:w="1695" w:type="dxa"/>
            <w:vAlign w:val="bottom"/>
          </w:tcPr>
          <w:p w14:paraId="6C0BE39D" w14:textId="77777777" w:rsidR="006800C7" w:rsidRPr="009E12B1" w:rsidRDefault="006800C7" w:rsidP="00F31956">
            <w:pPr>
              <w:pStyle w:val="BodyText"/>
            </w:pPr>
          </w:p>
        </w:tc>
      </w:tr>
      <w:tr w:rsidR="00C50996" w:rsidRPr="003C6130" w14:paraId="375002FC" w14:textId="77777777" w:rsidTr="002A548C">
        <w:tc>
          <w:tcPr>
            <w:tcW w:w="6658" w:type="dxa"/>
          </w:tcPr>
          <w:p w14:paraId="5CB8B740" w14:textId="77777777" w:rsidR="00C50996" w:rsidRPr="002E53BF" w:rsidRDefault="00C50996" w:rsidP="00C50996">
            <w:pPr>
              <w:pStyle w:val="BodyText"/>
            </w:pPr>
            <w:r w:rsidRPr="009E12B1">
              <w:t>Pilotage areas</w:t>
            </w:r>
          </w:p>
        </w:tc>
        <w:tc>
          <w:tcPr>
            <w:tcW w:w="1559" w:type="dxa"/>
          </w:tcPr>
          <w:p w14:paraId="355AF7B4" w14:textId="30428FC3" w:rsidR="00C50996" w:rsidRPr="002E53BF" w:rsidRDefault="00C50996" w:rsidP="00C50996">
            <w:pPr>
              <w:pStyle w:val="BodyText"/>
            </w:pPr>
            <w:r>
              <w:rPr>
                <w:color w:val="58595B"/>
                <w:spacing w:val="-4"/>
                <w:w w:val="110"/>
              </w:rPr>
              <w:t>100%</w:t>
            </w:r>
          </w:p>
        </w:tc>
        <w:tc>
          <w:tcPr>
            <w:tcW w:w="1695" w:type="dxa"/>
          </w:tcPr>
          <w:p w14:paraId="7DDD8BFA" w14:textId="6C89E893" w:rsidR="00C50996" w:rsidRPr="002E53BF" w:rsidRDefault="00C50996" w:rsidP="00C50996">
            <w:pPr>
              <w:pStyle w:val="BodyText"/>
            </w:pPr>
            <w:r>
              <w:rPr>
                <w:color w:val="58595B"/>
                <w:spacing w:val="-4"/>
                <w:w w:val="110"/>
              </w:rPr>
              <w:t>100%</w:t>
            </w:r>
          </w:p>
        </w:tc>
      </w:tr>
      <w:tr w:rsidR="00C50996" w:rsidRPr="003C6130" w14:paraId="430A1E82" w14:textId="77777777" w:rsidTr="002A548C">
        <w:tc>
          <w:tcPr>
            <w:tcW w:w="6658" w:type="dxa"/>
          </w:tcPr>
          <w:p w14:paraId="138F5F7B" w14:textId="77777777" w:rsidR="00C50996" w:rsidRPr="002E53BF" w:rsidRDefault="00C50996" w:rsidP="00C50996">
            <w:pPr>
              <w:pStyle w:val="BodyText"/>
            </w:pPr>
            <w:r w:rsidRPr="009E12B1">
              <w:t xml:space="preserve">ReefVTS area </w:t>
            </w:r>
          </w:p>
        </w:tc>
        <w:tc>
          <w:tcPr>
            <w:tcW w:w="1559" w:type="dxa"/>
          </w:tcPr>
          <w:p w14:paraId="7E4EB4AA" w14:textId="4B067897" w:rsidR="00C50996" w:rsidRPr="002E53BF" w:rsidRDefault="00C50996" w:rsidP="00C50996">
            <w:pPr>
              <w:pStyle w:val="BodyText"/>
            </w:pPr>
            <w:r>
              <w:rPr>
                <w:color w:val="58595B"/>
                <w:spacing w:val="-4"/>
                <w:w w:val="110"/>
              </w:rPr>
              <w:t>100%</w:t>
            </w:r>
          </w:p>
        </w:tc>
        <w:tc>
          <w:tcPr>
            <w:tcW w:w="1695" w:type="dxa"/>
          </w:tcPr>
          <w:p w14:paraId="2C75ECCC" w14:textId="70AB0CA8" w:rsidR="00C50996" w:rsidRPr="002E53BF" w:rsidRDefault="00C50996" w:rsidP="00C50996">
            <w:pPr>
              <w:pStyle w:val="BodyText"/>
            </w:pPr>
            <w:r>
              <w:rPr>
                <w:color w:val="58595B"/>
                <w:spacing w:val="-4"/>
                <w:w w:val="110"/>
              </w:rPr>
              <w:t>100%</w:t>
            </w:r>
          </w:p>
        </w:tc>
      </w:tr>
      <w:tr w:rsidR="00544A94" w:rsidRPr="003C6130" w14:paraId="6E6A9076" w14:textId="77777777" w:rsidTr="006B2F8A">
        <w:tc>
          <w:tcPr>
            <w:tcW w:w="6658" w:type="dxa"/>
            <w:vAlign w:val="bottom"/>
          </w:tcPr>
          <w:p w14:paraId="7641373E" w14:textId="48DB7837" w:rsidR="00544A94" w:rsidRPr="002E53BF" w:rsidRDefault="00544A94" w:rsidP="00544A94">
            <w:pPr>
              <w:pStyle w:val="BodyText"/>
            </w:pPr>
            <w:r w:rsidRPr="009E12B1">
              <w:t>Direct operational cost of Vessel Traffic Services per monitored vessel movement</w:t>
            </w:r>
          </w:p>
        </w:tc>
        <w:tc>
          <w:tcPr>
            <w:tcW w:w="1559" w:type="dxa"/>
          </w:tcPr>
          <w:p w14:paraId="3EF13372" w14:textId="69E0ABD4" w:rsidR="00544A94" w:rsidRPr="002E53BF" w:rsidRDefault="00544A94" w:rsidP="00544A94">
            <w:pPr>
              <w:pStyle w:val="BodyText"/>
            </w:pPr>
            <w:r>
              <w:rPr>
                <w:color w:val="58595B"/>
                <w:spacing w:val="-4"/>
                <w:w w:val="105"/>
              </w:rPr>
              <w:t>$620</w:t>
            </w:r>
          </w:p>
        </w:tc>
        <w:tc>
          <w:tcPr>
            <w:tcW w:w="1695" w:type="dxa"/>
          </w:tcPr>
          <w:p w14:paraId="464F61DF" w14:textId="2F11D0F9" w:rsidR="00544A94" w:rsidRPr="002E53BF" w:rsidRDefault="00544A94" w:rsidP="00544A94">
            <w:pPr>
              <w:pStyle w:val="BodyText"/>
            </w:pPr>
            <w:r>
              <w:rPr>
                <w:color w:val="58595B"/>
                <w:spacing w:val="-4"/>
                <w:w w:val="105"/>
              </w:rPr>
              <w:t>$604</w:t>
            </w:r>
          </w:p>
        </w:tc>
      </w:tr>
    </w:tbl>
    <w:p w14:paraId="54D5D7BB" w14:textId="2C42609B" w:rsidR="00D611C8" w:rsidRPr="00D611C8" w:rsidRDefault="006800C7" w:rsidP="00D611C8">
      <w:pPr>
        <w:pStyle w:val="Subtitle"/>
      </w:pPr>
      <w:r w:rsidRPr="006B6776">
        <w:lastRenderedPageBreak/>
        <w:t>Notes</w:t>
      </w:r>
      <w:r w:rsidR="00D611C8">
        <w:br/>
      </w:r>
      <w:r w:rsidR="00D611C8" w:rsidRPr="00D611C8">
        <w:t>1 The variance between the 2021–22 Actual and 2021–22 Target / Estimate was based on a number of societal influences that can vary throughout the year resulting in changes in numbers of road crashes.</w:t>
      </w:r>
      <w:r w:rsidR="00D611C8">
        <w:br/>
      </w:r>
      <w:r w:rsidR="00D611C8" w:rsidRPr="00D611C8">
        <w:t>2 The variance between the 2021–22 Actual and 2021–22 Target / Estimate reflects decreased marine fatalities during a period where recreational vessel registration increased significantly.</w:t>
      </w:r>
    </w:p>
    <w:p w14:paraId="12AF8ADD" w14:textId="77777777" w:rsidR="006800C7" w:rsidRPr="006072F5" w:rsidRDefault="006800C7" w:rsidP="006800C7">
      <w:pPr>
        <w:pStyle w:val="Heading3"/>
      </w:pPr>
      <w:r w:rsidRPr="006072F5">
        <w:t xml:space="preserve">Service area: Customer Experience </w:t>
      </w:r>
    </w:p>
    <w:p w14:paraId="736EEBE4" w14:textId="77777777" w:rsidR="006800C7" w:rsidRPr="006072F5" w:rsidRDefault="006800C7" w:rsidP="006800C7">
      <w:pPr>
        <w:pStyle w:val="Heading4"/>
      </w:pPr>
      <w:r w:rsidRPr="006072F5">
        <w:t>Service area objective</w:t>
      </w:r>
    </w:p>
    <w:p w14:paraId="015C7F18" w14:textId="77777777" w:rsidR="006800C7" w:rsidRPr="006072F5" w:rsidRDefault="006800C7" w:rsidP="006800C7">
      <w:r w:rsidRPr="006072F5">
        <w:t>To understand evolving customer needs and expectations, to improve customer experiences and reduce complaints</w:t>
      </w:r>
      <w:r>
        <w:t>.</w:t>
      </w:r>
    </w:p>
    <w:tbl>
      <w:tblPr>
        <w:tblStyle w:val="TableGrid"/>
        <w:tblW w:w="9912" w:type="dxa"/>
        <w:tblLayout w:type="fixed"/>
        <w:tblLook w:val="04A0" w:firstRow="1" w:lastRow="0" w:firstColumn="1" w:lastColumn="0" w:noHBand="0" w:noVBand="1"/>
      </w:tblPr>
      <w:tblGrid>
        <w:gridCol w:w="6658"/>
        <w:gridCol w:w="1559"/>
        <w:gridCol w:w="1695"/>
      </w:tblGrid>
      <w:tr w:rsidR="006800C7" w:rsidRPr="003C6130" w14:paraId="3AB37FC6" w14:textId="77777777" w:rsidTr="00F31956">
        <w:tc>
          <w:tcPr>
            <w:tcW w:w="6658" w:type="dxa"/>
          </w:tcPr>
          <w:p w14:paraId="54847989" w14:textId="77777777" w:rsidR="006800C7" w:rsidRPr="002E53BF" w:rsidRDefault="006800C7" w:rsidP="00F31956">
            <w:pPr>
              <w:pStyle w:val="BodyText"/>
            </w:pPr>
            <w:r w:rsidRPr="00E90BF0">
              <w:t>Service standards</w:t>
            </w:r>
          </w:p>
        </w:tc>
        <w:tc>
          <w:tcPr>
            <w:tcW w:w="1559" w:type="dxa"/>
          </w:tcPr>
          <w:p w14:paraId="793750FD" w14:textId="77777777" w:rsidR="006800C7" w:rsidRPr="002E53BF" w:rsidRDefault="006800C7" w:rsidP="00F31956">
            <w:pPr>
              <w:pStyle w:val="BodyText"/>
            </w:pPr>
            <w:r w:rsidRPr="00E90BF0">
              <w:t>2020–21 Target /</w:t>
            </w:r>
            <w:r>
              <w:t xml:space="preserve"> </w:t>
            </w:r>
            <w:r w:rsidRPr="00E90BF0">
              <w:t>Estimate</w:t>
            </w:r>
          </w:p>
        </w:tc>
        <w:tc>
          <w:tcPr>
            <w:tcW w:w="1695" w:type="dxa"/>
          </w:tcPr>
          <w:p w14:paraId="5A2AE582" w14:textId="77777777" w:rsidR="006800C7" w:rsidRPr="002E53BF" w:rsidRDefault="006800C7" w:rsidP="00F31956">
            <w:pPr>
              <w:pStyle w:val="BodyText"/>
            </w:pPr>
            <w:r w:rsidRPr="00E90BF0">
              <w:t>2020–21 Actual</w:t>
            </w:r>
          </w:p>
        </w:tc>
      </w:tr>
      <w:tr w:rsidR="006800C7" w:rsidRPr="003C6130" w14:paraId="7DAEEE94" w14:textId="77777777" w:rsidTr="00F31956">
        <w:tc>
          <w:tcPr>
            <w:tcW w:w="6658" w:type="dxa"/>
            <w:vAlign w:val="bottom"/>
          </w:tcPr>
          <w:p w14:paraId="133996B7" w14:textId="77777777" w:rsidR="006800C7" w:rsidRPr="002E53BF" w:rsidRDefault="006800C7" w:rsidP="00F31956">
            <w:pPr>
              <w:pStyle w:val="BodyText"/>
            </w:pPr>
            <w:r w:rsidRPr="00E90BF0">
              <w:t>Overall customer satisfaction with transactional services (on a scale of 1 to 10)</w:t>
            </w:r>
          </w:p>
        </w:tc>
        <w:tc>
          <w:tcPr>
            <w:tcW w:w="1559" w:type="dxa"/>
            <w:vAlign w:val="bottom"/>
          </w:tcPr>
          <w:p w14:paraId="23579E68" w14:textId="253AC904" w:rsidR="006800C7" w:rsidRPr="002E53BF" w:rsidRDefault="006800C7" w:rsidP="00F31956">
            <w:pPr>
              <w:pStyle w:val="BodyText"/>
            </w:pPr>
            <w:r w:rsidRPr="00E90BF0">
              <w:t>8</w:t>
            </w:r>
            <w:r w:rsidR="00FA3F49">
              <w:t>.0</w:t>
            </w:r>
          </w:p>
        </w:tc>
        <w:tc>
          <w:tcPr>
            <w:tcW w:w="1695" w:type="dxa"/>
            <w:vAlign w:val="bottom"/>
          </w:tcPr>
          <w:p w14:paraId="7364D0E6" w14:textId="021EBA86" w:rsidR="006800C7" w:rsidRPr="002E53BF" w:rsidRDefault="006800C7" w:rsidP="00F31956">
            <w:pPr>
              <w:pStyle w:val="BodyText"/>
            </w:pPr>
            <w:r w:rsidRPr="00E90BF0">
              <w:t>8.</w:t>
            </w:r>
            <w:r w:rsidR="00FA3F49">
              <w:t>4</w:t>
            </w:r>
          </w:p>
        </w:tc>
      </w:tr>
      <w:tr w:rsidR="006800C7" w:rsidRPr="003C6130" w14:paraId="7010C030" w14:textId="77777777" w:rsidTr="00F31956">
        <w:tc>
          <w:tcPr>
            <w:tcW w:w="6658" w:type="dxa"/>
            <w:vAlign w:val="bottom"/>
          </w:tcPr>
          <w:p w14:paraId="3B039AAD" w14:textId="77777777" w:rsidR="006800C7" w:rsidRPr="002E53BF" w:rsidRDefault="006800C7" w:rsidP="00F31956">
            <w:pPr>
              <w:pStyle w:val="BodyText"/>
            </w:pPr>
            <w:r w:rsidRPr="00E90BF0">
              <w:t xml:space="preserve">Customer experience ratings of </w:t>
            </w:r>
            <w:r w:rsidRPr="002E53BF">
              <w:t>passenger transport service by type (on a scale of 1 to 5):</w:t>
            </w:r>
          </w:p>
        </w:tc>
        <w:tc>
          <w:tcPr>
            <w:tcW w:w="1559" w:type="dxa"/>
            <w:vAlign w:val="bottom"/>
          </w:tcPr>
          <w:p w14:paraId="1451C2E1" w14:textId="77777777" w:rsidR="006800C7" w:rsidRPr="00E90BF0" w:rsidRDefault="006800C7" w:rsidP="00F31956">
            <w:pPr>
              <w:pStyle w:val="BodyText"/>
            </w:pPr>
          </w:p>
        </w:tc>
        <w:tc>
          <w:tcPr>
            <w:tcW w:w="1695" w:type="dxa"/>
            <w:vAlign w:val="bottom"/>
          </w:tcPr>
          <w:p w14:paraId="1FADF806" w14:textId="77777777" w:rsidR="006800C7" w:rsidRPr="00E90BF0" w:rsidRDefault="006800C7" w:rsidP="00F31956">
            <w:pPr>
              <w:pStyle w:val="BodyText"/>
            </w:pPr>
          </w:p>
        </w:tc>
      </w:tr>
      <w:tr w:rsidR="006800C7" w:rsidRPr="003C6130" w14:paraId="24532671" w14:textId="77777777" w:rsidTr="00F31956">
        <w:tc>
          <w:tcPr>
            <w:tcW w:w="6658" w:type="dxa"/>
          </w:tcPr>
          <w:p w14:paraId="4DA9F29D" w14:textId="77777777" w:rsidR="006800C7" w:rsidRPr="002E53BF" w:rsidRDefault="006800C7" w:rsidP="00F31956">
            <w:pPr>
              <w:pStyle w:val="BodyText"/>
            </w:pPr>
            <w:r w:rsidRPr="00E90BF0">
              <w:t>South East Queensland bus</w:t>
            </w:r>
          </w:p>
        </w:tc>
        <w:tc>
          <w:tcPr>
            <w:tcW w:w="1559" w:type="dxa"/>
            <w:vAlign w:val="bottom"/>
          </w:tcPr>
          <w:p w14:paraId="0BCD5092" w14:textId="77777777" w:rsidR="006800C7" w:rsidRPr="002E53BF" w:rsidRDefault="006800C7" w:rsidP="00F31956">
            <w:pPr>
              <w:pStyle w:val="BodyText"/>
            </w:pPr>
            <w:r w:rsidRPr="00E90BF0">
              <w:t>≥ 3.5</w:t>
            </w:r>
          </w:p>
        </w:tc>
        <w:tc>
          <w:tcPr>
            <w:tcW w:w="1695" w:type="dxa"/>
            <w:vAlign w:val="bottom"/>
          </w:tcPr>
          <w:p w14:paraId="5E98BB37" w14:textId="77777777" w:rsidR="006800C7" w:rsidRPr="002E53BF" w:rsidRDefault="006800C7" w:rsidP="00F31956">
            <w:pPr>
              <w:pStyle w:val="BodyText"/>
            </w:pPr>
            <w:r w:rsidRPr="00E90BF0">
              <w:t>4.2</w:t>
            </w:r>
          </w:p>
        </w:tc>
      </w:tr>
      <w:tr w:rsidR="006800C7" w:rsidRPr="003C6130" w14:paraId="103E63DD" w14:textId="77777777" w:rsidTr="00F31956">
        <w:tc>
          <w:tcPr>
            <w:tcW w:w="6658" w:type="dxa"/>
          </w:tcPr>
          <w:p w14:paraId="24F68163" w14:textId="77777777" w:rsidR="006800C7" w:rsidRPr="002E53BF" w:rsidRDefault="006800C7" w:rsidP="00F31956">
            <w:pPr>
              <w:pStyle w:val="BodyText"/>
            </w:pPr>
            <w:r w:rsidRPr="00E90BF0">
              <w:t>South East Queensland rail</w:t>
            </w:r>
          </w:p>
        </w:tc>
        <w:tc>
          <w:tcPr>
            <w:tcW w:w="1559" w:type="dxa"/>
            <w:vAlign w:val="bottom"/>
          </w:tcPr>
          <w:p w14:paraId="1FCE7F9E" w14:textId="77777777" w:rsidR="006800C7" w:rsidRPr="002E53BF" w:rsidRDefault="006800C7" w:rsidP="00F31956">
            <w:pPr>
              <w:pStyle w:val="BodyText"/>
            </w:pPr>
            <w:r w:rsidRPr="00E90BF0">
              <w:t>≥ 3.5</w:t>
            </w:r>
          </w:p>
        </w:tc>
        <w:tc>
          <w:tcPr>
            <w:tcW w:w="1695" w:type="dxa"/>
            <w:vAlign w:val="bottom"/>
          </w:tcPr>
          <w:p w14:paraId="5002A345" w14:textId="1B5A14C1" w:rsidR="006800C7" w:rsidRPr="002E53BF" w:rsidRDefault="006800C7" w:rsidP="00F31956">
            <w:pPr>
              <w:pStyle w:val="BodyText"/>
            </w:pPr>
            <w:r w:rsidRPr="00E90BF0">
              <w:t>4.</w:t>
            </w:r>
            <w:r w:rsidR="0048319D">
              <w:t>1</w:t>
            </w:r>
          </w:p>
        </w:tc>
      </w:tr>
      <w:tr w:rsidR="006800C7" w:rsidRPr="003C6130" w14:paraId="4A280D54" w14:textId="77777777" w:rsidTr="00F31956">
        <w:tc>
          <w:tcPr>
            <w:tcW w:w="6658" w:type="dxa"/>
          </w:tcPr>
          <w:p w14:paraId="4489C7F0" w14:textId="77777777" w:rsidR="006800C7" w:rsidRPr="002E53BF" w:rsidRDefault="006800C7" w:rsidP="00F31956">
            <w:pPr>
              <w:pStyle w:val="BodyText"/>
            </w:pPr>
            <w:r w:rsidRPr="00E90BF0">
              <w:t>South East Queensland ferry</w:t>
            </w:r>
          </w:p>
        </w:tc>
        <w:tc>
          <w:tcPr>
            <w:tcW w:w="1559" w:type="dxa"/>
            <w:vAlign w:val="bottom"/>
          </w:tcPr>
          <w:p w14:paraId="74C813EE" w14:textId="77777777" w:rsidR="006800C7" w:rsidRPr="002E53BF" w:rsidRDefault="006800C7" w:rsidP="00F31956">
            <w:pPr>
              <w:pStyle w:val="BodyText"/>
            </w:pPr>
            <w:r w:rsidRPr="00E90BF0">
              <w:t>≥ 3.5</w:t>
            </w:r>
          </w:p>
        </w:tc>
        <w:tc>
          <w:tcPr>
            <w:tcW w:w="1695" w:type="dxa"/>
            <w:vAlign w:val="bottom"/>
          </w:tcPr>
          <w:p w14:paraId="3AB1982F" w14:textId="10A70382" w:rsidR="006800C7" w:rsidRPr="002E53BF" w:rsidRDefault="006800C7" w:rsidP="00F31956">
            <w:pPr>
              <w:pStyle w:val="BodyText"/>
            </w:pPr>
            <w:r w:rsidRPr="00E90BF0">
              <w:t>4.</w:t>
            </w:r>
            <w:r w:rsidR="0048319D">
              <w:t>4</w:t>
            </w:r>
          </w:p>
        </w:tc>
      </w:tr>
      <w:tr w:rsidR="006800C7" w:rsidRPr="003C6130" w14:paraId="6E49F2DB" w14:textId="77777777" w:rsidTr="00F31956">
        <w:tc>
          <w:tcPr>
            <w:tcW w:w="6658" w:type="dxa"/>
          </w:tcPr>
          <w:p w14:paraId="7D942993" w14:textId="77777777" w:rsidR="006800C7" w:rsidRPr="002E53BF" w:rsidRDefault="006800C7" w:rsidP="00F31956">
            <w:pPr>
              <w:pStyle w:val="BodyText"/>
            </w:pPr>
            <w:r w:rsidRPr="00E90BF0">
              <w:t>South East Queensland tram</w:t>
            </w:r>
          </w:p>
        </w:tc>
        <w:tc>
          <w:tcPr>
            <w:tcW w:w="1559" w:type="dxa"/>
            <w:vAlign w:val="bottom"/>
          </w:tcPr>
          <w:p w14:paraId="380BF958" w14:textId="77777777" w:rsidR="006800C7" w:rsidRPr="002E53BF" w:rsidRDefault="006800C7" w:rsidP="00F31956">
            <w:pPr>
              <w:pStyle w:val="BodyText"/>
            </w:pPr>
            <w:r w:rsidRPr="00E90BF0">
              <w:t>≥ 3.5</w:t>
            </w:r>
          </w:p>
        </w:tc>
        <w:tc>
          <w:tcPr>
            <w:tcW w:w="1695" w:type="dxa"/>
            <w:vAlign w:val="bottom"/>
          </w:tcPr>
          <w:p w14:paraId="3E697212" w14:textId="5C5AC129" w:rsidR="006800C7" w:rsidRPr="002E53BF" w:rsidRDefault="006800C7" w:rsidP="00F31956">
            <w:pPr>
              <w:pStyle w:val="BodyText"/>
            </w:pPr>
            <w:r w:rsidRPr="00E90BF0">
              <w:t>4.</w:t>
            </w:r>
            <w:r w:rsidR="0048319D">
              <w:t>2</w:t>
            </w:r>
          </w:p>
        </w:tc>
      </w:tr>
      <w:tr w:rsidR="006800C7" w:rsidRPr="003C6130" w14:paraId="38365A70" w14:textId="77777777" w:rsidTr="00F31956">
        <w:tc>
          <w:tcPr>
            <w:tcW w:w="6658" w:type="dxa"/>
          </w:tcPr>
          <w:p w14:paraId="25F69EFE" w14:textId="77777777" w:rsidR="006800C7" w:rsidRPr="002E53BF" w:rsidRDefault="006800C7" w:rsidP="00F31956">
            <w:pPr>
              <w:pStyle w:val="BodyText"/>
            </w:pPr>
            <w:r w:rsidRPr="00E90BF0">
              <w:t>Regional urban bus</w:t>
            </w:r>
          </w:p>
        </w:tc>
        <w:tc>
          <w:tcPr>
            <w:tcW w:w="1559" w:type="dxa"/>
            <w:vAlign w:val="bottom"/>
          </w:tcPr>
          <w:p w14:paraId="013E2B40" w14:textId="77777777" w:rsidR="006800C7" w:rsidRPr="002E53BF" w:rsidRDefault="006800C7" w:rsidP="00F31956">
            <w:pPr>
              <w:pStyle w:val="BodyText"/>
            </w:pPr>
            <w:r w:rsidRPr="00E90BF0">
              <w:t>≥ 3.5</w:t>
            </w:r>
          </w:p>
        </w:tc>
        <w:tc>
          <w:tcPr>
            <w:tcW w:w="1695" w:type="dxa"/>
            <w:vAlign w:val="bottom"/>
          </w:tcPr>
          <w:p w14:paraId="490DF9D6" w14:textId="493C2208" w:rsidR="006800C7" w:rsidRPr="002E53BF" w:rsidRDefault="006800C7" w:rsidP="00F31956">
            <w:pPr>
              <w:pStyle w:val="BodyText"/>
            </w:pPr>
            <w:r w:rsidRPr="00E90BF0">
              <w:t>4.</w:t>
            </w:r>
            <w:r w:rsidR="0048319D">
              <w:t>3</w:t>
            </w:r>
          </w:p>
        </w:tc>
      </w:tr>
      <w:tr w:rsidR="006800C7" w:rsidRPr="003C6130" w14:paraId="13CC0E1C" w14:textId="77777777" w:rsidTr="00F31956">
        <w:tc>
          <w:tcPr>
            <w:tcW w:w="6658" w:type="dxa"/>
            <w:vAlign w:val="bottom"/>
          </w:tcPr>
          <w:p w14:paraId="18385BDF" w14:textId="77777777" w:rsidR="006800C7" w:rsidRPr="002E53BF" w:rsidRDefault="006800C7" w:rsidP="00F31956">
            <w:pPr>
              <w:pStyle w:val="BodyText"/>
            </w:pPr>
            <w:r w:rsidRPr="00E90BF0">
              <w:t>Customer service complaints in SEQ per 10,000 trips</w:t>
            </w:r>
          </w:p>
        </w:tc>
        <w:tc>
          <w:tcPr>
            <w:tcW w:w="1559" w:type="dxa"/>
            <w:vAlign w:val="bottom"/>
          </w:tcPr>
          <w:p w14:paraId="4529440A" w14:textId="28BAD540" w:rsidR="006800C7" w:rsidRPr="002E53BF" w:rsidRDefault="006800C7" w:rsidP="00F31956">
            <w:pPr>
              <w:pStyle w:val="BodyText"/>
            </w:pPr>
            <w:r w:rsidRPr="00E90BF0">
              <w:t>&lt; 3</w:t>
            </w:r>
            <w:r w:rsidR="0048319D">
              <w:t>.0</w:t>
            </w:r>
          </w:p>
        </w:tc>
        <w:tc>
          <w:tcPr>
            <w:tcW w:w="1695" w:type="dxa"/>
            <w:vAlign w:val="bottom"/>
          </w:tcPr>
          <w:p w14:paraId="5B241F27" w14:textId="025ABA4D" w:rsidR="006800C7" w:rsidRPr="002E53BF" w:rsidRDefault="0048319D" w:rsidP="00F31956">
            <w:pPr>
              <w:pStyle w:val="BodyText"/>
            </w:pPr>
            <w:r>
              <w:t>2.2</w:t>
            </w:r>
          </w:p>
        </w:tc>
      </w:tr>
      <w:tr w:rsidR="006800C7" w:rsidRPr="003C6130" w14:paraId="5724F7F1" w14:textId="77777777" w:rsidTr="00F31956">
        <w:tc>
          <w:tcPr>
            <w:tcW w:w="6658" w:type="dxa"/>
            <w:vAlign w:val="bottom"/>
          </w:tcPr>
          <w:p w14:paraId="16461414" w14:textId="77777777" w:rsidR="006800C7" w:rsidRPr="002E53BF" w:rsidRDefault="006800C7" w:rsidP="00F31956">
            <w:pPr>
              <w:pStyle w:val="BodyText"/>
            </w:pPr>
            <w:bookmarkStart w:id="27" w:name="_Hlk36109656"/>
            <w:r w:rsidRPr="00E90BF0">
              <w:t xml:space="preserve">Average unit cost per transaction </w:t>
            </w:r>
            <w:bookmarkEnd w:id="27"/>
            <w:r w:rsidRPr="00E90BF0">
              <w:t>in a Customer Service Centre1</w:t>
            </w:r>
          </w:p>
        </w:tc>
        <w:tc>
          <w:tcPr>
            <w:tcW w:w="1559" w:type="dxa"/>
            <w:vAlign w:val="bottom"/>
          </w:tcPr>
          <w:p w14:paraId="197CF6D2" w14:textId="1E02A327" w:rsidR="006800C7" w:rsidRPr="002E53BF" w:rsidRDefault="006800C7" w:rsidP="00F31956">
            <w:pPr>
              <w:pStyle w:val="BodyText"/>
            </w:pPr>
            <w:r w:rsidRPr="00E90BF0">
              <w:t>$</w:t>
            </w:r>
            <w:r w:rsidR="0048319D">
              <w:t>21.14</w:t>
            </w:r>
          </w:p>
        </w:tc>
        <w:tc>
          <w:tcPr>
            <w:tcW w:w="1695" w:type="dxa"/>
            <w:vAlign w:val="bottom"/>
          </w:tcPr>
          <w:p w14:paraId="6A158890" w14:textId="6548D767" w:rsidR="006800C7" w:rsidRPr="002E53BF" w:rsidRDefault="006800C7" w:rsidP="00F31956">
            <w:pPr>
              <w:pStyle w:val="BodyText"/>
            </w:pPr>
            <w:r w:rsidRPr="00E90BF0">
              <w:t>$2</w:t>
            </w:r>
            <w:r w:rsidR="0048319D">
              <w:t>2.24</w:t>
            </w:r>
          </w:p>
        </w:tc>
      </w:tr>
      <w:tr w:rsidR="006800C7" w:rsidRPr="003C6130" w14:paraId="454C40F4" w14:textId="77777777" w:rsidTr="00F31956">
        <w:tc>
          <w:tcPr>
            <w:tcW w:w="6658" w:type="dxa"/>
            <w:vAlign w:val="bottom"/>
          </w:tcPr>
          <w:p w14:paraId="4048CD84" w14:textId="77777777" w:rsidR="006800C7" w:rsidRPr="002E53BF" w:rsidRDefault="006800C7" w:rsidP="00F31956">
            <w:pPr>
              <w:pStyle w:val="BodyText"/>
            </w:pPr>
            <w:r w:rsidRPr="00E90BF0">
              <w:t>Average cost per customer enquiry – TransLink Contact Centre2</w:t>
            </w:r>
          </w:p>
        </w:tc>
        <w:tc>
          <w:tcPr>
            <w:tcW w:w="1559" w:type="dxa"/>
            <w:vAlign w:val="bottom"/>
          </w:tcPr>
          <w:p w14:paraId="4401092F" w14:textId="5F3A0085" w:rsidR="006800C7" w:rsidRPr="002E53BF" w:rsidRDefault="006800C7" w:rsidP="00F31956">
            <w:pPr>
              <w:pStyle w:val="BodyText"/>
            </w:pPr>
            <w:r w:rsidRPr="00E90BF0">
              <w:t>$</w:t>
            </w:r>
            <w:r w:rsidR="0048319D">
              <w:t>5.97</w:t>
            </w:r>
          </w:p>
        </w:tc>
        <w:tc>
          <w:tcPr>
            <w:tcW w:w="1695" w:type="dxa"/>
            <w:vAlign w:val="bottom"/>
          </w:tcPr>
          <w:p w14:paraId="76CA2DCE" w14:textId="3866045F" w:rsidR="006800C7" w:rsidRPr="002E53BF" w:rsidRDefault="006800C7" w:rsidP="00F31956">
            <w:pPr>
              <w:pStyle w:val="BodyText"/>
            </w:pPr>
            <w:r w:rsidRPr="00E90BF0">
              <w:t>$</w:t>
            </w:r>
            <w:r w:rsidR="0048319D">
              <w:t>6.71</w:t>
            </w:r>
          </w:p>
        </w:tc>
      </w:tr>
    </w:tbl>
    <w:p w14:paraId="7E392F61" w14:textId="5D9937FF" w:rsidR="005E0A86" w:rsidRPr="005E0A86" w:rsidRDefault="006800C7" w:rsidP="005E0A86">
      <w:pPr>
        <w:pStyle w:val="Subtitle"/>
      </w:pPr>
      <w:r w:rsidRPr="00C16727">
        <w:t>Notes</w:t>
      </w:r>
      <w:r w:rsidR="005E0A86">
        <w:br/>
      </w:r>
      <w:r w:rsidR="005E0A86" w:rsidRPr="005E0A86">
        <w:t>1 The variance between the 2021–22 Actual and 2021–22 Target / Estimate was due to an Enterprise Bargaining Agreement / CPI increase of 2.5 per cent</w:t>
      </w:r>
      <w:r w:rsidR="005E0A86">
        <w:br/>
      </w:r>
      <w:r w:rsidR="005E0A86" w:rsidRPr="005E0A86">
        <w:t>2 The variance between the 2021–22 Actual and 2021–22 Target / Estimate was due to lower than forecast call volume received during the period.</w:t>
      </w:r>
    </w:p>
    <w:p w14:paraId="6FB6D22D" w14:textId="77777777" w:rsidR="006800C7" w:rsidRPr="0072304B" w:rsidRDefault="006800C7" w:rsidP="006800C7">
      <w:pPr>
        <w:pStyle w:val="Heading3"/>
      </w:pPr>
      <w:r w:rsidRPr="0072304B">
        <w:lastRenderedPageBreak/>
        <w:t xml:space="preserve">Service area: Passenger Transport Services </w:t>
      </w:r>
    </w:p>
    <w:p w14:paraId="53A9F6DE" w14:textId="77777777" w:rsidR="006800C7" w:rsidRPr="0072304B" w:rsidRDefault="006800C7" w:rsidP="006800C7">
      <w:pPr>
        <w:pStyle w:val="Heading4"/>
      </w:pPr>
      <w:r w:rsidRPr="0072304B">
        <w:t>Service area objective</w:t>
      </w:r>
    </w:p>
    <w:p w14:paraId="3A70797E" w14:textId="77777777" w:rsidR="006800C7" w:rsidRPr="0072304B" w:rsidRDefault="006800C7" w:rsidP="006800C7">
      <w:r w:rsidRPr="0072304B">
        <w:t>To connect Queensland through the delivery of customer focused passenger transport services</w:t>
      </w:r>
      <w:r>
        <w:t>.</w:t>
      </w:r>
      <w:r w:rsidRPr="0072304B">
        <w:t xml:space="preserve"> </w:t>
      </w:r>
    </w:p>
    <w:tbl>
      <w:tblPr>
        <w:tblStyle w:val="TableGrid"/>
        <w:tblW w:w="9912" w:type="dxa"/>
        <w:tblLayout w:type="fixed"/>
        <w:tblLook w:val="04A0" w:firstRow="1" w:lastRow="0" w:firstColumn="1" w:lastColumn="0" w:noHBand="0" w:noVBand="1"/>
      </w:tblPr>
      <w:tblGrid>
        <w:gridCol w:w="6658"/>
        <w:gridCol w:w="1559"/>
        <w:gridCol w:w="1695"/>
      </w:tblGrid>
      <w:tr w:rsidR="006800C7" w:rsidRPr="003C6130" w14:paraId="153E94FE" w14:textId="77777777" w:rsidTr="00F31956">
        <w:tc>
          <w:tcPr>
            <w:tcW w:w="6658" w:type="dxa"/>
          </w:tcPr>
          <w:p w14:paraId="07F19E42" w14:textId="77777777" w:rsidR="006800C7" w:rsidRPr="002E53BF" w:rsidRDefault="006800C7" w:rsidP="00F31956">
            <w:pPr>
              <w:pStyle w:val="BodyText"/>
            </w:pPr>
            <w:r w:rsidRPr="00BC75D3">
              <w:t>Service standards</w:t>
            </w:r>
          </w:p>
        </w:tc>
        <w:tc>
          <w:tcPr>
            <w:tcW w:w="1559" w:type="dxa"/>
          </w:tcPr>
          <w:p w14:paraId="5B510864" w14:textId="77777777" w:rsidR="006800C7" w:rsidRPr="002E53BF" w:rsidRDefault="006800C7" w:rsidP="00F31956">
            <w:pPr>
              <w:pStyle w:val="BodyText"/>
            </w:pPr>
            <w:r w:rsidRPr="00BC75D3">
              <w:t>2020–21 Target /</w:t>
            </w:r>
            <w:r>
              <w:t xml:space="preserve"> </w:t>
            </w:r>
            <w:r w:rsidRPr="00BC75D3">
              <w:t>Estimate</w:t>
            </w:r>
          </w:p>
        </w:tc>
        <w:tc>
          <w:tcPr>
            <w:tcW w:w="1695" w:type="dxa"/>
          </w:tcPr>
          <w:p w14:paraId="4EBBC9EE" w14:textId="77777777" w:rsidR="006800C7" w:rsidRPr="002E53BF" w:rsidRDefault="006800C7" w:rsidP="00F31956">
            <w:pPr>
              <w:pStyle w:val="BodyText"/>
            </w:pPr>
            <w:r w:rsidRPr="00BC75D3">
              <w:t>2020–21 Actual</w:t>
            </w:r>
          </w:p>
        </w:tc>
      </w:tr>
      <w:tr w:rsidR="006800C7" w:rsidRPr="003C6130" w14:paraId="33C39F20" w14:textId="77777777" w:rsidTr="00F31956">
        <w:tc>
          <w:tcPr>
            <w:tcW w:w="6658" w:type="dxa"/>
            <w:vAlign w:val="bottom"/>
          </w:tcPr>
          <w:p w14:paraId="1CE68C79" w14:textId="77777777" w:rsidR="006800C7" w:rsidRPr="002E53BF" w:rsidRDefault="006800C7" w:rsidP="00F31956">
            <w:pPr>
              <w:pStyle w:val="BodyText"/>
            </w:pPr>
            <w:r w:rsidRPr="00BC75D3">
              <w:t>Patronage on Government contracted services (millions):</w:t>
            </w:r>
          </w:p>
        </w:tc>
        <w:tc>
          <w:tcPr>
            <w:tcW w:w="1559" w:type="dxa"/>
            <w:vAlign w:val="bottom"/>
          </w:tcPr>
          <w:p w14:paraId="53A7BA46" w14:textId="77777777" w:rsidR="006800C7" w:rsidRPr="00BC75D3" w:rsidRDefault="006800C7" w:rsidP="00F31956">
            <w:pPr>
              <w:pStyle w:val="BodyText"/>
            </w:pPr>
          </w:p>
        </w:tc>
        <w:tc>
          <w:tcPr>
            <w:tcW w:w="1695" w:type="dxa"/>
            <w:vAlign w:val="bottom"/>
          </w:tcPr>
          <w:p w14:paraId="64A1F1BC" w14:textId="77777777" w:rsidR="006800C7" w:rsidRPr="00BC75D3" w:rsidRDefault="006800C7" w:rsidP="00F31956">
            <w:pPr>
              <w:pStyle w:val="BodyText"/>
            </w:pPr>
          </w:p>
        </w:tc>
      </w:tr>
      <w:tr w:rsidR="00791B50" w:rsidRPr="003C6130" w14:paraId="759BFE2E" w14:textId="77777777" w:rsidTr="00D606AD">
        <w:tc>
          <w:tcPr>
            <w:tcW w:w="6658" w:type="dxa"/>
            <w:vAlign w:val="bottom"/>
          </w:tcPr>
          <w:p w14:paraId="72BC62B1" w14:textId="77777777" w:rsidR="00791B50" w:rsidRPr="002E53BF" w:rsidRDefault="00791B50" w:rsidP="00791B50">
            <w:pPr>
              <w:pStyle w:val="BodyText"/>
            </w:pPr>
            <w:r w:rsidRPr="00BC75D3">
              <w:t>SEQ1:</w:t>
            </w:r>
          </w:p>
        </w:tc>
        <w:tc>
          <w:tcPr>
            <w:tcW w:w="1559" w:type="dxa"/>
          </w:tcPr>
          <w:p w14:paraId="402318DC" w14:textId="26004E69" w:rsidR="00791B50" w:rsidRPr="002E53BF" w:rsidRDefault="00791B50" w:rsidP="00791B50">
            <w:pPr>
              <w:pStyle w:val="BodyText"/>
            </w:pPr>
            <w:r>
              <w:rPr>
                <w:color w:val="58595B"/>
                <w:spacing w:val="-2"/>
                <w:w w:val="110"/>
              </w:rPr>
              <w:t>154.76</w:t>
            </w:r>
          </w:p>
        </w:tc>
        <w:tc>
          <w:tcPr>
            <w:tcW w:w="1695" w:type="dxa"/>
          </w:tcPr>
          <w:p w14:paraId="1D7D93CE" w14:textId="72EAE6B6" w:rsidR="00791B50" w:rsidRPr="002E53BF" w:rsidRDefault="00791B50" w:rsidP="00791B50">
            <w:pPr>
              <w:pStyle w:val="BodyText"/>
            </w:pPr>
            <w:r>
              <w:rPr>
                <w:color w:val="58595B"/>
                <w:spacing w:val="-2"/>
                <w:w w:val="115"/>
              </w:rPr>
              <w:t>113.42</w:t>
            </w:r>
          </w:p>
        </w:tc>
      </w:tr>
      <w:tr w:rsidR="00791B50" w:rsidRPr="003C6130" w14:paraId="551A01C1" w14:textId="77777777" w:rsidTr="00D606AD">
        <w:tc>
          <w:tcPr>
            <w:tcW w:w="6658" w:type="dxa"/>
          </w:tcPr>
          <w:p w14:paraId="7C731B53" w14:textId="77777777" w:rsidR="00791B50" w:rsidRPr="002E53BF" w:rsidRDefault="00791B50" w:rsidP="00791B50">
            <w:pPr>
              <w:pStyle w:val="BodyText"/>
            </w:pPr>
            <w:r w:rsidRPr="00BC75D3">
              <w:t>Bus</w:t>
            </w:r>
          </w:p>
        </w:tc>
        <w:tc>
          <w:tcPr>
            <w:tcW w:w="1559" w:type="dxa"/>
          </w:tcPr>
          <w:p w14:paraId="66EC3FA7" w14:textId="2FA0CA79" w:rsidR="00791B50" w:rsidRPr="002E53BF" w:rsidRDefault="00791B50" w:rsidP="00791B50">
            <w:pPr>
              <w:pStyle w:val="BodyText"/>
            </w:pPr>
            <w:r>
              <w:rPr>
                <w:color w:val="58595B"/>
                <w:spacing w:val="-2"/>
              </w:rPr>
              <w:t>98.89</w:t>
            </w:r>
          </w:p>
        </w:tc>
        <w:tc>
          <w:tcPr>
            <w:tcW w:w="1695" w:type="dxa"/>
          </w:tcPr>
          <w:p w14:paraId="1052D74B" w14:textId="5E1AD7C6" w:rsidR="00791B50" w:rsidRPr="002E53BF" w:rsidRDefault="00791B50" w:rsidP="00791B50">
            <w:pPr>
              <w:pStyle w:val="BodyText"/>
            </w:pPr>
            <w:r>
              <w:rPr>
                <w:color w:val="58595B"/>
                <w:spacing w:val="-4"/>
                <w:w w:val="105"/>
              </w:rPr>
              <w:t>72.70</w:t>
            </w:r>
          </w:p>
        </w:tc>
      </w:tr>
      <w:tr w:rsidR="00791B50" w:rsidRPr="003C6130" w14:paraId="4F5F6BBB" w14:textId="77777777" w:rsidTr="00D606AD">
        <w:tc>
          <w:tcPr>
            <w:tcW w:w="6658" w:type="dxa"/>
          </w:tcPr>
          <w:p w14:paraId="61C23B14" w14:textId="77777777" w:rsidR="00791B50" w:rsidRPr="002E53BF" w:rsidRDefault="00791B50" w:rsidP="00791B50">
            <w:pPr>
              <w:pStyle w:val="BodyText"/>
            </w:pPr>
            <w:r w:rsidRPr="00BC75D3">
              <w:t>Rail</w:t>
            </w:r>
          </w:p>
        </w:tc>
        <w:tc>
          <w:tcPr>
            <w:tcW w:w="1559" w:type="dxa"/>
          </w:tcPr>
          <w:p w14:paraId="736152AB" w14:textId="66D7CF59" w:rsidR="00791B50" w:rsidRPr="002E53BF" w:rsidRDefault="00791B50" w:rsidP="00791B50">
            <w:pPr>
              <w:pStyle w:val="BodyText"/>
            </w:pPr>
            <w:r>
              <w:rPr>
                <w:color w:val="58595B"/>
                <w:spacing w:val="-2"/>
                <w:w w:val="105"/>
              </w:rPr>
              <w:t>43.08</w:t>
            </w:r>
          </w:p>
        </w:tc>
        <w:tc>
          <w:tcPr>
            <w:tcW w:w="1695" w:type="dxa"/>
          </w:tcPr>
          <w:p w14:paraId="77AD533E" w14:textId="5D7C63D1" w:rsidR="00791B50" w:rsidRPr="002E53BF" w:rsidRDefault="00791B50" w:rsidP="00791B50">
            <w:pPr>
              <w:pStyle w:val="BodyText"/>
            </w:pPr>
            <w:r>
              <w:rPr>
                <w:color w:val="58595B"/>
                <w:spacing w:val="-4"/>
                <w:w w:val="115"/>
              </w:rPr>
              <w:t>31.23</w:t>
            </w:r>
          </w:p>
        </w:tc>
      </w:tr>
      <w:tr w:rsidR="00791B50" w:rsidRPr="003C6130" w14:paraId="494B003B" w14:textId="77777777" w:rsidTr="00D606AD">
        <w:tc>
          <w:tcPr>
            <w:tcW w:w="6658" w:type="dxa"/>
          </w:tcPr>
          <w:p w14:paraId="1AB4C8AA" w14:textId="77777777" w:rsidR="00791B50" w:rsidRPr="002E53BF" w:rsidRDefault="00791B50" w:rsidP="00791B50">
            <w:pPr>
              <w:pStyle w:val="BodyText"/>
            </w:pPr>
            <w:r w:rsidRPr="00BC75D3">
              <w:t>Tram</w:t>
            </w:r>
          </w:p>
        </w:tc>
        <w:tc>
          <w:tcPr>
            <w:tcW w:w="1559" w:type="dxa"/>
          </w:tcPr>
          <w:p w14:paraId="2482F288" w14:textId="21897711" w:rsidR="00791B50" w:rsidRPr="002E53BF" w:rsidRDefault="00791B50" w:rsidP="00791B50">
            <w:pPr>
              <w:pStyle w:val="BodyText"/>
            </w:pPr>
            <w:r>
              <w:rPr>
                <w:color w:val="58595B"/>
                <w:spacing w:val="-4"/>
                <w:w w:val="110"/>
              </w:rPr>
              <w:t>8.01</w:t>
            </w:r>
          </w:p>
        </w:tc>
        <w:tc>
          <w:tcPr>
            <w:tcW w:w="1695" w:type="dxa"/>
          </w:tcPr>
          <w:p w14:paraId="4E9F1DE7" w14:textId="4E09C7E2" w:rsidR="00791B50" w:rsidRPr="002E53BF" w:rsidRDefault="00791B50" w:rsidP="00791B50">
            <w:pPr>
              <w:pStyle w:val="BodyText"/>
            </w:pPr>
            <w:r>
              <w:rPr>
                <w:color w:val="58595B"/>
                <w:spacing w:val="-4"/>
                <w:w w:val="105"/>
              </w:rPr>
              <w:t>6.34</w:t>
            </w:r>
          </w:p>
        </w:tc>
      </w:tr>
      <w:tr w:rsidR="00791B50" w:rsidRPr="003C6130" w14:paraId="1EB81780" w14:textId="77777777" w:rsidTr="00D606AD">
        <w:tc>
          <w:tcPr>
            <w:tcW w:w="6658" w:type="dxa"/>
          </w:tcPr>
          <w:p w14:paraId="5D54C50D" w14:textId="77777777" w:rsidR="00791B50" w:rsidRPr="002E53BF" w:rsidRDefault="00791B50" w:rsidP="00791B50">
            <w:pPr>
              <w:pStyle w:val="BodyText"/>
            </w:pPr>
            <w:r w:rsidRPr="00BC75D3">
              <w:t>Ferry</w:t>
            </w:r>
          </w:p>
        </w:tc>
        <w:tc>
          <w:tcPr>
            <w:tcW w:w="1559" w:type="dxa"/>
          </w:tcPr>
          <w:p w14:paraId="181879F6" w14:textId="609E0CB6" w:rsidR="00791B50" w:rsidRPr="002E53BF" w:rsidRDefault="00791B50" w:rsidP="00791B50">
            <w:pPr>
              <w:pStyle w:val="BodyText"/>
            </w:pPr>
            <w:r>
              <w:rPr>
                <w:color w:val="58595B"/>
                <w:spacing w:val="-4"/>
                <w:w w:val="105"/>
              </w:rPr>
              <w:t>4.78</w:t>
            </w:r>
          </w:p>
        </w:tc>
        <w:tc>
          <w:tcPr>
            <w:tcW w:w="1695" w:type="dxa"/>
          </w:tcPr>
          <w:p w14:paraId="7E0B9DF7" w14:textId="716E1CD4" w:rsidR="00791B50" w:rsidRPr="002E53BF" w:rsidRDefault="00791B50" w:rsidP="00791B50">
            <w:pPr>
              <w:pStyle w:val="BodyText"/>
            </w:pPr>
            <w:r>
              <w:rPr>
                <w:color w:val="58595B"/>
                <w:spacing w:val="-4"/>
                <w:w w:val="115"/>
              </w:rPr>
              <w:t>3.15</w:t>
            </w:r>
          </w:p>
        </w:tc>
      </w:tr>
      <w:tr w:rsidR="00791B50" w:rsidRPr="003C6130" w14:paraId="65C1A5D8" w14:textId="77777777" w:rsidTr="00D606AD">
        <w:tc>
          <w:tcPr>
            <w:tcW w:w="6658" w:type="dxa"/>
            <w:vAlign w:val="bottom"/>
          </w:tcPr>
          <w:p w14:paraId="176A4C44" w14:textId="1B28589B" w:rsidR="00791B50" w:rsidRPr="002E53BF" w:rsidRDefault="00791B50" w:rsidP="00791B50">
            <w:pPr>
              <w:pStyle w:val="BodyText"/>
            </w:pPr>
            <w:r w:rsidRPr="00BC75D3">
              <w:t>Rest of Queensland:</w:t>
            </w:r>
          </w:p>
        </w:tc>
        <w:tc>
          <w:tcPr>
            <w:tcW w:w="1559" w:type="dxa"/>
          </w:tcPr>
          <w:p w14:paraId="63FC7A1C" w14:textId="5E5A9BA4" w:rsidR="00791B50" w:rsidRPr="002E53BF" w:rsidRDefault="00791B50" w:rsidP="00791B50">
            <w:pPr>
              <w:pStyle w:val="BodyText"/>
            </w:pPr>
            <w:r>
              <w:rPr>
                <w:color w:val="58595B"/>
                <w:spacing w:val="-2"/>
                <w:w w:val="125"/>
              </w:rPr>
              <w:t>11.51</w:t>
            </w:r>
          </w:p>
        </w:tc>
        <w:tc>
          <w:tcPr>
            <w:tcW w:w="1695" w:type="dxa"/>
          </w:tcPr>
          <w:p w14:paraId="67E560DB" w14:textId="296F8D41" w:rsidR="00791B50" w:rsidRPr="002E53BF" w:rsidRDefault="00791B50" w:rsidP="00791B50">
            <w:pPr>
              <w:pStyle w:val="BodyText"/>
            </w:pPr>
            <w:r>
              <w:rPr>
                <w:color w:val="58595B"/>
                <w:spacing w:val="-4"/>
                <w:w w:val="115"/>
              </w:rPr>
              <w:t>10.61</w:t>
            </w:r>
          </w:p>
        </w:tc>
      </w:tr>
      <w:tr w:rsidR="00791B50" w:rsidRPr="003C6130" w14:paraId="65F6203A" w14:textId="77777777" w:rsidTr="00D606AD">
        <w:tc>
          <w:tcPr>
            <w:tcW w:w="6658" w:type="dxa"/>
          </w:tcPr>
          <w:p w14:paraId="51044C13" w14:textId="77777777" w:rsidR="00791B50" w:rsidRPr="002E53BF" w:rsidRDefault="00791B50" w:rsidP="00791B50">
            <w:pPr>
              <w:pStyle w:val="BodyText"/>
            </w:pPr>
            <w:r w:rsidRPr="00BC75D3">
              <w:t>Regional air</w:t>
            </w:r>
          </w:p>
        </w:tc>
        <w:tc>
          <w:tcPr>
            <w:tcW w:w="1559" w:type="dxa"/>
          </w:tcPr>
          <w:p w14:paraId="2CE7515E" w14:textId="5FF94B84" w:rsidR="00791B50" w:rsidRPr="002E53BF" w:rsidRDefault="00791B50" w:rsidP="00791B50">
            <w:pPr>
              <w:pStyle w:val="BodyText"/>
            </w:pPr>
            <w:r>
              <w:rPr>
                <w:color w:val="58595B"/>
                <w:spacing w:val="-4"/>
                <w:w w:val="115"/>
              </w:rPr>
              <w:t>0.13</w:t>
            </w:r>
          </w:p>
        </w:tc>
        <w:tc>
          <w:tcPr>
            <w:tcW w:w="1695" w:type="dxa"/>
          </w:tcPr>
          <w:p w14:paraId="41293C2B" w14:textId="29D5BF9E" w:rsidR="00791B50" w:rsidRPr="002E53BF" w:rsidRDefault="00791B50" w:rsidP="00791B50">
            <w:pPr>
              <w:pStyle w:val="BodyText"/>
            </w:pPr>
            <w:r>
              <w:rPr>
                <w:color w:val="58595B"/>
                <w:spacing w:val="-4"/>
                <w:w w:val="110"/>
              </w:rPr>
              <w:t>0.12</w:t>
            </w:r>
          </w:p>
        </w:tc>
      </w:tr>
      <w:tr w:rsidR="00791B50" w:rsidRPr="003C6130" w14:paraId="22F05E35" w14:textId="77777777" w:rsidTr="00D606AD">
        <w:tc>
          <w:tcPr>
            <w:tcW w:w="6658" w:type="dxa"/>
          </w:tcPr>
          <w:p w14:paraId="2E3F2C69" w14:textId="77777777" w:rsidR="00791B50" w:rsidRPr="002E53BF" w:rsidRDefault="00791B50" w:rsidP="00791B50">
            <w:pPr>
              <w:pStyle w:val="BodyText"/>
            </w:pPr>
            <w:r w:rsidRPr="00BC75D3">
              <w:t>Long distance bus</w:t>
            </w:r>
          </w:p>
        </w:tc>
        <w:tc>
          <w:tcPr>
            <w:tcW w:w="1559" w:type="dxa"/>
          </w:tcPr>
          <w:p w14:paraId="48977BBB" w14:textId="0A2CC3FE" w:rsidR="00791B50" w:rsidRPr="002E53BF" w:rsidRDefault="00791B50" w:rsidP="00791B50">
            <w:pPr>
              <w:pStyle w:val="BodyText"/>
            </w:pPr>
            <w:r>
              <w:rPr>
                <w:color w:val="58595B"/>
                <w:spacing w:val="-4"/>
              </w:rPr>
              <w:t>0.06</w:t>
            </w:r>
          </w:p>
        </w:tc>
        <w:tc>
          <w:tcPr>
            <w:tcW w:w="1695" w:type="dxa"/>
          </w:tcPr>
          <w:p w14:paraId="767288A0" w14:textId="0C2703BC" w:rsidR="00791B50" w:rsidRPr="002E53BF" w:rsidRDefault="00791B50" w:rsidP="00791B50">
            <w:pPr>
              <w:pStyle w:val="BodyText"/>
            </w:pPr>
            <w:r>
              <w:rPr>
                <w:color w:val="58595B"/>
                <w:spacing w:val="-4"/>
              </w:rPr>
              <w:t>0.06</w:t>
            </w:r>
          </w:p>
        </w:tc>
      </w:tr>
      <w:tr w:rsidR="00791B50" w:rsidRPr="003C6130" w14:paraId="461BDBB9" w14:textId="77777777" w:rsidTr="00D606AD">
        <w:tc>
          <w:tcPr>
            <w:tcW w:w="6658" w:type="dxa"/>
          </w:tcPr>
          <w:p w14:paraId="7A5AE94C" w14:textId="77777777" w:rsidR="00791B50" w:rsidRPr="002E53BF" w:rsidRDefault="00791B50" w:rsidP="00791B50">
            <w:pPr>
              <w:pStyle w:val="BodyText"/>
            </w:pPr>
            <w:r w:rsidRPr="00BC75D3">
              <w:t>Regional urban bus</w:t>
            </w:r>
          </w:p>
        </w:tc>
        <w:tc>
          <w:tcPr>
            <w:tcW w:w="1559" w:type="dxa"/>
          </w:tcPr>
          <w:p w14:paraId="0CB504D8" w14:textId="207CCA04" w:rsidR="00791B50" w:rsidRPr="002E53BF" w:rsidRDefault="00791B50" w:rsidP="00791B50">
            <w:pPr>
              <w:pStyle w:val="BodyText"/>
            </w:pPr>
            <w:r>
              <w:rPr>
                <w:color w:val="58595B"/>
                <w:spacing w:val="-4"/>
                <w:w w:val="105"/>
              </w:rPr>
              <w:t>9.20</w:t>
            </w:r>
          </w:p>
        </w:tc>
        <w:tc>
          <w:tcPr>
            <w:tcW w:w="1695" w:type="dxa"/>
          </w:tcPr>
          <w:p w14:paraId="17878C3E" w14:textId="4397590B" w:rsidR="00791B50" w:rsidRPr="002E53BF" w:rsidRDefault="00791B50" w:rsidP="00791B50">
            <w:pPr>
              <w:pStyle w:val="BodyText"/>
            </w:pPr>
            <w:r>
              <w:rPr>
                <w:color w:val="58595B"/>
                <w:spacing w:val="-4"/>
                <w:w w:val="110"/>
              </w:rPr>
              <w:t>8.18</w:t>
            </w:r>
          </w:p>
        </w:tc>
      </w:tr>
      <w:tr w:rsidR="00791B50" w:rsidRPr="003C6130" w14:paraId="6A3AA242" w14:textId="77777777" w:rsidTr="00D606AD">
        <w:tc>
          <w:tcPr>
            <w:tcW w:w="6658" w:type="dxa"/>
          </w:tcPr>
          <w:p w14:paraId="35C920B3" w14:textId="77777777" w:rsidR="00791B50" w:rsidRPr="002E53BF" w:rsidRDefault="00791B50" w:rsidP="00791B50">
            <w:pPr>
              <w:pStyle w:val="BodyText"/>
            </w:pPr>
            <w:r w:rsidRPr="00BC75D3">
              <w:t>Traveltrain</w:t>
            </w:r>
          </w:p>
        </w:tc>
        <w:tc>
          <w:tcPr>
            <w:tcW w:w="1559" w:type="dxa"/>
          </w:tcPr>
          <w:p w14:paraId="7FF83A5B" w14:textId="4CAF5D96" w:rsidR="00791B50" w:rsidRPr="002E53BF" w:rsidRDefault="00791B50" w:rsidP="00791B50">
            <w:pPr>
              <w:pStyle w:val="BodyText"/>
            </w:pPr>
            <w:r>
              <w:rPr>
                <w:color w:val="58595B"/>
                <w:spacing w:val="-4"/>
                <w:w w:val="105"/>
              </w:rPr>
              <w:t>0.22</w:t>
            </w:r>
          </w:p>
        </w:tc>
        <w:tc>
          <w:tcPr>
            <w:tcW w:w="1695" w:type="dxa"/>
          </w:tcPr>
          <w:p w14:paraId="70E3B243" w14:textId="44BD6331" w:rsidR="00791B50" w:rsidRPr="002E53BF" w:rsidRDefault="00791B50" w:rsidP="00791B50">
            <w:pPr>
              <w:pStyle w:val="BodyText"/>
            </w:pPr>
            <w:r>
              <w:rPr>
                <w:color w:val="58595B"/>
                <w:spacing w:val="-4"/>
                <w:w w:val="105"/>
              </w:rPr>
              <w:t>0.24</w:t>
            </w:r>
          </w:p>
        </w:tc>
      </w:tr>
      <w:tr w:rsidR="00791B50" w:rsidRPr="003C6130" w14:paraId="09C4AB5A" w14:textId="77777777" w:rsidTr="00D606AD">
        <w:tc>
          <w:tcPr>
            <w:tcW w:w="6658" w:type="dxa"/>
          </w:tcPr>
          <w:p w14:paraId="666FA9CC" w14:textId="77777777" w:rsidR="00791B50" w:rsidRPr="002E53BF" w:rsidRDefault="00791B50" w:rsidP="00791B50">
            <w:pPr>
              <w:pStyle w:val="BodyText"/>
            </w:pPr>
            <w:r w:rsidRPr="00BC75D3">
              <w:t>Regional ferry</w:t>
            </w:r>
          </w:p>
        </w:tc>
        <w:tc>
          <w:tcPr>
            <w:tcW w:w="1559" w:type="dxa"/>
          </w:tcPr>
          <w:p w14:paraId="64D1DF8F" w14:textId="16910404" w:rsidR="00791B50" w:rsidRPr="002E53BF" w:rsidRDefault="00791B50" w:rsidP="00791B50">
            <w:pPr>
              <w:pStyle w:val="BodyText"/>
            </w:pPr>
            <w:r>
              <w:rPr>
                <w:color w:val="58595B"/>
                <w:spacing w:val="-4"/>
                <w:w w:val="110"/>
              </w:rPr>
              <w:t>1.90</w:t>
            </w:r>
          </w:p>
        </w:tc>
        <w:tc>
          <w:tcPr>
            <w:tcW w:w="1695" w:type="dxa"/>
          </w:tcPr>
          <w:p w14:paraId="627A52BB" w14:textId="2B82031E" w:rsidR="00791B50" w:rsidRPr="002E53BF" w:rsidRDefault="00791B50" w:rsidP="00791B50">
            <w:pPr>
              <w:pStyle w:val="BodyText"/>
            </w:pPr>
            <w:r>
              <w:rPr>
                <w:color w:val="58595B"/>
                <w:spacing w:val="-4"/>
                <w:w w:val="110"/>
              </w:rPr>
              <w:t>2.01</w:t>
            </w:r>
          </w:p>
        </w:tc>
      </w:tr>
      <w:tr w:rsidR="00791B50" w:rsidRPr="003C6130" w14:paraId="71233E18" w14:textId="77777777" w:rsidTr="00D606AD">
        <w:tc>
          <w:tcPr>
            <w:tcW w:w="6658" w:type="dxa"/>
          </w:tcPr>
          <w:p w14:paraId="58EE3FE2" w14:textId="77777777" w:rsidR="00791B50" w:rsidRPr="002E53BF" w:rsidRDefault="00791B50" w:rsidP="00791B50">
            <w:pPr>
              <w:pStyle w:val="BodyText"/>
            </w:pPr>
            <w:r w:rsidRPr="00BC75D3">
              <w:t>Average on-time running performance in peak times – Citytrain</w:t>
            </w:r>
          </w:p>
        </w:tc>
        <w:tc>
          <w:tcPr>
            <w:tcW w:w="1559" w:type="dxa"/>
          </w:tcPr>
          <w:p w14:paraId="4715B70A" w14:textId="649B054C" w:rsidR="00791B50" w:rsidRPr="002E53BF" w:rsidRDefault="00791B50" w:rsidP="00791B50">
            <w:pPr>
              <w:pStyle w:val="BodyText"/>
            </w:pPr>
            <w:r>
              <w:rPr>
                <w:color w:val="58595B"/>
                <w:spacing w:val="-2"/>
                <w:w w:val="105"/>
              </w:rPr>
              <w:t>95.0%</w:t>
            </w:r>
          </w:p>
        </w:tc>
        <w:tc>
          <w:tcPr>
            <w:tcW w:w="1695" w:type="dxa"/>
          </w:tcPr>
          <w:p w14:paraId="271BD0BA" w14:textId="3AC63C65" w:rsidR="00791B50" w:rsidRPr="002E53BF" w:rsidRDefault="00791B50" w:rsidP="00791B50">
            <w:pPr>
              <w:pStyle w:val="BodyText"/>
            </w:pPr>
            <w:r>
              <w:rPr>
                <w:color w:val="58595B"/>
                <w:spacing w:val="-2"/>
                <w:w w:val="105"/>
              </w:rPr>
              <w:t>94.73%</w:t>
            </w:r>
          </w:p>
        </w:tc>
      </w:tr>
      <w:tr w:rsidR="00791B50" w:rsidRPr="003C6130" w14:paraId="6FB6BD89" w14:textId="77777777" w:rsidTr="00D606AD">
        <w:tc>
          <w:tcPr>
            <w:tcW w:w="6658" w:type="dxa"/>
          </w:tcPr>
          <w:p w14:paraId="70120658" w14:textId="77777777" w:rsidR="00791B50" w:rsidRPr="002E53BF" w:rsidRDefault="00791B50" w:rsidP="00791B50">
            <w:pPr>
              <w:pStyle w:val="BodyText"/>
            </w:pPr>
            <w:bookmarkStart w:id="28" w:name="_Hlk69472424"/>
            <w:r w:rsidRPr="00BC75D3">
              <w:t>Percentage of scheduled services delivered - Citytrain</w:t>
            </w:r>
            <w:bookmarkEnd w:id="28"/>
          </w:p>
        </w:tc>
        <w:tc>
          <w:tcPr>
            <w:tcW w:w="1559" w:type="dxa"/>
          </w:tcPr>
          <w:p w14:paraId="7E8A3FE6" w14:textId="5D09F915" w:rsidR="00791B50" w:rsidRPr="002E53BF" w:rsidRDefault="00791B50" w:rsidP="00791B50">
            <w:pPr>
              <w:pStyle w:val="BodyText"/>
            </w:pPr>
            <w:r>
              <w:rPr>
                <w:color w:val="58595B"/>
                <w:spacing w:val="-2"/>
                <w:w w:val="105"/>
              </w:rPr>
              <w:t>99.5%</w:t>
            </w:r>
          </w:p>
        </w:tc>
        <w:tc>
          <w:tcPr>
            <w:tcW w:w="1695" w:type="dxa"/>
          </w:tcPr>
          <w:p w14:paraId="18C243FB" w14:textId="7FEDB736" w:rsidR="00791B50" w:rsidRPr="002E53BF" w:rsidRDefault="00791B50" w:rsidP="00791B50">
            <w:pPr>
              <w:pStyle w:val="BodyText"/>
            </w:pPr>
            <w:r>
              <w:rPr>
                <w:color w:val="58595B"/>
                <w:spacing w:val="-2"/>
                <w:w w:val="105"/>
              </w:rPr>
              <w:t>99.64%</w:t>
            </w:r>
          </w:p>
        </w:tc>
      </w:tr>
      <w:tr w:rsidR="00737257" w:rsidRPr="003C6130" w14:paraId="5F8AAA32" w14:textId="77777777" w:rsidTr="00281478">
        <w:tc>
          <w:tcPr>
            <w:tcW w:w="6658" w:type="dxa"/>
            <w:vAlign w:val="bottom"/>
          </w:tcPr>
          <w:p w14:paraId="50922A4D" w14:textId="0850B47A" w:rsidR="00737257" w:rsidRPr="002E53BF" w:rsidRDefault="00737257" w:rsidP="00737257">
            <w:pPr>
              <w:pStyle w:val="BodyText"/>
            </w:pPr>
            <w:r w:rsidRPr="00BC75D3">
              <w:lastRenderedPageBreak/>
              <w:t>Cost per passenger trip to administer state-wide Government contracted passenger transport services</w:t>
            </w:r>
            <w:r w:rsidR="00364C47">
              <w:t>2</w:t>
            </w:r>
          </w:p>
        </w:tc>
        <w:tc>
          <w:tcPr>
            <w:tcW w:w="1559" w:type="dxa"/>
          </w:tcPr>
          <w:p w14:paraId="126DBDCB" w14:textId="3F9894E1" w:rsidR="00737257" w:rsidRPr="002E53BF" w:rsidRDefault="00737257" w:rsidP="00737257">
            <w:pPr>
              <w:pStyle w:val="BodyText"/>
            </w:pPr>
            <w:r>
              <w:rPr>
                <w:color w:val="58595B"/>
                <w:spacing w:val="-2"/>
                <w:w w:val="110"/>
              </w:rPr>
              <w:t>$18.33</w:t>
            </w:r>
          </w:p>
        </w:tc>
        <w:tc>
          <w:tcPr>
            <w:tcW w:w="1695" w:type="dxa"/>
          </w:tcPr>
          <w:p w14:paraId="1716C4DA" w14:textId="61C121AC" w:rsidR="00737257" w:rsidRPr="002E53BF" w:rsidRDefault="00737257" w:rsidP="00737257">
            <w:pPr>
              <w:pStyle w:val="BodyText"/>
            </w:pPr>
            <w:r>
              <w:rPr>
                <w:color w:val="58595B"/>
                <w:spacing w:val="-2"/>
                <w:w w:val="110"/>
              </w:rPr>
              <w:t>$25.13</w:t>
            </w:r>
          </w:p>
        </w:tc>
      </w:tr>
    </w:tbl>
    <w:p w14:paraId="3AB15B68" w14:textId="6D31FB8B" w:rsidR="00737257" w:rsidRPr="00737257" w:rsidRDefault="006800C7" w:rsidP="00AE1F32">
      <w:pPr>
        <w:pStyle w:val="Subtitle"/>
      </w:pPr>
      <w:r w:rsidRPr="00AE18B7">
        <w:t>Notes</w:t>
      </w:r>
      <w:bookmarkStart w:id="29" w:name="_Hlk69450033"/>
      <w:r w:rsidR="00AE1F32">
        <w:br/>
        <w:t xml:space="preserve">1 </w:t>
      </w:r>
      <w:r w:rsidR="00AE1F32" w:rsidRPr="00AE1F32">
        <w:t>Patronage on government contracted services across South East Queensland was 41.3 million trips below the 2021–22 Target / Estimate as public transport usage was significantly impacted by COVID-19 restrictions, as well as severe flooding in early 2022.</w:t>
      </w:r>
      <w:r w:rsidR="00AE1F32">
        <w:br/>
      </w:r>
      <w:r w:rsidR="00AE1F32" w:rsidRPr="00AE1F32">
        <w:t>2 The variance between the 2021–22 Actual and 2021–22 Target / Estimate was due to lower patronage on the back of continued COVID-19 impacts, flooding in South East Queensland in early 2022 and travel behaviour changes.</w:t>
      </w:r>
    </w:p>
    <w:bookmarkEnd w:id="29"/>
    <w:p w14:paraId="3EB21EF0" w14:textId="77777777" w:rsidR="006800C7" w:rsidRPr="00857D01" w:rsidRDefault="006800C7" w:rsidP="006800C7">
      <w:pPr>
        <w:pStyle w:val="Heading3"/>
      </w:pPr>
      <w:r w:rsidRPr="00857D01">
        <w:t>Service area: RoadTek – Transport Infrastructure Construction and Maintenance</w:t>
      </w:r>
    </w:p>
    <w:p w14:paraId="5259AB69" w14:textId="77777777" w:rsidR="006800C7" w:rsidRPr="00857D01" w:rsidRDefault="006800C7" w:rsidP="006800C7">
      <w:pPr>
        <w:pStyle w:val="Heading4"/>
      </w:pPr>
      <w:r w:rsidRPr="00857D01">
        <w:t>Service area objective</w:t>
      </w:r>
    </w:p>
    <w:p w14:paraId="5511CD42" w14:textId="77777777" w:rsidR="006800C7" w:rsidRPr="00857D01" w:rsidRDefault="006800C7" w:rsidP="006800C7">
      <w:r w:rsidRPr="00857D01">
        <w:t>To provide transport infrastructure solutions, including construction and maintenance services to enable the department to deliver on Queensland Government priorities and outcomes for the community</w:t>
      </w:r>
      <w:r>
        <w:t>.</w:t>
      </w:r>
    </w:p>
    <w:tbl>
      <w:tblPr>
        <w:tblStyle w:val="TableGrid"/>
        <w:tblW w:w="9912" w:type="dxa"/>
        <w:tblLayout w:type="fixed"/>
        <w:tblLook w:val="04A0" w:firstRow="1" w:lastRow="0" w:firstColumn="1" w:lastColumn="0" w:noHBand="0" w:noVBand="1"/>
      </w:tblPr>
      <w:tblGrid>
        <w:gridCol w:w="6658"/>
        <w:gridCol w:w="1559"/>
        <w:gridCol w:w="1695"/>
      </w:tblGrid>
      <w:tr w:rsidR="006800C7" w:rsidRPr="003C6130" w14:paraId="54AB07FC" w14:textId="77777777" w:rsidTr="00F31956">
        <w:tc>
          <w:tcPr>
            <w:tcW w:w="6658" w:type="dxa"/>
          </w:tcPr>
          <w:p w14:paraId="26FC4F52" w14:textId="77777777" w:rsidR="006800C7" w:rsidRPr="002E53BF" w:rsidRDefault="006800C7" w:rsidP="00F31956">
            <w:pPr>
              <w:pStyle w:val="BodyText"/>
            </w:pPr>
            <w:r w:rsidRPr="00B06581">
              <w:t>Service standards</w:t>
            </w:r>
          </w:p>
        </w:tc>
        <w:tc>
          <w:tcPr>
            <w:tcW w:w="1559" w:type="dxa"/>
          </w:tcPr>
          <w:p w14:paraId="387BB74F" w14:textId="77777777" w:rsidR="006800C7" w:rsidRPr="002E53BF" w:rsidRDefault="006800C7" w:rsidP="00F31956">
            <w:pPr>
              <w:pStyle w:val="BodyText"/>
            </w:pPr>
            <w:r w:rsidRPr="00B06581">
              <w:t>2020–21 Target /</w:t>
            </w:r>
            <w:r>
              <w:t xml:space="preserve"> </w:t>
            </w:r>
            <w:r w:rsidRPr="00B06581">
              <w:t>Estimate</w:t>
            </w:r>
          </w:p>
        </w:tc>
        <w:tc>
          <w:tcPr>
            <w:tcW w:w="1695" w:type="dxa"/>
          </w:tcPr>
          <w:p w14:paraId="7D342637" w14:textId="77777777" w:rsidR="006800C7" w:rsidRPr="002E53BF" w:rsidRDefault="006800C7" w:rsidP="00F31956">
            <w:pPr>
              <w:pStyle w:val="BodyText"/>
            </w:pPr>
            <w:r w:rsidRPr="00B06581">
              <w:t>2020–21 Actual</w:t>
            </w:r>
          </w:p>
        </w:tc>
      </w:tr>
      <w:tr w:rsidR="007C6CE1" w:rsidRPr="003C6130" w14:paraId="275D5DAF" w14:textId="77777777" w:rsidTr="00B0740A">
        <w:tc>
          <w:tcPr>
            <w:tcW w:w="6658" w:type="dxa"/>
            <w:vAlign w:val="bottom"/>
          </w:tcPr>
          <w:p w14:paraId="405E4010" w14:textId="77777777" w:rsidR="007C6CE1" w:rsidRPr="002E53BF" w:rsidRDefault="007C6CE1" w:rsidP="007C6CE1">
            <w:pPr>
              <w:pStyle w:val="BodyText"/>
            </w:pPr>
            <w:r w:rsidRPr="00B06581">
              <w:t>Lost Time Injury Frequency Rate1</w:t>
            </w:r>
          </w:p>
        </w:tc>
        <w:tc>
          <w:tcPr>
            <w:tcW w:w="1559" w:type="dxa"/>
          </w:tcPr>
          <w:p w14:paraId="7ACC86C4" w14:textId="300839D3" w:rsidR="007C6CE1" w:rsidRPr="002E53BF" w:rsidRDefault="007C6CE1" w:rsidP="007C6CE1">
            <w:pPr>
              <w:pStyle w:val="BodyText"/>
            </w:pPr>
            <w:r>
              <w:rPr>
                <w:color w:val="58595B"/>
                <w:spacing w:val="-2"/>
                <w:w w:val="115"/>
              </w:rPr>
              <w:t>&lt;12.1</w:t>
            </w:r>
          </w:p>
        </w:tc>
        <w:tc>
          <w:tcPr>
            <w:tcW w:w="1695" w:type="dxa"/>
          </w:tcPr>
          <w:p w14:paraId="135B0F0F" w14:textId="623C9C7B" w:rsidR="007C6CE1" w:rsidRPr="002E53BF" w:rsidRDefault="007C6CE1" w:rsidP="007C6CE1">
            <w:pPr>
              <w:pStyle w:val="BodyText"/>
            </w:pPr>
            <w:r>
              <w:rPr>
                <w:color w:val="58595B"/>
                <w:spacing w:val="-4"/>
                <w:w w:val="110"/>
              </w:rPr>
              <w:t>18.7</w:t>
            </w:r>
          </w:p>
        </w:tc>
      </w:tr>
      <w:tr w:rsidR="007C6CE1" w:rsidRPr="003C6130" w14:paraId="6A9A55BF" w14:textId="77777777" w:rsidTr="00B0740A">
        <w:tc>
          <w:tcPr>
            <w:tcW w:w="6658" w:type="dxa"/>
            <w:vAlign w:val="bottom"/>
          </w:tcPr>
          <w:p w14:paraId="43DFD4FF" w14:textId="77777777" w:rsidR="007C6CE1" w:rsidRPr="002E53BF" w:rsidRDefault="007C6CE1" w:rsidP="007C6CE1">
            <w:pPr>
              <w:pStyle w:val="BodyText"/>
            </w:pPr>
            <w:r w:rsidRPr="00B06581">
              <w:t>Customers’ and stakeholders’ value of RoadTek (on a scale of 1 to 5)</w:t>
            </w:r>
          </w:p>
        </w:tc>
        <w:tc>
          <w:tcPr>
            <w:tcW w:w="1559" w:type="dxa"/>
          </w:tcPr>
          <w:p w14:paraId="7CFB0CFB" w14:textId="60B6B5EB" w:rsidR="007C6CE1" w:rsidRPr="002E53BF" w:rsidRDefault="007C6CE1" w:rsidP="007C6CE1">
            <w:pPr>
              <w:pStyle w:val="BodyText"/>
            </w:pPr>
            <w:r>
              <w:rPr>
                <w:color w:val="58595B"/>
                <w:spacing w:val="-5"/>
                <w:w w:val="105"/>
              </w:rPr>
              <w:t>&gt;4</w:t>
            </w:r>
          </w:p>
        </w:tc>
        <w:tc>
          <w:tcPr>
            <w:tcW w:w="1695" w:type="dxa"/>
          </w:tcPr>
          <w:p w14:paraId="462DEAED" w14:textId="7C3D3240" w:rsidR="007C6CE1" w:rsidRPr="002E53BF" w:rsidRDefault="007C6CE1" w:rsidP="007C6CE1">
            <w:pPr>
              <w:pStyle w:val="BodyText"/>
            </w:pPr>
            <w:r>
              <w:rPr>
                <w:color w:val="58595B"/>
                <w:spacing w:val="-4"/>
                <w:w w:val="105"/>
              </w:rPr>
              <w:t>4.47</w:t>
            </w:r>
          </w:p>
        </w:tc>
      </w:tr>
      <w:tr w:rsidR="009D5365" w:rsidRPr="003C6130" w14:paraId="3583C774" w14:textId="77777777" w:rsidTr="00E35693">
        <w:tc>
          <w:tcPr>
            <w:tcW w:w="6658" w:type="dxa"/>
            <w:vAlign w:val="bottom"/>
          </w:tcPr>
          <w:p w14:paraId="3DD85D73" w14:textId="77777777" w:rsidR="009D5365" w:rsidRPr="002E53BF" w:rsidRDefault="009D5365" w:rsidP="009D5365">
            <w:pPr>
              <w:pStyle w:val="BodyText"/>
            </w:pPr>
            <w:r w:rsidRPr="00B06581">
              <w:t>Long term debt / equity</w:t>
            </w:r>
          </w:p>
        </w:tc>
        <w:tc>
          <w:tcPr>
            <w:tcW w:w="1559" w:type="dxa"/>
          </w:tcPr>
          <w:p w14:paraId="3085CF2F" w14:textId="01554753" w:rsidR="009D5365" w:rsidRPr="002E53BF" w:rsidRDefault="009D5365" w:rsidP="009D5365">
            <w:pPr>
              <w:pStyle w:val="BodyText"/>
            </w:pPr>
            <w:r>
              <w:rPr>
                <w:color w:val="58595B"/>
                <w:spacing w:val="-2"/>
                <w:w w:val="115"/>
              </w:rPr>
              <w:t>10.1%</w:t>
            </w:r>
          </w:p>
        </w:tc>
        <w:tc>
          <w:tcPr>
            <w:tcW w:w="1695" w:type="dxa"/>
          </w:tcPr>
          <w:p w14:paraId="1869FFB7" w14:textId="28A4AA7E" w:rsidR="009D5365" w:rsidRPr="002E53BF" w:rsidRDefault="009D5365" w:rsidP="009D5365">
            <w:pPr>
              <w:pStyle w:val="BodyText"/>
            </w:pPr>
            <w:r>
              <w:rPr>
                <w:color w:val="58595B"/>
                <w:spacing w:val="-2"/>
                <w:w w:val="110"/>
              </w:rPr>
              <w:t>10.2%</w:t>
            </w:r>
          </w:p>
        </w:tc>
      </w:tr>
      <w:tr w:rsidR="009D5365" w:rsidRPr="003C6130" w14:paraId="332985DC" w14:textId="77777777" w:rsidTr="00E35693">
        <w:tc>
          <w:tcPr>
            <w:tcW w:w="6658" w:type="dxa"/>
          </w:tcPr>
          <w:p w14:paraId="1B877AEB" w14:textId="77777777" w:rsidR="009D5365" w:rsidRPr="002E53BF" w:rsidRDefault="009D5365" w:rsidP="009D5365">
            <w:pPr>
              <w:pStyle w:val="BodyText"/>
            </w:pPr>
            <w:r w:rsidRPr="00B06581">
              <w:t>Long term debt / total assets</w:t>
            </w:r>
          </w:p>
        </w:tc>
        <w:tc>
          <w:tcPr>
            <w:tcW w:w="1559" w:type="dxa"/>
          </w:tcPr>
          <w:p w14:paraId="378351AE" w14:textId="77BDD54E" w:rsidR="009D5365" w:rsidRPr="002E53BF" w:rsidRDefault="009D5365" w:rsidP="009D5365">
            <w:pPr>
              <w:pStyle w:val="BodyText"/>
            </w:pPr>
            <w:r>
              <w:rPr>
                <w:color w:val="58595B"/>
                <w:spacing w:val="-4"/>
                <w:w w:val="105"/>
              </w:rPr>
              <w:t>7.5%</w:t>
            </w:r>
          </w:p>
        </w:tc>
        <w:tc>
          <w:tcPr>
            <w:tcW w:w="1695" w:type="dxa"/>
          </w:tcPr>
          <w:p w14:paraId="43E13E8D" w14:textId="31A956EA" w:rsidR="009D5365" w:rsidRPr="002E53BF" w:rsidRDefault="009D5365" w:rsidP="009D5365">
            <w:pPr>
              <w:pStyle w:val="BodyText"/>
            </w:pPr>
            <w:r>
              <w:rPr>
                <w:color w:val="58595B"/>
                <w:spacing w:val="-4"/>
                <w:w w:val="105"/>
              </w:rPr>
              <w:t>7.4%</w:t>
            </w:r>
          </w:p>
        </w:tc>
      </w:tr>
      <w:tr w:rsidR="009D5365" w:rsidRPr="003C6130" w14:paraId="6A59F460" w14:textId="77777777" w:rsidTr="00E35693">
        <w:tc>
          <w:tcPr>
            <w:tcW w:w="6658" w:type="dxa"/>
          </w:tcPr>
          <w:p w14:paraId="5B010C35" w14:textId="77777777" w:rsidR="009D5365" w:rsidRPr="002E53BF" w:rsidRDefault="009D5365" w:rsidP="009D5365">
            <w:pPr>
              <w:pStyle w:val="BodyText"/>
            </w:pPr>
            <w:r w:rsidRPr="00B06581">
              <w:t>Return on equity2</w:t>
            </w:r>
          </w:p>
        </w:tc>
        <w:tc>
          <w:tcPr>
            <w:tcW w:w="1559" w:type="dxa"/>
          </w:tcPr>
          <w:p w14:paraId="523E2B70" w14:textId="42991777" w:rsidR="009D5365" w:rsidRPr="002E53BF" w:rsidRDefault="009D5365" w:rsidP="009D5365">
            <w:pPr>
              <w:pStyle w:val="BodyText"/>
            </w:pPr>
            <w:r>
              <w:rPr>
                <w:color w:val="58595B"/>
                <w:spacing w:val="-4"/>
                <w:w w:val="110"/>
              </w:rPr>
              <w:t>9.1%</w:t>
            </w:r>
          </w:p>
        </w:tc>
        <w:tc>
          <w:tcPr>
            <w:tcW w:w="1695" w:type="dxa"/>
          </w:tcPr>
          <w:p w14:paraId="36154DE4" w14:textId="7AC218B4" w:rsidR="009D5365" w:rsidRPr="002E53BF" w:rsidRDefault="009D5365" w:rsidP="009D5365">
            <w:pPr>
              <w:pStyle w:val="BodyText"/>
            </w:pPr>
            <w:r>
              <w:rPr>
                <w:color w:val="58595B"/>
                <w:spacing w:val="-2"/>
                <w:w w:val="110"/>
              </w:rPr>
              <w:t>12.7%</w:t>
            </w:r>
          </w:p>
        </w:tc>
      </w:tr>
      <w:tr w:rsidR="009D5365" w:rsidRPr="003C6130" w14:paraId="05D3E28D" w14:textId="77777777" w:rsidTr="00E35693">
        <w:tc>
          <w:tcPr>
            <w:tcW w:w="6658" w:type="dxa"/>
          </w:tcPr>
          <w:p w14:paraId="1800EAD5" w14:textId="77777777" w:rsidR="009D5365" w:rsidRPr="002E53BF" w:rsidRDefault="009D5365" w:rsidP="009D5365">
            <w:pPr>
              <w:pStyle w:val="BodyText"/>
            </w:pPr>
            <w:r w:rsidRPr="00B06581">
              <w:t xml:space="preserve">Return on revenue (after </w:t>
            </w:r>
            <w:r w:rsidRPr="002E53BF">
              <w:t>tax) 2</w:t>
            </w:r>
          </w:p>
        </w:tc>
        <w:tc>
          <w:tcPr>
            <w:tcW w:w="1559" w:type="dxa"/>
          </w:tcPr>
          <w:p w14:paraId="763DACB1" w14:textId="79FEB11A" w:rsidR="009D5365" w:rsidRPr="002E53BF" w:rsidRDefault="009D5365" w:rsidP="009D5365">
            <w:pPr>
              <w:pStyle w:val="BodyText"/>
            </w:pPr>
            <w:r>
              <w:rPr>
                <w:color w:val="58595B"/>
                <w:spacing w:val="-4"/>
                <w:w w:val="105"/>
              </w:rPr>
              <w:t>2.5%</w:t>
            </w:r>
          </w:p>
        </w:tc>
        <w:tc>
          <w:tcPr>
            <w:tcW w:w="1695" w:type="dxa"/>
          </w:tcPr>
          <w:p w14:paraId="3716EECC" w14:textId="53A20AE8" w:rsidR="009D5365" w:rsidRPr="002E53BF" w:rsidRDefault="009D5365" w:rsidP="009D5365">
            <w:pPr>
              <w:pStyle w:val="BodyText"/>
            </w:pPr>
            <w:r>
              <w:rPr>
                <w:color w:val="58595B"/>
                <w:spacing w:val="-4"/>
                <w:w w:val="105"/>
              </w:rPr>
              <w:t>2.8%</w:t>
            </w:r>
          </w:p>
        </w:tc>
      </w:tr>
      <w:tr w:rsidR="009D5365" w:rsidRPr="003C6130" w14:paraId="571F4609" w14:textId="77777777" w:rsidTr="00E35693">
        <w:tc>
          <w:tcPr>
            <w:tcW w:w="6658" w:type="dxa"/>
          </w:tcPr>
          <w:p w14:paraId="2CA6F7EB" w14:textId="77A206B7" w:rsidR="009D5365" w:rsidRPr="002E53BF" w:rsidRDefault="009D5365" w:rsidP="009D5365">
            <w:pPr>
              <w:pStyle w:val="BodyText"/>
            </w:pPr>
            <w:r w:rsidRPr="00B06581">
              <w:t xml:space="preserve">Profit margin (earnings before income tax / user charges) </w:t>
            </w:r>
          </w:p>
        </w:tc>
        <w:tc>
          <w:tcPr>
            <w:tcW w:w="1559" w:type="dxa"/>
          </w:tcPr>
          <w:p w14:paraId="1C81AACB" w14:textId="4F620BF1" w:rsidR="009D5365" w:rsidRPr="002E53BF" w:rsidRDefault="009D5365" w:rsidP="009D5365">
            <w:pPr>
              <w:pStyle w:val="BodyText"/>
            </w:pPr>
            <w:r>
              <w:rPr>
                <w:color w:val="58595B"/>
                <w:spacing w:val="-4"/>
                <w:w w:val="105"/>
              </w:rPr>
              <w:t>3.5%</w:t>
            </w:r>
          </w:p>
        </w:tc>
        <w:tc>
          <w:tcPr>
            <w:tcW w:w="1695" w:type="dxa"/>
          </w:tcPr>
          <w:p w14:paraId="3581FEF8" w14:textId="2AD75571" w:rsidR="009D5365" w:rsidRPr="002E53BF" w:rsidRDefault="009D5365" w:rsidP="009D5365">
            <w:pPr>
              <w:pStyle w:val="BodyText"/>
            </w:pPr>
            <w:r>
              <w:rPr>
                <w:color w:val="58595B"/>
                <w:spacing w:val="-4"/>
                <w:w w:val="105"/>
              </w:rPr>
              <w:t>4.0%</w:t>
            </w:r>
          </w:p>
        </w:tc>
      </w:tr>
    </w:tbl>
    <w:p w14:paraId="65CEAE38" w14:textId="77777777" w:rsidR="006800C7" w:rsidRPr="00A045F2" w:rsidRDefault="006800C7" w:rsidP="006800C7">
      <w:pPr>
        <w:pStyle w:val="Subtitle"/>
      </w:pPr>
      <w:r w:rsidRPr="00A045F2">
        <w:t>Notes</w:t>
      </w:r>
    </w:p>
    <w:p w14:paraId="74091AB9" w14:textId="22CD7216" w:rsidR="006800C7" w:rsidRPr="00A045F2" w:rsidRDefault="002206D4" w:rsidP="006800C7">
      <w:pPr>
        <w:pStyle w:val="Subtitle"/>
      </w:pPr>
      <w:r w:rsidRPr="002206D4">
        <w:t>1 This service standard will be discontinued for the 2022–23 Service Delivery Statements as it is considered to be a workforce measure rather than a measure of effectiveness on the outcome of the services delivered by RoadTek as required by the Queensland Government Performance Management Framework Policy. It will not be replaced by a new measure as an effectiveness measure already exists.</w:t>
      </w:r>
      <w:r w:rsidR="006800C7" w:rsidRPr="00A045F2">
        <w:t xml:space="preserve"> </w:t>
      </w:r>
    </w:p>
    <w:p w14:paraId="1C5314A2" w14:textId="77777777" w:rsidR="006800C7" w:rsidRPr="002E53BF" w:rsidRDefault="006800C7" w:rsidP="006800C7"/>
    <w:p w14:paraId="3A4B5435" w14:textId="77777777" w:rsidR="006800C7" w:rsidRPr="002E53BF" w:rsidRDefault="006800C7" w:rsidP="006800C7"/>
    <w:p w14:paraId="4ACD1357" w14:textId="2A9E0C67" w:rsidR="006800C7" w:rsidRDefault="006800C7" w:rsidP="006800C7">
      <w:pPr>
        <w:spacing w:before="0" w:after="160" w:line="259" w:lineRule="auto"/>
      </w:pPr>
    </w:p>
    <w:p w14:paraId="386BDBC1" w14:textId="77777777" w:rsidR="006800C7" w:rsidRDefault="006800C7" w:rsidP="006800C7">
      <w:pPr>
        <w:pStyle w:val="Heading2"/>
      </w:pPr>
      <w:r w:rsidRPr="007F0D96">
        <w:lastRenderedPageBreak/>
        <w:t xml:space="preserve">Appendix </w:t>
      </w:r>
      <w:r>
        <w:t>4</w:t>
      </w:r>
      <w:r w:rsidRPr="007F0D96">
        <w:t xml:space="preserve"> – </w:t>
      </w:r>
      <w:r>
        <w:t>Camera Detected Offence Program</w:t>
      </w:r>
    </w:p>
    <w:p w14:paraId="1CDA4B37" w14:textId="753F084D" w:rsidR="006800C7" w:rsidRPr="00EF5A4F" w:rsidRDefault="006800C7" w:rsidP="006800C7">
      <w:pPr>
        <w:pStyle w:val="TableofFigures"/>
      </w:pPr>
      <w:r w:rsidRPr="00EF5A4F">
        <w:t xml:space="preserve">Table </w:t>
      </w:r>
      <w:r>
        <w:t>12</w:t>
      </w:r>
      <w:r w:rsidRPr="00EF5A4F">
        <w:t xml:space="preserve">: </w:t>
      </w:r>
      <w:r>
        <w:t>Camera Detected Offence Program (CDOP) financial overview for 202</w:t>
      </w:r>
      <w:r w:rsidR="002206D4">
        <w:t>1</w:t>
      </w:r>
      <w:r>
        <w:t>–2</w:t>
      </w:r>
      <w:r w:rsidR="002206D4">
        <w:t>2</w:t>
      </w:r>
    </w:p>
    <w:p w14:paraId="7D84371F" w14:textId="77777777" w:rsidR="006800C7" w:rsidRDefault="006800C7" w:rsidP="006800C7">
      <w:pPr>
        <w:pStyle w:val="Subtitle"/>
      </w:pPr>
    </w:p>
    <w:p w14:paraId="54439EAA" w14:textId="5BDAB4EF" w:rsidR="006800C7" w:rsidRDefault="006800C7" w:rsidP="006800C7">
      <w:pPr>
        <w:pStyle w:val="Subtitle"/>
        <w:rPr>
          <w:rStyle w:val="Emphasis"/>
        </w:rPr>
      </w:pPr>
      <w:r w:rsidRPr="004A141B">
        <w:t>Note</w:t>
      </w:r>
      <w:r>
        <w:t>:</w:t>
      </w:r>
      <w:r w:rsidRPr="004A141B">
        <w:t xml:space="preserve">  Total 202</w:t>
      </w:r>
      <w:r w:rsidR="00F56EAE">
        <w:t>1</w:t>
      </w:r>
      <w:r w:rsidRPr="004A141B">
        <w:t>–2</w:t>
      </w:r>
      <w:r w:rsidR="00F56EAE">
        <w:t>2</w:t>
      </w:r>
      <w:r w:rsidRPr="004A141B">
        <w:t xml:space="preserve"> expenditure on CDOP related activities includes funding from prior year and expenditure brought forward.</w:t>
      </w:r>
      <w:r w:rsidRPr="00470B99">
        <w:rPr>
          <w:rStyle w:val="Emphasis"/>
        </w:rPr>
        <w:t xml:space="preserve"> </w:t>
      </w:r>
    </w:p>
    <w:tbl>
      <w:tblPr>
        <w:tblStyle w:val="Style1"/>
        <w:tblW w:w="0" w:type="auto"/>
        <w:tblLook w:val="04A0" w:firstRow="1" w:lastRow="0" w:firstColumn="1" w:lastColumn="0" w:noHBand="0" w:noVBand="1"/>
      </w:tblPr>
      <w:tblGrid>
        <w:gridCol w:w="7938"/>
        <w:gridCol w:w="1132"/>
      </w:tblGrid>
      <w:tr w:rsidR="006800C7" w14:paraId="46103AF3" w14:textId="77777777" w:rsidTr="00F31956">
        <w:trPr>
          <w:cnfStyle w:val="100000000000" w:firstRow="1" w:lastRow="0" w:firstColumn="0" w:lastColumn="0" w:oddVBand="0" w:evenVBand="0" w:oddHBand="0" w:evenHBand="0" w:firstRowFirstColumn="0" w:firstRowLastColumn="0" w:lastRowFirstColumn="0" w:lastRowLastColumn="0"/>
        </w:trPr>
        <w:tc>
          <w:tcPr>
            <w:tcW w:w="7938" w:type="dxa"/>
          </w:tcPr>
          <w:p w14:paraId="412ACA15" w14:textId="77777777" w:rsidR="006800C7" w:rsidRDefault="006800C7" w:rsidP="00F31956">
            <w:r>
              <w:t xml:space="preserve">Revenue </w:t>
            </w:r>
          </w:p>
        </w:tc>
        <w:tc>
          <w:tcPr>
            <w:tcW w:w="1132" w:type="dxa"/>
          </w:tcPr>
          <w:p w14:paraId="219757CE" w14:textId="77777777" w:rsidR="006800C7" w:rsidRDefault="006800C7" w:rsidP="00F31956">
            <w:r>
              <w:t>'000</w:t>
            </w:r>
          </w:p>
        </w:tc>
      </w:tr>
      <w:tr w:rsidR="002E57BD" w14:paraId="4915A324" w14:textId="77777777" w:rsidTr="00F31956">
        <w:tc>
          <w:tcPr>
            <w:tcW w:w="7938" w:type="dxa"/>
          </w:tcPr>
          <w:p w14:paraId="77B25032" w14:textId="77777777" w:rsidR="002E57BD" w:rsidRDefault="002E57BD" w:rsidP="002E57BD">
            <w:r w:rsidRPr="00AD6769">
              <w:t>Department of Transport and Main Roads</w:t>
            </w:r>
          </w:p>
        </w:tc>
        <w:tc>
          <w:tcPr>
            <w:tcW w:w="1132" w:type="dxa"/>
          </w:tcPr>
          <w:p w14:paraId="0EBB78CA" w14:textId="2B477CE0" w:rsidR="002E57BD" w:rsidRDefault="002E57BD" w:rsidP="002E57BD">
            <w:r>
              <w:rPr>
                <w:color w:val="58595B"/>
                <w:spacing w:val="-2"/>
                <w:w w:val="115"/>
              </w:rPr>
              <w:t>112,397</w:t>
            </w:r>
          </w:p>
        </w:tc>
      </w:tr>
      <w:tr w:rsidR="002E57BD" w14:paraId="76D5615E" w14:textId="77777777" w:rsidTr="00F31956">
        <w:tc>
          <w:tcPr>
            <w:tcW w:w="7938" w:type="dxa"/>
          </w:tcPr>
          <w:p w14:paraId="5E207A09" w14:textId="77777777" w:rsidR="002E57BD" w:rsidRDefault="002E57BD" w:rsidP="002E57BD">
            <w:r>
              <w:t xml:space="preserve">Queensland Treasury </w:t>
            </w:r>
          </w:p>
        </w:tc>
        <w:tc>
          <w:tcPr>
            <w:tcW w:w="1132" w:type="dxa"/>
          </w:tcPr>
          <w:p w14:paraId="1EF6A2EF" w14:textId="1FDFFFF0" w:rsidR="002E57BD" w:rsidRDefault="002E57BD" w:rsidP="002E57BD">
            <w:r>
              <w:rPr>
                <w:color w:val="58595B"/>
                <w:spacing w:val="-2"/>
                <w:w w:val="115"/>
              </w:rPr>
              <w:t>162,135</w:t>
            </w:r>
          </w:p>
        </w:tc>
      </w:tr>
      <w:tr w:rsidR="002E57BD" w14:paraId="36B6F35D" w14:textId="77777777" w:rsidTr="00F31956">
        <w:tc>
          <w:tcPr>
            <w:tcW w:w="7938" w:type="dxa"/>
          </w:tcPr>
          <w:p w14:paraId="73055C57" w14:textId="77777777" w:rsidR="002E57BD" w:rsidRDefault="002E57BD" w:rsidP="002E57BD">
            <w:r>
              <w:t xml:space="preserve">Total Revenue </w:t>
            </w:r>
          </w:p>
        </w:tc>
        <w:tc>
          <w:tcPr>
            <w:tcW w:w="1132" w:type="dxa"/>
          </w:tcPr>
          <w:p w14:paraId="2FB465ED" w14:textId="5DA233E0" w:rsidR="002E57BD" w:rsidRDefault="002E57BD" w:rsidP="002E57BD">
            <w:r>
              <w:rPr>
                <w:rFonts w:ascii="MetaPro-CondBold"/>
                <w:b/>
                <w:color w:val="58595B"/>
                <w:spacing w:val="-2"/>
                <w:w w:val="105"/>
              </w:rPr>
              <w:t>274,532</w:t>
            </w:r>
          </w:p>
        </w:tc>
      </w:tr>
    </w:tbl>
    <w:p w14:paraId="23A30E74" w14:textId="77777777" w:rsidR="006800C7" w:rsidRDefault="006800C7" w:rsidP="006800C7"/>
    <w:tbl>
      <w:tblPr>
        <w:tblStyle w:val="Style1"/>
        <w:tblW w:w="0" w:type="auto"/>
        <w:tblLook w:val="04A0" w:firstRow="1" w:lastRow="0" w:firstColumn="1" w:lastColumn="0" w:noHBand="0" w:noVBand="1"/>
      </w:tblPr>
      <w:tblGrid>
        <w:gridCol w:w="7938"/>
        <w:gridCol w:w="1132"/>
      </w:tblGrid>
      <w:tr w:rsidR="006800C7" w14:paraId="419478D8" w14:textId="77777777" w:rsidTr="00F31956">
        <w:trPr>
          <w:cnfStyle w:val="100000000000" w:firstRow="1" w:lastRow="0" w:firstColumn="0" w:lastColumn="0" w:oddVBand="0" w:evenVBand="0" w:oddHBand="0" w:evenHBand="0" w:firstRowFirstColumn="0" w:firstRowLastColumn="0" w:lastRowFirstColumn="0" w:lastRowLastColumn="0"/>
        </w:trPr>
        <w:tc>
          <w:tcPr>
            <w:tcW w:w="7938" w:type="dxa"/>
          </w:tcPr>
          <w:p w14:paraId="416E3F8C" w14:textId="77777777" w:rsidR="006800C7" w:rsidRPr="00AD6769" w:rsidRDefault="006800C7" w:rsidP="00F31956">
            <w:r>
              <w:t xml:space="preserve">Administrative/operational costs </w:t>
            </w:r>
          </w:p>
        </w:tc>
        <w:tc>
          <w:tcPr>
            <w:tcW w:w="1132" w:type="dxa"/>
          </w:tcPr>
          <w:p w14:paraId="3D88BBAC" w14:textId="77777777" w:rsidR="006800C7" w:rsidRPr="00AD6769" w:rsidRDefault="006800C7" w:rsidP="00F31956"/>
        </w:tc>
      </w:tr>
      <w:tr w:rsidR="003F4FAC" w14:paraId="5607E377" w14:textId="77777777" w:rsidTr="00F31956">
        <w:tc>
          <w:tcPr>
            <w:tcW w:w="7938" w:type="dxa"/>
          </w:tcPr>
          <w:p w14:paraId="77ECDB9E" w14:textId="77777777" w:rsidR="003F4FAC" w:rsidRPr="00AD6769" w:rsidRDefault="003F4FAC" w:rsidP="003F4FAC">
            <w:r>
              <w:t xml:space="preserve">Department of Transport and Main Roads - operating </w:t>
            </w:r>
          </w:p>
        </w:tc>
        <w:tc>
          <w:tcPr>
            <w:tcW w:w="1132" w:type="dxa"/>
          </w:tcPr>
          <w:p w14:paraId="54B244D8" w14:textId="2838A273" w:rsidR="003F4FAC" w:rsidRPr="00AD6769" w:rsidRDefault="003F4FAC" w:rsidP="003F4FAC">
            <w:r>
              <w:rPr>
                <w:color w:val="58595B"/>
                <w:spacing w:val="-2"/>
                <w:w w:val="115"/>
              </w:rPr>
              <w:t>20,311</w:t>
            </w:r>
          </w:p>
        </w:tc>
      </w:tr>
      <w:tr w:rsidR="003F4FAC" w14:paraId="28E29938" w14:textId="77777777" w:rsidTr="00F31956">
        <w:tc>
          <w:tcPr>
            <w:tcW w:w="7938" w:type="dxa"/>
          </w:tcPr>
          <w:p w14:paraId="07AE33A3" w14:textId="77777777" w:rsidR="003F4FAC" w:rsidRPr="00AD6769" w:rsidRDefault="003F4FAC" w:rsidP="003F4FAC">
            <w:r>
              <w:t xml:space="preserve">Department of Transport and Main Roads - equity </w:t>
            </w:r>
          </w:p>
        </w:tc>
        <w:tc>
          <w:tcPr>
            <w:tcW w:w="1132" w:type="dxa"/>
          </w:tcPr>
          <w:p w14:paraId="40FF9ACE" w14:textId="2E35D297" w:rsidR="003F4FAC" w:rsidRPr="00AD6769" w:rsidRDefault="003F4FAC" w:rsidP="003F4FAC">
            <w:r>
              <w:rPr>
                <w:color w:val="58595B"/>
                <w:spacing w:val="-4"/>
                <w:w w:val="110"/>
              </w:rPr>
              <w:t>5832</w:t>
            </w:r>
          </w:p>
        </w:tc>
      </w:tr>
      <w:tr w:rsidR="003F4FAC" w14:paraId="0013B9BD" w14:textId="77777777" w:rsidTr="00F31956">
        <w:tc>
          <w:tcPr>
            <w:tcW w:w="7938" w:type="dxa"/>
          </w:tcPr>
          <w:p w14:paraId="181CBEA8" w14:textId="77777777" w:rsidR="003F4FAC" w:rsidRPr="00AD6769" w:rsidRDefault="003F4FAC" w:rsidP="003F4FAC">
            <w:r>
              <w:t xml:space="preserve">Queensland Police Service - operating (including road safety and enforcement initiatives) </w:t>
            </w:r>
          </w:p>
        </w:tc>
        <w:tc>
          <w:tcPr>
            <w:tcW w:w="1132" w:type="dxa"/>
          </w:tcPr>
          <w:p w14:paraId="21CAE72F" w14:textId="6A1A18DF" w:rsidR="003F4FAC" w:rsidRPr="00AD6769" w:rsidRDefault="003F4FAC" w:rsidP="003F4FAC">
            <w:r>
              <w:rPr>
                <w:color w:val="58595B"/>
                <w:spacing w:val="-2"/>
                <w:w w:val="110"/>
              </w:rPr>
              <w:t>42,231</w:t>
            </w:r>
          </w:p>
        </w:tc>
      </w:tr>
      <w:tr w:rsidR="003F4FAC" w14:paraId="56A06CCE" w14:textId="77777777" w:rsidTr="00F31956">
        <w:tc>
          <w:tcPr>
            <w:tcW w:w="7938" w:type="dxa"/>
          </w:tcPr>
          <w:p w14:paraId="0FC93BF7" w14:textId="77777777" w:rsidR="003F4FAC" w:rsidRDefault="003F4FAC" w:rsidP="003F4FAC">
            <w:r>
              <w:t xml:space="preserve">Queensland Police Service - equity </w:t>
            </w:r>
          </w:p>
        </w:tc>
        <w:tc>
          <w:tcPr>
            <w:tcW w:w="1132" w:type="dxa"/>
          </w:tcPr>
          <w:p w14:paraId="360E1DF7" w14:textId="5908C6A7" w:rsidR="003F4FAC" w:rsidRDefault="003F4FAC" w:rsidP="003F4FAC">
            <w:r>
              <w:rPr>
                <w:color w:val="58595B"/>
                <w:spacing w:val="-5"/>
                <w:w w:val="110"/>
              </w:rPr>
              <w:t>934</w:t>
            </w:r>
          </w:p>
        </w:tc>
      </w:tr>
      <w:tr w:rsidR="003F4FAC" w14:paraId="50C6C6DC" w14:textId="77777777" w:rsidTr="00F31956">
        <w:tc>
          <w:tcPr>
            <w:tcW w:w="7938" w:type="dxa"/>
          </w:tcPr>
          <w:p w14:paraId="637B0DED" w14:textId="77777777" w:rsidR="003F4FAC" w:rsidRDefault="003F4FAC" w:rsidP="003F4FAC">
            <w:r>
              <w:t xml:space="preserve">Queensland Treasury </w:t>
            </w:r>
          </w:p>
        </w:tc>
        <w:tc>
          <w:tcPr>
            <w:tcW w:w="1132" w:type="dxa"/>
          </w:tcPr>
          <w:p w14:paraId="02D216F1" w14:textId="3322E3AD" w:rsidR="003F4FAC" w:rsidRDefault="003F4FAC" w:rsidP="003F4FAC">
            <w:r>
              <w:rPr>
                <w:color w:val="58595B"/>
                <w:spacing w:val="-2"/>
                <w:w w:val="110"/>
              </w:rPr>
              <w:t>16,366</w:t>
            </w:r>
          </w:p>
        </w:tc>
      </w:tr>
      <w:tr w:rsidR="003F4FAC" w14:paraId="4E861102" w14:textId="77777777" w:rsidTr="00F31956">
        <w:tc>
          <w:tcPr>
            <w:tcW w:w="7938" w:type="dxa"/>
          </w:tcPr>
          <w:p w14:paraId="74C7BF50" w14:textId="77777777" w:rsidR="003F4FAC" w:rsidRDefault="003F4FAC" w:rsidP="003F4FAC">
            <w:r>
              <w:t xml:space="preserve">Total administrative/operational costs </w:t>
            </w:r>
          </w:p>
        </w:tc>
        <w:tc>
          <w:tcPr>
            <w:tcW w:w="1132" w:type="dxa"/>
          </w:tcPr>
          <w:p w14:paraId="2E03454B" w14:textId="7C7FF2EB" w:rsidR="003F4FAC" w:rsidRDefault="003F4FAC" w:rsidP="003F4FAC">
            <w:r>
              <w:rPr>
                <w:rFonts w:ascii="MetaPro-CondBold"/>
                <w:b/>
                <w:color w:val="58595B"/>
                <w:spacing w:val="-2"/>
                <w:w w:val="105"/>
              </w:rPr>
              <w:t>85,674</w:t>
            </w:r>
          </w:p>
        </w:tc>
      </w:tr>
    </w:tbl>
    <w:p w14:paraId="08474D80" w14:textId="77777777" w:rsidR="006800C7" w:rsidRDefault="006800C7" w:rsidP="006800C7"/>
    <w:tbl>
      <w:tblPr>
        <w:tblStyle w:val="Style1"/>
        <w:tblW w:w="0" w:type="auto"/>
        <w:tblLook w:val="04A0" w:firstRow="1" w:lastRow="0" w:firstColumn="1" w:lastColumn="0" w:noHBand="0" w:noVBand="1"/>
      </w:tblPr>
      <w:tblGrid>
        <w:gridCol w:w="7938"/>
        <w:gridCol w:w="1132"/>
      </w:tblGrid>
      <w:tr w:rsidR="006800C7" w14:paraId="5A38C502" w14:textId="77777777" w:rsidTr="00F31956">
        <w:trPr>
          <w:cnfStyle w:val="100000000000" w:firstRow="1" w:lastRow="0" w:firstColumn="0" w:lastColumn="0" w:oddVBand="0" w:evenVBand="0" w:oddHBand="0" w:evenHBand="0" w:firstRowFirstColumn="0" w:firstRowLastColumn="0" w:lastRowFirstColumn="0" w:lastRowLastColumn="0"/>
        </w:trPr>
        <w:tc>
          <w:tcPr>
            <w:tcW w:w="7938" w:type="dxa"/>
          </w:tcPr>
          <w:p w14:paraId="3274DDD3" w14:textId="77777777" w:rsidR="006800C7" w:rsidRPr="00FC6E8D" w:rsidRDefault="006800C7" w:rsidP="00F31956">
            <w:r>
              <w:t xml:space="preserve">Expenditure from remaining revenue  </w:t>
            </w:r>
          </w:p>
        </w:tc>
        <w:tc>
          <w:tcPr>
            <w:tcW w:w="1132" w:type="dxa"/>
          </w:tcPr>
          <w:p w14:paraId="486EB594" w14:textId="77777777" w:rsidR="006800C7" w:rsidRPr="00AD6769" w:rsidRDefault="006800C7" w:rsidP="00F31956"/>
        </w:tc>
      </w:tr>
      <w:tr w:rsidR="006800C7" w14:paraId="737434E4" w14:textId="77777777" w:rsidTr="00F31956">
        <w:tc>
          <w:tcPr>
            <w:tcW w:w="7938" w:type="dxa"/>
          </w:tcPr>
          <w:p w14:paraId="4EEABA30" w14:textId="77777777" w:rsidR="006800C7" w:rsidRPr="00FC6E8D" w:rsidRDefault="006800C7" w:rsidP="00F31956">
            <w:r>
              <w:t xml:space="preserve">Road Safety education and awareness </w:t>
            </w:r>
          </w:p>
        </w:tc>
        <w:tc>
          <w:tcPr>
            <w:tcW w:w="1132" w:type="dxa"/>
          </w:tcPr>
          <w:p w14:paraId="1DF5A2D3" w14:textId="77777777" w:rsidR="006800C7" w:rsidRPr="00FC6E8D" w:rsidRDefault="006800C7" w:rsidP="00F31956"/>
        </w:tc>
      </w:tr>
      <w:tr w:rsidR="0076269A" w14:paraId="470267D7" w14:textId="77777777" w:rsidTr="00F31956">
        <w:tc>
          <w:tcPr>
            <w:tcW w:w="7938" w:type="dxa"/>
          </w:tcPr>
          <w:p w14:paraId="4C1E1087" w14:textId="77777777" w:rsidR="0076269A" w:rsidRPr="00FC6E8D" w:rsidRDefault="0076269A" w:rsidP="0076269A">
            <w:r>
              <w:t xml:space="preserve">Department of Transport and Main Roads - operating </w:t>
            </w:r>
          </w:p>
        </w:tc>
        <w:tc>
          <w:tcPr>
            <w:tcW w:w="1132" w:type="dxa"/>
          </w:tcPr>
          <w:p w14:paraId="386CF511" w14:textId="156F1F04" w:rsidR="0076269A" w:rsidRPr="00FC6E8D" w:rsidRDefault="0076269A" w:rsidP="0076269A">
            <w:r>
              <w:rPr>
                <w:color w:val="58595B"/>
                <w:spacing w:val="-2"/>
                <w:w w:val="110"/>
              </w:rPr>
              <w:t>19,377</w:t>
            </w:r>
          </w:p>
        </w:tc>
      </w:tr>
      <w:tr w:rsidR="0076269A" w14:paraId="5647D0E8" w14:textId="77777777" w:rsidTr="00F31956">
        <w:tc>
          <w:tcPr>
            <w:tcW w:w="7938" w:type="dxa"/>
          </w:tcPr>
          <w:p w14:paraId="425674B4" w14:textId="77777777" w:rsidR="0076269A" w:rsidRPr="00FC6E8D" w:rsidRDefault="0076269A" w:rsidP="0076269A">
            <w:r>
              <w:t xml:space="preserve">Department of Transport and Main Roads - equity </w:t>
            </w:r>
          </w:p>
        </w:tc>
        <w:tc>
          <w:tcPr>
            <w:tcW w:w="1132" w:type="dxa"/>
          </w:tcPr>
          <w:p w14:paraId="09C7EFD1" w14:textId="681EC73E" w:rsidR="0076269A" w:rsidRPr="00FC6E8D" w:rsidRDefault="0076269A" w:rsidP="0076269A">
            <w:r>
              <w:rPr>
                <w:color w:val="58595B"/>
                <w:spacing w:val="-4"/>
                <w:w w:val="115"/>
              </w:rPr>
              <w:t>2159</w:t>
            </w:r>
          </w:p>
        </w:tc>
      </w:tr>
      <w:tr w:rsidR="0076269A" w14:paraId="0DBA9957" w14:textId="77777777" w:rsidTr="00F31956">
        <w:tc>
          <w:tcPr>
            <w:tcW w:w="7938" w:type="dxa"/>
          </w:tcPr>
          <w:p w14:paraId="1C264606" w14:textId="77777777" w:rsidR="0076269A" w:rsidRPr="00FC6E8D" w:rsidRDefault="0076269A" w:rsidP="0076269A">
            <w:r>
              <w:t xml:space="preserve">Public Safety Business Agency </w:t>
            </w:r>
          </w:p>
        </w:tc>
        <w:tc>
          <w:tcPr>
            <w:tcW w:w="1132" w:type="dxa"/>
          </w:tcPr>
          <w:p w14:paraId="035923AF" w14:textId="3014179E" w:rsidR="0076269A" w:rsidRPr="00FC6E8D" w:rsidRDefault="0076269A" w:rsidP="0076269A">
            <w:r>
              <w:rPr>
                <w:color w:val="58595B"/>
                <w:spacing w:val="-4"/>
                <w:w w:val="110"/>
              </w:rPr>
              <w:t>1068</w:t>
            </w:r>
          </w:p>
        </w:tc>
      </w:tr>
      <w:tr w:rsidR="006800C7" w14:paraId="6612CADB" w14:textId="77777777" w:rsidTr="00F31956">
        <w:tc>
          <w:tcPr>
            <w:tcW w:w="7938" w:type="dxa"/>
          </w:tcPr>
          <w:p w14:paraId="4A994AE3" w14:textId="77777777" w:rsidR="006800C7" w:rsidRPr="00FC6E8D" w:rsidRDefault="006800C7" w:rsidP="00F31956">
            <w:r>
              <w:t xml:space="preserve">Road accident injury rehabilitation programs </w:t>
            </w:r>
          </w:p>
        </w:tc>
        <w:tc>
          <w:tcPr>
            <w:tcW w:w="1132" w:type="dxa"/>
          </w:tcPr>
          <w:p w14:paraId="75DACDB7" w14:textId="77777777" w:rsidR="006800C7" w:rsidRPr="00FC6E8D" w:rsidRDefault="006800C7" w:rsidP="00F31956"/>
        </w:tc>
      </w:tr>
      <w:tr w:rsidR="006800C7" w14:paraId="6CC7B151" w14:textId="77777777" w:rsidTr="00F31956">
        <w:tc>
          <w:tcPr>
            <w:tcW w:w="7938" w:type="dxa"/>
          </w:tcPr>
          <w:p w14:paraId="79FD2A9E" w14:textId="77777777" w:rsidR="006800C7" w:rsidRPr="00FC6E8D" w:rsidRDefault="006800C7" w:rsidP="00F31956">
            <w:r>
              <w:lastRenderedPageBreak/>
              <w:t xml:space="preserve">Queensland Health - to support the purchase of blood products used in the treatment of victims of road trauma </w:t>
            </w:r>
          </w:p>
        </w:tc>
        <w:tc>
          <w:tcPr>
            <w:tcW w:w="1132" w:type="dxa"/>
          </w:tcPr>
          <w:p w14:paraId="0058E14B" w14:textId="77777777" w:rsidR="006800C7" w:rsidRPr="00FC6E8D" w:rsidRDefault="006800C7" w:rsidP="00F31956">
            <w:r>
              <w:t>4500</w:t>
            </w:r>
          </w:p>
        </w:tc>
      </w:tr>
      <w:tr w:rsidR="006800C7" w14:paraId="71BE191D" w14:textId="77777777" w:rsidTr="00F31956">
        <w:tc>
          <w:tcPr>
            <w:tcW w:w="7938" w:type="dxa"/>
          </w:tcPr>
          <w:p w14:paraId="43EA5DAC" w14:textId="77777777" w:rsidR="006800C7" w:rsidRDefault="006800C7" w:rsidP="00F31956">
            <w:r>
              <w:t xml:space="preserve">Improvements to the safety of state-controlled roads </w:t>
            </w:r>
          </w:p>
        </w:tc>
        <w:tc>
          <w:tcPr>
            <w:tcW w:w="1132" w:type="dxa"/>
          </w:tcPr>
          <w:p w14:paraId="11187145" w14:textId="77777777" w:rsidR="006800C7" w:rsidRDefault="006800C7" w:rsidP="00F31956"/>
        </w:tc>
      </w:tr>
      <w:tr w:rsidR="003558AB" w14:paraId="421EBD72" w14:textId="77777777" w:rsidTr="00F31956">
        <w:tc>
          <w:tcPr>
            <w:tcW w:w="7938" w:type="dxa"/>
          </w:tcPr>
          <w:p w14:paraId="24D65E74" w14:textId="77777777" w:rsidR="003558AB" w:rsidRDefault="003558AB" w:rsidP="003558AB">
            <w:r>
              <w:t xml:space="preserve">Department of Transport and Main Roads - operating </w:t>
            </w:r>
          </w:p>
        </w:tc>
        <w:tc>
          <w:tcPr>
            <w:tcW w:w="1132" w:type="dxa"/>
          </w:tcPr>
          <w:p w14:paraId="4EF257CA" w14:textId="5D209830" w:rsidR="003558AB" w:rsidRDefault="003558AB" w:rsidP="003558AB">
            <w:r>
              <w:rPr>
                <w:color w:val="58595B"/>
                <w:spacing w:val="-4"/>
                <w:w w:val="115"/>
              </w:rPr>
              <w:t>1240</w:t>
            </w:r>
          </w:p>
        </w:tc>
      </w:tr>
      <w:tr w:rsidR="003558AB" w14:paraId="590FDF6E" w14:textId="77777777" w:rsidTr="00F31956">
        <w:tc>
          <w:tcPr>
            <w:tcW w:w="7938" w:type="dxa"/>
          </w:tcPr>
          <w:p w14:paraId="305688D2" w14:textId="77777777" w:rsidR="003558AB" w:rsidRDefault="003558AB" w:rsidP="003558AB">
            <w:r>
              <w:t xml:space="preserve">Department of Transport and Main Roads - equity </w:t>
            </w:r>
          </w:p>
        </w:tc>
        <w:tc>
          <w:tcPr>
            <w:tcW w:w="1132" w:type="dxa"/>
          </w:tcPr>
          <w:p w14:paraId="02CBA1EE" w14:textId="033DDC0B" w:rsidR="003558AB" w:rsidRDefault="003558AB" w:rsidP="003558AB">
            <w:r>
              <w:rPr>
                <w:color w:val="58595B"/>
                <w:spacing w:val="-2"/>
                <w:w w:val="110"/>
              </w:rPr>
              <w:t>172,250</w:t>
            </w:r>
          </w:p>
        </w:tc>
      </w:tr>
      <w:tr w:rsidR="003558AB" w14:paraId="73AD46BF" w14:textId="77777777" w:rsidTr="00F31956">
        <w:tc>
          <w:tcPr>
            <w:tcW w:w="7938" w:type="dxa"/>
          </w:tcPr>
          <w:p w14:paraId="50FB731A" w14:textId="77777777" w:rsidR="003558AB" w:rsidRDefault="003558AB" w:rsidP="003558AB">
            <w:r>
              <w:t xml:space="preserve">Total Expenditure from remaining funds </w:t>
            </w:r>
          </w:p>
        </w:tc>
        <w:tc>
          <w:tcPr>
            <w:tcW w:w="1132" w:type="dxa"/>
          </w:tcPr>
          <w:p w14:paraId="597B8BC1" w14:textId="6D85CDBD" w:rsidR="003558AB" w:rsidRDefault="003558AB" w:rsidP="003558AB">
            <w:r>
              <w:rPr>
                <w:rFonts w:ascii="MetaPro-CondBold"/>
                <w:b/>
                <w:color w:val="58595B"/>
                <w:spacing w:val="-2"/>
              </w:rPr>
              <w:t>200,594</w:t>
            </w:r>
          </w:p>
        </w:tc>
      </w:tr>
      <w:tr w:rsidR="003558AB" w14:paraId="0AB778FA" w14:textId="77777777" w:rsidTr="00F31956">
        <w:tc>
          <w:tcPr>
            <w:tcW w:w="7938" w:type="dxa"/>
          </w:tcPr>
          <w:p w14:paraId="59801335" w14:textId="77777777" w:rsidR="003558AB" w:rsidRDefault="003558AB" w:rsidP="003558AB">
            <w:r>
              <w:t>Total Expenditure 2020-21</w:t>
            </w:r>
          </w:p>
        </w:tc>
        <w:tc>
          <w:tcPr>
            <w:tcW w:w="1132" w:type="dxa"/>
          </w:tcPr>
          <w:p w14:paraId="216DC1FB" w14:textId="52510B39" w:rsidR="003558AB" w:rsidRDefault="003558AB" w:rsidP="003558AB">
            <w:r>
              <w:rPr>
                <w:rFonts w:ascii="MetaPro-CondBold"/>
                <w:b/>
                <w:color w:val="58595B"/>
                <w:spacing w:val="-2"/>
              </w:rPr>
              <w:t>286,268</w:t>
            </w:r>
          </w:p>
        </w:tc>
      </w:tr>
      <w:tr w:rsidR="003558AB" w14:paraId="19BCB685" w14:textId="77777777" w:rsidTr="00F31956">
        <w:tc>
          <w:tcPr>
            <w:tcW w:w="7938" w:type="dxa"/>
          </w:tcPr>
          <w:p w14:paraId="3BA8CA8A" w14:textId="77777777" w:rsidR="003558AB" w:rsidRDefault="003558AB" w:rsidP="003558AB">
            <w:r>
              <w:t xml:space="preserve">Total Revenue less Total expenditure </w:t>
            </w:r>
          </w:p>
        </w:tc>
        <w:tc>
          <w:tcPr>
            <w:tcW w:w="1132" w:type="dxa"/>
          </w:tcPr>
          <w:p w14:paraId="556EE10E" w14:textId="4DE0FC9B" w:rsidR="003558AB" w:rsidRDefault="003558AB" w:rsidP="003558AB">
            <w:r>
              <w:rPr>
                <w:rFonts w:ascii="MetaPro-CondBold"/>
                <w:b/>
                <w:color w:val="58595B"/>
                <w:w w:val="105"/>
              </w:rPr>
              <w:t>-</w:t>
            </w:r>
            <w:r>
              <w:rPr>
                <w:rFonts w:ascii="MetaPro-CondBold"/>
                <w:b/>
                <w:color w:val="58595B"/>
                <w:spacing w:val="-2"/>
                <w:w w:val="105"/>
              </w:rPr>
              <w:t>11,736</w:t>
            </w:r>
          </w:p>
        </w:tc>
      </w:tr>
    </w:tbl>
    <w:p w14:paraId="6EBBFB06" w14:textId="3202C3DB" w:rsidR="003558AB" w:rsidRPr="00A045F2" w:rsidRDefault="003558AB" w:rsidP="003558AB">
      <w:pPr>
        <w:pStyle w:val="Subtitle"/>
      </w:pPr>
      <w:r w:rsidRPr="00A045F2">
        <w:t>Notes</w:t>
      </w:r>
      <w:r w:rsidR="00EE26A6">
        <w:t xml:space="preserve"> </w:t>
      </w:r>
      <w:r w:rsidR="00EE26A6" w:rsidRPr="00EE26A6">
        <w:t>Total 2021–22 expenditure on CDOP related activities can include funding from prior year and expenditure brought forward</w:t>
      </w:r>
      <w:r w:rsidRPr="002206D4">
        <w:t>.</w:t>
      </w:r>
      <w:r w:rsidRPr="00A045F2">
        <w:t xml:space="preserve"> </w:t>
      </w:r>
    </w:p>
    <w:p w14:paraId="77B2DD63" w14:textId="19E5B574" w:rsidR="006800C7" w:rsidRDefault="006800C7" w:rsidP="006800C7">
      <w:pPr>
        <w:pStyle w:val="Heading3"/>
      </w:pPr>
      <w:r>
        <w:t xml:space="preserve">Community attitudes </w:t>
      </w:r>
    </w:p>
    <w:p w14:paraId="23E40D56" w14:textId="0C916B74" w:rsidR="006800C7" w:rsidRDefault="00C874D8" w:rsidP="006800C7">
      <w:r w:rsidRPr="00C874D8">
        <w:t>The following results were drawn from recent research* indicating that the community generally regards speeding to be a dangerous and unacceptable behaviour. With regards to low-level speeding, the community has paradoxical attitudes, such that they understand the risks associated with the behaviour, but many still report engaging in the behaviour themselves</w:t>
      </w:r>
      <w:r w:rsidR="006800C7" w:rsidRPr="009E2F67">
        <w:t>.</w:t>
      </w:r>
    </w:p>
    <w:p w14:paraId="0A725F39" w14:textId="275A13E0" w:rsidR="00A61A39" w:rsidRPr="00A61A39" w:rsidRDefault="00A61A39" w:rsidP="00A61A39">
      <w:pPr>
        <w:pStyle w:val="ListBullet"/>
      </w:pPr>
      <w:r w:rsidRPr="00A61A39">
        <w:t>75 per cent agreed with the statement ‘Speeding is unsafe in most circumstances’.</w:t>
      </w:r>
    </w:p>
    <w:p w14:paraId="60BBBD0F" w14:textId="5B4F79D1" w:rsidR="00A61A39" w:rsidRPr="00A61A39" w:rsidRDefault="00A61A39" w:rsidP="00A61A39">
      <w:pPr>
        <w:pStyle w:val="ListBullet"/>
      </w:pPr>
      <w:r w:rsidRPr="00A61A39">
        <w:t>47 per cent agreed with the statement ‘Low-level speeding is a major contributor to crashes’.</w:t>
      </w:r>
    </w:p>
    <w:p w14:paraId="1D50E0DD" w14:textId="2D1393B9" w:rsidR="00A61A39" w:rsidRPr="00A61A39" w:rsidRDefault="00A61A39" w:rsidP="00A61A39">
      <w:pPr>
        <w:pStyle w:val="ListBullet"/>
      </w:pPr>
      <w:r w:rsidRPr="00A61A39">
        <w:t>83 per cent agreed with the statement ‘The faster you drive, the more severe the crash’.</w:t>
      </w:r>
    </w:p>
    <w:p w14:paraId="42CF2DCA" w14:textId="7FC91AF7" w:rsidR="00A61A39" w:rsidRPr="00A61A39" w:rsidRDefault="00A61A39" w:rsidP="00A61A39">
      <w:pPr>
        <w:pStyle w:val="ListBullet"/>
      </w:pPr>
      <w:r w:rsidRPr="00A61A39">
        <w:t>80 per cent agreed with the statement ‘If I drive 10 km/h over the speed limit, I have a greater risk of being in a crash, than if I was driving at the speed limit’.</w:t>
      </w:r>
    </w:p>
    <w:p w14:paraId="5EBBC945" w14:textId="19E57A98" w:rsidR="00A61A39" w:rsidRPr="00A61A39" w:rsidRDefault="00A61A39" w:rsidP="00A61A39">
      <w:pPr>
        <w:pStyle w:val="ListBullet"/>
      </w:pPr>
      <w:r w:rsidRPr="00A61A39">
        <w:t>33 per cent were classified as compliant with speed limits, while 46 per cent were classified as low-level speeders**.</w:t>
      </w:r>
    </w:p>
    <w:p w14:paraId="3DE9E858" w14:textId="77777777" w:rsidR="00623578" w:rsidRPr="00623578" w:rsidRDefault="00623578" w:rsidP="00623578">
      <w:pPr>
        <w:rPr>
          <w:rFonts w:eastAsiaTheme="minorEastAsia" w:cstheme="minorBidi"/>
          <w:i/>
          <w:color w:val="595959" w:themeColor="text1" w:themeTint="A6"/>
          <w:sz w:val="16"/>
        </w:rPr>
      </w:pPr>
      <w:r w:rsidRPr="00623578">
        <w:rPr>
          <w:rFonts w:eastAsiaTheme="minorEastAsia" w:cstheme="minorBidi"/>
          <w:i/>
          <w:color w:val="595959" w:themeColor="text1" w:themeTint="A6"/>
          <w:sz w:val="16"/>
        </w:rPr>
        <w:t>* Each year, Transport and Main Roads commissions a study investigating road safety attitudes and behaviours, which is conducted by an independent market research company. The 2021 survey asked transport-related questions of a sample of 901 Queensland motorists.</w:t>
      </w:r>
    </w:p>
    <w:p w14:paraId="6E6BAE16" w14:textId="5183484B" w:rsidR="00623578" w:rsidRPr="00623578" w:rsidRDefault="00623578" w:rsidP="00623578">
      <w:r w:rsidRPr="00623578">
        <w:rPr>
          <w:rFonts w:eastAsiaTheme="minorEastAsia" w:cstheme="minorBidi"/>
          <w:i/>
          <w:color w:val="595959" w:themeColor="text1" w:themeTint="A6"/>
          <w:sz w:val="16"/>
        </w:rPr>
        <w:t>** Respondents were classified as “low-level speeders” if they reported travelling at 1-10 km/h for more than 10 per cent of the time they were driving, but never reported travelling more than 20 km/h over the limit.</w:t>
      </w:r>
    </w:p>
    <w:p w14:paraId="51768D83" w14:textId="77777777" w:rsidR="002D43A0" w:rsidRDefault="002D43A0" w:rsidP="006800C7">
      <w:pPr>
        <w:pStyle w:val="TableofFigures"/>
      </w:pPr>
    </w:p>
    <w:p w14:paraId="23127E67" w14:textId="326E6DC9" w:rsidR="006800C7" w:rsidRDefault="006800C7" w:rsidP="006800C7">
      <w:pPr>
        <w:pStyle w:val="TableofFigures"/>
      </w:pPr>
      <w:r>
        <w:t xml:space="preserve">Figure </w:t>
      </w:r>
      <w:r w:rsidR="002D43A0">
        <w:t>5</w:t>
      </w:r>
      <w:r>
        <w:t xml:space="preserve">: Mobile speed cameras - vehicles monitored per notice issued </w:t>
      </w:r>
    </w:p>
    <w:p w14:paraId="178802AC" w14:textId="77777777" w:rsidR="006800C7" w:rsidRDefault="006800C7" w:rsidP="006800C7">
      <w:r w:rsidRPr="005A2352">
        <w:rPr>
          <w:noProof/>
        </w:rPr>
        <w:drawing>
          <wp:anchor distT="0" distB="0" distL="114300" distR="114300" simplePos="0" relativeHeight="251656704" behindDoc="1" locked="0" layoutInCell="1" allowOverlap="1" wp14:anchorId="3DEBAE71" wp14:editId="4C6B0208">
            <wp:simplePos x="0" y="0"/>
            <wp:positionH relativeFrom="margin">
              <wp:posOffset>-14605</wp:posOffset>
            </wp:positionH>
            <wp:positionV relativeFrom="paragraph">
              <wp:posOffset>215265</wp:posOffset>
            </wp:positionV>
            <wp:extent cx="5228590" cy="1958340"/>
            <wp:effectExtent l="0" t="0" r="0" b="3810"/>
            <wp:wrapTight wrapText="bothSides">
              <wp:wrapPolygon edited="0">
                <wp:start x="0" y="0"/>
                <wp:lineTo x="0" y="21432"/>
                <wp:lineTo x="21485" y="21432"/>
                <wp:lineTo x="2148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47" cstate="print">
                      <a:extLst>
                        <a:ext uri="{28A0092B-C50C-407E-A947-70E740481C1C}">
                          <a14:useLocalDpi xmlns:a14="http://schemas.microsoft.com/office/drawing/2010/main" val="0"/>
                        </a:ext>
                      </a:extLst>
                    </a:blip>
                    <a:stretch>
                      <a:fillRect/>
                    </a:stretch>
                  </pic:blipFill>
                  <pic:spPr bwMode="auto">
                    <a:xfrm>
                      <a:off x="0" y="0"/>
                      <a:ext cx="5228590" cy="1958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B3E60" w14:textId="77777777" w:rsidR="006800C7" w:rsidRDefault="006800C7" w:rsidP="006800C7"/>
    <w:p w14:paraId="335DFEA3" w14:textId="77777777" w:rsidR="00BA1EF9" w:rsidRDefault="00BA1EF9" w:rsidP="006800C7">
      <w:pPr>
        <w:pStyle w:val="TableofFigures"/>
      </w:pPr>
    </w:p>
    <w:p w14:paraId="385FB2D3" w14:textId="77777777" w:rsidR="00BA1EF9" w:rsidRDefault="00BA1EF9" w:rsidP="006800C7">
      <w:pPr>
        <w:pStyle w:val="TableofFigures"/>
      </w:pPr>
    </w:p>
    <w:p w14:paraId="4B22B344" w14:textId="77777777" w:rsidR="00BA1EF9" w:rsidRDefault="00BA1EF9" w:rsidP="006800C7">
      <w:pPr>
        <w:pStyle w:val="TableofFigures"/>
      </w:pPr>
    </w:p>
    <w:p w14:paraId="065C3EF1" w14:textId="77777777" w:rsidR="00BA1EF9" w:rsidRDefault="00BA1EF9" w:rsidP="006800C7">
      <w:pPr>
        <w:pStyle w:val="TableofFigures"/>
      </w:pPr>
    </w:p>
    <w:p w14:paraId="13A6A8DE" w14:textId="77777777" w:rsidR="00BA1EF9" w:rsidRDefault="00BA1EF9" w:rsidP="006800C7">
      <w:pPr>
        <w:pStyle w:val="TableofFigures"/>
      </w:pPr>
    </w:p>
    <w:p w14:paraId="1D627E34" w14:textId="77777777" w:rsidR="00BA1EF9" w:rsidRDefault="00BA1EF9" w:rsidP="006800C7">
      <w:pPr>
        <w:pStyle w:val="TableofFigures"/>
      </w:pPr>
    </w:p>
    <w:p w14:paraId="2135B9E1" w14:textId="36609D37" w:rsidR="00347CF3" w:rsidRPr="00623578" w:rsidRDefault="00347CF3" w:rsidP="00BA1EF9">
      <w:r w:rsidRPr="00347CF3">
        <w:rPr>
          <w:rFonts w:eastAsiaTheme="minorEastAsia" w:cstheme="minorBidi"/>
          <w:i/>
          <w:color w:val="595959" w:themeColor="text1" w:themeTint="A6"/>
          <w:sz w:val="16"/>
        </w:rPr>
        <w:t>Note: Prior to 2018 data reported included all mobile speed camera notices including overt, covert and portable camera units. For 2018 onwards, data displays overt and covert cameras only.</w:t>
      </w:r>
    </w:p>
    <w:p w14:paraId="183CFA86" w14:textId="77777777" w:rsidR="00BA1EF9" w:rsidRDefault="00BA1EF9" w:rsidP="006800C7">
      <w:pPr>
        <w:pStyle w:val="TableofFigures"/>
      </w:pPr>
    </w:p>
    <w:p w14:paraId="10F4C411" w14:textId="53B66B3E" w:rsidR="006800C7" w:rsidRPr="00EF5A4F" w:rsidRDefault="006800C7" w:rsidP="006800C7">
      <w:pPr>
        <w:pStyle w:val="TableofFigures"/>
      </w:pPr>
      <w:r>
        <w:t>Table 13: Number of mobile speed camera infringements per penalty bracket for 2020</w:t>
      </w:r>
    </w:p>
    <w:tbl>
      <w:tblPr>
        <w:tblStyle w:val="Style1"/>
        <w:tblW w:w="0" w:type="auto"/>
        <w:tblLook w:val="04A0" w:firstRow="1" w:lastRow="0" w:firstColumn="1" w:lastColumn="0" w:noHBand="0" w:noVBand="1"/>
      </w:tblPr>
      <w:tblGrid>
        <w:gridCol w:w="1293"/>
        <w:gridCol w:w="1293"/>
        <w:gridCol w:w="1294"/>
        <w:gridCol w:w="1295"/>
        <w:gridCol w:w="1295"/>
        <w:gridCol w:w="1295"/>
        <w:gridCol w:w="1295"/>
      </w:tblGrid>
      <w:tr w:rsidR="006800C7" w14:paraId="3AAC789D" w14:textId="77777777" w:rsidTr="00F31956">
        <w:trPr>
          <w:cnfStyle w:val="100000000000" w:firstRow="1" w:lastRow="0" w:firstColumn="0" w:lastColumn="0" w:oddVBand="0" w:evenVBand="0" w:oddHBand="0" w:evenHBand="0" w:firstRowFirstColumn="0" w:firstRowLastColumn="0" w:lastRowFirstColumn="0" w:lastRowLastColumn="0"/>
        </w:trPr>
        <w:tc>
          <w:tcPr>
            <w:tcW w:w="1293" w:type="dxa"/>
          </w:tcPr>
          <w:p w14:paraId="191275D4" w14:textId="77777777" w:rsidR="006800C7" w:rsidRPr="002E53BF" w:rsidRDefault="006800C7" w:rsidP="00F31956">
            <w:r>
              <w:t xml:space="preserve">penalty </w:t>
            </w:r>
            <w:r w:rsidRPr="002E53BF">
              <w:t xml:space="preserve">bracket </w:t>
            </w:r>
          </w:p>
        </w:tc>
        <w:tc>
          <w:tcPr>
            <w:tcW w:w="1293" w:type="dxa"/>
          </w:tcPr>
          <w:p w14:paraId="743EFB96" w14:textId="77777777" w:rsidR="006800C7" w:rsidRPr="002E53BF" w:rsidRDefault="006800C7" w:rsidP="00F31956">
            <w:r>
              <w:t>&lt; 13 km/h</w:t>
            </w:r>
          </w:p>
        </w:tc>
        <w:tc>
          <w:tcPr>
            <w:tcW w:w="1294" w:type="dxa"/>
          </w:tcPr>
          <w:p w14:paraId="2F46A4D3" w14:textId="77777777" w:rsidR="006800C7" w:rsidRPr="002E53BF" w:rsidRDefault="006800C7" w:rsidP="00F31956">
            <w:r>
              <w:t>13–20 km/h</w:t>
            </w:r>
          </w:p>
        </w:tc>
        <w:tc>
          <w:tcPr>
            <w:tcW w:w="1295" w:type="dxa"/>
          </w:tcPr>
          <w:p w14:paraId="442E0BE4" w14:textId="77777777" w:rsidR="006800C7" w:rsidRPr="002E53BF" w:rsidRDefault="006800C7" w:rsidP="00F31956">
            <w:r>
              <w:t>21–30 km/h</w:t>
            </w:r>
          </w:p>
        </w:tc>
        <w:tc>
          <w:tcPr>
            <w:tcW w:w="1295" w:type="dxa"/>
          </w:tcPr>
          <w:p w14:paraId="358B107B" w14:textId="77777777" w:rsidR="006800C7" w:rsidRPr="002E53BF" w:rsidRDefault="006800C7" w:rsidP="00F31956">
            <w:r>
              <w:t>31–40 km/h</w:t>
            </w:r>
          </w:p>
        </w:tc>
        <w:tc>
          <w:tcPr>
            <w:tcW w:w="1295" w:type="dxa"/>
          </w:tcPr>
          <w:p w14:paraId="330412AE" w14:textId="77777777" w:rsidR="006800C7" w:rsidRPr="002E53BF" w:rsidRDefault="006800C7" w:rsidP="00F31956">
            <w:r>
              <w:t xml:space="preserve">&gt; </w:t>
            </w:r>
            <w:r w:rsidRPr="002E53BF">
              <w:t>40 km/h</w:t>
            </w:r>
          </w:p>
        </w:tc>
        <w:tc>
          <w:tcPr>
            <w:tcW w:w="1295" w:type="dxa"/>
          </w:tcPr>
          <w:p w14:paraId="3E4D6870" w14:textId="77777777" w:rsidR="006800C7" w:rsidRPr="002E53BF" w:rsidRDefault="006800C7" w:rsidP="00F31956">
            <w:r>
              <w:t>Total</w:t>
            </w:r>
          </w:p>
        </w:tc>
      </w:tr>
      <w:tr w:rsidR="005F68D0" w14:paraId="163CA96F" w14:textId="77777777" w:rsidTr="00F31956">
        <w:tc>
          <w:tcPr>
            <w:tcW w:w="1293" w:type="dxa"/>
          </w:tcPr>
          <w:p w14:paraId="059BF668" w14:textId="77777777" w:rsidR="005F68D0" w:rsidRPr="002E53BF" w:rsidRDefault="005F68D0" w:rsidP="005F68D0">
            <w:r>
              <w:t xml:space="preserve">Number of mobile speed camera infringements </w:t>
            </w:r>
          </w:p>
        </w:tc>
        <w:tc>
          <w:tcPr>
            <w:tcW w:w="1293" w:type="dxa"/>
          </w:tcPr>
          <w:p w14:paraId="4B489F50" w14:textId="5FEE6641" w:rsidR="005F68D0" w:rsidRPr="002E53BF" w:rsidRDefault="005F68D0" w:rsidP="005F68D0">
            <w:r>
              <w:rPr>
                <w:color w:val="58595B"/>
                <w:spacing w:val="-2"/>
                <w:w w:val="110"/>
              </w:rPr>
              <w:t>459,755</w:t>
            </w:r>
          </w:p>
        </w:tc>
        <w:tc>
          <w:tcPr>
            <w:tcW w:w="1294" w:type="dxa"/>
          </w:tcPr>
          <w:p w14:paraId="3C14AE5C" w14:textId="3A16A65D" w:rsidR="005F68D0" w:rsidRPr="002E53BF" w:rsidRDefault="005F68D0" w:rsidP="005F68D0">
            <w:r>
              <w:rPr>
                <w:color w:val="58595B"/>
                <w:spacing w:val="-2"/>
                <w:w w:val="110"/>
              </w:rPr>
              <w:t>103,499</w:t>
            </w:r>
          </w:p>
        </w:tc>
        <w:tc>
          <w:tcPr>
            <w:tcW w:w="1295" w:type="dxa"/>
          </w:tcPr>
          <w:p w14:paraId="0071C14A" w14:textId="1DA4546F" w:rsidR="005F68D0" w:rsidRPr="002E53BF" w:rsidRDefault="005F68D0" w:rsidP="005F68D0">
            <w:r>
              <w:rPr>
                <w:color w:val="58595B"/>
                <w:spacing w:val="-2"/>
                <w:w w:val="115"/>
              </w:rPr>
              <w:t>14,196</w:t>
            </w:r>
          </w:p>
        </w:tc>
        <w:tc>
          <w:tcPr>
            <w:tcW w:w="1295" w:type="dxa"/>
          </w:tcPr>
          <w:p w14:paraId="2710DA66" w14:textId="17B42E85" w:rsidR="005F68D0" w:rsidRPr="002E53BF" w:rsidRDefault="005F68D0" w:rsidP="005F68D0">
            <w:r>
              <w:rPr>
                <w:color w:val="58595B"/>
                <w:spacing w:val="-4"/>
                <w:w w:val="115"/>
              </w:rPr>
              <w:t>2142</w:t>
            </w:r>
          </w:p>
        </w:tc>
        <w:tc>
          <w:tcPr>
            <w:tcW w:w="1295" w:type="dxa"/>
          </w:tcPr>
          <w:p w14:paraId="4C973C78" w14:textId="45C970D8" w:rsidR="005F68D0" w:rsidRPr="002E53BF" w:rsidRDefault="005F68D0" w:rsidP="005F68D0">
            <w:r>
              <w:rPr>
                <w:color w:val="58595B"/>
                <w:spacing w:val="-5"/>
                <w:w w:val="105"/>
              </w:rPr>
              <w:t>878</w:t>
            </w:r>
          </w:p>
        </w:tc>
        <w:tc>
          <w:tcPr>
            <w:tcW w:w="1295" w:type="dxa"/>
          </w:tcPr>
          <w:p w14:paraId="60F79C86" w14:textId="445B689D" w:rsidR="005F68D0" w:rsidRPr="002E53BF" w:rsidRDefault="005F68D0" w:rsidP="005F68D0">
            <w:r>
              <w:rPr>
                <w:color w:val="58595B"/>
                <w:spacing w:val="-2"/>
                <w:w w:val="105"/>
              </w:rPr>
              <w:t>580,470</w:t>
            </w:r>
          </w:p>
        </w:tc>
      </w:tr>
      <w:tr w:rsidR="005F68D0" w14:paraId="4FFBCBD6" w14:textId="77777777" w:rsidTr="00F31956">
        <w:tc>
          <w:tcPr>
            <w:tcW w:w="1293" w:type="dxa"/>
          </w:tcPr>
          <w:p w14:paraId="303CB841" w14:textId="77777777" w:rsidR="005F68D0" w:rsidRPr="002E53BF" w:rsidRDefault="005F68D0" w:rsidP="005F68D0">
            <w:r>
              <w:t>Percentage</w:t>
            </w:r>
          </w:p>
        </w:tc>
        <w:tc>
          <w:tcPr>
            <w:tcW w:w="1293" w:type="dxa"/>
          </w:tcPr>
          <w:p w14:paraId="2475608B" w14:textId="1A914950" w:rsidR="005F68D0" w:rsidRPr="002E53BF" w:rsidRDefault="005F68D0" w:rsidP="005F68D0">
            <w:r>
              <w:rPr>
                <w:color w:val="58595B"/>
                <w:spacing w:val="-2"/>
                <w:w w:val="105"/>
              </w:rPr>
              <w:t>79.20%</w:t>
            </w:r>
          </w:p>
        </w:tc>
        <w:tc>
          <w:tcPr>
            <w:tcW w:w="1294" w:type="dxa"/>
          </w:tcPr>
          <w:p w14:paraId="4605808C" w14:textId="33E8CF88" w:rsidR="005F68D0" w:rsidRPr="002E53BF" w:rsidRDefault="005F68D0" w:rsidP="005F68D0">
            <w:r>
              <w:rPr>
                <w:color w:val="58595B"/>
                <w:spacing w:val="-2"/>
                <w:w w:val="110"/>
              </w:rPr>
              <w:t>17.83%</w:t>
            </w:r>
          </w:p>
        </w:tc>
        <w:tc>
          <w:tcPr>
            <w:tcW w:w="1295" w:type="dxa"/>
          </w:tcPr>
          <w:p w14:paraId="5C2162B5" w14:textId="77D320B4" w:rsidR="005F68D0" w:rsidRPr="002E53BF" w:rsidRDefault="005F68D0" w:rsidP="005F68D0">
            <w:r>
              <w:rPr>
                <w:color w:val="58595B"/>
                <w:spacing w:val="-2"/>
                <w:w w:val="105"/>
              </w:rPr>
              <w:t>2.45%</w:t>
            </w:r>
          </w:p>
        </w:tc>
        <w:tc>
          <w:tcPr>
            <w:tcW w:w="1295" w:type="dxa"/>
          </w:tcPr>
          <w:p w14:paraId="07D4B085" w14:textId="399BDE35" w:rsidR="005F68D0" w:rsidRPr="002E53BF" w:rsidRDefault="005F68D0" w:rsidP="005F68D0">
            <w:r>
              <w:rPr>
                <w:color w:val="58595B"/>
                <w:spacing w:val="-4"/>
                <w:w w:val="105"/>
              </w:rPr>
              <w:t>0.37%</w:t>
            </w:r>
          </w:p>
        </w:tc>
        <w:tc>
          <w:tcPr>
            <w:tcW w:w="1295" w:type="dxa"/>
          </w:tcPr>
          <w:p w14:paraId="05848DFA" w14:textId="76C585DF" w:rsidR="005F68D0" w:rsidRPr="002E53BF" w:rsidRDefault="005F68D0" w:rsidP="005F68D0">
            <w:r>
              <w:rPr>
                <w:color w:val="58595B"/>
                <w:spacing w:val="-2"/>
                <w:w w:val="110"/>
              </w:rPr>
              <w:t>0.15%</w:t>
            </w:r>
          </w:p>
        </w:tc>
        <w:tc>
          <w:tcPr>
            <w:tcW w:w="1295" w:type="dxa"/>
          </w:tcPr>
          <w:p w14:paraId="49475103" w14:textId="77777777" w:rsidR="005F68D0" w:rsidRDefault="005F68D0" w:rsidP="005F68D0"/>
        </w:tc>
      </w:tr>
    </w:tbl>
    <w:p w14:paraId="3FD1B867" w14:textId="6AE26E81" w:rsidR="00E37464" w:rsidRPr="00623578" w:rsidRDefault="00E37464" w:rsidP="00E37464">
      <w:bookmarkStart w:id="30" w:name="_Hlk80264539"/>
      <w:r w:rsidRPr="00E37464">
        <w:rPr>
          <w:rFonts w:eastAsiaTheme="minorEastAsia" w:cstheme="minorBidi"/>
          <w:i/>
          <w:color w:val="595959" w:themeColor="text1" w:themeTint="A6"/>
          <w:sz w:val="16"/>
        </w:rPr>
        <w:t>Data source: Transport and Main Roads Data Analysis Team</w:t>
      </w:r>
      <w:r>
        <w:rPr>
          <w:rFonts w:eastAsiaTheme="minorEastAsia" w:cstheme="minorBidi"/>
          <w:i/>
          <w:color w:val="595959" w:themeColor="text1" w:themeTint="A6"/>
          <w:sz w:val="16"/>
        </w:rPr>
        <w:br/>
      </w:r>
      <w:r w:rsidRPr="00E37464">
        <w:rPr>
          <w:rFonts w:eastAsiaTheme="minorEastAsia" w:cstheme="minorBidi"/>
          <w:i/>
          <w:color w:val="595959" w:themeColor="text1" w:themeTint="A6"/>
          <w:sz w:val="16"/>
        </w:rPr>
        <w:t>Note: Penalty bracket is vehicle exceeding the speed limit by this amount.</w:t>
      </w:r>
    </w:p>
    <w:p w14:paraId="55C2B48C" w14:textId="7D5C1806" w:rsidR="005F68D0" w:rsidRDefault="005F68D0" w:rsidP="006800C7"/>
    <w:p w14:paraId="51128D4C" w14:textId="178D8AC8" w:rsidR="00CF73ED" w:rsidRDefault="00CF73ED" w:rsidP="006800C7"/>
    <w:p w14:paraId="2C11CE6F" w14:textId="42293F82" w:rsidR="00CF73ED" w:rsidRDefault="00CF73ED" w:rsidP="006800C7"/>
    <w:p w14:paraId="43762722" w14:textId="77777777" w:rsidR="00CF73ED" w:rsidRDefault="00CF73ED" w:rsidP="006800C7"/>
    <w:p w14:paraId="5BEC655D" w14:textId="77777777" w:rsidR="005F68D0" w:rsidRDefault="005F68D0" w:rsidP="006800C7"/>
    <w:p w14:paraId="0AC2ADB7" w14:textId="108ED3DE" w:rsidR="006800C7" w:rsidRDefault="00CF73ED" w:rsidP="006800C7">
      <w:pPr>
        <w:pStyle w:val="TableofFigures"/>
      </w:pPr>
      <w:r>
        <w:rPr>
          <w:noProof/>
        </w:rPr>
        <w:lastRenderedPageBreak/>
        <w:drawing>
          <wp:anchor distT="0" distB="0" distL="114300" distR="114300" simplePos="0" relativeHeight="251670528" behindDoc="0" locked="0" layoutInCell="1" allowOverlap="1" wp14:anchorId="6E114DF7" wp14:editId="73DB0D8D">
            <wp:simplePos x="0" y="0"/>
            <wp:positionH relativeFrom="margin">
              <wp:align>left</wp:align>
            </wp:positionH>
            <wp:positionV relativeFrom="paragraph">
              <wp:posOffset>337820</wp:posOffset>
            </wp:positionV>
            <wp:extent cx="5601335" cy="21145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60133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0C7">
        <w:t xml:space="preserve">Figure </w:t>
      </w:r>
      <w:r w:rsidR="00E37464">
        <w:t>6</w:t>
      </w:r>
      <w:r w:rsidR="006800C7">
        <w:t>: Red light cameras - vehicles monitored per notice issues</w:t>
      </w:r>
    </w:p>
    <w:bookmarkEnd w:id="30"/>
    <w:p w14:paraId="30D86310" w14:textId="60EE52C3" w:rsidR="0097516A" w:rsidRPr="0097516A" w:rsidRDefault="0097516A" w:rsidP="0097516A">
      <w:r w:rsidRPr="0097516A">
        <w:rPr>
          <w:rFonts w:eastAsiaTheme="minorEastAsia" w:cstheme="minorBidi"/>
          <w:i/>
          <w:color w:val="595959" w:themeColor="text1" w:themeTint="A6"/>
          <w:sz w:val="16"/>
        </w:rPr>
        <w:t>Data source: Queensland Police Service</w:t>
      </w:r>
      <w:r>
        <w:rPr>
          <w:rFonts w:eastAsiaTheme="minorEastAsia" w:cstheme="minorBidi"/>
          <w:i/>
          <w:color w:val="595959" w:themeColor="text1" w:themeTint="A6"/>
          <w:sz w:val="16"/>
        </w:rPr>
        <w:br/>
      </w:r>
      <w:r w:rsidRPr="0097516A">
        <w:rPr>
          <w:rFonts w:eastAsiaTheme="minorEastAsia" w:cstheme="minorBidi"/>
          <w:i/>
          <w:color w:val="595959" w:themeColor="text1" w:themeTint="A6"/>
          <w:sz w:val="16"/>
        </w:rPr>
        <w:t>Note: This graph does not include red light camera notices issued by combined red light/speed cameras. See Figure 8.</w:t>
      </w:r>
    </w:p>
    <w:p w14:paraId="4099508D" w14:textId="7E56BF1A" w:rsidR="006800C7" w:rsidRPr="004723FD" w:rsidRDefault="006800C7" w:rsidP="006800C7">
      <w:pPr>
        <w:pStyle w:val="TableofFigures"/>
      </w:pPr>
      <w:r>
        <w:rPr>
          <w:noProof/>
        </w:rPr>
        <w:drawing>
          <wp:anchor distT="0" distB="0" distL="114300" distR="114300" simplePos="0" relativeHeight="251659776" behindDoc="1" locked="0" layoutInCell="1" allowOverlap="1" wp14:anchorId="3216A15B" wp14:editId="22F82E2F">
            <wp:simplePos x="0" y="0"/>
            <wp:positionH relativeFrom="margin">
              <wp:posOffset>-52705</wp:posOffset>
            </wp:positionH>
            <wp:positionV relativeFrom="paragraph">
              <wp:posOffset>546100</wp:posOffset>
            </wp:positionV>
            <wp:extent cx="5743575" cy="2167255"/>
            <wp:effectExtent l="0" t="0" r="9525" b="4445"/>
            <wp:wrapTight wrapText="bothSides">
              <wp:wrapPolygon edited="0">
                <wp:start x="0" y="0"/>
                <wp:lineTo x="0" y="21454"/>
                <wp:lineTo x="21564" y="21454"/>
                <wp:lineTo x="2156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149" cstate="print">
                      <a:extLst>
                        <a:ext uri="{28A0092B-C50C-407E-A947-70E740481C1C}">
                          <a14:useLocalDpi xmlns:a14="http://schemas.microsoft.com/office/drawing/2010/main" val="0"/>
                        </a:ext>
                      </a:extLst>
                    </a:blip>
                    <a:stretch>
                      <a:fillRect/>
                    </a:stretch>
                  </pic:blipFill>
                  <pic:spPr bwMode="auto">
                    <a:xfrm>
                      <a:off x="0" y="0"/>
                      <a:ext cx="5743575" cy="21672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Figure </w:t>
      </w:r>
      <w:r w:rsidR="0097516A">
        <w:t>7</w:t>
      </w:r>
      <w:r>
        <w:t>: Fixed speed cameras - vehicles monitored per issues noticed</w:t>
      </w:r>
    </w:p>
    <w:p w14:paraId="2A2DB16F" w14:textId="50240DBD" w:rsidR="008D7368" w:rsidRPr="008D7368" w:rsidRDefault="008D7368" w:rsidP="008D7368">
      <w:r w:rsidRPr="008D7368">
        <w:rPr>
          <w:rFonts w:eastAsiaTheme="minorEastAsia" w:cstheme="minorBidi"/>
          <w:i/>
          <w:color w:val="595959" w:themeColor="text1" w:themeTint="A6"/>
          <w:sz w:val="16"/>
        </w:rPr>
        <w:t>Data source: Queensland Police Service</w:t>
      </w:r>
      <w:r>
        <w:rPr>
          <w:rFonts w:eastAsiaTheme="minorEastAsia" w:cstheme="minorBidi"/>
          <w:i/>
          <w:color w:val="595959" w:themeColor="text1" w:themeTint="A6"/>
          <w:sz w:val="16"/>
        </w:rPr>
        <w:br/>
      </w:r>
      <w:r w:rsidRPr="008D7368">
        <w:rPr>
          <w:rFonts w:eastAsiaTheme="minorEastAsia" w:cstheme="minorBidi"/>
          <w:i/>
          <w:color w:val="595959" w:themeColor="text1" w:themeTint="A6"/>
          <w:sz w:val="16"/>
        </w:rPr>
        <w:t>Note: This graph does not include fixed speed camera notices issued by combined red light/speed cameras. See Figure 8.</w:t>
      </w:r>
    </w:p>
    <w:p w14:paraId="50612793" w14:textId="18CDFE31" w:rsidR="006800C7" w:rsidRDefault="006800C7" w:rsidP="006800C7">
      <w:pPr>
        <w:pStyle w:val="TableofFigures"/>
      </w:pPr>
      <w:r>
        <w:t>Table 14: Number of fixed speed camera infringements per penalty bracketing for 202</w:t>
      </w:r>
      <w:r w:rsidR="00F71AFA">
        <w:t>1</w:t>
      </w:r>
    </w:p>
    <w:tbl>
      <w:tblPr>
        <w:tblStyle w:val="Style1"/>
        <w:tblW w:w="0" w:type="auto"/>
        <w:tblLook w:val="04A0" w:firstRow="1" w:lastRow="0" w:firstColumn="1" w:lastColumn="0" w:noHBand="0" w:noVBand="1"/>
      </w:tblPr>
      <w:tblGrid>
        <w:gridCol w:w="1293"/>
        <w:gridCol w:w="1293"/>
        <w:gridCol w:w="1294"/>
        <w:gridCol w:w="1295"/>
        <w:gridCol w:w="1295"/>
        <w:gridCol w:w="1295"/>
        <w:gridCol w:w="1295"/>
      </w:tblGrid>
      <w:tr w:rsidR="006800C7" w14:paraId="42A9AAF6" w14:textId="77777777" w:rsidTr="00F31956">
        <w:trPr>
          <w:cnfStyle w:val="100000000000" w:firstRow="1" w:lastRow="0" w:firstColumn="0" w:lastColumn="0" w:oddVBand="0" w:evenVBand="0" w:oddHBand="0" w:evenHBand="0" w:firstRowFirstColumn="0" w:firstRowLastColumn="0" w:lastRowFirstColumn="0" w:lastRowLastColumn="0"/>
        </w:trPr>
        <w:tc>
          <w:tcPr>
            <w:tcW w:w="1293" w:type="dxa"/>
          </w:tcPr>
          <w:p w14:paraId="3A38203F" w14:textId="77777777" w:rsidR="006800C7" w:rsidRPr="002E53BF" w:rsidRDefault="006800C7" w:rsidP="00F31956">
            <w:r>
              <w:t xml:space="preserve">penalty </w:t>
            </w:r>
            <w:r w:rsidRPr="002E53BF">
              <w:t xml:space="preserve">bracket </w:t>
            </w:r>
          </w:p>
        </w:tc>
        <w:tc>
          <w:tcPr>
            <w:tcW w:w="1293" w:type="dxa"/>
          </w:tcPr>
          <w:p w14:paraId="1639F5AB" w14:textId="77777777" w:rsidR="006800C7" w:rsidRPr="002E53BF" w:rsidRDefault="006800C7" w:rsidP="00F31956">
            <w:r>
              <w:t>&lt; 13 km/h</w:t>
            </w:r>
          </w:p>
        </w:tc>
        <w:tc>
          <w:tcPr>
            <w:tcW w:w="1294" w:type="dxa"/>
          </w:tcPr>
          <w:p w14:paraId="4892605C" w14:textId="77777777" w:rsidR="006800C7" w:rsidRPr="002E53BF" w:rsidRDefault="006800C7" w:rsidP="00F31956">
            <w:r>
              <w:t>13–20 km/h</w:t>
            </w:r>
          </w:p>
        </w:tc>
        <w:tc>
          <w:tcPr>
            <w:tcW w:w="1295" w:type="dxa"/>
          </w:tcPr>
          <w:p w14:paraId="32878EF3" w14:textId="77777777" w:rsidR="006800C7" w:rsidRPr="002E53BF" w:rsidRDefault="006800C7" w:rsidP="00F31956">
            <w:r>
              <w:t>21–30 km/h</w:t>
            </w:r>
          </w:p>
        </w:tc>
        <w:tc>
          <w:tcPr>
            <w:tcW w:w="1295" w:type="dxa"/>
          </w:tcPr>
          <w:p w14:paraId="1583DED7" w14:textId="77777777" w:rsidR="006800C7" w:rsidRPr="002E53BF" w:rsidRDefault="006800C7" w:rsidP="00F31956">
            <w:r>
              <w:t>31–40 km/h</w:t>
            </w:r>
          </w:p>
        </w:tc>
        <w:tc>
          <w:tcPr>
            <w:tcW w:w="1295" w:type="dxa"/>
          </w:tcPr>
          <w:p w14:paraId="7F089A6B" w14:textId="77777777" w:rsidR="006800C7" w:rsidRPr="002E53BF" w:rsidRDefault="006800C7" w:rsidP="00F31956">
            <w:r>
              <w:t>&gt; 40 km/h</w:t>
            </w:r>
          </w:p>
        </w:tc>
        <w:tc>
          <w:tcPr>
            <w:tcW w:w="1295" w:type="dxa"/>
          </w:tcPr>
          <w:p w14:paraId="0819038B" w14:textId="77777777" w:rsidR="006800C7" w:rsidRPr="002E53BF" w:rsidRDefault="006800C7" w:rsidP="00F31956">
            <w:r>
              <w:t>Total</w:t>
            </w:r>
          </w:p>
        </w:tc>
      </w:tr>
      <w:tr w:rsidR="008C7FDB" w14:paraId="115CBCF6" w14:textId="77777777" w:rsidTr="00F31956">
        <w:tc>
          <w:tcPr>
            <w:tcW w:w="1293" w:type="dxa"/>
          </w:tcPr>
          <w:p w14:paraId="02107371" w14:textId="77777777" w:rsidR="008C7FDB" w:rsidRPr="002E53BF" w:rsidRDefault="008C7FDB" w:rsidP="008C7FDB">
            <w:r>
              <w:t xml:space="preserve">Number of fixed speed camera infringements </w:t>
            </w:r>
            <w:r w:rsidRPr="002E53BF">
              <w:t xml:space="preserve"> </w:t>
            </w:r>
          </w:p>
        </w:tc>
        <w:tc>
          <w:tcPr>
            <w:tcW w:w="1293" w:type="dxa"/>
          </w:tcPr>
          <w:p w14:paraId="4C2961E2" w14:textId="79F0D2E4" w:rsidR="008C7FDB" w:rsidRPr="002E53BF" w:rsidRDefault="008C7FDB" w:rsidP="008C7FDB">
            <w:r>
              <w:rPr>
                <w:color w:val="58595B"/>
                <w:spacing w:val="-2"/>
                <w:w w:val="110"/>
              </w:rPr>
              <w:t>165,403</w:t>
            </w:r>
          </w:p>
        </w:tc>
        <w:tc>
          <w:tcPr>
            <w:tcW w:w="1294" w:type="dxa"/>
          </w:tcPr>
          <w:p w14:paraId="6A9CFEE8" w14:textId="2F252E85" w:rsidR="008C7FDB" w:rsidRPr="002E53BF" w:rsidRDefault="008C7FDB" w:rsidP="008C7FDB">
            <w:r>
              <w:rPr>
                <w:color w:val="58595B"/>
                <w:spacing w:val="-2"/>
                <w:w w:val="105"/>
              </w:rPr>
              <w:t>34,229</w:t>
            </w:r>
          </w:p>
        </w:tc>
        <w:tc>
          <w:tcPr>
            <w:tcW w:w="1295" w:type="dxa"/>
          </w:tcPr>
          <w:p w14:paraId="23EBF907" w14:textId="1D7C2E93" w:rsidR="008C7FDB" w:rsidRPr="002E53BF" w:rsidRDefault="008C7FDB" w:rsidP="008C7FDB">
            <w:r>
              <w:rPr>
                <w:color w:val="58595B"/>
                <w:spacing w:val="-4"/>
                <w:w w:val="110"/>
              </w:rPr>
              <w:t>4681</w:t>
            </w:r>
          </w:p>
        </w:tc>
        <w:tc>
          <w:tcPr>
            <w:tcW w:w="1295" w:type="dxa"/>
          </w:tcPr>
          <w:p w14:paraId="2EBD46DA" w14:textId="489B6E58" w:rsidR="008C7FDB" w:rsidRPr="002E53BF" w:rsidRDefault="008C7FDB" w:rsidP="008C7FDB">
            <w:r>
              <w:rPr>
                <w:color w:val="58595B"/>
                <w:spacing w:val="-5"/>
                <w:w w:val="105"/>
              </w:rPr>
              <w:t>858</w:t>
            </w:r>
          </w:p>
        </w:tc>
        <w:tc>
          <w:tcPr>
            <w:tcW w:w="1295" w:type="dxa"/>
          </w:tcPr>
          <w:p w14:paraId="2E53F3B6" w14:textId="26758B85" w:rsidR="008C7FDB" w:rsidRPr="002E53BF" w:rsidRDefault="008C7FDB" w:rsidP="008C7FDB">
            <w:r>
              <w:rPr>
                <w:color w:val="58595B"/>
                <w:spacing w:val="-5"/>
                <w:w w:val="120"/>
              </w:rPr>
              <w:t>512</w:t>
            </w:r>
          </w:p>
        </w:tc>
        <w:tc>
          <w:tcPr>
            <w:tcW w:w="1295" w:type="dxa"/>
          </w:tcPr>
          <w:p w14:paraId="65B950C7" w14:textId="7D33B926" w:rsidR="008C7FDB" w:rsidRPr="002E53BF" w:rsidRDefault="008C7FDB" w:rsidP="008C7FDB">
            <w:r>
              <w:rPr>
                <w:color w:val="58595B"/>
                <w:spacing w:val="-2"/>
                <w:w w:val="105"/>
              </w:rPr>
              <w:t>205,683</w:t>
            </w:r>
          </w:p>
        </w:tc>
      </w:tr>
      <w:tr w:rsidR="008C7FDB" w14:paraId="308245FD" w14:textId="77777777" w:rsidTr="00F31956">
        <w:tc>
          <w:tcPr>
            <w:tcW w:w="1293" w:type="dxa"/>
          </w:tcPr>
          <w:p w14:paraId="2DC9D49A" w14:textId="77777777" w:rsidR="008C7FDB" w:rsidRPr="002E53BF" w:rsidRDefault="008C7FDB" w:rsidP="008C7FDB">
            <w:r>
              <w:t>Percentage</w:t>
            </w:r>
          </w:p>
        </w:tc>
        <w:tc>
          <w:tcPr>
            <w:tcW w:w="1293" w:type="dxa"/>
          </w:tcPr>
          <w:p w14:paraId="32EDEA5E" w14:textId="3841CE68" w:rsidR="008C7FDB" w:rsidRPr="002E53BF" w:rsidRDefault="008C7FDB" w:rsidP="008C7FDB">
            <w:r>
              <w:rPr>
                <w:color w:val="58595B"/>
                <w:spacing w:val="-2"/>
                <w:w w:val="105"/>
              </w:rPr>
              <w:t>80.42%</w:t>
            </w:r>
          </w:p>
        </w:tc>
        <w:tc>
          <w:tcPr>
            <w:tcW w:w="1294" w:type="dxa"/>
          </w:tcPr>
          <w:p w14:paraId="6C44EA7E" w14:textId="1F82D8A2" w:rsidR="008C7FDB" w:rsidRPr="002E53BF" w:rsidRDefault="008C7FDB" w:rsidP="008C7FDB">
            <w:r>
              <w:rPr>
                <w:color w:val="58595B"/>
                <w:spacing w:val="-2"/>
                <w:w w:val="110"/>
              </w:rPr>
              <w:t>16.64%</w:t>
            </w:r>
          </w:p>
        </w:tc>
        <w:tc>
          <w:tcPr>
            <w:tcW w:w="1295" w:type="dxa"/>
          </w:tcPr>
          <w:p w14:paraId="2AE4D584" w14:textId="78867C41" w:rsidR="008C7FDB" w:rsidRPr="002E53BF" w:rsidRDefault="008C7FDB" w:rsidP="008C7FDB">
            <w:r>
              <w:rPr>
                <w:color w:val="58595B"/>
                <w:spacing w:val="-4"/>
                <w:w w:val="105"/>
              </w:rPr>
              <w:t>2.28%</w:t>
            </w:r>
          </w:p>
        </w:tc>
        <w:tc>
          <w:tcPr>
            <w:tcW w:w="1295" w:type="dxa"/>
          </w:tcPr>
          <w:p w14:paraId="27DFF89B" w14:textId="42BF9BBD" w:rsidR="008C7FDB" w:rsidRPr="002E53BF" w:rsidRDefault="008C7FDB" w:rsidP="008C7FDB">
            <w:r>
              <w:rPr>
                <w:color w:val="58595B"/>
                <w:spacing w:val="-2"/>
                <w:w w:val="105"/>
              </w:rPr>
              <w:t>0.42%</w:t>
            </w:r>
          </w:p>
        </w:tc>
        <w:tc>
          <w:tcPr>
            <w:tcW w:w="1295" w:type="dxa"/>
          </w:tcPr>
          <w:p w14:paraId="56510901" w14:textId="1AF232DA" w:rsidR="008C7FDB" w:rsidRPr="002E53BF" w:rsidRDefault="008C7FDB" w:rsidP="008C7FDB">
            <w:r>
              <w:rPr>
                <w:color w:val="58595B"/>
                <w:spacing w:val="-2"/>
                <w:w w:val="105"/>
              </w:rPr>
              <w:t>0.25%</w:t>
            </w:r>
          </w:p>
        </w:tc>
        <w:tc>
          <w:tcPr>
            <w:tcW w:w="1295" w:type="dxa"/>
          </w:tcPr>
          <w:p w14:paraId="7DD35C20" w14:textId="77777777" w:rsidR="008C7FDB" w:rsidRDefault="008C7FDB" w:rsidP="008C7FDB"/>
        </w:tc>
      </w:tr>
    </w:tbl>
    <w:p w14:paraId="20D5C08F" w14:textId="630EDC5C" w:rsidR="00DE0679" w:rsidRPr="00DC73D7" w:rsidRDefault="00DE0679" w:rsidP="00DE0679">
      <w:r w:rsidRPr="00DE0679">
        <w:rPr>
          <w:rFonts w:eastAsiaTheme="minorEastAsia" w:cstheme="minorBidi"/>
          <w:i/>
          <w:color w:val="595959" w:themeColor="text1" w:themeTint="A6"/>
          <w:sz w:val="16"/>
        </w:rPr>
        <w:lastRenderedPageBreak/>
        <w:t>Data source: Queensland Police Service</w:t>
      </w:r>
      <w:r>
        <w:rPr>
          <w:rFonts w:eastAsiaTheme="minorEastAsia" w:cstheme="minorBidi"/>
          <w:i/>
          <w:color w:val="595959" w:themeColor="text1" w:themeTint="A6"/>
          <w:sz w:val="16"/>
        </w:rPr>
        <w:br/>
      </w:r>
      <w:r w:rsidRPr="00DE0679">
        <w:rPr>
          <w:rFonts w:eastAsiaTheme="minorEastAsia" w:cstheme="minorBidi"/>
          <w:i/>
          <w:color w:val="595959" w:themeColor="text1" w:themeTint="A6"/>
          <w:sz w:val="16"/>
        </w:rPr>
        <w:t>Notes: Penalty bracket is vehicle exceeding the speed limit by this amount. This data reflects all fixed speed camera notices including those detected by combined red light/speed cameras.</w:t>
      </w:r>
    </w:p>
    <w:p w14:paraId="6054688A" w14:textId="1472226D" w:rsidR="006800C7" w:rsidRDefault="00CF73ED" w:rsidP="006800C7">
      <w:pPr>
        <w:pStyle w:val="TableofFigures"/>
      </w:pPr>
      <w:r>
        <w:rPr>
          <w:noProof/>
        </w:rPr>
        <w:drawing>
          <wp:anchor distT="0" distB="0" distL="114300" distR="114300" simplePos="0" relativeHeight="251660800" behindDoc="1" locked="0" layoutInCell="1" allowOverlap="1" wp14:anchorId="05851005" wp14:editId="01836D85">
            <wp:simplePos x="0" y="0"/>
            <wp:positionH relativeFrom="column">
              <wp:posOffset>-167005</wp:posOffset>
            </wp:positionH>
            <wp:positionV relativeFrom="paragraph">
              <wp:posOffset>391795</wp:posOffset>
            </wp:positionV>
            <wp:extent cx="5762625" cy="2167890"/>
            <wp:effectExtent l="0" t="0" r="9525" b="3810"/>
            <wp:wrapTight wrapText="bothSides">
              <wp:wrapPolygon edited="0">
                <wp:start x="0" y="0"/>
                <wp:lineTo x="0" y="21448"/>
                <wp:lineTo x="21564" y="21448"/>
                <wp:lineTo x="2156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150" cstate="print">
                      <a:extLst>
                        <a:ext uri="{28A0092B-C50C-407E-A947-70E740481C1C}">
                          <a14:useLocalDpi xmlns:a14="http://schemas.microsoft.com/office/drawing/2010/main" val="0"/>
                        </a:ext>
                      </a:extLst>
                    </a:blip>
                    <a:stretch>
                      <a:fillRect/>
                    </a:stretch>
                  </pic:blipFill>
                  <pic:spPr bwMode="auto">
                    <a:xfrm>
                      <a:off x="0" y="0"/>
                      <a:ext cx="5762625" cy="216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0C7">
        <w:t xml:space="preserve">Figure </w:t>
      </w:r>
      <w:r w:rsidR="00DC73D7">
        <w:t>8</w:t>
      </w:r>
      <w:r w:rsidR="006800C7">
        <w:t xml:space="preserve">: combined red light/speed cameras </w:t>
      </w:r>
      <w:r w:rsidR="006800C7">
        <w:softHyphen/>
        <w:t xml:space="preserve">– vehicles monitored per notice issued </w:t>
      </w:r>
    </w:p>
    <w:p w14:paraId="59F76615" w14:textId="1C46D388" w:rsidR="00377EA3" w:rsidRPr="00377EA3" w:rsidRDefault="00377EA3" w:rsidP="00377EA3">
      <w:pPr>
        <w:rPr>
          <w:rFonts w:eastAsiaTheme="minorEastAsia" w:cstheme="minorBidi"/>
          <w:i/>
          <w:color w:val="595959" w:themeColor="text1" w:themeTint="A6"/>
          <w:sz w:val="16"/>
        </w:rPr>
      </w:pPr>
      <w:r w:rsidRPr="00377EA3">
        <w:rPr>
          <w:rFonts w:eastAsiaTheme="minorEastAsia" w:cstheme="minorBidi"/>
          <w:i/>
          <w:color w:val="595959" w:themeColor="text1" w:themeTint="A6"/>
          <w:sz w:val="16"/>
        </w:rPr>
        <w:t>Data source: Queensland Police Service</w:t>
      </w:r>
      <w:r>
        <w:rPr>
          <w:rFonts w:eastAsiaTheme="minorEastAsia" w:cstheme="minorBidi"/>
          <w:i/>
          <w:color w:val="595959" w:themeColor="text1" w:themeTint="A6"/>
          <w:sz w:val="16"/>
        </w:rPr>
        <w:br/>
      </w:r>
      <w:r w:rsidRPr="00377EA3">
        <w:rPr>
          <w:rFonts w:eastAsiaTheme="minorEastAsia" w:cstheme="minorBidi"/>
          <w:i/>
          <w:color w:val="595959" w:themeColor="text1" w:themeTint="A6"/>
          <w:sz w:val="16"/>
        </w:rPr>
        <w:t>Notes: * Combined red light/speed cameras were introduced on 2 August 2011.</w:t>
      </w:r>
      <w:r>
        <w:rPr>
          <w:rFonts w:eastAsiaTheme="minorEastAsia" w:cstheme="minorBidi"/>
          <w:i/>
          <w:color w:val="595959" w:themeColor="text1" w:themeTint="A6"/>
          <w:sz w:val="16"/>
        </w:rPr>
        <w:br/>
      </w:r>
      <w:r w:rsidRPr="00377EA3">
        <w:rPr>
          <w:rFonts w:eastAsiaTheme="minorEastAsia" w:cstheme="minorBidi"/>
          <w:i/>
          <w:color w:val="595959" w:themeColor="text1" w:themeTint="A6"/>
          <w:sz w:val="16"/>
        </w:rPr>
        <w:t>Between 2 August 2011 and 31 December 2013, data was captured from two combined red light/speed cameras.</w:t>
      </w:r>
    </w:p>
    <w:p w14:paraId="5F4FEE82" w14:textId="77777777" w:rsidR="00377EA3" w:rsidRPr="00377EA3" w:rsidRDefault="00377EA3" w:rsidP="00377EA3"/>
    <w:p w14:paraId="68B4E236" w14:textId="645FEC90" w:rsidR="006800C7" w:rsidRDefault="006800C7" w:rsidP="006800C7">
      <w:pPr>
        <w:pStyle w:val="TableofFigures"/>
      </w:pPr>
      <w:r>
        <w:t xml:space="preserve">Table </w:t>
      </w:r>
      <w:r w:rsidR="00F31956">
        <w:t>15</w:t>
      </w:r>
      <w:r>
        <w:t>: number of point-to-point speed camera infringements per penalty bracket for 202</w:t>
      </w:r>
      <w:r w:rsidR="00377EA3">
        <w:t>1**</w:t>
      </w:r>
    </w:p>
    <w:tbl>
      <w:tblPr>
        <w:tblStyle w:val="Style1"/>
        <w:tblW w:w="0" w:type="auto"/>
        <w:tblLook w:val="04A0" w:firstRow="1" w:lastRow="0" w:firstColumn="1" w:lastColumn="0" w:noHBand="0" w:noVBand="1"/>
      </w:tblPr>
      <w:tblGrid>
        <w:gridCol w:w="1293"/>
        <w:gridCol w:w="1293"/>
        <w:gridCol w:w="1294"/>
        <w:gridCol w:w="1295"/>
        <w:gridCol w:w="1295"/>
        <w:gridCol w:w="1295"/>
        <w:gridCol w:w="1295"/>
      </w:tblGrid>
      <w:tr w:rsidR="006800C7" w14:paraId="77566C61" w14:textId="77777777" w:rsidTr="00F31956">
        <w:trPr>
          <w:cnfStyle w:val="100000000000" w:firstRow="1" w:lastRow="0" w:firstColumn="0" w:lastColumn="0" w:oddVBand="0" w:evenVBand="0" w:oddHBand="0" w:evenHBand="0" w:firstRowFirstColumn="0" w:firstRowLastColumn="0" w:lastRowFirstColumn="0" w:lastRowLastColumn="0"/>
        </w:trPr>
        <w:tc>
          <w:tcPr>
            <w:tcW w:w="1293" w:type="dxa"/>
          </w:tcPr>
          <w:p w14:paraId="7E571305" w14:textId="77777777" w:rsidR="006800C7" w:rsidRPr="002E53BF" w:rsidRDefault="006800C7" w:rsidP="00F31956">
            <w:r>
              <w:t xml:space="preserve">penalty </w:t>
            </w:r>
            <w:r w:rsidRPr="002E53BF">
              <w:t xml:space="preserve">bracket </w:t>
            </w:r>
          </w:p>
        </w:tc>
        <w:tc>
          <w:tcPr>
            <w:tcW w:w="1293" w:type="dxa"/>
          </w:tcPr>
          <w:p w14:paraId="6D81AC1D" w14:textId="77777777" w:rsidR="006800C7" w:rsidRPr="002E53BF" w:rsidRDefault="006800C7" w:rsidP="00F31956">
            <w:r>
              <w:t>&lt; 13 km/h</w:t>
            </w:r>
          </w:p>
        </w:tc>
        <w:tc>
          <w:tcPr>
            <w:tcW w:w="1294" w:type="dxa"/>
          </w:tcPr>
          <w:p w14:paraId="22B4B3C5" w14:textId="77777777" w:rsidR="006800C7" w:rsidRPr="002E53BF" w:rsidRDefault="006800C7" w:rsidP="00F31956">
            <w:r>
              <w:t>13–20 km/h</w:t>
            </w:r>
          </w:p>
        </w:tc>
        <w:tc>
          <w:tcPr>
            <w:tcW w:w="1295" w:type="dxa"/>
          </w:tcPr>
          <w:p w14:paraId="09616150" w14:textId="77777777" w:rsidR="006800C7" w:rsidRPr="002E53BF" w:rsidRDefault="006800C7" w:rsidP="00F31956">
            <w:r>
              <w:t>21–30 km/h</w:t>
            </w:r>
          </w:p>
        </w:tc>
        <w:tc>
          <w:tcPr>
            <w:tcW w:w="1295" w:type="dxa"/>
          </w:tcPr>
          <w:p w14:paraId="77DEFE3F" w14:textId="77777777" w:rsidR="006800C7" w:rsidRPr="002E53BF" w:rsidRDefault="006800C7" w:rsidP="00F31956">
            <w:r>
              <w:t>31–40 km/h</w:t>
            </w:r>
          </w:p>
        </w:tc>
        <w:tc>
          <w:tcPr>
            <w:tcW w:w="1295" w:type="dxa"/>
          </w:tcPr>
          <w:p w14:paraId="40CC9BF7" w14:textId="77777777" w:rsidR="006800C7" w:rsidRPr="002E53BF" w:rsidRDefault="006800C7" w:rsidP="00F31956">
            <w:r>
              <w:t>&gt; 40 km/h</w:t>
            </w:r>
          </w:p>
        </w:tc>
        <w:tc>
          <w:tcPr>
            <w:tcW w:w="1295" w:type="dxa"/>
          </w:tcPr>
          <w:p w14:paraId="04882DEC" w14:textId="77777777" w:rsidR="006800C7" w:rsidRPr="002E53BF" w:rsidRDefault="006800C7" w:rsidP="00F31956">
            <w:r>
              <w:t>Total</w:t>
            </w:r>
          </w:p>
        </w:tc>
      </w:tr>
      <w:tr w:rsidR="008C0D34" w14:paraId="1964C88D" w14:textId="77777777" w:rsidTr="00F31956">
        <w:tc>
          <w:tcPr>
            <w:tcW w:w="1293" w:type="dxa"/>
          </w:tcPr>
          <w:p w14:paraId="4988C78A" w14:textId="77777777" w:rsidR="008C0D34" w:rsidRPr="002E53BF" w:rsidRDefault="008C0D34" w:rsidP="008C0D34">
            <w:r>
              <w:t xml:space="preserve">Number of point-to-point speed camera infringements </w:t>
            </w:r>
          </w:p>
        </w:tc>
        <w:tc>
          <w:tcPr>
            <w:tcW w:w="1293" w:type="dxa"/>
          </w:tcPr>
          <w:p w14:paraId="1F5BCE2E" w14:textId="42AD0AC0" w:rsidR="008C0D34" w:rsidRPr="002E53BF" w:rsidRDefault="008C0D34" w:rsidP="008C0D34">
            <w:r>
              <w:rPr>
                <w:color w:val="58595B"/>
                <w:spacing w:val="-4"/>
                <w:w w:val="110"/>
              </w:rPr>
              <w:t>3045</w:t>
            </w:r>
          </w:p>
        </w:tc>
        <w:tc>
          <w:tcPr>
            <w:tcW w:w="1294" w:type="dxa"/>
          </w:tcPr>
          <w:p w14:paraId="20017468" w14:textId="37CD4783" w:rsidR="008C0D34" w:rsidRPr="002E53BF" w:rsidRDefault="008C0D34" w:rsidP="008C0D34">
            <w:r>
              <w:rPr>
                <w:color w:val="58595B"/>
                <w:spacing w:val="-4"/>
                <w:w w:val="105"/>
              </w:rPr>
              <w:t>2246</w:t>
            </w:r>
          </w:p>
        </w:tc>
        <w:tc>
          <w:tcPr>
            <w:tcW w:w="1295" w:type="dxa"/>
          </w:tcPr>
          <w:p w14:paraId="72DB8E5F" w14:textId="1AE6E820" w:rsidR="008C0D34" w:rsidRPr="002E53BF" w:rsidRDefault="008C0D34" w:rsidP="008C0D34">
            <w:r>
              <w:rPr>
                <w:color w:val="58595B"/>
                <w:spacing w:val="-5"/>
                <w:w w:val="115"/>
              </w:rPr>
              <w:t>353</w:t>
            </w:r>
          </w:p>
        </w:tc>
        <w:tc>
          <w:tcPr>
            <w:tcW w:w="1295" w:type="dxa"/>
          </w:tcPr>
          <w:p w14:paraId="6BF1D57C" w14:textId="3983C5FF" w:rsidR="008C0D34" w:rsidRPr="002E53BF" w:rsidRDefault="008C0D34" w:rsidP="008C0D34">
            <w:r>
              <w:rPr>
                <w:color w:val="58595B"/>
                <w:spacing w:val="-5"/>
                <w:w w:val="115"/>
              </w:rPr>
              <w:t>54</w:t>
            </w:r>
          </w:p>
        </w:tc>
        <w:tc>
          <w:tcPr>
            <w:tcW w:w="1295" w:type="dxa"/>
          </w:tcPr>
          <w:p w14:paraId="3797E35E" w14:textId="7E290906" w:rsidR="008C0D34" w:rsidRPr="002E53BF" w:rsidRDefault="008C0D34" w:rsidP="008C0D34">
            <w:r>
              <w:rPr>
                <w:color w:val="58595B"/>
                <w:spacing w:val="-5"/>
                <w:w w:val="105"/>
              </w:rPr>
              <w:t>26</w:t>
            </w:r>
          </w:p>
        </w:tc>
        <w:tc>
          <w:tcPr>
            <w:tcW w:w="1295" w:type="dxa"/>
          </w:tcPr>
          <w:p w14:paraId="58FA6796" w14:textId="0CA288F6" w:rsidR="008C0D34" w:rsidRPr="002E53BF" w:rsidRDefault="008C0D34" w:rsidP="008C0D34">
            <w:r>
              <w:rPr>
                <w:color w:val="58595B"/>
                <w:spacing w:val="-4"/>
                <w:w w:val="110"/>
              </w:rPr>
              <w:t>5724</w:t>
            </w:r>
          </w:p>
        </w:tc>
      </w:tr>
      <w:tr w:rsidR="008C0D34" w14:paraId="6C063A03" w14:textId="77777777" w:rsidTr="00F31956">
        <w:tc>
          <w:tcPr>
            <w:tcW w:w="1293" w:type="dxa"/>
          </w:tcPr>
          <w:p w14:paraId="4A6E81A5" w14:textId="77777777" w:rsidR="008C0D34" w:rsidRPr="002E53BF" w:rsidRDefault="008C0D34" w:rsidP="008C0D34">
            <w:r>
              <w:t>Percentage</w:t>
            </w:r>
          </w:p>
        </w:tc>
        <w:tc>
          <w:tcPr>
            <w:tcW w:w="1293" w:type="dxa"/>
          </w:tcPr>
          <w:p w14:paraId="0C70682B" w14:textId="3900AEBD" w:rsidR="008C0D34" w:rsidRPr="002E53BF" w:rsidRDefault="008C0D34" w:rsidP="008C0D34">
            <w:r>
              <w:rPr>
                <w:color w:val="58595B"/>
                <w:spacing w:val="-2"/>
                <w:w w:val="105"/>
              </w:rPr>
              <w:t>53.20%</w:t>
            </w:r>
          </w:p>
        </w:tc>
        <w:tc>
          <w:tcPr>
            <w:tcW w:w="1294" w:type="dxa"/>
          </w:tcPr>
          <w:p w14:paraId="4F58E933" w14:textId="268ADD7B" w:rsidR="008C0D34" w:rsidRPr="002E53BF" w:rsidRDefault="008C0D34" w:rsidP="008C0D34">
            <w:r>
              <w:rPr>
                <w:color w:val="58595B"/>
                <w:spacing w:val="-2"/>
                <w:w w:val="105"/>
              </w:rPr>
              <w:t>39.24%</w:t>
            </w:r>
          </w:p>
        </w:tc>
        <w:tc>
          <w:tcPr>
            <w:tcW w:w="1295" w:type="dxa"/>
          </w:tcPr>
          <w:p w14:paraId="20F7307B" w14:textId="416DA0BF" w:rsidR="008C0D34" w:rsidRPr="002E53BF" w:rsidRDefault="008C0D34" w:rsidP="008C0D34">
            <w:r>
              <w:rPr>
                <w:color w:val="58595B"/>
                <w:spacing w:val="-2"/>
                <w:w w:val="110"/>
              </w:rPr>
              <w:t>6.17%</w:t>
            </w:r>
          </w:p>
        </w:tc>
        <w:tc>
          <w:tcPr>
            <w:tcW w:w="1295" w:type="dxa"/>
          </w:tcPr>
          <w:p w14:paraId="460BA830" w14:textId="4D8BCC0C" w:rsidR="008C0D34" w:rsidRPr="002E53BF" w:rsidRDefault="008C0D34" w:rsidP="008C0D34">
            <w:r>
              <w:rPr>
                <w:color w:val="58595B"/>
                <w:spacing w:val="-2"/>
                <w:w w:val="105"/>
              </w:rPr>
              <w:t>0.94%</w:t>
            </w:r>
          </w:p>
        </w:tc>
        <w:tc>
          <w:tcPr>
            <w:tcW w:w="1295" w:type="dxa"/>
          </w:tcPr>
          <w:p w14:paraId="48401A8B" w14:textId="679259E6" w:rsidR="008C0D34" w:rsidRPr="002E53BF" w:rsidRDefault="008C0D34" w:rsidP="008C0D34">
            <w:r>
              <w:rPr>
                <w:color w:val="58595B"/>
                <w:spacing w:val="-4"/>
                <w:w w:val="105"/>
              </w:rPr>
              <w:t>0.45%</w:t>
            </w:r>
          </w:p>
        </w:tc>
        <w:tc>
          <w:tcPr>
            <w:tcW w:w="1295" w:type="dxa"/>
          </w:tcPr>
          <w:p w14:paraId="5E472FEB" w14:textId="77777777" w:rsidR="008C0D34" w:rsidRDefault="008C0D34" w:rsidP="008C0D34"/>
        </w:tc>
      </w:tr>
    </w:tbl>
    <w:p w14:paraId="694CF158" w14:textId="77777777" w:rsidR="00755D23" w:rsidRDefault="00755D23" w:rsidP="00755D23">
      <w:pPr>
        <w:pStyle w:val="Subtitle"/>
      </w:pPr>
      <w:r>
        <w:t>Data source: Queensland Police Service</w:t>
      </w:r>
    </w:p>
    <w:p w14:paraId="47D39DDA" w14:textId="77777777" w:rsidR="00755D23" w:rsidRDefault="00755D23" w:rsidP="00755D23">
      <w:pPr>
        <w:pStyle w:val="Subtitle"/>
      </w:pPr>
      <w:r>
        <w:t>Notes: *A point-to-point (or average) speed camera system uses a number of cameras over a length of road to measure a vehicle’s average speed. The system uses the time it takes for a vehicle to travel between the two points to calculate the average speed of the vehicle: Speed = Distance ÷ Time.</w:t>
      </w:r>
    </w:p>
    <w:p w14:paraId="58EDADD4" w14:textId="08362D69" w:rsidR="00CF73ED" w:rsidRDefault="00755D23" w:rsidP="00CF73ED">
      <w:pPr>
        <w:pStyle w:val="Subtitle"/>
      </w:pPr>
      <w:r>
        <w:t>**Penalty bracket is vehicle exceeding the speed limit by this amount.</w:t>
      </w:r>
      <w:r w:rsidR="006800C7">
        <w:t>.</w:t>
      </w:r>
    </w:p>
    <w:p w14:paraId="2178BA50" w14:textId="77777777" w:rsidR="00CF73ED" w:rsidRPr="00CF73ED" w:rsidRDefault="00CF73ED" w:rsidP="00CF73ED"/>
    <w:p w14:paraId="6C01665F" w14:textId="337EED44" w:rsidR="00CF73ED" w:rsidRDefault="00CF73ED" w:rsidP="00CF73ED"/>
    <w:p w14:paraId="7D1DB5FB" w14:textId="16699838" w:rsidR="006800C7" w:rsidRDefault="006800C7" w:rsidP="006800C7">
      <w:pPr>
        <w:pStyle w:val="Heading2"/>
      </w:pPr>
      <w:r w:rsidRPr="007F0D96">
        <w:lastRenderedPageBreak/>
        <w:t xml:space="preserve">Appendix </w:t>
      </w:r>
      <w:r>
        <w:t>5</w:t>
      </w:r>
      <w:r w:rsidRPr="007F0D96">
        <w:t xml:space="preserve"> – Transport Operator Payments</w:t>
      </w:r>
    </w:p>
    <w:p w14:paraId="77DB631A" w14:textId="77777777" w:rsidR="006800C7" w:rsidRPr="002E53BF" w:rsidRDefault="006800C7" w:rsidP="006800C7">
      <w:pPr>
        <w:pStyle w:val="TableofFigures"/>
      </w:pPr>
      <w:r w:rsidRPr="002E53BF">
        <w:t xml:space="preserve">Table </w:t>
      </w:r>
      <w:r>
        <w:t>16</w:t>
      </w:r>
      <w:r w:rsidRPr="002E53BF">
        <w:t>: Passenger transport operator payments: South</w:t>
      </w:r>
      <w:r>
        <w:t xml:space="preserve"> E</w:t>
      </w:r>
      <w:r w:rsidRPr="002E53BF">
        <w:t>ast Queensland</w:t>
      </w:r>
    </w:p>
    <w:p w14:paraId="3675E5A4" w14:textId="3ACC4C46" w:rsidR="006800C7" w:rsidRPr="002E53BF" w:rsidRDefault="006800C7" w:rsidP="006800C7">
      <w:pPr>
        <w:pStyle w:val="Subtitle"/>
      </w:pPr>
      <w:r w:rsidRPr="002E53BF">
        <w:t>Payments are for the period of 1 July 202</w:t>
      </w:r>
      <w:r w:rsidR="00694C4A">
        <w:t>1</w:t>
      </w:r>
      <w:r w:rsidRPr="002E53BF">
        <w:t xml:space="preserve"> to 30 June 202</w:t>
      </w:r>
      <w:r w:rsidR="00932635">
        <w:t>2</w:t>
      </w:r>
      <w:r w:rsidRPr="002E53BF">
        <w:t xml:space="preserve"> and are GST exclusive.</w:t>
      </w:r>
    </w:p>
    <w:p w14:paraId="63F78E88" w14:textId="77777777" w:rsidR="006800C7" w:rsidRDefault="006800C7" w:rsidP="006800C7">
      <w:pPr>
        <w:pStyle w:val="Subtitle"/>
        <w:rPr>
          <w:rStyle w:val="Emphasis"/>
        </w:rPr>
      </w:pPr>
      <w:r w:rsidRPr="00470B99">
        <w:rPr>
          <w:rStyle w:val="Emphasis"/>
        </w:rPr>
        <w:t xml:space="preserve"> </w:t>
      </w:r>
    </w:p>
    <w:tbl>
      <w:tblPr>
        <w:tblStyle w:val="Style1"/>
        <w:tblW w:w="0" w:type="auto"/>
        <w:tblLook w:val="04A0" w:firstRow="1" w:lastRow="0" w:firstColumn="1" w:lastColumn="0" w:noHBand="0" w:noVBand="1"/>
      </w:tblPr>
      <w:tblGrid>
        <w:gridCol w:w="4535"/>
        <w:gridCol w:w="4535"/>
      </w:tblGrid>
      <w:tr w:rsidR="006800C7" w14:paraId="6BE756D3" w14:textId="77777777" w:rsidTr="00F31956">
        <w:trPr>
          <w:cnfStyle w:val="100000000000" w:firstRow="1" w:lastRow="0" w:firstColumn="0" w:lastColumn="0" w:oddVBand="0" w:evenVBand="0" w:oddHBand="0" w:evenHBand="0" w:firstRowFirstColumn="0" w:firstRowLastColumn="0" w:lastRowFirstColumn="0" w:lastRowLastColumn="0"/>
        </w:trPr>
        <w:tc>
          <w:tcPr>
            <w:tcW w:w="4535" w:type="dxa"/>
          </w:tcPr>
          <w:p w14:paraId="2B23DBF6" w14:textId="77777777" w:rsidR="006800C7" w:rsidRDefault="006800C7" w:rsidP="00F31956">
            <w:pPr>
              <w:pStyle w:val="Subtitle"/>
              <w:rPr>
                <w:rStyle w:val="Emphasis"/>
                <w:b/>
                <w:bCs/>
              </w:rPr>
            </w:pPr>
          </w:p>
          <w:p w14:paraId="19BA3D11" w14:textId="77777777" w:rsidR="006800C7" w:rsidRPr="00567E2F" w:rsidRDefault="006800C7" w:rsidP="00F31956">
            <w:r>
              <w:t xml:space="preserve">Operator </w:t>
            </w:r>
          </w:p>
        </w:tc>
        <w:tc>
          <w:tcPr>
            <w:tcW w:w="4535" w:type="dxa"/>
          </w:tcPr>
          <w:p w14:paraId="18C580B5" w14:textId="77777777" w:rsidR="006800C7" w:rsidRPr="00567E2F" w:rsidRDefault="006800C7" w:rsidP="00F31956">
            <w:r>
              <w:t>2019-2020</w:t>
            </w:r>
            <w:r>
              <w:br/>
              <w:t xml:space="preserve">Amount $ </w:t>
            </w:r>
          </w:p>
        </w:tc>
      </w:tr>
      <w:tr w:rsidR="006800C7" w14:paraId="4420501A" w14:textId="77777777" w:rsidTr="00F31956">
        <w:tc>
          <w:tcPr>
            <w:tcW w:w="9070" w:type="dxa"/>
            <w:gridSpan w:val="2"/>
          </w:tcPr>
          <w:p w14:paraId="24FAC9E6" w14:textId="77777777" w:rsidR="006800C7" w:rsidRPr="002452EA" w:rsidRDefault="006800C7" w:rsidP="00F31956">
            <w:pPr>
              <w:pStyle w:val="Subtitle"/>
              <w:rPr>
                <w:rStyle w:val="Strong"/>
              </w:rPr>
            </w:pPr>
            <w:r w:rsidRPr="002452EA">
              <w:rPr>
                <w:rStyle w:val="Strong"/>
              </w:rPr>
              <w:t xml:space="preserve">Bus </w:t>
            </w:r>
          </w:p>
        </w:tc>
      </w:tr>
      <w:tr w:rsidR="00513D43" w14:paraId="4A82828A" w14:textId="77777777" w:rsidTr="00F31956">
        <w:tc>
          <w:tcPr>
            <w:tcW w:w="4535" w:type="dxa"/>
          </w:tcPr>
          <w:p w14:paraId="26ADBD3A" w14:textId="133F0BE5" w:rsidR="00513D43" w:rsidRPr="00656AF6" w:rsidRDefault="00513D43" w:rsidP="00513D43">
            <w:pPr>
              <w:pStyle w:val="Subtitle"/>
              <w:rPr>
                <w:rStyle w:val="Emphasis"/>
              </w:rPr>
            </w:pPr>
            <w:r w:rsidRPr="00164F0B">
              <w:t>Brisbane Bus Lines Pty Ltd ACN 009 739 593</w:t>
            </w:r>
          </w:p>
        </w:tc>
        <w:tc>
          <w:tcPr>
            <w:tcW w:w="4535" w:type="dxa"/>
          </w:tcPr>
          <w:p w14:paraId="7241345B" w14:textId="52D06486" w:rsidR="00513D43" w:rsidRPr="00656AF6" w:rsidRDefault="00513D43" w:rsidP="00513D43">
            <w:pPr>
              <w:pStyle w:val="Subtitle"/>
              <w:rPr>
                <w:rStyle w:val="Emphasis"/>
              </w:rPr>
            </w:pPr>
            <w:r w:rsidRPr="00164F0B">
              <w:t>153,572</w:t>
            </w:r>
          </w:p>
        </w:tc>
      </w:tr>
      <w:tr w:rsidR="00513D43" w14:paraId="14D77B23" w14:textId="77777777" w:rsidTr="00F31956">
        <w:tc>
          <w:tcPr>
            <w:tcW w:w="4535" w:type="dxa"/>
          </w:tcPr>
          <w:p w14:paraId="0BD6CF2A" w14:textId="576D1C80" w:rsidR="00513D43" w:rsidRPr="00656AF6" w:rsidRDefault="00513D43" w:rsidP="00513D43">
            <w:pPr>
              <w:pStyle w:val="Subtitle"/>
              <w:rPr>
                <w:rStyle w:val="Emphasis"/>
              </w:rPr>
            </w:pPr>
            <w:r w:rsidRPr="00164F0B">
              <w:t>Brisbane City Council (Transport for Brisbane) ABN 72 002 765 795</w:t>
            </w:r>
          </w:p>
        </w:tc>
        <w:tc>
          <w:tcPr>
            <w:tcW w:w="4535" w:type="dxa"/>
          </w:tcPr>
          <w:p w14:paraId="4AD6285E" w14:textId="501DDE6E" w:rsidR="00513D43" w:rsidRPr="00656AF6" w:rsidRDefault="00513D43" w:rsidP="00513D43">
            <w:pPr>
              <w:pStyle w:val="Subtitle"/>
              <w:rPr>
                <w:rStyle w:val="Emphasis"/>
              </w:rPr>
            </w:pPr>
            <w:r w:rsidRPr="00164F0B">
              <w:t>340,142,138</w:t>
            </w:r>
          </w:p>
        </w:tc>
      </w:tr>
      <w:tr w:rsidR="00513D43" w14:paraId="602C640E" w14:textId="77777777" w:rsidTr="00F31956">
        <w:tc>
          <w:tcPr>
            <w:tcW w:w="4535" w:type="dxa"/>
          </w:tcPr>
          <w:p w14:paraId="299BB127" w14:textId="6415CCCD" w:rsidR="00513D43" w:rsidRPr="00656AF6" w:rsidRDefault="00513D43" w:rsidP="00513D43">
            <w:pPr>
              <w:pStyle w:val="Subtitle"/>
              <w:rPr>
                <w:rStyle w:val="Emphasis"/>
              </w:rPr>
            </w:pPr>
            <w:r w:rsidRPr="00164F0B">
              <w:t>Bus Queensland Pty Ltd ACN 010 516 757 t/a Park Ridge Transit</w:t>
            </w:r>
          </w:p>
        </w:tc>
        <w:tc>
          <w:tcPr>
            <w:tcW w:w="4535" w:type="dxa"/>
          </w:tcPr>
          <w:p w14:paraId="54E7EAED" w14:textId="5423AFC8" w:rsidR="00513D43" w:rsidRPr="00656AF6" w:rsidRDefault="00513D43" w:rsidP="00513D43">
            <w:pPr>
              <w:pStyle w:val="Subtitle"/>
              <w:rPr>
                <w:rStyle w:val="Emphasis"/>
              </w:rPr>
            </w:pPr>
            <w:r w:rsidRPr="00164F0B">
              <w:t>16,140,727</w:t>
            </w:r>
          </w:p>
        </w:tc>
      </w:tr>
      <w:tr w:rsidR="00513D43" w14:paraId="6A33D670" w14:textId="77777777" w:rsidTr="00F31956">
        <w:tc>
          <w:tcPr>
            <w:tcW w:w="4535" w:type="dxa"/>
          </w:tcPr>
          <w:p w14:paraId="220764C0" w14:textId="516FE403" w:rsidR="00513D43" w:rsidRPr="00656AF6" w:rsidRDefault="00513D43" w:rsidP="00513D43">
            <w:pPr>
              <w:pStyle w:val="Subtitle"/>
              <w:rPr>
                <w:rStyle w:val="Emphasis"/>
              </w:rPr>
            </w:pPr>
            <w:r w:rsidRPr="00164F0B">
              <w:t>Bus Queensland (Lockyer Valley) Pty Ltd ACN 140 535 888</w:t>
            </w:r>
          </w:p>
        </w:tc>
        <w:tc>
          <w:tcPr>
            <w:tcW w:w="4535" w:type="dxa"/>
          </w:tcPr>
          <w:p w14:paraId="10B0D04D" w14:textId="0F222BA8" w:rsidR="00513D43" w:rsidRPr="00656AF6" w:rsidRDefault="00513D43" w:rsidP="00513D43">
            <w:pPr>
              <w:pStyle w:val="Subtitle"/>
              <w:rPr>
                <w:rStyle w:val="Emphasis"/>
              </w:rPr>
            </w:pPr>
            <w:r w:rsidRPr="00164F0B">
              <w:t>1,597,925</w:t>
            </w:r>
          </w:p>
        </w:tc>
      </w:tr>
      <w:tr w:rsidR="00513D43" w14:paraId="2740AF2E" w14:textId="77777777" w:rsidTr="00F31956">
        <w:tc>
          <w:tcPr>
            <w:tcW w:w="4535" w:type="dxa"/>
          </w:tcPr>
          <w:p w14:paraId="61B676EE" w14:textId="470337EB" w:rsidR="00513D43" w:rsidRPr="00656AF6" w:rsidRDefault="00513D43" w:rsidP="00513D43">
            <w:pPr>
              <w:pStyle w:val="Subtitle"/>
              <w:rPr>
                <w:rStyle w:val="Emphasis"/>
              </w:rPr>
            </w:pPr>
            <w:r w:rsidRPr="00164F0B">
              <w:t>CDC South East Queensland Pty Ltd ACN 085 000 693 formerly known as Buslink Sunshine Coast Pty Ltd</w:t>
            </w:r>
          </w:p>
        </w:tc>
        <w:tc>
          <w:tcPr>
            <w:tcW w:w="4535" w:type="dxa"/>
          </w:tcPr>
          <w:p w14:paraId="2FFD660C" w14:textId="462CDC91" w:rsidR="00513D43" w:rsidRPr="00656AF6" w:rsidRDefault="00513D43" w:rsidP="00513D43">
            <w:pPr>
              <w:pStyle w:val="Subtitle"/>
              <w:rPr>
                <w:rStyle w:val="Emphasis"/>
              </w:rPr>
            </w:pPr>
            <w:r w:rsidRPr="00164F0B">
              <w:t>15,434,216</w:t>
            </w:r>
          </w:p>
        </w:tc>
      </w:tr>
      <w:tr w:rsidR="00513D43" w14:paraId="34489B29" w14:textId="77777777" w:rsidTr="00F31956">
        <w:tc>
          <w:tcPr>
            <w:tcW w:w="4535" w:type="dxa"/>
          </w:tcPr>
          <w:p w14:paraId="778D42DC" w14:textId="762A4427" w:rsidR="00513D43" w:rsidRPr="00656AF6" w:rsidRDefault="00513D43" w:rsidP="00513D43">
            <w:pPr>
              <w:pStyle w:val="Subtitle"/>
              <w:rPr>
                <w:rStyle w:val="Emphasis"/>
              </w:rPr>
            </w:pPr>
            <w:r w:rsidRPr="00164F0B">
              <w:t>Caboolture Bus Lines Pty Ltd ACN 010 974 599</w:t>
            </w:r>
          </w:p>
        </w:tc>
        <w:tc>
          <w:tcPr>
            <w:tcW w:w="4535" w:type="dxa"/>
          </w:tcPr>
          <w:p w14:paraId="014AF93F" w14:textId="754CDFE9" w:rsidR="00513D43" w:rsidRPr="00656AF6" w:rsidRDefault="00513D43" w:rsidP="00513D43">
            <w:pPr>
              <w:pStyle w:val="Subtitle"/>
              <w:rPr>
                <w:rStyle w:val="Emphasis"/>
              </w:rPr>
            </w:pPr>
            <w:r w:rsidRPr="00164F0B">
              <w:t>13,254,389</w:t>
            </w:r>
          </w:p>
        </w:tc>
      </w:tr>
      <w:tr w:rsidR="00513D43" w14:paraId="27F0A378" w14:textId="77777777" w:rsidTr="00F31956">
        <w:tc>
          <w:tcPr>
            <w:tcW w:w="4535" w:type="dxa"/>
          </w:tcPr>
          <w:p w14:paraId="6075535A" w14:textId="50DFABB7" w:rsidR="00513D43" w:rsidRPr="00656AF6" w:rsidRDefault="00513D43" w:rsidP="00513D43">
            <w:pPr>
              <w:pStyle w:val="Subtitle"/>
              <w:rPr>
                <w:rStyle w:val="Emphasis"/>
              </w:rPr>
            </w:pPr>
            <w:r w:rsidRPr="00164F0B">
              <w:t xml:space="preserve">Reginald Graham Clark &amp; Yvonne Hazel Clark t/a Clarks Bus Service ABN 26 755 113 656 </w:t>
            </w:r>
          </w:p>
        </w:tc>
        <w:tc>
          <w:tcPr>
            <w:tcW w:w="4535" w:type="dxa"/>
          </w:tcPr>
          <w:p w14:paraId="100B98C6" w14:textId="2CC9409F" w:rsidR="00513D43" w:rsidRPr="00656AF6" w:rsidRDefault="00513D43" w:rsidP="00513D43">
            <w:pPr>
              <w:pStyle w:val="Subtitle"/>
              <w:rPr>
                <w:rStyle w:val="Emphasis"/>
              </w:rPr>
            </w:pPr>
            <w:r w:rsidRPr="00164F0B">
              <w:t>32,582,050</w:t>
            </w:r>
          </w:p>
        </w:tc>
      </w:tr>
      <w:tr w:rsidR="00513D43" w14:paraId="51DFE147" w14:textId="77777777" w:rsidTr="00F31956">
        <w:tc>
          <w:tcPr>
            <w:tcW w:w="4535" w:type="dxa"/>
          </w:tcPr>
          <w:p w14:paraId="55BC0DA1" w14:textId="64F27AF0" w:rsidR="00513D43" w:rsidRPr="00656AF6" w:rsidRDefault="00513D43" w:rsidP="00513D43">
            <w:pPr>
              <w:pStyle w:val="Subtitle"/>
              <w:rPr>
                <w:rStyle w:val="Emphasis"/>
              </w:rPr>
            </w:pPr>
            <w:r w:rsidRPr="00164F0B">
              <w:t>GK &amp; JM Thompson Pty Ltd ACN 064 465 176 t/a Thompson Bus Services</w:t>
            </w:r>
          </w:p>
        </w:tc>
        <w:tc>
          <w:tcPr>
            <w:tcW w:w="4535" w:type="dxa"/>
          </w:tcPr>
          <w:p w14:paraId="2A63CDEE" w14:textId="0A379335" w:rsidR="00513D43" w:rsidRPr="00656AF6" w:rsidRDefault="00513D43" w:rsidP="00513D43">
            <w:pPr>
              <w:pStyle w:val="Subtitle"/>
              <w:rPr>
                <w:rStyle w:val="Emphasis"/>
              </w:rPr>
            </w:pPr>
            <w:r w:rsidRPr="00164F0B">
              <w:t>10,268,683</w:t>
            </w:r>
          </w:p>
        </w:tc>
      </w:tr>
      <w:tr w:rsidR="00513D43" w14:paraId="7E6B2A44" w14:textId="77777777" w:rsidTr="00F31956">
        <w:tc>
          <w:tcPr>
            <w:tcW w:w="4535" w:type="dxa"/>
          </w:tcPr>
          <w:p w14:paraId="14D23504" w14:textId="3AA5C811" w:rsidR="00513D43" w:rsidRPr="00656AF6" w:rsidRDefault="00513D43" w:rsidP="00513D43">
            <w:pPr>
              <w:pStyle w:val="Subtitle"/>
              <w:rPr>
                <w:rStyle w:val="Emphasis"/>
              </w:rPr>
            </w:pPr>
            <w:r w:rsidRPr="00164F0B">
              <w:t>Hornibrook Bus Lines Pty Ltd ACN 010 013 224</w:t>
            </w:r>
          </w:p>
        </w:tc>
        <w:tc>
          <w:tcPr>
            <w:tcW w:w="4535" w:type="dxa"/>
          </w:tcPr>
          <w:p w14:paraId="5F489439" w14:textId="5EAD42E1" w:rsidR="00513D43" w:rsidRPr="00656AF6" w:rsidRDefault="00513D43" w:rsidP="00513D43">
            <w:pPr>
              <w:pStyle w:val="Subtitle"/>
              <w:rPr>
                <w:rStyle w:val="Emphasis"/>
              </w:rPr>
            </w:pPr>
            <w:r w:rsidRPr="00164F0B">
              <w:t>19,217,812</w:t>
            </w:r>
          </w:p>
        </w:tc>
      </w:tr>
      <w:tr w:rsidR="00513D43" w14:paraId="4D347AF1" w14:textId="77777777" w:rsidTr="00F31956">
        <w:tc>
          <w:tcPr>
            <w:tcW w:w="4535" w:type="dxa"/>
          </w:tcPr>
          <w:p w14:paraId="7041718E" w14:textId="627BDCC1" w:rsidR="00513D43" w:rsidRPr="00656AF6" w:rsidRDefault="00513D43" w:rsidP="00513D43">
            <w:pPr>
              <w:pStyle w:val="Subtitle"/>
              <w:rPr>
                <w:rStyle w:val="Emphasis"/>
              </w:rPr>
            </w:pPr>
            <w:r w:rsidRPr="00164F0B">
              <w:t>Mt Gravatt Bus Service Pty Ltd ACN 010 232 827 atf The L G Cole Family Trust</w:t>
            </w:r>
          </w:p>
        </w:tc>
        <w:tc>
          <w:tcPr>
            <w:tcW w:w="4535" w:type="dxa"/>
          </w:tcPr>
          <w:p w14:paraId="19AE425C" w14:textId="18AEA821" w:rsidR="00513D43" w:rsidRPr="00656AF6" w:rsidRDefault="00513D43" w:rsidP="00513D43">
            <w:pPr>
              <w:pStyle w:val="Subtitle"/>
              <w:rPr>
                <w:rStyle w:val="Emphasis"/>
              </w:rPr>
            </w:pPr>
            <w:r w:rsidRPr="00164F0B">
              <w:t>5,271,205</w:t>
            </w:r>
          </w:p>
        </w:tc>
      </w:tr>
      <w:tr w:rsidR="00513D43" w14:paraId="4EC2291E" w14:textId="77777777" w:rsidTr="00F31956">
        <w:tc>
          <w:tcPr>
            <w:tcW w:w="4535" w:type="dxa"/>
          </w:tcPr>
          <w:p w14:paraId="715D603E" w14:textId="3CB642CE" w:rsidR="00513D43" w:rsidRPr="00656AF6" w:rsidRDefault="00513D43" w:rsidP="00513D43">
            <w:pPr>
              <w:pStyle w:val="Subtitle"/>
              <w:rPr>
                <w:rStyle w:val="Emphasis"/>
              </w:rPr>
            </w:pPr>
            <w:r w:rsidRPr="00164F0B">
              <w:t>S &amp; S Webster Investments Pty Ltd ACN 004 804 497 t/a Kangaroo Bus Lines</w:t>
            </w:r>
          </w:p>
        </w:tc>
        <w:tc>
          <w:tcPr>
            <w:tcW w:w="4535" w:type="dxa"/>
          </w:tcPr>
          <w:p w14:paraId="26420B8F" w14:textId="6E23F46A" w:rsidR="00513D43" w:rsidRPr="00656AF6" w:rsidRDefault="00513D43" w:rsidP="00513D43">
            <w:pPr>
              <w:pStyle w:val="Subtitle"/>
              <w:rPr>
                <w:rStyle w:val="Emphasis"/>
              </w:rPr>
            </w:pPr>
            <w:r w:rsidRPr="00164F0B">
              <w:t>17,227,354</w:t>
            </w:r>
          </w:p>
        </w:tc>
      </w:tr>
      <w:tr w:rsidR="00513D43" w14:paraId="5DB85D40" w14:textId="77777777" w:rsidTr="00F31956">
        <w:tc>
          <w:tcPr>
            <w:tcW w:w="4535" w:type="dxa"/>
          </w:tcPr>
          <w:p w14:paraId="09B03845" w14:textId="4ED30E66" w:rsidR="00513D43" w:rsidRPr="00656AF6" w:rsidRDefault="00513D43" w:rsidP="00513D43">
            <w:pPr>
              <w:pStyle w:val="Subtitle"/>
              <w:rPr>
                <w:rStyle w:val="Emphasis"/>
              </w:rPr>
            </w:pPr>
            <w:r w:rsidRPr="00164F0B">
              <w:t>Southern Cross Transit (QLD) Pty Ltd ACN 097 130 615 atf the G. Oliveri Family Trust (QLD)</w:t>
            </w:r>
          </w:p>
        </w:tc>
        <w:tc>
          <w:tcPr>
            <w:tcW w:w="4535" w:type="dxa"/>
          </w:tcPr>
          <w:p w14:paraId="486B76C6" w14:textId="4A00A989" w:rsidR="00513D43" w:rsidRPr="00656AF6" w:rsidRDefault="00513D43" w:rsidP="00513D43">
            <w:pPr>
              <w:pStyle w:val="Subtitle"/>
              <w:rPr>
                <w:rStyle w:val="Emphasis"/>
              </w:rPr>
            </w:pPr>
            <w:r w:rsidRPr="00164F0B">
              <w:t>222,951</w:t>
            </w:r>
          </w:p>
        </w:tc>
      </w:tr>
      <w:tr w:rsidR="00513D43" w14:paraId="1128D4CF" w14:textId="77777777" w:rsidTr="00F31956">
        <w:tc>
          <w:tcPr>
            <w:tcW w:w="4535" w:type="dxa"/>
          </w:tcPr>
          <w:p w14:paraId="04DE397E" w14:textId="169E3B3F" w:rsidR="00513D43" w:rsidRPr="00656AF6" w:rsidRDefault="00513D43" w:rsidP="00513D43">
            <w:pPr>
              <w:pStyle w:val="Subtitle"/>
              <w:rPr>
                <w:rStyle w:val="Emphasis"/>
              </w:rPr>
            </w:pPr>
            <w:r w:rsidRPr="00164F0B">
              <w:t>Surfside Buslines Pty Ltd ACN 010 957 552</w:t>
            </w:r>
          </w:p>
        </w:tc>
        <w:tc>
          <w:tcPr>
            <w:tcW w:w="4535" w:type="dxa"/>
          </w:tcPr>
          <w:p w14:paraId="5C50570F" w14:textId="5631D278" w:rsidR="00513D43" w:rsidRPr="00656AF6" w:rsidRDefault="00513D43" w:rsidP="00513D43">
            <w:pPr>
              <w:pStyle w:val="Subtitle"/>
              <w:rPr>
                <w:rStyle w:val="Emphasis"/>
              </w:rPr>
            </w:pPr>
            <w:r w:rsidRPr="00164F0B">
              <w:t>95,534,784</w:t>
            </w:r>
          </w:p>
        </w:tc>
      </w:tr>
      <w:tr w:rsidR="00513D43" w14:paraId="2130890C" w14:textId="77777777" w:rsidTr="00F31956">
        <w:tc>
          <w:tcPr>
            <w:tcW w:w="4535" w:type="dxa"/>
          </w:tcPr>
          <w:p w14:paraId="6678D46D" w14:textId="304406E3" w:rsidR="00513D43" w:rsidRPr="00656AF6" w:rsidRDefault="00513D43" w:rsidP="00513D43">
            <w:pPr>
              <w:pStyle w:val="Subtitle"/>
              <w:rPr>
                <w:rStyle w:val="Emphasis"/>
              </w:rPr>
            </w:pPr>
            <w:r w:rsidRPr="00164F0B">
              <w:t>Transdev Queensland Pty Ltd ACN 087 046 044</w:t>
            </w:r>
          </w:p>
        </w:tc>
        <w:tc>
          <w:tcPr>
            <w:tcW w:w="4535" w:type="dxa"/>
          </w:tcPr>
          <w:p w14:paraId="447A4186" w14:textId="08121C33" w:rsidR="00513D43" w:rsidRPr="00656AF6" w:rsidRDefault="00513D43" w:rsidP="00513D43">
            <w:pPr>
              <w:pStyle w:val="Subtitle"/>
              <w:rPr>
                <w:rStyle w:val="Emphasis"/>
              </w:rPr>
            </w:pPr>
            <w:r w:rsidRPr="00164F0B">
              <w:t>28,446,938</w:t>
            </w:r>
          </w:p>
        </w:tc>
      </w:tr>
      <w:tr w:rsidR="00513D43" w14:paraId="36E88682" w14:textId="77777777" w:rsidTr="00F31956">
        <w:tc>
          <w:tcPr>
            <w:tcW w:w="4535" w:type="dxa"/>
          </w:tcPr>
          <w:p w14:paraId="5E066341" w14:textId="122DCBF7" w:rsidR="00513D43" w:rsidRPr="00656AF6" w:rsidRDefault="00513D43" w:rsidP="00513D43">
            <w:pPr>
              <w:pStyle w:val="Subtitle"/>
              <w:rPr>
                <w:rStyle w:val="Emphasis"/>
              </w:rPr>
            </w:pPr>
            <w:r w:rsidRPr="00164F0B">
              <w:t>Transit Australia Pty Ltd ACN 065 794 943 t/a Sunshine Coast Sunbus</w:t>
            </w:r>
          </w:p>
        </w:tc>
        <w:tc>
          <w:tcPr>
            <w:tcW w:w="4535" w:type="dxa"/>
          </w:tcPr>
          <w:p w14:paraId="361AA2E9" w14:textId="692149E7" w:rsidR="00513D43" w:rsidRPr="00656AF6" w:rsidRDefault="00513D43" w:rsidP="00513D43">
            <w:pPr>
              <w:pStyle w:val="Subtitle"/>
              <w:rPr>
                <w:rStyle w:val="Emphasis"/>
              </w:rPr>
            </w:pPr>
            <w:r w:rsidRPr="00164F0B">
              <w:t>38,153,029</w:t>
            </w:r>
          </w:p>
        </w:tc>
      </w:tr>
      <w:tr w:rsidR="00513D43" w14:paraId="7558F322" w14:textId="77777777" w:rsidTr="00F31956">
        <w:tc>
          <w:tcPr>
            <w:tcW w:w="4535" w:type="dxa"/>
          </w:tcPr>
          <w:p w14:paraId="117CF61B" w14:textId="2115CDBC" w:rsidR="00513D43" w:rsidRPr="00656AF6" w:rsidRDefault="00513D43" w:rsidP="00513D43">
            <w:pPr>
              <w:pStyle w:val="Subtitle"/>
              <w:rPr>
                <w:rStyle w:val="Emphasis"/>
              </w:rPr>
            </w:pPr>
            <w:r w:rsidRPr="00164F0B">
              <w:t xml:space="preserve">Westside Bus Co Pty Ltd ACN 083 497 312 atf Westside Unit Trust </w:t>
            </w:r>
          </w:p>
        </w:tc>
        <w:tc>
          <w:tcPr>
            <w:tcW w:w="4535" w:type="dxa"/>
          </w:tcPr>
          <w:p w14:paraId="01FA2B3A" w14:textId="0FE7D1DB" w:rsidR="00513D43" w:rsidRPr="00656AF6" w:rsidRDefault="00513D43" w:rsidP="00513D43">
            <w:pPr>
              <w:pStyle w:val="Subtitle"/>
              <w:rPr>
                <w:rStyle w:val="Emphasis"/>
              </w:rPr>
            </w:pPr>
            <w:r w:rsidRPr="00164F0B">
              <w:t>25,344,067</w:t>
            </w:r>
          </w:p>
        </w:tc>
      </w:tr>
      <w:tr w:rsidR="00513D43" w14:paraId="593D894D" w14:textId="77777777" w:rsidTr="00F31956">
        <w:tc>
          <w:tcPr>
            <w:tcW w:w="4535" w:type="dxa"/>
          </w:tcPr>
          <w:p w14:paraId="70745FDA" w14:textId="4CEABD59" w:rsidR="00513D43" w:rsidRPr="00656AF6" w:rsidRDefault="00513D43" w:rsidP="00513D43">
            <w:pPr>
              <w:pStyle w:val="Subtitle"/>
              <w:rPr>
                <w:rStyle w:val="Emphasis"/>
              </w:rPr>
            </w:pPr>
            <w:r w:rsidRPr="00164F0B">
              <w:t>Cavbus Pty Ltd ACN 096 924 677</w:t>
            </w:r>
          </w:p>
        </w:tc>
        <w:tc>
          <w:tcPr>
            <w:tcW w:w="4535" w:type="dxa"/>
          </w:tcPr>
          <w:p w14:paraId="3B8E32BE" w14:textId="0B63209A" w:rsidR="00513D43" w:rsidRPr="00656AF6" w:rsidRDefault="00513D43" w:rsidP="00513D43">
            <w:pPr>
              <w:pStyle w:val="Subtitle"/>
              <w:rPr>
                <w:rStyle w:val="Emphasis"/>
              </w:rPr>
            </w:pPr>
            <w:r w:rsidRPr="00164F0B">
              <w:t>552,659</w:t>
            </w:r>
          </w:p>
        </w:tc>
      </w:tr>
      <w:tr w:rsidR="00513D43" w14:paraId="07905594" w14:textId="77777777" w:rsidTr="00F31956">
        <w:tc>
          <w:tcPr>
            <w:tcW w:w="4535" w:type="dxa"/>
          </w:tcPr>
          <w:p w14:paraId="28C9267E" w14:textId="77777777" w:rsidR="00513D43" w:rsidRPr="00656AF6" w:rsidRDefault="00513D43" w:rsidP="00513D43">
            <w:pPr>
              <w:pStyle w:val="Subtitle"/>
            </w:pPr>
          </w:p>
        </w:tc>
        <w:tc>
          <w:tcPr>
            <w:tcW w:w="4535" w:type="dxa"/>
          </w:tcPr>
          <w:p w14:paraId="47D6693E" w14:textId="43CD266B" w:rsidR="00513D43" w:rsidRPr="00656AF6" w:rsidRDefault="00513D43" w:rsidP="00513D43">
            <w:pPr>
              <w:pStyle w:val="Subtitle"/>
            </w:pPr>
            <w:r w:rsidRPr="00164F0B">
              <w:t>$659,544,499</w:t>
            </w:r>
          </w:p>
        </w:tc>
      </w:tr>
    </w:tbl>
    <w:p w14:paraId="472FD160" w14:textId="77777777" w:rsidR="006800C7" w:rsidRDefault="006800C7" w:rsidP="006800C7">
      <w:pPr>
        <w:pStyle w:val="Subtitle"/>
        <w:rPr>
          <w:rStyle w:val="Emphasis"/>
        </w:rPr>
      </w:pPr>
    </w:p>
    <w:tbl>
      <w:tblPr>
        <w:tblStyle w:val="Style1"/>
        <w:tblW w:w="0" w:type="auto"/>
        <w:tblLook w:val="04A0" w:firstRow="1" w:lastRow="0" w:firstColumn="1" w:lastColumn="0" w:noHBand="0" w:noVBand="1"/>
      </w:tblPr>
      <w:tblGrid>
        <w:gridCol w:w="4535"/>
        <w:gridCol w:w="4535"/>
      </w:tblGrid>
      <w:tr w:rsidR="006800C7" w14:paraId="252DBFC6" w14:textId="77777777" w:rsidTr="00F31956">
        <w:trPr>
          <w:cnfStyle w:val="100000000000" w:firstRow="1" w:lastRow="0" w:firstColumn="0" w:lastColumn="0" w:oddVBand="0" w:evenVBand="0" w:oddHBand="0" w:evenHBand="0" w:firstRowFirstColumn="0" w:firstRowLastColumn="0" w:lastRowFirstColumn="0" w:lastRowLastColumn="0"/>
        </w:trPr>
        <w:tc>
          <w:tcPr>
            <w:tcW w:w="4535" w:type="dxa"/>
          </w:tcPr>
          <w:p w14:paraId="10803C13" w14:textId="77777777" w:rsidR="006800C7" w:rsidRPr="00832D48" w:rsidRDefault="006800C7" w:rsidP="00F31956"/>
        </w:tc>
        <w:tc>
          <w:tcPr>
            <w:tcW w:w="4535" w:type="dxa"/>
          </w:tcPr>
          <w:p w14:paraId="228D6378" w14:textId="77777777" w:rsidR="006800C7" w:rsidRPr="00832D48" w:rsidRDefault="006800C7" w:rsidP="00F31956"/>
        </w:tc>
      </w:tr>
      <w:tr w:rsidR="006800C7" w14:paraId="3C0D1B81" w14:textId="77777777" w:rsidTr="00F31956">
        <w:tc>
          <w:tcPr>
            <w:tcW w:w="9070" w:type="dxa"/>
            <w:gridSpan w:val="2"/>
          </w:tcPr>
          <w:p w14:paraId="6722C5DA" w14:textId="77777777" w:rsidR="006800C7" w:rsidRPr="002452EA" w:rsidRDefault="006800C7" w:rsidP="00F31956">
            <w:pPr>
              <w:pStyle w:val="Subtitle"/>
              <w:rPr>
                <w:rStyle w:val="Strong"/>
              </w:rPr>
            </w:pPr>
            <w:r w:rsidRPr="002452EA">
              <w:rPr>
                <w:rStyle w:val="Strong"/>
              </w:rPr>
              <w:t xml:space="preserve">Ferry </w:t>
            </w:r>
          </w:p>
        </w:tc>
      </w:tr>
      <w:tr w:rsidR="00694C4A" w14:paraId="41D39094" w14:textId="77777777" w:rsidTr="00F31956">
        <w:tc>
          <w:tcPr>
            <w:tcW w:w="4535" w:type="dxa"/>
          </w:tcPr>
          <w:p w14:paraId="5DE4FF80" w14:textId="2E14F693" w:rsidR="00694C4A" w:rsidRPr="008650E9" w:rsidRDefault="00694C4A" w:rsidP="00694C4A">
            <w:pPr>
              <w:pStyle w:val="Subtitle"/>
              <w:rPr>
                <w:rStyle w:val="Emphasis"/>
              </w:rPr>
            </w:pPr>
            <w:r w:rsidRPr="00125C06">
              <w:t>Brisbane City Council (Transport for Brisbane) ABN 72 002 765 795</w:t>
            </w:r>
          </w:p>
        </w:tc>
        <w:tc>
          <w:tcPr>
            <w:tcW w:w="4535" w:type="dxa"/>
          </w:tcPr>
          <w:p w14:paraId="352AB0F6" w14:textId="5515CC63" w:rsidR="00694C4A" w:rsidRPr="008650E9" w:rsidRDefault="00694C4A" w:rsidP="00694C4A">
            <w:pPr>
              <w:pStyle w:val="Subtitle"/>
              <w:rPr>
                <w:rStyle w:val="Emphasis"/>
              </w:rPr>
            </w:pPr>
            <w:r w:rsidRPr="00125C06">
              <w:t>20,615,604</w:t>
            </w:r>
          </w:p>
        </w:tc>
      </w:tr>
      <w:tr w:rsidR="00694C4A" w14:paraId="62994A79" w14:textId="77777777" w:rsidTr="00F31956">
        <w:tc>
          <w:tcPr>
            <w:tcW w:w="4535" w:type="dxa"/>
          </w:tcPr>
          <w:p w14:paraId="6C5E54FB" w14:textId="299CF321" w:rsidR="00694C4A" w:rsidRPr="008650E9" w:rsidRDefault="00694C4A" w:rsidP="00694C4A">
            <w:pPr>
              <w:pStyle w:val="Subtitle"/>
              <w:rPr>
                <w:rStyle w:val="Emphasis"/>
              </w:rPr>
            </w:pPr>
            <w:r w:rsidRPr="00125C06">
              <w:t>Amity Trader Pty Ltd ACN 146 155 204 atf the trustee for the Scorpio Trust t/a Coochiemudlo Island Ferry Service</w:t>
            </w:r>
          </w:p>
        </w:tc>
        <w:tc>
          <w:tcPr>
            <w:tcW w:w="4535" w:type="dxa"/>
          </w:tcPr>
          <w:p w14:paraId="79EF0B81" w14:textId="6D6160F2" w:rsidR="00694C4A" w:rsidRPr="008650E9" w:rsidRDefault="00694C4A" w:rsidP="00694C4A">
            <w:pPr>
              <w:pStyle w:val="Subtitle"/>
              <w:rPr>
                <w:rStyle w:val="Emphasis"/>
              </w:rPr>
            </w:pPr>
            <w:r w:rsidRPr="00125C06">
              <w:t>274,503</w:t>
            </w:r>
          </w:p>
        </w:tc>
      </w:tr>
      <w:tr w:rsidR="00694C4A" w14:paraId="6AFA77DE" w14:textId="77777777" w:rsidTr="00F31956">
        <w:tc>
          <w:tcPr>
            <w:tcW w:w="4535" w:type="dxa"/>
          </w:tcPr>
          <w:p w14:paraId="2DCAF27A" w14:textId="2CCE9969" w:rsidR="00694C4A" w:rsidRPr="008650E9" w:rsidRDefault="00694C4A" w:rsidP="00694C4A">
            <w:pPr>
              <w:pStyle w:val="Subtitle"/>
              <w:rPr>
                <w:rStyle w:val="Emphasis"/>
              </w:rPr>
            </w:pPr>
            <w:r w:rsidRPr="00125C06">
              <w:t>Kellstar Pty Ltd ACN 073 449 439 t/a Stradbroke Flyer</w:t>
            </w:r>
          </w:p>
        </w:tc>
        <w:tc>
          <w:tcPr>
            <w:tcW w:w="4535" w:type="dxa"/>
          </w:tcPr>
          <w:p w14:paraId="5DC50916" w14:textId="0EDAF75A" w:rsidR="00694C4A" w:rsidRPr="008650E9" w:rsidRDefault="00694C4A" w:rsidP="00694C4A">
            <w:pPr>
              <w:pStyle w:val="Subtitle"/>
              <w:rPr>
                <w:rStyle w:val="Emphasis"/>
              </w:rPr>
            </w:pPr>
            <w:r w:rsidRPr="00125C06">
              <w:t>1,268,433</w:t>
            </w:r>
          </w:p>
        </w:tc>
      </w:tr>
      <w:tr w:rsidR="00694C4A" w14:paraId="57F53D0A" w14:textId="77777777" w:rsidTr="00F31956">
        <w:tc>
          <w:tcPr>
            <w:tcW w:w="4535" w:type="dxa"/>
          </w:tcPr>
          <w:p w14:paraId="25D5688D" w14:textId="728AA251" w:rsidR="00694C4A" w:rsidRPr="008650E9" w:rsidRDefault="00694C4A" w:rsidP="00694C4A">
            <w:pPr>
              <w:pStyle w:val="Subtitle"/>
              <w:rPr>
                <w:rStyle w:val="Emphasis"/>
              </w:rPr>
            </w:pPr>
            <w:r w:rsidRPr="00125C06">
              <w:t>Stradbroke Ferries Pty Ltd ACN 009 725 713</w:t>
            </w:r>
          </w:p>
        </w:tc>
        <w:tc>
          <w:tcPr>
            <w:tcW w:w="4535" w:type="dxa"/>
          </w:tcPr>
          <w:p w14:paraId="0718A817" w14:textId="535698EF" w:rsidR="00694C4A" w:rsidRPr="008650E9" w:rsidRDefault="00694C4A" w:rsidP="00694C4A">
            <w:pPr>
              <w:pStyle w:val="Subtitle"/>
              <w:rPr>
                <w:rStyle w:val="Emphasis"/>
              </w:rPr>
            </w:pPr>
            <w:r w:rsidRPr="00125C06">
              <w:t>891,612</w:t>
            </w:r>
          </w:p>
        </w:tc>
      </w:tr>
      <w:tr w:rsidR="00694C4A" w14:paraId="79D821EB" w14:textId="77777777" w:rsidTr="00F31956">
        <w:tc>
          <w:tcPr>
            <w:tcW w:w="4535" w:type="dxa"/>
          </w:tcPr>
          <w:p w14:paraId="76339BCB" w14:textId="7AE37E50" w:rsidR="00694C4A" w:rsidRPr="008650E9" w:rsidRDefault="00694C4A" w:rsidP="00694C4A">
            <w:pPr>
              <w:pStyle w:val="Subtitle"/>
              <w:rPr>
                <w:rStyle w:val="Emphasis"/>
              </w:rPr>
            </w:pPr>
            <w:r w:rsidRPr="00125C06">
              <w:t>TSA Ferry Group Pty Ltd ACN 108 664 848 t/a Bay Islands Transit System</w:t>
            </w:r>
          </w:p>
        </w:tc>
        <w:tc>
          <w:tcPr>
            <w:tcW w:w="4535" w:type="dxa"/>
          </w:tcPr>
          <w:p w14:paraId="34ECC1EB" w14:textId="1BD2B413" w:rsidR="00694C4A" w:rsidRPr="008650E9" w:rsidRDefault="00694C4A" w:rsidP="00694C4A">
            <w:pPr>
              <w:pStyle w:val="Subtitle"/>
              <w:rPr>
                <w:rStyle w:val="Emphasis"/>
              </w:rPr>
            </w:pPr>
            <w:r w:rsidRPr="00125C06">
              <w:t>8,282,861</w:t>
            </w:r>
          </w:p>
        </w:tc>
      </w:tr>
      <w:tr w:rsidR="00694C4A" w14:paraId="1D24B138" w14:textId="77777777" w:rsidTr="00F31956">
        <w:tc>
          <w:tcPr>
            <w:tcW w:w="4535" w:type="dxa"/>
          </w:tcPr>
          <w:p w14:paraId="739A347F" w14:textId="77777777" w:rsidR="00694C4A" w:rsidRPr="008650E9" w:rsidRDefault="00694C4A" w:rsidP="00694C4A">
            <w:pPr>
              <w:pStyle w:val="Subtitle"/>
              <w:rPr>
                <w:rStyle w:val="Emphasis"/>
              </w:rPr>
            </w:pPr>
          </w:p>
        </w:tc>
        <w:tc>
          <w:tcPr>
            <w:tcW w:w="4535" w:type="dxa"/>
          </w:tcPr>
          <w:p w14:paraId="7DDCDD5A" w14:textId="7538043D" w:rsidR="00694C4A" w:rsidRPr="008650E9" w:rsidRDefault="00694C4A" w:rsidP="00694C4A">
            <w:pPr>
              <w:pStyle w:val="Subtitle"/>
              <w:rPr>
                <w:rStyle w:val="Emphasis"/>
              </w:rPr>
            </w:pPr>
            <w:r w:rsidRPr="00125C06">
              <w:t>$31,333,013</w:t>
            </w:r>
          </w:p>
        </w:tc>
      </w:tr>
    </w:tbl>
    <w:p w14:paraId="23AF7DFF" w14:textId="77777777" w:rsidR="006800C7" w:rsidRDefault="006800C7" w:rsidP="006800C7"/>
    <w:tbl>
      <w:tblPr>
        <w:tblStyle w:val="Style1"/>
        <w:tblW w:w="0" w:type="auto"/>
        <w:tblLook w:val="04A0" w:firstRow="1" w:lastRow="0" w:firstColumn="1" w:lastColumn="0" w:noHBand="0" w:noVBand="1"/>
      </w:tblPr>
      <w:tblGrid>
        <w:gridCol w:w="4535"/>
        <w:gridCol w:w="4535"/>
      </w:tblGrid>
      <w:tr w:rsidR="006800C7" w14:paraId="549D87D5" w14:textId="77777777" w:rsidTr="00F31956">
        <w:trPr>
          <w:cnfStyle w:val="100000000000" w:firstRow="1" w:lastRow="0" w:firstColumn="0" w:lastColumn="0" w:oddVBand="0" w:evenVBand="0" w:oddHBand="0" w:evenHBand="0" w:firstRowFirstColumn="0" w:firstRowLastColumn="0" w:lastRowFirstColumn="0" w:lastRowLastColumn="0"/>
        </w:trPr>
        <w:tc>
          <w:tcPr>
            <w:tcW w:w="4535" w:type="dxa"/>
          </w:tcPr>
          <w:p w14:paraId="1E817283" w14:textId="77777777" w:rsidR="006800C7" w:rsidRPr="008650E9" w:rsidRDefault="006800C7" w:rsidP="00F31956"/>
        </w:tc>
        <w:tc>
          <w:tcPr>
            <w:tcW w:w="4535" w:type="dxa"/>
          </w:tcPr>
          <w:p w14:paraId="6712BB04" w14:textId="77777777" w:rsidR="006800C7" w:rsidRPr="008650E9" w:rsidRDefault="006800C7" w:rsidP="00F31956"/>
        </w:tc>
      </w:tr>
      <w:tr w:rsidR="006800C7" w14:paraId="13BA53FC" w14:textId="77777777" w:rsidTr="00F31956">
        <w:tc>
          <w:tcPr>
            <w:tcW w:w="9070" w:type="dxa"/>
            <w:gridSpan w:val="2"/>
          </w:tcPr>
          <w:p w14:paraId="3A70C820" w14:textId="77777777" w:rsidR="006800C7" w:rsidRPr="002452EA" w:rsidRDefault="006800C7" w:rsidP="00F31956">
            <w:pPr>
              <w:pStyle w:val="Subtitle"/>
              <w:rPr>
                <w:rStyle w:val="Strong"/>
              </w:rPr>
            </w:pPr>
            <w:r w:rsidRPr="002452EA">
              <w:rPr>
                <w:rStyle w:val="Strong"/>
              </w:rPr>
              <w:t>CityTrain</w:t>
            </w:r>
          </w:p>
        </w:tc>
      </w:tr>
      <w:tr w:rsidR="00694C4A" w14:paraId="5159F890" w14:textId="77777777" w:rsidTr="00F31956">
        <w:tc>
          <w:tcPr>
            <w:tcW w:w="4535" w:type="dxa"/>
          </w:tcPr>
          <w:p w14:paraId="6E34B4A6" w14:textId="256D3FC2" w:rsidR="00694C4A" w:rsidRPr="008650E9" w:rsidRDefault="00694C4A" w:rsidP="00694C4A">
            <w:pPr>
              <w:pStyle w:val="Subtitle"/>
              <w:rPr>
                <w:rStyle w:val="Emphasis"/>
              </w:rPr>
            </w:pPr>
            <w:r w:rsidRPr="00707F61">
              <w:t>Queensland Rail Limited ACN 132 181 090</w:t>
            </w:r>
          </w:p>
        </w:tc>
        <w:tc>
          <w:tcPr>
            <w:tcW w:w="4535" w:type="dxa"/>
          </w:tcPr>
          <w:p w14:paraId="770336CB" w14:textId="3D96C8BF" w:rsidR="00694C4A" w:rsidRPr="008650E9" w:rsidRDefault="00694C4A" w:rsidP="00694C4A">
            <w:pPr>
              <w:pStyle w:val="Subtitle"/>
              <w:rPr>
                <w:rStyle w:val="Emphasis"/>
              </w:rPr>
            </w:pPr>
            <w:r w:rsidRPr="00707F61">
              <w:t>1,431,540,848</w:t>
            </w:r>
          </w:p>
        </w:tc>
      </w:tr>
    </w:tbl>
    <w:p w14:paraId="03A19F08" w14:textId="77777777" w:rsidR="006800C7" w:rsidRDefault="006800C7" w:rsidP="006800C7"/>
    <w:tbl>
      <w:tblPr>
        <w:tblStyle w:val="Style1"/>
        <w:tblW w:w="0" w:type="auto"/>
        <w:tblLook w:val="04A0" w:firstRow="1" w:lastRow="0" w:firstColumn="1" w:lastColumn="0" w:noHBand="0" w:noVBand="1"/>
      </w:tblPr>
      <w:tblGrid>
        <w:gridCol w:w="4535"/>
        <w:gridCol w:w="4535"/>
      </w:tblGrid>
      <w:tr w:rsidR="006800C7" w14:paraId="464055AE" w14:textId="77777777" w:rsidTr="00F31956">
        <w:trPr>
          <w:cnfStyle w:val="100000000000" w:firstRow="1" w:lastRow="0" w:firstColumn="0" w:lastColumn="0" w:oddVBand="0" w:evenVBand="0" w:oddHBand="0" w:evenHBand="0" w:firstRowFirstColumn="0" w:firstRowLastColumn="0" w:lastRowFirstColumn="0" w:lastRowLastColumn="0"/>
        </w:trPr>
        <w:tc>
          <w:tcPr>
            <w:tcW w:w="4535" w:type="dxa"/>
          </w:tcPr>
          <w:p w14:paraId="6A5EACE7" w14:textId="77777777" w:rsidR="006800C7" w:rsidRPr="008650E9" w:rsidRDefault="006800C7" w:rsidP="00F31956"/>
        </w:tc>
        <w:tc>
          <w:tcPr>
            <w:tcW w:w="4535" w:type="dxa"/>
          </w:tcPr>
          <w:p w14:paraId="4D1C0032" w14:textId="77777777" w:rsidR="006800C7" w:rsidRPr="008650E9" w:rsidRDefault="006800C7" w:rsidP="00F31956"/>
        </w:tc>
      </w:tr>
      <w:tr w:rsidR="006800C7" w14:paraId="528A900C" w14:textId="77777777" w:rsidTr="00F31956">
        <w:tc>
          <w:tcPr>
            <w:tcW w:w="9070" w:type="dxa"/>
            <w:gridSpan w:val="2"/>
          </w:tcPr>
          <w:p w14:paraId="2D23D40C" w14:textId="77777777" w:rsidR="006800C7" w:rsidRPr="002452EA" w:rsidRDefault="006800C7" w:rsidP="00F31956">
            <w:pPr>
              <w:pStyle w:val="Subtitle"/>
              <w:rPr>
                <w:rStyle w:val="Strong"/>
              </w:rPr>
            </w:pPr>
            <w:r w:rsidRPr="002452EA">
              <w:rPr>
                <w:rStyle w:val="Strong"/>
              </w:rPr>
              <w:t xml:space="preserve">Rail Bus replacement Service </w:t>
            </w:r>
          </w:p>
        </w:tc>
      </w:tr>
      <w:tr w:rsidR="00ED53EE" w14:paraId="74DA0FD4" w14:textId="77777777" w:rsidTr="00F31956">
        <w:tc>
          <w:tcPr>
            <w:tcW w:w="4535" w:type="dxa"/>
          </w:tcPr>
          <w:p w14:paraId="28C50556" w14:textId="5E0869A9" w:rsidR="00ED53EE" w:rsidRPr="00427EF1" w:rsidRDefault="00ED53EE" w:rsidP="00ED53EE">
            <w:pPr>
              <w:pStyle w:val="Subtitle"/>
              <w:rPr>
                <w:rStyle w:val="Emphasis"/>
              </w:rPr>
            </w:pPr>
            <w:r w:rsidRPr="00BD19B6">
              <w:t>CAV Queensland Pty Ltd ACN 115 410 725</w:t>
            </w:r>
          </w:p>
        </w:tc>
        <w:tc>
          <w:tcPr>
            <w:tcW w:w="4535" w:type="dxa"/>
          </w:tcPr>
          <w:p w14:paraId="296A7A14" w14:textId="05D5618C" w:rsidR="00ED53EE" w:rsidRPr="00427EF1" w:rsidRDefault="00ED53EE" w:rsidP="00ED53EE">
            <w:pPr>
              <w:pStyle w:val="Subtitle"/>
              <w:rPr>
                <w:rStyle w:val="Emphasis"/>
              </w:rPr>
            </w:pPr>
            <w:r w:rsidRPr="00BD19B6">
              <w:t>1,597,595</w:t>
            </w:r>
          </w:p>
        </w:tc>
      </w:tr>
      <w:tr w:rsidR="00ED53EE" w14:paraId="2AE1E123" w14:textId="77777777" w:rsidTr="00F31956">
        <w:tc>
          <w:tcPr>
            <w:tcW w:w="4535" w:type="dxa"/>
          </w:tcPr>
          <w:p w14:paraId="6C9E2B8D" w14:textId="72F9AC48" w:rsidR="00ED53EE" w:rsidRPr="00427EF1" w:rsidRDefault="00ED53EE" w:rsidP="00ED53EE">
            <w:pPr>
              <w:pStyle w:val="Subtitle"/>
              <w:rPr>
                <w:rStyle w:val="Emphasis"/>
              </w:rPr>
            </w:pPr>
            <w:r w:rsidRPr="00BD19B6">
              <w:t>S &amp; S Webster Investments Pty Ltd ACN 004 804 497 t/a Kangaroo Bus Lines</w:t>
            </w:r>
          </w:p>
        </w:tc>
        <w:tc>
          <w:tcPr>
            <w:tcW w:w="4535" w:type="dxa"/>
          </w:tcPr>
          <w:p w14:paraId="0AF9C406" w14:textId="66BC803E" w:rsidR="00ED53EE" w:rsidRPr="00427EF1" w:rsidRDefault="00ED53EE" w:rsidP="00ED53EE">
            <w:pPr>
              <w:pStyle w:val="Subtitle"/>
              <w:rPr>
                <w:rStyle w:val="Emphasis"/>
              </w:rPr>
            </w:pPr>
            <w:r w:rsidRPr="00BD19B6">
              <w:t>3,622,619</w:t>
            </w:r>
          </w:p>
        </w:tc>
      </w:tr>
      <w:tr w:rsidR="00ED53EE" w14:paraId="503AF49A" w14:textId="77777777" w:rsidTr="00F31956">
        <w:tc>
          <w:tcPr>
            <w:tcW w:w="4535" w:type="dxa"/>
          </w:tcPr>
          <w:p w14:paraId="3686D614" w14:textId="114046FA" w:rsidR="00ED53EE" w:rsidRPr="00427EF1" w:rsidRDefault="00ED53EE" w:rsidP="00ED53EE">
            <w:pPr>
              <w:pStyle w:val="Subtitle"/>
              <w:rPr>
                <w:rStyle w:val="Emphasis"/>
              </w:rPr>
            </w:pPr>
            <w:r w:rsidRPr="00BD19B6">
              <w:t>Brisbane Bus Lines Pty Ltd ACN 009 739 593</w:t>
            </w:r>
          </w:p>
        </w:tc>
        <w:tc>
          <w:tcPr>
            <w:tcW w:w="4535" w:type="dxa"/>
          </w:tcPr>
          <w:p w14:paraId="6DCF995A" w14:textId="27733021" w:rsidR="00ED53EE" w:rsidRPr="00427EF1" w:rsidRDefault="00ED53EE" w:rsidP="00ED53EE">
            <w:pPr>
              <w:pStyle w:val="Subtitle"/>
              <w:rPr>
                <w:rStyle w:val="Emphasis"/>
              </w:rPr>
            </w:pPr>
            <w:r w:rsidRPr="00BD19B6">
              <w:t>4,984,791</w:t>
            </w:r>
          </w:p>
        </w:tc>
      </w:tr>
      <w:tr w:rsidR="00ED53EE" w14:paraId="0C53C5D1" w14:textId="77777777" w:rsidTr="00F31956">
        <w:tc>
          <w:tcPr>
            <w:tcW w:w="4535" w:type="dxa"/>
          </w:tcPr>
          <w:p w14:paraId="00C688CC" w14:textId="64EBB09F" w:rsidR="00ED53EE" w:rsidRPr="00427EF1" w:rsidRDefault="00ED53EE" w:rsidP="00ED53EE">
            <w:pPr>
              <w:pStyle w:val="Subtitle"/>
              <w:rPr>
                <w:rStyle w:val="Emphasis"/>
              </w:rPr>
            </w:pPr>
            <w:r w:rsidRPr="00BD19B6">
              <w:t>GK &amp; JM Thompson Pty Ltd ACN 064 465 176 t/a Thompson Bus Services</w:t>
            </w:r>
          </w:p>
        </w:tc>
        <w:tc>
          <w:tcPr>
            <w:tcW w:w="4535" w:type="dxa"/>
          </w:tcPr>
          <w:p w14:paraId="5B7AAD36" w14:textId="7AE2036B" w:rsidR="00ED53EE" w:rsidRPr="00427EF1" w:rsidRDefault="00ED53EE" w:rsidP="00ED53EE">
            <w:pPr>
              <w:pStyle w:val="Subtitle"/>
              <w:rPr>
                <w:rStyle w:val="Emphasis"/>
              </w:rPr>
            </w:pPr>
            <w:r w:rsidRPr="00BD19B6">
              <w:t>2,564,794</w:t>
            </w:r>
          </w:p>
        </w:tc>
      </w:tr>
      <w:tr w:rsidR="00ED53EE" w14:paraId="00047497" w14:textId="77777777" w:rsidTr="00F31956">
        <w:tc>
          <w:tcPr>
            <w:tcW w:w="4535" w:type="dxa"/>
          </w:tcPr>
          <w:p w14:paraId="04D88FA9" w14:textId="593E4368" w:rsidR="00ED53EE" w:rsidRPr="00427EF1" w:rsidRDefault="00ED53EE" w:rsidP="00ED53EE">
            <w:pPr>
              <w:pStyle w:val="Subtitle"/>
              <w:rPr>
                <w:rStyle w:val="Emphasis"/>
              </w:rPr>
            </w:pPr>
            <w:r w:rsidRPr="00BD19B6">
              <w:t>Yellow Cabs Australia Pty Ltd ACN 620 658 871</w:t>
            </w:r>
          </w:p>
        </w:tc>
        <w:tc>
          <w:tcPr>
            <w:tcW w:w="4535" w:type="dxa"/>
          </w:tcPr>
          <w:p w14:paraId="030C0ABC" w14:textId="342FA938" w:rsidR="00ED53EE" w:rsidRPr="00427EF1" w:rsidRDefault="00ED53EE" w:rsidP="00ED53EE">
            <w:pPr>
              <w:pStyle w:val="Subtitle"/>
              <w:rPr>
                <w:rStyle w:val="Emphasis"/>
              </w:rPr>
            </w:pPr>
            <w:r w:rsidRPr="00BD19B6">
              <w:t>6,755</w:t>
            </w:r>
          </w:p>
        </w:tc>
      </w:tr>
      <w:tr w:rsidR="00ED53EE" w14:paraId="58D391EE" w14:textId="77777777" w:rsidTr="00F31956">
        <w:tc>
          <w:tcPr>
            <w:tcW w:w="4535" w:type="dxa"/>
          </w:tcPr>
          <w:p w14:paraId="45F9715D" w14:textId="565314B9" w:rsidR="00ED53EE" w:rsidRPr="00427EF1" w:rsidRDefault="00ED53EE" w:rsidP="00ED53EE">
            <w:pPr>
              <w:pStyle w:val="Subtitle"/>
              <w:rPr>
                <w:rStyle w:val="Emphasis"/>
              </w:rPr>
            </w:pPr>
            <w:r w:rsidRPr="00BD19B6">
              <w:t>Black &amp; White Cabs Pty Ltd ACN 054 497 353</w:t>
            </w:r>
          </w:p>
        </w:tc>
        <w:tc>
          <w:tcPr>
            <w:tcW w:w="4535" w:type="dxa"/>
          </w:tcPr>
          <w:p w14:paraId="0D7EE994" w14:textId="09CD3FD1" w:rsidR="00ED53EE" w:rsidRPr="00427EF1" w:rsidRDefault="00ED53EE" w:rsidP="00ED53EE">
            <w:pPr>
              <w:pStyle w:val="Subtitle"/>
              <w:rPr>
                <w:rStyle w:val="Emphasis"/>
              </w:rPr>
            </w:pPr>
            <w:r w:rsidRPr="00BD19B6">
              <w:t>5,659</w:t>
            </w:r>
          </w:p>
        </w:tc>
      </w:tr>
      <w:tr w:rsidR="00ED53EE" w14:paraId="62CA2A71" w14:textId="77777777" w:rsidTr="00F31956">
        <w:tc>
          <w:tcPr>
            <w:tcW w:w="4535" w:type="dxa"/>
          </w:tcPr>
          <w:p w14:paraId="47923605" w14:textId="3DBDE660" w:rsidR="00ED53EE" w:rsidRPr="00427EF1" w:rsidRDefault="00ED53EE" w:rsidP="00ED53EE">
            <w:pPr>
              <w:pStyle w:val="Subtitle"/>
              <w:rPr>
                <w:rStyle w:val="Emphasis"/>
              </w:rPr>
            </w:pPr>
            <w:r w:rsidRPr="00BD19B6">
              <w:t>Suncoast Cabs Ltd ACN 010 183 892</w:t>
            </w:r>
          </w:p>
        </w:tc>
        <w:tc>
          <w:tcPr>
            <w:tcW w:w="4535" w:type="dxa"/>
          </w:tcPr>
          <w:p w14:paraId="4F2F407F" w14:textId="4452D1DF" w:rsidR="00ED53EE" w:rsidRPr="00427EF1" w:rsidRDefault="00ED53EE" w:rsidP="00ED53EE">
            <w:pPr>
              <w:pStyle w:val="Subtitle"/>
              <w:rPr>
                <w:rStyle w:val="Emphasis"/>
              </w:rPr>
            </w:pPr>
            <w:r w:rsidRPr="00BD19B6">
              <w:t>2,621</w:t>
            </w:r>
          </w:p>
        </w:tc>
      </w:tr>
      <w:tr w:rsidR="00ED53EE" w14:paraId="5C689C65" w14:textId="77777777" w:rsidTr="00F31956">
        <w:tc>
          <w:tcPr>
            <w:tcW w:w="4535" w:type="dxa"/>
          </w:tcPr>
          <w:p w14:paraId="00CB16E2" w14:textId="77777777" w:rsidR="00ED53EE" w:rsidRPr="00427EF1" w:rsidRDefault="00ED53EE" w:rsidP="00ED53EE">
            <w:pPr>
              <w:pStyle w:val="Subtitle"/>
              <w:rPr>
                <w:rStyle w:val="Emphasis"/>
              </w:rPr>
            </w:pPr>
          </w:p>
        </w:tc>
        <w:tc>
          <w:tcPr>
            <w:tcW w:w="4535" w:type="dxa"/>
          </w:tcPr>
          <w:p w14:paraId="0A3989D0" w14:textId="0FB53D66" w:rsidR="00ED53EE" w:rsidRPr="00427EF1" w:rsidRDefault="00ED53EE" w:rsidP="00ED53EE">
            <w:pPr>
              <w:pStyle w:val="Subtitle"/>
              <w:rPr>
                <w:rStyle w:val="Emphasis"/>
              </w:rPr>
            </w:pPr>
            <w:r w:rsidRPr="00BD19B6">
              <w:t>$12,784,834</w:t>
            </w:r>
          </w:p>
        </w:tc>
      </w:tr>
    </w:tbl>
    <w:p w14:paraId="3444BE00" w14:textId="77777777" w:rsidR="006800C7" w:rsidRDefault="006800C7" w:rsidP="006800C7"/>
    <w:tbl>
      <w:tblPr>
        <w:tblStyle w:val="Style1"/>
        <w:tblW w:w="0" w:type="auto"/>
        <w:tblLook w:val="04A0" w:firstRow="1" w:lastRow="0" w:firstColumn="1" w:lastColumn="0" w:noHBand="0" w:noVBand="1"/>
      </w:tblPr>
      <w:tblGrid>
        <w:gridCol w:w="4535"/>
        <w:gridCol w:w="4535"/>
      </w:tblGrid>
      <w:tr w:rsidR="006800C7" w14:paraId="010B5368" w14:textId="77777777" w:rsidTr="00F31956">
        <w:trPr>
          <w:cnfStyle w:val="100000000000" w:firstRow="1" w:lastRow="0" w:firstColumn="0" w:lastColumn="0" w:oddVBand="0" w:evenVBand="0" w:oddHBand="0" w:evenHBand="0" w:firstRowFirstColumn="0" w:firstRowLastColumn="0" w:lastRowFirstColumn="0" w:lastRowLastColumn="0"/>
        </w:trPr>
        <w:tc>
          <w:tcPr>
            <w:tcW w:w="4535" w:type="dxa"/>
          </w:tcPr>
          <w:p w14:paraId="4C39C5FD" w14:textId="77777777" w:rsidR="006800C7" w:rsidRPr="00427EF1" w:rsidRDefault="006800C7" w:rsidP="00F31956"/>
        </w:tc>
        <w:tc>
          <w:tcPr>
            <w:tcW w:w="4535" w:type="dxa"/>
          </w:tcPr>
          <w:p w14:paraId="5F6D5965" w14:textId="77777777" w:rsidR="006800C7" w:rsidRPr="00427EF1" w:rsidRDefault="006800C7" w:rsidP="00F31956"/>
        </w:tc>
      </w:tr>
      <w:tr w:rsidR="006800C7" w14:paraId="44414FEC" w14:textId="77777777" w:rsidTr="00F31956">
        <w:tc>
          <w:tcPr>
            <w:tcW w:w="9070" w:type="dxa"/>
            <w:gridSpan w:val="2"/>
          </w:tcPr>
          <w:p w14:paraId="2A8B7CD9" w14:textId="77777777" w:rsidR="006800C7" w:rsidRPr="002452EA" w:rsidRDefault="006800C7" w:rsidP="00F31956">
            <w:pPr>
              <w:pStyle w:val="Subtitle"/>
              <w:rPr>
                <w:rStyle w:val="Strong"/>
              </w:rPr>
            </w:pPr>
            <w:r w:rsidRPr="002452EA">
              <w:rPr>
                <w:rStyle w:val="Strong"/>
              </w:rPr>
              <w:t xml:space="preserve">Light Rail </w:t>
            </w:r>
          </w:p>
        </w:tc>
      </w:tr>
      <w:tr w:rsidR="00ED53EE" w14:paraId="485CC6B9" w14:textId="77777777" w:rsidTr="00F31956">
        <w:tc>
          <w:tcPr>
            <w:tcW w:w="4535" w:type="dxa"/>
          </w:tcPr>
          <w:p w14:paraId="18A3F3D4" w14:textId="76EBB8AF" w:rsidR="00ED53EE" w:rsidRPr="00BB334C" w:rsidRDefault="00ED53EE" w:rsidP="00ED53EE">
            <w:pPr>
              <w:pStyle w:val="Subtitle"/>
              <w:rPr>
                <w:rStyle w:val="Emphasis"/>
              </w:rPr>
            </w:pPr>
            <w:r w:rsidRPr="003F1841">
              <w:t>Goldlinq Pty Ltd ACN 147 815 441</w:t>
            </w:r>
          </w:p>
        </w:tc>
        <w:tc>
          <w:tcPr>
            <w:tcW w:w="4535" w:type="dxa"/>
          </w:tcPr>
          <w:p w14:paraId="64CDDB23" w14:textId="76256F8F" w:rsidR="00ED53EE" w:rsidRPr="00BB334C" w:rsidRDefault="00ED53EE" w:rsidP="00ED53EE">
            <w:pPr>
              <w:pStyle w:val="Subtitle"/>
              <w:rPr>
                <w:rStyle w:val="Emphasis"/>
              </w:rPr>
            </w:pPr>
            <w:r w:rsidRPr="003F1841">
              <w:t>60,810,044</w:t>
            </w:r>
          </w:p>
        </w:tc>
      </w:tr>
    </w:tbl>
    <w:p w14:paraId="2A408E76" w14:textId="77777777" w:rsidR="006800C7" w:rsidRDefault="006800C7" w:rsidP="006800C7"/>
    <w:tbl>
      <w:tblPr>
        <w:tblStyle w:val="Style1"/>
        <w:tblW w:w="0" w:type="auto"/>
        <w:tblLook w:val="04A0" w:firstRow="1" w:lastRow="0" w:firstColumn="1" w:lastColumn="0" w:noHBand="0" w:noVBand="1"/>
      </w:tblPr>
      <w:tblGrid>
        <w:gridCol w:w="4535"/>
        <w:gridCol w:w="4535"/>
      </w:tblGrid>
      <w:tr w:rsidR="006800C7" w14:paraId="49813521" w14:textId="77777777" w:rsidTr="00F31956">
        <w:trPr>
          <w:cnfStyle w:val="100000000000" w:firstRow="1" w:lastRow="0" w:firstColumn="0" w:lastColumn="0" w:oddVBand="0" w:evenVBand="0" w:oddHBand="0" w:evenHBand="0" w:firstRowFirstColumn="0" w:firstRowLastColumn="0" w:lastRowFirstColumn="0" w:lastRowLastColumn="0"/>
        </w:trPr>
        <w:tc>
          <w:tcPr>
            <w:tcW w:w="4535" w:type="dxa"/>
          </w:tcPr>
          <w:p w14:paraId="09A603E3" w14:textId="77777777" w:rsidR="006800C7" w:rsidRPr="00BB334C" w:rsidRDefault="006800C7" w:rsidP="00F31956"/>
        </w:tc>
        <w:tc>
          <w:tcPr>
            <w:tcW w:w="4535" w:type="dxa"/>
          </w:tcPr>
          <w:p w14:paraId="40EFC5BA" w14:textId="77777777" w:rsidR="006800C7" w:rsidRPr="00BB334C" w:rsidRDefault="006800C7" w:rsidP="00F31956"/>
        </w:tc>
      </w:tr>
      <w:tr w:rsidR="006800C7" w14:paraId="3B81055E" w14:textId="77777777" w:rsidTr="00F31956">
        <w:tc>
          <w:tcPr>
            <w:tcW w:w="9070" w:type="dxa"/>
            <w:gridSpan w:val="2"/>
          </w:tcPr>
          <w:p w14:paraId="7CE0148B" w14:textId="77777777" w:rsidR="006800C7" w:rsidRPr="002452EA" w:rsidRDefault="006800C7" w:rsidP="00F31956">
            <w:pPr>
              <w:pStyle w:val="Subtitle"/>
              <w:rPr>
                <w:rStyle w:val="Strong"/>
              </w:rPr>
            </w:pPr>
            <w:r w:rsidRPr="002452EA">
              <w:rPr>
                <w:rStyle w:val="Strong"/>
              </w:rPr>
              <w:t xml:space="preserve">On Demand Transport  </w:t>
            </w:r>
          </w:p>
        </w:tc>
      </w:tr>
      <w:tr w:rsidR="00657426" w14:paraId="35E524AD" w14:textId="77777777" w:rsidTr="00F31956">
        <w:tc>
          <w:tcPr>
            <w:tcW w:w="4535" w:type="dxa"/>
          </w:tcPr>
          <w:p w14:paraId="5FB7BE23" w14:textId="6BFAE38B" w:rsidR="00657426" w:rsidRPr="00E25681" w:rsidRDefault="00657426" w:rsidP="00657426">
            <w:pPr>
              <w:pStyle w:val="Subtitle"/>
              <w:rPr>
                <w:rStyle w:val="Emphasis"/>
              </w:rPr>
            </w:pPr>
            <w:r w:rsidRPr="00F06E9E">
              <w:t xml:space="preserve">Yellow Cabs (Australia) Pty. Ltd. ABN 45 620 658 871 </w:t>
            </w:r>
          </w:p>
        </w:tc>
        <w:tc>
          <w:tcPr>
            <w:tcW w:w="4535" w:type="dxa"/>
          </w:tcPr>
          <w:p w14:paraId="27064080" w14:textId="589159D0" w:rsidR="00657426" w:rsidRPr="00E25681" w:rsidRDefault="00657426" w:rsidP="00657426">
            <w:pPr>
              <w:pStyle w:val="Subtitle"/>
              <w:rPr>
                <w:rStyle w:val="Emphasis"/>
              </w:rPr>
            </w:pPr>
            <w:r w:rsidRPr="00F06E9E">
              <w:t>999,368</w:t>
            </w:r>
          </w:p>
        </w:tc>
      </w:tr>
    </w:tbl>
    <w:p w14:paraId="32BCC0D6" w14:textId="77777777" w:rsidR="006800C7" w:rsidRDefault="006800C7" w:rsidP="006800C7"/>
    <w:tbl>
      <w:tblPr>
        <w:tblStyle w:val="Style1"/>
        <w:tblW w:w="0" w:type="auto"/>
        <w:tblLook w:val="04A0" w:firstRow="1" w:lastRow="0" w:firstColumn="1" w:lastColumn="0" w:noHBand="0" w:noVBand="1"/>
      </w:tblPr>
      <w:tblGrid>
        <w:gridCol w:w="4535"/>
        <w:gridCol w:w="4535"/>
      </w:tblGrid>
      <w:tr w:rsidR="006800C7" w14:paraId="6BEEEB15" w14:textId="77777777" w:rsidTr="00F31956">
        <w:trPr>
          <w:cnfStyle w:val="100000000000" w:firstRow="1" w:lastRow="0" w:firstColumn="0" w:lastColumn="0" w:oddVBand="0" w:evenVBand="0" w:oddHBand="0" w:evenHBand="0" w:firstRowFirstColumn="0" w:firstRowLastColumn="0" w:lastRowFirstColumn="0" w:lastRowLastColumn="0"/>
        </w:trPr>
        <w:tc>
          <w:tcPr>
            <w:tcW w:w="4535" w:type="dxa"/>
          </w:tcPr>
          <w:p w14:paraId="0E3EB03B" w14:textId="77777777" w:rsidR="006800C7" w:rsidRPr="00E25681" w:rsidRDefault="006800C7" w:rsidP="00F31956"/>
        </w:tc>
        <w:tc>
          <w:tcPr>
            <w:tcW w:w="4535" w:type="dxa"/>
          </w:tcPr>
          <w:p w14:paraId="15FB7CC9" w14:textId="77777777" w:rsidR="006800C7" w:rsidRPr="00E25681" w:rsidRDefault="006800C7" w:rsidP="00F31956"/>
        </w:tc>
      </w:tr>
      <w:tr w:rsidR="006800C7" w14:paraId="489B7F5F" w14:textId="77777777" w:rsidTr="00F31956">
        <w:tc>
          <w:tcPr>
            <w:tcW w:w="9070" w:type="dxa"/>
            <w:gridSpan w:val="2"/>
          </w:tcPr>
          <w:p w14:paraId="47BD6A15" w14:textId="77777777" w:rsidR="006800C7" w:rsidRPr="002452EA" w:rsidRDefault="006800C7" w:rsidP="00F31956">
            <w:pPr>
              <w:pStyle w:val="Subtitle"/>
              <w:rPr>
                <w:rStyle w:val="Strong"/>
              </w:rPr>
            </w:pPr>
            <w:r w:rsidRPr="002452EA">
              <w:rPr>
                <w:rStyle w:val="Strong"/>
              </w:rPr>
              <w:t xml:space="preserve">Flexilink Taxi Services  </w:t>
            </w:r>
          </w:p>
        </w:tc>
      </w:tr>
      <w:tr w:rsidR="00657426" w14:paraId="37EBBD44" w14:textId="77777777" w:rsidTr="00F31956">
        <w:tc>
          <w:tcPr>
            <w:tcW w:w="4535" w:type="dxa"/>
          </w:tcPr>
          <w:p w14:paraId="10722DE4" w14:textId="7042030C" w:rsidR="00657426" w:rsidRPr="00E25681" w:rsidRDefault="00657426" w:rsidP="00657426">
            <w:pPr>
              <w:pStyle w:val="Subtitle"/>
              <w:rPr>
                <w:rStyle w:val="Emphasis"/>
              </w:rPr>
            </w:pPr>
            <w:r w:rsidRPr="00165208">
              <w:t xml:space="preserve">Yellow Cabs (Australia) Pty. Ltd. ABN 45 620 658 871 </w:t>
            </w:r>
          </w:p>
        </w:tc>
        <w:tc>
          <w:tcPr>
            <w:tcW w:w="4535" w:type="dxa"/>
          </w:tcPr>
          <w:p w14:paraId="07573728" w14:textId="3DA52AC5" w:rsidR="00657426" w:rsidRPr="00E25681" w:rsidRDefault="00657426" w:rsidP="00657426">
            <w:pPr>
              <w:pStyle w:val="Subtitle"/>
              <w:rPr>
                <w:rStyle w:val="Emphasis"/>
              </w:rPr>
            </w:pPr>
            <w:r w:rsidRPr="00165208">
              <w:t>148,018</w:t>
            </w:r>
          </w:p>
        </w:tc>
      </w:tr>
    </w:tbl>
    <w:p w14:paraId="69C8BB55" w14:textId="77777777" w:rsidR="006800C7" w:rsidRDefault="006800C7" w:rsidP="006800C7"/>
    <w:tbl>
      <w:tblPr>
        <w:tblStyle w:val="Style1"/>
        <w:tblW w:w="0" w:type="auto"/>
        <w:tblLook w:val="04A0" w:firstRow="1" w:lastRow="0" w:firstColumn="1" w:lastColumn="0" w:noHBand="0" w:noVBand="1"/>
      </w:tblPr>
      <w:tblGrid>
        <w:gridCol w:w="4535"/>
        <w:gridCol w:w="4535"/>
      </w:tblGrid>
      <w:tr w:rsidR="006800C7" w14:paraId="09EEEA68" w14:textId="77777777" w:rsidTr="00F31956">
        <w:trPr>
          <w:cnfStyle w:val="100000000000" w:firstRow="1" w:lastRow="0" w:firstColumn="0" w:lastColumn="0" w:oddVBand="0" w:evenVBand="0" w:oddHBand="0" w:evenHBand="0" w:firstRowFirstColumn="0" w:firstRowLastColumn="0" w:lastRowFirstColumn="0" w:lastRowLastColumn="0"/>
        </w:trPr>
        <w:tc>
          <w:tcPr>
            <w:tcW w:w="4535" w:type="dxa"/>
          </w:tcPr>
          <w:p w14:paraId="54C79FB8" w14:textId="77777777" w:rsidR="006800C7" w:rsidRPr="00E25681" w:rsidRDefault="006800C7" w:rsidP="00F31956"/>
        </w:tc>
        <w:tc>
          <w:tcPr>
            <w:tcW w:w="4535" w:type="dxa"/>
          </w:tcPr>
          <w:p w14:paraId="094728A5" w14:textId="77777777" w:rsidR="006800C7" w:rsidRPr="00E25681" w:rsidRDefault="006800C7" w:rsidP="00F31956"/>
        </w:tc>
      </w:tr>
      <w:tr w:rsidR="006800C7" w14:paraId="1DF290E3" w14:textId="77777777" w:rsidTr="00F31956">
        <w:tc>
          <w:tcPr>
            <w:tcW w:w="4535" w:type="dxa"/>
          </w:tcPr>
          <w:p w14:paraId="2DA34E8E" w14:textId="77777777" w:rsidR="006800C7" w:rsidRPr="002452EA" w:rsidRDefault="006800C7" w:rsidP="00F31956">
            <w:pPr>
              <w:pStyle w:val="Subtitle"/>
              <w:rPr>
                <w:rStyle w:val="Strong"/>
              </w:rPr>
            </w:pPr>
            <w:r w:rsidRPr="002452EA">
              <w:rPr>
                <w:rStyle w:val="Strong"/>
              </w:rPr>
              <w:t xml:space="preserve">Total Payments  </w:t>
            </w:r>
          </w:p>
        </w:tc>
        <w:tc>
          <w:tcPr>
            <w:tcW w:w="4535" w:type="dxa"/>
          </w:tcPr>
          <w:p w14:paraId="6D096EF5" w14:textId="3436A625" w:rsidR="006800C7" w:rsidRPr="002452EA" w:rsidRDefault="00657426" w:rsidP="00F31956">
            <w:pPr>
              <w:pStyle w:val="Subtitle"/>
              <w:rPr>
                <w:rStyle w:val="Strong"/>
              </w:rPr>
            </w:pPr>
            <w:r w:rsidRPr="00657426">
              <w:rPr>
                <w:rStyle w:val="Strong"/>
              </w:rPr>
              <w:t>2,197,160,624</w:t>
            </w:r>
          </w:p>
        </w:tc>
      </w:tr>
    </w:tbl>
    <w:p w14:paraId="7DAD0CE2" w14:textId="77777777" w:rsidR="006800C7" w:rsidRDefault="006800C7" w:rsidP="006800C7"/>
    <w:p w14:paraId="72D431AF" w14:textId="77777777" w:rsidR="008665F3" w:rsidRDefault="008665F3">
      <w:pPr>
        <w:spacing w:before="0" w:after="160" w:line="259" w:lineRule="auto"/>
        <w:rPr>
          <w:rFonts w:eastAsiaTheme="majorEastAsia" w:cstheme="majorBidi"/>
          <w:b/>
        </w:rPr>
      </w:pPr>
      <w:r>
        <w:br w:type="page"/>
      </w:r>
    </w:p>
    <w:p w14:paraId="518302E1" w14:textId="77777777" w:rsidR="006800C7" w:rsidRPr="00457DB6" w:rsidRDefault="006800C7" w:rsidP="006800C7">
      <w:pPr>
        <w:pStyle w:val="TableofFigures"/>
      </w:pPr>
      <w:r w:rsidRPr="00457DB6">
        <w:lastRenderedPageBreak/>
        <w:t xml:space="preserve">Table </w:t>
      </w:r>
      <w:r>
        <w:t>17</w:t>
      </w:r>
      <w:r w:rsidRPr="00457DB6">
        <w:t xml:space="preserve">: Passenger transport operator payments: </w:t>
      </w:r>
      <w:r>
        <w:t>Rest of Queensland</w:t>
      </w:r>
    </w:p>
    <w:p w14:paraId="2A1258C4" w14:textId="1E9242A4" w:rsidR="006800C7" w:rsidRPr="00457DB6" w:rsidRDefault="006800C7" w:rsidP="006800C7">
      <w:pPr>
        <w:pStyle w:val="Subtitle"/>
      </w:pPr>
      <w:r w:rsidRPr="00457DB6">
        <w:t>Payments are for the period of 1 July 202</w:t>
      </w:r>
      <w:r w:rsidR="0022602A">
        <w:t>1</w:t>
      </w:r>
      <w:r w:rsidRPr="00457DB6">
        <w:t xml:space="preserve"> to 30 June 202</w:t>
      </w:r>
      <w:r w:rsidR="0022602A">
        <w:t>2</w:t>
      </w:r>
      <w:r w:rsidRPr="00457DB6">
        <w:t xml:space="preserve"> and are GST exclusive.</w:t>
      </w:r>
    </w:p>
    <w:tbl>
      <w:tblPr>
        <w:tblStyle w:val="Style1"/>
        <w:tblW w:w="0" w:type="auto"/>
        <w:tblLook w:val="04A0" w:firstRow="1" w:lastRow="0" w:firstColumn="1" w:lastColumn="0" w:noHBand="0" w:noVBand="1"/>
      </w:tblPr>
      <w:tblGrid>
        <w:gridCol w:w="4535"/>
        <w:gridCol w:w="4535"/>
      </w:tblGrid>
      <w:tr w:rsidR="006800C7" w14:paraId="00C09F79" w14:textId="77777777" w:rsidTr="00F31956">
        <w:trPr>
          <w:cnfStyle w:val="100000000000" w:firstRow="1" w:lastRow="0" w:firstColumn="0" w:lastColumn="0" w:oddVBand="0" w:evenVBand="0" w:oddHBand="0" w:evenHBand="0" w:firstRowFirstColumn="0" w:firstRowLastColumn="0" w:lastRowFirstColumn="0" w:lastRowLastColumn="0"/>
        </w:trPr>
        <w:tc>
          <w:tcPr>
            <w:tcW w:w="4535" w:type="dxa"/>
          </w:tcPr>
          <w:p w14:paraId="1CE427AE" w14:textId="77777777" w:rsidR="006800C7" w:rsidRPr="002824A7" w:rsidRDefault="006800C7" w:rsidP="00F31956">
            <w:pPr>
              <w:pStyle w:val="Subtitle"/>
              <w:rPr>
                <w:rStyle w:val="Emphasis"/>
              </w:rPr>
            </w:pPr>
          </w:p>
          <w:p w14:paraId="77D2F4D5" w14:textId="77777777" w:rsidR="006800C7" w:rsidRPr="002824A7" w:rsidRDefault="006800C7" w:rsidP="00F31956">
            <w:r w:rsidRPr="002824A7">
              <w:t xml:space="preserve">Operator </w:t>
            </w:r>
          </w:p>
        </w:tc>
        <w:tc>
          <w:tcPr>
            <w:tcW w:w="4535" w:type="dxa"/>
          </w:tcPr>
          <w:p w14:paraId="7307792D" w14:textId="77777777" w:rsidR="006800C7" w:rsidRPr="002824A7" w:rsidRDefault="006800C7" w:rsidP="00F31956">
            <w:r w:rsidRPr="002824A7">
              <w:t>2019-2020</w:t>
            </w:r>
            <w:r w:rsidRPr="002824A7">
              <w:br/>
              <w:t xml:space="preserve">Amount $ </w:t>
            </w:r>
          </w:p>
        </w:tc>
      </w:tr>
      <w:tr w:rsidR="006800C7" w14:paraId="772FA4C0" w14:textId="77777777" w:rsidTr="00F31956">
        <w:tc>
          <w:tcPr>
            <w:tcW w:w="9070" w:type="dxa"/>
            <w:gridSpan w:val="2"/>
          </w:tcPr>
          <w:p w14:paraId="78B29CA0" w14:textId="77777777" w:rsidR="006800C7" w:rsidRPr="002452EA" w:rsidRDefault="006800C7" w:rsidP="00F31956">
            <w:pPr>
              <w:pStyle w:val="Subtitle"/>
              <w:rPr>
                <w:rStyle w:val="Strong"/>
              </w:rPr>
            </w:pPr>
            <w:r w:rsidRPr="002452EA">
              <w:rPr>
                <w:rStyle w:val="Strong"/>
              </w:rPr>
              <w:t xml:space="preserve">Regional Urban Bus </w:t>
            </w:r>
          </w:p>
        </w:tc>
      </w:tr>
      <w:tr w:rsidR="0022602A" w14:paraId="7C651A16" w14:textId="77777777" w:rsidTr="00F31956">
        <w:tc>
          <w:tcPr>
            <w:tcW w:w="4535" w:type="dxa"/>
          </w:tcPr>
          <w:p w14:paraId="79D06470" w14:textId="31C4A96C" w:rsidR="0022602A" w:rsidRPr="00A10A1E" w:rsidRDefault="0022602A" w:rsidP="0022602A">
            <w:pPr>
              <w:pStyle w:val="Subtitle"/>
              <w:rPr>
                <w:rStyle w:val="Emphasis"/>
              </w:rPr>
            </w:pPr>
            <w:r w:rsidRPr="0032577D">
              <w:t>Astronomical Chillagoe Pty Ltd ACN 107 487 972 atf Seven Bridges Unit Trust</w:t>
            </w:r>
          </w:p>
        </w:tc>
        <w:tc>
          <w:tcPr>
            <w:tcW w:w="4535" w:type="dxa"/>
          </w:tcPr>
          <w:p w14:paraId="4AAA2548" w14:textId="1EB8253B" w:rsidR="0022602A" w:rsidRPr="00A10A1E" w:rsidRDefault="0022602A" w:rsidP="0022602A">
            <w:pPr>
              <w:pStyle w:val="Subtitle"/>
              <w:rPr>
                <w:rStyle w:val="Emphasis"/>
              </w:rPr>
            </w:pPr>
            <w:r w:rsidRPr="0032577D">
              <w:t>7,511</w:t>
            </w:r>
          </w:p>
        </w:tc>
      </w:tr>
      <w:tr w:rsidR="0022602A" w14:paraId="5F05EA1C" w14:textId="77777777" w:rsidTr="00F31956">
        <w:tc>
          <w:tcPr>
            <w:tcW w:w="4535" w:type="dxa"/>
          </w:tcPr>
          <w:p w14:paraId="4DA6C384" w14:textId="564FF2AC" w:rsidR="0022602A" w:rsidRPr="00A10A1E" w:rsidRDefault="0022602A" w:rsidP="0022602A">
            <w:pPr>
              <w:pStyle w:val="Subtitle"/>
              <w:rPr>
                <w:rStyle w:val="Emphasis"/>
              </w:rPr>
            </w:pPr>
            <w:r w:rsidRPr="0032577D">
              <w:t>Bowen Transit Pty Ltd ACN 105 749 602</w:t>
            </w:r>
          </w:p>
        </w:tc>
        <w:tc>
          <w:tcPr>
            <w:tcW w:w="4535" w:type="dxa"/>
          </w:tcPr>
          <w:p w14:paraId="11A76CCF" w14:textId="0BF467F7" w:rsidR="0022602A" w:rsidRPr="00A10A1E" w:rsidRDefault="0022602A" w:rsidP="0022602A">
            <w:pPr>
              <w:pStyle w:val="Subtitle"/>
              <w:rPr>
                <w:rStyle w:val="Emphasis"/>
              </w:rPr>
            </w:pPr>
            <w:r w:rsidRPr="0032577D">
              <w:t>166,971</w:t>
            </w:r>
          </w:p>
        </w:tc>
      </w:tr>
      <w:tr w:rsidR="0022602A" w14:paraId="4E00FE64" w14:textId="77777777" w:rsidTr="00F31956">
        <w:tc>
          <w:tcPr>
            <w:tcW w:w="4535" w:type="dxa"/>
          </w:tcPr>
          <w:p w14:paraId="00F314C2" w14:textId="0BB0C0BC" w:rsidR="0022602A" w:rsidRPr="00A10A1E" w:rsidRDefault="0022602A" w:rsidP="0022602A">
            <w:pPr>
              <w:pStyle w:val="Subtitle"/>
              <w:rPr>
                <w:rStyle w:val="Emphasis"/>
              </w:rPr>
            </w:pPr>
            <w:r w:rsidRPr="0032577D">
              <w:t>CDC Gladstone Pty Ltd ACN 612 803 406</w:t>
            </w:r>
          </w:p>
        </w:tc>
        <w:tc>
          <w:tcPr>
            <w:tcW w:w="4535" w:type="dxa"/>
          </w:tcPr>
          <w:p w14:paraId="08700F20" w14:textId="78EB9AD6" w:rsidR="0022602A" w:rsidRPr="00A10A1E" w:rsidRDefault="0022602A" w:rsidP="0022602A">
            <w:pPr>
              <w:pStyle w:val="Subtitle"/>
              <w:rPr>
                <w:rStyle w:val="Emphasis"/>
              </w:rPr>
            </w:pPr>
            <w:r w:rsidRPr="0032577D">
              <w:t>1,906,267</w:t>
            </w:r>
          </w:p>
        </w:tc>
      </w:tr>
      <w:tr w:rsidR="0022602A" w14:paraId="18DEB5A5" w14:textId="77777777" w:rsidTr="00F31956">
        <w:tc>
          <w:tcPr>
            <w:tcW w:w="4535" w:type="dxa"/>
          </w:tcPr>
          <w:p w14:paraId="172C1769" w14:textId="709685BF" w:rsidR="0022602A" w:rsidRPr="00A10A1E" w:rsidRDefault="0022602A" w:rsidP="0022602A">
            <w:pPr>
              <w:pStyle w:val="Subtitle"/>
              <w:rPr>
                <w:rStyle w:val="Emphasis"/>
              </w:rPr>
            </w:pPr>
            <w:r w:rsidRPr="0032577D">
              <w:t>Campsie Bus Co Pty Ltd ACN 000 953 328 t/a Whitsunday Transit</w:t>
            </w:r>
          </w:p>
        </w:tc>
        <w:tc>
          <w:tcPr>
            <w:tcW w:w="4535" w:type="dxa"/>
          </w:tcPr>
          <w:p w14:paraId="118AE779" w14:textId="684A0D6B" w:rsidR="0022602A" w:rsidRPr="00A10A1E" w:rsidRDefault="0022602A" w:rsidP="0022602A">
            <w:pPr>
              <w:pStyle w:val="Subtitle"/>
              <w:rPr>
                <w:rStyle w:val="Emphasis"/>
              </w:rPr>
            </w:pPr>
            <w:r w:rsidRPr="0032577D">
              <w:t>1,616,160</w:t>
            </w:r>
          </w:p>
        </w:tc>
      </w:tr>
      <w:tr w:rsidR="0022602A" w14:paraId="4D6D9892" w14:textId="77777777" w:rsidTr="00F31956">
        <w:tc>
          <w:tcPr>
            <w:tcW w:w="4535" w:type="dxa"/>
          </w:tcPr>
          <w:p w14:paraId="32EB469F" w14:textId="015F2ABB" w:rsidR="0022602A" w:rsidRPr="00A10A1E" w:rsidRDefault="0022602A" w:rsidP="0022602A">
            <w:pPr>
              <w:pStyle w:val="Subtitle"/>
              <w:rPr>
                <w:rStyle w:val="Emphasis"/>
              </w:rPr>
            </w:pPr>
            <w:r w:rsidRPr="0032577D">
              <w:t>Cavglass Pty Ltd ACN 124 444 711 t/a Glasshouse Country Coaches</w:t>
            </w:r>
          </w:p>
        </w:tc>
        <w:tc>
          <w:tcPr>
            <w:tcW w:w="4535" w:type="dxa"/>
          </w:tcPr>
          <w:p w14:paraId="070106C6" w14:textId="2E405207" w:rsidR="0022602A" w:rsidRPr="00A10A1E" w:rsidRDefault="0022602A" w:rsidP="0022602A">
            <w:pPr>
              <w:pStyle w:val="Subtitle"/>
              <w:rPr>
                <w:rStyle w:val="Emphasis"/>
              </w:rPr>
            </w:pPr>
            <w:r w:rsidRPr="0032577D">
              <w:t>598,875</w:t>
            </w:r>
          </w:p>
        </w:tc>
      </w:tr>
      <w:tr w:rsidR="0022602A" w14:paraId="47ECECD8" w14:textId="77777777" w:rsidTr="00F31956">
        <w:tc>
          <w:tcPr>
            <w:tcW w:w="4535" w:type="dxa"/>
          </w:tcPr>
          <w:p w14:paraId="0082ED30" w14:textId="79C9979B" w:rsidR="0022602A" w:rsidRPr="00A10A1E" w:rsidRDefault="0022602A" w:rsidP="0022602A">
            <w:pPr>
              <w:pStyle w:val="Subtitle"/>
              <w:rPr>
                <w:rStyle w:val="Emphasis"/>
              </w:rPr>
            </w:pPr>
            <w:r w:rsidRPr="0032577D">
              <w:t>Complete Golf Coaching Pty Ltd ACN 101 380 116 t/a Kerry's Bus Service</w:t>
            </w:r>
          </w:p>
        </w:tc>
        <w:tc>
          <w:tcPr>
            <w:tcW w:w="4535" w:type="dxa"/>
          </w:tcPr>
          <w:p w14:paraId="39D1FD3D" w14:textId="761DC385" w:rsidR="0022602A" w:rsidRPr="00A10A1E" w:rsidRDefault="0022602A" w:rsidP="0022602A">
            <w:pPr>
              <w:pStyle w:val="Subtitle"/>
              <w:rPr>
                <w:rStyle w:val="Emphasis"/>
              </w:rPr>
            </w:pPr>
            <w:r w:rsidRPr="0032577D">
              <w:t>3,778</w:t>
            </w:r>
          </w:p>
        </w:tc>
      </w:tr>
      <w:tr w:rsidR="0022602A" w14:paraId="209B77B1" w14:textId="77777777" w:rsidTr="00F31956">
        <w:tc>
          <w:tcPr>
            <w:tcW w:w="4535" w:type="dxa"/>
          </w:tcPr>
          <w:p w14:paraId="6746FE0C" w14:textId="0DEE236A" w:rsidR="0022602A" w:rsidRPr="00A10A1E" w:rsidRDefault="0022602A" w:rsidP="0022602A">
            <w:pPr>
              <w:pStyle w:val="Subtitle"/>
              <w:rPr>
                <w:rStyle w:val="Emphasis"/>
              </w:rPr>
            </w:pPr>
            <w:r w:rsidRPr="0032577D">
              <w:t>D.G. Young &amp; P.J Young &amp; P.J Young  ABN 77 078 657 186 t/a Youngs Bus Service</w:t>
            </w:r>
          </w:p>
        </w:tc>
        <w:tc>
          <w:tcPr>
            <w:tcW w:w="4535" w:type="dxa"/>
          </w:tcPr>
          <w:p w14:paraId="298CFB8F" w14:textId="0DD9C45D" w:rsidR="0022602A" w:rsidRPr="00A10A1E" w:rsidRDefault="0022602A" w:rsidP="0022602A">
            <w:pPr>
              <w:pStyle w:val="Subtitle"/>
              <w:rPr>
                <w:rStyle w:val="Emphasis"/>
              </w:rPr>
            </w:pPr>
            <w:r w:rsidRPr="0032577D">
              <w:t>2,803,614</w:t>
            </w:r>
          </w:p>
        </w:tc>
      </w:tr>
      <w:tr w:rsidR="0022602A" w14:paraId="76161FFA" w14:textId="77777777" w:rsidTr="00F31956">
        <w:tc>
          <w:tcPr>
            <w:tcW w:w="4535" w:type="dxa"/>
          </w:tcPr>
          <w:p w14:paraId="074B7382" w14:textId="48FE3E83" w:rsidR="0022602A" w:rsidRPr="00A10A1E" w:rsidRDefault="0022602A" w:rsidP="0022602A">
            <w:pPr>
              <w:pStyle w:val="Subtitle"/>
              <w:rPr>
                <w:rStyle w:val="Emphasis"/>
              </w:rPr>
            </w:pPr>
            <w:r w:rsidRPr="0032577D">
              <w:t>Duffy's City Buses Pty Ltd ACN 053 761 023 atf The Duffy Trust</w:t>
            </w:r>
          </w:p>
        </w:tc>
        <w:tc>
          <w:tcPr>
            <w:tcW w:w="4535" w:type="dxa"/>
          </w:tcPr>
          <w:p w14:paraId="749AEA29" w14:textId="0ED29C27" w:rsidR="0022602A" w:rsidRPr="00A10A1E" w:rsidRDefault="0022602A" w:rsidP="0022602A">
            <w:pPr>
              <w:pStyle w:val="Subtitle"/>
              <w:rPr>
                <w:rStyle w:val="Emphasis"/>
              </w:rPr>
            </w:pPr>
            <w:r w:rsidRPr="0032577D">
              <w:t>1,930,328</w:t>
            </w:r>
          </w:p>
        </w:tc>
      </w:tr>
      <w:tr w:rsidR="0022602A" w14:paraId="1F73A3B3" w14:textId="77777777" w:rsidTr="00F31956">
        <w:tc>
          <w:tcPr>
            <w:tcW w:w="4535" w:type="dxa"/>
          </w:tcPr>
          <w:p w14:paraId="49D5A80A" w14:textId="35CD4976" w:rsidR="0022602A" w:rsidRPr="00A10A1E" w:rsidRDefault="0022602A" w:rsidP="0022602A">
            <w:pPr>
              <w:pStyle w:val="Subtitle"/>
              <w:rPr>
                <w:rStyle w:val="Emphasis"/>
              </w:rPr>
            </w:pPr>
            <w:r w:rsidRPr="0032577D">
              <w:t>Fultonlawn Pty Ltd ACN 010 489 068 atf NHPriebbenow Family Trust t/a Wide Bay Transit</w:t>
            </w:r>
          </w:p>
        </w:tc>
        <w:tc>
          <w:tcPr>
            <w:tcW w:w="4535" w:type="dxa"/>
          </w:tcPr>
          <w:p w14:paraId="249C68F7" w14:textId="3DC8555D" w:rsidR="0022602A" w:rsidRPr="00A10A1E" w:rsidRDefault="0022602A" w:rsidP="0022602A">
            <w:pPr>
              <w:pStyle w:val="Subtitle"/>
              <w:rPr>
                <w:rStyle w:val="Emphasis"/>
              </w:rPr>
            </w:pPr>
            <w:r w:rsidRPr="0032577D">
              <w:t>3,981,710</w:t>
            </w:r>
          </w:p>
        </w:tc>
      </w:tr>
      <w:tr w:rsidR="0022602A" w14:paraId="49ABB262" w14:textId="77777777" w:rsidTr="00F31956">
        <w:tc>
          <w:tcPr>
            <w:tcW w:w="4535" w:type="dxa"/>
          </w:tcPr>
          <w:p w14:paraId="325BC6F2" w14:textId="3FC1E4D1" w:rsidR="0022602A" w:rsidRPr="00A10A1E" w:rsidRDefault="0022602A" w:rsidP="0022602A">
            <w:pPr>
              <w:pStyle w:val="Subtitle"/>
              <w:rPr>
                <w:rStyle w:val="Emphasis"/>
              </w:rPr>
            </w:pPr>
            <w:r w:rsidRPr="0032577D">
              <w:t>GJ &amp; LE Christensen ABN 50 204 765 641 t/a Christensens Bus and Coach</w:t>
            </w:r>
          </w:p>
        </w:tc>
        <w:tc>
          <w:tcPr>
            <w:tcW w:w="4535" w:type="dxa"/>
          </w:tcPr>
          <w:p w14:paraId="05EBFF3E" w14:textId="59C8CCA2" w:rsidR="0022602A" w:rsidRPr="00A10A1E" w:rsidRDefault="0022602A" w:rsidP="0022602A">
            <w:pPr>
              <w:pStyle w:val="Subtitle"/>
              <w:rPr>
                <w:rStyle w:val="Emphasis"/>
              </w:rPr>
            </w:pPr>
            <w:r w:rsidRPr="0032577D">
              <w:t>496,259</w:t>
            </w:r>
          </w:p>
        </w:tc>
      </w:tr>
      <w:tr w:rsidR="0022602A" w14:paraId="0C780FA5" w14:textId="77777777" w:rsidTr="00F31956">
        <w:tc>
          <w:tcPr>
            <w:tcW w:w="4535" w:type="dxa"/>
          </w:tcPr>
          <w:p w14:paraId="5AE730AB" w14:textId="6B7FE5C8" w:rsidR="0022602A" w:rsidRPr="00A10A1E" w:rsidRDefault="0022602A" w:rsidP="0022602A">
            <w:pPr>
              <w:pStyle w:val="Subtitle"/>
              <w:rPr>
                <w:rStyle w:val="Emphasis"/>
              </w:rPr>
            </w:pPr>
            <w:r w:rsidRPr="0032577D">
              <w:t>Haidley, Donald Joseph ABN 42 699 316 830 t/a Haidley's Panoramic Coaches &amp; Motors</w:t>
            </w:r>
          </w:p>
        </w:tc>
        <w:tc>
          <w:tcPr>
            <w:tcW w:w="4535" w:type="dxa"/>
          </w:tcPr>
          <w:p w14:paraId="7242EC81" w14:textId="062A504C" w:rsidR="0022602A" w:rsidRPr="00A10A1E" w:rsidRDefault="0022602A" w:rsidP="0022602A">
            <w:pPr>
              <w:pStyle w:val="Subtitle"/>
              <w:rPr>
                <w:rStyle w:val="Emphasis"/>
              </w:rPr>
            </w:pPr>
            <w:r w:rsidRPr="0032577D">
              <w:t>17,799</w:t>
            </w:r>
          </w:p>
        </w:tc>
      </w:tr>
      <w:tr w:rsidR="0022602A" w14:paraId="0033E53C" w14:textId="77777777" w:rsidTr="00F31956">
        <w:tc>
          <w:tcPr>
            <w:tcW w:w="4535" w:type="dxa"/>
          </w:tcPr>
          <w:p w14:paraId="74FCED4D" w14:textId="4B15E211" w:rsidR="0022602A" w:rsidRPr="00A10A1E" w:rsidRDefault="0022602A" w:rsidP="0022602A">
            <w:pPr>
              <w:pStyle w:val="Subtitle"/>
              <w:rPr>
                <w:rStyle w:val="Emphasis"/>
              </w:rPr>
            </w:pPr>
            <w:r w:rsidRPr="0032577D">
              <w:t>CD &amp; JM Haidley ABN 90 759 103 183 t/a Haidley's Panoramic Coaches &amp; Motors</w:t>
            </w:r>
          </w:p>
        </w:tc>
        <w:tc>
          <w:tcPr>
            <w:tcW w:w="4535" w:type="dxa"/>
          </w:tcPr>
          <w:p w14:paraId="2628A44D" w14:textId="75C0295E" w:rsidR="0022602A" w:rsidRPr="00A10A1E" w:rsidRDefault="0022602A" w:rsidP="0022602A">
            <w:pPr>
              <w:pStyle w:val="Subtitle"/>
              <w:rPr>
                <w:rStyle w:val="Emphasis"/>
              </w:rPr>
            </w:pPr>
            <w:r w:rsidRPr="0032577D">
              <w:t>219,907</w:t>
            </w:r>
          </w:p>
        </w:tc>
      </w:tr>
      <w:tr w:rsidR="0022602A" w14:paraId="3F4DEEC3" w14:textId="77777777" w:rsidTr="00F31956">
        <w:tc>
          <w:tcPr>
            <w:tcW w:w="4535" w:type="dxa"/>
          </w:tcPr>
          <w:p w14:paraId="61EDD84E" w14:textId="6212A0C0" w:rsidR="0022602A" w:rsidRPr="00A10A1E" w:rsidRDefault="0022602A" w:rsidP="0022602A">
            <w:pPr>
              <w:pStyle w:val="Subtitle"/>
              <w:rPr>
                <w:rStyle w:val="Emphasis"/>
              </w:rPr>
            </w:pPr>
            <w:r w:rsidRPr="0032577D">
              <w:t>Hubbards Coaches Pty Ltd ACN 076 988 120 atf Hubbard Family Trust</w:t>
            </w:r>
          </w:p>
        </w:tc>
        <w:tc>
          <w:tcPr>
            <w:tcW w:w="4535" w:type="dxa"/>
          </w:tcPr>
          <w:p w14:paraId="7C901A4D" w14:textId="47D27312" w:rsidR="0022602A" w:rsidRPr="00A10A1E" w:rsidRDefault="0022602A" w:rsidP="0022602A">
            <w:pPr>
              <w:pStyle w:val="Subtitle"/>
              <w:rPr>
                <w:rStyle w:val="Emphasis"/>
              </w:rPr>
            </w:pPr>
            <w:r w:rsidRPr="0032577D">
              <w:t>3,793</w:t>
            </w:r>
          </w:p>
        </w:tc>
      </w:tr>
      <w:tr w:rsidR="0022602A" w14:paraId="26713C30" w14:textId="77777777" w:rsidTr="00F31956">
        <w:tc>
          <w:tcPr>
            <w:tcW w:w="4535" w:type="dxa"/>
          </w:tcPr>
          <w:p w14:paraId="2BCD932C" w14:textId="4E61C546" w:rsidR="0022602A" w:rsidRPr="00A10A1E" w:rsidRDefault="0022602A" w:rsidP="0022602A">
            <w:pPr>
              <w:pStyle w:val="Subtitle"/>
              <w:rPr>
                <w:rStyle w:val="Emphasis"/>
              </w:rPr>
            </w:pPr>
            <w:r w:rsidRPr="0032577D">
              <w:t>Kuhle Pty Ltd ACN 093 136 317 atf The Khlewein Family Trust t/a Coast &amp; Country Buses</w:t>
            </w:r>
          </w:p>
        </w:tc>
        <w:tc>
          <w:tcPr>
            <w:tcW w:w="4535" w:type="dxa"/>
          </w:tcPr>
          <w:p w14:paraId="0893BAC8" w14:textId="1C6E7F3A" w:rsidR="0022602A" w:rsidRPr="00A10A1E" w:rsidRDefault="0022602A" w:rsidP="0022602A">
            <w:pPr>
              <w:pStyle w:val="Subtitle"/>
              <w:rPr>
                <w:rStyle w:val="Emphasis"/>
              </w:rPr>
            </w:pPr>
            <w:r w:rsidRPr="0032577D">
              <w:t>5,483</w:t>
            </w:r>
          </w:p>
        </w:tc>
      </w:tr>
      <w:tr w:rsidR="0022602A" w14:paraId="0733DCFF" w14:textId="77777777" w:rsidTr="00F31956">
        <w:tc>
          <w:tcPr>
            <w:tcW w:w="4535" w:type="dxa"/>
          </w:tcPr>
          <w:p w14:paraId="611EB362" w14:textId="4660963D" w:rsidR="0022602A" w:rsidRPr="00A10A1E" w:rsidRDefault="0022602A" w:rsidP="0022602A">
            <w:pPr>
              <w:pStyle w:val="Subtitle"/>
              <w:rPr>
                <w:rStyle w:val="Emphasis"/>
              </w:rPr>
            </w:pPr>
            <w:r w:rsidRPr="0032577D">
              <w:t>L.G. Stewart Family Co. Pty Ltd ACN 009 971 617 atf LG Stewart Family Trust</w:t>
            </w:r>
          </w:p>
        </w:tc>
        <w:tc>
          <w:tcPr>
            <w:tcW w:w="4535" w:type="dxa"/>
          </w:tcPr>
          <w:p w14:paraId="71D4AE69" w14:textId="2FD3635D" w:rsidR="0022602A" w:rsidRPr="00A10A1E" w:rsidRDefault="0022602A" w:rsidP="0022602A">
            <w:pPr>
              <w:pStyle w:val="Subtitle"/>
              <w:rPr>
                <w:rStyle w:val="Emphasis"/>
              </w:rPr>
            </w:pPr>
            <w:r w:rsidRPr="0032577D">
              <w:t>200,064</w:t>
            </w:r>
          </w:p>
        </w:tc>
      </w:tr>
      <w:tr w:rsidR="0022602A" w14:paraId="2B79097C" w14:textId="77777777" w:rsidTr="00F31956">
        <w:tc>
          <w:tcPr>
            <w:tcW w:w="4535" w:type="dxa"/>
          </w:tcPr>
          <w:p w14:paraId="6BB1D702" w14:textId="6621F5AE" w:rsidR="0022602A" w:rsidRPr="00A10A1E" w:rsidRDefault="0022602A" w:rsidP="0022602A">
            <w:pPr>
              <w:pStyle w:val="Subtitle"/>
              <w:rPr>
                <w:rStyle w:val="Emphasis"/>
              </w:rPr>
            </w:pPr>
            <w:r w:rsidRPr="0032577D">
              <w:t>Mackay Transit Coaches Pty Ltd ACN 050 416 227</w:t>
            </w:r>
          </w:p>
        </w:tc>
        <w:tc>
          <w:tcPr>
            <w:tcW w:w="4535" w:type="dxa"/>
          </w:tcPr>
          <w:p w14:paraId="209266A8" w14:textId="4F6C3D8E" w:rsidR="0022602A" w:rsidRPr="00A10A1E" w:rsidRDefault="0022602A" w:rsidP="0022602A">
            <w:pPr>
              <w:pStyle w:val="Subtitle"/>
              <w:rPr>
                <w:rStyle w:val="Emphasis"/>
              </w:rPr>
            </w:pPr>
            <w:r w:rsidRPr="0032577D">
              <w:t>4,367,528</w:t>
            </w:r>
          </w:p>
        </w:tc>
      </w:tr>
      <w:tr w:rsidR="0022602A" w14:paraId="7A563D22" w14:textId="77777777" w:rsidTr="00F31956">
        <w:tc>
          <w:tcPr>
            <w:tcW w:w="4535" w:type="dxa"/>
          </w:tcPr>
          <w:p w14:paraId="5D6D9457" w14:textId="4F9EE712" w:rsidR="0022602A" w:rsidRPr="00A10A1E" w:rsidRDefault="0022602A" w:rsidP="0022602A">
            <w:pPr>
              <w:pStyle w:val="Subtitle"/>
              <w:rPr>
                <w:rStyle w:val="Emphasis"/>
              </w:rPr>
            </w:pPr>
            <w:r w:rsidRPr="0032577D">
              <w:t>Polleys Coaches Pty Ltd ACN 134 694 992</w:t>
            </w:r>
          </w:p>
        </w:tc>
        <w:tc>
          <w:tcPr>
            <w:tcW w:w="4535" w:type="dxa"/>
          </w:tcPr>
          <w:p w14:paraId="4FE0B395" w14:textId="6CC62B2C" w:rsidR="0022602A" w:rsidRPr="00A10A1E" w:rsidRDefault="0022602A" w:rsidP="0022602A">
            <w:pPr>
              <w:pStyle w:val="Subtitle"/>
              <w:rPr>
                <w:rStyle w:val="Emphasis"/>
              </w:rPr>
            </w:pPr>
            <w:r w:rsidRPr="0032577D">
              <w:t>760,360</w:t>
            </w:r>
          </w:p>
        </w:tc>
      </w:tr>
      <w:tr w:rsidR="0022602A" w14:paraId="43270A6B" w14:textId="77777777" w:rsidTr="00F31956">
        <w:tc>
          <w:tcPr>
            <w:tcW w:w="4535" w:type="dxa"/>
          </w:tcPr>
          <w:p w14:paraId="597431AB" w14:textId="24835954" w:rsidR="0022602A" w:rsidRPr="00A10A1E" w:rsidRDefault="0022602A" w:rsidP="0022602A">
            <w:pPr>
              <w:pStyle w:val="Subtitle"/>
            </w:pPr>
            <w:r w:rsidRPr="0032577D">
              <w:t>Stradbroke Island Buses Pty Ltd ACN 151 219 420</w:t>
            </w:r>
          </w:p>
        </w:tc>
        <w:tc>
          <w:tcPr>
            <w:tcW w:w="4535" w:type="dxa"/>
          </w:tcPr>
          <w:p w14:paraId="59A251C0" w14:textId="3F22670A" w:rsidR="0022602A" w:rsidRPr="00A10A1E" w:rsidRDefault="0022602A" w:rsidP="0022602A">
            <w:pPr>
              <w:pStyle w:val="Subtitle"/>
            </w:pPr>
            <w:r w:rsidRPr="0032577D">
              <w:t>703,836</w:t>
            </w:r>
          </w:p>
        </w:tc>
      </w:tr>
      <w:tr w:rsidR="0022602A" w14:paraId="3C965CAB" w14:textId="77777777" w:rsidTr="00F31956">
        <w:tc>
          <w:tcPr>
            <w:tcW w:w="4535" w:type="dxa"/>
          </w:tcPr>
          <w:p w14:paraId="4BC77247" w14:textId="62F4F7FB" w:rsidR="0022602A" w:rsidRPr="00A10A1E" w:rsidRDefault="0022602A" w:rsidP="0022602A">
            <w:pPr>
              <w:pStyle w:val="Subtitle"/>
            </w:pPr>
            <w:r w:rsidRPr="0032577D">
              <w:t>Toowoomba Transit Pty Ltd ACN 135 249 062 t/a Bus Queensland Toowoomba</w:t>
            </w:r>
          </w:p>
        </w:tc>
        <w:tc>
          <w:tcPr>
            <w:tcW w:w="4535" w:type="dxa"/>
          </w:tcPr>
          <w:p w14:paraId="3D77EB9B" w14:textId="4FAF827F" w:rsidR="0022602A" w:rsidRPr="00A10A1E" w:rsidRDefault="0022602A" w:rsidP="0022602A">
            <w:pPr>
              <w:pStyle w:val="Subtitle"/>
            </w:pPr>
            <w:r w:rsidRPr="0032577D">
              <w:t>8,145,232</w:t>
            </w:r>
          </w:p>
        </w:tc>
      </w:tr>
      <w:tr w:rsidR="0022602A" w14:paraId="61F72E96" w14:textId="77777777" w:rsidTr="00F31956">
        <w:tc>
          <w:tcPr>
            <w:tcW w:w="4535" w:type="dxa"/>
          </w:tcPr>
          <w:p w14:paraId="6F6DF146" w14:textId="55FC3493" w:rsidR="0022602A" w:rsidRPr="00A10A1E" w:rsidRDefault="0022602A" w:rsidP="0022602A">
            <w:pPr>
              <w:pStyle w:val="Subtitle"/>
            </w:pPr>
            <w:r w:rsidRPr="0032577D">
              <w:t>Trans North Pty Ltd ACN 074 538 159 t/a Trans North Bus and Coach Service</w:t>
            </w:r>
          </w:p>
        </w:tc>
        <w:tc>
          <w:tcPr>
            <w:tcW w:w="4535" w:type="dxa"/>
          </w:tcPr>
          <w:p w14:paraId="67CDEC82" w14:textId="2579AE3B" w:rsidR="0022602A" w:rsidRPr="00A10A1E" w:rsidRDefault="0022602A" w:rsidP="0022602A">
            <w:pPr>
              <w:pStyle w:val="Subtitle"/>
            </w:pPr>
            <w:r w:rsidRPr="0032577D">
              <w:t>251,325</w:t>
            </w:r>
          </w:p>
        </w:tc>
      </w:tr>
      <w:tr w:rsidR="0022602A" w14:paraId="35CC48D3" w14:textId="77777777" w:rsidTr="00F31956">
        <w:tc>
          <w:tcPr>
            <w:tcW w:w="4535" w:type="dxa"/>
          </w:tcPr>
          <w:p w14:paraId="62C317E4" w14:textId="3D5E0430" w:rsidR="0022602A" w:rsidRPr="00A10A1E" w:rsidRDefault="0022602A" w:rsidP="0022602A">
            <w:pPr>
              <w:pStyle w:val="Subtitle"/>
            </w:pPr>
            <w:r w:rsidRPr="0032577D">
              <w:t xml:space="preserve">Transit Australia Pty Ltd ACN 065 794 943 t/a Marlin Coast Sunbus </w:t>
            </w:r>
          </w:p>
        </w:tc>
        <w:tc>
          <w:tcPr>
            <w:tcW w:w="4535" w:type="dxa"/>
          </w:tcPr>
          <w:p w14:paraId="71787924" w14:textId="00E30028" w:rsidR="0022602A" w:rsidRPr="00A10A1E" w:rsidRDefault="0022602A" w:rsidP="0022602A">
            <w:pPr>
              <w:pStyle w:val="Subtitle"/>
            </w:pPr>
            <w:r w:rsidRPr="0032577D">
              <w:t>17,144,897</w:t>
            </w:r>
          </w:p>
        </w:tc>
      </w:tr>
      <w:tr w:rsidR="0022602A" w14:paraId="2F2313B2" w14:textId="77777777" w:rsidTr="00F31956">
        <w:tc>
          <w:tcPr>
            <w:tcW w:w="4535" w:type="dxa"/>
          </w:tcPr>
          <w:p w14:paraId="79128C1C" w14:textId="7F4E161B" w:rsidR="0022602A" w:rsidRPr="00A10A1E" w:rsidRDefault="0022602A" w:rsidP="0022602A">
            <w:pPr>
              <w:pStyle w:val="Subtitle"/>
            </w:pPr>
            <w:r w:rsidRPr="0032577D">
              <w:t>Transit Australia Pty Ltd ACN 065 794 943 t/a Capricorn Sunbus</w:t>
            </w:r>
          </w:p>
        </w:tc>
        <w:tc>
          <w:tcPr>
            <w:tcW w:w="4535" w:type="dxa"/>
          </w:tcPr>
          <w:p w14:paraId="5795F69F" w14:textId="7AB54C67" w:rsidR="0022602A" w:rsidRPr="00A10A1E" w:rsidRDefault="0022602A" w:rsidP="0022602A">
            <w:pPr>
              <w:pStyle w:val="Subtitle"/>
            </w:pPr>
            <w:r w:rsidRPr="0032577D">
              <w:t>3,271,509</w:t>
            </w:r>
          </w:p>
        </w:tc>
      </w:tr>
      <w:tr w:rsidR="0022602A" w14:paraId="4F0C9B95" w14:textId="77777777" w:rsidTr="00F31956">
        <w:tc>
          <w:tcPr>
            <w:tcW w:w="4535" w:type="dxa"/>
          </w:tcPr>
          <w:p w14:paraId="6FB756A6" w14:textId="13421AAF" w:rsidR="0022602A" w:rsidRPr="00A10A1E" w:rsidRDefault="0022602A" w:rsidP="0022602A">
            <w:pPr>
              <w:pStyle w:val="Subtitle"/>
            </w:pPr>
            <w:r w:rsidRPr="0032577D">
              <w:t>Transit Australia Pty Ltd ACN 065 794 943 t/a Townsville Sunbus</w:t>
            </w:r>
          </w:p>
        </w:tc>
        <w:tc>
          <w:tcPr>
            <w:tcW w:w="4535" w:type="dxa"/>
          </w:tcPr>
          <w:p w14:paraId="678406FA" w14:textId="1181E702" w:rsidR="0022602A" w:rsidRPr="00A10A1E" w:rsidRDefault="0022602A" w:rsidP="0022602A">
            <w:pPr>
              <w:pStyle w:val="Subtitle"/>
            </w:pPr>
            <w:r w:rsidRPr="0032577D">
              <w:t>13,662,986</w:t>
            </w:r>
          </w:p>
        </w:tc>
      </w:tr>
      <w:tr w:rsidR="0022602A" w14:paraId="6EBBAB2B" w14:textId="77777777" w:rsidTr="00F31956">
        <w:tc>
          <w:tcPr>
            <w:tcW w:w="4535" w:type="dxa"/>
          </w:tcPr>
          <w:p w14:paraId="31B97926" w14:textId="77777777" w:rsidR="0022602A" w:rsidRPr="00A10A1E" w:rsidRDefault="0022602A" w:rsidP="0022602A">
            <w:pPr>
              <w:pStyle w:val="Subtitle"/>
            </w:pPr>
          </w:p>
        </w:tc>
        <w:tc>
          <w:tcPr>
            <w:tcW w:w="4535" w:type="dxa"/>
          </w:tcPr>
          <w:p w14:paraId="33696E5D" w14:textId="602B2F76" w:rsidR="0022602A" w:rsidRPr="00A10A1E" w:rsidRDefault="0022602A" w:rsidP="0022602A">
            <w:pPr>
              <w:pStyle w:val="Subtitle"/>
            </w:pPr>
            <w:r w:rsidRPr="0032577D">
              <w:t>$62,266,192</w:t>
            </w:r>
          </w:p>
        </w:tc>
      </w:tr>
    </w:tbl>
    <w:p w14:paraId="30A2721B" w14:textId="77777777" w:rsidR="006800C7" w:rsidRDefault="006800C7" w:rsidP="006800C7"/>
    <w:tbl>
      <w:tblPr>
        <w:tblStyle w:val="Style1"/>
        <w:tblW w:w="0" w:type="auto"/>
        <w:tblLook w:val="04A0" w:firstRow="1" w:lastRow="0" w:firstColumn="1" w:lastColumn="0" w:noHBand="0" w:noVBand="1"/>
      </w:tblPr>
      <w:tblGrid>
        <w:gridCol w:w="4535"/>
        <w:gridCol w:w="4535"/>
      </w:tblGrid>
      <w:tr w:rsidR="006800C7" w:rsidRPr="00832D48" w14:paraId="1A0E523E" w14:textId="77777777" w:rsidTr="00F31956">
        <w:trPr>
          <w:cnfStyle w:val="100000000000" w:firstRow="1" w:lastRow="0" w:firstColumn="0" w:lastColumn="0" w:oddVBand="0" w:evenVBand="0" w:oddHBand="0" w:evenHBand="0" w:firstRowFirstColumn="0" w:firstRowLastColumn="0" w:lastRowFirstColumn="0" w:lastRowLastColumn="0"/>
        </w:trPr>
        <w:tc>
          <w:tcPr>
            <w:tcW w:w="9070" w:type="dxa"/>
            <w:gridSpan w:val="2"/>
          </w:tcPr>
          <w:p w14:paraId="6300356C" w14:textId="77777777" w:rsidR="006800C7" w:rsidRPr="005B7255" w:rsidRDefault="006800C7" w:rsidP="00F31956">
            <w:pPr>
              <w:pStyle w:val="Subtitle"/>
              <w:rPr>
                <w:rStyle w:val="Emphasis"/>
              </w:rPr>
            </w:pPr>
          </w:p>
        </w:tc>
      </w:tr>
      <w:tr w:rsidR="006800C7" w:rsidRPr="00832D48" w14:paraId="6EE4D2DF" w14:textId="77777777" w:rsidTr="00F31956">
        <w:tc>
          <w:tcPr>
            <w:tcW w:w="9070" w:type="dxa"/>
            <w:gridSpan w:val="2"/>
          </w:tcPr>
          <w:p w14:paraId="3275DE7B" w14:textId="77777777" w:rsidR="006800C7" w:rsidRPr="00DB7CB2" w:rsidRDefault="006800C7" w:rsidP="00F31956">
            <w:pPr>
              <w:pStyle w:val="Subtitle"/>
              <w:rPr>
                <w:rStyle w:val="Strong"/>
              </w:rPr>
            </w:pPr>
            <w:r w:rsidRPr="00DB7CB2">
              <w:rPr>
                <w:rStyle w:val="Strong"/>
              </w:rPr>
              <w:t xml:space="preserve">Ferry </w:t>
            </w:r>
          </w:p>
        </w:tc>
      </w:tr>
      <w:tr w:rsidR="00E0461C" w:rsidRPr="008650E9" w14:paraId="7A73D944" w14:textId="77777777" w:rsidTr="00F31956">
        <w:tc>
          <w:tcPr>
            <w:tcW w:w="4535" w:type="dxa"/>
          </w:tcPr>
          <w:p w14:paraId="5B7AAC12" w14:textId="37F78A58" w:rsidR="00E0461C" w:rsidRPr="00B165E5" w:rsidRDefault="00E0461C" w:rsidP="00E0461C">
            <w:pPr>
              <w:pStyle w:val="Subtitle"/>
              <w:rPr>
                <w:rStyle w:val="Emphasis"/>
              </w:rPr>
            </w:pPr>
            <w:r w:rsidRPr="00EB7844">
              <w:t>Sea-Cat Charters Pty Ltd ACN 010 551 925 t/a Peddells Thursday Island Tours</w:t>
            </w:r>
          </w:p>
        </w:tc>
        <w:tc>
          <w:tcPr>
            <w:tcW w:w="4535" w:type="dxa"/>
          </w:tcPr>
          <w:p w14:paraId="0C282082" w14:textId="799071BB" w:rsidR="00E0461C" w:rsidRPr="00B165E5" w:rsidRDefault="00E0461C" w:rsidP="00E0461C">
            <w:pPr>
              <w:pStyle w:val="Subtitle"/>
              <w:rPr>
                <w:rStyle w:val="Emphasis"/>
              </w:rPr>
            </w:pPr>
            <w:r w:rsidRPr="00EB7844">
              <w:t>105,118</w:t>
            </w:r>
          </w:p>
        </w:tc>
      </w:tr>
      <w:tr w:rsidR="00E0461C" w:rsidRPr="008650E9" w14:paraId="5353F193" w14:textId="77777777" w:rsidTr="00F31956">
        <w:tc>
          <w:tcPr>
            <w:tcW w:w="4535" w:type="dxa"/>
          </w:tcPr>
          <w:p w14:paraId="4962EED4" w14:textId="721DD534" w:rsidR="00E0461C" w:rsidRPr="00B165E5" w:rsidRDefault="00E0461C" w:rsidP="00E0461C">
            <w:pPr>
              <w:pStyle w:val="Subtitle"/>
              <w:rPr>
                <w:rStyle w:val="Emphasis"/>
              </w:rPr>
            </w:pPr>
            <w:r w:rsidRPr="00EB7844">
              <w:t>Sealink Queensland Pty Ltd ACN 148 811 170</w:t>
            </w:r>
          </w:p>
        </w:tc>
        <w:tc>
          <w:tcPr>
            <w:tcW w:w="4535" w:type="dxa"/>
          </w:tcPr>
          <w:p w14:paraId="73710EDC" w14:textId="11B84E8B" w:rsidR="00E0461C" w:rsidRPr="00B165E5" w:rsidRDefault="00E0461C" w:rsidP="00E0461C">
            <w:pPr>
              <w:pStyle w:val="Subtitle"/>
              <w:rPr>
                <w:rStyle w:val="Emphasis"/>
              </w:rPr>
            </w:pPr>
            <w:r w:rsidRPr="00EB7844">
              <w:t>2,330,269</w:t>
            </w:r>
          </w:p>
        </w:tc>
      </w:tr>
      <w:tr w:rsidR="00E0461C" w:rsidRPr="008650E9" w14:paraId="3A33F8C1" w14:textId="77777777" w:rsidTr="00F31956">
        <w:tc>
          <w:tcPr>
            <w:tcW w:w="4535" w:type="dxa"/>
          </w:tcPr>
          <w:p w14:paraId="566784B8" w14:textId="77777777" w:rsidR="00E0461C" w:rsidRPr="00B165E5" w:rsidRDefault="00E0461C" w:rsidP="00E0461C">
            <w:pPr>
              <w:pStyle w:val="Subtitle"/>
              <w:rPr>
                <w:rStyle w:val="Emphasis"/>
              </w:rPr>
            </w:pPr>
          </w:p>
        </w:tc>
        <w:tc>
          <w:tcPr>
            <w:tcW w:w="4535" w:type="dxa"/>
          </w:tcPr>
          <w:p w14:paraId="5C5B6B65" w14:textId="1C50FB2B" w:rsidR="00E0461C" w:rsidRPr="00B165E5" w:rsidRDefault="00E0461C" w:rsidP="00E0461C">
            <w:pPr>
              <w:pStyle w:val="Subtitle"/>
              <w:rPr>
                <w:rStyle w:val="Emphasis"/>
              </w:rPr>
            </w:pPr>
            <w:r w:rsidRPr="00EB7844">
              <w:t>$2,435,387</w:t>
            </w:r>
          </w:p>
        </w:tc>
      </w:tr>
    </w:tbl>
    <w:p w14:paraId="76DACFA3" w14:textId="77777777" w:rsidR="006800C7" w:rsidRDefault="006800C7" w:rsidP="006800C7"/>
    <w:tbl>
      <w:tblPr>
        <w:tblStyle w:val="Style1"/>
        <w:tblW w:w="0" w:type="auto"/>
        <w:tblLook w:val="04A0" w:firstRow="1" w:lastRow="0" w:firstColumn="1" w:lastColumn="0" w:noHBand="0" w:noVBand="1"/>
      </w:tblPr>
      <w:tblGrid>
        <w:gridCol w:w="4535"/>
        <w:gridCol w:w="4535"/>
      </w:tblGrid>
      <w:tr w:rsidR="006800C7" w:rsidRPr="00832D48" w14:paraId="540CF469" w14:textId="77777777" w:rsidTr="00F31956">
        <w:trPr>
          <w:cnfStyle w:val="100000000000" w:firstRow="1" w:lastRow="0" w:firstColumn="0" w:lastColumn="0" w:oddVBand="0" w:evenVBand="0" w:oddHBand="0" w:evenHBand="0" w:firstRowFirstColumn="0" w:firstRowLastColumn="0" w:lastRowFirstColumn="0" w:lastRowLastColumn="0"/>
        </w:trPr>
        <w:tc>
          <w:tcPr>
            <w:tcW w:w="9070" w:type="dxa"/>
            <w:gridSpan w:val="2"/>
          </w:tcPr>
          <w:p w14:paraId="435CA404" w14:textId="77777777" w:rsidR="006800C7" w:rsidRDefault="006800C7" w:rsidP="00F31956">
            <w:pPr>
              <w:pStyle w:val="Subtitle"/>
              <w:rPr>
                <w:rStyle w:val="Emphasis"/>
              </w:rPr>
            </w:pPr>
          </w:p>
        </w:tc>
      </w:tr>
      <w:tr w:rsidR="006800C7" w:rsidRPr="00832D48" w14:paraId="4D166950" w14:textId="77777777" w:rsidTr="00F31956">
        <w:tc>
          <w:tcPr>
            <w:tcW w:w="9070" w:type="dxa"/>
            <w:gridSpan w:val="2"/>
          </w:tcPr>
          <w:p w14:paraId="10093A83" w14:textId="77777777" w:rsidR="006800C7" w:rsidRPr="00DB7CB2" w:rsidRDefault="006800C7" w:rsidP="00F31956">
            <w:pPr>
              <w:pStyle w:val="Subtitle"/>
              <w:rPr>
                <w:rStyle w:val="Strong"/>
              </w:rPr>
            </w:pPr>
            <w:r w:rsidRPr="00DB7CB2">
              <w:rPr>
                <w:rStyle w:val="Strong"/>
              </w:rPr>
              <w:t xml:space="preserve">Long Distance Rail </w:t>
            </w:r>
          </w:p>
        </w:tc>
      </w:tr>
      <w:tr w:rsidR="00E0461C" w:rsidRPr="008650E9" w14:paraId="7A16ED16" w14:textId="77777777" w:rsidTr="00F31956">
        <w:tc>
          <w:tcPr>
            <w:tcW w:w="4535" w:type="dxa"/>
          </w:tcPr>
          <w:p w14:paraId="6FD304F7" w14:textId="10E3BB4B" w:rsidR="00E0461C" w:rsidRPr="003A5FE7" w:rsidRDefault="00E0461C" w:rsidP="00E0461C">
            <w:pPr>
              <w:pStyle w:val="Subtitle"/>
              <w:rPr>
                <w:rStyle w:val="Emphasis"/>
              </w:rPr>
            </w:pPr>
            <w:r w:rsidRPr="00151147">
              <w:t xml:space="preserve">NSW Trains ACN 325 560 455 </w:t>
            </w:r>
            <w:r w:rsidR="008A7E9D" w:rsidRPr="00151147">
              <w:t>(XPT</w:t>
            </w:r>
            <w:r w:rsidRPr="00151147">
              <w:t xml:space="preserve"> Contract Price)</w:t>
            </w:r>
          </w:p>
        </w:tc>
        <w:tc>
          <w:tcPr>
            <w:tcW w:w="4535" w:type="dxa"/>
          </w:tcPr>
          <w:p w14:paraId="0D726EF2" w14:textId="3887C935" w:rsidR="00E0461C" w:rsidRPr="003A5FE7" w:rsidRDefault="00E0461C" w:rsidP="00E0461C">
            <w:pPr>
              <w:pStyle w:val="Subtitle"/>
              <w:rPr>
                <w:rStyle w:val="Emphasis"/>
              </w:rPr>
            </w:pPr>
            <w:r w:rsidRPr="00151147">
              <w:t>2,823,556</w:t>
            </w:r>
          </w:p>
        </w:tc>
      </w:tr>
      <w:tr w:rsidR="00E0461C" w:rsidRPr="008650E9" w14:paraId="6E567D7B" w14:textId="77777777" w:rsidTr="00F31956">
        <w:tc>
          <w:tcPr>
            <w:tcW w:w="4535" w:type="dxa"/>
          </w:tcPr>
          <w:p w14:paraId="5C926784" w14:textId="1E3297E1" w:rsidR="00E0461C" w:rsidRPr="003A5FE7" w:rsidRDefault="00E0461C" w:rsidP="00E0461C">
            <w:pPr>
              <w:pStyle w:val="Subtitle"/>
              <w:rPr>
                <w:rStyle w:val="Emphasis"/>
              </w:rPr>
            </w:pPr>
            <w:r w:rsidRPr="00151147">
              <w:t>Cairns Kuranda Steam Limited Partnership ACN 997 390 112 (Savannahlander)</w:t>
            </w:r>
          </w:p>
        </w:tc>
        <w:tc>
          <w:tcPr>
            <w:tcW w:w="4535" w:type="dxa"/>
          </w:tcPr>
          <w:p w14:paraId="779A1CF9" w14:textId="19CA9DD7" w:rsidR="00E0461C" w:rsidRPr="003A5FE7" w:rsidRDefault="00E0461C" w:rsidP="00E0461C">
            <w:pPr>
              <w:pStyle w:val="Subtitle"/>
              <w:rPr>
                <w:rStyle w:val="Emphasis"/>
              </w:rPr>
            </w:pPr>
            <w:r w:rsidRPr="00151147">
              <w:t>1,745,708</w:t>
            </w:r>
          </w:p>
        </w:tc>
      </w:tr>
      <w:tr w:rsidR="00E0461C" w:rsidRPr="008650E9" w14:paraId="3B63D8C9" w14:textId="77777777" w:rsidTr="00F31956">
        <w:tc>
          <w:tcPr>
            <w:tcW w:w="4535" w:type="dxa"/>
          </w:tcPr>
          <w:p w14:paraId="0718CFCC" w14:textId="2190A48F" w:rsidR="00E0461C" w:rsidRPr="003A5FE7" w:rsidRDefault="00E0461C" w:rsidP="00E0461C">
            <w:pPr>
              <w:pStyle w:val="Subtitle"/>
              <w:rPr>
                <w:rStyle w:val="Emphasis"/>
              </w:rPr>
            </w:pPr>
            <w:r w:rsidRPr="00151147">
              <w:t>Queensland Rail Limited ACN 132 181 090</w:t>
            </w:r>
          </w:p>
        </w:tc>
        <w:tc>
          <w:tcPr>
            <w:tcW w:w="4535" w:type="dxa"/>
          </w:tcPr>
          <w:p w14:paraId="5DE87F2D" w14:textId="0758A4E9" w:rsidR="00E0461C" w:rsidRPr="003A5FE7" w:rsidRDefault="00E0461C" w:rsidP="00E0461C">
            <w:pPr>
              <w:pStyle w:val="Subtitle"/>
              <w:rPr>
                <w:rStyle w:val="Emphasis"/>
              </w:rPr>
            </w:pPr>
            <w:r w:rsidRPr="00151147">
              <w:t>509,101,061</w:t>
            </w:r>
          </w:p>
        </w:tc>
      </w:tr>
      <w:tr w:rsidR="00E0461C" w:rsidRPr="008650E9" w14:paraId="08AD23A3" w14:textId="77777777" w:rsidTr="00F31956">
        <w:tc>
          <w:tcPr>
            <w:tcW w:w="4535" w:type="dxa"/>
          </w:tcPr>
          <w:p w14:paraId="00805F08" w14:textId="77777777" w:rsidR="00E0461C" w:rsidRPr="003A5FE7" w:rsidRDefault="00E0461C" w:rsidP="00E0461C">
            <w:pPr>
              <w:pStyle w:val="Subtitle"/>
              <w:rPr>
                <w:rStyle w:val="Emphasis"/>
              </w:rPr>
            </w:pPr>
          </w:p>
        </w:tc>
        <w:tc>
          <w:tcPr>
            <w:tcW w:w="4535" w:type="dxa"/>
          </w:tcPr>
          <w:p w14:paraId="57CA585F" w14:textId="1F9E1401" w:rsidR="00E0461C" w:rsidRPr="003A5FE7" w:rsidRDefault="00E0461C" w:rsidP="00E0461C">
            <w:pPr>
              <w:pStyle w:val="Subtitle"/>
            </w:pPr>
            <w:r w:rsidRPr="00151147">
              <w:t>$513,670,325</w:t>
            </w:r>
          </w:p>
        </w:tc>
      </w:tr>
    </w:tbl>
    <w:p w14:paraId="753CCB1A" w14:textId="77777777" w:rsidR="006800C7" w:rsidRDefault="006800C7" w:rsidP="006800C7"/>
    <w:tbl>
      <w:tblPr>
        <w:tblStyle w:val="Style1"/>
        <w:tblW w:w="0" w:type="auto"/>
        <w:tblLook w:val="04A0" w:firstRow="1" w:lastRow="0" w:firstColumn="1" w:lastColumn="0" w:noHBand="0" w:noVBand="1"/>
      </w:tblPr>
      <w:tblGrid>
        <w:gridCol w:w="4535"/>
        <w:gridCol w:w="4535"/>
      </w:tblGrid>
      <w:tr w:rsidR="006800C7" w:rsidRPr="00832D48" w14:paraId="51B1165D" w14:textId="77777777" w:rsidTr="00F31956">
        <w:trPr>
          <w:cnfStyle w:val="100000000000" w:firstRow="1" w:lastRow="0" w:firstColumn="0" w:lastColumn="0" w:oddVBand="0" w:evenVBand="0" w:oddHBand="0" w:evenHBand="0" w:firstRowFirstColumn="0" w:firstRowLastColumn="0" w:lastRowFirstColumn="0" w:lastRowLastColumn="0"/>
        </w:trPr>
        <w:tc>
          <w:tcPr>
            <w:tcW w:w="9070" w:type="dxa"/>
            <w:gridSpan w:val="2"/>
          </w:tcPr>
          <w:p w14:paraId="384888B3" w14:textId="77777777" w:rsidR="006800C7" w:rsidRDefault="006800C7" w:rsidP="00F31956">
            <w:pPr>
              <w:pStyle w:val="Subtitle"/>
              <w:rPr>
                <w:rStyle w:val="Emphasis"/>
              </w:rPr>
            </w:pPr>
          </w:p>
        </w:tc>
      </w:tr>
      <w:tr w:rsidR="006800C7" w:rsidRPr="00832D48" w14:paraId="3B681AFE" w14:textId="77777777" w:rsidTr="00F31956">
        <w:tc>
          <w:tcPr>
            <w:tcW w:w="9070" w:type="dxa"/>
            <w:gridSpan w:val="2"/>
          </w:tcPr>
          <w:p w14:paraId="11B3D7BD" w14:textId="77777777" w:rsidR="006800C7" w:rsidRPr="00DB7CB2" w:rsidRDefault="006800C7" w:rsidP="00F31956">
            <w:pPr>
              <w:pStyle w:val="Subtitle"/>
              <w:rPr>
                <w:rStyle w:val="Strong"/>
              </w:rPr>
            </w:pPr>
            <w:r w:rsidRPr="00DB7CB2">
              <w:rPr>
                <w:rStyle w:val="Strong"/>
              </w:rPr>
              <w:t xml:space="preserve">Regional Air  </w:t>
            </w:r>
          </w:p>
        </w:tc>
      </w:tr>
      <w:tr w:rsidR="006C3BB3" w:rsidRPr="008650E9" w14:paraId="3E8088A8" w14:textId="77777777" w:rsidTr="00F31956">
        <w:tc>
          <w:tcPr>
            <w:tcW w:w="4535" w:type="dxa"/>
          </w:tcPr>
          <w:p w14:paraId="23E057FE" w14:textId="446D572C" w:rsidR="006C3BB3" w:rsidRPr="00514AA1" w:rsidRDefault="006C3BB3" w:rsidP="006C3BB3">
            <w:pPr>
              <w:pStyle w:val="Subtitle"/>
              <w:rPr>
                <w:rStyle w:val="Emphasis"/>
              </w:rPr>
            </w:pPr>
            <w:r w:rsidRPr="008750E9">
              <w:t>Qantas Airways Ltd ACN 009 661 901</w:t>
            </w:r>
          </w:p>
        </w:tc>
        <w:tc>
          <w:tcPr>
            <w:tcW w:w="4535" w:type="dxa"/>
          </w:tcPr>
          <w:p w14:paraId="709C7D51" w14:textId="2DBE075B" w:rsidR="006C3BB3" w:rsidRPr="00514AA1" w:rsidRDefault="006C3BB3" w:rsidP="006C3BB3">
            <w:pPr>
              <w:pStyle w:val="Subtitle"/>
              <w:rPr>
                <w:rStyle w:val="Emphasis"/>
              </w:rPr>
            </w:pPr>
            <w:r w:rsidRPr="008750E9">
              <w:t>3,176,373</w:t>
            </w:r>
          </w:p>
        </w:tc>
      </w:tr>
      <w:tr w:rsidR="006C3BB3" w:rsidRPr="008650E9" w14:paraId="1F00FBC8" w14:textId="77777777" w:rsidTr="00F31956">
        <w:tc>
          <w:tcPr>
            <w:tcW w:w="4535" w:type="dxa"/>
          </w:tcPr>
          <w:p w14:paraId="6407752A" w14:textId="4D5BD958" w:rsidR="006C3BB3" w:rsidRPr="00514AA1" w:rsidRDefault="006C3BB3" w:rsidP="006C3BB3">
            <w:pPr>
              <w:pStyle w:val="Subtitle"/>
              <w:rPr>
                <w:rStyle w:val="Emphasis"/>
              </w:rPr>
            </w:pPr>
            <w:r w:rsidRPr="008750E9">
              <w:t>Regional Express Pty Ltd ACN 101 325 642</w:t>
            </w:r>
          </w:p>
        </w:tc>
        <w:tc>
          <w:tcPr>
            <w:tcW w:w="4535" w:type="dxa"/>
          </w:tcPr>
          <w:p w14:paraId="0D26A7D3" w14:textId="434108C5" w:rsidR="006C3BB3" w:rsidRPr="00514AA1" w:rsidRDefault="006C3BB3" w:rsidP="006C3BB3">
            <w:pPr>
              <w:pStyle w:val="Subtitle"/>
              <w:rPr>
                <w:rStyle w:val="Emphasis"/>
              </w:rPr>
            </w:pPr>
            <w:r w:rsidRPr="008750E9">
              <w:t>8,847,161</w:t>
            </w:r>
          </w:p>
        </w:tc>
      </w:tr>
      <w:tr w:rsidR="006C3BB3" w:rsidRPr="008650E9" w14:paraId="29C95199" w14:textId="77777777" w:rsidTr="00F31956">
        <w:tc>
          <w:tcPr>
            <w:tcW w:w="4535" w:type="dxa"/>
          </w:tcPr>
          <w:p w14:paraId="03C7EEFE" w14:textId="0BD47AFE" w:rsidR="006C3BB3" w:rsidRPr="00514AA1" w:rsidRDefault="006C3BB3" w:rsidP="006C3BB3">
            <w:pPr>
              <w:pStyle w:val="Subtitle"/>
              <w:rPr>
                <w:rStyle w:val="Emphasis"/>
              </w:rPr>
            </w:pPr>
            <w:r w:rsidRPr="008750E9">
              <w:t>Skytrans Pty Ltd ACN 100 751 139</w:t>
            </w:r>
          </w:p>
        </w:tc>
        <w:tc>
          <w:tcPr>
            <w:tcW w:w="4535" w:type="dxa"/>
          </w:tcPr>
          <w:p w14:paraId="282836C1" w14:textId="33E53340" w:rsidR="006C3BB3" w:rsidRPr="00514AA1" w:rsidRDefault="006C3BB3" w:rsidP="006C3BB3">
            <w:pPr>
              <w:pStyle w:val="Subtitle"/>
              <w:rPr>
                <w:rStyle w:val="Emphasis"/>
              </w:rPr>
            </w:pPr>
            <w:r w:rsidRPr="008750E9">
              <w:t>929,466</w:t>
            </w:r>
          </w:p>
        </w:tc>
      </w:tr>
      <w:tr w:rsidR="006C3BB3" w:rsidRPr="008650E9" w14:paraId="27460DB1" w14:textId="77777777" w:rsidTr="00F31956">
        <w:tc>
          <w:tcPr>
            <w:tcW w:w="4535" w:type="dxa"/>
          </w:tcPr>
          <w:p w14:paraId="2B4C1900" w14:textId="47D8F034" w:rsidR="006C3BB3" w:rsidRPr="00514AA1" w:rsidRDefault="006C3BB3" w:rsidP="006C3BB3">
            <w:pPr>
              <w:pStyle w:val="Subtitle"/>
              <w:rPr>
                <w:rStyle w:val="Emphasis"/>
              </w:rPr>
            </w:pPr>
            <w:r w:rsidRPr="008750E9">
              <w:t>Hinterland Aviation Pty Ltd ACN 010 617 893</w:t>
            </w:r>
          </w:p>
        </w:tc>
        <w:tc>
          <w:tcPr>
            <w:tcW w:w="4535" w:type="dxa"/>
          </w:tcPr>
          <w:p w14:paraId="2167D43E" w14:textId="2314EC29" w:rsidR="006C3BB3" w:rsidRPr="00514AA1" w:rsidRDefault="006C3BB3" w:rsidP="006C3BB3">
            <w:pPr>
              <w:pStyle w:val="Subtitle"/>
            </w:pPr>
            <w:r w:rsidRPr="008750E9">
              <w:t>39,327</w:t>
            </w:r>
          </w:p>
        </w:tc>
      </w:tr>
      <w:tr w:rsidR="006C3BB3" w:rsidRPr="008650E9" w14:paraId="749C253B" w14:textId="77777777" w:rsidTr="00F31956">
        <w:tc>
          <w:tcPr>
            <w:tcW w:w="4535" w:type="dxa"/>
          </w:tcPr>
          <w:p w14:paraId="4587F77F" w14:textId="77777777" w:rsidR="006C3BB3" w:rsidRPr="00514AA1" w:rsidRDefault="006C3BB3" w:rsidP="006C3BB3">
            <w:pPr>
              <w:pStyle w:val="Subtitle"/>
              <w:rPr>
                <w:rStyle w:val="Emphasis"/>
              </w:rPr>
            </w:pPr>
          </w:p>
        </w:tc>
        <w:tc>
          <w:tcPr>
            <w:tcW w:w="4535" w:type="dxa"/>
          </w:tcPr>
          <w:p w14:paraId="0C2EA5D2" w14:textId="52EB614C" w:rsidR="006C3BB3" w:rsidRPr="00514AA1" w:rsidRDefault="006C3BB3" w:rsidP="006C3BB3">
            <w:pPr>
              <w:pStyle w:val="Subtitle"/>
            </w:pPr>
            <w:r w:rsidRPr="008750E9">
              <w:t>$12,992,327</w:t>
            </w:r>
          </w:p>
        </w:tc>
      </w:tr>
    </w:tbl>
    <w:p w14:paraId="254D2E43" w14:textId="77777777" w:rsidR="006800C7" w:rsidRDefault="006800C7" w:rsidP="006800C7"/>
    <w:tbl>
      <w:tblPr>
        <w:tblStyle w:val="Style1"/>
        <w:tblW w:w="0" w:type="auto"/>
        <w:tblLook w:val="04A0" w:firstRow="1" w:lastRow="0" w:firstColumn="1" w:lastColumn="0" w:noHBand="0" w:noVBand="1"/>
      </w:tblPr>
      <w:tblGrid>
        <w:gridCol w:w="4535"/>
        <w:gridCol w:w="4535"/>
      </w:tblGrid>
      <w:tr w:rsidR="006800C7" w14:paraId="5920214D" w14:textId="77777777" w:rsidTr="00F31956">
        <w:trPr>
          <w:cnfStyle w:val="100000000000" w:firstRow="1" w:lastRow="0" w:firstColumn="0" w:lastColumn="0" w:oddVBand="0" w:evenVBand="0" w:oddHBand="0" w:evenHBand="0" w:firstRowFirstColumn="0" w:firstRowLastColumn="0" w:lastRowFirstColumn="0" w:lastRowLastColumn="0"/>
        </w:trPr>
        <w:tc>
          <w:tcPr>
            <w:tcW w:w="4535" w:type="dxa"/>
          </w:tcPr>
          <w:p w14:paraId="1CF4947D" w14:textId="77777777" w:rsidR="006800C7" w:rsidRPr="00514AA1" w:rsidRDefault="006800C7" w:rsidP="00F31956"/>
        </w:tc>
        <w:tc>
          <w:tcPr>
            <w:tcW w:w="4535" w:type="dxa"/>
          </w:tcPr>
          <w:p w14:paraId="6DF13236" w14:textId="77777777" w:rsidR="006800C7" w:rsidRPr="00514AA1" w:rsidRDefault="006800C7" w:rsidP="00F31956"/>
        </w:tc>
      </w:tr>
      <w:tr w:rsidR="006800C7" w14:paraId="6311A014" w14:textId="77777777" w:rsidTr="00F31956">
        <w:tc>
          <w:tcPr>
            <w:tcW w:w="9070" w:type="dxa"/>
            <w:gridSpan w:val="2"/>
          </w:tcPr>
          <w:p w14:paraId="40AA5F2A" w14:textId="77777777" w:rsidR="006800C7" w:rsidRPr="00DB7CB2" w:rsidRDefault="006800C7" w:rsidP="00F31956">
            <w:pPr>
              <w:pStyle w:val="Subtitle"/>
              <w:rPr>
                <w:rStyle w:val="Strong"/>
              </w:rPr>
            </w:pPr>
            <w:r w:rsidRPr="00DB7CB2">
              <w:rPr>
                <w:rStyle w:val="Strong"/>
              </w:rPr>
              <w:t xml:space="preserve">Long Distance Coach  </w:t>
            </w:r>
          </w:p>
        </w:tc>
      </w:tr>
      <w:tr w:rsidR="006C3BB3" w14:paraId="688E8664" w14:textId="77777777" w:rsidTr="00F31956">
        <w:tc>
          <w:tcPr>
            <w:tcW w:w="4535" w:type="dxa"/>
          </w:tcPr>
          <w:p w14:paraId="36370698" w14:textId="4B9DC589" w:rsidR="006C3BB3" w:rsidRPr="00D37BEE" w:rsidRDefault="006C3BB3" w:rsidP="006C3BB3">
            <w:pPr>
              <w:pStyle w:val="Subtitle"/>
              <w:rPr>
                <w:rStyle w:val="Emphasis"/>
              </w:rPr>
            </w:pPr>
            <w:r w:rsidRPr="00062BED">
              <w:t>Bowen Transit Pty Ltd ACN 105 749 602</w:t>
            </w:r>
          </w:p>
        </w:tc>
        <w:tc>
          <w:tcPr>
            <w:tcW w:w="4535" w:type="dxa"/>
          </w:tcPr>
          <w:p w14:paraId="7804BB33" w14:textId="40C9E786" w:rsidR="006C3BB3" w:rsidRPr="00D37BEE" w:rsidRDefault="006C3BB3" w:rsidP="006C3BB3">
            <w:pPr>
              <w:pStyle w:val="Subtitle"/>
              <w:rPr>
                <w:rStyle w:val="Emphasis"/>
              </w:rPr>
            </w:pPr>
            <w:r w:rsidRPr="00062BED">
              <w:t>115,091</w:t>
            </w:r>
          </w:p>
        </w:tc>
      </w:tr>
      <w:tr w:rsidR="006C3BB3" w14:paraId="6EB7DC0C" w14:textId="77777777" w:rsidTr="00F31956">
        <w:tc>
          <w:tcPr>
            <w:tcW w:w="4535" w:type="dxa"/>
          </w:tcPr>
          <w:p w14:paraId="3EC695B3" w14:textId="1EBC292A" w:rsidR="006C3BB3" w:rsidRPr="00D37BEE" w:rsidRDefault="006C3BB3" w:rsidP="006C3BB3">
            <w:pPr>
              <w:pStyle w:val="Subtitle"/>
              <w:rPr>
                <w:rStyle w:val="Emphasis"/>
              </w:rPr>
            </w:pPr>
            <w:r w:rsidRPr="00062BED">
              <w:t>Greyhound australia Pty Ltd ACN 104 326 383</w:t>
            </w:r>
          </w:p>
        </w:tc>
        <w:tc>
          <w:tcPr>
            <w:tcW w:w="4535" w:type="dxa"/>
          </w:tcPr>
          <w:p w14:paraId="6369D907" w14:textId="6A0E8390" w:rsidR="006C3BB3" w:rsidRPr="00D37BEE" w:rsidRDefault="006C3BB3" w:rsidP="006C3BB3">
            <w:pPr>
              <w:pStyle w:val="Subtitle"/>
              <w:rPr>
                <w:rStyle w:val="Emphasis"/>
              </w:rPr>
            </w:pPr>
            <w:r w:rsidRPr="00062BED">
              <w:t>630,825</w:t>
            </w:r>
          </w:p>
        </w:tc>
      </w:tr>
      <w:tr w:rsidR="006C3BB3" w14:paraId="31ECCCAA" w14:textId="77777777" w:rsidTr="00F31956">
        <w:tc>
          <w:tcPr>
            <w:tcW w:w="4535" w:type="dxa"/>
          </w:tcPr>
          <w:p w14:paraId="1E81B7E4" w14:textId="517F3BBA" w:rsidR="006C3BB3" w:rsidRPr="00D37BEE" w:rsidRDefault="006C3BB3" w:rsidP="006C3BB3">
            <w:pPr>
              <w:pStyle w:val="Subtitle"/>
              <w:rPr>
                <w:rStyle w:val="Emphasis"/>
              </w:rPr>
            </w:pPr>
            <w:r w:rsidRPr="00062BED">
              <w:t>Mackay Transit Coaches Pty Ltd ACN 050 416 227</w:t>
            </w:r>
          </w:p>
        </w:tc>
        <w:tc>
          <w:tcPr>
            <w:tcW w:w="4535" w:type="dxa"/>
          </w:tcPr>
          <w:p w14:paraId="71785F4C" w14:textId="7813B04F" w:rsidR="006C3BB3" w:rsidRPr="00D37BEE" w:rsidRDefault="006C3BB3" w:rsidP="006C3BB3">
            <w:pPr>
              <w:pStyle w:val="Subtitle"/>
              <w:rPr>
                <w:rStyle w:val="Emphasis"/>
              </w:rPr>
            </w:pPr>
            <w:r w:rsidRPr="00062BED">
              <w:t>512,161</w:t>
            </w:r>
          </w:p>
        </w:tc>
      </w:tr>
      <w:tr w:rsidR="006C3BB3" w14:paraId="3F13BAAE" w14:textId="77777777" w:rsidTr="00F31956">
        <w:tc>
          <w:tcPr>
            <w:tcW w:w="4535" w:type="dxa"/>
          </w:tcPr>
          <w:p w14:paraId="64745884" w14:textId="426CE887" w:rsidR="006C3BB3" w:rsidRPr="00D37BEE" w:rsidRDefault="006C3BB3" w:rsidP="006C3BB3">
            <w:pPr>
              <w:pStyle w:val="Subtitle"/>
              <w:rPr>
                <w:rStyle w:val="Emphasis"/>
              </w:rPr>
            </w:pPr>
            <w:r w:rsidRPr="00062BED">
              <w:t>North Burnett Regional Council ABN 23 439 388 197</w:t>
            </w:r>
          </w:p>
        </w:tc>
        <w:tc>
          <w:tcPr>
            <w:tcW w:w="4535" w:type="dxa"/>
          </w:tcPr>
          <w:p w14:paraId="5E74BA16" w14:textId="0711AEF9" w:rsidR="006C3BB3" w:rsidRPr="00D37BEE" w:rsidRDefault="006C3BB3" w:rsidP="006C3BB3">
            <w:pPr>
              <w:pStyle w:val="Subtitle"/>
              <w:rPr>
                <w:rStyle w:val="Emphasis"/>
              </w:rPr>
            </w:pPr>
            <w:r w:rsidRPr="00062BED">
              <w:t>362,073</w:t>
            </w:r>
          </w:p>
        </w:tc>
      </w:tr>
      <w:tr w:rsidR="006C3BB3" w14:paraId="7711228A" w14:textId="77777777" w:rsidTr="00F31956">
        <w:tc>
          <w:tcPr>
            <w:tcW w:w="4535" w:type="dxa"/>
          </w:tcPr>
          <w:p w14:paraId="72ED7322" w14:textId="572DA016" w:rsidR="006C3BB3" w:rsidRPr="00D37BEE" w:rsidRDefault="006C3BB3" w:rsidP="006C3BB3">
            <w:pPr>
              <w:pStyle w:val="Subtitle"/>
              <w:rPr>
                <w:rStyle w:val="Emphasis"/>
              </w:rPr>
            </w:pPr>
            <w:r w:rsidRPr="00062BED">
              <w:t>Toowoomba TransitPty Ltd ACN 135 249 062 t/a Bus Queensland Toowoomba</w:t>
            </w:r>
          </w:p>
        </w:tc>
        <w:tc>
          <w:tcPr>
            <w:tcW w:w="4535" w:type="dxa"/>
          </w:tcPr>
          <w:p w14:paraId="1A66DBF6" w14:textId="5A9CC9F8" w:rsidR="006C3BB3" w:rsidRPr="00D37BEE" w:rsidRDefault="006C3BB3" w:rsidP="006C3BB3">
            <w:pPr>
              <w:pStyle w:val="Subtitle"/>
              <w:rPr>
                <w:rStyle w:val="Emphasis"/>
              </w:rPr>
            </w:pPr>
            <w:r w:rsidRPr="00062BED">
              <w:t>5,115,916</w:t>
            </w:r>
          </w:p>
        </w:tc>
      </w:tr>
      <w:tr w:rsidR="006C3BB3" w14:paraId="602CA1DC" w14:textId="77777777" w:rsidTr="00F31956">
        <w:tc>
          <w:tcPr>
            <w:tcW w:w="4535" w:type="dxa"/>
          </w:tcPr>
          <w:p w14:paraId="6766EE7C" w14:textId="45666955" w:rsidR="006C3BB3" w:rsidRPr="00D37BEE" w:rsidRDefault="006C3BB3" w:rsidP="006C3BB3">
            <w:pPr>
              <w:pStyle w:val="Subtitle"/>
              <w:rPr>
                <w:rStyle w:val="Emphasis"/>
              </w:rPr>
            </w:pPr>
            <w:r w:rsidRPr="00062BED">
              <w:t>Trans North Pty Ltd ACN 074 538 159 t/a Trans North Bus and Coach Service</w:t>
            </w:r>
          </w:p>
        </w:tc>
        <w:tc>
          <w:tcPr>
            <w:tcW w:w="4535" w:type="dxa"/>
          </w:tcPr>
          <w:p w14:paraId="72D7E9AE" w14:textId="2FC4F218" w:rsidR="006C3BB3" w:rsidRPr="00D37BEE" w:rsidRDefault="006C3BB3" w:rsidP="006C3BB3">
            <w:pPr>
              <w:pStyle w:val="Subtitle"/>
              <w:rPr>
                <w:rStyle w:val="Emphasis"/>
              </w:rPr>
            </w:pPr>
            <w:r w:rsidRPr="00062BED">
              <w:t>342,104</w:t>
            </w:r>
          </w:p>
        </w:tc>
      </w:tr>
      <w:tr w:rsidR="006C3BB3" w14:paraId="1A502C6C" w14:textId="77777777" w:rsidTr="00F31956">
        <w:tc>
          <w:tcPr>
            <w:tcW w:w="4535" w:type="dxa"/>
          </w:tcPr>
          <w:p w14:paraId="2B4A5342" w14:textId="77777777" w:rsidR="006C3BB3" w:rsidRPr="00D37BEE" w:rsidRDefault="006C3BB3" w:rsidP="006C3BB3">
            <w:pPr>
              <w:pStyle w:val="Subtitle"/>
              <w:rPr>
                <w:rStyle w:val="Emphasis"/>
              </w:rPr>
            </w:pPr>
          </w:p>
        </w:tc>
        <w:tc>
          <w:tcPr>
            <w:tcW w:w="4535" w:type="dxa"/>
          </w:tcPr>
          <w:p w14:paraId="5D68D8C0" w14:textId="5637186C" w:rsidR="006C3BB3" w:rsidRPr="00D37BEE" w:rsidRDefault="006C3BB3" w:rsidP="006C3BB3">
            <w:pPr>
              <w:pStyle w:val="Subtitle"/>
              <w:rPr>
                <w:rStyle w:val="Emphasis"/>
              </w:rPr>
            </w:pPr>
            <w:r w:rsidRPr="00062BED">
              <w:t>$7,078,170</w:t>
            </w:r>
          </w:p>
        </w:tc>
      </w:tr>
    </w:tbl>
    <w:p w14:paraId="10C4E994" w14:textId="77777777" w:rsidR="006800C7" w:rsidRDefault="006800C7" w:rsidP="006800C7"/>
    <w:tbl>
      <w:tblPr>
        <w:tblStyle w:val="Style1"/>
        <w:tblW w:w="0" w:type="auto"/>
        <w:tblLook w:val="04A0" w:firstRow="1" w:lastRow="0" w:firstColumn="1" w:lastColumn="0" w:noHBand="0" w:noVBand="1"/>
      </w:tblPr>
      <w:tblGrid>
        <w:gridCol w:w="4535"/>
        <w:gridCol w:w="4535"/>
      </w:tblGrid>
      <w:tr w:rsidR="006800C7" w:rsidRPr="00832D48" w14:paraId="067FC1EC" w14:textId="77777777" w:rsidTr="00F31956">
        <w:trPr>
          <w:cnfStyle w:val="100000000000" w:firstRow="1" w:lastRow="0" w:firstColumn="0" w:lastColumn="0" w:oddVBand="0" w:evenVBand="0" w:oddHBand="0" w:evenHBand="0" w:firstRowFirstColumn="0" w:firstRowLastColumn="0" w:lastRowFirstColumn="0" w:lastRowLastColumn="0"/>
        </w:trPr>
        <w:tc>
          <w:tcPr>
            <w:tcW w:w="9070" w:type="dxa"/>
            <w:gridSpan w:val="2"/>
          </w:tcPr>
          <w:p w14:paraId="6D418B09" w14:textId="77777777" w:rsidR="006800C7" w:rsidRPr="00740B49" w:rsidRDefault="006800C7" w:rsidP="00F31956">
            <w:pPr>
              <w:pStyle w:val="Subtitle"/>
              <w:rPr>
                <w:rStyle w:val="Emphasis"/>
              </w:rPr>
            </w:pPr>
          </w:p>
        </w:tc>
      </w:tr>
      <w:tr w:rsidR="006800C7" w:rsidRPr="00832D48" w14:paraId="09891788" w14:textId="77777777" w:rsidTr="00F31956">
        <w:tc>
          <w:tcPr>
            <w:tcW w:w="9070" w:type="dxa"/>
            <w:gridSpan w:val="2"/>
          </w:tcPr>
          <w:p w14:paraId="6E3F32B4" w14:textId="77777777" w:rsidR="006800C7" w:rsidRPr="00DB7CB2" w:rsidRDefault="006800C7" w:rsidP="00F31956">
            <w:pPr>
              <w:pStyle w:val="Subtitle"/>
              <w:rPr>
                <w:rStyle w:val="Strong"/>
              </w:rPr>
            </w:pPr>
            <w:r w:rsidRPr="00DB7CB2">
              <w:rPr>
                <w:rStyle w:val="Strong"/>
              </w:rPr>
              <w:t xml:space="preserve">Regional Railbus   </w:t>
            </w:r>
          </w:p>
        </w:tc>
      </w:tr>
      <w:tr w:rsidR="006C3BB3" w:rsidRPr="008650E9" w14:paraId="698010DA" w14:textId="77777777" w:rsidTr="00F31956">
        <w:tc>
          <w:tcPr>
            <w:tcW w:w="4535" w:type="dxa"/>
          </w:tcPr>
          <w:p w14:paraId="6B5884DC" w14:textId="32EC5EC9" w:rsidR="006C3BB3" w:rsidRPr="00AE68A0" w:rsidRDefault="006C3BB3" w:rsidP="006C3BB3">
            <w:pPr>
              <w:pStyle w:val="Subtitle"/>
              <w:rPr>
                <w:rStyle w:val="Emphasis"/>
              </w:rPr>
            </w:pPr>
            <w:r w:rsidRPr="00D302C8">
              <w:t>TD &amp; GR Eckel Pty Ltd ACN 074 098 114</w:t>
            </w:r>
          </w:p>
        </w:tc>
        <w:tc>
          <w:tcPr>
            <w:tcW w:w="4535" w:type="dxa"/>
          </w:tcPr>
          <w:p w14:paraId="3DEDDE90" w14:textId="75EC99C0" w:rsidR="006C3BB3" w:rsidRPr="00AE68A0" w:rsidRDefault="006C3BB3" w:rsidP="006C3BB3">
            <w:pPr>
              <w:pStyle w:val="Subtitle"/>
              <w:rPr>
                <w:rStyle w:val="Emphasis"/>
              </w:rPr>
            </w:pPr>
            <w:r w:rsidRPr="00D302C8">
              <w:t>194,762</w:t>
            </w:r>
          </w:p>
        </w:tc>
      </w:tr>
      <w:tr w:rsidR="006C3BB3" w:rsidRPr="008650E9" w14:paraId="54734F84" w14:textId="77777777" w:rsidTr="00F31956">
        <w:tc>
          <w:tcPr>
            <w:tcW w:w="4535" w:type="dxa"/>
          </w:tcPr>
          <w:p w14:paraId="71137387" w14:textId="176093DF" w:rsidR="006C3BB3" w:rsidRPr="00AE68A0" w:rsidRDefault="006C3BB3" w:rsidP="006C3BB3">
            <w:pPr>
              <w:pStyle w:val="Subtitle"/>
              <w:rPr>
                <w:rStyle w:val="Emphasis"/>
              </w:rPr>
            </w:pPr>
            <w:r w:rsidRPr="00D302C8">
              <w:t>Outback Aussie Tours Pty Ltd ACN 010 813 313</w:t>
            </w:r>
          </w:p>
        </w:tc>
        <w:tc>
          <w:tcPr>
            <w:tcW w:w="4535" w:type="dxa"/>
          </w:tcPr>
          <w:p w14:paraId="1243F74F" w14:textId="2BF04D12" w:rsidR="006C3BB3" w:rsidRPr="00AE68A0" w:rsidRDefault="006C3BB3" w:rsidP="006C3BB3">
            <w:pPr>
              <w:pStyle w:val="Subtitle"/>
              <w:rPr>
                <w:rStyle w:val="Emphasis"/>
              </w:rPr>
            </w:pPr>
            <w:r w:rsidRPr="00D302C8">
              <w:t>101,829</w:t>
            </w:r>
          </w:p>
        </w:tc>
      </w:tr>
      <w:tr w:rsidR="006C3BB3" w:rsidRPr="008650E9" w14:paraId="71B2F975" w14:textId="77777777" w:rsidTr="00F31956">
        <w:tc>
          <w:tcPr>
            <w:tcW w:w="4535" w:type="dxa"/>
          </w:tcPr>
          <w:p w14:paraId="66BE4F2C" w14:textId="77777777" w:rsidR="006C3BB3" w:rsidRPr="00AE68A0" w:rsidRDefault="006C3BB3" w:rsidP="006C3BB3">
            <w:pPr>
              <w:pStyle w:val="Subtitle"/>
              <w:rPr>
                <w:rStyle w:val="Emphasis"/>
              </w:rPr>
            </w:pPr>
          </w:p>
        </w:tc>
        <w:tc>
          <w:tcPr>
            <w:tcW w:w="4535" w:type="dxa"/>
          </w:tcPr>
          <w:p w14:paraId="2DF02B1E" w14:textId="15E71BC3" w:rsidR="006C3BB3" w:rsidRPr="00AE68A0" w:rsidRDefault="006C3BB3" w:rsidP="006C3BB3">
            <w:pPr>
              <w:pStyle w:val="Subtitle"/>
              <w:rPr>
                <w:rStyle w:val="Emphasis"/>
              </w:rPr>
            </w:pPr>
            <w:r w:rsidRPr="00D302C8">
              <w:t>$296,591</w:t>
            </w:r>
          </w:p>
        </w:tc>
      </w:tr>
    </w:tbl>
    <w:p w14:paraId="7A18FC5B" w14:textId="77777777" w:rsidR="006800C7" w:rsidRDefault="006800C7" w:rsidP="006800C7"/>
    <w:tbl>
      <w:tblPr>
        <w:tblStyle w:val="Style1"/>
        <w:tblW w:w="0" w:type="auto"/>
        <w:tblLook w:val="04A0" w:firstRow="1" w:lastRow="0" w:firstColumn="1" w:lastColumn="0" w:noHBand="0" w:noVBand="1"/>
      </w:tblPr>
      <w:tblGrid>
        <w:gridCol w:w="4535"/>
        <w:gridCol w:w="4535"/>
      </w:tblGrid>
      <w:tr w:rsidR="006800C7" w14:paraId="09FA3E40" w14:textId="77777777" w:rsidTr="00F31956">
        <w:trPr>
          <w:cnfStyle w:val="100000000000" w:firstRow="1" w:lastRow="0" w:firstColumn="0" w:lastColumn="0" w:oddVBand="0" w:evenVBand="0" w:oddHBand="0" w:evenHBand="0" w:firstRowFirstColumn="0" w:firstRowLastColumn="0" w:lastRowFirstColumn="0" w:lastRowLastColumn="0"/>
        </w:trPr>
        <w:tc>
          <w:tcPr>
            <w:tcW w:w="4535" w:type="dxa"/>
          </w:tcPr>
          <w:p w14:paraId="2B961CD5" w14:textId="77777777" w:rsidR="006800C7" w:rsidRPr="00AE68A0" w:rsidRDefault="006800C7" w:rsidP="00F31956"/>
        </w:tc>
        <w:tc>
          <w:tcPr>
            <w:tcW w:w="4535" w:type="dxa"/>
          </w:tcPr>
          <w:p w14:paraId="38DCCEE7" w14:textId="77777777" w:rsidR="006800C7" w:rsidRPr="00AE68A0" w:rsidRDefault="006800C7" w:rsidP="00F31956"/>
        </w:tc>
      </w:tr>
      <w:tr w:rsidR="006800C7" w14:paraId="1901766B" w14:textId="77777777" w:rsidTr="00F31956">
        <w:tc>
          <w:tcPr>
            <w:tcW w:w="4535" w:type="dxa"/>
          </w:tcPr>
          <w:p w14:paraId="6032D7EB" w14:textId="77777777" w:rsidR="006800C7" w:rsidRPr="00DB7CB2" w:rsidRDefault="006800C7" w:rsidP="00F31956">
            <w:pPr>
              <w:pStyle w:val="Subtitle"/>
              <w:rPr>
                <w:rStyle w:val="Strong"/>
              </w:rPr>
            </w:pPr>
            <w:r w:rsidRPr="00DB7CB2">
              <w:rPr>
                <w:rStyle w:val="Strong"/>
              </w:rPr>
              <w:t xml:space="preserve">Total Payments  </w:t>
            </w:r>
          </w:p>
        </w:tc>
        <w:tc>
          <w:tcPr>
            <w:tcW w:w="4535" w:type="dxa"/>
          </w:tcPr>
          <w:p w14:paraId="199234D4" w14:textId="308F1C57" w:rsidR="006800C7" w:rsidRPr="00DB7CB2" w:rsidRDefault="00D25152" w:rsidP="00F31956">
            <w:pPr>
              <w:pStyle w:val="Subtitle"/>
              <w:rPr>
                <w:rStyle w:val="Strong"/>
              </w:rPr>
            </w:pPr>
            <w:r w:rsidRPr="00D25152">
              <w:rPr>
                <w:rStyle w:val="Strong"/>
              </w:rPr>
              <w:t>$598,738,992</w:t>
            </w:r>
          </w:p>
        </w:tc>
      </w:tr>
    </w:tbl>
    <w:p w14:paraId="6828B2B2" w14:textId="77777777" w:rsidR="006800C7" w:rsidRDefault="006800C7" w:rsidP="006800C7">
      <w:pPr>
        <w:pStyle w:val="Heading2"/>
      </w:pPr>
      <w:r>
        <w:lastRenderedPageBreak/>
        <w:t xml:space="preserve">Queensland Government bodies (statutory bodies and other entities) </w:t>
      </w:r>
    </w:p>
    <w:p w14:paraId="7C5C4FF8" w14:textId="77777777" w:rsidR="006800C7" w:rsidRPr="00894A98" w:rsidRDefault="006800C7" w:rsidP="006800C7"/>
    <w:tbl>
      <w:tblPr>
        <w:tblStyle w:val="GridTable1Light-Accent3"/>
        <w:tblW w:w="0" w:type="auto"/>
        <w:tblLook w:val="04A0" w:firstRow="1" w:lastRow="0" w:firstColumn="1" w:lastColumn="0" w:noHBand="0" w:noVBand="1"/>
      </w:tblPr>
      <w:tblGrid>
        <w:gridCol w:w="1736"/>
        <w:gridCol w:w="1083"/>
        <w:gridCol w:w="1531"/>
        <w:gridCol w:w="1293"/>
        <w:gridCol w:w="1308"/>
        <w:gridCol w:w="2109"/>
      </w:tblGrid>
      <w:tr w:rsidR="006800C7" w:rsidRPr="00AF4C3D" w14:paraId="2ACA9964" w14:textId="77777777" w:rsidTr="00091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6"/>
            <w:hideMark/>
          </w:tcPr>
          <w:p w14:paraId="7C74E037" w14:textId="77777777" w:rsidR="006800C7" w:rsidRPr="00894A98" w:rsidRDefault="006800C7" w:rsidP="00F31956">
            <w:r w:rsidRPr="00894A98">
              <w:t>Public Transport Fares Advisory Panel</w:t>
            </w:r>
          </w:p>
        </w:tc>
      </w:tr>
      <w:tr w:rsidR="006800C7" w:rsidRPr="00AF4C3D" w14:paraId="27A6676F" w14:textId="77777777" w:rsidTr="000914A0">
        <w:tc>
          <w:tcPr>
            <w:cnfStyle w:val="001000000000" w:firstRow="0" w:lastRow="0" w:firstColumn="1" w:lastColumn="0" w:oddVBand="0" w:evenVBand="0" w:oddHBand="0" w:evenHBand="0" w:firstRowFirstColumn="0" w:firstRowLastColumn="0" w:lastRowFirstColumn="0" w:lastRowLastColumn="0"/>
            <w:tcW w:w="1736" w:type="dxa"/>
            <w:hideMark/>
          </w:tcPr>
          <w:p w14:paraId="396B4B19" w14:textId="77777777" w:rsidR="006800C7" w:rsidRPr="00894A98" w:rsidRDefault="006800C7" w:rsidP="00F31956">
            <w:r w:rsidRPr="00894A98">
              <w:t>Act or instrument</w:t>
            </w:r>
          </w:p>
        </w:tc>
        <w:tc>
          <w:tcPr>
            <w:tcW w:w="7324" w:type="dxa"/>
            <w:gridSpan w:val="5"/>
            <w:hideMark/>
          </w:tcPr>
          <w:p w14:paraId="642CD9A4"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Terms of Reference</w:t>
            </w:r>
          </w:p>
        </w:tc>
      </w:tr>
      <w:tr w:rsidR="006800C7" w:rsidRPr="00AF4C3D" w14:paraId="1FC3E3DC" w14:textId="77777777" w:rsidTr="000914A0">
        <w:tc>
          <w:tcPr>
            <w:cnfStyle w:val="001000000000" w:firstRow="0" w:lastRow="0" w:firstColumn="1" w:lastColumn="0" w:oddVBand="0" w:evenVBand="0" w:oddHBand="0" w:evenHBand="0" w:firstRowFirstColumn="0" w:firstRowLastColumn="0" w:lastRowFirstColumn="0" w:lastRowLastColumn="0"/>
            <w:tcW w:w="1736" w:type="dxa"/>
            <w:hideMark/>
          </w:tcPr>
          <w:p w14:paraId="35DAD4A8" w14:textId="77777777" w:rsidR="006800C7" w:rsidRPr="00894A98" w:rsidRDefault="006800C7" w:rsidP="00F31956">
            <w:r w:rsidRPr="00894A98">
              <w:t>Functions</w:t>
            </w:r>
          </w:p>
        </w:tc>
        <w:tc>
          <w:tcPr>
            <w:tcW w:w="7324" w:type="dxa"/>
            <w:gridSpan w:val="5"/>
            <w:hideMark/>
          </w:tcPr>
          <w:p w14:paraId="271D07E0" w14:textId="765710F9" w:rsidR="006800C7" w:rsidRPr="00894A98" w:rsidRDefault="000A1781" w:rsidP="00F31956">
            <w:pPr>
              <w:cnfStyle w:val="000000000000" w:firstRow="0" w:lastRow="0" w:firstColumn="0" w:lastColumn="0" w:oddVBand="0" w:evenVBand="0" w:oddHBand="0" w:evenHBand="0" w:firstRowFirstColumn="0" w:firstRowLastColumn="0" w:lastRowFirstColumn="0" w:lastRowLastColumn="0"/>
            </w:pPr>
            <w:r w:rsidRPr="000A1781">
              <w:t>The purpose of the Panel is to provide independent expert advice to the Queensland Government on changes it may propose to public transport fares, products, and ticketing in the future.</w:t>
            </w:r>
          </w:p>
        </w:tc>
      </w:tr>
      <w:tr w:rsidR="006800C7" w:rsidRPr="00AF4C3D" w14:paraId="68A840FF" w14:textId="77777777" w:rsidTr="000914A0">
        <w:tc>
          <w:tcPr>
            <w:cnfStyle w:val="001000000000" w:firstRow="0" w:lastRow="0" w:firstColumn="1" w:lastColumn="0" w:oddVBand="0" w:evenVBand="0" w:oddHBand="0" w:evenHBand="0" w:firstRowFirstColumn="0" w:firstRowLastColumn="0" w:lastRowFirstColumn="0" w:lastRowLastColumn="0"/>
            <w:tcW w:w="1736" w:type="dxa"/>
            <w:hideMark/>
          </w:tcPr>
          <w:p w14:paraId="39092D57" w14:textId="77777777" w:rsidR="006800C7" w:rsidRPr="00894A98" w:rsidRDefault="006800C7" w:rsidP="00F31956">
            <w:r w:rsidRPr="00894A98">
              <w:t>Achievements</w:t>
            </w:r>
          </w:p>
        </w:tc>
        <w:tc>
          <w:tcPr>
            <w:tcW w:w="7324" w:type="dxa"/>
            <w:gridSpan w:val="5"/>
            <w:hideMark/>
          </w:tcPr>
          <w:p w14:paraId="301D21D9" w14:textId="724D6521" w:rsidR="006800C7" w:rsidRPr="00894A98" w:rsidRDefault="005F5DEF" w:rsidP="00F31956">
            <w:pPr>
              <w:cnfStyle w:val="000000000000" w:firstRow="0" w:lastRow="0" w:firstColumn="0" w:lastColumn="0" w:oddVBand="0" w:evenVBand="0" w:oddHBand="0" w:evenHBand="0" w:firstRowFirstColumn="0" w:firstRowLastColumn="0" w:lastRowFirstColumn="0" w:lastRowLastColumn="0"/>
            </w:pPr>
            <w:r w:rsidRPr="005F5DEF">
              <w:t>The Panel met once during 2021–22 to consider and provide advice on fare policy proposals.</w:t>
            </w:r>
          </w:p>
        </w:tc>
      </w:tr>
      <w:tr w:rsidR="006800C7" w:rsidRPr="00AF4C3D" w14:paraId="71B9DDC6" w14:textId="77777777" w:rsidTr="000914A0">
        <w:tc>
          <w:tcPr>
            <w:cnfStyle w:val="001000000000" w:firstRow="0" w:lastRow="0" w:firstColumn="1" w:lastColumn="0" w:oddVBand="0" w:evenVBand="0" w:oddHBand="0" w:evenHBand="0" w:firstRowFirstColumn="0" w:firstRowLastColumn="0" w:lastRowFirstColumn="0" w:lastRowLastColumn="0"/>
            <w:tcW w:w="1736" w:type="dxa"/>
            <w:hideMark/>
          </w:tcPr>
          <w:p w14:paraId="19D25533" w14:textId="77777777" w:rsidR="006800C7" w:rsidRPr="00894A98" w:rsidRDefault="006800C7" w:rsidP="00F31956">
            <w:r w:rsidRPr="00894A98">
              <w:t>Financial reporting</w:t>
            </w:r>
          </w:p>
        </w:tc>
        <w:tc>
          <w:tcPr>
            <w:tcW w:w="7324" w:type="dxa"/>
            <w:gridSpan w:val="5"/>
            <w:hideMark/>
          </w:tcPr>
          <w:p w14:paraId="351B41D8" w14:textId="706CB7A8" w:rsidR="006800C7" w:rsidRPr="00894A98" w:rsidRDefault="007B0FF9" w:rsidP="00F31956">
            <w:pPr>
              <w:cnfStyle w:val="000000000000" w:firstRow="0" w:lastRow="0" w:firstColumn="0" w:lastColumn="0" w:oddVBand="0" w:evenVBand="0" w:oddHBand="0" w:evenHBand="0" w:firstRowFirstColumn="0" w:firstRowLastColumn="0" w:lastRowFirstColumn="0" w:lastRowLastColumn="0"/>
            </w:pPr>
            <w:r w:rsidRPr="007B0FF9">
              <w:t>Transactions for the Public Transport Fares Advisory Panel are accounted for as part of the Department of Transport and Main Roads Financial Statements process.</w:t>
            </w:r>
          </w:p>
        </w:tc>
      </w:tr>
      <w:tr w:rsidR="006800C7" w:rsidRPr="00AF4C3D" w14:paraId="313E189F" w14:textId="77777777" w:rsidTr="000914A0">
        <w:tc>
          <w:tcPr>
            <w:cnfStyle w:val="001000000000" w:firstRow="0" w:lastRow="0" w:firstColumn="1" w:lastColumn="0" w:oddVBand="0" w:evenVBand="0" w:oddHBand="0" w:evenHBand="0" w:firstRowFirstColumn="0" w:firstRowLastColumn="0" w:lastRowFirstColumn="0" w:lastRowLastColumn="0"/>
            <w:tcW w:w="9060" w:type="dxa"/>
            <w:gridSpan w:val="6"/>
            <w:hideMark/>
          </w:tcPr>
          <w:p w14:paraId="027DDAC3" w14:textId="77777777" w:rsidR="006800C7" w:rsidRPr="00894A98" w:rsidRDefault="006800C7" w:rsidP="00F31956">
            <w:r w:rsidRPr="00894A98">
              <w:t xml:space="preserve">Remuneration </w:t>
            </w:r>
          </w:p>
        </w:tc>
      </w:tr>
      <w:tr w:rsidR="006800C7" w:rsidRPr="00AF4C3D" w14:paraId="3ADE8F2C" w14:textId="77777777" w:rsidTr="000914A0">
        <w:tc>
          <w:tcPr>
            <w:cnfStyle w:val="001000000000" w:firstRow="0" w:lastRow="0" w:firstColumn="1" w:lastColumn="0" w:oddVBand="0" w:evenVBand="0" w:oddHBand="0" w:evenHBand="0" w:firstRowFirstColumn="0" w:firstRowLastColumn="0" w:lastRowFirstColumn="0" w:lastRowLastColumn="0"/>
            <w:tcW w:w="1736" w:type="dxa"/>
            <w:hideMark/>
          </w:tcPr>
          <w:p w14:paraId="364364EE" w14:textId="77777777" w:rsidR="006800C7" w:rsidRPr="00894A98" w:rsidRDefault="006800C7" w:rsidP="00F31956">
            <w:r w:rsidRPr="00894A98">
              <w:t>Position</w:t>
            </w:r>
          </w:p>
        </w:tc>
        <w:tc>
          <w:tcPr>
            <w:tcW w:w="1083" w:type="dxa"/>
            <w:hideMark/>
          </w:tcPr>
          <w:p w14:paraId="5283CEC9"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Name</w:t>
            </w:r>
          </w:p>
        </w:tc>
        <w:tc>
          <w:tcPr>
            <w:tcW w:w="1531" w:type="dxa"/>
            <w:hideMark/>
          </w:tcPr>
          <w:p w14:paraId="25A0C412"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Meetings/sessions attendance</w:t>
            </w:r>
          </w:p>
        </w:tc>
        <w:tc>
          <w:tcPr>
            <w:tcW w:w="1293" w:type="dxa"/>
            <w:hideMark/>
          </w:tcPr>
          <w:p w14:paraId="238EB238"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 xml:space="preserve">Approved annual, sessional or daily fee </w:t>
            </w:r>
          </w:p>
        </w:tc>
        <w:tc>
          <w:tcPr>
            <w:tcW w:w="1308" w:type="dxa"/>
            <w:hideMark/>
          </w:tcPr>
          <w:p w14:paraId="3457D35B"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Approved sub-committee fees if applicable</w:t>
            </w:r>
          </w:p>
        </w:tc>
        <w:tc>
          <w:tcPr>
            <w:tcW w:w="2109" w:type="dxa"/>
            <w:hideMark/>
          </w:tcPr>
          <w:p w14:paraId="285408B3"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 xml:space="preserve">Actual fees received </w:t>
            </w:r>
          </w:p>
        </w:tc>
      </w:tr>
      <w:tr w:rsidR="000914A0" w:rsidRPr="00AF4C3D" w14:paraId="1434CBA6" w14:textId="77777777" w:rsidTr="000914A0">
        <w:trPr>
          <w:trHeight w:val="293"/>
        </w:trPr>
        <w:tc>
          <w:tcPr>
            <w:cnfStyle w:val="001000000000" w:firstRow="0" w:lastRow="0" w:firstColumn="1" w:lastColumn="0" w:oddVBand="0" w:evenVBand="0" w:oddHBand="0" w:evenHBand="0" w:firstRowFirstColumn="0" w:firstRowLastColumn="0" w:lastRowFirstColumn="0" w:lastRowLastColumn="0"/>
            <w:tcW w:w="1736" w:type="dxa"/>
            <w:hideMark/>
          </w:tcPr>
          <w:p w14:paraId="07276427" w14:textId="77777777" w:rsidR="000914A0" w:rsidRPr="00894A98" w:rsidRDefault="000914A0" w:rsidP="000914A0">
            <w:r w:rsidRPr="00894A98">
              <w:t>Chair</w:t>
            </w:r>
          </w:p>
        </w:tc>
        <w:tc>
          <w:tcPr>
            <w:tcW w:w="1083" w:type="dxa"/>
            <w:hideMark/>
          </w:tcPr>
          <w:p w14:paraId="0D39E57E" w14:textId="77777777" w:rsidR="000914A0" w:rsidRPr="00894A98" w:rsidRDefault="000914A0" w:rsidP="000914A0">
            <w:pPr>
              <w:cnfStyle w:val="000000000000" w:firstRow="0" w:lastRow="0" w:firstColumn="0" w:lastColumn="0" w:oddVBand="0" w:evenVBand="0" w:oddHBand="0" w:evenHBand="0" w:firstRowFirstColumn="0" w:firstRowLastColumn="0" w:lastRowFirstColumn="0" w:lastRowLastColumn="0"/>
            </w:pPr>
            <w:r w:rsidRPr="00894A98">
              <w:t>Paul Low</w:t>
            </w:r>
          </w:p>
        </w:tc>
        <w:tc>
          <w:tcPr>
            <w:tcW w:w="1531" w:type="dxa"/>
            <w:hideMark/>
          </w:tcPr>
          <w:p w14:paraId="0125C488" w14:textId="2B62B2B7" w:rsidR="000914A0" w:rsidRPr="00894A98" w:rsidRDefault="000914A0" w:rsidP="000914A0">
            <w:pPr>
              <w:cnfStyle w:val="000000000000" w:firstRow="0" w:lastRow="0" w:firstColumn="0" w:lastColumn="0" w:oddVBand="0" w:evenVBand="0" w:oddHBand="0" w:evenHBand="0" w:firstRowFirstColumn="0" w:firstRowLastColumn="0" w:lastRowFirstColumn="0" w:lastRowLastColumn="0"/>
            </w:pPr>
            <w:r>
              <w:rPr>
                <w:color w:val="58595B"/>
                <w:w w:val="138"/>
              </w:rPr>
              <w:t>1</w:t>
            </w:r>
          </w:p>
        </w:tc>
        <w:tc>
          <w:tcPr>
            <w:tcW w:w="1293" w:type="dxa"/>
            <w:hideMark/>
          </w:tcPr>
          <w:p w14:paraId="20F139E6" w14:textId="77777777" w:rsidR="000914A0" w:rsidRPr="00894A98" w:rsidRDefault="000914A0" w:rsidP="000914A0">
            <w:pPr>
              <w:cnfStyle w:val="000000000000" w:firstRow="0" w:lastRow="0" w:firstColumn="0" w:lastColumn="0" w:oddVBand="0" w:evenVBand="0" w:oddHBand="0" w:evenHBand="0" w:firstRowFirstColumn="0" w:firstRowLastColumn="0" w:lastRowFirstColumn="0" w:lastRowLastColumn="0"/>
            </w:pPr>
            <w:r w:rsidRPr="00894A98">
              <w:t>$390 daily</w:t>
            </w:r>
          </w:p>
        </w:tc>
        <w:tc>
          <w:tcPr>
            <w:tcW w:w="1308" w:type="dxa"/>
            <w:hideMark/>
          </w:tcPr>
          <w:p w14:paraId="6146F1A3" w14:textId="77777777" w:rsidR="000914A0" w:rsidRPr="00894A98" w:rsidRDefault="000914A0" w:rsidP="000914A0">
            <w:pPr>
              <w:cnfStyle w:val="000000000000" w:firstRow="0" w:lastRow="0" w:firstColumn="0" w:lastColumn="0" w:oddVBand="0" w:evenVBand="0" w:oddHBand="0" w:evenHBand="0" w:firstRowFirstColumn="0" w:firstRowLastColumn="0" w:lastRowFirstColumn="0" w:lastRowLastColumn="0"/>
            </w:pPr>
            <w:r w:rsidRPr="00894A98">
              <w:t>N/A</w:t>
            </w:r>
          </w:p>
        </w:tc>
        <w:tc>
          <w:tcPr>
            <w:tcW w:w="2109" w:type="dxa"/>
            <w:hideMark/>
          </w:tcPr>
          <w:p w14:paraId="1535CD77" w14:textId="77777777" w:rsidR="000914A0" w:rsidRDefault="00E73B62" w:rsidP="000914A0">
            <w:pPr>
              <w:pStyle w:val="TableParagraph"/>
              <w:spacing w:line="20" w:lineRule="exact"/>
              <w:ind w:left="1878" w:right="-72"/>
              <w:cnfStyle w:val="000000000000" w:firstRow="0" w:lastRow="0" w:firstColumn="0" w:lastColumn="0" w:oddVBand="0" w:evenVBand="0" w:oddHBand="0" w:evenHBand="0" w:firstRowFirstColumn="0" w:firstRowLastColumn="0" w:lastRowFirstColumn="0" w:lastRowLastColumn="0"/>
              <w:rPr>
                <w:sz w:val="2"/>
              </w:rPr>
            </w:pPr>
            <w:r>
              <w:rPr>
                <w:sz w:val="2"/>
              </w:rPr>
            </w:r>
            <w:r>
              <w:rPr>
                <w:sz w:val="2"/>
              </w:rPr>
              <w:pict w14:anchorId="63AD94E4">
                <v:group id="docshapegroup4640" o:spid="_x0000_s1064" style="width:.5pt;height:.5pt;mso-position-horizontal-relative:char;mso-position-vertical-relative:line" coordsize="10,10">
                  <v:shape id="docshape4641" o:spid="_x0000_s1065" style="position:absolute;width:10;height:10" coordsize="10,10" path="m,5l1,1,5,,9,1r1,4l9,9,5,10,1,9,,5xe" fillcolor="#77787b" stroked="f">
                    <v:path arrowok="t"/>
                  </v:shape>
                  <w10:wrap type="none"/>
                  <w10:anchorlock/>
                </v:group>
              </w:pict>
            </w:r>
          </w:p>
          <w:p w14:paraId="79B0F1AF" w14:textId="4C181184" w:rsidR="000914A0" w:rsidRPr="00894A98" w:rsidRDefault="000914A0" w:rsidP="000914A0">
            <w:pPr>
              <w:cnfStyle w:val="000000000000" w:firstRow="0" w:lastRow="0" w:firstColumn="0" w:lastColumn="0" w:oddVBand="0" w:evenVBand="0" w:oddHBand="0" w:evenHBand="0" w:firstRowFirstColumn="0" w:firstRowLastColumn="0" w:lastRowFirstColumn="0" w:lastRowLastColumn="0"/>
            </w:pPr>
            <w:r>
              <w:rPr>
                <w:color w:val="58595B"/>
                <w:spacing w:val="-4"/>
                <w:w w:val="105"/>
              </w:rPr>
              <w:t>$390</w:t>
            </w:r>
          </w:p>
        </w:tc>
      </w:tr>
      <w:tr w:rsidR="000914A0" w:rsidRPr="00AF4C3D" w14:paraId="1D19AC9B" w14:textId="77777777" w:rsidTr="000914A0">
        <w:tc>
          <w:tcPr>
            <w:cnfStyle w:val="001000000000" w:firstRow="0" w:lastRow="0" w:firstColumn="1" w:lastColumn="0" w:oddVBand="0" w:evenVBand="0" w:oddHBand="0" w:evenHBand="0" w:firstRowFirstColumn="0" w:firstRowLastColumn="0" w:lastRowFirstColumn="0" w:lastRowLastColumn="0"/>
            <w:tcW w:w="1736" w:type="dxa"/>
            <w:hideMark/>
          </w:tcPr>
          <w:p w14:paraId="4875698F" w14:textId="77777777" w:rsidR="000914A0" w:rsidRPr="00894A98" w:rsidRDefault="000914A0" w:rsidP="000914A0">
            <w:r w:rsidRPr="00894A98">
              <w:t xml:space="preserve">Member </w:t>
            </w:r>
          </w:p>
        </w:tc>
        <w:tc>
          <w:tcPr>
            <w:tcW w:w="1083" w:type="dxa"/>
            <w:hideMark/>
          </w:tcPr>
          <w:p w14:paraId="5B5F6D03" w14:textId="77777777" w:rsidR="000914A0" w:rsidRPr="00894A98" w:rsidRDefault="000914A0" w:rsidP="000914A0">
            <w:pPr>
              <w:cnfStyle w:val="000000000000" w:firstRow="0" w:lastRow="0" w:firstColumn="0" w:lastColumn="0" w:oddVBand="0" w:evenVBand="0" w:oddHBand="0" w:evenHBand="0" w:firstRowFirstColumn="0" w:firstRowLastColumn="0" w:lastRowFirstColumn="0" w:lastRowLastColumn="0"/>
            </w:pPr>
            <w:r w:rsidRPr="00894A98">
              <w:t>Matthew Burke</w:t>
            </w:r>
          </w:p>
        </w:tc>
        <w:tc>
          <w:tcPr>
            <w:tcW w:w="1531" w:type="dxa"/>
            <w:hideMark/>
          </w:tcPr>
          <w:p w14:paraId="76E5F2AA" w14:textId="2C6B6977" w:rsidR="000914A0" w:rsidRPr="00894A98" w:rsidRDefault="000914A0" w:rsidP="000914A0">
            <w:pPr>
              <w:cnfStyle w:val="000000000000" w:firstRow="0" w:lastRow="0" w:firstColumn="0" w:lastColumn="0" w:oddVBand="0" w:evenVBand="0" w:oddHBand="0" w:evenHBand="0" w:firstRowFirstColumn="0" w:firstRowLastColumn="0" w:lastRowFirstColumn="0" w:lastRowLastColumn="0"/>
            </w:pPr>
            <w:r>
              <w:rPr>
                <w:color w:val="58595B"/>
                <w:w w:val="138"/>
              </w:rPr>
              <w:t>1</w:t>
            </w:r>
          </w:p>
        </w:tc>
        <w:tc>
          <w:tcPr>
            <w:tcW w:w="1293" w:type="dxa"/>
            <w:hideMark/>
          </w:tcPr>
          <w:p w14:paraId="6E9B5725" w14:textId="77777777" w:rsidR="000914A0" w:rsidRPr="00894A98" w:rsidRDefault="000914A0" w:rsidP="000914A0">
            <w:pPr>
              <w:cnfStyle w:val="000000000000" w:firstRow="0" w:lastRow="0" w:firstColumn="0" w:lastColumn="0" w:oddVBand="0" w:evenVBand="0" w:oddHBand="0" w:evenHBand="0" w:firstRowFirstColumn="0" w:firstRowLastColumn="0" w:lastRowFirstColumn="0" w:lastRowLastColumn="0"/>
            </w:pPr>
            <w:r w:rsidRPr="00894A98">
              <w:t>$300 daily</w:t>
            </w:r>
          </w:p>
        </w:tc>
        <w:tc>
          <w:tcPr>
            <w:tcW w:w="1308" w:type="dxa"/>
            <w:hideMark/>
          </w:tcPr>
          <w:p w14:paraId="586B1C27" w14:textId="77777777" w:rsidR="000914A0" w:rsidRPr="00894A98" w:rsidRDefault="000914A0" w:rsidP="000914A0">
            <w:pPr>
              <w:cnfStyle w:val="000000000000" w:firstRow="0" w:lastRow="0" w:firstColumn="0" w:lastColumn="0" w:oddVBand="0" w:evenVBand="0" w:oddHBand="0" w:evenHBand="0" w:firstRowFirstColumn="0" w:firstRowLastColumn="0" w:lastRowFirstColumn="0" w:lastRowLastColumn="0"/>
            </w:pPr>
            <w:r w:rsidRPr="00894A98">
              <w:t>N/A</w:t>
            </w:r>
          </w:p>
        </w:tc>
        <w:tc>
          <w:tcPr>
            <w:tcW w:w="2109" w:type="dxa"/>
            <w:hideMark/>
          </w:tcPr>
          <w:p w14:paraId="684F0953" w14:textId="77777777" w:rsidR="000914A0" w:rsidRDefault="00E73B62" w:rsidP="000914A0">
            <w:pPr>
              <w:pStyle w:val="TableParagraph"/>
              <w:spacing w:line="20" w:lineRule="exact"/>
              <w:ind w:left="1878" w:right="-72"/>
              <w:cnfStyle w:val="000000000000" w:firstRow="0" w:lastRow="0" w:firstColumn="0" w:lastColumn="0" w:oddVBand="0" w:evenVBand="0" w:oddHBand="0" w:evenHBand="0" w:firstRowFirstColumn="0" w:firstRowLastColumn="0" w:lastRowFirstColumn="0" w:lastRowLastColumn="0"/>
              <w:rPr>
                <w:sz w:val="2"/>
              </w:rPr>
            </w:pPr>
            <w:r>
              <w:rPr>
                <w:sz w:val="2"/>
              </w:rPr>
            </w:r>
            <w:r>
              <w:rPr>
                <w:sz w:val="2"/>
              </w:rPr>
              <w:pict w14:anchorId="300FC6EC">
                <v:group id="docshapegroup4644" o:spid="_x0000_s1062" style="width:.5pt;height:.5pt;mso-position-horizontal-relative:char;mso-position-vertical-relative:line" coordsize="10,10">
                  <v:shape id="docshape4645" o:spid="_x0000_s1063" style="position:absolute;width:10;height:10" coordsize="10,10" path="m,5l1,1,5,,9,1r1,4l9,9,5,10,1,9,,5xe" fillcolor="#77787b" stroked="f">
                    <v:path arrowok="t"/>
                  </v:shape>
                  <w10:wrap type="none"/>
                  <w10:anchorlock/>
                </v:group>
              </w:pict>
            </w:r>
          </w:p>
          <w:p w14:paraId="2023EBCC" w14:textId="3B25A655" w:rsidR="000914A0" w:rsidRPr="00894A98" w:rsidRDefault="000914A0" w:rsidP="000914A0">
            <w:pPr>
              <w:cnfStyle w:val="000000000000" w:firstRow="0" w:lastRow="0" w:firstColumn="0" w:lastColumn="0" w:oddVBand="0" w:evenVBand="0" w:oddHBand="0" w:evenHBand="0" w:firstRowFirstColumn="0" w:firstRowLastColumn="0" w:lastRowFirstColumn="0" w:lastRowLastColumn="0"/>
            </w:pPr>
            <w:r>
              <w:rPr>
                <w:color w:val="58595B"/>
                <w:spacing w:val="-5"/>
              </w:rPr>
              <w:t>$0</w:t>
            </w:r>
          </w:p>
        </w:tc>
      </w:tr>
      <w:tr w:rsidR="000914A0" w:rsidRPr="00AF4C3D" w14:paraId="5C665AE6" w14:textId="77777777" w:rsidTr="000914A0">
        <w:tc>
          <w:tcPr>
            <w:cnfStyle w:val="001000000000" w:firstRow="0" w:lastRow="0" w:firstColumn="1" w:lastColumn="0" w:oddVBand="0" w:evenVBand="0" w:oddHBand="0" w:evenHBand="0" w:firstRowFirstColumn="0" w:firstRowLastColumn="0" w:lastRowFirstColumn="0" w:lastRowLastColumn="0"/>
            <w:tcW w:w="1736" w:type="dxa"/>
            <w:hideMark/>
          </w:tcPr>
          <w:p w14:paraId="7CFF7253" w14:textId="77777777" w:rsidR="000914A0" w:rsidRPr="00894A98" w:rsidRDefault="000914A0" w:rsidP="000914A0">
            <w:r w:rsidRPr="00894A98">
              <w:t xml:space="preserve">Member </w:t>
            </w:r>
          </w:p>
        </w:tc>
        <w:tc>
          <w:tcPr>
            <w:tcW w:w="1083" w:type="dxa"/>
            <w:hideMark/>
          </w:tcPr>
          <w:p w14:paraId="6ED1C6F2" w14:textId="77777777" w:rsidR="000914A0" w:rsidRPr="00894A98" w:rsidRDefault="000914A0" w:rsidP="000914A0">
            <w:pPr>
              <w:cnfStyle w:val="000000000000" w:firstRow="0" w:lastRow="0" w:firstColumn="0" w:lastColumn="0" w:oddVBand="0" w:evenVBand="0" w:oddHBand="0" w:evenHBand="0" w:firstRowFirstColumn="0" w:firstRowLastColumn="0" w:lastRowFirstColumn="0" w:lastRowLastColumn="0"/>
            </w:pPr>
            <w:r w:rsidRPr="00894A98">
              <w:t>Julie Castle</w:t>
            </w:r>
          </w:p>
        </w:tc>
        <w:tc>
          <w:tcPr>
            <w:tcW w:w="1531" w:type="dxa"/>
            <w:hideMark/>
          </w:tcPr>
          <w:p w14:paraId="00CA283B" w14:textId="06854E2A" w:rsidR="000914A0" w:rsidRPr="00894A98" w:rsidRDefault="000914A0" w:rsidP="000914A0">
            <w:pPr>
              <w:cnfStyle w:val="000000000000" w:firstRow="0" w:lastRow="0" w:firstColumn="0" w:lastColumn="0" w:oddVBand="0" w:evenVBand="0" w:oddHBand="0" w:evenHBand="0" w:firstRowFirstColumn="0" w:firstRowLastColumn="0" w:lastRowFirstColumn="0" w:lastRowLastColumn="0"/>
            </w:pPr>
            <w:r>
              <w:rPr>
                <w:color w:val="58595B"/>
                <w:w w:val="138"/>
              </w:rPr>
              <w:t>1</w:t>
            </w:r>
          </w:p>
        </w:tc>
        <w:tc>
          <w:tcPr>
            <w:tcW w:w="1293" w:type="dxa"/>
            <w:hideMark/>
          </w:tcPr>
          <w:p w14:paraId="66760BB7" w14:textId="77777777" w:rsidR="000914A0" w:rsidRPr="00894A98" w:rsidRDefault="000914A0" w:rsidP="000914A0">
            <w:pPr>
              <w:cnfStyle w:val="000000000000" w:firstRow="0" w:lastRow="0" w:firstColumn="0" w:lastColumn="0" w:oddVBand="0" w:evenVBand="0" w:oddHBand="0" w:evenHBand="0" w:firstRowFirstColumn="0" w:firstRowLastColumn="0" w:lastRowFirstColumn="0" w:lastRowLastColumn="0"/>
            </w:pPr>
            <w:r w:rsidRPr="00894A98">
              <w:t>$300 daily</w:t>
            </w:r>
          </w:p>
        </w:tc>
        <w:tc>
          <w:tcPr>
            <w:tcW w:w="1308" w:type="dxa"/>
            <w:hideMark/>
          </w:tcPr>
          <w:p w14:paraId="59AC52BB" w14:textId="77777777" w:rsidR="000914A0" w:rsidRPr="00894A98" w:rsidRDefault="000914A0" w:rsidP="000914A0">
            <w:pPr>
              <w:cnfStyle w:val="000000000000" w:firstRow="0" w:lastRow="0" w:firstColumn="0" w:lastColumn="0" w:oddVBand="0" w:evenVBand="0" w:oddHBand="0" w:evenHBand="0" w:firstRowFirstColumn="0" w:firstRowLastColumn="0" w:lastRowFirstColumn="0" w:lastRowLastColumn="0"/>
            </w:pPr>
            <w:r w:rsidRPr="00894A98">
              <w:t>N/A</w:t>
            </w:r>
          </w:p>
        </w:tc>
        <w:tc>
          <w:tcPr>
            <w:tcW w:w="2109" w:type="dxa"/>
            <w:hideMark/>
          </w:tcPr>
          <w:p w14:paraId="07A2759D" w14:textId="77777777" w:rsidR="000914A0" w:rsidRDefault="00E73B62" w:rsidP="000914A0">
            <w:pPr>
              <w:pStyle w:val="TableParagraph"/>
              <w:spacing w:line="20" w:lineRule="exact"/>
              <w:ind w:left="1878" w:right="-72"/>
              <w:cnfStyle w:val="000000000000" w:firstRow="0" w:lastRow="0" w:firstColumn="0" w:lastColumn="0" w:oddVBand="0" w:evenVBand="0" w:oddHBand="0" w:evenHBand="0" w:firstRowFirstColumn="0" w:firstRowLastColumn="0" w:lastRowFirstColumn="0" w:lastRowLastColumn="0"/>
              <w:rPr>
                <w:sz w:val="2"/>
              </w:rPr>
            </w:pPr>
            <w:r>
              <w:rPr>
                <w:sz w:val="2"/>
              </w:rPr>
            </w:r>
            <w:r>
              <w:rPr>
                <w:sz w:val="2"/>
              </w:rPr>
              <w:pict w14:anchorId="137842AC">
                <v:group id="docshapegroup4648" o:spid="_x0000_s1060" style="width:.5pt;height:.5pt;mso-position-horizontal-relative:char;mso-position-vertical-relative:line" coordsize="10,10">
                  <v:shape id="docshape4649" o:spid="_x0000_s1061" style="position:absolute;width:10;height:10" coordsize="10,10" path="m,5l1,1,5,,9,1r1,4l9,9,5,10,1,9,,5xe" fillcolor="#77787b" stroked="f">
                    <v:path arrowok="t"/>
                  </v:shape>
                  <w10:wrap type="none"/>
                  <w10:anchorlock/>
                </v:group>
              </w:pict>
            </w:r>
          </w:p>
          <w:p w14:paraId="42EEC0C7" w14:textId="7E86B331" w:rsidR="000914A0" w:rsidRPr="00894A98" w:rsidRDefault="000914A0" w:rsidP="000914A0">
            <w:pPr>
              <w:cnfStyle w:val="000000000000" w:firstRow="0" w:lastRow="0" w:firstColumn="0" w:lastColumn="0" w:oddVBand="0" w:evenVBand="0" w:oddHBand="0" w:evenHBand="0" w:firstRowFirstColumn="0" w:firstRowLastColumn="0" w:lastRowFirstColumn="0" w:lastRowLastColumn="0"/>
            </w:pPr>
            <w:r>
              <w:rPr>
                <w:color w:val="58595B"/>
                <w:spacing w:val="-4"/>
                <w:w w:val="105"/>
              </w:rPr>
              <w:t>$300</w:t>
            </w:r>
          </w:p>
        </w:tc>
      </w:tr>
      <w:tr w:rsidR="000914A0" w:rsidRPr="00AF4C3D" w14:paraId="1CA02DE2" w14:textId="77777777" w:rsidTr="000914A0">
        <w:tc>
          <w:tcPr>
            <w:cnfStyle w:val="001000000000" w:firstRow="0" w:lastRow="0" w:firstColumn="1" w:lastColumn="0" w:oddVBand="0" w:evenVBand="0" w:oddHBand="0" w:evenHBand="0" w:firstRowFirstColumn="0" w:firstRowLastColumn="0" w:lastRowFirstColumn="0" w:lastRowLastColumn="0"/>
            <w:tcW w:w="1736" w:type="dxa"/>
            <w:hideMark/>
          </w:tcPr>
          <w:p w14:paraId="5DBA03C4" w14:textId="77777777" w:rsidR="000914A0" w:rsidRPr="00894A98" w:rsidRDefault="000914A0" w:rsidP="000914A0">
            <w:r w:rsidRPr="00894A98">
              <w:t xml:space="preserve">Member </w:t>
            </w:r>
          </w:p>
        </w:tc>
        <w:tc>
          <w:tcPr>
            <w:tcW w:w="1083" w:type="dxa"/>
            <w:hideMark/>
          </w:tcPr>
          <w:p w14:paraId="442F6AB7" w14:textId="77777777" w:rsidR="000914A0" w:rsidRPr="00894A98" w:rsidRDefault="000914A0" w:rsidP="000914A0">
            <w:pPr>
              <w:cnfStyle w:val="000000000000" w:firstRow="0" w:lastRow="0" w:firstColumn="0" w:lastColumn="0" w:oddVBand="0" w:evenVBand="0" w:oddHBand="0" w:evenHBand="0" w:firstRowFirstColumn="0" w:firstRowLastColumn="0" w:lastRowFirstColumn="0" w:lastRowLastColumn="0"/>
            </w:pPr>
            <w:r w:rsidRPr="00894A98">
              <w:t>Blaise Itabelo</w:t>
            </w:r>
          </w:p>
        </w:tc>
        <w:tc>
          <w:tcPr>
            <w:tcW w:w="1531" w:type="dxa"/>
            <w:hideMark/>
          </w:tcPr>
          <w:p w14:paraId="6A1DD9A0" w14:textId="7D9C069F" w:rsidR="000914A0" w:rsidRPr="00894A98" w:rsidRDefault="000914A0" w:rsidP="000914A0">
            <w:pPr>
              <w:cnfStyle w:val="000000000000" w:firstRow="0" w:lastRow="0" w:firstColumn="0" w:lastColumn="0" w:oddVBand="0" w:evenVBand="0" w:oddHBand="0" w:evenHBand="0" w:firstRowFirstColumn="0" w:firstRowLastColumn="0" w:lastRowFirstColumn="0" w:lastRowLastColumn="0"/>
            </w:pPr>
            <w:r>
              <w:rPr>
                <w:color w:val="58595B"/>
                <w:w w:val="138"/>
              </w:rPr>
              <w:t>1</w:t>
            </w:r>
          </w:p>
        </w:tc>
        <w:tc>
          <w:tcPr>
            <w:tcW w:w="1293" w:type="dxa"/>
            <w:hideMark/>
          </w:tcPr>
          <w:p w14:paraId="1632C597" w14:textId="77777777" w:rsidR="000914A0" w:rsidRPr="00894A98" w:rsidRDefault="000914A0" w:rsidP="000914A0">
            <w:pPr>
              <w:cnfStyle w:val="000000000000" w:firstRow="0" w:lastRow="0" w:firstColumn="0" w:lastColumn="0" w:oddVBand="0" w:evenVBand="0" w:oddHBand="0" w:evenHBand="0" w:firstRowFirstColumn="0" w:firstRowLastColumn="0" w:lastRowFirstColumn="0" w:lastRowLastColumn="0"/>
            </w:pPr>
            <w:r w:rsidRPr="00894A98">
              <w:t>$300 daily</w:t>
            </w:r>
          </w:p>
        </w:tc>
        <w:tc>
          <w:tcPr>
            <w:tcW w:w="1308" w:type="dxa"/>
            <w:hideMark/>
          </w:tcPr>
          <w:p w14:paraId="34D2EC00" w14:textId="77777777" w:rsidR="000914A0" w:rsidRPr="00894A98" w:rsidRDefault="000914A0" w:rsidP="000914A0">
            <w:pPr>
              <w:cnfStyle w:val="000000000000" w:firstRow="0" w:lastRow="0" w:firstColumn="0" w:lastColumn="0" w:oddVBand="0" w:evenVBand="0" w:oddHBand="0" w:evenHBand="0" w:firstRowFirstColumn="0" w:firstRowLastColumn="0" w:lastRowFirstColumn="0" w:lastRowLastColumn="0"/>
            </w:pPr>
            <w:r w:rsidRPr="00894A98">
              <w:t>N/A</w:t>
            </w:r>
          </w:p>
        </w:tc>
        <w:tc>
          <w:tcPr>
            <w:tcW w:w="2109" w:type="dxa"/>
            <w:hideMark/>
          </w:tcPr>
          <w:p w14:paraId="2A2E2195" w14:textId="77777777" w:rsidR="000914A0" w:rsidRDefault="00E73B62" w:rsidP="000914A0">
            <w:pPr>
              <w:pStyle w:val="TableParagraph"/>
              <w:spacing w:line="20" w:lineRule="exact"/>
              <w:ind w:left="1878" w:right="-72"/>
              <w:cnfStyle w:val="000000000000" w:firstRow="0" w:lastRow="0" w:firstColumn="0" w:lastColumn="0" w:oddVBand="0" w:evenVBand="0" w:oddHBand="0" w:evenHBand="0" w:firstRowFirstColumn="0" w:firstRowLastColumn="0" w:lastRowFirstColumn="0" w:lastRowLastColumn="0"/>
              <w:rPr>
                <w:sz w:val="2"/>
              </w:rPr>
            </w:pPr>
            <w:r>
              <w:rPr>
                <w:sz w:val="2"/>
              </w:rPr>
            </w:r>
            <w:r>
              <w:rPr>
                <w:sz w:val="2"/>
              </w:rPr>
              <w:pict w14:anchorId="54325685">
                <v:group id="docshapegroup4652" o:spid="_x0000_s1058" style="width:.5pt;height:.5pt;mso-position-horizontal-relative:char;mso-position-vertical-relative:line" coordsize="10,10">
                  <v:shape id="docshape4653" o:spid="_x0000_s1059" style="position:absolute;width:10;height:10" coordsize="10,10" path="m,5l1,1,5,,9,1r1,4l9,9,5,10,1,9,,5xe" fillcolor="#77787b" stroked="f">
                    <v:path arrowok="t"/>
                  </v:shape>
                  <w10:wrap type="none"/>
                  <w10:anchorlock/>
                </v:group>
              </w:pict>
            </w:r>
          </w:p>
          <w:p w14:paraId="1AB4940B" w14:textId="46CB0EDF" w:rsidR="000914A0" w:rsidRPr="00894A98" w:rsidRDefault="000914A0" w:rsidP="000914A0">
            <w:pPr>
              <w:cnfStyle w:val="000000000000" w:firstRow="0" w:lastRow="0" w:firstColumn="0" w:lastColumn="0" w:oddVBand="0" w:evenVBand="0" w:oddHBand="0" w:evenHBand="0" w:firstRowFirstColumn="0" w:firstRowLastColumn="0" w:lastRowFirstColumn="0" w:lastRowLastColumn="0"/>
            </w:pPr>
            <w:r>
              <w:rPr>
                <w:color w:val="58595B"/>
                <w:spacing w:val="-4"/>
                <w:w w:val="105"/>
              </w:rPr>
              <w:t>$300</w:t>
            </w:r>
          </w:p>
        </w:tc>
      </w:tr>
      <w:tr w:rsidR="000914A0" w:rsidRPr="00AF4C3D" w14:paraId="7013DD7D" w14:textId="77777777" w:rsidTr="000914A0">
        <w:tc>
          <w:tcPr>
            <w:cnfStyle w:val="001000000000" w:firstRow="0" w:lastRow="0" w:firstColumn="1" w:lastColumn="0" w:oddVBand="0" w:evenVBand="0" w:oddHBand="0" w:evenHBand="0" w:firstRowFirstColumn="0" w:firstRowLastColumn="0" w:lastRowFirstColumn="0" w:lastRowLastColumn="0"/>
            <w:tcW w:w="1736" w:type="dxa"/>
            <w:hideMark/>
          </w:tcPr>
          <w:p w14:paraId="480D004E" w14:textId="77777777" w:rsidR="000914A0" w:rsidRPr="00894A98" w:rsidRDefault="000914A0" w:rsidP="000914A0">
            <w:r w:rsidRPr="00894A98">
              <w:t xml:space="preserve">Member </w:t>
            </w:r>
          </w:p>
        </w:tc>
        <w:tc>
          <w:tcPr>
            <w:tcW w:w="1083" w:type="dxa"/>
            <w:hideMark/>
          </w:tcPr>
          <w:p w14:paraId="35D19BEF" w14:textId="77777777" w:rsidR="000914A0" w:rsidRPr="00894A98" w:rsidRDefault="000914A0" w:rsidP="000914A0">
            <w:pPr>
              <w:cnfStyle w:val="000000000000" w:firstRow="0" w:lastRow="0" w:firstColumn="0" w:lastColumn="0" w:oddVBand="0" w:evenVBand="0" w:oddHBand="0" w:evenHBand="0" w:firstRowFirstColumn="0" w:firstRowLastColumn="0" w:lastRowFirstColumn="0" w:lastRowLastColumn="0"/>
            </w:pPr>
            <w:r w:rsidRPr="00894A98">
              <w:t>Gail Ker</w:t>
            </w:r>
          </w:p>
        </w:tc>
        <w:tc>
          <w:tcPr>
            <w:tcW w:w="1531" w:type="dxa"/>
            <w:hideMark/>
          </w:tcPr>
          <w:p w14:paraId="4557F35F" w14:textId="37FE7C0C" w:rsidR="000914A0" w:rsidRPr="00894A98" w:rsidRDefault="000914A0" w:rsidP="000914A0">
            <w:pPr>
              <w:cnfStyle w:val="000000000000" w:firstRow="0" w:lastRow="0" w:firstColumn="0" w:lastColumn="0" w:oddVBand="0" w:evenVBand="0" w:oddHBand="0" w:evenHBand="0" w:firstRowFirstColumn="0" w:firstRowLastColumn="0" w:lastRowFirstColumn="0" w:lastRowLastColumn="0"/>
            </w:pPr>
            <w:r>
              <w:rPr>
                <w:color w:val="58595B"/>
                <w:w w:val="138"/>
              </w:rPr>
              <w:t>1</w:t>
            </w:r>
          </w:p>
        </w:tc>
        <w:tc>
          <w:tcPr>
            <w:tcW w:w="1293" w:type="dxa"/>
            <w:hideMark/>
          </w:tcPr>
          <w:p w14:paraId="5A204B4B" w14:textId="77777777" w:rsidR="000914A0" w:rsidRPr="00894A98" w:rsidRDefault="000914A0" w:rsidP="000914A0">
            <w:pPr>
              <w:cnfStyle w:val="000000000000" w:firstRow="0" w:lastRow="0" w:firstColumn="0" w:lastColumn="0" w:oddVBand="0" w:evenVBand="0" w:oddHBand="0" w:evenHBand="0" w:firstRowFirstColumn="0" w:firstRowLastColumn="0" w:lastRowFirstColumn="0" w:lastRowLastColumn="0"/>
            </w:pPr>
            <w:r w:rsidRPr="00894A98">
              <w:t>$300 daily</w:t>
            </w:r>
          </w:p>
        </w:tc>
        <w:tc>
          <w:tcPr>
            <w:tcW w:w="1308" w:type="dxa"/>
            <w:hideMark/>
          </w:tcPr>
          <w:p w14:paraId="23F55689" w14:textId="77777777" w:rsidR="000914A0" w:rsidRPr="00894A98" w:rsidRDefault="000914A0" w:rsidP="000914A0">
            <w:pPr>
              <w:cnfStyle w:val="000000000000" w:firstRow="0" w:lastRow="0" w:firstColumn="0" w:lastColumn="0" w:oddVBand="0" w:evenVBand="0" w:oddHBand="0" w:evenHBand="0" w:firstRowFirstColumn="0" w:firstRowLastColumn="0" w:lastRowFirstColumn="0" w:lastRowLastColumn="0"/>
            </w:pPr>
            <w:r w:rsidRPr="00894A98">
              <w:t>N/A</w:t>
            </w:r>
          </w:p>
        </w:tc>
        <w:tc>
          <w:tcPr>
            <w:tcW w:w="2109" w:type="dxa"/>
            <w:hideMark/>
          </w:tcPr>
          <w:p w14:paraId="0FE66F8A" w14:textId="77777777" w:rsidR="000914A0" w:rsidRDefault="00E73B62" w:rsidP="000914A0">
            <w:pPr>
              <w:pStyle w:val="TableParagraph"/>
              <w:spacing w:line="20" w:lineRule="exact"/>
              <w:ind w:left="1878" w:right="-72"/>
              <w:cnfStyle w:val="000000000000" w:firstRow="0" w:lastRow="0" w:firstColumn="0" w:lastColumn="0" w:oddVBand="0" w:evenVBand="0" w:oddHBand="0" w:evenHBand="0" w:firstRowFirstColumn="0" w:firstRowLastColumn="0" w:lastRowFirstColumn="0" w:lastRowLastColumn="0"/>
              <w:rPr>
                <w:sz w:val="2"/>
              </w:rPr>
            </w:pPr>
            <w:r>
              <w:rPr>
                <w:sz w:val="2"/>
              </w:rPr>
            </w:r>
            <w:r>
              <w:rPr>
                <w:sz w:val="2"/>
              </w:rPr>
              <w:pict w14:anchorId="2755568F">
                <v:group id="docshapegroup4656" o:spid="_x0000_s1056" style="width:.5pt;height:.5pt;mso-position-horizontal-relative:char;mso-position-vertical-relative:line" coordsize="10,10">
                  <v:shape id="docshape4657" o:spid="_x0000_s1057" style="position:absolute;width:10;height:10" coordsize="10,10" path="m,5l1,1,5,,9,1r1,4l9,9,5,10,1,9,,5xe" fillcolor="#77787b" stroked="f">
                    <v:path arrowok="t"/>
                  </v:shape>
                  <w10:wrap type="none"/>
                  <w10:anchorlock/>
                </v:group>
              </w:pict>
            </w:r>
          </w:p>
          <w:p w14:paraId="16059AE4" w14:textId="1651AE78" w:rsidR="000914A0" w:rsidRPr="00894A98" w:rsidRDefault="000914A0" w:rsidP="000914A0">
            <w:pPr>
              <w:cnfStyle w:val="000000000000" w:firstRow="0" w:lastRow="0" w:firstColumn="0" w:lastColumn="0" w:oddVBand="0" w:evenVBand="0" w:oddHBand="0" w:evenHBand="0" w:firstRowFirstColumn="0" w:firstRowLastColumn="0" w:lastRowFirstColumn="0" w:lastRowLastColumn="0"/>
            </w:pPr>
            <w:r>
              <w:rPr>
                <w:color w:val="58595B"/>
                <w:spacing w:val="-4"/>
                <w:w w:val="105"/>
              </w:rPr>
              <w:t>$300</w:t>
            </w:r>
          </w:p>
        </w:tc>
      </w:tr>
      <w:tr w:rsidR="000914A0" w:rsidRPr="00AF4C3D" w14:paraId="796BBE15" w14:textId="77777777" w:rsidTr="000914A0">
        <w:tc>
          <w:tcPr>
            <w:cnfStyle w:val="001000000000" w:firstRow="0" w:lastRow="0" w:firstColumn="1" w:lastColumn="0" w:oddVBand="0" w:evenVBand="0" w:oddHBand="0" w:evenHBand="0" w:firstRowFirstColumn="0" w:firstRowLastColumn="0" w:lastRowFirstColumn="0" w:lastRowLastColumn="0"/>
            <w:tcW w:w="1736" w:type="dxa"/>
            <w:hideMark/>
          </w:tcPr>
          <w:p w14:paraId="4524FB3F" w14:textId="77777777" w:rsidR="000914A0" w:rsidRPr="00894A98" w:rsidRDefault="000914A0" w:rsidP="000914A0">
            <w:r w:rsidRPr="00894A98">
              <w:t xml:space="preserve">Member </w:t>
            </w:r>
          </w:p>
        </w:tc>
        <w:tc>
          <w:tcPr>
            <w:tcW w:w="1083" w:type="dxa"/>
            <w:hideMark/>
          </w:tcPr>
          <w:p w14:paraId="36C77D06" w14:textId="77777777" w:rsidR="000914A0" w:rsidRPr="00894A98" w:rsidRDefault="000914A0" w:rsidP="000914A0">
            <w:pPr>
              <w:cnfStyle w:val="000000000000" w:firstRow="0" w:lastRow="0" w:firstColumn="0" w:lastColumn="0" w:oddVBand="0" w:evenVBand="0" w:oddHBand="0" w:evenHBand="0" w:firstRowFirstColumn="0" w:firstRowLastColumn="0" w:lastRowFirstColumn="0" w:lastRowLastColumn="0"/>
            </w:pPr>
            <w:r w:rsidRPr="00894A98">
              <w:t>Adrienne Ward</w:t>
            </w:r>
          </w:p>
        </w:tc>
        <w:tc>
          <w:tcPr>
            <w:tcW w:w="1531" w:type="dxa"/>
            <w:hideMark/>
          </w:tcPr>
          <w:p w14:paraId="1E14208E" w14:textId="7915784F" w:rsidR="000914A0" w:rsidRPr="00894A98" w:rsidRDefault="000914A0" w:rsidP="000914A0">
            <w:pPr>
              <w:cnfStyle w:val="000000000000" w:firstRow="0" w:lastRow="0" w:firstColumn="0" w:lastColumn="0" w:oddVBand="0" w:evenVBand="0" w:oddHBand="0" w:evenHBand="0" w:firstRowFirstColumn="0" w:firstRowLastColumn="0" w:lastRowFirstColumn="0" w:lastRowLastColumn="0"/>
            </w:pPr>
            <w:r>
              <w:rPr>
                <w:color w:val="58595B"/>
                <w:w w:val="138"/>
              </w:rPr>
              <w:t>1</w:t>
            </w:r>
          </w:p>
        </w:tc>
        <w:tc>
          <w:tcPr>
            <w:tcW w:w="1293" w:type="dxa"/>
            <w:hideMark/>
          </w:tcPr>
          <w:p w14:paraId="0531A51B" w14:textId="77777777" w:rsidR="000914A0" w:rsidRPr="00894A98" w:rsidRDefault="000914A0" w:rsidP="000914A0">
            <w:pPr>
              <w:cnfStyle w:val="000000000000" w:firstRow="0" w:lastRow="0" w:firstColumn="0" w:lastColumn="0" w:oddVBand="0" w:evenVBand="0" w:oddHBand="0" w:evenHBand="0" w:firstRowFirstColumn="0" w:firstRowLastColumn="0" w:lastRowFirstColumn="0" w:lastRowLastColumn="0"/>
            </w:pPr>
            <w:r w:rsidRPr="00894A98">
              <w:t>$300 daily</w:t>
            </w:r>
          </w:p>
        </w:tc>
        <w:tc>
          <w:tcPr>
            <w:tcW w:w="1308" w:type="dxa"/>
            <w:hideMark/>
          </w:tcPr>
          <w:p w14:paraId="5C97B527" w14:textId="77777777" w:rsidR="000914A0" w:rsidRPr="00894A98" w:rsidRDefault="000914A0" w:rsidP="000914A0">
            <w:pPr>
              <w:cnfStyle w:val="000000000000" w:firstRow="0" w:lastRow="0" w:firstColumn="0" w:lastColumn="0" w:oddVBand="0" w:evenVBand="0" w:oddHBand="0" w:evenHBand="0" w:firstRowFirstColumn="0" w:firstRowLastColumn="0" w:lastRowFirstColumn="0" w:lastRowLastColumn="0"/>
            </w:pPr>
            <w:r w:rsidRPr="00894A98">
              <w:t>N/A</w:t>
            </w:r>
          </w:p>
        </w:tc>
        <w:tc>
          <w:tcPr>
            <w:tcW w:w="2109" w:type="dxa"/>
            <w:hideMark/>
          </w:tcPr>
          <w:p w14:paraId="1AAE89CD" w14:textId="77777777" w:rsidR="000914A0" w:rsidRDefault="00E73B62" w:rsidP="000914A0">
            <w:pPr>
              <w:pStyle w:val="TableParagraph"/>
              <w:spacing w:line="20" w:lineRule="exact"/>
              <w:ind w:left="1878" w:right="-72"/>
              <w:cnfStyle w:val="000000000000" w:firstRow="0" w:lastRow="0" w:firstColumn="0" w:lastColumn="0" w:oddVBand="0" w:evenVBand="0" w:oddHBand="0" w:evenHBand="0" w:firstRowFirstColumn="0" w:firstRowLastColumn="0" w:lastRowFirstColumn="0" w:lastRowLastColumn="0"/>
              <w:rPr>
                <w:sz w:val="2"/>
              </w:rPr>
            </w:pPr>
            <w:r>
              <w:rPr>
                <w:sz w:val="2"/>
              </w:rPr>
            </w:r>
            <w:r>
              <w:rPr>
                <w:sz w:val="2"/>
              </w:rPr>
              <w:pict w14:anchorId="3901F205">
                <v:group id="docshapegroup4660" o:spid="_x0000_s1054" style="width:.5pt;height:.5pt;mso-position-horizontal-relative:char;mso-position-vertical-relative:line" coordsize="10,10">
                  <v:shape id="docshape4661" o:spid="_x0000_s1055" style="position:absolute;width:10;height:10" coordsize="10,10" path="m,5l1,1,5,,9,1r1,4l9,9,5,10,1,9,,5xe" fillcolor="#77787b" stroked="f">
                    <v:path arrowok="t"/>
                  </v:shape>
                  <w10:wrap type="none"/>
                  <w10:anchorlock/>
                </v:group>
              </w:pict>
            </w:r>
          </w:p>
          <w:p w14:paraId="430D89C9" w14:textId="34E94B19" w:rsidR="000914A0" w:rsidRPr="00894A98" w:rsidRDefault="000914A0" w:rsidP="000914A0">
            <w:pPr>
              <w:cnfStyle w:val="000000000000" w:firstRow="0" w:lastRow="0" w:firstColumn="0" w:lastColumn="0" w:oddVBand="0" w:evenVBand="0" w:oddHBand="0" w:evenHBand="0" w:firstRowFirstColumn="0" w:firstRowLastColumn="0" w:lastRowFirstColumn="0" w:lastRowLastColumn="0"/>
            </w:pPr>
            <w:r>
              <w:rPr>
                <w:color w:val="58595B"/>
                <w:spacing w:val="-4"/>
                <w:w w:val="105"/>
              </w:rPr>
              <w:t>$300</w:t>
            </w:r>
          </w:p>
        </w:tc>
      </w:tr>
      <w:tr w:rsidR="006800C7" w:rsidRPr="00AF4C3D" w14:paraId="37D7A160" w14:textId="77777777" w:rsidTr="000914A0">
        <w:tc>
          <w:tcPr>
            <w:cnfStyle w:val="001000000000" w:firstRow="0" w:lastRow="0" w:firstColumn="1" w:lastColumn="0" w:oddVBand="0" w:evenVBand="0" w:oddHBand="0" w:evenHBand="0" w:firstRowFirstColumn="0" w:firstRowLastColumn="0" w:lastRowFirstColumn="0" w:lastRowLastColumn="0"/>
            <w:tcW w:w="1736" w:type="dxa"/>
            <w:hideMark/>
          </w:tcPr>
          <w:p w14:paraId="35681235" w14:textId="77777777" w:rsidR="006800C7" w:rsidRPr="00894A98" w:rsidRDefault="006800C7" w:rsidP="00F31956">
            <w:r w:rsidRPr="00894A98">
              <w:t>No. scheduled meetings/sessions</w:t>
            </w:r>
          </w:p>
        </w:tc>
        <w:tc>
          <w:tcPr>
            <w:tcW w:w="7324" w:type="dxa"/>
            <w:gridSpan w:val="5"/>
            <w:hideMark/>
          </w:tcPr>
          <w:p w14:paraId="748F485A" w14:textId="28E5635B" w:rsidR="006800C7" w:rsidRPr="00894A98" w:rsidRDefault="000914A0" w:rsidP="00F31956">
            <w:pPr>
              <w:cnfStyle w:val="000000000000" w:firstRow="0" w:lastRow="0" w:firstColumn="0" w:lastColumn="0" w:oddVBand="0" w:evenVBand="0" w:oddHBand="0" w:evenHBand="0" w:firstRowFirstColumn="0" w:firstRowLastColumn="0" w:lastRowFirstColumn="0" w:lastRowLastColumn="0"/>
            </w:pPr>
            <w:r>
              <w:t>1</w:t>
            </w:r>
          </w:p>
        </w:tc>
      </w:tr>
      <w:tr w:rsidR="006800C7" w:rsidRPr="00AF4C3D" w14:paraId="7CC66A8F" w14:textId="77777777" w:rsidTr="000914A0">
        <w:tc>
          <w:tcPr>
            <w:cnfStyle w:val="001000000000" w:firstRow="0" w:lastRow="0" w:firstColumn="1" w:lastColumn="0" w:oddVBand="0" w:evenVBand="0" w:oddHBand="0" w:evenHBand="0" w:firstRowFirstColumn="0" w:firstRowLastColumn="0" w:lastRowFirstColumn="0" w:lastRowLastColumn="0"/>
            <w:tcW w:w="1736" w:type="dxa"/>
            <w:hideMark/>
          </w:tcPr>
          <w:p w14:paraId="6656C34E" w14:textId="77777777" w:rsidR="006800C7" w:rsidRPr="00894A98" w:rsidRDefault="006800C7" w:rsidP="00F31956">
            <w:r w:rsidRPr="00894A98">
              <w:t>Total out of pocket expenses</w:t>
            </w:r>
          </w:p>
        </w:tc>
        <w:tc>
          <w:tcPr>
            <w:tcW w:w="7324" w:type="dxa"/>
            <w:gridSpan w:val="5"/>
            <w:hideMark/>
          </w:tcPr>
          <w:p w14:paraId="298F629A" w14:textId="187B953C" w:rsidR="006800C7" w:rsidRPr="00894A98" w:rsidRDefault="007D0139" w:rsidP="00F31956">
            <w:pPr>
              <w:cnfStyle w:val="000000000000" w:firstRow="0" w:lastRow="0" w:firstColumn="0" w:lastColumn="0" w:oddVBand="0" w:evenVBand="0" w:oddHBand="0" w:evenHBand="0" w:firstRowFirstColumn="0" w:firstRowLastColumn="0" w:lastRowFirstColumn="0" w:lastRowLastColumn="0"/>
            </w:pPr>
            <w:r>
              <w:rPr>
                <w:color w:val="58595B"/>
                <w:spacing w:val="-2"/>
                <w:w w:val="110"/>
              </w:rPr>
              <w:t>$1,590</w:t>
            </w:r>
          </w:p>
        </w:tc>
      </w:tr>
    </w:tbl>
    <w:p w14:paraId="1CA63D56" w14:textId="77777777" w:rsidR="006800C7" w:rsidRDefault="006800C7" w:rsidP="006800C7">
      <w:pPr>
        <w:spacing w:before="0" w:after="160" w:line="259" w:lineRule="auto"/>
      </w:pPr>
      <w:r>
        <w:br w:type="page"/>
      </w:r>
    </w:p>
    <w:p w14:paraId="308BBB73" w14:textId="77777777" w:rsidR="006800C7" w:rsidRDefault="006800C7" w:rsidP="006800C7">
      <w:pPr>
        <w:pStyle w:val="Heading2"/>
      </w:pPr>
      <w:r>
        <w:lastRenderedPageBreak/>
        <w:t xml:space="preserve">Glossary </w:t>
      </w:r>
    </w:p>
    <w:p w14:paraId="7BA2EEE2" w14:textId="77777777" w:rsidR="006800C7" w:rsidRPr="002555CB" w:rsidRDefault="006800C7" w:rsidP="006800C7"/>
    <w:tbl>
      <w:tblPr>
        <w:tblStyle w:val="GridTable1Light"/>
        <w:tblW w:w="0" w:type="auto"/>
        <w:tblLook w:val="04A0" w:firstRow="1" w:lastRow="0" w:firstColumn="1" w:lastColumn="0" w:noHBand="0" w:noVBand="1"/>
      </w:tblPr>
      <w:tblGrid>
        <w:gridCol w:w="2552"/>
        <w:gridCol w:w="6508"/>
      </w:tblGrid>
      <w:tr w:rsidR="006800C7" w14:paraId="15BEE7E3" w14:textId="77777777" w:rsidTr="00F31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4B35893" w14:textId="77777777" w:rsidR="006800C7" w:rsidRPr="003447D4" w:rsidRDefault="006800C7" w:rsidP="00F31956">
            <w:pPr>
              <w:pStyle w:val="BodyText"/>
            </w:pPr>
            <w:r>
              <w:t xml:space="preserve">Term </w:t>
            </w:r>
          </w:p>
        </w:tc>
        <w:tc>
          <w:tcPr>
            <w:tcW w:w="6508" w:type="dxa"/>
          </w:tcPr>
          <w:p w14:paraId="5F59DEA2" w14:textId="77777777" w:rsidR="006800C7" w:rsidRPr="003447D4" w:rsidRDefault="006800C7" w:rsidP="00F31956">
            <w:pPr>
              <w:pStyle w:val="BodyText"/>
              <w:cnfStyle w:val="100000000000" w:firstRow="1" w:lastRow="0" w:firstColumn="0" w:lastColumn="0" w:oddVBand="0" w:evenVBand="0" w:oddHBand="0" w:evenHBand="0" w:firstRowFirstColumn="0" w:firstRowLastColumn="0" w:lastRowFirstColumn="0" w:lastRowLastColumn="0"/>
            </w:pPr>
            <w:r>
              <w:t xml:space="preserve">Definition </w:t>
            </w:r>
          </w:p>
        </w:tc>
      </w:tr>
      <w:tr w:rsidR="001D071E" w14:paraId="13132EE3"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57D2ACAE" w14:textId="5041C20D" w:rsidR="001D071E" w:rsidRPr="002E53BF" w:rsidRDefault="001D071E" w:rsidP="001D071E">
            <w:pPr>
              <w:pStyle w:val="BodyText"/>
            </w:pPr>
            <w:r w:rsidRPr="00C11D23">
              <w:t>3PCM</w:t>
            </w:r>
          </w:p>
        </w:tc>
        <w:tc>
          <w:tcPr>
            <w:tcW w:w="6508" w:type="dxa"/>
            <w:vAlign w:val="bottom"/>
          </w:tcPr>
          <w:p w14:paraId="48377869" w14:textId="3B5D1206"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C11D23">
              <w:t xml:space="preserve">The 3PCM solution provides TMR with the capability to manage the Transport Infrastructure Portfolio, through integration of the portfolio, program, project and contract management processes.  The solution manages Queensland Transport Infrastructure Program (QTRIP) activity </w:t>
            </w:r>
            <w:r w:rsidR="00AE6FB1" w:rsidRPr="00C11D23">
              <w:t>and</w:t>
            </w:r>
            <w:r w:rsidRPr="00C11D23">
              <w:t xml:space="preserve"> delivers the QTRIP development and publications requirements.</w:t>
            </w:r>
          </w:p>
        </w:tc>
      </w:tr>
      <w:tr w:rsidR="001D071E" w14:paraId="0FC1C3F5"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61FA6CAA" w14:textId="14E81C91" w:rsidR="001D071E" w:rsidRPr="002E53BF" w:rsidRDefault="001D071E" w:rsidP="001D071E">
            <w:pPr>
              <w:pStyle w:val="BodyText"/>
            </w:pPr>
            <w:r w:rsidRPr="003447D4">
              <w:t>App / Application</w:t>
            </w:r>
          </w:p>
        </w:tc>
        <w:tc>
          <w:tcPr>
            <w:tcW w:w="6508" w:type="dxa"/>
            <w:vAlign w:val="bottom"/>
          </w:tcPr>
          <w:p w14:paraId="5F27AA6B" w14:textId="3CB608A5"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3447D4">
              <w:t>An application (application software) is a set of computer programs designed to permit the user to perform a group of coordinated functions, tasks or activities.</w:t>
            </w:r>
          </w:p>
        </w:tc>
      </w:tr>
      <w:tr w:rsidR="001D071E" w14:paraId="16F447B6"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178755DD" w14:textId="104CB24B" w:rsidR="001D071E" w:rsidRPr="002E53BF" w:rsidRDefault="001D071E" w:rsidP="001D071E">
            <w:pPr>
              <w:pStyle w:val="BodyText"/>
            </w:pPr>
            <w:r w:rsidRPr="003447D4">
              <w:t>Australian Roads Research Board</w:t>
            </w:r>
          </w:p>
        </w:tc>
        <w:tc>
          <w:tcPr>
            <w:tcW w:w="6508" w:type="dxa"/>
            <w:vAlign w:val="bottom"/>
          </w:tcPr>
          <w:p w14:paraId="3DF5BA2E" w14:textId="38816F60"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3447D4">
              <w:t>Provides research, consulting and information services to the road and transport industry.</w:t>
            </w:r>
          </w:p>
        </w:tc>
      </w:tr>
      <w:tr w:rsidR="001D071E" w14:paraId="22EAFE6E"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346FD228" w14:textId="38CAFC38" w:rsidR="001D071E" w:rsidRPr="002E53BF" w:rsidRDefault="001D071E" w:rsidP="001D071E">
            <w:pPr>
              <w:pStyle w:val="BodyText"/>
            </w:pPr>
            <w:r w:rsidRPr="003447D4">
              <w:t>Black Spot Program</w:t>
            </w:r>
          </w:p>
        </w:tc>
        <w:tc>
          <w:tcPr>
            <w:tcW w:w="6508" w:type="dxa"/>
            <w:vAlign w:val="bottom"/>
          </w:tcPr>
          <w:p w14:paraId="40DE157C" w14:textId="0F09AEA8"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3447D4">
              <w:t xml:space="preserve">Black spots are locations where high-severity crashes occur. The Australian </w:t>
            </w:r>
            <w:r w:rsidRPr="00E06039">
              <w:t>Government-funded Black Spot Program targets known crash sites through cost-effective, high-benefit engineering works to reduce accidents on Australian roads.</w:t>
            </w:r>
          </w:p>
        </w:tc>
      </w:tr>
      <w:tr w:rsidR="001D071E" w14:paraId="64D1E3CA"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2C2F8745" w14:textId="5E5A5D94" w:rsidR="001D071E" w:rsidRPr="002E53BF" w:rsidRDefault="001D071E" w:rsidP="001D071E">
            <w:pPr>
              <w:pStyle w:val="BodyText"/>
            </w:pPr>
            <w:r w:rsidRPr="003447D4">
              <w:t>Busway</w:t>
            </w:r>
          </w:p>
        </w:tc>
        <w:tc>
          <w:tcPr>
            <w:tcW w:w="6508" w:type="dxa"/>
            <w:vAlign w:val="bottom"/>
          </w:tcPr>
          <w:p w14:paraId="36653C95" w14:textId="58138C7D"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3447D4">
              <w:t>A dedicated roadway that separates buses from general traffic.</w:t>
            </w:r>
          </w:p>
        </w:tc>
      </w:tr>
      <w:tr w:rsidR="001D071E" w14:paraId="30BC216D"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631C970B" w14:textId="2F3477FE" w:rsidR="001D071E" w:rsidRPr="002E53BF" w:rsidRDefault="001D071E" w:rsidP="001D071E">
            <w:pPr>
              <w:pStyle w:val="BodyText"/>
            </w:pPr>
            <w:r w:rsidRPr="003447D4">
              <w:t>Camera Detected Offence Program (CDOP)</w:t>
            </w:r>
          </w:p>
        </w:tc>
        <w:tc>
          <w:tcPr>
            <w:tcW w:w="6508" w:type="dxa"/>
            <w:vAlign w:val="bottom"/>
          </w:tcPr>
          <w:p w14:paraId="5ADB78F4" w14:textId="1EA97A1C"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3447D4">
              <w:t>A joint partnership between TMR and QPS, the CDOP comprises revenue collected from mobile speed cameras, fixed speed cameras, red light cameras, combined red light/speed cameras and point-to-point speed camera systems and trailer mounted speed cameras. CDOP revenue is used as a partial source of funding for the Safer Roads Sooner Program and a number of other safety-related state-funded special initiatives.</w:t>
            </w:r>
          </w:p>
        </w:tc>
      </w:tr>
      <w:tr w:rsidR="001D071E" w14:paraId="4D47C3BF"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3C5B24F2" w14:textId="2D311CF8" w:rsidR="001D071E" w:rsidRPr="002E53BF" w:rsidRDefault="001D071E" w:rsidP="001D071E">
            <w:pPr>
              <w:pStyle w:val="BodyText"/>
            </w:pPr>
            <w:r w:rsidRPr="003447D4">
              <w:t>Cross River Rail Delivery Authority</w:t>
            </w:r>
          </w:p>
        </w:tc>
        <w:tc>
          <w:tcPr>
            <w:tcW w:w="6508" w:type="dxa"/>
            <w:vAlign w:val="bottom"/>
          </w:tcPr>
          <w:p w14:paraId="0FA5234C" w14:textId="09761C18"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3447D4">
              <w:t xml:space="preserve">Established under the </w:t>
            </w:r>
            <w:r w:rsidRPr="00FE0959">
              <w:rPr>
                <w:rStyle w:val="Emphasis"/>
              </w:rPr>
              <w:t>Cross River Rail Delivery Authority Act 2016</w:t>
            </w:r>
            <w:r w:rsidRPr="003447D4">
              <w:t>, the Cross River Rail Delivery Authority lead the development, procurement and delivery of the Cross River Rail project.</w:t>
            </w:r>
          </w:p>
        </w:tc>
      </w:tr>
      <w:tr w:rsidR="001D071E" w14:paraId="0E94360D"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552D4583" w14:textId="625EE8ED" w:rsidR="001D071E" w:rsidRPr="002E53BF" w:rsidRDefault="001D071E" w:rsidP="001D071E">
            <w:pPr>
              <w:pStyle w:val="BodyText"/>
            </w:pPr>
            <w:r w:rsidRPr="003447D4">
              <w:t>Cycling infrastructure</w:t>
            </w:r>
          </w:p>
        </w:tc>
        <w:tc>
          <w:tcPr>
            <w:tcW w:w="6508" w:type="dxa"/>
            <w:vAlign w:val="bottom"/>
          </w:tcPr>
          <w:p w14:paraId="44D0853C" w14:textId="112B850B"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3447D4">
              <w:t>Facilities such as on-road and off-road cycling networks, and end-of-trip facilities to promote increased use of cycling through safe direct and connected routes and increased transport choices.</w:t>
            </w:r>
          </w:p>
        </w:tc>
      </w:tr>
      <w:tr w:rsidR="001D071E" w14:paraId="4F867314"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66EA4FBC" w14:textId="662749CD" w:rsidR="001D071E" w:rsidRPr="002E53BF" w:rsidRDefault="001D071E" w:rsidP="001D071E">
            <w:pPr>
              <w:pStyle w:val="BodyText"/>
            </w:pPr>
            <w:r w:rsidRPr="0030430A">
              <w:lastRenderedPageBreak/>
              <w:t>Disability Discrimination Act</w:t>
            </w:r>
          </w:p>
        </w:tc>
        <w:tc>
          <w:tcPr>
            <w:tcW w:w="6508" w:type="dxa"/>
            <w:vAlign w:val="bottom"/>
          </w:tcPr>
          <w:p w14:paraId="4601D648" w14:textId="22A03855"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30430A">
              <w:t xml:space="preserve">The federal </w:t>
            </w:r>
            <w:r w:rsidRPr="00FE0959">
              <w:rPr>
                <w:rStyle w:val="Emphasis"/>
              </w:rPr>
              <w:t>Disability Discrimination Act 1992</w:t>
            </w:r>
            <w:r w:rsidRPr="0030430A">
              <w:t xml:space="preserve"> (DDA) provides protection for everyone in Australia against </w:t>
            </w:r>
            <w:r w:rsidRPr="00E06039">
              <w:t>discrimination based on disability. It encourages everyone to be involved in implementing the Act and to share in the overall benefits to the community and the economy that flow from participation by the widest range of people.</w:t>
            </w:r>
          </w:p>
        </w:tc>
      </w:tr>
      <w:tr w:rsidR="001D071E" w14:paraId="0980CBE4"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73F9A7D2" w14:textId="0096DDA0" w:rsidR="001D071E" w:rsidRPr="002E53BF" w:rsidRDefault="001D071E" w:rsidP="001D071E">
            <w:pPr>
              <w:pStyle w:val="BodyText"/>
            </w:pPr>
            <w:r w:rsidRPr="0030430A">
              <w:t>Disaster Recovery Funding Arrangements</w:t>
            </w:r>
          </w:p>
        </w:tc>
        <w:tc>
          <w:tcPr>
            <w:tcW w:w="6508" w:type="dxa"/>
            <w:vAlign w:val="bottom"/>
          </w:tcPr>
          <w:p w14:paraId="4BA81029" w14:textId="2148E012"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30430A">
              <w:t>A joint Commonwealth/state government funding initiative providing financial assistance and infrastructure restoration to help communities recover from the effects of disasters. The DRFA apply to disaster events that occurred on or after 1 November 2018.</w:t>
            </w:r>
          </w:p>
        </w:tc>
      </w:tr>
      <w:tr w:rsidR="001D071E" w14:paraId="5ED43D91"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2D1A98E2" w14:textId="4DAB3C36" w:rsidR="001D071E" w:rsidRPr="002E53BF" w:rsidRDefault="001D071E" w:rsidP="001D071E">
            <w:pPr>
              <w:pStyle w:val="BodyText"/>
            </w:pPr>
            <w:r w:rsidRPr="0030430A">
              <w:t>Diverging Diamond Interchange design</w:t>
            </w:r>
          </w:p>
        </w:tc>
        <w:tc>
          <w:tcPr>
            <w:tcW w:w="6508" w:type="dxa"/>
            <w:vAlign w:val="bottom"/>
          </w:tcPr>
          <w:p w14:paraId="7067F2A3" w14:textId="3A7FC92F"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30430A">
              <w:t>Diverging Diamond Interchange design allows right-turning traffic and through traffic to move through the interchange simultaneously reducing delays and improving safety.</w:t>
            </w:r>
          </w:p>
        </w:tc>
      </w:tr>
      <w:tr w:rsidR="001D071E" w14:paraId="10844685"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0F4AC250" w14:textId="1E834FA5" w:rsidR="001D071E" w:rsidRPr="002E53BF" w:rsidRDefault="001D071E" w:rsidP="001D071E">
            <w:pPr>
              <w:pStyle w:val="BodyText"/>
            </w:pPr>
            <w:r w:rsidRPr="0030430A">
              <w:t>Engagement</w:t>
            </w:r>
          </w:p>
        </w:tc>
        <w:tc>
          <w:tcPr>
            <w:tcW w:w="6508" w:type="dxa"/>
            <w:vAlign w:val="bottom"/>
          </w:tcPr>
          <w:p w14:paraId="420D3A59" w14:textId="5E5ACE84"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30430A">
              <w:t>Measures the amount of interest in a social media post. It is determined by the number of people a post reaches who then like, comment, share or click on the post.</w:t>
            </w:r>
          </w:p>
        </w:tc>
      </w:tr>
      <w:tr w:rsidR="001D071E" w14:paraId="56031238"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3D921C28" w14:textId="1F4A988D" w:rsidR="001D071E" w:rsidRPr="002E53BF" w:rsidRDefault="001D071E" w:rsidP="001D071E">
            <w:pPr>
              <w:pStyle w:val="BodyText"/>
            </w:pPr>
            <w:r w:rsidRPr="0030430A">
              <w:t>Facebook</w:t>
            </w:r>
          </w:p>
        </w:tc>
        <w:tc>
          <w:tcPr>
            <w:tcW w:w="6508" w:type="dxa"/>
            <w:vAlign w:val="bottom"/>
          </w:tcPr>
          <w:p w14:paraId="294EFB15" w14:textId="083FDA5E"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30430A">
              <w:t>Facebook is an online social networking service where users can post comments, share photographs and post links to news or other interesting content on the web, chat live, and watch short-form video.</w:t>
            </w:r>
          </w:p>
        </w:tc>
      </w:tr>
      <w:tr w:rsidR="001D071E" w14:paraId="1210C781"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4EDED405" w14:textId="3034AD08" w:rsidR="001D071E" w:rsidRPr="002E53BF" w:rsidRDefault="001D071E" w:rsidP="001D071E">
            <w:pPr>
              <w:pStyle w:val="BodyText"/>
            </w:pPr>
            <w:r w:rsidRPr="0030430A">
              <w:t>European Train Control System</w:t>
            </w:r>
          </w:p>
        </w:tc>
        <w:tc>
          <w:tcPr>
            <w:tcW w:w="6508" w:type="dxa"/>
            <w:vAlign w:val="bottom"/>
          </w:tcPr>
          <w:p w14:paraId="5578B050" w14:textId="55E6F922"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30430A">
              <w:t>European Train Control System is an automatic train protection system.</w:t>
            </w:r>
          </w:p>
        </w:tc>
      </w:tr>
      <w:tr w:rsidR="001D071E" w14:paraId="2AAD17BC"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28C25C8F" w14:textId="5D066E31" w:rsidR="001D071E" w:rsidRPr="002E53BF" w:rsidRDefault="001D071E" w:rsidP="001D071E">
            <w:pPr>
              <w:pStyle w:val="BodyText"/>
            </w:pPr>
            <w:r w:rsidRPr="0030430A">
              <w:t>Flashing School Zone Signs</w:t>
            </w:r>
          </w:p>
        </w:tc>
        <w:tc>
          <w:tcPr>
            <w:tcW w:w="6508" w:type="dxa"/>
            <w:vAlign w:val="bottom"/>
          </w:tcPr>
          <w:p w14:paraId="4365925F" w14:textId="4D1D4393"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30430A">
              <w:t xml:space="preserve">Consists of a standard </w:t>
            </w:r>
            <w:r w:rsidRPr="00E06039">
              <w:t>school zone sign that incorporates a flashing red circle and twin alternate flashing yellow lights mounted above the 'school zone' plate.</w:t>
            </w:r>
          </w:p>
        </w:tc>
      </w:tr>
      <w:tr w:rsidR="001D071E" w14:paraId="53BB260A"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4D745D3D" w14:textId="4A3ED5AD" w:rsidR="001D071E" w:rsidRPr="002E53BF" w:rsidRDefault="001D071E" w:rsidP="001D071E">
            <w:pPr>
              <w:pStyle w:val="BodyText"/>
            </w:pPr>
            <w:r w:rsidRPr="0030430A">
              <w:t>Full-time equivalent</w:t>
            </w:r>
          </w:p>
        </w:tc>
        <w:tc>
          <w:tcPr>
            <w:tcW w:w="6508" w:type="dxa"/>
            <w:vAlign w:val="bottom"/>
          </w:tcPr>
          <w:p w14:paraId="0429D41E" w14:textId="51267468"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30430A">
              <w:t>Calculated by the number of hours worked in a period divided by the full-time hours prescribed by the award or industrial instrument for the person’s position.</w:t>
            </w:r>
          </w:p>
        </w:tc>
      </w:tr>
      <w:tr w:rsidR="001D071E" w14:paraId="3D73FF46"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4DAF2EBD" w14:textId="525DDCBA" w:rsidR="001D071E" w:rsidRPr="002E53BF" w:rsidRDefault="001D071E" w:rsidP="001D071E">
            <w:pPr>
              <w:pStyle w:val="BodyText"/>
            </w:pPr>
            <w:r w:rsidRPr="00FE0959">
              <w:rPr>
                <w:rStyle w:val="Emphasis"/>
              </w:rPr>
              <w:t>go</w:t>
            </w:r>
            <w:r w:rsidRPr="00F56C99">
              <w:t xml:space="preserve"> card</w:t>
            </w:r>
          </w:p>
        </w:tc>
        <w:tc>
          <w:tcPr>
            <w:tcW w:w="6508" w:type="dxa"/>
            <w:vAlign w:val="bottom"/>
          </w:tcPr>
          <w:p w14:paraId="54A0F215" w14:textId="227DDC29"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F56C99">
              <w:t>Trans</w:t>
            </w:r>
            <w:r>
              <w:t>l</w:t>
            </w:r>
            <w:r w:rsidRPr="00F56C99">
              <w:t>ink’s smartcard (a thin, compact card about the size of a credit card) which stores up to $250 of electronic credit.</w:t>
            </w:r>
          </w:p>
        </w:tc>
      </w:tr>
      <w:tr w:rsidR="001D071E" w14:paraId="657DB5F2"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2614ECA2" w14:textId="626C34BB" w:rsidR="001D071E" w:rsidRPr="002E53BF" w:rsidRDefault="001D071E" w:rsidP="001D071E">
            <w:pPr>
              <w:pStyle w:val="BodyText"/>
            </w:pPr>
            <w:r w:rsidRPr="00F56C99">
              <w:t>Impressions</w:t>
            </w:r>
          </w:p>
        </w:tc>
        <w:tc>
          <w:tcPr>
            <w:tcW w:w="6508" w:type="dxa"/>
            <w:vAlign w:val="bottom"/>
          </w:tcPr>
          <w:p w14:paraId="0BC6D247" w14:textId="0427DE8C"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F56C99">
              <w:t xml:space="preserve">Measures the amount of time a social media </w:t>
            </w:r>
            <w:r w:rsidRPr="00E06039">
              <w:t>page’s content is displayed.</w:t>
            </w:r>
          </w:p>
        </w:tc>
      </w:tr>
      <w:tr w:rsidR="001D071E" w14:paraId="2DC4C1EA"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22BA020C" w14:textId="4ADBB339" w:rsidR="001D071E" w:rsidRPr="002E53BF" w:rsidRDefault="001D071E" w:rsidP="001D071E">
            <w:pPr>
              <w:pStyle w:val="BodyText"/>
            </w:pPr>
            <w:r w:rsidRPr="00F56C99">
              <w:t>Insitu</w:t>
            </w:r>
          </w:p>
        </w:tc>
        <w:tc>
          <w:tcPr>
            <w:tcW w:w="6508" w:type="dxa"/>
            <w:vAlign w:val="bottom"/>
          </w:tcPr>
          <w:p w14:paraId="54ED46DF" w14:textId="26E6DA34"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F56C99">
              <w:t>A stabilisation technique involving mixing of cementitious additives or foamed bitumen and lime using a stabiliser with the existing pavement material, which is then compacted with dedicated rollers.</w:t>
            </w:r>
          </w:p>
        </w:tc>
      </w:tr>
      <w:tr w:rsidR="001D071E" w14:paraId="1F5802C4"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704FECDF" w14:textId="1FDDB082" w:rsidR="001D071E" w:rsidRPr="002E53BF" w:rsidRDefault="001D071E" w:rsidP="001D071E">
            <w:pPr>
              <w:pStyle w:val="BodyText"/>
            </w:pPr>
            <w:r w:rsidRPr="00F56C99">
              <w:lastRenderedPageBreak/>
              <w:t>Intelligent Transport System (ITS)</w:t>
            </w:r>
          </w:p>
        </w:tc>
        <w:tc>
          <w:tcPr>
            <w:tcW w:w="6508" w:type="dxa"/>
            <w:vAlign w:val="bottom"/>
          </w:tcPr>
          <w:p w14:paraId="453F1010" w14:textId="3E946694"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F56C99">
              <w:t>Intelligent Transport Systems describe technology applied to transport and infrastructure to transfer information between systems for improved safety, productivity and environmental performance.</w:t>
            </w:r>
          </w:p>
        </w:tc>
      </w:tr>
      <w:tr w:rsidR="001D071E" w14:paraId="427F1EFC"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0E6EE196" w14:textId="765935D6" w:rsidR="001D071E" w:rsidRPr="002E53BF" w:rsidRDefault="001D071E" w:rsidP="001D071E">
            <w:pPr>
              <w:pStyle w:val="BodyText"/>
            </w:pPr>
            <w:r w:rsidRPr="00F56C99">
              <w:t>LinkedIn</w:t>
            </w:r>
          </w:p>
        </w:tc>
        <w:tc>
          <w:tcPr>
            <w:tcW w:w="6508" w:type="dxa"/>
            <w:vAlign w:val="bottom"/>
          </w:tcPr>
          <w:p w14:paraId="4ED0FCCD" w14:textId="7EEE57E6"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F56C99">
              <w:t>LinkedIn is an online social networking service designed specifically for the business community and as an online platform for connecting with other professionals.</w:t>
            </w:r>
          </w:p>
        </w:tc>
      </w:tr>
      <w:tr w:rsidR="001D071E" w14:paraId="4BF624FD"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21D49393" w14:textId="0DDA2089" w:rsidR="001D071E" w:rsidRPr="002E53BF" w:rsidRDefault="001D071E" w:rsidP="001D071E">
            <w:pPr>
              <w:pStyle w:val="BodyText"/>
            </w:pPr>
            <w:r w:rsidRPr="00F56C99">
              <w:t>Local Government Association of Queensland (LGAQ)</w:t>
            </w:r>
          </w:p>
        </w:tc>
        <w:tc>
          <w:tcPr>
            <w:tcW w:w="6508" w:type="dxa"/>
            <w:vAlign w:val="bottom"/>
          </w:tcPr>
          <w:p w14:paraId="732E22B3" w14:textId="31AAD095"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D36373">
              <w:t>The Local Government Association of Queensland is the peak body for local government in Queensland. It is a not-for-profit</w:t>
            </w:r>
            <w:r>
              <w:t xml:space="preserve"> </w:t>
            </w:r>
            <w:r w:rsidRPr="00D36373">
              <w:t>association set up solely to serve the state’s 77 councils and their individual needs</w:t>
            </w:r>
          </w:p>
        </w:tc>
      </w:tr>
      <w:tr w:rsidR="001D071E" w14:paraId="346F2957"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3CF5D068" w14:textId="78019F88" w:rsidR="001D071E" w:rsidRPr="002E53BF" w:rsidRDefault="001D071E" w:rsidP="001D071E">
            <w:pPr>
              <w:pStyle w:val="BodyText"/>
            </w:pPr>
            <w:r w:rsidRPr="00F56C99">
              <w:t>Maritime Safety Queensland (MSQ)</w:t>
            </w:r>
          </w:p>
        </w:tc>
        <w:tc>
          <w:tcPr>
            <w:tcW w:w="6508" w:type="dxa"/>
            <w:vAlign w:val="bottom"/>
          </w:tcPr>
          <w:p w14:paraId="3D48FF19" w14:textId="789DE302"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F56C99">
              <w:t>A branch of TMR responsible for: improving maritime safety for shipping and small craft through regulation and education; minimising vessel-sourced waste and responding to marine pollution; providing essential maritime services such as aids to navigation and Vessel Traffic Services; and encouraging and supporting innovation in the Queensland maritime industry.</w:t>
            </w:r>
          </w:p>
        </w:tc>
      </w:tr>
      <w:tr w:rsidR="001D071E" w14:paraId="04C014ED"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2791BE7B" w14:textId="079C6D14" w:rsidR="001D071E" w:rsidRPr="002E53BF" w:rsidRDefault="001D071E" w:rsidP="001D071E">
            <w:pPr>
              <w:pStyle w:val="BodyText"/>
            </w:pPr>
            <w:r w:rsidRPr="00F56C99">
              <w:t>National Land Transport Network</w:t>
            </w:r>
          </w:p>
        </w:tc>
        <w:tc>
          <w:tcPr>
            <w:tcW w:w="6508" w:type="dxa"/>
            <w:vAlign w:val="bottom"/>
          </w:tcPr>
          <w:p w14:paraId="1D45404A" w14:textId="0B96C097"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F56C99">
              <w:t>The National Land Transport Network is a network of nationally important road and rail infrastructure links and their intermodal connections as identified by the Australian Government.</w:t>
            </w:r>
          </w:p>
        </w:tc>
      </w:tr>
      <w:tr w:rsidR="001D071E" w14:paraId="20E17BFD"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57EF8ADC" w14:textId="5A86B26C" w:rsidR="001D071E" w:rsidRPr="002E53BF" w:rsidRDefault="001D071E" w:rsidP="001D071E">
            <w:pPr>
              <w:pStyle w:val="BodyText"/>
            </w:pPr>
            <w:r w:rsidRPr="0037284D">
              <w:t>New Generation Rollingstock project</w:t>
            </w:r>
          </w:p>
        </w:tc>
        <w:tc>
          <w:tcPr>
            <w:tcW w:w="6508" w:type="dxa"/>
            <w:vAlign w:val="bottom"/>
          </w:tcPr>
          <w:p w14:paraId="1BAEEDB2" w14:textId="166E5977"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37284D">
              <w:t>The NGR project involves the delivery of 75 six-car trains and the construction of a new purpose-built maintenance centre to maintain the new trains for the next 30 years.</w:t>
            </w:r>
          </w:p>
        </w:tc>
      </w:tr>
      <w:tr w:rsidR="001D071E" w14:paraId="2738A103"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055E66D7" w14:textId="7BE75678" w:rsidR="001D071E" w:rsidRPr="002E53BF" w:rsidRDefault="001D071E" w:rsidP="001D071E">
            <w:pPr>
              <w:pStyle w:val="BodyText"/>
            </w:pPr>
            <w:r w:rsidRPr="0037284D">
              <w:t>Northern Australia Roads Program</w:t>
            </w:r>
          </w:p>
        </w:tc>
        <w:tc>
          <w:tcPr>
            <w:tcW w:w="6508" w:type="dxa"/>
            <w:vAlign w:val="bottom"/>
          </w:tcPr>
          <w:p w14:paraId="119BF5FD" w14:textId="4C871094"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37284D">
              <w:t>Australian Government program delivering upgrades to high priority roads in northern Australia essential to the movement of people and freight to support the north's economic development.</w:t>
            </w:r>
          </w:p>
        </w:tc>
      </w:tr>
      <w:tr w:rsidR="001D071E" w14:paraId="790DA2A1"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4285A91C" w14:textId="68781352" w:rsidR="001D071E" w:rsidRPr="002E53BF" w:rsidRDefault="001D071E" w:rsidP="001D071E">
            <w:pPr>
              <w:pStyle w:val="BodyText"/>
            </w:pPr>
            <w:r w:rsidRPr="0037284D">
              <w:t>OneTMR</w:t>
            </w:r>
          </w:p>
        </w:tc>
        <w:tc>
          <w:tcPr>
            <w:tcW w:w="6508" w:type="dxa"/>
            <w:vAlign w:val="bottom"/>
          </w:tcPr>
          <w:p w14:paraId="1CB579C8" w14:textId="0B97E831"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37284D">
              <w:t>A Department of Transport and Main Roads-wide culture and way of operating.</w:t>
            </w:r>
          </w:p>
        </w:tc>
      </w:tr>
      <w:tr w:rsidR="001D071E" w14:paraId="0255F511"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1B24E471" w14:textId="463ABDAF" w:rsidR="001D071E" w:rsidRPr="002E53BF" w:rsidRDefault="001D071E" w:rsidP="001D071E">
            <w:pPr>
              <w:pStyle w:val="BodyText"/>
            </w:pPr>
            <w:r w:rsidRPr="0037284D">
              <w:t>Outback Way Upgrade Program</w:t>
            </w:r>
          </w:p>
        </w:tc>
        <w:tc>
          <w:tcPr>
            <w:tcW w:w="6508" w:type="dxa"/>
            <w:vAlign w:val="bottom"/>
          </w:tcPr>
          <w:p w14:paraId="715C7088" w14:textId="4C34E43F"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37284D">
              <w:t xml:space="preserve">The Outback Way provides a route from Laverton, Western Australia to Winton, Queensland. The Queensland section of this road link is 599 kilometres. </w:t>
            </w:r>
            <w:r>
              <w:t>T</w:t>
            </w:r>
            <w:r w:rsidRPr="0037284D">
              <w:t>he program of works is made up of Australian Government, Queensland Government and local government</w:t>
            </w:r>
            <w:r>
              <w:t xml:space="preserve"> </w:t>
            </w:r>
            <w:r w:rsidRPr="0037284D">
              <w:t>funding commitment</w:t>
            </w:r>
            <w:r>
              <w:t>s</w:t>
            </w:r>
            <w:r w:rsidRPr="0037284D">
              <w:t>. The funding is directed towards both the Outback Way and other road priorities identified by the Outback Regional Roads and Transport Group.</w:t>
            </w:r>
          </w:p>
        </w:tc>
      </w:tr>
      <w:tr w:rsidR="001D071E" w14:paraId="672B012D"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36A730C5" w14:textId="3DDC6578" w:rsidR="001D071E" w:rsidRPr="002E53BF" w:rsidRDefault="001D071E" w:rsidP="001D071E">
            <w:pPr>
              <w:pStyle w:val="BodyText"/>
            </w:pPr>
            <w:r w:rsidRPr="0037284D">
              <w:t>Park ‘n’ ride</w:t>
            </w:r>
          </w:p>
        </w:tc>
        <w:tc>
          <w:tcPr>
            <w:tcW w:w="6508" w:type="dxa"/>
            <w:vAlign w:val="bottom"/>
          </w:tcPr>
          <w:p w14:paraId="4706B3C2" w14:textId="2B6BAEEE"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37284D">
              <w:t>A dedicated car park located at bus and train stations for customers to park their car and then catch public transport to their destination.</w:t>
            </w:r>
          </w:p>
        </w:tc>
      </w:tr>
      <w:tr w:rsidR="001D071E" w14:paraId="220439D9"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77D9042B" w14:textId="16C53F7F" w:rsidR="001D071E" w:rsidRPr="002E53BF" w:rsidRDefault="001D071E" w:rsidP="001D071E">
            <w:pPr>
              <w:pStyle w:val="BodyText"/>
            </w:pPr>
            <w:r w:rsidRPr="004011D2">
              <w:rPr>
                <w:rStyle w:val="Strong"/>
              </w:rPr>
              <w:lastRenderedPageBreak/>
              <w:t>QLD</w:t>
            </w:r>
            <w:r w:rsidRPr="004011D2">
              <w:rPr>
                <w:rStyle w:val="Emphasis"/>
              </w:rPr>
              <w:t>Traffic</w:t>
            </w:r>
          </w:p>
        </w:tc>
        <w:tc>
          <w:tcPr>
            <w:tcW w:w="6508" w:type="dxa"/>
            <w:vAlign w:val="bottom"/>
          </w:tcPr>
          <w:p w14:paraId="5B81EA3E" w14:textId="2BBACB20"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4011D2">
              <w:rPr>
                <w:rStyle w:val="Strong"/>
              </w:rPr>
              <w:t>QLD</w:t>
            </w:r>
            <w:r w:rsidRPr="004011D2">
              <w:rPr>
                <w:rStyle w:val="Emphasis"/>
              </w:rPr>
              <w:t>Traffic</w:t>
            </w:r>
            <w:r w:rsidRPr="00E06039">
              <w:t xml:space="preserve"> is the official source of traffic and travel information from the Queensland Government. It includes a website, 13 19 40 phone service, social media and the </w:t>
            </w:r>
            <w:r w:rsidRPr="004011D2">
              <w:rPr>
                <w:rStyle w:val="Strong"/>
              </w:rPr>
              <w:t>QLD</w:t>
            </w:r>
            <w:r w:rsidRPr="004011D2">
              <w:rPr>
                <w:rStyle w:val="Emphasis"/>
              </w:rPr>
              <w:t>Traffic</w:t>
            </w:r>
            <w:r w:rsidRPr="00E06039">
              <w:t xml:space="preserve"> smartphone app, enabling motorists and commuters to check traffic conditions and plan their journeys before they go.</w:t>
            </w:r>
          </w:p>
        </w:tc>
      </w:tr>
      <w:tr w:rsidR="001D071E" w14:paraId="12631824"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172BEDD6" w14:textId="3D88E934" w:rsidR="001D071E" w:rsidRPr="002E53BF" w:rsidRDefault="001D071E" w:rsidP="001D071E">
            <w:pPr>
              <w:pStyle w:val="BodyText"/>
            </w:pPr>
            <w:r w:rsidRPr="0037284D">
              <w:t>Queensland Government Open Data</w:t>
            </w:r>
          </w:p>
        </w:tc>
        <w:tc>
          <w:tcPr>
            <w:tcW w:w="6508" w:type="dxa"/>
            <w:vAlign w:val="bottom"/>
          </w:tcPr>
          <w:p w14:paraId="0B4FE078" w14:textId="3A540156"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37284D">
              <w:t>A Queensland Government searchable portal that allows visitors to view datasets on a range of government activities and responsibilities.</w:t>
            </w:r>
          </w:p>
        </w:tc>
      </w:tr>
      <w:tr w:rsidR="001D071E" w14:paraId="68CA7FA2"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7EA1C78F" w14:textId="5243CAAB" w:rsidR="001D071E" w:rsidRPr="002E53BF" w:rsidRDefault="001D071E" w:rsidP="001D071E">
            <w:pPr>
              <w:pStyle w:val="BodyText"/>
            </w:pPr>
            <w:r>
              <w:t>Queensland Train Manufacturing Program</w:t>
            </w:r>
          </w:p>
        </w:tc>
        <w:tc>
          <w:tcPr>
            <w:tcW w:w="6508" w:type="dxa"/>
            <w:vAlign w:val="bottom"/>
          </w:tcPr>
          <w:p w14:paraId="1F71B8C7" w14:textId="05C851B3"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8A6208">
              <w:t>The Queensland Train Manufacturing Program was established to meet the increasing demand for rail transport in South East Queensland over the next 10 years.</w:t>
            </w:r>
          </w:p>
        </w:tc>
      </w:tr>
      <w:tr w:rsidR="001D071E" w14:paraId="537F9419"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3B8F65C9" w14:textId="35461896" w:rsidR="001D071E" w:rsidRPr="002E53BF" w:rsidRDefault="001D071E" w:rsidP="001D071E">
            <w:pPr>
              <w:pStyle w:val="BodyText"/>
            </w:pPr>
            <w:r w:rsidRPr="0037284D">
              <w:t>Queensland Transport and Roads Investment Program</w:t>
            </w:r>
            <w:r>
              <w:t xml:space="preserve"> (QTRIP)</w:t>
            </w:r>
          </w:p>
        </w:tc>
        <w:tc>
          <w:tcPr>
            <w:tcW w:w="6508" w:type="dxa"/>
            <w:vAlign w:val="bottom"/>
          </w:tcPr>
          <w:p w14:paraId="07409422" w14:textId="2EC685F8"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37284D">
              <w:t>An annually published program of works TMR plans to deliver over the next four-year period.</w:t>
            </w:r>
          </w:p>
        </w:tc>
      </w:tr>
      <w:tr w:rsidR="001D071E" w14:paraId="57C2864C"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60616250" w14:textId="6C7E7645" w:rsidR="001D071E" w:rsidRPr="002E53BF" w:rsidRDefault="001D071E" w:rsidP="001D071E">
            <w:pPr>
              <w:pStyle w:val="BodyText"/>
            </w:pPr>
            <w:r w:rsidRPr="0037284D">
              <w:t>Rail infrastructure</w:t>
            </w:r>
          </w:p>
        </w:tc>
        <w:tc>
          <w:tcPr>
            <w:tcW w:w="6508" w:type="dxa"/>
            <w:vAlign w:val="bottom"/>
          </w:tcPr>
          <w:p w14:paraId="13059219" w14:textId="006E639C"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37284D">
              <w:t xml:space="preserve">All physical rail-related assets, including tracks, trains (often referred to as rollingstock), stations and associated </w:t>
            </w:r>
            <w:r w:rsidRPr="00E06039">
              <w:t>infrastructure.</w:t>
            </w:r>
          </w:p>
        </w:tc>
      </w:tr>
      <w:tr w:rsidR="001D071E" w14:paraId="08E71CC2"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5CA6FACF" w14:textId="04FCA194" w:rsidR="001D071E" w:rsidRPr="002E53BF" w:rsidRDefault="001D071E" w:rsidP="001D071E">
            <w:pPr>
              <w:pStyle w:val="BodyText"/>
            </w:pPr>
            <w:r w:rsidRPr="00291F34">
              <w:t>Regional Roads and Transport Group (RRTG)</w:t>
            </w:r>
          </w:p>
        </w:tc>
        <w:tc>
          <w:tcPr>
            <w:tcW w:w="6508" w:type="dxa"/>
            <w:vAlign w:val="bottom"/>
          </w:tcPr>
          <w:p w14:paraId="0CF0B1F1" w14:textId="2DB490E9"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291F34">
              <w:t>The primary decision-making bodies of the Roads and Transport Alliance. RRTGs regionally prioritise investments in their communities’ transport infrastructure. Each RRTG comprises representatives from TMR, and local governments.</w:t>
            </w:r>
          </w:p>
        </w:tc>
      </w:tr>
      <w:tr w:rsidR="001D071E" w14:paraId="6DD9F64A"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2546E66A" w14:textId="33AC6A76" w:rsidR="001D071E" w:rsidRPr="002E53BF" w:rsidRDefault="001D071E" w:rsidP="001D071E">
            <w:pPr>
              <w:pStyle w:val="BodyText"/>
            </w:pPr>
            <w:r w:rsidRPr="00291F34">
              <w:t>Roads and Transport Alliance</w:t>
            </w:r>
          </w:p>
        </w:tc>
        <w:tc>
          <w:tcPr>
            <w:tcW w:w="6508" w:type="dxa"/>
            <w:vAlign w:val="bottom"/>
          </w:tcPr>
          <w:p w14:paraId="2C02433B" w14:textId="6EC3396E"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291F34">
              <w:t>A cooperative governance arrangement between TMR, the Local Government Association of Queensland (LGAQ) and local governments to invest in and regionally manage the Queensland transport network.</w:t>
            </w:r>
          </w:p>
        </w:tc>
      </w:tr>
      <w:tr w:rsidR="001D071E" w14:paraId="5412A40B"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5DCA5623" w14:textId="700A5DFE" w:rsidR="001D071E" w:rsidRPr="002E53BF" w:rsidRDefault="001D071E" w:rsidP="001D071E">
            <w:pPr>
              <w:pStyle w:val="BodyText"/>
            </w:pPr>
            <w:r w:rsidRPr="00291F34">
              <w:t>Roads Australia</w:t>
            </w:r>
          </w:p>
        </w:tc>
        <w:tc>
          <w:tcPr>
            <w:tcW w:w="6508" w:type="dxa"/>
            <w:vAlign w:val="bottom"/>
          </w:tcPr>
          <w:p w14:paraId="3657743A" w14:textId="0F2079CD"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291F34">
              <w:t>A not-for-profit, non-political industry association with membership drawn from the Australian road sector.</w:t>
            </w:r>
          </w:p>
        </w:tc>
      </w:tr>
      <w:tr w:rsidR="001D071E" w14:paraId="4B0240C0"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6A2C2511" w14:textId="0FCF17DF" w:rsidR="001D071E" w:rsidRPr="002E53BF" w:rsidRDefault="001D071E" w:rsidP="001D071E">
            <w:pPr>
              <w:pStyle w:val="BodyText"/>
            </w:pPr>
            <w:r w:rsidRPr="00291F34">
              <w:t>Road corridor</w:t>
            </w:r>
          </w:p>
        </w:tc>
        <w:tc>
          <w:tcPr>
            <w:tcW w:w="6508" w:type="dxa"/>
            <w:vAlign w:val="bottom"/>
          </w:tcPr>
          <w:p w14:paraId="3A96ECAB" w14:textId="4A0540CA"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291F34">
              <w:t>The road corridor comprises the space alongside, under and over the travelled way.</w:t>
            </w:r>
          </w:p>
        </w:tc>
      </w:tr>
      <w:tr w:rsidR="001D071E" w14:paraId="640F969A"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307ADD6B" w14:textId="1E3A6512" w:rsidR="001D071E" w:rsidRPr="002E53BF" w:rsidRDefault="001D071E" w:rsidP="001D071E">
            <w:pPr>
              <w:pStyle w:val="BodyText"/>
            </w:pPr>
            <w:r w:rsidRPr="00291F34">
              <w:t>Road infrastructure</w:t>
            </w:r>
          </w:p>
        </w:tc>
        <w:tc>
          <w:tcPr>
            <w:tcW w:w="6508" w:type="dxa"/>
            <w:vAlign w:val="bottom"/>
          </w:tcPr>
          <w:p w14:paraId="748D1946" w14:textId="704FD6CA"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291F34">
              <w:t>All physical road-related assets, including roads and pavements, bus and cycling facilities, tunnels, complex bridges, rest areas, signage, landscaping, animal crossings under and over roads, noise barriers, traffic signals and lighting.</w:t>
            </w:r>
          </w:p>
        </w:tc>
      </w:tr>
      <w:tr w:rsidR="001D071E" w14:paraId="175C4383"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45117BAB" w14:textId="2DE378F8" w:rsidR="001D071E" w:rsidRPr="002E53BF" w:rsidRDefault="001D071E" w:rsidP="001D071E">
            <w:pPr>
              <w:pStyle w:val="BodyText"/>
            </w:pPr>
            <w:r w:rsidRPr="00291F34">
              <w:t>RoadTek</w:t>
            </w:r>
          </w:p>
        </w:tc>
        <w:tc>
          <w:tcPr>
            <w:tcW w:w="6508" w:type="dxa"/>
            <w:vAlign w:val="bottom"/>
          </w:tcPr>
          <w:p w14:paraId="4AC23446" w14:textId="637E455B"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291F34">
              <w:t>A commercial business within TMR, RoadTek is a major provider of transport infrastructure solutions throughout Queensland.</w:t>
            </w:r>
          </w:p>
        </w:tc>
      </w:tr>
      <w:tr w:rsidR="001D071E" w14:paraId="59F1C240"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4996C983" w14:textId="34AA5DF6" w:rsidR="001D071E" w:rsidRPr="002E53BF" w:rsidRDefault="001D071E" w:rsidP="001D071E">
            <w:pPr>
              <w:pStyle w:val="BodyText"/>
            </w:pPr>
            <w:r w:rsidRPr="00291F34">
              <w:lastRenderedPageBreak/>
              <w:t>Roadworks</w:t>
            </w:r>
          </w:p>
        </w:tc>
        <w:tc>
          <w:tcPr>
            <w:tcW w:w="6508" w:type="dxa"/>
            <w:vAlign w:val="bottom"/>
          </w:tcPr>
          <w:p w14:paraId="38BD8706" w14:textId="5D89E7A7"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291F34">
              <w:t>Planning, designing, building, maintaining, replacing, operating</w:t>
            </w:r>
            <w:r w:rsidRPr="00E06039">
              <w:t xml:space="preserve"> or upgrading any part of the road network, state strategic roads, regional roads and district roads (but not local roads).</w:t>
            </w:r>
          </w:p>
        </w:tc>
      </w:tr>
      <w:tr w:rsidR="001D071E" w14:paraId="0DC072FA"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2AB5FF9F" w14:textId="33CE2B0D" w:rsidR="001D071E" w:rsidRPr="002E53BF" w:rsidRDefault="001D071E" w:rsidP="001D071E">
            <w:pPr>
              <w:pStyle w:val="BodyText"/>
            </w:pPr>
            <w:r w:rsidRPr="00291F34">
              <w:t>Rollingstock</w:t>
            </w:r>
          </w:p>
        </w:tc>
        <w:tc>
          <w:tcPr>
            <w:tcW w:w="6508" w:type="dxa"/>
            <w:vAlign w:val="bottom"/>
          </w:tcPr>
          <w:p w14:paraId="231C3F98" w14:textId="17B458A5"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291F34">
              <w:t>Rail locomotives and wagons.</w:t>
            </w:r>
          </w:p>
        </w:tc>
      </w:tr>
      <w:tr w:rsidR="001D071E" w14:paraId="1E8119AA"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2B07A29C" w14:textId="71463697" w:rsidR="001D071E" w:rsidRPr="002E53BF" w:rsidRDefault="001D071E" w:rsidP="001D071E">
            <w:pPr>
              <w:pStyle w:val="BodyText"/>
            </w:pPr>
            <w:r w:rsidRPr="00024A9B">
              <w:t>Safer Roads Sooner</w:t>
            </w:r>
          </w:p>
        </w:tc>
        <w:tc>
          <w:tcPr>
            <w:tcW w:w="6508" w:type="dxa"/>
            <w:vAlign w:val="bottom"/>
          </w:tcPr>
          <w:p w14:paraId="5EF60094" w14:textId="4E838F9D"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024A9B">
              <w:t>The Queensland Government’s targeted program to improve the road safety performance of state-controlled and national road networks. It is funded by revenue from camera-detected offences and delivers projects to address the road toll and reduce the number of people who sustain serious injuries in road crashes.</w:t>
            </w:r>
          </w:p>
        </w:tc>
      </w:tr>
      <w:tr w:rsidR="001D071E" w14:paraId="603BFA7E"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59C257D0" w14:textId="54302DCC" w:rsidR="001D071E" w:rsidRPr="002E53BF" w:rsidRDefault="001D071E" w:rsidP="001D071E">
            <w:pPr>
              <w:pStyle w:val="BodyText"/>
            </w:pPr>
            <w:r w:rsidRPr="00024A9B">
              <w:t>Service Delivery Statements</w:t>
            </w:r>
          </w:p>
        </w:tc>
        <w:tc>
          <w:tcPr>
            <w:tcW w:w="6508" w:type="dxa"/>
            <w:vAlign w:val="bottom"/>
          </w:tcPr>
          <w:p w14:paraId="0FAFA43A" w14:textId="2A7DC919"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024A9B">
              <w:t>Budgeted financial and non-financial information for the Budget year. In addition to financial statements, the SDS includes TMR’s achievements, highlights for the forthcoming year and performance statements.</w:t>
            </w:r>
          </w:p>
        </w:tc>
      </w:tr>
      <w:tr w:rsidR="001D071E" w14:paraId="52AA9BAE"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7805A12A" w14:textId="13E18719" w:rsidR="001D071E" w:rsidRPr="002E53BF" w:rsidRDefault="001D071E" w:rsidP="001D071E">
            <w:pPr>
              <w:pStyle w:val="BodyText"/>
            </w:pPr>
            <w:r w:rsidRPr="00144FB5">
              <w:t>Stakeholder</w:t>
            </w:r>
          </w:p>
        </w:tc>
        <w:tc>
          <w:tcPr>
            <w:tcW w:w="6508" w:type="dxa"/>
            <w:vAlign w:val="bottom"/>
          </w:tcPr>
          <w:p w14:paraId="0B04CFF5" w14:textId="356F9803"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144FB5">
              <w:t xml:space="preserve">Anyone or any group who either influences or is affected by our business. </w:t>
            </w:r>
          </w:p>
        </w:tc>
      </w:tr>
      <w:tr w:rsidR="001D071E" w14:paraId="7FC3E235"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76234C75" w14:textId="26D31F44" w:rsidR="001D071E" w:rsidRPr="002E53BF" w:rsidRDefault="001D071E" w:rsidP="001D071E">
            <w:pPr>
              <w:pStyle w:val="BodyText"/>
            </w:pPr>
            <w:r w:rsidRPr="00144FB5">
              <w:t>State Infrastructure Plan</w:t>
            </w:r>
          </w:p>
        </w:tc>
        <w:tc>
          <w:tcPr>
            <w:tcW w:w="6508" w:type="dxa"/>
            <w:vAlign w:val="bottom"/>
          </w:tcPr>
          <w:p w14:paraId="43391413" w14:textId="56161C86"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144FB5">
              <w:t>Outlines the Queensland Government’s strategic direction for the planning, investment, and delivery of infrastructure in Queensland.</w:t>
            </w:r>
          </w:p>
        </w:tc>
      </w:tr>
      <w:tr w:rsidR="001D071E" w14:paraId="2CB1A5C1"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18CA0C22" w14:textId="2998394A" w:rsidR="001D071E" w:rsidRPr="002E53BF" w:rsidRDefault="001D071E" w:rsidP="001D071E">
            <w:pPr>
              <w:pStyle w:val="BodyText"/>
            </w:pPr>
            <w:r w:rsidRPr="00144FB5">
              <w:t>State-controlled roads</w:t>
            </w:r>
          </w:p>
        </w:tc>
        <w:tc>
          <w:tcPr>
            <w:tcW w:w="6508" w:type="dxa"/>
            <w:vAlign w:val="bottom"/>
          </w:tcPr>
          <w:p w14:paraId="1A403804" w14:textId="0F097EEE"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144FB5">
              <w:t>Roads controlled and managed by the Queensland Government. They include the AusLink national road network, state strategic roads, regional roads, and district roads (but not local roads).</w:t>
            </w:r>
          </w:p>
        </w:tc>
      </w:tr>
      <w:tr w:rsidR="001D071E" w14:paraId="3AF0D67B"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3630AEB6" w14:textId="7C9D1943" w:rsidR="001D071E" w:rsidRPr="002E53BF" w:rsidRDefault="001D071E" w:rsidP="001D071E">
            <w:pPr>
              <w:pStyle w:val="BodyText"/>
            </w:pPr>
            <w:r w:rsidRPr="00144FB5">
              <w:t>Strategic plan</w:t>
            </w:r>
          </w:p>
        </w:tc>
        <w:tc>
          <w:tcPr>
            <w:tcW w:w="6508" w:type="dxa"/>
            <w:vAlign w:val="bottom"/>
          </w:tcPr>
          <w:p w14:paraId="04AB4E8B" w14:textId="54FB4993"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144FB5">
              <w:t>A high-level</w:t>
            </w:r>
            <w:r w:rsidRPr="00E06039">
              <w:t xml:space="preserve"> document used to communicate departmental vision, purpose and objectives to provide a foundation for operational delivery.</w:t>
            </w:r>
          </w:p>
        </w:tc>
      </w:tr>
      <w:tr w:rsidR="001D071E" w14:paraId="00B7C531"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4460F810" w14:textId="597E8883" w:rsidR="001D071E" w:rsidRPr="002E53BF" w:rsidRDefault="001D071E" w:rsidP="001D071E">
            <w:pPr>
              <w:pStyle w:val="BodyText"/>
            </w:pPr>
            <w:r w:rsidRPr="0037582A">
              <w:t>Trans</w:t>
            </w:r>
            <w:r>
              <w:t>l</w:t>
            </w:r>
            <w:r w:rsidRPr="0037582A">
              <w:t>ink</w:t>
            </w:r>
          </w:p>
        </w:tc>
        <w:tc>
          <w:tcPr>
            <w:tcW w:w="6508" w:type="dxa"/>
            <w:vAlign w:val="bottom"/>
          </w:tcPr>
          <w:p w14:paraId="57194D4F" w14:textId="7253BD72"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37582A">
              <w:t>Trans</w:t>
            </w:r>
            <w:r>
              <w:t>l</w:t>
            </w:r>
            <w:r w:rsidRPr="0037582A">
              <w:t>ink is the brand name for passenger transport services in Queensland, including Trans</w:t>
            </w:r>
            <w:r>
              <w:t>l</w:t>
            </w:r>
            <w:r w:rsidRPr="0037582A">
              <w:t>ink buses, trains, ferries and trams.</w:t>
            </w:r>
          </w:p>
        </w:tc>
      </w:tr>
      <w:tr w:rsidR="001D071E" w14:paraId="4BF5019E"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25149516" w14:textId="023F8A31" w:rsidR="001D071E" w:rsidRPr="002E53BF" w:rsidRDefault="001D071E" w:rsidP="001D071E">
            <w:pPr>
              <w:pStyle w:val="BodyText"/>
            </w:pPr>
            <w:r w:rsidRPr="0037582A">
              <w:t>Transport System Planning Program</w:t>
            </w:r>
          </w:p>
        </w:tc>
        <w:tc>
          <w:tcPr>
            <w:tcW w:w="6508" w:type="dxa"/>
            <w:vAlign w:val="bottom"/>
          </w:tcPr>
          <w:p w14:paraId="21A82DE2" w14:textId="0CBB7A7F"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37582A">
              <w:t>Aimed at funding transport planning, modelling and investment proposal activities for all modes of transport across all regions of Queensland. The program plans an integrated transport system that promotes the right investment at the right time and drives better transport outcomes for Queensland.</w:t>
            </w:r>
          </w:p>
        </w:tc>
      </w:tr>
      <w:tr w:rsidR="001D071E" w14:paraId="275E56E8"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114BE9AC" w14:textId="1D04EB6E" w:rsidR="001D071E" w:rsidRPr="002E53BF" w:rsidRDefault="001D071E" w:rsidP="001D071E">
            <w:pPr>
              <w:pStyle w:val="BodyText"/>
            </w:pPr>
            <w:r w:rsidRPr="0037582A">
              <w:t>Twitter</w:t>
            </w:r>
          </w:p>
        </w:tc>
        <w:tc>
          <w:tcPr>
            <w:tcW w:w="6508" w:type="dxa"/>
            <w:vAlign w:val="bottom"/>
          </w:tcPr>
          <w:p w14:paraId="2850306C" w14:textId="0A26E3B0"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37582A">
              <w:t>Twitter is an online social networking service that enables users to send and read short 140-character messages called ‘tweets’.</w:t>
            </w:r>
          </w:p>
        </w:tc>
      </w:tr>
      <w:tr w:rsidR="001D071E" w14:paraId="38569483"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6938DA8B" w14:textId="52E637A8" w:rsidR="001D071E" w:rsidRPr="002E53BF" w:rsidRDefault="001D071E" w:rsidP="001D071E">
            <w:pPr>
              <w:pStyle w:val="BodyText"/>
            </w:pPr>
            <w:r w:rsidRPr="0037582A">
              <w:lastRenderedPageBreak/>
              <w:t>Wide centre line treatments</w:t>
            </w:r>
          </w:p>
        </w:tc>
        <w:tc>
          <w:tcPr>
            <w:tcW w:w="6508" w:type="dxa"/>
            <w:vAlign w:val="bottom"/>
          </w:tcPr>
          <w:p w14:paraId="452505A6" w14:textId="36E7AF86" w:rsidR="001D071E" w:rsidRPr="002E53BF" w:rsidRDefault="001D071E" w:rsidP="001D071E">
            <w:pPr>
              <w:pStyle w:val="BodyText"/>
              <w:cnfStyle w:val="000000000000" w:firstRow="0" w:lastRow="0" w:firstColumn="0" w:lastColumn="0" w:oddVBand="0" w:evenVBand="0" w:oddHBand="0" w:evenHBand="0" w:firstRowFirstColumn="0" w:firstRowLastColumn="0" w:lastRowFirstColumn="0" w:lastRowLastColumn="0"/>
            </w:pPr>
            <w:r w:rsidRPr="0037582A">
              <w:t>Painting two white lines one metre apart in the centre of the road to provide greater separation for opposing traffic.</w:t>
            </w:r>
          </w:p>
        </w:tc>
      </w:tr>
      <w:tr w:rsidR="001D071E" w14:paraId="07DF34DF" w14:textId="77777777" w:rsidTr="00624B5E">
        <w:tc>
          <w:tcPr>
            <w:cnfStyle w:val="001000000000" w:firstRow="0" w:lastRow="0" w:firstColumn="1" w:lastColumn="0" w:oddVBand="0" w:evenVBand="0" w:oddHBand="0" w:evenHBand="0" w:firstRowFirstColumn="0" w:firstRowLastColumn="0" w:lastRowFirstColumn="0" w:lastRowLastColumn="0"/>
            <w:tcW w:w="2552" w:type="dxa"/>
            <w:vAlign w:val="bottom"/>
          </w:tcPr>
          <w:p w14:paraId="08A50DEF" w14:textId="6C88CD2F" w:rsidR="001D071E" w:rsidRPr="0037582A" w:rsidRDefault="001D071E" w:rsidP="001D071E">
            <w:pPr>
              <w:pStyle w:val="BodyText"/>
            </w:pPr>
            <w:r>
              <w:t xml:space="preserve">Yammer </w:t>
            </w:r>
          </w:p>
        </w:tc>
        <w:tc>
          <w:tcPr>
            <w:tcW w:w="6508" w:type="dxa"/>
            <w:vAlign w:val="bottom"/>
          </w:tcPr>
          <w:p w14:paraId="3F144671" w14:textId="4376D1A4" w:rsidR="001D071E" w:rsidRPr="0037582A" w:rsidRDefault="001A79DF" w:rsidP="001D071E">
            <w:pPr>
              <w:pStyle w:val="BodyText"/>
              <w:cnfStyle w:val="000000000000" w:firstRow="0" w:lastRow="0" w:firstColumn="0" w:lastColumn="0" w:oddVBand="0" w:evenVBand="0" w:oddHBand="0" w:evenHBand="0" w:firstRowFirstColumn="0" w:firstRowLastColumn="0" w:lastRowFirstColumn="0" w:lastRowLastColumn="0"/>
            </w:pPr>
            <w:r w:rsidRPr="0037582A">
              <w:t>A private social network used within organisations for internal communication and collaboration.</w:t>
            </w:r>
          </w:p>
        </w:tc>
      </w:tr>
    </w:tbl>
    <w:p w14:paraId="6C8C2BF2" w14:textId="77777777" w:rsidR="006800C7" w:rsidRPr="002E53BF" w:rsidRDefault="006800C7" w:rsidP="006800C7"/>
    <w:p w14:paraId="587ED242" w14:textId="77777777" w:rsidR="006800C7" w:rsidRDefault="006800C7" w:rsidP="006800C7">
      <w:pPr>
        <w:pStyle w:val="Heading2"/>
      </w:pPr>
      <w:r>
        <w:t xml:space="preserve">Acronyms </w:t>
      </w:r>
    </w:p>
    <w:tbl>
      <w:tblPr>
        <w:tblStyle w:val="GridTable1Light"/>
        <w:tblW w:w="9062" w:type="dxa"/>
        <w:tblLook w:val="04A0" w:firstRow="1" w:lastRow="0" w:firstColumn="1" w:lastColumn="0" w:noHBand="0" w:noVBand="1"/>
      </w:tblPr>
      <w:tblGrid>
        <w:gridCol w:w="1980"/>
        <w:gridCol w:w="7082"/>
      </w:tblGrid>
      <w:tr w:rsidR="006800C7" w14:paraId="424B7158" w14:textId="77777777" w:rsidTr="00F31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45504D2" w14:textId="77777777" w:rsidR="006800C7" w:rsidRPr="00C96954" w:rsidRDefault="006800C7" w:rsidP="00F31956">
            <w:pPr>
              <w:rPr>
                <w:rStyle w:val="Strong"/>
              </w:rPr>
            </w:pPr>
            <w:r w:rsidRPr="00C96954">
              <w:rPr>
                <w:rStyle w:val="Strong"/>
              </w:rPr>
              <w:t>Acronym</w:t>
            </w:r>
          </w:p>
        </w:tc>
        <w:tc>
          <w:tcPr>
            <w:tcW w:w="7082" w:type="dxa"/>
          </w:tcPr>
          <w:p w14:paraId="1CA6B3C6" w14:textId="77777777" w:rsidR="006800C7" w:rsidRPr="00C96954" w:rsidRDefault="006800C7" w:rsidP="00F31956">
            <w:pPr>
              <w:cnfStyle w:val="100000000000" w:firstRow="1" w:lastRow="0" w:firstColumn="0" w:lastColumn="0" w:oddVBand="0" w:evenVBand="0" w:oddHBand="0" w:evenHBand="0" w:firstRowFirstColumn="0" w:firstRowLastColumn="0" w:lastRowFirstColumn="0" w:lastRowLastColumn="0"/>
              <w:rPr>
                <w:rStyle w:val="Strong"/>
              </w:rPr>
            </w:pPr>
            <w:r w:rsidRPr="00C96954">
              <w:rPr>
                <w:rStyle w:val="Strong"/>
              </w:rPr>
              <w:t xml:space="preserve">Definition </w:t>
            </w:r>
          </w:p>
        </w:tc>
      </w:tr>
      <w:tr w:rsidR="00545DEF" w14:paraId="32E5393D"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63482292" w14:textId="2D0DDFCB" w:rsidR="00545DEF" w:rsidRPr="002E53BF" w:rsidRDefault="00545DEF" w:rsidP="00545DEF">
            <w:r w:rsidRPr="00B375CA">
              <w:t>ANZSOG</w:t>
            </w:r>
          </w:p>
        </w:tc>
        <w:tc>
          <w:tcPr>
            <w:tcW w:w="7082" w:type="dxa"/>
          </w:tcPr>
          <w:p w14:paraId="61632091" w14:textId="643EB88F"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B375CA">
              <w:t xml:space="preserve">Australia and New Zealand School of Government </w:t>
            </w:r>
          </w:p>
        </w:tc>
      </w:tr>
      <w:tr w:rsidR="00545DEF" w14:paraId="2E421EF4"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1ED1957B" w14:textId="5BEE2FA2" w:rsidR="00545DEF" w:rsidRPr="002E53BF" w:rsidRDefault="00545DEF" w:rsidP="00545DEF">
            <w:r>
              <w:t>ARA</w:t>
            </w:r>
          </w:p>
        </w:tc>
        <w:tc>
          <w:tcPr>
            <w:tcW w:w="7082" w:type="dxa"/>
          </w:tcPr>
          <w:p w14:paraId="69604BA0" w14:textId="166F6D0E"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4E27E9">
              <w:t>Australasian Railway Association</w:t>
            </w:r>
          </w:p>
        </w:tc>
      </w:tr>
      <w:tr w:rsidR="00545DEF" w14:paraId="218FB2DF"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39AA4AB6" w14:textId="58C27453" w:rsidR="00545DEF" w:rsidRPr="002E53BF" w:rsidRDefault="00545DEF" w:rsidP="00545DEF">
            <w:r w:rsidRPr="00B375CA">
              <w:t>ARC</w:t>
            </w:r>
          </w:p>
        </w:tc>
        <w:tc>
          <w:tcPr>
            <w:tcW w:w="7082" w:type="dxa"/>
          </w:tcPr>
          <w:p w14:paraId="5500FA50" w14:textId="01AEADC2"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B375CA">
              <w:t>Audit and Risk Committee</w:t>
            </w:r>
          </w:p>
        </w:tc>
      </w:tr>
      <w:tr w:rsidR="00545DEF" w14:paraId="7AFAAB14"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20CDC664" w14:textId="07A8C640" w:rsidR="00545DEF" w:rsidRPr="002E53BF" w:rsidRDefault="00545DEF" w:rsidP="00545DEF">
            <w:r w:rsidRPr="00B375CA">
              <w:t>ARTC</w:t>
            </w:r>
          </w:p>
        </w:tc>
        <w:tc>
          <w:tcPr>
            <w:tcW w:w="7082" w:type="dxa"/>
          </w:tcPr>
          <w:p w14:paraId="1140B8B5" w14:textId="182E71E9"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B375CA">
              <w:t>Australian Road Track Corporation</w:t>
            </w:r>
          </w:p>
        </w:tc>
      </w:tr>
      <w:tr w:rsidR="00545DEF" w14:paraId="71E10B6B"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7D82085C" w14:textId="22C98985" w:rsidR="00545DEF" w:rsidRPr="002E53BF" w:rsidRDefault="00545DEF" w:rsidP="00545DEF">
            <w:r>
              <w:t>BoM</w:t>
            </w:r>
          </w:p>
        </w:tc>
        <w:tc>
          <w:tcPr>
            <w:tcW w:w="7082" w:type="dxa"/>
          </w:tcPr>
          <w:p w14:paraId="0087B96C" w14:textId="232FDEAC"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Bureau of Meteorology</w:t>
            </w:r>
          </w:p>
        </w:tc>
      </w:tr>
      <w:tr w:rsidR="00545DEF" w14:paraId="61F22CFC"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618007FF" w14:textId="4C543BB9" w:rsidR="00545DEF" w:rsidRPr="002E53BF" w:rsidRDefault="00545DEF" w:rsidP="00545DEF">
            <w:r w:rsidRPr="00B375CA">
              <w:t>BVRT</w:t>
            </w:r>
          </w:p>
        </w:tc>
        <w:tc>
          <w:tcPr>
            <w:tcW w:w="7082" w:type="dxa"/>
          </w:tcPr>
          <w:p w14:paraId="07BFBE3F" w14:textId="2097604F"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B375CA">
              <w:t xml:space="preserve">Brisbane Valley Rail Trail </w:t>
            </w:r>
          </w:p>
        </w:tc>
      </w:tr>
      <w:tr w:rsidR="00545DEF" w14:paraId="2B16AE84"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22B49EEF" w14:textId="152A98DC" w:rsidR="00545DEF" w:rsidRPr="002E53BF" w:rsidRDefault="00545DEF" w:rsidP="00545DEF">
            <w:r>
              <w:t>CA</w:t>
            </w:r>
          </w:p>
        </w:tc>
        <w:tc>
          <w:tcPr>
            <w:tcW w:w="7082" w:type="dxa"/>
          </w:tcPr>
          <w:p w14:paraId="0641F312" w14:textId="3DA9F01A"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Chief Auditor</w:t>
            </w:r>
          </w:p>
        </w:tc>
      </w:tr>
      <w:tr w:rsidR="00545DEF" w14:paraId="710C00BB"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2031C18A" w14:textId="5D7AD14F" w:rsidR="00545DEF" w:rsidRPr="002E53BF" w:rsidRDefault="00545DEF" w:rsidP="00545DEF">
            <w:r>
              <w:t>CAV</w:t>
            </w:r>
          </w:p>
        </w:tc>
        <w:tc>
          <w:tcPr>
            <w:tcW w:w="7082" w:type="dxa"/>
          </w:tcPr>
          <w:p w14:paraId="2FDA9ED4" w14:textId="225B561C"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A95F03">
              <w:t>Cooperative an</w:t>
            </w:r>
            <w:r>
              <w:t xml:space="preserve">d </w:t>
            </w:r>
            <w:r w:rsidRPr="00A95F03">
              <w:t>Automat</w:t>
            </w:r>
            <w:r>
              <w:t>ed</w:t>
            </w:r>
            <w:r w:rsidRPr="00A95F03">
              <w:t xml:space="preserve"> Vehicle</w:t>
            </w:r>
          </w:p>
        </w:tc>
      </w:tr>
      <w:tr w:rsidR="00545DEF" w14:paraId="7E5310AB"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7484FE57" w14:textId="0988EEC9" w:rsidR="00545DEF" w:rsidRPr="002E53BF" w:rsidRDefault="00545DEF" w:rsidP="00545DEF">
            <w:r w:rsidRPr="00B375CA">
              <w:t>CAVI</w:t>
            </w:r>
          </w:p>
        </w:tc>
        <w:tc>
          <w:tcPr>
            <w:tcW w:w="7082" w:type="dxa"/>
          </w:tcPr>
          <w:p w14:paraId="2D1E4BEA" w14:textId="790D9916"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B375CA">
              <w:t>Cooperative and Automat</w:t>
            </w:r>
            <w:r>
              <w:t>ed</w:t>
            </w:r>
            <w:r w:rsidRPr="00B375CA">
              <w:t xml:space="preserve"> Vehicle Initiative</w:t>
            </w:r>
          </w:p>
        </w:tc>
      </w:tr>
      <w:tr w:rsidR="00545DEF" w14:paraId="1C361074"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53B366F5" w14:textId="140779A9" w:rsidR="00545DEF" w:rsidRPr="002E53BF" w:rsidRDefault="00545DEF" w:rsidP="00545DEF">
            <w:r w:rsidRPr="00B375CA">
              <w:t xml:space="preserve">CBD </w:t>
            </w:r>
          </w:p>
        </w:tc>
        <w:tc>
          <w:tcPr>
            <w:tcW w:w="7082" w:type="dxa"/>
          </w:tcPr>
          <w:p w14:paraId="2481A224" w14:textId="2406B550"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B375CA">
              <w:t>Central business district</w:t>
            </w:r>
          </w:p>
        </w:tc>
      </w:tr>
      <w:tr w:rsidR="00545DEF" w14:paraId="3FB4E947"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6121EFA8" w14:textId="677471E7" w:rsidR="00545DEF" w:rsidRPr="002E53BF" w:rsidRDefault="00545DEF" w:rsidP="00545DEF">
            <w:r w:rsidRPr="00B375CA">
              <w:t>CCC</w:t>
            </w:r>
          </w:p>
        </w:tc>
        <w:tc>
          <w:tcPr>
            <w:tcW w:w="7082" w:type="dxa"/>
          </w:tcPr>
          <w:p w14:paraId="6DF3DEBD" w14:textId="0BA06D79"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B375CA">
              <w:t>Crime and Corruption Commission</w:t>
            </w:r>
          </w:p>
        </w:tc>
      </w:tr>
      <w:tr w:rsidR="00545DEF" w14:paraId="318EFFA2"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1A6622EF" w14:textId="7076C64D" w:rsidR="00545DEF" w:rsidRPr="002E53BF" w:rsidRDefault="00545DEF" w:rsidP="00545DEF">
            <w:r>
              <w:t>CCTV</w:t>
            </w:r>
          </w:p>
        </w:tc>
        <w:tc>
          <w:tcPr>
            <w:tcW w:w="7082" w:type="dxa"/>
          </w:tcPr>
          <w:p w14:paraId="5B56F201" w14:textId="4B1D93CE"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F36231">
              <w:t>Closed-Circuit Television Cameras</w:t>
            </w:r>
          </w:p>
        </w:tc>
      </w:tr>
      <w:tr w:rsidR="00545DEF" w14:paraId="1D0E089C"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55F1B993" w14:textId="76D841D5" w:rsidR="00545DEF" w:rsidRPr="002E53BF" w:rsidRDefault="00545DEF" w:rsidP="00545DEF">
            <w:r w:rsidRPr="00B375CA">
              <w:t xml:space="preserve">CDOP </w:t>
            </w:r>
          </w:p>
        </w:tc>
        <w:tc>
          <w:tcPr>
            <w:tcW w:w="7082" w:type="dxa"/>
          </w:tcPr>
          <w:p w14:paraId="3569206F" w14:textId="1A38C3CF"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B375CA">
              <w:t>Camera Detected Offence Program</w:t>
            </w:r>
          </w:p>
        </w:tc>
      </w:tr>
      <w:tr w:rsidR="00545DEF" w14:paraId="3F44D380"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3E6D0AAF" w14:textId="75C93005" w:rsidR="00545DEF" w:rsidRPr="002E53BF" w:rsidRDefault="00545DEF" w:rsidP="00545DEF">
            <w:r>
              <w:t>CE</w:t>
            </w:r>
          </w:p>
        </w:tc>
        <w:tc>
          <w:tcPr>
            <w:tcW w:w="7082" w:type="dxa"/>
          </w:tcPr>
          <w:p w14:paraId="783FB662" w14:textId="4DE7567F"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 xml:space="preserve">Chief </w:t>
            </w:r>
            <w:r w:rsidRPr="00A17090">
              <w:t>Engineer</w:t>
            </w:r>
          </w:p>
        </w:tc>
      </w:tr>
      <w:tr w:rsidR="00545DEF" w14:paraId="050669EE"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4E729FC1" w14:textId="4F7BB4EF" w:rsidR="00545DEF" w:rsidRPr="002E53BF" w:rsidRDefault="00545DEF" w:rsidP="00545DEF">
            <w:r>
              <w:t>CFO</w:t>
            </w:r>
          </w:p>
        </w:tc>
        <w:tc>
          <w:tcPr>
            <w:tcW w:w="7082" w:type="dxa"/>
          </w:tcPr>
          <w:p w14:paraId="1E67892E" w14:textId="3C1A4CAE"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Chief Financial Officer</w:t>
            </w:r>
          </w:p>
        </w:tc>
      </w:tr>
      <w:tr w:rsidR="00545DEF" w14:paraId="2757D002"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621A761F" w14:textId="100E1348" w:rsidR="00545DEF" w:rsidRPr="002E53BF" w:rsidRDefault="00545DEF" w:rsidP="00545DEF">
            <w:r>
              <w:lastRenderedPageBreak/>
              <w:t>CIO</w:t>
            </w:r>
          </w:p>
        </w:tc>
        <w:tc>
          <w:tcPr>
            <w:tcW w:w="7082" w:type="dxa"/>
          </w:tcPr>
          <w:p w14:paraId="2C3278FA" w14:textId="1EDEA388"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Chief Information Officer</w:t>
            </w:r>
          </w:p>
        </w:tc>
      </w:tr>
      <w:tr w:rsidR="00545DEF" w14:paraId="3AE0BC31"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6ED3B79D" w14:textId="16F1130B" w:rsidR="00545DEF" w:rsidRPr="002E53BF" w:rsidRDefault="00545DEF" w:rsidP="00545DEF">
            <w:r w:rsidRPr="00B375CA">
              <w:t>COO</w:t>
            </w:r>
          </w:p>
        </w:tc>
        <w:tc>
          <w:tcPr>
            <w:tcW w:w="7082" w:type="dxa"/>
          </w:tcPr>
          <w:p w14:paraId="4B37E889" w14:textId="3EEAF053"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B375CA">
              <w:t>Chief Operations Officer</w:t>
            </w:r>
          </w:p>
        </w:tc>
      </w:tr>
      <w:tr w:rsidR="00545DEF" w14:paraId="4E941DEF"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5AA07745" w14:textId="1BED8D52" w:rsidR="00545DEF" w:rsidRPr="002E53BF" w:rsidRDefault="00545DEF" w:rsidP="00545DEF">
            <w:r>
              <w:t>CPCO</w:t>
            </w:r>
          </w:p>
        </w:tc>
        <w:tc>
          <w:tcPr>
            <w:tcW w:w="7082" w:type="dxa"/>
          </w:tcPr>
          <w:p w14:paraId="590C793E" w14:textId="2D9FDA7C"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Chief People and Culture Officer</w:t>
            </w:r>
          </w:p>
        </w:tc>
      </w:tr>
      <w:tr w:rsidR="00545DEF" w14:paraId="1FB87ECA"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234D2E92" w14:textId="19964D58" w:rsidR="00545DEF" w:rsidRPr="002E53BF" w:rsidRDefault="00545DEF" w:rsidP="00545DEF">
            <w:r w:rsidRPr="00B375CA">
              <w:t>CSIA</w:t>
            </w:r>
          </w:p>
        </w:tc>
        <w:tc>
          <w:tcPr>
            <w:tcW w:w="7082" w:type="dxa"/>
          </w:tcPr>
          <w:p w14:paraId="63005B39" w14:textId="4EF2B1FA"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B375CA">
              <w:t>Customer Service Institute of Australia</w:t>
            </w:r>
          </w:p>
        </w:tc>
      </w:tr>
      <w:tr w:rsidR="00545DEF" w14:paraId="4A27DBC0"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03E4C023" w14:textId="2F55CDBC" w:rsidR="00545DEF" w:rsidRPr="002E53BF" w:rsidRDefault="00545DEF" w:rsidP="00545DEF">
            <w:r>
              <w:t>Cth</w:t>
            </w:r>
          </w:p>
        </w:tc>
        <w:tc>
          <w:tcPr>
            <w:tcW w:w="7082" w:type="dxa"/>
          </w:tcPr>
          <w:p w14:paraId="79ABAD64" w14:textId="0657AA99"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Commonwealth</w:t>
            </w:r>
          </w:p>
        </w:tc>
      </w:tr>
      <w:tr w:rsidR="00545DEF" w14:paraId="35297C05"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7626297E" w14:textId="486B5D12" w:rsidR="00545DEF" w:rsidRPr="002E53BF" w:rsidRDefault="00545DEF" w:rsidP="00545DEF">
            <w:r>
              <w:t>CYRP</w:t>
            </w:r>
          </w:p>
        </w:tc>
        <w:tc>
          <w:tcPr>
            <w:tcW w:w="7082" w:type="dxa"/>
          </w:tcPr>
          <w:p w14:paraId="3112B153" w14:textId="43BD220C"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Cape York Region Package</w:t>
            </w:r>
          </w:p>
        </w:tc>
      </w:tr>
      <w:tr w:rsidR="00545DEF" w14:paraId="15FCD591"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13878E81" w14:textId="48CA570C" w:rsidR="00545DEF" w:rsidRPr="002E53BF" w:rsidRDefault="00545DEF" w:rsidP="00545DEF">
            <w:r>
              <w:t>DC</w:t>
            </w:r>
          </w:p>
        </w:tc>
        <w:tc>
          <w:tcPr>
            <w:tcW w:w="7082" w:type="dxa"/>
          </w:tcPr>
          <w:p w14:paraId="5272B7AA" w14:textId="0FB68119"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Digital Capability</w:t>
            </w:r>
          </w:p>
        </w:tc>
      </w:tr>
      <w:tr w:rsidR="00545DEF" w14:paraId="6C58EF71"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1F99E93B" w14:textId="334535FC" w:rsidR="00545DEF" w:rsidRPr="002E53BF" w:rsidRDefault="00545DEF" w:rsidP="00545DEF">
            <w:r>
              <w:t>DCN</w:t>
            </w:r>
          </w:p>
        </w:tc>
        <w:tc>
          <w:tcPr>
            <w:tcW w:w="7082" w:type="dxa"/>
          </w:tcPr>
          <w:p w14:paraId="6E952FD5" w14:textId="63025C1F"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Daily Cargo News</w:t>
            </w:r>
          </w:p>
        </w:tc>
      </w:tr>
      <w:tr w:rsidR="00545DEF" w14:paraId="1FAF9D51"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2AE6C600" w14:textId="2828E04A" w:rsidR="00545DEF" w:rsidRPr="002E53BF" w:rsidRDefault="00545DEF" w:rsidP="00545DEF">
            <w:r w:rsidRPr="00B375CA">
              <w:t>DDG</w:t>
            </w:r>
          </w:p>
        </w:tc>
        <w:tc>
          <w:tcPr>
            <w:tcW w:w="7082" w:type="dxa"/>
          </w:tcPr>
          <w:p w14:paraId="7246C2E4" w14:textId="54436E47"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B375CA">
              <w:t>Deputy Director-General</w:t>
            </w:r>
          </w:p>
        </w:tc>
      </w:tr>
      <w:tr w:rsidR="00545DEF" w14:paraId="3F6D6FDF"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2F32E2E6" w14:textId="72F858CC" w:rsidR="00545DEF" w:rsidRPr="002E53BF" w:rsidRDefault="00545DEF" w:rsidP="00545DEF">
            <w:r w:rsidRPr="00B375CA">
              <w:t>DFV</w:t>
            </w:r>
          </w:p>
        </w:tc>
        <w:tc>
          <w:tcPr>
            <w:tcW w:w="7082" w:type="dxa"/>
          </w:tcPr>
          <w:p w14:paraId="4E376D6B" w14:textId="341E5862"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B375CA">
              <w:t>Domestic and Family Violence</w:t>
            </w:r>
          </w:p>
        </w:tc>
      </w:tr>
      <w:tr w:rsidR="00545DEF" w14:paraId="11DF561F"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64699B38" w14:textId="057BFB03" w:rsidR="00545DEF" w:rsidRPr="002E53BF" w:rsidRDefault="00545DEF" w:rsidP="00545DEF">
            <w:r w:rsidRPr="00B375CA">
              <w:t xml:space="preserve">DG </w:t>
            </w:r>
          </w:p>
        </w:tc>
        <w:tc>
          <w:tcPr>
            <w:tcW w:w="7082" w:type="dxa"/>
          </w:tcPr>
          <w:p w14:paraId="4274B20C" w14:textId="7CAA9F10"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B375CA">
              <w:t>Director-General</w:t>
            </w:r>
          </w:p>
        </w:tc>
      </w:tr>
      <w:tr w:rsidR="00545DEF" w14:paraId="28C7649E"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3FF79BFC" w14:textId="3171520A" w:rsidR="00545DEF" w:rsidRPr="002E53BF" w:rsidRDefault="00545DEF" w:rsidP="00545DEF">
            <w:r>
              <w:t>ED</w:t>
            </w:r>
          </w:p>
        </w:tc>
        <w:tc>
          <w:tcPr>
            <w:tcW w:w="7082" w:type="dxa"/>
          </w:tcPr>
          <w:p w14:paraId="1927D948" w14:textId="3A8A4512"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Executive Director</w:t>
            </w:r>
          </w:p>
        </w:tc>
      </w:tr>
      <w:tr w:rsidR="00545DEF" w14:paraId="25B1996E"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046BC37D" w14:textId="4169EDAF" w:rsidR="00545DEF" w:rsidRPr="002E53BF" w:rsidRDefault="00545DEF" w:rsidP="00545DEF">
            <w:r>
              <w:t>EGM</w:t>
            </w:r>
          </w:p>
        </w:tc>
        <w:tc>
          <w:tcPr>
            <w:tcW w:w="7082" w:type="dxa"/>
          </w:tcPr>
          <w:p w14:paraId="35374DD4" w14:textId="2675E501"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Executive General Manager</w:t>
            </w:r>
          </w:p>
        </w:tc>
      </w:tr>
      <w:tr w:rsidR="00545DEF" w14:paraId="040BDF24"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2957DB84" w14:textId="70507906" w:rsidR="00545DEF" w:rsidRPr="002E53BF" w:rsidRDefault="00545DEF" w:rsidP="00545DEF">
            <w:r w:rsidRPr="00B375CA">
              <w:t xml:space="preserve">ELT </w:t>
            </w:r>
          </w:p>
        </w:tc>
        <w:tc>
          <w:tcPr>
            <w:tcW w:w="7082" w:type="dxa"/>
          </w:tcPr>
          <w:p w14:paraId="2A8D2687" w14:textId="5B6ED759"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B375CA">
              <w:t xml:space="preserve">Executive </w:t>
            </w:r>
            <w:r w:rsidRPr="00A17090">
              <w:t>Leadership Team</w:t>
            </w:r>
          </w:p>
        </w:tc>
      </w:tr>
      <w:tr w:rsidR="00545DEF" w14:paraId="27078FE1"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567C103D" w14:textId="62699B43" w:rsidR="00545DEF" w:rsidRPr="002E53BF" w:rsidRDefault="00545DEF" w:rsidP="00545DEF">
            <w:r w:rsidRPr="00B375CA">
              <w:t>EMPA</w:t>
            </w:r>
          </w:p>
        </w:tc>
        <w:tc>
          <w:tcPr>
            <w:tcW w:w="7082" w:type="dxa"/>
          </w:tcPr>
          <w:p w14:paraId="7087DBC9" w14:textId="3B370AA2"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B375CA">
              <w:t xml:space="preserve">Executive Master of Public Administration </w:t>
            </w:r>
          </w:p>
        </w:tc>
      </w:tr>
      <w:tr w:rsidR="00545DEF" w14:paraId="033D1C61"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682766E7" w14:textId="0D9B98E7" w:rsidR="00545DEF" w:rsidRPr="002E53BF" w:rsidRDefault="00545DEF" w:rsidP="00545DEF">
            <w:r>
              <w:t>ESO</w:t>
            </w:r>
          </w:p>
        </w:tc>
        <w:tc>
          <w:tcPr>
            <w:tcW w:w="7082" w:type="dxa"/>
          </w:tcPr>
          <w:p w14:paraId="4AA3A6A6" w14:textId="798F0405"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Electrical Safety Officer</w:t>
            </w:r>
          </w:p>
        </w:tc>
      </w:tr>
      <w:tr w:rsidR="00545DEF" w14:paraId="01B6FA14"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5A766232" w14:textId="7E4E842D" w:rsidR="00545DEF" w:rsidRPr="002E53BF" w:rsidRDefault="00545DEF" w:rsidP="00545DEF">
            <w:r w:rsidRPr="00B375CA">
              <w:t>ETCS</w:t>
            </w:r>
          </w:p>
        </w:tc>
        <w:tc>
          <w:tcPr>
            <w:tcW w:w="7082" w:type="dxa"/>
          </w:tcPr>
          <w:p w14:paraId="0AA1F169" w14:textId="7DC126CB"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B375CA">
              <w:t xml:space="preserve">European Train Control System </w:t>
            </w:r>
          </w:p>
        </w:tc>
      </w:tr>
      <w:tr w:rsidR="00545DEF" w14:paraId="0F06D2D1"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63A475D4" w14:textId="1D797AFD" w:rsidR="00545DEF" w:rsidRPr="002E53BF" w:rsidRDefault="00545DEF" w:rsidP="00545DEF">
            <w:r w:rsidRPr="00B375CA">
              <w:t xml:space="preserve">FBT </w:t>
            </w:r>
          </w:p>
        </w:tc>
        <w:tc>
          <w:tcPr>
            <w:tcW w:w="7082" w:type="dxa"/>
          </w:tcPr>
          <w:p w14:paraId="3749386F" w14:textId="59287BAC"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B375CA">
              <w:t>Fringe Benefits Tax</w:t>
            </w:r>
          </w:p>
        </w:tc>
      </w:tr>
      <w:tr w:rsidR="00545DEF" w14:paraId="12508CC6"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13D26343" w14:textId="5B98BEE9" w:rsidR="00545DEF" w:rsidRPr="002E53BF" w:rsidRDefault="00545DEF" w:rsidP="00545DEF">
            <w:r w:rsidRPr="00807049">
              <w:t xml:space="preserve">FTE </w:t>
            </w:r>
          </w:p>
        </w:tc>
        <w:tc>
          <w:tcPr>
            <w:tcW w:w="7082" w:type="dxa"/>
            <w:vAlign w:val="bottom"/>
          </w:tcPr>
          <w:p w14:paraId="0936B1D2" w14:textId="05E13BE0"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807049">
              <w:t>Full-time equivalent</w:t>
            </w:r>
          </w:p>
        </w:tc>
      </w:tr>
      <w:tr w:rsidR="00545DEF" w14:paraId="3A3C5D91"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37354659" w14:textId="42163F6A" w:rsidR="00545DEF" w:rsidRPr="002E53BF" w:rsidRDefault="00545DEF" w:rsidP="00545DEF">
            <w:r>
              <w:t>GM</w:t>
            </w:r>
          </w:p>
        </w:tc>
        <w:tc>
          <w:tcPr>
            <w:tcW w:w="7082" w:type="dxa"/>
            <w:vAlign w:val="bottom"/>
          </w:tcPr>
          <w:p w14:paraId="11D88393" w14:textId="08AC53AC"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General Manager</w:t>
            </w:r>
          </w:p>
        </w:tc>
      </w:tr>
      <w:tr w:rsidR="00545DEF" w14:paraId="24467CA1"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38DE623C" w14:textId="24C6E2C1" w:rsidR="00545DEF" w:rsidRPr="002E53BF" w:rsidRDefault="00545DEF" w:rsidP="00545DEF">
            <w:r w:rsidRPr="00807049">
              <w:t xml:space="preserve">GOC </w:t>
            </w:r>
          </w:p>
        </w:tc>
        <w:tc>
          <w:tcPr>
            <w:tcW w:w="7082" w:type="dxa"/>
            <w:vAlign w:val="bottom"/>
          </w:tcPr>
          <w:p w14:paraId="466B7A7A" w14:textId="7E5E53AA"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807049">
              <w:t>Government owned corporations</w:t>
            </w:r>
          </w:p>
        </w:tc>
      </w:tr>
      <w:tr w:rsidR="00545DEF" w14:paraId="34C7EF51"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3F27EBF4" w14:textId="75F954CD" w:rsidR="00545DEF" w:rsidRPr="002E53BF" w:rsidRDefault="00545DEF" w:rsidP="00545DEF">
            <w:r>
              <w:t>GPC</w:t>
            </w:r>
          </w:p>
        </w:tc>
        <w:tc>
          <w:tcPr>
            <w:tcW w:w="7082" w:type="dxa"/>
            <w:vAlign w:val="bottom"/>
          </w:tcPr>
          <w:p w14:paraId="7993C3B5" w14:textId="56873186"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Gladstone Ports Corporation</w:t>
            </w:r>
          </w:p>
        </w:tc>
      </w:tr>
      <w:tr w:rsidR="00545DEF" w14:paraId="3CD1EB98"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7534B3F0" w14:textId="2802ABE3" w:rsidR="00545DEF" w:rsidRPr="002E53BF" w:rsidRDefault="00545DEF" w:rsidP="00545DEF">
            <w:r w:rsidRPr="00807049">
              <w:lastRenderedPageBreak/>
              <w:t>GST</w:t>
            </w:r>
          </w:p>
        </w:tc>
        <w:tc>
          <w:tcPr>
            <w:tcW w:w="7082" w:type="dxa"/>
            <w:vAlign w:val="bottom"/>
          </w:tcPr>
          <w:p w14:paraId="01E80344" w14:textId="64065210"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807049">
              <w:t>Goods and services tax</w:t>
            </w:r>
          </w:p>
        </w:tc>
      </w:tr>
      <w:tr w:rsidR="00545DEF" w14:paraId="16DE619F"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5C480049" w14:textId="170280E4" w:rsidR="00545DEF" w:rsidRPr="002E53BF" w:rsidRDefault="00545DEF" w:rsidP="00545DEF">
            <w:r w:rsidRPr="00807049">
              <w:t xml:space="preserve">HR </w:t>
            </w:r>
          </w:p>
        </w:tc>
        <w:tc>
          <w:tcPr>
            <w:tcW w:w="7082" w:type="dxa"/>
            <w:vAlign w:val="bottom"/>
          </w:tcPr>
          <w:p w14:paraId="513FC7BC" w14:textId="5B94D078"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807049">
              <w:t>Human Resources</w:t>
            </w:r>
          </w:p>
        </w:tc>
      </w:tr>
      <w:tr w:rsidR="00545DEF" w14:paraId="515615F7"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6C53E0EF" w14:textId="00DA0808" w:rsidR="00545DEF" w:rsidRPr="002E53BF" w:rsidRDefault="00545DEF" w:rsidP="00545DEF">
            <w:r w:rsidRPr="00807049">
              <w:t>ICSS</w:t>
            </w:r>
          </w:p>
        </w:tc>
        <w:tc>
          <w:tcPr>
            <w:tcW w:w="7082" w:type="dxa"/>
            <w:vAlign w:val="bottom"/>
          </w:tcPr>
          <w:p w14:paraId="68E9184C" w14:textId="19FCDBEF"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807049">
              <w:t>International Customer Service Standard 2020-2025</w:t>
            </w:r>
          </w:p>
        </w:tc>
      </w:tr>
      <w:tr w:rsidR="00545DEF" w14:paraId="5DC5D6EC"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6E959652" w14:textId="2A6A586E" w:rsidR="00545DEF" w:rsidRPr="002E53BF" w:rsidRDefault="00545DEF" w:rsidP="00545DEF">
            <w:r w:rsidRPr="00807049">
              <w:t>ICT</w:t>
            </w:r>
          </w:p>
        </w:tc>
        <w:tc>
          <w:tcPr>
            <w:tcW w:w="7082" w:type="dxa"/>
            <w:vAlign w:val="bottom"/>
          </w:tcPr>
          <w:p w14:paraId="7BB4AFB6" w14:textId="450B841F"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807049">
              <w:t>Information and Communication Technology</w:t>
            </w:r>
          </w:p>
        </w:tc>
      </w:tr>
      <w:tr w:rsidR="00545DEF" w14:paraId="3824ED9B"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09D2F4AE" w14:textId="3DF504E6" w:rsidR="00545DEF" w:rsidRPr="002E53BF" w:rsidRDefault="00545DEF" w:rsidP="00545DEF">
            <w:r>
              <w:t>ICVP</w:t>
            </w:r>
          </w:p>
        </w:tc>
        <w:tc>
          <w:tcPr>
            <w:tcW w:w="7082" w:type="dxa"/>
            <w:vAlign w:val="bottom"/>
          </w:tcPr>
          <w:p w14:paraId="7D015B9F" w14:textId="06E2E2A7"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Ipswich Connected Vehicle Pilot</w:t>
            </w:r>
          </w:p>
        </w:tc>
      </w:tr>
      <w:tr w:rsidR="00545DEF" w14:paraId="2866891C"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7BBC1D1C" w14:textId="16D972B4" w:rsidR="00545DEF" w:rsidRPr="002E53BF" w:rsidRDefault="00545DEF" w:rsidP="00545DEF">
            <w:r>
              <w:t>IEN</w:t>
            </w:r>
          </w:p>
        </w:tc>
        <w:tc>
          <w:tcPr>
            <w:tcW w:w="7082" w:type="dxa"/>
            <w:vAlign w:val="bottom"/>
          </w:tcPr>
          <w:p w14:paraId="7AB5B826" w14:textId="6773ACBF"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Indigenous Employee Network</w:t>
            </w:r>
          </w:p>
        </w:tc>
      </w:tr>
      <w:tr w:rsidR="00545DEF" w14:paraId="5A582519"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00A6C208" w14:textId="1596FBFC" w:rsidR="00545DEF" w:rsidRPr="002E53BF" w:rsidRDefault="00545DEF" w:rsidP="00545DEF">
            <w:r w:rsidRPr="003B66D0">
              <w:t xml:space="preserve">IP Act </w:t>
            </w:r>
          </w:p>
        </w:tc>
        <w:tc>
          <w:tcPr>
            <w:tcW w:w="7082" w:type="dxa"/>
            <w:vAlign w:val="bottom"/>
          </w:tcPr>
          <w:p w14:paraId="186E4BA1" w14:textId="2D0621E7"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234AC6">
              <w:rPr>
                <w:rStyle w:val="Emphasis"/>
              </w:rPr>
              <w:t>Information Privacy Act 2009</w:t>
            </w:r>
          </w:p>
        </w:tc>
      </w:tr>
      <w:tr w:rsidR="00545DEF" w14:paraId="5BA671C7"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02940B9C" w14:textId="01374217" w:rsidR="00545DEF" w:rsidRPr="002E53BF" w:rsidRDefault="00545DEF" w:rsidP="00545DEF">
            <w:r w:rsidRPr="003B66D0">
              <w:t xml:space="preserve">ISC </w:t>
            </w:r>
          </w:p>
        </w:tc>
        <w:tc>
          <w:tcPr>
            <w:tcW w:w="7082" w:type="dxa"/>
            <w:vAlign w:val="bottom"/>
          </w:tcPr>
          <w:p w14:paraId="048E2176" w14:textId="544BB88D"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3B66D0">
              <w:t>Information and Systems Committee</w:t>
            </w:r>
          </w:p>
        </w:tc>
      </w:tr>
      <w:tr w:rsidR="00545DEF" w14:paraId="2C6E0572"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1B67BBD3" w14:textId="60483ABB" w:rsidR="00545DEF" w:rsidRPr="002E53BF" w:rsidRDefault="00545DEF" w:rsidP="00545DEF">
            <w:r w:rsidRPr="003B66D0">
              <w:t>ISMS</w:t>
            </w:r>
          </w:p>
        </w:tc>
        <w:tc>
          <w:tcPr>
            <w:tcW w:w="7082" w:type="dxa"/>
            <w:vAlign w:val="bottom"/>
          </w:tcPr>
          <w:p w14:paraId="759D3E5A" w14:textId="40ACD0AA"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3B66D0">
              <w:t xml:space="preserve">Information Security Management System </w:t>
            </w:r>
          </w:p>
        </w:tc>
      </w:tr>
      <w:tr w:rsidR="00545DEF" w14:paraId="30920AE1"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13D3BEE8" w14:textId="34D7FF4F" w:rsidR="00545DEF" w:rsidRPr="002E53BF" w:rsidRDefault="00545DEF" w:rsidP="00545DEF">
            <w:r w:rsidRPr="003B66D0">
              <w:t>IT</w:t>
            </w:r>
          </w:p>
        </w:tc>
        <w:tc>
          <w:tcPr>
            <w:tcW w:w="7082" w:type="dxa"/>
            <w:vAlign w:val="bottom"/>
          </w:tcPr>
          <w:p w14:paraId="3D4F919D" w14:textId="503F4765"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3B66D0">
              <w:t>Information Technology</w:t>
            </w:r>
          </w:p>
        </w:tc>
      </w:tr>
      <w:tr w:rsidR="00545DEF" w14:paraId="4F91F8F0"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6DB82138" w14:textId="4E23BA33" w:rsidR="00545DEF" w:rsidRPr="002E53BF" w:rsidRDefault="00545DEF" w:rsidP="00545DEF">
            <w:r w:rsidRPr="003B66D0">
              <w:t xml:space="preserve">ITS </w:t>
            </w:r>
          </w:p>
        </w:tc>
        <w:tc>
          <w:tcPr>
            <w:tcW w:w="7082" w:type="dxa"/>
            <w:vAlign w:val="bottom"/>
          </w:tcPr>
          <w:p w14:paraId="4BDF461F" w14:textId="7B46C756"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3B66D0">
              <w:t>Intelligent Transport Systems</w:t>
            </w:r>
          </w:p>
        </w:tc>
      </w:tr>
      <w:tr w:rsidR="00545DEF" w14:paraId="12CAAD26"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2E07FBAF" w14:textId="4F02652E" w:rsidR="00545DEF" w:rsidRPr="002E53BF" w:rsidRDefault="00545DEF" w:rsidP="00545DEF">
            <w:r w:rsidRPr="003B66D0">
              <w:t>LED</w:t>
            </w:r>
          </w:p>
        </w:tc>
        <w:tc>
          <w:tcPr>
            <w:tcW w:w="7082" w:type="dxa"/>
            <w:vAlign w:val="bottom"/>
          </w:tcPr>
          <w:p w14:paraId="034F4304" w14:textId="06FA3126"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3B66D0">
              <w:t>Light</w:t>
            </w:r>
            <w:r w:rsidRPr="00A17090">
              <w:t xml:space="preserve"> emitting diode</w:t>
            </w:r>
          </w:p>
        </w:tc>
      </w:tr>
      <w:tr w:rsidR="00545DEF" w14:paraId="627B607C"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0461433B" w14:textId="6D4D4FB6" w:rsidR="00545DEF" w:rsidRPr="002E53BF" w:rsidRDefault="00545DEF" w:rsidP="00545DEF">
            <w:r w:rsidRPr="003B66D0">
              <w:t>LFS</w:t>
            </w:r>
          </w:p>
        </w:tc>
        <w:tc>
          <w:tcPr>
            <w:tcW w:w="7082" w:type="dxa"/>
            <w:vAlign w:val="bottom"/>
          </w:tcPr>
          <w:p w14:paraId="225CF04C" w14:textId="46F409AE"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3B66D0">
              <w:t>Local Fare Scheme</w:t>
            </w:r>
          </w:p>
        </w:tc>
      </w:tr>
      <w:tr w:rsidR="00545DEF" w14:paraId="0F4F03C5"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32315CD3" w14:textId="564212A9" w:rsidR="00545DEF" w:rsidRPr="002E53BF" w:rsidRDefault="00545DEF" w:rsidP="00545DEF">
            <w:r w:rsidRPr="003B66D0">
              <w:t>M1</w:t>
            </w:r>
          </w:p>
        </w:tc>
        <w:tc>
          <w:tcPr>
            <w:tcW w:w="7082" w:type="dxa"/>
            <w:vAlign w:val="bottom"/>
          </w:tcPr>
          <w:p w14:paraId="2AC2D415" w14:textId="14DD072A"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3B66D0">
              <w:t xml:space="preserve">Pacific </w:t>
            </w:r>
            <w:r w:rsidRPr="00A17090">
              <w:t>Motorway</w:t>
            </w:r>
          </w:p>
        </w:tc>
      </w:tr>
      <w:tr w:rsidR="00545DEF" w14:paraId="66874DC1"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655063BF" w14:textId="0F473721" w:rsidR="00545DEF" w:rsidRPr="002E53BF" w:rsidRDefault="00545DEF" w:rsidP="00545DEF">
            <w:r w:rsidRPr="003B66D0">
              <w:t>MaaS</w:t>
            </w:r>
          </w:p>
        </w:tc>
        <w:tc>
          <w:tcPr>
            <w:tcW w:w="7082" w:type="dxa"/>
            <w:vAlign w:val="bottom"/>
          </w:tcPr>
          <w:p w14:paraId="580F85A7" w14:textId="2DD7E0E2"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3B66D0">
              <w:t>Mobility as a Service</w:t>
            </w:r>
          </w:p>
        </w:tc>
      </w:tr>
      <w:tr w:rsidR="00545DEF" w14:paraId="3706DFBC"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6FBEC924" w14:textId="65C87189" w:rsidR="00545DEF" w:rsidRPr="002E53BF" w:rsidRDefault="00545DEF" w:rsidP="00545DEF">
            <w:r>
              <w:t>MATE</w:t>
            </w:r>
          </w:p>
        </w:tc>
        <w:tc>
          <w:tcPr>
            <w:tcW w:w="7082" w:type="dxa"/>
            <w:vAlign w:val="bottom"/>
          </w:tcPr>
          <w:p w14:paraId="053756BA" w14:textId="232CBDAB"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Motivating Action Through Empowerment</w:t>
            </w:r>
          </w:p>
        </w:tc>
      </w:tr>
      <w:tr w:rsidR="00545DEF" w14:paraId="1FF21894"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1DC1F1B0" w14:textId="5424A78F" w:rsidR="00545DEF" w:rsidRPr="002E53BF" w:rsidRDefault="00545DEF" w:rsidP="00545DEF">
            <w:r w:rsidRPr="003B66D0">
              <w:t>MET</w:t>
            </w:r>
          </w:p>
        </w:tc>
        <w:tc>
          <w:tcPr>
            <w:tcW w:w="7082" w:type="dxa"/>
            <w:vAlign w:val="bottom"/>
          </w:tcPr>
          <w:p w14:paraId="34619DDE" w14:textId="482F2A8D"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3B66D0">
              <w:t>Maritime Enforcement Team</w:t>
            </w:r>
          </w:p>
        </w:tc>
      </w:tr>
      <w:tr w:rsidR="00545DEF" w14:paraId="7C7650B0"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25A5B1D2" w14:textId="58684CD3" w:rsidR="00545DEF" w:rsidRPr="002E53BF" w:rsidRDefault="00545DEF" w:rsidP="00545DEF">
            <w:r w:rsidRPr="002574EA">
              <w:t xml:space="preserve">MSQ </w:t>
            </w:r>
          </w:p>
        </w:tc>
        <w:tc>
          <w:tcPr>
            <w:tcW w:w="7082" w:type="dxa"/>
            <w:vAlign w:val="bottom"/>
          </w:tcPr>
          <w:p w14:paraId="60A386C6" w14:textId="35E28BBC"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2574EA">
              <w:t>Maritime Safety Queensland</w:t>
            </w:r>
          </w:p>
        </w:tc>
      </w:tr>
      <w:tr w:rsidR="00545DEF" w14:paraId="7D5E14B6"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62026C51" w14:textId="5283F698" w:rsidR="00545DEF" w:rsidRPr="002E53BF" w:rsidRDefault="00545DEF" w:rsidP="00545DEF">
            <w:r>
              <w:t>NQBP</w:t>
            </w:r>
          </w:p>
        </w:tc>
        <w:tc>
          <w:tcPr>
            <w:tcW w:w="7082" w:type="dxa"/>
            <w:vAlign w:val="bottom"/>
          </w:tcPr>
          <w:p w14:paraId="12024D59" w14:textId="049BCC09"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North Queensland Bulk Ports Corporation</w:t>
            </w:r>
          </w:p>
        </w:tc>
      </w:tr>
      <w:tr w:rsidR="00545DEF" w14:paraId="5413C1F9"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1D4D91F7" w14:textId="5B2F0DC0" w:rsidR="00545DEF" w:rsidRPr="002E53BF" w:rsidRDefault="00545DEF" w:rsidP="00545DEF">
            <w:r w:rsidRPr="002574EA">
              <w:t xml:space="preserve">NGR </w:t>
            </w:r>
          </w:p>
        </w:tc>
        <w:tc>
          <w:tcPr>
            <w:tcW w:w="7082" w:type="dxa"/>
            <w:vAlign w:val="bottom"/>
          </w:tcPr>
          <w:p w14:paraId="43E57058" w14:textId="2F691EE4"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2574EA">
              <w:t xml:space="preserve">New Generation </w:t>
            </w:r>
            <w:r w:rsidRPr="00A17090">
              <w:t>Rollingstock</w:t>
            </w:r>
          </w:p>
        </w:tc>
      </w:tr>
      <w:tr w:rsidR="00545DEF" w14:paraId="24D4BABF"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15055DC7" w14:textId="289920CD" w:rsidR="00545DEF" w:rsidRPr="002E53BF" w:rsidRDefault="00545DEF" w:rsidP="00545DEF">
            <w:r w:rsidRPr="002574EA">
              <w:t>NTER</w:t>
            </w:r>
          </w:p>
        </w:tc>
        <w:tc>
          <w:tcPr>
            <w:tcW w:w="7082" w:type="dxa"/>
            <w:vAlign w:val="bottom"/>
          </w:tcPr>
          <w:p w14:paraId="09EB597D" w14:textId="3ADB221F"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2574EA">
              <w:t xml:space="preserve">National Tax </w:t>
            </w:r>
            <w:r w:rsidRPr="00A17090">
              <w:t>Equivalents Regime</w:t>
            </w:r>
          </w:p>
        </w:tc>
      </w:tr>
      <w:tr w:rsidR="00545DEF" w14:paraId="4D192E4C"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100CFCEB" w14:textId="61C47647" w:rsidR="00545DEF" w:rsidRPr="002E53BF" w:rsidRDefault="00545DEF" w:rsidP="00545DEF">
            <w:r>
              <w:t>ODEF</w:t>
            </w:r>
          </w:p>
        </w:tc>
        <w:tc>
          <w:tcPr>
            <w:tcW w:w="7082" w:type="dxa"/>
            <w:vAlign w:val="bottom"/>
          </w:tcPr>
          <w:p w14:paraId="5D4F7A71" w14:textId="47A5A702"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 xml:space="preserve">One Day Equipment Familiarisation </w:t>
            </w:r>
          </w:p>
        </w:tc>
      </w:tr>
      <w:tr w:rsidR="00545DEF" w14:paraId="24CE0692"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5A11ED01" w14:textId="065ED694" w:rsidR="00545DEF" w:rsidRPr="002E53BF" w:rsidRDefault="00545DEF" w:rsidP="00545DEF">
            <w:r>
              <w:lastRenderedPageBreak/>
              <w:t>OIR</w:t>
            </w:r>
          </w:p>
        </w:tc>
        <w:tc>
          <w:tcPr>
            <w:tcW w:w="7082" w:type="dxa"/>
            <w:vAlign w:val="bottom"/>
          </w:tcPr>
          <w:p w14:paraId="7CBE1F91" w14:textId="5422CD9B"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 xml:space="preserve">Office of Industrial Relations </w:t>
            </w:r>
          </w:p>
        </w:tc>
      </w:tr>
      <w:tr w:rsidR="00545DEF" w14:paraId="35D8BA68"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0EDEE37D" w14:textId="08052322" w:rsidR="00545DEF" w:rsidRPr="002E53BF" w:rsidRDefault="00545DEF" w:rsidP="00545DEF">
            <w:r>
              <w:t>ONRSR</w:t>
            </w:r>
          </w:p>
        </w:tc>
        <w:tc>
          <w:tcPr>
            <w:tcW w:w="7082" w:type="dxa"/>
            <w:vAlign w:val="bottom"/>
          </w:tcPr>
          <w:p w14:paraId="17C9DAB9" w14:textId="48431516"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Office of the National Rail Safety Regulator</w:t>
            </w:r>
          </w:p>
        </w:tc>
      </w:tr>
      <w:tr w:rsidR="00545DEF" w14:paraId="61E9F80A"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56740165" w14:textId="41A3C2D9" w:rsidR="00545DEF" w:rsidRPr="002E53BF" w:rsidRDefault="00545DEF" w:rsidP="00545DEF">
            <w:r>
              <w:t>PCN</w:t>
            </w:r>
          </w:p>
        </w:tc>
        <w:tc>
          <w:tcPr>
            <w:tcW w:w="7082" w:type="dxa"/>
            <w:vAlign w:val="bottom"/>
          </w:tcPr>
          <w:p w14:paraId="3B6662D2" w14:textId="62F8E073"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 xml:space="preserve">Principal Cycle Network </w:t>
            </w:r>
          </w:p>
        </w:tc>
      </w:tr>
      <w:tr w:rsidR="00545DEF" w14:paraId="37D1707C"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67DD8B18" w14:textId="01FA5D6A" w:rsidR="00545DEF" w:rsidRPr="002E53BF" w:rsidRDefault="00545DEF" w:rsidP="00545DEF">
            <w:r>
              <w:t>PCYC</w:t>
            </w:r>
          </w:p>
        </w:tc>
        <w:tc>
          <w:tcPr>
            <w:tcW w:w="7082" w:type="dxa"/>
            <w:vAlign w:val="bottom"/>
          </w:tcPr>
          <w:p w14:paraId="392E1466" w14:textId="7B13F986"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 xml:space="preserve">Police-Citizens Youth Welfare Association </w:t>
            </w:r>
          </w:p>
        </w:tc>
      </w:tr>
      <w:tr w:rsidR="00545DEF" w14:paraId="368E401A"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78D5204E" w14:textId="06A04102" w:rsidR="00545DEF" w:rsidRPr="002E53BF" w:rsidRDefault="00545DEF" w:rsidP="00545DEF">
            <w:r>
              <w:t>PD</w:t>
            </w:r>
          </w:p>
        </w:tc>
        <w:tc>
          <w:tcPr>
            <w:tcW w:w="7082" w:type="dxa"/>
            <w:vAlign w:val="bottom"/>
          </w:tcPr>
          <w:p w14:paraId="234559AE" w14:textId="612773D8"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Program Director</w:t>
            </w:r>
          </w:p>
        </w:tc>
      </w:tr>
      <w:tr w:rsidR="00545DEF" w14:paraId="41858895"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0A3E01C3" w14:textId="6745D965" w:rsidR="00545DEF" w:rsidRPr="002E53BF" w:rsidRDefault="00545DEF" w:rsidP="00545DEF">
            <w:r>
              <w:t>POTL</w:t>
            </w:r>
          </w:p>
        </w:tc>
        <w:tc>
          <w:tcPr>
            <w:tcW w:w="7082" w:type="dxa"/>
            <w:vAlign w:val="bottom"/>
          </w:tcPr>
          <w:p w14:paraId="07D640ED" w14:textId="2A137C54"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Port of Townsville Limited</w:t>
            </w:r>
          </w:p>
        </w:tc>
      </w:tr>
      <w:tr w:rsidR="00545DEF" w14:paraId="42078780"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3AD596B8" w14:textId="29188902" w:rsidR="00545DEF" w:rsidRPr="002E53BF" w:rsidRDefault="00545DEF" w:rsidP="00545DEF">
            <w:r w:rsidRPr="00D7269D">
              <w:t>PPI</w:t>
            </w:r>
          </w:p>
        </w:tc>
        <w:tc>
          <w:tcPr>
            <w:tcW w:w="7082" w:type="dxa"/>
            <w:vAlign w:val="bottom"/>
          </w:tcPr>
          <w:p w14:paraId="2F03DB79" w14:textId="7A2CB466"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D7269D">
              <w:t xml:space="preserve">Policy, Planning and </w:t>
            </w:r>
            <w:r w:rsidRPr="00A17090">
              <w:t>Investment Division</w:t>
            </w:r>
          </w:p>
        </w:tc>
      </w:tr>
      <w:tr w:rsidR="00545DEF" w14:paraId="69C888A9"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35E60B79" w14:textId="5E5C2F50" w:rsidR="00545DEF" w:rsidRPr="002E53BF" w:rsidRDefault="00545DEF" w:rsidP="00545DEF">
            <w:r>
              <w:t>PPMP</w:t>
            </w:r>
          </w:p>
        </w:tc>
        <w:tc>
          <w:tcPr>
            <w:tcW w:w="7082" w:type="dxa"/>
            <w:vAlign w:val="bottom"/>
          </w:tcPr>
          <w:p w14:paraId="5552EFDB" w14:textId="5A6EA4AE"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Positive Performance Management Program</w:t>
            </w:r>
          </w:p>
        </w:tc>
      </w:tr>
      <w:tr w:rsidR="00545DEF" w14:paraId="43C04F5F"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4D2FAF02" w14:textId="4FC8CE0D" w:rsidR="00545DEF" w:rsidRPr="002E53BF" w:rsidRDefault="00545DEF" w:rsidP="00545DEF">
            <w:r>
              <w:t>PTAANZ</w:t>
            </w:r>
          </w:p>
        </w:tc>
        <w:tc>
          <w:tcPr>
            <w:tcW w:w="7082" w:type="dxa"/>
            <w:vAlign w:val="bottom"/>
          </w:tcPr>
          <w:p w14:paraId="3959C3FB" w14:textId="3A81495A"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4E27E9">
              <w:t>Public Transport Association Australia New Zealand</w:t>
            </w:r>
          </w:p>
        </w:tc>
      </w:tr>
      <w:tr w:rsidR="00545DEF" w14:paraId="3833155E"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43B1CB86" w14:textId="36F4BBE6" w:rsidR="00545DEF" w:rsidRPr="002E53BF" w:rsidRDefault="00545DEF" w:rsidP="00545DEF">
            <w:r w:rsidRPr="00D7269D">
              <w:t>PWC</w:t>
            </w:r>
          </w:p>
        </w:tc>
        <w:tc>
          <w:tcPr>
            <w:tcW w:w="7082" w:type="dxa"/>
            <w:vAlign w:val="bottom"/>
          </w:tcPr>
          <w:p w14:paraId="16D9AF9F" w14:textId="580CF0F1"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D7269D">
              <w:t>Personal watercraft</w:t>
            </w:r>
          </w:p>
        </w:tc>
      </w:tr>
      <w:tr w:rsidR="00545DEF" w14:paraId="0193099E"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1AC7903E" w14:textId="041828C4" w:rsidR="00545DEF" w:rsidRPr="002E53BF" w:rsidRDefault="00545DEF" w:rsidP="00545DEF">
            <w:r w:rsidRPr="00D7269D">
              <w:t>QAO</w:t>
            </w:r>
          </w:p>
        </w:tc>
        <w:tc>
          <w:tcPr>
            <w:tcW w:w="7082" w:type="dxa"/>
            <w:vAlign w:val="bottom"/>
          </w:tcPr>
          <w:p w14:paraId="74F54CDF" w14:textId="1C24FC30"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D7269D">
              <w:t>Queensland Audit Office</w:t>
            </w:r>
          </w:p>
        </w:tc>
      </w:tr>
      <w:tr w:rsidR="00545DEF" w14:paraId="19D4D38E"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00E49698" w14:textId="529958AF" w:rsidR="00545DEF" w:rsidRPr="002E53BF" w:rsidRDefault="00545DEF" w:rsidP="00545DEF">
            <w:r>
              <w:t>QBIC</w:t>
            </w:r>
          </w:p>
        </w:tc>
        <w:tc>
          <w:tcPr>
            <w:tcW w:w="7082" w:type="dxa"/>
            <w:vAlign w:val="bottom"/>
          </w:tcPr>
          <w:p w14:paraId="5C71EE6E" w14:textId="7FC638EC"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 xml:space="preserve">Queensland Bus Industry Council </w:t>
            </w:r>
          </w:p>
        </w:tc>
      </w:tr>
      <w:tr w:rsidR="00545DEF" w14:paraId="3A91041A"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14C4B4CC" w14:textId="1C95DDD6" w:rsidR="00545DEF" w:rsidRPr="002E53BF" w:rsidRDefault="00545DEF" w:rsidP="00545DEF">
            <w:r>
              <w:t>QDMA</w:t>
            </w:r>
          </w:p>
        </w:tc>
        <w:tc>
          <w:tcPr>
            <w:tcW w:w="7082" w:type="dxa"/>
            <w:vAlign w:val="bottom"/>
          </w:tcPr>
          <w:p w14:paraId="5958B127" w14:textId="186A4C05"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Queensland Disaster Management Arrangements</w:t>
            </w:r>
          </w:p>
        </w:tc>
      </w:tr>
      <w:tr w:rsidR="00545DEF" w14:paraId="6927146D"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6857389A" w14:textId="478D42B2" w:rsidR="00545DEF" w:rsidRPr="002E53BF" w:rsidRDefault="00545DEF" w:rsidP="00545DEF">
            <w:r w:rsidRPr="00D7269D">
              <w:t>QESH</w:t>
            </w:r>
          </w:p>
        </w:tc>
        <w:tc>
          <w:tcPr>
            <w:tcW w:w="7082" w:type="dxa"/>
            <w:vAlign w:val="bottom"/>
          </w:tcPr>
          <w:p w14:paraId="75236002" w14:textId="09E63EDA"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D7269D">
              <w:t>Queensland Electric Super Highway</w:t>
            </w:r>
          </w:p>
        </w:tc>
      </w:tr>
      <w:tr w:rsidR="00545DEF" w14:paraId="78BA99F1"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1B47826D" w14:textId="3B30A000" w:rsidR="00545DEF" w:rsidRPr="002E53BF" w:rsidRDefault="00545DEF" w:rsidP="00545DEF">
            <w:r w:rsidRPr="00A36310">
              <w:t>QR</w:t>
            </w:r>
          </w:p>
        </w:tc>
        <w:tc>
          <w:tcPr>
            <w:tcW w:w="7082" w:type="dxa"/>
            <w:vAlign w:val="bottom"/>
          </w:tcPr>
          <w:p w14:paraId="2163477F" w14:textId="15BA8606"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A36310">
              <w:t xml:space="preserve">Queensland Rail </w:t>
            </w:r>
          </w:p>
        </w:tc>
      </w:tr>
      <w:tr w:rsidR="00545DEF" w14:paraId="0D4C58FC"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29B0A558" w14:textId="32338972" w:rsidR="00545DEF" w:rsidRPr="002E53BF" w:rsidRDefault="00545DEF" w:rsidP="00545DEF">
            <w:r w:rsidRPr="00A36310">
              <w:t>QRS</w:t>
            </w:r>
          </w:p>
        </w:tc>
        <w:tc>
          <w:tcPr>
            <w:tcW w:w="7082" w:type="dxa"/>
            <w:vAlign w:val="bottom"/>
          </w:tcPr>
          <w:p w14:paraId="78C3DEEE" w14:textId="12BE824A"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A36310">
              <w:t>Queensland Regulated Ship</w:t>
            </w:r>
          </w:p>
        </w:tc>
      </w:tr>
      <w:tr w:rsidR="00545DEF" w14:paraId="76713935"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44FE6D39" w14:textId="58E3F117" w:rsidR="00545DEF" w:rsidRPr="002E53BF" w:rsidRDefault="00545DEF" w:rsidP="00545DEF">
            <w:r>
              <w:t>QTMP</w:t>
            </w:r>
          </w:p>
        </w:tc>
        <w:tc>
          <w:tcPr>
            <w:tcW w:w="7082" w:type="dxa"/>
            <w:vAlign w:val="bottom"/>
          </w:tcPr>
          <w:p w14:paraId="6FB10DF4" w14:textId="3E8EE070"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 xml:space="preserve">Queensland Train Manufacturing Program </w:t>
            </w:r>
          </w:p>
        </w:tc>
      </w:tr>
      <w:tr w:rsidR="00545DEF" w14:paraId="373829A4"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70AC91EC" w14:textId="166D3079" w:rsidR="00545DEF" w:rsidRPr="002E53BF" w:rsidRDefault="00545DEF" w:rsidP="00545DEF">
            <w:r w:rsidRPr="00A36310">
              <w:t>QTRIP</w:t>
            </w:r>
          </w:p>
        </w:tc>
        <w:tc>
          <w:tcPr>
            <w:tcW w:w="7082" w:type="dxa"/>
            <w:vAlign w:val="bottom"/>
          </w:tcPr>
          <w:p w14:paraId="27670BB0" w14:textId="140AA31E"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A36310">
              <w:t>Queensland Transport and Roads Investment Program</w:t>
            </w:r>
          </w:p>
        </w:tc>
      </w:tr>
      <w:tr w:rsidR="00545DEF" w14:paraId="5C6F8687"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00A25618" w14:textId="309163E5" w:rsidR="00545DEF" w:rsidRPr="002E53BF" w:rsidRDefault="00545DEF" w:rsidP="00545DEF">
            <w:r w:rsidRPr="00A36310">
              <w:t>QUT</w:t>
            </w:r>
          </w:p>
        </w:tc>
        <w:tc>
          <w:tcPr>
            <w:tcW w:w="7082" w:type="dxa"/>
            <w:vAlign w:val="bottom"/>
          </w:tcPr>
          <w:p w14:paraId="6ECD7E34" w14:textId="4E6EF9FF"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A36310">
              <w:t xml:space="preserve">Queensland University of Technology </w:t>
            </w:r>
          </w:p>
        </w:tc>
      </w:tr>
      <w:tr w:rsidR="00545DEF" w14:paraId="09D157A5"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3D88D52A" w14:textId="59A3BAC5" w:rsidR="00545DEF" w:rsidRPr="002E53BF" w:rsidRDefault="00545DEF" w:rsidP="00545DEF">
            <w:r w:rsidRPr="00A36310">
              <w:t>RACQ</w:t>
            </w:r>
          </w:p>
        </w:tc>
        <w:tc>
          <w:tcPr>
            <w:tcW w:w="7082" w:type="dxa"/>
            <w:vAlign w:val="bottom"/>
          </w:tcPr>
          <w:p w14:paraId="45668A38" w14:textId="4C03EE3F"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A36310">
              <w:t>Royal Automotive Club of Queensland</w:t>
            </w:r>
          </w:p>
        </w:tc>
      </w:tr>
      <w:tr w:rsidR="00545DEF" w14:paraId="1D2A1D68"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3F1C0B7D" w14:textId="6817FC1A" w:rsidR="00545DEF" w:rsidRPr="002E53BF" w:rsidRDefault="00545DEF" w:rsidP="00545DEF">
            <w:r w:rsidRPr="00A36310">
              <w:t>ReefVTS</w:t>
            </w:r>
          </w:p>
        </w:tc>
        <w:tc>
          <w:tcPr>
            <w:tcW w:w="7082" w:type="dxa"/>
            <w:vAlign w:val="bottom"/>
          </w:tcPr>
          <w:p w14:paraId="31F19D3E" w14:textId="6638FE33"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A36310">
              <w:t xml:space="preserve">Great Barrier Reef and Torres Strait Vessel Traffic </w:t>
            </w:r>
            <w:r w:rsidRPr="00A17090">
              <w:t>Services</w:t>
            </w:r>
          </w:p>
        </w:tc>
      </w:tr>
      <w:tr w:rsidR="00545DEF" w14:paraId="5C990B3A"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73B6D600" w14:textId="5680050F" w:rsidR="00545DEF" w:rsidRPr="002E53BF" w:rsidRDefault="00545DEF" w:rsidP="00545DEF">
            <w:r w:rsidRPr="00A36310">
              <w:t>Rex</w:t>
            </w:r>
          </w:p>
        </w:tc>
        <w:tc>
          <w:tcPr>
            <w:tcW w:w="7082" w:type="dxa"/>
            <w:vAlign w:val="bottom"/>
          </w:tcPr>
          <w:p w14:paraId="483CB92F" w14:textId="56F7A51F"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A36310">
              <w:t>Regional Express Airlines</w:t>
            </w:r>
          </w:p>
        </w:tc>
      </w:tr>
      <w:tr w:rsidR="00545DEF" w14:paraId="0EDA2582"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76509106" w14:textId="4444C790" w:rsidR="00545DEF" w:rsidRPr="002E53BF" w:rsidRDefault="00545DEF" w:rsidP="00545DEF">
            <w:r w:rsidRPr="007471BE">
              <w:lastRenderedPageBreak/>
              <w:t>ROSI</w:t>
            </w:r>
          </w:p>
        </w:tc>
        <w:tc>
          <w:tcPr>
            <w:tcW w:w="7082" w:type="dxa"/>
            <w:vAlign w:val="bottom"/>
          </w:tcPr>
          <w:p w14:paraId="0BD89509" w14:textId="6B91ED52"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7471BE">
              <w:t>Roads of Strategic Importance</w:t>
            </w:r>
          </w:p>
        </w:tc>
      </w:tr>
      <w:tr w:rsidR="00545DEF" w14:paraId="51CFE207"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61DD9848" w14:textId="38E13ABA" w:rsidR="00545DEF" w:rsidRPr="002E53BF" w:rsidRDefault="00545DEF" w:rsidP="00545DEF">
            <w:r w:rsidRPr="007471BE">
              <w:t>RPA</w:t>
            </w:r>
          </w:p>
        </w:tc>
        <w:tc>
          <w:tcPr>
            <w:tcW w:w="7082" w:type="dxa"/>
            <w:vAlign w:val="bottom"/>
          </w:tcPr>
          <w:p w14:paraId="0D27FADF" w14:textId="3B93267B"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7471BE">
              <w:t xml:space="preserve">Robotics Process Automation </w:t>
            </w:r>
          </w:p>
        </w:tc>
      </w:tr>
      <w:tr w:rsidR="00545DEF" w14:paraId="799D1EE8"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2F1EF60B" w14:textId="5C2F9696" w:rsidR="00545DEF" w:rsidRPr="002E53BF" w:rsidRDefault="00545DEF" w:rsidP="00545DEF">
            <w:r w:rsidRPr="007471BE">
              <w:t>RRTG</w:t>
            </w:r>
          </w:p>
        </w:tc>
        <w:tc>
          <w:tcPr>
            <w:tcW w:w="7082" w:type="dxa"/>
            <w:vAlign w:val="bottom"/>
          </w:tcPr>
          <w:p w14:paraId="51D1D31F" w14:textId="23482FA1"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7471BE">
              <w:t>Regional Roads and Transport Group</w:t>
            </w:r>
          </w:p>
        </w:tc>
      </w:tr>
      <w:tr w:rsidR="00545DEF" w14:paraId="5ED8F662"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1BB79189" w14:textId="01945D41" w:rsidR="00545DEF" w:rsidRPr="002E53BF" w:rsidRDefault="00545DEF" w:rsidP="00545DEF">
            <w:r w:rsidRPr="007471BE">
              <w:t>RTI Act</w:t>
            </w:r>
          </w:p>
        </w:tc>
        <w:tc>
          <w:tcPr>
            <w:tcW w:w="7082" w:type="dxa"/>
            <w:vAlign w:val="bottom"/>
          </w:tcPr>
          <w:p w14:paraId="6C56F3EF" w14:textId="71DB223D"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234AC6">
              <w:rPr>
                <w:rStyle w:val="Emphasis"/>
              </w:rPr>
              <w:t>Right to Information Act 2009</w:t>
            </w:r>
          </w:p>
        </w:tc>
      </w:tr>
      <w:tr w:rsidR="00545DEF" w14:paraId="00A9547B"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4470F06F" w14:textId="45CC8142" w:rsidR="00545DEF" w:rsidRPr="002E53BF" w:rsidRDefault="00545DEF" w:rsidP="00545DEF">
            <w:r w:rsidRPr="007471BE">
              <w:t>RTP</w:t>
            </w:r>
            <w:r w:rsidRPr="00A17090">
              <w:t>s</w:t>
            </w:r>
          </w:p>
        </w:tc>
        <w:tc>
          <w:tcPr>
            <w:tcW w:w="7082" w:type="dxa"/>
            <w:vAlign w:val="bottom"/>
          </w:tcPr>
          <w:p w14:paraId="3BC49C34" w14:textId="5B64C8EC"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7471BE">
              <w:t xml:space="preserve">Regional Transport Plans </w:t>
            </w:r>
          </w:p>
        </w:tc>
      </w:tr>
      <w:tr w:rsidR="00545DEF" w14:paraId="13969D02"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7B1AA123" w14:textId="08403D8F" w:rsidR="00545DEF" w:rsidRPr="002E53BF" w:rsidRDefault="00545DEF" w:rsidP="00545DEF">
            <w:r w:rsidRPr="007471BE">
              <w:t>SAP</w:t>
            </w:r>
          </w:p>
        </w:tc>
        <w:tc>
          <w:tcPr>
            <w:tcW w:w="7082" w:type="dxa"/>
            <w:vAlign w:val="bottom"/>
          </w:tcPr>
          <w:p w14:paraId="47A4AD3B" w14:textId="6FCB6152"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7471BE">
              <w:t xml:space="preserve">System, </w:t>
            </w:r>
            <w:r w:rsidRPr="00A17090">
              <w:t>application and products</w:t>
            </w:r>
          </w:p>
        </w:tc>
      </w:tr>
      <w:tr w:rsidR="00545DEF" w14:paraId="4C5CF1A9"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141210C6" w14:textId="00569218" w:rsidR="00545DEF" w:rsidRPr="002E53BF" w:rsidRDefault="00545DEF" w:rsidP="00545DEF">
            <w:r w:rsidRPr="00F22D9D">
              <w:t>SDS</w:t>
            </w:r>
          </w:p>
        </w:tc>
        <w:tc>
          <w:tcPr>
            <w:tcW w:w="7082" w:type="dxa"/>
            <w:vAlign w:val="bottom"/>
          </w:tcPr>
          <w:p w14:paraId="141A3481" w14:textId="7666B535"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F22D9D">
              <w:t>Service Delivery Statements</w:t>
            </w:r>
          </w:p>
        </w:tc>
      </w:tr>
      <w:tr w:rsidR="00545DEF" w14:paraId="36810FB2"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24AFAE19" w14:textId="5FD04E50" w:rsidR="00545DEF" w:rsidRPr="002E53BF" w:rsidRDefault="00545DEF" w:rsidP="00545DEF">
            <w:r w:rsidRPr="00F22D9D">
              <w:t>SEQ</w:t>
            </w:r>
          </w:p>
        </w:tc>
        <w:tc>
          <w:tcPr>
            <w:tcW w:w="7082" w:type="dxa"/>
            <w:vAlign w:val="bottom"/>
          </w:tcPr>
          <w:p w14:paraId="02B6B66C" w14:textId="5BF3AADE"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F22D9D">
              <w:t>South East Queensland</w:t>
            </w:r>
          </w:p>
        </w:tc>
      </w:tr>
      <w:tr w:rsidR="00545DEF" w14:paraId="64539001"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1043FDEE" w14:textId="44CFD769" w:rsidR="00545DEF" w:rsidRPr="002E53BF" w:rsidRDefault="00545DEF" w:rsidP="00545DEF">
            <w:r w:rsidRPr="00F22D9D">
              <w:t>SES</w:t>
            </w:r>
          </w:p>
        </w:tc>
        <w:tc>
          <w:tcPr>
            <w:tcW w:w="7082" w:type="dxa"/>
            <w:vAlign w:val="bottom"/>
          </w:tcPr>
          <w:p w14:paraId="1B714AE9" w14:textId="16F64A31"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F22D9D">
              <w:t>Senior Executive Service</w:t>
            </w:r>
          </w:p>
        </w:tc>
      </w:tr>
      <w:tr w:rsidR="00545DEF" w14:paraId="50A65F44"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74C85B83" w14:textId="001CEAC6" w:rsidR="00545DEF" w:rsidRPr="002E53BF" w:rsidRDefault="00545DEF" w:rsidP="00545DEF">
            <w:r w:rsidRPr="00F22D9D">
              <w:t>SES/SO</w:t>
            </w:r>
          </w:p>
        </w:tc>
        <w:tc>
          <w:tcPr>
            <w:tcW w:w="7082" w:type="dxa"/>
            <w:vAlign w:val="bottom"/>
          </w:tcPr>
          <w:p w14:paraId="456BB909" w14:textId="4B04D973"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F22D9D">
              <w:t>Senior Executive Service/Senior Officer</w:t>
            </w:r>
          </w:p>
        </w:tc>
      </w:tr>
      <w:tr w:rsidR="00545DEF" w14:paraId="04AA2C39"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19A19B1B" w14:textId="4F1976B9" w:rsidR="00545DEF" w:rsidRPr="002E53BF" w:rsidRDefault="00545DEF" w:rsidP="00545DEF">
            <w:r>
              <w:t>SMS</w:t>
            </w:r>
          </w:p>
        </w:tc>
        <w:tc>
          <w:tcPr>
            <w:tcW w:w="7082" w:type="dxa"/>
            <w:vAlign w:val="bottom"/>
          </w:tcPr>
          <w:p w14:paraId="67C827C2" w14:textId="71FE50E8"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Short Message Service</w:t>
            </w:r>
          </w:p>
        </w:tc>
      </w:tr>
      <w:tr w:rsidR="00545DEF" w14:paraId="6BA560C0"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0F6F4C05" w14:textId="003819DF" w:rsidR="00545DEF" w:rsidRPr="002E53BF" w:rsidRDefault="00545DEF" w:rsidP="00545DEF">
            <w:r w:rsidRPr="00F22D9D">
              <w:t>SO</w:t>
            </w:r>
          </w:p>
        </w:tc>
        <w:tc>
          <w:tcPr>
            <w:tcW w:w="7082" w:type="dxa"/>
            <w:vAlign w:val="bottom"/>
          </w:tcPr>
          <w:p w14:paraId="3BC40FF8" w14:textId="1264A21C"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F22D9D">
              <w:t xml:space="preserve">Senior </w:t>
            </w:r>
            <w:r w:rsidRPr="00A17090">
              <w:t>Officer</w:t>
            </w:r>
          </w:p>
        </w:tc>
      </w:tr>
      <w:tr w:rsidR="00545DEF" w14:paraId="201949FE"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427DA6C7" w14:textId="0F5EE56C" w:rsidR="00545DEF" w:rsidRPr="002E53BF" w:rsidRDefault="00545DEF" w:rsidP="00545DEF">
            <w:r w:rsidRPr="00F22D9D">
              <w:t>STAS</w:t>
            </w:r>
          </w:p>
        </w:tc>
        <w:tc>
          <w:tcPr>
            <w:tcW w:w="7082" w:type="dxa"/>
            <w:vAlign w:val="bottom"/>
          </w:tcPr>
          <w:p w14:paraId="6973F20A" w14:textId="39E49D5E"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F22D9D">
              <w:t>School Transport Assistance Scheme</w:t>
            </w:r>
          </w:p>
        </w:tc>
      </w:tr>
      <w:tr w:rsidR="00545DEF" w14:paraId="1B0C569B"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05385F62" w14:textId="51C14062" w:rsidR="00545DEF" w:rsidRPr="002E53BF" w:rsidRDefault="00545DEF" w:rsidP="00545DEF">
            <w:r w:rsidRPr="00F22D9D">
              <w:t>STEM</w:t>
            </w:r>
          </w:p>
        </w:tc>
        <w:tc>
          <w:tcPr>
            <w:tcW w:w="7082" w:type="dxa"/>
            <w:vAlign w:val="bottom"/>
          </w:tcPr>
          <w:p w14:paraId="5EAFD85D" w14:textId="2B04BC78"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F22D9D">
              <w:t>Science, technology, engineering and mathematics</w:t>
            </w:r>
          </w:p>
        </w:tc>
      </w:tr>
      <w:tr w:rsidR="00545DEF" w14:paraId="23073C80"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43634496" w14:textId="10DA435D" w:rsidR="00545DEF" w:rsidRPr="002E53BF" w:rsidRDefault="00545DEF" w:rsidP="00545DEF">
            <w:r>
              <w:t>STIP</w:t>
            </w:r>
          </w:p>
        </w:tc>
        <w:tc>
          <w:tcPr>
            <w:tcW w:w="7082" w:type="dxa"/>
            <w:vAlign w:val="bottom"/>
          </w:tcPr>
          <w:p w14:paraId="524B04E2" w14:textId="45301DFA"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School Transport Infrastructure Program</w:t>
            </w:r>
          </w:p>
        </w:tc>
      </w:tr>
      <w:tr w:rsidR="00545DEF" w14:paraId="7C299C1D"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67A8D1A4" w14:textId="6D94500D" w:rsidR="00545DEF" w:rsidRPr="002E53BF" w:rsidRDefault="00545DEF" w:rsidP="00545DEF">
            <w:r w:rsidRPr="007A5230">
              <w:t>TDx</w:t>
            </w:r>
          </w:p>
        </w:tc>
        <w:tc>
          <w:tcPr>
            <w:tcW w:w="7082" w:type="dxa"/>
            <w:vAlign w:val="bottom"/>
          </w:tcPr>
          <w:p w14:paraId="527F63EF" w14:textId="5BBD4181"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7A5230">
              <w:t xml:space="preserve">Transport Data Exchange </w:t>
            </w:r>
          </w:p>
        </w:tc>
      </w:tr>
      <w:tr w:rsidR="00545DEF" w14:paraId="0C5904EB"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635711FF" w14:textId="7EAE6E20" w:rsidR="00545DEF" w:rsidRPr="002E53BF" w:rsidRDefault="00545DEF" w:rsidP="00545DEF">
            <w:r w:rsidRPr="007A5230">
              <w:t>TIDS</w:t>
            </w:r>
          </w:p>
        </w:tc>
        <w:tc>
          <w:tcPr>
            <w:tcW w:w="7082" w:type="dxa"/>
            <w:vAlign w:val="bottom"/>
          </w:tcPr>
          <w:p w14:paraId="1E5A6172" w14:textId="63B381FD"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7A5230">
              <w:t>Transport Infrastructure Development Scheme</w:t>
            </w:r>
          </w:p>
        </w:tc>
      </w:tr>
      <w:tr w:rsidR="00545DEF" w14:paraId="0090666C"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4E1E6F2E" w14:textId="12A59855" w:rsidR="00545DEF" w:rsidRPr="002E53BF" w:rsidRDefault="00545DEF" w:rsidP="00545DEF">
            <w:r>
              <w:t>TIPPS</w:t>
            </w:r>
          </w:p>
        </w:tc>
        <w:tc>
          <w:tcPr>
            <w:tcW w:w="7082" w:type="dxa"/>
            <w:vAlign w:val="bottom"/>
          </w:tcPr>
          <w:p w14:paraId="009C2051" w14:textId="05B90DCE"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0B3845">
              <w:t>Transport, Information, Policy and Procedures System</w:t>
            </w:r>
          </w:p>
        </w:tc>
      </w:tr>
      <w:tr w:rsidR="00545DEF" w14:paraId="366D3EB0"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3EB5EA0B" w14:textId="427A025B" w:rsidR="00545DEF" w:rsidRPr="002E53BF" w:rsidRDefault="00545DEF" w:rsidP="00545DEF">
            <w:r w:rsidRPr="007A5230">
              <w:t>TMR</w:t>
            </w:r>
          </w:p>
        </w:tc>
        <w:tc>
          <w:tcPr>
            <w:tcW w:w="7082" w:type="dxa"/>
            <w:vAlign w:val="bottom"/>
          </w:tcPr>
          <w:p w14:paraId="63E07ECC" w14:textId="22CFC602"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7A5230">
              <w:t>Department of Transport and Main Roads</w:t>
            </w:r>
          </w:p>
        </w:tc>
      </w:tr>
      <w:tr w:rsidR="00545DEF" w14:paraId="754B4FD0"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180AB2F7" w14:textId="544E6DD5" w:rsidR="00545DEF" w:rsidRPr="002E53BF" w:rsidRDefault="00545DEF" w:rsidP="00545DEF">
            <w:r w:rsidRPr="007A5230">
              <w:t>TPaC</w:t>
            </w:r>
          </w:p>
        </w:tc>
        <w:tc>
          <w:tcPr>
            <w:tcW w:w="7082" w:type="dxa"/>
            <w:vAlign w:val="bottom"/>
          </w:tcPr>
          <w:p w14:paraId="6D807D14" w14:textId="0D667C34"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7A5230">
              <w:t xml:space="preserve">Transport People and Capability Board </w:t>
            </w:r>
          </w:p>
        </w:tc>
      </w:tr>
      <w:tr w:rsidR="00545DEF" w14:paraId="64A8A6E2"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6541DFF6" w14:textId="327FE493" w:rsidR="00545DEF" w:rsidRPr="002E53BF" w:rsidRDefault="00545DEF" w:rsidP="00545DEF">
            <w:r>
              <w:t>TSafe</w:t>
            </w:r>
          </w:p>
        </w:tc>
        <w:tc>
          <w:tcPr>
            <w:tcW w:w="7082" w:type="dxa"/>
            <w:vAlign w:val="bottom"/>
          </w:tcPr>
          <w:p w14:paraId="2B39D4E2" w14:textId="523099D5"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TMR Safety Board</w:t>
            </w:r>
          </w:p>
        </w:tc>
      </w:tr>
      <w:tr w:rsidR="00545DEF" w14:paraId="352C2655"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35172290" w14:textId="30D35B16" w:rsidR="00545DEF" w:rsidRPr="002E53BF" w:rsidRDefault="00545DEF" w:rsidP="00545DEF">
            <w:r w:rsidRPr="007A5230">
              <w:t>TSS</w:t>
            </w:r>
          </w:p>
        </w:tc>
        <w:tc>
          <w:tcPr>
            <w:tcW w:w="7082" w:type="dxa"/>
            <w:vAlign w:val="bottom"/>
          </w:tcPr>
          <w:p w14:paraId="5395CED2" w14:textId="165412F9"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7A5230">
              <w:t>Taxi Subsidy Scheme</w:t>
            </w:r>
          </w:p>
        </w:tc>
      </w:tr>
      <w:tr w:rsidR="00545DEF" w14:paraId="2F6F4774"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79C74EC3" w14:textId="72B4BD7D" w:rsidR="00545DEF" w:rsidRPr="002E53BF" w:rsidRDefault="00545DEF" w:rsidP="00545DEF">
            <w:r w:rsidRPr="007A5230">
              <w:lastRenderedPageBreak/>
              <w:t>UQ</w:t>
            </w:r>
          </w:p>
        </w:tc>
        <w:tc>
          <w:tcPr>
            <w:tcW w:w="7082" w:type="dxa"/>
            <w:vAlign w:val="bottom"/>
          </w:tcPr>
          <w:p w14:paraId="6E257E68" w14:textId="2E406863"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 xml:space="preserve">The </w:t>
            </w:r>
            <w:r w:rsidRPr="007A5230">
              <w:t xml:space="preserve">University of Queensland </w:t>
            </w:r>
          </w:p>
        </w:tc>
      </w:tr>
      <w:tr w:rsidR="00545DEF" w14:paraId="4A8379DB"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5B1507BA" w14:textId="02C7EB75" w:rsidR="00545DEF" w:rsidRPr="002E53BF" w:rsidRDefault="00545DEF" w:rsidP="00545DEF">
            <w:r w:rsidRPr="007A5230">
              <w:t>V1</w:t>
            </w:r>
          </w:p>
        </w:tc>
        <w:tc>
          <w:tcPr>
            <w:tcW w:w="7082" w:type="dxa"/>
            <w:vAlign w:val="bottom"/>
          </w:tcPr>
          <w:p w14:paraId="50D65B90" w14:textId="0BA9006B"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7A5230">
              <w:t>Veloway 1</w:t>
            </w:r>
          </w:p>
        </w:tc>
      </w:tr>
      <w:tr w:rsidR="00545DEF" w14:paraId="6E8C5C70"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30E69888" w14:textId="23FB6154" w:rsidR="00545DEF" w:rsidRPr="002E53BF" w:rsidRDefault="00545DEF" w:rsidP="00545DEF">
            <w:r>
              <w:t>vWiM</w:t>
            </w:r>
          </w:p>
        </w:tc>
        <w:tc>
          <w:tcPr>
            <w:tcW w:w="7082" w:type="dxa"/>
            <w:vAlign w:val="bottom"/>
          </w:tcPr>
          <w:p w14:paraId="1976684F" w14:textId="6A850C52"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Virtual Weigh-in-Motion</w:t>
            </w:r>
          </w:p>
        </w:tc>
      </w:tr>
      <w:tr w:rsidR="00545DEF" w14:paraId="3A0ECA21"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19C3284E" w14:textId="0473D3FC" w:rsidR="00545DEF" w:rsidRPr="002E53BF" w:rsidRDefault="00545DEF" w:rsidP="00545DEF">
            <w:r w:rsidRPr="00986459">
              <w:t>WAT</w:t>
            </w:r>
          </w:p>
        </w:tc>
        <w:tc>
          <w:tcPr>
            <w:tcW w:w="7082" w:type="dxa"/>
            <w:vAlign w:val="bottom"/>
          </w:tcPr>
          <w:p w14:paraId="6EEDF64D" w14:textId="67E467F0"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986459">
              <w:t>Wheelchair Accessible Taxis</w:t>
            </w:r>
          </w:p>
        </w:tc>
      </w:tr>
      <w:tr w:rsidR="00545DEF" w14:paraId="48F51EF3"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646D2C07" w14:textId="484C11E7" w:rsidR="00545DEF" w:rsidRPr="002E53BF" w:rsidRDefault="00545DEF" w:rsidP="00545DEF">
            <w:r w:rsidRPr="00986459">
              <w:t>WfQ</w:t>
            </w:r>
          </w:p>
        </w:tc>
        <w:tc>
          <w:tcPr>
            <w:tcW w:w="7082" w:type="dxa"/>
            <w:vAlign w:val="bottom"/>
          </w:tcPr>
          <w:p w14:paraId="4B3EF2CA" w14:textId="2127C5DC"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rsidRPr="00986459">
              <w:t>Working for Queensland</w:t>
            </w:r>
          </w:p>
        </w:tc>
      </w:tr>
      <w:tr w:rsidR="00545DEF" w14:paraId="3498CC97" w14:textId="77777777" w:rsidTr="001E3274">
        <w:tc>
          <w:tcPr>
            <w:cnfStyle w:val="001000000000" w:firstRow="0" w:lastRow="0" w:firstColumn="1" w:lastColumn="0" w:oddVBand="0" w:evenVBand="0" w:oddHBand="0" w:evenHBand="0" w:firstRowFirstColumn="0" w:firstRowLastColumn="0" w:lastRowFirstColumn="0" w:lastRowLastColumn="0"/>
            <w:tcW w:w="1980" w:type="dxa"/>
            <w:vAlign w:val="bottom"/>
          </w:tcPr>
          <w:p w14:paraId="7EB13BDF" w14:textId="23E7CDE6" w:rsidR="00545DEF" w:rsidRPr="002E53BF" w:rsidRDefault="00545DEF" w:rsidP="00545DEF">
            <w:r>
              <w:t>ZEV</w:t>
            </w:r>
          </w:p>
        </w:tc>
        <w:tc>
          <w:tcPr>
            <w:tcW w:w="7082" w:type="dxa"/>
            <w:vAlign w:val="bottom"/>
          </w:tcPr>
          <w:p w14:paraId="7052D3EB" w14:textId="44024086" w:rsidR="00545DEF" w:rsidRPr="002E53BF" w:rsidRDefault="00545DEF" w:rsidP="00545DEF">
            <w:pPr>
              <w:cnfStyle w:val="000000000000" w:firstRow="0" w:lastRow="0" w:firstColumn="0" w:lastColumn="0" w:oddVBand="0" w:evenVBand="0" w:oddHBand="0" w:evenHBand="0" w:firstRowFirstColumn="0" w:firstRowLastColumn="0" w:lastRowFirstColumn="0" w:lastRowLastColumn="0"/>
            </w:pPr>
            <w:r>
              <w:t>Zero Emission Vehicle</w:t>
            </w:r>
          </w:p>
        </w:tc>
      </w:tr>
    </w:tbl>
    <w:p w14:paraId="0477AAE5" w14:textId="77777777" w:rsidR="006800C7" w:rsidRDefault="006800C7" w:rsidP="006800C7"/>
    <w:p w14:paraId="7DE3BB46" w14:textId="77777777" w:rsidR="006800C7" w:rsidRDefault="006800C7" w:rsidP="006800C7">
      <w:pPr>
        <w:spacing w:before="0" w:after="160" w:line="259" w:lineRule="auto"/>
      </w:pPr>
      <w:r>
        <w:br w:type="page"/>
      </w:r>
    </w:p>
    <w:p w14:paraId="24947374" w14:textId="77777777" w:rsidR="006800C7" w:rsidRDefault="006800C7" w:rsidP="006800C7">
      <w:pPr>
        <w:pStyle w:val="Heading2"/>
      </w:pPr>
      <w:r w:rsidRPr="00D731D3">
        <w:lastRenderedPageBreak/>
        <w:t>Compliance</w:t>
      </w:r>
      <w:r>
        <w:t xml:space="preserve"> checklist</w:t>
      </w:r>
    </w:p>
    <w:p w14:paraId="6E1DE8E7" w14:textId="77777777" w:rsidR="006800C7" w:rsidRPr="00B50E79" w:rsidRDefault="006800C7" w:rsidP="006800C7"/>
    <w:tbl>
      <w:tblPr>
        <w:tblW w:w="9923" w:type="dxa"/>
        <w:tblBorders>
          <w:insideH w:val="single" w:sz="4" w:space="0" w:color="auto"/>
        </w:tblBorders>
        <w:tblLayout w:type="fixed"/>
        <w:tblLook w:val="01E0" w:firstRow="1" w:lastRow="1" w:firstColumn="1" w:lastColumn="1" w:noHBand="0" w:noVBand="0"/>
      </w:tblPr>
      <w:tblGrid>
        <w:gridCol w:w="1548"/>
        <w:gridCol w:w="4264"/>
        <w:gridCol w:w="2520"/>
        <w:gridCol w:w="1591"/>
      </w:tblGrid>
      <w:tr w:rsidR="006800C7" w:rsidRPr="00534ECE" w14:paraId="58CFC9FC" w14:textId="77777777" w:rsidTr="00F31956">
        <w:trPr>
          <w:cantSplit/>
          <w:tblHeader/>
        </w:trPr>
        <w:tc>
          <w:tcPr>
            <w:tcW w:w="5812" w:type="dxa"/>
            <w:gridSpan w:val="2"/>
            <w:tcBorders>
              <w:top w:val="single" w:sz="4" w:space="0" w:color="auto"/>
              <w:bottom w:val="single" w:sz="4" w:space="0" w:color="auto"/>
              <w:right w:val="single" w:sz="4" w:space="0" w:color="auto"/>
            </w:tcBorders>
            <w:shd w:val="clear" w:color="auto" w:fill="E6E6E6"/>
            <w:vAlign w:val="center"/>
          </w:tcPr>
          <w:p w14:paraId="0C7CD5DD" w14:textId="77777777" w:rsidR="006800C7" w:rsidRPr="002E53BF" w:rsidRDefault="006800C7" w:rsidP="00F31956">
            <w:r w:rsidRPr="00B50E79">
              <w:t>Summary of requirement</w:t>
            </w:r>
          </w:p>
        </w:tc>
        <w:tc>
          <w:tcPr>
            <w:tcW w:w="2520" w:type="dxa"/>
            <w:tcBorders>
              <w:top w:val="single" w:sz="4" w:space="0" w:color="auto"/>
              <w:left w:val="single" w:sz="4" w:space="0" w:color="auto"/>
              <w:bottom w:val="single" w:sz="4" w:space="0" w:color="auto"/>
            </w:tcBorders>
            <w:shd w:val="clear" w:color="auto" w:fill="E6E6E6"/>
            <w:vAlign w:val="center"/>
          </w:tcPr>
          <w:p w14:paraId="2C254126" w14:textId="77777777" w:rsidR="006800C7" w:rsidRPr="002E53BF" w:rsidRDefault="006800C7" w:rsidP="00F31956">
            <w:r w:rsidRPr="00B50E79">
              <w:t>Basis for requirement</w:t>
            </w:r>
          </w:p>
        </w:tc>
        <w:tc>
          <w:tcPr>
            <w:tcW w:w="1591" w:type="dxa"/>
            <w:tcBorders>
              <w:top w:val="single" w:sz="4" w:space="0" w:color="auto"/>
              <w:left w:val="single" w:sz="4" w:space="0" w:color="auto"/>
              <w:bottom w:val="single" w:sz="4" w:space="0" w:color="auto"/>
            </w:tcBorders>
            <w:shd w:val="clear" w:color="auto" w:fill="E6E6E6"/>
            <w:vAlign w:val="center"/>
          </w:tcPr>
          <w:p w14:paraId="2C411BAF" w14:textId="77777777" w:rsidR="006800C7" w:rsidRPr="002E53BF" w:rsidRDefault="006800C7" w:rsidP="00F31956">
            <w:r w:rsidRPr="00B50E79">
              <w:t>Annual report reference</w:t>
            </w:r>
          </w:p>
        </w:tc>
      </w:tr>
      <w:tr w:rsidR="00543146" w:rsidRPr="00534ECE" w14:paraId="5BE935A3" w14:textId="77777777" w:rsidTr="00F31956">
        <w:trPr>
          <w:cantSplit/>
        </w:trPr>
        <w:tc>
          <w:tcPr>
            <w:tcW w:w="1548" w:type="dxa"/>
            <w:tcBorders>
              <w:top w:val="single" w:sz="4" w:space="0" w:color="auto"/>
              <w:bottom w:val="single" w:sz="4" w:space="0" w:color="auto"/>
              <w:right w:val="single" w:sz="4" w:space="0" w:color="auto"/>
            </w:tcBorders>
          </w:tcPr>
          <w:p w14:paraId="3684B857" w14:textId="77777777" w:rsidR="00543146" w:rsidRPr="002E53BF" w:rsidRDefault="00543146" w:rsidP="00543146">
            <w:r w:rsidRPr="00B50E79">
              <w:t>Letter of compliance</w:t>
            </w:r>
          </w:p>
        </w:tc>
        <w:tc>
          <w:tcPr>
            <w:tcW w:w="4264" w:type="dxa"/>
            <w:tcBorders>
              <w:top w:val="single" w:sz="4" w:space="0" w:color="auto"/>
              <w:left w:val="single" w:sz="4" w:space="0" w:color="auto"/>
              <w:bottom w:val="single" w:sz="4" w:space="0" w:color="auto"/>
              <w:right w:val="single" w:sz="4" w:space="0" w:color="auto"/>
            </w:tcBorders>
          </w:tcPr>
          <w:p w14:paraId="1CA0BBBF" w14:textId="77777777" w:rsidR="00543146" w:rsidRPr="002E53BF" w:rsidRDefault="00543146" w:rsidP="00543146">
            <w:r w:rsidRPr="00B50E79">
              <w:t>A letter of compliance from the accountable officer or statutory body to the relevant Minister/s</w:t>
            </w:r>
          </w:p>
        </w:tc>
        <w:tc>
          <w:tcPr>
            <w:tcW w:w="2520" w:type="dxa"/>
            <w:tcBorders>
              <w:top w:val="single" w:sz="4" w:space="0" w:color="auto"/>
              <w:left w:val="single" w:sz="4" w:space="0" w:color="auto"/>
              <w:bottom w:val="single" w:sz="4" w:space="0" w:color="auto"/>
            </w:tcBorders>
            <w:shd w:val="clear" w:color="auto" w:fill="auto"/>
          </w:tcPr>
          <w:p w14:paraId="5D4F5591" w14:textId="77777777" w:rsidR="00543146" w:rsidRPr="002E53BF" w:rsidRDefault="00543146" w:rsidP="00543146">
            <w:r w:rsidRPr="00B50E79">
              <w:t>ARRs – section 7</w:t>
            </w:r>
          </w:p>
        </w:tc>
        <w:tc>
          <w:tcPr>
            <w:tcW w:w="1591" w:type="dxa"/>
            <w:tcBorders>
              <w:top w:val="single" w:sz="4" w:space="0" w:color="auto"/>
              <w:left w:val="single" w:sz="4" w:space="0" w:color="auto"/>
              <w:bottom w:val="single" w:sz="4" w:space="0" w:color="auto"/>
            </w:tcBorders>
            <w:shd w:val="clear" w:color="auto" w:fill="auto"/>
          </w:tcPr>
          <w:p w14:paraId="47928AF2" w14:textId="66CCF8DC" w:rsidR="00543146" w:rsidRPr="002E53BF" w:rsidRDefault="00543146" w:rsidP="00543146">
            <w:r>
              <w:rPr>
                <w:color w:val="58595B"/>
                <w:spacing w:val="-5"/>
                <w:w w:val="105"/>
              </w:rPr>
              <w:t>003</w:t>
            </w:r>
          </w:p>
        </w:tc>
      </w:tr>
      <w:tr w:rsidR="00543146" w:rsidRPr="00534ECE" w14:paraId="12FDA67E" w14:textId="77777777" w:rsidTr="00F31956">
        <w:trPr>
          <w:cantSplit/>
        </w:trPr>
        <w:tc>
          <w:tcPr>
            <w:tcW w:w="1548" w:type="dxa"/>
            <w:vMerge w:val="restart"/>
            <w:tcBorders>
              <w:top w:val="single" w:sz="4" w:space="0" w:color="auto"/>
              <w:right w:val="single" w:sz="4" w:space="0" w:color="auto"/>
            </w:tcBorders>
          </w:tcPr>
          <w:p w14:paraId="1CBB923F" w14:textId="77777777" w:rsidR="00543146" w:rsidRPr="002E53BF" w:rsidRDefault="00543146" w:rsidP="00543146">
            <w:r w:rsidRPr="00B50E79">
              <w:t>Accessibility</w:t>
            </w:r>
          </w:p>
        </w:tc>
        <w:tc>
          <w:tcPr>
            <w:tcW w:w="4264" w:type="dxa"/>
            <w:tcBorders>
              <w:top w:val="single" w:sz="4" w:space="0" w:color="auto"/>
              <w:left w:val="single" w:sz="4" w:space="0" w:color="auto"/>
              <w:bottom w:val="single" w:sz="4" w:space="0" w:color="auto"/>
              <w:right w:val="single" w:sz="4" w:space="0" w:color="auto"/>
            </w:tcBorders>
          </w:tcPr>
          <w:p w14:paraId="62E6412B" w14:textId="77777777" w:rsidR="00543146" w:rsidRPr="002E53BF" w:rsidRDefault="00543146" w:rsidP="00543146">
            <w:r w:rsidRPr="00B50E79">
              <w:t>Table of contents</w:t>
            </w:r>
          </w:p>
          <w:p w14:paraId="365EF6FF" w14:textId="77777777" w:rsidR="00543146" w:rsidRPr="002E53BF" w:rsidRDefault="00543146" w:rsidP="00543146">
            <w:r w:rsidRPr="00B50E79">
              <w:t>Glossary</w:t>
            </w:r>
          </w:p>
        </w:tc>
        <w:tc>
          <w:tcPr>
            <w:tcW w:w="2520" w:type="dxa"/>
            <w:tcBorders>
              <w:top w:val="single" w:sz="4" w:space="0" w:color="auto"/>
              <w:left w:val="single" w:sz="4" w:space="0" w:color="auto"/>
              <w:bottom w:val="single" w:sz="4" w:space="0" w:color="auto"/>
            </w:tcBorders>
            <w:shd w:val="clear" w:color="auto" w:fill="auto"/>
          </w:tcPr>
          <w:p w14:paraId="74366F72" w14:textId="77777777" w:rsidR="00543146" w:rsidRPr="002E53BF" w:rsidRDefault="00543146" w:rsidP="00543146">
            <w:r w:rsidRPr="00B50E79">
              <w:t>ARRs – section 9.1</w:t>
            </w:r>
          </w:p>
        </w:tc>
        <w:tc>
          <w:tcPr>
            <w:tcW w:w="1591" w:type="dxa"/>
            <w:tcBorders>
              <w:top w:val="single" w:sz="4" w:space="0" w:color="auto"/>
              <w:left w:val="single" w:sz="4" w:space="0" w:color="auto"/>
              <w:bottom w:val="single" w:sz="4" w:space="0" w:color="auto"/>
            </w:tcBorders>
            <w:shd w:val="clear" w:color="auto" w:fill="auto"/>
          </w:tcPr>
          <w:p w14:paraId="2CBABD51" w14:textId="5AF282F7" w:rsidR="00543146" w:rsidRPr="002E53BF" w:rsidRDefault="00543146" w:rsidP="00543146">
            <w:r>
              <w:rPr>
                <w:color w:val="58595B"/>
                <w:spacing w:val="-5"/>
                <w:w w:val="105"/>
              </w:rPr>
              <w:t>005</w:t>
            </w:r>
          </w:p>
        </w:tc>
      </w:tr>
      <w:tr w:rsidR="00543146" w:rsidRPr="00534ECE" w14:paraId="57B39AAD" w14:textId="77777777" w:rsidTr="00F31956">
        <w:trPr>
          <w:cantSplit/>
        </w:trPr>
        <w:tc>
          <w:tcPr>
            <w:tcW w:w="1548" w:type="dxa"/>
            <w:vMerge/>
            <w:tcBorders>
              <w:right w:val="single" w:sz="4" w:space="0" w:color="auto"/>
            </w:tcBorders>
          </w:tcPr>
          <w:p w14:paraId="27E8EFFD" w14:textId="77777777" w:rsidR="00543146" w:rsidRPr="00B50E79" w:rsidRDefault="00543146" w:rsidP="00543146"/>
        </w:tc>
        <w:tc>
          <w:tcPr>
            <w:tcW w:w="4264" w:type="dxa"/>
            <w:tcBorders>
              <w:top w:val="single" w:sz="4" w:space="0" w:color="auto"/>
              <w:left w:val="single" w:sz="4" w:space="0" w:color="auto"/>
              <w:bottom w:val="single" w:sz="4" w:space="0" w:color="auto"/>
              <w:right w:val="single" w:sz="4" w:space="0" w:color="auto"/>
            </w:tcBorders>
          </w:tcPr>
          <w:p w14:paraId="2E4B89F0" w14:textId="77777777" w:rsidR="00543146" w:rsidRPr="002E53BF" w:rsidRDefault="00543146" w:rsidP="00543146">
            <w:r w:rsidRPr="00B50E79">
              <w:t>Public availability</w:t>
            </w:r>
          </w:p>
        </w:tc>
        <w:tc>
          <w:tcPr>
            <w:tcW w:w="2520" w:type="dxa"/>
            <w:tcBorders>
              <w:top w:val="single" w:sz="4" w:space="0" w:color="auto"/>
              <w:left w:val="single" w:sz="4" w:space="0" w:color="auto"/>
              <w:bottom w:val="single" w:sz="4" w:space="0" w:color="auto"/>
            </w:tcBorders>
            <w:shd w:val="clear" w:color="auto" w:fill="auto"/>
          </w:tcPr>
          <w:p w14:paraId="22F78B8A" w14:textId="77777777" w:rsidR="00543146" w:rsidRPr="002E53BF" w:rsidRDefault="00543146" w:rsidP="00543146">
            <w:r w:rsidRPr="00B50E79">
              <w:t>ARRs – section 9.2</w:t>
            </w:r>
          </w:p>
        </w:tc>
        <w:tc>
          <w:tcPr>
            <w:tcW w:w="1591" w:type="dxa"/>
            <w:tcBorders>
              <w:top w:val="single" w:sz="4" w:space="0" w:color="auto"/>
              <w:left w:val="single" w:sz="4" w:space="0" w:color="auto"/>
              <w:bottom w:val="single" w:sz="4" w:space="0" w:color="auto"/>
            </w:tcBorders>
            <w:shd w:val="clear" w:color="auto" w:fill="auto"/>
          </w:tcPr>
          <w:p w14:paraId="0DB0EE53" w14:textId="56B48813" w:rsidR="00543146" w:rsidRPr="002E53BF" w:rsidRDefault="00543146" w:rsidP="00543146">
            <w:r>
              <w:rPr>
                <w:color w:val="58595B"/>
                <w:spacing w:val="-2"/>
                <w:w w:val="115"/>
              </w:rPr>
              <w:t>215–216</w:t>
            </w:r>
          </w:p>
        </w:tc>
      </w:tr>
      <w:tr w:rsidR="00543146" w:rsidRPr="00534ECE" w14:paraId="00F75B23" w14:textId="77777777" w:rsidTr="00F31956">
        <w:trPr>
          <w:cantSplit/>
        </w:trPr>
        <w:tc>
          <w:tcPr>
            <w:tcW w:w="1548" w:type="dxa"/>
            <w:vMerge/>
            <w:tcBorders>
              <w:right w:val="single" w:sz="4" w:space="0" w:color="auto"/>
            </w:tcBorders>
          </w:tcPr>
          <w:p w14:paraId="2041C55A" w14:textId="77777777" w:rsidR="00543146" w:rsidRPr="00B50E79" w:rsidRDefault="00543146" w:rsidP="00543146"/>
        </w:tc>
        <w:tc>
          <w:tcPr>
            <w:tcW w:w="4264" w:type="dxa"/>
            <w:tcBorders>
              <w:top w:val="single" w:sz="4" w:space="0" w:color="auto"/>
              <w:left w:val="single" w:sz="4" w:space="0" w:color="auto"/>
              <w:bottom w:val="single" w:sz="4" w:space="0" w:color="auto"/>
              <w:right w:val="single" w:sz="4" w:space="0" w:color="auto"/>
            </w:tcBorders>
          </w:tcPr>
          <w:p w14:paraId="163CD3C2" w14:textId="77777777" w:rsidR="00543146" w:rsidRPr="002E53BF" w:rsidRDefault="00543146" w:rsidP="00543146">
            <w:r w:rsidRPr="00B50E79">
              <w:t>Interpreter service statement</w:t>
            </w:r>
          </w:p>
        </w:tc>
        <w:tc>
          <w:tcPr>
            <w:tcW w:w="2520" w:type="dxa"/>
            <w:tcBorders>
              <w:top w:val="single" w:sz="4" w:space="0" w:color="auto"/>
              <w:left w:val="single" w:sz="4" w:space="0" w:color="auto"/>
              <w:bottom w:val="single" w:sz="4" w:space="0" w:color="auto"/>
            </w:tcBorders>
            <w:shd w:val="clear" w:color="auto" w:fill="auto"/>
          </w:tcPr>
          <w:p w14:paraId="36946696" w14:textId="77777777" w:rsidR="00543146" w:rsidRPr="002E53BF" w:rsidRDefault="00543146" w:rsidP="00543146">
            <w:r w:rsidRPr="00B50E79">
              <w:t>Queensland Government Language Services Policy</w:t>
            </w:r>
          </w:p>
          <w:p w14:paraId="7630494D" w14:textId="77777777" w:rsidR="00543146" w:rsidRPr="002E53BF" w:rsidRDefault="00543146" w:rsidP="00543146">
            <w:r w:rsidRPr="00B50E79">
              <w:t>ARRs – section 9.3</w:t>
            </w:r>
          </w:p>
        </w:tc>
        <w:tc>
          <w:tcPr>
            <w:tcW w:w="1591" w:type="dxa"/>
            <w:tcBorders>
              <w:top w:val="single" w:sz="4" w:space="0" w:color="auto"/>
              <w:left w:val="single" w:sz="4" w:space="0" w:color="auto"/>
              <w:bottom w:val="single" w:sz="4" w:space="0" w:color="auto"/>
            </w:tcBorders>
            <w:shd w:val="clear" w:color="auto" w:fill="auto"/>
          </w:tcPr>
          <w:p w14:paraId="357913BF" w14:textId="1C9FEC76" w:rsidR="00543146" w:rsidRPr="002E53BF" w:rsidRDefault="00543146" w:rsidP="00543146">
            <w:r>
              <w:rPr>
                <w:color w:val="58595B"/>
                <w:spacing w:val="-5"/>
                <w:w w:val="105"/>
              </w:rPr>
              <w:t>004</w:t>
            </w:r>
          </w:p>
        </w:tc>
      </w:tr>
      <w:tr w:rsidR="00543146" w:rsidRPr="00534ECE" w14:paraId="49E86596" w14:textId="77777777" w:rsidTr="00F31956">
        <w:trPr>
          <w:cantSplit/>
        </w:trPr>
        <w:tc>
          <w:tcPr>
            <w:tcW w:w="1548" w:type="dxa"/>
            <w:vMerge/>
            <w:tcBorders>
              <w:right w:val="single" w:sz="4" w:space="0" w:color="auto"/>
            </w:tcBorders>
          </w:tcPr>
          <w:p w14:paraId="2C6FEB8A" w14:textId="77777777" w:rsidR="00543146" w:rsidRPr="00B50E79" w:rsidRDefault="00543146" w:rsidP="00543146"/>
        </w:tc>
        <w:tc>
          <w:tcPr>
            <w:tcW w:w="4264" w:type="dxa"/>
            <w:tcBorders>
              <w:top w:val="single" w:sz="4" w:space="0" w:color="auto"/>
              <w:left w:val="single" w:sz="4" w:space="0" w:color="auto"/>
              <w:bottom w:val="single" w:sz="4" w:space="0" w:color="auto"/>
              <w:right w:val="single" w:sz="4" w:space="0" w:color="auto"/>
            </w:tcBorders>
          </w:tcPr>
          <w:p w14:paraId="5CABCBD9" w14:textId="77777777" w:rsidR="00543146" w:rsidRPr="002E53BF" w:rsidRDefault="00543146" w:rsidP="00543146">
            <w:r w:rsidRPr="00B50E79">
              <w:t>Copyright notice</w:t>
            </w:r>
          </w:p>
        </w:tc>
        <w:tc>
          <w:tcPr>
            <w:tcW w:w="2520" w:type="dxa"/>
            <w:tcBorders>
              <w:top w:val="single" w:sz="4" w:space="0" w:color="auto"/>
              <w:left w:val="single" w:sz="4" w:space="0" w:color="auto"/>
              <w:bottom w:val="single" w:sz="4" w:space="0" w:color="auto"/>
            </w:tcBorders>
            <w:shd w:val="clear" w:color="auto" w:fill="auto"/>
          </w:tcPr>
          <w:p w14:paraId="45B82A72" w14:textId="77777777" w:rsidR="00543146" w:rsidRPr="002E53BF" w:rsidRDefault="00543146" w:rsidP="00543146">
            <w:r w:rsidRPr="00B50E79">
              <w:t>Copyright Act 1968</w:t>
            </w:r>
          </w:p>
          <w:p w14:paraId="45413B12" w14:textId="77777777" w:rsidR="00543146" w:rsidRPr="002E53BF" w:rsidRDefault="00543146" w:rsidP="00543146">
            <w:r w:rsidRPr="00B50E79">
              <w:t>ARRs – section 9.4</w:t>
            </w:r>
          </w:p>
        </w:tc>
        <w:tc>
          <w:tcPr>
            <w:tcW w:w="1591" w:type="dxa"/>
            <w:tcBorders>
              <w:top w:val="single" w:sz="4" w:space="0" w:color="auto"/>
              <w:left w:val="single" w:sz="4" w:space="0" w:color="auto"/>
              <w:bottom w:val="single" w:sz="4" w:space="0" w:color="auto"/>
            </w:tcBorders>
            <w:shd w:val="clear" w:color="auto" w:fill="auto"/>
          </w:tcPr>
          <w:p w14:paraId="7283EB57" w14:textId="16060CF2" w:rsidR="00543146" w:rsidRPr="002E53BF" w:rsidRDefault="00543146" w:rsidP="00543146">
            <w:r>
              <w:rPr>
                <w:color w:val="58595B"/>
                <w:spacing w:val="-5"/>
                <w:w w:val="105"/>
              </w:rPr>
              <w:t>004</w:t>
            </w:r>
          </w:p>
        </w:tc>
      </w:tr>
      <w:tr w:rsidR="00543146" w:rsidRPr="00534ECE" w14:paraId="7A54CE39" w14:textId="77777777" w:rsidTr="00F31956">
        <w:trPr>
          <w:cantSplit/>
        </w:trPr>
        <w:tc>
          <w:tcPr>
            <w:tcW w:w="1548" w:type="dxa"/>
            <w:vMerge/>
            <w:tcBorders>
              <w:bottom w:val="single" w:sz="4" w:space="0" w:color="auto"/>
              <w:right w:val="single" w:sz="4" w:space="0" w:color="auto"/>
            </w:tcBorders>
          </w:tcPr>
          <w:p w14:paraId="738E046E" w14:textId="77777777" w:rsidR="00543146" w:rsidRPr="00B50E79" w:rsidRDefault="00543146" w:rsidP="00543146"/>
        </w:tc>
        <w:tc>
          <w:tcPr>
            <w:tcW w:w="4264" w:type="dxa"/>
            <w:tcBorders>
              <w:top w:val="single" w:sz="4" w:space="0" w:color="auto"/>
              <w:left w:val="single" w:sz="4" w:space="0" w:color="auto"/>
              <w:bottom w:val="single" w:sz="4" w:space="0" w:color="auto"/>
              <w:right w:val="single" w:sz="4" w:space="0" w:color="auto"/>
            </w:tcBorders>
          </w:tcPr>
          <w:p w14:paraId="2A4CE11B" w14:textId="77777777" w:rsidR="00543146" w:rsidRPr="002E53BF" w:rsidRDefault="00543146" w:rsidP="00543146">
            <w:r w:rsidRPr="00B50E79">
              <w:t>Information Licensing</w:t>
            </w:r>
          </w:p>
        </w:tc>
        <w:tc>
          <w:tcPr>
            <w:tcW w:w="2520" w:type="dxa"/>
            <w:tcBorders>
              <w:top w:val="single" w:sz="4" w:space="0" w:color="auto"/>
              <w:left w:val="single" w:sz="4" w:space="0" w:color="auto"/>
              <w:bottom w:val="single" w:sz="4" w:space="0" w:color="auto"/>
            </w:tcBorders>
            <w:shd w:val="clear" w:color="auto" w:fill="auto"/>
          </w:tcPr>
          <w:p w14:paraId="62648712" w14:textId="77777777" w:rsidR="00543146" w:rsidRPr="002E53BF" w:rsidRDefault="00543146" w:rsidP="00543146">
            <w:r w:rsidRPr="00B50E79">
              <w:t>QGEA – Information Licensing</w:t>
            </w:r>
          </w:p>
          <w:p w14:paraId="459EBB92" w14:textId="77777777" w:rsidR="00543146" w:rsidRPr="002E53BF" w:rsidRDefault="00543146" w:rsidP="00543146">
            <w:r w:rsidRPr="00B50E79">
              <w:t>ARRs – section 9.5</w:t>
            </w:r>
          </w:p>
        </w:tc>
        <w:tc>
          <w:tcPr>
            <w:tcW w:w="1591" w:type="dxa"/>
            <w:tcBorders>
              <w:top w:val="single" w:sz="4" w:space="0" w:color="auto"/>
              <w:left w:val="single" w:sz="4" w:space="0" w:color="auto"/>
              <w:bottom w:val="single" w:sz="4" w:space="0" w:color="auto"/>
            </w:tcBorders>
            <w:shd w:val="clear" w:color="auto" w:fill="auto"/>
          </w:tcPr>
          <w:p w14:paraId="758E9771" w14:textId="786CBB01" w:rsidR="00543146" w:rsidRPr="002E53BF" w:rsidRDefault="00543146" w:rsidP="00543146">
            <w:r>
              <w:rPr>
                <w:color w:val="58595B"/>
                <w:spacing w:val="-5"/>
                <w:w w:val="105"/>
              </w:rPr>
              <w:t>002</w:t>
            </w:r>
          </w:p>
        </w:tc>
      </w:tr>
      <w:tr w:rsidR="006800C7" w:rsidRPr="00534ECE" w14:paraId="5C0ED92A" w14:textId="77777777" w:rsidTr="00F31956">
        <w:trPr>
          <w:cantSplit/>
          <w:trHeight w:val="485"/>
        </w:trPr>
        <w:tc>
          <w:tcPr>
            <w:tcW w:w="1548" w:type="dxa"/>
            <w:tcBorders>
              <w:top w:val="single" w:sz="4" w:space="0" w:color="auto"/>
              <w:right w:val="single" w:sz="4" w:space="0" w:color="auto"/>
            </w:tcBorders>
          </w:tcPr>
          <w:p w14:paraId="22784A6F" w14:textId="77777777" w:rsidR="006800C7" w:rsidRPr="002E53BF" w:rsidRDefault="006800C7" w:rsidP="00F31956">
            <w:r w:rsidRPr="00B50E79">
              <w:t>General information</w:t>
            </w:r>
          </w:p>
        </w:tc>
        <w:tc>
          <w:tcPr>
            <w:tcW w:w="4264" w:type="dxa"/>
            <w:tcBorders>
              <w:top w:val="single" w:sz="4" w:space="0" w:color="auto"/>
              <w:left w:val="single" w:sz="4" w:space="0" w:color="auto"/>
              <w:bottom w:val="single" w:sz="4" w:space="0" w:color="auto"/>
              <w:right w:val="single" w:sz="4" w:space="0" w:color="auto"/>
            </w:tcBorders>
          </w:tcPr>
          <w:p w14:paraId="7BCC4330" w14:textId="77777777" w:rsidR="006800C7" w:rsidRPr="002E53BF" w:rsidRDefault="006800C7" w:rsidP="00F31956">
            <w:r w:rsidRPr="00B50E79">
              <w:t>Introductory Information</w:t>
            </w:r>
          </w:p>
        </w:tc>
        <w:tc>
          <w:tcPr>
            <w:tcW w:w="2520" w:type="dxa"/>
            <w:tcBorders>
              <w:top w:val="single" w:sz="4" w:space="0" w:color="auto"/>
              <w:left w:val="single" w:sz="4" w:space="0" w:color="auto"/>
              <w:bottom w:val="single" w:sz="4" w:space="0" w:color="auto"/>
            </w:tcBorders>
            <w:shd w:val="clear" w:color="auto" w:fill="auto"/>
          </w:tcPr>
          <w:p w14:paraId="663A717C" w14:textId="77777777" w:rsidR="006800C7" w:rsidRPr="002E53BF" w:rsidRDefault="006800C7" w:rsidP="00F31956">
            <w:r w:rsidRPr="00B50E79">
              <w:t>ARRs – section 10</w:t>
            </w:r>
          </w:p>
        </w:tc>
        <w:tc>
          <w:tcPr>
            <w:tcW w:w="1591" w:type="dxa"/>
            <w:tcBorders>
              <w:top w:val="single" w:sz="4" w:space="0" w:color="auto"/>
              <w:left w:val="single" w:sz="4" w:space="0" w:color="auto"/>
              <w:bottom w:val="single" w:sz="4" w:space="0" w:color="auto"/>
            </w:tcBorders>
            <w:shd w:val="clear" w:color="auto" w:fill="auto"/>
          </w:tcPr>
          <w:p w14:paraId="6B20955C" w14:textId="762302E6" w:rsidR="006800C7" w:rsidRPr="002E53BF" w:rsidRDefault="00982F00" w:rsidP="00F31956">
            <w:r w:rsidRPr="00982F00">
              <w:t>004, 022–023</w:t>
            </w:r>
          </w:p>
        </w:tc>
      </w:tr>
      <w:tr w:rsidR="006800C7" w:rsidRPr="00534ECE" w14:paraId="0B87BD24" w14:textId="77777777" w:rsidTr="00F31956">
        <w:trPr>
          <w:cantSplit/>
        </w:trPr>
        <w:tc>
          <w:tcPr>
            <w:tcW w:w="1548" w:type="dxa"/>
            <w:vMerge w:val="restart"/>
            <w:tcBorders>
              <w:top w:val="single" w:sz="4" w:space="0" w:color="auto"/>
              <w:right w:val="single" w:sz="4" w:space="0" w:color="auto"/>
            </w:tcBorders>
          </w:tcPr>
          <w:p w14:paraId="2639FD96" w14:textId="77777777" w:rsidR="006800C7" w:rsidRPr="002E53BF" w:rsidRDefault="006800C7" w:rsidP="00F31956">
            <w:r w:rsidRPr="00B50E79">
              <w:t>Non-financial performance</w:t>
            </w:r>
          </w:p>
        </w:tc>
        <w:tc>
          <w:tcPr>
            <w:tcW w:w="4264" w:type="dxa"/>
            <w:tcBorders>
              <w:top w:val="single" w:sz="4" w:space="0" w:color="auto"/>
              <w:left w:val="single" w:sz="4" w:space="0" w:color="auto"/>
              <w:bottom w:val="single" w:sz="4" w:space="0" w:color="auto"/>
              <w:right w:val="single" w:sz="4" w:space="0" w:color="auto"/>
            </w:tcBorders>
          </w:tcPr>
          <w:p w14:paraId="19C239F6" w14:textId="77777777" w:rsidR="006800C7" w:rsidRPr="002E53BF" w:rsidRDefault="006800C7" w:rsidP="00F31956">
            <w:r w:rsidRPr="00B50E79">
              <w:t>Government’s objectives for the community and whole-of-government plans/specific initiatives</w:t>
            </w:r>
          </w:p>
        </w:tc>
        <w:tc>
          <w:tcPr>
            <w:tcW w:w="2520" w:type="dxa"/>
            <w:tcBorders>
              <w:top w:val="single" w:sz="4" w:space="0" w:color="auto"/>
              <w:left w:val="single" w:sz="4" w:space="0" w:color="auto"/>
            </w:tcBorders>
            <w:shd w:val="clear" w:color="auto" w:fill="auto"/>
          </w:tcPr>
          <w:p w14:paraId="4B365D5F" w14:textId="77777777" w:rsidR="006800C7" w:rsidRPr="002E53BF" w:rsidRDefault="006800C7" w:rsidP="00F31956">
            <w:r w:rsidRPr="00B50E79">
              <w:t>ARRs – section 11.1</w:t>
            </w:r>
          </w:p>
        </w:tc>
        <w:tc>
          <w:tcPr>
            <w:tcW w:w="1591" w:type="dxa"/>
            <w:tcBorders>
              <w:top w:val="single" w:sz="4" w:space="0" w:color="auto"/>
              <w:left w:val="single" w:sz="4" w:space="0" w:color="auto"/>
              <w:bottom w:val="single" w:sz="4" w:space="0" w:color="auto"/>
            </w:tcBorders>
            <w:shd w:val="clear" w:color="auto" w:fill="auto"/>
          </w:tcPr>
          <w:p w14:paraId="7FA8D887" w14:textId="7E694B85" w:rsidR="006800C7" w:rsidRPr="002E53BF" w:rsidRDefault="00A60315" w:rsidP="00F31956">
            <w:r w:rsidRPr="00A60315">
              <w:t>010–011, 014–019</w:t>
            </w:r>
          </w:p>
        </w:tc>
      </w:tr>
      <w:tr w:rsidR="006800C7" w:rsidRPr="00534ECE" w14:paraId="3D595521" w14:textId="77777777" w:rsidTr="00F31956">
        <w:trPr>
          <w:cantSplit/>
        </w:trPr>
        <w:tc>
          <w:tcPr>
            <w:tcW w:w="1548" w:type="dxa"/>
            <w:vMerge/>
            <w:tcBorders>
              <w:right w:val="single" w:sz="4" w:space="0" w:color="auto"/>
            </w:tcBorders>
          </w:tcPr>
          <w:p w14:paraId="716FB88F"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660845C6" w14:textId="77777777" w:rsidR="006800C7" w:rsidRPr="002E53BF" w:rsidRDefault="006800C7" w:rsidP="00F31956">
            <w:r w:rsidRPr="00B50E79">
              <w:t>Agency objectives and performance indicators</w:t>
            </w:r>
          </w:p>
        </w:tc>
        <w:tc>
          <w:tcPr>
            <w:tcW w:w="2520" w:type="dxa"/>
            <w:tcBorders>
              <w:left w:val="single" w:sz="4" w:space="0" w:color="auto"/>
            </w:tcBorders>
            <w:shd w:val="clear" w:color="auto" w:fill="auto"/>
          </w:tcPr>
          <w:p w14:paraId="6669B8A2" w14:textId="77777777" w:rsidR="006800C7" w:rsidRPr="002E53BF" w:rsidRDefault="006800C7" w:rsidP="00F31956">
            <w:r w:rsidRPr="00B50E79">
              <w:t>ARRs – section 11.2</w:t>
            </w:r>
          </w:p>
        </w:tc>
        <w:tc>
          <w:tcPr>
            <w:tcW w:w="1591" w:type="dxa"/>
            <w:tcBorders>
              <w:top w:val="single" w:sz="4" w:space="0" w:color="auto"/>
              <w:left w:val="single" w:sz="4" w:space="0" w:color="auto"/>
              <w:bottom w:val="single" w:sz="4" w:space="0" w:color="auto"/>
            </w:tcBorders>
            <w:shd w:val="clear" w:color="auto" w:fill="auto"/>
          </w:tcPr>
          <w:p w14:paraId="00DD1ACA" w14:textId="41D82493" w:rsidR="006800C7" w:rsidRPr="002E53BF" w:rsidRDefault="004A165E" w:rsidP="00F31956">
            <w:r w:rsidRPr="004A165E">
              <w:t>013</w:t>
            </w:r>
          </w:p>
        </w:tc>
      </w:tr>
      <w:tr w:rsidR="006800C7" w:rsidRPr="00534ECE" w14:paraId="45E996D5" w14:textId="77777777" w:rsidTr="00F31956">
        <w:trPr>
          <w:cantSplit/>
        </w:trPr>
        <w:tc>
          <w:tcPr>
            <w:tcW w:w="1548" w:type="dxa"/>
            <w:vMerge/>
            <w:tcBorders>
              <w:bottom w:val="nil"/>
              <w:right w:val="single" w:sz="4" w:space="0" w:color="auto"/>
            </w:tcBorders>
          </w:tcPr>
          <w:p w14:paraId="2723B11A"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1F4DF6C8" w14:textId="77777777" w:rsidR="006800C7" w:rsidRPr="002E53BF" w:rsidRDefault="006800C7" w:rsidP="00F31956">
            <w:r w:rsidRPr="00B50E79">
              <w:t xml:space="preserve">Agency service areas and service standards </w:t>
            </w:r>
          </w:p>
        </w:tc>
        <w:tc>
          <w:tcPr>
            <w:tcW w:w="2520" w:type="dxa"/>
            <w:tcBorders>
              <w:left w:val="single" w:sz="4" w:space="0" w:color="auto"/>
            </w:tcBorders>
            <w:shd w:val="clear" w:color="auto" w:fill="auto"/>
          </w:tcPr>
          <w:p w14:paraId="0D012350" w14:textId="77777777" w:rsidR="006800C7" w:rsidRPr="002E53BF" w:rsidRDefault="006800C7" w:rsidP="00F31956">
            <w:r w:rsidRPr="00B50E79">
              <w:t>ARRs – section 11.3</w:t>
            </w:r>
          </w:p>
        </w:tc>
        <w:tc>
          <w:tcPr>
            <w:tcW w:w="1591" w:type="dxa"/>
            <w:tcBorders>
              <w:top w:val="single" w:sz="4" w:space="0" w:color="auto"/>
              <w:left w:val="single" w:sz="4" w:space="0" w:color="auto"/>
              <w:bottom w:val="single" w:sz="4" w:space="0" w:color="auto"/>
            </w:tcBorders>
            <w:shd w:val="clear" w:color="auto" w:fill="auto"/>
          </w:tcPr>
          <w:p w14:paraId="7FB46091" w14:textId="43376AF1" w:rsidR="006800C7" w:rsidRPr="002E53BF" w:rsidRDefault="004A165E" w:rsidP="00F31956">
            <w:r w:rsidRPr="004A165E">
              <w:t>013</w:t>
            </w:r>
          </w:p>
        </w:tc>
      </w:tr>
      <w:tr w:rsidR="006800C7" w:rsidRPr="00534ECE" w14:paraId="4B5A4DBA" w14:textId="77777777" w:rsidTr="00F31956">
        <w:trPr>
          <w:cantSplit/>
        </w:trPr>
        <w:tc>
          <w:tcPr>
            <w:tcW w:w="1548" w:type="dxa"/>
            <w:tcBorders>
              <w:top w:val="single" w:sz="4" w:space="0" w:color="auto"/>
              <w:bottom w:val="single" w:sz="4" w:space="0" w:color="auto"/>
              <w:right w:val="single" w:sz="4" w:space="0" w:color="auto"/>
            </w:tcBorders>
          </w:tcPr>
          <w:p w14:paraId="2D4C4278" w14:textId="77777777" w:rsidR="006800C7" w:rsidRPr="002E53BF" w:rsidRDefault="006800C7" w:rsidP="00F31956">
            <w:r w:rsidRPr="00B50E79">
              <w:t>Financial performance</w:t>
            </w:r>
          </w:p>
        </w:tc>
        <w:tc>
          <w:tcPr>
            <w:tcW w:w="4264" w:type="dxa"/>
            <w:tcBorders>
              <w:top w:val="single" w:sz="4" w:space="0" w:color="auto"/>
              <w:left w:val="single" w:sz="4" w:space="0" w:color="auto"/>
              <w:bottom w:val="single" w:sz="4" w:space="0" w:color="auto"/>
              <w:right w:val="single" w:sz="4" w:space="0" w:color="auto"/>
            </w:tcBorders>
          </w:tcPr>
          <w:p w14:paraId="619ECE4F" w14:textId="77777777" w:rsidR="006800C7" w:rsidRPr="002E53BF" w:rsidRDefault="006800C7" w:rsidP="00F31956">
            <w:r w:rsidRPr="00B50E79">
              <w:t>Summary of financial performance</w:t>
            </w:r>
          </w:p>
        </w:tc>
        <w:tc>
          <w:tcPr>
            <w:tcW w:w="2520" w:type="dxa"/>
            <w:tcBorders>
              <w:top w:val="single" w:sz="4" w:space="0" w:color="auto"/>
              <w:left w:val="single" w:sz="4" w:space="0" w:color="auto"/>
              <w:bottom w:val="single" w:sz="4" w:space="0" w:color="auto"/>
            </w:tcBorders>
            <w:shd w:val="clear" w:color="auto" w:fill="auto"/>
          </w:tcPr>
          <w:p w14:paraId="245D88F0" w14:textId="77777777" w:rsidR="006800C7" w:rsidRPr="002E53BF" w:rsidRDefault="006800C7" w:rsidP="00F31956">
            <w:r w:rsidRPr="00B50E79">
              <w:t>ARRs – section 12.1</w:t>
            </w:r>
          </w:p>
        </w:tc>
        <w:tc>
          <w:tcPr>
            <w:tcW w:w="1591" w:type="dxa"/>
            <w:tcBorders>
              <w:top w:val="single" w:sz="4" w:space="0" w:color="auto"/>
              <w:left w:val="single" w:sz="4" w:space="0" w:color="auto"/>
              <w:bottom w:val="single" w:sz="4" w:space="0" w:color="auto"/>
            </w:tcBorders>
            <w:shd w:val="clear" w:color="auto" w:fill="auto"/>
          </w:tcPr>
          <w:p w14:paraId="335B29AB" w14:textId="21FF92AB" w:rsidR="006800C7" w:rsidRPr="002E53BF" w:rsidRDefault="004A165E" w:rsidP="00F31956">
            <w:r w:rsidRPr="004A165E">
              <w:t>142</w:t>
            </w:r>
          </w:p>
        </w:tc>
      </w:tr>
      <w:tr w:rsidR="006800C7" w:rsidRPr="00534ECE" w14:paraId="73166A43" w14:textId="77777777" w:rsidTr="00F31956">
        <w:trPr>
          <w:cantSplit/>
        </w:trPr>
        <w:tc>
          <w:tcPr>
            <w:tcW w:w="1548" w:type="dxa"/>
            <w:vMerge w:val="restart"/>
            <w:tcBorders>
              <w:top w:val="single" w:sz="4" w:space="0" w:color="auto"/>
              <w:bottom w:val="single" w:sz="4" w:space="0" w:color="auto"/>
              <w:right w:val="single" w:sz="4" w:space="0" w:color="auto"/>
            </w:tcBorders>
          </w:tcPr>
          <w:p w14:paraId="6264B2C8" w14:textId="77777777" w:rsidR="006800C7" w:rsidRPr="002E53BF" w:rsidRDefault="006800C7" w:rsidP="00F31956">
            <w:r w:rsidRPr="00B50E79">
              <w:t>Governance – management and structure</w:t>
            </w:r>
          </w:p>
        </w:tc>
        <w:tc>
          <w:tcPr>
            <w:tcW w:w="4264" w:type="dxa"/>
            <w:tcBorders>
              <w:top w:val="single" w:sz="4" w:space="0" w:color="auto"/>
              <w:left w:val="single" w:sz="4" w:space="0" w:color="auto"/>
              <w:bottom w:val="single" w:sz="4" w:space="0" w:color="auto"/>
              <w:right w:val="single" w:sz="4" w:space="0" w:color="auto"/>
            </w:tcBorders>
          </w:tcPr>
          <w:p w14:paraId="4C2B972B" w14:textId="77777777" w:rsidR="006800C7" w:rsidRPr="002E53BF" w:rsidRDefault="006800C7" w:rsidP="00F31956">
            <w:r w:rsidRPr="00B50E79">
              <w:t xml:space="preserve">Organisational structure </w:t>
            </w:r>
          </w:p>
        </w:tc>
        <w:tc>
          <w:tcPr>
            <w:tcW w:w="2520" w:type="dxa"/>
            <w:tcBorders>
              <w:top w:val="single" w:sz="4" w:space="0" w:color="auto"/>
              <w:left w:val="single" w:sz="4" w:space="0" w:color="auto"/>
              <w:bottom w:val="single" w:sz="4" w:space="0" w:color="auto"/>
            </w:tcBorders>
            <w:shd w:val="clear" w:color="auto" w:fill="auto"/>
          </w:tcPr>
          <w:p w14:paraId="3F5337C5" w14:textId="77777777" w:rsidR="006800C7" w:rsidRPr="002E53BF" w:rsidRDefault="006800C7" w:rsidP="00F31956">
            <w:r w:rsidRPr="00B50E79">
              <w:t>ARRs – section 13.1</w:t>
            </w:r>
          </w:p>
        </w:tc>
        <w:tc>
          <w:tcPr>
            <w:tcW w:w="1591" w:type="dxa"/>
            <w:tcBorders>
              <w:top w:val="single" w:sz="4" w:space="0" w:color="auto"/>
              <w:left w:val="single" w:sz="4" w:space="0" w:color="auto"/>
              <w:bottom w:val="single" w:sz="4" w:space="0" w:color="auto"/>
            </w:tcBorders>
            <w:shd w:val="clear" w:color="auto" w:fill="auto"/>
          </w:tcPr>
          <w:p w14:paraId="768F50A9" w14:textId="416DC069" w:rsidR="006800C7" w:rsidRPr="002E53BF" w:rsidRDefault="004A165E" w:rsidP="00F31956">
            <w:r w:rsidRPr="004A165E">
              <w:t>127</w:t>
            </w:r>
          </w:p>
        </w:tc>
      </w:tr>
      <w:tr w:rsidR="006800C7" w:rsidRPr="00534ECE" w14:paraId="1412189A" w14:textId="77777777" w:rsidTr="00F31956">
        <w:trPr>
          <w:cantSplit/>
        </w:trPr>
        <w:tc>
          <w:tcPr>
            <w:tcW w:w="1548" w:type="dxa"/>
            <w:vMerge/>
            <w:tcBorders>
              <w:top w:val="single" w:sz="4" w:space="0" w:color="auto"/>
              <w:bottom w:val="single" w:sz="4" w:space="0" w:color="auto"/>
              <w:right w:val="single" w:sz="4" w:space="0" w:color="auto"/>
            </w:tcBorders>
          </w:tcPr>
          <w:p w14:paraId="3DF78ABF"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5C928558" w14:textId="77777777" w:rsidR="006800C7" w:rsidRPr="002E53BF" w:rsidRDefault="006800C7" w:rsidP="00F31956">
            <w:r w:rsidRPr="00B50E79">
              <w:t>Executive management</w:t>
            </w:r>
          </w:p>
        </w:tc>
        <w:tc>
          <w:tcPr>
            <w:tcW w:w="2520" w:type="dxa"/>
            <w:tcBorders>
              <w:top w:val="single" w:sz="4" w:space="0" w:color="auto"/>
              <w:left w:val="single" w:sz="4" w:space="0" w:color="auto"/>
              <w:bottom w:val="single" w:sz="4" w:space="0" w:color="auto"/>
            </w:tcBorders>
            <w:shd w:val="clear" w:color="auto" w:fill="auto"/>
          </w:tcPr>
          <w:p w14:paraId="7C127781" w14:textId="77777777" w:rsidR="006800C7" w:rsidRPr="002E53BF" w:rsidRDefault="006800C7" w:rsidP="00F31956">
            <w:r w:rsidRPr="00B50E79">
              <w:t>ARRs – section 13.2</w:t>
            </w:r>
          </w:p>
        </w:tc>
        <w:tc>
          <w:tcPr>
            <w:tcW w:w="1591" w:type="dxa"/>
            <w:tcBorders>
              <w:top w:val="single" w:sz="4" w:space="0" w:color="auto"/>
              <w:left w:val="single" w:sz="4" w:space="0" w:color="auto"/>
              <w:bottom w:val="single" w:sz="4" w:space="0" w:color="auto"/>
            </w:tcBorders>
            <w:shd w:val="clear" w:color="auto" w:fill="auto"/>
          </w:tcPr>
          <w:p w14:paraId="6B7F7756" w14:textId="70E10DE6" w:rsidR="006800C7" w:rsidRPr="002E53BF" w:rsidRDefault="00510742" w:rsidP="00F31956">
            <w:r w:rsidRPr="00510742">
              <w:t>127–131</w:t>
            </w:r>
          </w:p>
        </w:tc>
      </w:tr>
      <w:tr w:rsidR="006800C7" w:rsidRPr="00534ECE" w14:paraId="5B725135" w14:textId="77777777" w:rsidTr="00F31956">
        <w:trPr>
          <w:cantSplit/>
        </w:trPr>
        <w:tc>
          <w:tcPr>
            <w:tcW w:w="1548" w:type="dxa"/>
            <w:vMerge/>
            <w:tcBorders>
              <w:top w:val="single" w:sz="4" w:space="0" w:color="auto"/>
              <w:bottom w:val="single" w:sz="4" w:space="0" w:color="auto"/>
              <w:right w:val="single" w:sz="4" w:space="0" w:color="auto"/>
            </w:tcBorders>
          </w:tcPr>
          <w:p w14:paraId="15469740"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50253AC8" w14:textId="77777777" w:rsidR="006800C7" w:rsidRPr="002E53BF" w:rsidRDefault="006800C7" w:rsidP="00F31956">
            <w:r w:rsidRPr="00B50E79">
              <w:t>Government bodies (statutory bodies and other entities)</w:t>
            </w:r>
          </w:p>
        </w:tc>
        <w:tc>
          <w:tcPr>
            <w:tcW w:w="2520" w:type="dxa"/>
            <w:tcBorders>
              <w:top w:val="single" w:sz="4" w:space="0" w:color="auto"/>
              <w:left w:val="single" w:sz="4" w:space="0" w:color="auto"/>
              <w:bottom w:val="single" w:sz="4" w:space="0" w:color="auto"/>
            </w:tcBorders>
            <w:shd w:val="clear" w:color="auto" w:fill="auto"/>
          </w:tcPr>
          <w:p w14:paraId="3F4CDDE7" w14:textId="77777777" w:rsidR="006800C7" w:rsidRPr="002E53BF" w:rsidRDefault="006800C7" w:rsidP="00F31956">
            <w:r w:rsidRPr="00B50E79">
              <w:t>ARRs – section 13.3</w:t>
            </w:r>
          </w:p>
        </w:tc>
        <w:tc>
          <w:tcPr>
            <w:tcW w:w="1591" w:type="dxa"/>
            <w:tcBorders>
              <w:top w:val="single" w:sz="4" w:space="0" w:color="auto"/>
              <w:left w:val="single" w:sz="4" w:space="0" w:color="auto"/>
              <w:bottom w:val="single" w:sz="4" w:space="0" w:color="auto"/>
            </w:tcBorders>
            <w:shd w:val="clear" w:color="auto" w:fill="auto"/>
          </w:tcPr>
          <w:p w14:paraId="02E9B931" w14:textId="7875A8D0" w:rsidR="006800C7" w:rsidRPr="002E53BF" w:rsidRDefault="00510742" w:rsidP="00F31956">
            <w:r w:rsidRPr="00510742">
              <w:t>202, 214</w:t>
            </w:r>
          </w:p>
        </w:tc>
      </w:tr>
      <w:tr w:rsidR="006800C7" w:rsidRPr="00534ECE" w14:paraId="024BE85F" w14:textId="77777777" w:rsidTr="00F31956">
        <w:trPr>
          <w:cantSplit/>
        </w:trPr>
        <w:tc>
          <w:tcPr>
            <w:tcW w:w="1548" w:type="dxa"/>
            <w:vMerge/>
            <w:tcBorders>
              <w:top w:val="single" w:sz="4" w:space="0" w:color="auto"/>
              <w:bottom w:val="single" w:sz="4" w:space="0" w:color="auto"/>
              <w:right w:val="single" w:sz="4" w:space="0" w:color="auto"/>
            </w:tcBorders>
          </w:tcPr>
          <w:p w14:paraId="4BA2583D"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2E2001EA" w14:textId="77777777" w:rsidR="006800C7" w:rsidRPr="002E53BF" w:rsidRDefault="006800C7" w:rsidP="00F31956">
            <w:r w:rsidRPr="00B50E79">
              <w:t xml:space="preserve">Public Sector Ethics </w:t>
            </w:r>
          </w:p>
        </w:tc>
        <w:tc>
          <w:tcPr>
            <w:tcW w:w="2520" w:type="dxa"/>
            <w:tcBorders>
              <w:top w:val="single" w:sz="4" w:space="0" w:color="auto"/>
              <w:left w:val="single" w:sz="4" w:space="0" w:color="auto"/>
              <w:bottom w:val="single" w:sz="4" w:space="0" w:color="auto"/>
            </w:tcBorders>
            <w:shd w:val="clear" w:color="auto" w:fill="auto"/>
          </w:tcPr>
          <w:p w14:paraId="1CF63B1D" w14:textId="77777777" w:rsidR="006800C7" w:rsidRPr="00510742" w:rsidRDefault="006800C7" w:rsidP="00F31956">
            <w:pPr>
              <w:rPr>
                <w:rStyle w:val="Emphasis"/>
              </w:rPr>
            </w:pPr>
            <w:r w:rsidRPr="00510742">
              <w:rPr>
                <w:rStyle w:val="Emphasis"/>
              </w:rPr>
              <w:t>Public Sector Ethics Act 1994</w:t>
            </w:r>
          </w:p>
          <w:p w14:paraId="2D46777E" w14:textId="77777777" w:rsidR="006800C7" w:rsidRPr="002E53BF" w:rsidRDefault="006800C7" w:rsidP="00F31956">
            <w:r w:rsidRPr="00B50E79">
              <w:t>ARRs – section 13.4</w:t>
            </w:r>
          </w:p>
        </w:tc>
        <w:tc>
          <w:tcPr>
            <w:tcW w:w="1591" w:type="dxa"/>
            <w:tcBorders>
              <w:top w:val="single" w:sz="4" w:space="0" w:color="auto"/>
              <w:left w:val="single" w:sz="4" w:space="0" w:color="auto"/>
              <w:bottom w:val="single" w:sz="4" w:space="0" w:color="auto"/>
            </w:tcBorders>
            <w:shd w:val="clear" w:color="auto" w:fill="auto"/>
          </w:tcPr>
          <w:p w14:paraId="0362D9D8" w14:textId="606A4B33" w:rsidR="006800C7" w:rsidRPr="002E53BF" w:rsidRDefault="00510742" w:rsidP="00F31956">
            <w:r w:rsidRPr="00510742">
              <w:t>138</w:t>
            </w:r>
          </w:p>
        </w:tc>
      </w:tr>
      <w:tr w:rsidR="006800C7" w:rsidRPr="00534ECE" w14:paraId="7BA9A70F" w14:textId="77777777" w:rsidTr="00F31956">
        <w:trPr>
          <w:cantSplit/>
        </w:trPr>
        <w:tc>
          <w:tcPr>
            <w:tcW w:w="1548" w:type="dxa"/>
            <w:vMerge/>
            <w:tcBorders>
              <w:top w:val="single" w:sz="4" w:space="0" w:color="auto"/>
              <w:bottom w:val="single" w:sz="4" w:space="0" w:color="auto"/>
              <w:right w:val="single" w:sz="4" w:space="0" w:color="auto"/>
            </w:tcBorders>
          </w:tcPr>
          <w:p w14:paraId="351E4121"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64B566CE" w14:textId="77777777" w:rsidR="006800C7" w:rsidRPr="002E53BF" w:rsidRDefault="006800C7" w:rsidP="00F31956">
            <w:r w:rsidRPr="00B50E79">
              <w:t xml:space="preserve">Human Rights </w:t>
            </w:r>
          </w:p>
        </w:tc>
        <w:tc>
          <w:tcPr>
            <w:tcW w:w="2520" w:type="dxa"/>
            <w:tcBorders>
              <w:top w:val="single" w:sz="4" w:space="0" w:color="auto"/>
              <w:left w:val="single" w:sz="4" w:space="0" w:color="auto"/>
              <w:bottom w:val="single" w:sz="4" w:space="0" w:color="auto"/>
            </w:tcBorders>
            <w:shd w:val="clear" w:color="auto" w:fill="auto"/>
          </w:tcPr>
          <w:p w14:paraId="1E35D92F" w14:textId="77777777" w:rsidR="006800C7" w:rsidRPr="002E53BF" w:rsidRDefault="006800C7" w:rsidP="00F31956">
            <w:r w:rsidRPr="00B50E79">
              <w:t xml:space="preserve">Human Rights Act </w:t>
            </w:r>
            <w:r w:rsidRPr="002E53BF">
              <w:t>2019</w:t>
            </w:r>
          </w:p>
          <w:p w14:paraId="12D9AC94" w14:textId="77777777" w:rsidR="006800C7" w:rsidRPr="002E53BF" w:rsidRDefault="006800C7" w:rsidP="00F31956">
            <w:r w:rsidRPr="00B50E79">
              <w:t>ARRs – section 13.5</w:t>
            </w:r>
          </w:p>
        </w:tc>
        <w:tc>
          <w:tcPr>
            <w:tcW w:w="1591" w:type="dxa"/>
            <w:tcBorders>
              <w:top w:val="single" w:sz="4" w:space="0" w:color="auto"/>
              <w:left w:val="single" w:sz="4" w:space="0" w:color="auto"/>
              <w:bottom w:val="single" w:sz="4" w:space="0" w:color="auto"/>
            </w:tcBorders>
            <w:shd w:val="clear" w:color="auto" w:fill="auto"/>
          </w:tcPr>
          <w:p w14:paraId="43BE6EB3" w14:textId="5EB66D47" w:rsidR="006800C7" w:rsidRPr="002E53BF" w:rsidRDefault="0093738D" w:rsidP="00F31956">
            <w:r w:rsidRPr="0093738D">
              <w:t>138–139</w:t>
            </w:r>
          </w:p>
        </w:tc>
      </w:tr>
      <w:tr w:rsidR="006800C7" w:rsidRPr="00534ECE" w14:paraId="5ADE07B1" w14:textId="77777777" w:rsidTr="00F31956">
        <w:trPr>
          <w:cantSplit/>
        </w:trPr>
        <w:tc>
          <w:tcPr>
            <w:tcW w:w="1548" w:type="dxa"/>
            <w:vMerge/>
            <w:tcBorders>
              <w:top w:val="single" w:sz="4" w:space="0" w:color="auto"/>
              <w:bottom w:val="single" w:sz="4" w:space="0" w:color="auto"/>
              <w:right w:val="single" w:sz="4" w:space="0" w:color="auto"/>
            </w:tcBorders>
          </w:tcPr>
          <w:p w14:paraId="367AE914"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244C7D35" w14:textId="77777777" w:rsidR="006800C7" w:rsidRPr="002E53BF" w:rsidRDefault="006800C7" w:rsidP="00F31956">
            <w:r w:rsidRPr="00B50E79">
              <w:t>Queensland public service values</w:t>
            </w:r>
          </w:p>
        </w:tc>
        <w:tc>
          <w:tcPr>
            <w:tcW w:w="2520" w:type="dxa"/>
            <w:tcBorders>
              <w:top w:val="single" w:sz="4" w:space="0" w:color="auto"/>
              <w:left w:val="single" w:sz="4" w:space="0" w:color="auto"/>
              <w:bottom w:val="single" w:sz="4" w:space="0" w:color="auto"/>
            </w:tcBorders>
            <w:shd w:val="clear" w:color="auto" w:fill="auto"/>
          </w:tcPr>
          <w:p w14:paraId="256C2509" w14:textId="77777777" w:rsidR="006800C7" w:rsidRPr="002E53BF" w:rsidRDefault="006800C7" w:rsidP="00F31956">
            <w:r w:rsidRPr="00B50E79">
              <w:t>ARRs – section 13.6</w:t>
            </w:r>
          </w:p>
        </w:tc>
        <w:tc>
          <w:tcPr>
            <w:tcW w:w="1591" w:type="dxa"/>
            <w:tcBorders>
              <w:top w:val="single" w:sz="4" w:space="0" w:color="auto"/>
              <w:left w:val="single" w:sz="4" w:space="0" w:color="auto"/>
              <w:bottom w:val="single" w:sz="4" w:space="0" w:color="auto"/>
            </w:tcBorders>
            <w:shd w:val="clear" w:color="auto" w:fill="auto"/>
          </w:tcPr>
          <w:p w14:paraId="40D58863" w14:textId="12A1C04F" w:rsidR="006800C7" w:rsidRPr="002E53BF" w:rsidRDefault="0093738D" w:rsidP="00F31956">
            <w:r w:rsidRPr="0093738D">
              <w:t>121</w:t>
            </w:r>
          </w:p>
        </w:tc>
      </w:tr>
      <w:tr w:rsidR="006800C7" w:rsidRPr="00534ECE" w14:paraId="449515D5" w14:textId="77777777" w:rsidTr="00F31956">
        <w:trPr>
          <w:cantSplit/>
        </w:trPr>
        <w:tc>
          <w:tcPr>
            <w:tcW w:w="1548" w:type="dxa"/>
            <w:vMerge w:val="restart"/>
            <w:tcBorders>
              <w:top w:val="single" w:sz="4" w:space="0" w:color="auto"/>
              <w:right w:val="single" w:sz="4" w:space="0" w:color="auto"/>
            </w:tcBorders>
          </w:tcPr>
          <w:p w14:paraId="12DA0751" w14:textId="77777777" w:rsidR="006800C7" w:rsidRPr="002E53BF" w:rsidRDefault="006800C7" w:rsidP="00F31956">
            <w:r w:rsidRPr="00B50E79">
              <w:t>Governance – risk management and accountability</w:t>
            </w:r>
          </w:p>
        </w:tc>
        <w:tc>
          <w:tcPr>
            <w:tcW w:w="4264" w:type="dxa"/>
            <w:tcBorders>
              <w:top w:val="nil"/>
              <w:left w:val="single" w:sz="4" w:space="0" w:color="auto"/>
              <w:bottom w:val="single" w:sz="4" w:space="0" w:color="auto"/>
              <w:right w:val="single" w:sz="4" w:space="0" w:color="auto"/>
            </w:tcBorders>
          </w:tcPr>
          <w:p w14:paraId="5157651F" w14:textId="77777777" w:rsidR="006800C7" w:rsidRPr="002E53BF" w:rsidRDefault="006800C7" w:rsidP="00F31956">
            <w:r w:rsidRPr="00B50E79">
              <w:t>Risk management</w:t>
            </w:r>
          </w:p>
        </w:tc>
        <w:tc>
          <w:tcPr>
            <w:tcW w:w="2520" w:type="dxa"/>
            <w:tcBorders>
              <w:top w:val="nil"/>
              <w:left w:val="single" w:sz="4" w:space="0" w:color="auto"/>
              <w:bottom w:val="single" w:sz="4" w:space="0" w:color="auto"/>
            </w:tcBorders>
            <w:shd w:val="clear" w:color="auto" w:fill="auto"/>
          </w:tcPr>
          <w:p w14:paraId="20CF4708" w14:textId="77777777" w:rsidR="006800C7" w:rsidRPr="002E53BF" w:rsidRDefault="006800C7" w:rsidP="00F31956">
            <w:r w:rsidRPr="00B50E79">
              <w:t>ARRs – section 14.1</w:t>
            </w:r>
          </w:p>
        </w:tc>
        <w:tc>
          <w:tcPr>
            <w:tcW w:w="1591" w:type="dxa"/>
            <w:tcBorders>
              <w:top w:val="nil"/>
              <w:left w:val="single" w:sz="4" w:space="0" w:color="auto"/>
              <w:bottom w:val="single" w:sz="4" w:space="0" w:color="auto"/>
            </w:tcBorders>
            <w:shd w:val="clear" w:color="auto" w:fill="auto"/>
          </w:tcPr>
          <w:p w14:paraId="4AE4BF8B" w14:textId="4AD4000F" w:rsidR="006800C7" w:rsidRPr="002E53BF" w:rsidRDefault="0093738D" w:rsidP="00F31956">
            <w:r w:rsidRPr="0093738D">
              <w:t>140</w:t>
            </w:r>
          </w:p>
        </w:tc>
      </w:tr>
      <w:tr w:rsidR="006800C7" w:rsidRPr="00534ECE" w14:paraId="6A83D802" w14:textId="77777777" w:rsidTr="00F31956">
        <w:trPr>
          <w:cantSplit/>
        </w:trPr>
        <w:tc>
          <w:tcPr>
            <w:tcW w:w="1548" w:type="dxa"/>
            <w:vMerge/>
            <w:tcBorders>
              <w:right w:val="single" w:sz="4" w:space="0" w:color="auto"/>
            </w:tcBorders>
          </w:tcPr>
          <w:p w14:paraId="26735A28"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325678D7" w14:textId="77777777" w:rsidR="006800C7" w:rsidRPr="002E53BF" w:rsidRDefault="006800C7" w:rsidP="00F31956">
            <w:r w:rsidRPr="00B50E79">
              <w:t>Audit committee</w:t>
            </w:r>
          </w:p>
        </w:tc>
        <w:tc>
          <w:tcPr>
            <w:tcW w:w="2520" w:type="dxa"/>
            <w:tcBorders>
              <w:top w:val="single" w:sz="4" w:space="0" w:color="auto"/>
              <w:left w:val="single" w:sz="4" w:space="0" w:color="auto"/>
              <w:bottom w:val="single" w:sz="4" w:space="0" w:color="auto"/>
            </w:tcBorders>
            <w:shd w:val="clear" w:color="auto" w:fill="auto"/>
          </w:tcPr>
          <w:p w14:paraId="3A668E72" w14:textId="77777777" w:rsidR="006800C7" w:rsidRPr="002E53BF" w:rsidRDefault="006800C7" w:rsidP="00F31956">
            <w:r w:rsidRPr="00B50E79">
              <w:t>ARRs – section 14.2</w:t>
            </w:r>
          </w:p>
        </w:tc>
        <w:tc>
          <w:tcPr>
            <w:tcW w:w="1591" w:type="dxa"/>
            <w:tcBorders>
              <w:top w:val="single" w:sz="4" w:space="0" w:color="auto"/>
              <w:left w:val="single" w:sz="4" w:space="0" w:color="auto"/>
              <w:bottom w:val="single" w:sz="4" w:space="0" w:color="auto"/>
            </w:tcBorders>
            <w:shd w:val="clear" w:color="auto" w:fill="auto"/>
          </w:tcPr>
          <w:p w14:paraId="0B738A0D" w14:textId="5A10773D" w:rsidR="006800C7" w:rsidRPr="002E53BF" w:rsidRDefault="0093738D" w:rsidP="00F31956">
            <w:r w:rsidRPr="0093738D">
              <w:t>132</w:t>
            </w:r>
          </w:p>
        </w:tc>
      </w:tr>
      <w:tr w:rsidR="006800C7" w:rsidRPr="00534ECE" w14:paraId="7254FC8E" w14:textId="77777777" w:rsidTr="00F31956">
        <w:trPr>
          <w:cantSplit/>
          <w:trHeight w:val="422"/>
        </w:trPr>
        <w:tc>
          <w:tcPr>
            <w:tcW w:w="1548" w:type="dxa"/>
            <w:vMerge/>
            <w:tcBorders>
              <w:right w:val="single" w:sz="4" w:space="0" w:color="auto"/>
            </w:tcBorders>
          </w:tcPr>
          <w:p w14:paraId="5F02A2E9"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0330AADA" w14:textId="77777777" w:rsidR="006800C7" w:rsidRPr="002E53BF" w:rsidRDefault="006800C7" w:rsidP="00F31956">
            <w:r w:rsidRPr="00B50E79">
              <w:t>Internal audit</w:t>
            </w:r>
          </w:p>
        </w:tc>
        <w:tc>
          <w:tcPr>
            <w:tcW w:w="2520" w:type="dxa"/>
            <w:tcBorders>
              <w:top w:val="single" w:sz="4" w:space="0" w:color="auto"/>
              <w:left w:val="single" w:sz="4" w:space="0" w:color="auto"/>
              <w:bottom w:val="single" w:sz="4" w:space="0" w:color="auto"/>
            </w:tcBorders>
            <w:shd w:val="clear" w:color="auto" w:fill="auto"/>
          </w:tcPr>
          <w:p w14:paraId="7D171760" w14:textId="77777777" w:rsidR="006800C7" w:rsidRPr="002E53BF" w:rsidRDefault="006800C7" w:rsidP="00F31956">
            <w:r w:rsidRPr="00B50E79">
              <w:t xml:space="preserve">ARRs – </w:t>
            </w:r>
            <w:r w:rsidRPr="002E53BF">
              <w:t>section 14.3</w:t>
            </w:r>
          </w:p>
        </w:tc>
        <w:tc>
          <w:tcPr>
            <w:tcW w:w="1591" w:type="dxa"/>
            <w:tcBorders>
              <w:top w:val="single" w:sz="4" w:space="0" w:color="auto"/>
              <w:left w:val="single" w:sz="4" w:space="0" w:color="auto"/>
              <w:bottom w:val="single" w:sz="4" w:space="0" w:color="auto"/>
            </w:tcBorders>
            <w:shd w:val="clear" w:color="auto" w:fill="auto"/>
          </w:tcPr>
          <w:p w14:paraId="79E8C831" w14:textId="48073BD1" w:rsidR="006800C7" w:rsidRPr="002E53BF" w:rsidRDefault="00C467DF" w:rsidP="00F31956">
            <w:r w:rsidRPr="00C467DF">
              <w:t>137</w:t>
            </w:r>
          </w:p>
        </w:tc>
      </w:tr>
      <w:tr w:rsidR="006800C7" w:rsidRPr="00534ECE" w14:paraId="6B48D3CE" w14:textId="77777777" w:rsidTr="00F31956">
        <w:trPr>
          <w:cantSplit/>
          <w:trHeight w:val="422"/>
        </w:trPr>
        <w:tc>
          <w:tcPr>
            <w:tcW w:w="1548" w:type="dxa"/>
            <w:vMerge/>
            <w:tcBorders>
              <w:right w:val="single" w:sz="4" w:space="0" w:color="auto"/>
            </w:tcBorders>
          </w:tcPr>
          <w:p w14:paraId="4169BE0F"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10AD23A3" w14:textId="77777777" w:rsidR="006800C7" w:rsidRPr="002E53BF" w:rsidRDefault="006800C7" w:rsidP="00F31956">
            <w:r w:rsidRPr="00B50E79">
              <w:t>External scrutiny</w:t>
            </w:r>
          </w:p>
        </w:tc>
        <w:tc>
          <w:tcPr>
            <w:tcW w:w="2520" w:type="dxa"/>
            <w:tcBorders>
              <w:top w:val="single" w:sz="4" w:space="0" w:color="auto"/>
              <w:left w:val="single" w:sz="4" w:space="0" w:color="auto"/>
              <w:bottom w:val="single" w:sz="4" w:space="0" w:color="auto"/>
            </w:tcBorders>
            <w:shd w:val="clear" w:color="auto" w:fill="auto"/>
          </w:tcPr>
          <w:p w14:paraId="5D3CE40D" w14:textId="77777777" w:rsidR="006800C7" w:rsidRPr="002E53BF" w:rsidRDefault="006800C7" w:rsidP="00F31956">
            <w:r w:rsidRPr="00B50E79">
              <w:t>ARRs – section 14.4</w:t>
            </w:r>
          </w:p>
        </w:tc>
        <w:tc>
          <w:tcPr>
            <w:tcW w:w="1591" w:type="dxa"/>
            <w:tcBorders>
              <w:top w:val="single" w:sz="4" w:space="0" w:color="auto"/>
              <w:left w:val="single" w:sz="4" w:space="0" w:color="auto"/>
              <w:bottom w:val="single" w:sz="4" w:space="0" w:color="auto"/>
            </w:tcBorders>
            <w:shd w:val="clear" w:color="auto" w:fill="auto"/>
          </w:tcPr>
          <w:p w14:paraId="0405BDA3" w14:textId="0D8560F8" w:rsidR="006800C7" w:rsidRPr="002E53BF" w:rsidRDefault="00C467DF" w:rsidP="00F31956">
            <w:r w:rsidRPr="00C467DF">
              <w:t>137–140</w:t>
            </w:r>
          </w:p>
        </w:tc>
      </w:tr>
      <w:tr w:rsidR="006800C7" w:rsidRPr="00534ECE" w14:paraId="5C644270" w14:textId="77777777" w:rsidTr="00F31956">
        <w:trPr>
          <w:cantSplit/>
          <w:trHeight w:val="422"/>
        </w:trPr>
        <w:tc>
          <w:tcPr>
            <w:tcW w:w="1548" w:type="dxa"/>
            <w:vMerge/>
            <w:tcBorders>
              <w:right w:val="single" w:sz="4" w:space="0" w:color="auto"/>
            </w:tcBorders>
          </w:tcPr>
          <w:p w14:paraId="63F26B83"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66136D29" w14:textId="77777777" w:rsidR="006800C7" w:rsidRPr="002E53BF" w:rsidRDefault="006800C7" w:rsidP="00F31956">
            <w:r w:rsidRPr="00B50E79">
              <w:t>Information systems and recordkeeping</w:t>
            </w:r>
          </w:p>
        </w:tc>
        <w:tc>
          <w:tcPr>
            <w:tcW w:w="2520" w:type="dxa"/>
            <w:tcBorders>
              <w:top w:val="single" w:sz="4" w:space="0" w:color="auto"/>
              <w:left w:val="single" w:sz="4" w:space="0" w:color="auto"/>
              <w:bottom w:val="single" w:sz="4" w:space="0" w:color="auto"/>
            </w:tcBorders>
            <w:shd w:val="clear" w:color="auto" w:fill="auto"/>
          </w:tcPr>
          <w:p w14:paraId="124F9F4E" w14:textId="77777777" w:rsidR="006800C7" w:rsidRPr="002E53BF" w:rsidRDefault="006800C7" w:rsidP="00F31956">
            <w:r w:rsidRPr="00B50E79">
              <w:t>ARRs – section 14.5</w:t>
            </w:r>
          </w:p>
        </w:tc>
        <w:tc>
          <w:tcPr>
            <w:tcW w:w="1591" w:type="dxa"/>
            <w:tcBorders>
              <w:top w:val="single" w:sz="4" w:space="0" w:color="auto"/>
              <w:left w:val="single" w:sz="4" w:space="0" w:color="auto"/>
              <w:bottom w:val="single" w:sz="4" w:space="0" w:color="auto"/>
            </w:tcBorders>
            <w:shd w:val="clear" w:color="auto" w:fill="auto"/>
          </w:tcPr>
          <w:p w14:paraId="139F2BE9" w14:textId="504F4F55" w:rsidR="006800C7" w:rsidRPr="002E53BF" w:rsidRDefault="00C467DF" w:rsidP="00F31956">
            <w:r w:rsidRPr="00C467DF">
              <w:t>029</w:t>
            </w:r>
          </w:p>
        </w:tc>
      </w:tr>
      <w:tr w:rsidR="006800C7" w:rsidRPr="00534ECE" w14:paraId="0179DD11" w14:textId="77777777" w:rsidTr="00F31956">
        <w:trPr>
          <w:cantSplit/>
          <w:trHeight w:val="422"/>
        </w:trPr>
        <w:tc>
          <w:tcPr>
            <w:tcW w:w="1548" w:type="dxa"/>
            <w:vMerge/>
            <w:tcBorders>
              <w:bottom w:val="single" w:sz="4" w:space="0" w:color="auto"/>
              <w:right w:val="single" w:sz="4" w:space="0" w:color="auto"/>
            </w:tcBorders>
          </w:tcPr>
          <w:p w14:paraId="0D55B6C1"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2C50CB74" w14:textId="77777777" w:rsidR="006800C7" w:rsidRPr="002E53BF" w:rsidRDefault="006800C7" w:rsidP="00F31956">
            <w:r w:rsidRPr="00B50E79">
              <w:t>Information Security attestation</w:t>
            </w:r>
          </w:p>
        </w:tc>
        <w:tc>
          <w:tcPr>
            <w:tcW w:w="2520" w:type="dxa"/>
            <w:tcBorders>
              <w:top w:val="single" w:sz="4" w:space="0" w:color="auto"/>
              <w:left w:val="single" w:sz="4" w:space="0" w:color="auto"/>
              <w:bottom w:val="single" w:sz="4" w:space="0" w:color="auto"/>
            </w:tcBorders>
            <w:shd w:val="clear" w:color="auto" w:fill="auto"/>
          </w:tcPr>
          <w:p w14:paraId="3299E39A" w14:textId="77777777" w:rsidR="006800C7" w:rsidRPr="002E53BF" w:rsidRDefault="006800C7" w:rsidP="00F31956">
            <w:r w:rsidRPr="00B50E79">
              <w:t>ARRs – section 14.6</w:t>
            </w:r>
          </w:p>
        </w:tc>
        <w:tc>
          <w:tcPr>
            <w:tcW w:w="1591" w:type="dxa"/>
            <w:tcBorders>
              <w:top w:val="single" w:sz="4" w:space="0" w:color="auto"/>
              <w:left w:val="single" w:sz="4" w:space="0" w:color="auto"/>
              <w:bottom w:val="single" w:sz="4" w:space="0" w:color="auto"/>
            </w:tcBorders>
            <w:shd w:val="clear" w:color="auto" w:fill="auto"/>
          </w:tcPr>
          <w:p w14:paraId="54BD6934" w14:textId="4404749E" w:rsidR="006800C7" w:rsidRPr="002E53BF" w:rsidRDefault="00C467DF" w:rsidP="00F31956">
            <w:r w:rsidRPr="00C467DF">
              <w:t>133, 135</w:t>
            </w:r>
          </w:p>
        </w:tc>
      </w:tr>
      <w:tr w:rsidR="006800C7" w:rsidRPr="00534ECE" w14:paraId="227FC243" w14:textId="77777777" w:rsidTr="00F31956">
        <w:trPr>
          <w:cantSplit/>
        </w:trPr>
        <w:tc>
          <w:tcPr>
            <w:tcW w:w="1548" w:type="dxa"/>
            <w:vMerge w:val="restart"/>
            <w:tcBorders>
              <w:top w:val="single" w:sz="4" w:space="0" w:color="auto"/>
              <w:right w:val="single" w:sz="4" w:space="0" w:color="auto"/>
            </w:tcBorders>
          </w:tcPr>
          <w:p w14:paraId="3B227B3D" w14:textId="77777777" w:rsidR="006800C7" w:rsidRPr="002E53BF" w:rsidRDefault="006800C7" w:rsidP="00F31956">
            <w:r w:rsidRPr="00B50E79">
              <w:t>Governance – human resources</w:t>
            </w:r>
          </w:p>
        </w:tc>
        <w:tc>
          <w:tcPr>
            <w:tcW w:w="4264" w:type="dxa"/>
            <w:tcBorders>
              <w:top w:val="single" w:sz="4" w:space="0" w:color="auto"/>
              <w:left w:val="single" w:sz="4" w:space="0" w:color="auto"/>
              <w:bottom w:val="single" w:sz="4" w:space="0" w:color="auto"/>
              <w:right w:val="single" w:sz="4" w:space="0" w:color="auto"/>
            </w:tcBorders>
          </w:tcPr>
          <w:p w14:paraId="34DEB77E" w14:textId="77777777" w:rsidR="006800C7" w:rsidRPr="002E53BF" w:rsidRDefault="006800C7" w:rsidP="00F31956">
            <w:r w:rsidRPr="00B50E79">
              <w:t xml:space="preserve">Strategic workforce </w:t>
            </w:r>
            <w:r w:rsidRPr="002E53BF">
              <w:t>planning and performance</w:t>
            </w:r>
          </w:p>
        </w:tc>
        <w:tc>
          <w:tcPr>
            <w:tcW w:w="2520" w:type="dxa"/>
            <w:tcBorders>
              <w:top w:val="single" w:sz="4" w:space="0" w:color="auto"/>
              <w:left w:val="single" w:sz="4" w:space="0" w:color="auto"/>
              <w:bottom w:val="single" w:sz="4" w:space="0" w:color="auto"/>
            </w:tcBorders>
            <w:shd w:val="clear" w:color="auto" w:fill="auto"/>
          </w:tcPr>
          <w:p w14:paraId="5F322407" w14:textId="77777777" w:rsidR="006800C7" w:rsidRPr="002E53BF" w:rsidRDefault="006800C7" w:rsidP="00F31956">
            <w:r w:rsidRPr="00B50E79">
              <w:t>ARRs – section 15.1</w:t>
            </w:r>
          </w:p>
        </w:tc>
        <w:tc>
          <w:tcPr>
            <w:tcW w:w="1591" w:type="dxa"/>
            <w:tcBorders>
              <w:top w:val="single" w:sz="4" w:space="0" w:color="auto"/>
              <w:left w:val="single" w:sz="4" w:space="0" w:color="auto"/>
              <w:bottom w:val="single" w:sz="4" w:space="0" w:color="auto"/>
            </w:tcBorders>
            <w:shd w:val="clear" w:color="auto" w:fill="auto"/>
          </w:tcPr>
          <w:p w14:paraId="219D16C8" w14:textId="3F4E1A5B" w:rsidR="006800C7" w:rsidRPr="002E53BF" w:rsidRDefault="00C467DF" w:rsidP="00F31956">
            <w:r w:rsidRPr="00C467DF">
              <w:t>115</w:t>
            </w:r>
          </w:p>
        </w:tc>
      </w:tr>
      <w:tr w:rsidR="006800C7" w:rsidRPr="00534ECE" w14:paraId="6CD6CB14" w14:textId="77777777" w:rsidTr="00F31956">
        <w:trPr>
          <w:cantSplit/>
        </w:trPr>
        <w:tc>
          <w:tcPr>
            <w:tcW w:w="1548" w:type="dxa"/>
            <w:vMerge/>
            <w:tcBorders>
              <w:right w:val="single" w:sz="4" w:space="0" w:color="auto"/>
            </w:tcBorders>
          </w:tcPr>
          <w:p w14:paraId="1A4C4262"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7A9B6C5C" w14:textId="77777777" w:rsidR="006800C7" w:rsidRPr="002E53BF" w:rsidRDefault="006800C7" w:rsidP="00F31956">
            <w:r w:rsidRPr="00B50E79">
              <w:t>Early retirement, redundancy and retrenchment</w:t>
            </w:r>
          </w:p>
        </w:tc>
        <w:tc>
          <w:tcPr>
            <w:tcW w:w="2520" w:type="dxa"/>
            <w:tcBorders>
              <w:top w:val="single" w:sz="4" w:space="0" w:color="auto"/>
              <w:left w:val="single" w:sz="4" w:space="0" w:color="auto"/>
              <w:bottom w:val="single" w:sz="4" w:space="0" w:color="auto"/>
            </w:tcBorders>
            <w:shd w:val="clear" w:color="auto" w:fill="auto"/>
          </w:tcPr>
          <w:p w14:paraId="3798FF8E" w14:textId="77777777" w:rsidR="006800C7" w:rsidRPr="002E53BF" w:rsidRDefault="006800C7" w:rsidP="00F31956">
            <w:r w:rsidRPr="00B50E79">
              <w:t xml:space="preserve">Directive No.04/18 Early Retirement, Redundancy and Retrenchment </w:t>
            </w:r>
          </w:p>
          <w:p w14:paraId="0390C76D" w14:textId="77777777" w:rsidR="006800C7" w:rsidRPr="002E53BF" w:rsidRDefault="006800C7" w:rsidP="00F31956">
            <w:r w:rsidRPr="00B50E79">
              <w:t>ARRs – section 15.2</w:t>
            </w:r>
          </w:p>
        </w:tc>
        <w:tc>
          <w:tcPr>
            <w:tcW w:w="1591" w:type="dxa"/>
            <w:tcBorders>
              <w:top w:val="single" w:sz="4" w:space="0" w:color="auto"/>
              <w:left w:val="single" w:sz="4" w:space="0" w:color="auto"/>
              <w:bottom w:val="single" w:sz="4" w:space="0" w:color="auto"/>
            </w:tcBorders>
            <w:shd w:val="clear" w:color="auto" w:fill="auto"/>
          </w:tcPr>
          <w:p w14:paraId="643F5618" w14:textId="42F121BB" w:rsidR="006800C7" w:rsidRPr="002E53BF" w:rsidRDefault="00044EF2" w:rsidP="00F31956">
            <w:r w:rsidRPr="00044EF2">
              <w:t>115</w:t>
            </w:r>
          </w:p>
        </w:tc>
      </w:tr>
      <w:tr w:rsidR="006800C7" w:rsidRPr="00534ECE" w14:paraId="3760F259" w14:textId="77777777" w:rsidTr="00F31956">
        <w:trPr>
          <w:cantSplit/>
        </w:trPr>
        <w:tc>
          <w:tcPr>
            <w:tcW w:w="1548" w:type="dxa"/>
            <w:vMerge w:val="restart"/>
            <w:tcBorders>
              <w:top w:val="single" w:sz="4" w:space="0" w:color="auto"/>
              <w:right w:val="single" w:sz="4" w:space="0" w:color="auto"/>
            </w:tcBorders>
          </w:tcPr>
          <w:p w14:paraId="0739C1D8" w14:textId="77777777" w:rsidR="006800C7" w:rsidRPr="002E53BF" w:rsidRDefault="006800C7" w:rsidP="00F31956">
            <w:r w:rsidRPr="00B50E79">
              <w:t>Open Data</w:t>
            </w:r>
          </w:p>
        </w:tc>
        <w:tc>
          <w:tcPr>
            <w:tcW w:w="4264" w:type="dxa"/>
            <w:tcBorders>
              <w:top w:val="single" w:sz="4" w:space="0" w:color="auto"/>
              <w:left w:val="single" w:sz="4" w:space="0" w:color="auto"/>
              <w:bottom w:val="single" w:sz="4" w:space="0" w:color="auto"/>
              <w:right w:val="single" w:sz="4" w:space="0" w:color="auto"/>
            </w:tcBorders>
          </w:tcPr>
          <w:p w14:paraId="4DCE2D72" w14:textId="77777777" w:rsidR="006800C7" w:rsidRPr="002E53BF" w:rsidRDefault="006800C7" w:rsidP="00F31956">
            <w:r w:rsidRPr="00B50E79">
              <w:t>Statement advising publication of information</w:t>
            </w:r>
          </w:p>
        </w:tc>
        <w:tc>
          <w:tcPr>
            <w:tcW w:w="2520" w:type="dxa"/>
            <w:tcBorders>
              <w:top w:val="single" w:sz="4" w:space="0" w:color="auto"/>
              <w:left w:val="single" w:sz="4" w:space="0" w:color="auto"/>
              <w:bottom w:val="single" w:sz="4" w:space="0" w:color="auto"/>
            </w:tcBorders>
            <w:shd w:val="clear" w:color="auto" w:fill="auto"/>
          </w:tcPr>
          <w:p w14:paraId="79B24E2B" w14:textId="77777777" w:rsidR="006800C7" w:rsidRPr="002E53BF" w:rsidRDefault="006800C7" w:rsidP="00F31956">
            <w:r w:rsidRPr="00B50E79">
              <w:t xml:space="preserve">ARRs – </w:t>
            </w:r>
            <w:r w:rsidRPr="002E53BF">
              <w:t>section 16</w:t>
            </w:r>
          </w:p>
        </w:tc>
        <w:tc>
          <w:tcPr>
            <w:tcW w:w="1591" w:type="dxa"/>
            <w:tcBorders>
              <w:top w:val="single" w:sz="4" w:space="0" w:color="auto"/>
              <w:left w:val="single" w:sz="4" w:space="0" w:color="auto"/>
              <w:bottom w:val="single" w:sz="4" w:space="0" w:color="auto"/>
            </w:tcBorders>
            <w:shd w:val="clear" w:color="auto" w:fill="auto"/>
          </w:tcPr>
          <w:p w14:paraId="486DCD11" w14:textId="77777777" w:rsidR="006800C7" w:rsidRPr="002E53BF" w:rsidRDefault="00F31956" w:rsidP="00F31956">
            <w:r>
              <w:t>004</w:t>
            </w:r>
          </w:p>
        </w:tc>
      </w:tr>
      <w:tr w:rsidR="006800C7" w:rsidRPr="00534ECE" w14:paraId="559E8962" w14:textId="77777777" w:rsidTr="00F31956">
        <w:trPr>
          <w:cantSplit/>
        </w:trPr>
        <w:tc>
          <w:tcPr>
            <w:tcW w:w="1548" w:type="dxa"/>
            <w:vMerge/>
            <w:tcBorders>
              <w:right w:val="single" w:sz="4" w:space="0" w:color="auto"/>
            </w:tcBorders>
          </w:tcPr>
          <w:p w14:paraId="1D3E0CC3"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707C52CE" w14:textId="77777777" w:rsidR="006800C7" w:rsidRPr="002E53BF" w:rsidRDefault="006800C7" w:rsidP="00F31956">
            <w:r w:rsidRPr="00B50E79">
              <w:t xml:space="preserve">Consultancies </w:t>
            </w:r>
          </w:p>
        </w:tc>
        <w:tc>
          <w:tcPr>
            <w:tcW w:w="2520" w:type="dxa"/>
            <w:tcBorders>
              <w:top w:val="single" w:sz="4" w:space="0" w:color="auto"/>
              <w:left w:val="single" w:sz="4" w:space="0" w:color="auto"/>
              <w:bottom w:val="single" w:sz="4" w:space="0" w:color="auto"/>
            </w:tcBorders>
            <w:shd w:val="clear" w:color="auto" w:fill="auto"/>
          </w:tcPr>
          <w:p w14:paraId="6C818AFD" w14:textId="77777777" w:rsidR="006800C7" w:rsidRPr="002E53BF" w:rsidRDefault="006800C7" w:rsidP="00F31956">
            <w:r w:rsidRPr="00B50E79">
              <w:t>ARRs – section 33.1</w:t>
            </w:r>
          </w:p>
        </w:tc>
        <w:tc>
          <w:tcPr>
            <w:tcW w:w="1591" w:type="dxa"/>
            <w:tcBorders>
              <w:top w:val="single" w:sz="4" w:space="0" w:color="auto"/>
              <w:left w:val="single" w:sz="4" w:space="0" w:color="auto"/>
              <w:bottom w:val="single" w:sz="4" w:space="0" w:color="auto"/>
            </w:tcBorders>
            <w:shd w:val="clear" w:color="auto" w:fill="auto"/>
          </w:tcPr>
          <w:p w14:paraId="40BE0A51" w14:textId="77777777" w:rsidR="006800C7" w:rsidRPr="002E53BF" w:rsidRDefault="006800C7" w:rsidP="00F31956">
            <w:r w:rsidRPr="00B50E79">
              <w:rPr>
                <w:rStyle w:val="Hyperlink"/>
              </w:rPr>
              <w:t>https://data.qld.gov.au</w:t>
            </w:r>
          </w:p>
        </w:tc>
      </w:tr>
      <w:tr w:rsidR="006800C7" w:rsidRPr="00534ECE" w14:paraId="0DBF0648" w14:textId="77777777" w:rsidTr="00F31956">
        <w:trPr>
          <w:cantSplit/>
        </w:trPr>
        <w:tc>
          <w:tcPr>
            <w:tcW w:w="1548" w:type="dxa"/>
            <w:vMerge/>
            <w:tcBorders>
              <w:right w:val="single" w:sz="4" w:space="0" w:color="auto"/>
            </w:tcBorders>
          </w:tcPr>
          <w:p w14:paraId="3E096B23"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0A600532" w14:textId="77777777" w:rsidR="006800C7" w:rsidRPr="002E53BF" w:rsidRDefault="006800C7" w:rsidP="00F31956">
            <w:r w:rsidRPr="00B50E79">
              <w:t>Queensland Language Services Policy</w:t>
            </w:r>
          </w:p>
        </w:tc>
        <w:tc>
          <w:tcPr>
            <w:tcW w:w="2520" w:type="dxa"/>
            <w:tcBorders>
              <w:top w:val="single" w:sz="4" w:space="0" w:color="auto"/>
              <w:left w:val="single" w:sz="4" w:space="0" w:color="auto"/>
              <w:bottom w:val="single" w:sz="4" w:space="0" w:color="auto"/>
            </w:tcBorders>
            <w:shd w:val="clear" w:color="auto" w:fill="auto"/>
          </w:tcPr>
          <w:p w14:paraId="20B3FCB9" w14:textId="77777777" w:rsidR="006800C7" w:rsidRPr="002E53BF" w:rsidRDefault="006800C7" w:rsidP="00F31956">
            <w:r w:rsidRPr="00B50E79">
              <w:t>ARRs – section 33.3</w:t>
            </w:r>
          </w:p>
        </w:tc>
        <w:tc>
          <w:tcPr>
            <w:tcW w:w="1591" w:type="dxa"/>
            <w:tcBorders>
              <w:top w:val="single" w:sz="4" w:space="0" w:color="auto"/>
              <w:left w:val="single" w:sz="4" w:space="0" w:color="auto"/>
              <w:bottom w:val="single" w:sz="4" w:space="0" w:color="auto"/>
            </w:tcBorders>
            <w:shd w:val="clear" w:color="auto" w:fill="auto"/>
          </w:tcPr>
          <w:p w14:paraId="33F30978" w14:textId="77777777" w:rsidR="006800C7" w:rsidRPr="002E53BF" w:rsidRDefault="006800C7" w:rsidP="00F31956">
            <w:r w:rsidRPr="00B50E79">
              <w:rPr>
                <w:rStyle w:val="Hyperlink"/>
              </w:rPr>
              <w:t>https://data.qld.gov.au</w:t>
            </w:r>
          </w:p>
        </w:tc>
      </w:tr>
      <w:tr w:rsidR="006800C7" w:rsidRPr="00534ECE" w14:paraId="6F59B8FA" w14:textId="77777777" w:rsidTr="00F31956">
        <w:trPr>
          <w:cantSplit/>
        </w:trPr>
        <w:tc>
          <w:tcPr>
            <w:tcW w:w="1548" w:type="dxa"/>
            <w:vMerge w:val="restart"/>
            <w:tcBorders>
              <w:top w:val="single" w:sz="4" w:space="0" w:color="auto"/>
              <w:bottom w:val="single" w:sz="4" w:space="0" w:color="auto"/>
              <w:right w:val="single" w:sz="4" w:space="0" w:color="auto"/>
            </w:tcBorders>
          </w:tcPr>
          <w:p w14:paraId="7460A8C8" w14:textId="77777777" w:rsidR="006800C7" w:rsidRPr="002E53BF" w:rsidRDefault="006800C7" w:rsidP="00F31956">
            <w:r w:rsidRPr="00B50E79">
              <w:lastRenderedPageBreak/>
              <w:t>Financial statements</w:t>
            </w:r>
          </w:p>
        </w:tc>
        <w:tc>
          <w:tcPr>
            <w:tcW w:w="4264" w:type="dxa"/>
            <w:tcBorders>
              <w:top w:val="single" w:sz="4" w:space="0" w:color="auto"/>
              <w:left w:val="single" w:sz="4" w:space="0" w:color="auto"/>
              <w:bottom w:val="single" w:sz="4" w:space="0" w:color="auto"/>
              <w:right w:val="single" w:sz="4" w:space="0" w:color="auto"/>
            </w:tcBorders>
          </w:tcPr>
          <w:p w14:paraId="3B37FC70" w14:textId="77777777" w:rsidR="006800C7" w:rsidRPr="002E53BF" w:rsidRDefault="006800C7" w:rsidP="00F31956">
            <w:r w:rsidRPr="00B50E79">
              <w:t>Certification of financial statements</w:t>
            </w:r>
          </w:p>
        </w:tc>
        <w:tc>
          <w:tcPr>
            <w:tcW w:w="2520" w:type="dxa"/>
            <w:tcBorders>
              <w:top w:val="single" w:sz="4" w:space="0" w:color="auto"/>
              <w:left w:val="single" w:sz="4" w:space="0" w:color="auto"/>
              <w:bottom w:val="single" w:sz="4" w:space="0" w:color="auto"/>
            </w:tcBorders>
            <w:shd w:val="clear" w:color="auto" w:fill="auto"/>
          </w:tcPr>
          <w:p w14:paraId="6DDC3139" w14:textId="77777777" w:rsidR="006800C7" w:rsidRPr="002E53BF" w:rsidRDefault="006800C7" w:rsidP="00F31956">
            <w:r w:rsidRPr="00B50E79">
              <w:t>FAA – section 62</w:t>
            </w:r>
          </w:p>
          <w:p w14:paraId="33593E0F" w14:textId="77777777" w:rsidR="006800C7" w:rsidRPr="002E53BF" w:rsidRDefault="006800C7" w:rsidP="00F31956">
            <w:r w:rsidRPr="00B50E79">
              <w:t>FPMS – sections 38, 39 and 46</w:t>
            </w:r>
          </w:p>
          <w:p w14:paraId="01AEA416" w14:textId="77777777" w:rsidR="006800C7" w:rsidRPr="002E53BF" w:rsidRDefault="006800C7" w:rsidP="00F31956">
            <w:r w:rsidRPr="00B50E79">
              <w:t>ARRs – section 17.1</w:t>
            </w:r>
          </w:p>
        </w:tc>
        <w:tc>
          <w:tcPr>
            <w:tcW w:w="1591" w:type="dxa"/>
            <w:tcBorders>
              <w:top w:val="single" w:sz="4" w:space="0" w:color="auto"/>
              <w:left w:val="single" w:sz="4" w:space="0" w:color="auto"/>
              <w:bottom w:val="single" w:sz="4" w:space="0" w:color="auto"/>
            </w:tcBorders>
            <w:shd w:val="clear" w:color="auto" w:fill="auto"/>
          </w:tcPr>
          <w:p w14:paraId="23D9A348" w14:textId="1E8758A5" w:rsidR="006800C7" w:rsidRPr="002E53BF" w:rsidRDefault="00044EF2" w:rsidP="00F31956">
            <w:r w:rsidRPr="00044EF2">
              <w:t>193</w:t>
            </w:r>
          </w:p>
        </w:tc>
      </w:tr>
      <w:tr w:rsidR="006800C7" w:rsidRPr="00534ECE" w14:paraId="58787CF7" w14:textId="77777777" w:rsidTr="00F31956">
        <w:trPr>
          <w:cantSplit/>
        </w:trPr>
        <w:tc>
          <w:tcPr>
            <w:tcW w:w="1548" w:type="dxa"/>
            <w:vMerge/>
            <w:tcBorders>
              <w:top w:val="single" w:sz="4" w:space="0" w:color="auto"/>
              <w:bottom w:val="single" w:sz="4" w:space="0" w:color="auto"/>
              <w:right w:val="single" w:sz="4" w:space="0" w:color="auto"/>
            </w:tcBorders>
          </w:tcPr>
          <w:p w14:paraId="601A4C06"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6BE37019" w14:textId="77777777" w:rsidR="006800C7" w:rsidRPr="002E53BF" w:rsidRDefault="006800C7" w:rsidP="00F31956">
            <w:r w:rsidRPr="00B50E79">
              <w:t>Independent Auditor’s Report</w:t>
            </w:r>
          </w:p>
        </w:tc>
        <w:tc>
          <w:tcPr>
            <w:tcW w:w="2520" w:type="dxa"/>
            <w:tcBorders>
              <w:top w:val="single" w:sz="4" w:space="0" w:color="auto"/>
              <w:left w:val="single" w:sz="4" w:space="0" w:color="auto"/>
              <w:bottom w:val="single" w:sz="4" w:space="0" w:color="auto"/>
            </w:tcBorders>
            <w:shd w:val="clear" w:color="auto" w:fill="auto"/>
          </w:tcPr>
          <w:p w14:paraId="0F505AD5" w14:textId="77777777" w:rsidR="006800C7" w:rsidRPr="002E53BF" w:rsidRDefault="006800C7" w:rsidP="00F31956">
            <w:r w:rsidRPr="00B50E79">
              <w:t>FAA – section 62</w:t>
            </w:r>
          </w:p>
          <w:p w14:paraId="18B958A6" w14:textId="77777777" w:rsidR="006800C7" w:rsidRPr="002E53BF" w:rsidRDefault="006800C7" w:rsidP="00F31956">
            <w:r w:rsidRPr="00B50E79">
              <w:t>FPMS – section 46</w:t>
            </w:r>
          </w:p>
          <w:p w14:paraId="198AA5C9" w14:textId="77777777" w:rsidR="006800C7" w:rsidRPr="002E53BF" w:rsidRDefault="006800C7" w:rsidP="00F31956">
            <w:r w:rsidRPr="00B50E79">
              <w:t>ARRs – section 17.2</w:t>
            </w:r>
          </w:p>
        </w:tc>
        <w:tc>
          <w:tcPr>
            <w:tcW w:w="1591" w:type="dxa"/>
            <w:tcBorders>
              <w:top w:val="single" w:sz="4" w:space="0" w:color="auto"/>
              <w:left w:val="single" w:sz="4" w:space="0" w:color="auto"/>
              <w:bottom w:val="single" w:sz="4" w:space="0" w:color="auto"/>
            </w:tcBorders>
            <w:shd w:val="clear" w:color="auto" w:fill="auto"/>
          </w:tcPr>
          <w:p w14:paraId="7706BC73" w14:textId="7BC75E83" w:rsidR="006800C7" w:rsidRPr="002E53BF" w:rsidRDefault="00044EF2" w:rsidP="00F31956">
            <w:r w:rsidRPr="00044EF2">
              <w:t>194</w:t>
            </w:r>
          </w:p>
        </w:tc>
      </w:tr>
    </w:tbl>
    <w:p w14:paraId="21597B35" w14:textId="77777777" w:rsidR="00E52690" w:rsidRDefault="00E52690" w:rsidP="00E52690">
      <w:pPr>
        <w:pStyle w:val="Subtitle"/>
      </w:pPr>
      <w:r>
        <w:rPr>
          <w:spacing w:val="-5"/>
        </w:rPr>
        <w:t>FAA</w:t>
      </w:r>
      <w:r>
        <w:tab/>
        <w:t>Financial</w:t>
      </w:r>
      <w:r>
        <w:rPr>
          <w:spacing w:val="-6"/>
        </w:rPr>
        <w:t xml:space="preserve"> </w:t>
      </w:r>
      <w:r>
        <w:t>Accountability</w:t>
      </w:r>
      <w:r>
        <w:rPr>
          <w:spacing w:val="-5"/>
        </w:rPr>
        <w:t xml:space="preserve"> </w:t>
      </w:r>
      <w:r>
        <w:t>Act</w:t>
      </w:r>
      <w:r>
        <w:rPr>
          <w:spacing w:val="-4"/>
        </w:rPr>
        <w:t xml:space="preserve"> 2009</w:t>
      </w:r>
    </w:p>
    <w:p w14:paraId="00D869D6" w14:textId="77777777" w:rsidR="00E52690" w:rsidRDefault="00E52690" w:rsidP="00E52690">
      <w:pPr>
        <w:pStyle w:val="Subtitle"/>
      </w:pPr>
      <w:r>
        <w:rPr>
          <w:spacing w:val="-4"/>
        </w:rPr>
        <w:t>FPMS</w:t>
      </w:r>
      <w:r>
        <w:tab/>
        <w:t>Financial</w:t>
      </w:r>
      <w:r>
        <w:rPr>
          <w:spacing w:val="-4"/>
        </w:rPr>
        <w:t xml:space="preserve"> </w:t>
      </w:r>
      <w:r>
        <w:t>and</w:t>
      </w:r>
      <w:r>
        <w:rPr>
          <w:spacing w:val="-3"/>
        </w:rPr>
        <w:t xml:space="preserve"> </w:t>
      </w:r>
      <w:r>
        <w:t>Performance</w:t>
      </w:r>
      <w:r>
        <w:rPr>
          <w:spacing w:val="-3"/>
        </w:rPr>
        <w:t xml:space="preserve"> </w:t>
      </w:r>
      <w:r>
        <w:t>Management</w:t>
      </w:r>
      <w:r>
        <w:rPr>
          <w:spacing w:val="-4"/>
        </w:rPr>
        <w:t xml:space="preserve"> </w:t>
      </w:r>
      <w:r>
        <w:t>Standard</w:t>
      </w:r>
      <w:r>
        <w:rPr>
          <w:spacing w:val="-3"/>
        </w:rPr>
        <w:t xml:space="preserve"> </w:t>
      </w:r>
      <w:r>
        <w:rPr>
          <w:spacing w:val="-4"/>
        </w:rPr>
        <w:t>2019</w:t>
      </w:r>
    </w:p>
    <w:p w14:paraId="0960F875" w14:textId="77777777" w:rsidR="00E52690" w:rsidRDefault="00E52690" w:rsidP="00E52690">
      <w:pPr>
        <w:pStyle w:val="Subtitle"/>
      </w:pPr>
      <w:r>
        <w:rPr>
          <w:spacing w:val="-4"/>
        </w:rPr>
        <w:t>ARRs</w:t>
      </w:r>
      <w:r>
        <w:tab/>
        <w:t>Annual</w:t>
      </w:r>
      <w:r>
        <w:rPr>
          <w:spacing w:val="-4"/>
        </w:rPr>
        <w:t xml:space="preserve"> </w:t>
      </w:r>
      <w:r>
        <w:t>report</w:t>
      </w:r>
      <w:r>
        <w:rPr>
          <w:spacing w:val="-6"/>
        </w:rPr>
        <w:t xml:space="preserve"> </w:t>
      </w:r>
      <w:r>
        <w:t>requirements</w:t>
      </w:r>
      <w:r>
        <w:rPr>
          <w:spacing w:val="-6"/>
        </w:rPr>
        <w:t xml:space="preserve"> </w:t>
      </w:r>
      <w:r>
        <w:t>for</w:t>
      </w:r>
      <w:r>
        <w:rPr>
          <w:spacing w:val="-6"/>
        </w:rPr>
        <w:t xml:space="preserve"> </w:t>
      </w:r>
      <w:r>
        <w:t>Queensland</w:t>
      </w:r>
      <w:r>
        <w:rPr>
          <w:spacing w:val="-4"/>
        </w:rPr>
        <w:t xml:space="preserve"> </w:t>
      </w:r>
      <w:r>
        <w:t>Government</w:t>
      </w:r>
      <w:r>
        <w:rPr>
          <w:spacing w:val="-5"/>
        </w:rPr>
        <w:t xml:space="preserve"> </w:t>
      </w:r>
      <w:r>
        <w:rPr>
          <w:spacing w:val="-2"/>
        </w:rPr>
        <w:t>agencies</w:t>
      </w:r>
    </w:p>
    <w:p w14:paraId="215EECDE" w14:textId="77777777" w:rsidR="006800C7" w:rsidRDefault="006800C7" w:rsidP="006800C7"/>
    <w:p w14:paraId="51B1D205" w14:textId="77777777" w:rsidR="006800C7" w:rsidRDefault="006800C7" w:rsidP="006800C7"/>
    <w:p w14:paraId="2DD2EDB2" w14:textId="77777777" w:rsidR="006800C7" w:rsidRDefault="006800C7" w:rsidP="006800C7">
      <w:pPr>
        <w:spacing w:before="0" w:after="160" w:line="259" w:lineRule="auto"/>
      </w:pPr>
      <w:r>
        <w:br w:type="page"/>
      </w:r>
    </w:p>
    <w:p w14:paraId="0FF5A460" w14:textId="77777777" w:rsidR="006800C7" w:rsidRDefault="006800C7" w:rsidP="006800C7">
      <w:pPr>
        <w:pStyle w:val="Heading2"/>
      </w:pPr>
      <w:r>
        <w:lastRenderedPageBreak/>
        <w:t>Where to find us</w:t>
      </w:r>
    </w:p>
    <w:p w14:paraId="0E74793A" w14:textId="541E75BA" w:rsidR="005C0937" w:rsidRDefault="005C0937" w:rsidP="005C0937">
      <w:r>
        <w:t>TMR's principal place of business is 61 Mary Street, Brisbane, Queensland 4000.</w:t>
      </w:r>
    </w:p>
    <w:p w14:paraId="255B4E4F" w14:textId="3AEFFAA8" w:rsidR="005C0937" w:rsidRDefault="005C0937" w:rsidP="005C0937">
      <w:r>
        <w:t xml:space="preserve">Addresses for the department’s </w:t>
      </w:r>
      <w:r w:rsidR="003F2FC0">
        <w:t>state-wide</w:t>
      </w:r>
      <w:r>
        <w:t xml:space="preserve"> network of Customer Service Centres are listed over the following pages. TMR has a range of services customers can complete online including:</w:t>
      </w:r>
    </w:p>
    <w:p w14:paraId="3AD7F4EE" w14:textId="537A975F" w:rsidR="005C0937" w:rsidRDefault="005C0937" w:rsidP="005C0937">
      <w:pPr>
        <w:pStyle w:val="ListBullet"/>
      </w:pPr>
      <w:r>
        <w:t>pay your fine</w:t>
      </w:r>
    </w:p>
    <w:p w14:paraId="09DC2C33" w14:textId="2FA0337B" w:rsidR="005C0937" w:rsidRDefault="005C0937" w:rsidP="005C0937">
      <w:pPr>
        <w:pStyle w:val="ListBullet"/>
      </w:pPr>
      <w:r>
        <w:t>renew your registration</w:t>
      </w:r>
    </w:p>
    <w:p w14:paraId="5E985CEB" w14:textId="4E5E5EBA" w:rsidR="005C0937" w:rsidRDefault="005C0937" w:rsidP="005C0937">
      <w:pPr>
        <w:pStyle w:val="ListBullet"/>
      </w:pPr>
      <w:r>
        <w:t>change your customer address</w:t>
      </w:r>
    </w:p>
    <w:p w14:paraId="16318CA6" w14:textId="5A0C6E9E" w:rsidR="005C0937" w:rsidRDefault="005C0937" w:rsidP="005C0937">
      <w:pPr>
        <w:pStyle w:val="ListBullet"/>
      </w:pPr>
      <w:r>
        <w:t>book a practical driving test.</w:t>
      </w:r>
    </w:p>
    <w:p w14:paraId="61D1B4E6" w14:textId="04335843" w:rsidR="005C0937" w:rsidRDefault="005C0937" w:rsidP="005C0937">
      <w:r>
        <w:t xml:space="preserve">Customers can view a complete list of services we offer online at </w:t>
      </w:r>
      <w:r w:rsidRPr="005C0937">
        <w:rPr>
          <w:rStyle w:val="Hyperlink"/>
        </w:rPr>
        <w:t>https://www.tmr.qld.gov.au/About-us/Contact-us</w:t>
      </w:r>
      <w:r>
        <w:t xml:space="preserve"> or telephone 13 23 80*.</w:t>
      </w:r>
    </w:p>
    <w:p w14:paraId="3A90E90E" w14:textId="79D0FEF3" w:rsidR="006800C7" w:rsidRDefault="006800C7" w:rsidP="006800C7">
      <w:r>
        <w:br/>
      </w:r>
    </w:p>
    <w:p w14:paraId="64497E4C" w14:textId="77777777" w:rsidR="006800C7" w:rsidRPr="00F56B0C" w:rsidRDefault="006800C7" w:rsidP="006800C7">
      <w:pPr>
        <w:pStyle w:val="Subtitle"/>
      </w:pPr>
      <w:r>
        <w:t>*</w:t>
      </w:r>
      <w:r w:rsidRPr="00F56B0C">
        <w:t>Local call charge in Australia. Higher rates apply from mobile phones and payphones. Check with your service provider for call costs. For international callers, please phone +61 7 3834 2011.</w:t>
      </w:r>
    </w:p>
    <w:p w14:paraId="727F1CFF" w14:textId="77777777" w:rsidR="006800C7" w:rsidRDefault="006800C7" w:rsidP="006800C7">
      <w:pPr>
        <w:pStyle w:val="Heading3"/>
      </w:pPr>
      <w:r w:rsidRPr="00C70A3B">
        <w:t xml:space="preserve">Customer </w:t>
      </w:r>
      <w:r>
        <w:t>S</w:t>
      </w:r>
      <w:r w:rsidRPr="00C70A3B">
        <w:t xml:space="preserve">ervice </w:t>
      </w:r>
      <w:r>
        <w:t>C</w:t>
      </w:r>
      <w:r w:rsidRPr="00C70A3B">
        <w:t>entres</w:t>
      </w:r>
    </w:p>
    <w:tbl>
      <w:tblPr>
        <w:tblStyle w:val="GridTable1Light"/>
        <w:tblW w:w="9257" w:type="dxa"/>
        <w:tblLook w:val="04A0" w:firstRow="1" w:lastRow="0" w:firstColumn="1" w:lastColumn="0" w:noHBand="0" w:noVBand="1"/>
      </w:tblPr>
      <w:tblGrid>
        <w:gridCol w:w="3123"/>
        <w:gridCol w:w="6134"/>
      </w:tblGrid>
      <w:tr w:rsidR="006800C7" w14:paraId="6DCCD9DC" w14:textId="77777777" w:rsidTr="001847E9">
        <w:trPr>
          <w:cnfStyle w:val="100000000000" w:firstRow="1" w:lastRow="0" w:firstColumn="0" w:lastColumn="0" w:oddVBand="0" w:evenVBand="0" w:oddHBand="0"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3123" w:type="dxa"/>
          </w:tcPr>
          <w:p w14:paraId="1188585A" w14:textId="77777777" w:rsidR="006800C7" w:rsidRPr="002E53BF" w:rsidRDefault="006800C7" w:rsidP="00F31956">
            <w:r w:rsidRPr="005D25A0">
              <w:t>Suburb/town</w:t>
            </w:r>
          </w:p>
        </w:tc>
        <w:tc>
          <w:tcPr>
            <w:tcW w:w="6134" w:type="dxa"/>
          </w:tcPr>
          <w:p w14:paraId="36B235F5" w14:textId="77777777" w:rsidR="006800C7" w:rsidRPr="002E53BF" w:rsidRDefault="006800C7" w:rsidP="00F31956">
            <w:pPr>
              <w:cnfStyle w:val="100000000000" w:firstRow="1" w:lastRow="0" w:firstColumn="0" w:lastColumn="0" w:oddVBand="0" w:evenVBand="0" w:oddHBand="0" w:evenHBand="0" w:firstRowFirstColumn="0" w:firstRowLastColumn="0" w:lastRowFirstColumn="0" w:lastRowLastColumn="0"/>
            </w:pPr>
            <w:r w:rsidRPr="005D25A0">
              <w:t>Address</w:t>
            </w:r>
          </w:p>
        </w:tc>
      </w:tr>
      <w:tr w:rsidR="00682FE3" w14:paraId="750E7A62"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66CEAF4D" w14:textId="03955DE9" w:rsidR="00682FE3" w:rsidRPr="002E53BF" w:rsidRDefault="00682FE3" w:rsidP="00682FE3">
            <w:r w:rsidRPr="005D25A0">
              <w:t>Atherton</w:t>
            </w:r>
          </w:p>
        </w:tc>
        <w:tc>
          <w:tcPr>
            <w:tcW w:w="6134" w:type="dxa"/>
          </w:tcPr>
          <w:p w14:paraId="222809D8" w14:textId="044B32C0"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t>6 Robert Street, Atherton QLD 4883</w:t>
            </w:r>
          </w:p>
        </w:tc>
      </w:tr>
      <w:tr w:rsidR="00682FE3" w14:paraId="6CDB0E1A"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4779F66A" w14:textId="51CBBCD8" w:rsidR="00682FE3" w:rsidRPr="002E53BF" w:rsidRDefault="00682FE3" w:rsidP="00682FE3">
            <w:r w:rsidRPr="005D25A0">
              <w:t>Beenleigh</w:t>
            </w:r>
          </w:p>
        </w:tc>
        <w:tc>
          <w:tcPr>
            <w:tcW w:w="6134" w:type="dxa"/>
          </w:tcPr>
          <w:p w14:paraId="2CEF213E" w14:textId="1ADA36DF"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31 Logan River Road, Beenleigh QLD 4207</w:t>
            </w:r>
          </w:p>
        </w:tc>
      </w:tr>
      <w:tr w:rsidR="00682FE3" w14:paraId="3492E62D"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2AB8FFB2" w14:textId="4B9563F2" w:rsidR="00682FE3" w:rsidRPr="002E53BF" w:rsidRDefault="00682FE3" w:rsidP="00682FE3">
            <w:r w:rsidRPr="005D25A0">
              <w:t>Blackwater</w:t>
            </w:r>
          </w:p>
        </w:tc>
        <w:tc>
          <w:tcPr>
            <w:tcW w:w="6134" w:type="dxa"/>
          </w:tcPr>
          <w:p w14:paraId="16361A12" w14:textId="45C24102"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8 Blain Street, Blackwater QLD 4717</w:t>
            </w:r>
          </w:p>
        </w:tc>
      </w:tr>
      <w:tr w:rsidR="00682FE3" w14:paraId="4071CA01"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02952AB0" w14:textId="13094C97" w:rsidR="00682FE3" w:rsidRPr="002E53BF" w:rsidRDefault="00682FE3" w:rsidP="00682FE3">
            <w:r w:rsidRPr="005D25A0">
              <w:t>Bowen</w:t>
            </w:r>
          </w:p>
        </w:tc>
        <w:tc>
          <w:tcPr>
            <w:tcW w:w="6134" w:type="dxa"/>
          </w:tcPr>
          <w:p w14:paraId="2F93495A" w14:textId="3948791F"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 xml:space="preserve">6 Herbert </w:t>
            </w:r>
            <w:r w:rsidRPr="00235E12">
              <w:t>Street, Bowen QLD 4805</w:t>
            </w:r>
          </w:p>
        </w:tc>
      </w:tr>
      <w:tr w:rsidR="00682FE3" w14:paraId="24843A44"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685F5DB4" w14:textId="487F7DC7" w:rsidR="00682FE3" w:rsidRPr="002E53BF" w:rsidRDefault="00682FE3" w:rsidP="00682FE3">
            <w:r w:rsidRPr="005D25A0">
              <w:t>Brisbane (City)</w:t>
            </w:r>
          </w:p>
        </w:tc>
        <w:tc>
          <w:tcPr>
            <w:tcW w:w="6134" w:type="dxa"/>
          </w:tcPr>
          <w:p w14:paraId="2D9ABE53" w14:textId="1C34D9C5"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229 Elizabeth Street, Brisbane QLD 4000</w:t>
            </w:r>
          </w:p>
        </w:tc>
      </w:tr>
      <w:tr w:rsidR="00682FE3" w14:paraId="052860D6"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7FBBFA72" w14:textId="4FE77E26" w:rsidR="00682FE3" w:rsidRPr="002E53BF" w:rsidRDefault="00682FE3" w:rsidP="00682FE3">
            <w:r w:rsidRPr="005D25A0">
              <w:t>Brisbane (Charlotte Street)</w:t>
            </w:r>
          </w:p>
        </w:tc>
        <w:tc>
          <w:tcPr>
            <w:tcW w:w="6134" w:type="dxa"/>
          </w:tcPr>
          <w:p w14:paraId="6983ED02" w14:textId="58DBB225"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Queensland Government Service Centre, 33 Charlotte Street, Brisbane QLD 4000</w:t>
            </w:r>
          </w:p>
        </w:tc>
      </w:tr>
      <w:tr w:rsidR="00682FE3" w14:paraId="4A7DDB89"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7917B5EC" w14:textId="743965F5" w:rsidR="00682FE3" w:rsidRPr="002E53BF" w:rsidRDefault="00682FE3" w:rsidP="00682FE3">
            <w:r w:rsidRPr="005D25A0">
              <w:t>Bundaberg</w:t>
            </w:r>
          </w:p>
        </w:tc>
        <w:tc>
          <w:tcPr>
            <w:tcW w:w="6134" w:type="dxa"/>
          </w:tcPr>
          <w:p w14:paraId="1DAB2A2E" w14:textId="593487E5"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9 Production Street, West Bundaberg QLD 4670</w:t>
            </w:r>
          </w:p>
        </w:tc>
      </w:tr>
      <w:tr w:rsidR="00682FE3" w14:paraId="6E05A22F"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595BF2C8" w14:textId="09E29B65" w:rsidR="00682FE3" w:rsidRPr="002E53BF" w:rsidRDefault="00682FE3" w:rsidP="00682FE3">
            <w:r w:rsidRPr="005D25A0">
              <w:t>Bundall</w:t>
            </w:r>
          </w:p>
        </w:tc>
        <w:tc>
          <w:tcPr>
            <w:tcW w:w="6134" w:type="dxa"/>
          </w:tcPr>
          <w:p w14:paraId="377DBE98" w14:textId="4CD57732"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30 Upton Street, Bundall QLD 4217</w:t>
            </w:r>
          </w:p>
        </w:tc>
      </w:tr>
      <w:tr w:rsidR="00682FE3" w14:paraId="75CCB995"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692BE486" w14:textId="2AEB0B10" w:rsidR="00682FE3" w:rsidRPr="002E53BF" w:rsidRDefault="00682FE3" w:rsidP="00682FE3">
            <w:r w:rsidRPr="005D25A0">
              <w:t>Burleigh Waters</w:t>
            </w:r>
          </w:p>
        </w:tc>
        <w:tc>
          <w:tcPr>
            <w:tcW w:w="6134" w:type="dxa"/>
          </w:tcPr>
          <w:p w14:paraId="53EAE7D5" w14:textId="2194BFC4"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Shop 1, Burleigh Home Space, 1 Santa Maria Court, Burleigh Waters QLD 4220</w:t>
            </w:r>
          </w:p>
        </w:tc>
      </w:tr>
      <w:tr w:rsidR="00682FE3" w14:paraId="074675EA"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49F875D9" w14:textId="68E27AA1" w:rsidR="00682FE3" w:rsidRPr="002E53BF" w:rsidRDefault="00682FE3" w:rsidP="00682FE3">
            <w:r w:rsidRPr="005D25A0">
              <w:t>Caboolture</w:t>
            </w:r>
          </w:p>
        </w:tc>
        <w:tc>
          <w:tcPr>
            <w:tcW w:w="6134" w:type="dxa"/>
          </w:tcPr>
          <w:p w14:paraId="5BCDF540" w14:textId="0C39B9A5"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Cnr Aerodrome Road and Piper Street, Caboolture QLD 4510</w:t>
            </w:r>
          </w:p>
        </w:tc>
      </w:tr>
      <w:tr w:rsidR="00682FE3" w14:paraId="48D86864"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3526476F" w14:textId="41C26BF3" w:rsidR="00682FE3" w:rsidRPr="002E53BF" w:rsidRDefault="00682FE3" w:rsidP="00682FE3">
            <w:r w:rsidRPr="005D25A0">
              <w:lastRenderedPageBreak/>
              <w:t>Cairns (Bentley Park)</w:t>
            </w:r>
          </w:p>
        </w:tc>
        <w:tc>
          <w:tcPr>
            <w:tcW w:w="6134" w:type="dxa"/>
          </w:tcPr>
          <w:p w14:paraId="188F345C" w14:textId="4E2F4AFD"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 xml:space="preserve">Shop 18, Bentley Village Shopping </w:t>
            </w:r>
            <w:r w:rsidRPr="00235E12">
              <w:t>Centre, 96 McLaughlin Road, Bentley Park QLD 4869</w:t>
            </w:r>
          </w:p>
        </w:tc>
      </w:tr>
      <w:tr w:rsidR="00682FE3" w14:paraId="3D7C245F"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31299C4C" w14:textId="09BC9800" w:rsidR="00682FE3" w:rsidRPr="002E53BF" w:rsidRDefault="00682FE3" w:rsidP="00682FE3">
            <w:r w:rsidRPr="005D25A0">
              <w:t>Cairns (Kenny Street)</w:t>
            </w:r>
          </w:p>
        </w:tc>
        <w:tc>
          <w:tcPr>
            <w:tcW w:w="6134" w:type="dxa"/>
          </w:tcPr>
          <w:p w14:paraId="245DCC87" w14:textId="1C96421B"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82-86 Kenny Street, Portsmith, Cairns QLD 4870</w:t>
            </w:r>
          </w:p>
        </w:tc>
      </w:tr>
      <w:tr w:rsidR="00682FE3" w14:paraId="4B486E27"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5E8C155F" w14:textId="0B1598E0" w:rsidR="00682FE3" w:rsidRPr="002E53BF" w:rsidRDefault="00682FE3" w:rsidP="00682FE3">
            <w:r w:rsidRPr="005D25A0">
              <w:t>Caloundra</w:t>
            </w:r>
          </w:p>
        </w:tc>
        <w:tc>
          <w:tcPr>
            <w:tcW w:w="6134" w:type="dxa"/>
          </w:tcPr>
          <w:p w14:paraId="3F1CB494" w14:textId="6876CF63"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54 Canberra Terrace, Caloundra QLD 4551</w:t>
            </w:r>
          </w:p>
        </w:tc>
      </w:tr>
      <w:tr w:rsidR="00682FE3" w14:paraId="478C1485"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34B6A696" w14:textId="420FB3CE" w:rsidR="00682FE3" w:rsidRPr="002E53BF" w:rsidRDefault="00682FE3" w:rsidP="00682FE3">
            <w:r>
              <w:t>Carseldine</w:t>
            </w:r>
          </w:p>
        </w:tc>
        <w:tc>
          <w:tcPr>
            <w:tcW w:w="6134" w:type="dxa"/>
          </w:tcPr>
          <w:p w14:paraId="5E2188DB" w14:textId="773B1F64"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t>532 Beams Road, Carseldine QLD 4034</w:t>
            </w:r>
          </w:p>
        </w:tc>
      </w:tr>
      <w:tr w:rsidR="00682FE3" w14:paraId="219BFFA3"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63FC1FC9" w14:textId="7EE2A315" w:rsidR="00682FE3" w:rsidRPr="002E53BF" w:rsidRDefault="00682FE3" w:rsidP="00682FE3">
            <w:r w:rsidRPr="005D25A0">
              <w:t>Charleville</w:t>
            </w:r>
          </w:p>
        </w:tc>
        <w:tc>
          <w:tcPr>
            <w:tcW w:w="6134" w:type="dxa"/>
          </w:tcPr>
          <w:p w14:paraId="5A5C4A52" w14:textId="644FCF05"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 xml:space="preserve">Hood Street, </w:t>
            </w:r>
            <w:r w:rsidRPr="00235E12">
              <w:t>Charleville QLD 4470</w:t>
            </w:r>
          </w:p>
        </w:tc>
      </w:tr>
      <w:tr w:rsidR="00682FE3" w14:paraId="0A790F9A"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78AACD81" w14:textId="145A2E6C" w:rsidR="00682FE3" w:rsidRPr="002E53BF" w:rsidRDefault="00682FE3" w:rsidP="00682FE3">
            <w:r w:rsidRPr="005D25A0">
              <w:t>Charters Towers</w:t>
            </w:r>
          </w:p>
        </w:tc>
        <w:tc>
          <w:tcPr>
            <w:tcW w:w="6134" w:type="dxa"/>
          </w:tcPr>
          <w:p w14:paraId="4B9ABE08" w14:textId="1DB73E26"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11</w:t>
            </w:r>
            <w:r>
              <w:t>–</w:t>
            </w:r>
            <w:r w:rsidRPr="005D25A0">
              <w:t>15 Church Street, Charters Towers QLD 4820</w:t>
            </w:r>
          </w:p>
        </w:tc>
      </w:tr>
      <w:tr w:rsidR="00682FE3" w14:paraId="7E17A8D0"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6158407D" w14:textId="0AE8A0A7" w:rsidR="00682FE3" w:rsidRPr="002E53BF" w:rsidRDefault="00682FE3" w:rsidP="00682FE3">
            <w:r w:rsidRPr="005D25A0">
              <w:t>Chermside</w:t>
            </w:r>
          </w:p>
        </w:tc>
        <w:tc>
          <w:tcPr>
            <w:tcW w:w="6134" w:type="dxa"/>
          </w:tcPr>
          <w:p w14:paraId="11AEE86F" w14:textId="3F22FAE2"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766 Gympie Road, Chermside QLD 4032</w:t>
            </w:r>
          </w:p>
        </w:tc>
      </w:tr>
      <w:tr w:rsidR="00682FE3" w14:paraId="50B7665B"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6CB42022" w14:textId="53FFE3DF" w:rsidR="00682FE3" w:rsidRPr="002E53BF" w:rsidRDefault="00682FE3" w:rsidP="00682FE3">
            <w:r w:rsidRPr="005D25A0">
              <w:t>Cleveland</w:t>
            </w:r>
          </w:p>
        </w:tc>
        <w:tc>
          <w:tcPr>
            <w:tcW w:w="6134" w:type="dxa"/>
          </w:tcPr>
          <w:p w14:paraId="554199D5" w14:textId="14804CC7"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Ross Court Centre, Cnr</w:t>
            </w:r>
            <w:r w:rsidRPr="00235E12">
              <w:t xml:space="preserve"> Bloomfield Street and Ross Court, Cleveland QLD 4163</w:t>
            </w:r>
          </w:p>
        </w:tc>
      </w:tr>
      <w:tr w:rsidR="00682FE3" w14:paraId="3AB07F8B"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26DE9311" w14:textId="4CB40570" w:rsidR="00682FE3" w:rsidRPr="002E53BF" w:rsidRDefault="00682FE3" w:rsidP="00682FE3">
            <w:r w:rsidRPr="005D25A0">
              <w:t>Cloncurry</w:t>
            </w:r>
          </w:p>
        </w:tc>
        <w:tc>
          <w:tcPr>
            <w:tcW w:w="6134" w:type="dxa"/>
          </w:tcPr>
          <w:p w14:paraId="43BCBD21" w14:textId="388F217B"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16</w:t>
            </w:r>
            <w:r>
              <w:t>–</w:t>
            </w:r>
            <w:r w:rsidRPr="005D25A0">
              <w:t>22 Ramsay Street, Cloncurry QLD 4824</w:t>
            </w:r>
          </w:p>
        </w:tc>
      </w:tr>
      <w:tr w:rsidR="00682FE3" w14:paraId="6941F0BC"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2019C832" w14:textId="4C0321D4" w:rsidR="00682FE3" w:rsidRPr="002E53BF" w:rsidRDefault="00682FE3" w:rsidP="00682FE3">
            <w:r w:rsidRPr="005D25A0">
              <w:t>Currumbin Waters</w:t>
            </w:r>
          </w:p>
        </w:tc>
        <w:tc>
          <w:tcPr>
            <w:tcW w:w="6134" w:type="dxa"/>
          </w:tcPr>
          <w:p w14:paraId="1821F1B2" w14:textId="34DFE6CB"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Unit 3, 109 Currumbin Creek Road, Currumbin Waters QLD 4223</w:t>
            </w:r>
          </w:p>
        </w:tc>
      </w:tr>
      <w:tr w:rsidR="00682FE3" w14:paraId="28B6070A"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21BD498B" w14:textId="51178EA3" w:rsidR="00682FE3" w:rsidRPr="002E53BF" w:rsidRDefault="00682FE3" w:rsidP="00682FE3">
            <w:r w:rsidRPr="005D25A0">
              <w:t>Dalby</w:t>
            </w:r>
          </w:p>
        </w:tc>
        <w:tc>
          <w:tcPr>
            <w:tcW w:w="6134" w:type="dxa"/>
          </w:tcPr>
          <w:p w14:paraId="75BB2CE3" w14:textId="02C884A1"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20 Cunningham Street, Dalby QLD 4405</w:t>
            </w:r>
          </w:p>
        </w:tc>
      </w:tr>
      <w:tr w:rsidR="00682FE3" w14:paraId="7B88782C"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6A38C6CC" w14:textId="2632249A" w:rsidR="00682FE3" w:rsidRPr="002E53BF" w:rsidRDefault="00682FE3" w:rsidP="00682FE3">
            <w:r w:rsidRPr="005D25A0">
              <w:t>Emerald</w:t>
            </w:r>
          </w:p>
        </w:tc>
        <w:tc>
          <w:tcPr>
            <w:tcW w:w="6134" w:type="dxa"/>
          </w:tcPr>
          <w:p w14:paraId="1F2F7AD8" w14:textId="276CEF51"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83 Esmond Street, Emerald QLD 4720</w:t>
            </w:r>
          </w:p>
        </w:tc>
      </w:tr>
      <w:tr w:rsidR="00682FE3" w14:paraId="00DED614"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3D7729AB" w14:textId="5A40978C" w:rsidR="00682FE3" w:rsidRPr="002E53BF" w:rsidRDefault="00682FE3" w:rsidP="00682FE3">
            <w:r w:rsidRPr="005D25A0">
              <w:t>Gladstone</w:t>
            </w:r>
          </w:p>
        </w:tc>
        <w:tc>
          <w:tcPr>
            <w:tcW w:w="6134" w:type="dxa"/>
          </w:tcPr>
          <w:p w14:paraId="1F865E5D" w14:textId="32BEE4D2"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2 Paterson Street, Gladstone QLD 4680</w:t>
            </w:r>
          </w:p>
        </w:tc>
      </w:tr>
      <w:tr w:rsidR="00682FE3" w14:paraId="21F6201F"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7FC76AE5" w14:textId="6C8D3FB3" w:rsidR="00682FE3" w:rsidRPr="002E53BF" w:rsidRDefault="00682FE3" w:rsidP="00682FE3">
            <w:r w:rsidRPr="005D25A0">
              <w:t>Goondiwindi</w:t>
            </w:r>
          </w:p>
        </w:tc>
        <w:tc>
          <w:tcPr>
            <w:tcW w:w="6134" w:type="dxa"/>
          </w:tcPr>
          <w:p w14:paraId="205CC4C9" w14:textId="60DC3A22"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6 Brisbane Street, Goondiwindi QLD 4390</w:t>
            </w:r>
          </w:p>
        </w:tc>
      </w:tr>
      <w:tr w:rsidR="00682FE3" w14:paraId="6BAEB980"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7A3B1B93" w14:textId="0717F3C3" w:rsidR="00682FE3" w:rsidRPr="002E53BF" w:rsidRDefault="00682FE3" w:rsidP="00682FE3">
            <w:r w:rsidRPr="005D25A0">
              <w:t>Greenslopes</w:t>
            </w:r>
          </w:p>
        </w:tc>
        <w:tc>
          <w:tcPr>
            <w:tcW w:w="6134" w:type="dxa"/>
          </w:tcPr>
          <w:p w14:paraId="489DE032" w14:textId="3D239808"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Greenslopes Shopping Mall, 700 Logan Road (Cnr Plimsoll Street), Greenslopes QLD 4120</w:t>
            </w:r>
          </w:p>
        </w:tc>
      </w:tr>
      <w:tr w:rsidR="00682FE3" w14:paraId="67269F6A"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290F4D73" w14:textId="364FD863" w:rsidR="00682FE3" w:rsidRPr="002E53BF" w:rsidRDefault="00682FE3" w:rsidP="00682FE3">
            <w:r w:rsidRPr="005D25A0">
              <w:t>Gympie</w:t>
            </w:r>
          </w:p>
        </w:tc>
        <w:tc>
          <w:tcPr>
            <w:tcW w:w="6134" w:type="dxa"/>
          </w:tcPr>
          <w:p w14:paraId="4B1B089F" w14:textId="4C437F34"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 xml:space="preserve">Floor 1, 50 River Road, </w:t>
            </w:r>
            <w:r w:rsidRPr="00235E12">
              <w:t>Gympie QLD 4570</w:t>
            </w:r>
          </w:p>
        </w:tc>
      </w:tr>
      <w:tr w:rsidR="00682FE3" w14:paraId="34C9822C"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4FBE95AD" w14:textId="76AB7AA8" w:rsidR="00682FE3" w:rsidRPr="002E53BF" w:rsidRDefault="00682FE3" w:rsidP="00682FE3">
            <w:r w:rsidRPr="005D25A0">
              <w:t>Helensvale</w:t>
            </w:r>
          </w:p>
        </w:tc>
        <w:tc>
          <w:tcPr>
            <w:tcW w:w="6134" w:type="dxa"/>
          </w:tcPr>
          <w:p w14:paraId="5D80E477" w14:textId="6E28F49C"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Helensvale Plaza Shopping Centre, 12 Sir John Overall Drive, Helensvale QLD 4212</w:t>
            </w:r>
          </w:p>
        </w:tc>
      </w:tr>
      <w:tr w:rsidR="00682FE3" w14:paraId="04C51886"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31939CC4" w14:textId="234CFE92" w:rsidR="00682FE3" w:rsidRPr="002E53BF" w:rsidRDefault="00682FE3" w:rsidP="00682FE3">
            <w:r w:rsidRPr="005D25A0">
              <w:t>Hervey Bay</w:t>
            </w:r>
          </w:p>
        </w:tc>
        <w:tc>
          <w:tcPr>
            <w:tcW w:w="6134" w:type="dxa"/>
          </w:tcPr>
          <w:p w14:paraId="06F1C953" w14:textId="2C5C4C33"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50</w:t>
            </w:r>
            <w:r>
              <w:t>–</w:t>
            </w:r>
            <w:r w:rsidRPr="005D25A0">
              <w:t>54 Main Street, Pialba QLD 4655</w:t>
            </w:r>
          </w:p>
        </w:tc>
      </w:tr>
      <w:tr w:rsidR="00682FE3" w14:paraId="39607327"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184A75F8" w14:textId="282AC174" w:rsidR="00682FE3" w:rsidRPr="002E53BF" w:rsidRDefault="00682FE3" w:rsidP="00682FE3">
            <w:r w:rsidRPr="005D25A0">
              <w:t>Innisfail</w:t>
            </w:r>
          </w:p>
        </w:tc>
        <w:tc>
          <w:tcPr>
            <w:tcW w:w="6134" w:type="dxa"/>
          </w:tcPr>
          <w:p w14:paraId="7B9C61CA" w14:textId="07219359"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12</w:t>
            </w:r>
            <w:r>
              <w:t>–</w:t>
            </w:r>
            <w:r w:rsidRPr="005D25A0">
              <w:t>14 Clifford Road, Innisfail QLD 4860</w:t>
            </w:r>
          </w:p>
        </w:tc>
      </w:tr>
      <w:tr w:rsidR="00682FE3" w14:paraId="4B94D8A6"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442E60E1" w14:textId="60844AC0" w:rsidR="00682FE3" w:rsidRPr="002E53BF" w:rsidRDefault="00682FE3" w:rsidP="00682FE3">
            <w:r w:rsidRPr="005D25A0">
              <w:t>Ipswich</w:t>
            </w:r>
          </w:p>
        </w:tc>
        <w:tc>
          <w:tcPr>
            <w:tcW w:w="6134" w:type="dxa"/>
          </w:tcPr>
          <w:p w14:paraId="42477D0B" w14:textId="5092C18F"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2 Colvin Street, North Ipswich QLD 4305</w:t>
            </w:r>
          </w:p>
        </w:tc>
      </w:tr>
      <w:tr w:rsidR="00682FE3" w14:paraId="4DFB4BFB"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2848475A" w14:textId="2A189173" w:rsidR="00682FE3" w:rsidRPr="002E53BF" w:rsidRDefault="00682FE3" w:rsidP="00682FE3">
            <w:r w:rsidRPr="005D25A0">
              <w:lastRenderedPageBreak/>
              <w:t>Kingaroy</w:t>
            </w:r>
          </w:p>
        </w:tc>
        <w:tc>
          <w:tcPr>
            <w:tcW w:w="6134" w:type="dxa"/>
          </w:tcPr>
          <w:p w14:paraId="77E60283" w14:textId="49E90BB1"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Artie Kerr Building, 130 Kingaroy Street, Kingaroy QLD 4610</w:t>
            </w:r>
          </w:p>
        </w:tc>
      </w:tr>
      <w:tr w:rsidR="00682FE3" w14:paraId="303783C8"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3C9EC7B5" w14:textId="1D595B7D" w:rsidR="00682FE3" w:rsidRPr="002E53BF" w:rsidRDefault="00682FE3" w:rsidP="00682FE3">
            <w:r w:rsidRPr="005D25A0">
              <w:t>Logan City</w:t>
            </w:r>
          </w:p>
        </w:tc>
        <w:tc>
          <w:tcPr>
            <w:tcW w:w="6134" w:type="dxa"/>
          </w:tcPr>
          <w:p w14:paraId="32603755" w14:textId="0D2A86C1"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43–45 Jacaranda Avenue, Logan Central QLD 4114</w:t>
            </w:r>
          </w:p>
        </w:tc>
      </w:tr>
      <w:tr w:rsidR="00682FE3" w14:paraId="06508E7C"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5CC76992" w14:textId="5D0DA170" w:rsidR="00682FE3" w:rsidRPr="002E53BF" w:rsidRDefault="00682FE3" w:rsidP="00682FE3">
            <w:r w:rsidRPr="005D25A0">
              <w:t>Longreach</w:t>
            </w:r>
          </w:p>
        </w:tc>
        <w:tc>
          <w:tcPr>
            <w:tcW w:w="6134" w:type="dxa"/>
          </w:tcPr>
          <w:p w14:paraId="6929DEAD" w14:textId="1D02275E"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14 Wonga Street, Longreach QLD 4730</w:t>
            </w:r>
          </w:p>
        </w:tc>
      </w:tr>
      <w:tr w:rsidR="00682FE3" w14:paraId="6F2A267C"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5B76D348" w14:textId="66EED03D" w:rsidR="00682FE3" w:rsidRPr="002E53BF" w:rsidRDefault="00682FE3" w:rsidP="00682FE3">
            <w:r w:rsidRPr="005D25A0">
              <w:t>Macgregor</w:t>
            </w:r>
          </w:p>
        </w:tc>
        <w:tc>
          <w:tcPr>
            <w:tcW w:w="6134" w:type="dxa"/>
          </w:tcPr>
          <w:p w14:paraId="78945FBF" w14:textId="0B4D33F2"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Kessels Court, 567 Kessels</w:t>
            </w:r>
            <w:r w:rsidRPr="00235E12">
              <w:t xml:space="preserve"> Road, Macgregor QLD 4109</w:t>
            </w:r>
          </w:p>
        </w:tc>
      </w:tr>
      <w:tr w:rsidR="00682FE3" w14:paraId="1D4474DB"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3F1345E1" w14:textId="2BF61273" w:rsidR="00682FE3" w:rsidRPr="002E53BF" w:rsidRDefault="00682FE3" w:rsidP="00682FE3">
            <w:r w:rsidRPr="005D25A0">
              <w:t>Mackay</w:t>
            </w:r>
          </w:p>
        </w:tc>
        <w:tc>
          <w:tcPr>
            <w:tcW w:w="6134" w:type="dxa"/>
          </w:tcPr>
          <w:p w14:paraId="616C92B1" w14:textId="07F395FD"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Cnr Endeavour Street and Industrial Street, Mackay QLD 4740</w:t>
            </w:r>
          </w:p>
        </w:tc>
      </w:tr>
      <w:tr w:rsidR="00682FE3" w14:paraId="5EBC3B4C"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6643C641" w14:textId="411B8A76" w:rsidR="00682FE3" w:rsidRPr="002E53BF" w:rsidRDefault="00682FE3" w:rsidP="00682FE3">
            <w:r w:rsidRPr="005D25A0">
              <w:t>Mareeba</w:t>
            </w:r>
          </w:p>
        </w:tc>
        <w:tc>
          <w:tcPr>
            <w:tcW w:w="6134" w:type="dxa"/>
          </w:tcPr>
          <w:p w14:paraId="51199D81" w14:textId="659D82AF"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147 Walsh Street, Mareeba QLD 4880</w:t>
            </w:r>
          </w:p>
        </w:tc>
      </w:tr>
      <w:tr w:rsidR="00682FE3" w14:paraId="3309FBED"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763BBFDA" w14:textId="58970135" w:rsidR="00682FE3" w:rsidRPr="002E53BF" w:rsidRDefault="00682FE3" w:rsidP="00682FE3">
            <w:r w:rsidRPr="005D25A0">
              <w:t>Maroochydore</w:t>
            </w:r>
          </w:p>
        </w:tc>
        <w:tc>
          <w:tcPr>
            <w:tcW w:w="6134" w:type="dxa"/>
          </w:tcPr>
          <w:p w14:paraId="6D3C07F4" w14:textId="53B9139C"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6 Kelly Court (off Kayleigh Drive), Maroochydore QLD 4558</w:t>
            </w:r>
          </w:p>
        </w:tc>
      </w:tr>
      <w:tr w:rsidR="00682FE3" w14:paraId="3F717A55"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21127650" w14:textId="66A95453" w:rsidR="00682FE3" w:rsidRPr="002E53BF" w:rsidRDefault="00682FE3" w:rsidP="00682FE3">
            <w:r w:rsidRPr="005D25A0">
              <w:t>Maryborough</w:t>
            </w:r>
          </w:p>
        </w:tc>
        <w:tc>
          <w:tcPr>
            <w:tcW w:w="6134" w:type="dxa"/>
          </w:tcPr>
          <w:p w14:paraId="5C518BEA" w14:textId="02B8A6B4"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Bright Street, Maryborough QLD 4650</w:t>
            </w:r>
          </w:p>
        </w:tc>
      </w:tr>
      <w:tr w:rsidR="00682FE3" w14:paraId="6D85C185"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7F6EDF0C" w14:textId="294C437C" w:rsidR="00682FE3" w:rsidRPr="002E53BF" w:rsidRDefault="00682FE3" w:rsidP="00682FE3">
            <w:r w:rsidRPr="005D25A0">
              <w:t>Mount Isa</w:t>
            </w:r>
          </w:p>
        </w:tc>
        <w:tc>
          <w:tcPr>
            <w:tcW w:w="6134" w:type="dxa"/>
          </w:tcPr>
          <w:p w14:paraId="5B6FDD33" w14:textId="525D0625"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Shop 1, 29 Simpson Street, Mount Isa QLD 4825</w:t>
            </w:r>
          </w:p>
        </w:tc>
      </w:tr>
      <w:tr w:rsidR="00682FE3" w14:paraId="36C5209F"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3F5DFCE8" w14:textId="7E5E8146" w:rsidR="00682FE3" w:rsidRPr="002E53BF" w:rsidRDefault="00682FE3" w:rsidP="00682FE3">
            <w:r w:rsidRPr="005D25A0">
              <w:t>Nambour</w:t>
            </w:r>
          </w:p>
        </w:tc>
        <w:tc>
          <w:tcPr>
            <w:tcW w:w="6134" w:type="dxa"/>
          </w:tcPr>
          <w:p w14:paraId="13BC3836" w14:textId="29F11E84"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Cnr Stanley Street and Coronation Avenue, Nambour QLD 4560</w:t>
            </w:r>
          </w:p>
        </w:tc>
      </w:tr>
      <w:tr w:rsidR="00682FE3" w14:paraId="0B635462"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438145A9" w14:textId="1FBBBB6E" w:rsidR="00682FE3" w:rsidRPr="002E53BF" w:rsidRDefault="00682FE3" w:rsidP="00682FE3">
            <w:r w:rsidRPr="005D25A0">
              <w:t>Proserpine</w:t>
            </w:r>
          </w:p>
        </w:tc>
        <w:tc>
          <w:tcPr>
            <w:tcW w:w="6134" w:type="dxa"/>
          </w:tcPr>
          <w:p w14:paraId="515A2C53" w14:textId="56A16CC2"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17 Main Street, Proserpine, QLD 4800</w:t>
            </w:r>
          </w:p>
        </w:tc>
      </w:tr>
      <w:tr w:rsidR="00682FE3" w14:paraId="2F623092"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7CA8DA1D" w14:textId="78906253" w:rsidR="00682FE3" w:rsidRPr="002E53BF" w:rsidRDefault="00682FE3" w:rsidP="00682FE3">
            <w:r w:rsidRPr="005D25A0">
              <w:t>Redcliffe (Kippa Ring)</w:t>
            </w:r>
          </w:p>
        </w:tc>
        <w:tc>
          <w:tcPr>
            <w:tcW w:w="6134" w:type="dxa"/>
          </w:tcPr>
          <w:p w14:paraId="74C4724F" w14:textId="1A0DF277"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Cnr</w:t>
            </w:r>
            <w:r w:rsidRPr="00235E12">
              <w:t xml:space="preserve"> Beach Street and Bingle Street, Kippa Ring QLD 4021</w:t>
            </w:r>
          </w:p>
        </w:tc>
      </w:tr>
      <w:tr w:rsidR="00682FE3" w14:paraId="777C15CC"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64EE0BDB" w14:textId="4E98DE11" w:rsidR="00682FE3" w:rsidRPr="002E53BF" w:rsidRDefault="00682FE3" w:rsidP="00682FE3">
            <w:r w:rsidRPr="005D25A0">
              <w:t>Rockhampton</w:t>
            </w:r>
          </w:p>
        </w:tc>
        <w:tc>
          <w:tcPr>
            <w:tcW w:w="6134" w:type="dxa"/>
          </w:tcPr>
          <w:p w14:paraId="1B49C0F4" w14:textId="702DFF29"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31 Knight Street, North Rockhampton QLD 4701</w:t>
            </w:r>
          </w:p>
        </w:tc>
      </w:tr>
      <w:tr w:rsidR="00682FE3" w14:paraId="65EA6FDA"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6E5D260C" w14:textId="11B5667C" w:rsidR="00682FE3" w:rsidRPr="002E53BF" w:rsidRDefault="00682FE3" w:rsidP="00682FE3">
            <w:r w:rsidRPr="005D25A0">
              <w:t>Roma</w:t>
            </w:r>
          </w:p>
        </w:tc>
        <w:tc>
          <w:tcPr>
            <w:tcW w:w="6134" w:type="dxa"/>
          </w:tcPr>
          <w:p w14:paraId="06898CC7" w14:textId="0B899A95"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56</w:t>
            </w:r>
            <w:r>
              <w:t>–</w:t>
            </w:r>
            <w:r w:rsidRPr="005D25A0">
              <w:t>58 Gregory Street, Roma QLD 4455</w:t>
            </w:r>
          </w:p>
        </w:tc>
      </w:tr>
      <w:tr w:rsidR="00682FE3" w14:paraId="2D8CF2A5"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6DD1FBEC" w14:textId="3752AD95" w:rsidR="00682FE3" w:rsidRPr="002E53BF" w:rsidRDefault="00682FE3" w:rsidP="00682FE3">
            <w:r w:rsidRPr="005D25A0">
              <w:t>Sherwood</w:t>
            </w:r>
          </w:p>
        </w:tc>
        <w:tc>
          <w:tcPr>
            <w:tcW w:w="6134" w:type="dxa"/>
          </w:tcPr>
          <w:p w14:paraId="2BBA84FF" w14:textId="3B92320B"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14 Primrose Street, Sherwood QLD 4075</w:t>
            </w:r>
          </w:p>
        </w:tc>
      </w:tr>
      <w:tr w:rsidR="00682FE3" w14:paraId="3D0911BA"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13456CC6" w14:textId="183AD136" w:rsidR="00682FE3" w:rsidRPr="002E53BF" w:rsidRDefault="00682FE3" w:rsidP="00682FE3">
            <w:r w:rsidRPr="005D25A0">
              <w:t>Southport</w:t>
            </w:r>
          </w:p>
        </w:tc>
        <w:tc>
          <w:tcPr>
            <w:tcW w:w="6134" w:type="dxa"/>
          </w:tcPr>
          <w:p w14:paraId="696AB0AF" w14:textId="6AF02EBB"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265 Nerang Street, Southport QLD 4215</w:t>
            </w:r>
          </w:p>
        </w:tc>
      </w:tr>
      <w:tr w:rsidR="00682FE3" w14:paraId="5052F366"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1FF9D27B" w14:textId="287332F7" w:rsidR="00682FE3" w:rsidRPr="002E53BF" w:rsidRDefault="00682FE3" w:rsidP="00682FE3">
            <w:r w:rsidRPr="005D25A0">
              <w:t>Strathpine</w:t>
            </w:r>
          </w:p>
        </w:tc>
        <w:tc>
          <w:tcPr>
            <w:tcW w:w="6134" w:type="dxa"/>
          </w:tcPr>
          <w:p w14:paraId="4E0C7E37" w14:textId="7E9E26E4"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43 Bells Pocket Road, Strathpine QLD 4500</w:t>
            </w:r>
          </w:p>
        </w:tc>
      </w:tr>
      <w:tr w:rsidR="00682FE3" w14:paraId="0707DB1A"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19506DB8" w14:textId="7F963334" w:rsidR="00682FE3" w:rsidRPr="002E53BF" w:rsidRDefault="00682FE3" w:rsidP="00682FE3">
            <w:r w:rsidRPr="005D25A0">
              <w:t>Tewantin</w:t>
            </w:r>
          </w:p>
        </w:tc>
        <w:tc>
          <w:tcPr>
            <w:tcW w:w="6134" w:type="dxa"/>
          </w:tcPr>
          <w:p w14:paraId="3D8DE145" w14:textId="228974BF"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5D25A0">
              <w:t>8 Sidoni Street, Tewantin QLD 4565</w:t>
            </w:r>
          </w:p>
        </w:tc>
      </w:tr>
      <w:tr w:rsidR="00682FE3" w14:paraId="65977E3C"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536D2F6A" w14:textId="407F675D" w:rsidR="00682FE3" w:rsidRPr="002E53BF" w:rsidRDefault="00682FE3" w:rsidP="00682FE3">
            <w:r w:rsidRPr="00F53A9F">
              <w:t>Toowong</w:t>
            </w:r>
          </w:p>
        </w:tc>
        <w:tc>
          <w:tcPr>
            <w:tcW w:w="6134" w:type="dxa"/>
          </w:tcPr>
          <w:p w14:paraId="1EC0CD7A" w14:textId="76F73041"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F53A9F">
              <w:t>15 Lissner Street, Toowong QLD 4066</w:t>
            </w:r>
          </w:p>
        </w:tc>
      </w:tr>
      <w:tr w:rsidR="00682FE3" w14:paraId="19155D36"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7FD2B77C" w14:textId="08BC7FC8" w:rsidR="00682FE3" w:rsidRPr="002E53BF" w:rsidRDefault="00682FE3" w:rsidP="00682FE3">
            <w:r>
              <w:t>Townsville (Cannon Park)</w:t>
            </w:r>
          </w:p>
        </w:tc>
        <w:tc>
          <w:tcPr>
            <w:tcW w:w="6134" w:type="dxa"/>
          </w:tcPr>
          <w:p w14:paraId="51D5FB45" w14:textId="146A4DB6"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t>Shop 14, 31–57 High Range Drive, Thuringowa QLD 4817</w:t>
            </w:r>
          </w:p>
        </w:tc>
      </w:tr>
      <w:tr w:rsidR="00682FE3" w14:paraId="7C0213D4"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63A59D9B" w14:textId="5C0B6D1B" w:rsidR="00682FE3" w:rsidRPr="002E53BF" w:rsidRDefault="00682FE3" w:rsidP="00682FE3">
            <w:r w:rsidRPr="00F53A9F">
              <w:t>Toowoomba (Harristown)</w:t>
            </w:r>
          </w:p>
        </w:tc>
        <w:tc>
          <w:tcPr>
            <w:tcW w:w="6134" w:type="dxa"/>
          </w:tcPr>
          <w:p w14:paraId="639C3DF7" w14:textId="7C72F88C"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F53A9F">
              <w:t>Cnr Yaldwyn Street and Warwick Street, Toowoomba QLD 4350</w:t>
            </w:r>
          </w:p>
        </w:tc>
      </w:tr>
      <w:tr w:rsidR="00682FE3" w14:paraId="6175C049"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76BFA9D1" w14:textId="205C861E" w:rsidR="00682FE3" w:rsidRPr="002E53BF" w:rsidRDefault="00682FE3" w:rsidP="00682FE3">
            <w:r>
              <w:t>Toowoomba</w:t>
            </w:r>
          </w:p>
        </w:tc>
        <w:tc>
          <w:tcPr>
            <w:tcW w:w="6134" w:type="dxa"/>
          </w:tcPr>
          <w:p w14:paraId="31E2B63B" w14:textId="31399EF3"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t>Cnr Clopton and Phillip Street, Toowoomba Qld 4350</w:t>
            </w:r>
          </w:p>
        </w:tc>
      </w:tr>
      <w:tr w:rsidR="00682FE3" w14:paraId="527C4F7D"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7D5E9BF7" w14:textId="5E39EF56" w:rsidR="00682FE3" w:rsidRPr="002E53BF" w:rsidRDefault="00682FE3" w:rsidP="00682FE3">
            <w:r w:rsidRPr="00F53A9F">
              <w:lastRenderedPageBreak/>
              <w:t>Townsville (Garbutt)</w:t>
            </w:r>
          </w:p>
        </w:tc>
        <w:tc>
          <w:tcPr>
            <w:tcW w:w="6134" w:type="dxa"/>
          </w:tcPr>
          <w:p w14:paraId="31923EB4" w14:textId="5924D341"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F53A9F">
              <w:t>21</w:t>
            </w:r>
            <w:r>
              <w:t>–</w:t>
            </w:r>
            <w:r w:rsidRPr="00F53A9F">
              <w:t>35 Leyland Street, Garbutt QLD 4814</w:t>
            </w:r>
          </w:p>
        </w:tc>
      </w:tr>
      <w:tr w:rsidR="00682FE3" w14:paraId="3B315765"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06024EEC" w14:textId="6961E34F" w:rsidR="00682FE3" w:rsidRPr="002E53BF" w:rsidRDefault="00682FE3" w:rsidP="00682FE3">
            <w:r w:rsidRPr="00F53A9F">
              <w:t>Warwick</w:t>
            </w:r>
          </w:p>
        </w:tc>
        <w:tc>
          <w:tcPr>
            <w:tcW w:w="6134" w:type="dxa"/>
          </w:tcPr>
          <w:p w14:paraId="219A656A" w14:textId="7E609725"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F53A9F">
              <w:t>51 Victoria Street, Warwick QLD 4370</w:t>
            </w:r>
          </w:p>
        </w:tc>
      </w:tr>
      <w:tr w:rsidR="00682FE3" w14:paraId="21951AEE"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6EF286E5" w14:textId="61E72FEE" w:rsidR="00682FE3" w:rsidRPr="002E53BF" w:rsidRDefault="00682FE3" w:rsidP="00682FE3">
            <w:r w:rsidRPr="00F53A9F">
              <w:t>Wynnum</w:t>
            </w:r>
          </w:p>
        </w:tc>
        <w:tc>
          <w:tcPr>
            <w:tcW w:w="6134" w:type="dxa"/>
          </w:tcPr>
          <w:p w14:paraId="692DEAC9" w14:textId="503EABD6"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F53A9F">
              <w:t>139 Tingal</w:t>
            </w:r>
            <w:r w:rsidRPr="00235E12">
              <w:t xml:space="preserve"> Road, Wynnum QLD 4178</w:t>
            </w:r>
          </w:p>
        </w:tc>
      </w:tr>
      <w:tr w:rsidR="00682FE3" w14:paraId="78FC18C1" w14:textId="77777777" w:rsidTr="001847E9">
        <w:trPr>
          <w:trHeight w:val="616"/>
        </w:trPr>
        <w:tc>
          <w:tcPr>
            <w:cnfStyle w:val="001000000000" w:firstRow="0" w:lastRow="0" w:firstColumn="1" w:lastColumn="0" w:oddVBand="0" w:evenVBand="0" w:oddHBand="0" w:evenHBand="0" w:firstRowFirstColumn="0" w:firstRowLastColumn="0" w:lastRowFirstColumn="0" w:lastRowLastColumn="0"/>
            <w:tcW w:w="3123" w:type="dxa"/>
          </w:tcPr>
          <w:p w14:paraId="7036E43D" w14:textId="0247EB18" w:rsidR="00682FE3" w:rsidRPr="002E53BF" w:rsidRDefault="00682FE3" w:rsidP="00682FE3">
            <w:r w:rsidRPr="00F53A9F">
              <w:t>Zillmere**</w:t>
            </w:r>
          </w:p>
        </w:tc>
        <w:tc>
          <w:tcPr>
            <w:tcW w:w="6134" w:type="dxa"/>
          </w:tcPr>
          <w:p w14:paraId="04DEF8D1" w14:textId="140D6588" w:rsidR="00682FE3" w:rsidRPr="002E53BF" w:rsidRDefault="00682FE3" w:rsidP="00682FE3">
            <w:pPr>
              <w:cnfStyle w:val="000000000000" w:firstRow="0" w:lastRow="0" w:firstColumn="0" w:lastColumn="0" w:oddVBand="0" w:evenVBand="0" w:oddHBand="0" w:evenHBand="0" w:firstRowFirstColumn="0" w:firstRowLastColumn="0" w:lastRowFirstColumn="0" w:lastRowLastColumn="0"/>
            </w:pPr>
            <w:r w:rsidRPr="00F53A9F">
              <w:t>69 Pineapple Street, Zillmere QLD 4034</w:t>
            </w:r>
          </w:p>
        </w:tc>
      </w:tr>
    </w:tbl>
    <w:p w14:paraId="7A4E921B" w14:textId="77777777" w:rsidR="006800C7" w:rsidRPr="00F56B0C" w:rsidRDefault="006800C7" w:rsidP="006800C7">
      <w:pPr>
        <w:pStyle w:val="Subtitle"/>
      </w:pPr>
      <w:r w:rsidRPr="00F56B0C">
        <w:t>Notes:</w:t>
      </w:r>
    </w:p>
    <w:p w14:paraId="33480886" w14:textId="77777777" w:rsidR="006800C7" w:rsidRPr="00F56B0C" w:rsidRDefault="006800C7" w:rsidP="006800C7">
      <w:pPr>
        <w:pStyle w:val="Subtitle"/>
      </w:pPr>
      <w:r w:rsidRPr="00F56B0C">
        <w:t>** Limited services available</w:t>
      </w:r>
      <w:r>
        <w:t xml:space="preserve"> due to size and location of centre office</w:t>
      </w:r>
      <w:r w:rsidRPr="00F56B0C">
        <w:t>.</w:t>
      </w:r>
    </w:p>
    <w:p w14:paraId="6D7BDA1D" w14:textId="77777777" w:rsidR="006800C7" w:rsidRPr="00F56B0C" w:rsidRDefault="006800C7" w:rsidP="006800C7">
      <w:pPr>
        <w:pStyle w:val="Subtitle"/>
      </w:pPr>
      <w:r>
        <w:t>TMR</w:t>
      </w:r>
      <w:r w:rsidRPr="00F56B0C">
        <w:t xml:space="preserve"> has</w:t>
      </w:r>
      <w:r>
        <w:t xml:space="preserve"> three mo</w:t>
      </w:r>
      <w:r w:rsidRPr="00F56B0C">
        <w:t>bile customer service centre units operating across Queensland to deliver services to regional and remote areas</w:t>
      </w:r>
      <w:r>
        <w:t>.</w:t>
      </w:r>
    </w:p>
    <w:p w14:paraId="436B77C8" w14:textId="77777777" w:rsidR="006800C7" w:rsidRPr="00F56B0C" w:rsidRDefault="006800C7" w:rsidP="006800C7">
      <w:pPr>
        <w:pStyle w:val="Subtitle"/>
      </w:pPr>
      <w:r>
        <w:t xml:space="preserve">TMR's </w:t>
      </w:r>
      <w:r w:rsidRPr="00F56B0C">
        <w:t>Indigenous Driver Licensing Unit (based in Cairns</w:t>
      </w:r>
      <w:r>
        <w:t>, Bentley Park office</w:t>
      </w:r>
      <w:r w:rsidRPr="00F56B0C">
        <w:t xml:space="preserve">) also delivers a range of licensing services to remote areas. </w:t>
      </w:r>
    </w:p>
    <w:p w14:paraId="0CDF0734" w14:textId="77777777" w:rsidR="006800C7" w:rsidRPr="00F56B0C" w:rsidRDefault="006800C7" w:rsidP="006800C7">
      <w:pPr>
        <w:pStyle w:val="Heading3"/>
      </w:pPr>
      <w:r w:rsidRPr="00F56B0C">
        <w:t>Queensland Government Agency Program</w:t>
      </w:r>
    </w:p>
    <w:tbl>
      <w:tblPr>
        <w:tblStyle w:val="GridTable1Light"/>
        <w:tblW w:w="8302" w:type="dxa"/>
        <w:tblLook w:val="04A0" w:firstRow="1" w:lastRow="0" w:firstColumn="1" w:lastColumn="0" w:noHBand="0" w:noVBand="1"/>
      </w:tblPr>
      <w:tblGrid>
        <w:gridCol w:w="2871"/>
        <w:gridCol w:w="5431"/>
      </w:tblGrid>
      <w:tr w:rsidR="006800C7" w14:paraId="57B6660C" w14:textId="77777777" w:rsidTr="001847E9">
        <w:trPr>
          <w:cnfStyle w:val="100000000000" w:firstRow="1" w:lastRow="0" w:firstColumn="0" w:lastColumn="0" w:oddVBand="0" w:evenVBand="0" w:oddHBand="0"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2871" w:type="dxa"/>
          </w:tcPr>
          <w:p w14:paraId="63241DAC" w14:textId="77777777" w:rsidR="006800C7" w:rsidRPr="00AF57D8" w:rsidRDefault="006800C7" w:rsidP="00F31956">
            <w:pPr>
              <w:rPr>
                <w:rStyle w:val="Strong"/>
              </w:rPr>
            </w:pPr>
            <w:r w:rsidRPr="00AF57D8">
              <w:rPr>
                <w:rStyle w:val="Strong"/>
              </w:rPr>
              <w:t>Suburb/town</w:t>
            </w:r>
          </w:p>
        </w:tc>
        <w:tc>
          <w:tcPr>
            <w:tcW w:w="5431" w:type="dxa"/>
          </w:tcPr>
          <w:p w14:paraId="7B9329C5" w14:textId="77777777" w:rsidR="006800C7" w:rsidRPr="00AF57D8" w:rsidRDefault="006800C7" w:rsidP="00F31956">
            <w:pPr>
              <w:cnfStyle w:val="100000000000" w:firstRow="1" w:lastRow="0" w:firstColumn="0" w:lastColumn="0" w:oddVBand="0" w:evenVBand="0" w:oddHBand="0" w:evenHBand="0" w:firstRowFirstColumn="0" w:firstRowLastColumn="0" w:lastRowFirstColumn="0" w:lastRowLastColumn="0"/>
              <w:rPr>
                <w:rStyle w:val="Strong"/>
              </w:rPr>
            </w:pPr>
            <w:r w:rsidRPr="00AF57D8">
              <w:rPr>
                <w:rStyle w:val="Strong"/>
              </w:rPr>
              <w:t>Address</w:t>
            </w:r>
          </w:p>
        </w:tc>
      </w:tr>
      <w:tr w:rsidR="00DB0198" w14:paraId="7CBE7CAC" w14:textId="77777777" w:rsidTr="001847E9">
        <w:trPr>
          <w:trHeight w:val="613"/>
        </w:trPr>
        <w:tc>
          <w:tcPr>
            <w:cnfStyle w:val="001000000000" w:firstRow="0" w:lastRow="0" w:firstColumn="1" w:lastColumn="0" w:oddVBand="0" w:evenVBand="0" w:oddHBand="0" w:evenHBand="0" w:firstRowFirstColumn="0" w:firstRowLastColumn="0" w:lastRowFirstColumn="0" w:lastRowLastColumn="0"/>
            <w:tcW w:w="2871" w:type="dxa"/>
          </w:tcPr>
          <w:p w14:paraId="0B75C164" w14:textId="177CF9CF" w:rsidR="00DB0198" w:rsidRPr="00AF57D8" w:rsidRDefault="00DB0198" w:rsidP="00DB0198">
            <w:pPr>
              <w:rPr>
                <w:rStyle w:val="Strong"/>
              </w:rPr>
            </w:pPr>
            <w:r w:rsidRPr="0088310A">
              <w:t>Ayr QGAP</w:t>
            </w:r>
          </w:p>
        </w:tc>
        <w:tc>
          <w:tcPr>
            <w:tcW w:w="5431" w:type="dxa"/>
          </w:tcPr>
          <w:p w14:paraId="3F88C370" w14:textId="7791665F" w:rsidR="00DB0198" w:rsidRPr="002E53BF" w:rsidRDefault="00DB0198" w:rsidP="00DB0198">
            <w:pPr>
              <w:cnfStyle w:val="000000000000" w:firstRow="0" w:lastRow="0" w:firstColumn="0" w:lastColumn="0" w:oddVBand="0" w:evenVBand="0" w:oddHBand="0" w:evenHBand="0" w:firstRowFirstColumn="0" w:firstRowLastColumn="0" w:lastRowFirstColumn="0" w:lastRowLastColumn="0"/>
            </w:pPr>
            <w:r w:rsidRPr="0088310A">
              <w:t xml:space="preserve">Ayr </w:t>
            </w:r>
            <w:r w:rsidRPr="00235E12">
              <w:t>Magistrates Court, 163 Queen Street, Ayr QLD 4807</w:t>
            </w:r>
          </w:p>
        </w:tc>
      </w:tr>
      <w:tr w:rsidR="00DB0198" w14:paraId="1DA13BC1" w14:textId="77777777" w:rsidTr="001847E9">
        <w:trPr>
          <w:trHeight w:val="613"/>
        </w:trPr>
        <w:tc>
          <w:tcPr>
            <w:cnfStyle w:val="001000000000" w:firstRow="0" w:lastRow="0" w:firstColumn="1" w:lastColumn="0" w:oddVBand="0" w:evenVBand="0" w:oddHBand="0" w:evenHBand="0" w:firstRowFirstColumn="0" w:firstRowLastColumn="0" w:lastRowFirstColumn="0" w:lastRowLastColumn="0"/>
            <w:tcW w:w="2871" w:type="dxa"/>
          </w:tcPr>
          <w:p w14:paraId="32C1BC49" w14:textId="5363551B" w:rsidR="00DB0198" w:rsidRPr="00AF57D8" w:rsidRDefault="00DB0198" w:rsidP="00DB0198">
            <w:pPr>
              <w:rPr>
                <w:rStyle w:val="Strong"/>
              </w:rPr>
            </w:pPr>
            <w:r w:rsidRPr="0088310A">
              <w:t>Barcaldine QGAP</w:t>
            </w:r>
          </w:p>
        </w:tc>
        <w:tc>
          <w:tcPr>
            <w:tcW w:w="5431" w:type="dxa"/>
          </w:tcPr>
          <w:p w14:paraId="4D610247" w14:textId="2BA10481" w:rsidR="00DB0198" w:rsidRPr="002E53BF" w:rsidRDefault="00DB0198" w:rsidP="00DB0198">
            <w:pPr>
              <w:cnfStyle w:val="000000000000" w:firstRow="0" w:lastRow="0" w:firstColumn="0" w:lastColumn="0" w:oddVBand="0" w:evenVBand="0" w:oddHBand="0" w:evenHBand="0" w:firstRowFirstColumn="0" w:firstRowLastColumn="0" w:lastRowFirstColumn="0" w:lastRowLastColumn="0"/>
            </w:pPr>
            <w:r w:rsidRPr="0088310A">
              <w:t>65 Ash Street, Barcaldine QLD (temporary)</w:t>
            </w:r>
          </w:p>
        </w:tc>
      </w:tr>
      <w:tr w:rsidR="00DB0198" w14:paraId="05B51CEC" w14:textId="77777777" w:rsidTr="001847E9">
        <w:trPr>
          <w:trHeight w:val="613"/>
        </w:trPr>
        <w:tc>
          <w:tcPr>
            <w:cnfStyle w:val="001000000000" w:firstRow="0" w:lastRow="0" w:firstColumn="1" w:lastColumn="0" w:oddVBand="0" w:evenVBand="0" w:oddHBand="0" w:evenHBand="0" w:firstRowFirstColumn="0" w:firstRowLastColumn="0" w:lastRowFirstColumn="0" w:lastRowLastColumn="0"/>
            <w:tcW w:w="2871" w:type="dxa"/>
          </w:tcPr>
          <w:p w14:paraId="4D7E2C69" w14:textId="5899D5BF" w:rsidR="00DB0198" w:rsidRPr="00AF57D8" w:rsidRDefault="00DB0198" w:rsidP="00DB0198">
            <w:pPr>
              <w:rPr>
                <w:rStyle w:val="Strong"/>
              </w:rPr>
            </w:pPr>
            <w:r w:rsidRPr="0088310A">
              <w:t>Beaudesert Customer Centre</w:t>
            </w:r>
            <w:r w:rsidRPr="00235E12">
              <w:t>**</w:t>
            </w:r>
          </w:p>
        </w:tc>
        <w:tc>
          <w:tcPr>
            <w:tcW w:w="5431" w:type="dxa"/>
          </w:tcPr>
          <w:p w14:paraId="7C7A950D" w14:textId="2E429EF6" w:rsidR="00DB0198" w:rsidRPr="002E53BF" w:rsidRDefault="00DB0198" w:rsidP="00DB0198">
            <w:pPr>
              <w:cnfStyle w:val="000000000000" w:firstRow="0" w:lastRow="0" w:firstColumn="0" w:lastColumn="0" w:oddVBand="0" w:evenVBand="0" w:oddHBand="0" w:evenHBand="0" w:firstRowFirstColumn="0" w:firstRowLastColumn="0" w:lastRowFirstColumn="0" w:lastRowLastColumn="0"/>
            </w:pPr>
            <w:r w:rsidRPr="0088310A">
              <w:t>Tenancy 2, 1 Telemon Street, Beaudesert QLD 4285</w:t>
            </w:r>
          </w:p>
        </w:tc>
      </w:tr>
      <w:tr w:rsidR="00DB0198" w14:paraId="6CAAC973" w14:textId="77777777" w:rsidTr="001847E9">
        <w:trPr>
          <w:trHeight w:val="613"/>
        </w:trPr>
        <w:tc>
          <w:tcPr>
            <w:cnfStyle w:val="001000000000" w:firstRow="0" w:lastRow="0" w:firstColumn="1" w:lastColumn="0" w:oddVBand="0" w:evenVBand="0" w:oddHBand="0" w:evenHBand="0" w:firstRowFirstColumn="0" w:firstRowLastColumn="0" w:lastRowFirstColumn="0" w:lastRowLastColumn="0"/>
            <w:tcW w:w="2871" w:type="dxa"/>
          </w:tcPr>
          <w:p w14:paraId="10232D54" w14:textId="3D3D0EB7" w:rsidR="00DB0198" w:rsidRPr="00AF57D8" w:rsidRDefault="00DB0198" w:rsidP="00DB0198">
            <w:pPr>
              <w:rPr>
                <w:rStyle w:val="Strong"/>
              </w:rPr>
            </w:pPr>
            <w:r w:rsidRPr="0088310A">
              <w:t>Biloela QGAP</w:t>
            </w:r>
          </w:p>
        </w:tc>
        <w:tc>
          <w:tcPr>
            <w:tcW w:w="5431" w:type="dxa"/>
          </w:tcPr>
          <w:p w14:paraId="308EADB5" w14:textId="0CBAEF18" w:rsidR="00DB0198" w:rsidRPr="002E53BF" w:rsidRDefault="00DB0198" w:rsidP="00DB0198">
            <w:pPr>
              <w:cnfStyle w:val="000000000000" w:firstRow="0" w:lastRow="0" w:firstColumn="0" w:lastColumn="0" w:oddVBand="0" w:evenVBand="0" w:oddHBand="0" w:evenHBand="0" w:firstRowFirstColumn="0" w:firstRowLastColumn="0" w:lastRowFirstColumn="0" w:lastRowLastColumn="0"/>
            </w:pPr>
            <w:r w:rsidRPr="0088310A">
              <w:t>60 Kariboe Street, Biloela QLD 4715</w:t>
            </w:r>
          </w:p>
        </w:tc>
      </w:tr>
      <w:tr w:rsidR="00DB0198" w14:paraId="0AF3DFE9" w14:textId="77777777" w:rsidTr="001847E9">
        <w:trPr>
          <w:trHeight w:val="613"/>
        </w:trPr>
        <w:tc>
          <w:tcPr>
            <w:cnfStyle w:val="001000000000" w:firstRow="0" w:lastRow="0" w:firstColumn="1" w:lastColumn="0" w:oddVBand="0" w:evenVBand="0" w:oddHBand="0" w:evenHBand="0" w:firstRowFirstColumn="0" w:firstRowLastColumn="0" w:lastRowFirstColumn="0" w:lastRowLastColumn="0"/>
            <w:tcW w:w="2871" w:type="dxa"/>
          </w:tcPr>
          <w:p w14:paraId="6EFF32AA" w14:textId="2F609D3D" w:rsidR="00DB0198" w:rsidRPr="00AF57D8" w:rsidRDefault="00DB0198" w:rsidP="00DB0198">
            <w:pPr>
              <w:rPr>
                <w:rStyle w:val="Strong"/>
              </w:rPr>
            </w:pPr>
            <w:r w:rsidRPr="0088310A">
              <w:t>Cannonvale QGAP</w:t>
            </w:r>
          </w:p>
        </w:tc>
        <w:tc>
          <w:tcPr>
            <w:tcW w:w="5431" w:type="dxa"/>
          </w:tcPr>
          <w:p w14:paraId="4F47A78E" w14:textId="5FCD194F" w:rsidR="00DB0198" w:rsidRPr="002E53BF" w:rsidRDefault="00DB0198" w:rsidP="00DB0198">
            <w:pPr>
              <w:cnfStyle w:val="000000000000" w:firstRow="0" w:lastRow="0" w:firstColumn="0" w:lastColumn="0" w:oddVBand="0" w:evenVBand="0" w:oddHBand="0" w:evenHBand="0" w:firstRowFirstColumn="0" w:firstRowLastColumn="0" w:lastRowFirstColumn="0" w:lastRowLastColumn="0"/>
            </w:pPr>
            <w:r w:rsidRPr="0088310A">
              <w:t>Shops 5–7, 11 Island Drive, Cannonvale QLD 4802</w:t>
            </w:r>
          </w:p>
        </w:tc>
      </w:tr>
      <w:tr w:rsidR="00DB0198" w14:paraId="77FDD672" w14:textId="77777777" w:rsidTr="001847E9">
        <w:trPr>
          <w:trHeight w:val="613"/>
        </w:trPr>
        <w:tc>
          <w:tcPr>
            <w:cnfStyle w:val="001000000000" w:firstRow="0" w:lastRow="0" w:firstColumn="1" w:lastColumn="0" w:oddVBand="0" w:evenVBand="0" w:oddHBand="0" w:evenHBand="0" w:firstRowFirstColumn="0" w:firstRowLastColumn="0" w:lastRowFirstColumn="0" w:lastRowLastColumn="0"/>
            <w:tcW w:w="2871" w:type="dxa"/>
          </w:tcPr>
          <w:p w14:paraId="48E1A1A5" w14:textId="68D683DF" w:rsidR="00DB0198" w:rsidRPr="00AF57D8" w:rsidRDefault="00DB0198" w:rsidP="00DB0198">
            <w:pPr>
              <w:rPr>
                <w:rStyle w:val="Strong"/>
              </w:rPr>
            </w:pPr>
            <w:r w:rsidRPr="0088310A">
              <w:t>Childers QGAP</w:t>
            </w:r>
          </w:p>
        </w:tc>
        <w:tc>
          <w:tcPr>
            <w:tcW w:w="5431" w:type="dxa"/>
          </w:tcPr>
          <w:p w14:paraId="13031308" w14:textId="46A23B92" w:rsidR="00DB0198" w:rsidRPr="002E53BF" w:rsidRDefault="00DB0198" w:rsidP="00DB0198">
            <w:pPr>
              <w:cnfStyle w:val="000000000000" w:firstRow="0" w:lastRow="0" w:firstColumn="0" w:lastColumn="0" w:oddVBand="0" w:evenVBand="0" w:oddHBand="0" w:evenHBand="0" w:firstRowFirstColumn="0" w:firstRowLastColumn="0" w:lastRowFirstColumn="0" w:lastRowLastColumn="0"/>
            </w:pPr>
            <w:r w:rsidRPr="0088310A">
              <w:t>Childers Magistrates Court, 67 Churchill Street, Childers QLD 4660</w:t>
            </w:r>
          </w:p>
        </w:tc>
      </w:tr>
      <w:tr w:rsidR="00DB0198" w14:paraId="657196EB" w14:textId="77777777" w:rsidTr="001847E9">
        <w:trPr>
          <w:trHeight w:val="613"/>
        </w:trPr>
        <w:tc>
          <w:tcPr>
            <w:cnfStyle w:val="001000000000" w:firstRow="0" w:lastRow="0" w:firstColumn="1" w:lastColumn="0" w:oddVBand="0" w:evenVBand="0" w:oddHBand="0" w:evenHBand="0" w:firstRowFirstColumn="0" w:firstRowLastColumn="0" w:lastRowFirstColumn="0" w:lastRowLastColumn="0"/>
            <w:tcW w:w="2871" w:type="dxa"/>
          </w:tcPr>
          <w:p w14:paraId="6018CAA0" w14:textId="60F25068" w:rsidR="00DB0198" w:rsidRPr="00AF57D8" w:rsidRDefault="00DB0198" w:rsidP="00DB0198">
            <w:pPr>
              <w:rPr>
                <w:rStyle w:val="Strong"/>
              </w:rPr>
            </w:pPr>
            <w:r w:rsidRPr="0088310A">
              <w:t>Chinchilla QGAP</w:t>
            </w:r>
          </w:p>
        </w:tc>
        <w:tc>
          <w:tcPr>
            <w:tcW w:w="5431" w:type="dxa"/>
          </w:tcPr>
          <w:p w14:paraId="322235AA" w14:textId="60A58409" w:rsidR="00DB0198" w:rsidRPr="002E53BF" w:rsidRDefault="00DB0198" w:rsidP="00DB0198">
            <w:pPr>
              <w:cnfStyle w:val="000000000000" w:firstRow="0" w:lastRow="0" w:firstColumn="0" w:lastColumn="0" w:oddVBand="0" w:evenVBand="0" w:oddHBand="0" w:evenHBand="0" w:firstRowFirstColumn="0" w:firstRowLastColumn="0" w:lastRowFirstColumn="0" w:lastRowLastColumn="0"/>
            </w:pPr>
            <w:r w:rsidRPr="0088310A">
              <w:t>Chinchilla Magistrates Court, Heeney Street, Chinchilla QLD 4413</w:t>
            </w:r>
          </w:p>
        </w:tc>
      </w:tr>
      <w:tr w:rsidR="00DB0198" w14:paraId="19D560E0" w14:textId="77777777" w:rsidTr="001847E9">
        <w:trPr>
          <w:trHeight w:val="613"/>
        </w:trPr>
        <w:tc>
          <w:tcPr>
            <w:cnfStyle w:val="001000000000" w:firstRow="0" w:lastRow="0" w:firstColumn="1" w:lastColumn="0" w:oddVBand="0" w:evenVBand="0" w:oddHBand="0" w:evenHBand="0" w:firstRowFirstColumn="0" w:firstRowLastColumn="0" w:lastRowFirstColumn="0" w:lastRowLastColumn="0"/>
            <w:tcW w:w="2871" w:type="dxa"/>
          </w:tcPr>
          <w:p w14:paraId="51B79F3E" w14:textId="1D22989A" w:rsidR="00DB0198" w:rsidRPr="00AF57D8" w:rsidRDefault="00DB0198" w:rsidP="00DB0198">
            <w:pPr>
              <w:rPr>
                <w:rStyle w:val="Strong"/>
              </w:rPr>
            </w:pPr>
            <w:r w:rsidRPr="0088310A">
              <w:t>Clermont QGAP</w:t>
            </w:r>
          </w:p>
        </w:tc>
        <w:tc>
          <w:tcPr>
            <w:tcW w:w="5431" w:type="dxa"/>
          </w:tcPr>
          <w:p w14:paraId="0C65009E" w14:textId="1BF8C206" w:rsidR="00DB0198" w:rsidRPr="002E53BF" w:rsidRDefault="00DB0198" w:rsidP="00DB0198">
            <w:pPr>
              <w:cnfStyle w:val="000000000000" w:firstRow="0" w:lastRow="0" w:firstColumn="0" w:lastColumn="0" w:oddVBand="0" w:evenVBand="0" w:oddHBand="0" w:evenHBand="0" w:firstRowFirstColumn="0" w:firstRowLastColumn="0" w:lastRowFirstColumn="0" w:lastRowLastColumn="0"/>
            </w:pPr>
            <w:r w:rsidRPr="0088310A">
              <w:t xml:space="preserve">Clermont </w:t>
            </w:r>
            <w:r w:rsidRPr="00235E12">
              <w:t>Magistrates Court, 44 Daintree Street, Clermont QLD 4721</w:t>
            </w:r>
          </w:p>
        </w:tc>
      </w:tr>
      <w:tr w:rsidR="00DB0198" w14:paraId="63A71FF9" w14:textId="77777777" w:rsidTr="001847E9">
        <w:trPr>
          <w:trHeight w:val="613"/>
        </w:trPr>
        <w:tc>
          <w:tcPr>
            <w:cnfStyle w:val="001000000000" w:firstRow="0" w:lastRow="0" w:firstColumn="1" w:lastColumn="0" w:oddVBand="0" w:evenVBand="0" w:oddHBand="0" w:evenHBand="0" w:firstRowFirstColumn="0" w:firstRowLastColumn="0" w:lastRowFirstColumn="0" w:lastRowLastColumn="0"/>
            <w:tcW w:w="2871" w:type="dxa"/>
          </w:tcPr>
          <w:p w14:paraId="29F2430C" w14:textId="5430ADD5" w:rsidR="00DB0198" w:rsidRPr="00AF57D8" w:rsidRDefault="00DB0198" w:rsidP="00DB0198">
            <w:pPr>
              <w:rPr>
                <w:rStyle w:val="Strong"/>
              </w:rPr>
            </w:pPr>
            <w:r w:rsidRPr="0088310A">
              <w:t>Cunnamulla QGAP</w:t>
            </w:r>
          </w:p>
        </w:tc>
        <w:tc>
          <w:tcPr>
            <w:tcW w:w="5431" w:type="dxa"/>
          </w:tcPr>
          <w:p w14:paraId="4E02FCC0" w14:textId="3FE0357A" w:rsidR="00DB0198" w:rsidRPr="002E53BF" w:rsidRDefault="00DB0198" w:rsidP="00DB0198">
            <w:pPr>
              <w:cnfStyle w:val="000000000000" w:firstRow="0" w:lastRow="0" w:firstColumn="0" w:lastColumn="0" w:oddVBand="0" w:evenVBand="0" w:oddHBand="0" w:evenHBand="0" w:firstRowFirstColumn="0" w:firstRowLastColumn="0" w:lastRowFirstColumn="0" w:lastRowLastColumn="0"/>
            </w:pPr>
            <w:r w:rsidRPr="0088310A">
              <w:t>Cunnamulla Magistrates Court, 5 Stockyard Street, Cunnamulla QLD 4490</w:t>
            </w:r>
          </w:p>
        </w:tc>
      </w:tr>
      <w:tr w:rsidR="00DB0198" w14:paraId="64BF7E1E" w14:textId="77777777" w:rsidTr="001847E9">
        <w:trPr>
          <w:trHeight w:val="613"/>
        </w:trPr>
        <w:tc>
          <w:tcPr>
            <w:cnfStyle w:val="001000000000" w:firstRow="0" w:lastRow="0" w:firstColumn="1" w:lastColumn="0" w:oddVBand="0" w:evenVBand="0" w:oddHBand="0" w:evenHBand="0" w:firstRowFirstColumn="0" w:firstRowLastColumn="0" w:lastRowFirstColumn="0" w:lastRowLastColumn="0"/>
            <w:tcW w:w="2871" w:type="dxa"/>
          </w:tcPr>
          <w:p w14:paraId="1D828593" w14:textId="4D766F1E" w:rsidR="00DB0198" w:rsidRPr="00AF57D8" w:rsidRDefault="00DB0198" w:rsidP="00DB0198">
            <w:pPr>
              <w:rPr>
                <w:rStyle w:val="Strong"/>
              </w:rPr>
            </w:pPr>
            <w:r w:rsidRPr="0088310A">
              <w:t>Gayndah QGAP</w:t>
            </w:r>
          </w:p>
        </w:tc>
        <w:tc>
          <w:tcPr>
            <w:tcW w:w="5431" w:type="dxa"/>
          </w:tcPr>
          <w:p w14:paraId="334B2461" w14:textId="180E70F8" w:rsidR="00DB0198" w:rsidRPr="002E53BF" w:rsidRDefault="00DB0198" w:rsidP="00DB0198">
            <w:pPr>
              <w:cnfStyle w:val="000000000000" w:firstRow="0" w:lastRow="0" w:firstColumn="0" w:lastColumn="0" w:oddVBand="0" w:evenVBand="0" w:oddHBand="0" w:evenHBand="0" w:firstRowFirstColumn="0" w:firstRowLastColumn="0" w:lastRowFirstColumn="0" w:lastRowLastColumn="0"/>
            </w:pPr>
            <w:r w:rsidRPr="0088310A">
              <w:t>Gayndah Magistrates Court, 20 Capper Street, Gayndah QLD 4625</w:t>
            </w:r>
          </w:p>
        </w:tc>
      </w:tr>
      <w:tr w:rsidR="00DB0198" w14:paraId="2E73A20D" w14:textId="77777777" w:rsidTr="001847E9">
        <w:trPr>
          <w:trHeight w:val="613"/>
        </w:trPr>
        <w:tc>
          <w:tcPr>
            <w:cnfStyle w:val="001000000000" w:firstRow="0" w:lastRow="0" w:firstColumn="1" w:lastColumn="0" w:oddVBand="0" w:evenVBand="0" w:oddHBand="0" w:evenHBand="0" w:firstRowFirstColumn="0" w:firstRowLastColumn="0" w:lastRowFirstColumn="0" w:lastRowLastColumn="0"/>
            <w:tcW w:w="2871" w:type="dxa"/>
          </w:tcPr>
          <w:p w14:paraId="21563FC8" w14:textId="034CBB17" w:rsidR="00DB0198" w:rsidRPr="00AF57D8" w:rsidRDefault="00DB0198" w:rsidP="00DB0198">
            <w:pPr>
              <w:rPr>
                <w:rStyle w:val="Strong"/>
              </w:rPr>
            </w:pPr>
            <w:r w:rsidRPr="0088310A">
              <w:t>Ingham QGAP</w:t>
            </w:r>
          </w:p>
        </w:tc>
        <w:tc>
          <w:tcPr>
            <w:tcW w:w="5431" w:type="dxa"/>
          </w:tcPr>
          <w:p w14:paraId="04D9B14E" w14:textId="158B9B70" w:rsidR="00DB0198" w:rsidRPr="002E53BF" w:rsidRDefault="00DB0198" w:rsidP="00DB0198">
            <w:pPr>
              <w:cnfStyle w:val="000000000000" w:firstRow="0" w:lastRow="0" w:firstColumn="0" w:lastColumn="0" w:oddVBand="0" w:evenVBand="0" w:oddHBand="0" w:evenHBand="0" w:firstRowFirstColumn="0" w:firstRowLastColumn="0" w:lastRowFirstColumn="0" w:lastRowLastColumn="0"/>
            </w:pPr>
            <w:r w:rsidRPr="0088310A">
              <w:t>Ingham Magistrates Court, 35 Palm Terrace, Ingham QLD 4850</w:t>
            </w:r>
          </w:p>
        </w:tc>
      </w:tr>
      <w:tr w:rsidR="00DB0198" w14:paraId="124877B9" w14:textId="77777777" w:rsidTr="001847E9">
        <w:trPr>
          <w:trHeight w:val="613"/>
        </w:trPr>
        <w:tc>
          <w:tcPr>
            <w:cnfStyle w:val="001000000000" w:firstRow="0" w:lastRow="0" w:firstColumn="1" w:lastColumn="0" w:oddVBand="0" w:evenVBand="0" w:oddHBand="0" w:evenHBand="0" w:firstRowFirstColumn="0" w:firstRowLastColumn="0" w:lastRowFirstColumn="0" w:lastRowLastColumn="0"/>
            <w:tcW w:w="2871" w:type="dxa"/>
          </w:tcPr>
          <w:p w14:paraId="251CA6B7" w14:textId="791F9AB1" w:rsidR="00DB0198" w:rsidRPr="00AF57D8" w:rsidRDefault="00DB0198" w:rsidP="00DB0198">
            <w:pPr>
              <w:rPr>
                <w:rStyle w:val="Strong"/>
              </w:rPr>
            </w:pPr>
            <w:r w:rsidRPr="0088310A">
              <w:t>Inglewood QGAP</w:t>
            </w:r>
          </w:p>
        </w:tc>
        <w:tc>
          <w:tcPr>
            <w:tcW w:w="5431" w:type="dxa"/>
          </w:tcPr>
          <w:p w14:paraId="573473B9" w14:textId="275287AF" w:rsidR="00DB0198" w:rsidRPr="002E53BF" w:rsidRDefault="00DB0198" w:rsidP="00DB0198">
            <w:pPr>
              <w:cnfStyle w:val="000000000000" w:firstRow="0" w:lastRow="0" w:firstColumn="0" w:lastColumn="0" w:oddVBand="0" w:evenVBand="0" w:oddHBand="0" w:evenHBand="0" w:firstRowFirstColumn="0" w:firstRowLastColumn="0" w:lastRowFirstColumn="0" w:lastRowLastColumn="0"/>
            </w:pPr>
            <w:r w:rsidRPr="0088310A">
              <w:t>25 Albert Street, Inglewood QLD 4387</w:t>
            </w:r>
          </w:p>
        </w:tc>
      </w:tr>
      <w:tr w:rsidR="00DB0198" w14:paraId="19E06E22" w14:textId="77777777" w:rsidTr="001847E9">
        <w:trPr>
          <w:trHeight w:val="613"/>
        </w:trPr>
        <w:tc>
          <w:tcPr>
            <w:cnfStyle w:val="001000000000" w:firstRow="0" w:lastRow="0" w:firstColumn="1" w:lastColumn="0" w:oddVBand="0" w:evenVBand="0" w:oddHBand="0" w:evenHBand="0" w:firstRowFirstColumn="0" w:firstRowLastColumn="0" w:lastRowFirstColumn="0" w:lastRowLastColumn="0"/>
            <w:tcW w:w="2871" w:type="dxa"/>
          </w:tcPr>
          <w:p w14:paraId="01259CD3" w14:textId="482AE1A0" w:rsidR="00DB0198" w:rsidRPr="00AF57D8" w:rsidRDefault="00DB0198" w:rsidP="00DB0198">
            <w:pPr>
              <w:rPr>
                <w:rStyle w:val="Strong"/>
              </w:rPr>
            </w:pPr>
            <w:r w:rsidRPr="0088310A">
              <w:t>Julia Creek QGAP</w:t>
            </w:r>
          </w:p>
        </w:tc>
        <w:tc>
          <w:tcPr>
            <w:tcW w:w="5431" w:type="dxa"/>
          </w:tcPr>
          <w:p w14:paraId="1AFDE900" w14:textId="1E3F15D4" w:rsidR="00DB0198" w:rsidRPr="002E53BF" w:rsidRDefault="00DB0198" w:rsidP="00DB0198">
            <w:pPr>
              <w:cnfStyle w:val="000000000000" w:firstRow="0" w:lastRow="0" w:firstColumn="0" w:lastColumn="0" w:oddVBand="0" w:evenVBand="0" w:oddHBand="0" w:evenHBand="0" w:firstRowFirstColumn="0" w:firstRowLastColumn="0" w:lastRowFirstColumn="0" w:lastRowLastColumn="0"/>
            </w:pPr>
            <w:r w:rsidRPr="0088310A">
              <w:t>Julia Creek Magistrates Court, 14 Burke Street, Julia Creek QLD 4823</w:t>
            </w:r>
          </w:p>
        </w:tc>
      </w:tr>
      <w:tr w:rsidR="00DB0198" w14:paraId="199B4EC4" w14:textId="77777777" w:rsidTr="001847E9">
        <w:trPr>
          <w:trHeight w:val="613"/>
        </w:trPr>
        <w:tc>
          <w:tcPr>
            <w:cnfStyle w:val="001000000000" w:firstRow="0" w:lastRow="0" w:firstColumn="1" w:lastColumn="0" w:oddVBand="0" w:evenVBand="0" w:oddHBand="0" w:evenHBand="0" w:firstRowFirstColumn="0" w:firstRowLastColumn="0" w:lastRowFirstColumn="0" w:lastRowLastColumn="0"/>
            <w:tcW w:w="2871" w:type="dxa"/>
          </w:tcPr>
          <w:p w14:paraId="51EDD81E" w14:textId="14C03EAD" w:rsidR="00DB0198" w:rsidRPr="00AF57D8" w:rsidRDefault="00DB0198" w:rsidP="00DB0198">
            <w:pPr>
              <w:rPr>
                <w:rStyle w:val="Strong"/>
              </w:rPr>
            </w:pPr>
            <w:r w:rsidRPr="0088310A">
              <w:lastRenderedPageBreak/>
              <w:t>Landsborough QGAP</w:t>
            </w:r>
          </w:p>
        </w:tc>
        <w:tc>
          <w:tcPr>
            <w:tcW w:w="5431" w:type="dxa"/>
          </w:tcPr>
          <w:p w14:paraId="2C88DD37" w14:textId="30473C6D" w:rsidR="00DB0198" w:rsidRPr="002E53BF" w:rsidRDefault="00DB0198" w:rsidP="00DB0198">
            <w:pPr>
              <w:cnfStyle w:val="000000000000" w:firstRow="0" w:lastRow="0" w:firstColumn="0" w:lastColumn="0" w:oddVBand="0" w:evenVBand="0" w:oddHBand="0" w:evenHBand="0" w:firstRowFirstColumn="0" w:firstRowLastColumn="0" w:lastRowFirstColumn="0" w:lastRowLastColumn="0"/>
            </w:pPr>
            <w:r w:rsidRPr="0088310A">
              <w:t>Landsborough Magistrates Court, 12 Caloundra Street, Landsborough QLD 4550</w:t>
            </w:r>
          </w:p>
        </w:tc>
      </w:tr>
      <w:tr w:rsidR="00DB0198" w14:paraId="4418AED6" w14:textId="77777777" w:rsidTr="001847E9">
        <w:trPr>
          <w:trHeight w:val="613"/>
        </w:trPr>
        <w:tc>
          <w:tcPr>
            <w:cnfStyle w:val="001000000000" w:firstRow="0" w:lastRow="0" w:firstColumn="1" w:lastColumn="0" w:oddVBand="0" w:evenVBand="0" w:oddHBand="0" w:evenHBand="0" w:firstRowFirstColumn="0" w:firstRowLastColumn="0" w:lastRowFirstColumn="0" w:lastRowLastColumn="0"/>
            <w:tcW w:w="2871" w:type="dxa"/>
          </w:tcPr>
          <w:p w14:paraId="76296920" w14:textId="0C33D1A4" w:rsidR="00DB0198" w:rsidRPr="00AF57D8" w:rsidRDefault="00DB0198" w:rsidP="00DB0198">
            <w:pPr>
              <w:rPr>
                <w:rStyle w:val="Strong"/>
              </w:rPr>
            </w:pPr>
            <w:r w:rsidRPr="0088310A">
              <w:t>Mitchell QGAP</w:t>
            </w:r>
          </w:p>
        </w:tc>
        <w:tc>
          <w:tcPr>
            <w:tcW w:w="5431" w:type="dxa"/>
          </w:tcPr>
          <w:p w14:paraId="2DB2EC1C" w14:textId="445697D0" w:rsidR="00DB0198" w:rsidRPr="002E53BF" w:rsidRDefault="00DB0198" w:rsidP="00DB0198">
            <w:pPr>
              <w:cnfStyle w:val="000000000000" w:firstRow="0" w:lastRow="0" w:firstColumn="0" w:lastColumn="0" w:oddVBand="0" w:evenVBand="0" w:oddHBand="0" w:evenHBand="0" w:firstRowFirstColumn="0" w:firstRowLastColumn="0" w:lastRowFirstColumn="0" w:lastRowLastColumn="0"/>
            </w:pPr>
            <w:r w:rsidRPr="0088310A">
              <w:t>Mitchell Magistrates Court, Cnr Mary and Dublin Streets, Mitchell QLD 4465</w:t>
            </w:r>
          </w:p>
        </w:tc>
      </w:tr>
      <w:tr w:rsidR="00DB0198" w14:paraId="313B3788" w14:textId="77777777" w:rsidTr="001847E9">
        <w:trPr>
          <w:trHeight w:val="613"/>
        </w:trPr>
        <w:tc>
          <w:tcPr>
            <w:cnfStyle w:val="001000000000" w:firstRow="0" w:lastRow="0" w:firstColumn="1" w:lastColumn="0" w:oddVBand="0" w:evenVBand="0" w:oddHBand="0" w:evenHBand="0" w:firstRowFirstColumn="0" w:firstRowLastColumn="0" w:lastRowFirstColumn="0" w:lastRowLastColumn="0"/>
            <w:tcW w:w="2871" w:type="dxa"/>
          </w:tcPr>
          <w:p w14:paraId="01F81838" w14:textId="3E7B41AE" w:rsidR="00DB0198" w:rsidRPr="00AF57D8" w:rsidRDefault="00DB0198" w:rsidP="00DB0198">
            <w:pPr>
              <w:rPr>
                <w:rStyle w:val="Strong"/>
              </w:rPr>
            </w:pPr>
            <w:r w:rsidRPr="0088310A">
              <w:t>Moranbah QGAP</w:t>
            </w:r>
          </w:p>
        </w:tc>
        <w:tc>
          <w:tcPr>
            <w:tcW w:w="5431" w:type="dxa"/>
          </w:tcPr>
          <w:p w14:paraId="25C5D2F8" w14:textId="4C7A2284" w:rsidR="00DB0198" w:rsidRPr="002E53BF" w:rsidRDefault="00DB0198" w:rsidP="00DB0198">
            <w:pPr>
              <w:cnfStyle w:val="000000000000" w:firstRow="0" w:lastRow="0" w:firstColumn="0" w:lastColumn="0" w:oddVBand="0" w:evenVBand="0" w:oddHBand="0" w:evenHBand="0" w:firstRowFirstColumn="0" w:firstRowLastColumn="0" w:lastRowFirstColumn="0" w:lastRowLastColumn="0"/>
            </w:pPr>
            <w:r w:rsidRPr="0088310A">
              <w:t>Moranbah Magistrates Court, 21 Griffin Street, Moranbah QLD 4744</w:t>
            </w:r>
          </w:p>
        </w:tc>
      </w:tr>
      <w:tr w:rsidR="00DB0198" w14:paraId="7584C912" w14:textId="77777777" w:rsidTr="001847E9">
        <w:trPr>
          <w:trHeight w:val="613"/>
        </w:trPr>
        <w:tc>
          <w:tcPr>
            <w:cnfStyle w:val="001000000000" w:firstRow="0" w:lastRow="0" w:firstColumn="1" w:lastColumn="0" w:oddVBand="0" w:evenVBand="0" w:oddHBand="0" w:evenHBand="0" w:firstRowFirstColumn="0" w:firstRowLastColumn="0" w:lastRowFirstColumn="0" w:lastRowLastColumn="0"/>
            <w:tcW w:w="2871" w:type="dxa"/>
          </w:tcPr>
          <w:p w14:paraId="47CE392B" w14:textId="61917BEF" w:rsidR="00DB0198" w:rsidRPr="00AF57D8" w:rsidRDefault="00DB0198" w:rsidP="00DB0198">
            <w:pPr>
              <w:rPr>
                <w:rStyle w:val="Strong"/>
              </w:rPr>
            </w:pPr>
            <w:r w:rsidRPr="0088310A">
              <w:t>Mossman QGAP</w:t>
            </w:r>
          </w:p>
        </w:tc>
        <w:tc>
          <w:tcPr>
            <w:tcW w:w="5431" w:type="dxa"/>
          </w:tcPr>
          <w:p w14:paraId="4D73FB84" w14:textId="0226263D" w:rsidR="00DB0198" w:rsidRPr="002E53BF" w:rsidRDefault="00DB0198" w:rsidP="00DB0198">
            <w:pPr>
              <w:cnfStyle w:val="000000000000" w:firstRow="0" w:lastRow="0" w:firstColumn="0" w:lastColumn="0" w:oddVBand="0" w:evenVBand="0" w:oddHBand="0" w:evenHBand="0" w:firstRowFirstColumn="0" w:firstRowLastColumn="0" w:lastRowFirstColumn="0" w:lastRowLastColumn="0"/>
            </w:pPr>
            <w:r w:rsidRPr="0088310A">
              <w:t xml:space="preserve">Mossman Magistrates Court, 27 Front Street, Mossman QLD </w:t>
            </w:r>
            <w:r w:rsidRPr="00235E12">
              <w:t>4873</w:t>
            </w:r>
          </w:p>
        </w:tc>
      </w:tr>
      <w:tr w:rsidR="00DB0198" w14:paraId="2C83828E" w14:textId="77777777" w:rsidTr="001847E9">
        <w:trPr>
          <w:trHeight w:val="613"/>
        </w:trPr>
        <w:tc>
          <w:tcPr>
            <w:cnfStyle w:val="001000000000" w:firstRow="0" w:lastRow="0" w:firstColumn="1" w:lastColumn="0" w:oddVBand="0" w:evenVBand="0" w:oddHBand="0" w:evenHBand="0" w:firstRowFirstColumn="0" w:firstRowLastColumn="0" w:lastRowFirstColumn="0" w:lastRowLastColumn="0"/>
            <w:tcW w:w="2871" w:type="dxa"/>
          </w:tcPr>
          <w:p w14:paraId="0222BABE" w14:textId="61FAC72A" w:rsidR="00DB0198" w:rsidRPr="00AF57D8" w:rsidRDefault="00DB0198" w:rsidP="00DB0198">
            <w:pPr>
              <w:rPr>
                <w:rStyle w:val="Strong"/>
              </w:rPr>
            </w:pPr>
            <w:r w:rsidRPr="0088310A">
              <w:t>Moura QGAP</w:t>
            </w:r>
          </w:p>
        </w:tc>
        <w:tc>
          <w:tcPr>
            <w:tcW w:w="5431" w:type="dxa"/>
          </w:tcPr>
          <w:p w14:paraId="0962C09A" w14:textId="59A38792" w:rsidR="00DB0198" w:rsidRPr="002E53BF" w:rsidRDefault="00DB0198" w:rsidP="00DB0198">
            <w:pPr>
              <w:cnfStyle w:val="000000000000" w:firstRow="0" w:lastRow="0" w:firstColumn="0" w:lastColumn="0" w:oddVBand="0" w:evenVBand="0" w:oddHBand="0" w:evenHBand="0" w:firstRowFirstColumn="0" w:firstRowLastColumn="0" w:lastRowFirstColumn="0" w:lastRowLastColumn="0"/>
            </w:pPr>
            <w:r w:rsidRPr="0088310A">
              <w:t>Marshall and Shirley Streets, Moura QLD 4718</w:t>
            </w:r>
          </w:p>
        </w:tc>
      </w:tr>
      <w:tr w:rsidR="00DB0198" w14:paraId="7ED76EAB" w14:textId="77777777" w:rsidTr="001847E9">
        <w:trPr>
          <w:trHeight w:val="613"/>
        </w:trPr>
        <w:tc>
          <w:tcPr>
            <w:cnfStyle w:val="001000000000" w:firstRow="0" w:lastRow="0" w:firstColumn="1" w:lastColumn="0" w:oddVBand="0" w:evenVBand="0" w:oddHBand="0" w:evenHBand="0" w:firstRowFirstColumn="0" w:firstRowLastColumn="0" w:lastRowFirstColumn="0" w:lastRowLastColumn="0"/>
            <w:tcW w:w="2871" w:type="dxa"/>
          </w:tcPr>
          <w:p w14:paraId="4C344B4E" w14:textId="74301221" w:rsidR="00DB0198" w:rsidRPr="00AF57D8" w:rsidRDefault="00DB0198" w:rsidP="00DB0198">
            <w:pPr>
              <w:rPr>
                <w:rStyle w:val="Strong"/>
              </w:rPr>
            </w:pPr>
            <w:r w:rsidRPr="0088310A">
              <w:t>Nanango QGAP</w:t>
            </w:r>
          </w:p>
        </w:tc>
        <w:tc>
          <w:tcPr>
            <w:tcW w:w="5431" w:type="dxa"/>
          </w:tcPr>
          <w:p w14:paraId="0D39D61A" w14:textId="4039ADCA" w:rsidR="00DB0198" w:rsidRPr="002E53BF" w:rsidRDefault="00DB0198" w:rsidP="00DB0198">
            <w:pPr>
              <w:cnfStyle w:val="000000000000" w:firstRow="0" w:lastRow="0" w:firstColumn="0" w:lastColumn="0" w:oddVBand="0" w:evenVBand="0" w:oddHBand="0" w:evenHBand="0" w:firstRowFirstColumn="0" w:firstRowLastColumn="0" w:lastRowFirstColumn="0" w:lastRowLastColumn="0"/>
            </w:pPr>
            <w:r w:rsidRPr="0088310A">
              <w:t>Nanango Magistrates Court, 30 Henry Street, Nanango QLD 4615</w:t>
            </w:r>
          </w:p>
        </w:tc>
      </w:tr>
      <w:tr w:rsidR="00DB0198" w14:paraId="56507E5B" w14:textId="77777777" w:rsidTr="001847E9">
        <w:trPr>
          <w:trHeight w:val="613"/>
        </w:trPr>
        <w:tc>
          <w:tcPr>
            <w:cnfStyle w:val="001000000000" w:firstRow="0" w:lastRow="0" w:firstColumn="1" w:lastColumn="0" w:oddVBand="0" w:evenVBand="0" w:oddHBand="0" w:evenHBand="0" w:firstRowFirstColumn="0" w:firstRowLastColumn="0" w:lastRowFirstColumn="0" w:lastRowLastColumn="0"/>
            <w:tcW w:w="2871" w:type="dxa"/>
          </w:tcPr>
          <w:p w14:paraId="29BDA469" w14:textId="73C9067B" w:rsidR="00DB0198" w:rsidRPr="00AF57D8" w:rsidRDefault="00DB0198" w:rsidP="00DB0198">
            <w:pPr>
              <w:rPr>
                <w:rStyle w:val="Strong"/>
              </w:rPr>
            </w:pPr>
            <w:r w:rsidRPr="0088310A">
              <w:t>North Stradbroke Island QGAP</w:t>
            </w:r>
          </w:p>
        </w:tc>
        <w:tc>
          <w:tcPr>
            <w:tcW w:w="5431" w:type="dxa"/>
          </w:tcPr>
          <w:p w14:paraId="6B592795" w14:textId="6C5F8024" w:rsidR="00DB0198" w:rsidRPr="002E53BF" w:rsidRDefault="00DB0198" w:rsidP="00DB0198">
            <w:pPr>
              <w:cnfStyle w:val="000000000000" w:firstRow="0" w:lastRow="0" w:firstColumn="0" w:lastColumn="0" w:oddVBand="0" w:evenVBand="0" w:oddHBand="0" w:evenHBand="0" w:firstRowFirstColumn="0" w:firstRowLastColumn="0" w:lastRowFirstColumn="0" w:lastRowLastColumn="0"/>
            </w:pPr>
            <w:r w:rsidRPr="0088310A">
              <w:t>5 Ballow Street, Dunwich QLD 4183</w:t>
            </w:r>
          </w:p>
        </w:tc>
      </w:tr>
      <w:tr w:rsidR="00DB0198" w14:paraId="09F5E169" w14:textId="77777777" w:rsidTr="001847E9">
        <w:trPr>
          <w:trHeight w:val="613"/>
        </w:trPr>
        <w:tc>
          <w:tcPr>
            <w:cnfStyle w:val="001000000000" w:firstRow="0" w:lastRow="0" w:firstColumn="1" w:lastColumn="0" w:oddVBand="0" w:evenVBand="0" w:oddHBand="0" w:evenHBand="0" w:firstRowFirstColumn="0" w:firstRowLastColumn="0" w:lastRowFirstColumn="0" w:lastRowLastColumn="0"/>
            <w:tcW w:w="2871" w:type="dxa"/>
          </w:tcPr>
          <w:p w14:paraId="690C5361" w14:textId="4118283F" w:rsidR="00DB0198" w:rsidRPr="00AF57D8" w:rsidRDefault="00DB0198" w:rsidP="00DB0198">
            <w:pPr>
              <w:rPr>
                <w:rStyle w:val="Strong"/>
              </w:rPr>
            </w:pPr>
            <w:r w:rsidRPr="0088310A">
              <w:t>Oakey QGAP</w:t>
            </w:r>
          </w:p>
        </w:tc>
        <w:tc>
          <w:tcPr>
            <w:tcW w:w="5431" w:type="dxa"/>
          </w:tcPr>
          <w:p w14:paraId="18E7A6C7" w14:textId="0B6C535B" w:rsidR="00DB0198" w:rsidRPr="002E53BF" w:rsidRDefault="00DB0198" w:rsidP="00DB0198">
            <w:pPr>
              <w:cnfStyle w:val="000000000000" w:firstRow="0" w:lastRow="0" w:firstColumn="0" w:lastColumn="0" w:oddVBand="0" w:evenVBand="0" w:oddHBand="0" w:evenHBand="0" w:firstRowFirstColumn="0" w:firstRowLastColumn="0" w:lastRowFirstColumn="0" w:lastRowLastColumn="0"/>
            </w:pPr>
            <w:r w:rsidRPr="0088310A">
              <w:t>Oakey Magistrates Court, 73 Campbell Street, Oakey QLD 4401</w:t>
            </w:r>
          </w:p>
        </w:tc>
      </w:tr>
      <w:tr w:rsidR="00DB0198" w14:paraId="350C4B5A" w14:textId="77777777" w:rsidTr="001847E9">
        <w:trPr>
          <w:trHeight w:val="613"/>
        </w:trPr>
        <w:tc>
          <w:tcPr>
            <w:cnfStyle w:val="001000000000" w:firstRow="0" w:lastRow="0" w:firstColumn="1" w:lastColumn="0" w:oddVBand="0" w:evenVBand="0" w:oddHBand="0" w:evenHBand="0" w:firstRowFirstColumn="0" w:firstRowLastColumn="0" w:lastRowFirstColumn="0" w:lastRowLastColumn="0"/>
            <w:tcW w:w="2871" w:type="dxa"/>
          </w:tcPr>
          <w:p w14:paraId="38D526B4" w14:textId="3D4BC59A" w:rsidR="00DB0198" w:rsidRPr="00AF57D8" w:rsidRDefault="00DB0198" w:rsidP="00DB0198">
            <w:pPr>
              <w:rPr>
                <w:rStyle w:val="Strong"/>
              </w:rPr>
            </w:pPr>
            <w:r w:rsidRPr="0088310A">
              <w:t>Pittsworth QGAP</w:t>
            </w:r>
          </w:p>
        </w:tc>
        <w:tc>
          <w:tcPr>
            <w:tcW w:w="5431" w:type="dxa"/>
          </w:tcPr>
          <w:p w14:paraId="643A8BA6" w14:textId="5885947E" w:rsidR="00DB0198" w:rsidRPr="002E53BF" w:rsidRDefault="00DB0198" w:rsidP="00DB0198">
            <w:pPr>
              <w:cnfStyle w:val="000000000000" w:firstRow="0" w:lastRow="0" w:firstColumn="0" w:lastColumn="0" w:oddVBand="0" w:evenVBand="0" w:oddHBand="0" w:evenHBand="0" w:firstRowFirstColumn="0" w:firstRowLastColumn="0" w:lastRowFirstColumn="0" w:lastRowLastColumn="0"/>
            </w:pPr>
            <w:r w:rsidRPr="0088310A">
              <w:t>Pittsworth Magistrates Court, 77 Yandilla Street, Pittsworth QLD 4356</w:t>
            </w:r>
          </w:p>
        </w:tc>
      </w:tr>
      <w:tr w:rsidR="00DB0198" w14:paraId="62FE6298" w14:textId="77777777" w:rsidTr="001847E9">
        <w:trPr>
          <w:trHeight w:val="613"/>
        </w:trPr>
        <w:tc>
          <w:tcPr>
            <w:cnfStyle w:val="001000000000" w:firstRow="0" w:lastRow="0" w:firstColumn="1" w:lastColumn="0" w:oddVBand="0" w:evenVBand="0" w:oddHBand="0" w:evenHBand="0" w:firstRowFirstColumn="0" w:firstRowLastColumn="0" w:lastRowFirstColumn="0" w:lastRowLastColumn="0"/>
            <w:tcW w:w="2871" w:type="dxa"/>
          </w:tcPr>
          <w:p w14:paraId="33B392B0" w14:textId="378110F9" w:rsidR="00DB0198" w:rsidRPr="00AF57D8" w:rsidRDefault="00DB0198" w:rsidP="00DB0198">
            <w:pPr>
              <w:rPr>
                <w:rStyle w:val="Strong"/>
              </w:rPr>
            </w:pPr>
            <w:r w:rsidRPr="0088310A">
              <w:t>Richmond QGAP</w:t>
            </w:r>
          </w:p>
        </w:tc>
        <w:tc>
          <w:tcPr>
            <w:tcW w:w="5431" w:type="dxa"/>
          </w:tcPr>
          <w:p w14:paraId="0B0F3F5C" w14:textId="3C1D627F" w:rsidR="00DB0198" w:rsidRPr="002E53BF" w:rsidRDefault="00DB0198" w:rsidP="00DB0198">
            <w:pPr>
              <w:cnfStyle w:val="000000000000" w:firstRow="0" w:lastRow="0" w:firstColumn="0" w:lastColumn="0" w:oddVBand="0" w:evenVBand="0" w:oddHBand="0" w:evenHBand="0" w:firstRowFirstColumn="0" w:firstRowLastColumn="0" w:lastRowFirstColumn="0" w:lastRowLastColumn="0"/>
            </w:pPr>
            <w:r w:rsidRPr="0088310A">
              <w:t>Richmond Magistrates Court, 53 Goldring Street, Richmond QLD 4822</w:t>
            </w:r>
          </w:p>
        </w:tc>
      </w:tr>
      <w:tr w:rsidR="00DB0198" w14:paraId="495E1264" w14:textId="77777777" w:rsidTr="001847E9">
        <w:trPr>
          <w:trHeight w:val="613"/>
        </w:trPr>
        <w:tc>
          <w:tcPr>
            <w:cnfStyle w:val="001000000000" w:firstRow="0" w:lastRow="0" w:firstColumn="1" w:lastColumn="0" w:oddVBand="0" w:evenVBand="0" w:oddHBand="0" w:evenHBand="0" w:firstRowFirstColumn="0" w:firstRowLastColumn="0" w:lastRowFirstColumn="0" w:lastRowLastColumn="0"/>
            <w:tcW w:w="2871" w:type="dxa"/>
          </w:tcPr>
          <w:p w14:paraId="54194792" w14:textId="33AFF675" w:rsidR="00DB0198" w:rsidRPr="00AF57D8" w:rsidRDefault="00DB0198" w:rsidP="00DB0198">
            <w:pPr>
              <w:rPr>
                <w:rStyle w:val="Strong"/>
              </w:rPr>
            </w:pPr>
            <w:r w:rsidRPr="0088310A">
              <w:t>Sarina QGAP</w:t>
            </w:r>
          </w:p>
        </w:tc>
        <w:tc>
          <w:tcPr>
            <w:tcW w:w="5431" w:type="dxa"/>
          </w:tcPr>
          <w:p w14:paraId="68DB8A85" w14:textId="0033791C" w:rsidR="00DB0198" w:rsidRPr="002E53BF" w:rsidRDefault="00DB0198" w:rsidP="00DB0198">
            <w:pPr>
              <w:cnfStyle w:val="000000000000" w:firstRow="0" w:lastRow="0" w:firstColumn="0" w:lastColumn="0" w:oddVBand="0" w:evenVBand="0" w:oddHBand="0" w:evenHBand="0" w:firstRowFirstColumn="0" w:firstRowLastColumn="0" w:lastRowFirstColumn="0" w:lastRowLastColumn="0"/>
            </w:pPr>
            <w:r w:rsidRPr="0088310A">
              <w:t>Sarina Magistrates Court, 52</w:t>
            </w:r>
            <w:r>
              <w:t>–</w:t>
            </w:r>
            <w:r w:rsidRPr="0088310A">
              <w:t xml:space="preserve">54 Broad Street, Sarina </w:t>
            </w:r>
            <w:r w:rsidRPr="00235E12">
              <w:t>QLD 4737</w:t>
            </w:r>
          </w:p>
        </w:tc>
      </w:tr>
      <w:tr w:rsidR="00DB0198" w14:paraId="6DFE4B44" w14:textId="77777777" w:rsidTr="001847E9">
        <w:trPr>
          <w:trHeight w:val="613"/>
        </w:trPr>
        <w:tc>
          <w:tcPr>
            <w:cnfStyle w:val="001000000000" w:firstRow="0" w:lastRow="0" w:firstColumn="1" w:lastColumn="0" w:oddVBand="0" w:evenVBand="0" w:oddHBand="0" w:evenHBand="0" w:firstRowFirstColumn="0" w:firstRowLastColumn="0" w:lastRowFirstColumn="0" w:lastRowLastColumn="0"/>
            <w:tcW w:w="2871" w:type="dxa"/>
          </w:tcPr>
          <w:p w14:paraId="38F46CC1" w14:textId="61707633" w:rsidR="00DB0198" w:rsidRPr="00AF57D8" w:rsidRDefault="00DB0198" w:rsidP="00DB0198">
            <w:pPr>
              <w:rPr>
                <w:rStyle w:val="Strong"/>
              </w:rPr>
            </w:pPr>
            <w:r w:rsidRPr="0088310A">
              <w:t>Springsure QGAP</w:t>
            </w:r>
          </w:p>
        </w:tc>
        <w:tc>
          <w:tcPr>
            <w:tcW w:w="5431" w:type="dxa"/>
          </w:tcPr>
          <w:p w14:paraId="13FD0D92" w14:textId="1126973E" w:rsidR="00DB0198" w:rsidRPr="002E53BF" w:rsidRDefault="00DB0198" w:rsidP="00DB0198">
            <w:pPr>
              <w:cnfStyle w:val="000000000000" w:firstRow="0" w:lastRow="0" w:firstColumn="0" w:lastColumn="0" w:oddVBand="0" w:evenVBand="0" w:oddHBand="0" w:evenHBand="0" w:firstRowFirstColumn="0" w:firstRowLastColumn="0" w:lastRowFirstColumn="0" w:lastRowLastColumn="0"/>
            </w:pPr>
            <w:r w:rsidRPr="0088310A">
              <w:t>Springsure Magistrates Court, 45 Eclipse Street, Springsure QLD 4722</w:t>
            </w:r>
          </w:p>
        </w:tc>
      </w:tr>
      <w:tr w:rsidR="00DB0198" w14:paraId="598E7918" w14:textId="77777777" w:rsidTr="001847E9">
        <w:trPr>
          <w:trHeight w:val="613"/>
        </w:trPr>
        <w:tc>
          <w:tcPr>
            <w:cnfStyle w:val="001000000000" w:firstRow="0" w:lastRow="0" w:firstColumn="1" w:lastColumn="0" w:oddVBand="0" w:evenVBand="0" w:oddHBand="0" w:evenHBand="0" w:firstRowFirstColumn="0" w:firstRowLastColumn="0" w:lastRowFirstColumn="0" w:lastRowLastColumn="0"/>
            <w:tcW w:w="2871" w:type="dxa"/>
          </w:tcPr>
          <w:p w14:paraId="4F9A5681" w14:textId="54F2B63F" w:rsidR="00DB0198" w:rsidRPr="00AF57D8" w:rsidRDefault="00DB0198" w:rsidP="00DB0198">
            <w:pPr>
              <w:rPr>
                <w:rStyle w:val="Strong"/>
              </w:rPr>
            </w:pPr>
            <w:r w:rsidRPr="0088310A">
              <w:t>St George QGAP</w:t>
            </w:r>
          </w:p>
        </w:tc>
        <w:tc>
          <w:tcPr>
            <w:tcW w:w="5431" w:type="dxa"/>
          </w:tcPr>
          <w:p w14:paraId="6EF574CB" w14:textId="70294259" w:rsidR="00DB0198" w:rsidRPr="002E53BF" w:rsidRDefault="00DB0198" w:rsidP="00DB0198">
            <w:pPr>
              <w:cnfStyle w:val="000000000000" w:firstRow="0" w:lastRow="0" w:firstColumn="0" w:lastColumn="0" w:oddVBand="0" w:evenVBand="0" w:oddHBand="0" w:evenHBand="0" w:firstRowFirstColumn="0" w:firstRowLastColumn="0" w:lastRowFirstColumn="0" w:lastRowLastColumn="0"/>
            </w:pPr>
            <w:r w:rsidRPr="0088310A">
              <w:t>St George Magistrates Court, The Terrace, St George QLD 4487</w:t>
            </w:r>
          </w:p>
        </w:tc>
      </w:tr>
      <w:tr w:rsidR="00DB0198" w14:paraId="6E562948" w14:textId="77777777" w:rsidTr="001847E9">
        <w:trPr>
          <w:trHeight w:val="613"/>
        </w:trPr>
        <w:tc>
          <w:tcPr>
            <w:cnfStyle w:val="001000000000" w:firstRow="0" w:lastRow="0" w:firstColumn="1" w:lastColumn="0" w:oddVBand="0" w:evenVBand="0" w:oddHBand="0" w:evenHBand="0" w:firstRowFirstColumn="0" w:firstRowLastColumn="0" w:lastRowFirstColumn="0" w:lastRowLastColumn="0"/>
            <w:tcW w:w="2871" w:type="dxa"/>
          </w:tcPr>
          <w:p w14:paraId="49C8768B" w14:textId="2072EB12" w:rsidR="00DB0198" w:rsidRPr="00AF57D8" w:rsidRDefault="00DB0198" w:rsidP="00DB0198">
            <w:pPr>
              <w:rPr>
                <w:rStyle w:val="Strong"/>
              </w:rPr>
            </w:pPr>
            <w:r w:rsidRPr="0088310A">
              <w:t>Stanthorpe QGAP</w:t>
            </w:r>
          </w:p>
        </w:tc>
        <w:tc>
          <w:tcPr>
            <w:tcW w:w="5431" w:type="dxa"/>
          </w:tcPr>
          <w:p w14:paraId="2A7890C2" w14:textId="62295D9A" w:rsidR="00DB0198" w:rsidRPr="002E53BF" w:rsidRDefault="00DB0198" w:rsidP="00DB0198">
            <w:pPr>
              <w:cnfStyle w:val="000000000000" w:firstRow="0" w:lastRow="0" w:firstColumn="0" w:lastColumn="0" w:oddVBand="0" w:evenVBand="0" w:oddHBand="0" w:evenHBand="0" w:firstRowFirstColumn="0" w:firstRowLastColumn="0" w:lastRowFirstColumn="0" w:lastRowLastColumn="0"/>
            </w:pPr>
            <w:r w:rsidRPr="0088310A">
              <w:t>51 Marsh Street, Stanthorpe QLD 4380</w:t>
            </w:r>
          </w:p>
        </w:tc>
      </w:tr>
      <w:tr w:rsidR="00DB0198" w14:paraId="1A071DC2" w14:textId="77777777" w:rsidTr="001847E9">
        <w:trPr>
          <w:trHeight w:val="613"/>
        </w:trPr>
        <w:tc>
          <w:tcPr>
            <w:cnfStyle w:val="001000000000" w:firstRow="0" w:lastRow="0" w:firstColumn="1" w:lastColumn="0" w:oddVBand="0" w:evenVBand="0" w:oddHBand="0" w:evenHBand="0" w:firstRowFirstColumn="0" w:firstRowLastColumn="0" w:lastRowFirstColumn="0" w:lastRowLastColumn="0"/>
            <w:tcW w:w="2871" w:type="dxa"/>
          </w:tcPr>
          <w:p w14:paraId="7A7AA1F1" w14:textId="4F37E446" w:rsidR="00DB0198" w:rsidRPr="00AF57D8" w:rsidRDefault="00DB0198" w:rsidP="00DB0198">
            <w:pPr>
              <w:rPr>
                <w:rStyle w:val="Strong"/>
              </w:rPr>
            </w:pPr>
            <w:r w:rsidRPr="0088310A">
              <w:t>Taroom QGAP</w:t>
            </w:r>
          </w:p>
        </w:tc>
        <w:tc>
          <w:tcPr>
            <w:tcW w:w="5431" w:type="dxa"/>
          </w:tcPr>
          <w:p w14:paraId="4DA3A53E" w14:textId="7A479808" w:rsidR="00DB0198" w:rsidRPr="002E53BF" w:rsidRDefault="00DB0198" w:rsidP="00DB0198">
            <w:pPr>
              <w:cnfStyle w:val="000000000000" w:firstRow="0" w:lastRow="0" w:firstColumn="0" w:lastColumn="0" w:oddVBand="0" w:evenVBand="0" w:oddHBand="0" w:evenHBand="0" w:firstRowFirstColumn="0" w:firstRowLastColumn="0" w:lastRowFirstColumn="0" w:lastRowLastColumn="0"/>
            </w:pPr>
            <w:r w:rsidRPr="0088310A">
              <w:t>Taroom Magistrates Court, 33 Yaldwyn Street, Taroom QLD 4420</w:t>
            </w:r>
          </w:p>
        </w:tc>
      </w:tr>
      <w:tr w:rsidR="00DB0198" w14:paraId="4A0B6520" w14:textId="77777777" w:rsidTr="001847E9">
        <w:trPr>
          <w:trHeight w:val="613"/>
        </w:trPr>
        <w:tc>
          <w:tcPr>
            <w:cnfStyle w:val="001000000000" w:firstRow="0" w:lastRow="0" w:firstColumn="1" w:lastColumn="0" w:oddVBand="0" w:evenVBand="0" w:oddHBand="0" w:evenHBand="0" w:firstRowFirstColumn="0" w:firstRowLastColumn="0" w:lastRowFirstColumn="0" w:lastRowLastColumn="0"/>
            <w:tcW w:w="2871" w:type="dxa"/>
          </w:tcPr>
          <w:p w14:paraId="1E0D53FA" w14:textId="4D7C8279" w:rsidR="00DB0198" w:rsidRPr="00AF57D8" w:rsidRDefault="00DB0198" w:rsidP="00DB0198">
            <w:pPr>
              <w:rPr>
                <w:rStyle w:val="Strong"/>
              </w:rPr>
            </w:pPr>
            <w:r w:rsidRPr="0088310A">
              <w:t>Texas QGAP</w:t>
            </w:r>
          </w:p>
        </w:tc>
        <w:tc>
          <w:tcPr>
            <w:tcW w:w="5431" w:type="dxa"/>
          </w:tcPr>
          <w:p w14:paraId="005B4FA7" w14:textId="519B2B90" w:rsidR="00DB0198" w:rsidRPr="002E53BF" w:rsidRDefault="00DB0198" w:rsidP="00DB0198">
            <w:pPr>
              <w:cnfStyle w:val="000000000000" w:firstRow="0" w:lastRow="0" w:firstColumn="0" w:lastColumn="0" w:oddVBand="0" w:evenVBand="0" w:oddHBand="0" w:evenHBand="0" w:firstRowFirstColumn="0" w:firstRowLastColumn="0" w:lastRowFirstColumn="0" w:lastRowLastColumn="0"/>
            </w:pPr>
            <w:r w:rsidRPr="0088310A">
              <w:t>32 Cadell Street, Texas QLD 4385</w:t>
            </w:r>
          </w:p>
        </w:tc>
      </w:tr>
      <w:tr w:rsidR="00DB0198" w14:paraId="086CA6CD" w14:textId="77777777" w:rsidTr="001847E9">
        <w:trPr>
          <w:trHeight w:val="613"/>
        </w:trPr>
        <w:tc>
          <w:tcPr>
            <w:cnfStyle w:val="001000000000" w:firstRow="0" w:lastRow="0" w:firstColumn="1" w:lastColumn="0" w:oddVBand="0" w:evenVBand="0" w:oddHBand="0" w:evenHBand="0" w:firstRowFirstColumn="0" w:firstRowLastColumn="0" w:lastRowFirstColumn="0" w:lastRowLastColumn="0"/>
            <w:tcW w:w="2871" w:type="dxa"/>
          </w:tcPr>
          <w:p w14:paraId="323363F4" w14:textId="49B8C020" w:rsidR="00DB0198" w:rsidRPr="00AF57D8" w:rsidRDefault="00DB0198" w:rsidP="00DB0198">
            <w:pPr>
              <w:rPr>
                <w:rStyle w:val="Strong"/>
              </w:rPr>
            </w:pPr>
            <w:r w:rsidRPr="0088310A">
              <w:t>Toogoolawah QGAP</w:t>
            </w:r>
          </w:p>
        </w:tc>
        <w:tc>
          <w:tcPr>
            <w:tcW w:w="5431" w:type="dxa"/>
          </w:tcPr>
          <w:p w14:paraId="788E5C02" w14:textId="154A899F" w:rsidR="00DB0198" w:rsidRPr="002E53BF" w:rsidRDefault="00DB0198" w:rsidP="00DB0198">
            <w:pPr>
              <w:cnfStyle w:val="000000000000" w:firstRow="0" w:lastRow="0" w:firstColumn="0" w:lastColumn="0" w:oddVBand="0" w:evenVBand="0" w:oddHBand="0" w:evenHBand="0" w:firstRowFirstColumn="0" w:firstRowLastColumn="0" w:lastRowFirstColumn="0" w:lastRowLastColumn="0"/>
            </w:pPr>
            <w:r w:rsidRPr="0088310A">
              <w:t>Toogoolawah Magistrates Court, Hopkins Place, Gardner Street North, Toogoolawah QLD 4313</w:t>
            </w:r>
          </w:p>
        </w:tc>
      </w:tr>
      <w:tr w:rsidR="00DB0198" w14:paraId="55136112" w14:textId="77777777" w:rsidTr="001847E9">
        <w:trPr>
          <w:trHeight w:val="613"/>
        </w:trPr>
        <w:tc>
          <w:tcPr>
            <w:cnfStyle w:val="001000000000" w:firstRow="0" w:lastRow="0" w:firstColumn="1" w:lastColumn="0" w:oddVBand="0" w:evenVBand="0" w:oddHBand="0" w:evenHBand="0" w:firstRowFirstColumn="0" w:firstRowLastColumn="0" w:lastRowFirstColumn="0" w:lastRowLastColumn="0"/>
            <w:tcW w:w="2871" w:type="dxa"/>
          </w:tcPr>
          <w:p w14:paraId="4B47B381" w14:textId="5D1D4325" w:rsidR="00DB0198" w:rsidRPr="00AF57D8" w:rsidRDefault="00DB0198" w:rsidP="00DB0198">
            <w:pPr>
              <w:rPr>
                <w:rStyle w:val="Strong"/>
              </w:rPr>
            </w:pPr>
            <w:r w:rsidRPr="0088310A">
              <w:t>Tully QGAP</w:t>
            </w:r>
          </w:p>
        </w:tc>
        <w:tc>
          <w:tcPr>
            <w:tcW w:w="5431" w:type="dxa"/>
          </w:tcPr>
          <w:p w14:paraId="18BE3C13" w14:textId="606879FD" w:rsidR="00DB0198" w:rsidRPr="002E53BF" w:rsidRDefault="00DB0198" w:rsidP="00DB0198">
            <w:pPr>
              <w:cnfStyle w:val="000000000000" w:firstRow="0" w:lastRow="0" w:firstColumn="0" w:lastColumn="0" w:oddVBand="0" w:evenVBand="0" w:oddHBand="0" w:evenHBand="0" w:firstRowFirstColumn="0" w:firstRowLastColumn="0" w:lastRowFirstColumn="0" w:lastRowLastColumn="0"/>
            </w:pPr>
            <w:r w:rsidRPr="0088310A">
              <w:t xml:space="preserve">Tully Magistrates Court, 46 Bryant </w:t>
            </w:r>
            <w:r w:rsidRPr="00235E12">
              <w:t>Street, Tully QLD 4854</w:t>
            </w:r>
          </w:p>
        </w:tc>
      </w:tr>
      <w:tr w:rsidR="00DB0198" w14:paraId="7F211503" w14:textId="77777777" w:rsidTr="001847E9">
        <w:trPr>
          <w:trHeight w:val="613"/>
        </w:trPr>
        <w:tc>
          <w:tcPr>
            <w:cnfStyle w:val="001000000000" w:firstRow="0" w:lastRow="0" w:firstColumn="1" w:lastColumn="0" w:oddVBand="0" w:evenVBand="0" w:oddHBand="0" w:evenHBand="0" w:firstRowFirstColumn="0" w:firstRowLastColumn="0" w:lastRowFirstColumn="0" w:lastRowLastColumn="0"/>
            <w:tcW w:w="2871" w:type="dxa"/>
          </w:tcPr>
          <w:p w14:paraId="637FC3E8" w14:textId="22BFAEB4" w:rsidR="00DB0198" w:rsidRPr="00AF57D8" w:rsidRDefault="00DB0198" w:rsidP="00DB0198">
            <w:pPr>
              <w:rPr>
                <w:rStyle w:val="Strong"/>
              </w:rPr>
            </w:pPr>
            <w:r w:rsidRPr="0088310A">
              <w:t>Winton QGAP</w:t>
            </w:r>
          </w:p>
        </w:tc>
        <w:tc>
          <w:tcPr>
            <w:tcW w:w="5431" w:type="dxa"/>
          </w:tcPr>
          <w:p w14:paraId="378B895A" w14:textId="7EBE1AA6" w:rsidR="00DB0198" w:rsidRPr="002E53BF" w:rsidRDefault="00DB0198" w:rsidP="00DB0198">
            <w:pPr>
              <w:cnfStyle w:val="000000000000" w:firstRow="0" w:lastRow="0" w:firstColumn="0" w:lastColumn="0" w:oddVBand="0" w:evenVBand="0" w:oddHBand="0" w:evenHBand="0" w:firstRowFirstColumn="0" w:firstRowLastColumn="0" w:lastRowFirstColumn="0" w:lastRowLastColumn="0"/>
            </w:pPr>
            <w:r w:rsidRPr="0088310A">
              <w:t>Winton Magistrates Court, 59 Vindex Street, Winton QLD 4735</w:t>
            </w:r>
          </w:p>
        </w:tc>
      </w:tr>
      <w:tr w:rsidR="00DB0198" w14:paraId="2E546B82" w14:textId="77777777" w:rsidTr="001847E9">
        <w:trPr>
          <w:trHeight w:val="613"/>
        </w:trPr>
        <w:tc>
          <w:tcPr>
            <w:cnfStyle w:val="001000000000" w:firstRow="0" w:lastRow="0" w:firstColumn="1" w:lastColumn="0" w:oddVBand="0" w:evenVBand="0" w:oddHBand="0" w:evenHBand="0" w:firstRowFirstColumn="0" w:firstRowLastColumn="0" w:lastRowFirstColumn="0" w:lastRowLastColumn="0"/>
            <w:tcW w:w="2871" w:type="dxa"/>
          </w:tcPr>
          <w:p w14:paraId="333013B2" w14:textId="56301E15" w:rsidR="00DB0198" w:rsidRPr="00AF57D8" w:rsidRDefault="00DB0198" w:rsidP="00DB0198">
            <w:pPr>
              <w:rPr>
                <w:rStyle w:val="Strong"/>
              </w:rPr>
            </w:pPr>
            <w:r w:rsidRPr="0088310A">
              <w:t>Yeppoon QGAP</w:t>
            </w:r>
          </w:p>
        </w:tc>
        <w:tc>
          <w:tcPr>
            <w:tcW w:w="5431" w:type="dxa"/>
          </w:tcPr>
          <w:p w14:paraId="56705407" w14:textId="66CC7AB3" w:rsidR="00DB0198" w:rsidRPr="002E53BF" w:rsidRDefault="00DB0198" w:rsidP="00DB0198">
            <w:pPr>
              <w:cnfStyle w:val="000000000000" w:firstRow="0" w:lastRow="0" w:firstColumn="0" w:lastColumn="0" w:oddVBand="0" w:evenVBand="0" w:oddHBand="0" w:evenHBand="0" w:firstRowFirstColumn="0" w:firstRowLastColumn="0" w:lastRowFirstColumn="0" w:lastRowLastColumn="0"/>
            </w:pPr>
            <w:r w:rsidRPr="0088310A">
              <w:t>21–23 Normanby Street, Yeppoon QLD 4703</w:t>
            </w:r>
          </w:p>
        </w:tc>
      </w:tr>
    </w:tbl>
    <w:p w14:paraId="77AD2155" w14:textId="2F824A7E" w:rsidR="006800C7" w:rsidRDefault="006800C7" w:rsidP="006800C7">
      <w:r>
        <w:t>**</w:t>
      </w:r>
      <w:r w:rsidR="00524C26" w:rsidRPr="00524C26">
        <w:t xml:space="preserve"> Department of Communities, Housing and Digital Economy are currently the lead agency for this site.</w:t>
      </w:r>
    </w:p>
    <w:p w14:paraId="47E4A22E" w14:textId="77777777" w:rsidR="006800C7" w:rsidRDefault="006800C7" w:rsidP="006800C7"/>
    <w:p w14:paraId="292E928F" w14:textId="77777777" w:rsidR="006800C7" w:rsidRDefault="006800C7" w:rsidP="006800C7">
      <w:pPr>
        <w:pStyle w:val="Heading3"/>
      </w:pPr>
      <w:r w:rsidRPr="00F56B0C">
        <w:t xml:space="preserve">Key regional maritime offices </w:t>
      </w:r>
    </w:p>
    <w:tbl>
      <w:tblPr>
        <w:tblStyle w:val="GridTable1Light"/>
        <w:tblW w:w="9062" w:type="dxa"/>
        <w:tblLook w:val="04A0" w:firstRow="1" w:lastRow="0" w:firstColumn="1" w:lastColumn="0" w:noHBand="0" w:noVBand="1"/>
      </w:tblPr>
      <w:tblGrid>
        <w:gridCol w:w="2262"/>
        <w:gridCol w:w="6800"/>
      </w:tblGrid>
      <w:tr w:rsidR="006800C7" w14:paraId="5BA24E35" w14:textId="77777777" w:rsidTr="001847E9">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2262" w:type="dxa"/>
          </w:tcPr>
          <w:p w14:paraId="7AB9353D" w14:textId="77777777" w:rsidR="006800C7" w:rsidRPr="002E53BF" w:rsidRDefault="006800C7" w:rsidP="00F31956">
            <w:r w:rsidRPr="00953B9D">
              <w:t>Suburb/town</w:t>
            </w:r>
          </w:p>
        </w:tc>
        <w:tc>
          <w:tcPr>
            <w:tcW w:w="6800" w:type="dxa"/>
          </w:tcPr>
          <w:p w14:paraId="2E3C5554" w14:textId="77777777" w:rsidR="006800C7" w:rsidRPr="002E53BF" w:rsidRDefault="006800C7" w:rsidP="00F31956">
            <w:pPr>
              <w:cnfStyle w:val="100000000000" w:firstRow="1" w:lastRow="0" w:firstColumn="0" w:lastColumn="0" w:oddVBand="0" w:evenVBand="0" w:oddHBand="0" w:evenHBand="0" w:firstRowFirstColumn="0" w:firstRowLastColumn="0" w:lastRowFirstColumn="0" w:lastRowLastColumn="0"/>
            </w:pPr>
            <w:r w:rsidRPr="00953B9D">
              <w:t>Address</w:t>
            </w:r>
          </w:p>
        </w:tc>
      </w:tr>
      <w:tr w:rsidR="006800C7" w14:paraId="3763C1F0" w14:textId="77777777" w:rsidTr="001847E9">
        <w:trPr>
          <w:trHeight w:val="632"/>
        </w:trPr>
        <w:tc>
          <w:tcPr>
            <w:cnfStyle w:val="001000000000" w:firstRow="0" w:lastRow="0" w:firstColumn="1" w:lastColumn="0" w:oddVBand="0" w:evenVBand="0" w:oddHBand="0" w:evenHBand="0" w:firstRowFirstColumn="0" w:firstRowLastColumn="0" w:lastRowFirstColumn="0" w:lastRowLastColumn="0"/>
            <w:tcW w:w="2262" w:type="dxa"/>
          </w:tcPr>
          <w:p w14:paraId="7C9F2729" w14:textId="77777777" w:rsidR="006800C7" w:rsidRPr="002E53BF" w:rsidRDefault="006800C7" w:rsidP="00F31956">
            <w:r w:rsidRPr="00953B9D">
              <w:t>Brisbane</w:t>
            </w:r>
          </w:p>
        </w:tc>
        <w:tc>
          <w:tcPr>
            <w:tcW w:w="6800" w:type="dxa"/>
          </w:tcPr>
          <w:p w14:paraId="00AE3CEB"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953B9D">
              <w:t>Floor 1, Pinkenba Marine Operations Base, MacArthur Avenue East, Pinkenba QLD 4008</w:t>
            </w:r>
          </w:p>
        </w:tc>
      </w:tr>
      <w:tr w:rsidR="006800C7" w14:paraId="1CAA8010" w14:textId="77777777" w:rsidTr="001847E9">
        <w:trPr>
          <w:trHeight w:val="632"/>
        </w:trPr>
        <w:tc>
          <w:tcPr>
            <w:cnfStyle w:val="001000000000" w:firstRow="0" w:lastRow="0" w:firstColumn="1" w:lastColumn="0" w:oddVBand="0" w:evenVBand="0" w:oddHBand="0" w:evenHBand="0" w:firstRowFirstColumn="0" w:firstRowLastColumn="0" w:lastRowFirstColumn="0" w:lastRowLastColumn="0"/>
            <w:tcW w:w="2262" w:type="dxa"/>
          </w:tcPr>
          <w:p w14:paraId="0913E15E" w14:textId="77777777" w:rsidR="006800C7" w:rsidRPr="002E53BF" w:rsidRDefault="006800C7" w:rsidP="00F31956">
            <w:r w:rsidRPr="00953B9D">
              <w:t>Cairns</w:t>
            </w:r>
          </w:p>
        </w:tc>
        <w:tc>
          <w:tcPr>
            <w:tcW w:w="6800" w:type="dxa"/>
          </w:tcPr>
          <w:p w14:paraId="5AB99589"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953B9D">
              <w:t>Floor 1, Portsmith Marine Operations, 100-106 Tingira Street, Portsmith QLD 4870</w:t>
            </w:r>
          </w:p>
        </w:tc>
      </w:tr>
      <w:tr w:rsidR="006800C7" w14:paraId="21FD01C1" w14:textId="77777777" w:rsidTr="001847E9">
        <w:trPr>
          <w:trHeight w:val="632"/>
        </w:trPr>
        <w:tc>
          <w:tcPr>
            <w:cnfStyle w:val="001000000000" w:firstRow="0" w:lastRow="0" w:firstColumn="1" w:lastColumn="0" w:oddVBand="0" w:evenVBand="0" w:oddHBand="0" w:evenHBand="0" w:firstRowFirstColumn="0" w:firstRowLastColumn="0" w:lastRowFirstColumn="0" w:lastRowLastColumn="0"/>
            <w:tcW w:w="2262" w:type="dxa"/>
          </w:tcPr>
          <w:p w14:paraId="53FFB0BD" w14:textId="77777777" w:rsidR="006800C7" w:rsidRPr="002E53BF" w:rsidRDefault="006800C7" w:rsidP="00F31956">
            <w:r w:rsidRPr="00953B9D">
              <w:t>Gladstone</w:t>
            </w:r>
          </w:p>
        </w:tc>
        <w:tc>
          <w:tcPr>
            <w:tcW w:w="6800" w:type="dxa"/>
          </w:tcPr>
          <w:p w14:paraId="132C3514"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953B9D">
              <w:t>Floor 7, 21 Yarroon Street, Gladstone QLD 4680</w:t>
            </w:r>
          </w:p>
        </w:tc>
      </w:tr>
      <w:tr w:rsidR="006800C7" w14:paraId="54E3043B" w14:textId="77777777" w:rsidTr="001847E9">
        <w:trPr>
          <w:trHeight w:val="632"/>
        </w:trPr>
        <w:tc>
          <w:tcPr>
            <w:cnfStyle w:val="001000000000" w:firstRow="0" w:lastRow="0" w:firstColumn="1" w:lastColumn="0" w:oddVBand="0" w:evenVBand="0" w:oddHBand="0" w:evenHBand="0" w:firstRowFirstColumn="0" w:firstRowLastColumn="0" w:lastRowFirstColumn="0" w:lastRowLastColumn="0"/>
            <w:tcW w:w="2262" w:type="dxa"/>
          </w:tcPr>
          <w:p w14:paraId="02391984" w14:textId="77777777" w:rsidR="006800C7" w:rsidRPr="002E53BF" w:rsidRDefault="006800C7" w:rsidP="00F31956">
            <w:r w:rsidRPr="00953B9D">
              <w:t>Mackay</w:t>
            </w:r>
          </w:p>
        </w:tc>
        <w:tc>
          <w:tcPr>
            <w:tcW w:w="6800" w:type="dxa"/>
          </w:tcPr>
          <w:p w14:paraId="63948C9B"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953B9D">
              <w:t>Floor 3, Mackay Government Office Building, 44 Nelson Street, Mackay QLD 4740</w:t>
            </w:r>
          </w:p>
        </w:tc>
      </w:tr>
      <w:tr w:rsidR="006800C7" w14:paraId="33E08F1E" w14:textId="77777777" w:rsidTr="001847E9">
        <w:trPr>
          <w:trHeight w:val="632"/>
        </w:trPr>
        <w:tc>
          <w:tcPr>
            <w:cnfStyle w:val="001000000000" w:firstRow="0" w:lastRow="0" w:firstColumn="1" w:lastColumn="0" w:oddVBand="0" w:evenVBand="0" w:oddHBand="0" w:evenHBand="0" w:firstRowFirstColumn="0" w:firstRowLastColumn="0" w:lastRowFirstColumn="0" w:lastRowLastColumn="0"/>
            <w:tcW w:w="2262" w:type="dxa"/>
          </w:tcPr>
          <w:p w14:paraId="242627D2" w14:textId="77777777" w:rsidR="006800C7" w:rsidRPr="002E53BF" w:rsidRDefault="006800C7" w:rsidP="00F31956">
            <w:r w:rsidRPr="00953B9D">
              <w:t xml:space="preserve">Townsville </w:t>
            </w:r>
          </w:p>
        </w:tc>
        <w:tc>
          <w:tcPr>
            <w:tcW w:w="6800" w:type="dxa"/>
          </w:tcPr>
          <w:p w14:paraId="66D27BB4"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953B9D">
              <w:t>60 Ross Street, Townsville QLD 4810</w:t>
            </w:r>
          </w:p>
        </w:tc>
      </w:tr>
    </w:tbl>
    <w:p w14:paraId="2FF51156" w14:textId="77777777" w:rsidR="006800C7" w:rsidRDefault="006800C7" w:rsidP="006800C7">
      <w:r w:rsidRPr="009C7C94">
        <w:t xml:space="preserve">A full list of MSQ offices can be found here  </w:t>
      </w:r>
      <w:hyperlink r:id="rId151" w:history="1">
        <w:r w:rsidRPr="00513615">
          <w:rPr>
            <w:rStyle w:val="Hyperlink"/>
          </w:rPr>
          <w:t>https://www.msq.qld.gov.au/About-us/How-to-contact-us/Regions</w:t>
        </w:r>
      </w:hyperlink>
      <w:r>
        <w:t xml:space="preserve"> </w:t>
      </w:r>
    </w:p>
    <w:p w14:paraId="67A6CD88" w14:textId="77777777" w:rsidR="006800C7" w:rsidRDefault="006800C7" w:rsidP="006800C7">
      <w:pPr>
        <w:pStyle w:val="Heading3"/>
      </w:pPr>
    </w:p>
    <w:p w14:paraId="0527CA94" w14:textId="77777777" w:rsidR="006800C7" w:rsidRDefault="006800C7" w:rsidP="006800C7">
      <w:pPr>
        <w:pStyle w:val="Heading3"/>
      </w:pPr>
      <w:r>
        <w:t>TransLink regional contact centres</w:t>
      </w:r>
    </w:p>
    <w:tbl>
      <w:tblPr>
        <w:tblStyle w:val="GridTable1Light"/>
        <w:tblW w:w="8731" w:type="dxa"/>
        <w:tblLook w:val="04A0" w:firstRow="1" w:lastRow="0" w:firstColumn="1" w:lastColumn="0" w:noHBand="0" w:noVBand="1"/>
      </w:tblPr>
      <w:tblGrid>
        <w:gridCol w:w="2179"/>
        <w:gridCol w:w="6552"/>
      </w:tblGrid>
      <w:tr w:rsidR="006800C7" w14:paraId="4F875541" w14:textId="77777777" w:rsidTr="001847E9">
        <w:trPr>
          <w:cnfStyle w:val="100000000000" w:firstRow="1" w:lastRow="0"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2179" w:type="dxa"/>
          </w:tcPr>
          <w:p w14:paraId="62934005" w14:textId="77777777" w:rsidR="006800C7" w:rsidRPr="002E53BF" w:rsidRDefault="006800C7" w:rsidP="00F31956">
            <w:r w:rsidRPr="00E84BC9">
              <w:t>Suburb/town</w:t>
            </w:r>
          </w:p>
        </w:tc>
        <w:tc>
          <w:tcPr>
            <w:tcW w:w="6552" w:type="dxa"/>
          </w:tcPr>
          <w:p w14:paraId="460BD8C2" w14:textId="77777777" w:rsidR="006800C7" w:rsidRPr="002E53BF" w:rsidRDefault="006800C7" w:rsidP="00F31956">
            <w:pPr>
              <w:cnfStyle w:val="100000000000" w:firstRow="1" w:lastRow="0" w:firstColumn="0" w:lastColumn="0" w:oddVBand="0" w:evenVBand="0" w:oddHBand="0" w:evenHBand="0" w:firstRowFirstColumn="0" w:firstRowLastColumn="0" w:lastRowFirstColumn="0" w:lastRowLastColumn="0"/>
            </w:pPr>
            <w:r w:rsidRPr="00E84BC9">
              <w:t>Address</w:t>
            </w:r>
          </w:p>
        </w:tc>
      </w:tr>
      <w:tr w:rsidR="00A542B4" w14:paraId="0E09806E" w14:textId="77777777" w:rsidTr="001847E9">
        <w:trPr>
          <w:trHeight w:val="619"/>
        </w:trPr>
        <w:tc>
          <w:tcPr>
            <w:cnfStyle w:val="001000000000" w:firstRow="0" w:lastRow="0" w:firstColumn="1" w:lastColumn="0" w:oddVBand="0" w:evenVBand="0" w:oddHBand="0" w:evenHBand="0" w:firstRowFirstColumn="0" w:firstRowLastColumn="0" w:lastRowFirstColumn="0" w:lastRowLastColumn="0"/>
            <w:tcW w:w="2179" w:type="dxa"/>
          </w:tcPr>
          <w:p w14:paraId="15DE8318" w14:textId="54230908" w:rsidR="00A542B4" w:rsidRPr="002E53BF" w:rsidRDefault="00A542B4" w:rsidP="00A542B4">
            <w:r w:rsidRPr="00E84BC9">
              <w:t>Cairns</w:t>
            </w:r>
          </w:p>
        </w:tc>
        <w:tc>
          <w:tcPr>
            <w:tcW w:w="6552" w:type="dxa"/>
          </w:tcPr>
          <w:p w14:paraId="1457F974" w14:textId="27B48F43" w:rsidR="00A542B4" w:rsidRPr="002E53BF" w:rsidRDefault="00A542B4" w:rsidP="00A542B4">
            <w:pPr>
              <w:cnfStyle w:val="000000000000" w:firstRow="0" w:lastRow="0" w:firstColumn="0" w:lastColumn="0" w:oddVBand="0" w:evenVBand="0" w:oddHBand="0" w:evenHBand="0" w:firstRowFirstColumn="0" w:firstRowLastColumn="0" w:lastRowFirstColumn="0" w:lastRowLastColumn="0"/>
            </w:pPr>
            <w:r w:rsidRPr="00E84BC9">
              <w:t>Floor 4, 15 Lake Street, Cairns QLD 4870</w:t>
            </w:r>
          </w:p>
        </w:tc>
      </w:tr>
      <w:tr w:rsidR="00A542B4" w14:paraId="7857C51B" w14:textId="77777777" w:rsidTr="001847E9">
        <w:trPr>
          <w:trHeight w:val="619"/>
        </w:trPr>
        <w:tc>
          <w:tcPr>
            <w:cnfStyle w:val="001000000000" w:firstRow="0" w:lastRow="0" w:firstColumn="1" w:lastColumn="0" w:oddVBand="0" w:evenVBand="0" w:oddHBand="0" w:evenHBand="0" w:firstRowFirstColumn="0" w:firstRowLastColumn="0" w:lastRowFirstColumn="0" w:lastRowLastColumn="0"/>
            <w:tcW w:w="2179" w:type="dxa"/>
          </w:tcPr>
          <w:p w14:paraId="1D90B2A9" w14:textId="7F69615C" w:rsidR="00A542B4" w:rsidRPr="002E53BF" w:rsidRDefault="00A542B4" w:rsidP="00A542B4">
            <w:r w:rsidRPr="00E84BC9">
              <w:t>Carseldine</w:t>
            </w:r>
          </w:p>
        </w:tc>
        <w:tc>
          <w:tcPr>
            <w:tcW w:w="6552" w:type="dxa"/>
          </w:tcPr>
          <w:p w14:paraId="5322C7CC" w14:textId="2227246D" w:rsidR="00A542B4" w:rsidRPr="002E53BF" w:rsidRDefault="00A542B4" w:rsidP="00A542B4">
            <w:pPr>
              <w:cnfStyle w:val="000000000000" w:firstRow="0" w:lastRow="0" w:firstColumn="0" w:lastColumn="0" w:oddVBand="0" w:evenVBand="0" w:oddHBand="0" w:evenHBand="0" w:firstRowFirstColumn="0" w:firstRowLastColumn="0" w:lastRowFirstColumn="0" w:lastRowLastColumn="0"/>
            </w:pPr>
            <w:r>
              <w:t xml:space="preserve">Building B, </w:t>
            </w:r>
            <w:r w:rsidRPr="00235E12">
              <w:t>Floor 3, 532 Beams Road, Carseldine QLD 4034</w:t>
            </w:r>
          </w:p>
        </w:tc>
      </w:tr>
      <w:tr w:rsidR="00A542B4" w14:paraId="5474BC8A" w14:textId="77777777" w:rsidTr="001847E9">
        <w:trPr>
          <w:trHeight w:val="619"/>
        </w:trPr>
        <w:tc>
          <w:tcPr>
            <w:cnfStyle w:val="001000000000" w:firstRow="0" w:lastRow="0" w:firstColumn="1" w:lastColumn="0" w:oddVBand="0" w:evenVBand="0" w:oddHBand="0" w:evenHBand="0" w:firstRowFirstColumn="0" w:firstRowLastColumn="0" w:lastRowFirstColumn="0" w:lastRowLastColumn="0"/>
            <w:tcW w:w="2179" w:type="dxa"/>
          </w:tcPr>
          <w:p w14:paraId="5A31A181" w14:textId="568ED015" w:rsidR="00A542B4" w:rsidRPr="002E53BF" w:rsidRDefault="00A542B4" w:rsidP="00A542B4">
            <w:r w:rsidRPr="00E84BC9">
              <w:t xml:space="preserve">Ipswich </w:t>
            </w:r>
          </w:p>
        </w:tc>
        <w:tc>
          <w:tcPr>
            <w:tcW w:w="6552" w:type="dxa"/>
          </w:tcPr>
          <w:p w14:paraId="3D0DC614" w14:textId="65FB1A72" w:rsidR="00A542B4" w:rsidRPr="002E53BF" w:rsidRDefault="00A542B4" w:rsidP="00A542B4">
            <w:pPr>
              <w:cnfStyle w:val="000000000000" w:firstRow="0" w:lastRow="0" w:firstColumn="0" w:lastColumn="0" w:oddVBand="0" w:evenVBand="0" w:oddHBand="0" w:evenHBand="0" w:firstRowFirstColumn="0" w:firstRowLastColumn="0" w:lastRowFirstColumn="0" w:lastRowLastColumn="0"/>
            </w:pPr>
            <w:r w:rsidRPr="00E84BC9">
              <w:t xml:space="preserve">2 Colvin Street, North Ipswich QLD </w:t>
            </w:r>
            <w:r w:rsidRPr="00235E12">
              <w:t>4305</w:t>
            </w:r>
          </w:p>
        </w:tc>
      </w:tr>
      <w:tr w:rsidR="00A542B4" w14:paraId="463B0A8A" w14:textId="77777777" w:rsidTr="001847E9">
        <w:trPr>
          <w:trHeight w:val="619"/>
        </w:trPr>
        <w:tc>
          <w:tcPr>
            <w:cnfStyle w:val="001000000000" w:firstRow="0" w:lastRow="0" w:firstColumn="1" w:lastColumn="0" w:oddVBand="0" w:evenVBand="0" w:oddHBand="0" w:evenHBand="0" w:firstRowFirstColumn="0" w:firstRowLastColumn="0" w:lastRowFirstColumn="0" w:lastRowLastColumn="0"/>
            <w:tcW w:w="2179" w:type="dxa"/>
          </w:tcPr>
          <w:p w14:paraId="1D71DAB8" w14:textId="41ACE212" w:rsidR="00A542B4" w:rsidRPr="002E53BF" w:rsidRDefault="00A542B4" w:rsidP="00A542B4">
            <w:r w:rsidRPr="00E84BC9">
              <w:t>Mackay</w:t>
            </w:r>
          </w:p>
        </w:tc>
        <w:tc>
          <w:tcPr>
            <w:tcW w:w="6552" w:type="dxa"/>
          </w:tcPr>
          <w:p w14:paraId="33E07D7E" w14:textId="0D4689C3" w:rsidR="00A542B4" w:rsidRPr="002E53BF" w:rsidRDefault="00A542B4" w:rsidP="00A542B4">
            <w:pPr>
              <w:cnfStyle w:val="000000000000" w:firstRow="0" w:lastRow="0" w:firstColumn="0" w:lastColumn="0" w:oddVBand="0" w:evenVBand="0" w:oddHBand="0" w:evenHBand="0" w:firstRowFirstColumn="0" w:firstRowLastColumn="0" w:lastRowFirstColumn="0" w:lastRowLastColumn="0"/>
            </w:pPr>
            <w:r w:rsidRPr="00E84BC9">
              <w:t>Floor 3, 44 Nelson Street, Mackay QLD 4740</w:t>
            </w:r>
          </w:p>
        </w:tc>
      </w:tr>
      <w:tr w:rsidR="00A542B4" w14:paraId="7799941A" w14:textId="77777777" w:rsidTr="001847E9">
        <w:trPr>
          <w:trHeight w:val="619"/>
        </w:trPr>
        <w:tc>
          <w:tcPr>
            <w:cnfStyle w:val="001000000000" w:firstRow="0" w:lastRow="0" w:firstColumn="1" w:lastColumn="0" w:oddVBand="0" w:evenVBand="0" w:oddHBand="0" w:evenHBand="0" w:firstRowFirstColumn="0" w:firstRowLastColumn="0" w:lastRowFirstColumn="0" w:lastRowLastColumn="0"/>
            <w:tcW w:w="2179" w:type="dxa"/>
          </w:tcPr>
          <w:p w14:paraId="621019B6" w14:textId="6A74AFFD" w:rsidR="00A542B4" w:rsidRPr="002E53BF" w:rsidRDefault="00A542B4" w:rsidP="00A542B4">
            <w:r w:rsidRPr="00E84BC9">
              <w:t>Maroochydore</w:t>
            </w:r>
          </w:p>
        </w:tc>
        <w:tc>
          <w:tcPr>
            <w:tcW w:w="6552" w:type="dxa"/>
          </w:tcPr>
          <w:p w14:paraId="1EB74332" w14:textId="56D1D692" w:rsidR="00A542B4" w:rsidRPr="002E53BF" w:rsidRDefault="00A542B4" w:rsidP="00A542B4">
            <w:pPr>
              <w:cnfStyle w:val="000000000000" w:firstRow="0" w:lastRow="0" w:firstColumn="0" w:lastColumn="0" w:oddVBand="0" w:evenVBand="0" w:oddHBand="0" w:evenHBand="0" w:firstRowFirstColumn="0" w:firstRowLastColumn="0" w:lastRowFirstColumn="0" w:lastRowLastColumn="0"/>
            </w:pPr>
            <w:r w:rsidRPr="00E84BC9">
              <w:t xml:space="preserve">Building 1, 131 Sugar Road, Maroochydore QLD 4558 </w:t>
            </w:r>
          </w:p>
        </w:tc>
      </w:tr>
      <w:tr w:rsidR="00A542B4" w14:paraId="66B7D5B2" w14:textId="77777777" w:rsidTr="001847E9">
        <w:trPr>
          <w:trHeight w:val="619"/>
        </w:trPr>
        <w:tc>
          <w:tcPr>
            <w:cnfStyle w:val="001000000000" w:firstRow="0" w:lastRow="0" w:firstColumn="1" w:lastColumn="0" w:oddVBand="0" w:evenVBand="0" w:oddHBand="0" w:evenHBand="0" w:firstRowFirstColumn="0" w:firstRowLastColumn="0" w:lastRowFirstColumn="0" w:lastRowLastColumn="0"/>
            <w:tcW w:w="2179" w:type="dxa"/>
          </w:tcPr>
          <w:p w14:paraId="59D39976" w14:textId="5CE52FE5" w:rsidR="00A542B4" w:rsidRPr="002E53BF" w:rsidRDefault="00A542B4" w:rsidP="00A542B4">
            <w:r w:rsidRPr="00E84BC9">
              <w:t>Maryborough</w:t>
            </w:r>
          </w:p>
        </w:tc>
        <w:tc>
          <w:tcPr>
            <w:tcW w:w="6552" w:type="dxa"/>
          </w:tcPr>
          <w:p w14:paraId="25B332FD" w14:textId="30544949" w:rsidR="00A542B4" w:rsidRPr="002E53BF" w:rsidRDefault="00A542B4" w:rsidP="00A542B4">
            <w:pPr>
              <w:cnfStyle w:val="000000000000" w:firstRow="0" w:lastRow="0" w:firstColumn="0" w:lastColumn="0" w:oddVBand="0" w:evenVBand="0" w:oddHBand="0" w:evenHBand="0" w:firstRowFirstColumn="0" w:firstRowLastColumn="0" w:lastRowFirstColumn="0" w:lastRowLastColumn="0"/>
            </w:pPr>
            <w:r w:rsidRPr="00E84BC9">
              <w:t>Bright Street, Maryborough QLD 4650</w:t>
            </w:r>
          </w:p>
        </w:tc>
      </w:tr>
      <w:tr w:rsidR="00A542B4" w14:paraId="5C124F43" w14:textId="77777777" w:rsidTr="001847E9">
        <w:trPr>
          <w:trHeight w:val="619"/>
        </w:trPr>
        <w:tc>
          <w:tcPr>
            <w:cnfStyle w:val="001000000000" w:firstRow="0" w:lastRow="0" w:firstColumn="1" w:lastColumn="0" w:oddVBand="0" w:evenVBand="0" w:oddHBand="0" w:evenHBand="0" w:firstRowFirstColumn="0" w:firstRowLastColumn="0" w:lastRowFirstColumn="0" w:lastRowLastColumn="0"/>
            <w:tcW w:w="2179" w:type="dxa"/>
          </w:tcPr>
          <w:p w14:paraId="358DF9F0" w14:textId="1D4ED3C9" w:rsidR="00A542B4" w:rsidRPr="002E53BF" w:rsidRDefault="00A542B4" w:rsidP="00A542B4">
            <w:r w:rsidRPr="00E84BC9">
              <w:t xml:space="preserve">Rockhampton </w:t>
            </w:r>
          </w:p>
        </w:tc>
        <w:tc>
          <w:tcPr>
            <w:tcW w:w="6552" w:type="dxa"/>
          </w:tcPr>
          <w:p w14:paraId="22BA31B9" w14:textId="7AA0DF79" w:rsidR="00A542B4" w:rsidRPr="002E53BF" w:rsidRDefault="00A542B4" w:rsidP="00A542B4">
            <w:pPr>
              <w:cnfStyle w:val="000000000000" w:firstRow="0" w:lastRow="0" w:firstColumn="0" w:lastColumn="0" w:oddVBand="0" w:evenVBand="0" w:oddHBand="0" w:evenHBand="0" w:firstRowFirstColumn="0" w:firstRowLastColumn="0" w:lastRowFirstColumn="0" w:lastRowLastColumn="0"/>
            </w:pPr>
            <w:r w:rsidRPr="00E84BC9">
              <w:t>31 Knight Street, North Rockhampton QLD 4701</w:t>
            </w:r>
          </w:p>
        </w:tc>
      </w:tr>
      <w:tr w:rsidR="00A542B4" w14:paraId="54B04E6A" w14:textId="77777777" w:rsidTr="001847E9">
        <w:trPr>
          <w:trHeight w:val="619"/>
        </w:trPr>
        <w:tc>
          <w:tcPr>
            <w:cnfStyle w:val="001000000000" w:firstRow="0" w:lastRow="0" w:firstColumn="1" w:lastColumn="0" w:oddVBand="0" w:evenVBand="0" w:oddHBand="0" w:evenHBand="0" w:firstRowFirstColumn="0" w:firstRowLastColumn="0" w:lastRowFirstColumn="0" w:lastRowLastColumn="0"/>
            <w:tcW w:w="2179" w:type="dxa"/>
          </w:tcPr>
          <w:p w14:paraId="45779B00" w14:textId="007D7D5F" w:rsidR="00A542B4" w:rsidRPr="002E53BF" w:rsidRDefault="00A542B4" w:rsidP="00A542B4">
            <w:r w:rsidRPr="00E84BC9">
              <w:t>Roma</w:t>
            </w:r>
          </w:p>
        </w:tc>
        <w:tc>
          <w:tcPr>
            <w:tcW w:w="6552" w:type="dxa"/>
          </w:tcPr>
          <w:p w14:paraId="18822ACA" w14:textId="3F84C53A" w:rsidR="00A542B4" w:rsidRPr="002E53BF" w:rsidRDefault="00A542B4" w:rsidP="00A542B4">
            <w:pPr>
              <w:cnfStyle w:val="000000000000" w:firstRow="0" w:lastRow="0" w:firstColumn="0" w:lastColumn="0" w:oddVBand="0" w:evenVBand="0" w:oddHBand="0" w:evenHBand="0" w:firstRowFirstColumn="0" w:firstRowLastColumn="0" w:lastRowFirstColumn="0" w:lastRowLastColumn="0"/>
            </w:pPr>
            <w:r>
              <w:t>56 Gregory Street</w:t>
            </w:r>
            <w:r w:rsidRPr="00235E12">
              <w:t>, Roma QLD 4455</w:t>
            </w:r>
          </w:p>
        </w:tc>
      </w:tr>
      <w:tr w:rsidR="00A542B4" w14:paraId="5BBC06D1" w14:textId="77777777" w:rsidTr="001847E9">
        <w:trPr>
          <w:trHeight w:val="619"/>
        </w:trPr>
        <w:tc>
          <w:tcPr>
            <w:cnfStyle w:val="001000000000" w:firstRow="0" w:lastRow="0" w:firstColumn="1" w:lastColumn="0" w:oddVBand="0" w:evenVBand="0" w:oddHBand="0" w:evenHBand="0" w:firstRowFirstColumn="0" w:firstRowLastColumn="0" w:lastRowFirstColumn="0" w:lastRowLastColumn="0"/>
            <w:tcW w:w="2179" w:type="dxa"/>
          </w:tcPr>
          <w:p w14:paraId="0ABD19D8" w14:textId="06453344" w:rsidR="00A542B4" w:rsidRPr="002E53BF" w:rsidRDefault="00A542B4" w:rsidP="00A542B4">
            <w:r w:rsidRPr="00E84BC9">
              <w:t>Southport</w:t>
            </w:r>
          </w:p>
        </w:tc>
        <w:tc>
          <w:tcPr>
            <w:tcW w:w="6552" w:type="dxa"/>
          </w:tcPr>
          <w:p w14:paraId="13952513" w14:textId="684414DD" w:rsidR="00A542B4" w:rsidRPr="002E53BF" w:rsidRDefault="00A542B4" w:rsidP="00A542B4">
            <w:pPr>
              <w:cnfStyle w:val="000000000000" w:firstRow="0" w:lastRow="0" w:firstColumn="0" w:lastColumn="0" w:oddVBand="0" w:evenVBand="0" w:oddHBand="0" w:evenHBand="0" w:firstRowFirstColumn="0" w:firstRowLastColumn="0" w:lastRowFirstColumn="0" w:lastRowLastColumn="0"/>
            </w:pPr>
            <w:r w:rsidRPr="00E84BC9">
              <w:t>Floor 8, 12 Marine Parade, Southport QLD 4215</w:t>
            </w:r>
          </w:p>
        </w:tc>
      </w:tr>
      <w:tr w:rsidR="00A542B4" w14:paraId="014F700C" w14:textId="77777777" w:rsidTr="001847E9">
        <w:trPr>
          <w:trHeight w:val="619"/>
        </w:trPr>
        <w:tc>
          <w:tcPr>
            <w:cnfStyle w:val="001000000000" w:firstRow="0" w:lastRow="0" w:firstColumn="1" w:lastColumn="0" w:oddVBand="0" w:evenVBand="0" w:oddHBand="0" w:evenHBand="0" w:firstRowFirstColumn="0" w:firstRowLastColumn="0" w:lastRowFirstColumn="0" w:lastRowLastColumn="0"/>
            <w:tcW w:w="2179" w:type="dxa"/>
          </w:tcPr>
          <w:p w14:paraId="575E739D" w14:textId="5D02844F" w:rsidR="00A542B4" w:rsidRPr="002E53BF" w:rsidRDefault="00A542B4" w:rsidP="00A542B4">
            <w:r w:rsidRPr="00E84BC9">
              <w:t>Toowoomba</w:t>
            </w:r>
          </w:p>
        </w:tc>
        <w:tc>
          <w:tcPr>
            <w:tcW w:w="6552" w:type="dxa"/>
          </w:tcPr>
          <w:p w14:paraId="5D863942" w14:textId="7D2E0237" w:rsidR="00A542B4" w:rsidRPr="002E53BF" w:rsidRDefault="00A542B4" w:rsidP="00A542B4">
            <w:pPr>
              <w:cnfStyle w:val="000000000000" w:firstRow="0" w:lastRow="0" w:firstColumn="0" w:lastColumn="0" w:oddVBand="0" w:evenVBand="0" w:oddHBand="0" w:evenHBand="0" w:firstRowFirstColumn="0" w:firstRowLastColumn="0" w:lastRowFirstColumn="0" w:lastRowLastColumn="0"/>
            </w:pPr>
            <w:r w:rsidRPr="00E84BC9">
              <w:t>1</w:t>
            </w:r>
            <w:r>
              <w:t>–</w:t>
            </w:r>
            <w:r w:rsidRPr="00E84BC9">
              <w:t xml:space="preserve">5 </w:t>
            </w:r>
            <w:r w:rsidRPr="00235E12">
              <w:t>Philip Street (corner Clopton Street), Toowoomba QLD 4350</w:t>
            </w:r>
          </w:p>
        </w:tc>
      </w:tr>
      <w:tr w:rsidR="00A542B4" w14:paraId="62A935A4" w14:textId="77777777" w:rsidTr="001847E9">
        <w:trPr>
          <w:trHeight w:val="619"/>
        </w:trPr>
        <w:tc>
          <w:tcPr>
            <w:cnfStyle w:val="001000000000" w:firstRow="0" w:lastRow="0" w:firstColumn="1" w:lastColumn="0" w:oddVBand="0" w:evenVBand="0" w:oddHBand="0" w:evenHBand="0" w:firstRowFirstColumn="0" w:firstRowLastColumn="0" w:lastRowFirstColumn="0" w:lastRowLastColumn="0"/>
            <w:tcW w:w="2179" w:type="dxa"/>
          </w:tcPr>
          <w:p w14:paraId="5F8A3262" w14:textId="5406DDF2" w:rsidR="00A542B4" w:rsidRPr="002E53BF" w:rsidRDefault="00A542B4" w:rsidP="00A542B4">
            <w:r w:rsidRPr="00E84BC9">
              <w:lastRenderedPageBreak/>
              <w:t>Townsville</w:t>
            </w:r>
          </w:p>
        </w:tc>
        <w:tc>
          <w:tcPr>
            <w:tcW w:w="6552" w:type="dxa"/>
          </w:tcPr>
          <w:p w14:paraId="53BBB204" w14:textId="35C195EE" w:rsidR="00A542B4" w:rsidRPr="002E53BF" w:rsidRDefault="00A542B4" w:rsidP="00A542B4">
            <w:pPr>
              <w:cnfStyle w:val="000000000000" w:firstRow="0" w:lastRow="0" w:firstColumn="0" w:lastColumn="0" w:oddVBand="0" w:evenVBand="0" w:oddHBand="0" w:evenHBand="0" w:firstRowFirstColumn="0" w:firstRowLastColumn="0" w:lastRowFirstColumn="0" w:lastRowLastColumn="0"/>
            </w:pPr>
            <w:r>
              <w:t>Floor 5, Townsville Government Office Building</w:t>
            </w:r>
            <w:r w:rsidRPr="00235E12">
              <w:t>, 445 Flinders Street, Townsville, QLD 4810</w:t>
            </w:r>
          </w:p>
        </w:tc>
      </w:tr>
      <w:tr w:rsidR="006800C7" w14:paraId="3B1037F7" w14:textId="77777777" w:rsidTr="001847E9">
        <w:trPr>
          <w:trHeight w:val="619"/>
        </w:trPr>
        <w:tc>
          <w:tcPr>
            <w:cnfStyle w:val="001000000000" w:firstRow="0" w:lastRow="0" w:firstColumn="1" w:lastColumn="0" w:oddVBand="0" w:evenVBand="0" w:oddHBand="0" w:evenHBand="0" w:firstRowFirstColumn="0" w:firstRowLastColumn="0" w:lastRowFirstColumn="0" w:lastRowLastColumn="0"/>
            <w:tcW w:w="2179" w:type="dxa"/>
          </w:tcPr>
          <w:p w14:paraId="107BCDE4" w14:textId="77777777" w:rsidR="006800C7" w:rsidRPr="00E84BC9" w:rsidRDefault="006800C7" w:rsidP="00F31956"/>
        </w:tc>
        <w:tc>
          <w:tcPr>
            <w:tcW w:w="6552" w:type="dxa"/>
          </w:tcPr>
          <w:p w14:paraId="78965A39" w14:textId="77777777" w:rsidR="006800C7" w:rsidRPr="00E84BC9" w:rsidRDefault="006800C7" w:rsidP="00F31956">
            <w:pPr>
              <w:cnfStyle w:val="000000000000" w:firstRow="0" w:lastRow="0" w:firstColumn="0" w:lastColumn="0" w:oddVBand="0" w:evenVBand="0" w:oddHBand="0" w:evenHBand="0" w:firstRowFirstColumn="0" w:firstRowLastColumn="0" w:lastRowFirstColumn="0" w:lastRowLastColumn="0"/>
            </w:pPr>
          </w:p>
        </w:tc>
      </w:tr>
    </w:tbl>
    <w:p w14:paraId="783FD0EC" w14:textId="77777777" w:rsidR="006800C7" w:rsidRDefault="006800C7" w:rsidP="006800C7"/>
    <w:p w14:paraId="433EF7E7" w14:textId="77777777" w:rsidR="006800C7" w:rsidRPr="00F56B0C" w:rsidRDefault="006800C7" w:rsidP="006800C7">
      <w:pPr>
        <w:pStyle w:val="Heading3"/>
      </w:pPr>
      <w:r w:rsidRPr="00F56B0C">
        <w:t xml:space="preserve">Traffic management centres </w:t>
      </w:r>
    </w:p>
    <w:tbl>
      <w:tblPr>
        <w:tblStyle w:val="GridTable1Light"/>
        <w:tblW w:w="7995" w:type="dxa"/>
        <w:tblLook w:val="04A0" w:firstRow="1" w:lastRow="0" w:firstColumn="1" w:lastColumn="0" w:noHBand="0" w:noVBand="1"/>
      </w:tblPr>
      <w:tblGrid>
        <w:gridCol w:w="2977"/>
        <w:gridCol w:w="5018"/>
      </w:tblGrid>
      <w:tr w:rsidR="006800C7" w14:paraId="63C10C41" w14:textId="77777777" w:rsidTr="001847E9">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977" w:type="dxa"/>
          </w:tcPr>
          <w:p w14:paraId="61B930A8" w14:textId="77777777" w:rsidR="006800C7" w:rsidRPr="002E53BF" w:rsidRDefault="006800C7" w:rsidP="00F31956">
            <w:r w:rsidRPr="00A77F61">
              <w:t>Office</w:t>
            </w:r>
          </w:p>
        </w:tc>
        <w:tc>
          <w:tcPr>
            <w:tcW w:w="5018" w:type="dxa"/>
          </w:tcPr>
          <w:p w14:paraId="188C91C6" w14:textId="77777777" w:rsidR="006800C7" w:rsidRPr="002E53BF" w:rsidRDefault="006800C7" w:rsidP="00F31956">
            <w:pPr>
              <w:cnfStyle w:val="100000000000" w:firstRow="1" w:lastRow="0" w:firstColumn="0" w:lastColumn="0" w:oddVBand="0" w:evenVBand="0" w:oddHBand="0" w:evenHBand="0" w:firstRowFirstColumn="0" w:firstRowLastColumn="0" w:lastRowFirstColumn="0" w:lastRowLastColumn="0"/>
            </w:pPr>
            <w:r w:rsidRPr="00A77F61">
              <w:t>Contact</w:t>
            </w:r>
          </w:p>
        </w:tc>
      </w:tr>
      <w:tr w:rsidR="00245605" w14:paraId="2DC3193B" w14:textId="77777777" w:rsidTr="001847E9">
        <w:trPr>
          <w:trHeight w:val="1158"/>
        </w:trPr>
        <w:tc>
          <w:tcPr>
            <w:cnfStyle w:val="001000000000" w:firstRow="0" w:lastRow="0" w:firstColumn="1" w:lastColumn="0" w:oddVBand="0" w:evenVBand="0" w:oddHBand="0" w:evenHBand="0" w:firstRowFirstColumn="0" w:firstRowLastColumn="0" w:lastRowFirstColumn="0" w:lastRowLastColumn="0"/>
            <w:tcW w:w="2977" w:type="dxa"/>
          </w:tcPr>
          <w:p w14:paraId="000003B7" w14:textId="533D3EFD" w:rsidR="00245605" w:rsidRPr="002E53BF" w:rsidRDefault="00245605" w:rsidP="00245605">
            <w:r w:rsidRPr="00A77F61">
              <w:t xml:space="preserve">Brisbane Metropolitan Transport </w:t>
            </w:r>
            <w:r w:rsidRPr="00235E12">
              <w:t>Management Centre</w:t>
            </w:r>
          </w:p>
        </w:tc>
        <w:tc>
          <w:tcPr>
            <w:tcW w:w="5018" w:type="dxa"/>
          </w:tcPr>
          <w:p w14:paraId="1B9B3EC0" w14:textId="5BD2209E" w:rsidR="00245605" w:rsidRPr="002E53BF" w:rsidRDefault="00245605" w:rsidP="00245605">
            <w:pPr>
              <w:cnfStyle w:val="000000000000" w:firstRow="0" w:lastRow="0" w:firstColumn="0" w:lastColumn="0" w:oddVBand="0" w:evenVBand="0" w:oddHBand="0" w:evenHBand="0" w:firstRowFirstColumn="0" w:firstRowLastColumn="0" w:lastRowFirstColumn="0" w:lastRowLastColumn="0"/>
            </w:pPr>
            <w:r w:rsidRPr="00A77F61">
              <w:t>Phone: (07) 3292 6000 Post: GPO Box 1434, Brisbane QLD 4001</w:t>
            </w:r>
          </w:p>
        </w:tc>
      </w:tr>
      <w:tr w:rsidR="00245605" w14:paraId="623C59F9" w14:textId="77777777" w:rsidTr="001847E9">
        <w:trPr>
          <w:trHeight w:val="1158"/>
        </w:trPr>
        <w:tc>
          <w:tcPr>
            <w:cnfStyle w:val="001000000000" w:firstRow="0" w:lastRow="0" w:firstColumn="1" w:lastColumn="0" w:oddVBand="0" w:evenVBand="0" w:oddHBand="0" w:evenHBand="0" w:firstRowFirstColumn="0" w:firstRowLastColumn="0" w:lastRowFirstColumn="0" w:lastRowLastColumn="0"/>
            <w:tcW w:w="2977" w:type="dxa"/>
          </w:tcPr>
          <w:p w14:paraId="30ABA6A7" w14:textId="7C64E7D0" w:rsidR="00245605" w:rsidRPr="002E53BF" w:rsidRDefault="00245605" w:rsidP="00245605">
            <w:r w:rsidRPr="00A77F61">
              <w:t>Statewide Traffic Management Centre, Nerang</w:t>
            </w:r>
          </w:p>
        </w:tc>
        <w:tc>
          <w:tcPr>
            <w:tcW w:w="5018" w:type="dxa"/>
          </w:tcPr>
          <w:p w14:paraId="442533AD" w14:textId="0A25BCEC" w:rsidR="00245605" w:rsidRPr="002E53BF" w:rsidRDefault="00245605" w:rsidP="00245605">
            <w:pPr>
              <w:cnfStyle w:val="000000000000" w:firstRow="0" w:lastRow="0" w:firstColumn="0" w:lastColumn="0" w:oddVBand="0" w:evenVBand="0" w:oddHBand="0" w:evenHBand="0" w:firstRowFirstColumn="0" w:firstRowLastColumn="0" w:lastRowFirstColumn="0" w:lastRowLastColumn="0"/>
            </w:pPr>
            <w:r w:rsidRPr="00A77F61">
              <w:t>Phone: (07) 5561 3800</w:t>
            </w:r>
          </w:p>
        </w:tc>
      </w:tr>
      <w:tr w:rsidR="00245605" w14:paraId="42FFA14B" w14:textId="77777777" w:rsidTr="001847E9">
        <w:trPr>
          <w:trHeight w:val="884"/>
        </w:trPr>
        <w:tc>
          <w:tcPr>
            <w:cnfStyle w:val="001000000000" w:firstRow="0" w:lastRow="0" w:firstColumn="1" w:lastColumn="0" w:oddVBand="0" w:evenVBand="0" w:oddHBand="0" w:evenHBand="0" w:firstRowFirstColumn="0" w:firstRowLastColumn="0" w:lastRowFirstColumn="0" w:lastRowLastColumn="0"/>
            <w:tcW w:w="2977" w:type="dxa"/>
          </w:tcPr>
          <w:p w14:paraId="40549566" w14:textId="342D616C" w:rsidR="00245605" w:rsidRPr="002E53BF" w:rsidRDefault="00245605" w:rsidP="00245605">
            <w:r w:rsidRPr="00A77F61">
              <w:t>Maroochydore Traffic Management Centre</w:t>
            </w:r>
          </w:p>
        </w:tc>
        <w:tc>
          <w:tcPr>
            <w:tcW w:w="5018" w:type="dxa"/>
          </w:tcPr>
          <w:p w14:paraId="07F45222" w14:textId="18A395EF" w:rsidR="00245605" w:rsidRPr="002E53BF" w:rsidRDefault="00245605" w:rsidP="00245605">
            <w:pPr>
              <w:cnfStyle w:val="000000000000" w:firstRow="0" w:lastRow="0" w:firstColumn="0" w:lastColumn="0" w:oddVBand="0" w:evenVBand="0" w:oddHBand="0" w:evenHBand="0" w:firstRowFirstColumn="0" w:firstRowLastColumn="0" w:lastRowFirstColumn="0" w:lastRowLastColumn="0"/>
            </w:pPr>
            <w:r w:rsidRPr="00A77F61">
              <w:t>Phone: (07) 5313 8737</w:t>
            </w:r>
          </w:p>
        </w:tc>
      </w:tr>
      <w:tr w:rsidR="00245605" w14:paraId="3890B7C4" w14:textId="77777777" w:rsidTr="001847E9">
        <w:trPr>
          <w:trHeight w:val="884"/>
        </w:trPr>
        <w:tc>
          <w:tcPr>
            <w:cnfStyle w:val="001000000000" w:firstRow="0" w:lastRow="0" w:firstColumn="1" w:lastColumn="0" w:oddVBand="0" w:evenVBand="0" w:oddHBand="0" w:evenHBand="0" w:firstRowFirstColumn="0" w:firstRowLastColumn="0" w:lastRowFirstColumn="0" w:lastRowLastColumn="0"/>
            <w:tcW w:w="2977" w:type="dxa"/>
          </w:tcPr>
          <w:p w14:paraId="63DB83E6" w14:textId="79E653F1" w:rsidR="00245605" w:rsidRPr="002E53BF" w:rsidRDefault="00245605" w:rsidP="00245605">
            <w:r w:rsidRPr="00A77F61">
              <w:t>Townsville Traffic Management Centre</w:t>
            </w:r>
          </w:p>
        </w:tc>
        <w:tc>
          <w:tcPr>
            <w:tcW w:w="5018" w:type="dxa"/>
          </w:tcPr>
          <w:p w14:paraId="775FFD98" w14:textId="716274D4" w:rsidR="00245605" w:rsidRPr="002E53BF" w:rsidRDefault="00245605" w:rsidP="00245605">
            <w:pPr>
              <w:cnfStyle w:val="000000000000" w:firstRow="0" w:lastRow="0" w:firstColumn="0" w:lastColumn="0" w:oddVBand="0" w:evenVBand="0" w:oddHBand="0" w:evenHBand="0" w:firstRowFirstColumn="0" w:firstRowLastColumn="0" w:lastRowFirstColumn="0" w:lastRowLastColumn="0"/>
            </w:pPr>
            <w:r w:rsidRPr="00A77F61">
              <w:t>Phone: (07) 4421 8807</w:t>
            </w:r>
          </w:p>
        </w:tc>
      </w:tr>
      <w:tr w:rsidR="00245605" w14:paraId="25562B79" w14:textId="77777777" w:rsidTr="001847E9">
        <w:trPr>
          <w:trHeight w:val="899"/>
        </w:trPr>
        <w:tc>
          <w:tcPr>
            <w:cnfStyle w:val="001000000000" w:firstRow="0" w:lastRow="0" w:firstColumn="1" w:lastColumn="0" w:oddVBand="0" w:evenVBand="0" w:oddHBand="0" w:evenHBand="0" w:firstRowFirstColumn="0" w:firstRowLastColumn="0" w:lastRowFirstColumn="0" w:lastRowLastColumn="0"/>
            <w:tcW w:w="2977" w:type="dxa"/>
          </w:tcPr>
          <w:p w14:paraId="22E6A44F" w14:textId="621A7491" w:rsidR="00245605" w:rsidRPr="002E53BF" w:rsidRDefault="00245605" w:rsidP="00245605">
            <w:r w:rsidRPr="00A77F61">
              <w:t>Cairns Traffic Management Centre</w:t>
            </w:r>
          </w:p>
        </w:tc>
        <w:tc>
          <w:tcPr>
            <w:tcW w:w="5018" w:type="dxa"/>
          </w:tcPr>
          <w:p w14:paraId="053A36D5" w14:textId="381657D1" w:rsidR="00245605" w:rsidRPr="002E53BF" w:rsidRDefault="00245605" w:rsidP="00245605">
            <w:pPr>
              <w:cnfStyle w:val="000000000000" w:firstRow="0" w:lastRow="0" w:firstColumn="0" w:lastColumn="0" w:oddVBand="0" w:evenVBand="0" w:oddHBand="0" w:evenHBand="0" w:firstRowFirstColumn="0" w:firstRowLastColumn="0" w:lastRowFirstColumn="0" w:lastRowLastColumn="0"/>
            </w:pPr>
            <w:r w:rsidRPr="00A77F61">
              <w:t>Phone: (07) 4045 7244</w:t>
            </w:r>
          </w:p>
        </w:tc>
      </w:tr>
      <w:tr w:rsidR="00245605" w14:paraId="5FBFD4E9" w14:textId="77777777" w:rsidTr="001847E9">
        <w:trPr>
          <w:trHeight w:val="884"/>
        </w:trPr>
        <w:tc>
          <w:tcPr>
            <w:cnfStyle w:val="001000000000" w:firstRow="0" w:lastRow="0" w:firstColumn="1" w:lastColumn="0" w:oddVBand="0" w:evenVBand="0" w:oddHBand="0" w:evenHBand="0" w:firstRowFirstColumn="0" w:firstRowLastColumn="0" w:lastRowFirstColumn="0" w:lastRowLastColumn="0"/>
            <w:tcW w:w="2977" w:type="dxa"/>
          </w:tcPr>
          <w:p w14:paraId="75CE8D3B" w14:textId="793200D0" w:rsidR="00245605" w:rsidRPr="002E53BF" w:rsidRDefault="00245605" w:rsidP="00245605">
            <w:r w:rsidRPr="00A77F61">
              <w:t>Toowoomba Traffic Management Centre</w:t>
            </w:r>
          </w:p>
        </w:tc>
        <w:tc>
          <w:tcPr>
            <w:tcW w:w="5018" w:type="dxa"/>
          </w:tcPr>
          <w:p w14:paraId="100D0D31" w14:textId="188C8A8A" w:rsidR="00245605" w:rsidRPr="002E53BF" w:rsidRDefault="00245605" w:rsidP="00245605">
            <w:pPr>
              <w:cnfStyle w:val="000000000000" w:firstRow="0" w:lastRow="0" w:firstColumn="0" w:lastColumn="0" w:oddVBand="0" w:evenVBand="0" w:oddHBand="0" w:evenHBand="0" w:firstRowFirstColumn="0" w:firstRowLastColumn="0" w:lastRowFirstColumn="0" w:lastRowLastColumn="0"/>
            </w:pPr>
            <w:r w:rsidRPr="00A77F61">
              <w:t>Phone: (07) 4639 0700</w:t>
            </w:r>
          </w:p>
        </w:tc>
      </w:tr>
    </w:tbl>
    <w:p w14:paraId="5D57CCC1" w14:textId="77777777" w:rsidR="006800C7" w:rsidRPr="00F56B0C" w:rsidRDefault="006800C7" w:rsidP="006800C7">
      <w:pPr>
        <w:pStyle w:val="Heading3"/>
      </w:pPr>
      <w:r w:rsidRPr="00F56B0C">
        <w:t>Transport and traffic information</w:t>
      </w:r>
    </w:p>
    <w:tbl>
      <w:tblPr>
        <w:tblStyle w:val="GridTable1Light"/>
        <w:tblW w:w="7710" w:type="dxa"/>
        <w:tblLook w:val="04A0" w:firstRow="1" w:lastRow="0" w:firstColumn="1" w:lastColumn="0" w:noHBand="0" w:noVBand="1"/>
      </w:tblPr>
      <w:tblGrid>
        <w:gridCol w:w="1811"/>
        <w:gridCol w:w="5899"/>
      </w:tblGrid>
      <w:tr w:rsidR="006800C7" w14:paraId="07B6E195" w14:textId="77777777" w:rsidTr="001847E9">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811" w:type="dxa"/>
          </w:tcPr>
          <w:p w14:paraId="0C56E75A" w14:textId="77777777" w:rsidR="006800C7" w:rsidRPr="002E53BF" w:rsidRDefault="006800C7" w:rsidP="00F31956">
            <w:r w:rsidRPr="008F7A0E">
              <w:t>Office</w:t>
            </w:r>
          </w:p>
        </w:tc>
        <w:tc>
          <w:tcPr>
            <w:tcW w:w="5899" w:type="dxa"/>
          </w:tcPr>
          <w:p w14:paraId="7CF615FF" w14:textId="77777777" w:rsidR="006800C7" w:rsidRPr="002E53BF" w:rsidRDefault="006800C7" w:rsidP="00F31956">
            <w:pPr>
              <w:cnfStyle w:val="100000000000" w:firstRow="1" w:lastRow="0" w:firstColumn="0" w:lastColumn="0" w:oddVBand="0" w:evenVBand="0" w:oddHBand="0" w:evenHBand="0" w:firstRowFirstColumn="0" w:firstRowLastColumn="0" w:lastRowFirstColumn="0" w:lastRowLastColumn="0"/>
            </w:pPr>
            <w:r w:rsidRPr="008F7A0E">
              <w:t>Contact</w:t>
            </w:r>
          </w:p>
        </w:tc>
      </w:tr>
      <w:tr w:rsidR="006800C7" w14:paraId="6A9B8F0C" w14:textId="77777777" w:rsidTr="001847E9">
        <w:trPr>
          <w:trHeight w:val="590"/>
        </w:trPr>
        <w:tc>
          <w:tcPr>
            <w:cnfStyle w:val="001000000000" w:firstRow="0" w:lastRow="0" w:firstColumn="1" w:lastColumn="0" w:oddVBand="0" w:evenVBand="0" w:oddHBand="0" w:evenHBand="0" w:firstRowFirstColumn="0" w:firstRowLastColumn="0" w:lastRowFirstColumn="0" w:lastRowLastColumn="0"/>
            <w:tcW w:w="1811" w:type="dxa"/>
          </w:tcPr>
          <w:p w14:paraId="0DF8D40B" w14:textId="77777777" w:rsidR="006800C7" w:rsidRPr="002E53BF" w:rsidRDefault="006800C7" w:rsidP="00F31956">
            <w:r w:rsidRPr="008F7A0E">
              <w:t>Public transport</w:t>
            </w:r>
          </w:p>
        </w:tc>
        <w:tc>
          <w:tcPr>
            <w:tcW w:w="5899" w:type="dxa"/>
          </w:tcPr>
          <w:p w14:paraId="1DEB6557"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F7A0E">
              <w:t>Phone: 13 12 30 Web: www.translink.com.au</w:t>
            </w:r>
          </w:p>
        </w:tc>
      </w:tr>
      <w:tr w:rsidR="006800C7" w14:paraId="3BAFA34E" w14:textId="77777777" w:rsidTr="001847E9">
        <w:trPr>
          <w:trHeight w:val="590"/>
        </w:trPr>
        <w:tc>
          <w:tcPr>
            <w:cnfStyle w:val="001000000000" w:firstRow="0" w:lastRow="0" w:firstColumn="1" w:lastColumn="0" w:oddVBand="0" w:evenVBand="0" w:oddHBand="0" w:evenHBand="0" w:firstRowFirstColumn="0" w:firstRowLastColumn="0" w:lastRowFirstColumn="0" w:lastRowLastColumn="0"/>
            <w:tcW w:w="1811" w:type="dxa"/>
          </w:tcPr>
          <w:p w14:paraId="6CCBB465" w14:textId="77777777" w:rsidR="006800C7" w:rsidRPr="002E53BF" w:rsidRDefault="006800C7" w:rsidP="00F31956">
            <w:r w:rsidRPr="008F7A0E">
              <w:t>Traffic information</w:t>
            </w:r>
          </w:p>
        </w:tc>
        <w:tc>
          <w:tcPr>
            <w:tcW w:w="5899" w:type="dxa"/>
          </w:tcPr>
          <w:p w14:paraId="5DD47C41"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F7A0E">
              <w:t xml:space="preserve">Phone: 13 19 40 Web: </w:t>
            </w:r>
            <w:r w:rsidRPr="002E53BF">
              <w:t>qldtraffic.qld.gov.au</w:t>
            </w:r>
          </w:p>
        </w:tc>
      </w:tr>
    </w:tbl>
    <w:p w14:paraId="5C18AB12" w14:textId="77777777" w:rsidR="006800C7" w:rsidRPr="00F56B0C" w:rsidRDefault="006800C7" w:rsidP="006800C7">
      <w:pPr>
        <w:pStyle w:val="Heading3"/>
      </w:pPr>
      <w:r>
        <w:t>Motor v</w:t>
      </w:r>
      <w:r w:rsidRPr="00F56B0C">
        <w:t xml:space="preserve">ehicle </w:t>
      </w:r>
      <w:r>
        <w:t>i</w:t>
      </w:r>
      <w:r w:rsidRPr="00F56B0C">
        <w:t xml:space="preserve">nspection </w:t>
      </w:r>
      <w:r>
        <w:t>c</w:t>
      </w:r>
      <w:r w:rsidRPr="00F56B0C">
        <w:t>entres</w:t>
      </w:r>
      <w:r>
        <w:t xml:space="preserve"> (MVIC)</w:t>
      </w:r>
    </w:p>
    <w:tbl>
      <w:tblPr>
        <w:tblStyle w:val="GridTable1Light"/>
        <w:tblW w:w="7935" w:type="dxa"/>
        <w:tblLook w:val="04A0" w:firstRow="1" w:lastRow="0" w:firstColumn="1" w:lastColumn="0" w:noHBand="0" w:noVBand="1"/>
      </w:tblPr>
      <w:tblGrid>
        <w:gridCol w:w="2127"/>
        <w:gridCol w:w="5808"/>
      </w:tblGrid>
      <w:tr w:rsidR="006800C7" w14:paraId="00BABDAB" w14:textId="77777777" w:rsidTr="00333C47">
        <w:trPr>
          <w:cnfStyle w:val="100000000000" w:firstRow="1" w:lastRow="0" w:firstColumn="0" w:lastColumn="0" w:oddVBand="0" w:evenVBand="0" w:oddHBand="0"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2127" w:type="dxa"/>
          </w:tcPr>
          <w:p w14:paraId="3967B32C" w14:textId="77777777" w:rsidR="006800C7" w:rsidRPr="002E53BF" w:rsidRDefault="006800C7" w:rsidP="00F31956">
            <w:r w:rsidRPr="000247ED">
              <w:t>Suburb</w:t>
            </w:r>
          </w:p>
        </w:tc>
        <w:tc>
          <w:tcPr>
            <w:tcW w:w="5808" w:type="dxa"/>
          </w:tcPr>
          <w:p w14:paraId="5A516C75" w14:textId="77777777" w:rsidR="006800C7" w:rsidRPr="002E53BF" w:rsidRDefault="006800C7" w:rsidP="00F31956">
            <w:pPr>
              <w:cnfStyle w:val="100000000000" w:firstRow="1" w:lastRow="0" w:firstColumn="0" w:lastColumn="0" w:oddVBand="0" w:evenVBand="0" w:oddHBand="0" w:evenHBand="0" w:firstRowFirstColumn="0" w:firstRowLastColumn="0" w:lastRowFirstColumn="0" w:lastRowLastColumn="0"/>
            </w:pPr>
            <w:r w:rsidRPr="000247ED">
              <w:t>Address</w:t>
            </w:r>
          </w:p>
        </w:tc>
      </w:tr>
      <w:tr w:rsidR="006800C7" w14:paraId="2AAA1394" w14:textId="77777777" w:rsidTr="00333C47">
        <w:trPr>
          <w:trHeight w:val="887"/>
        </w:trPr>
        <w:tc>
          <w:tcPr>
            <w:cnfStyle w:val="001000000000" w:firstRow="0" w:lastRow="0" w:firstColumn="1" w:lastColumn="0" w:oddVBand="0" w:evenVBand="0" w:oddHBand="0" w:evenHBand="0" w:firstRowFirstColumn="0" w:firstRowLastColumn="0" w:lastRowFirstColumn="0" w:lastRowLastColumn="0"/>
            <w:tcW w:w="2127" w:type="dxa"/>
          </w:tcPr>
          <w:p w14:paraId="170AF196" w14:textId="77777777" w:rsidR="006800C7" w:rsidRPr="002E53BF" w:rsidRDefault="006800C7" w:rsidP="00F31956">
            <w:r w:rsidRPr="000247ED">
              <w:lastRenderedPageBreak/>
              <w:t>South East Queensland South</w:t>
            </w:r>
          </w:p>
        </w:tc>
        <w:tc>
          <w:tcPr>
            <w:tcW w:w="5808" w:type="dxa"/>
          </w:tcPr>
          <w:p w14:paraId="19E2BE45"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0247ED">
              <w:t>Darra MVIC, Argyle Parade, Darra 4077</w:t>
            </w:r>
          </w:p>
        </w:tc>
      </w:tr>
      <w:tr w:rsidR="006800C7" w14:paraId="748FD67D" w14:textId="77777777" w:rsidTr="00333C47">
        <w:trPr>
          <w:trHeight w:val="616"/>
        </w:trPr>
        <w:tc>
          <w:tcPr>
            <w:cnfStyle w:val="001000000000" w:firstRow="0" w:lastRow="0" w:firstColumn="1" w:lastColumn="0" w:oddVBand="0" w:evenVBand="0" w:oddHBand="0" w:evenHBand="0" w:firstRowFirstColumn="0" w:firstRowLastColumn="0" w:lastRowFirstColumn="0" w:lastRowLastColumn="0"/>
            <w:tcW w:w="2127" w:type="dxa"/>
          </w:tcPr>
          <w:p w14:paraId="59BDE0EE" w14:textId="77777777" w:rsidR="006800C7" w:rsidRPr="000247ED" w:rsidRDefault="006800C7" w:rsidP="00F31956"/>
        </w:tc>
        <w:tc>
          <w:tcPr>
            <w:tcW w:w="5808" w:type="dxa"/>
          </w:tcPr>
          <w:p w14:paraId="646AE995"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0247ED">
              <w:t>Ipswich MVIC, 2 Colvin Street, North Ipswich 4305</w:t>
            </w:r>
          </w:p>
        </w:tc>
      </w:tr>
      <w:tr w:rsidR="006800C7" w14:paraId="173BB3D9" w14:textId="77777777" w:rsidTr="00333C47">
        <w:trPr>
          <w:trHeight w:val="616"/>
        </w:trPr>
        <w:tc>
          <w:tcPr>
            <w:cnfStyle w:val="001000000000" w:firstRow="0" w:lastRow="0" w:firstColumn="1" w:lastColumn="0" w:oddVBand="0" w:evenVBand="0" w:oddHBand="0" w:evenHBand="0" w:firstRowFirstColumn="0" w:firstRowLastColumn="0" w:lastRowFirstColumn="0" w:lastRowLastColumn="0"/>
            <w:tcW w:w="2127" w:type="dxa"/>
          </w:tcPr>
          <w:p w14:paraId="4D245FB0" w14:textId="77777777" w:rsidR="006800C7" w:rsidRPr="000247ED" w:rsidRDefault="006800C7" w:rsidP="00F31956"/>
        </w:tc>
        <w:tc>
          <w:tcPr>
            <w:tcW w:w="5808" w:type="dxa"/>
          </w:tcPr>
          <w:p w14:paraId="0777BA88"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0247ED">
              <w:t>Bundall MVIC, 30 Upton Street, Bundall 4217</w:t>
            </w:r>
          </w:p>
        </w:tc>
      </w:tr>
      <w:tr w:rsidR="006800C7" w14:paraId="43904118" w14:textId="77777777" w:rsidTr="00333C47">
        <w:trPr>
          <w:trHeight w:val="616"/>
        </w:trPr>
        <w:tc>
          <w:tcPr>
            <w:cnfStyle w:val="001000000000" w:firstRow="0" w:lastRow="0" w:firstColumn="1" w:lastColumn="0" w:oddVBand="0" w:evenVBand="0" w:oddHBand="0" w:evenHBand="0" w:firstRowFirstColumn="0" w:firstRowLastColumn="0" w:lastRowFirstColumn="0" w:lastRowLastColumn="0"/>
            <w:tcW w:w="2127" w:type="dxa"/>
          </w:tcPr>
          <w:p w14:paraId="686F4766" w14:textId="77777777" w:rsidR="006800C7" w:rsidRPr="000247ED" w:rsidRDefault="006800C7" w:rsidP="00F31956"/>
        </w:tc>
        <w:tc>
          <w:tcPr>
            <w:tcW w:w="5808" w:type="dxa"/>
          </w:tcPr>
          <w:p w14:paraId="1012FD68"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0247ED">
              <w:t>Beenleigh MVIC, 31 Logan River Road, Beenleigh 4207</w:t>
            </w:r>
          </w:p>
        </w:tc>
      </w:tr>
      <w:tr w:rsidR="006800C7" w14:paraId="60ADCF09" w14:textId="77777777" w:rsidTr="00333C47">
        <w:trPr>
          <w:trHeight w:val="616"/>
        </w:trPr>
        <w:tc>
          <w:tcPr>
            <w:cnfStyle w:val="001000000000" w:firstRow="0" w:lastRow="0" w:firstColumn="1" w:lastColumn="0" w:oddVBand="0" w:evenVBand="0" w:oddHBand="0" w:evenHBand="0" w:firstRowFirstColumn="0" w:firstRowLastColumn="0" w:lastRowFirstColumn="0" w:lastRowLastColumn="0"/>
            <w:tcW w:w="2127" w:type="dxa"/>
          </w:tcPr>
          <w:p w14:paraId="101E060C" w14:textId="77777777" w:rsidR="006800C7" w:rsidRPr="000247ED" w:rsidRDefault="006800C7" w:rsidP="00F31956"/>
        </w:tc>
        <w:tc>
          <w:tcPr>
            <w:tcW w:w="5808" w:type="dxa"/>
          </w:tcPr>
          <w:p w14:paraId="6ADAA30B"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0247ED">
              <w:t>Logan MVIC, 43-45 Jacaranda Avenue, Logan Central 4114</w:t>
            </w:r>
          </w:p>
        </w:tc>
      </w:tr>
      <w:tr w:rsidR="006800C7" w14:paraId="30A1030E" w14:textId="77777777" w:rsidTr="00333C47">
        <w:trPr>
          <w:trHeight w:val="872"/>
        </w:trPr>
        <w:tc>
          <w:tcPr>
            <w:cnfStyle w:val="001000000000" w:firstRow="0" w:lastRow="0" w:firstColumn="1" w:lastColumn="0" w:oddVBand="0" w:evenVBand="0" w:oddHBand="0" w:evenHBand="0" w:firstRowFirstColumn="0" w:firstRowLastColumn="0" w:lastRowFirstColumn="0" w:lastRowLastColumn="0"/>
            <w:tcW w:w="2127" w:type="dxa"/>
          </w:tcPr>
          <w:p w14:paraId="06EC77CC" w14:textId="77777777" w:rsidR="006800C7" w:rsidRPr="002E53BF" w:rsidRDefault="006800C7" w:rsidP="00F31956">
            <w:r w:rsidRPr="000247ED">
              <w:t>South East Queensland North</w:t>
            </w:r>
          </w:p>
        </w:tc>
        <w:tc>
          <w:tcPr>
            <w:tcW w:w="5808" w:type="dxa"/>
          </w:tcPr>
          <w:p w14:paraId="38BC7353"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0247ED">
              <w:t>Maroochydore MVIC, 5 Kelly Court, Maroochydore QLD 4558</w:t>
            </w:r>
          </w:p>
        </w:tc>
      </w:tr>
      <w:tr w:rsidR="006800C7" w14:paraId="2280BAD9" w14:textId="77777777" w:rsidTr="00333C47">
        <w:trPr>
          <w:trHeight w:val="616"/>
        </w:trPr>
        <w:tc>
          <w:tcPr>
            <w:cnfStyle w:val="001000000000" w:firstRow="0" w:lastRow="0" w:firstColumn="1" w:lastColumn="0" w:oddVBand="0" w:evenVBand="0" w:oddHBand="0" w:evenHBand="0" w:firstRowFirstColumn="0" w:firstRowLastColumn="0" w:lastRowFirstColumn="0" w:lastRowLastColumn="0"/>
            <w:tcW w:w="2127" w:type="dxa"/>
          </w:tcPr>
          <w:p w14:paraId="2BFF0A00" w14:textId="77777777" w:rsidR="006800C7" w:rsidRPr="000247ED" w:rsidRDefault="006800C7" w:rsidP="00F31956"/>
        </w:tc>
        <w:tc>
          <w:tcPr>
            <w:tcW w:w="5808" w:type="dxa"/>
          </w:tcPr>
          <w:p w14:paraId="722F7AA3"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0247ED">
              <w:t>Zillmere MVIC, 69 Pineapple Street, Zillmere QLD 4034</w:t>
            </w:r>
          </w:p>
        </w:tc>
      </w:tr>
      <w:tr w:rsidR="006800C7" w14:paraId="74CB481A" w14:textId="77777777" w:rsidTr="00333C47">
        <w:trPr>
          <w:trHeight w:val="616"/>
        </w:trPr>
        <w:tc>
          <w:tcPr>
            <w:cnfStyle w:val="001000000000" w:firstRow="0" w:lastRow="0" w:firstColumn="1" w:lastColumn="0" w:oddVBand="0" w:evenVBand="0" w:oddHBand="0" w:evenHBand="0" w:firstRowFirstColumn="0" w:firstRowLastColumn="0" w:lastRowFirstColumn="0" w:lastRowLastColumn="0"/>
            <w:tcW w:w="2127" w:type="dxa"/>
          </w:tcPr>
          <w:p w14:paraId="3F8CE595" w14:textId="77777777" w:rsidR="006800C7" w:rsidRPr="002E53BF" w:rsidRDefault="006800C7" w:rsidP="00F31956">
            <w:r w:rsidRPr="000247ED">
              <w:t>Southern</w:t>
            </w:r>
          </w:p>
        </w:tc>
        <w:tc>
          <w:tcPr>
            <w:tcW w:w="5808" w:type="dxa"/>
          </w:tcPr>
          <w:p w14:paraId="1B505B4D"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0247ED">
              <w:t>Bundaberg MVIC, 14 Production Street, Bundaberg QLD 4670</w:t>
            </w:r>
          </w:p>
        </w:tc>
      </w:tr>
      <w:tr w:rsidR="006800C7" w14:paraId="195E6617" w14:textId="77777777" w:rsidTr="00333C47">
        <w:trPr>
          <w:trHeight w:val="616"/>
        </w:trPr>
        <w:tc>
          <w:tcPr>
            <w:cnfStyle w:val="001000000000" w:firstRow="0" w:lastRow="0" w:firstColumn="1" w:lastColumn="0" w:oddVBand="0" w:evenVBand="0" w:oddHBand="0" w:evenHBand="0" w:firstRowFirstColumn="0" w:firstRowLastColumn="0" w:lastRowFirstColumn="0" w:lastRowLastColumn="0"/>
            <w:tcW w:w="2127" w:type="dxa"/>
          </w:tcPr>
          <w:p w14:paraId="3599F0F3" w14:textId="77777777" w:rsidR="006800C7" w:rsidRPr="000247ED" w:rsidRDefault="006800C7" w:rsidP="00F31956"/>
        </w:tc>
        <w:tc>
          <w:tcPr>
            <w:tcW w:w="5808" w:type="dxa"/>
          </w:tcPr>
          <w:p w14:paraId="6DBD7C82"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0247ED">
              <w:t>Maryborough MVIC, Bright Street, Maryborough QLD 4650</w:t>
            </w:r>
          </w:p>
        </w:tc>
      </w:tr>
      <w:tr w:rsidR="006800C7" w14:paraId="17633A4D" w14:textId="77777777" w:rsidTr="00333C47">
        <w:trPr>
          <w:trHeight w:val="616"/>
        </w:trPr>
        <w:tc>
          <w:tcPr>
            <w:cnfStyle w:val="001000000000" w:firstRow="0" w:lastRow="0" w:firstColumn="1" w:lastColumn="0" w:oddVBand="0" w:evenVBand="0" w:oddHBand="0" w:evenHBand="0" w:firstRowFirstColumn="0" w:firstRowLastColumn="0" w:lastRowFirstColumn="0" w:lastRowLastColumn="0"/>
            <w:tcW w:w="2127" w:type="dxa"/>
          </w:tcPr>
          <w:p w14:paraId="557F3255" w14:textId="77777777" w:rsidR="006800C7" w:rsidRPr="000247ED" w:rsidRDefault="006800C7" w:rsidP="00F31956"/>
        </w:tc>
        <w:tc>
          <w:tcPr>
            <w:tcW w:w="5808" w:type="dxa"/>
          </w:tcPr>
          <w:p w14:paraId="0BBAC6A4"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0247ED">
              <w:t>Warwick MVIC, 1 Parker Street, Warwick QLD 4370</w:t>
            </w:r>
          </w:p>
        </w:tc>
      </w:tr>
      <w:tr w:rsidR="006800C7" w14:paraId="15F82312" w14:textId="77777777" w:rsidTr="00333C47">
        <w:trPr>
          <w:trHeight w:val="616"/>
        </w:trPr>
        <w:tc>
          <w:tcPr>
            <w:cnfStyle w:val="001000000000" w:firstRow="0" w:lastRow="0" w:firstColumn="1" w:lastColumn="0" w:oddVBand="0" w:evenVBand="0" w:oddHBand="0" w:evenHBand="0" w:firstRowFirstColumn="0" w:firstRowLastColumn="0" w:lastRowFirstColumn="0" w:lastRowLastColumn="0"/>
            <w:tcW w:w="2127" w:type="dxa"/>
          </w:tcPr>
          <w:p w14:paraId="54C062B4" w14:textId="77777777" w:rsidR="006800C7" w:rsidRPr="000247ED" w:rsidRDefault="006800C7" w:rsidP="00F31956"/>
        </w:tc>
        <w:tc>
          <w:tcPr>
            <w:tcW w:w="5808" w:type="dxa"/>
          </w:tcPr>
          <w:p w14:paraId="73977F36"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0247ED">
              <w:t>Roma MVIC, 44 Tiffin Street, Roma QLD 4455</w:t>
            </w:r>
          </w:p>
        </w:tc>
      </w:tr>
      <w:tr w:rsidR="006800C7" w14:paraId="4C1DF55B" w14:textId="77777777" w:rsidTr="00333C47">
        <w:trPr>
          <w:trHeight w:val="616"/>
        </w:trPr>
        <w:tc>
          <w:tcPr>
            <w:cnfStyle w:val="001000000000" w:firstRow="0" w:lastRow="0" w:firstColumn="1" w:lastColumn="0" w:oddVBand="0" w:evenVBand="0" w:oddHBand="0" w:evenHBand="0" w:firstRowFirstColumn="0" w:firstRowLastColumn="0" w:lastRowFirstColumn="0" w:lastRowLastColumn="0"/>
            <w:tcW w:w="2127" w:type="dxa"/>
          </w:tcPr>
          <w:p w14:paraId="6B66251B" w14:textId="77777777" w:rsidR="006800C7" w:rsidRPr="000247ED" w:rsidRDefault="006800C7" w:rsidP="00F31956"/>
        </w:tc>
        <w:tc>
          <w:tcPr>
            <w:tcW w:w="5808" w:type="dxa"/>
          </w:tcPr>
          <w:p w14:paraId="48AA6628"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0247ED">
              <w:t xml:space="preserve">Toowoomba (Harristown) MVIC, Cnr </w:t>
            </w:r>
            <w:r w:rsidRPr="002E53BF">
              <w:t>Yaldwyn and Warwick Streets, Toowoomba QLD 4350</w:t>
            </w:r>
          </w:p>
        </w:tc>
      </w:tr>
      <w:tr w:rsidR="006800C7" w14:paraId="16A89C03" w14:textId="77777777" w:rsidTr="00333C47">
        <w:trPr>
          <w:trHeight w:val="616"/>
        </w:trPr>
        <w:tc>
          <w:tcPr>
            <w:cnfStyle w:val="001000000000" w:firstRow="0" w:lastRow="0" w:firstColumn="1" w:lastColumn="0" w:oddVBand="0" w:evenVBand="0" w:oddHBand="0" w:evenHBand="0" w:firstRowFirstColumn="0" w:firstRowLastColumn="0" w:lastRowFirstColumn="0" w:lastRowLastColumn="0"/>
            <w:tcW w:w="2127" w:type="dxa"/>
          </w:tcPr>
          <w:p w14:paraId="345A8252" w14:textId="77777777" w:rsidR="006800C7" w:rsidRPr="000247ED" w:rsidRDefault="006800C7" w:rsidP="00F31956"/>
        </w:tc>
        <w:tc>
          <w:tcPr>
            <w:tcW w:w="5808" w:type="dxa"/>
          </w:tcPr>
          <w:p w14:paraId="0F464A99"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0247ED">
              <w:t>Gympie MVIC, 17 Oak Street, Gympie QLD 4570</w:t>
            </w:r>
          </w:p>
        </w:tc>
      </w:tr>
      <w:tr w:rsidR="006800C7" w14:paraId="717CD669" w14:textId="77777777" w:rsidTr="00333C47">
        <w:trPr>
          <w:trHeight w:val="616"/>
        </w:trPr>
        <w:tc>
          <w:tcPr>
            <w:cnfStyle w:val="001000000000" w:firstRow="0" w:lastRow="0" w:firstColumn="1" w:lastColumn="0" w:oddVBand="0" w:evenVBand="0" w:oddHBand="0" w:evenHBand="0" w:firstRowFirstColumn="0" w:firstRowLastColumn="0" w:lastRowFirstColumn="0" w:lastRowLastColumn="0"/>
            <w:tcW w:w="2127" w:type="dxa"/>
          </w:tcPr>
          <w:p w14:paraId="5D75DD0E" w14:textId="77777777" w:rsidR="006800C7" w:rsidRPr="002E53BF" w:rsidRDefault="006800C7" w:rsidP="00F31956">
            <w:r w:rsidRPr="00CB3ADC">
              <w:t>Central</w:t>
            </w:r>
          </w:p>
        </w:tc>
        <w:tc>
          <w:tcPr>
            <w:tcW w:w="5808" w:type="dxa"/>
          </w:tcPr>
          <w:p w14:paraId="0DAE443F"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CB3ADC">
              <w:t>Emerald MVIC, 20 Batts Street, Emerald QLD 4720</w:t>
            </w:r>
          </w:p>
        </w:tc>
      </w:tr>
      <w:tr w:rsidR="006800C7" w14:paraId="718CF824" w14:textId="77777777" w:rsidTr="00333C47">
        <w:trPr>
          <w:trHeight w:val="616"/>
        </w:trPr>
        <w:tc>
          <w:tcPr>
            <w:cnfStyle w:val="001000000000" w:firstRow="0" w:lastRow="0" w:firstColumn="1" w:lastColumn="0" w:oddVBand="0" w:evenVBand="0" w:oddHBand="0" w:evenHBand="0" w:firstRowFirstColumn="0" w:firstRowLastColumn="0" w:lastRowFirstColumn="0" w:lastRowLastColumn="0"/>
            <w:tcW w:w="2127" w:type="dxa"/>
          </w:tcPr>
          <w:p w14:paraId="5D3A7CD1" w14:textId="77777777" w:rsidR="006800C7" w:rsidRPr="00CB3ADC" w:rsidRDefault="006800C7" w:rsidP="00F31956"/>
        </w:tc>
        <w:tc>
          <w:tcPr>
            <w:tcW w:w="5808" w:type="dxa"/>
          </w:tcPr>
          <w:p w14:paraId="27D355BD"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CB3ADC">
              <w:t>Mackay MVIC, Corner Endeavour and Industrial Streets, Mackay QLD 4740</w:t>
            </w:r>
          </w:p>
        </w:tc>
      </w:tr>
      <w:tr w:rsidR="006800C7" w14:paraId="3508152F" w14:textId="77777777" w:rsidTr="00333C47">
        <w:trPr>
          <w:trHeight w:val="616"/>
        </w:trPr>
        <w:tc>
          <w:tcPr>
            <w:cnfStyle w:val="001000000000" w:firstRow="0" w:lastRow="0" w:firstColumn="1" w:lastColumn="0" w:oddVBand="0" w:evenVBand="0" w:oddHBand="0" w:evenHBand="0" w:firstRowFirstColumn="0" w:firstRowLastColumn="0" w:lastRowFirstColumn="0" w:lastRowLastColumn="0"/>
            <w:tcW w:w="2127" w:type="dxa"/>
          </w:tcPr>
          <w:p w14:paraId="48187E08" w14:textId="77777777" w:rsidR="006800C7" w:rsidRPr="00CB3ADC" w:rsidRDefault="006800C7" w:rsidP="00F31956"/>
        </w:tc>
        <w:tc>
          <w:tcPr>
            <w:tcW w:w="5808" w:type="dxa"/>
          </w:tcPr>
          <w:p w14:paraId="6EA7C39B"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CB3ADC">
              <w:t>Longreach MVIC, 14 Wonga Street, Longreach QLD 4730</w:t>
            </w:r>
          </w:p>
        </w:tc>
      </w:tr>
      <w:tr w:rsidR="006800C7" w14:paraId="61984518" w14:textId="77777777" w:rsidTr="00333C47">
        <w:trPr>
          <w:trHeight w:val="616"/>
        </w:trPr>
        <w:tc>
          <w:tcPr>
            <w:cnfStyle w:val="001000000000" w:firstRow="0" w:lastRow="0" w:firstColumn="1" w:lastColumn="0" w:oddVBand="0" w:evenVBand="0" w:oddHBand="0" w:evenHBand="0" w:firstRowFirstColumn="0" w:firstRowLastColumn="0" w:lastRowFirstColumn="0" w:lastRowLastColumn="0"/>
            <w:tcW w:w="2127" w:type="dxa"/>
          </w:tcPr>
          <w:p w14:paraId="122179EE" w14:textId="77777777" w:rsidR="006800C7" w:rsidRPr="00CB3ADC" w:rsidRDefault="006800C7" w:rsidP="00F31956"/>
        </w:tc>
        <w:tc>
          <w:tcPr>
            <w:tcW w:w="5808" w:type="dxa"/>
          </w:tcPr>
          <w:p w14:paraId="294F4860"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CB3ADC">
              <w:t>Gladstone MVIC, 2 Paterson Street, Gladstone QLD 4680</w:t>
            </w:r>
          </w:p>
        </w:tc>
      </w:tr>
      <w:tr w:rsidR="006800C7" w14:paraId="73DEF59B" w14:textId="77777777" w:rsidTr="00333C47">
        <w:trPr>
          <w:trHeight w:val="616"/>
        </w:trPr>
        <w:tc>
          <w:tcPr>
            <w:cnfStyle w:val="001000000000" w:firstRow="0" w:lastRow="0" w:firstColumn="1" w:lastColumn="0" w:oddVBand="0" w:evenVBand="0" w:oddHBand="0" w:evenHBand="0" w:firstRowFirstColumn="0" w:firstRowLastColumn="0" w:lastRowFirstColumn="0" w:lastRowLastColumn="0"/>
            <w:tcW w:w="2127" w:type="dxa"/>
          </w:tcPr>
          <w:p w14:paraId="299F88BB" w14:textId="77777777" w:rsidR="006800C7" w:rsidRPr="00CB3ADC" w:rsidRDefault="006800C7" w:rsidP="00F31956"/>
        </w:tc>
        <w:tc>
          <w:tcPr>
            <w:tcW w:w="5808" w:type="dxa"/>
          </w:tcPr>
          <w:p w14:paraId="684D2DB2"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CB3ADC">
              <w:t>Rockhampton MVIC, 31 Knight Street, North Rockhampton QLD 4701</w:t>
            </w:r>
          </w:p>
        </w:tc>
      </w:tr>
      <w:tr w:rsidR="006800C7" w14:paraId="486AACCE" w14:textId="77777777" w:rsidTr="00333C47">
        <w:trPr>
          <w:trHeight w:val="616"/>
        </w:trPr>
        <w:tc>
          <w:tcPr>
            <w:cnfStyle w:val="001000000000" w:firstRow="0" w:lastRow="0" w:firstColumn="1" w:lastColumn="0" w:oddVBand="0" w:evenVBand="0" w:oddHBand="0" w:evenHBand="0" w:firstRowFirstColumn="0" w:firstRowLastColumn="0" w:lastRowFirstColumn="0" w:lastRowLastColumn="0"/>
            <w:tcW w:w="2127" w:type="dxa"/>
          </w:tcPr>
          <w:p w14:paraId="4B812362" w14:textId="77777777" w:rsidR="006800C7" w:rsidRPr="002E53BF" w:rsidRDefault="006800C7" w:rsidP="00F31956">
            <w:r w:rsidRPr="00CB3ADC">
              <w:t>Northern</w:t>
            </w:r>
          </w:p>
        </w:tc>
        <w:tc>
          <w:tcPr>
            <w:tcW w:w="5808" w:type="dxa"/>
          </w:tcPr>
          <w:p w14:paraId="34374BFB"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CB3ADC">
              <w:t>Cairns MVIC, 82–86 Kenny Street, Portsmith 4870</w:t>
            </w:r>
          </w:p>
        </w:tc>
      </w:tr>
      <w:tr w:rsidR="006800C7" w14:paraId="57BEF0C7" w14:textId="77777777" w:rsidTr="00333C47">
        <w:trPr>
          <w:trHeight w:val="616"/>
        </w:trPr>
        <w:tc>
          <w:tcPr>
            <w:cnfStyle w:val="001000000000" w:firstRow="0" w:lastRow="0" w:firstColumn="1" w:lastColumn="0" w:oddVBand="0" w:evenVBand="0" w:oddHBand="0" w:evenHBand="0" w:firstRowFirstColumn="0" w:firstRowLastColumn="0" w:lastRowFirstColumn="0" w:lastRowLastColumn="0"/>
            <w:tcW w:w="2127" w:type="dxa"/>
          </w:tcPr>
          <w:p w14:paraId="3F7445C2" w14:textId="77777777" w:rsidR="006800C7" w:rsidRPr="00CB3ADC" w:rsidRDefault="006800C7" w:rsidP="00F31956"/>
        </w:tc>
        <w:tc>
          <w:tcPr>
            <w:tcW w:w="5808" w:type="dxa"/>
          </w:tcPr>
          <w:p w14:paraId="6AA50508"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CB3ADC">
              <w:t xml:space="preserve">Townsville MVIC, 21–35 Leyland Street, Garbutt </w:t>
            </w:r>
            <w:r w:rsidRPr="002E53BF">
              <w:t>4814</w:t>
            </w:r>
          </w:p>
        </w:tc>
      </w:tr>
      <w:tr w:rsidR="006800C7" w14:paraId="28495BD6" w14:textId="77777777" w:rsidTr="00333C47">
        <w:trPr>
          <w:trHeight w:val="616"/>
        </w:trPr>
        <w:tc>
          <w:tcPr>
            <w:cnfStyle w:val="001000000000" w:firstRow="0" w:lastRow="0" w:firstColumn="1" w:lastColumn="0" w:oddVBand="0" w:evenVBand="0" w:oddHBand="0" w:evenHBand="0" w:firstRowFirstColumn="0" w:firstRowLastColumn="0" w:lastRowFirstColumn="0" w:lastRowLastColumn="0"/>
            <w:tcW w:w="2127" w:type="dxa"/>
          </w:tcPr>
          <w:p w14:paraId="5327D935" w14:textId="77777777" w:rsidR="006800C7" w:rsidRPr="00CB3ADC" w:rsidRDefault="006800C7" w:rsidP="00F31956"/>
        </w:tc>
        <w:tc>
          <w:tcPr>
            <w:tcW w:w="5808" w:type="dxa"/>
          </w:tcPr>
          <w:p w14:paraId="3AC4BB11"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CB3ADC">
              <w:t>Mount Isa MVIC, 17 Enterprise Road, Mount Isa 4825</w:t>
            </w:r>
          </w:p>
        </w:tc>
      </w:tr>
      <w:tr w:rsidR="006800C7" w14:paraId="58738721" w14:textId="77777777" w:rsidTr="00333C47">
        <w:trPr>
          <w:trHeight w:val="616"/>
        </w:trPr>
        <w:tc>
          <w:tcPr>
            <w:cnfStyle w:val="001000000000" w:firstRow="0" w:lastRow="0" w:firstColumn="1" w:lastColumn="0" w:oddVBand="0" w:evenVBand="0" w:oddHBand="0" w:evenHBand="0" w:firstRowFirstColumn="0" w:firstRowLastColumn="0" w:lastRowFirstColumn="0" w:lastRowLastColumn="0"/>
            <w:tcW w:w="2127" w:type="dxa"/>
          </w:tcPr>
          <w:p w14:paraId="2154E05C" w14:textId="77777777" w:rsidR="006800C7" w:rsidRPr="00CB3ADC" w:rsidRDefault="006800C7" w:rsidP="00F31956"/>
        </w:tc>
        <w:tc>
          <w:tcPr>
            <w:tcW w:w="5808" w:type="dxa"/>
          </w:tcPr>
          <w:p w14:paraId="502FE510"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CB3ADC">
              <w:t xml:space="preserve">Innisfail MVIC, 12–14 Clifford Road, Innisfail 4860 </w:t>
            </w:r>
          </w:p>
        </w:tc>
      </w:tr>
    </w:tbl>
    <w:p w14:paraId="6313E18A" w14:textId="77777777" w:rsidR="006800C7" w:rsidRDefault="006800C7" w:rsidP="006800C7"/>
    <w:p w14:paraId="0CC06233" w14:textId="77777777" w:rsidR="006800C7" w:rsidRDefault="006800C7" w:rsidP="006800C7">
      <w:pPr>
        <w:spacing w:before="0" w:after="160" w:line="259" w:lineRule="auto"/>
      </w:pPr>
      <w:r>
        <w:br w:type="page"/>
      </w:r>
    </w:p>
    <w:p w14:paraId="4B83E3B1" w14:textId="77777777" w:rsidR="006800C7" w:rsidRDefault="006800C7" w:rsidP="006800C7"/>
    <w:p w14:paraId="1DC2DABD" w14:textId="77777777" w:rsidR="006800C7" w:rsidRDefault="006800C7" w:rsidP="006800C7">
      <w:pPr>
        <w:pStyle w:val="Heading2"/>
      </w:pPr>
      <w:r w:rsidRPr="00BA6025">
        <w:t>Index</w:t>
      </w:r>
    </w:p>
    <w:tbl>
      <w:tblPr>
        <w:tblStyle w:val="GridTable1Light"/>
        <w:tblW w:w="0" w:type="auto"/>
        <w:tblLook w:val="04A0" w:firstRow="1" w:lastRow="0" w:firstColumn="1" w:lastColumn="0" w:noHBand="0" w:noVBand="1"/>
      </w:tblPr>
      <w:tblGrid>
        <w:gridCol w:w="3119"/>
        <w:gridCol w:w="5951"/>
      </w:tblGrid>
      <w:tr w:rsidR="006800C7" w14:paraId="440A9909" w14:textId="77777777" w:rsidTr="002502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74E4B8B" w14:textId="77777777" w:rsidR="006800C7" w:rsidRDefault="006800C7" w:rsidP="00F31956">
            <w:r>
              <w:t xml:space="preserve">Topic </w:t>
            </w:r>
          </w:p>
        </w:tc>
        <w:tc>
          <w:tcPr>
            <w:tcW w:w="5951" w:type="dxa"/>
          </w:tcPr>
          <w:p w14:paraId="71B4E6E3" w14:textId="77777777" w:rsidR="006800C7" w:rsidRDefault="006800C7" w:rsidP="00F31956">
            <w:pPr>
              <w:cnfStyle w:val="100000000000" w:firstRow="1" w:lastRow="0" w:firstColumn="0" w:lastColumn="0" w:oddVBand="0" w:evenVBand="0" w:oddHBand="0" w:evenHBand="0" w:firstRowFirstColumn="0" w:firstRowLastColumn="0" w:lastRowFirstColumn="0" w:lastRowLastColumn="0"/>
            </w:pPr>
            <w:r>
              <w:t>Page</w:t>
            </w:r>
          </w:p>
        </w:tc>
      </w:tr>
      <w:tr w:rsidR="007A1A76" w14:paraId="6C3F522C"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659DD0CC" w14:textId="4F8CE5FC" w:rsidR="007A1A76" w:rsidRPr="00191435" w:rsidRDefault="007A1A76" w:rsidP="007A1A76">
            <w:r w:rsidRPr="003943C7">
              <w:t>About us</w:t>
            </w:r>
          </w:p>
        </w:tc>
        <w:tc>
          <w:tcPr>
            <w:tcW w:w="5951" w:type="dxa"/>
          </w:tcPr>
          <w:p w14:paraId="72601CD7" w14:textId="54556AF5" w:rsidR="007A1A76" w:rsidRPr="00191435" w:rsidRDefault="007A1A76" w:rsidP="007A1A76">
            <w:pPr>
              <w:cnfStyle w:val="000000000000" w:firstRow="0" w:lastRow="0" w:firstColumn="0" w:lastColumn="0" w:oddVBand="0" w:evenVBand="0" w:oddHBand="0" w:evenHBand="0" w:firstRowFirstColumn="0" w:firstRowLastColumn="0" w:lastRowFirstColumn="0" w:lastRowLastColumn="0"/>
            </w:pPr>
            <w:r>
              <w:t>004</w:t>
            </w:r>
          </w:p>
        </w:tc>
      </w:tr>
      <w:tr w:rsidR="007A1A76" w14:paraId="2B0A61D6"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54405BBE" w14:textId="34313685" w:rsidR="007A1A76" w:rsidRPr="00191435" w:rsidRDefault="007A1A76" w:rsidP="007A1A76">
            <w:r w:rsidRPr="00022F98">
              <w:t>Air services</w:t>
            </w:r>
          </w:p>
        </w:tc>
        <w:tc>
          <w:tcPr>
            <w:tcW w:w="5951" w:type="dxa"/>
          </w:tcPr>
          <w:p w14:paraId="440C684E" w14:textId="6D15DF3C" w:rsidR="007A1A76" w:rsidRPr="00191435" w:rsidRDefault="007A1A76" w:rsidP="007A1A76">
            <w:pPr>
              <w:cnfStyle w:val="000000000000" w:firstRow="0" w:lastRow="0" w:firstColumn="0" w:lastColumn="0" w:oddVBand="0" w:evenVBand="0" w:oddHBand="0" w:evenHBand="0" w:firstRowFirstColumn="0" w:firstRowLastColumn="0" w:lastRowFirstColumn="0" w:lastRowLastColumn="0"/>
            </w:pPr>
            <w:r>
              <w:t xml:space="preserve">032 </w:t>
            </w:r>
          </w:p>
        </w:tc>
      </w:tr>
      <w:tr w:rsidR="007A1A76" w14:paraId="45F878DB"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48581EFD" w14:textId="61ACF8D5" w:rsidR="007A1A76" w:rsidRPr="00191435" w:rsidRDefault="007A1A76" w:rsidP="007A1A76">
            <w:r w:rsidRPr="003943C7">
              <w:t>Associated authorities</w:t>
            </w:r>
          </w:p>
        </w:tc>
        <w:tc>
          <w:tcPr>
            <w:tcW w:w="5951" w:type="dxa"/>
          </w:tcPr>
          <w:p w14:paraId="77A9BE5A" w14:textId="0EA81A8D" w:rsidR="007A1A76" w:rsidRPr="00191435" w:rsidRDefault="007A1A76" w:rsidP="007A1A76">
            <w:pPr>
              <w:cnfStyle w:val="000000000000" w:firstRow="0" w:lastRow="0" w:firstColumn="0" w:lastColumn="0" w:oddVBand="0" w:evenVBand="0" w:oddHBand="0" w:evenHBand="0" w:firstRowFirstColumn="0" w:firstRowLastColumn="0" w:lastRowFirstColumn="0" w:lastRowLastColumn="0"/>
            </w:pPr>
            <w:r>
              <w:t>202</w:t>
            </w:r>
          </w:p>
        </w:tc>
      </w:tr>
      <w:tr w:rsidR="007A1A76" w14:paraId="3A31E8D0"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684154A1" w14:textId="7D57A6DF" w:rsidR="007A1A76" w:rsidRPr="00191435" w:rsidRDefault="007A1A76" w:rsidP="007A1A76">
            <w:r w:rsidRPr="00022F98">
              <w:t>Award recognition</w:t>
            </w:r>
          </w:p>
        </w:tc>
        <w:tc>
          <w:tcPr>
            <w:tcW w:w="5951" w:type="dxa"/>
          </w:tcPr>
          <w:p w14:paraId="2D5893FC" w14:textId="56BD958A" w:rsidR="007A1A76" w:rsidRPr="00191435" w:rsidRDefault="007A1A76" w:rsidP="007A1A76">
            <w:pPr>
              <w:cnfStyle w:val="000000000000" w:firstRow="0" w:lastRow="0" w:firstColumn="0" w:lastColumn="0" w:oddVBand="0" w:evenVBand="0" w:oddHBand="0" w:evenHBand="0" w:firstRowFirstColumn="0" w:firstRowLastColumn="0" w:lastRowFirstColumn="0" w:lastRowLastColumn="0"/>
            </w:pPr>
            <w:r>
              <w:t>093, 117, 121–123</w:t>
            </w:r>
          </w:p>
        </w:tc>
      </w:tr>
      <w:tr w:rsidR="007A1A76" w14:paraId="107A5EEB"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27BD4B3B" w14:textId="2E0B8135" w:rsidR="007A1A76" w:rsidRPr="00191435" w:rsidRDefault="007A1A76" w:rsidP="007A1A76">
            <w:r>
              <w:t>Brisbane 2032 Olympic and Paralympic Games</w:t>
            </w:r>
          </w:p>
        </w:tc>
        <w:tc>
          <w:tcPr>
            <w:tcW w:w="5951" w:type="dxa"/>
          </w:tcPr>
          <w:p w14:paraId="23FBDDD8" w14:textId="6995AE74" w:rsidR="007A1A76" w:rsidRPr="00191435" w:rsidRDefault="007A1A76" w:rsidP="007A1A76">
            <w:pPr>
              <w:cnfStyle w:val="000000000000" w:firstRow="0" w:lastRow="0" w:firstColumn="0" w:lastColumn="0" w:oddVBand="0" w:evenVBand="0" w:oddHBand="0" w:evenHBand="0" w:firstRowFirstColumn="0" w:firstRowLastColumn="0" w:lastRowFirstColumn="0" w:lastRowLastColumn="0"/>
            </w:pPr>
            <w:r>
              <w:t xml:space="preserve">006, 016, 018, 030 </w:t>
            </w:r>
          </w:p>
        </w:tc>
      </w:tr>
      <w:tr w:rsidR="007A1A76" w14:paraId="3BE0AD13"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419820BB" w14:textId="2DA34812" w:rsidR="007A1A76" w:rsidRPr="00191435" w:rsidRDefault="007A1A76" w:rsidP="007A1A76">
            <w:r>
              <w:t>Bruce Highway</w:t>
            </w:r>
          </w:p>
        </w:tc>
        <w:tc>
          <w:tcPr>
            <w:tcW w:w="5951" w:type="dxa"/>
          </w:tcPr>
          <w:p w14:paraId="042C8B17" w14:textId="55527C86" w:rsidR="007A1A76" w:rsidRPr="00191435" w:rsidRDefault="007A1A76" w:rsidP="007A1A76">
            <w:pPr>
              <w:cnfStyle w:val="000000000000" w:firstRow="0" w:lastRow="0" w:firstColumn="0" w:lastColumn="0" w:oddVBand="0" w:evenVBand="0" w:oddHBand="0" w:evenHBand="0" w:firstRowFirstColumn="0" w:firstRowLastColumn="0" w:lastRowFirstColumn="0" w:lastRowLastColumn="0"/>
            </w:pPr>
            <w:r>
              <w:t xml:space="preserve">006, 016, 020, 037, 039, 047–048, 051–052, 059–060, 063–064, 073–074, 092 </w:t>
            </w:r>
          </w:p>
        </w:tc>
      </w:tr>
      <w:tr w:rsidR="007A1A76" w14:paraId="44B05211"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355C82D3" w14:textId="441EAAEF" w:rsidR="007A1A76" w:rsidRPr="00191435" w:rsidRDefault="007A1A76" w:rsidP="007A1A76">
            <w:r w:rsidRPr="003943C7">
              <w:t>Camera Detected Offence Program</w:t>
            </w:r>
          </w:p>
        </w:tc>
        <w:tc>
          <w:tcPr>
            <w:tcW w:w="5951" w:type="dxa"/>
          </w:tcPr>
          <w:p w14:paraId="3913B916" w14:textId="280AA56F" w:rsidR="007A1A76" w:rsidRPr="00191435" w:rsidRDefault="007A1A76" w:rsidP="007A1A76">
            <w:pPr>
              <w:cnfStyle w:val="000000000000" w:firstRow="0" w:lastRow="0" w:firstColumn="0" w:lastColumn="0" w:oddVBand="0" w:evenVBand="0" w:oddHBand="0" w:evenHBand="0" w:firstRowFirstColumn="0" w:firstRowLastColumn="0" w:lastRowFirstColumn="0" w:lastRowLastColumn="0"/>
            </w:pPr>
            <w:r>
              <w:t>099, 101, 102, 208</w:t>
            </w:r>
          </w:p>
        </w:tc>
      </w:tr>
      <w:tr w:rsidR="007A1A76" w14:paraId="4C43C209"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3B491E2F" w14:textId="3BD97BE1" w:rsidR="007A1A76" w:rsidRPr="00191435" w:rsidRDefault="007A1A76" w:rsidP="007A1A76">
            <w:r w:rsidRPr="003943C7">
              <w:t>Chief Finance Officer’s report</w:t>
            </w:r>
          </w:p>
        </w:tc>
        <w:tc>
          <w:tcPr>
            <w:tcW w:w="5951" w:type="dxa"/>
          </w:tcPr>
          <w:p w14:paraId="7F17B9E7" w14:textId="36BCC418" w:rsidR="007A1A76" w:rsidRPr="00191435" w:rsidRDefault="007A1A76" w:rsidP="007A1A76">
            <w:pPr>
              <w:cnfStyle w:val="000000000000" w:firstRow="0" w:lastRow="0" w:firstColumn="0" w:lastColumn="0" w:oddVBand="0" w:evenVBand="0" w:oddHBand="0" w:evenHBand="0" w:firstRowFirstColumn="0" w:firstRowLastColumn="0" w:lastRowFirstColumn="0" w:lastRowLastColumn="0"/>
            </w:pPr>
            <w:r>
              <w:t>008–009</w:t>
            </w:r>
          </w:p>
        </w:tc>
      </w:tr>
      <w:tr w:rsidR="007A1A76" w14:paraId="454C8EDE"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5E77BB7E" w14:textId="731CD730" w:rsidR="007A1A76" w:rsidRPr="00976D17" w:rsidRDefault="007A1A76" w:rsidP="007A1A76">
            <w:r w:rsidRPr="003943C7">
              <w:t>Compliance checklist</w:t>
            </w:r>
          </w:p>
        </w:tc>
        <w:tc>
          <w:tcPr>
            <w:tcW w:w="5951" w:type="dxa"/>
          </w:tcPr>
          <w:p w14:paraId="3260C404" w14:textId="05C51C65" w:rsidR="007A1A76" w:rsidRPr="00976D17" w:rsidRDefault="007A1A76" w:rsidP="007A1A76">
            <w:pPr>
              <w:cnfStyle w:val="000000000000" w:firstRow="0" w:lastRow="0" w:firstColumn="0" w:lastColumn="0" w:oddVBand="0" w:evenVBand="0" w:oddHBand="0" w:evenHBand="0" w:firstRowFirstColumn="0" w:firstRowLastColumn="0" w:lastRowFirstColumn="0" w:lastRowLastColumn="0"/>
            </w:pPr>
            <w:r>
              <w:t>219–220</w:t>
            </w:r>
          </w:p>
        </w:tc>
      </w:tr>
      <w:tr w:rsidR="007A1A76" w14:paraId="4701F5F7"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2511A415" w14:textId="0879D0C1" w:rsidR="007A1A76" w:rsidRPr="00976D17" w:rsidRDefault="007A1A76" w:rsidP="007A1A76">
            <w:r w:rsidRPr="003943C7">
              <w:t>Committees</w:t>
            </w:r>
          </w:p>
        </w:tc>
        <w:tc>
          <w:tcPr>
            <w:tcW w:w="5951" w:type="dxa"/>
          </w:tcPr>
          <w:p w14:paraId="30D06D68" w14:textId="6A9821FA" w:rsidR="007A1A76" w:rsidRPr="00976D17" w:rsidRDefault="007A1A76" w:rsidP="007A1A76">
            <w:pPr>
              <w:cnfStyle w:val="000000000000" w:firstRow="0" w:lastRow="0" w:firstColumn="0" w:lastColumn="0" w:oddVBand="0" w:evenVBand="0" w:oddHBand="0" w:evenHBand="0" w:firstRowFirstColumn="0" w:firstRowLastColumn="0" w:lastRowFirstColumn="0" w:lastRowLastColumn="0"/>
            </w:pPr>
            <w:r>
              <w:t xml:space="preserve">118, 132–134, 140 </w:t>
            </w:r>
          </w:p>
        </w:tc>
      </w:tr>
      <w:tr w:rsidR="007A1A76" w14:paraId="29C69C38"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3145CDA3" w14:textId="18AE34F2" w:rsidR="007A1A76" w:rsidRPr="00976D17" w:rsidRDefault="007A1A76" w:rsidP="007A1A76">
            <w:r w:rsidRPr="003943C7">
              <w:t>Complaints management</w:t>
            </w:r>
          </w:p>
        </w:tc>
        <w:tc>
          <w:tcPr>
            <w:tcW w:w="5951" w:type="dxa"/>
          </w:tcPr>
          <w:p w14:paraId="5DEEB5F0" w14:textId="08BD6862" w:rsidR="007A1A76" w:rsidRPr="00976D17" w:rsidRDefault="007A1A76" w:rsidP="007A1A76">
            <w:pPr>
              <w:cnfStyle w:val="000000000000" w:firstRow="0" w:lastRow="0" w:firstColumn="0" w:lastColumn="0" w:oddVBand="0" w:evenVBand="0" w:oddHBand="0" w:evenHBand="0" w:firstRowFirstColumn="0" w:firstRowLastColumn="0" w:lastRowFirstColumn="0" w:lastRowLastColumn="0"/>
            </w:pPr>
            <w:r>
              <w:t xml:space="preserve">088, 136–137, 138 </w:t>
            </w:r>
          </w:p>
        </w:tc>
      </w:tr>
      <w:tr w:rsidR="007A1A76" w14:paraId="39732950"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4363D6A0" w14:textId="51C2D273" w:rsidR="007A1A76" w:rsidRPr="00970626" w:rsidRDefault="007A1A76" w:rsidP="007A1A76">
            <w:r w:rsidRPr="003943C7">
              <w:t>Continuity Management</w:t>
            </w:r>
          </w:p>
        </w:tc>
        <w:tc>
          <w:tcPr>
            <w:tcW w:w="5951" w:type="dxa"/>
          </w:tcPr>
          <w:p w14:paraId="682DA07F" w14:textId="240B2139" w:rsidR="007A1A76" w:rsidRPr="00970626" w:rsidRDefault="007A1A76" w:rsidP="007A1A76">
            <w:pPr>
              <w:cnfStyle w:val="000000000000" w:firstRow="0" w:lastRow="0" w:firstColumn="0" w:lastColumn="0" w:oddVBand="0" w:evenVBand="0" w:oddHBand="0" w:evenHBand="0" w:firstRowFirstColumn="0" w:firstRowLastColumn="0" w:lastRowFirstColumn="0" w:lastRowLastColumn="0"/>
            </w:pPr>
            <w:r>
              <w:t xml:space="preserve">024, 107, 108, </w:t>
            </w:r>
          </w:p>
        </w:tc>
      </w:tr>
      <w:tr w:rsidR="007A1A76" w14:paraId="6B860FEF"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1204C199" w14:textId="40241D30" w:rsidR="007A1A76" w:rsidRPr="00970626" w:rsidRDefault="007A1A76" w:rsidP="007A1A76">
            <w:r w:rsidRPr="003943C7">
              <w:t>Coronial inquests</w:t>
            </w:r>
          </w:p>
        </w:tc>
        <w:tc>
          <w:tcPr>
            <w:tcW w:w="5951" w:type="dxa"/>
          </w:tcPr>
          <w:p w14:paraId="5B83D4C2" w14:textId="1596E484" w:rsidR="007A1A76" w:rsidRPr="00970626" w:rsidRDefault="007A1A76" w:rsidP="007A1A76">
            <w:pPr>
              <w:cnfStyle w:val="000000000000" w:firstRow="0" w:lastRow="0" w:firstColumn="0" w:lastColumn="0" w:oddVBand="0" w:evenVBand="0" w:oddHBand="0" w:evenHBand="0" w:firstRowFirstColumn="0" w:firstRowLastColumn="0" w:lastRowFirstColumn="0" w:lastRowLastColumn="0"/>
            </w:pPr>
            <w:r>
              <w:t>139</w:t>
            </w:r>
          </w:p>
        </w:tc>
      </w:tr>
      <w:tr w:rsidR="007A1A76" w14:paraId="62196ABF"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111E2E86" w14:textId="415759D6" w:rsidR="007A1A76" w:rsidRPr="00970626" w:rsidRDefault="007A1A76" w:rsidP="007A1A76">
            <w:r>
              <w:t>COVID-19</w:t>
            </w:r>
          </w:p>
        </w:tc>
        <w:tc>
          <w:tcPr>
            <w:tcW w:w="5951" w:type="dxa"/>
          </w:tcPr>
          <w:p w14:paraId="4DEB9755" w14:textId="5541B594" w:rsidR="007A1A76" w:rsidRPr="00970626" w:rsidRDefault="007A1A76" w:rsidP="007A1A76">
            <w:pPr>
              <w:cnfStyle w:val="000000000000" w:firstRow="0" w:lastRow="0" w:firstColumn="0" w:lastColumn="0" w:oddVBand="0" w:evenVBand="0" w:oddHBand="0" w:evenHBand="0" w:firstRowFirstColumn="0" w:firstRowLastColumn="0" w:lastRowFirstColumn="0" w:lastRowLastColumn="0"/>
            </w:pPr>
            <w:r>
              <w:t>007, 008, 010, 014, 015, 018, 024–026, 032, 034, 041, 071, 095, 097, 107, 111, 121, 138–139, 154</w:t>
            </w:r>
          </w:p>
        </w:tc>
      </w:tr>
      <w:tr w:rsidR="007A1A76" w14:paraId="49731156"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04211D8C" w14:textId="28A9ADC6" w:rsidR="007A1A76" w:rsidRPr="00970626" w:rsidRDefault="007A1A76" w:rsidP="007A1A76">
            <w:r w:rsidRPr="003943C7">
              <w:t>Customer experience</w:t>
            </w:r>
          </w:p>
        </w:tc>
        <w:tc>
          <w:tcPr>
            <w:tcW w:w="5951" w:type="dxa"/>
          </w:tcPr>
          <w:p w14:paraId="05773684" w14:textId="0D55485D" w:rsidR="007A1A76" w:rsidRPr="00970626" w:rsidRDefault="007A1A76" w:rsidP="007A1A76">
            <w:pPr>
              <w:cnfStyle w:val="000000000000" w:firstRow="0" w:lastRow="0" w:firstColumn="0" w:lastColumn="0" w:oddVBand="0" w:evenVBand="0" w:oddHBand="0" w:evenHBand="0" w:firstRowFirstColumn="0" w:firstRowLastColumn="0" w:lastRowFirstColumn="0" w:lastRowLastColumn="0"/>
            </w:pPr>
            <w:r>
              <w:t>013, 085, 086, 089, 129, 146–147, 149, 153, 205</w:t>
            </w:r>
          </w:p>
        </w:tc>
      </w:tr>
      <w:tr w:rsidR="007A1A76" w14:paraId="6AC2D4D9"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5E6CF099" w14:textId="0F610C03" w:rsidR="007A1A76" w:rsidRPr="00970626" w:rsidRDefault="007A1A76" w:rsidP="007A1A76">
            <w:r w:rsidRPr="003943C7">
              <w:t>Cycling</w:t>
            </w:r>
          </w:p>
        </w:tc>
        <w:tc>
          <w:tcPr>
            <w:tcW w:w="5951" w:type="dxa"/>
          </w:tcPr>
          <w:p w14:paraId="14570E0D" w14:textId="12A3E36F" w:rsidR="007A1A76" w:rsidRPr="00970626" w:rsidRDefault="007A1A76" w:rsidP="007A1A76">
            <w:pPr>
              <w:cnfStyle w:val="000000000000" w:firstRow="0" w:lastRow="0" w:firstColumn="0" w:lastColumn="0" w:oddVBand="0" w:evenVBand="0" w:oddHBand="0" w:evenHBand="0" w:firstRowFirstColumn="0" w:firstRowLastColumn="0" w:lastRowFirstColumn="0" w:lastRowLastColumn="0"/>
            </w:pPr>
            <w:r>
              <w:t xml:space="preserve">017, 023, 030, 033, 035 </w:t>
            </w:r>
          </w:p>
        </w:tc>
      </w:tr>
      <w:tr w:rsidR="007A1A76" w14:paraId="4E1ED34E"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4F6C77A6" w14:textId="4D9EA72E" w:rsidR="007A1A76" w:rsidRPr="004273E5" w:rsidRDefault="007A1A76" w:rsidP="007A1A76">
            <w:r>
              <w:t>Digital Licence App</w:t>
            </w:r>
          </w:p>
        </w:tc>
        <w:tc>
          <w:tcPr>
            <w:tcW w:w="5951" w:type="dxa"/>
          </w:tcPr>
          <w:p w14:paraId="0F370DF3" w14:textId="0A7DE1FC" w:rsidR="007A1A76" w:rsidRPr="004273E5" w:rsidRDefault="007A1A76" w:rsidP="007A1A76">
            <w:pPr>
              <w:cnfStyle w:val="000000000000" w:firstRow="0" w:lastRow="0" w:firstColumn="0" w:lastColumn="0" w:oddVBand="0" w:evenVBand="0" w:oddHBand="0" w:evenHBand="0" w:firstRowFirstColumn="0" w:firstRowLastColumn="0" w:lastRowFirstColumn="0" w:lastRowLastColumn="0"/>
            </w:pPr>
            <w:r>
              <w:t xml:space="preserve">011, 084, 090 </w:t>
            </w:r>
          </w:p>
        </w:tc>
      </w:tr>
      <w:tr w:rsidR="007A1A76" w14:paraId="69EACC0A"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0F9D41BD" w14:textId="071C038B" w:rsidR="007A1A76" w:rsidRPr="004273E5" w:rsidRDefault="007A1A76" w:rsidP="007A1A76">
            <w:r w:rsidRPr="003943C7">
              <w:t>Director-General message</w:t>
            </w:r>
          </w:p>
        </w:tc>
        <w:tc>
          <w:tcPr>
            <w:tcW w:w="5951" w:type="dxa"/>
          </w:tcPr>
          <w:p w14:paraId="1EEFA071" w14:textId="6F6ED5D6" w:rsidR="007A1A76" w:rsidRPr="004273E5" w:rsidRDefault="007A1A76" w:rsidP="007A1A76">
            <w:pPr>
              <w:cnfStyle w:val="000000000000" w:firstRow="0" w:lastRow="0" w:firstColumn="0" w:lastColumn="0" w:oddVBand="0" w:evenVBand="0" w:oddHBand="0" w:evenHBand="0" w:firstRowFirstColumn="0" w:firstRowLastColumn="0" w:lastRowFirstColumn="0" w:lastRowLastColumn="0"/>
            </w:pPr>
            <w:r>
              <w:t>006–007</w:t>
            </w:r>
          </w:p>
        </w:tc>
      </w:tr>
      <w:tr w:rsidR="007A1A76" w14:paraId="1BDD49FE"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6FA2964A" w14:textId="63C4A90B" w:rsidR="007A1A76" w:rsidRPr="004273E5" w:rsidRDefault="007A1A76" w:rsidP="007A1A76">
            <w:r>
              <w:lastRenderedPageBreak/>
              <w:t>Digital Uplift</w:t>
            </w:r>
          </w:p>
        </w:tc>
        <w:tc>
          <w:tcPr>
            <w:tcW w:w="5951" w:type="dxa"/>
          </w:tcPr>
          <w:p w14:paraId="4B6C7BFC" w14:textId="369AB355" w:rsidR="007A1A76" w:rsidRPr="004273E5" w:rsidRDefault="007A1A76" w:rsidP="007A1A76">
            <w:pPr>
              <w:cnfStyle w:val="000000000000" w:firstRow="0" w:lastRow="0" w:firstColumn="0" w:lastColumn="0" w:oddVBand="0" w:evenVBand="0" w:oddHBand="0" w:evenHBand="0" w:firstRowFirstColumn="0" w:firstRowLastColumn="0" w:lastRowFirstColumn="0" w:lastRowLastColumn="0"/>
            </w:pPr>
            <w:r>
              <w:t>115–116</w:t>
            </w:r>
          </w:p>
        </w:tc>
      </w:tr>
      <w:tr w:rsidR="007A1A76" w14:paraId="753C0B0B"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136C47C7" w14:textId="626F4C5A" w:rsidR="007A1A76" w:rsidRPr="004273E5" w:rsidRDefault="007A1A76" w:rsidP="007A1A76">
            <w:r w:rsidRPr="003943C7">
              <w:t>Diversity and inclusion</w:t>
            </w:r>
          </w:p>
        </w:tc>
        <w:tc>
          <w:tcPr>
            <w:tcW w:w="5951" w:type="dxa"/>
          </w:tcPr>
          <w:p w14:paraId="3C0A611B" w14:textId="0514E206" w:rsidR="007A1A76" w:rsidRPr="004273E5" w:rsidRDefault="007A1A76" w:rsidP="007A1A76">
            <w:pPr>
              <w:cnfStyle w:val="000000000000" w:firstRow="0" w:lastRow="0" w:firstColumn="0" w:lastColumn="0" w:oddVBand="0" w:evenVBand="0" w:oddHBand="0" w:evenHBand="0" w:firstRowFirstColumn="0" w:firstRowLastColumn="0" w:lastRowFirstColumn="0" w:lastRowLastColumn="0"/>
            </w:pPr>
            <w:r>
              <w:t>007, 111, 113, 117–119</w:t>
            </w:r>
          </w:p>
        </w:tc>
      </w:tr>
      <w:tr w:rsidR="007A1A76" w14:paraId="6359C8D7"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1B8094B7" w14:textId="78EF7281" w:rsidR="007A1A76" w:rsidRPr="004273E5" w:rsidRDefault="007A1A76" w:rsidP="007A1A76">
            <w:r w:rsidRPr="003943C7">
              <w:t>Environment and Heritage</w:t>
            </w:r>
          </w:p>
        </w:tc>
        <w:tc>
          <w:tcPr>
            <w:tcW w:w="5951" w:type="dxa"/>
          </w:tcPr>
          <w:p w14:paraId="2ED603BA" w14:textId="096BF9F6" w:rsidR="007A1A76" w:rsidRPr="004273E5" w:rsidRDefault="007A1A76" w:rsidP="007A1A76">
            <w:pPr>
              <w:cnfStyle w:val="000000000000" w:firstRow="0" w:lastRow="0" w:firstColumn="0" w:lastColumn="0" w:oddVBand="0" w:evenVBand="0" w:oddHBand="0" w:evenHBand="0" w:firstRowFirstColumn="0" w:firstRowLastColumn="0" w:lastRowFirstColumn="0" w:lastRowLastColumn="0"/>
            </w:pPr>
            <w:r>
              <w:t xml:space="preserve">011, 017, 019, 031, 084, 096–098, 105 </w:t>
            </w:r>
          </w:p>
        </w:tc>
      </w:tr>
      <w:tr w:rsidR="007A1A76" w14:paraId="572FB12C"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067ACAE2" w14:textId="3BA59B95" w:rsidR="007A1A76" w:rsidRPr="004273E5" w:rsidRDefault="007A1A76" w:rsidP="007A1A76">
            <w:r w:rsidRPr="003943C7">
              <w:t>Ethics</w:t>
            </w:r>
          </w:p>
        </w:tc>
        <w:tc>
          <w:tcPr>
            <w:tcW w:w="5951" w:type="dxa"/>
          </w:tcPr>
          <w:p w14:paraId="2FC5ED5C" w14:textId="697C9189" w:rsidR="007A1A76" w:rsidRPr="004273E5" w:rsidRDefault="007A1A76" w:rsidP="007A1A76">
            <w:pPr>
              <w:cnfStyle w:val="000000000000" w:firstRow="0" w:lastRow="0" w:firstColumn="0" w:lastColumn="0" w:oddVBand="0" w:evenVBand="0" w:oddHBand="0" w:evenHBand="0" w:firstRowFirstColumn="0" w:firstRowLastColumn="0" w:lastRowFirstColumn="0" w:lastRowLastColumn="0"/>
            </w:pPr>
            <w:r>
              <w:t xml:space="preserve">132, 137, 138, 194 </w:t>
            </w:r>
          </w:p>
        </w:tc>
      </w:tr>
      <w:tr w:rsidR="007A1A76" w14:paraId="3C4AE2E6"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5BACBB27" w14:textId="67763AF3" w:rsidR="007A1A76" w:rsidRPr="004273E5" w:rsidRDefault="007A1A76" w:rsidP="007A1A76">
            <w:r w:rsidRPr="003943C7">
              <w:t>Executive Leadership team profiles</w:t>
            </w:r>
          </w:p>
        </w:tc>
        <w:tc>
          <w:tcPr>
            <w:tcW w:w="5951" w:type="dxa"/>
          </w:tcPr>
          <w:p w14:paraId="0C949CAA" w14:textId="18583BB1" w:rsidR="007A1A76" w:rsidRPr="004273E5" w:rsidRDefault="007A1A76" w:rsidP="007A1A76">
            <w:pPr>
              <w:cnfStyle w:val="000000000000" w:firstRow="0" w:lastRow="0" w:firstColumn="0" w:lastColumn="0" w:oddVBand="0" w:evenVBand="0" w:oddHBand="0" w:evenHBand="0" w:firstRowFirstColumn="0" w:firstRowLastColumn="0" w:lastRowFirstColumn="0" w:lastRowLastColumn="0"/>
            </w:pPr>
            <w:r>
              <w:t>127–131</w:t>
            </w:r>
          </w:p>
        </w:tc>
      </w:tr>
      <w:tr w:rsidR="007A1A76" w14:paraId="0342C3EF"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1FEF73CA" w14:textId="127617CB" w:rsidR="007A1A76" w:rsidRPr="004273E5" w:rsidRDefault="007A1A76" w:rsidP="007A1A76">
            <w:r w:rsidRPr="003943C7">
              <w:t>Fast Facts</w:t>
            </w:r>
          </w:p>
        </w:tc>
        <w:tc>
          <w:tcPr>
            <w:tcW w:w="5951" w:type="dxa"/>
          </w:tcPr>
          <w:p w14:paraId="4039C4E1" w14:textId="385FDF1F" w:rsidR="007A1A76" w:rsidRPr="004273E5" w:rsidRDefault="007A1A76" w:rsidP="007A1A76">
            <w:pPr>
              <w:cnfStyle w:val="000000000000" w:firstRow="0" w:lastRow="0" w:firstColumn="0" w:lastColumn="0" w:oddVBand="0" w:evenVBand="0" w:oddHBand="0" w:evenHBand="0" w:firstRowFirstColumn="0" w:firstRowLastColumn="0" w:lastRowFirstColumn="0" w:lastRowLastColumn="0"/>
            </w:pPr>
            <w:r>
              <w:t>022–023</w:t>
            </w:r>
          </w:p>
        </w:tc>
      </w:tr>
      <w:tr w:rsidR="007A1A76" w14:paraId="1143EA09"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33635349" w14:textId="713B1EA3" w:rsidR="007A1A76" w:rsidRPr="004273E5" w:rsidRDefault="007A1A76" w:rsidP="007A1A76">
            <w:r w:rsidRPr="003943C7">
              <w:t>Figures and table index</w:t>
            </w:r>
          </w:p>
        </w:tc>
        <w:tc>
          <w:tcPr>
            <w:tcW w:w="5951" w:type="dxa"/>
          </w:tcPr>
          <w:p w14:paraId="047ED87D" w14:textId="734ECECE" w:rsidR="007A1A76" w:rsidRPr="004273E5" w:rsidRDefault="007A1A76" w:rsidP="007A1A76">
            <w:pPr>
              <w:cnfStyle w:val="000000000000" w:firstRow="0" w:lastRow="0" w:firstColumn="0" w:lastColumn="0" w:oddVBand="0" w:evenVBand="0" w:oddHBand="0" w:evenHBand="0" w:firstRowFirstColumn="0" w:firstRowLastColumn="0" w:lastRowFirstColumn="0" w:lastRowLastColumn="0"/>
            </w:pPr>
            <w:r>
              <w:t>226</w:t>
            </w:r>
          </w:p>
        </w:tc>
      </w:tr>
      <w:tr w:rsidR="007A1A76" w14:paraId="34803EA0"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75761EB4" w14:textId="66C8E9E5" w:rsidR="007A1A76" w:rsidRPr="004273E5" w:rsidRDefault="007A1A76" w:rsidP="007A1A76">
            <w:r w:rsidRPr="003943C7">
              <w:t>Financial statements</w:t>
            </w:r>
          </w:p>
        </w:tc>
        <w:tc>
          <w:tcPr>
            <w:tcW w:w="5951" w:type="dxa"/>
          </w:tcPr>
          <w:p w14:paraId="4F84CB83" w14:textId="601EF1F9" w:rsidR="007A1A76" w:rsidRPr="004273E5" w:rsidRDefault="007A1A76" w:rsidP="007A1A76">
            <w:pPr>
              <w:cnfStyle w:val="000000000000" w:firstRow="0" w:lastRow="0" w:firstColumn="0" w:lastColumn="0" w:oddVBand="0" w:evenVBand="0" w:oddHBand="0" w:evenHBand="0" w:firstRowFirstColumn="0" w:firstRowLastColumn="0" w:lastRowFirstColumn="0" w:lastRowLastColumn="0"/>
            </w:pPr>
            <w:r>
              <w:t>142–192</w:t>
            </w:r>
          </w:p>
        </w:tc>
      </w:tr>
      <w:tr w:rsidR="007A1A76" w14:paraId="13AFDB1B"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36EF5864" w14:textId="1199E42F" w:rsidR="007A1A76" w:rsidRPr="00D558B2" w:rsidRDefault="007A1A76" w:rsidP="007A1A76">
            <w:r w:rsidRPr="003943C7">
              <w:t>Financials – independent auditor</w:t>
            </w:r>
          </w:p>
        </w:tc>
        <w:tc>
          <w:tcPr>
            <w:tcW w:w="5951" w:type="dxa"/>
          </w:tcPr>
          <w:p w14:paraId="171ECD1F" w14:textId="6CB8053A" w:rsidR="007A1A76" w:rsidRPr="00D558B2" w:rsidRDefault="007A1A76" w:rsidP="007A1A76">
            <w:pPr>
              <w:cnfStyle w:val="000000000000" w:firstRow="0" w:lastRow="0" w:firstColumn="0" w:lastColumn="0" w:oddVBand="0" w:evenVBand="0" w:oddHBand="0" w:evenHBand="0" w:firstRowFirstColumn="0" w:firstRowLastColumn="0" w:lastRowFirstColumn="0" w:lastRowLastColumn="0"/>
            </w:pPr>
            <w:r>
              <w:t>194–198</w:t>
            </w:r>
          </w:p>
        </w:tc>
      </w:tr>
      <w:tr w:rsidR="007A1A76" w14:paraId="6B8225A3"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5C75612A" w14:textId="19919577" w:rsidR="007A1A76" w:rsidRPr="00D558B2" w:rsidRDefault="007A1A76" w:rsidP="007A1A76">
            <w:r w:rsidRPr="003943C7">
              <w:t>Governance committees</w:t>
            </w:r>
          </w:p>
        </w:tc>
        <w:tc>
          <w:tcPr>
            <w:tcW w:w="5951" w:type="dxa"/>
          </w:tcPr>
          <w:p w14:paraId="1E1D779B" w14:textId="35CA016B" w:rsidR="007A1A76" w:rsidRPr="00D558B2" w:rsidRDefault="007A1A76" w:rsidP="007A1A76">
            <w:pPr>
              <w:cnfStyle w:val="000000000000" w:firstRow="0" w:lastRow="0" w:firstColumn="0" w:lastColumn="0" w:oddVBand="0" w:evenVBand="0" w:oddHBand="0" w:evenHBand="0" w:firstRowFirstColumn="0" w:firstRowLastColumn="0" w:lastRowFirstColumn="0" w:lastRowLastColumn="0"/>
            </w:pPr>
            <w:r>
              <w:t>132–134</w:t>
            </w:r>
          </w:p>
        </w:tc>
      </w:tr>
      <w:tr w:rsidR="007A1A76" w14:paraId="1EBAE716"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7AEABE1F" w14:textId="5C395E5D" w:rsidR="007A1A76" w:rsidRPr="007126D8" w:rsidRDefault="007A1A76" w:rsidP="007A1A76">
            <w:r w:rsidRPr="003943C7">
              <w:t>Government bodies</w:t>
            </w:r>
          </w:p>
        </w:tc>
        <w:tc>
          <w:tcPr>
            <w:tcW w:w="5951" w:type="dxa"/>
          </w:tcPr>
          <w:p w14:paraId="1A8C9849" w14:textId="54740FCB" w:rsidR="007A1A76" w:rsidRPr="007126D8" w:rsidRDefault="007A1A76" w:rsidP="007A1A76">
            <w:pPr>
              <w:cnfStyle w:val="000000000000" w:firstRow="0" w:lastRow="0" w:firstColumn="0" w:lastColumn="0" w:oddVBand="0" w:evenVBand="0" w:oddHBand="0" w:evenHBand="0" w:firstRowFirstColumn="0" w:firstRowLastColumn="0" w:lastRowFirstColumn="0" w:lastRowLastColumn="0"/>
            </w:pPr>
            <w:r>
              <w:t>202, 214</w:t>
            </w:r>
          </w:p>
        </w:tc>
      </w:tr>
      <w:tr w:rsidR="007A1A76" w14:paraId="1AFE1D98"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0340042C" w14:textId="18544140" w:rsidR="007A1A76" w:rsidRPr="007126D8" w:rsidRDefault="007A1A76" w:rsidP="007A1A76">
            <w:r w:rsidRPr="003943C7">
              <w:t>Glossary</w:t>
            </w:r>
          </w:p>
        </w:tc>
        <w:tc>
          <w:tcPr>
            <w:tcW w:w="5951" w:type="dxa"/>
          </w:tcPr>
          <w:p w14:paraId="49ECC2E8" w14:textId="0E4A9D48" w:rsidR="007A1A76" w:rsidRPr="007126D8" w:rsidRDefault="007A1A76" w:rsidP="007A1A76">
            <w:pPr>
              <w:cnfStyle w:val="000000000000" w:firstRow="0" w:lastRow="0" w:firstColumn="0" w:lastColumn="0" w:oddVBand="0" w:evenVBand="0" w:oddHBand="0" w:evenHBand="0" w:firstRowFirstColumn="0" w:firstRowLastColumn="0" w:lastRowFirstColumn="0" w:lastRowLastColumn="0"/>
            </w:pPr>
            <w:r>
              <w:t>215–216</w:t>
            </w:r>
          </w:p>
        </w:tc>
      </w:tr>
      <w:tr w:rsidR="007A1A76" w14:paraId="64BCC770"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21C21C7F" w14:textId="5FDF505A" w:rsidR="007A1A76" w:rsidRPr="007126D8" w:rsidRDefault="007A1A76" w:rsidP="007A1A76">
            <w:r w:rsidRPr="003943C7">
              <w:t>Graduate program</w:t>
            </w:r>
          </w:p>
        </w:tc>
        <w:tc>
          <w:tcPr>
            <w:tcW w:w="5951" w:type="dxa"/>
          </w:tcPr>
          <w:p w14:paraId="2ECC0A88" w14:textId="31BC9D5B" w:rsidR="007A1A76" w:rsidRPr="007126D8" w:rsidRDefault="007A1A76" w:rsidP="007A1A76">
            <w:pPr>
              <w:cnfStyle w:val="000000000000" w:firstRow="0" w:lastRow="0" w:firstColumn="0" w:lastColumn="0" w:oddVBand="0" w:evenVBand="0" w:oddHBand="0" w:evenHBand="0" w:firstRowFirstColumn="0" w:firstRowLastColumn="0" w:lastRowFirstColumn="0" w:lastRowLastColumn="0"/>
            </w:pPr>
            <w:r>
              <w:t xml:space="preserve">010, 110, 111, 119, 121 </w:t>
            </w:r>
          </w:p>
        </w:tc>
      </w:tr>
      <w:tr w:rsidR="007A1A76" w14:paraId="69E49AD3"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393C1131" w14:textId="4FF7B417" w:rsidR="007A1A76" w:rsidRPr="007126D8" w:rsidRDefault="007A1A76" w:rsidP="007A1A76">
            <w:r w:rsidRPr="003943C7">
              <w:t>Health and safety</w:t>
            </w:r>
          </w:p>
        </w:tc>
        <w:tc>
          <w:tcPr>
            <w:tcW w:w="5951" w:type="dxa"/>
          </w:tcPr>
          <w:p w14:paraId="506C6828" w14:textId="535FE08A" w:rsidR="007A1A76" w:rsidRPr="007126D8" w:rsidRDefault="007A1A76" w:rsidP="007A1A76">
            <w:pPr>
              <w:cnfStyle w:val="000000000000" w:firstRow="0" w:lastRow="0" w:firstColumn="0" w:lastColumn="0" w:oddVBand="0" w:evenVBand="0" w:oddHBand="0" w:evenHBand="0" w:firstRowFirstColumn="0" w:firstRowLastColumn="0" w:lastRowFirstColumn="0" w:lastRowLastColumn="0"/>
            </w:pPr>
            <w:r>
              <w:t>014, 111, 115, 123–124, 134, 140</w:t>
            </w:r>
          </w:p>
        </w:tc>
      </w:tr>
      <w:tr w:rsidR="007A1A76" w14:paraId="332C6674"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021477C2" w14:textId="4F058DA5" w:rsidR="007A1A76" w:rsidRPr="007126D8" w:rsidRDefault="007A1A76" w:rsidP="007A1A76">
            <w:r w:rsidRPr="003943C7">
              <w:t>Heavy vehicle safety</w:t>
            </w:r>
          </w:p>
        </w:tc>
        <w:tc>
          <w:tcPr>
            <w:tcW w:w="5951" w:type="dxa"/>
          </w:tcPr>
          <w:p w14:paraId="6642FE8D" w14:textId="657F0AA7" w:rsidR="007A1A76" w:rsidRPr="007126D8" w:rsidRDefault="007A1A76" w:rsidP="007A1A76">
            <w:pPr>
              <w:cnfStyle w:val="000000000000" w:firstRow="0" w:lastRow="0" w:firstColumn="0" w:lastColumn="0" w:oddVBand="0" w:evenVBand="0" w:oddHBand="0" w:evenHBand="0" w:firstRowFirstColumn="0" w:firstRowLastColumn="0" w:lastRowFirstColumn="0" w:lastRowLastColumn="0"/>
            </w:pPr>
            <w:r>
              <w:t xml:space="preserve">014, 092 </w:t>
            </w:r>
          </w:p>
        </w:tc>
      </w:tr>
      <w:tr w:rsidR="007A1A76" w14:paraId="75405286"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49634AF4" w14:textId="084386E7" w:rsidR="007A1A76" w:rsidRPr="007126D8" w:rsidRDefault="007A1A76" w:rsidP="007A1A76">
            <w:r w:rsidRPr="003943C7">
              <w:t>Information privacy</w:t>
            </w:r>
          </w:p>
        </w:tc>
        <w:tc>
          <w:tcPr>
            <w:tcW w:w="5951" w:type="dxa"/>
          </w:tcPr>
          <w:p w14:paraId="013F522E" w14:textId="52335823" w:rsidR="007A1A76" w:rsidRPr="007126D8" w:rsidRDefault="007A1A76" w:rsidP="007A1A76">
            <w:pPr>
              <w:cnfStyle w:val="000000000000" w:firstRow="0" w:lastRow="0" w:firstColumn="0" w:lastColumn="0" w:oddVBand="0" w:evenVBand="0" w:oddHBand="0" w:evenHBand="0" w:firstRowFirstColumn="0" w:firstRowLastColumn="0" w:lastRowFirstColumn="0" w:lastRowLastColumn="0"/>
            </w:pPr>
            <w:r>
              <w:t xml:space="preserve">126, 135, 138 </w:t>
            </w:r>
          </w:p>
        </w:tc>
      </w:tr>
      <w:tr w:rsidR="007A1A76" w14:paraId="6B24B81D"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3FAAD824" w14:textId="3E303F5B" w:rsidR="007A1A76" w:rsidRPr="007E06E8" w:rsidRDefault="007A1A76" w:rsidP="007A1A76">
            <w:r w:rsidRPr="003943C7">
              <w:t>Injury management</w:t>
            </w:r>
          </w:p>
        </w:tc>
        <w:tc>
          <w:tcPr>
            <w:tcW w:w="5951" w:type="dxa"/>
          </w:tcPr>
          <w:p w14:paraId="1832AD08" w14:textId="56A90012" w:rsidR="007A1A76" w:rsidRPr="007E06E8" w:rsidRDefault="007A1A76" w:rsidP="007A1A76">
            <w:pPr>
              <w:cnfStyle w:val="000000000000" w:firstRow="0" w:lastRow="0" w:firstColumn="0" w:lastColumn="0" w:oddVBand="0" w:evenVBand="0" w:oddHBand="0" w:evenHBand="0" w:firstRowFirstColumn="0" w:firstRowLastColumn="0" w:lastRowFirstColumn="0" w:lastRowLastColumn="0"/>
            </w:pPr>
            <w:r>
              <w:t xml:space="preserve">123 </w:t>
            </w:r>
          </w:p>
        </w:tc>
      </w:tr>
      <w:tr w:rsidR="007A1A76" w14:paraId="394804CB"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7AB810D1" w14:textId="0D993E28" w:rsidR="007A1A76" w:rsidRPr="007E06E8" w:rsidRDefault="007A1A76" w:rsidP="007A1A76">
            <w:r w:rsidRPr="003943C7">
              <w:t>Innovation</w:t>
            </w:r>
          </w:p>
        </w:tc>
        <w:tc>
          <w:tcPr>
            <w:tcW w:w="5951" w:type="dxa"/>
          </w:tcPr>
          <w:p w14:paraId="026A0B81" w14:textId="49613624" w:rsidR="007A1A76" w:rsidRPr="007E06E8" w:rsidRDefault="007A1A76" w:rsidP="007A1A76">
            <w:pPr>
              <w:cnfStyle w:val="000000000000" w:firstRow="0" w:lastRow="0" w:firstColumn="0" w:lastColumn="0" w:oddVBand="0" w:evenVBand="0" w:oddHBand="0" w:evenHBand="0" w:firstRowFirstColumn="0" w:firstRowLastColumn="0" w:lastRowFirstColumn="0" w:lastRowLastColumn="0"/>
            </w:pPr>
            <w:r>
              <w:t xml:space="preserve">006, 017, 019, 105 </w:t>
            </w:r>
          </w:p>
        </w:tc>
      </w:tr>
      <w:tr w:rsidR="007A1A76" w14:paraId="6E5629B3"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1AECAAAE" w14:textId="50E8840B" w:rsidR="007A1A76" w:rsidRPr="004E41B4" w:rsidRDefault="007A1A76" w:rsidP="007A1A76">
            <w:r w:rsidRPr="003943C7">
              <w:t>Internal audit</w:t>
            </w:r>
          </w:p>
        </w:tc>
        <w:tc>
          <w:tcPr>
            <w:tcW w:w="5951" w:type="dxa"/>
          </w:tcPr>
          <w:p w14:paraId="045C91E8" w14:textId="44E3CCAB" w:rsidR="007A1A76" w:rsidRPr="004E41B4" w:rsidRDefault="007A1A76" w:rsidP="007A1A76">
            <w:pPr>
              <w:cnfStyle w:val="000000000000" w:firstRow="0" w:lastRow="0" w:firstColumn="0" w:lastColumn="0" w:oddVBand="0" w:evenVBand="0" w:oddHBand="0" w:evenHBand="0" w:firstRowFirstColumn="0" w:firstRowLastColumn="0" w:lastRowFirstColumn="0" w:lastRowLastColumn="0"/>
            </w:pPr>
            <w:r>
              <w:t>137</w:t>
            </w:r>
          </w:p>
        </w:tc>
      </w:tr>
      <w:tr w:rsidR="007A1A76" w14:paraId="082630DA"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7A8AAF9C" w14:textId="2836D46C" w:rsidR="007A1A76" w:rsidRPr="004E41B4" w:rsidRDefault="007A1A76" w:rsidP="007A1A76">
            <w:r w:rsidRPr="003943C7">
              <w:t>Key priorities and outcomes</w:t>
            </w:r>
          </w:p>
        </w:tc>
        <w:tc>
          <w:tcPr>
            <w:tcW w:w="5951" w:type="dxa"/>
          </w:tcPr>
          <w:p w14:paraId="357FEFFB" w14:textId="796652E7" w:rsidR="007A1A76" w:rsidRPr="004E41B4" w:rsidRDefault="007A1A76" w:rsidP="007A1A76">
            <w:pPr>
              <w:cnfStyle w:val="000000000000" w:firstRow="0" w:lastRow="0" w:firstColumn="0" w:lastColumn="0" w:oddVBand="0" w:evenVBand="0" w:oddHBand="0" w:evenHBand="0" w:firstRowFirstColumn="0" w:firstRowLastColumn="0" w:lastRowFirstColumn="0" w:lastRowLastColumn="0"/>
            </w:pPr>
            <w:r>
              <w:t>014–017</w:t>
            </w:r>
          </w:p>
        </w:tc>
      </w:tr>
      <w:tr w:rsidR="007A1A76" w14:paraId="5F8A1996"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3C2CC54E" w14:textId="1872AAD6" w:rsidR="007A1A76" w:rsidRPr="004E41B4" w:rsidRDefault="007A1A76" w:rsidP="007A1A76">
            <w:r w:rsidRPr="003943C7">
              <w:t>Leadership and management development</w:t>
            </w:r>
          </w:p>
        </w:tc>
        <w:tc>
          <w:tcPr>
            <w:tcW w:w="5951" w:type="dxa"/>
          </w:tcPr>
          <w:p w14:paraId="1C9A1E53" w14:textId="517EC5BA" w:rsidR="007A1A76" w:rsidRPr="004E41B4" w:rsidRDefault="007A1A76" w:rsidP="007A1A76">
            <w:pPr>
              <w:cnfStyle w:val="000000000000" w:firstRow="0" w:lastRow="0" w:firstColumn="0" w:lastColumn="0" w:oddVBand="0" w:evenVBand="0" w:oddHBand="0" w:evenHBand="0" w:firstRowFirstColumn="0" w:firstRowLastColumn="0" w:lastRowFirstColumn="0" w:lastRowLastColumn="0"/>
            </w:pPr>
            <w:r>
              <w:t>119–120</w:t>
            </w:r>
          </w:p>
        </w:tc>
      </w:tr>
      <w:tr w:rsidR="007A1A76" w14:paraId="4596EEEF"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50047B9D" w14:textId="1531D17C" w:rsidR="007A1A76" w:rsidRPr="004E41B4" w:rsidRDefault="007A1A76" w:rsidP="007A1A76">
            <w:r w:rsidRPr="003943C7">
              <w:lastRenderedPageBreak/>
              <w:t>Letter of compliance</w:t>
            </w:r>
          </w:p>
        </w:tc>
        <w:tc>
          <w:tcPr>
            <w:tcW w:w="5951" w:type="dxa"/>
          </w:tcPr>
          <w:p w14:paraId="570713FF" w14:textId="74C0658A" w:rsidR="007A1A76" w:rsidRPr="004E41B4" w:rsidRDefault="007A1A76" w:rsidP="007A1A76">
            <w:pPr>
              <w:cnfStyle w:val="000000000000" w:firstRow="0" w:lastRow="0" w:firstColumn="0" w:lastColumn="0" w:oddVBand="0" w:evenVBand="0" w:oddHBand="0" w:evenHBand="0" w:firstRowFirstColumn="0" w:firstRowLastColumn="0" w:lastRowFirstColumn="0" w:lastRowLastColumn="0"/>
            </w:pPr>
            <w:r>
              <w:t>003</w:t>
            </w:r>
          </w:p>
        </w:tc>
      </w:tr>
      <w:tr w:rsidR="007A1A76" w14:paraId="5D09A9DE"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4A5923BC" w14:textId="03D35A23" w:rsidR="007A1A76" w:rsidRPr="004E41B4" w:rsidRDefault="007A1A76" w:rsidP="007A1A76">
            <w:r w:rsidRPr="003943C7">
              <w:t>Marine infrastructure</w:t>
            </w:r>
          </w:p>
        </w:tc>
        <w:tc>
          <w:tcPr>
            <w:tcW w:w="5951" w:type="dxa"/>
          </w:tcPr>
          <w:p w14:paraId="58BCC620" w14:textId="4833FCA4" w:rsidR="007A1A76" w:rsidRPr="004E41B4" w:rsidRDefault="007A1A76" w:rsidP="007A1A76">
            <w:pPr>
              <w:cnfStyle w:val="000000000000" w:firstRow="0" w:lastRow="0" w:firstColumn="0" w:lastColumn="0" w:oddVBand="0" w:evenVBand="0" w:oddHBand="0" w:evenHBand="0" w:firstRowFirstColumn="0" w:firstRowLastColumn="0" w:lastRowFirstColumn="0" w:lastRowLastColumn="0"/>
            </w:pPr>
            <w:r>
              <w:t>014, 028, 030–031, 036</w:t>
            </w:r>
          </w:p>
        </w:tc>
      </w:tr>
      <w:tr w:rsidR="007A1A76" w14:paraId="1BC8C18E"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56C6873C" w14:textId="1B0B37B1" w:rsidR="007A1A76" w:rsidRPr="00452824" w:rsidRDefault="007A1A76" w:rsidP="007A1A76">
            <w:r w:rsidRPr="003943C7">
              <w:t>Maritime safety</w:t>
            </w:r>
          </w:p>
        </w:tc>
        <w:tc>
          <w:tcPr>
            <w:tcW w:w="5951" w:type="dxa"/>
          </w:tcPr>
          <w:p w14:paraId="193EDD9E" w14:textId="5BA1F5EA" w:rsidR="007A1A76" w:rsidRPr="00452824" w:rsidRDefault="007A1A76" w:rsidP="007A1A76">
            <w:pPr>
              <w:cnfStyle w:val="000000000000" w:firstRow="0" w:lastRow="0" w:firstColumn="0" w:lastColumn="0" w:oddVBand="0" w:evenVBand="0" w:oddHBand="0" w:evenHBand="0" w:firstRowFirstColumn="0" w:firstRowLastColumn="0" w:lastRowFirstColumn="0" w:lastRowLastColumn="0"/>
            </w:pPr>
            <w:r>
              <w:t xml:space="preserve">025–026, 103–105, 122, 205, </w:t>
            </w:r>
          </w:p>
        </w:tc>
      </w:tr>
      <w:tr w:rsidR="007A1A76" w14:paraId="3BA28D20"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7FB61F2D" w14:textId="69BFF9F5" w:rsidR="007A1A76" w:rsidRPr="00452824" w:rsidRDefault="007A1A76" w:rsidP="007A1A76">
            <w:r w:rsidRPr="003943C7">
              <w:t>Mentoring</w:t>
            </w:r>
          </w:p>
        </w:tc>
        <w:tc>
          <w:tcPr>
            <w:tcW w:w="5951" w:type="dxa"/>
          </w:tcPr>
          <w:p w14:paraId="08D70334" w14:textId="61BEF9E6" w:rsidR="007A1A76" w:rsidRPr="00452824" w:rsidRDefault="007A1A76" w:rsidP="007A1A76">
            <w:pPr>
              <w:cnfStyle w:val="000000000000" w:firstRow="0" w:lastRow="0" w:firstColumn="0" w:lastColumn="0" w:oddVBand="0" w:evenVBand="0" w:oddHBand="0" w:evenHBand="0" w:firstRowFirstColumn="0" w:firstRowLastColumn="0" w:lastRowFirstColumn="0" w:lastRowLastColumn="0"/>
            </w:pPr>
            <w:r>
              <w:t xml:space="preserve">007, 010, 014, 098–099, 110, 120 </w:t>
            </w:r>
          </w:p>
        </w:tc>
      </w:tr>
      <w:tr w:rsidR="007A1A76" w14:paraId="1EBB2022"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660CD70B" w14:textId="04F0A42E" w:rsidR="007A1A76" w:rsidRPr="00452824" w:rsidRDefault="007A1A76" w:rsidP="007A1A76">
            <w:r>
              <w:t>Mobility as a Service</w:t>
            </w:r>
          </w:p>
        </w:tc>
        <w:tc>
          <w:tcPr>
            <w:tcW w:w="5951" w:type="dxa"/>
          </w:tcPr>
          <w:p w14:paraId="15A2B9B5" w14:textId="3CDBA0BC" w:rsidR="007A1A76" w:rsidRPr="00452824" w:rsidRDefault="007A1A76" w:rsidP="007A1A76">
            <w:pPr>
              <w:cnfStyle w:val="000000000000" w:firstRow="0" w:lastRow="0" w:firstColumn="0" w:lastColumn="0" w:oddVBand="0" w:evenVBand="0" w:oddHBand="0" w:evenHBand="0" w:firstRowFirstColumn="0" w:firstRowLastColumn="0" w:lastRowFirstColumn="0" w:lastRowLastColumn="0"/>
            </w:pPr>
            <w:r>
              <w:t xml:space="preserve">077 </w:t>
            </w:r>
          </w:p>
        </w:tc>
      </w:tr>
      <w:tr w:rsidR="007A1A76" w14:paraId="36FB6D70"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0BCC87DB" w14:textId="5CF523D1" w:rsidR="007A1A76" w:rsidRPr="00452824" w:rsidRDefault="007A1A76" w:rsidP="007A1A76">
            <w:r>
              <w:t>Objectives for the community</w:t>
            </w:r>
          </w:p>
        </w:tc>
        <w:tc>
          <w:tcPr>
            <w:tcW w:w="5951" w:type="dxa"/>
          </w:tcPr>
          <w:p w14:paraId="40848552" w14:textId="1FC729C5" w:rsidR="007A1A76" w:rsidRPr="00452824" w:rsidRDefault="007A1A76" w:rsidP="007A1A76">
            <w:pPr>
              <w:cnfStyle w:val="000000000000" w:firstRow="0" w:lastRow="0" w:firstColumn="0" w:lastColumn="0" w:oddVBand="0" w:evenVBand="0" w:oddHBand="0" w:evenHBand="0" w:firstRowFirstColumn="0" w:firstRowLastColumn="0" w:lastRowFirstColumn="0" w:lastRowLastColumn="0"/>
            </w:pPr>
            <w:r>
              <w:t>010–011</w:t>
            </w:r>
          </w:p>
        </w:tc>
      </w:tr>
      <w:tr w:rsidR="007A1A76" w14:paraId="4C493747"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66A22293" w14:textId="544DFD56" w:rsidR="007A1A76" w:rsidRPr="00452824" w:rsidRDefault="007A1A76" w:rsidP="007A1A76">
            <w:r w:rsidRPr="003943C7">
              <w:t>Open data</w:t>
            </w:r>
          </w:p>
        </w:tc>
        <w:tc>
          <w:tcPr>
            <w:tcW w:w="5951" w:type="dxa"/>
          </w:tcPr>
          <w:p w14:paraId="751546C7" w14:textId="4E3FBC82" w:rsidR="007A1A76" w:rsidRPr="00452824" w:rsidRDefault="007A1A76" w:rsidP="007A1A76">
            <w:pPr>
              <w:cnfStyle w:val="000000000000" w:firstRow="0" w:lastRow="0" w:firstColumn="0" w:lastColumn="0" w:oddVBand="0" w:evenVBand="0" w:oddHBand="0" w:evenHBand="0" w:firstRowFirstColumn="0" w:firstRowLastColumn="0" w:lastRowFirstColumn="0" w:lastRowLastColumn="0"/>
            </w:pPr>
            <w:r>
              <w:t>004, 087, 139</w:t>
            </w:r>
          </w:p>
        </w:tc>
      </w:tr>
      <w:tr w:rsidR="007A1A76" w14:paraId="15012D25"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2FDA89B8" w14:textId="02712FCD" w:rsidR="007A1A76" w:rsidRPr="00133ECB" w:rsidRDefault="007A1A76" w:rsidP="007A1A76">
            <w:r w:rsidRPr="003943C7">
              <w:t>Organisational structure</w:t>
            </w:r>
          </w:p>
        </w:tc>
        <w:tc>
          <w:tcPr>
            <w:tcW w:w="5951" w:type="dxa"/>
          </w:tcPr>
          <w:p w14:paraId="6DE21309" w14:textId="79A8E815" w:rsidR="007A1A76" w:rsidRPr="00133ECB" w:rsidRDefault="007A1A76" w:rsidP="007A1A76">
            <w:pPr>
              <w:cnfStyle w:val="000000000000" w:firstRow="0" w:lastRow="0" w:firstColumn="0" w:lastColumn="0" w:oddVBand="0" w:evenVBand="0" w:oddHBand="0" w:evenHBand="0" w:firstRowFirstColumn="0" w:firstRowLastColumn="0" w:lastRowFirstColumn="0" w:lastRowLastColumn="0"/>
            </w:pPr>
            <w:r>
              <w:t>127</w:t>
            </w:r>
          </w:p>
        </w:tc>
      </w:tr>
      <w:tr w:rsidR="007A1A76" w14:paraId="24AA9B8B"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692D9511" w14:textId="2706AF33" w:rsidR="007A1A76" w:rsidRPr="00133ECB" w:rsidRDefault="007A1A76" w:rsidP="007A1A76">
            <w:r w:rsidRPr="003943C7">
              <w:t>Our services</w:t>
            </w:r>
          </w:p>
        </w:tc>
        <w:tc>
          <w:tcPr>
            <w:tcW w:w="5951" w:type="dxa"/>
          </w:tcPr>
          <w:p w14:paraId="14BCA8F6" w14:textId="1CA56382" w:rsidR="007A1A76" w:rsidRPr="00133ECB" w:rsidRDefault="007A1A76" w:rsidP="007A1A76">
            <w:pPr>
              <w:cnfStyle w:val="000000000000" w:firstRow="0" w:lastRow="0" w:firstColumn="0" w:lastColumn="0" w:oddVBand="0" w:evenVBand="0" w:oddHBand="0" w:evenHBand="0" w:firstRowFirstColumn="0" w:firstRowLastColumn="0" w:lastRowFirstColumn="0" w:lastRowLastColumn="0"/>
            </w:pPr>
            <w:r>
              <w:t>006–007, 018–019, 088, 136–137</w:t>
            </w:r>
          </w:p>
        </w:tc>
      </w:tr>
      <w:tr w:rsidR="007A1A76" w14:paraId="65AE3F1E"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401DE37C" w14:textId="3607E93D" w:rsidR="007A1A76" w:rsidRPr="00133ECB" w:rsidRDefault="007A1A76" w:rsidP="007A1A76">
            <w:r>
              <w:t>Pacific Motorway</w:t>
            </w:r>
          </w:p>
        </w:tc>
        <w:tc>
          <w:tcPr>
            <w:tcW w:w="5951" w:type="dxa"/>
          </w:tcPr>
          <w:p w14:paraId="55ACEA88" w14:textId="4EA8B7CD" w:rsidR="007A1A76" w:rsidRPr="00133ECB" w:rsidRDefault="007A1A76" w:rsidP="007A1A76">
            <w:pPr>
              <w:cnfStyle w:val="000000000000" w:firstRow="0" w:lastRow="0" w:firstColumn="0" w:lastColumn="0" w:oddVBand="0" w:evenVBand="0" w:oddHBand="0" w:evenHBand="0" w:firstRowFirstColumn="0" w:firstRowLastColumn="0" w:lastRowFirstColumn="0" w:lastRowLastColumn="0"/>
            </w:pPr>
            <w:r>
              <w:t xml:space="preserve">020, 029, 074, 077, 081 </w:t>
            </w:r>
          </w:p>
        </w:tc>
      </w:tr>
      <w:tr w:rsidR="007A1A76" w14:paraId="33CE7AE7"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68B84853" w14:textId="4F5EC2E0" w:rsidR="007A1A76" w:rsidRPr="00133ECB" w:rsidRDefault="007A1A76" w:rsidP="007A1A76">
            <w:r w:rsidRPr="003943C7">
              <w:t>Parliamentary committees</w:t>
            </w:r>
          </w:p>
        </w:tc>
        <w:tc>
          <w:tcPr>
            <w:tcW w:w="5951" w:type="dxa"/>
          </w:tcPr>
          <w:p w14:paraId="00BB7D9C" w14:textId="659947F3" w:rsidR="007A1A76" w:rsidRPr="00133ECB" w:rsidRDefault="007A1A76" w:rsidP="007A1A76">
            <w:pPr>
              <w:cnfStyle w:val="000000000000" w:firstRow="0" w:lastRow="0" w:firstColumn="0" w:lastColumn="0" w:oddVBand="0" w:evenVBand="0" w:oddHBand="0" w:evenHBand="0" w:firstRowFirstColumn="0" w:firstRowLastColumn="0" w:lastRowFirstColumn="0" w:lastRowLastColumn="0"/>
            </w:pPr>
            <w:r>
              <w:t>140</w:t>
            </w:r>
          </w:p>
        </w:tc>
      </w:tr>
      <w:tr w:rsidR="007A1A76" w14:paraId="38153369"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134DB05C" w14:textId="36878FDE" w:rsidR="007A1A76" w:rsidRPr="00133ECB" w:rsidRDefault="007A1A76" w:rsidP="007A1A76">
            <w:r w:rsidRPr="003943C7">
              <w:t>Passenger transport operator payments</w:t>
            </w:r>
          </w:p>
        </w:tc>
        <w:tc>
          <w:tcPr>
            <w:tcW w:w="5951" w:type="dxa"/>
          </w:tcPr>
          <w:p w14:paraId="2673807E" w14:textId="68B5C152" w:rsidR="007A1A76" w:rsidRPr="00133ECB" w:rsidRDefault="007A1A76" w:rsidP="007A1A76">
            <w:pPr>
              <w:cnfStyle w:val="000000000000" w:firstRow="0" w:lastRow="0" w:firstColumn="0" w:lastColumn="0" w:oddVBand="0" w:evenVBand="0" w:oddHBand="0" w:evenHBand="0" w:firstRowFirstColumn="0" w:firstRowLastColumn="0" w:lastRowFirstColumn="0" w:lastRowLastColumn="0"/>
            </w:pPr>
            <w:r>
              <w:t>212–213</w:t>
            </w:r>
          </w:p>
        </w:tc>
      </w:tr>
      <w:tr w:rsidR="007A1A76" w14:paraId="5A6E2F66"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206205DF" w14:textId="196FAFB0" w:rsidR="007A1A76" w:rsidRPr="00133ECB" w:rsidRDefault="007A1A76" w:rsidP="007A1A76">
            <w:r w:rsidRPr="003943C7">
              <w:t>Performance management</w:t>
            </w:r>
          </w:p>
        </w:tc>
        <w:tc>
          <w:tcPr>
            <w:tcW w:w="5951" w:type="dxa"/>
          </w:tcPr>
          <w:p w14:paraId="6B87F927" w14:textId="47764EF7" w:rsidR="007A1A76" w:rsidRPr="00133ECB" w:rsidRDefault="007A1A76" w:rsidP="007A1A76">
            <w:pPr>
              <w:cnfStyle w:val="000000000000" w:firstRow="0" w:lastRow="0" w:firstColumn="0" w:lastColumn="0" w:oddVBand="0" w:evenVBand="0" w:oddHBand="0" w:evenHBand="0" w:firstRowFirstColumn="0" w:firstRowLastColumn="0" w:lastRowFirstColumn="0" w:lastRowLastColumn="0"/>
            </w:pPr>
            <w:r>
              <w:t>110, 115, 121, 136</w:t>
            </w:r>
          </w:p>
        </w:tc>
      </w:tr>
      <w:tr w:rsidR="007A1A76" w14:paraId="471D0F3D"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501D3AFD" w14:textId="0B221BB6" w:rsidR="007A1A76" w:rsidRPr="00133ECB" w:rsidRDefault="007A1A76" w:rsidP="007A1A76">
            <w:r w:rsidRPr="003943C7">
              <w:t>Public sector values</w:t>
            </w:r>
          </w:p>
        </w:tc>
        <w:tc>
          <w:tcPr>
            <w:tcW w:w="5951" w:type="dxa"/>
          </w:tcPr>
          <w:p w14:paraId="0C6CDB13" w14:textId="78B6FC7E" w:rsidR="007A1A76" w:rsidRPr="00133ECB" w:rsidRDefault="007A1A76" w:rsidP="007A1A76">
            <w:pPr>
              <w:cnfStyle w:val="000000000000" w:firstRow="0" w:lastRow="0" w:firstColumn="0" w:lastColumn="0" w:oddVBand="0" w:evenVBand="0" w:oddHBand="0" w:evenHBand="0" w:firstRowFirstColumn="0" w:firstRowLastColumn="0" w:lastRowFirstColumn="0" w:lastRowLastColumn="0"/>
            </w:pPr>
            <w:r>
              <w:t>121–122</w:t>
            </w:r>
          </w:p>
        </w:tc>
      </w:tr>
      <w:tr w:rsidR="007A1A76" w14:paraId="7DCACBA5"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40DE7EDC" w14:textId="11138D8B" w:rsidR="007A1A76" w:rsidRPr="00133ECB" w:rsidRDefault="007A1A76" w:rsidP="007A1A76">
            <w:r>
              <w:t>Queensland Electric Super Highway</w:t>
            </w:r>
          </w:p>
        </w:tc>
        <w:tc>
          <w:tcPr>
            <w:tcW w:w="5951" w:type="dxa"/>
          </w:tcPr>
          <w:p w14:paraId="32B5A6BF" w14:textId="7919966E" w:rsidR="007A1A76" w:rsidRPr="00133ECB" w:rsidRDefault="007A1A76" w:rsidP="007A1A76">
            <w:pPr>
              <w:cnfStyle w:val="000000000000" w:firstRow="0" w:lastRow="0" w:firstColumn="0" w:lastColumn="0" w:oddVBand="0" w:evenVBand="0" w:oddHBand="0" w:evenHBand="0" w:firstRowFirstColumn="0" w:firstRowLastColumn="0" w:lastRowFirstColumn="0" w:lastRowLastColumn="0"/>
            </w:pPr>
            <w:r>
              <w:t>011, 017, 022, 028, 031, 033</w:t>
            </w:r>
          </w:p>
        </w:tc>
      </w:tr>
      <w:tr w:rsidR="007A1A76" w14:paraId="662FCB91"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67F3661C" w14:textId="372E58A1" w:rsidR="007A1A76" w:rsidRPr="00F8108D" w:rsidRDefault="007A1A76" w:rsidP="007A1A76">
            <w:r>
              <w:t>Queensland Transport and Roads Investment Program</w:t>
            </w:r>
          </w:p>
        </w:tc>
        <w:tc>
          <w:tcPr>
            <w:tcW w:w="5951" w:type="dxa"/>
          </w:tcPr>
          <w:p w14:paraId="7FA13309" w14:textId="27416F37" w:rsidR="007A1A76" w:rsidRPr="00F8108D" w:rsidRDefault="007A1A76" w:rsidP="007A1A76">
            <w:pPr>
              <w:cnfStyle w:val="000000000000" w:firstRow="0" w:lastRow="0" w:firstColumn="0" w:lastColumn="0" w:oddVBand="0" w:evenVBand="0" w:oddHBand="0" w:evenHBand="0" w:firstRowFirstColumn="0" w:firstRowLastColumn="0" w:lastRowFirstColumn="0" w:lastRowLastColumn="0"/>
            </w:pPr>
            <w:r>
              <w:t xml:space="preserve">006, 010, 014, 016, 028, 029, 037, 129, 159, 203, 204, 215 </w:t>
            </w:r>
          </w:p>
        </w:tc>
      </w:tr>
      <w:tr w:rsidR="007A1A76" w14:paraId="540ABD64"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52A157B6" w14:textId="02CCCBE9" w:rsidR="007A1A76" w:rsidRPr="00F8108D" w:rsidRDefault="007A1A76" w:rsidP="007A1A76">
            <w:r w:rsidRPr="003943C7">
              <w:t>Rail infrastructure</w:t>
            </w:r>
          </w:p>
        </w:tc>
        <w:tc>
          <w:tcPr>
            <w:tcW w:w="5951" w:type="dxa"/>
          </w:tcPr>
          <w:p w14:paraId="12AEB963" w14:textId="63BBFF9E" w:rsidR="007A1A76" w:rsidRPr="00F8108D" w:rsidRDefault="007A1A76" w:rsidP="007A1A76">
            <w:pPr>
              <w:cnfStyle w:val="000000000000" w:firstRow="0" w:lastRow="0" w:firstColumn="0" w:lastColumn="0" w:oddVBand="0" w:evenVBand="0" w:oddHBand="0" w:evenHBand="0" w:firstRowFirstColumn="0" w:firstRowLastColumn="0" w:lastRowFirstColumn="0" w:lastRowLastColumn="0"/>
            </w:pPr>
            <w:r>
              <w:t>032, 039, 202</w:t>
            </w:r>
          </w:p>
        </w:tc>
      </w:tr>
      <w:tr w:rsidR="007A1A76" w14:paraId="7421D8F7"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3B108889" w14:textId="43789FD0" w:rsidR="007A1A76" w:rsidRPr="00F8108D" w:rsidRDefault="007A1A76" w:rsidP="007A1A76">
            <w:r w:rsidRPr="00715241">
              <w:t>Rail safety</w:t>
            </w:r>
          </w:p>
        </w:tc>
        <w:tc>
          <w:tcPr>
            <w:tcW w:w="5951" w:type="dxa"/>
          </w:tcPr>
          <w:p w14:paraId="0452B622" w14:textId="2B742324" w:rsidR="007A1A76" w:rsidRPr="00F8108D" w:rsidRDefault="007A1A76" w:rsidP="007A1A76">
            <w:pPr>
              <w:cnfStyle w:val="000000000000" w:firstRow="0" w:lastRow="0" w:firstColumn="0" w:lastColumn="0" w:oddVBand="0" w:evenVBand="0" w:oddHBand="0" w:evenHBand="0" w:firstRowFirstColumn="0" w:firstRowLastColumn="0" w:lastRowFirstColumn="0" w:lastRowLastColumn="0"/>
            </w:pPr>
            <w:r>
              <w:t xml:space="preserve">007, 102 </w:t>
            </w:r>
          </w:p>
        </w:tc>
      </w:tr>
      <w:tr w:rsidR="007A1A76" w14:paraId="5D30CEFD"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518D78C9" w14:textId="1F5006F1" w:rsidR="007A1A76" w:rsidRPr="00F8108D" w:rsidRDefault="007A1A76" w:rsidP="007A1A76">
            <w:r w:rsidRPr="00715241">
              <w:t>Rail trails</w:t>
            </w:r>
          </w:p>
        </w:tc>
        <w:tc>
          <w:tcPr>
            <w:tcW w:w="5951" w:type="dxa"/>
          </w:tcPr>
          <w:p w14:paraId="3B5F9701" w14:textId="616E260E" w:rsidR="007A1A76" w:rsidRPr="00F8108D" w:rsidRDefault="007A1A76" w:rsidP="007A1A76">
            <w:pPr>
              <w:cnfStyle w:val="000000000000" w:firstRow="0" w:lastRow="0" w:firstColumn="0" w:lastColumn="0" w:oddVBand="0" w:evenVBand="0" w:oddHBand="0" w:evenHBand="0" w:firstRowFirstColumn="0" w:firstRowLastColumn="0" w:lastRowFirstColumn="0" w:lastRowLastColumn="0"/>
            </w:pPr>
            <w:r>
              <w:t xml:space="preserve">035, 036 </w:t>
            </w:r>
          </w:p>
        </w:tc>
      </w:tr>
      <w:tr w:rsidR="007A1A76" w14:paraId="55A71290"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3481A0A5" w14:textId="558C7951" w:rsidR="007A1A76" w:rsidRPr="00F8108D" w:rsidRDefault="007A1A76" w:rsidP="007A1A76">
            <w:r w:rsidRPr="003943C7">
              <w:t>Recordkeeping</w:t>
            </w:r>
          </w:p>
        </w:tc>
        <w:tc>
          <w:tcPr>
            <w:tcW w:w="5951" w:type="dxa"/>
          </w:tcPr>
          <w:p w14:paraId="6BFCA086" w14:textId="526414D6" w:rsidR="007A1A76" w:rsidRPr="00F8108D" w:rsidRDefault="007A1A76" w:rsidP="007A1A76">
            <w:pPr>
              <w:cnfStyle w:val="000000000000" w:firstRow="0" w:lastRow="0" w:firstColumn="0" w:lastColumn="0" w:oddVBand="0" w:evenVBand="0" w:oddHBand="0" w:evenHBand="0" w:firstRowFirstColumn="0" w:firstRowLastColumn="0" w:lastRowFirstColumn="0" w:lastRowLastColumn="0"/>
            </w:pPr>
            <w:r>
              <w:t>029</w:t>
            </w:r>
          </w:p>
        </w:tc>
      </w:tr>
      <w:tr w:rsidR="007A1A76" w14:paraId="59C6C109"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05800F15" w14:textId="27321BD5" w:rsidR="007A1A76" w:rsidRPr="00F8108D" w:rsidRDefault="007A1A76" w:rsidP="007A1A76">
            <w:r w:rsidRPr="003943C7">
              <w:t>Redundancy and retrenchment</w:t>
            </w:r>
          </w:p>
        </w:tc>
        <w:tc>
          <w:tcPr>
            <w:tcW w:w="5951" w:type="dxa"/>
          </w:tcPr>
          <w:p w14:paraId="1CCF5A45" w14:textId="086FBEEF" w:rsidR="007A1A76" w:rsidRPr="00F8108D" w:rsidRDefault="007A1A76" w:rsidP="007A1A76">
            <w:pPr>
              <w:cnfStyle w:val="000000000000" w:firstRow="0" w:lastRow="0" w:firstColumn="0" w:lastColumn="0" w:oddVBand="0" w:evenVBand="0" w:oddHBand="0" w:evenHBand="0" w:firstRowFirstColumn="0" w:firstRowLastColumn="0" w:lastRowFirstColumn="0" w:lastRowLastColumn="0"/>
            </w:pPr>
            <w:r>
              <w:t>115</w:t>
            </w:r>
          </w:p>
        </w:tc>
      </w:tr>
      <w:tr w:rsidR="007A1A76" w14:paraId="0ACF4E7C"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38E86A69" w14:textId="10B9F8FE" w:rsidR="007A1A76" w:rsidRPr="008C6DFF" w:rsidRDefault="007A1A76" w:rsidP="007A1A76">
            <w:r w:rsidRPr="00715241">
              <w:lastRenderedPageBreak/>
              <w:t>Regional maps</w:t>
            </w:r>
          </w:p>
        </w:tc>
        <w:tc>
          <w:tcPr>
            <w:tcW w:w="5951" w:type="dxa"/>
          </w:tcPr>
          <w:p w14:paraId="47470673" w14:textId="7C5A5E66" w:rsidR="007A1A76" w:rsidRPr="008C6DFF" w:rsidRDefault="007A1A76" w:rsidP="007A1A76">
            <w:pPr>
              <w:cnfStyle w:val="000000000000" w:firstRow="0" w:lastRow="0" w:firstColumn="0" w:lastColumn="0" w:oddVBand="0" w:evenVBand="0" w:oddHBand="0" w:evenHBand="0" w:firstRowFirstColumn="0" w:firstRowLastColumn="0" w:lastRowFirstColumn="0" w:lastRowLastColumn="0"/>
            </w:pPr>
            <w:r>
              <w:t xml:space="preserve">038, 042, 046, 050, 054, 058, 062, 066, 070, 072, 076, 080 </w:t>
            </w:r>
          </w:p>
        </w:tc>
      </w:tr>
      <w:tr w:rsidR="007A1A76" w14:paraId="7A806B15"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4E02A351" w14:textId="256FF300" w:rsidR="007A1A76" w:rsidRPr="008C6DFF" w:rsidRDefault="007A1A76" w:rsidP="007A1A76">
            <w:r w:rsidRPr="003943C7">
              <w:t>Right to information</w:t>
            </w:r>
          </w:p>
        </w:tc>
        <w:tc>
          <w:tcPr>
            <w:tcW w:w="5951" w:type="dxa"/>
          </w:tcPr>
          <w:p w14:paraId="56404413" w14:textId="2A5003D9" w:rsidR="007A1A76" w:rsidRPr="008C6DFF" w:rsidRDefault="007A1A76" w:rsidP="007A1A76">
            <w:pPr>
              <w:cnfStyle w:val="000000000000" w:firstRow="0" w:lastRow="0" w:firstColumn="0" w:lastColumn="0" w:oddVBand="0" w:evenVBand="0" w:oddHBand="0" w:evenHBand="0" w:firstRowFirstColumn="0" w:firstRowLastColumn="0" w:lastRowFirstColumn="0" w:lastRowLastColumn="0"/>
            </w:pPr>
            <w:r>
              <w:t>138</w:t>
            </w:r>
          </w:p>
        </w:tc>
      </w:tr>
      <w:tr w:rsidR="007A1A76" w14:paraId="60D7D912"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2B991132" w14:textId="3A242CC2" w:rsidR="007A1A76" w:rsidRPr="008C6DFF" w:rsidRDefault="007A1A76" w:rsidP="007A1A76">
            <w:r w:rsidRPr="003943C7">
              <w:t>Risk management</w:t>
            </w:r>
          </w:p>
        </w:tc>
        <w:tc>
          <w:tcPr>
            <w:tcW w:w="5951" w:type="dxa"/>
          </w:tcPr>
          <w:p w14:paraId="2A357BB7" w14:textId="6060E70E" w:rsidR="007A1A76" w:rsidRPr="008C6DFF" w:rsidRDefault="007A1A76" w:rsidP="007A1A76">
            <w:pPr>
              <w:cnfStyle w:val="000000000000" w:firstRow="0" w:lastRow="0" w:firstColumn="0" w:lastColumn="0" w:oddVBand="0" w:evenVBand="0" w:oddHBand="0" w:evenHBand="0" w:firstRowFirstColumn="0" w:firstRowLastColumn="0" w:lastRowFirstColumn="0" w:lastRowLastColumn="0"/>
            </w:pPr>
            <w:r>
              <w:t>126, 132, 137, 140, 183</w:t>
            </w:r>
          </w:p>
        </w:tc>
      </w:tr>
      <w:tr w:rsidR="007A1A76" w14:paraId="2140F9C3"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53AF6D37" w14:textId="38A8ED92" w:rsidR="007A1A76" w:rsidRPr="008C6DFF" w:rsidRDefault="007A1A76" w:rsidP="007A1A76">
            <w:r w:rsidRPr="003943C7">
              <w:t xml:space="preserve">Road </w:t>
            </w:r>
            <w:r w:rsidRPr="00E410BA">
              <w:t>infrastructure</w:t>
            </w:r>
          </w:p>
        </w:tc>
        <w:tc>
          <w:tcPr>
            <w:tcW w:w="5951" w:type="dxa"/>
          </w:tcPr>
          <w:p w14:paraId="0BFDC37B" w14:textId="234B6FAA" w:rsidR="007A1A76" w:rsidRPr="008C6DFF" w:rsidRDefault="007A1A76" w:rsidP="007A1A76">
            <w:pPr>
              <w:cnfStyle w:val="000000000000" w:firstRow="0" w:lastRow="0" w:firstColumn="0" w:lastColumn="0" w:oddVBand="0" w:evenVBand="0" w:oddHBand="0" w:evenHBand="0" w:firstRowFirstColumn="0" w:firstRowLastColumn="0" w:lastRowFirstColumn="0" w:lastRowLastColumn="0"/>
            </w:pPr>
            <w:r>
              <w:t>014, 015, 029, 167, 168, 169, 170</w:t>
            </w:r>
          </w:p>
        </w:tc>
      </w:tr>
      <w:tr w:rsidR="007A1A76" w14:paraId="2247A306"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54BA6A88" w14:textId="5C0B813E" w:rsidR="007A1A76" w:rsidRPr="009F7029" w:rsidRDefault="007A1A76" w:rsidP="007A1A76">
            <w:r w:rsidRPr="003943C7">
              <w:t>Road safety education</w:t>
            </w:r>
          </w:p>
        </w:tc>
        <w:tc>
          <w:tcPr>
            <w:tcW w:w="5951" w:type="dxa"/>
          </w:tcPr>
          <w:p w14:paraId="0E95C232" w14:textId="3EC01314" w:rsidR="007A1A76" w:rsidRPr="009F7029" w:rsidRDefault="007A1A76" w:rsidP="007A1A76">
            <w:pPr>
              <w:cnfStyle w:val="000000000000" w:firstRow="0" w:lastRow="0" w:firstColumn="0" w:lastColumn="0" w:oddVBand="0" w:evenVBand="0" w:oddHBand="0" w:evenHBand="0" w:firstRowFirstColumn="0" w:firstRowLastColumn="0" w:lastRowFirstColumn="0" w:lastRowLastColumn="0"/>
            </w:pPr>
            <w:r>
              <w:t>015, 098–099, 208</w:t>
            </w:r>
          </w:p>
        </w:tc>
      </w:tr>
      <w:tr w:rsidR="007A1A76" w14:paraId="2C8FAE7D"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3145F320" w14:textId="07327C44" w:rsidR="007A1A76" w:rsidRPr="009F7029" w:rsidRDefault="007A1A76" w:rsidP="007A1A76">
            <w:r w:rsidRPr="003943C7">
              <w:t>Road safety partnerships</w:t>
            </w:r>
          </w:p>
        </w:tc>
        <w:tc>
          <w:tcPr>
            <w:tcW w:w="5951" w:type="dxa"/>
          </w:tcPr>
          <w:p w14:paraId="638CD336" w14:textId="45DC83DE" w:rsidR="007A1A76" w:rsidRPr="009F7029" w:rsidRDefault="007A1A76" w:rsidP="007A1A76">
            <w:pPr>
              <w:cnfStyle w:val="000000000000" w:firstRow="0" w:lastRow="0" w:firstColumn="0" w:lastColumn="0" w:oddVBand="0" w:evenVBand="0" w:oddHBand="0" w:evenHBand="0" w:firstRowFirstColumn="0" w:firstRowLastColumn="0" w:lastRowFirstColumn="0" w:lastRowLastColumn="0"/>
            </w:pPr>
            <w:r>
              <w:t xml:space="preserve">098, 107 </w:t>
            </w:r>
          </w:p>
        </w:tc>
      </w:tr>
      <w:tr w:rsidR="007A1A76" w14:paraId="5229B97F"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1F25AC28" w14:textId="39F16E45" w:rsidR="007A1A76" w:rsidRPr="008B3634" w:rsidRDefault="007A1A76" w:rsidP="007A1A76">
            <w:r w:rsidRPr="003943C7">
              <w:t>Safety performance</w:t>
            </w:r>
          </w:p>
        </w:tc>
        <w:tc>
          <w:tcPr>
            <w:tcW w:w="5951" w:type="dxa"/>
          </w:tcPr>
          <w:p w14:paraId="034A3D99" w14:textId="2FFD80EC" w:rsidR="007A1A76" w:rsidRPr="008B3634" w:rsidRDefault="007A1A76" w:rsidP="007A1A76">
            <w:pPr>
              <w:cnfStyle w:val="000000000000" w:firstRow="0" w:lastRow="0" w:firstColumn="0" w:lastColumn="0" w:oddVBand="0" w:evenVBand="0" w:oddHBand="0" w:evenHBand="0" w:firstRowFirstColumn="0" w:firstRowLastColumn="0" w:lastRowFirstColumn="0" w:lastRowLastColumn="0"/>
            </w:pPr>
            <w:r>
              <w:t>124</w:t>
            </w:r>
          </w:p>
        </w:tc>
      </w:tr>
      <w:tr w:rsidR="007A1A76" w14:paraId="7FC82160"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25BE2FB5" w14:textId="79AAD073" w:rsidR="007A1A76" w:rsidRPr="008B3634" w:rsidRDefault="007A1A76" w:rsidP="007A1A76">
            <w:r w:rsidRPr="003943C7">
              <w:t>Senior Leadership Team</w:t>
            </w:r>
          </w:p>
        </w:tc>
        <w:tc>
          <w:tcPr>
            <w:tcW w:w="5951" w:type="dxa"/>
          </w:tcPr>
          <w:p w14:paraId="0C38F2D2" w14:textId="44806F39" w:rsidR="007A1A76" w:rsidRPr="008B3634" w:rsidRDefault="007A1A76" w:rsidP="007A1A76">
            <w:pPr>
              <w:cnfStyle w:val="000000000000" w:firstRow="0" w:lastRow="0" w:firstColumn="0" w:lastColumn="0" w:oddVBand="0" w:evenVBand="0" w:oddHBand="0" w:evenHBand="0" w:firstRowFirstColumn="0" w:firstRowLastColumn="0" w:lastRowFirstColumn="0" w:lastRowLastColumn="0"/>
            </w:pPr>
            <w:r>
              <w:t>127–131, 138</w:t>
            </w:r>
          </w:p>
        </w:tc>
      </w:tr>
      <w:tr w:rsidR="007A1A76" w14:paraId="45DA37BA"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3BB55DD4" w14:textId="0BF0975E" w:rsidR="007A1A76" w:rsidRPr="008B3634" w:rsidRDefault="007A1A76" w:rsidP="007A1A76">
            <w:r w:rsidRPr="003943C7">
              <w:t>Service delivery statements</w:t>
            </w:r>
          </w:p>
        </w:tc>
        <w:tc>
          <w:tcPr>
            <w:tcW w:w="5951" w:type="dxa"/>
          </w:tcPr>
          <w:p w14:paraId="37DD74E5" w14:textId="19505AAF" w:rsidR="007A1A76" w:rsidRPr="008B3634" w:rsidRDefault="007A1A76" w:rsidP="007A1A76">
            <w:pPr>
              <w:cnfStyle w:val="000000000000" w:firstRow="0" w:lastRow="0" w:firstColumn="0" w:lastColumn="0" w:oddVBand="0" w:evenVBand="0" w:oddHBand="0" w:evenHBand="0" w:firstRowFirstColumn="0" w:firstRowLastColumn="0" w:lastRowFirstColumn="0" w:lastRowLastColumn="0"/>
            </w:pPr>
            <w:r>
              <w:t>136, 203–207</w:t>
            </w:r>
          </w:p>
        </w:tc>
      </w:tr>
      <w:tr w:rsidR="007A1A76" w14:paraId="431197B2"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5F98BFCC" w14:textId="18D25CEC" w:rsidR="007A1A76" w:rsidRPr="008B3634" w:rsidRDefault="007A1A76" w:rsidP="007A1A76">
            <w:r w:rsidRPr="003943C7">
              <w:t>School transport operator payments</w:t>
            </w:r>
          </w:p>
        </w:tc>
        <w:tc>
          <w:tcPr>
            <w:tcW w:w="5951" w:type="dxa"/>
          </w:tcPr>
          <w:p w14:paraId="0202DE2A" w14:textId="0ECDDF48" w:rsidR="007A1A76" w:rsidRPr="008B3634" w:rsidRDefault="007A1A76" w:rsidP="007A1A76">
            <w:pPr>
              <w:cnfStyle w:val="000000000000" w:firstRow="0" w:lastRow="0" w:firstColumn="0" w:lastColumn="0" w:oddVBand="0" w:evenVBand="0" w:oddHBand="0" w:evenHBand="0" w:firstRowFirstColumn="0" w:firstRowLastColumn="0" w:lastRowFirstColumn="0" w:lastRowLastColumn="0"/>
            </w:pPr>
            <w:r>
              <w:t>212–213</w:t>
            </w:r>
          </w:p>
        </w:tc>
      </w:tr>
      <w:tr w:rsidR="007A1A76" w14:paraId="4AC0484A"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14F5687A" w14:textId="6EA4EB75" w:rsidR="007A1A76" w:rsidRPr="008B3634" w:rsidRDefault="007A1A76" w:rsidP="007A1A76">
            <w:r w:rsidRPr="003943C7">
              <w:t>Stakeholder engagement</w:t>
            </w:r>
          </w:p>
        </w:tc>
        <w:tc>
          <w:tcPr>
            <w:tcW w:w="5951" w:type="dxa"/>
          </w:tcPr>
          <w:p w14:paraId="25B5CE83" w14:textId="7436F364" w:rsidR="007A1A76" w:rsidRPr="008B3634" w:rsidRDefault="007A1A76" w:rsidP="007A1A76">
            <w:pPr>
              <w:cnfStyle w:val="000000000000" w:firstRow="0" w:lastRow="0" w:firstColumn="0" w:lastColumn="0" w:oddVBand="0" w:evenVBand="0" w:oddHBand="0" w:evenHBand="0" w:firstRowFirstColumn="0" w:firstRowLastColumn="0" w:lastRowFirstColumn="0" w:lastRowLastColumn="0"/>
            </w:pPr>
            <w:r>
              <w:t xml:space="preserve">018, 024, 026, 031, 035, 039, 040, 078, 090, 091–092, 094, 098, 102, 121 </w:t>
            </w:r>
          </w:p>
        </w:tc>
      </w:tr>
      <w:tr w:rsidR="007A1A76" w14:paraId="3ED88A03"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4DA20A69" w14:textId="37AA3C77" w:rsidR="007A1A76" w:rsidRPr="008B3634" w:rsidRDefault="007A1A76" w:rsidP="007A1A76">
            <w:r w:rsidRPr="003943C7">
              <w:t>Strategic Plan</w:t>
            </w:r>
          </w:p>
        </w:tc>
        <w:tc>
          <w:tcPr>
            <w:tcW w:w="5951" w:type="dxa"/>
          </w:tcPr>
          <w:p w14:paraId="5C763B94" w14:textId="27445452" w:rsidR="007A1A76" w:rsidRPr="008B3634" w:rsidRDefault="007A1A76" w:rsidP="007A1A76">
            <w:pPr>
              <w:cnfStyle w:val="000000000000" w:firstRow="0" w:lastRow="0" w:firstColumn="0" w:lastColumn="0" w:oddVBand="0" w:evenVBand="0" w:oddHBand="0" w:evenHBand="0" w:firstRowFirstColumn="0" w:firstRowLastColumn="0" w:lastRowFirstColumn="0" w:lastRowLastColumn="0"/>
            </w:pPr>
            <w:r>
              <w:t>004, 006, 012, 140</w:t>
            </w:r>
          </w:p>
        </w:tc>
      </w:tr>
      <w:tr w:rsidR="007A1A76" w14:paraId="0906C926"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1433687D" w14:textId="1E317F0C" w:rsidR="007A1A76" w:rsidRPr="008B3634" w:rsidRDefault="007A1A76" w:rsidP="007A1A76">
            <w:r w:rsidRPr="003943C7">
              <w:t>Transport security</w:t>
            </w:r>
          </w:p>
        </w:tc>
        <w:tc>
          <w:tcPr>
            <w:tcW w:w="5951" w:type="dxa"/>
          </w:tcPr>
          <w:p w14:paraId="133C3D42" w14:textId="17AE349F" w:rsidR="007A1A76" w:rsidRPr="008B3634" w:rsidRDefault="007A1A76" w:rsidP="007A1A76">
            <w:pPr>
              <w:cnfStyle w:val="000000000000" w:firstRow="0" w:lastRow="0" w:firstColumn="0" w:lastColumn="0" w:oddVBand="0" w:evenVBand="0" w:oddHBand="0" w:evenHBand="0" w:firstRowFirstColumn="0" w:firstRowLastColumn="0" w:lastRowFirstColumn="0" w:lastRowLastColumn="0"/>
            </w:pPr>
            <w:r>
              <w:t xml:space="preserve">107–108 </w:t>
            </w:r>
          </w:p>
        </w:tc>
      </w:tr>
      <w:tr w:rsidR="007A1A76" w14:paraId="57D9F563"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645F64CF" w14:textId="6783A74F" w:rsidR="007A1A76" w:rsidRPr="00B82DB4" w:rsidRDefault="007A1A76" w:rsidP="007A1A76">
            <w:r w:rsidRPr="003943C7">
              <w:t>Vision</w:t>
            </w:r>
          </w:p>
        </w:tc>
        <w:tc>
          <w:tcPr>
            <w:tcW w:w="5951" w:type="dxa"/>
          </w:tcPr>
          <w:p w14:paraId="3AAB4745" w14:textId="6788603D" w:rsidR="007A1A76" w:rsidRPr="00B82DB4" w:rsidRDefault="007A1A76" w:rsidP="007A1A76">
            <w:pPr>
              <w:cnfStyle w:val="000000000000" w:firstRow="0" w:lastRow="0" w:firstColumn="0" w:lastColumn="0" w:oddVBand="0" w:evenVBand="0" w:oddHBand="0" w:evenHBand="0" w:firstRowFirstColumn="0" w:firstRowLastColumn="0" w:lastRowFirstColumn="0" w:lastRowLastColumn="0"/>
            </w:pPr>
            <w:r>
              <w:t xml:space="preserve">004, 013, 018, 029, 089, 111, 140 </w:t>
            </w:r>
          </w:p>
        </w:tc>
      </w:tr>
      <w:tr w:rsidR="00250238" w:rsidRPr="00715241" w14:paraId="2962F0DD"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7B4980D3" w14:textId="77777777" w:rsidR="00250238" w:rsidRPr="00E410BA" w:rsidRDefault="00250238" w:rsidP="00E607DA">
            <w:r w:rsidRPr="00016F54">
              <w:t>Walking</w:t>
            </w:r>
          </w:p>
        </w:tc>
        <w:tc>
          <w:tcPr>
            <w:tcW w:w="5951" w:type="dxa"/>
          </w:tcPr>
          <w:p w14:paraId="4DE01A6F" w14:textId="77777777" w:rsidR="00250238" w:rsidRPr="00715241" w:rsidRDefault="00250238" w:rsidP="00E607DA">
            <w:pPr>
              <w:cnfStyle w:val="000000000000" w:firstRow="0" w:lastRow="0" w:firstColumn="0" w:lastColumn="0" w:oddVBand="0" w:evenVBand="0" w:oddHBand="0" w:evenHBand="0" w:firstRowFirstColumn="0" w:firstRowLastColumn="0" w:lastRowFirstColumn="0" w:lastRowLastColumn="0"/>
            </w:pPr>
            <w:r>
              <w:t xml:space="preserve">010, 017, 020, 023, 028, 029, 033, 035 </w:t>
            </w:r>
          </w:p>
        </w:tc>
      </w:tr>
      <w:tr w:rsidR="002B3EFE" w:rsidRPr="00715241" w14:paraId="23C6BDD4"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0DC6B286" w14:textId="1F4609DC" w:rsidR="002B3EFE" w:rsidRPr="00016F54" w:rsidRDefault="002B3EFE" w:rsidP="002B3EFE">
            <w:r w:rsidRPr="003943C7">
              <w:t>Waste management</w:t>
            </w:r>
          </w:p>
        </w:tc>
        <w:tc>
          <w:tcPr>
            <w:tcW w:w="5951" w:type="dxa"/>
          </w:tcPr>
          <w:p w14:paraId="1ABB700F" w14:textId="5CF4F6EA" w:rsidR="002B3EFE" w:rsidRDefault="002B3EFE" w:rsidP="002B3EFE">
            <w:pPr>
              <w:cnfStyle w:val="000000000000" w:firstRow="0" w:lastRow="0" w:firstColumn="0" w:lastColumn="0" w:oddVBand="0" w:evenVBand="0" w:oddHBand="0" w:evenHBand="0" w:firstRowFirstColumn="0" w:firstRowLastColumn="0" w:lastRowFirstColumn="0" w:lastRowLastColumn="0"/>
            </w:pPr>
            <w:r>
              <w:t xml:space="preserve">011, 013, 096 </w:t>
            </w:r>
          </w:p>
        </w:tc>
      </w:tr>
      <w:tr w:rsidR="005505D2" w:rsidRPr="00715241" w14:paraId="72FAD39E"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4F6F06BF" w14:textId="48ED08CC" w:rsidR="005505D2" w:rsidRPr="003943C7" w:rsidRDefault="005505D2" w:rsidP="005505D2">
            <w:r w:rsidRPr="003943C7">
              <w:t>Where to find us</w:t>
            </w:r>
          </w:p>
        </w:tc>
        <w:tc>
          <w:tcPr>
            <w:tcW w:w="5951" w:type="dxa"/>
          </w:tcPr>
          <w:p w14:paraId="7162B65C" w14:textId="48774693" w:rsidR="005505D2" w:rsidRDefault="005505D2" w:rsidP="005505D2">
            <w:pPr>
              <w:cnfStyle w:val="000000000000" w:firstRow="0" w:lastRow="0" w:firstColumn="0" w:lastColumn="0" w:oddVBand="0" w:evenVBand="0" w:oddHBand="0" w:evenHBand="0" w:firstRowFirstColumn="0" w:firstRowLastColumn="0" w:lastRowFirstColumn="0" w:lastRowLastColumn="0"/>
            </w:pPr>
            <w:r>
              <w:t>221–224</w:t>
            </w:r>
          </w:p>
        </w:tc>
      </w:tr>
      <w:tr w:rsidR="00EF51AC" w:rsidRPr="00715241" w14:paraId="22C7A7D8"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6257FA5D" w14:textId="7678CA50" w:rsidR="00EF51AC" w:rsidRPr="003943C7" w:rsidRDefault="00EF51AC" w:rsidP="00EF51AC">
            <w:r w:rsidRPr="003943C7">
              <w:t>Women in the workplace</w:t>
            </w:r>
          </w:p>
        </w:tc>
        <w:tc>
          <w:tcPr>
            <w:tcW w:w="5951" w:type="dxa"/>
          </w:tcPr>
          <w:p w14:paraId="642CB925" w14:textId="12F64BA3" w:rsidR="00EF51AC" w:rsidRDefault="00EF51AC" w:rsidP="00EF51AC">
            <w:pPr>
              <w:cnfStyle w:val="000000000000" w:firstRow="0" w:lastRow="0" w:firstColumn="0" w:lastColumn="0" w:oddVBand="0" w:evenVBand="0" w:oddHBand="0" w:evenHBand="0" w:firstRowFirstColumn="0" w:firstRowLastColumn="0" w:lastRowFirstColumn="0" w:lastRowLastColumn="0"/>
            </w:pPr>
            <w:r>
              <w:t>007, 010, 014, 015, 023, 110, 111, 113, 117–118, 119, 120</w:t>
            </w:r>
          </w:p>
        </w:tc>
      </w:tr>
      <w:tr w:rsidR="00C1195A" w:rsidRPr="00715241" w14:paraId="0819643E"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5A9288DB" w14:textId="466AB7C6" w:rsidR="00C1195A" w:rsidRPr="003943C7" w:rsidRDefault="00C1195A" w:rsidP="00C1195A">
            <w:r w:rsidRPr="003943C7">
              <w:t>Working for Queensland survey</w:t>
            </w:r>
          </w:p>
        </w:tc>
        <w:tc>
          <w:tcPr>
            <w:tcW w:w="5951" w:type="dxa"/>
          </w:tcPr>
          <w:p w14:paraId="4299247B" w14:textId="0718F83B" w:rsidR="00C1195A" w:rsidRDefault="00C1195A" w:rsidP="00C1195A">
            <w:pPr>
              <w:cnfStyle w:val="000000000000" w:firstRow="0" w:lastRow="0" w:firstColumn="0" w:lastColumn="0" w:oddVBand="0" w:evenVBand="0" w:oddHBand="0" w:evenHBand="0" w:firstRowFirstColumn="0" w:firstRowLastColumn="0" w:lastRowFirstColumn="0" w:lastRowLastColumn="0"/>
            </w:pPr>
            <w:r>
              <w:t xml:space="preserve">111, 119, 121 </w:t>
            </w:r>
          </w:p>
        </w:tc>
      </w:tr>
      <w:tr w:rsidR="00955005" w:rsidRPr="00715241" w14:paraId="7D6988BA" w14:textId="77777777" w:rsidTr="00250238">
        <w:tc>
          <w:tcPr>
            <w:cnfStyle w:val="001000000000" w:firstRow="0" w:lastRow="0" w:firstColumn="1" w:lastColumn="0" w:oddVBand="0" w:evenVBand="0" w:oddHBand="0" w:evenHBand="0" w:firstRowFirstColumn="0" w:firstRowLastColumn="0" w:lastRowFirstColumn="0" w:lastRowLastColumn="0"/>
            <w:tcW w:w="3119" w:type="dxa"/>
          </w:tcPr>
          <w:p w14:paraId="7F1E9EAB" w14:textId="060413C0" w:rsidR="00955005" w:rsidRPr="003943C7" w:rsidRDefault="00955005" w:rsidP="00955005">
            <w:r w:rsidRPr="003943C7">
              <w:t>Workforce profile</w:t>
            </w:r>
          </w:p>
        </w:tc>
        <w:tc>
          <w:tcPr>
            <w:tcW w:w="5951" w:type="dxa"/>
          </w:tcPr>
          <w:p w14:paraId="54B9F7F0" w14:textId="657673B5" w:rsidR="00955005" w:rsidRDefault="00955005" w:rsidP="00955005">
            <w:pPr>
              <w:cnfStyle w:val="000000000000" w:firstRow="0" w:lastRow="0" w:firstColumn="0" w:lastColumn="0" w:oddVBand="0" w:evenVBand="0" w:oddHBand="0" w:evenHBand="0" w:firstRowFirstColumn="0" w:firstRowLastColumn="0" w:lastRowFirstColumn="0" w:lastRowLastColumn="0"/>
            </w:pPr>
            <w:r>
              <w:t>112–114</w:t>
            </w:r>
          </w:p>
        </w:tc>
      </w:tr>
    </w:tbl>
    <w:p w14:paraId="3F1FA18B" w14:textId="77777777" w:rsidR="006800C7" w:rsidRDefault="006800C7" w:rsidP="006800C7"/>
    <w:p w14:paraId="7DFC1DFF" w14:textId="77777777" w:rsidR="006800C7" w:rsidRDefault="006800C7" w:rsidP="006800C7">
      <w:pPr>
        <w:spacing w:before="0" w:after="160" w:line="259" w:lineRule="auto"/>
      </w:pPr>
      <w:r>
        <w:br w:type="page"/>
      </w:r>
    </w:p>
    <w:p w14:paraId="4C17CDED" w14:textId="77777777" w:rsidR="006800C7" w:rsidRDefault="006800C7" w:rsidP="006800C7">
      <w:pPr>
        <w:pStyle w:val="Heading2"/>
      </w:pPr>
      <w:r>
        <w:lastRenderedPageBreak/>
        <w:t>Figures and tables</w:t>
      </w:r>
    </w:p>
    <w:p w14:paraId="4843D48A" w14:textId="77777777" w:rsidR="006800C7" w:rsidRDefault="006800C7" w:rsidP="006800C7"/>
    <w:tbl>
      <w:tblPr>
        <w:tblStyle w:val="GridTable1Light"/>
        <w:tblW w:w="0" w:type="auto"/>
        <w:tblLook w:val="04A0" w:firstRow="1" w:lastRow="0" w:firstColumn="1" w:lastColumn="0" w:noHBand="0" w:noVBand="1"/>
      </w:tblPr>
      <w:tblGrid>
        <w:gridCol w:w="4530"/>
        <w:gridCol w:w="4530"/>
      </w:tblGrid>
      <w:tr w:rsidR="006800C7" w14:paraId="3DB1E7E0" w14:textId="77777777" w:rsidTr="00F31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D3D8AFF" w14:textId="77777777" w:rsidR="006800C7" w:rsidRPr="002E53BF" w:rsidRDefault="006800C7" w:rsidP="00F31956">
            <w:pPr>
              <w:pStyle w:val="BodyText"/>
              <w:rPr>
                <w:rStyle w:val="Strong"/>
              </w:rPr>
            </w:pPr>
            <w:r w:rsidRPr="00F048CF">
              <w:rPr>
                <w:rStyle w:val="Strong"/>
              </w:rPr>
              <w:t xml:space="preserve">Figures </w:t>
            </w:r>
          </w:p>
        </w:tc>
        <w:tc>
          <w:tcPr>
            <w:tcW w:w="4530" w:type="dxa"/>
          </w:tcPr>
          <w:p w14:paraId="6D0A42CF" w14:textId="77777777" w:rsidR="006800C7" w:rsidRPr="002E53BF" w:rsidRDefault="006800C7" w:rsidP="00F31956">
            <w:pPr>
              <w:pStyle w:val="BodyText"/>
              <w:cnfStyle w:val="100000000000" w:firstRow="1" w:lastRow="0" w:firstColumn="0" w:lastColumn="0" w:oddVBand="0" w:evenVBand="0" w:oddHBand="0" w:evenHBand="0" w:firstRowFirstColumn="0" w:firstRowLastColumn="0" w:lastRowFirstColumn="0" w:lastRowLastColumn="0"/>
              <w:rPr>
                <w:rStyle w:val="Strong"/>
              </w:rPr>
            </w:pPr>
            <w:r w:rsidRPr="00F048CF">
              <w:rPr>
                <w:rStyle w:val="Strong"/>
              </w:rPr>
              <w:t>Page</w:t>
            </w:r>
          </w:p>
        </w:tc>
      </w:tr>
      <w:tr w:rsidR="002725F1" w14:paraId="52C0BAD5"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6D194CC5" w14:textId="1F9E9F1B" w:rsidR="002725F1" w:rsidRPr="002E53BF" w:rsidRDefault="002725F1" w:rsidP="002725F1">
            <w:r>
              <w:t xml:space="preserve">Figure </w:t>
            </w:r>
            <w:r w:rsidRPr="005051CB">
              <w:t>1: Income by category for the year ended 30 June 2022</w:t>
            </w:r>
          </w:p>
        </w:tc>
        <w:tc>
          <w:tcPr>
            <w:tcW w:w="4530" w:type="dxa"/>
          </w:tcPr>
          <w:p w14:paraId="7EA31DF2" w14:textId="00BC2AEC" w:rsidR="002725F1" w:rsidRPr="002E53BF" w:rsidRDefault="002725F1" w:rsidP="002725F1">
            <w:pPr>
              <w:cnfStyle w:val="000000000000" w:firstRow="0" w:lastRow="0" w:firstColumn="0" w:lastColumn="0" w:oddVBand="0" w:evenVBand="0" w:oddHBand="0" w:evenHBand="0" w:firstRowFirstColumn="0" w:firstRowLastColumn="0" w:lastRowFirstColumn="0" w:lastRowLastColumn="0"/>
            </w:pPr>
            <w:r>
              <w:t>009</w:t>
            </w:r>
          </w:p>
        </w:tc>
      </w:tr>
      <w:tr w:rsidR="002725F1" w14:paraId="5574A59A"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46CC6933" w14:textId="73292C47" w:rsidR="002725F1" w:rsidRPr="002E53BF" w:rsidRDefault="002725F1" w:rsidP="002725F1">
            <w:r>
              <w:t>Figure 2: Expenses by category for the year ended 30 June 202</w:t>
            </w:r>
            <w:r w:rsidRPr="005051CB">
              <w:t>2</w:t>
            </w:r>
          </w:p>
        </w:tc>
        <w:tc>
          <w:tcPr>
            <w:tcW w:w="4530" w:type="dxa"/>
          </w:tcPr>
          <w:p w14:paraId="2AECB1FB" w14:textId="198B8E3B" w:rsidR="002725F1" w:rsidRPr="002E53BF" w:rsidRDefault="002725F1" w:rsidP="002725F1">
            <w:pPr>
              <w:cnfStyle w:val="000000000000" w:firstRow="0" w:lastRow="0" w:firstColumn="0" w:lastColumn="0" w:oddVBand="0" w:evenVBand="0" w:oddHBand="0" w:evenHBand="0" w:firstRowFirstColumn="0" w:firstRowLastColumn="0" w:lastRowFirstColumn="0" w:lastRowLastColumn="0"/>
            </w:pPr>
            <w:r>
              <w:t>009</w:t>
            </w:r>
          </w:p>
        </w:tc>
      </w:tr>
      <w:tr w:rsidR="002725F1" w14:paraId="58848D78"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7701E05B" w14:textId="2FF81903" w:rsidR="002725F1" w:rsidRPr="002E53BF" w:rsidRDefault="002725F1" w:rsidP="002725F1">
            <w:r>
              <w:t xml:space="preserve">Figure </w:t>
            </w:r>
            <w:r w:rsidRPr="005051CB">
              <w:t xml:space="preserve">3: Marine Fatalities in Queensland </w:t>
            </w:r>
          </w:p>
        </w:tc>
        <w:tc>
          <w:tcPr>
            <w:tcW w:w="4530" w:type="dxa"/>
          </w:tcPr>
          <w:p w14:paraId="1E08F3FA" w14:textId="619C6F81" w:rsidR="002725F1" w:rsidRPr="002E53BF" w:rsidRDefault="002725F1" w:rsidP="002725F1">
            <w:pPr>
              <w:cnfStyle w:val="000000000000" w:firstRow="0" w:lastRow="0" w:firstColumn="0" w:lastColumn="0" w:oddVBand="0" w:evenVBand="0" w:oddHBand="0" w:evenHBand="0" w:firstRowFirstColumn="0" w:firstRowLastColumn="0" w:lastRowFirstColumn="0" w:lastRowLastColumn="0"/>
            </w:pPr>
            <w:r>
              <w:t>103</w:t>
            </w:r>
          </w:p>
        </w:tc>
      </w:tr>
      <w:tr w:rsidR="002725F1" w14:paraId="53009E66"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703411A7" w14:textId="32BCE22C" w:rsidR="002725F1" w:rsidRPr="002E53BF" w:rsidRDefault="002725F1" w:rsidP="002725F1">
            <w:r>
              <w:t xml:space="preserve">Figure </w:t>
            </w:r>
            <w:r w:rsidRPr="005051CB">
              <w:t xml:space="preserve">4: </w:t>
            </w:r>
            <w:r>
              <w:t>S</w:t>
            </w:r>
            <w:r w:rsidRPr="005051CB">
              <w:t>erious injuries from marine incidents in Queensland</w:t>
            </w:r>
          </w:p>
        </w:tc>
        <w:tc>
          <w:tcPr>
            <w:tcW w:w="4530" w:type="dxa"/>
          </w:tcPr>
          <w:p w14:paraId="18962470" w14:textId="385E2F87" w:rsidR="002725F1" w:rsidRPr="002E53BF" w:rsidRDefault="002725F1" w:rsidP="002725F1">
            <w:pPr>
              <w:cnfStyle w:val="000000000000" w:firstRow="0" w:lastRow="0" w:firstColumn="0" w:lastColumn="0" w:oddVBand="0" w:evenVBand="0" w:oddHBand="0" w:evenHBand="0" w:firstRowFirstColumn="0" w:firstRowLastColumn="0" w:lastRowFirstColumn="0" w:lastRowLastColumn="0"/>
            </w:pPr>
            <w:r>
              <w:t>103</w:t>
            </w:r>
          </w:p>
        </w:tc>
      </w:tr>
      <w:tr w:rsidR="002725F1" w14:paraId="231262F3"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59C9945B" w14:textId="394CCC3C" w:rsidR="002725F1" w:rsidRPr="002E53BF" w:rsidRDefault="002725F1" w:rsidP="002725F1">
            <w:r>
              <w:t xml:space="preserve">Figure </w:t>
            </w:r>
            <w:r w:rsidRPr="005051CB">
              <w:t xml:space="preserve">5: Mobile speed cameras – vehicles monitored per notice issued </w:t>
            </w:r>
          </w:p>
        </w:tc>
        <w:tc>
          <w:tcPr>
            <w:tcW w:w="4530" w:type="dxa"/>
          </w:tcPr>
          <w:p w14:paraId="254D5714" w14:textId="10F847A5" w:rsidR="002725F1" w:rsidRPr="002E53BF" w:rsidRDefault="002725F1" w:rsidP="002725F1">
            <w:pPr>
              <w:cnfStyle w:val="000000000000" w:firstRow="0" w:lastRow="0" w:firstColumn="0" w:lastColumn="0" w:oddVBand="0" w:evenVBand="0" w:oddHBand="0" w:evenHBand="0" w:firstRowFirstColumn="0" w:firstRowLastColumn="0" w:lastRowFirstColumn="0" w:lastRowLastColumn="0"/>
            </w:pPr>
            <w:r>
              <w:t>209</w:t>
            </w:r>
          </w:p>
        </w:tc>
      </w:tr>
      <w:tr w:rsidR="002725F1" w14:paraId="733BD9B1"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136ABF19" w14:textId="1E6390DD" w:rsidR="002725F1" w:rsidRPr="002E53BF" w:rsidRDefault="002725F1" w:rsidP="002725F1">
            <w:r>
              <w:t xml:space="preserve">Figure </w:t>
            </w:r>
            <w:r w:rsidRPr="005051CB">
              <w:t xml:space="preserve">6: Red light cameras – vehicles monitored per notice issues </w:t>
            </w:r>
          </w:p>
        </w:tc>
        <w:tc>
          <w:tcPr>
            <w:tcW w:w="4530" w:type="dxa"/>
          </w:tcPr>
          <w:p w14:paraId="0131EC1E" w14:textId="18B80054" w:rsidR="002725F1" w:rsidRPr="002E53BF" w:rsidRDefault="002725F1" w:rsidP="002725F1">
            <w:pPr>
              <w:cnfStyle w:val="000000000000" w:firstRow="0" w:lastRow="0" w:firstColumn="0" w:lastColumn="0" w:oddVBand="0" w:evenVBand="0" w:oddHBand="0" w:evenHBand="0" w:firstRowFirstColumn="0" w:firstRowLastColumn="0" w:lastRowFirstColumn="0" w:lastRowLastColumn="0"/>
            </w:pPr>
            <w:r>
              <w:t>210</w:t>
            </w:r>
          </w:p>
        </w:tc>
      </w:tr>
      <w:tr w:rsidR="002725F1" w14:paraId="55281798"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5A1B4E3E" w14:textId="773A09B7" w:rsidR="002725F1" w:rsidRPr="002E53BF" w:rsidRDefault="002725F1" w:rsidP="002725F1">
            <w:r>
              <w:t xml:space="preserve">Figure </w:t>
            </w:r>
            <w:r w:rsidRPr="005051CB">
              <w:t xml:space="preserve">7: Fixed speed cameras – vehicles monitored per issue noticed </w:t>
            </w:r>
          </w:p>
        </w:tc>
        <w:tc>
          <w:tcPr>
            <w:tcW w:w="4530" w:type="dxa"/>
          </w:tcPr>
          <w:p w14:paraId="649577F6" w14:textId="236AEB77" w:rsidR="002725F1" w:rsidRPr="002E53BF" w:rsidRDefault="002725F1" w:rsidP="002725F1">
            <w:pPr>
              <w:cnfStyle w:val="000000000000" w:firstRow="0" w:lastRow="0" w:firstColumn="0" w:lastColumn="0" w:oddVBand="0" w:evenVBand="0" w:oddHBand="0" w:evenHBand="0" w:firstRowFirstColumn="0" w:firstRowLastColumn="0" w:lastRowFirstColumn="0" w:lastRowLastColumn="0"/>
            </w:pPr>
            <w:r>
              <w:t>210</w:t>
            </w:r>
          </w:p>
        </w:tc>
      </w:tr>
      <w:tr w:rsidR="002725F1" w14:paraId="409DB3D1"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7E1E0C64" w14:textId="114577E7" w:rsidR="002725F1" w:rsidRPr="002E53BF" w:rsidRDefault="002725F1" w:rsidP="002725F1">
            <w:r>
              <w:t xml:space="preserve">Figure </w:t>
            </w:r>
            <w:r w:rsidRPr="005051CB">
              <w:t>8: Combined red light/speed cameras – vehicles monitored per notice issued</w:t>
            </w:r>
          </w:p>
        </w:tc>
        <w:tc>
          <w:tcPr>
            <w:tcW w:w="4530" w:type="dxa"/>
          </w:tcPr>
          <w:p w14:paraId="61CE40ED" w14:textId="2408213C" w:rsidR="002725F1" w:rsidRPr="002E53BF" w:rsidRDefault="002725F1" w:rsidP="002725F1">
            <w:pPr>
              <w:cnfStyle w:val="000000000000" w:firstRow="0" w:lastRow="0" w:firstColumn="0" w:lastColumn="0" w:oddVBand="0" w:evenVBand="0" w:oddHBand="0" w:evenHBand="0" w:firstRowFirstColumn="0" w:firstRowLastColumn="0" w:lastRowFirstColumn="0" w:lastRowLastColumn="0"/>
            </w:pPr>
            <w:r>
              <w:t>211</w:t>
            </w:r>
          </w:p>
        </w:tc>
      </w:tr>
      <w:tr w:rsidR="002725F1" w14:paraId="6C804C91"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7D082C18" w14:textId="66EFBE61" w:rsidR="002725F1" w:rsidRPr="002E53BF" w:rsidRDefault="002725F1" w:rsidP="002725F1"/>
        </w:tc>
        <w:tc>
          <w:tcPr>
            <w:tcW w:w="4530" w:type="dxa"/>
          </w:tcPr>
          <w:p w14:paraId="3D908663" w14:textId="1667894D" w:rsidR="002725F1" w:rsidRPr="002E53BF" w:rsidRDefault="002725F1" w:rsidP="002725F1">
            <w:pPr>
              <w:cnfStyle w:val="000000000000" w:firstRow="0" w:lastRow="0" w:firstColumn="0" w:lastColumn="0" w:oddVBand="0" w:evenVBand="0" w:oddHBand="0" w:evenHBand="0" w:firstRowFirstColumn="0" w:firstRowLastColumn="0" w:lastRowFirstColumn="0" w:lastRowLastColumn="0"/>
            </w:pPr>
          </w:p>
        </w:tc>
      </w:tr>
      <w:tr w:rsidR="002725F1" w14:paraId="4031F1FD"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11065742" w14:textId="49CBAE90" w:rsidR="002725F1" w:rsidRPr="002E53BF" w:rsidRDefault="002725F1" w:rsidP="002725F1">
            <w:pPr>
              <w:pStyle w:val="BodyText"/>
              <w:rPr>
                <w:rStyle w:val="Strong"/>
              </w:rPr>
            </w:pPr>
            <w:r>
              <w:rPr>
                <w:rStyle w:val="Strong"/>
              </w:rPr>
              <w:t>Tables</w:t>
            </w:r>
          </w:p>
        </w:tc>
        <w:tc>
          <w:tcPr>
            <w:tcW w:w="4530" w:type="dxa"/>
          </w:tcPr>
          <w:p w14:paraId="3B4E26C4" w14:textId="34B1E4B2" w:rsidR="002725F1" w:rsidRPr="002E53BF" w:rsidRDefault="002725F1" w:rsidP="002725F1">
            <w:pPr>
              <w:pStyle w:val="BodyText"/>
              <w:cnfStyle w:val="000000000000" w:firstRow="0" w:lastRow="0" w:firstColumn="0" w:lastColumn="0" w:oddVBand="0" w:evenVBand="0" w:oddHBand="0" w:evenHBand="0" w:firstRowFirstColumn="0" w:firstRowLastColumn="0" w:lastRowFirstColumn="0" w:lastRowLastColumn="0"/>
              <w:rPr>
                <w:rStyle w:val="Strong"/>
              </w:rPr>
            </w:pPr>
            <w:r>
              <w:rPr>
                <w:rStyle w:val="Strong"/>
              </w:rPr>
              <w:t>Page</w:t>
            </w:r>
          </w:p>
        </w:tc>
      </w:tr>
      <w:tr w:rsidR="002725F1" w14:paraId="5FF4EDD6"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571D4702" w14:textId="258B4D9E" w:rsidR="002725F1" w:rsidRPr="002E53BF" w:rsidRDefault="002725F1" w:rsidP="002725F1">
            <w:r>
              <w:t xml:space="preserve">Table 1: </w:t>
            </w:r>
            <w:r w:rsidRPr="005051CB">
              <w:t>Summary of financial results of the department's operations</w:t>
            </w:r>
          </w:p>
        </w:tc>
        <w:tc>
          <w:tcPr>
            <w:tcW w:w="4530" w:type="dxa"/>
          </w:tcPr>
          <w:p w14:paraId="1939F83D" w14:textId="25BAB712" w:rsidR="002725F1" w:rsidRPr="002E53BF" w:rsidRDefault="002725F1" w:rsidP="002725F1">
            <w:pPr>
              <w:cnfStyle w:val="000000000000" w:firstRow="0" w:lastRow="0" w:firstColumn="0" w:lastColumn="0" w:oddVBand="0" w:evenVBand="0" w:oddHBand="0" w:evenHBand="0" w:firstRowFirstColumn="0" w:firstRowLastColumn="0" w:lastRowFirstColumn="0" w:lastRowLastColumn="0"/>
            </w:pPr>
            <w:r>
              <w:t>008</w:t>
            </w:r>
          </w:p>
        </w:tc>
      </w:tr>
      <w:tr w:rsidR="002725F1" w14:paraId="695EBCEA"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525514FD" w14:textId="3DEDC08D" w:rsidR="002725F1" w:rsidRPr="002E53BF" w:rsidRDefault="002725F1" w:rsidP="002725F1">
            <w:r>
              <w:t>Table 2: Summary of financial pos</w:t>
            </w:r>
            <w:r w:rsidRPr="005051CB">
              <w:t xml:space="preserve">ition – Assets and Liabilities </w:t>
            </w:r>
          </w:p>
        </w:tc>
        <w:tc>
          <w:tcPr>
            <w:tcW w:w="4530" w:type="dxa"/>
          </w:tcPr>
          <w:p w14:paraId="25131D7B" w14:textId="68C19EB9" w:rsidR="002725F1" w:rsidRPr="002E53BF" w:rsidRDefault="002725F1" w:rsidP="002725F1">
            <w:pPr>
              <w:cnfStyle w:val="000000000000" w:firstRow="0" w:lastRow="0" w:firstColumn="0" w:lastColumn="0" w:oddVBand="0" w:evenVBand="0" w:oddHBand="0" w:evenHBand="0" w:firstRowFirstColumn="0" w:firstRowLastColumn="0" w:lastRowFirstColumn="0" w:lastRowLastColumn="0"/>
            </w:pPr>
            <w:r>
              <w:t>009</w:t>
            </w:r>
          </w:p>
        </w:tc>
      </w:tr>
      <w:tr w:rsidR="002725F1" w14:paraId="672FDB9B"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728256EA" w14:textId="15682F15" w:rsidR="002725F1" w:rsidRPr="002E53BF" w:rsidRDefault="002725F1" w:rsidP="002725F1">
            <w:r>
              <w:t xml:space="preserve">Table </w:t>
            </w:r>
            <w:r w:rsidRPr="005051CB">
              <w:t>3: Key priorities and outcomes for 2021–22</w:t>
            </w:r>
          </w:p>
        </w:tc>
        <w:tc>
          <w:tcPr>
            <w:tcW w:w="4530" w:type="dxa"/>
          </w:tcPr>
          <w:p w14:paraId="0D4D3D28" w14:textId="15409135" w:rsidR="002725F1" w:rsidRPr="002E53BF" w:rsidRDefault="002725F1" w:rsidP="002725F1">
            <w:pPr>
              <w:cnfStyle w:val="000000000000" w:firstRow="0" w:lastRow="0" w:firstColumn="0" w:lastColumn="0" w:oddVBand="0" w:evenVBand="0" w:oddHBand="0" w:evenHBand="0" w:firstRowFirstColumn="0" w:firstRowLastColumn="0" w:lastRowFirstColumn="0" w:lastRowLastColumn="0"/>
            </w:pPr>
            <w:r>
              <w:t>014</w:t>
            </w:r>
          </w:p>
        </w:tc>
      </w:tr>
      <w:tr w:rsidR="002725F1" w14:paraId="723E9442"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3208AC5D" w14:textId="0C65FD1C" w:rsidR="002725F1" w:rsidRPr="002E53BF" w:rsidRDefault="002725F1" w:rsidP="002725F1">
            <w:r>
              <w:t xml:space="preserve">Table </w:t>
            </w:r>
            <w:r w:rsidRPr="005051CB">
              <w:t>4: Workforce statistics as at 1</w:t>
            </w:r>
            <w:r>
              <w:t>7</w:t>
            </w:r>
            <w:r w:rsidRPr="005051CB">
              <w:t xml:space="preserve"> June 2022</w:t>
            </w:r>
          </w:p>
        </w:tc>
        <w:tc>
          <w:tcPr>
            <w:tcW w:w="4530" w:type="dxa"/>
          </w:tcPr>
          <w:p w14:paraId="11C94A93" w14:textId="3BBF1803" w:rsidR="002725F1" w:rsidRPr="002E53BF" w:rsidRDefault="002725F1" w:rsidP="002725F1">
            <w:pPr>
              <w:cnfStyle w:val="000000000000" w:firstRow="0" w:lastRow="0" w:firstColumn="0" w:lastColumn="0" w:oddVBand="0" w:evenVBand="0" w:oddHBand="0" w:evenHBand="0" w:firstRowFirstColumn="0" w:firstRowLastColumn="0" w:lastRowFirstColumn="0" w:lastRowLastColumn="0"/>
            </w:pPr>
            <w:r>
              <w:t>112</w:t>
            </w:r>
          </w:p>
        </w:tc>
      </w:tr>
      <w:tr w:rsidR="002725F1" w14:paraId="5A23EC8C"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65CAA448" w14:textId="4FD51BB3" w:rsidR="002725F1" w:rsidRPr="002E53BF" w:rsidRDefault="002725F1" w:rsidP="002725F1">
            <w:r>
              <w:t xml:space="preserve">Table 5: </w:t>
            </w:r>
            <w:r w:rsidRPr="0086298D">
              <w:t>Workforce Profile Data as at 17 June 2022</w:t>
            </w:r>
          </w:p>
        </w:tc>
        <w:tc>
          <w:tcPr>
            <w:tcW w:w="4530" w:type="dxa"/>
          </w:tcPr>
          <w:p w14:paraId="2A0D452F" w14:textId="0477C44A" w:rsidR="002725F1" w:rsidRPr="002E53BF" w:rsidRDefault="002725F1" w:rsidP="002725F1">
            <w:pPr>
              <w:cnfStyle w:val="000000000000" w:firstRow="0" w:lastRow="0" w:firstColumn="0" w:lastColumn="0" w:oddVBand="0" w:evenVBand="0" w:oddHBand="0" w:evenHBand="0" w:firstRowFirstColumn="0" w:firstRowLastColumn="0" w:lastRowFirstColumn="0" w:lastRowLastColumn="0"/>
            </w:pPr>
            <w:r>
              <w:t>113</w:t>
            </w:r>
          </w:p>
        </w:tc>
      </w:tr>
      <w:tr w:rsidR="002725F1" w14:paraId="3C9AAFD3"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2F3693D9" w14:textId="2535988F" w:rsidR="002725F1" w:rsidRPr="002E53BF" w:rsidRDefault="002725F1" w:rsidP="002725F1">
            <w:r>
              <w:lastRenderedPageBreak/>
              <w:t xml:space="preserve">Table </w:t>
            </w:r>
            <w:r w:rsidRPr="005051CB">
              <w:t>6: Comparative Workforce data as at 18 June 2022</w:t>
            </w:r>
          </w:p>
        </w:tc>
        <w:tc>
          <w:tcPr>
            <w:tcW w:w="4530" w:type="dxa"/>
          </w:tcPr>
          <w:p w14:paraId="5BD2AF44" w14:textId="3CDFD7C8" w:rsidR="002725F1" w:rsidRPr="002E53BF" w:rsidRDefault="002725F1" w:rsidP="002725F1">
            <w:pPr>
              <w:cnfStyle w:val="000000000000" w:firstRow="0" w:lastRow="0" w:firstColumn="0" w:lastColumn="0" w:oddVBand="0" w:evenVBand="0" w:oddHBand="0" w:evenHBand="0" w:firstRowFirstColumn="0" w:firstRowLastColumn="0" w:lastRowFirstColumn="0" w:lastRowLastColumn="0"/>
            </w:pPr>
            <w:r>
              <w:t>114</w:t>
            </w:r>
          </w:p>
        </w:tc>
      </w:tr>
      <w:tr w:rsidR="002725F1" w14:paraId="529458CA"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15580F9E" w14:textId="4D463C6F" w:rsidR="002725F1" w:rsidRPr="002E53BF" w:rsidRDefault="002725F1" w:rsidP="002725F1">
            <w:r>
              <w:t xml:space="preserve">Table </w:t>
            </w:r>
            <w:r w:rsidRPr="005051CB">
              <w:t>7: Winners for the 2021 CUBIE awards</w:t>
            </w:r>
          </w:p>
        </w:tc>
        <w:tc>
          <w:tcPr>
            <w:tcW w:w="4530" w:type="dxa"/>
          </w:tcPr>
          <w:p w14:paraId="6E5BCB54" w14:textId="21F82A08" w:rsidR="002725F1" w:rsidRPr="002E53BF" w:rsidRDefault="002725F1" w:rsidP="002725F1">
            <w:pPr>
              <w:cnfStyle w:val="000000000000" w:firstRow="0" w:lastRow="0" w:firstColumn="0" w:lastColumn="0" w:oddVBand="0" w:evenVBand="0" w:oddHBand="0" w:evenHBand="0" w:firstRowFirstColumn="0" w:firstRowLastColumn="0" w:lastRowFirstColumn="0" w:lastRowLastColumn="0"/>
            </w:pPr>
            <w:r>
              <w:t>112</w:t>
            </w:r>
          </w:p>
        </w:tc>
      </w:tr>
      <w:tr w:rsidR="002725F1" w14:paraId="23EB8082"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201F2037" w14:textId="3BDB9E99" w:rsidR="002725F1" w:rsidRPr="002E53BF" w:rsidRDefault="002725F1" w:rsidP="002725F1">
            <w:r>
              <w:t xml:space="preserve">Table </w:t>
            </w:r>
            <w:r w:rsidRPr="005051CB">
              <w:t>8: Comparison of workers' compensation claims lodged over a five-year period</w:t>
            </w:r>
          </w:p>
        </w:tc>
        <w:tc>
          <w:tcPr>
            <w:tcW w:w="4530" w:type="dxa"/>
          </w:tcPr>
          <w:p w14:paraId="6523A7DC" w14:textId="4914F86D" w:rsidR="002725F1" w:rsidRPr="002E53BF" w:rsidRDefault="002725F1" w:rsidP="002725F1">
            <w:pPr>
              <w:cnfStyle w:val="000000000000" w:firstRow="0" w:lastRow="0" w:firstColumn="0" w:lastColumn="0" w:oddVBand="0" w:evenVBand="0" w:oddHBand="0" w:evenHBand="0" w:firstRowFirstColumn="0" w:firstRowLastColumn="0" w:lastRowFirstColumn="0" w:lastRowLastColumn="0"/>
            </w:pPr>
            <w:r>
              <w:t>124</w:t>
            </w:r>
          </w:p>
        </w:tc>
      </w:tr>
      <w:tr w:rsidR="002725F1" w14:paraId="20DFAD8D"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1CADD00C" w14:textId="303A4E99" w:rsidR="002725F1" w:rsidRPr="002E53BF" w:rsidRDefault="002725F1" w:rsidP="002725F1">
            <w:r>
              <w:t xml:space="preserve">Table </w:t>
            </w:r>
            <w:r w:rsidRPr="005051CB">
              <w:t xml:space="preserve">9: Comparison of final return to work percentages </w:t>
            </w:r>
          </w:p>
        </w:tc>
        <w:tc>
          <w:tcPr>
            <w:tcW w:w="4530" w:type="dxa"/>
          </w:tcPr>
          <w:p w14:paraId="53132783" w14:textId="627C4479" w:rsidR="002725F1" w:rsidRPr="002E53BF" w:rsidRDefault="002725F1" w:rsidP="002725F1">
            <w:pPr>
              <w:cnfStyle w:val="000000000000" w:firstRow="0" w:lastRow="0" w:firstColumn="0" w:lastColumn="0" w:oddVBand="0" w:evenVBand="0" w:oddHBand="0" w:evenHBand="0" w:firstRowFirstColumn="0" w:firstRowLastColumn="0" w:lastRowFirstColumn="0" w:lastRowLastColumn="0"/>
            </w:pPr>
            <w:r>
              <w:t>124</w:t>
            </w:r>
          </w:p>
        </w:tc>
      </w:tr>
      <w:tr w:rsidR="002725F1" w14:paraId="428D2F03"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4011AF59" w14:textId="5F315739" w:rsidR="002725F1" w:rsidRPr="002E53BF" w:rsidRDefault="002725F1" w:rsidP="002725F1">
            <w:r>
              <w:t xml:space="preserve">Table </w:t>
            </w:r>
            <w:r w:rsidRPr="005051CB">
              <w:t>10: Transport and Main Roads addressable spend with Aboriginal and Torres Strait Islander, Regional and Queensland vendors by financial year</w:t>
            </w:r>
          </w:p>
        </w:tc>
        <w:tc>
          <w:tcPr>
            <w:tcW w:w="4530" w:type="dxa"/>
          </w:tcPr>
          <w:p w14:paraId="0180BADC" w14:textId="372F7C0F" w:rsidR="002725F1" w:rsidRPr="002E53BF" w:rsidRDefault="002725F1" w:rsidP="002725F1">
            <w:pPr>
              <w:cnfStyle w:val="000000000000" w:firstRow="0" w:lastRow="0" w:firstColumn="0" w:lastColumn="0" w:oddVBand="0" w:evenVBand="0" w:oddHBand="0" w:evenHBand="0" w:firstRowFirstColumn="0" w:firstRowLastColumn="0" w:lastRowFirstColumn="0" w:lastRowLastColumn="0"/>
            </w:pPr>
            <w:r>
              <w:t>136</w:t>
            </w:r>
          </w:p>
        </w:tc>
      </w:tr>
      <w:tr w:rsidR="002725F1" w14:paraId="6674C3DF"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3D515C8F" w14:textId="1577610B" w:rsidR="002725F1" w:rsidRPr="002E53BF" w:rsidRDefault="002725F1" w:rsidP="002725F1">
            <w:r>
              <w:t xml:space="preserve">Table </w:t>
            </w:r>
            <w:r w:rsidRPr="005051CB">
              <w:t xml:space="preserve">11: Complaints received </w:t>
            </w:r>
          </w:p>
        </w:tc>
        <w:tc>
          <w:tcPr>
            <w:tcW w:w="4530" w:type="dxa"/>
          </w:tcPr>
          <w:p w14:paraId="7558B06A" w14:textId="6C175ACF" w:rsidR="002725F1" w:rsidRPr="002E53BF" w:rsidRDefault="002725F1" w:rsidP="002725F1">
            <w:pPr>
              <w:cnfStyle w:val="000000000000" w:firstRow="0" w:lastRow="0" w:firstColumn="0" w:lastColumn="0" w:oddVBand="0" w:evenVBand="0" w:oddHBand="0" w:evenHBand="0" w:firstRowFirstColumn="0" w:firstRowLastColumn="0" w:lastRowFirstColumn="0" w:lastRowLastColumn="0"/>
            </w:pPr>
            <w:r>
              <w:t>137</w:t>
            </w:r>
          </w:p>
        </w:tc>
      </w:tr>
      <w:tr w:rsidR="002725F1" w14:paraId="3055EAE6"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288B3B79" w14:textId="426975B8" w:rsidR="002725F1" w:rsidRPr="002E53BF" w:rsidRDefault="002725F1" w:rsidP="002725F1">
            <w:r>
              <w:t xml:space="preserve">Table </w:t>
            </w:r>
            <w:r w:rsidRPr="005051CB">
              <w:t>12: Camera Detected Offence Program (CDOP) financial overview for 2021–22</w:t>
            </w:r>
          </w:p>
        </w:tc>
        <w:tc>
          <w:tcPr>
            <w:tcW w:w="4530" w:type="dxa"/>
          </w:tcPr>
          <w:p w14:paraId="0075554C" w14:textId="41406473" w:rsidR="002725F1" w:rsidRPr="002E53BF" w:rsidRDefault="002725F1" w:rsidP="002725F1">
            <w:pPr>
              <w:cnfStyle w:val="000000000000" w:firstRow="0" w:lastRow="0" w:firstColumn="0" w:lastColumn="0" w:oddVBand="0" w:evenVBand="0" w:oddHBand="0" w:evenHBand="0" w:firstRowFirstColumn="0" w:firstRowLastColumn="0" w:lastRowFirstColumn="0" w:lastRowLastColumn="0"/>
            </w:pPr>
            <w:r>
              <w:t>208</w:t>
            </w:r>
          </w:p>
        </w:tc>
      </w:tr>
      <w:tr w:rsidR="002725F1" w14:paraId="31105C9B"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6B214C6D" w14:textId="4C0E9587" w:rsidR="002725F1" w:rsidRPr="002E53BF" w:rsidRDefault="002725F1" w:rsidP="002725F1">
            <w:r>
              <w:t xml:space="preserve">Table </w:t>
            </w:r>
            <w:r w:rsidRPr="005051CB">
              <w:t>13: Number of mobile speed camera infringements per penalty bracket for 2021</w:t>
            </w:r>
          </w:p>
        </w:tc>
        <w:tc>
          <w:tcPr>
            <w:tcW w:w="4530" w:type="dxa"/>
          </w:tcPr>
          <w:p w14:paraId="777DD2E4" w14:textId="08707051" w:rsidR="002725F1" w:rsidRPr="002E53BF" w:rsidRDefault="002725F1" w:rsidP="002725F1">
            <w:pPr>
              <w:cnfStyle w:val="000000000000" w:firstRow="0" w:lastRow="0" w:firstColumn="0" w:lastColumn="0" w:oddVBand="0" w:evenVBand="0" w:oddHBand="0" w:evenHBand="0" w:firstRowFirstColumn="0" w:firstRowLastColumn="0" w:lastRowFirstColumn="0" w:lastRowLastColumn="0"/>
            </w:pPr>
            <w:r>
              <w:t>209</w:t>
            </w:r>
          </w:p>
        </w:tc>
      </w:tr>
      <w:tr w:rsidR="002725F1" w14:paraId="379E0C8C"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5BBD6FD0" w14:textId="56167BE8" w:rsidR="002725F1" w:rsidRPr="002E53BF" w:rsidRDefault="002725F1" w:rsidP="002725F1">
            <w:r>
              <w:t xml:space="preserve">Table </w:t>
            </w:r>
            <w:r w:rsidRPr="005051CB">
              <w:t>14: Number of fixed speed camera infringements per penalty bracketing for 2021</w:t>
            </w:r>
          </w:p>
        </w:tc>
        <w:tc>
          <w:tcPr>
            <w:tcW w:w="4530" w:type="dxa"/>
          </w:tcPr>
          <w:p w14:paraId="0D775FAC" w14:textId="05AE68C0" w:rsidR="002725F1" w:rsidRPr="002E53BF" w:rsidRDefault="002725F1" w:rsidP="002725F1">
            <w:pPr>
              <w:cnfStyle w:val="000000000000" w:firstRow="0" w:lastRow="0" w:firstColumn="0" w:lastColumn="0" w:oddVBand="0" w:evenVBand="0" w:oddHBand="0" w:evenHBand="0" w:firstRowFirstColumn="0" w:firstRowLastColumn="0" w:lastRowFirstColumn="0" w:lastRowLastColumn="0"/>
            </w:pPr>
            <w:r>
              <w:t>210</w:t>
            </w:r>
          </w:p>
        </w:tc>
      </w:tr>
      <w:tr w:rsidR="002725F1" w14:paraId="0EA68695"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45542024" w14:textId="745AE2A4" w:rsidR="002725F1" w:rsidRPr="002E53BF" w:rsidRDefault="002725F1" w:rsidP="002725F1">
            <w:r>
              <w:t xml:space="preserve">Table </w:t>
            </w:r>
            <w:r w:rsidRPr="005051CB">
              <w:t>15: Number of point-to-point speed camera infringements per penalty bracket for 2021</w:t>
            </w:r>
          </w:p>
        </w:tc>
        <w:tc>
          <w:tcPr>
            <w:tcW w:w="4530" w:type="dxa"/>
          </w:tcPr>
          <w:p w14:paraId="4761D148" w14:textId="1CCD4F82" w:rsidR="002725F1" w:rsidRPr="002E53BF" w:rsidRDefault="002725F1" w:rsidP="002725F1">
            <w:pPr>
              <w:cnfStyle w:val="000000000000" w:firstRow="0" w:lastRow="0" w:firstColumn="0" w:lastColumn="0" w:oddVBand="0" w:evenVBand="0" w:oddHBand="0" w:evenHBand="0" w:firstRowFirstColumn="0" w:firstRowLastColumn="0" w:lastRowFirstColumn="0" w:lastRowLastColumn="0"/>
            </w:pPr>
            <w:r>
              <w:t>211</w:t>
            </w:r>
          </w:p>
        </w:tc>
      </w:tr>
      <w:tr w:rsidR="002725F1" w14:paraId="6C72BC65"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2585CA49" w14:textId="6029916E" w:rsidR="002725F1" w:rsidRPr="002E53BF" w:rsidRDefault="002725F1" w:rsidP="002725F1">
            <w:r>
              <w:t xml:space="preserve">Table </w:t>
            </w:r>
            <w:r w:rsidRPr="005051CB">
              <w:t>16: Passenger transport operator payments: South</w:t>
            </w:r>
            <w:r>
              <w:t xml:space="preserve"> </w:t>
            </w:r>
            <w:r w:rsidRPr="005051CB">
              <w:t xml:space="preserve">East Queensland </w:t>
            </w:r>
          </w:p>
        </w:tc>
        <w:tc>
          <w:tcPr>
            <w:tcW w:w="4530" w:type="dxa"/>
          </w:tcPr>
          <w:p w14:paraId="18AE294A" w14:textId="3038179A" w:rsidR="002725F1" w:rsidRPr="002E53BF" w:rsidRDefault="002725F1" w:rsidP="002725F1">
            <w:pPr>
              <w:cnfStyle w:val="000000000000" w:firstRow="0" w:lastRow="0" w:firstColumn="0" w:lastColumn="0" w:oddVBand="0" w:evenVBand="0" w:oddHBand="0" w:evenHBand="0" w:firstRowFirstColumn="0" w:firstRowLastColumn="0" w:lastRowFirstColumn="0" w:lastRowLastColumn="0"/>
            </w:pPr>
            <w:r>
              <w:t>212</w:t>
            </w:r>
          </w:p>
        </w:tc>
      </w:tr>
      <w:tr w:rsidR="002725F1" w14:paraId="241D0BAE"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08B25798" w14:textId="37EFD546" w:rsidR="002725F1" w:rsidRPr="002E53BF" w:rsidRDefault="002725F1" w:rsidP="002725F1">
            <w:r>
              <w:t xml:space="preserve">Table </w:t>
            </w:r>
            <w:r w:rsidRPr="005051CB">
              <w:t xml:space="preserve">17: Passenger transport operator payments: Rest of Queensland </w:t>
            </w:r>
          </w:p>
        </w:tc>
        <w:tc>
          <w:tcPr>
            <w:tcW w:w="4530" w:type="dxa"/>
          </w:tcPr>
          <w:p w14:paraId="3CD72116" w14:textId="4E7E5296" w:rsidR="002725F1" w:rsidRPr="002E53BF" w:rsidRDefault="002725F1" w:rsidP="002725F1">
            <w:pPr>
              <w:cnfStyle w:val="000000000000" w:firstRow="0" w:lastRow="0" w:firstColumn="0" w:lastColumn="0" w:oddVBand="0" w:evenVBand="0" w:oddHBand="0" w:evenHBand="0" w:firstRowFirstColumn="0" w:firstRowLastColumn="0" w:lastRowFirstColumn="0" w:lastRowLastColumn="0"/>
            </w:pPr>
            <w:r>
              <w:t>213</w:t>
            </w:r>
          </w:p>
        </w:tc>
      </w:tr>
    </w:tbl>
    <w:p w14:paraId="0955DF04" w14:textId="77777777" w:rsidR="006800C7" w:rsidRPr="002E53BF" w:rsidRDefault="006800C7" w:rsidP="006800C7"/>
    <w:p w14:paraId="3E5956E6" w14:textId="77777777" w:rsidR="006800C7" w:rsidRPr="002E53BF" w:rsidRDefault="006800C7" w:rsidP="006800C7"/>
    <w:p w14:paraId="0467831C" w14:textId="77777777" w:rsidR="006800C7" w:rsidRPr="002E53BF" w:rsidRDefault="006800C7" w:rsidP="006800C7"/>
    <w:p w14:paraId="1040DE1C" w14:textId="77777777" w:rsidR="006800C7" w:rsidRPr="00C446D5" w:rsidRDefault="006800C7" w:rsidP="006800C7"/>
    <w:p w14:paraId="23958F52" w14:textId="77777777" w:rsidR="007A06FC" w:rsidRDefault="007A06FC" w:rsidP="001F21F6">
      <w:pPr>
        <w:pStyle w:val="BodyText"/>
      </w:pPr>
    </w:p>
    <w:sectPr w:rsidR="007A06FC" w:rsidSect="00F31956">
      <w:footerReference w:type="default" r:id="rId152"/>
      <w:pgSz w:w="11906" w:h="16838" w:code="9"/>
      <w:pgMar w:top="1418" w:right="1418" w:bottom="1418" w:left="1418"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C5B6A" w14:textId="77777777" w:rsidR="00055688" w:rsidRDefault="00055688" w:rsidP="006800C7">
      <w:pPr>
        <w:spacing w:before="0" w:line="240" w:lineRule="auto"/>
      </w:pPr>
      <w:r>
        <w:separator/>
      </w:r>
    </w:p>
  </w:endnote>
  <w:endnote w:type="continuationSeparator" w:id="0">
    <w:p w14:paraId="7168645C" w14:textId="77777777" w:rsidR="00055688" w:rsidRDefault="00055688" w:rsidP="006800C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etaPro-CondNorm">
    <w:altName w:val="Calibri"/>
    <w:charset w:val="00"/>
    <w:family w:val="swiss"/>
    <w:pitch w:val="variable"/>
    <w:sig w:usb0="00000001" w:usb1="08070000" w:usb2="00000010" w:usb3="00000000" w:csb0="00020000" w:csb1="00000000"/>
  </w:font>
  <w:font w:name="MetaPro-Book">
    <w:altName w:val="Calibri"/>
    <w:charset w:val="00"/>
    <w:family w:val="swiss"/>
    <w:pitch w:val="variable"/>
  </w:font>
  <w:font w:name="Arial Narrow">
    <w:panose1 w:val="020B0606020202030204"/>
    <w:charset w:val="00"/>
    <w:family w:val="swiss"/>
    <w:pitch w:val="variable"/>
    <w:sig w:usb0="00000287" w:usb1="00000800" w:usb2="00000000" w:usb3="00000000" w:csb0="0000009F" w:csb1="00000000"/>
  </w:font>
  <w:font w:name="MetaPro-LightIta">
    <w:altName w:val="Calibri"/>
    <w:charset w:val="00"/>
    <w:family w:val="swiss"/>
    <w:pitch w:val="variable"/>
  </w:font>
  <w:font w:name="Meta Pro">
    <w:altName w:val="Calibri"/>
    <w:panose1 w:val="00000000000000000000"/>
    <w:charset w:val="00"/>
    <w:family w:val="modern"/>
    <w:notTrueType/>
    <w:pitch w:val="variable"/>
    <w:sig w:usb0="A00002FF" w:usb1="5000207B" w:usb2="00000000" w:usb3="00000000" w:csb0="0000009F" w:csb1="00000000"/>
  </w:font>
  <w:font w:name="MetaPro-Light">
    <w:altName w:val="Calibri"/>
    <w:charset w:val="00"/>
    <w:family w:val="swiss"/>
    <w:pitch w:val="variable"/>
  </w:font>
  <w:font w:name="MetaPro-CondBold">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A9881" w14:textId="07BA083C" w:rsidR="009A3F2A" w:rsidRPr="00827FD3" w:rsidRDefault="009A3F2A" w:rsidP="008C686A">
    <w:pPr>
      <w:pStyle w:val="Footer"/>
      <w:tabs>
        <w:tab w:val="clear" w:pos="4536"/>
        <w:tab w:val="clear" w:pos="9072"/>
        <w:tab w:val="left" w:pos="1730"/>
      </w:tabs>
      <w:rPr>
        <w:rFonts w:ascii="Meta Pro" w:hAnsi="Meta Pr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D92B8" w14:textId="77777777" w:rsidR="00B712A0" w:rsidRDefault="00B712A0" w:rsidP="0097585D">
    <w:pPr>
      <w:pStyle w:val="Footer"/>
      <w:rPr>
        <w:rFonts w:ascii="Meta Pro" w:hAnsi="Meta Pro"/>
      </w:rPr>
    </w:pPr>
  </w:p>
  <w:p w14:paraId="45E27901" w14:textId="6938CBB6" w:rsidR="00B712A0" w:rsidRPr="0068366A" w:rsidRDefault="00B712A0" w:rsidP="00F47E55">
    <w:pPr>
      <w:pStyle w:val="Footer"/>
      <w:rPr>
        <w:rFonts w:ascii="Meta Pro" w:hAnsi="Meta Pro"/>
      </w:rPr>
    </w:pPr>
  </w:p>
  <w:p w14:paraId="1C49053D" w14:textId="77777777" w:rsidR="00B712A0" w:rsidRPr="00827FD3" w:rsidRDefault="00B712A0" w:rsidP="00DA373B">
    <w:pPr>
      <w:pStyle w:val="Footer"/>
      <w:jc w:val="right"/>
      <w:rPr>
        <w:rFonts w:ascii="Meta Pro" w:hAnsi="Meta Pr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8184C" w14:textId="77777777" w:rsidR="007E0DA4" w:rsidRPr="00827FD3" w:rsidRDefault="007E0DA4" w:rsidP="008F1E5A">
    <w:pPr>
      <w:pStyle w:val="Footer"/>
      <w:rPr>
        <w:rFonts w:ascii="Meta Pro" w:hAnsi="Meta Pr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2A3A9" w14:textId="5DF85784" w:rsidR="00305C62" w:rsidRPr="0068366A" w:rsidRDefault="00305C62" w:rsidP="00963736">
    <w:pPr>
      <w:pStyle w:val="Footer"/>
      <w:rPr>
        <w:rFonts w:ascii="Meta Pro" w:hAnsi="Meta Pro"/>
      </w:rPr>
    </w:pPr>
  </w:p>
  <w:p w14:paraId="156D5C72" w14:textId="77777777" w:rsidR="00305C62" w:rsidRPr="00827FD3" w:rsidRDefault="00305C62" w:rsidP="008F1E5A">
    <w:pPr>
      <w:pStyle w:val="Footer"/>
      <w:rPr>
        <w:rFonts w:ascii="Meta Pro" w:hAnsi="Meta Pro"/>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1C0D1" w14:textId="7F1D0C78" w:rsidR="00FD5C35" w:rsidRPr="0068366A" w:rsidRDefault="00FD5C35" w:rsidP="00963736">
    <w:pPr>
      <w:pStyle w:val="Footer"/>
      <w:jc w:val="right"/>
      <w:rPr>
        <w:rFonts w:ascii="Meta Pro" w:hAnsi="Meta Pro"/>
      </w:rPr>
    </w:pPr>
  </w:p>
  <w:p w14:paraId="4C3F0CF5" w14:textId="77777777" w:rsidR="00FD5C35" w:rsidRPr="00827FD3" w:rsidRDefault="00FD5C35" w:rsidP="008F1E5A">
    <w:pPr>
      <w:pStyle w:val="Footer"/>
      <w:rPr>
        <w:rFonts w:ascii="Meta Pro" w:hAnsi="Meta Pro"/>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F5ED6" w14:textId="77777777" w:rsidR="00EF7859" w:rsidRPr="00827FD3" w:rsidRDefault="00EF7859" w:rsidP="008F1E5A">
    <w:pPr>
      <w:pStyle w:val="Footer"/>
      <w:rPr>
        <w:rFonts w:ascii="Meta Pro" w:hAnsi="Meta Pro"/>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AAFA9" w14:textId="77777777" w:rsidR="001A3202" w:rsidRPr="00827FD3" w:rsidRDefault="001A3202" w:rsidP="008F1E5A">
    <w:pPr>
      <w:pStyle w:val="Footer"/>
      <w:rPr>
        <w:rFonts w:ascii="Meta Pro" w:hAnsi="Meta Pro"/>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CC660" w14:textId="77777777" w:rsidR="007E3E32" w:rsidRPr="00827FD3" w:rsidRDefault="007E3E32" w:rsidP="008F1E5A">
    <w:pPr>
      <w:pStyle w:val="Footer"/>
      <w:rPr>
        <w:rFonts w:ascii="Meta Pro" w:hAnsi="Meta P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0105D" w14:textId="77777777" w:rsidR="00055688" w:rsidRDefault="00055688" w:rsidP="006800C7">
      <w:pPr>
        <w:spacing w:before="0" w:line="240" w:lineRule="auto"/>
      </w:pPr>
      <w:r>
        <w:separator/>
      </w:r>
    </w:p>
  </w:footnote>
  <w:footnote w:type="continuationSeparator" w:id="0">
    <w:p w14:paraId="266C0DF9" w14:textId="77777777" w:rsidR="00055688" w:rsidRDefault="00055688" w:rsidP="006800C7">
      <w:pPr>
        <w:spacing w:before="0" w:line="240" w:lineRule="auto"/>
      </w:pPr>
      <w:r>
        <w:continuationSeparator/>
      </w:r>
    </w:p>
  </w:footnote>
  <w:footnote w:id="1">
    <w:p w14:paraId="4F5537A2" w14:textId="064F1561" w:rsidR="00E32BA8" w:rsidRDefault="00E32BA8" w:rsidP="00E32BA8">
      <w:pPr>
        <w:ind w:left="220"/>
        <w:rPr>
          <w:rFonts w:ascii="MetaPro-LightIta"/>
          <w:i/>
          <w:sz w:val="14"/>
        </w:rPr>
      </w:pPr>
      <w:r>
        <w:rPr>
          <w:rStyle w:val="FootnoteReference"/>
        </w:rPr>
        <w:footnoteRef/>
      </w:r>
      <w:r>
        <w:t xml:space="preserve"> </w:t>
      </w:r>
      <w:r>
        <w:rPr>
          <w:rFonts w:ascii="MetaPro-LightIta"/>
          <w:i/>
          <w:sz w:val="14"/>
        </w:rPr>
        <w:t>Australian</w:t>
      </w:r>
      <w:r>
        <w:rPr>
          <w:rFonts w:ascii="MetaPro-LightIta"/>
          <w:i/>
          <w:spacing w:val="-6"/>
          <w:sz w:val="14"/>
        </w:rPr>
        <w:t xml:space="preserve"> </w:t>
      </w:r>
      <w:r>
        <w:rPr>
          <w:rFonts w:ascii="MetaPro-LightIta"/>
          <w:i/>
          <w:sz w:val="14"/>
        </w:rPr>
        <w:t>Bureau</w:t>
      </w:r>
      <w:r>
        <w:rPr>
          <w:rFonts w:ascii="MetaPro-LightIta"/>
          <w:i/>
          <w:spacing w:val="-6"/>
          <w:sz w:val="14"/>
        </w:rPr>
        <w:t xml:space="preserve"> </w:t>
      </w:r>
      <w:r>
        <w:rPr>
          <w:rFonts w:ascii="MetaPro-LightIta"/>
          <w:i/>
          <w:sz w:val="14"/>
        </w:rPr>
        <w:t>of</w:t>
      </w:r>
      <w:r>
        <w:rPr>
          <w:rFonts w:ascii="MetaPro-LightIta"/>
          <w:i/>
          <w:spacing w:val="-6"/>
          <w:sz w:val="14"/>
        </w:rPr>
        <w:t xml:space="preserve"> </w:t>
      </w:r>
      <w:r>
        <w:rPr>
          <w:rFonts w:ascii="MetaPro-LightIta"/>
          <w:i/>
          <w:sz w:val="14"/>
        </w:rPr>
        <w:t>Statistics,</w:t>
      </w:r>
      <w:r>
        <w:rPr>
          <w:rFonts w:ascii="MetaPro-LightIta"/>
          <w:i/>
          <w:spacing w:val="-6"/>
          <w:sz w:val="14"/>
        </w:rPr>
        <w:t xml:space="preserve"> </w:t>
      </w:r>
      <w:r>
        <w:rPr>
          <w:rFonts w:ascii="MetaPro-LightIta"/>
          <w:i/>
          <w:spacing w:val="-2"/>
          <w:sz w:val="14"/>
        </w:rPr>
        <w:t>2018.</w:t>
      </w:r>
    </w:p>
    <w:p w14:paraId="0CDBDE60" w14:textId="1344244F" w:rsidR="00E32BA8" w:rsidRDefault="00E32BA8">
      <w:pPr>
        <w:pStyle w:val="FootnoteText"/>
      </w:pPr>
    </w:p>
  </w:footnote>
  <w:footnote w:id="2">
    <w:p w14:paraId="5E882276" w14:textId="7B72F15C" w:rsidR="00F31956" w:rsidRDefault="00F31956" w:rsidP="006800C7">
      <w:pPr>
        <w:pStyle w:val="FootnoteText"/>
      </w:pPr>
      <w:r>
        <w:rPr>
          <w:rStyle w:val="FootnoteReference"/>
        </w:rPr>
        <w:footnoteRef/>
      </w:r>
      <w:r>
        <w:t xml:space="preserve"> Includes Queensland Rail, Gold Coast Waterways Authority, School Bus Upgrade Program and M</w:t>
      </w:r>
      <w:r w:rsidR="00FF7309">
        <w:t>aritime Safety Queensland</w:t>
      </w:r>
    </w:p>
  </w:footnote>
  <w:footnote w:id="3">
    <w:p w14:paraId="279EE688" w14:textId="77777777" w:rsidR="00F31956" w:rsidRDefault="00F31956" w:rsidP="006800C7">
      <w:pPr>
        <w:pStyle w:val="FootnoteText"/>
      </w:pPr>
      <w:r>
        <w:rPr>
          <w:rStyle w:val="FootnoteReference"/>
        </w:rPr>
        <w:footnoteRef/>
      </w:r>
      <w:r>
        <w:t xml:space="preserve"> ABS – Catalogue 3101.0</w:t>
      </w:r>
    </w:p>
  </w:footnote>
  <w:footnote w:id="4">
    <w:p w14:paraId="15FEA4D5" w14:textId="77777777" w:rsidR="00F31956" w:rsidRDefault="00F31956" w:rsidP="006800C7">
      <w:pPr>
        <w:pStyle w:val="FootnoteText"/>
      </w:pPr>
      <w:r>
        <w:rPr>
          <w:rStyle w:val="FootnoteReference"/>
        </w:rPr>
        <w:footnoteRef/>
      </w:r>
      <w:r>
        <w:t xml:space="preserve"> Since 2006</w:t>
      </w:r>
    </w:p>
  </w:footnote>
  <w:footnote w:id="5">
    <w:p w14:paraId="65064669" w14:textId="714654C3" w:rsidR="00F31956" w:rsidRDefault="00F31956" w:rsidP="006800C7">
      <w:pPr>
        <w:pStyle w:val="FootnoteText"/>
      </w:pPr>
      <w:r>
        <w:rPr>
          <w:rStyle w:val="FootnoteReference"/>
        </w:rPr>
        <w:footnoteRef/>
      </w:r>
      <w:r>
        <w:t xml:space="preserve"> Data Source: A Road Management Information System (ARMIS), 30 June 202</w:t>
      </w:r>
      <w:r w:rsidR="00D647B8">
        <w:t>2</w:t>
      </w:r>
    </w:p>
  </w:footnote>
  <w:footnote w:id="6">
    <w:p w14:paraId="3CC80B7A" w14:textId="44EC2E31" w:rsidR="00F31956" w:rsidRDefault="00F31956" w:rsidP="006800C7">
      <w:pPr>
        <w:pStyle w:val="FootnoteText"/>
      </w:pPr>
      <w:r>
        <w:rPr>
          <w:rStyle w:val="FootnoteReference"/>
        </w:rPr>
        <w:footnoteRef/>
      </w:r>
      <w:r>
        <w:t xml:space="preserve"> Data Source: A Road Management Information System (ARMIS), 30 June 202</w:t>
      </w:r>
      <w:r w:rsidR="00D647B8">
        <w:t>2</w:t>
      </w:r>
    </w:p>
  </w:footnote>
  <w:footnote w:id="7">
    <w:p w14:paraId="616D1F49" w14:textId="4249F3D6" w:rsidR="00F31956" w:rsidRDefault="00F31956" w:rsidP="006800C7">
      <w:pPr>
        <w:pStyle w:val="FootnoteText"/>
      </w:pPr>
      <w:r>
        <w:rPr>
          <w:rStyle w:val="FootnoteReference"/>
        </w:rPr>
        <w:footnoteRef/>
      </w:r>
      <w:r>
        <w:t xml:space="preserve"> Data Source: Bridge Information System (BIS), 30 June 202</w:t>
      </w:r>
      <w:r w:rsidR="004B0B0E">
        <w:t>2</w:t>
      </w:r>
      <w:r>
        <w:t xml:space="preserve"> </w:t>
      </w:r>
    </w:p>
  </w:footnote>
  <w:footnote w:id="8">
    <w:p w14:paraId="325616CD" w14:textId="183A5F61" w:rsidR="00F31956" w:rsidRDefault="00F31956" w:rsidP="006800C7">
      <w:pPr>
        <w:pStyle w:val="FootnoteText"/>
      </w:pPr>
      <w:r>
        <w:rPr>
          <w:rStyle w:val="FootnoteReference"/>
        </w:rPr>
        <w:footnoteRef/>
      </w:r>
      <w:r>
        <w:t xml:space="preserve"> Data Source: A Road Management Information System (ARMIS), 30 June 202</w:t>
      </w:r>
      <w:r w:rsidR="004B0B0E">
        <w:t>2</w:t>
      </w:r>
    </w:p>
  </w:footnote>
  <w:footnote w:id="9">
    <w:p w14:paraId="2BB583CD" w14:textId="7FE96A42" w:rsidR="00F31956" w:rsidRDefault="00F31956" w:rsidP="006800C7">
      <w:pPr>
        <w:pStyle w:val="FootnoteText"/>
      </w:pPr>
      <w:r>
        <w:rPr>
          <w:rStyle w:val="FootnoteReference"/>
        </w:rPr>
        <w:footnoteRef/>
      </w:r>
      <w:r>
        <w:t xml:space="preserve"> Data Source: A Road Management Information System (ARMIS), 30 June 202</w:t>
      </w:r>
      <w:r w:rsidR="004B0B0E">
        <w:t>2</w:t>
      </w:r>
    </w:p>
  </w:footnote>
  <w:footnote w:id="10">
    <w:p w14:paraId="6D8E1454" w14:textId="44671C27" w:rsidR="00F31956" w:rsidRDefault="00F31956" w:rsidP="006800C7">
      <w:pPr>
        <w:pStyle w:val="FootnoteText"/>
      </w:pPr>
      <w:r>
        <w:rPr>
          <w:rStyle w:val="FootnoteReference"/>
        </w:rPr>
        <w:footnoteRef/>
      </w:r>
      <w:r>
        <w:t xml:space="preserve"> Data Source: Bridge Information System (BIS), 30 June 202</w:t>
      </w:r>
      <w:r w:rsidR="004B0B0E">
        <w:t>2</w:t>
      </w:r>
    </w:p>
  </w:footnote>
  <w:footnote w:id="11">
    <w:p w14:paraId="7EAED7F1" w14:textId="4A04E7BA" w:rsidR="00F31956" w:rsidRDefault="00F31956" w:rsidP="006800C7">
      <w:pPr>
        <w:pStyle w:val="FootnoteText"/>
      </w:pPr>
      <w:r>
        <w:rPr>
          <w:rStyle w:val="FootnoteReference"/>
        </w:rPr>
        <w:footnoteRef/>
      </w:r>
      <w:r>
        <w:t xml:space="preserve"> Data Source: A Road Management Information System (ARMIS), 30 June 202</w:t>
      </w:r>
      <w:r w:rsidR="00E12B8E">
        <w:t>2</w:t>
      </w:r>
    </w:p>
  </w:footnote>
  <w:footnote w:id="12">
    <w:p w14:paraId="149F3B74" w14:textId="177D7BF1" w:rsidR="00F31956" w:rsidRDefault="00F31956" w:rsidP="006800C7">
      <w:pPr>
        <w:pStyle w:val="FootnoteText"/>
      </w:pPr>
      <w:r>
        <w:rPr>
          <w:rStyle w:val="FootnoteReference"/>
        </w:rPr>
        <w:footnoteRef/>
      </w:r>
      <w:r>
        <w:t xml:space="preserve"> Data Source: A Road Management Information System (ARMIS), 30 June 202</w:t>
      </w:r>
      <w:r w:rsidR="00E12B8E">
        <w:t>2</w:t>
      </w:r>
    </w:p>
  </w:footnote>
  <w:footnote w:id="13">
    <w:p w14:paraId="3BB89134" w14:textId="5010D6E2" w:rsidR="00F31956" w:rsidRDefault="00F31956" w:rsidP="006800C7">
      <w:pPr>
        <w:pStyle w:val="FootnoteText"/>
      </w:pPr>
      <w:r>
        <w:rPr>
          <w:rStyle w:val="FootnoteReference"/>
        </w:rPr>
        <w:footnoteRef/>
      </w:r>
      <w:r>
        <w:t xml:space="preserve"> Data Source: Bridge Information System (BIS), 30 June 202</w:t>
      </w:r>
      <w:r w:rsidR="00E12B8E">
        <w:t>2</w:t>
      </w:r>
    </w:p>
  </w:footnote>
  <w:footnote w:id="14">
    <w:p w14:paraId="32A75D58" w14:textId="688B1550" w:rsidR="00F31956" w:rsidRDefault="00F31956" w:rsidP="006800C7">
      <w:pPr>
        <w:pStyle w:val="FootnoteText"/>
      </w:pPr>
      <w:r>
        <w:rPr>
          <w:rStyle w:val="FootnoteReference"/>
        </w:rPr>
        <w:footnoteRef/>
      </w:r>
      <w:r>
        <w:t xml:space="preserve"> Data Source: A Road Management Information System (ARMIS), 30 June 20</w:t>
      </w:r>
      <w:r w:rsidR="00236411">
        <w:t>22</w:t>
      </w:r>
    </w:p>
  </w:footnote>
  <w:footnote w:id="15">
    <w:p w14:paraId="59B4D08F" w14:textId="1773281E" w:rsidR="00F31956" w:rsidRDefault="00F31956" w:rsidP="006800C7">
      <w:pPr>
        <w:pStyle w:val="FootnoteText"/>
      </w:pPr>
      <w:r>
        <w:rPr>
          <w:rStyle w:val="FootnoteReference"/>
        </w:rPr>
        <w:footnoteRef/>
      </w:r>
      <w:r>
        <w:t xml:space="preserve"> Data Source: A Road Management Information System (ARMIS), 30 June 202</w:t>
      </w:r>
      <w:r w:rsidR="00236411">
        <w:t>2</w:t>
      </w:r>
    </w:p>
  </w:footnote>
  <w:footnote w:id="16">
    <w:p w14:paraId="08B1E4C1" w14:textId="37918EF4" w:rsidR="00F31956" w:rsidRDefault="00F31956" w:rsidP="006800C7">
      <w:pPr>
        <w:pStyle w:val="FootnoteText"/>
      </w:pPr>
      <w:r>
        <w:rPr>
          <w:rStyle w:val="FootnoteReference"/>
        </w:rPr>
        <w:footnoteRef/>
      </w:r>
      <w:r>
        <w:t xml:space="preserve"> Data Source: Bridge Information System (BIS), 30 June 202</w:t>
      </w:r>
      <w:r w:rsidR="00236411">
        <w:t>2</w:t>
      </w:r>
    </w:p>
  </w:footnote>
  <w:footnote w:id="17">
    <w:p w14:paraId="2BA17BAF" w14:textId="463AE8FF" w:rsidR="00F31956" w:rsidRDefault="00F31956" w:rsidP="006800C7">
      <w:pPr>
        <w:pStyle w:val="FootnoteText"/>
      </w:pPr>
      <w:r>
        <w:rPr>
          <w:rStyle w:val="FootnoteReference"/>
        </w:rPr>
        <w:footnoteRef/>
      </w:r>
      <w:r>
        <w:t xml:space="preserve"> Data Source: A Road Management Information System (ARMIS), 30 June 202</w:t>
      </w:r>
      <w:r w:rsidR="00D34F70">
        <w:t>2</w:t>
      </w:r>
    </w:p>
  </w:footnote>
  <w:footnote w:id="18">
    <w:p w14:paraId="6D12AB8F" w14:textId="48ED8501" w:rsidR="00F31956" w:rsidRDefault="00F31956" w:rsidP="006800C7">
      <w:pPr>
        <w:pStyle w:val="FootnoteText"/>
      </w:pPr>
      <w:r>
        <w:rPr>
          <w:rStyle w:val="FootnoteReference"/>
        </w:rPr>
        <w:footnoteRef/>
      </w:r>
      <w:r>
        <w:t xml:space="preserve"> Data Source: A Road Management Information System (ARMIS), 30 June 202</w:t>
      </w:r>
      <w:r w:rsidR="00D34F70">
        <w:t>2</w:t>
      </w:r>
    </w:p>
  </w:footnote>
  <w:footnote w:id="19">
    <w:p w14:paraId="004C75A1" w14:textId="3437382D" w:rsidR="00F31956" w:rsidRDefault="00F31956" w:rsidP="006800C7">
      <w:pPr>
        <w:pStyle w:val="FootnoteText"/>
      </w:pPr>
      <w:r>
        <w:rPr>
          <w:rStyle w:val="FootnoteReference"/>
        </w:rPr>
        <w:footnoteRef/>
      </w:r>
      <w:r>
        <w:t xml:space="preserve"> Data Source: Bridge Information System (BIS), 30 June 202</w:t>
      </w:r>
      <w:r w:rsidR="00D34F70">
        <w:t>2</w:t>
      </w:r>
      <w:r>
        <w:t xml:space="preserve"> </w:t>
      </w:r>
    </w:p>
  </w:footnote>
  <w:footnote w:id="20">
    <w:p w14:paraId="10494B87" w14:textId="75C7D47C" w:rsidR="00F31956" w:rsidRDefault="00F31956" w:rsidP="006800C7">
      <w:pPr>
        <w:pStyle w:val="FootnoteText"/>
      </w:pPr>
      <w:r>
        <w:rPr>
          <w:rStyle w:val="FootnoteReference"/>
        </w:rPr>
        <w:footnoteRef/>
      </w:r>
      <w:r>
        <w:t xml:space="preserve"> Data Source: A Road Management Information System (ARMIS), 30 June 202</w:t>
      </w:r>
      <w:r w:rsidR="0086189C">
        <w:t>2</w:t>
      </w:r>
    </w:p>
  </w:footnote>
  <w:footnote w:id="21">
    <w:p w14:paraId="66E329B2" w14:textId="50F7B683" w:rsidR="00F31956" w:rsidRDefault="00F31956" w:rsidP="006800C7">
      <w:pPr>
        <w:pStyle w:val="FootnoteText"/>
      </w:pPr>
      <w:r>
        <w:rPr>
          <w:rStyle w:val="FootnoteReference"/>
        </w:rPr>
        <w:footnoteRef/>
      </w:r>
      <w:r>
        <w:t xml:space="preserve"> Data Source: A Road Management Information System (ARMIS), 30 June 202</w:t>
      </w:r>
      <w:r w:rsidR="0086189C">
        <w:t>2</w:t>
      </w:r>
    </w:p>
  </w:footnote>
  <w:footnote w:id="22">
    <w:p w14:paraId="33C38DF4" w14:textId="73BACB80" w:rsidR="00F31956" w:rsidRDefault="00F31956" w:rsidP="006800C7">
      <w:pPr>
        <w:pStyle w:val="FootnoteText"/>
      </w:pPr>
      <w:r>
        <w:rPr>
          <w:rStyle w:val="FootnoteReference"/>
        </w:rPr>
        <w:footnoteRef/>
      </w:r>
      <w:r>
        <w:t xml:space="preserve"> Data Source: Bridge Information System (BIS), 30 June 202</w:t>
      </w:r>
      <w:r w:rsidR="0086189C">
        <w:t>2</w:t>
      </w:r>
      <w:r>
        <w:t xml:space="preserve"> </w:t>
      </w:r>
    </w:p>
  </w:footnote>
  <w:footnote w:id="23">
    <w:p w14:paraId="70299218" w14:textId="618D76EB" w:rsidR="00F31956" w:rsidRDefault="00F31956" w:rsidP="006800C7">
      <w:pPr>
        <w:pStyle w:val="FootnoteText"/>
      </w:pPr>
      <w:r>
        <w:rPr>
          <w:rStyle w:val="FootnoteReference"/>
        </w:rPr>
        <w:footnoteRef/>
      </w:r>
      <w:r>
        <w:t xml:space="preserve"> Data Source: A Road Management Information System (ARMIS), 30 June 202</w:t>
      </w:r>
      <w:r w:rsidR="004F497E">
        <w:t>2</w:t>
      </w:r>
    </w:p>
  </w:footnote>
  <w:footnote w:id="24">
    <w:p w14:paraId="05D6955D" w14:textId="3082D951" w:rsidR="00F31956" w:rsidRDefault="00F31956" w:rsidP="006800C7">
      <w:pPr>
        <w:pStyle w:val="FootnoteText"/>
      </w:pPr>
      <w:r>
        <w:rPr>
          <w:rStyle w:val="FootnoteReference"/>
        </w:rPr>
        <w:footnoteRef/>
      </w:r>
      <w:r>
        <w:t xml:space="preserve"> Data Source: A Road Management Information System (ARMIS), 30 June 202</w:t>
      </w:r>
      <w:r w:rsidR="004F497E">
        <w:t>2</w:t>
      </w:r>
    </w:p>
  </w:footnote>
  <w:footnote w:id="25">
    <w:p w14:paraId="142CC0F8" w14:textId="3DE44C52" w:rsidR="00F31956" w:rsidRDefault="00F31956" w:rsidP="006800C7">
      <w:pPr>
        <w:pStyle w:val="FootnoteText"/>
      </w:pPr>
      <w:r>
        <w:rPr>
          <w:rStyle w:val="FootnoteReference"/>
        </w:rPr>
        <w:footnoteRef/>
      </w:r>
      <w:r>
        <w:t xml:space="preserve"> Data Source: Bridge Information System (BIS), 30 June 202</w:t>
      </w:r>
      <w:r w:rsidR="004F497E">
        <w:t>2</w:t>
      </w:r>
      <w:r>
        <w:t xml:space="preserve"> </w:t>
      </w:r>
    </w:p>
  </w:footnote>
  <w:footnote w:id="26">
    <w:p w14:paraId="13F395B4" w14:textId="5A920E8B" w:rsidR="00F31956" w:rsidRDefault="00F31956" w:rsidP="006800C7">
      <w:pPr>
        <w:pStyle w:val="FootnoteText"/>
      </w:pPr>
      <w:r>
        <w:rPr>
          <w:rStyle w:val="FootnoteReference"/>
        </w:rPr>
        <w:footnoteRef/>
      </w:r>
      <w:r>
        <w:t xml:space="preserve"> Data Source: A Road Management Information System (ARMIS), 30 June 202</w:t>
      </w:r>
      <w:r w:rsidR="00DA0344">
        <w:t>2</w:t>
      </w:r>
    </w:p>
  </w:footnote>
  <w:footnote w:id="27">
    <w:p w14:paraId="02C2E94B" w14:textId="5CE17E3C" w:rsidR="00F31956" w:rsidRDefault="00F31956" w:rsidP="006800C7">
      <w:pPr>
        <w:pStyle w:val="FootnoteText"/>
      </w:pPr>
      <w:r>
        <w:rPr>
          <w:rStyle w:val="FootnoteReference"/>
        </w:rPr>
        <w:footnoteRef/>
      </w:r>
      <w:r>
        <w:t xml:space="preserve"> Data Source: A Road Management Information System (ARMIS), 30 June 202</w:t>
      </w:r>
      <w:r w:rsidR="00DA0344">
        <w:t>2</w:t>
      </w:r>
    </w:p>
  </w:footnote>
  <w:footnote w:id="28">
    <w:p w14:paraId="0A7C9FFE" w14:textId="048CD2AE" w:rsidR="00F31956" w:rsidRDefault="00F31956" w:rsidP="006800C7">
      <w:pPr>
        <w:pStyle w:val="FootnoteText"/>
      </w:pPr>
      <w:r>
        <w:rPr>
          <w:rStyle w:val="FootnoteReference"/>
        </w:rPr>
        <w:footnoteRef/>
      </w:r>
      <w:r>
        <w:t xml:space="preserve"> Data Source: Bridge Information System (BIS), 30 June 202</w:t>
      </w:r>
      <w:r w:rsidR="00DA0344">
        <w:t>2</w:t>
      </w:r>
    </w:p>
  </w:footnote>
  <w:footnote w:id="29">
    <w:p w14:paraId="6A127A29" w14:textId="085492A9" w:rsidR="00F31956" w:rsidRDefault="00F31956" w:rsidP="006800C7">
      <w:pPr>
        <w:pStyle w:val="FootnoteText"/>
      </w:pPr>
      <w:r>
        <w:rPr>
          <w:rStyle w:val="FootnoteReference"/>
        </w:rPr>
        <w:footnoteRef/>
      </w:r>
      <w:r>
        <w:t xml:space="preserve"> Data Source: A Road Management Information System (ARMIS), 30 June 202</w:t>
      </w:r>
      <w:r w:rsidR="00B07489">
        <w:t>2</w:t>
      </w:r>
    </w:p>
  </w:footnote>
  <w:footnote w:id="30">
    <w:p w14:paraId="61E57224" w14:textId="082F48DD" w:rsidR="00F31956" w:rsidRDefault="00F31956" w:rsidP="006800C7">
      <w:pPr>
        <w:pStyle w:val="FootnoteText"/>
      </w:pPr>
      <w:r>
        <w:rPr>
          <w:rStyle w:val="FootnoteReference"/>
        </w:rPr>
        <w:footnoteRef/>
      </w:r>
      <w:r>
        <w:t xml:space="preserve"> Data Source: A Road Management Information System (ARMIS), 30 June 202</w:t>
      </w:r>
      <w:r w:rsidR="00B07489">
        <w:t>2</w:t>
      </w:r>
    </w:p>
  </w:footnote>
  <w:footnote w:id="31">
    <w:p w14:paraId="3A58B847" w14:textId="5672901F" w:rsidR="00F31956" w:rsidRDefault="00F31956" w:rsidP="006800C7">
      <w:pPr>
        <w:pStyle w:val="FootnoteText"/>
      </w:pPr>
      <w:r>
        <w:rPr>
          <w:rStyle w:val="FootnoteReference"/>
        </w:rPr>
        <w:footnoteRef/>
      </w:r>
      <w:r>
        <w:t xml:space="preserve"> Data Source: Bridge Information System (BIS), 30 June 202</w:t>
      </w:r>
      <w:r w:rsidR="00B07489">
        <w:t>2</w:t>
      </w:r>
      <w:r>
        <w:t xml:space="preserve"> </w:t>
      </w:r>
    </w:p>
  </w:footnote>
  <w:footnote w:id="32">
    <w:p w14:paraId="78A25687" w14:textId="6928663D" w:rsidR="00F31956" w:rsidRDefault="00F31956" w:rsidP="006800C7">
      <w:pPr>
        <w:pStyle w:val="FootnoteText"/>
      </w:pPr>
      <w:r>
        <w:rPr>
          <w:rStyle w:val="FootnoteReference"/>
        </w:rPr>
        <w:footnoteRef/>
      </w:r>
      <w:r>
        <w:t xml:space="preserve"> Data Source: A Road Management Information System (ARMIS), 30 June 202</w:t>
      </w:r>
      <w:r w:rsidR="0042387C">
        <w:t>2</w:t>
      </w:r>
    </w:p>
  </w:footnote>
  <w:footnote w:id="33">
    <w:p w14:paraId="06DE77FA" w14:textId="36FD288E" w:rsidR="00F31956" w:rsidRDefault="00F31956" w:rsidP="006800C7">
      <w:pPr>
        <w:pStyle w:val="FootnoteText"/>
      </w:pPr>
      <w:r>
        <w:rPr>
          <w:rStyle w:val="FootnoteReference"/>
        </w:rPr>
        <w:footnoteRef/>
      </w:r>
      <w:r>
        <w:t xml:space="preserve"> Data Source: A Road Management Information System (ARMIS), 30 June 202</w:t>
      </w:r>
      <w:r w:rsidR="0042387C">
        <w:t>2</w:t>
      </w:r>
    </w:p>
  </w:footnote>
  <w:footnote w:id="34">
    <w:p w14:paraId="1FAD59E9" w14:textId="1E1A8D9A" w:rsidR="00F31956" w:rsidRDefault="00F31956" w:rsidP="006800C7">
      <w:pPr>
        <w:pStyle w:val="FootnoteText"/>
      </w:pPr>
      <w:r>
        <w:rPr>
          <w:rStyle w:val="FootnoteReference"/>
        </w:rPr>
        <w:footnoteRef/>
      </w:r>
      <w:r>
        <w:t xml:space="preserve"> Data Source: Bridge Information System (BIS), 30 June 202</w:t>
      </w:r>
      <w:r w:rsidR="0042387C">
        <w:t>2</w:t>
      </w:r>
    </w:p>
  </w:footnote>
  <w:footnote w:id="35">
    <w:p w14:paraId="585EF9F0" w14:textId="0F3E6E6A" w:rsidR="00F31956" w:rsidRDefault="00F31956" w:rsidP="006800C7">
      <w:pPr>
        <w:pStyle w:val="FootnoteText"/>
      </w:pPr>
      <w:r>
        <w:rPr>
          <w:rStyle w:val="FootnoteReference"/>
        </w:rPr>
        <w:footnoteRef/>
      </w:r>
      <w:r>
        <w:t xml:space="preserve"> Data Source: A Road Management Information System (ARMIS), 30 June 202</w:t>
      </w:r>
      <w:r w:rsidR="001455DE">
        <w:t>2</w:t>
      </w:r>
    </w:p>
  </w:footnote>
  <w:footnote w:id="36">
    <w:p w14:paraId="4EA7522A" w14:textId="5299E37A" w:rsidR="00F31956" w:rsidRDefault="00F31956" w:rsidP="006800C7">
      <w:pPr>
        <w:pStyle w:val="FootnoteText"/>
      </w:pPr>
      <w:r>
        <w:rPr>
          <w:rStyle w:val="FootnoteReference"/>
        </w:rPr>
        <w:footnoteRef/>
      </w:r>
      <w:r>
        <w:t xml:space="preserve"> Data Source: A Road Management Information System (ARMIS), 30 June 202</w:t>
      </w:r>
      <w:r w:rsidR="001455DE">
        <w:t>2</w:t>
      </w:r>
    </w:p>
  </w:footnote>
  <w:footnote w:id="37">
    <w:p w14:paraId="0407F745" w14:textId="6CA9DF98" w:rsidR="00F31956" w:rsidRDefault="00F31956" w:rsidP="006800C7">
      <w:pPr>
        <w:pStyle w:val="FootnoteText"/>
      </w:pPr>
      <w:r>
        <w:rPr>
          <w:rStyle w:val="FootnoteReference"/>
        </w:rPr>
        <w:footnoteRef/>
      </w:r>
      <w:r>
        <w:t xml:space="preserve"> Data Source: Bridge Information System (BIS), 30 June 202</w:t>
      </w:r>
      <w:r w:rsidR="001455DE">
        <w:t>2</w:t>
      </w:r>
      <w:r>
        <w:t xml:space="preserve"> </w:t>
      </w:r>
    </w:p>
  </w:footnote>
  <w:footnote w:id="38">
    <w:p w14:paraId="40A5B5A8" w14:textId="0DF009F8" w:rsidR="00F31956" w:rsidRDefault="00F31956" w:rsidP="006800C7">
      <w:pPr>
        <w:pStyle w:val="FootnoteText"/>
      </w:pPr>
      <w:r>
        <w:rPr>
          <w:rStyle w:val="FootnoteReference"/>
        </w:rPr>
        <w:footnoteRef/>
      </w:r>
      <w:r>
        <w:t xml:space="preserve"> Data Source: A Road Management Information System (ARMIS), 30 June 202</w:t>
      </w:r>
      <w:r w:rsidR="00D627DD">
        <w:t>2</w:t>
      </w:r>
    </w:p>
  </w:footnote>
  <w:footnote w:id="39">
    <w:p w14:paraId="3036D296" w14:textId="4557881D" w:rsidR="00F31956" w:rsidRDefault="00F31956" w:rsidP="006800C7">
      <w:pPr>
        <w:pStyle w:val="FootnoteText"/>
      </w:pPr>
      <w:r>
        <w:rPr>
          <w:rStyle w:val="FootnoteReference"/>
        </w:rPr>
        <w:footnoteRef/>
      </w:r>
      <w:r>
        <w:t xml:space="preserve"> Data Source: A Road Management Information System (ARMIS), 30 June 202</w:t>
      </w:r>
      <w:r w:rsidR="00D627DD">
        <w:t>2</w:t>
      </w:r>
    </w:p>
  </w:footnote>
  <w:footnote w:id="40">
    <w:p w14:paraId="42399531" w14:textId="0489A1D7" w:rsidR="00F31956" w:rsidRDefault="00F31956" w:rsidP="006800C7">
      <w:pPr>
        <w:pStyle w:val="FootnoteText"/>
      </w:pPr>
      <w:r>
        <w:rPr>
          <w:rStyle w:val="FootnoteReference"/>
        </w:rPr>
        <w:footnoteRef/>
      </w:r>
      <w:r>
        <w:t xml:space="preserve"> Data Source: Bridge Information System (BIS), 30 June 202</w:t>
      </w:r>
      <w:r w:rsidR="00D627DD">
        <w:t>2</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586B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3A9A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620F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31249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DEE4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2651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66B5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13CE4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E3E38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EBA40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963935"/>
    <w:multiLevelType w:val="multilevel"/>
    <w:tmpl w:val="AC2217C2"/>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11" w15:restartNumberingAfterBreak="0">
    <w:nsid w:val="133C1E0F"/>
    <w:multiLevelType w:val="singleLevel"/>
    <w:tmpl w:val="46B63D50"/>
    <w:lvl w:ilvl="0">
      <w:start w:val="1"/>
      <w:numFmt w:val="bullet"/>
      <w:lvlRestart w:val="0"/>
      <w:lvlText w:val=""/>
      <w:lvlJc w:val="left"/>
      <w:pPr>
        <w:tabs>
          <w:tab w:val="num" w:pos="567"/>
        </w:tabs>
        <w:ind w:left="567" w:hanging="567"/>
      </w:pPr>
      <w:rPr>
        <w:rFonts w:ascii="Symbol" w:hAnsi="Symbol" w:hint="default"/>
      </w:rPr>
    </w:lvl>
  </w:abstractNum>
  <w:abstractNum w:abstractNumId="12" w15:restartNumberingAfterBreak="0">
    <w:nsid w:val="16F031D6"/>
    <w:multiLevelType w:val="singleLevel"/>
    <w:tmpl w:val="31BC592E"/>
    <w:lvl w:ilvl="0">
      <w:start w:val="1"/>
      <w:numFmt w:val="bullet"/>
      <w:lvlRestart w:val="0"/>
      <w:lvlText w:val=""/>
      <w:lvlJc w:val="left"/>
      <w:pPr>
        <w:tabs>
          <w:tab w:val="num" w:pos="1701"/>
        </w:tabs>
        <w:ind w:left="1701" w:hanging="567"/>
      </w:pPr>
      <w:rPr>
        <w:rFonts w:ascii="Wingdings" w:hAnsi="Wingdings" w:hint="default"/>
      </w:rPr>
    </w:lvl>
  </w:abstractNum>
  <w:abstractNum w:abstractNumId="13" w15:restartNumberingAfterBreak="0">
    <w:nsid w:val="1B2876C9"/>
    <w:multiLevelType w:val="multilevel"/>
    <w:tmpl w:val="E86E5D00"/>
    <w:lvl w:ilvl="0">
      <w:start w:val="1"/>
      <w:numFmt w:val="decimal"/>
      <w:lvlRestart w:val="0"/>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14" w15:restartNumberingAfterBreak="0">
    <w:nsid w:val="20EE1361"/>
    <w:multiLevelType w:val="singleLevel"/>
    <w:tmpl w:val="97E2376A"/>
    <w:lvl w:ilvl="0">
      <w:start w:val="1"/>
      <w:numFmt w:val="bullet"/>
      <w:lvlRestart w:val="0"/>
      <w:lvlText w:val=""/>
      <w:lvlJc w:val="left"/>
      <w:pPr>
        <w:tabs>
          <w:tab w:val="num" w:pos="567"/>
        </w:tabs>
        <w:ind w:left="567" w:hanging="567"/>
      </w:pPr>
      <w:rPr>
        <w:rFonts w:ascii="Symbol" w:hAnsi="Symbol" w:hint="default"/>
      </w:rPr>
    </w:lvl>
  </w:abstractNum>
  <w:abstractNum w:abstractNumId="15" w15:restartNumberingAfterBreak="0">
    <w:nsid w:val="21A27A8F"/>
    <w:multiLevelType w:val="singleLevel"/>
    <w:tmpl w:val="22E4E560"/>
    <w:lvl w:ilvl="0">
      <w:start w:val="1"/>
      <w:numFmt w:val="bullet"/>
      <w:lvlRestart w:val="0"/>
      <w:lvlText w:val=""/>
      <w:lvlJc w:val="left"/>
      <w:pPr>
        <w:tabs>
          <w:tab w:val="num" w:pos="1843"/>
        </w:tabs>
        <w:ind w:left="1843" w:hanging="567"/>
      </w:pPr>
      <w:rPr>
        <w:rFonts w:ascii="Symbol" w:hAnsi="Symbol" w:hint="default"/>
      </w:rPr>
    </w:lvl>
  </w:abstractNum>
  <w:abstractNum w:abstractNumId="16" w15:restartNumberingAfterBreak="0">
    <w:nsid w:val="31E305A3"/>
    <w:multiLevelType w:val="hybridMultilevel"/>
    <w:tmpl w:val="F3CC8D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5967ED9"/>
    <w:multiLevelType w:val="hybridMultilevel"/>
    <w:tmpl w:val="44F25986"/>
    <w:name w:val="Bullet List 32"/>
    <w:lvl w:ilvl="0" w:tplc="40B25D30">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DBF123F"/>
    <w:multiLevelType w:val="singleLevel"/>
    <w:tmpl w:val="202A31F6"/>
    <w:lvl w:ilvl="0">
      <w:start w:val="1"/>
      <w:numFmt w:val="bullet"/>
      <w:lvlRestart w:val="0"/>
      <w:lvlText w:val="-"/>
      <w:lvlJc w:val="left"/>
      <w:pPr>
        <w:tabs>
          <w:tab w:val="num" w:pos="1134"/>
        </w:tabs>
        <w:ind w:left="1134" w:hanging="567"/>
      </w:pPr>
      <w:rPr>
        <w:rFonts w:ascii="Times New Roman" w:hAnsi="Times New Roman" w:cs="Times New Roman"/>
      </w:rPr>
    </w:lvl>
  </w:abstractNum>
  <w:abstractNum w:abstractNumId="19" w15:restartNumberingAfterBreak="0">
    <w:nsid w:val="44CC7862"/>
    <w:multiLevelType w:val="hybridMultilevel"/>
    <w:tmpl w:val="59AA3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F13FAC"/>
    <w:multiLevelType w:val="singleLevel"/>
    <w:tmpl w:val="1BCE105C"/>
    <w:name w:val="Bullet List 2"/>
    <w:lvl w:ilvl="0">
      <w:start w:val="1"/>
      <w:numFmt w:val="bullet"/>
      <w:lvlRestart w:val="0"/>
      <w:pStyle w:val="ListBullet2"/>
      <w:lvlText w:val="-"/>
      <w:lvlJc w:val="left"/>
      <w:pPr>
        <w:tabs>
          <w:tab w:val="num" w:pos="1134"/>
        </w:tabs>
        <w:ind w:left="1134" w:hanging="567"/>
      </w:pPr>
      <w:rPr>
        <w:rFonts w:ascii="Times New Roman" w:hAnsi="Times New Roman" w:cs="Times New Roman"/>
      </w:rPr>
    </w:lvl>
  </w:abstractNum>
  <w:abstractNum w:abstractNumId="21" w15:restartNumberingAfterBreak="0">
    <w:nsid w:val="48790CBD"/>
    <w:multiLevelType w:val="singleLevel"/>
    <w:tmpl w:val="E66C506A"/>
    <w:name w:val="Bullet List 3"/>
    <w:lvl w:ilvl="0">
      <w:start w:val="1"/>
      <w:numFmt w:val="bullet"/>
      <w:lvlRestart w:val="0"/>
      <w:pStyle w:val="ListBullet3"/>
      <w:lvlText w:val=""/>
      <w:lvlJc w:val="left"/>
      <w:pPr>
        <w:tabs>
          <w:tab w:val="num" w:pos="1701"/>
        </w:tabs>
        <w:ind w:left="1701" w:hanging="567"/>
      </w:pPr>
      <w:rPr>
        <w:rFonts w:ascii="Wingdings" w:hAnsi="Wingdings" w:hint="default"/>
      </w:rPr>
    </w:lvl>
  </w:abstractNum>
  <w:abstractNum w:abstractNumId="22" w15:restartNumberingAfterBreak="0">
    <w:nsid w:val="514D4A54"/>
    <w:multiLevelType w:val="hybridMultilevel"/>
    <w:tmpl w:val="BEE83F42"/>
    <w:lvl w:ilvl="0" w:tplc="1D92DB76">
      <w:numFmt w:val="bullet"/>
      <w:lvlText w:val="•"/>
      <w:lvlJc w:val="left"/>
      <w:pPr>
        <w:ind w:left="930" w:hanging="57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8D938C1"/>
    <w:multiLevelType w:val="singleLevel"/>
    <w:tmpl w:val="1E9CAA40"/>
    <w:lvl w:ilvl="0">
      <w:start w:val="1"/>
      <w:numFmt w:val="bullet"/>
      <w:lvlRestart w:val="0"/>
      <w:lvlText w:val=""/>
      <w:lvlJc w:val="left"/>
      <w:pPr>
        <w:tabs>
          <w:tab w:val="num" w:pos="1701"/>
        </w:tabs>
        <w:ind w:left="1701" w:hanging="567"/>
      </w:pPr>
      <w:rPr>
        <w:rFonts w:ascii="Wingdings" w:hAnsi="Wingdings" w:hint="default"/>
      </w:rPr>
    </w:lvl>
  </w:abstractNum>
  <w:abstractNum w:abstractNumId="24" w15:restartNumberingAfterBreak="0">
    <w:nsid w:val="59CF341B"/>
    <w:multiLevelType w:val="hybridMultilevel"/>
    <w:tmpl w:val="7DBE6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6A5C46"/>
    <w:multiLevelType w:val="singleLevel"/>
    <w:tmpl w:val="C0B43164"/>
    <w:name w:val="Bullet List 1"/>
    <w:lvl w:ilvl="0">
      <w:start w:val="1"/>
      <w:numFmt w:val="bullet"/>
      <w:lvlRestart w:val="0"/>
      <w:pStyle w:val="ListBullet"/>
      <w:lvlText w:val=""/>
      <w:lvlJc w:val="left"/>
      <w:pPr>
        <w:tabs>
          <w:tab w:val="num" w:pos="567"/>
        </w:tabs>
        <w:ind w:left="567" w:hanging="567"/>
      </w:pPr>
      <w:rPr>
        <w:rFonts w:ascii="Symbol" w:hAnsi="Symbol" w:hint="default"/>
      </w:rPr>
    </w:lvl>
  </w:abstractNum>
  <w:abstractNum w:abstractNumId="26" w15:restartNumberingAfterBreak="0">
    <w:nsid w:val="7C970E82"/>
    <w:multiLevelType w:val="multilevel"/>
    <w:tmpl w:val="1B5E2CA8"/>
    <w:lvl w:ilvl="0">
      <w:numFmt w:val="bullet"/>
      <w:lvlText w:val="•"/>
      <w:lvlJc w:val="left"/>
      <w:pPr>
        <w:ind w:left="360" w:hanging="360"/>
      </w:pPr>
      <w:rPr>
        <w:rFonts w:ascii="Calibri" w:hAnsi="Calibri" w:cs="Calibri" w:hint="default"/>
        <w:color w:val="002060"/>
      </w:rPr>
    </w:lvl>
    <w:lvl w:ilvl="1">
      <w:start w:val="1"/>
      <w:numFmt w:val="none"/>
      <w:lvlText w:val="-"/>
      <w:lvlJc w:val="left"/>
      <w:pPr>
        <w:ind w:left="720" w:hanging="360"/>
      </w:pPr>
      <w:rPr>
        <w:rFonts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3"/>
  </w:num>
  <w:num w:numId="4">
    <w:abstractNumId w:val="2"/>
  </w:num>
  <w:num w:numId="5">
    <w:abstractNumId w:val="9"/>
  </w:num>
  <w:num w:numId="6">
    <w:abstractNumId w:val="25"/>
  </w:num>
  <w:num w:numId="7">
    <w:abstractNumId w:val="7"/>
  </w:num>
  <w:num w:numId="8">
    <w:abstractNumId w:val="20"/>
  </w:num>
  <w:num w:numId="9">
    <w:abstractNumId w:val="6"/>
  </w:num>
  <w:num w:numId="10">
    <w:abstractNumId w:val="21"/>
  </w:num>
  <w:num w:numId="11">
    <w:abstractNumId w:val="13"/>
  </w:num>
  <w:num w:numId="12">
    <w:abstractNumId w:val="15"/>
  </w:num>
  <w:num w:numId="13">
    <w:abstractNumId w:val="18"/>
  </w:num>
  <w:num w:numId="14">
    <w:abstractNumId w:val="12"/>
  </w:num>
  <w:num w:numId="15">
    <w:abstractNumId w:val="5"/>
  </w:num>
  <w:num w:numId="16">
    <w:abstractNumId w:val="4"/>
  </w:num>
  <w:num w:numId="17">
    <w:abstractNumId w:val="1"/>
  </w:num>
  <w:num w:numId="18">
    <w:abstractNumId w:val="0"/>
  </w:num>
  <w:num w:numId="19">
    <w:abstractNumId w:val="17"/>
  </w:num>
  <w:num w:numId="20">
    <w:abstractNumId w:val="14"/>
  </w:num>
  <w:num w:numId="21">
    <w:abstractNumId w:val="11"/>
  </w:num>
  <w:num w:numId="22">
    <w:abstractNumId w:val="23"/>
  </w:num>
  <w:num w:numId="23">
    <w:abstractNumId w:val="16"/>
  </w:num>
  <w:num w:numId="24">
    <w:abstractNumId w:val="26"/>
  </w:num>
  <w:num w:numId="25">
    <w:abstractNumId w:val="24"/>
  </w:num>
  <w:num w:numId="26">
    <w:abstractNumId w:val="22"/>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0C7"/>
    <w:rsid w:val="000002D5"/>
    <w:rsid w:val="00000BE8"/>
    <w:rsid w:val="0000393A"/>
    <w:rsid w:val="00006AAC"/>
    <w:rsid w:val="0001095C"/>
    <w:rsid w:val="000117BD"/>
    <w:rsid w:val="0001438F"/>
    <w:rsid w:val="000158F2"/>
    <w:rsid w:val="000163DC"/>
    <w:rsid w:val="00017FD1"/>
    <w:rsid w:val="00021788"/>
    <w:rsid w:val="00025016"/>
    <w:rsid w:val="000254B0"/>
    <w:rsid w:val="000255FB"/>
    <w:rsid w:val="000266C6"/>
    <w:rsid w:val="0002702A"/>
    <w:rsid w:val="00027FFA"/>
    <w:rsid w:val="00031AD2"/>
    <w:rsid w:val="000370EC"/>
    <w:rsid w:val="00040F27"/>
    <w:rsid w:val="000422CA"/>
    <w:rsid w:val="00044EF2"/>
    <w:rsid w:val="0005031A"/>
    <w:rsid w:val="00055688"/>
    <w:rsid w:val="00057035"/>
    <w:rsid w:val="00057BD1"/>
    <w:rsid w:val="00064448"/>
    <w:rsid w:val="000650EB"/>
    <w:rsid w:val="0007229C"/>
    <w:rsid w:val="000739AA"/>
    <w:rsid w:val="00077474"/>
    <w:rsid w:val="00085F8F"/>
    <w:rsid w:val="000861EA"/>
    <w:rsid w:val="00086482"/>
    <w:rsid w:val="000914A0"/>
    <w:rsid w:val="000928FA"/>
    <w:rsid w:val="0009798C"/>
    <w:rsid w:val="000A09EB"/>
    <w:rsid w:val="000A1781"/>
    <w:rsid w:val="000A3AC8"/>
    <w:rsid w:val="000A3B23"/>
    <w:rsid w:val="000A3B5E"/>
    <w:rsid w:val="000A5994"/>
    <w:rsid w:val="000A5A03"/>
    <w:rsid w:val="000A7362"/>
    <w:rsid w:val="000B17E4"/>
    <w:rsid w:val="000B34AD"/>
    <w:rsid w:val="000C28D7"/>
    <w:rsid w:val="000C4309"/>
    <w:rsid w:val="000D06BE"/>
    <w:rsid w:val="000D2CA1"/>
    <w:rsid w:val="000D313D"/>
    <w:rsid w:val="000D4A20"/>
    <w:rsid w:val="000D4CC4"/>
    <w:rsid w:val="000D593A"/>
    <w:rsid w:val="000D6D0D"/>
    <w:rsid w:val="000D6F17"/>
    <w:rsid w:val="000D72B2"/>
    <w:rsid w:val="000D7F0C"/>
    <w:rsid w:val="000E1649"/>
    <w:rsid w:val="000E46A9"/>
    <w:rsid w:val="000E7459"/>
    <w:rsid w:val="000F08C8"/>
    <w:rsid w:val="000F409E"/>
    <w:rsid w:val="000F50F0"/>
    <w:rsid w:val="000F6572"/>
    <w:rsid w:val="000F73B3"/>
    <w:rsid w:val="000F7A38"/>
    <w:rsid w:val="000F7EF4"/>
    <w:rsid w:val="001020F8"/>
    <w:rsid w:val="001032BB"/>
    <w:rsid w:val="00104964"/>
    <w:rsid w:val="00105987"/>
    <w:rsid w:val="00105B7D"/>
    <w:rsid w:val="00105F91"/>
    <w:rsid w:val="00107282"/>
    <w:rsid w:val="00112915"/>
    <w:rsid w:val="001141A9"/>
    <w:rsid w:val="0012022C"/>
    <w:rsid w:val="001208A4"/>
    <w:rsid w:val="00122089"/>
    <w:rsid w:val="00122D0B"/>
    <w:rsid w:val="001259E0"/>
    <w:rsid w:val="001308C4"/>
    <w:rsid w:val="00130DF3"/>
    <w:rsid w:val="001313FA"/>
    <w:rsid w:val="00132B4D"/>
    <w:rsid w:val="00134EDD"/>
    <w:rsid w:val="00135932"/>
    <w:rsid w:val="001369D9"/>
    <w:rsid w:val="00141CA0"/>
    <w:rsid w:val="001455DE"/>
    <w:rsid w:val="00145808"/>
    <w:rsid w:val="00152F8D"/>
    <w:rsid w:val="0015717A"/>
    <w:rsid w:val="0016076A"/>
    <w:rsid w:val="00163151"/>
    <w:rsid w:val="001664EE"/>
    <w:rsid w:val="0017144F"/>
    <w:rsid w:val="00171711"/>
    <w:rsid w:val="00177378"/>
    <w:rsid w:val="001777E5"/>
    <w:rsid w:val="00177F7D"/>
    <w:rsid w:val="001812BE"/>
    <w:rsid w:val="00181B22"/>
    <w:rsid w:val="001830AD"/>
    <w:rsid w:val="0018314C"/>
    <w:rsid w:val="001847E9"/>
    <w:rsid w:val="00186196"/>
    <w:rsid w:val="00193700"/>
    <w:rsid w:val="001939CE"/>
    <w:rsid w:val="00194D0B"/>
    <w:rsid w:val="001955FE"/>
    <w:rsid w:val="001958E1"/>
    <w:rsid w:val="001A3202"/>
    <w:rsid w:val="001A79DF"/>
    <w:rsid w:val="001B17F8"/>
    <w:rsid w:val="001B4A14"/>
    <w:rsid w:val="001B5075"/>
    <w:rsid w:val="001B5575"/>
    <w:rsid w:val="001B714C"/>
    <w:rsid w:val="001C1ECC"/>
    <w:rsid w:val="001C37F0"/>
    <w:rsid w:val="001C5A41"/>
    <w:rsid w:val="001C6060"/>
    <w:rsid w:val="001C608F"/>
    <w:rsid w:val="001C6206"/>
    <w:rsid w:val="001C7681"/>
    <w:rsid w:val="001D071E"/>
    <w:rsid w:val="001D2DBE"/>
    <w:rsid w:val="001D4690"/>
    <w:rsid w:val="001D6260"/>
    <w:rsid w:val="001D7DD7"/>
    <w:rsid w:val="001D7F55"/>
    <w:rsid w:val="001E0E59"/>
    <w:rsid w:val="001E1863"/>
    <w:rsid w:val="001E39BB"/>
    <w:rsid w:val="001E4FEC"/>
    <w:rsid w:val="001E5978"/>
    <w:rsid w:val="001E5E05"/>
    <w:rsid w:val="001F12B5"/>
    <w:rsid w:val="001F21F6"/>
    <w:rsid w:val="001F386F"/>
    <w:rsid w:val="001F3B65"/>
    <w:rsid w:val="0020124A"/>
    <w:rsid w:val="0020190B"/>
    <w:rsid w:val="00205278"/>
    <w:rsid w:val="002107B4"/>
    <w:rsid w:val="00214886"/>
    <w:rsid w:val="00214CD4"/>
    <w:rsid w:val="002206D4"/>
    <w:rsid w:val="00222046"/>
    <w:rsid w:val="00224AAB"/>
    <w:rsid w:val="00224DCF"/>
    <w:rsid w:val="00225657"/>
    <w:rsid w:val="0022602A"/>
    <w:rsid w:val="002303D5"/>
    <w:rsid w:val="00230B4B"/>
    <w:rsid w:val="00232431"/>
    <w:rsid w:val="00232784"/>
    <w:rsid w:val="0023292D"/>
    <w:rsid w:val="0023594D"/>
    <w:rsid w:val="00236411"/>
    <w:rsid w:val="00236739"/>
    <w:rsid w:val="00236FB8"/>
    <w:rsid w:val="002407B1"/>
    <w:rsid w:val="00244A77"/>
    <w:rsid w:val="00245605"/>
    <w:rsid w:val="00245720"/>
    <w:rsid w:val="00245EB0"/>
    <w:rsid w:val="00250238"/>
    <w:rsid w:val="002507C3"/>
    <w:rsid w:val="00251D23"/>
    <w:rsid w:val="00252270"/>
    <w:rsid w:val="00253003"/>
    <w:rsid w:val="00253279"/>
    <w:rsid w:val="002553BA"/>
    <w:rsid w:val="002555A2"/>
    <w:rsid w:val="002578E6"/>
    <w:rsid w:val="00260F2F"/>
    <w:rsid w:val="00261F91"/>
    <w:rsid w:val="0026469D"/>
    <w:rsid w:val="00265D56"/>
    <w:rsid w:val="002725F1"/>
    <w:rsid w:val="002737E4"/>
    <w:rsid w:val="002804FD"/>
    <w:rsid w:val="0028313F"/>
    <w:rsid w:val="0028720A"/>
    <w:rsid w:val="00287A6E"/>
    <w:rsid w:val="00290A76"/>
    <w:rsid w:val="00293483"/>
    <w:rsid w:val="002A161D"/>
    <w:rsid w:val="002A1888"/>
    <w:rsid w:val="002A34F5"/>
    <w:rsid w:val="002A7DA4"/>
    <w:rsid w:val="002B1DD1"/>
    <w:rsid w:val="002B1E12"/>
    <w:rsid w:val="002B294F"/>
    <w:rsid w:val="002B3EFE"/>
    <w:rsid w:val="002B49D7"/>
    <w:rsid w:val="002C082C"/>
    <w:rsid w:val="002C3105"/>
    <w:rsid w:val="002C4DE9"/>
    <w:rsid w:val="002C6053"/>
    <w:rsid w:val="002C7960"/>
    <w:rsid w:val="002D355C"/>
    <w:rsid w:val="002D43A0"/>
    <w:rsid w:val="002D6EBB"/>
    <w:rsid w:val="002D75E1"/>
    <w:rsid w:val="002E0BC0"/>
    <w:rsid w:val="002E2230"/>
    <w:rsid w:val="002E57BD"/>
    <w:rsid w:val="002E5F02"/>
    <w:rsid w:val="002F095F"/>
    <w:rsid w:val="002F2C55"/>
    <w:rsid w:val="002F4A9C"/>
    <w:rsid w:val="003010F7"/>
    <w:rsid w:val="00305475"/>
    <w:rsid w:val="00305C62"/>
    <w:rsid w:val="003119E1"/>
    <w:rsid w:val="00312BE8"/>
    <w:rsid w:val="00315481"/>
    <w:rsid w:val="0031548F"/>
    <w:rsid w:val="00315670"/>
    <w:rsid w:val="00320582"/>
    <w:rsid w:val="003221B9"/>
    <w:rsid w:val="0032349F"/>
    <w:rsid w:val="003253FC"/>
    <w:rsid w:val="003257BF"/>
    <w:rsid w:val="0033178E"/>
    <w:rsid w:val="00331F42"/>
    <w:rsid w:val="0033296C"/>
    <w:rsid w:val="0033335E"/>
    <w:rsid w:val="003335A4"/>
    <w:rsid w:val="00333C47"/>
    <w:rsid w:val="00334E70"/>
    <w:rsid w:val="0033505B"/>
    <w:rsid w:val="00337660"/>
    <w:rsid w:val="003409D8"/>
    <w:rsid w:val="003438C8"/>
    <w:rsid w:val="0034449E"/>
    <w:rsid w:val="00344602"/>
    <w:rsid w:val="00346861"/>
    <w:rsid w:val="00347CF3"/>
    <w:rsid w:val="00352DD6"/>
    <w:rsid w:val="0035319F"/>
    <w:rsid w:val="003539B8"/>
    <w:rsid w:val="00354959"/>
    <w:rsid w:val="003558AB"/>
    <w:rsid w:val="00361746"/>
    <w:rsid w:val="00362142"/>
    <w:rsid w:val="003649B5"/>
    <w:rsid w:val="00364B67"/>
    <w:rsid w:val="00364C47"/>
    <w:rsid w:val="00365884"/>
    <w:rsid w:val="0036589F"/>
    <w:rsid w:val="003663EA"/>
    <w:rsid w:val="00367325"/>
    <w:rsid w:val="003710FD"/>
    <w:rsid w:val="00372A34"/>
    <w:rsid w:val="00373103"/>
    <w:rsid w:val="00377EA3"/>
    <w:rsid w:val="00380538"/>
    <w:rsid w:val="003813F6"/>
    <w:rsid w:val="003904AC"/>
    <w:rsid w:val="003911AD"/>
    <w:rsid w:val="00391A32"/>
    <w:rsid w:val="003939B9"/>
    <w:rsid w:val="003965EB"/>
    <w:rsid w:val="003A2B12"/>
    <w:rsid w:val="003A7CD9"/>
    <w:rsid w:val="003B1AF0"/>
    <w:rsid w:val="003B32E8"/>
    <w:rsid w:val="003B43E1"/>
    <w:rsid w:val="003B558B"/>
    <w:rsid w:val="003B6207"/>
    <w:rsid w:val="003B7205"/>
    <w:rsid w:val="003C0126"/>
    <w:rsid w:val="003C203F"/>
    <w:rsid w:val="003C20EB"/>
    <w:rsid w:val="003C27A5"/>
    <w:rsid w:val="003C341C"/>
    <w:rsid w:val="003C392B"/>
    <w:rsid w:val="003C5BAB"/>
    <w:rsid w:val="003D0EC3"/>
    <w:rsid w:val="003D36D7"/>
    <w:rsid w:val="003D606D"/>
    <w:rsid w:val="003E201E"/>
    <w:rsid w:val="003E2310"/>
    <w:rsid w:val="003E3DA9"/>
    <w:rsid w:val="003E4CD5"/>
    <w:rsid w:val="003E6AF3"/>
    <w:rsid w:val="003E7156"/>
    <w:rsid w:val="003E73EE"/>
    <w:rsid w:val="003F0299"/>
    <w:rsid w:val="003F0587"/>
    <w:rsid w:val="003F095E"/>
    <w:rsid w:val="003F22E0"/>
    <w:rsid w:val="003F2FC0"/>
    <w:rsid w:val="003F308D"/>
    <w:rsid w:val="003F3F95"/>
    <w:rsid w:val="003F4FAC"/>
    <w:rsid w:val="00400244"/>
    <w:rsid w:val="004019E1"/>
    <w:rsid w:val="00401FBB"/>
    <w:rsid w:val="00404D5A"/>
    <w:rsid w:val="00407844"/>
    <w:rsid w:val="00410039"/>
    <w:rsid w:val="004129BF"/>
    <w:rsid w:val="00414A32"/>
    <w:rsid w:val="00415FAF"/>
    <w:rsid w:val="0041635E"/>
    <w:rsid w:val="00420E43"/>
    <w:rsid w:val="004232C5"/>
    <w:rsid w:val="0042387C"/>
    <w:rsid w:val="00427908"/>
    <w:rsid w:val="00427A0F"/>
    <w:rsid w:val="004319E5"/>
    <w:rsid w:val="00431A82"/>
    <w:rsid w:val="00434866"/>
    <w:rsid w:val="00435A3B"/>
    <w:rsid w:val="00435DE2"/>
    <w:rsid w:val="004367C1"/>
    <w:rsid w:val="00437658"/>
    <w:rsid w:val="00437F82"/>
    <w:rsid w:val="00441CA2"/>
    <w:rsid w:val="00444A45"/>
    <w:rsid w:val="0044799F"/>
    <w:rsid w:val="004501C8"/>
    <w:rsid w:val="00451F59"/>
    <w:rsid w:val="00457051"/>
    <w:rsid w:val="00460ADB"/>
    <w:rsid w:val="0046129B"/>
    <w:rsid w:val="004656D7"/>
    <w:rsid w:val="00465791"/>
    <w:rsid w:val="004669C8"/>
    <w:rsid w:val="00467FDC"/>
    <w:rsid w:val="0047199A"/>
    <w:rsid w:val="00471A3E"/>
    <w:rsid w:val="00471B7B"/>
    <w:rsid w:val="00471F33"/>
    <w:rsid w:val="0047401D"/>
    <w:rsid w:val="00476ED1"/>
    <w:rsid w:val="00477A07"/>
    <w:rsid w:val="00477B24"/>
    <w:rsid w:val="00480D7F"/>
    <w:rsid w:val="00481460"/>
    <w:rsid w:val="00481FDD"/>
    <w:rsid w:val="00482DED"/>
    <w:rsid w:val="0048319D"/>
    <w:rsid w:val="004834AE"/>
    <w:rsid w:val="00483BA5"/>
    <w:rsid w:val="0049024C"/>
    <w:rsid w:val="00490837"/>
    <w:rsid w:val="004915B3"/>
    <w:rsid w:val="0049305E"/>
    <w:rsid w:val="004943F5"/>
    <w:rsid w:val="004977D6"/>
    <w:rsid w:val="004A0073"/>
    <w:rsid w:val="004A04F6"/>
    <w:rsid w:val="004A165E"/>
    <w:rsid w:val="004A33A0"/>
    <w:rsid w:val="004B0B0E"/>
    <w:rsid w:val="004B1973"/>
    <w:rsid w:val="004C1511"/>
    <w:rsid w:val="004C3073"/>
    <w:rsid w:val="004C3D3C"/>
    <w:rsid w:val="004C4CE2"/>
    <w:rsid w:val="004C63F7"/>
    <w:rsid w:val="004C6CF7"/>
    <w:rsid w:val="004D3E54"/>
    <w:rsid w:val="004D562D"/>
    <w:rsid w:val="004D707B"/>
    <w:rsid w:val="004E1D28"/>
    <w:rsid w:val="004E36A4"/>
    <w:rsid w:val="004E3D24"/>
    <w:rsid w:val="004F0BDC"/>
    <w:rsid w:val="004F127C"/>
    <w:rsid w:val="004F497E"/>
    <w:rsid w:val="004F4F2A"/>
    <w:rsid w:val="004F778C"/>
    <w:rsid w:val="004F7B02"/>
    <w:rsid w:val="00500966"/>
    <w:rsid w:val="005103A7"/>
    <w:rsid w:val="00510742"/>
    <w:rsid w:val="00510AA3"/>
    <w:rsid w:val="00511371"/>
    <w:rsid w:val="00512FD4"/>
    <w:rsid w:val="005138FC"/>
    <w:rsid w:val="00513A5F"/>
    <w:rsid w:val="00513D43"/>
    <w:rsid w:val="005147FF"/>
    <w:rsid w:val="00514B44"/>
    <w:rsid w:val="005179EA"/>
    <w:rsid w:val="00521189"/>
    <w:rsid w:val="00524C26"/>
    <w:rsid w:val="005253A0"/>
    <w:rsid w:val="00525D56"/>
    <w:rsid w:val="005270EC"/>
    <w:rsid w:val="00530089"/>
    <w:rsid w:val="00532DB3"/>
    <w:rsid w:val="005339C7"/>
    <w:rsid w:val="00534251"/>
    <w:rsid w:val="005407D9"/>
    <w:rsid w:val="0054122D"/>
    <w:rsid w:val="00541347"/>
    <w:rsid w:val="00542B84"/>
    <w:rsid w:val="00543146"/>
    <w:rsid w:val="00543CE1"/>
    <w:rsid w:val="00544027"/>
    <w:rsid w:val="00544A94"/>
    <w:rsid w:val="00544F7C"/>
    <w:rsid w:val="00545DEF"/>
    <w:rsid w:val="00546C25"/>
    <w:rsid w:val="005505D2"/>
    <w:rsid w:val="00551632"/>
    <w:rsid w:val="00553151"/>
    <w:rsid w:val="00557DF8"/>
    <w:rsid w:val="00560866"/>
    <w:rsid w:val="005617D0"/>
    <w:rsid w:val="005660F9"/>
    <w:rsid w:val="00566C10"/>
    <w:rsid w:val="00567B07"/>
    <w:rsid w:val="00570700"/>
    <w:rsid w:val="00571033"/>
    <w:rsid w:val="00571AB3"/>
    <w:rsid w:val="00573238"/>
    <w:rsid w:val="0057333A"/>
    <w:rsid w:val="00575606"/>
    <w:rsid w:val="00576647"/>
    <w:rsid w:val="0057670D"/>
    <w:rsid w:val="00577854"/>
    <w:rsid w:val="0058109B"/>
    <w:rsid w:val="005832A0"/>
    <w:rsid w:val="00583873"/>
    <w:rsid w:val="005854C5"/>
    <w:rsid w:val="00585747"/>
    <w:rsid w:val="005874EE"/>
    <w:rsid w:val="00590277"/>
    <w:rsid w:val="0059036F"/>
    <w:rsid w:val="005929AC"/>
    <w:rsid w:val="00592D36"/>
    <w:rsid w:val="005931FF"/>
    <w:rsid w:val="00593332"/>
    <w:rsid w:val="00593763"/>
    <w:rsid w:val="0059740A"/>
    <w:rsid w:val="005A1013"/>
    <w:rsid w:val="005A4B49"/>
    <w:rsid w:val="005A66EC"/>
    <w:rsid w:val="005A79BC"/>
    <w:rsid w:val="005A7FD6"/>
    <w:rsid w:val="005B4120"/>
    <w:rsid w:val="005B7669"/>
    <w:rsid w:val="005B7920"/>
    <w:rsid w:val="005B7B02"/>
    <w:rsid w:val="005C0247"/>
    <w:rsid w:val="005C0937"/>
    <w:rsid w:val="005C0E3F"/>
    <w:rsid w:val="005D79AD"/>
    <w:rsid w:val="005E077A"/>
    <w:rsid w:val="005E0A86"/>
    <w:rsid w:val="005E5253"/>
    <w:rsid w:val="005E777B"/>
    <w:rsid w:val="005F2016"/>
    <w:rsid w:val="005F201D"/>
    <w:rsid w:val="005F5DEF"/>
    <w:rsid w:val="005F6112"/>
    <w:rsid w:val="005F65B4"/>
    <w:rsid w:val="005F68D0"/>
    <w:rsid w:val="005F702B"/>
    <w:rsid w:val="006007B8"/>
    <w:rsid w:val="0060467B"/>
    <w:rsid w:val="006123ED"/>
    <w:rsid w:val="00612493"/>
    <w:rsid w:val="00612BB1"/>
    <w:rsid w:val="00613F78"/>
    <w:rsid w:val="0061663D"/>
    <w:rsid w:val="00616EC8"/>
    <w:rsid w:val="006217E4"/>
    <w:rsid w:val="006226F2"/>
    <w:rsid w:val="00623578"/>
    <w:rsid w:val="00623FD5"/>
    <w:rsid w:val="0062585A"/>
    <w:rsid w:val="00626F97"/>
    <w:rsid w:val="0063226A"/>
    <w:rsid w:val="00633E3B"/>
    <w:rsid w:val="00636AF1"/>
    <w:rsid w:val="00636B44"/>
    <w:rsid w:val="00636D74"/>
    <w:rsid w:val="006414B1"/>
    <w:rsid w:val="00643638"/>
    <w:rsid w:val="006436AE"/>
    <w:rsid w:val="006436CC"/>
    <w:rsid w:val="0065680D"/>
    <w:rsid w:val="00656CED"/>
    <w:rsid w:val="00657426"/>
    <w:rsid w:val="00663169"/>
    <w:rsid w:val="0066599D"/>
    <w:rsid w:val="00666681"/>
    <w:rsid w:val="00666EFF"/>
    <w:rsid w:val="006704F8"/>
    <w:rsid w:val="006707F3"/>
    <w:rsid w:val="006800C7"/>
    <w:rsid w:val="00680694"/>
    <w:rsid w:val="00680D00"/>
    <w:rsid w:val="00682FE3"/>
    <w:rsid w:val="0068453C"/>
    <w:rsid w:val="00686630"/>
    <w:rsid w:val="00690EEB"/>
    <w:rsid w:val="0069143E"/>
    <w:rsid w:val="00691766"/>
    <w:rsid w:val="00694C4A"/>
    <w:rsid w:val="006A04E3"/>
    <w:rsid w:val="006A424A"/>
    <w:rsid w:val="006A4BF4"/>
    <w:rsid w:val="006A5184"/>
    <w:rsid w:val="006A7836"/>
    <w:rsid w:val="006A796E"/>
    <w:rsid w:val="006B226A"/>
    <w:rsid w:val="006B2BF1"/>
    <w:rsid w:val="006B34F0"/>
    <w:rsid w:val="006B52A4"/>
    <w:rsid w:val="006B74A1"/>
    <w:rsid w:val="006C0441"/>
    <w:rsid w:val="006C2A92"/>
    <w:rsid w:val="006C2B72"/>
    <w:rsid w:val="006C30F2"/>
    <w:rsid w:val="006C3BB3"/>
    <w:rsid w:val="006C4822"/>
    <w:rsid w:val="006C64E2"/>
    <w:rsid w:val="006D0ECA"/>
    <w:rsid w:val="006D2BF6"/>
    <w:rsid w:val="006D46B7"/>
    <w:rsid w:val="006E03AC"/>
    <w:rsid w:val="006E095F"/>
    <w:rsid w:val="006E2364"/>
    <w:rsid w:val="006E2A4F"/>
    <w:rsid w:val="006E361D"/>
    <w:rsid w:val="006E40EE"/>
    <w:rsid w:val="006E444A"/>
    <w:rsid w:val="006E77B4"/>
    <w:rsid w:val="006F0FD1"/>
    <w:rsid w:val="006F232A"/>
    <w:rsid w:val="006F235E"/>
    <w:rsid w:val="006F340F"/>
    <w:rsid w:val="006F4007"/>
    <w:rsid w:val="006F657C"/>
    <w:rsid w:val="006F6C90"/>
    <w:rsid w:val="006F7E8C"/>
    <w:rsid w:val="007005AE"/>
    <w:rsid w:val="00700DA1"/>
    <w:rsid w:val="00705646"/>
    <w:rsid w:val="00706D33"/>
    <w:rsid w:val="0071042C"/>
    <w:rsid w:val="007129DB"/>
    <w:rsid w:val="0071463E"/>
    <w:rsid w:val="00716AC6"/>
    <w:rsid w:val="00716DF6"/>
    <w:rsid w:val="00717B65"/>
    <w:rsid w:val="007252BF"/>
    <w:rsid w:val="00725BF0"/>
    <w:rsid w:val="007269AD"/>
    <w:rsid w:val="0073161B"/>
    <w:rsid w:val="00731FB8"/>
    <w:rsid w:val="00734F31"/>
    <w:rsid w:val="00736146"/>
    <w:rsid w:val="00737257"/>
    <w:rsid w:val="0073770C"/>
    <w:rsid w:val="00737C22"/>
    <w:rsid w:val="00737C5C"/>
    <w:rsid w:val="00740C27"/>
    <w:rsid w:val="00740D5A"/>
    <w:rsid w:val="00741AF3"/>
    <w:rsid w:val="007429D4"/>
    <w:rsid w:val="007443C9"/>
    <w:rsid w:val="00750B5B"/>
    <w:rsid w:val="00752706"/>
    <w:rsid w:val="007529F7"/>
    <w:rsid w:val="00754405"/>
    <w:rsid w:val="00754680"/>
    <w:rsid w:val="00755D23"/>
    <w:rsid w:val="007560D0"/>
    <w:rsid w:val="0075625A"/>
    <w:rsid w:val="00756F0C"/>
    <w:rsid w:val="007571ED"/>
    <w:rsid w:val="00757549"/>
    <w:rsid w:val="0076269A"/>
    <w:rsid w:val="00762DC8"/>
    <w:rsid w:val="007638F3"/>
    <w:rsid w:val="00763B65"/>
    <w:rsid w:val="007642AC"/>
    <w:rsid w:val="00764CE1"/>
    <w:rsid w:val="00770957"/>
    <w:rsid w:val="007775D4"/>
    <w:rsid w:val="0078094E"/>
    <w:rsid w:val="007809D7"/>
    <w:rsid w:val="00780BD8"/>
    <w:rsid w:val="00780E5F"/>
    <w:rsid w:val="00782C33"/>
    <w:rsid w:val="007837F8"/>
    <w:rsid w:val="00790283"/>
    <w:rsid w:val="00791096"/>
    <w:rsid w:val="00791B50"/>
    <w:rsid w:val="007933E7"/>
    <w:rsid w:val="00793738"/>
    <w:rsid w:val="007949B7"/>
    <w:rsid w:val="007A06FC"/>
    <w:rsid w:val="007A14AA"/>
    <w:rsid w:val="007A1A76"/>
    <w:rsid w:val="007A1EE8"/>
    <w:rsid w:val="007A25B2"/>
    <w:rsid w:val="007A6636"/>
    <w:rsid w:val="007B0FF9"/>
    <w:rsid w:val="007B1F4A"/>
    <w:rsid w:val="007B3B9D"/>
    <w:rsid w:val="007B6B0A"/>
    <w:rsid w:val="007B7CB5"/>
    <w:rsid w:val="007C0D52"/>
    <w:rsid w:val="007C1C32"/>
    <w:rsid w:val="007C1F52"/>
    <w:rsid w:val="007C4F6D"/>
    <w:rsid w:val="007C642B"/>
    <w:rsid w:val="007C6CE1"/>
    <w:rsid w:val="007C71A6"/>
    <w:rsid w:val="007C7237"/>
    <w:rsid w:val="007D0139"/>
    <w:rsid w:val="007D1892"/>
    <w:rsid w:val="007D2FE4"/>
    <w:rsid w:val="007D3441"/>
    <w:rsid w:val="007D51F6"/>
    <w:rsid w:val="007D6E80"/>
    <w:rsid w:val="007D77EB"/>
    <w:rsid w:val="007E0DA4"/>
    <w:rsid w:val="007E3E32"/>
    <w:rsid w:val="007E4B93"/>
    <w:rsid w:val="007E69CB"/>
    <w:rsid w:val="007E74C5"/>
    <w:rsid w:val="007F0F71"/>
    <w:rsid w:val="007F1606"/>
    <w:rsid w:val="007F231B"/>
    <w:rsid w:val="00800924"/>
    <w:rsid w:val="00802C1A"/>
    <w:rsid w:val="008031B9"/>
    <w:rsid w:val="0080532F"/>
    <w:rsid w:val="00805F10"/>
    <w:rsid w:val="00806081"/>
    <w:rsid w:val="0080664D"/>
    <w:rsid w:val="00810D26"/>
    <w:rsid w:val="00813505"/>
    <w:rsid w:val="00816A81"/>
    <w:rsid w:val="008172F6"/>
    <w:rsid w:val="00821A0A"/>
    <w:rsid w:val="008222DB"/>
    <w:rsid w:val="008264CA"/>
    <w:rsid w:val="00834804"/>
    <w:rsid w:val="0083687D"/>
    <w:rsid w:val="008414A4"/>
    <w:rsid w:val="00841D0F"/>
    <w:rsid w:val="00842544"/>
    <w:rsid w:val="00843AA5"/>
    <w:rsid w:val="008450F6"/>
    <w:rsid w:val="00845429"/>
    <w:rsid w:val="00851F4F"/>
    <w:rsid w:val="00852750"/>
    <w:rsid w:val="00852BA6"/>
    <w:rsid w:val="00854185"/>
    <w:rsid w:val="00855BBB"/>
    <w:rsid w:val="008567F1"/>
    <w:rsid w:val="00860C38"/>
    <w:rsid w:val="008617C0"/>
    <w:rsid w:val="0086189C"/>
    <w:rsid w:val="00863F7F"/>
    <w:rsid w:val="00864CD5"/>
    <w:rsid w:val="0086573F"/>
    <w:rsid w:val="008665F3"/>
    <w:rsid w:val="008676C9"/>
    <w:rsid w:val="00870100"/>
    <w:rsid w:val="00874769"/>
    <w:rsid w:val="00874976"/>
    <w:rsid w:val="00874A3B"/>
    <w:rsid w:val="00875F65"/>
    <w:rsid w:val="008770A6"/>
    <w:rsid w:val="00877868"/>
    <w:rsid w:val="008823BD"/>
    <w:rsid w:val="008844CA"/>
    <w:rsid w:val="0088732C"/>
    <w:rsid w:val="0089075A"/>
    <w:rsid w:val="008912A5"/>
    <w:rsid w:val="008923F5"/>
    <w:rsid w:val="00892CB1"/>
    <w:rsid w:val="00894071"/>
    <w:rsid w:val="008942C3"/>
    <w:rsid w:val="0089585D"/>
    <w:rsid w:val="008A0DC6"/>
    <w:rsid w:val="008A7E9D"/>
    <w:rsid w:val="008B1750"/>
    <w:rsid w:val="008B1CDD"/>
    <w:rsid w:val="008B381F"/>
    <w:rsid w:val="008B3D1C"/>
    <w:rsid w:val="008B78AB"/>
    <w:rsid w:val="008C0960"/>
    <w:rsid w:val="008C0D34"/>
    <w:rsid w:val="008C17ED"/>
    <w:rsid w:val="008C3B72"/>
    <w:rsid w:val="008C686A"/>
    <w:rsid w:val="008C6F23"/>
    <w:rsid w:val="008C7B21"/>
    <w:rsid w:val="008C7FDB"/>
    <w:rsid w:val="008D2B32"/>
    <w:rsid w:val="008D478D"/>
    <w:rsid w:val="008D7368"/>
    <w:rsid w:val="008D773A"/>
    <w:rsid w:val="008E3DB7"/>
    <w:rsid w:val="008E7F72"/>
    <w:rsid w:val="008F0707"/>
    <w:rsid w:val="008F0ED4"/>
    <w:rsid w:val="008F0F88"/>
    <w:rsid w:val="008F529E"/>
    <w:rsid w:val="008F5DBA"/>
    <w:rsid w:val="008F631F"/>
    <w:rsid w:val="009002F3"/>
    <w:rsid w:val="00901AC4"/>
    <w:rsid w:val="00901F3C"/>
    <w:rsid w:val="00903205"/>
    <w:rsid w:val="0090502F"/>
    <w:rsid w:val="00913711"/>
    <w:rsid w:val="009137A0"/>
    <w:rsid w:val="00914F51"/>
    <w:rsid w:val="00915FFB"/>
    <w:rsid w:val="009213EB"/>
    <w:rsid w:val="00925115"/>
    <w:rsid w:val="00926ED6"/>
    <w:rsid w:val="009271F8"/>
    <w:rsid w:val="00927CCE"/>
    <w:rsid w:val="00932635"/>
    <w:rsid w:val="00934596"/>
    <w:rsid w:val="00934C38"/>
    <w:rsid w:val="00934E04"/>
    <w:rsid w:val="0093738D"/>
    <w:rsid w:val="009376FD"/>
    <w:rsid w:val="00941363"/>
    <w:rsid w:val="009414EA"/>
    <w:rsid w:val="00941F8E"/>
    <w:rsid w:val="009421E7"/>
    <w:rsid w:val="00942404"/>
    <w:rsid w:val="009432E6"/>
    <w:rsid w:val="0094563E"/>
    <w:rsid w:val="00945D5C"/>
    <w:rsid w:val="00955005"/>
    <w:rsid w:val="00955F27"/>
    <w:rsid w:val="0095684A"/>
    <w:rsid w:val="00956FBC"/>
    <w:rsid w:val="00963042"/>
    <w:rsid w:val="009661DD"/>
    <w:rsid w:val="00967234"/>
    <w:rsid w:val="00971C91"/>
    <w:rsid w:val="00971EF9"/>
    <w:rsid w:val="0097516A"/>
    <w:rsid w:val="009754B5"/>
    <w:rsid w:val="009755D7"/>
    <w:rsid w:val="00976E9B"/>
    <w:rsid w:val="00981367"/>
    <w:rsid w:val="00981B40"/>
    <w:rsid w:val="00982F00"/>
    <w:rsid w:val="00995A81"/>
    <w:rsid w:val="00995ED5"/>
    <w:rsid w:val="00995F3E"/>
    <w:rsid w:val="00996404"/>
    <w:rsid w:val="00996436"/>
    <w:rsid w:val="0099656D"/>
    <w:rsid w:val="0099781B"/>
    <w:rsid w:val="009A11E7"/>
    <w:rsid w:val="009A34F3"/>
    <w:rsid w:val="009A3F2A"/>
    <w:rsid w:val="009A529E"/>
    <w:rsid w:val="009A76DB"/>
    <w:rsid w:val="009B14E7"/>
    <w:rsid w:val="009B3EB3"/>
    <w:rsid w:val="009B6095"/>
    <w:rsid w:val="009B7492"/>
    <w:rsid w:val="009C2045"/>
    <w:rsid w:val="009C4407"/>
    <w:rsid w:val="009C7F89"/>
    <w:rsid w:val="009C7F97"/>
    <w:rsid w:val="009D2108"/>
    <w:rsid w:val="009D3D48"/>
    <w:rsid w:val="009D5365"/>
    <w:rsid w:val="009D58B5"/>
    <w:rsid w:val="009D6929"/>
    <w:rsid w:val="009E5CC4"/>
    <w:rsid w:val="009E61EF"/>
    <w:rsid w:val="009E6A2C"/>
    <w:rsid w:val="009F031C"/>
    <w:rsid w:val="009F589B"/>
    <w:rsid w:val="00A0265E"/>
    <w:rsid w:val="00A048D4"/>
    <w:rsid w:val="00A05916"/>
    <w:rsid w:val="00A10BF7"/>
    <w:rsid w:val="00A11C96"/>
    <w:rsid w:val="00A13BAF"/>
    <w:rsid w:val="00A13F22"/>
    <w:rsid w:val="00A141F0"/>
    <w:rsid w:val="00A14907"/>
    <w:rsid w:val="00A14B2D"/>
    <w:rsid w:val="00A14BA1"/>
    <w:rsid w:val="00A1664E"/>
    <w:rsid w:val="00A17CBE"/>
    <w:rsid w:val="00A22B50"/>
    <w:rsid w:val="00A23BE9"/>
    <w:rsid w:val="00A2427C"/>
    <w:rsid w:val="00A25680"/>
    <w:rsid w:val="00A36672"/>
    <w:rsid w:val="00A3674B"/>
    <w:rsid w:val="00A44EAA"/>
    <w:rsid w:val="00A453E5"/>
    <w:rsid w:val="00A542B4"/>
    <w:rsid w:val="00A54CDA"/>
    <w:rsid w:val="00A5749C"/>
    <w:rsid w:val="00A579DC"/>
    <w:rsid w:val="00A60315"/>
    <w:rsid w:val="00A61390"/>
    <w:rsid w:val="00A61A39"/>
    <w:rsid w:val="00A62380"/>
    <w:rsid w:val="00A637E0"/>
    <w:rsid w:val="00A640B3"/>
    <w:rsid w:val="00A65CA9"/>
    <w:rsid w:val="00A71EF5"/>
    <w:rsid w:val="00A72CC6"/>
    <w:rsid w:val="00A7300E"/>
    <w:rsid w:val="00A737C5"/>
    <w:rsid w:val="00A7476F"/>
    <w:rsid w:val="00A75835"/>
    <w:rsid w:val="00A80777"/>
    <w:rsid w:val="00A837FC"/>
    <w:rsid w:val="00A847FF"/>
    <w:rsid w:val="00A87254"/>
    <w:rsid w:val="00A92153"/>
    <w:rsid w:val="00A933DE"/>
    <w:rsid w:val="00A96FB8"/>
    <w:rsid w:val="00A973B3"/>
    <w:rsid w:val="00AA053C"/>
    <w:rsid w:val="00AA2686"/>
    <w:rsid w:val="00AA42B5"/>
    <w:rsid w:val="00AA497F"/>
    <w:rsid w:val="00AA58CC"/>
    <w:rsid w:val="00AA7A48"/>
    <w:rsid w:val="00AB28C8"/>
    <w:rsid w:val="00AB41DA"/>
    <w:rsid w:val="00AB6C0C"/>
    <w:rsid w:val="00AB6D8A"/>
    <w:rsid w:val="00AC050E"/>
    <w:rsid w:val="00AC5930"/>
    <w:rsid w:val="00AC7922"/>
    <w:rsid w:val="00AD31C0"/>
    <w:rsid w:val="00AD4D3C"/>
    <w:rsid w:val="00AE1F32"/>
    <w:rsid w:val="00AE20A1"/>
    <w:rsid w:val="00AE3AB4"/>
    <w:rsid w:val="00AE4031"/>
    <w:rsid w:val="00AE4DAF"/>
    <w:rsid w:val="00AE688D"/>
    <w:rsid w:val="00AE6FB1"/>
    <w:rsid w:val="00AE7425"/>
    <w:rsid w:val="00B01032"/>
    <w:rsid w:val="00B03C77"/>
    <w:rsid w:val="00B056CB"/>
    <w:rsid w:val="00B05EC2"/>
    <w:rsid w:val="00B06E1E"/>
    <w:rsid w:val="00B07489"/>
    <w:rsid w:val="00B07A53"/>
    <w:rsid w:val="00B106E4"/>
    <w:rsid w:val="00B120F6"/>
    <w:rsid w:val="00B128C9"/>
    <w:rsid w:val="00B16FD5"/>
    <w:rsid w:val="00B226C1"/>
    <w:rsid w:val="00B25437"/>
    <w:rsid w:val="00B309BB"/>
    <w:rsid w:val="00B3374A"/>
    <w:rsid w:val="00B34132"/>
    <w:rsid w:val="00B43D75"/>
    <w:rsid w:val="00B46307"/>
    <w:rsid w:val="00B466E2"/>
    <w:rsid w:val="00B471A1"/>
    <w:rsid w:val="00B50F93"/>
    <w:rsid w:val="00B515C3"/>
    <w:rsid w:val="00B52403"/>
    <w:rsid w:val="00B552B2"/>
    <w:rsid w:val="00B57E64"/>
    <w:rsid w:val="00B60716"/>
    <w:rsid w:val="00B622F6"/>
    <w:rsid w:val="00B644DD"/>
    <w:rsid w:val="00B6465E"/>
    <w:rsid w:val="00B712A0"/>
    <w:rsid w:val="00B72BF1"/>
    <w:rsid w:val="00B73D8E"/>
    <w:rsid w:val="00B7550D"/>
    <w:rsid w:val="00B76E2F"/>
    <w:rsid w:val="00B80761"/>
    <w:rsid w:val="00B8174C"/>
    <w:rsid w:val="00B83DD6"/>
    <w:rsid w:val="00B87473"/>
    <w:rsid w:val="00B95F72"/>
    <w:rsid w:val="00BA0502"/>
    <w:rsid w:val="00BA0697"/>
    <w:rsid w:val="00BA07B6"/>
    <w:rsid w:val="00BA1B89"/>
    <w:rsid w:val="00BA1EF9"/>
    <w:rsid w:val="00BA4993"/>
    <w:rsid w:val="00BA7B4E"/>
    <w:rsid w:val="00BB0C55"/>
    <w:rsid w:val="00BB2223"/>
    <w:rsid w:val="00BB2CC4"/>
    <w:rsid w:val="00BB3CBA"/>
    <w:rsid w:val="00BB408F"/>
    <w:rsid w:val="00BB505C"/>
    <w:rsid w:val="00BB6BA7"/>
    <w:rsid w:val="00BC25AB"/>
    <w:rsid w:val="00BD2072"/>
    <w:rsid w:val="00BD35A9"/>
    <w:rsid w:val="00BD389B"/>
    <w:rsid w:val="00BD4137"/>
    <w:rsid w:val="00BD7085"/>
    <w:rsid w:val="00BD7517"/>
    <w:rsid w:val="00BE52C2"/>
    <w:rsid w:val="00BE5AD4"/>
    <w:rsid w:val="00BE6916"/>
    <w:rsid w:val="00BF38FF"/>
    <w:rsid w:val="00BF65E4"/>
    <w:rsid w:val="00BF78EA"/>
    <w:rsid w:val="00C07829"/>
    <w:rsid w:val="00C1195A"/>
    <w:rsid w:val="00C15472"/>
    <w:rsid w:val="00C16B0C"/>
    <w:rsid w:val="00C1721E"/>
    <w:rsid w:val="00C17392"/>
    <w:rsid w:val="00C20318"/>
    <w:rsid w:val="00C20BC8"/>
    <w:rsid w:val="00C23E7C"/>
    <w:rsid w:val="00C26701"/>
    <w:rsid w:val="00C313B6"/>
    <w:rsid w:val="00C346A3"/>
    <w:rsid w:val="00C34AB5"/>
    <w:rsid w:val="00C37436"/>
    <w:rsid w:val="00C421E1"/>
    <w:rsid w:val="00C42B87"/>
    <w:rsid w:val="00C44CAF"/>
    <w:rsid w:val="00C46255"/>
    <w:rsid w:val="00C467DF"/>
    <w:rsid w:val="00C5071D"/>
    <w:rsid w:val="00C50996"/>
    <w:rsid w:val="00C52A38"/>
    <w:rsid w:val="00C546C8"/>
    <w:rsid w:val="00C55038"/>
    <w:rsid w:val="00C57001"/>
    <w:rsid w:val="00C636C2"/>
    <w:rsid w:val="00C64E8E"/>
    <w:rsid w:val="00C65C6E"/>
    <w:rsid w:val="00C70E23"/>
    <w:rsid w:val="00C72CE0"/>
    <w:rsid w:val="00C75B63"/>
    <w:rsid w:val="00C75C0F"/>
    <w:rsid w:val="00C75FF2"/>
    <w:rsid w:val="00C8223E"/>
    <w:rsid w:val="00C82508"/>
    <w:rsid w:val="00C830AC"/>
    <w:rsid w:val="00C842D7"/>
    <w:rsid w:val="00C85C24"/>
    <w:rsid w:val="00C868B6"/>
    <w:rsid w:val="00C874D8"/>
    <w:rsid w:val="00C90DAF"/>
    <w:rsid w:val="00C945DE"/>
    <w:rsid w:val="00C94CF9"/>
    <w:rsid w:val="00C97B59"/>
    <w:rsid w:val="00CA2EDC"/>
    <w:rsid w:val="00CB2A47"/>
    <w:rsid w:val="00CB5122"/>
    <w:rsid w:val="00CB6D23"/>
    <w:rsid w:val="00CB7FE4"/>
    <w:rsid w:val="00CC0AE0"/>
    <w:rsid w:val="00CD06A9"/>
    <w:rsid w:val="00CD141F"/>
    <w:rsid w:val="00CD38AC"/>
    <w:rsid w:val="00CD5954"/>
    <w:rsid w:val="00CE1969"/>
    <w:rsid w:val="00CE4C4E"/>
    <w:rsid w:val="00CE6064"/>
    <w:rsid w:val="00CE6B0C"/>
    <w:rsid w:val="00CF06E0"/>
    <w:rsid w:val="00CF5009"/>
    <w:rsid w:val="00CF73ED"/>
    <w:rsid w:val="00D051A1"/>
    <w:rsid w:val="00D05F53"/>
    <w:rsid w:val="00D10A2D"/>
    <w:rsid w:val="00D119E3"/>
    <w:rsid w:val="00D132EC"/>
    <w:rsid w:val="00D14741"/>
    <w:rsid w:val="00D17BCB"/>
    <w:rsid w:val="00D20814"/>
    <w:rsid w:val="00D20F80"/>
    <w:rsid w:val="00D2129B"/>
    <w:rsid w:val="00D21606"/>
    <w:rsid w:val="00D2199C"/>
    <w:rsid w:val="00D222A0"/>
    <w:rsid w:val="00D22476"/>
    <w:rsid w:val="00D2288E"/>
    <w:rsid w:val="00D22FA3"/>
    <w:rsid w:val="00D25152"/>
    <w:rsid w:val="00D2667A"/>
    <w:rsid w:val="00D30277"/>
    <w:rsid w:val="00D3190A"/>
    <w:rsid w:val="00D32433"/>
    <w:rsid w:val="00D34F70"/>
    <w:rsid w:val="00D35A49"/>
    <w:rsid w:val="00D36AEC"/>
    <w:rsid w:val="00D43D67"/>
    <w:rsid w:val="00D44063"/>
    <w:rsid w:val="00D44D5D"/>
    <w:rsid w:val="00D56906"/>
    <w:rsid w:val="00D57A85"/>
    <w:rsid w:val="00D57B76"/>
    <w:rsid w:val="00D611C8"/>
    <w:rsid w:val="00D627DD"/>
    <w:rsid w:val="00D647B8"/>
    <w:rsid w:val="00D66BB8"/>
    <w:rsid w:val="00D80F0F"/>
    <w:rsid w:val="00D82C3F"/>
    <w:rsid w:val="00D82DC1"/>
    <w:rsid w:val="00D85DCC"/>
    <w:rsid w:val="00D867F1"/>
    <w:rsid w:val="00D8749A"/>
    <w:rsid w:val="00D91798"/>
    <w:rsid w:val="00D91815"/>
    <w:rsid w:val="00D9358C"/>
    <w:rsid w:val="00D93ECF"/>
    <w:rsid w:val="00D94309"/>
    <w:rsid w:val="00D94B9C"/>
    <w:rsid w:val="00D95AAA"/>
    <w:rsid w:val="00D9658C"/>
    <w:rsid w:val="00D97258"/>
    <w:rsid w:val="00D97BAF"/>
    <w:rsid w:val="00DA0344"/>
    <w:rsid w:val="00DA0770"/>
    <w:rsid w:val="00DA205F"/>
    <w:rsid w:val="00DA2739"/>
    <w:rsid w:val="00DA29D9"/>
    <w:rsid w:val="00DA5BCA"/>
    <w:rsid w:val="00DB0198"/>
    <w:rsid w:val="00DB0DE6"/>
    <w:rsid w:val="00DB380D"/>
    <w:rsid w:val="00DB3E09"/>
    <w:rsid w:val="00DB513C"/>
    <w:rsid w:val="00DB58E3"/>
    <w:rsid w:val="00DB5AB3"/>
    <w:rsid w:val="00DB5C5A"/>
    <w:rsid w:val="00DB6915"/>
    <w:rsid w:val="00DC1C4F"/>
    <w:rsid w:val="00DC2516"/>
    <w:rsid w:val="00DC2BB9"/>
    <w:rsid w:val="00DC351D"/>
    <w:rsid w:val="00DC73D7"/>
    <w:rsid w:val="00DC7AE2"/>
    <w:rsid w:val="00DD150E"/>
    <w:rsid w:val="00DD22E0"/>
    <w:rsid w:val="00DD35C8"/>
    <w:rsid w:val="00DD40AC"/>
    <w:rsid w:val="00DD7B4C"/>
    <w:rsid w:val="00DD7C5A"/>
    <w:rsid w:val="00DE0336"/>
    <w:rsid w:val="00DE0679"/>
    <w:rsid w:val="00DE0D47"/>
    <w:rsid w:val="00DE126C"/>
    <w:rsid w:val="00DE13DE"/>
    <w:rsid w:val="00DE28FC"/>
    <w:rsid w:val="00DE4985"/>
    <w:rsid w:val="00DE583C"/>
    <w:rsid w:val="00DE697B"/>
    <w:rsid w:val="00DE7ABE"/>
    <w:rsid w:val="00DE7C85"/>
    <w:rsid w:val="00DF40D1"/>
    <w:rsid w:val="00DF46E1"/>
    <w:rsid w:val="00DF6E78"/>
    <w:rsid w:val="00E00C1A"/>
    <w:rsid w:val="00E0461C"/>
    <w:rsid w:val="00E06327"/>
    <w:rsid w:val="00E0660C"/>
    <w:rsid w:val="00E079CA"/>
    <w:rsid w:val="00E07E52"/>
    <w:rsid w:val="00E12B8E"/>
    <w:rsid w:val="00E1391A"/>
    <w:rsid w:val="00E16495"/>
    <w:rsid w:val="00E23160"/>
    <w:rsid w:val="00E25C7F"/>
    <w:rsid w:val="00E3059C"/>
    <w:rsid w:val="00E31F94"/>
    <w:rsid w:val="00E32019"/>
    <w:rsid w:val="00E32BA8"/>
    <w:rsid w:val="00E35821"/>
    <w:rsid w:val="00E372D9"/>
    <w:rsid w:val="00E37464"/>
    <w:rsid w:val="00E419B8"/>
    <w:rsid w:val="00E43D75"/>
    <w:rsid w:val="00E50813"/>
    <w:rsid w:val="00E50BBE"/>
    <w:rsid w:val="00E51DF6"/>
    <w:rsid w:val="00E52690"/>
    <w:rsid w:val="00E640DB"/>
    <w:rsid w:val="00E66D57"/>
    <w:rsid w:val="00E72FB1"/>
    <w:rsid w:val="00E73B62"/>
    <w:rsid w:val="00E75257"/>
    <w:rsid w:val="00E8116B"/>
    <w:rsid w:val="00E82E9F"/>
    <w:rsid w:val="00E83DB2"/>
    <w:rsid w:val="00E85DE8"/>
    <w:rsid w:val="00E86873"/>
    <w:rsid w:val="00E90679"/>
    <w:rsid w:val="00E91C80"/>
    <w:rsid w:val="00E957FD"/>
    <w:rsid w:val="00E96BD1"/>
    <w:rsid w:val="00E96C93"/>
    <w:rsid w:val="00E976F2"/>
    <w:rsid w:val="00EA001C"/>
    <w:rsid w:val="00EA48CC"/>
    <w:rsid w:val="00EA579A"/>
    <w:rsid w:val="00EA6723"/>
    <w:rsid w:val="00EB5672"/>
    <w:rsid w:val="00EB70C4"/>
    <w:rsid w:val="00EC2DCF"/>
    <w:rsid w:val="00EC45F3"/>
    <w:rsid w:val="00EC57F3"/>
    <w:rsid w:val="00EC5BB4"/>
    <w:rsid w:val="00ED53EE"/>
    <w:rsid w:val="00EE1CCA"/>
    <w:rsid w:val="00EE26A6"/>
    <w:rsid w:val="00EE4927"/>
    <w:rsid w:val="00EE4B95"/>
    <w:rsid w:val="00EE5C4F"/>
    <w:rsid w:val="00EE63D1"/>
    <w:rsid w:val="00EE6895"/>
    <w:rsid w:val="00EE765A"/>
    <w:rsid w:val="00EF4CE7"/>
    <w:rsid w:val="00EF51AC"/>
    <w:rsid w:val="00EF633F"/>
    <w:rsid w:val="00EF710C"/>
    <w:rsid w:val="00EF7545"/>
    <w:rsid w:val="00EF7859"/>
    <w:rsid w:val="00F000AA"/>
    <w:rsid w:val="00F015A9"/>
    <w:rsid w:val="00F028D2"/>
    <w:rsid w:val="00F07918"/>
    <w:rsid w:val="00F102CE"/>
    <w:rsid w:val="00F13D2F"/>
    <w:rsid w:val="00F14353"/>
    <w:rsid w:val="00F15F7A"/>
    <w:rsid w:val="00F17114"/>
    <w:rsid w:val="00F17280"/>
    <w:rsid w:val="00F239D7"/>
    <w:rsid w:val="00F248B0"/>
    <w:rsid w:val="00F2556A"/>
    <w:rsid w:val="00F25CC8"/>
    <w:rsid w:val="00F3047E"/>
    <w:rsid w:val="00F31956"/>
    <w:rsid w:val="00F3332F"/>
    <w:rsid w:val="00F34539"/>
    <w:rsid w:val="00F36F08"/>
    <w:rsid w:val="00F42D36"/>
    <w:rsid w:val="00F44919"/>
    <w:rsid w:val="00F449AB"/>
    <w:rsid w:val="00F479EC"/>
    <w:rsid w:val="00F52ADC"/>
    <w:rsid w:val="00F52ADF"/>
    <w:rsid w:val="00F537D5"/>
    <w:rsid w:val="00F54556"/>
    <w:rsid w:val="00F548D8"/>
    <w:rsid w:val="00F55D2F"/>
    <w:rsid w:val="00F56260"/>
    <w:rsid w:val="00F56B7D"/>
    <w:rsid w:val="00F56EAE"/>
    <w:rsid w:val="00F60743"/>
    <w:rsid w:val="00F64140"/>
    <w:rsid w:val="00F65618"/>
    <w:rsid w:val="00F66132"/>
    <w:rsid w:val="00F66F2B"/>
    <w:rsid w:val="00F66F75"/>
    <w:rsid w:val="00F71AFA"/>
    <w:rsid w:val="00F74636"/>
    <w:rsid w:val="00F75470"/>
    <w:rsid w:val="00F75645"/>
    <w:rsid w:val="00F759D7"/>
    <w:rsid w:val="00F75A4A"/>
    <w:rsid w:val="00F76DBF"/>
    <w:rsid w:val="00F80D5A"/>
    <w:rsid w:val="00F838D8"/>
    <w:rsid w:val="00F83B0A"/>
    <w:rsid w:val="00F84F7F"/>
    <w:rsid w:val="00F8682E"/>
    <w:rsid w:val="00F87C7D"/>
    <w:rsid w:val="00F91E15"/>
    <w:rsid w:val="00F945A8"/>
    <w:rsid w:val="00F9486A"/>
    <w:rsid w:val="00F96EE9"/>
    <w:rsid w:val="00FA0A77"/>
    <w:rsid w:val="00FA121D"/>
    <w:rsid w:val="00FA3F49"/>
    <w:rsid w:val="00FA46F8"/>
    <w:rsid w:val="00FA5365"/>
    <w:rsid w:val="00FA7BCA"/>
    <w:rsid w:val="00FB0CB4"/>
    <w:rsid w:val="00FB20A6"/>
    <w:rsid w:val="00FB2A5D"/>
    <w:rsid w:val="00FB4393"/>
    <w:rsid w:val="00FC0946"/>
    <w:rsid w:val="00FC1029"/>
    <w:rsid w:val="00FC119B"/>
    <w:rsid w:val="00FC4995"/>
    <w:rsid w:val="00FC4C02"/>
    <w:rsid w:val="00FC6926"/>
    <w:rsid w:val="00FC706C"/>
    <w:rsid w:val="00FC7587"/>
    <w:rsid w:val="00FD01E4"/>
    <w:rsid w:val="00FD0629"/>
    <w:rsid w:val="00FD1555"/>
    <w:rsid w:val="00FD3545"/>
    <w:rsid w:val="00FD3D73"/>
    <w:rsid w:val="00FD595C"/>
    <w:rsid w:val="00FD5C35"/>
    <w:rsid w:val="00FE3313"/>
    <w:rsid w:val="00FE3572"/>
    <w:rsid w:val="00FF0FCE"/>
    <w:rsid w:val="00FF469C"/>
    <w:rsid w:val="00FF5D45"/>
    <w:rsid w:val="00FF73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B08287"/>
  <w15:chartTrackingRefBased/>
  <w15:docId w15:val="{56F9C810-5FA6-4B22-ADA9-FAE32D3B7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0C7"/>
    <w:pPr>
      <w:spacing w:before="360" w:after="0" w:line="260" w:lineRule="exact"/>
    </w:pPr>
    <w:rPr>
      <w:rFonts w:ascii="Times New Roman" w:hAnsi="Times New Roman" w:cs="Arial"/>
      <w:color w:val="262626" w:themeColor="text1" w:themeTint="D9"/>
      <w:sz w:val="18"/>
    </w:rPr>
  </w:style>
  <w:style w:type="paragraph" w:styleId="Heading1">
    <w:name w:val="heading 1"/>
    <w:basedOn w:val="Normal"/>
    <w:next w:val="Normal"/>
    <w:link w:val="Heading1Char"/>
    <w:uiPriority w:val="9"/>
    <w:qFormat/>
    <w:rsid w:val="006800C7"/>
    <w:pPr>
      <w:keepNext/>
      <w:keepLines/>
      <w:spacing w:before="0" w:line="580" w:lineRule="exact"/>
      <w:outlineLvl w:val="0"/>
    </w:pPr>
    <w:rPr>
      <w:rFonts w:eastAsiaTheme="majorEastAsia" w:cstheme="majorBidi"/>
      <w:b/>
      <w:color w:val="auto"/>
      <w:sz w:val="52"/>
      <w:szCs w:val="32"/>
    </w:rPr>
  </w:style>
  <w:style w:type="paragraph" w:styleId="Heading2">
    <w:name w:val="heading 2"/>
    <w:basedOn w:val="Normal"/>
    <w:next w:val="Normal"/>
    <w:link w:val="Heading2Char"/>
    <w:uiPriority w:val="9"/>
    <w:unhideWhenUsed/>
    <w:qFormat/>
    <w:rsid w:val="006800C7"/>
    <w:pPr>
      <w:keepNext/>
      <w:keepLines/>
      <w:spacing w:line="360" w:lineRule="exact"/>
      <w:outlineLvl w:val="1"/>
    </w:pPr>
    <w:rPr>
      <w:rFonts w:eastAsiaTheme="majorEastAsia" w:cstheme="majorBidi"/>
      <w:b/>
      <w:color w:val="auto"/>
      <w:sz w:val="38"/>
      <w:szCs w:val="26"/>
    </w:rPr>
  </w:style>
  <w:style w:type="paragraph" w:styleId="Heading3">
    <w:name w:val="heading 3"/>
    <w:basedOn w:val="Normal"/>
    <w:next w:val="Normal"/>
    <w:link w:val="Heading3Char"/>
    <w:uiPriority w:val="9"/>
    <w:unhideWhenUsed/>
    <w:qFormat/>
    <w:rsid w:val="006800C7"/>
    <w:pPr>
      <w:keepNext/>
      <w:keepLines/>
      <w:spacing w:before="480"/>
      <w:outlineLvl w:val="2"/>
    </w:pPr>
    <w:rPr>
      <w:rFonts w:eastAsiaTheme="majorEastAsia" w:cstheme="majorBidi"/>
      <w:color w:val="auto"/>
      <w:sz w:val="32"/>
      <w:szCs w:val="24"/>
    </w:rPr>
  </w:style>
  <w:style w:type="paragraph" w:styleId="Heading4">
    <w:name w:val="heading 4"/>
    <w:basedOn w:val="Normal"/>
    <w:next w:val="Normal"/>
    <w:link w:val="Heading4Char"/>
    <w:uiPriority w:val="9"/>
    <w:unhideWhenUsed/>
    <w:qFormat/>
    <w:rsid w:val="006800C7"/>
    <w:pPr>
      <w:keepNext/>
      <w:keepLines/>
      <w:spacing w:before="260"/>
      <w:outlineLvl w:val="3"/>
    </w:pPr>
    <w:rPr>
      <w:iCs/>
      <w:color w:val="auto"/>
      <w:sz w:val="26"/>
    </w:rPr>
  </w:style>
  <w:style w:type="paragraph" w:styleId="Heading5">
    <w:name w:val="heading 5"/>
    <w:basedOn w:val="Normal"/>
    <w:next w:val="Normal"/>
    <w:link w:val="Heading5Char"/>
    <w:uiPriority w:val="9"/>
    <w:unhideWhenUsed/>
    <w:rsid w:val="006800C7"/>
    <w:pPr>
      <w:keepNext/>
      <w:keepLines/>
      <w:spacing w:before="200"/>
      <w:outlineLvl w:val="4"/>
    </w:pPr>
    <w:rPr>
      <w:rFonts w:eastAsiaTheme="majorEastAsia" w:cstheme="majorBidi"/>
      <w:b/>
      <w:sz w:val="20"/>
    </w:rPr>
  </w:style>
  <w:style w:type="paragraph" w:styleId="Heading6">
    <w:name w:val="heading 6"/>
    <w:basedOn w:val="Normal"/>
    <w:next w:val="Normal"/>
    <w:link w:val="Heading6Char"/>
    <w:uiPriority w:val="9"/>
    <w:unhideWhenUsed/>
    <w:rsid w:val="006800C7"/>
    <w:pPr>
      <w:keepNext/>
      <w:keepLines/>
      <w:spacing w:before="260"/>
      <w:outlineLvl w:val="5"/>
    </w:pPr>
    <w:rPr>
      <w:rFonts w:ascii="Arial" w:eastAsiaTheme="majorEastAsia" w:hAnsi="Arial" w:cstheme="majorBidi"/>
      <w:b/>
      <w:color w:val="auto"/>
      <w:sz w:val="26"/>
    </w:rPr>
  </w:style>
  <w:style w:type="paragraph" w:styleId="Heading7">
    <w:name w:val="heading 7"/>
    <w:basedOn w:val="Normal"/>
    <w:next w:val="Normal"/>
    <w:link w:val="Heading7Char"/>
    <w:uiPriority w:val="9"/>
    <w:unhideWhenUsed/>
    <w:rsid w:val="006800C7"/>
    <w:pPr>
      <w:keepNext/>
      <w:keepLines/>
      <w:spacing w:before="60"/>
      <w:outlineLvl w:val="6"/>
    </w:pPr>
    <w:rPr>
      <w:rFonts w:ascii="Arial" w:eastAsiaTheme="majorEastAsia" w:hAnsi="Arial" w:cstheme="majorBidi"/>
      <w:i/>
      <w:iCs/>
      <w:color w:val="auto"/>
      <w:sz w:val="22"/>
    </w:rPr>
  </w:style>
  <w:style w:type="paragraph" w:styleId="Heading8">
    <w:name w:val="heading 8"/>
    <w:basedOn w:val="Normal"/>
    <w:next w:val="Normal"/>
    <w:link w:val="Heading8Char"/>
    <w:uiPriority w:val="9"/>
    <w:unhideWhenUsed/>
    <w:rsid w:val="006800C7"/>
    <w:pPr>
      <w:keepNext/>
      <w:keepLines/>
      <w:spacing w:before="260" w:after="120" w:line="240" w:lineRule="auto"/>
      <w:outlineLvl w:val="7"/>
    </w:pPr>
    <w:rPr>
      <w:rFonts w:ascii="Arial" w:eastAsiaTheme="majorEastAsia" w:hAnsi="Arial" w:cstheme="majorBidi"/>
      <w:color w:val="272727" w:themeColor="text1" w:themeTint="D8"/>
      <w:sz w:val="28"/>
      <w:szCs w:val="21"/>
    </w:rPr>
  </w:style>
  <w:style w:type="paragraph" w:styleId="Heading9">
    <w:name w:val="heading 9"/>
    <w:basedOn w:val="Normal"/>
    <w:next w:val="Normal"/>
    <w:link w:val="Heading9Char"/>
    <w:uiPriority w:val="9"/>
    <w:unhideWhenUsed/>
    <w:rsid w:val="006800C7"/>
    <w:pPr>
      <w:keepNext/>
      <w:keepLines/>
      <w:shd w:val="clear" w:color="FFFFFF" w:themeColor="background1" w:fill="F2F2F2" w:themeFill="background1" w:themeFillShade="F2"/>
      <w:spacing w:before="260" w:line="220" w:lineRule="exact"/>
      <w:outlineLvl w:val="8"/>
    </w:pPr>
    <w:rPr>
      <w:rFonts w:ascii="Arial" w:eastAsiaTheme="majorEastAsia" w:hAnsi="Arial" w:cstheme="majorBidi"/>
      <w:b/>
      <w:iCs/>
      <w:color w:val="272727" w:themeColor="text1" w:themeTint="D8"/>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1F21F6"/>
    <w:pPr>
      <w:spacing w:after="120" w:line="300" w:lineRule="atLeast"/>
    </w:pPr>
  </w:style>
  <w:style w:type="character" w:customStyle="1" w:styleId="BodyTextChar">
    <w:name w:val="Body Text Char"/>
    <w:basedOn w:val="DefaultParagraphFont"/>
    <w:link w:val="BodyText"/>
    <w:rsid w:val="001F21F6"/>
    <w:rPr>
      <w:rFonts w:ascii="Arial" w:hAnsi="Arial" w:cs="Arial"/>
    </w:rPr>
  </w:style>
  <w:style w:type="paragraph" w:styleId="Footer">
    <w:name w:val="footer"/>
    <w:basedOn w:val="BodyText"/>
    <w:link w:val="FooterChar"/>
    <w:uiPriority w:val="99"/>
    <w:unhideWhenUsed/>
    <w:rsid w:val="001F21F6"/>
    <w:pPr>
      <w:tabs>
        <w:tab w:val="center" w:pos="4536"/>
        <w:tab w:val="right" w:pos="9072"/>
      </w:tabs>
      <w:spacing w:after="0" w:line="240" w:lineRule="auto"/>
    </w:pPr>
    <w:rPr>
      <w:sz w:val="15"/>
    </w:rPr>
  </w:style>
  <w:style w:type="character" w:customStyle="1" w:styleId="FooterChar">
    <w:name w:val="Footer Char"/>
    <w:basedOn w:val="DefaultParagraphFont"/>
    <w:link w:val="Footer"/>
    <w:uiPriority w:val="99"/>
    <w:rsid w:val="001F21F6"/>
    <w:rPr>
      <w:rFonts w:ascii="Arial" w:hAnsi="Arial" w:cs="Arial"/>
      <w:sz w:val="15"/>
    </w:rPr>
  </w:style>
  <w:style w:type="paragraph" w:styleId="Header">
    <w:name w:val="header"/>
    <w:basedOn w:val="BodyText"/>
    <w:link w:val="HeaderChar"/>
    <w:uiPriority w:val="99"/>
    <w:unhideWhenUsed/>
    <w:rsid w:val="001F21F6"/>
    <w:pPr>
      <w:tabs>
        <w:tab w:val="center" w:pos="4536"/>
        <w:tab w:val="right" w:pos="9072"/>
      </w:tabs>
      <w:spacing w:after="0" w:line="240" w:lineRule="auto"/>
    </w:pPr>
    <w:rPr>
      <w:sz w:val="15"/>
    </w:rPr>
  </w:style>
  <w:style w:type="character" w:customStyle="1" w:styleId="HeaderChar">
    <w:name w:val="Header Char"/>
    <w:basedOn w:val="DefaultParagraphFont"/>
    <w:link w:val="Header"/>
    <w:uiPriority w:val="99"/>
    <w:rsid w:val="001F21F6"/>
    <w:rPr>
      <w:rFonts w:ascii="Arial" w:hAnsi="Arial" w:cs="Arial"/>
      <w:sz w:val="15"/>
    </w:rPr>
  </w:style>
  <w:style w:type="paragraph" w:customStyle="1" w:styleId="Header2">
    <w:name w:val="Header 2"/>
    <w:basedOn w:val="Header"/>
    <w:link w:val="Header2Char"/>
    <w:rsid w:val="001F21F6"/>
    <w:pPr>
      <w:pBdr>
        <w:bottom w:val="single" w:sz="4" w:space="4" w:color="auto"/>
      </w:pBdr>
    </w:pPr>
  </w:style>
  <w:style w:type="character" w:customStyle="1" w:styleId="Header2Char">
    <w:name w:val="Header 2 Char"/>
    <w:basedOn w:val="DefaultParagraphFont"/>
    <w:link w:val="Header2"/>
    <w:rsid w:val="001F21F6"/>
    <w:rPr>
      <w:rFonts w:ascii="Arial" w:hAnsi="Arial" w:cs="Arial"/>
      <w:sz w:val="15"/>
    </w:rPr>
  </w:style>
  <w:style w:type="paragraph" w:customStyle="1" w:styleId="Footer2">
    <w:name w:val="Footer 2"/>
    <w:basedOn w:val="Footer"/>
    <w:link w:val="Footer2Char"/>
    <w:rsid w:val="001F21F6"/>
    <w:pPr>
      <w:pBdr>
        <w:top w:val="single" w:sz="4" w:space="4" w:color="auto"/>
      </w:pBdr>
    </w:pPr>
  </w:style>
  <w:style w:type="character" w:customStyle="1" w:styleId="Footer2Char">
    <w:name w:val="Footer 2 Char"/>
    <w:basedOn w:val="DefaultParagraphFont"/>
    <w:link w:val="Footer2"/>
    <w:rsid w:val="001F21F6"/>
    <w:rPr>
      <w:rFonts w:ascii="Arial" w:hAnsi="Arial" w:cs="Arial"/>
      <w:sz w:val="15"/>
    </w:rPr>
  </w:style>
  <w:style w:type="paragraph" w:styleId="ListNumber">
    <w:name w:val="List Number"/>
    <w:basedOn w:val="BodyText"/>
    <w:uiPriority w:val="99"/>
    <w:unhideWhenUsed/>
    <w:rsid w:val="001F21F6"/>
    <w:pPr>
      <w:numPr>
        <w:numId w:val="2"/>
      </w:numPr>
      <w:contextualSpacing/>
    </w:pPr>
  </w:style>
  <w:style w:type="paragraph" w:styleId="ListNumber2">
    <w:name w:val="List Number 2"/>
    <w:basedOn w:val="BodyText"/>
    <w:uiPriority w:val="99"/>
    <w:unhideWhenUsed/>
    <w:rsid w:val="001F21F6"/>
    <w:pPr>
      <w:numPr>
        <w:ilvl w:val="1"/>
        <w:numId w:val="2"/>
      </w:numPr>
      <w:contextualSpacing/>
    </w:pPr>
  </w:style>
  <w:style w:type="paragraph" w:styleId="ListNumber3">
    <w:name w:val="List Number 3"/>
    <w:basedOn w:val="BodyText"/>
    <w:uiPriority w:val="99"/>
    <w:semiHidden/>
    <w:unhideWhenUsed/>
    <w:rsid w:val="001F21F6"/>
    <w:pPr>
      <w:numPr>
        <w:ilvl w:val="2"/>
        <w:numId w:val="2"/>
      </w:numPr>
      <w:tabs>
        <w:tab w:val="clear" w:pos="720"/>
        <w:tab w:val="num" w:pos="850"/>
      </w:tabs>
      <w:ind w:left="850" w:hanging="850"/>
      <w:contextualSpacing/>
    </w:pPr>
  </w:style>
  <w:style w:type="paragraph" w:styleId="ListBullet">
    <w:name w:val="List Bullet"/>
    <w:basedOn w:val="BodyText"/>
    <w:uiPriority w:val="99"/>
    <w:unhideWhenUsed/>
    <w:qFormat/>
    <w:rsid w:val="001F21F6"/>
    <w:pPr>
      <w:numPr>
        <w:numId w:val="6"/>
      </w:numPr>
      <w:contextualSpacing/>
    </w:pPr>
  </w:style>
  <w:style w:type="paragraph" w:styleId="ListBullet2">
    <w:name w:val="List Bullet 2"/>
    <w:basedOn w:val="BodyText"/>
    <w:uiPriority w:val="99"/>
    <w:unhideWhenUsed/>
    <w:rsid w:val="001F21F6"/>
    <w:pPr>
      <w:numPr>
        <w:numId w:val="8"/>
      </w:numPr>
      <w:contextualSpacing/>
    </w:pPr>
  </w:style>
  <w:style w:type="paragraph" w:styleId="ListBullet3">
    <w:name w:val="List Bullet 3"/>
    <w:basedOn w:val="BodyText"/>
    <w:uiPriority w:val="99"/>
    <w:semiHidden/>
    <w:unhideWhenUsed/>
    <w:rsid w:val="001F21F6"/>
    <w:pPr>
      <w:numPr>
        <w:numId w:val="10"/>
      </w:numPr>
      <w:contextualSpacing/>
    </w:pPr>
  </w:style>
  <w:style w:type="paragraph" w:styleId="EnvelopeAddress">
    <w:name w:val="envelope address"/>
    <w:basedOn w:val="BodyText"/>
    <w:uiPriority w:val="99"/>
    <w:semiHidden/>
    <w:unhideWhenUsed/>
    <w:rsid w:val="001F21F6"/>
    <w:pPr>
      <w:framePr w:w="7920" w:h="1980" w:hRule="exact" w:hSpace="180" w:wrap="auto" w:hAnchor="page" w:xAlign="center" w:yAlign="bottom"/>
      <w:spacing w:after="0"/>
      <w:ind w:left="2880"/>
    </w:pPr>
    <w:rPr>
      <w:rFonts w:eastAsiaTheme="majorEastAsia" w:cs="Times New Roman"/>
      <w:szCs w:val="24"/>
    </w:rPr>
  </w:style>
  <w:style w:type="character" w:customStyle="1" w:styleId="Heading1Char">
    <w:name w:val="Heading 1 Char"/>
    <w:basedOn w:val="DefaultParagraphFont"/>
    <w:link w:val="Heading1"/>
    <w:uiPriority w:val="9"/>
    <w:rsid w:val="006800C7"/>
    <w:rPr>
      <w:rFonts w:ascii="Times New Roman" w:eastAsiaTheme="majorEastAsia" w:hAnsi="Times New Roman" w:cstheme="majorBidi"/>
      <w:b/>
      <w:sz w:val="52"/>
      <w:szCs w:val="32"/>
    </w:rPr>
  </w:style>
  <w:style w:type="character" w:customStyle="1" w:styleId="Heading2Char">
    <w:name w:val="Heading 2 Char"/>
    <w:basedOn w:val="DefaultParagraphFont"/>
    <w:link w:val="Heading2"/>
    <w:uiPriority w:val="9"/>
    <w:rsid w:val="006800C7"/>
    <w:rPr>
      <w:rFonts w:ascii="Times New Roman" w:eastAsiaTheme="majorEastAsia" w:hAnsi="Times New Roman" w:cstheme="majorBidi"/>
      <w:b/>
      <w:sz w:val="38"/>
      <w:szCs w:val="26"/>
    </w:rPr>
  </w:style>
  <w:style w:type="character" w:customStyle="1" w:styleId="Heading3Char">
    <w:name w:val="Heading 3 Char"/>
    <w:basedOn w:val="DefaultParagraphFont"/>
    <w:link w:val="Heading3"/>
    <w:uiPriority w:val="9"/>
    <w:rsid w:val="006800C7"/>
    <w:rPr>
      <w:rFonts w:ascii="Times New Roman" w:eastAsiaTheme="majorEastAsia" w:hAnsi="Times New Roman" w:cstheme="majorBidi"/>
      <w:sz w:val="32"/>
      <w:szCs w:val="24"/>
    </w:rPr>
  </w:style>
  <w:style w:type="character" w:customStyle="1" w:styleId="Heading4Char">
    <w:name w:val="Heading 4 Char"/>
    <w:basedOn w:val="DefaultParagraphFont"/>
    <w:link w:val="Heading4"/>
    <w:uiPriority w:val="9"/>
    <w:rsid w:val="006800C7"/>
    <w:rPr>
      <w:rFonts w:ascii="Times New Roman" w:hAnsi="Times New Roman" w:cs="Arial"/>
      <w:iCs/>
      <w:sz w:val="26"/>
    </w:rPr>
  </w:style>
  <w:style w:type="character" w:customStyle="1" w:styleId="Heading5Char">
    <w:name w:val="Heading 5 Char"/>
    <w:basedOn w:val="DefaultParagraphFont"/>
    <w:link w:val="Heading5"/>
    <w:uiPriority w:val="9"/>
    <w:rsid w:val="006800C7"/>
    <w:rPr>
      <w:rFonts w:ascii="Times New Roman" w:eastAsiaTheme="majorEastAsia" w:hAnsi="Times New Roman" w:cstheme="majorBidi"/>
      <w:b/>
      <w:color w:val="262626" w:themeColor="text1" w:themeTint="D9"/>
      <w:sz w:val="20"/>
    </w:rPr>
  </w:style>
  <w:style w:type="character" w:customStyle="1" w:styleId="Heading6Char">
    <w:name w:val="Heading 6 Char"/>
    <w:basedOn w:val="DefaultParagraphFont"/>
    <w:link w:val="Heading6"/>
    <w:uiPriority w:val="9"/>
    <w:rsid w:val="006800C7"/>
    <w:rPr>
      <w:rFonts w:ascii="Arial" w:eastAsiaTheme="majorEastAsia" w:hAnsi="Arial" w:cstheme="majorBidi"/>
      <w:b/>
      <w:sz w:val="26"/>
    </w:rPr>
  </w:style>
  <w:style w:type="character" w:customStyle="1" w:styleId="Heading7Char">
    <w:name w:val="Heading 7 Char"/>
    <w:basedOn w:val="DefaultParagraphFont"/>
    <w:link w:val="Heading7"/>
    <w:uiPriority w:val="9"/>
    <w:rsid w:val="006800C7"/>
    <w:rPr>
      <w:rFonts w:ascii="Arial" w:eastAsiaTheme="majorEastAsia" w:hAnsi="Arial" w:cstheme="majorBidi"/>
      <w:i/>
      <w:iCs/>
    </w:rPr>
  </w:style>
  <w:style w:type="character" w:customStyle="1" w:styleId="Heading8Char">
    <w:name w:val="Heading 8 Char"/>
    <w:basedOn w:val="DefaultParagraphFont"/>
    <w:link w:val="Heading8"/>
    <w:uiPriority w:val="9"/>
    <w:rsid w:val="006800C7"/>
    <w:rPr>
      <w:rFonts w:ascii="Arial" w:eastAsiaTheme="majorEastAsia" w:hAnsi="Arial" w:cstheme="majorBidi"/>
      <w:color w:val="272727" w:themeColor="text1" w:themeTint="D8"/>
      <w:sz w:val="28"/>
      <w:szCs w:val="21"/>
    </w:rPr>
  </w:style>
  <w:style w:type="character" w:customStyle="1" w:styleId="Heading9Char">
    <w:name w:val="Heading 9 Char"/>
    <w:basedOn w:val="DefaultParagraphFont"/>
    <w:link w:val="Heading9"/>
    <w:uiPriority w:val="9"/>
    <w:rsid w:val="006800C7"/>
    <w:rPr>
      <w:rFonts w:ascii="Arial" w:eastAsiaTheme="majorEastAsia" w:hAnsi="Arial" w:cstheme="majorBidi"/>
      <w:b/>
      <w:iCs/>
      <w:color w:val="272727" w:themeColor="text1" w:themeTint="D8"/>
      <w:sz w:val="16"/>
      <w:szCs w:val="21"/>
      <w:shd w:val="clear" w:color="FFFFFF" w:themeColor="background1" w:fill="F2F2F2" w:themeFill="background1" w:themeFillShade="F2"/>
    </w:rPr>
  </w:style>
  <w:style w:type="paragraph" w:styleId="TableofFigures">
    <w:name w:val="table of figures"/>
    <w:basedOn w:val="Heading5"/>
    <w:next w:val="Normal"/>
    <w:uiPriority w:val="99"/>
    <w:unhideWhenUsed/>
    <w:rsid w:val="006800C7"/>
    <w:rPr>
      <w:sz w:val="18"/>
    </w:rPr>
  </w:style>
  <w:style w:type="character" w:styleId="SubtleEmphasis">
    <w:name w:val="Subtle Emphasis"/>
    <w:basedOn w:val="DefaultParagraphFont"/>
    <w:uiPriority w:val="19"/>
    <w:qFormat/>
    <w:rsid w:val="006800C7"/>
    <w:rPr>
      <w:i/>
      <w:iCs/>
      <w:color w:val="404040" w:themeColor="text1" w:themeTint="BF"/>
    </w:rPr>
  </w:style>
  <w:style w:type="paragraph" w:styleId="Subtitle">
    <w:name w:val="Subtitle"/>
    <w:basedOn w:val="Normal"/>
    <w:next w:val="Normal"/>
    <w:link w:val="SubtitleChar"/>
    <w:uiPriority w:val="11"/>
    <w:qFormat/>
    <w:rsid w:val="006800C7"/>
    <w:pPr>
      <w:numPr>
        <w:ilvl w:val="1"/>
      </w:numPr>
      <w:spacing w:before="60" w:line="220" w:lineRule="exact"/>
    </w:pPr>
    <w:rPr>
      <w:rFonts w:eastAsiaTheme="minorEastAsia" w:cstheme="minorBidi"/>
      <w:i/>
      <w:color w:val="595959" w:themeColor="text1" w:themeTint="A6"/>
      <w:sz w:val="16"/>
    </w:rPr>
  </w:style>
  <w:style w:type="character" w:customStyle="1" w:styleId="SubtitleChar">
    <w:name w:val="Subtitle Char"/>
    <w:basedOn w:val="DefaultParagraphFont"/>
    <w:link w:val="Subtitle"/>
    <w:uiPriority w:val="11"/>
    <w:rsid w:val="006800C7"/>
    <w:rPr>
      <w:rFonts w:ascii="Times New Roman" w:eastAsiaTheme="minorEastAsia" w:hAnsi="Times New Roman"/>
      <w:i/>
      <w:color w:val="595959" w:themeColor="text1" w:themeTint="A6"/>
      <w:sz w:val="16"/>
    </w:rPr>
  </w:style>
  <w:style w:type="paragraph" w:styleId="BodyText2">
    <w:name w:val="Body Text 2"/>
    <w:basedOn w:val="Normal"/>
    <w:link w:val="BodyText2Char"/>
    <w:uiPriority w:val="99"/>
    <w:unhideWhenUsed/>
    <w:qFormat/>
    <w:rsid w:val="006800C7"/>
    <w:pPr>
      <w:pBdr>
        <w:left w:val="single" w:sz="8" w:space="4" w:color="D9D9D9" w:themeColor="background1" w:themeShade="D9"/>
      </w:pBdr>
      <w:shd w:val="clear" w:color="F2F2F2" w:themeColor="background1" w:themeShade="F2" w:fill="auto"/>
      <w:spacing w:before="260"/>
    </w:pPr>
    <w:rPr>
      <w:rFonts w:ascii="Arial" w:hAnsi="Arial"/>
      <w:color w:val="auto"/>
    </w:rPr>
  </w:style>
  <w:style w:type="character" w:customStyle="1" w:styleId="BodyText2Char">
    <w:name w:val="Body Text 2 Char"/>
    <w:basedOn w:val="DefaultParagraphFont"/>
    <w:link w:val="BodyText2"/>
    <w:uiPriority w:val="99"/>
    <w:rsid w:val="006800C7"/>
    <w:rPr>
      <w:rFonts w:ascii="Arial" w:hAnsi="Arial" w:cs="Arial"/>
      <w:sz w:val="18"/>
      <w:shd w:val="clear" w:color="F2F2F2" w:themeColor="background1" w:themeShade="F2" w:fill="auto"/>
    </w:rPr>
  </w:style>
  <w:style w:type="paragraph" w:styleId="IntenseQuote">
    <w:name w:val="Intense Quote"/>
    <w:basedOn w:val="Normal"/>
    <w:link w:val="IntenseQuoteChar"/>
    <w:uiPriority w:val="30"/>
    <w:qFormat/>
    <w:rsid w:val="006800C7"/>
    <w:pPr>
      <w:spacing w:after="360" w:line="300" w:lineRule="exact"/>
      <w:jc w:val="right"/>
    </w:pPr>
    <w:rPr>
      <w:rFonts w:ascii="Arial" w:hAnsi="Arial"/>
      <w:i/>
      <w:iCs/>
      <w:color w:val="auto"/>
      <w:sz w:val="22"/>
    </w:rPr>
  </w:style>
  <w:style w:type="character" w:customStyle="1" w:styleId="IntenseQuoteChar">
    <w:name w:val="Intense Quote Char"/>
    <w:basedOn w:val="DefaultParagraphFont"/>
    <w:link w:val="IntenseQuote"/>
    <w:uiPriority w:val="30"/>
    <w:rsid w:val="006800C7"/>
    <w:rPr>
      <w:rFonts w:ascii="Arial" w:hAnsi="Arial" w:cs="Arial"/>
      <w:i/>
      <w:iCs/>
    </w:rPr>
  </w:style>
  <w:style w:type="character" w:styleId="Hyperlink">
    <w:name w:val="Hyperlink"/>
    <w:basedOn w:val="DefaultParagraphFont"/>
    <w:uiPriority w:val="99"/>
    <w:unhideWhenUsed/>
    <w:qFormat/>
    <w:rsid w:val="006800C7"/>
    <w:rPr>
      <w:color w:val="404040" w:themeColor="text1" w:themeTint="BF"/>
      <w:u w:val="single"/>
    </w:rPr>
  </w:style>
  <w:style w:type="character" w:styleId="Strong">
    <w:name w:val="Strong"/>
    <w:basedOn w:val="DefaultParagraphFont"/>
    <w:uiPriority w:val="22"/>
    <w:qFormat/>
    <w:rsid w:val="006800C7"/>
    <w:rPr>
      <w:b/>
      <w:bCs/>
    </w:rPr>
  </w:style>
  <w:style w:type="character" w:styleId="UnresolvedMention">
    <w:name w:val="Unresolved Mention"/>
    <w:basedOn w:val="DefaultParagraphFont"/>
    <w:uiPriority w:val="99"/>
    <w:semiHidden/>
    <w:unhideWhenUsed/>
    <w:rsid w:val="006800C7"/>
    <w:rPr>
      <w:color w:val="605E5C"/>
      <w:shd w:val="clear" w:color="auto" w:fill="E1DFDD"/>
    </w:rPr>
  </w:style>
  <w:style w:type="character" w:styleId="IntenseReference">
    <w:name w:val="Intense Reference"/>
    <w:basedOn w:val="DefaultParagraphFont"/>
    <w:uiPriority w:val="32"/>
    <w:qFormat/>
    <w:rsid w:val="006800C7"/>
    <w:rPr>
      <w:rFonts w:ascii="Arial" w:hAnsi="Arial"/>
      <w:b w:val="0"/>
      <w:bCs/>
      <w:i w:val="0"/>
      <w:caps w:val="0"/>
      <w:smallCaps w:val="0"/>
      <w:strike w:val="0"/>
      <w:dstrike w:val="0"/>
      <w:vanish w:val="0"/>
      <w:color w:val="auto"/>
      <w:spacing w:val="5"/>
      <w:sz w:val="16"/>
      <w:vertAlign w:val="baseline"/>
    </w:rPr>
  </w:style>
  <w:style w:type="table" w:styleId="TableGrid">
    <w:name w:val="Table Grid"/>
    <w:basedOn w:val="TableNormal"/>
    <w:uiPriority w:val="39"/>
    <w:rsid w:val="00680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aliases w:val="Annual Report Table style"/>
    <w:basedOn w:val="TableNormal"/>
    <w:uiPriority w:val="46"/>
    <w:rsid w:val="006800C7"/>
    <w:pPr>
      <w:spacing w:after="220" w:line="220" w:lineRule="exact"/>
    </w:pPr>
    <w:rPr>
      <w:rFonts w:ascii="Arial" w:hAnsi="Arial"/>
      <w:sz w:val="16"/>
    </w:rPr>
    <w:tblPr>
      <w:tblStyleRowBandSize w:val="1"/>
      <w:tblStyleColBandSize w:val="1"/>
      <w:tblBorders>
        <w:bottom w:val="single" w:sz="4" w:space="0" w:color="003C69"/>
        <w:insideH w:val="single" w:sz="4" w:space="0" w:color="003C69"/>
      </w:tblBorders>
      <w:tblCellMar>
        <w:left w:w="115" w:type="dxa"/>
        <w:right w:w="115" w:type="dxa"/>
      </w:tblCellMar>
    </w:tblPr>
    <w:tblStylePr w:type="firstRow">
      <w:pPr>
        <w:jc w:val="left"/>
      </w:pPr>
      <w:rPr>
        <w:rFonts w:ascii="Arial" w:hAnsi="Arial"/>
        <w:b/>
        <w:bCs/>
        <w:color w:val="003C69"/>
        <w:sz w:val="16"/>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aliases w:val="TMR Annual Report"/>
    <w:basedOn w:val="TableNormal"/>
    <w:uiPriority w:val="46"/>
    <w:rsid w:val="006800C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rFonts w:ascii="Arial" w:hAnsi="Arial"/>
        <w:b/>
        <w:bCs/>
        <w:color w:val="003C69"/>
        <w:sz w:val="16"/>
      </w:rPr>
      <w:tblPr/>
      <w:tcPr>
        <w:tcBorders>
          <w:bottom w:val="single" w:sz="12" w:space="0" w:color="8EAADB" w:themeColor="accent1" w:themeTint="99"/>
          <w:tr2bl w:val="nil"/>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800C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Style1">
    <w:name w:val="Style1"/>
    <w:basedOn w:val="TableNormal"/>
    <w:uiPriority w:val="99"/>
    <w:rsid w:val="006800C7"/>
    <w:pPr>
      <w:spacing w:after="0" w:line="2640" w:lineRule="auto"/>
    </w:pPr>
    <w:rPr>
      <w:rFonts w:ascii="Arial" w:hAnsi="Arial"/>
      <w:color w:val="595959" w:themeColor="text1" w:themeTint="A6"/>
      <w:sz w:val="16"/>
    </w:rPr>
    <w:tblPr>
      <w:tblBorders>
        <w:bottom w:val="single" w:sz="4" w:space="0" w:color="003C69"/>
        <w:insideH w:val="single" w:sz="4" w:space="0" w:color="003C69"/>
      </w:tblBorders>
    </w:tblPr>
    <w:tblStylePr w:type="firstRow">
      <w:tblPr/>
      <w:tcPr>
        <w:tcBorders>
          <w:bottom w:val="nil"/>
        </w:tcBorders>
      </w:tcPr>
    </w:tblStylePr>
  </w:style>
  <w:style w:type="table" w:customStyle="1" w:styleId="TMRAnnualReport2">
    <w:name w:val="TMR Annual Report 2"/>
    <w:basedOn w:val="TableNormal"/>
    <w:uiPriority w:val="99"/>
    <w:rsid w:val="006800C7"/>
    <w:pPr>
      <w:spacing w:after="0" w:line="240" w:lineRule="auto"/>
    </w:pPr>
    <w:tblPr/>
  </w:style>
  <w:style w:type="table" w:styleId="PlainTable3">
    <w:name w:val="Plain Table 3"/>
    <w:basedOn w:val="TableNormal"/>
    <w:uiPriority w:val="43"/>
    <w:rsid w:val="006800C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5">
    <w:name w:val="Grid Table 1 Light Accent 5"/>
    <w:basedOn w:val="TableNormal"/>
    <w:uiPriority w:val="46"/>
    <w:rsid w:val="006800C7"/>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6800C7"/>
    <w:rPr>
      <w:i/>
      <w:iCs/>
    </w:rPr>
  </w:style>
  <w:style w:type="paragraph" w:customStyle="1" w:styleId="ImageOrTable">
    <w:name w:val="ImageOrTable"/>
    <w:basedOn w:val="Heading8"/>
    <w:qFormat/>
    <w:rsid w:val="006800C7"/>
  </w:style>
  <w:style w:type="paragraph" w:customStyle="1" w:styleId="CaseStudy">
    <w:name w:val="CaseStudy"/>
    <w:basedOn w:val="Heading6"/>
    <w:qFormat/>
    <w:rsid w:val="006800C7"/>
  </w:style>
  <w:style w:type="paragraph" w:customStyle="1" w:styleId="CaseStudySubheading">
    <w:name w:val="CaseStudySubheading"/>
    <w:basedOn w:val="Heading7"/>
    <w:qFormat/>
    <w:rsid w:val="006800C7"/>
  </w:style>
  <w:style w:type="paragraph" w:customStyle="1" w:styleId="MoreInformation">
    <w:name w:val="More Information"/>
    <w:basedOn w:val="Heading9"/>
    <w:qFormat/>
    <w:rsid w:val="006800C7"/>
  </w:style>
  <w:style w:type="paragraph" w:styleId="BalloonText">
    <w:name w:val="Balloon Text"/>
    <w:basedOn w:val="Normal"/>
    <w:link w:val="BalloonTextChar"/>
    <w:uiPriority w:val="99"/>
    <w:semiHidden/>
    <w:unhideWhenUsed/>
    <w:rsid w:val="006800C7"/>
    <w:pPr>
      <w:spacing w:before="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800C7"/>
    <w:rPr>
      <w:rFonts w:ascii="Segoe UI" w:hAnsi="Segoe UI" w:cs="Segoe UI"/>
      <w:color w:val="262626" w:themeColor="text1" w:themeTint="D9"/>
      <w:sz w:val="18"/>
      <w:szCs w:val="18"/>
    </w:rPr>
  </w:style>
  <w:style w:type="character" w:styleId="CommentReference">
    <w:name w:val="annotation reference"/>
    <w:basedOn w:val="DefaultParagraphFont"/>
    <w:uiPriority w:val="99"/>
    <w:semiHidden/>
    <w:unhideWhenUsed/>
    <w:rsid w:val="006800C7"/>
    <w:rPr>
      <w:sz w:val="16"/>
      <w:szCs w:val="16"/>
    </w:rPr>
  </w:style>
  <w:style w:type="paragraph" w:styleId="CommentText">
    <w:name w:val="annotation text"/>
    <w:basedOn w:val="Normal"/>
    <w:link w:val="CommentTextChar"/>
    <w:uiPriority w:val="99"/>
    <w:unhideWhenUsed/>
    <w:rsid w:val="006800C7"/>
    <w:pPr>
      <w:spacing w:line="240" w:lineRule="auto"/>
    </w:pPr>
    <w:rPr>
      <w:sz w:val="20"/>
      <w:szCs w:val="20"/>
    </w:rPr>
  </w:style>
  <w:style w:type="character" w:customStyle="1" w:styleId="CommentTextChar">
    <w:name w:val="Comment Text Char"/>
    <w:basedOn w:val="DefaultParagraphFont"/>
    <w:link w:val="CommentText"/>
    <w:uiPriority w:val="99"/>
    <w:rsid w:val="006800C7"/>
    <w:rPr>
      <w:rFonts w:ascii="Times New Roman" w:hAnsi="Times New Roman" w:cs="Arial"/>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6800C7"/>
    <w:rPr>
      <w:b/>
      <w:bCs/>
    </w:rPr>
  </w:style>
  <w:style w:type="character" w:customStyle="1" w:styleId="CommentSubjectChar">
    <w:name w:val="Comment Subject Char"/>
    <w:basedOn w:val="CommentTextChar"/>
    <w:link w:val="CommentSubject"/>
    <w:uiPriority w:val="99"/>
    <w:semiHidden/>
    <w:rsid w:val="006800C7"/>
    <w:rPr>
      <w:rFonts w:ascii="Times New Roman" w:hAnsi="Times New Roman" w:cs="Arial"/>
      <w:b/>
      <w:bCs/>
      <w:color w:val="262626" w:themeColor="text1" w:themeTint="D9"/>
      <w:sz w:val="20"/>
      <w:szCs w:val="20"/>
    </w:rPr>
  </w:style>
  <w:style w:type="paragraph" w:styleId="NoSpacing">
    <w:name w:val="No Spacing"/>
    <w:uiPriority w:val="1"/>
    <w:qFormat/>
    <w:rsid w:val="006800C7"/>
    <w:pPr>
      <w:spacing w:after="0" w:line="240" w:lineRule="auto"/>
    </w:pPr>
    <w:rPr>
      <w:rFonts w:ascii="Arial" w:hAnsi="Arial" w:cs="Arial"/>
    </w:rPr>
  </w:style>
  <w:style w:type="character" w:styleId="Mention">
    <w:name w:val="Mention"/>
    <w:basedOn w:val="DefaultParagraphFont"/>
    <w:uiPriority w:val="99"/>
    <w:unhideWhenUsed/>
    <w:rsid w:val="006800C7"/>
    <w:rPr>
      <w:color w:val="2B579A"/>
      <w:shd w:val="clear" w:color="auto" w:fill="E1DFDD"/>
    </w:rPr>
  </w:style>
  <w:style w:type="paragraph" w:styleId="ListParagraph">
    <w:name w:val="List Paragraph"/>
    <w:basedOn w:val="Normal"/>
    <w:uiPriority w:val="34"/>
    <w:qFormat/>
    <w:rsid w:val="006800C7"/>
    <w:pPr>
      <w:ind w:left="720"/>
      <w:contextualSpacing/>
    </w:pPr>
  </w:style>
  <w:style w:type="table" w:styleId="TableGridLight">
    <w:name w:val="Grid Table Light"/>
    <w:basedOn w:val="TableNormal"/>
    <w:uiPriority w:val="40"/>
    <w:rsid w:val="006800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
    <w:name w:val="Grid Table 2"/>
    <w:basedOn w:val="TableNormal"/>
    <w:uiPriority w:val="47"/>
    <w:rsid w:val="006800C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basedOn w:val="Normal"/>
    <w:link w:val="FootnoteTextChar"/>
    <w:uiPriority w:val="99"/>
    <w:semiHidden/>
    <w:unhideWhenUsed/>
    <w:rsid w:val="006800C7"/>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6800C7"/>
    <w:rPr>
      <w:rFonts w:ascii="Times New Roman" w:hAnsi="Times New Roman" w:cs="Arial"/>
      <w:color w:val="262626" w:themeColor="text1" w:themeTint="D9"/>
      <w:sz w:val="20"/>
      <w:szCs w:val="20"/>
    </w:rPr>
  </w:style>
  <w:style w:type="character" w:styleId="FootnoteReference">
    <w:name w:val="footnote reference"/>
    <w:basedOn w:val="DefaultParagraphFont"/>
    <w:uiPriority w:val="99"/>
    <w:semiHidden/>
    <w:unhideWhenUsed/>
    <w:rsid w:val="006800C7"/>
    <w:rPr>
      <w:vertAlign w:val="superscript"/>
    </w:rPr>
  </w:style>
  <w:style w:type="table" w:styleId="GridTable2-Accent3">
    <w:name w:val="Grid Table 2 Accent 3"/>
    <w:basedOn w:val="TableNormal"/>
    <w:uiPriority w:val="47"/>
    <w:rsid w:val="006800C7"/>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4">
    <w:name w:val="Plain Table 4"/>
    <w:basedOn w:val="TableNormal"/>
    <w:uiPriority w:val="44"/>
    <w:rsid w:val="006800C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800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6800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2">
    <w:name w:val="Plain Table 2"/>
    <w:basedOn w:val="TableNormal"/>
    <w:uiPriority w:val="42"/>
    <w:rsid w:val="006800C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IntenseEmphasis">
    <w:name w:val="Intense Emphasis"/>
    <w:basedOn w:val="DefaultParagraphFont"/>
    <w:uiPriority w:val="21"/>
    <w:qFormat/>
    <w:rsid w:val="006800C7"/>
    <w:rPr>
      <w:i/>
      <w:iCs/>
      <w:color w:val="auto"/>
    </w:rPr>
  </w:style>
  <w:style w:type="paragraph" w:customStyle="1" w:styleId="TableParagraph">
    <w:name w:val="Table Paragraph"/>
    <w:basedOn w:val="Normal"/>
    <w:uiPriority w:val="1"/>
    <w:qFormat/>
    <w:rsid w:val="006E40EE"/>
    <w:pPr>
      <w:widowControl w:val="0"/>
      <w:autoSpaceDE w:val="0"/>
      <w:autoSpaceDN w:val="0"/>
      <w:spacing w:before="0" w:line="240" w:lineRule="auto"/>
    </w:pPr>
    <w:rPr>
      <w:rFonts w:ascii="MetaPro-CondNorm" w:eastAsia="MetaPro-CondNorm" w:hAnsi="MetaPro-CondNorm" w:cs="MetaPro-CondNorm"/>
      <w:color w:val="auto"/>
      <w:sz w:val="22"/>
      <w:lang w:val="en-US"/>
    </w:rPr>
  </w:style>
  <w:style w:type="paragraph" w:styleId="TOC1">
    <w:name w:val="toc 1"/>
    <w:basedOn w:val="Normal"/>
    <w:uiPriority w:val="1"/>
    <w:qFormat/>
    <w:rsid w:val="00C75C0F"/>
    <w:pPr>
      <w:widowControl w:val="0"/>
      <w:autoSpaceDE w:val="0"/>
      <w:autoSpaceDN w:val="0"/>
      <w:spacing w:before="323" w:line="240" w:lineRule="auto"/>
      <w:ind w:left="220"/>
    </w:pPr>
    <w:rPr>
      <w:rFonts w:ascii="MetaPro-Book" w:eastAsia="MetaPro-Book" w:hAnsi="MetaPro-Book" w:cs="MetaPro-Book"/>
      <w:color w:val="auto"/>
      <w:sz w:val="22"/>
      <w:lang w:val="en-US"/>
    </w:rPr>
  </w:style>
  <w:style w:type="character" w:styleId="FollowedHyperlink">
    <w:name w:val="FollowedHyperlink"/>
    <w:basedOn w:val="DefaultParagraphFont"/>
    <w:uiPriority w:val="99"/>
    <w:semiHidden/>
    <w:unhideWhenUsed/>
    <w:rsid w:val="00CD59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35011">
      <w:bodyDiv w:val="1"/>
      <w:marLeft w:val="0"/>
      <w:marRight w:val="0"/>
      <w:marTop w:val="0"/>
      <w:marBottom w:val="0"/>
      <w:divBdr>
        <w:top w:val="none" w:sz="0" w:space="0" w:color="auto"/>
        <w:left w:val="none" w:sz="0" w:space="0" w:color="auto"/>
        <w:bottom w:val="none" w:sz="0" w:space="0" w:color="auto"/>
        <w:right w:val="none" w:sz="0" w:space="0" w:color="auto"/>
      </w:divBdr>
    </w:div>
    <w:div w:id="147866777">
      <w:bodyDiv w:val="1"/>
      <w:marLeft w:val="0"/>
      <w:marRight w:val="0"/>
      <w:marTop w:val="0"/>
      <w:marBottom w:val="0"/>
      <w:divBdr>
        <w:top w:val="none" w:sz="0" w:space="0" w:color="auto"/>
        <w:left w:val="none" w:sz="0" w:space="0" w:color="auto"/>
        <w:bottom w:val="none" w:sz="0" w:space="0" w:color="auto"/>
        <w:right w:val="none" w:sz="0" w:space="0" w:color="auto"/>
      </w:divBdr>
    </w:div>
    <w:div w:id="332076873">
      <w:bodyDiv w:val="1"/>
      <w:marLeft w:val="0"/>
      <w:marRight w:val="0"/>
      <w:marTop w:val="0"/>
      <w:marBottom w:val="0"/>
      <w:divBdr>
        <w:top w:val="none" w:sz="0" w:space="0" w:color="auto"/>
        <w:left w:val="none" w:sz="0" w:space="0" w:color="auto"/>
        <w:bottom w:val="none" w:sz="0" w:space="0" w:color="auto"/>
        <w:right w:val="none" w:sz="0" w:space="0" w:color="auto"/>
      </w:divBdr>
    </w:div>
    <w:div w:id="336881115">
      <w:bodyDiv w:val="1"/>
      <w:marLeft w:val="0"/>
      <w:marRight w:val="0"/>
      <w:marTop w:val="0"/>
      <w:marBottom w:val="0"/>
      <w:divBdr>
        <w:top w:val="none" w:sz="0" w:space="0" w:color="auto"/>
        <w:left w:val="none" w:sz="0" w:space="0" w:color="auto"/>
        <w:bottom w:val="none" w:sz="0" w:space="0" w:color="auto"/>
        <w:right w:val="none" w:sz="0" w:space="0" w:color="auto"/>
      </w:divBdr>
    </w:div>
    <w:div w:id="449015358">
      <w:bodyDiv w:val="1"/>
      <w:marLeft w:val="0"/>
      <w:marRight w:val="0"/>
      <w:marTop w:val="0"/>
      <w:marBottom w:val="0"/>
      <w:divBdr>
        <w:top w:val="none" w:sz="0" w:space="0" w:color="auto"/>
        <w:left w:val="none" w:sz="0" w:space="0" w:color="auto"/>
        <w:bottom w:val="none" w:sz="0" w:space="0" w:color="auto"/>
        <w:right w:val="none" w:sz="0" w:space="0" w:color="auto"/>
      </w:divBdr>
    </w:div>
    <w:div w:id="518617691">
      <w:bodyDiv w:val="1"/>
      <w:marLeft w:val="0"/>
      <w:marRight w:val="0"/>
      <w:marTop w:val="0"/>
      <w:marBottom w:val="0"/>
      <w:divBdr>
        <w:top w:val="none" w:sz="0" w:space="0" w:color="auto"/>
        <w:left w:val="none" w:sz="0" w:space="0" w:color="auto"/>
        <w:bottom w:val="none" w:sz="0" w:space="0" w:color="auto"/>
        <w:right w:val="none" w:sz="0" w:space="0" w:color="auto"/>
      </w:divBdr>
    </w:div>
    <w:div w:id="723218395">
      <w:bodyDiv w:val="1"/>
      <w:marLeft w:val="0"/>
      <w:marRight w:val="0"/>
      <w:marTop w:val="0"/>
      <w:marBottom w:val="0"/>
      <w:divBdr>
        <w:top w:val="none" w:sz="0" w:space="0" w:color="auto"/>
        <w:left w:val="none" w:sz="0" w:space="0" w:color="auto"/>
        <w:bottom w:val="none" w:sz="0" w:space="0" w:color="auto"/>
        <w:right w:val="none" w:sz="0" w:space="0" w:color="auto"/>
      </w:divBdr>
    </w:div>
    <w:div w:id="835193395">
      <w:bodyDiv w:val="1"/>
      <w:marLeft w:val="0"/>
      <w:marRight w:val="0"/>
      <w:marTop w:val="0"/>
      <w:marBottom w:val="0"/>
      <w:divBdr>
        <w:top w:val="none" w:sz="0" w:space="0" w:color="auto"/>
        <w:left w:val="none" w:sz="0" w:space="0" w:color="auto"/>
        <w:bottom w:val="none" w:sz="0" w:space="0" w:color="auto"/>
        <w:right w:val="none" w:sz="0" w:space="0" w:color="auto"/>
      </w:divBdr>
    </w:div>
    <w:div w:id="1040209698">
      <w:bodyDiv w:val="1"/>
      <w:marLeft w:val="0"/>
      <w:marRight w:val="0"/>
      <w:marTop w:val="0"/>
      <w:marBottom w:val="0"/>
      <w:divBdr>
        <w:top w:val="none" w:sz="0" w:space="0" w:color="auto"/>
        <w:left w:val="none" w:sz="0" w:space="0" w:color="auto"/>
        <w:bottom w:val="none" w:sz="0" w:space="0" w:color="auto"/>
        <w:right w:val="none" w:sz="0" w:space="0" w:color="auto"/>
      </w:divBdr>
    </w:div>
    <w:div w:id="1063330115">
      <w:bodyDiv w:val="1"/>
      <w:marLeft w:val="0"/>
      <w:marRight w:val="0"/>
      <w:marTop w:val="0"/>
      <w:marBottom w:val="0"/>
      <w:divBdr>
        <w:top w:val="none" w:sz="0" w:space="0" w:color="auto"/>
        <w:left w:val="none" w:sz="0" w:space="0" w:color="auto"/>
        <w:bottom w:val="none" w:sz="0" w:space="0" w:color="auto"/>
        <w:right w:val="none" w:sz="0" w:space="0" w:color="auto"/>
      </w:divBdr>
    </w:div>
    <w:div w:id="1115514724">
      <w:bodyDiv w:val="1"/>
      <w:marLeft w:val="0"/>
      <w:marRight w:val="0"/>
      <w:marTop w:val="0"/>
      <w:marBottom w:val="0"/>
      <w:divBdr>
        <w:top w:val="none" w:sz="0" w:space="0" w:color="auto"/>
        <w:left w:val="none" w:sz="0" w:space="0" w:color="auto"/>
        <w:bottom w:val="none" w:sz="0" w:space="0" w:color="auto"/>
        <w:right w:val="none" w:sz="0" w:space="0" w:color="auto"/>
      </w:divBdr>
    </w:div>
    <w:div w:id="1364282835">
      <w:bodyDiv w:val="1"/>
      <w:marLeft w:val="0"/>
      <w:marRight w:val="0"/>
      <w:marTop w:val="0"/>
      <w:marBottom w:val="0"/>
      <w:divBdr>
        <w:top w:val="none" w:sz="0" w:space="0" w:color="auto"/>
        <w:left w:val="none" w:sz="0" w:space="0" w:color="auto"/>
        <w:bottom w:val="none" w:sz="0" w:space="0" w:color="auto"/>
        <w:right w:val="none" w:sz="0" w:space="0" w:color="auto"/>
      </w:divBdr>
    </w:div>
    <w:div w:id="1602567761">
      <w:bodyDiv w:val="1"/>
      <w:marLeft w:val="0"/>
      <w:marRight w:val="0"/>
      <w:marTop w:val="0"/>
      <w:marBottom w:val="0"/>
      <w:divBdr>
        <w:top w:val="none" w:sz="0" w:space="0" w:color="auto"/>
        <w:left w:val="none" w:sz="0" w:space="0" w:color="auto"/>
        <w:bottom w:val="none" w:sz="0" w:space="0" w:color="auto"/>
        <w:right w:val="none" w:sz="0" w:space="0" w:color="auto"/>
      </w:divBdr>
    </w:div>
    <w:div w:id="1606234676">
      <w:bodyDiv w:val="1"/>
      <w:marLeft w:val="0"/>
      <w:marRight w:val="0"/>
      <w:marTop w:val="0"/>
      <w:marBottom w:val="0"/>
      <w:divBdr>
        <w:top w:val="none" w:sz="0" w:space="0" w:color="auto"/>
        <w:left w:val="none" w:sz="0" w:space="0" w:color="auto"/>
        <w:bottom w:val="none" w:sz="0" w:space="0" w:color="auto"/>
        <w:right w:val="none" w:sz="0" w:space="0" w:color="auto"/>
      </w:divBdr>
    </w:div>
    <w:div w:id="1643997043">
      <w:bodyDiv w:val="1"/>
      <w:marLeft w:val="0"/>
      <w:marRight w:val="0"/>
      <w:marTop w:val="0"/>
      <w:marBottom w:val="0"/>
      <w:divBdr>
        <w:top w:val="none" w:sz="0" w:space="0" w:color="auto"/>
        <w:left w:val="none" w:sz="0" w:space="0" w:color="auto"/>
        <w:bottom w:val="none" w:sz="0" w:space="0" w:color="auto"/>
        <w:right w:val="none" w:sz="0" w:space="0" w:color="auto"/>
      </w:divBdr>
    </w:div>
    <w:div w:id="1686134676">
      <w:bodyDiv w:val="1"/>
      <w:marLeft w:val="0"/>
      <w:marRight w:val="0"/>
      <w:marTop w:val="0"/>
      <w:marBottom w:val="0"/>
      <w:divBdr>
        <w:top w:val="none" w:sz="0" w:space="0" w:color="auto"/>
        <w:left w:val="none" w:sz="0" w:space="0" w:color="auto"/>
        <w:bottom w:val="none" w:sz="0" w:space="0" w:color="auto"/>
        <w:right w:val="none" w:sz="0" w:space="0" w:color="auto"/>
      </w:divBdr>
    </w:div>
    <w:div w:id="1802109394">
      <w:bodyDiv w:val="1"/>
      <w:marLeft w:val="0"/>
      <w:marRight w:val="0"/>
      <w:marTop w:val="0"/>
      <w:marBottom w:val="0"/>
      <w:divBdr>
        <w:top w:val="none" w:sz="0" w:space="0" w:color="auto"/>
        <w:left w:val="none" w:sz="0" w:space="0" w:color="auto"/>
        <w:bottom w:val="none" w:sz="0" w:space="0" w:color="auto"/>
        <w:right w:val="none" w:sz="0" w:space="0" w:color="auto"/>
      </w:divBdr>
    </w:div>
    <w:div w:id="195902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mr.qld.gov.au/Community-and-environment/Environmental-management/Land/Fauna-management" TargetMode="External"/><Relationship Id="rId21" Type="http://schemas.openxmlformats.org/officeDocument/2006/relationships/hyperlink" Target="https://www.tmr.qld.gov.au/business-industry/Technical-standards-publications/Transport-Infrastructure-Asset-Management-Policy" TargetMode="External"/><Relationship Id="rId42" Type="http://schemas.openxmlformats.org/officeDocument/2006/relationships/hyperlink" Target="https://www.tmr.qld.gov.au/projects/yarrabah-jetty-design-and-construct" TargetMode="External"/><Relationship Id="rId63" Type="http://schemas.openxmlformats.org/officeDocument/2006/relationships/hyperlink" Target="https://www.tmr.qld.gov.au/projects/yeppoon-road-upgrade-project" TargetMode="External"/><Relationship Id="rId84" Type="http://schemas.openxmlformats.org/officeDocument/2006/relationships/hyperlink" Target="https://www.tmr.qld.gov.au/projects/springfield-central-station-sir-llew-edwards-drive-park-n-ride" TargetMode="External"/><Relationship Id="rId138" Type="http://schemas.openxmlformats.org/officeDocument/2006/relationships/footer" Target="footer3.xml"/><Relationship Id="rId107" Type="http://schemas.openxmlformats.org/officeDocument/2006/relationships/hyperlink" Target="https://www.tmr.qld.gov.au/About-us/News-and-media/Digital-Licence-App-media-assets" TargetMode="External"/><Relationship Id="rId11" Type="http://schemas.openxmlformats.org/officeDocument/2006/relationships/image" Target="media/image1.png"/><Relationship Id="rId32" Type="http://schemas.openxmlformats.org/officeDocument/2006/relationships/hyperlink" Target="https://www.translink.com.au/about-translink/projects-and-initiatives/map" TargetMode="External"/><Relationship Id="rId53" Type="http://schemas.openxmlformats.org/officeDocument/2006/relationships/hyperlink" Target="https://www.tmr.qld.gov.au/projects/bruce-highway-proserpine-bowen-ten-mile-creek-to-yeates-creek-improve-safety" TargetMode="External"/><Relationship Id="rId74" Type="http://schemas.openxmlformats.org/officeDocument/2006/relationships/hyperlink" Target="https://www.tmr.qld.gov.au/projects/gatton-helidon-road-lockyer-creek-bridge-strengthen-bridge" TargetMode="External"/><Relationship Id="rId128" Type="http://schemas.openxmlformats.org/officeDocument/2006/relationships/hyperlink" Target="https://www.tmr.qld.gov.au/About-us/Employment-and-careers/TMR-an-experience-like-no-other" TargetMode="External"/><Relationship Id="rId149" Type="http://schemas.openxmlformats.org/officeDocument/2006/relationships/image" Target="media/image13.jpeg"/><Relationship Id="rId5" Type="http://schemas.openxmlformats.org/officeDocument/2006/relationships/numbering" Target="numbering.xml"/><Relationship Id="rId95" Type="http://schemas.openxmlformats.org/officeDocument/2006/relationships/hyperlink" Target="https://www.qld.gov.au/disability/out-and-about/subsidies-concessions-passes/taxi-subsidy" TargetMode="External"/><Relationship Id="rId22" Type="http://schemas.openxmlformats.org/officeDocument/2006/relationships/hyperlink" Target="https://www.tmr.qld.gov.au/projects/Draft-Southern-Sunshine-Coast-Public-Transport-Strategy" TargetMode="External"/><Relationship Id="rId27" Type="http://schemas.openxmlformats.org/officeDocument/2006/relationships/hyperlink" Target="https://www.tmr.qld.gov.au/business-industry/Transport-sectors/Rail-services-and-infrastructure/Rail-Transport-Contracts-and-Agreements" TargetMode="External"/><Relationship Id="rId43" Type="http://schemas.openxmlformats.org/officeDocument/2006/relationships/hyperlink" Target="https://www.tmr.qld.gov.au/projects/cloncurry-dajarra-road-improvement-works" TargetMode="External"/><Relationship Id="rId48" Type="http://schemas.openxmlformats.org/officeDocument/2006/relationships/hyperlink" Target="https://www.tmr.qld.gov.au/projects/bruce-highway-haughton-river-floodplain-upgrade-construct-bridges-and-approaches" TargetMode="External"/><Relationship Id="rId64" Type="http://schemas.openxmlformats.org/officeDocument/2006/relationships/hyperlink" Target="https://www.tmr.qld.gov.au/projects/gavial-gracemere-road-lawrie-street-widen-to-four-lanes-and-upgrade-intersections" TargetMode="External"/><Relationship Id="rId69" Type="http://schemas.openxmlformats.org/officeDocument/2006/relationships/hyperlink" Target="https://www.tmr.qld.gov.au/projects/mundubbera-durong-road-john-peterson-bridge-boyne-river-replace-bridge" TargetMode="External"/><Relationship Id="rId113" Type="http://schemas.openxmlformats.org/officeDocument/2006/relationships/hyperlink" Target="https://www.tmr.qld.gov.au/projects/Queensland-Train-Manufacturing-Program-QTMP" TargetMode="External"/><Relationship Id="rId118" Type="http://schemas.openxmlformats.org/officeDocument/2006/relationships/hyperlink" Target="https://www.tmr.qld.gov.au/projects/programs/natural-disaster-%20program" TargetMode="External"/><Relationship Id="rId134" Type="http://schemas.openxmlformats.org/officeDocument/2006/relationships/hyperlink" Target="https://www.tmr.qld.gov.au/About-us/Right-to-Information/Disclosure-log" TargetMode="External"/><Relationship Id="rId139" Type="http://schemas.openxmlformats.org/officeDocument/2006/relationships/footer" Target="footer4.xml"/><Relationship Id="rId80" Type="http://schemas.openxmlformats.org/officeDocument/2006/relationships/hyperlink" Target="https://www.tmr.qld.gov.au/projects/beams-road-carseldine-and-fitzgibbon-rail-level-crossing-funding-commitment" TargetMode="External"/><Relationship Id="rId85" Type="http://schemas.openxmlformats.org/officeDocument/2006/relationships/hyperlink" Target="https://www.tmr.qld.gov.au/projects/gympie-arterial-road-and-strathpine-road-bald-hills-improve-intersection" TargetMode="External"/><Relationship Id="rId150" Type="http://schemas.openxmlformats.org/officeDocument/2006/relationships/image" Target="media/image14.jpeg"/><Relationship Id="rId12" Type="http://schemas.openxmlformats.org/officeDocument/2006/relationships/image" Target="media/image2.png"/><Relationship Id="rId17" Type="http://schemas.openxmlformats.org/officeDocument/2006/relationships/image" Target="media/image6.jpeg"/><Relationship Id="rId33" Type="http://schemas.openxmlformats.org/officeDocument/2006/relationships/hyperlink" Target="https://www.tmr.qld.gov.au/Travel-and-transport/Cycling/Cycling-investment-in-Queensland" TargetMode="External"/><Relationship Id="rId38" Type="http://schemas.openxmlformats.org/officeDocument/2006/relationships/hyperlink" Target="https://www.tmr.qld.gov.au/projects/Bruce-Highway-Cairns-Southern-Access-Corridor-Stage-3-Edmonton-to-Gordonvale" TargetMode="External"/><Relationship Id="rId59" Type="http://schemas.openxmlformats.org/officeDocument/2006/relationships/hyperlink" Target="https://www.tmr.qld.gov.au/projects/barcaldine-aramac-road-rehabilitate-and-widen" TargetMode="External"/><Relationship Id="rId103" Type="http://schemas.openxmlformats.org/officeDocument/2006/relationships/hyperlink" Target="https://www.infrastructure.gov.au/infrastructure-transport-vehicles/transport-accessibility/reform-disability-standards-accessible-public-transport-2002-transport-standards" TargetMode="External"/><Relationship Id="rId108" Type="http://schemas.openxmlformats.org/officeDocument/2006/relationships/hyperlink" Target="https://www.tmr.qld.gov.au/business-industry/Transport-sectors/Freight/Queensland-freight-strategy-advancing-freight" TargetMode="External"/><Relationship Id="rId124" Type="http://schemas.openxmlformats.org/officeDocument/2006/relationships/image" Target="media/image8.jpeg"/><Relationship Id="rId129" Type="http://schemas.openxmlformats.org/officeDocument/2006/relationships/image" Target="media/image10.jpeg"/><Relationship Id="rId54" Type="http://schemas.openxmlformats.org/officeDocument/2006/relationships/hyperlink" Target="https://www.tmr.qld.gov.au/projects/peak-downs-highway-nebo-mackay-eton-to-mackay-targeted-road-safety-improvements" TargetMode="External"/><Relationship Id="rId70" Type="http://schemas.openxmlformats.org/officeDocument/2006/relationships/hyperlink" Target="https://www.tmr.qld.gov.au/projects/bruce-highway-gympie-maryborough-tiaro-bypass-construct-four-lane-bypass" TargetMode="External"/><Relationship Id="rId75" Type="http://schemas.openxmlformats.org/officeDocument/2006/relationships/hyperlink" Target="https://www.tmr.qld.gov.au/projects/bruce-highway-caloundra-road-to-sunshine-motorway" TargetMode="External"/><Relationship Id="rId91" Type="http://schemas.openxmlformats.org/officeDocument/2006/relationships/hyperlink" Target="https://www.tmr.qld.gov.au/projects/programs/mount-lindesay-highway-upgrade-program" TargetMode="External"/><Relationship Id="rId96" Type="http://schemas.openxmlformats.org/officeDocument/2006/relationships/hyperlink" Target="https://translink.com.au/about-translink/projects-and-initiatives/smartticketing" TargetMode="External"/><Relationship Id="rId140" Type="http://schemas.openxmlformats.org/officeDocument/2006/relationships/footer" Target="footer5.xml"/><Relationship Id="rId145" Type="http://schemas.openxmlformats.org/officeDocument/2006/relationships/hyperlink" Target="http://www.transmax.com.au/who-we-are/media/"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tmr.qld.gov.au/Travel-and-transport/Cycling/Principal-cycle-network" TargetMode="External"/><Relationship Id="rId28" Type="http://schemas.openxmlformats.org/officeDocument/2006/relationships/hyperlink" Target="https://www.tmr.qld.gov.au/regionalconnect" TargetMode="External"/><Relationship Id="rId49" Type="http://schemas.openxmlformats.org/officeDocument/2006/relationships/hyperlink" Target="https://www.tmr.qld.gov.au/projects/gregory-developmental-road-charters-towers-lynd-package-of-works" TargetMode="External"/><Relationship Id="rId114" Type="http://schemas.openxmlformats.org/officeDocument/2006/relationships/hyperlink" Target="https://www.tmr.qld.gov.au/projects/New-Generation-Rollingstock" TargetMode="External"/><Relationship Id="rId119" Type="http://schemas.openxmlformats.org/officeDocument/2006/relationships/hyperlink" Target="https://www.qld.gov.au/transport/safety/road-safety/community-road-safety-grants" TargetMode="External"/><Relationship Id="rId44" Type="http://schemas.openxmlformats.org/officeDocument/2006/relationships/hyperlink" Target="https://www.tmr.qld.gov.au/projects/kennedy-developmental-road-the-lynd-to-hughenden-upgrade" TargetMode="External"/><Relationship Id="rId60" Type="http://schemas.openxmlformats.org/officeDocument/2006/relationships/hyperlink" Target="https://www.tmr.qld.gov.au/projects/birdsville-developmental-road-morney-birdsville-pave-and-seal" TargetMode="External"/><Relationship Id="rId65" Type="http://schemas.openxmlformats.org/officeDocument/2006/relationships/hyperlink" Target="https://www.tmr.qld.gov.au/projects/rockhampton-northern-access-upgrade" TargetMode="External"/><Relationship Id="rId81" Type="http://schemas.openxmlformats.org/officeDocument/2006/relationships/hyperlink" Target="https://www.tmr.qld.gov.au/projects/Veloway-1-Pacific-Motorway" TargetMode="External"/><Relationship Id="rId86" Type="http://schemas.openxmlformats.org/officeDocument/2006/relationships/hyperlink" Target="https://www.tmr.qld.gov.au/projects/logan-and-gold-coast-faster-rail" TargetMode="External"/><Relationship Id="rId130" Type="http://schemas.openxmlformats.org/officeDocument/2006/relationships/hyperlink" Target="https://www.tmr.qld.gov.au/Help/Privacy" TargetMode="External"/><Relationship Id="rId135" Type="http://schemas.openxmlformats.org/officeDocument/2006/relationships/hyperlink" Target="http://www.data.qld.gov.au/dataset?organization=transport-and-main-roads" TargetMode="External"/><Relationship Id="rId151" Type="http://schemas.openxmlformats.org/officeDocument/2006/relationships/hyperlink" Target="https://www.msq.qld.gov.au/About-us/How-to-contact-us/Regions" TargetMode="Externa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s://www.tmr.qld.gov.au/projects/cairns-ring-road-cairns-cbd-to-smithfield" TargetMode="External"/><Relationship Id="rId109" Type="http://schemas.openxmlformats.org/officeDocument/2006/relationships/hyperlink" Target="https://www.tmr.qld.gov.au/business-industry/Taxi-and-limousine/Industry-information/Taxi/Wheelchair-accessible-taxis" TargetMode="External"/><Relationship Id="rId34" Type="http://schemas.openxmlformats.org/officeDocument/2006/relationships/hyperlink" Target="http://www.tmr.qld.gov.au/BVRT" TargetMode="External"/><Relationship Id="rId50" Type="http://schemas.openxmlformats.org/officeDocument/2006/relationships/hyperlink" Target="https://www.tmr.qld.gov.au/projects/townsville-northern-access-intersections-upgrade-bruce-highway-veales-road-to-pope-road" TargetMode="External"/><Relationship Id="rId55" Type="http://schemas.openxmlformats.org/officeDocument/2006/relationships/hyperlink" Target="https://www.tmr.qld.gov.au/projects/bruce-highway-mackay-to-proserpine-bruce-highway-safety-package-leap-to-careys-creek?homepage-rotator" TargetMode="External"/><Relationship Id="rId76" Type="http://schemas.openxmlformats.org/officeDocument/2006/relationships/hyperlink" Target="https://www.tmr.qld.gov.au/projects/sunshine-motorway-mooloolah-river-interchange-upgrade-stage-1" TargetMode="External"/><Relationship Id="rId97" Type="http://schemas.openxmlformats.org/officeDocument/2006/relationships/hyperlink" Target="https://www.translink.com.au/travel-with-us/on-demand" TargetMode="External"/><Relationship Id="rId104" Type="http://schemas.openxmlformats.org/officeDocument/2006/relationships/hyperlink" Target="https://www.tmr.qld.gov.au/About-us/Contact-us/Compliments-and-complaints/Easy-to-read-complaints-policy" TargetMode="External"/><Relationship Id="rId120" Type="http://schemas.openxmlformats.org/officeDocument/2006/relationships/hyperlink" Target="https://www.qld.gov.au/transport/safety/road-safety/drink-driving/drink-driving-education-programs" TargetMode="External"/><Relationship Id="rId125" Type="http://schemas.openxmlformats.org/officeDocument/2006/relationships/image" Target="media/image9.jpeg"/><Relationship Id="rId141" Type="http://schemas.openxmlformats.org/officeDocument/2006/relationships/footer" Target="footer6.xml"/><Relationship Id="rId146" Type="http://schemas.openxmlformats.org/officeDocument/2006/relationships/hyperlink" Target="https://crossriverrail.qld.gov.au" TargetMode="External"/><Relationship Id="rId7" Type="http://schemas.openxmlformats.org/officeDocument/2006/relationships/settings" Target="settings.xml"/><Relationship Id="rId71" Type="http://schemas.openxmlformats.org/officeDocument/2006/relationships/hyperlink" Target="https://www.tmr.qld.gov.au/projects/roma-condamine-road-tchanning-creek-replace-timber-bridge" TargetMode="External"/><Relationship Id="rId92" Type="http://schemas.openxmlformats.org/officeDocument/2006/relationships/hyperlink" Target="https://www.tmr.qld.gov.au/projects/cunningham-highway-ipswich-warwick-2020-disaster-recovery-funding-arrangements-reconstruction-works" TargetMode="External"/><Relationship Id="rId2" Type="http://schemas.openxmlformats.org/officeDocument/2006/relationships/customXml" Target="../customXml/item2.xml"/><Relationship Id="rId29" Type="http://schemas.openxmlformats.org/officeDocument/2006/relationships/hyperlink" Target="https://www.tmr.qld.gov.au/business-industry/Taxi-and-limousine/Queenslands-Personalised-Transport-Horizon" TargetMode="External"/><Relationship Id="rId24" Type="http://schemas.openxmlformats.org/officeDocument/2006/relationships/hyperlink" Target="https://www.qld.gov.au/transport/projects/electricvehicles/zero-emission-strategy" TargetMode="External"/><Relationship Id="rId40" Type="http://schemas.openxmlformats.org/officeDocument/2006/relationships/hyperlink" Target="https://www.tmr.qld.gov.au/projects/cape-york-region-package-stage-2" TargetMode="External"/><Relationship Id="rId45" Type="http://schemas.openxmlformats.org/officeDocument/2006/relationships/hyperlink" Target="https://www.tmr.qld.gov.au/projects/burke-developmental-road-normanton-dimbulah-pave-and-seal" TargetMode="External"/><Relationship Id="rId66" Type="http://schemas.openxmlformats.org/officeDocument/2006/relationships/hyperlink" Target="https://www.tmr.qld.gov.au/projects/bruce-highway-maryborough-gin-gin-saltwater-creek-and-deadmans-gully-flood-immunity-upgrades" TargetMode="External"/><Relationship Id="rId87" Type="http://schemas.openxmlformats.org/officeDocument/2006/relationships/hyperlink" Target="https://www.tmr.qld.gov.au/projects/coomera-connector-stage-1" TargetMode="External"/><Relationship Id="rId110" Type="http://schemas.openxmlformats.org/officeDocument/2006/relationships/hyperlink" Target="https://www.translink.com.au/news-and-media/competitions-and-offers/bus-driver-awards" TargetMode="External"/><Relationship Id="rId115" Type="http://schemas.openxmlformats.org/officeDocument/2006/relationships/hyperlink" Target="https://www.tmr.qld.gov.au/Community-and-environment/%20Environmental-management/Environmental-sustainability-policy" TargetMode="External"/><Relationship Id="rId131" Type="http://schemas.openxmlformats.org/officeDocument/2006/relationships/hyperlink" Target="https://www.tmr.qld.gov.au/-/media/aboutus/corpinfo/Publications/data-and-business-analytics-strategy-2017-2022.pdf?la=en" TargetMode="External"/><Relationship Id="rId136" Type="http://schemas.openxmlformats.org/officeDocument/2006/relationships/footer" Target="footer1.xml"/><Relationship Id="rId61" Type="http://schemas.openxmlformats.org/officeDocument/2006/relationships/hyperlink" Target="https://www.tmr.qld.gov.au/projects/capricorn-highway-rockhampton-to-gracemere-duplication" TargetMode="External"/><Relationship Id="rId82" Type="http://schemas.openxmlformats.org/officeDocument/2006/relationships/hyperlink" Target="https://www.tmr.qld.gov.au/projects/cleveland-redland-bay-road-upgrade" TargetMode="External"/><Relationship Id="rId152" Type="http://schemas.openxmlformats.org/officeDocument/2006/relationships/footer" Target="footer8.xml"/><Relationship Id="rId19" Type="http://schemas.openxmlformats.org/officeDocument/2006/relationships/hyperlink" Target="http://www.tmr.qld.gov.au/About-us/Corporate-information/Publications/Regional-Transport-Plans" TargetMode="External"/><Relationship Id="rId14" Type="http://schemas.openxmlformats.org/officeDocument/2006/relationships/image" Target="media/image4.jpg"/><Relationship Id="rId30" Type="http://schemas.openxmlformats.org/officeDocument/2006/relationships/hyperlink" Target="https://www.tmr.qld.gov.au/projects/inland-rail" TargetMode="External"/><Relationship Id="rId35" Type="http://schemas.openxmlformats.org/officeDocument/2006/relationships/hyperlink" Target="https://www.tmr.qld.gov.au/Travel-and-transport/Pedestrians-and-walking/Queensland-Walking-Strategy/Action-Plan-for-Walking" TargetMode="External"/><Relationship Id="rId56" Type="http://schemas.openxmlformats.org/officeDocument/2006/relationships/hyperlink" Target="https://www.tmr.qld.gov.au/projects/eyre-developmental-road-bedourie-birdsville-section-1-pave-and-seal" TargetMode="External"/><Relationship Id="rId77" Type="http://schemas.openxmlformats.org/officeDocument/2006/relationships/hyperlink" Target="https://www.tmr.qld.gov.au/projects/beerburrum-to-nambour-rail-upgrade-stage-1" TargetMode="External"/><Relationship Id="rId100" Type="http://schemas.openxmlformats.org/officeDocument/2006/relationships/hyperlink" Target="https://www.data.qld.gov.au" TargetMode="External"/><Relationship Id="rId105" Type="http://schemas.openxmlformats.org/officeDocument/2006/relationships/hyperlink" Target="https://www.translink.com.au/travel-with-us/accessibility/move-together" TargetMode="External"/><Relationship Id="rId126" Type="http://schemas.openxmlformats.org/officeDocument/2006/relationships/hyperlink" Target="https://www.qld.gov.au/transport/projects/cavi/ipswich-connected-vehicle-pilot" TargetMode="External"/><Relationship Id="rId147" Type="http://schemas.openxmlformats.org/officeDocument/2006/relationships/image" Target="media/image11.jpeg"/><Relationship Id="rId8" Type="http://schemas.openxmlformats.org/officeDocument/2006/relationships/webSettings" Target="webSettings.xml"/><Relationship Id="rId51" Type="http://schemas.openxmlformats.org/officeDocument/2006/relationships/hyperlink" Target="https://www.tmr.qld.gov.au/projects/bruce-highway-townsville-ingham-hechts-road-to-easter-creek-safety-upgrade-project" TargetMode="External"/><Relationship Id="rId72" Type="http://schemas.openxmlformats.org/officeDocument/2006/relationships/hyperlink" Target="https://www.tmr.qld.gov.au/projects/cunningham-highway-ipswich-warwick-eight-mile-intersection-upgrade" TargetMode="External"/><Relationship Id="rId93" Type="http://schemas.openxmlformats.org/officeDocument/2006/relationships/hyperlink" Target="http://www.tmr.qld.gov.au/transportTalk" TargetMode="External"/><Relationship Id="rId98" Type="http://schemas.openxmlformats.org/officeDocument/2006/relationships/hyperlink" Target="https://www.translink.com.au/tickets-and-fares/concessions" TargetMode="External"/><Relationship Id="rId121" Type="http://schemas.openxmlformats.org/officeDocument/2006/relationships/hyperlink" Target="https://www.qld.gov.au/transport/safety/road-safety/drink-driving/interlocks" TargetMode="External"/><Relationship Id="rId142" Type="http://schemas.openxmlformats.org/officeDocument/2006/relationships/footer" Target="footer7.xml"/><Relationship Id="rId3" Type="http://schemas.openxmlformats.org/officeDocument/2006/relationships/customXml" Target="../customXml/item3.xml"/><Relationship Id="rId25" Type="http://schemas.openxmlformats.org/officeDocument/2006/relationships/hyperlink" Target="https://www.qld.gov.au/transport/projects/electricvehicles/super-highway" TargetMode="External"/><Relationship Id="rId46" Type="http://schemas.openxmlformats.org/officeDocument/2006/relationships/hyperlink" Target="https://www.tmr.qld.gov.au/projects/burke-developmental-road-cloncurry-normanton-butcher-creek-replace-bridge" TargetMode="External"/><Relationship Id="rId67" Type="http://schemas.openxmlformats.org/officeDocument/2006/relationships/hyperlink" Target="https://www.tmr.qld.gov.au/projects/bruce-highway-wide-bay-highway-intersection-upgrade" TargetMode="External"/><Relationship Id="rId116" Type="http://schemas.openxmlformats.org/officeDocument/2006/relationships/hyperlink" Target="https://www.tmr.qld.gov.au/business-industry/Technical-standards-publications/Project-waste-reporting" TargetMode="External"/><Relationship Id="rId137" Type="http://schemas.openxmlformats.org/officeDocument/2006/relationships/footer" Target="footer2.xml"/><Relationship Id="rId20" Type="http://schemas.openxmlformats.org/officeDocument/2006/relationships/hyperlink" Target="https://www.tmr.qld.gov.au/QTRIPonline" TargetMode="External"/><Relationship Id="rId41" Type="http://schemas.openxmlformats.org/officeDocument/2006/relationships/hyperlink" Target="https://www.tmr.qld.gov.au/Travel-and-transport/Local-Fare-Scheme-Far-North-Queensland.aspx" TargetMode="External"/><Relationship Id="rId62" Type="http://schemas.openxmlformats.org/officeDocument/2006/relationships/hyperlink" Target="https://www.tmr.qld.gov.au/projects/Rockhampton-Ring-Road" TargetMode="External"/><Relationship Id="rId83" Type="http://schemas.openxmlformats.org/officeDocument/2006/relationships/hyperlink" Target="https://www.tmr.qld.gov.au/projects/captain-cook-bridge-maintenance-works" TargetMode="External"/><Relationship Id="rId88" Type="http://schemas.openxmlformats.org/officeDocument/2006/relationships/hyperlink" Target="https://www.tmr.qld.gov.au/projects/programs/pacific-motorway-m1-upgrade-program" TargetMode="External"/><Relationship Id="rId111" Type="http://schemas.openxmlformats.org/officeDocument/2006/relationships/hyperlink" Target="https://www.tmr.qld.gov.au/rrtg" TargetMode="External"/><Relationship Id="rId132" Type="http://schemas.openxmlformats.org/officeDocument/2006/relationships/hyperlink" Target="https://www.tmr.qld.gov.au/About-us/Contact-us/Compliments-and-complaints/Easy-to-read-complaints-policy" TargetMode="External"/><Relationship Id="rId153" Type="http://schemas.openxmlformats.org/officeDocument/2006/relationships/fontTable" Target="fontTable.xml"/><Relationship Id="rId15" Type="http://schemas.openxmlformats.org/officeDocument/2006/relationships/hyperlink" Target="http://www.qld.gov.au/annualreportfeedback" TargetMode="External"/><Relationship Id="rId36" Type="http://schemas.openxmlformats.org/officeDocument/2006/relationships/hyperlink" Target="https://www.tmr.qld.gov.au/projects/programs/bruce-highway-upgrade-program" TargetMode="External"/><Relationship Id="rId57" Type="http://schemas.openxmlformats.org/officeDocument/2006/relationships/hyperlink" Target="https://www.tmr.qld.gov.au/projects/capricorn-highway-emerald-alpha-widen-pavement" TargetMode="External"/><Relationship Id="rId106" Type="http://schemas.openxmlformats.org/officeDocument/2006/relationships/hyperlink" Target="https://www.translink.com.au/mytranslink" TargetMode="External"/><Relationship Id="rId127" Type="http://schemas.openxmlformats.org/officeDocument/2006/relationships/hyperlink" Target="https://www.tmr.qld.gov.au/About-us/Employment-and-careers/Entry-Pathways-Program/Graduate-program" TargetMode="External"/><Relationship Id="rId10" Type="http://schemas.openxmlformats.org/officeDocument/2006/relationships/endnotes" Target="endnotes.xml"/><Relationship Id="rId31" Type="http://schemas.openxmlformats.org/officeDocument/2006/relationships/hyperlink" Target="https://www.tmr.qld.gov.au/Travel-and-transport/Cycling/Cycling-investment-in-Queensland" TargetMode="External"/><Relationship Id="rId52" Type="http://schemas.openxmlformats.org/officeDocument/2006/relationships/hyperlink" Target="https://www.tmr.qld.gov.au/projects/walkerston-bypass" TargetMode="External"/><Relationship Id="rId73" Type="http://schemas.openxmlformats.org/officeDocument/2006/relationships/hyperlink" Target="https://www.tmr.qld.gov.au/projects/murphys-creek-road-rocky-creek-bridge-replace-bridge" TargetMode="External"/><Relationship Id="rId78" Type="http://schemas.openxmlformats.org/officeDocument/2006/relationships/hyperlink" Target="https://www.tmr.qld.gov.au/projects/redcliffe-road-anzac-avenue-gympie-road-and-dayboro-road-petrie-improve-intersection" TargetMode="External"/><Relationship Id="rId94" Type="http://schemas.openxmlformats.org/officeDocument/2006/relationships/hyperlink" Target="https://www.tmr.qld.gov.au/Travel-and-transport/School-transport/Assistance-schemes/School-Bus-Upgrade-Scheme.aspx" TargetMode="External"/><Relationship Id="rId99" Type="http://schemas.openxmlformats.org/officeDocument/2006/relationships/hyperlink" Target="https://www.qld.gov.au/transport/public/school/school-transport-assistance" TargetMode="External"/><Relationship Id="rId101" Type="http://schemas.openxmlformats.org/officeDocument/2006/relationships/hyperlink" Target="https://www.tmr.qld.gov.au/Travel-and-transport/Disability-access-and-mobility/Disability-Action-Plan" TargetMode="External"/><Relationship Id="rId122" Type="http://schemas.openxmlformats.org/officeDocument/2006/relationships/hyperlink" Target="https://www.qld.gov.au/transport/safety/road-safety/drink-driving/plan-drive-survive-hub" TargetMode="External"/><Relationship Id="rId143" Type="http://schemas.openxmlformats.org/officeDocument/2006/relationships/hyperlink" Target="http://www.gcwa.qld.gov.au/about/our-publications" TargetMode="External"/><Relationship Id="rId148"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tmr.qld.gov.au/business-industry/Transport-sectors/Rail-services-and-infrastructure" TargetMode="External"/><Relationship Id="rId47" Type="http://schemas.openxmlformats.org/officeDocument/2006/relationships/hyperlink" Target="https://www.tmr.qld.gov.au/projects/townsville-ring-road-stage-5" TargetMode="External"/><Relationship Id="rId68" Type="http://schemas.openxmlformats.org/officeDocument/2006/relationships/hyperlink" Target="https://www.tmr.qld.gov.au/projects/bruce-highway-cooroy-to-curra/bruce-highway-cooroy-to-curra-section-d" TargetMode="External"/><Relationship Id="rId89" Type="http://schemas.openxmlformats.org/officeDocument/2006/relationships/hyperlink" Target="https://www.tmr.qld.gov.au/projects/gold-coast-light-rail" TargetMode="External"/><Relationship Id="rId112" Type="http://schemas.openxmlformats.org/officeDocument/2006/relationships/hyperlink" Target="http://www.tmr.qld.gov.au/Community-and-environment/Research-%20and-education/Transport-Academic-Partnership" TargetMode="External"/><Relationship Id="rId133" Type="http://schemas.openxmlformats.org/officeDocument/2006/relationships/hyperlink" Target="http://www.qao.qld.gov.au" TargetMode="External"/><Relationship Id="rId154" Type="http://schemas.openxmlformats.org/officeDocument/2006/relationships/theme" Target="theme/theme1.xml"/><Relationship Id="rId16" Type="http://schemas.openxmlformats.org/officeDocument/2006/relationships/image" Target="media/image5.emf"/><Relationship Id="rId37" Type="http://schemas.openxmlformats.org/officeDocument/2006/relationships/hyperlink" Target="https://www.tmr.qld.gov.au/About-us/Corporate-information/Publications/Queensland-Transport-and-Roads-Investment-Program/%20QTRIP-industry-briefings" TargetMode="External"/><Relationship Id="rId58" Type="http://schemas.openxmlformats.org/officeDocument/2006/relationships/hyperlink" Target="https://www.tmr.qld.gov.au/projects/blackall-jericho-road-pave-and-seal" TargetMode="External"/><Relationship Id="rId79" Type="http://schemas.openxmlformats.org/officeDocument/2006/relationships/hyperlink" Target="https://www.tmr.qld.gov.au/projects/bruce-highway-brisbane-gympie-caboolture-bribie-island-road-to-steve-irwin-way-upgrade" TargetMode="External"/><Relationship Id="rId102" Type="http://schemas.openxmlformats.org/officeDocument/2006/relationships/hyperlink" Target="https://www.tmr.qld.gov.au/Travel-and-transport/Public-transport/%20Public-transport-infrastructure-grants" TargetMode="External"/><Relationship Id="rId123" Type="http://schemas.openxmlformats.org/officeDocument/2006/relationships/hyperlink" Target="https://www.tmr.qld.gov.au/Safety/Road-safety/Camera-Detected-Offence-Program" TargetMode="External"/><Relationship Id="rId144" Type="http://schemas.openxmlformats.org/officeDocument/2006/relationships/hyperlink" Target="http://www.queenslandrail.com.au/aboutus/governance/annualreports" TargetMode="External"/><Relationship Id="rId90" Type="http://schemas.openxmlformats.org/officeDocument/2006/relationships/hyperlink" Target="https://www.tmr.qld.gov.au/projects/gold-coast-light-rail-stage-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591BF36D9C4454898E9888241824549" ma:contentTypeVersion="13" ma:contentTypeDescription="Create a new document." ma:contentTypeScope="" ma:versionID="970b9b7248c6be946e073d072055c188">
  <xsd:schema xmlns:xsd="http://www.w3.org/2001/XMLSchema" xmlns:xs="http://www.w3.org/2001/XMLSchema" xmlns:p="http://schemas.microsoft.com/office/2006/metadata/properties" xmlns:ns3="679cf2d7-c059-4dd3-b2fd-c54c748fac4a" xmlns:ns4="3090a557-763d-4cf5-9221-2fbe06bd87ac" targetNamespace="http://schemas.microsoft.com/office/2006/metadata/properties" ma:root="true" ma:fieldsID="8d039e1c63894eab81efdcd006d60b65" ns3:_="" ns4:_="">
    <xsd:import namespace="679cf2d7-c059-4dd3-b2fd-c54c748fac4a"/>
    <xsd:import namespace="3090a557-763d-4cf5-9221-2fbe06bd87a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9cf2d7-c059-4dd3-b2fd-c54c748fac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090a557-763d-4cf5-9221-2fbe06bd87a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DF406-0E98-49F0-8709-BDBCCD3199E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9580727-2796-452A-B4BA-8BCEDA2696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9cf2d7-c059-4dd3-b2fd-c54c748fac4a"/>
    <ds:schemaRef ds:uri="3090a557-763d-4cf5-9221-2fbe06bd87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19CCB0-4C73-4205-878A-89AD0F0B687E}">
  <ds:schemaRefs>
    <ds:schemaRef ds:uri="http://schemas.microsoft.com/sharepoint/v3/contenttype/forms"/>
  </ds:schemaRefs>
</ds:datastoreItem>
</file>

<file path=customXml/itemProps4.xml><?xml version="1.0" encoding="utf-8"?>
<ds:datastoreItem xmlns:ds="http://schemas.openxmlformats.org/officeDocument/2006/customXml" ds:itemID="{6DA0DA66-E5F6-4B15-B34D-D0266A47C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317</Pages>
  <Words>91789</Words>
  <Characters>523201</Characters>
  <Application>Microsoft Office Word</Application>
  <DocSecurity>0</DocSecurity>
  <Lines>4360</Lines>
  <Paragraphs>1227</Paragraphs>
  <ScaleCrop>false</ScaleCrop>
  <HeadingPairs>
    <vt:vector size="2" baseType="variant">
      <vt:variant>
        <vt:lpstr>Title</vt:lpstr>
      </vt:variant>
      <vt:variant>
        <vt:i4>1</vt:i4>
      </vt:variant>
    </vt:vector>
  </HeadingPairs>
  <TitlesOfParts>
    <vt:vector size="1" baseType="lpstr">
      <vt:lpstr/>
    </vt:vector>
  </TitlesOfParts>
  <Company>Department of Transport and Main Roads</Company>
  <LinksUpToDate>false</LinksUpToDate>
  <CharactersWithSpaces>613763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McCulloch</dc:creator>
  <cp:keywords/>
  <dc:description/>
  <cp:lastModifiedBy>Sarah P Arnold</cp:lastModifiedBy>
  <cp:revision>105</cp:revision>
  <dcterms:created xsi:type="dcterms:W3CDTF">2022-09-26T02:03:00Z</dcterms:created>
  <dcterms:modified xsi:type="dcterms:W3CDTF">2022-10-07T01:52:00Z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0x0101000591BF36D9C4454898E9888241824549</vt:lpwstr>
  </property>
</Properties>
</file>